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0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EE59E">
      <w:pPr>
        <w:spacing w:before="1" w:line="31666" w:lineRule="exact"/>
      </w:pPr>
      <w:r>
        <w:rPr>
          <w:position w:val="-633"/>
        </w:rPr>
        <w:drawing>
          <wp:inline distT="0" distB="0" distL="0" distR="0">
            <wp:extent cx="14623415" cy="2010727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209"/>
                    <a:stretch>
                      <a:fillRect/>
                    </a:stretch>
                  </pic:blipFill>
                  <pic:spPr>
                    <a:xfrm>
                      <a:off x="0" y="0"/>
                      <a:ext cx="14623446" cy="20107662"/>
                    </a:xfrm>
                    <a:prstGeom prst="rect">
                      <a:avLst/>
                    </a:prstGeom>
                  </pic:spPr>
                </pic:pic>
              </a:graphicData>
            </a:graphic>
          </wp:inline>
        </w:drawing>
      </w:r>
    </w:p>
    <w:p w14:paraId="2BD0A705">
      <w:pPr>
        <w:spacing w:line="31666" w:lineRule="exact"/>
        <w:sectPr>
          <w:headerReference r:id="rId5" w:type="default"/>
          <w:footerReference r:id="rId6" w:type="default"/>
          <w:pgSz w:w="23036" w:h="31680"/>
          <w:pgMar w:top="1" w:right="0" w:bottom="1" w:left="6" w:header="0" w:footer="0" w:gutter="0"/>
          <w:cols w:space="720" w:num="1"/>
        </w:sectPr>
      </w:pPr>
    </w:p>
    <w:p w14:paraId="45DC88B6">
      <w:pPr>
        <w:spacing w:line="31665" w:lineRule="exact"/>
      </w:pPr>
      <w:r>
        <w:rPr>
          <w:position w:val="-633"/>
        </w:rPr>
        <w:drawing>
          <wp:inline distT="0" distB="0" distL="0" distR="0">
            <wp:extent cx="14623415" cy="2010727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210"/>
                    <a:stretch>
                      <a:fillRect/>
                    </a:stretch>
                  </pic:blipFill>
                  <pic:spPr>
                    <a:xfrm>
                      <a:off x="0" y="0"/>
                      <a:ext cx="14623446" cy="20107662"/>
                    </a:xfrm>
                    <a:prstGeom prst="rect">
                      <a:avLst/>
                    </a:prstGeom>
                  </pic:spPr>
                </pic:pic>
              </a:graphicData>
            </a:graphic>
          </wp:inline>
        </w:drawing>
      </w:r>
    </w:p>
    <w:p w14:paraId="7DF0D8B8">
      <w:pPr>
        <w:spacing w:line="31665" w:lineRule="exact"/>
        <w:sectPr>
          <w:pgSz w:w="23036" w:h="31680"/>
          <w:pgMar w:top="1" w:right="6" w:bottom="3" w:left="0" w:header="0" w:footer="0" w:gutter="0"/>
          <w:cols w:space="720" w:num="1"/>
        </w:sectPr>
      </w:pPr>
    </w:p>
    <w:p w14:paraId="6ED5100D">
      <w:pPr>
        <w:spacing w:line="286" w:lineRule="auto"/>
        <w:rPr>
          <w:rFonts w:ascii="Arial"/>
          <w:sz w:val="21"/>
        </w:rPr>
      </w:pPr>
    </w:p>
    <w:p w14:paraId="3CB832A2">
      <w:pPr>
        <w:spacing w:line="287" w:lineRule="auto"/>
        <w:rPr>
          <w:rFonts w:ascii="Arial"/>
          <w:sz w:val="21"/>
        </w:rPr>
      </w:pPr>
    </w:p>
    <w:p w14:paraId="146A9C18">
      <w:pPr>
        <w:spacing w:before="78" w:line="220" w:lineRule="auto"/>
        <w:ind w:left="4517"/>
        <w:outlineLvl w:val="0"/>
        <w:rPr>
          <w:rFonts w:ascii="宋体" w:hAnsi="宋体" w:eastAsia="宋体" w:cs="宋体"/>
          <w:sz w:val="24"/>
          <w:szCs w:val="24"/>
        </w:rPr>
      </w:pPr>
      <w:r>
        <w:rPr>
          <w:rFonts w:ascii="宋体" w:hAnsi="宋体" w:eastAsia="宋体" w:cs="宋体"/>
          <w:b/>
          <w:bCs/>
          <w:spacing w:val="-14"/>
          <w:sz w:val="24"/>
          <w:szCs w:val="24"/>
        </w:rPr>
        <w:t>现场照片</w:t>
      </w:r>
    </w:p>
    <w:p w14:paraId="60811D5A">
      <w:pPr>
        <w:spacing w:line="97" w:lineRule="exact"/>
      </w:pPr>
    </w:p>
    <w:tbl>
      <w:tblPr>
        <w:tblStyle w:val="5"/>
        <w:tblW w:w="990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53"/>
        <w:gridCol w:w="4954"/>
      </w:tblGrid>
      <w:tr w14:paraId="06295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5" w:hRule="atLeast"/>
        </w:trPr>
        <w:tc>
          <w:tcPr>
            <w:tcW w:w="4953" w:type="dxa"/>
            <w:vAlign w:val="top"/>
          </w:tcPr>
          <w:p w14:paraId="027DADDB">
            <w:pPr>
              <w:spacing w:before="4" w:line="3111" w:lineRule="exact"/>
              <w:ind w:firstLine="318"/>
            </w:pPr>
            <w:r>
              <w:rPr>
                <w:position w:val="-62"/>
              </w:rPr>
              <w:drawing>
                <wp:inline distT="0" distB="0" distL="0" distR="0">
                  <wp:extent cx="2734945" cy="197485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211"/>
                          <a:stretch>
                            <a:fillRect/>
                          </a:stretch>
                        </pic:blipFill>
                        <pic:spPr>
                          <a:xfrm>
                            <a:off x="0" y="0"/>
                            <a:ext cx="2735579" cy="1975358"/>
                          </a:xfrm>
                          <a:prstGeom prst="rect">
                            <a:avLst/>
                          </a:prstGeom>
                        </pic:spPr>
                      </pic:pic>
                    </a:graphicData>
                  </a:graphic>
                </wp:inline>
              </w:drawing>
            </w:r>
          </w:p>
        </w:tc>
        <w:tc>
          <w:tcPr>
            <w:tcW w:w="4954" w:type="dxa"/>
            <w:vAlign w:val="top"/>
          </w:tcPr>
          <w:p w14:paraId="214CA366">
            <w:pPr>
              <w:spacing w:line="3115" w:lineRule="exact"/>
              <w:ind w:firstLine="391"/>
            </w:pPr>
            <w:r>
              <w:rPr>
                <w:position w:val="-62"/>
              </w:rPr>
              <w:drawing>
                <wp:inline distT="0" distB="0" distL="0" distR="0">
                  <wp:extent cx="2645410" cy="197802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212"/>
                          <a:stretch>
                            <a:fillRect/>
                          </a:stretch>
                        </pic:blipFill>
                        <pic:spPr>
                          <a:xfrm>
                            <a:off x="0" y="0"/>
                            <a:ext cx="2645663" cy="1978025"/>
                          </a:xfrm>
                          <a:prstGeom prst="rect">
                            <a:avLst/>
                          </a:prstGeom>
                        </pic:spPr>
                      </pic:pic>
                    </a:graphicData>
                  </a:graphic>
                </wp:inline>
              </w:drawing>
            </w:r>
          </w:p>
        </w:tc>
      </w:tr>
      <w:tr w14:paraId="0E421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4953" w:type="dxa"/>
            <w:vAlign w:val="top"/>
          </w:tcPr>
          <w:p w14:paraId="0222D8CB">
            <w:pPr>
              <w:pStyle w:val="6"/>
              <w:spacing w:before="29" w:line="216" w:lineRule="auto"/>
              <w:ind w:left="1130"/>
            </w:pPr>
            <w:r>
              <w:rPr>
                <w:spacing w:val="4"/>
              </w:rPr>
              <w:t>拟建</w:t>
            </w:r>
            <w:r>
              <w:rPr>
                <w:spacing w:val="-15"/>
              </w:rPr>
              <w:t xml:space="preserve"> </w:t>
            </w:r>
            <w:r>
              <w:rPr>
                <w:spacing w:val="4"/>
              </w:rPr>
              <w:t>110</w:t>
            </w:r>
            <w:r>
              <w:t>kV</w:t>
            </w:r>
            <w:r>
              <w:rPr>
                <w:spacing w:val="-42"/>
              </w:rPr>
              <w:t xml:space="preserve"> </w:t>
            </w:r>
            <w:r>
              <w:rPr>
                <w:spacing w:val="4"/>
              </w:rPr>
              <w:t>松山变电站站址处</w:t>
            </w:r>
          </w:p>
        </w:tc>
        <w:tc>
          <w:tcPr>
            <w:tcW w:w="4954" w:type="dxa"/>
            <w:vAlign w:val="top"/>
          </w:tcPr>
          <w:p w14:paraId="38E969F4">
            <w:pPr>
              <w:pStyle w:val="6"/>
              <w:spacing w:before="29" w:line="216" w:lineRule="auto"/>
              <w:ind w:left="907"/>
            </w:pPr>
            <w:r>
              <w:rPr>
                <w:spacing w:val="8"/>
              </w:rPr>
              <w:t>变电站东侧（依托已建乡村公路）</w:t>
            </w:r>
          </w:p>
        </w:tc>
      </w:tr>
      <w:tr w14:paraId="43740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6" w:hRule="atLeast"/>
        </w:trPr>
        <w:tc>
          <w:tcPr>
            <w:tcW w:w="4953" w:type="dxa"/>
            <w:vAlign w:val="top"/>
          </w:tcPr>
          <w:p w14:paraId="62053A51">
            <w:pPr>
              <w:spacing w:before="25" w:line="3060" w:lineRule="exact"/>
              <w:ind w:firstLine="205"/>
            </w:pPr>
            <w:r>
              <w:rPr>
                <w:position w:val="-61"/>
              </w:rPr>
              <w:drawing>
                <wp:inline distT="0" distB="0" distL="0" distR="0">
                  <wp:extent cx="2880360" cy="194310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13"/>
                          <a:stretch>
                            <a:fillRect/>
                          </a:stretch>
                        </pic:blipFill>
                        <pic:spPr>
                          <a:xfrm>
                            <a:off x="0" y="0"/>
                            <a:ext cx="2880360" cy="1943100"/>
                          </a:xfrm>
                          <a:prstGeom prst="rect">
                            <a:avLst/>
                          </a:prstGeom>
                        </pic:spPr>
                      </pic:pic>
                    </a:graphicData>
                  </a:graphic>
                </wp:inline>
              </w:drawing>
            </w:r>
          </w:p>
        </w:tc>
        <w:tc>
          <w:tcPr>
            <w:tcW w:w="4954" w:type="dxa"/>
            <w:vAlign w:val="top"/>
          </w:tcPr>
          <w:p w14:paraId="1054B8D2">
            <w:pPr>
              <w:spacing w:line="3105" w:lineRule="exact"/>
              <w:ind w:firstLine="398"/>
            </w:pPr>
            <w:r>
              <w:rPr>
                <w:position w:val="-62"/>
              </w:rPr>
              <w:drawing>
                <wp:inline distT="0" distB="0" distL="0" distR="0">
                  <wp:extent cx="2639060" cy="197167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14"/>
                          <a:stretch>
                            <a:fillRect/>
                          </a:stretch>
                        </pic:blipFill>
                        <pic:spPr>
                          <a:xfrm>
                            <a:off x="0" y="0"/>
                            <a:ext cx="2639567" cy="1972309"/>
                          </a:xfrm>
                          <a:prstGeom prst="rect">
                            <a:avLst/>
                          </a:prstGeom>
                        </pic:spPr>
                      </pic:pic>
                    </a:graphicData>
                  </a:graphic>
                </wp:inline>
              </w:drawing>
            </w:r>
          </w:p>
        </w:tc>
      </w:tr>
      <w:tr w14:paraId="7862D3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 w:hRule="atLeast"/>
        </w:trPr>
        <w:tc>
          <w:tcPr>
            <w:tcW w:w="4953" w:type="dxa"/>
            <w:vAlign w:val="top"/>
          </w:tcPr>
          <w:p w14:paraId="5E929EAE">
            <w:pPr>
              <w:pStyle w:val="6"/>
              <w:spacing w:before="31" w:line="213" w:lineRule="auto"/>
              <w:ind w:left="909"/>
            </w:pPr>
            <w:r>
              <w:rPr>
                <w:spacing w:val="9"/>
              </w:rPr>
              <w:t>线路沿线主要为旱地，种植农作物</w:t>
            </w:r>
          </w:p>
        </w:tc>
        <w:tc>
          <w:tcPr>
            <w:tcW w:w="4954" w:type="dxa"/>
            <w:vAlign w:val="top"/>
          </w:tcPr>
          <w:p w14:paraId="0FBB8101">
            <w:pPr>
              <w:pStyle w:val="6"/>
              <w:spacing w:before="31" w:line="213" w:lineRule="auto"/>
              <w:ind w:left="1330"/>
            </w:pPr>
            <w:r>
              <w:rPr>
                <w:spacing w:val="7"/>
              </w:rPr>
              <w:t>线路沿线植被（桉树林）</w:t>
            </w:r>
          </w:p>
        </w:tc>
      </w:tr>
      <w:tr w14:paraId="14457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7" w:hRule="atLeast"/>
        </w:trPr>
        <w:tc>
          <w:tcPr>
            <w:tcW w:w="4953" w:type="dxa"/>
            <w:vAlign w:val="top"/>
          </w:tcPr>
          <w:p w14:paraId="7383556A">
            <w:pPr>
              <w:spacing w:line="3107" w:lineRule="exact"/>
              <w:ind w:firstLine="395"/>
            </w:pPr>
            <w:r>
              <w:rPr>
                <w:position w:val="-62"/>
              </w:rPr>
              <w:drawing>
                <wp:inline distT="0" distB="0" distL="0" distR="0">
                  <wp:extent cx="2640965" cy="197294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15"/>
                          <a:stretch>
                            <a:fillRect/>
                          </a:stretch>
                        </pic:blipFill>
                        <pic:spPr>
                          <a:xfrm>
                            <a:off x="0" y="0"/>
                            <a:ext cx="2641091" cy="1972945"/>
                          </a:xfrm>
                          <a:prstGeom prst="rect">
                            <a:avLst/>
                          </a:prstGeom>
                        </pic:spPr>
                      </pic:pic>
                    </a:graphicData>
                  </a:graphic>
                </wp:inline>
              </w:drawing>
            </w:r>
          </w:p>
        </w:tc>
        <w:tc>
          <w:tcPr>
            <w:tcW w:w="4954" w:type="dxa"/>
            <w:vAlign w:val="top"/>
          </w:tcPr>
          <w:p w14:paraId="4E1D78AC">
            <w:pPr>
              <w:spacing w:line="3107" w:lineRule="exact"/>
              <w:ind w:firstLine="405"/>
            </w:pPr>
            <w:r>
              <w:rPr>
                <w:position w:val="-62"/>
              </w:rPr>
              <w:drawing>
                <wp:inline distT="0" distB="0" distL="0" distR="0">
                  <wp:extent cx="2628900" cy="197294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216"/>
                          <a:stretch>
                            <a:fillRect/>
                          </a:stretch>
                        </pic:blipFill>
                        <pic:spPr>
                          <a:xfrm>
                            <a:off x="0" y="0"/>
                            <a:ext cx="2628900" cy="1972945"/>
                          </a:xfrm>
                          <a:prstGeom prst="rect">
                            <a:avLst/>
                          </a:prstGeom>
                        </pic:spPr>
                      </pic:pic>
                    </a:graphicData>
                  </a:graphic>
                </wp:inline>
              </w:drawing>
            </w:r>
          </w:p>
        </w:tc>
      </w:tr>
      <w:tr w14:paraId="1B3F9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 w:hRule="atLeast"/>
        </w:trPr>
        <w:tc>
          <w:tcPr>
            <w:tcW w:w="4953" w:type="dxa"/>
            <w:vAlign w:val="top"/>
          </w:tcPr>
          <w:p w14:paraId="0DEB2B65">
            <w:pPr>
              <w:pStyle w:val="6"/>
              <w:spacing w:before="32" w:line="212" w:lineRule="auto"/>
              <w:ind w:left="1565"/>
            </w:pPr>
            <w:r>
              <w:rPr>
                <w:spacing w:val="6"/>
              </w:rPr>
              <w:t>220</w:t>
            </w:r>
            <w:r>
              <w:t>kV</w:t>
            </w:r>
            <w:r>
              <w:rPr>
                <w:spacing w:val="-30"/>
              </w:rPr>
              <w:t xml:space="preserve"> </w:t>
            </w:r>
            <w:r>
              <w:rPr>
                <w:spacing w:val="6"/>
              </w:rPr>
              <w:t>芳华变站址处</w:t>
            </w:r>
          </w:p>
        </w:tc>
        <w:tc>
          <w:tcPr>
            <w:tcW w:w="4954" w:type="dxa"/>
            <w:vAlign w:val="top"/>
          </w:tcPr>
          <w:p w14:paraId="361E01A1">
            <w:pPr>
              <w:pStyle w:val="6"/>
              <w:spacing w:before="32" w:line="212" w:lineRule="auto"/>
              <w:ind w:left="899"/>
            </w:pPr>
            <w:r>
              <w:rPr>
                <w:rFonts w:ascii="Times New Roman" w:hAnsi="Times New Roman" w:eastAsia="Times New Roman" w:cs="Times New Roman"/>
              </w:rPr>
              <w:t>AZ</w:t>
            </w:r>
            <w:r>
              <w:rPr>
                <w:rFonts w:ascii="Times New Roman" w:hAnsi="Times New Roman" w:eastAsia="Times New Roman" w:cs="Times New Roman"/>
                <w:spacing w:val="10"/>
              </w:rPr>
              <w:t>15</w:t>
            </w:r>
            <w:r>
              <w:rPr>
                <w:rFonts w:ascii="Times New Roman" w:hAnsi="Times New Roman" w:eastAsia="Times New Roman" w:cs="Times New Roman"/>
              </w:rPr>
              <w:t>GG</w:t>
            </w:r>
            <w:r>
              <w:rPr>
                <w:rFonts w:ascii="Times New Roman" w:hAnsi="Times New Roman" w:eastAsia="Times New Roman" w:cs="Times New Roman"/>
                <w:spacing w:val="10"/>
              </w:rPr>
              <w:t xml:space="preserve"> </w:t>
            </w:r>
            <w:r>
              <w:rPr>
                <w:spacing w:val="10"/>
              </w:rPr>
              <w:t>塔基东南侧新华村居民点</w:t>
            </w:r>
          </w:p>
        </w:tc>
      </w:tr>
      <w:tr w14:paraId="470402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7" w:hRule="atLeast"/>
        </w:trPr>
        <w:tc>
          <w:tcPr>
            <w:tcW w:w="4953" w:type="dxa"/>
            <w:vAlign w:val="top"/>
          </w:tcPr>
          <w:p w14:paraId="2AA3CD4D">
            <w:pPr>
              <w:spacing w:before="1" w:line="3106" w:lineRule="exact"/>
              <w:ind w:firstLine="376"/>
            </w:pPr>
            <w:r>
              <w:rPr>
                <w:position w:val="-62"/>
              </w:rPr>
              <w:drawing>
                <wp:inline distT="0" distB="0" distL="0" distR="0">
                  <wp:extent cx="2663825" cy="197167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17"/>
                          <a:stretch>
                            <a:fillRect/>
                          </a:stretch>
                        </pic:blipFill>
                        <pic:spPr>
                          <a:xfrm>
                            <a:off x="0" y="0"/>
                            <a:ext cx="2663952" cy="1971930"/>
                          </a:xfrm>
                          <a:prstGeom prst="rect">
                            <a:avLst/>
                          </a:prstGeom>
                        </pic:spPr>
                      </pic:pic>
                    </a:graphicData>
                  </a:graphic>
                </wp:inline>
              </w:drawing>
            </w:r>
          </w:p>
        </w:tc>
        <w:tc>
          <w:tcPr>
            <w:tcW w:w="4954" w:type="dxa"/>
            <w:vAlign w:val="top"/>
          </w:tcPr>
          <w:p w14:paraId="4A6A8CD1">
            <w:pPr>
              <w:spacing w:before="1" w:line="3106" w:lineRule="exact"/>
              <w:ind w:firstLine="395"/>
            </w:pPr>
            <w:r>
              <w:rPr>
                <w:position w:val="-62"/>
              </w:rPr>
              <w:drawing>
                <wp:inline distT="0" distB="0" distL="0" distR="0">
                  <wp:extent cx="2640965" cy="197167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218"/>
                          <a:stretch>
                            <a:fillRect/>
                          </a:stretch>
                        </pic:blipFill>
                        <pic:spPr>
                          <a:xfrm>
                            <a:off x="0" y="0"/>
                            <a:ext cx="2641091" cy="1971930"/>
                          </a:xfrm>
                          <a:prstGeom prst="rect">
                            <a:avLst/>
                          </a:prstGeom>
                        </pic:spPr>
                      </pic:pic>
                    </a:graphicData>
                  </a:graphic>
                </wp:inline>
              </w:drawing>
            </w:r>
          </w:p>
        </w:tc>
      </w:tr>
      <w:tr w14:paraId="69A8E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953" w:type="dxa"/>
            <w:vAlign w:val="top"/>
          </w:tcPr>
          <w:p w14:paraId="1C69B920">
            <w:pPr>
              <w:pStyle w:val="6"/>
              <w:spacing w:before="34" w:line="213" w:lineRule="auto"/>
              <w:ind w:left="905"/>
            </w:pPr>
            <w:r>
              <w:rPr>
                <w:rFonts w:ascii="Times New Roman" w:hAnsi="Times New Roman" w:eastAsia="Times New Roman" w:cs="Times New Roman"/>
              </w:rPr>
              <w:t>BJ</w:t>
            </w:r>
            <w:r>
              <w:rPr>
                <w:rFonts w:ascii="Times New Roman" w:hAnsi="Times New Roman" w:eastAsia="Times New Roman" w:cs="Times New Roman"/>
                <w:spacing w:val="11"/>
              </w:rPr>
              <w:t>6</w:t>
            </w:r>
            <w:r>
              <w:rPr>
                <w:rFonts w:ascii="Times New Roman" w:hAnsi="Times New Roman" w:eastAsia="Times New Roman" w:cs="Times New Roman"/>
              </w:rPr>
              <w:t>GGG</w:t>
            </w:r>
            <w:r>
              <w:rPr>
                <w:rFonts w:ascii="Times New Roman" w:hAnsi="Times New Roman" w:eastAsia="Times New Roman" w:cs="Times New Roman"/>
                <w:spacing w:val="11"/>
              </w:rPr>
              <w:t xml:space="preserve"> </w:t>
            </w:r>
            <w:r>
              <w:rPr>
                <w:spacing w:val="11"/>
              </w:rPr>
              <w:t>塔基西南侧菜地看护用房</w:t>
            </w:r>
          </w:p>
        </w:tc>
        <w:tc>
          <w:tcPr>
            <w:tcW w:w="4954" w:type="dxa"/>
            <w:vAlign w:val="top"/>
          </w:tcPr>
          <w:p w14:paraId="4D6EC6EE">
            <w:pPr>
              <w:pStyle w:val="6"/>
              <w:spacing w:before="34" w:line="213" w:lineRule="auto"/>
              <w:ind w:left="1548"/>
            </w:pPr>
            <w:r>
              <w:rPr>
                <w:spacing w:val="6"/>
              </w:rPr>
              <w:t>工程师现场踏勘照片</w:t>
            </w:r>
          </w:p>
        </w:tc>
      </w:tr>
    </w:tbl>
    <w:p w14:paraId="76294A76">
      <w:pPr>
        <w:rPr>
          <w:rFonts w:ascii="Arial"/>
          <w:sz w:val="21"/>
        </w:rPr>
      </w:pPr>
    </w:p>
    <w:p w14:paraId="11DC1335">
      <w:pPr>
        <w:rPr>
          <w:rFonts w:ascii="Arial" w:hAnsi="Arial" w:eastAsia="Arial" w:cs="Arial"/>
          <w:sz w:val="21"/>
          <w:szCs w:val="21"/>
        </w:rPr>
        <w:sectPr>
          <w:footerReference r:id="rId7" w:type="default"/>
          <w:pgSz w:w="11906" w:h="16839"/>
          <w:pgMar w:top="400" w:right="996" w:bottom="897" w:left="996" w:header="0" w:footer="737" w:gutter="0"/>
          <w:cols w:space="720" w:num="1"/>
        </w:sectPr>
      </w:pPr>
    </w:p>
    <w:p w14:paraId="3D9604DE">
      <w:pPr>
        <w:spacing w:line="278" w:lineRule="auto"/>
        <w:rPr>
          <w:rFonts w:ascii="Arial"/>
          <w:sz w:val="21"/>
        </w:rPr>
      </w:pPr>
    </w:p>
    <w:p w14:paraId="3A6EAF68">
      <w:pPr>
        <w:spacing w:line="278" w:lineRule="auto"/>
        <w:rPr>
          <w:rFonts w:ascii="Arial"/>
          <w:sz w:val="21"/>
        </w:rPr>
      </w:pPr>
    </w:p>
    <w:p w14:paraId="41B3B210">
      <w:pPr>
        <w:spacing w:line="279" w:lineRule="auto"/>
        <w:rPr>
          <w:rFonts w:ascii="Arial"/>
          <w:sz w:val="21"/>
        </w:rPr>
      </w:pPr>
    </w:p>
    <w:p w14:paraId="17920DD2">
      <w:pPr>
        <w:spacing w:line="279" w:lineRule="auto"/>
        <w:rPr>
          <w:rFonts w:ascii="Arial"/>
          <w:sz w:val="21"/>
        </w:rPr>
      </w:pPr>
    </w:p>
    <w:p w14:paraId="7D7E520A">
      <w:pPr>
        <w:spacing w:line="279" w:lineRule="auto"/>
        <w:rPr>
          <w:rFonts w:ascii="Arial"/>
          <w:sz w:val="21"/>
        </w:rPr>
      </w:pPr>
    </w:p>
    <w:sdt>
      <w:sdtPr>
        <w:rPr>
          <w:rFonts w:ascii="宋体" w:hAnsi="宋体" w:eastAsia="宋体" w:cs="宋体"/>
          <w:sz w:val="30"/>
          <w:szCs w:val="30"/>
        </w:rPr>
        <w:id w:val="147468120"/>
        <w:docPartObj>
          <w:docPartGallery w:val="Table of Contents"/>
          <w:docPartUnique/>
        </w:docPartObj>
      </w:sdtPr>
      <w:sdtEndPr>
        <w:rPr>
          <w:rFonts w:ascii="Times New Roman" w:hAnsi="Times New Roman" w:eastAsia="Times New Roman" w:cs="Times New Roman"/>
          <w:sz w:val="28"/>
          <w:szCs w:val="28"/>
        </w:rPr>
      </w:sdtEndPr>
      <w:sdtContent>
        <w:p w14:paraId="33F6D0E5">
          <w:pPr>
            <w:pStyle w:val="2"/>
            <w:spacing w:before="97" w:line="221" w:lineRule="auto"/>
            <w:ind w:left="3860"/>
            <w:rPr>
              <w:sz w:val="30"/>
              <w:szCs w:val="30"/>
            </w:rPr>
          </w:pPr>
          <w:r>
            <w:rPr>
              <w:b/>
              <w:bCs/>
              <w:spacing w:val="-38"/>
              <w:sz w:val="30"/>
              <w:szCs w:val="30"/>
            </w:rPr>
            <w:t>目</w:t>
          </w:r>
          <w:r>
            <w:rPr>
              <w:spacing w:val="14"/>
              <w:sz w:val="30"/>
              <w:szCs w:val="30"/>
            </w:rPr>
            <w:t xml:space="preserve"> </w:t>
          </w:r>
          <w:r>
            <w:rPr>
              <w:b/>
              <w:bCs/>
              <w:spacing w:val="-38"/>
              <w:sz w:val="30"/>
              <w:szCs w:val="30"/>
            </w:rPr>
            <w:t>录</w:t>
          </w:r>
        </w:p>
        <w:p w14:paraId="1F999CCB">
          <w:pPr>
            <w:pStyle w:val="2"/>
            <w:tabs>
              <w:tab w:val="right" w:leader="dot" w:pos="8859"/>
            </w:tabs>
            <w:spacing w:before="220" w:line="186" w:lineRule="auto"/>
            <w:ind w:left="29"/>
            <w:rPr>
              <w:rFonts w:ascii="Times New Roman" w:hAnsi="Times New Roman" w:eastAsia="Times New Roman" w:cs="Times New Roman"/>
            </w:rPr>
          </w:pPr>
          <w:r>
            <w:fldChar w:fldCharType="begin"/>
          </w:r>
          <w:r>
            <w:instrText xml:space="preserve"> HYPERLINK \l "bookmark1" </w:instrText>
          </w:r>
          <w:r>
            <w:fldChar w:fldCharType="separate"/>
          </w:r>
          <w:r>
            <w:rPr>
              <w:spacing w:val="-2"/>
            </w:rPr>
            <w:t>一、建设项目基本情况</w:t>
          </w:r>
          <w:r>
            <w:rPr>
              <w:spacing w:val="-83"/>
            </w:rPr>
            <w:t xml:space="preserve"> </w:t>
          </w:r>
          <w:r>
            <w:tab/>
          </w:r>
          <w:r>
            <w:rPr>
              <w:spacing w:val="-103"/>
            </w:rPr>
            <w:t xml:space="preserve"> </w:t>
          </w:r>
          <w:r>
            <w:rPr>
              <w:rFonts w:ascii="Times New Roman" w:hAnsi="Times New Roman" w:eastAsia="Times New Roman" w:cs="Times New Roman"/>
              <w:spacing w:val="-33"/>
            </w:rPr>
            <w:t>1</w:t>
          </w:r>
          <w:r>
            <w:rPr>
              <w:rFonts w:ascii="Times New Roman" w:hAnsi="Times New Roman" w:eastAsia="Times New Roman" w:cs="Times New Roman"/>
              <w:spacing w:val="-33"/>
            </w:rPr>
            <w:fldChar w:fldCharType="end"/>
          </w:r>
        </w:p>
        <w:p w14:paraId="45644CF9">
          <w:pPr>
            <w:pStyle w:val="2"/>
            <w:tabs>
              <w:tab w:val="right" w:leader="dot" w:pos="8860"/>
            </w:tabs>
            <w:spacing w:before="263" w:line="185" w:lineRule="auto"/>
            <w:ind w:left="29"/>
            <w:rPr>
              <w:rFonts w:ascii="Times New Roman" w:hAnsi="Times New Roman" w:eastAsia="Times New Roman" w:cs="Times New Roman"/>
            </w:rPr>
          </w:pPr>
          <w:r>
            <w:fldChar w:fldCharType="begin"/>
          </w:r>
          <w:r>
            <w:instrText xml:space="preserve"> HYPERLINK \l "bookmark2" </w:instrText>
          </w:r>
          <w:r>
            <w:fldChar w:fldCharType="separate"/>
          </w:r>
          <w:r>
            <w:rPr>
              <w:spacing w:val="-3"/>
            </w:rPr>
            <w:t>二、建设内容</w:t>
          </w:r>
          <w:r>
            <w:rPr>
              <w:spacing w:val="-85"/>
            </w:rPr>
            <w:t xml:space="preserve"> </w:t>
          </w:r>
          <w:r>
            <w:tab/>
          </w:r>
          <w:r>
            <w:rPr>
              <w:rFonts w:ascii="Times New Roman" w:hAnsi="Times New Roman" w:eastAsia="Times New Roman" w:cs="Times New Roman"/>
              <w:spacing w:val="11"/>
            </w:rPr>
            <w:t>29</w:t>
          </w:r>
          <w:r>
            <w:rPr>
              <w:rFonts w:ascii="Times New Roman" w:hAnsi="Times New Roman" w:eastAsia="Times New Roman" w:cs="Times New Roman"/>
              <w:spacing w:val="11"/>
            </w:rPr>
            <w:fldChar w:fldCharType="end"/>
          </w:r>
        </w:p>
        <w:p w14:paraId="4AA8B83C">
          <w:pPr>
            <w:pStyle w:val="2"/>
            <w:tabs>
              <w:tab w:val="right" w:leader="dot" w:pos="8860"/>
            </w:tabs>
            <w:spacing w:before="263" w:line="186" w:lineRule="auto"/>
            <w:ind w:left="24"/>
            <w:rPr>
              <w:rFonts w:ascii="Times New Roman" w:hAnsi="Times New Roman" w:eastAsia="Times New Roman" w:cs="Times New Roman"/>
            </w:rPr>
          </w:pPr>
          <w:r>
            <w:fldChar w:fldCharType="begin"/>
          </w:r>
          <w:r>
            <w:instrText xml:space="preserve"> HYPERLINK \l "bookmark3" </w:instrText>
          </w:r>
          <w:r>
            <w:fldChar w:fldCharType="separate"/>
          </w:r>
          <w:r>
            <w:rPr>
              <w:spacing w:val="-1"/>
            </w:rPr>
            <w:t>三、生态环境现状、保护目标及评价标准</w:t>
          </w:r>
          <w:r>
            <w:rPr>
              <w:spacing w:val="-81"/>
            </w:rPr>
            <w:t xml:space="preserve"> </w:t>
          </w:r>
          <w:r>
            <w:tab/>
          </w:r>
          <w:r>
            <w:rPr>
              <w:spacing w:val="-87"/>
            </w:rPr>
            <w:t xml:space="preserve"> </w:t>
          </w:r>
          <w:r>
            <w:rPr>
              <w:rFonts w:ascii="Times New Roman" w:hAnsi="Times New Roman" w:eastAsia="Times New Roman" w:cs="Times New Roman"/>
              <w:spacing w:val="-5"/>
            </w:rPr>
            <w:t>60</w:t>
          </w:r>
          <w:r>
            <w:rPr>
              <w:rFonts w:ascii="Times New Roman" w:hAnsi="Times New Roman" w:eastAsia="Times New Roman" w:cs="Times New Roman"/>
              <w:spacing w:val="-5"/>
            </w:rPr>
            <w:fldChar w:fldCharType="end"/>
          </w:r>
        </w:p>
        <w:p w14:paraId="0E1A5A83">
          <w:pPr>
            <w:pStyle w:val="2"/>
            <w:tabs>
              <w:tab w:val="right" w:leader="dot" w:pos="8860"/>
            </w:tabs>
            <w:spacing w:before="262" w:line="186" w:lineRule="auto"/>
            <w:ind w:left="51"/>
            <w:rPr>
              <w:rFonts w:ascii="Times New Roman" w:hAnsi="Times New Roman" w:eastAsia="Times New Roman" w:cs="Times New Roman"/>
            </w:rPr>
          </w:pPr>
          <w:r>
            <w:fldChar w:fldCharType="begin"/>
          </w:r>
          <w:r>
            <w:instrText xml:space="preserve"> HYPERLINK \l "bookmark4" </w:instrText>
          </w:r>
          <w:r>
            <w:fldChar w:fldCharType="separate"/>
          </w:r>
          <w:r>
            <w:rPr>
              <w:spacing w:val="-4"/>
            </w:rPr>
            <w:t>四、生态环境影响分析</w:t>
          </w:r>
          <w:r>
            <w:rPr>
              <w:spacing w:val="-85"/>
            </w:rPr>
            <w:t xml:space="preserve"> </w:t>
          </w:r>
          <w:r>
            <w:tab/>
          </w:r>
          <w:r>
            <w:rPr>
              <w:rFonts w:ascii="Times New Roman" w:hAnsi="Times New Roman" w:eastAsia="Times New Roman" w:cs="Times New Roman"/>
              <w:spacing w:val="2"/>
            </w:rPr>
            <w:t>84</w:t>
          </w:r>
          <w:r>
            <w:rPr>
              <w:rFonts w:ascii="Times New Roman" w:hAnsi="Times New Roman" w:eastAsia="Times New Roman" w:cs="Times New Roman"/>
              <w:spacing w:val="2"/>
            </w:rPr>
            <w:fldChar w:fldCharType="end"/>
          </w:r>
        </w:p>
        <w:p w14:paraId="7A024AA7">
          <w:pPr>
            <w:pStyle w:val="2"/>
            <w:tabs>
              <w:tab w:val="right" w:leader="dot" w:pos="8864"/>
            </w:tabs>
            <w:spacing w:before="263" w:line="185" w:lineRule="auto"/>
            <w:ind w:left="29"/>
            <w:rPr>
              <w:rFonts w:ascii="Times New Roman" w:hAnsi="Times New Roman" w:eastAsia="Times New Roman" w:cs="Times New Roman"/>
            </w:rPr>
          </w:pPr>
          <w:r>
            <w:fldChar w:fldCharType="begin"/>
          </w:r>
          <w:r>
            <w:instrText xml:space="preserve"> HYPERLINK \l "bookmark5" </w:instrText>
          </w:r>
          <w:r>
            <w:fldChar w:fldCharType="separate"/>
          </w:r>
          <w:r>
            <w:rPr>
              <w:spacing w:val="-2"/>
            </w:rPr>
            <w:t>五、主要生态环境保护措施</w:t>
          </w:r>
          <w:r>
            <w:rPr>
              <w:spacing w:val="-79"/>
            </w:rPr>
            <w:t xml:space="preserve"> </w:t>
          </w:r>
          <w:r>
            <w:tab/>
          </w:r>
          <w:r>
            <w:rPr>
              <w:spacing w:val="-103"/>
            </w:rPr>
            <w:t xml:space="preserve"> </w:t>
          </w:r>
          <w:r>
            <w:rPr>
              <w:rFonts w:ascii="Times New Roman" w:hAnsi="Times New Roman" w:eastAsia="Times New Roman" w:cs="Times New Roman"/>
              <w:spacing w:val="-13"/>
            </w:rPr>
            <w:t>117</w:t>
          </w:r>
          <w:r>
            <w:rPr>
              <w:rFonts w:ascii="Times New Roman" w:hAnsi="Times New Roman" w:eastAsia="Times New Roman" w:cs="Times New Roman"/>
              <w:spacing w:val="-13"/>
            </w:rPr>
            <w:fldChar w:fldCharType="end"/>
          </w:r>
        </w:p>
        <w:p w14:paraId="151D82EE">
          <w:pPr>
            <w:pStyle w:val="2"/>
            <w:tabs>
              <w:tab w:val="right" w:leader="dot" w:pos="8860"/>
            </w:tabs>
            <w:spacing w:before="261" w:line="186" w:lineRule="auto"/>
            <w:ind w:left="27"/>
            <w:rPr>
              <w:rFonts w:ascii="Times New Roman" w:hAnsi="Times New Roman" w:eastAsia="Times New Roman" w:cs="Times New Roman"/>
            </w:rPr>
          </w:pPr>
          <w:r>
            <w:fldChar w:fldCharType="begin"/>
          </w:r>
          <w:r>
            <w:instrText xml:space="preserve"> HYPERLINK \l "bookmark6" </w:instrText>
          </w:r>
          <w:r>
            <w:fldChar w:fldCharType="separate"/>
          </w:r>
          <w:r>
            <w:rPr>
              <w:spacing w:val="-1"/>
            </w:rPr>
            <w:t>六、生态环境保护措施监督检查清单</w:t>
          </w:r>
          <w:r>
            <w:rPr>
              <w:spacing w:val="-84"/>
            </w:rPr>
            <w:t xml:space="preserve"> </w:t>
          </w:r>
          <w:r>
            <w:tab/>
          </w:r>
          <w:r>
            <w:rPr>
              <w:spacing w:val="-59"/>
            </w:rPr>
            <w:t xml:space="preserve"> </w:t>
          </w:r>
          <w:r>
            <w:rPr>
              <w:rFonts w:ascii="Times New Roman" w:hAnsi="Times New Roman" w:eastAsia="Times New Roman" w:cs="Times New Roman"/>
              <w:spacing w:val="-11"/>
            </w:rPr>
            <w:t>131</w:t>
          </w:r>
          <w:r>
            <w:rPr>
              <w:rFonts w:ascii="Times New Roman" w:hAnsi="Times New Roman" w:eastAsia="Times New Roman" w:cs="Times New Roman"/>
              <w:spacing w:val="-11"/>
            </w:rPr>
            <w:fldChar w:fldCharType="end"/>
          </w:r>
        </w:p>
        <w:p w14:paraId="490F24CA">
          <w:pPr>
            <w:pStyle w:val="2"/>
            <w:tabs>
              <w:tab w:val="right" w:leader="dot" w:pos="8860"/>
            </w:tabs>
            <w:spacing w:before="266" w:line="210" w:lineRule="auto"/>
            <w:ind w:left="23"/>
            <w:rPr>
              <w:rFonts w:ascii="Times New Roman" w:hAnsi="Times New Roman" w:eastAsia="Times New Roman" w:cs="Times New Roman"/>
            </w:rPr>
          </w:pPr>
          <w:r>
            <w:fldChar w:fldCharType="begin"/>
          </w:r>
          <w:r>
            <w:instrText xml:space="preserve"> HYPERLINK \l "bookmark7" </w:instrText>
          </w:r>
          <w:r>
            <w:fldChar w:fldCharType="separate"/>
          </w:r>
          <w:r>
            <w:rPr>
              <w:spacing w:val="-3"/>
            </w:rPr>
            <w:t>七、结论</w:t>
          </w:r>
          <w:r>
            <w:rPr>
              <w:spacing w:val="-85"/>
            </w:rPr>
            <w:t xml:space="preserve"> </w:t>
          </w:r>
          <w:r>
            <w:tab/>
          </w:r>
          <w:r>
            <w:rPr>
              <w:spacing w:val="-80"/>
            </w:rPr>
            <w:t xml:space="preserve"> </w:t>
          </w:r>
          <w:r>
            <w:rPr>
              <w:rFonts w:ascii="Times New Roman" w:hAnsi="Times New Roman" w:eastAsia="Times New Roman" w:cs="Times New Roman"/>
              <w:spacing w:val="-11"/>
            </w:rPr>
            <w:t>139</w:t>
          </w:r>
          <w:r>
            <w:rPr>
              <w:rFonts w:ascii="Times New Roman" w:hAnsi="Times New Roman" w:eastAsia="Times New Roman" w:cs="Times New Roman"/>
              <w:spacing w:val="-11"/>
            </w:rPr>
            <w:fldChar w:fldCharType="end"/>
          </w:r>
        </w:p>
      </w:sdtContent>
    </w:sdt>
    <w:p w14:paraId="725C263B">
      <w:pPr>
        <w:pStyle w:val="2"/>
        <w:spacing w:before="220" w:line="218" w:lineRule="auto"/>
        <w:ind w:left="51"/>
        <w:rPr>
          <w:sz w:val="24"/>
          <w:szCs w:val="24"/>
        </w:rPr>
      </w:pPr>
      <w:r>
        <w:rPr>
          <w:spacing w:val="-4"/>
          <w:sz w:val="24"/>
          <w:szCs w:val="24"/>
        </w:rPr>
        <w:t>电磁环境影响专题评价报告</w:t>
      </w:r>
    </w:p>
    <w:p w14:paraId="33851541">
      <w:pPr>
        <w:spacing w:line="218" w:lineRule="auto"/>
        <w:rPr>
          <w:sz w:val="24"/>
          <w:szCs w:val="24"/>
        </w:rPr>
        <w:sectPr>
          <w:footerReference r:id="rId8" w:type="default"/>
          <w:pgSz w:w="11907" w:h="16840"/>
          <w:pgMar w:top="400" w:right="1256" w:bottom="1237" w:left="1786" w:header="0" w:footer="1077" w:gutter="0"/>
          <w:cols w:space="720" w:num="1"/>
        </w:sectPr>
      </w:pPr>
    </w:p>
    <w:p w14:paraId="62B33550">
      <w:pPr>
        <w:spacing w:line="245" w:lineRule="auto"/>
        <w:rPr>
          <w:rFonts w:ascii="Arial"/>
          <w:sz w:val="21"/>
        </w:rPr>
      </w:pPr>
    </w:p>
    <w:p w14:paraId="4C9B44B3">
      <w:pPr>
        <w:spacing w:line="246" w:lineRule="auto"/>
        <w:rPr>
          <w:rFonts w:ascii="Arial"/>
          <w:sz w:val="21"/>
        </w:rPr>
      </w:pPr>
    </w:p>
    <w:p w14:paraId="602AA66F">
      <w:pPr>
        <w:spacing w:line="246" w:lineRule="auto"/>
        <w:rPr>
          <w:rFonts w:ascii="Arial"/>
          <w:sz w:val="21"/>
        </w:rPr>
      </w:pPr>
    </w:p>
    <w:p w14:paraId="4BE9B671">
      <w:pPr>
        <w:spacing w:line="246" w:lineRule="auto"/>
        <w:rPr>
          <w:rFonts w:ascii="Arial"/>
          <w:sz w:val="21"/>
        </w:rPr>
      </w:pPr>
    </w:p>
    <w:p w14:paraId="35E47EEE">
      <w:pPr>
        <w:pStyle w:val="2"/>
        <w:spacing w:before="97" w:line="227" w:lineRule="auto"/>
        <w:ind w:left="3873"/>
        <w:rPr>
          <w:sz w:val="30"/>
          <w:szCs w:val="30"/>
        </w:rPr>
      </w:pPr>
      <w:r>
        <w:rPr>
          <w:b/>
          <w:bCs/>
          <w:spacing w:val="-1"/>
          <w:sz w:val="30"/>
          <w:szCs w:val="30"/>
        </w:rPr>
        <w:t>前言</w:t>
      </w:r>
    </w:p>
    <w:p w14:paraId="57E21544">
      <w:pPr>
        <w:pStyle w:val="2"/>
        <w:spacing w:before="224" w:line="220" w:lineRule="auto"/>
        <w:ind w:left="27"/>
        <w:rPr>
          <w:sz w:val="24"/>
          <w:szCs w:val="24"/>
        </w:rPr>
      </w:pPr>
      <w:r>
        <w:rPr>
          <w:b/>
          <w:bCs/>
          <w:spacing w:val="-4"/>
          <w:sz w:val="24"/>
          <w:szCs w:val="24"/>
        </w:rPr>
        <w:t>一、项目建设必要性</w:t>
      </w:r>
    </w:p>
    <w:p w14:paraId="60A30A24">
      <w:pPr>
        <w:pStyle w:val="2"/>
        <w:spacing w:before="180" w:line="359" w:lineRule="auto"/>
        <w:ind w:left="23" w:firstLine="480"/>
        <w:jc w:val="both"/>
        <w:rPr>
          <w:sz w:val="24"/>
          <w:szCs w:val="24"/>
        </w:rPr>
      </w:pPr>
      <w:r>
        <w:rPr>
          <w:spacing w:val="-4"/>
          <w:sz w:val="24"/>
          <w:szCs w:val="24"/>
        </w:rPr>
        <w:t>本工程建设主要是满足陆良县东北部供电片区负荷增长的需求，缓解</w:t>
      </w:r>
      <w:r>
        <w:rPr>
          <w:spacing w:val="-18"/>
          <w:sz w:val="24"/>
          <w:szCs w:val="24"/>
        </w:rPr>
        <w:t xml:space="preserve"> </w:t>
      </w:r>
      <w:r>
        <w:rPr>
          <w:rFonts w:ascii="Times New Roman" w:hAnsi="Times New Roman" w:eastAsia="Times New Roman" w:cs="Times New Roman"/>
          <w:spacing w:val="-4"/>
          <w:sz w:val="24"/>
          <w:szCs w:val="24"/>
        </w:rPr>
        <w:t>110kV</w:t>
      </w:r>
      <w:r>
        <w:rPr>
          <w:spacing w:val="1"/>
          <w:sz w:val="24"/>
          <w:szCs w:val="24"/>
        </w:rPr>
        <w:t>中纪变供电压力，优化和完善中纪变供电片区</w:t>
      </w:r>
      <w:r>
        <w:rPr>
          <w:rFonts w:ascii="Times New Roman" w:hAnsi="Times New Roman" w:eastAsia="Times New Roman" w:cs="Times New Roman"/>
          <w:spacing w:val="1"/>
          <w:sz w:val="24"/>
          <w:szCs w:val="24"/>
        </w:rPr>
        <w:t>35</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和</w:t>
      </w:r>
      <w:r>
        <w:rPr>
          <w:spacing w:val="-32"/>
          <w:sz w:val="24"/>
          <w:szCs w:val="24"/>
        </w:rPr>
        <w:t xml:space="preserve"> </w:t>
      </w:r>
      <w:r>
        <w:rPr>
          <w:rFonts w:ascii="Times New Roman" w:hAnsi="Times New Roman" w:eastAsia="Times New Roman" w:cs="Times New Roman"/>
          <w:spacing w:val="1"/>
          <w:sz w:val="24"/>
          <w:szCs w:val="24"/>
        </w:rPr>
        <w:t>10</w:t>
      </w:r>
      <w:r>
        <w:rPr>
          <w:rFonts w:ascii="Times New Roman" w:hAnsi="Times New Roman" w:eastAsia="Times New Roman" w:cs="Times New Roman"/>
          <w:sz w:val="24"/>
          <w:szCs w:val="24"/>
        </w:rPr>
        <w:t>kV</w:t>
      </w:r>
      <w:r>
        <w:rPr>
          <w:rFonts w:ascii="Times New Roman" w:hAnsi="Times New Roman" w:eastAsia="Times New Roman" w:cs="Times New Roman"/>
          <w:spacing w:val="30"/>
          <w:sz w:val="24"/>
          <w:szCs w:val="24"/>
        </w:rPr>
        <w:t xml:space="preserve"> </w:t>
      </w:r>
      <w:r>
        <w:rPr>
          <w:spacing w:val="1"/>
          <w:sz w:val="24"/>
          <w:szCs w:val="24"/>
        </w:rPr>
        <w:t>网架结构，</w:t>
      </w:r>
      <w:r>
        <w:rPr>
          <w:sz w:val="24"/>
          <w:szCs w:val="24"/>
        </w:rPr>
        <w:t>降低电网运行风险，提高电网的供电可靠性和灵活性。陆良县北部现状由</w:t>
      </w:r>
      <w:r>
        <w:rPr>
          <w:spacing w:val="-14"/>
          <w:sz w:val="24"/>
          <w:szCs w:val="24"/>
        </w:rPr>
        <w:t xml:space="preserve"> </w:t>
      </w:r>
      <w:r>
        <w:rPr>
          <w:rFonts w:ascii="Times New Roman" w:hAnsi="Times New Roman" w:eastAsia="Times New Roman" w:cs="Times New Roman"/>
          <w:sz w:val="24"/>
          <w:szCs w:val="24"/>
        </w:rPr>
        <w:t>110kV</w:t>
      </w:r>
      <w:r>
        <w:rPr>
          <w:rFonts w:ascii="Times New Roman" w:hAnsi="Times New Roman" w:eastAsia="Times New Roman" w:cs="Times New Roman"/>
          <w:spacing w:val="36"/>
          <w:w w:val="101"/>
          <w:sz w:val="24"/>
          <w:szCs w:val="24"/>
        </w:rPr>
        <w:t xml:space="preserve"> </w:t>
      </w:r>
      <w:r>
        <w:rPr>
          <w:sz w:val="24"/>
          <w:szCs w:val="24"/>
        </w:rPr>
        <w:t>中纪</w:t>
      </w:r>
      <w:r>
        <w:rPr>
          <w:spacing w:val="1"/>
          <w:sz w:val="24"/>
          <w:szCs w:val="24"/>
        </w:rPr>
        <w:t>变、</w:t>
      </w:r>
      <w:r>
        <w:rPr>
          <w:rFonts w:ascii="Times New Roman" w:hAnsi="Times New Roman" w:eastAsia="Times New Roman" w:cs="Times New Roman"/>
          <w:spacing w:val="1"/>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21"/>
          <w:sz w:val="24"/>
          <w:szCs w:val="24"/>
        </w:rPr>
        <w:t xml:space="preserve"> </w:t>
      </w:r>
      <w:r>
        <w:rPr>
          <w:spacing w:val="1"/>
          <w:sz w:val="24"/>
          <w:szCs w:val="24"/>
        </w:rPr>
        <w:t>小冲沟变下网供电，两座</w:t>
      </w:r>
      <w:r>
        <w:rPr>
          <w:spacing w:val="-27"/>
          <w:sz w:val="24"/>
          <w:szCs w:val="24"/>
        </w:rPr>
        <w:t xml:space="preserve"> </w:t>
      </w:r>
      <w:r>
        <w:rPr>
          <w:rFonts w:ascii="Times New Roman" w:hAnsi="Times New Roman" w:eastAsia="Times New Roman" w:cs="Times New Roman"/>
          <w:spacing w:val="1"/>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变电站已经重载，不再具备接纳新</w:t>
      </w:r>
      <w:r>
        <w:rPr>
          <w:sz w:val="24"/>
          <w:szCs w:val="24"/>
        </w:rPr>
        <w:t>增负荷的能力。为缓解</w:t>
      </w:r>
      <w:r>
        <w:rPr>
          <w:spacing w:val="-25"/>
          <w:sz w:val="24"/>
          <w:szCs w:val="24"/>
        </w:rPr>
        <w:t xml:space="preserve"> </w:t>
      </w:r>
      <w:r>
        <w:rPr>
          <w:rFonts w:ascii="Times New Roman" w:hAnsi="Times New Roman" w:eastAsia="Times New Roman" w:cs="Times New Roman"/>
          <w:sz w:val="24"/>
          <w:szCs w:val="24"/>
        </w:rPr>
        <w:t>110kV</w:t>
      </w:r>
      <w:r>
        <w:rPr>
          <w:rFonts w:ascii="Times New Roman" w:hAnsi="Times New Roman" w:eastAsia="Times New Roman" w:cs="Times New Roman"/>
          <w:spacing w:val="36"/>
          <w:sz w:val="24"/>
          <w:szCs w:val="24"/>
        </w:rPr>
        <w:t xml:space="preserve"> </w:t>
      </w:r>
      <w:r>
        <w:rPr>
          <w:sz w:val="24"/>
          <w:szCs w:val="24"/>
        </w:rPr>
        <w:t>中纪变、</w:t>
      </w:r>
      <w:r>
        <w:rPr>
          <w:rFonts w:ascii="Times New Roman" w:hAnsi="Times New Roman" w:eastAsia="Times New Roman" w:cs="Times New Roman"/>
          <w:sz w:val="24"/>
          <w:szCs w:val="24"/>
        </w:rPr>
        <w:t>110kV</w:t>
      </w:r>
      <w:r>
        <w:rPr>
          <w:rFonts w:ascii="Times New Roman" w:hAnsi="Times New Roman" w:eastAsia="Times New Roman" w:cs="Times New Roman"/>
          <w:spacing w:val="18"/>
          <w:sz w:val="24"/>
          <w:szCs w:val="24"/>
        </w:rPr>
        <w:t xml:space="preserve"> </w:t>
      </w:r>
      <w:r>
        <w:rPr>
          <w:sz w:val="24"/>
          <w:szCs w:val="24"/>
        </w:rPr>
        <w:t>小冲沟变的供电压力，满足片区</w:t>
      </w:r>
      <w:r>
        <w:rPr>
          <w:spacing w:val="1"/>
          <w:sz w:val="24"/>
          <w:szCs w:val="24"/>
        </w:rPr>
        <w:t>新增负荷的报装供电需求，新建</w:t>
      </w:r>
      <w:r>
        <w:rPr>
          <w:spacing w:val="-13"/>
          <w:sz w:val="24"/>
          <w:szCs w:val="24"/>
        </w:rPr>
        <w:t xml:space="preserve"> </w:t>
      </w:r>
      <w:r>
        <w:rPr>
          <w:rFonts w:ascii="Times New Roman" w:hAnsi="Times New Roman" w:eastAsia="Times New Roman" w:cs="Times New Roman"/>
          <w:spacing w:val="1"/>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松山变是有必要的。依据《云南省能源</w:t>
      </w:r>
      <w:r>
        <w:rPr>
          <w:spacing w:val="-8"/>
          <w:sz w:val="24"/>
          <w:szCs w:val="24"/>
        </w:rPr>
        <w:t>局关于加快推进新能源项目建设有关工作的通知》（云能源水电〔</w:t>
      </w:r>
      <w:r>
        <w:rPr>
          <w:rFonts w:ascii="Times New Roman" w:hAnsi="Times New Roman" w:eastAsia="Times New Roman" w:cs="Times New Roman"/>
          <w:spacing w:val="-8"/>
          <w:sz w:val="24"/>
          <w:szCs w:val="24"/>
        </w:rPr>
        <w:t>2023</w:t>
      </w:r>
      <w:r>
        <w:rPr>
          <w:spacing w:val="-8"/>
          <w:sz w:val="24"/>
          <w:szCs w:val="24"/>
        </w:rPr>
        <w:t>〕</w:t>
      </w:r>
      <w:r>
        <w:rPr>
          <w:rFonts w:ascii="Times New Roman" w:hAnsi="Times New Roman" w:eastAsia="Times New Roman" w:cs="Times New Roman"/>
          <w:spacing w:val="-8"/>
          <w:sz w:val="24"/>
          <w:szCs w:val="24"/>
        </w:rPr>
        <w:t>153</w:t>
      </w:r>
      <w:r>
        <w:rPr>
          <w:rFonts w:ascii="Times New Roman" w:hAnsi="Times New Roman" w:eastAsia="Times New Roman" w:cs="Times New Roman"/>
          <w:spacing w:val="16"/>
          <w:w w:val="101"/>
          <w:sz w:val="24"/>
          <w:szCs w:val="24"/>
        </w:rPr>
        <w:t xml:space="preserve"> </w:t>
      </w:r>
      <w:r>
        <w:rPr>
          <w:spacing w:val="-8"/>
          <w:sz w:val="24"/>
          <w:szCs w:val="24"/>
        </w:rPr>
        <w:t>号</w:t>
      </w:r>
      <w:r>
        <w:rPr>
          <w:spacing w:val="-54"/>
          <w:w w:val="86"/>
          <w:sz w:val="24"/>
          <w:szCs w:val="24"/>
        </w:rPr>
        <w:t>），</w:t>
      </w:r>
      <w:r>
        <w:rPr>
          <w:spacing w:val="-4"/>
          <w:sz w:val="24"/>
          <w:szCs w:val="24"/>
        </w:rPr>
        <w:t>陆良县共规划建设新能源</w:t>
      </w:r>
      <w:r>
        <w:rPr>
          <w:spacing w:val="-50"/>
          <w:sz w:val="24"/>
          <w:szCs w:val="24"/>
        </w:rPr>
        <w:t xml:space="preserve"> </w:t>
      </w:r>
      <w:r>
        <w:rPr>
          <w:rFonts w:ascii="Times New Roman" w:hAnsi="Times New Roman" w:eastAsia="Times New Roman" w:cs="Times New Roman"/>
          <w:spacing w:val="-4"/>
          <w:sz w:val="24"/>
          <w:szCs w:val="24"/>
        </w:rPr>
        <w:t>915MW</w:t>
      </w:r>
      <w:r>
        <w:rPr>
          <w:rFonts w:ascii="Times New Roman" w:hAnsi="Times New Roman" w:eastAsia="Times New Roman" w:cs="Times New Roman"/>
          <w:spacing w:val="-32"/>
          <w:sz w:val="24"/>
          <w:szCs w:val="24"/>
        </w:rPr>
        <w:t xml:space="preserve"> </w:t>
      </w:r>
      <w:r>
        <w:rPr>
          <w:spacing w:val="-4"/>
          <w:sz w:val="24"/>
          <w:szCs w:val="24"/>
        </w:rPr>
        <w:t>，目前</w:t>
      </w:r>
      <w:r>
        <w:rPr>
          <w:spacing w:val="-32"/>
          <w:sz w:val="24"/>
          <w:szCs w:val="24"/>
        </w:rPr>
        <w:t xml:space="preserve"> </w:t>
      </w:r>
      <w:r>
        <w:rPr>
          <w:rFonts w:ascii="Times New Roman" w:hAnsi="Times New Roman" w:eastAsia="Times New Roman" w:cs="Times New Roman"/>
          <w:spacing w:val="-4"/>
          <w:sz w:val="24"/>
          <w:szCs w:val="24"/>
        </w:rPr>
        <w:t>110kV</w:t>
      </w:r>
      <w:r>
        <w:rPr>
          <w:rFonts w:ascii="Times New Roman" w:hAnsi="Times New Roman" w:eastAsia="Times New Roman" w:cs="Times New Roman"/>
          <w:spacing w:val="32"/>
          <w:sz w:val="24"/>
          <w:szCs w:val="24"/>
        </w:rPr>
        <w:t xml:space="preserve"> </w:t>
      </w:r>
      <w:r>
        <w:rPr>
          <w:spacing w:val="-4"/>
          <w:sz w:val="24"/>
          <w:szCs w:val="24"/>
        </w:rPr>
        <w:t>中纪变、</w:t>
      </w:r>
      <w:r>
        <w:rPr>
          <w:rFonts w:ascii="Times New Roman" w:hAnsi="Times New Roman" w:eastAsia="Times New Roman" w:cs="Times New Roman"/>
          <w:spacing w:val="-4"/>
          <w:sz w:val="24"/>
          <w:szCs w:val="24"/>
        </w:rPr>
        <w:t>110kV</w:t>
      </w:r>
      <w:r>
        <w:rPr>
          <w:rFonts w:ascii="Times New Roman" w:hAnsi="Times New Roman" w:eastAsia="Times New Roman" w:cs="Times New Roman"/>
          <w:spacing w:val="15"/>
          <w:sz w:val="24"/>
          <w:szCs w:val="24"/>
        </w:rPr>
        <w:t xml:space="preserve"> </w:t>
      </w:r>
      <w:r>
        <w:rPr>
          <w:spacing w:val="-4"/>
          <w:sz w:val="24"/>
          <w:szCs w:val="24"/>
        </w:rPr>
        <w:t>小冲沟</w:t>
      </w:r>
      <w:r>
        <w:rPr>
          <w:spacing w:val="-5"/>
          <w:sz w:val="24"/>
          <w:szCs w:val="24"/>
        </w:rPr>
        <w:t>变均无剩</w:t>
      </w:r>
      <w:r>
        <w:rPr>
          <w:spacing w:val="-2"/>
          <w:sz w:val="24"/>
          <w:szCs w:val="24"/>
        </w:rPr>
        <w:t>余备用间隔，本期新建</w:t>
      </w:r>
      <w:r>
        <w:rPr>
          <w:spacing w:val="-14"/>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松山输变电工程，可以预留</w:t>
      </w:r>
      <w:r>
        <w:rPr>
          <w:spacing w:val="-29"/>
          <w:sz w:val="24"/>
          <w:szCs w:val="24"/>
        </w:rPr>
        <w:t xml:space="preserve"> </w:t>
      </w:r>
      <w:r>
        <w:rPr>
          <w:rFonts w:ascii="Times New Roman" w:hAnsi="Times New Roman" w:eastAsia="Times New Roman" w:cs="Times New Roman"/>
          <w:spacing w:val="-2"/>
          <w:sz w:val="24"/>
          <w:szCs w:val="24"/>
        </w:rPr>
        <w:t>110kV</w:t>
      </w:r>
      <w:r>
        <w:rPr>
          <w:rFonts w:ascii="Times New Roman" w:hAnsi="Times New Roman" w:eastAsia="Times New Roman" w:cs="Times New Roman"/>
          <w:spacing w:val="30"/>
          <w:sz w:val="24"/>
          <w:szCs w:val="24"/>
        </w:rPr>
        <w:t xml:space="preserve"> </w:t>
      </w:r>
      <w:r>
        <w:rPr>
          <w:spacing w:val="-2"/>
          <w:sz w:val="24"/>
          <w:szCs w:val="24"/>
        </w:rPr>
        <w:t>间隔，满足片</w:t>
      </w:r>
      <w:r>
        <w:rPr>
          <w:spacing w:val="-1"/>
          <w:sz w:val="24"/>
          <w:szCs w:val="24"/>
        </w:rPr>
        <w:t>区新能源的接入需求。</w:t>
      </w:r>
    </w:p>
    <w:p w14:paraId="201FB662">
      <w:pPr>
        <w:pStyle w:val="2"/>
        <w:spacing w:line="219" w:lineRule="auto"/>
        <w:ind w:left="27"/>
        <w:rPr>
          <w:sz w:val="24"/>
          <w:szCs w:val="24"/>
        </w:rPr>
      </w:pPr>
      <w:r>
        <w:rPr>
          <w:b/>
          <w:bCs/>
          <w:spacing w:val="-4"/>
          <w:sz w:val="24"/>
          <w:szCs w:val="24"/>
        </w:rPr>
        <w:t>二、项目概况</w:t>
      </w:r>
    </w:p>
    <w:p w14:paraId="636ECD37">
      <w:pPr>
        <w:pStyle w:val="2"/>
        <w:spacing w:before="183" w:line="359" w:lineRule="auto"/>
        <w:ind w:left="23" w:right="60" w:firstLine="498"/>
        <w:jc w:val="both"/>
        <w:rPr>
          <w:sz w:val="24"/>
          <w:szCs w:val="24"/>
        </w:rPr>
      </w:pPr>
      <w:r>
        <w:rPr>
          <w:rFonts w:ascii="Times New Roman" w:hAnsi="Times New Roman" w:eastAsia="Times New Roman" w:cs="Times New Roman"/>
          <w:spacing w:val="1"/>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松山输变电工程建设内容包括：①新建</w:t>
      </w:r>
      <w:r>
        <w:rPr>
          <w:spacing w:val="-24"/>
          <w:sz w:val="24"/>
          <w:szCs w:val="24"/>
        </w:rPr>
        <w:t xml:space="preserve"> </w:t>
      </w:r>
      <w:r>
        <w:rPr>
          <w:rFonts w:ascii="Times New Roman" w:hAnsi="Times New Roman" w:eastAsia="Times New Roman" w:cs="Times New Roman"/>
          <w:spacing w:val="1"/>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松山变电站工程：站</w:t>
      </w:r>
      <w:r>
        <w:rPr>
          <w:spacing w:val="-4"/>
          <w:sz w:val="24"/>
          <w:szCs w:val="24"/>
        </w:rPr>
        <w:t>址总用地面积为</w:t>
      </w:r>
      <w:r>
        <w:rPr>
          <w:spacing w:val="-32"/>
          <w:sz w:val="24"/>
          <w:szCs w:val="24"/>
        </w:rPr>
        <w:t xml:space="preserve"> </w:t>
      </w:r>
      <w:r>
        <w:rPr>
          <w:rFonts w:ascii="Times New Roman" w:hAnsi="Times New Roman" w:eastAsia="Times New Roman" w:cs="Times New Roman"/>
          <w:spacing w:val="-4"/>
          <w:sz w:val="24"/>
          <w:szCs w:val="24"/>
        </w:rPr>
        <w:t>1.087hm</w:t>
      </w:r>
      <w:r>
        <w:rPr>
          <w:rFonts w:ascii="Times New Roman" w:hAnsi="Times New Roman" w:eastAsia="Times New Roman" w:cs="Times New Roman"/>
          <w:spacing w:val="-4"/>
          <w:position w:val="7"/>
          <w:sz w:val="15"/>
          <w:szCs w:val="15"/>
        </w:rPr>
        <w:t>2</w:t>
      </w:r>
      <w:r>
        <w:rPr>
          <w:spacing w:val="-4"/>
          <w:sz w:val="24"/>
          <w:szCs w:val="24"/>
        </w:rPr>
        <w:t>（含进站道路</w:t>
      </w:r>
      <w:r>
        <w:rPr>
          <w:spacing w:val="-19"/>
          <w:sz w:val="24"/>
          <w:szCs w:val="24"/>
        </w:rPr>
        <w:t>），</w:t>
      </w:r>
      <w:r>
        <w:rPr>
          <w:spacing w:val="-4"/>
          <w:sz w:val="24"/>
          <w:szCs w:val="24"/>
        </w:rPr>
        <w:t>本期设</w:t>
      </w:r>
      <w:r>
        <w:rPr>
          <w:spacing w:val="-55"/>
          <w:sz w:val="24"/>
          <w:szCs w:val="24"/>
        </w:rPr>
        <w:t xml:space="preserve"> </w:t>
      </w:r>
      <w:r>
        <w:rPr>
          <w:rFonts w:ascii="Times New Roman" w:hAnsi="Times New Roman" w:eastAsia="Times New Roman" w:cs="Times New Roman"/>
          <w:spacing w:val="-4"/>
          <w:sz w:val="24"/>
          <w:szCs w:val="24"/>
        </w:rPr>
        <w:t>2</w:t>
      </w:r>
      <w:r>
        <w:rPr>
          <w:rFonts w:ascii="Times New Roman" w:hAnsi="Times New Roman" w:eastAsia="Times New Roman" w:cs="Times New Roman"/>
          <w:spacing w:val="28"/>
          <w:w w:val="101"/>
          <w:sz w:val="24"/>
          <w:szCs w:val="24"/>
        </w:rPr>
        <w:t xml:space="preserve"> </w:t>
      </w:r>
      <w:r>
        <w:rPr>
          <w:spacing w:val="-4"/>
          <w:sz w:val="24"/>
          <w:szCs w:val="24"/>
        </w:rPr>
        <w:t>台容量为</w:t>
      </w:r>
      <w:r>
        <w:rPr>
          <w:spacing w:val="-49"/>
          <w:sz w:val="24"/>
          <w:szCs w:val="24"/>
        </w:rPr>
        <w:t xml:space="preserve"> </w:t>
      </w:r>
      <w:r>
        <w:rPr>
          <w:rFonts w:ascii="Times New Roman" w:hAnsi="Times New Roman" w:eastAsia="Times New Roman" w:cs="Times New Roman"/>
          <w:spacing w:val="-4"/>
          <w:sz w:val="24"/>
          <w:szCs w:val="24"/>
        </w:rPr>
        <w:t>50MVA</w:t>
      </w:r>
      <w:r>
        <w:rPr>
          <w:rFonts w:ascii="Times New Roman" w:hAnsi="Times New Roman" w:eastAsia="Times New Roman" w:cs="Times New Roman"/>
          <w:spacing w:val="31"/>
          <w:w w:val="101"/>
          <w:sz w:val="24"/>
          <w:szCs w:val="24"/>
        </w:rPr>
        <w:t xml:space="preserve"> </w:t>
      </w:r>
      <w:r>
        <w:rPr>
          <w:spacing w:val="-4"/>
          <w:sz w:val="24"/>
          <w:szCs w:val="24"/>
        </w:rPr>
        <w:t>的主变压</w:t>
      </w:r>
      <w:r>
        <w:rPr>
          <w:spacing w:val="-13"/>
          <w:sz w:val="24"/>
          <w:szCs w:val="24"/>
        </w:rPr>
        <w:t>器，采用室外布置方式；②本期新建</w:t>
      </w:r>
      <w:r>
        <w:rPr>
          <w:spacing w:val="-39"/>
          <w:sz w:val="24"/>
          <w:szCs w:val="24"/>
        </w:rPr>
        <w:t xml:space="preserve"> </w:t>
      </w:r>
      <w:r>
        <w:rPr>
          <w:rFonts w:ascii="Times New Roman" w:hAnsi="Times New Roman" w:eastAsia="Times New Roman" w:cs="Times New Roman"/>
          <w:spacing w:val="-13"/>
          <w:sz w:val="24"/>
          <w:szCs w:val="24"/>
        </w:rPr>
        <w:t>2</w:t>
      </w:r>
      <w:r>
        <w:rPr>
          <w:rFonts w:ascii="Times New Roman" w:hAnsi="Times New Roman" w:eastAsia="Times New Roman" w:cs="Times New Roman"/>
          <w:spacing w:val="33"/>
          <w:sz w:val="24"/>
          <w:szCs w:val="24"/>
        </w:rPr>
        <w:t xml:space="preserve"> </w:t>
      </w:r>
      <w:r>
        <w:rPr>
          <w:spacing w:val="-13"/>
          <w:sz w:val="24"/>
          <w:szCs w:val="24"/>
        </w:rPr>
        <w:t>回</w:t>
      </w:r>
      <w:r>
        <w:rPr>
          <w:spacing w:val="-32"/>
          <w:sz w:val="24"/>
          <w:szCs w:val="24"/>
        </w:rPr>
        <w:t xml:space="preserve"> </w:t>
      </w:r>
      <w:r>
        <w:rPr>
          <w:rFonts w:ascii="Times New Roman" w:hAnsi="Times New Roman" w:eastAsia="Times New Roman" w:cs="Times New Roman"/>
          <w:spacing w:val="-13"/>
          <w:sz w:val="24"/>
          <w:szCs w:val="24"/>
        </w:rPr>
        <w:t>110kV</w:t>
      </w:r>
      <w:r>
        <w:rPr>
          <w:rFonts w:ascii="Times New Roman" w:hAnsi="Times New Roman" w:eastAsia="Times New Roman" w:cs="Times New Roman"/>
          <w:spacing w:val="12"/>
          <w:sz w:val="24"/>
          <w:szCs w:val="24"/>
        </w:rPr>
        <w:t xml:space="preserve"> </w:t>
      </w:r>
      <w:r>
        <w:rPr>
          <w:spacing w:val="-13"/>
          <w:sz w:val="24"/>
          <w:szCs w:val="24"/>
        </w:rPr>
        <w:t>线路，</w:t>
      </w:r>
      <w:r>
        <w:rPr>
          <w:rFonts w:ascii="Times New Roman" w:hAnsi="Times New Roman" w:eastAsia="Times New Roman" w:cs="Times New Roman"/>
          <w:spacing w:val="-13"/>
          <w:sz w:val="24"/>
          <w:szCs w:val="24"/>
        </w:rPr>
        <w:t>1</w:t>
      </w:r>
      <w:r>
        <w:rPr>
          <w:rFonts w:ascii="Times New Roman" w:hAnsi="Times New Roman" w:eastAsia="Times New Roman" w:cs="Times New Roman"/>
          <w:spacing w:val="32"/>
          <w:w w:val="101"/>
          <w:sz w:val="24"/>
          <w:szCs w:val="24"/>
        </w:rPr>
        <w:t xml:space="preserve"> </w:t>
      </w:r>
      <w:r>
        <w:rPr>
          <w:spacing w:val="-13"/>
          <w:sz w:val="24"/>
          <w:szCs w:val="24"/>
        </w:rPr>
        <w:t>回</w:t>
      </w:r>
      <w:r>
        <w:rPr>
          <w:spacing w:val="-50"/>
          <w:sz w:val="24"/>
          <w:szCs w:val="24"/>
        </w:rPr>
        <w:t xml:space="preserve"> </w:t>
      </w:r>
      <w:r>
        <w:rPr>
          <w:rFonts w:ascii="Times New Roman" w:hAnsi="Times New Roman" w:eastAsia="Times New Roman" w:cs="Times New Roman"/>
          <w:spacing w:val="-13"/>
          <w:sz w:val="24"/>
          <w:szCs w:val="24"/>
        </w:rPr>
        <w:t>35kV</w:t>
      </w:r>
      <w:r>
        <w:rPr>
          <w:rFonts w:ascii="Times New Roman" w:hAnsi="Times New Roman" w:eastAsia="Times New Roman" w:cs="Times New Roman"/>
          <w:spacing w:val="11"/>
          <w:sz w:val="24"/>
          <w:szCs w:val="24"/>
        </w:rPr>
        <w:t xml:space="preserve"> </w:t>
      </w:r>
      <w:r>
        <w:rPr>
          <w:spacing w:val="-13"/>
          <w:sz w:val="24"/>
          <w:szCs w:val="24"/>
        </w:rPr>
        <w:t>线路，</w:t>
      </w:r>
      <w:r>
        <w:rPr>
          <w:rFonts w:ascii="Times New Roman" w:hAnsi="Times New Roman" w:eastAsia="Times New Roman" w:cs="Times New Roman"/>
          <w:spacing w:val="-13"/>
          <w:sz w:val="24"/>
          <w:szCs w:val="24"/>
        </w:rPr>
        <w:t>9</w:t>
      </w:r>
      <w:r>
        <w:rPr>
          <w:rFonts w:ascii="Times New Roman" w:hAnsi="Times New Roman" w:eastAsia="Times New Roman" w:cs="Times New Roman"/>
          <w:spacing w:val="33"/>
          <w:w w:val="101"/>
          <w:sz w:val="24"/>
          <w:szCs w:val="24"/>
        </w:rPr>
        <w:t xml:space="preserve"> </w:t>
      </w:r>
      <w:r>
        <w:rPr>
          <w:spacing w:val="-13"/>
          <w:sz w:val="24"/>
          <w:szCs w:val="24"/>
        </w:rPr>
        <w:t>回</w:t>
      </w:r>
      <w:r>
        <w:rPr>
          <w:spacing w:val="-32"/>
          <w:sz w:val="24"/>
          <w:szCs w:val="24"/>
        </w:rPr>
        <w:t xml:space="preserve"> </w:t>
      </w:r>
      <w:r>
        <w:rPr>
          <w:rFonts w:ascii="Times New Roman" w:hAnsi="Times New Roman" w:eastAsia="Times New Roman" w:cs="Times New Roman"/>
          <w:spacing w:val="-13"/>
          <w:sz w:val="24"/>
          <w:szCs w:val="24"/>
        </w:rPr>
        <w:t>10kV</w:t>
      </w:r>
      <w:r>
        <w:rPr>
          <w:spacing w:val="-4"/>
          <w:sz w:val="24"/>
          <w:szCs w:val="24"/>
        </w:rPr>
        <w:t>线路；③</w:t>
      </w:r>
      <w:r>
        <w:rPr>
          <w:rFonts w:ascii="Times New Roman" w:hAnsi="Times New Roman" w:eastAsia="Times New Roman" w:cs="Times New Roman"/>
          <w:spacing w:val="-4"/>
          <w:sz w:val="24"/>
          <w:szCs w:val="24"/>
        </w:rPr>
        <w:t>220kV</w:t>
      </w:r>
      <w:r>
        <w:rPr>
          <w:rFonts w:ascii="Times New Roman" w:hAnsi="Times New Roman" w:eastAsia="Times New Roman" w:cs="Times New Roman"/>
          <w:spacing w:val="15"/>
          <w:w w:val="101"/>
          <w:sz w:val="24"/>
          <w:szCs w:val="24"/>
        </w:rPr>
        <w:t xml:space="preserve"> </w:t>
      </w:r>
      <w:r>
        <w:rPr>
          <w:spacing w:val="-4"/>
          <w:sz w:val="24"/>
          <w:szCs w:val="24"/>
        </w:rPr>
        <w:t>芳华变扩建</w:t>
      </w:r>
      <w:r>
        <w:rPr>
          <w:spacing w:val="-32"/>
          <w:sz w:val="24"/>
          <w:szCs w:val="24"/>
        </w:rPr>
        <w:t xml:space="preserve"> </w:t>
      </w:r>
      <w:r>
        <w:rPr>
          <w:rFonts w:ascii="Times New Roman" w:hAnsi="Times New Roman" w:eastAsia="Times New Roman" w:cs="Times New Roman"/>
          <w:spacing w:val="-4"/>
          <w:sz w:val="24"/>
          <w:szCs w:val="24"/>
        </w:rPr>
        <w:t xml:space="preserve">1 </w:t>
      </w:r>
      <w:r>
        <w:rPr>
          <w:spacing w:val="-4"/>
          <w:sz w:val="24"/>
          <w:szCs w:val="24"/>
        </w:rPr>
        <w:t>个</w:t>
      </w:r>
      <w:r>
        <w:rPr>
          <w:spacing w:val="-32"/>
          <w:sz w:val="24"/>
          <w:szCs w:val="24"/>
        </w:rPr>
        <w:t xml:space="preserve"> </w:t>
      </w:r>
      <w:r>
        <w:rPr>
          <w:rFonts w:ascii="Times New Roman" w:hAnsi="Times New Roman" w:eastAsia="Times New Roman" w:cs="Times New Roman"/>
          <w:spacing w:val="-4"/>
          <w:sz w:val="24"/>
          <w:szCs w:val="24"/>
        </w:rPr>
        <w:t>110kV</w:t>
      </w:r>
      <w:r>
        <w:rPr>
          <w:rFonts w:ascii="Times New Roman" w:hAnsi="Times New Roman" w:eastAsia="Times New Roman" w:cs="Times New Roman"/>
          <w:spacing w:val="27"/>
          <w:w w:val="101"/>
          <w:sz w:val="24"/>
          <w:szCs w:val="24"/>
        </w:rPr>
        <w:t xml:space="preserve"> </w:t>
      </w:r>
      <w:r>
        <w:rPr>
          <w:spacing w:val="-4"/>
          <w:sz w:val="24"/>
          <w:szCs w:val="24"/>
        </w:rPr>
        <w:t>间隔</w:t>
      </w:r>
      <w:r>
        <w:rPr>
          <w:spacing w:val="-5"/>
          <w:sz w:val="24"/>
          <w:szCs w:val="24"/>
        </w:rPr>
        <w:t>工程。</w:t>
      </w:r>
    </w:p>
    <w:p w14:paraId="52C3686F">
      <w:pPr>
        <w:pStyle w:val="2"/>
        <w:spacing w:before="1" w:line="359" w:lineRule="auto"/>
        <w:ind w:left="11" w:right="1" w:firstLine="491"/>
        <w:jc w:val="both"/>
        <w:rPr>
          <w:sz w:val="24"/>
          <w:szCs w:val="24"/>
        </w:rPr>
      </w:pPr>
      <w:r>
        <w:rPr>
          <w:spacing w:val="-1"/>
          <w:sz w:val="24"/>
          <w:szCs w:val="24"/>
        </w:rPr>
        <w:t>根据《电磁环境控制限值》（</w:t>
      </w:r>
      <w:r>
        <w:rPr>
          <w:rFonts w:ascii="Times New Roman" w:hAnsi="Times New Roman" w:eastAsia="Times New Roman" w:cs="Times New Roman"/>
          <w:spacing w:val="-1"/>
          <w:sz w:val="24"/>
          <w:szCs w:val="24"/>
        </w:rPr>
        <w:t>GB8702-2014</w:t>
      </w:r>
      <w:r>
        <w:rPr>
          <w:spacing w:val="-1"/>
          <w:sz w:val="24"/>
          <w:szCs w:val="24"/>
        </w:rPr>
        <w:t>）中的豁免范围，从电磁环境保</w:t>
      </w:r>
      <w:r>
        <w:rPr>
          <w:spacing w:val="-3"/>
          <w:sz w:val="24"/>
          <w:szCs w:val="24"/>
        </w:rPr>
        <w:t>护管理角度，</w:t>
      </w:r>
      <w:r>
        <w:rPr>
          <w:rFonts w:ascii="Times New Roman" w:hAnsi="Times New Roman" w:eastAsia="Times New Roman" w:cs="Times New Roman"/>
          <w:spacing w:val="-3"/>
          <w:sz w:val="24"/>
          <w:szCs w:val="24"/>
        </w:rPr>
        <w:t>100kV</w:t>
      </w:r>
      <w:r>
        <w:rPr>
          <w:rFonts w:ascii="Times New Roman" w:hAnsi="Times New Roman" w:eastAsia="Times New Roman" w:cs="Times New Roman"/>
          <w:spacing w:val="36"/>
          <w:sz w:val="24"/>
          <w:szCs w:val="24"/>
        </w:rPr>
        <w:t xml:space="preserve"> </w:t>
      </w:r>
      <w:r>
        <w:rPr>
          <w:spacing w:val="-3"/>
          <w:sz w:val="24"/>
          <w:szCs w:val="24"/>
        </w:rPr>
        <w:t>以下电压等级的交流输变电设施产</w:t>
      </w:r>
      <w:r>
        <w:rPr>
          <w:spacing w:val="-4"/>
          <w:sz w:val="24"/>
          <w:szCs w:val="24"/>
        </w:rPr>
        <w:t>生的电场、磁场、电磁场</w:t>
      </w:r>
      <w:r>
        <w:rPr>
          <w:spacing w:val="2"/>
          <w:sz w:val="24"/>
          <w:szCs w:val="24"/>
        </w:rPr>
        <w:t>可免于管理。《建设项目环境影响评价分类管理名录（</w:t>
      </w:r>
      <w:r>
        <w:rPr>
          <w:rFonts w:ascii="Times New Roman" w:hAnsi="Times New Roman" w:eastAsia="Times New Roman" w:cs="Times New Roman"/>
          <w:spacing w:val="2"/>
          <w:sz w:val="24"/>
          <w:szCs w:val="24"/>
        </w:rPr>
        <w:t xml:space="preserve">2021 </w:t>
      </w:r>
      <w:r>
        <w:rPr>
          <w:spacing w:val="2"/>
          <w:sz w:val="24"/>
          <w:szCs w:val="24"/>
        </w:rPr>
        <w:t>年版）》（生态环</w:t>
      </w:r>
      <w:r>
        <w:rPr>
          <w:spacing w:val="-8"/>
          <w:sz w:val="24"/>
          <w:szCs w:val="24"/>
        </w:rPr>
        <w:t>境部，部令第</w:t>
      </w:r>
      <w:r>
        <w:rPr>
          <w:spacing w:val="-32"/>
          <w:sz w:val="24"/>
          <w:szCs w:val="24"/>
        </w:rPr>
        <w:t xml:space="preserve"> </w:t>
      </w:r>
      <w:r>
        <w:rPr>
          <w:rFonts w:ascii="Times New Roman" w:hAnsi="Times New Roman" w:eastAsia="Times New Roman" w:cs="Times New Roman"/>
          <w:spacing w:val="-8"/>
          <w:sz w:val="24"/>
          <w:szCs w:val="24"/>
        </w:rPr>
        <w:t>16</w:t>
      </w:r>
      <w:r>
        <w:rPr>
          <w:rFonts w:ascii="Times New Roman" w:hAnsi="Times New Roman" w:eastAsia="Times New Roman" w:cs="Times New Roman"/>
          <w:spacing w:val="15"/>
          <w:sz w:val="24"/>
          <w:szCs w:val="24"/>
        </w:rPr>
        <w:t xml:space="preserve"> </w:t>
      </w:r>
      <w:r>
        <w:rPr>
          <w:spacing w:val="-8"/>
          <w:sz w:val="24"/>
          <w:szCs w:val="24"/>
        </w:rPr>
        <w:t>号）未将</w:t>
      </w:r>
      <w:r>
        <w:rPr>
          <w:spacing w:val="-32"/>
          <w:sz w:val="24"/>
          <w:szCs w:val="24"/>
        </w:rPr>
        <w:t xml:space="preserve"> </w:t>
      </w:r>
      <w:r>
        <w:rPr>
          <w:rFonts w:ascii="Times New Roman" w:hAnsi="Times New Roman" w:eastAsia="Times New Roman" w:cs="Times New Roman"/>
          <w:spacing w:val="-8"/>
          <w:sz w:val="24"/>
          <w:szCs w:val="24"/>
        </w:rPr>
        <w:t>100kV</w:t>
      </w:r>
      <w:r>
        <w:rPr>
          <w:rFonts w:ascii="Times New Roman" w:hAnsi="Times New Roman" w:eastAsia="Times New Roman" w:cs="Times New Roman"/>
          <w:spacing w:val="36"/>
          <w:sz w:val="24"/>
          <w:szCs w:val="24"/>
        </w:rPr>
        <w:t xml:space="preserve"> </w:t>
      </w:r>
      <w:r>
        <w:rPr>
          <w:spacing w:val="-8"/>
          <w:sz w:val="24"/>
          <w:szCs w:val="24"/>
        </w:rPr>
        <w:t>以下输变电工程纳入，该名</w:t>
      </w:r>
      <w:r>
        <w:rPr>
          <w:spacing w:val="-9"/>
          <w:sz w:val="24"/>
          <w:szCs w:val="24"/>
        </w:rPr>
        <w:t>录第五条明确规定：</w:t>
      </w:r>
      <w:r>
        <w:rPr>
          <w:sz w:val="24"/>
          <w:szCs w:val="24"/>
        </w:rPr>
        <w:t xml:space="preserve"> </w:t>
      </w:r>
      <w:r>
        <w:rPr>
          <w:spacing w:val="-3"/>
          <w:sz w:val="24"/>
          <w:szCs w:val="24"/>
        </w:rPr>
        <w:t>“本名录未作规定的建设项目，不纳入建设项目环境影响评价管理。”因此，本工程包含的</w:t>
      </w:r>
      <w:r>
        <w:rPr>
          <w:spacing w:val="-50"/>
          <w:sz w:val="24"/>
          <w:szCs w:val="24"/>
        </w:rPr>
        <w:t xml:space="preserve"> </w:t>
      </w:r>
      <w:r>
        <w:rPr>
          <w:rFonts w:ascii="Times New Roman" w:hAnsi="Times New Roman" w:eastAsia="Times New Roman" w:cs="Times New Roman"/>
          <w:spacing w:val="-3"/>
          <w:sz w:val="24"/>
          <w:szCs w:val="24"/>
        </w:rPr>
        <w:t>35kV</w:t>
      </w:r>
      <w:r>
        <w:rPr>
          <w:spacing w:val="-3"/>
          <w:sz w:val="24"/>
          <w:szCs w:val="24"/>
        </w:rPr>
        <w:t>、</w:t>
      </w:r>
      <w:r>
        <w:rPr>
          <w:rFonts w:ascii="Times New Roman" w:hAnsi="Times New Roman" w:eastAsia="Times New Roman" w:cs="Times New Roman"/>
          <w:spacing w:val="-3"/>
          <w:sz w:val="24"/>
          <w:szCs w:val="24"/>
        </w:rPr>
        <w:t>10kV</w:t>
      </w:r>
      <w:r>
        <w:rPr>
          <w:rFonts w:ascii="Times New Roman" w:hAnsi="Times New Roman" w:eastAsia="Times New Roman" w:cs="Times New Roman"/>
          <w:spacing w:val="37"/>
          <w:sz w:val="24"/>
          <w:szCs w:val="24"/>
        </w:rPr>
        <w:t xml:space="preserve"> </w:t>
      </w:r>
      <w:r>
        <w:rPr>
          <w:spacing w:val="-3"/>
          <w:sz w:val="24"/>
          <w:szCs w:val="24"/>
        </w:rPr>
        <w:t>电压等级的工程内容属于免</w:t>
      </w:r>
      <w:r>
        <w:rPr>
          <w:spacing w:val="-4"/>
          <w:sz w:val="24"/>
          <w:szCs w:val="24"/>
        </w:rPr>
        <w:t>于环境影响评价管理，本环</w:t>
      </w:r>
      <w:r>
        <w:rPr>
          <w:sz w:val="24"/>
          <w:szCs w:val="24"/>
        </w:rPr>
        <w:t>评仅对其进行简单评价。</w:t>
      </w:r>
    </w:p>
    <w:p w14:paraId="4ADC3A2F">
      <w:pPr>
        <w:pStyle w:val="2"/>
        <w:spacing w:before="1" w:line="219" w:lineRule="auto"/>
        <w:ind w:left="23"/>
        <w:rPr>
          <w:sz w:val="24"/>
          <w:szCs w:val="24"/>
        </w:rPr>
      </w:pPr>
      <w:r>
        <w:rPr>
          <w:b/>
          <w:bCs/>
          <w:spacing w:val="-3"/>
          <w:sz w:val="24"/>
          <w:szCs w:val="24"/>
        </w:rPr>
        <w:t>三、项目涉及环境敏感区情况</w:t>
      </w:r>
    </w:p>
    <w:p w14:paraId="3D3E7147">
      <w:pPr>
        <w:pStyle w:val="2"/>
        <w:spacing w:before="180" w:line="219" w:lineRule="auto"/>
        <w:ind w:left="503"/>
        <w:rPr>
          <w:sz w:val="24"/>
          <w:szCs w:val="24"/>
        </w:rPr>
      </w:pPr>
      <w:r>
        <w:rPr>
          <w:sz w:val="24"/>
          <w:szCs w:val="24"/>
        </w:rPr>
        <w:t>根据陆良县自然资源局出具的选址意见及路径</w:t>
      </w:r>
      <w:r>
        <w:rPr>
          <w:spacing w:val="-1"/>
          <w:sz w:val="24"/>
          <w:szCs w:val="24"/>
        </w:rPr>
        <w:t>走向的查询结果（见附件</w:t>
      </w:r>
    </w:p>
    <w:p w14:paraId="26CFDA29">
      <w:pPr>
        <w:pStyle w:val="2"/>
        <w:spacing w:before="185" w:line="360" w:lineRule="auto"/>
        <w:ind w:left="26" w:right="61" w:firstLine="15"/>
        <w:rPr>
          <w:sz w:val="24"/>
          <w:szCs w:val="24"/>
        </w:rPr>
      </w:pPr>
      <w:r>
        <w:rPr>
          <w:rFonts w:ascii="Times New Roman" w:hAnsi="Times New Roman" w:eastAsia="Times New Roman" w:cs="Times New Roman"/>
          <w:spacing w:val="-3"/>
          <w:sz w:val="24"/>
          <w:szCs w:val="24"/>
        </w:rPr>
        <w:t>10</w:t>
      </w:r>
      <w:r>
        <w:rPr>
          <w:spacing w:val="-11"/>
          <w:sz w:val="24"/>
          <w:szCs w:val="24"/>
        </w:rPr>
        <w:t>），</w:t>
      </w:r>
      <w:r>
        <w:rPr>
          <w:spacing w:val="-3"/>
          <w:sz w:val="24"/>
          <w:szCs w:val="24"/>
        </w:rPr>
        <w:t>该工程站址用地不占用生态红线、永久基本农田，位于城镇开发边界范围</w:t>
      </w:r>
      <w:r>
        <w:rPr>
          <w:spacing w:val="-1"/>
          <w:sz w:val="24"/>
          <w:szCs w:val="24"/>
        </w:rPr>
        <w:t>线外；拟建</w:t>
      </w:r>
      <w:r>
        <w:rPr>
          <w:spacing w:val="-32"/>
          <w:sz w:val="24"/>
          <w:szCs w:val="24"/>
        </w:rPr>
        <w:t xml:space="preserve"> </w:t>
      </w:r>
      <w:r>
        <w:rPr>
          <w:rFonts w:ascii="Times New Roman" w:hAnsi="Times New Roman" w:eastAsia="Times New Roman" w:cs="Times New Roman"/>
          <w:spacing w:val="-1"/>
          <w:sz w:val="24"/>
          <w:szCs w:val="24"/>
        </w:rPr>
        <w:t xml:space="preserve">110kV </w:t>
      </w:r>
      <w:r>
        <w:rPr>
          <w:spacing w:val="-1"/>
          <w:sz w:val="24"/>
          <w:szCs w:val="24"/>
        </w:rPr>
        <w:t>线路塔基不占用生态保护红线</w:t>
      </w:r>
      <w:r>
        <w:rPr>
          <w:spacing w:val="-2"/>
          <w:sz w:val="24"/>
          <w:szCs w:val="24"/>
        </w:rPr>
        <w:t>，但</w:t>
      </w:r>
      <w:r>
        <w:rPr>
          <w:spacing w:val="-50"/>
          <w:sz w:val="24"/>
          <w:szCs w:val="24"/>
        </w:rPr>
        <w:t xml:space="preserve"> </w:t>
      </w:r>
      <w:r>
        <w:rPr>
          <w:rFonts w:ascii="Times New Roman" w:hAnsi="Times New Roman" w:eastAsia="Times New Roman" w:cs="Times New Roman"/>
          <w:spacing w:val="-2"/>
          <w:sz w:val="24"/>
          <w:szCs w:val="24"/>
        </w:rPr>
        <w:t xml:space="preserve">9 </w:t>
      </w:r>
      <w:r>
        <w:rPr>
          <w:spacing w:val="-2"/>
          <w:sz w:val="24"/>
          <w:szCs w:val="24"/>
        </w:rPr>
        <w:t>个塔基占用永久基本农</w:t>
      </w:r>
      <w:r>
        <w:rPr>
          <w:spacing w:val="-8"/>
          <w:sz w:val="24"/>
          <w:szCs w:val="24"/>
        </w:rPr>
        <w:t>田，</w:t>
      </w:r>
      <w:r>
        <w:rPr>
          <w:spacing w:val="-59"/>
          <w:sz w:val="24"/>
          <w:szCs w:val="24"/>
        </w:rPr>
        <w:t xml:space="preserve"> </w:t>
      </w:r>
      <w:r>
        <w:rPr>
          <w:spacing w:val="-8"/>
          <w:sz w:val="24"/>
          <w:szCs w:val="24"/>
        </w:rPr>
        <w:t>占用塔基编号为</w:t>
      </w:r>
      <w:r>
        <w:rPr>
          <w:spacing w:val="-48"/>
          <w:sz w:val="24"/>
          <w:szCs w:val="24"/>
        </w:rPr>
        <w:t xml:space="preserve"> </w:t>
      </w:r>
      <w:r>
        <w:rPr>
          <w:rFonts w:ascii="Times New Roman" w:hAnsi="Times New Roman" w:eastAsia="Times New Roman" w:cs="Times New Roman"/>
          <w:spacing w:val="-8"/>
          <w:sz w:val="24"/>
          <w:szCs w:val="24"/>
        </w:rPr>
        <w:t>57</w:t>
      </w:r>
      <w:r>
        <w:rPr>
          <w:rFonts w:ascii="Times New Roman" w:hAnsi="Times New Roman" w:eastAsia="Times New Roman" w:cs="Times New Roman"/>
          <w:spacing w:val="-34"/>
          <w:sz w:val="24"/>
          <w:szCs w:val="24"/>
        </w:rPr>
        <w:t xml:space="preserve"> </w:t>
      </w:r>
      <w:r>
        <w:rPr>
          <w:spacing w:val="-8"/>
          <w:sz w:val="24"/>
          <w:szCs w:val="24"/>
        </w:rPr>
        <w:t>、</w:t>
      </w:r>
      <w:r>
        <w:rPr>
          <w:rFonts w:ascii="Times New Roman" w:hAnsi="Times New Roman" w:eastAsia="Times New Roman" w:cs="Times New Roman"/>
          <w:spacing w:val="-8"/>
          <w:sz w:val="24"/>
          <w:szCs w:val="24"/>
        </w:rPr>
        <w:t>58</w:t>
      </w:r>
      <w:r>
        <w:rPr>
          <w:rFonts w:ascii="Times New Roman" w:hAnsi="Times New Roman" w:eastAsia="Times New Roman" w:cs="Times New Roman"/>
          <w:spacing w:val="-34"/>
          <w:sz w:val="24"/>
          <w:szCs w:val="24"/>
        </w:rPr>
        <w:t xml:space="preserve"> </w:t>
      </w:r>
      <w:r>
        <w:rPr>
          <w:spacing w:val="-8"/>
          <w:sz w:val="24"/>
          <w:szCs w:val="24"/>
        </w:rPr>
        <w:t>、</w:t>
      </w:r>
      <w:r>
        <w:rPr>
          <w:rFonts w:ascii="Times New Roman" w:hAnsi="Times New Roman" w:eastAsia="Times New Roman" w:cs="Times New Roman"/>
          <w:spacing w:val="-8"/>
          <w:sz w:val="24"/>
          <w:szCs w:val="24"/>
        </w:rPr>
        <w:t>59</w:t>
      </w:r>
      <w:r>
        <w:rPr>
          <w:rFonts w:ascii="Times New Roman" w:hAnsi="Times New Roman" w:eastAsia="Times New Roman" w:cs="Times New Roman"/>
          <w:spacing w:val="-34"/>
          <w:sz w:val="24"/>
          <w:szCs w:val="24"/>
        </w:rPr>
        <w:t xml:space="preserve"> </w:t>
      </w:r>
      <w:r>
        <w:rPr>
          <w:spacing w:val="-8"/>
          <w:sz w:val="24"/>
          <w:szCs w:val="24"/>
        </w:rPr>
        <w:t>、</w:t>
      </w:r>
      <w:r>
        <w:rPr>
          <w:rFonts w:ascii="Times New Roman" w:hAnsi="Times New Roman" w:eastAsia="Times New Roman" w:cs="Times New Roman"/>
          <w:spacing w:val="-8"/>
          <w:sz w:val="24"/>
          <w:szCs w:val="24"/>
        </w:rPr>
        <w:t>60</w:t>
      </w:r>
      <w:r>
        <w:rPr>
          <w:rFonts w:ascii="Times New Roman" w:hAnsi="Times New Roman" w:eastAsia="Times New Roman" w:cs="Times New Roman"/>
          <w:spacing w:val="-33"/>
          <w:sz w:val="24"/>
          <w:szCs w:val="24"/>
        </w:rPr>
        <w:t xml:space="preserve"> </w:t>
      </w:r>
      <w:r>
        <w:rPr>
          <w:spacing w:val="-8"/>
          <w:sz w:val="24"/>
          <w:szCs w:val="24"/>
        </w:rPr>
        <w:t>、</w:t>
      </w:r>
      <w:r>
        <w:rPr>
          <w:rFonts w:ascii="Times New Roman" w:hAnsi="Times New Roman" w:eastAsia="Times New Roman" w:cs="Times New Roman"/>
          <w:spacing w:val="-8"/>
          <w:sz w:val="24"/>
          <w:szCs w:val="24"/>
        </w:rPr>
        <w:t>61</w:t>
      </w:r>
      <w:r>
        <w:rPr>
          <w:rFonts w:ascii="Times New Roman" w:hAnsi="Times New Roman" w:eastAsia="Times New Roman" w:cs="Times New Roman"/>
          <w:spacing w:val="-34"/>
          <w:sz w:val="24"/>
          <w:szCs w:val="24"/>
        </w:rPr>
        <w:t xml:space="preserve"> </w:t>
      </w:r>
      <w:r>
        <w:rPr>
          <w:spacing w:val="-8"/>
          <w:sz w:val="24"/>
          <w:szCs w:val="24"/>
        </w:rPr>
        <w:t>、</w:t>
      </w:r>
      <w:r>
        <w:rPr>
          <w:rFonts w:ascii="Times New Roman" w:hAnsi="Times New Roman" w:eastAsia="Times New Roman" w:cs="Times New Roman"/>
          <w:spacing w:val="-8"/>
          <w:sz w:val="24"/>
          <w:szCs w:val="24"/>
        </w:rPr>
        <w:t>62</w:t>
      </w:r>
      <w:r>
        <w:rPr>
          <w:rFonts w:ascii="Times New Roman" w:hAnsi="Times New Roman" w:eastAsia="Times New Roman" w:cs="Times New Roman"/>
          <w:spacing w:val="-34"/>
          <w:sz w:val="24"/>
          <w:szCs w:val="24"/>
        </w:rPr>
        <w:t xml:space="preserve"> </w:t>
      </w:r>
      <w:r>
        <w:rPr>
          <w:spacing w:val="-8"/>
          <w:sz w:val="24"/>
          <w:szCs w:val="24"/>
        </w:rPr>
        <w:t>、</w:t>
      </w:r>
      <w:r>
        <w:rPr>
          <w:rFonts w:ascii="Times New Roman" w:hAnsi="Times New Roman" w:eastAsia="Times New Roman" w:cs="Times New Roman"/>
          <w:spacing w:val="-8"/>
          <w:sz w:val="24"/>
          <w:szCs w:val="24"/>
        </w:rPr>
        <w:t>68</w:t>
      </w:r>
      <w:r>
        <w:rPr>
          <w:rFonts w:ascii="Times New Roman" w:hAnsi="Times New Roman" w:eastAsia="Times New Roman" w:cs="Times New Roman"/>
          <w:spacing w:val="-34"/>
          <w:sz w:val="24"/>
          <w:szCs w:val="24"/>
        </w:rPr>
        <w:t xml:space="preserve"> </w:t>
      </w:r>
      <w:r>
        <w:rPr>
          <w:spacing w:val="-8"/>
          <w:sz w:val="24"/>
          <w:szCs w:val="24"/>
        </w:rPr>
        <w:t>、</w:t>
      </w:r>
      <w:r>
        <w:rPr>
          <w:rFonts w:ascii="Times New Roman" w:hAnsi="Times New Roman" w:eastAsia="Times New Roman" w:cs="Times New Roman"/>
          <w:spacing w:val="-8"/>
          <w:sz w:val="24"/>
          <w:szCs w:val="24"/>
        </w:rPr>
        <w:t>99</w:t>
      </w:r>
      <w:r>
        <w:rPr>
          <w:rFonts w:ascii="Times New Roman" w:hAnsi="Times New Roman" w:eastAsia="Times New Roman" w:cs="Times New Roman"/>
          <w:spacing w:val="-34"/>
          <w:sz w:val="24"/>
          <w:szCs w:val="24"/>
        </w:rPr>
        <w:t xml:space="preserve"> </w:t>
      </w:r>
      <w:r>
        <w:rPr>
          <w:spacing w:val="-8"/>
          <w:sz w:val="24"/>
          <w:szCs w:val="24"/>
        </w:rPr>
        <w:t>、</w:t>
      </w:r>
      <w:r>
        <w:rPr>
          <w:rFonts w:ascii="Times New Roman" w:hAnsi="Times New Roman" w:eastAsia="Times New Roman" w:cs="Times New Roman"/>
          <w:spacing w:val="-8"/>
          <w:sz w:val="24"/>
          <w:szCs w:val="24"/>
        </w:rPr>
        <w:t>102</w:t>
      </w:r>
      <w:r>
        <w:rPr>
          <w:spacing w:val="-8"/>
          <w:sz w:val="24"/>
          <w:szCs w:val="24"/>
        </w:rPr>
        <w:t>。</w:t>
      </w:r>
    </w:p>
    <w:p w14:paraId="0F319B41">
      <w:pPr>
        <w:spacing w:line="360" w:lineRule="auto"/>
        <w:rPr>
          <w:sz w:val="24"/>
          <w:szCs w:val="24"/>
        </w:rPr>
        <w:sectPr>
          <w:footerReference r:id="rId9" w:type="default"/>
          <w:pgSz w:w="11907" w:h="16840"/>
          <w:pgMar w:top="400" w:right="1739" w:bottom="1233" w:left="1786" w:header="0" w:footer="1046" w:gutter="0"/>
          <w:cols w:space="720" w:num="1"/>
        </w:sectPr>
      </w:pPr>
    </w:p>
    <w:p w14:paraId="4B754B4E">
      <w:pPr>
        <w:spacing w:line="247" w:lineRule="auto"/>
        <w:rPr>
          <w:rFonts w:ascii="Arial"/>
          <w:sz w:val="21"/>
        </w:rPr>
      </w:pPr>
    </w:p>
    <w:p w14:paraId="48713EC8">
      <w:pPr>
        <w:spacing w:line="248" w:lineRule="auto"/>
        <w:rPr>
          <w:rFonts w:ascii="Arial"/>
          <w:sz w:val="21"/>
        </w:rPr>
      </w:pPr>
    </w:p>
    <w:p w14:paraId="4F1046BF">
      <w:pPr>
        <w:spacing w:line="248" w:lineRule="auto"/>
        <w:rPr>
          <w:rFonts w:ascii="Arial"/>
          <w:sz w:val="21"/>
        </w:rPr>
      </w:pPr>
    </w:p>
    <w:p w14:paraId="44A65F43">
      <w:pPr>
        <w:spacing w:line="248" w:lineRule="auto"/>
        <w:rPr>
          <w:rFonts w:ascii="Arial"/>
          <w:sz w:val="21"/>
        </w:rPr>
      </w:pPr>
    </w:p>
    <w:p w14:paraId="25EAB1A0">
      <w:pPr>
        <w:pStyle w:val="2"/>
        <w:spacing w:before="78" w:line="219" w:lineRule="auto"/>
        <w:ind w:left="45"/>
        <w:rPr>
          <w:sz w:val="24"/>
          <w:szCs w:val="24"/>
        </w:rPr>
      </w:pPr>
      <w:r>
        <w:rPr>
          <w:b/>
          <w:bCs/>
          <w:spacing w:val="-6"/>
          <w:sz w:val="24"/>
          <w:szCs w:val="24"/>
        </w:rPr>
        <w:t>四、环评编制说明</w:t>
      </w:r>
    </w:p>
    <w:p w14:paraId="57276308">
      <w:pPr>
        <w:pStyle w:val="2"/>
        <w:spacing w:before="183" w:line="359" w:lineRule="auto"/>
        <w:ind w:left="23" w:right="14" w:firstLine="482"/>
        <w:jc w:val="both"/>
        <w:rPr>
          <w:sz w:val="24"/>
          <w:szCs w:val="24"/>
        </w:rPr>
      </w:pPr>
      <w:r>
        <w:rPr>
          <w:spacing w:val="-10"/>
          <w:sz w:val="24"/>
          <w:szCs w:val="24"/>
        </w:rPr>
        <w:t>根据《中华人民共和国环境影响评价法》《建设项目环境保护</w:t>
      </w:r>
      <w:r>
        <w:rPr>
          <w:spacing w:val="-11"/>
          <w:sz w:val="24"/>
          <w:szCs w:val="24"/>
        </w:rPr>
        <w:t>管理条例》（国</w:t>
      </w:r>
      <w:r>
        <w:rPr>
          <w:spacing w:val="-3"/>
          <w:sz w:val="24"/>
          <w:szCs w:val="24"/>
        </w:rPr>
        <w:t>务院令第</w:t>
      </w:r>
      <w:r>
        <w:rPr>
          <w:spacing w:val="-50"/>
          <w:sz w:val="24"/>
          <w:szCs w:val="24"/>
        </w:rPr>
        <w:t xml:space="preserve"> </w:t>
      </w:r>
      <w:r>
        <w:rPr>
          <w:rFonts w:ascii="Times New Roman" w:hAnsi="Times New Roman" w:eastAsia="Times New Roman" w:cs="Times New Roman"/>
          <w:spacing w:val="-3"/>
          <w:sz w:val="24"/>
          <w:szCs w:val="24"/>
        </w:rPr>
        <w:t>682</w:t>
      </w:r>
      <w:r>
        <w:rPr>
          <w:rFonts w:ascii="Times New Roman" w:hAnsi="Times New Roman" w:eastAsia="Times New Roman" w:cs="Times New Roman"/>
          <w:spacing w:val="16"/>
          <w:sz w:val="24"/>
          <w:szCs w:val="24"/>
        </w:rPr>
        <w:t xml:space="preserve"> </w:t>
      </w:r>
      <w:r>
        <w:rPr>
          <w:spacing w:val="-3"/>
          <w:sz w:val="24"/>
          <w:szCs w:val="24"/>
        </w:rPr>
        <w:t>号</w:t>
      </w:r>
      <w:r>
        <w:rPr>
          <w:spacing w:val="-14"/>
          <w:sz w:val="24"/>
          <w:szCs w:val="24"/>
        </w:rPr>
        <w:t>），</w:t>
      </w:r>
      <w:r>
        <w:rPr>
          <w:spacing w:val="-3"/>
          <w:sz w:val="24"/>
          <w:szCs w:val="24"/>
        </w:rPr>
        <w:t>本项目应进行环境影响评价。依据《建设项目环境影响评价</w:t>
      </w:r>
      <w:r>
        <w:rPr>
          <w:spacing w:val="-2"/>
          <w:sz w:val="24"/>
          <w:szCs w:val="24"/>
        </w:rPr>
        <w:t>分类管理名录（</w:t>
      </w:r>
      <w:r>
        <w:rPr>
          <w:rFonts w:ascii="Times New Roman" w:hAnsi="Times New Roman" w:eastAsia="Times New Roman" w:cs="Times New Roman"/>
          <w:spacing w:val="-2"/>
          <w:sz w:val="24"/>
          <w:szCs w:val="24"/>
        </w:rPr>
        <w:t xml:space="preserve">2021 </w:t>
      </w:r>
      <w:r>
        <w:rPr>
          <w:spacing w:val="-2"/>
          <w:sz w:val="24"/>
          <w:szCs w:val="24"/>
        </w:rPr>
        <w:t>版）》：</w:t>
      </w:r>
      <w:r>
        <w:rPr>
          <w:rFonts w:ascii="Times New Roman" w:hAnsi="Times New Roman" w:eastAsia="Times New Roman" w:cs="Times New Roman"/>
          <w:spacing w:val="-2"/>
          <w:sz w:val="24"/>
          <w:szCs w:val="24"/>
        </w:rPr>
        <w:t>“</w:t>
      </w:r>
      <w:r>
        <w:rPr>
          <w:spacing w:val="-2"/>
          <w:sz w:val="24"/>
          <w:szCs w:val="24"/>
        </w:rPr>
        <w:t>五十五、核与辐射</w:t>
      </w:r>
      <w:r>
        <w:rPr>
          <w:rFonts w:ascii="Times New Roman" w:hAnsi="Times New Roman" w:eastAsia="Times New Roman" w:cs="Times New Roman"/>
          <w:spacing w:val="-2"/>
          <w:sz w:val="24"/>
          <w:szCs w:val="24"/>
        </w:rPr>
        <w:t xml:space="preserve">—161 </w:t>
      </w:r>
      <w:r>
        <w:rPr>
          <w:spacing w:val="-2"/>
          <w:sz w:val="24"/>
          <w:szCs w:val="24"/>
        </w:rPr>
        <w:t>输变电工程</w:t>
      </w:r>
      <w:r>
        <w:rPr>
          <w:rFonts w:ascii="Times New Roman" w:hAnsi="Times New Roman" w:eastAsia="Times New Roman" w:cs="Times New Roman"/>
          <w:spacing w:val="-3"/>
          <w:sz w:val="24"/>
          <w:szCs w:val="24"/>
        </w:rPr>
        <w:t>—</w:t>
      </w:r>
      <w:r>
        <w:rPr>
          <w:spacing w:val="-3"/>
          <w:sz w:val="24"/>
          <w:szCs w:val="24"/>
        </w:rPr>
        <w:t>其他（</w:t>
      </w:r>
      <w:r>
        <w:rPr>
          <w:rFonts w:ascii="Times New Roman" w:hAnsi="Times New Roman" w:eastAsia="Times New Roman" w:cs="Times New Roman"/>
          <w:spacing w:val="-3"/>
          <w:sz w:val="24"/>
          <w:szCs w:val="24"/>
        </w:rPr>
        <w:t>100</w:t>
      </w:r>
      <w:r>
        <w:rPr>
          <w:spacing w:val="-5"/>
          <w:sz w:val="24"/>
          <w:szCs w:val="24"/>
        </w:rPr>
        <w:t>千伏以下除外）</w:t>
      </w:r>
      <w:r>
        <w:rPr>
          <w:rFonts w:ascii="Times New Roman" w:hAnsi="Times New Roman" w:eastAsia="Times New Roman" w:cs="Times New Roman"/>
          <w:spacing w:val="-5"/>
          <w:sz w:val="24"/>
          <w:szCs w:val="24"/>
        </w:rPr>
        <w:t>”</w:t>
      </w:r>
      <w:r>
        <w:rPr>
          <w:rFonts w:ascii="Times New Roman" w:hAnsi="Times New Roman" w:eastAsia="Times New Roman" w:cs="Times New Roman"/>
          <w:spacing w:val="-21"/>
          <w:sz w:val="24"/>
          <w:szCs w:val="24"/>
        </w:rPr>
        <w:t xml:space="preserve"> </w:t>
      </w:r>
      <w:r>
        <w:rPr>
          <w:spacing w:val="-5"/>
          <w:sz w:val="24"/>
          <w:szCs w:val="24"/>
        </w:rPr>
        <w:t>,</w:t>
      </w:r>
      <w:r>
        <w:rPr>
          <w:spacing w:val="64"/>
          <w:sz w:val="24"/>
          <w:szCs w:val="24"/>
        </w:rPr>
        <w:t xml:space="preserve"> </w:t>
      </w:r>
      <w:r>
        <w:rPr>
          <w:spacing w:val="-5"/>
          <w:sz w:val="24"/>
          <w:szCs w:val="24"/>
        </w:rPr>
        <w:t>本项目应编制环境影响报告表。</w:t>
      </w:r>
    </w:p>
    <w:p w14:paraId="57EF1C78">
      <w:pPr>
        <w:pStyle w:val="2"/>
        <w:spacing w:before="4" w:line="359" w:lineRule="auto"/>
        <w:ind w:left="21" w:right="14" w:firstLine="479"/>
        <w:jc w:val="both"/>
        <w:rPr>
          <w:sz w:val="24"/>
          <w:szCs w:val="24"/>
        </w:rPr>
      </w:pPr>
      <w:r>
        <w:rPr>
          <w:rFonts w:ascii="Times New Roman" w:hAnsi="Times New Roman" w:eastAsia="Times New Roman" w:cs="Times New Roman"/>
          <w:spacing w:val="2"/>
          <w:sz w:val="24"/>
          <w:szCs w:val="24"/>
        </w:rPr>
        <w:t xml:space="preserve">2025 </w:t>
      </w:r>
      <w:r>
        <w:rPr>
          <w:spacing w:val="2"/>
          <w:sz w:val="24"/>
          <w:szCs w:val="24"/>
        </w:rPr>
        <w:t>年</w:t>
      </w:r>
      <w:r>
        <w:rPr>
          <w:spacing w:val="-52"/>
          <w:sz w:val="24"/>
          <w:szCs w:val="24"/>
        </w:rPr>
        <w:t xml:space="preserve"> </w:t>
      </w:r>
      <w:r>
        <w:rPr>
          <w:rFonts w:ascii="Times New Roman" w:hAnsi="Times New Roman" w:eastAsia="Times New Roman" w:cs="Times New Roman"/>
          <w:spacing w:val="2"/>
          <w:sz w:val="24"/>
          <w:szCs w:val="24"/>
        </w:rPr>
        <w:t>4</w:t>
      </w:r>
      <w:r>
        <w:rPr>
          <w:rFonts w:ascii="Times New Roman" w:hAnsi="Times New Roman" w:eastAsia="Times New Roman" w:cs="Times New Roman"/>
          <w:spacing w:val="18"/>
          <w:sz w:val="24"/>
          <w:szCs w:val="24"/>
        </w:rPr>
        <w:t xml:space="preserve"> </w:t>
      </w:r>
      <w:r>
        <w:rPr>
          <w:spacing w:val="2"/>
          <w:sz w:val="24"/>
          <w:szCs w:val="24"/>
        </w:rPr>
        <w:t>月，云南电网有限责任公司曲靖供</w:t>
      </w:r>
      <w:r>
        <w:rPr>
          <w:spacing w:val="1"/>
          <w:sz w:val="24"/>
          <w:szCs w:val="24"/>
        </w:rPr>
        <w:t>电局（以下简称</w:t>
      </w:r>
      <w:r>
        <w:rPr>
          <w:rFonts w:ascii="Times New Roman" w:hAnsi="Times New Roman" w:eastAsia="Times New Roman" w:cs="Times New Roman"/>
          <w:spacing w:val="1"/>
          <w:sz w:val="24"/>
          <w:szCs w:val="24"/>
        </w:rPr>
        <w:t>“</w:t>
      </w:r>
      <w:r>
        <w:rPr>
          <w:rFonts w:ascii="Times New Roman" w:hAnsi="Times New Roman" w:eastAsia="Times New Roman" w:cs="Times New Roman"/>
          <w:spacing w:val="-44"/>
          <w:sz w:val="24"/>
          <w:szCs w:val="24"/>
        </w:rPr>
        <w:t xml:space="preserve"> </w:t>
      </w:r>
      <w:r>
        <w:rPr>
          <w:spacing w:val="1"/>
          <w:sz w:val="24"/>
          <w:szCs w:val="24"/>
        </w:rPr>
        <w:t>建设单位</w:t>
      </w:r>
      <w:r>
        <w:rPr>
          <w:rFonts w:ascii="Times New Roman" w:hAnsi="Times New Roman" w:eastAsia="Times New Roman" w:cs="Times New Roman"/>
          <w:spacing w:val="1"/>
          <w:sz w:val="24"/>
          <w:szCs w:val="24"/>
        </w:rPr>
        <w:t>”</w:t>
      </w:r>
      <w:r>
        <w:rPr>
          <w:spacing w:val="1"/>
          <w:sz w:val="24"/>
          <w:szCs w:val="24"/>
        </w:rPr>
        <w:t>）</w:t>
      </w:r>
      <w:r>
        <w:rPr>
          <w:spacing w:val="-2"/>
          <w:sz w:val="24"/>
          <w:szCs w:val="24"/>
        </w:rPr>
        <w:t>委托四川众望安全环保技术咨询有限公司（以下简称</w:t>
      </w:r>
      <w:r>
        <w:rPr>
          <w:rFonts w:ascii="Times New Roman" w:hAnsi="Times New Roman" w:eastAsia="Times New Roman" w:cs="Times New Roman"/>
          <w:spacing w:val="-2"/>
          <w:sz w:val="24"/>
          <w:szCs w:val="24"/>
        </w:rPr>
        <w:t>“</w:t>
      </w:r>
      <w:r>
        <w:rPr>
          <w:spacing w:val="-2"/>
          <w:sz w:val="24"/>
          <w:szCs w:val="24"/>
        </w:rPr>
        <w:t>我公司</w:t>
      </w:r>
      <w:r>
        <w:rPr>
          <w:rFonts w:ascii="Times New Roman" w:hAnsi="Times New Roman" w:eastAsia="Times New Roman" w:cs="Times New Roman"/>
          <w:spacing w:val="-2"/>
          <w:sz w:val="24"/>
          <w:szCs w:val="24"/>
        </w:rPr>
        <w:t>”</w:t>
      </w:r>
      <w:r>
        <w:rPr>
          <w:spacing w:val="-2"/>
          <w:sz w:val="24"/>
          <w:szCs w:val="24"/>
        </w:rPr>
        <w:t>）进行项</w:t>
      </w:r>
      <w:r>
        <w:rPr>
          <w:spacing w:val="-3"/>
          <w:sz w:val="24"/>
          <w:szCs w:val="24"/>
        </w:rPr>
        <w:t>目的环境影响评价工作。接受委托后，我单位经过现场调查、收集资料等前期工作后，按</w:t>
      </w:r>
      <w:r>
        <w:rPr>
          <w:spacing w:val="-1"/>
          <w:sz w:val="24"/>
          <w:szCs w:val="24"/>
        </w:rPr>
        <w:t>照《建设项目环境影响报告表编制技术指南（</w:t>
      </w:r>
      <w:r>
        <w:rPr>
          <w:spacing w:val="-2"/>
          <w:sz w:val="24"/>
          <w:szCs w:val="24"/>
        </w:rPr>
        <w:t>生态影响类</w:t>
      </w:r>
      <w:r>
        <w:rPr>
          <w:spacing w:val="-29"/>
          <w:sz w:val="24"/>
          <w:szCs w:val="24"/>
        </w:rPr>
        <w:t>）（</w:t>
      </w:r>
      <w:r>
        <w:rPr>
          <w:spacing w:val="-2"/>
          <w:sz w:val="24"/>
          <w:szCs w:val="24"/>
        </w:rPr>
        <w:t>试行）》、《环境</w:t>
      </w:r>
      <w:r>
        <w:rPr>
          <w:spacing w:val="1"/>
          <w:sz w:val="24"/>
          <w:szCs w:val="24"/>
        </w:rPr>
        <w:t>影响评价技术导则 输变电》（</w:t>
      </w:r>
      <w:r>
        <w:rPr>
          <w:rFonts w:ascii="Times New Roman" w:hAnsi="Times New Roman" w:eastAsia="Times New Roman" w:cs="Times New Roman"/>
          <w:sz w:val="24"/>
          <w:szCs w:val="24"/>
        </w:rPr>
        <w:t>HJ</w:t>
      </w:r>
      <w:r>
        <w:rPr>
          <w:rFonts w:ascii="Times New Roman" w:hAnsi="Times New Roman" w:eastAsia="Times New Roman" w:cs="Times New Roman"/>
          <w:spacing w:val="1"/>
          <w:sz w:val="24"/>
          <w:szCs w:val="24"/>
        </w:rPr>
        <w:t>24-2020</w:t>
      </w:r>
      <w:r>
        <w:rPr>
          <w:spacing w:val="1"/>
          <w:sz w:val="24"/>
          <w:szCs w:val="24"/>
        </w:rPr>
        <w:t>）、《环境影响评价技</w:t>
      </w:r>
      <w:r>
        <w:rPr>
          <w:sz w:val="24"/>
          <w:szCs w:val="24"/>
        </w:rPr>
        <w:t>术导则 生态影</w:t>
      </w:r>
      <w:r>
        <w:rPr>
          <w:spacing w:val="1"/>
          <w:sz w:val="24"/>
          <w:szCs w:val="24"/>
        </w:rPr>
        <w:t>响》（</w:t>
      </w:r>
      <w:r>
        <w:rPr>
          <w:rFonts w:ascii="Times New Roman" w:hAnsi="Times New Roman" w:eastAsia="Times New Roman" w:cs="Times New Roman"/>
          <w:sz w:val="24"/>
          <w:szCs w:val="24"/>
        </w:rPr>
        <w:t>HJ</w:t>
      </w:r>
      <w:r>
        <w:rPr>
          <w:rFonts w:ascii="Times New Roman" w:hAnsi="Times New Roman" w:eastAsia="Times New Roman" w:cs="Times New Roman"/>
          <w:spacing w:val="1"/>
          <w:sz w:val="24"/>
          <w:szCs w:val="24"/>
        </w:rPr>
        <w:t>19-2022</w:t>
      </w:r>
      <w:r>
        <w:rPr>
          <w:spacing w:val="1"/>
          <w:sz w:val="24"/>
          <w:szCs w:val="24"/>
        </w:rPr>
        <w:t>）等技术文件，编制完成了《</w:t>
      </w:r>
      <w:r>
        <w:rPr>
          <w:rFonts w:ascii="Times New Roman" w:hAnsi="Times New Roman" w:eastAsia="Times New Roman" w:cs="Times New Roman"/>
          <w:spacing w:val="1"/>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松山输变电工程环境影响</w:t>
      </w:r>
      <w:r>
        <w:rPr>
          <w:spacing w:val="-1"/>
          <w:sz w:val="24"/>
          <w:szCs w:val="24"/>
        </w:rPr>
        <w:t>报告表》，供建设单位上报审批。</w:t>
      </w:r>
    </w:p>
    <w:p w14:paraId="64E79D21">
      <w:pPr>
        <w:spacing w:line="359" w:lineRule="auto"/>
        <w:rPr>
          <w:sz w:val="24"/>
          <w:szCs w:val="24"/>
        </w:rPr>
        <w:sectPr>
          <w:footerReference r:id="rId10" w:type="default"/>
          <w:pgSz w:w="11907" w:h="16840"/>
          <w:pgMar w:top="400" w:right="1786" w:bottom="1233" w:left="1786" w:header="0" w:footer="1046" w:gutter="0"/>
          <w:cols w:space="720" w:num="1"/>
        </w:sectPr>
      </w:pPr>
    </w:p>
    <w:p w14:paraId="71A3DAE2">
      <w:pPr>
        <w:spacing w:line="245" w:lineRule="auto"/>
        <w:rPr>
          <w:rFonts w:ascii="Arial"/>
          <w:sz w:val="21"/>
        </w:rPr>
      </w:pPr>
    </w:p>
    <w:p w14:paraId="0982A2C9">
      <w:pPr>
        <w:spacing w:line="245" w:lineRule="auto"/>
        <w:rPr>
          <w:rFonts w:ascii="Arial"/>
          <w:sz w:val="21"/>
        </w:rPr>
      </w:pPr>
    </w:p>
    <w:p w14:paraId="70DADCAD">
      <w:pPr>
        <w:spacing w:line="245" w:lineRule="auto"/>
        <w:rPr>
          <w:rFonts w:ascii="Arial"/>
          <w:sz w:val="21"/>
        </w:rPr>
      </w:pPr>
    </w:p>
    <w:p w14:paraId="638A0525">
      <w:pPr>
        <w:spacing w:line="246" w:lineRule="auto"/>
        <w:rPr>
          <w:rFonts w:ascii="Arial"/>
          <w:sz w:val="21"/>
        </w:rPr>
      </w:pPr>
    </w:p>
    <w:p w14:paraId="7187C55E">
      <w:pPr>
        <w:pStyle w:val="2"/>
        <w:spacing w:before="98" w:line="219" w:lineRule="auto"/>
        <w:ind w:left="2689"/>
        <w:rPr>
          <w:sz w:val="30"/>
          <w:szCs w:val="30"/>
        </w:rPr>
      </w:pPr>
      <w:r>
        <w:rPr>
          <w:b/>
          <w:bCs/>
          <w:spacing w:val="-4"/>
          <w:sz w:val="30"/>
          <w:szCs w:val="30"/>
        </w:rPr>
        <w:t>一、建设项目基本情况</w:t>
      </w:r>
    </w:p>
    <w:p w14:paraId="3E706569">
      <w:pPr>
        <w:spacing w:line="183" w:lineRule="exact"/>
      </w:pPr>
    </w:p>
    <w:tbl>
      <w:tblPr>
        <w:tblStyle w:val="5"/>
        <w:tblW w:w="81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80"/>
        <w:gridCol w:w="2089"/>
        <w:gridCol w:w="2250"/>
        <w:gridCol w:w="2615"/>
      </w:tblGrid>
      <w:tr w14:paraId="47EEB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2" w:hRule="atLeast"/>
        </w:trPr>
        <w:tc>
          <w:tcPr>
            <w:tcW w:w="1180" w:type="dxa"/>
            <w:vAlign w:val="top"/>
          </w:tcPr>
          <w:p w14:paraId="26D89DFB">
            <w:pPr>
              <w:pStyle w:val="6"/>
              <w:spacing w:before="54" w:line="226" w:lineRule="auto"/>
              <w:ind w:left="351" w:right="105" w:hanging="240"/>
              <w:rPr>
                <w:sz w:val="24"/>
                <w:szCs w:val="24"/>
              </w:rPr>
            </w:pPr>
            <w:r>
              <w:rPr>
                <w:spacing w:val="-4"/>
                <w:sz w:val="24"/>
                <w:szCs w:val="24"/>
              </w:rPr>
              <w:t>建设项目</w:t>
            </w:r>
            <w:r>
              <w:rPr>
                <w:spacing w:val="-7"/>
                <w:sz w:val="24"/>
                <w:szCs w:val="24"/>
              </w:rPr>
              <w:t>名称</w:t>
            </w:r>
          </w:p>
        </w:tc>
        <w:tc>
          <w:tcPr>
            <w:tcW w:w="6954" w:type="dxa"/>
            <w:gridSpan w:val="3"/>
            <w:vAlign w:val="top"/>
          </w:tcPr>
          <w:p w14:paraId="3C244E7C">
            <w:pPr>
              <w:pStyle w:val="6"/>
              <w:spacing w:before="211" w:line="219" w:lineRule="auto"/>
              <w:ind w:left="2302"/>
              <w:rPr>
                <w:sz w:val="24"/>
                <w:szCs w:val="24"/>
              </w:rPr>
            </w:pPr>
            <w:r>
              <w:rPr>
                <w:rFonts w:ascii="Times New Roman" w:hAnsi="Times New Roman" w:eastAsia="Times New Roman" w:cs="Times New Roman"/>
                <w:spacing w:val="-3"/>
                <w:sz w:val="24"/>
                <w:szCs w:val="24"/>
              </w:rPr>
              <w:t xml:space="preserve">110kV </w:t>
            </w:r>
            <w:r>
              <w:rPr>
                <w:spacing w:val="-3"/>
                <w:sz w:val="24"/>
                <w:szCs w:val="24"/>
              </w:rPr>
              <w:t>松山输变电工程</w:t>
            </w:r>
          </w:p>
        </w:tc>
      </w:tr>
      <w:tr w14:paraId="5ED48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6" w:hRule="atLeast"/>
        </w:trPr>
        <w:tc>
          <w:tcPr>
            <w:tcW w:w="1180" w:type="dxa"/>
            <w:vAlign w:val="top"/>
          </w:tcPr>
          <w:p w14:paraId="6B1CBB6A">
            <w:pPr>
              <w:pStyle w:val="6"/>
              <w:spacing w:before="70" w:line="219" w:lineRule="auto"/>
              <w:ind w:left="112"/>
              <w:rPr>
                <w:sz w:val="24"/>
                <w:szCs w:val="24"/>
              </w:rPr>
            </w:pPr>
            <w:r>
              <w:rPr>
                <w:spacing w:val="-4"/>
                <w:sz w:val="24"/>
                <w:szCs w:val="24"/>
              </w:rPr>
              <w:t>项目代码</w:t>
            </w:r>
          </w:p>
        </w:tc>
        <w:tc>
          <w:tcPr>
            <w:tcW w:w="6954" w:type="dxa"/>
            <w:gridSpan w:val="3"/>
            <w:vAlign w:val="top"/>
          </w:tcPr>
          <w:p w14:paraId="673AF525">
            <w:pPr>
              <w:spacing w:before="111" w:line="188" w:lineRule="auto"/>
              <w:ind w:left="2111"/>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2507-530322-04-01-243519</w:t>
            </w:r>
          </w:p>
        </w:tc>
      </w:tr>
      <w:tr w14:paraId="0E348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3" w:hRule="atLeast"/>
        </w:trPr>
        <w:tc>
          <w:tcPr>
            <w:tcW w:w="1180" w:type="dxa"/>
            <w:vAlign w:val="top"/>
          </w:tcPr>
          <w:p w14:paraId="26E6AAFC">
            <w:pPr>
              <w:pStyle w:val="6"/>
              <w:spacing w:before="48" w:line="225" w:lineRule="auto"/>
              <w:ind w:left="229" w:right="105" w:hanging="118"/>
              <w:rPr>
                <w:sz w:val="24"/>
                <w:szCs w:val="24"/>
              </w:rPr>
            </w:pPr>
            <w:r>
              <w:rPr>
                <w:spacing w:val="-4"/>
                <w:sz w:val="24"/>
                <w:szCs w:val="24"/>
              </w:rPr>
              <w:t>建设单位联系人</w:t>
            </w:r>
          </w:p>
        </w:tc>
        <w:tc>
          <w:tcPr>
            <w:tcW w:w="2089" w:type="dxa"/>
            <w:vAlign w:val="top"/>
          </w:tcPr>
          <w:p w14:paraId="3E0B3D16">
            <w:pPr>
              <w:rPr>
                <w:rFonts w:ascii="Arial"/>
                <w:sz w:val="21"/>
              </w:rPr>
            </w:pPr>
          </w:p>
        </w:tc>
        <w:tc>
          <w:tcPr>
            <w:tcW w:w="2250" w:type="dxa"/>
            <w:vAlign w:val="top"/>
          </w:tcPr>
          <w:p w14:paraId="49B1CCA7">
            <w:pPr>
              <w:pStyle w:val="6"/>
              <w:spacing w:before="201" w:line="221" w:lineRule="auto"/>
              <w:ind w:left="649"/>
              <w:rPr>
                <w:sz w:val="24"/>
                <w:szCs w:val="24"/>
              </w:rPr>
            </w:pPr>
            <w:r>
              <w:rPr>
                <w:spacing w:val="-3"/>
                <w:sz w:val="24"/>
                <w:szCs w:val="24"/>
              </w:rPr>
              <w:t>联系方式</w:t>
            </w:r>
          </w:p>
        </w:tc>
        <w:tc>
          <w:tcPr>
            <w:tcW w:w="2615" w:type="dxa"/>
            <w:vAlign w:val="top"/>
          </w:tcPr>
          <w:p w14:paraId="3A82BDE0">
            <w:pPr>
              <w:rPr>
                <w:rFonts w:ascii="Arial"/>
                <w:sz w:val="21"/>
              </w:rPr>
            </w:pPr>
          </w:p>
        </w:tc>
      </w:tr>
      <w:tr w14:paraId="19F83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2" w:hRule="atLeast"/>
        </w:trPr>
        <w:tc>
          <w:tcPr>
            <w:tcW w:w="1180" w:type="dxa"/>
            <w:vAlign w:val="top"/>
          </w:tcPr>
          <w:p w14:paraId="3FB3468F">
            <w:pPr>
              <w:pStyle w:val="6"/>
              <w:spacing w:before="71" w:line="221" w:lineRule="auto"/>
              <w:ind w:left="111"/>
              <w:rPr>
                <w:sz w:val="24"/>
                <w:szCs w:val="24"/>
              </w:rPr>
            </w:pPr>
            <w:r>
              <w:rPr>
                <w:spacing w:val="-4"/>
                <w:sz w:val="24"/>
                <w:szCs w:val="24"/>
              </w:rPr>
              <w:t>建设地点</w:t>
            </w:r>
          </w:p>
        </w:tc>
        <w:tc>
          <w:tcPr>
            <w:tcW w:w="6954" w:type="dxa"/>
            <w:gridSpan w:val="3"/>
            <w:vAlign w:val="top"/>
          </w:tcPr>
          <w:p w14:paraId="74B3AD0C">
            <w:pPr>
              <w:pStyle w:val="6"/>
              <w:spacing w:before="71" w:line="219" w:lineRule="auto"/>
              <w:ind w:left="360"/>
              <w:rPr>
                <w:sz w:val="24"/>
                <w:szCs w:val="24"/>
              </w:rPr>
            </w:pPr>
            <w:r>
              <w:rPr>
                <w:spacing w:val="-1"/>
                <w:sz w:val="24"/>
                <w:szCs w:val="24"/>
              </w:rPr>
              <w:t>云南省曲靖市陆良县芳华镇、板桥镇、三岔河镇、中枢街道</w:t>
            </w:r>
          </w:p>
        </w:tc>
      </w:tr>
      <w:tr w14:paraId="3A9E9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7" w:hRule="atLeast"/>
        </w:trPr>
        <w:tc>
          <w:tcPr>
            <w:tcW w:w="1180" w:type="dxa"/>
            <w:vAlign w:val="top"/>
          </w:tcPr>
          <w:p w14:paraId="3581D822">
            <w:pPr>
              <w:spacing w:line="260" w:lineRule="auto"/>
              <w:rPr>
                <w:rFonts w:ascii="Arial"/>
                <w:sz w:val="21"/>
              </w:rPr>
            </w:pPr>
          </w:p>
          <w:p w14:paraId="08D25011">
            <w:pPr>
              <w:spacing w:line="260" w:lineRule="auto"/>
              <w:rPr>
                <w:rFonts w:ascii="Arial"/>
                <w:sz w:val="21"/>
              </w:rPr>
            </w:pPr>
          </w:p>
          <w:p w14:paraId="7EBFA962">
            <w:pPr>
              <w:spacing w:line="260" w:lineRule="auto"/>
              <w:rPr>
                <w:rFonts w:ascii="Arial"/>
                <w:sz w:val="21"/>
              </w:rPr>
            </w:pPr>
          </w:p>
          <w:p w14:paraId="2FAF776D">
            <w:pPr>
              <w:spacing w:line="260" w:lineRule="auto"/>
              <w:rPr>
                <w:rFonts w:ascii="Arial"/>
                <w:sz w:val="21"/>
              </w:rPr>
            </w:pPr>
          </w:p>
          <w:p w14:paraId="3F734254">
            <w:pPr>
              <w:spacing w:line="260" w:lineRule="auto"/>
              <w:rPr>
                <w:rFonts w:ascii="Arial"/>
                <w:sz w:val="21"/>
              </w:rPr>
            </w:pPr>
          </w:p>
          <w:p w14:paraId="4E67312E">
            <w:pPr>
              <w:spacing w:line="260" w:lineRule="auto"/>
              <w:rPr>
                <w:rFonts w:ascii="Arial"/>
                <w:sz w:val="21"/>
              </w:rPr>
            </w:pPr>
          </w:p>
          <w:p w14:paraId="31D8CC25">
            <w:pPr>
              <w:spacing w:line="260" w:lineRule="auto"/>
              <w:rPr>
                <w:rFonts w:ascii="Arial"/>
                <w:sz w:val="21"/>
              </w:rPr>
            </w:pPr>
          </w:p>
          <w:p w14:paraId="0B4EF0DF">
            <w:pPr>
              <w:spacing w:line="260" w:lineRule="auto"/>
              <w:rPr>
                <w:rFonts w:ascii="Arial"/>
                <w:sz w:val="21"/>
              </w:rPr>
            </w:pPr>
          </w:p>
          <w:p w14:paraId="11C01322">
            <w:pPr>
              <w:spacing w:line="260" w:lineRule="auto"/>
              <w:rPr>
                <w:rFonts w:ascii="Arial"/>
                <w:sz w:val="21"/>
              </w:rPr>
            </w:pPr>
          </w:p>
          <w:p w14:paraId="381E255D">
            <w:pPr>
              <w:spacing w:line="260" w:lineRule="auto"/>
              <w:rPr>
                <w:rFonts w:ascii="Arial"/>
                <w:sz w:val="21"/>
              </w:rPr>
            </w:pPr>
          </w:p>
          <w:p w14:paraId="25AC750D">
            <w:pPr>
              <w:pStyle w:val="6"/>
              <w:spacing w:before="78" w:line="220" w:lineRule="auto"/>
              <w:ind w:left="108"/>
              <w:rPr>
                <w:sz w:val="24"/>
                <w:szCs w:val="24"/>
              </w:rPr>
            </w:pPr>
            <w:r>
              <w:rPr>
                <w:spacing w:val="-3"/>
                <w:sz w:val="24"/>
                <w:szCs w:val="24"/>
              </w:rPr>
              <w:t>地理坐标</w:t>
            </w:r>
          </w:p>
        </w:tc>
        <w:tc>
          <w:tcPr>
            <w:tcW w:w="6954" w:type="dxa"/>
            <w:gridSpan w:val="3"/>
            <w:vAlign w:val="top"/>
          </w:tcPr>
          <w:p w14:paraId="11550E35">
            <w:pPr>
              <w:pStyle w:val="6"/>
              <w:spacing w:before="49" w:line="359" w:lineRule="auto"/>
              <w:ind w:left="10" w:right="50" w:firstLine="487"/>
              <w:rPr>
                <w:sz w:val="24"/>
                <w:szCs w:val="24"/>
              </w:rPr>
            </w:pPr>
            <w:r>
              <w:rPr>
                <w:spacing w:val="-3"/>
                <w:sz w:val="24"/>
                <w:szCs w:val="24"/>
              </w:rPr>
              <w:t>（</w:t>
            </w:r>
            <w:r>
              <w:rPr>
                <w:rFonts w:ascii="Times New Roman" w:hAnsi="Times New Roman" w:eastAsia="Times New Roman" w:cs="Times New Roman"/>
                <w:spacing w:val="-3"/>
                <w:sz w:val="24"/>
                <w:szCs w:val="24"/>
              </w:rPr>
              <w:t>1</w:t>
            </w:r>
            <w:r>
              <w:rPr>
                <w:spacing w:val="-3"/>
                <w:sz w:val="24"/>
                <w:szCs w:val="24"/>
              </w:rPr>
              <w:t>）</w:t>
            </w:r>
            <w:r>
              <w:rPr>
                <w:rFonts w:ascii="Times New Roman" w:hAnsi="Times New Roman" w:eastAsia="Times New Roman" w:cs="Times New Roman"/>
                <w:spacing w:val="-3"/>
                <w:sz w:val="24"/>
                <w:szCs w:val="24"/>
              </w:rPr>
              <w:t xml:space="preserve">110kV </w:t>
            </w:r>
            <w:r>
              <w:rPr>
                <w:spacing w:val="-3"/>
                <w:sz w:val="24"/>
                <w:szCs w:val="24"/>
              </w:rPr>
              <w:t>松山变电站站址中心坐标：东经</w:t>
            </w:r>
            <w:r>
              <w:rPr>
                <w:spacing w:val="-27"/>
                <w:sz w:val="24"/>
                <w:szCs w:val="24"/>
              </w:rPr>
              <w:t xml:space="preserve"> </w:t>
            </w:r>
            <w:r>
              <w:rPr>
                <w:rFonts w:ascii="Times New Roman" w:hAnsi="Times New Roman" w:eastAsia="Times New Roman" w:cs="Times New Roman"/>
                <w:spacing w:val="-3"/>
                <w:sz w:val="24"/>
                <w:szCs w:val="24"/>
              </w:rPr>
              <w:t>103°44'25.383"</w:t>
            </w:r>
            <w:r>
              <w:rPr>
                <w:spacing w:val="-3"/>
                <w:sz w:val="24"/>
                <w:szCs w:val="24"/>
              </w:rPr>
              <w:t>，北纬</w:t>
            </w:r>
            <w:r>
              <w:rPr>
                <w:spacing w:val="-55"/>
                <w:sz w:val="24"/>
                <w:szCs w:val="24"/>
              </w:rPr>
              <w:t xml:space="preserve"> </w:t>
            </w:r>
            <w:r>
              <w:rPr>
                <w:rFonts w:ascii="Times New Roman" w:hAnsi="Times New Roman" w:eastAsia="Times New Roman" w:cs="Times New Roman"/>
                <w:spacing w:val="-3"/>
                <w:sz w:val="24"/>
                <w:szCs w:val="24"/>
              </w:rPr>
              <w:t>25°06'</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pacing w:val="-3"/>
                <w:sz w:val="24"/>
                <w:szCs w:val="24"/>
              </w:rPr>
              <w:t>12.805"</w:t>
            </w:r>
            <w:r>
              <w:rPr>
                <w:spacing w:val="-3"/>
                <w:sz w:val="24"/>
                <w:szCs w:val="24"/>
              </w:rPr>
              <w:t>；</w:t>
            </w:r>
          </w:p>
          <w:p w14:paraId="4CB29556">
            <w:pPr>
              <w:pStyle w:val="6"/>
              <w:spacing w:line="359" w:lineRule="auto"/>
              <w:ind w:left="25" w:right="3" w:firstLine="472"/>
              <w:rPr>
                <w:sz w:val="24"/>
                <w:szCs w:val="24"/>
              </w:rPr>
            </w:pPr>
            <w:r>
              <w:rPr>
                <w:spacing w:val="-14"/>
                <w:sz w:val="24"/>
                <w:szCs w:val="24"/>
              </w:rPr>
              <w:t>（</w:t>
            </w:r>
            <w:r>
              <w:rPr>
                <w:spacing w:val="-42"/>
                <w:sz w:val="24"/>
                <w:szCs w:val="24"/>
              </w:rPr>
              <w:t xml:space="preserve"> </w:t>
            </w:r>
            <w:r>
              <w:rPr>
                <w:rFonts w:ascii="Times New Roman" w:hAnsi="Times New Roman" w:eastAsia="Times New Roman" w:cs="Times New Roman"/>
                <w:spacing w:val="-14"/>
                <w:sz w:val="24"/>
                <w:szCs w:val="24"/>
              </w:rPr>
              <w:t>2</w:t>
            </w:r>
            <w:r>
              <w:rPr>
                <w:rFonts w:ascii="Times New Roman" w:hAnsi="Times New Roman" w:eastAsia="Times New Roman" w:cs="Times New Roman"/>
                <w:spacing w:val="42"/>
                <w:sz w:val="24"/>
                <w:szCs w:val="24"/>
              </w:rPr>
              <w:t xml:space="preserve"> </w:t>
            </w:r>
            <w:r>
              <w:rPr>
                <w:spacing w:val="-14"/>
                <w:sz w:val="24"/>
                <w:szCs w:val="24"/>
              </w:rPr>
              <w:t>）</w:t>
            </w:r>
            <w:r>
              <w:rPr>
                <w:spacing w:val="-45"/>
                <w:sz w:val="24"/>
                <w:szCs w:val="24"/>
              </w:rPr>
              <w:t xml:space="preserve"> </w:t>
            </w:r>
            <w:r>
              <w:rPr>
                <w:rFonts w:ascii="Times New Roman" w:hAnsi="Times New Roman" w:eastAsia="Times New Roman" w:cs="Times New Roman"/>
                <w:spacing w:val="-14"/>
                <w:sz w:val="24"/>
                <w:szCs w:val="24"/>
              </w:rPr>
              <w:t>220kV</w:t>
            </w:r>
            <w:r>
              <w:rPr>
                <w:rFonts w:ascii="Times New Roman" w:hAnsi="Times New Roman" w:eastAsia="Times New Roman" w:cs="Times New Roman"/>
                <w:spacing w:val="11"/>
                <w:sz w:val="24"/>
                <w:szCs w:val="24"/>
              </w:rPr>
              <w:t xml:space="preserve">  </w:t>
            </w:r>
            <w:r>
              <w:rPr>
                <w:spacing w:val="-14"/>
                <w:sz w:val="24"/>
                <w:szCs w:val="24"/>
              </w:rPr>
              <w:t>芳</w:t>
            </w:r>
            <w:r>
              <w:rPr>
                <w:spacing w:val="-40"/>
                <w:sz w:val="24"/>
                <w:szCs w:val="24"/>
              </w:rPr>
              <w:t xml:space="preserve"> </w:t>
            </w:r>
            <w:r>
              <w:rPr>
                <w:spacing w:val="-14"/>
                <w:sz w:val="24"/>
                <w:szCs w:val="24"/>
              </w:rPr>
              <w:t>华</w:t>
            </w:r>
            <w:r>
              <w:rPr>
                <w:spacing w:val="-43"/>
                <w:sz w:val="24"/>
                <w:szCs w:val="24"/>
              </w:rPr>
              <w:t xml:space="preserve"> </w:t>
            </w:r>
            <w:r>
              <w:rPr>
                <w:spacing w:val="-14"/>
                <w:sz w:val="24"/>
                <w:szCs w:val="24"/>
              </w:rPr>
              <w:t>变 电</w:t>
            </w:r>
            <w:r>
              <w:rPr>
                <w:spacing w:val="-43"/>
                <w:sz w:val="24"/>
                <w:szCs w:val="24"/>
              </w:rPr>
              <w:t xml:space="preserve"> </w:t>
            </w:r>
            <w:r>
              <w:rPr>
                <w:spacing w:val="-14"/>
                <w:sz w:val="24"/>
                <w:szCs w:val="24"/>
              </w:rPr>
              <w:t>站</w:t>
            </w:r>
            <w:r>
              <w:rPr>
                <w:spacing w:val="-40"/>
                <w:sz w:val="24"/>
                <w:szCs w:val="24"/>
              </w:rPr>
              <w:t xml:space="preserve"> </w:t>
            </w:r>
            <w:r>
              <w:rPr>
                <w:spacing w:val="-14"/>
                <w:sz w:val="24"/>
                <w:szCs w:val="24"/>
              </w:rPr>
              <w:t>站</w:t>
            </w:r>
            <w:r>
              <w:rPr>
                <w:spacing w:val="-40"/>
                <w:sz w:val="24"/>
                <w:szCs w:val="24"/>
              </w:rPr>
              <w:t xml:space="preserve"> </w:t>
            </w:r>
            <w:r>
              <w:rPr>
                <w:spacing w:val="-14"/>
                <w:sz w:val="24"/>
                <w:szCs w:val="24"/>
              </w:rPr>
              <w:t>址</w:t>
            </w:r>
            <w:r>
              <w:rPr>
                <w:spacing w:val="-43"/>
                <w:sz w:val="24"/>
                <w:szCs w:val="24"/>
              </w:rPr>
              <w:t xml:space="preserve"> </w:t>
            </w:r>
            <w:r>
              <w:rPr>
                <w:spacing w:val="-14"/>
                <w:sz w:val="24"/>
                <w:szCs w:val="24"/>
              </w:rPr>
              <w:t>新</w:t>
            </w:r>
            <w:r>
              <w:rPr>
                <w:spacing w:val="-40"/>
                <w:sz w:val="24"/>
                <w:szCs w:val="24"/>
              </w:rPr>
              <w:t xml:space="preserve"> </w:t>
            </w:r>
            <w:r>
              <w:rPr>
                <w:spacing w:val="-14"/>
                <w:sz w:val="24"/>
                <w:szCs w:val="24"/>
              </w:rPr>
              <w:t>增 间</w:t>
            </w:r>
            <w:r>
              <w:rPr>
                <w:spacing w:val="-27"/>
                <w:sz w:val="24"/>
                <w:szCs w:val="24"/>
              </w:rPr>
              <w:t xml:space="preserve"> </w:t>
            </w:r>
            <w:r>
              <w:rPr>
                <w:spacing w:val="-14"/>
                <w:sz w:val="24"/>
                <w:szCs w:val="24"/>
              </w:rPr>
              <w:t>隔</w:t>
            </w:r>
            <w:r>
              <w:rPr>
                <w:spacing w:val="-40"/>
                <w:sz w:val="24"/>
                <w:szCs w:val="24"/>
              </w:rPr>
              <w:t xml:space="preserve"> </w:t>
            </w:r>
            <w:r>
              <w:rPr>
                <w:spacing w:val="-14"/>
                <w:sz w:val="24"/>
                <w:szCs w:val="24"/>
              </w:rPr>
              <w:t>坐</w:t>
            </w:r>
            <w:r>
              <w:rPr>
                <w:spacing w:val="-42"/>
                <w:sz w:val="24"/>
                <w:szCs w:val="24"/>
              </w:rPr>
              <w:t xml:space="preserve"> </w:t>
            </w:r>
            <w:r>
              <w:rPr>
                <w:spacing w:val="-14"/>
                <w:sz w:val="24"/>
                <w:szCs w:val="24"/>
              </w:rPr>
              <w:t>标</w:t>
            </w:r>
            <w:r>
              <w:rPr>
                <w:spacing w:val="-20"/>
                <w:sz w:val="24"/>
                <w:szCs w:val="24"/>
              </w:rPr>
              <w:t xml:space="preserve"> </w:t>
            </w:r>
            <w:r>
              <w:rPr>
                <w:spacing w:val="-14"/>
                <w:sz w:val="24"/>
                <w:szCs w:val="24"/>
              </w:rPr>
              <w:t>：</w:t>
            </w:r>
            <w:r>
              <w:rPr>
                <w:spacing w:val="-36"/>
                <w:sz w:val="24"/>
                <w:szCs w:val="24"/>
              </w:rPr>
              <w:t xml:space="preserve"> </w:t>
            </w:r>
            <w:r>
              <w:rPr>
                <w:spacing w:val="-14"/>
                <w:sz w:val="24"/>
                <w:szCs w:val="24"/>
              </w:rPr>
              <w:t>东</w:t>
            </w:r>
            <w:r>
              <w:rPr>
                <w:spacing w:val="-36"/>
                <w:sz w:val="24"/>
                <w:szCs w:val="24"/>
              </w:rPr>
              <w:t xml:space="preserve"> </w:t>
            </w:r>
            <w:r>
              <w:rPr>
                <w:spacing w:val="-14"/>
                <w:sz w:val="24"/>
                <w:szCs w:val="24"/>
              </w:rPr>
              <w:t>经</w:t>
            </w:r>
            <w:r>
              <w:rPr>
                <w:rFonts w:ascii="Times New Roman" w:hAnsi="Times New Roman" w:eastAsia="Times New Roman" w:cs="Times New Roman"/>
                <w:spacing w:val="-3"/>
                <w:sz w:val="24"/>
                <w:szCs w:val="24"/>
              </w:rPr>
              <w:t>103°39'31.061"</w:t>
            </w:r>
            <w:r>
              <w:rPr>
                <w:rFonts w:ascii="Times New Roman" w:hAnsi="Times New Roman" w:eastAsia="Times New Roman" w:cs="Times New Roman"/>
                <w:spacing w:val="-28"/>
                <w:sz w:val="24"/>
                <w:szCs w:val="24"/>
              </w:rPr>
              <w:t xml:space="preserve"> </w:t>
            </w:r>
            <w:r>
              <w:rPr>
                <w:spacing w:val="-3"/>
                <w:sz w:val="24"/>
                <w:szCs w:val="24"/>
              </w:rPr>
              <w:t>，北纬</w:t>
            </w:r>
            <w:r>
              <w:rPr>
                <w:spacing w:val="-55"/>
                <w:sz w:val="24"/>
                <w:szCs w:val="24"/>
              </w:rPr>
              <w:t xml:space="preserve"> </w:t>
            </w:r>
            <w:r>
              <w:rPr>
                <w:rFonts w:ascii="Times New Roman" w:hAnsi="Times New Roman" w:eastAsia="Times New Roman" w:cs="Times New Roman"/>
                <w:spacing w:val="-3"/>
                <w:sz w:val="24"/>
                <w:szCs w:val="24"/>
              </w:rPr>
              <w:t>25</w:t>
            </w:r>
            <w:r>
              <w:rPr>
                <w:rFonts w:ascii="Times New Roman" w:hAnsi="Times New Roman" w:eastAsia="Times New Roman" w:cs="Times New Roman"/>
                <w:spacing w:val="-29"/>
                <w:sz w:val="24"/>
                <w:szCs w:val="24"/>
              </w:rPr>
              <w:t xml:space="preserve"> </w:t>
            </w:r>
            <w:r>
              <w:rPr>
                <w:spacing w:val="-3"/>
                <w:sz w:val="24"/>
                <w:szCs w:val="24"/>
              </w:rPr>
              <w:t>°</w:t>
            </w:r>
            <w:r>
              <w:rPr>
                <w:rFonts w:ascii="Times New Roman" w:hAnsi="Times New Roman" w:eastAsia="Times New Roman" w:cs="Times New Roman"/>
                <w:spacing w:val="-3"/>
                <w:sz w:val="24"/>
                <w:szCs w:val="24"/>
              </w:rPr>
              <w:t>06'52.3</w:t>
            </w:r>
            <w:r>
              <w:rPr>
                <w:rFonts w:ascii="Times New Roman" w:hAnsi="Times New Roman" w:eastAsia="Times New Roman" w:cs="Times New Roman"/>
                <w:spacing w:val="-4"/>
                <w:sz w:val="24"/>
                <w:szCs w:val="24"/>
              </w:rPr>
              <w:t>73"</w:t>
            </w:r>
            <w:r>
              <w:rPr>
                <w:spacing w:val="-4"/>
                <w:sz w:val="24"/>
                <w:szCs w:val="24"/>
              </w:rPr>
              <w:t>；</w:t>
            </w:r>
          </w:p>
          <w:p w14:paraId="0A285CF7">
            <w:pPr>
              <w:pStyle w:val="6"/>
              <w:spacing w:line="359" w:lineRule="auto"/>
              <w:ind w:left="10" w:firstLine="483"/>
              <w:rPr>
                <w:sz w:val="24"/>
                <w:szCs w:val="24"/>
              </w:rPr>
            </w:pPr>
            <w:r>
              <w:rPr>
                <w:spacing w:val="-6"/>
                <w:sz w:val="24"/>
                <w:szCs w:val="24"/>
              </w:rPr>
              <w:t>（</w:t>
            </w:r>
            <w:r>
              <w:rPr>
                <w:rFonts w:ascii="Times New Roman" w:hAnsi="Times New Roman" w:eastAsia="Times New Roman" w:cs="Times New Roman"/>
                <w:spacing w:val="-6"/>
                <w:sz w:val="24"/>
                <w:szCs w:val="24"/>
              </w:rPr>
              <w:t>3</w:t>
            </w:r>
            <w:r>
              <w:rPr>
                <w:spacing w:val="-6"/>
                <w:sz w:val="24"/>
                <w:szCs w:val="24"/>
              </w:rPr>
              <w:t>）</w:t>
            </w:r>
            <w:r>
              <w:rPr>
                <w:rFonts w:ascii="Times New Roman" w:hAnsi="Times New Roman" w:eastAsia="Times New Roman" w:cs="Times New Roman"/>
                <w:spacing w:val="-6"/>
                <w:sz w:val="24"/>
                <w:szCs w:val="24"/>
              </w:rPr>
              <w:t xml:space="preserve">110kV </w:t>
            </w:r>
            <w:r>
              <w:rPr>
                <w:spacing w:val="-6"/>
                <w:sz w:val="24"/>
                <w:szCs w:val="24"/>
              </w:rPr>
              <w:t>线路</w:t>
            </w:r>
            <w:r>
              <w:rPr>
                <w:spacing w:val="-42"/>
                <w:sz w:val="24"/>
                <w:szCs w:val="24"/>
              </w:rPr>
              <w:t xml:space="preserve"> </w:t>
            </w:r>
            <w:r>
              <w:rPr>
                <w:rFonts w:ascii="Times New Roman" w:hAnsi="Times New Roman" w:eastAsia="Times New Roman" w:cs="Times New Roman"/>
                <w:spacing w:val="-6"/>
                <w:sz w:val="24"/>
                <w:szCs w:val="24"/>
              </w:rPr>
              <w:t xml:space="preserve">A </w:t>
            </w:r>
            <w:r>
              <w:rPr>
                <w:spacing w:val="-6"/>
                <w:sz w:val="24"/>
                <w:szCs w:val="24"/>
              </w:rPr>
              <w:t>线：</w:t>
            </w:r>
            <w:r>
              <w:rPr>
                <w:rFonts w:ascii="Times New Roman" w:hAnsi="Times New Roman" w:eastAsia="Times New Roman" w:cs="Times New Roman"/>
                <w:spacing w:val="-6"/>
                <w:sz w:val="24"/>
                <w:szCs w:val="24"/>
              </w:rPr>
              <w:t xml:space="preserve">110kV </w:t>
            </w:r>
            <w:r>
              <w:rPr>
                <w:spacing w:val="-6"/>
                <w:sz w:val="24"/>
                <w:szCs w:val="24"/>
              </w:rPr>
              <w:t>松山变～</w:t>
            </w:r>
            <w:r>
              <w:rPr>
                <w:rFonts w:ascii="Times New Roman" w:hAnsi="Times New Roman" w:eastAsia="Times New Roman" w:cs="Times New Roman"/>
                <w:spacing w:val="-6"/>
                <w:sz w:val="24"/>
                <w:szCs w:val="24"/>
              </w:rPr>
              <w:t>220kV</w:t>
            </w:r>
            <w:r>
              <w:rPr>
                <w:rFonts w:ascii="Times New Roman" w:hAnsi="Times New Roman" w:eastAsia="Times New Roman" w:cs="Times New Roman"/>
                <w:spacing w:val="14"/>
                <w:sz w:val="24"/>
                <w:szCs w:val="24"/>
              </w:rPr>
              <w:t xml:space="preserve"> </w:t>
            </w:r>
            <w:r>
              <w:rPr>
                <w:spacing w:val="-6"/>
                <w:sz w:val="24"/>
                <w:szCs w:val="24"/>
              </w:rPr>
              <w:t>芳华变，起点：</w:t>
            </w:r>
            <w:r>
              <w:rPr>
                <w:spacing w:val="-3"/>
                <w:sz w:val="24"/>
                <w:szCs w:val="24"/>
              </w:rPr>
              <w:t>东经</w:t>
            </w:r>
            <w:r>
              <w:rPr>
                <w:spacing w:val="-13"/>
                <w:sz w:val="24"/>
                <w:szCs w:val="24"/>
              </w:rPr>
              <w:t xml:space="preserve"> </w:t>
            </w:r>
            <w:r>
              <w:rPr>
                <w:rFonts w:ascii="Times New Roman" w:hAnsi="Times New Roman" w:eastAsia="Times New Roman" w:cs="Times New Roman"/>
                <w:spacing w:val="-3"/>
                <w:sz w:val="24"/>
                <w:szCs w:val="24"/>
              </w:rPr>
              <w:t>103°44'23.203"</w:t>
            </w:r>
            <w:r>
              <w:rPr>
                <w:rFonts w:ascii="Times New Roman" w:hAnsi="Times New Roman" w:eastAsia="Times New Roman" w:cs="Times New Roman"/>
                <w:spacing w:val="-26"/>
                <w:sz w:val="24"/>
                <w:szCs w:val="24"/>
              </w:rPr>
              <w:t xml:space="preserve"> </w:t>
            </w:r>
            <w:r>
              <w:rPr>
                <w:spacing w:val="-3"/>
                <w:sz w:val="24"/>
                <w:szCs w:val="24"/>
              </w:rPr>
              <w:t>，北纬</w:t>
            </w:r>
            <w:r>
              <w:rPr>
                <w:spacing w:val="-48"/>
                <w:sz w:val="24"/>
                <w:szCs w:val="24"/>
              </w:rPr>
              <w:t xml:space="preserve"> </w:t>
            </w:r>
            <w:r>
              <w:rPr>
                <w:rFonts w:ascii="Times New Roman" w:hAnsi="Times New Roman" w:eastAsia="Times New Roman" w:cs="Times New Roman"/>
                <w:spacing w:val="-3"/>
                <w:sz w:val="24"/>
                <w:szCs w:val="24"/>
              </w:rPr>
              <w:t>25°06'</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13.616"</w:t>
            </w:r>
            <w:r>
              <w:rPr>
                <w:rFonts w:ascii="Times New Roman" w:hAnsi="Times New Roman" w:eastAsia="Times New Roman" w:cs="Times New Roman"/>
                <w:spacing w:val="-25"/>
                <w:sz w:val="24"/>
                <w:szCs w:val="24"/>
              </w:rPr>
              <w:t xml:space="preserve"> </w:t>
            </w:r>
            <w:r>
              <w:rPr>
                <w:spacing w:val="-3"/>
                <w:sz w:val="24"/>
                <w:szCs w:val="24"/>
              </w:rPr>
              <w:t>；单、双回线路分界点：</w:t>
            </w:r>
            <w:r>
              <w:rPr>
                <w:spacing w:val="-9"/>
                <w:sz w:val="24"/>
                <w:szCs w:val="24"/>
              </w:rPr>
              <w:t>东经</w:t>
            </w:r>
            <w:r>
              <w:rPr>
                <w:spacing w:val="-33"/>
                <w:sz w:val="24"/>
                <w:szCs w:val="24"/>
              </w:rPr>
              <w:t xml:space="preserve"> </w:t>
            </w:r>
            <w:r>
              <w:rPr>
                <w:rFonts w:ascii="Times New Roman" w:hAnsi="Times New Roman" w:eastAsia="Times New Roman" w:cs="Times New Roman"/>
                <w:spacing w:val="-9"/>
                <w:sz w:val="24"/>
                <w:szCs w:val="24"/>
              </w:rPr>
              <w:t>103°42′27.243″</w:t>
            </w:r>
            <w:r>
              <w:rPr>
                <w:spacing w:val="-9"/>
                <w:sz w:val="24"/>
                <w:szCs w:val="24"/>
              </w:rPr>
              <w:t>，北纬</w:t>
            </w:r>
            <w:r>
              <w:rPr>
                <w:spacing w:val="-55"/>
                <w:sz w:val="24"/>
                <w:szCs w:val="24"/>
              </w:rPr>
              <w:t xml:space="preserve"> </w:t>
            </w:r>
            <w:r>
              <w:rPr>
                <w:rFonts w:ascii="Times New Roman" w:hAnsi="Times New Roman" w:eastAsia="Times New Roman" w:cs="Times New Roman"/>
                <w:spacing w:val="-9"/>
                <w:sz w:val="24"/>
                <w:szCs w:val="24"/>
              </w:rPr>
              <w:t>25°5</w:t>
            </w:r>
            <w:r>
              <w:rPr>
                <w:rFonts w:ascii="Times New Roman" w:hAnsi="Times New Roman" w:eastAsia="Times New Roman" w:cs="Times New Roman"/>
                <w:spacing w:val="-44"/>
                <w:sz w:val="24"/>
                <w:szCs w:val="24"/>
              </w:rPr>
              <w:t xml:space="preserve"> </w:t>
            </w:r>
            <w:r>
              <w:rPr>
                <w:rFonts w:ascii="Times New Roman" w:hAnsi="Times New Roman" w:eastAsia="Times New Roman" w:cs="Times New Roman"/>
                <w:spacing w:val="-9"/>
                <w:sz w:val="24"/>
                <w:szCs w:val="24"/>
              </w:rPr>
              <w:t>′33.228″</w:t>
            </w:r>
            <w:r>
              <w:rPr>
                <w:spacing w:val="-9"/>
                <w:sz w:val="24"/>
                <w:szCs w:val="24"/>
              </w:rPr>
              <w:t>；终点：东经</w:t>
            </w:r>
            <w:r>
              <w:rPr>
                <w:spacing w:val="-33"/>
                <w:sz w:val="24"/>
                <w:szCs w:val="24"/>
              </w:rPr>
              <w:t xml:space="preserve"> </w:t>
            </w:r>
            <w:r>
              <w:rPr>
                <w:rFonts w:ascii="Times New Roman" w:hAnsi="Times New Roman" w:eastAsia="Times New Roman" w:cs="Times New Roman"/>
                <w:spacing w:val="-9"/>
                <w:sz w:val="24"/>
                <w:szCs w:val="24"/>
              </w:rPr>
              <w:t>1</w:t>
            </w:r>
            <w:r>
              <w:rPr>
                <w:rFonts w:ascii="Times New Roman" w:hAnsi="Times New Roman" w:eastAsia="Times New Roman" w:cs="Times New Roman"/>
                <w:spacing w:val="-10"/>
                <w:sz w:val="24"/>
                <w:szCs w:val="24"/>
              </w:rPr>
              <w:t>03°39'34.896"</w:t>
            </w:r>
            <w:r>
              <w:rPr>
                <w:spacing w:val="-10"/>
                <w:sz w:val="24"/>
                <w:szCs w:val="24"/>
              </w:rPr>
              <w:t>，</w:t>
            </w:r>
            <w:r>
              <w:rPr>
                <w:spacing w:val="-3"/>
                <w:sz w:val="24"/>
                <w:szCs w:val="24"/>
              </w:rPr>
              <w:t>北纬</w:t>
            </w:r>
            <w:r>
              <w:rPr>
                <w:spacing w:val="-45"/>
                <w:sz w:val="24"/>
                <w:szCs w:val="24"/>
              </w:rPr>
              <w:t xml:space="preserve"> </w:t>
            </w:r>
            <w:r>
              <w:rPr>
                <w:rFonts w:ascii="Times New Roman" w:hAnsi="Times New Roman" w:eastAsia="Times New Roman" w:cs="Times New Roman"/>
                <w:spacing w:val="-3"/>
                <w:sz w:val="24"/>
                <w:szCs w:val="24"/>
              </w:rPr>
              <w:t>25°06'50.771"</w:t>
            </w:r>
            <w:r>
              <w:rPr>
                <w:spacing w:val="-3"/>
                <w:sz w:val="24"/>
                <w:szCs w:val="24"/>
              </w:rPr>
              <w:t>。</w:t>
            </w:r>
          </w:p>
          <w:p w14:paraId="012ED3BC">
            <w:pPr>
              <w:pStyle w:val="6"/>
              <w:spacing w:before="3" w:line="350" w:lineRule="auto"/>
              <w:ind w:left="2" w:right="3" w:firstLine="495"/>
              <w:rPr>
                <w:sz w:val="24"/>
                <w:szCs w:val="24"/>
              </w:rPr>
            </w:pPr>
            <w:r>
              <w:rPr>
                <w:sz w:val="24"/>
                <w:szCs w:val="24"/>
              </w:rPr>
              <w:t>（</w:t>
            </w:r>
            <w:r>
              <w:rPr>
                <w:rFonts w:ascii="Times New Roman" w:hAnsi="Times New Roman" w:eastAsia="Times New Roman" w:cs="Times New Roman"/>
                <w:sz w:val="24"/>
                <w:szCs w:val="24"/>
              </w:rPr>
              <w:t>4</w:t>
            </w:r>
            <w:r>
              <w:rPr>
                <w:sz w:val="24"/>
                <w:szCs w:val="24"/>
              </w:rPr>
              <w:t>）</w:t>
            </w:r>
            <w:r>
              <w:rPr>
                <w:rFonts w:ascii="Times New Roman" w:hAnsi="Times New Roman" w:eastAsia="Times New Roman" w:cs="Times New Roman"/>
                <w:sz w:val="24"/>
                <w:szCs w:val="24"/>
              </w:rPr>
              <w:t>110kV</w:t>
            </w:r>
            <w:r>
              <w:rPr>
                <w:rFonts w:ascii="Times New Roman" w:hAnsi="Times New Roman" w:eastAsia="Times New Roman" w:cs="Times New Roman"/>
                <w:spacing w:val="21"/>
                <w:w w:val="101"/>
                <w:sz w:val="24"/>
                <w:szCs w:val="24"/>
              </w:rPr>
              <w:t xml:space="preserve"> </w:t>
            </w:r>
            <w:r>
              <w:rPr>
                <w:sz w:val="24"/>
                <w:szCs w:val="24"/>
              </w:rPr>
              <w:t>线路</w:t>
            </w:r>
            <w:r>
              <w:rPr>
                <w:spacing w:val="-46"/>
                <w:sz w:val="24"/>
                <w:szCs w:val="24"/>
              </w:rPr>
              <w:t xml:space="preserve"> </w:t>
            </w:r>
            <w:r>
              <w:rPr>
                <w:rFonts w:ascii="Times New Roman" w:hAnsi="Times New Roman" w:eastAsia="Times New Roman" w:cs="Times New Roman"/>
                <w:sz w:val="24"/>
                <w:szCs w:val="24"/>
              </w:rPr>
              <w:t>B</w:t>
            </w:r>
            <w:r>
              <w:rPr>
                <w:rFonts w:ascii="Times New Roman" w:hAnsi="Times New Roman" w:eastAsia="Times New Roman" w:cs="Times New Roman"/>
                <w:spacing w:val="22"/>
                <w:w w:val="101"/>
                <w:sz w:val="24"/>
                <w:szCs w:val="24"/>
              </w:rPr>
              <w:t xml:space="preserve"> </w:t>
            </w:r>
            <w:r>
              <w:rPr>
                <w:sz w:val="24"/>
                <w:szCs w:val="24"/>
              </w:rPr>
              <w:t>线：</w:t>
            </w:r>
            <w:r>
              <w:rPr>
                <w:rFonts w:ascii="Times New Roman" w:hAnsi="Times New Roman" w:eastAsia="Times New Roman" w:cs="Times New Roman"/>
                <w:sz w:val="24"/>
                <w:szCs w:val="24"/>
              </w:rPr>
              <w:t>110kV</w:t>
            </w:r>
            <w:r>
              <w:rPr>
                <w:rFonts w:ascii="Times New Roman" w:hAnsi="Times New Roman" w:eastAsia="Times New Roman" w:cs="Times New Roman"/>
                <w:spacing w:val="19"/>
                <w:w w:val="101"/>
                <w:sz w:val="24"/>
                <w:szCs w:val="24"/>
              </w:rPr>
              <w:t xml:space="preserve"> </w:t>
            </w:r>
            <w:r>
              <w:rPr>
                <w:sz w:val="24"/>
                <w:szCs w:val="24"/>
              </w:rPr>
              <w:t>松山变</w:t>
            </w:r>
            <w:r>
              <w:rPr>
                <w:rFonts w:ascii="Times New Roman" w:hAnsi="Times New Roman" w:eastAsia="Times New Roman" w:cs="Times New Roman"/>
                <w:sz w:val="24"/>
                <w:szCs w:val="24"/>
              </w:rPr>
              <w:t>“T”</w:t>
            </w:r>
            <w:r>
              <w:rPr>
                <w:rFonts w:ascii="Times New Roman" w:hAnsi="Times New Roman" w:eastAsia="Times New Roman" w:cs="Times New Roman"/>
                <w:spacing w:val="-43"/>
                <w:sz w:val="24"/>
                <w:szCs w:val="24"/>
              </w:rPr>
              <w:t xml:space="preserve"> </w:t>
            </w:r>
            <w:r>
              <w:rPr>
                <w:sz w:val="24"/>
                <w:szCs w:val="24"/>
              </w:rPr>
              <w:t>接芳华变出线</w:t>
            </w:r>
            <w:r>
              <w:rPr>
                <w:spacing w:val="-43"/>
                <w:sz w:val="24"/>
                <w:szCs w:val="24"/>
              </w:rPr>
              <w:t xml:space="preserve"> </w:t>
            </w:r>
            <w:r>
              <w:rPr>
                <w:spacing w:val="-1"/>
                <w:sz w:val="24"/>
                <w:szCs w:val="24"/>
              </w:rPr>
              <w:t>π接</w:t>
            </w:r>
            <w:r>
              <w:rPr>
                <w:rFonts w:ascii="Times New Roman" w:hAnsi="Times New Roman" w:eastAsia="Times New Roman" w:cs="Times New Roman"/>
                <w:sz w:val="24"/>
                <w:szCs w:val="24"/>
              </w:rPr>
              <w:t>110kV</w:t>
            </w:r>
            <w:r>
              <w:rPr>
                <w:rFonts w:ascii="Times New Roman" w:hAnsi="Times New Roman" w:eastAsia="Times New Roman" w:cs="Times New Roman"/>
                <w:spacing w:val="34"/>
                <w:w w:val="101"/>
                <w:sz w:val="24"/>
                <w:szCs w:val="24"/>
              </w:rPr>
              <w:t xml:space="preserve"> </w:t>
            </w:r>
            <w:r>
              <w:rPr>
                <w:sz w:val="24"/>
                <w:szCs w:val="24"/>
              </w:rPr>
              <w:t xml:space="preserve">吉中线的 </w:t>
            </w:r>
            <w:r>
              <w:rPr>
                <w:rFonts w:ascii="Times New Roman" w:hAnsi="Times New Roman" w:eastAsia="Times New Roman" w:cs="Times New Roman"/>
                <w:sz w:val="24"/>
                <w:szCs w:val="24"/>
              </w:rPr>
              <w:t>110kV</w:t>
            </w:r>
            <w:r>
              <w:rPr>
                <w:rFonts w:ascii="Times New Roman" w:hAnsi="Times New Roman" w:eastAsia="Times New Roman" w:cs="Times New Roman"/>
                <w:spacing w:val="31"/>
                <w:sz w:val="24"/>
                <w:szCs w:val="24"/>
              </w:rPr>
              <w:t xml:space="preserve"> </w:t>
            </w:r>
            <w:r>
              <w:rPr>
                <w:sz w:val="24"/>
                <w:szCs w:val="24"/>
              </w:rPr>
              <w:t>线路；起点：</w:t>
            </w:r>
            <w:r>
              <w:rPr>
                <w:spacing w:val="-67"/>
                <w:sz w:val="24"/>
                <w:szCs w:val="24"/>
              </w:rPr>
              <w:t xml:space="preserve"> </w:t>
            </w:r>
            <w:r>
              <w:rPr>
                <w:sz w:val="24"/>
                <w:szCs w:val="24"/>
              </w:rPr>
              <w:t xml:space="preserve">东经 </w:t>
            </w:r>
            <w:r>
              <w:rPr>
                <w:rFonts w:ascii="Times New Roman" w:hAnsi="Times New Roman" w:eastAsia="Times New Roman" w:cs="Times New Roman"/>
                <w:sz w:val="24"/>
                <w:szCs w:val="24"/>
              </w:rPr>
              <w:t>103°44'22.875"</w:t>
            </w:r>
            <w:r>
              <w:rPr>
                <w:rFonts w:ascii="Times New Roman" w:hAnsi="Times New Roman" w:eastAsia="Times New Roman" w:cs="Times New Roman"/>
                <w:spacing w:val="-11"/>
                <w:sz w:val="24"/>
                <w:szCs w:val="24"/>
              </w:rPr>
              <w:t xml:space="preserve"> </w:t>
            </w:r>
            <w:r>
              <w:rPr>
                <w:sz w:val="24"/>
                <w:szCs w:val="24"/>
              </w:rPr>
              <w:t>，</w:t>
            </w:r>
            <w:r>
              <w:rPr>
                <w:spacing w:val="-1"/>
                <w:sz w:val="24"/>
                <w:szCs w:val="24"/>
              </w:rPr>
              <w:t>北纬</w:t>
            </w:r>
            <w:r>
              <w:rPr>
                <w:rFonts w:ascii="Times New Roman" w:hAnsi="Times New Roman" w:eastAsia="Times New Roman" w:cs="Times New Roman"/>
                <w:spacing w:val="-6"/>
                <w:sz w:val="24"/>
                <w:szCs w:val="24"/>
              </w:rPr>
              <w:t>25°06'</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pacing w:val="-6"/>
                <w:sz w:val="24"/>
                <w:szCs w:val="24"/>
              </w:rPr>
              <w:t xml:space="preserve">12.793"  </w:t>
            </w:r>
            <w:r>
              <w:rPr>
                <w:spacing w:val="-6"/>
                <w:sz w:val="24"/>
                <w:szCs w:val="24"/>
              </w:rPr>
              <w:t xml:space="preserve">； 重 </w:t>
            </w:r>
            <w:r>
              <w:rPr>
                <w:spacing w:val="-7"/>
                <w:sz w:val="24"/>
                <w:szCs w:val="24"/>
              </w:rPr>
              <w:t>要 拐 点 ： 东 经</w:t>
            </w:r>
            <w:r>
              <w:rPr>
                <w:spacing w:val="61"/>
                <w:sz w:val="24"/>
                <w:szCs w:val="24"/>
              </w:rPr>
              <w:t xml:space="preserve"> </w:t>
            </w:r>
            <w:r>
              <w:rPr>
                <w:rFonts w:ascii="Times New Roman" w:hAnsi="Times New Roman" w:eastAsia="Times New Roman" w:cs="Times New Roman"/>
                <w:spacing w:val="-7"/>
                <w:sz w:val="24"/>
                <w:szCs w:val="24"/>
              </w:rPr>
              <w:t xml:space="preserve">103°42′53.35280″  </w:t>
            </w:r>
            <w:r>
              <w:rPr>
                <w:spacing w:val="-7"/>
                <w:sz w:val="24"/>
                <w:szCs w:val="24"/>
              </w:rPr>
              <w:t>， 北</w:t>
            </w:r>
            <w:r>
              <w:rPr>
                <w:spacing w:val="-18"/>
                <w:sz w:val="24"/>
                <w:szCs w:val="24"/>
              </w:rPr>
              <w:t xml:space="preserve"> </w:t>
            </w:r>
            <w:r>
              <w:rPr>
                <w:spacing w:val="-7"/>
                <w:sz w:val="24"/>
                <w:szCs w:val="24"/>
              </w:rPr>
              <w:t>纬</w:t>
            </w:r>
            <w:r>
              <w:rPr>
                <w:rFonts w:ascii="Times New Roman" w:hAnsi="Times New Roman" w:eastAsia="Times New Roman" w:cs="Times New Roman"/>
                <w:spacing w:val="-3"/>
                <w:sz w:val="24"/>
                <w:szCs w:val="24"/>
              </w:rPr>
              <w:t>25°5</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pacing w:val="-3"/>
                <w:sz w:val="24"/>
                <w:szCs w:val="24"/>
              </w:rPr>
              <w:t>′</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3"/>
                <w:sz w:val="24"/>
                <w:szCs w:val="24"/>
              </w:rPr>
              <w:t>19.40151″</w:t>
            </w:r>
            <w:r>
              <w:rPr>
                <w:rFonts w:ascii="Times New Roman" w:hAnsi="Times New Roman" w:eastAsia="Times New Roman" w:cs="Times New Roman"/>
                <w:spacing w:val="-29"/>
                <w:sz w:val="24"/>
                <w:szCs w:val="24"/>
              </w:rPr>
              <w:t xml:space="preserve"> </w:t>
            </w:r>
            <w:r>
              <w:rPr>
                <w:spacing w:val="-3"/>
                <w:sz w:val="24"/>
                <w:szCs w:val="24"/>
              </w:rPr>
              <w:t>；终点：东经</w:t>
            </w:r>
            <w:r>
              <w:rPr>
                <w:spacing w:val="-32"/>
                <w:sz w:val="24"/>
                <w:szCs w:val="24"/>
              </w:rPr>
              <w:t xml:space="preserve"> </w:t>
            </w:r>
            <w:r>
              <w:rPr>
                <w:rFonts w:ascii="Times New Roman" w:hAnsi="Times New Roman" w:eastAsia="Times New Roman" w:cs="Times New Roman"/>
                <w:spacing w:val="-3"/>
                <w:sz w:val="24"/>
                <w:szCs w:val="24"/>
              </w:rPr>
              <w:t>103°42'05.482"</w:t>
            </w:r>
            <w:r>
              <w:rPr>
                <w:rFonts w:ascii="Times New Roman" w:hAnsi="Times New Roman" w:eastAsia="Times New Roman" w:cs="Times New Roman"/>
                <w:spacing w:val="-31"/>
                <w:sz w:val="24"/>
                <w:szCs w:val="24"/>
              </w:rPr>
              <w:t xml:space="preserve"> </w:t>
            </w:r>
            <w:r>
              <w:rPr>
                <w:spacing w:val="-3"/>
                <w:sz w:val="24"/>
                <w:szCs w:val="24"/>
              </w:rPr>
              <w:t>，北纬</w:t>
            </w:r>
            <w:r>
              <w:rPr>
                <w:spacing w:val="-54"/>
                <w:sz w:val="24"/>
                <w:szCs w:val="24"/>
              </w:rPr>
              <w:t xml:space="preserve"> </w:t>
            </w:r>
            <w:r>
              <w:rPr>
                <w:rFonts w:ascii="Times New Roman" w:hAnsi="Times New Roman" w:eastAsia="Times New Roman" w:cs="Times New Roman"/>
                <w:spacing w:val="-3"/>
                <w:sz w:val="24"/>
                <w:szCs w:val="24"/>
              </w:rPr>
              <w:t>25°04'46.379"</w:t>
            </w:r>
            <w:r>
              <w:rPr>
                <w:spacing w:val="-3"/>
                <w:sz w:val="24"/>
                <w:szCs w:val="24"/>
              </w:rPr>
              <w:t>。</w:t>
            </w:r>
          </w:p>
        </w:tc>
      </w:tr>
      <w:tr w14:paraId="7ABE2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75" w:hRule="atLeast"/>
        </w:trPr>
        <w:tc>
          <w:tcPr>
            <w:tcW w:w="1180" w:type="dxa"/>
            <w:vAlign w:val="top"/>
          </w:tcPr>
          <w:p w14:paraId="56B73E88">
            <w:pPr>
              <w:spacing w:line="442" w:lineRule="auto"/>
              <w:rPr>
                <w:rFonts w:ascii="Arial"/>
                <w:sz w:val="21"/>
              </w:rPr>
            </w:pPr>
          </w:p>
          <w:p w14:paraId="5C4F4987">
            <w:pPr>
              <w:pStyle w:val="6"/>
              <w:spacing w:before="78"/>
              <w:ind w:left="111" w:right="105"/>
              <w:rPr>
                <w:sz w:val="24"/>
                <w:szCs w:val="24"/>
              </w:rPr>
            </w:pPr>
            <w:r>
              <w:rPr>
                <w:spacing w:val="-4"/>
                <w:sz w:val="24"/>
                <w:szCs w:val="24"/>
              </w:rPr>
              <w:t>建设项目行业类别</w:t>
            </w:r>
          </w:p>
        </w:tc>
        <w:tc>
          <w:tcPr>
            <w:tcW w:w="2089" w:type="dxa"/>
            <w:vAlign w:val="top"/>
          </w:tcPr>
          <w:p w14:paraId="74090DA7">
            <w:pPr>
              <w:spacing w:line="442" w:lineRule="auto"/>
              <w:rPr>
                <w:rFonts w:ascii="Arial"/>
                <w:sz w:val="21"/>
              </w:rPr>
            </w:pPr>
          </w:p>
          <w:p w14:paraId="473AAD12">
            <w:pPr>
              <w:pStyle w:val="6"/>
              <w:spacing w:before="78"/>
              <w:ind w:left="441" w:right="3" w:hanging="431"/>
              <w:rPr>
                <w:sz w:val="24"/>
                <w:szCs w:val="24"/>
              </w:rPr>
            </w:pPr>
            <w:r>
              <w:rPr>
                <w:spacing w:val="-5"/>
                <w:sz w:val="24"/>
                <w:szCs w:val="24"/>
              </w:rPr>
              <w:t>五十五核与辐射</w:t>
            </w:r>
            <w:r>
              <w:rPr>
                <w:spacing w:val="-51"/>
                <w:sz w:val="24"/>
                <w:szCs w:val="24"/>
              </w:rPr>
              <w:t xml:space="preserve"> </w:t>
            </w:r>
            <w:r>
              <w:rPr>
                <w:rFonts w:ascii="Times New Roman" w:hAnsi="Times New Roman" w:eastAsia="Times New Roman" w:cs="Times New Roman"/>
                <w:spacing w:val="-5"/>
                <w:sz w:val="24"/>
                <w:szCs w:val="24"/>
              </w:rPr>
              <w:t>161</w:t>
            </w:r>
            <w:r>
              <w:rPr>
                <w:spacing w:val="-2"/>
                <w:sz w:val="24"/>
                <w:szCs w:val="24"/>
              </w:rPr>
              <w:t>输变电工程</w:t>
            </w:r>
          </w:p>
        </w:tc>
        <w:tc>
          <w:tcPr>
            <w:tcW w:w="2250" w:type="dxa"/>
            <w:vAlign w:val="top"/>
          </w:tcPr>
          <w:p w14:paraId="248F7FA6">
            <w:pPr>
              <w:spacing w:line="442" w:lineRule="auto"/>
              <w:rPr>
                <w:rFonts w:ascii="Arial"/>
                <w:sz w:val="21"/>
              </w:rPr>
            </w:pPr>
          </w:p>
          <w:p w14:paraId="148C3F42">
            <w:pPr>
              <w:pStyle w:val="6"/>
              <w:spacing w:before="78" w:line="212" w:lineRule="auto"/>
              <w:jc w:val="right"/>
              <w:rPr>
                <w:sz w:val="24"/>
                <w:szCs w:val="24"/>
              </w:rPr>
            </w:pPr>
            <w:r>
              <w:rPr>
                <w:spacing w:val="-31"/>
                <w:w w:val="95"/>
                <w:sz w:val="24"/>
                <w:szCs w:val="24"/>
              </w:rPr>
              <w:t>用地（用海）面积（</w:t>
            </w:r>
            <w:r>
              <w:rPr>
                <w:rFonts w:ascii="Times New Roman" w:hAnsi="Times New Roman" w:eastAsia="Times New Roman" w:cs="Times New Roman"/>
                <w:spacing w:val="-31"/>
                <w:w w:val="95"/>
                <w:sz w:val="24"/>
                <w:szCs w:val="24"/>
              </w:rPr>
              <w:t>m</w:t>
            </w:r>
            <w:r>
              <w:rPr>
                <w:rFonts w:ascii="Times New Roman" w:hAnsi="Times New Roman" w:eastAsia="Times New Roman" w:cs="Times New Roman"/>
                <w:spacing w:val="6"/>
                <w:w w:val="117"/>
                <w:position w:val="1"/>
                <w:sz w:val="15"/>
                <w:szCs w:val="15"/>
              </w:rPr>
              <w:t>2</w:t>
            </w:r>
            <w:r>
              <w:rPr>
                <w:spacing w:val="-32"/>
                <w:position w:val="1"/>
                <w:sz w:val="24"/>
                <w:szCs w:val="24"/>
              </w:rPr>
              <w:t>）</w:t>
            </w:r>
          </w:p>
          <w:p w14:paraId="2AB40A12">
            <w:pPr>
              <w:pStyle w:val="6"/>
              <w:spacing w:before="23" w:line="220" w:lineRule="auto"/>
              <w:ind w:left="452"/>
              <w:rPr>
                <w:sz w:val="24"/>
                <w:szCs w:val="24"/>
              </w:rPr>
            </w:pPr>
            <w:r>
              <w:rPr>
                <w:rFonts w:ascii="Times New Roman" w:hAnsi="Times New Roman" w:eastAsia="Times New Roman" w:cs="Times New Roman"/>
                <w:spacing w:val="-1"/>
                <w:sz w:val="24"/>
                <w:szCs w:val="24"/>
              </w:rPr>
              <w:t>/</w:t>
            </w:r>
            <w:r>
              <w:rPr>
                <w:spacing w:val="-1"/>
                <w:sz w:val="24"/>
                <w:szCs w:val="24"/>
              </w:rPr>
              <w:t>长度（</w:t>
            </w:r>
            <w:r>
              <w:rPr>
                <w:rFonts w:ascii="Times New Roman" w:hAnsi="Times New Roman" w:eastAsia="Times New Roman" w:cs="Times New Roman"/>
                <w:spacing w:val="-1"/>
                <w:sz w:val="24"/>
                <w:szCs w:val="24"/>
              </w:rPr>
              <w:t>km</w:t>
            </w:r>
            <w:r>
              <w:rPr>
                <w:spacing w:val="-1"/>
                <w:sz w:val="24"/>
                <w:szCs w:val="24"/>
              </w:rPr>
              <w:t>）</w:t>
            </w:r>
          </w:p>
        </w:tc>
        <w:tc>
          <w:tcPr>
            <w:tcW w:w="2615" w:type="dxa"/>
            <w:vAlign w:val="top"/>
          </w:tcPr>
          <w:p w14:paraId="4F372C2D">
            <w:pPr>
              <w:pStyle w:val="6"/>
              <w:spacing w:before="54" w:line="220" w:lineRule="auto"/>
              <w:jc w:val="right"/>
              <w:rPr>
                <w:sz w:val="24"/>
                <w:szCs w:val="24"/>
              </w:rPr>
            </w:pPr>
            <w:r>
              <w:rPr>
                <w:spacing w:val="-7"/>
                <w:sz w:val="24"/>
                <w:szCs w:val="24"/>
              </w:rPr>
              <w:t>总占地面积</w:t>
            </w:r>
            <w:r>
              <w:rPr>
                <w:spacing w:val="-42"/>
                <w:sz w:val="24"/>
                <w:szCs w:val="24"/>
              </w:rPr>
              <w:t xml:space="preserve"> </w:t>
            </w:r>
            <w:r>
              <w:rPr>
                <w:rFonts w:ascii="Times New Roman" w:hAnsi="Times New Roman" w:eastAsia="Times New Roman" w:cs="Times New Roman"/>
                <w:spacing w:val="-7"/>
                <w:sz w:val="24"/>
                <w:szCs w:val="24"/>
              </w:rPr>
              <w:t>2.093hm</w:t>
            </w:r>
            <w:r>
              <w:rPr>
                <w:rFonts w:ascii="Times New Roman" w:hAnsi="Times New Roman" w:eastAsia="Times New Roman" w:cs="Times New Roman"/>
                <w:spacing w:val="-7"/>
                <w:position w:val="7"/>
                <w:sz w:val="15"/>
                <w:szCs w:val="15"/>
              </w:rPr>
              <w:t>2</w:t>
            </w:r>
            <w:r>
              <w:rPr>
                <w:spacing w:val="-7"/>
                <w:sz w:val="24"/>
                <w:szCs w:val="24"/>
              </w:rPr>
              <w:t>，其</w:t>
            </w:r>
          </w:p>
          <w:p w14:paraId="7711EB01">
            <w:pPr>
              <w:pStyle w:val="6"/>
              <w:spacing w:before="26" w:line="219" w:lineRule="auto"/>
              <w:jc w:val="right"/>
              <w:rPr>
                <w:sz w:val="24"/>
                <w:szCs w:val="24"/>
              </w:rPr>
            </w:pPr>
            <w:r>
              <w:rPr>
                <w:spacing w:val="-9"/>
                <w:sz w:val="24"/>
                <w:szCs w:val="24"/>
              </w:rPr>
              <w:t>中永久占地</w:t>
            </w:r>
            <w:r>
              <w:rPr>
                <w:spacing w:val="-28"/>
                <w:sz w:val="24"/>
                <w:szCs w:val="24"/>
              </w:rPr>
              <w:t xml:space="preserve"> </w:t>
            </w:r>
            <w:r>
              <w:rPr>
                <w:rFonts w:ascii="Times New Roman" w:hAnsi="Times New Roman" w:eastAsia="Times New Roman" w:cs="Times New Roman"/>
                <w:spacing w:val="-9"/>
                <w:sz w:val="24"/>
                <w:szCs w:val="24"/>
              </w:rPr>
              <w:t>1.578hm</w:t>
            </w:r>
            <w:r>
              <w:rPr>
                <w:rFonts w:ascii="Times New Roman" w:hAnsi="Times New Roman" w:eastAsia="Times New Roman" w:cs="Times New Roman"/>
                <w:spacing w:val="-9"/>
                <w:position w:val="7"/>
                <w:sz w:val="15"/>
                <w:szCs w:val="15"/>
              </w:rPr>
              <w:t>2</w:t>
            </w:r>
            <w:r>
              <w:rPr>
                <w:spacing w:val="-9"/>
                <w:sz w:val="24"/>
                <w:szCs w:val="24"/>
              </w:rPr>
              <w:t>，临</w:t>
            </w:r>
          </w:p>
          <w:p w14:paraId="20186EF8">
            <w:pPr>
              <w:pStyle w:val="6"/>
              <w:spacing w:before="26" w:line="220" w:lineRule="auto"/>
              <w:ind w:right="3"/>
              <w:jc w:val="right"/>
              <w:rPr>
                <w:sz w:val="24"/>
                <w:szCs w:val="24"/>
              </w:rPr>
            </w:pPr>
            <w:r>
              <w:rPr>
                <w:spacing w:val="-7"/>
                <w:sz w:val="24"/>
                <w:szCs w:val="24"/>
              </w:rPr>
              <w:t>时占地为</w:t>
            </w:r>
            <w:r>
              <w:rPr>
                <w:spacing w:val="-47"/>
                <w:sz w:val="24"/>
                <w:szCs w:val="24"/>
              </w:rPr>
              <w:t xml:space="preserve"> </w:t>
            </w:r>
            <w:r>
              <w:rPr>
                <w:rFonts w:ascii="Times New Roman" w:hAnsi="Times New Roman" w:eastAsia="Times New Roman" w:cs="Times New Roman"/>
                <w:spacing w:val="-7"/>
                <w:sz w:val="24"/>
                <w:szCs w:val="24"/>
              </w:rPr>
              <w:t>0.515hm</w:t>
            </w:r>
            <w:r>
              <w:rPr>
                <w:rFonts w:ascii="Times New Roman" w:hAnsi="Times New Roman" w:eastAsia="Times New Roman" w:cs="Times New Roman"/>
                <w:spacing w:val="-7"/>
                <w:position w:val="7"/>
                <w:sz w:val="15"/>
                <w:szCs w:val="15"/>
              </w:rPr>
              <w:t>2</w:t>
            </w:r>
            <w:r>
              <w:rPr>
                <w:spacing w:val="-7"/>
                <w:sz w:val="24"/>
                <w:szCs w:val="24"/>
              </w:rPr>
              <w:t>；新建</w:t>
            </w:r>
          </w:p>
          <w:p w14:paraId="43F7D22E">
            <w:pPr>
              <w:pStyle w:val="6"/>
              <w:spacing w:before="24" w:line="219" w:lineRule="auto"/>
              <w:ind w:left="406"/>
              <w:rPr>
                <w:sz w:val="24"/>
                <w:szCs w:val="24"/>
              </w:rPr>
            </w:pPr>
            <w:r>
              <w:rPr>
                <w:rFonts w:ascii="Times New Roman" w:hAnsi="Times New Roman" w:eastAsia="Times New Roman" w:cs="Times New Roman"/>
                <w:spacing w:val="-4"/>
                <w:sz w:val="24"/>
                <w:szCs w:val="24"/>
              </w:rPr>
              <w:t xml:space="preserve">110kV </w:t>
            </w:r>
            <w:r>
              <w:rPr>
                <w:spacing w:val="-4"/>
                <w:sz w:val="24"/>
                <w:szCs w:val="24"/>
              </w:rPr>
              <w:t>线路长</w:t>
            </w:r>
            <w:r>
              <w:rPr>
                <w:spacing w:val="-55"/>
                <w:sz w:val="24"/>
                <w:szCs w:val="24"/>
              </w:rPr>
              <w:t xml:space="preserve"> </w:t>
            </w:r>
            <w:r>
              <w:rPr>
                <w:rFonts w:ascii="Times New Roman" w:hAnsi="Times New Roman" w:eastAsia="Times New Roman" w:cs="Times New Roman"/>
                <w:spacing w:val="-4"/>
                <w:sz w:val="24"/>
                <w:szCs w:val="24"/>
              </w:rPr>
              <w:t>2</w:t>
            </w:r>
            <w:r>
              <w:rPr>
                <w:spacing w:val="-4"/>
                <w:sz w:val="24"/>
                <w:szCs w:val="24"/>
              </w:rPr>
              <w:t>×</w:t>
            </w:r>
          </w:p>
          <w:p w14:paraId="7376F113">
            <w:pPr>
              <w:pStyle w:val="6"/>
              <w:spacing w:before="64" w:line="175" w:lineRule="auto"/>
              <w:ind w:left="549"/>
              <w:rPr>
                <w:sz w:val="24"/>
                <w:szCs w:val="24"/>
              </w:rPr>
            </w:pPr>
            <w:r>
              <w:rPr>
                <w:rFonts w:ascii="Times New Roman" w:hAnsi="Times New Roman" w:eastAsia="Times New Roman" w:cs="Times New Roman"/>
                <w:spacing w:val="-1"/>
                <w:sz w:val="24"/>
                <w:szCs w:val="24"/>
              </w:rPr>
              <w:t>6.36+9.67km</w:t>
            </w:r>
            <w:r>
              <w:rPr>
                <w:spacing w:val="-1"/>
                <w:sz w:val="24"/>
                <w:szCs w:val="24"/>
              </w:rPr>
              <w:t>。</w:t>
            </w:r>
          </w:p>
        </w:tc>
      </w:tr>
      <w:tr w14:paraId="1C94D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76" w:hRule="atLeast"/>
        </w:trPr>
        <w:tc>
          <w:tcPr>
            <w:tcW w:w="1180" w:type="dxa"/>
            <w:vAlign w:val="top"/>
          </w:tcPr>
          <w:p w14:paraId="267F52BD">
            <w:pPr>
              <w:spacing w:line="299" w:lineRule="auto"/>
              <w:rPr>
                <w:rFonts w:ascii="Arial"/>
                <w:sz w:val="21"/>
              </w:rPr>
            </w:pPr>
          </w:p>
          <w:p w14:paraId="6011064C">
            <w:pPr>
              <w:spacing w:line="299" w:lineRule="auto"/>
              <w:rPr>
                <w:rFonts w:ascii="Arial"/>
                <w:sz w:val="21"/>
              </w:rPr>
            </w:pPr>
          </w:p>
          <w:p w14:paraId="61F1A90B">
            <w:pPr>
              <w:pStyle w:val="6"/>
              <w:spacing w:before="78" w:line="220" w:lineRule="auto"/>
              <w:ind w:left="111"/>
              <w:rPr>
                <w:sz w:val="24"/>
                <w:szCs w:val="24"/>
              </w:rPr>
            </w:pPr>
            <w:r>
              <w:rPr>
                <w:spacing w:val="-4"/>
                <w:sz w:val="24"/>
                <w:szCs w:val="24"/>
              </w:rPr>
              <w:t>建设性质</w:t>
            </w:r>
          </w:p>
        </w:tc>
        <w:tc>
          <w:tcPr>
            <w:tcW w:w="2089" w:type="dxa"/>
            <w:vAlign w:val="top"/>
          </w:tcPr>
          <w:p w14:paraId="725BA399">
            <w:pPr>
              <w:pStyle w:val="6"/>
              <w:spacing w:before="212" w:line="239" w:lineRule="auto"/>
              <w:ind w:left="14" w:right="417" w:firstLine="1"/>
              <w:rPr>
                <w:sz w:val="24"/>
                <w:szCs w:val="24"/>
              </w:rPr>
            </w:pPr>
            <w:r>
              <w:rPr>
                <w:rFonts w:ascii="MS UI Gothic" w:hAnsi="MS UI Gothic" w:eastAsia="MS UI Gothic" w:cs="MS UI Gothic"/>
                <w:spacing w:val="-6"/>
                <w:sz w:val="24"/>
                <w:szCs w:val="24"/>
              </w:rPr>
              <w:t>☑</w:t>
            </w:r>
            <w:r>
              <w:rPr>
                <w:spacing w:val="-6"/>
                <w:sz w:val="24"/>
                <w:szCs w:val="24"/>
              </w:rPr>
              <w:t>新建（迁建）</w:t>
            </w:r>
            <w:r>
              <w:rPr>
                <w:spacing w:val="1"/>
                <w:sz w:val="24"/>
                <w:szCs w:val="24"/>
              </w:rPr>
              <w:t xml:space="preserve"> </w:t>
            </w:r>
            <w:r>
              <w:rPr>
                <w:rFonts w:ascii="Times New Roman" w:hAnsi="Times New Roman" w:eastAsia="Times New Roman" w:cs="Times New Roman"/>
                <w:spacing w:val="-12"/>
                <w:sz w:val="24"/>
                <w:szCs w:val="24"/>
              </w:rPr>
              <w:t>□</w:t>
            </w:r>
            <w:r>
              <w:rPr>
                <w:rFonts w:ascii="Times New Roman" w:hAnsi="Times New Roman" w:eastAsia="Times New Roman" w:cs="Times New Roman"/>
                <w:spacing w:val="-44"/>
                <w:sz w:val="24"/>
                <w:szCs w:val="24"/>
              </w:rPr>
              <w:t xml:space="preserve"> </w:t>
            </w:r>
            <w:r>
              <w:rPr>
                <w:spacing w:val="-12"/>
                <w:sz w:val="24"/>
                <w:szCs w:val="24"/>
              </w:rPr>
              <w:t>改建</w:t>
            </w:r>
          </w:p>
          <w:p w14:paraId="3EBA14FF">
            <w:pPr>
              <w:pStyle w:val="6"/>
              <w:spacing w:line="220" w:lineRule="auto"/>
              <w:ind w:left="14"/>
              <w:rPr>
                <w:sz w:val="24"/>
                <w:szCs w:val="24"/>
              </w:rPr>
            </w:pPr>
            <w:r>
              <w:rPr>
                <w:rFonts w:ascii="Times New Roman" w:hAnsi="Times New Roman" w:eastAsia="Times New Roman" w:cs="Times New Roman"/>
                <w:spacing w:val="-7"/>
                <w:sz w:val="24"/>
                <w:szCs w:val="24"/>
              </w:rPr>
              <w:t>□</w:t>
            </w:r>
            <w:r>
              <w:rPr>
                <w:spacing w:val="-7"/>
                <w:sz w:val="24"/>
                <w:szCs w:val="24"/>
              </w:rPr>
              <w:t>扩建</w:t>
            </w:r>
          </w:p>
          <w:p w14:paraId="5C8570D5">
            <w:pPr>
              <w:pStyle w:val="6"/>
              <w:spacing w:before="26" w:line="219" w:lineRule="auto"/>
              <w:ind w:left="14"/>
              <w:rPr>
                <w:sz w:val="24"/>
                <w:szCs w:val="24"/>
              </w:rPr>
            </w:pPr>
            <w:r>
              <w:rPr>
                <w:rFonts w:ascii="Times New Roman" w:hAnsi="Times New Roman" w:eastAsia="Times New Roman" w:cs="Times New Roman"/>
                <w:spacing w:val="-4"/>
                <w:sz w:val="24"/>
                <w:szCs w:val="24"/>
              </w:rPr>
              <w:t>□</w:t>
            </w:r>
            <w:r>
              <w:rPr>
                <w:spacing w:val="-4"/>
                <w:sz w:val="24"/>
                <w:szCs w:val="24"/>
              </w:rPr>
              <w:t>技术改造</w:t>
            </w:r>
          </w:p>
        </w:tc>
        <w:tc>
          <w:tcPr>
            <w:tcW w:w="2250" w:type="dxa"/>
            <w:vAlign w:val="top"/>
          </w:tcPr>
          <w:p w14:paraId="74EA5205">
            <w:pPr>
              <w:spacing w:line="443" w:lineRule="auto"/>
              <w:rPr>
                <w:rFonts w:ascii="Arial"/>
                <w:sz w:val="21"/>
              </w:rPr>
            </w:pPr>
          </w:p>
          <w:p w14:paraId="654B94E1">
            <w:pPr>
              <w:pStyle w:val="6"/>
              <w:spacing w:before="78"/>
              <w:ind w:left="679" w:right="635" w:hanging="28"/>
              <w:rPr>
                <w:sz w:val="24"/>
                <w:szCs w:val="24"/>
              </w:rPr>
            </w:pPr>
            <w:r>
              <w:rPr>
                <w:spacing w:val="-4"/>
                <w:sz w:val="24"/>
                <w:szCs w:val="24"/>
              </w:rPr>
              <w:t>建设项目</w:t>
            </w:r>
            <w:r>
              <w:rPr>
                <w:spacing w:val="-11"/>
                <w:sz w:val="24"/>
                <w:szCs w:val="24"/>
              </w:rPr>
              <w:t>申报情形</w:t>
            </w:r>
          </w:p>
        </w:tc>
        <w:tc>
          <w:tcPr>
            <w:tcW w:w="2615" w:type="dxa"/>
            <w:vAlign w:val="top"/>
          </w:tcPr>
          <w:p w14:paraId="2329FEB5">
            <w:pPr>
              <w:pStyle w:val="6"/>
              <w:spacing w:before="56" w:line="221" w:lineRule="auto"/>
              <w:ind w:left="23"/>
              <w:rPr>
                <w:sz w:val="24"/>
                <w:szCs w:val="24"/>
              </w:rPr>
            </w:pPr>
            <w:r>
              <w:rPr>
                <w:rFonts w:ascii="MS UI Gothic" w:hAnsi="MS UI Gothic" w:eastAsia="MS UI Gothic" w:cs="MS UI Gothic"/>
                <w:spacing w:val="-3"/>
                <w:sz w:val="24"/>
                <w:szCs w:val="24"/>
              </w:rPr>
              <w:t>☑</w:t>
            </w:r>
            <w:r>
              <w:rPr>
                <w:spacing w:val="-3"/>
                <w:sz w:val="24"/>
                <w:szCs w:val="24"/>
              </w:rPr>
              <w:t>首次申报项目</w:t>
            </w:r>
          </w:p>
          <w:p w14:paraId="21EE5F8B">
            <w:pPr>
              <w:pStyle w:val="6"/>
              <w:spacing w:before="24" w:line="239" w:lineRule="auto"/>
              <w:ind w:left="59" w:right="51" w:hanging="38"/>
              <w:rPr>
                <w:sz w:val="24"/>
                <w:szCs w:val="24"/>
              </w:rPr>
            </w:pPr>
            <w:r>
              <w:rPr>
                <w:rFonts w:ascii="Times New Roman" w:hAnsi="Times New Roman" w:eastAsia="Times New Roman" w:cs="Times New Roman"/>
                <w:spacing w:val="-2"/>
                <w:sz w:val="24"/>
                <w:szCs w:val="24"/>
              </w:rPr>
              <w:t>□</w:t>
            </w:r>
            <w:r>
              <w:rPr>
                <w:spacing w:val="-2"/>
                <w:sz w:val="24"/>
                <w:szCs w:val="24"/>
              </w:rPr>
              <w:t>不予批准后再次申报项</w:t>
            </w:r>
            <w:r>
              <w:rPr>
                <w:sz w:val="24"/>
                <w:szCs w:val="24"/>
              </w:rPr>
              <w:t>目</w:t>
            </w:r>
          </w:p>
          <w:p w14:paraId="41202EAB">
            <w:pPr>
              <w:pStyle w:val="6"/>
              <w:spacing w:line="219" w:lineRule="auto"/>
              <w:ind w:left="21"/>
              <w:rPr>
                <w:sz w:val="24"/>
                <w:szCs w:val="24"/>
              </w:rPr>
            </w:pPr>
            <w:r>
              <w:rPr>
                <w:rFonts w:ascii="Times New Roman" w:hAnsi="Times New Roman" w:eastAsia="Times New Roman" w:cs="Times New Roman"/>
                <w:spacing w:val="-2"/>
                <w:sz w:val="24"/>
                <w:szCs w:val="24"/>
              </w:rPr>
              <w:t>□</w:t>
            </w:r>
            <w:r>
              <w:rPr>
                <w:spacing w:val="-2"/>
                <w:sz w:val="24"/>
                <w:szCs w:val="24"/>
              </w:rPr>
              <w:t>超五年重新审核项目</w:t>
            </w:r>
          </w:p>
          <w:p w14:paraId="315B9EBD">
            <w:pPr>
              <w:pStyle w:val="6"/>
              <w:spacing w:before="27" w:line="203" w:lineRule="auto"/>
              <w:ind w:left="21"/>
              <w:rPr>
                <w:sz w:val="24"/>
                <w:szCs w:val="24"/>
              </w:rPr>
            </w:pPr>
            <w:r>
              <w:rPr>
                <w:rFonts w:ascii="Times New Roman" w:hAnsi="Times New Roman" w:eastAsia="Times New Roman" w:cs="Times New Roman"/>
                <w:spacing w:val="-2"/>
                <w:sz w:val="24"/>
                <w:szCs w:val="24"/>
              </w:rPr>
              <w:t>□</w:t>
            </w:r>
            <w:r>
              <w:rPr>
                <w:spacing w:val="-2"/>
                <w:sz w:val="24"/>
                <w:szCs w:val="24"/>
              </w:rPr>
              <w:t>重大变动重新报批项目</w:t>
            </w:r>
          </w:p>
        </w:tc>
      </w:tr>
      <w:tr w14:paraId="08A31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3" w:hRule="atLeast"/>
        </w:trPr>
        <w:tc>
          <w:tcPr>
            <w:tcW w:w="1180" w:type="dxa"/>
            <w:vAlign w:val="top"/>
          </w:tcPr>
          <w:p w14:paraId="536E9437">
            <w:pPr>
              <w:pStyle w:val="6"/>
              <w:spacing w:before="57" w:line="227" w:lineRule="auto"/>
              <w:ind w:left="89" w:right="71" w:firstLine="23"/>
              <w:jc w:val="both"/>
              <w:rPr>
                <w:sz w:val="24"/>
                <w:szCs w:val="24"/>
              </w:rPr>
            </w:pPr>
            <w:r>
              <w:rPr>
                <w:spacing w:val="-4"/>
                <w:sz w:val="24"/>
                <w:szCs w:val="24"/>
              </w:rPr>
              <w:t>项目审批</w:t>
            </w:r>
            <w:r>
              <w:rPr>
                <w:spacing w:val="-5"/>
                <w:sz w:val="24"/>
                <w:szCs w:val="24"/>
              </w:rPr>
              <w:t>（核准</w:t>
            </w:r>
            <w:r>
              <w:rPr>
                <w:rFonts w:ascii="Times New Roman" w:hAnsi="Times New Roman" w:eastAsia="Times New Roman" w:cs="Times New Roman"/>
                <w:spacing w:val="-5"/>
                <w:sz w:val="24"/>
                <w:szCs w:val="24"/>
              </w:rPr>
              <w:t>/</w:t>
            </w:r>
            <w:r>
              <w:rPr>
                <w:spacing w:val="-5"/>
                <w:sz w:val="24"/>
                <w:szCs w:val="24"/>
              </w:rPr>
              <w:t>备</w:t>
            </w:r>
            <w:r>
              <w:rPr>
                <w:spacing w:val="2"/>
                <w:sz w:val="24"/>
                <w:szCs w:val="24"/>
              </w:rPr>
              <w:t>案）部门</w:t>
            </w:r>
          </w:p>
        </w:tc>
        <w:tc>
          <w:tcPr>
            <w:tcW w:w="2089" w:type="dxa"/>
            <w:vAlign w:val="top"/>
          </w:tcPr>
          <w:p w14:paraId="501729E0">
            <w:pPr>
              <w:pStyle w:val="6"/>
              <w:spacing w:before="214"/>
              <w:ind w:left="681" w:right="80" w:hanging="570"/>
              <w:rPr>
                <w:sz w:val="24"/>
                <w:szCs w:val="24"/>
              </w:rPr>
            </w:pPr>
            <w:r>
              <w:rPr>
                <w:spacing w:val="-5"/>
                <w:sz w:val="24"/>
                <w:szCs w:val="24"/>
              </w:rPr>
              <w:t>曲靖市发展和改革</w:t>
            </w:r>
            <w:r>
              <w:rPr>
                <w:spacing w:val="-3"/>
                <w:sz w:val="24"/>
                <w:szCs w:val="24"/>
              </w:rPr>
              <w:t>委员会</w:t>
            </w:r>
          </w:p>
        </w:tc>
        <w:tc>
          <w:tcPr>
            <w:tcW w:w="2250" w:type="dxa"/>
            <w:vAlign w:val="top"/>
          </w:tcPr>
          <w:p w14:paraId="41970510">
            <w:pPr>
              <w:pStyle w:val="6"/>
              <w:spacing w:before="213" w:line="241" w:lineRule="auto"/>
              <w:ind w:left="530" w:right="242" w:hanging="272"/>
              <w:rPr>
                <w:sz w:val="24"/>
                <w:szCs w:val="24"/>
              </w:rPr>
            </w:pPr>
            <w:r>
              <w:rPr>
                <w:spacing w:val="-2"/>
                <w:sz w:val="24"/>
                <w:szCs w:val="24"/>
              </w:rPr>
              <w:t>项目审批（核准</w:t>
            </w:r>
            <w:r>
              <w:rPr>
                <w:rFonts w:ascii="Times New Roman" w:hAnsi="Times New Roman" w:eastAsia="Times New Roman" w:cs="Times New Roman"/>
                <w:spacing w:val="-2"/>
                <w:sz w:val="24"/>
                <w:szCs w:val="24"/>
              </w:rPr>
              <w:t>/</w:t>
            </w:r>
            <w:r>
              <w:rPr>
                <w:spacing w:val="-3"/>
                <w:sz w:val="24"/>
                <w:szCs w:val="24"/>
              </w:rPr>
              <w:t>备案）文号</w:t>
            </w:r>
          </w:p>
        </w:tc>
        <w:tc>
          <w:tcPr>
            <w:tcW w:w="2615" w:type="dxa"/>
            <w:vAlign w:val="top"/>
          </w:tcPr>
          <w:p w14:paraId="7DB75840">
            <w:pPr>
              <w:pStyle w:val="6"/>
              <w:spacing w:before="215" w:line="219" w:lineRule="auto"/>
              <w:ind w:left="137"/>
              <w:rPr>
                <w:rFonts w:ascii="Times New Roman" w:hAnsi="Times New Roman" w:eastAsia="Times New Roman" w:cs="Times New Roman"/>
                <w:sz w:val="24"/>
                <w:szCs w:val="24"/>
              </w:rPr>
            </w:pPr>
            <w:r>
              <w:rPr>
                <w:spacing w:val="-3"/>
                <w:sz w:val="24"/>
                <w:szCs w:val="24"/>
              </w:rPr>
              <w:t>曲发改基础﹝</w:t>
            </w:r>
            <w:r>
              <w:rPr>
                <w:rFonts w:ascii="Times New Roman" w:hAnsi="Times New Roman" w:eastAsia="Times New Roman" w:cs="Times New Roman"/>
                <w:spacing w:val="-3"/>
                <w:sz w:val="24"/>
                <w:szCs w:val="24"/>
              </w:rPr>
              <w:t>2025</w:t>
            </w:r>
            <w:r>
              <w:rPr>
                <w:spacing w:val="-3"/>
                <w:sz w:val="24"/>
                <w:szCs w:val="24"/>
              </w:rPr>
              <w:t>﹞</w:t>
            </w:r>
            <w:r>
              <w:rPr>
                <w:rFonts w:ascii="Times New Roman" w:hAnsi="Times New Roman" w:eastAsia="Times New Roman" w:cs="Times New Roman"/>
                <w:spacing w:val="-3"/>
                <w:sz w:val="24"/>
                <w:szCs w:val="24"/>
              </w:rPr>
              <w:t>55</w:t>
            </w:r>
          </w:p>
          <w:p w14:paraId="6415251A">
            <w:pPr>
              <w:pStyle w:val="6"/>
              <w:spacing w:before="24" w:line="221" w:lineRule="auto"/>
              <w:ind w:left="1195"/>
              <w:rPr>
                <w:sz w:val="24"/>
                <w:szCs w:val="24"/>
              </w:rPr>
            </w:pPr>
            <w:r>
              <w:rPr>
                <w:sz w:val="24"/>
                <w:szCs w:val="24"/>
              </w:rPr>
              <w:t>号</w:t>
            </w:r>
          </w:p>
        </w:tc>
      </w:tr>
      <w:tr w14:paraId="2FE65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3" w:hRule="atLeast"/>
        </w:trPr>
        <w:tc>
          <w:tcPr>
            <w:tcW w:w="1180" w:type="dxa"/>
            <w:vAlign w:val="top"/>
          </w:tcPr>
          <w:p w14:paraId="66B43727">
            <w:pPr>
              <w:pStyle w:val="6"/>
              <w:spacing w:before="60" w:line="220" w:lineRule="auto"/>
              <w:ind w:left="26"/>
              <w:rPr>
                <w:sz w:val="24"/>
                <w:szCs w:val="24"/>
              </w:rPr>
            </w:pPr>
            <w:r>
              <w:rPr>
                <w:spacing w:val="-16"/>
                <w:sz w:val="24"/>
                <w:szCs w:val="24"/>
              </w:rPr>
              <w:t>总投资（万</w:t>
            </w:r>
          </w:p>
          <w:p w14:paraId="10353A66">
            <w:pPr>
              <w:pStyle w:val="6"/>
              <w:spacing w:before="25" w:line="201" w:lineRule="auto"/>
              <w:ind w:left="350"/>
              <w:rPr>
                <w:sz w:val="24"/>
                <w:szCs w:val="24"/>
              </w:rPr>
            </w:pPr>
            <w:r>
              <w:rPr>
                <w:spacing w:val="-6"/>
                <w:sz w:val="24"/>
                <w:szCs w:val="24"/>
              </w:rPr>
              <w:t>元）</w:t>
            </w:r>
          </w:p>
        </w:tc>
        <w:tc>
          <w:tcPr>
            <w:tcW w:w="2089" w:type="dxa"/>
            <w:vAlign w:val="top"/>
          </w:tcPr>
          <w:p w14:paraId="25B715F3">
            <w:pPr>
              <w:spacing w:before="257" w:line="188" w:lineRule="auto"/>
              <w:ind w:left="761"/>
              <w:rPr>
                <w:rFonts w:ascii="Times New Roman" w:hAnsi="Times New Roman" w:eastAsia="Times New Roman" w:cs="Times New Roman"/>
                <w:sz w:val="24"/>
                <w:szCs w:val="24"/>
              </w:rPr>
            </w:pPr>
            <w:r>
              <w:rPr>
                <w:rFonts w:ascii="Times New Roman" w:hAnsi="Times New Roman" w:eastAsia="Times New Roman" w:cs="Times New Roman"/>
                <w:spacing w:val="-6"/>
                <w:sz w:val="24"/>
                <w:szCs w:val="24"/>
              </w:rPr>
              <w:t>10121</w:t>
            </w:r>
          </w:p>
        </w:tc>
        <w:tc>
          <w:tcPr>
            <w:tcW w:w="2250" w:type="dxa"/>
            <w:vAlign w:val="top"/>
          </w:tcPr>
          <w:p w14:paraId="1D2F6904">
            <w:pPr>
              <w:pStyle w:val="6"/>
              <w:spacing w:before="216" w:line="220" w:lineRule="auto"/>
              <w:ind w:left="168"/>
              <w:rPr>
                <w:sz w:val="24"/>
                <w:szCs w:val="24"/>
              </w:rPr>
            </w:pPr>
            <w:r>
              <w:rPr>
                <w:spacing w:val="-2"/>
                <w:sz w:val="24"/>
                <w:szCs w:val="24"/>
              </w:rPr>
              <w:t>环保投资（万元）</w:t>
            </w:r>
          </w:p>
        </w:tc>
        <w:tc>
          <w:tcPr>
            <w:tcW w:w="2615" w:type="dxa"/>
            <w:vAlign w:val="top"/>
          </w:tcPr>
          <w:p w14:paraId="2FA7DBEA">
            <w:pPr>
              <w:spacing w:before="257" w:line="188" w:lineRule="auto"/>
              <w:ind w:left="1148"/>
              <w:rPr>
                <w:rFonts w:ascii="Times New Roman" w:hAnsi="Times New Roman" w:eastAsia="Times New Roman" w:cs="Times New Roman"/>
                <w:sz w:val="24"/>
                <w:szCs w:val="24"/>
              </w:rPr>
            </w:pPr>
            <w:r>
              <w:rPr>
                <w:rFonts w:ascii="Times New Roman" w:hAnsi="Times New Roman" w:eastAsia="Times New Roman" w:cs="Times New Roman"/>
                <w:spacing w:val="-10"/>
                <w:sz w:val="24"/>
                <w:szCs w:val="24"/>
              </w:rPr>
              <w:t>136</w:t>
            </w:r>
          </w:p>
        </w:tc>
      </w:tr>
      <w:tr w14:paraId="0E276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0" w:hRule="atLeast"/>
        </w:trPr>
        <w:tc>
          <w:tcPr>
            <w:tcW w:w="1180" w:type="dxa"/>
            <w:vAlign w:val="top"/>
          </w:tcPr>
          <w:p w14:paraId="6C0B3A20">
            <w:pPr>
              <w:pStyle w:val="6"/>
              <w:spacing w:before="60" w:line="223" w:lineRule="auto"/>
              <w:ind w:left="59" w:right="16" w:firstLine="49"/>
              <w:rPr>
                <w:sz w:val="24"/>
                <w:szCs w:val="24"/>
              </w:rPr>
            </w:pPr>
            <w:r>
              <w:rPr>
                <w:spacing w:val="-3"/>
                <w:sz w:val="24"/>
                <w:szCs w:val="24"/>
              </w:rPr>
              <w:t>环保投资</w:t>
            </w:r>
            <w:r>
              <w:rPr>
                <w:spacing w:val="-15"/>
                <w:sz w:val="24"/>
                <w:szCs w:val="24"/>
              </w:rPr>
              <w:t>占比（</w:t>
            </w:r>
            <w:r>
              <w:rPr>
                <w:rFonts w:ascii="Times New Roman" w:hAnsi="Times New Roman" w:eastAsia="Times New Roman" w:cs="Times New Roman"/>
                <w:spacing w:val="-15"/>
                <w:sz w:val="24"/>
                <w:szCs w:val="24"/>
              </w:rPr>
              <w:t>%</w:t>
            </w:r>
            <w:r>
              <w:rPr>
                <w:spacing w:val="-15"/>
                <w:sz w:val="24"/>
                <w:szCs w:val="24"/>
              </w:rPr>
              <w:t>）</w:t>
            </w:r>
          </w:p>
        </w:tc>
        <w:tc>
          <w:tcPr>
            <w:tcW w:w="2089" w:type="dxa"/>
            <w:vAlign w:val="top"/>
          </w:tcPr>
          <w:p w14:paraId="158E9A03">
            <w:pPr>
              <w:spacing w:before="257" w:line="188" w:lineRule="auto"/>
              <w:ind w:left="850"/>
              <w:rPr>
                <w:rFonts w:ascii="Times New Roman" w:hAnsi="Times New Roman" w:eastAsia="Times New Roman" w:cs="Times New Roman"/>
                <w:sz w:val="24"/>
                <w:szCs w:val="24"/>
              </w:rPr>
            </w:pPr>
            <w:r>
              <w:rPr>
                <w:rFonts w:ascii="Times New Roman" w:hAnsi="Times New Roman" w:eastAsia="Times New Roman" w:cs="Times New Roman"/>
                <w:spacing w:val="-8"/>
                <w:sz w:val="24"/>
                <w:szCs w:val="24"/>
              </w:rPr>
              <w:t>1.34</w:t>
            </w:r>
          </w:p>
        </w:tc>
        <w:tc>
          <w:tcPr>
            <w:tcW w:w="2250" w:type="dxa"/>
            <w:vAlign w:val="top"/>
          </w:tcPr>
          <w:p w14:paraId="1DD7E9E8">
            <w:pPr>
              <w:pStyle w:val="6"/>
              <w:spacing w:before="215" w:line="220" w:lineRule="auto"/>
              <w:ind w:left="647"/>
              <w:rPr>
                <w:sz w:val="24"/>
                <w:szCs w:val="24"/>
              </w:rPr>
            </w:pPr>
            <w:r>
              <w:rPr>
                <w:spacing w:val="-3"/>
                <w:sz w:val="24"/>
                <w:szCs w:val="24"/>
              </w:rPr>
              <w:t>施工工期</w:t>
            </w:r>
          </w:p>
        </w:tc>
        <w:tc>
          <w:tcPr>
            <w:tcW w:w="2615" w:type="dxa"/>
            <w:vAlign w:val="top"/>
          </w:tcPr>
          <w:p w14:paraId="1861138F">
            <w:pPr>
              <w:pStyle w:val="6"/>
              <w:spacing w:before="216" w:line="219" w:lineRule="auto"/>
              <w:ind w:left="939"/>
              <w:rPr>
                <w:sz w:val="24"/>
                <w:szCs w:val="24"/>
              </w:rPr>
            </w:pPr>
            <w:r>
              <w:rPr>
                <w:rFonts w:ascii="Times New Roman" w:hAnsi="Times New Roman" w:eastAsia="Times New Roman" w:cs="Times New Roman"/>
                <w:spacing w:val="-10"/>
                <w:sz w:val="24"/>
                <w:szCs w:val="24"/>
              </w:rPr>
              <w:t>12</w:t>
            </w:r>
            <w:r>
              <w:rPr>
                <w:rFonts w:ascii="Times New Roman" w:hAnsi="Times New Roman" w:eastAsia="Times New Roman" w:cs="Times New Roman"/>
                <w:spacing w:val="10"/>
                <w:sz w:val="24"/>
                <w:szCs w:val="24"/>
              </w:rPr>
              <w:t xml:space="preserve"> </w:t>
            </w:r>
            <w:r>
              <w:rPr>
                <w:spacing w:val="-10"/>
                <w:sz w:val="24"/>
                <w:szCs w:val="24"/>
              </w:rPr>
              <w:t>个月</w:t>
            </w:r>
          </w:p>
        </w:tc>
      </w:tr>
    </w:tbl>
    <w:p w14:paraId="7B8A3BCB">
      <w:pPr>
        <w:rPr>
          <w:rFonts w:ascii="Arial"/>
          <w:sz w:val="21"/>
        </w:rPr>
      </w:pPr>
    </w:p>
    <w:p w14:paraId="1D740D19">
      <w:pPr>
        <w:rPr>
          <w:rFonts w:ascii="Arial" w:hAnsi="Arial" w:eastAsia="Arial" w:cs="Arial"/>
          <w:sz w:val="21"/>
          <w:szCs w:val="21"/>
        </w:rPr>
        <w:sectPr>
          <w:footerReference r:id="rId11" w:type="default"/>
          <w:pgSz w:w="11907" w:h="16840"/>
          <w:pgMar w:top="400" w:right="1786" w:bottom="1240" w:left="1774" w:header="0" w:footer="1077" w:gutter="0"/>
          <w:cols w:space="720" w:num="1"/>
        </w:sectPr>
      </w:pPr>
    </w:p>
    <w:p w14:paraId="01EA0315">
      <w:pPr>
        <w:spacing w:before="19"/>
      </w:pPr>
      <w:r>
        <w:drawing>
          <wp:anchor distT="0" distB="0" distL="0" distR="0" simplePos="0" relativeHeight="251660288" behindDoc="0" locked="0" layoutInCell="0" allowOverlap="1">
            <wp:simplePos x="0" y="0"/>
            <wp:positionH relativeFrom="page">
              <wp:posOffset>6266815</wp:posOffset>
            </wp:positionH>
            <wp:positionV relativeFrom="page">
              <wp:posOffset>4083050</wp:posOffset>
            </wp:positionV>
            <wp:extent cx="6350" cy="5583555"/>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219"/>
                    <a:stretch>
                      <a:fillRect/>
                    </a:stretch>
                  </pic:blipFill>
                  <pic:spPr>
                    <a:xfrm>
                      <a:off x="0" y="0"/>
                      <a:ext cx="6350" cy="5583554"/>
                    </a:xfrm>
                    <a:prstGeom prst="rect">
                      <a:avLst/>
                    </a:prstGeom>
                  </pic:spPr>
                </pic:pic>
              </a:graphicData>
            </a:graphic>
          </wp:anchor>
        </w:drawing>
      </w:r>
      <w:r>
        <w:drawing>
          <wp:anchor distT="0" distB="0" distL="0" distR="0" simplePos="0" relativeHeight="251659264" behindDoc="0" locked="0" layoutInCell="0" allowOverlap="1">
            <wp:simplePos x="0" y="0"/>
            <wp:positionH relativeFrom="page">
              <wp:posOffset>1899285</wp:posOffset>
            </wp:positionH>
            <wp:positionV relativeFrom="page">
              <wp:posOffset>4083050</wp:posOffset>
            </wp:positionV>
            <wp:extent cx="6350" cy="5583555"/>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220"/>
                    <a:stretch>
                      <a:fillRect/>
                    </a:stretch>
                  </pic:blipFill>
                  <pic:spPr>
                    <a:xfrm>
                      <a:off x="0" y="0"/>
                      <a:ext cx="6350" cy="5583554"/>
                    </a:xfrm>
                    <a:prstGeom prst="rect">
                      <a:avLst/>
                    </a:prstGeom>
                  </pic:spPr>
                </pic:pic>
              </a:graphicData>
            </a:graphic>
          </wp:anchor>
        </w:drawing>
      </w:r>
    </w:p>
    <w:p w14:paraId="4EC6C9B4">
      <w:pPr>
        <w:spacing w:before="19"/>
      </w:pPr>
    </w:p>
    <w:p w14:paraId="1EB014DA">
      <w:pPr>
        <w:spacing w:before="18"/>
      </w:pPr>
    </w:p>
    <w:p w14:paraId="5A72DB97">
      <w:pPr>
        <w:spacing w:before="18"/>
      </w:pPr>
    </w:p>
    <w:tbl>
      <w:tblPr>
        <w:tblStyle w:val="5"/>
        <w:tblW w:w="813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0"/>
        <w:gridCol w:w="1011"/>
        <w:gridCol w:w="3521"/>
        <w:gridCol w:w="1657"/>
        <w:gridCol w:w="765"/>
      </w:tblGrid>
      <w:tr w14:paraId="63B69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180" w:type="dxa"/>
            <w:tcBorders>
              <w:top w:val="single" w:color="000000" w:sz="6" w:space="0"/>
              <w:left w:val="single" w:color="000000" w:sz="6" w:space="0"/>
              <w:bottom w:val="single" w:color="000000" w:sz="6" w:space="0"/>
              <w:right w:val="single" w:color="000000" w:sz="6" w:space="0"/>
            </w:tcBorders>
            <w:vAlign w:val="top"/>
          </w:tcPr>
          <w:p w14:paraId="0A04F8DB">
            <w:pPr>
              <w:pStyle w:val="6"/>
              <w:spacing w:before="199" w:line="243" w:lineRule="auto"/>
              <w:ind w:left="351" w:right="105" w:hanging="239"/>
              <w:rPr>
                <w:sz w:val="24"/>
                <w:szCs w:val="24"/>
              </w:rPr>
            </w:pPr>
            <w:r>
              <w:rPr>
                <w:spacing w:val="-4"/>
                <w:sz w:val="24"/>
                <w:szCs w:val="24"/>
              </w:rPr>
              <w:t>是否开工</w:t>
            </w:r>
            <w:r>
              <w:rPr>
                <w:spacing w:val="-7"/>
                <w:sz w:val="24"/>
                <w:szCs w:val="24"/>
              </w:rPr>
              <w:t>建设</w:t>
            </w:r>
          </w:p>
        </w:tc>
        <w:tc>
          <w:tcPr>
            <w:tcW w:w="6954" w:type="dxa"/>
            <w:gridSpan w:val="4"/>
            <w:tcBorders>
              <w:top w:val="single" w:color="000000" w:sz="6" w:space="0"/>
              <w:left w:val="single" w:color="000000" w:sz="6" w:space="0"/>
              <w:bottom w:val="single" w:color="000000" w:sz="6" w:space="0"/>
              <w:right w:val="single" w:color="000000" w:sz="6" w:space="0"/>
            </w:tcBorders>
            <w:vAlign w:val="top"/>
          </w:tcPr>
          <w:p w14:paraId="2CEEAD7B">
            <w:pPr>
              <w:pStyle w:val="6"/>
              <w:spacing w:before="199" w:line="220" w:lineRule="auto"/>
              <w:ind w:left="121"/>
              <w:rPr>
                <w:sz w:val="24"/>
                <w:szCs w:val="24"/>
              </w:rPr>
            </w:pPr>
            <w:r>
              <w:rPr>
                <w:rFonts w:ascii="MS UI Gothic" w:hAnsi="MS UI Gothic" w:eastAsia="MS UI Gothic" w:cs="MS UI Gothic"/>
                <w:spacing w:val="-9"/>
                <w:sz w:val="24"/>
                <w:szCs w:val="24"/>
              </w:rPr>
              <w:t>☑</w:t>
            </w:r>
            <w:r>
              <w:rPr>
                <w:spacing w:val="-9"/>
                <w:sz w:val="24"/>
                <w:szCs w:val="24"/>
              </w:rPr>
              <w:t>否</w:t>
            </w:r>
          </w:p>
          <w:p w14:paraId="2AC6A265">
            <w:pPr>
              <w:pStyle w:val="6"/>
              <w:spacing w:before="25" w:line="223" w:lineRule="auto"/>
              <w:ind w:left="107"/>
              <w:rPr>
                <w:sz w:val="24"/>
                <w:szCs w:val="24"/>
              </w:rPr>
            </w:pPr>
            <w:r>
              <w:rPr>
                <w:rFonts w:ascii="Times New Roman" w:hAnsi="Times New Roman" w:eastAsia="Times New Roman" w:cs="Times New Roman"/>
                <w:spacing w:val="-4"/>
                <w:sz w:val="24"/>
                <w:szCs w:val="24"/>
              </w:rPr>
              <w:t>□</w:t>
            </w:r>
            <w:r>
              <w:rPr>
                <w:spacing w:val="-4"/>
                <w:sz w:val="24"/>
                <w:szCs w:val="24"/>
              </w:rPr>
              <w:t>是：</w:t>
            </w:r>
            <w:r>
              <w:rPr>
                <w:spacing w:val="-4"/>
                <w:sz w:val="24"/>
                <w:szCs w:val="24"/>
                <w:u w:val="single" w:color="auto"/>
              </w:rPr>
              <w:t xml:space="preserve">                  </w:t>
            </w:r>
            <w:r>
              <w:rPr>
                <w:spacing w:val="-5"/>
                <w:sz w:val="24"/>
                <w:szCs w:val="24"/>
                <w:u w:val="single" w:color="auto"/>
              </w:rPr>
              <w:t xml:space="preserve">           </w:t>
            </w:r>
          </w:p>
        </w:tc>
      </w:tr>
      <w:tr w14:paraId="57C61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9" w:hRule="atLeast"/>
        </w:trPr>
        <w:tc>
          <w:tcPr>
            <w:tcW w:w="1180" w:type="dxa"/>
            <w:vMerge w:val="restart"/>
            <w:tcBorders>
              <w:top w:val="single" w:color="000000" w:sz="6" w:space="0"/>
              <w:left w:val="single" w:color="000000" w:sz="6" w:space="0"/>
              <w:bottom w:val="nil"/>
              <w:right w:val="single" w:color="000000" w:sz="6" w:space="0"/>
            </w:tcBorders>
            <w:vAlign w:val="top"/>
          </w:tcPr>
          <w:p w14:paraId="14D5E218">
            <w:pPr>
              <w:rPr>
                <w:rFonts w:ascii="Arial"/>
                <w:sz w:val="21"/>
              </w:rPr>
            </w:pPr>
          </w:p>
          <w:p w14:paraId="08B2116C">
            <w:pPr>
              <w:rPr>
                <w:rFonts w:ascii="Arial"/>
                <w:sz w:val="21"/>
              </w:rPr>
            </w:pPr>
          </w:p>
          <w:p w14:paraId="53287891">
            <w:pPr>
              <w:spacing w:line="241" w:lineRule="auto"/>
              <w:rPr>
                <w:rFonts w:ascii="Arial"/>
                <w:sz w:val="21"/>
              </w:rPr>
            </w:pPr>
          </w:p>
          <w:p w14:paraId="477FC018">
            <w:pPr>
              <w:spacing w:line="241" w:lineRule="auto"/>
              <w:rPr>
                <w:rFonts w:ascii="Arial"/>
                <w:sz w:val="21"/>
              </w:rPr>
            </w:pPr>
          </w:p>
          <w:p w14:paraId="36155253">
            <w:pPr>
              <w:spacing w:line="241" w:lineRule="auto"/>
              <w:rPr>
                <w:rFonts w:ascii="Arial"/>
                <w:sz w:val="21"/>
              </w:rPr>
            </w:pPr>
          </w:p>
          <w:p w14:paraId="12A5F5F1">
            <w:pPr>
              <w:spacing w:line="241" w:lineRule="auto"/>
              <w:rPr>
                <w:rFonts w:ascii="Arial"/>
                <w:sz w:val="21"/>
              </w:rPr>
            </w:pPr>
          </w:p>
          <w:p w14:paraId="09D2F05D">
            <w:pPr>
              <w:spacing w:line="241" w:lineRule="auto"/>
              <w:rPr>
                <w:rFonts w:ascii="Arial"/>
                <w:sz w:val="21"/>
              </w:rPr>
            </w:pPr>
          </w:p>
          <w:p w14:paraId="096BBD9D">
            <w:pPr>
              <w:spacing w:line="241" w:lineRule="auto"/>
              <w:rPr>
                <w:rFonts w:ascii="Arial"/>
                <w:sz w:val="21"/>
              </w:rPr>
            </w:pPr>
          </w:p>
          <w:p w14:paraId="516C80A0">
            <w:pPr>
              <w:spacing w:line="241" w:lineRule="auto"/>
              <w:rPr>
                <w:rFonts w:ascii="Arial"/>
                <w:sz w:val="21"/>
              </w:rPr>
            </w:pPr>
          </w:p>
          <w:p w14:paraId="43BDA83B">
            <w:pPr>
              <w:spacing w:line="241" w:lineRule="auto"/>
              <w:rPr>
                <w:rFonts w:ascii="Arial"/>
                <w:sz w:val="21"/>
              </w:rPr>
            </w:pPr>
          </w:p>
          <w:p w14:paraId="19EA7FCA">
            <w:pPr>
              <w:spacing w:line="241" w:lineRule="auto"/>
              <w:rPr>
                <w:rFonts w:ascii="Arial"/>
                <w:sz w:val="21"/>
              </w:rPr>
            </w:pPr>
          </w:p>
          <w:p w14:paraId="0C6FEAF5">
            <w:pPr>
              <w:spacing w:line="241" w:lineRule="auto"/>
              <w:rPr>
                <w:rFonts w:ascii="Arial"/>
                <w:sz w:val="21"/>
              </w:rPr>
            </w:pPr>
          </w:p>
          <w:p w14:paraId="1F770842">
            <w:pPr>
              <w:spacing w:line="241" w:lineRule="auto"/>
              <w:rPr>
                <w:rFonts w:ascii="Arial"/>
                <w:sz w:val="21"/>
              </w:rPr>
            </w:pPr>
          </w:p>
          <w:p w14:paraId="268DA039">
            <w:pPr>
              <w:spacing w:line="241" w:lineRule="auto"/>
              <w:rPr>
                <w:rFonts w:ascii="Arial"/>
                <w:sz w:val="21"/>
              </w:rPr>
            </w:pPr>
          </w:p>
          <w:p w14:paraId="0181651A">
            <w:pPr>
              <w:spacing w:line="241" w:lineRule="auto"/>
              <w:rPr>
                <w:rFonts w:ascii="Arial"/>
                <w:sz w:val="21"/>
              </w:rPr>
            </w:pPr>
          </w:p>
          <w:p w14:paraId="3C68878E">
            <w:pPr>
              <w:spacing w:line="241" w:lineRule="auto"/>
              <w:rPr>
                <w:rFonts w:ascii="Arial"/>
                <w:sz w:val="21"/>
              </w:rPr>
            </w:pPr>
          </w:p>
          <w:p w14:paraId="6477EBCA">
            <w:pPr>
              <w:spacing w:line="241" w:lineRule="auto"/>
              <w:rPr>
                <w:rFonts w:ascii="Arial"/>
                <w:sz w:val="21"/>
              </w:rPr>
            </w:pPr>
          </w:p>
          <w:p w14:paraId="166C1F9A">
            <w:pPr>
              <w:spacing w:line="241" w:lineRule="auto"/>
              <w:rPr>
                <w:rFonts w:ascii="Arial"/>
                <w:sz w:val="21"/>
              </w:rPr>
            </w:pPr>
          </w:p>
          <w:p w14:paraId="3BD15AD2">
            <w:pPr>
              <w:spacing w:line="241" w:lineRule="auto"/>
              <w:rPr>
                <w:rFonts w:ascii="Arial"/>
                <w:sz w:val="21"/>
              </w:rPr>
            </w:pPr>
          </w:p>
          <w:p w14:paraId="2C6E4AFB">
            <w:pPr>
              <w:spacing w:line="241" w:lineRule="auto"/>
              <w:rPr>
                <w:rFonts w:ascii="Arial"/>
                <w:sz w:val="21"/>
              </w:rPr>
            </w:pPr>
          </w:p>
          <w:p w14:paraId="55A61199">
            <w:pPr>
              <w:spacing w:line="241" w:lineRule="auto"/>
              <w:rPr>
                <w:rFonts w:ascii="Arial"/>
                <w:sz w:val="21"/>
              </w:rPr>
            </w:pPr>
          </w:p>
          <w:p w14:paraId="5C4E4A37">
            <w:pPr>
              <w:spacing w:line="241" w:lineRule="auto"/>
              <w:rPr>
                <w:rFonts w:ascii="Arial"/>
                <w:sz w:val="21"/>
              </w:rPr>
            </w:pPr>
          </w:p>
          <w:p w14:paraId="30E48252">
            <w:pPr>
              <w:spacing w:line="241" w:lineRule="auto"/>
              <w:rPr>
                <w:rFonts w:ascii="Arial"/>
                <w:sz w:val="21"/>
              </w:rPr>
            </w:pPr>
          </w:p>
          <w:p w14:paraId="52259363">
            <w:pPr>
              <w:spacing w:line="241" w:lineRule="auto"/>
              <w:rPr>
                <w:rFonts w:ascii="Arial"/>
                <w:sz w:val="21"/>
              </w:rPr>
            </w:pPr>
          </w:p>
          <w:p w14:paraId="1BCA273A">
            <w:pPr>
              <w:spacing w:line="241" w:lineRule="auto"/>
              <w:rPr>
                <w:rFonts w:ascii="Arial"/>
                <w:sz w:val="21"/>
              </w:rPr>
            </w:pPr>
          </w:p>
          <w:p w14:paraId="4CDF70F8">
            <w:pPr>
              <w:pStyle w:val="6"/>
              <w:spacing w:before="78" w:line="242" w:lineRule="auto"/>
              <w:ind w:left="111" w:right="105" w:hanging="2"/>
              <w:rPr>
                <w:sz w:val="24"/>
                <w:szCs w:val="24"/>
              </w:rPr>
            </w:pPr>
            <w:r>
              <w:rPr>
                <w:spacing w:val="-3"/>
                <w:sz w:val="24"/>
                <w:szCs w:val="24"/>
              </w:rPr>
              <w:t>专项评价</w:t>
            </w:r>
            <w:r>
              <w:rPr>
                <w:spacing w:val="-4"/>
                <w:sz w:val="24"/>
                <w:szCs w:val="24"/>
              </w:rPr>
              <w:t>设置情况</w:t>
            </w:r>
          </w:p>
        </w:tc>
        <w:tc>
          <w:tcPr>
            <w:tcW w:w="6954" w:type="dxa"/>
            <w:gridSpan w:val="4"/>
            <w:tcBorders>
              <w:top w:val="single" w:color="000000" w:sz="6" w:space="0"/>
              <w:left w:val="single" w:color="000000" w:sz="6" w:space="0"/>
              <w:right w:val="single" w:color="000000" w:sz="6" w:space="0"/>
            </w:tcBorders>
            <w:vAlign w:val="top"/>
          </w:tcPr>
          <w:p w14:paraId="4F3C72DF">
            <w:pPr>
              <w:pStyle w:val="6"/>
              <w:spacing w:before="48" w:line="218" w:lineRule="auto"/>
              <w:ind w:left="500"/>
              <w:rPr>
                <w:sz w:val="24"/>
                <w:szCs w:val="24"/>
              </w:rPr>
            </w:pPr>
            <w:r>
              <w:rPr>
                <w:rFonts w:ascii="Times New Roman" w:hAnsi="Times New Roman" w:eastAsia="Times New Roman" w:cs="Times New Roman"/>
                <w:b/>
                <w:bCs/>
                <w:spacing w:val="-6"/>
                <w:sz w:val="24"/>
                <w:szCs w:val="24"/>
              </w:rPr>
              <w:t>1</w:t>
            </w:r>
            <w:r>
              <w:rPr>
                <w:rFonts w:ascii="Times New Roman" w:hAnsi="Times New Roman" w:eastAsia="Times New Roman" w:cs="Times New Roman"/>
                <w:b/>
                <w:bCs/>
                <w:spacing w:val="-26"/>
                <w:sz w:val="24"/>
                <w:szCs w:val="24"/>
              </w:rPr>
              <w:t xml:space="preserve"> </w:t>
            </w:r>
            <w:r>
              <w:rPr>
                <w:b/>
                <w:bCs/>
                <w:spacing w:val="-6"/>
                <w:sz w:val="24"/>
                <w:szCs w:val="24"/>
              </w:rPr>
              <w:t>、电磁环境影响专项评价</w:t>
            </w:r>
          </w:p>
          <w:p w14:paraId="411A22D1">
            <w:pPr>
              <w:pStyle w:val="6"/>
              <w:spacing w:before="182" w:line="359" w:lineRule="auto"/>
              <w:ind w:left="12" w:right="11" w:firstLine="480"/>
              <w:jc w:val="both"/>
              <w:rPr>
                <w:sz w:val="24"/>
                <w:szCs w:val="24"/>
              </w:rPr>
            </w:pPr>
            <w:r>
              <w:rPr>
                <w:spacing w:val="-2"/>
                <w:sz w:val="24"/>
                <w:szCs w:val="24"/>
              </w:rPr>
              <w:t>根据《环境影响评价技术导则 输变电》（</w:t>
            </w:r>
            <w:r>
              <w:rPr>
                <w:rFonts w:ascii="Times New Roman" w:hAnsi="Times New Roman" w:eastAsia="Times New Roman" w:cs="Times New Roman"/>
                <w:spacing w:val="-2"/>
                <w:sz w:val="24"/>
                <w:szCs w:val="24"/>
              </w:rPr>
              <w:t>HJ24-</w:t>
            </w:r>
            <w:r>
              <w:rPr>
                <w:rFonts w:ascii="Times New Roman" w:hAnsi="Times New Roman" w:eastAsia="Times New Roman" w:cs="Times New Roman"/>
                <w:spacing w:val="-3"/>
                <w:sz w:val="24"/>
                <w:szCs w:val="24"/>
              </w:rPr>
              <w:t>2020</w:t>
            </w:r>
            <w:r>
              <w:rPr>
                <w:spacing w:val="-3"/>
                <w:sz w:val="24"/>
                <w:szCs w:val="24"/>
              </w:rPr>
              <w:t xml:space="preserve">）附录 </w:t>
            </w:r>
            <w:r>
              <w:rPr>
                <w:rFonts w:ascii="Times New Roman" w:hAnsi="Times New Roman" w:eastAsia="Times New Roman" w:cs="Times New Roman"/>
                <w:spacing w:val="-3"/>
                <w:sz w:val="24"/>
                <w:szCs w:val="24"/>
              </w:rPr>
              <w:t>B</w:t>
            </w:r>
            <w:r>
              <w:rPr>
                <w:rFonts w:ascii="Times New Roman" w:hAnsi="Times New Roman" w:eastAsia="Times New Roman" w:cs="Times New Roman"/>
                <w:sz w:val="24"/>
                <w:szCs w:val="24"/>
              </w:rPr>
              <w:t xml:space="preserve"> </w:t>
            </w:r>
            <w:r>
              <w:rPr>
                <w:spacing w:val="-2"/>
                <w:sz w:val="24"/>
                <w:szCs w:val="24"/>
              </w:rPr>
              <w:t>（规范性附录）中“</w:t>
            </w:r>
            <w:r>
              <w:rPr>
                <w:spacing w:val="-74"/>
                <w:sz w:val="24"/>
                <w:szCs w:val="24"/>
              </w:rPr>
              <w:t xml:space="preserve"> </w:t>
            </w:r>
            <w:r>
              <w:rPr>
                <w:spacing w:val="-2"/>
                <w:sz w:val="24"/>
                <w:szCs w:val="24"/>
              </w:rPr>
              <w:t>附录</w:t>
            </w:r>
            <w:r>
              <w:rPr>
                <w:rFonts w:ascii="Times New Roman" w:hAnsi="Times New Roman" w:eastAsia="Times New Roman" w:cs="Times New Roman"/>
                <w:spacing w:val="-2"/>
                <w:sz w:val="24"/>
                <w:szCs w:val="24"/>
              </w:rPr>
              <w:t>B</w:t>
            </w:r>
            <w:r>
              <w:rPr>
                <w:spacing w:val="-2"/>
                <w:sz w:val="24"/>
                <w:szCs w:val="24"/>
              </w:rPr>
              <w:t>（规范性目录）输变电建设项目环境影响报告表的格式和要求</w:t>
            </w:r>
            <w:r>
              <w:rPr>
                <w:spacing w:val="-87"/>
                <w:sz w:val="24"/>
                <w:szCs w:val="24"/>
              </w:rPr>
              <w:t xml:space="preserve"> </w:t>
            </w:r>
            <w:r>
              <w:rPr>
                <w:spacing w:val="51"/>
                <w:sz w:val="24"/>
                <w:szCs w:val="24"/>
                <w:u w:val="dotted" w:color="auto"/>
              </w:rPr>
              <w:t xml:space="preserve">  </w:t>
            </w:r>
            <w:r>
              <w:rPr>
                <w:spacing w:val="-115"/>
                <w:sz w:val="24"/>
                <w:szCs w:val="24"/>
              </w:rPr>
              <w:t xml:space="preserve"> </w:t>
            </w:r>
            <w:r>
              <w:rPr>
                <w:rFonts w:ascii="Times New Roman" w:hAnsi="Times New Roman" w:eastAsia="Times New Roman" w:cs="Times New Roman"/>
                <w:spacing w:val="-2"/>
                <w:sz w:val="24"/>
                <w:szCs w:val="24"/>
              </w:rPr>
              <w:t>B.2.</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2"/>
                <w:sz w:val="24"/>
                <w:szCs w:val="24"/>
              </w:rPr>
              <w:t>1</w:t>
            </w:r>
            <w:r>
              <w:rPr>
                <w:spacing w:val="-2"/>
                <w:sz w:val="24"/>
                <w:szCs w:val="24"/>
              </w:rPr>
              <w:t>专题评价：应设电磁环境影响专题</w:t>
            </w:r>
            <w:r>
              <w:rPr>
                <w:spacing w:val="-3"/>
                <w:sz w:val="24"/>
                <w:szCs w:val="24"/>
              </w:rPr>
              <w:t>评价</w:t>
            </w:r>
            <w:r>
              <w:rPr>
                <w:spacing w:val="-70"/>
                <w:sz w:val="24"/>
                <w:szCs w:val="24"/>
              </w:rPr>
              <w:t xml:space="preserve"> </w:t>
            </w:r>
            <w:r>
              <w:rPr>
                <w:spacing w:val="-3"/>
                <w:sz w:val="24"/>
                <w:szCs w:val="24"/>
              </w:rPr>
              <w:t>”。本报告设置电磁环境影响专题评价。</w:t>
            </w:r>
          </w:p>
          <w:p w14:paraId="0B461A13">
            <w:pPr>
              <w:pStyle w:val="6"/>
              <w:spacing w:before="1" w:line="217" w:lineRule="auto"/>
              <w:ind w:left="489"/>
              <w:rPr>
                <w:sz w:val="24"/>
                <w:szCs w:val="24"/>
              </w:rPr>
            </w:pPr>
            <w:r>
              <w:rPr>
                <w:rFonts w:ascii="Times New Roman" w:hAnsi="Times New Roman" w:eastAsia="Times New Roman" w:cs="Times New Roman"/>
                <w:b/>
                <w:bCs/>
                <w:spacing w:val="-5"/>
                <w:sz w:val="24"/>
                <w:szCs w:val="24"/>
              </w:rPr>
              <w:t>2</w:t>
            </w:r>
            <w:r>
              <w:rPr>
                <w:rFonts w:ascii="Times New Roman" w:hAnsi="Times New Roman" w:eastAsia="Times New Roman" w:cs="Times New Roman"/>
                <w:b/>
                <w:bCs/>
                <w:spacing w:val="-25"/>
                <w:sz w:val="24"/>
                <w:szCs w:val="24"/>
              </w:rPr>
              <w:t xml:space="preserve"> </w:t>
            </w:r>
            <w:r>
              <w:rPr>
                <w:b/>
                <w:bCs/>
                <w:spacing w:val="-5"/>
                <w:sz w:val="24"/>
                <w:szCs w:val="24"/>
              </w:rPr>
              <w:t>、其他环境影响专项评价</w:t>
            </w:r>
          </w:p>
          <w:p w14:paraId="2E4C53D1">
            <w:pPr>
              <w:pStyle w:val="6"/>
              <w:spacing w:before="185" w:line="357" w:lineRule="auto"/>
              <w:ind w:left="25" w:firstLine="467"/>
              <w:rPr>
                <w:sz w:val="24"/>
                <w:szCs w:val="24"/>
              </w:rPr>
            </w:pPr>
            <w:r>
              <w:rPr>
                <w:spacing w:val="-1"/>
                <w:sz w:val="24"/>
                <w:szCs w:val="24"/>
              </w:rPr>
              <w:t>对照《建设项目环境影响报告表编制技术指</w:t>
            </w:r>
            <w:r>
              <w:rPr>
                <w:spacing w:val="-2"/>
                <w:sz w:val="24"/>
                <w:szCs w:val="24"/>
              </w:rPr>
              <w:t>南（生态影响类）</w:t>
            </w:r>
            <w:r>
              <w:rPr>
                <w:sz w:val="24"/>
                <w:szCs w:val="24"/>
              </w:rPr>
              <w:t xml:space="preserve"> </w:t>
            </w:r>
            <w:r>
              <w:rPr>
                <w:spacing w:val="-3"/>
                <w:sz w:val="24"/>
                <w:szCs w:val="24"/>
              </w:rPr>
              <w:t>（试行）》，本项目专项评价设置情况见下表</w:t>
            </w:r>
            <w:r>
              <w:rPr>
                <w:rFonts w:ascii="Times New Roman" w:hAnsi="Times New Roman" w:eastAsia="Times New Roman" w:cs="Times New Roman"/>
                <w:spacing w:val="-3"/>
                <w:sz w:val="24"/>
                <w:szCs w:val="24"/>
              </w:rPr>
              <w:t>1-</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pacing w:val="-3"/>
                <w:sz w:val="24"/>
                <w:szCs w:val="24"/>
              </w:rPr>
              <w:t>1</w:t>
            </w:r>
            <w:r>
              <w:rPr>
                <w:spacing w:val="-3"/>
                <w:sz w:val="24"/>
                <w:szCs w:val="24"/>
              </w:rPr>
              <w:t>。</w:t>
            </w:r>
          </w:p>
          <w:p w14:paraId="5B0F838A">
            <w:pPr>
              <w:pStyle w:val="6"/>
              <w:spacing w:line="212" w:lineRule="auto"/>
              <w:ind w:left="1645"/>
            </w:pPr>
            <w:r>
              <w:rPr>
                <w:b/>
                <w:bCs/>
                <w:spacing w:val="6"/>
              </w:rPr>
              <w:t>表</w:t>
            </w:r>
            <w:r>
              <w:rPr>
                <w:rFonts w:ascii="Times New Roman" w:hAnsi="Times New Roman" w:eastAsia="Times New Roman" w:cs="Times New Roman"/>
                <w:b/>
                <w:bCs/>
                <w:spacing w:val="6"/>
              </w:rPr>
              <w:t xml:space="preserve">1-1    </w:t>
            </w:r>
            <w:r>
              <w:rPr>
                <w:b/>
                <w:bCs/>
                <w:spacing w:val="6"/>
              </w:rPr>
              <w:t>生态影响类专项设置判定情况表</w:t>
            </w:r>
          </w:p>
        </w:tc>
      </w:tr>
      <w:tr w14:paraId="293A2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180" w:type="dxa"/>
            <w:vMerge w:val="continue"/>
            <w:tcBorders>
              <w:top w:val="nil"/>
              <w:left w:val="single" w:color="000000" w:sz="6" w:space="0"/>
              <w:bottom w:val="nil"/>
              <w:right w:val="single" w:color="000000" w:sz="6" w:space="0"/>
            </w:tcBorders>
            <w:vAlign w:val="top"/>
          </w:tcPr>
          <w:p w14:paraId="60F4574D">
            <w:pPr>
              <w:rPr>
                <w:rFonts w:ascii="Arial"/>
                <w:sz w:val="21"/>
              </w:rPr>
            </w:pPr>
          </w:p>
        </w:tc>
        <w:tc>
          <w:tcPr>
            <w:tcW w:w="1011" w:type="dxa"/>
            <w:tcBorders>
              <w:left w:val="single" w:color="000000" w:sz="6" w:space="0"/>
            </w:tcBorders>
            <w:vAlign w:val="top"/>
          </w:tcPr>
          <w:p w14:paraId="5D2D5A09">
            <w:pPr>
              <w:pStyle w:val="6"/>
              <w:spacing w:before="38" w:line="228" w:lineRule="auto"/>
              <w:ind w:left="207"/>
            </w:pPr>
            <w:r>
              <w:rPr>
                <w:spacing w:val="6"/>
              </w:rPr>
              <w:t>专项评</w:t>
            </w:r>
          </w:p>
          <w:p w14:paraId="0650AA20">
            <w:pPr>
              <w:pStyle w:val="6"/>
              <w:spacing w:before="23" w:line="232" w:lineRule="auto"/>
              <w:ind w:left="417" w:right="173" w:hanging="210"/>
            </w:pPr>
            <w:r>
              <w:rPr>
                <w:spacing w:val="6"/>
              </w:rPr>
              <w:t>价的类</w:t>
            </w:r>
            <w:r>
              <w:t>别</w:t>
            </w:r>
          </w:p>
        </w:tc>
        <w:tc>
          <w:tcPr>
            <w:tcW w:w="3521" w:type="dxa"/>
            <w:vAlign w:val="top"/>
          </w:tcPr>
          <w:p w14:paraId="7C2C9751">
            <w:pPr>
              <w:spacing w:line="242" w:lineRule="auto"/>
              <w:rPr>
                <w:rFonts w:ascii="Arial"/>
                <w:sz w:val="21"/>
              </w:rPr>
            </w:pPr>
          </w:p>
          <w:p w14:paraId="7CC9B833">
            <w:pPr>
              <w:pStyle w:val="6"/>
              <w:spacing w:before="65" w:line="228" w:lineRule="auto"/>
              <w:ind w:left="1031"/>
            </w:pPr>
            <w:r>
              <w:rPr>
                <w:spacing w:val="8"/>
              </w:rPr>
              <w:t>涉及项目的类别</w:t>
            </w:r>
          </w:p>
        </w:tc>
        <w:tc>
          <w:tcPr>
            <w:tcW w:w="1657" w:type="dxa"/>
            <w:vAlign w:val="top"/>
          </w:tcPr>
          <w:p w14:paraId="35058BA0">
            <w:pPr>
              <w:spacing w:line="242" w:lineRule="auto"/>
              <w:rPr>
                <w:rFonts w:ascii="Arial"/>
                <w:sz w:val="21"/>
              </w:rPr>
            </w:pPr>
          </w:p>
          <w:p w14:paraId="0829209F">
            <w:pPr>
              <w:pStyle w:val="6"/>
              <w:spacing w:before="65" w:line="227" w:lineRule="auto"/>
              <w:ind w:left="314"/>
            </w:pPr>
            <w:r>
              <w:rPr>
                <w:spacing w:val="7"/>
              </w:rPr>
              <w:t>本工程情况</w:t>
            </w:r>
          </w:p>
        </w:tc>
        <w:tc>
          <w:tcPr>
            <w:tcW w:w="765" w:type="dxa"/>
            <w:tcBorders>
              <w:right w:val="single" w:color="000000" w:sz="6" w:space="0"/>
            </w:tcBorders>
            <w:vAlign w:val="top"/>
          </w:tcPr>
          <w:p w14:paraId="14DC9DFC">
            <w:pPr>
              <w:pStyle w:val="6"/>
              <w:spacing w:before="38" w:line="228" w:lineRule="auto"/>
              <w:ind w:left="162"/>
            </w:pPr>
            <w:r>
              <w:rPr>
                <w:spacing w:val="3"/>
              </w:rPr>
              <w:t>是否</w:t>
            </w:r>
          </w:p>
          <w:p w14:paraId="15AF4FB3">
            <w:pPr>
              <w:pStyle w:val="6"/>
              <w:spacing w:before="23" w:line="229" w:lineRule="auto"/>
              <w:ind w:left="162"/>
            </w:pPr>
            <w:r>
              <w:rPr>
                <w:spacing w:val="3"/>
              </w:rPr>
              <w:t>设置</w:t>
            </w:r>
          </w:p>
          <w:p w14:paraId="77DD0CD0">
            <w:pPr>
              <w:pStyle w:val="6"/>
              <w:spacing w:before="23" w:line="213" w:lineRule="auto"/>
              <w:ind w:left="160"/>
            </w:pPr>
            <w:r>
              <w:rPr>
                <w:spacing w:val="4"/>
              </w:rPr>
              <w:t>专章</w:t>
            </w:r>
          </w:p>
        </w:tc>
      </w:tr>
      <w:tr w14:paraId="6C81D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1180" w:type="dxa"/>
            <w:vMerge w:val="continue"/>
            <w:tcBorders>
              <w:top w:val="nil"/>
              <w:left w:val="single" w:color="000000" w:sz="6" w:space="0"/>
              <w:bottom w:val="nil"/>
              <w:right w:val="single" w:color="000000" w:sz="6" w:space="0"/>
            </w:tcBorders>
            <w:vAlign w:val="top"/>
          </w:tcPr>
          <w:p w14:paraId="4089707C">
            <w:pPr>
              <w:rPr>
                <w:rFonts w:ascii="Arial"/>
                <w:sz w:val="21"/>
              </w:rPr>
            </w:pPr>
          </w:p>
        </w:tc>
        <w:tc>
          <w:tcPr>
            <w:tcW w:w="1011" w:type="dxa"/>
            <w:tcBorders>
              <w:left w:val="single" w:color="000000" w:sz="6" w:space="0"/>
            </w:tcBorders>
            <w:vAlign w:val="top"/>
          </w:tcPr>
          <w:p w14:paraId="4315EF17">
            <w:pPr>
              <w:spacing w:line="324" w:lineRule="auto"/>
              <w:rPr>
                <w:rFonts w:ascii="Arial"/>
                <w:sz w:val="21"/>
              </w:rPr>
            </w:pPr>
          </w:p>
          <w:p w14:paraId="36A7157B">
            <w:pPr>
              <w:spacing w:line="325" w:lineRule="auto"/>
              <w:rPr>
                <w:rFonts w:ascii="Arial"/>
                <w:sz w:val="21"/>
              </w:rPr>
            </w:pPr>
          </w:p>
          <w:p w14:paraId="2A0C3BD4">
            <w:pPr>
              <w:pStyle w:val="6"/>
              <w:spacing w:before="65" w:line="228" w:lineRule="auto"/>
              <w:ind w:left="206"/>
            </w:pPr>
            <w:r>
              <w:rPr>
                <w:spacing w:val="6"/>
              </w:rPr>
              <w:t>地表水</w:t>
            </w:r>
          </w:p>
        </w:tc>
        <w:tc>
          <w:tcPr>
            <w:tcW w:w="3521" w:type="dxa"/>
            <w:vAlign w:val="top"/>
          </w:tcPr>
          <w:p w14:paraId="6CCF644E">
            <w:pPr>
              <w:pStyle w:val="6"/>
              <w:spacing w:before="38" w:line="251" w:lineRule="auto"/>
              <w:ind w:left="133" w:right="51" w:hanging="21"/>
            </w:pPr>
            <w:r>
              <w:rPr>
                <w:spacing w:val="6"/>
              </w:rPr>
              <w:t>水力发电：引水式发电、涉及调峰发</w:t>
            </w:r>
            <w:r>
              <w:rPr>
                <w:spacing w:val="-5"/>
              </w:rPr>
              <w:t>电的项目；人工湖、人工湿地：全部；</w:t>
            </w:r>
          </w:p>
          <w:p w14:paraId="0A74C492">
            <w:pPr>
              <w:pStyle w:val="6"/>
              <w:spacing w:line="227" w:lineRule="auto"/>
              <w:ind w:left="112"/>
            </w:pPr>
            <w:r>
              <w:rPr>
                <w:spacing w:val="6"/>
              </w:rPr>
              <w:t>水库：全部；引水工程：全部（配套</w:t>
            </w:r>
          </w:p>
          <w:p w14:paraId="2CC8D036">
            <w:pPr>
              <w:pStyle w:val="6"/>
              <w:spacing w:before="27" w:line="237" w:lineRule="auto"/>
              <w:ind w:left="110" w:right="50" w:firstLine="17"/>
              <w:jc w:val="both"/>
            </w:pPr>
            <w:r>
              <w:rPr>
                <w:spacing w:val="3"/>
              </w:rPr>
              <w:t>的管线工程等除外</w:t>
            </w:r>
            <w:r>
              <w:rPr>
                <w:spacing w:val="-54"/>
                <w:w w:val="99"/>
              </w:rPr>
              <w:t>）；</w:t>
            </w:r>
            <w:r>
              <w:rPr>
                <w:spacing w:val="3"/>
              </w:rPr>
              <w:t>防洪除涝工程：</w:t>
            </w:r>
            <w:r>
              <w:rPr>
                <w:spacing w:val="6"/>
              </w:rPr>
              <w:t>包含水库的项目；河湖整治：涉及清</w:t>
            </w:r>
            <w:r>
              <w:rPr>
                <w:spacing w:val="9"/>
              </w:rPr>
              <w:t>淤且底泥存在重金属污染的项目</w:t>
            </w:r>
          </w:p>
        </w:tc>
        <w:tc>
          <w:tcPr>
            <w:tcW w:w="1657" w:type="dxa"/>
            <w:vAlign w:val="top"/>
          </w:tcPr>
          <w:p w14:paraId="6308778B">
            <w:pPr>
              <w:spacing w:line="244" w:lineRule="auto"/>
              <w:rPr>
                <w:rFonts w:ascii="Arial"/>
                <w:sz w:val="21"/>
              </w:rPr>
            </w:pPr>
          </w:p>
          <w:p w14:paraId="261806AD">
            <w:pPr>
              <w:pStyle w:val="6"/>
              <w:spacing w:before="65" w:line="227" w:lineRule="auto"/>
              <w:ind w:left="209"/>
            </w:pPr>
            <w:r>
              <w:rPr>
                <w:spacing w:val="8"/>
              </w:rPr>
              <w:t>本项目不属于</w:t>
            </w:r>
          </w:p>
          <w:p w14:paraId="4C0B77DA">
            <w:pPr>
              <w:pStyle w:val="6"/>
              <w:spacing w:before="24" w:line="228" w:lineRule="auto"/>
              <w:ind w:left="220"/>
            </w:pPr>
            <w:r>
              <w:rPr>
                <w:spacing w:val="6"/>
              </w:rPr>
              <w:t>需设置地表水</w:t>
            </w:r>
          </w:p>
          <w:p w14:paraId="2A6C5978">
            <w:pPr>
              <w:pStyle w:val="6"/>
              <w:spacing w:before="24" w:line="228" w:lineRule="auto"/>
              <w:ind w:left="209"/>
            </w:pPr>
            <w:r>
              <w:rPr>
                <w:spacing w:val="8"/>
              </w:rPr>
              <w:t>专项的项目类</w:t>
            </w:r>
          </w:p>
          <w:p w14:paraId="2EBF9F65">
            <w:pPr>
              <w:pStyle w:val="6"/>
              <w:spacing w:before="27" w:line="228" w:lineRule="auto"/>
              <w:ind w:left="736"/>
            </w:pPr>
            <w:r>
              <w:t>别</w:t>
            </w:r>
          </w:p>
        </w:tc>
        <w:tc>
          <w:tcPr>
            <w:tcW w:w="765" w:type="dxa"/>
            <w:tcBorders>
              <w:right w:val="single" w:color="000000" w:sz="6" w:space="0"/>
            </w:tcBorders>
            <w:vAlign w:val="top"/>
          </w:tcPr>
          <w:p w14:paraId="513F1286">
            <w:pPr>
              <w:spacing w:line="325" w:lineRule="auto"/>
              <w:rPr>
                <w:rFonts w:ascii="Arial"/>
                <w:sz w:val="21"/>
              </w:rPr>
            </w:pPr>
          </w:p>
          <w:p w14:paraId="0F4A55C3">
            <w:pPr>
              <w:spacing w:line="325" w:lineRule="auto"/>
              <w:rPr>
                <w:rFonts w:ascii="Arial"/>
                <w:sz w:val="21"/>
              </w:rPr>
            </w:pPr>
          </w:p>
          <w:p w14:paraId="1870A3EA">
            <w:pPr>
              <w:pStyle w:val="6"/>
              <w:spacing w:before="65" w:line="228" w:lineRule="auto"/>
              <w:ind w:left="271"/>
            </w:pPr>
            <w:r>
              <w:t>否</w:t>
            </w:r>
          </w:p>
        </w:tc>
      </w:tr>
      <w:tr w14:paraId="1A5A8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180" w:type="dxa"/>
            <w:vMerge w:val="continue"/>
            <w:tcBorders>
              <w:top w:val="nil"/>
              <w:left w:val="single" w:color="000000" w:sz="6" w:space="0"/>
              <w:bottom w:val="nil"/>
              <w:right w:val="single" w:color="000000" w:sz="6" w:space="0"/>
            </w:tcBorders>
            <w:vAlign w:val="top"/>
          </w:tcPr>
          <w:p w14:paraId="47452CEC">
            <w:pPr>
              <w:rPr>
                <w:rFonts w:ascii="Arial"/>
                <w:sz w:val="21"/>
              </w:rPr>
            </w:pPr>
          </w:p>
        </w:tc>
        <w:tc>
          <w:tcPr>
            <w:tcW w:w="1011" w:type="dxa"/>
            <w:tcBorders>
              <w:left w:val="single" w:color="000000" w:sz="6" w:space="0"/>
            </w:tcBorders>
            <w:vAlign w:val="top"/>
          </w:tcPr>
          <w:p w14:paraId="0EFD2488">
            <w:pPr>
              <w:spacing w:line="379" w:lineRule="auto"/>
              <w:rPr>
                <w:rFonts w:ascii="Arial"/>
                <w:sz w:val="21"/>
              </w:rPr>
            </w:pPr>
          </w:p>
          <w:p w14:paraId="517E9F58">
            <w:pPr>
              <w:pStyle w:val="6"/>
              <w:spacing w:before="65" w:line="228" w:lineRule="auto"/>
              <w:ind w:left="206"/>
            </w:pPr>
            <w:r>
              <w:rPr>
                <w:spacing w:val="6"/>
              </w:rPr>
              <w:t>地下水</w:t>
            </w:r>
          </w:p>
        </w:tc>
        <w:tc>
          <w:tcPr>
            <w:tcW w:w="3521" w:type="dxa"/>
            <w:vAlign w:val="top"/>
          </w:tcPr>
          <w:p w14:paraId="21DDAC61">
            <w:pPr>
              <w:pStyle w:val="6"/>
              <w:spacing w:before="39" w:line="227" w:lineRule="auto"/>
              <w:ind w:left="121"/>
            </w:pPr>
            <w:r>
              <w:rPr>
                <w:spacing w:val="5"/>
              </w:rPr>
              <w:t>陆地石油和天然气开采：全部；地下</w:t>
            </w:r>
          </w:p>
          <w:p w14:paraId="53542279">
            <w:pPr>
              <w:pStyle w:val="6"/>
              <w:spacing w:before="27" w:line="227" w:lineRule="auto"/>
              <w:ind w:left="112"/>
            </w:pPr>
            <w:r>
              <w:rPr>
                <w:spacing w:val="8"/>
              </w:rPr>
              <w:t>水（含矿泉水）开采：全部；水利、</w:t>
            </w:r>
          </w:p>
          <w:p w14:paraId="38FC7C8C">
            <w:pPr>
              <w:pStyle w:val="6"/>
              <w:spacing w:before="24" w:line="231" w:lineRule="auto"/>
              <w:ind w:left="109" w:right="104" w:firstLine="3"/>
            </w:pPr>
            <w:r>
              <w:rPr>
                <w:spacing w:val="6"/>
              </w:rPr>
              <w:t>水电、交通等：含穿越可溶岩地层隧</w:t>
            </w:r>
            <w:r>
              <w:rPr>
                <w:spacing w:val="7"/>
              </w:rPr>
              <w:t>道的项目</w:t>
            </w:r>
          </w:p>
        </w:tc>
        <w:tc>
          <w:tcPr>
            <w:tcW w:w="1657" w:type="dxa"/>
            <w:vAlign w:val="top"/>
          </w:tcPr>
          <w:p w14:paraId="79C71DC1">
            <w:pPr>
              <w:pStyle w:val="6"/>
              <w:spacing w:before="39" w:line="227" w:lineRule="auto"/>
              <w:ind w:left="209"/>
            </w:pPr>
            <w:r>
              <w:rPr>
                <w:spacing w:val="8"/>
              </w:rPr>
              <w:t>本项目不属于</w:t>
            </w:r>
          </w:p>
          <w:p w14:paraId="4F525638">
            <w:pPr>
              <w:pStyle w:val="6"/>
              <w:spacing w:before="27" w:line="228" w:lineRule="auto"/>
              <w:ind w:left="220"/>
            </w:pPr>
            <w:r>
              <w:rPr>
                <w:spacing w:val="6"/>
              </w:rPr>
              <w:t>需设置地下水</w:t>
            </w:r>
          </w:p>
          <w:p w14:paraId="42007895">
            <w:pPr>
              <w:pStyle w:val="6"/>
              <w:spacing w:before="24" w:line="228" w:lineRule="auto"/>
              <w:ind w:left="209"/>
            </w:pPr>
            <w:r>
              <w:rPr>
                <w:spacing w:val="8"/>
              </w:rPr>
              <w:t>专项的项目类</w:t>
            </w:r>
          </w:p>
          <w:p w14:paraId="4AAD0743">
            <w:pPr>
              <w:pStyle w:val="6"/>
              <w:spacing w:before="26" w:line="209" w:lineRule="auto"/>
              <w:ind w:left="736"/>
            </w:pPr>
            <w:r>
              <w:t>别</w:t>
            </w:r>
          </w:p>
        </w:tc>
        <w:tc>
          <w:tcPr>
            <w:tcW w:w="765" w:type="dxa"/>
            <w:tcBorders>
              <w:right w:val="single" w:color="000000" w:sz="6" w:space="0"/>
            </w:tcBorders>
            <w:vAlign w:val="top"/>
          </w:tcPr>
          <w:p w14:paraId="0E0962A4">
            <w:pPr>
              <w:spacing w:line="380" w:lineRule="auto"/>
              <w:rPr>
                <w:rFonts w:ascii="Arial"/>
                <w:sz w:val="21"/>
              </w:rPr>
            </w:pPr>
          </w:p>
          <w:p w14:paraId="6EEC9349">
            <w:pPr>
              <w:pStyle w:val="6"/>
              <w:spacing w:before="65" w:line="228" w:lineRule="auto"/>
              <w:ind w:left="271"/>
            </w:pPr>
            <w:r>
              <w:t>否</w:t>
            </w:r>
          </w:p>
        </w:tc>
      </w:tr>
      <w:tr w14:paraId="517C3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1180" w:type="dxa"/>
            <w:vMerge w:val="continue"/>
            <w:tcBorders>
              <w:top w:val="nil"/>
              <w:left w:val="single" w:color="000000" w:sz="6" w:space="0"/>
              <w:bottom w:val="nil"/>
              <w:right w:val="single" w:color="000000" w:sz="6" w:space="0"/>
            </w:tcBorders>
            <w:vAlign w:val="top"/>
          </w:tcPr>
          <w:p w14:paraId="09EF70F1">
            <w:pPr>
              <w:rPr>
                <w:rFonts w:ascii="Arial"/>
                <w:sz w:val="21"/>
              </w:rPr>
            </w:pPr>
          </w:p>
        </w:tc>
        <w:tc>
          <w:tcPr>
            <w:tcW w:w="1011" w:type="dxa"/>
            <w:tcBorders>
              <w:left w:val="single" w:color="000000" w:sz="6" w:space="0"/>
            </w:tcBorders>
            <w:vAlign w:val="top"/>
          </w:tcPr>
          <w:p w14:paraId="0F39A5CD">
            <w:pPr>
              <w:spacing w:line="379" w:lineRule="auto"/>
              <w:rPr>
                <w:rFonts w:ascii="Arial"/>
                <w:sz w:val="21"/>
              </w:rPr>
            </w:pPr>
          </w:p>
          <w:p w14:paraId="1402DF4A">
            <w:pPr>
              <w:pStyle w:val="6"/>
              <w:spacing w:before="65" w:line="233" w:lineRule="auto"/>
              <w:ind w:left="314"/>
            </w:pPr>
            <w:r>
              <w:rPr>
                <w:spacing w:val="3"/>
              </w:rPr>
              <w:t>生态</w:t>
            </w:r>
          </w:p>
        </w:tc>
        <w:tc>
          <w:tcPr>
            <w:tcW w:w="3521" w:type="dxa"/>
            <w:vAlign w:val="top"/>
          </w:tcPr>
          <w:p w14:paraId="31C9FB0C">
            <w:pPr>
              <w:pStyle w:val="6"/>
              <w:spacing w:before="38" w:line="241" w:lineRule="auto"/>
              <w:ind w:left="111" w:right="104"/>
              <w:jc w:val="both"/>
            </w:pPr>
            <w:r>
              <w:rPr>
                <w:spacing w:val="6"/>
              </w:rPr>
              <w:t>涉及环境敏感区（不包括饮用水水源保护区，以居住、医疗卫生、文化教育、科研、行政办公为主要功能的区域，</w:t>
            </w:r>
            <w:r>
              <w:rPr>
                <w:spacing w:val="-57"/>
              </w:rPr>
              <w:t xml:space="preserve"> </w:t>
            </w:r>
            <w:r>
              <w:rPr>
                <w:spacing w:val="6"/>
              </w:rPr>
              <w:t>以及文物保护单位）的项目</w:t>
            </w:r>
          </w:p>
        </w:tc>
        <w:tc>
          <w:tcPr>
            <w:tcW w:w="1657" w:type="dxa"/>
            <w:vAlign w:val="top"/>
          </w:tcPr>
          <w:p w14:paraId="504681BB">
            <w:pPr>
              <w:pStyle w:val="6"/>
              <w:spacing w:before="38" w:line="241" w:lineRule="auto"/>
              <w:ind w:left="117" w:right="100" w:firstLine="3"/>
            </w:pPr>
            <w:r>
              <w:rPr>
                <w:spacing w:val="7"/>
              </w:rPr>
              <w:t>项目区及评价</w:t>
            </w:r>
            <w:r>
              <w:rPr>
                <w:spacing w:val="8"/>
              </w:rPr>
              <w:t>范围内不涉及</w:t>
            </w:r>
            <w:r>
              <w:rPr>
                <w:spacing w:val="4"/>
              </w:rPr>
              <w:t>环境敏感区，不</w:t>
            </w:r>
            <w:r>
              <w:rPr>
                <w:spacing w:val="3"/>
              </w:rPr>
              <w:t>需做生态专项。</w:t>
            </w:r>
          </w:p>
        </w:tc>
        <w:tc>
          <w:tcPr>
            <w:tcW w:w="765" w:type="dxa"/>
            <w:tcBorders>
              <w:right w:val="single" w:color="000000" w:sz="6" w:space="0"/>
            </w:tcBorders>
            <w:vAlign w:val="top"/>
          </w:tcPr>
          <w:p w14:paraId="7CB5C7A7">
            <w:pPr>
              <w:spacing w:line="380" w:lineRule="auto"/>
              <w:rPr>
                <w:rFonts w:ascii="Arial"/>
                <w:sz w:val="21"/>
              </w:rPr>
            </w:pPr>
          </w:p>
          <w:p w14:paraId="4B926B98">
            <w:pPr>
              <w:pStyle w:val="6"/>
              <w:spacing w:before="65" w:line="228" w:lineRule="auto"/>
              <w:ind w:left="271"/>
            </w:pPr>
            <w:r>
              <w:t>否</w:t>
            </w:r>
          </w:p>
        </w:tc>
      </w:tr>
      <w:tr w14:paraId="2291AF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180" w:type="dxa"/>
            <w:vMerge w:val="continue"/>
            <w:tcBorders>
              <w:top w:val="nil"/>
              <w:left w:val="single" w:color="000000" w:sz="6" w:space="0"/>
              <w:bottom w:val="nil"/>
              <w:right w:val="single" w:color="000000" w:sz="6" w:space="0"/>
            </w:tcBorders>
            <w:vAlign w:val="top"/>
          </w:tcPr>
          <w:p w14:paraId="70613B8C">
            <w:pPr>
              <w:rPr>
                <w:rFonts w:ascii="Arial"/>
                <w:sz w:val="21"/>
              </w:rPr>
            </w:pPr>
          </w:p>
        </w:tc>
        <w:tc>
          <w:tcPr>
            <w:tcW w:w="1011" w:type="dxa"/>
            <w:tcBorders>
              <w:left w:val="single" w:color="000000" w:sz="6" w:space="0"/>
            </w:tcBorders>
            <w:vAlign w:val="top"/>
          </w:tcPr>
          <w:p w14:paraId="6D876311">
            <w:pPr>
              <w:spacing w:line="384" w:lineRule="auto"/>
              <w:rPr>
                <w:rFonts w:ascii="Arial"/>
                <w:sz w:val="21"/>
              </w:rPr>
            </w:pPr>
          </w:p>
          <w:p w14:paraId="73358D25">
            <w:pPr>
              <w:pStyle w:val="6"/>
              <w:spacing w:before="65" w:line="228" w:lineRule="auto"/>
              <w:ind w:left="314"/>
            </w:pPr>
            <w:r>
              <w:rPr>
                <w:spacing w:val="3"/>
              </w:rPr>
              <w:t>大气</w:t>
            </w:r>
          </w:p>
        </w:tc>
        <w:tc>
          <w:tcPr>
            <w:tcW w:w="3521" w:type="dxa"/>
            <w:vAlign w:val="top"/>
          </w:tcPr>
          <w:p w14:paraId="702777FB">
            <w:pPr>
              <w:pStyle w:val="6"/>
              <w:spacing w:before="43"/>
              <w:ind w:left="110" w:right="88" w:firstLine="3"/>
              <w:jc w:val="both"/>
            </w:pPr>
            <w:r>
              <w:rPr>
                <w:spacing w:val="6"/>
              </w:rPr>
              <w:t>油气、液体化工码头：全部；干散货</w:t>
            </w:r>
            <w:r>
              <w:rPr>
                <w:spacing w:val="7"/>
              </w:rPr>
              <w:t>（含煤炭、矿石）、件杂、多用途、</w:t>
            </w:r>
            <w:r>
              <w:rPr>
                <w:spacing w:val="6"/>
              </w:rPr>
              <w:t>通用码头：涉及粉尘、挥发性有机物</w:t>
            </w:r>
            <w:r>
              <w:rPr>
                <w:spacing w:val="8"/>
              </w:rPr>
              <w:t>排放的项目</w:t>
            </w:r>
          </w:p>
        </w:tc>
        <w:tc>
          <w:tcPr>
            <w:tcW w:w="1657" w:type="dxa"/>
            <w:vAlign w:val="top"/>
          </w:tcPr>
          <w:p w14:paraId="2736D3E0">
            <w:pPr>
              <w:pStyle w:val="6"/>
              <w:spacing w:before="178" w:line="252" w:lineRule="auto"/>
              <w:ind w:left="211" w:right="191" w:hanging="2"/>
              <w:jc w:val="both"/>
            </w:pPr>
            <w:r>
              <w:rPr>
                <w:spacing w:val="8"/>
              </w:rPr>
              <w:t>本项目不属于需设置大气专</w:t>
            </w:r>
            <w:r>
              <w:rPr>
                <w:spacing w:val="7"/>
              </w:rPr>
              <w:t>项的项目类别</w:t>
            </w:r>
          </w:p>
        </w:tc>
        <w:tc>
          <w:tcPr>
            <w:tcW w:w="765" w:type="dxa"/>
            <w:tcBorders>
              <w:right w:val="single" w:color="000000" w:sz="6" w:space="0"/>
            </w:tcBorders>
            <w:vAlign w:val="top"/>
          </w:tcPr>
          <w:p w14:paraId="66FC4C02">
            <w:pPr>
              <w:spacing w:line="384" w:lineRule="auto"/>
              <w:rPr>
                <w:rFonts w:ascii="Arial"/>
                <w:sz w:val="21"/>
              </w:rPr>
            </w:pPr>
          </w:p>
          <w:p w14:paraId="165E8A9E">
            <w:pPr>
              <w:pStyle w:val="6"/>
              <w:spacing w:before="65" w:line="228" w:lineRule="auto"/>
              <w:ind w:left="271"/>
            </w:pPr>
            <w:r>
              <w:t>否</w:t>
            </w:r>
          </w:p>
        </w:tc>
      </w:tr>
      <w:tr w14:paraId="65826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1180" w:type="dxa"/>
            <w:vMerge w:val="continue"/>
            <w:tcBorders>
              <w:top w:val="nil"/>
              <w:left w:val="single" w:color="000000" w:sz="6" w:space="0"/>
              <w:bottom w:val="nil"/>
              <w:right w:val="single" w:color="000000" w:sz="6" w:space="0"/>
            </w:tcBorders>
            <w:vAlign w:val="top"/>
          </w:tcPr>
          <w:p w14:paraId="4E8293E2">
            <w:pPr>
              <w:rPr>
                <w:rFonts w:ascii="Arial"/>
                <w:sz w:val="21"/>
              </w:rPr>
            </w:pPr>
          </w:p>
        </w:tc>
        <w:tc>
          <w:tcPr>
            <w:tcW w:w="1011" w:type="dxa"/>
            <w:tcBorders>
              <w:left w:val="single" w:color="000000" w:sz="6" w:space="0"/>
            </w:tcBorders>
            <w:vAlign w:val="top"/>
          </w:tcPr>
          <w:p w14:paraId="4B7E76D1">
            <w:pPr>
              <w:spacing w:line="327" w:lineRule="auto"/>
              <w:rPr>
                <w:rFonts w:ascii="Arial"/>
                <w:sz w:val="21"/>
              </w:rPr>
            </w:pPr>
          </w:p>
          <w:p w14:paraId="0CBD6E6B">
            <w:pPr>
              <w:spacing w:line="327" w:lineRule="auto"/>
              <w:rPr>
                <w:rFonts w:ascii="Arial"/>
                <w:sz w:val="21"/>
              </w:rPr>
            </w:pPr>
          </w:p>
          <w:p w14:paraId="5FF4AB7F">
            <w:pPr>
              <w:pStyle w:val="6"/>
              <w:spacing w:before="65" w:line="228" w:lineRule="auto"/>
              <w:ind w:left="322"/>
            </w:pPr>
            <w:r>
              <w:rPr>
                <w:spacing w:val="-1"/>
              </w:rPr>
              <w:t>噪声</w:t>
            </w:r>
          </w:p>
        </w:tc>
        <w:tc>
          <w:tcPr>
            <w:tcW w:w="3521" w:type="dxa"/>
            <w:vAlign w:val="top"/>
          </w:tcPr>
          <w:p w14:paraId="2CF894C6">
            <w:pPr>
              <w:pStyle w:val="6"/>
              <w:spacing w:before="40" w:line="244" w:lineRule="auto"/>
              <w:ind w:left="110" w:right="50" w:firstLine="6"/>
              <w:jc w:val="both"/>
            </w:pPr>
            <w:r>
              <w:rPr>
                <w:spacing w:val="5"/>
              </w:rPr>
              <w:t>公路、铁路、机场等交通运输业涉及</w:t>
            </w:r>
            <w:r>
              <w:rPr>
                <w:spacing w:val="6"/>
              </w:rPr>
              <w:t>环境敏感区（以居住、医疗卫生、文化教育、科研、行政办公为主要功能的区域）的项目；城市道路（不含维</w:t>
            </w:r>
            <w:r>
              <w:rPr>
                <w:spacing w:val="-7"/>
              </w:rPr>
              <w:t>护，不含支路、人行天桥、人行地道</w:t>
            </w:r>
            <w:r>
              <w:rPr>
                <w:spacing w:val="-49"/>
                <w:w w:val="90"/>
              </w:rPr>
              <w:t>）：</w:t>
            </w:r>
            <w:r>
              <w:rPr>
                <w:spacing w:val="4"/>
              </w:rPr>
              <w:t>全部</w:t>
            </w:r>
          </w:p>
        </w:tc>
        <w:tc>
          <w:tcPr>
            <w:tcW w:w="1657" w:type="dxa"/>
            <w:vAlign w:val="top"/>
          </w:tcPr>
          <w:p w14:paraId="172BB877">
            <w:pPr>
              <w:spacing w:line="384" w:lineRule="auto"/>
              <w:rPr>
                <w:rFonts w:ascii="Arial"/>
                <w:sz w:val="21"/>
              </w:rPr>
            </w:pPr>
          </w:p>
          <w:p w14:paraId="5A3EF15A">
            <w:pPr>
              <w:pStyle w:val="6"/>
              <w:spacing w:before="65" w:line="251" w:lineRule="auto"/>
              <w:ind w:left="211" w:right="191" w:hanging="2"/>
              <w:jc w:val="both"/>
            </w:pPr>
            <w:r>
              <w:rPr>
                <w:spacing w:val="8"/>
              </w:rPr>
              <w:t>本项目不属于需设置噪声专</w:t>
            </w:r>
            <w:r>
              <w:rPr>
                <w:spacing w:val="7"/>
              </w:rPr>
              <w:t>项的项目类别</w:t>
            </w:r>
          </w:p>
        </w:tc>
        <w:tc>
          <w:tcPr>
            <w:tcW w:w="765" w:type="dxa"/>
            <w:tcBorders>
              <w:right w:val="single" w:color="000000" w:sz="6" w:space="0"/>
            </w:tcBorders>
            <w:vAlign w:val="top"/>
          </w:tcPr>
          <w:p w14:paraId="4846F25F">
            <w:pPr>
              <w:spacing w:line="327" w:lineRule="auto"/>
              <w:rPr>
                <w:rFonts w:ascii="Arial"/>
                <w:sz w:val="21"/>
              </w:rPr>
            </w:pPr>
          </w:p>
          <w:p w14:paraId="01943F5D">
            <w:pPr>
              <w:spacing w:line="327" w:lineRule="auto"/>
              <w:rPr>
                <w:rFonts w:ascii="Arial"/>
                <w:sz w:val="21"/>
              </w:rPr>
            </w:pPr>
          </w:p>
          <w:p w14:paraId="6110D34E">
            <w:pPr>
              <w:pStyle w:val="6"/>
              <w:spacing w:before="65" w:line="228" w:lineRule="auto"/>
              <w:ind w:left="271"/>
            </w:pPr>
            <w:r>
              <w:t>否</w:t>
            </w:r>
          </w:p>
        </w:tc>
      </w:tr>
      <w:tr w14:paraId="7BBA8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7" w:hRule="atLeast"/>
        </w:trPr>
        <w:tc>
          <w:tcPr>
            <w:tcW w:w="1180" w:type="dxa"/>
            <w:vMerge w:val="continue"/>
            <w:tcBorders>
              <w:top w:val="nil"/>
              <w:left w:val="single" w:color="000000" w:sz="6" w:space="0"/>
              <w:bottom w:val="single" w:color="000000" w:sz="6" w:space="0"/>
              <w:right w:val="single" w:color="000000" w:sz="6" w:space="0"/>
            </w:tcBorders>
            <w:vAlign w:val="top"/>
          </w:tcPr>
          <w:p w14:paraId="034700C7">
            <w:pPr>
              <w:rPr>
                <w:rFonts w:ascii="Arial"/>
                <w:sz w:val="21"/>
              </w:rPr>
            </w:pPr>
          </w:p>
        </w:tc>
        <w:tc>
          <w:tcPr>
            <w:tcW w:w="1011" w:type="dxa"/>
            <w:tcBorders>
              <w:left w:val="single" w:color="000000" w:sz="6" w:space="0"/>
              <w:bottom w:val="single" w:color="000000" w:sz="6" w:space="0"/>
            </w:tcBorders>
            <w:vAlign w:val="top"/>
          </w:tcPr>
          <w:p w14:paraId="36F617B4">
            <w:pPr>
              <w:spacing w:line="386" w:lineRule="auto"/>
              <w:rPr>
                <w:rFonts w:ascii="Arial"/>
                <w:sz w:val="21"/>
              </w:rPr>
            </w:pPr>
          </w:p>
          <w:p w14:paraId="48DCE57D">
            <w:pPr>
              <w:pStyle w:val="6"/>
              <w:spacing w:before="65" w:line="252" w:lineRule="auto"/>
              <w:ind w:left="426" w:right="173" w:hanging="220"/>
            </w:pPr>
            <w:r>
              <w:rPr>
                <w:spacing w:val="6"/>
              </w:rPr>
              <w:t>环境风</w:t>
            </w:r>
            <w:r>
              <w:t>险</w:t>
            </w:r>
          </w:p>
        </w:tc>
        <w:tc>
          <w:tcPr>
            <w:tcW w:w="3521" w:type="dxa"/>
            <w:tcBorders>
              <w:bottom w:val="single" w:color="000000" w:sz="6" w:space="0"/>
            </w:tcBorders>
            <w:vAlign w:val="top"/>
          </w:tcPr>
          <w:p w14:paraId="76AA53A2">
            <w:pPr>
              <w:pStyle w:val="6"/>
              <w:spacing w:before="45" w:line="227" w:lineRule="auto"/>
              <w:ind w:left="111"/>
            </w:pPr>
            <w:r>
              <w:rPr>
                <w:spacing w:val="8"/>
              </w:rPr>
              <w:t>石油和天然气开采：全部；</w:t>
            </w:r>
          </w:p>
          <w:p w14:paraId="24E2CF54">
            <w:pPr>
              <w:pStyle w:val="6"/>
              <w:spacing w:before="24" w:line="228" w:lineRule="auto"/>
              <w:ind w:left="113"/>
            </w:pPr>
            <w:r>
              <w:rPr>
                <w:spacing w:val="8"/>
              </w:rPr>
              <w:t>油气、液体化工码头：全部；</w:t>
            </w:r>
          </w:p>
          <w:p w14:paraId="59FB257E">
            <w:pPr>
              <w:pStyle w:val="6"/>
              <w:spacing w:before="23" w:line="243" w:lineRule="auto"/>
              <w:ind w:left="110" w:right="104" w:firstLine="5"/>
            </w:pPr>
            <w:r>
              <w:rPr>
                <w:spacing w:val="6"/>
              </w:rPr>
              <w:t>原油、成品油、天然气管线（不含城</w:t>
            </w:r>
            <w:r>
              <w:rPr>
                <w:spacing w:val="9"/>
              </w:rPr>
              <w:t>镇天然气管线、企业厂区内管线</w:t>
            </w:r>
            <w:r>
              <w:rPr>
                <w:spacing w:val="-13"/>
              </w:rPr>
              <w:t>），</w:t>
            </w:r>
            <w:r>
              <w:rPr>
                <w:spacing w:val="6"/>
              </w:rPr>
              <w:t>危险化学品输送管线（不含企业厂区</w:t>
            </w:r>
          </w:p>
        </w:tc>
        <w:tc>
          <w:tcPr>
            <w:tcW w:w="1657" w:type="dxa"/>
            <w:tcBorders>
              <w:bottom w:val="single" w:color="000000" w:sz="6" w:space="0"/>
            </w:tcBorders>
            <w:vAlign w:val="top"/>
          </w:tcPr>
          <w:p w14:paraId="4298FB52">
            <w:pPr>
              <w:pStyle w:val="6"/>
              <w:spacing w:before="179" w:line="227" w:lineRule="auto"/>
              <w:ind w:left="209"/>
            </w:pPr>
            <w:r>
              <w:rPr>
                <w:spacing w:val="8"/>
              </w:rPr>
              <w:t>本项目不属于</w:t>
            </w:r>
          </w:p>
          <w:p w14:paraId="454B8C06">
            <w:pPr>
              <w:pStyle w:val="6"/>
              <w:spacing w:before="25" w:line="228" w:lineRule="auto"/>
              <w:ind w:left="220"/>
            </w:pPr>
            <w:r>
              <w:rPr>
                <w:spacing w:val="6"/>
              </w:rPr>
              <w:t>需设置环境风</w:t>
            </w:r>
          </w:p>
          <w:p w14:paraId="0E239FB1">
            <w:pPr>
              <w:pStyle w:val="6"/>
              <w:spacing w:before="24" w:line="228" w:lineRule="auto"/>
              <w:ind w:left="220"/>
            </w:pPr>
            <w:r>
              <w:rPr>
                <w:spacing w:val="6"/>
              </w:rPr>
              <w:t>险专项的项目</w:t>
            </w:r>
          </w:p>
          <w:p w14:paraId="2F08E13D">
            <w:pPr>
              <w:pStyle w:val="6"/>
              <w:spacing w:before="25" w:line="228" w:lineRule="auto"/>
              <w:ind w:left="628"/>
            </w:pPr>
            <w:r>
              <w:rPr>
                <w:spacing w:val="4"/>
              </w:rPr>
              <w:t>类别</w:t>
            </w:r>
          </w:p>
        </w:tc>
        <w:tc>
          <w:tcPr>
            <w:tcW w:w="765" w:type="dxa"/>
            <w:tcBorders>
              <w:bottom w:val="single" w:color="000000" w:sz="6" w:space="0"/>
              <w:right w:val="single" w:color="000000" w:sz="6" w:space="0"/>
            </w:tcBorders>
            <w:vAlign w:val="top"/>
          </w:tcPr>
          <w:p w14:paraId="35278FD1">
            <w:pPr>
              <w:spacing w:line="260" w:lineRule="auto"/>
              <w:rPr>
                <w:rFonts w:ascii="Arial"/>
                <w:sz w:val="21"/>
              </w:rPr>
            </w:pPr>
          </w:p>
          <w:p w14:paraId="61F9601C">
            <w:pPr>
              <w:spacing w:line="260" w:lineRule="auto"/>
              <w:rPr>
                <w:rFonts w:ascii="Arial"/>
                <w:sz w:val="21"/>
              </w:rPr>
            </w:pPr>
          </w:p>
          <w:p w14:paraId="5ECD46F0">
            <w:pPr>
              <w:pStyle w:val="6"/>
              <w:spacing w:before="65" w:line="228" w:lineRule="auto"/>
              <w:ind w:left="271"/>
            </w:pPr>
            <w:r>
              <w:t>否</w:t>
            </w:r>
          </w:p>
        </w:tc>
      </w:tr>
    </w:tbl>
    <w:p w14:paraId="5887F18A">
      <w:pPr>
        <w:rPr>
          <w:rFonts w:ascii="Arial"/>
          <w:sz w:val="21"/>
        </w:rPr>
      </w:pPr>
    </w:p>
    <w:p w14:paraId="390A861A">
      <w:pPr>
        <w:rPr>
          <w:rFonts w:ascii="Arial" w:hAnsi="Arial" w:eastAsia="Arial" w:cs="Arial"/>
          <w:sz w:val="21"/>
          <w:szCs w:val="21"/>
        </w:rPr>
        <w:sectPr>
          <w:footerReference r:id="rId12" w:type="default"/>
          <w:pgSz w:w="11907" w:h="16840"/>
          <w:pgMar w:top="400" w:right="1786" w:bottom="1240" w:left="1774" w:header="0" w:footer="1077" w:gutter="0"/>
          <w:cols w:space="720" w:num="1"/>
        </w:sectPr>
      </w:pPr>
    </w:p>
    <w:p w14:paraId="0F4A071C">
      <w:pPr>
        <w:spacing w:before="19"/>
      </w:pPr>
    </w:p>
    <w:p w14:paraId="645C8F6F">
      <w:pPr>
        <w:spacing w:before="19"/>
      </w:pPr>
    </w:p>
    <w:p w14:paraId="3F21B718">
      <w:pPr>
        <w:spacing w:before="18"/>
      </w:pPr>
    </w:p>
    <w:p w14:paraId="07FF156F">
      <w:pPr>
        <w:spacing w:before="18"/>
      </w:pPr>
    </w:p>
    <w:tbl>
      <w:tblPr>
        <w:tblStyle w:val="5"/>
        <w:tblW w:w="81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11"/>
        <w:gridCol w:w="770"/>
        <w:gridCol w:w="1011"/>
        <w:gridCol w:w="3520"/>
        <w:gridCol w:w="1657"/>
        <w:gridCol w:w="765"/>
      </w:tblGrid>
      <w:tr w14:paraId="096C2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7" w:hRule="atLeast"/>
        </w:trPr>
        <w:tc>
          <w:tcPr>
            <w:tcW w:w="1181" w:type="dxa"/>
            <w:gridSpan w:val="2"/>
            <w:vMerge w:val="restart"/>
            <w:tcBorders>
              <w:bottom w:val="nil"/>
            </w:tcBorders>
            <w:vAlign w:val="top"/>
          </w:tcPr>
          <w:p w14:paraId="4F116A66">
            <w:pPr>
              <w:rPr>
                <w:rFonts w:ascii="Arial"/>
                <w:sz w:val="21"/>
              </w:rPr>
            </w:pPr>
          </w:p>
        </w:tc>
        <w:tc>
          <w:tcPr>
            <w:tcW w:w="1011" w:type="dxa"/>
            <w:tcBorders>
              <w:bottom w:val="single" w:color="000000" w:sz="2" w:space="0"/>
              <w:right w:val="single" w:color="000000" w:sz="2" w:space="0"/>
            </w:tcBorders>
            <w:vAlign w:val="top"/>
          </w:tcPr>
          <w:p w14:paraId="323A3905">
            <w:pPr>
              <w:rPr>
                <w:rFonts w:ascii="Arial"/>
                <w:sz w:val="21"/>
              </w:rPr>
            </w:pPr>
            <w:r>
              <w:pict>
                <v:shape id="_x0000_s1026" o:spid="_x0000_s1026" style="position:absolute;left:0pt;margin-left:1.45pt;margin-top:1.75pt;height:14.15pt;width:0.5pt;mso-position-horizontal-relative:page;mso-position-vertical-relative:page;z-index:251661312;mso-width-relative:page;mso-height-relative:page;" filled="f" stroked="t" coordsize="10,282" path="m4,0l4,282e">
                  <v:fill on="f" focussize="0,0"/>
                  <v:stroke weight="0.48pt" color="#000000" miterlimit="2" joinstyle="bevel"/>
                  <v:imagedata o:title=""/>
                  <o:lock v:ext="edit"/>
                </v:shape>
              </w:pict>
            </w:r>
          </w:p>
        </w:tc>
        <w:tc>
          <w:tcPr>
            <w:tcW w:w="3520" w:type="dxa"/>
            <w:tcBorders>
              <w:left w:val="single" w:color="000000" w:sz="2" w:space="0"/>
              <w:bottom w:val="single" w:color="000000" w:sz="2" w:space="0"/>
              <w:right w:val="single" w:color="000000" w:sz="2" w:space="0"/>
            </w:tcBorders>
            <w:vAlign w:val="top"/>
          </w:tcPr>
          <w:p w14:paraId="7178785A">
            <w:pPr>
              <w:pStyle w:val="6"/>
              <w:spacing w:before="62" w:line="216" w:lineRule="auto"/>
              <w:ind w:left="134"/>
            </w:pPr>
            <w:r>
              <w:rPr>
                <w:spacing w:val="1"/>
              </w:rPr>
              <w:t>内管线</w:t>
            </w:r>
            <w:r>
              <w:rPr>
                <w:spacing w:val="14"/>
              </w:rPr>
              <w:t>）：</w:t>
            </w:r>
            <w:r>
              <w:rPr>
                <w:spacing w:val="1"/>
              </w:rPr>
              <w:t>全部</w:t>
            </w:r>
          </w:p>
        </w:tc>
        <w:tc>
          <w:tcPr>
            <w:tcW w:w="1657" w:type="dxa"/>
            <w:tcBorders>
              <w:left w:val="single" w:color="000000" w:sz="2" w:space="0"/>
              <w:bottom w:val="single" w:color="000000" w:sz="2" w:space="0"/>
              <w:right w:val="single" w:color="000000" w:sz="2" w:space="0"/>
            </w:tcBorders>
            <w:vAlign w:val="top"/>
          </w:tcPr>
          <w:p w14:paraId="244D5DD7">
            <w:pPr>
              <w:rPr>
                <w:rFonts w:ascii="Arial"/>
                <w:sz w:val="21"/>
              </w:rPr>
            </w:pPr>
          </w:p>
        </w:tc>
        <w:tc>
          <w:tcPr>
            <w:tcW w:w="765" w:type="dxa"/>
            <w:tcBorders>
              <w:left w:val="single" w:color="000000" w:sz="2" w:space="0"/>
              <w:bottom w:val="single" w:color="000000" w:sz="2" w:space="0"/>
            </w:tcBorders>
            <w:vAlign w:val="top"/>
          </w:tcPr>
          <w:p w14:paraId="454E37A6">
            <w:pPr>
              <w:rPr>
                <w:rFonts w:ascii="Arial"/>
                <w:sz w:val="21"/>
              </w:rPr>
            </w:pPr>
          </w:p>
        </w:tc>
      </w:tr>
      <w:tr w14:paraId="7B740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1181" w:type="dxa"/>
            <w:gridSpan w:val="2"/>
            <w:vMerge w:val="continue"/>
            <w:tcBorders>
              <w:top w:val="nil"/>
            </w:tcBorders>
            <w:vAlign w:val="top"/>
          </w:tcPr>
          <w:p w14:paraId="6853F345">
            <w:pPr>
              <w:rPr>
                <w:rFonts w:ascii="Arial"/>
                <w:sz w:val="21"/>
              </w:rPr>
            </w:pPr>
          </w:p>
        </w:tc>
        <w:tc>
          <w:tcPr>
            <w:tcW w:w="6953" w:type="dxa"/>
            <w:gridSpan w:val="4"/>
            <w:tcBorders>
              <w:top w:val="single" w:color="000000" w:sz="2" w:space="0"/>
            </w:tcBorders>
            <w:vAlign w:val="top"/>
          </w:tcPr>
          <w:p w14:paraId="556B3F86">
            <w:pPr>
              <w:pStyle w:val="6"/>
              <w:spacing w:before="31" w:line="367" w:lineRule="auto"/>
              <w:ind w:left="14" w:right="10" w:firstLine="416"/>
              <w:jc w:val="both"/>
            </w:pPr>
            <w:r>
              <w:rPr>
                <w:spacing w:val="10"/>
              </w:rPr>
              <w:t>注：</w:t>
            </w:r>
            <w:r>
              <w:rPr>
                <w:rFonts w:ascii="Times New Roman" w:hAnsi="Times New Roman" w:eastAsia="Times New Roman" w:cs="Times New Roman"/>
                <w:spacing w:val="10"/>
              </w:rPr>
              <w:t>“</w:t>
            </w:r>
            <w:r>
              <w:rPr>
                <w:spacing w:val="10"/>
              </w:rPr>
              <w:t>涉及环境敏感区</w:t>
            </w:r>
            <w:r>
              <w:rPr>
                <w:rFonts w:ascii="Times New Roman" w:hAnsi="Times New Roman" w:eastAsia="Times New Roman" w:cs="Times New Roman"/>
                <w:spacing w:val="10"/>
              </w:rPr>
              <w:t>”</w:t>
            </w:r>
            <w:r>
              <w:rPr>
                <w:spacing w:val="10"/>
              </w:rPr>
              <w:t>是指建设项目位于、穿（跨）越（无害化</w:t>
            </w:r>
            <w:r>
              <w:rPr>
                <w:spacing w:val="9"/>
              </w:rPr>
              <w:t>通过的除外）环境敏感区，或环境影响范围涵盖环境敏感区。环境敏感区是指《建设项目环境影响评价分类管理名录》中针对该类项目所列的敏感区。</w:t>
            </w:r>
          </w:p>
        </w:tc>
      </w:tr>
      <w:tr w14:paraId="64178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1181" w:type="dxa"/>
            <w:gridSpan w:val="2"/>
            <w:vAlign w:val="top"/>
          </w:tcPr>
          <w:p w14:paraId="63928ADC">
            <w:pPr>
              <w:pStyle w:val="6"/>
              <w:spacing w:before="112" w:line="220" w:lineRule="auto"/>
              <w:ind w:left="109"/>
              <w:rPr>
                <w:sz w:val="24"/>
                <w:szCs w:val="24"/>
              </w:rPr>
            </w:pPr>
            <w:r>
              <w:rPr>
                <w:spacing w:val="-3"/>
                <w:sz w:val="24"/>
                <w:szCs w:val="24"/>
              </w:rPr>
              <w:t>规划情况</w:t>
            </w:r>
          </w:p>
        </w:tc>
        <w:tc>
          <w:tcPr>
            <w:tcW w:w="6953" w:type="dxa"/>
            <w:gridSpan w:val="4"/>
            <w:vAlign w:val="top"/>
          </w:tcPr>
          <w:p w14:paraId="15AB6DCE">
            <w:pPr>
              <w:pStyle w:val="6"/>
              <w:spacing w:before="112" w:line="220" w:lineRule="auto"/>
              <w:ind w:left="3355"/>
              <w:rPr>
                <w:sz w:val="24"/>
                <w:szCs w:val="24"/>
              </w:rPr>
            </w:pPr>
            <w:r>
              <w:rPr>
                <w:sz w:val="24"/>
                <w:szCs w:val="24"/>
              </w:rPr>
              <w:t>无</w:t>
            </w:r>
          </w:p>
        </w:tc>
      </w:tr>
      <w:tr w14:paraId="32D55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4" w:hRule="atLeast"/>
        </w:trPr>
        <w:tc>
          <w:tcPr>
            <w:tcW w:w="1181" w:type="dxa"/>
            <w:gridSpan w:val="2"/>
            <w:vAlign w:val="top"/>
          </w:tcPr>
          <w:p w14:paraId="3AEAC4A1">
            <w:pPr>
              <w:pStyle w:val="6"/>
              <w:spacing w:before="47" w:line="220" w:lineRule="auto"/>
              <w:ind w:left="109"/>
              <w:rPr>
                <w:sz w:val="24"/>
                <w:szCs w:val="24"/>
              </w:rPr>
            </w:pPr>
            <w:r>
              <w:rPr>
                <w:spacing w:val="-3"/>
                <w:sz w:val="24"/>
                <w:szCs w:val="24"/>
              </w:rPr>
              <w:t>规划环境</w:t>
            </w:r>
          </w:p>
          <w:p w14:paraId="2FBBB96B">
            <w:pPr>
              <w:pStyle w:val="6"/>
              <w:spacing w:before="25" w:line="225" w:lineRule="auto"/>
              <w:ind w:left="348" w:right="106" w:hanging="240"/>
              <w:rPr>
                <w:sz w:val="24"/>
                <w:szCs w:val="24"/>
              </w:rPr>
            </w:pPr>
            <w:r>
              <w:rPr>
                <w:spacing w:val="-3"/>
                <w:sz w:val="24"/>
                <w:szCs w:val="24"/>
              </w:rPr>
              <w:t>影响评价</w:t>
            </w:r>
            <w:r>
              <w:rPr>
                <w:spacing w:val="-6"/>
                <w:sz w:val="24"/>
                <w:szCs w:val="24"/>
              </w:rPr>
              <w:t>情况</w:t>
            </w:r>
          </w:p>
        </w:tc>
        <w:tc>
          <w:tcPr>
            <w:tcW w:w="6953" w:type="dxa"/>
            <w:gridSpan w:val="4"/>
            <w:vAlign w:val="top"/>
          </w:tcPr>
          <w:p w14:paraId="7F445C98">
            <w:pPr>
              <w:spacing w:line="280" w:lineRule="auto"/>
              <w:rPr>
                <w:rFonts w:ascii="Arial"/>
                <w:sz w:val="21"/>
              </w:rPr>
            </w:pPr>
          </w:p>
          <w:p w14:paraId="0EF5D890">
            <w:pPr>
              <w:pStyle w:val="6"/>
              <w:spacing w:before="78" w:line="220" w:lineRule="auto"/>
              <w:ind w:left="3355"/>
              <w:rPr>
                <w:sz w:val="24"/>
                <w:szCs w:val="24"/>
              </w:rPr>
            </w:pPr>
            <w:r>
              <w:rPr>
                <w:sz w:val="24"/>
                <w:szCs w:val="24"/>
              </w:rPr>
              <w:t>无</w:t>
            </w:r>
          </w:p>
        </w:tc>
      </w:tr>
      <w:tr w14:paraId="01E4F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5" w:hRule="atLeast"/>
        </w:trPr>
        <w:tc>
          <w:tcPr>
            <w:tcW w:w="1181" w:type="dxa"/>
            <w:gridSpan w:val="2"/>
            <w:vAlign w:val="top"/>
          </w:tcPr>
          <w:p w14:paraId="50D5374D">
            <w:pPr>
              <w:pStyle w:val="6"/>
              <w:spacing w:before="51" w:line="221" w:lineRule="auto"/>
              <w:ind w:left="109"/>
              <w:rPr>
                <w:sz w:val="24"/>
                <w:szCs w:val="24"/>
              </w:rPr>
            </w:pPr>
            <w:r>
              <w:rPr>
                <w:spacing w:val="-3"/>
                <w:sz w:val="24"/>
                <w:szCs w:val="24"/>
              </w:rPr>
              <w:t>规划及规</w:t>
            </w:r>
          </w:p>
          <w:p w14:paraId="6B369413">
            <w:pPr>
              <w:pStyle w:val="6"/>
              <w:spacing w:before="21" w:line="220" w:lineRule="auto"/>
              <w:ind w:left="107"/>
              <w:rPr>
                <w:sz w:val="24"/>
                <w:szCs w:val="24"/>
              </w:rPr>
            </w:pPr>
            <w:r>
              <w:rPr>
                <w:spacing w:val="-3"/>
                <w:sz w:val="24"/>
                <w:szCs w:val="24"/>
              </w:rPr>
              <w:t>划环境影</w:t>
            </w:r>
          </w:p>
          <w:p w14:paraId="56799DE3">
            <w:pPr>
              <w:pStyle w:val="6"/>
              <w:spacing w:before="25" w:line="218" w:lineRule="auto"/>
              <w:ind w:left="121"/>
              <w:rPr>
                <w:sz w:val="24"/>
                <w:szCs w:val="24"/>
              </w:rPr>
            </w:pPr>
            <w:r>
              <w:rPr>
                <w:spacing w:val="-6"/>
                <w:sz w:val="24"/>
                <w:szCs w:val="24"/>
              </w:rPr>
              <w:t>响评价符</w:t>
            </w:r>
          </w:p>
          <w:p w14:paraId="254CC920">
            <w:pPr>
              <w:pStyle w:val="6"/>
              <w:spacing w:before="26" w:line="210" w:lineRule="auto"/>
              <w:ind w:left="109"/>
              <w:rPr>
                <w:sz w:val="24"/>
                <w:szCs w:val="24"/>
              </w:rPr>
            </w:pPr>
            <w:r>
              <w:rPr>
                <w:spacing w:val="-3"/>
                <w:sz w:val="24"/>
                <w:szCs w:val="24"/>
              </w:rPr>
              <w:t>合性分析</w:t>
            </w:r>
          </w:p>
        </w:tc>
        <w:tc>
          <w:tcPr>
            <w:tcW w:w="6953" w:type="dxa"/>
            <w:gridSpan w:val="4"/>
            <w:vAlign w:val="top"/>
          </w:tcPr>
          <w:p w14:paraId="61E247ED">
            <w:pPr>
              <w:spacing w:line="435" w:lineRule="auto"/>
              <w:rPr>
                <w:rFonts w:ascii="Arial"/>
                <w:sz w:val="21"/>
              </w:rPr>
            </w:pPr>
          </w:p>
          <w:p w14:paraId="5DEFFF81">
            <w:pPr>
              <w:pStyle w:val="6"/>
              <w:spacing w:before="78" w:line="220" w:lineRule="auto"/>
              <w:ind w:left="3355"/>
              <w:rPr>
                <w:sz w:val="24"/>
                <w:szCs w:val="24"/>
              </w:rPr>
            </w:pPr>
            <w:r>
              <w:rPr>
                <w:sz w:val="24"/>
                <w:szCs w:val="24"/>
              </w:rPr>
              <w:t>无</w:t>
            </w:r>
          </w:p>
        </w:tc>
      </w:tr>
      <w:tr w14:paraId="50723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75" w:hRule="atLeast"/>
        </w:trPr>
        <w:tc>
          <w:tcPr>
            <w:tcW w:w="411" w:type="dxa"/>
            <w:tcBorders>
              <w:right w:val="single" w:color="000000" w:sz="2" w:space="0"/>
            </w:tcBorders>
            <w:textDirection w:val="tbRlV"/>
            <w:vAlign w:val="top"/>
          </w:tcPr>
          <w:p w14:paraId="59C87229">
            <w:pPr>
              <w:pStyle w:val="6"/>
              <w:spacing w:before="85" w:line="208" w:lineRule="auto"/>
              <w:ind w:left="3630"/>
              <w:rPr>
                <w:sz w:val="24"/>
                <w:szCs w:val="24"/>
              </w:rPr>
            </w:pPr>
            <w:r>
              <w:rPr>
                <w:spacing w:val="19"/>
                <w:w w:val="117"/>
                <w:sz w:val="24"/>
                <w:szCs w:val="24"/>
              </w:rPr>
              <w:t>其他符合性分析</w:t>
            </w:r>
          </w:p>
        </w:tc>
        <w:tc>
          <w:tcPr>
            <w:tcW w:w="7723" w:type="dxa"/>
            <w:gridSpan w:val="5"/>
            <w:tcBorders>
              <w:left w:val="single" w:color="000000" w:sz="2" w:space="0"/>
            </w:tcBorders>
            <w:vAlign w:val="top"/>
          </w:tcPr>
          <w:p w14:paraId="6ABB8E1A">
            <w:pPr>
              <w:pStyle w:val="6"/>
              <w:spacing w:before="50" w:line="219" w:lineRule="auto"/>
              <w:ind w:left="501"/>
              <w:rPr>
                <w:sz w:val="24"/>
                <w:szCs w:val="24"/>
              </w:rPr>
            </w:pPr>
            <w:r>
              <w:rPr>
                <w:rFonts w:ascii="Times New Roman" w:hAnsi="Times New Roman" w:eastAsia="Times New Roman" w:cs="Times New Roman"/>
                <w:b/>
                <w:bCs/>
                <w:spacing w:val="-6"/>
                <w:sz w:val="24"/>
                <w:szCs w:val="24"/>
              </w:rPr>
              <w:t>1</w:t>
            </w:r>
            <w:r>
              <w:rPr>
                <w:rFonts w:ascii="Times New Roman" w:hAnsi="Times New Roman" w:eastAsia="Times New Roman" w:cs="Times New Roman"/>
                <w:b/>
                <w:bCs/>
                <w:spacing w:val="-29"/>
                <w:sz w:val="24"/>
                <w:szCs w:val="24"/>
              </w:rPr>
              <w:t xml:space="preserve"> </w:t>
            </w:r>
            <w:r>
              <w:rPr>
                <w:b/>
                <w:bCs/>
                <w:spacing w:val="-6"/>
                <w:sz w:val="24"/>
                <w:szCs w:val="24"/>
              </w:rPr>
              <w:t>、产业政策符合性分析</w:t>
            </w:r>
          </w:p>
          <w:p w14:paraId="06CF6593">
            <w:pPr>
              <w:pStyle w:val="6"/>
              <w:spacing w:before="182" w:line="359" w:lineRule="auto"/>
              <w:ind w:left="24" w:right="10" w:firstLine="485"/>
              <w:jc w:val="both"/>
              <w:rPr>
                <w:sz w:val="24"/>
                <w:szCs w:val="24"/>
              </w:rPr>
            </w:pPr>
            <w:r>
              <w:rPr>
                <w:spacing w:val="4"/>
                <w:sz w:val="24"/>
                <w:szCs w:val="24"/>
              </w:rPr>
              <w:t>本工程为</w:t>
            </w:r>
            <w:r>
              <w:rPr>
                <w:spacing w:val="-24"/>
                <w:sz w:val="24"/>
                <w:szCs w:val="24"/>
              </w:rPr>
              <w:t xml:space="preserve"> </w:t>
            </w:r>
            <w:r>
              <w:rPr>
                <w:rFonts w:ascii="Times New Roman" w:hAnsi="Times New Roman" w:eastAsia="Times New Roman" w:cs="Times New Roman"/>
                <w:spacing w:val="4"/>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17"/>
                <w:w w:val="101"/>
                <w:sz w:val="24"/>
                <w:szCs w:val="24"/>
              </w:rPr>
              <w:t xml:space="preserve"> </w:t>
            </w:r>
            <w:r>
              <w:rPr>
                <w:spacing w:val="4"/>
                <w:sz w:val="24"/>
                <w:szCs w:val="24"/>
              </w:rPr>
              <w:t>输变电工程，属于《产业结构调整指导目录（</w:t>
            </w:r>
            <w:r>
              <w:rPr>
                <w:rFonts w:ascii="Times New Roman" w:hAnsi="Times New Roman" w:eastAsia="Times New Roman" w:cs="Times New Roman"/>
                <w:spacing w:val="4"/>
                <w:sz w:val="24"/>
                <w:szCs w:val="24"/>
              </w:rPr>
              <w:t>2024</w:t>
            </w:r>
            <w:r>
              <w:rPr>
                <w:spacing w:val="-3"/>
                <w:sz w:val="24"/>
                <w:szCs w:val="24"/>
              </w:rPr>
              <w:t>年本）》</w:t>
            </w:r>
            <w:r>
              <w:rPr>
                <w:rFonts w:ascii="Times New Roman" w:hAnsi="Times New Roman" w:eastAsia="Times New Roman" w:cs="Times New Roman"/>
                <w:spacing w:val="-3"/>
                <w:sz w:val="24"/>
                <w:szCs w:val="24"/>
              </w:rPr>
              <w:t>“</w:t>
            </w:r>
            <w:r>
              <w:rPr>
                <w:spacing w:val="-3"/>
                <w:sz w:val="24"/>
                <w:szCs w:val="24"/>
              </w:rPr>
              <w:t>第一类鼓励类</w:t>
            </w:r>
            <w:r>
              <w:rPr>
                <w:rFonts w:ascii="Times New Roman" w:hAnsi="Times New Roman" w:eastAsia="Times New Roman" w:cs="Times New Roman"/>
                <w:spacing w:val="-3"/>
                <w:sz w:val="24"/>
                <w:szCs w:val="24"/>
              </w:rPr>
              <w:t>”</w:t>
            </w:r>
            <w:r>
              <w:rPr>
                <w:rFonts w:ascii="Times New Roman" w:hAnsi="Times New Roman" w:eastAsia="Times New Roman" w:cs="Times New Roman"/>
                <w:spacing w:val="-26"/>
                <w:sz w:val="24"/>
                <w:szCs w:val="24"/>
              </w:rPr>
              <w:t xml:space="preserve"> </w:t>
            </w:r>
            <w:r>
              <w:rPr>
                <w:spacing w:val="-3"/>
                <w:sz w:val="24"/>
                <w:szCs w:val="24"/>
              </w:rPr>
              <w:t>中的</w:t>
            </w:r>
            <w:r>
              <w:rPr>
                <w:rFonts w:ascii="Times New Roman" w:hAnsi="Times New Roman" w:eastAsia="Times New Roman" w:cs="Times New Roman"/>
                <w:spacing w:val="-3"/>
                <w:sz w:val="24"/>
                <w:szCs w:val="24"/>
              </w:rPr>
              <w:t>“</w:t>
            </w:r>
            <w:r>
              <w:rPr>
                <w:rFonts w:ascii="Times New Roman" w:hAnsi="Times New Roman" w:eastAsia="Times New Roman" w:cs="Times New Roman"/>
                <w:spacing w:val="-24"/>
                <w:sz w:val="24"/>
                <w:szCs w:val="24"/>
              </w:rPr>
              <w:t xml:space="preserve"> </w:t>
            </w:r>
            <w:r>
              <w:rPr>
                <w:spacing w:val="-3"/>
                <w:sz w:val="24"/>
                <w:szCs w:val="24"/>
              </w:rPr>
              <w:t>电力基础设施建设</w:t>
            </w:r>
            <w:r>
              <w:rPr>
                <w:rFonts w:ascii="Times New Roman" w:hAnsi="Times New Roman" w:eastAsia="Times New Roman" w:cs="Times New Roman"/>
                <w:spacing w:val="-3"/>
                <w:sz w:val="24"/>
                <w:szCs w:val="24"/>
              </w:rPr>
              <w:t>”</w:t>
            </w:r>
            <w:r>
              <w:rPr>
                <w:spacing w:val="-4"/>
                <w:sz w:val="24"/>
                <w:szCs w:val="24"/>
              </w:rPr>
              <w:t>项目。于</w:t>
            </w:r>
            <w:r>
              <w:rPr>
                <w:spacing w:val="-55"/>
                <w:sz w:val="24"/>
                <w:szCs w:val="24"/>
              </w:rPr>
              <w:t xml:space="preserve"> </w:t>
            </w:r>
            <w:r>
              <w:rPr>
                <w:rFonts w:ascii="Times New Roman" w:hAnsi="Times New Roman" w:eastAsia="Times New Roman" w:cs="Times New Roman"/>
                <w:spacing w:val="-4"/>
                <w:sz w:val="24"/>
                <w:szCs w:val="24"/>
              </w:rPr>
              <w:t xml:space="preserve">2025 </w:t>
            </w:r>
            <w:r>
              <w:rPr>
                <w:spacing w:val="-4"/>
                <w:sz w:val="24"/>
                <w:szCs w:val="24"/>
              </w:rPr>
              <w:t>年</w:t>
            </w:r>
            <w:r>
              <w:rPr>
                <w:spacing w:val="-32"/>
                <w:sz w:val="24"/>
                <w:szCs w:val="24"/>
              </w:rPr>
              <w:t xml:space="preserve"> </w:t>
            </w:r>
            <w:r>
              <w:rPr>
                <w:rFonts w:ascii="Times New Roman" w:hAnsi="Times New Roman" w:eastAsia="Times New Roman" w:cs="Times New Roman"/>
                <w:spacing w:val="-4"/>
                <w:sz w:val="24"/>
                <w:szCs w:val="24"/>
              </w:rPr>
              <w:t>10</w:t>
            </w:r>
            <w:r>
              <w:rPr>
                <w:rFonts w:ascii="Times New Roman" w:hAnsi="Times New Roman" w:eastAsia="Times New Roman" w:cs="Times New Roman"/>
                <w:spacing w:val="16"/>
                <w:sz w:val="24"/>
                <w:szCs w:val="24"/>
              </w:rPr>
              <w:t xml:space="preserve"> </w:t>
            </w:r>
            <w:r>
              <w:rPr>
                <w:spacing w:val="-4"/>
                <w:sz w:val="24"/>
                <w:szCs w:val="24"/>
              </w:rPr>
              <w:t>月</w:t>
            </w:r>
            <w:r>
              <w:rPr>
                <w:rFonts w:ascii="Times New Roman" w:hAnsi="Times New Roman" w:eastAsia="Times New Roman" w:cs="Times New Roman"/>
                <w:spacing w:val="-4"/>
                <w:sz w:val="24"/>
                <w:szCs w:val="24"/>
              </w:rPr>
              <w:t>23</w:t>
            </w:r>
            <w:r>
              <w:rPr>
                <w:rFonts w:ascii="Times New Roman" w:hAnsi="Times New Roman" w:eastAsia="Times New Roman" w:cs="Times New Roman"/>
                <w:spacing w:val="68"/>
                <w:sz w:val="24"/>
                <w:szCs w:val="24"/>
              </w:rPr>
              <w:t xml:space="preserve"> </w:t>
            </w:r>
            <w:r>
              <w:rPr>
                <w:spacing w:val="-4"/>
                <w:sz w:val="24"/>
                <w:szCs w:val="24"/>
              </w:rPr>
              <w:t>日取得了曲靖市发展和改革委员会关于本工程核准的批复（曲发改基础</w:t>
            </w:r>
            <w:r>
              <w:rPr>
                <w:spacing w:val="-3"/>
                <w:sz w:val="24"/>
                <w:szCs w:val="24"/>
              </w:rPr>
              <w:t>〔</w:t>
            </w:r>
            <w:r>
              <w:rPr>
                <w:rFonts w:ascii="Times New Roman" w:hAnsi="Times New Roman" w:eastAsia="Times New Roman" w:cs="Times New Roman"/>
                <w:spacing w:val="-3"/>
                <w:sz w:val="24"/>
                <w:szCs w:val="24"/>
              </w:rPr>
              <w:t>2025</w:t>
            </w:r>
            <w:r>
              <w:rPr>
                <w:spacing w:val="-3"/>
                <w:sz w:val="24"/>
                <w:szCs w:val="24"/>
              </w:rPr>
              <w:t>〕</w:t>
            </w:r>
            <w:r>
              <w:rPr>
                <w:rFonts w:ascii="Times New Roman" w:hAnsi="Times New Roman" w:eastAsia="Times New Roman" w:cs="Times New Roman"/>
                <w:spacing w:val="-3"/>
                <w:sz w:val="24"/>
                <w:szCs w:val="24"/>
              </w:rPr>
              <w:t>55</w:t>
            </w:r>
            <w:r>
              <w:rPr>
                <w:rFonts w:ascii="Times New Roman" w:hAnsi="Times New Roman" w:eastAsia="Times New Roman" w:cs="Times New Roman"/>
                <w:spacing w:val="16"/>
                <w:w w:val="101"/>
                <w:sz w:val="24"/>
                <w:szCs w:val="24"/>
              </w:rPr>
              <w:t xml:space="preserve"> </w:t>
            </w:r>
            <w:r>
              <w:rPr>
                <w:spacing w:val="-3"/>
                <w:sz w:val="24"/>
                <w:szCs w:val="24"/>
              </w:rPr>
              <w:t>号，见附件</w:t>
            </w:r>
            <w:r>
              <w:rPr>
                <w:spacing w:val="-55"/>
                <w:sz w:val="24"/>
                <w:szCs w:val="24"/>
              </w:rPr>
              <w:t xml:space="preserve"> </w:t>
            </w:r>
            <w:r>
              <w:rPr>
                <w:rFonts w:ascii="Times New Roman" w:hAnsi="Times New Roman" w:eastAsia="Times New Roman" w:cs="Times New Roman"/>
                <w:spacing w:val="-3"/>
                <w:sz w:val="24"/>
                <w:szCs w:val="24"/>
              </w:rPr>
              <w:t>2</w:t>
            </w:r>
            <w:r>
              <w:rPr>
                <w:sz w:val="24"/>
                <w:szCs w:val="24"/>
              </w:rPr>
              <w:t>），</w:t>
            </w:r>
            <w:r>
              <w:rPr>
                <w:spacing w:val="-3"/>
                <w:sz w:val="24"/>
                <w:szCs w:val="24"/>
              </w:rPr>
              <w:t>项目代码：</w:t>
            </w:r>
            <w:r>
              <w:rPr>
                <w:rFonts w:ascii="Times New Roman" w:hAnsi="Times New Roman" w:eastAsia="Times New Roman" w:cs="Times New Roman"/>
                <w:spacing w:val="-3"/>
                <w:sz w:val="24"/>
                <w:szCs w:val="24"/>
              </w:rPr>
              <w:t>2507-530322-04-01-243519</w:t>
            </w:r>
            <w:r>
              <w:rPr>
                <w:rFonts w:ascii="Times New Roman" w:hAnsi="Times New Roman" w:eastAsia="Times New Roman" w:cs="Times New Roman"/>
                <w:spacing w:val="-27"/>
                <w:sz w:val="24"/>
                <w:szCs w:val="24"/>
              </w:rPr>
              <w:t xml:space="preserve"> </w:t>
            </w:r>
            <w:r>
              <w:rPr>
                <w:spacing w:val="-3"/>
                <w:sz w:val="24"/>
                <w:szCs w:val="24"/>
              </w:rPr>
              <w:t>。项目</w:t>
            </w:r>
            <w:r>
              <w:rPr>
                <w:spacing w:val="-1"/>
                <w:sz w:val="24"/>
                <w:szCs w:val="24"/>
              </w:rPr>
              <w:t>符合国家及地方产业政策要求。</w:t>
            </w:r>
          </w:p>
          <w:p w14:paraId="064BC027">
            <w:pPr>
              <w:pStyle w:val="6"/>
              <w:spacing w:line="219" w:lineRule="auto"/>
              <w:ind w:left="491"/>
              <w:rPr>
                <w:sz w:val="24"/>
                <w:szCs w:val="24"/>
              </w:rPr>
            </w:pPr>
            <w:r>
              <w:rPr>
                <w:rFonts w:ascii="Times New Roman" w:hAnsi="Times New Roman" w:eastAsia="Times New Roman" w:cs="Times New Roman"/>
                <w:b/>
                <w:bCs/>
                <w:spacing w:val="-4"/>
                <w:sz w:val="24"/>
                <w:szCs w:val="24"/>
              </w:rPr>
              <w:t>2</w:t>
            </w:r>
            <w:r>
              <w:rPr>
                <w:rFonts w:ascii="Times New Roman" w:hAnsi="Times New Roman" w:eastAsia="Times New Roman" w:cs="Times New Roman"/>
                <w:b/>
                <w:bCs/>
                <w:spacing w:val="-22"/>
                <w:sz w:val="24"/>
                <w:szCs w:val="24"/>
              </w:rPr>
              <w:t xml:space="preserve"> </w:t>
            </w:r>
            <w:r>
              <w:rPr>
                <w:b/>
                <w:bCs/>
                <w:spacing w:val="-4"/>
                <w:sz w:val="24"/>
                <w:szCs w:val="24"/>
              </w:rPr>
              <w:t>、与《云南省主体功能区划》符合性分析</w:t>
            </w:r>
          </w:p>
          <w:p w14:paraId="53C872F0">
            <w:pPr>
              <w:pStyle w:val="6"/>
              <w:spacing w:before="181" w:line="359" w:lineRule="auto"/>
              <w:ind w:left="13" w:right="10" w:firstLine="480"/>
              <w:jc w:val="both"/>
              <w:rPr>
                <w:sz w:val="24"/>
                <w:szCs w:val="24"/>
              </w:rPr>
            </w:pPr>
            <w:r>
              <w:rPr>
                <w:sz w:val="24"/>
                <w:szCs w:val="24"/>
              </w:rPr>
              <w:t>根据《云南省人民政府关于印发云南省主体功能区规划的通知》（云</w:t>
            </w:r>
            <w:r>
              <w:rPr>
                <w:spacing w:val="1"/>
                <w:sz w:val="24"/>
                <w:szCs w:val="24"/>
              </w:rPr>
              <w:t>政发〔</w:t>
            </w:r>
            <w:r>
              <w:rPr>
                <w:rFonts w:ascii="Times New Roman" w:hAnsi="Times New Roman" w:eastAsia="Times New Roman" w:cs="Times New Roman"/>
                <w:spacing w:val="1"/>
                <w:sz w:val="24"/>
                <w:szCs w:val="24"/>
              </w:rPr>
              <w:t>2014</w:t>
            </w:r>
            <w:r>
              <w:rPr>
                <w:spacing w:val="1"/>
                <w:sz w:val="24"/>
                <w:szCs w:val="24"/>
              </w:rPr>
              <w:t>〕</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21"/>
                <w:sz w:val="24"/>
                <w:szCs w:val="24"/>
              </w:rPr>
              <w:t xml:space="preserve"> </w:t>
            </w:r>
            <w:r>
              <w:rPr>
                <w:spacing w:val="1"/>
                <w:sz w:val="24"/>
                <w:szCs w:val="24"/>
              </w:rPr>
              <w:t>号文</w:t>
            </w:r>
            <w:r>
              <w:rPr>
                <w:spacing w:val="7"/>
                <w:sz w:val="24"/>
                <w:szCs w:val="24"/>
              </w:rPr>
              <w:t>），</w:t>
            </w:r>
            <w:r>
              <w:rPr>
                <w:spacing w:val="1"/>
                <w:sz w:val="24"/>
                <w:szCs w:val="24"/>
              </w:rPr>
              <w:t>将云南省国土空间按照开发方式划分为重点开发</w:t>
            </w:r>
            <w:r>
              <w:rPr>
                <w:spacing w:val="-1"/>
                <w:sz w:val="24"/>
                <w:szCs w:val="24"/>
              </w:rPr>
              <w:t>区域、限制开发区域、禁止开发区域</w:t>
            </w:r>
            <w:r>
              <w:rPr>
                <w:spacing w:val="-45"/>
                <w:sz w:val="24"/>
                <w:szCs w:val="24"/>
              </w:rPr>
              <w:t xml:space="preserve"> </w:t>
            </w:r>
            <w:r>
              <w:rPr>
                <w:rFonts w:ascii="Times New Roman" w:hAnsi="Times New Roman" w:eastAsia="Times New Roman" w:cs="Times New Roman"/>
                <w:spacing w:val="-1"/>
                <w:sz w:val="24"/>
                <w:szCs w:val="24"/>
              </w:rPr>
              <w:t xml:space="preserve">3 </w:t>
            </w:r>
            <w:r>
              <w:rPr>
                <w:spacing w:val="-1"/>
                <w:sz w:val="24"/>
                <w:szCs w:val="24"/>
              </w:rPr>
              <w:t>类主体功能区。</w:t>
            </w:r>
          </w:p>
          <w:p w14:paraId="754EB68A">
            <w:pPr>
              <w:pStyle w:val="6"/>
              <w:spacing w:before="3" w:line="359" w:lineRule="auto"/>
              <w:ind w:left="13" w:right="10" w:firstLine="480"/>
              <w:jc w:val="both"/>
              <w:rPr>
                <w:sz w:val="24"/>
                <w:szCs w:val="24"/>
              </w:rPr>
            </w:pPr>
            <w:r>
              <w:rPr>
                <w:sz w:val="24"/>
                <w:szCs w:val="24"/>
              </w:rPr>
              <w:t>拟建项目位于陆良县，根据《云南省主体功能区规划》，陆良县大部分被划定为国家农产品主产区，少部分被划定为禁止开发区。国家农产品主产区功能定位是保障粮食产量和主要农产品供给安全的基地，是全省农业产业化的重要地区，是现代农业的示范基地，农村居民安居乐业的美好家园，社会主义新农村建设的示范区。农产品主产区要以大力发展高原特色农业为重点，切实保护耕地，稳定粮食生产，发展现代农业，增强农业综合生产能力，增加农民收入，加快建设社会主义新农村，有效增强农产</w:t>
            </w:r>
            <w:r>
              <w:rPr>
                <w:spacing w:val="-1"/>
                <w:sz w:val="24"/>
                <w:szCs w:val="24"/>
              </w:rPr>
              <w:t>品供给保障能力，确保国家粮食安全和食品安全。</w:t>
            </w:r>
          </w:p>
          <w:p w14:paraId="7BC3A330">
            <w:pPr>
              <w:pStyle w:val="6"/>
              <w:spacing w:line="350" w:lineRule="auto"/>
              <w:ind w:left="17" w:firstLine="476"/>
              <w:rPr>
                <w:sz w:val="24"/>
                <w:szCs w:val="24"/>
              </w:rPr>
            </w:pPr>
            <w:r>
              <w:rPr>
                <w:spacing w:val="-2"/>
                <w:sz w:val="24"/>
                <w:szCs w:val="24"/>
              </w:rPr>
              <w:t>项目位于国家农产品主产区，不涉及禁止开发区。根据调查，本</w:t>
            </w:r>
            <w:r>
              <w:rPr>
                <w:spacing w:val="-3"/>
                <w:sz w:val="24"/>
                <w:szCs w:val="24"/>
              </w:rPr>
              <w:t>项目</w:t>
            </w:r>
            <w:r>
              <w:rPr>
                <w:spacing w:val="-7"/>
                <w:sz w:val="24"/>
                <w:szCs w:val="24"/>
              </w:rPr>
              <w:t>线路部分塔基涉及占用耕地及基本农田，变电站占地类型主要为其他园地。</w:t>
            </w:r>
          </w:p>
        </w:tc>
      </w:tr>
    </w:tbl>
    <w:p w14:paraId="6B31E84B">
      <w:pPr>
        <w:rPr>
          <w:rFonts w:ascii="Arial"/>
          <w:sz w:val="21"/>
        </w:rPr>
      </w:pPr>
    </w:p>
    <w:p w14:paraId="4A1A0534">
      <w:pPr>
        <w:rPr>
          <w:rFonts w:ascii="Arial" w:hAnsi="Arial" w:eastAsia="Arial" w:cs="Arial"/>
          <w:sz w:val="21"/>
          <w:szCs w:val="21"/>
        </w:rPr>
        <w:sectPr>
          <w:footerReference r:id="rId13" w:type="default"/>
          <w:pgSz w:w="11907" w:h="16840"/>
          <w:pgMar w:top="400" w:right="1786" w:bottom="1240" w:left="1774" w:header="0" w:footer="1077" w:gutter="0"/>
          <w:cols w:space="720" w:num="1"/>
        </w:sectPr>
      </w:pPr>
    </w:p>
    <w:p w14:paraId="17DFD2EF">
      <w:pPr>
        <w:spacing w:before="19"/>
      </w:pPr>
    </w:p>
    <w:p w14:paraId="3A1E0363">
      <w:pPr>
        <w:spacing w:before="19"/>
      </w:pPr>
    </w:p>
    <w:p w14:paraId="5E73613C">
      <w:pPr>
        <w:spacing w:before="18"/>
      </w:pPr>
    </w:p>
    <w:p w14:paraId="52EAE4C7">
      <w:pPr>
        <w:spacing w:before="18"/>
      </w:pPr>
    </w:p>
    <w:tbl>
      <w:tblPr>
        <w:tblStyle w:val="5"/>
        <w:tblW w:w="81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11"/>
        <w:gridCol w:w="7723"/>
      </w:tblGrid>
      <w:tr w14:paraId="50965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768" w:hRule="atLeast"/>
        </w:trPr>
        <w:tc>
          <w:tcPr>
            <w:tcW w:w="411" w:type="dxa"/>
            <w:tcBorders>
              <w:right w:val="single" w:color="000000" w:sz="2" w:space="0"/>
            </w:tcBorders>
            <w:vAlign w:val="top"/>
          </w:tcPr>
          <w:p w14:paraId="3F58CDCF">
            <w:pPr>
              <w:rPr>
                <w:rFonts w:ascii="Arial"/>
                <w:sz w:val="21"/>
              </w:rPr>
            </w:pPr>
          </w:p>
        </w:tc>
        <w:tc>
          <w:tcPr>
            <w:tcW w:w="7723" w:type="dxa"/>
            <w:tcBorders>
              <w:left w:val="single" w:color="000000" w:sz="2" w:space="0"/>
            </w:tcBorders>
            <w:vAlign w:val="top"/>
          </w:tcPr>
          <w:p w14:paraId="0DE70983">
            <w:pPr>
              <w:pStyle w:val="6"/>
              <w:spacing w:before="57" w:line="359" w:lineRule="auto"/>
              <w:ind w:left="18" w:right="10"/>
              <w:jc w:val="both"/>
              <w:rPr>
                <w:sz w:val="24"/>
                <w:szCs w:val="24"/>
              </w:rPr>
            </w:pPr>
            <w:r>
              <w:rPr>
                <w:sz w:val="24"/>
                <w:szCs w:val="24"/>
              </w:rPr>
              <w:t>项目施工期短，不会长期占用耕地，除线路铁塔四个支撑脚外，其余临时占用的耕地施工结束后进行复耕，恢复其原有功能，不影响农产品主产区</w:t>
            </w:r>
            <w:r>
              <w:rPr>
                <w:spacing w:val="-1"/>
                <w:sz w:val="24"/>
                <w:szCs w:val="24"/>
              </w:rPr>
              <w:t>功能定位。因此项目与《云南省主体功能区规划》的要求不冲突。</w:t>
            </w:r>
          </w:p>
          <w:p w14:paraId="05E3E8BF">
            <w:pPr>
              <w:pStyle w:val="6"/>
              <w:spacing w:line="219" w:lineRule="auto"/>
              <w:ind w:left="489"/>
              <w:rPr>
                <w:sz w:val="24"/>
                <w:szCs w:val="24"/>
              </w:rPr>
            </w:pPr>
            <w:r>
              <w:rPr>
                <w:rFonts w:ascii="Times New Roman" w:hAnsi="Times New Roman" w:eastAsia="Times New Roman" w:cs="Times New Roman"/>
                <w:b/>
                <w:bCs/>
                <w:spacing w:val="-4"/>
                <w:sz w:val="24"/>
                <w:szCs w:val="24"/>
              </w:rPr>
              <w:t>3</w:t>
            </w:r>
            <w:r>
              <w:rPr>
                <w:rFonts w:ascii="Times New Roman" w:hAnsi="Times New Roman" w:eastAsia="Times New Roman" w:cs="Times New Roman"/>
                <w:b/>
                <w:bCs/>
                <w:spacing w:val="-20"/>
                <w:sz w:val="24"/>
                <w:szCs w:val="24"/>
              </w:rPr>
              <w:t xml:space="preserve"> </w:t>
            </w:r>
            <w:r>
              <w:rPr>
                <w:b/>
                <w:bCs/>
                <w:spacing w:val="-4"/>
                <w:sz w:val="24"/>
                <w:szCs w:val="24"/>
              </w:rPr>
              <w:t>、与《云南省生态功能区划》符合性分析</w:t>
            </w:r>
          </w:p>
          <w:p w14:paraId="75ED3ACA">
            <w:pPr>
              <w:pStyle w:val="6"/>
              <w:spacing w:before="177" w:line="359" w:lineRule="auto"/>
              <w:ind w:left="12" w:firstLine="477"/>
              <w:jc w:val="both"/>
              <w:rPr>
                <w:sz w:val="24"/>
                <w:szCs w:val="24"/>
              </w:rPr>
            </w:pPr>
            <w:r>
              <w:rPr>
                <w:spacing w:val="-2"/>
                <w:sz w:val="24"/>
                <w:szCs w:val="24"/>
              </w:rPr>
              <w:t>根据云南省的生态环境敏感性、生态系统服务功能分异规律及存在的</w:t>
            </w:r>
            <w:r>
              <w:rPr>
                <w:spacing w:val="-14"/>
                <w:sz w:val="24"/>
                <w:szCs w:val="24"/>
              </w:rPr>
              <w:t>主要生态问题，</w:t>
            </w:r>
            <w:r>
              <w:rPr>
                <w:rFonts w:ascii="Times New Roman" w:hAnsi="Times New Roman" w:eastAsia="Times New Roman" w:cs="Times New Roman"/>
                <w:spacing w:val="-14"/>
                <w:sz w:val="24"/>
                <w:szCs w:val="24"/>
              </w:rPr>
              <w:t xml:space="preserve">2009 </w:t>
            </w:r>
            <w:r>
              <w:rPr>
                <w:spacing w:val="-14"/>
                <w:sz w:val="24"/>
                <w:szCs w:val="24"/>
              </w:rPr>
              <w:t>年</w:t>
            </w:r>
            <w:r>
              <w:rPr>
                <w:spacing w:val="-49"/>
                <w:sz w:val="24"/>
                <w:szCs w:val="24"/>
              </w:rPr>
              <w:t xml:space="preserve"> </w:t>
            </w:r>
            <w:r>
              <w:rPr>
                <w:rFonts w:ascii="Times New Roman" w:hAnsi="Times New Roman" w:eastAsia="Times New Roman" w:cs="Times New Roman"/>
                <w:spacing w:val="-14"/>
                <w:sz w:val="24"/>
                <w:szCs w:val="24"/>
              </w:rPr>
              <w:t xml:space="preserve">9 </w:t>
            </w:r>
            <w:r>
              <w:rPr>
                <w:spacing w:val="-14"/>
                <w:sz w:val="24"/>
                <w:szCs w:val="24"/>
              </w:rPr>
              <w:t>月云南省人民政府批复的《云南省生态功能区划》，</w:t>
            </w:r>
            <w:r>
              <w:rPr>
                <w:spacing w:val="-4"/>
                <w:sz w:val="24"/>
                <w:szCs w:val="24"/>
              </w:rPr>
              <w:t>将云南生态功能分为</w:t>
            </w:r>
            <w:r>
              <w:rPr>
                <w:spacing w:val="-41"/>
                <w:sz w:val="24"/>
                <w:szCs w:val="24"/>
              </w:rPr>
              <w:t xml:space="preserve"> </w:t>
            </w:r>
            <w:r>
              <w:rPr>
                <w:rFonts w:ascii="Times New Roman" w:hAnsi="Times New Roman" w:eastAsia="Times New Roman" w:cs="Times New Roman"/>
                <w:spacing w:val="-4"/>
                <w:sz w:val="24"/>
                <w:szCs w:val="24"/>
              </w:rPr>
              <w:t xml:space="preserve">5 </w:t>
            </w:r>
            <w:r>
              <w:rPr>
                <w:spacing w:val="-4"/>
                <w:sz w:val="24"/>
                <w:szCs w:val="24"/>
              </w:rPr>
              <w:t>个一级区（生态区）、</w:t>
            </w:r>
            <w:r>
              <w:rPr>
                <w:rFonts w:ascii="Times New Roman" w:hAnsi="Times New Roman" w:eastAsia="Times New Roman" w:cs="Times New Roman"/>
                <w:spacing w:val="-4"/>
                <w:sz w:val="24"/>
                <w:szCs w:val="24"/>
              </w:rPr>
              <w:t xml:space="preserve">19 </w:t>
            </w:r>
            <w:r>
              <w:rPr>
                <w:spacing w:val="-4"/>
                <w:sz w:val="24"/>
                <w:szCs w:val="24"/>
              </w:rPr>
              <w:t>个二级区（生态亚区）和</w:t>
            </w:r>
            <w:r>
              <w:rPr>
                <w:rFonts w:ascii="Times New Roman" w:hAnsi="Times New Roman" w:eastAsia="Times New Roman" w:cs="Times New Roman"/>
                <w:spacing w:val="-7"/>
                <w:sz w:val="24"/>
                <w:szCs w:val="24"/>
              </w:rPr>
              <w:t xml:space="preserve">65 </w:t>
            </w:r>
            <w:r>
              <w:rPr>
                <w:spacing w:val="-7"/>
                <w:sz w:val="24"/>
                <w:szCs w:val="24"/>
              </w:rPr>
              <w:t>个三级区（生态功能区）。经叠图分析，项目区位于</w:t>
            </w:r>
            <w:r>
              <w:rPr>
                <w:spacing w:val="-55"/>
                <w:sz w:val="24"/>
                <w:szCs w:val="24"/>
              </w:rPr>
              <w:t xml:space="preserve"> </w:t>
            </w:r>
            <w:r>
              <w:rPr>
                <w:rFonts w:ascii="Times New Roman" w:hAnsi="Times New Roman" w:eastAsia="Times New Roman" w:cs="Times New Roman"/>
                <w:spacing w:val="-7"/>
                <w:sz w:val="24"/>
                <w:szCs w:val="24"/>
              </w:rPr>
              <w:t>III1-</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7"/>
                <w:sz w:val="24"/>
                <w:szCs w:val="24"/>
              </w:rPr>
              <w:t>11</w:t>
            </w:r>
            <w:r>
              <w:rPr>
                <w:rFonts w:ascii="Times New Roman" w:hAnsi="Times New Roman" w:eastAsia="Times New Roman" w:cs="Times New Roman"/>
                <w:spacing w:val="31"/>
                <w:w w:val="101"/>
                <w:sz w:val="24"/>
                <w:szCs w:val="24"/>
              </w:rPr>
              <w:t xml:space="preserve"> </w:t>
            </w:r>
            <w:r>
              <w:rPr>
                <w:spacing w:val="-7"/>
                <w:sz w:val="24"/>
                <w:szCs w:val="24"/>
              </w:rPr>
              <w:t>曲靖、陆良山原盆地城镇与农业生态功能区，项目在云南省生态功能区划情况见下表。</w:t>
            </w:r>
          </w:p>
          <w:p w14:paraId="5773B827">
            <w:pPr>
              <w:pStyle w:val="6"/>
              <w:spacing w:line="222" w:lineRule="auto"/>
              <w:ind w:left="2035"/>
            </w:pPr>
            <w:r>
              <w:rPr>
                <w:b/>
                <w:bCs/>
                <w:spacing w:val="5"/>
              </w:rPr>
              <w:t>表</w:t>
            </w:r>
            <w:r>
              <w:rPr>
                <w:rFonts w:ascii="Times New Roman" w:hAnsi="Times New Roman" w:eastAsia="Times New Roman" w:cs="Times New Roman"/>
                <w:b/>
                <w:bCs/>
                <w:spacing w:val="5"/>
              </w:rPr>
              <w:t xml:space="preserve">1-2        </w:t>
            </w:r>
            <w:r>
              <w:rPr>
                <w:b/>
                <w:bCs/>
                <w:spacing w:val="5"/>
              </w:rPr>
              <w:t>项目所在地生态功能区划简表</w:t>
            </w:r>
          </w:p>
          <w:tbl>
            <w:tblPr>
              <w:tblStyle w:val="5"/>
              <w:tblW w:w="7612" w:type="dxa"/>
              <w:tblInd w:w="4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2"/>
              <w:gridCol w:w="859"/>
              <w:gridCol w:w="846"/>
              <w:gridCol w:w="1477"/>
              <w:gridCol w:w="795"/>
              <w:gridCol w:w="729"/>
              <w:gridCol w:w="911"/>
              <w:gridCol w:w="1333"/>
            </w:tblGrid>
            <w:tr w14:paraId="511E4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2367" w:type="dxa"/>
                  <w:gridSpan w:val="3"/>
                  <w:vAlign w:val="top"/>
                </w:tcPr>
                <w:p w14:paraId="488E3DEB">
                  <w:pPr>
                    <w:spacing w:line="377" w:lineRule="auto"/>
                    <w:rPr>
                      <w:rFonts w:ascii="Arial"/>
                      <w:sz w:val="21"/>
                    </w:rPr>
                  </w:pPr>
                </w:p>
                <w:p w14:paraId="727D07E8">
                  <w:pPr>
                    <w:pStyle w:val="6"/>
                    <w:spacing w:before="65" w:line="228" w:lineRule="auto"/>
                    <w:ind w:left="348"/>
                  </w:pPr>
                  <w:r>
                    <w:rPr>
                      <w:b/>
                      <w:bCs/>
                      <w:spacing w:val="7"/>
                    </w:rPr>
                    <w:t>生态功能分区单元</w:t>
                  </w:r>
                </w:p>
              </w:tc>
              <w:tc>
                <w:tcPr>
                  <w:tcW w:w="1477" w:type="dxa"/>
                  <w:vAlign w:val="top"/>
                </w:tcPr>
                <w:p w14:paraId="0CB1FA9A">
                  <w:pPr>
                    <w:rPr>
                      <w:rFonts w:ascii="Arial"/>
                      <w:sz w:val="21"/>
                    </w:rPr>
                  </w:pPr>
                </w:p>
                <w:p w14:paraId="15E61406">
                  <w:pPr>
                    <w:pStyle w:val="6"/>
                    <w:spacing w:before="66" w:line="252" w:lineRule="auto"/>
                    <w:ind w:left="640" w:right="209" w:hanging="420"/>
                  </w:pPr>
                  <w:r>
                    <w:rPr>
                      <w:b/>
                      <w:bCs/>
                      <w:spacing w:val="6"/>
                    </w:rPr>
                    <w:t>主要生态特</w:t>
                  </w:r>
                  <w:r>
                    <w:rPr>
                      <w:b/>
                      <w:bCs/>
                      <w:spacing w:val="-3"/>
                    </w:rPr>
                    <w:t>征</w:t>
                  </w:r>
                </w:p>
              </w:tc>
              <w:tc>
                <w:tcPr>
                  <w:tcW w:w="795" w:type="dxa"/>
                  <w:vAlign w:val="top"/>
                </w:tcPr>
                <w:p w14:paraId="25BE40B5">
                  <w:pPr>
                    <w:pStyle w:val="6"/>
                    <w:spacing w:before="36" w:line="231" w:lineRule="auto"/>
                    <w:ind w:left="195"/>
                  </w:pPr>
                  <w:r>
                    <w:rPr>
                      <w:b/>
                      <w:bCs/>
                      <w:spacing w:val="3"/>
                    </w:rPr>
                    <w:t>主要</w:t>
                  </w:r>
                </w:p>
                <w:p w14:paraId="5C46E6EF">
                  <w:pPr>
                    <w:pStyle w:val="6"/>
                    <w:spacing w:before="21" w:line="233" w:lineRule="auto"/>
                    <w:ind w:left="195"/>
                  </w:pPr>
                  <w:r>
                    <w:rPr>
                      <w:b/>
                      <w:bCs/>
                      <w:spacing w:val="3"/>
                    </w:rPr>
                    <w:t>生态</w:t>
                  </w:r>
                </w:p>
                <w:p w14:paraId="41B96D5E">
                  <w:pPr>
                    <w:pStyle w:val="6"/>
                    <w:spacing w:before="19" w:line="228" w:lineRule="auto"/>
                    <w:ind w:left="193"/>
                  </w:pPr>
                  <w:r>
                    <w:rPr>
                      <w:b/>
                      <w:bCs/>
                      <w:spacing w:val="3"/>
                    </w:rPr>
                    <w:t>环境</w:t>
                  </w:r>
                </w:p>
                <w:p w14:paraId="54EBCCAE">
                  <w:pPr>
                    <w:pStyle w:val="6"/>
                    <w:spacing w:before="26" w:line="217" w:lineRule="auto"/>
                    <w:ind w:left="217"/>
                  </w:pPr>
                  <w:r>
                    <w:rPr>
                      <w:b/>
                      <w:bCs/>
                      <w:spacing w:val="-8"/>
                    </w:rPr>
                    <w:t>问题</w:t>
                  </w:r>
                </w:p>
              </w:tc>
              <w:tc>
                <w:tcPr>
                  <w:tcW w:w="729" w:type="dxa"/>
                  <w:vAlign w:val="top"/>
                </w:tcPr>
                <w:p w14:paraId="6BC7C265">
                  <w:pPr>
                    <w:pStyle w:val="6"/>
                    <w:spacing w:before="36" w:line="233" w:lineRule="auto"/>
                    <w:ind w:left="161"/>
                  </w:pPr>
                  <w:r>
                    <w:rPr>
                      <w:b/>
                      <w:bCs/>
                      <w:spacing w:val="3"/>
                    </w:rPr>
                    <w:t>生态</w:t>
                  </w:r>
                </w:p>
                <w:p w14:paraId="509485C5">
                  <w:pPr>
                    <w:pStyle w:val="6"/>
                    <w:spacing w:before="19" w:line="228" w:lineRule="auto"/>
                    <w:ind w:left="159"/>
                  </w:pPr>
                  <w:r>
                    <w:rPr>
                      <w:b/>
                      <w:bCs/>
                      <w:spacing w:val="3"/>
                    </w:rPr>
                    <w:t>环境</w:t>
                  </w:r>
                </w:p>
                <w:p w14:paraId="1C421DDE">
                  <w:pPr>
                    <w:pStyle w:val="6"/>
                    <w:spacing w:before="23" w:line="235" w:lineRule="auto"/>
                    <w:ind w:left="267" w:right="152" w:hanging="107"/>
                  </w:pPr>
                  <w:r>
                    <w:rPr>
                      <w:b/>
                      <w:bCs/>
                      <w:spacing w:val="3"/>
                    </w:rPr>
                    <w:t>敏感</w:t>
                  </w:r>
                  <w:r>
                    <w:rPr>
                      <w:b/>
                      <w:bCs/>
                      <w:spacing w:val="-3"/>
                    </w:rPr>
                    <w:t>性</w:t>
                  </w:r>
                </w:p>
              </w:tc>
              <w:tc>
                <w:tcPr>
                  <w:tcW w:w="911" w:type="dxa"/>
                  <w:vAlign w:val="top"/>
                </w:tcPr>
                <w:p w14:paraId="014BFA87">
                  <w:pPr>
                    <w:pStyle w:val="6"/>
                    <w:spacing w:before="36" w:line="231" w:lineRule="auto"/>
                    <w:ind w:left="147"/>
                  </w:pPr>
                  <w:r>
                    <w:rPr>
                      <w:b/>
                      <w:bCs/>
                      <w:spacing w:val="5"/>
                    </w:rPr>
                    <w:t>主要生</w:t>
                  </w:r>
                </w:p>
                <w:p w14:paraId="00AB3F66">
                  <w:pPr>
                    <w:pStyle w:val="6"/>
                    <w:spacing w:before="21" w:line="229" w:lineRule="auto"/>
                    <w:ind w:left="145"/>
                  </w:pPr>
                  <w:r>
                    <w:rPr>
                      <w:b/>
                      <w:bCs/>
                      <w:spacing w:val="5"/>
                    </w:rPr>
                    <w:t>态系统</w:t>
                  </w:r>
                </w:p>
                <w:p w14:paraId="3F584BB1">
                  <w:pPr>
                    <w:pStyle w:val="6"/>
                    <w:spacing w:before="22" w:line="235" w:lineRule="auto"/>
                    <w:ind w:left="364" w:right="136" w:hanging="219"/>
                  </w:pPr>
                  <w:r>
                    <w:rPr>
                      <w:b/>
                      <w:bCs/>
                      <w:spacing w:val="5"/>
                    </w:rPr>
                    <w:t>服务功</w:t>
                  </w:r>
                  <w:r>
                    <w:rPr>
                      <w:b/>
                      <w:bCs/>
                      <w:spacing w:val="-3"/>
                    </w:rPr>
                    <w:t>能</w:t>
                  </w:r>
                </w:p>
              </w:tc>
              <w:tc>
                <w:tcPr>
                  <w:tcW w:w="1333" w:type="dxa"/>
                  <w:vAlign w:val="top"/>
                </w:tcPr>
                <w:p w14:paraId="397F794B">
                  <w:pPr>
                    <w:spacing w:line="241" w:lineRule="auto"/>
                    <w:rPr>
                      <w:rFonts w:ascii="Arial"/>
                      <w:sz w:val="21"/>
                    </w:rPr>
                  </w:pPr>
                </w:p>
                <w:p w14:paraId="7922AFA1">
                  <w:pPr>
                    <w:pStyle w:val="6"/>
                    <w:spacing w:before="65" w:line="252" w:lineRule="auto"/>
                    <w:ind w:left="253" w:right="140" w:hanging="108"/>
                  </w:pPr>
                  <w:r>
                    <w:rPr>
                      <w:b/>
                      <w:bCs/>
                      <w:spacing w:val="6"/>
                    </w:rPr>
                    <w:t>保护措施与</w:t>
                  </w:r>
                  <w:r>
                    <w:rPr>
                      <w:b/>
                      <w:bCs/>
                      <w:spacing w:val="5"/>
                    </w:rPr>
                    <w:t>发展方向</w:t>
                  </w:r>
                </w:p>
              </w:tc>
            </w:tr>
            <w:tr w14:paraId="1431D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1" w:hRule="atLeast"/>
              </w:trPr>
              <w:tc>
                <w:tcPr>
                  <w:tcW w:w="662" w:type="dxa"/>
                  <w:vAlign w:val="top"/>
                </w:tcPr>
                <w:p w14:paraId="1B85E7D4">
                  <w:pPr>
                    <w:spacing w:line="373" w:lineRule="auto"/>
                    <w:rPr>
                      <w:rFonts w:ascii="Arial"/>
                      <w:sz w:val="21"/>
                    </w:rPr>
                  </w:pPr>
                </w:p>
                <w:p w14:paraId="597ABCB7">
                  <w:pPr>
                    <w:pStyle w:val="6"/>
                    <w:spacing w:before="65" w:line="228" w:lineRule="auto"/>
                    <w:ind w:left="127"/>
                  </w:pPr>
                  <w:r>
                    <w:rPr>
                      <w:rFonts w:ascii="Times New Roman" w:hAnsi="Times New Roman" w:eastAsia="Times New Roman" w:cs="Times New Roman"/>
                      <w:spacing w:val="6"/>
                    </w:rPr>
                    <w:t>Ⅲ</w:t>
                  </w:r>
                  <w:r>
                    <w:rPr>
                      <w:spacing w:val="6"/>
                    </w:rPr>
                    <w:t>高</w:t>
                  </w:r>
                </w:p>
                <w:p w14:paraId="76B6A39B">
                  <w:pPr>
                    <w:pStyle w:val="6"/>
                    <w:spacing w:before="24" w:line="232" w:lineRule="auto"/>
                    <w:ind w:left="130"/>
                  </w:pPr>
                  <w:r>
                    <w:rPr>
                      <w:spacing w:val="2"/>
                    </w:rPr>
                    <w:t>原亚</w:t>
                  </w:r>
                </w:p>
                <w:p w14:paraId="06666298">
                  <w:pPr>
                    <w:pStyle w:val="6"/>
                    <w:spacing w:before="19" w:line="228" w:lineRule="auto"/>
                    <w:ind w:left="130"/>
                  </w:pPr>
                  <w:r>
                    <w:rPr>
                      <w:spacing w:val="2"/>
                    </w:rPr>
                    <w:t>热带</w:t>
                  </w:r>
                </w:p>
                <w:p w14:paraId="24435CA7">
                  <w:pPr>
                    <w:pStyle w:val="6"/>
                    <w:spacing w:before="26" w:line="228" w:lineRule="auto"/>
                    <w:ind w:left="129"/>
                  </w:pPr>
                  <w:r>
                    <w:rPr>
                      <w:spacing w:val="3"/>
                    </w:rPr>
                    <w:t>北部</w:t>
                  </w:r>
                </w:p>
                <w:p w14:paraId="2649E97F">
                  <w:pPr>
                    <w:pStyle w:val="6"/>
                    <w:spacing w:before="25" w:line="228" w:lineRule="auto"/>
                    <w:ind w:left="130"/>
                  </w:pPr>
                  <w:r>
                    <w:rPr>
                      <w:spacing w:val="2"/>
                    </w:rPr>
                    <w:t>常绿</w:t>
                  </w:r>
                </w:p>
                <w:p w14:paraId="669FFDEA">
                  <w:pPr>
                    <w:pStyle w:val="6"/>
                    <w:spacing w:before="25" w:line="228" w:lineRule="auto"/>
                    <w:ind w:left="142"/>
                  </w:pPr>
                  <w:r>
                    <w:rPr>
                      <w:spacing w:val="-4"/>
                    </w:rPr>
                    <w:t>阔叶</w:t>
                  </w:r>
                </w:p>
                <w:p w14:paraId="4CE36EB1">
                  <w:pPr>
                    <w:pStyle w:val="6"/>
                    <w:spacing w:before="27" w:line="228" w:lineRule="auto"/>
                    <w:ind w:left="126"/>
                  </w:pPr>
                  <w:r>
                    <w:rPr>
                      <w:spacing w:val="4"/>
                    </w:rPr>
                    <w:t>林生</w:t>
                  </w:r>
                </w:p>
                <w:p w14:paraId="153F6802">
                  <w:pPr>
                    <w:pStyle w:val="6"/>
                    <w:spacing w:before="24" w:line="233" w:lineRule="auto"/>
                    <w:ind w:left="125"/>
                  </w:pPr>
                  <w:r>
                    <w:rPr>
                      <w:spacing w:val="4"/>
                    </w:rPr>
                    <w:t>态区</w:t>
                  </w:r>
                </w:p>
              </w:tc>
              <w:tc>
                <w:tcPr>
                  <w:tcW w:w="859" w:type="dxa"/>
                  <w:vAlign w:val="top"/>
                </w:tcPr>
                <w:p w14:paraId="51A7B12A">
                  <w:pPr>
                    <w:pStyle w:val="6"/>
                    <w:spacing w:before="303" w:line="228" w:lineRule="auto"/>
                    <w:ind w:left="145"/>
                  </w:pPr>
                  <w:r>
                    <w:rPr>
                      <w:rFonts w:ascii="Times New Roman" w:hAnsi="Times New Roman" w:eastAsia="Times New Roman" w:cs="Times New Roman"/>
                      <w:spacing w:val="3"/>
                    </w:rPr>
                    <w:t>Ⅲ1</w:t>
                  </w:r>
                  <w:r>
                    <w:rPr>
                      <w:rFonts w:ascii="Times New Roman" w:hAnsi="Times New Roman" w:eastAsia="Times New Roman" w:cs="Times New Roman"/>
                      <w:spacing w:val="12"/>
                    </w:rPr>
                    <w:t xml:space="preserve"> </w:t>
                  </w:r>
                  <w:r>
                    <w:rPr>
                      <w:spacing w:val="3"/>
                    </w:rPr>
                    <w:t>滇</w:t>
                  </w:r>
                </w:p>
                <w:p w14:paraId="10431A84">
                  <w:pPr>
                    <w:pStyle w:val="6"/>
                    <w:spacing w:before="24" w:line="228" w:lineRule="auto"/>
                    <w:ind w:left="138"/>
                  </w:pPr>
                  <w:r>
                    <w:t>中高原</w:t>
                  </w:r>
                </w:p>
                <w:p w14:paraId="0DDBD6C7">
                  <w:pPr>
                    <w:pStyle w:val="6"/>
                    <w:spacing w:before="24" w:line="228" w:lineRule="auto"/>
                    <w:ind w:left="120"/>
                  </w:pPr>
                  <w:r>
                    <w:rPr>
                      <w:spacing w:val="6"/>
                    </w:rPr>
                    <w:t>谷盆半</w:t>
                  </w:r>
                </w:p>
                <w:p w14:paraId="67779F2B">
                  <w:pPr>
                    <w:pStyle w:val="6"/>
                    <w:spacing w:before="26" w:line="228" w:lineRule="auto"/>
                    <w:ind w:left="119"/>
                  </w:pPr>
                  <w:r>
                    <w:rPr>
                      <w:spacing w:val="6"/>
                    </w:rPr>
                    <w:t>湿润常</w:t>
                  </w:r>
                </w:p>
                <w:p w14:paraId="1A95739E">
                  <w:pPr>
                    <w:pStyle w:val="6"/>
                    <w:spacing w:before="24" w:line="228" w:lineRule="auto"/>
                    <w:ind w:left="120"/>
                  </w:pPr>
                  <w:r>
                    <w:rPr>
                      <w:spacing w:val="6"/>
                    </w:rPr>
                    <w:t>绿阔叶</w:t>
                  </w:r>
                </w:p>
                <w:p w14:paraId="7EC447ED">
                  <w:pPr>
                    <w:pStyle w:val="6"/>
                    <w:spacing w:before="26" w:line="228" w:lineRule="auto"/>
                    <w:ind w:left="119"/>
                  </w:pPr>
                  <w:r>
                    <w:rPr>
                      <w:spacing w:val="9"/>
                    </w:rPr>
                    <w:t>林、暖</w:t>
                  </w:r>
                </w:p>
                <w:p w14:paraId="7351B784">
                  <w:pPr>
                    <w:pStyle w:val="6"/>
                    <w:spacing w:before="24" w:line="228" w:lineRule="auto"/>
                    <w:ind w:left="121"/>
                  </w:pPr>
                  <w:r>
                    <w:rPr>
                      <w:spacing w:val="6"/>
                    </w:rPr>
                    <w:t>性针叶</w:t>
                  </w:r>
                </w:p>
                <w:p w14:paraId="76A46629">
                  <w:pPr>
                    <w:pStyle w:val="6"/>
                    <w:spacing w:before="28" w:line="254" w:lineRule="auto"/>
                    <w:ind w:left="225" w:right="114" w:hanging="106"/>
                  </w:pPr>
                  <w:r>
                    <w:rPr>
                      <w:spacing w:val="6"/>
                    </w:rPr>
                    <w:t>林生态</w:t>
                  </w:r>
                  <w:r>
                    <w:rPr>
                      <w:spacing w:val="3"/>
                    </w:rPr>
                    <w:t>亚区</w:t>
                  </w:r>
                </w:p>
              </w:tc>
              <w:tc>
                <w:tcPr>
                  <w:tcW w:w="846" w:type="dxa"/>
                  <w:vAlign w:val="top"/>
                </w:tcPr>
                <w:p w14:paraId="305483F3">
                  <w:pPr>
                    <w:spacing w:line="416" w:lineRule="auto"/>
                    <w:rPr>
                      <w:rFonts w:ascii="Arial"/>
                      <w:sz w:val="21"/>
                    </w:rPr>
                  </w:pPr>
                </w:p>
                <w:p w14:paraId="17231C8D">
                  <w:pPr>
                    <w:pStyle w:val="6"/>
                    <w:spacing w:before="58" w:line="241" w:lineRule="auto"/>
                    <w:ind w:left="136" w:right="142" w:hanging="27"/>
                  </w:pPr>
                  <w:r>
                    <w:rPr>
                      <w:rFonts w:ascii="Times New Roman" w:hAnsi="Times New Roman" w:eastAsia="Times New Roman" w:cs="Times New Roman"/>
                      <w:spacing w:val="-2"/>
                    </w:rPr>
                    <w:t>Ⅲ1-</w:t>
                  </w:r>
                  <w:r>
                    <w:rPr>
                      <w:rFonts w:ascii="Times New Roman" w:hAnsi="Times New Roman" w:eastAsia="Times New Roman" w:cs="Times New Roman"/>
                      <w:spacing w:val="-28"/>
                    </w:rPr>
                    <w:t xml:space="preserve"> </w:t>
                  </w:r>
                  <w:r>
                    <w:rPr>
                      <w:rFonts w:ascii="Times New Roman" w:hAnsi="Times New Roman" w:eastAsia="Times New Roman" w:cs="Times New Roman"/>
                      <w:spacing w:val="-2"/>
                    </w:rPr>
                    <w:t>11</w:t>
                  </w:r>
                  <w:r>
                    <w:rPr>
                      <w:spacing w:val="-13"/>
                    </w:rPr>
                    <w:t>曲靖、</w:t>
                  </w:r>
                </w:p>
                <w:p w14:paraId="2821C05F">
                  <w:pPr>
                    <w:pStyle w:val="6"/>
                    <w:spacing w:line="230" w:lineRule="auto"/>
                    <w:ind w:left="122"/>
                  </w:pPr>
                  <w:r>
                    <w:rPr>
                      <w:spacing w:val="3"/>
                    </w:rPr>
                    <w:t>陆良山</w:t>
                  </w:r>
                </w:p>
                <w:p w14:paraId="11316EA2">
                  <w:pPr>
                    <w:pStyle w:val="6"/>
                    <w:spacing w:before="21" w:line="232" w:lineRule="auto"/>
                    <w:ind w:left="117"/>
                  </w:pPr>
                  <w:r>
                    <w:rPr>
                      <w:spacing w:val="5"/>
                    </w:rPr>
                    <w:t>原盆地</w:t>
                  </w:r>
                </w:p>
                <w:p w14:paraId="234124E4">
                  <w:pPr>
                    <w:pStyle w:val="6"/>
                    <w:spacing w:before="21" w:line="228" w:lineRule="auto"/>
                    <w:ind w:left="112"/>
                  </w:pPr>
                  <w:r>
                    <w:rPr>
                      <w:spacing w:val="6"/>
                    </w:rPr>
                    <w:t>城镇与</w:t>
                  </w:r>
                </w:p>
                <w:p w14:paraId="576A12EA">
                  <w:pPr>
                    <w:pStyle w:val="6"/>
                    <w:spacing w:before="24" w:line="230" w:lineRule="auto"/>
                    <w:ind w:left="112"/>
                  </w:pPr>
                  <w:r>
                    <w:rPr>
                      <w:spacing w:val="6"/>
                    </w:rPr>
                    <w:t>农业生</w:t>
                  </w:r>
                </w:p>
                <w:p w14:paraId="3D2A7DC7">
                  <w:pPr>
                    <w:pStyle w:val="6"/>
                    <w:spacing w:before="25" w:line="254" w:lineRule="auto"/>
                    <w:ind w:left="338" w:right="108" w:hanging="226"/>
                  </w:pPr>
                  <w:r>
                    <w:rPr>
                      <w:spacing w:val="6"/>
                    </w:rPr>
                    <w:t>态功能</w:t>
                  </w:r>
                  <w:r>
                    <w:t>区</w:t>
                  </w:r>
                </w:p>
              </w:tc>
              <w:tc>
                <w:tcPr>
                  <w:tcW w:w="1477" w:type="dxa"/>
                  <w:vAlign w:val="top"/>
                </w:tcPr>
                <w:p w14:paraId="164F663B">
                  <w:pPr>
                    <w:pStyle w:val="6"/>
                    <w:spacing w:before="300" w:line="252" w:lineRule="auto"/>
                    <w:ind w:left="114" w:right="105" w:firstLine="24"/>
                    <w:jc w:val="both"/>
                  </w:pPr>
                  <w:r>
                    <w:rPr>
                      <w:spacing w:val="4"/>
                    </w:rPr>
                    <w:t>以石灰岩盆地</w:t>
                  </w:r>
                  <w:r>
                    <w:rPr>
                      <w:spacing w:val="8"/>
                    </w:rPr>
                    <w:t>地貌为主，降</w:t>
                  </w:r>
                  <w:r>
                    <w:rPr>
                      <w:spacing w:val="1"/>
                    </w:rPr>
                    <w:t>雨量</w:t>
                  </w:r>
                  <w:r>
                    <w:rPr>
                      <w:spacing w:val="-51"/>
                    </w:rPr>
                    <w:t xml:space="preserve"> </w:t>
                  </w:r>
                  <w:r>
                    <w:rPr>
                      <w:rFonts w:ascii="Times New Roman" w:hAnsi="Times New Roman" w:eastAsia="Times New Roman" w:cs="Times New Roman"/>
                      <w:spacing w:val="1"/>
                    </w:rPr>
                    <w:t>900-</w:t>
                  </w:r>
                  <w:r>
                    <w:rPr>
                      <w:rFonts w:ascii="Times New Roman" w:hAnsi="Times New Roman" w:eastAsia="Times New Roman" w:cs="Times New Roman"/>
                      <w:spacing w:val="-26"/>
                    </w:rPr>
                    <w:t xml:space="preserve"> </w:t>
                  </w:r>
                  <w:r>
                    <w:rPr>
                      <w:rFonts w:ascii="Times New Roman" w:hAnsi="Times New Roman" w:eastAsia="Times New Roman" w:cs="Times New Roman"/>
                      <w:spacing w:val="1"/>
                    </w:rPr>
                    <w:t>1000</w:t>
                  </w:r>
                  <w:r>
                    <w:rPr>
                      <w:spacing w:val="8"/>
                    </w:rPr>
                    <w:t>毫米。地带性植被为半湿润常绿阔叶，现存植被主要为云南松林，土壤以红壤为主</w:t>
                  </w:r>
                </w:p>
              </w:tc>
              <w:tc>
                <w:tcPr>
                  <w:tcW w:w="795" w:type="dxa"/>
                  <w:vAlign w:val="top"/>
                </w:tcPr>
                <w:p w14:paraId="37D17235">
                  <w:pPr>
                    <w:spacing w:line="373" w:lineRule="auto"/>
                    <w:rPr>
                      <w:rFonts w:ascii="Arial"/>
                      <w:sz w:val="21"/>
                    </w:rPr>
                  </w:pPr>
                </w:p>
                <w:p w14:paraId="36FEB633">
                  <w:pPr>
                    <w:pStyle w:val="6"/>
                    <w:spacing w:before="65" w:line="237" w:lineRule="auto"/>
                    <w:ind w:left="194"/>
                  </w:pPr>
                  <w:r>
                    <w:rPr>
                      <w:spacing w:val="4"/>
                    </w:rPr>
                    <w:t>土地</w:t>
                  </w:r>
                </w:p>
                <w:p w14:paraId="1116C95A">
                  <w:pPr>
                    <w:pStyle w:val="6"/>
                    <w:spacing w:before="14" w:line="229" w:lineRule="auto"/>
                    <w:ind w:left="194"/>
                  </w:pPr>
                  <w:r>
                    <w:rPr>
                      <w:spacing w:val="4"/>
                    </w:rPr>
                    <w:t>利用</w:t>
                  </w:r>
                </w:p>
                <w:p w14:paraId="2E7FDCF7">
                  <w:pPr>
                    <w:pStyle w:val="6"/>
                    <w:spacing w:before="22" w:line="231" w:lineRule="auto"/>
                    <w:ind w:left="197"/>
                  </w:pPr>
                  <w:r>
                    <w:rPr>
                      <w:spacing w:val="3"/>
                    </w:rPr>
                    <w:t>不合</w:t>
                  </w:r>
                </w:p>
                <w:p w14:paraId="63CDD97A">
                  <w:pPr>
                    <w:pStyle w:val="6"/>
                    <w:spacing w:before="23" w:line="230" w:lineRule="auto"/>
                    <w:ind w:left="196"/>
                  </w:pPr>
                  <w:r>
                    <w:rPr>
                      <w:spacing w:val="3"/>
                    </w:rPr>
                    <w:t>理导</w:t>
                  </w:r>
                </w:p>
                <w:p w14:paraId="0C8D112C">
                  <w:pPr>
                    <w:pStyle w:val="6"/>
                    <w:spacing w:before="23" w:line="228" w:lineRule="auto"/>
                    <w:ind w:left="193"/>
                  </w:pPr>
                  <w:r>
                    <w:rPr>
                      <w:spacing w:val="4"/>
                    </w:rPr>
                    <w:t>致的</w:t>
                  </w:r>
                </w:p>
                <w:p w14:paraId="78D8B0B6">
                  <w:pPr>
                    <w:pStyle w:val="6"/>
                    <w:spacing w:before="26" w:line="237" w:lineRule="auto"/>
                    <w:ind w:left="194"/>
                  </w:pPr>
                  <w:r>
                    <w:rPr>
                      <w:spacing w:val="4"/>
                    </w:rPr>
                    <w:t>土地</w:t>
                  </w:r>
                </w:p>
                <w:p w14:paraId="43377F44">
                  <w:pPr>
                    <w:pStyle w:val="6"/>
                    <w:spacing w:before="18" w:line="252" w:lineRule="auto"/>
                    <w:ind w:left="299" w:right="186" w:hanging="105"/>
                  </w:pPr>
                  <w:r>
                    <w:rPr>
                      <w:spacing w:val="4"/>
                    </w:rPr>
                    <w:t>石漠</w:t>
                  </w:r>
                  <w:r>
                    <w:t>化</w:t>
                  </w:r>
                </w:p>
              </w:tc>
              <w:tc>
                <w:tcPr>
                  <w:tcW w:w="729" w:type="dxa"/>
                  <w:vAlign w:val="top"/>
                </w:tcPr>
                <w:p w14:paraId="3DE6C0E3">
                  <w:pPr>
                    <w:spacing w:line="303" w:lineRule="auto"/>
                    <w:rPr>
                      <w:rFonts w:ascii="Arial"/>
                      <w:sz w:val="21"/>
                    </w:rPr>
                  </w:pPr>
                </w:p>
                <w:p w14:paraId="3424D53C">
                  <w:pPr>
                    <w:spacing w:line="303" w:lineRule="auto"/>
                    <w:rPr>
                      <w:rFonts w:ascii="Arial"/>
                      <w:sz w:val="21"/>
                    </w:rPr>
                  </w:pPr>
                </w:p>
                <w:p w14:paraId="6B72129E">
                  <w:pPr>
                    <w:spacing w:line="304" w:lineRule="auto"/>
                    <w:rPr>
                      <w:rFonts w:ascii="Arial"/>
                      <w:sz w:val="21"/>
                    </w:rPr>
                  </w:pPr>
                </w:p>
                <w:p w14:paraId="32F3546A">
                  <w:pPr>
                    <w:pStyle w:val="6"/>
                    <w:spacing w:before="65" w:line="253" w:lineRule="auto"/>
                    <w:ind w:left="160" w:right="154"/>
                    <w:jc w:val="both"/>
                  </w:pPr>
                  <w:r>
                    <w:rPr>
                      <w:spacing w:val="4"/>
                    </w:rPr>
                    <w:t>石漠化高中度敏感</w:t>
                  </w:r>
                </w:p>
              </w:tc>
              <w:tc>
                <w:tcPr>
                  <w:tcW w:w="911" w:type="dxa"/>
                  <w:vAlign w:val="top"/>
                </w:tcPr>
                <w:p w14:paraId="55CD13A5">
                  <w:pPr>
                    <w:pStyle w:val="6"/>
                    <w:spacing w:before="304" w:line="228" w:lineRule="auto"/>
                    <w:ind w:left="171"/>
                  </w:pPr>
                  <w:r>
                    <w:rPr>
                      <w:spacing w:val="-1"/>
                    </w:rPr>
                    <w:t>以岩溶</w:t>
                  </w:r>
                </w:p>
                <w:p w14:paraId="63E49990">
                  <w:pPr>
                    <w:pStyle w:val="6"/>
                    <w:spacing w:before="23" w:line="227" w:lineRule="auto"/>
                    <w:ind w:left="148"/>
                  </w:pPr>
                  <w:r>
                    <w:rPr>
                      <w:spacing w:val="6"/>
                    </w:rPr>
                    <w:t>地貌为</w:t>
                  </w:r>
                </w:p>
                <w:p w14:paraId="5A91D31F">
                  <w:pPr>
                    <w:pStyle w:val="6"/>
                    <w:spacing w:before="24" w:line="231" w:lineRule="auto"/>
                    <w:ind w:left="150"/>
                  </w:pPr>
                  <w:r>
                    <w:rPr>
                      <w:spacing w:val="6"/>
                    </w:rPr>
                    <w:t>主的生</w:t>
                  </w:r>
                </w:p>
                <w:p w14:paraId="00A25EF6">
                  <w:pPr>
                    <w:pStyle w:val="6"/>
                    <w:spacing w:before="24" w:line="228" w:lineRule="auto"/>
                    <w:ind w:left="148"/>
                  </w:pPr>
                  <w:r>
                    <w:rPr>
                      <w:spacing w:val="6"/>
                    </w:rPr>
                    <w:t>态旅游</w:t>
                  </w:r>
                </w:p>
                <w:p w14:paraId="5AA4F9B0">
                  <w:pPr>
                    <w:pStyle w:val="6"/>
                    <w:spacing w:before="24" w:line="227" w:lineRule="auto"/>
                    <w:ind w:left="149"/>
                  </w:pPr>
                  <w:r>
                    <w:rPr>
                      <w:spacing w:val="6"/>
                    </w:rPr>
                    <w:t>和以粮</w:t>
                  </w:r>
                </w:p>
                <w:p w14:paraId="168BB0C6">
                  <w:pPr>
                    <w:pStyle w:val="6"/>
                    <w:spacing w:before="27" w:line="228" w:lineRule="auto"/>
                    <w:ind w:left="148"/>
                  </w:pPr>
                  <w:r>
                    <w:rPr>
                      <w:spacing w:val="6"/>
                    </w:rPr>
                    <w:t>食生产</w:t>
                  </w:r>
                </w:p>
                <w:p w14:paraId="008F45B8">
                  <w:pPr>
                    <w:pStyle w:val="6"/>
                    <w:spacing w:before="25" w:line="229" w:lineRule="auto"/>
                    <w:ind w:left="150"/>
                  </w:pPr>
                  <w:r>
                    <w:rPr>
                      <w:spacing w:val="6"/>
                    </w:rPr>
                    <w:t>为主的</w:t>
                  </w:r>
                </w:p>
                <w:p w14:paraId="3876875C">
                  <w:pPr>
                    <w:pStyle w:val="6"/>
                    <w:spacing w:before="25" w:line="258" w:lineRule="auto"/>
                    <w:ind w:left="356" w:right="136" w:hanging="206"/>
                  </w:pPr>
                  <w:r>
                    <w:rPr>
                      <w:spacing w:val="6"/>
                    </w:rPr>
                    <w:t>生态农</w:t>
                  </w:r>
                  <w:r>
                    <w:rPr>
                      <w:spacing w:val="1"/>
                    </w:rPr>
                    <w:t>业</w:t>
                  </w:r>
                </w:p>
              </w:tc>
              <w:tc>
                <w:tcPr>
                  <w:tcW w:w="1333" w:type="dxa"/>
                  <w:vAlign w:val="top"/>
                </w:tcPr>
                <w:p w14:paraId="366BB491">
                  <w:pPr>
                    <w:pStyle w:val="6"/>
                    <w:spacing w:before="33" w:line="229" w:lineRule="auto"/>
                    <w:ind w:left="147"/>
                  </w:pPr>
                  <w:r>
                    <w:rPr>
                      <w:spacing w:val="7"/>
                    </w:rPr>
                    <w:t>开展生态旅</w:t>
                  </w:r>
                </w:p>
                <w:p w14:paraId="55F1B592">
                  <w:pPr>
                    <w:pStyle w:val="6"/>
                    <w:spacing w:before="23" w:line="228" w:lineRule="auto"/>
                    <w:ind w:left="146"/>
                  </w:pPr>
                  <w:r>
                    <w:rPr>
                      <w:spacing w:val="8"/>
                    </w:rPr>
                    <w:t>游，合理利</w:t>
                  </w:r>
                </w:p>
                <w:p w14:paraId="35EE5DA6">
                  <w:pPr>
                    <w:pStyle w:val="6"/>
                    <w:spacing w:before="23" w:line="252" w:lineRule="auto"/>
                    <w:ind w:left="146" w:right="140" w:firstLine="1"/>
                    <w:jc w:val="both"/>
                  </w:pPr>
                  <w:r>
                    <w:rPr>
                      <w:spacing w:val="7"/>
                    </w:rPr>
                    <w:t>用土地，推</w:t>
                  </w:r>
                  <w:r>
                    <w:rPr>
                      <w:spacing w:val="33"/>
                    </w:rPr>
                    <w:t>行清洁生</w:t>
                  </w:r>
                  <w:r>
                    <w:rPr>
                      <w:spacing w:val="8"/>
                    </w:rPr>
                    <w:t>产，改善森</w:t>
                  </w:r>
                </w:p>
                <w:p w14:paraId="6F754B02">
                  <w:pPr>
                    <w:pStyle w:val="6"/>
                    <w:spacing w:line="227" w:lineRule="auto"/>
                    <w:ind w:left="147"/>
                  </w:pPr>
                  <w:r>
                    <w:rPr>
                      <w:spacing w:val="5"/>
                    </w:rPr>
                    <w:t>林的数量，</w:t>
                  </w:r>
                </w:p>
                <w:p w14:paraId="0ACF871B">
                  <w:pPr>
                    <w:pStyle w:val="6"/>
                    <w:spacing w:before="27" w:line="228" w:lineRule="auto"/>
                    <w:ind w:left="147"/>
                  </w:pPr>
                  <w:r>
                    <w:rPr>
                      <w:spacing w:val="7"/>
                    </w:rPr>
                    <w:t>保护岩溶地</w:t>
                  </w:r>
                </w:p>
                <w:p w14:paraId="4977E561">
                  <w:pPr>
                    <w:pStyle w:val="6"/>
                    <w:spacing w:before="23" w:line="227" w:lineRule="auto"/>
                    <w:ind w:left="146"/>
                  </w:pPr>
                  <w:r>
                    <w:rPr>
                      <w:spacing w:val="8"/>
                    </w:rPr>
                    <w:t>貌环境和农</w:t>
                  </w:r>
                </w:p>
                <w:p w14:paraId="3F938D5B">
                  <w:pPr>
                    <w:pStyle w:val="6"/>
                    <w:spacing w:before="25" w:line="230" w:lineRule="auto"/>
                    <w:ind w:left="277"/>
                  </w:pPr>
                  <w:r>
                    <w:rPr>
                      <w:spacing w:val="1"/>
                    </w:rPr>
                    <w:t>田生态环</w:t>
                  </w:r>
                </w:p>
                <w:p w14:paraId="37E34530">
                  <w:pPr>
                    <w:pStyle w:val="6"/>
                    <w:spacing w:before="25" w:line="228" w:lineRule="auto"/>
                    <w:ind w:left="147"/>
                  </w:pPr>
                  <w:r>
                    <w:rPr>
                      <w:spacing w:val="7"/>
                    </w:rPr>
                    <w:t>境，防止石</w:t>
                  </w:r>
                </w:p>
                <w:p w14:paraId="5DDDD5CA">
                  <w:pPr>
                    <w:pStyle w:val="6"/>
                    <w:spacing w:before="24" w:line="218" w:lineRule="auto"/>
                    <w:ind w:left="461"/>
                  </w:pPr>
                  <w:r>
                    <w:rPr>
                      <w:spacing w:val="4"/>
                    </w:rPr>
                    <w:t>漠化</w:t>
                  </w:r>
                </w:p>
              </w:tc>
            </w:tr>
          </w:tbl>
          <w:p w14:paraId="649426BA">
            <w:pPr>
              <w:pStyle w:val="6"/>
              <w:spacing w:before="36" w:line="359" w:lineRule="auto"/>
              <w:ind w:left="13" w:firstLine="478"/>
              <w:jc w:val="both"/>
              <w:rPr>
                <w:sz w:val="24"/>
                <w:szCs w:val="24"/>
              </w:rPr>
            </w:pPr>
            <w:r>
              <w:rPr>
                <w:spacing w:val="-2"/>
                <w:sz w:val="24"/>
                <w:szCs w:val="24"/>
              </w:rPr>
              <w:t>本项目为输变电工程，项目塔基占地面积较小，沿线植被均为当地常</w:t>
            </w:r>
            <w:r>
              <w:rPr>
                <w:spacing w:val="-1"/>
                <w:sz w:val="24"/>
                <w:szCs w:val="24"/>
              </w:rPr>
              <w:t>见物种，分布广泛，项目占地属于间隔式占地，</w:t>
            </w:r>
            <w:r>
              <w:rPr>
                <w:spacing w:val="-2"/>
                <w:sz w:val="24"/>
                <w:szCs w:val="24"/>
              </w:rPr>
              <w:t>所以项目的建设不会对沿</w:t>
            </w:r>
            <w:r>
              <w:rPr>
                <w:spacing w:val="-7"/>
                <w:sz w:val="24"/>
                <w:szCs w:val="24"/>
              </w:rPr>
              <w:t>线植被类型及分布造成大的影响；项目变电站占地类型主要为人工桑树林，</w:t>
            </w:r>
            <w:r>
              <w:rPr>
                <w:spacing w:val="-1"/>
                <w:sz w:val="24"/>
                <w:szCs w:val="24"/>
              </w:rPr>
              <w:t>项目建设过程中将严格落实补偿制度，并落实各</w:t>
            </w:r>
            <w:r>
              <w:rPr>
                <w:spacing w:val="-2"/>
                <w:sz w:val="24"/>
                <w:szCs w:val="24"/>
              </w:rPr>
              <w:t>项环境保护和水土保持措</w:t>
            </w:r>
            <w:r>
              <w:rPr>
                <w:spacing w:val="-1"/>
                <w:sz w:val="24"/>
                <w:szCs w:val="24"/>
              </w:rPr>
              <w:t>施，及时恢复施工迹地植被，最大程度降低对生</w:t>
            </w:r>
            <w:r>
              <w:rPr>
                <w:spacing w:val="-2"/>
                <w:sz w:val="24"/>
                <w:szCs w:val="24"/>
              </w:rPr>
              <w:t>态环境的影响。因此，本工程与《云南省生态功能区划》不冲突。</w:t>
            </w:r>
          </w:p>
          <w:p w14:paraId="1AC6BA83">
            <w:pPr>
              <w:pStyle w:val="6"/>
              <w:spacing w:before="1" w:line="219" w:lineRule="auto"/>
              <w:ind w:left="491"/>
              <w:rPr>
                <w:sz w:val="24"/>
                <w:szCs w:val="24"/>
              </w:rPr>
            </w:pPr>
            <w:r>
              <w:rPr>
                <w:rFonts w:ascii="Times New Roman" w:hAnsi="Times New Roman" w:eastAsia="Times New Roman" w:cs="Times New Roman"/>
                <w:b/>
                <w:bCs/>
                <w:spacing w:val="-3"/>
                <w:sz w:val="24"/>
                <w:szCs w:val="24"/>
              </w:rPr>
              <w:t>4</w:t>
            </w:r>
            <w:r>
              <w:rPr>
                <w:rFonts w:ascii="Times New Roman" w:hAnsi="Times New Roman" w:eastAsia="Times New Roman" w:cs="Times New Roman"/>
                <w:b/>
                <w:bCs/>
                <w:spacing w:val="-32"/>
                <w:sz w:val="24"/>
                <w:szCs w:val="24"/>
              </w:rPr>
              <w:t xml:space="preserve"> </w:t>
            </w:r>
            <w:r>
              <w:rPr>
                <w:b/>
                <w:bCs/>
                <w:spacing w:val="-3"/>
                <w:sz w:val="24"/>
                <w:szCs w:val="24"/>
              </w:rPr>
              <w:t>、与《云南省生物多样性保护条例》的符合性分析</w:t>
            </w:r>
          </w:p>
          <w:p w14:paraId="778EEDF4">
            <w:pPr>
              <w:pStyle w:val="6"/>
              <w:spacing w:before="180" w:line="355" w:lineRule="auto"/>
              <w:ind w:left="13" w:right="7" w:firstLine="486"/>
              <w:jc w:val="both"/>
              <w:rPr>
                <w:sz w:val="24"/>
                <w:szCs w:val="24"/>
              </w:rPr>
            </w:pPr>
            <w:r>
              <w:rPr>
                <w:spacing w:val="-1"/>
                <w:sz w:val="24"/>
                <w:szCs w:val="24"/>
              </w:rPr>
              <w:t>《云南省生物多样性保护条例》由云南省第十三届人大常委会第五次</w:t>
            </w:r>
            <w:r>
              <w:rPr>
                <w:spacing w:val="-7"/>
                <w:sz w:val="24"/>
                <w:szCs w:val="24"/>
              </w:rPr>
              <w:t>会议于</w:t>
            </w:r>
            <w:r>
              <w:rPr>
                <w:spacing w:val="-54"/>
                <w:sz w:val="24"/>
                <w:szCs w:val="24"/>
              </w:rPr>
              <w:t xml:space="preserve"> </w:t>
            </w:r>
            <w:r>
              <w:rPr>
                <w:rFonts w:ascii="Times New Roman" w:hAnsi="Times New Roman" w:eastAsia="Times New Roman" w:cs="Times New Roman"/>
                <w:spacing w:val="-7"/>
                <w:sz w:val="24"/>
                <w:szCs w:val="24"/>
              </w:rPr>
              <w:t xml:space="preserve">2018  </w:t>
            </w:r>
            <w:r>
              <w:rPr>
                <w:spacing w:val="-7"/>
                <w:sz w:val="24"/>
                <w:szCs w:val="24"/>
              </w:rPr>
              <w:t>年</w:t>
            </w:r>
            <w:r>
              <w:rPr>
                <w:spacing w:val="-51"/>
                <w:sz w:val="24"/>
                <w:szCs w:val="24"/>
              </w:rPr>
              <w:t xml:space="preserve"> </w:t>
            </w:r>
            <w:r>
              <w:rPr>
                <w:rFonts w:ascii="Times New Roman" w:hAnsi="Times New Roman" w:eastAsia="Times New Roman" w:cs="Times New Roman"/>
                <w:spacing w:val="-7"/>
                <w:sz w:val="24"/>
                <w:szCs w:val="24"/>
              </w:rPr>
              <w:t xml:space="preserve">9  </w:t>
            </w:r>
            <w:r>
              <w:rPr>
                <w:spacing w:val="-7"/>
                <w:sz w:val="24"/>
                <w:szCs w:val="24"/>
              </w:rPr>
              <w:t>月</w:t>
            </w:r>
            <w:r>
              <w:rPr>
                <w:spacing w:val="-55"/>
                <w:sz w:val="24"/>
                <w:szCs w:val="24"/>
              </w:rPr>
              <w:t xml:space="preserve"> </w:t>
            </w:r>
            <w:r>
              <w:rPr>
                <w:rFonts w:ascii="Times New Roman" w:hAnsi="Times New Roman" w:eastAsia="Times New Roman" w:cs="Times New Roman"/>
                <w:spacing w:val="-7"/>
                <w:sz w:val="24"/>
                <w:szCs w:val="24"/>
              </w:rPr>
              <w:t xml:space="preserve">21   </w:t>
            </w:r>
            <w:r>
              <w:rPr>
                <w:spacing w:val="-7"/>
                <w:sz w:val="24"/>
                <w:szCs w:val="24"/>
              </w:rPr>
              <w:t>日审议通过并公布，</w:t>
            </w:r>
            <w:r>
              <w:rPr>
                <w:spacing w:val="-71"/>
                <w:sz w:val="24"/>
                <w:szCs w:val="24"/>
              </w:rPr>
              <w:t xml:space="preserve"> </w:t>
            </w:r>
            <w:r>
              <w:rPr>
                <w:spacing w:val="-7"/>
                <w:sz w:val="24"/>
                <w:szCs w:val="24"/>
              </w:rPr>
              <w:t>自</w:t>
            </w:r>
            <w:r>
              <w:rPr>
                <w:spacing w:val="-55"/>
                <w:sz w:val="24"/>
                <w:szCs w:val="24"/>
              </w:rPr>
              <w:t xml:space="preserve"> </w:t>
            </w:r>
            <w:r>
              <w:rPr>
                <w:rFonts w:ascii="Times New Roman" w:hAnsi="Times New Roman" w:eastAsia="Times New Roman" w:cs="Times New Roman"/>
                <w:spacing w:val="-7"/>
                <w:sz w:val="24"/>
                <w:szCs w:val="24"/>
              </w:rPr>
              <w:t xml:space="preserve">2019 </w:t>
            </w:r>
            <w:r>
              <w:rPr>
                <w:spacing w:val="-7"/>
                <w:sz w:val="24"/>
                <w:szCs w:val="24"/>
              </w:rPr>
              <w:t>年</w:t>
            </w:r>
            <w:r>
              <w:rPr>
                <w:spacing w:val="-32"/>
                <w:sz w:val="24"/>
                <w:szCs w:val="24"/>
              </w:rPr>
              <w:t xml:space="preserve"> </w:t>
            </w:r>
            <w:r>
              <w:rPr>
                <w:rFonts w:ascii="Times New Roman" w:hAnsi="Times New Roman" w:eastAsia="Times New Roman" w:cs="Times New Roman"/>
                <w:spacing w:val="-7"/>
                <w:sz w:val="24"/>
                <w:szCs w:val="24"/>
              </w:rPr>
              <w:t>1</w:t>
            </w:r>
            <w:r>
              <w:rPr>
                <w:rFonts w:ascii="Times New Roman" w:hAnsi="Times New Roman" w:eastAsia="Times New Roman" w:cs="Times New Roman"/>
                <w:spacing w:val="15"/>
                <w:w w:val="101"/>
                <w:sz w:val="24"/>
                <w:szCs w:val="24"/>
              </w:rPr>
              <w:t xml:space="preserve"> </w:t>
            </w:r>
            <w:r>
              <w:rPr>
                <w:spacing w:val="-7"/>
                <w:sz w:val="24"/>
                <w:szCs w:val="24"/>
              </w:rPr>
              <w:t>月</w:t>
            </w:r>
            <w:r>
              <w:rPr>
                <w:spacing w:val="-32"/>
                <w:sz w:val="24"/>
                <w:szCs w:val="24"/>
              </w:rPr>
              <w:t xml:space="preserve"> </w:t>
            </w:r>
            <w:r>
              <w:rPr>
                <w:rFonts w:ascii="Times New Roman" w:hAnsi="Times New Roman" w:eastAsia="Times New Roman" w:cs="Times New Roman"/>
                <w:spacing w:val="-7"/>
                <w:sz w:val="24"/>
                <w:szCs w:val="24"/>
              </w:rPr>
              <w:t xml:space="preserve">1  </w:t>
            </w:r>
            <w:r>
              <w:rPr>
                <w:spacing w:val="-7"/>
                <w:sz w:val="24"/>
                <w:szCs w:val="24"/>
              </w:rPr>
              <w:t>日起施行。</w:t>
            </w:r>
            <w:r>
              <w:rPr>
                <w:spacing w:val="-3"/>
                <w:sz w:val="24"/>
                <w:szCs w:val="24"/>
              </w:rPr>
              <w:t>相关内容如下：</w:t>
            </w:r>
            <w:r>
              <w:rPr>
                <w:rFonts w:ascii="Times New Roman" w:hAnsi="Times New Roman" w:eastAsia="Times New Roman" w:cs="Times New Roman"/>
                <w:spacing w:val="-3"/>
                <w:sz w:val="24"/>
                <w:szCs w:val="24"/>
              </w:rPr>
              <w:t>“</w:t>
            </w:r>
            <w:r>
              <w:rPr>
                <w:spacing w:val="-3"/>
                <w:sz w:val="24"/>
                <w:szCs w:val="24"/>
              </w:rPr>
              <w:t>第二十四条任何单位和个人不得擅自向自然保护区引进外</w:t>
            </w:r>
            <w:r>
              <w:rPr>
                <w:sz w:val="24"/>
                <w:szCs w:val="24"/>
              </w:rPr>
              <w:t>来物种。确需引进的，应当依法办理审批手续，并</w:t>
            </w:r>
            <w:r>
              <w:rPr>
                <w:spacing w:val="-1"/>
                <w:sz w:val="24"/>
                <w:szCs w:val="24"/>
              </w:rPr>
              <w:t>按照有关技术规范进行</w:t>
            </w:r>
          </w:p>
        </w:tc>
      </w:tr>
    </w:tbl>
    <w:p w14:paraId="2661F171">
      <w:pPr>
        <w:rPr>
          <w:rFonts w:ascii="Arial"/>
          <w:sz w:val="21"/>
        </w:rPr>
      </w:pPr>
    </w:p>
    <w:p w14:paraId="5D269784">
      <w:pPr>
        <w:rPr>
          <w:rFonts w:ascii="Arial" w:hAnsi="Arial" w:eastAsia="Arial" w:cs="Arial"/>
          <w:sz w:val="21"/>
          <w:szCs w:val="21"/>
        </w:rPr>
        <w:sectPr>
          <w:footerReference r:id="rId14" w:type="default"/>
          <w:pgSz w:w="11907" w:h="16840"/>
          <w:pgMar w:top="400" w:right="1786" w:bottom="1240" w:left="1774" w:header="0" w:footer="1077" w:gutter="0"/>
          <w:cols w:space="720" w:num="1"/>
        </w:sectPr>
      </w:pPr>
    </w:p>
    <w:p w14:paraId="1462A921">
      <w:pPr>
        <w:spacing w:before="19"/>
      </w:pPr>
    </w:p>
    <w:p w14:paraId="0213A5CD">
      <w:pPr>
        <w:spacing w:before="19"/>
      </w:pPr>
    </w:p>
    <w:p w14:paraId="58606C16">
      <w:pPr>
        <w:spacing w:before="18"/>
      </w:pPr>
    </w:p>
    <w:p w14:paraId="108DE8BE">
      <w:pPr>
        <w:spacing w:before="18"/>
      </w:pPr>
    </w:p>
    <w:tbl>
      <w:tblPr>
        <w:tblStyle w:val="5"/>
        <w:tblW w:w="81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11"/>
        <w:gridCol w:w="7723"/>
      </w:tblGrid>
      <w:tr w14:paraId="2E077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82" w:hRule="atLeast"/>
        </w:trPr>
        <w:tc>
          <w:tcPr>
            <w:tcW w:w="411" w:type="dxa"/>
            <w:tcBorders>
              <w:right w:val="single" w:color="000000" w:sz="2" w:space="0"/>
            </w:tcBorders>
            <w:vAlign w:val="top"/>
          </w:tcPr>
          <w:p w14:paraId="076C322D">
            <w:pPr>
              <w:rPr>
                <w:rFonts w:ascii="Arial"/>
                <w:sz w:val="21"/>
              </w:rPr>
            </w:pPr>
          </w:p>
        </w:tc>
        <w:tc>
          <w:tcPr>
            <w:tcW w:w="7723" w:type="dxa"/>
            <w:tcBorders>
              <w:left w:val="single" w:color="000000" w:sz="2" w:space="0"/>
            </w:tcBorders>
            <w:vAlign w:val="top"/>
          </w:tcPr>
          <w:p w14:paraId="213A7AA3">
            <w:pPr>
              <w:pStyle w:val="6"/>
              <w:spacing w:before="59" w:line="359" w:lineRule="auto"/>
              <w:ind w:left="14"/>
              <w:jc w:val="both"/>
              <w:rPr>
                <w:sz w:val="24"/>
                <w:szCs w:val="24"/>
              </w:rPr>
            </w:pPr>
            <w:r>
              <w:rPr>
                <w:spacing w:val="-3"/>
                <w:sz w:val="24"/>
                <w:szCs w:val="24"/>
              </w:rPr>
              <w:t>试验。第二十五条禁止扩散、放生或者丢弃外来入侵物种。任何单位和个人发现疑似外来物种的，应当及时向当地环境保护、林业、农业、卫生等</w:t>
            </w:r>
            <w:r>
              <w:rPr>
                <w:spacing w:val="-7"/>
                <w:sz w:val="24"/>
                <w:szCs w:val="24"/>
              </w:rPr>
              <w:t>行政主管部门或者相关自然保护地管理机构报告。第二十九条新建、改建、</w:t>
            </w:r>
            <w:r>
              <w:rPr>
                <w:spacing w:val="-3"/>
                <w:sz w:val="24"/>
                <w:szCs w:val="24"/>
              </w:rPr>
              <w:t>扩建建设项目以及开发自然资源，应当依法开展环境影响评价。对可能造成重要生态系统破坏、损害重要物种及其栖息地和生境的，应当制定专项保护恢复和补偿方案，纳入环境影响评价。在生物多样性保护优先区域的建设项目以及自然资源开发，应当评价对生物多样性的影响，并作为环境影响评价的重要组成部分。力</w:t>
            </w:r>
          </w:p>
          <w:p w14:paraId="76FA1913">
            <w:pPr>
              <w:pStyle w:val="6"/>
              <w:spacing w:line="359" w:lineRule="auto"/>
              <w:ind w:left="13" w:right="27" w:firstLine="504"/>
              <w:rPr>
                <w:sz w:val="24"/>
                <w:szCs w:val="24"/>
              </w:rPr>
            </w:pPr>
            <w:r>
              <w:rPr>
                <w:spacing w:val="-1"/>
                <w:sz w:val="24"/>
                <w:szCs w:val="24"/>
              </w:rPr>
              <w:t>同时，根据《云南省生物多样性保护条例》第十条，经云南</w:t>
            </w:r>
            <w:r>
              <w:rPr>
                <w:spacing w:val="-2"/>
                <w:sz w:val="24"/>
                <w:szCs w:val="24"/>
              </w:rPr>
              <w:t>省人民政</w:t>
            </w:r>
            <w:r>
              <w:rPr>
                <w:sz w:val="24"/>
                <w:szCs w:val="24"/>
              </w:rPr>
              <w:t>府同意，云南省生态环境厅会同有关部门编制并印</w:t>
            </w:r>
            <w:r>
              <w:rPr>
                <w:spacing w:val="-1"/>
                <w:sz w:val="24"/>
                <w:szCs w:val="24"/>
              </w:rPr>
              <w:t>发了《云南省生物多样</w:t>
            </w:r>
            <w:r>
              <w:rPr>
                <w:spacing w:val="-2"/>
                <w:sz w:val="24"/>
                <w:szCs w:val="24"/>
              </w:rPr>
              <w:t>性保护战略与行动计划（2024-2030</w:t>
            </w:r>
            <w:r>
              <w:rPr>
                <w:spacing w:val="-39"/>
                <w:sz w:val="24"/>
                <w:szCs w:val="24"/>
              </w:rPr>
              <w:t xml:space="preserve"> </w:t>
            </w:r>
            <w:r>
              <w:rPr>
                <w:spacing w:val="-2"/>
                <w:sz w:val="24"/>
                <w:szCs w:val="24"/>
              </w:rPr>
              <w:t>年）》，指出生物多样性保护迈入新</w:t>
            </w:r>
            <w:r>
              <w:rPr>
                <w:sz w:val="24"/>
                <w:szCs w:val="24"/>
              </w:rPr>
              <w:t>阶段，以习近平新时代中国特色社会主义思想为指</w:t>
            </w:r>
            <w:r>
              <w:rPr>
                <w:spacing w:val="-1"/>
                <w:sz w:val="24"/>
                <w:szCs w:val="24"/>
              </w:rPr>
              <w:t>导制定了生物多样性保</w:t>
            </w:r>
            <w:r>
              <w:rPr>
                <w:spacing w:val="-2"/>
                <w:sz w:val="24"/>
                <w:szCs w:val="24"/>
              </w:rPr>
              <w:t>护战略，针对重点生态功能区、</w:t>
            </w:r>
            <w:r>
              <w:rPr>
                <w:spacing w:val="-66"/>
                <w:sz w:val="24"/>
                <w:szCs w:val="24"/>
              </w:rPr>
              <w:t xml:space="preserve"> </w:t>
            </w:r>
            <w:r>
              <w:rPr>
                <w:spacing w:val="-2"/>
                <w:sz w:val="24"/>
                <w:szCs w:val="24"/>
              </w:rPr>
              <w:t>自然保护地、生物多样性保护优先区域、</w:t>
            </w:r>
            <w:r>
              <w:rPr>
                <w:spacing w:val="-1"/>
                <w:sz w:val="24"/>
                <w:szCs w:val="24"/>
              </w:rPr>
              <w:t>生态保护红线等生物多样性保护优先领域提出优先行动计划。</w:t>
            </w:r>
          </w:p>
          <w:p w14:paraId="2959937E">
            <w:pPr>
              <w:pStyle w:val="6"/>
              <w:spacing w:before="14" w:line="358" w:lineRule="auto"/>
              <w:ind w:left="13" w:right="22" w:firstLine="482"/>
              <w:jc w:val="both"/>
              <w:rPr>
                <w:sz w:val="24"/>
                <w:szCs w:val="24"/>
              </w:rPr>
            </w:pPr>
            <w:r>
              <w:rPr>
                <w:b/>
                <w:bCs/>
                <w:spacing w:val="-1"/>
                <w:sz w:val="24"/>
                <w:szCs w:val="24"/>
              </w:rPr>
              <w:t>符合性：</w:t>
            </w:r>
            <w:r>
              <w:rPr>
                <w:spacing w:val="-1"/>
                <w:sz w:val="24"/>
                <w:szCs w:val="24"/>
              </w:rPr>
              <w:t>项目不涉及生物多样性保护优先区域，根据现场调查，项目</w:t>
            </w:r>
            <w:r>
              <w:rPr>
                <w:sz w:val="24"/>
                <w:szCs w:val="24"/>
              </w:rPr>
              <w:t>变电站占地类型为农用地，项目塔基占地大多为农</w:t>
            </w:r>
            <w:r>
              <w:rPr>
                <w:spacing w:val="-1"/>
                <w:sz w:val="24"/>
                <w:szCs w:val="24"/>
              </w:rPr>
              <w:t>作物耕作区，局部占用人工经济林（桉树</w:t>
            </w:r>
            <w:r>
              <w:rPr>
                <w:spacing w:val="13"/>
                <w:sz w:val="24"/>
                <w:szCs w:val="24"/>
              </w:rPr>
              <w:t>），</w:t>
            </w:r>
            <w:r>
              <w:rPr>
                <w:spacing w:val="-1"/>
                <w:sz w:val="24"/>
                <w:szCs w:val="24"/>
              </w:rPr>
              <w:t>区域内人为活动明显。输电线路的</w:t>
            </w:r>
            <w:r>
              <w:rPr>
                <w:spacing w:val="-2"/>
                <w:sz w:val="24"/>
                <w:szCs w:val="24"/>
              </w:rPr>
              <w:t>杆塔采用间隔式</w:t>
            </w:r>
            <w:r>
              <w:rPr>
                <w:sz w:val="24"/>
                <w:szCs w:val="24"/>
              </w:rPr>
              <w:t>占地，输电线路采用架空方式高跨树木，施工过程</w:t>
            </w:r>
            <w:r>
              <w:rPr>
                <w:spacing w:val="-1"/>
                <w:sz w:val="24"/>
                <w:szCs w:val="24"/>
              </w:rPr>
              <w:t>中也仅在塔基处进行开</w:t>
            </w:r>
            <w:r>
              <w:rPr>
                <w:sz w:val="24"/>
                <w:szCs w:val="24"/>
              </w:rPr>
              <w:t>挖，不对输电线路下方的树木进行砍伐。本工程不</w:t>
            </w:r>
            <w:r>
              <w:rPr>
                <w:spacing w:val="-1"/>
                <w:sz w:val="24"/>
                <w:szCs w:val="24"/>
              </w:rPr>
              <w:t>会对动物的生境和活动</w:t>
            </w:r>
            <w:r>
              <w:rPr>
                <w:sz w:val="24"/>
                <w:szCs w:val="24"/>
              </w:rPr>
              <w:t>造成阻隔，尽量避开植被良好林区，基本不会改变</w:t>
            </w:r>
            <w:r>
              <w:rPr>
                <w:spacing w:val="-1"/>
                <w:sz w:val="24"/>
                <w:szCs w:val="24"/>
              </w:rPr>
              <w:t>区域的生态系统结构和</w:t>
            </w:r>
            <w:r>
              <w:rPr>
                <w:sz w:val="24"/>
                <w:szCs w:val="24"/>
              </w:rPr>
              <w:t>功能。输电线路运行期不产生废水、废气和废渣，</w:t>
            </w:r>
            <w:r>
              <w:rPr>
                <w:spacing w:val="-1"/>
                <w:sz w:val="24"/>
                <w:szCs w:val="24"/>
              </w:rPr>
              <w:t>不会损害重要物种及其</w:t>
            </w:r>
            <w:r>
              <w:rPr>
                <w:sz w:val="24"/>
                <w:szCs w:val="24"/>
              </w:rPr>
              <w:t>栖息地和生境，不会对当地生物多样性造成破坏。</w:t>
            </w:r>
            <w:r>
              <w:rPr>
                <w:spacing w:val="-1"/>
                <w:sz w:val="24"/>
                <w:szCs w:val="24"/>
              </w:rPr>
              <w:t>本项目不属于可能造成</w:t>
            </w:r>
            <w:r>
              <w:rPr>
                <w:sz w:val="24"/>
                <w:szCs w:val="24"/>
              </w:rPr>
              <w:t>重要生态系统破坏、损害重要物种及其栖息地和生</w:t>
            </w:r>
            <w:r>
              <w:rPr>
                <w:spacing w:val="-1"/>
                <w:sz w:val="24"/>
                <w:szCs w:val="24"/>
              </w:rPr>
              <w:t>境的建设项目。在采取</w:t>
            </w:r>
            <w:r>
              <w:rPr>
                <w:sz w:val="24"/>
                <w:szCs w:val="24"/>
              </w:rPr>
              <w:t>本环评提出的生态保护措施后，工程对沿线的生态不利影响有</w:t>
            </w:r>
            <w:r>
              <w:rPr>
                <w:spacing w:val="-1"/>
                <w:sz w:val="24"/>
                <w:szCs w:val="24"/>
              </w:rPr>
              <w:t>限。因此，本项目与《云南省生物多样性保护条例》不冲突。</w:t>
            </w:r>
          </w:p>
          <w:p w14:paraId="4EF887B6">
            <w:pPr>
              <w:pStyle w:val="6"/>
              <w:spacing w:line="359" w:lineRule="auto"/>
              <w:ind w:left="16" w:right="13" w:firstLine="476"/>
              <w:rPr>
                <w:sz w:val="24"/>
                <w:szCs w:val="24"/>
              </w:rPr>
            </w:pPr>
            <w:r>
              <w:rPr>
                <w:rFonts w:ascii="Times New Roman" w:hAnsi="Times New Roman" w:eastAsia="Times New Roman" w:cs="Times New Roman"/>
                <w:b/>
                <w:bCs/>
                <w:spacing w:val="1"/>
                <w:sz w:val="24"/>
                <w:szCs w:val="24"/>
              </w:rPr>
              <w:t>5</w:t>
            </w:r>
            <w:r>
              <w:rPr>
                <w:rFonts w:ascii="Times New Roman" w:hAnsi="Times New Roman" w:eastAsia="Times New Roman" w:cs="Times New Roman"/>
                <w:b/>
                <w:bCs/>
                <w:spacing w:val="-30"/>
                <w:sz w:val="24"/>
                <w:szCs w:val="24"/>
              </w:rPr>
              <w:t xml:space="preserve"> </w:t>
            </w:r>
            <w:r>
              <w:rPr>
                <w:b/>
                <w:bCs/>
                <w:spacing w:val="1"/>
                <w:sz w:val="24"/>
                <w:szCs w:val="24"/>
              </w:rPr>
              <w:t>、《云南省生物多样性保护战略与行动计划（</w:t>
            </w:r>
            <w:r>
              <w:rPr>
                <w:rFonts w:ascii="Times New Roman" w:hAnsi="Times New Roman" w:eastAsia="Times New Roman" w:cs="Times New Roman"/>
                <w:b/>
                <w:bCs/>
                <w:spacing w:val="1"/>
                <w:sz w:val="24"/>
                <w:szCs w:val="24"/>
              </w:rPr>
              <w:t>2024—2030</w:t>
            </w:r>
            <w:r>
              <w:rPr>
                <w:b/>
                <w:bCs/>
                <w:spacing w:val="1"/>
                <w:sz w:val="24"/>
                <w:szCs w:val="24"/>
              </w:rPr>
              <w:t>年）》的</w:t>
            </w:r>
            <w:r>
              <w:rPr>
                <w:b/>
                <w:bCs/>
                <w:spacing w:val="-4"/>
                <w:sz w:val="24"/>
                <w:szCs w:val="24"/>
              </w:rPr>
              <w:t>符合性分析</w:t>
            </w:r>
          </w:p>
          <w:p w14:paraId="594ED5A3">
            <w:pPr>
              <w:pStyle w:val="6"/>
              <w:spacing w:before="1" w:line="350" w:lineRule="auto"/>
              <w:ind w:left="18" w:right="27" w:firstLine="482"/>
              <w:rPr>
                <w:sz w:val="24"/>
                <w:szCs w:val="24"/>
              </w:rPr>
            </w:pPr>
            <w:r>
              <w:rPr>
                <w:spacing w:val="-2"/>
                <w:sz w:val="24"/>
                <w:szCs w:val="24"/>
              </w:rPr>
              <w:t>《云南省生物多样性保护战略与行动计划（2024-2030</w:t>
            </w:r>
            <w:r>
              <w:rPr>
                <w:spacing w:val="-50"/>
                <w:sz w:val="24"/>
                <w:szCs w:val="24"/>
              </w:rPr>
              <w:t xml:space="preserve"> </w:t>
            </w:r>
            <w:r>
              <w:rPr>
                <w:spacing w:val="-2"/>
                <w:sz w:val="24"/>
                <w:szCs w:val="24"/>
              </w:rPr>
              <w:t>年）》明确全</w:t>
            </w:r>
            <w:r>
              <w:rPr>
                <w:spacing w:val="-1"/>
                <w:sz w:val="24"/>
                <w:szCs w:val="24"/>
              </w:rPr>
              <w:t>省新时期生物多样性保护战略定位、战略目标、战略任务、优先领域和优</w:t>
            </w:r>
          </w:p>
        </w:tc>
      </w:tr>
    </w:tbl>
    <w:p w14:paraId="64C391F6">
      <w:pPr>
        <w:rPr>
          <w:rFonts w:ascii="Arial"/>
          <w:sz w:val="21"/>
        </w:rPr>
      </w:pPr>
    </w:p>
    <w:p w14:paraId="19FFE1D8">
      <w:pPr>
        <w:rPr>
          <w:rFonts w:ascii="Arial" w:hAnsi="Arial" w:eastAsia="Arial" w:cs="Arial"/>
          <w:sz w:val="21"/>
          <w:szCs w:val="21"/>
        </w:rPr>
        <w:sectPr>
          <w:footerReference r:id="rId15" w:type="default"/>
          <w:pgSz w:w="11907" w:h="16840"/>
          <w:pgMar w:top="400" w:right="1786" w:bottom="1237" w:left="1774" w:header="0" w:footer="1060" w:gutter="0"/>
          <w:cols w:space="720" w:num="1"/>
        </w:sectPr>
      </w:pPr>
    </w:p>
    <w:p w14:paraId="76F64958">
      <w:pPr>
        <w:spacing w:before="19"/>
      </w:pPr>
    </w:p>
    <w:p w14:paraId="520A4605">
      <w:pPr>
        <w:spacing w:before="19"/>
      </w:pPr>
    </w:p>
    <w:p w14:paraId="0E8A1283">
      <w:pPr>
        <w:spacing w:before="18"/>
      </w:pPr>
    </w:p>
    <w:p w14:paraId="002C2269">
      <w:pPr>
        <w:spacing w:before="18"/>
      </w:pPr>
    </w:p>
    <w:tbl>
      <w:tblPr>
        <w:tblStyle w:val="5"/>
        <w:tblW w:w="813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1"/>
        <w:gridCol w:w="4602"/>
        <w:gridCol w:w="2326"/>
        <w:gridCol w:w="795"/>
      </w:tblGrid>
      <w:tr w14:paraId="0BB2C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8" w:hRule="atLeast"/>
        </w:trPr>
        <w:tc>
          <w:tcPr>
            <w:tcW w:w="411" w:type="dxa"/>
            <w:vMerge w:val="restart"/>
            <w:tcBorders>
              <w:top w:val="single" w:color="000000" w:sz="6" w:space="0"/>
              <w:left w:val="single" w:color="000000" w:sz="6" w:space="0"/>
              <w:bottom w:val="nil"/>
            </w:tcBorders>
            <w:vAlign w:val="top"/>
          </w:tcPr>
          <w:p w14:paraId="5BB7600F">
            <w:pPr>
              <w:rPr>
                <w:rFonts w:ascii="Arial"/>
                <w:sz w:val="21"/>
              </w:rPr>
            </w:pPr>
          </w:p>
        </w:tc>
        <w:tc>
          <w:tcPr>
            <w:tcW w:w="7723" w:type="dxa"/>
            <w:gridSpan w:val="3"/>
            <w:tcBorders>
              <w:top w:val="single" w:color="000000" w:sz="6" w:space="0"/>
              <w:right w:val="single" w:color="000000" w:sz="6" w:space="0"/>
            </w:tcBorders>
            <w:vAlign w:val="top"/>
          </w:tcPr>
          <w:p w14:paraId="1AE85C99">
            <w:pPr>
              <w:pStyle w:val="6"/>
              <w:spacing w:before="56" w:line="357" w:lineRule="auto"/>
              <w:ind w:left="18"/>
              <w:rPr>
                <w:sz w:val="24"/>
                <w:szCs w:val="24"/>
              </w:rPr>
            </w:pPr>
            <w:r>
              <w:rPr>
                <w:spacing w:val="-3"/>
                <w:sz w:val="24"/>
                <w:szCs w:val="24"/>
              </w:rPr>
              <w:t>先行动，为各部门各地区推进生物多样性保护提供指引。本项目与《云南省生物多样性保护战略与行动计划（</w:t>
            </w:r>
            <w:r>
              <w:rPr>
                <w:rFonts w:ascii="Times New Roman" w:hAnsi="Times New Roman" w:eastAsia="Times New Roman" w:cs="Times New Roman"/>
                <w:spacing w:val="-3"/>
                <w:sz w:val="24"/>
                <w:szCs w:val="24"/>
              </w:rPr>
              <w:t>2024-2030</w:t>
            </w:r>
            <w:r>
              <w:rPr>
                <w:rFonts w:ascii="Times New Roman" w:hAnsi="Times New Roman" w:eastAsia="Times New Roman" w:cs="Times New Roman"/>
                <w:spacing w:val="-4"/>
                <w:sz w:val="24"/>
                <w:szCs w:val="24"/>
              </w:rPr>
              <w:t xml:space="preserve"> </w:t>
            </w:r>
            <w:r>
              <w:rPr>
                <w:spacing w:val="-4"/>
                <w:sz w:val="24"/>
                <w:szCs w:val="24"/>
              </w:rPr>
              <w:t>年）》相符性分析见下表。</w:t>
            </w:r>
          </w:p>
          <w:p w14:paraId="3ABD48C9">
            <w:pPr>
              <w:pStyle w:val="6"/>
              <w:spacing w:line="215" w:lineRule="auto"/>
              <w:ind w:left="156"/>
            </w:pPr>
            <w:r>
              <w:rPr>
                <w:b/>
                <w:bCs/>
                <w:spacing w:val="7"/>
              </w:rPr>
              <w:t>表</w:t>
            </w:r>
            <w:r>
              <w:rPr>
                <w:rFonts w:ascii="Times New Roman" w:hAnsi="Times New Roman" w:eastAsia="Times New Roman" w:cs="Times New Roman"/>
                <w:b/>
                <w:bCs/>
                <w:spacing w:val="7"/>
              </w:rPr>
              <w:t xml:space="preserve">1-3  </w:t>
            </w:r>
            <w:r>
              <w:rPr>
                <w:b/>
                <w:bCs/>
                <w:spacing w:val="7"/>
              </w:rPr>
              <w:t>与《云南省生物多样性保护战略与行动计划（</w:t>
            </w:r>
            <w:r>
              <w:rPr>
                <w:rFonts w:ascii="Times New Roman" w:hAnsi="Times New Roman" w:eastAsia="Times New Roman" w:cs="Times New Roman"/>
                <w:b/>
                <w:bCs/>
                <w:spacing w:val="7"/>
              </w:rPr>
              <w:t>2024-2030</w:t>
            </w:r>
            <w:r>
              <w:rPr>
                <w:b/>
                <w:bCs/>
                <w:spacing w:val="7"/>
              </w:rPr>
              <w:t>年）》相符性分析</w:t>
            </w:r>
          </w:p>
        </w:tc>
      </w:tr>
      <w:tr w14:paraId="416971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411" w:type="dxa"/>
            <w:vMerge w:val="continue"/>
            <w:tcBorders>
              <w:top w:val="nil"/>
              <w:left w:val="single" w:color="000000" w:sz="6" w:space="0"/>
              <w:bottom w:val="nil"/>
            </w:tcBorders>
            <w:vAlign w:val="top"/>
          </w:tcPr>
          <w:p w14:paraId="3672A97F">
            <w:pPr>
              <w:rPr>
                <w:rFonts w:ascii="Arial"/>
                <w:sz w:val="21"/>
              </w:rPr>
            </w:pPr>
          </w:p>
        </w:tc>
        <w:tc>
          <w:tcPr>
            <w:tcW w:w="4602" w:type="dxa"/>
            <w:vAlign w:val="top"/>
          </w:tcPr>
          <w:p w14:paraId="728DA185">
            <w:pPr>
              <w:pStyle w:val="6"/>
              <w:spacing w:before="31" w:line="232" w:lineRule="auto"/>
              <w:ind w:left="1218" w:right="389" w:hanging="789"/>
            </w:pPr>
            <w:r>
              <w:rPr>
                <w:b/>
                <w:bCs/>
                <w:spacing w:val="7"/>
              </w:rPr>
              <w:t>《云南省生物多样性保护战略与行动计划</w:t>
            </w:r>
            <w:r>
              <w:rPr>
                <w:b/>
                <w:bCs/>
                <w:spacing w:val="2"/>
              </w:rPr>
              <w:t>（</w:t>
            </w:r>
            <w:r>
              <w:rPr>
                <w:rFonts w:ascii="Times New Roman" w:hAnsi="Times New Roman" w:eastAsia="Times New Roman" w:cs="Times New Roman"/>
                <w:b/>
                <w:bCs/>
                <w:spacing w:val="2"/>
              </w:rPr>
              <w:t xml:space="preserve">2024-2030 </w:t>
            </w:r>
            <w:r>
              <w:rPr>
                <w:b/>
                <w:bCs/>
                <w:spacing w:val="2"/>
              </w:rPr>
              <w:t>年）》</w:t>
            </w:r>
            <w:r>
              <w:rPr>
                <w:spacing w:val="-56"/>
              </w:rPr>
              <w:t xml:space="preserve"> </w:t>
            </w:r>
            <w:r>
              <w:rPr>
                <w:b/>
                <w:bCs/>
                <w:spacing w:val="2"/>
              </w:rPr>
              <w:t>内容</w:t>
            </w:r>
          </w:p>
        </w:tc>
        <w:tc>
          <w:tcPr>
            <w:tcW w:w="2326" w:type="dxa"/>
            <w:vAlign w:val="top"/>
          </w:tcPr>
          <w:p w14:paraId="16F5DA64">
            <w:pPr>
              <w:pStyle w:val="6"/>
              <w:spacing w:before="164" w:line="227" w:lineRule="auto"/>
              <w:ind w:left="646"/>
            </w:pPr>
            <w:r>
              <w:rPr>
                <w:b/>
                <w:bCs/>
                <w:spacing w:val="6"/>
              </w:rPr>
              <w:t>本项目情况</w:t>
            </w:r>
          </w:p>
        </w:tc>
        <w:tc>
          <w:tcPr>
            <w:tcW w:w="795" w:type="dxa"/>
            <w:tcBorders>
              <w:right w:val="single" w:color="000000" w:sz="6" w:space="0"/>
            </w:tcBorders>
            <w:vAlign w:val="top"/>
          </w:tcPr>
          <w:p w14:paraId="42FCFBCA">
            <w:pPr>
              <w:pStyle w:val="6"/>
              <w:spacing w:before="164" w:line="228" w:lineRule="auto"/>
              <w:ind w:left="69"/>
            </w:pPr>
            <w:r>
              <w:rPr>
                <w:b/>
                <w:bCs/>
                <w:spacing w:val="5"/>
              </w:rPr>
              <w:t>相符性</w:t>
            </w:r>
          </w:p>
        </w:tc>
      </w:tr>
      <w:tr w14:paraId="413CB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7" w:hRule="atLeast"/>
        </w:trPr>
        <w:tc>
          <w:tcPr>
            <w:tcW w:w="411" w:type="dxa"/>
            <w:vMerge w:val="continue"/>
            <w:tcBorders>
              <w:top w:val="nil"/>
              <w:left w:val="single" w:color="000000" w:sz="6" w:space="0"/>
              <w:bottom w:val="nil"/>
            </w:tcBorders>
            <w:vAlign w:val="top"/>
          </w:tcPr>
          <w:p w14:paraId="02A5B295">
            <w:pPr>
              <w:rPr>
                <w:rFonts w:ascii="Arial"/>
                <w:sz w:val="21"/>
              </w:rPr>
            </w:pPr>
          </w:p>
        </w:tc>
        <w:tc>
          <w:tcPr>
            <w:tcW w:w="4602" w:type="dxa"/>
            <w:vAlign w:val="top"/>
          </w:tcPr>
          <w:p w14:paraId="0AD20849">
            <w:pPr>
              <w:pStyle w:val="6"/>
              <w:spacing w:before="30" w:line="227" w:lineRule="auto"/>
              <w:ind w:left="37"/>
            </w:pPr>
            <w:r>
              <w:rPr>
                <w:b/>
                <w:bCs/>
                <w:spacing w:val="4"/>
              </w:rPr>
              <w:t>基本原则：</w:t>
            </w:r>
          </w:p>
          <w:p w14:paraId="3F05D10A">
            <w:pPr>
              <w:pStyle w:val="6"/>
              <w:spacing w:before="28" w:line="253" w:lineRule="auto"/>
              <w:ind w:left="35" w:hanging="8"/>
              <w:jc w:val="both"/>
            </w:pPr>
            <w:r>
              <w:pict>
                <v:shape id="_x0000_s1027" o:spid="_x0000_s1027" style="position:absolute;left:0pt;margin-left:1.25pt;margin-top:-41.4pt;height:464.25pt;width:0.25pt;z-index:251662336;mso-width-relative:page;mso-height-relative:page;" filled="f" stroked="t" coordsize="5,9285" path="m2,0l2,9285e">
                  <v:fill on="f" focussize="0,0"/>
                  <v:stroke weight="0.24pt" color="#000000" miterlimit="2" joinstyle="bevel"/>
                  <v:imagedata o:title=""/>
                  <o:lock v:ext="edit"/>
                </v:shape>
              </w:pict>
            </w:r>
            <w:r>
              <w:rPr>
                <w:rFonts w:ascii="Times New Roman" w:hAnsi="Times New Roman" w:eastAsia="Times New Roman" w:cs="Times New Roman"/>
                <w:spacing w:val="5"/>
              </w:rPr>
              <w:t>——</w:t>
            </w:r>
            <w:r>
              <w:rPr>
                <w:spacing w:val="5"/>
              </w:rPr>
              <w:t>尊重自然、保护优先。牢固树立尊重自然、顺</w:t>
            </w:r>
            <w:r>
              <w:rPr>
                <w:spacing w:val="-2"/>
              </w:rPr>
              <w:t>应自然、保护自然的生态文明理念，坚持保护优先，</w:t>
            </w:r>
            <w:r>
              <w:rPr>
                <w:spacing w:val="4"/>
              </w:rPr>
              <w:t>综合运用自然恢复和人工修复两种手段，因地因时制宜、分区分类施策，对重要生态系统、生物物种及遗传资源实施有效保护，保障生物安全和生态安</w:t>
            </w:r>
            <w:r>
              <w:rPr>
                <w:spacing w:val="-1"/>
              </w:rPr>
              <w:t>全。</w:t>
            </w:r>
          </w:p>
        </w:tc>
        <w:tc>
          <w:tcPr>
            <w:tcW w:w="2326" w:type="dxa"/>
            <w:vAlign w:val="top"/>
          </w:tcPr>
          <w:p w14:paraId="6DFA8980">
            <w:pPr>
              <w:pStyle w:val="6"/>
              <w:spacing w:before="35" w:line="246" w:lineRule="auto"/>
              <w:ind w:left="9"/>
              <w:jc w:val="both"/>
            </w:pPr>
            <w:r>
              <w:rPr>
                <w:spacing w:val="10"/>
              </w:rPr>
              <w:t>本项目选址、选线已避让了环境敏感区。项目施工结束后对变电站、塔基临时施工场地、牵张场等进行植被恢复，项目占地不涉及重要生态系统、生物物种，不会对生物安全和</w:t>
            </w:r>
            <w:r>
              <w:rPr>
                <w:spacing w:val="7"/>
              </w:rPr>
              <w:t>生态安全造成威胁。</w:t>
            </w:r>
          </w:p>
        </w:tc>
        <w:tc>
          <w:tcPr>
            <w:tcW w:w="795" w:type="dxa"/>
            <w:tcBorders>
              <w:right w:val="single" w:color="000000" w:sz="6" w:space="0"/>
            </w:tcBorders>
            <w:vAlign w:val="top"/>
          </w:tcPr>
          <w:p w14:paraId="6E2AD456">
            <w:pPr>
              <w:spacing w:line="303" w:lineRule="auto"/>
              <w:rPr>
                <w:rFonts w:ascii="Arial"/>
                <w:sz w:val="21"/>
              </w:rPr>
            </w:pPr>
          </w:p>
          <w:p w14:paraId="25E25FB6">
            <w:pPr>
              <w:spacing w:line="303" w:lineRule="auto"/>
              <w:rPr>
                <w:rFonts w:ascii="Arial"/>
                <w:sz w:val="21"/>
              </w:rPr>
            </w:pPr>
          </w:p>
          <w:p w14:paraId="52259AC8">
            <w:pPr>
              <w:spacing w:line="304" w:lineRule="auto"/>
              <w:rPr>
                <w:rFonts w:ascii="Arial"/>
                <w:sz w:val="21"/>
              </w:rPr>
            </w:pPr>
          </w:p>
          <w:p w14:paraId="5A98EEBA">
            <w:pPr>
              <w:pStyle w:val="6"/>
              <w:spacing w:before="65" w:line="228" w:lineRule="auto"/>
              <w:ind w:left="176"/>
            </w:pPr>
            <w:r>
              <w:rPr>
                <w:spacing w:val="3"/>
              </w:rPr>
              <w:t>符合</w:t>
            </w:r>
          </w:p>
        </w:tc>
      </w:tr>
      <w:tr w14:paraId="0E38A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4" w:hRule="atLeast"/>
        </w:trPr>
        <w:tc>
          <w:tcPr>
            <w:tcW w:w="411" w:type="dxa"/>
            <w:vMerge w:val="continue"/>
            <w:tcBorders>
              <w:top w:val="nil"/>
              <w:left w:val="single" w:color="000000" w:sz="6" w:space="0"/>
              <w:bottom w:val="nil"/>
            </w:tcBorders>
            <w:vAlign w:val="top"/>
          </w:tcPr>
          <w:p w14:paraId="6CD96D75">
            <w:pPr>
              <w:rPr>
                <w:rFonts w:ascii="Arial"/>
                <w:sz w:val="21"/>
              </w:rPr>
            </w:pPr>
          </w:p>
        </w:tc>
        <w:tc>
          <w:tcPr>
            <w:tcW w:w="4602" w:type="dxa"/>
            <w:vAlign w:val="top"/>
          </w:tcPr>
          <w:p w14:paraId="66CBE68B">
            <w:pPr>
              <w:pStyle w:val="6"/>
              <w:spacing w:before="32" w:line="228" w:lineRule="auto"/>
              <w:ind w:left="47"/>
            </w:pPr>
            <w:r>
              <w:rPr>
                <w:b/>
                <w:bCs/>
                <w:spacing w:val="2"/>
              </w:rPr>
              <w:t>战略任务：</w:t>
            </w:r>
          </w:p>
          <w:p w14:paraId="060DA049">
            <w:pPr>
              <w:pStyle w:val="6"/>
              <w:spacing w:before="24" w:line="252" w:lineRule="auto"/>
              <w:ind w:left="36" w:hanging="9"/>
            </w:pPr>
            <w:r>
              <w:rPr>
                <w:rFonts w:ascii="Times New Roman" w:hAnsi="Times New Roman" w:eastAsia="Times New Roman" w:cs="Times New Roman"/>
                <w:spacing w:val="7"/>
              </w:rPr>
              <w:t>——</w:t>
            </w:r>
            <w:r>
              <w:rPr>
                <w:spacing w:val="7"/>
              </w:rPr>
              <w:t>完善生物多样性保护空间网络。科学构建国土空间开发保护新格局，严格生态空间管理，严守生</w:t>
            </w:r>
            <w:r>
              <w:rPr>
                <w:spacing w:val="6"/>
              </w:rPr>
              <w:t>态保护红线。</w:t>
            </w:r>
          </w:p>
          <w:p w14:paraId="77BA7C4E">
            <w:pPr>
              <w:pStyle w:val="6"/>
              <w:spacing w:before="1" w:line="237" w:lineRule="auto"/>
              <w:ind w:left="41" w:hanging="14"/>
            </w:pPr>
            <w:r>
              <w:rPr>
                <w:rFonts w:ascii="Times New Roman" w:hAnsi="Times New Roman" w:eastAsia="Times New Roman" w:cs="Times New Roman"/>
                <w:spacing w:val="7"/>
              </w:rPr>
              <w:t>——</w:t>
            </w:r>
            <w:r>
              <w:rPr>
                <w:spacing w:val="7"/>
              </w:rPr>
              <w:t>强化生物安全管理和风险防控。提高生物生态安全风险防范能力。强化外来入侵物种和有害生物</w:t>
            </w:r>
            <w:r>
              <w:rPr>
                <w:spacing w:val="8"/>
              </w:rPr>
              <w:t>防控治理，加强生物技术环境安全监管。</w:t>
            </w:r>
          </w:p>
        </w:tc>
        <w:tc>
          <w:tcPr>
            <w:tcW w:w="2326" w:type="dxa"/>
            <w:vAlign w:val="top"/>
          </w:tcPr>
          <w:p w14:paraId="04CBEFF5">
            <w:pPr>
              <w:pStyle w:val="6"/>
              <w:spacing w:before="33" w:line="251" w:lineRule="auto"/>
              <w:ind w:left="12" w:firstLine="13"/>
            </w:pPr>
            <w:r>
              <w:rPr>
                <w:rFonts w:ascii="Times New Roman" w:hAnsi="Times New Roman" w:eastAsia="Times New Roman" w:cs="Times New Roman"/>
                <w:spacing w:val="12"/>
              </w:rPr>
              <w:t>1.</w:t>
            </w:r>
            <w:r>
              <w:rPr>
                <w:spacing w:val="12"/>
              </w:rPr>
              <w:t>项目不占用生态保护红</w:t>
            </w:r>
            <w:r>
              <w:rPr>
                <w:spacing w:val="9"/>
              </w:rPr>
              <w:t>线，对生态保护红线无影</w:t>
            </w:r>
            <w:r>
              <w:rPr>
                <w:spacing w:val="-2"/>
              </w:rPr>
              <w:t>响。</w:t>
            </w:r>
          </w:p>
          <w:p w14:paraId="15F427E1">
            <w:pPr>
              <w:pStyle w:val="6"/>
              <w:spacing w:before="2" w:line="253" w:lineRule="auto"/>
              <w:ind w:left="8" w:hanging="2"/>
            </w:pPr>
            <w:r>
              <w:rPr>
                <w:rFonts w:ascii="Times New Roman" w:hAnsi="Times New Roman" w:eastAsia="Times New Roman" w:cs="Times New Roman"/>
                <w:spacing w:val="13"/>
              </w:rPr>
              <w:t>2.</w:t>
            </w:r>
            <w:r>
              <w:rPr>
                <w:spacing w:val="13"/>
              </w:rPr>
              <w:t>本项目植被恢复严禁引</w:t>
            </w:r>
            <w:r>
              <w:rPr>
                <w:spacing w:val="7"/>
              </w:rPr>
              <w:t>入外来入侵物种。</w:t>
            </w:r>
          </w:p>
        </w:tc>
        <w:tc>
          <w:tcPr>
            <w:tcW w:w="795" w:type="dxa"/>
            <w:tcBorders>
              <w:right w:val="single" w:color="000000" w:sz="6" w:space="0"/>
            </w:tcBorders>
            <w:vAlign w:val="top"/>
          </w:tcPr>
          <w:p w14:paraId="75479C6E">
            <w:pPr>
              <w:spacing w:line="259" w:lineRule="auto"/>
              <w:rPr>
                <w:rFonts w:ascii="Arial"/>
                <w:sz w:val="21"/>
              </w:rPr>
            </w:pPr>
          </w:p>
          <w:p w14:paraId="44FEDF1E">
            <w:pPr>
              <w:spacing w:line="259" w:lineRule="auto"/>
              <w:rPr>
                <w:rFonts w:ascii="Arial"/>
                <w:sz w:val="21"/>
              </w:rPr>
            </w:pPr>
          </w:p>
          <w:p w14:paraId="3374743C">
            <w:pPr>
              <w:spacing w:line="260" w:lineRule="auto"/>
              <w:rPr>
                <w:rFonts w:ascii="Arial"/>
                <w:sz w:val="21"/>
              </w:rPr>
            </w:pPr>
          </w:p>
          <w:p w14:paraId="30AF336C">
            <w:pPr>
              <w:pStyle w:val="6"/>
              <w:spacing w:before="65" w:line="228" w:lineRule="auto"/>
              <w:ind w:left="176"/>
            </w:pPr>
            <w:r>
              <w:rPr>
                <w:spacing w:val="3"/>
              </w:rPr>
              <w:t>符合</w:t>
            </w:r>
          </w:p>
        </w:tc>
      </w:tr>
      <w:tr w14:paraId="04C878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7" w:hRule="atLeast"/>
        </w:trPr>
        <w:tc>
          <w:tcPr>
            <w:tcW w:w="411" w:type="dxa"/>
            <w:vMerge w:val="continue"/>
            <w:tcBorders>
              <w:top w:val="nil"/>
              <w:left w:val="single" w:color="000000" w:sz="6" w:space="0"/>
              <w:bottom w:val="nil"/>
            </w:tcBorders>
            <w:vAlign w:val="top"/>
          </w:tcPr>
          <w:p w14:paraId="60FA14F7">
            <w:pPr>
              <w:rPr>
                <w:rFonts w:ascii="Arial"/>
                <w:sz w:val="21"/>
              </w:rPr>
            </w:pPr>
          </w:p>
        </w:tc>
        <w:tc>
          <w:tcPr>
            <w:tcW w:w="4602" w:type="dxa"/>
            <w:vAlign w:val="top"/>
          </w:tcPr>
          <w:p w14:paraId="141D8FFB">
            <w:pPr>
              <w:pStyle w:val="6"/>
              <w:spacing w:before="33" w:line="228" w:lineRule="auto"/>
              <w:ind w:left="37"/>
            </w:pPr>
            <w:r>
              <w:rPr>
                <w:b/>
                <w:bCs/>
                <w:spacing w:val="6"/>
              </w:rPr>
              <w:t>加强生态空间管控：</w:t>
            </w:r>
          </w:p>
          <w:p w14:paraId="0B4F3FA9">
            <w:pPr>
              <w:pStyle w:val="6"/>
              <w:spacing w:before="28" w:line="245" w:lineRule="auto"/>
              <w:ind w:left="36" w:firstLine="1"/>
              <w:jc w:val="both"/>
            </w:pPr>
            <w:r>
              <w:rPr>
                <w:spacing w:val="6"/>
              </w:rPr>
              <w:t>有序推动生态保护红线勘界定标，推进生态保护红线监管平台建设，加强人为活动管理管控，强化生</w:t>
            </w:r>
            <w:r>
              <w:rPr>
                <w:spacing w:val="7"/>
              </w:rPr>
              <w:t>态环境监督，确保生态保护红线生态功能不降低、</w:t>
            </w:r>
            <w:r>
              <w:rPr>
                <w:spacing w:val="6"/>
              </w:rPr>
              <w:t>面积不减少、性质不改变。优化生物多样性保护优先区域，强化区内大中型建设工程项目及矿产、能</w:t>
            </w:r>
            <w:r>
              <w:rPr>
                <w:spacing w:val="16"/>
              </w:rPr>
              <w:t>源、旅游等自然资源开发项目生物多样性影响评</w:t>
            </w:r>
            <w:r>
              <w:rPr>
                <w:spacing w:val="8"/>
              </w:rPr>
              <w:t>价，并加强事中事后生物多样性影响监测评估。</w:t>
            </w:r>
          </w:p>
        </w:tc>
        <w:tc>
          <w:tcPr>
            <w:tcW w:w="2326" w:type="dxa"/>
            <w:vAlign w:val="top"/>
          </w:tcPr>
          <w:p w14:paraId="6ED4E712">
            <w:pPr>
              <w:pStyle w:val="6"/>
              <w:spacing w:before="36" w:line="251" w:lineRule="auto"/>
              <w:ind w:left="12" w:firstLine="13"/>
            </w:pPr>
            <w:r>
              <w:rPr>
                <w:rFonts w:ascii="Times New Roman" w:hAnsi="Times New Roman" w:eastAsia="Times New Roman" w:cs="Times New Roman"/>
                <w:spacing w:val="-1"/>
              </w:rPr>
              <w:t>1</w:t>
            </w:r>
            <w:r>
              <w:rPr>
                <w:spacing w:val="-1"/>
              </w:rPr>
              <w:t>、项目不占用生态保护红</w:t>
            </w:r>
            <w:r>
              <w:rPr>
                <w:spacing w:val="9"/>
              </w:rPr>
              <w:t>线，对生态保护红线无影响，不会破坏生态红线功</w:t>
            </w:r>
            <w:r>
              <w:rPr>
                <w:spacing w:val="-2"/>
              </w:rPr>
              <w:t>能。</w:t>
            </w:r>
          </w:p>
          <w:p w14:paraId="2FE95ECA">
            <w:pPr>
              <w:pStyle w:val="6"/>
              <w:spacing w:before="1" w:line="251" w:lineRule="auto"/>
              <w:ind w:left="19" w:hanging="13"/>
            </w:pPr>
            <w:r>
              <w:rPr>
                <w:rFonts w:ascii="Times New Roman" w:hAnsi="Times New Roman" w:eastAsia="Times New Roman" w:cs="Times New Roman"/>
                <w:spacing w:val="1"/>
              </w:rPr>
              <w:t>2</w:t>
            </w:r>
            <w:r>
              <w:rPr>
                <w:spacing w:val="1"/>
              </w:rPr>
              <w:t>、项目不涉及云南省生物</w:t>
            </w:r>
            <w:r>
              <w:rPr>
                <w:spacing w:val="6"/>
              </w:rPr>
              <w:t>多样性优先区域。</w:t>
            </w:r>
          </w:p>
        </w:tc>
        <w:tc>
          <w:tcPr>
            <w:tcW w:w="795" w:type="dxa"/>
            <w:tcBorders>
              <w:right w:val="single" w:color="000000" w:sz="6" w:space="0"/>
            </w:tcBorders>
            <w:vAlign w:val="top"/>
          </w:tcPr>
          <w:p w14:paraId="33E923E7">
            <w:pPr>
              <w:spacing w:line="305" w:lineRule="auto"/>
              <w:rPr>
                <w:rFonts w:ascii="Arial"/>
                <w:sz w:val="21"/>
              </w:rPr>
            </w:pPr>
          </w:p>
          <w:p w14:paraId="4A3EE816">
            <w:pPr>
              <w:spacing w:line="305" w:lineRule="auto"/>
              <w:rPr>
                <w:rFonts w:ascii="Arial"/>
                <w:sz w:val="21"/>
              </w:rPr>
            </w:pPr>
          </w:p>
          <w:p w14:paraId="058D640C">
            <w:pPr>
              <w:spacing w:line="306" w:lineRule="auto"/>
              <w:rPr>
                <w:rFonts w:ascii="Arial"/>
                <w:sz w:val="21"/>
              </w:rPr>
            </w:pPr>
          </w:p>
          <w:p w14:paraId="3C56A0D8">
            <w:pPr>
              <w:pStyle w:val="6"/>
              <w:spacing w:before="65" w:line="228" w:lineRule="auto"/>
              <w:ind w:left="176"/>
            </w:pPr>
            <w:r>
              <w:rPr>
                <w:spacing w:val="3"/>
              </w:rPr>
              <w:t>符合</w:t>
            </w:r>
          </w:p>
        </w:tc>
      </w:tr>
      <w:tr w14:paraId="3E55E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8" w:hRule="atLeast"/>
        </w:trPr>
        <w:tc>
          <w:tcPr>
            <w:tcW w:w="411" w:type="dxa"/>
            <w:vMerge w:val="continue"/>
            <w:tcBorders>
              <w:top w:val="nil"/>
              <w:left w:val="single" w:color="000000" w:sz="6" w:space="0"/>
              <w:bottom w:val="nil"/>
            </w:tcBorders>
            <w:vAlign w:val="top"/>
          </w:tcPr>
          <w:p w14:paraId="2BE8A833">
            <w:pPr>
              <w:rPr>
                <w:rFonts w:ascii="Arial"/>
                <w:sz w:val="21"/>
              </w:rPr>
            </w:pPr>
          </w:p>
        </w:tc>
        <w:tc>
          <w:tcPr>
            <w:tcW w:w="4602" w:type="dxa"/>
            <w:vAlign w:val="top"/>
          </w:tcPr>
          <w:p w14:paraId="6C609C3C">
            <w:pPr>
              <w:pStyle w:val="6"/>
              <w:spacing w:before="35" w:line="228" w:lineRule="auto"/>
              <w:ind w:left="37"/>
            </w:pPr>
            <w:r>
              <w:rPr>
                <w:b/>
                <w:bCs/>
                <w:spacing w:val="6"/>
              </w:rPr>
              <w:t>修复重要生态系统：</w:t>
            </w:r>
          </w:p>
          <w:p w14:paraId="5BDCBD37">
            <w:pPr>
              <w:pStyle w:val="6"/>
              <w:spacing w:before="23" w:line="246" w:lineRule="auto"/>
              <w:ind w:left="37"/>
              <w:jc w:val="both"/>
            </w:pPr>
            <w:r>
              <w:rPr>
                <w:spacing w:val="7"/>
              </w:rPr>
              <w:t>加快推进三江并流区，金沙江干热河谷区，滇中高原湖泊，滇西北、横断山南缘和滇西南生物多样性保护区，以及滇东南、滇东北和滇中石漠化区重要</w:t>
            </w:r>
            <w:r>
              <w:rPr>
                <w:spacing w:val="17"/>
              </w:rPr>
              <w:t>生态系统保护修复。科学开展大规模国土绿化行</w:t>
            </w:r>
            <w:r>
              <w:rPr>
                <w:spacing w:val="7"/>
              </w:rPr>
              <w:t>动，重点绿化迹地、荒滩、荒废和受损山体、退化林地草地等，推进绿美云南建设。加强天然林和公益林管护，开展森林可持续经营，精准提升森林质</w:t>
            </w:r>
            <w:r>
              <w:t>量。</w:t>
            </w:r>
          </w:p>
        </w:tc>
        <w:tc>
          <w:tcPr>
            <w:tcW w:w="2326" w:type="dxa"/>
            <w:vAlign w:val="top"/>
          </w:tcPr>
          <w:p w14:paraId="0AFF3BF6">
            <w:pPr>
              <w:pStyle w:val="6"/>
              <w:spacing w:before="34" w:line="252" w:lineRule="auto"/>
              <w:ind w:left="9" w:firstLine="4"/>
              <w:jc w:val="both"/>
            </w:pPr>
            <w:r>
              <w:rPr>
                <w:spacing w:val="9"/>
              </w:rPr>
              <w:t>项目不涉及三江并流、金</w:t>
            </w:r>
            <w:r>
              <w:rPr>
                <w:spacing w:val="10"/>
              </w:rPr>
              <w:t>沙江干热河谷等重要生态</w:t>
            </w:r>
            <w:r>
              <w:rPr>
                <w:spacing w:val="9"/>
              </w:rPr>
              <w:t>系统，不涉及占用加强公</w:t>
            </w:r>
            <w:r>
              <w:rPr>
                <w:spacing w:val="10"/>
              </w:rPr>
              <w:t>益林和天然林。项目周边多为人工生态系统，项目施工完工后，全部进行绿化恢复，保护当地生态系</w:t>
            </w:r>
            <w:r>
              <w:t>统。</w:t>
            </w:r>
          </w:p>
        </w:tc>
        <w:tc>
          <w:tcPr>
            <w:tcW w:w="795" w:type="dxa"/>
            <w:tcBorders>
              <w:right w:val="single" w:color="000000" w:sz="6" w:space="0"/>
            </w:tcBorders>
            <w:vAlign w:val="top"/>
          </w:tcPr>
          <w:p w14:paraId="36D87BE5">
            <w:pPr>
              <w:spacing w:line="263" w:lineRule="auto"/>
              <w:rPr>
                <w:rFonts w:ascii="Arial"/>
                <w:sz w:val="21"/>
              </w:rPr>
            </w:pPr>
          </w:p>
          <w:p w14:paraId="08DDCF71">
            <w:pPr>
              <w:spacing w:line="263" w:lineRule="auto"/>
              <w:rPr>
                <w:rFonts w:ascii="Arial"/>
                <w:sz w:val="21"/>
              </w:rPr>
            </w:pPr>
          </w:p>
          <w:p w14:paraId="4B8154E9">
            <w:pPr>
              <w:spacing w:line="263" w:lineRule="auto"/>
              <w:rPr>
                <w:rFonts w:ascii="Arial"/>
                <w:sz w:val="21"/>
              </w:rPr>
            </w:pPr>
          </w:p>
          <w:p w14:paraId="357E3949">
            <w:pPr>
              <w:spacing w:line="264" w:lineRule="auto"/>
              <w:rPr>
                <w:rFonts w:ascii="Arial"/>
                <w:sz w:val="21"/>
              </w:rPr>
            </w:pPr>
          </w:p>
          <w:p w14:paraId="6C8113B0">
            <w:pPr>
              <w:pStyle w:val="6"/>
              <w:spacing w:before="65" w:line="228" w:lineRule="auto"/>
              <w:ind w:left="176"/>
            </w:pPr>
            <w:r>
              <w:rPr>
                <w:spacing w:val="3"/>
              </w:rPr>
              <w:t>符合</w:t>
            </w:r>
          </w:p>
        </w:tc>
      </w:tr>
      <w:tr w14:paraId="2BB56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3" w:hRule="atLeast"/>
        </w:trPr>
        <w:tc>
          <w:tcPr>
            <w:tcW w:w="411" w:type="dxa"/>
            <w:vMerge w:val="continue"/>
            <w:tcBorders>
              <w:top w:val="nil"/>
              <w:left w:val="single" w:color="000000" w:sz="6" w:space="0"/>
              <w:bottom w:val="single" w:color="000000" w:sz="6" w:space="0"/>
            </w:tcBorders>
            <w:vAlign w:val="top"/>
          </w:tcPr>
          <w:p w14:paraId="6AC9AA0C">
            <w:pPr>
              <w:rPr>
                <w:rFonts w:ascii="Arial"/>
                <w:sz w:val="21"/>
              </w:rPr>
            </w:pPr>
          </w:p>
        </w:tc>
        <w:tc>
          <w:tcPr>
            <w:tcW w:w="7723" w:type="dxa"/>
            <w:gridSpan w:val="3"/>
            <w:tcBorders>
              <w:bottom w:val="single" w:color="000000" w:sz="6" w:space="0"/>
              <w:right w:val="single" w:color="000000" w:sz="6" w:space="0"/>
            </w:tcBorders>
            <w:vAlign w:val="top"/>
          </w:tcPr>
          <w:p w14:paraId="605C6519">
            <w:pPr>
              <w:pStyle w:val="6"/>
              <w:spacing w:before="81" w:line="349" w:lineRule="auto"/>
              <w:ind w:left="129" w:right="116" w:firstLine="481"/>
              <w:jc w:val="both"/>
              <w:rPr>
                <w:sz w:val="24"/>
                <w:szCs w:val="24"/>
              </w:rPr>
            </w:pPr>
            <w:r>
              <w:rPr>
                <w:spacing w:val="1"/>
                <w:sz w:val="24"/>
                <w:szCs w:val="24"/>
              </w:rPr>
              <w:t>本项目不涉及占用生态保护红线、云南生物多样性优先</w:t>
            </w:r>
            <w:r>
              <w:rPr>
                <w:sz w:val="24"/>
                <w:szCs w:val="24"/>
              </w:rPr>
              <w:t>区域，不会</w:t>
            </w:r>
            <w:r>
              <w:rPr>
                <w:spacing w:val="1"/>
                <w:sz w:val="24"/>
                <w:szCs w:val="24"/>
              </w:rPr>
              <w:t>破坏项目区生态功能，且本项目占地面积不大，项目建设总</w:t>
            </w:r>
            <w:r>
              <w:rPr>
                <w:sz w:val="24"/>
                <w:szCs w:val="24"/>
              </w:rPr>
              <w:t>体对环境影</w:t>
            </w:r>
            <w:r>
              <w:rPr>
                <w:spacing w:val="1"/>
                <w:sz w:val="24"/>
                <w:szCs w:val="24"/>
              </w:rPr>
              <w:t>响较小。项目建设符合《云南省生物多样性保护战略与行动</w:t>
            </w:r>
            <w:r>
              <w:rPr>
                <w:sz w:val="24"/>
                <w:szCs w:val="24"/>
              </w:rPr>
              <w:t>计划（</w:t>
            </w:r>
            <w:r>
              <w:rPr>
                <w:rFonts w:ascii="Times New Roman" w:hAnsi="Times New Roman" w:eastAsia="Times New Roman" w:cs="Times New Roman"/>
                <w:sz w:val="24"/>
                <w:szCs w:val="24"/>
              </w:rPr>
              <w:t xml:space="preserve">2024 </w:t>
            </w:r>
            <w:r>
              <w:rPr>
                <w:spacing w:val="8"/>
                <w:sz w:val="24"/>
                <w:szCs w:val="24"/>
              </w:rPr>
              <w:t>-</w:t>
            </w:r>
            <w:r>
              <w:rPr>
                <w:rFonts w:ascii="Times New Roman" w:hAnsi="Times New Roman" w:eastAsia="Times New Roman" w:cs="Times New Roman"/>
                <w:spacing w:val="8"/>
                <w:sz w:val="24"/>
                <w:szCs w:val="24"/>
              </w:rPr>
              <w:t xml:space="preserve">2030 </w:t>
            </w:r>
            <w:r>
              <w:rPr>
                <w:spacing w:val="8"/>
                <w:sz w:val="24"/>
                <w:szCs w:val="24"/>
              </w:rPr>
              <w:t>年）》的要求。</w:t>
            </w:r>
          </w:p>
          <w:p w14:paraId="31B7AEC8">
            <w:pPr>
              <w:pStyle w:val="6"/>
              <w:spacing w:line="218" w:lineRule="auto"/>
              <w:ind w:left="494"/>
              <w:rPr>
                <w:sz w:val="24"/>
                <w:szCs w:val="24"/>
              </w:rPr>
            </w:pPr>
            <w:r>
              <w:rPr>
                <w:rFonts w:ascii="Times New Roman" w:hAnsi="Times New Roman" w:eastAsia="Times New Roman" w:cs="Times New Roman"/>
                <w:b/>
                <w:bCs/>
                <w:spacing w:val="-5"/>
                <w:sz w:val="24"/>
                <w:szCs w:val="24"/>
              </w:rPr>
              <w:t>6</w:t>
            </w:r>
            <w:r>
              <w:rPr>
                <w:rFonts w:ascii="Times New Roman" w:hAnsi="Times New Roman" w:eastAsia="Times New Roman" w:cs="Times New Roman"/>
                <w:b/>
                <w:bCs/>
                <w:spacing w:val="-19"/>
                <w:sz w:val="24"/>
                <w:szCs w:val="24"/>
              </w:rPr>
              <w:t xml:space="preserve"> </w:t>
            </w:r>
            <w:r>
              <w:rPr>
                <w:b/>
                <w:bCs/>
                <w:spacing w:val="-5"/>
                <w:sz w:val="24"/>
                <w:szCs w:val="24"/>
              </w:rPr>
              <w:t>、与《曲靖市生态环境保护“十四五</w:t>
            </w:r>
            <w:r>
              <w:rPr>
                <w:spacing w:val="-85"/>
                <w:sz w:val="24"/>
                <w:szCs w:val="24"/>
              </w:rPr>
              <w:t xml:space="preserve"> </w:t>
            </w:r>
            <w:r>
              <w:rPr>
                <w:b/>
                <w:bCs/>
                <w:spacing w:val="-5"/>
                <w:sz w:val="24"/>
                <w:szCs w:val="24"/>
              </w:rPr>
              <w:t>”规划》的符合性</w:t>
            </w:r>
          </w:p>
          <w:p w14:paraId="129B55E3">
            <w:pPr>
              <w:pStyle w:val="6"/>
              <w:spacing w:before="218" w:line="340" w:lineRule="auto"/>
              <w:ind w:left="135" w:right="116" w:firstLine="475"/>
              <w:rPr>
                <w:sz w:val="24"/>
                <w:szCs w:val="24"/>
              </w:rPr>
            </w:pPr>
            <w:r>
              <w:rPr>
                <w:sz w:val="24"/>
                <w:szCs w:val="24"/>
              </w:rPr>
              <w:t>规划以“减污降碳协同增效</w:t>
            </w:r>
            <w:r>
              <w:rPr>
                <w:spacing w:val="-86"/>
                <w:sz w:val="24"/>
                <w:szCs w:val="24"/>
              </w:rPr>
              <w:t xml:space="preserve"> </w:t>
            </w:r>
            <w:r>
              <w:rPr>
                <w:sz w:val="24"/>
                <w:szCs w:val="24"/>
              </w:rPr>
              <w:t>”为核心，统筹</w:t>
            </w:r>
            <w:r>
              <w:rPr>
                <w:spacing w:val="-1"/>
                <w:sz w:val="24"/>
                <w:szCs w:val="24"/>
              </w:rPr>
              <w:t>生态保护与绿色发展，</w:t>
            </w:r>
            <w:r>
              <w:rPr>
                <w:spacing w:val="1"/>
                <w:sz w:val="24"/>
                <w:szCs w:val="24"/>
              </w:rPr>
              <w:t>强调空间管控、污染治理、风险防控和制度</w:t>
            </w:r>
            <w:r>
              <w:rPr>
                <w:sz w:val="24"/>
                <w:szCs w:val="24"/>
              </w:rPr>
              <w:t>创新，旨在构建生态安全屏</w:t>
            </w:r>
          </w:p>
        </w:tc>
      </w:tr>
    </w:tbl>
    <w:p w14:paraId="53EB702F">
      <w:pPr>
        <w:rPr>
          <w:rFonts w:ascii="Arial"/>
          <w:sz w:val="21"/>
        </w:rPr>
      </w:pPr>
    </w:p>
    <w:p w14:paraId="788F2668">
      <w:pPr>
        <w:rPr>
          <w:rFonts w:ascii="Arial" w:hAnsi="Arial" w:eastAsia="Arial" w:cs="Arial"/>
          <w:sz w:val="21"/>
          <w:szCs w:val="21"/>
        </w:rPr>
        <w:sectPr>
          <w:footerReference r:id="rId16" w:type="default"/>
          <w:pgSz w:w="11907" w:h="16840"/>
          <w:pgMar w:top="400" w:right="1786" w:bottom="1240" w:left="1774" w:header="0" w:footer="1077" w:gutter="0"/>
          <w:cols w:space="720" w:num="1"/>
        </w:sectPr>
      </w:pPr>
    </w:p>
    <w:p w14:paraId="393EBC8A">
      <w:pPr>
        <w:spacing w:before="19"/>
      </w:pPr>
    </w:p>
    <w:p w14:paraId="4D51B0E4">
      <w:pPr>
        <w:spacing w:before="19"/>
      </w:pPr>
    </w:p>
    <w:p w14:paraId="4636DBBC">
      <w:pPr>
        <w:spacing w:before="18"/>
      </w:pPr>
    </w:p>
    <w:p w14:paraId="6A22A515">
      <w:pPr>
        <w:spacing w:before="18"/>
      </w:pPr>
    </w:p>
    <w:tbl>
      <w:tblPr>
        <w:tblStyle w:val="5"/>
        <w:tblW w:w="81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11"/>
        <w:gridCol w:w="7723"/>
      </w:tblGrid>
      <w:tr w14:paraId="40447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943" w:hRule="atLeast"/>
        </w:trPr>
        <w:tc>
          <w:tcPr>
            <w:tcW w:w="411" w:type="dxa"/>
            <w:tcBorders>
              <w:right w:val="single" w:color="000000" w:sz="2" w:space="0"/>
            </w:tcBorders>
            <w:vAlign w:val="top"/>
          </w:tcPr>
          <w:p w14:paraId="661BBF56">
            <w:pPr>
              <w:rPr>
                <w:rFonts w:ascii="Arial"/>
                <w:sz w:val="21"/>
              </w:rPr>
            </w:pPr>
          </w:p>
        </w:tc>
        <w:tc>
          <w:tcPr>
            <w:tcW w:w="7723" w:type="dxa"/>
            <w:tcBorders>
              <w:left w:val="single" w:color="000000" w:sz="2" w:space="0"/>
            </w:tcBorders>
            <w:vAlign w:val="top"/>
          </w:tcPr>
          <w:p w14:paraId="0B351318">
            <w:pPr>
              <w:pStyle w:val="6"/>
              <w:spacing w:before="55" w:line="351" w:lineRule="auto"/>
              <w:ind w:left="135" w:right="116" w:firstLine="6"/>
              <w:rPr>
                <w:sz w:val="24"/>
                <w:szCs w:val="24"/>
              </w:rPr>
            </w:pPr>
            <w:r>
              <w:rPr>
                <w:sz w:val="24"/>
                <w:szCs w:val="24"/>
              </w:rPr>
              <w:t>障，推动曲靖成为生态文明建设排头兵。具体实施需结合生态环境分区</w:t>
            </w:r>
            <w:r>
              <w:rPr>
                <w:spacing w:val="-1"/>
                <w:sz w:val="24"/>
                <w:szCs w:val="24"/>
              </w:rPr>
              <w:t>管控要求，确保项目与规划目标一致。</w:t>
            </w:r>
          </w:p>
          <w:p w14:paraId="01272F14">
            <w:pPr>
              <w:pStyle w:val="6"/>
              <w:spacing w:before="32" w:line="349" w:lineRule="auto"/>
              <w:ind w:left="129" w:right="40" w:firstLine="480"/>
              <w:rPr>
                <w:sz w:val="24"/>
                <w:szCs w:val="24"/>
              </w:rPr>
            </w:pPr>
            <w:r>
              <w:rPr>
                <w:spacing w:val="-1"/>
                <w:sz w:val="24"/>
                <w:szCs w:val="24"/>
              </w:rPr>
              <w:t>本项目不涉及世界文化和自然遗产地、</w:t>
            </w:r>
            <w:r>
              <w:rPr>
                <w:spacing w:val="-67"/>
                <w:sz w:val="24"/>
                <w:szCs w:val="24"/>
              </w:rPr>
              <w:t xml:space="preserve"> </w:t>
            </w:r>
            <w:r>
              <w:rPr>
                <w:spacing w:val="-1"/>
                <w:sz w:val="24"/>
                <w:szCs w:val="24"/>
              </w:rPr>
              <w:t>自然保护区、国家公园、森</w:t>
            </w:r>
            <w:r>
              <w:rPr>
                <w:spacing w:val="2"/>
                <w:sz w:val="24"/>
                <w:szCs w:val="24"/>
              </w:rPr>
              <w:t>林公园、湿地公园、地质公园、风景名胜区、</w:t>
            </w:r>
            <w:r>
              <w:rPr>
                <w:spacing w:val="1"/>
                <w:sz w:val="24"/>
                <w:szCs w:val="24"/>
              </w:rPr>
              <w:t>集中式饮用水源保护区、重要湿地、水产种质资源保护区，项目无法完全避让生态</w:t>
            </w:r>
            <w:r>
              <w:rPr>
                <w:sz w:val="24"/>
                <w:szCs w:val="24"/>
              </w:rPr>
              <w:t>保护红线。经</w:t>
            </w:r>
            <w:r>
              <w:rPr>
                <w:spacing w:val="-12"/>
                <w:sz w:val="24"/>
                <w:szCs w:val="24"/>
              </w:rPr>
              <w:t>与《曲靖市生态环境分区管控动态更新方案（</w:t>
            </w:r>
            <w:r>
              <w:rPr>
                <w:rFonts w:ascii="Times New Roman" w:hAnsi="Times New Roman" w:eastAsia="Times New Roman" w:cs="Times New Roman"/>
                <w:spacing w:val="-12"/>
                <w:sz w:val="24"/>
                <w:szCs w:val="24"/>
              </w:rPr>
              <w:t xml:space="preserve">2023 </w:t>
            </w:r>
            <w:r>
              <w:rPr>
                <w:spacing w:val="-12"/>
                <w:sz w:val="24"/>
                <w:szCs w:val="24"/>
              </w:rPr>
              <w:t>年）》（曲环通〔</w:t>
            </w:r>
            <w:r>
              <w:rPr>
                <w:rFonts w:ascii="Times New Roman" w:hAnsi="Times New Roman" w:eastAsia="Times New Roman" w:cs="Times New Roman"/>
                <w:spacing w:val="-12"/>
                <w:sz w:val="24"/>
                <w:szCs w:val="24"/>
              </w:rPr>
              <w:t>2024</w:t>
            </w:r>
            <w:r>
              <w:rPr>
                <w:spacing w:val="-12"/>
                <w:sz w:val="24"/>
                <w:szCs w:val="24"/>
              </w:rPr>
              <w:t>〕</w:t>
            </w:r>
            <w:r>
              <w:rPr>
                <w:spacing w:val="17"/>
                <w:sz w:val="24"/>
                <w:szCs w:val="24"/>
              </w:rPr>
              <w:t xml:space="preserve"> </w:t>
            </w:r>
            <w:r>
              <w:rPr>
                <w:rFonts w:ascii="Times New Roman" w:hAnsi="Times New Roman" w:eastAsia="Times New Roman" w:cs="Times New Roman"/>
                <w:spacing w:val="-2"/>
                <w:sz w:val="24"/>
                <w:szCs w:val="24"/>
              </w:rPr>
              <w:t>36</w:t>
            </w:r>
            <w:r>
              <w:rPr>
                <w:rFonts w:ascii="Times New Roman" w:hAnsi="Times New Roman" w:eastAsia="Times New Roman" w:cs="Times New Roman"/>
                <w:spacing w:val="29"/>
                <w:w w:val="101"/>
                <w:sz w:val="24"/>
                <w:szCs w:val="24"/>
              </w:rPr>
              <w:t xml:space="preserve"> </w:t>
            </w:r>
            <w:r>
              <w:rPr>
                <w:spacing w:val="-2"/>
                <w:sz w:val="24"/>
                <w:szCs w:val="24"/>
              </w:rPr>
              <w:t>号）对照分析，项目符合生态环境分区管控的要求，涉及永久基本农</w:t>
            </w:r>
            <w:r>
              <w:rPr>
                <w:spacing w:val="1"/>
                <w:sz w:val="24"/>
                <w:szCs w:val="24"/>
              </w:rPr>
              <w:t>田符合法律法规的相关规定。项目将依法办理用林、用地</w:t>
            </w:r>
            <w:r>
              <w:rPr>
                <w:sz w:val="24"/>
                <w:szCs w:val="24"/>
              </w:rPr>
              <w:t>手续，建成投</w:t>
            </w:r>
            <w:r>
              <w:rPr>
                <w:spacing w:val="1"/>
                <w:sz w:val="24"/>
                <w:szCs w:val="24"/>
              </w:rPr>
              <w:t>运后无生产废气、废水排放，噪声、工频电磁场满足标准</w:t>
            </w:r>
            <w:r>
              <w:rPr>
                <w:sz w:val="24"/>
                <w:szCs w:val="24"/>
              </w:rPr>
              <w:t>要求，不会对</w:t>
            </w:r>
            <w:r>
              <w:rPr>
                <w:spacing w:val="1"/>
                <w:sz w:val="24"/>
                <w:szCs w:val="24"/>
              </w:rPr>
              <w:t>线路沿线的生态环境造成明显的影响，与《曲靖市生态环</w:t>
            </w:r>
            <w:r>
              <w:rPr>
                <w:sz w:val="24"/>
                <w:szCs w:val="24"/>
              </w:rPr>
              <w:t>境保护“十四</w:t>
            </w:r>
            <w:r>
              <w:rPr>
                <w:spacing w:val="-4"/>
                <w:sz w:val="24"/>
                <w:szCs w:val="24"/>
              </w:rPr>
              <w:t>五</w:t>
            </w:r>
            <w:r>
              <w:rPr>
                <w:spacing w:val="-87"/>
                <w:sz w:val="24"/>
                <w:szCs w:val="24"/>
              </w:rPr>
              <w:t xml:space="preserve"> </w:t>
            </w:r>
            <w:r>
              <w:rPr>
                <w:spacing w:val="-4"/>
                <w:sz w:val="24"/>
                <w:szCs w:val="24"/>
              </w:rPr>
              <w:t>”规划》是相协调的。</w:t>
            </w:r>
          </w:p>
          <w:p w14:paraId="6A19A9EF">
            <w:pPr>
              <w:pStyle w:val="6"/>
              <w:spacing w:before="2" w:line="359" w:lineRule="auto"/>
              <w:ind w:left="16" w:right="13" w:hanging="3"/>
              <w:rPr>
                <w:sz w:val="24"/>
                <w:szCs w:val="24"/>
              </w:rPr>
            </w:pPr>
            <w:r>
              <w:rPr>
                <w:rFonts w:ascii="Times New Roman" w:hAnsi="Times New Roman" w:eastAsia="Times New Roman" w:cs="Times New Roman"/>
                <w:b/>
                <w:bCs/>
                <w:spacing w:val="1"/>
                <w:sz w:val="24"/>
                <w:szCs w:val="24"/>
              </w:rPr>
              <w:t>7</w:t>
            </w:r>
            <w:r>
              <w:rPr>
                <w:rFonts w:ascii="Times New Roman" w:hAnsi="Times New Roman" w:eastAsia="Times New Roman" w:cs="Times New Roman"/>
                <w:b/>
                <w:bCs/>
                <w:spacing w:val="-29"/>
                <w:sz w:val="24"/>
                <w:szCs w:val="24"/>
              </w:rPr>
              <w:t xml:space="preserve"> </w:t>
            </w:r>
            <w:r>
              <w:rPr>
                <w:b/>
                <w:bCs/>
                <w:spacing w:val="1"/>
                <w:sz w:val="24"/>
                <w:szCs w:val="24"/>
              </w:rPr>
              <w:t>、与《曲靖市生态环境分区管控动态更新方案</w:t>
            </w:r>
            <w:r>
              <w:rPr>
                <w:b/>
                <w:bCs/>
                <w:sz w:val="24"/>
                <w:szCs w:val="24"/>
              </w:rPr>
              <w:t>（</w:t>
            </w:r>
            <w:r>
              <w:rPr>
                <w:rFonts w:ascii="Times New Roman" w:hAnsi="Times New Roman" w:eastAsia="Times New Roman" w:cs="Times New Roman"/>
                <w:b/>
                <w:bCs/>
                <w:sz w:val="24"/>
                <w:szCs w:val="24"/>
              </w:rPr>
              <w:t>2023</w:t>
            </w:r>
            <w:r>
              <w:rPr>
                <w:b/>
                <w:bCs/>
                <w:sz w:val="24"/>
                <w:szCs w:val="24"/>
              </w:rPr>
              <w:t>年）》的符合性分</w:t>
            </w:r>
            <w:r>
              <w:rPr>
                <w:b/>
                <w:bCs/>
                <w:spacing w:val="-3"/>
                <w:sz w:val="24"/>
                <w:szCs w:val="24"/>
              </w:rPr>
              <w:t>析</w:t>
            </w:r>
          </w:p>
          <w:p w14:paraId="0DBDD55C">
            <w:pPr>
              <w:pStyle w:val="6"/>
              <w:spacing w:before="5" w:line="358" w:lineRule="auto"/>
              <w:ind w:left="14" w:firstLine="502"/>
              <w:rPr>
                <w:sz w:val="24"/>
                <w:szCs w:val="24"/>
              </w:rPr>
            </w:pPr>
            <w:r>
              <w:rPr>
                <w:spacing w:val="-5"/>
                <w:sz w:val="24"/>
                <w:szCs w:val="24"/>
              </w:rPr>
              <w:t>曲靖市人民政府于</w:t>
            </w:r>
            <w:r>
              <w:rPr>
                <w:spacing w:val="-53"/>
                <w:sz w:val="24"/>
                <w:szCs w:val="24"/>
              </w:rPr>
              <w:t xml:space="preserve"> </w:t>
            </w:r>
            <w:r>
              <w:rPr>
                <w:rFonts w:ascii="Times New Roman" w:hAnsi="Times New Roman" w:eastAsia="Times New Roman" w:cs="Times New Roman"/>
                <w:spacing w:val="-5"/>
                <w:sz w:val="24"/>
                <w:szCs w:val="24"/>
              </w:rPr>
              <w:t xml:space="preserve">2021 </w:t>
            </w:r>
            <w:r>
              <w:rPr>
                <w:spacing w:val="-5"/>
                <w:sz w:val="24"/>
                <w:szCs w:val="24"/>
              </w:rPr>
              <w:t>年</w:t>
            </w:r>
            <w:r>
              <w:rPr>
                <w:spacing w:val="-49"/>
                <w:sz w:val="24"/>
                <w:szCs w:val="24"/>
              </w:rPr>
              <w:t xml:space="preserve"> </w:t>
            </w:r>
            <w:r>
              <w:rPr>
                <w:rFonts w:ascii="Times New Roman" w:hAnsi="Times New Roman" w:eastAsia="Times New Roman" w:cs="Times New Roman"/>
                <w:spacing w:val="-5"/>
                <w:sz w:val="24"/>
                <w:szCs w:val="24"/>
              </w:rPr>
              <w:t>7</w:t>
            </w:r>
            <w:r>
              <w:rPr>
                <w:rFonts w:ascii="Times New Roman" w:hAnsi="Times New Roman" w:eastAsia="Times New Roman" w:cs="Times New Roman"/>
                <w:spacing w:val="14"/>
                <w:sz w:val="24"/>
                <w:szCs w:val="24"/>
              </w:rPr>
              <w:t xml:space="preserve"> </w:t>
            </w:r>
            <w:r>
              <w:rPr>
                <w:spacing w:val="-5"/>
                <w:sz w:val="24"/>
                <w:szCs w:val="24"/>
              </w:rPr>
              <w:t>月</w:t>
            </w:r>
            <w:r>
              <w:rPr>
                <w:spacing w:val="-49"/>
                <w:sz w:val="24"/>
                <w:szCs w:val="24"/>
              </w:rPr>
              <w:t xml:space="preserve"> </w:t>
            </w:r>
            <w:r>
              <w:rPr>
                <w:rFonts w:ascii="Times New Roman" w:hAnsi="Times New Roman" w:eastAsia="Times New Roman" w:cs="Times New Roman"/>
                <w:spacing w:val="-5"/>
                <w:sz w:val="24"/>
                <w:szCs w:val="24"/>
              </w:rPr>
              <w:t xml:space="preserve">30  </w:t>
            </w:r>
            <w:r>
              <w:rPr>
                <w:spacing w:val="-5"/>
                <w:sz w:val="24"/>
                <w:szCs w:val="24"/>
              </w:rPr>
              <w:t>日颁布了《曲靖市</w:t>
            </w:r>
            <w:r>
              <w:rPr>
                <w:rFonts w:ascii="Times New Roman" w:hAnsi="Times New Roman" w:eastAsia="Times New Roman" w:cs="Times New Roman"/>
                <w:spacing w:val="-5"/>
                <w:sz w:val="24"/>
                <w:szCs w:val="24"/>
              </w:rPr>
              <w:t>“</w:t>
            </w:r>
            <w:r>
              <w:rPr>
                <w:spacing w:val="-5"/>
                <w:sz w:val="24"/>
                <w:szCs w:val="24"/>
              </w:rPr>
              <w:t>三线一单</w:t>
            </w:r>
            <w:r>
              <w:rPr>
                <w:rFonts w:ascii="Times New Roman" w:hAnsi="Times New Roman" w:eastAsia="Times New Roman" w:cs="Times New Roman"/>
                <w:spacing w:val="-5"/>
                <w:sz w:val="24"/>
                <w:szCs w:val="24"/>
              </w:rPr>
              <w:t>”</w:t>
            </w:r>
            <w:r>
              <w:rPr>
                <w:spacing w:val="-5"/>
                <w:sz w:val="24"/>
                <w:szCs w:val="24"/>
              </w:rPr>
              <w:t>生态</w:t>
            </w:r>
            <w:r>
              <w:rPr>
                <w:sz w:val="24"/>
                <w:szCs w:val="24"/>
              </w:rPr>
              <w:t>环境分区管控实施方案》（曲政发〔</w:t>
            </w:r>
            <w:r>
              <w:rPr>
                <w:rFonts w:ascii="Times New Roman" w:hAnsi="Times New Roman" w:eastAsia="Times New Roman" w:cs="Times New Roman"/>
                <w:sz w:val="24"/>
                <w:szCs w:val="24"/>
              </w:rPr>
              <w:t>2021</w:t>
            </w:r>
            <w:r>
              <w:rPr>
                <w:sz w:val="24"/>
                <w:szCs w:val="24"/>
              </w:rPr>
              <w:t>〕</w:t>
            </w:r>
            <w:r>
              <w:rPr>
                <w:rFonts w:ascii="Times New Roman" w:hAnsi="Times New Roman" w:eastAsia="Times New Roman" w:cs="Times New Roman"/>
                <w:sz w:val="24"/>
                <w:szCs w:val="24"/>
              </w:rPr>
              <w:t>2</w:t>
            </w:r>
            <w:r>
              <w:rPr>
                <w:rFonts w:ascii="Times New Roman" w:hAnsi="Times New Roman" w:eastAsia="Times New Roman" w:cs="Times New Roman"/>
                <w:spacing w:val="-1"/>
                <w:sz w:val="24"/>
                <w:szCs w:val="24"/>
              </w:rPr>
              <w:t>7</w:t>
            </w:r>
            <w:r>
              <w:rPr>
                <w:rFonts w:ascii="Times New Roman" w:hAnsi="Times New Roman" w:eastAsia="Times New Roman" w:cs="Times New Roman"/>
                <w:spacing w:val="17"/>
                <w:w w:val="101"/>
                <w:sz w:val="24"/>
                <w:szCs w:val="24"/>
              </w:rPr>
              <w:t xml:space="preserve"> </w:t>
            </w:r>
            <w:r>
              <w:rPr>
                <w:spacing w:val="-1"/>
                <w:sz w:val="24"/>
                <w:szCs w:val="24"/>
              </w:rPr>
              <w:t>号</w:t>
            </w:r>
            <w:r>
              <w:rPr>
                <w:spacing w:val="6"/>
                <w:sz w:val="24"/>
                <w:szCs w:val="24"/>
              </w:rPr>
              <w:t>），</w:t>
            </w:r>
            <w:r>
              <w:rPr>
                <w:spacing w:val="-1"/>
                <w:sz w:val="24"/>
                <w:szCs w:val="24"/>
              </w:rPr>
              <w:t>对</w:t>
            </w:r>
            <w:r>
              <w:rPr>
                <w:rFonts w:ascii="Times New Roman" w:hAnsi="Times New Roman" w:eastAsia="Times New Roman" w:cs="Times New Roman"/>
                <w:spacing w:val="-1"/>
                <w:sz w:val="24"/>
                <w:szCs w:val="24"/>
              </w:rPr>
              <w:t>“</w:t>
            </w:r>
            <w:r>
              <w:rPr>
                <w:spacing w:val="-1"/>
                <w:sz w:val="24"/>
                <w:szCs w:val="24"/>
              </w:rPr>
              <w:t>生态保护红线、</w:t>
            </w:r>
            <w:r>
              <w:rPr>
                <w:spacing w:val="-9"/>
                <w:sz w:val="24"/>
                <w:szCs w:val="24"/>
              </w:rPr>
              <w:t>环境质量底线、资源利用上线和生态环境准入清单</w:t>
            </w:r>
            <w:r>
              <w:rPr>
                <w:rFonts w:ascii="Times New Roman" w:hAnsi="Times New Roman" w:eastAsia="Times New Roman" w:cs="Times New Roman"/>
                <w:spacing w:val="-9"/>
                <w:sz w:val="24"/>
                <w:szCs w:val="24"/>
              </w:rPr>
              <w:t>”</w:t>
            </w:r>
            <w:r>
              <w:rPr>
                <w:spacing w:val="-9"/>
                <w:sz w:val="24"/>
                <w:szCs w:val="24"/>
              </w:rPr>
              <w:t>（以下简称</w:t>
            </w:r>
            <w:r>
              <w:rPr>
                <w:rFonts w:ascii="Times New Roman" w:hAnsi="Times New Roman" w:eastAsia="Times New Roman" w:cs="Times New Roman"/>
                <w:spacing w:val="-9"/>
                <w:sz w:val="24"/>
                <w:szCs w:val="24"/>
              </w:rPr>
              <w:t>“</w:t>
            </w:r>
            <w:r>
              <w:rPr>
                <w:spacing w:val="-9"/>
                <w:sz w:val="24"/>
                <w:szCs w:val="24"/>
              </w:rPr>
              <w:t>三线一单</w:t>
            </w:r>
            <w:r>
              <w:rPr>
                <w:rFonts w:ascii="Times New Roman" w:hAnsi="Times New Roman" w:eastAsia="Times New Roman" w:cs="Times New Roman"/>
                <w:spacing w:val="-9"/>
                <w:sz w:val="24"/>
                <w:szCs w:val="24"/>
              </w:rPr>
              <w:t>”</w:t>
            </w:r>
            <w:r>
              <w:rPr>
                <w:spacing w:val="-9"/>
                <w:sz w:val="24"/>
                <w:szCs w:val="24"/>
              </w:rPr>
              <w:t>）</w:t>
            </w:r>
            <w:r>
              <w:rPr>
                <w:spacing w:val="-10"/>
                <w:sz w:val="24"/>
                <w:szCs w:val="24"/>
              </w:rPr>
              <w:t>提出了生态环境分区管控意见，明确了管控原则，并于</w:t>
            </w:r>
            <w:r>
              <w:rPr>
                <w:spacing w:val="-43"/>
                <w:sz w:val="24"/>
                <w:szCs w:val="24"/>
              </w:rPr>
              <w:t xml:space="preserve"> </w:t>
            </w:r>
            <w:r>
              <w:rPr>
                <w:rFonts w:ascii="Times New Roman" w:hAnsi="Times New Roman" w:eastAsia="Times New Roman" w:cs="Times New Roman"/>
                <w:spacing w:val="-10"/>
                <w:sz w:val="24"/>
                <w:szCs w:val="24"/>
              </w:rPr>
              <w:t xml:space="preserve">2023 </w:t>
            </w:r>
            <w:r>
              <w:rPr>
                <w:spacing w:val="-10"/>
                <w:sz w:val="24"/>
                <w:szCs w:val="24"/>
              </w:rPr>
              <w:t>年进行了更新，</w:t>
            </w:r>
            <w:r>
              <w:rPr>
                <w:spacing w:val="-1"/>
                <w:sz w:val="24"/>
                <w:szCs w:val="24"/>
              </w:rPr>
              <w:t>更新后文件为《曲靖市生态环境分区管控动态更新方案（</w:t>
            </w:r>
            <w:r>
              <w:rPr>
                <w:rFonts w:ascii="Times New Roman" w:hAnsi="Times New Roman" w:eastAsia="Times New Roman" w:cs="Times New Roman"/>
                <w:spacing w:val="-1"/>
                <w:sz w:val="24"/>
                <w:szCs w:val="24"/>
              </w:rPr>
              <w:t>2023</w:t>
            </w:r>
            <w:r>
              <w:rPr>
                <w:spacing w:val="-1"/>
                <w:sz w:val="24"/>
                <w:szCs w:val="24"/>
              </w:rPr>
              <w:t>年）》。</w:t>
            </w:r>
          </w:p>
          <w:p w14:paraId="35A6127A">
            <w:pPr>
              <w:pStyle w:val="6"/>
              <w:spacing w:line="220" w:lineRule="auto"/>
              <w:ind w:left="506"/>
              <w:rPr>
                <w:sz w:val="24"/>
                <w:szCs w:val="24"/>
              </w:rPr>
            </w:pPr>
            <w:r>
              <w:rPr>
                <w:b/>
                <w:bCs/>
                <w:spacing w:val="-5"/>
                <w:sz w:val="24"/>
                <w:szCs w:val="24"/>
              </w:rPr>
              <w:t>（</w:t>
            </w:r>
            <w:r>
              <w:rPr>
                <w:rFonts w:ascii="Times New Roman" w:hAnsi="Times New Roman" w:eastAsia="Times New Roman" w:cs="Times New Roman"/>
                <w:b/>
                <w:bCs/>
                <w:spacing w:val="-5"/>
                <w:sz w:val="24"/>
                <w:szCs w:val="24"/>
              </w:rPr>
              <w:t>1</w:t>
            </w:r>
            <w:r>
              <w:rPr>
                <w:b/>
                <w:bCs/>
                <w:spacing w:val="-5"/>
                <w:sz w:val="24"/>
                <w:szCs w:val="24"/>
              </w:rPr>
              <w:t>）生态保护红线</w:t>
            </w:r>
          </w:p>
          <w:p w14:paraId="23A5B737">
            <w:pPr>
              <w:pStyle w:val="6"/>
              <w:spacing w:before="182" w:line="359" w:lineRule="auto"/>
              <w:ind w:left="15" w:right="10" w:firstLine="479"/>
              <w:jc w:val="both"/>
              <w:rPr>
                <w:sz w:val="24"/>
                <w:szCs w:val="24"/>
              </w:rPr>
            </w:pPr>
            <w:r>
              <w:rPr>
                <w:sz w:val="24"/>
                <w:szCs w:val="24"/>
              </w:rPr>
              <w:t>执行云南省人民政府发布的生态保护红线，生态保护红线评估调整成果获批后，按照批准成果执行。将未划入生态保护红线的自然保护地、饮用水水源保护区、重要湿地、基本草原、生态公益林、天然林等生态功能</w:t>
            </w:r>
            <w:r>
              <w:rPr>
                <w:spacing w:val="-1"/>
                <w:sz w:val="24"/>
                <w:szCs w:val="24"/>
              </w:rPr>
              <w:t>重要、生态环境敏感区域划为一般生态空间。</w:t>
            </w:r>
          </w:p>
          <w:p w14:paraId="504D13B3">
            <w:pPr>
              <w:pStyle w:val="6"/>
              <w:spacing w:before="6" w:line="356" w:lineRule="auto"/>
              <w:ind w:left="14" w:firstLine="474"/>
              <w:rPr>
                <w:sz w:val="24"/>
                <w:szCs w:val="24"/>
              </w:rPr>
            </w:pPr>
            <w:r>
              <w:rPr>
                <w:spacing w:val="-2"/>
                <w:sz w:val="24"/>
                <w:szCs w:val="24"/>
              </w:rPr>
              <w:t>根据曲靖市自然资源和规划局《</w:t>
            </w:r>
            <w:r>
              <w:rPr>
                <w:rFonts w:ascii="Times New Roman" w:hAnsi="Times New Roman" w:eastAsia="Times New Roman" w:cs="Times New Roman"/>
                <w:spacing w:val="-2"/>
                <w:sz w:val="24"/>
                <w:szCs w:val="24"/>
              </w:rPr>
              <w:t xml:space="preserve">110kV </w:t>
            </w:r>
            <w:r>
              <w:rPr>
                <w:spacing w:val="-2"/>
                <w:sz w:val="24"/>
                <w:szCs w:val="24"/>
              </w:rPr>
              <w:t>松山输变</w:t>
            </w:r>
            <w:r>
              <w:rPr>
                <w:spacing w:val="-3"/>
                <w:sz w:val="24"/>
                <w:szCs w:val="24"/>
              </w:rPr>
              <w:t>电工程用地预审与选</w:t>
            </w:r>
            <w:r>
              <w:rPr>
                <w:spacing w:val="-2"/>
                <w:sz w:val="24"/>
                <w:szCs w:val="24"/>
              </w:rPr>
              <w:t>址意见书》（用字第</w:t>
            </w:r>
            <w:r>
              <w:rPr>
                <w:spacing w:val="-46"/>
                <w:sz w:val="24"/>
                <w:szCs w:val="24"/>
              </w:rPr>
              <w:t xml:space="preserve"> </w:t>
            </w:r>
            <w:r>
              <w:rPr>
                <w:rFonts w:ascii="Times New Roman" w:hAnsi="Times New Roman" w:eastAsia="Times New Roman" w:cs="Times New Roman"/>
                <w:spacing w:val="-2"/>
                <w:sz w:val="24"/>
                <w:szCs w:val="24"/>
              </w:rPr>
              <w:t>530300202500008</w:t>
            </w:r>
            <w:r>
              <w:rPr>
                <w:rFonts w:ascii="Times New Roman" w:hAnsi="Times New Roman" w:eastAsia="Times New Roman" w:cs="Times New Roman"/>
                <w:spacing w:val="16"/>
                <w:w w:val="101"/>
                <w:sz w:val="24"/>
                <w:szCs w:val="24"/>
              </w:rPr>
              <w:t xml:space="preserve"> </w:t>
            </w:r>
            <w:r>
              <w:rPr>
                <w:spacing w:val="-2"/>
                <w:sz w:val="24"/>
                <w:szCs w:val="24"/>
              </w:rPr>
              <w:t>号，</w:t>
            </w:r>
            <w:r>
              <w:rPr>
                <w:spacing w:val="-3"/>
                <w:sz w:val="24"/>
                <w:szCs w:val="24"/>
              </w:rPr>
              <w:t>见附件</w:t>
            </w:r>
            <w:r>
              <w:rPr>
                <w:spacing w:val="-49"/>
                <w:sz w:val="24"/>
                <w:szCs w:val="24"/>
              </w:rPr>
              <w:t xml:space="preserve"> </w:t>
            </w:r>
            <w:r>
              <w:rPr>
                <w:rFonts w:ascii="Times New Roman" w:hAnsi="Times New Roman" w:eastAsia="Times New Roman" w:cs="Times New Roman"/>
                <w:spacing w:val="-3"/>
                <w:sz w:val="24"/>
                <w:szCs w:val="24"/>
              </w:rPr>
              <w:t>9</w:t>
            </w:r>
            <w:r>
              <w:rPr>
                <w:spacing w:val="8"/>
                <w:sz w:val="24"/>
                <w:szCs w:val="24"/>
              </w:rPr>
              <w:t>），</w:t>
            </w:r>
            <w:r>
              <w:rPr>
                <w:spacing w:val="-3"/>
                <w:sz w:val="24"/>
                <w:szCs w:val="24"/>
              </w:rPr>
              <w:t>该工程站址用地</w:t>
            </w:r>
            <w:r>
              <w:rPr>
                <w:spacing w:val="-2"/>
                <w:sz w:val="24"/>
                <w:szCs w:val="24"/>
              </w:rPr>
              <w:t>性质为农用地，未占用生态红线、永久基本农田、建设用地、未利用地。</w:t>
            </w:r>
            <w:r>
              <w:rPr>
                <w:spacing w:val="-8"/>
                <w:sz w:val="24"/>
                <w:szCs w:val="24"/>
              </w:rPr>
              <w:t>根据陆良县自然资源局《关于</w:t>
            </w:r>
            <w:r>
              <w:rPr>
                <w:spacing w:val="-48"/>
                <w:sz w:val="24"/>
                <w:szCs w:val="24"/>
              </w:rPr>
              <w:t xml:space="preserve"> </w:t>
            </w:r>
            <w:r>
              <w:rPr>
                <w:rFonts w:ascii="Times New Roman" w:hAnsi="Times New Roman" w:eastAsia="Times New Roman" w:cs="Times New Roman"/>
                <w:spacing w:val="-8"/>
                <w:sz w:val="24"/>
                <w:szCs w:val="24"/>
              </w:rPr>
              <w:t xml:space="preserve">110kV </w:t>
            </w:r>
            <w:r>
              <w:rPr>
                <w:spacing w:val="-8"/>
                <w:sz w:val="24"/>
                <w:szCs w:val="24"/>
              </w:rPr>
              <w:t>松山输变电工程路径走向的查询结果》</w:t>
            </w:r>
            <w:r>
              <w:rPr>
                <w:sz w:val="24"/>
                <w:szCs w:val="24"/>
              </w:rPr>
              <w:t xml:space="preserve"> </w:t>
            </w:r>
            <w:r>
              <w:rPr>
                <w:spacing w:val="-7"/>
                <w:sz w:val="24"/>
                <w:szCs w:val="24"/>
              </w:rPr>
              <w:t>（</w:t>
            </w:r>
            <w:r>
              <w:rPr>
                <w:rFonts w:ascii="Times New Roman" w:hAnsi="Times New Roman" w:eastAsia="Times New Roman" w:cs="Times New Roman"/>
                <w:spacing w:val="-7"/>
                <w:sz w:val="24"/>
                <w:szCs w:val="24"/>
              </w:rPr>
              <w:t xml:space="preserve">2025 </w:t>
            </w:r>
            <w:r>
              <w:rPr>
                <w:spacing w:val="-7"/>
                <w:sz w:val="24"/>
                <w:szCs w:val="24"/>
              </w:rPr>
              <w:t>年</w:t>
            </w:r>
            <w:r>
              <w:rPr>
                <w:spacing w:val="-28"/>
                <w:sz w:val="24"/>
                <w:szCs w:val="24"/>
              </w:rPr>
              <w:t xml:space="preserve"> </w:t>
            </w:r>
            <w:r>
              <w:rPr>
                <w:rFonts w:ascii="Times New Roman" w:hAnsi="Times New Roman" w:eastAsia="Times New Roman" w:cs="Times New Roman"/>
                <w:spacing w:val="-7"/>
                <w:sz w:val="24"/>
                <w:szCs w:val="24"/>
              </w:rPr>
              <w:t>11</w:t>
            </w:r>
            <w:r>
              <w:rPr>
                <w:rFonts w:ascii="Times New Roman" w:hAnsi="Times New Roman" w:eastAsia="Times New Roman" w:cs="Times New Roman"/>
                <w:spacing w:val="14"/>
                <w:sz w:val="24"/>
                <w:szCs w:val="24"/>
              </w:rPr>
              <w:t xml:space="preserve"> </w:t>
            </w:r>
            <w:r>
              <w:rPr>
                <w:spacing w:val="-7"/>
                <w:sz w:val="24"/>
                <w:szCs w:val="24"/>
              </w:rPr>
              <w:t>月</w:t>
            </w:r>
            <w:r>
              <w:rPr>
                <w:spacing w:val="-28"/>
                <w:sz w:val="24"/>
                <w:szCs w:val="24"/>
              </w:rPr>
              <w:t xml:space="preserve"> </w:t>
            </w:r>
            <w:r>
              <w:rPr>
                <w:rFonts w:ascii="Times New Roman" w:hAnsi="Times New Roman" w:eastAsia="Times New Roman" w:cs="Times New Roman"/>
                <w:spacing w:val="-7"/>
                <w:sz w:val="24"/>
                <w:szCs w:val="24"/>
              </w:rPr>
              <w:t xml:space="preserve">12  </w:t>
            </w:r>
            <w:r>
              <w:rPr>
                <w:spacing w:val="-7"/>
                <w:sz w:val="24"/>
                <w:szCs w:val="24"/>
              </w:rPr>
              <w:t>日，附件</w:t>
            </w:r>
            <w:r>
              <w:rPr>
                <w:spacing w:val="-28"/>
                <w:sz w:val="24"/>
                <w:szCs w:val="24"/>
              </w:rPr>
              <w:t xml:space="preserve"> </w:t>
            </w:r>
            <w:r>
              <w:rPr>
                <w:rFonts w:ascii="Times New Roman" w:hAnsi="Times New Roman" w:eastAsia="Times New Roman" w:cs="Times New Roman"/>
                <w:spacing w:val="-7"/>
                <w:sz w:val="24"/>
                <w:szCs w:val="24"/>
              </w:rPr>
              <w:t>10</w:t>
            </w:r>
            <w:r>
              <w:rPr>
                <w:spacing w:val="15"/>
                <w:sz w:val="24"/>
                <w:szCs w:val="24"/>
              </w:rPr>
              <w:t>），</w:t>
            </w:r>
            <w:r>
              <w:rPr>
                <w:spacing w:val="-7"/>
                <w:sz w:val="24"/>
                <w:szCs w:val="24"/>
              </w:rPr>
              <w:t>拟建</w:t>
            </w:r>
            <w:r>
              <w:rPr>
                <w:spacing w:val="-31"/>
                <w:sz w:val="24"/>
                <w:szCs w:val="24"/>
              </w:rPr>
              <w:t xml:space="preserve"> </w:t>
            </w:r>
            <w:r>
              <w:rPr>
                <w:rFonts w:ascii="Times New Roman" w:hAnsi="Times New Roman" w:eastAsia="Times New Roman" w:cs="Times New Roman"/>
                <w:spacing w:val="-7"/>
                <w:sz w:val="24"/>
                <w:szCs w:val="24"/>
              </w:rPr>
              <w:t>110kV</w:t>
            </w:r>
            <w:r>
              <w:rPr>
                <w:rFonts w:ascii="Times New Roman" w:hAnsi="Times New Roman" w:eastAsia="Times New Roman" w:cs="Times New Roman"/>
                <w:spacing w:val="16"/>
                <w:sz w:val="24"/>
                <w:szCs w:val="24"/>
              </w:rPr>
              <w:t xml:space="preserve"> </w:t>
            </w:r>
            <w:r>
              <w:rPr>
                <w:spacing w:val="-7"/>
                <w:sz w:val="24"/>
                <w:szCs w:val="24"/>
              </w:rPr>
              <w:t>线路塔基不占用生态保护</w:t>
            </w:r>
            <w:r>
              <w:rPr>
                <w:spacing w:val="-5"/>
                <w:sz w:val="24"/>
                <w:szCs w:val="24"/>
              </w:rPr>
              <w:t>红线，但</w:t>
            </w:r>
            <w:r>
              <w:rPr>
                <w:spacing w:val="-51"/>
                <w:sz w:val="24"/>
                <w:szCs w:val="24"/>
              </w:rPr>
              <w:t xml:space="preserve"> </w:t>
            </w:r>
            <w:r>
              <w:rPr>
                <w:rFonts w:ascii="Times New Roman" w:hAnsi="Times New Roman" w:eastAsia="Times New Roman" w:cs="Times New Roman"/>
                <w:spacing w:val="-5"/>
                <w:sz w:val="24"/>
                <w:szCs w:val="24"/>
              </w:rPr>
              <w:t xml:space="preserve">9 </w:t>
            </w:r>
            <w:r>
              <w:rPr>
                <w:spacing w:val="-5"/>
                <w:sz w:val="24"/>
                <w:szCs w:val="24"/>
              </w:rPr>
              <w:t>个塔基占用永久基本农田，占用塔基编</w:t>
            </w:r>
            <w:r>
              <w:rPr>
                <w:spacing w:val="-6"/>
                <w:sz w:val="24"/>
                <w:szCs w:val="24"/>
              </w:rPr>
              <w:t>号为</w:t>
            </w:r>
            <w:r>
              <w:rPr>
                <w:spacing w:val="-50"/>
                <w:sz w:val="24"/>
                <w:szCs w:val="24"/>
              </w:rPr>
              <w:t xml:space="preserve"> </w:t>
            </w:r>
            <w:r>
              <w:rPr>
                <w:rFonts w:ascii="Times New Roman" w:hAnsi="Times New Roman" w:eastAsia="Times New Roman" w:cs="Times New Roman"/>
                <w:spacing w:val="-6"/>
                <w:sz w:val="24"/>
                <w:szCs w:val="24"/>
              </w:rPr>
              <w:t>57</w:t>
            </w:r>
            <w:r>
              <w:rPr>
                <w:rFonts w:ascii="Times New Roman" w:hAnsi="Times New Roman" w:eastAsia="Times New Roman" w:cs="Times New Roman"/>
                <w:spacing w:val="-34"/>
                <w:sz w:val="24"/>
                <w:szCs w:val="24"/>
              </w:rPr>
              <w:t xml:space="preserve"> </w:t>
            </w:r>
            <w:r>
              <w:rPr>
                <w:spacing w:val="-6"/>
                <w:sz w:val="24"/>
                <w:szCs w:val="24"/>
              </w:rPr>
              <w:t>、</w:t>
            </w:r>
            <w:r>
              <w:rPr>
                <w:rFonts w:ascii="Times New Roman" w:hAnsi="Times New Roman" w:eastAsia="Times New Roman" w:cs="Times New Roman"/>
                <w:spacing w:val="-6"/>
                <w:sz w:val="24"/>
                <w:szCs w:val="24"/>
              </w:rPr>
              <w:t>58</w:t>
            </w:r>
            <w:r>
              <w:rPr>
                <w:rFonts w:ascii="Times New Roman" w:hAnsi="Times New Roman" w:eastAsia="Times New Roman" w:cs="Times New Roman"/>
                <w:spacing w:val="-34"/>
                <w:sz w:val="24"/>
                <w:szCs w:val="24"/>
              </w:rPr>
              <w:t xml:space="preserve"> </w:t>
            </w:r>
            <w:r>
              <w:rPr>
                <w:spacing w:val="-6"/>
                <w:sz w:val="24"/>
                <w:szCs w:val="24"/>
              </w:rPr>
              <w:t>、</w:t>
            </w:r>
            <w:r>
              <w:rPr>
                <w:rFonts w:ascii="Times New Roman" w:hAnsi="Times New Roman" w:eastAsia="Times New Roman" w:cs="Times New Roman"/>
                <w:spacing w:val="-6"/>
                <w:sz w:val="24"/>
                <w:szCs w:val="24"/>
              </w:rPr>
              <w:t>59</w:t>
            </w:r>
            <w:r>
              <w:rPr>
                <w:rFonts w:ascii="Times New Roman" w:hAnsi="Times New Roman" w:eastAsia="Times New Roman" w:cs="Times New Roman"/>
                <w:spacing w:val="-34"/>
                <w:sz w:val="24"/>
                <w:szCs w:val="24"/>
              </w:rPr>
              <w:t xml:space="preserve"> </w:t>
            </w:r>
            <w:r>
              <w:rPr>
                <w:spacing w:val="-6"/>
                <w:sz w:val="24"/>
                <w:szCs w:val="24"/>
              </w:rPr>
              <w:t>、</w:t>
            </w:r>
            <w:r>
              <w:rPr>
                <w:rFonts w:ascii="Times New Roman" w:hAnsi="Times New Roman" w:eastAsia="Times New Roman" w:cs="Times New Roman"/>
                <w:spacing w:val="-6"/>
                <w:sz w:val="24"/>
                <w:szCs w:val="24"/>
              </w:rPr>
              <w:t>60</w:t>
            </w:r>
            <w:r>
              <w:rPr>
                <w:rFonts w:ascii="Times New Roman" w:hAnsi="Times New Roman" w:eastAsia="Times New Roman" w:cs="Times New Roman"/>
                <w:spacing w:val="-34"/>
                <w:sz w:val="24"/>
                <w:szCs w:val="24"/>
              </w:rPr>
              <w:t xml:space="preserve"> </w:t>
            </w:r>
            <w:r>
              <w:rPr>
                <w:spacing w:val="-6"/>
                <w:sz w:val="24"/>
                <w:szCs w:val="24"/>
              </w:rPr>
              <w:t>、</w:t>
            </w:r>
            <w:r>
              <w:rPr>
                <w:sz w:val="24"/>
                <w:szCs w:val="24"/>
              </w:rPr>
              <w:t xml:space="preserve"> </w:t>
            </w:r>
            <w:r>
              <w:rPr>
                <w:rFonts w:ascii="Times New Roman" w:hAnsi="Times New Roman" w:eastAsia="Times New Roman" w:cs="Times New Roman"/>
                <w:spacing w:val="-5"/>
                <w:sz w:val="24"/>
                <w:szCs w:val="24"/>
              </w:rPr>
              <w:t>61</w:t>
            </w:r>
            <w:r>
              <w:rPr>
                <w:rFonts w:ascii="Times New Roman" w:hAnsi="Times New Roman" w:eastAsia="Times New Roman" w:cs="Times New Roman"/>
                <w:spacing w:val="-29"/>
                <w:sz w:val="24"/>
                <w:szCs w:val="24"/>
              </w:rPr>
              <w:t xml:space="preserve"> </w:t>
            </w:r>
            <w:r>
              <w:rPr>
                <w:spacing w:val="-5"/>
                <w:sz w:val="24"/>
                <w:szCs w:val="24"/>
              </w:rPr>
              <w:t>、</w:t>
            </w:r>
            <w:r>
              <w:rPr>
                <w:rFonts w:ascii="Times New Roman" w:hAnsi="Times New Roman" w:eastAsia="Times New Roman" w:cs="Times New Roman"/>
                <w:spacing w:val="-5"/>
                <w:sz w:val="24"/>
                <w:szCs w:val="24"/>
              </w:rPr>
              <w:t>62</w:t>
            </w:r>
            <w:r>
              <w:rPr>
                <w:rFonts w:ascii="Times New Roman" w:hAnsi="Times New Roman" w:eastAsia="Times New Roman" w:cs="Times New Roman"/>
                <w:spacing w:val="-32"/>
                <w:sz w:val="24"/>
                <w:szCs w:val="24"/>
              </w:rPr>
              <w:t xml:space="preserve"> </w:t>
            </w:r>
            <w:r>
              <w:rPr>
                <w:spacing w:val="-5"/>
                <w:sz w:val="24"/>
                <w:szCs w:val="24"/>
              </w:rPr>
              <w:t>、</w:t>
            </w:r>
            <w:r>
              <w:rPr>
                <w:rFonts w:ascii="Times New Roman" w:hAnsi="Times New Roman" w:eastAsia="Times New Roman" w:cs="Times New Roman"/>
                <w:spacing w:val="-5"/>
                <w:sz w:val="24"/>
                <w:szCs w:val="24"/>
              </w:rPr>
              <w:t>68</w:t>
            </w:r>
            <w:r>
              <w:rPr>
                <w:rFonts w:ascii="Times New Roman" w:hAnsi="Times New Roman" w:eastAsia="Times New Roman" w:cs="Times New Roman"/>
                <w:spacing w:val="-31"/>
                <w:sz w:val="24"/>
                <w:szCs w:val="24"/>
              </w:rPr>
              <w:t xml:space="preserve"> </w:t>
            </w:r>
            <w:r>
              <w:rPr>
                <w:spacing w:val="-5"/>
                <w:sz w:val="24"/>
                <w:szCs w:val="24"/>
              </w:rPr>
              <w:t>、</w:t>
            </w:r>
            <w:r>
              <w:rPr>
                <w:rFonts w:ascii="Times New Roman" w:hAnsi="Times New Roman" w:eastAsia="Times New Roman" w:cs="Times New Roman"/>
                <w:spacing w:val="-5"/>
                <w:sz w:val="24"/>
                <w:szCs w:val="24"/>
              </w:rPr>
              <w:t>99</w:t>
            </w:r>
            <w:r>
              <w:rPr>
                <w:rFonts w:ascii="Times New Roman" w:hAnsi="Times New Roman" w:eastAsia="Times New Roman" w:cs="Times New Roman"/>
                <w:spacing w:val="-30"/>
                <w:sz w:val="24"/>
                <w:szCs w:val="24"/>
              </w:rPr>
              <w:t xml:space="preserve"> </w:t>
            </w:r>
            <w:r>
              <w:rPr>
                <w:spacing w:val="-5"/>
                <w:sz w:val="24"/>
                <w:szCs w:val="24"/>
              </w:rPr>
              <w:t>、</w:t>
            </w:r>
            <w:r>
              <w:rPr>
                <w:rFonts w:ascii="Times New Roman" w:hAnsi="Times New Roman" w:eastAsia="Times New Roman" w:cs="Times New Roman"/>
                <w:spacing w:val="-5"/>
                <w:sz w:val="24"/>
                <w:szCs w:val="24"/>
              </w:rPr>
              <w:t>102</w:t>
            </w:r>
            <w:r>
              <w:rPr>
                <w:rFonts w:ascii="Times New Roman" w:hAnsi="Times New Roman" w:eastAsia="Times New Roman" w:cs="Times New Roman"/>
                <w:spacing w:val="-23"/>
                <w:sz w:val="24"/>
                <w:szCs w:val="24"/>
              </w:rPr>
              <w:t xml:space="preserve"> </w:t>
            </w:r>
            <w:r>
              <w:rPr>
                <w:spacing w:val="-5"/>
                <w:sz w:val="24"/>
                <w:szCs w:val="24"/>
              </w:rPr>
              <w:t>。本工程距生态保护红线最近为至</w:t>
            </w:r>
            <w:r>
              <w:rPr>
                <w:spacing w:val="-6"/>
                <w:sz w:val="24"/>
                <w:szCs w:val="24"/>
              </w:rPr>
              <w:t>芳华变</w:t>
            </w:r>
            <w:r>
              <w:rPr>
                <w:spacing w:val="-30"/>
                <w:sz w:val="24"/>
                <w:szCs w:val="24"/>
              </w:rPr>
              <w:t xml:space="preserve"> </w:t>
            </w:r>
            <w:r>
              <w:rPr>
                <w:rFonts w:ascii="Times New Roman" w:hAnsi="Times New Roman" w:eastAsia="Times New Roman" w:cs="Times New Roman"/>
                <w:spacing w:val="-6"/>
                <w:sz w:val="24"/>
                <w:szCs w:val="24"/>
              </w:rPr>
              <w:t>110kV</w:t>
            </w:r>
            <w:r>
              <w:rPr>
                <w:rFonts w:ascii="Times New Roman" w:hAnsi="Times New Roman" w:eastAsia="Times New Roman" w:cs="Times New Roman"/>
                <w:spacing w:val="13"/>
                <w:sz w:val="24"/>
                <w:szCs w:val="24"/>
              </w:rPr>
              <w:t xml:space="preserve"> </w:t>
            </w:r>
            <w:r>
              <w:rPr>
                <w:spacing w:val="-6"/>
                <w:sz w:val="24"/>
                <w:szCs w:val="24"/>
              </w:rPr>
              <w:t>线</w:t>
            </w:r>
          </w:p>
        </w:tc>
      </w:tr>
    </w:tbl>
    <w:p w14:paraId="4C3EC0D4">
      <w:pPr>
        <w:spacing w:line="179" w:lineRule="exact"/>
        <w:rPr>
          <w:rFonts w:ascii="Arial"/>
          <w:sz w:val="15"/>
        </w:rPr>
      </w:pPr>
    </w:p>
    <w:p w14:paraId="1069A7B7">
      <w:pPr>
        <w:spacing w:line="179" w:lineRule="exact"/>
        <w:rPr>
          <w:rFonts w:ascii="Arial" w:hAnsi="Arial" w:eastAsia="Arial" w:cs="Arial"/>
          <w:sz w:val="15"/>
          <w:szCs w:val="15"/>
        </w:rPr>
        <w:sectPr>
          <w:footerReference r:id="rId17" w:type="default"/>
          <w:pgSz w:w="11907" w:h="16840"/>
          <w:pgMar w:top="400" w:right="1786" w:bottom="1237" w:left="1774" w:header="0" w:footer="1077" w:gutter="0"/>
          <w:cols w:space="720" w:num="1"/>
        </w:sectPr>
      </w:pPr>
    </w:p>
    <w:p w14:paraId="44CCF56A">
      <w:pPr>
        <w:spacing w:before="19"/>
      </w:pPr>
    </w:p>
    <w:p w14:paraId="6521CE22">
      <w:pPr>
        <w:spacing w:before="19"/>
      </w:pPr>
    </w:p>
    <w:p w14:paraId="015DF668">
      <w:pPr>
        <w:spacing w:before="18"/>
      </w:pPr>
    </w:p>
    <w:p w14:paraId="1DB77A9B">
      <w:pPr>
        <w:spacing w:before="18"/>
      </w:pPr>
    </w:p>
    <w:tbl>
      <w:tblPr>
        <w:tblStyle w:val="5"/>
        <w:tblW w:w="81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11"/>
        <w:gridCol w:w="7723"/>
      </w:tblGrid>
      <w:tr w14:paraId="0B284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34" w:hRule="atLeast"/>
        </w:trPr>
        <w:tc>
          <w:tcPr>
            <w:tcW w:w="411" w:type="dxa"/>
            <w:tcBorders>
              <w:right w:val="single" w:color="000000" w:sz="2" w:space="0"/>
            </w:tcBorders>
            <w:vAlign w:val="top"/>
          </w:tcPr>
          <w:p w14:paraId="3CA9BE25">
            <w:pPr>
              <w:rPr>
                <w:rFonts w:ascii="Arial"/>
                <w:sz w:val="21"/>
              </w:rPr>
            </w:pPr>
          </w:p>
        </w:tc>
        <w:tc>
          <w:tcPr>
            <w:tcW w:w="7723" w:type="dxa"/>
            <w:tcBorders>
              <w:left w:val="single" w:color="000000" w:sz="2" w:space="0"/>
            </w:tcBorders>
            <w:vAlign w:val="top"/>
          </w:tcPr>
          <w:p w14:paraId="5600C290">
            <w:pPr>
              <w:pStyle w:val="6"/>
              <w:spacing w:before="54" w:line="346" w:lineRule="auto"/>
              <w:ind w:left="15" w:right="11"/>
              <w:rPr>
                <w:sz w:val="24"/>
                <w:szCs w:val="24"/>
              </w:rPr>
            </w:pPr>
            <w:r>
              <w:rPr>
                <w:sz w:val="24"/>
                <w:szCs w:val="24"/>
              </w:rPr>
              <w:t>路，最近距离约</w:t>
            </w:r>
            <w:r>
              <w:rPr>
                <w:spacing w:val="-29"/>
                <w:sz w:val="24"/>
                <w:szCs w:val="24"/>
              </w:rPr>
              <w:t xml:space="preserve"> </w:t>
            </w:r>
            <w:r>
              <w:rPr>
                <w:rFonts w:ascii="Times New Roman" w:hAnsi="Times New Roman" w:eastAsia="Times New Roman" w:cs="Times New Roman"/>
                <w:sz w:val="24"/>
                <w:szCs w:val="24"/>
              </w:rPr>
              <w:t>1.5km</w:t>
            </w:r>
            <w:r>
              <w:rPr>
                <w:rFonts w:ascii="Times New Roman" w:hAnsi="Times New Roman" w:eastAsia="Times New Roman" w:cs="Times New Roman"/>
                <w:spacing w:val="-28"/>
                <w:sz w:val="24"/>
                <w:szCs w:val="24"/>
              </w:rPr>
              <w:t xml:space="preserve"> </w:t>
            </w:r>
            <w:r>
              <w:rPr>
                <w:sz w:val="24"/>
                <w:szCs w:val="24"/>
              </w:rPr>
              <w:t>，生态保护红线不在本次生态环境评</w:t>
            </w:r>
            <w:r>
              <w:rPr>
                <w:spacing w:val="-1"/>
                <w:sz w:val="24"/>
                <w:szCs w:val="24"/>
              </w:rPr>
              <w:t>价范围内；因此，本项目建设符合生态保护红线管理要求。</w:t>
            </w:r>
          </w:p>
          <w:p w14:paraId="5068AE15">
            <w:pPr>
              <w:spacing w:line="6981" w:lineRule="exact"/>
              <w:ind w:firstLine="7"/>
            </w:pPr>
            <w:r>
              <w:rPr>
                <w:position w:val="-139"/>
              </w:rPr>
              <w:drawing>
                <wp:inline distT="0" distB="0" distL="0" distR="0">
                  <wp:extent cx="4886960" cy="443293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221"/>
                          <a:stretch>
                            <a:fillRect/>
                          </a:stretch>
                        </pic:blipFill>
                        <pic:spPr>
                          <a:xfrm>
                            <a:off x="0" y="0"/>
                            <a:ext cx="4887467" cy="4433316"/>
                          </a:xfrm>
                          <a:prstGeom prst="rect">
                            <a:avLst/>
                          </a:prstGeom>
                        </pic:spPr>
                      </pic:pic>
                    </a:graphicData>
                  </a:graphic>
                </wp:inline>
              </w:drawing>
            </w:r>
          </w:p>
          <w:p w14:paraId="7C3F964C">
            <w:pPr>
              <w:pStyle w:val="6"/>
              <w:spacing w:before="30" w:line="227" w:lineRule="auto"/>
              <w:ind w:left="1978"/>
            </w:pPr>
            <w:r>
              <w:rPr>
                <w:b/>
                <w:bCs/>
                <w:spacing w:val="5"/>
              </w:rPr>
              <w:t>图</w:t>
            </w:r>
            <w:r>
              <w:rPr>
                <w:spacing w:val="-26"/>
              </w:rPr>
              <w:t xml:space="preserve"> </w:t>
            </w:r>
            <w:r>
              <w:rPr>
                <w:rFonts w:ascii="Times New Roman" w:hAnsi="Times New Roman" w:eastAsia="Times New Roman" w:cs="Times New Roman"/>
                <w:b/>
                <w:bCs/>
                <w:spacing w:val="5"/>
              </w:rPr>
              <w:t xml:space="preserve">1-2  </w:t>
            </w:r>
            <w:r>
              <w:rPr>
                <w:b/>
                <w:bCs/>
                <w:spacing w:val="5"/>
              </w:rPr>
              <w:t>本项目与生态保护红线位置关系图</w:t>
            </w:r>
          </w:p>
          <w:p w14:paraId="4FD08C51">
            <w:pPr>
              <w:pStyle w:val="6"/>
              <w:spacing w:before="32" w:line="220" w:lineRule="auto"/>
              <w:ind w:left="506"/>
              <w:rPr>
                <w:sz w:val="24"/>
                <w:szCs w:val="24"/>
              </w:rPr>
            </w:pPr>
            <w:r>
              <w:rPr>
                <w:b/>
                <w:bCs/>
                <w:spacing w:val="-5"/>
                <w:sz w:val="24"/>
                <w:szCs w:val="24"/>
              </w:rPr>
              <w:t>（</w:t>
            </w:r>
            <w:r>
              <w:rPr>
                <w:rFonts w:ascii="Times New Roman" w:hAnsi="Times New Roman" w:eastAsia="Times New Roman" w:cs="Times New Roman"/>
                <w:b/>
                <w:bCs/>
                <w:spacing w:val="-5"/>
                <w:sz w:val="24"/>
                <w:szCs w:val="24"/>
              </w:rPr>
              <w:t>2</w:t>
            </w:r>
            <w:r>
              <w:rPr>
                <w:b/>
                <w:bCs/>
                <w:spacing w:val="-5"/>
                <w:sz w:val="24"/>
                <w:szCs w:val="24"/>
              </w:rPr>
              <w:t>）环境质量底线</w:t>
            </w:r>
          </w:p>
          <w:p w14:paraId="0E76B103">
            <w:pPr>
              <w:pStyle w:val="6"/>
              <w:spacing w:before="182" w:line="359" w:lineRule="auto"/>
              <w:ind w:left="13" w:right="10" w:firstLine="499"/>
              <w:rPr>
                <w:sz w:val="24"/>
                <w:szCs w:val="24"/>
              </w:rPr>
            </w:pPr>
            <w:r>
              <w:rPr>
                <w:rFonts w:ascii="Times New Roman" w:hAnsi="Times New Roman" w:eastAsia="Times New Roman" w:cs="Times New Roman"/>
                <w:spacing w:val="-1"/>
                <w:sz w:val="24"/>
                <w:szCs w:val="24"/>
              </w:rPr>
              <w:t>1</w:t>
            </w:r>
            <w:r>
              <w:rPr>
                <w:spacing w:val="-1"/>
                <w:sz w:val="24"/>
                <w:szCs w:val="24"/>
              </w:rPr>
              <w:t>）水环境质量底线。到</w:t>
            </w:r>
            <w:r>
              <w:rPr>
                <w:spacing w:val="-40"/>
                <w:sz w:val="24"/>
                <w:szCs w:val="24"/>
              </w:rPr>
              <w:t xml:space="preserve"> </w:t>
            </w:r>
            <w:r>
              <w:rPr>
                <w:rFonts w:ascii="Times New Roman" w:hAnsi="Times New Roman" w:eastAsia="Times New Roman" w:cs="Times New Roman"/>
                <w:spacing w:val="-1"/>
                <w:sz w:val="24"/>
                <w:szCs w:val="24"/>
              </w:rPr>
              <w:t xml:space="preserve">2025 </w:t>
            </w:r>
            <w:r>
              <w:rPr>
                <w:spacing w:val="-1"/>
                <w:sz w:val="24"/>
                <w:szCs w:val="24"/>
              </w:rPr>
              <w:t>年，全市水环境质量总体优良，集中式</w:t>
            </w:r>
            <w:r>
              <w:rPr>
                <w:sz w:val="24"/>
                <w:szCs w:val="24"/>
              </w:rPr>
              <w:t>饮用水水源地水质保持稳定，纳入国家和省级监控的地表水监测断面水质</w:t>
            </w:r>
            <w:r>
              <w:rPr>
                <w:spacing w:val="2"/>
                <w:sz w:val="24"/>
                <w:szCs w:val="24"/>
              </w:rPr>
              <w:t>优良率稳步提升，重点区域、流域水环境质量进一步改善，基本消除劣</w:t>
            </w:r>
            <w:r>
              <w:rPr>
                <w:rFonts w:ascii="Times New Roman" w:hAnsi="Times New Roman" w:eastAsia="Times New Roman" w:cs="Times New Roman"/>
                <w:spacing w:val="2"/>
                <w:sz w:val="24"/>
                <w:szCs w:val="24"/>
              </w:rPr>
              <w:t>Ⅴ</w:t>
            </w:r>
            <w:r>
              <w:rPr>
                <w:spacing w:val="-3"/>
                <w:sz w:val="24"/>
                <w:szCs w:val="24"/>
              </w:rPr>
              <w:t>类水体，水生态系统功能初步恢复。到</w:t>
            </w:r>
            <w:r>
              <w:rPr>
                <w:spacing w:val="-55"/>
                <w:sz w:val="24"/>
                <w:szCs w:val="24"/>
              </w:rPr>
              <w:t xml:space="preserve"> </w:t>
            </w:r>
            <w:r>
              <w:rPr>
                <w:rFonts w:ascii="Times New Roman" w:hAnsi="Times New Roman" w:eastAsia="Times New Roman" w:cs="Times New Roman"/>
                <w:spacing w:val="-3"/>
                <w:sz w:val="24"/>
                <w:szCs w:val="24"/>
              </w:rPr>
              <w:t xml:space="preserve">2035 </w:t>
            </w:r>
            <w:r>
              <w:rPr>
                <w:spacing w:val="-4"/>
                <w:sz w:val="24"/>
                <w:szCs w:val="24"/>
              </w:rPr>
              <w:t>年，全市地表水体水质优良率</w:t>
            </w:r>
            <w:r>
              <w:rPr>
                <w:spacing w:val="2"/>
                <w:sz w:val="24"/>
                <w:szCs w:val="24"/>
              </w:rPr>
              <w:t>全面提升，各监测断面水质达到水环境功能要求，消除劣</w:t>
            </w:r>
            <w:r>
              <w:rPr>
                <w:rFonts w:ascii="Times New Roman" w:hAnsi="Times New Roman" w:eastAsia="Times New Roman" w:cs="Times New Roman"/>
                <w:spacing w:val="2"/>
                <w:sz w:val="24"/>
                <w:szCs w:val="24"/>
              </w:rPr>
              <w:t>Ⅴ</w:t>
            </w:r>
            <w:r>
              <w:rPr>
                <w:spacing w:val="2"/>
                <w:sz w:val="24"/>
                <w:szCs w:val="24"/>
              </w:rPr>
              <w:t>类水体，集中</w:t>
            </w:r>
            <w:r>
              <w:rPr>
                <w:spacing w:val="-1"/>
                <w:sz w:val="24"/>
                <w:szCs w:val="24"/>
              </w:rPr>
              <w:t>式饮用水水源地水质满足标准要求。</w:t>
            </w:r>
          </w:p>
          <w:p w14:paraId="3FF9121F">
            <w:pPr>
              <w:pStyle w:val="6"/>
              <w:spacing w:before="1" w:line="359" w:lineRule="auto"/>
              <w:ind w:left="20" w:firstLine="467"/>
              <w:rPr>
                <w:sz w:val="24"/>
                <w:szCs w:val="24"/>
              </w:rPr>
            </w:pPr>
            <w:r>
              <w:rPr>
                <w:rFonts w:ascii="Times New Roman" w:hAnsi="Times New Roman" w:eastAsia="Times New Roman" w:cs="Times New Roman"/>
                <w:spacing w:val="-1"/>
                <w:sz w:val="24"/>
                <w:szCs w:val="24"/>
              </w:rPr>
              <w:t>2</w:t>
            </w:r>
            <w:r>
              <w:rPr>
                <w:spacing w:val="-1"/>
                <w:sz w:val="24"/>
                <w:szCs w:val="24"/>
              </w:rPr>
              <w:t>）大气环境质量底线。到</w:t>
            </w:r>
            <w:r>
              <w:rPr>
                <w:spacing w:val="-48"/>
                <w:sz w:val="24"/>
                <w:szCs w:val="24"/>
              </w:rPr>
              <w:t xml:space="preserve"> </w:t>
            </w:r>
            <w:r>
              <w:rPr>
                <w:rFonts w:ascii="Times New Roman" w:hAnsi="Times New Roman" w:eastAsia="Times New Roman" w:cs="Times New Roman"/>
                <w:spacing w:val="-1"/>
                <w:sz w:val="24"/>
                <w:szCs w:val="24"/>
              </w:rPr>
              <w:t xml:space="preserve">2025 </w:t>
            </w:r>
            <w:r>
              <w:rPr>
                <w:spacing w:val="-1"/>
                <w:sz w:val="24"/>
                <w:szCs w:val="24"/>
              </w:rPr>
              <w:t>年，环境空气质量稳中向好，中心城市和各县（市、区）环境空气质量稳定达到国家二级标准，优良率保</w:t>
            </w:r>
            <w:r>
              <w:rPr>
                <w:spacing w:val="-2"/>
                <w:sz w:val="24"/>
                <w:szCs w:val="24"/>
              </w:rPr>
              <w:t>持稳</w:t>
            </w:r>
            <w:r>
              <w:rPr>
                <w:spacing w:val="-3"/>
                <w:sz w:val="24"/>
                <w:szCs w:val="24"/>
              </w:rPr>
              <w:t>定，达到省级下达的监控目标要求。到</w:t>
            </w:r>
            <w:r>
              <w:rPr>
                <w:spacing w:val="-55"/>
                <w:sz w:val="24"/>
                <w:szCs w:val="24"/>
              </w:rPr>
              <w:t xml:space="preserve"> </w:t>
            </w:r>
            <w:r>
              <w:rPr>
                <w:rFonts w:ascii="Times New Roman" w:hAnsi="Times New Roman" w:eastAsia="Times New Roman" w:cs="Times New Roman"/>
                <w:spacing w:val="-3"/>
                <w:sz w:val="24"/>
                <w:szCs w:val="24"/>
              </w:rPr>
              <w:t xml:space="preserve">2035 </w:t>
            </w:r>
            <w:r>
              <w:rPr>
                <w:spacing w:val="-3"/>
                <w:sz w:val="24"/>
                <w:szCs w:val="24"/>
              </w:rPr>
              <w:t>年，环境</w:t>
            </w:r>
            <w:r>
              <w:rPr>
                <w:spacing w:val="-4"/>
                <w:sz w:val="24"/>
                <w:szCs w:val="24"/>
              </w:rPr>
              <w:t>空气质量全面改善，</w:t>
            </w:r>
            <w:r>
              <w:rPr>
                <w:spacing w:val="-2"/>
                <w:sz w:val="24"/>
                <w:szCs w:val="24"/>
              </w:rPr>
              <w:t>中心城市和各县（市、区）环境空气质量稳定达到国家二级标准。</w:t>
            </w:r>
          </w:p>
          <w:p w14:paraId="59D661BA">
            <w:pPr>
              <w:pStyle w:val="6"/>
              <w:spacing w:line="219" w:lineRule="auto"/>
              <w:ind w:right="10"/>
              <w:jc w:val="right"/>
              <w:rPr>
                <w:rFonts w:hint="eastAsia" w:eastAsia="宋体"/>
                <w:sz w:val="24"/>
                <w:szCs w:val="24"/>
                <w:lang w:eastAsia="zh-CN"/>
              </w:rPr>
            </w:pPr>
            <w:r>
              <w:rPr>
                <w:rFonts w:ascii="Times New Roman" w:hAnsi="Times New Roman" w:eastAsia="Times New Roman" w:cs="Times New Roman"/>
                <w:sz w:val="24"/>
                <w:szCs w:val="24"/>
              </w:rPr>
              <w:t>3</w:t>
            </w:r>
            <w:r>
              <w:rPr>
                <w:sz w:val="24"/>
                <w:szCs w:val="24"/>
              </w:rPr>
              <w:t>）土壤环境风险防控底线。到</w:t>
            </w:r>
            <w:r>
              <w:rPr>
                <w:spacing w:val="-55"/>
                <w:sz w:val="24"/>
                <w:szCs w:val="24"/>
              </w:rPr>
              <w:t xml:space="preserve"> </w:t>
            </w:r>
            <w:r>
              <w:rPr>
                <w:rFonts w:ascii="Times New Roman" w:hAnsi="Times New Roman" w:eastAsia="Times New Roman" w:cs="Times New Roman"/>
                <w:sz w:val="24"/>
                <w:szCs w:val="24"/>
              </w:rPr>
              <w:t xml:space="preserve">2025 </w:t>
            </w:r>
            <w:r>
              <w:rPr>
                <w:sz w:val="24"/>
                <w:szCs w:val="24"/>
              </w:rPr>
              <w:t>年，全市土壤环境</w:t>
            </w:r>
            <w:bookmarkStart w:id="2" w:name="_GoBack"/>
            <w:bookmarkEnd w:id="2"/>
            <w:r>
              <w:rPr>
                <w:rFonts w:hint="eastAsia"/>
                <w:sz w:val="24"/>
                <w:szCs w:val="24"/>
                <w:lang w:eastAsia="zh-CN"/>
              </w:rPr>
              <w:t>风险防控体系</w:t>
            </w:r>
          </w:p>
        </w:tc>
      </w:tr>
    </w:tbl>
    <w:p w14:paraId="5CBBE0D0">
      <w:pPr>
        <w:rPr>
          <w:rFonts w:ascii="Arial"/>
          <w:sz w:val="21"/>
        </w:rPr>
      </w:pPr>
    </w:p>
    <w:p w14:paraId="71BDAECB">
      <w:pPr>
        <w:rPr>
          <w:rFonts w:ascii="Arial" w:hAnsi="Arial" w:eastAsia="Arial" w:cs="Arial"/>
          <w:sz w:val="21"/>
          <w:szCs w:val="21"/>
        </w:rPr>
        <w:sectPr>
          <w:footerReference r:id="rId18" w:type="default"/>
          <w:pgSz w:w="11907" w:h="16840"/>
          <w:pgMar w:top="400" w:right="1786" w:bottom="1240" w:left="1774" w:header="0" w:footer="1077" w:gutter="0"/>
          <w:cols w:space="720" w:num="1"/>
        </w:sectPr>
      </w:pPr>
    </w:p>
    <w:p w14:paraId="69A2D92A">
      <w:pPr>
        <w:spacing w:before="19"/>
      </w:pPr>
    </w:p>
    <w:p w14:paraId="1207C1E3">
      <w:pPr>
        <w:spacing w:before="19"/>
      </w:pPr>
    </w:p>
    <w:p w14:paraId="3D1A47B5">
      <w:pPr>
        <w:spacing w:before="18"/>
      </w:pPr>
    </w:p>
    <w:p w14:paraId="158FBFAF">
      <w:pPr>
        <w:spacing w:before="18"/>
      </w:pPr>
    </w:p>
    <w:tbl>
      <w:tblPr>
        <w:tblStyle w:val="5"/>
        <w:tblW w:w="813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4"/>
        <w:gridCol w:w="770"/>
        <w:gridCol w:w="2068"/>
        <w:gridCol w:w="3359"/>
        <w:gridCol w:w="1523"/>
      </w:tblGrid>
      <w:tr w14:paraId="6D0AB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54" w:hRule="atLeast"/>
        </w:trPr>
        <w:tc>
          <w:tcPr>
            <w:tcW w:w="414" w:type="dxa"/>
            <w:vMerge w:val="restart"/>
            <w:tcBorders>
              <w:top w:val="single" w:color="000000" w:sz="6" w:space="0"/>
              <w:left w:val="single" w:color="000000" w:sz="6" w:space="0"/>
              <w:bottom w:val="nil"/>
            </w:tcBorders>
            <w:vAlign w:val="top"/>
          </w:tcPr>
          <w:p w14:paraId="31E69B92">
            <w:pPr>
              <w:rPr>
                <w:rFonts w:ascii="Arial"/>
                <w:sz w:val="21"/>
              </w:rPr>
            </w:pPr>
          </w:p>
        </w:tc>
        <w:tc>
          <w:tcPr>
            <w:tcW w:w="7720" w:type="dxa"/>
            <w:gridSpan w:val="4"/>
            <w:tcBorders>
              <w:top w:val="single" w:color="000000" w:sz="6" w:space="0"/>
              <w:right w:val="single" w:color="000000" w:sz="6" w:space="0"/>
            </w:tcBorders>
            <w:vAlign w:val="top"/>
          </w:tcPr>
          <w:p w14:paraId="5DC86D5E">
            <w:pPr>
              <w:pStyle w:val="6"/>
              <w:spacing w:before="56" w:line="359" w:lineRule="auto"/>
              <w:ind w:left="10" w:right="10" w:hanging="1"/>
              <w:jc w:val="both"/>
              <w:rPr>
                <w:sz w:val="24"/>
                <w:szCs w:val="24"/>
              </w:rPr>
            </w:pPr>
            <w:r>
              <w:rPr>
                <w:sz w:val="24"/>
                <w:szCs w:val="24"/>
              </w:rPr>
              <w:t>进一步完善，农用地和建设用地土壤环境安全基本得到有效保障，受污染</w:t>
            </w:r>
            <w:r>
              <w:rPr>
                <w:spacing w:val="-3"/>
                <w:sz w:val="24"/>
                <w:szCs w:val="24"/>
              </w:rPr>
              <w:t>耕地安全利用率和污染地块安全利用率进一步提</w:t>
            </w:r>
            <w:r>
              <w:rPr>
                <w:spacing w:val="-4"/>
                <w:sz w:val="24"/>
                <w:szCs w:val="24"/>
              </w:rPr>
              <w:t>高。到</w:t>
            </w:r>
            <w:r>
              <w:rPr>
                <w:spacing w:val="-55"/>
                <w:sz w:val="24"/>
                <w:szCs w:val="24"/>
              </w:rPr>
              <w:t xml:space="preserve"> </w:t>
            </w:r>
            <w:r>
              <w:rPr>
                <w:rFonts w:ascii="Times New Roman" w:hAnsi="Times New Roman" w:eastAsia="Times New Roman" w:cs="Times New Roman"/>
                <w:spacing w:val="-4"/>
                <w:sz w:val="24"/>
                <w:szCs w:val="24"/>
              </w:rPr>
              <w:t xml:space="preserve">2035 </w:t>
            </w:r>
            <w:r>
              <w:rPr>
                <w:spacing w:val="-4"/>
                <w:sz w:val="24"/>
                <w:szCs w:val="24"/>
              </w:rPr>
              <w:t>年，全市土壤</w:t>
            </w:r>
            <w:r>
              <w:rPr>
                <w:sz w:val="24"/>
                <w:szCs w:val="24"/>
              </w:rPr>
              <w:t>环境质量稳中向好，农用地和建设用地土壤环境安全得到有效保障，土壤</w:t>
            </w:r>
            <w:r>
              <w:rPr>
                <w:spacing w:val="-1"/>
                <w:sz w:val="24"/>
                <w:szCs w:val="24"/>
              </w:rPr>
              <w:t>环境风险得到全面管控。</w:t>
            </w:r>
          </w:p>
          <w:p w14:paraId="1AA608EA">
            <w:pPr>
              <w:pStyle w:val="6"/>
              <w:spacing w:before="3" w:line="358" w:lineRule="auto"/>
              <w:ind w:left="10" w:firstLine="478"/>
              <w:jc w:val="both"/>
              <w:rPr>
                <w:sz w:val="24"/>
                <w:szCs w:val="24"/>
              </w:rPr>
            </w:pPr>
            <w:r>
              <w:rPr>
                <w:b/>
                <w:bCs/>
                <w:spacing w:val="-2"/>
                <w:sz w:val="24"/>
                <w:szCs w:val="24"/>
              </w:rPr>
              <w:t>符合性：</w:t>
            </w:r>
            <w:r>
              <w:rPr>
                <w:spacing w:val="-2"/>
                <w:sz w:val="24"/>
                <w:szCs w:val="24"/>
              </w:rPr>
              <w:t>根据现状监测数据，本工程所在区域</w:t>
            </w:r>
            <w:r>
              <w:rPr>
                <w:spacing w:val="-3"/>
                <w:sz w:val="24"/>
                <w:szCs w:val="24"/>
              </w:rPr>
              <w:t>电磁环境、声环境质量</w:t>
            </w:r>
            <w:r>
              <w:rPr>
                <w:spacing w:val="-10"/>
                <w:sz w:val="24"/>
                <w:szCs w:val="24"/>
              </w:rPr>
              <w:t>现状均满足相应标准要求。本工程运行期变电站</w:t>
            </w:r>
            <w:r>
              <w:rPr>
                <w:spacing w:val="-11"/>
                <w:sz w:val="24"/>
                <w:szCs w:val="24"/>
              </w:rPr>
              <w:t>生活污水经化粪池（</w:t>
            </w:r>
            <w:r>
              <w:rPr>
                <w:rFonts w:ascii="Times New Roman" w:hAnsi="Times New Roman" w:eastAsia="Times New Roman" w:cs="Times New Roman"/>
                <w:spacing w:val="-11"/>
                <w:sz w:val="24"/>
                <w:szCs w:val="24"/>
              </w:rPr>
              <w:t>2m</w:t>
            </w:r>
            <w:r>
              <w:rPr>
                <w:rFonts w:ascii="Times New Roman" w:hAnsi="Times New Roman" w:eastAsia="Times New Roman" w:cs="Times New Roman"/>
                <w:spacing w:val="-11"/>
                <w:position w:val="1"/>
                <w:sz w:val="15"/>
                <w:szCs w:val="15"/>
              </w:rPr>
              <w:t>3</w:t>
            </w:r>
            <w:r>
              <w:rPr>
                <w:spacing w:val="-11"/>
                <w:position w:val="1"/>
                <w:sz w:val="24"/>
                <w:szCs w:val="24"/>
              </w:rPr>
              <w:t>）</w:t>
            </w:r>
            <w:r>
              <w:rPr>
                <w:spacing w:val="-11"/>
                <w:sz w:val="24"/>
                <w:szCs w:val="24"/>
              </w:rPr>
              <w:t>、</w:t>
            </w:r>
            <w:r>
              <w:rPr>
                <w:spacing w:val="-6"/>
                <w:sz w:val="24"/>
                <w:szCs w:val="24"/>
              </w:rPr>
              <w:t>一体化污水处理设施（处理能力</w:t>
            </w:r>
            <w:r>
              <w:rPr>
                <w:spacing w:val="-39"/>
                <w:sz w:val="24"/>
                <w:szCs w:val="24"/>
              </w:rPr>
              <w:t xml:space="preserve"> </w:t>
            </w:r>
            <w:r>
              <w:rPr>
                <w:rFonts w:ascii="Times New Roman" w:hAnsi="Times New Roman" w:eastAsia="Times New Roman" w:cs="Times New Roman"/>
                <w:spacing w:val="-6"/>
                <w:sz w:val="24"/>
                <w:szCs w:val="24"/>
              </w:rPr>
              <w:t>0.5t/h</w:t>
            </w:r>
            <w:r>
              <w:rPr>
                <w:spacing w:val="-6"/>
                <w:sz w:val="24"/>
                <w:szCs w:val="24"/>
              </w:rPr>
              <w:t>）处理后回用于进站大门两侧绿化带</w:t>
            </w:r>
            <w:r>
              <w:rPr>
                <w:spacing w:val="-4"/>
                <w:sz w:val="24"/>
                <w:szCs w:val="24"/>
              </w:rPr>
              <w:t>绿化洒水，不外排；同时设置</w:t>
            </w:r>
            <w:r>
              <w:rPr>
                <w:spacing w:val="-25"/>
                <w:sz w:val="24"/>
                <w:szCs w:val="24"/>
              </w:rPr>
              <w:t xml:space="preserve"> </w:t>
            </w:r>
            <w:r>
              <w:rPr>
                <w:rFonts w:ascii="Times New Roman" w:hAnsi="Times New Roman" w:eastAsia="Times New Roman" w:cs="Times New Roman"/>
                <w:spacing w:val="-4"/>
                <w:sz w:val="24"/>
                <w:szCs w:val="24"/>
              </w:rPr>
              <w:t xml:space="preserve">1 </w:t>
            </w:r>
            <w:r>
              <w:rPr>
                <w:spacing w:val="-4"/>
                <w:sz w:val="24"/>
                <w:szCs w:val="24"/>
              </w:rPr>
              <w:t>个</w:t>
            </w:r>
            <w:r>
              <w:rPr>
                <w:spacing w:val="-49"/>
                <w:sz w:val="24"/>
                <w:szCs w:val="24"/>
              </w:rPr>
              <w:t xml:space="preserve"> </w:t>
            </w:r>
            <w:r>
              <w:rPr>
                <w:rFonts w:ascii="Times New Roman" w:hAnsi="Times New Roman" w:eastAsia="Times New Roman" w:cs="Times New Roman"/>
                <w:spacing w:val="-4"/>
                <w:sz w:val="24"/>
                <w:szCs w:val="24"/>
              </w:rPr>
              <w:t>5m</w:t>
            </w:r>
            <w:r>
              <w:rPr>
                <w:rFonts w:ascii="Times New Roman" w:hAnsi="Times New Roman" w:eastAsia="Times New Roman" w:cs="Times New Roman"/>
                <w:spacing w:val="-4"/>
                <w:position w:val="8"/>
                <w:sz w:val="15"/>
                <w:szCs w:val="15"/>
              </w:rPr>
              <w:t xml:space="preserve">3  </w:t>
            </w:r>
            <w:r>
              <w:rPr>
                <w:spacing w:val="-4"/>
                <w:sz w:val="24"/>
                <w:szCs w:val="24"/>
              </w:rPr>
              <w:t>的中水池；本项目无废气排放，不</w:t>
            </w:r>
            <w:r>
              <w:rPr>
                <w:spacing w:val="-2"/>
                <w:sz w:val="24"/>
                <w:szCs w:val="24"/>
              </w:rPr>
              <w:t>会对周边大气和地表水环境容量造成影响。在严格遵守法律法规及相关规范的基础上，并采取本报告提出的环保措施后，各项污染因子满足排放标准，不会改变区域环境质量等级。因此，本工程的建设不会突破区域环境</w:t>
            </w:r>
            <w:r>
              <w:rPr>
                <w:spacing w:val="-3"/>
                <w:sz w:val="24"/>
                <w:szCs w:val="24"/>
              </w:rPr>
              <w:t>质量底线，符合曲靖市环境质量底线的要求。</w:t>
            </w:r>
          </w:p>
          <w:p w14:paraId="0EF9B37D">
            <w:pPr>
              <w:pStyle w:val="6"/>
              <w:spacing w:line="220" w:lineRule="auto"/>
              <w:ind w:left="503"/>
              <w:rPr>
                <w:sz w:val="24"/>
                <w:szCs w:val="24"/>
              </w:rPr>
            </w:pPr>
            <w:r>
              <w:rPr>
                <w:b/>
                <w:bCs/>
                <w:spacing w:val="-5"/>
                <w:sz w:val="24"/>
                <w:szCs w:val="24"/>
              </w:rPr>
              <w:t>（</w:t>
            </w:r>
            <w:r>
              <w:rPr>
                <w:rFonts w:ascii="Times New Roman" w:hAnsi="Times New Roman" w:eastAsia="Times New Roman" w:cs="Times New Roman"/>
                <w:b/>
                <w:bCs/>
                <w:spacing w:val="-5"/>
                <w:sz w:val="24"/>
                <w:szCs w:val="24"/>
              </w:rPr>
              <w:t>3</w:t>
            </w:r>
            <w:r>
              <w:rPr>
                <w:b/>
                <w:bCs/>
                <w:spacing w:val="-5"/>
                <w:sz w:val="24"/>
                <w:szCs w:val="24"/>
              </w:rPr>
              <w:t>）资源利用上线</w:t>
            </w:r>
          </w:p>
          <w:p w14:paraId="76AF3CB6">
            <w:pPr>
              <w:pStyle w:val="6"/>
              <w:spacing w:before="179" w:line="359" w:lineRule="auto"/>
              <w:ind w:left="21" w:firstLine="472"/>
              <w:rPr>
                <w:sz w:val="24"/>
                <w:szCs w:val="24"/>
              </w:rPr>
            </w:pPr>
            <w:r>
              <w:rPr>
                <w:spacing w:val="-7"/>
                <w:sz w:val="24"/>
                <w:szCs w:val="24"/>
              </w:rPr>
              <w:t>强化节约集约利用，持续提升资源能源利用效率，水</w:t>
            </w:r>
            <w:r>
              <w:rPr>
                <w:spacing w:val="-8"/>
                <w:sz w:val="24"/>
                <w:szCs w:val="24"/>
              </w:rPr>
              <w:t>资源、土地资源、</w:t>
            </w:r>
            <w:r>
              <w:rPr>
                <w:spacing w:val="-4"/>
                <w:sz w:val="24"/>
                <w:szCs w:val="24"/>
              </w:rPr>
              <w:t>能源消耗完成省级下达的控制目标。</w:t>
            </w:r>
          </w:p>
          <w:p w14:paraId="4727CA12">
            <w:pPr>
              <w:pStyle w:val="6"/>
              <w:spacing w:line="359" w:lineRule="auto"/>
              <w:ind w:left="10" w:firstLine="479"/>
              <w:jc w:val="both"/>
              <w:rPr>
                <w:sz w:val="24"/>
                <w:szCs w:val="24"/>
              </w:rPr>
            </w:pPr>
            <w:r>
              <w:rPr>
                <w:b/>
                <w:bCs/>
                <w:spacing w:val="-2"/>
                <w:sz w:val="24"/>
                <w:szCs w:val="24"/>
              </w:rPr>
              <w:t>符合性：</w:t>
            </w:r>
            <w:r>
              <w:rPr>
                <w:spacing w:val="-2"/>
                <w:sz w:val="24"/>
                <w:szCs w:val="24"/>
              </w:rPr>
              <w:t>本工程属于输变电工程，运行期不涉及废气排放、废水排放</w:t>
            </w:r>
            <w:r>
              <w:rPr>
                <w:spacing w:val="-7"/>
                <w:sz w:val="24"/>
                <w:szCs w:val="24"/>
              </w:rPr>
              <w:t>及土地污染。新建输电线路仅塔基四个基础占地，对土地资源的占用较小，</w:t>
            </w:r>
            <w:r>
              <w:rPr>
                <w:spacing w:val="-1"/>
                <w:sz w:val="24"/>
                <w:szCs w:val="24"/>
              </w:rPr>
              <w:t>项目用地将按照相关要求办理用地预审与选址意</w:t>
            </w:r>
            <w:r>
              <w:rPr>
                <w:spacing w:val="-2"/>
                <w:sz w:val="24"/>
                <w:szCs w:val="24"/>
              </w:rPr>
              <w:t>见书，项目符合资源利用</w:t>
            </w:r>
            <w:r>
              <w:rPr>
                <w:spacing w:val="-3"/>
                <w:sz w:val="24"/>
                <w:szCs w:val="24"/>
              </w:rPr>
              <w:t>相关规定要求。</w:t>
            </w:r>
          </w:p>
          <w:p w14:paraId="3621AB37">
            <w:pPr>
              <w:pStyle w:val="6"/>
              <w:spacing w:line="220" w:lineRule="auto"/>
              <w:ind w:left="503"/>
              <w:rPr>
                <w:sz w:val="24"/>
                <w:szCs w:val="24"/>
              </w:rPr>
            </w:pPr>
            <w:r>
              <w:rPr>
                <w:b/>
                <w:bCs/>
                <w:spacing w:val="-4"/>
                <w:sz w:val="24"/>
                <w:szCs w:val="24"/>
              </w:rPr>
              <w:t>（</w:t>
            </w:r>
            <w:r>
              <w:rPr>
                <w:rFonts w:ascii="Times New Roman" w:hAnsi="Times New Roman" w:eastAsia="Times New Roman" w:cs="Times New Roman"/>
                <w:b/>
                <w:bCs/>
                <w:spacing w:val="-4"/>
                <w:sz w:val="24"/>
                <w:szCs w:val="24"/>
              </w:rPr>
              <w:t>4</w:t>
            </w:r>
            <w:r>
              <w:rPr>
                <w:b/>
                <w:bCs/>
                <w:spacing w:val="-4"/>
                <w:sz w:val="24"/>
                <w:szCs w:val="24"/>
              </w:rPr>
              <w:t>）生态环境准入清单</w:t>
            </w:r>
          </w:p>
          <w:p w14:paraId="1F150FB5">
            <w:pPr>
              <w:pStyle w:val="6"/>
              <w:spacing w:before="182" w:line="359" w:lineRule="auto"/>
              <w:ind w:left="10" w:right="10" w:firstLine="480"/>
              <w:jc w:val="both"/>
              <w:rPr>
                <w:sz w:val="24"/>
                <w:szCs w:val="24"/>
              </w:rPr>
            </w:pPr>
            <w:r>
              <w:rPr>
                <w:sz w:val="24"/>
                <w:szCs w:val="24"/>
              </w:rPr>
              <w:t>根据《曲靖市生态环境分区管控动态更新方案（</w:t>
            </w:r>
            <w:r>
              <w:rPr>
                <w:rFonts w:ascii="Times New Roman" w:hAnsi="Times New Roman" w:eastAsia="Times New Roman" w:cs="Times New Roman"/>
                <w:sz w:val="24"/>
                <w:szCs w:val="24"/>
              </w:rPr>
              <w:t>2023</w:t>
            </w:r>
            <w:r>
              <w:rPr>
                <w:sz w:val="24"/>
                <w:szCs w:val="24"/>
              </w:rPr>
              <w:t>年）》：依据生态保护红线、环境质量底线、资源利用上线等调整情况，结合全市经济社会发展和生态环境保护实际，更新调整优先保护、重点管控、一般管控三</w:t>
            </w:r>
            <w:r>
              <w:rPr>
                <w:spacing w:val="-4"/>
                <w:sz w:val="24"/>
                <w:szCs w:val="24"/>
              </w:rPr>
              <w:t>类环境管控单元，分区分类实施精细化管控。更新后，全市共划定</w:t>
            </w:r>
            <w:r>
              <w:rPr>
                <w:spacing w:val="-37"/>
                <w:sz w:val="24"/>
                <w:szCs w:val="24"/>
              </w:rPr>
              <w:t xml:space="preserve"> </w:t>
            </w:r>
            <w:r>
              <w:rPr>
                <w:rFonts w:ascii="Times New Roman" w:hAnsi="Times New Roman" w:eastAsia="Times New Roman" w:cs="Times New Roman"/>
                <w:spacing w:val="-4"/>
                <w:sz w:val="24"/>
                <w:szCs w:val="24"/>
              </w:rPr>
              <w:t xml:space="preserve">91 </w:t>
            </w:r>
            <w:r>
              <w:rPr>
                <w:spacing w:val="-4"/>
                <w:sz w:val="24"/>
                <w:szCs w:val="24"/>
              </w:rPr>
              <w:t>个环</w:t>
            </w:r>
            <w:r>
              <w:rPr>
                <w:sz w:val="24"/>
                <w:szCs w:val="24"/>
              </w:rPr>
              <w:t>境管控单元。其中，优先保护单元</w:t>
            </w:r>
            <w:r>
              <w:rPr>
                <w:spacing w:val="-52"/>
                <w:sz w:val="24"/>
                <w:szCs w:val="24"/>
              </w:rPr>
              <w:t xml:space="preserve"> </w:t>
            </w:r>
            <w:r>
              <w:rPr>
                <w:rFonts w:ascii="Times New Roman" w:hAnsi="Times New Roman" w:eastAsia="Times New Roman" w:cs="Times New Roman"/>
                <w:sz w:val="24"/>
                <w:szCs w:val="24"/>
              </w:rPr>
              <w:t xml:space="preserve">27 </w:t>
            </w:r>
            <w:r>
              <w:rPr>
                <w:sz w:val="24"/>
                <w:szCs w:val="24"/>
              </w:rPr>
              <w:t>个，重点管控单</w:t>
            </w:r>
            <w:r>
              <w:rPr>
                <w:spacing w:val="-1"/>
                <w:sz w:val="24"/>
                <w:szCs w:val="24"/>
              </w:rPr>
              <w:t>元</w:t>
            </w:r>
            <w:r>
              <w:rPr>
                <w:spacing w:val="-51"/>
                <w:sz w:val="24"/>
                <w:szCs w:val="24"/>
              </w:rPr>
              <w:t xml:space="preserve"> </w:t>
            </w:r>
            <w:r>
              <w:rPr>
                <w:rFonts w:ascii="Times New Roman" w:hAnsi="Times New Roman" w:eastAsia="Times New Roman" w:cs="Times New Roman"/>
                <w:spacing w:val="-1"/>
                <w:sz w:val="24"/>
                <w:szCs w:val="24"/>
              </w:rPr>
              <w:t xml:space="preserve">55 </w:t>
            </w:r>
            <w:r>
              <w:rPr>
                <w:spacing w:val="-1"/>
                <w:sz w:val="24"/>
                <w:szCs w:val="24"/>
              </w:rPr>
              <w:t>个，一般管控</w:t>
            </w:r>
            <w:r>
              <w:rPr>
                <w:spacing w:val="-6"/>
                <w:sz w:val="24"/>
                <w:szCs w:val="24"/>
              </w:rPr>
              <w:t>单元</w:t>
            </w:r>
            <w:r>
              <w:rPr>
                <w:spacing w:val="-49"/>
                <w:sz w:val="24"/>
                <w:szCs w:val="24"/>
              </w:rPr>
              <w:t xml:space="preserve"> </w:t>
            </w:r>
            <w:r>
              <w:rPr>
                <w:rFonts w:ascii="Times New Roman" w:hAnsi="Times New Roman" w:eastAsia="Times New Roman" w:cs="Times New Roman"/>
                <w:spacing w:val="-6"/>
                <w:sz w:val="24"/>
                <w:szCs w:val="24"/>
              </w:rPr>
              <w:t>9</w:t>
            </w:r>
            <w:r>
              <w:rPr>
                <w:rFonts w:ascii="Times New Roman" w:hAnsi="Times New Roman" w:eastAsia="Times New Roman" w:cs="Times New Roman"/>
                <w:spacing w:val="9"/>
                <w:sz w:val="24"/>
                <w:szCs w:val="24"/>
              </w:rPr>
              <w:t xml:space="preserve"> </w:t>
            </w:r>
            <w:r>
              <w:rPr>
                <w:spacing w:val="-6"/>
                <w:sz w:val="24"/>
                <w:szCs w:val="24"/>
              </w:rPr>
              <w:t>个。</w:t>
            </w:r>
          </w:p>
          <w:p w14:paraId="43872BFF">
            <w:pPr>
              <w:pStyle w:val="6"/>
              <w:spacing w:before="1" w:line="357" w:lineRule="auto"/>
              <w:ind w:left="10" w:right="10" w:firstLine="482"/>
              <w:rPr>
                <w:sz w:val="24"/>
                <w:szCs w:val="24"/>
              </w:rPr>
            </w:pPr>
            <w:r>
              <w:rPr>
                <w:sz w:val="24"/>
                <w:szCs w:val="24"/>
              </w:rPr>
              <w:t>经查询，项目涉及陆良县一般管控单元。本工程涉及的管控单元及准</w:t>
            </w:r>
            <w:r>
              <w:rPr>
                <w:spacing w:val="-1"/>
                <w:sz w:val="24"/>
                <w:szCs w:val="24"/>
              </w:rPr>
              <w:t>入清单符合性分析见下表。</w:t>
            </w:r>
          </w:p>
          <w:p w14:paraId="6C7EB515">
            <w:pPr>
              <w:pStyle w:val="6"/>
              <w:spacing w:line="203" w:lineRule="auto"/>
              <w:ind w:left="2349"/>
            </w:pPr>
            <w:r>
              <w:rPr>
                <w:b/>
                <w:bCs/>
                <w:spacing w:val="6"/>
              </w:rPr>
              <w:t>表</w:t>
            </w:r>
            <w:r>
              <w:rPr>
                <w:rFonts w:ascii="Times New Roman" w:hAnsi="Times New Roman" w:eastAsia="Times New Roman" w:cs="Times New Roman"/>
                <w:b/>
                <w:bCs/>
                <w:spacing w:val="6"/>
              </w:rPr>
              <w:t xml:space="preserve">1-4    </w:t>
            </w:r>
            <w:r>
              <w:rPr>
                <w:b/>
                <w:bCs/>
                <w:spacing w:val="6"/>
              </w:rPr>
              <w:t>项目涉及的环境管控单元</w:t>
            </w:r>
          </w:p>
        </w:tc>
      </w:tr>
      <w:tr w14:paraId="62D76F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414" w:type="dxa"/>
            <w:vMerge w:val="continue"/>
            <w:tcBorders>
              <w:top w:val="nil"/>
              <w:left w:val="single" w:color="000000" w:sz="6" w:space="0"/>
              <w:bottom w:val="single" w:color="000000" w:sz="6" w:space="0"/>
            </w:tcBorders>
            <w:vAlign w:val="top"/>
          </w:tcPr>
          <w:p w14:paraId="2C47D555">
            <w:pPr>
              <w:rPr>
                <w:rFonts w:ascii="Arial"/>
                <w:sz w:val="21"/>
              </w:rPr>
            </w:pPr>
          </w:p>
        </w:tc>
        <w:tc>
          <w:tcPr>
            <w:tcW w:w="770" w:type="dxa"/>
            <w:tcBorders>
              <w:bottom w:val="single" w:color="000000" w:sz="6" w:space="0"/>
            </w:tcBorders>
            <w:vAlign w:val="top"/>
          </w:tcPr>
          <w:p w14:paraId="1D4F35AF">
            <w:pPr>
              <w:pStyle w:val="6"/>
              <w:spacing w:before="67" w:line="229" w:lineRule="auto"/>
              <w:ind w:left="228"/>
            </w:pPr>
            <w:r>
              <w:rPr>
                <w:b/>
                <w:bCs/>
                <w:spacing w:val="4"/>
              </w:rPr>
              <w:t>序号</w:t>
            </w:r>
          </w:p>
        </w:tc>
        <w:tc>
          <w:tcPr>
            <w:tcW w:w="2068" w:type="dxa"/>
            <w:tcBorders>
              <w:bottom w:val="single" w:color="000000" w:sz="6" w:space="0"/>
            </w:tcBorders>
            <w:vAlign w:val="top"/>
          </w:tcPr>
          <w:p w14:paraId="0A7CD80C">
            <w:pPr>
              <w:pStyle w:val="6"/>
              <w:spacing w:before="67" w:line="228" w:lineRule="auto"/>
              <w:ind w:left="236"/>
            </w:pPr>
            <w:r>
              <w:rPr>
                <w:b/>
                <w:bCs/>
                <w:spacing w:val="7"/>
              </w:rPr>
              <w:t>环境管控单元编码</w:t>
            </w:r>
          </w:p>
        </w:tc>
        <w:tc>
          <w:tcPr>
            <w:tcW w:w="3359" w:type="dxa"/>
            <w:tcBorders>
              <w:bottom w:val="single" w:color="000000" w:sz="6" w:space="0"/>
            </w:tcBorders>
            <w:vAlign w:val="top"/>
          </w:tcPr>
          <w:p w14:paraId="5B43DF39">
            <w:pPr>
              <w:pStyle w:val="6"/>
              <w:spacing w:before="67" w:line="228" w:lineRule="auto"/>
              <w:ind w:left="866"/>
            </w:pPr>
            <w:r>
              <w:rPr>
                <w:b/>
                <w:bCs/>
                <w:spacing w:val="7"/>
              </w:rPr>
              <w:t>环境管控单元名称</w:t>
            </w:r>
          </w:p>
        </w:tc>
        <w:tc>
          <w:tcPr>
            <w:tcW w:w="1523" w:type="dxa"/>
            <w:tcBorders>
              <w:bottom w:val="single" w:color="000000" w:sz="6" w:space="0"/>
              <w:right w:val="single" w:color="000000" w:sz="6" w:space="0"/>
            </w:tcBorders>
            <w:vAlign w:val="top"/>
          </w:tcPr>
          <w:p w14:paraId="6B8C806F">
            <w:pPr>
              <w:pStyle w:val="6"/>
              <w:spacing w:before="67" w:line="228" w:lineRule="auto"/>
              <w:ind w:left="116"/>
            </w:pPr>
            <w:r>
              <w:rPr>
                <w:b/>
                <w:bCs/>
                <w:spacing w:val="6"/>
              </w:rPr>
              <w:t>管控单元类型</w:t>
            </w:r>
          </w:p>
        </w:tc>
      </w:tr>
    </w:tbl>
    <w:p w14:paraId="1A82ED39">
      <w:pPr>
        <w:rPr>
          <w:rFonts w:ascii="Arial"/>
          <w:sz w:val="21"/>
        </w:rPr>
      </w:pPr>
    </w:p>
    <w:p w14:paraId="18EA5C48">
      <w:pPr>
        <w:rPr>
          <w:rFonts w:ascii="Arial" w:hAnsi="Arial" w:eastAsia="Arial" w:cs="Arial"/>
          <w:sz w:val="21"/>
          <w:szCs w:val="21"/>
        </w:rPr>
        <w:sectPr>
          <w:footerReference r:id="rId19" w:type="default"/>
          <w:pgSz w:w="11907" w:h="16840"/>
          <w:pgMar w:top="400" w:right="1786" w:bottom="1240" w:left="1774" w:header="0" w:footer="1077" w:gutter="0"/>
          <w:cols w:space="720" w:num="1"/>
        </w:sectPr>
      </w:pPr>
    </w:p>
    <w:p w14:paraId="7EA69F41">
      <w:pPr>
        <w:spacing w:before="19"/>
      </w:pPr>
    </w:p>
    <w:p w14:paraId="345ACF2A">
      <w:pPr>
        <w:spacing w:before="19"/>
      </w:pPr>
    </w:p>
    <w:p w14:paraId="6C9A2FB6">
      <w:pPr>
        <w:spacing w:before="18"/>
      </w:pPr>
    </w:p>
    <w:p w14:paraId="12B4E484">
      <w:pPr>
        <w:spacing w:before="18"/>
      </w:pPr>
    </w:p>
    <w:tbl>
      <w:tblPr>
        <w:tblStyle w:val="5"/>
        <w:tblW w:w="813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1"/>
        <w:gridCol w:w="67"/>
        <w:gridCol w:w="327"/>
        <w:gridCol w:w="379"/>
        <w:gridCol w:w="317"/>
        <w:gridCol w:w="1735"/>
        <w:gridCol w:w="1591"/>
        <w:gridCol w:w="1743"/>
        <w:gridCol w:w="780"/>
        <w:gridCol w:w="784"/>
      </w:tblGrid>
      <w:tr w14:paraId="1B2A3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411" w:type="dxa"/>
            <w:vMerge w:val="restart"/>
            <w:tcBorders>
              <w:top w:val="single" w:color="000000" w:sz="6" w:space="0"/>
              <w:left w:val="single" w:color="000000" w:sz="6" w:space="0"/>
              <w:bottom w:val="nil"/>
            </w:tcBorders>
            <w:vAlign w:val="top"/>
          </w:tcPr>
          <w:p w14:paraId="5A709F6B">
            <w:pPr>
              <w:rPr>
                <w:rFonts w:ascii="Arial"/>
                <w:sz w:val="21"/>
              </w:rPr>
            </w:pPr>
          </w:p>
        </w:tc>
        <w:tc>
          <w:tcPr>
            <w:tcW w:w="67" w:type="dxa"/>
            <w:tcBorders>
              <w:top w:val="single" w:color="000000" w:sz="6" w:space="0"/>
              <w:bottom w:val="nil"/>
            </w:tcBorders>
            <w:vAlign w:val="top"/>
          </w:tcPr>
          <w:p w14:paraId="21E1DC2F">
            <w:pPr>
              <w:rPr>
                <w:rFonts w:ascii="Arial"/>
                <w:sz w:val="21"/>
              </w:rPr>
            </w:pPr>
          </w:p>
        </w:tc>
        <w:tc>
          <w:tcPr>
            <w:tcW w:w="706" w:type="dxa"/>
            <w:gridSpan w:val="2"/>
            <w:tcBorders>
              <w:top w:val="single" w:color="000000" w:sz="6" w:space="0"/>
            </w:tcBorders>
            <w:vAlign w:val="top"/>
          </w:tcPr>
          <w:p w14:paraId="16CDF6FB">
            <w:pPr>
              <w:spacing w:before="118" w:line="195" w:lineRule="auto"/>
              <w:ind w:left="33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052" w:type="dxa"/>
            <w:gridSpan w:val="2"/>
            <w:tcBorders>
              <w:top w:val="single" w:color="000000" w:sz="6" w:space="0"/>
            </w:tcBorders>
            <w:vAlign w:val="top"/>
          </w:tcPr>
          <w:p w14:paraId="4E776F72">
            <w:pPr>
              <w:spacing w:before="118" w:line="195" w:lineRule="auto"/>
              <w:ind w:left="358"/>
              <w:rPr>
                <w:rFonts w:ascii="Times New Roman" w:hAnsi="Times New Roman" w:eastAsia="Times New Roman" w:cs="Times New Roman"/>
                <w:sz w:val="20"/>
                <w:szCs w:val="20"/>
              </w:rPr>
            </w:pPr>
            <w:r>
              <w:rPr>
                <w:rFonts w:ascii="Times New Roman" w:hAnsi="Times New Roman" w:eastAsia="Times New Roman" w:cs="Times New Roman"/>
                <w:sz w:val="20"/>
                <w:szCs w:val="20"/>
              </w:rPr>
              <w:t>ZH</w:t>
            </w:r>
            <w:r>
              <w:rPr>
                <w:rFonts w:ascii="Times New Roman" w:hAnsi="Times New Roman" w:eastAsia="Times New Roman" w:cs="Times New Roman"/>
                <w:spacing w:val="5"/>
                <w:sz w:val="20"/>
                <w:szCs w:val="20"/>
              </w:rPr>
              <w:t>53032230001</w:t>
            </w:r>
          </w:p>
        </w:tc>
        <w:tc>
          <w:tcPr>
            <w:tcW w:w="3334" w:type="dxa"/>
            <w:gridSpan w:val="2"/>
            <w:tcBorders>
              <w:top w:val="single" w:color="000000" w:sz="6" w:space="0"/>
            </w:tcBorders>
            <w:vAlign w:val="top"/>
          </w:tcPr>
          <w:p w14:paraId="20B5AF8F">
            <w:pPr>
              <w:pStyle w:val="6"/>
              <w:spacing w:before="82" w:line="228" w:lineRule="auto"/>
              <w:ind w:left="792"/>
            </w:pPr>
            <w:r>
              <w:rPr>
                <w:spacing w:val="7"/>
              </w:rPr>
              <w:t>陆良县一般管控单元</w:t>
            </w:r>
          </w:p>
        </w:tc>
        <w:tc>
          <w:tcPr>
            <w:tcW w:w="1564" w:type="dxa"/>
            <w:gridSpan w:val="2"/>
            <w:tcBorders>
              <w:top w:val="single" w:color="000000" w:sz="6" w:space="0"/>
              <w:right w:val="single" w:color="000000" w:sz="6" w:space="0"/>
            </w:tcBorders>
            <w:vAlign w:val="top"/>
          </w:tcPr>
          <w:p w14:paraId="724D0A6E">
            <w:pPr>
              <w:pStyle w:val="6"/>
              <w:spacing w:before="82" w:line="228" w:lineRule="auto"/>
              <w:ind w:left="157"/>
            </w:pPr>
            <w:r>
              <w:rPr>
                <w:spacing w:val="7"/>
              </w:rPr>
              <w:t>一般管控单元</w:t>
            </w:r>
          </w:p>
        </w:tc>
      </w:tr>
      <w:tr w14:paraId="04F425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411" w:type="dxa"/>
            <w:vMerge w:val="continue"/>
            <w:tcBorders>
              <w:top w:val="nil"/>
              <w:left w:val="single" w:color="000000" w:sz="6" w:space="0"/>
              <w:bottom w:val="nil"/>
            </w:tcBorders>
            <w:vAlign w:val="top"/>
          </w:tcPr>
          <w:p w14:paraId="61B4EE3A">
            <w:pPr>
              <w:rPr>
                <w:rFonts w:ascii="Arial"/>
                <w:sz w:val="21"/>
              </w:rPr>
            </w:pPr>
          </w:p>
        </w:tc>
        <w:tc>
          <w:tcPr>
            <w:tcW w:w="7723" w:type="dxa"/>
            <w:gridSpan w:val="9"/>
            <w:tcBorders>
              <w:right w:val="single" w:color="000000" w:sz="6" w:space="0"/>
            </w:tcBorders>
            <w:vAlign w:val="top"/>
          </w:tcPr>
          <w:p w14:paraId="4BD11DD1">
            <w:pPr>
              <w:pStyle w:val="6"/>
              <w:spacing w:before="271" w:line="214" w:lineRule="auto"/>
              <w:ind w:left="1402"/>
            </w:pPr>
            <w:r>
              <w:rPr>
                <w:b/>
                <w:bCs/>
                <w:spacing w:val="7"/>
              </w:rPr>
              <w:t>表</w:t>
            </w:r>
            <w:r>
              <w:rPr>
                <w:rFonts w:ascii="Times New Roman" w:hAnsi="Times New Roman" w:eastAsia="Times New Roman" w:cs="Times New Roman"/>
                <w:b/>
                <w:bCs/>
                <w:spacing w:val="7"/>
              </w:rPr>
              <w:t xml:space="preserve">1-5    </w:t>
            </w:r>
            <w:r>
              <w:rPr>
                <w:b/>
                <w:bCs/>
                <w:spacing w:val="7"/>
              </w:rPr>
              <w:t>项目与曲靖市生态环境准入清单的符合性分析</w:t>
            </w:r>
          </w:p>
        </w:tc>
      </w:tr>
      <w:tr w14:paraId="6BB12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 w:hRule="atLeast"/>
        </w:trPr>
        <w:tc>
          <w:tcPr>
            <w:tcW w:w="411" w:type="dxa"/>
            <w:vMerge w:val="continue"/>
            <w:tcBorders>
              <w:top w:val="nil"/>
              <w:left w:val="single" w:color="000000" w:sz="6" w:space="0"/>
              <w:bottom w:val="nil"/>
            </w:tcBorders>
            <w:vAlign w:val="top"/>
          </w:tcPr>
          <w:p w14:paraId="2BA6F74A">
            <w:pPr>
              <w:rPr>
                <w:rFonts w:ascii="Arial"/>
                <w:sz w:val="21"/>
              </w:rPr>
            </w:pPr>
          </w:p>
        </w:tc>
        <w:tc>
          <w:tcPr>
            <w:tcW w:w="67" w:type="dxa"/>
            <w:tcBorders>
              <w:top w:val="nil"/>
              <w:bottom w:val="nil"/>
            </w:tcBorders>
            <w:vAlign w:val="top"/>
          </w:tcPr>
          <w:p w14:paraId="4D2BDDB7">
            <w:pPr>
              <w:rPr>
                <w:rFonts w:ascii="Arial"/>
                <w:sz w:val="21"/>
              </w:rPr>
            </w:pPr>
          </w:p>
        </w:tc>
        <w:tc>
          <w:tcPr>
            <w:tcW w:w="1023" w:type="dxa"/>
            <w:gridSpan w:val="3"/>
            <w:vAlign w:val="top"/>
          </w:tcPr>
          <w:p w14:paraId="77A1D97B">
            <w:pPr>
              <w:pStyle w:val="6"/>
              <w:spacing w:before="29" w:line="215" w:lineRule="auto"/>
              <w:ind w:left="296"/>
            </w:pPr>
            <w:r>
              <w:rPr>
                <w:b/>
                <w:bCs/>
                <w:spacing w:val="3"/>
              </w:rPr>
              <w:t>类别</w:t>
            </w:r>
          </w:p>
        </w:tc>
        <w:tc>
          <w:tcPr>
            <w:tcW w:w="3326" w:type="dxa"/>
            <w:gridSpan w:val="2"/>
            <w:vAlign w:val="top"/>
          </w:tcPr>
          <w:p w14:paraId="5A9FCC41">
            <w:pPr>
              <w:pStyle w:val="6"/>
              <w:spacing w:before="29" w:line="215" w:lineRule="auto"/>
              <w:ind w:left="1030"/>
            </w:pPr>
            <w:r>
              <w:rPr>
                <w:b/>
                <w:bCs/>
                <w:spacing w:val="6"/>
              </w:rPr>
              <w:t>更新管控要求</w:t>
            </w:r>
          </w:p>
        </w:tc>
        <w:tc>
          <w:tcPr>
            <w:tcW w:w="2523" w:type="dxa"/>
            <w:gridSpan w:val="2"/>
            <w:vAlign w:val="top"/>
          </w:tcPr>
          <w:p w14:paraId="072C18DC">
            <w:pPr>
              <w:pStyle w:val="6"/>
              <w:spacing w:before="29" w:line="215" w:lineRule="auto"/>
              <w:ind w:left="847"/>
            </w:pPr>
            <w:r>
              <w:rPr>
                <w:b/>
                <w:bCs/>
                <w:spacing w:val="5"/>
              </w:rPr>
              <w:t>项目情况</w:t>
            </w:r>
          </w:p>
        </w:tc>
        <w:tc>
          <w:tcPr>
            <w:tcW w:w="784" w:type="dxa"/>
            <w:tcBorders>
              <w:right w:val="single" w:color="000000" w:sz="6" w:space="0"/>
            </w:tcBorders>
            <w:vAlign w:val="top"/>
          </w:tcPr>
          <w:p w14:paraId="65E286F8">
            <w:pPr>
              <w:pStyle w:val="6"/>
              <w:spacing w:before="29" w:line="215" w:lineRule="auto"/>
              <w:ind w:left="46"/>
            </w:pPr>
            <w:r>
              <w:rPr>
                <w:b/>
                <w:bCs/>
                <w:spacing w:val="5"/>
              </w:rPr>
              <w:t>相符性</w:t>
            </w:r>
          </w:p>
        </w:tc>
      </w:tr>
      <w:tr w14:paraId="190C9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8" w:hRule="atLeast"/>
        </w:trPr>
        <w:tc>
          <w:tcPr>
            <w:tcW w:w="411" w:type="dxa"/>
            <w:vMerge w:val="continue"/>
            <w:tcBorders>
              <w:top w:val="nil"/>
              <w:left w:val="single" w:color="000000" w:sz="6" w:space="0"/>
              <w:bottom w:val="nil"/>
            </w:tcBorders>
            <w:vAlign w:val="top"/>
          </w:tcPr>
          <w:p w14:paraId="6419A284">
            <w:pPr>
              <w:rPr>
                <w:rFonts w:ascii="Arial"/>
                <w:sz w:val="21"/>
              </w:rPr>
            </w:pPr>
          </w:p>
        </w:tc>
        <w:tc>
          <w:tcPr>
            <w:tcW w:w="67" w:type="dxa"/>
            <w:tcBorders>
              <w:top w:val="nil"/>
              <w:bottom w:val="nil"/>
            </w:tcBorders>
            <w:vAlign w:val="top"/>
          </w:tcPr>
          <w:p w14:paraId="69E41957">
            <w:pPr>
              <w:rPr>
                <w:rFonts w:ascii="Arial"/>
                <w:sz w:val="21"/>
              </w:rPr>
            </w:pPr>
          </w:p>
        </w:tc>
        <w:tc>
          <w:tcPr>
            <w:tcW w:w="327" w:type="dxa"/>
            <w:vMerge w:val="restart"/>
            <w:tcBorders>
              <w:bottom w:val="nil"/>
            </w:tcBorders>
            <w:textDirection w:val="tbRlV"/>
            <w:vAlign w:val="top"/>
          </w:tcPr>
          <w:p w14:paraId="0FC3270C">
            <w:pPr>
              <w:pStyle w:val="6"/>
              <w:spacing w:before="61" w:line="207" w:lineRule="auto"/>
              <w:ind w:left="30"/>
            </w:pPr>
            <w:r>
              <w:rPr>
                <w:spacing w:val="8"/>
                <w:position w:val="1"/>
              </w:rPr>
              <w:t>曲</w:t>
            </w:r>
            <w:r>
              <w:rPr>
                <w:spacing w:val="-30"/>
                <w:position w:val="1"/>
              </w:rPr>
              <w:t xml:space="preserve"> </w:t>
            </w:r>
            <w:r>
              <w:rPr>
                <w:spacing w:val="8"/>
              </w:rPr>
              <w:t>靖</w:t>
            </w:r>
            <w:r>
              <w:rPr>
                <w:spacing w:val="-36"/>
              </w:rPr>
              <w:t xml:space="preserve"> </w:t>
            </w:r>
            <w:r>
              <w:rPr>
                <w:spacing w:val="8"/>
              </w:rPr>
              <w:t>市</w:t>
            </w:r>
            <w:r>
              <w:rPr>
                <w:spacing w:val="-37"/>
              </w:rPr>
              <w:t xml:space="preserve"> </w:t>
            </w:r>
            <w:r>
              <w:rPr>
                <w:spacing w:val="8"/>
              </w:rPr>
              <w:t>生</w:t>
            </w:r>
            <w:r>
              <w:rPr>
                <w:spacing w:val="-35"/>
              </w:rPr>
              <w:t xml:space="preserve"> </w:t>
            </w:r>
            <w:r>
              <w:rPr>
                <w:spacing w:val="8"/>
              </w:rPr>
              <w:t>态</w:t>
            </w:r>
            <w:r>
              <w:rPr>
                <w:spacing w:val="-38"/>
              </w:rPr>
              <w:t xml:space="preserve"> </w:t>
            </w:r>
            <w:r>
              <w:rPr>
                <w:spacing w:val="8"/>
              </w:rPr>
              <w:t>环</w:t>
            </w:r>
            <w:r>
              <w:rPr>
                <w:spacing w:val="-35"/>
              </w:rPr>
              <w:t xml:space="preserve"> </w:t>
            </w:r>
            <w:r>
              <w:rPr>
                <w:spacing w:val="8"/>
              </w:rPr>
              <w:t>境</w:t>
            </w:r>
            <w:r>
              <w:rPr>
                <w:spacing w:val="-38"/>
              </w:rPr>
              <w:t xml:space="preserve"> </w:t>
            </w:r>
            <w:r>
              <w:rPr>
                <w:spacing w:val="8"/>
              </w:rPr>
              <w:t>准</w:t>
            </w:r>
            <w:r>
              <w:rPr>
                <w:spacing w:val="-37"/>
              </w:rPr>
              <w:t xml:space="preserve"> </w:t>
            </w:r>
            <w:r>
              <w:rPr>
                <w:spacing w:val="8"/>
              </w:rPr>
              <w:t>入</w:t>
            </w:r>
            <w:r>
              <w:rPr>
                <w:spacing w:val="-35"/>
              </w:rPr>
              <w:t xml:space="preserve"> </w:t>
            </w:r>
            <w:r>
              <w:rPr>
                <w:spacing w:val="8"/>
              </w:rPr>
              <w:t>清</w:t>
            </w:r>
            <w:r>
              <w:rPr>
                <w:spacing w:val="-38"/>
              </w:rPr>
              <w:t xml:space="preserve"> </w:t>
            </w:r>
            <w:r>
              <w:rPr>
                <w:spacing w:val="8"/>
              </w:rPr>
              <w:t>单</w:t>
            </w:r>
          </w:p>
        </w:tc>
        <w:tc>
          <w:tcPr>
            <w:tcW w:w="379" w:type="dxa"/>
            <w:vMerge w:val="restart"/>
            <w:tcBorders>
              <w:bottom w:val="nil"/>
            </w:tcBorders>
            <w:textDirection w:val="tbRlV"/>
            <w:vAlign w:val="top"/>
          </w:tcPr>
          <w:p w14:paraId="3932A676">
            <w:pPr>
              <w:pStyle w:val="6"/>
              <w:spacing w:before="90" w:line="207" w:lineRule="auto"/>
              <w:ind w:left="30"/>
            </w:pPr>
            <w:r>
              <w:rPr>
                <w:spacing w:val="8"/>
                <w:position w:val="1"/>
              </w:rPr>
              <w:t>曲</w:t>
            </w:r>
            <w:r>
              <w:rPr>
                <w:spacing w:val="-27"/>
                <w:position w:val="1"/>
              </w:rPr>
              <w:t xml:space="preserve"> </w:t>
            </w:r>
            <w:r>
              <w:rPr>
                <w:spacing w:val="8"/>
              </w:rPr>
              <w:t>靖</w:t>
            </w:r>
            <w:r>
              <w:rPr>
                <w:spacing w:val="-35"/>
              </w:rPr>
              <w:t xml:space="preserve"> </w:t>
            </w:r>
            <w:r>
              <w:rPr>
                <w:spacing w:val="8"/>
              </w:rPr>
              <w:t>市</w:t>
            </w:r>
            <w:r>
              <w:rPr>
                <w:spacing w:val="-38"/>
              </w:rPr>
              <w:t xml:space="preserve"> </w:t>
            </w:r>
            <w:r>
              <w:rPr>
                <w:spacing w:val="8"/>
              </w:rPr>
              <w:t>生</w:t>
            </w:r>
            <w:r>
              <w:rPr>
                <w:spacing w:val="-35"/>
              </w:rPr>
              <w:t xml:space="preserve"> </w:t>
            </w:r>
            <w:r>
              <w:rPr>
                <w:spacing w:val="8"/>
              </w:rPr>
              <w:t>态</w:t>
            </w:r>
            <w:r>
              <w:rPr>
                <w:spacing w:val="-38"/>
              </w:rPr>
              <w:t xml:space="preserve"> </w:t>
            </w:r>
            <w:r>
              <w:rPr>
                <w:spacing w:val="8"/>
              </w:rPr>
              <w:t>环</w:t>
            </w:r>
            <w:r>
              <w:rPr>
                <w:spacing w:val="-35"/>
              </w:rPr>
              <w:t xml:space="preserve"> </w:t>
            </w:r>
            <w:r>
              <w:rPr>
                <w:spacing w:val="8"/>
              </w:rPr>
              <w:t>境</w:t>
            </w:r>
            <w:r>
              <w:rPr>
                <w:spacing w:val="-38"/>
              </w:rPr>
              <w:t xml:space="preserve"> </w:t>
            </w:r>
            <w:r>
              <w:rPr>
                <w:spacing w:val="8"/>
              </w:rPr>
              <w:t>分</w:t>
            </w:r>
            <w:r>
              <w:rPr>
                <w:spacing w:val="-37"/>
              </w:rPr>
              <w:t xml:space="preserve"> </w:t>
            </w:r>
            <w:r>
              <w:rPr>
                <w:spacing w:val="8"/>
              </w:rPr>
              <w:t>区</w:t>
            </w:r>
            <w:r>
              <w:rPr>
                <w:spacing w:val="-35"/>
              </w:rPr>
              <w:t xml:space="preserve"> </w:t>
            </w:r>
            <w:r>
              <w:rPr>
                <w:spacing w:val="8"/>
              </w:rPr>
              <w:t>管</w:t>
            </w:r>
            <w:r>
              <w:rPr>
                <w:spacing w:val="-38"/>
              </w:rPr>
              <w:t xml:space="preserve"> </w:t>
            </w:r>
            <w:r>
              <w:rPr>
                <w:spacing w:val="8"/>
              </w:rPr>
              <w:t>控</w:t>
            </w:r>
            <w:r>
              <w:rPr>
                <w:spacing w:val="-35"/>
              </w:rPr>
              <w:t xml:space="preserve"> </w:t>
            </w:r>
            <w:r>
              <w:rPr>
                <w:spacing w:val="8"/>
              </w:rPr>
              <w:t>总</w:t>
            </w:r>
            <w:r>
              <w:rPr>
                <w:spacing w:val="-35"/>
              </w:rPr>
              <w:t xml:space="preserve"> </w:t>
            </w:r>
            <w:r>
              <w:rPr>
                <w:spacing w:val="8"/>
              </w:rPr>
              <w:t>体</w:t>
            </w:r>
            <w:r>
              <w:rPr>
                <w:spacing w:val="-38"/>
              </w:rPr>
              <w:t xml:space="preserve"> </w:t>
            </w:r>
            <w:r>
              <w:rPr>
                <w:spacing w:val="8"/>
              </w:rPr>
              <w:t>要</w:t>
            </w:r>
            <w:r>
              <w:rPr>
                <w:spacing w:val="-37"/>
              </w:rPr>
              <w:t xml:space="preserve"> </w:t>
            </w:r>
            <w:r>
              <w:rPr>
                <w:spacing w:val="8"/>
              </w:rPr>
              <w:t>求</w:t>
            </w:r>
          </w:p>
        </w:tc>
        <w:tc>
          <w:tcPr>
            <w:tcW w:w="317" w:type="dxa"/>
            <w:vMerge w:val="restart"/>
            <w:tcBorders>
              <w:bottom w:val="nil"/>
            </w:tcBorders>
            <w:textDirection w:val="tbRlV"/>
            <w:vAlign w:val="top"/>
          </w:tcPr>
          <w:p w14:paraId="1005D975">
            <w:pPr>
              <w:pStyle w:val="6"/>
              <w:spacing w:before="64" w:line="215" w:lineRule="auto"/>
              <w:ind w:left="30"/>
            </w:pPr>
            <w:r>
              <w:rPr>
                <w:spacing w:val="8"/>
              </w:rPr>
              <w:t>空</w:t>
            </w:r>
            <w:r>
              <w:rPr>
                <w:spacing w:val="-34"/>
              </w:rPr>
              <w:t xml:space="preserve"> </w:t>
            </w:r>
            <w:r>
              <w:rPr>
                <w:spacing w:val="8"/>
              </w:rPr>
              <w:t>间</w:t>
            </w:r>
            <w:r>
              <w:rPr>
                <w:spacing w:val="-36"/>
              </w:rPr>
              <w:t xml:space="preserve"> </w:t>
            </w:r>
            <w:r>
              <w:rPr>
                <w:spacing w:val="8"/>
              </w:rPr>
              <w:t>布</w:t>
            </w:r>
            <w:r>
              <w:rPr>
                <w:spacing w:val="-37"/>
              </w:rPr>
              <w:t xml:space="preserve"> </w:t>
            </w:r>
            <w:r>
              <w:rPr>
                <w:spacing w:val="8"/>
              </w:rPr>
              <w:t>局</w:t>
            </w:r>
            <w:r>
              <w:rPr>
                <w:spacing w:val="-35"/>
              </w:rPr>
              <w:t xml:space="preserve"> </w:t>
            </w:r>
            <w:r>
              <w:rPr>
                <w:spacing w:val="8"/>
              </w:rPr>
              <w:t>约</w:t>
            </w:r>
            <w:r>
              <w:rPr>
                <w:spacing w:val="-38"/>
              </w:rPr>
              <w:t xml:space="preserve"> </w:t>
            </w:r>
            <w:r>
              <w:rPr>
                <w:spacing w:val="8"/>
              </w:rPr>
              <w:t>束</w:t>
            </w:r>
          </w:p>
        </w:tc>
        <w:tc>
          <w:tcPr>
            <w:tcW w:w="3326" w:type="dxa"/>
            <w:gridSpan w:val="2"/>
            <w:vAlign w:val="top"/>
          </w:tcPr>
          <w:p w14:paraId="0C5677BD">
            <w:pPr>
              <w:pStyle w:val="6"/>
              <w:spacing w:before="32" w:line="252" w:lineRule="auto"/>
              <w:ind w:right="3" w:firstLine="17"/>
              <w:jc w:val="both"/>
            </w:pPr>
            <w:r>
              <w:rPr>
                <w:rFonts w:ascii="Times New Roman" w:hAnsi="Times New Roman" w:eastAsia="Times New Roman" w:cs="Times New Roman"/>
                <w:spacing w:val="8"/>
              </w:rPr>
              <w:t>1.</w:t>
            </w:r>
            <w:r>
              <w:rPr>
                <w:spacing w:val="8"/>
              </w:rPr>
              <w:t>严格执行《长江经济带发展负面清</w:t>
            </w:r>
            <w:r>
              <w:rPr>
                <w:spacing w:val="3"/>
              </w:rPr>
              <w:t>单指南（试行，</w:t>
            </w:r>
            <w:r>
              <w:rPr>
                <w:rFonts w:ascii="Times New Roman" w:hAnsi="Times New Roman" w:eastAsia="Times New Roman" w:cs="Times New Roman"/>
                <w:spacing w:val="3"/>
              </w:rPr>
              <w:t xml:space="preserve">2022 </w:t>
            </w:r>
            <w:r>
              <w:rPr>
                <w:spacing w:val="3"/>
              </w:rPr>
              <w:t>年版）》《云南</w:t>
            </w:r>
            <w:r>
              <w:rPr>
                <w:spacing w:val="21"/>
              </w:rPr>
              <w:t>省长江经济带发展负面清单指南实</w:t>
            </w:r>
            <w:r>
              <w:rPr>
                <w:spacing w:val="7"/>
              </w:rPr>
              <w:t>施细则（试行）》等产业准入有关要</w:t>
            </w:r>
            <w:r>
              <w:t>求。</w:t>
            </w:r>
          </w:p>
        </w:tc>
        <w:tc>
          <w:tcPr>
            <w:tcW w:w="2523" w:type="dxa"/>
            <w:gridSpan w:val="2"/>
            <w:vAlign w:val="top"/>
          </w:tcPr>
          <w:p w14:paraId="2585F5A6">
            <w:pPr>
              <w:pStyle w:val="6"/>
              <w:spacing w:before="28" w:line="243" w:lineRule="auto"/>
              <w:ind w:firstLine="5"/>
              <w:jc w:val="both"/>
            </w:pPr>
            <w:r>
              <w:rPr>
                <w:spacing w:val="-7"/>
              </w:rPr>
              <w:t>经分析（见表</w:t>
            </w:r>
            <w:r>
              <w:rPr>
                <w:spacing w:val="-23"/>
              </w:rPr>
              <w:t xml:space="preserve"> </w:t>
            </w:r>
            <w:r>
              <w:rPr>
                <w:rFonts w:ascii="Times New Roman" w:hAnsi="Times New Roman" w:eastAsia="Times New Roman" w:cs="Times New Roman"/>
                <w:spacing w:val="-7"/>
              </w:rPr>
              <w:t>1-7</w:t>
            </w:r>
            <w:r>
              <w:rPr>
                <w:spacing w:val="-7"/>
              </w:rPr>
              <w:t>、表</w:t>
            </w:r>
            <w:r>
              <w:rPr>
                <w:spacing w:val="-25"/>
              </w:rPr>
              <w:t xml:space="preserve"> </w:t>
            </w:r>
            <w:r>
              <w:rPr>
                <w:rFonts w:ascii="Times New Roman" w:hAnsi="Times New Roman" w:eastAsia="Times New Roman" w:cs="Times New Roman"/>
                <w:spacing w:val="-7"/>
              </w:rPr>
              <w:t>1-8</w:t>
            </w:r>
            <w:r>
              <w:rPr>
                <w:spacing w:val="-38"/>
              </w:rPr>
              <w:t>），</w:t>
            </w:r>
            <w:r>
              <w:rPr>
                <w:spacing w:val="3"/>
              </w:rPr>
              <w:t>项目建设符合《长江经济带</w:t>
            </w:r>
            <w:r>
              <w:rPr>
                <w:spacing w:val="4"/>
              </w:rPr>
              <w:t>发展负面清单指南（试行，</w:t>
            </w:r>
            <w:r>
              <w:rPr>
                <w:spacing w:val="10"/>
              </w:rPr>
              <w:t xml:space="preserve"> </w:t>
            </w:r>
            <w:r>
              <w:rPr>
                <w:rFonts w:ascii="Times New Roman" w:hAnsi="Times New Roman" w:eastAsia="Times New Roman" w:cs="Times New Roman"/>
                <w:spacing w:val="-1"/>
              </w:rPr>
              <w:t xml:space="preserve">2022 </w:t>
            </w:r>
            <w:r>
              <w:rPr>
                <w:spacing w:val="-1"/>
              </w:rPr>
              <w:t>年版）》《云南省长江</w:t>
            </w:r>
            <w:r>
              <w:rPr>
                <w:spacing w:val="3"/>
              </w:rPr>
              <w:t>经济带发展负面清单指南实</w:t>
            </w:r>
            <w:r>
              <w:rPr>
                <w:spacing w:val="-8"/>
              </w:rPr>
              <w:t>施细则（试行）》相关要求。</w:t>
            </w:r>
          </w:p>
        </w:tc>
        <w:tc>
          <w:tcPr>
            <w:tcW w:w="784" w:type="dxa"/>
            <w:tcBorders>
              <w:right w:val="single" w:color="000000" w:sz="6" w:space="0"/>
            </w:tcBorders>
            <w:vAlign w:val="top"/>
          </w:tcPr>
          <w:p w14:paraId="6B2156FF">
            <w:pPr>
              <w:pStyle w:val="6"/>
              <w:spacing w:before="30" w:line="228" w:lineRule="auto"/>
              <w:ind w:left="153"/>
            </w:pPr>
            <w:r>
              <w:rPr>
                <w:spacing w:val="3"/>
              </w:rPr>
              <w:t>符合</w:t>
            </w:r>
          </w:p>
        </w:tc>
      </w:tr>
      <w:tr w14:paraId="74D66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411" w:type="dxa"/>
            <w:vMerge w:val="continue"/>
            <w:tcBorders>
              <w:top w:val="nil"/>
              <w:left w:val="single" w:color="000000" w:sz="6" w:space="0"/>
              <w:bottom w:val="nil"/>
            </w:tcBorders>
            <w:vAlign w:val="top"/>
          </w:tcPr>
          <w:p w14:paraId="7F525236">
            <w:pPr>
              <w:rPr>
                <w:rFonts w:ascii="Arial"/>
                <w:sz w:val="21"/>
              </w:rPr>
            </w:pPr>
          </w:p>
        </w:tc>
        <w:tc>
          <w:tcPr>
            <w:tcW w:w="67" w:type="dxa"/>
            <w:tcBorders>
              <w:top w:val="nil"/>
              <w:bottom w:val="nil"/>
            </w:tcBorders>
            <w:vAlign w:val="top"/>
          </w:tcPr>
          <w:p w14:paraId="19D69B52">
            <w:pPr>
              <w:rPr>
                <w:rFonts w:ascii="Arial"/>
                <w:sz w:val="21"/>
              </w:rPr>
            </w:pPr>
          </w:p>
        </w:tc>
        <w:tc>
          <w:tcPr>
            <w:tcW w:w="327" w:type="dxa"/>
            <w:vMerge w:val="continue"/>
            <w:tcBorders>
              <w:top w:val="nil"/>
              <w:bottom w:val="nil"/>
            </w:tcBorders>
            <w:textDirection w:val="tbRlV"/>
            <w:vAlign w:val="top"/>
          </w:tcPr>
          <w:p w14:paraId="0A38717A">
            <w:pPr>
              <w:rPr>
                <w:rFonts w:ascii="Arial"/>
                <w:sz w:val="21"/>
              </w:rPr>
            </w:pPr>
          </w:p>
        </w:tc>
        <w:tc>
          <w:tcPr>
            <w:tcW w:w="379" w:type="dxa"/>
            <w:vMerge w:val="continue"/>
            <w:tcBorders>
              <w:top w:val="nil"/>
              <w:bottom w:val="nil"/>
            </w:tcBorders>
            <w:textDirection w:val="tbRlV"/>
            <w:vAlign w:val="top"/>
          </w:tcPr>
          <w:p w14:paraId="5FF9F836">
            <w:pPr>
              <w:rPr>
                <w:rFonts w:ascii="Arial"/>
                <w:sz w:val="21"/>
              </w:rPr>
            </w:pPr>
          </w:p>
        </w:tc>
        <w:tc>
          <w:tcPr>
            <w:tcW w:w="317" w:type="dxa"/>
            <w:vMerge w:val="continue"/>
            <w:tcBorders>
              <w:top w:val="nil"/>
              <w:bottom w:val="nil"/>
            </w:tcBorders>
            <w:textDirection w:val="tbRlV"/>
            <w:vAlign w:val="top"/>
          </w:tcPr>
          <w:p w14:paraId="07381012">
            <w:pPr>
              <w:rPr>
                <w:rFonts w:ascii="Arial"/>
                <w:sz w:val="21"/>
              </w:rPr>
            </w:pPr>
          </w:p>
        </w:tc>
        <w:tc>
          <w:tcPr>
            <w:tcW w:w="3326" w:type="dxa"/>
            <w:gridSpan w:val="2"/>
            <w:vAlign w:val="top"/>
          </w:tcPr>
          <w:p w14:paraId="0DD66BB0">
            <w:pPr>
              <w:pStyle w:val="6"/>
              <w:spacing w:before="48"/>
              <w:ind w:left="3" w:right="3" w:hanging="3"/>
              <w:jc w:val="both"/>
            </w:pPr>
            <w:r>
              <w:rPr>
                <w:rFonts w:ascii="Times New Roman" w:hAnsi="Times New Roman" w:eastAsia="Times New Roman" w:cs="Times New Roman"/>
                <w:spacing w:val="9"/>
              </w:rPr>
              <w:t>2.</w:t>
            </w:r>
            <w:r>
              <w:rPr>
                <w:spacing w:val="9"/>
              </w:rPr>
              <w:t>严格实施化解过剩产能和淘汰落后</w:t>
            </w:r>
            <w:r>
              <w:rPr>
                <w:spacing w:val="7"/>
              </w:rPr>
              <w:t>产能，制定产能过剩行业淘汰计划，确保国家、省下达的淘汰落后产能目标任务全面完成。</w:t>
            </w:r>
          </w:p>
        </w:tc>
        <w:tc>
          <w:tcPr>
            <w:tcW w:w="2523" w:type="dxa"/>
            <w:gridSpan w:val="2"/>
            <w:vAlign w:val="top"/>
          </w:tcPr>
          <w:p w14:paraId="1AB259F3">
            <w:pPr>
              <w:pStyle w:val="6"/>
              <w:spacing w:before="46" w:line="251" w:lineRule="auto"/>
              <w:ind w:left="8" w:hanging="4"/>
              <w:jc w:val="both"/>
            </w:pPr>
            <w:r>
              <w:rPr>
                <w:spacing w:val="8"/>
              </w:rPr>
              <w:t>本项目为输变电工程，属于</w:t>
            </w:r>
            <w:r>
              <w:rPr>
                <w:spacing w:val="20"/>
              </w:rPr>
              <w:t>《产业结构调整指导</w:t>
            </w:r>
            <w:r>
              <w:rPr>
                <w:spacing w:val="-26"/>
              </w:rPr>
              <w:t xml:space="preserve"> </w:t>
            </w:r>
            <w:r>
              <w:rPr>
                <w:spacing w:val="20"/>
              </w:rPr>
              <w:t>目录</w:t>
            </w:r>
            <w:r>
              <w:rPr>
                <w:spacing w:val="3"/>
              </w:rPr>
              <w:t>（</w:t>
            </w:r>
            <w:r>
              <w:rPr>
                <w:rFonts w:ascii="Times New Roman" w:hAnsi="Times New Roman" w:eastAsia="Times New Roman" w:cs="Times New Roman"/>
                <w:spacing w:val="3"/>
              </w:rPr>
              <w:t xml:space="preserve">2024 </w:t>
            </w:r>
            <w:r>
              <w:rPr>
                <w:spacing w:val="3"/>
              </w:rPr>
              <w:t>年本）》中鼓励类。</w:t>
            </w:r>
          </w:p>
        </w:tc>
        <w:tc>
          <w:tcPr>
            <w:tcW w:w="784" w:type="dxa"/>
            <w:tcBorders>
              <w:right w:val="single" w:color="000000" w:sz="6" w:space="0"/>
            </w:tcBorders>
            <w:vAlign w:val="top"/>
          </w:tcPr>
          <w:p w14:paraId="3A406F33">
            <w:pPr>
              <w:pStyle w:val="6"/>
              <w:spacing w:before="46" w:line="228" w:lineRule="auto"/>
              <w:ind w:left="153"/>
            </w:pPr>
            <w:r>
              <w:rPr>
                <w:spacing w:val="3"/>
              </w:rPr>
              <w:t>符合</w:t>
            </w:r>
          </w:p>
        </w:tc>
      </w:tr>
      <w:tr w14:paraId="54B07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7" w:hRule="atLeast"/>
        </w:trPr>
        <w:tc>
          <w:tcPr>
            <w:tcW w:w="411" w:type="dxa"/>
            <w:vMerge w:val="continue"/>
            <w:tcBorders>
              <w:top w:val="nil"/>
              <w:left w:val="single" w:color="000000" w:sz="6" w:space="0"/>
              <w:bottom w:val="nil"/>
            </w:tcBorders>
            <w:vAlign w:val="top"/>
          </w:tcPr>
          <w:p w14:paraId="18E30C06">
            <w:pPr>
              <w:rPr>
                <w:rFonts w:ascii="Arial"/>
                <w:sz w:val="21"/>
              </w:rPr>
            </w:pPr>
          </w:p>
        </w:tc>
        <w:tc>
          <w:tcPr>
            <w:tcW w:w="67" w:type="dxa"/>
            <w:tcBorders>
              <w:top w:val="nil"/>
              <w:bottom w:val="nil"/>
            </w:tcBorders>
            <w:vAlign w:val="top"/>
          </w:tcPr>
          <w:p w14:paraId="6D2066E2">
            <w:pPr>
              <w:rPr>
                <w:rFonts w:ascii="Arial"/>
                <w:sz w:val="21"/>
              </w:rPr>
            </w:pPr>
          </w:p>
        </w:tc>
        <w:tc>
          <w:tcPr>
            <w:tcW w:w="327" w:type="dxa"/>
            <w:vMerge w:val="continue"/>
            <w:tcBorders>
              <w:top w:val="nil"/>
              <w:bottom w:val="nil"/>
            </w:tcBorders>
            <w:textDirection w:val="tbRlV"/>
            <w:vAlign w:val="top"/>
          </w:tcPr>
          <w:p w14:paraId="13E73C5B">
            <w:pPr>
              <w:rPr>
                <w:rFonts w:ascii="Arial"/>
                <w:sz w:val="21"/>
              </w:rPr>
            </w:pPr>
          </w:p>
        </w:tc>
        <w:tc>
          <w:tcPr>
            <w:tcW w:w="379" w:type="dxa"/>
            <w:vMerge w:val="continue"/>
            <w:tcBorders>
              <w:top w:val="nil"/>
              <w:bottom w:val="nil"/>
            </w:tcBorders>
            <w:textDirection w:val="tbRlV"/>
            <w:vAlign w:val="top"/>
          </w:tcPr>
          <w:p w14:paraId="5E722324">
            <w:pPr>
              <w:rPr>
                <w:rFonts w:ascii="Arial"/>
                <w:sz w:val="21"/>
              </w:rPr>
            </w:pPr>
          </w:p>
        </w:tc>
        <w:tc>
          <w:tcPr>
            <w:tcW w:w="317" w:type="dxa"/>
            <w:vMerge w:val="continue"/>
            <w:tcBorders>
              <w:top w:val="nil"/>
              <w:bottom w:val="nil"/>
            </w:tcBorders>
            <w:textDirection w:val="tbRlV"/>
            <w:vAlign w:val="top"/>
          </w:tcPr>
          <w:p w14:paraId="142A5613">
            <w:pPr>
              <w:rPr>
                <w:rFonts w:ascii="Arial"/>
                <w:sz w:val="21"/>
              </w:rPr>
            </w:pPr>
          </w:p>
        </w:tc>
        <w:tc>
          <w:tcPr>
            <w:tcW w:w="3326" w:type="dxa"/>
            <w:gridSpan w:val="2"/>
            <w:vAlign w:val="top"/>
          </w:tcPr>
          <w:p w14:paraId="3F7E9482">
            <w:pPr>
              <w:pStyle w:val="6"/>
              <w:spacing w:before="40" w:line="251" w:lineRule="auto"/>
              <w:ind w:right="3"/>
              <w:jc w:val="both"/>
            </w:pPr>
            <w:r>
              <w:rPr>
                <w:rFonts w:ascii="Times New Roman" w:hAnsi="Times New Roman" w:eastAsia="Times New Roman" w:cs="Times New Roman"/>
                <w:spacing w:val="9"/>
              </w:rPr>
              <w:t>3.</w:t>
            </w:r>
            <w:r>
              <w:rPr>
                <w:spacing w:val="9"/>
              </w:rPr>
              <w:t>将资源承载能力、生态环境质量作</w:t>
            </w:r>
            <w:r>
              <w:rPr>
                <w:spacing w:val="7"/>
              </w:rPr>
              <w:t>为承接产业转移的基础和前提，合理确定承接产业转移重点，禁止引进环境污染大、资源消耗高、技术落后的</w:t>
            </w:r>
            <w:r>
              <w:rPr>
                <w:spacing w:val="5"/>
              </w:rPr>
              <w:t>生产能力。</w:t>
            </w:r>
          </w:p>
        </w:tc>
        <w:tc>
          <w:tcPr>
            <w:tcW w:w="2523" w:type="dxa"/>
            <w:gridSpan w:val="2"/>
            <w:vAlign w:val="top"/>
          </w:tcPr>
          <w:p w14:paraId="72FE5CEE">
            <w:pPr>
              <w:pStyle w:val="6"/>
              <w:spacing w:before="38" w:line="250" w:lineRule="auto"/>
              <w:ind w:left="3" w:firstLine="1"/>
              <w:jc w:val="both"/>
            </w:pPr>
            <w:r>
              <w:rPr>
                <w:spacing w:val="5"/>
              </w:rPr>
              <w:t>本项目为输变电工程，本工程运行期变电站生活污水经</w:t>
            </w:r>
            <w:r>
              <w:rPr>
                <w:spacing w:val="7"/>
              </w:rPr>
              <w:t>化粪池（</w:t>
            </w:r>
            <w:r>
              <w:rPr>
                <w:rFonts w:ascii="Times New Roman" w:hAnsi="Times New Roman" w:eastAsia="Times New Roman" w:cs="Times New Roman"/>
                <w:spacing w:val="7"/>
              </w:rPr>
              <w:t>2m</w:t>
            </w:r>
            <w:r>
              <w:rPr>
                <w:rFonts w:ascii="Times New Roman" w:hAnsi="Times New Roman" w:eastAsia="Times New Roman" w:cs="Times New Roman"/>
                <w:spacing w:val="7"/>
                <w:position w:val="1"/>
                <w:sz w:val="13"/>
                <w:szCs w:val="13"/>
              </w:rPr>
              <w:t xml:space="preserve">3 </w:t>
            </w:r>
            <w:r>
              <w:rPr>
                <w:spacing w:val="7"/>
                <w:position w:val="1"/>
              </w:rPr>
              <w:t>）</w:t>
            </w:r>
            <w:r>
              <w:rPr>
                <w:spacing w:val="7"/>
              </w:rPr>
              <w:t>、一体化污</w:t>
            </w:r>
            <w:r>
              <w:rPr>
                <w:spacing w:val="32"/>
              </w:rPr>
              <w:t>水处理设施</w:t>
            </w:r>
            <w:r>
              <w:rPr>
                <w:spacing w:val="-44"/>
              </w:rPr>
              <w:t xml:space="preserve"> </w:t>
            </w:r>
            <w:r>
              <w:rPr>
                <w:spacing w:val="32"/>
              </w:rPr>
              <w:t>（</w:t>
            </w:r>
            <w:r>
              <w:rPr>
                <w:spacing w:val="-11"/>
              </w:rPr>
              <w:t xml:space="preserve"> </w:t>
            </w:r>
            <w:r>
              <w:rPr>
                <w:spacing w:val="32"/>
              </w:rPr>
              <w:t>处理能力</w:t>
            </w:r>
            <w:r>
              <w:rPr>
                <w:rFonts w:ascii="Times New Roman" w:hAnsi="Times New Roman" w:eastAsia="Times New Roman" w:cs="Times New Roman"/>
              </w:rPr>
              <w:t>0.5t/h</w:t>
            </w:r>
            <w:r>
              <w:t>）处理后回用于进站大</w:t>
            </w:r>
            <w:r>
              <w:rPr>
                <w:spacing w:val="-7"/>
              </w:rPr>
              <w:t>门两侧绿化带绿化，不外排；</w:t>
            </w:r>
            <w:r>
              <w:rPr>
                <w:spacing w:val="7"/>
              </w:rPr>
              <w:t xml:space="preserve">同时设置 </w:t>
            </w:r>
            <w:r>
              <w:rPr>
                <w:rFonts w:ascii="Times New Roman" w:hAnsi="Times New Roman" w:eastAsia="Times New Roman" w:cs="Times New Roman"/>
                <w:spacing w:val="7"/>
              </w:rPr>
              <w:t>1</w:t>
            </w:r>
            <w:r>
              <w:rPr>
                <w:rFonts w:ascii="Times New Roman" w:hAnsi="Times New Roman" w:eastAsia="Times New Roman" w:cs="Times New Roman"/>
                <w:spacing w:val="37"/>
              </w:rPr>
              <w:t xml:space="preserve"> </w:t>
            </w:r>
            <w:r>
              <w:rPr>
                <w:spacing w:val="7"/>
              </w:rPr>
              <w:t>个</w:t>
            </w:r>
            <w:r>
              <w:rPr>
                <w:spacing w:val="-15"/>
              </w:rPr>
              <w:t xml:space="preserve"> </w:t>
            </w:r>
            <w:r>
              <w:rPr>
                <w:rFonts w:ascii="Times New Roman" w:hAnsi="Times New Roman" w:eastAsia="Times New Roman" w:cs="Times New Roman"/>
                <w:spacing w:val="7"/>
              </w:rPr>
              <w:t>5m</w:t>
            </w:r>
            <w:r>
              <w:rPr>
                <w:rFonts w:ascii="Times New Roman" w:hAnsi="Times New Roman" w:eastAsia="Times New Roman" w:cs="Times New Roman"/>
                <w:spacing w:val="7"/>
                <w:position w:val="6"/>
                <w:sz w:val="13"/>
                <w:szCs w:val="13"/>
              </w:rPr>
              <w:t xml:space="preserve">3  </w:t>
            </w:r>
            <w:r>
              <w:rPr>
                <w:spacing w:val="7"/>
              </w:rPr>
              <w:t>的中水</w:t>
            </w:r>
            <w:r>
              <w:rPr>
                <w:spacing w:val="-2"/>
              </w:rPr>
              <w:t>池；</w:t>
            </w:r>
          </w:p>
          <w:p w14:paraId="728EBAEB">
            <w:pPr>
              <w:pStyle w:val="6"/>
              <w:spacing w:before="1" w:line="242" w:lineRule="auto"/>
              <w:ind w:left="5" w:hanging="1"/>
              <w:jc w:val="both"/>
            </w:pPr>
            <w:r>
              <w:rPr>
                <w:spacing w:val="3"/>
              </w:rPr>
              <w:t>本项目食堂油烟废气产生量不大，对环境影响较小；新建输电线路仅塔基四个基础占地，对土地资源的占用较</w:t>
            </w:r>
            <w:r>
              <w:rPr>
                <w:spacing w:val="-7"/>
              </w:rPr>
              <w:t>小；项目建设符合相关规划。</w:t>
            </w:r>
          </w:p>
        </w:tc>
        <w:tc>
          <w:tcPr>
            <w:tcW w:w="784" w:type="dxa"/>
            <w:tcBorders>
              <w:right w:val="single" w:color="000000" w:sz="6" w:space="0"/>
            </w:tcBorders>
            <w:vAlign w:val="top"/>
          </w:tcPr>
          <w:p w14:paraId="1D953B3E">
            <w:pPr>
              <w:pStyle w:val="6"/>
              <w:spacing w:before="37" w:line="228" w:lineRule="auto"/>
              <w:ind w:left="153"/>
            </w:pPr>
            <w:r>
              <w:rPr>
                <w:spacing w:val="3"/>
              </w:rPr>
              <w:t>符合</w:t>
            </w:r>
          </w:p>
        </w:tc>
      </w:tr>
      <w:tr w14:paraId="14497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411" w:type="dxa"/>
            <w:vMerge w:val="continue"/>
            <w:tcBorders>
              <w:top w:val="nil"/>
              <w:left w:val="single" w:color="000000" w:sz="6" w:space="0"/>
              <w:bottom w:val="nil"/>
            </w:tcBorders>
            <w:vAlign w:val="top"/>
          </w:tcPr>
          <w:p w14:paraId="28445E2E">
            <w:pPr>
              <w:rPr>
                <w:rFonts w:ascii="Arial"/>
                <w:sz w:val="21"/>
              </w:rPr>
            </w:pPr>
          </w:p>
        </w:tc>
        <w:tc>
          <w:tcPr>
            <w:tcW w:w="67" w:type="dxa"/>
            <w:tcBorders>
              <w:top w:val="nil"/>
              <w:bottom w:val="nil"/>
            </w:tcBorders>
            <w:vAlign w:val="top"/>
          </w:tcPr>
          <w:p w14:paraId="30D59911">
            <w:pPr>
              <w:rPr>
                <w:rFonts w:ascii="Arial"/>
                <w:sz w:val="21"/>
              </w:rPr>
            </w:pPr>
          </w:p>
        </w:tc>
        <w:tc>
          <w:tcPr>
            <w:tcW w:w="327" w:type="dxa"/>
            <w:vMerge w:val="continue"/>
            <w:tcBorders>
              <w:top w:val="nil"/>
              <w:bottom w:val="nil"/>
            </w:tcBorders>
            <w:textDirection w:val="tbRlV"/>
            <w:vAlign w:val="top"/>
          </w:tcPr>
          <w:p w14:paraId="3832E490">
            <w:pPr>
              <w:rPr>
                <w:rFonts w:ascii="Arial"/>
                <w:sz w:val="21"/>
              </w:rPr>
            </w:pPr>
          </w:p>
        </w:tc>
        <w:tc>
          <w:tcPr>
            <w:tcW w:w="379" w:type="dxa"/>
            <w:vMerge w:val="continue"/>
            <w:tcBorders>
              <w:top w:val="nil"/>
              <w:bottom w:val="nil"/>
            </w:tcBorders>
            <w:textDirection w:val="tbRlV"/>
            <w:vAlign w:val="top"/>
          </w:tcPr>
          <w:p w14:paraId="0D1CE01D">
            <w:pPr>
              <w:rPr>
                <w:rFonts w:ascii="Arial"/>
                <w:sz w:val="21"/>
              </w:rPr>
            </w:pPr>
          </w:p>
        </w:tc>
        <w:tc>
          <w:tcPr>
            <w:tcW w:w="317" w:type="dxa"/>
            <w:vMerge w:val="continue"/>
            <w:tcBorders>
              <w:top w:val="nil"/>
              <w:bottom w:val="nil"/>
            </w:tcBorders>
            <w:textDirection w:val="tbRlV"/>
            <w:vAlign w:val="top"/>
          </w:tcPr>
          <w:p w14:paraId="7B59892A">
            <w:pPr>
              <w:rPr>
                <w:rFonts w:ascii="Arial"/>
                <w:sz w:val="21"/>
              </w:rPr>
            </w:pPr>
          </w:p>
        </w:tc>
        <w:tc>
          <w:tcPr>
            <w:tcW w:w="3326" w:type="dxa"/>
            <w:gridSpan w:val="2"/>
            <w:vAlign w:val="top"/>
          </w:tcPr>
          <w:p w14:paraId="7C067DB2">
            <w:pPr>
              <w:pStyle w:val="6"/>
              <w:spacing w:before="40" w:line="236" w:lineRule="auto"/>
              <w:ind w:left="8" w:right="6" w:hanging="8"/>
              <w:jc w:val="both"/>
            </w:pPr>
            <w:r>
              <w:rPr>
                <w:rFonts w:ascii="Times New Roman" w:hAnsi="Times New Roman" w:eastAsia="Times New Roman" w:cs="Times New Roman"/>
                <w:spacing w:val="9"/>
              </w:rPr>
              <w:t>4.</w:t>
            </w:r>
            <w:r>
              <w:rPr>
                <w:spacing w:val="9"/>
              </w:rPr>
              <w:t>支持现有各类产业园区有供热需求</w:t>
            </w:r>
            <w:r>
              <w:rPr>
                <w:spacing w:val="6"/>
              </w:rPr>
              <w:t>的实施热电联产或者集中供热改造，具备条件的工业园区实现集中供热。</w:t>
            </w:r>
          </w:p>
        </w:tc>
        <w:tc>
          <w:tcPr>
            <w:tcW w:w="2523" w:type="dxa"/>
            <w:gridSpan w:val="2"/>
            <w:vAlign w:val="top"/>
          </w:tcPr>
          <w:p w14:paraId="248E90EB">
            <w:pPr>
              <w:pStyle w:val="6"/>
              <w:spacing w:before="41" w:line="252" w:lineRule="auto"/>
              <w:ind w:left="7" w:hanging="3"/>
            </w:pPr>
            <w:r>
              <w:rPr>
                <w:spacing w:val="9"/>
              </w:rPr>
              <w:t>本项目为输变电工程，无供</w:t>
            </w:r>
            <w:r>
              <w:rPr>
                <w:spacing w:val="4"/>
              </w:rPr>
              <w:t>热需求。</w:t>
            </w:r>
          </w:p>
        </w:tc>
        <w:tc>
          <w:tcPr>
            <w:tcW w:w="784" w:type="dxa"/>
            <w:tcBorders>
              <w:right w:val="single" w:color="000000" w:sz="6" w:space="0"/>
            </w:tcBorders>
            <w:vAlign w:val="top"/>
          </w:tcPr>
          <w:p w14:paraId="191D4D79">
            <w:pPr>
              <w:pStyle w:val="6"/>
              <w:spacing w:before="40" w:line="228" w:lineRule="auto"/>
              <w:ind w:left="153"/>
            </w:pPr>
            <w:r>
              <w:rPr>
                <w:spacing w:val="3"/>
              </w:rPr>
              <w:t>符合</w:t>
            </w:r>
          </w:p>
        </w:tc>
      </w:tr>
      <w:tr w14:paraId="41E49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0" w:hRule="atLeast"/>
        </w:trPr>
        <w:tc>
          <w:tcPr>
            <w:tcW w:w="411" w:type="dxa"/>
            <w:vMerge w:val="continue"/>
            <w:tcBorders>
              <w:top w:val="nil"/>
              <w:left w:val="single" w:color="000000" w:sz="6" w:space="0"/>
              <w:bottom w:val="nil"/>
            </w:tcBorders>
            <w:vAlign w:val="top"/>
          </w:tcPr>
          <w:p w14:paraId="5EDE6A37">
            <w:pPr>
              <w:rPr>
                <w:rFonts w:ascii="Arial"/>
                <w:sz w:val="21"/>
              </w:rPr>
            </w:pPr>
          </w:p>
        </w:tc>
        <w:tc>
          <w:tcPr>
            <w:tcW w:w="67" w:type="dxa"/>
            <w:tcBorders>
              <w:top w:val="nil"/>
              <w:bottom w:val="nil"/>
            </w:tcBorders>
            <w:vAlign w:val="top"/>
          </w:tcPr>
          <w:p w14:paraId="38CC648E">
            <w:pPr>
              <w:rPr>
                <w:rFonts w:ascii="Arial"/>
                <w:sz w:val="21"/>
              </w:rPr>
            </w:pPr>
          </w:p>
        </w:tc>
        <w:tc>
          <w:tcPr>
            <w:tcW w:w="327" w:type="dxa"/>
            <w:vMerge w:val="continue"/>
            <w:tcBorders>
              <w:top w:val="nil"/>
              <w:bottom w:val="nil"/>
            </w:tcBorders>
            <w:textDirection w:val="tbRlV"/>
            <w:vAlign w:val="top"/>
          </w:tcPr>
          <w:p w14:paraId="4F1DA4FF">
            <w:pPr>
              <w:rPr>
                <w:rFonts w:ascii="Arial"/>
                <w:sz w:val="21"/>
              </w:rPr>
            </w:pPr>
          </w:p>
        </w:tc>
        <w:tc>
          <w:tcPr>
            <w:tcW w:w="379" w:type="dxa"/>
            <w:vMerge w:val="continue"/>
            <w:tcBorders>
              <w:top w:val="nil"/>
              <w:bottom w:val="nil"/>
            </w:tcBorders>
            <w:textDirection w:val="tbRlV"/>
            <w:vAlign w:val="top"/>
          </w:tcPr>
          <w:p w14:paraId="1808D60E">
            <w:pPr>
              <w:rPr>
                <w:rFonts w:ascii="Arial"/>
                <w:sz w:val="21"/>
              </w:rPr>
            </w:pPr>
          </w:p>
        </w:tc>
        <w:tc>
          <w:tcPr>
            <w:tcW w:w="317" w:type="dxa"/>
            <w:vMerge w:val="continue"/>
            <w:tcBorders>
              <w:top w:val="nil"/>
              <w:bottom w:val="nil"/>
            </w:tcBorders>
            <w:textDirection w:val="tbRlV"/>
            <w:vAlign w:val="top"/>
          </w:tcPr>
          <w:p w14:paraId="4793BBF4">
            <w:pPr>
              <w:rPr>
                <w:rFonts w:ascii="Arial"/>
                <w:sz w:val="21"/>
              </w:rPr>
            </w:pPr>
          </w:p>
        </w:tc>
        <w:tc>
          <w:tcPr>
            <w:tcW w:w="3326" w:type="dxa"/>
            <w:gridSpan w:val="2"/>
            <w:vAlign w:val="top"/>
          </w:tcPr>
          <w:p w14:paraId="3F51F06F">
            <w:pPr>
              <w:pStyle w:val="6"/>
              <w:spacing w:before="42" w:line="251" w:lineRule="auto"/>
              <w:ind w:right="3"/>
              <w:jc w:val="both"/>
            </w:pPr>
            <w:r>
              <w:rPr>
                <w:rFonts w:ascii="Times New Roman" w:hAnsi="Times New Roman" w:eastAsia="Times New Roman" w:cs="Times New Roman"/>
                <w:spacing w:val="9"/>
              </w:rPr>
              <w:t>5.</w:t>
            </w:r>
            <w:r>
              <w:rPr>
                <w:spacing w:val="9"/>
              </w:rPr>
              <w:t>严格控制在生态脆弱或环境敏感地区建设《环境保护综合名录》</w:t>
            </w:r>
            <w:r>
              <w:rPr>
                <w:spacing w:val="-39"/>
              </w:rPr>
              <w:t xml:space="preserve"> </w:t>
            </w:r>
            <w:r>
              <w:rPr>
                <w:spacing w:val="9"/>
              </w:rPr>
              <w:t>中</w:t>
            </w:r>
            <w:r>
              <w:rPr>
                <w:rFonts w:ascii="Times New Roman" w:hAnsi="Times New Roman" w:eastAsia="Times New Roman" w:cs="Times New Roman"/>
                <w:spacing w:val="9"/>
              </w:rPr>
              <w:t>“</w:t>
            </w:r>
            <w:r>
              <w:rPr>
                <w:rFonts w:ascii="Times New Roman" w:hAnsi="Times New Roman" w:eastAsia="Times New Roman" w:cs="Times New Roman"/>
                <w:spacing w:val="-28"/>
              </w:rPr>
              <w:t xml:space="preserve"> </w:t>
            </w:r>
            <w:r>
              <w:rPr>
                <w:spacing w:val="9"/>
              </w:rPr>
              <w:t>高</w:t>
            </w:r>
            <w:r>
              <w:rPr>
                <w:spacing w:val="7"/>
              </w:rPr>
              <w:t>污染、高环境风险</w:t>
            </w:r>
            <w:r>
              <w:rPr>
                <w:rFonts w:ascii="Times New Roman" w:hAnsi="Times New Roman" w:eastAsia="Times New Roman" w:cs="Times New Roman"/>
                <w:spacing w:val="7"/>
              </w:rPr>
              <w:t>”</w:t>
            </w:r>
            <w:r>
              <w:rPr>
                <w:spacing w:val="7"/>
              </w:rPr>
              <w:t>行业项目。</w:t>
            </w:r>
          </w:p>
        </w:tc>
        <w:tc>
          <w:tcPr>
            <w:tcW w:w="2523" w:type="dxa"/>
            <w:gridSpan w:val="2"/>
            <w:vAlign w:val="top"/>
          </w:tcPr>
          <w:p w14:paraId="62A46148">
            <w:pPr>
              <w:pStyle w:val="6"/>
              <w:spacing w:before="42" w:line="237" w:lineRule="auto"/>
              <w:ind w:firstLine="45"/>
              <w:jc w:val="both"/>
            </w:pPr>
            <w:r>
              <w:rPr>
                <w:spacing w:val="6"/>
              </w:rPr>
              <w:t>本项目为输变电工程，不属</w:t>
            </w:r>
            <w:r>
              <w:rPr>
                <w:spacing w:val="9"/>
              </w:rPr>
              <w:t>于《环境保护综合名录》中</w:t>
            </w:r>
            <w:r>
              <w:rPr>
                <w:rFonts w:ascii="Times New Roman" w:hAnsi="Times New Roman" w:eastAsia="Times New Roman" w:cs="Times New Roman"/>
                <w:spacing w:val="10"/>
              </w:rPr>
              <w:t>“</w:t>
            </w:r>
            <w:r>
              <w:rPr>
                <w:spacing w:val="10"/>
              </w:rPr>
              <w:t>高污染、高环境风险</w:t>
            </w:r>
            <w:r>
              <w:rPr>
                <w:rFonts w:ascii="Times New Roman" w:hAnsi="Times New Roman" w:eastAsia="Times New Roman" w:cs="Times New Roman"/>
                <w:spacing w:val="10"/>
              </w:rPr>
              <w:t>”</w:t>
            </w:r>
            <w:r>
              <w:rPr>
                <w:spacing w:val="10"/>
              </w:rPr>
              <w:t>行业</w:t>
            </w:r>
            <w:r>
              <w:rPr>
                <w:spacing w:val="15"/>
              </w:rPr>
              <w:t>项目。</w:t>
            </w:r>
          </w:p>
        </w:tc>
        <w:tc>
          <w:tcPr>
            <w:tcW w:w="784" w:type="dxa"/>
            <w:tcBorders>
              <w:right w:val="single" w:color="000000" w:sz="6" w:space="0"/>
            </w:tcBorders>
            <w:vAlign w:val="top"/>
          </w:tcPr>
          <w:p w14:paraId="2A58181D">
            <w:pPr>
              <w:pStyle w:val="6"/>
              <w:spacing w:before="40" w:line="228" w:lineRule="auto"/>
              <w:ind w:left="153"/>
            </w:pPr>
            <w:r>
              <w:rPr>
                <w:spacing w:val="3"/>
              </w:rPr>
              <w:t>符合</w:t>
            </w:r>
          </w:p>
        </w:tc>
      </w:tr>
      <w:tr w14:paraId="327FCD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411" w:type="dxa"/>
            <w:vMerge w:val="continue"/>
            <w:tcBorders>
              <w:top w:val="nil"/>
              <w:left w:val="single" w:color="000000" w:sz="6" w:space="0"/>
              <w:bottom w:val="nil"/>
            </w:tcBorders>
            <w:vAlign w:val="top"/>
          </w:tcPr>
          <w:p w14:paraId="13687B15">
            <w:pPr>
              <w:rPr>
                <w:rFonts w:ascii="Arial"/>
                <w:sz w:val="21"/>
              </w:rPr>
            </w:pPr>
          </w:p>
        </w:tc>
        <w:tc>
          <w:tcPr>
            <w:tcW w:w="67" w:type="dxa"/>
            <w:tcBorders>
              <w:top w:val="nil"/>
              <w:bottom w:val="nil"/>
            </w:tcBorders>
            <w:vAlign w:val="top"/>
          </w:tcPr>
          <w:p w14:paraId="7334F98B">
            <w:pPr>
              <w:rPr>
                <w:rFonts w:ascii="Arial"/>
                <w:sz w:val="21"/>
              </w:rPr>
            </w:pPr>
          </w:p>
        </w:tc>
        <w:tc>
          <w:tcPr>
            <w:tcW w:w="327" w:type="dxa"/>
            <w:vMerge w:val="continue"/>
            <w:tcBorders>
              <w:top w:val="nil"/>
              <w:bottom w:val="nil"/>
            </w:tcBorders>
            <w:textDirection w:val="tbRlV"/>
            <w:vAlign w:val="top"/>
          </w:tcPr>
          <w:p w14:paraId="3E9F8312">
            <w:pPr>
              <w:rPr>
                <w:rFonts w:ascii="Arial"/>
                <w:sz w:val="21"/>
              </w:rPr>
            </w:pPr>
          </w:p>
        </w:tc>
        <w:tc>
          <w:tcPr>
            <w:tcW w:w="379" w:type="dxa"/>
            <w:vMerge w:val="continue"/>
            <w:tcBorders>
              <w:top w:val="nil"/>
              <w:bottom w:val="nil"/>
            </w:tcBorders>
            <w:textDirection w:val="tbRlV"/>
            <w:vAlign w:val="top"/>
          </w:tcPr>
          <w:p w14:paraId="36676404">
            <w:pPr>
              <w:rPr>
                <w:rFonts w:ascii="Arial"/>
                <w:sz w:val="21"/>
              </w:rPr>
            </w:pPr>
          </w:p>
        </w:tc>
        <w:tc>
          <w:tcPr>
            <w:tcW w:w="317" w:type="dxa"/>
            <w:vMerge w:val="continue"/>
            <w:tcBorders>
              <w:top w:val="nil"/>
              <w:bottom w:val="nil"/>
            </w:tcBorders>
            <w:textDirection w:val="tbRlV"/>
            <w:vAlign w:val="top"/>
          </w:tcPr>
          <w:p w14:paraId="3DD37636">
            <w:pPr>
              <w:rPr>
                <w:rFonts w:ascii="Arial"/>
                <w:sz w:val="21"/>
              </w:rPr>
            </w:pPr>
          </w:p>
        </w:tc>
        <w:tc>
          <w:tcPr>
            <w:tcW w:w="3326" w:type="dxa"/>
            <w:gridSpan w:val="2"/>
            <w:vAlign w:val="top"/>
          </w:tcPr>
          <w:p w14:paraId="6AC82F30">
            <w:pPr>
              <w:pStyle w:val="6"/>
              <w:spacing w:before="48" w:line="234" w:lineRule="auto"/>
              <w:jc w:val="both"/>
            </w:pPr>
            <w:r>
              <w:rPr>
                <w:rFonts w:ascii="Times New Roman" w:hAnsi="Times New Roman" w:eastAsia="Times New Roman" w:cs="Times New Roman"/>
                <w:spacing w:val="-2"/>
              </w:rPr>
              <w:t>6.</w:t>
            </w:r>
            <w:r>
              <w:rPr>
                <w:spacing w:val="-2"/>
              </w:rPr>
              <w:t>禁止在合规园区外新建、扩建钢铁、</w:t>
            </w:r>
            <w:r>
              <w:rPr>
                <w:spacing w:val="3"/>
              </w:rPr>
              <w:t>石化、化工、焦化、建材、有色行业中的高污染项目。</w:t>
            </w:r>
          </w:p>
        </w:tc>
        <w:tc>
          <w:tcPr>
            <w:tcW w:w="2523" w:type="dxa"/>
            <w:gridSpan w:val="2"/>
            <w:vAlign w:val="top"/>
          </w:tcPr>
          <w:p w14:paraId="361A8703">
            <w:pPr>
              <w:pStyle w:val="6"/>
              <w:spacing w:before="48" w:line="254" w:lineRule="auto"/>
              <w:ind w:left="6" w:hanging="2"/>
            </w:pPr>
            <w:r>
              <w:rPr>
                <w:spacing w:val="9"/>
              </w:rPr>
              <w:t>本项目为输变电工程，不属</w:t>
            </w:r>
            <w:r>
              <w:rPr>
                <w:spacing w:val="7"/>
              </w:rPr>
              <w:t>于该条所列项目。</w:t>
            </w:r>
          </w:p>
        </w:tc>
        <w:tc>
          <w:tcPr>
            <w:tcW w:w="784" w:type="dxa"/>
            <w:tcBorders>
              <w:right w:val="single" w:color="000000" w:sz="6" w:space="0"/>
            </w:tcBorders>
            <w:vAlign w:val="top"/>
          </w:tcPr>
          <w:p w14:paraId="0CD1B43F">
            <w:pPr>
              <w:pStyle w:val="6"/>
              <w:spacing w:before="47" w:line="228" w:lineRule="auto"/>
              <w:ind w:left="153"/>
            </w:pPr>
            <w:r>
              <w:rPr>
                <w:spacing w:val="3"/>
              </w:rPr>
              <w:t>符合</w:t>
            </w:r>
          </w:p>
        </w:tc>
      </w:tr>
      <w:tr w14:paraId="397C3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8" w:hRule="atLeast"/>
        </w:trPr>
        <w:tc>
          <w:tcPr>
            <w:tcW w:w="411" w:type="dxa"/>
            <w:vMerge w:val="continue"/>
            <w:tcBorders>
              <w:top w:val="nil"/>
              <w:left w:val="single" w:color="000000" w:sz="6" w:space="0"/>
              <w:bottom w:val="nil"/>
            </w:tcBorders>
            <w:vAlign w:val="top"/>
          </w:tcPr>
          <w:p w14:paraId="0100580C">
            <w:pPr>
              <w:rPr>
                <w:rFonts w:ascii="Arial"/>
                <w:sz w:val="21"/>
              </w:rPr>
            </w:pPr>
          </w:p>
        </w:tc>
        <w:tc>
          <w:tcPr>
            <w:tcW w:w="67" w:type="dxa"/>
            <w:tcBorders>
              <w:top w:val="nil"/>
              <w:bottom w:val="nil"/>
            </w:tcBorders>
            <w:vAlign w:val="top"/>
          </w:tcPr>
          <w:p w14:paraId="7719561C">
            <w:pPr>
              <w:rPr>
                <w:rFonts w:ascii="Arial"/>
                <w:sz w:val="21"/>
              </w:rPr>
            </w:pPr>
          </w:p>
        </w:tc>
        <w:tc>
          <w:tcPr>
            <w:tcW w:w="327" w:type="dxa"/>
            <w:vMerge w:val="continue"/>
            <w:tcBorders>
              <w:top w:val="nil"/>
              <w:bottom w:val="nil"/>
            </w:tcBorders>
            <w:textDirection w:val="tbRlV"/>
            <w:vAlign w:val="top"/>
          </w:tcPr>
          <w:p w14:paraId="03A1C4CB">
            <w:pPr>
              <w:rPr>
                <w:rFonts w:ascii="Arial"/>
                <w:sz w:val="21"/>
              </w:rPr>
            </w:pPr>
          </w:p>
        </w:tc>
        <w:tc>
          <w:tcPr>
            <w:tcW w:w="379" w:type="dxa"/>
            <w:vMerge w:val="continue"/>
            <w:tcBorders>
              <w:top w:val="nil"/>
              <w:bottom w:val="nil"/>
            </w:tcBorders>
            <w:textDirection w:val="tbRlV"/>
            <w:vAlign w:val="top"/>
          </w:tcPr>
          <w:p w14:paraId="04806701">
            <w:pPr>
              <w:rPr>
                <w:rFonts w:ascii="Arial"/>
                <w:sz w:val="21"/>
              </w:rPr>
            </w:pPr>
          </w:p>
        </w:tc>
        <w:tc>
          <w:tcPr>
            <w:tcW w:w="317" w:type="dxa"/>
            <w:vMerge w:val="continue"/>
            <w:tcBorders>
              <w:top w:val="nil"/>
              <w:bottom w:val="nil"/>
            </w:tcBorders>
            <w:textDirection w:val="tbRlV"/>
            <w:vAlign w:val="top"/>
          </w:tcPr>
          <w:p w14:paraId="36B1EC54">
            <w:pPr>
              <w:rPr>
                <w:rFonts w:ascii="Arial"/>
                <w:sz w:val="21"/>
              </w:rPr>
            </w:pPr>
          </w:p>
        </w:tc>
        <w:tc>
          <w:tcPr>
            <w:tcW w:w="3326" w:type="dxa"/>
            <w:gridSpan w:val="2"/>
            <w:vAlign w:val="top"/>
          </w:tcPr>
          <w:p w14:paraId="71CAED4E">
            <w:pPr>
              <w:pStyle w:val="6"/>
              <w:spacing w:before="44" w:line="245" w:lineRule="auto"/>
              <w:ind w:right="3"/>
              <w:jc w:val="both"/>
            </w:pPr>
            <w:r>
              <w:rPr>
                <w:rFonts w:ascii="Times New Roman" w:hAnsi="Times New Roman" w:eastAsia="Times New Roman" w:cs="Times New Roman"/>
                <w:spacing w:val="9"/>
              </w:rPr>
              <w:t>7.</w:t>
            </w:r>
            <w:r>
              <w:rPr>
                <w:spacing w:val="9"/>
              </w:rPr>
              <w:t>集中式饮用水水源地严格执行《中</w:t>
            </w:r>
            <w:r>
              <w:rPr>
                <w:spacing w:val="7"/>
              </w:rPr>
              <w:t>华人民共和国水污染防治法》《地下水管理条例》《饮用水水源保护区污染防治管理规定》《曲靖市集中式饮用水水源地保护条例》《云南省曲靖独木水库保护条例》，在水源地内城</w:t>
            </w:r>
            <w:r>
              <w:rPr>
                <w:spacing w:val="21"/>
              </w:rPr>
              <w:t>镇开发边界范围已开发区域强化环</w:t>
            </w:r>
            <w:r>
              <w:rPr>
                <w:spacing w:val="8"/>
              </w:rPr>
              <w:t>境基础设施建设与运行维护。</w:t>
            </w:r>
          </w:p>
        </w:tc>
        <w:tc>
          <w:tcPr>
            <w:tcW w:w="2523" w:type="dxa"/>
            <w:gridSpan w:val="2"/>
            <w:vAlign w:val="top"/>
          </w:tcPr>
          <w:p w14:paraId="18885D24">
            <w:pPr>
              <w:pStyle w:val="6"/>
              <w:spacing w:before="47" w:line="254" w:lineRule="auto"/>
              <w:ind w:left="19" w:hanging="12"/>
            </w:pPr>
            <w:r>
              <w:rPr>
                <w:spacing w:val="9"/>
              </w:rPr>
              <w:t>项目不涉及饮用水水源保护</w:t>
            </w:r>
            <w:r>
              <w:rPr>
                <w:spacing w:val="-8"/>
              </w:rPr>
              <w:t>区。</w:t>
            </w:r>
          </w:p>
        </w:tc>
        <w:tc>
          <w:tcPr>
            <w:tcW w:w="784" w:type="dxa"/>
            <w:tcBorders>
              <w:right w:val="single" w:color="000000" w:sz="6" w:space="0"/>
            </w:tcBorders>
            <w:vAlign w:val="top"/>
          </w:tcPr>
          <w:p w14:paraId="7C79260C">
            <w:pPr>
              <w:pStyle w:val="6"/>
              <w:spacing w:before="47" w:line="228" w:lineRule="auto"/>
              <w:ind w:left="153"/>
            </w:pPr>
            <w:r>
              <w:rPr>
                <w:spacing w:val="3"/>
              </w:rPr>
              <w:t>符合</w:t>
            </w:r>
          </w:p>
        </w:tc>
      </w:tr>
      <w:tr w14:paraId="3E32E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1" w:hRule="atLeast"/>
        </w:trPr>
        <w:tc>
          <w:tcPr>
            <w:tcW w:w="411" w:type="dxa"/>
            <w:vMerge w:val="continue"/>
            <w:tcBorders>
              <w:top w:val="nil"/>
              <w:left w:val="single" w:color="000000" w:sz="6" w:space="0"/>
              <w:bottom w:val="single" w:color="000000" w:sz="6" w:space="0"/>
            </w:tcBorders>
            <w:vAlign w:val="top"/>
          </w:tcPr>
          <w:p w14:paraId="3C7DCFE6">
            <w:pPr>
              <w:rPr>
                <w:rFonts w:ascii="Arial"/>
                <w:sz w:val="21"/>
              </w:rPr>
            </w:pPr>
          </w:p>
        </w:tc>
        <w:tc>
          <w:tcPr>
            <w:tcW w:w="67" w:type="dxa"/>
            <w:tcBorders>
              <w:top w:val="nil"/>
              <w:bottom w:val="single" w:color="000000" w:sz="6" w:space="0"/>
            </w:tcBorders>
            <w:vAlign w:val="top"/>
          </w:tcPr>
          <w:p w14:paraId="1A3EB566">
            <w:pPr>
              <w:rPr>
                <w:rFonts w:ascii="Arial"/>
                <w:sz w:val="21"/>
              </w:rPr>
            </w:pPr>
          </w:p>
        </w:tc>
        <w:tc>
          <w:tcPr>
            <w:tcW w:w="327" w:type="dxa"/>
            <w:vMerge w:val="continue"/>
            <w:tcBorders>
              <w:top w:val="nil"/>
              <w:bottom w:val="single" w:color="000000" w:sz="6" w:space="0"/>
            </w:tcBorders>
            <w:textDirection w:val="tbRlV"/>
            <w:vAlign w:val="top"/>
          </w:tcPr>
          <w:p w14:paraId="20637A3C">
            <w:pPr>
              <w:rPr>
                <w:rFonts w:ascii="Arial"/>
                <w:sz w:val="21"/>
              </w:rPr>
            </w:pPr>
          </w:p>
        </w:tc>
        <w:tc>
          <w:tcPr>
            <w:tcW w:w="379" w:type="dxa"/>
            <w:vMerge w:val="continue"/>
            <w:tcBorders>
              <w:top w:val="nil"/>
              <w:bottom w:val="single" w:color="000000" w:sz="6" w:space="0"/>
            </w:tcBorders>
            <w:textDirection w:val="tbRlV"/>
            <w:vAlign w:val="top"/>
          </w:tcPr>
          <w:p w14:paraId="699BE25F">
            <w:pPr>
              <w:rPr>
                <w:rFonts w:ascii="Arial"/>
                <w:sz w:val="21"/>
              </w:rPr>
            </w:pPr>
          </w:p>
        </w:tc>
        <w:tc>
          <w:tcPr>
            <w:tcW w:w="317" w:type="dxa"/>
            <w:vMerge w:val="continue"/>
            <w:tcBorders>
              <w:top w:val="nil"/>
              <w:bottom w:val="single" w:color="000000" w:sz="6" w:space="0"/>
            </w:tcBorders>
            <w:textDirection w:val="tbRlV"/>
            <w:vAlign w:val="top"/>
          </w:tcPr>
          <w:p w14:paraId="4A6DF88D">
            <w:pPr>
              <w:rPr>
                <w:rFonts w:ascii="Arial"/>
                <w:sz w:val="21"/>
              </w:rPr>
            </w:pPr>
          </w:p>
        </w:tc>
        <w:tc>
          <w:tcPr>
            <w:tcW w:w="3326" w:type="dxa"/>
            <w:gridSpan w:val="2"/>
            <w:tcBorders>
              <w:bottom w:val="single" w:color="000000" w:sz="6" w:space="0"/>
            </w:tcBorders>
            <w:vAlign w:val="top"/>
          </w:tcPr>
          <w:p w14:paraId="21B87B4D">
            <w:pPr>
              <w:pStyle w:val="6"/>
              <w:spacing w:before="47" w:line="248" w:lineRule="auto"/>
              <w:ind w:right="3" w:firstLine="5"/>
              <w:jc w:val="both"/>
            </w:pPr>
            <w:r>
              <w:rPr>
                <w:rFonts w:ascii="Times New Roman" w:hAnsi="Times New Roman" w:eastAsia="Times New Roman" w:cs="Times New Roman"/>
                <w:spacing w:val="9"/>
              </w:rPr>
              <w:t>8.</w:t>
            </w:r>
            <w:r>
              <w:rPr>
                <w:spacing w:val="9"/>
              </w:rPr>
              <w:t>各县（市、区）产业园区重点管控</w:t>
            </w:r>
            <w:r>
              <w:rPr>
                <w:spacing w:val="17"/>
              </w:rPr>
              <w:t>单元、</w:t>
            </w:r>
            <w:r>
              <w:rPr>
                <w:spacing w:val="-39"/>
              </w:rPr>
              <w:t xml:space="preserve"> </w:t>
            </w:r>
            <w:r>
              <w:rPr>
                <w:spacing w:val="17"/>
              </w:rPr>
              <w:t>曲靖经济开发区重点管控单</w:t>
            </w:r>
            <w:r>
              <w:rPr>
                <w:spacing w:val="7"/>
              </w:rPr>
              <w:t>元、曲靖高新技术产业开发区重点管控单元、宣威市经济技术开发区重点管控单元空间布局约束、污染物排放</w:t>
            </w:r>
          </w:p>
        </w:tc>
        <w:tc>
          <w:tcPr>
            <w:tcW w:w="2523" w:type="dxa"/>
            <w:gridSpan w:val="2"/>
            <w:tcBorders>
              <w:bottom w:val="single" w:color="000000" w:sz="6" w:space="0"/>
            </w:tcBorders>
            <w:vAlign w:val="top"/>
          </w:tcPr>
          <w:p w14:paraId="23D0F2BE">
            <w:pPr>
              <w:pStyle w:val="6"/>
              <w:spacing w:before="48" w:line="228" w:lineRule="auto"/>
              <w:ind w:left="7"/>
            </w:pPr>
            <w:r>
              <w:rPr>
                <w:spacing w:val="8"/>
              </w:rPr>
              <w:t>项目不涉及重点管控单元。</w:t>
            </w:r>
          </w:p>
        </w:tc>
        <w:tc>
          <w:tcPr>
            <w:tcW w:w="784" w:type="dxa"/>
            <w:tcBorders>
              <w:bottom w:val="single" w:color="000000" w:sz="6" w:space="0"/>
              <w:right w:val="single" w:color="000000" w:sz="6" w:space="0"/>
            </w:tcBorders>
            <w:vAlign w:val="top"/>
          </w:tcPr>
          <w:p w14:paraId="160FAF70">
            <w:pPr>
              <w:pStyle w:val="6"/>
              <w:spacing w:before="48" w:line="228" w:lineRule="auto"/>
              <w:ind w:left="153"/>
            </w:pPr>
            <w:r>
              <w:rPr>
                <w:spacing w:val="3"/>
              </w:rPr>
              <w:t>符合</w:t>
            </w:r>
          </w:p>
        </w:tc>
      </w:tr>
    </w:tbl>
    <w:p w14:paraId="5CB580DF">
      <w:pPr>
        <w:rPr>
          <w:rFonts w:ascii="Arial"/>
          <w:sz w:val="21"/>
        </w:rPr>
      </w:pPr>
    </w:p>
    <w:p w14:paraId="4CB8A73E">
      <w:pPr>
        <w:rPr>
          <w:rFonts w:ascii="Arial" w:hAnsi="Arial" w:eastAsia="Arial" w:cs="Arial"/>
          <w:sz w:val="21"/>
          <w:szCs w:val="21"/>
        </w:rPr>
        <w:sectPr>
          <w:footerReference r:id="rId20" w:type="default"/>
          <w:pgSz w:w="11907" w:h="16840"/>
          <w:pgMar w:top="400" w:right="1786" w:bottom="1240" w:left="1774" w:header="0" w:footer="1077" w:gutter="0"/>
          <w:cols w:space="720" w:num="1"/>
        </w:sectPr>
      </w:pPr>
    </w:p>
    <w:p w14:paraId="67F05C75">
      <w:pPr>
        <w:spacing w:before="19"/>
      </w:pPr>
    </w:p>
    <w:p w14:paraId="7197988B">
      <w:pPr>
        <w:spacing w:before="19"/>
      </w:pPr>
    </w:p>
    <w:p w14:paraId="322B4089">
      <w:pPr>
        <w:spacing w:before="18"/>
      </w:pPr>
    </w:p>
    <w:p w14:paraId="65DEB34C">
      <w:pPr>
        <w:spacing w:before="18"/>
      </w:pPr>
    </w:p>
    <w:tbl>
      <w:tblPr>
        <w:tblStyle w:val="5"/>
        <w:tblW w:w="813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1"/>
        <w:gridCol w:w="68"/>
        <w:gridCol w:w="327"/>
        <w:gridCol w:w="371"/>
        <w:gridCol w:w="319"/>
        <w:gridCol w:w="3326"/>
        <w:gridCol w:w="2522"/>
        <w:gridCol w:w="790"/>
      </w:tblGrid>
      <w:tr w14:paraId="1FB37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411" w:type="dxa"/>
            <w:vMerge w:val="restart"/>
            <w:tcBorders>
              <w:top w:val="single" w:color="000000" w:sz="6" w:space="0"/>
              <w:left w:val="single" w:color="000000" w:sz="6" w:space="0"/>
              <w:bottom w:val="nil"/>
            </w:tcBorders>
            <w:vAlign w:val="top"/>
          </w:tcPr>
          <w:p w14:paraId="15CC82ED">
            <w:pPr>
              <w:rPr>
                <w:rFonts w:ascii="Arial"/>
                <w:sz w:val="21"/>
              </w:rPr>
            </w:pPr>
          </w:p>
        </w:tc>
        <w:tc>
          <w:tcPr>
            <w:tcW w:w="68" w:type="dxa"/>
            <w:tcBorders>
              <w:top w:val="single" w:color="000000" w:sz="6" w:space="0"/>
              <w:bottom w:val="nil"/>
            </w:tcBorders>
            <w:vAlign w:val="top"/>
          </w:tcPr>
          <w:p w14:paraId="5D406325">
            <w:pPr>
              <w:rPr>
                <w:rFonts w:ascii="Arial"/>
                <w:sz w:val="21"/>
              </w:rPr>
            </w:pPr>
          </w:p>
        </w:tc>
        <w:tc>
          <w:tcPr>
            <w:tcW w:w="327" w:type="dxa"/>
            <w:vMerge w:val="restart"/>
            <w:tcBorders>
              <w:top w:val="single" w:color="000000" w:sz="6" w:space="0"/>
              <w:bottom w:val="nil"/>
            </w:tcBorders>
            <w:vAlign w:val="top"/>
          </w:tcPr>
          <w:p w14:paraId="475BEB80">
            <w:pPr>
              <w:rPr>
                <w:rFonts w:ascii="Arial"/>
                <w:sz w:val="21"/>
              </w:rPr>
            </w:pPr>
          </w:p>
        </w:tc>
        <w:tc>
          <w:tcPr>
            <w:tcW w:w="371" w:type="dxa"/>
            <w:vMerge w:val="restart"/>
            <w:tcBorders>
              <w:top w:val="single" w:color="000000" w:sz="6" w:space="0"/>
              <w:bottom w:val="nil"/>
            </w:tcBorders>
            <w:vAlign w:val="top"/>
          </w:tcPr>
          <w:p w14:paraId="63F536E9">
            <w:pPr>
              <w:rPr>
                <w:rFonts w:ascii="Arial"/>
                <w:sz w:val="21"/>
              </w:rPr>
            </w:pPr>
          </w:p>
        </w:tc>
        <w:tc>
          <w:tcPr>
            <w:tcW w:w="319" w:type="dxa"/>
            <w:tcBorders>
              <w:top w:val="single" w:color="000000" w:sz="6" w:space="0"/>
            </w:tcBorders>
            <w:vAlign w:val="top"/>
          </w:tcPr>
          <w:p w14:paraId="750F65E9">
            <w:pPr>
              <w:rPr>
                <w:rFonts w:ascii="Arial"/>
                <w:sz w:val="21"/>
              </w:rPr>
            </w:pPr>
          </w:p>
        </w:tc>
        <w:tc>
          <w:tcPr>
            <w:tcW w:w="3326" w:type="dxa"/>
            <w:tcBorders>
              <w:top w:val="single" w:color="000000" w:sz="6" w:space="0"/>
            </w:tcBorders>
            <w:vAlign w:val="top"/>
          </w:tcPr>
          <w:p w14:paraId="0B1EF136">
            <w:pPr>
              <w:pStyle w:val="6"/>
              <w:spacing w:before="59" w:line="237" w:lineRule="auto"/>
              <w:ind w:left="4" w:firstLine="4"/>
              <w:jc w:val="both"/>
            </w:pPr>
            <w:r>
              <w:rPr>
                <w:spacing w:val="6"/>
              </w:rPr>
              <w:t>管控、环境风险防控、资源利用效率</w:t>
            </w:r>
            <w:r>
              <w:rPr>
                <w:spacing w:val="21"/>
              </w:rPr>
              <w:t>四个维度严格执行现行有效的园区</w:t>
            </w:r>
            <w:r>
              <w:rPr>
                <w:spacing w:val="8"/>
              </w:rPr>
              <w:t>规划、规划环评及其审查意见。</w:t>
            </w:r>
          </w:p>
        </w:tc>
        <w:tc>
          <w:tcPr>
            <w:tcW w:w="2522" w:type="dxa"/>
            <w:tcBorders>
              <w:top w:val="single" w:color="000000" w:sz="6" w:space="0"/>
            </w:tcBorders>
            <w:vAlign w:val="top"/>
          </w:tcPr>
          <w:p w14:paraId="0C3B2E3E">
            <w:pPr>
              <w:rPr>
                <w:rFonts w:ascii="Arial"/>
                <w:sz w:val="21"/>
              </w:rPr>
            </w:pPr>
          </w:p>
        </w:tc>
        <w:tc>
          <w:tcPr>
            <w:tcW w:w="790" w:type="dxa"/>
            <w:tcBorders>
              <w:top w:val="single" w:color="000000" w:sz="6" w:space="0"/>
              <w:right w:val="single" w:color="000000" w:sz="6" w:space="0"/>
            </w:tcBorders>
            <w:vAlign w:val="top"/>
          </w:tcPr>
          <w:p w14:paraId="4FE97787">
            <w:pPr>
              <w:rPr>
                <w:rFonts w:ascii="Arial"/>
                <w:sz w:val="21"/>
              </w:rPr>
            </w:pPr>
          </w:p>
        </w:tc>
      </w:tr>
      <w:tr w14:paraId="6838E3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9" w:hRule="atLeast"/>
        </w:trPr>
        <w:tc>
          <w:tcPr>
            <w:tcW w:w="411" w:type="dxa"/>
            <w:vMerge w:val="continue"/>
            <w:tcBorders>
              <w:top w:val="nil"/>
              <w:left w:val="single" w:color="000000" w:sz="6" w:space="0"/>
              <w:bottom w:val="nil"/>
            </w:tcBorders>
            <w:vAlign w:val="top"/>
          </w:tcPr>
          <w:p w14:paraId="5499A046">
            <w:pPr>
              <w:rPr>
                <w:rFonts w:ascii="Arial"/>
                <w:sz w:val="21"/>
              </w:rPr>
            </w:pPr>
          </w:p>
        </w:tc>
        <w:tc>
          <w:tcPr>
            <w:tcW w:w="68" w:type="dxa"/>
            <w:tcBorders>
              <w:top w:val="nil"/>
              <w:bottom w:val="nil"/>
            </w:tcBorders>
            <w:vAlign w:val="top"/>
          </w:tcPr>
          <w:p w14:paraId="71BBA20E">
            <w:pPr>
              <w:rPr>
                <w:rFonts w:ascii="Arial"/>
                <w:sz w:val="21"/>
              </w:rPr>
            </w:pPr>
          </w:p>
        </w:tc>
        <w:tc>
          <w:tcPr>
            <w:tcW w:w="327" w:type="dxa"/>
            <w:vMerge w:val="continue"/>
            <w:tcBorders>
              <w:top w:val="nil"/>
              <w:bottom w:val="nil"/>
            </w:tcBorders>
            <w:vAlign w:val="top"/>
          </w:tcPr>
          <w:p w14:paraId="4D57E723">
            <w:pPr>
              <w:rPr>
                <w:rFonts w:ascii="Arial"/>
                <w:sz w:val="21"/>
              </w:rPr>
            </w:pPr>
          </w:p>
        </w:tc>
        <w:tc>
          <w:tcPr>
            <w:tcW w:w="371" w:type="dxa"/>
            <w:vMerge w:val="continue"/>
            <w:tcBorders>
              <w:top w:val="nil"/>
              <w:bottom w:val="nil"/>
            </w:tcBorders>
            <w:vAlign w:val="top"/>
          </w:tcPr>
          <w:p w14:paraId="44B1F140">
            <w:pPr>
              <w:rPr>
                <w:rFonts w:ascii="Arial"/>
                <w:sz w:val="21"/>
              </w:rPr>
            </w:pPr>
          </w:p>
        </w:tc>
        <w:tc>
          <w:tcPr>
            <w:tcW w:w="319" w:type="dxa"/>
            <w:vMerge w:val="restart"/>
            <w:tcBorders>
              <w:bottom w:val="nil"/>
            </w:tcBorders>
            <w:textDirection w:val="tbRlV"/>
            <w:vAlign w:val="top"/>
          </w:tcPr>
          <w:p w14:paraId="13274156">
            <w:pPr>
              <w:pStyle w:val="6"/>
              <w:spacing w:before="59" w:line="216" w:lineRule="auto"/>
              <w:ind w:left="34"/>
            </w:pPr>
            <w:r>
              <w:rPr>
                <w:spacing w:val="8"/>
              </w:rPr>
              <w:t>污</w:t>
            </w:r>
            <w:r>
              <w:rPr>
                <w:spacing w:val="-34"/>
              </w:rPr>
              <w:t xml:space="preserve"> </w:t>
            </w:r>
            <w:r>
              <w:rPr>
                <w:spacing w:val="8"/>
              </w:rPr>
              <w:t>染</w:t>
            </w:r>
            <w:r>
              <w:rPr>
                <w:spacing w:val="-36"/>
              </w:rPr>
              <w:t xml:space="preserve"> </w:t>
            </w:r>
            <w:r>
              <w:rPr>
                <w:spacing w:val="8"/>
              </w:rPr>
              <w:t>排</w:t>
            </w:r>
            <w:r>
              <w:rPr>
                <w:spacing w:val="-37"/>
              </w:rPr>
              <w:t xml:space="preserve"> </w:t>
            </w:r>
            <w:r>
              <w:rPr>
                <w:spacing w:val="8"/>
              </w:rPr>
              <w:t>放</w:t>
            </w:r>
            <w:r>
              <w:rPr>
                <w:spacing w:val="-35"/>
              </w:rPr>
              <w:t xml:space="preserve"> </w:t>
            </w:r>
            <w:r>
              <w:rPr>
                <w:spacing w:val="8"/>
              </w:rPr>
              <w:t>管</w:t>
            </w:r>
            <w:r>
              <w:rPr>
                <w:spacing w:val="-38"/>
              </w:rPr>
              <w:t xml:space="preserve"> </w:t>
            </w:r>
            <w:r>
              <w:rPr>
                <w:spacing w:val="8"/>
              </w:rPr>
              <w:t>控</w:t>
            </w:r>
          </w:p>
        </w:tc>
        <w:tc>
          <w:tcPr>
            <w:tcW w:w="3326" w:type="dxa"/>
            <w:vAlign w:val="top"/>
          </w:tcPr>
          <w:p w14:paraId="62E9CD18">
            <w:pPr>
              <w:pStyle w:val="6"/>
              <w:spacing w:before="36" w:line="248" w:lineRule="auto"/>
              <w:ind w:left="2" w:firstLine="16"/>
            </w:pPr>
            <w:r>
              <w:rPr>
                <w:rFonts w:ascii="Times New Roman" w:hAnsi="Times New Roman" w:eastAsia="Times New Roman" w:cs="Times New Roman"/>
                <w:spacing w:val="5"/>
              </w:rPr>
              <w:t>1.</w:t>
            </w:r>
            <w:r>
              <w:rPr>
                <w:spacing w:val="5"/>
              </w:rPr>
              <w:t>推进以能源、化工、冶金、建材、</w:t>
            </w:r>
            <w:r>
              <w:rPr>
                <w:spacing w:val="3"/>
              </w:rPr>
              <w:t>造纸、农副食品加工、工业涂装和包</w:t>
            </w:r>
            <w:r>
              <w:rPr>
                <w:spacing w:val="16"/>
              </w:rPr>
              <w:t>装印刷等行业为重点的清洁生产审核工作，具体行业包括但不限于煤</w:t>
            </w:r>
            <w:r>
              <w:rPr>
                <w:spacing w:val="6"/>
              </w:rPr>
              <w:t>矿、火力发电，甲醇、焦化、氮肥、</w:t>
            </w:r>
            <w:r>
              <w:rPr>
                <w:spacing w:val="3"/>
              </w:rPr>
              <w:t>磷肥、氯碱、电石、制药、农药、黄磷、铬盐生产，钢铁、铁合金铅锌铝</w:t>
            </w:r>
            <w:r>
              <w:rPr>
                <w:spacing w:val="-5"/>
              </w:rPr>
              <w:t>冶炼及再生，水泥、石灰、建筑陶瓷、平板玻璃、沥青防水材料，纸浆造纸，酿造、味精、柠檬酸、酶制剂、酵母，</w:t>
            </w:r>
            <w:r>
              <w:rPr>
                <w:spacing w:val="-2"/>
              </w:rPr>
              <w:t>新能源电池（正负极材料</w:t>
            </w:r>
            <w:r>
              <w:rPr>
                <w:spacing w:val="-27"/>
              </w:rPr>
              <w:t>），</w:t>
            </w:r>
            <w:r>
              <w:rPr>
                <w:spacing w:val="-2"/>
              </w:rPr>
              <w:t>多晶硅、</w:t>
            </w:r>
            <w:r>
              <w:rPr>
                <w:spacing w:val="3"/>
              </w:rPr>
              <w:t>单晶硅、有机硅，工业涂装和包装印</w:t>
            </w:r>
            <w:r>
              <w:rPr>
                <w:spacing w:val="2"/>
              </w:rPr>
              <w:t>刷等行业。</w:t>
            </w:r>
          </w:p>
        </w:tc>
        <w:tc>
          <w:tcPr>
            <w:tcW w:w="2522" w:type="dxa"/>
            <w:vAlign w:val="top"/>
          </w:tcPr>
          <w:p w14:paraId="0126BFEB">
            <w:pPr>
              <w:pStyle w:val="6"/>
              <w:spacing w:before="33" w:line="252" w:lineRule="auto"/>
              <w:ind w:left="11" w:hanging="2"/>
            </w:pPr>
            <w:r>
              <w:rPr>
                <w:spacing w:val="8"/>
              </w:rPr>
              <w:t>本项目为输变电工程，不属</w:t>
            </w:r>
            <w:r>
              <w:rPr>
                <w:spacing w:val="6"/>
              </w:rPr>
              <w:t>于该条所列项目。</w:t>
            </w:r>
          </w:p>
        </w:tc>
        <w:tc>
          <w:tcPr>
            <w:tcW w:w="790" w:type="dxa"/>
            <w:tcBorders>
              <w:right w:val="single" w:color="000000" w:sz="6" w:space="0"/>
            </w:tcBorders>
            <w:vAlign w:val="top"/>
          </w:tcPr>
          <w:p w14:paraId="5D194155">
            <w:pPr>
              <w:pStyle w:val="6"/>
              <w:spacing w:before="33" w:line="228" w:lineRule="auto"/>
              <w:ind w:left="159"/>
            </w:pPr>
            <w:r>
              <w:rPr>
                <w:spacing w:val="3"/>
              </w:rPr>
              <w:t>符合</w:t>
            </w:r>
          </w:p>
        </w:tc>
      </w:tr>
      <w:tr w14:paraId="11619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411" w:type="dxa"/>
            <w:vMerge w:val="continue"/>
            <w:tcBorders>
              <w:top w:val="nil"/>
              <w:left w:val="single" w:color="000000" w:sz="6" w:space="0"/>
              <w:bottom w:val="nil"/>
            </w:tcBorders>
            <w:vAlign w:val="top"/>
          </w:tcPr>
          <w:p w14:paraId="5B71D091">
            <w:pPr>
              <w:rPr>
                <w:rFonts w:ascii="Arial"/>
                <w:sz w:val="21"/>
              </w:rPr>
            </w:pPr>
          </w:p>
        </w:tc>
        <w:tc>
          <w:tcPr>
            <w:tcW w:w="68" w:type="dxa"/>
            <w:tcBorders>
              <w:top w:val="nil"/>
              <w:bottom w:val="nil"/>
            </w:tcBorders>
            <w:vAlign w:val="top"/>
          </w:tcPr>
          <w:p w14:paraId="02F267BB">
            <w:pPr>
              <w:rPr>
                <w:rFonts w:ascii="Arial"/>
                <w:sz w:val="21"/>
              </w:rPr>
            </w:pPr>
          </w:p>
        </w:tc>
        <w:tc>
          <w:tcPr>
            <w:tcW w:w="327" w:type="dxa"/>
            <w:vMerge w:val="continue"/>
            <w:tcBorders>
              <w:top w:val="nil"/>
              <w:bottom w:val="nil"/>
            </w:tcBorders>
            <w:vAlign w:val="top"/>
          </w:tcPr>
          <w:p w14:paraId="69CCFBBA">
            <w:pPr>
              <w:rPr>
                <w:rFonts w:ascii="Arial"/>
                <w:sz w:val="21"/>
              </w:rPr>
            </w:pPr>
          </w:p>
        </w:tc>
        <w:tc>
          <w:tcPr>
            <w:tcW w:w="371" w:type="dxa"/>
            <w:vMerge w:val="continue"/>
            <w:tcBorders>
              <w:top w:val="nil"/>
              <w:bottom w:val="nil"/>
            </w:tcBorders>
            <w:vAlign w:val="top"/>
          </w:tcPr>
          <w:p w14:paraId="3936C0AB">
            <w:pPr>
              <w:rPr>
                <w:rFonts w:ascii="Arial"/>
                <w:sz w:val="21"/>
              </w:rPr>
            </w:pPr>
          </w:p>
        </w:tc>
        <w:tc>
          <w:tcPr>
            <w:tcW w:w="319" w:type="dxa"/>
            <w:vMerge w:val="continue"/>
            <w:tcBorders>
              <w:top w:val="nil"/>
              <w:bottom w:val="nil"/>
            </w:tcBorders>
            <w:textDirection w:val="tbRlV"/>
            <w:vAlign w:val="top"/>
          </w:tcPr>
          <w:p w14:paraId="43BCD812">
            <w:pPr>
              <w:rPr>
                <w:rFonts w:ascii="Arial"/>
                <w:sz w:val="21"/>
              </w:rPr>
            </w:pPr>
          </w:p>
        </w:tc>
        <w:tc>
          <w:tcPr>
            <w:tcW w:w="3326" w:type="dxa"/>
            <w:vAlign w:val="top"/>
          </w:tcPr>
          <w:p w14:paraId="12B4E2E3">
            <w:pPr>
              <w:pStyle w:val="6"/>
              <w:spacing w:before="35" w:line="227" w:lineRule="auto"/>
              <w:ind w:left="5" w:hanging="5"/>
            </w:pPr>
            <w:r>
              <w:rPr>
                <w:rFonts w:ascii="Times New Roman" w:hAnsi="Times New Roman" w:eastAsia="Times New Roman" w:cs="Times New Roman"/>
                <w:spacing w:val="17"/>
              </w:rPr>
              <w:t>2.</w:t>
            </w:r>
            <w:r>
              <w:rPr>
                <w:rFonts w:ascii="Times New Roman" w:hAnsi="Times New Roman" w:eastAsia="Times New Roman" w:cs="Times New Roman"/>
                <w:spacing w:val="-22"/>
              </w:rPr>
              <w:t xml:space="preserve"> </w:t>
            </w:r>
            <w:r>
              <w:rPr>
                <w:spacing w:val="17"/>
              </w:rPr>
              <w:t>落实云南省碳达峰碳中和相关要</w:t>
            </w:r>
            <w:r>
              <w:rPr>
                <w:spacing w:val="-5"/>
              </w:rPr>
              <w:t>求，处理好发展和减排、整体和局部、</w:t>
            </w:r>
          </w:p>
        </w:tc>
        <w:tc>
          <w:tcPr>
            <w:tcW w:w="2522" w:type="dxa"/>
            <w:vAlign w:val="top"/>
          </w:tcPr>
          <w:p w14:paraId="0ABCB540">
            <w:pPr>
              <w:pStyle w:val="6"/>
              <w:spacing w:before="35" w:line="227" w:lineRule="auto"/>
              <w:ind w:left="8"/>
            </w:pPr>
            <w:r>
              <w:rPr>
                <w:spacing w:val="8"/>
              </w:rPr>
              <w:t>本项目为输变电工程，与生态优先、绿色低碳的高质量</w:t>
            </w:r>
          </w:p>
        </w:tc>
        <w:tc>
          <w:tcPr>
            <w:tcW w:w="790" w:type="dxa"/>
            <w:tcBorders>
              <w:right w:val="single" w:color="000000" w:sz="6" w:space="0"/>
            </w:tcBorders>
            <w:vAlign w:val="top"/>
          </w:tcPr>
          <w:p w14:paraId="7182A395">
            <w:pPr>
              <w:pStyle w:val="6"/>
              <w:spacing w:before="34" w:line="228" w:lineRule="auto"/>
              <w:ind w:left="159"/>
            </w:pPr>
            <w:r>
              <w:rPr>
                <w:spacing w:val="3"/>
              </w:rPr>
              <w:t>符合</w:t>
            </w:r>
          </w:p>
        </w:tc>
      </w:tr>
      <w:tr w14:paraId="4262A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6" w:hRule="atLeast"/>
        </w:trPr>
        <w:tc>
          <w:tcPr>
            <w:tcW w:w="411" w:type="dxa"/>
            <w:vMerge w:val="continue"/>
            <w:tcBorders>
              <w:top w:val="nil"/>
              <w:left w:val="single" w:color="000000" w:sz="6" w:space="0"/>
              <w:bottom w:val="nil"/>
            </w:tcBorders>
            <w:vAlign w:val="top"/>
          </w:tcPr>
          <w:p w14:paraId="535A8989">
            <w:pPr>
              <w:rPr>
                <w:rFonts w:ascii="Arial"/>
                <w:sz w:val="21"/>
              </w:rPr>
            </w:pPr>
          </w:p>
        </w:tc>
        <w:tc>
          <w:tcPr>
            <w:tcW w:w="68" w:type="dxa"/>
            <w:tcBorders>
              <w:top w:val="nil"/>
              <w:bottom w:val="nil"/>
            </w:tcBorders>
            <w:vAlign w:val="top"/>
          </w:tcPr>
          <w:p w14:paraId="05E096AA">
            <w:pPr>
              <w:rPr>
                <w:rFonts w:ascii="Arial"/>
                <w:sz w:val="21"/>
              </w:rPr>
            </w:pPr>
          </w:p>
        </w:tc>
        <w:tc>
          <w:tcPr>
            <w:tcW w:w="327" w:type="dxa"/>
            <w:vMerge w:val="continue"/>
            <w:tcBorders>
              <w:top w:val="nil"/>
              <w:bottom w:val="nil"/>
            </w:tcBorders>
            <w:vAlign w:val="top"/>
          </w:tcPr>
          <w:p w14:paraId="0AB28B98">
            <w:pPr>
              <w:rPr>
                <w:rFonts w:ascii="Arial"/>
                <w:sz w:val="21"/>
              </w:rPr>
            </w:pPr>
          </w:p>
        </w:tc>
        <w:tc>
          <w:tcPr>
            <w:tcW w:w="371" w:type="dxa"/>
            <w:vMerge w:val="continue"/>
            <w:tcBorders>
              <w:top w:val="nil"/>
              <w:bottom w:val="nil"/>
            </w:tcBorders>
            <w:vAlign w:val="top"/>
          </w:tcPr>
          <w:p w14:paraId="06590E48">
            <w:pPr>
              <w:rPr>
                <w:rFonts w:ascii="Arial"/>
                <w:sz w:val="21"/>
              </w:rPr>
            </w:pPr>
          </w:p>
        </w:tc>
        <w:tc>
          <w:tcPr>
            <w:tcW w:w="319" w:type="dxa"/>
            <w:vMerge w:val="continue"/>
            <w:tcBorders>
              <w:top w:val="nil"/>
              <w:bottom w:val="nil"/>
            </w:tcBorders>
            <w:textDirection w:val="tbRlV"/>
            <w:vAlign w:val="top"/>
          </w:tcPr>
          <w:p w14:paraId="20D5BC5D">
            <w:pPr>
              <w:rPr>
                <w:rFonts w:ascii="Arial"/>
                <w:sz w:val="21"/>
              </w:rPr>
            </w:pPr>
          </w:p>
        </w:tc>
        <w:tc>
          <w:tcPr>
            <w:tcW w:w="3326" w:type="dxa"/>
            <w:vAlign w:val="top"/>
          </w:tcPr>
          <w:p w14:paraId="7DCBC58A">
            <w:pPr>
              <w:pStyle w:val="6"/>
              <w:spacing w:before="43" w:line="236" w:lineRule="auto"/>
              <w:ind w:left="6" w:hanging="2"/>
              <w:jc w:val="both"/>
            </w:pPr>
            <w:r>
              <w:rPr>
                <w:spacing w:val="7"/>
              </w:rPr>
              <w:t>长远目标和短期目标、政府和市场的关系，加快推动减污降碳协同创新试</w:t>
            </w:r>
            <w:r>
              <w:rPr>
                <w:spacing w:val="6"/>
              </w:rPr>
              <w:t>点，坚定不移走生态优先、绿色低碳</w:t>
            </w:r>
            <w:r>
              <w:rPr>
                <w:spacing w:val="7"/>
              </w:rPr>
              <w:t>的高质量发展道路。</w:t>
            </w:r>
          </w:p>
        </w:tc>
        <w:tc>
          <w:tcPr>
            <w:tcW w:w="2522" w:type="dxa"/>
            <w:vAlign w:val="top"/>
          </w:tcPr>
          <w:p w14:paraId="1038E31D">
            <w:pPr>
              <w:pStyle w:val="6"/>
              <w:spacing w:before="42" w:line="228" w:lineRule="auto"/>
              <w:ind w:left="12"/>
            </w:pPr>
            <w:r>
              <w:rPr>
                <w:spacing w:val="7"/>
              </w:rPr>
              <w:t>发展道路不冲突。</w:t>
            </w:r>
          </w:p>
        </w:tc>
        <w:tc>
          <w:tcPr>
            <w:tcW w:w="790" w:type="dxa"/>
            <w:tcBorders>
              <w:right w:val="single" w:color="000000" w:sz="6" w:space="0"/>
            </w:tcBorders>
            <w:vAlign w:val="top"/>
          </w:tcPr>
          <w:p w14:paraId="7AD6EB72">
            <w:pPr>
              <w:pStyle w:val="6"/>
              <w:spacing w:before="42" w:line="228" w:lineRule="auto"/>
              <w:ind w:left="159"/>
            </w:pPr>
            <w:r>
              <w:rPr>
                <w:spacing w:val="3"/>
              </w:rPr>
              <w:t>符合</w:t>
            </w:r>
          </w:p>
        </w:tc>
      </w:tr>
      <w:tr w14:paraId="1AE2E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7" w:hRule="atLeast"/>
        </w:trPr>
        <w:tc>
          <w:tcPr>
            <w:tcW w:w="411" w:type="dxa"/>
            <w:vMerge w:val="continue"/>
            <w:tcBorders>
              <w:top w:val="nil"/>
              <w:left w:val="single" w:color="000000" w:sz="6" w:space="0"/>
              <w:bottom w:val="nil"/>
            </w:tcBorders>
            <w:vAlign w:val="top"/>
          </w:tcPr>
          <w:p w14:paraId="6950499D">
            <w:pPr>
              <w:rPr>
                <w:rFonts w:ascii="Arial"/>
                <w:sz w:val="21"/>
              </w:rPr>
            </w:pPr>
          </w:p>
        </w:tc>
        <w:tc>
          <w:tcPr>
            <w:tcW w:w="68" w:type="dxa"/>
            <w:tcBorders>
              <w:top w:val="nil"/>
              <w:bottom w:val="nil"/>
            </w:tcBorders>
            <w:vAlign w:val="top"/>
          </w:tcPr>
          <w:p w14:paraId="3F92E300">
            <w:pPr>
              <w:rPr>
                <w:rFonts w:ascii="Arial"/>
                <w:sz w:val="21"/>
              </w:rPr>
            </w:pPr>
          </w:p>
        </w:tc>
        <w:tc>
          <w:tcPr>
            <w:tcW w:w="327" w:type="dxa"/>
            <w:vMerge w:val="continue"/>
            <w:tcBorders>
              <w:top w:val="nil"/>
              <w:bottom w:val="nil"/>
            </w:tcBorders>
            <w:vAlign w:val="top"/>
          </w:tcPr>
          <w:p w14:paraId="2C2131B8">
            <w:pPr>
              <w:rPr>
                <w:rFonts w:ascii="Arial"/>
                <w:sz w:val="21"/>
              </w:rPr>
            </w:pPr>
          </w:p>
        </w:tc>
        <w:tc>
          <w:tcPr>
            <w:tcW w:w="371" w:type="dxa"/>
            <w:vMerge w:val="continue"/>
            <w:tcBorders>
              <w:top w:val="nil"/>
              <w:bottom w:val="nil"/>
            </w:tcBorders>
            <w:vAlign w:val="top"/>
          </w:tcPr>
          <w:p w14:paraId="12FD3967">
            <w:pPr>
              <w:rPr>
                <w:rFonts w:ascii="Arial"/>
                <w:sz w:val="21"/>
              </w:rPr>
            </w:pPr>
          </w:p>
        </w:tc>
        <w:tc>
          <w:tcPr>
            <w:tcW w:w="319" w:type="dxa"/>
            <w:vMerge w:val="continue"/>
            <w:tcBorders>
              <w:top w:val="nil"/>
              <w:bottom w:val="nil"/>
            </w:tcBorders>
            <w:textDirection w:val="tbRlV"/>
            <w:vAlign w:val="top"/>
          </w:tcPr>
          <w:p w14:paraId="58834518">
            <w:pPr>
              <w:rPr>
                <w:rFonts w:ascii="Arial"/>
                <w:sz w:val="21"/>
              </w:rPr>
            </w:pPr>
          </w:p>
        </w:tc>
        <w:tc>
          <w:tcPr>
            <w:tcW w:w="3326" w:type="dxa"/>
            <w:vAlign w:val="top"/>
          </w:tcPr>
          <w:p w14:paraId="30CF8191">
            <w:pPr>
              <w:pStyle w:val="6"/>
              <w:spacing w:before="52" w:line="252" w:lineRule="auto"/>
              <w:ind w:left="3"/>
              <w:jc w:val="both"/>
            </w:pPr>
            <w:r>
              <w:rPr>
                <w:rFonts w:ascii="Times New Roman" w:hAnsi="Times New Roman" w:eastAsia="Times New Roman" w:cs="Times New Roman"/>
                <w:spacing w:val="9"/>
              </w:rPr>
              <w:t>3.</w:t>
            </w:r>
            <w:r>
              <w:rPr>
                <w:spacing w:val="9"/>
              </w:rPr>
              <w:t>加大重点流域水污染防治，确保水</w:t>
            </w:r>
            <w:r>
              <w:rPr>
                <w:spacing w:val="7"/>
              </w:rPr>
              <w:t>质满足标准。南盘江龚家坝、北盘江旧营桥等断面汇水区，新建、改建、</w:t>
            </w:r>
            <w:r>
              <w:rPr>
                <w:spacing w:val="21"/>
              </w:rPr>
              <w:t>扩建重点行业建设项目实行主要污</w:t>
            </w:r>
            <w:r>
              <w:rPr>
                <w:spacing w:val="11"/>
              </w:rPr>
              <w:t>染物排放减量置换。到</w:t>
            </w:r>
            <w:r>
              <w:rPr>
                <w:spacing w:val="-39"/>
              </w:rPr>
              <w:t xml:space="preserve"> </w:t>
            </w:r>
            <w:r>
              <w:rPr>
                <w:rFonts w:ascii="Times New Roman" w:hAnsi="Times New Roman" w:eastAsia="Times New Roman" w:cs="Times New Roman"/>
                <w:spacing w:val="11"/>
              </w:rPr>
              <w:t>2025</w:t>
            </w:r>
            <w:r>
              <w:rPr>
                <w:rFonts w:ascii="Times New Roman" w:hAnsi="Times New Roman" w:eastAsia="Times New Roman" w:cs="Times New Roman"/>
                <w:spacing w:val="18"/>
              </w:rPr>
              <w:t xml:space="preserve"> </w:t>
            </w:r>
            <w:r>
              <w:rPr>
                <w:spacing w:val="11"/>
              </w:rPr>
              <w:t>年，牛</w:t>
            </w:r>
            <w:r>
              <w:rPr>
                <w:spacing w:val="7"/>
              </w:rPr>
              <w:t>栏江、南盘江、北盘江流域内所有城</w:t>
            </w:r>
            <w:r>
              <w:rPr>
                <w:spacing w:val="21"/>
              </w:rPr>
              <w:t>镇区域内实现生活污水处理设施全</w:t>
            </w:r>
            <w:r>
              <w:rPr>
                <w:spacing w:val="8"/>
              </w:rPr>
              <w:t>覆盖、生活污水全处理。</w:t>
            </w:r>
          </w:p>
        </w:tc>
        <w:tc>
          <w:tcPr>
            <w:tcW w:w="2522" w:type="dxa"/>
            <w:vAlign w:val="top"/>
          </w:tcPr>
          <w:p w14:paraId="39D18A2F">
            <w:pPr>
              <w:pStyle w:val="6"/>
              <w:spacing w:before="53" w:line="244" w:lineRule="auto"/>
              <w:ind w:left="8"/>
            </w:pPr>
            <w:r>
              <w:rPr>
                <w:spacing w:val="2"/>
              </w:rPr>
              <w:t>本项目施工期废水经临时沉</w:t>
            </w:r>
            <w:r>
              <w:rPr>
                <w:spacing w:val="20"/>
              </w:rPr>
              <w:t>淀池处理后回用或洒水降</w:t>
            </w:r>
            <w:r>
              <w:rPr>
                <w:spacing w:val="2"/>
              </w:rPr>
              <w:t>尘，不外排；运营期本工程运行期变电站生活污水经化</w:t>
            </w:r>
            <w:r>
              <w:rPr>
                <w:spacing w:val="5"/>
              </w:rPr>
              <w:t>粪池（</w:t>
            </w:r>
            <w:r>
              <w:rPr>
                <w:rFonts w:ascii="Times New Roman" w:hAnsi="Times New Roman" w:eastAsia="Times New Roman" w:cs="Times New Roman"/>
                <w:spacing w:val="5"/>
              </w:rPr>
              <w:t>2m</w:t>
            </w:r>
            <w:r>
              <w:rPr>
                <w:rFonts w:ascii="Times New Roman" w:hAnsi="Times New Roman" w:eastAsia="Times New Roman" w:cs="Times New Roman"/>
                <w:spacing w:val="5"/>
                <w:position w:val="1"/>
                <w:sz w:val="13"/>
                <w:szCs w:val="13"/>
              </w:rPr>
              <w:t xml:space="preserve">3 </w:t>
            </w:r>
            <w:r>
              <w:rPr>
                <w:spacing w:val="5"/>
                <w:position w:val="1"/>
              </w:rPr>
              <w:t>）</w:t>
            </w:r>
            <w:r>
              <w:rPr>
                <w:spacing w:val="5"/>
              </w:rPr>
              <w:t>、一体化污水</w:t>
            </w:r>
            <w:r>
              <w:rPr>
                <w:spacing w:val="-1"/>
              </w:rPr>
              <w:t>处理设施（处理能力</w:t>
            </w:r>
            <w:r>
              <w:rPr>
                <w:spacing w:val="-39"/>
              </w:rPr>
              <w:t xml:space="preserve"> </w:t>
            </w:r>
            <w:r>
              <w:rPr>
                <w:rFonts w:ascii="Times New Roman" w:hAnsi="Times New Roman" w:eastAsia="Times New Roman" w:cs="Times New Roman"/>
                <w:spacing w:val="-1"/>
              </w:rPr>
              <w:t>0.5t/h</w:t>
            </w:r>
            <w:r>
              <w:rPr>
                <w:spacing w:val="-1"/>
              </w:rPr>
              <w:t>）</w:t>
            </w:r>
            <w:r>
              <w:rPr>
                <w:spacing w:val="1"/>
              </w:rPr>
              <w:t>处理后回用于进站大门两侧绿化带绿化洒水，不外排；</w:t>
            </w:r>
            <w:r>
              <w:rPr>
                <w:spacing w:val="4"/>
              </w:rPr>
              <w:t xml:space="preserve">同时设置 </w:t>
            </w:r>
            <w:r>
              <w:rPr>
                <w:rFonts w:ascii="Times New Roman" w:hAnsi="Times New Roman" w:eastAsia="Times New Roman" w:cs="Times New Roman"/>
                <w:spacing w:val="4"/>
              </w:rPr>
              <w:t>1</w:t>
            </w:r>
            <w:r>
              <w:rPr>
                <w:rFonts w:ascii="Times New Roman" w:hAnsi="Times New Roman" w:eastAsia="Times New Roman" w:cs="Times New Roman"/>
                <w:spacing w:val="43"/>
                <w:w w:val="101"/>
              </w:rPr>
              <w:t xml:space="preserve"> </w:t>
            </w:r>
            <w:r>
              <w:rPr>
                <w:spacing w:val="4"/>
              </w:rPr>
              <w:t>个</w:t>
            </w:r>
            <w:r>
              <w:rPr>
                <w:spacing w:val="-17"/>
              </w:rPr>
              <w:t xml:space="preserve"> </w:t>
            </w:r>
            <w:r>
              <w:rPr>
                <w:rFonts w:ascii="Times New Roman" w:hAnsi="Times New Roman" w:eastAsia="Times New Roman" w:cs="Times New Roman"/>
                <w:spacing w:val="4"/>
              </w:rPr>
              <w:t>5m</w:t>
            </w:r>
            <w:r>
              <w:rPr>
                <w:rFonts w:ascii="Times New Roman" w:hAnsi="Times New Roman" w:eastAsia="Times New Roman" w:cs="Times New Roman"/>
                <w:spacing w:val="4"/>
                <w:position w:val="6"/>
                <w:sz w:val="13"/>
                <w:szCs w:val="13"/>
              </w:rPr>
              <w:t xml:space="preserve">3  </w:t>
            </w:r>
            <w:r>
              <w:rPr>
                <w:spacing w:val="4"/>
              </w:rPr>
              <w:t>的中水</w:t>
            </w:r>
            <w:r>
              <w:rPr>
                <w:spacing w:val="-4"/>
              </w:rPr>
              <w:t>池。</w:t>
            </w:r>
          </w:p>
        </w:tc>
        <w:tc>
          <w:tcPr>
            <w:tcW w:w="790" w:type="dxa"/>
            <w:tcBorders>
              <w:right w:val="single" w:color="000000" w:sz="6" w:space="0"/>
            </w:tcBorders>
            <w:vAlign w:val="top"/>
          </w:tcPr>
          <w:p w14:paraId="238493F4">
            <w:pPr>
              <w:pStyle w:val="6"/>
              <w:spacing w:before="55" w:line="228" w:lineRule="auto"/>
              <w:ind w:left="159"/>
            </w:pPr>
            <w:r>
              <w:rPr>
                <w:spacing w:val="3"/>
              </w:rPr>
              <w:t>符合</w:t>
            </w:r>
          </w:p>
        </w:tc>
      </w:tr>
      <w:tr w14:paraId="59A24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3" w:hRule="atLeast"/>
        </w:trPr>
        <w:tc>
          <w:tcPr>
            <w:tcW w:w="411" w:type="dxa"/>
            <w:vMerge w:val="continue"/>
            <w:tcBorders>
              <w:top w:val="nil"/>
              <w:left w:val="single" w:color="000000" w:sz="6" w:space="0"/>
              <w:bottom w:val="nil"/>
            </w:tcBorders>
            <w:vAlign w:val="top"/>
          </w:tcPr>
          <w:p w14:paraId="7B2D2921">
            <w:pPr>
              <w:rPr>
                <w:rFonts w:ascii="Arial"/>
                <w:sz w:val="21"/>
              </w:rPr>
            </w:pPr>
          </w:p>
        </w:tc>
        <w:tc>
          <w:tcPr>
            <w:tcW w:w="68" w:type="dxa"/>
            <w:tcBorders>
              <w:top w:val="nil"/>
              <w:bottom w:val="nil"/>
            </w:tcBorders>
            <w:vAlign w:val="top"/>
          </w:tcPr>
          <w:p w14:paraId="39F3AFB5">
            <w:pPr>
              <w:rPr>
                <w:rFonts w:ascii="Arial"/>
                <w:sz w:val="21"/>
              </w:rPr>
            </w:pPr>
          </w:p>
        </w:tc>
        <w:tc>
          <w:tcPr>
            <w:tcW w:w="327" w:type="dxa"/>
            <w:vMerge w:val="continue"/>
            <w:tcBorders>
              <w:top w:val="nil"/>
              <w:bottom w:val="nil"/>
            </w:tcBorders>
            <w:vAlign w:val="top"/>
          </w:tcPr>
          <w:p w14:paraId="120E1F58">
            <w:pPr>
              <w:rPr>
                <w:rFonts w:ascii="Arial"/>
                <w:sz w:val="21"/>
              </w:rPr>
            </w:pPr>
          </w:p>
        </w:tc>
        <w:tc>
          <w:tcPr>
            <w:tcW w:w="371" w:type="dxa"/>
            <w:vMerge w:val="continue"/>
            <w:tcBorders>
              <w:top w:val="nil"/>
              <w:bottom w:val="nil"/>
            </w:tcBorders>
            <w:vAlign w:val="top"/>
          </w:tcPr>
          <w:p w14:paraId="7F0F688A">
            <w:pPr>
              <w:rPr>
                <w:rFonts w:ascii="Arial"/>
                <w:sz w:val="21"/>
              </w:rPr>
            </w:pPr>
          </w:p>
        </w:tc>
        <w:tc>
          <w:tcPr>
            <w:tcW w:w="319" w:type="dxa"/>
            <w:vMerge w:val="continue"/>
            <w:tcBorders>
              <w:top w:val="nil"/>
              <w:bottom w:val="nil"/>
            </w:tcBorders>
            <w:textDirection w:val="tbRlV"/>
            <w:vAlign w:val="top"/>
          </w:tcPr>
          <w:p w14:paraId="6389E4B9">
            <w:pPr>
              <w:rPr>
                <w:rFonts w:ascii="Arial"/>
                <w:sz w:val="21"/>
              </w:rPr>
            </w:pPr>
          </w:p>
        </w:tc>
        <w:tc>
          <w:tcPr>
            <w:tcW w:w="3326" w:type="dxa"/>
            <w:vAlign w:val="top"/>
          </w:tcPr>
          <w:p w14:paraId="5F56854B">
            <w:pPr>
              <w:pStyle w:val="6"/>
              <w:spacing w:before="67" w:line="246" w:lineRule="auto"/>
              <w:ind w:left="4" w:hanging="4"/>
              <w:jc w:val="both"/>
            </w:pPr>
            <w:r>
              <w:rPr>
                <w:rFonts w:ascii="Times New Roman" w:hAnsi="Times New Roman" w:eastAsia="Times New Roman" w:cs="Times New Roman"/>
                <w:spacing w:val="9"/>
              </w:rPr>
              <w:t>4.</w:t>
            </w:r>
            <w:r>
              <w:rPr>
                <w:spacing w:val="9"/>
              </w:rPr>
              <w:t>牛栏江等流域内，严格按照《云南</w:t>
            </w:r>
            <w:r>
              <w:rPr>
                <w:spacing w:val="-5"/>
              </w:rPr>
              <w:t>省牛栏江保护条例》《牛栏江流域（云</w:t>
            </w:r>
            <w:r>
              <w:rPr>
                <w:spacing w:val="7"/>
              </w:rPr>
              <w:t>南部分）水环境保护规划报告》及其中期评估报告有关要求，禁止在牛栏江水源保护区核心区新建、改建、扩建排污口。牛栏江流域上游保护区内已设置排污口的生产企业，排放水污</w:t>
            </w:r>
            <w:r>
              <w:rPr>
                <w:spacing w:val="21"/>
              </w:rPr>
              <w:t>染物应当符合国家或者地方规定的水污染物排放标准和重点水污染物</w:t>
            </w:r>
            <w:r>
              <w:rPr>
                <w:spacing w:val="7"/>
              </w:rPr>
              <w:t>排放总量控制指标。</w:t>
            </w:r>
          </w:p>
        </w:tc>
        <w:tc>
          <w:tcPr>
            <w:tcW w:w="2522" w:type="dxa"/>
            <w:vAlign w:val="top"/>
          </w:tcPr>
          <w:p w14:paraId="391A9C7D">
            <w:pPr>
              <w:pStyle w:val="6"/>
              <w:spacing w:before="57" w:line="246" w:lineRule="auto"/>
              <w:ind w:left="8"/>
            </w:pPr>
            <w:r>
              <w:rPr>
                <w:spacing w:val="2"/>
              </w:rPr>
              <w:t>本项目施工期废水经临时沉</w:t>
            </w:r>
            <w:r>
              <w:rPr>
                <w:spacing w:val="20"/>
              </w:rPr>
              <w:t>淀池处理后回用或洒水降</w:t>
            </w:r>
            <w:r>
              <w:rPr>
                <w:spacing w:val="2"/>
              </w:rPr>
              <w:t>尘，不外排；运营期本工程运行期变电站生活污水经化</w:t>
            </w:r>
            <w:r>
              <w:rPr>
                <w:spacing w:val="5"/>
              </w:rPr>
              <w:t>粪池（</w:t>
            </w:r>
            <w:r>
              <w:rPr>
                <w:rFonts w:ascii="Times New Roman" w:hAnsi="Times New Roman" w:eastAsia="Times New Roman" w:cs="Times New Roman"/>
                <w:spacing w:val="5"/>
              </w:rPr>
              <w:t>2m</w:t>
            </w:r>
            <w:r>
              <w:rPr>
                <w:rFonts w:ascii="Times New Roman" w:hAnsi="Times New Roman" w:eastAsia="Times New Roman" w:cs="Times New Roman"/>
                <w:spacing w:val="5"/>
                <w:position w:val="1"/>
                <w:sz w:val="13"/>
                <w:szCs w:val="13"/>
              </w:rPr>
              <w:t xml:space="preserve">3 </w:t>
            </w:r>
            <w:r>
              <w:rPr>
                <w:spacing w:val="5"/>
                <w:position w:val="1"/>
              </w:rPr>
              <w:t>）</w:t>
            </w:r>
            <w:r>
              <w:rPr>
                <w:spacing w:val="5"/>
              </w:rPr>
              <w:t>、一体化污水</w:t>
            </w:r>
            <w:r>
              <w:rPr>
                <w:spacing w:val="-1"/>
              </w:rPr>
              <w:t>处理设施（处理能力</w:t>
            </w:r>
            <w:r>
              <w:rPr>
                <w:spacing w:val="-39"/>
              </w:rPr>
              <w:t xml:space="preserve"> </w:t>
            </w:r>
            <w:r>
              <w:rPr>
                <w:rFonts w:ascii="Times New Roman" w:hAnsi="Times New Roman" w:eastAsia="Times New Roman" w:cs="Times New Roman"/>
                <w:spacing w:val="-1"/>
              </w:rPr>
              <w:t>0.5t/h</w:t>
            </w:r>
            <w:r>
              <w:rPr>
                <w:spacing w:val="-1"/>
              </w:rPr>
              <w:t>）</w:t>
            </w:r>
            <w:r>
              <w:rPr>
                <w:spacing w:val="1"/>
              </w:rPr>
              <w:t>处理后回用于进站大门两侧绿化带绿化洒水，不外排；</w:t>
            </w:r>
            <w:r>
              <w:rPr>
                <w:spacing w:val="4"/>
              </w:rPr>
              <w:t xml:space="preserve">同时设置 </w:t>
            </w:r>
            <w:r>
              <w:rPr>
                <w:rFonts w:ascii="Times New Roman" w:hAnsi="Times New Roman" w:eastAsia="Times New Roman" w:cs="Times New Roman"/>
                <w:spacing w:val="4"/>
              </w:rPr>
              <w:t>1</w:t>
            </w:r>
            <w:r>
              <w:rPr>
                <w:rFonts w:ascii="Times New Roman" w:hAnsi="Times New Roman" w:eastAsia="Times New Roman" w:cs="Times New Roman"/>
                <w:spacing w:val="43"/>
                <w:w w:val="101"/>
              </w:rPr>
              <w:t xml:space="preserve"> </w:t>
            </w:r>
            <w:r>
              <w:rPr>
                <w:spacing w:val="4"/>
              </w:rPr>
              <w:t>个</w:t>
            </w:r>
            <w:r>
              <w:rPr>
                <w:spacing w:val="-17"/>
              </w:rPr>
              <w:t xml:space="preserve"> </w:t>
            </w:r>
            <w:r>
              <w:rPr>
                <w:rFonts w:ascii="Times New Roman" w:hAnsi="Times New Roman" w:eastAsia="Times New Roman" w:cs="Times New Roman"/>
                <w:spacing w:val="4"/>
              </w:rPr>
              <w:t>5m</w:t>
            </w:r>
            <w:r>
              <w:rPr>
                <w:rFonts w:ascii="Times New Roman" w:hAnsi="Times New Roman" w:eastAsia="Times New Roman" w:cs="Times New Roman"/>
                <w:spacing w:val="4"/>
                <w:position w:val="6"/>
                <w:sz w:val="13"/>
                <w:szCs w:val="13"/>
              </w:rPr>
              <w:t xml:space="preserve">3  </w:t>
            </w:r>
            <w:r>
              <w:rPr>
                <w:spacing w:val="4"/>
              </w:rPr>
              <w:t>的中水</w:t>
            </w:r>
            <w:r>
              <w:rPr>
                <w:spacing w:val="-4"/>
              </w:rPr>
              <w:t>池。</w:t>
            </w:r>
          </w:p>
        </w:tc>
        <w:tc>
          <w:tcPr>
            <w:tcW w:w="790" w:type="dxa"/>
            <w:tcBorders>
              <w:right w:val="single" w:color="000000" w:sz="6" w:space="0"/>
            </w:tcBorders>
            <w:vAlign w:val="top"/>
          </w:tcPr>
          <w:p w14:paraId="1ABF2C56">
            <w:pPr>
              <w:pStyle w:val="6"/>
              <w:spacing w:before="62" w:line="228" w:lineRule="auto"/>
              <w:ind w:left="159"/>
            </w:pPr>
            <w:r>
              <w:rPr>
                <w:spacing w:val="3"/>
              </w:rPr>
              <w:t>符合</w:t>
            </w:r>
          </w:p>
        </w:tc>
      </w:tr>
      <w:tr w14:paraId="5AF4DF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411" w:type="dxa"/>
            <w:vMerge w:val="continue"/>
            <w:tcBorders>
              <w:top w:val="nil"/>
              <w:left w:val="single" w:color="000000" w:sz="6" w:space="0"/>
              <w:bottom w:val="nil"/>
            </w:tcBorders>
            <w:vAlign w:val="top"/>
          </w:tcPr>
          <w:p w14:paraId="40C020F5">
            <w:pPr>
              <w:rPr>
                <w:rFonts w:ascii="Arial"/>
                <w:sz w:val="21"/>
              </w:rPr>
            </w:pPr>
          </w:p>
        </w:tc>
        <w:tc>
          <w:tcPr>
            <w:tcW w:w="68" w:type="dxa"/>
            <w:tcBorders>
              <w:top w:val="nil"/>
              <w:bottom w:val="nil"/>
            </w:tcBorders>
            <w:vAlign w:val="top"/>
          </w:tcPr>
          <w:p w14:paraId="0FB0ACDB">
            <w:pPr>
              <w:rPr>
                <w:rFonts w:ascii="Arial"/>
                <w:sz w:val="21"/>
              </w:rPr>
            </w:pPr>
          </w:p>
        </w:tc>
        <w:tc>
          <w:tcPr>
            <w:tcW w:w="327" w:type="dxa"/>
            <w:vMerge w:val="continue"/>
            <w:tcBorders>
              <w:top w:val="nil"/>
              <w:bottom w:val="nil"/>
            </w:tcBorders>
            <w:vAlign w:val="top"/>
          </w:tcPr>
          <w:p w14:paraId="3AE7E7E4">
            <w:pPr>
              <w:rPr>
                <w:rFonts w:ascii="Arial"/>
                <w:sz w:val="21"/>
              </w:rPr>
            </w:pPr>
          </w:p>
        </w:tc>
        <w:tc>
          <w:tcPr>
            <w:tcW w:w="371" w:type="dxa"/>
            <w:vMerge w:val="continue"/>
            <w:tcBorders>
              <w:top w:val="nil"/>
              <w:bottom w:val="nil"/>
            </w:tcBorders>
            <w:vAlign w:val="top"/>
          </w:tcPr>
          <w:p w14:paraId="7879F390">
            <w:pPr>
              <w:rPr>
                <w:rFonts w:ascii="Arial"/>
                <w:sz w:val="21"/>
              </w:rPr>
            </w:pPr>
          </w:p>
        </w:tc>
        <w:tc>
          <w:tcPr>
            <w:tcW w:w="319" w:type="dxa"/>
            <w:vMerge w:val="continue"/>
            <w:tcBorders>
              <w:top w:val="nil"/>
              <w:bottom w:val="nil"/>
            </w:tcBorders>
            <w:textDirection w:val="tbRlV"/>
            <w:vAlign w:val="top"/>
          </w:tcPr>
          <w:p w14:paraId="46871F2A">
            <w:pPr>
              <w:rPr>
                <w:rFonts w:ascii="Arial"/>
                <w:sz w:val="21"/>
              </w:rPr>
            </w:pPr>
          </w:p>
        </w:tc>
        <w:tc>
          <w:tcPr>
            <w:tcW w:w="3326" w:type="dxa"/>
            <w:vAlign w:val="top"/>
          </w:tcPr>
          <w:p w14:paraId="46D859CA">
            <w:pPr>
              <w:pStyle w:val="6"/>
              <w:spacing w:before="42" w:line="228" w:lineRule="auto"/>
              <w:ind w:left="3" w:right="1" w:firstLine="1"/>
              <w:jc w:val="both"/>
            </w:pPr>
            <w:r>
              <w:rPr>
                <w:rFonts w:ascii="Times New Roman" w:hAnsi="Times New Roman" w:eastAsia="Times New Roman" w:cs="Times New Roman"/>
                <w:spacing w:val="9"/>
              </w:rPr>
              <w:t>5.</w:t>
            </w:r>
            <w:r>
              <w:rPr>
                <w:spacing w:val="9"/>
              </w:rPr>
              <w:t>严格保护集中式饮用水水源地，整</w:t>
            </w:r>
            <w:r>
              <w:rPr>
                <w:spacing w:val="7"/>
              </w:rPr>
              <w:t>治饮用水源保护区内的污染源，确保</w:t>
            </w:r>
            <w:r>
              <w:rPr>
                <w:spacing w:val="5"/>
              </w:rPr>
              <w:t>饮水安全。</w:t>
            </w:r>
          </w:p>
        </w:tc>
        <w:tc>
          <w:tcPr>
            <w:tcW w:w="2522" w:type="dxa"/>
            <w:vAlign w:val="top"/>
          </w:tcPr>
          <w:p w14:paraId="33480A80">
            <w:pPr>
              <w:pStyle w:val="6"/>
              <w:spacing w:before="44" w:line="254" w:lineRule="auto"/>
              <w:ind w:left="24" w:hanging="12"/>
            </w:pPr>
            <w:r>
              <w:rPr>
                <w:spacing w:val="8"/>
              </w:rPr>
              <w:t>项目不涉及饮用水水源保护</w:t>
            </w:r>
            <w:r>
              <w:rPr>
                <w:spacing w:val="-8"/>
              </w:rPr>
              <w:t>区。</w:t>
            </w:r>
          </w:p>
        </w:tc>
        <w:tc>
          <w:tcPr>
            <w:tcW w:w="790" w:type="dxa"/>
            <w:tcBorders>
              <w:right w:val="single" w:color="000000" w:sz="6" w:space="0"/>
            </w:tcBorders>
            <w:vAlign w:val="top"/>
          </w:tcPr>
          <w:p w14:paraId="67213F37">
            <w:pPr>
              <w:pStyle w:val="6"/>
              <w:spacing w:before="43" w:line="228" w:lineRule="auto"/>
              <w:ind w:left="159"/>
            </w:pPr>
            <w:r>
              <w:rPr>
                <w:spacing w:val="3"/>
              </w:rPr>
              <w:t>符合</w:t>
            </w:r>
          </w:p>
        </w:tc>
      </w:tr>
      <w:tr w14:paraId="3234F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9" w:hRule="atLeast"/>
        </w:trPr>
        <w:tc>
          <w:tcPr>
            <w:tcW w:w="411" w:type="dxa"/>
            <w:vMerge w:val="continue"/>
            <w:tcBorders>
              <w:top w:val="nil"/>
              <w:left w:val="single" w:color="000000" w:sz="6" w:space="0"/>
              <w:bottom w:val="single" w:color="000000" w:sz="6" w:space="0"/>
            </w:tcBorders>
            <w:vAlign w:val="top"/>
          </w:tcPr>
          <w:p w14:paraId="48E1B0F6">
            <w:pPr>
              <w:rPr>
                <w:rFonts w:ascii="Arial"/>
                <w:sz w:val="21"/>
              </w:rPr>
            </w:pPr>
          </w:p>
        </w:tc>
        <w:tc>
          <w:tcPr>
            <w:tcW w:w="68" w:type="dxa"/>
            <w:tcBorders>
              <w:top w:val="nil"/>
              <w:bottom w:val="single" w:color="000000" w:sz="6" w:space="0"/>
            </w:tcBorders>
            <w:vAlign w:val="top"/>
          </w:tcPr>
          <w:p w14:paraId="056A9F39">
            <w:pPr>
              <w:rPr>
                <w:rFonts w:ascii="Arial"/>
                <w:sz w:val="21"/>
              </w:rPr>
            </w:pPr>
          </w:p>
        </w:tc>
        <w:tc>
          <w:tcPr>
            <w:tcW w:w="327" w:type="dxa"/>
            <w:vMerge w:val="continue"/>
            <w:tcBorders>
              <w:top w:val="nil"/>
              <w:bottom w:val="single" w:color="000000" w:sz="6" w:space="0"/>
            </w:tcBorders>
            <w:vAlign w:val="top"/>
          </w:tcPr>
          <w:p w14:paraId="2D35BD96">
            <w:pPr>
              <w:rPr>
                <w:rFonts w:ascii="Arial"/>
                <w:sz w:val="21"/>
              </w:rPr>
            </w:pPr>
          </w:p>
        </w:tc>
        <w:tc>
          <w:tcPr>
            <w:tcW w:w="371" w:type="dxa"/>
            <w:vMerge w:val="continue"/>
            <w:tcBorders>
              <w:top w:val="nil"/>
              <w:bottom w:val="single" w:color="000000" w:sz="6" w:space="0"/>
            </w:tcBorders>
            <w:vAlign w:val="top"/>
          </w:tcPr>
          <w:p w14:paraId="7EAE0AEF">
            <w:pPr>
              <w:rPr>
                <w:rFonts w:ascii="Arial"/>
                <w:sz w:val="21"/>
              </w:rPr>
            </w:pPr>
          </w:p>
        </w:tc>
        <w:tc>
          <w:tcPr>
            <w:tcW w:w="319" w:type="dxa"/>
            <w:vMerge w:val="continue"/>
            <w:tcBorders>
              <w:top w:val="nil"/>
              <w:bottom w:val="single" w:color="000000" w:sz="6" w:space="0"/>
            </w:tcBorders>
            <w:textDirection w:val="tbRlV"/>
            <w:vAlign w:val="top"/>
          </w:tcPr>
          <w:p w14:paraId="7465F7B3">
            <w:pPr>
              <w:rPr>
                <w:rFonts w:ascii="Arial"/>
                <w:sz w:val="21"/>
              </w:rPr>
            </w:pPr>
          </w:p>
        </w:tc>
        <w:tc>
          <w:tcPr>
            <w:tcW w:w="3326" w:type="dxa"/>
            <w:tcBorders>
              <w:bottom w:val="single" w:color="000000" w:sz="6" w:space="0"/>
            </w:tcBorders>
            <w:vAlign w:val="top"/>
          </w:tcPr>
          <w:p w14:paraId="070108FF">
            <w:pPr>
              <w:pStyle w:val="6"/>
              <w:spacing w:before="65" w:line="248" w:lineRule="auto"/>
              <w:ind w:left="3"/>
              <w:jc w:val="both"/>
            </w:pPr>
            <w:r>
              <w:rPr>
                <w:rFonts w:ascii="Times New Roman" w:hAnsi="Times New Roman" w:eastAsia="Times New Roman" w:cs="Times New Roman"/>
                <w:spacing w:val="9"/>
              </w:rPr>
              <w:t>6.</w:t>
            </w:r>
            <w:r>
              <w:rPr>
                <w:spacing w:val="9"/>
              </w:rPr>
              <w:t>全面开展城市（县城）排水管网排</w:t>
            </w:r>
            <w:r>
              <w:rPr>
                <w:spacing w:val="21"/>
              </w:rPr>
              <w:t>查整治，消除城市建成区管网空白</w:t>
            </w:r>
            <w:r>
              <w:rPr>
                <w:spacing w:val="7"/>
              </w:rPr>
              <w:t>区、污水直排口，解决雨污混流、管网破损漏损、错接混接等问题。加大</w:t>
            </w:r>
            <w:r>
              <w:rPr>
                <w:spacing w:val="21"/>
              </w:rPr>
              <w:t>城市生活污水提标改造及扩容工作</w:t>
            </w:r>
          </w:p>
        </w:tc>
        <w:tc>
          <w:tcPr>
            <w:tcW w:w="2522" w:type="dxa"/>
            <w:tcBorders>
              <w:bottom w:val="single" w:color="000000" w:sz="6" w:space="0"/>
            </w:tcBorders>
            <w:vAlign w:val="top"/>
          </w:tcPr>
          <w:p w14:paraId="74AD1B3C">
            <w:pPr>
              <w:pStyle w:val="6"/>
              <w:spacing w:before="66" w:line="246" w:lineRule="auto"/>
              <w:ind w:left="8"/>
              <w:jc w:val="both"/>
            </w:pPr>
            <w:r>
              <w:rPr>
                <w:spacing w:val="8"/>
              </w:rPr>
              <w:t>本项目施工期废水经临时沉</w:t>
            </w:r>
            <w:r>
              <w:rPr>
                <w:spacing w:val="27"/>
              </w:rPr>
              <w:t>淀池处理后回用或洒水降</w:t>
            </w:r>
            <w:r>
              <w:rPr>
                <w:spacing w:val="8"/>
              </w:rPr>
              <w:t>尘，不外排；运营期本工程</w:t>
            </w:r>
            <w:r>
              <w:rPr>
                <w:spacing w:val="9"/>
              </w:rPr>
              <w:t>运行期变电站生活污水经化</w:t>
            </w:r>
            <w:r>
              <w:rPr>
                <w:spacing w:val="11"/>
              </w:rPr>
              <w:t>粪池（</w:t>
            </w:r>
            <w:r>
              <w:rPr>
                <w:rFonts w:ascii="Times New Roman" w:hAnsi="Times New Roman" w:eastAsia="Times New Roman" w:cs="Times New Roman"/>
                <w:spacing w:val="11"/>
              </w:rPr>
              <w:t>2m</w:t>
            </w:r>
            <w:r>
              <w:rPr>
                <w:rFonts w:ascii="Times New Roman" w:hAnsi="Times New Roman" w:eastAsia="Times New Roman" w:cs="Times New Roman"/>
                <w:spacing w:val="11"/>
                <w:position w:val="1"/>
                <w:sz w:val="13"/>
                <w:szCs w:val="13"/>
              </w:rPr>
              <w:t xml:space="preserve">3 </w:t>
            </w:r>
            <w:r>
              <w:rPr>
                <w:spacing w:val="11"/>
                <w:position w:val="1"/>
              </w:rPr>
              <w:t>）</w:t>
            </w:r>
            <w:r>
              <w:rPr>
                <w:spacing w:val="11"/>
              </w:rPr>
              <w:t>、一体化污水</w:t>
            </w:r>
          </w:p>
        </w:tc>
        <w:tc>
          <w:tcPr>
            <w:tcW w:w="790" w:type="dxa"/>
            <w:tcBorders>
              <w:bottom w:val="single" w:color="000000" w:sz="6" w:space="0"/>
              <w:right w:val="single" w:color="000000" w:sz="6" w:space="0"/>
            </w:tcBorders>
            <w:vAlign w:val="top"/>
          </w:tcPr>
          <w:p w14:paraId="30BD328A">
            <w:pPr>
              <w:pStyle w:val="6"/>
              <w:spacing w:before="65" w:line="228" w:lineRule="auto"/>
              <w:ind w:left="159"/>
            </w:pPr>
            <w:r>
              <w:rPr>
                <w:spacing w:val="3"/>
              </w:rPr>
              <w:t>符合</w:t>
            </w:r>
          </w:p>
        </w:tc>
      </w:tr>
    </w:tbl>
    <w:p w14:paraId="633EC740">
      <w:pPr>
        <w:rPr>
          <w:rFonts w:ascii="Arial"/>
          <w:sz w:val="21"/>
        </w:rPr>
      </w:pPr>
    </w:p>
    <w:p w14:paraId="28BFC9C3">
      <w:pPr>
        <w:rPr>
          <w:rFonts w:ascii="Arial" w:hAnsi="Arial" w:eastAsia="Arial" w:cs="Arial"/>
          <w:sz w:val="21"/>
          <w:szCs w:val="21"/>
        </w:rPr>
        <w:sectPr>
          <w:footerReference r:id="rId21" w:type="default"/>
          <w:pgSz w:w="11907" w:h="16840"/>
          <w:pgMar w:top="400" w:right="1786" w:bottom="1240" w:left="1774" w:header="0" w:footer="1077" w:gutter="0"/>
          <w:cols w:space="720" w:num="1"/>
        </w:sectPr>
      </w:pPr>
    </w:p>
    <w:p w14:paraId="1AFA1439">
      <w:pPr>
        <w:spacing w:before="19"/>
      </w:pPr>
    </w:p>
    <w:p w14:paraId="3ED046BF">
      <w:pPr>
        <w:spacing w:before="19"/>
      </w:pPr>
    </w:p>
    <w:p w14:paraId="6FF65554">
      <w:pPr>
        <w:spacing w:before="18"/>
      </w:pPr>
    </w:p>
    <w:p w14:paraId="2820960F">
      <w:pPr>
        <w:spacing w:before="18"/>
      </w:pPr>
    </w:p>
    <w:tbl>
      <w:tblPr>
        <w:tblStyle w:val="5"/>
        <w:tblW w:w="813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1"/>
        <w:gridCol w:w="68"/>
        <w:gridCol w:w="327"/>
        <w:gridCol w:w="371"/>
        <w:gridCol w:w="319"/>
        <w:gridCol w:w="3326"/>
        <w:gridCol w:w="2522"/>
        <w:gridCol w:w="790"/>
      </w:tblGrid>
      <w:tr w14:paraId="5F97D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7" w:hRule="atLeast"/>
        </w:trPr>
        <w:tc>
          <w:tcPr>
            <w:tcW w:w="411" w:type="dxa"/>
            <w:vMerge w:val="restart"/>
            <w:tcBorders>
              <w:top w:val="single" w:color="000000" w:sz="6" w:space="0"/>
              <w:left w:val="single" w:color="000000" w:sz="6" w:space="0"/>
              <w:bottom w:val="nil"/>
            </w:tcBorders>
            <w:vAlign w:val="top"/>
          </w:tcPr>
          <w:p w14:paraId="0CE28CE3">
            <w:pPr>
              <w:rPr>
                <w:rFonts w:ascii="Arial"/>
                <w:sz w:val="21"/>
              </w:rPr>
            </w:pPr>
          </w:p>
        </w:tc>
        <w:tc>
          <w:tcPr>
            <w:tcW w:w="68" w:type="dxa"/>
            <w:tcBorders>
              <w:top w:val="single" w:color="000000" w:sz="6" w:space="0"/>
              <w:bottom w:val="nil"/>
            </w:tcBorders>
            <w:vAlign w:val="top"/>
          </w:tcPr>
          <w:p w14:paraId="68B9B459">
            <w:pPr>
              <w:rPr>
                <w:rFonts w:ascii="Arial"/>
                <w:sz w:val="21"/>
              </w:rPr>
            </w:pPr>
          </w:p>
        </w:tc>
        <w:tc>
          <w:tcPr>
            <w:tcW w:w="327" w:type="dxa"/>
            <w:vMerge w:val="restart"/>
            <w:tcBorders>
              <w:top w:val="single" w:color="000000" w:sz="6" w:space="0"/>
              <w:bottom w:val="nil"/>
            </w:tcBorders>
            <w:vAlign w:val="top"/>
          </w:tcPr>
          <w:p w14:paraId="6E6E885C">
            <w:pPr>
              <w:rPr>
                <w:rFonts w:ascii="Arial"/>
                <w:sz w:val="21"/>
              </w:rPr>
            </w:pPr>
          </w:p>
        </w:tc>
        <w:tc>
          <w:tcPr>
            <w:tcW w:w="371" w:type="dxa"/>
            <w:vMerge w:val="restart"/>
            <w:tcBorders>
              <w:top w:val="single" w:color="000000" w:sz="6" w:space="0"/>
              <w:bottom w:val="nil"/>
            </w:tcBorders>
            <w:vAlign w:val="top"/>
          </w:tcPr>
          <w:p w14:paraId="656521B3">
            <w:pPr>
              <w:rPr>
                <w:rFonts w:ascii="Arial"/>
                <w:sz w:val="21"/>
              </w:rPr>
            </w:pPr>
          </w:p>
        </w:tc>
        <w:tc>
          <w:tcPr>
            <w:tcW w:w="319" w:type="dxa"/>
            <w:vMerge w:val="restart"/>
            <w:tcBorders>
              <w:top w:val="single" w:color="000000" w:sz="6" w:space="0"/>
              <w:bottom w:val="nil"/>
            </w:tcBorders>
            <w:vAlign w:val="top"/>
          </w:tcPr>
          <w:p w14:paraId="7FD32967">
            <w:pPr>
              <w:rPr>
                <w:rFonts w:ascii="Arial"/>
                <w:sz w:val="21"/>
              </w:rPr>
            </w:pPr>
          </w:p>
        </w:tc>
        <w:tc>
          <w:tcPr>
            <w:tcW w:w="3326" w:type="dxa"/>
            <w:tcBorders>
              <w:top w:val="single" w:color="000000" w:sz="6" w:space="0"/>
            </w:tcBorders>
            <w:vAlign w:val="top"/>
          </w:tcPr>
          <w:p w14:paraId="0379EE25">
            <w:pPr>
              <w:pStyle w:val="6"/>
              <w:spacing w:before="54" w:line="248" w:lineRule="auto"/>
              <w:ind w:firstLine="7"/>
              <w:jc w:val="both"/>
            </w:pPr>
            <w:r>
              <w:rPr>
                <w:spacing w:val="2"/>
              </w:rPr>
              <w:t>力度，麒麟区、沾益区、曲靖经开区</w:t>
            </w:r>
            <w:r>
              <w:rPr>
                <w:spacing w:val="3"/>
              </w:rPr>
              <w:t>新、改、扩建城市生活污水集中处理</w:t>
            </w:r>
            <w:r>
              <w:rPr>
                <w:spacing w:val="16"/>
              </w:rPr>
              <w:t>设施及工业园区污水集中处理设施</w:t>
            </w:r>
            <w:r>
              <w:rPr>
                <w:spacing w:val="3"/>
              </w:rPr>
              <w:t>污染物排放标准严格执行《地表水环</w:t>
            </w:r>
            <w:r>
              <w:rPr>
                <w:spacing w:val="13"/>
              </w:rPr>
              <w:t>境质量标准》</w:t>
            </w:r>
            <w:r>
              <w:rPr>
                <w:spacing w:val="-55"/>
              </w:rPr>
              <w:t xml:space="preserve"> </w:t>
            </w:r>
            <w:r>
              <w:rPr>
                <w:rFonts w:ascii="Times New Roman" w:hAnsi="Times New Roman" w:eastAsia="Times New Roman" w:cs="Times New Roman"/>
                <w:spacing w:val="13"/>
              </w:rPr>
              <w:t>Ⅳ</w:t>
            </w:r>
            <w:r>
              <w:rPr>
                <w:spacing w:val="13"/>
              </w:rPr>
              <w:t>类标准（其中总氮</w:t>
            </w:r>
            <w:r>
              <w:rPr>
                <w:rFonts w:ascii="Times New Roman" w:hAnsi="Times New Roman" w:eastAsia="Times New Roman" w:cs="Times New Roman"/>
              </w:rPr>
              <w:t>&lt;10mg/L</w:t>
            </w:r>
            <w:r>
              <w:rPr>
                <w:rFonts w:ascii="Times New Roman" w:hAnsi="Times New Roman" w:eastAsia="Times New Roman" w:cs="Times New Roman"/>
                <w:spacing w:val="-17"/>
              </w:rPr>
              <w:t xml:space="preserve"> </w:t>
            </w:r>
            <w:r>
              <w:t>，粪大肠菌群</w:t>
            </w:r>
            <w:r>
              <w:rPr>
                <w:rFonts w:ascii="Times New Roman" w:hAnsi="Times New Roman" w:eastAsia="Times New Roman" w:cs="Times New Roman"/>
              </w:rPr>
              <w:t xml:space="preserve">&lt;1000 </w:t>
            </w:r>
            <w:r>
              <w:t>个</w:t>
            </w:r>
            <w:r>
              <w:rPr>
                <w:rFonts w:ascii="Times New Roman" w:hAnsi="Times New Roman" w:eastAsia="Times New Roman" w:cs="Times New Roman"/>
              </w:rPr>
              <w:t>/L</w:t>
            </w:r>
            <w:r>
              <w:t>）。</w:t>
            </w:r>
            <w:r>
              <w:rPr>
                <w:spacing w:val="3"/>
              </w:rPr>
              <w:t>陆良县、宣威市根据水生态环境质量变化趋势适时推进执行《地表水环境</w:t>
            </w:r>
            <w:r>
              <w:rPr>
                <w:spacing w:val="15"/>
              </w:rPr>
              <w:t>质量标准</w:t>
            </w:r>
            <w:r>
              <w:rPr>
                <w:spacing w:val="-42"/>
              </w:rPr>
              <w:t xml:space="preserve"> </w:t>
            </w:r>
            <w:r>
              <w:rPr>
                <w:spacing w:val="15"/>
              </w:rPr>
              <w:t>》</w:t>
            </w:r>
            <w:r>
              <w:rPr>
                <w:spacing w:val="-64"/>
              </w:rPr>
              <w:t xml:space="preserve"> </w:t>
            </w:r>
            <w:r>
              <w:rPr>
                <w:rFonts w:ascii="Times New Roman" w:hAnsi="Times New Roman" w:eastAsia="Times New Roman" w:cs="Times New Roman"/>
                <w:spacing w:val="15"/>
              </w:rPr>
              <w:t>Ⅳ</w:t>
            </w:r>
            <w:r>
              <w:rPr>
                <w:rFonts w:ascii="Times New Roman" w:hAnsi="Times New Roman" w:eastAsia="Times New Roman" w:cs="Times New Roman"/>
                <w:spacing w:val="-13"/>
              </w:rPr>
              <w:t xml:space="preserve"> </w:t>
            </w:r>
            <w:r>
              <w:rPr>
                <w:spacing w:val="15"/>
              </w:rPr>
              <w:t>类标准（其</w:t>
            </w:r>
            <w:r>
              <w:rPr>
                <w:spacing w:val="-43"/>
              </w:rPr>
              <w:t xml:space="preserve"> </w:t>
            </w:r>
            <w:r>
              <w:rPr>
                <w:spacing w:val="15"/>
              </w:rPr>
              <w:t>中</w:t>
            </w:r>
            <w:r>
              <w:rPr>
                <w:spacing w:val="-58"/>
              </w:rPr>
              <w:t xml:space="preserve"> </w:t>
            </w:r>
            <w:r>
              <w:rPr>
                <w:spacing w:val="15"/>
              </w:rPr>
              <w:t>总氮</w:t>
            </w:r>
            <w:r>
              <w:rPr>
                <w:rFonts w:ascii="Times New Roman" w:hAnsi="Times New Roman" w:eastAsia="Times New Roman" w:cs="Times New Roman"/>
              </w:rPr>
              <w:t>&lt;10mg/L</w:t>
            </w:r>
            <w:r>
              <w:rPr>
                <w:rFonts w:ascii="Times New Roman" w:hAnsi="Times New Roman" w:eastAsia="Times New Roman" w:cs="Times New Roman"/>
                <w:spacing w:val="-17"/>
              </w:rPr>
              <w:t xml:space="preserve"> </w:t>
            </w:r>
            <w:r>
              <w:t>，粪大肠菌群</w:t>
            </w:r>
            <w:r>
              <w:rPr>
                <w:rFonts w:ascii="Times New Roman" w:hAnsi="Times New Roman" w:eastAsia="Times New Roman" w:cs="Times New Roman"/>
              </w:rPr>
              <w:t xml:space="preserve">&lt;1000 </w:t>
            </w:r>
            <w:r>
              <w:t>个</w:t>
            </w:r>
            <w:r>
              <w:rPr>
                <w:rFonts w:ascii="Times New Roman" w:hAnsi="Times New Roman" w:eastAsia="Times New Roman" w:cs="Times New Roman"/>
              </w:rPr>
              <w:t>/L</w:t>
            </w:r>
            <w:r>
              <w:t>）。</w:t>
            </w:r>
            <w:r>
              <w:rPr>
                <w:spacing w:val="3"/>
              </w:rPr>
              <w:t>其他县（市、区）执行《城镇污水处</w:t>
            </w:r>
            <w:r>
              <w:rPr>
                <w:spacing w:val="-1"/>
              </w:rPr>
              <w:t>理厂污染物排放标准》一级标准</w:t>
            </w:r>
            <w:r>
              <w:rPr>
                <w:spacing w:val="-39"/>
              </w:rPr>
              <w:t xml:space="preserve"> </w:t>
            </w:r>
            <w:r>
              <w:rPr>
                <w:rFonts w:ascii="Times New Roman" w:hAnsi="Times New Roman" w:eastAsia="Times New Roman" w:cs="Times New Roman"/>
                <w:spacing w:val="-1"/>
              </w:rPr>
              <w:t>A</w:t>
            </w:r>
            <w:r>
              <w:rPr>
                <w:rFonts w:ascii="Times New Roman" w:hAnsi="Times New Roman" w:eastAsia="Times New Roman" w:cs="Times New Roman"/>
                <w:spacing w:val="13"/>
                <w:w w:val="101"/>
              </w:rPr>
              <w:t xml:space="preserve"> </w:t>
            </w:r>
            <w:r>
              <w:rPr>
                <w:spacing w:val="-1"/>
              </w:rPr>
              <w:t>标</w:t>
            </w:r>
            <w:r>
              <w:t>准。</w:t>
            </w:r>
          </w:p>
        </w:tc>
        <w:tc>
          <w:tcPr>
            <w:tcW w:w="2522" w:type="dxa"/>
            <w:tcBorders>
              <w:top w:val="single" w:color="000000" w:sz="6" w:space="0"/>
            </w:tcBorders>
            <w:vAlign w:val="top"/>
          </w:tcPr>
          <w:p w14:paraId="7A0D79A1">
            <w:pPr>
              <w:pStyle w:val="6"/>
              <w:spacing w:before="60" w:line="253" w:lineRule="auto"/>
              <w:ind w:left="8" w:firstLine="4"/>
            </w:pPr>
            <w:r>
              <w:rPr>
                <w:spacing w:val="-1"/>
              </w:rPr>
              <w:t>处理设施（处理能力</w:t>
            </w:r>
            <w:r>
              <w:rPr>
                <w:spacing w:val="-42"/>
              </w:rPr>
              <w:t xml:space="preserve"> </w:t>
            </w:r>
            <w:r>
              <w:rPr>
                <w:rFonts w:ascii="Times New Roman" w:hAnsi="Times New Roman" w:eastAsia="Times New Roman" w:cs="Times New Roman"/>
                <w:spacing w:val="-1"/>
              </w:rPr>
              <w:t>0.5t/h</w:t>
            </w:r>
            <w:r>
              <w:rPr>
                <w:spacing w:val="-1"/>
              </w:rPr>
              <w:t>）</w:t>
            </w:r>
            <w:r>
              <w:rPr>
                <w:spacing w:val="1"/>
              </w:rPr>
              <w:t>处理后回用于进站大门两侧绿化带绿化洒水，不外排；</w:t>
            </w:r>
            <w:r>
              <w:rPr>
                <w:spacing w:val="4"/>
              </w:rPr>
              <w:t xml:space="preserve">同时设置 </w:t>
            </w:r>
            <w:r>
              <w:rPr>
                <w:rFonts w:ascii="Times New Roman" w:hAnsi="Times New Roman" w:eastAsia="Times New Roman" w:cs="Times New Roman"/>
                <w:spacing w:val="4"/>
              </w:rPr>
              <w:t>1</w:t>
            </w:r>
            <w:r>
              <w:rPr>
                <w:rFonts w:ascii="Times New Roman" w:hAnsi="Times New Roman" w:eastAsia="Times New Roman" w:cs="Times New Roman"/>
                <w:spacing w:val="43"/>
                <w:w w:val="101"/>
              </w:rPr>
              <w:t xml:space="preserve"> </w:t>
            </w:r>
            <w:r>
              <w:rPr>
                <w:spacing w:val="4"/>
              </w:rPr>
              <w:t>个</w:t>
            </w:r>
            <w:r>
              <w:rPr>
                <w:spacing w:val="-17"/>
              </w:rPr>
              <w:t xml:space="preserve"> </w:t>
            </w:r>
            <w:r>
              <w:rPr>
                <w:rFonts w:ascii="Times New Roman" w:hAnsi="Times New Roman" w:eastAsia="Times New Roman" w:cs="Times New Roman"/>
                <w:spacing w:val="4"/>
              </w:rPr>
              <w:t>5m</w:t>
            </w:r>
            <w:r>
              <w:rPr>
                <w:rFonts w:ascii="Times New Roman" w:hAnsi="Times New Roman" w:eastAsia="Times New Roman" w:cs="Times New Roman"/>
                <w:spacing w:val="4"/>
                <w:position w:val="6"/>
                <w:sz w:val="13"/>
                <w:szCs w:val="13"/>
              </w:rPr>
              <w:t xml:space="preserve">3  </w:t>
            </w:r>
            <w:r>
              <w:rPr>
                <w:spacing w:val="4"/>
              </w:rPr>
              <w:t>的中水</w:t>
            </w:r>
            <w:r>
              <w:rPr>
                <w:spacing w:val="-4"/>
              </w:rPr>
              <w:t>池。</w:t>
            </w:r>
          </w:p>
        </w:tc>
        <w:tc>
          <w:tcPr>
            <w:tcW w:w="790" w:type="dxa"/>
            <w:tcBorders>
              <w:top w:val="single" w:color="000000" w:sz="6" w:space="0"/>
              <w:right w:val="single" w:color="000000" w:sz="6" w:space="0"/>
            </w:tcBorders>
            <w:vAlign w:val="top"/>
          </w:tcPr>
          <w:p w14:paraId="54B9B876">
            <w:pPr>
              <w:rPr>
                <w:rFonts w:ascii="Arial"/>
                <w:sz w:val="21"/>
              </w:rPr>
            </w:pPr>
          </w:p>
        </w:tc>
      </w:tr>
      <w:tr w14:paraId="13B2C4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5" w:hRule="atLeast"/>
        </w:trPr>
        <w:tc>
          <w:tcPr>
            <w:tcW w:w="411" w:type="dxa"/>
            <w:vMerge w:val="continue"/>
            <w:tcBorders>
              <w:top w:val="nil"/>
              <w:left w:val="single" w:color="000000" w:sz="6" w:space="0"/>
              <w:bottom w:val="nil"/>
            </w:tcBorders>
            <w:vAlign w:val="top"/>
          </w:tcPr>
          <w:p w14:paraId="18E7B9B9">
            <w:pPr>
              <w:rPr>
                <w:rFonts w:ascii="Arial"/>
                <w:sz w:val="21"/>
              </w:rPr>
            </w:pPr>
          </w:p>
        </w:tc>
        <w:tc>
          <w:tcPr>
            <w:tcW w:w="68" w:type="dxa"/>
            <w:tcBorders>
              <w:top w:val="nil"/>
              <w:bottom w:val="nil"/>
            </w:tcBorders>
            <w:vAlign w:val="top"/>
          </w:tcPr>
          <w:p w14:paraId="072F85BA">
            <w:pPr>
              <w:rPr>
                <w:rFonts w:ascii="Arial"/>
                <w:sz w:val="21"/>
              </w:rPr>
            </w:pPr>
          </w:p>
        </w:tc>
        <w:tc>
          <w:tcPr>
            <w:tcW w:w="327" w:type="dxa"/>
            <w:vMerge w:val="continue"/>
            <w:tcBorders>
              <w:top w:val="nil"/>
              <w:bottom w:val="nil"/>
            </w:tcBorders>
            <w:vAlign w:val="top"/>
          </w:tcPr>
          <w:p w14:paraId="04FF08C7">
            <w:pPr>
              <w:rPr>
                <w:rFonts w:ascii="Arial"/>
                <w:sz w:val="21"/>
              </w:rPr>
            </w:pPr>
          </w:p>
        </w:tc>
        <w:tc>
          <w:tcPr>
            <w:tcW w:w="371" w:type="dxa"/>
            <w:vMerge w:val="continue"/>
            <w:tcBorders>
              <w:top w:val="nil"/>
              <w:bottom w:val="nil"/>
            </w:tcBorders>
            <w:vAlign w:val="top"/>
          </w:tcPr>
          <w:p w14:paraId="30110184">
            <w:pPr>
              <w:rPr>
                <w:rFonts w:ascii="Arial"/>
                <w:sz w:val="21"/>
              </w:rPr>
            </w:pPr>
          </w:p>
        </w:tc>
        <w:tc>
          <w:tcPr>
            <w:tcW w:w="319" w:type="dxa"/>
            <w:vMerge w:val="continue"/>
            <w:tcBorders>
              <w:top w:val="nil"/>
              <w:bottom w:val="nil"/>
            </w:tcBorders>
            <w:vAlign w:val="top"/>
          </w:tcPr>
          <w:p w14:paraId="732F07AF">
            <w:pPr>
              <w:rPr>
                <w:rFonts w:ascii="Arial"/>
                <w:sz w:val="21"/>
              </w:rPr>
            </w:pPr>
          </w:p>
        </w:tc>
        <w:tc>
          <w:tcPr>
            <w:tcW w:w="3326" w:type="dxa"/>
            <w:vAlign w:val="top"/>
          </w:tcPr>
          <w:p w14:paraId="33B8505A">
            <w:pPr>
              <w:pStyle w:val="6"/>
              <w:spacing w:before="38" w:line="241" w:lineRule="auto"/>
              <w:ind w:left="4" w:hanging="1"/>
              <w:jc w:val="both"/>
            </w:pPr>
            <w:r>
              <w:rPr>
                <w:rFonts w:ascii="Times New Roman" w:hAnsi="Times New Roman" w:eastAsia="Times New Roman" w:cs="Times New Roman"/>
                <w:spacing w:val="9"/>
              </w:rPr>
              <w:t>7.</w:t>
            </w:r>
            <w:r>
              <w:rPr>
                <w:spacing w:val="9"/>
              </w:rPr>
              <w:t>加快推进污泥无害化处理处置工程</w:t>
            </w:r>
            <w:r>
              <w:rPr>
                <w:spacing w:val="7"/>
              </w:rPr>
              <w:t>建设，鼓励采用资源化利用方式处理处置污泥，经处理后的污泥达到《农</w:t>
            </w:r>
            <w:r>
              <w:rPr>
                <w:spacing w:val="-1"/>
              </w:rPr>
              <w:t>用 污</w:t>
            </w:r>
            <w:r>
              <w:rPr>
                <w:spacing w:val="21"/>
              </w:rPr>
              <w:t xml:space="preserve"> </w:t>
            </w:r>
            <w:r>
              <w:rPr>
                <w:spacing w:val="-1"/>
              </w:rPr>
              <w:t>泥</w:t>
            </w:r>
            <w:r>
              <w:rPr>
                <w:spacing w:val="13"/>
              </w:rPr>
              <w:t xml:space="preserve"> </w:t>
            </w:r>
            <w:r>
              <w:rPr>
                <w:spacing w:val="-1"/>
              </w:rPr>
              <w:t>污</w:t>
            </w:r>
            <w:r>
              <w:rPr>
                <w:spacing w:val="15"/>
              </w:rPr>
              <w:t xml:space="preserve"> </w:t>
            </w:r>
            <w:r>
              <w:rPr>
                <w:spacing w:val="-1"/>
              </w:rPr>
              <w:t>染</w:t>
            </w:r>
            <w:r>
              <w:rPr>
                <w:spacing w:val="11"/>
              </w:rPr>
              <w:t xml:space="preserve"> </w:t>
            </w:r>
            <w:r>
              <w:rPr>
                <w:spacing w:val="-1"/>
              </w:rPr>
              <w:t>物</w:t>
            </w:r>
            <w:r>
              <w:rPr>
                <w:spacing w:val="8"/>
              </w:rPr>
              <w:t xml:space="preserve"> </w:t>
            </w:r>
            <w:r>
              <w:rPr>
                <w:spacing w:val="-1"/>
              </w:rPr>
              <w:t>控</w:t>
            </w:r>
            <w:r>
              <w:rPr>
                <w:spacing w:val="12"/>
              </w:rPr>
              <w:t xml:space="preserve"> </w:t>
            </w:r>
            <w:r>
              <w:rPr>
                <w:spacing w:val="-1"/>
              </w:rPr>
              <w:t>制</w:t>
            </w:r>
            <w:r>
              <w:rPr>
                <w:spacing w:val="12"/>
              </w:rPr>
              <w:t xml:space="preserve"> </w:t>
            </w:r>
            <w:r>
              <w:rPr>
                <w:spacing w:val="-1"/>
              </w:rPr>
              <w:t>标</w:t>
            </w:r>
            <w:r>
              <w:rPr>
                <w:spacing w:val="12"/>
              </w:rPr>
              <w:t xml:space="preserve"> </w:t>
            </w:r>
            <w:r>
              <w:rPr>
                <w:spacing w:val="-1"/>
              </w:rPr>
              <w:t>准</w:t>
            </w:r>
            <w:r>
              <w:rPr>
                <w:spacing w:val="23"/>
              </w:rPr>
              <w:t xml:space="preserve"> </w:t>
            </w:r>
            <w:r>
              <w:rPr>
                <w:spacing w:val="-1"/>
              </w:rPr>
              <w:t>》</w:t>
            </w:r>
            <w:r>
              <w:t xml:space="preserve"> </w:t>
            </w:r>
            <w:r>
              <w:rPr>
                <w:spacing w:val="11"/>
              </w:rPr>
              <w:t>（</w:t>
            </w:r>
            <w:r>
              <w:rPr>
                <w:rFonts w:ascii="Times New Roman" w:hAnsi="Times New Roman" w:eastAsia="Times New Roman" w:cs="Times New Roman"/>
              </w:rPr>
              <w:t>GB</w:t>
            </w:r>
            <w:r>
              <w:rPr>
                <w:rFonts w:ascii="Times New Roman" w:hAnsi="Times New Roman" w:eastAsia="Times New Roman" w:cs="Times New Roman"/>
                <w:spacing w:val="11"/>
              </w:rPr>
              <w:t>4282—2018</w:t>
            </w:r>
            <w:r>
              <w:rPr>
                <w:spacing w:val="11"/>
              </w:rPr>
              <w:t>）</w:t>
            </w:r>
            <w:r>
              <w:rPr>
                <w:spacing w:val="-60"/>
              </w:rPr>
              <w:t xml:space="preserve"> </w:t>
            </w:r>
            <w:r>
              <w:rPr>
                <w:spacing w:val="11"/>
              </w:rPr>
              <w:t>要求的用于还田</w:t>
            </w:r>
            <w:r>
              <w:rPr>
                <w:spacing w:val="2"/>
              </w:rPr>
              <w:t>利用。</w:t>
            </w:r>
          </w:p>
        </w:tc>
        <w:tc>
          <w:tcPr>
            <w:tcW w:w="2522" w:type="dxa"/>
            <w:vAlign w:val="top"/>
          </w:tcPr>
          <w:p w14:paraId="5306E555">
            <w:pPr>
              <w:pStyle w:val="6"/>
              <w:spacing w:before="40" w:line="253" w:lineRule="auto"/>
              <w:ind w:left="8" w:firstLine="1"/>
            </w:pPr>
            <w:r>
              <w:rPr>
                <w:spacing w:val="8"/>
              </w:rPr>
              <w:t>本项目为输变电工程，不涉</w:t>
            </w:r>
            <w:r>
              <w:rPr>
                <w:spacing w:val="7"/>
              </w:rPr>
              <w:t>及污泥处理处置问题。</w:t>
            </w:r>
          </w:p>
        </w:tc>
        <w:tc>
          <w:tcPr>
            <w:tcW w:w="790" w:type="dxa"/>
            <w:tcBorders>
              <w:right w:val="single" w:color="000000" w:sz="6" w:space="0"/>
            </w:tcBorders>
            <w:vAlign w:val="top"/>
          </w:tcPr>
          <w:p w14:paraId="5AFD12D9">
            <w:pPr>
              <w:pStyle w:val="6"/>
              <w:spacing w:before="40" w:line="228" w:lineRule="auto"/>
              <w:ind w:left="159"/>
            </w:pPr>
            <w:r>
              <w:rPr>
                <w:spacing w:val="3"/>
              </w:rPr>
              <w:t>符合</w:t>
            </w:r>
          </w:p>
        </w:tc>
      </w:tr>
      <w:tr w14:paraId="76694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2" w:hRule="atLeast"/>
        </w:trPr>
        <w:tc>
          <w:tcPr>
            <w:tcW w:w="411" w:type="dxa"/>
            <w:vMerge w:val="continue"/>
            <w:tcBorders>
              <w:top w:val="nil"/>
              <w:left w:val="single" w:color="000000" w:sz="6" w:space="0"/>
              <w:bottom w:val="nil"/>
            </w:tcBorders>
            <w:vAlign w:val="top"/>
          </w:tcPr>
          <w:p w14:paraId="7D112F00">
            <w:pPr>
              <w:rPr>
                <w:rFonts w:ascii="Arial"/>
                <w:sz w:val="21"/>
              </w:rPr>
            </w:pPr>
          </w:p>
        </w:tc>
        <w:tc>
          <w:tcPr>
            <w:tcW w:w="68" w:type="dxa"/>
            <w:tcBorders>
              <w:top w:val="nil"/>
              <w:bottom w:val="nil"/>
            </w:tcBorders>
            <w:vAlign w:val="top"/>
          </w:tcPr>
          <w:p w14:paraId="20BCDC73">
            <w:pPr>
              <w:rPr>
                <w:rFonts w:ascii="Arial"/>
                <w:sz w:val="21"/>
              </w:rPr>
            </w:pPr>
          </w:p>
        </w:tc>
        <w:tc>
          <w:tcPr>
            <w:tcW w:w="327" w:type="dxa"/>
            <w:vMerge w:val="continue"/>
            <w:tcBorders>
              <w:top w:val="nil"/>
              <w:bottom w:val="nil"/>
            </w:tcBorders>
            <w:vAlign w:val="top"/>
          </w:tcPr>
          <w:p w14:paraId="01A256E3">
            <w:pPr>
              <w:rPr>
                <w:rFonts w:ascii="Arial"/>
                <w:sz w:val="21"/>
              </w:rPr>
            </w:pPr>
          </w:p>
        </w:tc>
        <w:tc>
          <w:tcPr>
            <w:tcW w:w="371" w:type="dxa"/>
            <w:vMerge w:val="continue"/>
            <w:tcBorders>
              <w:top w:val="nil"/>
              <w:bottom w:val="nil"/>
            </w:tcBorders>
            <w:vAlign w:val="top"/>
          </w:tcPr>
          <w:p w14:paraId="5D973EDA">
            <w:pPr>
              <w:rPr>
                <w:rFonts w:ascii="Arial"/>
                <w:sz w:val="21"/>
              </w:rPr>
            </w:pPr>
          </w:p>
        </w:tc>
        <w:tc>
          <w:tcPr>
            <w:tcW w:w="319" w:type="dxa"/>
            <w:vMerge w:val="continue"/>
            <w:tcBorders>
              <w:top w:val="nil"/>
              <w:bottom w:val="nil"/>
            </w:tcBorders>
            <w:vAlign w:val="top"/>
          </w:tcPr>
          <w:p w14:paraId="6096FA75">
            <w:pPr>
              <w:rPr>
                <w:rFonts w:ascii="Arial"/>
                <w:sz w:val="21"/>
              </w:rPr>
            </w:pPr>
          </w:p>
        </w:tc>
        <w:tc>
          <w:tcPr>
            <w:tcW w:w="3326" w:type="dxa"/>
            <w:vAlign w:val="top"/>
          </w:tcPr>
          <w:p w14:paraId="3C1806E1">
            <w:pPr>
              <w:pStyle w:val="6"/>
              <w:spacing w:before="60" w:line="238" w:lineRule="auto"/>
              <w:ind w:left="3" w:firstLine="4"/>
              <w:jc w:val="both"/>
            </w:pPr>
            <w:r>
              <w:rPr>
                <w:rFonts w:ascii="Times New Roman" w:hAnsi="Times New Roman" w:eastAsia="Times New Roman" w:cs="Times New Roman"/>
                <w:spacing w:val="9"/>
              </w:rPr>
              <w:t>8.</w:t>
            </w:r>
            <w:r>
              <w:rPr>
                <w:spacing w:val="9"/>
              </w:rPr>
              <w:t>加快生活垃圾处理设施建设，推进</w:t>
            </w:r>
            <w:r>
              <w:rPr>
                <w:spacing w:val="7"/>
              </w:rPr>
              <w:t>实施生活垃圾焚烧发电，全面提升城</w:t>
            </w:r>
            <w:r>
              <w:rPr>
                <w:spacing w:val="21"/>
              </w:rPr>
              <w:t>镇生活垃圾分类收转运能力和厨余</w:t>
            </w:r>
            <w:r>
              <w:rPr>
                <w:spacing w:val="7"/>
              </w:rPr>
              <w:t>垃圾处理能力。</w:t>
            </w:r>
          </w:p>
        </w:tc>
        <w:tc>
          <w:tcPr>
            <w:tcW w:w="2522" w:type="dxa"/>
            <w:vAlign w:val="top"/>
          </w:tcPr>
          <w:p w14:paraId="3B975CA3">
            <w:pPr>
              <w:pStyle w:val="6"/>
              <w:spacing w:before="62" w:line="251" w:lineRule="auto"/>
              <w:ind w:left="9" w:firstLine="2"/>
              <w:jc w:val="both"/>
            </w:pPr>
            <w:r>
              <w:rPr>
                <w:spacing w:val="8"/>
              </w:rPr>
              <w:t>项目施工期施工人员生活垃圾依托租住村镇居民房屋现</w:t>
            </w:r>
            <w:r>
              <w:rPr>
                <w:spacing w:val="6"/>
              </w:rPr>
              <w:t>有设施处理。</w:t>
            </w:r>
          </w:p>
        </w:tc>
        <w:tc>
          <w:tcPr>
            <w:tcW w:w="790" w:type="dxa"/>
            <w:tcBorders>
              <w:right w:val="single" w:color="000000" w:sz="6" w:space="0"/>
            </w:tcBorders>
            <w:vAlign w:val="top"/>
          </w:tcPr>
          <w:p w14:paraId="349C02B4">
            <w:pPr>
              <w:pStyle w:val="6"/>
              <w:spacing w:before="60" w:line="228" w:lineRule="auto"/>
              <w:ind w:left="159"/>
            </w:pPr>
            <w:r>
              <w:rPr>
                <w:spacing w:val="3"/>
              </w:rPr>
              <w:t>符合</w:t>
            </w:r>
          </w:p>
        </w:tc>
      </w:tr>
      <w:tr w14:paraId="6B0304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8" w:hRule="atLeast"/>
        </w:trPr>
        <w:tc>
          <w:tcPr>
            <w:tcW w:w="411" w:type="dxa"/>
            <w:vMerge w:val="continue"/>
            <w:tcBorders>
              <w:top w:val="nil"/>
              <w:left w:val="single" w:color="000000" w:sz="6" w:space="0"/>
              <w:bottom w:val="nil"/>
            </w:tcBorders>
            <w:vAlign w:val="top"/>
          </w:tcPr>
          <w:p w14:paraId="6EB3F0DF">
            <w:pPr>
              <w:rPr>
                <w:rFonts w:ascii="Arial"/>
                <w:sz w:val="21"/>
              </w:rPr>
            </w:pPr>
          </w:p>
        </w:tc>
        <w:tc>
          <w:tcPr>
            <w:tcW w:w="68" w:type="dxa"/>
            <w:tcBorders>
              <w:top w:val="nil"/>
              <w:bottom w:val="nil"/>
            </w:tcBorders>
            <w:vAlign w:val="top"/>
          </w:tcPr>
          <w:p w14:paraId="319F37CB">
            <w:pPr>
              <w:rPr>
                <w:rFonts w:ascii="Arial"/>
                <w:sz w:val="21"/>
              </w:rPr>
            </w:pPr>
          </w:p>
        </w:tc>
        <w:tc>
          <w:tcPr>
            <w:tcW w:w="327" w:type="dxa"/>
            <w:vMerge w:val="continue"/>
            <w:tcBorders>
              <w:top w:val="nil"/>
              <w:bottom w:val="nil"/>
            </w:tcBorders>
            <w:vAlign w:val="top"/>
          </w:tcPr>
          <w:p w14:paraId="168F5514">
            <w:pPr>
              <w:rPr>
                <w:rFonts w:ascii="Arial"/>
                <w:sz w:val="21"/>
              </w:rPr>
            </w:pPr>
          </w:p>
        </w:tc>
        <w:tc>
          <w:tcPr>
            <w:tcW w:w="371" w:type="dxa"/>
            <w:vMerge w:val="continue"/>
            <w:tcBorders>
              <w:top w:val="nil"/>
              <w:bottom w:val="nil"/>
            </w:tcBorders>
            <w:vAlign w:val="top"/>
          </w:tcPr>
          <w:p w14:paraId="59E26646">
            <w:pPr>
              <w:rPr>
                <w:rFonts w:ascii="Arial"/>
                <w:sz w:val="21"/>
              </w:rPr>
            </w:pPr>
          </w:p>
        </w:tc>
        <w:tc>
          <w:tcPr>
            <w:tcW w:w="319" w:type="dxa"/>
            <w:vMerge w:val="continue"/>
            <w:tcBorders>
              <w:top w:val="nil"/>
              <w:bottom w:val="nil"/>
            </w:tcBorders>
            <w:vAlign w:val="top"/>
          </w:tcPr>
          <w:p w14:paraId="6E059872">
            <w:pPr>
              <w:rPr>
                <w:rFonts w:ascii="Arial"/>
                <w:sz w:val="21"/>
              </w:rPr>
            </w:pPr>
          </w:p>
        </w:tc>
        <w:tc>
          <w:tcPr>
            <w:tcW w:w="3326" w:type="dxa"/>
            <w:vAlign w:val="top"/>
          </w:tcPr>
          <w:p w14:paraId="56C8FA52">
            <w:pPr>
              <w:pStyle w:val="6"/>
              <w:spacing w:before="44" w:line="252" w:lineRule="auto"/>
              <w:ind w:left="4" w:hanging="1"/>
              <w:jc w:val="both"/>
            </w:pPr>
            <w:r>
              <w:rPr>
                <w:rFonts w:ascii="Times New Roman" w:hAnsi="Times New Roman" w:eastAsia="Times New Roman" w:cs="Times New Roman"/>
                <w:spacing w:val="2"/>
              </w:rPr>
              <w:t>9.</w:t>
            </w:r>
            <w:r>
              <w:rPr>
                <w:spacing w:val="2"/>
              </w:rPr>
              <w:t>到</w:t>
            </w:r>
            <w:r>
              <w:rPr>
                <w:spacing w:val="-24"/>
              </w:rPr>
              <w:t xml:space="preserve"> </w:t>
            </w:r>
            <w:r>
              <w:rPr>
                <w:rFonts w:ascii="Times New Roman" w:hAnsi="Times New Roman" w:eastAsia="Times New Roman" w:cs="Times New Roman"/>
                <w:spacing w:val="2"/>
              </w:rPr>
              <w:t xml:space="preserve">2025 </w:t>
            </w:r>
            <w:r>
              <w:rPr>
                <w:spacing w:val="2"/>
              </w:rPr>
              <w:t>年，中心城区、县城中心城</w:t>
            </w:r>
            <w:r>
              <w:rPr>
                <w:spacing w:val="7"/>
              </w:rPr>
              <w:t>市建成区基本实现污水全收集、全处理，建制镇污水收集处理能力明显提升，中心城市、县城平均污泥无害化</w:t>
            </w:r>
            <w:r>
              <w:rPr>
                <w:spacing w:val="8"/>
              </w:rPr>
              <w:t>处理率达到</w:t>
            </w:r>
            <w:r>
              <w:rPr>
                <w:rFonts w:ascii="Times New Roman" w:hAnsi="Times New Roman" w:eastAsia="Times New Roman" w:cs="Times New Roman"/>
                <w:spacing w:val="8"/>
              </w:rPr>
              <w:t>90%</w:t>
            </w:r>
            <w:r>
              <w:rPr>
                <w:spacing w:val="8"/>
              </w:rPr>
              <w:t>以上，力争实现全市</w:t>
            </w:r>
            <w:r>
              <w:rPr>
                <w:spacing w:val="7"/>
              </w:rPr>
              <w:t>生活垃圾焚烧处理实现全覆盖，餐厨</w:t>
            </w:r>
            <w:r>
              <w:rPr>
                <w:spacing w:val="8"/>
              </w:rPr>
              <w:t>垃圾实现零填埋无害化处理。</w:t>
            </w:r>
          </w:p>
        </w:tc>
        <w:tc>
          <w:tcPr>
            <w:tcW w:w="2522" w:type="dxa"/>
            <w:vAlign w:val="top"/>
          </w:tcPr>
          <w:p w14:paraId="0ACF797A">
            <w:pPr>
              <w:pStyle w:val="6"/>
              <w:spacing w:before="39" w:line="247" w:lineRule="auto"/>
              <w:ind w:left="8" w:firstLine="1"/>
            </w:pPr>
            <w:r>
              <w:rPr>
                <w:spacing w:val="8"/>
              </w:rPr>
              <w:t>本项目为输变电工程，施工</w:t>
            </w:r>
            <w:r>
              <w:rPr>
                <w:spacing w:val="9"/>
              </w:rPr>
              <w:t>期废水经临时沉淀池处理后全部回用或洒水降尘，不外排；运营期本工程运行期变</w:t>
            </w:r>
            <w:r>
              <w:rPr>
                <w:spacing w:val="18"/>
                <w:w w:val="116"/>
              </w:rPr>
              <w:t>电站生活污水经化粪池</w:t>
            </w:r>
            <w:r>
              <w:rPr>
                <w:spacing w:val="11"/>
              </w:rPr>
              <w:t>（</w:t>
            </w:r>
            <w:r>
              <w:rPr>
                <w:rFonts w:ascii="Times New Roman" w:hAnsi="Times New Roman" w:eastAsia="Times New Roman" w:cs="Times New Roman"/>
                <w:spacing w:val="11"/>
              </w:rPr>
              <w:t>2m</w:t>
            </w:r>
            <w:r>
              <w:rPr>
                <w:rFonts w:ascii="Times New Roman" w:hAnsi="Times New Roman" w:eastAsia="Times New Roman" w:cs="Times New Roman"/>
                <w:spacing w:val="11"/>
                <w:position w:val="1"/>
                <w:sz w:val="13"/>
                <w:szCs w:val="13"/>
              </w:rPr>
              <w:t xml:space="preserve">3 </w:t>
            </w:r>
            <w:r>
              <w:rPr>
                <w:spacing w:val="11"/>
                <w:position w:val="1"/>
              </w:rPr>
              <w:t>）</w:t>
            </w:r>
            <w:r>
              <w:rPr>
                <w:spacing w:val="11"/>
              </w:rPr>
              <w:t>、一体化污水处理</w:t>
            </w:r>
            <w:r>
              <w:rPr>
                <w:spacing w:val="8"/>
              </w:rPr>
              <w:t>设施（处理能力</w:t>
            </w:r>
            <w:r>
              <w:rPr>
                <w:spacing w:val="-19"/>
              </w:rPr>
              <w:t xml:space="preserve"> </w:t>
            </w:r>
            <w:r>
              <w:rPr>
                <w:rFonts w:ascii="Times New Roman" w:hAnsi="Times New Roman" w:eastAsia="Times New Roman" w:cs="Times New Roman"/>
                <w:spacing w:val="8"/>
              </w:rPr>
              <w:t>0.5t/h</w:t>
            </w:r>
            <w:r>
              <w:rPr>
                <w:spacing w:val="8"/>
              </w:rPr>
              <w:t>）</w:t>
            </w:r>
            <w:r>
              <w:rPr>
                <w:spacing w:val="-57"/>
              </w:rPr>
              <w:t xml:space="preserve"> </w:t>
            </w:r>
            <w:r>
              <w:rPr>
                <w:spacing w:val="8"/>
              </w:rPr>
              <w:t>处</w:t>
            </w:r>
            <w:r>
              <w:rPr>
                <w:spacing w:val="9"/>
              </w:rPr>
              <w:t>理后回用于进站大门两侧绿化带绿化洒水，不外排；同</w:t>
            </w:r>
            <w:r>
              <w:rPr>
                <w:spacing w:val="2"/>
              </w:rPr>
              <w:t>时设置</w:t>
            </w:r>
            <w:r>
              <w:rPr>
                <w:spacing w:val="-23"/>
              </w:rPr>
              <w:t xml:space="preserve"> </w:t>
            </w:r>
            <w:r>
              <w:rPr>
                <w:rFonts w:ascii="Times New Roman" w:hAnsi="Times New Roman" w:eastAsia="Times New Roman" w:cs="Times New Roman"/>
                <w:spacing w:val="2"/>
              </w:rPr>
              <w:t xml:space="preserve">1 </w:t>
            </w:r>
            <w:r>
              <w:rPr>
                <w:spacing w:val="2"/>
              </w:rPr>
              <w:t>个</w:t>
            </w:r>
            <w:r>
              <w:rPr>
                <w:spacing w:val="-37"/>
              </w:rPr>
              <w:t xml:space="preserve"> </w:t>
            </w:r>
            <w:r>
              <w:rPr>
                <w:rFonts w:ascii="Times New Roman" w:hAnsi="Times New Roman" w:eastAsia="Times New Roman" w:cs="Times New Roman"/>
                <w:spacing w:val="2"/>
              </w:rPr>
              <w:t>5m</w:t>
            </w:r>
            <w:r>
              <w:rPr>
                <w:rFonts w:ascii="Times New Roman" w:hAnsi="Times New Roman" w:eastAsia="Times New Roman" w:cs="Times New Roman"/>
                <w:spacing w:val="2"/>
                <w:position w:val="6"/>
                <w:sz w:val="13"/>
                <w:szCs w:val="13"/>
              </w:rPr>
              <w:t xml:space="preserve">3  </w:t>
            </w:r>
            <w:r>
              <w:rPr>
                <w:spacing w:val="2"/>
              </w:rPr>
              <w:t>的中水池。</w:t>
            </w:r>
            <w:r>
              <w:rPr>
                <w:spacing w:val="9"/>
              </w:rPr>
              <w:t>施工期施工人员生活垃圾依托租住村镇居民房屋现有设</w:t>
            </w:r>
            <w:r>
              <w:rPr>
                <w:spacing w:val="5"/>
              </w:rPr>
              <w:t>施处理。</w:t>
            </w:r>
          </w:p>
        </w:tc>
        <w:tc>
          <w:tcPr>
            <w:tcW w:w="790" w:type="dxa"/>
            <w:tcBorders>
              <w:right w:val="single" w:color="000000" w:sz="6" w:space="0"/>
            </w:tcBorders>
            <w:vAlign w:val="top"/>
          </w:tcPr>
          <w:p w14:paraId="5F1B1FE7">
            <w:pPr>
              <w:pStyle w:val="6"/>
              <w:spacing w:before="45" w:line="228" w:lineRule="auto"/>
              <w:ind w:left="159"/>
            </w:pPr>
            <w:r>
              <w:rPr>
                <w:spacing w:val="3"/>
              </w:rPr>
              <w:t>符合</w:t>
            </w:r>
          </w:p>
        </w:tc>
      </w:tr>
      <w:tr w14:paraId="0D9E4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9" w:hRule="atLeast"/>
        </w:trPr>
        <w:tc>
          <w:tcPr>
            <w:tcW w:w="411" w:type="dxa"/>
            <w:vMerge w:val="continue"/>
            <w:tcBorders>
              <w:top w:val="nil"/>
              <w:left w:val="single" w:color="000000" w:sz="6" w:space="0"/>
              <w:bottom w:val="nil"/>
            </w:tcBorders>
            <w:vAlign w:val="top"/>
          </w:tcPr>
          <w:p w14:paraId="79970B2A">
            <w:pPr>
              <w:rPr>
                <w:rFonts w:ascii="Arial"/>
                <w:sz w:val="21"/>
              </w:rPr>
            </w:pPr>
          </w:p>
        </w:tc>
        <w:tc>
          <w:tcPr>
            <w:tcW w:w="68" w:type="dxa"/>
            <w:tcBorders>
              <w:top w:val="nil"/>
              <w:bottom w:val="nil"/>
            </w:tcBorders>
            <w:vAlign w:val="top"/>
          </w:tcPr>
          <w:p w14:paraId="7A5C0A61">
            <w:pPr>
              <w:rPr>
                <w:rFonts w:ascii="Arial"/>
                <w:sz w:val="21"/>
              </w:rPr>
            </w:pPr>
          </w:p>
        </w:tc>
        <w:tc>
          <w:tcPr>
            <w:tcW w:w="327" w:type="dxa"/>
            <w:vMerge w:val="continue"/>
            <w:tcBorders>
              <w:top w:val="nil"/>
              <w:bottom w:val="nil"/>
            </w:tcBorders>
            <w:vAlign w:val="top"/>
          </w:tcPr>
          <w:p w14:paraId="2F53DE4F">
            <w:pPr>
              <w:rPr>
                <w:rFonts w:ascii="Arial"/>
                <w:sz w:val="21"/>
              </w:rPr>
            </w:pPr>
          </w:p>
        </w:tc>
        <w:tc>
          <w:tcPr>
            <w:tcW w:w="371" w:type="dxa"/>
            <w:vMerge w:val="continue"/>
            <w:tcBorders>
              <w:top w:val="nil"/>
              <w:bottom w:val="nil"/>
            </w:tcBorders>
            <w:vAlign w:val="top"/>
          </w:tcPr>
          <w:p w14:paraId="33AC7447">
            <w:pPr>
              <w:rPr>
                <w:rFonts w:ascii="Arial"/>
                <w:sz w:val="21"/>
              </w:rPr>
            </w:pPr>
          </w:p>
        </w:tc>
        <w:tc>
          <w:tcPr>
            <w:tcW w:w="319" w:type="dxa"/>
            <w:vMerge w:val="continue"/>
            <w:tcBorders>
              <w:top w:val="nil"/>
              <w:bottom w:val="nil"/>
            </w:tcBorders>
            <w:vAlign w:val="top"/>
          </w:tcPr>
          <w:p w14:paraId="0885CD9B">
            <w:pPr>
              <w:rPr>
                <w:rFonts w:ascii="Arial"/>
                <w:sz w:val="21"/>
              </w:rPr>
            </w:pPr>
          </w:p>
        </w:tc>
        <w:tc>
          <w:tcPr>
            <w:tcW w:w="3326" w:type="dxa"/>
            <w:vAlign w:val="top"/>
          </w:tcPr>
          <w:p w14:paraId="120B9A73">
            <w:pPr>
              <w:pStyle w:val="6"/>
              <w:spacing w:before="45" w:line="245" w:lineRule="auto"/>
              <w:ind w:left="2" w:firstLine="17"/>
              <w:jc w:val="both"/>
            </w:pPr>
            <w:r>
              <w:rPr>
                <w:rFonts w:ascii="Times New Roman" w:hAnsi="Times New Roman" w:eastAsia="Times New Roman" w:cs="Times New Roman"/>
                <w:spacing w:val="6"/>
              </w:rPr>
              <w:t>10.</w:t>
            </w:r>
            <w:r>
              <w:rPr>
                <w:spacing w:val="6"/>
              </w:rPr>
              <w:t>到</w:t>
            </w:r>
            <w:r>
              <w:rPr>
                <w:spacing w:val="-23"/>
              </w:rPr>
              <w:t xml:space="preserve"> </w:t>
            </w:r>
            <w:r>
              <w:rPr>
                <w:rFonts w:ascii="Times New Roman" w:hAnsi="Times New Roman" w:eastAsia="Times New Roman" w:cs="Times New Roman"/>
                <w:spacing w:val="6"/>
              </w:rPr>
              <w:t xml:space="preserve">2025 </w:t>
            </w:r>
            <w:r>
              <w:rPr>
                <w:spacing w:val="6"/>
              </w:rPr>
              <w:t>年，全市农村生活污水治</w:t>
            </w:r>
            <w:r>
              <w:rPr>
                <w:spacing w:val="5"/>
              </w:rPr>
              <w:t>理率达到</w:t>
            </w:r>
            <w:r>
              <w:rPr>
                <w:spacing w:val="-35"/>
              </w:rPr>
              <w:t xml:space="preserve"> </w:t>
            </w:r>
            <w:r>
              <w:rPr>
                <w:rFonts w:ascii="Times New Roman" w:hAnsi="Times New Roman" w:eastAsia="Times New Roman" w:cs="Times New Roman"/>
                <w:spacing w:val="5"/>
              </w:rPr>
              <w:t>40%</w:t>
            </w:r>
            <w:r>
              <w:rPr>
                <w:spacing w:val="5"/>
              </w:rPr>
              <w:t>以上，城乡生活垃圾焚烧处理比重达</w:t>
            </w:r>
            <w:r>
              <w:rPr>
                <w:spacing w:val="-35"/>
              </w:rPr>
              <w:t xml:space="preserve"> </w:t>
            </w:r>
            <w:r>
              <w:rPr>
                <w:rFonts w:ascii="Times New Roman" w:hAnsi="Times New Roman" w:eastAsia="Times New Roman" w:cs="Times New Roman"/>
                <w:spacing w:val="5"/>
              </w:rPr>
              <w:t>90%</w:t>
            </w:r>
            <w:r>
              <w:rPr>
                <w:spacing w:val="5"/>
              </w:rPr>
              <w:t>以上，全市农村卫</w:t>
            </w:r>
            <w:r>
              <w:rPr>
                <w:spacing w:val="8"/>
              </w:rPr>
              <w:t>生户厕覆盖率达到</w:t>
            </w:r>
            <w:r>
              <w:rPr>
                <w:rFonts w:ascii="Times New Roman" w:hAnsi="Times New Roman" w:eastAsia="Times New Roman" w:cs="Times New Roman"/>
                <w:spacing w:val="8"/>
              </w:rPr>
              <w:t>70%</w:t>
            </w:r>
            <w:r>
              <w:rPr>
                <w:spacing w:val="8"/>
              </w:rPr>
              <w:t>以上，农膜回收率达到</w:t>
            </w:r>
            <w:r>
              <w:rPr>
                <w:rFonts w:ascii="Times New Roman" w:hAnsi="Times New Roman" w:eastAsia="Times New Roman" w:cs="Times New Roman"/>
                <w:spacing w:val="8"/>
              </w:rPr>
              <w:t>90%</w:t>
            </w:r>
            <w:r>
              <w:rPr>
                <w:spacing w:val="8"/>
              </w:rPr>
              <w:t>以上，秸秆综合利用率</w:t>
            </w:r>
            <w:r>
              <w:rPr>
                <w:spacing w:val="5"/>
              </w:rPr>
              <w:t>稳定在</w:t>
            </w:r>
            <w:r>
              <w:rPr>
                <w:spacing w:val="-37"/>
              </w:rPr>
              <w:t xml:space="preserve"> </w:t>
            </w:r>
            <w:r>
              <w:rPr>
                <w:rFonts w:ascii="Times New Roman" w:hAnsi="Times New Roman" w:eastAsia="Times New Roman" w:cs="Times New Roman"/>
                <w:spacing w:val="5"/>
              </w:rPr>
              <w:t>90%</w:t>
            </w:r>
            <w:r>
              <w:rPr>
                <w:spacing w:val="5"/>
              </w:rPr>
              <w:t>以上，畜禽粪污综合利用</w:t>
            </w:r>
            <w:r>
              <w:rPr>
                <w:spacing w:val="8"/>
              </w:rPr>
              <w:t>率达到</w:t>
            </w:r>
            <w:r>
              <w:rPr>
                <w:rFonts w:ascii="Times New Roman" w:hAnsi="Times New Roman" w:eastAsia="Times New Roman" w:cs="Times New Roman"/>
                <w:spacing w:val="8"/>
              </w:rPr>
              <w:t>95%</w:t>
            </w:r>
            <w:r>
              <w:rPr>
                <w:spacing w:val="8"/>
              </w:rPr>
              <w:t>以上；基本实现化肥农药</w:t>
            </w:r>
            <w:r>
              <w:rPr>
                <w:spacing w:val="12"/>
              </w:rPr>
              <w:t>施用量减少</w:t>
            </w:r>
            <w:r>
              <w:rPr>
                <w:rFonts w:ascii="Times New Roman" w:hAnsi="Times New Roman" w:eastAsia="Times New Roman" w:cs="Times New Roman"/>
                <w:spacing w:val="12"/>
              </w:rPr>
              <w:t>3%</w:t>
            </w:r>
            <w:r>
              <w:rPr>
                <w:spacing w:val="12"/>
              </w:rPr>
              <w:t>以上。</w:t>
            </w:r>
          </w:p>
        </w:tc>
        <w:tc>
          <w:tcPr>
            <w:tcW w:w="2522" w:type="dxa"/>
            <w:vAlign w:val="top"/>
          </w:tcPr>
          <w:p w14:paraId="0FFFB119">
            <w:pPr>
              <w:pStyle w:val="6"/>
              <w:spacing w:before="49" w:line="252" w:lineRule="auto"/>
              <w:ind w:left="11" w:hanging="2"/>
            </w:pPr>
            <w:r>
              <w:rPr>
                <w:spacing w:val="8"/>
              </w:rPr>
              <w:t>本项目为输变电工程，不属</w:t>
            </w:r>
            <w:r>
              <w:rPr>
                <w:spacing w:val="6"/>
              </w:rPr>
              <w:t>于该条所列项目。</w:t>
            </w:r>
          </w:p>
        </w:tc>
        <w:tc>
          <w:tcPr>
            <w:tcW w:w="790" w:type="dxa"/>
            <w:tcBorders>
              <w:right w:val="single" w:color="000000" w:sz="6" w:space="0"/>
            </w:tcBorders>
            <w:vAlign w:val="top"/>
          </w:tcPr>
          <w:p w14:paraId="18AA6192">
            <w:pPr>
              <w:pStyle w:val="6"/>
              <w:spacing w:before="49" w:line="228" w:lineRule="auto"/>
              <w:ind w:left="159"/>
            </w:pPr>
            <w:r>
              <w:rPr>
                <w:spacing w:val="3"/>
              </w:rPr>
              <w:t>符合</w:t>
            </w:r>
          </w:p>
        </w:tc>
      </w:tr>
      <w:tr w14:paraId="5F8D3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4" w:hRule="atLeast"/>
        </w:trPr>
        <w:tc>
          <w:tcPr>
            <w:tcW w:w="411" w:type="dxa"/>
            <w:vMerge w:val="continue"/>
            <w:tcBorders>
              <w:top w:val="nil"/>
              <w:left w:val="single" w:color="000000" w:sz="6" w:space="0"/>
              <w:bottom w:val="single" w:color="000000" w:sz="6" w:space="0"/>
            </w:tcBorders>
            <w:vAlign w:val="top"/>
          </w:tcPr>
          <w:p w14:paraId="3054E088">
            <w:pPr>
              <w:rPr>
                <w:rFonts w:ascii="Arial"/>
                <w:sz w:val="21"/>
              </w:rPr>
            </w:pPr>
          </w:p>
        </w:tc>
        <w:tc>
          <w:tcPr>
            <w:tcW w:w="68" w:type="dxa"/>
            <w:tcBorders>
              <w:top w:val="nil"/>
              <w:bottom w:val="single" w:color="000000" w:sz="6" w:space="0"/>
            </w:tcBorders>
            <w:vAlign w:val="top"/>
          </w:tcPr>
          <w:p w14:paraId="4F7C7B90">
            <w:pPr>
              <w:rPr>
                <w:rFonts w:ascii="Arial"/>
                <w:sz w:val="21"/>
              </w:rPr>
            </w:pPr>
          </w:p>
        </w:tc>
        <w:tc>
          <w:tcPr>
            <w:tcW w:w="327" w:type="dxa"/>
            <w:vMerge w:val="continue"/>
            <w:tcBorders>
              <w:top w:val="nil"/>
              <w:bottom w:val="single" w:color="000000" w:sz="6" w:space="0"/>
            </w:tcBorders>
            <w:vAlign w:val="top"/>
          </w:tcPr>
          <w:p w14:paraId="3F0C7A46">
            <w:pPr>
              <w:rPr>
                <w:rFonts w:ascii="Arial"/>
                <w:sz w:val="21"/>
              </w:rPr>
            </w:pPr>
          </w:p>
        </w:tc>
        <w:tc>
          <w:tcPr>
            <w:tcW w:w="371" w:type="dxa"/>
            <w:vMerge w:val="continue"/>
            <w:tcBorders>
              <w:top w:val="nil"/>
              <w:bottom w:val="single" w:color="000000" w:sz="6" w:space="0"/>
            </w:tcBorders>
            <w:vAlign w:val="top"/>
          </w:tcPr>
          <w:p w14:paraId="77EED070">
            <w:pPr>
              <w:rPr>
                <w:rFonts w:ascii="Arial"/>
                <w:sz w:val="21"/>
              </w:rPr>
            </w:pPr>
          </w:p>
        </w:tc>
        <w:tc>
          <w:tcPr>
            <w:tcW w:w="319" w:type="dxa"/>
            <w:vMerge w:val="continue"/>
            <w:tcBorders>
              <w:top w:val="nil"/>
              <w:bottom w:val="single" w:color="000000" w:sz="6" w:space="0"/>
            </w:tcBorders>
            <w:vAlign w:val="top"/>
          </w:tcPr>
          <w:p w14:paraId="2F22C67A">
            <w:pPr>
              <w:rPr>
                <w:rFonts w:ascii="Arial"/>
                <w:sz w:val="21"/>
              </w:rPr>
            </w:pPr>
          </w:p>
        </w:tc>
        <w:tc>
          <w:tcPr>
            <w:tcW w:w="3326" w:type="dxa"/>
            <w:tcBorders>
              <w:bottom w:val="single" w:color="000000" w:sz="6" w:space="0"/>
            </w:tcBorders>
            <w:vAlign w:val="top"/>
          </w:tcPr>
          <w:p w14:paraId="68CD5C3C">
            <w:pPr>
              <w:pStyle w:val="6"/>
              <w:spacing w:before="51" w:line="248" w:lineRule="auto"/>
              <w:ind w:left="2" w:firstLine="17"/>
              <w:jc w:val="both"/>
            </w:pPr>
            <w:r>
              <w:rPr>
                <w:rFonts w:ascii="Times New Roman" w:hAnsi="Times New Roman" w:eastAsia="Times New Roman" w:cs="Times New Roman"/>
                <w:spacing w:val="2"/>
              </w:rPr>
              <w:t>11.</w:t>
            </w:r>
            <w:r>
              <w:rPr>
                <w:spacing w:val="2"/>
              </w:rPr>
              <w:t>严把新建、改扩建涉重金属重点行</w:t>
            </w:r>
            <w:r>
              <w:rPr>
                <w:spacing w:val="7"/>
              </w:rPr>
              <w:t>业建设项目审批关，切实降低区域重金属排放总量。会泽县新、改、扩建</w:t>
            </w:r>
            <w:r>
              <w:rPr>
                <w:spacing w:val="21"/>
              </w:rPr>
              <w:t>涉重金属重点行业建设项目重点重</w:t>
            </w:r>
            <w:r>
              <w:rPr>
                <w:spacing w:val="18"/>
              </w:rPr>
              <w:t>金属污染物排放遵循</w:t>
            </w:r>
            <w:r>
              <w:rPr>
                <w:rFonts w:ascii="Times New Roman" w:hAnsi="Times New Roman" w:eastAsia="Times New Roman" w:cs="Times New Roman"/>
                <w:spacing w:val="18"/>
              </w:rPr>
              <w:t>“</w:t>
            </w:r>
            <w:r>
              <w:rPr>
                <w:rFonts w:ascii="Times New Roman" w:hAnsi="Times New Roman" w:eastAsia="Times New Roman" w:cs="Times New Roman"/>
                <w:spacing w:val="-24"/>
              </w:rPr>
              <w:t xml:space="preserve"> </w:t>
            </w:r>
            <w:r>
              <w:rPr>
                <w:spacing w:val="18"/>
              </w:rPr>
              <w:t>减量替代</w:t>
            </w:r>
            <w:r>
              <w:rPr>
                <w:rFonts w:ascii="Times New Roman" w:hAnsi="Times New Roman" w:eastAsia="Times New Roman" w:cs="Times New Roman"/>
                <w:spacing w:val="18"/>
              </w:rPr>
              <w:t>”</w:t>
            </w:r>
            <w:r>
              <w:rPr>
                <w:rFonts w:ascii="Times New Roman" w:hAnsi="Times New Roman" w:eastAsia="Times New Roman" w:cs="Times New Roman"/>
                <w:spacing w:val="-25"/>
              </w:rPr>
              <w:t xml:space="preserve"> </w:t>
            </w:r>
            <w:r>
              <w:rPr>
                <w:spacing w:val="18"/>
              </w:rPr>
              <w:t>原</w:t>
            </w:r>
            <w:r>
              <w:rPr>
                <w:spacing w:val="12"/>
              </w:rPr>
              <w:t>则，替代比例不低于</w:t>
            </w:r>
            <w:r>
              <w:rPr>
                <w:spacing w:val="-5"/>
              </w:rPr>
              <w:t xml:space="preserve"> </w:t>
            </w:r>
            <w:r>
              <w:rPr>
                <w:rFonts w:ascii="Times New Roman" w:hAnsi="Times New Roman" w:eastAsia="Times New Roman" w:cs="Times New Roman"/>
                <w:spacing w:val="12"/>
              </w:rPr>
              <w:t>1.2:1</w:t>
            </w:r>
            <w:r>
              <w:rPr>
                <w:spacing w:val="12"/>
              </w:rPr>
              <w:t>；其他县</w:t>
            </w:r>
          </w:p>
        </w:tc>
        <w:tc>
          <w:tcPr>
            <w:tcW w:w="2522" w:type="dxa"/>
            <w:tcBorders>
              <w:bottom w:val="single" w:color="000000" w:sz="6" w:space="0"/>
            </w:tcBorders>
            <w:vAlign w:val="top"/>
          </w:tcPr>
          <w:p w14:paraId="5FA4B7CF">
            <w:pPr>
              <w:pStyle w:val="6"/>
              <w:spacing w:before="49" w:line="252" w:lineRule="auto"/>
              <w:ind w:left="11" w:hanging="2"/>
            </w:pPr>
            <w:r>
              <w:rPr>
                <w:spacing w:val="8"/>
              </w:rPr>
              <w:t>本项目为输变电工程，不属</w:t>
            </w:r>
            <w:r>
              <w:rPr>
                <w:spacing w:val="6"/>
              </w:rPr>
              <w:t>于该条所列项目。</w:t>
            </w:r>
          </w:p>
        </w:tc>
        <w:tc>
          <w:tcPr>
            <w:tcW w:w="790" w:type="dxa"/>
            <w:tcBorders>
              <w:bottom w:val="single" w:color="000000" w:sz="6" w:space="0"/>
              <w:right w:val="single" w:color="000000" w:sz="6" w:space="0"/>
            </w:tcBorders>
            <w:vAlign w:val="top"/>
          </w:tcPr>
          <w:p w14:paraId="68CB5751">
            <w:pPr>
              <w:pStyle w:val="6"/>
              <w:spacing w:before="49" w:line="228" w:lineRule="auto"/>
              <w:ind w:left="159"/>
            </w:pPr>
            <w:r>
              <w:rPr>
                <w:spacing w:val="3"/>
              </w:rPr>
              <w:t>符合</w:t>
            </w:r>
          </w:p>
        </w:tc>
      </w:tr>
    </w:tbl>
    <w:p w14:paraId="3985C30C">
      <w:pPr>
        <w:rPr>
          <w:rFonts w:ascii="Arial"/>
          <w:sz w:val="21"/>
        </w:rPr>
      </w:pPr>
    </w:p>
    <w:p w14:paraId="7C7AD16F">
      <w:pPr>
        <w:rPr>
          <w:rFonts w:ascii="Arial" w:hAnsi="Arial" w:eastAsia="Arial" w:cs="Arial"/>
          <w:sz w:val="21"/>
          <w:szCs w:val="21"/>
        </w:rPr>
        <w:sectPr>
          <w:footerReference r:id="rId22" w:type="default"/>
          <w:pgSz w:w="11907" w:h="16840"/>
          <w:pgMar w:top="400" w:right="1786" w:bottom="1240" w:left="1774" w:header="0" w:footer="1077" w:gutter="0"/>
          <w:cols w:space="720" w:num="1"/>
        </w:sectPr>
      </w:pPr>
    </w:p>
    <w:p w14:paraId="2D75F7C3">
      <w:pPr>
        <w:spacing w:before="19"/>
      </w:pPr>
    </w:p>
    <w:p w14:paraId="12833020">
      <w:pPr>
        <w:spacing w:before="19"/>
      </w:pPr>
    </w:p>
    <w:p w14:paraId="4237F7B1">
      <w:pPr>
        <w:spacing w:before="18"/>
      </w:pPr>
    </w:p>
    <w:p w14:paraId="719E49E6">
      <w:pPr>
        <w:spacing w:before="18"/>
      </w:pPr>
    </w:p>
    <w:tbl>
      <w:tblPr>
        <w:tblStyle w:val="5"/>
        <w:tblW w:w="813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1"/>
        <w:gridCol w:w="68"/>
        <w:gridCol w:w="327"/>
        <w:gridCol w:w="371"/>
        <w:gridCol w:w="319"/>
        <w:gridCol w:w="3326"/>
        <w:gridCol w:w="2522"/>
        <w:gridCol w:w="790"/>
      </w:tblGrid>
      <w:tr w14:paraId="6FE88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411" w:type="dxa"/>
            <w:vMerge w:val="restart"/>
            <w:tcBorders>
              <w:top w:val="single" w:color="000000" w:sz="6" w:space="0"/>
              <w:left w:val="single" w:color="000000" w:sz="6" w:space="0"/>
              <w:bottom w:val="nil"/>
            </w:tcBorders>
            <w:vAlign w:val="top"/>
          </w:tcPr>
          <w:p w14:paraId="03A2FEAD">
            <w:pPr>
              <w:rPr>
                <w:rFonts w:ascii="Arial"/>
                <w:sz w:val="21"/>
              </w:rPr>
            </w:pPr>
          </w:p>
        </w:tc>
        <w:tc>
          <w:tcPr>
            <w:tcW w:w="68" w:type="dxa"/>
            <w:tcBorders>
              <w:top w:val="single" w:color="000000" w:sz="6" w:space="0"/>
              <w:bottom w:val="nil"/>
            </w:tcBorders>
            <w:vAlign w:val="top"/>
          </w:tcPr>
          <w:p w14:paraId="3BF4D84E">
            <w:pPr>
              <w:rPr>
                <w:rFonts w:ascii="Arial"/>
                <w:sz w:val="21"/>
              </w:rPr>
            </w:pPr>
          </w:p>
        </w:tc>
        <w:tc>
          <w:tcPr>
            <w:tcW w:w="327" w:type="dxa"/>
            <w:vMerge w:val="restart"/>
            <w:tcBorders>
              <w:top w:val="single" w:color="000000" w:sz="6" w:space="0"/>
              <w:bottom w:val="nil"/>
            </w:tcBorders>
            <w:vAlign w:val="top"/>
          </w:tcPr>
          <w:p w14:paraId="25415AD7">
            <w:pPr>
              <w:rPr>
                <w:rFonts w:ascii="Arial"/>
                <w:sz w:val="21"/>
              </w:rPr>
            </w:pPr>
          </w:p>
        </w:tc>
        <w:tc>
          <w:tcPr>
            <w:tcW w:w="371" w:type="dxa"/>
            <w:vMerge w:val="restart"/>
            <w:tcBorders>
              <w:top w:val="single" w:color="000000" w:sz="6" w:space="0"/>
              <w:bottom w:val="nil"/>
            </w:tcBorders>
            <w:vAlign w:val="top"/>
          </w:tcPr>
          <w:p w14:paraId="3E1DA5E5">
            <w:pPr>
              <w:rPr>
                <w:rFonts w:ascii="Arial"/>
                <w:sz w:val="21"/>
              </w:rPr>
            </w:pPr>
          </w:p>
        </w:tc>
        <w:tc>
          <w:tcPr>
            <w:tcW w:w="319" w:type="dxa"/>
            <w:vMerge w:val="restart"/>
            <w:tcBorders>
              <w:top w:val="single" w:color="000000" w:sz="6" w:space="0"/>
              <w:bottom w:val="nil"/>
            </w:tcBorders>
            <w:vAlign w:val="top"/>
          </w:tcPr>
          <w:p w14:paraId="7EE0C6E0">
            <w:pPr>
              <w:rPr>
                <w:rFonts w:ascii="Arial"/>
                <w:sz w:val="21"/>
              </w:rPr>
            </w:pPr>
          </w:p>
        </w:tc>
        <w:tc>
          <w:tcPr>
            <w:tcW w:w="3326" w:type="dxa"/>
            <w:tcBorders>
              <w:top w:val="single" w:color="000000" w:sz="6" w:space="0"/>
            </w:tcBorders>
            <w:vAlign w:val="top"/>
          </w:tcPr>
          <w:p w14:paraId="749DBB3B">
            <w:pPr>
              <w:pStyle w:val="6"/>
              <w:spacing w:before="58" w:line="189" w:lineRule="auto"/>
              <w:ind w:left="13"/>
            </w:pPr>
            <w:r>
              <w:rPr>
                <w:spacing w:val="7"/>
              </w:rPr>
              <w:t>（市、区）遵循</w:t>
            </w:r>
            <w:r>
              <w:rPr>
                <w:rFonts w:ascii="Times New Roman" w:hAnsi="Times New Roman" w:eastAsia="Times New Roman" w:cs="Times New Roman"/>
                <w:spacing w:val="7"/>
              </w:rPr>
              <w:t>“</w:t>
            </w:r>
            <w:r>
              <w:rPr>
                <w:spacing w:val="7"/>
              </w:rPr>
              <w:t>等量替代</w:t>
            </w:r>
            <w:r>
              <w:rPr>
                <w:rFonts w:ascii="Times New Roman" w:hAnsi="Times New Roman" w:eastAsia="Times New Roman" w:cs="Times New Roman"/>
                <w:spacing w:val="7"/>
              </w:rPr>
              <w:t>”</w:t>
            </w:r>
            <w:r>
              <w:rPr>
                <w:spacing w:val="7"/>
              </w:rPr>
              <w:t>原则。</w:t>
            </w:r>
          </w:p>
        </w:tc>
        <w:tc>
          <w:tcPr>
            <w:tcW w:w="2522" w:type="dxa"/>
            <w:tcBorders>
              <w:top w:val="single" w:color="000000" w:sz="6" w:space="0"/>
            </w:tcBorders>
            <w:vAlign w:val="top"/>
          </w:tcPr>
          <w:p w14:paraId="5B10260E">
            <w:pPr>
              <w:rPr>
                <w:rFonts w:ascii="Arial"/>
                <w:sz w:val="21"/>
              </w:rPr>
            </w:pPr>
          </w:p>
        </w:tc>
        <w:tc>
          <w:tcPr>
            <w:tcW w:w="790" w:type="dxa"/>
            <w:tcBorders>
              <w:top w:val="single" w:color="000000" w:sz="6" w:space="0"/>
              <w:right w:val="single" w:color="000000" w:sz="6" w:space="0"/>
            </w:tcBorders>
            <w:vAlign w:val="top"/>
          </w:tcPr>
          <w:p w14:paraId="263DD0F5">
            <w:pPr>
              <w:rPr>
                <w:rFonts w:ascii="Arial"/>
                <w:sz w:val="21"/>
              </w:rPr>
            </w:pPr>
          </w:p>
        </w:tc>
      </w:tr>
      <w:tr w14:paraId="503B2E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411" w:type="dxa"/>
            <w:vMerge w:val="continue"/>
            <w:tcBorders>
              <w:top w:val="nil"/>
              <w:left w:val="single" w:color="000000" w:sz="6" w:space="0"/>
              <w:bottom w:val="nil"/>
            </w:tcBorders>
            <w:vAlign w:val="top"/>
          </w:tcPr>
          <w:p w14:paraId="62319D5A">
            <w:pPr>
              <w:rPr>
                <w:rFonts w:ascii="Arial"/>
                <w:sz w:val="21"/>
              </w:rPr>
            </w:pPr>
          </w:p>
        </w:tc>
        <w:tc>
          <w:tcPr>
            <w:tcW w:w="68" w:type="dxa"/>
            <w:tcBorders>
              <w:top w:val="nil"/>
              <w:bottom w:val="nil"/>
            </w:tcBorders>
            <w:vAlign w:val="top"/>
          </w:tcPr>
          <w:p w14:paraId="5023550D">
            <w:pPr>
              <w:rPr>
                <w:rFonts w:ascii="Arial"/>
                <w:sz w:val="21"/>
              </w:rPr>
            </w:pPr>
          </w:p>
        </w:tc>
        <w:tc>
          <w:tcPr>
            <w:tcW w:w="327" w:type="dxa"/>
            <w:vMerge w:val="continue"/>
            <w:tcBorders>
              <w:top w:val="nil"/>
              <w:bottom w:val="nil"/>
            </w:tcBorders>
            <w:vAlign w:val="top"/>
          </w:tcPr>
          <w:p w14:paraId="19D97D63">
            <w:pPr>
              <w:rPr>
                <w:rFonts w:ascii="Arial"/>
                <w:sz w:val="21"/>
              </w:rPr>
            </w:pPr>
          </w:p>
        </w:tc>
        <w:tc>
          <w:tcPr>
            <w:tcW w:w="371" w:type="dxa"/>
            <w:vMerge w:val="continue"/>
            <w:tcBorders>
              <w:top w:val="nil"/>
              <w:bottom w:val="nil"/>
            </w:tcBorders>
            <w:vAlign w:val="top"/>
          </w:tcPr>
          <w:p w14:paraId="19B44815">
            <w:pPr>
              <w:rPr>
                <w:rFonts w:ascii="Arial"/>
                <w:sz w:val="21"/>
              </w:rPr>
            </w:pPr>
          </w:p>
        </w:tc>
        <w:tc>
          <w:tcPr>
            <w:tcW w:w="319" w:type="dxa"/>
            <w:vMerge w:val="continue"/>
            <w:tcBorders>
              <w:top w:val="nil"/>
              <w:bottom w:val="nil"/>
            </w:tcBorders>
            <w:vAlign w:val="top"/>
          </w:tcPr>
          <w:p w14:paraId="40C08F5F">
            <w:pPr>
              <w:rPr>
                <w:rFonts w:ascii="Arial"/>
                <w:sz w:val="21"/>
              </w:rPr>
            </w:pPr>
          </w:p>
        </w:tc>
        <w:tc>
          <w:tcPr>
            <w:tcW w:w="3326" w:type="dxa"/>
            <w:vAlign w:val="top"/>
          </w:tcPr>
          <w:p w14:paraId="5D249BA6">
            <w:pPr>
              <w:pStyle w:val="6"/>
              <w:spacing w:before="56" w:line="232" w:lineRule="auto"/>
              <w:ind w:left="4" w:right="1" w:firstLine="15"/>
              <w:jc w:val="both"/>
            </w:pPr>
            <w:r>
              <w:rPr>
                <w:rFonts w:ascii="Times New Roman" w:hAnsi="Times New Roman" w:eastAsia="Times New Roman" w:cs="Times New Roman"/>
                <w:spacing w:val="4"/>
              </w:rPr>
              <w:t>12.</w:t>
            </w:r>
            <w:r>
              <w:rPr>
                <w:spacing w:val="4"/>
              </w:rPr>
              <w:t>到</w:t>
            </w:r>
            <w:r>
              <w:rPr>
                <w:spacing w:val="-23"/>
              </w:rPr>
              <w:t xml:space="preserve"> </w:t>
            </w:r>
            <w:r>
              <w:rPr>
                <w:rFonts w:ascii="Times New Roman" w:hAnsi="Times New Roman" w:eastAsia="Times New Roman" w:cs="Times New Roman"/>
                <w:spacing w:val="4"/>
              </w:rPr>
              <w:t xml:space="preserve">2025 </w:t>
            </w:r>
            <w:r>
              <w:rPr>
                <w:spacing w:val="4"/>
              </w:rPr>
              <w:t>年，</w:t>
            </w:r>
            <w:r>
              <w:rPr>
                <w:spacing w:val="-59"/>
              </w:rPr>
              <w:t xml:space="preserve"> </w:t>
            </w:r>
            <w:r>
              <w:rPr>
                <w:spacing w:val="4"/>
              </w:rPr>
              <w:t>曲靖市重点行业重点</w:t>
            </w:r>
            <w:r>
              <w:rPr>
                <w:spacing w:val="10"/>
              </w:rPr>
              <w:t>重金属污染物排放量比</w:t>
            </w:r>
            <w:r>
              <w:rPr>
                <w:spacing w:val="-24"/>
              </w:rPr>
              <w:t xml:space="preserve"> </w:t>
            </w:r>
            <w:r>
              <w:rPr>
                <w:rFonts w:ascii="Times New Roman" w:hAnsi="Times New Roman" w:eastAsia="Times New Roman" w:cs="Times New Roman"/>
                <w:spacing w:val="10"/>
              </w:rPr>
              <w:t>2020</w:t>
            </w:r>
            <w:r>
              <w:rPr>
                <w:rFonts w:ascii="Times New Roman" w:hAnsi="Times New Roman" w:eastAsia="Times New Roman" w:cs="Times New Roman"/>
                <w:spacing w:val="18"/>
              </w:rPr>
              <w:t xml:space="preserve"> </w:t>
            </w:r>
            <w:r>
              <w:rPr>
                <w:spacing w:val="10"/>
              </w:rPr>
              <w:t>年下降</w:t>
            </w:r>
            <w:r>
              <w:rPr>
                <w:rFonts w:ascii="Times New Roman" w:hAnsi="Times New Roman" w:eastAsia="Times New Roman" w:cs="Times New Roman"/>
                <w:spacing w:val="1"/>
              </w:rPr>
              <w:t>6%</w:t>
            </w:r>
            <w:r>
              <w:rPr>
                <w:spacing w:val="1"/>
              </w:rPr>
              <w:t>。</w:t>
            </w:r>
          </w:p>
        </w:tc>
        <w:tc>
          <w:tcPr>
            <w:tcW w:w="2522" w:type="dxa"/>
            <w:vAlign w:val="top"/>
          </w:tcPr>
          <w:p w14:paraId="7B3E700C">
            <w:pPr>
              <w:pStyle w:val="6"/>
              <w:spacing w:before="55" w:line="252" w:lineRule="auto"/>
              <w:ind w:left="11" w:hanging="2"/>
            </w:pPr>
            <w:r>
              <w:rPr>
                <w:spacing w:val="8"/>
              </w:rPr>
              <w:t>本项目为输变电工程，不属</w:t>
            </w:r>
            <w:r>
              <w:rPr>
                <w:spacing w:val="6"/>
              </w:rPr>
              <w:t>于该条所列项目。</w:t>
            </w:r>
          </w:p>
        </w:tc>
        <w:tc>
          <w:tcPr>
            <w:tcW w:w="790" w:type="dxa"/>
            <w:tcBorders>
              <w:right w:val="single" w:color="000000" w:sz="6" w:space="0"/>
            </w:tcBorders>
            <w:vAlign w:val="top"/>
          </w:tcPr>
          <w:p w14:paraId="728DBEF2">
            <w:pPr>
              <w:pStyle w:val="6"/>
              <w:spacing w:before="56" w:line="228" w:lineRule="auto"/>
              <w:ind w:left="159"/>
            </w:pPr>
            <w:r>
              <w:rPr>
                <w:spacing w:val="3"/>
              </w:rPr>
              <w:t>符合</w:t>
            </w:r>
          </w:p>
        </w:tc>
      </w:tr>
      <w:tr w14:paraId="082264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4" w:hRule="atLeast"/>
        </w:trPr>
        <w:tc>
          <w:tcPr>
            <w:tcW w:w="411" w:type="dxa"/>
            <w:vMerge w:val="continue"/>
            <w:tcBorders>
              <w:top w:val="nil"/>
              <w:left w:val="single" w:color="000000" w:sz="6" w:space="0"/>
              <w:bottom w:val="nil"/>
            </w:tcBorders>
            <w:vAlign w:val="top"/>
          </w:tcPr>
          <w:p w14:paraId="160D3519">
            <w:pPr>
              <w:rPr>
                <w:rFonts w:ascii="Arial"/>
                <w:sz w:val="21"/>
              </w:rPr>
            </w:pPr>
          </w:p>
        </w:tc>
        <w:tc>
          <w:tcPr>
            <w:tcW w:w="68" w:type="dxa"/>
            <w:tcBorders>
              <w:top w:val="nil"/>
              <w:bottom w:val="nil"/>
            </w:tcBorders>
            <w:vAlign w:val="top"/>
          </w:tcPr>
          <w:p w14:paraId="63F111DB">
            <w:pPr>
              <w:rPr>
                <w:rFonts w:ascii="Arial"/>
                <w:sz w:val="21"/>
              </w:rPr>
            </w:pPr>
          </w:p>
        </w:tc>
        <w:tc>
          <w:tcPr>
            <w:tcW w:w="327" w:type="dxa"/>
            <w:vMerge w:val="continue"/>
            <w:tcBorders>
              <w:top w:val="nil"/>
              <w:bottom w:val="nil"/>
            </w:tcBorders>
            <w:vAlign w:val="top"/>
          </w:tcPr>
          <w:p w14:paraId="52B2241A">
            <w:pPr>
              <w:rPr>
                <w:rFonts w:ascii="Arial"/>
                <w:sz w:val="21"/>
              </w:rPr>
            </w:pPr>
          </w:p>
        </w:tc>
        <w:tc>
          <w:tcPr>
            <w:tcW w:w="371" w:type="dxa"/>
            <w:vMerge w:val="continue"/>
            <w:tcBorders>
              <w:top w:val="nil"/>
              <w:bottom w:val="nil"/>
            </w:tcBorders>
            <w:vAlign w:val="top"/>
          </w:tcPr>
          <w:p w14:paraId="59B1D9A8">
            <w:pPr>
              <w:rPr>
                <w:rFonts w:ascii="Arial"/>
                <w:sz w:val="21"/>
              </w:rPr>
            </w:pPr>
          </w:p>
        </w:tc>
        <w:tc>
          <w:tcPr>
            <w:tcW w:w="319" w:type="dxa"/>
            <w:vMerge w:val="continue"/>
            <w:tcBorders>
              <w:top w:val="nil"/>
            </w:tcBorders>
            <w:vAlign w:val="top"/>
          </w:tcPr>
          <w:p w14:paraId="040F04FB">
            <w:pPr>
              <w:rPr>
                <w:rFonts w:ascii="Arial"/>
                <w:sz w:val="21"/>
              </w:rPr>
            </w:pPr>
          </w:p>
        </w:tc>
        <w:tc>
          <w:tcPr>
            <w:tcW w:w="3326" w:type="dxa"/>
            <w:vAlign w:val="top"/>
          </w:tcPr>
          <w:p w14:paraId="42DAA4C2">
            <w:pPr>
              <w:pStyle w:val="6"/>
              <w:spacing w:before="54"/>
              <w:ind w:left="2" w:firstLine="17"/>
              <w:jc w:val="both"/>
            </w:pPr>
            <w:r>
              <w:rPr>
                <w:rFonts w:ascii="Times New Roman" w:hAnsi="Times New Roman" w:eastAsia="Times New Roman" w:cs="Times New Roman"/>
                <w:spacing w:val="6"/>
              </w:rPr>
              <w:t>13.</w:t>
            </w:r>
            <w:r>
              <w:rPr>
                <w:spacing w:val="6"/>
              </w:rPr>
              <w:t>到</w:t>
            </w:r>
            <w:r>
              <w:rPr>
                <w:spacing w:val="-23"/>
              </w:rPr>
              <w:t xml:space="preserve"> </w:t>
            </w:r>
            <w:r>
              <w:rPr>
                <w:rFonts w:ascii="Times New Roman" w:hAnsi="Times New Roman" w:eastAsia="Times New Roman" w:cs="Times New Roman"/>
                <w:spacing w:val="6"/>
              </w:rPr>
              <w:t xml:space="preserve">2025 </w:t>
            </w:r>
            <w:r>
              <w:rPr>
                <w:spacing w:val="6"/>
              </w:rPr>
              <w:t>年，全市化学需氧量、氨</w:t>
            </w:r>
            <w:r>
              <w:rPr>
                <w:spacing w:val="7"/>
              </w:rPr>
              <w:t>氮、氮氧化物、挥发性有机物排放总</w:t>
            </w:r>
            <w:r>
              <w:rPr>
                <w:spacing w:val="14"/>
              </w:rPr>
              <w:t>量等重点工程减排量分别达到</w:t>
            </w:r>
            <w:r>
              <w:rPr>
                <w:spacing w:val="-22"/>
              </w:rPr>
              <w:t xml:space="preserve"> </w:t>
            </w:r>
            <w:r>
              <w:rPr>
                <w:rFonts w:ascii="Times New Roman" w:hAnsi="Times New Roman" w:eastAsia="Times New Roman" w:cs="Times New Roman"/>
                <w:spacing w:val="14"/>
              </w:rPr>
              <w:t>7984</w:t>
            </w:r>
            <w:r>
              <w:rPr>
                <w:spacing w:val="2"/>
              </w:rPr>
              <w:t>吨、</w:t>
            </w:r>
            <w:r>
              <w:rPr>
                <w:rFonts w:ascii="Times New Roman" w:hAnsi="Times New Roman" w:eastAsia="Times New Roman" w:cs="Times New Roman"/>
                <w:spacing w:val="2"/>
              </w:rPr>
              <w:t>496</w:t>
            </w:r>
            <w:r>
              <w:rPr>
                <w:rFonts w:ascii="Times New Roman" w:hAnsi="Times New Roman" w:eastAsia="Times New Roman" w:cs="Times New Roman"/>
                <w:spacing w:val="32"/>
              </w:rPr>
              <w:t xml:space="preserve"> </w:t>
            </w:r>
            <w:r>
              <w:rPr>
                <w:spacing w:val="2"/>
              </w:rPr>
              <w:t>吨、</w:t>
            </w:r>
            <w:r>
              <w:rPr>
                <w:rFonts w:ascii="Times New Roman" w:hAnsi="Times New Roman" w:eastAsia="Times New Roman" w:cs="Times New Roman"/>
                <w:spacing w:val="2"/>
              </w:rPr>
              <w:t>3611</w:t>
            </w:r>
            <w:r>
              <w:rPr>
                <w:rFonts w:ascii="Times New Roman" w:hAnsi="Times New Roman" w:eastAsia="Times New Roman" w:cs="Times New Roman"/>
                <w:spacing w:val="17"/>
              </w:rPr>
              <w:t xml:space="preserve"> </w:t>
            </w:r>
            <w:r>
              <w:rPr>
                <w:spacing w:val="2"/>
              </w:rPr>
              <w:t>吨、</w:t>
            </w:r>
            <w:r>
              <w:rPr>
                <w:rFonts w:ascii="Times New Roman" w:hAnsi="Times New Roman" w:eastAsia="Times New Roman" w:cs="Times New Roman"/>
                <w:spacing w:val="2"/>
              </w:rPr>
              <w:t>1181</w:t>
            </w:r>
            <w:r>
              <w:rPr>
                <w:rFonts w:ascii="Times New Roman" w:hAnsi="Times New Roman" w:eastAsia="Times New Roman" w:cs="Times New Roman"/>
                <w:spacing w:val="19"/>
                <w:w w:val="101"/>
              </w:rPr>
              <w:t xml:space="preserve"> </w:t>
            </w:r>
            <w:r>
              <w:rPr>
                <w:spacing w:val="2"/>
              </w:rPr>
              <w:t>吨。</w:t>
            </w:r>
          </w:p>
        </w:tc>
        <w:tc>
          <w:tcPr>
            <w:tcW w:w="2522" w:type="dxa"/>
            <w:vAlign w:val="top"/>
          </w:tcPr>
          <w:p w14:paraId="19BE45AC">
            <w:pPr>
              <w:pStyle w:val="6"/>
              <w:spacing w:before="52" w:line="252" w:lineRule="auto"/>
              <w:ind w:left="8" w:firstLine="1"/>
              <w:jc w:val="both"/>
            </w:pPr>
            <w:r>
              <w:rPr>
                <w:spacing w:val="8"/>
              </w:rPr>
              <w:t>本项目为输变电工程，不涉</w:t>
            </w:r>
            <w:r>
              <w:rPr>
                <w:spacing w:val="9"/>
              </w:rPr>
              <w:t>及化学需氧量、氨氮、氮氧</w:t>
            </w:r>
            <w:r>
              <w:rPr>
                <w:spacing w:val="7"/>
              </w:rPr>
              <w:t>化物、挥发性有机物排放。</w:t>
            </w:r>
          </w:p>
        </w:tc>
        <w:tc>
          <w:tcPr>
            <w:tcW w:w="790" w:type="dxa"/>
            <w:tcBorders>
              <w:right w:val="single" w:color="000000" w:sz="6" w:space="0"/>
            </w:tcBorders>
            <w:vAlign w:val="top"/>
          </w:tcPr>
          <w:p w14:paraId="5F654E59">
            <w:pPr>
              <w:pStyle w:val="6"/>
              <w:spacing w:before="51" w:line="228" w:lineRule="auto"/>
              <w:ind w:left="159"/>
            </w:pPr>
            <w:r>
              <w:rPr>
                <w:spacing w:val="3"/>
              </w:rPr>
              <w:t>符合</w:t>
            </w:r>
          </w:p>
        </w:tc>
      </w:tr>
      <w:tr w14:paraId="03BFD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411" w:type="dxa"/>
            <w:vMerge w:val="continue"/>
            <w:tcBorders>
              <w:top w:val="nil"/>
              <w:left w:val="single" w:color="000000" w:sz="6" w:space="0"/>
              <w:bottom w:val="nil"/>
            </w:tcBorders>
            <w:vAlign w:val="top"/>
          </w:tcPr>
          <w:p w14:paraId="1FD6A162">
            <w:pPr>
              <w:rPr>
                <w:rFonts w:ascii="Arial"/>
                <w:sz w:val="21"/>
              </w:rPr>
            </w:pPr>
          </w:p>
        </w:tc>
        <w:tc>
          <w:tcPr>
            <w:tcW w:w="68" w:type="dxa"/>
            <w:tcBorders>
              <w:top w:val="nil"/>
              <w:bottom w:val="nil"/>
            </w:tcBorders>
            <w:vAlign w:val="top"/>
          </w:tcPr>
          <w:p w14:paraId="44E86952">
            <w:pPr>
              <w:spacing w:line="228" w:lineRule="exact"/>
              <w:rPr>
                <w:rFonts w:ascii="Arial"/>
                <w:sz w:val="19"/>
              </w:rPr>
            </w:pPr>
          </w:p>
        </w:tc>
        <w:tc>
          <w:tcPr>
            <w:tcW w:w="327" w:type="dxa"/>
            <w:vMerge w:val="continue"/>
            <w:tcBorders>
              <w:top w:val="nil"/>
              <w:bottom w:val="nil"/>
            </w:tcBorders>
            <w:vAlign w:val="top"/>
          </w:tcPr>
          <w:p w14:paraId="5949F22F">
            <w:pPr>
              <w:rPr>
                <w:rFonts w:ascii="Arial"/>
                <w:sz w:val="21"/>
              </w:rPr>
            </w:pPr>
          </w:p>
        </w:tc>
        <w:tc>
          <w:tcPr>
            <w:tcW w:w="371" w:type="dxa"/>
            <w:vMerge w:val="continue"/>
            <w:tcBorders>
              <w:top w:val="nil"/>
              <w:bottom w:val="nil"/>
            </w:tcBorders>
            <w:vAlign w:val="top"/>
          </w:tcPr>
          <w:p w14:paraId="01C33E63">
            <w:pPr>
              <w:rPr>
                <w:rFonts w:ascii="Arial"/>
                <w:sz w:val="21"/>
              </w:rPr>
            </w:pPr>
          </w:p>
        </w:tc>
        <w:tc>
          <w:tcPr>
            <w:tcW w:w="319" w:type="dxa"/>
            <w:vMerge w:val="restart"/>
            <w:tcBorders>
              <w:bottom w:val="nil"/>
            </w:tcBorders>
            <w:textDirection w:val="tbRlV"/>
            <w:vAlign w:val="top"/>
          </w:tcPr>
          <w:p w14:paraId="0584C331">
            <w:pPr>
              <w:pStyle w:val="6"/>
              <w:spacing w:before="59" w:line="217" w:lineRule="auto"/>
              <w:ind w:left="37"/>
            </w:pPr>
            <w:r>
              <w:rPr>
                <w:spacing w:val="8"/>
              </w:rPr>
              <w:t>环</w:t>
            </w:r>
            <w:r>
              <w:rPr>
                <w:spacing w:val="-32"/>
              </w:rPr>
              <w:t xml:space="preserve"> </w:t>
            </w:r>
            <w:r>
              <w:rPr>
                <w:spacing w:val="8"/>
              </w:rPr>
              <w:t>境</w:t>
            </w:r>
            <w:r>
              <w:rPr>
                <w:spacing w:val="-38"/>
              </w:rPr>
              <w:t xml:space="preserve"> </w:t>
            </w:r>
            <w:r>
              <w:rPr>
                <w:spacing w:val="8"/>
              </w:rPr>
              <w:t>风</w:t>
            </w:r>
            <w:r>
              <w:rPr>
                <w:spacing w:val="-35"/>
              </w:rPr>
              <w:t xml:space="preserve"> </w:t>
            </w:r>
            <w:r>
              <w:rPr>
                <w:spacing w:val="8"/>
              </w:rPr>
              <w:t>险</w:t>
            </w:r>
            <w:r>
              <w:rPr>
                <w:spacing w:val="-37"/>
              </w:rPr>
              <w:t xml:space="preserve"> </w:t>
            </w:r>
            <w:r>
              <w:rPr>
                <w:spacing w:val="8"/>
              </w:rPr>
              <w:t>防</w:t>
            </w:r>
            <w:r>
              <w:rPr>
                <w:spacing w:val="-38"/>
              </w:rPr>
              <w:t xml:space="preserve"> </w:t>
            </w:r>
            <w:r>
              <w:rPr>
                <w:spacing w:val="8"/>
              </w:rPr>
              <w:t>控</w:t>
            </w:r>
          </w:p>
        </w:tc>
        <w:tc>
          <w:tcPr>
            <w:tcW w:w="3326" w:type="dxa"/>
            <w:vMerge w:val="restart"/>
            <w:tcBorders>
              <w:bottom w:val="nil"/>
            </w:tcBorders>
            <w:vAlign w:val="top"/>
          </w:tcPr>
          <w:p w14:paraId="5374E65E">
            <w:pPr>
              <w:pStyle w:val="6"/>
              <w:spacing w:before="38" w:line="253" w:lineRule="auto"/>
              <w:ind w:left="2" w:firstLine="17"/>
              <w:jc w:val="both"/>
            </w:pPr>
            <w:r>
              <w:rPr>
                <w:rFonts w:ascii="Times New Roman" w:hAnsi="Times New Roman" w:eastAsia="Times New Roman" w:cs="Times New Roman"/>
                <w:spacing w:val="6"/>
              </w:rPr>
              <w:t>1.</w:t>
            </w:r>
            <w:r>
              <w:rPr>
                <w:rFonts w:ascii="Times New Roman" w:hAnsi="Times New Roman" w:eastAsia="Times New Roman" w:cs="Times New Roman"/>
                <w:spacing w:val="-5"/>
              </w:rPr>
              <w:t xml:space="preserve"> </w:t>
            </w:r>
            <w:r>
              <w:rPr>
                <w:spacing w:val="6"/>
              </w:rPr>
              <w:t>以南盘江、北盘江、牛栏江流域为</w:t>
            </w:r>
            <w:r>
              <w:rPr>
                <w:spacing w:val="7"/>
              </w:rPr>
              <w:t>重点，按规范开展流域工业企业、工业集聚区环境风险评估，落实防控措</w:t>
            </w:r>
            <w:r>
              <w:t>施。</w:t>
            </w:r>
          </w:p>
        </w:tc>
        <w:tc>
          <w:tcPr>
            <w:tcW w:w="2522" w:type="dxa"/>
            <w:vMerge w:val="restart"/>
            <w:tcBorders>
              <w:bottom w:val="nil"/>
            </w:tcBorders>
            <w:vAlign w:val="top"/>
          </w:tcPr>
          <w:p w14:paraId="01E17F02">
            <w:pPr>
              <w:pStyle w:val="6"/>
              <w:spacing w:before="43" w:line="246" w:lineRule="auto"/>
              <w:ind w:left="8" w:firstLine="4"/>
              <w:jc w:val="both"/>
            </w:pPr>
            <w:r>
              <w:rPr>
                <w:spacing w:val="8"/>
              </w:rPr>
              <w:t>项目输电线路工程不涉及环</w:t>
            </w:r>
            <w:r>
              <w:rPr>
                <w:spacing w:val="9"/>
              </w:rPr>
              <w:t>境风险物质，升压站环境风险物质主要包括废机油、变压器油等，废机油经收集后委托资质单位清运处置；变压器油又设置了事故油池，经采取措施后，对周边环境的环境风险较小。项目建成后，将按要求编制突发环境</w:t>
            </w:r>
            <w:r>
              <w:rPr>
                <w:spacing w:val="7"/>
              </w:rPr>
              <w:t>事件应急预案，备案。</w:t>
            </w:r>
          </w:p>
        </w:tc>
        <w:tc>
          <w:tcPr>
            <w:tcW w:w="790" w:type="dxa"/>
            <w:tcBorders>
              <w:right w:val="single" w:color="000000" w:sz="6" w:space="0"/>
            </w:tcBorders>
            <w:vAlign w:val="top"/>
          </w:tcPr>
          <w:p w14:paraId="543673DF">
            <w:pPr>
              <w:pStyle w:val="6"/>
              <w:spacing w:before="37" w:line="176" w:lineRule="auto"/>
              <w:ind w:left="159"/>
            </w:pPr>
            <w:r>
              <w:rPr>
                <w:spacing w:val="3"/>
              </w:rPr>
              <w:t>符合</w:t>
            </w:r>
          </w:p>
        </w:tc>
      </w:tr>
      <w:tr w14:paraId="1B9AA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5" w:hRule="atLeast"/>
        </w:trPr>
        <w:tc>
          <w:tcPr>
            <w:tcW w:w="411" w:type="dxa"/>
            <w:vMerge w:val="continue"/>
            <w:tcBorders>
              <w:top w:val="nil"/>
              <w:left w:val="single" w:color="000000" w:sz="6" w:space="0"/>
              <w:bottom w:val="nil"/>
            </w:tcBorders>
            <w:vAlign w:val="top"/>
          </w:tcPr>
          <w:p w14:paraId="36F99C9D">
            <w:pPr>
              <w:rPr>
                <w:rFonts w:ascii="Arial"/>
                <w:sz w:val="21"/>
              </w:rPr>
            </w:pPr>
          </w:p>
        </w:tc>
        <w:tc>
          <w:tcPr>
            <w:tcW w:w="68" w:type="dxa"/>
            <w:tcBorders>
              <w:top w:val="nil"/>
              <w:bottom w:val="nil"/>
            </w:tcBorders>
            <w:vAlign w:val="top"/>
          </w:tcPr>
          <w:p w14:paraId="433A2FFD">
            <w:pPr>
              <w:rPr>
                <w:rFonts w:ascii="Arial"/>
                <w:sz w:val="21"/>
              </w:rPr>
            </w:pPr>
          </w:p>
        </w:tc>
        <w:tc>
          <w:tcPr>
            <w:tcW w:w="327" w:type="dxa"/>
            <w:vMerge w:val="continue"/>
            <w:tcBorders>
              <w:top w:val="nil"/>
              <w:bottom w:val="nil"/>
            </w:tcBorders>
            <w:vAlign w:val="top"/>
          </w:tcPr>
          <w:p w14:paraId="66A1D85D">
            <w:pPr>
              <w:rPr>
                <w:rFonts w:ascii="Arial"/>
                <w:sz w:val="21"/>
              </w:rPr>
            </w:pPr>
          </w:p>
        </w:tc>
        <w:tc>
          <w:tcPr>
            <w:tcW w:w="371" w:type="dxa"/>
            <w:vMerge w:val="continue"/>
            <w:tcBorders>
              <w:top w:val="nil"/>
              <w:bottom w:val="nil"/>
            </w:tcBorders>
            <w:vAlign w:val="top"/>
          </w:tcPr>
          <w:p w14:paraId="4BA6BD35">
            <w:pPr>
              <w:rPr>
                <w:rFonts w:ascii="Arial"/>
                <w:sz w:val="21"/>
              </w:rPr>
            </w:pPr>
          </w:p>
        </w:tc>
        <w:tc>
          <w:tcPr>
            <w:tcW w:w="319" w:type="dxa"/>
            <w:vMerge w:val="continue"/>
            <w:tcBorders>
              <w:top w:val="nil"/>
              <w:bottom w:val="nil"/>
            </w:tcBorders>
            <w:textDirection w:val="tbRlV"/>
            <w:vAlign w:val="top"/>
          </w:tcPr>
          <w:p w14:paraId="68EFAECE">
            <w:pPr>
              <w:rPr>
                <w:rFonts w:ascii="Arial"/>
                <w:sz w:val="21"/>
              </w:rPr>
            </w:pPr>
          </w:p>
        </w:tc>
        <w:tc>
          <w:tcPr>
            <w:tcW w:w="3326" w:type="dxa"/>
            <w:vMerge w:val="continue"/>
            <w:tcBorders>
              <w:top w:val="nil"/>
            </w:tcBorders>
            <w:vAlign w:val="top"/>
          </w:tcPr>
          <w:p w14:paraId="462C5685">
            <w:pPr>
              <w:rPr>
                <w:rFonts w:ascii="Arial"/>
                <w:sz w:val="21"/>
              </w:rPr>
            </w:pPr>
          </w:p>
        </w:tc>
        <w:tc>
          <w:tcPr>
            <w:tcW w:w="2522" w:type="dxa"/>
            <w:vMerge w:val="continue"/>
            <w:tcBorders>
              <w:top w:val="nil"/>
            </w:tcBorders>
            <w:vAlign w:val="top"/>
          </w:tcPr>
          <w:p w14:paraId="1B276004">
            <w:pPr>
              <w:rPr>
                <w:rFonts w:ascii="Arial"/>
                <w:sz w:val="21"/>
              </w:rPr>
            </w:pPr>
          </w:p>
        </w:tc>
        <w:tc>
          <w:tcPr>
            <w:tcW w:w="790" w:type="dxa"/>
            <w:tcBorders>
              <w:right w:val="single" w:color="000000" w:sz="6" w:space="0"/>
            </w:tcBorders>
            <w:vAlign w:val="top"/>
          </w:tcPr>
          <w:p w14:paraId="2630C11C">
            <w:pPr>
              <w:pStyle w:val="6"/>
              <w:spacing w:before="72" w:line="228" w:lineRule="auto"/>
              <w:ind w:left="159"/>
            </w:pPr>
            <w:r>
              <w:rPr>
                <w:spacing w:val="3"/>
              </w:rPr>
              <w:t>符合</w:t>
            </w:r>
          </w:p>
        </w:tc>
      </w:tr>
      <w:tr w14:paraId="2121C7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0" w:hRule="atLeast"/>
        </w:trPr>
        <w:tc>
          <w:tcPr>
            <w:tcW w:w="411" w:type="dxa"/>
            <w:vMerge w:val="continue"/>
            <w:tcBorders>
              <w:top w:val="nil"/>
              <w:left w:val="single" w:color="000000" w:sz="6" w:space="0"/>
              <w:bottom w:val="nil"/>
            </w:tcBorders>
            <w:vAlign w:val="top"/>
          </w:tcPr>
          <w:p w14:paraId="245A9F24">
            <w:pPr>
              <w:rPr>
                <w:rFonts w:ascii="Arial"/>
                <w:sz w:val="21"/>
              </w:rPr>
            </w:pPr>
          </w:p>
        </w:tc>
        <w:tc>
          <w:tcPr>
            <w:tcW w:w="68" w:type="dxa"/>
            <w:tcBorders>
              <w:top w:val="nil"/>
              <w:bottom w:val="nil"/>
            </w:tcBorders>
            <w:vAlign w:val="top"/>
          </w:tcPr>
          <w:p w14:paraId="4E7FB452">
            <w:pPr>
              <w:rPr>
                <w:rFonts w:ascii="Arial"/>
                <w:sz w:val="21"/>
              </w:rPr>
            </w:pPr>
          </w:p>
        </w:tc>
        <w:tc>
          <w:tcPr>
            <w:tcW w:w="327" w:type="dxa"/>
            <w:vMerge w:val="continue"/>
            <w:tcBorders>
              <w:top w:val="nil"/>
              <w:bottom w:val="nil"/>
            </w:tcBorders>
            <w:vAlign w:val="top"/>
          </w:tcPr>
          <w:p w14:paraId="1E4AF525">
            <w:pPr>
              <w:rPr>
                <w:rFonts w:ascii="Arial"/>
                <w:sz w:val="21"/>
              </w:rPr>
            </w:pPr>
          </w:p>
        </w:tc>
        <w:tc>
          <w:tcPr>
            <w:tcW w:w="371" w:type="dxa"/>
            <w:vMerge w:val="continue"/>
            <w:tcBorders>
              <w:top w:val="nil"/>
              <w:bottom w:val="nil"/>
            </w:tcBorders>
            <w:vAlign w:val="top"/>
          </w:tcPr>
          <w:p w14:paraId="68D3834A">
            <w:pPr>
              <w:rPr>
                <w:rFonts w:ascii="Arial"/>
                <w:sz w:val="21"/>
              </w:rPr>
            </w:pPr>
          </w:p>
        </w:tc>
        <w:tc>
          <w:tcPr>
            <w:tcW w:w="319" w:type="dxa"/>
            <w:vMerge w:val="continue"/>
            <w:tcBorders>
              <w:top w:val="nil"/>
              <w:bottom w:val="nil"/>
            </w:tcBorders>
            <w:textDirection w:val="tbRlV"/>
            <w:vAlign w:val="top"/>
          </w:tcPr>
          <w:p w14:paraId="411EE9B2">
            <w:pPr>
              <w:rPr>
                <w:rFonts w:ascii="Arial"/>
                <w:sz w:val="21"/>
              </w:rPr>
            </w:pPr>
          </w:p>
        </w:tc>
        <w:tc>
          <w:tcPr>
            <w:tcW w:w="3326" w:type="dxa"/>
            <w:vAlign w:val="top"/>
          </w:tcPr>
          <w:p w14:paraId="31CBA5D3">
            <w:pPr>
              <w:pStyle w:val="6"/>
              <w:spacing w:before="41" w:line="252" w:lineRule="auto"/>
              <w:ind w:left="2" w:hanging="2"/>
              <w:jc w:val="both"/>
            </w:pPr>
            <w:r>
              <w:rPr>
                <w:rFonts w:ascii="Times New Roman" w:hAnsi="Times New Roman" w:eastAsia="Times New Roman" w:cs="Times New Roman"/>
                <w:spacing w:val="21"/>
              </w:rPr>
              <w:t>2.</w:t>
            </w:r>
            <w:r>
              <w:rPr>
                <w:rFonts w:ascii="Times New Roman" w:hAnsi="Times New Roman" w:eastAsia="Times New Roman" w:cs="Times New Roman"/>
                <w:spacing w:val="-19"/>
              </w:rPr>
              <w:t xml:space="preserve"> </w:t>
            </w:r>
            <w:r>
              <w:rPr>
                <w:spacing w:val="21"/>
              </w:rPr>
              <w:t>开展麒沾马区域大气污染联防联</w:t>
            </w:r>
            <w:r>
              <w:rPr>
                <w:spacing w:val="7"/>
              </w:rPr>
              <w:t>控，逐步推行区域统一规划，统一监测，实行协同的环境准入、落后产能淘汰、机动车环境管理政策和考核评</w:t>
            </w:r>
            <w:r>
              <w:rPr>
                <w:spacing w:val="5"/>
              </w:rPr>
              <w:t>估制度。</w:t>
            </w:r>
          </w:p>
        </w:tc>
        <w:tc>
          <w:tcPr>
            <w:tcW w:w="2522" w:type="dxa"/>
            <w:vAlign w:val="top"/>
          </w:tcPr>
          <w:p w14:paraId="0D8B16E6">
            <w:pPr>
              <w:pStyle w:val="6"/>
              <w:spacing w:before="44" w:line="244" w:lineRule="auto"/>
              <w:ind w:left="8" w:firstLine="4"/>
              <w:jc w:val="both"/>
            </w:pPr>
            <w:r>
              <w:rPr>
                <w:spacing w:val="21"/>
              </w:rPr>
              <w:t>项</w:t>
            </w:r>
            <w:r>
              <w:rPr>
                <w:spacing w:val="-28"/>
              </w:rPr>
              <w:t xml:space="preserve"> </w:t>
            </w:r>
            <w:r>
              <w:rPr>
                <w:spacing w:val="21"/>
              </w:rPr>
              <w:t>目仅施工期产生少量扬</w:t>
            </w:r>
            <w:r>
              <w:rPr>
                <w:spacing w:val="9"/>
              </w:rPr>
              <w:t>尘，经采取洒水降尘、篷布覆盖等措施后，对环境空气影响较小，运营期食堂油烟废气产生量不大，对环境影</w:t>
            </w:r>
            <w:r>
              <w:rPr>
                <w:spacing w:val="4"/>
              </w:rPr>
              <w:t>响较小。</w:t>
            </w:r>
          </w:p>
        </w:tc>
        <w:tc>
          <w:tcPr>
            <w:tcW w:w="790" w:type="dxa"/>
            <w:tcBorders>
              <w:right w:val="single" w:color="000000" w:sz="6" w:space="0"/>
            </w:tcBorders>
            <w:vAlign w:val="top"/>
          </w:tcPr>
          <w:p w14:paraId="22A33353">
            <w:pPr>
              <w:pStyle w:val="6"/>
              <w:spacing w:before="43" w:line="228" w:lineRule="auto"/>
              <w:ind w:left="159"/>
            </w:pPr>
            <w:r>
              <w:rPr>
                <w:spacing w:val="3"/>
              </w:rPr>
              <w:t>符合</w:t>
            </w:r>
          </w:p>
        </w:tc>
      </w:tr>
      <w:tr w14:paraId="45B6D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7" w:hRule="atLeast"/>
        </w:trPr>
        <w:tc>
          <w:tcPr>
            <w:tcW w:w="411" w:type="dxa"/>
            <w:vMerge w:val="continue"/>
            <w:tcBorders>
              <w:top w:val="nil"/>
              <w:left w:val="single" w:color="000000" w:sz="6" w:space="0"/>
              <w:bottom w:val="nil"/>
            </w:tcBorders>
            <w:vAlign w:val="top"/>
          </w:tcPr>
          <w:p w14:paraId="046258FD">
            <w:pPr>
              <w:rPr>
                <w:rFonts w:ascii="Arial"/>
                <w:sz w:val="21"/>
              </w:rPr>
            </w:pPr>
          </w:p>
        </w:tc>
        <w:tc>
          <w:tcPr>
            <w:tcW w:w="68" w:type="dxa"/>
            <w:tcBorders>
              <w:top w:val="nil"/>
              <w:bottom w:val="nil"/>
            </w:tcBorders>
            <w:vAlign w:val="top"/>
          </w:tcPr>
          <w:p w14:paraId="145A402B">
            <w:pPr>
              <w:rPr>
                <w:rFonts w:ascii="Arial"/>
                <w:sz w:val="21"/>
              </w:rPr>
            </w:pPr>
          </w:p>
        </w:tc>
        <w:tc>
          <w:tcPr>
            <w:tcW w:w="327" w:type="dxa"/>
            <w:vMerge w:val="continue"/>
            <w:tcBorders>
              <w:top w:val="nil"/>
              <w:bottom w:val="nil"/>
            </w:tcBorders>
            <w:vAlign w:val="top"/>
          </w:tcPr>
          <w:p w14:paraId="3548134F">
            <w:pPr>
              <w:rPr>
                <w:rFonts w:ascii="Arial"/>
                <w:sz w:val="21"/>
              </w:rPr>
            </w:pPr>
          </w:p>
        </w:tc>
        <w:tc>
          <w:tcPr>
            <w:tcW w:w="371" w:type="dxa"/>
            <w:vMerge w:val="continue"/>
            <w:tcBorders>
              <w:top w:val="nil"/>
              <w:bottom w:val="nil"/>
            </w:tcBorders>
            <w:vAlign w:val="top"/>
          </w:tcPr>
          <w:p w14:paraId="55CAB36A">
            <w:pPr>
              <w:rPr>
                <w:rFonts w:ascii="Arial"/>
                <w:sz w:val="21"/>
              </w:rPr>
            </w:pPr>
          </w:p>
        </w:tc>
        <w:tc>
          <w:tcPr>
            <w:tcW w:w="319" w:type="dxa"/>
            <w:vMerge w:val="continue"/>
            <w:tcBorders>
              <w:top w:val="nil"/>
            </w:tcBorders>
            <w:textDirection w:val="tbRlV"/>
            <w:vAlign w:val="top"/>
          </w:tcPr>
          <w:p w14:paraId="494BDB9C">
            <w:pPr>
              <w:rPr>
                <w:rFonts w:ascii="Arial"/>
                <w:sz w:val="21"/>
              </w:rPr>
            </w:pPr>
          </w:p>
        </w:tc>
        <w:tc>
          <w:tcPr>
            <w:tcW w:w="3326" w:type="dxa"/>
            <w:vAlign w:val="top"/>
          </w:tcPr>
          <w:p w14:paraId="37C06CF7">
            <w:pPr>
              <w:pStyle w:val="6"/>
              <w:spacing w:before="37" w:line="252" w:lineRule="auto"/>
              <w:ind w:left="3"/>
              <w:jc w:val="both"/>
            </w:pPr>
            <w:r>
              <w:rPr>
                <w:rFonts w:ascii="Times New Roman" w:hAnsi="Times New Roman" w:eastAsia="Times New Roman" w:cs="Times New Roman"/>
                <w:spacing w:val="9"/>
              </w:rPr>
              <w:t>3.</w:t>
            </w:r>
            <w:r>
              <w:rPr>
                <w:spacing w:val="9"/>
              </w:rPr>
              <w:t>加强环境风险防控和应急管理，制</w:t>
            </w:r>
            <w:r>
              <w:rPr>
                <w:spacing w:val="21"/>
              </w:rPr>
              <w:t>定和完善突发环境事件和集中式饮</w:t>
            </w:r>
            <w:r>
              <w:rPr>
                <w:spacing w:val="7"/>
              </w:rPr>
              <w:t>用水水源地突发环境事件应急预案，</w:t>
            </w:r>
            <w:r>
              <w:rPr>
                <w:spacing w:val="21"/>
              </w:rPr>
              <w:t>加强风险防控和突发环境事件应急</w:t>
            </w:r>
            <w:r>
              <w:rPr>
                <w:spacing w:val="7"/>
              </w:rPr>
              <w:t>处理处置能力。</w:t>
            </w:r>
          </w:p>
        </w:tc>
        <w:tc>
          <w:tcPr>
            <w:tcW w:w="2522" w:type="dxa"/>
            <w:vAlign w:val="top"/>
          </w:tcPr>
          <w:p w14:paraId="43C41D7A">
            <w:pPr>
              <w:pStyle w:val="6"/>
              <w:spacing w:before="40" w:line="241" w:lineRule="auto"/>
              <w:ind w:left="8" w:firstLine="3"/>
              <w:jc w:val="both"/>
            </w:pPr>
            <w:r>
              <w:rPr>
                <w:spacing w:val="8"/>
              </w:rPr>
              <w:t>项目为输电线路工程，涉及</w:t>
            </w:r>
            <w:r>
              <w:rPr>
                <w:spacing w:val="9"/>
              </w:rPr>
              <w:t>的风险物质主要为主变变压器油，项目建成后，将按要求编制突发环境事件应急预案，报曲靖市生态环境局陆</w:t>
            </w:r>
            <w:r>
              <w:rPr>
                <w:spacing w:val="6"/>
              </w:rPr>
              <w:t>良分局备案。</w:t>
            </w:r>
          </w:p>
        </w:tc>
        <w:tc>
          <w:tcPr>
            <w:tcW w:w="790" w:type="dxa"/>
            <w:tcBorders>
              <w:right w:val="single" w:color="000000" w:sz="6" w:space="0"/>
            </w:tcBorders>
            <w:vAlign w:val="top"/>
          </w:tcPr>
          <w:p w14:paraId="0D3868E7">
            <w:pPr>
              <w:pStyle w:val="6"/>
              <w:spacing w:before="37" w:line="228" w:lineRule="auto"/>
              <w:ind w:left="159"/>
            </w:pPr>
            <w:r>
              <w:rPr>
                <w:spacing w:val="3"/>
              </w:rPr>
              <w:t>符合</w:t>
            </w:r>
          </w:p>
        </w:tc>
      </w:tr>
      <w:tr w14:paraId="1E85E6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0" w:hRule="atLeast"/>
        </w:trPr>
        <w:tc>
          <w:tcPr>
            <w:tcW w:w="411" w:type="dxa"/>
            <w:vMerge w:val="continue"/>
            <w:tcBorders>
              <w:top w:val="nil"/>
              <w:left w:val="single" w:color="000000" w:sz="6" w:space="0"/>
              <w:bottom w:val="nil"/>
            </w:tcBorders>
            <w:vAlign w:val="top"/>
          </w:tcPr>
          <w:p w14:paraId="35790B61">
            <w:pPr>
              <w:rPr>
                <w:rFonts w:ascii="Arial"/>
                <w:sz w:val="21"/>
              </w:rPr>
            </w:pPr>
          </w:p>
        </w:tc>
        <w:tc>
          <w:tcPr>
            <w:tcW w:w="68" w:type="dxa"/>
            <w:tcBorders>
              <w:top w:val="nil"/>
              <w:bottom w:val="nil"/>
            </w:tcBorders>
            <w:vAlign w:val="top"/>
          </w:tcPr>
          <w:p w14:paraId="1C674F21">
            <w:pPr>
              <w:rPr>
                <w:rFonts w:ascii="Arial"/>
                <w:sz w:val="21"/>
              </w:rPr>
            </w:pPr>
          </w:p>
        </w:tc>
        <w:tc>
          <w:tcPr>
            <w:tcW w:w="327" w:type="dxa"/>
            <w:vMerge w:val="continue"/>
            <w:tcBorders>
              <w:top w:val="nil"/>
              <w:bottom w:val="nil"/>
            </w:tcBorders>
            <w:vAlign w:val="top"/>
          </w:tcPr>
          <w:p w14:paraId="10ECC42D">
            <w:pPr>
              <w:rPr>
                <w:rFonts w:ascii="Arial"/>
                <w:sz w:val="21"/>
              </w:rPr>
            </w:pPr>
          </w:p>
        </w:tc>
        <w:tc>
          <w:tcPr>
            <w:tcW w:w="371" w:type="dxa"/>
            <w:vMerge w:val="continue"/>
            <w:tcBorders>
              <w:top w:val="nil"/>
              <w:bottom w:val="nil"/>
            </w:tcBorders>
            <w:vAlign w:val="top"/>
          </w:tcPr>
          <w:p w14:paraId="211FB3AE">
            <w:pPr>
              <w:rPr>
                <w:rFonts w:ascii="Arial"/>
                <w:sz w:val="21"/>
              </w:rPr>
            </w:pPr>
          </w:p>
        </w:tc>
        <w:tc>
          <w:tcPr>
            <w:tcW w:w="319" w:type="dxa"/>
            <w:vMerge w:val="restart"/>
            <w:tcBorders>
              <w:bottom w:val="nil"/>
            </w:tcBorders>
            <w:textDirection w:val="tbRlV"/>
            <w:vAlign w:val="top"/>
          </w:tcPr>
          <w:p w14:paraId="48D2EE89">
            <w:pPr>
              <w:pStyle w:val="6"/>
              <w:spacing w:before="59" w:line="216" w:lineRule="auto"/>
              <w:ind w:left="54"/>
            </w:pPr>
            <w:r>
              <w:rPr>
                <w:spacing w:val="8"/>
              </w:rPr>
              <w:t>资</w:t>
            </w:r>
            <w:r>
              <w:rPr>
                <w:spacing w:val="-32"/>
              </w:rPr>
              <w:t xml:space="preserve"> </w:t>
            </w:r>
            <w:r>
              <w:rPr>
                <w:spacing w:val="8"/>
              </w:rPr>
              <w:t>源</w:t>
            </w:r>
            <w:r>
              <w:rPr>
                <w:spacing w:val="-38"/>
              </w:rPr>
              <w:t xml:space="preserve"> </w:t>
            </w:r>
            <w:r>
              <w:rPr>
                <w:spacing w:val="8"/>
              </w:rPr>
              <w:t>利</w:t>
            </w:r>
            <w:r>
              <w:rPr>
                <w:spacing w:val="-35"/>
              </w:rPr>
              <w:t xml:space="preserve"> </w:t>
            </w:r>
            <w:r>
              <w:rPr>
                <w:spacing w:val="8"/>
              </w:rPr>
              <w:t>用</w:t>
            </w:r>
            <w:r>
              <w:rPr>
                <w:spacing w:val="-37"/>
              </w:rPr>
              <w:t xml:space="preserve"> </w:t>
            </w:r>
            <w:r>
              <w:rPr>
                <w:spacing w:val="8"/>
              </w:rPr>
              <w:t>效</w:t>
            </w:r>
            <w:r>
              <w:rPr>
                <w:spacing w:val="-38"/>
              </w:rPr>
              <w:t xml:space="preserve"> </w:t>
            </w:r>
            <w:r>
              <w:rPr>
                <w:spacing w:val="8"/>
              </w:rPr>
              <w:t>率</w:t>
            </w:r>
          </w:p>
        </w:tc>
        <w:tc>
          <w:tcPr>
            <w:tcW w:w="3326" w:type="dxa"/>
            <w:vAlign w:val="top"/>
          </w:tcPr>
          <w:p w14:paraId="4C7C8C70">
            <w:pPr>
              <w:pStyle w:val="6"/>
              <w:spacing w:before="57" w:line="242" w:lineRule="auto"/>
              <w:ind w:left="3" w:firstLine="16"/>
              <w:jc w:val="both"/>
            </w:pPr>
            <w:r>
              <w:rPr>
                <w:rFonts w:ascii="Times New Roman" w:hAnsi="Times New Roman" w:eastAsia="Times New Roman" w:cs="Times New Roman"/>
                <w:spacing w:val="8"/>
              </w:rPr>
              <w:t>1.</w:t>
            </w:r>
            <w:r>
              <w:rPr>
                <w:spacing w:val="8"/>
              </w:rPr>
              <w:t>建立水资源刚性约束制度，实行水</w:t>
            </w:r>
            <w:r>
              <w:rPr>
                <w:spacing w:val="7"/>
              </w:rPr>
              <w:t>资源消耗总量和强度双控，严格实施取水许可和水资源有偿使用制度，强化用水全过程管理，深入抓好工业、城镇、农业等方面用水量控制，严格</w:t>
            </w:r>
            <w:r>
              <w:rPr>
                <w:spacing w:val="8"/>
              </w:rPr>
              <w:t>规范取水许可审批管理。</w:t>
            </w:r>
          </w:p>
        </w:tc>
        <w:tc>
          <w:tcPr>
            <w:tcW w:w="2522" w:type="dxa"/>
            <w:vAlign w:val="top"/>
          </w:tcPr>
          <w:p w14:paraId="44553A4E">
            <w:pPr>
              <w:pStyle w:val="6"/>
              <w:spacing w:before="52" w:line="253" w:lineRule="auto"/>
              <w:ind w:left="8" w:firstLine="3"/>
              <w:jc w:val="both"/>
            </w:pPr>
            <w:r>
              <w:rPr>
                <w:spacing w:val="3"/>
              </w:rPr>
              <w:t>项目为输电线路工程，施工期塔基施工用水量很少，运营期只涉及生活用水，用水</w:t>
            </w:r>
            <w:r>
              <w:rPr>
                <w:spacing w:val="-8"/>
              </w:rPr>
              <w:t>量较小，对水资源消耗很小。</w:t>
            </w:r>
          </w:p>
        </w:tc>
        <w:tc>
          <w:tcPr>
            <w:tcW w:w="790" w:type="dxa"/>
            <w:tcBorders>
              <w:right w:val="single" w:color="000000" w:sz="6" w:space="0"/>
            </w:tcBorders>
            <w:vAlign w:val="top"/>
          </w:tcPr>
          <w:p w14:paraId="7CC86E45">
            <w:pPr>
              <w:pStyle w:val="6"/>
              <w:spacing w:before="54" w:line="228" w:lineRule="auto"/>
              <w:ind w:left="159"/>
            </w:pPr>
            <w:r>
              <w:rPr>
                <w:spacing w:val="3"/>
              </w:rPr>
              <w:t>符合</w:t>
            </w:r>
          </w:p>
        </w:tc>
      </w:tr>
      <w:tr w14:paraId="622D3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411" w:type="dxa"/>
            <w:vMerge w:val="continue"/>
            <w:tcBorders>
              <w:top w:val="nil"/>
              <w:left w:val="single" w:color="000000" w:sz="6" w:space="0"/>
              <w:bottom w:val="nil"/>
            </w:tcBorders>
            <w:vAlign w:val="top"/>
          </w:tcPr>
          <w:p w14:paraId="34E8646B">
            <w:pPr>
              <w:rPr>
                <w:rFonts w:ascii="Arial"/>
                <w:sz w:val="21"/>
              </w:rPr>
            </w:pPr>
          </w:p>
        </w:tc>
        <w:tc>
          <w:tcPr>
            <w:tcW w:w="68" w:type="dxa"/>
            <w:tcBorders>
              <w:top w:val="nil"/>
              <w:bottom w:val="nil"/>
            </w:tcBorders>
            <w:vAlign w:val="top"/>
          </w:tcPr>
          <w:p w14:paraId="7FCB3876">
            <w:pPr>
              <w:rPr>
                <w:rFonts w:ascii="Arial"/>
                <w:sz w:val="21"/>
              </w:rPr>
            </w:pPr>
          </w:p>
        </w:tc>
        <w:tc>
          <w:tcPr>
            <w:tcW w:w="327" w:type="dxa"/>
            <w:vMerge w:val="continue"/>
            <w:tcBorders>
              <w:top w:val="nil"/>
              <w:bottom w:val="nil"/>
            </w:tcBorders>
            <w:vAlign w:val="top"/>
          </w:tcPr>
          <w:p w14:paraId="264085FF">
            <w:pPr>
              <w:rPr>
                <w:rFonts w:ascii="Arial"/>
                <w:sz w:val="21"/>
              </w:rPr>
            </w:pPr>
          </w:p>
        </w:tc>
        <w:tc>
          <w:tcPr>
            <w:tcW w:w="371" w:type="dxa"/>
            <w:vMerge w:val="continue"/>
            <w:tcBorders>
              <w:top w:val="nil"/>
            </w:tcBorders>
            <w:vAlign w:val="top"/>
          </w:tcPr>
          <w:p w14:paraId="68862002">
            <w:pPr>
              <w:rPr>
                <w:rFonts w:ascii="Arial"/>
                <w:sz w:val="21"/>
              </w:rPr>
            </w:pPr>
          </w:p>
        </w:tc>
        <w:tc>
          <w:tcPr>
            <w:tcW w:w="319" w:type="dxa"/>
            <w:vMerge w:val="continue"/>
            <w:tcBorders>
              <w:top w:val="nil"/>
            </w:tcBorders>
            <w:textDirection w:val="tbRlV"/>
            <w:vAlign w:val="top"/>
          </w:tcPr>
          <w:p w14:paraId="77B40D79">
            <w:pPr>
              <w:rPr>
                <w:rFonts w:ascii="Arial"/>
                <w:sz w:val="21"/>
              </w:rPr>
            </w:pPr>
          </w:p>
        </w:tc>
        <w:tc>
          <w:tcPr>
            <w:tcW w:w="3326" w:type="dxa"/>
            <w:vAlign w:val="top"/>
          </w:tcPr>
          <w:p w14:paraId="514EBDEE">
            <w:pPr>
              <w:pStyle w:val="6"/>
              <w:spacing w:before="49" w:line="252" w:lineRule="auto"/>
              <w:ind w:left="4" w:right="1" w:hanging="4"/>
              <w:jc w:val="both"/>
            </w:pPr>
            <w:r>
              <w:rPr>
                <w:rFonts w:ascii="Times New Roman" w:hAnsi="Times New Roman" w:eastAsia="Times New Roman" w:cs="Times New Roman"/>
                <w:spacing w:val="9"/>
              </w:rPr>
              <w:t>2.</w:t>
            </w:r>
            <w:r>
              <w:rPr>
                <w:spacing w:val="9"/>
              </w:rPr>
              <w:t>坚持最严格的耕地保护制度，坚决</w:t>
            </w:r>
            <w:r>
              <w:rPr>
                <w:spacing w:val="16"/>
              </w:rPr>
              <w:t>制止耕地</w:t>
            </w:r>
            <w:r>
              <w:rPr>
                <w:spacing w:val="-69"/>
              </w:rPr>
              <w:t xml:space="preserve"> </w:t>
            </w:r>
            <w:r>
              <w:rPr>
                <w:rFonts w:ascii="Times New Roman" w:hAnsi="Times New Roman" w:eastAsia="Times New Roman" w:cs="Times New Roman"/>
                <w:spacing w:val="16"/>
              </w:rPr>
              <w:t>“</w:t>
            </w:r>
            <w:r>
              <w:rPr>
                <w:rFonts w:ascii="Times New Roman" w:hAnsi="Times New Roman" w:eastAsia="Times New Roman" w:cs="Times New Roman"/>
                <w:spacing w:val="-18"/>
              </w:rPr>
              <w:t xml:space="preserve"> </w:t>
            </w:r>
            <w:r>
              <w:rPr>
                <w:spacing w:val="16"/>
              </w:rPr>
              <w:t>非农化</w:t>
            </w:r>
            <w:r>
              <w:rPr>
                <w:spacing w:val="-72"/>
              </w:rPr>
              <w:t xml:space="preserve"> </w:t>
            </w:r>
            <w:r>
              <w:rPr>
                <w:rFonts w:ascii="Times New Roman" w:hAnsi="Times New Roman" w:eastAsia="Times New Roman" w:cs="Times New Roman"/>
                <w:spacing w:val="16"/>
              </w:rPr>
              <w:t>”</w:t>
            </w:r>
            <w:r>
              <w:rPr>
                <w:rFonts w:ascii="Times New Roman" w:hAnsi="Times New Roman" w:eastAsia="Times New Roman" w:cs="Times New Roman"/>
                <w:spacing w:val="-9"/>
              </w:rPr>
              <w:t xml:space="preserve"> </w:t>
            </w:r>
            <w:r>
              <w:rPr>
                <w:spacing w:val="16"/>
              </w:rPr>
              <w:t>防止耕地</w:t>
            </w:r>
            <w:r>
              <w:rPr>
                <w:spacing w:val="-72"/>
              </w:rPr>
              <w:t xml:space="preserve"> </w:t>
            </w:r>
            <w:r>
              <w:rPr>
                <w:rFonts w:ascii="Times New Roman" w:hAnsi="Times New Roman" w:eastAsia="Times New Roman" w:cs="Times New Roman"/>
                <w:spacing w:val="16"/>
              </w:rPr>
              <w:t>“</w:t>
            </w:r>
            <w:r>
              <w:rPr>
                <w:rFonts w:ascii="Times New Roman" w:hAnsi="Times New Roman" w:eastAsia="Times New Roman" w:cs="Times New Roman"/>
                <w:spacing w:val="-19"/>
              </w:rPr>
              <w:t xml:space="preserve"> </w:t>
            </w:r>
            <w:r>
              <w:rPr>
                <w:spacing w:val="16"/>
              </w:rPr>
              <w:t>非粮</w:t>
            </w:r>
            <w:r>
              <w:rPr>
                <w:spacing w:val="11"/>
              </w:rPr>
              <w:t>化</w:t>
            </w:r>
            <w:r>
              <w:rPr>
                <w:rFonts w:ascii="Times New Roman" w:hAnsi="Times New Roman" w:eastAsia="Times New Roman" w:cs="Times New Roman"/>
                <w:spacing w:val="11"/>
              </w:rPr>
              <w:t>”</w:t>
            </w:r>
            <w:r>
              <w:rPr>
                <w:rFonts w:ascii="Times New Roman" w:hAnsi="Times New Roman" w:eastAsia="Times New Roman" w:cs="Times New Roman"/>
                <w:spacing w:val="-1"/>
              </w:rPr>
              <w:t xml:space="preserve"> </w:t>
            </w:r>
            <w:r>
              <w:rPr>
                <w:spacing w:val="11"/>
              </w:rPr>
              <w:t>。坚持节约用地，严格执行耕地</w:t>
            </w:r>
            <w:r>
              <w:rPr>
                <w:spacing w:val="7"/>
              </w:rPr>
              <w:t>占补平衡等制度，提高土地投资强度和单位面积产出水平。</w:t>
            </w:r>
          </w:p>
        </w:tc>
        <w:tc>
          <w:tcPr>
            <w:tcW w:w="2522" w:type="dxa"/>
            <w:vAlign w:val="top"/>
          </w:tcPr>
          <w:p w14:paraId="7B3EDCF1">
            <w:pPr>
              <w:pStyle w:val="6"/>
              <w:spacing w:before="48" w:line="243" w:lineRule="auto"/>
              <w:ind w:left="4" w:firstLine="4"/>
              <w:jc w:val="both"/>
            </w:pPr>
            <w:r>
              <w:rPr>
                <w:spacing w:val="7"/>
              </w:rPr>
              <w:t>根据查询，本项目线路</w:t>
            </w:r>
            <w:r>
              <w:rPr>
                <w:spacing w:val="-34"/>
              </w:rPr>
              <w:t xml:space="preserve"> </w:t>
            </w:r>
            <w:r>
              <w:rPr>
                <w:rFonts w:ascii="Times New Roman" w:hAnsi="Times New Roman" w:eastAsia="Times New Roman" w:cs="Times New Roman"/>
                <w:spacing w:val="7"/>
              </w:rPr>
              <w:t xml:space="preserve">9 </w:t>
            </w:r>
            <w:r>
              <w:rPr>
                <w:spacing w:val="7"/>
              </w:rPr>
              <w:t>个</w:t>
            </w:r>
            <w:r>
              <w:rPr>
                <w:spacing w:val="4"/>
              </w:rPr>
              <w:t>塔基占用基本农田，</w:t>
            </w:r>
            <w:r>
              <w:rPr>
                <w:rFonts w:ascii="Times New Roman" w:hAnsi="Times New Roman" w:eastAsia="Times New Roman" w:cs="Times New Roman"/>
                <w:spacing w:val="4"/>
              </w:rPr>
              <w:t xml:space="preserve">36 </w:t>
            </w:r>
            <w:r>
              <w:rPr>
                <w:spacing w:val="4"/>
              </w:rPr>
              <w:t>个塔</w:t>
            </w:r>
            <w:r>
              <w:rPr>
                <w:spacing w:val="5"/>
              </w:rPr>
              <w:t>基占用耕地。</w:t>
            </w:r>
            <w:r>
              <w:rPr>
                <w:spacing w:val="-49"/>
              </w:rPr>
              <w:t xml:space="preserve"> </w:t>
            </w:r>
            <w:r>
              <w:rPr>
                <w:spacing w:val="5"/>
              </w:rPr>
              <w:t>占用的基本农</w:t>
            </w:r>
            <w:r>
              <w:rPr>
                <w:spacing w:val="9"/>
              </w:rPr>
              <w:t>田、耕地施工结束后除塔基</w:t>
            </w:r>
            <w:r>
              <w:rPr>
                <w:rFonts w:ascii="Times New Roman" w:hAnsi="Times New Roman" w:eastAsia="Times New Roman" w:cs="Times New Roman"/>
                <w:spacing w:val="25"/>
              </w:rPr>
              <w:t>4</w:t>
            </w:r>
            <w:r>
              <w:rPr>
                <w:rFonts w:ascii="Times New Roman" w:hAnsi="Times New Roman" w:eastAsia="Times New Roman" w:cs="Times New Roman"/>
                <w:spacing w:val="44"/>
                <w:w w:val="101"/>
              </w:rPr>
              <w:t xml:space="preserve"> </w:t>
            </w:r>
            <w:r>
              <w:rPr>
                <w:spacing w:val="25"/>
              </w:rPr>
              <w:t>个支撑脚外全部进行</w:t>
            </w:r>
            <w:r>
              <w:rPr>
                <w:spacing w:val="-58"/>
              </w:rPr>
              <w:t xml:space="preserve"> </w:t>
            </w:r>
            <w:r>
              <w:rPr>
                <w:spacing w:val="25"/>
              </w:rPr>
              <w:t>复</w:t>
            </w:r>
            <w:r>
              <w:rPr>
                <w:spacing w:val="8"/>
              </w:rPr>
              <w:t>耕，恢复其原有功能。</w:t>
            </w:r>
          </w:p>
        </w:tc>
        <w:tc>
          <w:tcPr>
            <w:tcW w:w="790" w:type="dxa"/>
            <w:tcBorders>
              <w:right w:val="single" w:color="000000" w:sz="6" w:space="0"/>
            </w:tcBorders>
            <w:vAlign w:val="top"/>
          </w:tcPr>
          <w:p w14:paraId="633325F3">
            <w:pPr>
              <w:pStyle w:val="6"/>
              <w:spacing w:before="48" w:line="228" w:lineRule="auto"/>
              <w:ind w:left="159"/>
            </w:pPr>
            <w:r>
              <w:rPr>
                <w:spacing w:val="3"/>
              </w:rPr>
              <w:t>符合</w:t>
            </w:r>
          </w:p>
        </w:tc>
      </w:tr>
      <w:tr w14:paraId="142EB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5" w:hRule="atLeast"/>
        </w:trPr>
        <w:tc>
          <w:tcPr>
            <w:tcW w:w="411" w:type="dxa"/>
            <w:vMerge w:val="continue"/>
            <w:tcBorders>
              <w:top w:val="nil"/>
              <w:left w:val="single" w:color="000000" w:sz="6" w:space="0"/>
              <w:bottom w:val="nil"/>
            </w:tcBorders>
            <w:vAlign w:val="top"/>
          </w:tcPr>
          <w:p w14:paraId="0C862E2F">
            <w:pPr>
              <w:rPr>
                <w:rFonts w:ascii="Arial"/>
                <w:sz w:val="21"/>
              </w:rPr>
            </w:pPr>
          </w:p>
        </w:tc>
        <w:tc>
          <w:tcPr>
            <w:tcW w:w="68" w:type="dxa"/>
            <w:tcBorders>
              <w:top w:val="nil"/>
              <w:bottom w:val="nil"/>
            </w:tcBorders>
            <w:vAlign w:val="top"/>
          </w:tcPr>
          <w:p w14:paraId="404B2C47">
            <w:pPr>
              <w:rPr>
                <w:rFonts w:ascii="Arial"/>
                <w:sz w:val="21"/>
              </w:rPr>
            </w:pPr>
          </w:p>
        </w:tc>
        <w:tc>
          <w:tcPr>
            <w:tcW w:w="327" w:type="dxa"/>
            <w:vMerge w:val="continue"/>
            <w:tcBorders>
              <w:top w:val="nil"/>
              <w:bottom w:val="nil"/>
            </w:tcBorders>
            <w:vAlign w:val="top"/>
          </w:tcPr>
          <w:p w14:paraId="0E201604">
            <w:pPr>
              <w:rPr>
                <w:rFonts w:ascii="Arial"/>
                <w:sz w:val="21"/>
              </w:rPr>
            </w:pPr>
          </w:p>
        </w:tc>
        <w:tc>
          <w:tcPr>
            <w:tcW w:w="371" w:type="dxa"/>
            <w:vMerge w:val="restart"/>
            <w:tcBorders>
              <w:bottom w:val="nil"/>
            </w:tcBorders>
            <w:textDirection w:val="tbRlV"/>
            <w:vAlign w:val="top"/>
          </w:tcPr>
          <w:p w14:paraId="447E34A6">
            <w:pPr>
              <w:pStyle w:val="6"/>
              <w:spacing w:before="83" w:line="216" w:lineRule="auto"/>
              <w:ind w:left="123"/>
            </w:pPr>
            <w:r>
              <w:rPr>
                <w:spacing w:val="-71"/>
                <w:w w:val="46"/>
              </w:rPr>
              <w:t>一</w:t>
            </w:r>
            <w:r>
              <w:rPr>
                <w:spacing w:val="74"/>
              </w:rPr>
              <w:t xml:space="preserve"> </w:t>
            </w:r>
            <w:r>
              <w:rPr>
                <w:spacing w:val="8"/>
              </w:rPr>
              <w:t>般</w:t>
            </w:r>
            <w:r>
              <w:rPr>
                <w:spacing w:val="-35"/>
              </w:rPr>
              <w:t xml:space="preserve"> </w:t>
            </w:r>
            <w:r>
              <w:rPr>
                <w:spacing w:val="8"/>
              </w:rPr>
              <w:t>管</w:t>
            </w:r>
            <w:r>
              <w:rPr>
                <w:spacing w:val="-38"/>
              </w:rPr>
              <w:t xml:space="preserve"> </w:t>
            </w:r>
            <w:r>
              <w:rPr>
                <w:spacing w:val="8"/>
              </w:rPr>
              <w:t>控</w:t>
            </w:r>
            <w:r>
              <w:rPr>
                <w:spacing w:val="-35"/>
              </w:rPr>
              <w:t xml:space="preserve"> </w:t>
            </w:r>
            <w:r>
              <w:rPr>
                <w:spacing w:val="8"/>
              </w:rPr>
              <w:t>单</w:t>
            </w:r>
            <w:r>
              <w:rPr>
                <w:spacing w:val="-37"/>
              </w:rPr>
              <w:t xml:space="preserve"> </w:t>
            </w:r>
            <w:r>
              <w:rPr>
                <w:spacing w:val="8"/>
              </w:rPr>
              <w:t>元</w:t>
            </w:r>
          </w:p>
        </w:tc>
        <w:tc>
          <w:tcPr>
            <w:tcW w:w="319" w:type="dxa"/>
            <w:vMerge w:val="restart"/>
            <w:tcBorders>
              <w:bottom w:val="nil"/>
            </w:tcBorders>
            <w:textDirection w:val="tbRlV"/>
            <w:vAlign w:val="top"/>
          </w:tcPr>
          <w:p w14:paraId="36E36647">
            <w:pPr>
              <w:pStyle w:val="6"/>
              <w:spacing w:before="59" w:line="215" w:lineRule="auto"/>
              <w:ind w:left="45"/>
            </w:pPr>
            <w:r>
              <w:rPr>
                <w:spacing w:val="8"/>
              </w:rPr>
              <w:t>空</w:t>
            </w:r>
            <w:r>
              <w:rPr>
                <w:spacing w:val="-34"/>
              </w:rPr>
              <w:t xml:space="preserve"> </w:t>
            </w:r>
            <w:r>
              <w:rPr>
                <w:spacing w:val="8"/>
              </w:rPr>
              <w:t>间</w:t>
            </w:r>
            <w:r>
              <w:rPr>
                <w:spacing w:val="-36"/>
              </w:rPr>
              <w:t xml:space="preserve"> </w:t>
            </w:r>
            <w:r>
              <w:rPr>
                <w:spacing w:val="8"/>
              </w:rPr>
              <w:t>布</w:t>
            </w:r>
            <w:r>
              <w:rPr>
                <w:spacing w:val="-37"/>
              </w:rPr>
              <w:t xml:space="preserve"> </w:t>
            </w:r>
            <w:r>
              <w:rPr>
                <w:spacing w:val="8"/>
              </w:rPr>
              <w:t>局</w:t>
            </w:r>
            <w:r>
              <w:rPr>
                <w:spacing w:val="-35"/>
              </w:rPr>
              <w:t xml:space="preserve"> </w:t>
            </w:r>
            <w:r>
              <w:rPr>
                <w:spacing w:val="8"/>
              </w:rPr>
              <w:t>约</w:t>
            </w:r>
            <w:r>
              <w:rPr>
                <w:spacing w:val="-38"/>
              </w:rPr>
              <w:t xml:space="preserve"> </w:t>
            </w:r>
            <w:r>
              <w:rPr>
                <w:spacing w:val="8"/>
              </w:rPr>
              <w:t>束</w:t>
            </w:r>
          </w:p>
        </w:tc>
        <w:tc>
          <w:tcPr>
            <w:tcW w:w="3326" w:type="dxa"/>
            <w:vAlign w:val="top"/>
          </w:tcPr>
          <w:p w14:paraId="6CB57D9E">
            <w:pPr>
              <w:pStyle w:val="6"/>
              <w:spacing w:before="44" w:line="253" w:lineRule="auto"/>
              <w:ind w:left="4" w:right="1" w:firstLine="15"/>
              <w:jc w:val="both"/>
            </w:pPr>
            <w:r>
              <w:rPr>
                <w:rFonts w:ascii="Times New Roman" w:hAnsi="Times New Roman" w:eastAsia="Times New Roman" w:cs="Times New Roman"/>
                <w:spacing w:val="8"/>
              </w:rPr>
              <w:t>1.</w:t>
            </w:r>
            <w:r>
              <w:rPr>
                <w:spacing w:val="8"/>
              </w:rPr>
              <w:t>加强耕地和永久基本农田保护，坚</w:t>
            </w:r>
            <w:r>
              <w:rPr>
                <w:spacing w:val="2"/>
              </w:rPr>
              <w:t>决制止耕地</w:t>
            </w:r>
            <w:r>
              <w:rPr>
                <w:rFonts w:ascii="Times New Roman" w:hAnsi="Times New Roman" w:eastAsia="Times New Roman" w:cs="Times New Roman"/>
                <w:spacing w:val="2"/>
              </w:rPr>
              <w:t>“</w:t>
            </w:r>
            <w:r>
              <w:rPr>
                <w:spacing w:val="2"/>
              </w:rPr>
              <w:t>非农化</w:t>
            </w:r>
            <w:r>
              <w:rPr>
                <w:rFonts w:ascii="Times New Roman" w:hAnsi="Times New Roman" w:eastAsia="Times New Roman" w:cs="Times New Roman"/>
                <w:spacing w:val="2"/>
              </w:rPr>
              <w:t>”</w:t>
            </w:r>
            <w:r>
              <w:rPr>
                <w:spacing w:val="2"/>
              </w:rPr>
              <w:t>、防止耕地</w:t>
            </w:r>
            <w:r>
              <w:rPr>
                <w:rFonts w:ascii="Times New Roman" w:hAnsi="Times New Roman" w:eastAsia="Times New Roman" w:cs="Times New Roman"/>
                <w:spacing w:val="2"/>
              </w:rPr>
              <w:t>“</w:t>
            </w:r>
            <w:r>
              <w:rPr>
                <w:spacing w:val="2"/>
              </w:rPr>
              <w:t>非粮</w:t>
            </w:r>
            <w:r>
              <w:rPr>
                <w:spacing w:val="1"/>
              </w:rPr>
              <w:t>化</w:t>
            </w:r>
            <w:r>
              <w:rPr>
                <w:rFonts w:ascii="Times New Roman" w:hAnsi="Times New Roman" w:eastAsia="Times New Roman" w:cs="Times New Roman"/>
                <w:spacing w:val="1"/>
              </w:rPr>
              <w:t>”</w:t>
            </w:r>
            <w:r>
              <w:rPr>
                <w:spacing w:val="1"/>
              </w:rPr>
              <w:t>。</w:t>
            </w:r>
          </w:p>
        </w:tc>
        <w:tc>
          <w:tcPr>
            <w:tcW w:w="2522" w:type="dxa"/>
            <w:vAlign w:val="top"/>
          </w:tcPr>
          <w:p w14:paraId="70D49AC8">
            <w:pPr>
              <w:pStyle w:val="6"/>
              <w:spacing w:before="45"/>
              <w:ind w:left="8"/>
              <w:jc w:val="both"/>
            </w:pPr>
            <w:r>
              <w:rPr>
                <w:spacing w:val="8"/>
              </w:rPr>
              <w:t>本项目塔基占用永久基本农田及耕地，将按照要求办理</w:t>
            </w:r>
            <w:r>
              <w:rPr>
                <w:spacing w:val="4"/>
              </w:rPr>
              <w:t>用地手续。</w:t>
            </w:r>
            <w:r>
              <w:rPr>
                <w:spacing w:val="-41"/>
              </w:rPr>
              <w:t xml:space="preserve"> </w:t>
            </w:r>
            <w:r>
              <w:rPr>
                <w:spacing w:val="4"/>
              </w:rPr>
              <w:t>占用的耕地施工</w:t>
            </w:r>
            <w:r>
              <w:rPr>
                <w:spacing w:val="7"/>
              </w:rPr>
              <w:t>结束后除塔基</w:t>
            </w:r>
            <w:r>
              <w:rPr>
                <w:spacing w:val="-37"/>
              </w:rPr>
              <w:t xml:space="preserve"> </w:t>
            </w:r>
            <w:r>
              <w:rPr>
                <w:rFonts w:ascii="Times New Roman" w:hAnsi="Times New Roman" w:eastAsia="Times New Roman" w:cs="Times New Roman"/>
                <w:spacing w:val="7"/>
              </w:rPr>
              <w:t xml:space="preserve">4 </w:t>
            </w:r>
            <w:r>
              <w:rPr>
                <w:spacing w:val="7"/>
              </w:rPr>
              <w:t>个支撑脚外</w:t>
            </w:r>
            <w:r>
              <w:rPr>
                <w:spacing w:val="8"/>
              </w:rPr>
              <w:t>全部进行复耕，恢复其原有</w:t>
            </w:r>
            <w:r>
              <w:rPr>
                <w:spacing w:val="2"/>
              </w:rPr>
              <w:t>功能。</w:t>
            </w:r>
          </w:p>
        </w:tc>
        <w:tc>
          <w:tcPr>
            <w:tcW w:w="790" w:type="dxa"/>
            <w:tcBorders>
              <w:right w:val="single" w:color="000000" w:sz="6" w:space="0"/>
            </w:tcBorders>
            <w:vAlign w:val="top"/>
          </w:tcPr>
          <w:p w14:paraId="2C7D2DF9">
            <w:pPr>
              <w:pStyle w:val="6"/>
              <w:spacing w:before="44" w:line="228" w:lineRule="auto"/>
              <w:ind w:left="159"/>
            </w:pPr>
            <w:r>
              <w:rPr>
                <w:spacing w:val="3"/>
              </w:rPr>
              <w:t>符合</w:t>
            </w:r>
          </w:p>
        </w:tc>
      </w:tr>
      <w:tr w14:paraId="76E18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411" w:type="dxa"/>
            <w:vMerge w:val="continue"/>
            <w:tcBorders>
              <w:top w:val="nil"/>
              <w:left w:val="single" w:color="000000" w:sz="6" w:space="0"/>
              <w:bottom w:val="single" w:color="000000" w:sz="6" w:space="0"/>
            </w:tcBorders>
            <w:vAlign w:val="top"/>
          </w:tcPr>
          <w:p w14:paraId="6440DF89">
            <w:pPr>
              <w:rPr>
                <w:rFonts w:ascii="Arial"/>
                <w:sz w:val="21"/>
              </w:rPr>
            </w:pPr>
          </w:p>
        </w:tc>
        <w:tc>
          <w:tcPr>
            <w:tcW w:w="68" w:type="dxa"/>
            <w:tcBorders>
              <w:top w:val="nil"/>
              <w:bottom w:val="single" w:color="000000" w:sz="6" w:space="0"/>
            </w:tcBorders>
            <w:vAlign w:val="top"/>
          </w:tcPr>
          <w:p w14:paraId="07EAF6E9">
            <w:pPr>
              <w:rPr>
                <w:rFonts w:ascii="Arial"/>
                <w:sz w:val="21"/>
              </w:rPr>
            </w:pPr>
          </w:p>
        </w:tc>
        <w:tc>
          <w:tcPr>
            <w:tcW w:w="327" w:type="dxa"/>
            <w:vMerge w:val="continue"/>
            <w:tcBorders>
              <w:top w:val="nil"/>
              <w:bottom w:val="single" w:color="000000" w:sz="6" w:space="0"/>
            </w:tcBorders>
            <w:vAlign w:val="top"/>
          </w:tcPr>
          <w:p w14:paraId="2DD30A5D">
            <w:pPr>
              <w:rPr>
                <w:rFonts w:ascii="Arial"/>
                <w:sz w:val="21"/>
              </w:rPr>
            </w:pPr>
          </w:p>
        </w:tc>
        <w:tc>
          <w:tcPr>
            <w:tcW w:w="371" w:type="dxa"/>
            <w:vMerge w:val="continue"/>
            <w:tcBorders>
              <w:top w:val="nil"/>
              <w:bottom w:val="single" w:color="000000" w:sz="6" w:space="0"/>
            </w:tcBorders>
            <w:textDirection w:val="tbRlV"/>
            <w:vAlign w:val="top"/>
          </w:tcPr>
          <w:p w14:paraId="42E90D33">
            <w:pPr>
              <w:rPr>
                <w:rFonts w:ascii="Arial"/>
                <w:sz w:val="21"/>
              </w:rPr>
            </w:pPr>
          </w:p>
        </w:tc>
        <w:tc>
          <w:tcPr>
            <w:tcW w:w="319" w:type="dxa"/>
            <w:vMerge w:val="continue"/>
            <w:tcBorders>
              <w:top w:val="nil"/>
              <w:bottom w:val="single" w:color="000000" w:sz="6" w:space="0"/>
            </w:tcBorders>
            <w:textDirection w:val="tbRlV"/>
            <w:vAlign w:val="top"/>
          </w:tcPr>
          <w:p w14:paraId="4E5126C9">
            <w:pPr>
              <w:rPr>
                <w:rFonts w:ascii="Arial"/>
                <w:sz w:val="21"/>
              </w:rPr>
            </w:pPr>
          </w:p>
        </w:tc>
        <w:tc>
          <w:tcPr>
            <w:tcW w:w="3326" w:type="dxa"/>
            <w:tcBorders>
              <w:bottom w:val="single" w:color="000000" w:sz="6" w:space="0"/>
            </w:tcBorders>
            <w:vAlign w:val="top"/>
          </w:tcPr>
          <w:p w14:paraId="268CBE5C">
            <w:pPr>
              <w:pStyle w:val="6"/>
              <w:spacing w:before="63" w:line="243" w:lineRule="auto"/>
              <w:ind w:left="5" w:hanging="5"/>
            </w:pPr>
            <w:r>
              <w:rPr>
                <w:rFonts w:ascii="Times New Roman" w:hAnsi="Times New Roman" w:eastAsia="Times New Roman" w:cs="Times New Roman"/>
                <w:spacing w:val="10"/>
              </w:rPr>
              <w:t>2.</w:t>
            </w:r>
            <w:r>
              <w:rPr>
                <w:spacing w:val="10"/>
              </w:rPr>
              <w:t>禁止新建、改扩建中小水电项目，</w:t>
            </w:r>
            <w:r>
              <w:rPr>
                <w:spacing w:val="7"/>
              </w:rPr>
              <w:t>现有中小水电站应按照环评批复（环</w:t>
            </w:r>
          </w:p>
        </w:tc>
        <w:tc>
          <w:tcPr>
            <w:tcW w:w="2522" w:type="dxa"/>
            <w:tcBorders>
              <w:bottom w:val="single" w:color="000000" w:sz="6" w:space="0"/>
            </w:tcBorders>
            <w:vAlign w:val="top"/>
          </w:tcPr>
          <w:p w14:paraId="3E96BAA6">
            <w:pPr>
              <w:pStyle w:val="6"/>
              <w:spacing w:before="63" w:line="243" w:lineRule="auto"/>
              <w:ind w:left="12"/>
            </w:pPr>
            <w:r>
              <w:rPr>
                <w:spacing w:val="8"/>
              </w:rPr>
              <w:t>项目为输变电工程，不涉及</w:t>
            </w:r>
            <w:r>
              <w:rPr>
                <w:spacing w:val="6"/>
              </w:rPr>
              <w:t>该条所列项目。</w:t>
            </w:r>
          </w:p>
        </w:tc>
        <w:tc>
          <w:tcPr>
            <w:tcW w:w="790" w:type="dxa"/>
            <w:tcBorders>
              <w:bottom w:val="single" w:color="000000" w:sz="6" w:space="0"/>
              <w:right w:val="single" w:color="000000" w:sz="6" w:space="0"/>
            </w:tcBorders>
            <w:vAlign w:val="top"/>
          </w:tcPr>
          <w:p w14:paraId="3344FBF6">
            <w:pPr>
              <w:pStyle w:val="6"/>
              <w:spacing w:before="64" w:line="228" w:lineRule="auto"/>
              <w:ind w:left="159"/>
            </w:pPr>
            <w:r>
              <w:rPr>
                <w:spacing w:val="3"/>
              </w:rPr>
              <w:t>符合</w:t>
            </w:r>
          </w:p>
        </w:tc>
      </w:tr>
    </w:tbl>
    <w:p w14:paraId="5A3338E8">
      <w:pPr>
        <w:rPr>
          <w:rFonts w:ascii="Arial"/>
          <w:sz w:val="21"/>
        </w:rPr>
      </w:pPr>
    </w:p>
    <w:p w14:paraId="2DE0F470">
      <w:pPr>
        <w:rPr>
          <w:rFonts w:ascii="Arial" w:hAnsi="Arial" w:eastAsia="Arial" w:cs="Arial"/>
          <w:sz w:val="21"/>
          <w:szCs w:val="21"/>
        </w:rPr>
        <w:sectPr>
          <w:footerReference r:id="rId23" w:type="default"/>
          <w:pgSz w:w="11907" w:h="16840"/>
          <w:pgMar w:top="400" w:right="1786" w:bottom="1240" w:left="1774" w:header="0" w:footer="1077" w:gutter="0"/>
          <w:cols w:space="720" w:num="1"/>
        </w:sectPr>
      </w:pPr>
    </w:p>
    <w:p w14:paraId="68BC28B9">
      <w:pPr>
        <w:spacing w:before="19"/>
      </w:pPr>
      <w:r>
        <w:pict>
          <v:shape id="_x0000_s1028" o:spid="_x0000_s1028" style="position:absolute;left:0pt;margin-left:111.05pt;margin-top:523.5pt;height:233.4pt;width:0.5pt;mso-position-horizontal-relative:page;mso-position-vertical-relative:page;z-index:251664384;mso-width-relative:page;mso-height-relative:page;" filled="f" stroked="t" coordsize="10,4667" o:allowincell="f" path="m4,0l4,4667e">
            <v:fill on="f" focussize="0,0"/>
            <v:stroke weight="0.48pt" color="#000000" miterlimit="2" joinstyle="bevel"/>
            <v:imagedata o:title=""/>
            <o:lock v:ext="edit"/>
          </v:shape>
        </w:pict>
      </w:r>
    </w:p>
    <w:p w14:paraId="18808D26">
      <w:pPr>
        <w:spacing w:before="19"/>
      </w:pPr>
    </w:p>
    <w:p w14:paraId="5CA9C10E">
      <w:pPr>
        <w:spacing w:before="18"/>
      </w:pPr>
    </w:p>
    <w:p w14:paraId="30DFE1B6">
      <w:pPr>
        <w:spacing w:before="18"/>
      </w:pPr>
    </w:p>
    <w:tbl>
      <w:tblPr>
        <w:tblStyle w:val="5"/>
        <w:tblW w:w="813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1"/>
        <w:gridCol w:w="395"/>
        <w:gridCol w:w="289"/>
        <w:gridCol w:w="82"/>
        <w:gridCol w:w="318"/>
        <w:gridCol w:w="2905"/>
        <w:gridCol w:w="421"/>
        <w:gridCol w:w="2531"/>
        <w:gridCol w:w="782"/>
      </w:tblGrid>
      <w:tr w14:paraId="7FCED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411" w:type="dxa"/>
            <w:vMerge w:val="restart"/>
            <w:tcBorders>
              <w:top w:val="single" w:color="000000" w:sz="6" w:space="0"/>
              <w:left w:val="single" w:color="000000" w:sz="6" w:space="0"/>
              <w:bottom w:val="nil"/>
            </w:tcBorders>
            <w:vAlign w:val="top"/>
          </w:tcPr>
          <w:p w14:paraId="523DB100">
            <w:pPr>
              <w:rPr>
                <w:rFonts w:ascii="Arial"/>
                <w:sz w:val="21"/>
              </w:rPr>
            </w:pPr>
          </w:p>
        </w:tc>
        <w:tc>
          <w:tcPr>
            <w:tcW w:w="395" w:type="dxa"/>
            <w:vMerge w:val="restart"/>
            <w:tcBorders>
              <w:top w:val="single" w:color="000000" w:sz="6" w:space="0"/>
              <w:bottom w:val="nil"/>
            </w:tcBorders>
            <w:vAlign w:val="top"/>
          </w:tcPr>
          <w:p w14:paraId="22B32C32">
            <w:pPr>
              <w:rPr>
                <w:rFonts w:ascii="Arial"/>
                <w:sz w:val="21"/>
              </w:rPr>
            </w:pPr>
            <w:r>
              <w:pict>
                <v:shape id="_x0000_s1029" o:spid="_x0000_s1029" style="position:absolute;left:0pt;margin-left:3pt;margin-top:1.75pt;height:314.7pt;width:0.25pt;mso-position-horizontal-relative:page;mso-position-vertical-relative:page;z-index:251663360;mso-width-relative:page;mso-height-relative:page;" filled="f" stroked="t" coordsize="5,6294" path="m2,0l2,6293e">
                  <v:fill on="f" focussize="0,0"/>
                  <v:stroke weight="0.24pt" color="#000000" miterlimit="2" joinstyle="bevel"/>
                  <v:imagedata o:title=""/>
                  <o:lock v:ext="edit"/>
                </v:shape>
              </w:pict>
            </w:r>
          </w:p>
        </w:tc>
        <w:tc>
          <w:tcPr>
            <w:tcW w:w="371" w:type="dxa"/>
            <w:gridSpan w:val="2"/>
            <w:vMerge w:val="restart"/>
            <w:tcBorders>
              <w:top w:val="single" w:color="000000" w:sz="6" w:space="0"/>
              <w:bottom w:val="nil"/>
            </w:tcBorders>
            <w:vAlign w:val="top"/>
          </w:tcPr>
          <w:p w14:paraId="2AF18CB8">
            <w:pPr>
              <w:rPr>
                <w:rFonts w:ascii="Arial"/>
                <w:sz w:val="21"/>
              </w:rPr>
            </w:pPr>
          </w:p>
        </w:tc>
        <w:tc>
          <w:tcPr>
            <w:tcW w:w="318" w:type="dxa"/>
            <w:tcBorders>
              <w:top w:val="single" w:color="000000" w:sz="6" w:space="0"/>
            </w:tcBorders>
            <w:vAlign w:val="top"/>
          </w:tcPr>
          <w:p w14:paraId="201F35C9">
            <w:pPr>
              <w:rPr>
                <w:rFonts w:ascii="Arial"/>
                <w:sz w:val="21"/>
              </w:rPr>
            </w:pPr>
          </w:p>
        </w:tc>
        <w:tc>
          <w:tcPr>
            <w:tcW w:w="3326" w:type="dxa"/>
            <w:gridSpan w:val="2"/>
            <w:tcBorders>
              <w:top w:val="single" w:color="000000" w:sz="6" w:space="0"/>
            </w:tcBorders>
            <w:vAlign w:val="top"/>
          </w:tcPr>
          <w:p w14:paraId="124C0EDC">
            <w:pPr>
              <w:pStyle w:val="6"/>
              <w:spacing w:before="58" w:line="239" w:lineRule="auto"/>
              <w:ind w:left="3"/>
              <w:jc w:val="both"/>
            </w:pPr>
            <w:r>
              <w:rPr>
                <w:spacing w:val="21"/>
              </w:rPr>
              <w:t>评批复未明确生态流量的根据来水</w:t>
            </w:r>
            <w:r>
              <w:rPr>
                <w:spacing w:val="8"/>
              </w:rPr>
              <w:t>量科学确定生态流量</w:t>
            </w:r>
            <w:r>
              <w:rPr>
                <w:spacing w:val="1"/>
              </w:rPr>
              <w:t>），</w:t>
            </w:r>
            <w:r>
              <w:rPr>
                <w:spacing w:val="8"/>
              </w:rPr>
              <w:t>确保连续稳</w:t>
            </w:r>
            <w:r>
              <w:rPr>
                <w:spacing w:val="7"/>
              </w:rPr>
              <w:t>定下泄生态流量。</w:t>
            </w:r>
          </w:p>
        </w:tc>
        <w:tc>
          <w:tcPr>
            <w:tcW w:w="2531" w:type="dxa"/>
            <w:tcBorders>
              <w:top w:val="single" w:color="000000" w:sz="6" w:space="0"/>
            </w:tcBorders>
            <w:vAlign w:val="top"/>
          </w:tcPr>
          <w:p w14:paraId="5A1668AA">
            <w:pPr>
              <w:rPr>
                <w:rFonts w:ascii="Arial"/>
                <w:sz w:val="21"/>
              </w:rPr>
            </w:pPr>
          </w:p>
        </w:tc>
        <w:tc>
          <w:tcPr>
            <w:tcW w:w="782" w:type="dxa"/>
            <w:tcBorders>
              <w:top w:val="single" w:color="000000" w:sz="6" w:space="0"/>
              <w:right w:val="single" w:color="000000" w:sz="6" w:space="0"/>
            </w:tcBorders>
            <w:vAlign w:val="top"/>
          </w:tcPr>
          <w:p w14:paraId="2A0B1F90">
            <w:pPr>
              <w:rPr>
                <w:rFonts w:ascii="Arial"/>
                <w:sz w:val="21"/>
              </w:rPr>
            </w:pPr>
          </w:p>
        </w:tc>
      </w:tr>
      <w:tr w14:paraId="5BCFF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4" w:hRule="atLeast"/>
        </w:trPr>
        <w:tc>
          <w:tcPr>
            <w:tcW w:w="411" w:type="dxa"/>
            <w:vMerge w:val="continue"/>
            <w:tcBorders>
              <w:top w:val="nil"/>
              <w:left w:val="single" w:color="000000" w:sz="6" w:space="0"/>
              <w:bottom w:val="nil"/>
            </w:tcBorders>
            <w:vAlign w:val="top"/>
          </w:tcPr>
          <w:p w14:paraId="7EDB53A6">
            <w:pPr>
              <w:rPr>
                <w:rFonts w:ascii="Arial"/>
                <w:sz w:val="21"/>
              </w:rPr>
            </w:pPr>
          </w:p>
        </w:tc>
        <w:tc>
          <w:tcPr>
            <w:tcW w:w="395" w:type="dxa"/>
            <w:vMerge w:val="continue"/>
            <w:tcBorders>
              <w:top w:val="nil"/>
              <w:bottom w:val="nil"/>
            </w:tcBorders>
            <w:vAlign w:val="top"/>
          </w:tcPr>
          <w:p w14:paraId="3CF6305E">
            <w:pPr>
              <w:rPr>
                <w:rFonts w:ascii="Arial"/>
                <w:sz w:val="21"/>
              </w:rPr>
            </w:pPr>
          </w:p>
        </w:tc>
        <w:tc>
          <w:tcPr>
            <w:tcW w:w="371" w:type="dxa"/>
            <w:gridSpan w:val="2"/>
            <w:vMerge w:val="continue"/>
            <w:tcBorders>
              <w:top w:val="nil"/>
              <w:bottom w:val="nil"/>
            </w:tcBorders>
            <w:vAlign w:val="top"/>
          </w:tcPr>
          <w:p w14:paraId="31881590">
            <w:pPr>
              <w:rPr>
                <w:rFonts w:ascii="Arial"/>
                <w:sz w:val="21"/>
              </w:rPr>
            </w:pPr>
          </w:p>
        </w:tc>
        <w:tc>
          <w:tcPr>
            <w:tcW w:w="318" w:type="dxa"/>
            <w:textDirection w:val="tbRlV"/>
            <w:vAlign w:val="top"/>
          </w:tcPr>
          <w:p w14:paraId="5FC18F14">
            <w:pPr>
              <w:pStyle w:val="6"/>
              <w:spacing w:before="58" w:line="216" w:lineRule="auto"/>
              <w:ind w:left="29"/>
            </w:pPr>
            <w:r>
              <w:rPr>
                <w:spacing w:val="8"/>
              </w:rPr>
              <w:t>污</w:t>
            </w:r>
            <w:r>
              <w:rPr>
                <w:spacing w:val="-34"/>
              </w:rPr>
              <w:t xml:space="preserve"> </w:t>
            </w:r>
            <w:r>
              <w:rPr>
                <w:spacing w:val="8"/>
              </w:rPr>
              <w:t>染</w:t>
            </w:r>
            <w:r>
              <w:rPr>
                <w:spacing w:val="-35"/>
              </w:rPr>
              <w:t xml:space="preserve"> </w:t>
            </w:r>
            <w:r>
              <w:rPr>
                <w:spacing w:val="8"/>
              </w:rPr>
              <w:t>物</w:t>
            </w:r>
            <w:r>
              <w:rPr>
                <w:spacing w:val="-37"/>
              </w:rPr>
              <w:t xml:space="preserve"> </w:t>
            </w:r>
            <w:r>
              <w:rPr>
                <w:spacing w:val="8"/>
              </w:rPr>
              <w:t>排</w:t>
            </w:r>
            <w:r>
              <w:rPr>
                <w:spacing w:val="-36"/>
              </w:rPr>
              <w:t xml:space="preserve"> </w:t>
            </w:r>
            <w:r>
              <w:rPr>
                <w:spacing w:val="8"/>
              </w:rPr>
              <w:t>放</w:t>
            </w:r>
            <w:r>
              <w:rPr>
                <w:spacing w:val="-37"/>
              </w:rPr>
              <w:t xml:space="preserve"> </w:t>
            </w:r>
            <w:r>
              <w:rPr>
                <w:spacing w:val="8"/>
              </w:rPr>
              <w:t>管</w:t>
            </w:r>
            <w:r>
              <w:rPr>
                <w:spacing w:val="-35"/>
              </w:rPr>
              <w:t xml:space="preserve"> </w:t>
            </w:r>
            <w:r>
              <w:rPr>
                <w:spacing w:val="8"/>
              </w:rPr>
              <w:t>控</w:t>
            </w:r>
          </w:p>
        </w:tc>
        <w:tc>
          <w:tcPr>
            <w:tcW w:w="3326" w:type="dxa"/>
            <w:gridSpan w:val="2"/>
            <w:vAlign w:val="top"/>
          </w:tcPr>
          <w:p w14:paraId="26E51FE9">
            <w:pPr>
              <w:pStyle w:val="6"/>
              <w:spacing w:before="28" w:line="252" w:lineRule="auto"/>
              <w:ind w:left="29" w:hanging="8"/>
            </w:pPr>
            <w:r>
              <w:rPr>
                <w:rFonts w:ascii="Times New Roman" w:hAnsi="Times New Roman" w:eastAsia="Times New Roman" w:cs="Times New Roman"/>
                <w:spacing w:val="-3"/>
              </w:rPr>
              <w:t>1.</w:t>
            </w:r>
            <w:r>
              <w:rPr>
                <w:spacing w:val="-3"/>
              </w:rPr>
              <w:t>严禁污水灌溉，灌溉用水应满足《农</w:t>
            </w:r>
            <w:r>
              <w:rPr>
                <w:spacing w:val="3"/>
              </w:rPr>
              <w:t>田灌溉水质标准》。</w:t>
            </w:r>
          </w:p>
        </w:tc>
        <w:tc>
          <w:tcPr>
            <w:tcW w:w="2531" w:type="dxa"/>
            <w:vAlign w:val="top"/>
          </w:tcPr>
          <w:p w14:paraId="3BC4231B">
            <w:pPr>
              <w:pStyle w:val="6"/>
              <w:spacing w:before="28" w:line="228" w:lineRule="auto"/>
              <w:ind w:left="13"/>
            </w:pPr>
            <w:r>
              <w:rPr>
                <w:spacing w:val="7"/>
              </w:rPr>
              <w:t>项目不涉及污水灌溉。</w:t>
            </w:r>
          </w:p>
        </w:tc>
        <w:tc>
          <w:tcPr>
            <w:tcW w:w="782" w:type="dxa"/>
            <w:tcBorders>
              <w:right w:val="single" w:color="000000" w:sz="6" w:space="0"/>
            </w:tcBorders>
            <w:vAlign w:val="top"/>
          </w:tcPr>
          <w:p w14:paraId="7800C535">
            <w:pPr>
              <w:pStyle w:val="6"/>
              <w:spacing w:before="28" w:line="228" w:lineRule="auto"/>
              <w:ind w:left="151"/>
            </w:pPr>
            <w:r>
              <w:rPr>
                <w:spacing w:val="3"/>
              </w:rPr>
              <w:t>符合</w:t>
            </w:r>
          </w:p>
        </w:tc>
      </w:tr>
      <w:tr w14:paraId="52E6D1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3" w:hRule="atLeast"/>
        </w:trPr>
        <w:tc>
          <w:tcPr>
            <w:tcW w:w="411" w:type="dxa"/>
            <w:vMerge w:val="continue"/>
            <w:tcBorders>
              <w:top w:val="nil"/>
              <w:left w:val="single" w:color="000000" w:sz="6" w:space="0"/>
              <w:bottom w:val="nil"/>
            </w:tcBorders>
            <w:vAlign w:val="top"/>
          </w:tcPr>
          <w:p w14:paraId="0BEE0780">
            <w:pPr>
              <w:rPr>
                <w:rFonts w:ascii="Arial"/>
                <w:sz w:val="21"/>
              </w:rPr>
            </w:pPr>
          </w:p>
        </w:tc>
        <w:tc>
          <w:tcPr>
            <w:tcW w:w="395" w:type="dxa"/>
            <w:vMerge w:val="continue"/>
            <w:tcBorders>
              <w:top w:val="nil"/>
              <w:bottom w:val="nil"/>
            </w:tcBorders>
            <w:vAlign w:val="top"/>
          </w:tcPr>
          <w:p w14:paraId="577F40D0">
            <w:pPr>
              <w:rPr>
                <w:rFonts w:ascii="Arial"/>
                <w:sz w:val="21"/>
              </w:rPr>
            </w:pPr>
          </w:p>
        </w:tc>
        <w:tc>
          <w:tcPr>
            <w:tcW w:w="371" w:type="dxa"/>
            <w:gridSpan w:val="2"/>
            <w:vMerge w:val="continue"/>
            <w:tcBorders>
              <w:top w:val="nil"/>
              <w:bottom w:val="nil"/>
            </w:tcBorders>
            <w:vAlign w:val="top"/>
          </w:tcPr>
          <w:p w14:paraId="2467B4A2">
            <w:pPr>
              <w:rPr>
                <w:rFonts w:ascii="Arial"/>
                <w:sz w:val="21"/>
              </w:rPr>
            </w:pPr>
          </w:p>
        </w:tc>
        <w:tc>
          <w:tcPr>
            <w:tcW w:w="318" w:type="dxa"/>
            <w:textDirection w:val="tbRlV"/>
            <w:vAlign w:val="top"/>
          </w:tcPr>
          <w:p w14:paraId="7159970F">
            <w:pPr>
              <w:pStyle w:val="6"/>
              <w:spacing w:before="58" w:line="217" w:lineRule="auto"/>
              <w:ind w:left="30"/>
            </w:pPr>
            <w:r>
              <w:rPr>
                <w:spacing w:val="8"/>
              </w:rPr>
              <w:t>环</w:t>
            </w:r>
            <w:r>
              <w:rPr>
                <w:spacing w:val="-32"/>
              </w:rPr>
              <w:t xml:space="preserve"> </w:t>
            </w:r>
            <w:r>
              <w:rPr>
                <w:spacing w:val="8"/>
              </w:rPr>
              <w:t>境</w:t>
            </w:r>
            <w:r>
              <w:rPr>
                <w:spacing w:val="-38"/>
              </w:rPr>
              <w:t xml:space="preserve"> </w:t>
            </w:r>
            <w:r>
              <w:rPr>
                <w:spacing w:val="8"/>
              </w:rPr>
              <w:t>风</w:t>
            </w:r>
            <w:r>
              <w:rPr>
                <w:spacing w:val="-35"/>
              </w:rPr>
              <w:t xml:space="preserve"> </w:t>
            </w:r>
            <w:r>
              <w:rPr>
                <w:spacing w:val="8"/>
              </w:rPr>
              <w:t>险</w:t>
            </w:r>
            <w:r>
              <w:rPr>
                <w:spacing w:val="-37"/>
              </w:rPr>
              <w:t xml:space="preserve"> </w:t>
            </w:r>
            <w:r>
              <w:rPr>
                <w:spacing w:val="8"/>
              </w:rPr>
              <w:t>防</w:t>
            </w:r>
            <w:r>
              <w:rPr>
                <w:spacing w:val="-38"/>
              </w:rPr>
              <w:t xml:space="preserve"> </w:t>
            </w:r>
            <w:r>
              <w:rPr>
                <w:spacing w:val="8"/>
              </w:rPr>
              <w:t>控</w:t>
            </w:r>
          </w:p>
        </w:tc>
        <w:tc>
          <w:tcPr>
            <w:tcW w:w="3326" w:type="dxa"/>
            <w:gridSpan w:val="2"/>
            <w:vAlign w:val="top"/>
          </w:tcPr>
          <w:p w14:paraId="77D71B4C">
            <w:pPr>
              <w:pStyle w:val="6"/>
              <w:spacing w:before="30" w:line="252" w:lineRule="auto"/>
              <w:ind w:left="4" w:firstLine="16"/>
              <w:jc w:val="both"/>
            </w:pPr>
            <w:r>
              <w:rPr>
                <w:rFonts w:ascii="Times New Roman" w:hAnsi="Times New Roman" w:eastAsia="Times New Roman" w:cs="Times New Roman"/>
                <w:spacing w:val="8"/>
              </w:rPr>
              <w:t>1.</w:t>
            </w:r>
            <w:r>
              <w:rPr>
                <w:spacing w:val="8"/>
              </w:rPr>
              <w:t>加强环境风险防控应急体系建设，</w:t>
            </w:r>
            <w:r>
              <w:rPr>
                <w:spacing w:val="7"/>
              </w:rPr>
              <w:t>加强环境应急预案管理，定期开展应急演练，持续开展环境安全隐患排查整治，提升应急监测能力，加强应急</w:t>
            </w:r>
            <w:r>
              <w:rPr>
                <w:spacing w:val="5"/>
              </w:rPr>
              <w:t>物资管理。</w:t>
            </w:r>
          </w:p>
        </w:tc>
        <w:tc>
          <w:tcPr>
            <w:tcW w:w="2531" w:type="dxa"/>
            <w:vAlign w:val="top"/>
          </w:tcPr>
          <w:p w14:paraId="4AA8AA16">
            <w:pPr>
              <w:pStyle w:val="6"/>
              <w:spacing w:before="30" w:line="245" w:lineRule="auto"/>
              <w:ind w:left="9" w:right="1" w:firstLine="3"/>
              <w:jc w:val="both"/>
            </w:pPr>
            <w:r>
              <w:rPr>
                <w:spacing w:val="9"/>
              </w:rPr>
              <w:t>项目为输电线路工程，涉及的风险物质主要为主变变压器油，项目建成后，将按要求编制突发环境事件应急预案，报曲靖市生态环境局陆</w:t>
            </w:r>
            <w:r>
              <w:rPr>
                <w:spacing w:val="6"/>
              </w:rPr>
              <w:t>良分局备案。</w:t>
            </w:r>
          </w:p>
        </w:tc>
        <w:tc>
          <w:tcPr>
            <w:tcW w:w="782" w:type="dxa"/>
            <w:tcBorders>
              <w:right w:val="single" w:color="000000" w:sz="6" w:space="0"/>
            </w:tcBorders>
            <w:vAlign w:val="top"/>
          </w:tcPr>
          <w:p w14:paraId="33A6AFB1">
            <w:pPr>
              <w:pStyle w:val="6"/>
              <w:spacing w:before="30" w:line="228" w:lineRule="auto"/>
              <w:ind w:left="151"/>
            </w:pPr>
            <w:r>
              <w:rPr>
                <w:spacing w:val="3"/>
              </w:rPr>
              <w:t>符合</w:t>
            </w:r>
          </w:p>
        </w:tc>
      </w:tr>
      <w:tr w14:paraId="7CFF2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411" w:type="dxa"/>
            <w:vMerge w:val="continue"/>
            <w:tcBorders>
              <w:top w:val="nil"/>
              <w:left w:val="single" w:color="000000" w:sz="6" w:space="0"/>
              <w:bottom w:val="nil"/>
            </w:tcBorders>
            <w:vAlign w:val="top"/>
          </w:tcPr>
          <w:p w14:paraId="21AD2D49">
            <w:pPr>
              <w:rPr>
                <w:rFonts w:ascii="Arial"/>
                <w:sz w:val="21"/>
              </w:rPr>
            </w:pPr>
          </w:p>
        </w:tc>
        <w:tc>
          <w:tcPr>
            <w:tcW w:w="395" w:type="dxa"/>
            <w:vMerge w:val="continue"/>
            <w:tcBorders>
              <w:top w:val="nil"/>
              <w:bottom w:val="nil"/>
            </w:tcBorders>
            <w:vAlign w:val="top"/>
          </w:tcPr>
          <w:p w14:paraId="37D95662">
            <w:pPr>
              <w:rPr>
                <w:rFonts w:ascii="Arial"/>
                <w:sz w:val="21"/>
              </w:rPr>
            </w:pPr>
          </w:p>
        </w:tc>
        <w:tc>
          <w:tcPr>
            <w:tcW w:w="371" w:type="dxa"/>
            <w:gridSpan w:val="2"/>
            <w:vMerge w:val="continue"/>
            <w:tcBorders>
              <w:top w:val="nil"/>
              <w:bottom w:val="nil"/>
            </w:tcBorders>
            <w:vAlign w:val="top"/>
          </w:tcPr>
          <w:p w14:paraId="08DE517E">
            <w:pPr>
              <w:rPr>
                <w:rFonts w:ascii="Arial"/>
                <w:sz w:val="21"/>
              </w:rPr>
            </w:pPr>
          </w:p>
        </w:tc>
        <w:tc>
          <w:tcPr>
            <w:tcW w:w="318" w:type="dxa"/>
            <w:vMerge w:val="restart"/>
            <w:tcBorders>
              <w:bottom w:val="nil"/>
            </w:tcBorders>
            <w:textDirection w:val="tbRlV"/>
            <w:vAlign w:val="top"/>
          </w:tcPr>
          <w:p w14:paraId="0DDE94D6">
            <w:pPr>
              <w:pStyle w:val="6"/>
              <w:spacing w:before="58" w:line="216" w:lineRule="auto"/>
              <w:ind w:left="31"/>
            </w:pPr>
            <w:r>
              <w:rPr>
                <w:spacing w:val="8"/>
              </w:rPr>
              <w:t>资</w:t>
            </w:r>
            <w:r>
              <w:rPr>
                <w:spacing w:val="-32"/>
              </w:rPr>
              <w:t xml:space="preserve"> </w:t>
            </w:r>
            <w:r>
              <w:rPr>
                <w:spacing w:val="8"/>
              </w:rPr>
              <w:t>源</w:t>
            </w:r>
            <w:r>
              <w:rPr>
                <w:spacing w:val="-38"/>
              </w:rPr>
              <w:t xml:space="preserve"> </w:t>
            </w:r>
            <w:r>
              <w:rPr>
                <w:spacing w:val="8"/>
              </w:rPr>
              <w:t>开</w:t>
            </w:r>
            <w:r>
              <w:rPr>
                <w:spacing w:val="-35"/>
              </w:rPr>
              <w:t xml:space="preserve"> </w:t>
            </w:r>
            <w:r>
              <w:rPr>
                <w:spacing w:val="8"/>
              </w:rPr>
              <w:t>发</w:t>
            </w:r>
            <w:r>
              <w:rPr>
                <w:spacing w:val="-37"/>
              </w:rPr>
              <w:t xml:space="preserve"> </w:t>
            </w:r>
            <w:r>
              <w:rPr>
                <w:spacing w:val="8"/>
              </w:rPr>
              <w:t>效</w:t>
            </w:r>
            <w:r>
              <w:rPr>
                <w:spacing w:val="-38"/>
              </w:rPr>
              <w:t xml:space="preserve"> </w:t>
            </w:r>
            <w:r>
              <w:rPr>
                <w:spacing w:val="8"/>
              </w:rPr>
              <w:t>率</w:t>
            </w:r>
          </w:p>
        </w:tc>
        <w:tc>
          <w:tcPr>
            <w:tcW w:w="3326" w:type="dxa"/>
            <w:gridSpan w:val="2"/>
            <w:vAlign w:val="top"/>
          </w:tcPr>
          <w:p w14:paraId="65E41F87">
            <w:pPr>
              <w:pStyle w:val="6"/>
              <w:spacing w:before="31" w:line="228" w:lineRule="auto"/>
              <w:jc w:val="right"/>
            </w:pPr>
            <w:r>
              <w:rPr>
                <w:rFonts w:ascii="Times New Roman" w:hAnsi="Times New Roman" w:eastAsia="Times New Roman" w:cs="Times New Roman"/>
                <w:spacing w:val="-3"/>
              </w:rPr>
              <w:t>1.</w:t>
            </w:r>
            <w:r>
              <w:rPr>
                <w:spacing w:val="-3"/>
              </w:rPr>
              <w:t>优化能源结构，加强能源清洁利用。</w:t>
            </w:r>
          </w:p>
        </w:tc>
        <w:tc>
          <w:tcPr>
            <w:tcW w:w="2531" w:type="dxa"/>
            <w:vAlign w:val="top"/>
          </w:tcPr>
          <w:p w14:paraId="2614A99A">
            <w:pPr>
              <w:pStyle w:val="6"/>
              <w:spacing w:before="32" w:line="231" w:lineRule="auto"/>
              <w:ind w:left="17" w:right="1" w:hanging="4"/>
            </w:pPr>
            <w:r>
              <w:rPr>
                <w:spacing w:val="9"/>
              </w:rPr>
              <w:t>项目为输变电工程，不涉及</w:t>
            </w:r>
            <w:r>
              <w:rPr>
                <w:spacing w:val="4"/>
              </w:rPr>
              <w:t>能源消耗。</w:t>
            </w:r>
          </w:p>
        </w:tc>
        <w:tc>
          <w:tcPr>
            <w:tcW w:w="782" w:type="dxa"/>
            <w:tcBorders>
              <w:right w:val="single" w:color="000000" w:sz="6" w:space="0"/>
            </w:tcBorders>
            <w:vAlign w:val="top"/>
          </w:tcPr>
          <w:p w14:paraId="023926BE">
            <w:pPr>
              <w:pStyle w:val="6"/>
              <w:spacing w:before="31" w:line="228" w:lineRule="auto"/>
              <w:ind w:left="151"/>
            </w:pPr>
            <w:r>
              <w:rPr>
                <w:spacing w:val="3"/>
              </w:rPr>
              <w:t>符合</w:t>
            </w:r>
          </w:p>
        </w:tc>
      </w:tr>
      <w:tr w14:paraId="4C2DA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1" w:hRule="atLeast"/>
        </w:trPr>
        <w:tc>
          <w:tcPr>
            <w:tcW w:w="411" w:type="dxa"/>
            <w:vMerge w:val="continue"/>
            <w:tcBorders>
              <w:top w:val="nil"/>
              <w:left w:val="single" w:color="000000" w:sz="6" w:space="0"/>
              <w:bottom w:val="nil"/>
            </w:tcBorders>
            <w:vAlign w:val="top"/>
          </w:tcPr>
          <w:p w14:paraId="1280F7BF">
            <w:pPr>
              <w:rPr>
                <w:rFonts w:ascii="Arial"/>
                <w:sz w:val="21"/>
              </w:rPr>
            </w:pPr>
          </w:p>
        </w:tc>
        <w:tc>
          <w:tcPr>
            <w:tcW w:w="395" w:type="dxa"/>
            <w:vMerge w:val="continue"/>
            <w:tcBorders>
              <w:top w:val="nil"/>
            </w:tcBorders>
            <w:vAlign w:val="top"/>
          </w:tcPr>
          <w:p w14:paraId="3AD88172">
            <w:pPr>
              <w:rPr>
                <w:rFonts w:ascii="Arial"/>
                <w:sz w:val="21"/>
              </w:rPr>
            </w:pPr>
          </w:p>
        </w:tc>
        <w:tc>
          <w:tcPr>
            <w:tcW w:w="371" w:type="dxa"/>
            <w:gridSpan w:val="2"/>
            <w:vMerge w:val="continue"/>
            <w:tcBorders>
              <w:top w:val="nil"/>
            </w:tcBorders>
            <w:vAlign w:val="top"/>
          </w:tcPr>
          <w:p w14:paraId="0EE81153">
            <w:pPr>
              <w:rPr>
                <w:rFonts w:ascii="Arial"/>
                <w:sz w:val="21"/>
              </w:rPr>
            </w:pPr>
          </w:p>
        </w:tc>
        <w:tc>
          <w:tcPr>
            <w:tcW w:w="318" w:type="dxa"/>
            <w:vMerge w:val="continue"/>
            <w:tcBorders>
              <w:top w:val="nil"/>
            </w:tcBorders>
            <w:textDirection w:val="tbRlV"/>
            <w:vAlign w:val="top"/>
          </w:tcPr>
          <w:p w14:paraId="7F05A41D">
            <w:pPr>
              <w:rPr>
                <w:rFonts w:ascii="Arial"/>
                <w:sz w:val="21"/>
              </w:rPr>
            </w:pPr>
          </w:p>
        </w:tc>
        <w:tc>
          <w:tcPr>
            <w:tcW w:w="3326" w:type="dxa"/>
            <w:gridSpan w:val="2"/>
            <w:vAlign w:val="top"/>
          </w:tcPr>
          <w:p w14:paraId="7D4F9205">
            <w:pPr>
              <w:pStyle w:val="6"/>
              <w:spacing w:before="32" w:line="255" w:lineRule="auto"/>
              <w:ind w:left="4" w:hanging="4"/>
            </w:pPr>
            <w:r>
              <w:rPr>
                <w:rFonts w:ascii="Times New Roman" w:hAnsi="Times New Roman" w:eastAsia="Times New Roman" w:cs="Times New Roman"/>
                <w:spacing w:val="9"/>
              </w:rPr>
              <w:t>2.</w:t>
            </w:r>
            <w:r>
              <w:rPr>
                <w:spacing w:val="9"/>
              </w:rPr>
              <w:t>提高土地利用效率，节约集约利用</w:t>
            </w:r>
            <w:r>
              <w:rPr>
                <w:spacing w:val="5"/>
              </w:rPr>
              <w:t>土地资源。</w:t>
            </w:r>
          </w:p>
        </w:tc>
        <w:tc>
          <w:tcPr>
            <w:tcW w:w="2531" w:type="dxa"/>
            <w:vAlign w:val="top"/>
          </w:tcPr>
          <w:p w14:paraId="1369AC72">
            <w:pPr>
              <w:pStyle w:val="6"/>
              <w:spacing w:before="34" w:line="243" w:lineRule="auto"/>
              <w:ind w:left="9" w:right="1" w:firstLine="4"/>
              <w:jc w:val="both"/>
            </w:pPr>
            <w:r>
              <w:rPr>
                <w:spacing w:val="9"/>
              </w:rPr>
              <w:t>项目输电线路仅塔基四个基础占地，对土地资源的占用较小。将按照要求办理用地预审与选址意见书，项目建</w:t>
            </w:r>
            <w:r>
              <w:rPr>
                <w:spacing w:val="7"/>
              </w:rPr>
              <w:t>设符合相关规划。</w:t>
            </w:r>
          </w:p>
        </w:tc>
        <w:tc>
          <w:tcPr>
            <w:tcW w:w="782" w:type="dxa"/>
            <w:tcBorders>
              <w:right w:val="single" w:color="000000" w:sz="6" w:space="0"/>
            </w:tcBorders>
            <w:vAlign w:val="top"/>
          </w:tcPr>
          <w:p w14:paraId="5DB94D27">
            <w:pPr>
              <w:pStyle w:val="6"/>
              <w:spacing w:before="33" w:line="228" w:lineRule="auto"/>
              <w:ind w:left="151"/>
            </w:pPr>
            <w:r>
              <w:rPr>
                <w:spacing w:val="3"/>
              </w:rPr>
              <w:t>符合</w:t>
            </w:r>
          </w:p>
        </w:tc>
      </w:tr>
      <w:tr w14:paraId="0BD2D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9" w:hRule="atLeast"/>
        </w:trPr>
        <w:tc>
          <w:tcPr>
            <w:tcW w:w="411" w:type="dxa"/>
            <w:vMerge w:val="continue"/>
            <w:tcBorders>
              <w:top w:val="nil"/>
              <w:left w:val="single" w:color="000000" w:sz="6" w:space="0"/>
              <w:bottom w:val="nil"/>
            </w:tcBorders>
            <w:vAlign w:val="top"/>
          </w:tcPr>
          <w:p w14:paraId="7F35C1DD">
            <w:pPr>
              <w:rPr>
                <w:rFonts w:ascii="Arial"/>
                <w:sz w:val="21"/>
              </w:rPr>
            </w:pPr>
          </w:p>
        </w:tc>
        <w:tc>
          <w:tcPr>
            <w:tcW w:w="7723" w:type="dxa"/>
            <w:gridSpan w:val="8"/>
            <w:tcBorders>
              <w:right w:val="single" w:color="000000" w:sz="6" w:space="0"/>
            </w:tcBorders>
            <w:vAlign w:val="top"/>
          </w:tcPr>
          <w:p w14:paraId="406C1FA8">
            <w:pPr>
              <w:pStyle w:val="6"/>
              <w:spacing w:before="157" w:line="349" w:lineRule="auto"/>
              <w:ind w:left="139" w:right="13" w:firstLine="526"/>
              <w:rPr>
                <w:sz w:val="24"/>
                <w:szCs w:val="24"/>
              </w:rPr>
            </w:pPr>
            <w:r>
              <w:rPr>
                <w:spacing w:val="11"/>
                <w:sz w:val="24"/>
                <w:szCs w:val="24"/>
              </w:rPr>
              <w:t>由上表可知，项目符合《曲靖市生态环境分区管控动态更新方案</w:t>
            </w:r>
            <w:r>
              <w:rPr>
                <w:spacing w:val="-2"/>
                <w:sz w:val="24"/>
                <w:szCs w:val="24"/>
              </w:rPr>
              <w:t>（</w:t>
            </w:r>
            <w:r>
              <w:rPr>
                <w:rFonts w:ascii="Times New Roman" w:hAnsi="Times New Roman" w:eastAsia="Times New Roman" w:cs="Times New Roman"/>
                <w:spacing w:val="-2"/>
                <w:sz w:val="24"/>
                <w:szCs w:val="24"/>
              </w:rPr>
              <w:t xml:space="preserve">2023 </w:t>
            </w:r>
            <w:r>
              <w:rPr>
                <w:spacing w:val="-2"/>
                <w:sz w:val="24"/>
                <w:szCs w:val="24"/>
              </w:rPr>
              <w:t>年）》相关管控要求。</w:t>
            </w:r>
          </w:p>
          <w:p w14:paraId="6E2535D6">
            <w:pPr>
              <w:pStyle w:val="6"/>
              <w:spacing w:line="219" w:lineRule="auto"/>
              <w:ind w:left="13"/>
              <w:rPr>
                <w:sz w:val="24"/>
                <w:szCs w:val="24"/>
              </w:rPr>
            </w:pPr>
            <w:r>
              <w:rPr>
                <w:rFonts w:ascii="Times New Roman" w:hAnsi="Times New Roman" w:eastAsia="Times New Roman" w:cs="Times New Roman"/>
                <w:b/>
                <w:bCs/>
                <w:spacing w:val="-3"/>
                <w:sz w:val="24"/>
                <w:szCs w:val="24"/>
              </w:rPr>
              <w:t>8</w:t>
            </w:r>
            <w:r>
              <w:rPr>
                <w:rFonts w:ascii="Times New Roman" w:hAnsi="Times New Roman" w:eastAsia="Times New Roman" w:cs="Times New Roman"/>
                <w:b/>
                <w:bCs/>
                <w:spacing w:val="-31"/>
                <w:sz w:val="24"/>
                <w:szCs w:val="24"/>
              </w:rPr>
              <w:t xml:space="preserve"> </w:t>
            </w:r>
            <w:r>
              <w:rPr>
                <w:b/>
                <w:bCs/>
                <w:spacing w:val="-3"/>
                <w:sz w:val="24"/>
                <w:szCs w:val="24"/>
              </w:rPr>
              <w:t>、与《输变电建设项目环境保护技术要求》（</w:t>
            </w:r>
            <w:r>
              <w:rPr>
                <w:rFonts w:ascii="Times New Roman" w:hAnsi="Times New Roman" w:eastAsia="Times New Roman" w:cs="Times New Roman"/>
                <w:b/>
                <w:bCs/>
                <w:spacing w:val="-3"/>
                <w:sz w:val="24"/>
                <w:szCs w:val="24"/>
              </w:rPr>
              <w:t>HJ1113-2020</w:t>
            </w:r>
            <w:r>
              <w:rPr>
                <w:b/>
                <w:bCs/>
                <w:spacing w:val="-3"/>
                <w:sz w:val="24"/>
                <w:szCs w:val="24"/>
              </w:rPr>
              <w:t>）符合性分析</w:t>
            </w:r>
          </w:p>
          <w:p w14:paraId="070D9300">
            <w:pPr>
              <w:pStyle w:val="6"/>
              <w:spacing w:before="183" w:line="357" w:lineRule="auto"/>
              <w:ind w:left="18" w:right="10" w:firstLine="479"/>
              <w:rPr>
                <w:sz w:val="24"/>
                <w:szCs w:val="24"/>
              </w:rPr>
            </w:pPr>
            <w:r>
              <w:rPr>
                <w:spacing w:val="-3"/>
                <w:sz w:val="24"/>
                <w:szCs w:val="24"/>
              </w:rPr>
              <w:t>项目与《输变电建设项目环境保护技术要求》（</w:t>
            </w:r>
            <w:r>
              <w:rPr>
                <w:rFonts w:ascii="Times New Roman" w:hAnsi="Times New Roman" w:eastAsia="Times New Roman" w:cs="Times New Roman"/>
                <w:spacing w:val="-3"/>
                <w:sz w:val="24"/>
                <w:szCs w:val="24"/>
              </w:rPr>
              <w:t>HJ1113-2020</w:t>
            </w:r>
            <w:r>
              <w:rPr>
                <w:spacing w:val="-3"/>
                <w:sz w:val="24"/>
                <w:szCs w:val="24"/>
              </w:rPr>
              <w:t>）符合性</w:t>
            </w:r>
            <w:r>
              <w:rPr>
                <w:spacing w:val="-4"/>
                <w:sz w:val="24"/>
                <w:szCs w:val="24"/>
              </w:rPr>
              <w:t>见下表。</w:t>
            </w:r>
          </w:p>
          <w:p w14:paraId="35DCB4EB">
            <w:pPr>
              <w:pStyle w:val="6"/>
              <w:spacing w:line="209" w:lineRule="auto"/>
              <w:ind w:left="955"/>
            </w:pPr>
            <w:r>
              <w:rPr>
                <w:b/>
                <w:bCs/>
                <w:spacing w:val="7"/>
              </w:rPr>
              <w:t>表</w:t>
            </w:r>
            <w:r>
              <w:rPr>
                <w:spacing w:val="-34"/>
              </w:rPr>
              <w:t xml:space="preserve"> </w:t>
            </w:r>
            <w:r>
              <w:rPr>
                <w:rFonts w:ascii="Times New Roman" w:hAnsi="Times New Roman" w:eastAsia="Times New Roman" w:cs="Times New Roman"/>
                <w:b/>
                <w:bCs/>
                <w:spacing w:val="7"/>
              </w:rPr>
              <w:t xml:space="preserve">1-6    </w:t>
            </w:r>
            <w:r>
              <w:rPr>
                <w:b/>
                <w:bCs/>
                <w:spacing w:val="7"/>
              </w:rPr>
              <w:t>与输变电建设项目环境保护技术</w:t>
            </w:r>
            <w:r>
              <w:rPr>
                <w:b/>
                <w:bCs/>
                <w:spacing w:val="6"/>
              </w:rPr>
              <w:t>要求符合性分析一览表</w:t>
            </w:r>
          </w:p>
        </w:tc>
      </w:tr>
      <w:tr w14:paraId="1BF22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411" w:type="dxa"/>
            <w:vMerge w:val="continue"/>
            <w:tcBorders>
              <w:top w:val="nil"/>
              <w:left w:val="single" w:color="000000" w:sz="6" w:space="0"/>
              <w:bottom w:val="nil"/>
            </w:tcBorders>
            <w:vAlign w:val="top"/>
          </w:tcPr>
          <w:p w14:paraId="0DBE4D77">
            <w:pPr>
              <w:rPr>
                <w:rFonts w:ascii="Arial"/>
                <w:sz w:val="21"/>
              </w:rPr>
            </w:pPr>
          </w:p>
        </w:tc>
        <w:tc>
          <w:tcPr>
            <w:tcW w:w="684" w:type="dxa"/>
            <w:gridSpan w:val="2"/>
            <w:vAlign w:val="top"/>
          </w:tcPr>
          <w:p w14:paraId="2A58CFE5">
            <w:pPr>
              <w:pStyle w:val="6"/>
              <w:spacing w:before="175" w:line="228" w:lineRule="auto"/>
              <w:ind w:left="153"/>
            </w:pPr>
            <w:r>
              <w:rPr>
                <w:b/>
                <w:bCs/>
                <w:spacing w:val="2"/>
              </w:rPr>
              <w:t>项目</w:t>
            </w:r>
          </w:p>
        </w:tc>
        <w:tc>
          <w:tcPr>
            <w:tcW w:w="3305" w:type="dxa"/>
            <w:gridSpan w:val="3"/>
            <w:vAlign w:val="top"/>
          </w:tcPr>
          <w:p w14:paraId="75BD44D3">
            <w:pPr>
              <w:pStyle w:val="6"/>
              <w:spacing w:before="175" w:line="228" w:lineRule="auto"/>
              <w:ind w:left="626"/>
            </w:pPr>
            <w:r>
              <w:rPr>
                <w:rFonts w:ascii="Times New Roman" w:hAnsi="Times New Roman" w:eastAsia="Times New Roman" w:cs="Times New Roman"/>
                <w:b/>
                <w:bCs/>
              </w:rPr>
              <w:t>HJ</w:t>
            </w:r>
            <w:r>
              <w:rPr>
                <w:rFonts w:ascii="Times New Roman" w:hAnsi="Times New Roman" w:eastAsia="Times New Roman" w:cs="Times New Roman"/>
                <w:b/>
                <w:bCs/>
                <w:spacing w:val="4"/>
              </w:rPr>
              <w:t xml:space="preserve">1113-2020 </w:t>
            </w:r>
            <w:r>
              <w:rPr>
                <w:b/>
                <w:bCs/>
                <w:spacing w:val="4"/>
              </w:rPr>
              <w:t>相关规定</w:t>
            </w:r>
          </w:p>
        </w:tc>
        <w:tc>
          <w:tcPr>
            <w:tcW w:w="2952" w:type="dxa"/>
            <w:gridSpan w:val="2"/>
            <w:vAlign w:val="top"/>
          </w:tcPr>
          <w:p w14:paraId="35593F81">
            <w:pPr>
              <w:pStyle w:val="6"/>
              <w:spacing w:before="175" w:line="227" w:lineRule="auto"/>
              <w:ind w:left="966"/>
            </w:pPr>
            <w:r>
              <w:rPr>
                <w:b/>
                <w:bCs/>
                <w:spacing w:val="6"/>
              </w:rPr>
              <w:t>本项目情况</w:t>
            </w:r>
          </w:p>
        </w:tc>
        <w:tc>
          <w:tcPr>
            <w:tcW w:w="782" w:type="dxa"/>
            <w:tcBorders>
              <w:right w:val="single" w:color="000000" w:sz="6" w:space="0"/>
            </w:tcBorders>
            <w:vAlign w:val="top"/>
          </w:tcPr>
          <w:p w14:paraId="61C3F8E1">
            <w:pPr>
              <w:pStyle w:val="6"/>
              <w:spacing w:before="41" w:line="229" w:lineRule="auto"/>
              <w:ind w:left="281" w:right="185" w:hanging="106"/>
            </w:pPr>
            <w:r>
              <w:rPr>
                <w:b/>
                <w:bCs/>
                <w:spacing w:val="3"/>
              </w:rPr>
              <w:t>符合</w:t>
            </w:r>
            <w:r>
              <w:rPr>
                <w:b/>
                <w:bCs/>
                <w:spacing w:val="-3"/>
              </w:rPr>
              <w:t>性</w:t>
            </w:r>
          </w:p>
        </w:tc>
      </w:tr>
      <w:tr w14:paraId="6ED2D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6" w:hRule="atLeast"/>
        </w:trPr>
        <w:tc>
          <w:tcPr>
            <w:tcW w:w="411" w:type="dxa"/>
            <w:vMerge w:val="continue"/>
            <w:tcBorders>
              <w:top w:val="nil"/>
              <w:left w:val="single" w:color="000000" w:sz="6" w:space="0"/>
              <w:bottom w:val="nil"/>
            </w:tcBorders>
            <w:vAlign w:val="top"/>
          </w:tcPr>
          <w:p w14:paraId="7085353B">
            <w:pPr>
              <w:rPr>
                <w:rFonts w:ascii="Arial"/>
                <w:sz w:val="21"/>
              </w:rPr>
            </w:pPr>
          </w:p>
        </w:tc>
        <w:tc>
          <w:tcPr>
            <w:tcW w:w="684" w:type="dxa"/>
            <w:gridSpan w:val="2"/>
            <w:vMerge w:val="restart"/>
            <w:tcBorders>
              <w:bottom w:val="nil"/>
            </w:tcBorders>
            <w:vAlign w:val="top"/>
          </w:tcPr>
          <w:p w14:paraId="1FC6A974">
            <w:pPr>
              <w:spacing w:line="248" w:lineRule="auto"/>
              <w:rPr>
                <w:rFonts w:ascii="Arial"/>
                <w:sz w:val="21"/>
              </w:rPr>
            </w:pPr>
          </w:p>
          <w:p w14:paraId="431CAEC6">
            <w:pPr>
              <w:spacing w:line="249" w:lineRule="auto"/>
              <w:rPr>
                <w:rFonts w:ascii="Arial"/>
                <w:sz w:val="21"/>
              </w:rPr>
            </w:pPr>
          </w:p>
          <w:p w14:paraId="33717FB6">
            <w:pPr>
              <w:spacing w:line="249" w:lineRule="auto"/>
              <w:rPr>
                <w:rFonts w:ascii="Arial"/>
                <w:sz w:val="21"/>
              </w:rPr>
            </w:pPr>
          </w:p>
          <w:p w14:paraId="5F08CA69">
            <w:pPr>
              <w:spacing w:line="249" w:lineRule="auto"/>
              <w:rPr>
                <w:rFonts w:ascii="Arial"/>
                <w:sz w:val="21"/>
              </w:rPr>
            </w:pPr>
          </w:p>
          <w:p w14:paraId="37B68698">
            <w:pPr>
              <w:spacing w:line="249" w:lineRule="auto"/>
              <w:rPr>
                <w:rFonts w:ascii="Arial"/>
                <w:sz w:val="21"/>
              </w:rPr>
            </w:pPr>
          </w:p>
          <w:p w14:paraId="3FDEB231">
            <w:pPr>
              <w:spacing w:line="249" w:lineRule="auto"/>
              <w:rPr>
                <w:rFonts w:ascii="Arial"/>
                <w:sz w:val="21"/>
              </w:rPr>
            </w:pPr>
          </w:p>
          <w:p w14:paraId="1006FF0D">
            <w:pPr>
              <w:spacing w:line="249" w:lineRule="auto"/>
              <w:rPr>
                <w:rFonts w:ascii="Arial"/>
                <w:sz w:val="21"/>
              </w:rPr>
            </w:pPr>
          </w:p>
          <w:p w14:paraId="5EA916C1">
            <w:pPr>
              <w:pStyle w:val="6"/>
              <w:spacing w:before="65" w:line="252" w:lineRule="auto"/>
              <w:ind w:left="151" w:right="116"/>
            </w:pPr>
            <w:r>
              <w:rPr>
                <w:spacing w:val="5"/>
              </w:rPr>
              <w:t>选址选线</w:t>
            </w:r>
          </w:p>
        </w:tc>
        <w:tc>
          <w:tcPr>
            <w:tcW w:w="3305" w:type="dxa"/>
            <w:gridSpan w:val="3"/>
            <w:vAlign w:val="top"/>
          </w:tcPr>
          <w:p w14:paraId="6951CA0C">
            <w:pPr>
              <w:pStyle w:val="6"/>
              <w:spacing w:before="40" w:line="247" w:lineRule="auto"/>
              <w:ind w:left="109" w:right="104" w:hanging="1"/>
              <w:jc w:val="both"/>
            </w:pPr>
            <w:r>
              <w:rPr>
                <w:spacing w:val="20"/>
              </w:rPr>
              <w:t>输变电建设项目选址选线应符合</w:t>
            </w:r>
            <w:r>
              <w:rPr>
                <w:spacing w:val="5"/>
              </w:rPr>
              <w:t>生态保护红线管控要求，避让自然保护区、饮用水水源保护区等环境敏感区。确实因自然条件等因素限制无法避让自然保护区实验区、饮</w:t>
            </w:r>
            <w:r>
              <w:rPr>
                <w:spacing w:val="20"/>
              </w:rPr>
              <w:t>用水水源二级保护区等环境敏感</w:t>
            </w:r>
            <w:r>
              <w:rPr>
                <w:spacing w:val="5"/>
              </w:rPr>
              <w:t>区的输电线路，应在满足相关法律</w:t>
            </w:r>
            <w:r>
              <w:rPr>
                <w:spacing w:val="20"/>
              </w:rPr>
              <w:t>法规及管理要求的前提下对线路</w:t>
            </w:r>
            <w:r>
              <w:rPr>
                <w:spacing w:val="5"/>
              </w:rPr>
              <w:t>方案进行唯一性论证，并采取无害</w:t>
            </w:r>
            <w:r>
              <w:rPr>
                <w:spacing w:val="6"/>
              </w:rPr>
              <w:t>化方式通过。</w:t>
            </w:r>
          </w:p>
        </w:tc>
        <w:tc>
          <w:tcPr>
            <w:tcW w:w="2952" w:type="dxa"/>
            <w:gridSpan w:val="2"/>
            <w:vAlign w:val="top"/>
          </w:tcPr>
          <w:p w14:paraId="28988AAD">
            <w:pPr>
              <w:pStyle w:val="6"/>
              <w:spacing w:before="42" w:line="253" w:lineRule="auto"/>
              <w:ind w:left="114" w:right="85"/>
              <w:jc w:val="both"/>
            </w:pPr>
            <w:r>
              <w:rPr>
                <w:spacing w:val="11"/>
              </w:rPr>
              <w:t>本工程选址选线已避让生态保护红线，避让自然保护区、饮</w:t>
            </w:r>
            <w:r>
              <w:rPr>
                <w:spacing w:val="28"/>
              </w:rPr>
              <w:t>用水水源保护区等环境敏感</w:t>
            </w:r>
            <w:r>
              <w:t>区。</w:t>
            </w:r>
          </w:p>
        </w:tc>
        <w:tc>
          <w:tcPr>
            <w:tcW w:w="782" w:type="dxa"/>
            <w:tcBorders>
              <w:right w:val="single" w:color="000000" w:sz="6" w:space="0"/>
            </w:tcBorders>
            <w:vAlign w:val="top"/>
          </w:tcPr>
          <w:p w14:paraId="536BFA3C">
            <w:pPr>
              <w:spacing w:line="298" w:lineRule="auto"/>
              <w:rPr>
                <w:rFonts w:ascii="Arial"/>
                <w:sz w:val="21"/>
              </w:rPr>
            </w:pPr>
          </w:p>
          <w:p w14:paraId="0175D330">
            <w:pPr>
              <w:spacing w:line="298" w:lineRule="auto"/>
              <w:rPr>
                <w:rFonts w:ascii="Arial"/>
                <w:sz w:val="21"/>
              </w:rPr>
            </w:pPr>
          </w:p>
          <w:p w14:paraId="01A23795">
            <w:pPr>
              <w:spacing w:line="298" w:lineRule="auto"/>
              <w:rPr>
                <w:rFonts w:ascii="Arial"/>
                <w:sz w:val="21"/>
              </w:rPr>
            </w:pPr>
          </w:p>
          <w:p w14:paraId="136C7701">
            <w:pPr>
              <w:spacing w:line="299" w:lineRule="auto"/>
              <w:rPr>
                <w:rFonts w:ascii="Arial"/>
                <w:sz w:val="21"/>
              </w:rPr>
            </w:pPr>
          </w:p>
          <w:p w14:paraId="310EEDF5">
            <w:pPr>
              <w:pStyle w:val="6"/>
              <w:spacing w:before="65" w:line="228" w:lineRule="auto"/>
              <w:ind w:left="178"/>
            </w:pPr>
            <w:r>
              <w:rPr>
                <w:spacing w:val="3"/>
              </w:rPr>
              <w:t>符合</w:t>
            </w:r>
          </w:p>
        </w:tc>
      </w:tr>
      <w:tr w14:paraId="086CC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8" w:hRule="atLeast"/>
        </w:trPr>
        <w:tc>
          <w:tcPr>
            <w:tcW w:w="411" w:type="dxa"/>
            <w:vMerge w:val="continue"/>
            <w:tcBorders>
              <w:top w:val="nil"/>
              <w:left w:val="single" w:color="000000" w:sz="6" w:space="0"/>
              <w:bottom w:val="single" w:color="000000" w:sz="6" w:space="0"/>
            </w:tcBorders>
            <w:vAlign w:val="top"/>
          </w:tcPr>
          <w:p w14:paraId="51EB7235">
            <w:pPr>
              <w:rPr>
                <w:rFonts w:ascii="Arial"/>
                <w:sz w:val="21"/>
              </w:rPr>
            </w:pPr>
          </w:p>
        </w:tc>
        <w:tc>
          <w:tcPr>
            <w:tcW w:w="684" w:type="dxa"/>
            <w:gridSpan w:val="2"/>
            <w:vMerge w:val="continue"/>
            <w:tcBorders>
              <w:top w:val="nil"/>
              <w:bottom w:val="single" w:color="000000" w:sz="6" w:space="0"/>
            </w:tcBorders>
            <w:vAlign w:val="top"/>
          </w:tcPr>
          <w:p w14:paraId="5C63C34D">
            <w:pPr>
              <w:rPr>
                <w:rFonts w:ascii="Arial"/>
                <w:sz w:val="21"/>
              </w:rPr>
            </w:pPr>
          </w:p>
        </w:tc>
        <w:tc>
          <w:tcPr>
            <w:tcW w:w="3305" w:type="dxa"/>
            <w:gridSpan w:val="3"/>
            <w:tcBorders>
              <w:bottom w:val="single" w:color="000000" w:sz="6" w:space="0"/>
            </w:tcBorders>
            <w:vAlign w:val="top"/>
          </w:tcPr>
          <w:p w14:paraId="6EF45F40">
            <w:pPr>
              <w:pStyle w:val="6"/>
              <w:spacing w:before="44" w:line="248" w:lineRule="auto"/>
              <w:ind w:left="108" w:right="104" w:firstLine="1"/>
              <w:jc w:val="both"/>
            </w:pPr>
            <w:r>
              <w:rPr>
                <w:spacing w:val="20"/>
              </w:rPr>
              <w:t>户外变电工程及规划架空进出线</w:t>
            </w:r>
            <w:r>
              <w:rPr>
                <w:spacing w:val="5"/>
              </w:rPr>
              <w:t>选址选线时，应关注以居住、医疗卫生、文化教育、科研、行政办公等为主要功能的区域，采取综合措</w:t>
            </w:r>
            <w:r>
              <w:rPr>
                <w:spacing w:val="9"/>
              </w:rPr>
              <w:t>施，减少电磁和声环境影响</w:t>
            </w:r>
          </w:p>
        </w:tc>
        <w:tc>
          <w:tcPr>
            <w:tcW w:w="2952" w:type="dxa"/>
            <w:gridSpan w:val="2"/>
            <w:tcBorders>
              <w:bottom w:val="single" w:color="000000" w:sz="6" w:space="0"/>
            </w:tcBorders>
            <w:vAlign w:val="top"/>
          </w:tcPr>
          <w:p w14:paraId="5206DB4D">
            <w:pPr>
              <w:pStyle w:val="6"/>
              <w:spacing w:before="44" w:line="248" w:lineRule="auto"/>
              <w:ind w:left="113" w:right="31" w:firstLine="1"/>
              <w:jc w:val="both"/>
            </w:pPr>
            <w:r>
              <w:rPr>
                <w:spacing w:val="11"/>
              </w:rPr>
              <w:t>本项目为架空线路，线路不垂直跨越居住、医疗卫生、文化</w:t>
            </w:r>
            <w:r>
              <w:t>教育、科研、行政办公等区域，</w:t>
            </w:r>
            <w:r>
              <w:rPr>
                <w:spacing w:val="8"/>
              </w:rPr>
              <w:t>线路已远离上述区域，</w:t>
            </w:r>
            <w:r>
              <w:rPr>
                <w:spacing w:val="-57"/>
              </w:rPr>
              <w:t xml:space="preserve"> </w:t>
            </w:r>
            <w:r>
              <w:rPr>
                <w:spacing w:val="8"/>
              </w:rPr>
              <w:t>以减小</w:t>
            </w:r>
            <w:r>
              <w:rPr>
                <w:spacing w:val="29"/>
              </w:rPr>
              <w:t>对敏感点电磁和声环境的影</w:t>
            </w:r>
          </w:p>
        </w:tc>
        <w:tc>
          <w:tcPr>
            <w:tcW w:w="782" w:type="dxa"/>
            <w:tcBorders>
              <w:bottom w:val="single" w:color="000000" w:sz="6" w:space="0"/>
              <w:right w:val="single" w:color="000000" w:sz="6" w:space="0"/>
            </w:tcBorders>
            <w:vAlign w:val="top"/>
          </w:tcPr>
          <w:p w14:paraId="03B23DD9">
            <w:pPr>
              <w:spacing w:line="259" w:lineRule="auto"/>
              <w:rPr>
                <w:rFonts w:ascii="Arial"/>
                <w:sz w:val="21"/>
              </w:rPr>
            </w:pPr>
          </w:p>
          <w:p w14:paraId="591D7DA6">
            <w:pPr>
              <w:spacing w:line="259" w:lineRule="auto"/>
              <w:rPr>
                <w:rFonts w:ascii="Arial"/>
                <w:sz w:val="21"/>
              </w:rPr>
            </w:pPr>
          </w:p>
          <w:p w14:paraId="60514C7A">
            <w:pPr>
              <w:pStyle w:val="6"/>
              <w:spacing w:before="65" w:line="228" w:lineRule="auto"/>
              <w:ind w:left="178"/>
            </w:pPr>
            <w:r>
              <w:rPr>
                <w:spacing w:val="3"/>
              </w:rPr>
              <w:t>符合</w:t>
            </w:r>
          </w:p>
        </w:tc>
      </w:tr>
    </w:tbl>
    <w:p w14:paraId="5FEEFD8E">
      <w:pPr>
        <w:rPr>
          <w:rFonts w:ascii="Arial"/>
          <w:sz w:val="21"/>
        </w:rPr>
      </w:pPr>
    </w:p>
    <w:p w14:paraId="18F36A0B">
      <w:pPr>
        <w:rPr>
          <w:rFonts w:ascii="Arial" w:hAnsi="Arial" w:eastAsia="Arial" w:cs="Arial"/>
          <w:sz w:val="21"/>
          <w:szCs w:val="21"/>
        </w:rPr>
        <w:sectPr>
          <w:footerReference r:id="rId24" w:type="default"/>
          <w:pgSz w:w="11907" w:h="16840"/>
          <w:pgMar w:top="400" w:right="1786" w:bottom="1240" w:left="1774" w:header="0" w:footer="1077" w:gutter="0"/>
          <w:cols w:space="720" w:num="1"/>
        </w:sectPr>
      </w:pPr>
    </w:p>
    <w:p w14:paraId="621048B2">
      <w:pPr>
        <w:spacing w:before="19"/>
      </w:pPr>
    </w:p>
    <w:p w14:paraId="36948742">
      <w:pPr>
        <w:spacing w:before="19"/>
      </w:pPr>
    </w:p>
    <w:p w14:paraId="623BFD93">
      <w:pPr>
        <w:spacing w:before="18"/>
      </w:pPr>
    </w:p>
    <w:p w14:paraId="074C14EC">
      <w:pPr>
        <w:spacing w:before="18"/>
      </w:pPr>
    </w:p>
    <w:tbl>
      <w:tblPr>
        <w:tblStyle w:val="5"/>
        <w:tblW w:w="813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3"/>
        <w:gridCol w:w="648"/>
        <w:gridCol w:w="3321"/>
        <w:gridCol w:w="2981"/>
        <w:gridCol w:w="771"/>
      </w:tblGrid>
      <w:tr w14:paraId="34DDA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413" w:type="dxa"/>
            <w:vMerge w:val="restart"/>
            <w:tcBorders>
              <w:top w:val="single" w:color="000000" w:sz="6" w:space="0"/>
              <w:left w:val="single" w:color="000000" w:sz="6" w:space="0"/>
              <w:bottom w:val="nil"/>
            </w:tcBorders>
            <w:vAlign w:val="top"/>
          </w:tcPr>
          <w:p w14:paraId="63B6F590">
            <w:pPr>
              <w:rPr>
                <w:rFonts w:ascii="Arial"/>
                <w:sz w:val="21"/>
              </w:rPr>
            </w:pPr>
          </w:p>
        </w:tc>
        <w:tc>
          <w:tcPr>
            <w:tcW w:w="648" w:type="dxa"/>
            <w:vMerge w:val="restart"/>
            <w:tcBorders>
              <w:top w:val="single" w:color="000000" w:sz="6" w:space="0"/>
              <w:bottom w:val="nil"/>
            </w:tcBorders>
            <w:vAlign w:val="top"/>
          </w:tcPr>
          <w:p w14:paraId="1D35420D">
            <w:pPr>
              <w:rPr>
                <w:rFonts w:ascii="Arial"/>
                <w:sz w:val="21"/>
              </w:rPr>
            </w:pPr>
          </w:p>
        </w:tc>
        <w:tc>
          <w:tcPr>
            <w:tcW w:w="3321" w:type="dxa"/>
            <w:tcBorders>
              <w:top w:val="single" w:color="000000" w:sz="6" w:space="0"/>
            </w:tcBorders>
            <w:vAlign w:val="top"/>
          </w:tcPr>
          <w:p w14:paraId="265B3918">
            <w:pPr>
              <w:rPr>
                <w:rFonts w:ascii="Arial"/>
                <w:sz w:val="21"/>
              </w:rPr>
            </w:pPr>
          </w:p>
        </w:tc>
        <w:tc>
          <w:tcPr>
            <w:tcW w:w="2981" w:type="dxa"/>
            <w:tcBorders>
              <w:top w:val="single" w:color="000000" w:sz="6" w:space="0"/>
            </w:tcBorders>
            <w:vAlign w:val="top"/>
          </w:tcPr>
          <w:p w14:paraId="492AC054">
            <w:pPr>
              <w:pStyle w:val="6"/>
              <w:spacing w:before="62" w:line="217" w:lineRule="auto"/>
              <w:ind w:left="142"/>
            </w:pPr>
            <w:r>
              <w:rPr>
                <w:spacing w:val="-5"/>
              </w:rPr>
              <w:t>响。</w:t>
            </w:r>
          </w:p>
        </w:tc>
        <w:tc>
          <w:tcPr>
            <w:tcW w:w="771" w:type="dxa"/>
            <w:tcBorders>
              <w:top w:val="single" w:color="000000" w:sz="6" w:space="0"/>
              <w:right w:val="single" w:color="000000" w:sz="6" w:space="0"/>
            </w:tcBorders>
            <w:vAlign w:val="top"/>
          </w:tcPr>
          <w:p w14:paraId="1C9905F5">
            <w:pPr>
              <w:rPr>
                <w:rFonts w:ascii="Arial"/>
                <w:sz w:val="21"/>
              </w:rPr>
            </w:pPr>
          </w:p>
        </w:tc>
      </w:tr>
      <w:tr w14:paraId="0AE17C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13" w:type="dxa"/>
            <w:vMerge w:val="continue"/>
            <w:tcBorders>
              <w:top w:val="nil"/>
              <w:left w:val="single" w:color="000000" w:sz="6" w:space="0"/>
              <w:bottom w:val="nil"/>
            </w:tcBorders>
            <w:vAlign w:val="top"/>
          </w:tcPr>
          <w:p w14:paraId="7D37C44A">
            <w:pPr>
              <w:rPr>
                <w:rFonts w:ascii="Arial"/>
                <w:sz w:val="21"/>
              </w:rPr>
            </w:pPr>
          </w:p>
        </w:tc>
        <w:tc>
          <w:tcPr>
            <w:tcW w:w="648" w:type="dxa"/>
            <w:vMerge w:val="continue"/>
            <w:tcBorders>
              <w:top w:val="nil"/>
              <w:bottom w:val="nil"/>
            </w:tcBorders>
            <w:vAlign w:val="top"/>
          </w:tcPr>
          <w:p w14:paraId="3D2B61DE">
            <w:pPr>
              <w:rPr>
                <w:rFonts w:ascii="Arial"/>
                <w:sz w:val="21"/>
              </w:rPr>
            </w:pPr>
          </w:p>
        </w:tc>
        <w:tc>
          <w:tcPr>
            <w:tcW w:w="3321" w:type="dxa"/>
            <w:vAlign w:val="top"/>
          </w:tcPr>
          <w:p w14:paraId="51E32C10">
            <w:pPr>
              <w:pStyle w:val="6"/>
              <w:spacing w:before="32" w:line="234" w:lineRule="auto"/>
              <w:ind w:left="146" w:right="86" w:firstLine="2"/>
            </w:pPr>
            <w:r>
              <w:rPr>
                <w:spacing w:val="16"/>
              </w:rPr>
              <w:t>原则上避免在</w:t>
            </w:r>
            <w:r>
              <w:rPr>
                <w:spacing w:val="-19"/>
              </w:rPr>
              <w:t xml:space="preserve"> </w:t>
            </w:r>
            <w:r>
              <w:rPr>
                <w:rFonts w:ascii="Times New Roman" w:hAnsi="Times New Roman" w:eastAsia="Times New Roman" w:cs="Times New Roman"/>
                <w:spacing w:val="16"/>
              </w:rPr>
              <w:t>0</w:t>
            </w:r>
            <w:r>
              <w:rPr>
                <w:rFonts w:ascii="Times New Roman" w:hAnsi="Times New Roman" w:eastAsia="Times New Roman" w:cs="Times New Roman"/>
                <w:spacing w:val="24"/>
                <w:w w:val="101"/>
              </w:rPr>
              <w:t xml:space="preserve"> </w:t>
            </w:r>
            <w:r>
              <w:rPr>
                <w:spacing w:val="16"/>
              </w:rPr>
              <w:t>类声环境功能区</w:t>
            </w:r>
            <w:r>
              <w:rPr>
                <w:spacing w:val="7"/>
              </w:rPr>
              <w:t>建设变电工程</w:t>
            </w:r>
          </w:p>
        </w:tc>
        <w:tc>
          <w:tcPr>
            <w:tcW w:w="2981" w:type="dxa"/>
            <w:vAlign w:val="top"/>
          </w:tcPr>
          <w:p w14:paraId="56BABAC6">
            <w:pPr>
              <w:pStyle w:val="6"/>
              <w:spacing w:before="32" w:line="234" w:lineRule="auto"/>
              <w:ind w:left="132" w:right="96" w:firstLine="1"/>
            </w:pPr>
            <w:r>
              <w:rPr>
                <w:spacing w:val="18"/>
              </w:rPr>
              <w:t>工程选址选线不涉及</w:t>
            </w:r>
            <w:r>
              <w:rPr>
                <w:rFonts w:ascii="Times New Roman" w:hAnsi="Times New Roman" w:eastAsia="Times New Roman" w:cs="Times New Roman"/>
                <w:spacing w:val="18"/>
              </w:rPr>
              <w:t>0</w:t>
            </w:r>
            <w:r>
              <w:rPr>
                <w:spacing w:val="18"/>
              </w:rPr>
              <w:t>类声环</w:t>
            </w:r>
            <w:r>
              <w:rPr>
                <w:spacing w:val="7"/>
              </w:rPr>
              <w:t>境功能区</w:t>
            </w:r>
          </w:p>
        </w:tc>
        <w:tc>
          <w:tcPr>
            <w:tcW w:w="771" w:type="dxa"/>
            <w:tcBorders>
              <w:right w:val="single" w:color="000000" w:sz="6" w:space="0"/>
            </w:tcBorders>
            <w:vAlign w:val="top"/>
          </w:tcPr>
          <w:p w14:paraId="4220F07E">
            <w:pPr>
              <w:pStyle w:val="6"/>
              <w:spacing w:before="165" w:line="228" w:lineRule="auto"/>
              <w:ind w:left="167"/>
            </w:pPr>
            <w:r>
              <w:rPr>
                <w:spacing w:val="3"/>
              </w:rPr>
              <w:t>符合</w:t>
            </w:r>
          </w:p>
        </w:tc>
      </w:tr>
      <w:tr w14:paraId="75479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13" w:type="dxa"/>
            <w:vMerge w:val="continue"/>
            <w:tcBorders>
              <w:top w:val="nil"/>
              <w:left w:val="single" w:color="000000" w:sz="6" w:space="0"/>
              <w:bottom w:val="nil"/>
            </w:tcBorders>
            <w:vAlign w:val="top"/>
          </w:tcPr>
          <w:p w14:paraId="54A89C63">
            <w:pPr>
              <w:rPr>
                <w:rFonts w:ascii="Arial"/>
                <w:sz w:val="21"/>
              </w:rPr>
            </w:pPr>
          </w:p>
        </w:tc>
        <w:tc>
          <w:tcPr>
            <w:tcW w:w="648" w:type="dxa"/>
            <w:vMerge w:val="continue"/>
            <w:tcBorders>
              <w:top w:val="nil"/>
              <w:bottom w:val="nil"/>
            </w:tcBorders>
            <w:vAlign w:val="top"/>
          </w:tcPr>
          <w:p w14:paraId="19225733">
            <w:pPr>
              <w:rPr>
                <w:rFonts w:ascii="Arial"/>
                <w:sz w:val="21"/>
              </w:rPr>
            </w:pPr>
          </w:p>
        </w:tc>
        <w:tc>
          <w:tcPr>
            <w:tcW w:w="3321" w:type="dxa"/>
            <w:vAlign w:val="top"/>
          </w:tcPr>
          <w:p w14:paraId="45B40CA6">
            <w:pPr>
              <w:pStyle w:val="6"/>
              <w:spacing w:before="32" w:line="234" w:lineRule="auto"/>
              <w:ind w:left="143" w:right="86" w:hanging="1"/>
            </w:pPr>
            <w:r>
              <w:rPr>
                <w:spacing w:val="5"/>
              </w:rPr>
              <w:t>输电线路宜避让集中林区，以减少</w:t>
            </w:r>
            <w:r>
              <w:rPr>
                <w:spacing w:val="8"/>
              </w:rPr>
              <w:t>林木砍伐，保护生态环境。</w:t>
            </w:r>
          </w:p>
        </w:tc>
        <w:tc>
          <w:tcPr>
            <w:tcW w:w="2981" w:type="dxa"/>
            <w:vAlign w:val="top"/>
          </w:tcPr>
          <w:p w14:paraId="385DD480">
            <w:pPr>
              <w:pStyle w:val="6"/>
              <w:spacing w:before="32" w:line="234" w:lineRule="auto"/>
              <w:ind w:left="147" w:right="96" w:hanging="12"/>
            </w:pPr>
            <w:r>
              <w:rPr>
                <w:spacing w:val="22"/>
              </w:rPr>
              <w:t>项</w:t>
            </w:r>
            <w:r>
              <w:rPr>
                <w:spacing w:val="-22"/>
              </w:rPr>
              <w:t xml:space="preserve"> </w:t>
            </w:r>
            <w:r>
              <w:rPr>
                <w:spacing w:val="22"/>
              </w:rPr>
              <w:t>目选址选线已避让集中林</w:t>
            </w:r>
            <w:r>
              <w:rPr>
                <w:spacing w:val="6"/>
              </w:rPr>
              <w:t>区，不涉及林木砍伐。</w:t>
            </w:r>
          </w:p>
        </w:tc>
        <w:tc>
          <w:tcPr>
            <w:tcW w:w="771" w:type="dxa"/>
            <w:tcBorders>
              <w:right w:val="single" w:color="000000" w:sz="6" w:space="0"/>
            </w:tcBorders>
            <w:vAlign w:val="top"/>
          </w:tcPr>
          <w:p w14:paraId="7037A5B6">
            <w:pPr>
              <w:pStyle w:val="6"/>
              <w:spacing w:before="167" w:line="228" w:lineRule="auto"/>
              <w:ind w:left="167"/>
            </w:pPr>
            <w:r>
              <w:rPr>
                <w:spacing w:val="3"/>
              </w:rPr>
              <w:t>符合</w:t>
            </w:r>
          </w:p>
        </w:tc>
      </w:tr>
      <w:tr w14:paraId="192C1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13" w:type="dxa"/>
            <w:vMerge w:val="continue"/>
            <w:tcBorders>
              <w:top w:val="nil"/>
              <w:left w:val="single" w:color="000000" w:sz="6" w:space="0"/>
              <w:bottom w:val="nil"/>
            </w:tcBorders>
            <w:vAlign w:val="top"/>
          </w:tcPr>
          <w:p w14:paraId="32D7066E">
            <w:pPr>
              <w:rPr>
                <w:rFonts w:ascii="Arial"/>
                <w:sz w:val="21"/>
              </w:rPr>
            </w:pPr>
          </w:p>
        </w:tc>
        <w:tc>
          <w:tcPr>
            <w:tcW w:w="648" w:type="dxa"/>
            <w:vMerge w:val="continue"/>
            <w:tcBorders>
              <w:top w:val="nil"/>
            </w:tcBorders>
            <w:vAlign w:val="top"/>
          </w:tcPr>
          <w:p w14:paraId="406A8572">
            <w:pPr>
              <w:rPr>
                <w:rFonts w:ascii="Arial"/>
                <w:sz w:val="21"/>
              </w:rPr>
            </w:pPr>
          </w:p>
        </w:tc>
        <w:tc>
          <w:tcPr>
            <w:tcW w:w="3321" w:type="dxa"/>
            <w:vAlign w:val="top"/>
          </w:tcPr>
          <w:p w14:paraId="6963303B">
            <w:pPr>
              <w:pStyle w:val="6"/>
              <w:spacing w:before="30"/>
              <w:ind w:left="145" w:right="89" w:hanging="4"/>
              <w:jc w:val="both"/>
            </w:pPr>
            <w:r>
              <w:rPr>
                <w:spacing w:val="5"/>
              </w:rPr>
              <w:t>进入自然保护区的输电线路，应按</w:t>
            </w:r>
            <w:r>
              <w:rPr>
                <w:spacing w:val="21"/>
              </w:rPr>
              <w:t>照</w:t>
            </w:r>
            <w:r>
              <w:rPr>
                <w:spacing w:val="-14"/>
              </w:rPr>
              <w:t xml:space="preserve"> </w:t>
            </w:r>
            <w:r>
              <w:rPr>
                <w:rFonts w:ascii="Times New Roman" w:hAnsi="Times New Roman" w:eastAsia="Times New Roman" w:cs="Times New Roman"/>
              </w:rPr>
              <w:t>HJ</w:t>
            </w:r>
            <w:r>
              <w:rPr>
                <w:rFonts w:ascii="Times New Roman" w:hAnsi="Times New Roman" w:eastAsia="Times New Roman" w:cs="Times New Roman"/>
                <w:spacing w:val="21"/>
              </w:rPr>
              <w:t>19</w:t>
            </w:r>
            <w:r>
              <w:rPr>
                <w:rFonts w:ascii="Times New Roman" w:hAnsi="Times New Roman" w:eastAsia="Times New Roman" w:cs="Times New Roman"/>
                <w:spacing w:val="48"/>
              </w:rPr>
              <w:t xml:space="preserve"> </w:t>
            </w:r>
            <w:r>
              <w:rPr>
                <w:spacing w:val="21"/>
              </w:rPr>
              <w:t>的要求开展生态现状调</w:t>
            </w:r>
            <w:r>
              <w:rPr>
                <w:spacing w:val="9"/>
              </w:rPr>
              <w:t>查，避让保护对象的集中分布区</w:t>
            </w:r>
          </w:p>
        </w:tc>
        <w:tc>
          <w:tcPr>
            <w:tcW w:w="2981" w:type="dxa"/>
            <w:vAlign w:val="top"/>
          </w:tcPr>
          <w:p w14:paraId="370A42E5">
            <w:pPr>
              <w:pStyle w:val="6"/>
              <w:spacing w:before="31" w:line="227" w:lineRule="auto"/>
              <w:ind w:left="132"/>
            </w:pPr>
            <w:r>
              <w:rPr>
                <w:spacing w:val="8"/>
              </w:rPr>
              <w:t>本项目不涉及自然保护区。</w:t>
            </w:r>
          </w:p>
        </w:tc>
        <w:tc>
          <w:tcPr>
            <w:tcW w:w="771" w:type="dxa"/>
            <w:tcBorders>
              <w:right w:val="single" w:color="000000" w:sz="6" w:space="0"/>
            </w:tcBorders>
            <w:vAlign w:val="top"/>
          </w:tcPr>
          <w:p w14:paraId="7A81D074">
            <w:pPr>
              <w:pStyle w:val="6"/>
              <w:spacing w:before="305" w:line="228" w:lineRule="auto"/>
              <w:ind w:left="167"/>
            </w:pPr>
            <w:r>
              <w:rPr>
                <w:spacing w:val="3"/>
              </w:rPr>
              <w:t>符合</w:t>
            </w:r>
          </w:p>
        </w:tc>
      </w:tr>
      <w:tr w14:paraId="2AE6F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413" w:type="dxa"/>
            <w:vMerge w:val="continue"/>
            <w:tcBorders>
              <w:top w:val="nil"/>
              <w:left w:val="single" w:color="000000" w:sz="6" w:space="0"/>
              <w:bottom w:val="nil"/>
            </w:tcBorders>
            <w:vAlign w:val="top"/>
          </w:tcPr>
          <w:p w14:paraId="6CAE08DD">
            <w:pPr>
              <w:rPr>
                <w:rFonts w:ascii="Arial"/>
                <w:sz w:val="21"/>
              </w:rPr>
            </w:pPr>
          </w:p>
        </w:tc>
        <w:tc>
          <w:tcPr>
            <w:tcW w:w="648" w:type="dxa"/>
            <w:vAlign w:val="top"/>
          </w:tcPr>
          <w:p w14:paraId="11B3C384">
            <w:pPr>
              <w:spacing w:line="373" w:lineRule="auto"/>
              <w:rPr>
                <w:rFonts w:ascii="Arial"/>
                <w:sz w:val="21"/>
              </w:rPr>
            </w:pPr>
          </w:p>
          <w:p w14:paraId="0D1A66F7">
            <w:pPr>
              <w:pStyle w:val="6"/>
              <w:spacing w:before="65" w:line="252" w:lineRule="auto"/>
              <w:ind w:left="151" w:right="82" w:firstLine="2"/>
              <w:jc w:val="both"/>
            </w:pPr>
            <w:r>
              <w:rPr>
                <w:spacing w:val="3"/>
              </w:rPr>
              <w:t>设计</w:t>
            </w:r>
            <w:r>
              <w:rPr>
                <w:spacing w:val="4"/>
              </w:rPr>
              <w:t>总体要求</w:t>
            </w:r>
          </w:p>
        </w:tc>
        <w:tc>
          <w:tcPr>
            <w:tcW w:w="3321" w:type="dxa"/>
            <w:vAlign w:val="top"/>
          </w:tcPr>
          <w:p w14:paraId="7E3C2031">
            <w:pPr>
              <w:pStyle w:val="6"/>
              <w:spacing w:before="34" w:line="245" w:lineRule="auto"/>
              <w:ind w:left="142" w:right="66"/>
              <w:jc w:val="both"/>
            </w:pPr>
            <w:r>
              <w:rPr>
                <w:spacing w:val="7"/>
              </w:rPr>
              <w:t>输电线路进入自然保护区实验区、</w:t>
            </w:r>
            <w:r>
              <w:rPr>
                <w:spacing w:val="20"/>
              </w:rPr>
              <w:t>饮用水水源二级保护区等环境敏</w:t>
            </w:r>
            <w:r>
              <w:rPr>
                <w:spacing w:val="5"/>
              </w:rPr>
              <w:t>感区时，应采取塔基定位避让、减少进入长度、控制导线高度等环境保护措施，减少对环境保护对象的</w:t>
            </w:r>
            <w:r>
              <w:rPr>
                <w:spacing w:val="7"/>
              </w:rPr>
              <w:t>不利影响</w:t>
            </w:r>
          </w:p>
        </w:tc>
        <w:tc>
          <w:tcPr>
            <w:tcW w:w="2981" w:type="dxa"/>
            <w:vAlign w:val="top"/>
          </w:tcPr>
          <w:p w14:paraId="5C55B80A">
            <w:pPr>
              <w:pStyle w:val="6"/>
              <w:spacing w:before="33" w:line="252" w:lineRule="auto"/>
              <w:ind w:left="132" w:right="96"/>
            </w:pPr>
            <w:r>
              <w:rPr>
                <w:spacing w:val="11"/>
              </w:rPr>
              <w:t>本项目不涉及自然保护区、饮</w:t>
            </w:r>
            <w:r>
              <w:rPr>
                <w:spacing w:val="7"/>
              </w:rPr>
              <w:t>用水水源二级保护区。</w:t>
            </w:r>
          </w:p>
        </w:tc>
        <w:tc>
          <w:tcPr>
            <w:tcW w:w="771" w:type="dxa"/>
            <w:tcBorders>
              <w:right w:val="single" w:color="000000" w:sz="6" w:space="0"/>
            </w:tcBorders>
            <w:vAlign w:val="top"/>
          </w:tcPr>
          <w:p w14:paraId="1091FC93">
            <w:pPr>
              <w:spacing w:line="321" w:lineRule="auto"/>
              <w:rPr>
                <w:rFonts w:ascii="Arial"/>
                <w:sz w:val="21"/>
              </w:rPr>
            </w:pPr>
          </w:p>
          <w:p w14:paraId="1BBA93F2">
            <w:pPr>
              <w:spacing w:line="322" w:lineRule="auto"/>
              <w:rPr>
                <w:rFonts w:ascii="Arial"/>
                <w:sz w:val="21"/>
              </w:rPr>
            </w:pPr>
          </w:p>
          <w:p w14:paraId="51023C27">
            <w:pPr>
              <w:pStyle w:val="6"/>
              <w:spacing w:before="65" w:line="228" w:lineRule="auto"/>
              <w:ind w:left="167"/>
            </w:pPr>
            <w:r>
              <w:rPr>
                <w:spacing w:val="3"/>
              </w:rPr>
              <w:t>符合</w:t>
            </w:r>
          </w:p>
        </w:tc>
      </w:tr>
      <w:tr w14:paraId="6A0DF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413" w:type="dxa"/>
            <w:vMerge w:val="continue"/>
            <w:tcBorders>
              <w:top w:val="nil"/>
              <w:left w:val="single" w:color="000000" w:sz="6" w:space="0"/>
              <w:bottom w:val="nil"/>
            </w:tcBorders>
            <w:vAlign w:val="top"/>
          </w:tcPr>
          <w:p w14:paraId="00831A52">
            <w:pPr>
              <w:rPr>
                <w:rFonts w:ascii="Arial"/>
                <w:sz w:val="21"/>
              </w:rPr>
            </w:pPr>
          </w:p>
        </w:tc>
        <w:tc>
          <w:tcPr>
            <w:tcW w:w="648" w:type="dxa"/>
            <w:vMerge w:val="restart"/>
            <w:tcBorders>
              <w:bottom w:val="nil"/>
            </w:tcBorders>
            <w:vAlign w:val="top"/>
          </w:tcPr>
          <w:p w14:paraId="09E7B16A">
            <w:pPr>
              <w:spacing w:line="381" w:lineRule="auto"/>
              <w:rPr>
                <w:rFonts w:ascii="Arial"/>
                <w:sz w:val="21"/>
              </w:rPr>
            </w:pPr>
          </w:p>
          <w:p w14:paraId="1D38B382">
            <w:pPr>
              <w:pStyle w:val="6"/>
              <w:spacing w:before="65" w:line="252" w:lineRule="auto"/>
              <w:ind w:left="150" w:right="82" w:firstLine="3"/>
              <w:jc w:val="both"/>
            </w:pPr>
            <w:r>
              <w:rPr>
                <w:spacing w:val="3"/>
              </w:rPr>
              <w:t>设计</w:t>
            </w:r>
            <w:r>
              <w:rPr>
                <w:spacing w:val="4"/>
              </w:rPr>
              <w:t>电磁环境保护</w:t>
            </w:r>
          </w:p>
        </w:tc>
        <w:tc>
          <w:tcPr>
            <w:tcW w:w="3321" w:type="dxa"/>
            <w:vAlign w:val="top"/>
          </w:tcPr>
          <w:p w14:paraId="2466CED6">
            <w:pPr>
              <w:pStyle w:val="6"/>
              <w:spacing w:before="34" w:line="242" w:lineRule="auto"/>
              <w:ind w:left="143" w:right="86" w:hanging="1"/>
              <w:jc w:val="both"/>
            </w:pPr>
            <w:r>
              <w:rPr>
                <w:spacing w:val="20"/>
              </w:rPr>
              <w:t>输电线路设计应因地制宜选择线</w:t>
            </w:r>
            <w:r>
              <w:rPr>
                <w:spacing w:val="5"/>
              </w:rPr>
              <w:t>路型式、架设高度、杆塔塔型、导线参数、相序布置等，减少电磁环</w:t>
            </w:r>
            <w:r>
              <w:rPr>
                <w:spacing w:val="6"/>
              </w:rPr>
              <w:t>境影响</w:t>
            </w:r>
          </w:p>
        </w:tc>
        <w:tc>
          <w:tcPr>
            <w:tcW w:w="2981" w:type="dxa"/>
            <w:vAlign w:val="top"/>
          </w:tcPr>
          <w:p w14:paraId="2F29E3AD">
            <w:pPr>
              <w:pStyle w:val="6"/>
              <w:spacing w:before="34" w:line="242" w:lineRule="auto"/>
              <w:ind w:left="131" w:right="96"/>
              <w:jc w:val="both"/>
            </w:pPr>
            <w:r>
              <w:rPr>
                <w:spacing w:val="11"/>
              </w:rPr>
              <w:t>输电线路设计时通过合理选择线路型式、架设高度、杆塔塔型、导线截面，降低了导线对</w:t>
            </w:r>
            <w:r>
              <w:rPr>
                <w:spacing w:val="8"/>
              </w:rPr>
              <w:t>地产生的电磁环境影响</w:t>
            </w:r>
          </w:p>
        </w:tc>
        <w:tc>
          <w:tcPr>
            <w:tcW w:w="771" w:type="dxa"/>
            <w:tcBorders>
              <w:right w:val="single" w:color="000000" w:sz="6" w:space="0"/>
            </w:tcBorders>
            <w:vAlign w:val="top"/>
          </w:tcPr>
          <w:p w14:paraId="6A56264B">
            <w:pPr>
              <w:spacing w:line="376" w:lineRule="auto"/>
              <w:rPr>
                <w:rFonts w:ascii="Arial"/>
                <w:sz w:val="21"/>
              </w:rPr>
            </w:pPr>
          </w:p>
          <w:p w14:paraId="0FAB59CC">
            <w:pPr>
              <w:pStyle w:val="6"/>
              <w:spacing w:before="65" w:line="228" w:lineRule="auto"/>
              <w:ind w:left="167"/>
            </w:pPr>
            <w:r>
              <w:rPr>
                <w:spacing w:val="3"/>
              </w:rPr>
              <w:t>符合</w:t>
            </w:r>
          </w:p>
        </w:tc>
      </w:tr>
      <w:tr w14:paraId="5189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13" w:type="dxa"/>
            <w:vMerge w:val="continue"/>
            <w:tcBorders>
              <w:top w:val="nil"/>
              <w:left w:val="single" w:color="000000" w:sz="6" w:space="0"/>
              <w:bottom w:val="nil"/>
            </w:tcBorders>
            <w:vAlign w:val="top"/>
          </w:tcPr>
          <w:p w14:paraId="1A13E5BD">
            <w:pPr>
              <w:rPr>
                <w:rFonts w:ascii="Arial"/>
                <w:sz w:val="21"/>
              </w:rPr>
            </w:pPr>
          </w:p>
        </w:tc>
        <w:tc>
          <w:tcPr>
            <w:tcW w:w="648" w:type="dxa"/>
            <w:vMerge w:val="continue"/>
            <w:tcBorders>
              <w:top w:val="nil"/>
            </w:tcBorders>
            <w:vAlign w:val="top"/>
          </w:tcPr>
          <w:p w14:paraId="5AF66D28">
            <w:pPr>
              <w:rPr>
                <w:rFonts w:ascii="Arial"/>
                <w:sz w:val="21"/>
              </w:rPr>
            </w:pPr>
          </w:p>
        </w:tc>
        <w:tc>
          <w:tcPr>
            <w:tcW w:w="3321" w:type="dxa"/>
            <w:vAlign w:val="top"/>
          </w:tcPr>
          <w:p w14:paraId="16B6C7EB">
            <w:pPr>
              <w:pStyle w:val="6"/>
              <w:spacing w:before="37" w:line="238" w:lineRule="auto"/>
              <w:ind w:left="143" w:right="86"/>
              <w:jc w:val="both"/>
            </w:pPr>
            <w:r>
              <w:rPr>
                <w:spacing w:val="20"/>
              </w:rPr>
              <w:t>架空输电线路经过电磁环境敏感</w:t>
            </w:r>
            <w:r>
              <w:rPr>
                <w:spacing w:val="5"/>
              </w:rPr>
              <w:t>目标时，应采取避让或增加导线对地高度等措施，减少电磁环境影响</w:t>
            </w:r>
          </w:p>
        </w:tc>
        <w:tc>
          <w:tcPr>
            <w:tcW w:w="2981" w:type="dxa"/>
            <w:vAlign w:val="top"/>
          </w:tcPr>
          <w:p w14:paraId="7BB40643">
            <w:pPr>
              <w:pStyle w:val="6"/>
              <w:spacing w:before="37" w:line="238" w:lineRule="auto"/>
              <w:ind w:left="132" w:right="96" w:firstLine="3"/>
              <w:jc w:val="both"/>
            </w:pPr>
            <w:r>
              <w:rPr>
                <w:spacing w:val="11"/>
              </w:rPr>
              <w:t>项目采取了增加导线对地高度措施的方式进行跨越，减少了</w:t>
            </w:r>
            <w:r>
              <w:rPr>
                <w:spacing w:val="8"/>
              </w:rPr>
              <w:t>电磁环境对敏感目标的影响。</w:t>
            </w:r>
          </w:p>
        </w:tc>
        <w:tc>
          <w:tcPr>
            <w:tcW w:w="771" w:type="dxa"/>
            <w:tcBorders>
              <w:right w:val="single" w:color="000000" w:sz="6" w:space="0"/>
            </w:tcBorders>
            <w:vAlign w:val="top"/>
          </w:tcPr>
          <w:p w14:paraId="4D435B80">
            <w:pPr>
              <w:spacing w:line="241" w:lineRule="auto"/>
              <w:rPr>
                <w:rFonts w:ascii="Arial"/>
                <w:sz w:val="21"/>
              </w:rPr>
            </w:pPr>
          </w:p>
          <w:p w14:paraId="195D5C18">
            <w:pPr>
              <w:pStyle w:val="6"/>
              <w:spacing w:before="65" w:line="228" w:lineRule="auto"/>
              <w:ind w:left="167"/>
            </w:pPr>
            <w:r>
              <w:rPr>
                <w:spacing w:val="3"/>
              </w:rPr>
              <w:t>符合</w:t>
            </w:r>
          </w:p>
        </w:tc>
      </w:tr>
      <w:tr w14:paraId="4CB3D8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0" w:hRule="atLeast"/>
        </w:trPr>
        <w:tc>
          <w:tcPr>
            <w:tcW w:w="413" w:type="dxa"/>
            <w:vMerge w:val="continue"/>
            <w:tcBorders>
              <w:top w:val="nil"/>
              <w:left w:val="single" w:color="000000" w:sz="6" w:space="0"/>
              <w:bottom w:val="nil"/>
            </w:tcBorders>
            <w:vAlign w:val="top"/>
          </w:tcPr>
          <w:p w14:paraId="76D6B8A3">
            <w:pPr>
              <w:rPr>
                <w:rFonts w:ascii="Arial"/>
                <w:sz w:val="21"/>
              </w:rPr>
            </w:pPr>
          </w:p>
        </w:tc>
        <w:tc>
          <w:tcPr>
            <w:tcW w:w="648" w:type="dxa"/>
            <w:vAlign w:val="top"/>
          </w:tcPr>
          <w:p w14:paraId="5B05880B">
            <w:pPr>
              <w:spacing w:line="379" w:lineRule="auto"/>
              <w:rPr>
                <w:rFonts w:ascii="Arial"/>
                <w:sz w:val="21"/>
              </w:rPr>
            </w:pPr>
          </w:p>
          <w:p w14:paraId="750350C4">
            <w:pPr>
              <w:pStyle w:val="6"/>
              <w:spacing w:before="65" w:line="252" w:lineRule="auto"/>
              <w:ind w:left="151" w:right="82" w:firstLine="2"/>
              <w:jc w:val="both"/>
            </w:pPr>
            <w:r>
              <w:rPr>
                <w:spacing w:val="3"/>
              </w:rPr>
              <w:t>设计</w:t>
            </w:r>
            <w:r>
              <w:rPr>
                <w:spacing w:val="4"/>
              </w:rPr>
              <w:t>声环境保</w:t>
            </w:r>
            <w:r>
              <w:rPr>
                <w:spacing w:val="35"/>
                <w:w w:val="134"/>
              </w:rPr>
              <w:t>护</w:t>
            </w:r>
          </w:p>
        </w:tc>
        <w:tc>
          <w:tcPr>
            <w:tcW w:w="3321" w:type="dxa"/>
            <w:vAlign w:val="top"/>
          </w:tcPr>
          <w:p w14:paraId="13C020D2">
            <w:pPr>
              <w:pStyle w:val="6"/>
              <w:spacing w:before="42" w:line="245" w:lineRule="auto"/>
              <w:ind w:left="142" w:right="86"/>
              <w:jc w:val="both"/>
            </w:pPr>
            <w:r>
              <w:rPr>
                <w:spacing w:val="20"/>
              </w:rPr>
              <w:t>变电工程噪声控制设计应首先从</w:t>
            </w:r>
            <w:r>
              <w:rPr>
                <w:spacing w:val="5"/>
              </w:rPr>
              <w:t>噪声源强上进行控制，选择低噪声</w:t>
            </w:r>
            <w:r>
              <w:rPr>
                <w:spacing w:val="17"/>
              </w:rPr>
              <w:t>设备；</w:t>
            </w:r>
            <w:r>
              <w:rPr>
                <w:spacing w:val="-53"/>
              </w:rPr>
              <w:t xml:space="preserve"> </w:t>
            </w:r>
            <w:r>
              <w:rPr>
                <w:spacing w:val="17"/>
              </w:rPr>
              <w:t>对于声源上无法根治的噪</w:t>
            </w:r>
            <w:r>
              <w:rPr>
                <w:spacing w:val="5"/>
              </w:rPr>
              <w:t>声，应采用隔声、吸声、消声、防振、减振等降噪措施，确保厂界排</w:t>
            </w:r>
            <w:r>
              <w:rPr>
                <w:spacing w:val="20"/>
              </w:rPr>
              <w:t>放噪声和周围声环境敏感目标分</w:t>
            </w:r>
            <w:r>
              <w:rPr>
                <w:spacing w:val="7"/>
              </w:rPr>
              <w:t>别满足</w:t>
            </w:r>
            <w:r>
              <w:rPr>
                <w:rFonts w:ascii="Times New Roman" w:hAnsi="Times New Roman" w:eastAsia="Times New Roman" w:cs="Times New Roman"/>
              </w:rPr>
              <w:t>GB</w:t>
            </w:r>
            <w:r>
              <w:rPr>
                <w:rFonts w:ascii="Times New Roman" w:hAnsi="Times New Roman" w:eastAsia="Times New Roman" w:cs="Times New Roman"/>
                <w:spacing w:val="7"/>
              </w:rPr>
              <w:t>12348</w:t>
            </w:r>
            <w:r>
              <w:rPr>
                <w:spacing w:val="7"/>
              </w:rPr>
              <w:t>和</w:t>
            </w:r>
            <w:r>
              <w:rPr>
                <w:rFonts w:ascii="Times New Roman" w:hAnsi="Times New Roman" w:eastAsia="Times New Roman" w:cs="Times New Roman"/>
              </w:rPr>
              <w:t>GB</w:t>
            </w:r>
            <w:r>
              <w:rPr>
                <w:rFonts w:ascii="Times New Roman" w:hAnsi="Times New Roman" w:eastAsia="Times New Roman" w:cs="Times New Roman"/>
                <w:spacing w:val="7"/>
              </w:rPr>
              <w:t>3096</w:t>
            </w:r>
            <w:r>
              <w:rPr>
                <w:spacing w:val="7"/>
              </w:rPr>
              <w:t>要求。</w:t>
            </w:r>
          </w:p>
        </w:tc>
        <w:tc>
          <w:tcPr>
            <w:tcW w:w="2981" w:type="dxa"/>
            <w:vAlign w:val="top"/>
          </w:tcPr>
          <w:p w14:paraId="73C2BF19">
            <w:pPr>
              <w:pStyle w:val="6"/>
              <w:spacing w:before="38" w:line="252" w:lineRule="auto"/>
              <w:ind w:left="131" w:right="25" w:firstLine="3"/>
              <w:jc w:val="both"/>
            </w:pPr>
            <w:r>
              <w:rPr>
                <w:spacing w:val="1"/>
              </w:rPr>
              <w:t>工程设计阶段从导线、绝缘串、</w:t>
            </w:r>
            <w:r>
              <w:rPr>
                <w:spacing w:val="11"/>
              </w:rPr>
              <w:t>铁塔的选型上进行优化，可以起到降低噪声源强的效果。根据本次评价分析，项目建成投运后噪声可满足评价标准限值</w:t>
            </w:r>
            <w:r>
              <w:rPr>
                <w:spacing w:val="3"/>
              </w:rPr>
              <w:t>要求。</w:t>
            </w:r>
          </w:p>
        </w:tc>
        <w:tc>
          <w:tcPr>
            <w:tcW w:w="771" w:type="dxa"/>
            <w:tcBorders>
              <w:right w:val="single" w:color="000000" w:sz="6" w:space="0"/>
            </w:tcBorders>
            <w:vAlign w:val="top"/>
          </w:tcPr>
          <w:p w14:paraId="6F2AC03C">
            <w:pPr>
              <w:spacing w:line="261" w:lineRule="auto"/>
              <w:rPr>
                <w:rFonts w:ascii="Arial"/>
                <w:sz w:val="21"/>
              </w:rPr>
            </w:pPr>
          </w:p>
          <w:p w14:paraId="07549F6A">
            <w:pPr>
              <w:spacing w:line="261" w:lineRule="auto"/>
              <w:rPr>
                <w:rFonts w:ascii="Arial"/>
                <w:sz w:val="21"/>
              </w:rPr>
            </w:pPr>
          </w:p>
          <w:p w14:paraId="2B93B538">
            <w:pPr>
              <w:spacing w:line="262" w:lineRule="auto"/>
              <w:rPr>
                <w:rFonts w:ascii="Arial"/>
                <w:sz w:val="21"/>
              </w:rPr>
            </w:pPr>
          </w:p>
          <w:p w14:paraId="51FF7937">
            <w:pPr>
              <w:pStyle w:val="6"/>
              <w:spacing w:before="65" w:line="228" w:lineRule="auto"/>
              <w:ind w:left="167"/>
            </w:pPr>
            <w:r>
              <w:rPr>
                <w:spacing w:val="3"/>
              </w:rPr>
              <w:t>符合</w:t>
            </w:r>
          </w:p>
        </w:tc>
      </w:tr>
      <w:tr w14:paraId="6849AF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9" w:hRule="atLeast"/>
        </w:trPr>
        <w:tc>
          <w:tcPr>
            <w:tcW w:w="413" w:type="dxa"/>
            <w:vMerge w:val="continue"/>
            <w:tcBorders>
              <w:top w:val="nil"/>
              <w:left w:val="single" w:color="000000" w:sz="6" w:space="0"/>
              <w:bottom w:val="nil"/>
            </w:tcBorders>
            <w:vAlign w:val="top"/>
          </w:tcPr>
          <w:p w14:paraId="7201E00B">
            <w:pPr>
              <w:rPr>
                <w:rFonts w:ascii="Arial"/>
                <w:sz w:val="21"/>
              </w:rPr>
            </w:pPr>
          </w:p>
        </w:tc>
        <w:tc>
          <w:tcPr>
            <w:tcW w:w="648" w:type="dxa"/>
            <w:vMerge w:val="restart"/>
            <w:tcBorders>
              <w:bottom w:val="nil"/>
            </w:tcBorders>
            <w:vAlign w:val="top"/>
          </w:tcPr>
          <w:p w14:paraId="528EA37B">
            <w:pPr>
              <w:spacing w:line="268" w:lineRule="auto"/>
              <w:rPr>
                <w:rFonts w:ascii="Arial"/>
                <w:sz w:val="21"/>
              </w:rPr>
            </w:pPr>
          </w:p>
          <w:p w14:paraId="52BE7E3A">
            <w:pPr>
              <w:spacing w:line="268" w:lineRule="auto"/>
              <w:rPr>
                <w:rFonts w:ascii="Arial"/>
                <w:sz w:val="21"/>
              </w:rPr>
            </w:pPr>
          </w:p>
          <w:p w14:paraId="78BC75AA">
            <w:pPr>
              <w:spacing w:line="268" w:lineRule="auto"/>
              <w:rPr>
                <w:rFonts w:ascii="Arial"/>
                <w:sz w:val="21"/>
              </w:rPr>
            </w:pPr>
          </w:p>
          <w:p w14:paraId="657E84AD">
            <w:pPr>
              <w:spacing w:line="268" w:lineRule="auto"/>
              <w:rPr>
                <w:rFonts w:ascii="Arial"/>
                <w:sz w:val="21"/>
              </w:rPr>
            </w:pPr>
          </w:p>
          <w:p w14:paraId="7CD76625">
            <w:pPr>
              <w:spacing w:line="268" w:lineRule="auto"/>
              <w:rPr>
                <w:rFonts w:ascii="Arial"/>
                <w:sz w:val="21"/>
              </w:rPr>
            </w:pPr>
          </w:p>
          <w:p w14:paraId="4D425A7E">
            <w:pPr>
              <w:spacing w:line="268" w:lineRule="auto"/>
              <w:rPr>
                <w:rFonts w:ascii="Arial"/>
                <w:sz w:val="21"/>
              </w:rPr>
            </w:pPr>
          </w:p>
          <w:p w14:paraId="63BE306D">
            <w:pPr>
              <w:pStyle w:val="6"/>
              <w:spacing w:before="65" w:line="252" w:lineRule="auto"/>
              <w:ind w:left="143" w:right="89" w:firstLine="3"/>
              <w:jc w:val="both"/>
            </w:pPr>
            <w:r>
              <w:rPr>
                <w:spacing w:val="3"/>
              </w:rPr>
              <w:t>设计</w:t>
            </w:r>
            <w:r>
              <w:rPr>
                <w:spacing w:val="4"/>
              </w:rPr>
              <w:t>生态环境保护</w:t>
            </w:r>
          </w:p>
        </w:tc>
        <w:tc>
          <w:tcPr>
            <w:tcW w:w="3321" w:type="dxa"/>
            <w:vAlign w:val="top"/>
          </w:tcPr>
          <w:p w14:paraId="7C292FFA">
            <w:pPr>
              <w:pStyle w:val="6"/>
              <w:spacing w:before="41" w:line="245" w:lineRule="auto"/>
              <w:ind w:left="142" w:right="86"/>
              <w:jc w:val="both"/>
            </w:pPr>
            <w:r>
              <w:rPr>
                <w:spacing w:val="20"/>
              </w:rPr>
              <w:t>输电线路应因地制宜合理选择塔</w:t>
            </w:r>
            <w:r>
              <w:rPr>
                <w:spacing w:val="5"/>
              </w:rPr>
              <w:t>基基础，在山丘区应采用全方位长</w:t>
            </w:r>
            <w:r>
              <w:rPr>
                <w:spacing w:val="9"/>
              </w:rPr>
              <w:t>短腿与不等高基础设计，</w:t>
            </w:r>
            <w:r>
              <w:rPr>
                <w:spacing w:val="56"/>
              </w:rPr>
              <w:t xml:space="preserve"> </w:t>
            </w:r>
            <w:r>
              <w:rPr>
                <w:spacing w:val="9"/>
              </w:rPr>
              <w:t>以减少</w:t>
            </w:r>
            <w:r>
              <w:rPr>
                <w:spacing w:val="5"/>
              </w:rPr>
              <w:t>土石方开挖。输电线路无法避让集中林区时，应采取控制导线高度设计，以减少林木砍伐，保护生态环</w:t>
            </w:r>
            <w:r>
              <w:t>境</w:t>
            </w:r>
          </w:p>
        </w:tc>
        <w:tc>
          <w:tcPr>
            <w:tcW w:w="2981" w:type="dxa"/>
            <w:vAlign w:val="top"/>
          </w:tcPr>
          <w:p w14:paraId="0CC72C9E">
            <w:pPr>
              <w:pStyle w:val="6"/>
              <w:spacing w:before="39" w:line="252" w:lineRule="auto"/>
              <w:ind w:left="132" w:right="96" w:firstLine="3"/>
              <w:jc w:val="both"/>
            </w:pPr>
            <w:r>
              <w:rPr>
                <w:spacing w:val="11"/>
              </w:rPr>
              <w:t>项目塔基采用全方位长短腿与不等高基础设计，减少土石方开挖。输电线路设计时已避让集中林区，线路全部采用高塔</w:t>
            </w:r>
            <w:r>
              <w:rPr>
                <w:spacing w:val="8"/>
              </w:rPr>
              <w:t>跨越，减少对林木的砍伐。</w:t>
            </w:r>
          </w:p>
        </w:tc>
        <w:tc>
          <w:tcPr>
            <w:tcW w:w="771" w:type="dxa"/>
            <w:tcBorders>
              <w:right w:val="single" w:color="000000" w:sz="6" w:space="0"/>
            </w:tcBorders>
            <w:vAlign w:val="top"/>
          </w:tcPr>
          <w:p w14:paraId="4FE77EA3">
            <w:pPr>
              <w:spacing w:line="261" w:lineRule="auto"/>
              <w:rPr>
                <w:rFonts w:ascii="Arial"/>
                <w:sz w:val="21"/>
              </w:rPr>
            </w:pPr>
          </w:p>
          <w:p w14:paraId="0C7B85DB">
            <w:pPr>
              <w:spacing w:line="262" w:lineRule="auto"/>
              <w:rPr>
                <w:rFonts w:ascii="Arial"/>
                <w:sz w:val="21"/>
              </w:rPr>
            </w:pPr>
          </w:p>
          <w:p w14:paraId="7F9FC116">
            <w:pPr>
              <w:spacing w:line="262" w:lineRule="auto"/>
              <w:rPr>
                <w:rFonts w:ascii="Arial"/>
                <w:sz w:val="21"/>
              </w:rPr>
            </w:pPr>
          </w:p>
          <w:p w14:paraId="370341A8">
            <w:pPr>
              <w:pStyle w:val="6"/>
              <w:spacing w:before="65" w:line="228" w:lineRule="auto"/>
              <w:ind w:left="167"/>
            </w:pPr>
            <w:r>
              <w:rPr>
                <w:spacing w:val="3"/>
              </w:rPr>
              <w:t>符合</w:t>
            </w:r>
          </w:p>
        </w:tc>
      </w:tr>
      <w:tr w14:paraId="3C2041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13" w:type="dxa"/>
            <w:vMerge w:val="continue"/>
            <w:tcBorders>
              <w:top w:val="nil"/>
              <w:left w:val="single" w:color="000000" w:sz="6" w:space="0"/>
              <w:bottom w:val="nil"/>
            </w:tcBorders>
            <w:vAlign w:val="top"/>
          </w:tcPr>
          <w:p w14:paraId="23720B37">
            <w:pPr>
              <w:rPr>
                <w:rFonts w:ascii="Arial"/>
                <w:sz w:val="21"/>
              </w:rPr>
            </w:pPr>
          </w:p>
        </w:tc>
        <w:tc>
          <w:tcPr>
            <w:tcW w:w="648" w:type="dxa"/>
            <w:vMerge w:val="continue"/>
            <w:tcBorders>
              <w:top w:val="nil"/>
              <w:bottom w:val="nil"/>
            </w:tcBorders>
            <w:vAlign w:val="top"/>
          </w:tcPr>
          <w:p w14:paraId="180C01C8">
            <w:pPr>
              <w:rPr>
                <w:rFonts w:ascii="Arial"/>
                <w:sz w:val="21"/>
              </w:rPr>
            </w:pPr>
          </w:p>
        </w:tc>
        <w:tc>
          <w:tcPr>
            <w:tcW w:w="3321" w:type="dxa"/>
            <w:vAlign w:val="top"/>
          </w:tcPr>
          <w:p w14:paraId="5A03C19F">
            <w:pPr>
              <w:pStyle w:val="6"/>
              <w:spacing w:before="43" w:line="252" w:lineRule="auto"/>
              <w:ind w:left="143" w:right="86" w:hanging="1"/>
            </w:pPr>
            <w:r>
              <w:rPr>
                <w:spacing w:val="5"/>
              </w:rPr>
              <w:t>输变电建设项目临时占地，应因地</w:t>
            </w:r>
            <w:r>
              <w:rPr>
                <w:spacing w:val="9"/>
              </w:rPr>
              <w:t>制宜进行土地功能恢复设计</w:t>
            </w:r>
          </w:p>
        </w:tc>
        <w:tc>
          <w:tcPr>
            <w:tcW w:w="2981" w:type="dxa"/>
            <w:vAlign w:val="top"/>
          </w:tcPr>
          <w:p w14:paraId="1FB1573A">
            <w:pPr>
              <w:pStyle w:val="6"/>
              <w:spacing w:before="44" w:line="236" w:lineRule="auto"/>
              <w:ind w:left="132" w:right="96" w:firstLine="2"/>
              <w:jc w:val="both"/>
            </w:pPr>
            <w:r>
              <w:rPr>
                <w:spacing w:val="11"/>
              </w:rPr>
              <w:t>项目建成后及时按照本项目水土保持方案对临时用地进行恢</w:t>
            </w:r>
            <w:r>
              <w:t>复</w:t>
            </w:r>
          </w:p>
        </w:tc>
        <w:tc>
          <w:tcPr>
            <w:tcW w:w="771" w:type="dxa"/>
            <w:tcBorders>
              <w:right w:val="single" w:color="000000" w:sz="6" w:space="0"/>
            </w:tcBorders>
            <w:vAlign w:val="top"/>
          </w:tcPr>
          <w:p w14:paraId="02AF80B6">
            <w:pPr>
              <w:spacing w:line="247" w:lineRule="auto"/>
              <w:rPr>
                <w:rFonts w:ascii="Arial"/>
                <w:sz w:val="21"/>
              </w:rPr>
            </w:pPr>
          </w:p>
          <w:p w14:paraId="70160108">
            <w:pPr>
              <w:pStyle w:val="6"/>
              <w:spacing w:before="65" w:line="228" w:lineRule="auto"/>
              <w:ind w:left="167"/>
            </w:pPr>
            <w:r>
              <w:rPr>
                <w:spacing w:val="3"/>
              </w:rPr>
              <w:t>符合</w:t>
            </w:r>
          </w:p>
        </w:tc>
      </w:tr>
      <w:tr w14:paraId="2AA5E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413" w:type="dxa"/>
            <w:vMerge w:val="continue"/>
            <w:tcBorders>
              <w:top w:val="nil"/>
              <w:left w:val="single" w:color="000000" w:sz="6" w:space="0"/>
              <w:bottom w:val="nil"/>
            </w:tcBorders>
            <w:vAlign w:val="top"/>
          </w:tcPr>
          <w:p w14:paraId="1565F051">
            <w:pPr>
              <w:rPr>
                <w:rFonts w:ascii="Arial"/>
                <w:sz w:val="21"/>
              </w:rPr>
            </w:pPr>
          </w:p>
        </w:tc>
        <w:tc>
          <w:tcPr>
            <w:tcW w:w="648" w:type="dxa"/>
            <w:vMerge w:val="continue"/>
            <w:tcBorders>
              <w:top w:val="nil"/>
            </w:tcBorders>
            <w:vAlign w:val="top"/>
          </w:tcPr>
          <w:p w14:paraId="0E54B239">
            <w:pPr>
              <w:rPr>
                <w:rFonts w:ascii="Arial"/>
                <w:sz w:val="21"/>
              </w:rPr>
            </w:pPr>
          </w:p>
        </w:tc>
        <w:tc>
          <w:tcPr>
            <w:tcW w:w="3321" w:type="dxa"/>
            <w:vAlign w:val="top"/>
          </w:tcPr>
          <w:p w14:paraId="40307FAD">
            <w:pPr>
              <w:pStyle w:val="6"/>
              <w:spacing w:before="40" w:line="244" w:lineRule="auto"/>
              <w:ind w:left="141" w:right="86"/>
              <w:jc w:val="both"/>
            </w:pPr>
            <w:r>
              <w:rPr>
                <w:spacing w:val="5"/>
              </w:rPr>
              <w:t>进入自然保护区的输电线路，应根据生态现状调查结果，制定相应的保护方案。塔基定位应避让珍稀濒危物种、保护植物和保护动物的栖息地，根据保护对象的特性设计相</w:t>
            </w:r>
            <w:r>
              <w:rPr>
                <w:spacing w:val="9"/>
              </w:rPr>
              <w:t>应的生态环境保护措施、设施等</w:t>
            </w:r>
          </w:p>
        </w:tc>
        <w:tc>
          <w:tcPr>
            <w:tcW w:w="2981" w:type="dxa"/>
            <w:vAlign w:val="top"/>
          </w:tcPr>
          <w:p w14:paraId="047EE0B1">
            <w:pPr>
              <w:pStyle w:val="6"/>
              <w:spacing w:before="42" w:line="227" w:lineRule="auto"/>
              <w:ind w:left="132"/>
            </w:pPr>
            <w:r>
              <w:rPr>
                <w:spacing w:val="8"/>
              </w:rPr>
              <w:t>本项目不涉及自然保护区。</w:t>
            </w:r>
          </w:p>
        </w:tc>
        <w:tc>
          <w:tcPr>
            <w:tcW w:w="771" w:type="dxa"/>
            <w:tcBorders>
              <w:right w:val="single" w:color="000000" w:sz="6" w:space="0"/>
            </w:tcBorders>
            <w:vAlign w:val="top"/>
          </w:tcPr>
          <w:p w14:paraId="6E95A447">
            <w:pPr>
              <w:spacing w:line="327" w:lineRule="auto"/>
              <w:rPr>
                <w:rFonts w:ascii="Arial"/>
                <w:sz w:val="21"/>
              </w:rPr>
            </w:pPr>
          </w:p>
          <w:p w14:paraId="25D1C22E">
            <w:pPr>
              <w:spacing w:line="327" w:lineRule="auto"/>
              <w:rPr>
                <w:rFonts w:ascii="Arial"/>
                <w:sz w:val="21"/>
              </w:rPr>
            </w:pPr>
          </w:p>
          <w:p w14:paraId="4A237860">
            <w:pPr>
              <w:pStyle w:val="6"/>
              <w:spacing w:before="65" w:line="228" w:lineRule="auto"/>
              <w:ind w:left="167"/>
            </w:pPr>
            <w:r>
              <w:rPr>
                <w:spacing w:val="3"/>
              </w:rPr>
              <w:t>符合</w:t>
            </w:r>
          </w:p>
        </w:tc>
      </w:tr>
      <w:tr w14:paraId="246EC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413" w:type="dxa"/>
            <w:vMerge w:val="continue"/>
            <w:tcBorders>
              <w:top w:val="nil"/>
              <w:left w:val="single" w:color="000000" w:sz="6" w:space="0"/>
              <w:bottom w:val="nil"/>
            </w:tcBorders>
            <w:vAlign w:val="top"/>
          </w:tcPr>
          <w:p w14:paraId="510EEFE3">
            <w:pPr>
              <w:rPr>
                <w:rFonts w:ascii="Arial"/>
                <w:sz w:val="21"/>
              </w:rPr>
            </w:pPr>
          </w:p>
        </w:tc>
        <w:tc>
          <w:tcPr>
            <w:tcW w:w="648" w:type="dxa"/>
            <w:vAlign w:val="top"/>
          </w:tcPr>
          <w:p w14:paraId="5CE4D290">
            <w:pPr>
              <w:pStyle w:val="6"/>
              <w:spacing w:before="43" w:line="231" w:lineRule="auto"/>
              <w:ind w:left="142"/>
            </w:pPr>
            <w:r>
              <w:rPr>
                <w:spacing w:val="5"/>
              </w:rPr>
              <w:t>施工</w:t>
            </w:r>
          </w:p>
          <w:p w14:paraId="462D8579">
            <w:pPr>
              <w:pStyle w:val="6"/>
              <w:spacing w:before="24" w:line="228" w:lineRule="auto"/>
              <w:ind w:left="146"/>
            </w:pPr>
            <w:r>
              <w:rPr>
                <w:spacing w:val="3"/>
              </w:rPr>
              <w:t>期声</w:t>
            </w:r>
          </w:p>
          <w:p w14:paraId="1CB81DDA">
            <w:pPr>
              <w:pStyle w:val="6"/>
              <w:spacing w:before="24" w:line="228" w:lineRule="auto"/>
              <w:ind w:left="143"/>
            </w:pPr>
            <w:r>
              <w:rPr>
                <w:spacing w:val="4"/>
              </w:rPr>
              <w:t>环境</w:t>
            </w:r>
          </w:p>
          <w:p w14:paraId="168E4EFE">
            <w:pPr>
              <w:pStyle w:val="6"/>
              <w:spacing w:before="26" w:line="204" w:lineRule="auto"/>
              <w:ind w:left="144"/>
            </w:pPr>
            <w:r>
              <w:rPr>
                <w:spacing w:val="4"/>
              </w:rPr>
              <w:t>保护</w:t>
            </w:r>
          </w:p>
        </w:tc>
        <w:tc>
          <w:tcPr>
            <w:tcW w:w="3321" w:type="dxa"/>
            <w:vAlign w:val="top"/>
          </w:tcPr>
          <w:p w14:paraId="044A7128">
            <w:pPr>
              <w:pStyle w:val="6"/>
              <w:spacing w:before="44" w:line="226" w:lineRule="auto"/>
              <w:ind w:left="146"/>
            </w:pPr>
            <w:r>
              <w:rPr>
                <w:spacing w:val="8"/>
              </w:rPr>
              <w:t>夜间作业必须公告附近居民</w:t>
            </w:r>
          </w:p>
        </w:tc>
        <w:tc>
          <w:tcPr>
            <w:tcW w:w="2981" w:type="dxa"/>
            <w:vAlign w:val="top"/>
          </w:tcPr>
          <w:p w14:paraId="20BC8BF9">
            <w:pPr>
              <w:pStyle w:val="6"/>
              <w:spacing w:before="43"/>
              <w:ind w:left="131" w:right="42"/>
              <w:jc w:val="both"/>
            </w:pPr>
            <w:r>
              <w:rPr>
                <w:spacing w:val="11"/>
              </w:rPr>
              <w:t>环评要求施工单位采取低噪声设备，同时要求施工活动尽量</w:t>
            </w:r>
            <w:r>
              <w:t>在白天进行，如需在夜间施工，</w:t>
            </w:r>
            <w:r>
              <w:rPr>
                <w:spacing w:val="7"/>
              </w:rPr>
              <w:t>必须公告附近居民。</w:t>
            </w:r>
          </w:p>
        </w:tc>
        <w:tc>
          <w:tcPr>
            <w:tcW w:w="771" w:type="dxa"/>
            <w:tcBorders>
              <w:right w:val="single" w:color="000000" w:sz="6" w:space="0"/>
            </w:tcBorders>
            <w:vAlign w:val="top"/>
          </w:tcPr>
          <w:p w14:paraId="738992CE">
            <w:pPr>
              <w:spacing w:line="384" w:lineRule="auto"/>
              <w:rPr>
                <w:rFonts w:ascii="Arial"/>
                <w:sz w:val="21"/>
              </w:rPr>
            </w:pPr>
          </w:p>
          <w:p w14:paraId="1BFF7E0B">
            <w:pPr>
              <w:pStyle w:val="6"/>
              <w:spacing w:before="65" w:line="228" w:lineRule="auto"/>
              <w:ind w:left="167"/>
            </w:pPr>
            <w:r>
              <w:rPr>
                <w:spacing w:val="3"/>
              </w:rPr>
              <w:t>符合</w:t>
            </w:r>
          </w:p>
        </w:tc>
      </w:tr>
      <w:tr w14:paraId="79339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413" w:type="dxa"/>
            <w:vMerge w:val="continue"/>
            <w:tcBorders>
              <w:top w:val="nil"/>
              <w:left w:val="single" w:color="000000" w:sz="6" w:space="0"/>
              <w:bottom w:val="single" w:color="000000" w:sz="6" w:space="0"/>
            </w:tcBorders>
            <w:vAlign w:val="top"/>
          </w:tcPr>
          <w:p w14:paraId="70178F8C">
            <w:pPr>
              <w:rPr>
                <w:rFonts w:ascii="Arial"/>
                <w:sz w:val="21"/>
              </w:rPr>
            </w:pPr>
          </w:p>
        </w:tc>
        <w:tc>
          <w:tcPr>
            <w:tcW w:w="648" w:type="dxa"/>
            <w:tcBorders>
              <w:bottom w:val="single" w:color="000000" w:sz="6" w:space="0"/>
            </w:tcBorders>
            <w:vAlign w:val="top"/>
          </w:tcPr>
          <w:p w14:paraId="697600A9">
            <w:pPr>
              <w:pStyle w:val="6"/>
              <w:spacing w:before="44" w:line="231" w:lineRule="auto"/>
              <w:ind w:left="142"/>
            </w:pPr>
            <w:r>
              <w:rPr>
                <w:spacing w:val="5"/>
              </w:rPr>
              <w:t>施工</w:t>
            </w:r>
          </w:p>
          <w:p w14:paraId="31BA3991">
            <w:pPr>
              <w:pStyle w:val="6"/>
              <w:spacing w:before="24" w:line="228" w:lineRule="auto"/>
              <w:ind w:left="146"/>
            </w:pPr>
            <w:r>
              <w:rPr>
                <w:spacing w:val="3"/>
              </w:rPr>
              <w:t>期生</w:t>
            </w:r>
          </w:p>
        </w:tc>
        <w:tc>
          <w:tcPr>
            <w:tcW w:w="3321" w:type="dxa"/>
            <w:tcBorders>
              <w:bottom w:val="single" w:color="000000" w:sz="6" w:space="0"/>
            </w:tcBorders>
            <w:vAlign w:val="top"/>
          </w:tcPr>
          <w:p w14:paraId="727B14CC">
            <w:pPr>
              <w:pStyle w:val="6"/>
              <w:spacing w:before="44" w:line="243" w:lineRule="auto"/>
              <w:ind w:left="142" w:right="18"/>
            </w:pPr>
            <w:r>
              <w:rPr>
                <w:spacing w:val="20"/>
              </w:rPr>
              <w:t>输变电建设项目施工期临时用地</w:t>
            </w:r>
            <w:r>
              <w:rPr>
                <w:spacing w:val="-3"/>
              </w:rPr>
              <w:t>应永临结合，优先利用荒地、劣地。</w:t>
            </w:r>
          </w:p>
        </w:tc>
        <w:tc>
          <w:tcPr>
            <w:tcW w:w="2981" w:type="dxa"/>
            <w:tcBorders>
              <w:bottom w:val="single" w:color="000000" w:sz="6" w:space="0"/>
            </w:tcBorders>
            <w:vAlign w:val="top"/>
          </w:tcPr>
          <w:p w14:paraId="07614319">
            <w:pPr>
              <w:pStyle w:val="6"/>
              <w:spacing w:before="44" w:line="243" w:lineRule="auto"/>
              <w:ind w:left="132" w:right="96" w:firstLine="2"/>
            </w:pPr>
            <w:r>
              <w:rPr>
                <w:spacing w:val="11"/>
              </w:rPr>
              <w:t>项目塔基施工场地选择在塔基周边植被较少的区域、牵张场</w:t>
            </w:r>
          </w:p>
        </w:tc>
        <w:tc>
          <w:tcPr>
            <w:tcW w:w="771" w:type="dxa"/>
            <w:tcBorders>
              <w:bottom w:val="single" w:color="000000" w:sz="6" w:space="0"/>
              <w:right w:val="single" w:color="000000" w:sz="6" w:space="0"/>
            </w:tcBorders>
            <w:vAlign w:val="top"/>
          </w:tcPr>
          <w:p w14:paraId="7F2C226E">
            <w:pPr>
              <w:pStyle w:val="6"/>
              <w:spacing w:before="181" w:line="228" w:lineRule="auto"/>
              <w:ind w:left="167"/>
            </w:pPr>
            <w:r>
              <w:rPr>
                <w:spacing w:val="3"/>
              </w:rPr>
              <w:t>符合</w:t>
            </w:r>
          </w:p>
        </w:tc>
      </w:tr>
    </w:tbl>
    <w:p w14:paraId="072EDFCB">
      <w:pPr>
        <w:rPr>
          <w:rFonts w:ascii="Arial"/>
          <w:sz w:val="21"/>
        </w:rPr>
      </w:pPr>
    </w:p>
    <w:p w14:paraId="4BB33550">
      <w:pPr>
        <w:rPr>
          <w:rFonts w:ascii="Arial" w:hAnsi="Arial" w:eastAsia="Arial" w:cs="Arial"/>
          <w:sz w:val="21"/>
          <w:szCs w:val="21"/>
        </w:rPr>
        <w:sectPr>
          <w:footerReference r:id="rId25" w:type="default"/>
          <w:pgSz w:w="11907" w:h="16840"/>
          <w:pgMar w:top="400" w:right="1786" w:bottom="1240" w:left="1774" w:header="0" w:footer="1077" w:gutter="0"/>
          <w:cols w:space="720" w:num="1"/>
        </w:sectPr>
      </w:pPr>
    </w:p>
    <w:p w14:paraId="754EB6AC">
      <w:pPr>
        <w:spacing w:before="19"/>
      </w:pPr>
    </w:p>
    <w:p w14:paraId="1E0CD321">
      <w:pPr>
        <w:spacing w:before="19"/>
      </w:pPr>
    </w:p>
    <w:p w14:paraId="786B2584">
      <w:pPr>
        <w:spacing w:before="18"/>
      </w:pPr>
    </w:p>
    <w:p w14:paraId="5DFDC192">
      <w:pPr>
        <w:spacing w:before="18"/>
      </w:pPr>
    </w:p>
    <w:tbl>
      <w:tblPr>
        <w:tblStyle w:val="5"/>
        <w:tblW w:w="813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3"/>
        <w:gridCol w:w="648"/>
        <w:gridCol w:w="3321"/>
        <w:gridCol w:w="2981"/>
        <w:gridCol w:w="771"/>
      </w:tblGrid>
      <w:tr w14:paraId="4F32D8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413" w:type="dxa"/>
            <w:vMerge w:val="restart"/>
            <w:tcBorders>
              <w:top w:val="single" w:color="000000" w:sz="6" w:space="0"/>
              <w:left w:val="single" w:color="000000" w:sz="6" w:space="0"/>
              <w:bottom w:val="nil"/>
            </w:tcBorders>
            <w:vAlign w:val="top"/>
          </w:tcPr>
          <w:p w14:paraId="6E4549BE">
            <w:pPr>
              <w:rPr>
                <w:rFonts w:ascii="Arial"/>
                <w:sz w:val="21"/>
              </w:rPr>
            </w:pPr>
          </w:p>
        </w:tc>
        <w:tc>
          <w:tcPr>
            <w:tcW w:w="648" w:type="dxa"/>
            <w:vMerge w:val="restart"/>
            <w:tcBorders>
              <w:top w:val="single" w:color="000000" w:sz="6" w:space="0"/>
              <w:bottom w:val="nil"/>
            </w:tcBorders>
            <w:vAlign w:val="top"/>
          </w:tcPr>
          <w:p w14:paraId="79006A95">
            <w:pPr>
              <w:pStyle w:val="6"/>
              <w:spacing w:before="64" w:line="251" w:lineRule="auto"/>
              <w:ind w:left="143" w:right="89"/>
              <w:jc w:val="both"/>
            </w:pPr>
            <w:r>
              <w:rPr>
                <w:spacing w:val="4"/>
              </w:rPr>
              <w:t>态环境保</w:t>
            </w:r>
            <w:r>
              <w:t>护</w:t>
            </w:r>
          </w:p>
        </w:tc>
        <w:tc>
          <w:tcPr>
            <w:tcW w:w="3321" w:type="dxa"/>
            <w:tcBorders>
              <w:top w:val="single" w:color="000000" w:sz="6" w:space="0"/>
            </w:tcBorders>
            <w:vAlign w:val="top"/>
          </w:tcPr>
          <w:p w14:paraId="2D8BEF99">
            <w:pPr>
              <w:rPr>
                <w:rFonts w:ascii="Arial"/>
                <w:sz w:val="21"/>
              </w:rPr>
            </w:pPr>
          </w:p>
        </w:tc>
        <w:tc>
          <w:tcPr>
            <w:tcW w:w="2981" w:type="dxa"/>
            <w:tcBorders>
              <w:top w:val="single" w:color="000000" w:sz="6" w:space="0"/>
            </w:tcBorders>
            <w:vAlign w:val="top"/>
          </w:tcPr>
          <w:p w14:paraId="0342B8DC">
            <w:pPr>
              <w:pStyle w:val="6"/>
              <w:spacing w:before="62" w:line="234" w:lineRule="auto"/>
              <w:ind w:left="131" w:right="96" w:firstLine="5"/>
            </w:pPr>
            <w:r>
              <w:rPr>
                <w:spacing w:val="10"/>
              </w:rPr>
              <w:t>结合施工需要尽量选择在植被</w:t>
            </w:r>
            <w:r>
              <w:rPr>
                <w:spacing w:val="6"/>
              </w:rPr>
              <w:t>稀少的区域。</w:t>
            </w:r>
          </w:p>
        </w:tc>
        <w:tc>
          <w:tcPr>
            <w:tcW w:w="771" w:type="dxa"/>
            <w:tcBorders>
              <w:top w:val="single" w:color="000000" w:sz="6" w:space="0"/>
              <w:right w:val="single" w:color="000000" w:sz="6" w:space="0"/>
            </w:tcBorders>
            <w:vAlign w:val="top"/>
          </w:tcPr>
          <w:p w14:paraId="12DA02F9">
            <w:pPr>
              <w:rPr>
                <w:rFonts w:ascii="Arial"/>
                <w:sz w:val="21"/>
              </w:rPr>
            </w:pPr>
          </w:p>
        </w:tc>
      </w:tr>
      <w:tr w14:paraId="1FD3B7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413" w:type="dxa"/>
            <w:vMerge w:val="continue"/>
            <w:tcBorders>
              <w:top w:val="nil"/>
              <w:left w:val="single" w:color="000000" w:sz="6" w:space="0"/>
              <w:bottom w:val="nil"/>
            </w:tcBorders>
            <w:vAlign w:val="top"/>
          </w:tcPr>
          <w:p w14:paraId="750E5C29">
            <w:pPr>
              <w:rPr>
                <w:rFonts w:ascii="Arial"/>
                <w:sz w:val="21"/>
              </w:rPr>
            </w:pPr>
          </w:p>
        </w:tc>
        <w:tc>
          <w:tcPr>
            <w:tcW w:w="648" w:type="dxa"/>
            <w:vMerge w:val="continue"/>
            <w:tcBorders>
              <w:top w:val="nil"/>
              <w:bottom w:val="nil"/>
            </w:tcBorders>
            <w:vAlign w:val="top"/>
          </w:tcPr>
          <w:p w14:paraId="3862CEF0">
            <w:pPr>
              <w:rPr>
                <w:rFonts w:ascii="Arial"/>
                <w:sz w:val="21"/>
              </w:rPr>
            </w:pPr>
          </w:p>
        </w:tc>
        <w:tc>
          <w:tcPr>
            <w:tcW w:w="3321" w:type="dxa"/>
            <w:vAlign w:val="top"/>
          </w:tcPr>
          <w:p w14:paraId="141CB36A">
            <w:pPr>
              <w:pStyle w:val="6"/>
              <w:spacing w:before="31" w:line="252" w:lineRule="auto"/>
              <w:ind w:left="142" w:right="18"/>
              <w:jc w:val="both"/>
            </w:pPr>
            <w:r>
              <w:rPr>
                <w:spacing w:val="5"/>
              </w:rPr>
              <w:t>输变电建设项目施工占用耕地、园</w:t>
            </w:r>
            <w:r>
              <w:rPr>
                <w:spacing w:val="-3"/>
              </w:rPr>
              <w:t>地、林地和草地，应做好表土剥离、</w:t>
            </w:r>
            <w:r>
              <w:rPr>
                <w:spacing w:val="8"/>
              </w:rPr>
              <w:t>分类存放和回填利用。</w:t>
            </w:r>
          </w:p>
        </w:tc>
        <w:tc>
          <w:tcPr>
            <w:tcW w:w="2981" w:type="dxa"/>
            <w:vAlign w:val="top"/>
          </w:tcPr>
          <w:p w14:paraId="59661967">
            <w:pPr>
              <w:pStyle w:val="6"/>
              <w:spacing w:before="30" w:line="243" w:lineRule="auto"/>
              <w:ind w:left="131" w:right="96" w:firstLine="4"/>
              <w:jc w:val="both"/>
            </w:pPr>
            <w:r>
              <w:rPr>
                <w:spacing w:val="11"/>
              </w:rPr>
              <w:t>项目剥离的表土堆放在各塔基施工场地边沿，部分装袋作为施工场地周边临时拦挡，施工</w:t>
            </w:r>
            <w:r>
              <w:rPr>
                <w:spacing w:val="7"/>
              </w:rPr>
              <w:t>结束用于塔基回填。</w:t>
            </w:r>
          </w:p>
        </w:tc>
        <w:tc>
          <w:tcPr>
            <w:tcW w:w="771" w:type="dxa"/>
            <w:tcBorders>
              <w:right w:val="single" w:color="000000" w:sz="6" w:space="0"/>
            </w:tcBorders>
            <w:vAlign w:val="top"/>
          </w:tcPr>
          <w:p w14:paraId="1236C0AA">
            <w:pPr>
              <w:spacing w:line="370" w:lineRule="auto"/>
              <w:rPr>
                <w:rFonts w:ascii="Arial"/>
                <w:sz w:val="21"/>
              </w:rPr>
            </w:pPr>
          </w:p>
          <w:p w14:paraId="7508C8E1">
            <w:pPr>
              <w:pStyle w:val="6"/>
              <w:spacing w:before="65" w:line="228" w:lineRule="auto"/>
              <w:ind w:left="167"/>
            </w:pPr>
            <w:r>
              <w:rPr>
                <w:spacing w:val="3"/>
              </w:rPr>
              <w:t>符合</w:t>
            </w:r>
          </w:p>
        </w:tc>
      </w:tr>
      <w:tr w14:paraId="15B5F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413" w:type="dxa"/>
            <w:vMerge w:val="continue"/>
            <w:tcBorders>
              <w:top w:val="nil"/>
              <w:left w:val="single" w:color="000000" w:sz="6" w:space="0"/>
              <w:bottom w:val="nil"/>
            </w:tcBorders>
            <w:vAlign w:val="top"/>
          </w:tcPr>
          <w:p w14:paraId="731F043B">
            <w:pPr>
              <w:rPr>
                <w:rFonts w:ascii="Arial"/>
                <w:sz w:val="21"/>
              </w:rPr>
            </w:pPr>
          </w:p>
        </w:tc>
        <w:tc>
          <w:tcPr>
            <w:tcW w:w="648" w:type="dxa"/>
            <w:vMerge w:val="continue"/>
            <w:tcBorders>
              <w:top w:val="nil"/>
              <w:bottom w:val="nil"/>
            </w:tcBorders>
            <w:vAlign w:val="top"/>
          </w:tcPr>
          <w:p w14:paraId="7F9523A3">
            <w:pPr>
              <w:rPr>
                <w:rFonts w:ascii="Arial"/>
                <w:sz w:val="21"/>
              </w:rPr>
            </w:pPr>
          </w:p>
        </w:tc>
        <w:tc>
          <w:tcPr>
            <w:tcW w:w="3321" w:type="dxa"/>
            <w:vAlign w:val="top"/>
          </w:tcPr>
          <w:p w14:paraId="10D109DF">
            <w:pPr>
              <w:pStyle w:val="6"/>
              <w:spacing w:before="33" w:line="252" w:lineRule="auto"/>
              <w:ind w:left="144" w:right="86" w:hanging="2"/>
              <w:jc w:val="both"/>
            </w:pPr>
            <w:r>
              <w:rPr>
                <w:spacing w:val="20"/>
              </w:rPr>
              <w:t>施工临时道路应尽可能利用机耕</w:t>
            </w:r>
            <w:r>
              <w:rPr>
                <w:spacing w:val="5"/>
              </w:rPr>
              <w:t>路、林区小路等现有道路，新建道路应严格控制道路宽度，以减少临</w:t>
            </w:r>
            <w:r>
              <w:rPr>
                <w:spacing w:val="8"/>
              </w:rPr>
              <w:t>时工程对生态环境的影响。</w:t>
            </w:r>
          </w:p>
        </w:tc>
        <w:tc>
          <w:tcPr>
            <w:tcW w:w="2981" w:type="dxa"/>
            <w:vAlign w:val="top"/>
          </w:tcPr>
          <w:p w14:paraId="59D80341">
            <w:pPr>
              <w:pStyle w:val="6"/>
              <w:spacing w:before="33" w:line="244" w:lineRule="auto"/>
              <w:ind w:left="131" w:right="9" w:firstLine="4"/>
              <w:jc w:val="both"/>
            </w:pPr>
            <w:r>
              <w:rPr>
                <w:spacing w:val="11"/>
              </w:rPr>
              <w:t>项目材料运输尽可能利用现有</w:t>
            </w:r>
            <w:r>
              <w:rPr>
                <w:spacing w:val="2"/>
              </w:rPr>
              <w:t>道路（乡村道路、机耕道路等）</w:t>
            </w:r>
            <w:r>
              <w:rPr>
                <w:spacing w:val="11"/>
              </w:rPr>
              <w:t>运输，无现有道路的地段采用人抬马驮的方式运输，不再新</w:t>
            </w:r>
            <w:r>
              <w:rPr>
                <w:spacing w:val="8"/>
              </w:rPr>
              <w:t>建施工便道</w:t>
            </w:r>
          </w:p>
        </w:tc>
        <w:tc>
          <w:tcPr>
            <w:tcW w:w="771" w:type="dxa"/>
            <w:tcBorders>
              <w:right w:val="single" w:color="000000" w:sz="6" w:space="0"/>
            </w:tcBorders>
            <w:vAlign w:val="top"/>
          </w:tcPr>
          <w:p w14:paraId="6279333B">
            <w:pPr>
              <w:spacing w:line="253" w:lineRule="auto"/>
              <w:rPr>
                <w:rFonts w:ascii="Arial"/>
                <w:sz w:val="21"/>
              </w:rPr>
            </w:pPr>
          </w:p>
          <w:p w14:paraId="13870391">
            <w:pPr>
              <w:spacing w:line="254" w:lineRule="auto"/>
              <w:rPr>
                <w:rFonts w:ascii="Arial"/>
                <w:sz w:val="21"/>
              </w:rPr>
            </w:pPr>
          </w:p>
          <w:p w14:paraId="5F947C36">
            <w:pPr>
              <w:pStyle w:val="6"/>
              <w:spacing w:before="65" w:line="228" w:lineRule="auto"/>
              <w:ind w:left="167"/>
            </w:pPr>
            <w:r>
              <w:rPr>
                <w:spacing w:val="3"/>
              </w:rPr>
              <w:t>符合</w:t>
            </w:r>
          </w:p>
        </w:tc>
      </w:tr>
      <w:tr w14:paraId="352BC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trPr>
        <w:tc>
          <w:tcPr>
            <w:tcW w:w="413" w:type="dxa"/>
            <w:vMerge w:val="continue"/>
            <w:tcBorders>
              <w:top w:val="nil"/>
              <w:left w:val="single" w:color="000000" w:sz="6" w:space="0"/>
              <w:bottom w:val="nil"/>
            </w:tcBorders>
            <w:vAlign w:val="top"/>
          </w:tcPr>
          <w:p w14:paraId="27FD0326">
            <w:pPr>
              <w:rPr>
                <w:rFonts w:ascii="Arial"/>
                <w:sz w:val="21"/>
              </w:rPr>
            </w:pPr>
          </w:p>
        </w:tc>
        <w:tc>
          <w:tcPr>
            <w:tcW w:w="648" w:type="dxa"/>
            <w:vMerge w:val="continue"/>
            <w:tcBorders>
              <w:top w:val="nil"/>
              <w:bottom w:val="nil"/>
            </w:tcBorders>
            <w:vAlign w:val="top"/>
          </w:tcPr>
          <w:p w14:paraId="48F0FF13">
            <w:pPr>
              <w:rPr>
                <w:rFonts w:ascii="Arial"/>
                <w:sz w:val="21"/>
              </w:rPr>
            </w:pPr>
          </w:p>
        </w:tc>
        <w:tc>
          <w:tcPr>
            <w:tcW w:w="3321" w:type="dxa"/>
            <w:vAlign w:val="top"/>
          </w:tcPr>
          <w:p w14:paraId="3BBB359A">
            <w:pPr>
              <w:pStyle w:val="6"/>
              <w:spacing w:before="35" w:line="252" w:lineRule="auto"/>
              <w:ind w:left="142" w:right="66"/>
              <w:jc w:val="both"/>
            </w:pPr>
            <w:r>
              <w:rPr>
                <w:spacing w:val="7"/>
              </w:rPr>
              <w:t>施工现场使用带油料的机械器具，应采取措施防止油料跑、冒、滴、漏，防止对土壤和水体造成污染。</w:t>
            </w:r>
          </w:p>
        </w:tc>
        <w:tc>
          <w:tcPr>
            <w:tcW w:w="2981" w:type="dxa"/>
            <w:vAlign w:val="top"/>
          </w:tcPr>
          <w:p w14:paraId="752419C5">
            <w:pPr>
              <w:pStyle w:val="6"/>
              <w:spacing w:before="34" w:line="244" w:lineRule="auto"/>
              <w:ind w:left="132" w:right="96"/>
              <w:jc w:val="both"/>
            </w:pPr>
            <w:r>
              <w:rPr>
                <w:spacing w:val="11"/>
              </w:rPr>
              <w:t>运输汽车、施工机械动力源主要为柴油，工程施工时应加强管理，做好施工机械的日常维修保养，杜绝跑、冒、滴、漏</w:t>
            </w:r>
            <w:r>
              <w:rPr>
                <w:spacing w:val="3"/>
              </w:rPr>
              <w:t>现象。</w:t>
            </w:r>
          </w:p>
        </w:tc>
        <w:tc>
          <w:tcPr>
            <w:tcW w:w="771" w:type="dxa"/>
            <w:tcBorders>
              <w:right w:val="single" w:color="000000" w:sz="6" w:space="0"/>
            </w:tcBorders>
            <w:vAlign w:val="top"/>
          </w:tcPr>
          <w:p w14:paraId="4ACCD8D6">
            <w:pPr>
              <w:spacing w:line="255" w:lineRule="auto"/>
              <w:rPr>
                <w:rFonts w:ascii="Arial"/>
                <w:sz w:val="21"/>
              </w:rPr>
            </w:pPr>
          </w:p>
          <w:p w14:paraId="7E427111">
            <w:pPr>
              <w:spacing w:line="255" w:lineRule="auto"/>
              <w:rPr>
                <w:rFonts w:ascii="Arial"/>
                <w:sz w:val="21"/>
              </w:rPr>
            </w:pPr>
          </w:p>
          <w:p w14:paraId="458D9D9C">
            <w:pPr>
              <w:pStyle w:val="6"/>
              <w:spacing w:before="65" w:line="228" w:lineRule="auto"/>
              <w:ind w:left="167"/>
            </w:pPr>
            <w:r>
              <w:rPr>
                <w:spacing w:val="3"/>
              </w:rPr>
              <w:t>符合</w:t>
            </w:r>
          </w:p>
        </w:tc>
      </w:tr>
      <w:tr w14:paraId="3107B1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413" w:type="dxa"/>
            <w:vMerge w:val="continue"/>
            <w:tcBorders>
              <w:top w:val="nil"/>
              <w:left w:val="single" w:color="000000" w:sz="6" w:space="0"/>
              <w:bottom w:val="nil"/>
            </w:tcBorders>
            <w:vAlign w:val="top"/>
          </w:tcPr>
          <w:p w14:paraId="46FE712E">
            <w:pPr>
              <w:rPr>
                <w:rFonts w:ascii="Arial"/>
                <w:sz w:val="21"/>
              </w:rPr>
            </w:pPr>
          </w:p>
        </w:tc>
        <w:tc>
          <w:tcPr>
            <w:tcW w:w="648" w:type="dxa"/>
            <w:vMerge w:val="continue"/>
            <w:tcBorders>
              <w:top w:val="nil"/>
            </w:tcBorders>
            <w:vAlign w:val="top"/>
          </w:tcPr>
          <w:p w14:paraId="3E0C9DEB">
            <w:pPr>
              <w:rPr>
                <w:rFonts w:ascii="Arial"/>
                <w:sz w:val="21"/>
              </w:rPr>
            </w:pPr>
          </w:p>
        </w:tc>
        <w:tc>
          <w:tcPr>
            <w:tcW w:w="3321" w:type="dxa"/>
            <w:vAlign w:val="top"/>
          </w:tcPr>
          <w:p w14:paraId="2E922C9D">
            <w:pPr>
              <w:pStyle w:val="6"/>
              <w:spacing w:before="36" w:line="252" w:lineRule="auto"/>
              <w:ind w:left="142" w:right="66"/>
            </w:pPr>
            <w:r>
              <w:rPr>
                <w:spacing w:val="20"/>
              </w:rPr>
              <w:t>施工结束后，应及时清理施工现</w:t>
            </w:r>
            <w:r>
              <w:rPr>
                <w:spacing w:val="7"/>
              </w:rPr>
              <w:t>场，因地制宜进行土地功能恢复。</w:t>
            </w:r>
          </w:p>
        </w:tc>
        <w:tc>
          <w:tcPr>
            <w:tcW w:w="2981" w:type="dxa"/>
            <w:vAlign w:val="top"/>
          </w:tcPr>
          <w:p w14:paraId="6D27D158">
            <w:pPr>
              <w:pStyle w:val="6"/>
              <w:spacing w:before="34" w:line="242" w:lineRule="auto"/>
              <w:ind w:left="131" w:right="25" w:firstLine="1"/>
              <w:jc w:val="both"/>
            </w:pPr>
            <w:r>
              <w:rPr>
                <w:spacing w:val="12"/>
              </w:rPr>
              <w:t>本环评要求项目施工结束后，</w:t>
            </w:r>
            <w:r>
              <w:rPr>
                <w:spacing w:val="1"/>
              </w:rPr>
              <w:t>及时清理施工现场，通过复垦、</w:t>
            </w:r>
            <w:r>
              <w:rPr>
                <w:spacing w:val="11"/>
              </w:rPr>
              <w:t>恢复植被等措施恢复临时占地</w:t>
            </w:r>
            <w:r>
              <w:rPr>
                <w:spacing w:val="7"/>
              </w:rPr>
              <w:t>原有土地功能。</w:t>
            </w:r>
          </w:p>
        </w:tc>
        <w:tc>
          <w:tcPr>
            <w:tcW w:w="771" w:type="dxa"/>
            <w:tcBorders>
              <w:right w:val="single" w:color="000000" w:sz="6" w:space="0"/>
            </w:tcBorders>
            <w:vAlign w:val="top"/>
          </w:tcPr>
          <w:p w14:paraId="493DBE81">
            <w:pPr>
              <w:spacing w:line="376" w:lineRule="auto"/>
              <w:rPr>
                <w:rFonts w:ascii="Arial"/>
                <w:sz w:val="21"/>
              </w:rPr>
            </w:pPr>
          </w:p>
          <w:p w14:paraId="709F4DE3">
            <w:pPr>
              <w:pStyle w:val="6"/>
              <w:spacing w:before="65" w:line="228" w:lineRule="auto"/>
              <w:ind w:left="167"/>
            </w:pPr>
            <w:r>
              <w:rPr>
                <w:spacing w:val="3"/>
              </w:rPr>
              <w:t>符合</w:t>
            </w:r>
          </w:p>
        </w:tc>
      </w:tr>
      <w:tr w14:paraId="3E65C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413" w:type="dxa"/>
            <w:vMerge w:val="continue"/>
            <w:tcBorders>
              <w:top w:val="nil"/>
              <w:left w:val="single" w:color="000000" w:sz="6" w:space="0"/>
              <w:bottom w:val="nil"/>
            </w:tcBorders>
            <w:vAlign w:val="top"/>
          </w:tcPr>
          <w:p w14:paraId="6C63F0E4">
            <w:pPr>
              <w:rPr>
                <w:rFonts w:ascii="Arial"/>
                <w:sz w:val="21"/>
              </w:rPr>
            </w:pPr>
          </w:p>
        </w:tc>
        <w:tc>
          <w:tcPr>
            <w:tcW w:w="648" w:type="dxa"/>
            <w:vAlign w:val="top"/>
          </w:tcPr>
          <w:p w14:paraId="61ED72C1">
            <w:pPr>
              <w:spacing w:line="241" w:lineRule="auto"/>
              <w:rPr>
                <w:rFonts w:ascii="Arial"/>
                <w:sz w:val="21"/>
              </w:rPr>
            </w:pPr>
          </w:p>
          <w:p w14:paraId="18F0BBCF">
            <w:pPr>
              <w:pStyle w:val="6"/>
              <w:spacing w:before="65" w:line="252" w:lineRule="auto"/>
              <w:ind w:left="143" w:right="89" w:hanging="1"/>
              <w:jc w:val="both"/>
            </w:pPr>
            <w:r>
              <w:rPr>
                <w:spacing w:val="5"/>
              </w:rPr>
              <w:t>施工</w:t>
            </w:r>
            <w:r>
              <w:rPr>
                <w:spacing w:val="4"/>
              </w:rPr>
              <w:t>水环境保</w:t>
            </w:r>
            <w:r>
              <w:t>护</w:t>
            </w:r>
          </w:p>
        </w:tc>
        <w:tc>
          <w:tcPr>
            <w:tcW w:w="3321" w:type="dxa"/>
            <w:vAlign w:val="top"/>
          </w:tcPr>
          <w:p w14:paraId="05B453E3">
            <w:pPr>
              <w:pStyle w:val="6"/>
              <w:spacing w:before="38" w:line="251" w:lineRule="auto"/>
              <w:ind w:left="143" w:right="86" w:hanging="1"/>
              <w:jc w:val="both"/>
            </w:pPr>
            <w:r>
              <w:rPr>
                <w:spacing w:val="5"/>
              </w:rPr>
              <w:t>施工期间禁止向水体排放、倾倒垃圾、弃土、弃渣，禁止排放未经处</w:t>
            </w:r>
            <w:r>
              <w:rPr>
                <w:spacing w:val="7"/>
              </w:rPr>
              <w:t>理的钻浆等废弃物。</w:t>
            </w:r>
          </w:p>
        </w:tc>
        <w:tc>
          <w:tcPr>
            <w:tcW w:w="2981" w:type="dxa"/>
            <w:vAlign w:val="top"/>
          </w:tcPr>
          <w:p w14:paraId="266F8163">
            <w:pPr>
              <w:pStyle w:val="6"/>
              <w:spacing w:before="34" w:line="245" w:lineRule="auto"/>
              <w:ind w:left="132" w:right="96"/>
              <w:jc w:val="both"/>
            </w:pPr>
            <w:r>
              <w:rPr>
                <w:spacing w:val="11"/>
              </w:rPr>
              <w:t>本环评要求施工期废水经处理后回用，不外排。施工期间生活垃圾统一收集后，及时处理处置；施工产生的土石方及时回填，禁止垃圾、土石方等随</w:t>
            </w:r>
            <w:r>
              <w:rPr>
                <w:spacing w:val="6"/>
              </w:rPr>
              <w:t>意丢弃排放。</w:t>
            </w:r>
          </w:p>
        </w:tc>
        <w:tc>
          <w:tcPr>
            <w:tcW w:w="771" w:type="dxa"/>
            <w:tcBorders>
              <w:right w:val="single" w:color="000000" w:sz="6" w:space="0"/>
            </w:tcBorders>
            <w:vAlign w:val="top"/>
          </w:tcPr>
          <w:p w14:paraId="59900013">
            <w:pPr>
              <w:spacing w:line="323" w:lineRule="auto"/>
              <w:rPr>
                <w:rFonts w:ascii="Arial"/>
                <w:sz w:val="21"/>
              </w:rPr>
            </w:pPr>
          </w:p>
          <w:p w14:paraId="6825D482">
            <w:pPr>
              <w:spacing w:line="324" w:lineRule="auto"/>
              <w:rPr>
                <w:rFonts w:ascii="Arial"/>
                <w:sz w:val="21"/>
              </w:rPr>
            </w:pPr>
          </w:p>
          <w:p w14:paraId="6A0DA92E">
            <w:pPr>
              <w:pStyle w:val="6"/>
              <w:spacing w:before="65" w:line="228" w:lineRule="auto"/>
              <w:ind w:left="167"/>
            </w:pPr>
            <w:r>
              <w:rPr>
                <w:spacing w:val="3"/>
              </w:rPr>
              <w:t>符合</w:t>
            </w:r>
          </w:p>
        </w:tc>
      </w:tr>
      <w:tr w14:paraId="6D5F9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413" w:type="dxa"/>
            <w:vMerge w:val="continue"/>
            <w:tcBorders>
              <w:top w:val="nil"/>
              <w:left w:val="single" w:color="000000" w:sz="6" w:space="0"/>
              <w:bottom w:val="nil"/>
            </w:tcBorders>
            <w:vAlign w:val="top"/>
          </w:tcPr>
          <w:p w14:paraId="12509009">
            <w:pPr>
              <w:rPr>
                <w:rFonts w:ascii="Arial"/>
                <w:sz w:val="21"/>
              </w:rPr>
            </w:pPr>
          </w:p>
        </w:tc>
        <w:tc>
          <w:tcPr>
            <w:tcW w:w="648" w:type="dxa"/>
            <w:vMerge w:val="restart"/>
            <w:tcBorders>
              <w:bottom w:val="nil"/>
            </w:tcBorders>
            <w:vAlign w:val="top"/>
          </w:tcPr>
          <w:p w14:paraId="4CE1E19D">
            <w:pPr>
              <w:spacing w:line="268" w:lineRule="auto"/>
              <w:rPr>
                <w:rFonts w:ascii="Arial"/>
                <w:sz w:val="21"/>
              </w:rPr>
            </w:pPr>
          </w:p>
          <w:p w14:paraId="5F0644D8">
            <w:pPr>
              <w:spacing w:line="268" w:lineRule="auto"/>
              <w:rPr>
                <w:rFonts w:ascii="Arial"/>
                <w:sz w:val="21"/>
              </w:rPr>
            </w:pPr>
          </w:p>
          <w:p w14:paraId="7569860C">
            <w:pPr>
              <w:spacing w:line="268" w:lineRule="auto"/>
              <w:rPr>
                <w:rFonts w:ascii="Arial"/>
                <w:sz w:val="21"/>
              </w:rPr>
            </w:pPr>
          </w:p>
          <w:p w14:paraId="689F9D44">
            <w:pPr>
              <w:spacing w:line="268" w:lineRule="auto"/>
              <w:rPr>
                <w:rFonts w:ascii="Arial"/>
                <w:sz w:val="21"/>
              </w:rPr>
            </w:pPr>
          </w:p>
          <w:p w14:paraId="42ED6AE1">
            <w:pPr>
              <w:spacing w:line="268" w:lineRule="auto"/>
              <w:rPr>
                <w:rFonts w:ascii="Arial"/>
                <w:sz w:val="21"/>
              </w:rPr>
            </w:pPr>
          </w:p>
          <w:p w14:paraId="51B86F67">
            <w:pPr>
              <w:spacing w:line="269" w:lineRule="auto"/>
              <w:rPr>
                <w:rFonts w:ascii="Arial"/>
                <w:sz w:val="21"/>
              </w:rPr>
            </w:pPr>
          </w:p>
          <w:p w14:paraId="49216603">
            <w:pPr>
              <w:pStyle w:val="6"/>
              <w:spacing w:before="65" w:line="253" w:lineRule="auto"/>
              <w:ind w:left="142" w:right="89"/>
              <w:jc w:val="both"/>
            </w:pPr>
            <w:r>
              <w:rPr>
                <w:spacing w:val="5"/>
              </w:rPr>
              <w:t>施工</w:t>
            </w:r>
            <w:r>
              <w:rPr>
                <w:spacing w:val="4"/>
              </w:rPr>
              <w:t>大气环境保护</w:t>
            </w:r>
          </w:p>
        </w:tc>
        <w:tc>
          <w:tcPr>
            <w:tcW w:w="3321" w:type="dxa"/>
            <w:vAlign w:val="top"/>
          </w:tcPr>
          <w:p w14:paraId="2519CF7C">
            <w:pPr>
              <w:pStyle w:val="6"/>
              <w:spacing w:before="38" w:line="241" w:lineRule="auto"/>
              <w:ind w:left="141" w:right="66"/>
              <w:jc w:val="both"/>
            </w:pPr>
            <w:r>
              <w:rPr>
                <w:spacing w:val="5"/>
              </w:rPr>
              <w:t>施工过程中，应当加强对施工现场和物料运输的管理，在施工工地设置硬质围挡，保持道路清洁，管控</w:t>
            </w:r>
            <w:r>
              <w:rPr>
                <w:spacing w:val="7"/>
              </w:rPr>
              <w:t>料堆和渣土堆放，防治扬尘污染。</w:t>
            </w:r>
          </w:p>
        </w:tc>
        <w:tc>
          <w:tcPr>
            <w:tcW w:w="2981" w:type="dxa"/>
            <w:vMerge w:val="restart"/>
            <w:tcBorders>
              <w:bottom w:val="nil"/>
            </w:tcBorders>
            <w:vAlign w:val="top"/>
          </w:tcPr>
          <w:p w14:paraId="1EB494EB">
            <w:pPr>
              <w:pStyle w:val="6"/>
              <w:spacing w:before="36" w:line="252" w:lineRule="auto"/>
              <w:ind w:left="131" w:right="96" w:firstLine="1"/>
              <w:jc w:val="both"/>
            </w:pPr>
            <w:r>
              <w:rPr>
                <w:spacing w:val="11"/>
              </w:rPr>
              <w:t>本环评要求施工工地采取围挡施工措施；施工堆料区、表土堆存区等裸露区域采取覆盖措施；施工过程中采取洒水降尘措施；施工运输车辆采取篷布遮盖等封闭措施；施工现场禁止焚烧垃圾、包装物等措施，以减少工程施工对大气环境的</w:t>
            </w:r>
            <w:r>
              <w:rPr>
                <w:spacing w:val="3"/>
              </w:rPr>
              <w:t>影响。</w:t>
            </w:r>
          </w:p>
        </w:tc>
        <w:tc>
          <w:tcPr>
            <w:tcW w:w="771" w:type="dxa"/>
            <w:vMerge w:val="restart"/>
            <w:tcBorders>
              <w:bottom w:val="nil"/>
              <w:right w:val="single" w:color="000000" w:sz="6" w:space="0"/>
            </w:tcBorders>
            <w:vAlign w:val="top"/>
          </w:tcPr>
          <w:p w14:paraId="31F5998D">
            <w:pPr>
              <w:spacing w:line="252" w:lineRule="auto"/>
              <w:rPr>
                <w:rFonts w:ascii="Arial"/>
                <w:sz w:val="21"/>
              </w:rPr>
            </w:pPr>
          </w:p>
          <w:p w14:paraId="5703FFE1">
            <w:pPr>
              <w:spacing w:line="252" w:lineRule="auto"/>
              <w:rPr>
                <w:rFonts w:ascii="Arial"/>
                <w:sz w:val="21"/>
              </w:rPr>
            </w:pPr>
          </w:p>
          <w:p w14:paraId="1E40F5ED">
            <w:pPr>
              <w:spacing w:line="252" w:lineRule="auto"/>
              <w:rPr>
                <w:rFonts w:ascii="Arial"/>
                <w:sz w:val="21"/>
              </w:rPr>
            </w:pPr>
          </w:p>
          <w:p w14:paraId="12594E3A">
            <w:pPr>
              <w:spacing w:line="252" w:lineRule="auto"/>
              <w:rPr>
                <w:rFonts w:ascii="Arial"/>
                <w:sz w:val="21"/>
              </w:rPr>
            </w:pPr>
          </w:p>
          <w:p w14:paraId="615A1988">
            <w:pPr>
              <w:spacing w:line="252" w:lineRule="auto"/>
              <w:rPr>
                <w:rFonts w:ascii="Arial"/>
                <w:sz w:val="21"/>
              </w:rPr>
            </w:pPr>
          </w:p>
          <w:p w14:paraId="74E92970">
            <w:pPr>
              <w:spacing w:line="252" w:lineRule="auto"/>
              <w:rPr>
                <w:rFonts w:ascii="Arial"/>
                <w:sz w:val="21"/>
              </w:rPr>
            </w:pPr>
          </w:p>
          <w:p w14:paraId="1457BBCF">
            <w:pPr>
              <w:spacing w:line="253" w:lineRule="auto"/>
              <w:rPr>
                <w:rFonts w:ascii="Arial"/>
                <w:sz w:val="21"/>
              </w:rPr>
            </w:pPr>
          </w:p>
          <w:p w14:paraId="70FBF38D">
            <w:pPr>
              <w:spacing w:line="253" w:lineRule="auto"/>
              <w:rPr>
                <w:rFonts w:ascii="Arial"/>
                <w:sz w:val="21"/>
              </w:rPr>
            </w:pPr>
          </w:p>
          <w:p w14:paraId="20C5669B">
            <w:pPr>
              <w:pStyle w:val="6"/>
              <w:spacing w:before="65" w:line="228" w:lineRule="auto"/>
              <w:ind w:left="167"/>
            </w:pPr>
            <w:r>
              <w:rPr>
                <w:spacing w:val="3"/>
              </w:rPr>
              <w:t>符合</w:t>
            </w:r>
          </w:p>
        </w:tc>
      </w:tr>
      <w:tr w14:paraId="00605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413" w:type="dxa"/>
            <w:vMerge w:val="continue"/>
            <w:tcBorders>
              <w:top w:val="nil"/>
              <w:left w:val="single" w:color="000000" w:sz="6" w:space="0"/>
              <w:bottom w:val="nil"/>
            </w:tcBorders>
            <w:vAlign w:val="top"/>
          </w:tcPr>
          <w:p w14:paraId="1E784E08">
            <w:pPr>
              <w:rPr>
                <w:rFonts w:ascii="Arial"/>
                <w:sz w:val="21"/>
              </w:rPr>
            </w:pPr>
          </w:p>
        </w:tc>
        <w:tc>
          <w:tcPr>
            <w:tcW w:w="648" w:type="dxa"/>
            <w:vMerge w:val="continue"/>
            <w:tcBorders>
              <w:top w:val="nil"/>
              <w:bottom w:val="nil"/>
            </w:tcBorders>
            <w:vAlign w:val="top"/>
          </w:tcPr>
          <w:p w14:paraId="3FB146A4">
            <w:pPr>
              <w:rPr>
                <w:rFonts w:ascii="Arial"/>
                <w:sz w:val="21"/>
              </w:rPr>
            </w:pPr>
          </w:p>
        </w:tc>
        <w:tc>
          <w:tcPr>
            <w:tcW w:w="3321" w:type="dxa"/>
            <w:vAlign w:val="top"/>
          </w:tcPr>
          <w:p w14:paraId="0D7D4819">
            <w:pPr>
              <w:pStyle w:val="6"/>
              <w:spacing w:before="41" w:line="244" w:lineRule="auto"/>
              <w:ind w:left="143" w:right="86" w:hanging="1"/>
              <w:jc w:val="both"/>
            </w:pPr>
            <w:r>
              <w:rPr>
                <w:spacing w:val="20"/>
              </w:rPr>
              <w:t>施工过程中，对易起尘的临时堆</w:t>
            </w:r>
            <w:r>
              <w:rPr>
                <w:spacing w:val="5"/>
              </w:rPr>
              <w:t>土、运输过程中的土石方等应采用密闭式防尘布（网）进行苫盖，施</w:t>
            </w:r>
            <w:r>
              <w:rPr>
                <w:spacing w:val="20"/>
              </w:rPr>
              <w:t>工面集中且有条件的地方宜采取</w:t>
            </w:r>
            <w:r>
              <w:rPr>
                <w:spacing w:val="5"/>
              </w:rPr>
              <w:t>洒水降尘等有效措施，减少易造成</w:t>
            </w:r>
            <w:r>
              <w:rPr>
                <w:spacing w:val="7"/>
              </w:rPr>
              <w:t>大气污染的施工作业。</w:t>
            </w:r>
          </w:p>
        </w:tc>
        <w:tc>
          <w:tcPr>
            <w:tcW w:w="2981" w:type="dxa"/>
            <w:vMerge w:val="continue"/>
            <w:tcBorders>
              <w:top w:val="nil"/>
              <w:bottom w:val="nil"/>
            </w:tcBorders>
            <w:vAlign w:val="top"/>
          </w:tcPr>
          <w:p w14:paraId="64F9C1C9">
            <w:pPr>
              <w:rPr>
                <w:rFonts w:ascii="Arial"/>
                <w:sz w:val="21"/>
              </w:rPr>
            </w:pPr>
          </w:p>
        </w:tc>
        <w:tc>
          <w:tcPr>
            <w:tcW w:w="771" w:type="dxa"/>
            <w:vMerge w:val="continue"/>
            <w:tcBorders>
              <w:top w:val="nil"/>
              <w:bottom w:val="nil"/>
              <w:right w:val="single" w:color="000000" w:sz="6" w:space="0"/>
            </w:tcBorders>
            <w:vAlign w:val="top"/>
          </w:tcPr>
          <w:p w14:paraId="2239DAB6">
            <w:pPr>
              <w:rPr>
                <w:rFonts w:ascii="Arial"/>
                <w:sz w:val="21"/>
              </w:rPr>
            </w:pPr>
          </w:p>
        </w:tc>
      </w:tr>
      <w:tr w14:paraId="1BE24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413" w:type="dxa"/>
            <w:vMerge w:val="continue"/>
            <w:tcBorders>
              <w:top w:val="nil"/>
              <w:left w:val="single" w:color="000000" w:sz="6" w:space="0"/>
              <w:bottom w:val="nil"/>
            </w:tcBorders>
            <w:vAlign w:val="top"/>
          </w:tcPr>
          <w:p w14:paraId="6AAB0050">
            <w:pPr>
              <w:rPr>
                <w:rFonts w:ascii="Arial"/>
                <w:sz w:val="21"/>
              </w:rPr>
            </w:pPr>
          </w:p>
        </w:tc>
        <w:tc>
          <w:tcPr>
            <w:tcW w:w="648" w:type="dxa"/>
            <w:vMerge w:val="continue"/>
            <w:tcBorders>
              <w:top w:val="nil"/>
              <w:bottom w:val="nil"/>
            </w:tcBorders>
            <w:vAlign w:val="top"/>
          </w:tcPr>
          <w:p w14:paraId="22098E05">
            <w:pPr>
              <w:rPr>
                <w:rFonts w:ascii="Arial"/>
                <w:sz w:val="21"/>
              </w:rPr>
            </w:pPr>
          </w:p>
        </w:tc>
        <w:tc>
          <w:tcPr>
            <w:tcW w:w="3321" w:type="dxa"/>
            <w:vAlign w:val="top"/>
          </w:tcPr>
          <w:p w14:paraId="3985A5F2">
            <w:pPr>
              <w:pStyle w:val="6"/>
              <w:spacing w:before="43"/>
              <w:ind w:left="142" w:right="86"/>
              <w:jc w:val="both"/>
            </w:pPr>
            <w:r>
              <w:rPr>
                <w:spacing w:val="5"/>
              </w:rPr>
              <w:t>施工过程中，建设单位应当对裸露地面进行覆盖；暂时不能开工的建设用地超过三个月的，应当进行绿</w:t>
            </w:r>
            <w:r>
              <w:rPr>
                <w:spacing w:val="7"/>
              </w:rPr>
              <w:t>化、铺装或者遮盖。</w:t>
            </w:r>
          </w:p>
        </w:tc>
        <w:tc>
          <w:tcPr>
            <w:tcW w:w="2981" w:type="dxa"/>
            <w:vMerge w:val="continue"/>
            <w:tcBorders>
              <w:top w:val="nil"/>
              <w:bottom w:val="nil"/>
            </w:tcBorders>
            <w:vAlign w:val="top"/>
          </w:tcPr>
          <w:p w14:paraId="0CAEAFE6">
            <w:pPr>
              <w:rPr>
                <w:rFonts w:ascii="Arial"/>
                <w:sz w:val="21"/>
              </w:rPr>
            </w:pPr>
          </w:p>
        </w:tc>
        <w:tc>
          <w:tcPr>
            <w:tcW w:w="771" w:type="dxa"/>
            <w:vMerge w:val="continue"/>
            <w:tcBorders>
              <w:top w:val="nil"/>
              <w:bottom w:val="nil"/>
              <w:right w:val="single" w:color="000000" w:sz="6" w:space="0"/>
            </w:tcBorders>
            <w:vAlign w:val="top"/>
          </w:tcPr>
          <w:p w14:paraId="43430C0A">
            <w:pPr>
              <w:rPr>
                <w:rFonts w:ascii="Arial"/>
                <w:sz w:val="21"/>
              </w:rPr>
            </w:pPr>
          </w:p>
        </w:tc>
      </w:tr>
      <w:tr w14:paraId="03706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413" w:type="dxa"/>
            <w:vMerge w:val="continue"/>
            <w:tcBorders>
              <w:top w:val="nil"/>
              <w:left w:val="single" w:color="000000" w:sz="6" w:space="0"/>
              <w:bottom w:val="nil"/>
            </w:tcBorders>
            <w:vAlign w:val="top"/>
          </w:tcPr>
          <w:p w14:paraId="2F6B2F5A">
            <w:pPr>
              <w:rPr>
                <w:rFonts w:ascii="Arial"/>
                <w:sz w:val="21"/>
              </w:rPr>
            </w:pPr>
          </w:p>
        </w:tc>
        <w:tc>
          <w:tcPr>
            <w:tcW w:w="648" w:type="dxa"/>
            <w:vMerge w:val="continue"/>
            <w:tcBorders>
              <w:top w:val="nil"/>
            </w:tcBorders>
            <w:vAlign w:val="top"/>
          </w:tcPr>
          <w:p w14:paraId="004F654A">
            <w:pPr>
              <w:rPr>
                <w:rFonts w:ascii="Arial"/>
                <w:sz w:val="21"/>
              </w:rPr>
            </w:pPr>
          </w:p>
        </w:tc>
        <w:tc>
          <w:tcPr>
            <w:tcW w:w="3321" w:type="dxa"/>
            <w:vAlign w:val="top"/>
          </w:tcPr>
          <w:p w14:paraId="3EFEEA10">
            <w:pPr>
              <w:pStyle w:val="6"/>
              <w:spacing w:before="41" w:line="229" w:lineRule="auto"/>
              <w:ind w:left="144" w:right="89" w:hanging="2"/>
            </w:pPr>
            <w:r>
              <w:rPr>
                <w:spacing w:val="5"/>
              </w:rPr>
              <w:t>施工现场禁止将包装物、可燃垃圾</w:t>
            </w:r>
            <w:r>
              <w:rPr>
                <w:spacing w:val="7"/>
              </w:rPr>
              <w:t>等固体废弃物就地焚烧。</w:t>
            </w:r>
          </w:p>
        </w:tc>
        <w:tc>
          <w:tcPr>
            <w:tcW w:w="2981" w:type="dxa"/>
            <w:vMerge w:val="continue"/>
            <w:tcBorders>
              <w:top w:val="nil"/>
            </w:tcBorders>
            <w:vAlign w:val="top"/>
          </w:tcPr>
          <w:p w14:paraId="4E03FC90">
            <w:pPr>
              <w:rPr>
                <w:rFonts w:ascii="Arial"/>
                <w:sz w:val="21"/>
              </w:rPr>
            </w:pPr>
          </w:p>
        </w:tc>
        <w:tc>
          <w:tcPr>
            <w:tcW w:w="771" w:type="dxa"/>
            <w:vMerge w:val="continue"/>
            <w:tcBorders>
              <w:top w:val="nil"/>
              <w:right w:val="single" w:color="000000" w:sz="6" w:space="0"/>
            </w:tcBorders>
            <w:vAlign w:val="top"/>
          </w:tcPr>
          <w:p w14:paraId="61FE3763">
            <w:pPr>
              <w:rPr>
                <w:rFonts w:ascii="Arial"/>
                <w:sz w:val="21"/>
              </w:rPr>
            </w:pPr>
          </w:p>
        </w:tc>
      </w:tr>
      <w:tr w14:paraId="3411E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4" w:hRule="atLeast"/>
        </w:trPr>
        <w:tc>
          <w:tcPr>
            <w:tcW w:w="413" w:type="dxa"/>
            <w:vMerge w:val="continue"/>
            <w:tcBorders>
              <w:top w:val="nil"/>
              <w:left w:val="single" w:color="000000" w:sz="6" w:space="0"/>
              <w:bottom w:val="single" w:color="000000" w:sz="6" w:space="0"/>
            </w:tcBorders>
            <w:vAlign w:val="top"/>
          </w:tcPr>
          <w:p w14:paraId="50524C3D">
            <w:pPr>
              <w:rPr>
                <w:rFonts w:ascii="Arial"/>
                <w:sz w:val="21"/>
              </w:rPr>
            </w:pPr>
          </w:p>
        </w:tc>
        <w:tc>
          <w:tcPr>
            <w:tcW w:w="648" w:type="dxa"/>
            <w:tcBorders>
              <w:bottom w:val="single" w:color="000000" w:sz="6" w:space="0"/>
            </w:tcBorders>
            <w:vAlign w:val="top"/>
          </w:tcPr>
          <w:p w14:paraId="28B245AB">
            <w:pPr>
              <w:spacing w:line="260" w:lineRule="auto"/>
              <w:rPr>
                <w:rFonts w:ascii="Arial"/>
                <w:sz w:val="21"/>
              </w:rPr>
            </w:pPr>
          </w:p>
          <w:p w14:paraId="69C6B212">
            <w:pPr>
              <w:spacing w:line="260" w:lineRule="auto"/>
              <w:rPr>
                <w:rFonts w:ascii="Arial"/>
                <w:sz w:val="21"/>
              </w:rPr>
            </w:pPr>
          </w:p>
          <w:p w14:paraId="0136EE2C">
            <w:pPr>
              <w:pStyle w:val="6"/>
              <w:spacing w:before="65" w:line="253" w:lineRule="auto"/>
              <w:ind w:left="142" w:right="89"/>
              <w:jc w:val="both"/>
            </w:pPr>
            <w:r>
              <w:rPr>
                <w:spacing w:val="5"/>
              </w:rPr>
              <w:t>施工固体废物处置</w:t>
            </w:r>
          </w:p>
        </w:tc>
        <w:tc>
          <w:tcPr>
            <w:tcW w:w="3321" w:type="dxa"/>
            <w:tcBorders>
              <w:bottom w:val="single" w:color="000000" w:sz="6" w:space="0"/>
            </w:tcBorders>
            <w:vAlign w:val="top"/>
          </w:tcPr>
          <w:p w14:paraId="0DF9CEED">
            <w:pPr>
              <w:pStyle w:val="6"/>
              <w:spacing w:before="44" w:line="252" w:lineRule="auto"/>
              <w:ind w:left="142" w:right="86"/>
              <w:jc w:val="both"/>
            </w:pPr>
            <w:r>
              <w:rPr>
                <w:spacing w:val="5"/>
              </w:rPr>
              <w:t>施工过程中产生的土石方、建筑垃圾、生活垃圾分类集中收集，并按</w:t>
            </w:r>
            <w:r>
              <w:rPr>
                <w:spacing w:val="20"/>
              </w:rPr>
              <w:t>国家和地方有关规定定期进行清</w:t>
            </w:r>
            <w:r>
              <w:rPr>
                <w:spacing w:val="5"/>
              </w:rPr>
              <w:t>运处置，施工完成后及时做好迹地清理工作。</w:t>
            </w:r>
          </w:p>
        </w:tc>
        <w:tc>
          <w:tcPr>
            <w:tcW w:w="2981" w:type="dxa"/>
            <w:tcBorders>
              <w:bottom w:val="single" w:color="000000" w:sz="6" w:space="0"/>
            </w:tcBorders>
            <w:vAlign w:val="top"/>
          </w:tcPr>
          <w:p w14:paraId="2A841FD0">
            <w:pPr>
              <w:pStyle w:val="6"/>
              <w:spacing w:before="46" w:line="249" w:lineRule="auto"/>
              <w:ind w:left="131" w:right="96"/>
              <w:jc w:val="both"/>
            </w:pPr>
            <w:r>
              <w:rPr>
                <w:spacing w:val="11"/>
              </w:rPr>
              <w:t>施工过程中产生的土石方、建筑垃圾、生活垃圾分类集中收集；施工生活垃圾收集后清运至附近乡镇垃圾收集点；建筑垃圾能利用的回收利用，不能利用的清运至城建部门指定垃圾堆放点；开挖土石方全部回</w:t>
            </w:r>
            <w:r>
              <w:t>填。</w:t>
            </w:r>
          </w:p>
        </w:tc>
        <w:tc>
          <w:tcPr>
            <w:tcW w:w="771" w:type="dxa"/>
            <w:tcBorders>
              <w:bottom w:val="single" w:color="000000" w:sz="6" w:space="0"/>
              <w:right w:val="single" w:color="000000" w:sz="6" w:space="0"/>
            </w:tcBorders>
            <w:vAlign w:val="top"/>
          </w:tcPr>
          <w:p w14:paraId="2E8503B4">
            <w:pPr>
              <w:spacing w:line="308" w:lineRule="auto"/>
              <w:rPr>
                <w:rFonts w:ascii="Arial"/>
                <w:sz w:val="21"/>
              </w:rPr>
            </w:pPr>
          </w:p>
          <w:p w14:paraId="1FDA4276">
            <w:pPr>
              <w:spacing w:line="308" w:lineRule="auto"/>
              <w:rPr>
                <w:rFonts w:ascii="Arial"/>
                <w:sz w:val="21"/>
              </w:rPr>
            </w:pPr>
          </w:p>
          <w:p w14:paraId="219FE629">
            <w:pPr>
              <w:spacing w:line="309" w:lineRule="auto"/>
              <w:rPr>
                <w:rFonts w:ascii="Arial"/>
                <w:sz w:val="21"/>
              </w:rPr>
            </w:pPr>
          </w:p>
          <w:p w14:paraId="2C9C791D">
            <w:pPr>
              <w:pStyle w:val="6"/>
              <w:spacing w:before="65" w:line="228" w:lineRule="auto"/>
              <w:ind w:left="167"/>
            </w:pPr>
            <w:r>
              <w:rPr>
                <w:spacing w:val="3"/>
              </w:rPr>
              <w:t>符合</w:t>
            </w:r>
          </w:p>
        </w:tc>
      </w:tr>
    </w:tbl>
    <w:p w14:paraId="1203ABC6">
      <w:pPr>
        <w:rPr>
          <w:rFonts w:ascii="Arial"/>
          <w:sz w:val="21"/>
        </w:rPr>
      </w:pPr>
    </w:p>
    <w:p w14:paraId="74D89842">
      <w:pPr>
        <w:rPr>
          <w:rFonts w:ascii="Arial" w:hAnsi="Arial" w:eastAsia="Arial" w:cs="Arial"/>
          <w:sz w:val="21"/>
          <w:szCs w:val="21"/>
        </w:rPr>
        <w:sectPr>
          <w:footerReference r:id="rId26" w:type="default"/>
          <w:pgSz w:w="11907" w:h="16840"/>
          <w:pgMar w:top="400" w:right="1786" w:bottom="1240" w:left="1774" w:header="0" w:footer="1077" w:gutter="0"/>
          <w:cols w:space="720" w:num="1"/>
        </w:sectPr>
      </w:pPr>
    </w:p>
    <w:p w14:paraId="7D354D75">
      <w:pPr>
        <w:spacing w:before="19"/>
      </w:pPr>
      <w:r>
        <w:pict>
          <v:shape id="_x0000_s1030" o:spid="_x0000_s1030" style="position:absolute;left:0pt;margin-left:112.25pt;margin-top:300.2pt;height:439.85pt;width:0.25pt;mso-position-horizontal-relative:page;mso-position-vertical-relative:page;z-index:251665408;mso-width-relative:page;mso-height-relative:page;" filled="f" stroked="t" coordsize="5,8797" o:allowincell="f" path="m2,0l2,8796e">
            <v:fill on="f" focussize="0,0"/>
            <v:stroke weight="0.24pt" color="#000000" miterlimit="2" joinstyle="bevel"/>
            <v:imagedata o:title=""/>
            <o:lock v:ext="edit"/>
          </v:shape>
        </w:pict>
      </w:r>
    </w:p>
    <w:p w14:paraId="399BD3E4">
      <w:pPr>
        <w:spacing w:before="19"/>
      </w:pPr>
    </w:p>
    <w:p w14:paraId="0A365F43">
      <w:pPr>
        <w:spacing w:before="18"/>
      </w:pPr>
    </w:p>
    <w:p w14:paraId="58C57498">
      <w:pPr>
        <w:spacing w:before="18"/>
      </w:pPr>
    </w:p>
    <w:tbl>
      <w:tblPr>
        <w:tblStyle w:val="5"/>
        <w:tblW w:w="813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1"/>
        <w:gridCol w:w="40"/>
        <w:gridCol w:w="645"/>
        <w:gridCol w:w="3305"/>
        <w:gridCol w:w="941"/>
        <w:gridCol w:w="1916"/>
        <w:gridCol w:w="109"/>
        <w:gridCol w:w="767"/>
      </w:tblGrid>
      <w:tr w14:paraId="3E5D3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0" w:hRule="atLeast"/>
        </w:trPr>
        <w:tc>
          <w:tcPr>
            <w:tcW w:w="411" w:type="dxa"/>
            <w:vMerge w:val="restart"/>
            <w:tcBorders>
              <w:top w:val="single" w:color="000000" w:sz="6" w:space="0"/>
              <w:left w:val="single" w:color="000000" w:sz="6" w:space="0"/>
              <w:bottom w:val="nil"/>
            </w:tcBorders>
            <w:vAlign w:val="top"/>
          </w:tcPr>
          <w:p w14:paraId="43E2389F">
            <w:pPr>
              <w:rPr>
                <w:rFonts w:ascii="Arial"/>
                <w:sz w:val="21"/>
              </w:rPr>
            </w:pPr>
          </w:p>
        </w:tc>
        <w:tc>
          <w:tcPr>
            <w:tcW w:w="40" w:type="dxa"/>
            <w:tcBorders>
              <w:top w:val="single" w:color="000000" w:sz="6" w:space="0"/>
            </w:tcBorders>
            <w:vAlign w:val="top"/>
          </w:tcPr>
          <w:p w14:paraId="7A0D7046">
            <w:pPr>
              <w:rPr>
                <w:rFonts w:ascii="Arial"/>
                <w:sz w:val="21"/>
              </w:rPr>
            </w:pPr>
          </w:p>
        </w:tc>
        <w:tc>
          <w:tcPr>
            <w:tcW w:w="645" w:type="dxa"/>
            <w:tcBorders>
              <w:top w:val="single" w:color="000000" w:sz="6" w:space="0"/>
            </w:tcBorders>
            <w:vAlign w:val="top"/>
          </w:tcPr>
          <w:p w14:paraId="65B4AA3B">
            <w:pPr>
              <w:spacing w:line="269" w:lineRule="auto"/>
              <w:rPr>
                <w:rFonts w:ascii="Arial"/>
                <w:sz w:val="21"/>
              </w:rPr>
            </w:pPr>
          </w:p>
          <w:p w14:paraId="027964F8">
            <w:pPr>
              <w:spacing w:line="270" w:lineRule="auto"/>
              <w:rPr>
                <w:rFonts w:ascii="Arial"/>
                <w:sz w:val="21"/>
              </w:rPr>
            </w:pPr>
          </w:p>
          <w:p w14:paraId="1CF7EBE8">
            <w:pPr>
              <w:spacing w:line="270" w:lineRule="auto"/>
              <w:rPr>
                <w:rFonts w:ascii="Arial"/>
                <w:sz w:val="21"/>
              </w:rPr>
            </w:pPr>
          </w:p>
          <w:p w14:paraId="5195E22F">
            <w:pPr>
              <w:pStyle w:val="6"/>
              <w:spacing w:before="65" w:line="228" w:lineRule="auto"/>
              <w:ind w:left="105"/>
            </w:pPr>
            <w:r>
              <w:rPr>
                <w:spacing w:val="4"/>
              </w:rPr>
              <w:t>运行</w:t>
            </w:r>
          </w:p>
        </w:tc>
        <w:tc>
          <w:tcPr>
            <w:tcW w:w="3305" w:type="dxa"/>
            <w:tcBorders>
              <w:top w:val="single" w:color="000000" w:sz="6" w:space="0"/>
            </w:tcBorders>
            <w:vAlign w:val="top"/>
          </w:tcPr>
          <w:p w14:paraId="394CE47F">
            <w:pPr>
              <w:pStyle w:val="6"/>
              <w:spacing w:before="64" w:line="246" w:lineRule="auto"/>
              <w:ind w:left="108" w:right="105"/>
              <w:jc w:val="both"/>
            </w:pPr>
            <w:r>
              <w:rPr>
                <w:spacing w:val="20"/>
              </w:rPr>
              <w:t>运行期做好环境保护设施的维护</w:t>
            </w:r>
            <w:r>
              <w:rPr>
                <w:spacing w:val="5"/>
              </w:rPr>
              <w:t>和运行管理，加强巡查和检查，保障发挥环境保护作用。定期开展环境监测，确保电磁、噪声、废水排</w:t>
            </w:r>
            <w:r>
              <w:rPr>
                <w:spacing w:val="10"/>
              </w:rPr>
              <w:t>放符合</w:t>
            </w:r>
            <w:r>
              <w:rPr>
                <w:spacing w:val="-12"/>
              </w:rPr>
              <w:t xml:space="preserve"> </w:t>
            </w:r>
            <w:r>
              <w:rPr>
                <w:rFonts w:ascii="Times New Roman" w:hAnsi="Times New Roman" w:eastAsia="Times New Roman" w:cs="Times New Roman"/>
              </w:rPr>
              <w:t>GB</w:t>
            </w:r>
            <w:r>
              <w:rPr>
                <w:rFonts w:ascii="Times New Roman" w:hAnsi="Times New Roman" w:eastAsia="Times New Roman" w:cs="Times New Roman"/>
                <w:spacing w:val="10"/>
              </w:rPr>
              <w:t xml:space="preserve">8702 </w:t>
            </w:r>
            <w:r>
              <w:rPr>
                <w:spacing w:val="10"/>
              </w:rPr>
              <w:t>、</w:t>
            </w:r>
            <w:r>
              <w:rPr>
                <w:rFonts w:ascii="Times New Roman" w:hAnsi="Times New Roman" w:eastAsia="Times New Roman" w:cs="Times New Roman"/>
              </w:rPr>
              <w:t>GB</w:t>
            </w:r>
            <w:r>
              <w:rPr>
                <w:rFonts w:ascii="Times New Roman" w:hAnsi="Times New Roman" w:eastAsia="Times New Roman" w:cs="Times New Roman"/>
                <w:spacing w:val="10"/>
              </w:rPr>
              <w:t xml:space="preserve">12348 </w:t>
            </w:r>
            <w:r>
              <w:rPr>
                <w:spacing w:val="10"/>
              </w:rPr>
              <w:t>、</w:t>
            </w:r>
            <w:r>
              <w:rPr>
                <w:rFonts w:ascii="Times New Roman" w:hAnsi="Times New Roman" w:eastAsia="Times New Roman" w:cs="Times New Roman"/>
              </w:rPr>
              <w:t xml:space="preserve">GB </w:t>
            </w:r>
            <w:r>
              <w:rPr>
                <w:rFonts w:ascii="Times New Roman" w:hAnsi="Times New Roman" w:eastAsia="Times New Roman" w:cs="Times New Roman"/>
                <w:spacing w:val="13"/>
              </w:rPr>
              <w:t>8978</w:t>
            </w:r>
            <w:r>
              <w:rPr>
                <w:rFonts w:ascii="Times New Roman" w:hAnsi="Times New Roman" w:eastAsia="Times New Roman" w:cs="Times New Roman"/>
                <w:spacing w:val="24"/>
              </w:rPr>
              <w:t xml:space="preserve"> </w:t>
            </w:r>
            <w:r>
              <w:rPr>
                <w:spacing w:val="13"/>
              </w:rPr>
              <w:t>等国家标准要求，并及时解</w:t>
            </w:r>
            <w:r>
              <w:rPr>
                <w:spacing w:val="8"/>
              </w:rPr>
              <w:t>决公众合理的环境保护诉求。</w:t>
            </w:r>
          </w:p>
        </w:tc>
        <w:tc>
          <w:tcPr>
            <w:tcW w:w="2966" w:type="dxa"/>
            <w:gridSpan w:val="3"/>
            <w:tcBorders>
              <w:top w:val="single" w:color="000000" w:sz="6" w:space="0"/>
            </w:tcBorders>
            <w:vAlign w:val="top"/>
          </w:tcPr>
          <w:p w14:paraId="1FDE8652">
            <w:pPr>
              <w:pStyle w:val="6"/>
              <w:spacing w:before="64" w:line="246" w:lineRule="auto"/>
              <w:ind w:left="111" w:right="100" w:firstLine="2"/>
              <w:jc w:val="both"/>
            </w:pPr>
            <w:r>
              <w:rPr>
                <w:spacing w:val="11"/>
              </w:rPr>
              <w:t>本环评要求工程运营后加强环境保护设施的维护和管理。本环评制定了运营期环境监测计划，建设单位在工程投运后应进行环境监测，确保电磁、噪</w:t>
            </w:r>
            <w:r>
              <w:rPr>
                <w:spacing w:val="29"/>
              </w:rPr>
              <w:t>声排放满足国家相关标准要</w:t>
            </w:r>
            <w:r>
              <w:rPr>
                <w:spacing w:val="1"/>
              </w:rPr>
              <w:t>求。</w:t>
            </w:r>
          </w:p>
        </w:tc>
        <w:tc>
          <w:tcPr>
            <w:tcW w:w="767" w:type="dxa"/>
            <w:tcBorders>
              <w:top w:val="single" w:color="000000" w:sz="6" w:space="0"/>
              <w:right w:val="single" w:color="000000" w:sz="6" w:space="0"/>
            </w:tcBorders>
            <w:vAlign w:val="top"/>
          </w:tcPr>
          <w:p w14:paraId="0338CB72">
            <w:pPr>
              <w:spacing w:line="269" w:lineRule="auto"/>
              <w:rPr>
                <w:rFonts w:ascii="Arial"/>
                <w:sz w:val="21"/>
              </w:rPr>
            </w:pPr>
          </w:p>
          <w:p w14:paraId="7AC9F5CF">
            <w:pPr>
              <w:spacing w:line="269" w:lineRule="auto"/>
              <w:rPr>
                <w:rFonts w:ascii="Arial"/>
                <w:sz w:val="21"/>
              </w:rPr>
            </w:pPr>
          </w:p>
          <w:p w14:paraId="77AE3BEA">
            <w:pPr>
              <w:spacing w:line="270" w:lineRule="auto"/>
              <w:rPr>
                <w:rFonts w:ascii="Arial"/>
                <w:sz w:val="21"/>
              </w:rPr>
            </w:pPr>
          </w:p>
          <w:p w14:paraId="50737CE4">
            <w:pPr>
              <w:pStyle w:val="6"/>
              <w:spacing w:before="65" w:line="228" w:lineRule="auto"/>
              <w:ind w:left="163"/>
            </w:pPr>
            <w:r>
              <w:rPr>
                <w:spacing w:val="3"/>
              </w:rPr>
              <w:t>符合</w:t>
            </w:r>
          </w:p>
        </w:tc>
      </w:tr>
      <w:tr w14:paraId="67715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2" w:hRule="atLeast"/>
        </w:trPr>
        <w:tc>
          <w:tcPr>
            <w:tcW w:w="411" w:type="dxa"/>
            <w:vMerge w:val="continue"/>
            <w:tcBorders>
              <w:top w:val="nil"/>
              <w:left w:val="single" w:color="000000" w:sz="6" w:space="0"/>
              <w:bottom w:val="nil"/>
            </w:tcBorders>
            <w:vAlign w:val="top"/>
          </w:tcPr>
          <w:p w14:paraId="1D6237AC">
            <w:pPr>
              <w:rPr>
                <w:rFonts w:ascii="Arial"/>
                <w:sz w:val="21"/>
              </w:rPr>
            </w:pPr>
          </w:p>
        </w:tc>
        <w:tc>
          <w:tcPr>
            <w:tcW w:w="7723" w:type="dxa"/>
            <w:gridSpan w:val="7"/>
            <w:tcBorders>
              <w:right w:val="single" w:color="000000" w:sz="6" w:space="0"/>
            </w:tcBorders>
            <w:vAlign w:val="top"/>
          </w:tcPr>
          <w:p w14:paraId="54457FD5">
            <w:pPr>
              <w:pStyle w:val="6"/>
              <w:spacing w:before="59" w:line="350" w:lineRule="auto"/>
              <w:ind w:left="47" w:firstLine="525"/>
              <w:rPr>
                <w:sz w:val="24"/>
                <w:szCs w:val="24"/>
              </w:rPr>
            </w:pPr>
            <w:r>
              <w:rPr>
                <w:spacing w:val="-10"/>
                <w:sz w:val="24"/>
                <w:szCs w:val="24"/>
              </w:rPr>
              <w:t>由上表可知，本项目的建设符合《输变电建设项目环境保护技术要求》</w:t>
            </w:r>
            <w:r>
              <w:rPr>
                <w:spacing w:val="8"/>
                <w:sz w:val="24"/>
                <w:szCs w:val="24"/>
              </w:rPr>
              <w:t xml:space="preserve"> </w:t>
            </w:r>
            <w:r>
              <w:rPr>
                <w:spacing w:val="-3"/>
                <w:sz w:val="24"/>
                <w:szCs w:val="24"/>
              </w:rPr>
              <w:t>（</w:t>
            </w:r>
            <w:r>
              <w:rPr>
                <w:rFonts w:ascii="Times New Roman" w:hAnsi="Times New Roman" w:eastAsia="Times New Roman" w:cs="Times New Roman"/>
                <w:spacing w:val="-3"/>
                <w:sz w:val="24"/>
                <w:szCs w:val="24"/>
              </w:rPr>
              <w:t>HJ1113-2020</w:t>
            </w:r>
            <w:r>
              <w:rPr>
                <w:spacing w:val="-3"/>
                <w:sz w:val="24"/>
                <w:szCs w:val="24"/>
              </w:rPr>
              <w:t>）中选址选线、总体要求、环境保护等相关技术要求。</w:t>
            </w:r>
          </w:p>
          <w:p w14:paraId="1F15F18E">
            <w:pPr>
              <w:pStyle w:val="6"/>
              <w:spacing w:line="219" w:lineRule="auto"/>
              <w:ind w:left="12"/>
              <w:rPr>
                <w:sz w:val="24"/>
                <w:szCs w:val="24"/>
              </w:rPr>
            </w:pPr>
            <w:r>
              <w:rPr>
                <w:rFonts w:ascii="Times New Roman" w:hAnsi="Times New Roman" w:eastAsia="Times New Roman" w:cs="Times New Roman"/>
                <w:b/>
                <w:bCs/>
                <w:spacing w:val="-4"/>
                <w:sz w:val="24"/>
                <w:szCs w:val="24"/>
              </w:rPr>
              <w:t>9</w:t>
            </w:r>
            <w:r>
              <w:rPr>
                <w:rFonts w:ascii="Times New Roman" w:hAnsi="Times New Roman" w:eastAsia="Times New Roman" w:cs="Times New Roman"/>
                <w:b/>
                <w:bCs/>
                <w:spacing w:val="-22"/>
                <w:sz w:val="24"/>
                <w:szCs w:val="24"/>
              </w:rPr>
              <w:t xml:space="preserve"> </w:t>
            </w:r>
            <w:r>
              <w:rPr>
                <w:b/>
                <w:bCs/>
                <w:spacing w:val="-4"/>
                <w:sz w:val="24"/>
                <w:szCs w:val="24"/>
              </w:rPr>
              <w:t>、与长江经济带发展负面清单符合性分析</w:t>
            </w:r>
          </w:p>
          <w:p w14:paraId="071BDDA5">
            <w:pPr>
              <w:pStyle w:val="6"/>
              <w:spacing w:before="202" w:line="349" w:lineRule="auto"/>
              <w:ind w:left="68" w:right="30" w:firstLine="481"/>
              <w:rPr>
                <w:sz w:val="24"/>
                <w:szCs w:val="24"/>
              </w:rPr>
            </w:pPr>
            <w:r>
              <w:rPr>
                <w:spacing w:val="-4"/>
                <w:sz w:val="24"/>
                <w:szCs w:val="24"/>
              </w:rPr>
              <w:t>根据《长江经济带发展负面清单指南（试行，</w:t>
            </w:r>
            <w:r>
              <w:rPr>
                <w:rFonts w:ascii="Times New Roman" w:hAnsi="Times New Roman" w:eastAsia="Times New Roman" w:cs="Times New Roman"/>
                <w:spacing w:val="-4"/>
                <w:sz w:val="24"/>
                <w:szCs w:val="24"/>
              </w:rPr>
              <w:t xml:space="preserve">2022 </w:t>
            </w:r>
            <w:r>
              <w:rPr>
                <w:spacing w:val="-4"/>
                <w:sz w:val="24"/>
                <w:szCs w:val="24"/>
              </w:rPr>
              <w:t>年版）》（长江办</w:t>
            </w:r>
            <w:r>
              <w:rPr>
                <w:spacing w:val="-3"/>
                <w:sz w:val="24"/>
                <w:szCs w:val="24"/>
              </w:rPr>
              <w:t>〔</w:t>
            </w:r>
            <w:r>
              <w:rPr>
                <w:rFonts w:ascii="Times New Roman" w:hAnsi="Times New Roman" w:eastAsia="Times New Roman" w:cs="Times New Roman"/>
                <w:spacing w:val="-3"/>
                <w:sz w:val="24"/>
                <w:szCs w:val="24"/>
              </w:rPr>
              <w:t>2022</w:t>
            </w:r>
            <w:r>
              <w:rPr>
                <w:spacing w:val="-3"/>
                <w:sz w:val="24"/>
                <w:szCs w:val="24"/>
              </w:rPr>
              <w:t>〕</w:t>
            </w:r>
            <w:r>
              <w:rPr>
                <w:rFonts w:ascii="Times New Roman" w:hAnsi="Times New Roman" w:eastAsia="Times New Roman" w:cs="Times New Roman"/>
                <w:spacing w:val="-3"/>
                <w:sz w:val="24"/>
                <w:szCs w:val="24"/>
              </w:rPr>
              <w:t>7</w:t>
            </w:r>
            <w:r>
              <w:rPr>
                <w:rFonts w:ascii="Times New Roman" w:hAnsi="Times New Roman" w:eastAsia="Times New Roman" w:cs="Times New Roman"/>
                <w:spacing w:val="23"/>
                <w:sz w:val="24"/>
                <w:szCs w:val="24"/>
              </w:rPr>
              <w:t xml:space="preserve"> </w:t>
            </w:r>
            <w:r>
              <w:rPr>
                <w:spacing w:val="-3"/>
                <w:sz w:val="24"/>
                <w:szCs w:val="24"/>
              </w:rPr>
              <w:t>号）要求，项目符合性分析如下：</w:t>
            </w:r>
          </w:p>
          <w:p w14:paraId="5C2AE594">
            <w:pPr>
              <w:pStyle w:val="6"/>
              <w:spacing w:line="210" w:lineRule="auto"/>
              <w:ind w:left="1615"/>
            </w:pPr>
            <w:r>
              <w:rPr>
                <w:b/>
                <w:bCs/>
                <w:spacing w:val="5"/>
              </w:rPr>
              <w:t>表</w:t>
            </w:r>
            <w:r>
              <w:rPr>
                <w:spacing w:val="-26"/>
              </w:rPr>
              <w:t xml:space="preserve"> </w:t>
            </w:r>
            <w:r>
              <w:rPr>
                <w:rFonts w:ascii="Times New Roman" w:hAnsi="Times New Roman" w:eastAsia="Times New Roman" w:cs="Times New Roman"/>
                <w:b/>
                <w:bCs/>
                <w:spacing w:val="5"/>
              </w:rPr>
              <w:t xml:space="preserve">1-7    </w:t>
            </w:r>
            <w:r>
              <w:rPr>
                <w:b/>
                <w:bCs/>
                <w:spacing w:val="5"/>
              </w:rPr>
              <w:t>与（长江办〔</w:t>
            </w:r>
            <w:r>
              <w:rPr>
                <w:rFonts w:ascii="Times New Roman" w:hAnsi="Times New Roman" w:eastAsia="Times New Roman" w:cs="Times New Roman"/>
                <w:b/>
                <w:bCs/>
                <w:spacing w:val="5"/>
              </w:rPr>
              <w:t>2022</w:t>
            </w:r>
            <w:r>
              <w:rPr>
                <w:b/>
                <w:bCs/>
                <w:spacing w:val="5"/>
              </w:rPr>
              <w:t>〕</w:t>
            </w:r>
            <w:r>
              <w:rPr>
                <w:rFonts w:ascii="Times New Roman" w:hAnsi="Times New Roman" w:eastAsia="Times New Roman" w:cs="Times New Roman"/>
                <w:b/>
                <w:bCs/>
                <w:spacing w:val="5"/>
              </w:rPr>
              <w:t>7</w:t>
            </w:r>
            <w:r>
              <w:rPr>
                <w:rFonts w:ascii="Times New Roman" w:hAnsi="Times New Roman" w:eastAsia="Times New Roman" w:cs="Times New Roman"/>
                <w:b/>
                <w:bCs/>
                <w:spacing w:val="18"/>
              </w:rPr>
              <w:t xml:space="preserve"> </w:t>
            </w:r>
            <w:r>
              <w:rPr>
                <w:b/>
                <w:bCs/>
                <w:spacing w:val="5"/>
              </w:rPr>
              <w:t>号）的符合性分析</w:t>
            </w:r>
          </w:p>
        </w:tc>
      </w:tr>
      <w:tr w14:paraId="6608E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11" w:type="dxa"/>
            <w:vMerge w:val="continue"/>
            <w:tcBorders>
              <w:top w:val="nil"/>
              <w:left w:val="single" w:color="000000" w:sz="6" w:space="0"/>
              <w:bottom w:val="nil"/>
            </w:tcBorders>
            <w:vAlign w:val="top"/>
          </w:tcPr>
          <w:p w14:paraId="42F5DDC0">
            <w:pPr>
              <w:rPr>
                <w:rFonts w:ascii="Arial"/>
                <w:sz w:val="21"/>
              </w:rPr>
            </w:pPr>
          </w:p>
        </w:tc>
        <w:tc>
          <w:tcPr>
            <w:tcW w:w="4931" w:type="dxa"/>
            <w:gridSpan w:val="4"/>
            <w:vAlign w:val="top"/>
          </w:tcPr>
          <w:p w14:paraId="5D8528AA">
            <w:pPr>
              <w:pStyle w:val="6"/>
              <w:spacing w:before="54" w:line="228" w:lineRule="auto"/>
              <w:ind w:left="947"/>
            </w:pPr>
            <w:r>
              <w:rPr>
                <w:rFonts w:ascii="Times New Roman" w:hAnsi="Times New Roman" w:eastAsia="Times New Roman" w:cs="Times New Roman"/>
                <w:b/>
                <w:bCs/>
                <w:spacing w:val="8"/>
              </w:rPr>
              <w:t>“</w:t>
            </w:r>
            <w:r>
              <w:rPr>
                <w:b/>
                <w:bCs/>
                <w:spacing w:val="8"/>
              </w:rPr>
              <w:t>长江办〔</w:t>
            </w:r>
            <w:r>
              <w:rPr>
                <w:rFonts w:ascii="Times New Roman" w:hAnsi="Times New Roman" w:eastAsia="Times New Roman" w:cs="Times New Roman"/>
                <w:b/>
                <w:bCs/>
                <w:spacing w:val="8"/>
              </w:rPr>
              <w:t>2022</w:t>
            </w:r>
            <w:r>
              <w:rPr>
                <w:b/>
                <w:bCs/>
                <w:spacing w:val="8"/>
              </w:rPr>
              <w:t>〕</w:t>
            </w:r>
            <w:r>
              <w:rPr>
                <w:rFonts w:ascii="Times New Roman" w:hAnsi="Times New Roman" w:eastAsia="Times New Roman" w:cs="Times New Roman"/>
                <w:b/>
                <w:bCs/>
                <w:spacing w:val="8"/>
              </w:rPr>
              <w:t>7</w:t>
            </w:r>
            <w:r>
              <w:rPr>
                <w:rFonts w:ascii="Times New Roman" w:hAnsi="Times New Roman" w:eastAsia="Times New Roman" w:cs="Times New Roman"/>
                <w:b/>
                <w:bCs/>
                <w:spacing w:val="25"/>
                <w:w w:val="101"/>
              </w:rPr>
              <w:t xml:space="preserve"> </w:t>
            </w:r>
            <w:r>
              <w:rPr>
                <w:b/>
                <w:bCs/>
                <w:spacing w:val="8"/>
              </w:rPr>
              <w:t>号</w:t>
            </w:r>
            <w:r>
              <w:rPr>
                <w:spacing w:val="8"/>
              </w:rPr>
              <w:t xml:space="preserve"> </w:t>
            </w:r>
            <w:r>
              <w:rPr>
                <w:rFonts w:ascii="Times New Roman" w:hAnsi="Times New Roman" w:eastAsia="Times New Roman" w:cs="Times New Roman"/>
                <w:b/>
                <w:bCs/>
                <w:spacing w:val="8"/>
              </w:rPr>
              <w:t>”</w:t>
            </w:r>
            <w:r>
              <w:rPr>
                <w:b/>
                <w:bCs/>
                <w:spacing w:val="8"/>
              </w:rPr>
              <w:t>相关内容</w:t>
            </w:r>
          </w:p>
        </w:tc>
        <w:tc>
          <w:tcPr>
            <w:tcW w:w="1916" w:type="dxa"/>
            <w:vAlign w:val="top"/>
          </w:tcPr>
          <w:p w14:paraId="30DA28EF">
            <w:pPr>
              <w:pStyle w:val="6"/>
              <w:spacing w:before="54" w:line="227" w:lineRule="auto"/>
              <w:ind w:left="442"/>
            </w:pPr>
            <w:r>
              <w:rPr>
                <w:b/>
                <w:bCs/>
                <w:spacing w:val="6"/>
              </w:rPr>
              <w:t>本项目内容</w:t>
            </w:r>
          </w:p>
        </w:tc>
        <w:tc>
          <w:tcPr>
            <w:tcW w:w="876" w:type="dxa"/>
            <w:gridSpan w:val="2"/>
            <w:tcBorders>
              <w:right w:val="single" w:color="000000" w:sz="6" w:space="0"/>
            </w:tcBorders>
            <w:vAlign w:val="top"/>
          </w:tcPr>
          <w:p w14:paraId="2C95F0D0">
            <w:pPr>
              <w:pStyle w:val="6"/>
              <w:spacing w:before="54" w:line="228" w:lineRule="auto"/>
              <w:ind w:left="97"/>
            </w:pPr>
            <w:r>
              <w:rPr>
                <w:b/>
                <w:bCs/>
                <w:spacing w:val="5"/>
              </w:rPr>
              <w:t>相符性</w:t>
            </w:r>
          </w:p>
        </w:tc>
      </w:tr>
      <w:tr w14:paraId="11C9B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6" w:hRule="atLeast"/>
        </w:trPr>
        <w:tc>
          <w:tcPr>
            <w:tcW w:w="411" w:type="dxa"/>
            <w:vMerge w:val="continue"/>
            <w:tcBorders>
              <w:top w:val="nil"/>
              <w:left w:val="single" w:color="000000" w:sz="6" w:space="0"/>
              <w:bottom w:val="nil"/>
            </w:tcBorders>
            <w:vAlign w:val="top"/>
          </w:tcPr>
          <w:p w14:paraId="1266C0A6">
            <w:pPr>
              <w:rPr>
                <w:rFonts w:ascii="Arial"/>
                <w:sz w:val="21"/>
              </w:rPr>
            </w:pPr>
          </w:p>
        </w:tc>
        <w:tc>
          <w:tcPr>
            <w:tcW w:w="4931" w:type="dxa"/>
            <w:gridSpan w:val="4"/>
            <w:vAlign w:val="top"/>
          </w:tcPr>
          <w:p w14:paraId="09C40013">
            <w:pPr>
              <w:pStyle w:val="6"/>
              <w:spacing w:before="105" w:line="228" w:lineRule="auto"/>
              <w:ind w:left="85"/>
            </w:pPr>
            <w:r>
              <w:rPr>
                <w:spacing w:val="9"/>
              </w:rPr>
              <w:t>禁止在自然保护区核心区、缓冲区的岸线和河段范围</w:t>
            </w:r>
          </w:p>
          <w:p w14:paraId="18FD4B0B">
            <w:pPr>
              <w:pStyle w:val="6"/>
              <w:spacing w:before="26" w:line="228" w:lineRule="auto"/>
              <w:ind w:left="110"/>
            </w:pPr>
            <w:r>
              <w:rPr>
                <w:spacing w:val="8"/>
              </w:rPr>
              <w:t>内投资建设旅游和生产经营项目。禁止在风景名胜区</w:t>
            </w:r>
          </w:p>
          <w:p w14:paraId="4DFF1BE5">
            <w:pPr>
              <w:pStyle w:val="6"/>
              <w:spacing w:before="24" w:line="228" w:lineRule="auto"/>
              <w:ind w:left="88"/>
            </w:pPr>
            <w:r>
              <w:rPr>
                <w:spacing w:val="9"/>
              </w:rPr>
              <w:t>核心景区的岸线和河段范围内投资建设与风景名胜资</w:t>
            </w:r>
          </w:p>
          <w:p w14:paraId="09FE7E1D">
            <w:pPr>
              <w:pStyle w:val="6"/>
              <w:spacing w:before="27" w:line="228" w:lineRule="auto"/>
              <w:ind w:left="1553"/>
            </w:pPr>
            <w:r>
              <w:rPr>
                <w:spacing w:val="7"/>
              </w:rPr>
              <w:t>源保护无关的项目。</w:t>
            </w:r>
          </w:p>
        </w:tc>
        <w:tc>
          <w:tcPr>
            <w:tcW w:w="1916" w:type="dxa"/>
            <w:vAlign w:val="top"/>
          </w:tcPr>
          <w:p w14:paraId="7CE73E78">
            <w:pPr>
              <w:spacing w:line="311" w:lineRule="auto"/>
              <w:rPr>
                <w:rFonts w:ascii="Arial"/>
                <w:sz w:val="21"/>
              </w:rPr>
            </w:pPr>
          </w:p>
          <w:p w14:paraId="6A05F641">
            <w:pPr>
              <w:pStyle w:val="6"/>
              <w:spacing w:before="65" w:line="252" w:lineRule="auto"/>
              <w:ind w:left="22" w:right="8"/>
            </w:pPr>
            <w:r>
              <w:rPr>
                <w:spacing w:val="8"/>
              </w:rPr>
              <w:t>本项目不涉及自然保</w:t>
            </w:r>
            <w:r>
              <w:rPr>
                <w:spacing w:val="7"/>
              </w:rPr>
              <w:t>护区、风景名胜区。</w:t>
            </w:r>
          </w:p>
        </w:tc>
        <w:tc>
          <w:tcPr>
            <w:tcW w:w="876" w:type="dxa"/>
            <w:gridSpan w:val="2"/>
            <w:tcBorders>
              <w:right w:val="single" w:color="000000" w:sz="6" w:space="0"/>
            </w:tcBorders>
            <w:vAlign w:val="top"/>
          </w:tcPr>
          <w:p w14:paraId="0CF1815F">
            <w:pPr>
              <w:spacing w:line="447" w:lineRule="auto"/>
              <w:rPr>
                <w:rFonts w:ascii="Arial"/>
                <w:sz w:val="21"/>
              </w:rPr>
            </w:pPr>
          </w:p>
          <w:p w14:paraId="4B13179A">
            <w:pPr>
              <w:pStyle w:val="6"/>
              <w:spacing w:before="65" w:line="228" w:lineRule="auto"/>
              <w:ind w:left="205"/>
            </w:pPr>
            <w:r>
              <w:rPr>
                <w:spacing w:val="3"/>
              </w:rPr>
              <w:t>符合</w:t>
            </w:r>
          </w:p>
        </w:tc>
      </w:tr>
      <w:tr w14:paraId="0D8C5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3" w:hRule="atLeast"/>
        </w:trPr>
        <w:tc>
          <w:tcPr>
            <w:tcW w:w="411" w:type="dxa"/>
            <w:vMerge w:val="continue"/>
            <w:tcBorders>
              <w:top w:val="nil"/>
              <w:left w:val="single" w:color="000000" w:sz="6" w:space="0"/>
              <w:bottom w:val="nil"/>
            </w:tcBorders>
            <w:vAlign w:val="top"/>
          </w:tcPr>
          <w:p w14:paraId="7CD5E029">
            <w:pPr>
              <w:rPr>
                <w:rFonts w:ascii="Arial"/>
                <w:sz w:val="21"/>
              </w:rPr>
            </w:pPr>
          </w:p>
        </w:tc>
        <w:tc>
          <w:tcPr>
            <w:tcW w:w="4931" w:type="dxa"/>
            <w:gridSpan w:val="4"/>
            <w:vAlign w:val="top"/>
          </w:tcPr>
          <w:p w14:paraId="165EF663">
            <w:pPr>
              <w:pStyle w:val="6"/>
              <w:spacing w:before="32" w:line="228" w:lineRule="auto"/>
              <w:ind w:left="85"/>
            </w:pPr>
            <w:r>
              <w:rPr>
                <w:spacing w:val="9"/>
              </w:rPr>
              <w:t>禁止在饮用水水源一级保护区的岸线和河段范围内新</w:t>
            </w:r>
          </w:p>
          <w:p w14:paraId="201AD977">
            <w:pPr>
              <w:pStyle w:val="6"/>
              <w:spacing w:before="26" w:line="227" w:lineRule="auto"/>
              <w:ind w:left="88"/>
            </w:pPr>
            <w:r>
              <w:rPr>
                <w:spacing w:val="9"/>
              </w:rPr>
              <w:t>建、改建、扩建与供水设施和保护水源无关的项</w:t>
            </w:r>
            <w:r>
              <w:rPr>
                <w:spacing w:val="8"/>
              </w:rPr>
              <w:t>目，</w:t>
            </w:r>
          </w:p>
          <w:p w14:paraId="1FB67A61">
            <w:pPr>
              <w:pStyle w:val="6"/>
              <w:spacing w:before="24" w:line="228" w:lineRule="auto"/>
              <w:ind w:left="109"/>
            </w:pPr>
            <w:r>
              <w:rPr>
                <w:spacing w:val="8"/>
              </w:rPr>
              <w:t>以及网箱养殖、畜禽养殖、旅游等可能污染饮用水水</w:t>
            </w:r>
          </w:p>
          <w:p w14:paraId="3E0F8E79">
            <w:pPr>
              <w:pStyle w:val="6"/>
              <w:spacing w:before="27" w:line="228" w:lineRule="auto"/>
              <w:ind w:left="85"/>
            </w:pPr>
            <w:r>
              <w:rPr>
                <w:spacing w:val="9"/>
              </w:rPr>
              <w:t>体的投资建设项目。禁止在饮用水水源二级保护区的</w:t>
            </w:r>
          </w:p>
          <w:p w14:paraId="70020EE2">
            <w:pPr>
              <w:pStyle w:val="6"/>
              <w:spacing w:before="24" w:line="228" w:lineRule="auto"/>
              <w:ind w:left="85"/>
            </w:pPr>
            <w:r>
              <w:rPr>
                <w:spacing w:val="9"/>
              </w:rPr>
              <w:t>岸线和河段范围内新建、改建、扩建排放污染物的投</w:t>
            </w:r>
          </w:p>
          <w:p w14:paraId="62925F31">
            <w:pPr>
              <w:pStyle w:val="6"/>
              <w:spacing w:before="27" w:line="209" w:lineRule="auto"/>
              <w:ind w:left="1877"/>
            </w:pPr>
            <w:r>
              <w:rPr>
                <w:spacing w:val="5"/>
              </w:rPr>
              <w:t>资建设项目。</w:t>
            </w:r>
          </w:p>
        </w:tc>
        <w:tc>
          <w:tcPr>
            <w:tcW w:w="1916" w:type="dxa"/>
            <w:vAlign w:val="top"/>
          </w:tcPr>
          <w:p w14:paraId="18ECC7E7">
            <w:pPr>
              <w:spacing w:line="254" w:lineRule="auto"/>
              <w:rPr>
                <w:rFonts w:ascii="Arial"/>
                <w:sz w:val="21"/>
              </w:rPr>
            </w:pPr>
          </w:p>
          <w:p w14:paraId="48DFDA03">
            <w:pPr>
              <w:spacing w:line="255" w:lineRule="auto"/>
              <w:rPr>
                <w:rFonts w:ascii="Arial"/>
                <w:sz w:val="21"/>
              </w:rPr>
            </w:pPr>
          </w:p>
          <w:p w14:paraId="6A5B25DB">
            <w:pPr>
              <w:pStyle w:val="6"/>
              <w:spacing w:before="65" w:line="252" w:lineRule="auto"/>
              <w:ind w:left="339" w:right="8" w:hanging="317"/>
            </w:pPr>
            <w:r>
              <w:rPr>
                <w:spacing w:val="8"/>
              </w:rPr>
              <w:t>本项目用地不涉及饮</w:t>
            </w:r>
            <w:r>
              <w:rPr>
                <w:spacing w:val="7"/>
              </w:rPr>
              <w:t>用水源保护区</w:t>
            </w:r>
          </w:p>
        </w:tc>
        <w:tc>
          <w:tcPr>
            <w:tcW w:w="876" w:type="dxa"/>
            <w:gridSpan w:val="2"/>
            <w:tcBorders>
              <w:right w:val="single" w:color="000000" w:sz="6" w:space="0"/>
            </w:tcBorders>
            <w:vAlign w:val="top"/>
          </w:tcPr>
          <w:p w14:paraId="67342312">
            <w:pPr>
              <w:spacing w:line="322" w:lineRule="auto"/>
              <w:rPr>
                <w:rFonts w:ascii="Arial"/>
                <w:sz w:val="21"/>
              </w:rPr>
            </w:pPr>
          </w:p>
          <w:p w14:paraId="2CC22705">
            <w:pPr>
              <w:spacing w:line="323" w:lineRule="auto"/>
              <w:rPr>
                <w:rFonts w:ascii="Arial"/>
                <w:sz w:val="21"/>
              </w:rPr>
            </w:pPr>
          </w:p>
          <w:p w14:paraId="767996A9">
            <w:pPr>
              <w:pStyle w:val="6"/>
              <w:spacing w:before="65" w:line="228" w:lineRule="auto"/>
              <w:ind w:left="205"/>
            </w:pPr>
            <w:r>
              <w:rPr>
                <w:spacing w:val="3"/>
              </w:rPr>
              <w:t>符合</w:t>
            </w:r>
          </w:p>
        </w:tc>
      </w:tr>
      <w:tr w14:paraId="0FF38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6" w:hRule="atLeast"/>
        </w:trPr>
        <w:tc>
          <w:tcPr>
            <w:tcW w:w="411" w:type="dxa"/>
            <w:vMerge w:val="continue"/>
            <w:tcBorders>
              <w:top w:val="nil"/>
              <w:left w:val="single" w:color="000000" w:sz="6" w:space="0"/>
              <w:bottom w:val="nil"/>
            </w:tcBorders>
            <w:vAlign w:val="top"/>
          </w:tcPr>
          <w:p w14:paraId="7340ECD6">
            <w:pPr>
              <w:rPr>
                <w:rFonts w:ascii="Arial"/>
                <w:sz w:val="21"/>
              </w:rPr>
            </w:pPr>
          </w:p>
        </w:tc>
        <w:tc>
          <w:tcPr>
            <w:tcW w:w="4931" w:type="dxa"/>
            <w:gridSpan w:val="4"/>
            <w:vAlign w:val="top"/>
          </w:tcPr>
          <w:p w14:paraId="08B2C5F1">
            <w:pPr>
              <w:pStyle w:val="6"/>
              <w:spacing w:before="154" w:line="228" w:lineRule="auto"/>
              <w:ind w:left="85"/>
            </w:pPr>
            <w:r>
              <w:rPr>
                <w:spacing w:val="9"/>
              </w:rPr>
              <w:t>禁止在水产种质资源保护区的岸线和河段范围内新建</w:t>
            </w:r>
          </w:p>
          <w:p w14:paraId="2C6D3444">
            <w:pPr>
              <w:pStyle w:val="6"/>
              <w:spacing w:before="24" w:line="228" w:lineRule="auto"/>
              <w:ind w:left="104"/>
            </w:pPr>
            <w:r>
              <w:rPr>
                <w:spacing w:val="8"/>
              </w:rPr>
              <w:t>围湖造田、围海造地或围填海等投资建设项目。禁止</w:t>
            </w:r>
          </w:p>
          <w:p w14:paraId="795EDD13">
            <w:pPr>
              <w:pStyle w:val="6"/>
              <w:spacing w:before="26" w:line="227" w:lineRule="auto"/>
              <w:jc w:val="right"/>
            </w:pPr>
            <w:r>
              <w:rPr>
                <w:spacing w:val="7"/>
              </w:rPr>
              <w:t>在国家湿地公园的岸线和河段范围内挖沙、采矿，</w:t>
            </w:r>
            <w:r>
              <w:rPr>
                <w:spacing w:val="-41"/>
              </w:rPr>
              <w:t xml:space="preserve"> </w:t>
            </w:r>
            <w:r>
              <w:rPr>
                <w:spacing w:val="7"/>
              </w:rPr>
              <w:t>以</w:t>
            </w:r>
          </w:p>
          <w:p w14:paraId="1A0339F3">
            <w:pPr>
              <w:pStyle w:val="6"/>
              <w:spacing w:before="24" w:line="228" w:lineRule="auto"/>
              <w:ind w:left="399"/>
            </w:pPr>
            <w:r>
              <w:rPr>
                <w:spacing w:val="9"/>
              </w:rPr>
              <w:t>及任何不符合主体功能定位的投资建设项目。</w:t>
            </w:r>
          </w:p>
        </w:tc>
        <w:tc>
          <w:tcPr>
            <w:tcW w:w="1916" w:type="dxa"/>
            <w:vAlign w:val="top"/>
          </w:tcPr>
          <w:p w14:paraId="2A621C86">
            <w:pPr>
              <w:pStyle w:val="6"/>
              <w:spacing w:before="291" w:line="227" w:lineRule="auto"/>
              <w:ind w:left="22"/>
            </w:pPr>
            <w:r>
              <w:rPr>
                <w:spacing w:val="8"/>
              </w:rPr>
              <w:t>本项目用地不涉及水</w:t>
            </w:r>
          </w:p>
          <w:p w14:paraId="5F786858">
            <w:pPr>
              <w:pStyle w:val="6"/>
              <w:spacing w:before="24" w:line="228" w:lineRule="auto"/>
              <w:ind w:left="21"/>
            </w:pPr>
            <w:r>
              <w:rPr>
                <w:spacing w:val="8"/>
              </w:rPr>
              <w:t>产种质资源保护区和</w:t>
            </w:r>
          </w:p>
          <w:p w14:paraId="609D4F50">
            <w:pPr>
              <w:pStyle w:val="6"/>
              <w:spacing w:before="24" w:line="228" w:lineRule="auto"/>
              <w:ind w:left="359"/>
            </w:pPr>
            <w:r>
              <w:rPr>
                <w:spacing w:val="4"/>
              </w:rPr>
              <w:t>国家湿地公园</w:t>
            </w:r>
          </w:p>
        </w:tc>
        <w:tc>
          <w:tcPr>
            <w:tcW w:w="876" w:type="dxa"/>
            <w:gridSpan w:val="2"/>
            <w:tcBorders>
              <w:right w:val="single" w:color="000000" w:sz="6" w:space="0"/>
            </w:tcBorders>
            <w:vAlign w:val="top"/>
          </w:tcPr>
          <w:p w14:paraId="2856AB39">
            <w:pPr>
              <w:spacing w:line="247" w:lineRule="auto"/>
              <w:rPr>
                <w:rFonts w:ascii="Arial"/>
                <w:sz w:val="21"/>
              </w:rPr>
            </w:pPr>
          </w:p>
          <w:p w14:paraId="5F1D7DB3">
            <w:pPr>
              <w:spacing w:line="247" w:lineRule="auto"/>
              <w:rPr>
                <w:rFonts w:ascii="Arial"/>
                <w:sz w:val="21"/>
              </w:rPr>
            </w:pPr>
          </w:p>
          <w:p w14:paraId="27581B59">
            <w:pPr>
              <w:pStyle w:val="6"/>
              <w:spacing w:before="65" w:line="228" w:lineRule="auto"/>
              <w:ind w:left="205"/>
            </w:pPr>
            <w:r>
              <w:rPr>
                <w:spacing w:val="3"/>
              </w:rPr>
              <w:t>符合</w:t>
            </w:r>
          </w:p>
        </w:tc>
      </w:tr>
      <w:tr w14:paraId="14816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9" w:hRule="atLeast"/>
        </w:trPr>
        <w:tc>
          <w:tcPr>
            <w:tcW w:w="411" w:type="dxa"/>
            <w:vMerge w:val="continue"/>
            <w:tcBorders>
              <w:top w:val="nil"/>
              <w:left w:val="single" w:color="000000" w:sz="6" w:space="0"/>
              <w:bottom w:val="nil"/>
            </w:tcBorders>
            <w:vAlign w:val="top"/>
          </w:tcPr>
          <w:p w14:paraId="07C4E822">
            <w:pPr>
              <w:rPr>
                <w:rFonts w:ascii="Arial"/>
                <w:sz w:val="21"/>
              </w:rPr>
            </w:pPr>
          </w:p>
        </w:tc>
        <w:tc>
          <w:tcPr>
            <w:tcW w:w="4931" w:type="dxa"/>
            <w:gridSpan w:val="4"/>
            <w:vAlign w:val="top"/>
          </w:tcPr>
          <w:p w14:paraId="444A03C4">
            <w:pPr>
              <w:spacing w:line="341" w:lineRule="auto"/>
              <w:rPr>
                <w:rFonts w:ascii="Arial"/>
                <w:sz w:val="21"/>
              </w:rPr>
            </w:pPr>
          </w:p>
          <w:p w14:paraId="41FACAF0">
            <w:pPr>
              <w:pStyle w:val="6"/>
              <w:spacing w:before="65" w:line="252" w:lineRule="auto"/>
              <w:ind w:left="63" w:firstLine="21"/>
              <w:jc w:val="both"/>
            </w:pPr>
            <w:r>
              <w:rPr>
                <w:spacing w:val="4"/>
              </w:rPr>
              <w:t>禁止违法利用、</w:t>
            </w:r>
            <w:r>
              <w:rPr>
                <w:spacing w:val="-44"/>
              </w:rPr>
              <w:t xml:space="preserve"> </w:t>
            </w:r>
            <w:r>
              <w:rPr>
                <w:spacing w:val="4"/>
              </w:rPr>
              <w:t>占用长江流域河湖岸线。禁止在《长</w:t>
            </w:r>
            <w:r>
              <w:rPr>
                <w:spacing w:val="7"/>
              </w:rPr>
              <w:t>江岸线保护和开发利用总体规划》划定的岸线保护区和保留区内投资建设除事关公共安全及公众利益的防</w:t>
            </w:r>
            <w:r>
              <w:rPr>
                <w:spacing w:val="2"/>
              </w:rPr>
              <w:t>洪护岸、河道治理、供水、生态环境保护、航道整治、</w:t>
            </w:r>
            <w:r>
              <w:rPr>
                <w:spacing w:val="7"/>
              </w:rPr>
              <w:t>国家重要基础设施以外的项目。禁止在《全国重要江河湖泊水功能区划》划定的河段及湖泊保护区、保留区内投资建设不利于水资源及自然生态保护的项目。</w:t>
            </w:r>
          </w:p>
        </w:tc>
        <w:tc>
          <w:tcPr>
            <w:tcW w:w="1916" w:type="dxa"/>
            <w:vAlign w:val="top"/>
          </w:tcPr>
          <w:p w14:paraId="2C4C197C">
            <w:pPr>
              <w:pStyle w:val="6"/>
              <w:spacing w:before="272" w:line="227" w:lineRule="auto"/>
              <w:ind w:left="128"/>
            </w:pPr>
            <w:r>
              <w:rPr>
                <w:spacing w:val="8"/>
              </w:rPr>
              <w:t>本项目用地不属于</w:t>
            </w:r>
          </w:p>
          <w:p w14:paraId="21764281">
            <w:pPr>
              <w:pStyle w:val="6"/>
              <w:spacing w:before="25" w:line="228" w:lineRule="auto"/>
              <w:ind w:left="27"/>
            </w:pPr>
            <w:r>
              <w:rPr>
                <w:spacing w:val="8"/>
              </w:rPr>
              <w:t>《长江岸线保护和开</w:t>
            </w:r>
          </w:p>
          <w:p w14:paraId="698A5600">
            <w:pPr>
              <w:pStyle w:val="6"/>
              <w:spacing w:before="26" w:line="228" w:lineRule="auto"/>
              <w:ind w:left="25"/>
            </w:pPr>
            <w:r>
              <w:rPr>
                <w:spacing w:val="8"/>
              </w:rPr>
              <w:t>发利用总体规划》划</w:t>
            </w:r>
          </w:p>
          <w:p w14:paraId="4697124C">
            <w:pPr>
              <w:pStyle w:val="6"/>
              <w:spacing w:before="26" w:line="228" w:lineRule="auto"/>
              <w:ind w:left="26"/>
            </w:pPr>
            <w:r>
              <w:rPr>
                <w:spacing w:val="8"/>
              </w:rPr>
              <w:t>定的岸线保护区和保</w:t>
            </w:r>
          </w:p>
          <w:p w14:paraId="1E2FE785">
            <w:pPr>
              <w:pStyle w:val="6"/>
              <w:spacing w:before="25" w:line="228" w:lineRule="auto"/>
              <w:ind w:left="37"/>
            </w:pPr>
            <w:r>
              <w:rPr>
                <w:spacing w:val="7"/>
              </w:rPr>
              <w:t>留区、《全国重要江</w:t>
            </w:r>
          </w:p>
          <w:p w14:paraId="2EFB0234">
            <w:pPr>
              <w:pStyle w:val="6"/>
              <w:spacing w:before="23" w:line="228" w:lineRule="auto"/>
              <w:ind w:left="20"/>
            </w:pPr>
            <w:r>
              <w:rPr>
                <w:spacing w:val="7"/>
              </w:rPr>
              <w:t>河湖泊水功能区划》</w:t>
            </w:r>
          </w:p>
          <w:p w14:paraId="4CBF18D6">
            <w:pPr>
              <w:pStyle w:val="6"/>
              <w:spacing w:before="27" w:line="228" w:lineRule="auto"/>
              <w:ind w:left="20"/>
            </w:pPr>
            <w:r>
              <w:rPr>
                <w:spacing w:val="9"/>
              </w:rPr>
              <w:t>划定的河段及湖泊保</w:t>
            </w:r>
          </w:p>
          <w:p w14:paraId="6D56F402">
            <w:pPr>
              <w:pStyle w:val="6"/>
              <w:spacing w:before="25" w:line="228" w:lineRule="auto"/>
              <w:ind w:left="339"/>
            </w:pPr>
            <w:r>
              <w:rPr>
                <w:spacing w:val="8"/>
              </w:rPr>
              <w:t>护区、保留区</w:t>
            </w:r>
          </w:p>
        </w:tc>
        <w:tc>
          <w:tcPr>
            <w:tcW w:w="876" w:type="dxa"/>
            <w:gridSpan w:val="2"/>
            <w:tcBorders>
              <w:right w:val="single" w:color="000000" w:sz="6" w:space="0"/>
            </w:tcBorders>
            <w:vAlign w:val="top"/>
          </w:tcPr>
          <w:p w14:paraId="660096AB">
            <w:pPr>
              <w:spacing w:line="288" w:lineRule="auto"/>
              <w:rPr>
                <w:rFonts w:ascii="Arial"/>
                <w:sz w:val="21"/>
              </w:rPr>
            </w:pPr>
          </w:p>
          <w:p w14:paraId="2E9F34C5">
            <w:pPr>
              <w:spacing w:line="288" w:lineRule="auto"/>
              <w:rPr>
                <w:rFonts w:ascii="Arial"/>
                <w:sz w:val="21"/>
              </w:rPr>
            </w:pPr>
          </w:p>
          <w:p w14:paraId="0A07B87D">
            <w:pPr>
              <w:spacing w:line="288" w:lineRule="auto"/>
              <w:rPr>
                <w:rFonts w:ascii="Arial"/>
                <w:sz w:val="21"/>
              </w:rPr>
            </w:pPr>
          </w:p>
          <w:p w14:paraId="225D5C8B">
            <w:pPr>
              <w:spacing w:line="289" w:lineRule="auto"/>
              <w:rPr>
                <w:rFonts w:ascii="Arial"/>
                <w:sz w:val="21"/>
              </w:rPr>
            </w:pPr>
          </w:p>
          <w:p w14:paraId="7F26574F">
            <w:pPr>
              <w:pStyle w:val="6"/>
              <w:spacing w:before="65" w:line="228" w:lineRule="auto"/>
              <w:ind w:left="205"/>
            </w:pPr>
            <w:r>
              <w:rPr>
                <w:spacing w:val="3"/>
              </w:rPr>
              <w:t>符合</w:t>
            </w:r>
          </w:p>
        </w:tc>
      </w:tr>
      <w:tr w14:paraId="1A5A8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7" w:hRule="atLeast"/>
        </w:trPr>
        <w:tc>
          <w:tcPr>
            <w:tcW w:w="411" w:type="dxa"/>
            <w:vMerge w:val="continue"/>
            <w:tcBorders>
              <w:top w:val="nil"/>
              <w:left w:val="single" w:color="000000" w:sz="6" w:space="0"/>
              <w:bottom w:val="nil"/>
            </w:tcBorders>
            <w:vAlign w:val="top"/>
          </w:tcPr>
          <w:p w14:paraId="32B5FDEC">
            <w:pPr>
              <w:rPr>
                <w:rFonts w:ascii="Arial"/>
                <w:sz w:val="21"/>
              </w:rPr>
            </w:pPr>
          </w:p>
        </w:tc>
        <w:tc>
          <w:tcPr>
            <w:tcW w:w="4931" w:type="dxa"/>
            <w:gridSpan w:val="4"/>
            <w:vAlign w:val="top"/>
          </w:tcPr>
          <w:p w14:paraId="2F1B5678">
            <w:pPr>
              <w:pStyle w:val="6"/>
              <w:spacing w:before="158" w:line="227" w:lineRule="auto"/>
              <w:jc w:val="right"/>
            </w:pPr>
            <w:r>
              <w:rPr>
                <w:spacing w:val="2"/>
              </w:rPr>
              <w:t>禁止在长江干支流、重要湖泊岸线一公里范围内新建、</w:t>
            </w:r>
          </w:p>
          <w:p w14:paraId="78DD11BA">
            <w:pPr>
              <w:pStyle w:val="6"/>
              <w:spacing w:before="25" w:line="227" w:lineRule="auto"/>
              <w:ind w:left="85"/>
            </w:pPr>
            <w:r>
              <w:rPr>
                <w:spacing w:val="9"/>
              </w:rPr>
              <w:t>扩建化工园区和化工项目。禁止在长江干流岸线三公</w:t>
            </w:r>
          </w:p>
          <w:p w14:paraId="02606F96">
            <w:pPr>
              <w:pStyle w:val="6"/>
              <w:spacing w:before="27" w:line="228" w:lineRule="auto"/>
              <w:ind w:left="88"/>
            </w:pPr>
            <w:r>
              <w:rPr>
                <w:spacing w:val="9"/>
              </w:rPr>
              <w:t>里范围内和重要支流岸线一公里范围内新建、改</w:t>
            </w:r>
            <w:r>
              <w:rPr>
                <w:spacing w:val="8"/>
              </w:rPr>
              <w:t>建、</w:t>
            </w:r>
          </w:p>
          <w:p w14:paraId="0A5CC183">
            <w:pPr>
              <w:pStyle w:val="6"/>
              <w:spacing w:before="24" w:line="227" w:lineRule="auto"/>
              <w:ind w:left="85"/>
            </w:pPr>
            <w:r>
              <w:rPr>
                <w:spacing w:val="7"/>
              </w:rPr>
              <w:t>扩建尾矿库、冶炼渣库和磷石膏库，</w:t>
            </w:r>
            <w:r>
              <w:rPr>
                <w:spacing w:val="-41"/>
              </w:rPr>
              <w:t xml:space="preserve"> </w:t>
            </w:r>
            <w:r>
              <w:rPr>
                <w:spacing w:val="7"/>
              </w:rPr>
              <w:t>以提升安全、生</w:t>
            </w:r>
          </w:p>
          <w:p w14:paraId="7596AA24">
            <w:pPr>
              <w:pStyle w:val="6"/>
              <w:spacing w:before="27" w:line="228" w:lineRule="auto"/>
              <w:ind w:left="819"/>
            </w:pPr>
            <w:r>
              <w:rPr>
                <w:spacing w:val="8"/>
              </w:rPr>
              <w:t>态环境保护水平为目的的改建除外。</w:t>
            </w:r>
          </w:p>
        </w:tc>
        <w:tc>
          <w:tcPr>
            <w:tcW w:w="1916" w:type="dxa"/>
            <w:vAlign w:val="top"/>
          </w:tcPr>
          <w:p w14:paraId="59BC1B29">
            <w:pPr>
              <w:spacing w:line="362" w:lineRule="auto"/>
              <w:rPr>
                <w:rFonts w:ascii="Arial"/>
                <w:sz w:val="21"/>
              </w:rPr>
            </w:pPr>
          </w:p>
          <w:p w14:paraId="50154F56">
            <w:pPr>
              <w:pStyle w:val="6"/>
              <w:spacing w:before="65" w:line="227" w:lineRule="auto"/>
              <w:ind w:left="128"/>
            </w:pPr>
            <w:r>
              <w:rPr>
                <w:spacing w:val="8"/>
              </w:rPr>
              <w:t>本项目为输变电工</w:t>
            </w:r>
          </w:p>
          <w:p w14:paraId="5425EE36">
            <w:pPr>
              <w:pStyle w:val="6"/>
              <w:spacing w:before="27" w:line="228" w:lineRule="auto"/>
              <w:ind w:left="20"/>
            </w:pPr>
            <w:r>
              <w:rPr>
                <w:spacing w:val="9"/>
              </w:rPr>
              <w:t>程，不属于该条所列</w:t>
            </w:r>
          </w:p>
          <w:p w14:paraId="2B157060">
            <w:pPr>
              <w:pStyle w:val="6"/>
              <w:spacing w:before="24" w:line="228" w:lineRule="auto"/>
              <w:ind w:left="656"/>
            </w:pPr>
            <w:r>
              <w:rPr>
                <w:spacing w:val="2"/>
              </w:rPr>
              <w:t>项目。</w:t>
            </w:r>
          </w:p>
        </w:tc>
        <w:tc>
          <w:tcPr>
            <w:tcW w:w="876" w:type="dxa"/>
            <w:gridSpan w:val="2"/>
            <w:tcBorders>
              <w:right w:val="single" w:color="000000" w:sz="6" w:space="0"/>
            </w:tcBorders>
            <w:vAlign w:val="top"/>
          </w:tcPr>
          <w:p w14:paraId="2AD7BAD9">
            <w:pPr>
              <w:spacing w:line="316" w:lineRule="auto"/>
              <w:rPr>
                <w:rFonts w:ascii="Arial"/>
                <w:sz w:val="21"/>
              </w:rPr>
            </w:pPr>
          </w:p>
          <w:p w14:paraId="6EFA8E63">
            <w:pPr>
              <w:spacing w:line="317" w:lineRule="auto"/>
              <w:rPr>
                <w:rFonts w:ascii="Arial"/>
                <w:sz w:val="21"/>
              </w:rPr>
            </w:pPr>
          </w:p>
          <w:p w14:paraId="07B0A9F6">
            <w:pPr>
              <w:pStyle w:val="6"/>
              <w:spacing w:before="65" w:line="228" w:lineRule="auto"/>
              <w:ind w:left="205"/>
            </w:pPr>
            <w:r>
              <w:rPr>
                <w:spacing w:val="3"/>
              </w:rPr>
              <w:t>符合</w:t>
            </w:r>
          </w:p>
        </w:tc>
      </w:tr>
      <w:tr w14:paraId="1395A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411" w:type="dxa"/>
            <w:vMerge w:val="continue"/>
            <w:tcBorders>
              <w:top w:val="nil"/>
              <w:left w:val="single" w:color="000000" w:sz="6" w:space="0"/>
              <w:bottom w:val="single" w:color="000000" w:sz="6" w:space="0"/>
            </w:tcBorders>
            <w:vAlign w:val="top"/>
          </w:tcPr>
          <w:p w14:paraId="697B69BB">
            <w:pPr>
              <w:rPr>
                <w:rFonts w:ascii="Arial"/>
                <w:sz w:val="21"/>
              </w:rPr>
            </w:pPr>
          </w:p>
        </w:tc>
        <w:tc>
          <w:tcPr>
            <w:tcW w:w="7723" w:type="dxa"/>
            <w:gridSpan w:val="7"/>
            <w:tcBorders>
              <w:bottom w:val="single" w:color="000000" w:sz="6" w:space="0"/>
              <w:right w:val="single" w:color="000000" w:sz="6" w:space="0"/>
            </w:tcBorders>
            <w:vAlign w:val="top"/>
          </w:tcPr>
          <w:p w14:paraId="1950D470">
            <w:pPr>
              <w:pStyle w:val="6"/>
              <w:spacing w:before="166" w:line="219" w:lineRule="auto"/>
              <w:ind w:left="616"/>
              <w:rPr>
                <w:sz w:val="24"/>
                <w:szCs w:val="24"/>
              </w:rPr>
            </w:pPr>
            <w:r>
              <w:rPr>
                <w:spacing w:val="-3"/>
                <w:sz w:val="24"/>
                <w:szCs w:val="24"/>
              </w:rPr>
              <w:t>项目的建设符合</w:t>
            </w:r>
            <w:r>
              <w:rPr>
                <w:rFonts w:ascii="Times New Roman" w:hAnsi="Times New Roman" w:eastAsia="Times New Roman" w:cs="Times New Roman"/>
                <w:spacing w:val="-3"/>
                <w:sz w:val="24"/>
                <w:szCs w:val="24"/>
              </w:rPr>
              <w:t>“</w:t>
            </w:r>
            <w:r>
              <w:rPr>
                <w:spacing w:val="-3"/>
                <w:sz w:val="24"/>
                <w:szCs w:val="24"/>
              </w:rPr>
              <w:t>长江办〔</w:t>
            </w:r>
            <w:r>
              <w:rPr>
                <w:rFonts w:ascii="Times New Roman" w:hAnsi="Times New Roman" w:eastAsia="Times New Roman" w:cs="Times New Roman"/>
                <w:spacing w:val="-3"/>
                <w:sz w:val="24"/>
                <w:szCs w:val="24"/>
              </w:rPr>
              <w:t>2022</w:t>
            </w:r>
            <w:r>
              <w:rPr>
                <w:spacing w:val="-3"/>
                <w:sz w:val="24"/>
                <w:szCs w:val="24"/>
              </w:rPr>
              <w:t>〕</w:t>
            </w:r>
            <w:r>
              <w:rPr>
                <w:rFonts w:ascii="Times New Roman" w:hAnsi="Times New Roman" w:eastAsia="Times New Roman" w:cs="Times New Roman"/>
                <w:spacing w:val="-3"/>
                <w:sz w:val="24"/>
                <w:szCs w:val="24"/>
              </w:rPr>
              <w:t>7</w:t>
            </w:r>
            <w:r>
              <w:rPr>
                <w:rFonts w:ascii="Times New Roman" w:hAnsi="Times New Roman" w:eastAsia="Times New Roman" w:cs="Times New Roman"/>
                <w:spacing w:val="33"/>
                <w:w w:val="101"/>
                <w:sz w:val="24"/>
                <w:szCs w:val="24"/>
              </w:rPr>
              <w:t xml:space="preserve"> </w:t>
            </w:r>
            <w:r>
              <w:rPr>
                <w:spacing w:val="-3"/>
                <w:sz w:val="24"/>
                <w:szCs w:val="24"/>
              </w:rPr>
              <w:t>号</w:t>
            </w:r>
            <w:r>
              <w:rPr>
                <w:rFonts w:ascii="Times New Roman" w:hAnsi="Times New Roman" w:eastAsia="Times New Roman" w:cs="Times New Roman"/>
                <w:spacing w:val="-3"/>
                <w:sz w:val="24"/>
                <w:szCs w:val="24"/>
              </w:rPr>
              <w:t>”</w:t>
            </w:r>
            <w:r>
              <w:rPr>
                <w:rFonts w:ascii="Times New Roman" w:hAnsi="Times New Roman" w:eastAsia="Times New Roman" w:cs="Times New Roman"/>
                <w:spacing w:val="-30"/>
                <w:sz w:val="24"/>
                <w:szCs w:val="24"/>
              </w:rPr>
              <w:t xml:space="preserve"> </w:t>
            </w:r>
            <w:r>
              <w:rPr>
                <w:spacing w:val="-3"/>
                <w:sz w:val="24"/>
                <w:szCs w:val="24"/>
              </w:rPr>
              <w:t>的相关要求。</w:t>
            </w:r>
          </w:p>
        </w:tc>
      </w:tr>
    </w:tbl>
    <w:p w14:paraId="196F7DEB">
      <w:pPr>
        <w:spacing w:line="173" w:lineRule="exact"/>
        <w:rPr>
          <w:rFonts w:ascii="Arial"/>
          <w:sz w:val="15"/>
        </w:rPr>
      </w:pPr>
    </w:p>
    <w:p w14:paraId="200E9B5C">
      <w:pPr>
        <w:spacing w:line="173" w:lineRule="exact"/>
        <w:rPr>
          <w:rFonts w:ascii="Arial" w:hAnsi="Arial" w:eastAsia="Arial" w:cs="Arial"/>
          <w:sz w:val="15"/>
          <w:szCs w:val="15"/>
        </w:rPr>
        <w:sectPr>
          <w:footerReference r:id="rId27" w:type="default"/>
          <w:pgSz w:w="11907" w:h="16840"/>
          <w:pgMar w:top="400" w:right="1786" w:bottom="1240" w:left="1774" w:header="0" w:footer="1077" w:gutter="0"/>
          <w:cols w:space="720" w:num="1"/>
        </w:sectPr>
      </w:pPr>
    </w:p>
    <w:p w14:paraId="09708E0C">
      <w:pPr>
        <w:spacing w:before="19"/>
      </w:pPr>
    </w:p>
    <w:p w14:paraId="7A137E23">
      <w:pPr>
        <w:spacing w:before="19"/>
      </w:pPr>
    </w:p>
    <w:p w14:paraId="14CC02FB">
      <w:pPr>
        <w:spacing w:before="18"/>
      </w:pPr>
    </w:p>
    <w:p w14:paraId="0953745C">
      <w:pPr>
        <w:spacing w:before="18"/>
      </w:pPr>
    </w:p>
    <w:tbl>
      <w:tblPr>
        <w:tblStyle w:val="5"/>
        <w:tblW w:w="813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1"/>
        <w:gridCol w:w="75"/>
        <w:gridCol w:w="5120"/>
        <w:gridCol w:w="1642"/>
        <w:gridCol w:w="886"/>
      </w:tblGrid>
      <w:tr w14:paraId="6FB5D9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1" w:hRule="atLeast"/>
        </w:trPr>
        <w:tc>
          <w:tcPr>
            <w:tcW w:w="411" w:type="dxa"/>
            <w:vMerge w:val="restart"/>
            <w:tcBorders>
              <w:top w:val="single" w:color="000000" w:sz="6" w:space="0"/>
              <w:left w:val="single" w:color="000000" w:sz="6" w:space="0"/>
              <w:bottom w:val="nil"/>
            </w:tcBorders>
            <w:vAlign w:val="top"/>
          </w:tcPr>
          <w:p w14:paraId="05CC814C">
            <w:pPr>
              <w:rPr>
                <w:rFonts w:ascii="Arial"/>
                <w:sz w:val="21"/>
              </w:rPr>
            </w:pPr>
          </w:p>
        </w:tc>
        <w:tc>
          <w:tcPr>
            <w:tcW w:w="7723" w:type="dxa"/>
            <w:gridSpan w:val="4"/>
            <w:tcBorders>
              <w:top w:val="single" w:color="000000" w:sz="6" w:space="0"/>
              <w:right w:val="single" w:color="000000" w:sz="6" w:space="0"/>
            </w:tcBorders>
            <w:vAlign w:val="top"/>
          </w:tcPr>
          <w:p w14:paraId="2B667886">
            <w:pPr>
              <w:pStyle w:val="6"/>
              <w:spacing w:before="56" w:line="362" w:lineRule="auto"/>
              <w:ind w:left="22" w:right="13" w:hanging="1"/>
              <w:rPr>
                <w:sz w:val="24"/>
                <w:szCs w:val="24"/>
              </w:rPr>
            </w:pPr>
            <w:r>
              <w:rPr>
                <w:rFonts w:ascii="Times New Roman" w:hAnsi="Times New Roman" w:eastAsia="Times New Roman" w:cs="Times New Roman"/>
                <w:b/>
                <w:bCs/>
                <w:spacing w:val="-3"/>
                <w:sz w:val="24"/>
                <w:szCs w:val="24"/>
              </w:rPr>
              <w:t>10</w:t>
            </w:r>
            <w:r>
              <w:rPr>
                <w:rFonts w:ascii="Times New Roman" w:hAnsi="Times New Roman" w:eastAsia="Times New Roman" w:cs="Times New Roman"/>
                <w:b/>
                <w:bCs/>
                <w:spacing w:val="-34"/>
                <w:sz w:val="24"/>
                <w:szCs w:val="24"/>
              </w:rPr>
              <w:t xml:space="preserve"> </w:t>
            </w:r>
            <w:r>
              <w:rPr>
                <w:b/>
                <w:bCs/>
                <w:spacing w:val="-3"/>
                <w:sz w:val="24"/>
                <w:szCs w:val="24"/>
              </w:rPr>
              <w:t>、与《云南省长江经济带发展负面清单指南实施细则</w:t>
            </w:r>
            <w:r>
              <w:rPr>
                <w:b/>
                <w:bCs/>
                <w:spacing w:val="-4"/>
                <w:sz w:val="24"/>
                <w:szCs w:val="24"/>
              </w:rPr>
              <w:t>（试行）》（云发</w:t>
            </w:r>
            <w:r>
              <w:rPr>
                <w:b/>
                <w:bCs/>
                <w:spacing w:val="-3"/>
                <w:sz w:val="24"/>
                <w:szCs w:val="24"/>
              </w:rPr>
              <w:t>改基础〔</w:t>
            </w:r>
            <w:r>
              <w:rPr>
                <w:rFonts w:ascii="Times New Roman" w:hAnsi="Times New Roman" w:eastAsia="Times New Roman" w:cs="Times New Roman"/>
                <w:b/>
                <w:bCs/>
                <w:spacing w:val="-3"/>
                <w:sz w:val="24"/>
                <w:szCs w:val="24"/>
              </w:rPr>
              <w:t>2022</w:t>
            </w:r>
            <w:r>
              <w:rPr>
                <w:b/>
                <w:bCs/>
                <w:spacing w:val="-3"/>
                <w:sz w:val="24"/>
                <w:szCs w:val="24"/>
              </w:rPr>
              <w:t>〕</w:t>
            </w:r>
            <w:r>
              <w:rPr>
                <w:rFonts w:ascii="Times New Roman" w:hAnsi="Times New Roman" w:eastAsia="Times New Roman" w:cs="Times New Roman"/>
                <w:b/>
                <w:bCs/>
                <w:spacing w:val="-3"/>
                <w:sz w:val="24"/>
                <w:szCs w:val="24"/>
              </w:rPr>
              <w:t>894</w:t>
            </w:r>
            <w:r>
              <w:rPr>
                <w:rFonts w:ascii="Times New Roman" w:hAnsi="Times New Roman" w:eastAsia="Times New Roman" w:cs="Times New Roman"/>
                <w:b/>
                <w:bCs/>
                <w:spacing w:val="17"/>
                <w:sz w:val="24"/>
                <w:szCs w:val="24"/>
              </w:rPr>
              <w:t xml:space="preserve"> </w:t>
            </w:r>
            <w:r>
              <w:rPr>
                <w:b/>
                <w:bCs/>
                <w:spacing w:val="-3"/>
                <w:sz w:val="24"/>
                <w:szCs w:val="24"/>
              </w:rPr>
              <w:t>号）符合性分析</w:t>
            </w:r>
          </w:p>
          <w:p w14:paraId="54E9B34C">
            <w:pPr>
              <w:pStyle w:val="6"/>
              <w:spacing w:before="13" w:line="349" w:lineRule="auto"/>
              <w:ind w:left="40" w:right="32" w:firstLine="509"/>
              <w:rPr>
                <w:sz w:val="24"/>
                <w:szCs w:val="24"/>
              </w:rPr>
            </w:pPr>
            <w:r>
              <w:rPr>
                <w:spacing w:val="-2"/>
                <w:sz w:val="24"/>
                <w:szCs w:val="24"/>
              </w:rPr>
              <w:t>根据《云南省长江经济带发展负面清单指南</w:t>
            </w:r>
            <w:r>
              <w:rPr>
                <w:spacing w:val="-3"/>
                <w:sz w:val="24"/>
                <w:szCs w:val="24"/>
              </w:rPr>
              <w:t>实施细则（试行）》（云</w:t>
            </w:r>
            <w:r>
              <w:rPr>
                <w:spacing w:val="-1"/>
                <w:sz w:val="24"/>
                <w:szCs w:val="24"/>
              </w:rPr>
              <w:t>发改基础〔</w:t>
            </w:r>
            <w:r>
              <w:rPr>
                <w:rFonts w:ascii="Times New Roman" w:hAnsi="Times New Roman" w:eastAsia="Times New Roman" w:cs="Times New Roman"/>
                <w:spacing w:val="-1"/>
                <w:sz w:val="24"/>
                <w:szCs w:val="24"/>
              </w:rPr>
              <w:t>2022</w:t>
            </w:r>
            <w:r>
              <w:rPr>
                <w:spacing w:val="-1"/>
                <w:sz w:val="24"/>
                <w:szCs w:val="24"/>
              </w:rPr>
              <w:t>〕</w:t>
            </w:r>
            <w:r>
              <w:rPr>
                <w:rFonts w:ascii="Times New Roman" w:hAnsi="Times New Roman" w:eastAsia="Times New Roman" w:cs="Times New Roman"/>
                <w:spacing w:val="-1"/>
                <w:sz w:val="24"/>
                <w:szCs w:val="24"/>
              </w:rPr>
              <w:t>894</w:t>
            </w:r>
            <w:r>
              <w:rPr>
                <w:rFonts w:ascii="Times New Roman" w:hAnsi="Times New Roman" w:eastAsia="Times New Roman" w:cs="Times New Roman"/>
                <w:spacing w:val="15"/>
                <w:w w:val="101"/>
                <w:sz w:val="24"/>
                <w:szCs w:val="24"/>
              </w:rPr>
              <w:t xml:space="preserve"> </w:t>
            </w:r>
            <w:r>
              <w:rPr>
                <w:spacing w:val="-1"/>
                <w:sz w:val="24"/>
                <w:szCs w:val="24"/>
              </w:rPr>
              <w:t>号）要求，项目符合性分析如</w:t>
            </w:r>
            <w:r>
              <w:rPr>
                <w:spacing w:val="-2"/>
                <w:sz w:val="24"/>
                <w:szCs w:val="24"/>
              </w:rPr>
              <w:t>下：</w:t>
            </w:r>
          </w:p>
          <w:p w14:paraId="6473F9C5">
            <w:pPr>
              <w:pStyle w:val="6"/>
              <w:spacing w:line="214" w:lineRule="auto"/>
              <w:ind w:left="1299"/>
            </w:pPr>
            <w:r>
              <w:rPr>
                <w:b/>
                <w:bCs/>
                <w:spacing w:val="6"/>
              </w:rPr>
              <w:t>表</w:t>
            </w:r>
            <w:r>
              <w:rPr>
                <w:spacing w:val="-33"/>
              </w:rPr>
              <w:t xml:space="preserve"> </w:t>
            </w:r>
            <w:r>
              <w:rPr>
                <w:rFonts w:ascii="Times New Roman" w:hAnsi="Times New Roman" w:eastAsia="Times New Roman" w:cs="Times New Roman"/>
                <w:b/>
                <w:bCs/>
                <w:spacing w:val="6"/>
              </w:rPr>
              <w:t xml:space="preserve">1-8    </w:t>
            </w:r>
            <w:r>
              <w:rPr>
                <w:b/>
                <w:bCs/>
                <w:spacing w:val="6"/>
              </w:rPr>
              <w:t>与（云发改基础〔</w:t>
            </w:r>
            <w:r>
              <w:rPr>
                <w:rFonts w:ascii="Times New Roman" w:hAnsi="Times New Roman" w:eastAsia="Times New Roman" w:cs="Times New Roman"/>
                <w:b/>
                <w:bCs/>
                <w:spacing w:val="6"/>
              </w:rPr>
              <w:t>2022</w:t>
            </w:r>
            <w:r>
              <w:rPr>
                <w:b/>
                <w:bCs/>
                <w:spacing w:val="6"/>
              </w:rPr>
              <w:t>〕</w:t>
            </w:r>
            <w:r>
              <w:rPr>
                <w:rFonts w:ascii="Times New Roman" w:hAnsi="Times New Roman" w:eastAsia="Times New Roman" w:cs="Times New Roman"/>
                <w:b/>
                <w:bCs/>
                <w:spacing w:val="6"/>
              </w:rPr>
              <w:t xml:space="preserve">894 </w:t>
            </w:r>
            <w:r>
              <w:rPr>
                <w:b/>
                <w:bCs/>
                <w:spacing w:val="6"/>
              </w:rPr>
              <w:t>号）</w:t>
            </w:r>
            <w:r>
              <w:rPr>
                <w:b/>
                <w:bCs/>
                <w:spacing w:val="5"/>
              </w:rPr>
              <w:t>的符合性分析</w:t>
            </w:r>
          </w:p>
        </w:tc>
      </w:tr>
      <w:tr w14:paraId="0F7BF0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411" w:type="dxa"/>
            <w:vMerge w:val="continue"/>
            <w:tcBorders>
              <w:top w:val="nil"/>
              <w:left w:val="single" w:color="000000" w:sz="6" w:space="0"/>
              <w:bottom w:val="nil"/>
            </w:tcBorders>
            <w:vAlign w:val="top"/>
          </w:tcPr>
          <w:p w14:paraId="1AB1B10C">
            <w:pPr>
              <w:rPr>
                <w:rFonts w:ascii="Arial"/>
                <w:sz w:val="21"/>
              </w:rPr>
            </w:pPr>
          </w:p>
        </w:tc>
        <w:tc>
          <w:tcPr>
            <w:tcW w:w="75" w:type="dxa"/>
            <w:tcBorders>
              <w:top w:val="nil"/>
              <w:bottom w:val="nil"/>
            </w:tcBorders>
            <w:vAlign w:val="top"/>
          </w:tcPr>
          <w:p w14:paraId="39BBBAAA">
            <w:pPr>
              <w:rPr>
                <w:rFonts w:ascii="Arial"/>
                <w:sz w:val="21"/>
              </w:rPr>
            </w:pPr>
          </w:p>
        </w:tc>
        <w:tc>
          <w:tcPr>
            <w:tcW w:w="5120" w:type="dxa"/>
            <w:vAlign w:val="top"/>
          </w:tcPr>
          <w:p w14:paraId="1683898E">
            <w:pPr>
              <w:pStyle w:val="6"/>
              <w:spacing w:before="54" w:line="228" w:lineRule="auto"/>
              <w:ind w:left="750"/>
            </w:pPr>
            <w:r>
              <w:rPr>
                <w:rFonts w:ascii="Times New Roman" w:hAnsi="Times New Roman" w:eastAsia="Times New Roman" w:cs="Times New Roman"/>
                <w:b/>
                <w:bCs/>
                <w:spacing w:val="8"/>
              </w:rPr>
              <w:t>“</w:t>
            </w:r>
            <w:r>
              <w:rPr>
                <w:b/>
                <w:bCs/>
                <w:spacing w:val="8"/>
              </w:rPr>
              <w:t>云发改基础〔</w:t>
            </w:r>
            <w:r>
              <w:rPr>
                <w:rFonts w:ascii="Times New Roman" w:hAnsi="Times New Roman" w:eastAsia="Times New Roman" w:cs="Times New Roman"/>
                <w:b/>
                <w:bCs/>
                <w:spacing w:val="8"/>
              </w:rPr>
              <w:t>2022</w:t>
            </w:r>
            <w:r>
              <w:rPr>
                <w:b/>
                <w:bCs/>
                <w:spacing w:val="8"/>
              </w:rPr>
              <w:t>〕</w:t>
            </w:r>
            <w:r>
              <w:rPr>
                <w:rFonts w:ascii="Times New Roman" w:hAnsi="Times New Roman" w:eastAsia="Times New Roman" w:cs="Times New Roman"/>
                <w:b/>
                <w:bCs/>
                <w:spacing w:val="8"/>
              </w:rPr>
              <w:t xml:space="preserve">894 </w:t>
            </w:r>
            <w:r>
              <w:rPr>
                <w:b/>
                <w:bCs/>
                <w:spacing w:val="8"/>
              </w:rPr>
              <w:t>号</w:t>
            </w:r>
            <w:r>
              <w:rPr>
                <w:rFonts w:ascii="Times New Roman" w:hAnsi="Times New Roman" w:eastAsia="Times New Roman" w:cs="Times New Roman"/>
                <w:b/>
                <w:bCs/>
                <w:spacing w:val="8"/>
              </w:rPr>
              <w:t>”</w:t>
            </w:r>
            <w:r>
              <w:rPr>
                <w:b/>
                <w:bCs/>
                <w:spacing w:val="8"/>
              </w:rPr>
              <w:t>相关内容</w:t>
            </w:r>
          </w:p>
        </w:tc>
        <w:tc>
          <w:tcPr>
            <w:tcW w:w="1642" w:type="dxa"/>
            <w:vAlign w:val="top"/>
          </w:tcPr>
          <w:p w14:paraId="5E92EE10">
            <w:pPr>
              <w:pStyle w:val="6"/>
              <w:spacing w:before="54" w:line="227" w:lineRule="auto"/>
              <w:ind w:left="303"/>
            </w:pPr>
            <w:r>
              <w:rPr>
                <w:b/>
                <w:bCs/>
                <w:spacing w:val="6"/>
              </w:rPr>
              <w:t>本项目内容</w:t>
            </w:r>
          </w:p>
        </w:tc>
        <w:tc>
          <w:tcPr>
            <w:tcW w:w="886" w:type="dxa"/>
            <w:tcBorders>
              <w:right w:val="single" w:color="000000" w:sz="6" w:space="0"/>
            </w:tcBorders>
            <w:vAlign w:val="top"/>
          </w:tcPr>
          <w:p w14:paraId="697EF29C">
            <w:pPr>
              <w:pStyle w:val="6"/>
              <w:spacing w:before="54" w:line="228" w:lineRule="auto"/>
              <w:ind w:left="95"/>
            </w:pPr>
            <w:r>
              <w:rPr>
                <w:b/>
                <w:bCs/>
                <w:spacing w:val="5"/>
              </w:rPr>
              <w:t>相符性</w:t>
            </w:r>
          </w:p>
        </w:tc>
      </w:tr>
      <w:tr w14:paraId="2F5FD0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411" w:type="dxa"/>
            <w:vMerge w:val="continue"/>
            <w:tcBorders>
              <w:top w:val="nil"/>
              <w:left w:val="single" w:color="000000" w:sz="6" w:space="0"/>
              <w:bottom w:val="nil"/>
            </w:tcBorders>
            <w:vAlign w:val="top"/>
          </w:tcPr>
          <w:p w14:paraId="3B462F94">
            <w:pPr>
              <w:rPr>
                <w:rFonts w:ascii="Arial"/>
                <w:sz w:val="21"/>
              </w:rPr>
            </w:pPr>
          </w:p>
        </w:tc>
        <w:tc>
          <w:tcPr>
            <w:tcW w:w="75" w:type="dxa"/>
            <w:tcBorders>
              <w:top w:val="nil"/>
              <w:bottom w:val="nil"/>
            </w:tcBorders>
            <w:vAlign w:val="top"/>
          </w:tcPr>
          <w:p w14:paraId="2DAA3243">
            <w:pPr>
              <w:rPr>
                <w:rFonts w:ascii="Arial"/>
                <w:sz w:val="21"/>
              </w:rPr>
            </w:pPr>
          </w:p>
        </w:tc>
        <w:tc>
          <w:tcPr>
            <w:tcW w:w="5120" w:type="dxa"/>
            <w:vAlign w:val="top"/>
          </w:tcPr>
          <w:p w14:paraId="372023C2">
            <w:pPr>
              <w:pStyle w:val="6"/>
              <w:spacing w:before="33" w:line="227" w:lineRule="auto"/>
              <w:ind w:left="44"/>
            </w:pPr>
            <w:r>
              <w:rPr>
                <w:spacing w:val="9"/>
              </w:rPr>
              <w:t>禁止新建、改建和扩建不符合《全国内河航道与港口布</w:t>
            </w:r>
          </w:p>
          <w:p w14:paraId="56F2F338">
            <w:pPr>
              <w:pStyle w:val="6"/>
              <w:spacing w:before="24" w:line="228" w:lineRule="auto"/>
              <w:ind w:left="46"/>
            </w:pPr>
            <w:r>
              <w:rPr>
                <w:spacing w:val="9"/>
              </w:rPr>
              <w:t>局规划》等全国港口规划和《昭通市港口码头岸线规划</w:t>
            </w:r>
          </w:p>
          <w:p w14:paraId="0576E3A6">
            <w:pPr>
              <w:pStyle w:val="6"/>
              <w:spacing w:before="24" w:line="228" w:lineRule="auto"/>
              <w:ind w:left="183"/>
            </w:pPr>
            <w:r>
              <w:rPr>
                <w:spacing w:val="7"/>
              </w:rPr>
              <w:t>（金沙江段</w:t>
            </w:r>
            <w:r>
              <w:rPr>
                <w:spacing w:val="-40"/>
              </w:rPr>
              <w:t xml:space="preserve"> </w:t>
            </w:r>
            <w:r>
              <w:rPr>
                <w:rFonts w:ascii="Times New Roman" w:hAnsi="Times New Roman" w:eastAsia="Times New Roman" w:cs="Times New Roman"/>
                <w:spacing w:val="7"/>
              </w:rPr>
              <w:t xml:space="preserve">2019 </w:t>
            </w:r>
            <w:r>
              <w:rPr>
                <w:spacing w:val="7"/>
              </w:rPr>
              <w:t>年</w:t>
            </w:r>
            <w:r>
              <w:rPr>
                <w:rFonts w:ascii="Times New Roman" w:hAnsi="Times New Roman" w:eastAsia="Times New Roman" w:cs="Times New Roman"/>
                <w:spacing w:val="7"/>
              </w:rPr>
              <w:t xml:space="preserve">—2035 </w:t>
            </w:r>
            <w:r>
              <w:rPr>
                <w:spacing w:val="7"/>
              </w:rPr>
              <w:t>年）》《景洪港总体规划</w:t>
            </w:r>
          </w:p>
          <w:p w14:paraId="3C3D2F5B">
            <w:pPr>
              <w:pStyle w:val="6"/>
              <w:spacing w:before="27" w:line="227" w:lineRule="auto"/>
              <w:ind w:left="27"/>
            </w:pPr>
            <w:r>
              <w:rPr>
                <w:spacing w:val="7"/>
              </w:rPr>
              <w:t>（</w:t>
            </w:r>
            <w:r>
              <w:rPr>
                <w:rFonts w:ascii="Times New Roman" w:hAnsi="Times New Roman" w:eastAsia="Times New Roman" w:cs="Times New Roman"/>
                <w:spacing w:val="7"/>
              </w:rPr>
              <w:t xml:space="preserve">2019—2035 </w:t>
            </w:r>
            <w:r>
              <w:rPr>
                <w:spacing w:val="7"/>
              </w:rPr>
              <w:t>年）》等州（市）级以上港口布局规划以</w:t>
            </w:r>
          </w:p>
          <w:p w14:paraId="06F7A362">
            <w:pPr>
              <w:pStyle w:val="6"/>
              <w:spacing w:before="25" w:line="216" w:lineRule="auto"/>
              <w:ind w:left="1197"/>
            </w:pPr>
            <w:r>
              <w:rPr>
                <w:spacing w:val="8"/>
              </w:rPr>
              <w:t>及港口总体规划的码头项目。</w:t>
            </w:r>
          </w:p>
        </w:tc>
        <w:tc>
          <w:tcPr>
            <w:tcW w:w="1642" w:type="dxa"/>
            <w:vAlign w:val="top"/>
          </w:tcPr>
          <w:p w14:paraId="1C4FB383">
            <w:pPr>
              <w:spacing w:line="374" w:lineRule="auto"/>
              <w:rPr>
                <w:rFonts w:ascii="Arial"/>
                <w:sz w:val="21"/>
              </w:rPr>
            </w:pPr>
          </w:p>
          <w:p w14:paraId="1CC7EBEA">
            <w:pPr>
              <w:pStyle w:val="6"/>
              <w:spacing w:before="65" w:line="252" w:lineRule="auto"/>
              <w:ind w:left="539" w:right="80" w:hanging="443"/>
            </w:pPr>
            <w:r>
              <w:rPr>
                <w:spacing w:val="8"/>
              </w:rPr>
              <w:t>本项目属于输变</w:t>
            </w:r>
            <w:r>
              <w:rPr>
                <w:spacing w:val="-2"/>
              </w:rPr>
              <w:t>电工程</w:t>
            </w:r>
          </w:p>
        </w:tc>
        <w:tc>
          <w:tcPr>
            <w:tcW w:w="886" w:type="dxa"/>
            <w:tcBorders>
              <w:right w:val="single" w:color="000000" w:sz="6" w:space="0"/>
            </w:tcBorders>
            <w:vAlign w:val="top"/>
          </w:tcPr>
          <w:p w14:paraId="1278F29D">
            <w:pPr>
              <w:spacing w:line="253" w:lineRule="auto"/>
              <w:rPr>
                <w:rFonts w:ascii="Arial"/>
                <w:sz w:val="21"/>
              </w:rPr>
            </w:pPr>
          </w:p>
          <w:p w14:paraId="5636E740">
            <w:pPr>
              <w:spacing w:line="254" w:lineRule="auto"/>
              <w:rPr>
                <w:rFonts w:ascii="Arial"/>
                <w:sz w:val="21"/>
              </w:rPr>
            </w:pPr>
          </w:p>
          <w:p w14:paraId="22DA0B74">
            <w:pPr>
              <w:pStyle w:val="6"/>
              <w:spacing w:before="65" w:line="228" w:lineRule="auto"/>
              <w:ind w:left="205"/>
            </w:pPr>
            <w:r>
              <w:rPr>
                <w:spacing w:val="3"/>
              </w:rPr>
              <w:t>符合</w:t>
            </w:r>
          </w:p>
        </w:tc>
      </w:tr>
      <w:tr w14:paraId="111DA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4" w:hRule="atLeast"/>
        </w:trPr>
        <w:tc>
          <w:tcPr>
            <w:tcW w:w="411" w:type="dxa"/>
            <w:vMerge w:val="continue"/>
            <w:tcBorders>
              <w:top w:val="nil"/>
              <w:left w:val="single" w:color="000000" w:sz="6" w:space="0"/>
              <w:bottom w:val="nil"/>
            </w:tcBorders>
            <w:vAlign w:val="top"/>
          </w:tcPr>
          <w:p w14:paraId="5C904C0E">
            <w:pPr>
              <w:rPr>
                <w:rFonts w:ascii="Arial"/>
                <w:sz w:val="21"/>
              </w:rPr>
            </w:pPr>
          </w:p>
        </w:tc>
        <w:tc>
          <w:tcPr>
            <w:tcW w:w="75" w:type="dxa"/>
            <w:tcBorders>
              <w:top w:val="nil"/>
              <w:bottom w:val="nil"/>
            </w:tcBorders>
            <w:vAlign w:val="top"/>
          </w:tcPr>
          <w:p w14:paraId="0BC62896">
            <w:pPr>
              <w:rPr>
                <w:rFonts w:ascii="Arial"/>
                <w:sz w:val="21"/>
              </w:rPr>
            </w:pPr>
          </w:p>
        </w:tc>
        <w:tc>
          <w:tcPr>
            <w:tcW w:w="5120" w:type="dxa"/>
            <w:vAlign w:val="top"/>
          </w:tcPr>
          <w:p w14:paraId="13070AF2">
            <w:pPr>
              <w:pStyle w:val="6"/>
              <w:spacing w:before="148" w:line="252" w:lineRule="auto"/>
              <w:ind w:left="43" w:right="41"/>
              <w:jc w:val="both"/>
            </w:pPr>
            <w:r>
              <w:rPr>
                <w:spacing w:val="9"/>
              </w:rPr>
              <w:t>禁止在自然保护区核心区、缓冲区的岸线和河段范围内投资建设旅游和生产经营项目。禁止建设与自然保护区保护方向不一致的旅游项目。禁止在自然保护区内进行开矿、采石、挖沙等活动。禁止在自然保护区的核心区和缓冲区内建设任何生产设施，禁止在自然保护区的实验区内建设污染环境、破坏资源或者景观的生产设施。</w:t>
            </w:r>
          </w:p>
        </w:tc>
        <w:tc>
          <w:tcPr>
            <w:tcW w:w="1642" w:type="dxa"/>
            <w:vAlign w:val="top"/>
          </w:tcPr>
          <w:p w14:paraId="2EA6E5E0">
            <w:pPr>
              <w:spacing w:line="312" w:lineRule="auto"/>
              <w:rPr>
                <w:rFonts w:ascii="Arial"/>
                <w:sz w:val="21"/>
              </w:rPr>
            </w:pPr>
          </w:p>
          <w:p w14:paraId="7BD28A88">
            <w:pPr>
              <w:spacing w:line="313" w:lineRule="auto"/>
              <w:rPr>
                <w:rFonts w:ascii="Arial"/>
                <w:sz w:val="21"/>
              </w:rPr>
            </w:pPr>
          </w:p>
          <w:p w14:paraId="6D63435A">
            <w:pPr>
              <w:pStyle w:val="6"/>
              <w:spacing w:before="65" w:line="252" w:lineRule="auto"/>
              <w:ind w:left="410" w:right="80" w:hanging="314"/>
            </w:pPr>
            <w:r>
              <w:rPr>
                <w:spacing w:val="8"/>
              </w:rPr>
              <w:t>本项目不涉及自</w:t>
            </w:r>
            <w:r>
              <w:rPr>
                <w:spacing w:val="7"/>
              </w:rPr>
              <w:t>然保护区</w:t>
            </w:r>
          </w:p>
        </w:tc>
        <w:tc>
          <w:tcPr>
            <w:tcW w:w="886" w:type="dxa"/>
            <w:tcBorders>
              <w:right w:val="single" w:color="000000" w:sz="6" w:space="0"/>
            </w:tcBorders>
            <w:vAlign w:val="top"/>
          </w:tcPr>
          <w:p w14:paraId="30EB1D7B">
            <w:pPr>
              <w:spacing w:line="252" w:lineRule="auto"/>
              <w:rPr>
                <w:rFonts w:ascii="Arial"/>
                <w:sz w:val="21"/>
              </w:rPr>
            </w:pPr>
          </w:p>
          <w:p w14:paraId="7436F9C3">
            <w:pPr>
              <w:spacing w:line="253" w:lineRule="auto"/>
              <w:rPr>
                <w:rFonts w:ascii="Arial"/>
                <w:sz w:val="21"/>
              </w:rPr>
            </w:pPr>
          </w:p>
          <w:p w14:paraId="6CCCBCC6">
            <w:pPr>
              <w:spacing w:line="253" w:lineRule="auto"/>
              <w:rPr>
                <w:rFonts w:ascii="Arial"/>
                <w:sz w:val="21"/>
              </w:rPr>
            </w:pPr>
          </w:p>
          <w:p w14:paraId="1612FBB0">
            <w:pPr>
              <w:pStyle w:val="6"/>
              <w:spacing w:before="65" w:line="228" w:lineRule="auto"/>
              <w:ind w:left="205"/>
            </w:pPr>
            <w:r>
              <w:rPr>
                <w:spacing w:val="3"/>
              </w:rPr>
              <w:t>符合</w:t>
            </w:r>
          </w:p>
        </w:tc>
      </w:tr>
      <w:tr w14:paraId="143F6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4" w:hRule="atLeast"/>
        </w:trPr>
        <w:tc>
          <w:tcPr>
            <w:tcW w:w="411" w:type="dxa"/>
            <w:vMerge w:val="continue"/>
            <w:tcBorders>
              <w:top w:val="nil"/>
              <w:left w:val="single" w:color="000000" w:sz="6" w:space="0"/>
              <w:bottom w:val="nil"/>
            </w:tcBorders>
            <w:vAlign w:val="top"/>
          </w:tcPr>
          <w:p w14:paraId="193616BF">
            <w:pPr>
              <w:rPr>
                <w:rFonts w:ascii="Arial"/>
                <w:sz w:val="21"/>
              </w:rPr>
            </w:pPr>
          </w:p>
        </w:tc>
        <w:tc>
          <w:tcPr>
            <w:tcW w:w="75" w:type="dxa"/>
            <w:tcBorders>
              <w:top w:val="nil"/>
              <w:bottom w:val="nil"/>
            </w:tcBorders>
            <w:vAlign w:val="top"/>
          </w:tcPr>
          <w:p w14:paraId="5D5BEFF0">
            <w:pPr>
              <w:rPr>
                <w:rFonts w:ascii="Arial"/>
                <w:sz w:val="21"/>
              </w:rPr>
            </w:pPr>
          </w:p>
        </w:tc>
        <w:tc>
          <w:tcPr>
            <w:tcW w:w="5120" w:type="dxa"/>
            <w:vAlign w:val="top"/>
          </w:tcPr>
          <w:p w14:paraId="55FE06E2">
            <w:pPr>
              <w:pStyle w:val="6"/>
              <w:spacing w:before="140" w:line="252" w:lineRule="auto"/>
              <w:ind w:left="3"/>
            </w:pPr>
            <w:r>
              <w:rPr>
                <w:spacing w:val="6"/>
              </w:rPr>
              <w:t>禁止在风景名胜区核心景区的岸线和河段范围内投资建设与风景名胜资源保护无关的项目。禁止在风景名胜区</w:t>
            </w:r>
            <w:r>
              <w:rPr>
                <w:spacing w:val="4"/>
              </w:rPr>
              <w:t>内进行开山、采石、开矿、开荒、修坟立碑等破坏景观、</w:t>
            </w:r>
            <w:r>
              <w:rPr>
                <w:spacing w:val="7"/>
              </w:rPr>
              <w:t>植被和地形地貌的活动以及修建储存爆炸性、易燃性、</w:t>
            </w:r>
            <w:r>
              <w:rPr>
                <w:spacing w:val="6"/>
              </w:rPr>
              <w:t>放射性、毒害性、腐蚀性物品的设施；禁止在风景名胜区内设立开发区和在核心景区内建设宾馆、会所、培训中心、疗养院以及与风景名胜资源保护无关的投资建设</w:t>
            </w:r>
            <w:r>
              <w:rPr>
                <w:spacing w:val="1"/>
              </w:rPr>
              <w:t>项目。</w:t>
            </w:r>
          </w:p>
        </w:tc>
        <w:tc>
          <w:tcPr>
            <w:tcW w:w="1642" w:type="dxa"/>
            <w:vAlign w:val="top"/>
          </w:tcPr>
          <w:p w14:paraId="097D8725">
            <w:pPr>
              <w:spacing w:line="296" w:lineRule="auto"/>
              <w:rPr>
                <w:rFonts w:ascii="Arial"/>
                <w:sz w:val="21"/>
              </w:rPr>
            </w:pPr>
          </w:p>
          <w:p w14:paraId="78D09D5F">
            <w:pPr>
              <w:spacing w:line="297" w:lineRule="auto"/>
              <w:rPr>
                <w:rFonts w:ascii="Arial"/>
                <w:sz w:val="21"/>
              </w:rPr>
            </w:pPr>
          </w:p>
          <w:p w14:paraId="234A19F0">
            <w:pPr>
              <w:spacing w:line="297" w:lineRule="auto"/>
              <w:rPr>
                <w:rFonts w:ascii="Arial"/>
                <w:sz w:val="21"/>
              </w:rPr>
            </w:pPr>
          </w:p>
          <w:p w14:paraId="67BB8712">
            <w:pPr>
              <w:pStyle w:val="6"/>
              <w:spacing w:before="65" w:line="252" w:lineRule="auto"/>
              <w:ind w:left="305" w:right="80" w:hanging="206"/>
            </w:pPr>
            <w:r>
              <w:rPr>
                <w:spacing w:val="8"/>
              </w:rPr>
              <w:t>项目用地不涉及</w:t>
            </w:r>
            <w:r>
              <w:rPr>
                <w:spacing w:val="7"/>
              </w:rPr>
              <w:t>风景名胜区</w:t>
            </w:r>
          </w:p>
        </w:tc>
        <w:tc>
          <w:tcPr>
            <w:tcW w:w="886" w:type="dxa"/>
            <w:tcBorders>
              <w:right w:val="single" w:color="000000" w:sz="6" w:space="0"/>
            </w:tcBorders>
            <w:vAlign w:val="top"/>
          </w:tcPr>
          <w:p w14:paraId="2D782DA0">
            <w:pPr>
              <w:spacing w:line="256" w:lineRule="auto"/>
              <w:rPr>
                <w:rFonts w:ascii="Arial"/>
                <w:sz w:val="21"/>
              </w:rPr>
            </w:pPr>
          </w:p>
          <w:p w14:paraId="41D3E2B4">
            <w:pPr>
              <w:spacing w:line="256" w:lineRule="auto"/>
              <w:rPr>
                <w:rFonts w:ascii="Arial"/>
                <w:sz w:val="21"/>
              </w:rPr>
            </w:pPr>
          </w:p>
          <w:p w14:paraId="724FBBC6">
            <w:pPr>
              <w:spacing w:line="256" w:lineRule="auto"/>
              <w:rPr>
                <w:rFonts w:ascii="Arial"/>
                <w:sz w:val="21"/>
              </w:rPr>
            </w:pPr>
          </w:p>
          <w:p w14:paraId="12A45849">
            <w:pPr>
              <w:spacing w:line="256" w:lineRule="auto"/>
              <w:rPr>
                <w:rFonts w:ascii="Arial"/>
                <w:sz w:val="21"/>
              </w:rPr>
            </w:pPr>
          </w:p>
          <w:p w14:paraId="2EC72CA4">
            <w:pPr>
              <w:pStyle w:val="6"/>
              <w:spacing w:before="65" w:line="228" w:lineRule="auto"/>
              <w:ind w:left="205"/>
            </w:pPr>
            <w:r>
              <w:rPr>
                <w:spacing w:val="3"/>
              </w:rPr>
              <w:t>符合</w:t>
            </w:r>
          </w:p>
        </w:tc>
      </w:tr>
      <w:tr w14:paraId="137461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411" w:type="dxa"/>
            <w:vMerge w:val="continue"/>
            <w:tcBorders>
              <w:top w:val="nil"/>
              <w:left w:val="single" w:color="000000" w:sz="6" w:space="0"/>
              <w:bottom w:val="nil"/>
            </w:tcBorders>
            <w:vAlign w:val="top"/>
          </w:tcPr>
          <w:p w14:paraId="66AE1370">
            <w:pPr>
              <w:rPr>
                <w:rFonts w:ascii="Arial"/>
                <w:sz w:val="21"/>
              </w:rPr>
            </w:pPr>
          </w:p>
        </w:tc>
        <w:tc>
          <w:tcPr>
            <w:tcW w:w="75" w:type="dxa"/>
            <w:tcBorders>
              <w:top w:val="nil"/>
              <w:bottom w:val="nil"/>
            </w:tcBorders>
            <w:vAlign w:val="top"/>
          </w:tcPr>
          <w:p w14:paraId="7DAF52FA">
            <w:pPr>
              <w:rPr>
                <w:rFonts w:ascii="Arial"/>
                <w:sz w:val="21"/>
              </w:rPr>
            </w:pPr>
          </w:p>
        </w:tc>
        <w:tc>
          <w:tcPr>
            <w:tcW w:w="5120" w:type="dxa"/>
            <w:vAlign w:val="top"/>
          </w:tcPr>
          <w:p w14:paraId="421C5713">
            <w:pPr>
              <w:pStyle w:val="6"/>
              <w:spacing w:before="40" w:line="228" w:lineRule="auto"/>
              <w:ind w:left="3"/>
            </w:pPr>
            <w:r>
              <w:rPr>
                <w:spacing w:val="9"/>
              </w:rPr>
              <w:t>禁止在饮用水水源一级保护区的岸线和河段范围内新</w:t>
            </w:r>
          </w:p>
          <w:p w14:paraId="745F9A84">
            <w:pPr>
              <w:pStyle w:val="6"/>
              <w:spacing w:before="23" w:line="243" w:lineRule="auto"/>
              <w:ind w:left="5" w:right="82"/>
            </w:pPr>
            <w:r>
              <w:rPr>
                <w:spacing w:val="9"/>
              </w:rPr>
              <w:t>建、改建、扩建与供水设施和保护水源无关的投资建设项目，以及网箱养殖、畜禽养殖、旅游等可能污染饮用水水体的投资建设项目。禁止在饮用水水源二级保护区的岸线和河段范围内新建、改建、扩建排放污染物的投</w:t>
            </w:r>
            <w:r>
              <w:rPr>
                <w:spacing w:val="6"/>
              </w:rPr>
              <w:t>资建设项目。</w:t>
            </w:r>
          </w:p>
        </w:tc>
        <w:tc>
          <w:tcPr>
            <w:tcW w:w="1642" w:type="dxa"/>
            <w:vAlign w:val="top"/>
          </w:tcPr>
          <w:p w14:paraId="6A905AD9">
            <w:pPr>
              <w:spacing w:line="381" w:lineRule="auto"/>
              <w:rPr>
                <w:rFonts w:ascii="Arial"/>
                <w:sz w:val="21"/>
              </w:rPr>
            </w:pPr>
          </w:p>
          <w:p w14:paraId="603430DC">
            <w:pPr>
              <w:pStyle w:val="6"/>
              <w:spacing w:before="65" w:line="228" w:lineRule="auto"/>
              <w:ind w:left="99"/>
            </w:pPr>
            <w:r>
              <w:rPr>
                <w:spacing w:val="8"/>
              </w:rPr>
              <w:t>项目用地不涉及</w:t>
            </w:r>
          </w:p>
          <w:p w14:paraId="4704FDBB">
            <w:pPr>
              <w:pStyle w:val="6"/>
              <w:spacing w:before="23" w:line="228" w:lineRule="auto"/>
              <w:ind w:left="96"/>
            </w:pPr>
            <w:r>
              <w:rPr>
                <w:spacing w:val="8"/>
              </w:rPr>
              <w:t>饮用水水源保护</w:t>
            </w:r>
          </w:p>
          <w:p w14:paraId="212A8A80">
            <w:pPr>
              <w:pStyle w:val="6"/>
              <w:spacing w:before="24" w:line="233" w:lineRule="auto"/>
              <w:ind w:left="740"/>
            </w:pPr>
            <w:r>
              <w:t>区</w:t>
            </w:r>
          </w:p>
        </w:tc>
        <w:tc>
          <w:tcPr>
            <w:tcW w:w="886" w:type="dxa"/>
            <w:tcBorders>
              <w:right w:val="single" w:color="000000" w:sz="6" w:space="0"/>
            </w:tcBorders>
            <w:vAlign w:val="top"/>
          </w:tcPr>
          <w:p w14:paraId="4B06011C">
            <w:pPr>
              <w:spacing w:line="325" w:lineRule="auto"/>
              <w:rPr>
                <w:rFonts w:ascii="Arial"/>
                <w:sz w:val="21"/>
              </w:rPr>
            </w:pPr>
          </w:p>
          <w:p w14:paraId="2DA22473">
            <w:pPr>
              <w:spacing w:line="325" w:lineRule="auto"/>
              <w:rPr>
                <w:rFonts w:ascii="Arial"/>
                <w:sz w:val="21"/>
              </w:rPr>
            </w:pPr>
          </w:p>
          <w:p w14:paraId="10A3CBB6">
            <w:pPr>
              <w:pStyle w:val="6"/>
              <w:spacing w:before="65" w:line="228" w:lineRule="auto"/>
              <w:ind w:left="205"/>
            </w:pPr>
            <w:r>
              <w:rPr>
                <w:spacing w:val="3"/>
              </w:rPr>
              <w:t>符合</w:t>
            </w:r>
          </w:p>
        </w:tc>
      </w:tr>
      <w:tr w14:paraId="1B592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9" w:hRule="atLeast"/>
        </w:trPr>
        <w:tc>
          <w:tcPr>
            <w:tcW w:w="411" w:type="dxa"/>
            <w:vMerge w:val="continue"/>
            <w:tcBorders>
              <w:top w:val="nil"/>
              <w:left w:val="single" w:color="000000" w:sz="6" w:space="0"/>
              <w:bottom w:val="nil"/>
            </w:tcBorders>
            <w:vAlign w:val="top"/>
          </w:tcPr>
          <w:p w14:paraId="07BB8326">
            <w:pPr>
              <w:rPr>
                <w:rFonts w:ascii="Arial"/>
                <w:sz w:val="21"/>
              </w:rPr>
            </w:pPr>
          </w:p>
        </w:tc>
        <w:tc>
          <w:tcPr>
            <w:tcW w:w="75" w:type="dxa"/>
            <w:tcBorders>
              <w:top w:val="nil"/>
              <w:bottom w:val="nil"/>
            </w:tcBorders>
            <w:vAlign w:val="top"/>
          </w:tcPr>
          <w:p w14:paraId="3A5581AD">
            <w:pPr>
              <w:rPr>
                <w:rFonts w:ascii="Arial"/>
                <w:sz w:val="21"/>
              </w:rPr>
            </w:pPr>
          </w:p>
        </w:tc>
        <w:tc>
          <w:tcPr>
            <w:tcW w:w="5120" w:type="dxa"/>
            <w:vAlign w:val="top"/>
          </w:tcPr>
          <w:p w14:paraId="12382247">
            <w:pPr>
              <w:pStyle w:val="6"/>
              <w:spacing w:before="162" w:line="251" w:lineRule="auto"/>
              <w:ind w:left="2" w:right="82"/>
              <w:jc w:val="both"/>
            </w:pPr>
            <w:r>
              <w:rPr>
                <w:spacing w:val="9"/>
              </w:rPr>
              <w:t>禁止在水产种质资源保护区的岸线和河段范围内新建围湖造田、围湖造地或围填海等投资建设项目。禁止擅自</w:t>
            </w:r>
            <w:r>
              <w:rPr>
                <w:spacing w:val="7"/>
              </w:rPr>
              <w:t>征收、</w:t>
            </w:r>
            <w:r>
              <w:rPr>
                <w:spacing w:val="-39"/>
              </w:rPr>
              <w:t xml:space="preserve"> </w:t>
            </w:r>
            <w:r>
              <w:rPr>
                <w:spacing w:val="7"/>
              </w:rPr>
              <w:t>占用国家湿地公园的土地；禁止在国家湿地公园</w:t>
            </w:r>
            <w:r>
              <w:rPr>
                <w:spacing w:val="9"/>
              </w:rPr>
              <w:t>内挖沙、采矿，以及建设度假村、高尔夫球场等任何不</w:t>
            </w:r>
            <w:r>
              <w:rPr>
                <w:spacing w:val="8"/>
              </w:rPr>
              <w:t>符合主体功能定位的投资建设项目。</w:t>
            </w:r>
          </w:p>
        </w:tc>
        <w:tc>
          <w:tcPr>
            <w:tcW w:w="1642" w:type="dxa"/>
            <w:vAlign w:val="top"/>
          </w:tcPr>
          <w:p w14:paraId="5FBDD7FA">
            <w:pPr>
              <w:spacing w:line="363" w:lineRule="auto"/>
              <w:rPr>
                <w:rFonts w:ascii="Arial"/>
                <w:sz w:val="21"/>
              </w:rPr>
            </w:pPr>
          </w:p>
          <w:p w14:paraId="7E67FE52">
            <w:pPr>
              <w:pStyle w:val="6"/>
              <w:spacing w:before="65" w:line="253" w:lineRule="auto"/>
              <w:ind w:left="14" w:firstLine="84"/>
              <w:jc w:val="right"/>
            </w:pPr>
            <w:r>
              <w:rPr>
                <w:spacing w:val="6"/>
              </w:rPr>
              <w:t>项目不涉及水产</w:t>
            </w:r>
            <w:r>
              <w:rPr>
                <w:spacing w:val="2"/>
              </w:rPr>
              <w:t>种质资源保护区、</w:t>
            </w:r>
            <w:r>
              <w:rPr>
                <w:spacing w:val="3"/>
              </w:rPr>
              <w:t>国家湿地公园</w:t>
            </w:r>
          </w:p>
        </w:tc>
        <w:tc>
          <w:tcPr>
            <w:tcW w:w="886" w:type="dxa"/>
            <w:tcBorders>
              <w:right w:val="single" w:color="000000" w:sz="6" w:space="0"/>
            </w:tcBorders>
            <w:vAlign w:val="top"/>
          </w:tcPr>
          <w:p w14:paraId="2007E901">
            <w:pPr>
              <w:spacing w:line="316" w:lineRule="auto"/>
              <w:rPr>
                <w:rFonts w:ascii="Arial"/>
                <w:sz w:val="21"/>
              </w:rPr>
            </w:pPr>
          </w:p>
          <w:p w14:paraId="15190C8B">
            <w:pPr>
              <w:spacing w:line="317" w:lineRule="auto"/>
              <w:rPr>
                <w:rFonts w:ascii="Arial"/>
                <w:sz w:val="21"/>
              </w:rPr>
            </w:pPr>
          </w:p>
          <w:p w14:paraId="2CF55EDA">
            <w:pPr>
              <w:pStyle w:val="6"/>
              <w:spacing w:before="65" w:line="228" w:lineRule="auto"/>
              <w:ind w:left="205"/>
            </w:pPr>
            <w:r>
              <w:rPr>
                <w:spacing w:val="3"/>
              </w:rPr>
              <w:t>符合</w:t>
            </w:r>
          </w:p>
        </w:tc>
      </w:tr>
      <w:tr w14:paraId="484D8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96" w:hRule="atLeast"/>
        </w:trPr>
        <w:tc>
          <w:tcPr>
            <w:tcW w:w="411" w:type="dxa"/>
            <w:vMerge w:val="continue"/>
            <w:tcBorders>
              <w:top w:val="nil"/>
              <w:left w:val="single" w:color="000000" w:sz="6" w:space="0"/>
              <w:bottom w:val="single" w:color="000000" w:sz="6" w:space="0"/>
            </w:tcBorders>
            <w:vAlign w:val="top"/>
          </w:tcPr>
          <w:p w14:paraId="0CE3FE8C">
            <w:pPr>
              <w:rPr>
                <w:rFonts w:ascii="Arial"/>
                <w:sz w:val="21"/>
              </w:rPr>
            </w:pPr>
          </w:p>
        </w:tc>
        <w:tc>
          <w:tcPr>
            <w:tcW w:w="75" w:type="dxa"/>
            <w:tcBorders>
              <w:top w:val="nil"/>
              <w:bottom w:val="single" w:color="000000" w:sz="6" w:space="0"/>
            </w:tcBorders>
            <w:vAlign w:val="top"/>
          </w:tcPr>
          <w:p w14:paraId="04F0815E">
            <w:pPr>
              <w:rPr>
                <w:rFonts w:ascii="Arial"/>
                <w:sz w:val="21"/>
              </w:rPr>
            </w:pPr>
          </w:p>
        </w:tc>
        <w:tc>
          <w:tcPr>
            <w:tcW w:w="5120" w:type="dxa"/>
            <w:tcBorders>
              <w:bottom w:val="single" w:color="000000" w:sz="6" w:space="0"/>
            </w:tcBorders>
            <w:vAlign w:val="top"/>
          </w:tcPr>
          <w:p w14:paraId="306B6AF7">
            <w:pPr>
              <w:pStyle w:val="6"/>
              <w:spacing w:before="156" w:line="228" w:lineRule="auto"/>
              <w:ind w:left="44"/>
            </w:pPr>
            <w:r>
              <w:rPr>
                <w:spacing w:val="7"/>
              </w:rPr>
              <w:t>禁止违法利用、</w:t>
            </w:r>
            <w:r>
              <w:rPr>
                <w:spacing w:val="-40"/>
              </w:rPr>
              <w:t xml:space="preserve"> </w:t>
            </w:r>
            <w:r>
              <w:rPr>
                <w:spacing w:val="7"/>
              </w:rPr>
              <w:t>占用长江流域河湖岸线。禁止在金沙江</w:t>
            </w:r>
          </w:p>
          <w:p w14:paraId="0D6C3AD2">
            <w:pPr>
              <w:pStyle w:val="6"/>
              <w:spacing w:before="24" w:line="228" w:lineRule="auto"/>
              <w:ind w:left="44"/>
            </w:pPr>
            <w:r>
              <w:rPr>
                <w:spacing w:val="9"/>
              </w:rPr>
              <w:t>岸线保护区和保留区内投资建设除事关公共安全及公众</w:t>
            </w:r>
          </w:p>
          <w:p w14:paraId="087285E6">
            <w:pPr>
              <w:pStyle w:val="6"/>
              <w:spacing w:before="26" w:line="227" w:lineRule="auto"/>
              <w:ind w:left="44"/>
            </w:pPr>
            <w:r>
              <w:rPr>
                <w:spacing w:val="9"/>
              </w:rPr>
              <w:t>利益的防洪护岸、河道治理、供水、生态环境保护、航</w:t>
            </w:r>
          </w:p>
          <w:p w14:paraId="5AB728B0">
            <w:pPr>
              <w:pStyle w:val="6"/>
              <w:spacing w:before="24" w:line="228" w:lineRule="auto"/>
              <w:ind w:left="43"/>
            </w:pPr>
            <w:r>
              <w:rPr>
                <w:spacing w:val="9"/>
              </w:rPr>
              <w:t>道整治、国家重要基础设施以外的项目。禁止在金沙江</w:t>
            </w:r>
          </w:p>
          <w:p w14:paraId="293DD57C">
            <w:pPr>
              <w:pStyle w:val="6"/>
              <w:spacing w:before="27" w:line="227" w:lineRule="auto"/>
              <w:ind w:left="43"/>
            </w:pPr>
            <w:r>
              <w:rPr>
                <w:spacing w:val="9"/>
              </w:rPr>
              <w:t>干流、九大高原湖泊保护区、保留区内投资建设不利于</w:t>
            </w:r>
          </w:p>
          <w:p w14:paraId="2F64B78D">
            <w:pPr>
              <w:pStyle w:val="6"/>
              <w:spacing w:before="25" w:line="228" w:lineRule="auto"/>
              <w:ind w:left="1095"/>
            </w:pPr>
            <w:r>
              <w:rPr>
                <w:spacing w:val="8"/>
              </w:rPr>
              <w:t>水资源及自然生态保护的项目。</w:t>
            </w:r>
          </w:p>
        </w:tc>
        <w:tc>
          <w:tcPr>
            <w:tcW w:w="1642" w:type="dxa"/>
            <w:tcBorders>
              <w:bottom w:val="single" w:color="000000" w:sz="6" w:space="0"/>
            </w:tcBorders>
            <w:vAlign w:val="top"/>
          </w:tcPr>
          <w:p w14:paraId="62B7D9F2">
            <w:pPr>
              <w:pStyle w:val="6"/>
              <w:spacing w:before="156" w:line="228" w:lineRule="auto"/>
              <w:ind w:left="99"/>
            </w:pPr>
            <w:r>
              <w:rPr>
                <w:spacing w:val="8"/>
              </w:rPr>
              <w:t>项目为输变电工</w:t>
            </w:r>
          </w:p>
          <w:p w14:paraId="1D9AFF17">
            <w:pPr>
              <w:pStyle w:val="6"/>
              <w:spacing w:before="24" w:line="228" w:lineRule="auto"/>
              <w:jc w:val="right"/>
            </w:pPr>
            <w:r>
              <w:rPr>
                <w:spacing w:val="2"/>
              </w:rPr>
              <w:t>程，不涉及金沙江</w:t>
            </w:r>
          </w:p>
          <w:p w14:paraId="36BA7974">
            <w:pPr>
              <w:pStyle w:val="6"/>
              <w:spacing w:before="26" w:line="228" w:lineRule="auto"/>
              <w:ind w:left="96"/>
            </w:pPr>
            <w:r>
              <w:rPr>
                <w:spacing w:val="8"/>
              </w:rPr>
              <w:t>岸线保护区和保</w:t>
            </w:r>
          </w:p>
          <w:p w14:paraId="39BB5249">
            <w:pPr>
              <w:pStyle w:val="6"/>
              <w:spacing w:before="24" w:line="228" w:lineRule="auto"/>
              <w:jc w:val="right"/>
            </w:pPr>
            <w:r>
              <w:t>留区，不涉及九大</w:t>
            </w:r>
          </w:p>
          <w:p w14:paraId="7B57F042">
            <w:pPr>
              <w:pStyle w:val="6"/>
              <w:spacing w:before="26" w:line="228" w:lineRule="auto"/>
              <w:ind w:left="101"/>
            </w:pPr>
            <w:r>
              <w:rPr>
                <w:spacing w:val="7"/>
              </w:rPr>
              <w:t>高原湖泊保护区</w:t>
            </w:r>
          </w:p>
          <w:p w14:paraId="6A061A81">
            <w:pPr>
              <w:pStyle w:val="6"/>
              <w:spacing w:before="25" w:line="228" w:lineRule="auto"/>
              <w:ind w:left="411"/>
            </w:pPr>
            <w:r>
              <w:rPr>
                <w:spacing w:val="7"/>
              </w:rPr>
              <w:t>和保留区</w:t>
            </w:r>
          </w:p>
        </w:tc>
        <w:tc>
          <w:tcPr>
            <w:tcW w:w="886" w:type="dxa"/>
            <w:tcBorders>
              <w:bottom w:val="single" w:color="000000" w:sz="6" w:space="0"/>
              <w:right w:val="single" w:color="000000" w:sz="6" w:space="0"/>
            </w:tcBorders>
            <w:vAlign w:val="top"/>
          </w:tcPr>
          <w:p w14:paraId="09D38C4A">
            <w:pPr>
              <w:spacing w:line="256" w:lineRule="auto"/>
              <w:rPr>
                <w:rFonts w:ascii="Arial"/>
                <w:sz w:val="21"/>
              </w:rPr>
            </w:pPr>
          </w:p>
          <w:p w14:paraId="16315DFF">
            <w:pPr>
              <w:spacing w:line="256" w:lineRule="auto"/>
              <w:rPr>
                <w:rFonts w:ascii="Arial"/>
                <w:sz w:val="21"/>
              </w:rPr>
            </w:pPr>
          </w:p>
          <w:p w14:paraId="4F92F7D2">
            <w:pPr>
              <w:spacing w:line="256" w:lineRule="auto"/>
              <w:rPr>
                <w:rFonts w:ascii="Arial"/>
                <w:sz w:val="21"/>
              </w:rPr>
            </w:pPr>
          </w:p>
          <w:p w14:paraId="752EF56B">
            <w:pPr>
              <w:pStyle w:val="6"/>
              <w:spacing w:before="65" w:line="228" w:lineRule="auto"/>
              <w:ind w:left="205"/>
            </w:pPr>
            <w:r>
              <w:rPr>
                <w:spacing w:val="3"/>
              </w:rPr>
              <w:t>符合</w:t>
            </w:r>
          </w:p>
        </w:tc>
      </w:tr>
    </w:tbl>
    <w:p w14:paraId="5C7C20C9">
      <w:pPr>
        <w:rPr>
          <w:rFonts w:ascii="Arial"/>
          <w:sz w:val="21"/>
        </w:rPr>
      </w:pPr>
    </w:p>
    <w:p w14:paraId="13868D3F">
      <w:pPr>
        <w:rPr>
          <w:rFonts w:ascii="Arial" w:hAnsi="Arial" w:eastAsia="Arial" w:cs="Arial"/>
          <w:sz w:val="21"/>
          <w:szCs w:val="21"/>
        </w:rPr>
        <w:sectPr>
          <w:footerReference r:id="rId28" w:type="default"/>
          <w:pgSz w:w="11907" w:h="16840"/>
          <w:pgMar w:top="400" w:right="1786" w:bottom="1240" w:left="1774" w:header="0" w:footer="1077" w:gutter="0"/>
          <w:cols w:space="720" w:num="1"/>
        </w:sectPr>
      </w:pPr>
    </w:p>
    <w:p w14:paraId="4954B1BA">
      <w:pPr>
        <w:spacing w:before="19"/>
      </w:pPr>
    </w:p>
    <w:p w14:paraId="57A3F14F">
      <w:pPr>
        <w:spacing w:before="19"/>
      </w:pPr>
    </w:p>
    <w:p w14:paraId="5573C985">
      <w:pPr>
        <w:spacing w:before="18"/>
      </w:pPr>
    </w:p>
    <w:p w14:paraId="611063C9">
      <w:pPr>
        <w:spacing w:before="18"/>
      </w:pPr>
    </w:p>
    <w:tbl>
      <w:tblPr>
        <w:tblStyle w:val="5"/>
        <w:tblW w:w="813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1"/>
        <w:gridCol w:w="75"/>
        <w:gridCol w:w="5120"/>
        <w:gridCol w:w="1642"/>
        <w:gridCol w:w="886"/>
      </w:tblGrid>
      <w:tr w14:paraId="11C58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4" w:hRule="atLeast"/>
        </w:trPr>
        <w:tc>
          <w:tcPr>
            <w:tcW w:w="411" w:type="dxa"/>
            <w:vMerge w:val="restart"/>
            <w:tcBorders>
              <w:top w:val="single" w:color="000000" w:sz="6" w:space="0"/>
              <w:left w:val="single" w:color="000000" w:sz="6" w:space="0"/>
              <w:bottom w:val="nil"/>
            </w:tcBorders>
            <w:vAlign w:val="top"/>
          </w:tcPr>
          <w:p w14:paraId="0E4A9873">
            <w:pPr>
              <w:rPr>
                <w:rFonts w:ascii="Arial"/>
                <w:sz w:val="21"/>
              </w:rPr>
            </w:pPr>
          </w:p>
        </w:tc>
        <w:tc>
          <w:tcPr>
            <w:tcW w:w="75" w:type="dxa"/>
            <w:tcBorders>
              <w:top w:val="single" w:color="000000" w:sz="6" w:space="0"/>
              <w:bottom w:val="nil"/>
            </w:tcBorders>
            <w:vAlign w:val="top"/>
          </w:tcPr>
          <w:p w14:paraId="7352B853">
            <w:pPr>
              <w:rPr>
                <w:rFonts w:ascii="Arial"/>
                <w:sz w:val="21"/>
              </w:rPr>
            </w:pPr>
          </w:p>
        </w:tc>
        <w:tc>
          <w:tcPr>
            <w:tcW w:w="5120" w:type="dxa"/>
            <w:tcBorders>
              <w:top w:val="single" w:color="000000" w:sz="6" w:space="0"/>
            </w:tcBorders>
            <w:vAlign w:val="top"/>
          </w:tcPr>
          <w:p w14:paraId="73B6F697">
            <w:pPr>
              <w:pStyle w:val="6"/>
              <w:spacing w:before="182" w:line="252" w:lineRule="auto"/>
              <w:ind w:left="6" w:firstLine="36"/>
              <w:jc w:val="both"/>
            </w:pPr>
            <w:r>
              <w:rPr>
                <w:spacing w:val="6"/>
              </w:rPr>
              <w:t>禁止在金沙江干流、长江一级支流建设除党中央、国务</w:t>
            </w:r>
            <w:r>
              <w:rPr>
                <w:spacing w:val="8"/>
              </w:rPr>
              <w:t>院、国家投资主管部门、省级有关部门批复同意以外的过江基础设施项目；禁止未经许可在金沙江干流、长江</w:t>
            </w:r>
            <w:r>
              <w:rPr>
                <w:spacing w:val="4"/>
              </w:rPr>
              <w:t>一级支流、九大高原湖泊流域新设、改设或扩大排污口。</w:t>
            </w:r>
          </w:p>
        </w:tc>
        <w:tc>
          <w:tcPr>
            <w:tcW w:w="1642" w:type="dxa"/>
            <w:tcBorders>
              <w:top w:val="single" w:color="000000" w:sz="6" w:space="0"/>
            </w:tcBorders>
            <w:vAlign w:val="top"/>
          </w:tcPr>
          <w:p w14:paraId="5321D448">
            <w:pPr>
              <w:spacing w:line="251" w:lineRule="auto"/>
              <w:rPr>
                <w:rFonts w:ascii="Arial"/>
                <w:sz w:val="21"/>
              </w:rPr>
            </w:pPr>
          </w:p>
          <w:p w14:paraId="7BB003F5">
            <w:pPr>
              <w:pStyle w:val="6"/>
              <w:spacing w:before="65" w:line="252" w:lineRule="auto"/>
              <w:ind w:left="13" w:firstLine="85"/>
              <w:jc w:val="both"/>
            </w:pPr>
            <w:r>
              <w:rPr>
                <w:spacing w:val="8"/>
              </w:rPr>
              <w:t>项目为输变电工</w:t>
            </w:r>
            <w:r>
              <w:rPr>
                <w:spacing w:val="2"/>
              </w:rPr>
              <w:t>程，不涉及金沙江干流，不设排污口</w:t>
            </w:r>
          </w:p>
        </w:tc>
        <w:tc>
          <w:tcPr>
            <w:tcW w:w="886" w:type="dxa"/>
            <w:tcBorders>
              <w:top w:val="single" w:color="000000" w:sz="6" w:space="0"/>
              <w:right w:val="single" w:color="000000" w:sz="6" w:space="0"/>
            </w:tcBorders>
            <w:vAlign w:val="top"/>
          </w:tcPr>
          <w:p w14:paraId="71E9F7AA">
            <w:pPr>
              <w:spacing w:line="261" w:lineRule="auto"/>
              <w:rPr>
                <w:rFonts w:ascii="Arial"/>
                <w:sz w:val="21"/>
              </w:rPr>
            </w:pPr>
          </w:p>
          <w:p w14:paraId="616E3717">
            <w:pPr>
              <w:spacing w:line="261" w:lineRule="auto"/>
              <w:rPr>
                <w:rFonts w:ascii="Arial"/>
                <w:sz w:val="21"/>
              </w:rPr>
            </w:pPr>
          </w:p>
          <w:p w14:paraId="470A85EB">
            <w:pPr>
              <w:pStyle w:val="6"/>
              <w:spacing w:before="65" w:line="228" w:lineRule="auto"/>
              <w:ind w:left="205"/>
            </w:pPr>
            <w:r>
              <w:rPr>
                <w:spacing w:val="3"/>
              </w:rPr>
              <w:t>符合</w:t>
            </w:r>
          </w:p>
        </w:tc>
      </w:tr>
      <w:tr w14:paraId="45F325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411" w:type="dxa"/>
            <w:vMerge w:val="continue"/>
            <w:tcBorders>
              <w:top w:val="nil"/>
              <w:left w:val="single" w:color="000000" w:sz="6" w:space="0"/>
              <w:bottom w:val="nil"/>
            </w:tcBorders>
            <w:vAlign w:val="top"/>
          </w:tcPr>
          <w:p w14:paraId="7791EED1">
            <w:pPr>
              <w:rPr>
                <w:rFonts w:ascii="Arial"/>
                <w:sz w:val="21"/>
              </w:rPr>
            </w:pPr>
          </w:p>
        </w:tc>
        <w:tc>
          <w:tcPr>
            <w:tcW w:w="75" w:type="dxa"/>
            <w:tcBorders>
              <w:top w:val="nil"/>
              <w:bottom w:val="nil"/>
            </w:tcBorders>
            <w:vAlign w:val="top"/>
          </w:tcPr>
          <w:p w14:paraId="12186A1F">
            <w:pPr>
              <w:rPr>
                <w:rFonts w:ascii="Arial"/>
                <w:sz w:val="21"/>
              </w:rPr>
            </w:pPr>
          </w:p>
        </w:tc>
        <w:tc>
          <w:tcPr>
            <w:tcW w:w="5120" w:type="dxa"/>
            <w:vAlign w:val="top"/>
          </w:tcPr>
          <w:p w14:paraId="7F619EC9">
            <w:pPr>
              <w:pStyle w:val="6"/>
              <w:spacing w:before="160" w:line="254" w:lineRule="auto"/>
              <w:ind w:left="253" w:right="41" w:hanging="209"/>
            </w:pPr>
            <w:r>
              <w:rPr>
                <w:spacing w:val="9"/>
              </w:rPr>
              <w:t>禁止在金沙江干流、长江一级支流、水生生物保护区和长江流域禁捕水域开展天然渔业资源生产性捕捞。</w:t>
            </w:r>
          </w:p>
        </w:tc>
        <w:tc>
          <w:tcPr>
            <w:tcW w:w="1642" w:type="dxa"/>
            <w:vAlign w:val="top"/>
          </w:tcPr>
          <w:p w14:paraId="5AF9E8C7">
            <w:pPr>
              <w:pStyle w:val="6"/>
              <w:spacing w:before="160" w:line="254" w:lineRule="auto"/>
              <w:ind w:left="104" w:right="80" w:hanging="5"/>
            </w:pPr>
            <w:r>
              <w:rPr>
                <w:spacing w:val="8"/>
              </w:rPr>
              <w:t>项目不涉及渔业</w:t>
            </w:r>
            <w:r>
              <w:rPr>
                <w:spacing w:val="7"/>
              </w:rPr>
              <w:t>资源生产性捕捞</w:t>
            </w:r>
          </w:p>
        </w:tc>
        <w:tc>
          <w:tcPr>
            <w:tcW w:w="886" w:type="dxa"/>
            <w:tcBorders>
              <w:right w:val="single" w:color="000000" w:sz="6" w:space="0"/>
            </w:tcBorders>
            <w:vAlign w:val="top"/>
          </w:tcPr>
          <w:p w14:paraId="4D9B0323">
            <w:pPr>
              <w:pStyle w:val="6"/>
              <w:spacing w:before="297" w:line="228" w:lineRule="auto"/>
              <w:ind w:left="205"/>
            </w:pPr>
            <w:r>
              <w:rPr>
                <w:spacing w:val="3"/>
              </w:rPr>
              <w:t>符合</w:t>
            </w:r>
          </w:p>
        </w:tc>
      </w:tr>
      <w:tr w14:paraId="52AC0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9" w:hRule="atLeast"/>
        </w:trPr>
        <w:tc>
          <w:tcPr>
            <w:tcW w:w="411" w:type="dxa"/>
            <w:vMerge w:val="continue"/>
            <w:tcBorders>
              <w:top w:val="nil"/>
              <w:left w:val="single" w:color="000000" w:sz="6" w:space="0"/>
              <w:bottom w:val="nil"/>
            </w:tcBorders>
            <w:vAlign w:val="top"/>
          </w:tcPr>
          <w:p w14:paraId="25216B30">
            <w:pPr>
              <w:rPr>
                <w:rFonts w:ascii="Arial"/>
                <w:sz w:val="21"/>
              </w:rPr>
            </w:pPr>
          </w:p>
        </w:tc>
        <w:tc>
          <w:tcPr>
            <w:tcW w:w="75" w:type="dxa"/>
            <w:tcBorders>
              <w:top w:val="nil"/>
              <w:bottom w:val="nil"/>
            </w:tcBorders>
            <w:vAlign w:val="top"/>
          </w:tcPr>
          <w:p w14:paraId="2AD4454B">
            <w:pPr>
              <w:rPr>
                <w:rFonts w:ascii="Arial"/>
                <w:sz w:val="21"/>
              </w:rPr>
            </w:pPr>
          </w:p>
        </w:tc>
        <w:tc>
          <w:tcPr>
            <w:tcW w:w="5120" w:type="dxa"/>
            <w:vAlign w:val="top"/>
          </w:tcPr>
          <w:p w14:paraId="2B2FD39D">
            <w:pPr>
              <w:pStyle w:val="6"/>
              <w:spacing w:before="154" w:line="251" w:lineRule="auto"/>
              <w:ind w:left="4" w:firstLine="39"/>
              <w:jc w:val="both"/>
            </w:pPr>
            <w:r>
              <w:rPr>
                <w:spacing w:val="6"/>
              </w:rPr>
              <w:t>禁止在金沙江干流，长江一级支流和九大高原湖泊岸线</w:t>
            </w:r>
            <w:r>
              <w:rPr>
                <w:spacing w:val="8"/>
              </w:rPr>
              <w:t>一公里范围内新建、扩建化工园区和化工项目。禁止在金沙江干流岸线三公里范围内和长江一级支流岸线一公里范围内新建、改建、扩建尾矿库、冶炼渣库和磷石膏</w:t>
            </w:r>
            <w:r>
              <w:rPr>
                <w:spacing w:val="4"/>
              </w:rPr>
              <w:t>库，以提升安全、生态环境保护水平为目的的改建除外。</w:t>
            </w:r>
          </w:p>
        </w:tc>
        <w:tc>
          <w:tcPr>
            <w:tcW w:w="1642" w:type="dxa"/>
            <w:vAlign w:val="top"/>
          </w:tcPr>
          <w:p w14:paraId="7D5D1DB5">
            <w:pPr>
              <w:spacing w:line="355" w:lineRule="auto"/>
              <w:rPr>
                <w:rFonts w:ascii="Arial"/>
                <w:sz w:val="21"/>
              </w:rPr>
            </w:pPr>
          </w:p>
          <w:p w14:paraId="0213E1B1">
            <w:pPr>
              <w:pStyle w:val="6"/>
              <w:spacing w:before="65" w:line="228" w:lineRule="auto"/>
              <w:ind w:left="99"/>
            </w:pPr>
            <w:r>
              <w:rPr>
                <w:spacing w:val="8"/>
              </w:rPr>
              <w:t>项目为输变电工</w:t>
            </w:r>
          </w:p>
          <w:p w14:paraId="21FBEE9C">
            <w:pPr>
              <w:pStyle w:val="6"/>
              <w:spacing w:before="24" w:line="228" w:lineRule="auto"/>
              <w:jc w:val="right"/>
            </w:pPr>
            <w:r>
              <w:rPr>
                <w:spacing w:val="2"/>
              </w:rPr>
              <w:t>程，不属于所列项</w:t>
            </w:r>
          </w:p>
          <w:p w14:paraId="26AAD999">
            <w:pPr>
              <w:pStyle w:val="6"/>
              <w:spacing w:before="25" w:line="231" w:lineRule="auto"/>
              <w:ind w:left="764"/>
            </w:pPr>
            <w:r>
              <w:t>目</w:t>
            </w:r>
          </w:p>
        </w:tc>
        <w:tc>
          <w:tcPr>
            <w:tcW w:w="886" w:type="dxa"/>
            <w:tcBorders>
              <w:right w:val="single" w:color="000000" w:sz="6" w:space="0"/>
            </w:tcBorders>
            <w:vAlign w:val="top"/>
          </w:tcPr>
          <w:p w14:paraId="7C07BE0E">
            <w:pPr>
              <w:spacing w:line="312" w:lineRule="auto"/>
              <w:rPr>
                <w:rFonts w:ascii="Arial"/>
                <w:sz w:val="21"/>
              </w:rPr>
            </w:pPr>
          </w:p>
          <w:p w14:paraId="4454E34A">
            <w:pPr>
              <w:spacing w:line="313" w:lineRule="auto"/>
              <w:rPr>
                <w:rFonts w:ascii="Arial"/>
                <w:sz w:val="21"/>
              </w:rPr>
            </w:pPr>
          </w:p>
          <w:p w14:paraId="461CD12C">
            <w:pPr>
              <w:pStyle w:val="6"/>
              <w:spacing w:before="65" w:line="228" w:lineRule="auto"/>
              <w:ind w:left="205"/>
            </w:pPr>
            <w:r>
              <w:rPr>
                <w:spacing w:val="3"/>
              </w:rPr>
              <w:t>符合</w:t>
            </w:r>
          </w:p>
        </w:tc>
      </w:tr>
      <w:tr w14:paraId="6FD45C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6" w:hRule="atLeast"/>
        </w:trPr>
        <w:tc>
          <w:tcPr>
            <w:tcW w:w="411" w:type="dxa"/>
            <w:vMerge w:val="continue"/>
            <w:tcBorders>
              <w:top w:val="nil"/>
              <w:left w:val="single" w:color="000000" w:sz="6" w:space="0"/>
              <w:bottom w:val="nil"/>
            </w:tcBorders>
            <w:vAlign w:val="top"/>
          </w:tcPr>
          <w:p w14:paraId="66A17370">
            <w:pPr>
              <w:rPr>
                <w:rFonts w:ascii="Arial"/>
                <w:sz w:val="21"/>
              </w:rPr>
            </w:pPr>
          </w:p>
        </w:tc>
        <w:tc>
          <w:tcPr>
            <w:tcW w:w="75" w:type="dxa"/>
            <w:tcBorders>
              <w:top w:val="nil"/>
              <w:bottom w:val="nil"/>
            </w:tcBorders>
            <w:vAlign w:val="top"/>
          </w:tcPr>
          <w:p w14:paraId="0F39BA71">
            <w:pPr>
              <w:rPr>
                <w:rFonts w:ascii="Arial"/>
                <w:sz w:val="21"/>
              </w:rPr>
            </w:pPr>
          </w:p>
        </w:tc>
        <w:tc>
          <w:tcPr>
            <w:tcW w:w="5120" w:type="dxa"/>
            <w:vAlign w:val="top"/>
          </w:tcPr>
          <w:p w14:paraId="3E6B82DD">
            <w:pPr>
              <w:pStyle w:val="6"/>
              <w:spacing w:before="239" w:line="228" w:lineRule="auto"/>
              <w:jc w:val="right"/>
            </w:pPr>
            <w:r>
              <w:rPr>
                <w:spacing w:val="4"/>
              </w:rPr>
              <w:t>禁止在合规园区外新建、扩建钢铁、石化、化工、焦化、</w:t>
            </w:r>
          </w:p>
          <w:p w14:paraId="680D64D1">
            <w:pPr>
              <w:pStyle w:val="6"/>
              <w:spacing w:before="24" w:line="227" w:lineRule="auto"/>
              <w:ind w:left="466"/>
            </w:pPr>
            <w:r>
              <w:rPr>
                <w:spacing w:val="8"/>
              </w:rPr>
              <w:t>建材、有色、制浆造纸行业中的高污染项目。</w:t>
            </w:r>
          </w:p>
        </w:tc>
        <w:tc>
          <w:tcPr>
            <w:tcW w:w="1642" w:type="dxa"/>
            <w:vAlign w:val="top"/>
          </w:tcPr>
          <w:p w14:paraId="501E8F34">
            <w:pPr>
              <w:pStyle w:val="6"/>
              <w:spacing w:before="103" w:line="228" w:lineRule="auto"/>
              <w:ind w:left="99"/>
            </w:pPr>
            <w:r>
              <w:rPr>
                <w:spacing w:val="8"/>
              </w:rPr>
              <w:t>项目为输变电工</w:t>
            </w:r>
          </w:p>
          <w:p w14:paraId="4D031A79">
            <w:pPr>
              <w:pStyle w:val="6"/>
              <w:spacing w:before="24" w:line="228" w:lineRule="auto"/>
              <w:jc w:val="right"/>
            </w:pPr>
            <w:r>
              <w:rPr>
                <w:spacing w:val="2"/>
              </w:rPr>
              <w:t>程，不属于高污染</w:t>
            </w:r>
          </w:p>
          <w:p w14:paraId="129E42B8">
            <w:pPr>
              <w:pStyle w:val="6"/>
              <w:spacing w:before="27" w:line="228" w:lineRule="auto"/>
              <w:ind w:left="625"/>
            </w:pPr>
            <w:r>
              <w:rPr>
                <w:spacing w:val="3"/>
              </w:rPr>
              <w:t>项目</w:t>
            </w:r>
          </w:p>
        </w:tc>
        <w:tc>
          <w:tcPr>
            <w:tcW w:w="886" w:type="dxa"/>
            <w:tcBorders>
              <w:right w:val="single" w:color="000000" w:sz="6" w:space="0"/>
            </w:tcBorders>
            <w:vAlign w:val="top"/>
          </w:tcPr>
          <w:p w14:paraId="607FF38B">
            <w:pPr>
              <w:spacing w:line="307" w:lineRule="auto"/>
              <w:rPr>
                <w:rFonts w:ascii="Arial"/>
                <w:sz w:val="21"/>
              </w:rPr>
            </w:pPr>
          </w:p>
          <w:p w14:paraId="01D14CAE">
            <w:pPr>
              <w:pStyle w:val="6"/>
              <w:spacing w:before="65" w:line="228" w:lineRule="auto"/>
              <w:ind w:left="205"/>
            </w:pPr>
            <w:r>
              <w:rPr>
                <w:spacing w:val="3"/>
              </w:rPr>
              <w:t>符合</w:t>
            </w:r>
          </w:p>
        </w:tc>
      </w:tr>
      <w:tr w14:paraId="2929F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4" w:hRule="atLeast"/>
        </w:trPr>
        <w:tc>
          <w:tcPr>
            <w:tcW w:w="411" w:type="dxa"/>
            <w:vMerge w:val="continue"/>
            <w:tcBorders>
              <w:top w:val="nil"/>
              <w:left w:val="single" w:color="000000" w:sz="6" w:space="0"/>
              <w:bottom w:val="nil"/>
            </w:tcBorders>
            <w:vAlign w:val="top"/>
          </w:tcPr>
          <w:p w14:paraId="77396D0C">
            <w:pPr>
              <w:rPr>
                <w:rFonts w:ascii="Arial"/>
                <w:sz w:val="21"/>
              </w:rPr>
            </w:pPr>
          </w:p>
        </w:tc>
        <w:tc>
          <w:tcPr>
            <w:tcW w:w="75" w:type="dxa"/>
            <w:tcBorders>
              <w:top w:val="nil"/>
              <w:bottom w:val="nil"/>
            </w:tcBorders>
            <w:vAlign w:val="top"/>
          </w:tcPr>
          <w:p w14:paraId="47CEA78A">
            <w:pPr>
              <w:rPr>
                <w:rFonts w:ascii="Arial"/>
                <w:sz w:val="21"/>
              </w:rPr>
            </w:pPr>
          </w:p>
        </w:tc>
        <w:tc>
          <w:tcPr>
            <w:tcW w:w="5120" w:type="dxa"/>
            <w:vAlign w:val="top"/>
          </w:tcPr>
          <w:p w14:paraId="3FDA04D0">
            <w:pPr>
              <w:pStyle w:val="6"/>
              <w:spacing w:before="157" w:line="227" w:lineRule="auto"/>
              <w:ind w:left="44"/>
            </w:pPr>
            <w:r>
              <w:rPr>
                <w:spacing w:val="9"/>
              </w:rPr>
              <w:t>禁止新建、扩建不符合国家石化、现代煤化工等产业布</w:t>
            </w:r>
          </w:p>
          <w:p w14:paraId="6596963A">
            <w:pPr>
              <w:pStyle w:val="6"/>
              <w:spacing w:before="25" w:line="228" w:lineRule="auto"/>
              <w:ind w:left="46"/>
            </w:pPr>
            <w:r>
              <w:rPr>
                <w:spacing w:val="9"/>
              </w:rPr>
              <w:t>局规划的项目。禁止列入《云南省城镇人口密集区危险</w:t>
            </w:r>
          </w:p>
          <w:p w14:paraId="0DC078F4">
            <w:pPr>
              <w:pStyle w:val="6"/>
              <w:spacing w:before="26" w:line="228" w:lineRule="auto"/>
              <w:ind w:left="44"/>
            </w:pPr>
            <w:r>
              <w:rPr>
                <w:spacing w:val="9"/>
              </w:rPr>
              <w:t>化学品生产企业搬迁改造名单》的搬迁改造企业在原址</w:t>
            </w:r>
          </w:p>
          <w:p w14:paraId="03652D7A">
            <w:pPr>
              <w:pStyle w:val="6"/>
              <w:spacing w:before="24" w:line="228" w:lineRule="auto"/>
              <w:ind w:left="990"/>
            </w:pPr>
            <w:r>
              <w:rPr>
                <w:spacing w:val="8"/>
              </w:rPr>
              <w:t>新建、扩建危险化学品生产项目。</w:t>
            </w:r>
          </w:p>
        </w:tc>
        <w:tc>
          <w:tcPr>
            <w:tcW w:w="1642" w:type="dxa"/>
            <w:vAlign w:val="top"/>
          </w:tcPr>
          <w:p w14:paraId="05B9532C">
            <w:pPr>
              <w:pStyle w:val="6"/>
              <w:spacing w:before="294" w:line="228" w:lineRule="auto"/>
              <w:ind w:left="99"/>
            </w:pPr>
            <w:r>
              <w:rPr>
                <w:spacing w:val="8"/>
              </w:rPr>
              <w:t>项目为输变电工</w:t>
            </w:r>
          </w:p>
          <w:p w14:paraId="1A0CBEE9">
            <w:pPr>
              <w:pStyle w:val="6"/>
              <w:spacing w:before="24" w:line="228" w:lineRule="auto"/>
              <w:jc w:val="right"/>
            </w:pPr>
            <w:r>
              <w:rPr>
                <w:spacing w:val="2"/>
              </w:rPr>
              <w:t>程，不属于该条款</w:t>
            </w:r>
          </w:p>
          <w:p w14:paraId="5E00EBD7">
            <w:pPr>
              <w:pStyle w:val="6"/>
              <w:spacing w:before="25" w:line="228" w:lineRule="auto"/>
              <w:ind w:left="304"/>
            </w:pPr>
            <w:r>
              <w:rPr>
                <w:spacing w:val="8"/>
              </w:rPr>
              <w:t>所列的项目</w:t>
            </w:r>
          </w:p>
        </w:tc>
        <w:tc>
          <w:tcPr>
            <w:tcW w:w="886" w:type="dxa"/>
            <w:tcBorders>
              <w:right w:val="single" w:color="000000" w:sz="6" w:space="0"/>
            </w:tcBorders>
            <w:vAlign w:val="top"/>
          </w:tcPr>
          <w:p w14:paraId="7B14F091">
            <w:pPr>
              <w:spacing w:line="248" w:lineRule="auto"/>
              <w:rPr>
                <w:rFonts w:ascii="Arial"/>
                <w:sz w:val="21"/>
              </w:rPr>
            </w:pPr>
          </w:p>
          <w:p w14:paraId="57DE2E4D">
            <w:pPr>
              <w:spacing w:line="249" w:lineRule="auto"/>
              <w:rPr>
                <w:rFonts w:ascii="Arial"/>
                <w:sz w:val="21"/>
              </w:rPr>
            </w:pPr>
          </w:p>
          <w:p w14:paraId="7FEEA4B6">
            <w:pPr>
              <w:pStyle w:val="6"/>
              <w:spacing w:before="65" w:line="228" w:lineRule="auto"/>
              <w:ind w:left="205"/>
            </w:pPr>
            <w:r>
              <w:rPr>
                <w:spacing w:val="3"/>
              </w:rPr>
              <w:t>符合</w:t>
            </w:r>
          </w:p>
        </w:tc>
      </w:tr>
      <w:tr w14:paraId="39951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5" w:hRule="atLeast"/>
        </w:trPr>
        <w:tc>
          <w:tcPr>
            <w:tcW w:w="411" w:type="dxa"/>
            <w:vMerge w:val="continue"/>
            <w:tcBorders>
              <w:top w:val="nil"/>
              <w:left w:val="single" w:color="000000" w:sz="6" w:space="0"/>
              <w:bottom w:val="nil"/>
            </w:tcBorders>
            <w:vAlign w:val="top"/>
          </w:tcPr>
          <w:p w14:paraId="02550DE0">
            <w:pPr>
              <w:rPr>
                <w:rFonts w:ascii="Arial"/>
                <w:sz w:val="21"/>
              </w:rPr>
            </w:pPr>
          </w:p>
        </w:tc>
        <w:tc>
          <w:tcPr>
            <w:tcW w:w="75" w:type="dxa"/>
            <w:tcBorders>
              <w:top w:val="nil"/>
              <w:bottom w:val="nil"/>
            </w:tcBorders>
            <w:vAlign w:val="top"/>
          </w:tcPr>
          <w:p w14:paraId="7B3989BF">
            <w:pPr>
              <w:rPr>
                <w:rFonts w:ascii="Arial"/>
                <w:sz w:val="21"/>
              </w:rPr>
            </w:pPr>
          </w:p>
        </w:tc>
        <w:tc>
          <w:tcPr>
            <w:tcW w:w="5120" w:type="dxa"/>
            <w:vAlign w:val="top"/>
          </w:tcPr>
          <w:p w14:paraId="515F2EC8">
            <w:pPr>
              <w:pStyle w:val="6"/>
              <w:spacing w:before="183" w:line="252" w:lineRule="auto"/>
              <w:ind w:left="43" w:right="41"/>
            </w:pPr>
            <w:r>
              <w:rPr>
                <w:spacing w:val="9"/>
              </w:rPr>
              <w:t>禁止新建、扩建法律法规和相关政策明令禁止的落后产能项目，依法依规关停退出能耗、环保、质量、安全不达标产能和技术落后产能。禁止新建、扩建不符合国家产能置换要求的过剩产能行业的项目。禁止新建、扩建不符合要求的高耗能、高排放项目，推动退出重点高耗</w:t>
            </w:r>
            <w:r>
              <w:rPr>
                <w:spacing w:val="8"/>
              </w:rPr>
              <w:t>能行业</w:t>
            </w:r>
            <w:r>
              <w:rPr>
                <w:rFonts w:ascii="Times New Roman" w:hAnsi="Times New Roman" w:eastAsia="Times New Roman" w:cs="Times New Roman"/>
                <w:spacing w:val="8"/>
              </w:rPr>
              <w:t>“</w:t>
            </w:r>
            <w:r>
              <w:rPr>
                <w:rFonts w:ascii="Times New Roman" w:hAnsi="Times New Roman" w:eastAsia="Times New Roman" w:cs="Times New Roman"/>
                <w:spacing w:val="-11"/>
              </w:rPr>
              <w:t xml:space="preserve"> </w:t>
            </w:r>
            <w:r>
              <w:rPr>
                <w:spacing w:val="8"/>
              </w:rPr>
              <w:t>限制类</w:t>
            </w:r>
            <w:r>
              <w:rPr>
                <w:rFonts w:ascii="Times New Roman" w:hAnsi="Times New Roman" w:eastAsia="Times New Roman" w:cs="Times New Roman"/>
                <w:spacing w:val="8"/>
              </w:rPr>
              <w:t>”</w:t>
            </w:r>
            <w:r>
              <w:rPr>
                <w:spacing w:val="8"/>
              </w:rPr>
              <w:t>产能。禁止建设高毒高残留以及对环境</w:t>
            </w:r>
            <w:r>
              <w:rPr>
                <w:spacing w:val="9"/>
              </w:rPr>
              <w:t>影响大的农药原药生产装置，严控尿素、磷铵、电石、焦炭、黄磷、烧碱、纯碱、聚氯乙烯等行业新增产能。</w:t>
            </w:r>
          </w:p>
        </w:tc>
        <w:tc>
          <w:tcPr>
            <w:tcW w:w="1642" w:type="dxa"/>
            <w:vAlign w:val="top"/>
          </w:tcPr>
          <w:p w14:paraId="3432D749">
            <w:pPr>
              <w:spacing w:line="329" w:lineRule="auto"/>
              <w:rPr>
                <w:rFonts w:ascii="Arial"/>
                <w:sz w:val="21"/>
              </w:rPr>
            </w:pPr>
          </w:p>
          <w:p w14:paraId="0E674350">
            <w:pPr>
              <w:spacing w:line="330" w:lineRule="auto"/>
              <w:rPr>
                <w:rFonts w:ascii="Arial"/>
                <w:sz w:val="21"/>
              </w:rPr>
            </w:pPr>
          </w:p>
          <w:p w14:paraId="79F1C38C">
            <w:pPr>
              <w:pStyle w:val="6"/>
              <w:spacing w:before="65" w:line="228" w:lineRule="auto"/>
              <w:jc w:val="right"/>
            </w:pPr>
            <w:r>
              <w:rPr>
                <w:spacing w:val="2"/>
              </w:rPr>
              <w:t>对照《产业结构调</w:t>
            </w:r>
          </w:p>
          <w:p w14:paraId="2462B6F7">
            <w:pPr>
              <w:pStyle w:val="6"/>
              <w:spacing w:before="24" w:line="229" w:lineRule="auto"/>
              <w:ind w:left="202"/>
            </w:pPr>
            <w:r>
              <w:rPr>
                <w:spacing w:val="6"/>
              </w:rPr>
              <w:t>整指导目录》</w:t>
            </w:r>
          </w:p>
          <w:p w14:paraId="49E9912E">
            <w:pPr>
              <w:pStyle w:val="6"/>
              <w:spacing w:before="25" w:line="227" w:lineRule="auto"/>
              <w:jc w:val="right"/>
            </w:pPr>
            <w:r>
              <w:rPr>
                <w:spacing w:val="3"/>
              </w:rPr>
              <w:t>（</w:t>
            </w:r>
            <w:r>
              <w:rPr>
                <w:rFonts w:ascii="Times New Roman" w:hAnsi="Times New Roman" w:eastAsia="Times New Roman" w:cs="Times New Roman"/>
                <w:spacing w:val="3"/>
              </w:rPr>
              <w:t xml:space="preserve">2024 </w:t>
            </w:r>
            <w:r>
              <w:rPr>
                <w:spacing w:val="3"/>
              </w:rPr>
              <w:t>年本</w:t>
            </w:r>
            <w:r>
              <w:rPr>
                <w:spacing w:val="-33"/>
              </w:rPr>
              <w:t>），</w:t>
            </w:r>
            <w:r>
              <w:rPr>
                <w:spacing w:val="3"/>
              </w:rPr>
              <w:t>本</w:t>
            </w:r>
          </w:p>
          <w:p w14:paraId="1F5E8403">
            <w:pPr>
              <w:pStyle w:val="6"/>
              <w:spacing w:before="27" w:line="228" w:lineRule="auto"/>
              <w:ind w:left="99"/>
            </w:pPr>
            <w:r>
              <w:rPr>
                <w:spacing w:val="8"/>
              </w:rPr>
              <w:t>项目属于鼓励类</w:t>
            </w:r>
          </w:p>
        </w:tc>
        <w:tc>
          <w:tcPr>
            <w:tcW w:w="886" w:type="dxa"/>
            <w:tcBorders>
              <w:right w:val="single" w:color="000000" w:sz="6" w:space="0"/>
            </w:tcBorders>
            <w:vAlign w:val="top"/>
          </w:tcPr>
          <w:p w14:paraId="11D28BF1">
            <w:pPr>
              <w:spacing w:line="266" w:lineRule="auto"/>
              <w:rPr>
                <w:rFonts w:ascii="Arial"/>
                <w:sz w:val="21"/>
              </w:rPr>
            </w:pPr>
          </w:p>
          <w:p w14:paraId="396B94FC">
            <w:pPr>
              <w:spacing w:line="267" w:lineRule="auto"/>
              <w:rPr>
                <w:rFonts w:ascii="Arial"/>
                <w:sz w:val="21"/>
              </w:rPr>
            </w:pPr>
          </w:p>
          <w:p w14:paraId="1E5DCB30">
            <w:pPr>
              <w:spacing w:line="267" w:lineRule="auto"/>
              <w:rPr>
                <w:rFonts w:ascii="Arial"/>
                <w:sz w:val="21"/>
              </w:rPr>
            </w:pPr>
          </w:p>
          <w:p w14:paraId="315EACAC">
            <w:pPr>
              <w:spacing w:line="267" w:lineRule="auto"/>
              <w:rPr>
                <w:rFonts w:ascii="Arial"/>
                <w:sz w:val="21"/>
              </w:rPr>
            </w:pPr>
          </w:p>
          <w:p w14:paraId="430E370C">
            <w:pPr>
              <w:pStyle w:val="6"/>
              <w:spacing w:before="65" w:line="228" w:lineRule="auto"/>
              <w:ind w:left="205"/>
            </w:pPr>
            <w:r>
              <w:rPr>
                <w:spacing w:val="3"/>
              </w:rPr>
              <w:t>符合</w:t>
            </w:r>
          </w:p>
        </w:tc>
      </w:tr>
      <w:tr w14:paraId="558DE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5" w:hRule="atLeast"/>
        </w:trPr>
        <w:tc>
          <w:tcPr>
            <w:tcW w:w="411" w:type="dxa"/>
            <w:vMerge w:val="continue"/>
            <w:tcBorders>
              <w:top w:val="nil"/>
              <w:left w:val="single" w:color="000000" w:sz="6" w:space="0"/>
              <w:bottom w:val="single" w:color="000000" w:sz="6" w:space="0"/>
            </w:tcBorders>
            <w:vAlign w:val="top"/>
          </w:tcPr>
          <w:p w14:paraId="0F0FB72E">
            <w:pPr>
              <w:rPr>
                <w:rFonts w:ascii="Arial"/>
                <w:sz w:val="21"/>
              </w:rPr>
            </w:pPr>
          </w:p>
        </w:tc>
        <w:tc>
          <w:tcPr>
            <w:tcW w:w="7723" w:type="dxa"/>
            <w:gridSpan w:val="4"/>
            <w:tcBorders>
              <w:bottom w:val="single" w:color="000000" w:sz="6" w:space="0"/>
              <w:right w:val="single" w:color="000000" w:sz="6" w:space="0"/>
            </w:tcBorders>
            <w:vAlign w:val="top"/>
          </w:tcPr>
          <w:p w14:paraId="398C7A11">
            <w:pPr>
              <w:pStyle w:val="6"/>
              <w:spacing w:before="166" w:line="219" w:lineRule="auto"/>
              <w:ind w:left="616"/>
              <w:rPr>
                <w:sz w:val="24"/>
                <w:szCs w:val="24"/>
              </w:rPr>
            </w:pPr>
            <w:r>
              <w:rPr>
                <w:spacing w:val="-2"/>
                <w:sz w:val="24"/>
                <w:szCs w:val="24"/>
              </w:rPr>
              <w:t>项目的建设符合“云发改基础〔</w:t>
            </w:r>
            <w:r>
              <w:rPr>
                <w:rFonts w:ascii="Times New Roman" w:hAnsi="Times New Roman" w:eastAsia="Times New Roman" w:cs="Times New Roman"/>
                <w:spacing w:val="-2"/>
                <w:sz w:val="24"/>
                <w:szCs w:val="24"/>
              </w:rPr>
              <w:t>2022</w:t>
            </w:r>
            <w:r>
              <w:rPr>
                <w:spacing w:val="-2"/>
                <w:sz w:val="24"/>
                <w:szCs w:val="24"/>
              </w:rPr>
              <w:t>〕</w:t>
            </w:r>
            <w:r>
              <w:rPr>
                <w:rFonts w:ascii="Times New Roman" w:hAnsi="Times New Roman" w:eastAsia="Times New Roman" w:cs="Times New Roman"/>
                <w:spacing w:val="-2"/>
                <w:sz w:val="24"/>
                <w:szCs w:val="24"/>
              </w:rPr>
              <w:t>894</w:t>
            </w:r>
            <w:r>
              <w:rPr>
                <w:rFonts w:ascii="Times New Roman" w:hAnsi="Times New Roman" w:eastAsia="Times New Roman" w:cs="Times New Roman"/>
                <w:spacing w:val="15"/>
                <w:w w:val="101"/>
                <w:sz w:val="24"/>
                <w:szCs w:val="24"/>
              </w:rPr>
              <w:t xml:space="preserve"> </w:t>
            </w:r>
            <w:r>
              <w:rPr>
                <w:spacing w:val="-2"/>
                <w:sz w:val="24"/>
                <w:szCs w:val="24"/>
              </w:rPr>
              <w:t>号</w:t>
            </w:r>
            <w:r>
              <w:rPr>
                <w:spacing w:val="-88"/>
                <w:sz w:val="24"/>
                <w:szCs w:val="24"/>
              </w:rPr>
              <w:t xml:space="preserve"> </w:t>
            </w:r>
            <w:r>
              <w:rPr>
                <w:spacing w:val="-2"/>
                <w:sz w:val="24"/>
                <w:szCs w:val="24"/>
              </w:rPr>
              <w:t>”相</w:t>
            </w:r>
            <w:r>
              <w:rPr>
                <w:spacing w:val="-3"/>
                <w:sz w:val="24"/>
                <w:szCs w:val="24"/>
              </w:rPr>
              <w:t>关要求。</w:t>
            </w:r>
          </w:p>
          <w:p w14:paraId="0BC7A540">
            <w:pPr>
              <w:pStyle w:val="6"/>
              <w:spacing w:before="166" w:line="219" w:lineRule="auto"/>
              <w:ind w:left="21"/>
              <w:rPr>
                <w:sz w:val="24"/>
                <w:szCs w:val="24"/>
              </w:rPr>
            </w:pPr>
            <w:r>
              <w:rPr>
                <w:rFonts w:ascii="Times New Roman" w:hAnsi="Times New Roman" w:eastAsia="Times New Roman" w:cs="Times New Roman"/>
                <w:b/>
                <w:bCs/>
                <w:spacing w:val="-2"/>
                <w:sz w:val="24"/>
                <w:szCs w:val="24"/>
              </w:rPr>
              <w:t>11</w:t>
            </w:r>
            <w:r>
              <w:rPr>
                <w:rFonts w:ascii="Times New Roman" w:hAnsi="Times New Roman" w:eastAsia="Times New Roman" w:cs="Times New Roman"/>
                <w:b/>
                <w:bCs/>
                <w:spacing w:val="-34"/>
                <w:sz w:val="24"/>
                <w:szCs w:val="24"/>
              </w:rPr>
              <w:t xml:space="preserve"> </w:t>
            </w:r>
            <w:r>
              <w:rPr>
                <w:b/>
                <w:bCs/>
                <w:spacing w:val="-2"/>
                <w:sz w:val="24"/>
                <w:szCs w:val="24"/>
              </w:rPr>
              <w:t>、与《陆良县国土空间总体规划（</w:t>
            </w:r>
            <w:r>
              <w:rPr>
                <w:rFonts w:ascii="Times New Roman" w:hAnsi="Times New Roman" w:eastAsia="Times New Roman" w:cs="Times New Roman"/>
                <w:b/>
                <w:bCs/>
                <w:spacing w:val="-2"/>
                <w:sz w:val="24"/>
                <w:szCs w:val="24"/>
              </w:rPr>
              <w:t>2021-203</w:t>
            </w:r>
            <w:r>
              <w:rPr>
                <w:rFonts w:ascii="Times New Roman" w:hAnsi="Times New Roman" w:eastAsia="Times New Roman" w:cs="Times New Roman"/>
                <w:b/>
                <w:bCs/>
                <w:spacing w:val="-3"/>
                <w:sz w:val="24"/>
                <w:szCs w:val="24"/>
              </w:rPr>
              <w:t xml:space="preserve">5 </w:t>
            </w:r>
            <w:r>
              <w:rPr>
                <w:b/>
                <w:bCs/>
                <w:spacing w:val="-3"/>
                <w:sz w:val="24"/>
                <w:szCs w:val="24"/>
              </w:rPr>
              <w:t>年）》的相符性分析</w:t>
            </w:r>
          </w:p>
          <w:p w14:paraId="5E45B8D6">
            <w:pPr>
              <w:pStyle w:val="6"/>
              <w:spacing w:before="185" w:line="357" w:lineRule="auto"/>
              <w:ind w:left="13" w:firstLine="483"/>
              <w:jc w:val="both"/>
              <w:rPr>
                <w:sz w:val="24"/>
                <w:szCs w:val="24"/>
              </w:rPr>
            </w:pPr>
            <w:r>
              <w:rPr>
                <w:spacing w:val="-2"/>
                <w:sz w:val="24"/>
                <w:szCs w:val="24"/>
              </w:rPr>
              <w:t>《陆良县国土空间总体规划（</w:t>
            </w:r>
            <w:r>
              <w:rPr>
                <w:rFonts w:ascii="Times New Roman" w:hAnsi="Times New Roman" w:eastAsia="Times New Roman" w:cs="Times New Roman"/>
                <w:spacing w:val="-2"/>
                <w:sz w:val="24"/>
                <w:szCs w:val="24"/>
              </w:rPr>
              <w:t>2021-2035</w:t>
            </w:r>
            <w:r>
              <w:rPr>
                <w:spacing w:val="-2"/>
                <w:sz w:val="24"/>
                <w:szCs w:val="24"/>
              </w:rPr>
              <w:t>年）》已于</w:t>
            </w:r>
            <w:r>
              <w:rPr>
                <w:rFonts w:ascii="Times New Roman" w:hAnsi="Times New Roman" w:eastAsia="Times New Roman" w:cs="Times New Roman"/>
                <w:spacing w:val="-2"/>
                <w:sz w:val="24"/>
                <w:szCs w:val="24"/>
              </w:rPr>
              <w:t>2024</w:t>
            </w:r>
            <w:r>
              <w:rPr>
                <w:spacing w:val="-2"/>
                <w:sz w:val="24"/>
                <w:szCs w:val="24"/>
              </w:rPr>
              <w:t>年</w:t>
            </w:r>
            <w:r>
              <w:rPr>
                <w:rFonts w:ascii="Times New Roman" w:hAnsi="Times New Roman" w:eastAsia="Times New Roman" w:cs="Times New Roman"/>
                <w:spacing w:val="-2"/>
                <w:sz w:val="24"/>
                <w:szCs w:val="24"/>
              </w:rPr>
              <w:t>5</w:t>
            </w:r>
            <w:r>
              <w:rPr>
                <w:spacing w:val="-2"/>
                <w:sz w:val="24"/>
                <w:szCs w:val="24"/>
              </w:rPr>
              <w:t>月取得曲</w:t>
            </w:r>
            <w:r>
              <w:rPr>
                <w:spacing w:val="-1"/>
                <w:sz w:val="24"/>
                <w:szCs w:val="24"/>
              </w:rPr>
              <w:t>靖市政府的批复。规划范围包括：县域范围：包括两街道、七镇、两乡，</w:t>
            </w:r>
            <w:r>
              <w:rPr>
                <w:spacing w:val="-2"/>
                <w:sz w:val="24"/>
                <w:szCs w:val="24"/>
              </w:rPr>
              <w:t>面积</w:t>
            </w:r>
            <w:r>
              <w:rPr>
                <w:rFonts w:ascii="Times New Roman" w:hAnsi="Times New Roman" w:eastAsia="Times New Roman" w:cs="Times New Roman"/>
                <w:spacing w:val="-2"/>
                <w:sz w:val="24"/>
                <w:szCs w:val="24"/>
              </w:rPr>
              <w:t>1989.5</w:t>
            </w:r>
            <w:r>
              <w:rPr>
                <w:spacing w:val="-2"/>
                <w:sz w:val="24"/>
                <w:szCs w:val="24"/>
              </w:rPr>
              <w:t>平方公里。中心城区范围：包括中枢、同乐街道，小百户镇北</w:t>
            </w:r>
            <w:r>
              <w:rPr>
                <w:spacing w:val="-9"/>
                <w:sz w:val="24"/>
                <w:szCs w:val="24"/>
              </w:rPr>
              <w:t>山村、兴仁村兴隆村，大莫古镇太平哨村、麻舍所村（汕昆高速以北区域</w:t>
            </w:r>
            <w:r>
              <w:rPr>
                <w:spacing w:val="-54"/>
                <w:w w:val="86"/>
                <w:sz w:val="24"/>
                <w:szCs w:val="24"/>
              </w:rPr>
              <w:t>），</w:t>
            </w:r>
            <w:r>
              <w:rPr>
                <w:spacing w:val="-1"/>
                <w:sz w:val="24"/>
                <w:szCs w:val="24"/>
              </w:rPr>
              <w:t>面积</w:t>
            </w:r>
            <w:r>
              <w:rPr>
                <w:rFonts w:ascii="Times New Roman" w:hAnsi="Times New Roman" w:eastAsia="Times New Roman" w:cs="Times New Roman"/>
                <w:spacing w:val="-1"/>
                <w:sz w:val="24"/>
                <w:szCs w:val="24"/>
              </w:rPr>
              <w:t>179.21</w:t>
            </w:r>
            <w:r>
              <w:rPr>
                <w:spacing w:val="-1"/>
                <w:sz w:val="24"/>
                <w:szCs w:val="24"/>
              </w:rPr>
              <w:t>平方公里。产业空间布局为：构建</w:t>
            </w:r>
            <w:r>
              <w:rPr>
                <w:rFonts w:ascii="Times New Roman" w:hAnsi="Times New Roman" w:eastAsia="Times New Roman" w:cs="Times New Roman"/>
                <w:spacing w:val="-1"/>
                <w:sz w:val="24"/>
                <w:szCs w:val="24"/>
              </w:rPr>
              <w:t>“</w:t>
            </w:r>
            <w:r>
              <w:rPr>
                <w:spacing w:val="-1"/>
                <w:sz w:val="24"/>
                <w:szCs w:val="24"/>
              </w:rPr>
              <w:t>一核、两廊、三园、三区、</w:t>
            </w:r>
            <w:r>
              <w:rPr>
                <w:spacing w:val="-4"/>
                <w:sz w:val="24"/>
                <w:szCs w:val="24"/>
              </w:rPr>
              <w:t>四带</w:t>
            </w:r>
            <w:r>
              <w:rPr>
                <w:rFonts w:ascii="Times New Roman" w:hAnsi="Times New Roman" w:eastAsia="Times New Roman" w:cs="Times New Roman"/>
                <w:spacing w:val="-4"/>
                <w:sz w:val="24"/>
                <w:szCs w:val="24"/>
              </w:rPr>
              <w:t>”</w:t>
            </w:r>
            <w:r>
              <w:rPr>
                <w:rFonts w:ascii="Times New Roman" w:hAnsi="Times New Roman" w:eastAsia="Times New Roman" w:cs="Times New Roman"/>
                <w:spacing w:val="-17"/>
                <w:sz w:val="24"/>
                <w:szCs w:val="24"/>
              </w:rPr>
              <w:t xml:space="preserve"> </w:t>
            </w:r>
            <w:r>
              <w:rPr>
                <w:spacing w:val="-4"/>
                <w:sz w:val="24"/>
                <w:szCs w:val="24"/>
              </w:rPr>
              <w:t>的产业空间布局。一核：以县城为中心形成的产业发展核心。两廊：</w:t>
            </w:r>
            <w:r>
              <w:rPr>
                <w:spacing w:val="-2"/>
                <w:sz w:val="24"/>
                <w:szCs w:val="24"/>
              </w:rPr>
              <w:t>南盘江绿色产业廊、杜公河农文旅产业廊。三园：即青山园区、大莫古园区和召夸园区。三区：即特色农业发展区、农文旅融合发展区、山地产业发展区。四带：陆良一曲经济带、陆良</w:t>
            </w:r>
            <w:r>
              <w:rPr>
                <w:rFonts w:ascii="Times New Roman" w:hAnsi="Times New Roman" w:eastAsia="Times New Roman" w:cs="Times New Roman"/>
                <w:spacing w:val="-2"/>
                <w:sz w:val="24"/>
                <w:szCs w:val="24"/>
              </w:rPr>
              <w:t>-</w:t>
            </w:r>
            <w:r>
              <w:rPr>
                <w:spacing w:val="-2"/>
                <w:sz w:val="24"/>
                <w:szCs w:val="24"/>
              </w:rPr>
              <w:t>石林</w:t>
            </w:r>
            <w:r>
              <w:rPr>
                <w:rFonts w:ascii="Times New Roman" w:hAnsi="Times New Roman" w:eastAsia="Times New Roman" w:cs="Times New Roman"/>
                <w:spacing w:val="-2"/>
                <w:sz w:val="24"/>
                <w:szCs w:val="24"/>
              </w:rPr>
              <w:t>-</w:t>
            </w:r>
            <w:r>
              <w:rPr>
                <w:spacing w:val="-2"/>
                <w:sz w:val="24"/>
                <w:szCs w:val="24"/>
              </w:rPr>
              <w:t>昆明经济带、陆良一文山经</w:t>
            </w:r>
          </w:p>
        </w:tc>
      </w:tr>
    </w:tbl>
    <w:p w14:paraId="38588E05">
      <w:pPr>
        <w:rPr>
          <w:rFonts w:ascii="Arial"/>
          <w:sz w:val="21"/>
        </w:rPr>
      </w:pPr>
    </w:p>
    <w:p w14:paraId="590D5D4F">
      <w:pPr>
        <w:rPr>
          <w:rFonts w:ascii="Arial" w:hAnsi="Arial" w:eastAsia="Arial" w:cs="Arial"/>
          <w:sz w:val="21"/>
          <w:szCs w:val="21"/>
        </w:rPr>
        <w:sectPr>
          <w:footerReference r:id="rId29" w:type="default"/>
          <w:pgSz w:w="11907" w:h="16840"/>
          <w:pgMar w:top="400" w:right="1786" w:bottom="1240" w:left="1774" w:header="0" w:footer="1077" w:gutter="0"/>
          <w:cols w:space="720" w:num="1"/>
        </w:sectPr>
      </w:pPr>
    </w:p>
    <w:p w14:paraId="0922A648">
      <w:pPr>
        <w:spacing w:before="19"/>
      </w:pPr>
      <w:r>
        <w:pict>
          <v:group id="_x0000_s1031" o:spid="_x0000_s1031" o:spt="203" style="position:absolute;left:0pt;margin-left:113.35pt;margin-top:297.5pt;height:371.45pt;width:1.95pt;mso-position-horizontal-relative:page;mso-position-vertical-relative:page;z-index:251666432;mso-width-relative:page;mso-height-relative:page;" coordsize="39,7429" o:allowincell="f">
            <o:lock v:ext="edit"/>
            <v:shape id="_x0000_s1032" o:spid="_x0000_s1032" style="position:absolute;left:28;top:3282;height:845;width:10;" filled="f" stroked="t" coordsize="10,845" path="m4,0l4,845e">
              <v:fill on="f" focussize="0,0"/>
              <v:stroke weight="0.48pt" color="#000000" miterlimit="2" joinstyle="bevel"/>
              <v:imagedata o:title=""/>
              <o:lock v:ext="edit"/>
            </v:shape>
            <v:shape id="_x0000_s1033" o:spid="_x0000_s1033" style="position:absolute;left:0;top:0;height:7429;width:5;" filled="f" stroked="t" coordsize="5,7429" path="m2,0l2,7428e">
              <v:fill on="f" focussize="0,0"/>
              <v:stroke weight="0.24pt" color="#000000" miterlimit="2" joinstyle="bevel"/>
              <v:imagedata o:title=""/>
              <o:lock v:ext="edit"/>
            </v:shape>
          </v:group>
        </w:pict>
      </w:r>
    </w:p>
    <w:p w14:paraId="2684E0E3">
      <w:pPr>
        <w:spacing w:before="19"/>
      </w:pPr>
    </w:p>
    <w:p w14:paraId="1FF96408">
      <w:pPr>
        <w:spacing w:before="18"/>
      </w:pPr>
    </w:p>
    <w:p w14:paraId="56730378">
      <w:pPr>
        <w:spacing w:before="18"/>
      </w:pPr>
    </w:p>
    <w:tbl>
      <w:tblPr>
        <w:tblStyle w:val="5"/>
        <w:tblW w:w="8161"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2"/>
        <w:gridCol w:w="1572"/>
        <w:gridCol w:w="1279"/>
        <w:gridCol w:w="1378"/>
        <w:gridCol w:w="2512"/>
        <w:gridCol w:w="1008"/>
      </w:tblGrid>
      <w:tr w14:paraId="53172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2" w:hRule="atLeast"/>
        </w:trPr>
        <w:tc>
          <w:tcPr>
            <w:tcW w:w="412" w:type="dxa"/>
            <w:vMerge w:val="restart"/>
            <w:tcBorders>
              <w:top w:val="single" w:color="000000" w:sz="6" w:space="0"/>
              <w:left w:val="single" w:color="000000" w:sz="6" w:space="0"/>
              <w:bottom w:val="nil"/>
            </w:tcBorders>
            <w:vAlign w:val="top"/>
          </w:tcPr>
          <w:p w14:paraId="41E117BB">
            <w:pPr>
              <w:rPr>
                <w:rFonts w:ascii="Arial"/>
                <w:sz w:val="21"/>
              </w:rPr>
            </w:pPr>
          </w:p>
        </w:tc>
        <w:tc>
          <w:tcPr>
            <w:tcW w:w="7749" w:type="dxa"/>
            <w:gridSpan w:val="5"/>
            <w:tcBorders>
              <w:top w:val="single" w:color="000000" w:sz="6" w:space="0"/>
              <w:right w:val="single" w:color="000000" w:sz="6" w:space="0"/>
            </w:tcBorders>
            <w:vAlign w:val="top"/>
          </w:tcPr>
          <w:p w14:paraId="7417011F">
            <w:pPr>
              <w:pStyle w:val="6"/>
              <w:spacing w:before="56" w:line="219" w:lineRule="auto"/>
              <w:ind w:left="14"/>
              <w:rPr>
                <w:sz w:val="24"/>
                <w:szCs w:val="24"/>
              </w:rPr>
            </w:pPr>
            <w:r>
              <w:rPr>
                <w:spacing w:val="-1"/>
                <w:sz w:val="24"/>
                <w:szCs w:val="24"/>
              </w:rPr>
              <w:t>济带、陆良</w:t>
            </w:r>
            <w:r>
              <w:rPr>
                <w:rFonts w:ascii="Times New Roman" w:hAnsi="Times New Roman" w:eastAsia="Times New Roman" w:cs="Times New Roman"/>
                <w:spacing w:val="-1"/>
                <w:sz w:val="24"/>
                <w:szCs w:val="24"/>
              </w:rPr>
              <w:t>-</w:t>
            </w:r>
            <w:r>
              <w:rPr>
                <w:spacing w:val="-1"/>
                <w:sz w:val="24"/>
                <w:szCs w:val="24"/>
              </w:rPr>
              <w:t>蒙自经济带。</w:t>
            </w:r>
          </w:p>
          <w:p w14:paraId="2BAEE4B2">
            <w:pPr>
              <w:pStyle w:val="6"/>
              <w:spacing w:before="183" w:line="359" w:lineRule="auto"/>
              <w:ind w:left="12" w:firstLine="474"/>
              <w:rPr>
                <w:sz w:val="24"/>
                <w:szCs w:val="24"/>
              </w:rPr>
            </w:pPr>
            <w:r>
              <w:rPr>
                <w:spacing w:val="-5"/>
                <w:sz w:val="24"/>
                <w:szCs w:val="24"/>
              </w:rPr>
              <w:t>符合性分析：本项目为输变电工程，位于陆良、曲靖经济带，项目的</w:t>
            </w:r>
            <w:r>
              <w:rPr>
                <w:spacing w:val="-4"/>
                <w:sz w:val="24"/>
                <w:szCs w:val="24"/>
              </w:rPr>
              <w:t>建设可满足陆良片区负荷发展的需求，可优化片区</w:t>
            </w:r>
            <w:r>
              <w:rPr>
                <w:rFonts w:ascii="Times New Roman" w:hAnsi="Times New Roman" w:eastAsia="Times New Roman" w:cs="Times New Roman"/>
                <w:spacing w:val="-4"/>
                <w:sz w:val="24"/>
                <w:szCs w:val="24"/>
              </w:rPr>
              <w:t>110k</w:t>
            </w:r>
            <w:r>
              <w:rPr>
                <w:rFonts w:ascii="Times New Roman" w:hAnsi="Times New Roman" w:eastAsia="Times New Roman" w:cs="Times New Roman"/>
                <w:spacing w:val="-5"/>
                <w:sz w:val="24"/>
                <w:szCs w:val="24"/>
              </w:rPr>
              <w:t>V</w:t>
            </w:r>
            <w:r>
              <w:rPr>
                <w:spacing w:val="-5"/>
                <w:sz w:val="24"/>
                <w:szCs w:val="24"/>
              </w:rPr>
              <w:t>电网网架结构水</w:t>
            </w:r>
            <w:r>
              <w:rPr>
                <w:sz w:val="24"/>
                <w:szCs w:val="24"/>
              </w:rPr>
              <w:t xml:space="preserve"> </w:t>
            </w:r>
            <w:r>
              <w:rPr>
                <w:spacing w:val="-4"/>
                <w:sz w:val="24"/>
                <w:szCs w:val="24"/>
              </w:rPr>
              <w:t>平，降低电网安全运行风险、同时为远期规划负荷及</w:t>
            </w:r>
            <w:r>
              <w:rPr>
                <w:spacing w:val="-5"/>
                <w:sz w:val="24"/>
                <w:szCs w:val="24"/>
              </w:rPr>
              <w:t>新能源接入提供接入</w:t>
            </w:r>
            <w:r>
              <w:rPr>
                <w:spacing w:val="-4"/>
                <w:sz w:val="24"/>
                <w:szCs w:val="24"/>
              </w:rPr>
              <w:t>点，提高片区的供电能力及供电可靠性。项目的建设</w:t>
            </w:r>
            <w:r>
              <w:rPr>
                <w:spacing w:val="-5"/>
                <w:sz w:val="24"/>
                <w:szCs w:val="24"/>
              </w:rPr>
              <w:t>对陆良县经济发展具</w:t>
            </w:r>
            <w:r>
              <w:rPr>
                <w:spacing w:val="-7"/>
                <w:sz w:val="24"/>
                <w:szCs w:val="24"/>
              </w:rPr>
              <w:t>有正向作用，因此，项目符合《陆良县国土空间总体规划（</w:t>
            </w:r>
            <w:r>
              <w:rPr>
                <w:rFonts w:ascii="Times New Roman" w:hAnsi="Times New Roman" w:eastAsia="Times New Roman" w:cs="Times New Roman"/>
                <w:spacing w:val="-7"/>
                <w:sz w:val="24"/>
                <w:szCs w:val="24"/>
              </w:rPr>
              <w:t>202</w:t>
            </w:r>
            <w:r>
              <w:rPr>
                <w:rFonts w:ascii="Times New Roman" w:hAnsi="Times New Roman" w:eastAsia="Times New Roman" w:cs="Times New Roman"/>
                <w:spacing w:val="-8"/>
                <w:sz w:val="24"/>
                <w:szCs w:val="24"/>
              </w:rPr>
              <w:t>1-2035</w:t>
            </w:r>
            <w:r>
              <w:rPr>
                <w:spacing w:val="-8"/>
                <w:sz w:val="24"/>
                <w:szCs w:val="24"/>
              </w:rPr>
              <w:t>年）》</w:t>
            </w:r>
            <w:r>
              <w:rPr>
                <w:spacing w:val="-5"/>
                <w:sz w:val="24"/>
                <w:szCs w:val="24"/>
              </w:rPr>
              <w:t>的功能定位。</w:t>
            </w:r>
          </w:p>
          <w:p w14:paraId="4E6190CD">
            <w:pPr>
              <w:pStyle w:val="6"/>
              <w:spacing w:line="219" w:lineRule="auto"/>
              <w:ind w:left="20"/>
              <w:rPr>
                <w:sz w:val="24"/>
                <w:szCs w:val="24"/>
              </w:rPr>
            </w:pPr>
            <w:r>
              <w:rPr>
                <w:rFonts w:ascii="Times New Roman" w:hAnsi="Times New Roman" w:eastAsia="Times New Roman" w:cs="Times New Roman"/>
                <w:b/>
                <w:bCs/>
                <w:spacing w:val="-4"/>
                <w:sz w:val="24"/>
                <w:szCs w:val="24"/>
              </w:rPr>
              <w:t>12</w:t>
            </w:r>
            <w:r>
              <w:rPr>
                <w:rFonts w:ascii="Times New Roman" w:hAnsi="Times New Roman" w:eastAsia="Times New Roman" w:cs="Times New Roman"/>
                <w:b/>
                <w:bCs/>
                <w:spacing w:val="-23"/>
                <w:sz w:val="24"/>
                <w:szCs w:val="24"/>
              </w:rPr>
              <w:t xml:space="preserve"> </w:t>
            </w:r>
            <w:r>
              <w:rPr>
                <w:b/>
                <w:bCs/>
                <w:spacing w:val="-4"/>
                <w:sz w:val="24"/>
                <w:szCs w:val="24"/>
              </w:rPr>
              <w:t>、与《云南省电力设施保护条例》符合性分析</w:t>
            </w:r>
          </w:p>
          <w:p w14:paraId="668687B6">
            <w:pPr>
              <w:pStyle w:val="6"/>
              <w:spacing w:before="183" w:line="219" w:lineRule="auto"/>
              <w:jc w:val="right"/>
              <w:rPr>
                <w:sz w:val="24"/>
                <w:szCs w:val="24"/>
              </w:rPr>
            </w:pPr>
            <w:r>
              <w:rPr>
                <w:spacing w:val="-6"/>
                <w:sz w:val="24"/>
                <w:szCs w:val="24"/>
              </w:rPr>
              <w:t>根据《云南省电力设施保护条例》，项目与其要</w:t>
            </w:r>
            <w:r>
              <w:rPr>
                <w:spacing w:val="-7"/>
                <w:sz w:val="24"/>
                <w:szCs w:val="24"/>
              </w:rPr>
              <w:t>求的符合性分析如下：</w:t>
            </w:r>
          </w:p>
          <w:p w14:paraId="1950976A">
            <w:pPr>
              <w:pStyle w:val="6"/>
              <w:spacing w:before="175" w:line="211" w:lineRule="auto"/>
              <w:ind w:left="1113"/>
            </w:pPr>
            <w:r>
              <w:rPr>
                <w:b/>
                <w:bCs/>
                <w:spacing w:val="6"/>
              </w:rPr>
              <w:t>表</w:t>
            </w:r>
            <w:r>
              <w:rPr>
                <w:spacing w:val="-22"/>
              </w:rPr>
              <w:t xml:space="preserve"> </w:t>
            </w:r>
            <w:r>
              <w:rPr>
                <w:rFonts w:ascii="Times New Roman" w:hAnsi="Times New Roman" w:eastAsia="Times New Roman" w:cs="Times New Roman"/>
                <w:b/>
                <w:bCs/>
                <w:spacing w:val="6"/>
              </w:rPr>
              <w:t xml:space="preserve">1-9      </w:t>
            </w:r>
            <w:r>
              <w:rPr>
                <w:b/>
                <w:bCs/>
                <w:spacing w:val="6"/>
              </w:rPr>
              <w:t>项目与《云南省电力设施保护条例》的符合性分析</w:t>
            </w:r>
          </w:p>
        </w:tc>
      </w:tr>
      <w:tr w14:paraId="5A661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12" w:type="dxa"/>
            <w:vMerge w:val="continue"/>
            <w:tcBorders>
              <w:top w:val="nil"/>
              <w:left w:val="single" w:color="000000" w:sz="6" w:space="0"/>
              <w:bottom w:val="nil"/>
            </w:tcBorders>
            <w:vAlign w:val="top"/>
          </w:tcPr>
          <w:p w14:paraId="1AF22206">
            <w:pPr>
              <w:rPr>
                <w:rFonts w:ascii="Arial"/>
                <w:sz w:val="21"/>
              </w:rPr>
            </w:pPr>
          </w:p>
        </w:tc>
        <w:tc>
          <w:tcPr>
            <w:tcW w:w="4229" w:type="dxa"/>
            <w:gridSpan w:val="3"/>
            <w:vAlign w:val="top"/>
          </w:tcPr>
          <w:p w14:paraId="29C647E9">
            <w:pPr>
              <w:pStyle w:val="6"/>
              <w:spacing w:before="35" w:line="212" w:lineRule="auto"/>
              <w:ind w:left="1744"/>
            </w:pPr>
            <w:r>
              <w:rPr>
                <w:b/>
                <w:bCs/>
                <w:spacing w:val="6"/>
              </w:rPr>
              <w:t>条例要求</w:t>
            </w:r>
          </w:p>
        </w:tc>
        <w:tc>
          <w:tcPr>
            <w:tcW w:w="2512" w:type="dxa"/>
            <w:vAlign w:val="top"/>
          </w:tcPr>
          <w:p w14:paraId="2E52D9DD">
            <w:pPr>
              <w:pStyle w:val="6"/>
              <w:spacing w:before="35" w:line="212" w:lineRule="auto"/>
              <w:ind w:left="747"/>
            </w:pPr>
            <w:r>
              <w:rPr>
                <w:b/>
                <w:bCs/>
                <w:spacing w:val="6"/>
              </w:rPr>
              <w:t>本项目情况</w:t>
            </w:r>
          </w:p>
        </w:tc>
        <w:tc>
          <w:tcPr>
            <w:tcW w:w="1008" w:type="dxa"/>
            <w:tcBorders>
              <w:right w:val="single" w:color="000000" w:sz="6" w:space="0"/>
            </w:tcBorders>
            <w:vAlign w:val="top"/>
          </w:tcPr>
          <w:p w14:paraId="61AF0FC8">
            <w:pPr>
              <w:pStyle w:val="6"/>
              <w:spacing w:before="35" w:line="212" w:lineRule="auto"/>
              <w:ind w:left="142"/>
            </w:pPr>
            <w:r>
              <w:rPr>
                <w:b/>
                <w:bCs/>
                <w:spacing w:val="5"/>
              </w:rPr>
              <w:t>相符性</w:t>
            </w:r>
          </w:p>
        </w:tc>
      </w:tr>
      <w:tr w14:paraId="44B51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7" w:hRule="atLeast"/>
        </w:trPr>
        <w:tc>
          <w:tcPr>
            <w:tcW w:w="412" w:type="dxa"/>
            <w:vMerge w:val="continue"/>
            <w:tcBorders>
              <w:top w:val="nil"/>
              <w:left w:val="single" w:color="000000" w:sz="6" w:space="0"/>
              <w:bottom w:val="nil"/>
            </w:tcBorders>
            <w:vAlign w:val="top"/>
          </w:tcPr>
          <w:p w14:paraId="35451186">
            <w:pPr>
              <w:rPr>
                <w:rFonts w:ascii="Arial"/>
                <w:sz w:val="21"/>
              </w:rPr>
            </w:pPr>
          </w:p>
        </w:tc>
        <w:tc>
          <w:tcPr>
            <w:tcW w:w="4229" w:type="dxa"/>
            <w:gridSpan w:val="3"/>
            <w:vAlign w:val="top"/>
          </w:tcPr>
          <w:p w14:paraId="7ABC2545">
            <w:pPr>
              <w:pStyle w:val="6"/>
              <w:spacing w:before="35" w:line="228" w:lineRule="auto"/>
              <w:ind w:left="84"/>
            </w:pPr>
            <w:r>
              <w:rPr>
                <w:spacing w:val="5"/>
              </w:rPr>
              <w:t>第十六条</w:t>
            </w:r>
            <w:r>
              <w:rPr>
                <w:spacing w:val="43"/>
              </w:rPr>
              <w:t xml:space="preserve"> </w:t>
            </w:r>
            <w:r>
              <w:rPr>
                <w:spacing w:val="5"/>
              </w:rPr>
              <w:t>电力线路保护区：</w:t>
            </w:r>
          </w:p>
          <w:p w14:paraId="74DC3477">
            <w:pPr>
              <w:pStyle w:val="6"/>
              <w:spacing w:before="27" w:line="251" w:lineRule="auto"/>
              <w:ind w:left="83" w:firstLine="10"/>
            </w:pPr>
            <w:r>
              <w:rPr>
                <w:spacing w:val="6"/>
              </w:rPr>
              <w:t>（一）架空电力线路保护区：边导线向外侧水</w:t>
            </w:r>
            <w:r>
              <w:rPr>
                <w:spacing w:val="17"/>
              </w:rPr>
              <w:t>平延伸并垂直投影于地面所形成的两平行线</w:t>
            </w:r>
            <w:r>
              <w:rPr>
                <w:spacing w:val="7"/>
              </w:rPr>
              <w:t>内的区域，各电压等级电力线路的边导线在居</w:t>
            </w:r>
            <w:r>
              <w:rPr>
                <w:spacing w:val="6"/>
              </w:rPr>
              <w:t>民区、非居民区、交通困难地区与地面、建筑物、树木的安全距离，应当符合国家电力线路</w:t>
            </w:r>
            <w:r>
              <w:rPr>
                <w:spacing w:val="7"/>
              </w:rPr>
              <w:t>设计规范和技术规程。</w:t>
            </w:r>
          </w:p>
          <w:p w14:paraId="08CEBBBA">
            <w:pPr>
              <w:pStyle w:val="6"/>
              <w:spacing w:before="1" w:line="241" w:lineRule="auto"/>
              <w:ind w:left="85" w:firstLine="9"/>
            </w:pPr>
            <w:r>
              <w:rPr>
                <w:spacing w:val="-4"/>
              </w:rPr>
              <w:t>（二）架空电力线路杆塔、拉线的基础保护区：</w:t>
            </w:r>
            <w:r>
              <w:rPr>
                <w:spacing w:val="15"/>
              </w:rPr>
              <w:t>杆塔、拉线基础外缘向周围延伸所形成的区</w:t>
            </w:r>
            <w:r>
              <w:rPr>
                <w:spacing w:val="4"/>
              </w:rPr>
              <w:t>域。各级电压架空电力线路杆塔、拉线基础外</w:t>
            </w:r>
            <w:r>
              <w:rPr>
                <w:spacing w:val="5"/>
              </w:rPr>
              <w:t>缘向周围延伸距离如下：</w:t>
            </w:r>
          </w:p>
        </w:tc>
        <w:tc>
          <w:tcPr>
            <w:tcW w:w="2512" w:type="dxa"/>
            <w:vMerge w:val="restart"/>
            <w:tcBorders>
              <w:bottom w:val="nil"/>
            </w:tcBorders>
            <w:vAlign w:val="top"/>
          </w:tcPr>
          <w:p w14:paraId="520C9797">
            <w:pPr>
              <w:pStyle w:val="6"/>
              <w:spacing w:before="38" w:line="251" w:lineRule="auto"/>
              <w:ind w:left="18" w:firstLine="4"/>
              <w:jc w:val="both"/>
            </w:pPr>
            <w:r>
              <w:rPr>
                <w:spacing w:val="8"/>
              </w:rPr>
              <w:t>本项目</w:t>
            </w:r>
            <w:r>
              <w:rPr>
                <w:rFonts w:ascii="Times New Roman" w:hAnsi="Times New Roman" w:eastAsia="Times New Roman" w:cs="Times New Roman"/>
                <w:spacing w:val="8"/>
              </w:rPr>
              <w:t>110</w:t>
            </w:r>
            <w:r>
              <w:rPr>
                <w:rFonts w:ascii="Times New Roman" w:hAnsi="Times New Roman" w:eastAsia="Times New Roman" w:cs="Times New Roman"/>
              </w:rPr>
              <w:t>kV</w:t>
            </w:r>
            <w:r>
              <w:rPr>
                <w:rFonts w:ascii="Times New Roman" w:hAnsi="Times New Roman" w:eastAsia="Times New Roman" w:cs="Times New Roman"/>
                <w:spacing w:val="-12"/>
              </w:rPr>
              <w:t xml:space="preserve"> </w:t>
            </w:r>
            <w:r>
              <w:rPr>
                <w:spacing w:val="8"/>
              </w:rPr>
              <w:t>线路边导线在</w:t>
            </w:r>
            <w:r>
              <w:rPr>
                <w:spacing w:val="7"/>
              </w:rPr>
              <w:t>居民区、非居民区、交通困难地区与地面、建筑物、树</w:t>
            </w:r>
            <w:r>
              <w:rPr>
                <w:spacing w:val="-5"/>
              </w:rPr>
              <w:t>木 的 安 全</w:t>
            </w:r>
            <w:r>
              <w:rPr>
                <w:spacing w:val="-4"/>
              </w:rPr>
              <w:t xml:space="preserve"> </w:t>
            </w:r>
            <w:r>
              <w:rPr>
                <w:spacing w:val="-5"/>
              </w:rPr>
              <w:t>距</w:t>
            </w:r>
            <w:r>
              <w:rPr>
                <w:spacing w:val="-12"/>
              </w:rPr>
              <w:t xml:space="preserve"> </w:t>
            </w:r>
            <w:r>
              <w:rPr>
                <w:spacing w:val="-5"/>
              </w:rPr>
              <w:t>离</w:t>
            </w:r>
            <w:r>
              <w:rPr>
                <w:spacing w:val="-15"/>
              </w:rPr>
              <w:t xml:space="preserve"> </w:t>
            </w:r>
            <w:r>
              <w:rPr>
                <w:spacing w:val="-5"/>
              </w:rPr>
              <w:t>均</w:t>
            </w:r>
            <w:r>
              <w:rPr>
                <w:spacing w:val="-14"/>
              </w:rPr>
              <w:t xml:space="preserve"> </w:t>
            </w:r>
            <w:r>
              <w:rPr>
                <w:spacing w:val="-5"/>
              </w:rPr>
              <w:t>满</w:t>
            </w:r>
            <w:r>
              <w:rPr>
                <w:spacing w:val="-12"/>
              </w:rPr>
              <w:t xml:space="preserve"> </w:t>
            </w:r>
            <w:r>
              <w:rPr>
                <w:spacing w:val="-5"/>
              </w:rPr>
              <w:t>足</w:t>
            </w:r>
            <w:r>
              <w:rPr>
                <w:spacing w:val="10"/>
              </w:rPr>
              <w:t>《</w:t>
            </w:r>
            <w:r>
              <w:rPr>
                <w:rFonts w:ascii="Times New Roman" w:hAnsi="Times New Roman" w:eastAsia="Times New Roman" w:cs="Times New Roman"/>
                <w:spacing w:val="10"/>
              </w:rPr>
              <w:t>110</w:t>
            </w:r>
            <w:r>
              <w:rPr>
                <w:rFonts w:ascii="Times New Roman" w:hAnsi="Times New Roman" w:eastAsia="Times New Roman" w:cs="Times New Roman"/>
              </w:rPr>
              <w:t>kV</w:t>
            </w:r>
            <w:r>
              <w:rPr>
                <w:spacing w:val="10"/>
              </w:rPr>
              <w:t>～</w:t>
            </w:r>
            <w:r>
              <w:rPr>
                <w:rFonts w:ascii="Times New Roman" w:hAnsi="Times New Roman" w:eastAsia="Times New Roman" w:cs="Times New Roman"/>
                <w:spacing w:val="10"/>
              </w:rPr>
              <w:t>750</w:t>
            </w:r>
            <w:r>
              <w:rPr>
                <w:rFonts w:ascii="Times New Roman" w:hAnsi="Times New Roman" w:eastAsia="Times New Roman" w:cs="Times New Roman"/>
              </w:rPr>
              <w:t>kV</w:t>
            </w:r>
            <w:r>
              <w:rPr>
                <w:rFonts w:ascii="Times New Roman" w:hAnsi="Times New Roman" w:eastAsia="Times New Roman" w:cs="Times New Roman"/>
                <w:spacing w:val="26"/>
                <w:w w:val="101"/>
              </w:rPr>
              <w:t xml:space="preserve"> </w:t>
            </w:r>
            <w:r>
              <w:rPr>
                <w:spacing w:val="10"/>
              </w:rPr>
              <w:t>架空输电</w:t>
            </w:r>
            <w:r>
              <w:rPr>
                <w:spacing w:val="3"/>
              </w:rPr>
              <w:t>线路设计规范》（</w:t>
            </w:r>
            <w:r>
              <w:rPr>
                <w:rFonts w:ascii="Times New Roman" w:hAnsi="Times New Roman" w:eastAsia="Times New Roman" w:cs="Times New Roman"/>
              </w:rPr>
              <w:t>GB</w:t>
            </w:r>
            <w:r>
              <w:rPr>
                <w:rFonts w:ascii="Times New Roman" w:hAnsi="Times New Roman" w:eastAsia="Times New Roman" w:cs="Times New Roman"/>
                <w:spacing w:val="3"/>
              </w:rPr>
              <w:t>50545-</w:t>
            </w:r>
            <w:r>
              <w:rPr>
                <w:rFonts w:ascii="Times New Roman" w:hAnsi="Times New Roman" w:eastAsia="Times New Roman" w:cs="Times New Roman"/>
                <w:spacing w:val="1"/>
              </w:rPr>
              <w:t xml:space="preserve"> </w:t>
            </w:r>
            <w:r>
              <w:rPr>
                <w:rFonts w:ascii="Times New Roman" w:hAnsi="Times New Roman" w:eastAsia="Times New Roman" w:cs="Times New Roman"/>
                <w:spacing w:val="3"/>
              </w:rPr>
              <w:t>2010</w:t>
            </w:r>
            <w:r>
              <w:t>）；</w:t>
            </w:r>
          </w:p>
          <w:p w14:paraId="5F88E828">
            <w:pPr>
              <w:pStyle w:val="6"/>
              <w:spacing w:before="1" w:line="252" w:lineRule="auto"/>
              <w:ind w:left="21" w:firstLine="1"/>
              <w:jc w:val="both"/>
            </w:pPr>
            <w:r>
              <w:rPr>
                <w:spacing w:val="8"/>
              </w:rPr>
              <w:t>本项目</w:t>
            </w:r>
            <w:r>
              <w:rPr>
                <w:rFonts w:ascii="Times New Roman" w:hAnsi="Times New Roman" w:eastAsia="Times New Roman" w:cs="Times New Roman"/>
                <w:spacing w:val="8"/>
              </w:rPr>
              <w:t>110</w:t>
            </w:r>
            <w:r>
              <w:rPr>
                <w:rFonts w:ascii="Times New Roman" w:hAnsi="Times New Roman" w:eastAsia="Times New Roman" w:cs="Times New Roman"/>
              </w:rPr>
              <w:t>kV</w:t>
            </w:r>
            <w:r>
              <w:rPr>
                <w:rFonts w:ascii="Times New Roman" w:hAnsi="Times New Roman" w:eastAsia="Times New Roman" w:cs="Times New Roman"/>
                <w:spacing w:val="-8"/>
              </w:rPr>
              <w:t xml:space="preserve"> </w:t>
            </w:r>
            <w:r>
              <w:rPr>
                <w:spacing w:val="8"/>
              </w:rPr>
              <w:t>线路塔基不涉</w:t>
            </w:r>
            <w:r>
              <w:rPr>
                <w:spacing w:val="7"/>
              </w:rPr>
              <w:t>及拉线基础，杆塔基础保护区范围内不涉及建筑物；</w:t>
            </w:r>
          </w:p>
        </w:tc>
        <w:tc>
          <w:tcPr>
            <w:tcW w:w="1008" w:type="dxa"/>
            <w:vMerge w:val="restart"/>
            <w:tcBorders>
              <w:bottom w:val="nil"/>
              <w:right w:val="single" w:color="000000" w:sz="6" w:space="0"/>
            </w:tcBorders>
            <w:vAlign w:val="top"/>
          </w:tcPr>
          <w:p w14:paraId="3A734B93">
            <w:pPr>
              <w:spacing w:line="250" w:lineRule="auto"/>
              <w:rPr>
                <w:rFonts w:ascii="Arial"/>
                <w:sz w:val="21"/>
              </w:rPr>
            </w:pPr>
          </w:p>
          <w:p w14:paraId="32988A6A">
            <w:pPr>
              <w:spacing w:line="250" w:lineRule="auto"/>
              <w:rPr>
                <w:rFonts w:ascii="Arial"/>
                <w:sz w:val="21"/>
              </w:rPr>
            </w:pPr>
          </w:p>
          <w:p w14:paraId="3FAACC42">
            <w:pPr>
              <w:spacing w:line="250" w:lineRule="auto"/>
              <w:rPr>
                <w:rFonts w:ascii="Arial"/>
                <w:sz w:val="21"/>
              </w:rPr>
            </w:pPr>
          </w:p>
          <w:p w14:paraId="4957F1DD">
            <w:pPr>
              <w:spacing w:line="250" w:lineRule="auto"/>
              <w:rPr>
                <w:rFonts w:ascii="Arial"/>
                <w:sz w:val="21"/>
              </w:rPr>
            </w:pPr>
          </w:p>
          <w:p w14:paraId="505FE41F">
            <w:pPr>
              <w:spacing w:line="250" w:lineRule="auto"/>
              <w:rPr>
                <w:rFonts w:ascii="Arial"/>
                <w:sz w:val="21"/>
              </w:rPr>
            </w:pPr>
          </w:p>
          <w:p w14:paraId="7679BBB4">
            <w:pPr>
              <w:spacing w:line="250" w:lineRule="auto"/>
              <w:rPr>
                <w:rFonts w:ascii="Arial"/>
                <w:sz w:val="21"/>
              </w:rPr>
            </w:pPr>
          </w:p>
          <w:p w14:paraId="426D8665">
            <w:pPr>
              <w:spacing w:line="250" w:lineRule="auto"/>
              <w:rPr>
                <w:rFonts w:ascii="Arial"/>
                <w:sz w:val="21"/>
              </w:rPr>
            </w:pPr>
          </w:p>
          <w:p w14:paraId="14F43FA5">
            <w:pPr>
              <w:pStyle w:val="6"/>
              <w:spacing w:before="65" w:line="228" w:lineRule="auto"/>
              <w:ind w:left="252"/>
            </w:pPr>
            <w:r>
              <w:rPr>
                <w:spacing w:val="3"/>
              </w:rPr>
              <w:t>符合</w:t>
            </w:r>
          </w:p>
        </w:tc>
      </w:tr>
      <w:tr w14:paraId="23794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12" w:type="dxa"/>
            <w:vMerge w:val="continue"/>
            <w:tcBorders>
              <w:top w:val="nil"/>
              <w:left w:val="single" w:color="000000" w:sz="6" w:space="0"/>
              <w:bottom w:val="nil"/>
            </w:tcBorders>
            <w:vAlign w:val="top"/>
          </w:tcPr>
          <w:p w14:paraId="02D14795">
            <w:pPr>
              <w:rPr>
                <w:rFonts w:ascii="Arial"/>
                <w:sz w:val="21"/>
              </w:rPr>
            </w:pPr>
          </w:p>
        </w:tc>
        <w:tc>
          <w:tcPr>
            <w:tcW w:w="1572" w:type="dxa"/>
            <w:vAlign w:val="top"/>
          </w:tcPr>
          <w:p w14:paraId="016A1232">
            <w:pPr>
              <w:pStyle w:val="6"/>
              <w:spacing w:before="38" w:line="211" w:lineRule="auto"/>
              <w:ind w:left="445"/>
            </w:pPr>
            <w:r>
              <w:rPr>
                <w:spacing w:val="1"/>
              </w:rPr>
              <w:t>电压等级</w:t>
            </w:r>
          </w:p>
        </w:tc>
        <w:tc>
          <w:tcPr>
            <w:tcW w:w="1279" w:type="dxa"/>
            <w:vAlign w:val="top"/>
          </w:tcPr>
          <w:p w14:paraId="131889EE">
            <w:pPr>
              <w:pStyle w:val="6"/>
              <w:spacing w:before="38" w:line="211" w:lineRule="auto"/>
              <w:ind w:left="217"/>
            </w:pPr>
            <w:r>
              <w:rPr>
                <w:spacing w:val="7"/>
              </w:rPr>
              <w:t>杆塔基础</w:t>
            </w:r>
          </w:p>
        </w:tc>
        <w:tc>
          <w:tcPr>
            <w:tcW w:w="1378" w:type="dxa"/>
            <w:vAlign w:val="top"/>
          </w:tcPr>
          <w:p w14:paraId="30F897D4">
            <w:pPr>
              <w:pStyle w:val="6"/>
              <w:spacing w:before="38" w:line="211" w:lineRule="auto"/>
              <w:ind w:left="264"/>
            </w:pPr>
            <w:r>
              <w:rPr>
                <w:spacing w:val="6"/>
              </w:rPr>
              <w:t>拉线基础</w:t>
            </w:r>
          </w:p>
        </w:tc>
        <w:tc>
          <w:tcPr>
            <w:tcW w:w="2512" w:type="dxa"/>
            <w:vMerge w:val="continue"/>
            <w:tcBorders>
              <w:top w:val="nil"/>
              <w:bottom w:val="nil"/>
            </w:tcBorders>
            <w:vAlign w:val="top"/>
          </w:tcPr>
          <w:p w14:paraId="100D629A">
            <w:pPr>
              <w:rPr>
                <w:rFonts w:ascii="Arial"/>
                <w:sz w:val="21"/>
              </w:rPr>
            </w:pPr>
          </w:p>
        </w:tc>
        <w:tc>
          <w:tcPr>
            <w:tcW w:w="1008" w:type="dxa"/>
            <w:vMerge w:val="continue"/>
            <w:tcBorders>
              <w:top w:val="nil"/>
              <w:bottom w:val="nil"/>
              <w:right w:val="single" w:color="000000" w:sz="6" w:space="0"/>
            </w:tcBorders>
            <w:vAlign w:val="top"/>
          </w:tcPr>
          <w:p w14:paraId="50E852A3">
            <w:pPr>
              <w:rPr>
                <w:rFonts w:ascii="Arial"/>
                <w:sz w:val="21"/>
              </w:rPr>
            </w:pPr>
          </w:p>
        </w:tc>
      </w:tr>
      <w:tr w14:paraId="49214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12" w:type="dxa"/>
            <w:vMerge w:val="continue"/>
            <w:tcBorders>
              <w:top w:val="nil"/>
              <w:left w:val="single" w:color="000000" w:sz="6" w:space="0"/>
              <w:bottom w:val="nil"/>
            </w:tcBorders>
            <w:vAlign w:val="top"/>
          </w:tcPr>
          <w:p w14:paraId="53244632">
            <w:pPr>
              <w:rPr>
                <w:rFonts w:ascii="Arial"/>
                <w:sz w:val="21"/>
              </w:rPr>
            </w:pPr>
          </w:p>
        </w:tc>
        <w:tc>
          <w:tcPr>
            <w:tcW w:w="1572" w:type="dxa"/>
            <w:vAlign w:val="top"/>
          </w:tcPr>
          <w:p w14:paraId="0D1F5553">
            <w:pPr>
              <w:pStyle w:val="6"/>
              <w:spacing w:before="39" w:line="210" w:lineRule="auto"/>
              <w:ind w:left="288"/>
            </w:pPr>
            <w:r>
              <w:rPr>
                <w:rFonts w:ascii="Times New Roman" w:hAnsi="Times New Roman" w:eastAsia="Times New Roman" w:cs="Times New Roman"/>
                <w:spacing w:val="5"/>
              </w:rPr>
              <w:t>35</w:t>
            </w:r>
            <w:r>
              <w:rPr>
                <w:rFonts w:ascii="Times New Roman" w:hAnsi="Times New Roman" w:eastAsia="Times New Roman" w:cs="Times New Roman"/>
                <w:spacing w:val="12"/>
              </w:rPr>
              <w:t xml:space="preserve"> </w:t>
            </w:r>
            <w:r>
              <w:rPr>
                <w:spacing w:val="5"/>
              </w:rPr>
              <w:t>千伏以下</w:t>
            </w:r>
          </w:p>
        </w:tc>
        <w:tc>
          <w:tcPr>
            <w:tcW w:w="1279" w:type="dxa"/>
            <w:vAlign w:val="top"/>
          </w:tcPr>
          <w:p w14:paraId="5E617379">
            <w:pPr>
              <w:pStyle w:val="6"/>
              <w:spacing w:before="39" w:line="210" w:lineRule="auto"/>
              <w:ind w:left="453"/>
            </w:pPr>
            <w:r>
              <w:rPr>
                <w:rFonts w:ascii="Times New Roman" w:hAnsi="Times New Roman" w:eastAsia="Times New Roman" w:cs="Times New Roman"/>
                <w:spacing w:val="-3"/>
              </w:rPr>
              <w:t>5</w:t>
            </w:r>
            <w:r>
              <w:rPr>
                <w:rFonts w:ascii="Times New Roman" w:hAnsi="Times New Roman" w:eastAsia="Times New Roman" w:cs="Times New Roman"/>
                <w:spacing w:val="12"/>
              </w:rPr>
              <w:t xml:space="preserve"> </w:t>
            </w:r>
            <w:r>
              <w:rPr>
                <w:spacing w:val="-3"/>
              </w:rPr>
              <w:t>米</w:t>
            </w:r>
          </w:p>
        </w:tc>
        <w:tc>
          <w:tcPr>
            <w:tcW w:w="1378" w:type="dxa"/>
            <w:vAlign w:val="top"/>
          </w:tcPr>
          <w:p w14:paraId="0D40274E">
            <w:pPr>
              <w:pStyle w:val="6"/>
              <w:spacing w:before="39" w:line="210" w:lineRule="auto"/>
              <w:ind w:left="493"/>
            </w:pPr>
            <w:r>
              <w:rPr>
                <w:rFonts w:ascii="Times New Roman" w:hAnsi="Times New Roman" w:eastAsia="Times New Roman" w:cs="Times New Roman"/>
              </w:rPr>
              <w:t>2</w:t>
            </w:r>
            <w:r>
              <w:rPr>
                <w:rFonts w:ascii="Times New Roman" w:hAnsi="Times New Roman" w:eastAsia="Times New Roman" w:cs="Times New Roman"/>
                <w:spacing w:val="9"/>
              </w:rPr>
              <w:t xml:space="preserve"> </w:t>
            </w:r>
            <w:r>
              <w:t>米</w:t>
            </w:r>
          </w:p>
        </w:tc>
        <w:tc>
          <w:tcPr>
            <w:tcW w:w="2512" w:type="dxa"/>
            <w:vMerge w:val="continue"/>
            <w:tcBorders>
              <w:top w:val="nil"/>
              <w:bottom w:val="nil"/>
            </w:tcBorders>
            <w:vAlign w:val="top"/>
          </w:tcPr>
          <w:p w14:paraId="01DAE524">
            <w:pPr>
              <w:rPr>
                <w:rFonts w:ascii="Arial"/>
                <w:sz w:val="21"/>
              </w:rPr>
            </w:pPr>
          </w:p>
        </w:tc>
        <w:tc>
          <w:tcPr>
            <w:tcW w:w="1008" w:type="dxa"/>
            <w:vMerge w:val="continue"/>
            <w:tcBorders>
              <w:top w:val="nil"/>
              <w:bottom w:val="nil"/>
              <w:right w:val="single" w:color="000000" w:sz="6" w:space="0"/>
            </w:tcBorders>
            <w:vAlign w:val="top"/>
          </w:tcPr>
          <w:p w14:paraId="75038D1A">
            <w:pPr>
              <w:rPr>
                <w:rFonts w:ascii="Arial"/>
                <w:sz w:val="21"/>
              </w:rPr>
            </w:pPr>
          </w:p>
        </w:tc>
      </w:tr>
      <w:tr w14:paraId="156CD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12" w:type="dxa"/>
            <w:vMerge w:val="continue"/>
            <w:tcBorders>
              <w:top w:val="nil"/>
              <w:left w:val="single" w:color="000000" w:sz="6" w:space="0"/>
              <w:bottom w:val="nil"/>
            </w:tcBorders>
            <w:vAlign w:val="top"/>
          </w:tcPr>
          <w:p w14:paraId="3D8733BA">
            <w:pPr>
              <w:rPr>
                <w:rFonts w:ascii="Arial"/>
                <w:sz w:val="21"/>
              </w:rPr>
            </w:pPr>
          </w:p>
        </w:tc>
        <w:tc>
          <w:tcPr>
            <w:tcW w:w="1572" w:type="dxa"/>
            <w:vAlign w:val="top"/>
          </w:tcPr>
          <w:p w14:paraId="137562D4">
            <w:pPr>
              <w:pStyle w:val="6"/>
              <w:spacing w:before="40" w:line="209" w:lineRule="auto"/>
              <w:ind w:left="256"/>
            </w:pPr>
            <w:r>
              <w:rPr>
                <w:rFonts w:ascii="Times New Roman" w:hAnsi="Times New Roman" w:eastAsia="Times New Roman" w:cs="Times New Roman"/>
                <w:spacing w:val="2"/>
              </w:rPr>
              <w:t xml:space="preserve">110 </w:t>
            </w:r>
            <w:r>
              <w:rPr>
                <w:spacing w:val="2"/>
              </w:rPr>
              <w:t>千伏以上</w:t>
            </w:r>
          </w:p>
        </w:tc>
        <w:tc>
          <w:tcPr>
            <w:tcW w:w="1279" w:type="dxa"/>
            <w:vAlign w:val="top"/>
          </w:tcPr>
          <w:p w14:paraId="16D6CD84">
            <w:pPr>
              <w:pStyle w:val="6"/>
              <w:spacing w:before="40" w:line="209" w:lineRule="auto"/>
              <w:ind w:left="417"/>
            </w:pPr>
            <w:r>
              <w:rPr>
                <w:rFonts w:ascii="Times New Roman" w:hAnsi="Times New Roman" w:eastAsia="Times New Roman" w:cs="Times New Roman"/>
                <w:spacing w:val="-5"/>
              </w:rPr>
              <w:t>10</w:t>
            </w:r>
            <w:r>
              <w:rPr>
                <w:rFonts w:ascii="Times New Roman" w:hAnsi="Times New Roman" w:eastAsia="Times New Roman" w:cs="Times New Roman"/>
                <w:spacing w:val="10"/>
              </w:rPr>
              <w:t xml:space="preserve"> </w:t>
            </w:r>
            <w:r>
              <w:rPr>
                <w:spacing w:val="-5"/>
              </w:rPr>
              <w:t>米</w:t>
            </w:r>
          </w:p>
        </w:tc>
        <w:tc>
          <w:tcPr>
            <w:tcW w:w="1378" w:type="dxa"/>
            <w:vAlign w:val="top"/>
          </w:tcPr>
          <w:p w14:paraId="78A5DF3E">
            <w:pPr>
              <w:pStyle w:val="6"/>
              <w:spacing w:before="40" w:line="209" w:lineRule="auto"/>
              <w:ind w:left="497"/>
            </w:pPr>
            <w:r>
              <w:rPr>
                <w:rFonts w:ascii="Times New Roman" w:hAnsi="Times New Roman" w:eastAsia="Times New Roman" w:cs="Times New Roman"/>
                <w:spacing w:val="-2"/>
              </w:rPr>
              <w:t>3</w:t>
            </w:r>
            <w:r>
              <w:rPr>
                <w:rFonts w:ascii="Times New Roman" w:hAnsi="Times New Roman" w:eastAsia="Times New Roman" w:cs="Times New Roman"/>
                <w:spacing w:val="9"/>
              </w:rPr>
              <w:t xml:space="preserve"> </w:t>
            </w:r>
            <w:r>
              <w:rPr>
                <w:spacing w:val="-2"/>
              </w:rPr>
              <w:t>米</w:t>
            </w:r>
          </w:p>
        </w:tc>
        <w:tc>
          <w:tcPr>
            <w:tcW w:w="2512" w:type="dxa"/>
            <w:vMerge w:val="continue"/>
            <w:tcBorders>
              <w:top w:val="nil"/>
            </w:tcBorders>
            <w:vAlign w:val="top"/>
          </w:tcPr>
          <w:p w14:paraId="151653CD">
            <w:pPr>
              <w:rPr>
                <w:rFonts w:ascii="Arial"/>
                <w:sz w:val="21"/>
              </w:rPr>
            </w:pPr>
          </w:p>
        </w:tc>
        <w:tc>
          <w:tcPr>
            <w:tcW w:w="1008" w:type="dxa"/>
            <w:vMerge w:val="continue"/>
            <w:tcBorders>
              <w:top w:val="nil"/>
              <w:right w:val="single" w:color="000000" w:sz="6" w:space="0"/>
            </w:tcBorders>
            <w:vAlign w:val="top"/>
          </w:tcPr>
          <w:p w14:paraId="04FDD379">
            <w:pPr>
              <w:rPr>
                <w:rFonts w:ascii="Arial"/>
                <w:sz w:val="21"/>
              </w:rPr>
            </w:pPr>
          </w:p>
        </w:tc>
      </w:tr>
      <w:tr w14:paraId="7DE9F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1" w:hRule="atLeast"/>
        </w:trPr>
        <w:tc>
          <w:tcPr>
            <w:tcW w:w="412" w:type="dxa"/>
            <w:vMerge w:val="continue"/>
            <w:tcBorders>
              <w:top w:val="nil"/>
              <w:left w:val="single" w:color="000000" w:sz="6" w:space="0"/>
              <w:bottom w:val="nil"/>
            </w:tcBorders>
            <w:vAlign w:val="top"/>
          </w:tcPr>
          <w:p w14:paraId="43851767">
            <w:pPr>
              <w:rPr>
                <w:rFonts w:ascii="Arial"/>
                <w:sz w:val="21"/>
              </w:rPr>
            </w:pPr>
          </w:p>
        </w:tc>
        <w:tc>
          <w:tcPr>
            <w:tcW w:w="4229" w:type="dxa"/>
            <w:gridSpan w:val="3"/>
            <w:vAlign w:val="top"/>
          </w:tcPr>
          <w:p w14:paraId="6E820768">
            <w:pPr>
              <w:pStyle w:val="6"/>
              <w:spacing w:before="51" w:line="228" w:lineRule="auto"/>
              <w:ind w:left="84"/>
            </w:pPr>
            <w:r>
              <w:rPr>
                <w:spacing w:val="8"/>
              </w:rPr>
              <w:t>第十七条 其他电力设施保护区：</w:t>
            </w:r>
          </w:p>
          <w:p w14:paraId="456C0F56">
            <w:pPr>
              <w:pStyle w:val="6"/>
              <w:spacing w:before="25" w:line="236" w:lineRule="auto"/>
              <w:ind w:left="94"/>
              <w:jc w:val="both"/>
            </w:pPr>
            <w:r>
              <w:rPr>
                <w:spacing w:val="6"/>
              </w:rPr>
              <w:t>（一）发电厂、变电站、换流站、开关站等厂</w:t>
            </w:r>
            <w:r>
              <w:rPr>
                <w:spacing w:val="5"/>
              </w:rPr>
              <w:t>（站）保护区：厂、站围墙外延伸</w:t>
            </w:r>
            <w:r>
              <w:rPr>
                <w:spacing w:val="-30"/>
              </w:rPr>
              <w:t xml:space="preserve"> </w:t>
            </w:r>
            <w:r>
              <w:rPr>
                <w:rFonts w:ascii="Times New Roman" w:hAnsi="Times New Roman" w:eastAsia="Times New Roman" w:cs="Times New Roman"/>
                <w:spacing w:val="5"/>
              </w:rPr>
              <w:t xml:space="preserve">3 </w:t>
            </w:r>
            <w:r>
              <w:rPr>
                <w:spacing w:val="5"/>
              </w:rPr>
              <w:t>米所形成</w:t>
            </w:r>
            <w:r>
              <w:rPr>
                <w:spacing w:val="2"/>
              </w:rPr>
              <w:t>的区域；</w:t>
            </w:r>
          </w:p>
        </w:tc>
        <w:tc>
          <w:tcPr>
            <w:tcW w:w="2512" w:type="dxa"/>
            <w:vAlign w:val="top"/>
          </w:tcPr>
          <w:p w14:paraId="1143D75C">
            <w:pPr>
              <w:pStyle w:val="6"/>
              <w:spacing w:before="50" w:line="252" w:lineRule="auto"/>
              <w:ind w:left="21"/>
              <w:jc w:val="both"/>
            </w:pPr>
            <w:r>
              <w:rPr>
                <w:spacing w:val="8"/>
              </w:rPr>
              <w:t>本项目</w:t>
            </w:r>
            <w:r>
              <w:rPr>
                <w:rFonts w:ascii="Times New Roman" w:hAnsi="Times New Roman" w:eastAsia="Times New Roman" w:cs="Times New Roman"/>
                <w:spacing w:val="8"/>
              </w:rPr>
              <w:t>110</w:t>
            </w:r>
            <w:r>
              <w:rPr>
                <w:rFonts w:ascii="Times New Roman" w:hAnsi="Times New Roman" w:eastAsia="Times New Roman" w:cs="Times New Roman"/>
              </w:rPr>
              <w:t>kV</w:t>
            </w:r>
            <w:r>
              <w:rPr>
                <w:rFonts w:ascii="Times New Roman" w:hAnsi="Times New Roman" w:eastAsia="Times New Roman" w:cs="Times New Roman"/>
                <w:spacing w:val="-10"/>
              </w:rPr>
              <w:t xml:space="preserve"> </w:t>
            </w:r>
            <w:r>
              <w:rPr>
                <w:spacing w:val="8"/>
              </w:rPr>
              <w:t>变电站站址围</w:t>
            </w:r>
            <w:r>
              <w:rPr>
                <w:spacing w:val="6"/>
              </w:rPr>
              <w:t>墙外延伸</w:t>
            </w:r>
            <w:r>
              <w:rPr>
                <w:spacing w:val="-44"/>
              </w:rPr>
              <w:t xml:space="preserve"> </w:t>
            </w:r>
            <w:r>
              <w:rPr>
                <w:rFonts w:ascii="Times New Roman" w:hAnsi="Times New Roman" w:eastAsia="Times New Roman" w:cs="Times New Roman"/>
                <w:spacing w:val="6"/>
              </w:rPr>
              <w:t xml:space="preserve">3 </w:t>
            </w:r>
            <w:r>
              <w:rPr>
                <w:spacing w:val="6"/>
              </w:rPr>
              <w:t>米所形成的区域不涉及建筑物；</w:t>
            </w:r>
          </w:p>
        </w:tc>
        <w:tc>
          <w:tcPr>
            <w:tcW w:w="1008" w:type="dxa"/>
            <w:tcBorders>
              <w:right w:val="single" w:color="000000" w:sz="6" w:space="0"/>
            </w:tcBorders>
            <w:vAlign w:val="top"/>
          </w:tcPr>
          <w:p w14:paraId="4C2AEA87">
            <w:pPr>
              <w:spacing w:line="392" w:lineRule="auto"/>
              <w:rPr>
                <w:rFonts w:ascii="Arial"/>
                <w:sz w:val="21"/>
              </w:rPr>
            </w:pPr>
          </w:p>
          <w:p w14:paraId="7A6DB598">
            <w:pPr>
              <w:pStyle w:val="6"/>
              <w:spacing w:before="65" w:line="228" w:lineRule="auto"/>
              <w:ind w:left="252"/>
            </w:pPr>
            <w:r>
              <w:rPr>
                <w:spacing w:val="3"/>
              </w:rPr>
              <w:t>符合</w:t>
            </w:r>
          </w:p>
        </w:tc>
      </w:tr>
      <w:tr w14:paraId="047B5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7" w:hRule="atLeast"/>
        </w:trPr>
        <w:tc>
          <w:tcPr>
            <w:tcW w:w="412" w:type="dxa"/>
            <w:vMerge w:val="continue"/>
            <w:tcBorders>
              <w:top w:val="nil"/>
              <w:left w:val="single" w:color="000000" w:sz="6" w:space="0"/>
              <w:bottom w:val="nil"/>
            </w:tcBorders>
            <w:vAlign w:val="top"/>
          </w:tcPr>
          <w:p w14:paraId="0D4E052C">
            <w:pPr>
              <w:rPr>
                <w:rFonts w:ascii="Arial"/>
                <w:sz w:val="21"/>
              </w:rPr>
            </w:pPr>
          </w:p>
        </w:tc>
        <w:tc>
          <w:tcPr>
            <w:tcW w:w="4229" w:type="dxa"/>
            <w:gridSpan w:val="3"/>
            <w:vAlign w:val="top"/>
          </w:tcPr>
          <w:p w14:paraId="754AF757">
            <w:pPr>
              <w:pStyle w:val="6"/>
              <w:spacing w:before="39" w:line="251" w:lineRule="auto"/>
              <w:ind w:left="84"/>
              <w:jc w:val="both"/>
            </w:pPr>
            <w:r>
              <w:rPr>
                <w:spacing w:val="11"/>
              </w:rPr>
              <w:t>第二十四条 新建、改建或扩建电力设施，需</w:t>
            </w:r>
            <w:r>
              <w:rPr>
                <w:spacing w:val="6"/>
              </w:rPr>
              <w:t>要损害农作物，砍伐树木、竹子，或拆迁建筑物及其他设施的，电力建设企业应按照国家有</w:t>
            </w:r>
            <w:r>
              <w:rPr>
                <w:spacing w:val="7"/>
              </w:rPr>
              <w:t>关规定给予一次性补偿。</w:t>
            </w:r>
          </w:p>
          <w:p w14:paraId="081CA0BB">
            <w:pPr>
              <w:pStyle w:val="6"/>
              <w:spacing w:line="252" w:lineRule="auto"/>
              <w:ind w:left="84" w:hanging="1"/>
              <w:jc w:val="both"/>
            </w:pPr>
            <w:r>
              <w:rPr>
                <w:spacing w:val="17"/>
              </w:rPr>
              <w:t>在依法划定的电力设施保护区内种植的或自然生长的可能危及电力设施安全的树木、竹</w:t>
            </w:r>
            <w:r>
              <w:rPr>
                <w:spacing w:val="5"/>
              </w:rPr>
              <w:t>子，</w:t>
            </w:r>
            <w:r>
              <w:rPr>
                <w:spacing w:val="-49"/>
              </w:rPr>
              <w:t xml:space="preserve"> </w:t>
            </w:r>
            <w:r>
              <w:rPr>
                <w:spacing w:val="5"/>
              </w:rPr>
              <w:t>电力企业应依法予以修剪或砍伐。</w:t>
            </w:r>
          </w:p>
        </w:tc>
        <w:tc>
          <w:tcPr>
            <w:tcW w:w="2512" w:type="dxa"/>
            <w:vAlign w:val="top"/>
          </w:tcPr>
          <w:p w14:paraId="06C98D7D">
            <w:pPr>
              <w:pStyle w:val="6"/>
              <w:spacing w:before="39" w:line="251" w:lineRule="auto"/>
              <w:ind w:left="23" w:hanging="1"/>
              <w:jc w:val="both"/>
            </w:pPr>
            <w:r>
              <w:rPr>
                <w:spacing w:val="25"/>
              </w:rPr>
              <w:t>新建变电站和线路涉及损</w:t>
            </w:r>
            <w:r>
              <w:rPr>
                <w:spacing w:val="6"/>
              </w:rPr>
              <w:t>害农作物的，建设单位将按</w:t>
            </w:r>
            <w:r>
              <w:rPr>
                <w:spacing w:val="25"/>
              </w:rPr>
              <w:t>照国家有关规定给予一次</w:t>
            </w:r>
            <w:r>
              <w:rPr>
                <w:spacing w:val="3"/>
              </w:rPr>
              <w:t>性补偿。</w:t>
            </w:r>
          </w:p>
          <w:p w14:paraId="64568926">
            <w:pPr>
              <w:pStyle w:val="6"/>
              <w:spacing w:before="3" w:line="239" w:lineRule="auto"/>
              <w:ind w:left="21" w:firstLine="2"/>
              <w:jc w:val="both"/>
            </w:pPr>
            <w:r>
              <w:rPr>
                <w:spacing w:val="25"/>
              </w:rPr>
              <w:t>建设单位运行期将对电力</w:t>
            </w:r>
            <w:r>
              <w:rPr>
                <w:spacing w:val="7"/>
              </w:rPr>
              <w:t>设施保护区内的农作物、树</w:t>
            </w:r>
            <w:r>
              <w:rPr>
                <w:spacing w:val="25"/>
              </w:rPr>
              <w:t>木等可能危及电力设施安</w:t>
            </w:r>
            <w:r>
              <w:rPr>
                <w:spacing w:val="6"/>
              </w:rPr>
              <w:t>全的，进行修剪。</w:t>
            </w:r>
          </w:p>
        </w:tc>
        <w:tc>
          <w:tcPr>
            <w:tcW w:w="1008" w:type="dxa"/>
            <w:tcBorders>
              <w:right w:val="single" w:color="000000" w:sz="6" w:space="0"/>
            </w:tcBorders>
            <w:vAlign w:val="top"/>
          </w:tcPr>
          <w:p w14:paraId="728EDB71">
            <w:pPr>
              <w:spacing w:line="306" w:lineRule="auto"/>
              <w:rPr>
                <w:rFonts w:ascii="Arial"/>
                <w:sz w:val="21"/>
              </w:rPr>
            </w:pPr>
          </w:p>
          <w:p w14:paraId="2AF6CAF2">
            <w:pPr>
              <w:spacing w:line="306" w:lineRule="auto"/>
              <w:rPr>
                <w:rFonts w:ascii="Arial"/>
                <w:sz w:val="21"/>
              </w:rPr>
            </w:pPr>
          </w:p>
          <w:p w14:paraId="2EF36D05">
            <w:pPr>
              <w:spacing w:line="307" w:lineRule="auto"/>
              <w:rPr>
                <w:rFonts w:ascii="Arial"/>
                <w:sz w:val="21"/>
              </w:rPr>
            </w:pPr>
          </w:p>
          <w:p w14:paraId="22CBC658">
            <w:pPr>
              <w:pStyle w:val="6"/>
              <w:spacing w:before="65" w:line="228" w:lineRule="auto"/>
              <w:ind w:left="252"/>
            </w:pPr>
            <w:r>
              <w:rPr>
                <w:spacing w:val="3"/>
              </w:rPr>
              <w:t>符合</w:t>
            </w:r>
          </w:p>
        </w:tc>
      </w:tr>
      <w:tr w14:paraId="1C733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0" w:hRule="atLeast"/>
        </w:trPr>
        <w:tc>
          <w:tcPr>
            <w:tcW w:w="412" w:type="dxa"/>
            <w:vMerge w:val="continue"/>
            <w:tcBorders>
              <w:top w:val="nil"/>
              <w:left w:val="single" w:color="000000" w:sz="6" w:space="0"/>
              <w:bottom w:val="single" w:color="000000" w:sz="6" w:space="0"/>
            </w:tcBorders>
            <w:vAlign w:val="top"/>
          </w:tcPr>
          <w:p w14:paraId="38BBF4C4">
            <w:pPr>
              <w:rPr>
                <w:rFonts w:ascii="Arial"/>
                <w:sz w:val="21"/>
              </w:rPr>
            </w:pPr>
          </w:p>
        </w:tc>
        <w:tc>
          <w:tcPr>
            <w:tcW w:w="7749" w:type="dxa"/>
            <w:gridSpan w:val="5"/>
            <w:tcBorders>
              <w:bottom w:val="single" w:color="000000" w:sz="6" w:space="0"/>
              <w:right w:val="single" w:color="000000" w:sz="6" w:space="0"/>
            </w:tcBorders>
            <w:vAlign w:val="top"/>
          </w:tcPr>
          <w:p w14:paraId="46F68FD2">
            <w:pPr>
              <w:pStyle w:val="6"/>
              <w:spacing w:before="47" w:line="219" w:lineRule="auto"/>
              <w:ind w:left="496"/>
              <w:rPr>
                <w:sz w:val="24"/>
                <w:szCs w:val="24"/>
              </w:rPr>
            </w:pPr>
            <w:r>
              <w:rPr>
                <w:spacing w:val="-1"/>
                <w:sz w:val="24"/>
                <w:szCs w:val="24"/>
              </w:rPr>
              <w:t>综上，项目建设符合《云南省电力设施保护条例》的相关要求。</w:t>
            </w:r>
          </w:p>
          <w:p w14:paraId="56268277">
            <w:pPr>
              <w:pStyle w:val="6"/>
              <w:spacing w:before="180" w:line="359" w:lineRule="auto"/>
              <w:ind w:left="8" w:right="72" w:firstLine="11"/>
              <w:rPr>
                <w:sz w:val="24"/>
                <w:szCs w:val="24"/>
              </w:rPr>
            </w:pPr>
            <w:r>
              <w:rPr>
                <w:rFonts w:ascii="Times New Roman" w:hAnsi="Times New Roman" w:eastAsia="Times New Roman" w:cs="Times New Roman"/>
                <w:b/>
                <w:bCs/>
                <w:spacing w:val="-4"/>
                <w:sz w:val="24"/>
                <w:szCs w:val="24"/>
              </w:rPr>
              <w:t>13</w:t>
            </w:r>
            <w:r>
              <w:rPr>
                <w:rFonts w:ascii="Times New Roman" w:hAnsi="Times New Roman" w:eastAsia="Times New Roman" w:cs="Times New Roman"/>
                <w:b/>
                <w:bCs/>
                <w:spacing w:val="-28"/>
                <w:sz w:val="24"/>
                <w:szCs w:val="24"/>
              </w:rPr>
              <w:t xml:space="preserve"> </w:t>
            </w:r>
            <w:r>
              <w:rPr>
                <w:b/>
                <w:bCs/>
                <w:spacing w:val="-4"/>
                <w:sz w:val="24"/>
                <w:szCs w:val="24"/>
              </w:rPr>
              <w:t>、项目与《云南省临时用地管理办法（试行）》（云自然资规〔</w:t>
            </w:r>
            <w:r>
              <w:rPr>
                <w:rFonts w:ascii="Times New Roman" w:hAnsi="Times New Roman" w:eastAsia="Times New Roman" w:cs="Times New Roman"/>
                <w:b/>
                <w:bCs/>
                <w:spacing w:val="-4"/>
                <w:sz w:val="24"/>
                <w:szCs w:val="24"/>
              </w:rPr>
              <w:t>2024</w:t>
            </w:r>
            <w:r>
              <w:rPr>
                <w:b/>
                <w:bCs/>
                <w:spacing w:val="-4"/>
                <w:sz w:val="24"/>
                <w:szCs w:val="24"/>
              </w:rPr>
              <w:t>〕</w:t>
            </w:r>
            <w:r>
              <w:rPr>
                <w:sz w:val="24"/>
                <w:szCs w:val="24"/>
              </w:rPr>
              <w:t xml:space="preserve"> </w:t>
            </w:r>
            <w:r>
              <w:rPr>
                <w:rFonts w:ascii="Times New Roman" w:hAnsi="Times New Roman" w:eastAsia="Times New Roman" w:cs="Times New Roman"/>
                <w:b/>
                <w:bCs/>
                <w:spacing w:val="-4"/>
                <w:sz w:val="24"/>
                <w:szCs w:val="24"/>
              </w:rPr>
              <w:t>3</w:t>
            </w:r>
            <w:r>
              <w:rPr>
                <w:rFonts w:ascii="Times New Roman" w:hAnsi="Times New Roman" w:eastAsia="Times New Roman" w:cs="Times New Roman"/>
                <w:b/>
                <w:bCs/>
                <w:spacing w:val="18"/>
                <w:sz w:val="24"/>
                <w:szCs w:val="24"/>
              </w:rPr>
              <w:t xml:space="preserve"> </w:t>
            </w:r>
            <w:r>
              <w:rPr>
                <w:b/>
                <w:bCs/>
                <w:spacing w:val="-4"/>
                <w:sz w:val="24"/>
                <w:szCs w:val="24"/>
              </w:rPr>
              <w:t>号）的符合性分析</w:t>
            </w:r>
          </w:p>
          <w:p w14:paraId="3E3D303A">
            <w:pPr>
              <w:pStyle w:val="6"/>
              <w:spacing w:line="218" w:lineRule="auto"/>
              <w:ind w:left="496"/>
              <w:rPr>
                <w:sz w:val="24"/>
                <w:szCs w:val="24"/>
              </w:rPr>
            </w:pPr>
            <w:r>
              <w:rPr>
                <w:spacing w:val="-1"/>
                <w:sz w:val="24"/>
                <w:szCs w:val="24"/>
              </w:rPr>
              <w:t>为规范临时用地管理，落实最严格的耕地保护制度和节约集约用地制</w:t>
            </w:r>
          </w:p>
        </w:tc>
      </w:tr>
    </w:tbl>
    <w:p w14:paraId="682DD1FE">
      <w:pPr>
        <w:rPr>
          <w:rFonts w:ascii="Arial"/>
          <w:sz w:val="21"/>
        </w:rPr>
      </w:pPr>
    </w:p>
    <w:p w14:paraId="380D7C2E">
      <w:pPr>
        <w:rPr>
          <w:rFonts w:ascii="Arial" w:hAnsi="Arial" w:eastAsia="Arial" w:cs="Arial"/>
          <w:sz w:val="21"/>
          <w:szCs w:val="21"/>
        </w:rPr>
        <w:sectPr>
          <w:footerReference r:id="rId30" w:type="default"/>
          <w:pgSz w:w="11907" w:h="16840"/>
          <w:pgMar w:top="400" w:right="1786" w:bottom="1240" w:left="1774" w:header="0" w:footer="1077" w:gutter="0"/>
          <w:cols w:space="720" w:num="1"/>
        </w:sectPr>
      </w:pPr>
    </w:p>
    <w:p w14:paraId="3A6621C6">
      <w:pPr>
        <w:spacing w:before="19"/>
      </w:pPr>
    </w:p>
    <w:p w14:paraId="0625A52E">
      <w:pPr>
        <w:spacing w:before="19"/>
      </w:pPr>
    </w:p>
    <w:p w14:paraId="773858E3">
      <w:pPr>
        <w:spacing w:before="18"/>
      </w:pPr>
    </w:p>
    <w:p w14:paraId="3C1F08C1">
      <w:pPr>
        <w:spacing w:before="18"/>
      </w:pPr>
    </w:p>
    <w:tbl>
      <w:tblPr>
        <w:tblStyle w:val="5"/>
        <w:tblW w:w="81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11"/>
        <w:gridCol w:w="7723"/>
      </w:tblGrid>
      <w:tr w14:paraId="68B2A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82" w:hRule="atLeast"/>
        </w:trPr>
        <w:tc>
          <w:tcPr>
            <w:tcW w:w="411" w:type="dxa"/>
            <w:tcBorders>
              <w:right w:val="single" w:color="000000" w:sz="2" w:space="0"/>
            </w:tcBorders>
            <w:vAlign w:val="top"/>
          </w:tcPr>
          <w:p w14:paraId="469DBDD7">
            <w:pPr>
              <w:rPr>
                <w:rFonts w:ascii="Arial"/>
                <w:sz w:val="21"/>
              </w:rPr>
            </w:pPr>
          </w:p>
        </w:tc>
        <w:tc>
          <w:tcPr>
            <w:tcW w:w="7723" w:type="dxa"/>
            <w:tcBorders>
              <w:left w:val="single" w:color="000000" w:sz="2" w:space="0"/>
            </w:tcBorders>
            <w:vAlign w:val="top"/>
          </w:tcPr>
          <w:p w14:paraId="23925479">
            <w:pPr>
              <w:pStyle w:val="6"/>
              <w:spacing w:before="57" w:line="359" w:lineRule="auto"/>
              <w:ind w:left="14" w:right="27" w:hanging="1"/>
              <w:jc w:val="both"/>
              <w:rPr>
                <w:sz w:val="24"/>
                <w:szCs w:val="24"/>
              </w:rPr>
            </w:pPr>
            <w:r>
              <w:rPr>
                <w:sz w:val="24"/>
                <w:szCs w:val="24"/>
              </w:rPr>
              <w:t>度，切实加强土地要素保障，根据《中华人民共和</w:t>
            </w:r>
            <w:r>
              <w:rPr>
                <w:spacing w:val="-1"/>
                <w:sz w:val="24"/>
                <w:szCs w:val="24"/>
              </w:rPr>
              <w:t>国土地管理法》《中华</w:t>
            </w:r>
            <w:r>
              <w:rPr>
                <w:sz w:val="24"/>
                <w:szCs w:val="24"/>
              </w:rPr>
              <w:t>人民共和国土地管理法实施条例》《土地复垦</w:t>
            </w:r>
            <w:r>
              <w:rPr>
                <w:spacing w:val="-1"/>
                <w:sz w:val="24"/>
                <w:szCs w:val="24"/>
              </w:rPr>
              <w:t>条例》等法律法规，结合云</w:t>
            </w:r>
            <w:r>
              <w:rPr>
                <w:spacing w:val="-2"/>
                <w:sz w:val="24"/>
                <w:szCs w:val="24"/>
              </w:rPr>
              <w:t>南省实际，经中共云南省自然资源厅党组</w:t>
            </w:r>
            <w:r>
              <w:rPr>
                <w:spacing w:val="-46"/>
                <w:sz w:val="24"/>
                <w:szCs w:val="24"/>
              </w:rPr>
              <w:t xml:space="preserve"> </w:t>
            </w:r>
            <w:r>
              <w:rPr>
                <w:rFonts w:ascii="Times New Roman" w:hAnsi="Times New Roman" w:eastAsia="Times New Roman" w:cs="Times New Roman"/>
                <w:spacing w:val="-2"/>
                <w:sz w:val="24"/>
                <w:szCs w:val="24"/>
              </w:rPr>
              <w:t xml:space="preserve">2024 </w:t>
            </w:r>
            <w:r>
              <w:rPr>
                <w:spacing w:val="-2"/>
                <w:sz w:val="24"/>
                <w:szCs w:val="24"/>
              </w:rPr>
              <w:t>年第</w:t>
            </w:r>
            <w:r>
              <w:rPr>
                <w:spacing w:val="-32"/>
                <w:sz w:val="24"/>
                <w:szCs w:val="24"/>
              </w:rPr>
              <w:t xml:space="preserve"> </w:t>
            </w:r>
            <w:r>
              <w:rPr>
                <w:rFonts w:ascii="Times New Roman" w:hAnsi="Times New Roman" w:eastAsia="Times New Roman" w:cs="Times New Roman"/>
                <w:spacing w:val="-2"/>
                <w:sz w:val="24"/>
                <w:szCs w:val="24"/>
              </w:rPr>
              <w:t>19</w:t>
            </w:r>
            <w:r>
              <w:rPr>
                <w:rFonts w:ascii="Times New Roman" w:hAnsi="Times New Roman" w:eastAsia="Times New Roman" w:cs="Times New Roman"/>
                <w:spacing w:val="16"/>
                <w:w w:val="101"/>
                <w:sz w:val="24"/>
                <w:szCs w:val="24"/>
              </w:rPr>
              <w:t xml:space="preserve"> </w:t>
            </w:r>
            <w:r>
              <w:rPr>
                <w:spacing w:val="-2"/>
                <w:sz w:val="24"/>
                <w:szCs w:val="24"/>
              </w:rPr>
              <w:t>次会议审议通过，</w:t>
            </w:r>
            <w:r>
              <w:rPr>
                <w:sz w:val="24"/>
                <w:szCs w:val="24"/>
              </w:rPr>
              <w:t>制定了《云南省临时用地管理办法（试行）》</w:t>
            </w:r>
            <w:r>
              <w:rPr>
                <w:spacing w:val="-1"/>
                <w:sz w:val="24"/>
                <w:szCs w:val="24"/>
              </w:rPr>
              <w:t>，办法与本项目相关的要求</w:t>
            </w:r>
            <w:r>
              <w:rPr>
                <w:sz w:val="24"/>
                <w:szCs w:val="24"/>
              </w:rPr>
              <w:t>如下：临时用地选址应坚持节约集约用地，合</w:t>
            </w:r>
            <w:r>
              <w:rPr>
                <w:spacing w:val="-1"/>
                <w:sz w:val="24"/>
                <w:szCs w:val="24"/>
              </w:rPr>
              <w:t>理控制用地规模，优先使用</w:t>
            </w:r>
            <w:r>
              <w:rPr>
                <w:sz w:val="24"/>
                <w:szCs w:val="24"/>
              </w:rPr>
              <w:t>建设用地或未利用地，尽量避让永久基本农田</w:t>
            </w:r>
            <w:r>
              <w:rPr>
                <w:spacing w:val="-1"/>
                <w:sz w:val="24"/>
                <w:szCs w:val="24"/>
              </w:rPr>
              <w:t>、生态保护红线、各类自然保护地和地质灾害易发区，不占或少占耕地。</w:t>
            </w:r>
          </w:p>
          <w:p w14:paraId="6A950E72">
            <w:pPr>
              <w:pStyle w:val="6"/>
              <w:spacing w:before="3" w:line="358" w:lineRule="auto"/>
              <w:ind w:left="15" w:right="27" w:firstLine="492"/>
              <w:jc w:val="both"/>
              <w:rPr>
                <w:sz w:val="24"/>
                <w:szCs w:val="24"/>
              </w:rPr>
            </w:pPr>
            <w:r>
              <w:rPr>
                <w:spacing w:val="-3"/>
                <w:sz w:val="24"/>
                <w:szCs w:val="24"/>
              </w:rPr>
              <w:t>临时用地占用一般耕地、永久基本农田、</w:t>
            </w:r>
            <w:r>
              <w:rPr>
                <w:spacing w:val="-54"/>
                <w:sz w:val="24"/>
                <w:szCs w:val="24"/>
              </w:rPr>
              <w:t xml:space="preserve"> </w:t>
            </w:r>
            <w:r>
              <w:rPr>
                <w:spacing w:val="-3"/>
                <w:sz w:val="24"/>
                <w:szCs w:val="24"/>
              </w:rPr>
              <w:t>自然保护地及允许占用生态</w:t>
            </w:r>
            <w:r>
              <w:rPr>
                <w:sz w:val="24"/>
                <w:szCs w:val="24"/>
              </w:rPr>
              <w:t>保护红线的，由县级人民政府组织自然资源、</w:t>
            </w:r>
            <w:r>
              <w:rPr>
                <w:spacing w:val="-1"/>
                <w:sz w:val="24"/>
                <w:szCs w:val="24"/>
              </w:rPr>
              <w:t>农业农村、环境保护、林草等部门开展审查论证，并出具论证意见。</w:t>
            </w:r>
          </w:p>
          <w:p w14:paraId="01CA2DE3">
            <w:pPr>
              <w:pStyle w:val="6"/>
              <w:spacing w:before="1" w:line="359" w:lineRule="auto"/>
              <w:ind w:left="13" w:right="27" w:firstLine="494"/>
              <w:jc w:val="both"/>
              <w:rPr>
                <w:sz w:val="24"/>
                <w:szCs w:val="24"/>
              </w:rPr>
            </w:pPr>
            <w:r>
              <w:rPr>
                <w:spacing w:val="-1"/>
                <w:sz w:val="24"/>
                <w:szCs w:val="24"/>
              </w:rPr>
              <w:t>临时用地使用期限一般不超过两年。建设周期较长的能源（含能源基</w:t>
            </w:r>
            <w:r>
              <w:rPr>
                <w:sz w:val="24"/>
                <w:szCs w:val="24"/>
              </w:rPr>
              <w:t>础设施建设中的油气探采合一涉及的钻井及配套设</w:t>
            </w:r>
            <w:r>
              <w:rPr>
                <w:spacing w:val="-1"/>
                <w:sz w:val="24"/>
                <w:szCs w:val="24"/>
              </w:rPr>
              <w:t>施）、交通、水利等基础设施建设使用的临时用地期限不超过四年。</w:t>
            </w:r>
          </w:p>
          <w:p w14:paraId="6EADA10A">
            <w:pPr>
              <w:pStyle w:val="6"/>
              <w:spacing w:line="359" w:lineRule="auto"/>
              <w:ind w:left="13" w:right="22" w:firstLine="482"/>
              <w:jc w:val="both"/>
              <w:rPr>
                <w:sz w:val="24"/>
                <w:szCs w:val="24"/>
              </w:rPr>
            </w:pPr>
            <w:r>
              <w:rPr>
                <w:b/>
                <w:bCs/>
                <w:spacing w:val="-1"/>
                <w:sz w:val="24"/>
                <w:szCs w:val="24"/>
              </w:rPr>
              <w:t>符合性：</w:t>
            </w:r>
            <w:r>
              <w:rPr>
                <w:spacing w:val="-1"/>
                <w:sz w:val="24"/>
                <w:szCs w:val="24"/>
              </w:rPr>
              <w:t>本项目的临时用地主要有塔基下方的施工场地、牵张场、跨</w:t>
            </w:r>
            <w:r>
              <w:rPr>
                <w:sz w:val="24"/>
                <w:szCs w:val="24"/>
              </w:rPr>
              <w:t>越场、人抬道路，由于项目塔基不可避免的占用了</w:t>
            </w:r>
            <w:r>
              <w:rPr>
                <w:spacing w:val="-1"/>
                <w:sz w:val="24"/>
                <w:szCs w:val="24"/>
              </w:rPr>
              <w:t>永久基本农田，故塔基</w:t>
            </w:r>
            <w:r>
              <w:rPr>
                <w:sz w:val="24"/>
                <w:szCs w:val="24"/>
              </w:rPr>
              <w:t>下方必要的临时施工场地也涉及永久基本农田，但</w:t>
            </w:r>
            <w:r>
              <w:rPr>
                <w:spacing w:val="-1"/>
                <w:sz w:val="24"/>
                <w:szCs w:val="24"/>
              </w:rPr>
              <w:t>铁塔施工简单、扰动面</w:t>
            </w:r>
            <w:r>
              <w:rPr>
                <w:sz w:val="24"/>
                <w:szCs w:val="24"/>
              </w:rPr>
              <w:t>积有限、工期较短，单个塔基临时用地一般不超过</w:t>
            </w:r>
            <w:r>
              <w:rPr>
                <w:spacing w:val="-55"/>
                <w:sz w:val="24"/>
                <w:szCs w:val="24"/>
              </w:rPr>
              <w:t xml:space="preserve"> </w:t>
            </w:r>
            <w:r>
              <w:rPr>
                <w:rFonts w:ascii="Times New Roman" w:hAnsi="Times New Roman" w:eastAsia="Times New Roman" w:cs="Times New Roman"/>
                <w:sz w:val="24"/>
                <w:szCs w:val="24"/>
              </w:rPr>
              <w:t>2</w:t>
            </w:r>
            <w:r>
              <w:rPr>
                <w:rFonts w:ascii="Times New Roman" w:hAnsi="Times New Roman" w:eastAsia="Times New Roman" w:cs="Times New Roman"/>
                <w:spacing w:val="-1"/>
                <w:sz w:val="24"/>
                <w:szCs w:val="24"/>
              </w:rPr>
              <w:t xml:space="preserve"> </w:t>
            </w:r>
            <w:r>
              <w:rPr>
                <w:spacing w:val="-1"/>
                <w:sz w:val="24"/>
                <w:szCs w:val="24"/>
              </w:rPr>
              <w:t>个月。项目开工前，</w:t>
            </w:r>
            <w:r>
              <w:rPr>
                <w:sz w:val="24"/>
                <w:szCs w:val="24"/>
              </w:rPr>
              <w:t>土地征用协调工作完成，塔基最终坐标确定后，按</w:t>
            </w:r>
            <w:r>
              <w:rPr>
                <w:spacing w:val="-1"/>
                <w:sz w:val="24"/>
                <w:szCs w:val="24"/>
              </w:rPr>
              <w:t>要求办理相关土地占用</w:t>
            </w:r>
            <w:r>
              <w:rPr>
                <w:sz w:val="24"/>
                <w:szCs w:val="24"/>
              </w:rPr>
              <w:t>手续。施工结束后，由施工单位对临时占用的土地进行复耕或</w:t>
            </w:r>
            <w:r>
              <w:rPr>
                <w:spacing w:val="-1"/>
                <w:sz w:val="24"/>
                <w:szCs w:val="24"/>
              </w:rPr>
              <w:t>植被恢复，</w:t>
            </w:r>
            <w:r>
              <w:rPr>
                <w:sz w:val="24"/>
                <w:szCs w:val="24"/>
              </w:rPr>
              <w:t>除铁塔的四个支撑脚，其余全部恢复土地原有使用</w:t>
            </w:r>
            <w:r>
              <w:rPr>
                <w:spacing w:val="-1"/>
                <w:sz w:val="24"/>
                <w:szCs w:val="24"/>
              </w:rPr>
              <w:t>功能，此项目基本符合</w:t>
            </w:r>
            <w:r>
              <w:rPr>
                <w:spacing w:val="-2"/>
                <w:sz w:val="24"/>
                <w:szCs w:val="24"/>
              </w:rPr>
              <w:t>《办法》的要求。</w:t>
            </w:r>
          </w:p>
          <w:p w14:paraId="625469F2">
            <w:pPr>
              <w:pStyle w:val="6"/>
              <w:spacing w:line="360" w:lineRule="auto"/>
              <w:ind w:left="16" w:right="61" w:firstLine="4"/>
              <w:rPr>
                <w:sz w:val="24"/>
                <w:szCs w:val="24"/>
              </w:rPr>
            </w:pPr>
            <w:r>
              <w:rPr>
                <w:rFonts w:ascii="Times New Roman" w:hAnsi="Times New Roman" w:eastAsia="Times New Roman" w:cs="Times New Roman"/>
                <w:b/>
                <w:bCs/>
                <w:spacing w:val="-3"/>
                <w:sz w:val="24"/>
                <w:szCs w:val="24"/>
              </w:rPr>
              <w:t>14</w:t>
            </w:r>
            <w:r>
              <w:rPr>
                <w:rFonts w:ascii="Times New Roman" w:hAnsi="Times New Roman" w:eastAsia="Times New Roman" w:cs="Times New Roman"/>
                <w:b/>
                <w:bCs/>
                <w:spacing w:val="-32"/>
                <w:sz w:val="24"/>
                <w:szCs w:val="24"/>
              </w:rPr>
              <w:t xml:space="preserve"> </w:t>
            </w:r>
            <w:r>
              <w:rPr>
                <w:b/>
                <w:bCs/>
                <w:spacing w:val="-3"/>
                <w:sz w:val="24"/>
                <w:szCs w:val="24"/>
              </w:rPr>
              <w:t>、项目与《规范临时用地管理的通知》（自然资源规〔</w:t>
            </w:r>
            <w:r>
              <w:rPr>
                <w:rFonts w:ascii="Times New Roman" w:hAnsi="Times New Roman" w:eastAsia="Times New Roman" w:cs="Times New Roman"/>
                <w:b/>
                <w:bCs/>
                <w:spacing w:val="-3"/>
                <w:sz w:val="24"/>
                <w:szCs w:val="24"/>
              </w:rPr>
              <w:t>2021</w:t>
            </w:r>
            <w:r>
              <w:rPr>
                <w:b/>
                <w:bCs/>
                <w:spacing w:val="-3"/>
                <w:sz w:val="24"/>
                <w:szCs w:val="24"/>
              </w:rPr>
              <w:t>〕</w:t>
            </w:r>
            <w:r>
              <w:rPr>
                <w:rFonts w:ascii="Times New Roman" w:hAnsi="Times New Roman" w:eastAsia="Times New Roman" w:cs="Times New Roman"/>
                <w:b/>
                <w:bCs/>
                <w:spacing w:val="-3"/>
                <w:sz w:val="24"/>
                <w:szCs w:val="24"/>
              </w:rPr>
              <w:t>2</w:t>
            </w:r>
            <w:r>
              <w:rPr>
                <w:rFonts w:ascii="Times New Roman" w:hAnsi="Times New Roman" w:eastAsia="Times New Roman" w:cs="Times New Roman"/>
                <w:b/>
                <w:bCs/>
                <w:spacing w:val="15"/>
                <w:w w:val="101"/>
                <w:sz w:val="24"/>
                <w:szCs w:val="24"/>
              </w:rPr>
              <w:t xml:space="preserve"> </w:t>
            </w:r>
            <w:r>
              <w:rPr>
                <w:b/>
                <w:bCs/>
                <w:spacing w:val="-3"/>
                <w:sz w:val="24"/>
                <w:szCs w:val="24"/>
              </w:rPr>
              <w:t>号）的</w:t>
            </w:r>
            <w:r>
              <w:rPr>
                <w:b/>
                <w:bCs/>
                <w:spacing w:val="-4"/>
                <w:sz w:val="24"/>
                <w:szCs w:val="24"/>
              </w:rPr>
              <w:t>符合性分析</w:t>
            </w:r>
          </w:p>
          <w:p w14:paraId="533860E8">
            <w:pPr>
              <w:pStyle w:val="6"/>
              <w:spacing w:line="219" w:lineRule="auto"/>
              <w:ind w:left="507"/>
              <w:rPr>
                <w:sz w:val="24"/>
                <w:szCs w:val="24"/>
              </w:rPr>
            </w:pPr>
            <w:r>
              <w:rPr>
                <w:spacing w:val="-2"/>
                <w:sz w:val="24"/>
                <w:szCs w:val="24"/>
              </w:rPr>
              <w:t>临时用地选址要求和使用期限：</w:t>
            </w:r>
          </w:p>
          <w:p w14:paraId="6F0D5677">
            <w:pPr>
              <w:pStyle w:val="6"/>
              <w:spacing w:before="184" w:line="355" w:lineRule="auto"/>
              <w:ind w:left="14" w:right="27" w:firstLine="482"/>
              <w:rPr>
                <w:sz w:val="24"/>
                <w:szCs w:val="24"/>
              </w:rPr>
            </w:pPr>
            <w:r>
              <w:rPr>
                <w:spacing w:val="-1"/>
                <w:sz w:val="24"/>
                <w:szCs w:val="24"/>
              </w:rPr>
              <w:t>建设项目施工、地质勘查使用临时用地时应坚持“用多少、批多少、占多少、恢复多少</w:t>
            </w:r>
            <w:r>
              <w:rPr>
                <w:spacing w:val="-88"/>
                <w:sz w:val="24"/>
                <w:szCs w:val="24"/>
              </w:rPr>
              <w:t xml:space="preserve"> </w:t>
            </w:r>
            <w:r>
              <w:rPr>
                <w:spacing w:val="-1"/>
                <w:sz w:val="24"/>
                <w:szCs w:val="24"/>
              </w:rPr>
              <w:t>”，尽量不占或者少占耕地。</w:t>
            </w:r>
            <w:r>
              <w:rPr>
                <w:spacing w:val="-2"/>
                <w:sz w:val="24"/>
                <w:szCs w:val="24"/>
              </w:rPr>
              <w:t>使用后土地复垦难度较大</w:t>
            </w:r>
            <w:r>
              <w:rPr>
                <w:sz w:val="24"/>
                <w:szCs w:val="24"/>
              </w:rPr>
              <w:t>的临时用地，要严格控制占用耕地。铁路、公路</w:t>
            </w:r>
            <w:r>
              <w:rPr>
                <w:spacing w:val="-1"/>
                <w:sz w:val="24"/>
                <w:szCs w:val="24"/>
              </w:rPr>
              <w:t>等单独选址建设项目，应</w:t>
            </w:r>
            <w:r>
              <w:rPr>
                <w:sz w:val="24"/>
                <w:szCs w:val="24"/>
              </w:rPr>
              <w:t>科学组织施工，节约集约使用临时用地。制梁场</w:t>
            </w:r>
            <w:r>
              <w:rPr>
                <w:spacing w:val="-1"/>
                <w:sz w:val="24"/>
                <w:szCs w:val="24"/>
              </w:rPr>
              <w:t>、拌合站等难以恢复原种</w:t>
            </w:r>
            <w:r>
              <w:rPr>
                <w:sz w:val="24"/>
                <w:szCs w:val="24"/>
              </w:rPr>
              <w:t>植条件的不得以临时用地方式占用耕地和永久基</w:t>
            </w:r>
            <w:r>
              <w:rPr>
                <w:spacing w:val="-1"/>
                <w:sz w:val="24"/>
                <w:szCs w:val="24"/>
              </w:rPr>
              <w:t>本农田，可以建设用地方</w:t>
            </w:r>
          </w:p>
        </w:tc>
      </w:tr>
    </w:tbl>
    <w:p w14:paraId="7D94609A">
      <w:pPr>
        <w:rPr>
          <w:rFonts w:ascii="Arial"/>
          <w:sz w:val="21"/>
        </w:rPr>
      </w:pPr>
    </w:p>
    <w:p w14:paraId="0AE003F3">
      <w:pPr>
        <w:rPr>
          <w:rFonts w:ascii="Arial" w:hAnsi="Arial" w:eastAsia="Arial" w:cs="Arial"/>
          <w:sz w:val="21"/>
          <w:szCs w:val="21"/>
        </w:rPr>
        <w:sectPr>
          <w:footerReference r:id="rId31" w:type="default"/>
          <w:pgSz w:w="11907" w:h="16840"/>
          <w:pgMar w:top="400" w:right="1786" w:bottom="1240" w:left="1774" w:header="0" w:footer="1077" w:gutter="0"/>
          <w:cols w:space="720" w:num="1"/>
        </w:sectPr>
      </w:pPr>
    </w:p>
    <w:p w14:paraId="549CED7C">
      <w:pPr>
        <w:spacing w:before="19"/>
      </w:pPr>
    </w:p>
    <w:p w14:paraId="21CBEEA1">
      <w:pPr>
        <w:spacing w:before="19"/>
      </w:pPr>
    </w:p>
    <w:p w14:paraId="6AD92FDF">
      <w:pPr>
        <w:spacing w:before="18"/>
      </w:pPr>
    </w:p>
    <w:p w14:paraId="377AA774">
      <w:pPr>
        <w:spacing w:before="18"/>
      </w:pPr>
    </w:p>
    <w:tbl>
      <w:tblPr>
        <w:tblStyle w:val="5"/>
        <w:tblW w:w="813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1"/>
        <w:gridCol w:w="60"/>
        <w:gridCol w:w="3798"/>
        <w:gridCol w:w="3371"/>
        <w:gridCol w:w="425"/>
        <w:gridCol w:w="69"/>
      </w:tblGrid>
      <w:tr w14:paraId="04725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7" w:hRule="atLeast"/>
        </w:trPr>
        <w:tc>
          <w:tcPr>
            <w:tcW w:w="411" w:type="dxa"/>
            <w:tcBorders>
              <w:top w:val="single" w:color="000000" w:sz="6" w:space="0"/>
              <w:left w:val="single" w:color="000000" w:sz="6" w:space="0"/>
              <w:bottom w:val="nil"/>
            </w:tcBorders>
            <w:vAlign w:val="top"/>
          </w:tcPr>
          <w:p w14:paraId="0A288F67">
            <w:pPr>
              <w:rPr>
                <w:rFonts w:ascii="Arial"/>
                <w:sz w:val="21"/>
              </w:rPr>
            </w:pPr>
          </w:p>
        </w:tc>
        <w:tc>
          <w:tcPr>
            <w:tcW w:w="7723" w:type="dxa"/>
            <w:gridSpan w:val="5"/>
            <w:tcBorders>
              <w:top w:val="single" w:color="000000" w:sz="6" w:space="0"/>
              <w:right w:val="single" w:color="000000" w:sz="6" w:space="0"/>
            </w:tcBorders>
            <w:vAlign w:val="top"/>
          </w:tcPr>
          <w:p w14:paraId="6C5A569C">
            <w:pPr>
              <w:pStyle w:val="6"/>
              <w:spacing w:before="56" w:line="359" w:lineRule="auto"/>
              <w:ind w:left="15" w:right="27" w:firstLine="3"/>
              <w:jc w:val="both"/>
              <w:rPr>
                <w:sz w:val="24"/>
                <w:szCs w:val="24"/>
              </w:rPr>
            </w:pPr>
            <w:r>
              <w:rPr>
                <w:spacing w:val="-1"/>
                <w:sz w:val="24"/>
                <w:szCs w:val="24"/>
              </w:rPr>
              <w:t>式或者临时占用未利用地方式使用土地。临时用地确需占用永久基本农田</w:t>
            </w:r>
            <w:r>
              <w:rPr>
                <w:sz w:val="24"/>
                <w:szCs w:val="24"/>
              </w:rPr>
              <w:t>的，必须能够恢复原种植条件，并符合《自然</w:t>
            </w:r>
            <w:r>
              <w:rPr>
                <w:spacing w:val="-1"/>
                <w:sz w:val="24"/>
                <w:szCs w:val="24"/>
              </w:rPr>
              <w:t>资源部农业农村部关于加强和改进永久基本农田保护工作的通知》（自然资规〔</w:t>
            </w:r>
            <w:r>
              <w:rPr>
                <w:rFonts w:ascii="Times New Roman" w:hAnsi="Times New Roman" w:eastAsia="Times New Roman" w:cs="Times New Roman"/>
                <w:spacing w:val="-1"/>
                <w:sz w:val="24"/>
                <w:szCs w:val="24"/>
              </w:rPr>
              <w:t>2019</w:t>
            </w:r>
            <w:r>
              <w:rPr>
                <w:spacing w:val="-1"/>
                <w:sz w:val="24"/>
                <w:szCs w:val="24"/>
              </w:rPr>
              <w:t>〕</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22"/>
                <w:w w:val="101"/>
                <w:sz w:val="24"/>
                <w:szCs w:val="24"/>
              </w:rPr>
              <w:t xml:space="preserve"> </w:t>
            </w:r>
            <w:r>
              <w:rPr>
                <w:spacing w:val="-1"/>
                <w:sz w:val="24"/>
                <w:szCs w:val="24"/>
              </w:rPr>
              <w:t>号）中申请条件、土壤剥离、复垦验收等有关规定。</w:t>
            </w:r>
          </w:p>
          <w:p w14:paraId="45BB018F">
            <w:pPr>
              <w:pStyle w:val="6"/>
              <w:spacing w:before="1" w:line="359" w:lineRule="auto"/>
              <w:ind w:left="15" w:right="10" w:firstLine="492"/>
              <w:jc w:val="both"/>
              <w:rPr>
                <w:sz w:val="24"/>
                <w:szCs w:val="24"/>
              </w:rPr>
            </w:pPr>
            <w:r>
              <w:rPr>
                <w:sz w:val="24"/>
                <w:szCs w:val="24"/>
              </w:rPr>
              <w:t>临时用地使用期限一般不超过两年。建设周期较长的</w:t>
            </w:r>
            <w:r>
              <w:rPr>
                <w:spacing w:val="-1"/>
                <w:sz w:val="24"/>
                <w:szCs w:val="24"/>
              </w:rPr>
              <w:t>能源、交通、水</w:t>
            </w:r>
            <w:r>
              <w:rPr>
                <w:sz w:val="24"/>
                <w:szCs w:val="24"/>
              </w:rPr>
              <w:t>利等基础设施建设项目施工使用的临时用地，期限不超过四年。临时用地</w:t>
            </w:r>
            <w:r>
              <w:rPr>
                <w:spacing w:val="-1"/>
                <w:sz w:val="24"/>
                <w:szCs w:val="24"/>
              </w:rPr>
              <w:t>使用期限，从批准之日起算。</w:t>
            </w:r>
          </w:p>
          <w:p w14:paraId="44358B15">
            <w:pPr>
              <w:pStyle w:val="6"/>
              <w:spacing w:before="1" w:line="359" w:lineRule="auto"/>
              <w:ind w:left="13" w:firstLine="479"/>
              <w:jc w:val="both"/>
              <w:rPr>
                <w:sz w:val="24"/>
                <w:szCs w:val="24"/>
              </w:rPr>
            </w:pPr>
            <w:r>
              <w:rPr>
                <w:b/>
                <w:bCs/>
                <w:spacing w:val="-2"/>
                <w:sz w:val="24"/>
                <w:szCs w:val="24"/>
              </w:rPr>
              <w:t>符合性：</w:t>
            </w:r>
            <w:r>
              <w:rPr>
                <w:spacing w:val="-2"/>
                <w:sz w:val="24"/>
                <w:szCs w:val="24"/>
              </w:rPr>
              <w:t>本项目的临时用地主要有塔基下方的施工场地、牵张场、跨</w:t>
            </w:r>
            <w:r>
              <w:rPr>
                <w:spacing w:val="-1"/>
                <w:sz w:val="24"/>
                <w:szCs w:val="24"/>
              </w:rPr>
              <w:t>越场、人抬道路，由于项目塔基不可避免的占用</w:t>
            </w:r>
            <w:r>
              <w:rPr>
                <w:spacing w:val="-2"/>
                <w:sz w:val="24"/>
                <w:szCs w:val="24"/>
              </w:rPr>
              <w:t>耕地，故塔基下方必要的</w:t>
            </w:r>
            <w:r>
              <w:rPr>
                <w:sz w:val="24"/>
                <w:szCs w:val="24"/>
              </w:rPr>
              <w:t>临时施工场地也涉及耕地，但铁塔施工简单</w:t>
            </w:r>
            <w:r>
              <w:rPr>
                <w:spacing w:val="-1"/>
                <w:sz w:val="24"/>
                <w:szCs w:val="24"/>
              </w:rPr>
              <w:t>、扰动面积有限、工期较短，</w:t>
            </w:r>
            <w:r>
              <w:rPr>
                <w:spacing w:val="-2"/>
                <w:sz w:val="24"/>
                <w:szCs w:val="24"/>
              </w:rPr>
              <w:t>单个塔基临时用地一般不超过</w:t>
            </w:r>
            <w:r>
              <w:rPr>
                <w:spacing w:val="-37"/>
                <w:sz w:val="24"/>
                <w:szCs w:val="24"/>
              </w:rPr>
              <w:t xml:space="preserve"> </w:t>
            </w:r>
            <w:r>
              <w:rPr>
                <w:rFonts w:ascii="Times New Roman" w:hAnsi="Times New Roman" w:eastAsia="Times New Roman" w:cs="Times New Roman"/>
                <w:spacing w:val="-2"/>
                <w:sz w:val="24"/>
                <w:szCs w:val="24"/>
              </w:rPr>
              <w:t xml:space="preserve">2 </w:t>
            </w:r>
            <w:r>
              <w:rPr>
                <w:spacing w:val="-2"/>
                <w:sz w:val="24"/>
                <w:szCs w:val="24"/>
              </w:rPr>
              <w:t>个月。项目开工前，土地征用协调工作完</w:t>
            </w:r>
            <w:r>
              <w:rPr>
                <w:sz w:val="24"/>
                <w:szCs w:val="24"/>
              </w:rPr>
              <w:t>成，塔基最终坐标确定后，按要求办理相关</w:t>
            </w:r>
            <w:r>
              <w:rPr>
                <w:spacing w:val="-1"/>
                <w:sz w:val="24"/>
                <w:szCs w:val="24"/>
              </w:rPr>
              <w:t>土地占用手续。施工结束后，</w:t>
            </w:r>
            <w:r>
              <w:rPr>
                <w:spacing w:val="-7"/>
                <w:sz w:val="24"/>
                <w:szCs w:val="24"/>
              </w:rPr>
              <w:t>由施工单位对临时占用的土地进行复耕或植被恢复，除铁塔的四个支撑脚，</w:t>
            </w:r>
            <w:r>
              <w:rPr>
                <w:spacing w:val="-2"/>
                <w:sz w:val="24"/>
                <w:szCs w:val="24"/>
              </w:rPr>
              <w:t>其余全部恢复土地原有使用功能，因此项目基本符合《通知》的要求。</w:t>
            </w:r>
          </w:p>
          <w:p w14:paraId="7F874E30">
            <w:pPr>
              <w:pStyle w:val="6"/>
              <w:spacing w:line="218" w:lineRule="auto"/>
              <w:jc w:val="right"/>
              <w:rPr>
                <w:sz w:val="24"/>
                <w:szCs w:val="24"/>
              </w:rPr>
            </w:pPr>
            <w:r>
              <w:rPr>
                <w:rFonts w:ascii="Times New Roman" w:hAnsi="Times New Roman" w:eastAsia="Times New Roman" w:cs="Times New Roman"/>
                <w:b/>
                <w:bCs/>
                <w:spacing w:val="-9"/>
                <w:sz w:val="24"/>
                <w:szCs w:val="24"/>
              </w:rPr>
              <w:t>15</w:t>
            </w:r>
            <w:r>
              <w:rPr>
                <w:b/>
                <w:bCs/>
                <w:spacing w:val="-9"/>
                <w:sz w:val="24"/>
                <w:szCs w:val="24"/>
              </w:rPr>
              <w:t>、与《中华人民共和国基本农田保护条例》《云南省基本农田保</w:t>
            </w:r>
            <w:r>
              <w:rPr>
                <w:b/>
                <w:bCs/>
                <w:spacing w:val="-10"/>
                <w:sz w:val="24"/>
                <w:szCs w:val="24"/>
              </w:rPr>
              <w:t>护条例》</w:t>
            </w:r>
          </w:p>
          <w:p w14:paraId="7135D2B8">
            <w:pPr>
              <w:pStyle w:val="6"/>
              <w:spacing w:before="176" w:line="219" w:lineRule="auto"/>
              <w:ind w:left="20"/>
              <w:rPr>
                <w:sz w:val="24"/>
                <w:szCs w:val="24"/>
              </w:rPr>
            </w:pPr>
            <w:r>
              <w:rPr>
                <w:b/>
                <w:bCs/>
                <w:spacing w:val="-3"/>
                <w:sz w:val="24"/>
                <w:szCs w:val="24"/>
              </w:rPr>
              <w:t>《永久基本农田保护红线管理办法》的符合性分析</w:t>
            </w:r>
          </w:p>
          <w:p w14:paraId="0E07C1B5">
            <w:pPr>
              <w:pStyle w:val="6"/>
              <w:spacing w:before="207" w:line="201" w:lineRule="auto"/>
              <w:ind w:left="601"/>
              <w:rPr>
                <w:sz w:val="24"/>
                <w:szCs w:val="24"/>
              </w:rPr>
            </w:pPr>
            <w:r>
              <w:rPr>
                <w:b/>
                <w:bCs/>
                <w:spacing w:val="-2"/>
                <w:sz w:val="24"/>
                <w:szCs w:val="24"/>
              </w:rPr>
              <w:t>表</w:t>
            </w:r>
            <w:r>
              <w:rPr>
                <w:spacing w:val="-45"/>
                <w:sz w:val="24"/>
                <w:szCs w:val="24"/>
              </w:rPr>
              <w:t xml:space="preserve"> </w:t>
            </w:r>
            <w:r>
              <w:rPr>
                <w:rFonts w:ascii="Times New Roman" w:hAnsi="Times New Roman" w:eastAsia="Times New Roman" w:cs="Times New Roman"/>
                <w:b/>
                <w:bCs/>
                <w:spacing w:val="-2"/>
                <w:sz w:val="24"/>
                <w:szCs w:val="24"/>
              </w:rPr>
              <w:t xml:space="preserve">1-10    </w:t>
            </w:r>
            <w:r>
              <w:rPr>
                <w:b/>
                <w:bCs/>
                <w:spacing w:val="-2"/>
                <w:sz w:val="24"/>
                <w:szCs w:val="24"/>
              </w:rPr>
              <w:t>项目与《中华人民共和国基本农田保护条例》符合性</w:t>
            </w:r>
            <w:r>
              <w:rPr>
                <w:b/>
                <w:bCs/>
                <w:spacing w:val="-3"/>
                <w:sz w:val="24"/>
                <w:szCs w:val="24"/>
              </w:rPr>
              <w:t>分析</w:t>
            </w:r>
          </w:p>
        </w:tc>
      </w:tr>
      <w:tr w14:paraId="2BA4D0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11" w:type="dxa"/>
            <w:tcBorders>
              <w:top w:val="nil"/>
              <w:left w:val="single" w:color="000000" w:sz="6" w:space="0"/>
              <w:bottom w:val="nil"/>
            </w:tcBorders>
            <w:vAlign w:val="top"/>
          </w:tcPr>
          <w:p w14:paraId="775C1CA6">
            <w:pPr>
              <w:rPr>
                <w:rFonts w:ascii="Arial"/>
                <w:sz w:val="21"/>
              </w:rPr>
            </w:pPr>
          </w:p>
        </w:tc>
        <w:tc>
          <w:tcPr>
            <w:tcW w:w="60" w:type="dxa"/>
            <w:tcBorders>
              <w:top w:val="nil"/>
              <w:bottom w:val="nil"/>
            </w:tcBorders>
            <w:vAlign w:val="top"/>
          </w:tcPr>
          <w:p w14:paraId="5638A04C">
            <w:pPr>
              <w:rPr>
                <w:rFonts w:ascii="Arial"/>
                <w:sz w:val="21"/>
              </w:rPr>
            </w:pPr>
          </w:p>
        </w:tc>
        <w:tc>
          <w:tcPr>
            <w:tcW w:w="3798" w:type="dxa"/>
            <w:shd w:val="clear" w:color="auto" w:fill="A4A4A4"/>
            <w:vAlign w:val="top"/>
          </w:tcPr>
          <w:p w14:paraId="01868D10">
            <w:pPr>
              <w:spacing w:line="245" w:lineRule="auto"/>
              <w:rPr>
                <w:rFonts w:ascii="Arial"/>
                <w:sz w:val="21"/>
              </w:rPr>
            </w:pPr>
          </w:p>
          <w:p w14:paraId="14B1290F">
            <w:pPr>
              <w:pStyle w:val="6"/>
              <w:spacing w:before="65" w:line="228" w:lineRule="auto"/>
              <w:ind w:left="1481"/>
            </w:pPr>
            <w:r>
              <w:rPr>
                <w:b/>
                <w:bCs/>
                <w:spacing w:val="5"/>
              </w:rPr>
              <w:t>条例要求</w:t>
            </w:r>
          </w:p>
        </w:tc>
        <w:tc>
          <w:tcPr>
            <w:tcW w:w="3371" w:type="dxa"/>
            <w:shd w:val="clear" w:color="auto" w:fill="A4A4A4"/>
            <w:vAlign w:val="top"/>
          </w:tcPr>
          <w:p w14:paraId="221AA0D3">
            <w:pPr>
              <w:spacing w:line="246" w:lineRule="auto"/>
              <w:rPr>
                <w:rFonts w:ascii="Arial"/>
                <w:sz w:val="21"/>
              </w:rPr>
            </w:pPr>
          </w:p>
          <w:p w14:paraId="20D10EBD">
            <w:pPr>
              <w:pStyle w:val="6"/>
              <w:spacing w:before="65" w:line="228" w:lineRule="auto"/>
              <w:ind w:left="1275"/>
            </w:pPr>
            <w:r>
              <w:rPr>
                <w:b/>
                <w:bCs/>
                <w:spacing w:val="5"/>
              </w:rPr>
              <w:t>项目情况</w:t>
            </w:r>
          </w:p>
        </w:tc>
        <w:tc>
          <w:tcPr>
            <w:tcW w:w="425" w:type="dxa"/>
            <w:shd w:val="clear" w:color="auto" w:fill="A4A4A4"/>
            <w:textDirection w:val="tbRlV"/>
            <w:vAlign w:val="top"/>
          </w:tcPr>
          <w:p w14:paraId="0A8A105B">
            <w:pPr>
              <w:pStyle w:val="6"/>
              <w:spacing w:before="100" w:line="215" w:lineRule="auto"/>
              <w:ind w:left="38"/>
            </w:pPr>
            <w:r>
              <w:rPr>
                <w:b/>
                <w:bCs/>
                <w:spacing w:val="6"/>
              </w:rPr>
              <w:t>符</w:t>
            </w:r>
            <w:r>
              <w:rPr>
                <w:spacing w:val="-35"/>
              </w:rPr>
              <w:t xml:space="preserve"> </w:t>
            </w:r>
            <w:r>
              <w:rPr>
                <w:b/>
                <w:bCs/>
                <w:spacing w:val="6"/>
              </w:rPr>
              <w:t>合</w:t>
            </w:r>
            <w:r>
              <w:rPr>
                <w:spacing w:val="-37"/>
              </w:rPr>
              <w:t xml:space="preserve"> </w:t>
            </w:r>
            <w:r>
              <w:rPr>
                <w:b/>
                <w:bCs/>
                <w:spacing w:val="6"/>
              </w:rPr>
              <w:t>性</w:t>
            </w:r>
          </w:p>
        </w:tc>
        <w:tc>
          <w:tcPr>
            <w:tcW w:w="69" w:type="dxa"/>
            <w:tcBorders>
              <w:top w:val="nil"/>
              <w:bottom w:val="nil"/>
              <w:right w:val="single" w:color="000000" w:sz="6" w:space="0"/>
            </w:tcBorders>
            <w:vAlign w:val="top"/>
          </w:tcPr>
          <w:p w14:paraId="0229E1DB">
            <w:pPr>
              <w:rPr>
                <w:rFonts w:ascii="Arial"/>
                <w:sz w:val="21"/>
              </w:rPr>
            </w:pPr>
          </w:p>
        </w:tc>
      </w:tr>
      <w:tr w14:paraId="3034DE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6" w:hRule="atLeast"/>
        </w:trPr>
        <w:tc>
          <w:tcPr>
            <w:tcW w:w="411" w:type="dxa"/>
            <w:vMerge w:val="restart"/>
            <w:tcBorders>
              <w:top w:val="nil"/>
              <w:left w:val="single" w:color="000000" w:sz="6" w:space="0"/>
              <w:bottom w:val="nil"/>
            </w:tcBorders>
            <w:vAlign w:val="top"/>
          </w:tcPr>
          <w:p w14:paraId="0E389743">
            <w:pPr>
              <w:rPr>
                <w:rFonts w:ascii="Arial"/>
                <w:sz w:val="21"/>
              </w:rPr>
            </w:pPr>
          </w:p>
        </w:tc>
        <w:tc>
          <w:tcPr>
            <w:tcW w:w="60" w:type="dxa"/>
            <w:tcBorders>
              <w:top w:val="nil"/>
              <w:bottom w:val="nil"/>
            </w:tcBorders>
            <w:vAlign w:val="top"/>
          </w:tcPr>
          <w:p w14:paraId="5263D6E6">
            <w:pPr>
              <w:rPr>
                <w:rFonts w:ascii="Arial"/>
                <w:sz w:val="21"/>
              </w:rPr>
            </w:pPr>
          </w:p>
        </w:tc>
        <w:tc>
          <w:tcPr>
            <w:tcW w:w="3798" w:type="dxa"/>
            <w:vAlign w:val="top"/>
          </w:tcPr>
          <w:p w14:paraId="373C96E0">
            <w:pPr>
              <w:pStyle w:val="6"/>
              <w:spacing w:before="41" w:line="252" w:lineRule="auto"/>
              <w:ind w:left="106" w:right="37"/>
              <w:jc w:val="both"/>
            </w:pPr>
            <w:r>
              <w:rPr>
                <w:spacing w:val="16"/>
              </w:rPr>
              <w:t>第十五条 基本农田保护区经依法划定</w:t>
            </w:r>
            <w:r>
              <w:rPr>
                <w:spacing w:val="2"/>
              </w:rPr>
              <w:t>后，任何单位和个人不得改变或者占用。</w:t>
            </w:r>
            <w:r>
              <w:rPr>
                <w:spacing w:val="10"/>
              </w:rPr>
              <w:t>国家能源、交通、水利、军事设施等重点建设项目选址确实无法避开基本农田保护区，需要占用基本农田，涉及农用地转用或者征用土地的，必须经国务院</w:t>
            </w:r>
            <w:r>
              <w:rPr>
                <w:spacing w:val="3"/>
              </w:rPr>
              <w:t>批准。</w:t>
            </w:r>
          </w:p>
        </w:tc>
        <w:tc>
          <w:tcPr>
            <w:tcW w:w="3371" w:type="dxa"/>
            <w:vAlign w:val="top"/>
          </w:tcPr>
          <w:p w14:paraId="660B498D">
            <w:pPr>
              <w:pStyle w:val="6"/>
              <w:spacing w:before="46" w:line="248" w:lineRule="auto"/>
              <w:ind w:left="112" w:right="45" w:firstLine="1"/>
              <w:jc w:val="both"/>
            </w:pPr>
            <w:r>
              <w:rPr>
                <w:spacing w:val="10"/>
              </w:rPr>
              <w:t>本项目为输变电项目，线路塔基无</w:t>
            </w:r>
            <w:r>
              <w:t>法避开、需要占用基本农田保护区；</w:t>
            </w:r>
            <w:r>
              <w:rPr>
                <w:spacing w:val="10"/>
              </w:rPr>
              <w:t>根据《云南省人民政府办公厅印发省发展改革委关于加强云南电网规划建设实施意见的通知》（云政办</w:t>
            </w:r>
            <w:r>
              <w:rPr>
                <w:spacing w:val="7"/>
              </w:rPr>
              <w:t>发〔</w:t>
            </w:r>
            <w:r>
              <w:rPr>
                <w:rFonts w:ascii="Times New Roman" w:hAnsi="Times New Roman" w:eastAsia="Times New Roman" w:cs="Times New Roman"/>
                <w:spacing w:val="7"/>
              </w:rPr>
              <w:t>2008</w:t>
            </w:r>
            <w:r>
              <w:rPr>
                <w:spacing w:val="7"/>
              </w:rPr>
              <w:t>〕</w:t>
            </w:r>
            <w:r>
              <w:rPr>
                <w:spacing w:val="-46"/>
              </w:rPr>
              <w:t xml:space="preserve"> </w:t>
            </w:r>
            <w:r>
              <w:rPr>
                <w:rFonts w:ascii="Times New Roman" w:hAnsi="Times New Roman" w:eastAsia="Times New Roman" w:cs="Times New Roman"/>
                <w:spacing w:val="7"/>
              </w:rPr>
              <w:t>142</w:t>
            </w:r>
            <w:r>
              <w:rPr>
                <w:rFonts w:ascii="Times New Roman" w:hAnsi="Times New Roman" w:eastAsia="Times New Roman" w:cs="Times New Roman"/>
                <w:spacing w:val="20"/>
              </w:rPr>
              <w:t xml:space="preserve"> </w:t>
            </w:r>
            <w:r>
              <w:rPr>
                <w:spacing w:val="7"/>
              </w:rPr>
              <w:t>号）文件：输电线</w:t>
            </w:r>
            <w:r>
              <w:rPr>
                <w:spacing w:val="10"/>
              </w:rPr>
              <w:t>路塔基建设用地，原则上按属地管理以县（市、区）为单位打捆上报农用地转用审批，不再办理集体土地征收审批手续。塔基建设用地补偿必须依法保障当地群众的正当权</w:t>
            </w:r>
            <w:r>
              <w:t>益，经济补偿要符合国家有关规定，</w:t>
            </w:r>
            <w:r>
              <w:rPr>
                <w:spacing w:val="10"/>
              </w:rPr>
              <w:t>并切实做好群众工作；塔基用地只做土地登记备案，不颁发土地使用</w:t>
            </w:r>
            <w:r>
              <w:rPr>
                <w:spacing w:val="7"/>
              </w:rPr>
              <w:t>证，不得上市。</w:t>
            </w:r>
          </w:p>
        </w:tc>
        <w:tc>
          <w:tcPr>
            <w:tcW w:w="425" w:type="dxa"/>
            <w:textDirection w:val="tbRlV"/>
            <w:vAlign w:val="top"/>
          </w:tcPr>
          <w:p w14:paraId="121098EF">
            <w:pPr>
              <w:pStyle w:val="6"/>
              <w:spacing w:before="100" w:line="215" w:lineRule="auto"/>
              <w:ind w:left="1809"/>
            </w:pPr>
            <w:r>
              <w:rPr>
                <w:spacing w:val="8"/>
              </w:rPr>
              <w:t>符</w:t>
            </w:r>
            <w:r>
              <w:rPr>
                <w:spacing w:val="-35"/>
              </w:rPr>
              <w:t xml:space="preserve"> </w:t>
            </w:r>
            <w:r>
              <w:rPr>
                <w:spacing w:val="8"/>
              </w:rPr>
              <w:t>合</w:t>
            </w:r>
          </w:p>
        </w:tc>
        <w:tc>
          <w:tcPr>
            <w:tcW w:w="69" w:type="dxa"/>
            <w:tcBorders>
              <w:top w:val="nil"/>
              <w:bottom w:val="nil"/>
              <w:right w:val="single" w:color="000000" w:sz="6" w:space="0"/>
            </w:tcBorders>
            <w:vAlign w:val="top"/>
          </w:tcPr>
          <w:p w14:paraId="6A500317">
            <w:pPr>
              <w:rPr>
                <w:rFonts w:ascii="Arial"/>
                <w:sz w:val="21"/>
              </w:rPr>
            </w:pPr>
          </w:p>
        </w:tc>
      </w:tr>
      <w:tr w14:paraId="6AA8D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5" w:hRule="atLeast"/>
        </w:trPr>
        <w:tc>
          <w:tcPr>
            <w:tcW w:w="411" w:type="dxa"/>
            <w:vMerge w:val="continue"/>
            <w:tcBorders>
              <w:top w:val="nil"/>
              <w:left w:val="single" w:color="000000" w:sz="6" w:space="0"/>
              <w:bottom w:val="single" w:color="000000" w:sz="6" w:space="0"/>
            </w:tcBorders>
            <w:vAlign w:val="top"/>
          </w:tcPr>
          <w:p w14:paraId="76763DAA">
            <w:pPr>
              <w:rPr>
                <w:rFonts w:ascii="Arial"/>
                <w:sz w:val="21"/>
              </w:rPr>
            </w:pPr>
          </w:p>
        </w:tc>
        <w:tc>
          <w:tcPr>
            <w:tcW w:w="60" w:type="dxa"/>
            <w:tcBorders>
              <w:top w:val="nil"/>
              <w:bottom w:val="single" w:color="000000" w:sz="6" w:space="0"/>
            </w:tcBorders>
            <w:vAlign w:val="top"/>
          </w:tcPr>
          <w:p w14:paraId="588088C6">
            <w:pPr>
              <w:rPr>
                <w:rFonts w:ascii="Arial"/>
                <w:sz w:val="21"/>
              </w:rPr>
            </w:pPr>
          </w:p>
        </w:tc>
        <w:tc>
          <w:tcPr>
            <w:tcW w:w="3798" w:type="dxa"/>
            <w:tcBorders>
              <w:bottom w:val="single" w:color="000000" w:sz="6" w:space="0"/>
            </w:tcBorders>
            <w:vAlign w:val="top"/>
          </w:tcPr>
          <w:p w14:paraId="6BF80DD8">
            <w:pPr>
              <w:pStyle w:val="6"/>
              <w:spacing w:before="44" w:line="247" w:lineRule="auto"/>
              <w:ind w:left="106" w:right="105"/>
              <w:jc w:val="both"/>
            </w:pPr>
            <w:r>
              <w:rPr>
                <w:spacing w:val="16"/>
              </w:rPr>
              <w:t>第十六条 经国务院批准占用基本农田</w:t>
            </w:r>
            <w:r>
              <w:rPr>
                <w:spacing w:val="10"/>
              </w:rPr>
              <w:t>的，当地人民政府应当按照国务院的批准文件修改土地利用总体规划，并补充</w:t>
            </w:r>
            <w:r>
              <w:rPr>
                <w:spacing w:val="7"/>
              </w:rPr>
              <w:t>划入数量和质量相当的基本农田。</w:t>
            </w:r>
            <w:r>
              <w:rPr>
                <w:spacing w:val="-40"/>
              </w:rPr>
              <w:t xml:space="preserve"> </w:t>
            </w:r>
            <w:r>
              <w:rPr>
                <w:spacing w:val="7"/>
              </w:rPr>
              <w:t>占用</w:t>
            </w:r>
          </w:p>
        </w:tc>
        <w:tc>
          <w:tcPr>
            <w:tcW w:w="3371" w:type="dxa"/>
            <w:tcBorders>
              <w:bottom w:val="single" w:color="000000" w:sz="6" w:space="0"/>
            </w:tcBorders>
            <w:vAlign w:val="top"/>
          </w:tcPr>
          <w:p w14:paraId="6498E510">
            <w:pPr>
              <w:pStyle w:val="6"/>
              <w:spacing w:before="44" w:line="247" w:lineRule="auto"/>
              <w:ind w:left="113" w:right="99"/>
              <w:jc w:val="both"/>
            </w:pPr>
            <w:r>
              <w:rPr>
                <w:spacing w:val="10"/>
              </w:rPr>
              <w:t>本项目塔基占用永久基本农田及耕地，将按照要求办理用地手续。所占用基本农田耕作层的土壤用于周</w:t>
            </w:r>
            <w:r>
              <w:rPr>
                <w:spacing w:val="8"/>
              </w:rPr>
              <w:t>围耕地的土壤改良。</w:t>
            </w:r>
          </w:p>
        </w:tc>
        <w:tc>
          <w:tcPr>
            <w:tcW w:w="425" w:type="dxa"/>
            <w:tcBorders>
              <w:bottom w:val="single" w:color="000000" w:sz="6" w:space="0"/>
            </w:tcBorders>
            <w:textDirection w:val="tbRlV"/>
            <w:vAlign w:val="top"/>
          </w:tcPr>
          <w:p w14:paraId="61C35259">
            <w:pPr>
              <w:pStyle w:val="6"/>
              <w:spacing w:before="100" w:line="215" w:lineRule="auto"/>
              <w:ind w:left="315"/>
            </w:pPr>
            <w:r>
              <w:rPr>
                <w:spacing w:val="8"/>
              </w:rPr>
              <w:t>符</w:t>
            </w:r>
            <w:r>
              <w:rPr>
                <w:spacing w:val="-35"/>
              </w:rPr>
              <w:t xml:space="preserve"> </w:t>
            </w:r>
            <w:r>
              <w:rPr>
                <w:spacing w:val="8"/>
              </w:rPr>
              <w:t>合</w:t>
            </w:r>
          </w:p>
        </w:tc>
        <w:tc>
          <w:tcPr>
            <w:tcW w:w="69" w:type="dxa"/>
            <w:tcBorders>
              <w:top w:val="nil"/>
              <w:bottom w:val="single" w:color="000000" w:sz="6" w:space="0"/>
              <w:right w:val="single" w:color="000000" w:sz="6" w:space="0"/>
            </w:tcBorders>
            <w:vAlign w:val="top"/>
          </w:tcPr>
          <w:p w14:paraId="0057DAF7">
            <w:pPr>
              <w:rPr>
                <w:rFonts w:ascii="Arial"/>
                <w:sz w:val="21"/>
              </w:rPr>
            </w:pPr>
          </w:p>
        </w:tc>
      </w:tr>
    </w:tbl>
    <w:p w14:paraId="3290133A">
      <w:pPr>
        <w:rPr>
          <w:rFonts w:ascii="Arial"/>
          <w:sz w:val="21"/>
        </w:rPr>
      </w:pPr>
    </w:p>
    <w:p w14:paraId="154C14A5">
      <w:pPr>
        <w:rPr>
          <w:rFonts w:ascii="Arial" w:hAnsi="Arial" w:eastAsia="Arial" w:cs="Arial"/>
          <w:sz w:val="21"/>
          <w:szCs w:val="21"/>
        </w:rPr>
        <w:sectPr>
          <w:footerReference r:id="rId32" w:type="default"/>
          <w:pgSz w:w="11907" w:h="16840"/>
          <w:pgMar w:top="400" w:right="1786" w:bottom="1240" w:left="1774" w:header="0" w:footer="1077" w:gutter="0"/>
          <w:cols w:space="720" w:num="1"/>
        </w:sectPr>
      </w:pPr>
    </w:p>
    <w:p w14:paraId="39AAE650">
      <w:pPr>
        <w:spacing w:before="19"/>
      </w:pPr>
    </w:p>
    <w:p w14:paraId="44EF30D1">
      <w:pPr>
        <w:spacing w:before="19"/>
      </w:pPr>
    </w:p>
    <w:p w14:paraId="6041B0F6">
      <w:pPr>
        <w:spacing w:before="18"/>
      </w:pPr>
    </w:p>
    <w:p w14:paraId="01754CCA">
      <w:pPr>
        <w:spacing w:before="18"/>
      </w:pPr>
    </w:p>
    <w:tbl>
      <w:tblPr>
        <w:tblStyle w:val="5"/>
        <w:tblW w:w="813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1"/>
        <w:gridCol w:w="60"/>
        <w:gridCol w:w="3798"/>
        <w:gridCol w:w="84"/>
        <w:gridCol w:w="3183"/>
        <w:gridCol w:w="104"/>
        <w:gridCol w:w="494"/>
      </w:tblGrid>
      <w:tr w14:paraId="399D4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6" w:hRule="atLeast"/>
        </w:trPr>
        <w:tc>
          <w:tcPr>
            <w:tcW w:w="411" w:type="dxa"/>
            <w:vMerge w:val="restart"/>
            <w:tcBorders>
              <w:top w:val="single" w:color="000000" w:sz="6" w:space="0"/>
              <w:left w:val="single" w:color="000000" w:sz="6" w:space="0"/>
              <w:bottom w:val="nil"/>
            </w:tcBorders>
            <w:vAlign w:val="top"/>
          </w:tcPr>
          <w:p w14:paraId="44676FB3">
            <w:pPr>
              <w:rPr>
                <w:rFonts w:ascii="Arial"/>
                <w:sz w:val="21"/>
              </w:rPr>
            </w:pPr>
          </w:p>
        </w:tc>
        <w:tc>
          <w:tcPr>
            <w:tcW w:w="60" w:type="dxa"/>
            <w:tcBorders>
              <w:top w:val="single" w:color="000000" w:sz="6" w:space="0"/>
              <w:bottom w:val="nil"/>
            </w:tcBorders>
            <w:vAlign w:val="top"/>
          </w:tcPr>
          <w:p w14:paraId="56AD092F">
            <w:pPr>
              <w:rPr>
                <w:rFonts w:ascii="Arial"/>
                <w:sz w:val="21"/>
              </w:rPr>
            </w:pPr>
          </w:p>
        </w:tc>
        <w:tc>
          <w:tcPr>
            <w:tcW w:w="3798" w:type="dxa"/>
            <w:tcBorders>
              <w:top w:val="single" w:color="000000" w:sz="6" w:space="0"/>
            </w:tcBorders>
            <w:vAlign w:val="top"/>
          </w:tcPr>
          <w:p w14:paraId="5F90C4D0">
            <w:pPr>
              <w:pStyle w:val="6"/>
              <w:spacing w:before="59" w:line="248" w:lineRule="auto"/>
              <w:ind w:left="107" w:right="105" w:firstLine="1"/>
              <w:jc w:val="both"/>
            </w:pPr>
            <w:r>
              <w:rPr>
                <w:spacing w:val="10"/>
              </w:rPr>
              <w:t>单位应当按照占多少、垦多少的原则，负责开垦与所占基本农田的数量与质量相当的耕地；没有条件开垦或者开垦的</w:t>
            </w:r>
            <w:r>
              <w:rPr>
                <w:spacing w:val="7"/>
              </w:rPr>
              <w:t>耕地不符合要求的，应当按照省、</w:t>
            </w:r>
            <w:r>
              <w:rPr>
                <w:spacing w:val="-41"/>
              </w:rPr>
              <w:t xml:space="preserve"> </w:t>
            </w:r>
            <w:r>
              <w:rPr>
                <w:spacing w:val="7"/>
              </w:rPr>
              <w:t>自治</w:t>
            </w:r>
            <w:r>
              <w:rPr>
                <w:spacing w:val="10"/>
              </w:rPr>
              <w:t>区、直辖市的规定缴纳耕地开垦费，专</w:t>
            </w:r>
            <w:r>
              <w:rPr>
                <w:spacing w:val="7"/>
              </w:rPr>
              <w:t>款用于开垦新的耕地。</w:t>
            </w:r>
            <w:r>
              <w:rPr>
                <w:spacing w:val="-41"/>
              </w:rPr>
              <w:t xml:space="preserve"> </w:t>
            </w:r>
            <w:r>
              <w:rPr>
                <w:spacing w:val="7"/>
              </w:rPr>
              <w:t>占用基本农田的</w:t>
            </w:r>
            <w:r>
              <w:rPr>
                <w:spacing w:val="10"/>
              </w:rPr>
              <w:t>单位应当按照县级以上地方人民政府的要求，将所占用基本农田耕作层的土壤用于新开垦耕地、劣质耕地或者其他耕</w:t>
            </w:r>
            <w:r>
              <w:rPr>
                <w:spacing w:val="7"/>
              </w:rPr>
              <w:t>地的土壤改良。</w:t>
            </w:r>
          </w:p>
        </w:tc>
        <w:tc>
          <w:tcPr>
            <w:tcW w:w="3371" w:type="dxa"/>
            <w:gridSpan w:val="3"/>
            <w:tcBorders>
              <w:top w:val="single" w:color="000000" w:sz="6" w:space="0"/>
            </w:tcBorders>
            <w:vAlign w:val="top"/>
          </w:tcPr>
          <w:p w14:paraId="7044120A">
            <w:pPr>
              <w:rPr>
                <w:rFonts w:ascii="Arial"/>
                <w:sz w:val="21"/>
              </w:rPr>
            </w:pPr>
          </w:p>
        </w:tc>
        <w:tc>
          <w:tcPr>
            <w:tcW w:w="494" w:type="dxa"/>
            <w:tcBorders>
              <w:top w:val="single" w:color="000000" w:sz="6" w:space="0"/>
              <w:right w:val="single" w:color="000000" w:sz="6" w:space="0"/>
            </w:tcBorders>
            <w:vAlign w:val="top"/>
          </w:tcPr>
          <w:p w14:paraId="1B337752">
            <w:pPr>
              <w:rPr>
                <w:rFonts w:ascii="Arial"/>
                <w:sz w:val="21"/>
              </w:rPr>
            </w:pPr>
          </w:p>
        </w:tc>
      </w:tr>
      <w:tr w14:paraId="3428E3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411" w:type="dxa"/>
            <w:vMerge w:val="continue"/>
            <w:tcBorders>
              <w:top w:val="nil"/>
              <w:left w:val="single" w:color="000000" w:sz="6" w:space="0"/>
              <w:bottom w:val="nil"/>
            </w:tcBorders>
            <w:vAlign w:val="top"/>
          </w:tcPr>
          <w:p w14:paraId="497B48B9">
            <w:pPr>
              <w:rPr>
                <w:rFonts w:ascii="Arial"/>
                <w:sz w:val="21"/>
              </w:rPr>
            </w:pPr>
          </w:p>
        </w:tc>
        <w:tc>
          <w:tcPr>
            <w:tcW w:w="60" w:type="dxa"/>
            <w:tcBorders>
              <w:top w:val="nil"/>
              <w:bottom w:val="nil"/>
            </w:tcBorders>
            <w:vAlign w:val="top"/>
          </w:tcPr>
          <w:p w14:paraId="09D46AA5">
            <w:pPr>
              <w:rPr>
                <w:rFonts w:ascii="Arial"/>
                <w:sz w:val="21"/>
              </w:rPr>
            </w:pPr>
          </w:p>
        </w:tc>
        <w:tc>
          <w:tcPr>
            <w:tcW w:w="3798" w:type="dxa"/>
            <w:vAlign w:val="top"/>
          </w:tcPr>
          <w:p w14:paraId="7212516B">
            <w:pPr>
              <w:pStyle w:val="6"/>
              <w:spacing w:before="35" w:line="245" w:lineRule="auto"/>
              <w:ind w:left="106" w:right="37"/>
              <w:jc w:val="both"/>
            </w:pPr>
            <w:r>
              <w:rPr>
                <w:spacing w:val="16"/>
              </w:rPr>
              <w:t>第十七条 禁止任何单位和个人在基本</w:t>
            </w:r>
            <w:r>
              <w:rPr>
                <w:spacing w:val="2"/>
              </w:rPr>
              <w:t>农田保护区内建窑、建房、建坟、挖砂、</w:t>
            </w:r>
            <w:r>
              <w:rPr>
                <w:spacing w:val="10"/>
              </w:rPr>
              <w:t>采石、采矿、取土、堆放固体废弃物或者进行其他破坏基本农田的活动。禁止任何单位和个人占用基本农田发展林果</w:t>
            </w:r>
            <w:r>
              <w:rPr>
                <w:spacing w:val="7"/>
              </w:rPr>
              <w:t>业和挖塘养鱼。</w:t>
            </w:r>
          </w:p>
        </w:tc>
        <w:tc>
          <w:tcPr>
            <w:tcW w:w="3371" w:type="dxa"/>
            <w:gridSpan w:val="3"/>
            <w:vAlign w:val="top"/>
          </w:tcPr>
          <w:p w14:paraId="360450DF">
            <w:pPr>
              <w:pStyle w:val="6"/>
              <w:spacing w:before="33" w:line="252" w:lineRule="auto"/>
              <w:ind w:left="112" w:right="100" w:firstLine="1"/>
            </w:pPr>
            <w:r>
              <w:rPr>
                <w:spacing w:val="10"/>
              </w:rPr>
              <w:t>本项目不涉及建窑、建房、建坟、挖砂、采石、采矿、取土、堆放固体废弃物或者进行其他破坏基本农田的活动；不涉及发展林果业和挖</w:t>
            </w:r>
            <w:r>
              <w:rPr>
                <w:spacing w:val="5"/>
              </w:rPr>
              <w:t>塘养鱼。</w:t>
            </w:r>
          </w:p>
        </w:tc>
        <w:tc>
          <w:tcPr>
            <w:tcW w:w="494" w:type="dxa"/>
            <w:tcBorders>
              <w:right w:val="single" w:color="000000" w:sz="6" w:space="0"/>
            </w:tcBorders>
            <w:textDirection w:val="tbRlV"/>
            <w:vAlign w:val="top"/>
          </w:tcPr>
          <w:p w14:paraId="2ABA55C7">
            <w:pPr>
              <w:pStyle w:val="6"/>
              <w:spacing w:before="164" w:line="215" w:lineRule="auto"/>
              <w:ind w:left="578"/>
            </w:pPr>
            <w:r>
              <w:rPr>
                <w:spacing w:val="8"/>
              </w:rPr>
              <w:t>符</w:t>
            </w:r>
            <w:r>
              <w:rPr>
                <w:spacing w:val="-38"/>
              </w:rPr>
              <w:t xml:space="preserve"> </w:t>
            </w:r>
            <w:r>
              <w:rPr>
                <w:spacing w:val="8"/>
              </w:rPr>
              <w:t>合</w:t>
            </w:r>
          </w:p>
        </w:tc>
      </w:tr>
      <w:tr w14:paraId="13E9C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411" w:type="dxa"/>
            <w:vMerge w:val="continue"/>
            <w:tcBorders>
              <w:top w:val="nil"/>
              <w:left w:val="single" w:color="000000" w:sz="6" w:space="0"/>
              <w:bottom w:val="nil"/>
            </w:tcBorders>
            <w:vAlign w:val="top"/>
          </w:tcPr>
          <w:p w14:paraId="3200223F">
            <w:pPr>
              <w:rPr>
                <w:rFonts w:ascii="Arial"/>
                <w:sz w:val="21"/>
              </w:rPr>
            </w:pPr>
          </w:p>
        </w:tc>
        <w:tc>
          <w:tcPr>
            <w:tcW w:w="60" w:type="dxa"/>
            <w:tcBorders>
              <w:top w:val="nil"/>
              <w:bottom w:val="nil"/>
            </w:tcBorders>
            <w:vAlign w:val="top"/>
          </w:tcPr>
          <w:p w14:paraId="63012251">
            <w:pPr>
              <w:rPr>
                <w:rFonts w:ascii="Arial"/>
                <w:sz w:val="21"/>
              </w:rPr>
            </w:pPr>
          </w:p>
        </w:tc>
        <w:tc>
          <w:tcPr>
            <w:tcW w:w="3798" w:type="dxa"/>
            <w:vAlign w:val="top"/>
          </w:tcPr>
          <w:p w14:paraId="6F3748F4">
            <w:pPr>
              <w:pStyle w:val="6"/>
              <w:spacing w:before="33" w:line="244" w:lineRule="auto"/>
              <w:ind w:left="112" w:right="105" w:hanging="5"/>
              <w:jc w:val="both"/>
            </w:pPr>
            <w:r>
              <w:rPr>
                <w:spacing w:val="16"/>
              </w:rPr>
              <w:t>第二十四条 经国务院批准占用基本农</w:t>
            </w:r>
            <w:r>
              <w:rPr>
                <w:spacing w:val="10"/>
              </w:rPr>
              <w:t>田兴建国家重点建设项目的，必须遵守</w:t>
            </w:r>
            <w:r>
              <w:rPr>
                <w:spacing w:val="19"/>
              </w:rPr>
              <w:t>国家有关建设项</w:t>
            </w:r>
            <w:r>
              <w:rPr>
                <w:spacing w:val="-31"/>
              </w:rPr>
              <w:t xml:space="preserve"> </w:t>
            </w:r>
            <w:r>
              <w:rPr>
                <w:spacing w:val="19"/>
              </w:rPr>
              <w:t>目环境保护管理的规</w:t>
            </w:r>
            <w:r>
              <w:rPr>
                <w:spacing w:val="10"/>
              </w:rPr>
              <w:t>定。在建设项目环境影响报告书中，应</w:t>
            </w:r>
            <w:r>
              <w:rPr>
                <w:spacing w:val="8"/>
              </w:rPr>
              <w:t>当有基本农田环境保护方案。</w:t>
            </w:r>
          </w:p>
        </w:tc>
        <w:tc>
          <w:tcPr>
            <w:tcW w:w="3371" w:type="dxa"/>
            <w:gridSpan w:val="3"/>
            <w:vAlign w:val="top"/>
          </w:tcPr>
          <w:p w14:paraId="14ED4BBB">
            <w:pPr>
              <w:pStyle w:val="6"/>
              <w:spacing w:before="33" w:line="244" w:lineRule="auto"/>
              <w:ind w:left="113" w:right="100"/>
              <w:jc w:val="both"/>
            </w:pPr>
            <w:r>
              <w:rPr>
                <w:spacing w:val="10"/>
              </w:rPr>
              <w:t>本项目塔基占用永久基本农田及耕地，将按照要求办理用地手续。本次环评在“五、主要生态环境保护</w:t>
            </w:r>
            <w:r>
              <w:rPr>
                <w:spacing w:val="8"/>
              </w:rPr>
              <w:t>措施</w:t>
            </w:r>
            <w:r>
              <w:rPr>
                <w:spacing w:val="-69"/>
              </w:rPr>
              <w:t xml:space="preserve"> </w:t>
            </w:r>
            <w:r>
              <w:rPr>
                <w:spacing w:val="8"/>
              </w:rPr>
              <w:t>”中提出了永久基本农田保护</w:t>
            </w:r>
            <w:r>
              <w:rPr>
                <w:spacing w:val="3"/>
              </w:rPr>
              <w:t>措施。</w:t>
            </w:r>
          </w:p>
        </w:tc>
        <w:tc>
          <w:tcPr>
            <w:tcW w:w="494" w:type="dxa"/>
            <w:tcBorders>
              <w:right w:val="single" w:color="000000" w:sz="6" w:space="0"/>
            </w:tcBorders>
            <w:textDirection w:val="tbRlV"/>
            <w:vAlign w:val="top"/>
          </w:tcPr>
          <w:p w14:paraId="44E4FA94">
            <w:pPr>
              <w:pStyle w:val="6"/>
              <w:spacing w:before="164" w:line="215" w:lineRule="auto"/>
              <w:ind w:left="442"/>
            </w:pPr>
            <w:r>
              <w:rPr>
                <w:spacing w:val="8"/>
              </w:rPr>
              <w:t>符</w:t>
            </w:r>
            <w:r>
              <w:rPr>
                <w:spacing w:val="-35"/>
              </w:rPr>
              <w:t xml:space="preserve"> </w:t>
            </w:r>
            <w:r>
              <w:rPr>
                <w:spacing w:val="8"/>
              </w:rPr>
              <w:t>合</w:t>
            </w:r>
          </w:p>
        </w:tc>
      </w:tr>
      <w:tr w14:paraId="41E31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411" w:type="dxa"/>
            <w:vMerge w:val="continue"/>
            <w:tcBorders>
              <w:top w:val="nil"/>
              <w:left w:val="single" w:color="000000" w:sz="6" w:space="0"/>
              <w:bottom w:val="nil"/>
            </w:tcBorders>
            <w:vAlign w:val="top"/>
          </w:tcPr>
          <w:p w14:paraId="00FDE43A">
            <w:pPr>
              <w:rPr>
                <w:rFonts w:ascii="Arial"/>
                <w:sz w:val="21"/>
              </w:rPr>
            </w:pPr>
          </w:p>
        </w:tc>
        <w:tc>
          <w:tcPr>
            <w:tcW w:w="7723" w:type="dxa"/>
            <w:gridSpan w:val="6"/>
            <w:tcBorders>
              <w:right w:val="single" w:color="000000" w:sz="6" w:space="0"/>
            </w:tcBorders>
            <w:vAlign w:val="top"/>
          </w:tcPr>
          <w:p w14:paraId="5FAE19D7">
            <w:pPr>
              <w:spacing w:line="333" w:lineRule="auto"/>
              <w:rPr>
                <w:rFonts w:ascii="Arial"/>
                <w:sz w:val="21"/>
              </w:rPr>
            </w:pPr>
          </w:p>
          <w:p w14:paraId="08C82A39">
            <w:pPr>
              <w:pStyle w:val="6"/>
              <w:spacing w:before="78" w:line="200" w:lineRule="auto"/>
              <w:ind w:left="1029"/>
              <w:rPr>
                <w:sz w:val="24"/>
                <w:szCs w:val="24"/>
              </w:rPr>
            </w:pPr>
            <w:r>
              <w:rPr>
                <w:b/>
                <w:bCs/>
                <w:spacing w:val="-2"/>
                <w:sz w:val="24"/>
                <w:szCs w:val="24"/>
              </w:rPr>
              <w:t>表</w:t>
            </w:r>
            <w:r>
              <w:rPr>
                <w:spacing w:val="-44"/>
                <w:sz w:val="24"/>
                <w:szCs w:val="24"/>
              </w:rPr>
              <w:t xml:space="preserve"> </w:t>
            </w:r>
            <w:r>
              <w:rPr>
                <w:rFonts w:ascii="Times New Roman" w:hAnsi="Times New Roman" w:eastAsia="Times New Roman" w:cs="Times New Roman"/>
                <w:b/>
                <w:bCs/>
                <w:spacing w:val="-2"/>
                <w:sz w:val="24"/>
                <w:szCs w:val="24"/>
              </w:rPr>
              <w:t xml:space="preserve">1-11      </w:t>
            </w:r>
            <w:r>
              <w:rPr>
                <w:b/>
                <w:bCs/>
                <w:spacing w:val="-2"/>
                <w:sz w:val="24"/>
                <w:szCs w:val="24"/>
              </w:rPr>
              <w:t>项目与《云南省基本农</w:t>
            </w:r>
            <w:r>
              <w:rPr>
                <w:b/>
                <w:bCs/>
                <w:spacing w:val="-3"/>
                <w:sz w:val="24"/>
                <w:szCs w:val="24"/>
              </w:rPr>
              <w:t>田保护条例》符合性分析</w:t>
            </w:r>
          </w:p>
        </w:tc>
      </w:tr>
      <w:tr w14:paraId="5F3039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11" w:type="dxa"/>
            <w:tcBorders>
              <w:top w:val="nil"/>
              <w:left w:val="single" w:color="000000" w:sz="6" w:space="0"/>
              <w:bottom w:val="nil"/>
            </w:tcBorders>
            <w:vAlign w:val="top"/>
          </w:tcPr>
          <w:p w14:paraId="04514E6F">
            <w:pPr>
              <w:rPr>
                <w:rFonts w:ascii="Arial"/>
                <w:sz w:val="21"/>
              </w:rPr>
            </w:pPr>
          </w:p>
        </w:tc>
        <w:tc>
          <w:tcPr>
            <w:tcW w:w="60" w:type="dxa"/>
            <w:tcBorders>
              <w:top w:val="nil"/>
              <w:bottom w:val="nil"/>
            </w:tcBorders>
            <w:vAlign w:val="top"/>
          </w:tcPr>
          <w:p w14:paraId="0CDA127F">
            <w:pPr>
              <w:rPr>
                <w:rFonts w:ascii="Arial"/>
                <w:sz w:val="21"/>
              </w:rPr>
            </w:pPr>
          </w:p>
        </w:tc>
        <w:tc>
          <w:tcPr>
            <w:tcW w:w="3882" w:type="dxa"/>
            <w:gridSpan w:val="2"/>
            <w:shd w:val="clear" w:color="auto" w:fill="A4A4A4"/>
            <w:vAlign w:val="top"/>
          </w:tcPr>
          <w:p w14:paraId="30246EF3">
            <w:pPr>
              <w:pStyle w:val="6"/>
              <w:spacing w:before="173" w:line="228" w:lineRule="auto"/>
              <w:ind w:left="1522"/>
            </w:pPr>
            <w:r>
              <w:rPr>
                <w:b/>
                <w:bCs/>
                <w:spacing w:val="6"/>
              </w:rPr>
              <w:t>条例要求</w:t>
            </w:r>
          </w:p>
        </w:tc>
        <w:tc>
          <w:tcPr>
            <w:tcW w:w="3183" w:type="dxa"/>
            <w:shd w:val="clear" w:color="auto" w:fill="A4A4A4"/>
            <w:vAlign w:val="top"/>
          </w:tcPr>
          <w:p w14:paraId="2DA8AC78">
            <w:pPr>
              <w:pStyle w:val="6"/>
              <w:spacing w:before="174" w:line="228" w:lineRule="auto"/>
              <w:ind w:left="1182"/>
            </w:pPr>
            <w:r>
              <w:rPr>
                <w:b/>
                <w:bCs/>
                <w:spacing w:val="5"/>
              </w:rPr>
              <w:t>项目情况</w:t>
            </w:r>
          </w:p>
        </w:tc>
        <w:tc>
          <w:tcPr>
            <w:tcW w:w="598" w:type="dxa"/>
            <w:gridSpan w:val="2"/>
            <w:tcBorders>
              <w:right w:val="single" w:color="000000" w:sz="6" w:space="0"/>
            </w:tcBorders>
            <w:shd w:val="clear" w:color="auto" w:fill="A4A4A4"/>
            <w:vAlign w:val="top"/>
          </w:tcPr>
          <w:p w14:paraId="2D86B60F">
            <w:pPr>
              <w:pStyle w:val="6"/>
              <w:spacing w:before="38" w:line="231" w:lineRule="auto"/>
              <w:ind w:left="172" w:right="111" w:hanging="106"/>
            </w:pPr>
            <w:r>
              <w:rPr>
                <w:b/>
                <w:bCs/>
                <w:spacing w:val="3"/>
              </w:rPr>
              <w:t>符合</w:t>
            </w:r>
            <w:r>
              <w:rPr>
                <w:b/>
                <w:bCs/>
                <w:spacing w:val="-3"/>
              </w:rPr>
              <w:t>性</w:t>
            </w:r>
          </w:p>
        </w:tc>
      </w:tr>
      <w:tr w14:paraId="628AF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7" w:hRule="atLeast"/>
        </w:trPr>
        <w:tc>
          <w:tcPr>
            <w:tcW w:w="411" w:type="dxa"/>
            <w:vMerge w:val="restart"/>
            <w:tcBorders>
              <w:top w:val="nil"/>
              <w:left w:val="single" w:color="000000" w:sz="6" w:space="0"/>
              <w:bottom w:val="nil"/>
            </w:tcBorders>
            <w:vAlign w:val="top"/>
          </w:tcPr>
          <w:p w14:paraId="582CB7B8">
            <w:pPr>
              <w:rPr>
                <w:rFonts w:ascii="Arial"/>
                <w:sz w:val="21"/>
              </w:rPr>
            </w:pPr>
          </w:p>
        </w:tc>
        <w:tc>
          <w:tcPr>
            <w:tcW w:w="60" w:type="dxa"/>
            <w:tcBorders>
              <w:top w:val="nil"/>
              <w:bottom w:val="nil"/>
            </w:tcBorders>
            <w:vAlign w:val="top"/>
          </w:tcPr>
          <w:p w14:paraId="4EAD97F9">
            <w:pPr>
              <w:rPr>
                <w:rFonts w:ascii="Arial"/>
                <w:sz w:val="21"/>
              </w:rPr>
            </w:pPr>
          </w:p>
        </w:tc>
        <w:tc>
          <w:tcPr>
            <w:tcW w:w="3882" w:type="dxa"/>
            <w:gridSpan w:val="2"/>
            <w:vAlign w:val="top"/>
          </w:tcPr>
          <w:p w14:paraId="5213D357">
            <w:pPr>
              <w:spacing w:line="297" w:lineRule="auto"/>
              <w:rPr>
                <w:rFonts w:ascii="Arial"/>
                <w:sz w:val="21"/>
              </w:rPr>
            </w:pPr>
          </w:p>
          <w:p w14:paraId="1B5194A9">
            <w:pPr>
              <w:spacing w:line="298" w:lineRule="auto"/>
              <w:rPr>
                <w:rFonts w:ascii="Arial"/>
                <w:sz w:val="21"/>
              </w:rPr>
            </w:pPr>
          </w:p>
          <w:p w14:paraId="0C892C18">
            <w:pPr>
              <w:spacing w:line="298" w:lineRule="auto"/>
              <w:rPr>
                <w:rFonts w:ascii="Arial"/>
                <w:sz w:val="21"/>
              </w:rPr>
            </w:pPr>
          </w:p>
          <w:p w14:paraId="05C01D6B">
            <w:pPr>
              <w:spacing w:line="298" w:lineRule="auto"/>
              <w:rPr>
                <w:rFonts w:ascii="Arial"/>
                <w:sz w:val="21"/>
              </w:rPr>
            </w:pPr>
          </w:p>
          <w:p w14:paraId="3A3D7EEF">
            <w:pPr>
              <w:pStyle w:val="6"/>
              <w:spacing w:before="65" w:line="252" w:lineRule="auto"/>
              <w:ind w:left="106" w:right="37"/>
            </w:pPr>
            <w:r>
              <w:rPr>
                <w:spacing w:val="9"/>
              </w:rPr>
              <w:t>第十五条 基本农田保护区经依法划定</w:t>
            </w:r>
            <w:r>
              <w:t xml:space="preserve"> </w:t>
            </w:r>
            <w:r>
              <w:rPr>
                <w:spacing w:val="7"/>
              </w:rPr>
              <w:t>后，任何单位和个人不得改变或者占用。</w:t>
            </w:r>
            <w:r>
              <w:rPr>
                <w:spacing w:val="9"/>
              </w:rPr>
              <w:t>国家能源、交通、水利、军事设施等重点建设项目选址确实无法避开基本农田保护区，需要占用基本农田，涉及农用地转用或者征用土地的，必须经国务院</w:t>
            </w:r>
            <w:r>
              <w:rPr>
                <w:spacing w:val="3"/>
              </w:rPr>
              <w:t>批准。</w:t>
            </w:r>
          </w:p>
        </w:tc>
        <w:tc>
          <w:tcPr>
            <w:tcW w:w="3183" w:type="dxa"/>
            <w:vAlign w:val="top"/>
          </w:tcPr>
          <w:p w14:paraId="0420C951">
            <w:pPr>
              <w:pStyle w:val="6"/>
              <w:spacing w:before="33" w:line="252" w:lineRule="auto"/>
              <w:ind w:left="113" w:right="14"/>
            </w:pPr>
            <w:r>
              <w:rPr>
                <w:spacing w:val="9"/>
              </w:rPr>
              <w:t>本项目为输变电项目，线路塔基无法避开、需要占用基本农田保护区；根据《云南省人民政府办公厅印发省发展改革委关于加强云南电网规划建设实施意见的通</w:t>
            </w:r>
            <w:r>
              <w:rPr>
                <w:spacing w:val="4"/>
              </w:rPr>
              <w:t>知》（云政办发〔</w:t>
            </w:r>
            <w:r>
              <w:rPr>
                <w:rFonts w:ascii="Times New Roman" w:hAnsi="Times New Roman" w:eastAsia="Times New Roman" w:cs="Times New Roman"/>
                <w:spacing w:val="4"/>
              </w:rPr>
              <w:t>2008</w:t>
            </w:r>
            <w:r>
              <w:rPr>
                <w:spacing w:val="4"/>
              </w:rPr>
              <w:t>〕</w:t>
            </w:r>
            <w:r>
              <w:rPr>
                <w:rFonts w:ascii="Times New Roman" w:hAnsi="Times New Roman" w:eastAsia="Times New Roman" w:cs="Times New Roman"/>
                <w:spacing w:val="4"/>
              </w:rPr>
              <w:t>142</w:t>
            </w:r>
            <w:r>
              <w:rPr>
                <w:rFonts w:ascii="Times New Roman" w:hAnsi="Times New Roman" w:eastAsia="Times New Roman" w:cs="Times New Roman"/>
                <w:spacing w:val="26"/>
                <w:w w:val="101"/>
              </w:rPr>
              <w:t xml:space="preserve"> </w:t>
            </w:r>
            <w:r>
              <w:rPr>
                <w:spacing w:val="4"/>
              </w:rPr>
              <w:t>号）</w:t>
            </w:r>
            <w:r>
              <w:rPr>
                <w:spacing w:val="10"/>
              </w:rPr>
              <w:t>文件：输电线路塔基建设用地，</w:t>
            </w:r>
            <w:r>
              <w:rPr>
                <w:spacing w:val="3"/>
              </w:rPr>
              <w:t>原则上按属地管理以县（市、区）</w:t>
            </w:r>
            <w:r>
              <w:rPr>
                <w:spacing w:val="9"/>
              </w:rPr>
              <w:t>为单位打捆上报农用地转用审</w:t>
            </w:r>
          </w:p>
          <w:p w14:paraId="76810D3D">
            <w:pPr>
              <w:pStyle w:val="6"/>
              <w:spacing w:before="6" w:line="244" w:lineRule="auto"/>
              <w:ind w:left="112" w:right="135"/>
            </w:pPr>
            <w:r>
              <w:rPr>
                <w:spacing w:val="9"/>
              </w:rPr>
              <w:t>批，不再办理集体土地征收审批手续。塔基建设用地补偿必须依法保障当地群众的正当权益，经济补偿要符合国家有关规定，并切实做好群众工作；塔基用地只做土地登记备案，不颁发土地使</w:t>
            </w:r>
            <w:r>
              <w:rPr>
                <w:spacing w:val="7"/>
              </w:rPr>
              <w:t>用证，不得上市。</w:t>
            </w:r>
          </w:p>
        </w:tc>
        <w:tc>
          <w:tcPr>
            <w:tcW w:w="598" w:type="dxa"/>
            <w:gridSpan w:val="2"/>
            <w:tcBorders>
              <w:right w:val="single" w:color="000000" w:sz="6" w:space="0"/>
            </w:tcBorders>
            <w:textDirection w:val="tbRlV"/>
            <w:vAlign w:val="top"/>
          </w:tcPr>
          <w:p w14:paraId="73BD8517">
            <w:pPr>
              <w:pStyle w:val="6"/>
              <w:spacing w:before="214" w:line="215" w:lineRule="auto"/>
              <w:ind w:left="1945"/>
            </w:pPr>
            <w:r>
              <w:rPr>
                <w:spacing w:val="8"/>
              </w:rPr>
              <w:t>符</w:t>
            </w:r>
            <w:r>
              <w:rPr>
                <w:spacing w:val="-38"/>
              </w:rPr>
              <w:t xml:space="preserve"> </w:t>
            </w:r>
            <w:r>
              <w:rPr>
                <w:spacing w:val="8"/>
              </w:rPr>
              <w:t>合</w:t>
            </w:r>
          </w:p>
        </w:tc>
      </w:tr>
      <w:tr w14:paraId="536183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7" w:hRule="atLeast"/>
        </w:trPr>
        <w:tc>
          <w:tcPr>
            <w:tcW w:w="411" w:type="dxa"/>
            <w:vMerge w:val="continue"/>
            <w:tcBorders>
              <w:top w:val="nil"/>
              <w:left w:val="single" w:color="000000" w:sz="6" w:space="0"/>
              <w:bottom w:val="single" w:color="000000" w:sz="6" w:space="0"/>
            </w:tcBorders>
            <w:vAlign w:val="top"/>
          </w:tcPr>
          <w:p w14:paraId="33DABC58">
            <w:pPr>
              <w:rPr>
                <w:rFonts w:ascii="Arial"/>
                <w:sz w:val="21"/>
              </w:rPr>
            </w:pPr>
          </w:p>
        </w:tc>
        <w:tc>
          <w:tcPr>
            <w:tcW w:w="60" w:type="dxa"/>
            <w:tcBorders>
              <w:top w:val="nil"/>
              <w:bottom w:val="single" w:color="000000" w:sz="6" w:space="0"/>
            </w:tcBorders>
            <w:vAlign w:val="top"/>
          </w:tcPr>
          <w:p w14:paraId="5F5850CB">
            <w:pPr>
              <w:rPr>
                <w:rFonts w:ascii="Arial"/>
                <w:sz w:val="21"/>
              </w:rPr>
            </w:pPr>
          </w:p>
        </w:tc>
        <w:tc>
          <w:tcPr>
            <w:tcW w:w="3882" w:type="dxa"/>
            <w:gridSpan w:val="2"/>
            <w:tcBorders>
              <w:bottom w:val="single" w:color="000000" w:sz="6" w:space="0"/>
            </w:tcBorders>
            <w:vAlign w:val="top"/>
          </w:tcPr>
          <w:p w14:paraId="5CAB506B">
            <w:pPr>
              <w:pStyle w:val="6"/>
              <w:spacing w:before="39" w:line="250" w:lineRule="auto"/>
              <w:ind w:left="106" w:right="209"/>
              <w:jc w:val="both"/>
            </w:pPr>
            <w:r>
              <w:rPr>
                <w:spacing w:val="9"/>
              </w:rPr>
              <w:t>第十六条 经国务院批准占用基本农田的，当地人民政府应当按照国务院的批准文件修改土地利用总体规划，并补充</w:t>
            </w:r>
            <w:r>
              <w:rPr>
                <w:spacing w:val="6"/>
              </w:rPr>
              <w:t>划入数量和质量相当的基本农田。</w:t>
            </w:r>
            <w:r>
              <w:rPr>
                <w:spacing w:val="-42"/>
              </w:rPr>
              <w:t xml:space="preserve"> </w:t>
            </w:r>
            <w:r>
              <w:rPr>
                <w:spacing w:val="6"/>
              </w:rPr>
              <w:t>占用</w:t>
            </w:r>
            <w:r>
              <w:rPr>
                <w:spacing w:val="9"/>
              </w:rPr>
              <w:t>单位应当按照占多少、垦多少的原则，负责开垦与所占基本农田的数量与质量相当的耕地；没有条件开垦或者开垦的</w:t>
            </w:r>
            <w:r>
              <w:rPr>
                <w:spacing w:val="6"/>
              </w:rPr>
              <w:t>耕地不符合要求的，应当按照省、</w:t>
            </w:r>
            <w:r>
              <w:rPr>
                <w:spacing w:val="-42"/>
              </w:rPr>
              <w:t xml:space="preserve"> </w:t>
            </w:r>
            <w:r>
              <w:rPr>
                <w:spacing w:val="6"/>
              </w:rPr>
              <w:t>自治</w:t>
            </w:r>
            <w:r>
              <w:rPr>
                <w:spacing w:val="9"/>
              </w:rPr>
              <w:t>区、直辖市的规定缴纳耕地开垦费，专</w:t>
            </w:r>
          </w:p>
        </w:tc>
        <w:tc>
          <w:tcPr>
            <w:tcW w:w="3183" w:type="dxa"/>
            <w:tcBorders>
              <w:bottom w:val="single" w:color="000000" w:sz="6" w:space="0"/>
            </w:tcBorders>
            <w:vAlign w:val="top"/>
          </w:tcPr>
          <w:p w14:paraId="39176100">
            <w:pPr>
              <w:pStyle w:val="6"/>
              <w:spacing w:before="44" w:line="252" w:lineRule="auto"/>
              <w:ind w:left="113" w:right="30"/>
              <w:jc w:val="both"/>
            </w:pPr>
            <w:r>
              <w:rPr>
                <w:spacing w:val="9"/>
              </w:rPr>
              <w:t>本项目塔基占用永久基本农田及</w:t>
            </w:r>
            <w:r>
              <w:rPr>
                <w:spacing w:val="2"/>
              </w:rPr>
              <w:t>耕地，将按照要求办理用地手续。</w:t>
            </w:r>
            <w:r>
              <w:rPr>
                <w:spacing w:val="9"/>
              </w:rPr>
              <w:t>所占用基本农田耕作层的土壤用</w:t>
            </w:r>
            <w:r>
              <w:rPr>
                <w:spacing w:val="8"/>
              </w:rPr>
              <w:t>于周围耕地的土壤改良。</w:t>
            </w:r>
          </w:p>
        </w:tc>
        <w:tc>
          <w:tcPr>
            <w:tcW w:w="598" w:type="dxa"/>
            <w:gridSpan w:val="2"/>
            <w:tcBorders>
              <w:bottom w:val="single" w:color="000000" w:sz="6" w:space="0"/>
              <w:right w:val="single" w:color="000000" w:sz="6" w:space="0"/>
            </w:tcBorders>
            <w:textDirection w:val="tbRlV"/>
            <w:vAlign w:val="top"/>
          </w:tcPr>
          <w:p w14:paraId="125B87C9">
            <w:pPr>
              <w:pStyle w:val="6"/>
              <w:spacing w:before="214" w:line="215" w:lineRule="auto"/>
              <w:ind w:left="996"/>
            </w:pPr>
            <w:r>
              <w:rPr>
                <w:spacing w:val="8"/>
              </w:rPr>
              <w:t>符</w:t>
            </w:r>
            <w:r>
              <w:rPr>
                <w:spacing w:val="-35"/>
              </w:rPr>
              <w:t xml:space="preserve"> </w:t>
            </w:r>
            <w:r>
              <w:rPr>
                <w:spacing w:val="8"/>
              </w:rPr>
              <w:t>合</w:t>
            </w:r>
          </w:p>
        </w:tc>
      </w:tr>
    </w:tbl>
    <w:p w14:paraId="7A2F8D75">
      <w:pPr>
        <w:rPr>
          <w:rFonts w:ascii="Arial"/>
          <w:sz w:val="21"/>
        </w:rPr>
      </w:pPr>
    </w:p>
    <w:p w14:paraId="75B217AE">
      <w:pPr>
        <w:rPr>
          <w:rFonts w:ascii="Arial" w:hAnsi="Arial" w:eastAsia="Arial" w:cs="Arial"/>
          <w:sz w:val="21"/>
          <w:szCs w:val="21"/>
        </w:rPr>
        <w:sectPr>
          <w:footerReference r:id="rId33" w:type="default"/>
          <w:pgSz w:w="11907" w:h="16840"/>
          <w:pgMar w:top="400" w:right="1786" w:bottom="1240" w:left="1774" w:header="0" w:footer="1077" w:gutter="0"/>
          <w:cols w:space="720" w:num="1"/>
        </w:sectPr>
      </w:pPr>
    </w:p>
    <w:p w14:paraId="5038769C">
      <w:pPr>
        <w:spacing w:before="19"/>
      </w:pPr>
    </w:p>
    <w:p w14:paraId="76FD4A6C">
      <w:pPr>
        <w:spacing w:before="19"/>
      </w:pPr>
    </w:p>
    <w:p w14:paraId="2ADE91EF">
      <w:pPr>
        <w:spacing w:before="18"/>
      </w:pPr>
    </w:p>
    <w:p w14:paraId="0230CFCD">
      <w:pPr>
        <w:spacing w:before="18"/>
      </w:pPr>
    </w:p>
    <w:tbl>
      <w:tblPr>
        <w:tblStyle w:val="5"/>
        <w:tblW w:w="81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11"/>
        <w:gridCol w:w="7723"/>
      </w:tblGrid>
      <w:tr w14:paraId="2CB2E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52" w:hRule="atLeast"/>
        </w:trPr>
        <w:tc>
          <w:tcPr>
            <w:tcW w:w="411" w:type="dxa"/>
            <w:tcBorders>
              <w:right w:val="single" w:color="000000" w:sz="2" w:space="0"/>
            </w:tcBorders>
            <w:vAlign w:val="top"/>
          </w:tcPr>
          <w:p w14:paraId="1C8F52B3">
            <w:pPr>
              <w:rPr>
                <w:rFonts w:ascii="Arial"/>
                <w:sz w:val="21"/>
              </w:rPr>
            </w:pPr>
          </w:p>
        </w:tc>
        <w:tc>
          <w:tcPr>
            <w:tcW w:w="7723" w:type="dxa"/>
            <w:tcBorders>
              <w:left w:val="single" w:color="000000" w:sz="2" w:space="0"/>
            </w:tcBorders>
            <w:vAlign w:val="top"/>
          </w:tcPr>
          <w:p w14:paraId="081733B2">
            <w:pPr>
              <w:spacing w:line="20" w:lineRule="exact"/>
            </w:pPr>
          </w:p>
          <w:tbl>
            <w:tblPr>
              <w:tblStyle w:val="5"/>
              <w:tblW w:w="7612" w:type="dxa"/>
              <w:tblInd w:w="4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91"/>
              <w:gridCol w:w="3187"/>
              <w:gridCol w:w="534"/>
            </w:tblGrid>
            <w:tr w14:paraId="6E474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0" w:hRule="atLeast"/>
              </w:trPr>
              <w:tc>
                <w:tcPr>
                  <w:tcW w:w="3891" w:type="dxa"/>
                  <w:vAlign w:val="top"/>
                </w:tcPr>
                <w:p w14:paraId="48C464F8">
                  <w:pPr>
                    <w:pStyle w:val="6"/>
                    <w:spacing w:before="38" w:line="244" w:lineRule="auto"/>
                    <w:ind w:left="116" w:right="105"/>
                    <w:jc w:val="both"/>
                  </w:pPr>
                  <w:r>
                    <w:rPr>
                      <w:spacing w:val="6"/>
                    </w:rPr>
                    <w:t>款用于开垦新的耕地。</w:t>
                  </w:r>
                  <w:r>
                    <w:rPr>
                      <w:spacing w:val="60"/>
                    </w:rPr>
                    <w:t xml:space="preserve"> </w:t>
                  </w:r>
                  <w:r>
                    <w:rPr>
                      <w:spacing w:val="6"/>
                    </w:rPr>
                    <w:t>占用基本农田的</w:t>
                  </w:r>
                  <w:r>
                    <w:rPr>
                      <w:spacing w:val="9"/>
                    </w:rPr>
                    <w:t>单位应当按照县级以上地方人民政府的要求，将所占用基本农田耕作层的土壤用于新开垦耕地、劣质耕地或者其他耕</w:t>
                  </w:r>
                  <w:r>
                    <w:rPr>
                      <w:spacing w:val="7"/>
                    </w:rPr>
                    <w:t>地的土壤改良。</w:t>
                  </w:r>
                </w:p>
              </w:tc>
              <w:tc>
                <w:tcPr>
                  <w:tcW w:w="3187" w:type="dxa"/>
                  <w:vAlign w:val="top"/>
                </w:tcPr>
                <w:p w14:paraId="0507C6E9">
                  <w:pPr>
                    <w:rPr>
                      <w:rFonts w:ascii="Arial"/>
                      <w:sz w:val="21"/>
                    </w:rPr>
                  </w:pPr>
                </w:p>
              </w:tc>
              <w:tc>
                <w:tcPr>
                  <w:tcW w:w="534" w:type="dxa"/>
                  <w:vAlign w:val="top"/>
                </w:tcPr>
                <w:p w14:paraId="1C37B994">
                  <w:pPr>
                    <w:rPr>
                      <w:rFonts w:ascii="Arial"/>
                      <w:sz w:val="21"/>
                    </w:rPr>
                  </w:pPr>
                </w:p>
              </w:tc>
            </w:tr>
            <w:tr w14:paraId="427A44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3891" w:type="dxa"/>
                  <w:vAlign w:val="top"/>
                </w:tcPr>
                <w:p w14:paraId="31E8D3DA">
                  <w:pPr>
                    <w:pStyle w:val="6"/>
                    <w:spacing w:before="32" w:line="227" w:lineRule="auto"/>
                    <w:ind w:left="116"/>
                  </w:pPr>
                  <w:r>
                    <w:rPr>
                      <w:spacing w:val="9"/>
                    </w:rPr>
                    <w:t>第十七条 禁止任何单位和个人在基本</w:t>
                  </w:r>
                </w:p>
                <w:p w14:paraId="306822CE">
                  <w:pPr>
                    <w:pStyle w:val="6"/>
                    <w:spacing w:before="26" w:line="244" w:lineRule="auto"/>
                    <w:ind w:left="115" w:right="37"/>
                  </w:pPr>
                  <w:r>
                    <w:rPr>
                      <w:spacing w:val="7"/>
                    </w:rPr>
                    <w:t>农田保护区内建窑、建房、建坟、挖砂、</w:t>
                  </w:r>
                  <w:r>
                    <w:rPr>
                      <w:spacing w:val="9"/>
                    </w:rPr>
                    <w:t>采石、采矿、取土、堆放固体废弃物或者进行其他破坏基本农田的活动。 禁止任何单位和个人占用基本农田发展林果</w:t>
                  </w:r>
                  <w:r>
                    <w:rPr>
                      <w:spacing w:val="7"/>
                    </w:rPr>
                    <w:t>业和挖塘养鱼。</w:t>
                  </w:r>
                </w:p>
              </w:tc>
              <w:tc>
                <w:tcPr>
                  <w:tcW w:w="3187" w:type="dxa"/>
                  <w:vAlign w:val="top"/>
                </w:tcPr>
                <w:p w14:paraId="717655B0">
                  <w:pPr>
                    <w:pStyle w:val="6"/>
                    <w:spacing w:before="32" w:line="252" w:lineRule="auto"/>
                    <w:ind w:left="112" w:right="34" w:firstLine="1"/>
                    <w:jc w:val="both"/>
                  </w:pPr>
                  <w:r>
                    <w:rPr>
                      <w:spacing w:val="2"/>
                    </w:rPr>
                    <w:t>本项目不涉及建窑、建房、建坟、</w:t>
                  </w:r>
                  <w:r>
                    <w:rPr>
                      <w:spacing w:val="9"/>
                    </w:rPr>
                    <w:t>挖砂、采石、采矿、取土、堆放固体废弃物或者进行其他破坏基本农田的活动；不涉及发展林果</w:t>
                  </w:r>
                  <w:r>
                    <w:rPr>
                      <w:spacing w:val="7"/>
                    </w:rPr>
                    <w:t>业和挖塘养鱼。</w:t>
                  </w:r>
                </w:p>
              </w:tc>
              <w:tc>
                <w:tcPr>
                  <w:tcW w:w="534" w:type="dxa"/>
                  <w:textDirection w:val="tbRlV"/>
                  <w:vAlign w:val="top"/>
                </w:tcPr>
                <w:p w14:paraId="3D0BC888">
                  <w:pPr>
                    <w:pStyle w:val="6"/>
                    <w:spacing w:before="159" w:line="215" w:lineRule="auto"/>
                    <w:ind w:left="577"/>
                  </w:pPr>
                  <w:r>
                    <w:rPr>
                      <w:spacing w:val="8"/>
                    </w:rPr>
                    <w:t>符</w:t>
                  </w:r>
                  <w:r>
                    <w:rPr>
                      <w:spacing w:val="-38"/>
                    </w:rPr>
                    <w:t xml:space="preserve"> </w:t>
                  </w:r>
                  <w:r>
                    <w:rPr>
                      <w:spacing w:val="8"/>
                    </w:rPr>
                    <w:t>合</w:t>
                  </w:r>
                </w:p>
              </w:tc>
            </w:tr>
            <w:tr w14:paraId="612999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0" w:hRule="atLeast"/>
              </w:trPr>
              <w:tc>
                <w:tcPr>
                  <w:tcW w:w="3891" w:type="dxa"/>
                  <w:vAlign w:val="top"/>
                </w:tcPr>
                <w:p w14:paraId="380BA396">
                  <w:pPr>
                    <w:pStyle w:val="6"/>
                    <w:spacing w:before="34" w:line="251" w:lineRule="auto"/>
                    <w:ind w:left="136" w:right="208" w:hanging="20"/>
                  </w:pPr>
                  <w:r>
                    <w:rPr>
                      <w:spacing w:val="9"/>
                    </w:rPr>
                    <w:t>第二十四条 经国务院批准占用基本农</w:t>
                  </w:r>
                  <w:r>
                    <w:rPr>
                      <w:spacing w:val="8"/>
                    </w:rPr>
                    <w:t>田兴建国家重点建设项目的，必须遵守国家有关建设项目环境保护管理的规</w:t>
                  </w:r>
                </w:p>
                <w:p w14:paraId="2AF63849">
                  <w:pPr>
                    <w:pStyle w:val="6"/>
                    <w:spacing w:line="235" w:lineRule="auto"/>
                    <w:ind w:left="129" w:right="208" w:hanging="8"/>
                  </w:pPr>
                  <w:r>
                    <w:rPr>
                      <w:spacing w:val="9"/>
                    </w:rPr>
                    <w:t>定。在建设项目环境影响报告书中，应</w:t>
                  </w:r>
                  <w:r>
                    <w:rPr>
                      <w:spacing w:val="7"/>
                    </w:rPr>
                    <w:t>当有基本农田环境保护方案。</w:t>
                  </w:r>
                </w:p>
              </w:tc>
              <w:tc>
                <w:tcPr>
                  <w:tcW w:w="3187" w:type="dxa"/>
                  <w:vAlign w:val="top"/>
                </w:tcPr>
                <w:p w14:paraId="4E347EDE">
                  <w:pPr>
                    <w:pStyle w:val="6"/>
                    <w:spacing w:before="32" w:line="245" w:lineRule="auto"/>
                    <w:ind w:left="113" w:right="34"/>
                    <w:jc w:val="both"/>
                  </w:pPr>
                  <w:r>
                    <w:rPr>
                      <w:spacing w:val="9"/>
                    </w:rPr>
                    <w:t>本项目塔基占用永久基本农田及</w:t>
                  </w:r>
                  <w:r>
                    <w:rPr>
                      <w:spacing w:val="2"/>
                    </w:rPr>
                    <w:t>耕地，将按照要求办理用地手续。</w:t>
                  </w:r>
                  <w:r>
                    <w:rPr>
                      <w:spacing w:val="9"/>
                    </w:rPr>
                    <w:t>本次环评在“五、主要生态环境</w:t>
                  </w:r>
                  <w:r>
                    <w:rPr>
                      <w:spacing w:val="7"/>
                    </w:rPr>
                    <w:t>保护措施</w:t>
                  </w:r>
                  <w:r>
                    <w:rPr>
                      <w:spacing w:val="-68"/>
                    </w:rPr>
                    <w:t xml:space="preserve"> </w:t>
                  </w:r>
                  <w:r>
                    <w:rPr>
                      <w:spacing w:val="7"/>
                    </w:rPr>
                    <w:t>”中提出了永久基本农</w:t>
                  </w:r>
                  <w:r>
                    <w:rPr>
                      <w:spacing w:val="6"/>
                    </w:rPr>
                    <w:t>田保护措施。</w:t>
                  </w:r>
                </w:p>
              </w:tc>
              <w:tc>
                <w:tcPr>
                  <w:tcW w:w="534" w:type="dxa"/>
                  <w:textDirection w:val="tbRlV"/>
                  <w:vAlign w:val="top"/>
                </w:tcPr>
                <w:p w14:paraId="046CA3BF">
                  <w:pPr>
                    <w:pStyle w:val="6"/>
                    <w:spacing w:before="159" w:line="215" w:lineRule="auto"/>
                    <w:ind w:left="442"/>
                  </w:pPr>
                  <w:r>
                    <w:rPr>
                      <w:spacing w:val="8"/>
                    </w:rPr>
                    <w:t>符</w:t>
                  </w:r>
                  <w:r>
                    <w:rPr>
                      <w:spacing w:val="-38"/>
                    </w:rPr>
                    <w:t xml:space="preserve"> </w:t>
                  </w:r>
                  <w:r>
                    <w:rPr>
                      <w:spacing w:val="8"/>
                    </w:rPr>
                    <w:t>合</w:t>
                  </w:r>
                </w:p>
              </w:tc>
            </w:tr>
          </w:tbl>
          <w:p w14:paraId="4D414002">
            <w:pPr>
              <w:pStyle w:val="6"/>
              <w:spacing w:before="64" w:line="212" w:lineRule="auto"/>
              <w:ind w:left="661"/>
              <w:rPr>
                <w:sz w:val="24"/>
                <w:szCs w:val="24"/>
              </w:rPr>
            </w:pPr>
            <w:r>
              <w:rPr>
                <w:b/>
                <w:bCs/>
                <w:spacing w:val="-2"/>
                <w:sz w:val="24"/>
                <w:szCs w:val="24"/>
              </w:rPr>
              <w:t>表</w:t>
            </w:r>
            <w:r>
              <w:rPr>
                <w:spacing w:val="-42"/>
                <w:sz w:val="24"/>
                <w:szCs w:val="24"/>
              </w:rPr>
              <w:t xml:space="preserve"> </w:t>
            </w:r>
            <w:r>
              <w:rPr>
                <w:rFonts w:ascii="Times New Roman" w:hAnsi="Times New Roman" w:eastAsia="Times New Roman" w:cs="Times New Roman"/>
                <w:b/>
                <w:bCs/>
                <w:spacing w:val="-2"/>
                <w:sz w:val="24"/>
                <w:szCs w:val="24"/>
              </w:rPr>
              <w:t xml:space="preserve">1-12      </w:t>
            </w:r>
            <w:r>
              <w:rPr>
                <w:b/>
                <w:bCs/>
                <w:spacing w:val="-2"/>
                <w:sz w:val="24"/>
                <w:szCs w:val="24"/>
              </w:rPr>
              <w:t>项目与《永久基本农田保护红线管理办法》符合性分析</w:t>
            </w:r>
          </w:p>
          <w:tbl>
            <w:tblPr>
              <w:tblStyle w:val="5"/>
              <w:tblW w:w="7613" w:type="dxa"/>
              <w:tblInd w:w="4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66"/>
              <w:gridCol w:w="3348"/>
              <w:gridCol w:w="599"/>
            </w:tblGrid>
            <w:tr w14:paraId="7835F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3" w:hRule="atLeast"/>
              </w:trPr>
              <w:tc>
                <w:tcPr>
                  <w:tcW w:w="3666" w:type="dxa"/>
                  <w:shd w:val="clear" w:color="auto" w:fill="A4A4A4"/>
                  <w:vAlign w:val="top"/>
                </w:tcPr>
                <w:p w14:paraId="60108173">
                  <w:pPr>
                    <w:pStyle w:val="6"/>
                    <w:spacing w:before="171" w:line="229" w:lineRule="auto"/>
                    <w:ind w:left="1630"/>
                  </w:pPr>
                  <w:r>
                    <w:rPr>
                      <w:b/>
                      <w:bCs/>
                      <w:spacing w:val="3"/>
                    </w:rPr>
                    <w:t>要求</w:t>
                  </w:r>
                </w:p>
              </w:tc>
              <w:tc>
                <w:tcPr>
                  <w:tcW w:w="3348" w:type="dxa"/>
                  <w:shd w:val="clear" w:color="auto" w:fill="A4A4A4"/>
                  <w:vAlign w:val="top"/>
                </w:tcPr>
                <w:p w14:paraId="0C3BFAEC">
                  <w:pPr>
                    <w:pStyle w:val="6"/>
                    <w:spacing w:before="171" w:line="228" w:lineRule="auto"/>
                    <w:ind w:left="1261"/>
                  </w:pPr>
                  <w:r>
                    <w:rPr>
                      <w:b/>
                      <w:bCs/>
                      <w:spacing w:val="5"/>
                    </w:rPr>
                    <w:t>项目情况</w:t>
                  </w:r>
                </w:p>
              </w:tc>
              <w:tc>
                <w:tcPr>
                  <w:tcW w:w="599" w:type="dxa"/>
                  <w:shd w:val="clear" w:color="auto" w:fill="A4A4A4"/>
                  <w:vAlign w:val="top"/>
                </w:tcPr>
                <w:p w14:paraId="048CC080">
                  <w:pPr>
                    <w:pStyle w:val="6"/>
                    <w:spacing w:before="33" w:line="235" w:lineRule="auto"/>
                    <w:ind w:left="202" w:right="87" w:hanging="106"/>
                  </w:pPr>
                  <w:r>
                    <w:rPr>
                      <w:b/>
                      <w:bCs/>
                      <w:spacing w:val="3"/>
                    </w:rPr>
                    <w:t>符合</w:t>
                  </w:r>
                  <w:r>
                    <w:rPr>
                      <w:b/>
                      <w:bCs/>
                      <w:spacing w:val="-3"/>
                    </w:rPr>
                    <w:t>性</w:t>
                  </w:r>
                </w:p>
              </w:tc>
            </w:tr>
            <w:tr w14:paraId="5814A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3666" w:type="dxa"/>
                  <w:vAlign w:val="top"/>
                </w:tcPr>
                <w:p w14:paraId="4057861C">
                  <w:pPr>
                    <w:pStyle w:val="6"/>
                    <w:spacing w:before="33" w:line="244" w:lineRule="auto"/>
                    <w:ind w:left="114" w:right="107"/>
                    <w:jc w:val="both"/>
                  </w:pPr>
                  <w:r>
                    <w:rPr>
                      <w:spacing w:val="19"/>
                    </w:rPr>
                    <w:t>第六条</w:t>
                  </w:r>
                  <w:r>
                    <w:rPr>
                      <w:spacing w:val="52"/>
                    </w:rPr>
                    <w:t xml:space="preserve"> </w:t>
                  </w:r>
                  <w:r>
                    <w:rPr>
                      <w:spacing w:val="19"/>
                    </w:rPr>
                    <w:t>禁止占用永久基本农田挖湖</w:t>
                  </w:r>
                  <w:r>
                    <w:rPr>
                      <w:spacing w:val="14"/>
                    </w:rPr>
                    <w:t>造景，建设绿化带，种植草皮等用于绿化装饰的植物，堆放固体废弃物，</w:t>
                  </w:r>
                  <w:r>
                    <w:rPr>
                      <w:spacing w:val="12"/>
                    </w:rPr>
                    <w:t>填埋垃圾，</w:t>
                  </w:r>
                  <w:r>
                    <w:rPr>
                      <w:spacing w:val="-54"/>
                    </w:rPr>
                    <w:t xml:space="preserve"> </w:t>
                  </w:r>
                  <w:r>
                    <w:rPr>
                      <w:spacing w:val="12"/>
                    </w:rPr>
                    <w:t>以及法律法规禁止的其他</w:t>
                  </w:r>
                  <w:r>
                    <w:rPr>
                      <w:spacing w:val="3"/>
                    </w:rPr>
                    <w:t>行为。</w:t>
                  </w:r>
                </w:p>
              </w:tc>
              <w:tc>
                <w:tcPr>
                  <w:tcW w:w="3348" w:type="dxa"/>
                  <w:vAlign w:val="top"/>
                </w:tcPr>
                <w:p w14:paraId="26738A09">
                  <w:pPr>
                    <w:pStyle w:val="6"/>
                    <w:spacing w:before="33" w:line="252" w:lineRule="auto"/>
                    <w:ind w:left="113" w:right="102"/>
                  </w:pPr>
                  <w:r>
                    <w:rPr>
                      <w:spacing w:val="9"/>
                    </w:rPr>
                    <w:t>本项</w:t>
                  </w:r>
                  <w:r>
                    <w:rPr>
                      <w:spacing w:val="-33"/>
                    </w:rPr>
                    <w:t xml:space="preserve"> </w:t>
                  </w:r>
                  <w:r>
                    <w:rPr>
                      <w:spacing w:val="9"/>
                    </w:rPr>
                    <w:t xml:space="preserve">目 </w:t>
                  </w:r>
                  <w:r>
                    <w:rPr>
                      <w:rFonts w:ascii="Times New Roman" w:hAnsi="Times New Roman" w:eastAsia="Times New Roman" w:cs="Times New Roman"/>
                      <w:spacing w:val="9"/>
                    </w:rPr>
                    <w:t>110</w:t>
                  </w:r>
                  <w:r>
                    <w:rPr>
                      <w:rFonts w:ascii="Times New Roman" w:hAnsi="Times New Roman" w:eastAsia="Times New Roman" w:cs="Times New Roman"/>
                    </w:rPr>
                    <w:t>kV</w:t>
                  </w:r>
                  <w:r>
                    <w:rPr>
                      <w:rFonts w:ascii="Times New Roman" w:hAnsi="Times New Roman" w:eastAsia="Times New Roman" w:cs="Times New Roman"/>
                      <w:spacing w:val="28"/>
                    </w:rPr>
                    <w:t xml:space="preserve"> </w:t>
                  </w:r>
                  <w:r>
                    <w:rPr>
                      <w:spacing w:val="9"/>
                    </w:rPr>
                    <w:t>输变电工程不涉及</w:t>
                  </w:r>
                  <w:r>
                    <w:rPr>
                      <w:spacing w:val="5"/>
                    </w:rPr>
                    <w:t>所列情形；</w:t>
                  </w:r>
                </w:p>
              </w:tc>
              <w:tc>
                <w:tcPr>
                  <w:tcW w:w="599" w:type="dxa"/>
                  <w:textDirection w:val="tbRlV"/>
                  <w:vAlign w:val="top"/>
                </w:tcPr>
                <w:p w14:paraId="2E679538">
                  <w:pPr>
                    <w:pStyle w:val="6"/>
                    <w:spacing w:before="192" w:line="215" w:lineRule="auto"/>
                    <w:ind w:left="441"/>
                  </w:pPr>
                  <w:r>
                    <w:rPr>
                      <w:spacing w:val="8"/>
                    </w:rPr>
                    <w:t>符</w:t>
                  </w:r>
                  <w:r>
                    <w:rPr>
                      <w:spacing w:val="-38"/>
                    </w:rPr>
                    <w:t xml:space="preserve"> </w:t>
                  </w:r>
                  <w:r>
                    <w:rPr>
                      <w:spacing w:val="8"/>
                    </w:rPr>
                    <w:t>合</w:t>
                  </w:r>
                </w:p>
              </w:tc>
            </w:tr>
            <w:tr w14:paraId="476986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0" w:hRule="atLeast"/>
              </w:trPr>
              <w:tc>
                <w:tcPr>
                  <w:tcW w:w="3666" w:type="dxa"/>
                  <w:vAlign w:val="top"/>
                </w:tcPr>
                <w:p w14:paraId="3EA4A0D9">
                  <w:pPr>
                    <w:pStyle w:val="6"/>
                    <w:spacing w:before="38" w:line="251" w:lineRule="auto"/>
                    <w:ind w:left="113" w:right="36" w:firstLine="1"/>
                    <w:jc w:val="both"/>
                  </w:pPr>
                  <w:r>
                    <w:rPr>
                      <w:spacing w:val="14"/>
                    </w:rPr>
                    <w:t>第二十一条  依法可以按照原地类管</w:t>
                  </w:r>
                  <w:r>
                    <w:rPr>
                      <w:spacing w:val="15"/>
                    </w:rPr>
                    <w:t>理的架空电力传输线路、通信设施涉及的点状杆、塔确实难以避让永久基本农田的，应当在不妨碍机械化耕作</w:t>
                  </w:r>
                  <w:r>
                    <w:rPr>
                      <w:spacing w:val="6"/>
                    </w:rPr>
                    <w:t>的前提下，尽可能沿田间道路、沟渠、</w:t>
                  </w:r>
                  <w:r>
                    <w:rPr>
                      <w:spacing w:val="15"/>
                    </w:rPr>
                    <w:t>田坎铺设。铺设方案应当对永久基本农田的不可避让性以及对耕作的影响进行论证，报县级人民政府自然资源</w:t>
                  </w:r>
                  <w:r>
                    <w:rPr>
                      <w:spacing w:val="8"/>
                    </w:rPr>
                    <w:t>主管部门备案并加强监管。</w:t>
                  </w:r>
                </w:p>
              </w:tc>
              <w:tc>
                <w:tcPr>
                  <w:tcW w:w="3348" w:type="dxa"/>
                  <w:vAlign w:val="top"/>
                </w:tcPr>
                <w:p w14:paraId="1DB2656B">
                  <w:pPr>
                    <w:pStyle w:val="6"/>
                    <w:spacing w:before="33" w:line="248" w:lineRule="auto"/>
                    <w:ind w:left="112" w:right="102" w:firstLine="1"/>
                  </w:pPr>
                  <w:r>
                    <w:rPr>
                      <w:spacing w:val="9"/>
                    </w:rPr>
                    <w:t>本项</w:t>
                  </w:r>
                  <w:r>
                    <w:rPr>
                      <w:spacing w:val="-36"/>
                    </w:rPr>
                    <w:t xml:space="preserve"> </w:t>
                  </w:r>
                  <w:r>
                    <w:rPr>
                      <w:spacing w:val="9"/>
                    </w:rPr>
                    <w:t xml:space="preserve">目 </w:t>
                  </w:r>
                  <w:r>
                    <w:rPr>
                      <w:rFonts w:ascii="Times New Roman" w:hAnsi="Times New Roman" w:eastAsia="Times New Roman" w:cs="Times New Roman"/>
                      <w:spacing w:val="9"/>
                    </w:rPr>
                    <w:t>110</w:t>
                  </w:r>
                  <w:r>
                    <w:rPr>
                      <w:rFonts w:ascii="Times New Roman" w:hAnsi="Times New Roman" w:eastAsia="Times New Roman" w:cs="Times New Roman"/>
                    </w:rPr>
                    <w:t>kV</w:t>
                  </w:r>
                  <w:r>
                    <w:rPr>
                      <w:rFonts w:ascii="Times New Roman" w:hAnsi="Times New Roman" w:eastAsia="Times New Roman" w:cs="Times New Roman"/>
                      <w:spacing w:val="31"/>
                    </w:rPr>
                    <w:t xml:space="preserve"> </w:t>
                  </w:r>
                  <w:r>
                    <w:rPr>
                      <w:spacing w:val="9"/>
                    </w:rPr>
                    <w:t>线路塔基涉及基本</w:t>
                  </w:r>
                  <w:r>
                    <w:rPr>
                      <w:spacing w:val="23"/>
                    </w:rPr>
                    <w:t>农田区域为陆良县永久基本农田</w:t>
                  </w:r>
                  <w:r>
                    <w:rPr>
                      <w:spacing w:val="8"/>
                    </w:rPr>
                    <w:t>成片聚集区，本项目线路塔基确实难以避让永久基本农田，塔基占地本项目塔基已尽可能沿田间道路、沟渠、田坎架设，不妨碍机械化耕作；项目塔基架设方案对永久基本</w:t>
                  </w:r>
                  <w:r>
                    <w:rPr>
                      <w:spacing w:val="23"/>
                    </w:rPr>
                    <w:t>农田的不可避让性以及对耕作的</w:t>
                  </w:r>
                  <w:r>
                    <w:rPr>
                      <w:spacing w:val="8"/>
                    </w:rPr>
                    <w:t>影响正在进行论证，后期将报县级</w:t>
                  </w:r>
                  <w:r>
                    <w:rPr>
                      <w:spacing w:val="7"/>
                    </w:rPr>
                    <w:t>人民政府自然资源主管部门备案。</w:t>
                  </w:r>
                </w:p>
              </w:tc>
              <w:tc>
                <w:tcPr>
                  <w:tcW w:w="599" w:type="dxa"/>
                  <w:textDirection w:val="tbRlV"/>
                  <w:vAlign w:val="top"/>
                </w:tcPr>
                <w:p w14:paraId="23E0E045">
                  <w:pPr>
                    <w:pStyle w:val="6"/>
                    <w:spacing w:before="192" w:line="215" w:lineRule="auto"/>
                    <w:ind w:left="1123"/>
                  </w:pPr>
                  <w:r>
                    <w:rPr>
                      <w:spacing w:val="8"/>
                    </w:rPr>
                    <w:t>符</w:t>
                  </w:r>
                  <w:r>
                    <w:rPr>
                      <w:spacing w:val="-38"/>
                    </w:rPr>
                    <w:t xml:space="preserve"> </w:t>
                  </w:r>
                  <w:r>
                    <w:rPr>
                      <w:spacing w:val="8"/>
                    </w:rPr>
                    <w:t>合</w:t>
                  </w:r>
                </w:p>
              </w:tc>
            </w:tr>
          </w:tbl>
          <w:p w14:paraId="75A5E320">
            <w:pPr>
              <w:pStyle w:val="6"/>
              <w:spacing w:before="36" w:line="219" w:lineRule="auto"/>
              <w:ind w:left="21"/>
              <w:rPr>
                <w:sz w:val="24"/>
                <w:szCs w:val="24"/>
              </w:rPr>
            </w:pPr>
            <w:r>
              <w:rPr>
                <w:rFonts w:ascii="Times New Roman" w:hAnsi="Times New Roman" w:eastAsia="Times New Roman" w:cs="Times New Roman"/>
                <w:b/>
                <w:bCs/>
                <w:spacing w:val="-5"/>
                <w:sz w:val="24"/>
                <w:szCs w:val="24"/>
              </w:rPr>
              <w:t>16</w:t>
            </w:r>
            <w:r>
              <w:rPr>
                <w:rFonts w:ascii="Times New Roman" w:hAnsi="Times New Roman" w:eastAsia="Times New Roman" w:cs="Times New Roman"/>
                <w:b/>
                <w:bCs/>
                <w:spacing w:val="-21"/>
                <w:sz w:val="24"/>
                <w:szCs w:val="24"/>
              </w:rPr>
              <w:t xml:space="preserve"> </w:t>
            </w:r>
            <w:r>
              <w:rPr>
                <w:b/>
                <w:bCs/>
                <w:spacing w:val="-5"/>
                <w:sz w:val="24"/>
                <w:szCs w:val="24"/>
              </w:rPr>
              <w:t>、与云南电网规划的符合性分析</w:t>
            </w:r>
          </w:p>
          <w:p w14:paraId="2F8A2FE3">
            <w:pPr>
              <w:pStyle w:val="6"/>
              <w:spacing w:before="182" w:line="359" w:lineRule="auto"/>
              <w:ind w:left="14" w:right="10" w:firstLine="479"/>
              <w:jc w:val="both"/>
              <w:rPr>
                <w:sz w:val="24"/>
                <w:szCs w:val="24"/>
              </w:rPr>
            </w:pPr>
            <w:r>
              <w:rPr>
                <w:spacing w:val="-2"/>
                <w:sz w:val="24"/>
                <w:szCs w:val="24"/>
              </w:rPr>
              <w:t>根据云南电网有限责任公司《关于印发曲靖供电局</w:t>
            </w:r>
            <w:r>
              <w:rPr>
                <w:spacing w:val="-32"/>
                <w:sz w:val="24"/>
                <w:szCs w:val="24"/>
              </w:rPr>
              <w:t xml:space="preserve"> </w:t>
            </w:r>
            <w:r>
              <w:rPr>
                <w:rFonts w:ascii="Times New Roman" w:hAnsi="Times New Roman" w:eastAsia="Times New Roman" w:cs="Times New Roman"/>
                <w:spacing w:val="-2"/>
                <w:sz w:val="24"/>
                <w:szCs w:val="24"/>
              </w:rPr>
              <w:t>11</w:t>
            </w:r>
            <w:r>
              <w:rPr>
                <w:rFonts w:ascii="Times New Roman" w:hAnsi="Times New Roman" w:eastAsia="Times New Roman" w:cs="Times New Roman"/>
                <w:spacing w:val="-3"/>
                <w:sz w:val="24"/>
                <w:szCs w:val="24"/>
              </w:rPr>
              <w:t xml:space="preserve">0kV </w:t>
            </w:r>
            <w:r>
              <w:rPr>
                <w:spacing w:val="-3"/>
                <w:sz w:val="24"/>
                <w:szCs w:val="24"/>
              </w:rPr>
              <w:t>松山输变电</w:t>
            </w:r>
            <w:r>
              <w:rPr>
                <w:spacing w:val="1"/>
                <w:sz w:val="24"/>
                <w:szCs w:val="24"/>
              </w:rPr>
              <w:t>工程可行性研究评审意见的通知》（云电规划﹝</w:t>
            </w:r>
            <w:r>
              <w:rPr>
                <w:rFonts w:ascii="Times New Roman" w:hAnsi="Times New Roman" w:eastAsia="Times New Roman" w:cs="Times New Roman"/>
                <w:spacing w:val="1"/>
                <w:sz w:val="24"/>
                <w:szCs w:val="24"/>
              </w:rPr>
              <w:t>2025</w:t>
            </w:r>
            <w:r>
              <w:rPr>
                <w:spacing w:val="1"/>
                <w:sz w:val="24"/>
                <w:szCs w:val="24"/>
              </w:rPr>
              <w:t>﹞</w:t>
            </w:r>
            <w:r>
              <w:rPr>
                <w:rFonts w:ascii="Times New Roman" w:hAnsi="Times New Roman" w:eastAsia="Times New Roman" w:cs="Times New Roman"/>
                <w:spacing w:val="1"/>
                <w:sz w:val="24"/>
                <w:szCs w:val="24"/>
              </w:rPr>
              <w:t>446</w:t>
            </w:r>
            <w:r>
              <w:rPr>
                <w:rFonts w:ascii="Times New Roman" w:hAnsi="Times New Roman" w:eastAsia="Times New Roman" w:cs="Times New Roman"/>
                <w:spacing w:val="28"/>
                <w:w w:val="101"/>
                <w:sz w:val="24"/>
                <w:szCs w:val="24"/>
              </w:rPr>
              <w:t xml:space="preserve"> </w:t>
            </w:r>
            <w:r>
              <w:rPr>
                <w:spacing w:val="1"/>
                <w:sz w:val="24"/>
                <w:szCs w:val="24"/>
              </w:rPr>
              <w:t>号）、云南电</w:t>
            </w:r>
            <w:r>
              <w:rPr>
                <w:spacing w:val="-2"/>
                <w:sz w:val="24"/>
                <w:szCs w:val="24"/>
              </w:rPr>
              <w:t>网有限责任公司电网规划建设研究中心《关于报送</w:t>
            </w:r>
            <w:r>
              <w:rPr>
                <w:spacing w:val="-32"/>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松山</w:t>
            </w:r>
            <w:r>
              <w:rPr>
                <w:spacing w:val="-3"/>
                <w:sz w:val="24"/>
                <w:szCs w:val="24"/>
              </w:rPr>
              <w:t>输变电工程</w:t>
            </w:r>
            <w:r>
              <w:rPr>
                <w:spacing w:val="1"/>
                <w:sz w:val="24"/>
                <w:szCs w:val="24"/>
              </w:rPr>
              <w:t>可行性研究评审意见的函》（规划建设研究﹝</w:t>
            </w:r>
            <w:r>
              <w:rPr>
                <w:rFonts w:ascii="Times New Roman" w:hAnsi="Times New Roman" w:eastAsia="Times New Roman" w:cs="Times New Roman"/>
                <w:spacing w:val="1"/>
                <w:sz w:val="24"/>
                <w:szCs w:val="24"/>
              </w:rPr>
              <w:t>2025</w:t>
            </w:r>
            <w:r>
              <w:rPr>
                <w:spacing w:val="1"/>
                <w:sz w:val="24"/>
                <w:szCs w:val="24"/>
              </w:rPr>
              <w:t>﹞</w:t>
            </w:r>
            <w:r>
              <w:rPr>
                <w:rFonts w:ascii="Times New Roman" w:hAnsi="Times New Roman" w:eastAsia="Times New Roman" w:cs="Times New Roman"/>
                <w:spacing w:val="1"/>
                <w:sz w:val="24"/>
                <w:szCs w:val="24"/>
              </w:rPr>
              <w:t>353</w:t>
            </w:r>
            <w:r>
              <w:rPr>
                <w:rFonts w:ascii="Times New Roman" w:hAnsi="Times New Roman" w:eastAsia="Times New Roman" w:cs="Times New Roman"/>
                <w:spacing w:val="19"/>
                <w:sz w:val="24"/>
                <w:szCs w:val="24"/>
              </w:rPr>
              <w:t xml:space="preserve"> </w:t>
            </w:r>
            <w:r>
              <w:rPr>
                <w:spacing w:val="1"/>
                <w:sz w:val="24"/>
                <w:szCs w:val="24"/>
              </w:rPr>
              <w:t>号</w:t>
            </w:r>
            <w:r>
              <w:rPr>
                <w:spacing w:val="8"/>
                <w:sz w:val="24"/>
                <w:szCs w:val="24"/>
              </w:rPr>
              <w:t>），</w:t>
            </w:r>
            <w:r>
              <w:rPr>
                <w:spacing w:val="1"/>
                <w:sz w:val="24"/>
                <w:szCs w:val="24"/>
              </w:rPr>
              <w:t>本工</w:t>
            </w:r>
            <w:r>
              <w:rPr>
                <w:sz w:val="24"/>
                <w:szCs w:val="24"/>
              </w:rPr>
              <w:t>程建设主要为满足曲靖市陆良县片区用电负荷发展需要，优化片区网架，提高</w:t>
            </w:r>
            <w:r>
              <w:rPr>
                <w:spacing w:val="-1"/>
                <w:sz w:val="24"/>
                <w:szCs w:val="24"/>
              </w:rPr>
              <w:t>供电能力和供电可靠性。项目已列入公司“十四五</w:t>
            </w:r>
            <w:r>
              <w:rPr>
                <w:spacing w:val="-82"/>
                <w:sz w:val="24"/>
                <w:szCs w:val="24"/>
              </w:rPr>
              <w:t xml:space="preserve"> </w:t>
            </w:r>
            <w:r>
              <w:rPr>
                <w:spacing w:val="-1"/>
                <w:sz w:val="24"/>
                <w:szCs w:val="24"/>
              </w:rPr>
              <w:t>”电网规划。故本项目的建设符合云南电网规划的相关要求。</w:t>
            </w:r>
          </w:p>
          <w:p w14:paraId="3A42F6CF">
            <w:pPr>
              <w:pStyle w:val="6"/>
              <w:spacing w:before="1" w:line="218" w:lineRule="auto"/>
              <w:ind w:left="21"/>
              <w:rPr>
                <w:sz w:val="24"/>
                <w:szCs w:val="24"/>
              </w:rPr>
            </w:pPr>
            <w:r>
              <w:rPr>
                <w:rFonts w:ascii="Times New Roman" w:hAnsi="Times New Roman" w:eastAsia="Times New Roman" w:cs="Times New Roman"/>
                <w:b/>
                <w:bCs/>
                <w:spacing w:val="-4"/>
                <w:sz w:val="24"/>
                <w:szCs w:val="24"/>
              </w:rPr>
              <w:t>17</w:t>
            </w:r>
            <w:r>
              <w:rPr>
                <w:rFonts w:ascii="Times New Roman" w:hAnsi="Times New Roman" w:eastAsia="Times New Roman" w:cs="Times New Roman"/>
                <w:b/>
                <w:bCs/>
                <w:spacing w:val="-29"/>
                <w:sz w:val="24"/>
                <w:szCs w:val="24"/>
              </w:rPr>
              <w:t xml:space="preserve"> </w:t>
            </w:r>
            <w:r>
              <w:rPr>
                <w:b/>
                <w:bCs/>
                <w:spacing w:val="-4"/>
                <w:sz w:val="24"/>
                <w:szCs w:val="24"/>
              </w:rPr>
              <w:t>、与政府相关文件要求的符合性分析</w:t>
            </w:r>
          </w:p>
        </w:tc>
      </w:tr>
    </w:tbl>
    <w:p w14:paraId="2E3FC332">
      <w:pPr>
        <w:rPr>
          <w:rFonts w:ascii="Arial"/>
          <w:sz w:val="21"/>
        </w:rPr>
      </w:pPr>
    </w:p>
    <w:p w14:paraId="0149D87E">
      <w:pPr>
        <w:rPr>
          <w:rFonts w:ascii="Arial" w:hAnsi="Arial" w:eastAsia="Arial" w:cs="Arial"/>
          <w:sz w:val="21"/>
          <w:szCs w:val="21"/>
        </w:rPr>
        <w:sectPr>
          <w:footerReference r:id="rId34" w:type="default"/>
          <w:pgSz w:w="11907" w:h="16840"/>
          <w:pgMar w:top="400" w:right="1786" w:bottom="1240" w:left="1774" w:header="0" w:footer="1077" w:gutter="0"/>
          <w:cols w:space="720" w:num="1"/>
        </w:sectPr>
      </w:pPr>
    </w:p>
    <w:p w14:paraId="6F942E5C">
      <w:pPr>
        <w:spacing w:before="19"/>
      </w:pPr>
    </w:p>
    <w:p w14:paraId="0C2A02CD">
      <w:pPr>
        <w:spacing w:before="19"/>
      </w:pPr>
    </w:p>
    <w:p w14:paraId="726A747F">
      <w:pPr>
        <w:spacing w:before="18"/>
      </w:pPr>
    </w:p>
    <w:p w14:paraId="215FA558">
      <w:pPr>
        <w:spacing w:before="18"/>
      </w:pPr>
    </w:p>
    <w:tbl>
      <w:tblPr>
        <w:tblStyle w:val="5"/>
        <w:tblW w:w="813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1"/>
        <w:gridCol w:w="137"/>
        <w:gridCol w:w="607"/>
        <w:gridCol w:w="3218"/>
        <w:gridCol w:w="3189"/>
        <w:gridCol w:w="426"/>
        <w:gridCol w:w="146"/>
      </w:tblGrid>
      <w:tr w14:paraId="15055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6" w:hRule="atLeast"/>
        </w:trPr>
        <w:tc>
          <w:tcPr>
            <w:tcW w:w="411" w:type="dxa"/>
            <w:vMerge w:val="restart"/>
            <w:tcBorders>
              <w:top w:val="single" w:color="000000" w:sz="6" w:space="0"/>
              <w:left w:val="single" w:color="000000" w:sz="6" w:space="0"/>
              <w:bottom w:val="nil"/>
            </w:tcBorders>
            <w:vAlign w:val="top"/>
          </w:tcPr>
          <w:p w14:paraId="5FD3E3A3">
            <w:pPr>
              <w:rPr>
                <w:rFonts w:ascii="Arial"/>
                <w:sz w:val="21"/>
              </w:rPr>
            </w:pPr>
          </w:p>
        </w:tc>
        <w:tc>
          <w:tcPr>
            <w:tcW w:w="7723" w:type="dxa"/>
            <w:gridSpan w:val="6"/>
            <w:tcBorders>
              <w:top w:val="single" w:color="000000" w:sz="6" w:space="0"/>
              <w:right w:val="single" w:color="000000" w:sz="6" w:space="0"/>
            </w:tcBorders>
            <w:vAlign w:val="top"/>
          </w:tcPr>
          <w:p w14:paraId="02F7A204">
            <w:pPr>
              <w:pStyle w:val="6"/>
              <w:spacing w:before="57" w:line="359" w:lineRule="auto"/>
              <w:ind w:left="17" w:right="27" w:firstLine="478"/>
              <w:jc w:val="both"/>
              <w:rPr>
                <w:sz w:val="24"/>
                <w:szCs w:val="24"/>
              </w:rPr>
            </w:pPr>
            <w:r>
              <w:rPr>
                <w:spacing w:val="-1"/>
                <w:sz w:val="24"/>
                <w:szCs w:val="24"/>
              </w:rPr>
              <w:t>本项目拟建变电站及线路路径取得了陆良县人民政府原则同意意见，综合各主管部门意见，针对各主管部门提出的意见，见下表汇总并分别作</w:t>
            </w:r>
            <w:r>
              <w:rPr>
                <w:spacing w:val="-2"/>
                <w:sz w:val="24"/>
                <w:szCs w:val="24"/>
              </w:rPr>
              <w:t>出符合性分析。</w:t>
            </w:r>
          </w:p>
          <w:p w14:paraId="36CFD3E3">
            <w:pPr>
              <w:pStyle w:val="6"/>
              <w:spacing w:line="206" w:lineRule="auto"/>
              <w:ind w:left="1204"/>
              <w:rPr>
                <w:sz w:val="24"/>
                <w:szCs w:val="24"/>
              </w:rPr>
            </w:pPr>
            <w:r>
              <w:rPr>
                <w:b/>
                <w:bCs/>
                <w:spacing w:val="-2"/>
                <w:sz w:val="24"/>
                <w:szCs w:val="24"/>
              </w:rPr>
              <w:t>表</w:t>
            </w:r>
            <w:r>
              <w:rPr>
                <w:spacing w:val="-44"/>
                <w:sz w:val="24"/>
                <w:szCs w:val="24"/>
              </w:rPr>
              <w:t xml:space="preserve"> </w:t>
            </w:r>
            <w:r>
              <w:rPr>
                <w:rFonts w:ascii="Times New Roman" w:hAnsi="Times New Roman" w:eastAsia="Times New Roman" w:cs="Times New Roman"/>
                <w:b/>
                <w:bCs/>
                <w:spacing w:val="-2"/>
                <w:sz w:val="24"/>
                <w:szCs w:val="24"/>
              </w:rPr>
              <w:t xml:space="preserve">1-13    </w:t>
            </w:r>
            <w:r>
              <w:rPr>
                <w:b/>
                <w:bCs/>
                <w:spacing w:val="-2"/>
                <w:sz w:val="24"/>
                <w:szCs w:val="24"/>
              </w:rPr>
              <w:t>针对主管部门提出的主要意见对</w:t>
            </w:r>
            <w:r>
              <w:rPr>
                <w:b/>
                <w:bCs/>
                <w:spacing w:val="-3"/>
                <w:sz w:val="24"/>
                <w:szCs w:val="24"/>
              </w:rPr>
              <w:t>应分析表</w:t>
            </w:r>
          </w:p>
        </w:tc>
      </w:tr>
      <w:tr w14:paraId="794B7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11" w:type="dxa"/>
            <w:vMerge w:val="continue"/>
            <w:tcBorders>
              <w:top w:val="nil"/>
              <w:left w:val="single" w:color="000000" w:sz="6" w:space="0"/>
              <w:bottom w:val="nil"/>
            </w:tcBorders>
            <w:vAlign w:val="top"/>
          </w:tcPr>
          <w:p w14:paraId="0C794731">
            <w:pPr>
              <w:rPr>
                <w:rFonts w:ascii="Arial"/>
                <w:sz w:val="21"/>
              </w:rPr>
            </w:pPr>
          </w:p>
        </w:tc>
        <w:tc>
          <w:tcPr>
            <w:tcW w:w="137" w:type="dxa"/>
            <w:vMerge w:val="restart"/>
            <w:tcBorders>
              <w:top w:val="nil"/>
              <w:bottom w:val="nil"/>
            </w:tcBorders>
            <w:vAlign w:val="top"/>
          </w:tcPr>
          <w:p w14:paraId="5A4F9686">
            <w:pPr>
              <w:rPr>
                <w:rFonts w:ascii="Arial"/>
                <w:sz w:val="21"/>
              </w:rPr>
            </w:pPr>
          </w:p>
        </w:tc>
        <w:tc>
          <w:tcPr>
            <w:tcW w:w="607" w:type="dxa"/>
            <w:vAlign w:val="top"/>
          </w:tcPr>
          <w:p w14:paraId="0014445B">
            <w:pPr>
              <w:pStyle w:val="6"/>
              <w:spacing w:before="167" w:line="254" w:lineRule="auto"/>
              <w:ind w:left="95" w:right="97" w:firstLine="2"/>
            </w:pPr>
            <w:r>
              <w:rPr>
                <w:b/>
                <w:bCs/>
                <w:spacing w:val="1"/>
              </w:rPr>
              <w:t>管理</w:t>
            </w:r>
            <w:r>
              <w:rPr>
                <w:b/>
                <w:bCs/>
                <w:spacing w:val="2"/>
              </w:rPr>
              <w:t>部门</w:t>
            </w:r>
          </w:p>
        </w:tc>
        <w:tc>
          <w:tcPr>
            <w:tcW w:w="3218" w:type="dxa"/>
            <w:vAlign w:val="top"/>
          </w:tcPr>
          <w:p w14:paraId="6F470A7B">
            <w:pPr>
              <w:pStyle w:val="6"/>
              <w:spacing w:before="304" w:line="228" w:lineRule="auto"/>
              <w:ind w:left="1191"/>
            </w:pPr>
            <w:r>
              <w:rPr>
                <w:b/>
                <w:bCs/>
                <w:spacing w:val="6"/>
              </w:rPr>
              <w:t>主要意见</w:t>
            </w:r>
          </w:p>
        </w:tc>
        <w:tc>
          <w:tcPr>
            <w:tcW w:w="3189" w:type="dxa"/>
            <w:vAlign w:val="top"/>
          </w:tcPr>
          <w:p w14:paraId="1AA1306E">
            <w:pPr>
              <w:pStyle w:val="6"/>
              <w:spacing w:before="304" w:line="227" w:lineRule="auto"/>
              <w:ind w:left="444"/>
            </w:pPr>
            <w:r>
              <w:rPr>
                <w:b/>
                <w:bCs/>
                <w:spacing w:val="7"/>
              </w:rPr>
              <w:t>本项目对文件要求的回应</w:t>
            </w:r>
          </w:p>
        </w:tc>
        <w:tc>
          <w:tcPr>
            <w:tcW w:w="426" w:type="dxa"/>
            <w:textDirection w:val="tbRlV"/>
            <w:vAlign w:val="top"/>
          </w:tcPr>
          <w:p w14:paraId="08883484">
            <w:pPr>
              <w:pStyle w:val="6"/>
              <w:spacing w:before="99" w:line="215" w:lineRule="auto"/>
              <w:ind w:left="33"/>
            </w:pPr>
            <w:r>
              <w:rPr>
                <w:b/>
                <w:bCs/>
                <w:spacing w:val="6"/>
              </w:rPr>
              <w:t>符</w:t>
            </w:r>
            <w:r>
              <w:rPr>
                <w:spacing w:val="-37"/>
              </w:rPr>
              <w:t xml:space="preserve"> </w:t>
            </w:r>
            <w:r>
              <w:rPr>
                <w:b/>
                <w:bCs/>
                <w:spacing w:val="6"/>
              </w:rPr>
              <w:t>合</w:t>
            </w:r>
            <w:r>
              <w:rPr>
                <w:spacing w:val="-38"/>
              </w:rPr>
              <w:t xml:space="preserve"> </w:t>
            </w:r>
            <w:r>
              <w:rPr>
                <w:b/>
                <w:bCs/>
                <w:spacing w:val="6"/>
              </w:rPr>
              <w:t>性</w:t>
            </w:r>
          </w:p>
        </w:tc>
        <w:tc>
          <w:tcPr>
            <w:tcW w:w="146" w:type="dxa"/>
            <w:tcBorders>
              <w:top w:val="nil"/>
              <w:bottom w:val="nil"/>
              <w:right w:val="single" w:color="000000" w:sz="6" w:space="0"/>
            </w:tcBorders>
            <w:vAlign w:val="top"/>
          </w:tcPr>
          <w:p w14:paraId="432DDE3E">
            <w:pPr>
              <w:rPr>
                <w:rFonts w:ascii="Arial"/>
                <w:sz w:val="21"/>
              </w:rPr>
            </w:pPr>
          </w:p>
        </w:tc>
      </w:tr>
      <w:tr w14:paraId="7E7BE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1" w:hRule="atLeast"/>
        </w:trPr>
        <w:tc>
          <w:tcPr>
            <w:tcW w:w="411" w:type="dxa"/>
            <w:vMerge w:val="continue"/>
            <w:tcBorders>
              <w:top w:val="nil"/>
              <w:left w:val="single" w:color="000000" w:sz="6" w:space="0"/>
              <w:bottom w:val="nil"/>
            </w:tcBorders>
            <w:vAlign w:val="top"/>
          </w:tcPr>
          <w:p w14:paraId="2380EA37">
            <w:pPr>
              <w:rPr>
                <w:rFonts w:ascii="Arial"/>
                <w:sz w:val="21"/>
              </w:rPr>
            </w:pPr>
          </w:p>
        </w:tc>
        <w:tc>
          <w:tcPr>
            <w:tcW w:w="137" w:type="dxa"/>
            <w:vMerge w:val="continue"/>
            <w:tcBorders>
              <w:top w:val="nil"/>
              <w:bottom w:val="nil"/>
            </w:tcBorders>
            <w:vAlign w:val="top"/>
          </w:tcPr>
          <w:p w14:paraId="04958B4A">
            <w:pPr>
              <w:rPr>
                <w:rFonts w:ascii="Arial"/>
                <w:sz w:val="21"/>
              </w:rPr>
            </w:pPr>
          </w:p>
        </w:tc>
        <w:tc>
          <w:tcPr>
            <w:tcW w:w="607" w:type="dxa"/>
            <w:vAlign w:val="top"/>
          </w:tcPr>
          <w:p w14:paraId="3FADC8CA">
            <w:pPr>
              <w:spacing w:line="296" w:lineRule="auto"/>
              <w:rPr>
                <w:rFonts w:ascii="Arial"/>
                <w:sz w:val="21"/>
              </w:rPr>
            </w:pPr>
          </w:p>
          <w:p w14:paraId="3AF6FF75">
            <w:pPr>
              <w:spacing w:line="296" w:lineRule="auto"/>
              <w:rPr>
                <w:rFonts w:ascii="Arial"/>
                <w:sz w:val="21"/>
              </w:rPr>
            </w:pPr>
          </w:p>
          <w:p w14:paraId="0AB6BEBC">
            <w:pPr>
              <w:spacing w:line="296" w:lineRule="auto"/>
              <w:rPr>
                <w:rFonts w:ascii="Arial"/>
                <w:sz w:val="21"/>
              </w:rPr>
            </w:pPr>
          </w:p>
          <w:p w14:paraId="72C6BEDC">
            <w:pPr>
              <w:spacing w:line="297" w:lineRule="auto"/>
              <w:rPr>
                <w:rFonts w:ascii="Arial"/>
                <w:sz w:val="21"/>
              </w:rPr>
            </w:pPr>
          </w:p>
          <w:p w14:paraId="4066463D">
            <w:pPr>
              <w:pStyle w:val="6"/>
              <w:spacing w:before="65" w:line="252" w:lineRule="auto"/>
              <w:ind w:left="93" w:right="99" w:firstLine="9"/>
              <w:jc w:val="both"/>
            </w:pPr>
            <w:r>
              <w:rPr>
                <w:spacing w:val="-1"/>
              </w:rPr>
              <w:t>陆良</w:t>
            </w:r>
            <w:r>
              <w:rPr>
                <w:spacing w:val="4"/>
              </w:rPr>
              <w:t>县人民政</w:t>
            </w:r>
            <w:r>
              <w:rPr>
                <w:spacing w:val="29"/>
                <w:w w:val="138"/>
              </w:rPr>
              <w:t>府</w:t>
            </w:r>
          </w:p>
        </w:tc>
        <w:tc>
          <w:tcPr>
            <w:tcW w:w="3218" w:type="dxa"/>
            <w:vAlign w:val="top"/>
          </w:tcPr>
          <w:p w14:paraId="5C31BA95">
            <w:pPr>
              <w:pStyle w:val="6"/>
              <w:spacing w:before="34" w:line="251" w:lineRule="auto"/>
              <w:ind w:left="4" w:right="3"/>
            </w:pPr>
            <w:r>
              <w:rPr>
                <w:spacing w:val="10"/>
              </w:rPr>
              <w:t>一、原则同意</w:t>
            </w:r>
            <w:r>
              <w:rPr>
                <w:spacing w:val="-16"/>
              </w:rPr>
              <w:t xml:space="preserve"> </w:t>
            </w:r>
            <w:r>
              <w:rPr>
                <w:rFonts w:ascii="Times New Roman" w:hAnsi="Times New Roman" w:eastAsia="Times New Roman" w:cs="Times New Roman"/>
                <w:spacing w:val="10"/>
              </w:rPr>
              <w:t xml:space="preserve">110 </w:t>
            </w:r>
            <w:r>
              <w:rPr>
                <w:spacing w:val="10"/>
              </w:rPr>
              <w:t>千伏松山输变电</w:t>
            </w:r>
            <w:r>
              <w:rPr>
                <w:spacing w:val="8"/>
              </w:rPr>
              <w:t>工程变电站站址及线路路径走向。</w:t>
            </w:r>
          </w:p>
          <w:p w14:paraId="3A1FA83D">
            <w:pPr>
              <w:pStyle w:val="6"/>
              <w:spacing w:before="1" w:line="251" w:lineRule="auto"/>
              <w:ind w:right="3" w:firstLine="4"/>
            </w:pPr>
            <w:r>
              <w:rPr>
                <w:spacing w:val="10"/>
              </w:rPr>
              <w:t>二、关于</w:t>
            </w:r>
            <w:r>
              <w:rPr>
                <w:spacing w:val="-16"/>
              </w:rPr>
              <w:t xml:space="preserve"> </w:t>
            </w:r>
            <w:r>
              <w:rPr>
                <w:rFonts w:ascii="Times New Roman" w:hAnsi="Times New Roman" w:eastAsia="Times New Roman" w:cs="Times New Roman"/>
                <w:spacing w:val="10"/>
              </w:rPr>
              <w:t xml:space="preserve">110 </w:t>
            </w:r>
            <w:r>
              <w:rPr>
                <w:spacing w:val="10"/>
              </w:rPr>
              <w:t>千伏松山输变电工程</w:t>
            </w:r>
            <w:r>
              <w:rPr>
                <w:spacing w:val="13"/>
              </w:rPr>
              <w:t>变电站站址及线路路径走向涉及土地、林地等事宜，请严格按照规定程序办理审批手续；压覆矿部分应</w:t>
            </w:r>
            <w:r>
              <w:rPr>
                <w:spacing w:val="8"/>
              </w:rPr>
              <w:t>与矿权业主方签订压覆协议。</w:t>
            </w:r>
          </w:p>
          <w:p w14:paraId="01D3EE1F">
            <w:pPr>
              <w:pStyle w:val="6"/>
              <w:spacing w:line="252" w:lineRule="auto"/>
              <w:ind w:left="1" w:right="3"/>
            </w:pPr>
            <w:r>
              <w:rPr>
                <w:spacing w:val="13"/>
              </w:rPr>
              <w:t>三、项目应办理环评、水保等有关手续后方可开工建设，施工过程中</w:t>
            </w:r>
            <w:r>
              <w:rPr>
                <w:spacing w:val="12"/>
              </w:rPr>
              <w:t>要主动与有关部门和涉及乡（镇）</w:t>
            </w:r>
            <w:r>
              <w:rPr>
                <w:spacing w:val="13"/>
              </w:rPr>
              <w:t>沟通联系，并认真做好相应安全保</w:t>
            </w:r>
            <w:r>
              <w:rPr>
                <w:spacing w:val="5"/>
              </w:rPr>
              <w:t>护工作。</w:t>
            </w:r>
          </w:p>
        </w:tc>
        <w:tc>
          <w:tcPr>
            <w:tcW w:w="3189" w:type="dxa"/>
            <w:vAlign w:val="top"/>
          </w:tcPr>
          <w:p w14:paraId="5757D6D4">
            <w:pPr>
              <w:pStyle w:val="6"/>
              <w:spacing w:before="37" w:line="251" w:lineRule="auto"/>
              <w:ind w:left="5" w:firstLine="4"/>
              <w:jc w:val="both"/>
            </w:pPr>
            <w:r>
              <w:rPr>
                <w:spacing w:val="11"/>
              </w:rPr>
              <w:t>本项目站址及线路涉及土地、林地等事宜将按照规定程序办理审批手</w:t>
            </w:r>
            <w:r>
              <w:rPr>
                <w:spacing w:val="-2"/>
              </w:rPr>
              <w:t>续；本项目于</w:t>
            </w:r>
            <w:r>
              <w:rPr>
                <w:spacing w:val="-32"/>
              </w:rPr>
              <w:t xml:space="preserve"> </w:t>
            </w:r>
            <w:r>
              <w:rPr>
                <w:rFonts w:ascii="Times New Roman" w:hAnsi="Times New Roman" w:eastAsia="Times New Roman" w:cs="Times New Roman"/>
                <w:spacing w:val="-2"/>
              </w:rPr>
              <w:t xml:space="preserve">2025 </w:t>
            </w:r>
            <w:r>
              <w:rPr>
                <w:spacing w:val="-2"/>
              </w:rPr>
              <w:t>年</w:t>
            </w:r>
            <w:r>
              <w:rPr>
                <w:spacing w:val="-23"/>
              </w:rPr>
              <w:t xml:space="preserve"> </w:t>
            </w:r>
            <w:r>
              <w:rPr>
                <w:rFonts w:ascii="Times New Roman" w:hAnsi="Times New Roman" w:eastAsia="Times New Roman" w:cs="Times New Roman"/>
                <w:spacing w:val="-2"/>
              </w:rPr>
              <w:t>11</w:t>
            </w:r>
            <w:r>
              <w:rPr>
                <w:rFonts w:ascii="Times New Roman" w:hAnsi="Times New Roman" w:eastAsia="Times New Roman" w:cs="Times New Roman"/>
                <w:spacing w:val="17"/>
                <w:w w:val="101"/>
              </w:rPr>
              <w:t xml:space="preserve"> </w:t>
            </w:r>
            <w:r>
              <w:rPr>
                <w:spacing w:val="-2"/>
              </w:rPr>
              <w:t>月</w:t>
            </w:r>
            <w:r>
              <w:rPr>
                <w:spacing w:val="-43"/>
              </w:rPr>
              <w:t xml:space="preserve"> </w:t>
            </w:r>
            <w:r>
              <w:rPr>
                <w:rFonts w:ascii="Times New Roman" w:hAnsi="Times New Roman" w:eastAsia="Times New Roman" w:cs="Times New Roman"/>
                <w:spacing w:val="-2"/>
              </w:rPr>
              <w:t xml:space="preserve">20  </w:t>
            </w:r>
            <w:r>
              <w:rPr>
                <w:spacing w:val="-2"/>
              </w:rPr>
              <w:t>日取</w:t>
            </w:r>
            <w:r>
              <w:rPr>
                <w:spacing w:val="9"/>
              </w:rPr>
              <w:t>得曲靖市自然资源和规划局《关于</w:t>
            </w:r>
            <w:r>
              <w:rPr>
                <w:rFonts w:ascii="Times New Roman" w:hAnsi="Times New Roman" w:eastAsia="Times New Roman" w:cs="Times New Roman"/>
                <w:spacing w:val="11"/>
              </w:rPr>
              <w:t>110</w:t>
            </w:r>
            <w:r>
              <w:rPr>
                <w:rFonts w:ascii="Times New Roman" w:hAnsi="Times New Roman" w:eastAsia="Times New Roman" w:cs="Times New Roman"/>
              </w:rPr>
              <w:t>kV</w:t>
            </w:r>
            <w:r>
              <w:rPr>
                <w:rFonts w:ascii="Times New Roman" w:hAnsi="Times New Roman" w:eastAsia="Times New Roman" w:cs="Times New Roman"/>
                <w:spacing w:val="11"/>
              </w:rPr>
              <w:t xml:space="preserve"> </w:t>
            </w:r>
            <w:r>
              <w:rPr>
                <w:spacing w:val="11"/>
              </w:rPr>
              <w:t>松山输变电工程用地未压覆</w:t>
            </w:r>
            <w:r>
              <w:rPr>
                <w:spacing w:val="10"/>
              </w:rPr>
              <w:t>矿产资源调查结果备案的函》</w:t>
            </w:r>
            <w:r>
              <w:rPr>
                <w:spacing w:val="-73"/>
              </w:rPr>
              <w:t xml:space="preserve"> </w:t>
            </w:r>
            <w:r>
              <w:rPr>
                <w:spacing w:val="10"/>
              </w:rPr>
              <w:t>（曲</w:t>
            </w:r>
            <w:r>
              <w:rPr>
                <w:spacing w:val="6"/>
              </w:rPr>
              <w:t>资规矿压备﹝</w:t>
            </w:r>
            <w:r>
              <w:rPr>
                <w:rFonts w:ascii="Times New Roman" w:hAnsi="Times New Roman" w:eastAsia="Times New Roman" w:cs="Times New Roman"/>
                <w:spacing w:val="6"/>
              </w:rPr>
              <w:t>2025</w:t>
            </w:r>
            <w:r>
              <w:rPr>
                <w:spacing w:val="6"/>
              </w:rPr>
              <w:t>﹞</w:t>
            </w:r>
            <w:r>
              <w:rPr>
                <w:rFonts w:ascii="Times New Roman" w:hAnsi="Times New Roman" w:eastAsia="Times New Roman" w:cs="Times New Roman"/>
                <w:spacing w:val="6"/>
              </w:rPr>
              <w:t xml:space="preserve">24 </w:t>
            </w:r>
            <w:r>
              <w:rPr>
                <w:spacing w:val="6"/>
              </w:rPr>
              <w:t>号，见附件</w:t>
            </w:r>
            <w:r>
              <w:rPr>
                <w:rFonts w:ascii="Times New Roman" w:hAnsi="Times New Roman" w:eastAsia="Times New Roman" w:cs="Times New Roman"/>
                <w:spacing w:val="10"/>
              </w:rPr>
              <w:t>21</w:t>
            </w:r>
            <w:r>
              <w:rPr>
                <w:spacing w:val="18"/>
              </w:rPr>
              <w:t>），</w:t>
            </w:r>
            <w:r>
              <w:rPr>
                <w:spacing w:val="10"/>
              </w:rPr>
              <w:t>项目调查评估区未压覆矿业</w:t>
            </w:r>
            <w:r>
              <w:rPr>
                <w:spacing w:val="11"/>
              </w:rPr>
              <w:t>权，未压覆国家探明矿产地，未压</w:t>
            </w:r>
            <w:r>
              <w:rPr>
                <w:spacing w:val="7"/>
              </w:rPr>
              <w:t>覆重要矿产资源。</w:t>
            </w:r>
          </w:p>
          <w:p w14:paraId="3424FD9E">
            <w:pPr>
              <w:pStyle w:val="6"/>
              <w:spacing w:line="238" w:lineRule="auto"/>
              <w:ind w:left="9" w:firstLine="39"/>
              <w:jc w:val="both"/>
            </w:pPr>
            <w:r>
              <w:rPr>
                <w:spacing w:val="8"/>
              </w:rPr>
              <w:t>目前，项目正在办理环评、水保等</w:t>
            </w:r>
            <w:r>
              <w:rPr>
                <w:spacing w:val="11"/>
              </w:rPr>
              <w:t>有关手续，办理完成后方可开工建</w:t>
            </w:r>
            <w:r>
              <w:rPr>
                <w:spacing w:val="-1"/>
              </w:rPr>
              <w:t>设。</w:t>
            </w:r>
          </w:p>
        </w:tc>
        <w:tc>
          <w:tcPr>
            <w:tcW w:w="426" w:type="dxa"/>
            <w:textDirection w:val="tbRlV"/>
            <w:vAlign w:val="top"/>
          </w:tcPr>
          <w:p w14:paraId="1E2DE789">
            <w:pPr>
              <w:pStyle w:val="6"/>
              <w:spacing w:before="99" w:line="215" w:lineRule="auto"/>
              <w:ind w:left="1530"/>
            </w:pPr>
            <w:r>
              <w:rPr>
                <w:spacing w:val="8"/>
              </w:rPr>
              <w:t>符</w:t>
            </w:r>
            <w:r>
              <w:rPr>
                <w:spacing w:val="-38"/>
              </w:rPr>
              <w:t xml:space="preserve"> </w:t>
            </w:r>
            <w:r>
              <w:rPr>
                <w:spacing w:val="8"/>
              </w:rPr>
              <w:t>合</w:t>
            </w:r>
          </w:p>
        </w:tc>
        <w:tc>
          <w:tcPr>
            <w:tcW w:w="146" w:type="dxa"/>
            <w:tcBorders>
              <w:top w:val="nil"/>
              <w:bottom w:val="nil"/>
              <w:right w:val="single" w:color="000000" w:sz="6" w:space="0"/>
            </w:tcBorders>
            <w:vAlign w:val="top"/>
          </w:tcPr>
          <w:p w14:paraId="5A0FF7D3">
            <w:pPr>
              <w:rPr>
                <w:rFonts w:ascii="Arial"/>
                <w:sz w:val="21"/>
              </w:rPr>
            </w:pPr>
          </w:p>
        </w:tc>
      </w:tr>
      <w:tr w14:paraId="13933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0" w:hRule="atLeast"/>
        </w:trPr>
        <w:tc>
          <w:tcPr>
            <w:tcW w:w="411" w:type="dxa"/>
            <w:vMerge w:val="continue"/>
            <w:tcBorders>
              <w:top w:val="nil"/>
              <w:left w:val="single" w:color="000000" w:sz="6" w:space="0"/>
              <w:bottom w:val="nil"/>
            </w:tcBorders>
            <w:vAlign w:val="top"/>
          </w:tcPr>
          <w:p w14:paraId="0D78C439">
            <w:pPr>
              <w:rPr>
                <w:rFonts w:ascii="Arial"/>
                <w:sz w:val="21"/>
              </w:rPr>
            </w:pPr>
          </w:p>
        </w:tc>
        <w:tc>
          <w:tcPr>
            <w:tcW w:w="137" w:type="dxa"/>
            <w:vMerge w:val="continue"/>
            <w:tcBorders>
              <w:top w:val="nil"/>
              <w:bottom w:val="nil"/>
            </w:tcBorders>
            <w:vAlign w:val="top"/>
          </w:tcPr>
          <w:p w14:paraId="1BE6CDC0">
            <w:pPr>
              <w:rPr>
                <w:rFonts w:ascii="Arial"/>
                <w:sz w:val="21"/>
              </w:rPr>
            </w:pPr>
          </w:p>
        </w:tc>
        <w:tc>
          <w:tcPr>
            <w:tcW w:w="607" w:type="dxa"/>
            <w:vAlign w:val="top"/>
          </w:tcPr>
          <w:p w14:paraId="63783E78">
            <w:pPr>
              <w:spacing w:line="261" w:lineRule="auto"/>
              <w:rPr>
                <w:rFonts w:ascii="Arial"/>
                <w:sz w:val="21"/>
              </w:rPr>
            </w:pPr>
          </w:p>
          <w:p w14:paraId="29824AC6">
            <w:pPr>
              <w:spacing w:line="261" w:lineRule="auto"/>
              <w:rPr>
                <w:rFonts w:ascii="Arial"/>
                <w:sz w:val="21"/>
              </w:rPr>
            </w:pPr>
          </w:p>
          <w:p w14:paraId="3EFF12EA">
            <w:pPr>
              <w:spacing w:line="261" w:lineRule="auto"/>
              <w:rPr>
                <w:rFonts w:ascii="Arial"/>
                <w:sz w:val="21"/>
              </w:rPr>
            </w:pPr>
          </w:p>
          <w:p w14:paraId="4CB362F1">
            <w:pPr>
              <w:pStyle w:val="6"/>
              <w:spacing w:before="65" w:line="252" w:lineRule="auto"/>
              <w:ind w:left="92" w:right="99" w:firstLine="24"/>
              <w:jc w:val="both"/>
            </w:pPr>
            <w:r>
              <w:rPr>
                <w:spacing w:val="-8"/>
              </w:rPr>
              <w:t>曲靖</w:t>
            </w:r>
            <w:r>
              <w:rPr>
                <w:spacing w:val="4"/>
              </w:rPr>
              <w:t>市生态环境局陆良分局</w:t>
            </w:r>
          </w:p>
        </w:tc>
        <w:tc>
          <w:tcPr>
            <w:tcW w:w="3218" w:type="dxa"/>
            <w:vAlign w:val="top"/>
          </w:tcPr>
          <w:p w14:paraId="055DF92C">
            <w:pPr>
              <w:pStyle w:val="6"/>
              <w:spacing w:before="39" w:line="250" w:lineRule="auto"/>
              <w:ind w:left="2" w:right="25" w:firstLine="2"/>
            </w:pPr>
            <w:r>
              <w:rPr>
                <w:spacing w:val="6"/>
              </w:rPr>
              <w:t>一、同意</w:t>
            </w:r>
            <w:r>
              <w:rPr>
                <w:spacing w:val="-9"/>
              </w:rPr>
              <w:t xml:space="preserve"> </w:t>
            </w: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松山输变电工程选</w:t>
            </w:r>
            <w:r>
              <w:t>址。</w:t>
            </w:r>
          </w:p>
          <w:p w14:paraId="78A41CD2">
            <w:pPr>
              <w:pStyle w:val="6"/>
              <w:spacing w:before="3" w:line="251" w:lineRule="auto"/>
              <w:ind w:right="70" w:firstLine="4"/>
            </w:pPr>
            <w:r>
              <w:rPr>
                <w:spacing w:val="9"/>
              </w:rPr>
              <w:t>二、施工阶段严格按照设计施工，施工结束后对临时用地及时恢复。尽量减少植被破坏，对于无法避免造成的破坏，应采取相应的生态环</w:t>
            </w:r>
            <w:r>
              <w:rPr>
                <w:spacing w:val="8"/>
              </w:rPr>
              <w:t>境保护措施及时恢复植被。</w:t>
            </w:r>
          </w:p>
          <w:p w14:paraId="70306F3A">
            <w:pPr>
              <w:pStyle w:val="6"/>
              <w:spacing w:before="4" w:line="242" w:lineRule="auto"/>
              <w:ind w:left="1" w:right="70"/>
            </w:pPr>
            <w:r>
              <w:rPr>
                <w:spacing w:val="9"/>
              </w:rPr>
              <w:t>三、在未取得环评审批之前不允许开工建设，生态环境部门将按照工作职责，积极主动做好项目环评要素保障和服务工作，加快推进项目</w:t>
            </w:r>
            <w:r>
              <w:rPr>
                <w:spacing w:val="5"/>
              </w:rPr>
              <w:t>环评审批。</w:t>
            </w:r>
          </w:p>
        </w:tc>
        <w:tc>
          <w:tcPr>
            <w:tcW w:w="3189" w:type="dxa"/>
            <w:vAlign w:val="top"/>
          </w:tcPr>
          <w:p w14:paraId="0D913367">
            <w:pPr>
              <w:spacing w:line="261" w:lineRule="auto"/>
              <w:rPr>
                <w:rFonts w:ascii="Arial"/>
                <w:sz w:val="21"/>
              </w:rPr>
            </w:pPr>
          </w:p>
          <w:p w14:paraId="0B8A9FB1">
            <w:pPr>
              <w:spacing w:line="261" w:lineRule="auto"/>
              <w:rPr>
                <w:rFonts w:ascii="Arial"/>
                <w:sz w:val="21"/>
              </w:rPr>
            </w:pPr>
          </w:p>
          <w:p w14:paraId="1BCEC697">
            <w:pPr>
              <w:spacing w:line="261" w:lineRule="auto"/>
              <w:rPr>
                <w:rFonts w:ascii="Arial"/>
                <w:sz w:val="21"/>
              </w:rPr>
            </w:pPr>
          </w:p>
          <w:p w14:paraId="0248EF9C">
            <w:pPr>
              <w:pStyle w:val="6"/>
              <w:spacing w:before="65" w:line="252" w:lineRule="auto"/>
              <w:ind w:left="9" w:right="34"/>
              <w:jc w:val="both"/>
            </w:pPr>
            <w:r>
              <w:rPr>
                <w:spacing w:val="9"/>
              </w:rPr>
              <w:t>本项目将按照环评要求在施工结束后对临时用地及时恢复，尽量减少植被破坏；落实环评提出的生态环</w:t>
            </w:r>
            <w:r>
              <w:rPr>
                <w:spacing w:val="5"/>
              </w:rPr>
              <w:t>境保护措施及时恢复植被；</w:t>
            </w:r>
            <w:r>
              <w:rPr>
                <w:spacing w:val="-37"/>
              </w:rPr>
              <w:t xml:space="preserve"> </w:t>
            </w:r>
            <w:r>
              <w:rPr>
                <w:spacing w:val="5"/>
              </w:rPr>
              <w:t>目前，</w:t>
            </w:r>
            <w:r>
              <w:rPr>
                <w:spacing w:val="9"/>
              </w:rPr>
              <w:t>项目正在办理环评、水保等有关手</w:t>
            </w:r>
            <w:r>
              <w:rPr>
                <w:spacing w:val="8"/>
              </w:rPr>
              <w:t>续，办理完成后方可开工建设。</w:t>
            </w:r>
          </w:p>
        </w:tc>
        <w:tc>
          <w:tcPr>
            <w:tcW w:w="426" w:type="dxa"/>
            <w:textDirection w:val="tbRlV"/>
            <w:vAlign w:val="top"/>
          </w:tcPr>
          <w:p w14:paraId="5705A862">
            <w:pPr>
              <w:pStyle w:val="6"/>
              <w:spacing w:before="99" w:line="215" w:lineRule="auto"/>
              <w:ind w:left="1399"/>
            </w:pPr>
            <w:r>
              <w:rPr>
                <w:spacing w:val="8"/>
              </w:rPr>
              <w:t>符</w:t>
            </w:r>
            <w:r>
              <w:rPr>
                <w:spacing w:val="-38"/>
              </w:rPr>
              <w:t xml:space="preserve"> </w:t>
            </w:r>
            <w:r>
              <w:rPr>
                <w:spacing w:val="8"/>
              </w:rPr>
              <w:t>合</w:t>
            </w:r>
          </w:p>
        </w:tc>
        <w:tc>
          <w:tcPr>
            <w:tcW w:w="146" w:type="dxa"/>
            <w:tcBorders>
              <w:top w:val="nil"/>
              <w:bottom w:val="nil"/>
              <w:right w:val="single" w:color="000000" w:sz="6" w:space="0"/>
            </w:tcBorders>
            <w:vAlign w:val="top"/>
          </w:tcPr>
          <w:p w14:paraId="38FC1DB5">
            <w:pPr>
              <w:rPr>
                <w:rFonts w:ascii="Arial"/>
                <w:sz w:val="21"/>
              </w:rPr>
            </w:pPr>
          </w:p>
        </w:tc>
      </w:tr>
      <w:tr w14:paraId="3287C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411" w:type="dxa"/>
            <w:vMerge w:val="continue"/>
            <w:tcBorders>
              <w:top w:val="nil"/>
              <w:left w:val="single" w:color="000000" w:sz="6" w:space="0"/>
              <w:bottom w:val="nil"/>
            </w:tcBorders>
            <w:vAlign w:val="top"/>
          </w:tcPr>
          <w:p w14:paraId="2E7E11D4">
            <w:pPr>
              <w:rPr>
                <w:rFonts w:ascii="Arial"/>
                <w:sz w:val="21"/>
              </w:rPr>
            </w:pPr>
          </w:p>
        </w:tc>
        <w:tc>
          <w:tcPr>
            <w:tcW w:w="137" w:type="dxa"/>
            <w:vMerge w:val="continue"/>
            <w:tcBorders>
              <w:top w:val="nil"/>
              <w:bottom w:val="nil"/>
            </w:tcBorders>
            <w:vAlign w:val="top"/>
          </w:tcPr>
          <w:p w14:paraId="31EE8BF0">
            <w:pPr>
              <w:rPr>
                <w:rFonts w:ascii="Arial"/>
                <w:sz w:val="21"/>
              </w:rPr>
            </w:pPr>
          </w:p>
        </w:tc>
        <w:tc>
          <w:tcPr>
            <w:tcW w:w="607" w:type="dxa"/>
            <w:vAlign w:val="top"/>
          </w:tcPr>
          <w:p w14:paraId="4425C9B6">
            <w:pPr>
              <w:pStyle w:val="6"/>
              <w:spacing w:before="41" w:line="231" w:lineRule="auto"/>
              <w:ind w:left="103"/>
            </w:pPr>
            <w:r>
              <w:rPr>
                <w:spacing w:val="-1"/>
              </w:rPr>
              <w:t>陆良</w:t>
            </w:r>
          </w:p>
          <w:p w14:paraId="6AB0BC30">
            <w:pPr>
              <w:pStyle w:val="6"/>
              <w:spacing w:before="21" w:line="227" w:lineRule="auto"/>
              <w:ind w:left="93"/>
            </w:pPr>
            <w:r>
              <w:rPr>
                <w:spacing w:val="4"/>
              </w:rPr>
              <w:t>县板</w:t>
            </w:r>
          </w:p>
          <w:p w14:paraId="752B3B28">
            <w:pPr>
              <w:pStyle w:val="6"/>
              <w:spacing w:before="25" w:line="228" w:lineRule="auto"/>
              <w:ind w:left="92"/>
            </w:pPr>
            <w:r>
              <w:rPr>
                <w:spacing w:val="4"/>
              </w:rPr>
              <w:t>桥镇</w:t>
            </w:r>
          </w:p>
          <w:p w14:paraId="194E7340">
            <w:pPr>
              <w:pStyle w:val="6"/>
              <w:spacing w:before="27" w:line="229" w:lineRule="auto"/>
              <w:ind w:left="94"/>
            </w:pPr>
            <w:r>
              <w:rPr>
                <w:spacing w:val="3"/>
              </w:rPr>
              <w:t>人民</w:t>
            </w:r>
          </w:p>
          <w:p w14:paraId="6EB29B26">
            <w:pPr>
              <w:pStyle w:val="6"/>
              <w:spacing w:before="23" w:line="208" w:lineRule="auto"/>
              <w:ind w:left="91"/>
            </w:pPr>
            <w:r>
              <w:rPr>
                <w:spacing w:val="5"/>
              </w:rPr>
              <w:t>政府</w:t>
            </w:r>
          </w:p>
        </w:tc>
        <w:tc>
          <w:tcPr>
            <w:tcW w:w="3218" w:type="dxa"/>
            <w:vAlign w:val="top"/>
          </w:tcPr>
          <w:p w14:paraId="47F5A86F">
            <w:pPr>
              <w:spacing w:line="382" w:lineRule="auto"/>
              <w:rPr>
                <w:rFonts w:ascii="Arial"/>
                <w:sz w:val="21"/>
              </w:rPr>
            </w:pPr>
          </w:p>
          <w:p w14:paraId="016E7554">
            <w:pPr>
              <w:pStyle w:val="6"/>
              <w:spacing w:before="65" w:line="252" w:lineRule="auto"/>
              <w:ind w:left="1" w:right="70" w:firstLine="5"/>
            </w:pPr>
            <w:r>
              <w:rPr>
                <w:spacing w:val="6"/>
              </w:rPr>
              <w:t>原则同意</w:t>
            </w:r>
            <w:r>
              <w:rPr>
                <w:spacing w:val="-18"/>
              </w:rPr>
              <w:t xml:space="preserve"> </w:t>
            </w:r>
            <w:r>
              <w:rPr>
                <w:rFonts w:ascii="Times New Roman" w:hAnsi="Times New Roman" w:eastAsia="Times New Roman" w:cs="Times New Roman"/>
                <w:spacing w:val="6"/>
              </w:rPr>
              <w:t xml:space="preserve">110 </w:t>
            </w:r>
            <w:r>
              <w:rPr>
                <w:spacing w:val="6"/>
              </w:rPr>
              <w:t>千伏松山输变电工程</w:t>
            </w:r>
            <w:r>
              <w:rPr>
                <w:spacing w:val="8"/>
              </w:rPr>
              <w:t>变电站站址及线路路径走向；</w:t>
            </w:r>
          </w:p>
        </w:tc>
        <w:tc>
          <w:tcPr>
            <w:tcW w:w="3189" w:type="dxa"/>
            <w:vAlign w:val="top"/>
          </w:tcPr>
          <w:p w14:paraId="1A4FD716">
            <w:pPr>
              <w:spacing w:line="278" w:lineRule="auto"/>
              <w:rPr>
                <w:rFonts w:ascii="Arial"/>
                <w:sz w:val="21"/>
              </w:rPr>
            </w:pPr>
          </w:p>
          <w:p w14:paraId="4629B654">
            <w:pPr>
              <w:spacing w:line="278" w:lineRule="auto"/>
              <w:rPr>
                <w:rFonts w:ascii="Arial"/>
                <w:sz w:val="21"/>
              </w:rPr>
            </w:pPr>
          </w:p>
          <w:p w14:paraId="2458C6F9">
            <w:pPr>
              <w:spacing w:before="57" w:line="199" w:lineRule="auto"/>
              <w:ind w:left="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426" w:type="dxa"/>
            <w:vAlign w:val="top"/>
          </w:tcPr>
          <w:p w14:paraId="4D8D04C0">
            <w:pPr>
              <w:spacing w:line="278" w:lineRule="auto"/>
              <w:rPr>
                <w:rFonts w:ascii="Arial"/>
                <w:sz w:val="21"/>
              </w:rPr>
            </w:pPr>
          </w:p>
          <w:p w14:paraId="766C0AD4">
            <w:pPr>
              <w:spacing w:line="278" w:lineRule="auto"/>
              <w:rPr>
                <w:rFonts w:ascii="Arial"/>
                <w:sz w:val="21"/>
              </w:rPr>
            </w:pPr>
          </w:p>
          <w:p w14:paraId="37C651EC">
            <w:pPr>
              <w:spacing w:before="57" w:line="199"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46" w:type="dxa"/>
            <w:tcBorders>
              <w:top w:val="nil"/>
              <w:bottom w:val="nil"/>
              <w:right w:val="single" w:color="000000" w:sz="6" w:space="0"/>
            </w:tcBorders>
            <w:vAlign w:val="top"/>
          </w:tcPr>
          <w:p w14:paraId="0328872D">
            <w:pPr>
              <w:rPr>
                <w:rFonts w:ascii="Arial"/>
                <w:sz w:val="21"/>
              </w:rPr>
            </w:pPr>
          </w:p>
        </w:tc>
      </w:tr>
      <w:tr w14:paraId="7A595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411" w:type="dxa"/>
            <w:vMerge w:val="continue"/>
            <w:tcBorders>
              <w:top w:val="nil"/>
              <w:left w:val="single" w:color="000000" w:sz="6" w:space="0"/>
              <w:bottom w:val="nil"/>
            </w:tcBorders>
            <w:vAlign w:val="top"/>
          </w:tcPr>
          <w:p w14:paraId="650D8AD0">
            <w:pPr>
              <w:rPr>
                <w:rFonts w:ascii="Arial"/>
                <w:sz w:val="21"/>
              </w:rPr>
            </w:pPr>
          </w:p>
        </w:tc>
        <w:tc>
          <w:tcPr>
            <w:tcW w:w="137" w:type="dxa"/>
            <w:vMerge w:val="continue"/>
            <w:tcBorders>
              <w:top w:val="nil"/>
              <w:bottom w:val="nil"/>
            </w:tcBorders>
            <w:vAlign w:val="top"/>
          </w:tcPr>
          <w:p w14:paraId="136E24AE">
            <w:pPr>
              <w:rPr>
                <w:rFonts w:ascii="Arial"/>
                <w:sz w:val="21"/>
              </w:rPr>
            </w:pPr>
          </w:p>
        </w:tc>
        <w:tc>
          <w:tcPr>
            <w:tcW w:w="607" w:type="dxa"/>
            <w:vAlign w:val="top"/>
          </w:tcPr>
          <w:p w14:paraId="0755A60C">
            <w:pPr>
              <w:pStyle w:val="6"/>
              <w:spacing w:before="179" w:line="231" w:lineRule="auto"/>
              <w:ind w:left="103"/>
            </w:pPr>
            <w:r>
              <w:rPr>
                <w:spacing w:val="-1"/>
              </w:rPr>
              <w:t>陆良</w:t>
            </w:r>
          </w:p>
          <w:p w14:paraId="69552A37">
            <w:pPr>
              <w:pStyle w:val="6"/>
              <w:spacing w:before="21" w:line="228" w:lineRule="auto"/>
              <w:ind w:left="93"/>
            </w:pPr>
            <w:r>
              <w:rPr>
                <w:spacing w:val="4"/>
              </w:rPr>
              <w:t>县中</w:t>
            </w:r>
          </w:p>
          <w:p w14:paraId="0F77B13A">
            <w:pPr>
              <w:pStyle w:val="6"/>
              <w:spacing w:before="25" w:line="228" w:lineRule="auto"/>
              <w:ind w:left="91"/>
            </w:pPr>
            <w:r>
              <w:rPr>
                <w:spacing w:val="5"/>
              </w:rPr>
              <w:t>枢街</w:t>
            </w:r>
          </w:p>
          <w:p w14:paraId="436F1371">
            <w:pPr>
              <w:pStyle w:val="6"/>
              <w:spacing w:before="24" w:line="228" w:lineRule="auto"/>
              <w:ind w:left="91"/>
            </w:pPr>
            <w:r>
              <w:rPr>
                <w:spacing w:val="5"/>
              </w:rPr>
              <w:t>道办</w:t>
            </w:r>
          </w:p>
          <w:p w14:paraId="34969377">
            <w:pPr>
              <w:pStyle w:val="6"/>
              <w:spacing w:before="27" w:line="228" w:lineRule="auto"/>
              <w:ind w:left="92"/>
            </w:pPr>
            <w:r>
              <w:rPr>
                <w:spacing w:val="4"/>
              </w:rPr>
              <w:t>事处</w:t>
            </w:r>
          </w:p>
        </w:tc>
        <w:tc>
          <w:tcPr>
            <w:tcW w:w="3218" w:type="dxa"/>
            <w:vAlign w:val="top"/>
          </w:tcPr>
          <w:p w14:paraId="25AD9B53">
            <w:pPr>
              <w:pStyle w:val="6"/>
              <w:spacing w:before="41" w:line="244" w:lineRule="auto"/>
              <w:ind w:left="1" w:firstLine="4"/>
              <w:jc w:val="both"/>
            </w:pPr>
            <w:r>
              <w:rPr>
                <w:spacing w:val="2"/>
              </w:rPr>
              <w:t>原则同意</w:t>
            </w:r>
            <w:r>
              <w:rPr>
                <w:spacing w:val="-16"/>
              </w:rPr>
              <w:t xml:space="preserve"> </w:t>
            </w:r>
            <w:r>
              <w:rPr>
                <w:rFonts w:ascii="Times New Roman" w:hAnsi="Times New Roman" w:eastAsia="Times New Roman" w:cs="Times New Roman"/>
                <w:spacing w:val="2"/>
              </w:rPr>
              <w:t xml:space="preserve">110 </w:t>
            </w:r>
            <w:r>
              <w:rPr>
                <w:spacing w:val="2"/>
              </w:rPr>
              <w:t>千伏松山输变电工程</w:t>
            </w:r>
            <w:r>
              <w:rPr>
                <w:spacing w:val="4"/>
              </w:rPr>
              <w:t>线路路径在中枢街道境内走向，但为妥善做好变电工程线路施工中群众工作，贵单位在具体路线选择上应与社区现场勘察，充分考虑社区</w:t>
            </w:r>
            <w:r>
              <w:t>意见，尽量规避居民集中居住路段。</w:t>
            </w:r>
          </w:p>
        </w:tc>
        <w:tc>
          <w:tcPr>
            <w:tcW w:w="3189" w:type="dxa"/>
            <w:vAlign w:val="top"/>
          </w:tcPr>
          <w:p w14:paraId="6628E7CC">
            <w:pPr>
              <w:spacing w:line="259" w:lineRule="auto"/>
              <w:rPr>
                <w:rFonts w:ascii="Arial"/>
                <w:sz w:val="21"/>
              </w:rPr>
            </w:pPr>
          </w:p>
          <w:p w14:paraId="4B7A4F96">
            <w:pPr>
              <w:spacing w:line="259" w:lineRule="auto"/>
              <w:rPr>
                <w:rFonts w:ascii="Arial"/>
                <w:sz w:val="21"/>
              </w:rPr>
            </w:pPr>
          </w:p>
          <w:p w14:paraId="5DA26AE4">
            <w:pPr>
              <w:pStyle w:val="6"/>
              <w:spacing w:before="65" w:line="252" w:lineRule="auto"/>
              <w:ind w:left="13" w:right="36" w:hanging="4"/>
            </w:pPr>
            <w:r>
              <w:rPr>
                <w:spacing w:val="9"/>
              </w:rPr>
              <w:t>本项目线路选线阶段充分考虑社区</w:t>
            </w:r>
            <w:r>
              <w:rPr>
                <w:spacing w:val="8"/>
              </w:rPr>
              <w:t>意见，避让了居民集中居住区域；</w:t>
            </w:r>
          </w:p>
        </w:tc>
        <w:tc>
          <w:tcPr>
            <w:tcW w:w="426" w:type="dxa"/>
            <w:textDirection w:val="tbRlV"/>
            <w:vAlign w:val="top"/>
          </w:tcPr>
          <w:p w14:paraId="132A6E1F">
            <w:pPr>
              <w:pStyle w:val="6"/>
              <w:spacing w:before="99" w:line="215" w:lineRule="auto"/>
              <w:ind w:left="587"/>
            </w:pPr>
            <w:r>
              <w:rPr>
                <w:spacing w:val="8"/>
              </w:rPr>
              <w:t>符</w:t>
            </w:r>
            <w:r>
              <w:rPr>
                <w:spacing w:val="-38"/>
              </w:rPr>
              <w:t xml:space="preserve"> </w:t>
            </w:r>
            <w:r>
              <w:rPr>
                <w:spacing w:val="8"/>
              </w:rPr>
              <w:t>合</w:t>
            </w:r>
          </w:p>
        </w:tc>
        <w:tc>
          <w:tcPr>
            <w:tcW w:w="146" w:type="dxa"/>
            <w:tcBorders>
              <w:top w:val="nil"/>
              <w:bottom w:val="nil"/>
              <w:right w:val="single" w:color="000000" w:sz="6" w:space="0"/>
            </w:tcBorders>
            <w:vAlign w:val="top"/>
          </w:tcPr>
          <w:p w14:paraId="54B19214">
            <w:pPr>
              <w:rPr>
                <w:rFonts w:ascii="Arial"/>
                <w:sz w:val="21"/>
              </w:rPr>
            </w:pPr>
          </w:p>
        </w:tc>
      </w:tr>
      <w:tr w14:paraId="139C5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8" w:hRule="atLeast"/>
        </w:trPr>
        <w:tc>
          <w:tcPr>
            <w:tcW w:w="411" w:type="dxa"/>
            <w:vMerge w:val="continue"/>
            <w:tcBorders>
              <w:top w:val="nil"/>
              <w:left w:val="single" w:color="000000" w:sz="6" w:space="0"/>
              <w:bottom w:val="single" w:color="000000" w:sz="6" w:space="0"/>
            </w:tcBorders>
            <w:vAlign w:val="top"/>
          </w:tcPr>
          <w:p w14:paraId="66EF540C">
            <w:pPr>
              <w:rPr>
                <w:rFonts w:ascii="Arial"/>
                <w:sz w:val="21"/>
              </w:rPr>
            </w:pPr>
          </w:p>
        </w:tc>
        <w:tc>
          <w:tcPr>
            <w:tcW w:w="137" w:type="dxa"/>
            <w:vMerge w:val="continue"/>
            <w:tcBorders>
              <w:top w:val="nil"/>
              <w:bottom w:val="single" w:color="000000" w:sz="6" w:space="0"/>
            </w:tcBorders>
            <w:vAlign w:val="top"/>
          </w:tcPr>
          <w:p w14:paraId="1F847BC4">
            <w:pPr>
              <w:rPr>
                <w:rFonts w:ascii="Arial"/>
                <w:sz w:val="21"/>
              </w:rPr>
            </w:pPr>
          </w:p>
        </w:tc>
        <w:tc>
          <w:tcPr>
            <w:tcW w:w="607" w:type="dxa"/>
            <w:tcBorders>
              <w:bottom w:val="single" w:color="000000" w:sz="6" w:space="0"/>
            </w:tcBorders>
            <w:vAlign w:val="top"/>
          </w:tcPr>
          <w:p w14:paraId="488E59D3">
            <w:pPr>
              <w:pStyle w:val="6"/>
              <w:spacing w:before="44" w:line="231" w:lineRule="auto"/>
              <w:ind w:left="103"/>
            </w:pPr>
            <w:r>
              <w:rPr>
                <w:spacing w:val="-1"/>
              </w:rPr>
              <w:t>陆良</w:t>
            </w:r>
          </w:p>
          <w:p w14:paraId="03CBE12F">
            <w:pPr>
              <w:pStyle w:val="6"/>
              <w:spacing w:before="24" w:line="228" w:lineRule="auto"/>
              <w:ind w:left="93"/>
            </w:pPr>
            <w:r>
              <w:rPr>
                <w:spacing w:val="4"/>
              </w:rPr>
              <w:t>县芳</w:t>
            </w:r>
          </w:p>
          <w:p w14:paraId="1B31B968">
            <w:pPr>
              <w:pStyle w:val="6"/>
              <w:spacing w:before="23" w:line="228" w:lineRule="auto"/>
              <w:ind w:left="93"/>
            </w:pPr>
            <w:r>
              <w:rPr>
                <w:spacing w:val="4"/>
              </w:rPr>
              <w:t>华镇</w:t>
            </w:r>
          </w:p>
          <w:p w14:paraId="35E0F5F9">
            <w:pPr>
              <w:pStyle w:val="6"/>
              <w:spacing w:before="27" w:line="229" w:lineRule="auto"/>
              <w:ind w:left="94"/>
            </w:pPr>
            <w:r>
              <w:rPr>
                <w:spacing w:val="3"/>
              </w:rPr>
              <w:t>人民</w:t>
            </w:r>
          </w:p>
          <w:p w14:paraId="4FE545CF">
            <w:pPr>
              <w:pStyle w:val="6"/>
              <w:spacing w:before="22" w:line="227" w:lineRule="auto"/>
              <w:ind w:left="91"/>
            </w:pPr>
            <w:r>
              <w:rPr>
                <w:spacing w:val="5"/>
              </w:rPr>
              <w:t>政府</w:t>
            </w:r>
          </w:p>
        </w:tc>
        <w:tc>
          <w:tcPr>
            <w:tcW w:w="3218" w:type="dxa"/>
            <w:tcBorders>
              <w:bottom w:val="single" w:color="000000" w:sz="6" w:space="0"/>
            </w:tcBorders>
            <w:vAlign w:val="top"/>
          </w:tcPr>
          <w:p w14:paraId="351EBF6A">
            <w:pPr>
              <w:spacing w:line="385" w:lineRule="auto"/>
              <w:rPr>
                <w:rFonts w:ascii="Arial"/>
                <w:sz w:val="21"/>
              </w:rPr>
            </w:pPr>
          </w:p>
          <w:p w14:paraId="542065E9">
            <w:pPr>
              <w:pStyle w:val="6"/>
              <w:spacing w:before="65" w:line="254" w:lineRule="auto"/>
              <w:ind w:left="4" w:right="70" w:firstLine="2"/>
            </w:pPr>
            <w:r>
              <w:rPr>
                <w:spacing w:val="6"/>
              </w:rPr>
              <w:t>原则同意</w:t>
            </w:r>
            <w:r>
              <w:rPr>
                <w:spacing w:val="-18"/>
              </w:rPr>
              <w:t xml:space="preserve"> </w:t>
            </w:r>
            <w:r>
              <w:rPr>
                <w:rFonts w:ascii="Times New Roman" w:hAnsi="Times New Roman" w:eastAsia="Times New Roman" w:cs="Times New Roman"/>
                <w:spacing w:val="6"/>
              </w:rPr>
              <w:t xml:space="preserve">110 </w:t>
            </w:r>
            <w:r>
              <w:rPr>
                <w:spacing w:val="6"/>
              </w:rPr>
              <w:t>千伏松山输变电工程</w:t>
            </w:r>
            <w:r>
              <w:rPr>
                <w:spacing w:val="8"/>
              </w:rPr>
              <w:t>线路路径在芳华镇境内走向；</w:t>
            </w:r>
          </w:p>
        </w:tc>
        <w:tc>
          <w:tcPr>
            <w:tcW w:w="3189" w:type="dxa"/>
            <w:tcBorders>
              <w:bottom w:val="single" w:color="000000" w:sz="6" w:space="0"/>
            </w:tcBorders>
            <w:vAlign w:val="top"/>
          </w:tcPr>
          <w:p w14:paraId="4A5EE7DB">
            <w:pPr>
              <w:spacing w:line="280" w:lineRule="auto"/>
              <w:rPr>
                <w:rFonts w:ascii="Arial"/>
                <w:sz w:val="21"/>
              </w:rPr>
            </w:pPr>
          </w:p>
          <w:p w14:paraId="6F94A83C">
            <w:pPr>
              <w:spacing w:line="280" w:lineRule="auto"/>
              <w:rPr>
                <w:rFonts w:ascii="Arial"/>
                <w:sz w:val="21"/>
              </w:rPr>
            </w:pPr>
          </w:p>
          <w:p w14:paraId="6B9D9170">
            <w:pPr>
              <w:spacing w:before="58" w:line="199" w:lineRule="auto"/>
              <w:ind w:left="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426" w:type="dxa"/>
            <w:tcBorders>
              <w:bottom w:val="single" w:color="000000" w:sz="6" w:space="0"/>
            </w:tcBorders>
            <w:vAlign w:val="top"/>
          </w:tcPr>
          <w:p w14:paraId="3DEC8D51">
            <w:pPr>
              <w:spacing w:line="280" w:lineRule="auto"/>
              <w:rPr>
                <w:rFonts w:ascii="Arial"/>
                <w:sz w:val="21"/>
              </w:rPr>
            </w:pPr>
          </w:p>
          <w:p w14:paraId="23177438">
            <w:pPr>
              <w:spacing w:line="280" w:lineRule="auto"/>
              <w:rPr>
                <w:rFonts w:ascii="Arial"/>
                <w:sz w:val="21"/>
              </w:rPr>
            </w:pPr>
          </w:p>
          <w:p w14:paraId="6A1EB8B1">
            <w:pPr>
              <w:spacing w:before="58" w:line="199"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46" w:type="dxa"/>
            <w:tcBorders>
              <w:top w:val="nil"/>
              <w:bottom w:val="single" w:color="000000" w:sz="6" w:space="0"/>
              <w:right w:val="single" w:color="000000" w:sz="6" w:space="0"/>
            </w:tcBorders>
            <w:vAlign w:val="top"/>
          </w:tcPr>
          <w:p w14:paraId="0B9FEEE0">
            <w:pPr>
              <w:rPr>
                <w:rFonts w:ascii="Arial"/>
                <w:sz w:val="21"/>
              </w:rPr>
            </w:pPr>
          </w:p>
        </w:tc>
      </w:tr>
    </w:tbl>
    <w:p w14:paraId="11F2CFA9">
      <w:pPr>
        <w:rPr>
          <w:rFonts w:ascii="Arial"/>
          <w:sz w:val="21"/>
        </w:rPr>
      </w:pPr>
    </w:p>
    <w:p w14:paraId="5419DDC9">
      <w:pPr>
        <w:rPr>
          <w:rFonts w:ascii="Arial" w:hAnsi="Arial" w:eastAsia="Arial" w:cs="Arial"/>
          <w:sz w:val="21"/>
          <w:szCs w:val="21"/>
        </w:rPr>
        <w:sectPr>
          <w:footerReference r:id="rId35" w:type="default"/>
          <w:pgSz w:w="11907" w:h="16840"/>
          <w:pgMar w:top="400" w:right="1786" w:bottom="1240" w:left="1774" w:header="0" w:footer="1077" w:gutter="0"/>
          <w:cols w:space="720" w:num="1"/>
        </w:sectPr>
      </w:pPr>
    </w:p>
    <w:p w14:paraId="0605389B">
      <w:pPr>
        <w:spacing w:before="19"/>
      </w:pPr>
    </w:p>
    <w:p w14:paraId="4F326923">
      <w:pPr>
        <w:spacing w:before="19"/>
      </w:pPr>
    </w:p>
    <w:p w14:paraId="34ADD384">
      <w:pPr>
        <w:spacing w:before="18"/>
      </w:pPr>
    </w:p>
    <w:p w14:paraId="7B8CCD79">
      <w:pPr>
        <w:spacing w:before="18"/>
      </w:pPr>
    </w:p>
    <w:tbl>
      <w:tblPr>
        <w:tblStyle w:val="5"/>
        <w:tblW w:w="813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1"/>
        <w:gridCol w:w="137"/>
        <w:gridCol w:w="607"/>
        <w:gridCol w:w="3218"/>
        <w:gridCol w:w="3189"/>
        <w:gridCol w:w="426"/>
        <w:gridCol w:w="146"/>
      </w:tblGrid>
      <w:tr w14:paraId="1F1DB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8" w:hRule="atLeast"/>
        </w:trPr>
        <w:tc>
          <w:tcPr>
            <w:tcW w:w="411" w:type="dxa"/>
            <w:vMerge w:val="restart"/>
            <w:tcBorders>
              <w:top w:val="single" w:color="000000" w:sz="6" w:space="0"/>
              <w:left w:val="single" w:color="000000" w:sz="6" w:space="0"/>
              <w:bottom w:val="nil"/>
            </w:tcBorders>
            <w:vAlign w:val="top"/>
          </w:tcPr>
          <w:p w14:paraId="607BF214">
            <w:pPr>
              <w:rPr>
                <w:rFonts w:ascii="Arial"/>
                <w:sz w:val="21"/>
              </w:rPr>
            </w:pPr>
          </w:p>
        </w:tc>
        <w:tc>
          <w:tcPr>
            <w:tcW w:w="137" w:type="dxa"/>
            <w:vMerge w:val="restart"/>
            <w:tcBorders>
              <w:top w:val="single" w:color="000000" w:sz="6" w:space="0"/>
              <w:bottom w:val="nil"/>
            </w:tcBorders>
            <w:vAlign w:val="top"/>
          </w:tcPr>
          <w:p w14:paraId="2CE2C960">
            <w:pPr>
              <w:rPr>
                <w:rFonts w:ascii="Arial"/>
                <w:sz w:val="21"/>
              </w:rPr>
            </w:pPr>
          </w:p>
        </w:tc>
        <w:tc>
          <w:tcPr>
            <w:tcW w:w="607" w:type="dxa"/>
            <w:tcBorders>
              <w:top w:val="single" w:color="000000" w:sz="6" w:space="0"/>
            </w:tcBorders>
            <w:vAlign w:val="top"/>
          </w:tcPr>
          <w:p w14:paraId="42EEF192">
            <w:pPr>
              <w:pStyle w:val="6"/>
              <w:spacing w:before="62" w:line="231" w:lineRule="auto"/>
              <w:ind w:left="103"/>
            </w:pPr>
            <w:r>
              <w:rPr>
                <w:spacing w:val="-1"/>
              </w:rPr>
              <w:t>陆良</w:t>
            </w:r>
          </w:p>
          <w:p w14:paraId="228ECA16">
            <w:pPr>
              <w:pStyle w:val="6"/>
              <w:spacing w:before="21" w:line="232" w:lineRule="auto"/>
              <w:ind w:left="93"/>
            </w:pPr>
            <w:r>
              <w:rPr>
                <w:spacing w:val="4"/>
              </w:rPr>
              <w:t>县三</w:t>
            </w:r>
          </w:p>
          <w:p w14:paraId="5ABBA51F">
            <w:pPr>
              <w:pStyle w:val="6"/>
              <w:spacing w:before="19" w:line="229" w:lineRule="auto"/>
              <w:ind w:left="99"/>
            </w:pPr>
            <w:r>
              <w:rPr>
                <w:spacing w:val="1"/>
              </w:rPr>
              <w:t>岔河</w:t>
            </w:r>
          </w:p>
          <w:p w14:paraId="42B41B27">
            <w:pPr>
              <w:pStyle w:val="6"/>
              <w:spacing w:before="25" w:line="228" w:lineRule="auto"/>
              <w:ind w:left="92"/>
            </w:pPr>
            <w:r>
              <w:rPr>
                <w:spacing w:val="4"/>
              </w:rPr>
              <w:t>镇人</w:t>
            </w:r>
          </w:p>
          <w:p w14:paraId="13764C58">
            <w:pPr>
              <w:pStyle w:val="6"/>
              <w:spacing w:before="25" w:line="234" w:lineRule="auto"/>
              <w:ind w:left="197" w:right="99" w:hanging="84"/>
            </w:pPr>
            <w:r>
              <w:rPr>
                <w:spacing w:val="-6"/>
              </w:rPr>
              <w:t>民政</w:t>
            </w:r>
            <w:r>
              <w:rPr>
                <w:spacing w:val="1"/>
              </w:rPr>
              <w:t>府</w:t>
            </w:r>
          </w:p>
        </w:tc>
        <w:tc>
          <w:tcPr>
            <w:tcW w:w="3218" w:type="dxa"/>
            <w:tcBorders>
              <w:top w:val="single" w:color="000000" w:sz="6" w:space="0"/>
            </w:tcBorders>
            <w:vAlign w:val="top"/>
          </w:tcPr>
          <w:p w14:paraId="308C1E31">
            <w:pPr>
              <w:spacing w:line="268" w:lineRule="auto"/>
              <w:rPr>
                <w:rFonts w:ascii="Arial"/>
                <w:sz w:val="21"/>
              </w:rPr>
            </w:pPr>
          </w:p>
          <w:p w14:paraId="0C6399D4">
            <w:pPr>
              <w:spacing w:line="269" w:lineRule="auto"/>
              <w:rPr>
                <w:rFonts w:ascii="Arial"/>
                <w:sz w:val="21"/>
              </w:rPr>
            </w:pPr>
          </w:p>
          <w:p w14:paraId="696B28AF">
            <w:pPr>
              <w:pStyle w:val="6"/>
              <w:spacing w:before="65" w:line="254" w:lineRule="auto"/>
              <w:ind w:left="4" w:right="70" w:firstLine="2"/>
            </w:pPr>
            <w:r>
              <w:rPr>
                <w:spacing w:val="6"/>
              </w:rPr>
              <w:t>原则同意</w:t>
            </w:r>
            <w:r>
              <w:rPr>
                <w:spacing w:val="-18"/>
              </w:rPr>
              <w:t xml:space="preserve"> </w:t>
            </w:r>
            <w:r>
              <w:rPr>
                <w:rFonts w:ascii="Times New Roman" w:hAnsi="Times New Roman" w:eastAsia="Times New Roman" w:cs="Times New Roman"/>
                <w:spacing w:val="6"/>
              </w:rPr>
              <w:t xml:space="preserve">110 </w:t>
            </w:r>
            <w:r>
              <w:rPr>
                <w:spacing w:val="6"/>
              </w:rPr>
              <w:t>千伏松山输变电工程</w:t>
            </w:r>
            <w:r>
              <w:rPr>
                <w:spacing w:val="8"/>
              </w:rPr>
              <w:t>线路路径在三岔河镇境内走向；</w:t>
            </w:r>
          </w:p>
        </w:tc>
        <w:tc>
          <w:tcPr>
            <w:tcW w:w="3189" w:type="dxa"/>
            <w:tcBorders>
              <w:top w:val="single" w:color="000000" w:sz="6" w:space="0"/>
            </w:tcBorders>
            <w:vAlign w:val="top"/>
          </w:tcPr>
          <w:p w14:paraId="64DC3815">
            <w:pPr>
              <w:spacing w:line="356" w:lineRule="auto"/>
              <w:rPr>
                <w:rFonts w:ascii="Arial"/>
                <w:sz w:val="21"/>
              </w:rPr>
            </w:pPr>
          </w:p>
          <w:p w14:paraId="13AFB30C">
            <w:pPr>
              <w:spacing w:line="356" w:lineRule="auto"/>
              <w:rPr>
                <w:rFonts w:ascii="Arial"/>
                <w:sz w:val="21"/>
              </w:rPr>
            </w:pPr>
          </w:p>
          <w:p w14:paraId="21C9B193">
            <w:pPr>
              <w:spacing w:before="58" w:line="199" w:lineRule="auto"/>
              <w:ind w:left="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426" w:type="dxa"/>
            <w:tcBorders>
              <w:top w:val="single" w:color="000000" w:sz="6" w:space="0"/>
            </w:tcBorders>
            <w:vAlign w:val="top"/>
          </w:tcPr>
          <w:p w14:paraId="66C389C5">
            <w:pPr>
              <w:spacing w:line="356" w:lineRule="auto"/>
              <w:rPr>
                <w:rFonts w:ascii="Arial"/>
                <w:sz w:val="21"/>
              </w:rPr>
            </w:pPr>
          </w:p>
          <w:p w14:paraId="4CFC6B43">
            <w:pPr>
              <w:spacing w:line="356" w:lineRule="auto"/>
              <w:rPr>
                <w:rFonts w:ascii="Arial"/>
                <w:sz w:val="21"/>
              </w:rPr>
            </w:pPr>
          </w:p>
          <w:p w14:paraId="4D045821">
            <w:pPr>
              <w:spacing w:before="58" w:line="199"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46" w:type="dxa"/>
            <w:tcBorders>
              <w:top w:val="single" w:color="000000" w:sz="6" w:space="0"/>
              <w:bottom w:val="nil"/>
              <w:right w:val="single" w:color="000000" w:sz="6" w:space="0"/>
            </w:tcBorders>
            <w:vAlign w:val="top"/>
          </w:tcPr>
          <w:p w14:paraId="016048F3">
            <w:pPr>
              <w:rPr>
                <w:rFonts w:ascii="Arial"/>
                <w:sz w:val="21"/>
              </w:rPr>
            </w:pPr>
          </w:p>
        </w:tc>
      </w:tr>
      <w:tr w14:paraId="53EB7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39" w:hRule="atLeast"/>
        </w:trPr>
        <w:tc>
          <w:tcPr>
            <w:tcW w:w="411" w:type="dxa"/>
            <w:vMerge w:val="continue"/>
            <w:tcBorders>
              <w:top w:val="nil"/>
              <w:left w:val="single" w:color="000000" w:sz="6" w:space="0"/>
              <w:bottom w:val="nil"/>
            </w:tcBorders>
            <w:vAlign w:val="top"/>
          </w:tcPr>
          <w:p w14:paraId="6038B71C">
            <w:pPr>
              <w:rPr>
                <w:rFonts w:ascii="Arial"/>
                <w:sz w:val="21"/>
              </w:rPr>
            </w:pPr>
          </w:p>
        </w:tc>
        <w:tc>
          <w:tcPr>
            <w:tcW w:w="137" w:type="dxa"/>
            <w:vMerge w:val="continue"/>
            <w:tcBorders>
              <w:top w:val="nil"/>
              <w:bottom w:val="nil"/>
            </w:tcBorders>
            <w:vAlign w:val="top"/>
          </w:tcPr>
          <w:p w14:paraId="6603E573">
            <w:pPr>
              <w:rPr>
                <w:rFonts w:ascii="Arial"/>
                <w:sz w:val="21"/>
              </w:rPr>
            </w:pPr>
          </w:p>
        </w:tc>
        <w:tc>
          <w:tcPr>
            <w:tcW w:w="607" w:type="dxa"/>
            <w:vAlign w:val="top"/>
          </w:tcPr>
          <w:p w14:paraId="627891F0">
            <w:pPr>
              <w:spacing w:line="241" w:lineRule="auto"/>
              <w:rPr>
                <w:rFonts w:ascii="Arial"/>
                <w:sz w:val="21"/>
              </w:rPr>
            </w:pPr>
          </w:p>
          <w:p w14:paraId="67644352">
            <w:pPr>
              <w:spacing w:line="241" w:lineRule="auto"/>
              <w:rPr>
                <w:rFonts w:ascii="Arial"/>
                <w:sz w:val="21"/>
              </w:rPr>
            </w:pPr>
          </w:p>
          <w:p w14:paraId="24D7E68D">
            <w:pPr>
              <w:spacing w:line="241" w:lineRule="auto"/>
              <w:rPr>
                <w:rFonts w:ascii="Arial"/>
                <w:sz w:val="21"/>
              </w:rPr>
            </w:pPr>
          </w:p>
          <w:p w14:paraId="27A8606A">
            <w:pPr>
              <w:spacing w:line="241" w:lineRule="auto"/>
              <w:rPr>
                <w:rFonts w:ascii="Arial"/>
                <w:sz w:val="21"/>
              </w:rPr>
            </w:pPr>
          </w:p>
          <w:p w14:paraId="47F7E2C4">
            <w:pPr>
              <w:spacing w:line="241" w:lineRule="auto"/>
              <w:rPr>
                <w:rFonts w:ascii="Arial"/>
                <w:sz w:val="21"/>
              </w:rPr>
            </w:pPr>
          </w:p>
          <w:p w14:paraId="752EE676">
            <w:pPr>
              <w:spacing w:line="241" w:lineRule="auto"/>
              <w:rPr>
                <w:rFonts w:ascii="Arial"/>
                <w:sz w:val="21"/>
              </w:rPr>
            </w:pPr>
          </w:p>
          <w:p w14:paraId="0DB15278">
            <w:pPr>
              <w:spacing w:line="241" w:lineRule="auto"/>
              <w:rPr>
                <w:rFonts w:ascii="Arial"/>
                <w:sz w:val="21"/>
              </w:rPr>
            </w:pPr>
          </w:p>
          <w:p w14:paraId="704BAAE3">
            <w:pPr>
              <w:spacing w:line="241" w:lineRule="auto"/>
              <w:rPr>
                <w:rFonts w:ascii="Arial"/>
                <w:sz w:val="21"/>
              </w:rPr>
            </w:pPr>
          </w:p>
          <w:p w14:paraId="6373D9B4">
            <w:pPr>
              <w:spacing w:line="241" w:lineRule="auto"/>
              <w:rPr>
                <w:rFonts w:ascii="Arial"/>
                <w:sz w:val="21"/>
              </w:rPr>
            </w:pPr>
          </w:p>
          <w:p w14:paraId="7E005358">
            <w:pPr>
              <w:spacing w:line="241" w:lineRule="auto"/>
              <w:rPr>
                <w:rFonts w:ascii="Arial"/>
                <w:sz w:val="21"/>
              </w:rPr>
            </w:pPr>
          </w:p>
          <w:p w14:paraId="1AC4CB30">
            <w:pPr>
              <w:spacing w:line="242" w:lineRule="auto"/>
              <w:rPr>
                <w:rFonts w:ascii="Arial"/>
                <w:sz w:val="21"/>
              </w:rPr>
            </w:pPr>
          </w:p>
          <w:p w14:paraId="49149171">
            <w:pPr>
              <w:spacing w:line="242" w:lineRule="auto"/>
              <w:rPr>
                <w:rFonts w:ascii="Arial"/>
                <w:sz w:val="21"/>
              </w:rPr>
            </w:pPr>
          </w:p>
          <w:p w14:paraId="573E44B2">
            <w:pPr>
              <w:spacing w:line="242" w:lineRule="auto"/>
              <w:rPr>
                <w:rFonts w:ascii="Arial"/>
                <w:sz w:val="21"/>
              </w:rPr>
            </w:pPr>
          </w:p>
          <w:p w14:paraId="7AED1341">
            <w:pPr>
              <w:spacing w:line="242" w:lineRule="auto"/>
              <w:rPr>
                <w:rFonts w:ascii="Arial"/>
                <w:sz w:val="21"/>
              </w:rPr>
            </w:pPr>
          </w:p>
          <w:p w14:paraId="2BDA5DC7">
            <w:pPr>
              <w:spacing w:line="242" w:lineRule="auto"/>
              <w:rPr>
                <w:rFonts w:ascii="Arial"/>
                <w:sz w:val="21"/>
              </w:rPr>
            </w:pPr>
          </w:p>
          <w:p w14:paraId="79C89EF3">
            <w:pPr>
              <w:pStyle w:val="6"/>
              <w:spacing w:before="65" w:line="253" w:lineRule="auto"/>
              <w:ind w:left="91" w:right="97" w:firstLine="11"/>
              <w:jc w:val="both"/>
            </w:pPr>
            <w:r>
              <w:rPr>
                <w:spacing w:val="-1"/>
              </w:rPr>
              <w:t>陆良</w:t>
            </w:r>
            <w:r>
              <w:rPr>
                <w:spacing w:val="6"/>
              </w:rPr>
              <w:t>县自</w:t>
            </w:r>
            <w:r>
              <w:rPr>
                <w:spacing w:val="5"/>
              </w:rPr>
              <w:t>然资源局</w:t>
            </w:r>
          </w:p>
        </w:tc>
        <w:tc>
          <w:tcPr>
            <w:tcW w:w="3218" w:type="dxa"/>
            <w:vAlign w:val="top"/>
          </w:tcPr>
          <w:p w14:paraId="2893B875">
            <w:pPr>
              <w:pStyle w:val="6"/>
              <w:spacing w:before="35" w:line="251" w:lineRule="auto"/>
              <w:ind w:left="1" w:firstLine="3"/>
            </w:pPr>
            <w:r>
              <w:rPr>
                <w:spacing w:val="10"/>
              </w:rPr>
              <w:t>一、</w:t>
            </w:r>
            <w:r>
              <w:rPr>
                <w:rFonts w:ascii="Times New Roman" w:hAnsi="Times New Roman" w:eastAsia="Times New Roman" w:cs="Times New Roman"/>
                <w:spacing w:val="10"/>
              </w:rPr>
              <w:t>110</w:t>
            </w:r>
            <w:r>
              <w:rPr>
                <w:rFonts w:ascii="Times New Roman" w:hAnsi="Times New Roman" w:eastAsia="Times New Roman" w:cs="Times New Roman"/>
              </w:rPr>
              <w:t>kV</w:t>
            </w:r>
            <w:r>
              <w:rPr>
                <w:rFonts w:ascii="Times New Roman" w:hAnsi="Times New Roman" w:eastAsia="Times New Roman" w:cs="Times New Roman"/>
                <w:spacing w:val="25"/>
              </w:rPr>
              <w:t xml:space="preserve"> </w:t>
            </w:r>
            <w:r>
              <w:rPr>
                <w:spacing w:val="10"/>
              </w:rPr>
              <w:t>松山输变电工程项目塔</w:t>
            </w:r>
            <w:r>
              <w:rPr>
                <w:spacing w:val="11"/>
              </w:rPr>
              <w:t>基拟用地范围不涉及占用生态保护</w:t>
            </w:r>
            <w:r>
              <w:rPr>
                <w:spacing w:val="3"/>
              </w:rPr>
              <w:t>红线，</w:t>
            </w:r>
            <w:r>
              <w:rPr>
                <w:rFonts w:ascii="Times New Roman" w:hAnsi="Times New Roman" w:eastAsia="Times New Roman" w:cs="Times New Roman"/>
                <w:spacing w:val="3"/>
              </w:rPr>
              <w:t xml:space="preserve">9 </w:t>
            </w:r>
            <w:r>
              <w:rPr>
                <w:spacing w:val="3"/>
              </w:rPr>
              <w:t>个塔基占用永久基本农田，</w:t>
            </w:r>
            <w:r>
              <w:rPr>
                <w:spacing w:val="1"/>
              </w:rPr>
              <w:t>具体占用编号为</w:t>
            </w:r>
            <w:r>
              <w:rPr>
                <w:spacing w:val="-27"/>
              </w:rPr>
              <w:t xml:space="preserve"> </w:t>
            </w:r>
            <w:r>
              <w:rPr>
                <w:rFonts w:ascii="Times New Roman" w:hAnsi="Times New Roman" w:eastAsia="Times New Roman" w:cs="Times New Roman"/>
                <w:spacing w:val="1"/>
              </w:rPr>
              <w:t>57</w:t>
            </w:r>
            <w:r>
              <w:rPr>
                <w:rFonts w:ascii="Times New Roman" w:hAnsi="Times New Roman" w:eastAsia="Times New Roman" w:cs="Times New Roman"/>
                <w:spacing w:val="-27"/>
              </w:rPr>
              <w:t xml:space="preserve"> </w:t>
            </w:r>
            <w:r>
              <w:rPr>
                <w:spacing w:val="1"/>
              </w:rPr>
              <w:t>、</w:t>
            </w:r>
            <w:r>
              <w:rPr>
                <w:rFonts w:ascii="Times New Roman" w:hAnsi="Times New Roman" w:eastAsia="Times New Roman" w:cs="Times New Roman"/>
                <w:spacing w:val="1"/>
              </w:rPr>
              <w:t>58</w:t>
            </w:r>
            <w:r>
              <w:rPr>
                <w:rFonts w:ascii="Times New Roman" w:hAnsi="Times New Roman" w:eastAsia="Times New Roman" w:cs="Times New Roman"/>
                <w:spacing w:val="-26"/>
              </w:rPr>
              <w:t xml:space="preserve"> </w:t>
            </w:r>
            <w:r>
              <w:rPr>
                <w:spacing w:val="1"/>
              </w:rPr>
              <w:t>、</w:t>
            </w:r>
            <w:r>
              <w:rPr>
                <w:rFonts w:ascii="Times New Roman" w:hAnsi="Times New Roman" w:eastAsia="Times New Roman" w:cs="Times New Roman"/>
                <w:spacing w:val="1"/>
              </w:rPr>
              <w:t>59</w:t>
            </w:r>
            <w:r>
              <w:rPr>
                <w:rFonts w:ascii="Times New Roman" w:hAnsi="Times New Roman" w:eastAsia="Times New Roman" w:cs="Times New Roman"/>
                <w:spacing w:val="-26"/>
              </w:rPr>
              <w:t xml:space="preserve"> </w:t>
            </w:r>
            <w:r>
              <w:rPr>
                <w:spacing w:val="1"/>
              </w:rPr>
              <w:t>、</w:t>
            </w:r>
            <w:r>
              <w:rPr>
                <w:rFonts w:ascii="Times New Roman" w:hAnsi="Times New Roman" w:eastAsia="Times New Roman" w:cs="Times New Roman"/>
                <w:spacing w:val="1"/>
              </w:rPr>
              <w:t>60</w:t>
            </w:r>
            <w:r>
              <w:rPr>
                <w:rFonts w:ascii="Times New Roman" w:hAnsi="Times New Roman" w:eastAsia="Times New Roman" w:cs="Times New Roman"/>
                <w:spacing w:val="-27"/>
              </w:rPr>
              <w:t xml:space="preserve"> </w:t>
            </w:r>
            <w:r>
              <w:rPr>
                <w:spacing w:val="1"/>
              </w:rPr>
              <w:t>、</w:t>
            </w:r>
            <w:r>
              <w:t xml:space="preserve"> </w:t>
            </w:r>
            <w:r>
              <w:rPr>
                <w:rFonts w:ascii="Times New Roman" w:hAnsi="Times New Roman" w:eastAsia="Times New Roman" w:cs="Times New Roman"/>
                <w:spacing w:val="-2"/>
              </w:rPr>
              <w:t>61</w:t>
            </w:r>
            <w:r>
              <w:rPr>
                <w:rFonts w:ascii="Times New Roman" w:hAnsi="Times New Roman" w:eastAsia="Times New Roman" w:cs="Times New Roman"/>
                <w:spacing w:val="-25"/>
              </w:rPr>
              <w:t xml:space="preserve"> </w:t>
            </w:r>
            <w:r>
              <w:rPr>
                <w:spacing w:val="-2"/>
              </w:rPr>
              <w:t>、</w:t>
            </w:r>
            <w:r>
              <w:rPr>
                <w:rFonts w:ascii="Times New Roman" w:hAnsi="Times New Roman" w:eastAsia="Times New Roman" w:cs="Times New Roman"/>
                <w:spacing w:val="-2"/>
              </w:rPr>
              <w:t>62</w:t>
            </w:r>
            <w:r>
              <w:rPr>
                <w:rFonts w:ascii="Times New Roman" w:hAnsi="Times New Roman" w:eastAsia="Times New Roman" w:cs="Times New Roman"/>
                <w:spacing w:val="-27"/>
              </w:rPr>
              <w:t xml:space="preserve"> </w:t>
            </w:r>
            <w:r>
              <w:rPr>
                <w:spacing w:val="-2"/>
              </w:rPr>
              <w:t>、</w:t>
            </w:r>
            <w:r>
              <w:rPr>
                <w:rFonts w:ascii="Times New Roman" w:hAnsi="Times New Roman" w:eastAsia="Times New Roman" w:cs="Times New Roman"/>
                <w:spacing w:val="-2"/>
              </w:rPr>
              <w:t>68</w:t>
            </w:r>
            <w:r>
              <w:rPr>
                <w:rFonts w:ascii="Times New Roman" w:hAnsi="Times New Roman" w:eastAsia="Times New Roman" w:cs="Times New Roman"/>
                <w:spacing w:val="-26"/>
              </w:rPr>
              <w:t xml:space="preserve"> </w:t>
            </w:r>
            <w:r>
              <w:rPr>
                <w:spacing w:val="-2"/>
              </w:rPr>
              <w:t>、</w:t>
            </w:r>
            <w:r>
              <w:rPr>
                <w:rFonts w:ascii="Times New Roman" w:hAnsi="Times New Roman" w:eastAsia="Times New Roman" w:cs="Times New Roman"/>
                <w:spacing w:val="-2"/>
              </w:rPr>
              <w:t>99</w:t>
            </w:r>
            <w:r>
              <w:rPr>
                <w:rFonts w:ascii="Times New Roman" w:hAnsi="Times New Roman" w:eastAsia="Times New Roman" w:cs="Times New Roman"/>
                <w:spacing w:val="-26"/>
              </w:rPr>
              <w:t xml:space="preserve"> </w:t>
            </w:r>
            <w:r>
              <w:rPr>
                <w:spacing w:val="-2"/>
              </w:rPr>
              <w:t>、</w:t>
            </w:r>
            <w:r>
              <w:rPr>
                <w:rFonts w:ascii="Times New Roman" w:hAnsi="Times New Roman" w:eastAsia="Times New Roman" w:cs="Times New Roman"/>
                <w:spacing w:val="-2"/>
              </w:rPr>
              <w:t>102</w:t>
            </w:r>
            <w:r>
              <w:rPr>
                <w:spacing w:val="-2"/>
              </w:rPr>
              <w:t>。</w:t>
            </w:r>
          </w:p>
          <w:p w14:paraId="633E3F8F">
            <w:pPr>
              <w:pStyle w:val="6"/>
              <w:spacing w:before="7" w:line="251" w:lineRule="auto"/>
              <w:ind w:firstLine="6"/>
            </w:pPr>
            <w:r>
              <w:rPr>
                <w:spacing w:val="8"/>
              </w:rPr>
              <w:t>二、请进一步优化该线路工程路径</w:t>
            </w:r>
            <w:r>
              <w:rPr>
                <w:spacing w:val="9"/>
              </w:rPr>
              <w:t>走向，塔基用地应当尽量避让永久基本农田，若确实无法避让，须按</w:t>
            </w:r>
            <w:r>
              <w:rPr>
                <w:rFonts w:ascii="Times New Roman" w:hAnsi="Times New Roman" w:eastAsia="Times New Roman" w:cs="Times New Roman"/>
                <w:spacing w:val="-6"/>
              </w:rPr>
              <w:t xml:space="preserve">2025 </w:t>
            </w:r>
            <w:r>
              <w:rPr>
                <w:spacing w:val="-6"/>
              </w:rPr>
              <w:t>年</w:t>
            </w:r>
            <w:r>
              <w:rPr>
                <w:spacing w:val="-20"/>
              </w:rPr>
              <w:t xml:space="preserve"> </w:t>
            </w:r>
            <w:r>
              <w:rPr>
                <w:rFonts w:ascii="Times New Roman" w:hAnsi="Times New Roman" w:eastAsia="Times New Roman" w:cs="Times New Roman"/>
                <w:spacing w:val="-6"/>
              </w:rPr>
              <w:t>10</w:t>
            </w:r>
            <w:r>
              <w:rPr>
                <w:rFonts w:ascii="Times New Roman" w:hAnsi="Times New Roman" w:eastAsia="Times New Roman" w:cs="Times New Roman"/>
                <w:spacing w:val="13"/>
              </w:rPr>
              <w:t xml:space="preserve"> </w:t>
            </w:r>
            <w:r>
              <w:rPr>
                <w:spacing w:val="-6"/>
              </w:rPr>
              <w:t>月</w:t>
            </w:r>
            <w:r>
              <w:rPr>
                <w:spacing w:val="-25"/>
              </w:rPr>
              <w:t xml:space="preserve"> </w:t>
            </w:r>
            <w:r>
              <w:rPr>
                <w:rFonts w:ascii="Times New Roman" w:hAnsi="Times New Roman" w:eastAsia="Times New Roman" w:cs="Times New Roman"/>
                <w:spacing w:val="-6"/>
              </w:rPr>
              <w:t xml:space="preserve">1  </w:t>
            </w:r>
            <w:r>
              <w:rPr>
                <w:spacing w:val="-6"/>
              </w:rPr>
              <w:t>日起施行的《永久基</w:t>
            </w:r>
            <w:r>
              <w:rPr>
                <w:spacing w:val="8"/>
              </w:rPr>
              <w:t>本农田保护红线管理办法》</w:t>
            </w:r>
            <w:r>
              <w:rPr>
                <w:spacing w:val="-78"/>
              </w:rPr>
              <w:t xml:space="preserve"> </w:t>
            </w:r>
            <w:r>
              <w:rPr>
                <w:spacing w:val="8"/>
              </w:rPr>
              <w:t>（中华</w:t>
            </w:r>
            <w:r>
              <w:rPr>
                <w:spacing w:val="9"/>
              </w:rPr>
              <w:t>人民共和国自然资源部农业农村部</w:t>
            </w:r>
            <w:r>
              <w:rPr>
                <w:spacing w:val="-1"/>
              </w:rPr>
              <w:t>令第</w:t>
            </w:r>
            <w:r>
              <w:rPr>
                <w:spacing w:val="-10"/>
              </w:rPr>
              <w:t xml:space="preserve"> </w:t>
            </w:r>
            <w:r>
              <w:rPr>
                <w:rFonts w:ascii="Times New Roman" w:hAnsi="Times New Roman" w:eastAsia="Times New Roman" w:cs="Times New Roman"/>
                <w:spacing w:val="-1"/>
              </w:rPr>
              <w:t>17</w:t>
            </w:r>
            <w:r>
              <w:rPr>
                <w:rFonts w:ascii="Times New Roman" w:hAnsi="Times New Roman" w:eastAsia="Times New Roman" w:cs="Times New Roman"/>
                <w:spacing w:val="16"/>
              </w:rPr>
              <w:t xml:space="preserve"> </w:t>
            </w:r>
            <w:r>
              <w:rPr>
                <w:spacing w:val="-1"/>
              </w:rPr>
              <w:t>号）第二十一条“依法可以</w:t>
            </w:r>
            <w:r>
              <w:rPr>
                <w:spacing w:val="9"/>
              </w:rPr>
              <w:t>按照原地类管理的架空电力传输线路、通信设施涉及的点状杆、塔确实难以避让永久基本农田的，应当在不妨碍机械化耕作的前提下，尽</w:t>
            </w:r>
            <w:r>
              <w:t>可能沿田间道路、沟渠、田坎铺设。</w:t>
            </w:r>
            <w:r>
              <w:rPr>
                <w:spacing w:val="9"/>
              </w:rPr>
              <w:t>铺设方案应当对永久基本农田的不可避让性以及对耕作的影响进行论证，报县级人民政府自然资源主管</w:t>
            </w:r>
            <w:r>
              <w:rPr>
                <w:spacing w:val="-2"/>
              </w:rPr>
              <w:t>部门备案并加强监管</w:t>
            </w:r>
            <w:r>
              <w:rPr>
                <w:spacing w:val="-56"/>
              </w:rPr>
              <w:t xml:space="preserve"> </w:t>
            </w:r>
            <w:r>
              <w:rPr>
                <w:spacing w:val="-2"/>
              </w:rPr>
              <w:t>”的规定办理。</w:t>
            </w:r>
          </w:p>
          <w:p w14:paraId="367E2C09">
            <w:pPr>
              <w:pStyle w:val="6"/>
              <w:spacing w:before="3" w:line="250" w:lineRule="auto"/>
              <w:ind w:left="1" w:right="1"/>
            </w:pPr>
            <w:r>
              <w:rPr>
                <w:spacing w:val="13"/>
              </w:rPr>
              <w:t>三、项目实施过程中应节约集约用地，少占或不占耕地，确实无法避</w:t>
            </w:r>
            <w:r>
              <w:rPr>
                <w:spacing w:val="14"/>
              </w:rPr>
              <w:t>让耕地的，应尽量减少损失，不破</w:t>
            </w:r>
            <w:r>
              <w:rPr>
                <w:spacing w:val="8"/>
              </w:rPr>
              <w:t>坏耕作层，切实保护好耕地。</w:t>
            </w:r>
          </w:p>
          <w:p w14:paraId="2B4802B2">
            <w:pPr>
              <w:pStyle w:val="6"/>
              <w:spacing w:before="2" w:line="244" w:lineRule="auto"/>
              <w:ind w:left="2" w:right="1" w:firstLine="18"/>
            </w:pPr>
            <w:r>
              <w:rPr>
                <w:spacing w:val="12"/>
              </w:rPr>
              <w:t>四、项目须严格按照《中华人民共和国土地管理法》</w:t>
            </w:r>
            <w:r>
              <w:rPr>
                <w:spacing w:val="-72"/>
              </w:rPr>
              <w:t xml:space="preserve"> </w:t>
            </w:r>
            <w:r>
              <w:rPr>
                <w:spacing w:val="12"/>
              </w:rPr>
              <w:t>《永久基本农田</w:t>
            </w:r>
            <w:r>
              <w:rPr>
                <w:spacing w:val="13"/>
              </w:rPr>
              <w:t>保护红线管理办法》和国务院、省人民政府的有关规定，依法办理相关手续，未办理手续的不得开工建</w:t>
            </w:r>
            <w:r>
              <w:t>设。</w:t>
            </w:r>
          </w:p>
        </w:tc>
        <w:tc>
          <w:tcPr>
            <w:tcW w:w="3189" w:type="dxa"/>
            <w:vAlign w:val="top"/>
          </w:tcPr>
          <w:p w14:paraId="6BDAB2DF">
            <w:pPr>
              <w:pStyle w:val="6"/>
              <w:spacing w:before="36" w:line="251" w:lineRule="auto"/>
              <w:ind w:left="7" w:firstLine="5"/>
            </w:pPr>
            <w:r>
              <w:rPr>
                <w:spacing w:val="6"/>
              </w:rPr>
              <w:t>项目</w:t>
            </w:r>
            <w:r>
              <w:rPr>
                <w:spacing w:val="-23"/>
              </w:rPr>
              <w:t xml:space="preserve"> </w:t>
            </w: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线路塔基涉及基本农田</w:t>
            </w:r>
            <w:r>
              <w:rPr>
                <w:spacing w:val="11"/>
              </w:rPr>
              <w:t>区域为陆良县永久基本农田成片聚集区，本项目线路塔基确实难以避让永久基本农田，塔基占地本项目塔基已尽可能沿田间道路、沟渠、田坎架设，不妨碍机械化耕作；项目塔基架设方案对永久基本农田的不可避让性以及对耕作的影响正在进行论证，后期将报县级人民政府</w:t>
            </w:r>
            <w:r>
              <w:rPr>
                <w:spacing w:val="8"/>
              </w:rPr>
              <w:t>自然资源主管部门备案。</w:t>
            </w:r>
          </w:p>
          <w:p w14:paraId="0271A7E4">
            <w:pPr>
              <w:pStyle w:val="6"/>
              <w:spacing w:before="7" w:line="251" w:lineRule="auto"/>
              <w:ind w:left="7" w:firstLine="4"/>
            </w:pPr>
            <w:r>
              <w:rPr>
                <w:spacing w:val="7"/>
              </w:rPr>
              <w:t>项目实施过程中将节约用地，少占</w:t>
            </w:r>
            <w:r>
              <w:rPr>
                <w:spacing w:val="-2"/>
              </w:rPr>
              <w:t>或不占耕地，确实无法避让耕地的，</w:t>
            </w:r>
            <w:r>
              <w:rPr>
                <w:spacing w:val="9"/>
              </w:rPr>
              <w:t>将尽量减少损毁，不破坏耕作层，</w:t>
            </w:r>
            <w:r>
              <w:rPr>
                <w:spacing w:val="8"/>
              </w:rPr>
              <w:t>切实保护好耕地。项目将严格按照</w:t>
            </w:r>
            <w:r>
              <w:rPr>
                <w:spacing w:val="-5"/>
              </w:rPr>
              <w:t>《中华人民共和国土地管理法》《永</w:t>
            </w:r>
            <w:r>
              <w:rPr>
                <w:spacing w:val="8"/>
              </w:rPr>
              <w:t>久基本农田保护红线管理办法》和</w:t>
            </w:r>
            <w:r>
              <w:rPr>
                <w:spacing w:val="9"/>
              </w:rPr>
              <w:t>国务院、省人民政府的有关规定，</w:t>
            </w:r>
            <w:r>
              <w:rPr>
                <w:spacing w:val="8"/>
              </w:rPr>
              <w:t>依法办理相关手续，未取得手续前</w:t>
            </w:r>
            <w:r>
              <w:rPr>
                <w:spacing w:val="4"/>
              </w:rPr>
              <w:t>不得开工建设。</w:t>
            </w:r>
          </w:p>
        </w:tc>
        <w:tc>
          <w:tcPr>
            <w:tcW w:w="426" w:type="dxa"/>
            <w:textDirection w:val="tbRlV"/>
            <w:vAlign w:val="top"/>
          </w:tcPr>
          <w:p w14:paraId="77D8766E">
            <w:pPr>
              <w:pStyle w:val="6"/>
              <w:spacing w:before="99" w:line="215" w:lineRule="auto"/>
              <w:ind w:left="3982"/>
            </w:pPr>
            <w:r>
              <w:rPr>
                <w:spacing w:val="8"/>
              </w:rPr>
              <w:t>符</w:t>
            </w:r>
            <w:r>
              <w:rPr>
                <w:spacing w:val="-38"/>
              </w:rPr>
              <w:t xml:space="preserve"> </w:t>
            </w:r>
            <w:r>
              <w:rPr>
                <w:spacing w:val="8"/>
              </w:rPr>
              <w:t>合</w:t>
            </w:r>
          </w:p>
        </w:tc>
        <w:tc>
          <w:tcPr>
            <w:tcW w:w="146" w:type="dxa"/>
            <w:tcBorders>
              <w:top w:val="nil"/>
              <w:bottom w:val="nil"/>
              <w:right w:val="single" w:color="000000" w:sz="6" w:space="0"/>
            </w:tcBorders>
            <w:vAlign w:val="top"/>
          </w:tcPr>
          <w:p w14:paraId="06FB0395">
            <w:pPr>
              <w:rPr>
                <w:rFonts w:ascii="Arial"/>
                <w:sz w:val="21"/>
              </w:rPr>
            </w:pPr>
          </w:p>
        </w:tc>
      </w:tr>
      <w:tr w14:paraId="1C403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9" w:hRule="atLeast"/>
        </w:trPr>
        <w:tc>
          <w:tcPr>
            <w:tcW w:w="411" w:type="dxa"/>
            <w:vMerge w:val="continue"/>
            <w:tcBorders>
              <w:top w:val="nil"/>
              <w:left w:val="single" w:color="000000" w:sz="6" w:space="0"/>
              <w:bottom w:val="nil"/>
            </w:tcBorders>
            <w:vAlign w:val="top"/>
          </w:tcPr>
          <w:p w14:paraId="4237DC7D">
            <w:pPr>
              <w:rPr>
                <w:rFonts w:ascii="Arial"/>
                <w:sz w:val="21"/>
              </w:rPr>
            </w:pPr>
          </w:p>
        </w:tc>
        <w:tc>
          <w:tcPr>
            <w:tcW w:w="137" w:type="dxa"/>
            <w:vMerge w:val="continue"/>
            <w:tcBorders>
              <w:top w:val="nil"/>
              <w:bottom w:val="nil"/>
            </w:tcBorders>
            <w:vAlign w:val="top"/>
          </w:tcPr>
          <w:p w14:paraId="28A75A44">
            <w:pPr>
              <w:rPr>
                <w:rFonts w:ascii="Arial"/>
                <w:sz w:val="21"/>
              </w:rPr>
            </w:pPr>
          </w:p>
        </w:tc>
        <w:tc>
          <w:tcPr>
            <w:tcW w:w="607" w:type="dxa"/>
            <w:vAlign w:val="top"/>
          </w:tcPr>
          <w:p w14:paraId="2A80C664">
            <w:pPr>
              <w:spacing w:line="308" w:lineRule="auto"/>
              <w:rPr>
                <w:rFonts w:ascii="Arial"/>
                <w:sz w:val="21"/>
              </w:rPr>
            </w:pPr>
          </w:p>
          <w:p w14:paraId="0D9E4680">
            <w:pPr>
              <w:spacing w:line="308" w:lineRule="auto"/>
              <w:rPr>
                <w:rFonts w:ascii="Arial"/>
                <w:sz w:val="21"/>
              </w:rPr>
            </w:pPr>
          </w:p>
          <w:p w14:paraId="2797B1EC">
            <w:pPr>
              <w:spacing w:line="308" w:lineRule="auto"/>
              <w:rPr>
                <w:rFonts w:ascii="Arial"/>
                <w:sz w:val="21"/>
              </w:rPr>
            </w:pPr>
          </w:p>
          <w:p w14:paraId="7494F043">
            <w:pPr>
              <w:pStyle w:val="6"/>
              <w:spacing w:before="65" w:line="252" w:lineRule="auto"/>
              <w:ind w:left="91" w:right="99" w:firstLine="11"/>
              <w:jc w:val="both"/>
            </w:pPr>
            <w:r>
              <w:rPr>
                <w:spacing w:val="-1"/>
              </w:rPr>
              <w:t>陆良</w:t>
            </w:r>
            <w:r>
              <w:rPr>
                <w:spacing w:val="5"/>
              </w:rPr>
              <w:t>县林业和草原</w:t>
            </w:r>
            <w:r>
              <w:rPr>
                <w:spacing w:val="41"/>
                <w:w w:val="133"/>
              </w:rPr>
              <w:t>局</w:t>
            </w:r>
          </w:p>
        </w:tc>
        <w:tc>
          <w:tcPr>
            <w:tcW w:w="3218" w:type="dxa"/>
            <w:vAlign w:val="top"/>
          </w:tcPr>
          <w:p w14:paraId="1014F7F5">
            <w:pPr>
              <w:pStyle w:val="6"/>
              <w:spacing w:before="42" w:line="251" w:lineRule="auto"/>
              <w:ind w:left="2" w:right="70" w:firstLine="2"/>
            </w:pPr>
            <w:r>
              <w:rPr>
                <w:spacing w:val="6"/>
              </w:rPr>
              <w:t>一、</w:t>
            </w:r>
            <w:r>
              <w:rPr>
                <w:spacing w:val="-54"/>
              </w:rPr>
              <w:t xml:space="preserve"> </w:t>
            </w:r>
            <w:r>
              <w:rPr>
                <w:spacing w:val="6"/>
              </w:rPr>
              <w:t>曲靖市供电局选址输变电站及</w:t>
            </w:r>
            <w:r>
              <w:rPr>
                <w:spacing w:val="9"/>
              </w:rPr>
              <w:t>线路路径不涉及占用自然保护地、陆良县国家级（省级）公益林等敏</w:t>
            </w:r>
            <w:r>
              <w:rPr>
                <w:spacing w:val="6"/>
              </w:rPr>
              <w:t>感生态红线。</w:t>
            </w:r>
          </w:p>
          <w:p w14:paraId="2985CCC0">
            <w:pPr>
              <w:pStyle w:val="6"/>
              <w:spacing w:before="2" w:line="251" w:lineRule="auto"/>
              <w:ind w:left="1" w:firstLine="3"/>
            </w:pPr>
            <w:r>
              <w:rPr>
                <w:spacing w:val="4"/>
              </w:rPr>
              <w:t>二、项目建设涉及使用林地，请严</w:t>
            </w:r>
            <w:r>
              <w:t>格按照《中华人民共和国森林法》、</w:t>
            </w:r>
            <w:r>
              <w:rPr>
                <w:spacing w:val="10"/>
              </w:rPr>
              <w:t xml:space="preserve"> </w:t>
            </w:r>
            <w:r>
              <w:rPr>
                <w:spacing w:val="4"/>
              </w:rPr>
              <w:t>《建设项目使用林地审核审批管理</w:t>
            </w:r>
            <w:r>
              <w:rPr>
                <w:spacing w:val="1"/>
              </w:rPr>
              <w:t>办法》（国家林业局第</w:t>
            </w:r>
            <w:r>
              <w:rPr>
                <w:spacing w:val="-38"/>
              </w:rPr>
              <w:t xml:space="preserve"> </w:t>
            </w:r>
            <w:r>
              <w:rPr>
                <w:rFonts w:ascii="Times New Roman" w:hAnsi="Times New Roman" w:eastAsia="Times New Roman" w:cs="Times New Roman"/>
                <w:spacing w:val="1"/>
              </w:rPr>
              <w:t>35</w:t>
            </w:r>
            <w:r>
              <w:rPr>
                <w:rFonts w:ascii="Times New Roman" w:hAnsi="Times New Roman" w:eastAsia="Times New Roman" w:cs="Times New Roman"/>
                <w:spacing w:val="13"/>
              </w:rPr>
              <w:t xml:space="preserve"> </w:t>
            </w:r>
            <w:r>
              <w:rPr>
                <w:spacing w:val="1"/>
              </w:rPr>
              <w:t>号令）办</w:t>
            </w:r>
            <w:r>
              <w:rPr>
                <w:spacing w:val="4"/>
              </w:rPr>
              <w:t>理使用林地审核审批手续后方可开</w:t>
            </w:r>
            <w:r>
              <w:rPr>
                <w:spacing w:val="1"/>
              </w:rPr>
              <w:t>工建设。</w:t>
            </w:r>
          </w:p>
          <w:p w14:paraId="5CE63FC4">
            <w:pPr>
              <w:pStyle w:val="6"/>
              <w:spacing w:line="228" w:lineRule="auto"/>
              <w:ind w:left="1" w:right="70"/>
            </w:pPr>
            <w:r>
              <w:rPr>
                <w:spacing w:val="9"/>
              </w:rPr>
              <w:t>三、我局原则上同意该项目变电站</w:t>
            </w:r>
            <w:r>
              <w:rPr>
                <w:spacing w:val="7"/>
              </w:rPr>
              <w:t>站址及线路路径走向。</w:t>
            </w:r>
          </w:p>
        </w:tc>
        <w:tc>
          <w:tcPr>
            <w:tcW w:w="3189" w:type="dxa"/>
            <w:vAlign w:val="top"/>
          </w:tcPr>
          <w:p w14:paraId="061D19F1">
            <w:pPr>
              <w:spacing w:line="244" w:lineRule="auto"/>
              <w:rPr>
                <w:rFonts w:ascii="Arial"/>
                <w:sz w:val="21"/>
              </w:rPr>
            </w:pPr>
          </w:p>
          <w:p w14:paraId="35CDF0D7">
            <w:pPr>
              <w:spacing w:line="244" w:lineRule="auto"/>
              <w:rPr>
                <w:rFonts w:ascii="Arial"/>
                <w:sz w:val="21"/>
              </w:rPr>
            </w:pPr>
          </w:p>
          <w:p w14:paraId="54336F9B">
            <w:pPr>
              <w:spacing w:line="244" w:lineRule="auto"/>
              <w:rPr>
                <w:rFonts w:ascii="Arial"/>
                <w:sz w:val="21"/>
              </w:rPr>
            </w:pPr>
          </w:p>
          <w:p w14:paraId="3ED8F888">
            <w:pPr>
              <w:spacing w:line="244" w:lineRule="auto"/>
              <w:rPr>
                <w:rFonts w:ascii="Arial"/>
                <w:sz w:val="21"/>
              </w:rPr>
            </w:pPr>
          </w:p>
          <w:p w14:paraId="5F8F8A93">
            <w:pPr>
              <w:spacing w:line="244" w:lineRule="auto"/>
              <w:rPr>
                <w:rFonts w:ascii="Arial"/>
                <w:sz w:val="21"/>
              </w:rPr>
            </w:pPr>
          </w:p>
          <w:p w14:paraId="3872FC2D">
            <w:pPr>
              <w:spacing w:line="244" w:lineRule="auto"/>
              <w:rPr>
                <w:rFonts w:ascii="Arial"/>
                <w:sz w:val="21"/>
              </w:rPr>
            </w:pPr>
          </w:p>
          <w:p w14:paraId="0ACA3C4D">
            <w:pPr>
              <w:pStyle w:val="6"/>
              <w:spacing w:before="65" w:line="227" w:lineRule="auto"/>
              <w:ind w:left="9"/>
            </w:pPr>
            <w:r>
              <w:rPr>
                <w:spacing w:val="8"/>
              </w:rPr>
              <w:t>本项目不涉及使用林地；</w:t>
            </w:r>
          </w:p>
        </w:tc>
        <w:tc>
          <w:tcPr>
            <w:tcW w:w="426" w:type="dxa"/>
            <w:textDirection w:val="tbRlV"/>
            <w:vAlign w:val="top"/>
          </w:tcPr>
          <w:p w14:paraId="113A1C49">
            <w:pPr>
              <w:pStyle w:val="6"/>
              <w:spacing w:before="99" w:line="215" w:lineRule="auto"/>
              <w:ind w:left="1401"/>
            </w:pPr>
            <w:r>
              <w:rPr>
                <w:spacing w:val="8"/>
              </w:rPr>
              <w:t>符</w:t>
            </w:r>
            <w:r>
              <w:rPr>
                <w:spacing w:val="-35"/>
              </w:rPr>
              <w:t xml:space="preserve"> </w:t>
            </w:r>
            <w:r>
              <w:rPr>
                <w:spacing w:val="8"/>
              </w:rPr>
              <w:t>合</w:t>
            </w:r>
          </w:p>
        </w:tc>
        <w:tc>
          <w:tcPr>
            <w:tcW w:w="146" w:type="dxa"/>
            <w:tcBorders>
              <w:top w:val="nil"/>
              <w:bottom w:val="nil"/>
              <w:right w:val="single" w:color="000000" w:sz="6" w:space="0"/>
            </w:tcBorders>
            <w:vAlign w:val="top"/>
          </w:tcPr>
          <w:p w14:paraId="04161851">
            <w:pPr>
              <w:rPr>
                <w:rFonts w:ascii="Arial"/>
                <w:sz w:val="21"/>
              </w:rPr>
            </w:pPr>
          </w:p>
        </w:tc>
      </w:tr>
      <w:tr w14:paraId="513CF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411" w:type="dxa"/>
            <w:vMerge w:val="continue"/>
            <w:tcBorders>
              <w:top w:val="nil"/>
              <w:left w:val="single" w:color="000000" w:sz="6" w:space="0"/>
              <w:bottom w:val="single" w:color="000000" w:sz="6" w:space="0"/>
            </w:tcBorders>
            <w:vAlign w:val="top"/>
          </w:tcPr>
          <w:p w14:paraId="36C415FB">
            <w:pPr>
              <w:rPr>
                <w:rFonts w:ascii="Arial"/>
                <w:sz w:val="21"/>
              </w:rPr>
            </w:pPr>
          </w:p>
        </w:tc>
        <w:tc>
          <w:tcPr>
            <w:tcW w:w="137" w:type="dxa"/>
            <w:vMerge w:val="continue"/>
            <w:tcBorders>
              <w:top w:val="nil"/>
              <w:bottom w:val="single" w:color="000000" w:sz="6" w:space="0"/>
            </w:tcBorders>
            <w:vAlign w:val="top"/>
          </w:tcPr>
          <w:p w14:paraId="44B69708">
            <w:pPr>
              <w:rPr>
                <w:rFonts w:ascii="Arial"/>
                <w:sz w:val="21"/>
              </w:rPr>
            </w:pPr>
          </w:p>
        </w:tc>
        <w:tc>
          <w:tcPr>
            <w:tcW w:w="607" w:type="dxa"/>
            <w:tcBorders>
              <w:bottom w:val="single" w:color="000000" w:sz="6" w:space="0"/>
            </w:tcBorders>
            <w:vAlign w:val="top"/>
          </w:tcPr>
          <w:p w14:paraId="47D264BF">
            <w:pPr>
              <w:pStyle w:val="6"/>
              <w:spacing w:before="44" w:line="231" w:lineRule="auto"/>
              <w:ind w:left="103"/>
            </w:pPr>
            <w:r>
              <w:rPr>
                <w:spacing w:val="-1"/>
              </w:rPr>
              <w:t>陆良</w:t>
            </w:r>
          </w:p>
        </w:tc>
        <w:tc>
          <w:tcPr>
            <w:tcW w:w="3218" w:type="dxa"/>
            <w:tcBorders>
              <w:bottom w:val="single" w:color="000000" w:sz="6" w:space="0"/>
            </w:tcBorders>
            <w:vAlign w:val="top"/>
          </w:tcPr>
          <w:p w14:paraId="2E771B4A">
            <w:pPr>
              <w:pStyle w:val="6"/>
              <w:spacing w:before="44" w:line="227" w:lineRule="auto"/>
              <w:ind w:left="4"/>
            </w:pPr>
            <w:r>
              <w:rPr>
                <w:spacing w:val="6"/>
              </w:rPr>
              <w:t>一、原则同意</w:t>
            </w:r>
            <w:r>
              <w:rPr>
                <w:spacing w:val="-16"/>
              </w:rPr>
              <w:t xml:space="preserve"> </w:t>
            </w:r>
            <w:r>
              <w:rPr>
                <w:rFonts w:ascii="Times New Roman" w:hAnsi="Times New Roman" w:eastAsia="Times New Roman" w:cs="Times New Roman"/>
                <w:spacing w:val="6"/>
              </w:rPr>
              <w:t xml:space="preserve">110 </w:t>
            </w:r>
            <w:r>
              <w:rPr>
                <w:spacing w:val="6"/>
              </w:rPr>
              <w:t>千伏松山变电站</w:t>
            </w:r>
          </w:p>
        </w:tc>
        <w:tc>
          <w:tcPr>
            <w:tcW w:w="3189" w:type="dxa"/>
            <w:tcBorders>
              <w:bottom w:val="single" w:color="000000" w:sz="6" w:space="0"/>
            </w:tcBorders>
            <w:vAlign w:val="top"/>
          </w:tcPr>
          <w:p w14:paraId="147768EF">
            <w:pPr>
              <w:pStyle w:val="6"/>
              <w:spacing w:before="44" w:line="228" w:lineRule="auto"/>
              <w:ind w:left="12"/>
            </w:pPr>
            <w:r>
              <w:rPr>
                <w:spacing w:val="9"/>
              </w:rPr>
              <w:t>项目已完成水土保持方案编制及审</w:t>
            </w:r>
          </w:p>
        </w:tc>
        <w:tc>
          <w:tcPr>
            <w:tcW w:w="426" w:type="dxa"/>
            <w:tcBorders>
              <w:bottom w:val="single" w:color="000000" w:sz="6" w:space="0"/>
            </w:tcBorders>
            <w:vAlign w:val="top"/>
          </w:tcPr>
          <w:p w14:paraId="78ABD544">
            <w:pPr>
              <w:pStyle w:val="6"/>
              <w:spacing w:before="44" w:line="228" w:lineRule="auto"/>
              <w:ind w:left="121"/>
            </w:pPr>
            <w:r>
              <w:t>符</w:t>
            </w:r>
          </w:p>
        </w:tc>
        <w:tc>
          <w:tcPr>
            <w:tcW w:w="146" w:type="dxa"/>
            <w:tcBorders>
              <w:top w:val="nil"/>
              <w:bottom w:val="single" w:color="000000" w:sz="6" w:space="0"/>
              <w:right w:val="single" w:color="000000" w:sz="6" w:space="0"/>
            </w:tcBorders>
            <w:vAlign w:val="top"/>
          </w:tcPr>
          <w:p w14:paraId="412745AF">
            <w:pPr>
              <w:rPr>
                <w:rFonts w:ascii="Arial"/>
                <w:sz w:val="21"/>
              </w:rPr>
            </w:pPr>
          </w:p>
        </w:tc>
      </w:tr>
    </w:tbl>
    <w:p w14:paraId="2DD275C8">
      <w:pPr>
        <w:rPr>
          <w:rFonts w:ascii="Arial"/>
          <w:sz w:val="21"/>
        </w:rPr>
      </w:pPr>
    </w:p>
    <w:p w14:paraId="211EA07F">
      <w:pPr>
        <w:rPr>
          <w:rFonts w:ascii="Arial" w:hAnsi="Arial" w:eastAsia="Arial" w:cs="Arial"/>
          <w:sz w:val="21"/>
          <w:szCs w:val="21"/>
        </w:rPr>
        <w:sectPr>
          <w:footerReference r:id="rId36" w:type="default"/>
          <w:pgSz w:w="11907" w:h="16840"/>
          <w:pgMar w:top="400" w:right="1786" w:bottom="1240" w:left="1774" w:header="0" w:footer="1077" w:gutter="0"/>
          <w:cols w:space="720" w:num="1"/>
        </w:sectPr>
      </w:pPr>
    </w:p>
    <w:p w14:paraId="4FB0FF6B">
      <w:pPr>
        <w:spacing w:before="19"/>
      </w:pPr>
    </w:p>
    <w:p w14:paraId="3B7736F9">
      <w:pPr>
        <w:spacing w:before="19"/>
      </w:pPr>
    </w:p>
    <w:p w14:paraId="6414ED35">
      <w:pPr>
        <w:spacing w:before="18"/>
      </w:pPr>
    </w:p>
    <w:p w14:paraId="4BEE9D81">
      <w:pPr>
        <w:spacing w:before="18"/>
      </w:pPr>
    </w:p>
    <w:tbl>
      <w:tblPr>
        <w:tblStyle w:val="5"/>
        <w:tblW w:w="8134"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1"/>
        <w:gridCol w:w="137"/>
        <w:gridCol w:w="607"/>
        <w:gridCol w:w="3218"/>
        <w:gridCol w:w="119"/>
        <w:gridCol w:w="614"/>
        <w:gridCol w:w="627"/>
        <w:gridCol w:w="1283"/>
        <w:gridCol w:w="426"/>
        <w:gridCol w:w="120"/>
        <w:gridCol w:w="426"/>
        <w:gridCol w:w="146"/>
      </w:tblGrid>
      <w:tr w14:paraId="35056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9" w:hRule="atLeast"/>
        </w:trPr>
        <w:tc>
          <w:tcPr>
            <w:tcW w:w="411" w:type="dxa"/>
            <w:vMerge w:val="restart"/>
            <w:tcBorders>
              <w:top w:val="single" w:color="000000" w:sz="6" w:space="0"/>
              <w:left w:val="single" w:color="000000" w:sz="6" w:space="0"/>
              <w:bottom w:val="nil"/>
              <w:right w:val="single" w:color="000000" w:sz="2" w:space="0"/>
            </w:tcBorders>
            <w:vAlign w:val="top"/>
          </w:tcPr>
          <w:p w14:paraId="5B47F506">
            <w:pPr>
              <w:rPr>
                <w:rFonts w:ascii="Arial"/>
                <w:sz w:val="21"/>
              </w:rPr>
            </w:pPr>
          </w:p>
        </w:tc>
        <w:tc>
          <w:tcPr>
            <w:tcW w:w="137" w:type="dxa"/>
            <w:vMerge w:val="restart"/>
            <w:tcBorders>
              <w:top w:val="single" w:color="000000" w:sz="6" w:space="0"/>
              <w:left w:val="single" w:color="000000" w:sz="2" w:space="0"/>
              <w:bottom w:val="nil"/>
              <w:right w:val="single" w:color="000000" w:sz="2" w:space="0"/>
            </w:tcBorders>
            <w:vAlign w:val="top"/>
          </w:tcPr>
          <w:p w14:paraId="499C3205">
            <w:pPr>
              <w:rPr>
                <w:rFonts w:ascii="Arial"/>
                <w:sz w:val="21"/>
              </w:rPr>
            </w:pPr>
          </w:p>
        </w:tc>
        <w:tc>
          <w:tcPr>
            <w:tcW w:w="607" w:type="dxa"/>
            <w:tcBorders>
              <w:top w:val="single" w:color="000000" w:sz="6" w:space="0"/>
              <w:left w:val="single" w:color="000000" w:sz="2" w:space="0"/>
              <w:bottom w:val="single" w:color="000000" w:sz="2" w:space="0"/>
              <w:right w:val="single" w:color="000000" w:sz="2" w:space="0"/>
            </w:tcBorders>
            <w:vAlign w:val="top"/>
          </w:tcPr>
          <w:p w14:paraId="4B464AE9">
            <w:pPr>
              <w:pStyle w:val="6"/>
              <w:spacing w:before="62" w:line="252" w:lineRule="auto"/>
              <w:ind w:left="93" w:right="99"/>
            </w:pPr>
            <w:r>
              <w:rPr>
                <w:spacing w:val="4"/>
              </w:rPr>
              <w:t>县水</w:t>
            </w:r>
            <w:r>
              <w:rPr>
                <w:spacing w:val="3"/>
              </w:rPr>
              <w:t>务局</w:t>
            </w:r>
          </w:p>
        </w:tc>
        <w:tc>
          <w:tcPr>
            <w:tcW w:w="3218" w:type="dxa"/>
            <w:tcBorders>
              <w:top w:val="single" w:color="000000" w:sz="6" w:space="0"/>
              <w:left w:val="single" w:color="000000" w:sz="2" w:space="0"/>
              <w:bottom w:val="single" w:color="000000" w:sz="2" w:space="0"/>
              <w:right w:val="single" w:color="000000" w:sz="2" w:space="0"/>
            </w:tcBorders>
            <w:vAlign w:val="top"/>
          </w:tcPr>
          <w:p w14:paraId="4988A25D">
            <w:pPr>
              <w:pStyle w:val="6"/>
              <w:spacing w:before="63" w:line="228" w:lineRule="auto"/>
              <w:ind w:left="7"/>
            </w:pPr>
            <w:r>
              <w:rPr>
                <w:spacing w:val="7"/>
              </w:rPr>
              <w:t>暨电网项目建设用地选址。</w:t>
            </w:r>
          </w:p>
          <w:p w14:paraId="7D1E1691">
            <w:pPr>
              <w:pStyle w:val="6"/>
              <w:spacing w:before="26" w:line="251" w:lineRule="auto"/>
              <w:ind w:right="1" w:firstLine="4"/>
            </w:pPr>
            <w:r>
              <w:rPr>
                <w:spacing w:val="9"/>
              </w:rPr>
              <w:t>二、根据《中华人民共和国水土保持法》第二十五条、《生产建设项目水土保持方案管理办法》（水利</w:t>
            </w:r>
            <w:r>
              <w:rPr>
                <w:spacing w:val="5"/>
              </w:rPr>
              <w:t>部令第</w:t>
            </w:r>
            <w:r>
              <w:rPr>
                <w:spacing w:val="-35"/>
              </w:rPr>
              <w:t xml:space="preserve"> </w:t>
            </w:r>
            <w:r>
              <w:rPr>
                <w:rFonts w:ascii="Times New Roman" w:hAnsi="Times New Roman" w:eastAsia="Times New Roman" w:cs="Times New Roman"/>
                <w:spacing w:val="5"/>
              </w:rPr>
              <w:t>53</w:t>
            </w:r>
            <w:r>
              <w:rPr>
                <w:rFonts w:ascii="Times New Roman" w:hAnsi="Times New Roman" w:eastAsia="Times New Roman" w:cs="Times New Roman"/>
                <w:spacing w:val="15"/>
              </w:rPr>
              <w:t xml:space="preserve"> </w:t>
            </w:r>
            <w:r>
              <w:rPr>
                <w:spacing w:val="5"/>
              </w:rPr>
              <w:t>号）第九条《云南省水土</w:t>
            </w:r>
            <w:r>
              <w:rPr>
                <w:spacing w:val="9"/>
              </w:rPr>
              <w:t>保持条例》第十六条。生产建设项目开工前需按照相关规范要求完成水土保持方案编制工作，并将项目水土保持方案报与立项同级的水行</w:t>
            </w:r>
            <w:r>
              <w:rPr>
                <w:spacing w:val="7"/>
              </w:rPr>
              <w:t>政主管部门审批。</w:t>
            </w:r>
          </w:p>
          <w:p w14:paraId="4552CED8">
            <w:pPr>
              <w:pStyle w:val="6"/>
              <w:spacing w:before="2" w:line="251" w:lineRule="auto"/>
              <w:ind w:left="3" w:right="70" w:hanging="2"/>
            </w:pPr>
            <w:r>
              <w:rPr>
                <w:spacing w:val="6"/>
              </w:rPr>
              <w:t>三、</w:t>
            </w:r>
            <w:r>
              <w:rPr>
                <w:spacing w:val="-51"/>
              </w:rPr>
              <w:t xml:space="preserve"> </w:t>
            </w:r>
            <w:r>
              <w:rPr>
                <w:spacing w:val="6"/>
              </w:rPr>
              <w:t>电网线路跨黑龙村水库保护范</w:t>
            </w:r>
            <w:r>
              <w:rPr>
                <w:spacing w:val="9"/>
              </w:rPr>
              <w:t>围根据相关法规需到灾害防御科办</w:t>
            </w:r>
            <w:r>
              <w:rPr>
                <w:spacing w:val="8"/>
              </w:rPr>
              <w:t>理防洪影响评价审批手续。</w:t>
            </w:r>
          </w:p>
          <w:p w14:paraId="43BF7833">
            <w:pPr>
              <w:pStyle w:val="6"/>
              <w:spacing w:before="3" w:line="246" w:lineRule="auto"/>
              <w:ind w:firstLine="20"/>
            </w:pPr>
            <w:r>
              <w:rPr>
                <w:spacing w:val="4"/>
              </w:rPr>
              <w:t>四、严格执行水土保持“三同时制度</w:t>
            </w:r>
            <w:r>
              <w:rPr>
                <w:spacing w:val="-71"/>
              </w:rPr>
              <w:t xml:space="preserve"> </w:t>
            </w:r>
            <w:r>
              <w:rPr>
                <w:spacing w:val="4"/>
              </w:rPr>
              <w:t>”，根据《中华人民共和国水土</w:t>
            </w:r>
            <w:r>
              <w:rPr>
                <w:spacing w:val="6"/>
              </w:rPr>
              <w:t>保持法》第二十四条生产建设项目选址、选线应当避让水土流失重点</w:t>
            </w:r>
            <w:r>
              <w:t>预防区和重点治理区；无法避让的，应当提高防治标准，优化施工工艺，</w:t>
            </w:r>
            <w:r>
              <w:rPr>
                <w:spacing w:val="6"/>
              </w:rPr>
              <w:t>减少地表扰动和植被损坏范围，有</w:t>
            </w:r>
            <w:r>
              <w:rPr>
                <w:spacing w:val="5"/>
              </w:rPr>
              <w:t>效控制可能造成的水土流失。</w:t>
            </w:r>
          </w:p>
        </w:tc>
        <w:tc>
          <w:tcPr>
            <w:tcW w:w="3189" w:type="dxa"/>
            <w:gridSpan w:val="6"/>
            <w:tcBorders>
              <w:top w:val="single" w:color="000000" w:sz="6" w:space="0"/>
              <w:left w:val="single" w:color="000000" w:sz="2" w:space="0"/>
              <w:bottom w:val="single" w:color="000000" w:sz="2" w:space="0"/>
              <w:right w:val="single" w:color="000000" w:sz="2" w:space="0"/>
            </w:tcBorders>
            <w:vAlign w:val="top"/>
          </w:tcPr>
          <w:p w14:paraId="3ACF89DF">
            <w:pPr>
              <w:pStyle w:val="6"/>
              <w:spacing w:before="61" w:line="252" w:lineRule="auto"/>
              <w:ind w:left="8" w:right="34"/>
              <w:jc w:val="both"/>
            </w:pPr>
            <w:r>
              <w:rPr>
                <w:spacing w:val="9"/>
              </w:rPr>
              <w:t>批工作；线路跨黑龙村水库正在组织编制防洪影响评价审批手续；项目将严格执行水土保持“三同时制</w:t>
            </w:r>
            <w:r>
              <w:rPr>
                <w:spacing w:val="7"/>
              </w:rPr>
              <w:t>度</w:t>
            </w:r>
            <w:r>
              <w:rPr>
                <w:spacing w:val="-65"/>
              </w:rPr>
              <w:t xml:space="preserve"> </w:t>
            </w:r>
            <w:r>
              <w:rPr>
                <w:spacing w:val="7"/>
              </w:rPr>
              <w:t>”，有效控制可能造成的水土流</w:t>
            </w:r>
            <w:r>
              <w:t>失。</w:t>
            </w:r>
          </w:p>
        </w:tc>
        <w:tc>
          <w:tcPr>
            <w:tcW w:w="426" w:type="dxa"/>
            <w:tcBorders>
              <w:top w:val="single" w:color="000000" w:sz="6" w:space="0"/>
              <w:left w:val="single" w:color="000000" w:sz="2" w:space="0"/>
              <w:bottom w:val="single" w:color="000000" w:sz="2" w:space="0"/>
              <w:right w:val="single" w:color="000000" w:sz="2" w:space="0"/>
            </w:tcBorders>
            <w:vAlign w:val="top"/>
          </w:tcPr>
          <w:p w14:paraId="3151DA32">
            <w:pPr>
              <w:pStyle w:val="6"/>
              <w:spacing w:before="63" w:line="231" w:lineRule="auto"/>
              <w:ind w:left="120"/>
            </w:pPr>
            <w:r>
              <w:t>合</w:t>
            </w:r>
          </w:p>
        </w:tc>
        <w:tc>
          <w:tcPr>
            <w:tcW w:w="146" w:type="dxa"/>
            <w:tcBorders>
              <w:top w:val="single" w:color="000000" w:sz="6" w:space="0"/>
              <w:left w:val="single" w:color="000000" w:sz="2" w:space="0"/>
              <w:bottom w:val="nil"/>
              <w:right w:val="single" w:color="000000" w:sz="6" w:space="0"/>
            </w:tcBorders>
            <w:vAlign w:val="top"/>
          </w:tcPr>
          <w:p w14:paraId="1DE61D1B">
            <w:pPr>
              <w:rPr>
                <w:rFonts w:ascii="Arial"/>
                <w:sz w:val="21"/>
              </w:rPr>
            </w:pPr>
          </w:p>
        </w:tc>
      </w:tr>
      <w:tr w14:paraId="3E773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1" w:hRule="atLeast"/>
        </w:trPr>
        <w:tc>
          <w:tcPr>
            <w:tcW w:w="411" w:type="dxa"/>
            <w:vMerge w:val="continue"/>
            <w:tcBorders>
              <w:top w:val="nil"/>
              <w:left w:val="single" w:color="000000" w:sz="6" w:space="0"/>
              <w:bottom w:val="nil"/>
              <w:right w:val="single" w:color="000000" w:sz="2" w:space="0"/>
            </w:tcBorders>
            <w:vAlign w:val="top"/>
          </w:tcPr>
          <w:p w14:paraId="3CCE21AE">
            <w:pPr>
              <w:rPr>
                <w:rFonts w:ascii="Arial"/>
                <w:sz w:val="21"/>
              </w:rPr>
            </w:pPr>
          </w:p>
        </w:tc>
        <w:tc>
          <w:tcPr>
            <w:tcW w:w="137" w:type="dxa"/>
            <w:vMerge w:val="continue"/>
            <w:tcBorders>
              <w:top w:val="nil"/>
              <w:left w:val="single" w:color="000000" w:sz="2" w:space="0"/>
              <w:bottom w:val="nil"/>
              <w:right w:val="single" w:color="000000" w:sz="2" w:space="0"/>
            </w:tcBorders>
            <w:vAlign w:val="top"/>
          </w:tcPr>
          <w:p w14:paraId="2342C3F2">
            <w:pPr>
              <w:rPr>
                <w:rFonts w:ascii="Arial"/>
                <w:sz w:val="21"/>
              </w:rPr>
            </w:pPr>
          </w:p>
        </w:tc>
        <w:tc>
          <w:tcPr>
            <w:tcW w:w="607" w:type="dxa"/>
            <w:vMerge w:val="restart"/>
            <w:tcBorders>
              <w:top w:val="single" w:color="000000" w:sz="2" w:space="0"/>
              <w:left w:val="single" w:color="000000" w:sz="2" w:space="0"/>
              <w:bottom w:val="nil"/>
              <w:right w:val="single" w:color="000000" w:sz="2" w:space="0"/>
            </w:tcBorders>
            <w:vAlign w:val="top"/>
          </w:tcPr>
          <w:p w14:paraId="1E60C3ED">
            <w:pPr>
              <w:rPr>
                <w:rFonts w:ascii="Arial"/>
                <w:sz w:val="21"/>
              </w:rPr>
            </w:pPr>
          </w:p>
          <w:p w14:paraId="564E9A97">
            <w:pPr>
              <w:rPr>
                <w:rFonts w:ascii="Arial"/>
                <w:sz w:val="21"/>
              </w:rPr>
            </w:pPr>
          </w:p>
          <w:p w14:paraId="158673C5">
            <w:pPr>
              <w:rPr>
                <w:rFonts w:ascii="Arial"/>
                <w:sz w:val="21"/>
              </w:rPr>
            </w:pPr>
          </w:p>
          <w:p w14:paraId="77EF87CD">
            <w:pPr>
              <w:rPr>
                <w:rFonts w:ascii="Arial"/>
                <w:sz w:val="21"/>
              </w:rPr>
            </w:pPr>
          </w:p>
          <w:p w14:paraId="679862C1">
            <w:pPr>
              <w:spacing w:line="241" w:lineRule="auto"/>
              <w:rPr>
                <w:rFonts w:ascii="Arial"/>
                <w:sz w:val="21"/>
              </w:rPr>
            </w:pPr>
          </w:p>
          <w:p w14:paraId="18C5776E">
            <w:pPr>
              <w:spacing w:line="241" w:lineRule="auto"/>
              <w:rPr>
                <w:rFonts w:ascii="Arial"/>
                <w:sz w:val="21"/>
              </w:rPr>
            </w:pPr>
          </w:p>
          <w:p w14:paraId="363E2B58">
            <w:pPr>
              <w:spacing w:line="241" w:lineRule="auto"/>
              <w:rPr>
                <w:rFonts w:ascii="Arial"/>
                <w:sz w:val="21"/>
              </w:rPr>
            </w:pPr>
          </w:p>
          <w:p w14:paraId="0097945A">
            <w:pPr>
              <w:spacing w:line="241" w:lineRule="auto"/>
              <w:rPr>
                <w:rFonts w:ascii="Arial"/>
                <w:sz w:val="21"/>
              </w:rPr>
            </w:pPr>
          </w:p>
          <w:p w14:paraId="0CBD47BF">
            <w:pPr>
              <w:spacing w:line="241" w:lineRule="auto"/>
              <w:rPr>
                <w:rFonts w:ascii="Arial"/>
                <w:sz w:val="21"/>
              </w:rPr>
            </w:pPr>
          </w:p>
          <w:p w14:paraId="7EF205BB">
            <w:pPr>
              <w:spacing w:line="241" w:lineRule="auto"/>
              <w:rPr>
                <w:rFonts w:ascii="Arial"/>
                <w:sz w:val="21"/>
              </w:rPr>
            </w:pPr>
          </w:p>
          <w:p w14:paraId="58A9E1C7">
            <w:pPr>
              <w:spacing w:line="241" w:lineRule="auto"/>
              <w:rPr>
                <w:rFonts w:ascii="Arial"/>
                <w:sz w:val="21"/>
              </w:rPr>
            </w:pPr>
          </w:p>
          <w:p w14:paraId="7840BC6D">
            <w:pPr>
              <w:spacing w:line="241" w:lineRule="auto"/>
              <w:rPr>
                <w:rFonts w:ascii="Arial"/>
                <w:sz w:val="21"/>
              </w:rPr>
            </w:pPr>
          </w:p>
          <w:p w14:paraId="2CE37117">
            <w:pPr>
              <w:pStyle w:val="6"/>
              <w:spacing w:before="65" w:line="253" w:lineRule="auto"/>
              <w:ind w:left="91" w:right="99" w:firstLine="11"/>
              <w:jc w:val="both"/>
            </w:pPr>
            <w:r>
              <w:rPr>
                <w:spacing w:val="-1"/>
              </w:rPr>
              <w:t>陆良</w:t>
            </w:r>
            <w:r>
              <w:rPr>
                <w:spacing w:val="5"/>
              </w:rPr>
              <w:t>县交通运输局</w:t>
            </w:r>
          </w:p>
        </w:tc>
        <w:tc>
          <w:tcPr>
            <w:tcW w:w="3218" w:type="dxa"/>
            <w:vMerge w:val="restart"/>
            <w:tcBorders>
              <w:top w:val="single" w:color="000000" w:sz="2" w:space="0"/>
              <w:left w:val="single" w:color="000000" w:sz="2" w:space="0"/>
              <w:bottom w:val="nil"/>
              <w:right w:val="single" w:color="000000" w:sz="2" w:space="0"/>
            </w:tcBorders>
            <w:vAlign w:val="top"/>
          </w:tcPr>
          <w:p w14:paraId="293F9C3D">
            <w:pPr>
              <w:pStyle w:val="6"/>
              <w:spacing w:before="117" w:line="251" w:lineRule="auto"/>
              <w:ind w:right="25" w:firstLine="4"/>
            </w:pPr>
            <w:r>
              <w:rPr>
                <w:spacing w:val="6"/>
              </w:rPr>
              <w:t>一、原则同意</w:t>
            </w:r>
            <w:r>
              <w:rPr>
                <w:spacing w:val="-9"/>
              </w:rPr>
              <w:t xml:space="preserve"> </w:t>
            </w: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松山输变电工</w:t>
            </w:r>
            <w:r>
              <w:rPr>
                <w:spacing w:val="9"/>
              </w:rPr>
              <w:t>程变电站站址及线路走向。项目变电站站址与陆良县综合交通路网规划无冲突；线路路径与公路路径局部重叠，建议与陆良县综合交通路网规划相衔接，进一步优化线路路</w:t>
            </w:r>
            <w:r>
              <w:t>径。</w:t>
            </w:r>
          </w:p>
          <w:p w14:paraId="6D3A6628">
            <w:pPr>
              <w:pStyle w:val="6"/>
              <w:spacing w:line="251" w:lineRule="auto"/>
              <w:ind w:left="2" w:right="70" w:firstLine="2"/>
            </w:pPr>
            <w:r>
              <w:rPr>
                <w:spacing w:val="9"/>
              </w:rPr>
              <w:t>二、依据《公路安全保护条例》第十一条公路建筑控制区的范围，从公路用地外缘起向外的距离标准</w:t>
            </w:r>
          </w:p>
          <w:p w14:paraId="1232D157">
            <w:pPr>
              <w:pStyle w:val="6"/>
              <w:spacing w:before="6" w:line="251" w:lineRule="auto"/>
              <w:ind w:firstLine="3"/>
            </w:pPr>
            <w:r>
              <w:rPr>
                <w:spacing w:val="5"/>
              </w:rPr>
              <w:t>为</w:t>
            </w:r>
            <w:r>
              <w:rPr>
                <w:spacing w:val="-43"/>
              </w:rPr>
              <w:t>：（</w:t>
            </w:r>
            <w:r>
              <w:rPr>
                <w:spacing w:val="5"/>
              </w:rPr>
              <w:t>一）国道不少于</w:t>
            </w:r>
            <w:r>
              <w:rPr>
                <w:spacing w:val="-40"/>
              </w:rPr>
              <w:t xml:space="preserve"> </w:t>
            </w:r>
            <w:r>
              <w:rPr>
                <w:rFonts w:ascii="Times New Roman" w:hAnsi="Times New Roman" w:eastAsia="Times New Roman" w:cs="Times New Roman"/>
                <w:spacing w:val="5"/>
              </w:rPr>
              <w:t xml:space="preserve">20 </w:t>
            </w:r>
            <w:r>
              <w:rPr>
                <w:spacing w:val="5"/>
              </w:rPr>
              <w:t>米</w:t>
            </w:r>
            <w:r>
              <w:rPr>
                <w:spacing w:val="-43"/>
              </w:rPr>
              <w:t>；（</w:t>
            </w:r>
            <w:r>
              <w:rPr>
                <w:spacing w:val="5"/>
              </w:rPr>
              <w:t>二）</w:t>
            </w:r>
            <w:r>
              <w:rPr>
                <w:spacing w:val="2"/>
              </w:rPr>
              <w:t>省道不少于</w:t>
            </w:r>
            <w:r>
              <w:rPr>
                <w:spacing w:val="-23"/>
              </w:rPr>
              <w:t xml:space="preserve"> </w:t>
            </w:r>
            <w:r>
              <w:rPr>
                <w:rFonts w:ascii="Times New Roman" w:hAnsi="Times New Roman" w:eastAsia="Times New Roman" w:cs="Times New Roman"/>
                <w:spacing w:val="2"/>
              </w:rPr>
              <w:t xml:space="preserve">15 </w:t>
            </w:r>
            <w:r>
              <w:rPr>
                <w:spacing w:val="2"/>
              </w:rPr>
              <w:t>米</w:t>
            </w:r>
            <w:r>
              <w:rPr>
                <w:spacing w:val="-17"/>
              </w:rPr>
              <w:t>；（</w:t>
            </w:r>
            <w:r>
              <w:rPr>
                <w:spacing w:val="2"/>
              </w:rPr>
              <w:t>三）县道不少</w:t>
            </w:r>
            <w:r>
              <w:rPr>
                <w:spacing w:val="-1"/>
              </w:rPr>
              <w:t>于</w:t>
            </w:r>
            <w:r>
              <w:rPr>
                <w:spacing w:val="-19"/>
              </w:rPr>
              <w:t xml:space="preserve"> </w:t>
            </w:r>
            <w:r>
              <w:rPr>
                <w:rFonts w:ascii="Times New Roman" w:hAnsi="Times New Roman" w:eastAsia="Times New Roman" w:cs="Times New Roman"/>
                <w:spacing w:val="-1"/>
              </w:rPr>
              <w:t xml:space="preserve">10 </w:t>
            </w:r>
            <w:r>
              <w:rPr>
                <w:spacing w:val="-1"/>
              </w:rPr>
              <w:t>米</w:t>
            </w:r>
            <w:r>
              <w:rPr>
                <w:spacing w:val="-53"/>
                <w:w w:val="98"/>
              </w:rPr>
              <w:t>；（</w:t>
            </w:r>
            <w:r>
              <w:rPr>
                <w:spacing w:val="-1"/>
              </w:rPr>
              <w:t>四）乡村道不少于</w:t>
            </w:r>
            <w:r>
              <w:rPr>
                <w:spacing w:val="-39"/>
              </w:rPr>
              <w:t xml:space="preserve"> </w:t>
            </w:r>
            <w:r>
              <w:rPr>
                <w:rFonts w:ascii="Times New Roman" w:hAnsi="Times New Roman" w:eastAsia="Times New Roman" w:cs="Times New Roman"/>
                <w:spacing w:val="-1"/>
              </w:rPr>
              <w:t xml:space="preserve">5 </w:t>
            </w:r>
            <w:r>
              <w:rPr>
                <w:spacing w:val="-1"/>
              </w:rPr>
              <w:t>米；</w:t>
            </w:r>
            <w:r>
              <w:t xml:space="preserve"> </w:t>
            </w:r>
            <w:r>
              <w:rPr>
                <w:spacing w:val="3"/>
              </w:rPr>
              <w:t>（五）村道参照乡道标准执行。属于高速公路的，公路建筑控制区的范围从公路用地外缘起向外的距离</w:t>
            </w:r>
            <w:r>
              <w:rPr>
                <w:spacing w:val="4"/>
              </w:rPr>
              <w:t>标准不少于</w:t>
            </w:r>
            <w:r>
              <w:rPr>
                <w:spacing w:val="-39"/>
              </w:rPr>
              <w:t xml:space="preserve"> </w:t>
            </w:r>
            <w:r>
              <w:rPr>
                <w:rFonts w:ascii="Times New Roman" w:hAnsi="Times New Roman" w:eastAsia="Times New Roman" w:cs="Times New Roman"/>
                <w:spacing w:val="4"/>
              </w:rPr>
              <w:t xml:space="preserve">30 </w:t>
            </w:r>
            <w:r>
              <w:rPr>
                <w:spacing w:val="4"/>
              </w:rPr>
              <w:t>米。公路弯道内侧、</w:t>
            </w:r>
            <w:r>
              <w:rPr>
                <w:spacing w:val="3"/>
              </w:rPr>
              <w:t>互通立交以及平面交叉道口的建筑控制区范围根据安全视距等要求确定。松山输变电站站址及线路路径走向需严格控制在公路控制区外，</w:t>
            </w:r>
          </w:p>
          <w:p w14:paraId="2812A03A">
            <w:pPr>
              <w:pStyle w:val="6"/>
              <w:spacing w:before="4" w:line="251" w:lineRule="auto"/>
              <w:ind w:firstLine="3"/>
            </w:pPr>
            <w:r>
              <w:t>线路路径走向切实需要跨越、穿越、</w:t>
            </w:r>
            <w:r>
              <w:rPr>
                <w:spacing w:val="4"/>
              </w:rPr>
              <w:t>占用公路的，需纳入项目规划、建设范围一并实施。施工前需按有关程序要求审批后方可施工。</w:t>
            </w:r>
          </w:p>
        </w:tc>
        <w:tc>
          <w:tcPr>
            <w:tcW w:w="3189" w:type="dxa"/>
            <w:gridSpan w:val="6"/>
            <w:tcBorders>
              <w:top w:val="single" w:color="000000" w:sz="2" w:space="0"/>
              <w:left w:val="single" w:color="000000" w:sz="2" w:space="0"/>
              <w:right w:val="single" w:color="000000" w:sz="2" w:space="0"/>
            </w:tcBorders>
            <w:vAlign w:val="top"/>
          </w:tcPr>
          <w:p w14:paraId="2186F2E3">
            <w:pPr>
              <w:pStyle w:val="6"/>
              <w:spacing w:before="37" w:line="251" w:lineRule="auto"/>
              <w:ind w:left="8" w:firstLine="1"/>
            </w:pPr>
            <w:r>
              <w:rPr>
                <w:spacing w:val="6"/>
              </w:rPr>
              <w:t>本项目</w:t>
            </w:r>
            <w:r>
              <w:rPr>
                <w:spacing w:val="-18"/>
              </w:rPr>
              <w:t xml:space="preserve"> </w:t>
            </w: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线路涉及跨越滇中环</w:t>
            </w:r>
            <w:r>
              <w:rPr>
                <w:spacing w:val="3"/>
              </w:rPr>
              <w:t>线高速、兰马线（</w:t>
            </w:r>
            <w:r>
              <w:rPr>
                <w:rFonts w:ascii="Times New Roman" w:hAnsi="Times New Roman" w:eastAsia="Times New Roman" w:cs="Times New Roman"/>
                <w:spacing w:val="3"/>
              </w:rPr>
              <w:t>G320</w:t>
            </w:r>
            <w:r>
              <w:rPr>
                <w:rFonts w:ascii="Times New Roman" w:hAnsi="Times New Roman" w:eastAsia="Times New Roman" w:cs="Times New Roman"/>
                <w:spacing w:val="33"/>
              </w:rPr>
              <w:t xml:space="preserve"> </w:t>
            </w:r>
            <w:r>
              <w:rPr>
                <w:spacing w:val="3"/>
              </w:rPr>
              <w:t>国道</w:t>
            </w:r>
            <w:r>
              <w:rPr>
                <w:spacing w:val="1"/>
              </w:rPr>
              <w:t>），</w:t>
            </w:r>
            <w:r>
              <w:rPr>
                <w:spacing w:val="3"/>
              </w:rPr>
              <w:t>在</w:t>
            </w:r>
            <w:r>
              <w:rPr>
                <w:spacing w:val="8"/>
              </w:rPr>
              <w:t>确保线路与《</w:t>
            </w:r>
            <w:r>
              <w:rPr>
                <w:rFonts w:ascii="Times New Roman" w:hAnsi="Times New Roman" w:eastAsia="Times New Roman" w:cs="Times New Roman"/>
                <w:spacing w:val="8"/>
              </w:rPr>
              <w:t>110</w:t>
            </w:r>
            <w:r>
              <w:rPr>
                <w:rFonts w:ascii="Times New Roman" w:hAnsi="Times New Roman" w:eastAsia="Times New Roman" w:cs="Times New Roman"/>
              </w:rPr>
              <w:t>kV</w:t>
            </w:r>
            <w:r>
              <w:rPr>
                <w:spacing w:val="8"/>
              </w:rPr>
              <w:t>～</w:t>
            </w:r>
            <w:r>
              <w:rPr>
                <w:rFonts w:ascii="Times New Roman" w:hAnsi="Times New Roman" w:eastAsia="Times New Roman" w:cs="Times New Roman"/>
                <w:spacing w:val="8"/>
              </w:rPr>
              <w:t>750</w:t>
            </w:r>
            <w:r>
              <w:rPr>
                <w:rFonts w:ascii="Times New Roman" w:hAnsi="Times New Roman" w:eastAsia="Times New Roman" w:cs="Times New Roman"/>
              </w:rPr>
              <w:t>kV</w:t>
            </w:r>
            <w:r>
              <w:rPr>
                <w:rFonts w:ascii="Times New Roman" w:hAnsi="Times New Roman" w:eastAsia="Times New Roman" w:cs="Times New Roman"/>
                <w:spacing w:val="8"/>
              </w:rPr>
              <w:t xml:space="preserve"> </w:t>
            </w:r>
            <w:r>
              <w:rPr>
                <w:spacing w:val="8"/>
              </w:rPr>
              <w:t>架空</w:t>
            </w:r>
            <w:r>
              <w:rPr>
                <w:spacing w:val="7"/>
              </w:rPr>
              <w:t>输电线路设计规范》</w:t>
            </w:r>
          </w:p>
          <w:p w14:paraId="43B8667C">
            <w:pPr>
              <w:pStyle w:val="6"/>
              <w:spacing w:before="1" w:line="241" w:lineRule="auto"/>
              <w:ind w:left="3" w:firstLine="15"/>
            </w:pPr>
            <w:r>
              <w:rPr>
                <w:spacing w:val="6"/>
              </w:rPr>
              <w:t>（</w:t>
            </w:r>
            <w:r>
              <w:rPr>
                <w:rFonts w:ascii="Times New Roman" w:hAnsi="Times New Roman" w:eastAsia="Times New Roman" w:cs="Times New Roman"/>
              </w:rPr>
              <w:t>GB</w:t>
            </w:r>
            <w:r>
              <w:rPr>
                <w:rFonts w:ascii="Times New Roman" w:hAnsi="Times New Roman" w:eastAsia="Times New Roman" w:cs="Times New Roman"/>
                <w:spacing w:val="6"/>
              </w:rPr>
              <w:t>50545-2010</w:t>
            </w:r>
            <w:r>
              <w:rPr>
                <w:spacing w:val="6"/>
              </w:rPr>
              <w:t>）中公路垂直距离</w:t>
            </w:r>
            <w:r>
              <w:rPr>
                <w:rFonts w:ascii="Times New Roman" w:hAnsi="Times New Roman" w:eastAsia="Times New Roman" w:cs="Times New Roman"/>
                <w:spacing w:val="6"/>
              </w:rPr>
              <w:t>≥7.0</w:t>
            </w:r>
            <w:r>
              <w:rPr>
                <w:rFonts w:ascii="Times New Roman" w:hAnsi="Times New Roman" w:eastAsia="Times New Roman" w:cs="Times New Roman"/>
                <w:spacing w:val="38"/>
                <w:w w:val="101"/>
              </w:rPr>
              <w:t xml:space="preserve"> </w:t>
            </w:r>
            <w:r>
              <w:rPr>
                <w:spacing w:val="6"/>
              </w:rPr>
              <w:t>的情况下（本项目线路与公路</w:t>
            </w:r>
            <w:r>
              <w:rPr>
                <w:spacing w:val="5"/>
              </w:rPr>
              <w:t>路面垂直距离大于</w:t>
            </w:r>
            <w:r>
              <w:rPr>
                <w:spacing w:val="-22"/>
              </w:rPr>
              <w:t xml:space="preserve"> </w:t>
            </w:r>
            <w:r>
              <w:rPr>
                <w:rFonts w:ascii="Times New Roman" w:hAnsi="Times New Roman" w:eastAsia="Times New Roman" w:cs="Times New Roman"/>
                <w:spacing w:val="5"/>
              </w:rPr>
              <w:t>13m</w:t>
            </w:r>
            <w:r>
              <w:rPr>
                <w:spacing w:val="21"/>
              </w:rPr>
              <w:t>），</w:t>
            </w:r>
            <w:r>
              <w:rPr>
                <w:spacing w:val="5"/>
              </w:rPr>
              <w:t>与陆良</w:t>
            </w:r>
            <w:r>
              <w:rPr>
                <w:spacing w:val="8"/>
              </w:rPr>
              <w:t>县综合交通路网规划不冲突。</w:t>
            </w:r>
          </w:p>
        </w:tc>
        <w:tc>
          <w:tcPr>
            <w:tcW w:w="426" w:type="dxa"/>
            <w:vMerge w:val="restart"/>
            <w:tcBorders>
              <w:top w:val="single" w:color="000000" w:sz="2" w:space="0"/>
              <w:left w:val="single" w:color="000000" w:sz="2" w:space="0"/>
              <w:bottom w:val="nil"/>
              <w:right w:val="single" w:color="000000" w:sz="2" w:space="0"/>
            </w:tcBorders>
            <w:textDirection w:val="tbRlV"/>
            <w:vAlign w:val="top"/>
          </w:tcPr>
          <w:p w14:paraId="38CE3AF3">
            <w:pPr>
              <w:pStyle w:val="6"/>
              <w:spacing w:before="99" w:line="215" w:lineRule="auto"/>
              <w:ind w:left="3246"/>
            </w:pPr>
            <w:r>
              <w:rPr>
                <w:spacing w:val="8"/>
              </w:rPr>
              <w:t>符</w:t>
            </w:r>
            <w:r>
              <w:rPr>
                <w:spacing w:val="-37"/>
              </w:rPr>
              <w:t xml:space="preserve"> </w:t>
            </w:r>
            <w:r>
              <w:rPr>
                <w:spacing w:val="8"/>
              </w:rPr>
              <w:t>合</w:t>
            </w:r>
          </w:p>
        </w:tc>
        <w:tc>
          <w:tcPr>
            <w:tcW w:w="146" w:type="dxa"/>
            <w:tcBorders>
              <w:top w:val="nil"/>
              <w:left w:val="single" w:color="000000" w:sz="2" w:space="0"/>
              <w:bottom w:val="nil"/>
              <w:right w:val="single" w:color="000000" w:sz="6" w:space="0"/>
            </w:tcBorders>
            <w:vAlign w:val="top"/>
          </w:tcPr>
          <w:p w14:paraId="1F81E6B0">
            <w:pPr>
              <w:rPr>
                <w:rFonts w:ascii="Arial"/>
                <w:sz w:val="21"/>
              </w:rPr>
            </w:pPr>
          </w:p>
        </w:tc>
      </w:tr>
      <w:tr w14:paraId="10184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411" w:type="dxa"/>
            <w:vMerge w:val="continue"/>
            <w:tcBorders>
              <w:top w:val="nil"/>
              <w:left w:val="single" w:color="000000" w:sz="6" w:space="0"/>
              <w:bottom w:val="nil"/>
              <w:right w:val="single" w:color="000000" w:sz="2" w:space="0"/>
            </w:tcBorders>
            <w:vAlign w:val="top"/>
          </w:tcPr>
          <w:p w14:paraId="0A5A45F1">
            <w:pPr>
              <w:rPr>
                <w:rFonts w:ascii="Arial"/>
                <w:sz w:val="21"/>
              </w:rPr>
            </w:pPr>
          </w:p>
        </w:tc>
        <w:tc>
          <w:tcPr>
            <w:tcW w:w="137" w:type="dxa"/>
            <w:vMerge w:val="continue"/>
            <w:tcBorders>
              <w:top w:val="nil"/>
              <w:left w:val="single" w:color="000000" w:sz="2" w:space="0"/>
              <w:bottom w:val="nil"/>
              <w:right w:val="single" w:color="000000" w:sz="2" w:space="0"/>
            </w:tcBorders>
            <w:vAlign w:val="top"/>
          </w:tcPr>
          <w:p w14:paraId="5EEE1349">
            <w:pPr>
              <w:rPr>
                <w:rFonts w:ascii="Arial"/>
                <w:sz w:val="21"/>
              </w:rPr>
            </w:pPr>
          </w:p>
        </w:tc>
        <w:tc>
          <w:tcPr>
            <w:tcW w:w="607" w:type="dxa"/>
            <w:vMerge w:val="continue"/>
            <w:tcBorders>
              <w:top w:val="nil"/>
              <w:left w:val="single" w:color="000000" w:sz="2" w:space="0"/>
              <w:bottom w:val="nil"/>
              <w:right w:val="single" w:color="000000" w:sz="2" w:space="0"/>
            </w:tcBorders>
            <w:vAlign w:val="top"/>
          </w:tcPr>
          <w:p w14:paraId="76263F65">
            <w:pPr>
              <w:rPr>
                <w:rFonts w:ascii="Arial"/>
                <w:sz w:val="21"/>
              </w:rPr>
            </w:pPr>
          </w:p>
        </w:tc>
        <w:tc>
          <w:tcPr>
            <w:tcW w:w="3218" w:type="dxa"/>
            <w:vMerge w:val="continue"/>
            <w:tcBorders>
              <w:top w:val="nil"/>
              <w:left w:val="single" w:color="000000" w:sz="2" w:space="0"/>
              <w:bottom w:val="nil"/>
              <w:right w:val="single" w:color="000000" w:sz="2" w:space="0"/>
            </w:tcBorders>
            <w:vAlign w:val="top"/>
          </w:tcPr>
          <w:p w14:paraId="5F5E29E5">
            <w:pPr>
              <w:rPr>
                <w:rFonts w:ascii="Arial"/>
                <w:sz w:val="21"/>
              </w:rPr>
            </w:pPr>
          </w:p>
        </w:tc>
        <w:tc>
          <w:tcPr>
            <w:tcW w:w="119" w:type="dxa"/>
            <w:vMerge w:val="restart"/>
            <w:tcBorders>
              <w:top w:val="nil"/>
              <w:left w:val="single" w:color="000000" w:sz="2" w:space="0"/>
              <w:bottom w:val="nil"/>
              <w:right w:val="single" w:color="000000" w:sz="2" w:space="0"/>
            </w:tcBorders>
            <w:vAlign w:val="top"/>
          </w:tcPr>
          <w:p w14:paraId="332262D3">
            <w:pPr>
              <w:rPr>
                <w:rFonts w:ascii="Arial"/>
                <w:sz w:val="21"/>
              </w:rPr>
            </w:pPr>
          </w:p>
        </w:tc>
        <w:tc>
          <w:tcPr>
            <w:tcW w:w="2950" w:type="dxa"/>
            <w:gridSpan w:val="4"/>
            <w:tcBorders>
              <w:left w:val="single" w:color="000000" w:sz="2" w:space="0"/>
            </w:tcBorders>
            <w:vAlign w:val="top"/>
          </w:tcPr>
          <w:p w14:paraId="7DAE377F">
            <w:pPr>
              <w:pStyle w:val="6"/>
              <w:spacing w:before="115" w:line="219" w:lineRule="auto"/>
              <w:ind w:left="127"/>
              <w:rPr>
                <w:sz w:val="18"/>
                <w:szCs w:val="18"/>
              </w:rPr>
            </w:pPr>
            <w:r>
              <w:rPr>
                <w:b/>
                <w:bCs/>
                <w:spacing w:val="-2"/>
                <w:sz w:val="18"/>
                <w:szCs w:val="18"/>
              </w:rPr>
              <w:t>本项目线路与公路交叉跨越符合性</w:t>
            </w:r>
          </w:p>
        </w:tc>
        <w:tc>
          <w:tcPr>
            <w:tcW w:w="120" w:type="dxa"/>
            <w:tcBorders>
              <w:top w:val="nil"/>
              <w:bottom w:val="nil"/>
              <w:right w:val="single" w:color="000000" w:sz="2" w:space="0"/>
            </w:tcBorders>
            <w:vAlign w:val="top"/>
          </w:tcPr>
          <w:p w14:paraId="314B69A3">
            <w:pPr>
              <w:rPr>
                <w:rFonts w:ascii="Arial"/>
                <w:sz w:val="21"/>
              </w:rPr>
            </w:pPr>
          </w:p>
        </w:tc>
        <w:tc>
          <w:tcPr>
            <w:tcW w:w="426" w:type="dxa"/>
            <w:vMerge w:val="continue"/>
            <w:tcBorders>
              <w:top w:val="nil"/>
              <w:left w:val="single" w:color="000000" w:sz="2" w:space="0"/>
              <w:bottom w:val="nil"/>
              <w:right w:val="single" w:color="000000" w:sz="2" w:space="0"/>
            </w:tcBorders>
            <w:textDirection w:val="tbRlV"/>
            <w:vAlign w:val="top"/>
          </w:tcPr>
          <w:p w14:paraId="22A18297">
            <w:pPr>
              <w:rPr>
                <w:rFonts w:ascii="Arial"/>
                <w:sz w:val="21"/>
              </w:rPr>
            </w:pPr>
          </w:p>
        </w:tc>
        <w:tc>
          <w:tcPr>
            <w:tcW w:w="146" w:type="dxa"/>
            <w:tcBorders>
              <w:top w:val="nil"/>
              <w:left w:val="single" w:color="000000" w:sz="2" w:space="0"/>
              <w:bottom w:val="nil"/>
              <w:right w:val="single" w:color="000000" w:sz="6" w:space="0"/>
            </w:tcBorders>
            <w:vAlign w:val="top"/>
          </w:tcPr>
          <w:p w14:paraId="54D78DC3">
            <w:pPr>
              <w:rPr>
                <w:rFonts w:ascii="Arial"/>
                <w:sz w:val="21"/>
              </w:rPr>
            </w:pPr>
          </w:p>
        </w:tc>
      </w:tr>
      <w:tr w14:paraId="34956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411" w:type="dxa"/>
            <w:vMerge w:val="continue"/>
            <w:tcBorders>
              <w:top w:val="nil"/>
              <w:left w:val="single" w:color="000000" w:sz="6" w:space="0"/>
              <w:bottom w:val="nil"/>
              <w:right w:val="single" w:color="000000" w:sz="2" w:space="0"/>
            </w:tcBorders>
            <w:vAlign w:val="top"/>
          </w:tcPr>
          <w:p w14:paraId="0B7FCC30">
            <w:pPr>
              <w:rPr>
                <w:rFonts w:ascii="Arial"/>
                <w:sz w:val="21"/>
              </w:rPr>
            </w:pPr>
          </w:p>
        </w:tc>
        <w:tc>
          <w:tcPr>
            <w:tcW w:w="137" w:type="dxa"/>
            <w:vMerge w:val="continue"/>
            <w:tcBorders>
              <w:top w:val="nil"/>
              <w:left w:val="single" w:color="000000" w:sz="2" w:space="0"/>
              <w:bottom w:val="nil"/>
              <w:right w:val="single" w:color="000000" w:sz="2" w:space="0"/>
            </w:tcBorders>
            <w:vAlign w:val="top"/>
          </w:tcPr>
          <w:p w14:paraId="6D89F9DA">
            <w:pPr>
              <w:rPr>
                <w:rFonts w:ascii="Arial"/>
                <w:sz w:val="21"/>
              </w:rPr>
            </w:pPr>
          </w:p>
        </w:tc>
        <w:tc>
          <w:tcPr>
            <w:tcW w:w="607" w:type="dxa"/>
            <w:vMerge w:val="continue"/>
            <w:tcBorders>
              <w:top w:val="nil"/>
              <w:left w:val="single" w:color="000000" w:sz="2" w:space="0"/>
              <w:bottom w:val="nil"/>
              <w:right w:val="single" w:color="000000" w:sz="2" w:space="0"/>
            </w:tcBorders>
            <w:vAlign w:val="top"/>
          </w:tcPr>
          <w:p w14:paraId="4B8E35AE">
            <w:pPr>
              <w:rPr>
                <w:rFonts w:ascii="Arial"/>
                <w:sz w:val="21"/>
              </w:rPr>
            </w:pPr>
          </w:p>
        </w:tc>
        <w:tc>
          <w:tcPr>
            <w:tcW w:w="3218" w:type="dxa"/>
            <w:vMerge w:val="continue"/>
            <w:tcBorders>
              <w:top w:val="nil"/>
              <w:left w:val="single" w:color="000000" w:sz="2" w:space="0"/>
              <w:bottom w:val="nil"/>
              <w:right w:val="single" w:color="000000" w:sz="2" w:space="0"/>
            </w:tcBorders>
            <w:vAlign w:val="top"/>
          </w:tcPr>
          <w:p w14:paraId="7C98248D">
            <w:pPr>
              <w:rPr>
                <w:rFonts w:ascii="Arial"/>
                <w:sz w:val="21"/>
              </w:rPr>
            </w:pPr>
          </w:p>
        </w:tc>
        <w:tc>
          <w:tcPr>
            <w:tcW w:w="119" w:type="dxa"/>
            <w:vMerge w:val="continue"/>
            <w:tcBorders>
              <w:top w:val="nil"/>
              <w:left w:val="single" w:color="000000" w:sz="2" w:space="0"/>
              <w:bottom w:val="nil"/>
              <w:right w:val="single" w:color="000000" w:sz="2" w:space="0"/>
            </w:tcBorders>
            <w:vAlign w:val="top"/>
          </w:tcPr>
          <w:p w14:paraId="0B11EB2F">
            <w:pPr>
              <w:rPr>
                <w:rFonts w:ascii="Arial"/>
                <w:sz w:val="21"/>
              </w:rPr>
            </w:pPr>
          </w:p>
        </w:tc>
        <w:tc>
          <w:tcPr>
            <w:tcW w:w="614" w:type="dxa"/>
            <w:tcBorders>
              <w:left w:val="single" w:color="000000" w:sz="2" w:space="0"/>
            </w:tcBorders>
            <w:vAlign w:val="top"/>
          </w:tcPr>
          <w:p w14:paraId="105047D9">
            <w:pPr>
              <w:spacing w:line="323" w:lineRule="auto"/>
              <w:rPr>
                <w:rFonts w:ascii="Arial"/>
                <w:sz w:val="21"/>
              </w:rPr>
            </w:pPr>
          </w:p>
          <w:p w14:paraId="099A5C68">
            <w:pPr>
              <w:pStyle w:val="6"/>
              <w:spacing w:before="58" w:line="219" w:lineRule="auto"/>
              <w:ind w:left="130"/>
              <w:rPr>
                <w:sz w:val="18"/>
                <w:szCs w:val="18"/>
              </w:rPr>
            </w:pPr>
            <w:r>
              <w:rPr>
                <w:b/>
                <w:bCs/>
                <w:spacing w:val="-6"/>
                <w:sz w:val="18"/>
                <w:szCs w:val="18"/>
              </w:rPr>
              <w:t>对象</w:t>
            </w:r>
          </w:p>
        </w:tc>
        <w:tc>
          <w:tcPr>
            <w:tcW w:w="627" w:type="dxa"/>
            <w:vAlign w:val="top"/>
          </w:tcPr>
          <w:p w14:paraId="13B95867">
            <w:pPr>
              <w:pStyle w:val="6"/>
              <w:spacing w:before="35" w:line="219" w:lineRule="auto"/>
              <w:ind w:left="48"/>
              <w:rPr>
                <w:sz w:val="18"/>
                <w:szCs w:val="18"/>
              </w:rPr>
            </w:pPr>
            <w:r>
              <w:rPr>
                <w:b/>
                <w:bCs/>
                <w:spacing w:val="-5"/>
                <w:sz w:val="18"/>
                <w:szCs w:val="18"/>
              </w:rPr>
              <w:t>与公路</w:t>
            </w:r>
          </w:p>
          <w:p w14:paraId="6884C163">
            <w:pPr>
              <w:pStyle w:val="6"/>
              <w:spacing w:before="19" w:line="220" w:lineRule="auto"/>
              <w:ind w:left="44"/>
              <w:rPr>
                <w:sz w:val="18"/>
                <w:szCs w:val="18"/>
              </w:rPr>
            </w:pPr>
            <w:r>
              <w:rPr>
                <w:b/>
                <w:bCs/>
                <w:spacing w:val="-4"/>
                <w:sz w:val="18"/>
                <w:szCs w:val="18"/>
              </w:rPr>
              <w:t>控制区</w:t>
            </w:r>
          </w:p>
          <w:p w14:paraId="7E932D5A">
            <w:pPr>
              <w:pStyle w:val="6"/>
              <w:spacing w:before="17" w:line="219" w:lineRule="auto"/>
              <w:ind w:left="226" w:right="36" w:hanging="182"/>
              <w:rPr>
                <w:sz w:val="18"/>
                <w:szCs w:val="18"/>
              </w:rPr>
            </w:pPr>
            <w:r>
              <w:rPr>
                <w:b/>
                <w:bCs/>
                <w:spacing w:val="-4"/>
                <w:sz w:val="18"/>
                <w:szCs w:val="18"/>
              </w:rPr>
              <w:t>距离标</w:t>
            </w:r>
            <w:r>
              <w:rPr>
                <w:b/>
                <w:bCs/>
                <w:spacing w:val="-2"/>
                <w:sz w:val="18"/>
                <w:szCs w:val="18"/>
              </w:rPr>
              <w:t>准</w:t>
            </w:r>
          </w:p>
        </w:tc>
        <w:tc>
          <w:tcPr>
            <w:tcW w:w="1283" w:type="dxa"/>
            <w:vAlign w:val="top"/>
          </w:tcPr>
          <w:p w14:paraId="1324B9DD">
            <w:pPr>
              <w:spacing w:line="322" w:lineRule="auto"/>
              <w:rPr>
                <w:rFonts w:ascii="Arial"/>
                <w:sz w:val="21"/>
              </w:rPr>
            </w:pPr>
          </w:p>
          <w:p w14:paraId="6E6F38D1">
            <w:pPr>
              <w:pStyle w:val="6"/>
              <w:spacing w:before="58" w:line="219" w:lineRule="auto"/>
              <w:ind w:left="196"/>
              <w:rPr>
                <w:sz w:val="18"/>
                <w:szCs w:val="18"/>
              </w:rPr>
            </w:pPr>
            <w:r>
              <w:rPr>
                <w:b/>
                <w:bCs/>
                <w:spacing w:val="-3"/>
                <w:sz w:val="18"/>
                <w:szCs w:val="18"/>
              </w:rPr>
              <w:t>本项目情况</w:t>
            </w:r>
          </w:p>
        </w:tc>
        <w:tc>
          <w:tcPr>
            <w:tcW w:w="426" w:type="dxa"/>
            <w:vAlign w:val="top"/>
          </w:tcPr>
          <w:p w14:paraId="189C0AE6">
            <w:pPr>
              <w:pStyle w:val="6"/>
              <w:spacing w:before="150" w:line="220" w:lineRule="auto"/>
              <w:ind w:left="43"/>
              <w:rPr>
                <w:sz w:val="18"/>
                <w:szCs w:val="18"/>
              </w:rPr>
            </w:pPr>
            <w:r>
              <w:rPr>
                <w:b/>
                <w:bCs/>
                <w:spacing w:val="-7"/>
                <w:sz w:val="18"/>
                <w:szCs w:val="18"/>
              </w:rPr>
              <w:t>是否</w:t>
            </w:r>
          </w:p>
          <w:p w14:paraId="6B5E85ED">
            <w:pPr>
              <w:pStyle w:val="6"/>
              <w:spacing w:before="18" w:line="219" w:lineRule="auto"/>
              <w:ind w:left="40"/>
              <w:rPr>
                <w:sz w:val="18"/>
                <w:szCs w:val="18"/>
              </w:rPr>
            </w:pPr>
            <w:r>
              <w:rPr>
                <w:b/>
                <w:bCs/>
                <w:spacing w:val="-6"/>
                <w:sz w:val="18"/>
                <w:szCs w:val="18"/>
              </w:rPr>
              <w:t>满足</w:t>
            </w:r>
          </w:p>
          <w:p w14:paraId="7BB56C43">
            <w:pPr>
              <w:pStyle w:val="6"/>
              <w:spacing w:before="21" w:line="221" w:lineRule="auto"/>
              <w:ind w:left="41"/>
              <w:rPr>
                <w:sz w:val="18"/>
                <w:szCs w:val="18"/>
              </w:rPr>
            </w:pPr>
            <w:r>
              <w:rPr>
                <w:b/>
                <w:bCs/>
                <w:spacing w:val="-6"/>
                <w:sz w:val="18"/>
                <w:szCs w:val="18"/>
              </w:rPr>
              <w:t>要求</w:t>
            </w:r>
          </w:p>
        </w:tc>
        <w:tc>
          <w:tcPr>
            <w:tcW w:w="120" w:type="dxa"/>
            <w:tcBorders>
              <w:top w:val="nil"/>
              <w:bottom w:val="nil"/>
              <w:right w:val="single" w:color="000000" w:sz="2" w:space="0"/>
            </w:tcBorders>
            <w:vAlign w:val="top"/>
          </w:tcPr>
          <w:p w14:paraId="2273B781">
            <w:pPr>
              <w:rPr>
                <w:rFonts w:ascii="Arial"/>
                <w:sz w:val="21"/>
              </w:rPr>
            </w:pPr>
          </w:p>
        </w:tc>
        <w:tc>
          <w:tcPr>
            <w:tcW w:w="426" w:type="dxa"/>
            <w:vMerge w:val="continue"/>
            <w:tcBorders>
              <w:top w:val="nil"/>
              <w:left w:val="single" w:color="000000" w:sz="2" w:space="0"/>
              <w:bottom w:val="nil"/>
              <w:right w:val="single" w:color="000000" w:sz="2" w:space="0"/>
            </w:tcBorders>
            <w:textDirection w:val="tbRlV"/>
            <w:vAlign w:val="top"/>
          </w:tcPr>
          <w:p w14:paraId="5C3066F0">
            <w:pPr>
              <w:rPr>
                <w:rFonts w:ascii="Arial"/>
                <w:sz w:val="21"/>
              </w:rPr>
            </w:pPr>
          </w:p>
        </w:tc>
        <w:tc>
          <w:tcPr>
            <w:tcW w:w="146" w:type="dxa"/>
            <w:tcBorders>
              <w:top w:val="nil"/>
              <w:left w:val="single" w:color="000000" w:sz="2" w:space="0"/>
              <w:bottom w:val="nil"/>
              <w:right w:val="single" w:color="000000" w:sz="6" w:space="0"/>
            </w:tcBorders>
            <w:vAlign w:val="top"/>
          </w:tcPr>
          <w:p w14:paraId="23442C21">
            <w:pPr>
              <w:rPr>
                <w:rFonts w:ascii="Arial"/>
                <w:sz w:val="21"/>
              </w:rPr>
            </w:pPr>
          </w:p>
        </w:tc>
      </w:tr>
      <w:tr w14:paraId="3C68F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7" w:hRule="atLeast"/>
        </w:trPr>
        <w:tc>
          <w:tcPr>
            <w:tcW w:w="411" w:type="dxa"/>
            <w:vMerge w:val="continue"/>
            <w:tcBorders>
              <w:top w:val="nil"/>
              <w:left w:val="single" w:color="000000" w:sz="6" w:space="0"/>
              <w:bottom w:val="nil"/>
              <w:right w:val="single" w:color="000000" w:sz="2" w:space="0"/>
            </w:tcBorders>
            <w:vAlign w:val="top"/>
          </w:tcPr>
          <w:p w14:paraId="58F66967">
            <w:pPr>
              <w:rPr>
                <w:rFonts w:ascii="Arial"/>
                <w:sz w:val="21"/>
              </w:rPr>
            </w:pPr>
          </w:p>
        </w:tc>
        <w:tc>
          <w:tcPr>
            <w:tcW w:w="137" w:type="dxa"/>
            <w:vMerge w:val="continue"/>
            <w:tcBorders>
              <w:top w:val="nil"/>
              <w:left w:val="single" w:color="000000" w:sz="2" w:space="0"/>
              <w:bottom w:val="nil"/>
              <w:right w:val="single" w:color="000000" w:sz="2" w:space="0"/>
            </w:tcBorders>
            <w:vAlign w:val="top"/>
          </w:tcPr>
          <w:p w14:paraId="0C1AA358">
            <w:pPr>
              <w:rPr>
                <w:rFonts w:ascii="Arial"/>
                <w:sz w:val="21"/>
              </w:rPr>
            </w:pPr>
          </w:p>
        </w:tc>
        <w:tc>
          <w:tcPr>
            <w:tcW w:w="607" w:type="dxa"/>
            <w:vMerge w:val="continue"/>
            <w:tcBorders>
              <w:top w:val="nil"/>
              <w:left w:val="single" w:color="000000" w:sz="2" w:space="0"/>
              <w:bottom w:val="nil"/>
              <w:right w:val="single" w:color="000000" w:sz="2" w:space="0"/>
            </w:tcBorders>
            <w:vAlign w:val="top"/>
          </w:tcPr>
          <w:p w14:paraId="6290D2B4">
            <w:pPr>
              <w:rPr>
                <w:rFonts w:ascii="Arial"/>
                <w:sz w:val="21"/>
              </w:rPr>
            </w:pPr>
          </w:p>
        </w:tc>
        <w:tc>
          <w:tcPr>
            <w:tcW w:w="3218" w:type="dxa"/>
            <w:vMerge w:val="continue"/>
            <w:tcBorders>
              <w:top w:val="nil"/>
              <w:left w:val="single" w:color="000000" w:sz="2" w:space="0"/>
              <w:bottom w:val="nil"/>
              <w:right w:val="single" w:color="000000" w:sz="2" w:space="0"/>
            </w:tcBorders>
            <w:vAlign w:val="top"/>
          </w:tcPr>
          <w:p w14:paraId="66D94978">
            <w:pPr>
              <w:rPr>
                <w:rFonts w:ascii="Arial"/>
                <w:sz w:val="21"/>
              </w:rPr>
            </w:pPr>
          </w:p>
        </w:tc>
        <w:tc>
          <w:tcPr>
            <w:tcW w:w="119" w:type="dxa"/>
            <w:vMerge w:val="continue"/>
            <w:tcBorders>
              <w:top w:val="nil"/>
              <w:left w:val="single" w:color="000000" w:sz="2" w:space="0"/>
              <w:bottom w:val="nil"/>
              <w:right w:val="single" w:color="000000" w:sz="2" w:space="0"/>
            </w:tcBorders>
            <w:vAlign w:val="top"/>
          </w:tcPr>
          <w:p w14:paraId="2F774731">
            <w:pPr>
              <w:rPr>
                <w:rFonts w:ascii="Arial"/>
                <w:sz w:val="21"/>
              </w:rPr>
            </w:pPr>
          </w:p>
        </w:tc>
        <w:tc>
          <w:tcPr>
            <w:tcW w:w="614" w:type="dxa"/>
            <w:tcBorders>
              <w:left w:val="single" w:color="000000" w:sz="2" w:space="0"/>
            </w:tcBorders>
            <w:vAlign w:val="top"/>
          </w:tcPr>
          <w:p w14:paraId="68226A4E">
            <w:pPr>
              <w:pStyle w:val="6"/>
              <w:spacing w:before="139" w:line="241" w:lineRule="auto"/>
              <w:ind w:left="223" w:right="30" w:hanging="176"/>
              <w:rPr>
                <w:sz w:val="18"/>
                <w:szCs w:val="18"/>
              </w:rPr>
            </w:pPr>
            <w:r>
              <w:rPr>
                <w:spacing w:val="-4"/>
                <w:sz w:val="18"/>
                <w:szCs w:val="18"/>
              </w:rPr>
              <w:t>高速公</w:t>
            </w:r>
            <w:r>
              <w:rPr>
                <w:sz w:val="18"/>
                <w:szCs w:val="18"/>
              </w:rPr>
              <w:t>路</w:t>
            </w:r>
          </w:p>
        </w:tc>
        <w:tc>
          <w:tcPr>
            <w:tcW w:w="627" w:type="dxa"/>
            <w:vAlign w:val="top"/>
          </w:tcPr>
          <w:p w14:paraId="170762CE">
            <w:pPr>
              <w:pStyle w:val="6"/>
              <w:spacing w:before="256" w:line="236" w:lineRule="auto"/>
              <w:ind w:left="84"/>
              <w:rPr>
                <w:rFonts w:ascii="Times New Roman" w:hAnsi="Times New Roman" w:eastAsia="Times New Roman" w:cs="Times New Roman"/>
                <w:sz w:val="18"/>
                <w:szCs w:val="18"/>
              </w:rPr>
            </w:pPr>
            <w:r>
              <w:rPr>
                <w:spacing w:val="-6"/>
                <w:sz w:val="18"/>
                <w:szCs w:val="18"/>
              </w:rPr>
              <w:t>≥</w:t>
            </w:r>
            <w:r>
              <w:rPr>
                <w:rFonts w:ascii="Times New Roman" w:hAnsi="Times New Roman" w:eastAsia="Times New Roman" w:cs="Times New Roman"/>
                <w:spacing w:val="-6"/>
                <w:sz w:val="18"/>
                <w:szCs w:val="18"/>
              </w:rPr>
              <w:t>30m</w:t>
            </w:r>
          </w:p>
        </w:tc>
        <w:tc>
          <w:tcPr>
            <w:tcW w:w="1283" w:type="dxa"/>
            <w:vAlign w:val="top"/>
          </w:tcPr>
          <w:p w14:paraId="0458F304">
            <w:pPr>
              <w:pStyle w:val="6"/>
              <w:spacing w:before="36" w:line="219" w:lineRule="auto"/>
              <w:ind w:left="18"/>
              <w:rPr>
                <w:sz w:val="18"/>
                <w:szCs w:val="18"/>
              </w:rPr>
            </w:pPr>
            <w:r>
              <w:rPr>
                <w:spacing w:val="-2"/>
                <w:sz w:val="18"/>
                <w:szCs w:val="18"/>
              </w:rPr>
              <w:t>线路塔基与滇中</w:t>
            </w:r>
          </w:p>
          <w:p w14:paraId="23B8BC99">
            <w:pPr>
              <w:pStyle w:val="6"/>
              <w:spacing w:before="21" w:line="219" w:lineRule="auto"/>
              <w:ind w:left="15"/>
              <w:rPr>
                <w:sz w:val="18"/>
                <w:szCs w:val="18"/>
              </w:rPr>
            </w:pPr>
            <w:r>
              <w:rPr>
                <w:spacing w:val="-2"/>
                <w:sz w:val="18"/>
                <w:szCs w:val="18"/>
              </w:rPr>
              <w:t>环线高速距离≥</w:t>
            </w:r>
          </w:p>
          <w:p w14:paraId="0C959CF1">
            <w:pPr>
              <w:spacing w:before="35" w:line="158" w:lineRule="auto"/>
              <w:ind w:left="487"/>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63m</w:t>
            </w:r>
          </w:p>
        </w:tc>
        <w:tc>
          <w:tcPr>
            <w:tcW w:w="426" w:type="dxa"/>
            <w:vAlign w:val="top"/>
          </w:tcPr>
          <w:p w14:paraId="060AF4C6">
            <w:pPr>
              <w:pStyle w:val="6"/>
              <w:spacing w:before="257" w:line="219" w:lineRule="auto"/>
              <w:ind w:left="40"/>
              <w:rPr>
                <w:sz w:val="18"/>
                <w:szCs w:val="18"/>
              </w:rPr>
            </w:pPr>
            <w:r>
              <w:rPr>
                <w:spacing w:val="-4"/>
                <w:sz w:val="18"/>
                <w:szCs w:val="18"/>
              </w:rPr>
              <w:t>满足</w:t>
            </w:r>
          </w:p>
        </w:tc>
        <w:tc>
          <w:tcPr>
            <w:tcW w:w="120" w:type="dxa"/>
            <w:tcBorders>
              <w:top w:val="nil"/>
              <w:bottom w:val="nil"/>
              <w:right w:val="single" w:color="000000" w:sz="2" w:space="0"/>
            </w:tcBorders>
            <w:vAlign w:val="top"/>
          </w:tcPr>
          <w:p w14:paraId="5856AEA5">
            <w:pPr>
              <w:rPr>
                <w:rFonts w:ascii="Arial"/>
                <w:sz w:val="21"/>
              </w:rPr>
            </w:pPr>
          </w:p>
        </w:tc>
        <w:tc>
          <w:tcPr>
            <w:tcW w:w="426" w:type="dxa"/>
            <w:vMerge w:val="continue"/>
            <w:tcBorders>
              <w:top w:val="nil"/>
              <w:left w:val="single" w:color="000000" w:sz="2" w:space="0"/>
              <w:bottom w:val="nil"/>
              <w:right w:val="single" w:color="000000" w:sz="2" w:space="0"/>
            </w:tcBorders>
            <w:textDirection w:val="tbRlV"/>
            <w:vAlign w:val="top"/>
          </w:tcPr>
          <w:p w14:paraId="73F05425">
            <w:pPr>
              <w:rPr>
                <w:rFonts w:ascii="Arial"/>
                <w:sz w:val="21"/>
              </w:rPr>
            </w:pPr>
          </w:p>
        </w:tc>
        <w:tc>
          <w:tcPr>
            <w:tcW w:w="146" w:type="dxa"/>
            <w:tcBorders>
              <w:top w:val="nil"/>
              <w:left w:val="single" w:color="000000" w:sz="2" w:space="0"/>
              <w:bottom w:val="nil"/>
              <w:right w:val="single" w:color="000000" w:sz="6" w:space="0"/>
            </w:tcBorders>
            <w:vAlign w:val="top"/>
          </w:tcPr>
          <w:p w14:paraId="4920D260">
            <w:pPr>
              <w:rPr>
                <w:rFonts w:ascii="Arial"/>
                <w:sz w:val="21"/>
              </w:rPr>
            </w:pPr>
          </w:p>
        </w:tc>
      </w:tr>
      <w:tr w14:paraId="27D7F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8" w:hRule="atLeast"/>
        </w:trPr>
        <w:tc>
          <w:tcPr>
            <w:tcW w:w="411" w:type="dxa"/>
            <w:vMerge w:val="continue"/>
            <w:tcBorders>
              <w:top w:val="nil"/>
              <w:left w:val="single" w:color="000000" w:sz="6" w:space="0"/>
              <w:bottom w:val="nil"/>
              <w:right w:val="single" w:color="000000" w:sz="2" w:space="0"/>
            </w:tcBorders>
            <w:vAlign w:val="top"/>
          </w:tcPr>
          <w:p w14:paraId="0552BF12">
            <w:pPr>
              <w:rPr>
                <w:rFonts w:ascii="Arial"/>
                <w:sz w:val="21"/>
              </w:rPr>
            </w:pPr>
          </w:p>
        </w:tc>
        <w:tc>
          <w:tcPr>
            <w:tcW w:w="137" w:type="dxa"/>
            <w:vMerge w:val="continue"/>
            <w:tcBorders>
              <w:top w:val="nil"/>
              <w:left w:val="single" w:color="000000" w:sz="2" w:space="0"/>
              <w:bottom w:val="nil"/>
              <w:right w:val="single" w:color="000000" w:sz="2" w:space="0"/>
            </w:tcBorders>
            <w:vAlign w:val="top"/>
          </w:tcPr>
          <w:p w14:paraId="32DB080A">
            <w:pPr>
              <w:rPr>
                <w:rFonts w:ascii="Arial"/>
                <w:sz w:val="21"/>
              </w:rPr>
            </w:pPr>
          </w:p>
        </w:tc>
        <w:tc>
          <w:tcPr>
            <w:tcW w:w="607" w:type="dxa"/>
            <w:vMerge w:val="continue"/>
            <w:tcBorders>
              <w:top w:val="nil"/>
              <w:left w:val="single" w:color="000000" w:sz="2" w:space="0"/>
              <w:bottom w:val="nil"/>
              <w:right w:val="single" w:color="000000" w:sz="2" w:space="0"/>
            </w:tcBorders>
            <w:vAlign w:val="top"/>
          </w:tcPr>
          <w:p w14:paraId="53B419C4">
            <w:pPr>
              <w:rPr>
                <w:rFonts w:ascii="Arial"/>
                <w:sz w:val="21"/>
              </w:rPr>
            </w:pPr>
          </w:p>
        </w:tc>
        <w:tc>
          <w:tcPr>
            <w:tcW w:w="3218" w:type="dxa"/>
            <w:vMerge w:val="continue"/>
            <w:tcBorders>
              <w:top w:val="nil"/>
              <w:left w:val="single" w:color="000000" w:sz="2" w:space="0"/>
              <w:bottom w:val="nil"/>
              <w:right w:val="single" w:color="000000" w:sz="2" w:space="0"/>
            </w:tcBorders>
            <w:vAlign w:val="top"/>
          </w:tcPr>
          <w:p w14:paraId="77CF6056">
            <w:pPr>
              <w:rPr>
                <w:rFonts w:ascii="Arial"/>
                <w:sz w:val="21"/>
              </w:rPr>
            </w:pPr>
          </w:p>
        </w:tc>
        <w:tc>
          <w:tcPr>
            <w:tcW w:w="119" w:type="dxa"/>
            <w:vMerge w:val="continue"/>
            <w:tcBorders>
              <w:top w:val="nil"/>
              <w:left w:val="single" w:color="000000" w:sz="2" w:space="0"/>
              <w:bottom w:val="nil"/>
              <w:right w:val="single" w:color="000000" w:sz="2" w:space="0"/>
            </w:tcBorders>
            <w:vAlign w:val="top"/>
          </w:tcPr>
          <w:p w14:paraId="4EB48EC6">
            <w:pPr>
              <w:rPr>
                <w:rFonts w:ascii="Arial"/>
                <w:sz w:val="21"/>
              </w:rPr>
            </w:pPr>
          </w:p>
        </w:tc>
        <w:tc>
          <w:tcPr>
            <w:tcW w:w="614" w:type="dxa"/>
            <w:tcBorders>
              <w:left w:val="single" w:color="000000" w:sz="2" w:space="0"/>
            </w:tcBorders>
            <w:vAlign w:val="top"/>
          </w:tcPr>
          <w:p w14:paraId="256BB0A3">
            <w:pPr>
              <w:pStyle w:val="6"/>
              <w:spacing w:before="283" w:line="222" w:lineRule="auto"/>
              <w:ind w:left="149"/>
              <w:rPr>
                <w:sz w:val="18"/>
                <w:szCs w:val="18"/>
              </w:rPr>
            </w:pPr>
            <w:r>
              <w:rPr>
                <w:spacing w:val="-13"/>
                <w:sz w:val="18"/>
                <w:szCs w:val="18"/>
              </w:rPr>
              <w:t>国道</w:t>
            </w:r>
          </w:p>
        </w:tc>
        <w:tc>
          <w:tcPr>
            <w:tcW w:w="627" w:type="dxa"/>
            <w:vAlign w:val="top"/>
          </w:tcPr>
          <w:p w14:paraId="1A32349A">
            <w:pPr>
              <w:pStyle w:val="6"/>
              <w:spacing w:before="283" w:line="236" w:lineRule="auto"/>
              <w:ind w:left="84"/>
              <w:rPr>
                <w:rFonts w:ascii="Times New Roman" w:hAnsi="Times New Roman" w:eastAsia="Times New Roman" w:cs="Times New Roman"/>
                <w:sz w:val="18"/>
                <w:szCs w:val="18"/>
              </w:rPr>
            </w:pPr>
            <w:r>
              <w:rPr>
                <w:spacing w:val="-6"/>
                <w:sz w:val="18"/>
                <w:szCs w:val="18"/>
              </w:rPr>
              <w:t>≥</w:t>
            </w:r>
            <w:r>
              <w:rPr>
                <w:rFonts w:ascii="Times New Roman" w:hAnsi="Times New Roman" w:eastAsia="Times New Roman" w:cs="Times New Roman"/>
                <w:spacing w:val="-6"/>
                <w:sz w:val="18"/>
                <w:szCs w:val="18"/>
              </w:rPr>
              <w:t>20m</w:t>
            </w:r>
          </w:p>
        </w:tc>
        <w:tc>
          <w:tcPr>
            <w:tcW w:w="1283" w:type="dxa"/>
            <w:vAlign w:val="top"/>
          </w:tcPr>
          <w:p w14:paraId="405C115B">
            <w:pPr>
              <w:pStyle w:val="6"/>
              <w:spacing w:before="50" w:line="219" w:lineRule="auto"/>
              <w:ind w:left="18"/>
              <w:rPr>
                <w:sz w:val="18"/>
                <w:szCs w:val="18"/>
              </w:rPr>
            </w:pPr>
            <w:r>
              <w:rPr>
                <w:spacing w:val="-2"/>
                <w:sz w:val="18"/>
                <w:szCs w:val="18"/>
              </w:rPr>
              <w:t>线路塔基与兰马</w:t>
            </w:r>
          </w:p>
          <w:p w14:paraId="104EFC16">
            <w:pPr>
              <w:pStyle w:val="6"/>
              <w:spacing w:before="19" w:line="220" w:lineRule="auto"/>
              <w:jc w:val="right"/>
              <w:rPr>
                <w:sz w:val="18"/>
                <w:szCs w:val="18"/>
              </w:rPr>
            </w:pPr>
            <w:r>
              <w:rPr>
                <w:spacing w:val="-4"/>
                <w:sz w:val="18"/>
                <w:szCs w:val="18"/>
              </w:rPr>
              <w:t>线（</w:t>
            </w:r>
            <w:r>
              <w:rPr>
                <w:rFonts w:ascii="Times New Roman" w:hAnsi="Times New Roman" w:eastAsia="Times New Roman" w:cs="Times New Roman"/>
                <w:spacing w:val="-4"/>
                <w:sz w:val="18"/>
                <w:szCs w:val="18"/>
              </w:rPr>
              <w:t>G320</w:t>
            </w:r>
            <w:r>
              <w:rPr>
                <w:spacing w:val="-4"/>
                <w:sz w:val="18"/>
                <w:szCs w:val="18"/>
              </w:rPr>
              <w:t>国道）</w:t>
            </w:r>
          </w:p>
          <w:p w14:paraId="6BC33F8F">
            <w:pPr>
              <w:pStyle w:val="6"/>
              <w:spacing w:before="17" w:line="187" w:lineRule="auto"/>
              <w:ind w:left="216"/>
              <w:rPr>
                <w:rFonts w:ascii="Times New Roman" w:hAnsi="Times New Roman" w:eastAsia="Times New Roman" w:cs="Times New Roman"/>
                <w:sz w:val="18"/>
                <w:szCs w:val="18"/>
              </w:rPr>
            </w:pPr>
            <w:r>
              <w:rPr>
                <w:spacing w:val="-1"/>
                <w:sz w:val="18"/>
                <w:szCs w:val="18"/>
              </w:rPr>
              <w:t>距离≥</w:t>
            </w:r>
            <w:r>
              <w:rPr>
                <w:rFonts w:ascii="Times New Roman" w:hAnsi="Times New Roman" w:eastAsia="Times New Roman" w:cs="Times New Roman"/>
                <w:spacing w:val="-1"/>
                <w:sz w:val="18"/>
                <w:szCs w:val="18"/>
              </w:rPr>
              <w:t>65m</w:t>
            </w:r>
          </w:p>
        </w:tc>
        <w:tc>
          <w:tcPr>
            <w:tcW w:w="426" w:type="dxa"/>
            <w:vAlign w:val="top"/>
          </w:tcPr>
          <w:p w14:paraId="274AE2AA">
            <w:pPr>
              <w:pStyle w:val="6"/>
              <w:spacing w:before="283" w:line="219" w:lineRule="auto"/>
              <w:ind w:left="40"/>
              <w:rPr>
                <w:sz w:val="18"/>
                <w:szCs w:val="18"/>
              </w:rPr>
            </w:pPr>
            <w:r>
              <w:rPr>
                <w:spacing w:val="-4"/>
                <w:sz w:val="18"/>
                <w:szCs w:val="18"/>
              </w:rPr>
              <w:t>满足</w:t>
            </w:r>
          </w:p>
        </w:tc>
        <w:tc>
          <w:tcPr>
            <w:tcW w:w="120" w:type="dxa"/>
            <w:tcBorders>
              <w:top w:val="nil"/>
              <w:bottom w:val="nil"/>
              <w:right w:val="single" w:color="000000" w:sz="2" w:space="0"/>
            </w:tcBorders>
            <w:vAlign w:val="top"/>
          </w:tcPr>
          <w:p w14:paraId="0335B26B">
            <w:pPr>
              <w:rPr>
                <w:rFonts w:ascii="Arial"/>
                <w:sz w:val="21"/>
              </w:rPr>
            </w:pPr>
          </w:p>
        </w:tc>
        <w:tc>
          <w:tcPr>
            <w:tcW w:w="426" w:type="dxa"/>
            <w:vMerge w:val="continue"/>
            <w:tcBorders>
              <w:top w:val="nil"/>
              <w:left w:val="single" w:color="000000" w:sz="2" w:space="0"/>
              <w:bottom w:val="nil"/>
              <w:right w:val="single" w:color="000000" w:sz="2" w:space="0"/>
            </w:tcBorders>
            <w:textDirection w:val="tbRlV"/>
            <w:vAlign w:val="top"/>
          </w:tcPr>
          <w:p w14:paraId="5036FC7D">
            <w:pPr>
              <w:rPr>
                <w:rFonts w:ascii="Arial"/>
                <w:sz w:val="21"/>
              </w:rPr>
            </w:pPr>
          </w:p>
        </w:tc>
        <w:tc>
          <w:tcPr>
            <w:tcW w:w="146" w:type="dxa"/>
            <w:tcBorders>
              <w:top w:val="nil"/>
              <w:left w:val="single" w:color="000000" w:sz="2" w:space="0"/>
              <w:bottom w:val="nil"/>
              <w:right w:val="single" w:color="000000" w:sz="6" w:space="0"/>
            </w:tcBorders>
            <w:vAlign w:val="top"/>
          </w:tcPr>
          <w:p w14:paraId="4904ED1C">
            <w:pPr>
              <w:rPr>
                <w:rFonts w:ascii="Arial"/>
                <w:sz w:val="21"/>
              </w:rPr>
            </w:pPr>
          </w:p>
        </w:tc>
      </w:tr>
      <w:tr w14:paraId="11F40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411" w:type="dxa"/>
            <w:vMerge w:val="continue"/>
            <w:tcBorders>
              <w:top w:val="nil"/>
              <w:left w:val="single" w:color="000000" w:sz="6" w:space="0"/>
              <w:bottom w:val="nil"/>
              <w:right w:val="single" w:color="000000" w:sz="2" w:space="0"/>
            </w:tcBorders>
            <w:vAlign w:val="top"/>
          </w:tcPr>
          <w:p w14:paraId="6B3E4C0C">
            <w:pPr>
              <w:rPr>
                <w:rFonts w:ascii="Arial"/>
                <w:sz w:val="21"/>
              </w:rPr>
            </w:pPr>
          </w:p>
        </w:tc>
        <w:tc>
          <w:tcPr>
            <w:tcW w:w="137" w:type="dxa"/>
            <w:vMerge w:val="continue"/>
            <w:tcBorders>
              <w:top w:val="nil"/>
              <w:left w:val="single" w:color="000000" w:sz="2" w:space="0"/>
              <w:bottom w:val="nil"/>
              <w:right w:val="single" w:color="000000" w:sz="2" w:space="0"/>
            </w:tcBorders>
            <w:vAlign w:val="top"/>
          </w:tcPr>
          <w:p w14:paraId="3D83D205">
            <w:pPr>
              <w:rPr>
                <w:rFonts w:ascii="Arial"/>
                <w:sz w:val="21"/>
              </w:rPr>
            </w:pPr>
          </w:p>
        </w:tc>
        <w:tc>
          <w:tcPr>
            <w:tcW w:w="607" w:type="dxa"/>
            <w:vMerge w:val="continue"/>
            <w:tcBorders>
              <w:top w:val="nil"/>
              <w:left w:val="single" w:color="000000" w:sz="2" w:space="0"/>
              <w:bottom w:val="nil"/>
              <w:right w:val="single" w:color="000000" w:sz="2" w:space="0"/>
            </w:tcBorders>
            <w:vAlign w:val="top"/>
          </w:tcPr>
          <w:p w14:paraId="1D91C000">
            <w:pPr>
              <w:rPr>
                <w:rFonts w:ascii="Arial"/>
                <w:sz w:val="21"/>
              </w:rPr>
            </w:pPr>
          </w:p>
        </w:tc>
        <w:tc>
          <w:tcPr>
            <w:tcW w:w="3218" w:type="dxa"/>
            <w:vMerge w:val="continue"/>
            <w:tcBorders>
              <w:top w:val="nil"/>
              <w:left w:val="single" w:color="000000" w:sz="2" w:space="0"/>
              <w:bottom w:val="nil"/>
              <w:right w:val="single" w:color="000000" w:sz="2" w:space="0"/>
            </w:tcBorders>
            <w:vAlign w:val="top"/>
          </w:tcPr>
          <w:p w14:paraId="1A016653">
            <w:pPr>
              <w:rPr>
                <w:rFonts w:ascii="Arial"/>
                <w:sz w:val="21"/>
              </w:rPr>
            </w:pPr>
          </w:p>
        </w:tc>
        <w:tc>
          <w:tcPr>
            <w:tcW w:w="119" w:type="dxa"/>
            <w:vMerge w:val="continue"/>
            <w:tcBorders>
              <w:top w:val="nil"/>
              <w:left w:val="single" w:color="000000" w:sz="2" w:space="0"/>
              <w:bottom w:val="nil"/>
              <w:right w:val="single" w:color="000000" w:sz="2" w:space="0"/>
            </w:tcBorders>
            <w:vAlign w:val="top"/>
          </w:tcPr>
          <w:p w14:paraId="27746EB6">
            <w:pPr>
              <w:rPr>
                <w:rFonts w:ascii="Arial"/>
                <w:sz w:val="21"/>
              </w:rPr>
            </w:pPr>
          </w:p>
        </w:tc>
        <w:tc>
          <w:tcPr>
            <w:tcW w:w="614" w:type="dxa"/>
            <w:tcBorders>
              <w:left w:val="single" w:color="000000" w:sz="2" w:space="0"/>
            </w:tcBorders>
            <w:vAlign w:val="top"/>
          </w:tcPr>
          <w:p w14:paraId="54F555D2">
            <w:pPr>
              <w:pStyle w:val="6"/>
              <w:spacing w:before="127" w:line="219" w:lineRule="auto"/>
              <w:ind w:left="134"/>
              <w:rPr>
                <w:sz w:val="18"/>
                <w:szCs w:val="18"/>
              </w:rPr>
            </w:pPr>
            <w:r>
              <w:rPr>
                <w:spacing w:val="-5"/>
                <w:sz w:val="18"/>
                <w:szCs w:val="18"/>
              </w:rPr>
              <w:t>省道</w:t>
            </w:r>
          </w:p>
        </w:tc>
        <w:tc>
          <w:tcPr>
            <w:tcW w:w="627" w:type="dxa"/>
            <w:vAlign w:val="top"/>
          </w:tcPr>
          <w:p w14:paraId="7C2E0C5F">
            <w:pPr>
              <w:pStyle w:val="6"/>
              <w:spacing w:before="126" w:line="236" w:lineRule="auto"/>
              <w:ind w:left="84"/>
              <w:rPr>
                <w:rFonts w:ascii="Times New Roman" w:hAnsi="Times New Roman" w:eastAsia="Times New Roman" w:cs="Times New Roman"/>
                <w:sz w:val="18"/>
                <w:szCs w:val="18"/>
              </w:rPr>
            </w:pPr>
            <w:r>
              <w:rPr>
                <w:spacing w:val="-6"/>
                <w:sz w:val="18"/>
                <w:szCs w:val="18"/>
              </w:rPr>
              <w:t>≥</w:t>
            </w:r>
            <w:r>
              <w:rPr>
                <w:rFonts w:ascii="Times New Roman" w:hAnsi="Times New Roman" w:eastAsia="Times New Roman" w:cs="Times New Roman"/>
                <w:spacing w:val="-6"/>
                <w:sz w:val="18"/>
                <w:szCs w:val="18"/>
              </w:rPr>
              <w:t>15m</w:t>
            </w:r>
          </w:p>
        </w:tc>
        <w:tc>
          <w:tcPr>
            <w:tcW w:w="1283" w:type="dxa"/>
            <w:vAlign w:val="top"/>
          </w:tcPr>
          <w:p w14:paraId="2B7270A9">
            <w:pPr>
              <w:pStyle w:val="6"/>
              <w:spacing w:before="126" w:line="221" w:lineRule="auto"/>
              <w:ind w:left="378"/>
              <w:rPr>
                <w:sz w:val="18"/>
                <w:szCs w:val="18"/>
              </w:rPr>
            </w:pPr>
            <w:r>
              <w:rPr>
                <w:spacing w:val="-4"/>
                <w:sz w:val="18"/>
                <w:szCs w:val="18"/>
              </w:rPr>
              <w:t>不涉及</w:t>
            </w:r>
          </w:p>
        </w:tc>
        <w:tc>
          <w:tcPr>
            <w:tcW w:w="426" w:type="dxa"/>
            <w:vAlign w:val="top"/>
          </w:tcPr>
          <w:p w14:paraId="05DBEC56">
            <w:pPr>
              <w:spacing w:before="154" w:line="192" w:lineRule="auto"/>
              <w:ind w:left="187"/>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c>
          <w:tcPr>
            <w:tcW w:w="120" w:type="dxa"/>
            <w:tcBorders>
              <w:top w:val="nil"/>
              <w:bottom w:val="nil"/>
              <w:right w:val="single" w:color="000000" w:sz="2" w:space="0"/>
            </w:tcBorders>
            <w:vAlign w:val="top"/>
          </w:tcPr>
          <w:p w14:paraId="69F8A988">
            <w:pPr>
              <w:rPr>
                <w:rFonts w:ascii="Arial"/>
                <w:sz w:val="21"/>
              </w:rPr>
            </w:pPr>
          </w:p>
        </w:tc>
        <w:tc>
          <w:tcPr>
            <w:tcW w:w="426" w:type="dxa"/>
            <w:vMerge w:val="continue"/>
            <w:tcBorders>
              <w:top w:val="nil"/>
              <w:left w:val="single" w:color="000000" w:sz="2" w:space="0"/>
              <w:bottom w:val="nil"/>
              <w:right w:val="single" w:color="000000" w:sz="2" w:space="0"/>
            </w:tcBorders>
            <w:textDirection w:val="tbRlV"/>
            <w:vAlign w:val="top"/>
          </w:tcPr>
          <w:p w14:paraId="205A8DCA">
            <w:pPr>
              <w:rPr>
                <w:rFonts w:ascii="Arial"/>
                <w:sz w:val="21"/>
              </w:rPr>
            </w:pPr>
          </w:p>
        </w:tc>
        <w:tc>
          <w:tcPr>
            <w:tcW w:w="146" w:type="dxa"/>
            <w:tcBorders>
              <w:top w:val="nil"/>
              <w:left w:val="single" w:color="000000" w:sz="2" w:space="0"/>
              <w:bottom w:val="nil"/>
              <w:right w:val="single" w:color="000000" w:sz="6" w:space="0"/>
            </w:tcBorders>
            <w:vAlign w:val="top"/>
          </w:tcPr>
          <w:p w14:paraId="607331DD">
            <w:pPr>
              <w:rPr>
                <w:rFonts w:ascii="Arial"/>
                <w:sz w:val="21"/>
              </w:rPr>
            </w:pPr>
          </w:p>
        </w:tc>
      </w:tr>
      <w:tr w14:paraId="09847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411" w:type="dxa"/>
            <w:vMerge w:val="continue"/>
            <w:tcBorders>
              <w:top w:val="nil"/>
              <w:left w:val="single" w:color="000000" w:sz="6" w:space="0"/>
              <w:bottom w:val="nil"/>
              <w:right w:val="single" w:color="000000" w:sz="2" w:space="0"/>
            </w:tcBorders>
            <w:vAlign w:val="top"/>
          </w:tcPr>
          <w:p w14:paraId="57619581">
            <w:pPr>
              <w:rPr>
                <w:rFonts w:ascii="Arial"/>
                <w:sz w:val="21"/>
              </w:rPr>
            </w:pPr>
          </w:p>
        </w:tc>
        <w:tc>
          <w:tcPr>
            <w:tcW w:w="137" w:type="dxa"/>
            <w:vMerge w:val="continue"/>
            <w:tcBorders>
              <w:top w:val="nil"/>
              <w:left w:val="single" w:color="000000" w:sz="2" w:space="0"/>
              <w:bottom w:val="nil"/>
              <w:right w:val="single" w:color="000000" w:sz="2" w:space="0"/>
            </w:tcBorders>
            <w:vAlign w:val="top"/>
          </w:tcPr>
          <w:p w14:paraId="4E5DF031">
            <w:pPr>
              <w:rPr>
                <w:rFonts w:ascii="Arial"/>
                <w:sz w:val="21"/>
              </w:rPr>
            </w:pPr>
          </w:p>
        </w:tc>
        <w:tc>
          <w:tcPr>
            <w:tcW w:w="607" w:type="dxa"/>
            <w:vMerge w:val="continue"/>
            <w:tcBorders>
              <w:top w:val="nil"/>
              <w:left w:val="single" w:color="000000" w:sz="2" w:space="0"/>
              <w:bottom w:val="nil"/>
              <w:right w:val="single" w:color="000000" w:sz="2" w:space="0"/>
            </w:tcBorders>
            <w:vAlign w:val="top"/>
          </w:tcPr>
          <w:p w14:paraId="21CD137B">
            <w:pPr>
              <w:rPr>
                <w:rFonts w:ascii="Arial"/>
                <w:sz w:val="21"/>
              </w:rPr>
            </w:pPr>
          </w:p>
        </w:tc>
        <w:tc>
          <w:tcPr>
            <w:tcW w:w="3218" w:type="dxa"/>
            <w:vMerge w:val="continue"/>
            <w:tcBorders>
              <w:top w:val="nil"/>
              <w:left w:val="single" w:color="000000" w:sz="2" w:space="0"/>
              <w:bottom w:val="nil"/>
              <w:right w:val="single" w:color="000000" w:sz="2" w:space="0"/>
            </w:tcBorders>
            <w:vAlign w:val="top"/>
          </w:tcPr>
          <w:p w14:paraId="4AF5ED99">
            <w:pPr>
              <w:rPr>
                <w:rFonts w:ascii="Arial"/>
                <w:sz w:val="21"/>
              </w:rPr>
            </w:pPr>
          </w:p>
        </w:tc>
        <w:tc>
          <w:tcPr>
            <w:tcW w:w="119" w:type="dxa"/>
            <w:vMerge w:val="continue"/>
            <w:tcBorders>
              <w:top w:val="nil"/>
              <w:left w:val="single" w:color="000000" w:sz="2" w:space="0"/>
              <w:bottom w:val="nil"/>
              <w:right w:val="single" w:color="000000" w:sz="2" w:space="0"/>
            </w:tcBorders>
            <w:vAlign w:val="top"/>
          </w:tcPr>
          <w:p w14:paraId="6743166B">
            <w:pPr>
              <w:rPr>
                <w:rFonts w:ascii="Arial"/>
                <w:sz w:val="21"/>
              </w:rPr>
            </w:pPr>
          </w:p>
        </w:tc>
        <w:tc>
          <w:tcPr>
            <w:tcW w:w="614" w:type="dxa"/>
            <w:tcBorders>
              <w:left w:val="single" w:color="000000" w:sz="2" w:space="0"/>
            </w:tcBorders>
            <w:vAlign w:val="top"/>
          </w:tcPr>
          <w:p w14:paraId="7932524A">
            <w:pPr>
              <w:pStyle w:val="6"/>
              <w:spacing w:before="126" w:line="224" w:lineRule="auto"/>
              <w:ind w:left="132"/>
              <w:rPr>
                <w:sz w:val="18"/>
                <w:szCs w:val="18"/>
              </w:rPr>
            </w:pPr>
            <w:r>
              <w:rPr>
                <w:spacing w:val="-4"/>
                <w:sz w:val="18"/>
                <w:szCs w:val="18"/>
              </w:rPr>
              <w:t>县道</w:t>
            </w:r>
          </w:p>
        </w:tc>
        <w:tc>
          <w:tcPr>
            <w:tcW w:w="627" w:type="dxa"/>
            <w:vAlign w:val="top"/>
          </w:tcPr>
          <w:p w14:paraId="4A6664E9">
            <w:pPr>
              <w:pStyle w:val="6"/>
              <w:spacing w:before="126" w:line="236" w:lineRule="auto"/>
              <w:ind w:left="130"/>
              <w:rPr>
                <w:rFonts w:ascii="Times New Roman" w:hAnsi="Times New Roman" w:eastAsia="Times New Roman" w:cs="Times New Roman"/>
                <w:sz w:val="18"/>
                <w:szCs w:val="18"/>
              </w:rPr>
            </w:pPr>
            <w:r>
              <w:rPr>
                <w:spacing w:val="-8"/>
                <w:sz w:val="18"/>
                <w:szCs w:val="18"/>
              </w:rPr>
              <w:t>≥</w:t>
            </w:r>
            <w:r>
              <w:rPr>
                <w:rFonts w:ascii="Times New Roman" w:hAnsi="Times New Roman" w:eastAsia="Times New Roman" w:cs="Times New Roman"/>
                <w:spacing w:val="-8"/>
                <w:sz w:val="18"/>
                <w:szCs w:val="18"/>
              </w:rPr>
              <w:t>5m</w:t>
            </w:r>
          </w:p>
        </w:tc>
        <w:tc>
          <w:tcPr>
            <w:tcW w:w="1283" w:type="dxa"/>
            <w:vAlign w:val="top"/>
          </w:tcPr>
          <w:p w14:paraId="3DA4CBBC">
            <w:pPr>
              <w:pStyle w:val="6"/>
              <w:spacing w:before="126" w:line="221" w:lineRule="auto"/>
              <w:ind w:left="378"/>
              <w:rPr>
                <w:sz w:val="18"/>
                <w:szCs w:val="18"/>
              </w:rPr>
            </w:pPr>
            <w:r>
              <w:rPr>
                <w:spacing w:val="-4"/>
                <w:sz w:val="18"/>
                <w:szCs w:val="18"/>
              </w:rPr>
              <w:t>不涉及</w:t>
            </w:r>
          </w:p>
        </w:tc>
        <w:tc>
          <w:tcPr>
            <w:tcW w:w="426" w:type="dxa"/>
            <w:vAlign w:val="top"/>
          </w:tcPr>
          <w:p w14:paraId="00730F8A">
            <w:pPr>
              <w:spacing w:before="154" w:line="192" w:lineRule="auto"/>
              <w:ind w:left="187"/>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c>
          <w:tcPr>
            <w:tcW w:w="120" w:type="dxa"/>
            <w:tcBorders>
              <w:top w:val="nil"/>
              <w:bottom w:val="nil"/>
              <w:right w:val="single" w:color="000000" w:sz="2" w:space="0"/>
            </w:tcBorders>
            <w:vAlign w:val="top"/>
          </w:tcPr>
          <w:p w14:paraId="5C5AB7A1">
            <w:pPr>
              <w:rPr>
                <w:rFonts w:ascii="Arial"/>
                <w:sz w:val="21"/>
              </w:rPr>
            </w:pPr>
          </w:p>
        </w:tc>
        <w:tc>
          <w:tcPr>
            <w:tcW w:w="426" w:type="dxa"/>
            <w:vMerge w:val="continue"/>
            <w:tcBorders>
              <w:top w:val="nil"/>
              <w:left w:val="single" w:color="000000" w:sz="2" w:space="0"/>
              <w:bottom w:val="nil"/>
              <w:right w:val="single" w:color="000000" w:sz="2" w:space="0"/>
            </w:tcBorders>
            <w:textDirection w:val="tbRlV"/>
            <w:vAlign w:val="top"/>
          </w:tcPr>
          <w:p w14:paraId="48B73B6D">
            <w:pPr>
              <w:rPr>
                <w:rFonts w:ascii="Arial"/>
                <w:sz w:val="21"/>
              </w:rPr>
            </w:pPr>
          </w:p>
        </w:tc>
        <w:tc>
          <w:tcPr>
            <w:tcW w:w="146" w:type="dxa"/>
            <w:tcBorders>
              <w:top w:val="nil"/>
              <w:left w:val="single" w:color="000000" w:sz="2" w:space="0"/>
              <w:bottom w:val="nil"/>
              <w:right w:val="single" w:color="000000" w:sz="6" w:space="0"/>
            </w:tcBorders>
            <w:vAlign w:val="top"/>
          </w:tcPr>
          <w:p w14:paraId="0E7EE577">
            <w:pPr>
              <w:rPr>
                <w:rFonts w:ascii="Arial"/>
                <w:sz w:val="21"/>
              </w:rPr>
            </w:pPr>
          </w:p>
        </w:tc>
      </w:tr>
      <w:tr w14:paraId="7F734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2" w:hRule="atLeast"/>
        </w:trPr>
        <w:tc>
          <w:tcPr>
            <w:tcW w:w="411" w:type="dxa"/>
            <w:vMerge w:val="continue"/>
            <w:tcBorders>
              <w:top w:val="nil"/>
              <w:left w:val="single" w:color="000000" w:sz="6" w:space="0"/>
              <w:bottom w:val="nil"/>
              <w:right w:val="single" w:color="000000" w:sz="2" w:space="0"/>
            </w:tcBorders>
            <w:vAlign w:val="top"/>
          </w:tcPr>
          <w:p w14:paraId="273C1B15">
            <w:pPr>
              <w:rPr>
                <w:rFonts w:ascii="Arial"/>
                <w:sz w:val="21"/>
              </w:rPr>
            </w:pPr>
          </w:p>
        </w:tc>
        <w:tc>
          <w:tcPr>
            <w:tcW w:w="137" w:type="dxa"/>
            <w:vMerge w:val="continue"/>
            <w:tcBorders>
              <w:top w:val="nil"/>
              <w:left w:val="single" w:color="000000" w:sz="2" w:space="0"/>
              <w:bottom w:val="nil"/>
              <w:right w:val="single" w:color="000000" w:sz="2" w:space="0"/>
            </w:tcBorders>
            <w:vAlign w:val="top"/>
          </w:tcPr>
          <w:p w14:paraId="579F0B5B">
            <w:pPr>
              <w:rPr>
                <w:rFonts w:ascii="Arial"/>
                <w:sz w:val="21"/>
              </w:rPr>
            </w:pPr>
          </w:p>
        </w:tc>
        <w:tc>
          <w:tcPr>
            <w:tcW w:w="607" w:type="dxa"/>
            <w:vMerge w:val="continue"/>
            <w:tcBorders>
              <w:top w:val="nil"/>
              <w:left w:val="single" w:color="000000" w:sz="2" w:space="0"/>
              <w:bottom w:val="single" w:color="000000" w:sz="2" w:space="0"/>
              <w:right w:val="single" w:color="000000" w:sz="2" w:space="0"/>
            </w:tcBorders>
            <w:vAlign w:val="top"/>
          </w:tcPr>
          <w:p w14:paraId="1D0103B3">
            <w:pPr>
              <w:rPr>
                <w:rFonts w:ascii="Arial"/>
                <w:sz w:val="21"/>
              </w:rPr>
            </w:pPr>
          </w:p>
        </w:tc>
        <w:tc>
          <w:tcPr>
            <w:tcW w:w="3218" w:type="dxa"/>
            <w:vMerge w:val="continue"/>
            <w:tcBorders>
              <w:top w:val="nil"/>
              <w:left w:val="single" w:color="000000" w:sz="2" w:space="0"/>
              <w:bottom w:val="single" w:color="000000" w:sz="2" w:space="0"/>
              <w:right w:val="single" w:color="000000" w:sz="2" w:space="0"/>
            </w:tcBorders>
            <w:vAlign w:val="top"/>
          </w:tcPr>
          <w:p w14:paraId="4BA53346">
            <w:pPr>
              <w:rPr>
                <w:rFonts w:ascii="Arial"/>
                <w:sz w:val="21"/>
              </w:rPr>
            </w:pPr>
          </w:p>
        </w:tc>
        <w:tc>
          <w:tcPr>
            <w:tcW w:w="119" w:type="dxa"/>
            <w:vMerge w:val="continue"/>
            <w:tcBorders>
              <w:top w:val="nil"/>
              <w:left w:val="single" w:color="000000" w:sz="2" w:space="0"/>
              <w:bottom w:val="single" w:color="000000" w:sz="2" w:space="0"/>
              <w:right w:val="single" w:color="000000" w:sz="2" w:space="0"/>
            </w:tcBorders>
            <w:vAlign w:val="top"/>
          </w:tcPr>
          <w:p w14:paraId="1E9699D3">
            <w:pPr>
              <w:rPr>
                <w:rFonts w:ascii="Arial"/>
                <w:sz w:val="21"/>
              </w:rPr>
            </w:pPr>
          </w:p>
        </w:tc>
        <w:tc>
          <w:tcPr>
            <w:tcW w:w="614" w:type="dxa"/>
            <w:tcBorders>
              <w:left w:val="single" w:color="000000" w:sz="2" w:space="0"/>
              <w:bottom w:val="single" w:color="000000" w:sz="2" w:space="0"/>
            </w:tcBorders>
            <w:vAlign w:val="top"/>
          </w:tcPr>
          <w:p w14:paraId="184F1C29">
            <w:pPr>
              <w:pStyle w:val="6"/>
              <w:spacing w:before="278" w:line="219" w:lineRule="auto"/>
              <w:ind w:left="43"/>
              <w:rPr>
                <w:sz w:val="18"/>
                <w:szCs w:val="18"/>
              </w:rPr>
            </w:pPr>
            <w:r>
              <w:rPr>
                <w:spacing w:val="-3"/>
                <w:sz w:val="18"/>
                <w:szCs w:val="18"/>
              </w:rPr>
              <w:t>村道、</w:t>
            </w:r>
          </w:p>
          <w:p w14:paraId="6C2D13D9">
            <w:pPr>
              <w:pStyle w:val="6"/>
              <w:spacing w:before="19" w:line="241" w:lineRule="auto"/>
              <w:ind w:left="223" w:right="30" w:hanging="173"/>
              <w:rPr>
                <w:sz w:val="18"/>
                <w:szCs w:val="18"/>
              </w:rPr>
            </w:pPr>
            <w:r>
              <w:rPr>
                <w:spacing w:val="-5"/>
                <w:sz w:val="18"/>
                <w:szCs w:val="18"/>
              </w:rPr>
              <w:t>乡村道</w:t>
            </w:r>
            <w:r>
              <w:rPr>
                <w:sz w:val="18"/>
                <w:szCs w:val="18"/>
              </w:rPr>
              <w:t>路</w:t>
            </w:r>
          </w:p>
        </w:tc>
        <w:tc>
          <w:tcPr>
            <w:tcW w:w="627" w:type="dxa"/>
            <w:tcBorders>
              <w:bottom w:val="single" w:color="000000" w:sz="2" w:space="0"/>
            </w:tcBorders>
            <w:vAlign w:val="top"/>
          </w:tcPr>
          <w:p w14:paraId="561CAF8E">
            <w:pPr>
              <w:spacing w:line="450" w:lineRule="auto"/>
              <w:rPr>
                <w:rFonts w:ascii="Arial"/>
                <w:sz w:val="21"/>
              </w:rPr>
            </w:pPr>
          </w:p>
          <w:p w14:paraId="65E51B64">
            <w:pPr>
              <w:pStyle w:val="6"/>
              <w:spacing w:before="58" w:line="236" w:lineRule="auto"/>
              <w:ind w:left="130"/>
              <w:rPr>
                <w:rFonts w:ascii="Times New Roman" w:hAnsi="Times New Roman" w:eastAsia="Times New Roman" w:cs="Times New Roman"/>
                <w:sz w:val="18"/>
                <w:szCs w:val="18"/>
              </w:rPr>
            </w:pPr>
            <w:r>
              <w:rPr>
                <w:spacing w:val="-8"/>
                <w:sz w:val="18"/>
                <w:szCs w:val="18"/>
              </w:rPr>
              <w:t>≥</w:t>
            </w:r>
            <w:r>
              <w:rPr>
                <w:rFonts w:ascii="Times New Roman" w:hAnsi="Times New Roman" w:eastAsia="Times New Roman" w:cs="Times New Roman"/>
                <w:spacing w:val="-8"/>
                <w:sz w:val="18"/>
                <w:szCs w:val="18"/>
              </w:rPr>
              <w:t>5m</w:t>
            </w:r>
          </w:p>
        </w:tc>
        <w:tc>
          <w:tcPr>
            <w:tcW w:w="1283" w:type="dxa"/>
            <w:tcBorders>
              <w:bottom w:val="single" w:color="000000" w:sz="2" w:space="0"/>
            </w:tcBorders>
            <w:vAlign w:val="top"/>
          </w:tcPr>
          <w:p w14:paraId="639B74A3">
            <w:pPr>
              <w:pStyle w:val="6"/>
              <w:spacing w:before="45" w:line="220" w:lineRule="auto"/>
              <w:ind w:left="16"/>
              <w:rPr>
                <w:sz w:val="18"/>
                <w:szCs w:val="18"/>
              </w:rPr>
            </w:pPr>
            <w:r>
              <w:rPr>
                <w:spacing w:val="-2"/>
                <w:sz w:val="18"/>
                <w:szCs w:val="18"/>
              </w:rPr>
              <w:t>站址围墙距离乡</w:t>
            </w:r>
          </w:p>
          <w:p w14:paraId="6F2C1297">
            <w:pPr>
              <w:pStyle w:val="6"/>
              <w:spacing w:before="17" w:line="219" w:lineRule="auto"/>
              <w:ind w:left="38"/>
              <w:rPr>
                <w:sz w:val="18"/>
                <w:szCs w:val="18"/>
              </w:rPr>
            </w:pPr>
            <w:r>
              <w:rPr>
                <w:spacing w:val="-1"/>
                <w:sz w:val="18"/>
                <w:szCs w:val="18"/>
              </w:rPr>
              <w:t>村道路约</w:t>
            </w:r>
            <w:r>
              <w:rPr>
                <w:rFonts w:ascii="Times New Roman" w:hAnsi="Times New Roman" w:eastAsia="Times New Roman" w:cs="Times New Roman"/>
                <w:spacing w:val="-1"/>
                <w:sz w:val="18"/>
                <w:szCs w:val="18"/>
              </w:rPr>
              <w:t>11m</w:t>
            </w:r>
            <w:r>
              <w:rPr>
                <w:spacing w:val="-1"/>
                <w:sz w:val="18"/>
                <w:szCs w:val="18"/>
              </w:rPr>
              <w:t>；</w:t>
            </w:r>
          </w:p>
          <w:p w14:paraId="12D40A44">
            <w:pPr>
              <w:pStyle w:val="6"/>
              <w:spacing w:before="19" w:line="219" w:lineRule="auto"/>
              <w:ind w:left="109"/>
              <w:rPr>
                <w:sz w:val="18"/>
                <w:szCs w:val="18"/>
              </w:rPr>
            </w:pPr>
            <w:r>
              <w:rPr>
                <w:spacing w:val="-2"/>
                <w:sz w:val="18"/>
                <w:szCs w:val="18"/>
              </w:rPr>
              <w:t>线路塔基与村</w:t>
            </w:r>
          </w:p>
          <w:p w14:paraId="52E13A1D">
            <w:pPr>
              <w:pStyle w:val="6"/>
              <w:spacing w:before="19" w:line="219" w:lineRule="auto"/>
              <w:ind w:left="15"/>
              <w:rPr>
                <w:sz w:val="18"/>
                <w:szCs w:val="18"/>
              </w:rPr>
            </w:pPr>
            <w:r>
              <w:rPr>
                <w:spacing w:val="-1"/>
                <w:sz w:val="18"/>
                <w:szCs w:val="18"/>
              </w:rPr>
              <w:t>道、乡村道路距</w:t>
            </w:r>
          </w:p>
          <w:p w14:paraId="6C7F3766">
            <w:pPr>
              <w:pStyle w:val="6"/>
              <w:spacing w:before="21" w:line="198" w:lineRule="auto"/>
              <w:ind w:left="309"/>
              <w:rPr>
                <w:rFonts w:ascii="Times New Roman" w:hAnsi="Times New Roman" w:eastAsia="Times New Roman" w:cs="Times New Roman"/>
                <w:sz w:val="18"/>
                <w:szCs w:val="18"/>
              </w:rPr>
            </w:pPr>
            <w:r>
              <w:rPr>
                <w:spacing w:val="-2"/>
                <w:sz w:val="18"/>
                <w:szCs w:val="18"/>
              </w:rPr>
              <w:t>离≥</w:t>
            </w:r>
            <w:r>
              <w:rPr>
                <w:rFonts w:ascii="Times New Roman" w:hAnsi="Times New Roman" w:eastAsia="Times New Roman" w:cs="Times New Roman"/>
                <w:spacing w:val="-2"/>
                <w:sz w:val="18"/>
                <w:szCs w:val="18"/>
              </w:rPr>
              <w:t>12m</w:t>
            </w:r>
          </w:p>
        </w:tc>
        <w:tc>
          <w:tcPr>
            <w:tcW w:w="426" w:type="dxa"/>
            <w:tcBorders>
              <w:bottom w:val="single" w:color="000000" w:sz="2" w:space="0"/>
            </w:tcBorders>
            <w:vAlign w:val="top"/>
          </w:tcPr>
          <w:p w14:paraId="6B4B8C1E">
            <w:pPr>
              <w:spacing w:line="450" w:lineRule="auto"/>
              <w:rPr>
                <w:rFonts w:ascii="Arial"/>
                <w:sz w:val="21"/>
              </w:rPr>
            </w:pPr>
          </w:p>
          <w:p w14:paraId="5C822975">
            <w:pPr>
              <w:pStyle w:val="6"/>
              <w:spacing w:before="58" w:line="219" w:lineRule="auto"/>
              <w:ind w:left="40"/>
              <w:rPr>
                <w:sz w:val="18"/>
                <w:szCs w:val="18"/>
              </w:rPr>
            </w:pPr>
            <w:r>
              <w:rPr>
                <w:spacing w:val="-4"/>
                <w:sz w:val="18"/>
                <w:szCs w:val="18"/>
              </w:rPr>
              <w:t>满足</w:t>
            </w:r>
          </w:p>
        </w:tc>
        <w:tc>
          <w:tcPr>
            <w:tcW w:w="120" w:type="dxa"/>
            <w:tcBorders>
              <w:top w:val="nil"/>
              <w:bottom w:val="single" w:color="000000" w:sz="2" w:space="0"/>
              <w:right w:val="single" w:color="000000" w:sz="2" w:space="0"/>
            </w:tcBorders>
            <w:vAlign w:val="top"/>
          </w:tcPr>
          <w:p w14:paraId="03E842FD">
            <w:pPr>
              <w:rPr>
                <w:rFonts w:ascii="Arial"/>
                <w:sz w:val="21"/>
              </w:rPr>
            </w:pPr>
          </w:p>
        </w:tc>
        <w:tc>
          <w:tcPr>
            <w:tcW w:w="426" w:type="dxa"/>
            <w:vMerge w:val="continue"/>
            <w:tcBorders>
              <w:top w:val="nil"/>
              <w:left w:val="single" w:color="000000" w:sz="2" w:space="0"/>
              <w:bottom w:val="single" w:color="000000" w:sz="2" w:space="0"/>
              <w:right w:val="single" w:color="000000" w:sz="2" w:space="0"/>
            </w:tcBorders>
            <w:textDirection w:val="tbRlV"/>
            <w:vAlign w:val="top"/>
          </w:tcPr>
          <w:p w14:paraId="71BF64BB">
            <w:pPr>
              <w:rPr>
                <w:rFonts w:ascii="Arial"/>
                <w:sz w:val="21"/>
              </w:rPr>
            </w:pPr>
          </w:p>
        </w:tc>
        <w:tc>
          <w:tcPr>
            <w:tcW w:w="146" w:type="dxa"/>
            <w:tcBorders>
              <w:top w:val="nil"/>
              <w:left w:val="single" w:color="000000" w:sz="2" w:space="0"/>
              <w:bottom w:val="nil"/>
              <w:right w:val="single" w:color="000000" w:sz="6" w:space="0"/>
            </w:tcBorders>
            <w:vAlign w:val="top"/>
          </w:tcPr>
          <w:p w14:paraId="2384CD9D">
            <w:pPr>
              <w:rPr>
                <w:rFonts w:ascii="Arial"/>
                <w:sz w:val="21"/>
              </w:rPr>
            </w:pPr>
          </w:p>
        </w:tc>
      </w:tr>
      <w:tr w14:paraId="07B80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5" w:hRule="atLeast"/>
        </w:trPr>
        <w:tc>
          <w:tcPr>
            <w:tcW w:w="411" w:type="dxa"/>
            <w:vMerge w:val="continue"/>
            <w:tcBorders>
              <w:top w:val="nil"/>
              <w:left w:val="single" w:color="000000" w:sz="6" w:space="0"/>
              <w:bottom w:val="single" w:color="000000" w:sz="6" w:space="0"/>
              <w:right w:val="single" w:color="000000" w:sz="2" w:space="0"/>
            </w:tcBorders>
            <w:vAlign w:val="top"/>
          </w:tcPr>
          <w:p w14:paraId="02CC9FA9">
            <w:pPr>
              <w:rPr>
                <w:rFonts w:ascii="Arial"/>
                <w:sz w:val="21"/>
              </w:rPr>
            </w:pPr>
          </w:p>
        </w:tc>
        <w:tc>
          <w:tcPr>
            <w:tcW w:w="137" w:type="dxa"/>
            <w:vMerge w:val="continue"/>
            <w:tcBorders>
              <w:top w:val="nil"/>
              <w:left w:val="single" w:color="000000" w:sz="2" w:space="0"/>
              <w:bottom w:val="single" w:color="000000" w:sz="6" w:space="0"/>
              <w:right w:val="single" w:color="000000" w:sz="2" w:space="0"/>
            </w:tcBorders>
            <w:vAlign w:val="top"/>
          </w:tcPr>
          <w:p w14:paraId="27BF9F62">
            <w:pPr>
              <w:rPr>
                <w:rFonts w:ascii="Arial"/>
                <w:sz w:val="21"/>
              </w:rPr>
            </w:pPr>
          </w:p>
        </w:tc>
        <w:tc>
          <w:tcPr>
            <w:tcW w:w="607" w:type="dxa"/>
            <w:tcBorders>
              <w:top w:val="single" w:color="000000" w:sz="2" w:space="0"/>
              <w:left w:val="single" w:color="000000" w:sz="2" w:space="0"/>
              <w:bottom w:val="single" w:color="000000" w:sz="6" w:space="0"/>
              <w:right w:val="single" w:color="000000" w:sz="2" w:space="0"/>
            </w:tcBorders>
            <w:vAlign w:val="top"/>
          </w:tcPr>
          <w:p w14:paraId="7521032A">
            <w:pPr>
              <w:pStyle w:val="6"/>
              <w:spacing w:before="188" w:line="253" w:lineRule="auto"/>
              <w:ind w:left="95" w:right="99" w:firstLine="8"/>
              <w:jc w:val="both"/>
            </w:pPr>
            <w:r>
              <w:rPr>
                <w:spacing w:val="-1"/>
              </w:rPr>
              <w:t>陆良</w:t>
            </w:r>
            <w:r>
              <w:rPr>
                <w:spacing w:val="3"/>
              </w:rPr>
              <w:t>公路分局</w:t>
            </w:r>
          </w:p>
        </w:tc>
        <w:tc>
          <w:tcPr>
            <w:tcW w:w="3218" w:type="dxa"/>
            <w:tcBorders>
              <w:top w:val="single" w:color="000000" w:sz="2" w:space="0"/>
              <w:left w:val="single" w:color="000000" w:sz="2" w:space="0"/>
              <w:bottom w:val="single" w:color="000000" w:sz="6" w:space="0"/>
              <w:right w:val="single" w:color="000000" w:sz="2" w:space="0"/>
            </w:tcBorders>
            <w:vAlign w:val="top"/>
          </w:tcPr>
          <w:p w14:paraId="3523D7F9">
            <w:pPr>
              <w:pStyle w:val="6"/>
              <w:spacing w:before="55" w:line="251" w:lineRule="auto"/>
              <w:ind w:left="1" w:right="70" w:firstLine="3"/>
            </w:pPr>
            <w:r>
              <w:rPr>
                <w:spacing w:val="9"/>
              </w:rPr>
              <w:t>一、工程开工建设前，施工单位按规定向我分局提交施工方案以及安</w:t>
            </w:r>
            <w:r>
              <w:rPr>
                <w:spacing w:val="6"/>
              </w:rPr>
              <w:t>全保通方案。</w:t>
            </w:r>
          </w:p>
          <w:p w14:paraId="6A5F7494">
            <w:pPr>
              <w:pStyle w:val="6"/>
              <w:spacing w:line="227" w:lineRule="auto"/>
              <w:ind w:left="4"/>
            </w:pPr>
            <w:r>
              <w:rPr>
                <w:spacing w:val="9"/>
              </w:rPr>
              <w:t>二、建设单位应严格按照提交的施</w:t>
            </w:r>
          </w:p>
        </w:tc>
        <w:tc>
          <w:tcPr>
            <w:tcW w:w="3189" w:type="dxa"/>
            <w:gridSpan w:val="6"/>
            <w:tcBorders>
              <w:top w:val="single" w:color="000000" w:sz="2" w:space="0"/>
              <w:left w:val="single" w:color="000000" w:sz="2" w:space="0"/>
              <w:bottom w:val="single" w:color="000000" w:sz="6" w:space="0"/>
              <w:right w:val="single" w:color="000000" w:sz="2" w:space="0"/>
            </w:tcBorders>
            <w:vAlign w:val="top"/>
          </w:tcPr>
          <w:p w14:paraId="7DB9B7EF">
            <w:pPr>
              <w:pStyle w:val="6"/>
              <w:spacing w:before="56" w:line="251" w:lineRule="auto"/>
              <w:ind w:left="13" w:right="34" w:hanging="2"/>
            </w:pPr>
            <w:r>
              <w:rPr>
                <w:spacing w:val="9"/>
              </w:rPr>
              <w:t>工程开工建设前，施工单位将按规</w:t>
            </w:r>
            <w:r>
              <w:rPr>
                <w:spacing w:val="8"/>
              </w:rPr>
              <w:t>定提交施工方案以及安全保通方</w:t>
            </w:r>
          </w:p>
          <w:p w14:paraId="64BB9F13">
            <w:pPr>
              <w:pStyle w:val="6"/>
              <w:spacing w:before="1" w:line="246" w:lineRule="auto"/>
              <w:ind w:left="10" w:right="34"/>
            </w:pPr>
            <w:r>
              <w:rPr>
                <w:spacing w:val="9"/>
              </w:rPr>
              <w:t>案。建设单位将严格按照提交的施工方案以及安全保通方案实施作</w:t>
            </w:r>
          </w:p>
        </w:tc>
        <w:tc>
          <w:tcPr>
            <w:tcW w:w="426" w:type="dxa"/>
            <w:tcBorders>
              <w:top w:val="single" w:color="000000" w:sz="2" w:space="0"/>
              <w:left w:val="single" w:color="000000" w:sz="2" w:space="0"/>
              <w:bottom w:val="single" w:color="000000" w:sz="6" w:space="0"/>
              <w:right w:val="single" w:color="000000" w:sz="2" w:space="0"/>
            </w:tcBorders>
            <w:textDirection w:val="tbRlV"/>
            <w:vAlign w:val="top"/>
          </w:tcPr>
          <w:p w14:paraId="5B288622">
            <w:pPr>
              <w:pStyle w:val="6"/>
              <w:spacing w:before="99" w:line="215" w:lineRule="auto"/>
              <w:ind w:left="326"/>
            </w:pPr>
            <w:r>
              <w:rPr>
                <w:spacing w:val="8"/>
              </w:rPr>
              <w:t>符</w:t>
            </w:r>
            <w:r>
              <w:rPr>
                <w:spacing w:val="-35"/>
              </w:rPr>
              <w:t xml:space="preserve"> </w:t>
            </w:r>
            <w:r>
              <w:rPr>
                <w:spacing w:val="8"/>
              </w:rPr>
              <w:t>合</w:t>
            </w:r>
          </w:p>
        </w:tc>
        <w:tc>
          <w:tcPr>
            <w:tcW w:w="146" w:type="dxa"/>
            <w:tcBorders>
              <w:top w:val="nil"/>
              <w:left w:val="single" w:color="000000" w:sz="2" w:space="0"/>
              <w:bottom w:val="single" w:color="000000" w:sz="6" w:space="0"/>
              <w:right w:val="single" w:color="000000" w:sz="6" w:space="0"/>
            </w:tcBorders>
            <w:vAlign w:val="top"/>
          </w:tcPr>
          <w:p w14:paraId="32FD25E6">
            <w:pPr>
              <w:rPr>
                <w:rFonts w:ascii="Arial"/>
                <w:sz w:val="21"/>
              </w:rPr>
            </w:pPr>
          </w:p>
        </w:tc>
      </w:tr>
    </w:tbl>
    <w:p w14:paraId="7318A024">
      <w:pPr>
        <w:rPr>
          <w:rFonts w:ascii="Arial"/>
          <w:sz w:val="21"/>
        </w:rPr>
      </w:pPr>
    </w:p>
    <w:p w14:paraId="4983F93E">
      <w:pPr>
        <w:rPr>
          <w:rFonts w:ascii="Arial" w:hAnsi="Arial" w:eastAsia="Arial" w:cs="Arial"/>
          <w:sz w:val="21"/>
          <w:szCs w:val="21"/>
        </w:rPr>
        <w:sectPr>
          <w:footerReference r:id="rId37" w:type="default"/>
          <w:pgSz w:w="11907" w:h="16840"/>
          <w:pgMar w:top="400" w:right="1786" w:bottom="1240" w:left="1774" w:header="0" w:footer="1077" w:gutter="0"/>
          <w:cols w:space="720" w:num="1"/>
        </w:sectPr>
      </w:pPr>
    </w:p>
    <w:p w14:paraId="5A77A48C">
      <w:pPr>
        <w:spacing w:before="19"/>
      </w:pPr>
    </w:p>
    <w:p w14:paraId="40FA8F28">
      <w:pPr>
        <w:spacing w:before="19"/>
      </w:pPr>
    </w:p>
    <w:p w14:paraId="73D70A59">
      <w:pPr>
        <w:spacing w:before="18"/>
      </w:pPr>
    </w:p>
    <w:p w14:paraId="20EF14DB">
      <w:pPr>
        <w:spacing w:before="18"/>
      </w:pPr>
    </w:p>
    <w:tbl>
      <w:tblPr>
        <w:tblStyle w:val="5"/>
        <w:tblW w:w="813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1"/>
        <w:gridCol w:w="137"/>
        <w:gridCol w:w="607"/>
        <w:gridCol w:w="3218"/>
        <w:gridCol w:w="3189"/>
        <w:gridCol w:w="426"/>
        <w:gridCol w:w="146"/>
      </w:tblGrid>
      <w:tr w14:paraId="669BD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7" w:hRule="atLeast"/>
        </w:trPr>
        <w:tc>
          <w:tcPr>
            <w:tcW w:w="411" w:type="dxa"/>
            <w:vMerge w:val="restart"/>
            <w:tcBorders>
              <w:top w:val="single" w:color="000000" w:sz="6" w:space="0"/>
              <w:left w:val="single" w:color="000000" w:sz="6" w:space="0"/>
              <w:bottom w:val="nil"/>
            </w:tcBorders>
            <w:vAlign w:val="top"/>
          </w:tcPr>
          <w:p w14:paraId="0AADF024">
            <w:pPr>
              <w:rPr>
                <w:rFonts w:ascii="Arial"/>
                <w:sz w:val="21"/>
              </w:rPr>
            </w:pPr>
          </w:p>
        </w:tc>
        <w:tc>
          <w:tcPr>
            <w:tcW w:w="137" w:type="dxa"/>
            <w:tcBorders>
              <w:top w:val="single" w:color="000000" w:sz="6" w:space="0"/>
              <w:bottom w:val="nil"/>
            </w:tcBorders>
            <w:vAlign w:val="top"/>
          </w:tcPr>
          <w:p w14:paraId="22455055">
            <w:pPr>
              <w:rPr>
                <w:rFonts w:ascii="Arial"/>
                <w:sz w:val="21"/>
              </w:rPr>
            </w:pPr>
          </w:p>
        </w:tc>
        <w:tc>
          <w:tcPr>
            <w:tcW w:w="607" w:type="dxa"/>
            <w:tcBorders>
              <w:top w:val="single" w:color="000000" w:sz="6" w:space="0"/>
            </w:tcBorders>
            <w:vAlign w:val="top"/>
          </w:tcPr>
          <w:p w14:paraId="5ED584B5">
            <w:pPr>
              <w:rPr>
                <w:rFonts w:ascii="Arial"/>
                <w:sz w:val="21"/>
              </w:rPr>
            </w:pPr>
          </w:p>
        </w:tc>
        <w:tc>
          <w:tcPr>
            <w:tcW w:w="3218" w:type="dxa"/>
            <w:tcBorders>
              <w:top w:val="single" w:color="000000" w:sz="6" w:space="0"/>
            </w:tcBorders>
            <w:vAlign w:val="top"/>
          </w:tcPr>
          <w:p w14:paraId="57FB8537">
            <w:pPr>
              <w:pStyle w:val="6"/>
              <w:spacing w:before="63" w:line="250" w:lineRule="auto"/>
              <w:ind w:right="281" w:firstLine="3"/>
            </w:pPr>
            <w:r>
              <w:rPr>
                <w:spacing w:val="9"/>
              </w:rPr>
              <w:t>工方案以及安全保通方案实施作</w:t>
            </w:r>
            <w:r>
              <w:rPr>
                <w:spacing w:val="8"/>
              </w:rPr>
              <w:t>业，避免安全事故发生。</w:t>
            </w:r>
          </w:p>
          <w:p w14:paraId="60B58469">
            <w:pPr>
              <w:pStyle w:val="6"/>
              <w:spacing w:line="231" w:lineRule="auto"/>
              <w:ind w:right="70"/>
            </w:pPr>
            <w:r>
              <w:rPr>
                <w:spacing w:val="9"/>
              </w:rPr>
              <w:t>三、负责工程完工后施工临时设施</w:t>
            </w:r>
            <w:r>
              <w:rPr>
                <w:spacing w:val="8"/>
              </w:rPr>
              <w:t>及残留物的清除，保持路面整洁。</w:t>
            </w:r>
          </w:p>
        </w:tc>
        <w:tc>
          <w:tcPr>
            <w:tcW w:w="3189" w:type="dxa"/>
            <w:tcBorders>
              <w:top w:val="single" w:color="000000" w:sz="6" w:space="0"/>
            </w:tcBorders>
            <w:vAlign w:val="top"/>
          </w:tcPr>
          <w:p w14:paraId="2BD79781">
            <w:pPr>
              <w:pStyle w:val="6"/>
              <w:spacing w:before="64" w:line="251" w:lineRule="auto"/>
              <w:ind w:left="10" w:right="34" w:hanging="2"/>
              <w:jc w:val="both"/>
            </w:pPr>
            <w:r>
              <w:rPr>
                <w:spacing w:val="9"/>
              </w:rPr>
              <w:t>业，避免安全事故发生。工程完工后负责施工临时设施及残留物的清</w:t>
            </w:r>
            <w:r>
              <w:rPr>
                <w:spacing w:val="7"/>
              </w:rPr>
              <w:t>除，保持路面整洁。</w:t>
            </w:r>
          </w:p>
        </w:tc>
        <w:tc>
          <w:tcPr>
            <w:tcW w:w="426" w:type="dxa"/>
            <w:tcBorders>
              <w:top w:val="single" w:color="000000" w:sz="6" w:space="0"/>
            </w:tcBorders>
            <w:vAlign w:val="top"/>
          </w:tcPr>
          <w:p w14:paraId="148236A5">
            <w:pPr>
              <w:rPr>
                <w:rFonts w:ascii="Arial"/>
                <w:sz w:val="21"/>
              </w:rPr>
            </w:pPr>
          </w:p>
        </w:tc>
        <w:tc>
          <w:tcPr>
            <w:tcW w:w="146" w:type="dxa"/>
            <w:tcBorders>
              <w:top w:val="single" w:color="000000" w:sz="6" w:space="0"/>
              <w:bottom w:val="nil"/>
              <w:right w:val="single" w:color="000000" w:sz="6" w:space="0"/>
            </w:tcBorders>
            <w:vAlign w:val="top"/>
          </w:tcPr>
          <w:p w14:paraId="17C809D8">
            <w:pPr>
              <w:rPr>
                <w:rFonts w:ascii="Arial"/>
                <w:sz w:val="21"/>
              </w:rPr>
            </w:pPr>
          </w:p>
        </w:tc>
      </w:tr>
      <w:tr w14:paraId="32292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9" w:hRule="atLeast"/>
        </w:trPr>
        <w:tc>
          <w:tcPr>
            <w:tcW w:w="411" w:type="dxa"/>
            <w:vMerge w:val="continue"/>
            <w:tcBorders>
              <w:top w:val="nil"/>
              <w:left w:val="single" w:color="000000" w:sz="6" w:space="0"/>
              <w:bottom w:val="single" w:color="000000" w:sz="6" w:space="0"/>
            </w:tcBorders>
            <w:vAlign w:val="top"/>
          </w:tcPr>
          <w:p w14:paraId="0C73364B">
            <w:pPr>
              <w:rPr>
                <w:rFonts w:ascii="Arial"/>
                <w:sz w:val="21"/>
              </w:rPr>
            </w:pPr>
          </w:p>
        </w:tc>
        <w:tc>
          <w:tcPr>
            <w:tcW w:w="7723" w:type="dxa"/>
            <w:gridSpan w:val="6"/>
            <w:tcBorders>
              <w:bottom w:val="single" w:color="000000" w:sz="6" w:space="0"/>
              <w:right w:val="single" w:color="000000" w:sz="6" w:space="0"/>
            </w:tcBorders>
            <w:vAlign w:val="top"/>
          </w:tcPr>
          <w:p w14:paraId="5E83B996">
            <w:pPr>
              <w:rPr>
                <w:rFonts w:ascii="Arial"/>
                <w:sz w:val="21"/>
              </w:rPr>
            </w:pPr>
          </w:p>
        </w:tc>
      </w:tr>
    </w:tbl>
    <w:p w14:paraId="0689AE64">
      <w:pPr>
        <w:rPr>
          <w:rFonts w:ascii="Arial"/>
          <w:sz w:val="21"/>
        </w:rPr>
      </w:pPr>
    </w:p>
    <w:p w14:paraId="11F606F4">
      <w:pPr>
        <w:rPr>
          <w:rFonts w:ascii="Arial" w:hAnsi="Arial" w:eastAsia="Arial" w:cs="Arial"/>
          <w:sz w:val="21"/>
          <w:szCs w:val="21"/>
        </w:rPr>
        <w:sectPr>
          <w:footerReference r:id="rId38" w:type="default"/>
          <w:pgSz w:w="11907" w:h="16840"/>
          <w:pgMar w:top="400" w:right="1786" w:bottom="1240" w:left="1774" w:header="0" w:footer="1077" w:gutter="0"/>
          <w:cols w:space="720" w:num="1"/>
        </w:sectPr>
      </w:pPr>
    </w:p>
    <w:p w14:paraId="5FE7387E">
      <w:pPr>
        <w:spacing w:line="251" w:lineRule="auto"/>
        <w:rPr>
          <w:rFonts w:ascii="Arial"/>
          <w:sz w:val="21"/>
        </w:rPr>
      </w:pPr>
    </w:p>
    <w:p w14:paraId="44F86FF4">
      <w:pPr>
        <w:spacing w:line="252" w:lineRule="auto"/>
        <w:rPr>
          <w:rFonts w:ascii="Arial"/>
          <w:sz w:val="21"/>
        </w:rPr>
      </w:pPr>
    </w:p>
    <w:p w14:paraId="32021CA8">
      <w:pPr>
        <w:spacing w:line="252" w:lineRule="auto"/>
        <w:rPr>
          <w:rFonts w:ascii="Arial"/>
          <w:sz w:val="21"/>
        </w:rPr>
      </w:pPr>
    </w:p>
    <w:p w14:paraId="11B13FD5">
      <w:pPr>
        <w:spacing w:line="252" w:lineRule="auto"/>
        <w:rPr>
          <w:rFonts w:ascii="Arial"/>
          <w:sz w:val="21"/>
        </w:rPr>
      </w:pPr>
    </w:p>
    <w:p w14:paraId="1D24E46E">
      <w:pPr>
        <w:spacing w:line="252" w:lineRule="auto"/>
        <w:rPr>
          <w:rFonts w:ascii="Arial"/>
          <w:sz w:val="21"/>
        </w:rPr>
      </w:pPr>
    </w:p>
    <w:p w14:paraId="5C106C3F">
      <w:pPr>
        <w:pStyle w:val="2"/>
        <w:spacing w:before="97" w:line="219" w:lineRule="auto"/>
        <w:ind w:left="3382"/>
        <w:rPr>
          <w:sz w:val="30"/>
          <w:szCs w:val="30"/>
        </w:rPr>
      </w:pPr>
      <w:r>
        <w:rPr>
          <w:b/>
          <w:bCs/>
          <w:spacing w:val="-6"/>
          <w:sz w:val="30"/>
          <w:szCs w:val="30"/>
        </w:rPr>
        <w:t>二、建设内容</w:t>
      </w:r>
    </w:p>
    <w:p w14:paraId="525E5A3B">
      <w:pPr>
        <w:spacing w:before="27"/>
      </w:pPr>
    </w:p>
    <w:tbl>
      <w:tblPr>
        <w:tblStyle w:val="5"/>
        <w:tblW w:w="85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5"/>
        <w:gridCol w:w="8149"/>
      </w:tblGrid>
      <w:tr w14:paraId="0F738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6" w:hRule="atLeast"/>
        </w:trPr>
        <w:tc>
          <w:tcPr>
            <w:tcW w:w="375" w:type="dxa"/>
            <w:textDirection w:val="tbRlV"/>
            <w:vAlign w:val="top"/>
          </w:tcPr>
          <w:p w14:paraId="59E24965">
            <w:pPr>
              <w:pStyle w:val="6"/>
              <w:spacing w:before="17" w:line="211" w:lineRule="auto"/>
              <w:ind w:left="3153"/>
              <w:rPr>
                <w:sz w:val="24"/>
                <w:szCs w:val="24"/>
              </w:rPr>
            </w:pPr>
            <w:r>
              <w:rPr>
                <w:spacing w:val="53"/>
                <w:sz w:val="24"/>
                <w:szCs w:val="24"/>
              </w:rPr>
              <w:t>地理位置</w:t>
            </w:r>
          </w:p>
        </w:tc>
        <w:tc>
          <w:tcPr>
            <w:tcW w:w="8149" w:type="dxa"/>
            <w:vAlign w:val="top"/>
          </w:tcPr>
          <w:p w14:paraId="32CA87B3">
            <w:pPr>
              <w:pStyle w:val="6"/>
              <w:spacing w:before="40" w:line="359" w:lineRule="auto"/>
              <w:ind w:left="104" w:right="103" w:firstLine="480"/>
              <w:rPr>
                <w:sz w:val="24"/>
                <w:szCs w:val="24"/>
              </w:rPr>
            </w:pPr>
            <w:r>
              <w:rPr>
                <w:spacing w:val="-2"/>
                <w:sz w:val="24"/>
                <w:szCs w:val="24"/>
              </w:rPr>
              <w:t>本项目</w:t>
            </w:r>
            <w:r>
              <w:rPr>
                <w:spacing w:val="-32"/>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松山输变电工程整体位于云南省曲靖市</w:t>
            </w:r>
            <w:r>
              <w:rPr>
                <w:spacing w:val="-3"/>
                <w:sz w:val="24"/>
                <w:szCs w:val="24"/>
              </w:rPr>
              <w:t>陆良县，变电站站</w:t>
            </w:r>
            <w:r>
              <w:rPr>
                <w:sz w:val="24"/>
                <w:szCs w:val="24"/>
              </w:rPr>
              <w:t>址位于陆良县板桥镇，线路途经陆良县板桥镇、</w:t>
            </w:r>
            <w:r>
              <w:rPr>
                <w:spacing w:val="-1"/>
                <w:sz w:val="24"/>
                <w:szCs w:val="24"/>
              </w:rPr>
              <w:t>芳华镇、中枢街道办事处。</w:t>
            </w:r>
          </w:p>
          <w:p w14:paraId="59680708">
            <w:pPr>
              <w:pStyle w:val="6"/>
              <w:spacing w:line="354" w:lineRule="auto"/>
              <w:ind w:left="102" w:right="103" w:firstLine="492"/>
              <w:rPr>
                <w:sz w:val="24"/>
                <w:szCs w:val="24"/>
              </w:rPr>
            </w:pPr>
            <w:r>
              <w:rPr>
                <w:spacing w:val="-7"/>
                <w:sz w:val="24"/>
                <w:szCs w:val="24"/>
              </w:rPr>
              <w:t>（</w:t>
            </w:r>
            <w:r>
              <w:rPr>
                <w:rFonts w:ascii="Times New Roman" w:hAnsi="Times New Roman" w:eastAsia="Times New Roman" w:cs="Times New Roman"/>
                <w:spacing w:val="-7"/>
                <w:sz w:val="24"/>
                <w:szCs w:val="24"/>
              </w:rPr>
              <w:t>1</w:t>
            </w:r>
            <w:r>
              <w:rPr>
                <w:spacing w:val="-7"/>
                <w:sz w:val="24"/>
                <w:szCs w:val="24"/>
              </w:rPr>
              <w:t>）</w:t>
            </w:r>
            <w:r>
              <w:rPr>
                <w:rFonts w:ascii="Times New Roman" w:hAnsi="Times New Roman" w:eastAsia="Times New Roman" w:cs="Times New Roman"/>
                <w:spacing w:val="-7"/>
                <w:sz w:val="24"/>
                <w:szCs w:val="24"/>
              </w:rPr>
              <w:t xml:space="preserve">110kV </w:t>
            </w:r>
            <w:r>
              <w:rPr>
                <w:spacing w:val="-7"/>
                <w:sz w:val="24"/>
                <w:szCs w:val="24"/>
              </w:rPr>
              <w:t>松山变电站站址中心坐标：东经</w:t>
            </w:r>
            <w:r>
              <w:rPr>
                <w:spacing w:val="-26"/>
                <w:sz w:val="24"/>
                <w:szCs w:val="24"/>
              </w:rPr>
              <w:t xml:space="preserve"> </w:t>
            </w:r>
            <w:r>
              <w:rPr>
                <w:rFonts w:ascii="Times New Roman" w:hAnsi="Times New Roman" w:eastAsia="Times New Roman" w:cs="Times New Roman"/>
                <w:spacing w:val="-7"/>
                <w:sz w:val="24"/>
                <w:szCs w:val="24"/>
              </w:rPr>
              <w:t>103</w:t>
            </w:r>
            <w:r>
              <w:rPr>
                <w:rFonts w:ascii="Times New Roman" w:hAnsi="Times New Roman" w:eastAsia="Times New Roman" w:cs="Times New Roman"/>
                <w:spacing w:val="-29"/>
                <w:sz w:val="24"/>
                <w:szCs w:val="24"/>
              </w:rPr>
              <w:t xml:space="preserve"> </w:t>
            </w:r>
            <w:r>
              <w:rPr>
                <w:spacing w:val="-7"/>
                <w:sz w:val="24"/>
                <w:szCs w:val="24"/>
              </w:rPr>
              <w:t>°</w:t>
            </w:r>
            <w:r>
              <w:rPr>
                <w:rFonts w:ascii="Times New Roman" w:hAnsi="Times New Roman" w:eastAsia="Times New Roman" w:cs="Times New Roman"/>
                <w:spacing w:val="-7"/>
                <w:sz w:val="24"/>
                <w:szCs w:val="24"/>
              </w:rPr>
              <w:t>44'24.923"</w:t>
            </w:r>
            <w:r>
              <w:rPr>
                <w:spacing w:val="-7"/>
                <w:sz w:val="24"/>
                <w:szCs w:val="24"/>
              </w:rPr>
              <w:t>，北纬</w:t>
            </w:r>
            <w:r>
              <w:rPr>
                <w:spacing w:val="-55"/>
                <w:sz w:val="24"/>
                <w:szCs w:val="24"/>
              </w:rPr>
              <w:t xml:space="preserve"> </w:t>
            </w:r>
            <w:r>
              <w:rPr>
                <w:rFonts w:ascii="Times New Roman" w:hAnsi="Times New Roman" w:eastAsia="Times New Roman" w:cs="Times New Roman"/>
                <w:spacing w:val="-7"/>
                <w:sz w:val="24"/>
                <w:szCs w:val="24"/>
              </w:rPr>
              <w:t>25</w:t>
            </w:r>
            <w:r>
              <w:rPr>
                <w:rFonts w:ascii="Times New Roman" w:hAnsi="Times New Roman" w:eastAsia="Times New Roman" w:cs="Times New Roman"/>
                <w:spacing w:val="-29"/>
                <w:sz w:val="24"/>
                <w:szCs w:val="24"/>
              </w:rPr>
              <w:t xml:space="preserve"> </w:t>
            </w:r>
            <w:r>
              <w:rPr>
                <w:spacing w:val="-7"/>
                <w:sz w:val="24"/>
                <w:szCs w:val="24"/>
              </w:rPr>
              <w:t>°</w:t>
            </w:r>
            <w:r>
              <w:rPr>
                <w:sz w:val="24"/>
                <w:szCs w:val="24"/>
              </w:rPr>
              <w:t xml:space="preserve"> </w:t>
            </w:r>
            <w:r>
              <w:rPr>
                <w:rFonts w:ascii="Times New Roman" w:hAnsi="Times New Roman" w:eastAsia="Times New Roman" w:cs="Times New Roman"/>
                <w:spacing w:val="-4"/>
                <w:sz w:val="24"/>
                <w:szCs w:val="24"/>
              </w:rPr>
              <w:t>06'</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4"/>
                <w:sz w:val="24"/>
                <w:szCs w:val="24"/>
              </w:rPr>
              <w:t>13.249"</w:t>
            </w:r>
            <w:r>
              <w:rPr>
                <w:spacing w:val="-4"/>
                <w:sz w:val="24"/>
                <w:szCs w:val="24"/>
              </w:rPr>
              <w:t>。</w:t>
            </w:r>
          </w:p>
          <w:p w14:paraId="54669A19">
            <w:pPr>
              <w:pStyle w:val="6"/>
              <w:spacing w:before="12" w:line="359" w:lineRule="auto"/>
              <w:ind w:left="98" w:right="129" w:firstLine="495"/>
              <w:rPr>
                <w:sz w:val="24"/>
                <w:szCs w:val="24"/>
              </w:rPr>
            </w:pPr>
            <w:r>
              <w:rPr>
                <w:spacing w:val="-2"/>
                <w:sz w:val="24"/>
                <w:szCs w:val="24"/>
              </w:rPr>
              <w:t>（</w:t>
            </w:r>
            <w:r>
              <w:rPr>
                <w:rFonts w:ascii="Times New Roman" w:hAnsi="Times New Roman" w:eastAsia="Times New Roman" w:cs="Times New Roman"/>
                <w:spacing w:val="-2"/>
                <w:sz w:val="24"/>
                <w:szCs w:val="24"/>
              </w:rPr>
              <w:t>2</w:t>
            </w:r>
            <w:r>
              <w:rPr>
                <w:spacing w:val="-2"/>
                <w:sz w:val="24"/>
                <w:szCs w:val="24"/>
              </w:rPr>
              <w:t>）</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5"/>
                <w:sz w:val="24"/>
                <w:szCs w:val="24"/>
              </w:rPr>
              <w:t xml:space="preserve"> </w:t>
            </w:r>
            <w:r>
              <w:rPr>
                <w:spacing w:val="-2"/>
                <w:sz w:val="24"/>
                <w:szCs w:val="24"/>
              </w:rPr>
              <w:t>芳华变电站站址新增间隔坐标：东经</w:t>
            </w:r>
            <w:r>
              <w:rPr>
                <w:spacing w:val="-32"/>
                <w:sz w:val="24"/>
                <w:szCs w:val="24"/>
              </w:rPr>
              <w:t xml:space="preserve"> </w:t>
            </w:r>
            <w:r>
              <w:rPr>
                <w:rFonts w:ascii="Times New Roman" w:hAnsi="Times New Roman" w:eastAsia="Times New Roman" w:cs="Times New Roman"/>
                <w:spacing w:val="-2"/>
                <w:sz w:val="24"/>
                <w:szCs w:val="24"/>
              </w:rPr>
              <w:t>103°</w:t>
            </w:r>
            <w:r>
              <w:rPr>
                <w:rFonts w:ascii="Times New Roman" w:hAnsi="Times New Roman" w:eastAsia="Times New Roman" w:cs="Times New Roman"/>
                <w:spacing w:val="-3"/>
                <w:sz w:val="24"/>
                <w:szCs w:val="24"/>
              </w:rPr>
              <w:t>39'31.061"</w:t>
            </w:r>
            <w:r>
              <w:rPr>
                <w:rFonts w:ascii="Times New Roman" w:hAnsi="Times New Roman" w:eastAsia="Times New Roman" w:cs="Times New Roman"/>
                <w:spacing w:val="-30"/>
                <w:sz w:val="24"/>
                <w:szCs w:val="24"/>
              </w:rPr>
              <w:t xml:space="preserve"> </w:t>
            </w:r>
            <w:r>
              <w:rPr>
                <w:spacing w:val="-3"/>
                <w:sz w:val="24"/>
                <w:szCs w:val="24"/>
              </w:rPr>
              <w:t>，北纬</w:t>
            </w:r>
            <w:r>
              <w:rPr>
                <w:rFonts w:ascii="Times New Roman" w:hAnsi="Times New Roman" w:eastAsia="Times New Roman" w:cs="Times New Roman"/>
                <w:spacing w:val="-1"/>
                <w:sz w:val="24"/>
                <w:szCs w:val="24"/>
              </w:rPr>
              <w:t>25°6'52.373"</w:t>
            </w:r>
            <w:r>
              <w:rPr>
                <w:spacing w:val="-1"/>
                <w:sz w:val="24"/>
                <w:szCs w:val="24"/>
              </w:rPr>
              <w:t>；</w:t>
            </w:r>
          </w:p>
          <w:p w14:paraId="3EC86F6D">
            <w:pPr>
              <w:pStyle w:val="6"/>
              <w:spacing w:before="2" w:line="351" w:lineRule="auto"/>
              <w:ind w:left="98" w:right="103" w:firstLine="495"/>
              <w:rPr>
                <w:sz w:val="24"/>
                <w:szCs w:val="24"/>
              </w:rPr>
            </w:pPr>
            <w:r>
              <w:rPr>
                <w:spacing w:val="3"/>
                <w:sz w:val="24"/>
                <w:szCs w:val="24"/>
              </w:rPr>
              <w:t>（</w:t>
            </w:r>
            <w:r>
              <w:rPr>
                <w:rFonts w:ascii="Times New Roman" w:hAnsi="Times New Roman" w:eastAsia="Times New Roman" w:cs="Times New Roman"/>
                <w:spacing w:val="3"/>
                <w:sz w:val="24"/>
                <w:szCs w:val="24"/>
              </w:rPr>
              <w:t>3</w:t>
            </w:r>
            <w:r>
              <w:rPr>
                <w:spacing w:val="3"/>
                <w:sz w:val="24"/>
                <w:szCs w:val="24"/>
              </w:rPr>
              <w:t>）</w:t>
            </w:r>
            <w:r>
              <w:rPr>
                <w:spacing w:val="-61"/>
                <w:sz w:val="24"/>
                <w:szCs w:val="24"/>
              </w:rPr>
              <w:t xml:space="preserve"> </w:t>
            </w:r>
            <w:r>
              <w:rPr>
                <w:rFonts w:ascii="Times New Roman" w:hAnsi="Times New Roman" w:eastAsia="Times New Roman" w:cs="Times New Roman"/>
                <w:spacing w:val="3"/>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26"/>
                <w:sz w:val="24"/>
                <w:szCs w:val="24"/>
              </w:rPr>
              <w:t xml:space="preserve"> </w:t>
            </w:r>
            <w:r>
              <w:rPr>
                <w:spacing w:val="3"/>
                <w:sz w:val="24"/>
                <w:szCs w:val="24"/>
              </w:rPr>
              <w:t>线路</w:t>
            </w:r>
            <w:r>
              <w:rPr>
                <w:spacing w:val="-44"/>
                <w:sz w:val="24"/>
                <w:szCs w:val="24"/>
              </w:rPr>
              <w:t xml:space="preserve"> </w:t>
            </w:r>
            <w:r>
              <w:rPr>
                <w:rFonts w:ascii="Times New Roman" w:hAnsi="Times New Roman" w:eastAsia="Times New Roman" w:cs="Times New Roman"/>
                <w:spacing w:val="3"/>
                <w:sz w:val="24"/>
                <w:szCs w:val="24"/>
              </w:rPr>
              <w:t>A</w:t>
            </w:r>
            <w:r>
              <w:rPr>
                <w:rFonts w:ascii="Times New Roman" w:hAnsi="Times New Roman" w:eastAsia="Times New Roman" w:cs="Times New Roman"/>
                <w:spacing w:val="29"/>
                <w:sz w:val="24"/>
                <w:szCs w:val="24"/>
              </w:rPr>
              <w:t xml:space="preserve"> </w:t>
            </w:r>
            <w:r>
              <w:rPr>
                <w:spacing w:val="3"/>
                <w:sz w:val="24"/>
                <w:szCs w:val="24"/>
              </w:rPr>
              <w:t>线：</w:t>
            </w:r>
            <w:r>
              <w:rPr>
                <w:rFonts w:ascii="Times New Roman" w:hAnsi="Times New Roman" w:eastAsia="Times New Roman" w:cs="Times New Roman"/>
                <w:spacing w:val="3"/>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26"/>
                <w:w w:val="101"/>
                <w:sz w:val="24"/>
                <w:szCs w:val="24"/>
              </w:rPr>
              <w:t xml:space="preserve"> </w:t>
            </w:r>
            <w:r>
              <w:rPr>
                <w:spacing w:val="3"/>
                <w:sz w:val="24"/>
                <w:szCs w:val="24"/>
              </w:rPr>
              <w:t>松山变～</w:t>
            </w:r>
            <w:r>
              <w:rPr>
                <w:rFonts w:ascii="Times New Roman" w:hAnsi="Times New Roman" w:eastAsia="Times New Roman" w:cs="Times New Roman"/>
                <w:spacing w:val="3"/>
                <w:sz w:val="24"/>
                <w:szCs w:val="24"/>
              </w:rPr>
              <w:t>220</w:t>
            </w:r>
            <w:r>
              <w:rPr>
                <w:rFonts w:ascii="Times New Roman" w:hAnsi="Times New Roman" w:eastAsia="Times New Roman" w:cs="Times New Roman"/>
                <w:sz w:val="24"/>
                <w:szCs w:val="24"/>
              </w:rPr>
              <w:t>kV</w:t>
            </w:r>
            <w:r>
              <w:rPr>
                <w:rFonts w:ascii="Times New Roman" w:hAnsi="Times New Roman" w:eastAsia="Times New Roman" w:cs="Times New Roman"/>
                <w:spacing w:val="30"/>
                <w:sz w:val="24"/>
                <w:szCs w:val="24"/>
              </w:rPr>
              <w:t xml:space="preserve"> </w:t>
            </w:r>
            <w:r>
              <w:rPr>
                <w:spacing w:val="3"/>
                <w:sz w:val="24"/>
                <w:szCs w:val="24"/>
              </w:rPr>
              <w:t>芳华变，起</w:t>
            </w:r>
            <w:r>
              <w:rPr>
                <w:spacing w:val="2"/>
                <w:sz w:val="24"/>
                <w:szCs w:val="24"/>
              </w:rPr>
              <w:t>点：</w:t>
            </w:r>
            <w:r>
              <w:rPr>
                <w:spacing w:val="-71"/>
                <w:sz w:val="24"/>
                <w:szCs w:val="24"/>
              </w:rPr>
              <w:t xml:space="preserve"> </w:t>
            </w:r>
            <w:r>
              <w:rPr>
                <w:spacing w:val="2"/>
                <w:sz w:val="24"/>
                <w:szCs w:val="24"/>
              </w:rPr>
              <w:t>东经</w:t>
            </w:r>
            <w:r>
              <w:rPr>
                <w:rFonts w:ascii="Times New Roman" w:hAnsi="Times New Roman" w:eastAsia="Times New Roman" w:cs="Times New Roman"/>
                <w:spacing w:val="-5"/>
                <w:sz w:val="24"/>
                <w:szCs w:val="24"/>
              </w:rPr>
              <w:t xml:space="preserve">103°44'23.203" </w:t>
            </w:r>
            <w:r>
              <w:rPr>
                <w:spacing w:val="-5"/>
                <w:sz w:val="24"/>
                <w:szCs w:val="24"/>
              </w:rPr>
              <w:t>，</w:t>
            </w:r>
            <w:r>
              <w:rPr>
                <w:spacing w:val="-66"/>
                <w:sz w:val="24"/>
                <w:szCs w:val="24"/>
              </w:rPr>
              <w:t xml:space="preserve"> </w:t>
            </w:r>
            <w:r>
              <w:rPr>
                <w:spacing w:val="-5"/>
                <w:sz w:val="24"/>
                <w:szCs w:val="24"/>
              </w:rPr>
              <w:t>北</w:t>
            </w:r>
            <w:r>
              <w:rPr>
                <w:spacing w:val="-69"/>
                <w:sz w:val="24"/>
                <w:szCs w:val="24"/>
              </w:rPr>
              <w:t xml:space="preserve"> </w:t>
            </w:r>
            <w:r>
              <w:rPr>
                <w:spacing w:val="-5"/>
                <w:sz w:val="24"/>
                <w:szCs w:val="24"/>
              </w:rPr>
              <w:t xml:space="preserve">纬 </w:t>
            </w:r>
            <w:r>
              <w:rPr>
                <w:rFonts w:ascii="Times New Roman" w:hAnsi="Times New Roman" w:eastAsia="Times New Roman" w:cs="Times New Roman"/>
                <w:spacing w:val="-5"/>
                <w:sz w:val="24"/>
                <w:szCs w:val="24"/>
              </w:rPr>
              <w:t>25°06'</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pacing w:val="-5"/>
                <w:sz w:val="24"/>
                <w:szCs w:val="24"/>
              </w:rPr>
              <w:t>13.616"</w:t>
            </w:r>
            <w:r>
              <w:rPr>
                <w:rFonts w:ascii="Times New Roman" w:hAnsi="Times New Roman" w:eastAsia="Times New Roman" w:cs="Times New Roman"/>
                <w:spacing w:val="16"/>
                <w:sz w:val="24"/>
                <w:szCs w:val="24"/>
              </w:rPr>
              <w:t xml:space="preserve"> </w:t>
            </w:r>
            <w:r>
              <w:rPr>
                <w:spacing w:val="-5"/>
                <w:sz w:val="24"/>
                <w:szCs w:val="24"/>
              </w:rPr>
              <w:t>。</w:t>
            </w:r>
            <w:r>
              <w:rPr>
                <w:spacing w:val="-66"/>
                <w:sz w:val="24"/>
                <w:szCs w:val="24"/>
              </w:rPr>
              <w:t xml:space="preserve"> </w:t>
            </w:r>
            <w:r>
              <w:rPr>
                <w:spacing w:val="-5"/>
                <w:sz w:val="24"/>
                <w:szCs w:val="24"/>
              </w:rPr>
              <w:t>终</w:t>
            </w:r>
            <w:r>
              <w:rPr>
                <w:spacing w:val="-57"/>
                <w:sz w:val="24"/>
                <w:szCs w:val="24"/>
              </w:rPr>
              <w:t xml:space="preserve"> </w:t>
            </w:r>
            <w:r>
              <w:rPr>
                <w:spacing w:val="-5"/>
                <w:sz w:val="24"/>
                <w:szCs w:val="24"/>
              </w:rPr>
              <w:t>点</w:t>
            </w:r>
            <w:r>
              <w:rPr>
                <w:spacing w:val="-50"/>
                <w:sz w:val="24"/>
                <w:szCs w:val="24"/>
              </w:rPr>
              <w:t xml:space="preserve"> </w:t>
            </w:r>
            <w:r>
              <w:rPr>
                <w:spacing w:val="-5"/>
                <w:sz w:val="24"/>
                <w:szCs w:val="24"/>
              </w:rPr>
              <w:t>：</w:t>
            </w:r>
            <w:r>
              <w:rPr>
                <w:spacing w:val="-64"/>
                <w:sz w:val="24"/>
                <w:szCs w:val="24"/>
              </w:rPr>
              <w:t xml:space="preserve"> </w:t>
            </w:r>
            <w:r>
              <w:rPr>
                <w:spacing w:val="-5"/>
                <w:sz w:val="24"/>
                <w:szCs w:val="24"/>
              </w:rPr>
              <w:t>东</w:t>
            </w:r>
            <w:r>
              <w:rPr>
                <w:spacing w:val="-67"/>
                <w:sz w:val="24"/>
                <w:szCs w:val="24"/>
              </w:rPr>
              <w:t xml:space="preserve"> </w:t>
            </w:r>
            <w:r>
              <w:rPr>
                <w:spacing w:val="-5"/>
                <w:sz w:val="24"/>
                <w:szCs w:val="24"/>
              </w:rPr>
              <w:t xml:space="preserve">经 </w:t>
            </w:r>
            <w:r>
              <w:rPr>
                <w:rFonts w:ascii="Times New Roman" w:hAnsi="Times New Roman" w:eastAsia="Times New Roman" w:cs="Times New Roman"/>
                <w:spacing w:val="-5"/>
                <w:sz w:val="24"/>
                <w:szCs w:val="24"/>
              </w:rPr>
              <w:t>103°39'34.896"</w:t>
            </w:r>
            <w:r>
              <w:rPr>
                <w:rFonts w:ascii="Times New Roman" w:hAnsi="Times New Roman" w:eastAsia="Times New Roman" w:cs="Times New Roman"/>
                <w:spacing w:val="-6"/>
                <w:sz w:val="24"/>
                <w:szCs w:val="24"/>
              </w:rPr>
              <w:t xml:space="preserve"> </w:t>
            </w:r>
            <w:r>
              <w:rPr>
                <w:spacing w:val="-6"/>
                <w:sz w:val="24"/>
                <w:szCs w:val="24"/>
              </w:rPr>
              <w:t>，</w:t>
            </w:r>
            <w:r>
              <w:rPr>
                <w:spacing w:val="-66"/>
                <w:sz w:val="24"/>
                <w:szCs w:val="24"/>
              </w:rPr>
              <w:t xml:space="preserve"> </w:t>
            </w:r>
            <w:r>
              <w:rPr>
                <w:spacing w:val="-6"/>
                <w:sz w:val="24"/>
                <w:szCs w:val="24"/>
              </w:rPr>
              <w:t>北</w:t>
            </w:r>
            <w:r>
              <w:rPr>
                <w:spacing w:val="-69"/>
                <w:sz w:val="24"/>
                <w:szCs w:val="24"/>
              </w:rPr>
              <w:t xml:space="preserve"> </w:t>
            </w:r>
            <w:r>
              <w:rPr>
                <w:spacing w:val="-6"/>
                <w:sz w:val="24"/>
                <w:szCs w:val="24"/>
              </w:rPr>
              <w:t>纬</w:t>
            </w:r>
            <w:r>
              <w:rPr>
                <w:rFonts w:ascii="Times New Roman" w:hAnsi="Times New Roman" w:eastAsia="Times New Roman" w:cs="Times New Roman"/>
                <w:spacing w:val="-1"/>
                <w:sz w:val="24"/>
                <w:szCs w:val="24"/>
              </w:rPr>
              <w:t>25°06'50.771"</w:t>
            </w:r>
            <w:r>
              <w:rPr>
                <w:spacing w:val="-1"/>
                <w:sz w:val="24"/>
                <w:szCs w:val="24"/>
              </w:rPr>
              <w:t>。</w:t>
            </w:r>
          </w:p>
          <w:p w14:paraId="04BEE3B1">
            <w:pPr>
              <w:pStyle w:val="6"/>
              <w:spacing w:before="29" w:line="359" w:lineRule="auto"/>
              <w:ind w:left="111" w:right="43" w:firstLine="483"/>
              <w:rPr>
                <w:sz w:val="24"/>
                <w:szCs w:val="24"/>
              </w:rPr>
            </w:pPr>
            <w:r>
              <w:rPr>
                <w:spacing w:val="-5"/>
                <w:sz w:val="24"/>
                <w:szCs w:val="24"/>
              </w:rPr>
              <w:t>（</w:t>
            </w:r>
            <w:r>
              <w:rPr>
                <w:rFonts w:ascii="Times New Roman" w:hAnsi="Times New Roman" w:eastAsia="Times New Roman" w:cs="Times New Roman"/>
                <w:spacing w:val="-5"/>
                <w:sz w:val="24"/>
                <w:szCs w:val="24"/>
              </w:rPr>
              <w:t>4</w:t>
            </w:r>
            <w:r>
              <w:rPr>
                <w:spacing w:val="-5"/>
                <w:sz w:val="24"/>
                <w:szCs w:val="24"/>
              </w:rPr>
              <w:t>）</w:t>
            </w:r>
            <w:r>
              <w:rPr>
                <w:rFonts w:ascii="Times New Roman" w:hAnsi="Times New Roman" w:eastAsia="Times New Roman" w:cs="Times New Roman"/>
                <w:spacing w:val="-5"/>
                <w:sz w:val="24"/>
                <w:szCs w:val="24"/>
              </w:rPr>
              <w:t>110kV</w:t>
            </w:r>
            <w:r>
              <w:rPr>
                <w:rFonts w:ascii="Times New Roman" w:hAnsi="Times New Roman" w:eastAsia="Times New Roman" w:cs="Times New Roman"/>
                <w:spacing w:val="14"/>
                <w:sz w:val="24"/>
                <w:szCs w:val="24"/>
              </w:rPr>
              <w:t xml:space="preserve"> </w:t>
            </w:r>
            <w:r>
              <w:rPr>
                <w:spacing w:val="-5"/>
                <w:sz w:val="24"/>
                <w:szCs w:val="24"/>
              </w:rPr>
              <w:t>线路</w:t>
            </w:r>
            <w:r>
              <w:rPr>
                <w:spacing w:val="-55"/>
                <w:sz w:val="24"/>
                <w:szCs w:val="24"/>
              </w:rPr>
              <w:t xml:space="preserve"> </w:t>
            </w:r>
            <w:r>
              <w:rPr>
                <w:rFonts w:ascii="Times New Roman" w:hAnsi="Times New Roman" w:eastAsia="Times New Roman" w:cs="Times New Roman"/>
                <w:spacing w:val="-5"/>
                <w:sz w:val="24"/>
                <w:szCs w:val="24"/>
              </w:rPr>
              <w:t xml:space="preserve">B </w:t>
            </w:r>
            <w:r>
              <w:rPr>
                <w:spacing w:val="-5"/>
                <w:sz w:val="24"/>
                <w:szCs w:val="24"/>
              </w:rPr>
              <w:t>线：</w:t>
            </w:r>
            <w:r>
              <w:rPr>
                <w:rFonts w:ascii="Times New Roman" w:hAnsi="Times New Roman" w:eastAsia="Times New Roman" w:cs="Times New Roman"/>
                <w:spacing w:val="-5"/>
                <w:sz w:val="24"/>
                <w:szCs w:val="24"/>
              </w:rPr>
              <w:t xml:space="preserve">110kV </w:t>
            </w:r>
            <w:r>
              <w:rPr>
                <w:spacing w:val="-5"/>
                <w:sz w:val="24"/>
                <w:szCs w:val="24"/>
              </w:rPr>
              <w:t>松山变“</w:t>
            </w:r>
            <w:r>
              <w:rPr>
                <w:rFonts w:ascii="Times New Roman" w:hAnsi="Times New Roman" w:eastAsia="Times New Roman" w:cs="Times New Roman"/>
                <w:spacing w:val="-5"/>
                <w:sz w:val="24"/>
                <w:szCs w:val="24"/>
              </w:rPr>
              <w:t>T</w:t>
            </w:r>
            <w:r>
              <w:rPr>
                <w:rFonts w:ascii="Times New Roman" w:hAnsi="Times New Roman" w:eastAsia="Times New Roman" w:cs="Times New Roman"/>
                <w:spacing w:val="-29"/>
                <w:sz w:val="24"/>
                <w:szCs w:val="24"/>
              </w:rPr>
              <w:t xml:space="preserve"> </w:t>
            </w:r>
            <w:r>
              <w:rPr>
                <w:spacing w:val="-5"/>
                <w:sz w:val="24"/>
                <w:szCs w:val="24"/>
              </w:rPr>
              <w:t>”接芳华变出线</w:t>
            </w:r>
            <w:r>
              <w:rPr>
                <w:spacing w:val="-6"/>
                <w:sz w:val="24"/>
                <w:szCs w:val="24"/>
              </w:rPr>
              <w:t>π接</w:t>
            </w:r>
            <w:r>
              <w:rPr>
                <w:spacing w:val="-31"/>
                <w:sz w:val="24"/>
                <w:szCs w:val="24"/>
              </w:rPr>
              <w:t xml:space="preserve"> </w:t>
            </w:r>
            <w:r>
              <w:rPr>
                <w:rFonts w:ascii="Times New Roman" w:hAnsi="Times New Roman" w:eastAsia="Times New Roman" w:cs="Times New Roman"/>
                <w:spacing w:val="-6"/>
                <w:sz w:val="24"/>
                <w:szCs w:val="24"/>
              </w:rPr>
              <w:t>110kV</w:t>
            </w:r>
            <w:r>
              <w:rPr>
                <w:rFonts w:ascii="Times New Roman" w:hAnsi="Times New Roman" w:eastAsia="Times New Roman" w:cs="Times New Roman"/>
                <w:spacing w:val="17"/>
                <w:sz w:val="24"/>
                <w:szCs w:val="24"/>
              </w:rPr>
              <w:t xml:space="preserve"> </w:t>
            </w:r>
            <w:r>
              <w:rPr>
                <w:spacing w:val="-6"/>
                <w:sz w:val="24"/>
                <w:szCs w:val="24"/>
              </w:rPr>
              <w:t>吉</w:t>
            </w:r>
            <w:r>
              <w:rPr>
                <w:spacing w:val="-5"/>
                <w:sz w:val="24"/>
                <w:szCs w:val="24"/>
              </w:rPr>
              <w:t>中线的</w:t>
            </w:r>
            <w:r>
              <w:rPr>
                <w:spacing w:val="-32"/>
                <w:sz w:val="24"/>
                <w:szCs w:val="24"/>
              </w:rPr>
              <w:t xml:space="preserve"> </w:t>
            </w:r>
            <w:r>
              <w:rPr>
                <w:rFonts w:ascii="Times New Roman" w:hAnsi="Times New Roman" w:eastAsia="Times New Roman" w:cs="Times New Roman"/>
                <w:spacing w:val="-5"/>
                <w:sz w:val="24"/>
                <w:szCs w:val="24"/>
              </w:rPr>
              <w:t xml:space="preserve">110kV </w:t>
            </w:r>
            <w:r>
              <w:rPr>
                <w:spacing w:val="-5"/>
                <w:sz w:val="24"/>
                <w:szCs w:val="24"/>
              </w:rPr>
              <w:t>线路。起点：东经</w:t>
            </w:r>
            <w:r>
              <w:rPr>
                <w:spacing w:val="-32"/>
                <w:sz w:val="24"/>
                <w:szCs w:val="24"/>
              </w:rPr>
              <w:t xml:space="preserve"> </w:t>
            </w:r>
            <w:r>
              <w:rPr>
                <w:rFonts w:ascii="Times New Roman" w:hAnsi="Times New Roman" w:eastAsia="Times New Roman" w:cs="Times New Roman"/>
                <w:spacing w:val="-5"/>
                <w:sz w:val="24"/>
                <w:szCs w:val="24"/>
              </w:rPr>
              <w:t>103°44'22.875"</w:t>
            </w:r>
            <w:r>
              <w:rPr>
                <w:rFonts w:ascii="Times New Roman" w:hAnsi="Times New Roman" w:eastAsia="Times New Roman" w:cs="Times New Roman"/>
                <w:spacing w:val="-31"/>
                <w:sz w:val="24"/>
                <w:szCs w:val="24"/>
              </w:rPr>
              <w:t xml:space="preserve"> </w:t>
            </w:r>
            <w:r>
              <w:rPr>
                <w:spacing w:val="-5"/>
                <w:sz w:val="24"/>
                <w:szCs w:val="24"/>
              </w:rPr>
              <w:t>，北纬</w:t>
            </w:r>
            <w:r>
              <w:rPr>
                <w:spacing w:val="-55"/>
                <w:sz w:val="24"/>
                <w:szCs w:val="24"/>
              </w:rPr>
              <w:t xml:space="preserve"> </w:t>
            </w:r>
            <w:r>
              <w:rPr>
                <w:rFonts w:ascii="Times New Roman" w:hAnsi="Times New Roman" w:eastAsia="Times New Roman" w:cs="Times New Roman"/>
                <w:spacing w:val="-5"/>
                <w:sz w:val="24"/>
                <w:szCs w:val="24"/>
              </w:rPr>
              <w:t>25°06'</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pacing w:val="-5"/>
                <w:sz w:val="24"/>
                <w:szCs w:val="24"/>
              </w:rPr>
              <w:t>12.793"</w:t>
            </w:r>
            <w:r>
              <w:rPr>
                <w:rFonts w:ascii="Times New Roman" w:hAnsi="Times New Roman" w:eastAsia="Times New Roman" w:cs="Times New Roman"/>
                <w:spacing w:val="-30"/>
                <w:sz w:val="24"/>
                <w:szCs w:val="24"/>
              </w:rPr>
              <w:t xml:space="preserve"> </w:t>
            </w:r>
            <w:r>
              <w:rPr>
                <w:spacing w:val="-5"/>
                <w:sz w:val="24"/>
                <w:szCs w:val="24"/>
              </w:rPr>
              <w:t>，终点：</w:t>
            </w:r>
            <w:r>
              <w:rPr>
                <w:spacing w:val="-3"/>
                <w:sz w:val="24"/>
                <w:szCs w:val="24"/>
              </w:rPr>
              <w:t>东经</w:t>
            </w:r>
            <w:r>
              <w:rPr>
                <w:spacing w:val="-19"/>
                <w:sz w:val="24"/>
                <w:szCs w:val="24"/>
              </w:rPr>
              <w:t xml:space="preserve"> </w:t>
            </w:r>
            <w:r>
              <w:rPr>
                <w:rFonts w:ascii="Times New Roman" w:hAnsi="Times New Roman" w:eastAsia="Times New Roman" w:cs="Times New Roman"/>
                <w:spacing w:val="-3"/>
                <w:sz w:val="24"/>
                <w:szCs w:val="24"/>
              </w:rPr>
              <w:t>103°42'05.482"</w:t>
            </w:r>
            <w:r>
              <w:rPr>
                <w:rFonts w:ascii="Times New Roman" w:hAnsi="Times New Roman" w:eastAsia="Times New Roman" w:cs="Times New Roman"/>
                <w:spacing w:val="-28"/>
                <w:sz w:val="24"/>
                <w:szCs w:val="24"/>
              </w:rPr>
              <w:t xml:space="preserve"> </w:t>
            </w:r>
            <w:r>
              <w:rPr>
                <w:spacing w:val="-3"/>
                <w:sz w:val="24"/>
                <w:szCs w:val="24"/>
              </w:rPr>
              <w:t>，北纬</w:t>
            </w:r>
            <w:r>
              <w:rPr>
                <w:spacing w:val="-55"/>
                <w:sz w:val="24"/>
                <w:szCs w:val="24"/>
              </w:rPr>
              <w:t xml:space="preserve"> </w:t>
            </w:r>
            <w:r>
              <w:rPr>
                <w:rFonts w:ascii="Times New Roman" w:hAnsi="Times New Roman" w:eastAsia="Times New Roman" w:cs="Times New Roman"/>
                <w:spacing w:val="-3"/>
                <w:sz w:val="24"/>
                <w:szCs w:val="24"/>
              </w:rPr>
              <w:t>25°04'46.379"</w:t>
            </w:r>
            <w:r>
              <w:rPr>
                <w:spacing w:val="-3"/>
                <w:sz w:val="24"/>
                <w:szCs w:val="24"/>
              </w:rPr>
              <w:t>。</w:t>
            </w:r>
          </w:p>
          <w:p w14:paraId="52C53EB8">
            <w:pPr>
              <w:pStyle w:val="6"/>
              <w:spacing w:before="2" w:line="351" w:lineRule="auto"/>
              <w:ind w:left="98" w:right="129" w:firstLine="495"/>
              <w:rPr>
                <w:sz w:val="24"/>
                <w:szCs w:val="24"/>
              </w:rPr>
            </w:pPr>
            <w:r>
              <w:rPr>
                <w:spacing w:val="-2"/>
                <w:sz w:val="24"/>
                <w:szCs w:val="24"/>
              </w:rPr>
              <w:t>（</w:t>
            </w:r>
            <w:r>
              <w:rPr>
                <w:rFonts w:ascii="Times New Roman" w:hAnsi="Times New Roman" w:eastAsia="Times New Roman" w:cs="Times New Roman"/>
                <w:spacing w:val="-2"/>
                <w:sz w:val="24"/>
                <w:szCs w:val="24"/>
              </w:rPr>
              <w:t>5</w:t>
            </w:r>
            <w:r>
              <w:rPr>
                <w:spacing w:val="-2"/>
                <w:sz w:val="24"/>
                <w:szCs w:val="24"/>
              </w:rPr>
              <w:t>）</w:t>
            </w:r>
            <w:r>
              <w:rPr>
                <w:rFonts w:ascii="Times New Roman" w:hAnsi="Times New Roman" w:eastAsia="Times New Roman" w:cs="Times New Roman"/>
                <w:spacing w:val="-2"/>
                <w:sz w:val="24"/>
                <w:szCs w:val="24"/>
              </w:rPr>
              <w:t xml:space="preserve">35kV </w:t>
            </w:r>
            <w:r>
              <w:rPr>
                <w:spacing w:val="-2"/>
                <w:sz w:val="24"/>
                <w:szCs w:val="24"/>
              </w:rPr>
              <w:t>线路：</w:t>
            </w:r>
            <w:r>
              <w:rPr>
                <w:rFonts w:ascii="Times New Roman" w:hAnsi="Times New Roman" w:eastAsia="Times New Roman" w:cs="Times New Roman"/>
                <w:spacing w:val="-2"/>
                <w:sz w:val="24"/>
                <w:szCs w:val="24"/>
              </w:rPr>
              <w:t xml:space="preserve">110kV </w:t>
            </w:r>
            <w:r>
              <w:rPr>
                <w:spacing w:val="-2"/>
                <w:sz w:val="24"/>
                <w:szCs w:val="24"/>
              </w:rPr>
              <w:t>松山变</w:t>
            </w:r>
            <w:r>
              <w:rPr>
                <w:rFonts w:ascii="Times New Roman" w:hAnsi="Times New Roman" w:eastAsia="Times New Roman" w:cs="Times New Roman"/>
                <w:spacing w:val="-2"/>
                <w:sz w:val="24"/>
                <w:szCs w:val="24"/>
              </w:rPr>
              <w:t>“T”</w:t>
            </w:r>
            <w:r>
              <w:rPr>
                <w:spacing w:val="-2"/>
                <w:sz w:val="24"/>
                <w:szCs w:val="24"/>
              </w:rPr>
              <w:t>接</w:t>
            </w:r>
            <w:r>
              <w:rPr>
                <w:spacing w:val="-50"/>
                <w:sz w:val="24"/>
                <w:szCs w:val="24"/>
              </w:rPr>
              <w:t xml:space="preserve"> </w:t>
            </w:r>
            <w:r>
              <w:rPr>
                <w:rFonts w:ascii="Times New Roman" w:hAnsi="Times New Roman" w:eastAsia="Times New Roman" w:cs="Times New Roman"/>
                <w:spacing w:val="-2"/>
                <w:sz w:val="24"/>
                <w:szCs w:val="24"/>
              </w:rPr>
              <w:t xml:space="preserve">35kV </w:t>
            </w:r>
            <w:r>
              <w:rPr>
                <w:spacing w:val="-2"/>
                <w:sz w:val="24"/>
                <w:szCs w:val="24"/>
              </w:rPr>
              <w:t>金瑞达瓷业线线路，起点：</w:t>
            </w:r>
            <w:r>
              <w:rPr>
                <w:spacing w:val="-3"/>
                <w:sz w:val="24"/>
                <w:szCs w:val="24"/>
              </w:rPr>
              <w:t>东经</w:t>
            </w:r>
            <w:r>
              <w:rPr>
                <w:spacing w:val="-32"/>
                <w:sz w:val="24"/>
                <w:szCs w:val="24"/>
              </w:rPr>
              <w:t xml:space="preserve"> </w:t>
            </w:r>
            <w:r>
              <w:rPr>
                <w:rFonts w:ascii="Times New Roman" w:hAnsi="Times New Roman" w:eastAsia="Times New Roman" w:cs="Times New Roman"/>
                <w:spacing w:val="-3"/>
                <w:sz w:val="24"/>
                <w:szCs w:val="24"/>
              </w:rPr>
              <w:t>103°44'26.276"</w:t>
            </w:r>
            <w:r>
              <w:rPr>
                <w:rFonts w:ascii="Times New Roman" w:hAnsi="Times New Roman" w:eastAsia="Times New Roman" w:cs="Times New Roman"/>
                <w:spacing w:val="-28"/>
                <w:sz w:val="24"/>
                <w:szCs w:val="24"/>
              </w:rPr>
              <w:t xml:space="preserve"> </w:t>
            </w:r>
            <w:r>
              <w:rPr>
                <w:spacing w:val="-3"/>
                <w:sz w:val="24"/>
                <w:szCs w:val="24"/>
              </w:rPr>
              <w:t>，北纬</w:t>
            </w:r>
            <w:r>
              <w:rPr>
                <w:spacing w:val="-55"/>
                <w:sz w:val="24"/>
                <w:szCs w:val="24"/>
              </w:rPr>
              <w:t xml:space="preserve"> </w:t>
            </w:r>
            <w:r>
              <w:rPr>
                <w:rFonts w:ascii="Times New Roman" w:hAnsi="Times New Roman" w:eastAsia="Times New Roman" w:cs="Times New Roman"/>
                <w:spacing w:val="-3"/>
                <w:sz w:val="24"/>
                <w:szCs w:val="24"/>
              </w:rPr>
              <w:t>25°06'</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pacing w:val="-3"/>
                <w:sz w:val="24"/>
                <w:szCs w:val="24"/>
              </w:rPr>
              <w:t>11.518</w:t>
            </w:r>
            <w:r>
              <w:rPr>
                <w:rFonts w:ascii="Times New Roman" w:hAnsi="Times New Roman" w:eastAsia="Times New Roman" w:cs="Times New Roman"/>
                <w:spacing w:val="-4"/>
                <w:sz w:val="24"/>
                <w:szCs w:val="24"/>
              </w:rPr>
              <w:t>"</w:t>
            </w:r>
            <w:r>
              <w:rPr>
                <w:rFonts w:ascii="Times New Roman" w:hAnsi="Times New Roman" w:eastAsia="Times New Roman" w:cs="Times New Roman"/>
                <w:spacing w:val="-26"/>
                <w:sz w:val="24"/>
                <w:szCs w:val="24"/>
              </w:rPr>
              <w:t xml:space="preserve"> </w:t>
            </w:r>
            <w:r>
              <w:rPr>
                <w:spacing w:val="-4"/>
                <w:sz w:val="24"/>
                <w:szCs w:val="24"/>
              </w:rPr>
              <w:t>。终点：东经</w:t>
            </w:r>
            <w:r>
              <w:rPr>
                <w:spacing w:val="-32"/>
                <w:sz w:val="24"/>
                <w:szCs w:val="24"/>
              </w:rPr>
              <w:t xml:space="preserve"> </w:t>
            </w:r>
            <w:r>
              <w:rPr>
                <w:rFonts w:ascii="Times New Roman" w:hAnsi="Times New Roman" w:eastAsia="Times New Roman" w:cs="Times New Roman"/>
                <w:spacing w:val="-4"/>
                <w:sz w:val="24"/>
                <w:szCs w:val="24"/>
              </w:rPr>
              <w:t>103°44'32.073"</w:t>
            </w:r>
            <w:r>
              <w:rPr>
                <w:rFonts w:ascii="Times New Roman" w:hAnsi="Times New Roman" w:eastAsia="Times New Roman" w:cs="Times New Roman"/>
                <w:spacing w:val="-31"/>
                <w:sz w:val="24"/>
                <w:szCs w:val="24"/>
              </w:rPr>
              <w:t xml:space="preserve"> </w:t>
            </w:r>
            <w:r>
              <w:rPr>
                <w:spacing w:val="-4"/>
                <w:sz w:val="24"/>
                <w:szCs w:val="24"/>
              </w:rPr>
              <w:t>，北纬</w:t>
            </w:r>
            <w:r>
              <w:rPr>
                <w:rFonts w:ascii="Times New Roman" w:hAnsi="Times New Roman" w:eastAsia="Times New Roman" w:cs="Times New Roman"/>
                <w:spacing w:val="-1"/>
                <w:sz w:val="24"/>
                <w:szCs w:val="24"/>
              </w:rPr>
              <w:t>25°06'09.929"</w:t>
            </w:r>
            <w:r>
              <w:rPr>
                <w:spacing w:val="-1"/>
                <w:sz w:val="24"/>
                <w:szCs w:val="24"/>
              </w:rPr>
              <w:t>。</w:t>
            </w:r>
          </w:p>
          <w:p w14:paraId="7CA78DEF">
            <w:pPr>
              <w:pStyle w:val="6"/>
              <w:spacing w:before="31" w:line="219" w:lineRule="auto"/>
              <w:ind w:left="586"/>
              <w:rPr>
                <w:sz w:val="24"/>
                <w:szCs w:val="24"/>
              </w:rPr>
            </w:pPr>
            <w:r>
              <w:rPr>
                <w:spacing w:val="-4"/>
                <w:sz w:val="24"/>
                <w:szCs w:val="24"/>
              </w:rPr>
              <w:t>项目地理位置图详见附图</w:t>
            </w:r>
            <w:r>
              <w:rPr>
                <w:spacing w:val="-23"/>
                <w:sz w:val="24"/>
                <w:szCs w:val="24"/>
              </w:rPr>
              <w:t xml:space="preserve"> </w:t>
            </w:r>
            <w:r>
              <w:rPr>
                <w:rFonts w:ascii="Times New Roman" w:hAnsi="Times New Roman" w:eastAsia="Times New Roman" w:cs="Times New Roman"/>
                <w:spacing w:val="-4"/>
                <w:sz w:val="24"/>
                <w:szCs w:val="24"/>
              </w:rPr>
              <w:t>1</w:t>
            </w:r>
            <w:r>
              <w:rPr>
                <w:spacing w:val="-4"/>
                <w:sz w:val="24"/>
                <w:szCs w:val="24"/>
              </w:rPr>
              <w:t>。</w:t>
            </w:r>
          </w:p>
        </w:tc>
      </w:tr>
      <w:tr w14:paraId="10525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2" w:hRule="atLeast"/>
        </w:trPr>
        <w:tc>
          <w:tcPr>
            <w:tcW w:w="375" w:type="dxa"/>
            <w:textDirection w:val="tbRlV"/>
            <w:vAlign w:val="top"/>
          </w:tcPr>
          <w:p w14:paraId="0F63E1E1">
            <w:pPr>
              <w:pStyle w:val="6"/>
              <w:spacing w:before="17" w:line="194" w:lineRule="auto"/>
              <w:ind w:left="1518"/>
              <w:rPr>
                <w:sz w:val="24"/>
                <w:szCs w:val="24"/>
              </w:rPr>
            </w:pPr>
            <w:r>
              <w:rPr>
                <w:spacing w:val="22"/>
                <w:w w:val="116"/>
                <w:sz w:val="24"/>
                <w:szCs w:val="24"/>
              </w:rPr>
              <w:t>项</w:t>
            </w:r>
            <w:r>
              <w:rPr>
                <w:spacing w:val="22"/>
                <w:w w:val="116"/>
                <w:position w:val="2"/>
                <w:sz w:val="24"/>
                <w:szCs w:val="24"/>
              </w:rPr>
              <w:t>目</w:t>
            </w:r>
            <w:r>
              <w:rPr>
                <w:spacing w:val="22"/>
                <w:w w:val="116"/>
                <w:sz w:val="24"/>
                <w:szCs w:val="24"/>
              </w:rPr>
              <w:t>组成及规模</w:t>
            </w:r>
          </w:p>
        </w:tc>
        <w:tc>
          <w:tcPr>
            <w:tcW w:w="8149" w:type="dxa"/>
            <w:vAlign w:val="top"/>
          </w:tcPr>
          <w:p w14:paraId="4FFD1C9B">
            <w:pPr>
              <w:pStyle w:val="6"/>
              <w:spacing w:before="40" w:line="219" w:lineRule="auto"/>
              <w:ind w:left="106"/>
              <w:rPr>
                <w:sz w:val="24"/>
                <w:szCs w:val="24"/>
              </w:rPr>
            </w:pPr>
            <w:r>
              <w:rPr>
                <w:b/>
                <w:bCs/>
                <w:spacing w:val="-5"/>
                <w:sz w:val="24"/>
                <w:szCs w:val="24"/>
              </w:rPr>
              <w:t>一、项目由来</w:t>
            </w:r>
          </w:p>
          <w:p w14:paraId="7C2A3BF5">
            <w:pPr>
              <w:pStyle w:val="6"/>
              <w:spacing w:before="181" w:line="359" w:lineRule="auto"/>
              <w:ind w:left="121" w:right="41" w:firstLine="464"/>
              <w:jc w:val="both"/>
              <w:rPr>
                <w:sz w:val="24"/>
                <w:szCs w:val="24"/>
              </w:rPr>
            </w:pPr>
            <w:r>
              <w:rPr>
                <w:spacing w:val="17"/>
                <w:sz w:val="24"/>
                <w:szCs w:val="24"/>
              </w:rPr>
              <w:t>本工程建设主要满足陆良县东北部供电片区</w:t>
            </w:r>
            <w:r>
              <w:rPr>
                <w:spacing w:val="16"/>
                <w:sz w:val="24"/>
                <w:szCs w:val="24"/>
              </w:rPr>
              <w:t>负荷增长的需求，缓解</w:t>
            </w:r>
            <w:r>
              <w:rPr>
                <w:rFonts w:ascii="Times New Roman" w:hAnsi="Times New Roman" w:eastAsia="Times New Roman" w:cs="Times New Roman"/>
                <w:spacing w:val="-6"/>
                <w:sz w:val="24"/>
                <w:szCs w:val="24"/>
              </w:rPr>
              <w:t>110kV</w:t>
            </w:r>
            <w:r>
              <w:rPr>
                <w:rFonts w:ascii="Times New Roman" w:hAnsi="Times New Roman" w:eastAsia="Times New Roman" w:cs="Times New Roman"/>
                <w:spacing w:val="22"/>
                <w:sz w:val="24"/>
                <w:szCs w:val="24"/>
              </w:rPr>
              <w:t xml:space="preserve"> </w:t>
            </w:r>
            <w:r>
              <w:rPr>
                <w:spacing w:val="-6"/>
                <w:sz w:val="24"/>
                <w:szCs w:val="24"/>
              </w:rPr>
              <w:t>中纪变供电压力，优化和完善中纪变供电片区</w:t>
            </w:r>
            <w:r>
              <w:rPr>
                <w:spacing w:val="-67"/>
                <w:sz w:val="24"/>
                <w:szCs w:val="24"/>
              </w:rPr>
              <w:t xml:space="preserve"> </w:t>
            </w:r>
            <w:r>
              <w:rPr>
                <w:rFonts w:ascii="Times New Roman" w:hAnsi="Times New Roman" w:eastAsia="Times New Roman" w:cs="Times New Roman"/>
                <w:spacing w:val="-6"/>
                <w:sz w:val="24"/>
                <w:szCs w:val="24"/>
              </w:rPr>
              <w:t xml:space="preserve">35kV </w:t>
            </w:r>
            <w:r>
              <w:rPr>
                <w:spacing w:val="-6"/>
                <w:sz w:val="24"/>
                <w:szCs w:val="24"/>
              </w:rPr>
              <w:t>和</w:t>
            </w:r>
            <w:r>
              <w:rPr>
                <w:rFonts w:ascii="Times New Roman" w:hAnsi="Times New Roman" w:eastAsia="Times New Roman" w:cs="Times New Roman"/>
                <w:spacing w:val="-6"/>
                <w:sz w:val="24"/>
                <w:szCs w:val="24"/>
              </w:rPr>
              <w:t xml:space="preserve">10kV </w:t>
            </w:r>
            <w:r>
              <w:rPr>
                <w:spacing w:val="-6"/>
                <w:sz w:val="24"/>
                <w:szCs w:val="24"/>
              </w:rPr>
              <w:t>网架结构，</w:t>
            </w:r>
            <w:r>
              <w:rPr>
                <w:spacing w:val="-2"/>
                <w:sz w:val="24"/>
                <w:szCs w:val="24"/>
              </w:rPr>
              <w:t>降低电网运行风险、提高电网的供电可靠性和灵活性。</w:t>
            </w:r>
          </w:p>
          <w:p w14:paraId="35568CF2">
            <w:pPr>
              <w:pStyle w:val="6"/>
              <w:spacing w:before="1" w:line="217" w:lineRule="auto"/>
              <w:ind w:left="106"/>
              <w:rPr>
                <w:sz w:val="24"/>
                <w:szCs w:val="24"/>
              </w:rPr>
            </w:pPr>
            <w:r>
              <w:rPr>
                <w:b/>
                <w:bCs/>
                <w:spacing w:val="-3"/>
                <w:sz w:val="24"/>
                <w:szCs w:val="24"/>
              </w:rPr>
              <w:t>二、确定编制环境影响评价文件类别的依据</w:t>
            </w:r>
          </w:p>
          <w:p w14:paraId="7846804D">
            <w:pPr>
              <w:pStyle w:val="6"/>
              <w:spacing w:before="184" w:line="359" w:lineRule="auto"/>
              <w:ind w:left="104" w:right="101" w:firstLine="479"/>
              <w:jc w:val="both"/>
              <w:rPr>
                <w:sz w:val="24"/>
                <w:szCs w:val="24"/>
              </w:rPr>
            </w:pPr>
            <w:r>
              <w:rPr>
                <w:spacing w:val="-5"/>
                <w:sz w:val="24"/>
                <w:szCs w:val="24"/>
              </w:rPr>
              <w:t>根据《中华人民共和国环境保护法》（</w:t>
            </w:r>
            <w:r>
              <w:rPr>
                <w:rFonts w:ascii="Times New Roman" w:hAnsi="Times New Roman" w:eastAsia="Times New Roman" w:cs="Times New Roman"/>
                <w:spacing w:val="-5"/>
                <w:sz w:val="24"/>
                <w:szCs w:val="24"/>
              </w:rPr>
              <w:t xml:space="preserve">2015 </w:t>
            </w:r>
            <w:r>
              <w:rPr>
                <w:spacing w:val="-5"/>
                <w:sz w:val="24"/>
                <w:szCs w:val="24"/>
              </w:rPr>
              <w:t>年</w:t>
            </w:r>
            <w:r>
              <w:rPr>
                <w:spacing w:val="-32"/>
                <w:sz w:val="24"/>
                <w:szCs w:val="24"/>
              </w:rPr>
              <w:t xml:space="preserve"> </w:t>
            </w:r>
            <w:r>
              <w:rPr>
                <w:rFonts w:ascii="Times New Roman" w:hAnsi="Times New Roman" w:eastAsia="Times New Roman" w:cs="Times New Roman"/>
                <w:spacing w:val="-5"/>
                <w:sz w:val="24"/>
                <w:szCs w:val="24"/>
              </w:rPr>
              <w:t>1</w:t>
            </w:r>
            <w:r>
              <w:rPr>
                <w:rFonts w:ascii="Times New Roman" w:hAnsi="Times New Roman" w:eastAsia="Times New Roman" w:cs="Times New Roman"/>
                <w:spacing w:val="15"/>
                <w:sz w:val="24"/>
                <w:szCs w:val="24"/>
              </w:rPr>
              <w:t xml:space="preserve"> </w:t>
            </w:r>
            <w:r>
              <w:rPr>
                <w:spacing w:val="-5"/>
                <w:sz w:val="24"/>
                <w:szCs w:val="24"/>
              </w:rPr>
              <w:t>月</w:t>
            </w:r>
            <w:r>
              <w:rPr>
                <w:spacing w:val="-32"/>
                <w:sz w:val="24"/>
                <w:szCs w:val="24"/>
              </w:rPr>
              <w:t xml:space="preserve"> </w:t>
            </w:r>
            <w:r>
              <w:rPr>
                <w:rFonts w:ascii="Times New Roman" w:hAnsi="Times New Roman" w:eastAsia="Times New Roman" w:cs="Times New Roman"/>
                <w:spacing w:val="-5"/>
                <w:sz w:val="24"/>
                <w:szCs w:val="24"/>
              </w:rPr>
              <w:t xml:space="preserve">1  </w:t>
            </w:r>
            <w:r>
              <w:rPr>
                <w:spacing w:val="-5"/>
                <w:sz w:val="24"/>
                <w:szCs w:val="24"/>
              </w:rPr>
              <w:t>日施行</w:t>
            </w:r>
            <w:r>
              <w:rPr>
                <w:spacing w:val="-6"/>
                <w:sz w:val="24"/>
                <w:szCs w:val="24"/>
              </w:rPr>
              <w:t>）、《中华</w:t>
            </w:r>
            <w:r>
              <w:rPr>
                <w:spacing w:val="-4"/>
                <w:sz w:val="24"/>
                <w:szCs w:val="24"/>
              </w:rPr>
              <w:t>人民共和国环境影响评价法》（</w:t>
            </w:r>
            <w:r>
              <w:rPr>
                <w:rFonts w:ascii="Times New Roman" w:hAnsi="Times New Roman" w:eastAsia="Times New Roman" w:cs="Times New Roman"/>
                <w:spacing w:val="-4"/>
                <w:sz w:val="24"/>
                <w:szCs w:val="24"/>
              </w:rPr>
              <w:t xml:space="preserve">2018 </w:t>
            </w:r>
            <w:r>
              <w:rPr>
                <w:spacing w:val="-4"/>
                <w:sz w:val="24"/>
                <w:szCs w:val="24"/>
              </w:rPr>
              <w:t>年</w:t>
            </w:r>
            <w:r>
              <w:rPr>
                <w:spacing w:val="-32"/>
                <w:sz w:val="24"/>
                <w:szCs w:val="24"/>
              </w:rPr>
              <w:t xml:space="preserve"> </w:t>
            </w:r>
            <w:r>
              <w:rPr>
                <w:rFonts w:ascii="Times New Roman" w:hAnsi="Times New Roman" w:eastAsia="Times New Roman" w:cs="Times New Roman"/>
                <w:spacing w:val="-4"/>
                <w:sz w:val="24"/>
                <w:szCs w:val="24"/>
              </w:rPr>
              <w:t>12</w:t>
            </w:r>
            <w:r>
              <w:rPr>
                <w:rFonts w:ascii="Times New Roman" w:hAnsi="Times New Roman" w:eastAsia="Times New Roman" w:cs="Times New Roman"/>
                <w:spacing w:val="15"/>
                <w:sz w:val="24"/>
                <w:szCs w:val="24"/>
              </w:rPr>
              <w:t xml:space="preserve"> </w:t>
            </w:r>
            <w:r>
              <w:rPr>
                <w:spacing w:val="-4"/>
                <w:sz w:val="24"/>
                <w:szCs w:val="24"/>
              </w:rPr>
              <w:t>月</w:t>
            </w:r>
            <w:r>
              <w:rPr>
                <w:spacing w:val="-55"/>
                <w:sz w:val="24"/>
                <w:szCs w:val="24"/>
              </w:rPr>
              <w:t xml:space="preserve"> </w:t>
            </w:r>
            <w:r>
              <w:rPr>
                <w:rFonts w:ascii="Times New Roman" w:hAnsi="Times New Roman" w:eastAsia="Times New Roman" w:cs="Times New Roman"/>
                <w:spacing w:val="-4"/>
                <w:sz w:val="24"/>
                <w:szCs w:val="24"/>
              </w:rPr>
              <w:t xml:space="preserve">29  </w:t>
            </w:r>
            <w:r>
              <w:rPr>
                <w:spacing w:val="-4"/>
                <w:sz w:val="24"/>
                <w:szCs w:val="24"/>
              </w:rPr>
              <w:t>日施行）、</w:t>
            </w:r>
            <w:r>
              <w:rPr>
                <w:spacing w:val="-5"/>
                <w:sz w:val="24"/>
                <w:szCs w:val="24"/>
              </w:rPr>
              <w:t>《建设项目环境</w:t>
            </w:r>
            <w:r>
              <w:rPr>
                <w:spacing w:val="-3"/>
                <w:sz w:val="24"/>
                <w:szCs w:val="24"/>
              </w:rPr>
              <w:t>保护管理条例》（中华人民共和国国务院令第</w:t>
            </w:r>
            <w:r>
              <w:rPr>
                <w:spacing w:val="-47"/>
                <w:sz w:val="24"/>
                <w:szCs w:val="24"/>
              </w:rPr>
              <w:t xml:space="preserve"> </w:t>
            </w:r>
            <w:r>
              <w:rPr>
                <w:rFonts w:ascii="Times New Roman" w:hAnsi="Times New Roman" w:eastAsia="Times New Roman" w:cs="Times New Roman"/>
                <w:spacing w:val="-3"/>
                <w:sz w:val="24"/>
                <w:szCs w:val="24"/>
              </w:rPr>
              <w:t>682</w:t>
            </w:r>
            <w:r>
              <w:rPr>
                <w:rFonts w:ascii="Times New Roman" w:hAnsi="Times New Roman" w:eastAsia="Times New Roman" w:cs="Times New Roman"/>
                <w:spacing w:val="17"/>
                <w:w w:val="101"/>
                <w:sz w:val="24"/>
                <w:szCs w:val="24"/>
              </w:rPr>
              <w:t xml:space="preserve"> </w:t>
            </w:r>
            <w:r>
              <w:rPr>
                <w:spacing w:val="-3"/>
                <w:sz w:val="24"/>
                <w:szCs w:val="24"/>
              </w:rPr>
              <w:t>号，</w:t>
            </w:r>
            <w:r>
              <w:rPr>
                <w:rFonts w:ascii="Times New Roman" w:hAnsi="Times New Roman" w:eastAsia="Times New Roman" w:cs="Times New Roman"/>
                <w:spacing w:val="-3"/>
                <w:sz w:val="24"/>
                <w:szCs w:val="24"/>
              </w:rPr>
              <w:t>2017</w:t>
            </w:r>
            <w:r>
              <w:rPr>
                <w:rFonts w:ascii="Times New Roman" w:hAnsi="Times New Roman" w:eastAsia="Times New Roman" w:cs="Times New Roman"/>
                <w:spacing w:val="15"/>
                <w:sz w:val="24"/>
                <w:szCs w:val="24"/>
              </w:rPr>
              <w:t xml:space="preserve"> </w:t>
            </w:r>
            <w:r>
              <w:rPr>
                <w:spacing w:val="-3"/>
                <w:sz w:val="24"/>
                <w:szCs w:val="24"/>
              </w:rPr>
              <w:t>年</w:t>
            </w:r>
            <w:r>
              <w:rPr>
                <w:spacing w:val="-30"/>
                <w:sz w:val="24"/>
                <w:szCs w:val="24"/>
              </w:rPr>
              <w:t xml:space="preserve"> </w:t>
            </w:r>
            <w:r>
              <w:rPr>
                <w:rFonts w:ascii="Times New Roman" w:hAnsi="Times New Roman" w:eastAsia="Times New Roman" w:cs="Times New Roman"/>
                <w:spacing w:val="-3"/>
                <w:sz w:val="24"/>
                <w:szCs w:val="24"/>
              </w:rPr>
              <w:t>10</w:t>
            </w:r>
            <w:r>
              <w:rPr>
                <w:rFonts w:ascii="Times New Roman" w:hAnsi="Times New Roman" w:eastAsia="Times New Roman" w:cs="Times New Roman"/>
                <w:spacing w:val="18"/>
                <w:sz w:val="24"/>
                <w:szCs w:val="24"/>
              </w:rPr>
              <w:t xml:space="preserve"> </w:t>
            </w:r>
            <w:r>
              <w:rPr>
                <w:spacing w:val="-4"/>
                <w:sz w:val="24"/>
                <w:szCs w:val="24"/>
              </w:rPr>
              <w:t>月</w:t>
            </w:r>
            <w:r>
              <w:rPr>
                <w:spacing w:val="-30"/>
                <w:sz w:val="24"/>
                <w:szCs w:val="24"/>
              </w:rPr>
              <w:t xml:space="preserve"> </w:t>
            </w:r>
            <w:r>
              <w:rPr>
                <w:rFonts w:ascii="Times New Roman" w:hAnsi="Times New Roman" w:eastAsia="Times New Roman" w:cs="Times New Roman"/>
                <w:spacing w:val="-4"/>
                <w:sz w:val="24"/>
                <w:szCs w:val="24"/>
              </w:rPr>
              <w:t>1</w:t>
            </w:r>
            <w:r>
              <w:rPr>
                <w:rFonts w:ascii="Times New Roman" w:hAnsi="Times New Roman" w:eastAsia="Times New Roman" w:cs="Times New Roman"/>
                <w:spacing w:val="53"/>
                <w:w w:val="101"/>
                <w:sz w:val="24"/>
                <w:szCs w:val="24"/>
              </w:rPr>
              <w:t xml:space="preserve"> </w:t>
            </w:r>
            <w:r>
              <w:rPr>
                <w:spacing w:val="-4"/>
                <w:sz w:val="24"/>
                <w:szCs w:val="24"/>
              </w:rPr>
              <w:t>日施</w:t>
            </w:r>
            <w:r>
              <w:rPr>
                <w:sz w:val="24"/>
                <w:szCs w:val="24"/>
              </w:rPr>
              <w:t>行）等相关法律法规要求，建设单位须对该项目进行环境影响评价，编制环</w:t>
            </w:r>
            <w:r>
              <w:rPr>
                <w:spacing w:val="-2"/>
                <w:sz w:val="24"/>
                <w:szCs w:val="24"/>
              </w:rPr>
              <w:t>境影响评价文件。</w:t>
            </w:r>
          </w:p>
          <w:p w14:paraId="51ADB34C">
            <w:pPr>
              <w:pStyle w:val="6"/>
              <w:spacing w:before="1" w:line="217" w:lineRule="auto"/>
              <w:ind w:left="583"/>
              <w:rPr>
                <w:sz w:val="24"/>
                <w:szCs w:val="24"/>
              </w:rPr>
            </w:pPr>
            <w:r>
              <w:rPr>
                <w:sz w:val="24"/>
                <w:szCs w:val="24"/>
              </w:rPr>
              <w:t>根据《建设项目环境影响评价分类管理名录（</w:t>
            </w:r>
            <w:r>
              <w:rPr>
                <w:rFonts w:ascii="Times New Roman" w:hAnsi="Times New Roman" w:eastAsia="Times New Roman" w:cs="Times New Roman"/>
                <w:sz w:val="24"/>
                <w:szCs w:val="24"/>
              </w:rPr>
              <w:t>2021</w:t>
            </w:r>
            <w:r>
              <w:rPr>
                <w:sz w:val="24"/>
                <w:szCs w:val="24"/>
              </w:rPr>
              <w:t>年版）》（生态环境</w:t>
            </w:r>
          </w:p>
        </w:tc>
      </w:tr>
    </w:tbl>
    <w:p w14:paraId="0C1D2133">
      <w:pPr>
        <w:rPr>
          <w:rFonts w:ascii="Arial"/>
          <w:sz w:val="21"/>
        </w:rPr>
      </w:pPr>
    </w:p>
    <w:p w14:paraId="3DEA407A">
      <w:pPr>
        <w:rPr>
          <w:rFonts w:ascii="Arial" w:hAnsi="Arial" w:eastAsia="Arial" w:cs="Arial"/>
          <w:sz w:val="21"/>
          <w:szCs w:val="21"/>
        </w:rPr>
        <w:sectPr>
          <w:footerReference r:id="rId39" w:type="default"/>
          <w:pgSz w:w="11907" w:h="16840"/>
          <w:pgMar w:top="400" w:right="1684" w:bottom="1240" w:left="1683" w:header="0" w:footer="1077" w:gutter="0"/>
          <w:cols w:space="720" w:num="1"/>
        </w:sectPr>
      </w:pPr>
    </w:p>
    <w:p w14:paraId="5172CF65">
      <w:pPr>
        <w:spacing w:before="19"/>
      </w:pPr>
    </w:p>
    <w:p w14:paraId="30996B9F">
      <w:pPr>
        <w:spacing w:before="19"/>
      </w:pPr>
    </w:p>
    <w:p w14:paraId="0125D737">
      <w:pPr>
        <w:spacing w:before="18"/>
      </w:pPr>
    </w:p>
    <w:p w14:paraId="0EE5FA75">
      <w:pPr>
        <w:spacing w:before="18"/>
      </w:pPr>
    </w:p>
    <w:tbl>
      <w:tblPr>
        <w:tblStyle w:val="5"/>
        <w:tblW w:w="85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5"/>
        <w:gridCol w:w="8149"/>
      </w:tblGrid>
      <w:tr w14:paraId="6DE11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513" w:hRule="atLeast"/>
        </w:trPr>
        <w:tc>
          <w:tcPr>
            <w:tcW w:w="375" w:type="dxa"/>
            <w:vAlign w:val="top"/>
          </w:tcPr>
          <w:p w14:paraId="6550EA4B">
            <w:pPr>
              <w:rPr>
                <w:rFonts w:ascii="Arial"/>
                <w:sz w:val="21"/>
              </w:rPr>
            </w:pPr>
          </w:p>
        </w:tc>
        <w:tc>
          <w:tcPr>
            <w:tcW w:w="8149" w:type="dxa"/>
            <w:vAlign w:val="top"/>
          </w:tcPr>
          <w:p w14:paraId="6493AA5F">
            <w:pPr>
              <w:pStyle w:val="6"/>
              <w:spacing w:before="39" w:line="359" w:lineRule="auto"/>
              <w:ind w:left="91" w:right="103" w:firstLine="14"/>
              <w:jc w:val="both"/>
              <w:rPr>
                <w:sz w:val="24"/>
                <w:szCs w:val="24"/>
              </w:rPr>
            </w:pPr>
            <w:r>
              <w:rPr>
                <w:spacing w:val="-2"/>
                <w:sz w:val="24"/>
                <w:szCs w:val="24"/>
              </w:rPr>
              <w:t>部 部令第</w:t>
            </w:r>
            <w:r>
              <w:rPr>
                <w:spacing w:val="-23"/>
                <w:sz w:val="24"/>
                <w:szCs w:val="24"/>
              </w:rPr>
              <w:t xml:space="preserve"> </w:t>
            </w:r>
            <w:r>
              <w:rPr>
                <w:rFonts w:ascii="Times New Roman" w:hAnsi="Times New Roman" w:eastAsia="Times New Roman" w:cs="Times New Roman"/>
                <w:spacing w:val="-2"/>
                <w:sz w:val="24"/>
                <w:szCs w:val="24"/>
              </w:rPr>
              <w:t>16</w:t>
            </w:r>
            <w:r>
              <w:rPr>
                <w:rFonts w:ascii="Times New Roman" w:hAnsi="Times New Roman" w:eastAsia="Times New Roman" w:cs="Times New Roman"/>
                <w:spacing w:val="20"/>
                <w:w w:val="101"/>
                <w:sz w:val="24"/>
                <w:szCs w:val="24"/>
              </w:rPr>
              <w:t xml:space="preserve"> </w:t>
            </w:r>
            <w:r>
              <w:rPr>
                <w:spacing w:val="-2"/>
                <w:sz w:val="24"/>
                <w:szCs w:val="24"/>
              </w:rPr>
              <w:t>号，</w:t>
            </w:r>
            <w:r>
              <w:rPr>
                <w:rFonts w:ascii="Times New Roman" w:hAnsi="Times New Roman" w:eastAsia="Times New Roman" w:cs="Times New Roman"/>
                <w:spacing w:val="-2"/>
                <w:sz w:val="24"/>
                <w:szCs w:val="24"/>
              </w:rPr>
              <w:t>2021</w:t>
            </w:r>
            <w:r>
              <w:rPr>
                <w:rFonts w:ascii="Times New Roman" w:hAnsi="Times New Roman" w:eastAsia="Times New Roman" w:cs="Times New Roman"/>
                <w:spacing w:val="15"/>
                <w:sz w:val="24"/>
                <w:szCs w:val="24"/>
              </w:rPr>
              <w:t xml:space="preserve"> </w:t>
            </w:r>
            <w:r>
              <w:rPr>
                <w:spacing w:val="-2"/>
                <w:sz w:val="24"/>
                <w:szCs w:val="24"/>
              </w:rPr>
              <w:t>年</w:t>
            </w:r>
            <w:r>
              <w:rPr>
                <w:spacing w:val="-25"/>
                <w:sz w:val="24"/>
                <w:szCs w:val="24"/>
              </w:rPr>
              <w:t xml:space="preserve"> </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22"/>
                <w:w w:val="101"/>
                <w:sz w:val="24"/>
                <w:szCs w:val="24"/>
              </w:rPr>
              <w:t xml:space="preserve"> </w:t>
            </w:r>
            <w:r>
              <w:rPr>
                <w:spacing w:val="-2"/>
                <w:sz w:val="24"/>
                <w:szCs w:val="24"/>
              </w:rPr>
              <w:t>月</w:t>
            </w:r>
            <w:r>
              <w:rPr>
                <w:spacing w:val="-25"/>
                <w:sz w:val="24"/>
                <w:szCs w:val="24"/>
              </w:rPr>
              <w:t xml:space="preserve"> </w:t>
            </w:r>
            <w:r>
              <w:rPr>
                <w:rFonts w:ascii="Times New Roman" w:hAnsi="Times New Roman" w:eastAsia="Times New Roman" w:cs="Times New Roman"/>
                <w:spacing w:val="-2"/>
                <w:sz w:val="24"/>
                <w:szCs w:val="24"/>
              </w:rPr>
              <w:t xml:space="preserve">1  </w:t>
            </w:r>
            <w:r>
              <w:rPr>
                <w:spacing w:val="-2"/>
                <w:sz w:val="24"/>
                <w:szCs w:val="24"/>
              </w:rPr>
              <w:t>日</w:t>
            </w:r>
            <w:r>
              <w:rPr>
                <w:spacing w:val="-3"/>
                <w:sz w:val="24"/>
                <w:szCs w:val="24"/>
              </w:rPr>
              <w:t>实施）</w:t>
            </w:r>
            <w:r>
              <w:rPr>
                <w:spacing w:val="-71"/>
                <w:sz w:val="24"/>
                <w:szCs w:val="24"/>
              </w:rPr>
              <w:t xml:space="preserve"> </w:t>
            </w:r>
            <w:r>
              <w:rPr>
                <w:spacing w:val="-3"/>
                <w:sz w:val="24"/>
                <w:szCs w:val="24"/>
              </w:rPr>
              <w:t>中项目类别：五十五、核与辐射</w:t>
            </w:r>
            <w:r>
              <w:rPr>
                <w:rFonts w:ascii="Times New Roman" w:hAnsi="Times New Roman" w:eastAsia="Times New Roman" w:cs="Times New Roman"/>
                <w:spacing w:val="-2"/>
                <w:sz w:val="24"/>
                <w:szCs w:val="24"/>
              </w:rPr>
              <w:t xml:space="preserve">——161 </w:t>
            </w:r>
            <w:r>
              <w:rPr>
                <w:spacing w:val="-2"/>
                <w:sz w:val="24"/>
                <w:szCs w:val="24"/>
              </w:rPr>
              <w:t>输变电工程（见表</w:t>
            </w:r>
            <w:r>
              <w:rPr>
                <w:spacing w:val="-53"/>
                <w:sz w:val="24"/>
                <w:szCs w:val="24"/>
              </w:rPr>
              <w:t xml:space="preserve"> </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2"/>
                <w:sz w:val="24"/>
                <w:szCs w:val="24"/>
              </w:rPr>
              <w:t>1</w:t>
            </w:r>
            <w:r>
              <w:rPr>
                <w:spacing w:val="21"/>
                <w:sz w:val="24"/>
                <w:szCs w:val="24"/>
              </w:rPr>
              <w:t>），</w:t>
            </w:r>
            <w:r>
              <w:rPr>
                <w:rFonts w:ascii="Times New Roman" w:hAnsi="Times New Roman" w:eastAsia="Times New Roman" w:cs="Times New Roman"/>
                <w:spacing w:val="-2"/>
                <w:sz w:val="24"/>
                <w:szCs w:val="24"/>
              </w:rPr>
              <w:t xml:space="preserve">110kV </w:t>
            </w:r>
            <w:r>
              <w:rPr>
                <w:spacing w:val="-2"/>
                <w:sz w:val="24"/>
                <w:szCs w:val="24"/>
              </w:rPr>
              <w:t>松山输变电工程属于“其他（</w:t>
            </w:r>
            <w:r>
              <w:rPr>
                <w:spacing w:val="-55"/>
                <w:sz w:val="24"/>
                <w:szCs w:val="24"/>
              </w:rPr>
              <w:t xml:space="preserve"> </w:t>
            </w:r>
            <w:r>
              <w:rPr>
                <w:rFonts w:ascii="Times New Roman" w:hAnsi="Times New Roman" w:eastAsia="Times New Roman" w:cs="Times New Roman"/>
                <w:spacing w:val="-2"/>
                <w:sz w:val="24"/>
                <w:szCs w:val="24"/>
              </w:rPr>
              <w:t>100</w:t>
            </w:r>
            <w:r>
              <w:rPr>
                <w:spacing w:val="-5"/>
                <w:sz w:val="24"/>
                <w:szCs w:val="24"/>
              </w:rPr>
              <w:t>千伏以下除外）</w:t>
            </w:r>
            <w:r>
              <w:rPr>
                <w:spacing w:val="-77"/>
                <w:sz w:val="24"/>
                <w:szCs w:val="24"/>
              </w:rPr>
              <w:t xml:space="preserve"> </w:t>
            </w:r>
            <w:r>
              <w:rPr>
                <w:spacing w:val="-5"/>
                <w:sz w:val="24"/>
                <w:szCs w:val="24"/>
              </w:rPr>
              <w:t>”,</w:t>
            </w:r>
            <w:r>
              <w:rPr>
                <w:spacing w:val="62"/>
                <w:sz w:val="24"/>
                <w:szCs w:val="24"/>
              </w:rPr>
              <w:t xml:space="preserve"> </w:t>
            </w:r>
            <w:r>
              <w:rPr>
                <w:spacing w:val="-5"/>
                <w:sz w:val="24"/>
                <w:szCs w:val="24"/>
              </w:rPr>
              <w:t>应当编制环境影响报告表。</w:t>
            </w:r>
          </w:p>
          <w:p w14:paraId="670D1C4A">
            <w:pPr>
              <w:pStyle w:val="6"/>
              <w:spacing w:line="213" w:lineRule="auto"/>
              <w:ind w:left="1772"/>
              <w:rPr>
                <w:sz w:val="24"/>
                <w:szCs w:val="24"/>
              </w:rPr>
            </w:pPr>
            <w:r>
              <w:rPr>
                <w:b/>
                <w:bCs/>
                <w:spacing w:val="-2"/>
                <w:sz w:val="24"/>
                <w:szCs w:val="24"/>
              </w:rPr>
              <w:t>表</w:t>
            </w:r>
            <w:r>
              <w:rPr>
                <w:spacing w:val="-53"/>
                <w:sz w:val="24"/>
                <w:szCs w:val="24"/>
              </w:rPr>
              <w:t xml:space="preserve"> </w:t>
            </w:r>
            <w:r>
              <w:rPr>
                <w:rFonts w:ascii="Times New Roman" w:hAnsi="Times New Roman" w:eastAsia="Times New Roman" w:cs="Times New Roman"/>
                <w:b/>
                <w:bCs/>
                <w:spacing w:val="-2"/>
                <w:sz w:val="24"/>
                <w:szCs w:val="24"/>
              </w:rPr>
              <w:t xml:space="preserve">2-1  </w:t>
            </w:r>
            <w:r>
              <w:rPr>
                <w:b/>
                <w:bCs/>
                <w:spacing w:val="-2"/>
                <w:sz w:val="24"/>
                <w:szCs w:val="24"/>
              </w:rPr>
              <w:t>建设项目环境影响评价分类管理名录</w:t>
            </w:r>
          </w:p>
          <w:tbl>
            <w:tblPr>
              <w:tblStyle w:val="5"/>
              <w:tblW w:w="7538" w:type="dxa"/>
              <w:tblInd w:w="2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0"/>
              <w:gridCol w:w="1449"/>
              <w:gridCol w:w="2559"/>
              <w:gridCol w:w="1534"/>
              <w:gridCol w:w="1416"/>
            </w:tblGrid>
            <w:tr w14:paraId="71EBB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7538" w:type="dxa"/>
                  <w:gridSpan w:val="5"/>
                  <w:vAlign w:val="top"/>
                </w:tcPr>
                <w:p w14:paraId="4CE42679">
                  <w:pPr>
                    <w:pStyle w:val="6"/>
                    <w:spacing w:before="98" w:line="226" w:lineRule="auto"/>
                    <w:jc w:val="right"/>
                  </w:pPr>
                  <w:r>
                    <w:rPr>
                      <w:b/>
                      <w:bCs/>
                      <w:spacing w:val="2"/>
                    </w:rPr>
                    <w:t>《建设项目环境影响评价分类管理名录（</w:t>
                  </w:r>
                  <w:r>
                    <w:rPr>
                      <w:rFonts w:ascii="Times New Roman" w:hAnsi="Times New Roman" w:eastAsia="Times New Roman" w:cs="Times New Roman"/>
                      <w:b/>
                      <w:bCs/>
                      <w:spacing w:val="2"/>
                    </w:rPr>
                    <w:t xml:space="preserve">2021 </w:t>
                  </w:r>
                  <w:r>
                    <w:rPr>
                      <w:b/>
                      <w:bCs/>
                      <w:spacing w:val="2"/>
                    </w:rPr>
                    <w:t>年版</w:t>
                  </w:r>
                  <w:r>
                    <w:rPr>
                      <w:b/>
                      <w:bCs/>
                      <w:spacing w:val="1"/>
                    </w:rPr>
                    <w:t>）》（生态环境部部令第</w:t>
                  </w:r>
                  <w:r>
                    <w:rPr>
                      <w:spacing w:val="-32"/>
                    </w:rPr>
                    <w:t xml:space="preserve"> </w:t>
                  </w:r>
                  <w:r>
                    <w:rPr>
                      <w:rFonts w:ascii="Times New Roman" w:hAnsi="Times New Roman" w:eastAsia="Times New Roman" w:cs="Times New Roman"/>
                      <w:b/>
                      <w:bCs/>
                      <w:spacing w:val="1"/>
                    </w:rPr>
                    <w:t>16</w:t>
                  </w:r>
                  <w:r>
                    <w:rPr>
                      <w:rFonts w:ascii="Times New Roman" w:hAnsi="Times New Roman" w:eastAsia="Times New Roman" w:cs="Times New Roman"/>
                      <w:b/>
                      <w:bCs/>
                      <w:spacing w:val="14"/>
                    </w:rPr>
                    <w:t xml:space="preserve"> </w:t>
                  </w:r>
                  <w:r>
                    <w:rPr>
                      <w:b/>
                      <w:bCs/>
                      <w:spacing w:val="1"/>
                    </w:rPr>
                    <w:t>号）</w:t>
                  </w:r>
                </w:p>
              </w:tc>
            </w:tr>
            <w:tr w14:paraId="2B2B7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2029" w:type="dxa"/>
                  <w:gridSpan w:val="2"/>
                  <w:tcBorders>
                    <w:tl2br w:val="single" w:color="000000" w:sz="4" w:space="0"/>
                  </w:tcBorders>
                  <w:vAlign w:val="top"/>
                </w:tcPr>
                <w:p w14:paraId="463EB500">
                  <w:pPr>
                    <w:pStyle w:val="6"/>
                    <w:spacing w:before="31" w:line="234" w:lineRule="auto"/>
                    <w:ind w:left="119" w:right="447" w:firstLine="627"/>
                  </w:pPr>
                  <w:r>
                    <w:rPr>
                      <w:spacing w:val="7"/>
                    </w:rPr>
                    <w:t>环评类别</w:t>
                  </w:r>
                  <w:r>
                    <w:rPr>
                      <w:spacing w:val="6"/>
                    </w:rPr>
                    <w:t>项目类别</w:t>
                  </w:r>
                </w:p>
              </w:tc>
              <w:tc>
                <w:tcPr>
                  <w:tcW w:w="2559" w:type="dxa"/>
                  <w:vAlign w:val="top"/>
                </w:tcPr>
                <w:p w14:paraId="0F6BDF44">
                  <w:pPr>
                    <w:pStyle w:val="6"/>
                    <w:spacing w:before="167" w:line="226" w:lineRule="auto"/>
                    <w:ind w:left="967"/>
                  </w:pPr>
                  <w:r>
                    <w:rPr>
                      <w:spacing w:val="7"/>
                    </w:rPr>
                    <w:t>报告书</w:t>
                  </w:r>
                </w:p>
              </w:tc>
              <w:tc>
                <w:tcPr>
                  <w:tcW w:w="1534" w:type="dxa"/>
                  <w:vAlign w:val="top"/>
                </w:tcPr>
                <w:p w14:paraId="5EC51AF3">
                  <w:pPr>
                    <w:pStyle w:val="6"/>
                    <w:spacing w:before="167" w:line="226" w:lineRule="auto"/>
                    <w:ind w:left="458"/>
                  </w:pPr>
                  <w:r>
                    <w:rPr>
                      <w:spacing w:val="7"/>
                    </w:rPr>
                    <w:t>报告表</w:t>
                  </w:r>
                </w:p>
              </w:tc>
              <w:tc>
                <w:tcPr>
                  <w:tcW w:w="1416" w:type="dxa"/>
                  <w:vAlign w:val="top"/>
                </w:tcPr>
                <w:p w14:paraId="2BA2B65E">
                  <w:pPr>
                    <w:pStyle w:val="6"/>
                    <w:spacing w:before="167" w:line="229" w:lineRule="auto"/>
                    <w:ind w:left="403"/>
                  </w:pPr>
                  <w:r>
                    <w:rPr>
                      <w:spacing w:val="5"/>
                    </w:rPr>
                    <w:t>登记表</w:t>
                  </w:r>
                </w:p>
              </w:tc>
            </w:tr>
            <w:tr w14:paraId="3B148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7538" w:type="dxa"/>
                  <w:gridSpan w:val="5"/>
                  <w:vAlign w:val="top"/>
                </w:tcPr>
                <w:p w14:paraId="6976F4F4">
                  <w:pPr>
                    <w:pStyle w:val="6"/>
                    <w:spacing w:before="34" w:line="214" w:lineRule="auto"/>
                    <w:ind w:left="119"/>
                  </w:pPr>
                  <w:r>
                    <w:rPr>
                      <w:b/>
                      <w:bCs/>
                      <w:spacing w:val="6"/>
                    </w:rPr>
                    <w:t>五十、核与辐射</w:t>
                  </w:r>
                </w:p>
              </w:tc>
            </w:tr>
            <w:tr w14:paraId="1B526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580" w:type="dxa"/>
                  <w:vAlign w:val="top"/>
                </w:tcPr>
                <w:p w14:paraId="3A457624">
                  <w:pPr>
                    <w:spacing w:before="230" w:line="195" w:lineRule="auto"/>
                    <w:ind w:left="1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161</w:t>
                  </w:r>
                </w:p>
              </w:tc>
              <w:tc>
                <w:tcPr>
                  <w:tcW w:w="1449" w:type="dxa"/>
                  <w:vAlign w:val="top"/>
                </w:tcPr>
                <w:p w14:paraId="26BAAB31">
                  <w:pPr>
                    <w:pStyle w:val="6"/>
                    <w:spacing w:before="194" w:line="228" w:lineRule="auto"/>
                    <w:ind w:left="202"/>
                  </w:pPr>
                  <w:r>
                    <w:rPr>
                      <w:spacing w:val="8"/>
                    </w:rPr>
                    <w:t>输变电工程</w:t>
                  </w:r>
                </w:p>
              </w:tc>
              <w:tc>
                <w:tcPr>
                  <w:tcW w:w="2559" w:type="dxa"/>
                  <w:vAlign w:val="top"/>
                </w:tcPr>
                <w:p w14:paraId="62FE9DFA">
                  <w:pPr>
                    <w:pStyle w:val="6"/>
                    <w:spacing w:before="57" w:line="246" w:lineRule="auto"/>
                    <w:ind w:left="129" w:right="47" w:hanging="78"/>
                  </w:pPr>
                  <w:r>
                    <w:rPr>
                      <w:rFonts w:ascii="Times New Roman" w:hAnsi="Times New Roman" w:eastAsia="Times New Roman" w:cs="Times New Roman"/>
                      <w:spacing w:val="7"/>
                    </w:rPr>
                    <w:t xml:space="preserve">500 </w:t>
                  </w:r>
                  <w:r>
                    <w:rPr>
                      <w:spacing w:val="7"/>
                    </w:rPr>
                    <w:t>千伏及以上；涉及环境</w:t>
                  </w:r>
                  <w:r>
                    <w:rPr>
                      <w:spacing w:val="6"/>
                    </w:rPr>
                    <w:t>敏感区的</w:t>
                  </w:r>
                  <w:r>
                    <w:rPr>
                      <w:spacing w:val="-30"/>
                    </w:rPr>
                    <w:t xml:space="preserve"> </w:t>
                  </w:r>
                  <w:r>
                    <w:rPr>
                      <w:rFonts w:ascii="Times New Roman" w:hAnsi="Times New Roman" w:eastAsia="Times New Roman" w:cs="Times New Roman"/>
                      <w:spacing w:val="6"/>
                    </w:rPr>
                    <w:t xml:space="preserve">330 </w:t>
                  </w:r>
                  <w:r>
                    <w:rPr>
                      <w:spacing w:val="6"/>
                    </w:rPr>
                    <w:t>千伏及以上</w:t>
                  </w:r>
                </w:p>
              </w:tc>
              <w:tc>
                <w:tcPr>
                  <w:tcW w:w="1534" w:type="dxa"/>
                  <w:vAlign w:val="top"/>
                </w:tcPr>
                <w:p w14:paraId="6F587ACC">
                  <w:pPr>
                    <w:pStyle w:val="6"/>
                    <w:spacing w:before="57" w:line="246" w:lineRule="auto"/>
                    <w:ind w:left="268" w:right="105" w:hanging="154"/>
                  </w:pPr>
                  <w:r>
                    <w:rPr>
                      <w:b/>
                      <w:bCs/>
                      <w:spacing w:val="-8"/>
                    </w:rPr>
                    <w:t>其他（</w:t>
                  </w:r>
                  <w:r>
                    <w:rPr>
                      <w:rFonts w:ascii="Times New Roman" w:hAnsi="Times New Roman" w:eastAsia="Times New Roman" w:cs="Times New Roman"/>
                      <w:b/>
                      <w:bCs/>
                      <w:spacing w:val="-8"/>
                    </w:rPr>
                    <w:t>100</w:t>
                  </w:r>
                  <w:r>
                    <w:rPr>
                      <w:rFonts w:ascii="Times New Roman" w:hAnsi="Times New Roman" w:eastAsia="Times New Roman" w:cs="Times New Roman"/>
                      <w:b/>
                      <w:bCs/>
                      <w:spacing w:val="12"/>
                    </w:rPr>
                    <w:t xml:space="preserve"> </w:t>
                  </w:r>
                  <w:r>
                    <w:rPr>
                      <w:b/>
                      <w:bCs/>
                      <w:spacing w:val="-8"/>
                    </w:rPr>
                    <w:t>千伏</w:t>
                  </w:r>
                  <w:r>
                    <w:rPr>
                      <w:b/>
                      <w:bCs/>
                    </w:rPr>
                    <w:t>以下除外）</w:t>
                  </w:r>
                </w:p>
              </w:tc>
              <w:tc>
                <w:tcPr>
                  <w:tcW w:w="1416" w:type="dxa"/>
                  <w:vAlign w:val="top"/>
                </w:tcPr>
                <w:p w14:paraId="77D8ED7A">
                  <w:pPr>
                    <w:spacing w:before="226" w:line="199" w:lineRule="auto"/>
                    <w:ind w:left="6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bl>
          <w:p w14:paraId="3B8C9644">
            <w:pPr>
              <w:pStyle w:val="6"/>
              <w:spacing w:before="34" w:line="219" w:lineRule="auto"/>
              <w:ind w:left="103"/>
              <w:rPr>
                <w:sz w:val="24"/>
                <w:szCs w:val="24"/>
              </w:rPr>
            </w:pPr>
            <w:r>
              <w:rPr>
                <w:b/>
                <w:bCs/>
                <w:spacing w:val="-3"/>
                <w:sz w:val="24"/>
                <w:szCs w:val="24"/>
              </w:rPr>
              <w:t>三、工程建设内容及规模</w:t>
            </w:r>
          </w:p>
          <w:p w14:paraId="2161CC2B">
            <w:pPr>
              <w:pStyle w:val="6"/>
              <w:spacing w:before="183" w:line="219" w:lineRule="auto"/>
              <w:ind w:left="589"/>
              <w:rPr>
                <w:sz w:val="24"/>
                <w:szCs w:val="24"/>
              </w:rPr>
            </w:pPr>
            <w:r>
              <w:rPr>
                <w:rFonts w:ascii="Times New Roman" w:hAnsi="Times New Roman" w:eastAsia="Times New Roman" w:cs="Times New Roman"/>
                <w:b/>
                <w:bCs/>
                <w:spacing w:val="-6"/>
                <w:sz w:val="24"/>
                <w:szCs w:val="24"/>
              </w:rPr>
              <w:t>1</w:t>
            </w:r>
            <w:r>
              <w:rPr>
                <w:rFonts w:ascii="Times New Roman" w:hAnsi="Times New Roman" w:eastAsia="Times New Roman" w:cs="Times New Roman"/>
                <w:b/>
                <w:bCs/>
                <w:spacing w:val="-33"/>
                <w:sz w:val="24"/>
                <w:szCs w:val="24"/>
              </w:rPr>
              <w:t xml:space="preserve"> </w:t>
            </w:r>
            <w:r>
              <w:rPr>
                <w:b/>
                <w:bCs/>
                <w:spacing w:val="-6"/>
                <w:sz w:val="24"/>
                <w:szCs w:val="24"/>
              </w:rPr>
              <w:t>、项目主要建设内容</w:t>
            </w:r>
          </w:p>
          <w:p w14:paraId="79C7B8AA">
            <w:pPr>
              <w:pStyle w:val="6"/>
              <w:spacing w:before="181" w:line="359" w:lineRule="auto"/>
              <w:ind w:left="106" w:right="103" w:firstLine="495"/>
              <w:jc w:val="both"/>
              <w:rPr>
                <w:sz w:val="24"/>
                <w:szCs w:val="24"/>
              </w:rPr>
            </w:pPr>
            <w:r>
              <w:rPr>
                <w:rFonts w:ascii="Times New Roman" w:hAnsi="Times New Roman" w:eastAsia="Times New Roman" w:cs="Times New Roman"/>
                <w:spacing w:val="4"/>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17"/>
                <w:sz w:val="24"/>
                <w:szCs w:val="24"/>
              </w:rPr>
              <w:t xml:space="preserve"> </w:t>
            </w:r>
            <w:r>
              <w:rPr>
                <w:spacing w:val="4"/>
                <w:sz w:val="24"/>
                <w:szCs w:val="24"/>
              </w:rPr>
              <w:t>松山输变电工程建设内容包括：新建</w:t>
            </w:r>
            <w:r>
              <w:rPr>
                <w:spacing w:val="-22"/>
                <w:sz w:val="24"/>
                <w:szCs w:val="24"/>
              </w:rPr>
              <w:t xml:space="preserve"> </w:t>
            </w:r>
            <w:r>
              <w:rPr>
                <w:rFonts w:ascii="Times New Roman" w:hAnsi="Times New Roman" w:eastAsia="Times New Roman" w:cs="Times New Roman"/>
                <w:spacing w:val="3"/>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17"/>
                <w:sz w:val="24"/>
                <w:szCs w:val="24"/>
              </w:rPr>
              <w:t xml:space="preserve"> </w:t>
            </w:r>
            <w:r>
              <w:rPr>
                <w:spacing w:val="3"/>
                <w:sz w:val="24"/>
                <w:szCs w:val="24"/>
              </w:rPr>
              <w:t>松山变电站、新建</w:t>
            </w:r>
            <w:r>
              <w:rPr>
                <w:rFonts w:ascii="Times New Roman" w:hAnsi="Times New Roman" w:eastAsia="Times New Roman" w:cs="Times New Roman"/>
                <w:spacing w:val="-2"/>
                <w:sz w:val="24"/>
                <w:szCs w:val="24"/>
              </w:rPr>
              <w:t xml:space="preserve">110kV </w:t>
            </w:r>
            <w:r>
              <w:rPr>
                <w:spacing w:val="-2"/>
                <w:sz w:val="24"/>
                <w:szCs w:val="24"/>
              </w:rPr>
              <w:t>架空线路工程、</w:t>
            </w:r>
            <w:r>
              <w:rPr>
                <w:rFonts w:ascii="Times New Roman" w:hAnsi="Times New Roman" w:eastAsia="Times New Roman" w:cs="Times New Roman"/>
                <w:spacing w:val="-2"/>
                <w:sz w:val="24"/>
                <w:szCs w:val="24"/>
              </w:rPr>
              <w:t xml:space="preserve">35kV </w:t>
            </w:r>
            <w:r>
              <w:rPr>
                <w:spacing w:val="-2"/>
                <w:sz w:val="24"/>
                <w:szCs w:val="24"/>
              </w:rPr>
              <w:t>及</w:t>
            </w:r>
            <w:r>
              <w:rPr>
                <w:spacing w:val="-20"/>
                <w:sz w:val="24"/>
                <w:szCs w:val="24"/>
              </w:rPr>
              <w:t xml:space="preserve"> </w:t>
            </w:r>
            <w:r>
              <w:rPr>
                <w:rFonts w:ascii="Times New Roman" w:hAnsi="Times New Roman" w:eastAsia="Times New Roman" w:cs="Times New Roman"/>
                <w:spacing w:val="-2"/>
                <w:sz w:val="24"/>
                <w:szCs w:val="24"/>
              </w:rPr>
              <w:t xml:space="preserve">10kV </w:t>
            </w:r>
            <w:r>
              <w:rPr>
                <w:spacing w:val="-2"/>
                <w:sz w:val="24"/>
                <w:szCs w:val="24"/>
              </w:rPr>
              <w:t>架空线路工程、</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6"/>
                <w:sz w:val="24"/>
                <w:szCs w:val="24"/>
              </w:rPr>
              <w:t xml:space="preserve"> </w:t>
            </w:r>
            <w:r>
              <w:rPr>
                <w:spacing w:val="-2"/>
                <w:sz w:val="24"/>
                <w:szCs w:val="24"/>
              </w:rPr>
              <w:t>芳华变间隔扩建</w:t>
            </w:r>
            <w:r>
              <w:rPr>
                <w:spacing w:val="-3"/>
                <w:sz w:val="24"/>
                <w:szCs w:val="24"/>
              </w:rPr>
              <w:t>工程。</w:t>
            </w:r>
            <w:r>
              <w:rPr>
                <w:b/>
                <w:bCs/>
                <w:spacing w:val="-3"/>
                <w:sz w:val="24"/>
                <w:szCs w:val="24"/>
              </w:rPr>
              <w:t>本次评价按本期建设内容进行评价。</w:t>
            </w:r>
          </w:p>
          <w:p w14:paraId="1841A66D">
            <w:pPr>
              <w:pStyle w:val="6"/>
              <w:spacing w:before="1" w:line="219" w:lineRule="auto"/>
              <w:ind w:left="594"/>
              <w:rPr>
                <w:sz w:val="24"/>
                <w:szCs w:val="24"/>
              </w:rPr>
            </w:pPr>
            <w:r>
              <w:rPr>
                <w:spacing w:val="-3"/>
                <w:sz w:val="24"/>
                <w:szCs w:val="24"/>
              </w:rPr>
              <w:t>（</w:t>
            </w:r>
            <w:r>
              <w:rPr>
                <w:rFonts w:ascii="Times New Roman" w:hAnsi="Times New Roman" w:eastAsia="Times New Roman" w:cs="Times New Roman"/>
                <w:spacing w:val="-3"/>
                <w:sz w:val="24"/>
                <w:szCs w:val="24"/>
              </w:rPr>
              <w:t>1</w:t>
            </w:r>
            <w:r>
              <w:rPr>
                <w:spacing w:val="-3"/>
                <w:sz w:val="24"/>
                <w:szCs w:val="24"/>
              </w:rPr>
              <w:t>）新建</w:t>
            </w:r>
            <w:r>
              <w:rPr>
                <w:spacing w:val="-29"/>
                <w:sz w:val="24"/>
                <w:szCs w:val="24"/>
              </w:rPr>
              <w:t xml:space="preserve"> </w:t>
            </w:r>
            <w:r>
              <w:rPr>
                <w:rFonts w:ascii="Times New Roman" w:hAnsi="Times New Roman" w:eastAsia="Times New Roman" w:cs="Times New Roman"/>
                <w:spacing w:val="-3"/>
                <w:sz w:val="24"/>
                <w:szCs w:val="24"/>
              </w:rPr>
              <w:t xml:space="preserve">110kV </w:t>
            </w:r>
            <w:r>
              <w:rPr>
                <w:spacing w:val="-3"/>
                <w:sz w:val="24"/>
                <w:szCs w:val="24"/>
              </w:rPr>
              <w:t>松山变电站工程</w:t>
            </w:r>
          </w:p>
          <w:p w14:paraId="59E56020">
            <w:pPr>
              <w:pStyle w:val="6"/>
              <w:spacing w:before="179" w:line="357" w:lineRule="auto"/>
              <w:ind w:left="103" w:right="103" w:firstLine="498"/>
              <w:rPr>
                <w:sz w:val="24"/>
                <w:szCs w:val="24"/>
              </w:rPr>
            </w:pPr>
            <w:r>
              <w:rPr>
                <w:rFonts w:ascii="Times New Roman" w:hAnsi="Times New Roman" w:eastAsia="Times New Roman" w:cs="Times New Roman"/>
                <w:spacing w:val="-1"/>
                <w:sz w:val="24"/>
                <w:szCs w:val="24"/>
              </w:rPr>
              <w:t xml:space="preserve">110kV </w:t>
            </w:r>
            <w:r>
              <w:rPr>
                <w:spacing w:val="-1"/>
                <w:sz w:val="24"/>
                <w:szCs w:val="24"/>
              </w:rPr>
              <w:t>松山变电站位于陆良县板桥镇卢旗堡村东侧，站址</w:t>
            </w:r>
            <w:r>
              <w:rPr>
                <w:spacing w:val="-2"/>
                <w:sz w:val="24"/>
                <w:szCs w:val="24"/>
              </w:rPr>
              <w:t>总用地面积为</w:t>
            </w:r>
            <w:r>
              <w:rPr>
                <w:rFonts w:ascii="Times New Roman" w:hAnsi="Times New Roman" w:eastAsia="Times New Roman" w:cs="Times New Roman"/>
                <w:spacing w:val="-3"/>
                <w:sz w:val="24"/>
                <w:szCs w:val="24"/>
              </w:rPr>
              <w:t>1.087hm</w:t>
            </w:r>
            <w:r>
              <w:rPr>
                <w:rFonts w:ascii="Times New Roman" w:hAnsi="Times New Roman" w:eastAsia="Times New Roman" w:cs="Times New Roman"/>
                <w:spacing w:val="-3"/>
                <w:position w:val="7"/>
                <w:sz w:val="15"/>
                <w:szCs w:val="15"/>
              </w:rPr>
              <w:t>2</w:t>
            </w:r>
            <w:r>
              <w:rPr>
                <w:spacing w:val="-3"/>
                <w:sz w:val="24"/>
                <w:szCs w:val="24"/>
              </w:rPr>
              <w:t>（含进站道路），总建筑面积</w:t>
            </w:r>
            <w:r>
              <w:rPr>
                <w:spacing w:val="-31"/>
                <w:sz w:val="24"/>
                <w:szCs w:val="24"/>
              </w:rPr>
              <w:t xml:space="preserve"> </w:t>
            </w:r>
            <w:r>
              <w:rPr>
                <w:rFonts w:ascii="Times New Roman" w:hAnsi="Times New Roman" w:eastAsia="Times New Roman" w:cs="Times New Roman"/>
                <w:spacing w:val="-3"/>
                <w:sz w:val="24"/>
                <w:szCs w:val="24"/>
              </w:rPr>
              <w:t>1670.83m</w:t>
            </w:r>
            <w:r>
              <w:rPr>
                <w:rFonts w:ascii="Times New Roman" w:hAnsi="Times New Roman" w:eastAsia="Times New Roman" w:cs="Times New Roman"/>
                <w:spacing w:val="-3"/>
                <w:position w:val="7"/>
                <w:sz w:val="15"/>
                <w:szCs w:val="15"/>
              </w:rPr>
              <w:t>2</w:t>
            </w:r>
            <w:r>
              <w:rPr>
                <w:spacing w:val="-3"/>
                <w:sz w:val="24"/>
                <w:szCs w:val="24"/>
              </w:rPr>
              <w:t>，采用室外布置方式，本期主要建设主控综合楼、</w:t>
            </w:r>
            <w:r>
              <w:rPr>
                <w:rFonts w:ascii="Times New Roman" w:hAnsi="Times New Roman" w:eastAsia="Times New Roman" w:cs="Times New Roman"/>
                <w:spacing w:val="-3"/>
                <w:sz w:val="24"/>
                <w:szCs w:val="24"/>
              </w:rPr>
              <w:t xml:space="preserve">10kV </w:t>
            </w:r>
            <w:r>
              <w:rPr>
                <w:spacing w:val="-3"/>
                <w:sz w:val="24"/>
                <w:szCs w:val="24"/>
              </w:rPr>
              <w:t>配电装置楼、警传室、二次小室、消防泵房、消</w:t>
            </w:r>
            <w:r>
              <w:rPr>
                <w:spacing w:val="-1"/>
                <w:sz w:val="24"/>
                <w:szCs w:val="24"/>
              </w:rPr>
              <w:t>防水池、化粪池（</w:t>
            </w:r>
            <w:r>
              <w:rPr>
                <w:rFonts w:ascii="Times New Roman" w:hAnsi="Times New Roman" w:eastAsia="Times New Roman" w:cs="Times New Roman"/>
                <w:spacing w:val="-1"/>
                <w:sz w:val="24"/>
                <w:szCs w:val="24"/>
              </w:rPr>
              <w:t>2m</w:t>
            </w:r>
            <w:r>
              <w:rPr>
                <w:rFonts w:ascii="Times New Roman" w:hAnsi="Times New Roman" w:eastAsia="Times New Roman" w:cs="Times New Roman"/>
                <w:spacing w:val="-1"/>
                <w:position w:val="1"/>
                <w:sz w:val="15"/>
                <w:szCs w:val="15"/>
              </w:rPr>
              <w:t>3</w:t>
            </w:r>
            <w:r>
              <w:rPr>
                <w:spacing w:val="-1"/>
                <w:position w:val="1"/>
                <w:sz w:val="24"/>
                <w:szCs w:val="24"/>
              </w:rPr>
              <w:t>）</w:t>
            </w:r>
            <w:r>
              <w:rPr>
                <w:spacing w:val="-1"/>
                <w:sz w:val="24"/>
                <w:szCs w:val="24"/>
              </w:rPr>
              <w:t>、一体化污水处理设施（处理能力</w:t>
            </w:r>
            <w:r>
              <w:rPr>
                <w:spacing w:val="-51"/>
                <w:sz w:val="24"/>
                <w:szCs w:val="24"/>
              </w:rPr>
              <w:t xml:space="preserve"> </w:t>
            </w:r>
            <w:r>
              <w:rPr>
                <w:rFonts w:ascii="Times New Roman" w:hAnsi="Times New Roman" w:eastAsia="Times New Roman" w:cs="Times New Roman"/>
                <w:spacing w:val="-1"/>
                <w:sz w:val="24"/>
                <w:szCs w:val="24"/>
              </w:rPr>
              <w:t>0.5t/h</w:t>
            </w:r>
            <w:r>
              <w:rPr>
                <w:spacing w:val="-1"/>
                <w:sz w:val="24"/>
                <w:szCs w:val="24"/>
              </w:rPr>
              <w:t>）、事故油</w:t>
            </w:r>
            <w:r>
              <w:rPr>
                <w:spacing w:val="-3"/>
                <w:sz w:val="24"/>
                <w:szCs w:val="24"/>
              </w:rPr>
              <w:t>池（</w:t>
            </w:r>
            <w:r>
              <w:rPr>
                <w:rFonts w:ascii="Times New Roman" w:hAnsi="Times New Roman" w:eastAsia="Times New Roman" w:cs="Times New Roman"/>
                <w:spacing w:val="-3"/>
                <w:sz w:val="24"/>
                <w:szCs w:val="24"/>
              </w:rPr>
              <w:t>30m</w:t>
            </w:r>
            <w:r>
              <w:rPr>
                <w:rFonts w:ascii="Times New Roman" w:hAnsi="Times New Roman" w:eastAsia="Times New Roman" w:cs="Times New Roman"/>
                <w:spacing w:val="-3"/>
                <w:position w:val="1"/>
                <w:sz w:val="15"/>
                <w:szCs w:val="15"/>
              </w:rPr>
              <w:t>3</w:t>
            </w:r>
            <w:r>
              <w:rPr>
                <w:spacing w:val="-3"/>
                <w:position w:val="1"/>
                <w:sz w:val="24"/>
                <w:szCs w:val="24"/>
              </w:rPr>
              <w:t>）</w:t>
            </w:r>
            <w:r>
              <w:rPr>
                <w:spacing w:val="-3"/>
                <w:sz w:val="24"/>
                <w:szCs w:val="24"/>
              </w:rPr>
              <w:t>等，终期设</w:t>
            </w:r>
            <w:r>
              <w:rPr>
                <w:spacing w:val="-34"/>
                <w:sz w:val="24"/>
                <w:szCs w:val="24"/>
              </w:rPr>
              <w:t xml:space="preserve"> </w:t>
            </w:r>
            <w:r>
              <w:rPr>
                <w:rFonts w:ascii="Times New Roman" w:hAnsi="Times New Roman" w:eastAsia="Times New Roman" w:cs="Times New Roman"/>
                <w:spacing w:val="-3"/>
                <w:sz w:val="24"/>
                <w:szCs w:val="24"/>
              </w:rPr>
              <w:t>3</w:t>
            </w:r>
            <w:r>
              <w:rPr>
                <w:rFonts w:ascii="Times New Roman" w:hAnsi="Times New Roman" w:eastAsia="Times New Roman" w:cs="Times New Roman"/>
                <w:spacing w:val="31"/>
                <w:sz w:val="24"/>
                <w:szCs w:val="24"/>
              </w:rPr>
              <w:t xml:space="preserve"> </w:t>
            </w:r>
            <w:r>
              <w:rPr>
                <w:spacing w:val="-3"/>
                <w:sz w:val="24"/>
                <w:szCs w:val="24"/>
              </w:rPr>
              <w:t>台容量为</w:t>
            </w:r>
            <w:r>
              <w:rPr>
                <w:spacing w:val="-49"/>
                <w:sz w:val="24"/>
                <w:szCs w:val="24"/>
              </w:rPr>
              <w:t xml:space="preserve"> </w:t>
            </w:r>
            <w:r>
              <w:rPr>
                <w:rFonts w:ascii="Times New Roman" w:hAnsi="Times New Roman" w:eastAsia="Times New Roman" w:cs="Times New Roman"/>
                <w:spacing w:val="-3"/>
                <w:sz w:val="24"/>
                <w:szCs w:val="24"/>
              </w:rPr>
              <w:t>50MVA</w:t>
            </w:r>
            <w:r>
              <w:rPr>
                <w:rFonts w:ascii="Times New Roman" w:hAnsi="Times New Roman" w:eastAsia="Times New Roman" w:cs="Times New Roman"/>
                <w:spacing w:val="31"/>
                <w:sz w:val="24"/>
                <w:szCs w:val="24"/>
              </w:rPr>
              <w:t xml:space="preserve"> </w:t>
            </w:r>
            <w:r>
              <w:rPr>
                <w:spacing w:val="-3"/>
                <w:sz w:val="24"/>
                <w:szCs w:val="24"/>
              </w:rPr>
              <w:t>的主变压器，本期建成</w:t>
            </w:r>
            <w:r>
              <w:rPr>
                <w:spacing w:val="-55"/>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28"/>
                <w:w w:val="101"/>
                <w:sz w:val="24"/>
                <w:szCs w:val="24"/>
              </w:rPr>
              <w:t xml:space="preserve"> </w:t>
            </w:r>
            <w:r>
              <w:rPr>
                <w:spacing w:val="-3"/>
                <w:sz w:val="24"/>
                <w:szCs w:val="24"/>
              </w:rPr>
              <w:t>台，预</w:t>
            </w:r>
            <w:r>
              <w:rPr>
                <w:spacing w:val="-1"/>
                <w:sz w:val="24"/>
                <w:szCs w:val="24"/>
              </w:rPr>
              <w:t>留终期主变、配电装置等建设场地。</w:t>
            </w:r>
          </w:p>
          <w:p w14:paraId="4D560992">
            <w:pPr>
              <w:pStyle w:val="6"/>
              <w:spacing w:before="3" w:line="352" w:lineRule="auto"/>
              <w:ind w:left="105" w:right="41" w:firstLine="479"/>
              <w:jc w:val="both"/>
              <w:rPr>
                <w:sz w:val="24"/>
                <w:szCs w:val="24"/>
              </w:rPr>
            </w:pPr>
            <w:r>
              <w:rPr>
                <w:spacing w:val="1"/>
                <w:sz w:val="24"/>
                <w:szCs w:val="24"/>
              </w:rPr>
              <w:t>主要配套电气设备如下：①主变采用户外布置，主变容量本期建成</w:t>
            </w:r>
            <w:r>
              <w:rPr>
                <w:rFonts w:ascii="Times New Roman" w:hAnsi="Times New Roman" w:eastAsia="Times New Roman" w:cs="Times New Roman"/>
                <w:spacing w:val="1"/>
                <w:sz w:val="24"/>
                <w:szCs w:val="24"/>
              </w:rPr>
              <w:t>2</w:t>
            </w:r>
            <w:r>
              <w:rPr>
                <w:spacing w:val="1"/>
                <w:sz w:val="24"/>
                <w:szCs w:val="24"/>
              </w:rPr>
              <w:t>×</w:t>
            </w:r>
            <w:r>
              <w:rPr>
                <w:spacing w:val="8"/>
                <w:sz w:val="24"/>
                <w:szCs w:val="24"/>
              </w:rPr>
              <w:t xml:space="preserve"> </w:t>
            </w:r>
            <w:r>
              <w:rPr>
                <w:rFonts w:ascii="Times New Roman" w:hAnsi="Times New Roman" w:eastAsia="Times New Roman" w:cs="Times New Roman"/>
                <w:spacing w:val="-5"/>
                <w:sz w:val="24"/>
                <w:szCs w:val="24"/>
              </w:rPr>
              <w:t>50MVA</w:t>
            </w:r>
            <w:r>
              <w:rPr>
                <w:spacing w:val="-5"/>
                <w:sz w:val="24"/>
                <w:szCs w:val="24"/>
              </w:rPr>
              <w:t>，终期规模</w:t>
            </w:r>
            <w:r>
              <w:rPr>
                <w:spacing w:val="-46"/>
                <w:sz w:val="24"/>
                <w:szCs w:val="24"/>
              </w:rPr>
              <w:t xml:space="preserve"> </w:t>
            </w:r>
            <w:r>
              <w:rPr>
                <w:rFonts w:ascii="Times New Roman" w:hAnsi="Times New Roman" w:eastAsia="Times New Roman" w:cs="Times New Roman"/>
                <w:spacing w:val="-5"/>
                <w:sz w:val="24"/>
                <w:szCs w:val="24"/>
              </w:rPr>
              <w:t>3</w:t>
            </w:r>
            <w:r>
              <w:rPr>
                <w:spacing w:val="-5"/>
                <w:sz w:val="24"/>
                <w:szCs w:val="24"/>
              </w:rPr>
              <w:t>×</w:t>
            </w:r>
            <w:r>
              <w:rPr>
                <w:rFonts w:ascii="Times New Roman" w:hAnsi="Times New Roman" w:eastAsia="Times New Roman" w:cs="Times New Roman"/>
                <w:spacing w:val="-5"/>
                <w:sz w:val="24"/>
                <w:szCs w:val="24"/>
              </w:rPr>
              <w:t>50MVA</w:t>
            </w:r>
            <w:r>
              <w:rPr>
                <w:spacing w:val="-5"/>
                <w:sz w:val="24"/>
                <w:szCs w:val="24"/>
              </w:rPr>
              <w:t>；②各级电压进出线：本期</w:t>
            </w:r>
            <w:r>
              <w:rPr>
                <w:spacing w:val="-32"/>
                <w:sz w:val="24"/>
                <w:szCs w:val="24"/>
              </w:rPr>
              <w:t xml:space="preserve"> </w:t>
            </w:r>
            <w:r>
              <w:rPr>
                <w:rFonts w:ascii="Times New Roman" w:hAnsi="Times New Roman" w:eastAsia="Times New Roman" w:cs="Times New Roman"/>
                <w:spacing w:val="-5"/>
                <w:sz w:val="24"/>
                <w:szCs w:val="24"/>
              </w:rPr>
              <w:t>110kV</w:t>
            </w:r>
            <w:r>
              <w:rPr>
                <w:rFonts w:ascii="Times New Roman" w:hAnsi="Times New Roman" w:eastAsia="Times New Roman" w:cs="Times New Roman"/>
                <w:spacing w:val="27"/>
                <w:sz w:val="24"/>
                <w:szCs w:val="24"/>
              </w:rPr>
              <w:t xml:space="preserve"> </w:t>
            </w:r>
            <w:r>
              <w:rPr>
                <w:spacing w:val="-5"/>
                <w:sz w:val="24"/>
                <w:szCs w:val="24"/>
              </w:rPr>
              <w:t>出线</w:t>
            </w:r>
            <w:r>
              <w:rPr>
                <w:spacing w:val="-55"/>
                <w:sz w:val="24"/>
                <w:szCs w:val="24"/>
              </w:rPr>
              <w:t xml:space="preserve"> </w:t>
            </w:r>
            <w:r>
              <w:rPr>
                <w:rFonts w:ascii="Times New Roman" w:hAnsi="Times New Roman" w:eastAsia="Times New Roman" w:cs="Times New Roman"/>
                <w:spacing w:val="-5"/>
                <w:sz w:val="24"/>
                <w:szCs w:val="24"/>
              </w:rPr>
              <w:t>2</w:t>
            </w:r>
            <w:r>
              <w:rPr>
                <w:rFonts w:ascii="Times New Roman" w:hAnsi="Times New Roman" w:eastAsia="Times New Roman" w:cs="Times New Roman"/>
                <w:spacing w:val="33"/>
                <w:sz w:val="24"/>
                <w:szCs w:val="24"/>
              </w:rPr>
              <w:t xml:space="preserve"> </w:t>
            </w:r>
            <w:r>
              <w:rPr>
                <w:spacing w:val="-5"/>
                <w:sz w:val="24"/>
                <w:szCs w:val="24"/>
              </w:rPr>
              <w:t>回，</w:t>
            </w:r>
            <w:r>
              <w:rPr>
                <w:spacing w:val="-6"/>
                <w:sz w:val="24"/>
                <w:szCs w:val="24"/>
              </w:rPr>
              <w:t>终期</w:t>
            </w:r>
            <w:r>
              <w:rPr>
                <w:spacing w:val="-49"/>
                <w:sz w:val="24"/>
                <w:szCs w:val="24"/>
              </w:rPr>
              <w:t xml:space="preserve"> </w:t>
            </w:r>
            <w:r>
              <w:rPr>
                <w:rFonts w:ascii="Times New Roman" w:hAnsi="Times New Roman" w:eastAsia="Times New Roman" w:cs="Times New Roman"/>
                <w:spacing w:val="-6"/>
                <w:sz w:val="24"/>
                <w:szCs w:val="24"/>
              </w:rPr>
              <w:t>5</w:t>
            </w:r>
            <w:r>
              <w:rPr>
                <w:rFonts w:ascii="Times New Roman" w:hAnsi="Times New Roman" w:eastAsia="Times New Roman" w:cs="Times New Roman"/>
                <w:spacing w:val="33"/>
                <w:w w:val="101"/>
                <w:sz w:val="24"/>
                <w:szCs w:val="24"/>
              </w:rPr>
              <w:t xml:space="preserve"> </w:t>
            </w:r>
            <w:r>
              <w:rPr>
                <w:spacing w:val="-6"/>
                <w:sz w:val="24"/>
                <w:szCs w:val="24"/>
              </w:rPr>
              <w:t>回；</w:t>
            </w:r>
            <w:r>
              <w:rPr>
                <w:rFonts w:ascii="Times New Roman" w:hAnsi="Times New Roman" w:eastAsia="Times New Roman" w:cs="Times New Roman"/>
                <w:spacing w:val="-6"/>
                <w:sz w:val="24"/>
                <w:szCs w:val="24"/>
              </w:rPr>
              <w:t>35kV</w:t>
            </w:r>
            <w:r>
              <w:rPr>
                <w:rFonts w:ascii="Times New Roman" w:hAnsi="Times New Roman" w:eastAsia="Times New Roman" w:cs="Times New Roman"/>
                <w:spacing w:val="29"/>
                <w:sz w:val="24"/>
                <w:szCs w:val="24"/>
              </w:rPr>
              <w:t xml:space="preserve"> </w:t>
            </w:r>
            <w:r>
              <w:rPr>
                <w:spacing w:val="-6"/>
                <w:sz w:val="24"/>
                <w:szCs w:val="24"/>
              </w:rPr>
              <w:t>出线本期建成</w:t>
            </w:r>
            <w:r>
              <w:rPr>
                <w:spacing w:val="-32"/>
                <w:sz w:val="24"/>
                <w:szCs w:val="24"/>
              </w:rPr>
              <w:t xml:space="preserve"> </w:t>
            </w:r>
            <w:r>
              <w:rPr>
                <w:rFonts w:ascii="Times New Roman" w:hAnsi="Times New Roman" w:eastAsia="Times New Roman" w:cs="Times New Roman"/>
                <w:spacing w:val="-6"/>
                <w:sz w:val="24"/>
                <w:szCs w:val="24"/>
              </w:rPr>
              <w:t>1</w:t>
            </w:r>
            <w:r>
              <w:rPr>
                <w:rFonts w:ascii="Times New Roman" w:hAnsi="Times New Roman" w:eastAsia="Times New Roman" w:cs="Times New Roman"/>
                <w:spacing w:val="33"/>
                <w:sz w:val="24"/>
                <w:szCs w:val="24"/>
              </w:rPr>
              <w:t xml:space="preserve"> </w:t>
            </w:r>
            <w:r>
              <w:rPr>
                <w:spacing w:val="-6"/>
                <w:sz w:val="24"/>
                <w:szCs w:val="24"/>
              </w:rPr>
              <w:t>回，终期出</w:t>
            </w:r>
            <w:r>
              <w:rPr>
                <w:spacing w:val="-7"/>
                <w:sz w:val="24"/>
                <w:szCs w:val="24"/>
              </w:rPr>
              <w:t>线</w:t>
            </w:r>
            <w:r>
              <w:rPr>
                <w:spacing w:val="-50"/>
                <w:sz w:val="24"/>
                <w:szCs w:val="24"/>
              </w:rPr>
              <w:t xml:space="preserve"> </w:t>
            </w:r>
            <w:r>
              <w:rPr>
                <w:rFonts w:ascii="Times New Roman" w:hAnsi="Times New Roman" w:eastAsia="Times New Roman" w:cs="Times New Roman"/>
                <w:spacing w:val="-7"/>
                <w:sz w:val="24"/>
                <w:szCs w:val="24"/>
              </w:rPr>
              <w:t>6</w:t>
            </w:r>
            <w:r>
              <w:rPr>
                <w:rFonts w:ascii="Times New Roman" w:hAnsi="Times New Roman" w:eastAsia="Times New Roman" w:cs="Times New Roman"/>
                <w:spacing w:val="33"/>
                <w:w w:val="101"/>
                <w:sz w:val="24"/>
                <w:szCs w:val="24"/>
              </w:rPr>
              <w:t xml:space="preserve"> </w:t>
            </w:r>
            <w:r>
              <w:rPr>
                <w:spacing w:val="-7"/>
                <w:sz w:val="24"/>
                <w:szCs w:val="24"/>
              </w:rPr>
              <w:t>回。</w:t>
            </w:r>
            <w:r>
              <w:rPr>
                <w:rFonts w:ascii="Times New Roman" w:hAnsi="Times New Roman" w:eastAsia="Times New Roman" w:cs="Times New Roman"/>
                <w:spacing w:val="-7"/>
                <w:sz w:val="24"/>
                <w:szCs w:val="24"/>
              </w:rPr>
              <w:t>10kV</w:t>
            </w:r>
            <w:r>
              <w:rPr>
                <w:rFonts w:ascii="Times New Roman" w:hAnsi="Times New Roman" w:eastAsia="Times New Roman" w:cs="Times New Roman"/>
                <w:spacing w:val="29"/>
                <w:w w:val="101"/>
                <w:sz w:val="24"/>
                <w:szCs w:val="24"/>
              </w:rPr>
              <w:t xml:space="preserve"> </w:t>
            </w:r>
            <w:r>
              <w:rPr>
                <w:spacing w:val="-7"/>
                <w:sz w:val="24"/>
                <w:szCs w:val="24"/>
              </w:rPr>
              <w:t>出线本期建成</w:t>
            </w:r>
            <w:r>
              <w:rPr>
                <w:spacing w:val="-51"/>
                <w:sz w:val="24"/>
                <w:szCs w:val="24"/>
              </w:rPr>
              <w:t xml:space="preserve"> </w:t>
            </w:r>
            <w:r>
              <w:rPr>
                <w:rFonts w:ascii="Times New Roman" w:hAnsi="Times New Roman" w:eastAsia="Times New Roman" w:cs="Times New Roman"/>
                <w:spacing w:val="-7"/>
                <w:sz w:val="24"/>
                <w:szCs w:val="24"/>
              </w:rPr>
              <w:t>9</w:t>
            </w:r>
            <w:r>
              <w:rPr>
                <w:spacing w:val="-4"/>
                <w:sz w:val="24"/>
                <w:szCs w:val="24"/>
              </w:rPr>
              <w:t>回，终期出线</w:t>
            </w:r>
            <w:r>
              <w:rPr>
                <w:spacing w:val="-36"/>
                <w:sz w:val="24"/>
                <w:szCs w:val="24"/>
              </w:rPr>
              <w:t xml:space="preserve"> </w:t>
            </w:r>
            <w:r>
              <w:rPr>
                <w:rFonts w:ascii="Times New Roman" w:hAnsi="Times New Roman" w:eastAsia="Times New Roman" w:cs="Times New Roman"/>
                <w:spacing w:val="-4"/>
                <w:sz w:val="24"/>
                <w:szCs w:val="24"/>
              </w:rPr>
              <w:t>30</w:t>
            </w:r>
            <w:r>
              <w:rPr>
                <w:rFonts w:ascii="Times New Roman" w:hAnsi="Times New Roman" w:eastAsia="Times New Roman" w:cs="Times New Roman"/>
                <w:spacing w:val="32"/>
                <w:w w:val="101"/>
                <w:sz w:val="24"/>
                <w:szCs w:val="24"/>
              </w:rPr>
              <w:t xml:space="preserve"> </w:t>
            </w:r>
            <w:r>
              <w:rPr>
                <w:spacing w:val="-4"/>
                <w:sz w:val="24"/>
                <w:szCs w:val="24"/>
              </w:rPr>
              <w:t>回。③无功补偿装置：电容器组本期</w:t>
            </w:r>
            <w:r>
              <w:rPr>
                <w:spacing w:val="-55"/>
                <w:sz w:val="24"/>
                <w:szCs w:val="24"/>
              </w:rPr>
              <w:t xml:space="preserve"> </w:t>
            </w:r>
            <w:r>
              <w:rPr>
                <w:rFonts w:ascii="Times New Roman" w:hAnsi="Times New Roman" w:eastAsia="Times New Roman" w:cs="Times New Roman"/>
                <w:spacing w:val="-4"/>
                <w:sz w:val="24"/>
                <w:szCs w:val="24"/>
              </w:rPr>
              <w:t>2</w:t>
            </w:r>
            <w:r>
              <w:rPr>
                <w:spacing w:val="-4"/>
                <w:sz w:val="24"/>
                <w:szCs w:val="24"/>
              </w:rPr>
              <w:t>×（</w:t>
            </w:r>
            <w:r>
              <w:rPr>
                <w:rFonts w:ascii="Times New Roman" w:hAnsi="Times New Roman" w:eastAsia="Times New Roman" w:cs="Times New Roman"/>
                <w:spacing w:val="-4"/>
                <w:sz w:val="24"/>
                <w:szCs w:val="24"/>
              </w:rPr>
              <w:t>2</w:t>
            </w:r>
            <w:r>
              <w:rPr>
                <w:spacing w:val="-4"/>
                <w:sz w:val="24"/>
                <w:szCs w:val="24"/>
              </w:rPr>
              <w:t>×</w:t>
            </w:r>
            <w:r>
              <w:rPr>
                <w:rFonts w:ascii="Times New Roman" w:hAnsi="Times New Roman" w:eastAsia="Times New Roman" w:cs="Times New Roman"/>
                <w:spacing w:val="-4"/>
                <w:sz w:val="24"/>
                <w:szCs w:val="24"/>
              </w:rPr>
              <w:t>5.01</w:t>
            </w:r>
            <w:r>
              <w:rPr>
                <w:spacing w:val="-4"/>
                <w:sz w:val="24"/>
                <w:szCs w:val="24"/>
              </w:rPr>
              <w:t>）</w:t>
            </w:r>
            <w:r>
              <w:rPr>
                <w:rFonts w:ascii="Times New Roman" w:hAnsi="Times New Roman" w:eastAsia="Times New Roman" w:cs="Times New Roman"/>
                <w:spacing w:val="-4"/>
                <w:sz w:val="24"/>
                <w:szCs w:val="24"/>
              </w:rPr>
              <w:t>Mvar</w:t>
            </w:r>
            <w:r>
              <w:rPr>
                <w:spacing w:val="-4"/>
                <w:sz w:val="24"/>
                <w:szCs w:val="24"/>
              </w:rPr>
              <w:t>，终期</w:t>
            </w:r>
            <w:r>
              <w:rPr>
                <w:spacing w:val="-48"/>
                <w:sz w:val="24"/>
                <w:szCs w:val="24"/>
              </w:rPr>
              <w:t xml:space="preserve"> </w:t>
            </w:r>
            <w:r>
              <w:rPr>
                <w:rFonts w:ascii="Times New Roman" w:hAnsi="Times New Roman" w:eastAsia="Times New Roman" w:cs="Times New Roman"/>
                <w:spacing w:val="-4"/>
                <w:sz w:val="24"/>
                <w:szCs w:val="24"/>
              </w:rPr>
              <w:t>3</w:t>
            </w:r>
            <w:r>
              <w:rPr>
                <w:rFonts w:ascii="Times New Roman" w:hAnsi="Times New Roman" w:eastAsia="Times New Roman" w:cs="Times New Roman"/>
                <w:spacing w:val="-16"/>
                <w:sz w:val="24"/>
                <w:szCs w:val="24"/>
              </w:rPr>
              <w:t xml:space="preserve"> </w:t>
            </w:r>
            <w:r>
              <w:rPr>
                <w:spacing w:val="-4"/>
                <w:sz w:val="24"/>
                <w:szCs w:val="24"/>
              </w:rPr>
              <w:t>×（</w:t>
            </w:r>
            <w:r>
              <w:rPr>
                <w:rFonts w:ascii="Times New Roman" w:hAnsi="Times New Roman" w:eastAsia="Times New Roman" w:cs="Times New Roman"/>
                <w:spacing w:val="-4"/>
                <w:sz w:val="24"/>
                <w:szCs w:val="24"/>
              </w:rPr>
              <w:t>2</w:t>
            </w:r>
            <w:r>
              <w:rPr>
                <w:spacing w:val="-4"/>
                <w:sz w:val="24"/>
                <w:szCs w:val="24"/>
              </w:rPr>
              <w:t>×</w:t>
            </w:r>
            <w:r>
              <w:rPr>
                <w:rFonts w:ascii="Times New Roman" w:hAnsi="Times New Roman" w:eastAsia="Times New Roman" w:cs="Times New Roman"/>
                <w:spacing w:val="-4"/>
                <w:sz w:val="24"/>
                <w:szCs w:val="24"/>
              </w:rPr>
              <w:t>5.01</w:t>
            </w:r>
            <w:r>
              <w:rPr>
                <w:spacing w:val="-4"/>
                <w:sz w:val="24"/>
                <w:szCs w:val="24"/>
              </w:rPr>
              <w:t>）</w:t>
            </w:r>
            <w:r>
              <w:rPr>
                <w:rFonts w:ascii="Times New Roman" w:hAnsi="Times New Roman" w:eastAsia="Times New Roman" w:cs="Times New Roman"/>
                <w:spacing w:val="-4"/>
                <w:sz w:val="24"/>
                <w:szCs w:val="24"/>
              </w:rPr>
              <w:t>Mvar</w:t>
            </w:r>
            <w:r>
              <w:rPr>
                <w:spacing w:val="-4"/>
                <w:sz w:val="24"/>
                <w:szCs w:val="24"/>
              </w:rPr>
              <w:t>。</w:t>
            </w:r>
          </w:p>
        </w:tc>
      </w:tr>
    </w:tbl>
    <w:p w14:paraId="54506211">
      <w:pPr>
        <w:rPr>
          <w:rFonts w:ascii="Arial"/>
          <w:sz w:val="21"/>
        </w:rPr>
      </w:pPr>
    </w:p>
    <w:p w14:paraId="553418B4">
      <w:pPr>
        <w:rPr>
          <w:rFonts w:ascii="Arial" w:hAnsi="Arial" w:eastAsia="Arial" w:cs="Arial"/>
          <w:sz w:val="21"/>
          <w:szCs w:val="21"/>
        </w:rPr>
        <w:sectPr>
          <w:footerReference r:id="rId40" w:type="default"/>
          <w:pgSz w:w="11907" w:h="16840"/>
          <w:pgMar w:top="400" w:right="1684" w:bottom="1240" w:left="1683" w:header="0" w:footer="1077" w:gutter="0"/>
          <w:cols w:space="720" w:num="1"/>
        </w:sectPr>
      </w:pPr>
    </w:p>
    <w:p w14:paraId="5783C9A2">
      <w:pPr>
        <w:spacing w:before="19"/>
      </w:pPr>
    </w:p>
    <w:p w14:paraId="726B9789">
      <w:pPr>
        <w:spacing w:before="19"/>
      </w:pPr>
    </w:p>
    <w:p w14:paraId="409EDB87">
      <w:pPr>
        <w:spacing w:before="18"/>
      </w:pPr>
    </w:p>
    <w:p w14:paraId="60748B8C">
      <w:pPr>
        <w:spacing w:before="18"/>
      </w:pPr>
    </w:p>
    <w:tbl>
      <w:tblPr>
        <w:tblStyle w:val="5"/>
        <w:tblW w:w="85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5"/>
        <w:gridCol w:w="8149"/>
      </w:tblGrid>
      <w:tr w14:paraId="22D46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19" w:hRule="atLeast"/>
        </w:trPr>
        <w:tc>
          <w:tcPr>
            <w:tcW w:w="375" w:type="dxa"/>
            <w:vAlign w:val="top"/>
          </w:tcPr>
          <w:p w14:paraId="30A75394">
            <w:pPr>
              <w:rPr>
                <w:rFonts w:ascii="Arial"/>
                <w:sz w:val="21"/>
              </w:rPr>
            </w:pPr>
          </w:p>
        </w:tc>
        <w:tc>
          <w:tcPr>
            <w:tcW w:w="8149" w:type="dxa"/>
            <w:vAlign w:val="top"/>
          </w:tcPr>
          <w:p w14:paraId="267B04A6">
            <w:pPr>
              <w:spacing w:before="5" w:line="4334" w:lineRule="exact"/>
              <w:ind w:firstLine="93"/>
            </w:pPr>
            <w:r>
              <w:rPr>
                <w:position w:val="-86"/>
              </w:rPr>
              <w:drawing>
                <wp:inline distT="0" distB="0" distL="0" distR="0">
                  <wp:extent cx="4869815" cy="275145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222"/>
                          <a:stretch>
                            <a:fillRect/>
                          </a:stretch>
                        </pic:blipFill>
                        <pic:spPr>
                          <a:xfrm>
                            <a:off x="0" y="0"/>
                            <a:ext cx="4869942" cy="2751582"/>
                          </a:xfrm>
                          <a:prstGeom prst="rect">
                            <a:avLst/>
                          </a:prstGeom>
                        </pic:spPr>
                      </pic:pic>
                    </a:graphicData>
                  </a:graphic>
                </wp:inline>
              </w:drawing>
            </w:r>
          </w:p>
          <w:p w14:paraId="01B7668E">
            <w:pPr>
              <w:pStyle w:val="6"/>
              <w:spacing w:before="29" w:line="228" w:lineRule="auto"/>
              <w:ind w:left="2032"/>
            </w:pPr>
            <w:r>
              <w:rPr>
                <w:b/>
                <w:bCs/>
                <w:spacing w:val="4"/>
              </w:rPr>
              <w:t>图</w:t>
            </w:r>
            <w:r>
              <w:rPr>
                <w:spacing w:val="-28"/>
              </w:rPr>
              <w:t xml:space="preserve"> </w:t>
            </w:r>
            <w:r>
              <w:rPr>
                <w:rFonts w:ascii="Times New Roman" w:hAnsi="Times New Roman" w:eastAsia="Times New Roman" w:cs="Times New Roman"/>
                <w:b/>
                <w:bCs/>
                <w:spacing w:val="4"/>
              </w:rPr>
              <w:t>2-1        110</w:t>
            </w:r>
            <w:r>
              <w:rPr>
                <w:rFonts w:ascii="Times New Roman" w:hAnsi="Times New Roman" w:eastAsia="Times New Roman" w:cs="Times New Roman"/>
                <w:b/>
                <w:bCs/>
              </w:rPr>
              <w:t>kV</w:t>
            </w:r>
            <w:r>
              <w:rPr>
                <w:rFonts w:ascii="Times New Roman" w:hAnsi="Times New Roman" w:eastAsia="Times New Roman" w:cs="Times New Roman"/>
                <w:b/>
                <w:bCs/>
                <w:spacing w:val="4"/>
              </w:rPr>
              <w:t xml:space="preserve"> </w:t>
            </w:r>
            <w:r>
              <w:rPr>
                <w:b/>
                <w:bCs/>
                <w:spacing w:val="4"/>
              </w:rPr>
              <w:t>松山变电站间隔排列示意图</w:t>
            </w:r>
          </w:p>
          <w:p w14:paraId="37935F99">
            <w:pPr>
              <w:pStyle w:val="6"/>
              <w:spacing w:before="166" w:line="219" w:lineRule="auto"/>
              <w:ind w:left="594"/>
              <w:rPr>
                <w:sz w:val="24"/>
                <w:szCs w:val="24"/>
              </w:rPr>
            </w:pPr>
            <w:r>
              <w:rPr>
                <w:b/>
                <w:bCs/>
                <w:spacing w:val="-3"/>
                <w:sz w:val="24"/>
                <w:szCs w:val="24"/>
              </w:rPr>
              <w:t>（</w:t>
            </w:r>
            <w:r>
              <w:rPr>
                <w:rFonts w:ascii="Times New Roman" w:hAnsi="Times New Roman" w:eastAsia="Times New Roman" w:cs="Times New Roman"/>
                <w:b/>
                <w:bCs/>
                <w:spacing w:val="-3"/>
                <w:sz w:val="24"/>
                <w:szCs w:val="24"/>
              </w:rPr>
              <w:t>2</w:t>
            </w:r>
            <w:r>
              <w:rPr>
                <w:b/>
                <w:bCs/>
                <w:spacing w:val="-3"/>
                <w:sz w:val="24"/>
                <w:szCs w:val="24"/>
              </w:rPr>
              <w:t>）新建</w:t>
            </w:r>
            <w:r>
              <w:rPr>
                <w:spacing w:val="-37"/>
                <w:sz w:val="24"/>
                <w:szCs w:val="24"/>
              </w:rPr>
              <w:t xml:space="preserve"> </w:t>
            </w:r>
            <w:r>
              <w:rPr>
                <w:rFonts w:ascii="Times New Roman" w:hAnsi="Times New Roman" w:eastAsia="Times New Roman" w:cs="Times New Roman"/>
                <w:b/>
                <w:bCs/>
                <w:spacing w:val="-3"/>
                <w:sz w:val="24"/>
                <w:szCs w:val="24"/>
              </w:rPr>
              <w:t xml:space="preserve">110kV </w:t>
            </w:r>
            <w:r>
              <w:rPr>
                <w:b/>
                <w:bCs/>
                <w:spacing w:val="-3"/>
                <w:sz w:val="24"/>
                <w:szCs w:val="24"/>
              </w:rPr>
              <w:t>架空线路工程、</w:t>
            </w:r>
            <w:r>
              <w:rPr>
                <w:rFonts w:ascii="Times New Roman" w:hAnsi="Times New Roman" w:eastAsia="Times New Roman" w:cs="Times New Roman"/>
                <w:b/>
                <w:bCs/>
                <w:spacing w:val="-3"/>
                <w:sz w:val="24"/>
                <w:szCs w:val="24"/>
              </w:rPr>
              <w:t xml:space="preserve">35kV </w:t>
            </w:r>
            <w:r>
              <w:rPr>
                <w:b/>
                <w:bCs/>
                <w:spacing w:val="-3"/>
                <w:sz w:val="24"/>
                <w:szCs w:val="24"/>
              </w:rPr>
              <w:t>及</w:t>
            </w:r>
            <w:r>
              <w:rPr>
                <w:spacing w:val="-44"/>
                <w:sz w:val="24"/>
                <w:szCs w:val="24"/>
              </w:rPr>
              <w:t xml:space="preserve"> </w:t>
            </w:r>
            <w:r>
              <w:rPr>
                <w:rFonts w:ascii="Times New Roman" w:hAnsi="Times New Roman" w:eastAsia="Times New Roman" w:cs="Times New Roman"/>
                <w:b/>
                <w:bCs/>
                <w:spacing w:val="-3"/>
                <w:sz w:val="24"/>
                <w:szCs w:val="24"/>
              </w:rPr>
              <w:t xml:space="preserve">10kV </w:t>
            </w:r>
            <w:r>
              <w:rPr>
                <w:b/>
                <w:bCs/>
                <w:spacing w:val="-3"/>
                <w:sz w:val="24"/>
                <w:szCs w:val="24"/>
              </w:rPr>
              <w:t>架空线路工程</w:t>
            </w:r>
          </w:p>
          <w:p w14:paraId="1A323473">
            <w:pPr>
              <w:pStyle w:val="6"/>
              <w:spacing w:before="182" w:line="219" w:lineRule="auto"/>
              <w:ind w:left="584"/>
              <w:rPr>
                <w:sz w:val="24"/>
                <w:szCs w:val="24"/>
              </w:rPr>
            </w:pPr>
            <w:r>
              <w:rPr>
                <w:spacing w:val="-6"/>
                <w:sz w:val="24"/>
                <w:szCs w:val="24"/>
              </w:rPr>
              <w:t>本期新建</w:t>
            </w:r>
            <w:r>
              <w:rPr>
                <w:spacing w:val="-55"/>
                <w:sz w:val="24"/>
                <w:szCs w:val="24"/>
              </w:rPr>
              <w:t xml:space="preserve"> </w:t>
            </w:r>
            <w:r>
              <w:rPr>
                <w:rFonts w:ascii="Times New Roman" w:hAnsi="Times New Roman" w:eastAsia="Times New Roman" w:cs="Times New Roman"/>
                <w:spacing w:val="-6"/>
                <w:sz w:val="24"/>
                <w:szCs w:val="24"/>
              </w:rPr>
              <w:t>2</w:t>
            </w:r>
            <w:r>
              <w:rPr>
                <w:rFonts w:ascii="Times New Roman" w:hAnsi="Times New Roman" w:eastAsia="Times New Roman" w:cs="Times New Roman"/>
                <w:spacing w:val="32"/>
                <w:w w:val="101"/>
                <w:sz w:val="24"/>
                <w:szCs w:val="24"/>
              </w:rPr>
              <w:t xml:space="preserve"> </w:t>
            </w:r>
            <w:r>
              <w:rPr>
                <w:spacing w:val="-6"/>
                <w:sz w:val="24"/>
                <w:szCs w:val="24"/>
              </w:rPr>
              <w:t>回</w:t>
            </w:r>
            <w:r>
              <w:rPr>
                <w:spacing w:val="-32"/>
                <w:sz w:val="24"/>
                <w:szCs w:val="24"/>
              </w:rPr>
              <w:t xml:space="preserve"> </w:t>
            </w:r>
            <w:r>
              <w:rPr>
                <w:rFonts w:ascii="Times New Roman" w:hAnsi="Times New Roman" w:eastAsia="Times New Roman" w:cs="Times New Roman"/>
                <w:spacing w:val="-6"/>
                <w:sz w:val="24"/>
                <w:szCs w:val="24"/>
              </w:rPr>
              <w:t xml:space="preserve">110kV </w:t>
            </w:r>
            <w:r>
              <w:rPr>
                <w:spacing w:val="-6"/>
                <w:sz w:val="24"/>
                <w:szCs w:val="24"/>
              </w:rPr>
              <w:t>线路，</w:t>
            </w:r>
            <w:r>
              <w:rPr>
                <w:rFonts w:ascii="Times New Roman" w:hAnsi="Times New Roman" w:eastAsia="Times New Roman" w:cs="Times New Roman"/>
                <w:spacing w:val="-6"/>
                <w:sz w:val="24"/>
                <w:szCs w:val="24"/>
              </w:rPr>
              <w:t>1</w:t>
            </w:r>
            <w:r>
              <w:rPr>
                <w:rFonts w:ascii="Times New Roman" w:hAnsi="Times New Roman" w:eastAsia="Times New Roman" w:cs="Times New Roman"/>
                <w:spacing w:val="33"/>
                <w:sz w:val="24"/>
                <w:szCs w:val="24"/>
              </w:rPr>
              <w:t xml:space="preserve"> </w:t>
            </w:r>
            <w:r>
              <w:rPr>
                <w:spacing w:val="-6"/>
                <w:sz w:val="24"/>
                <w:szCs w:val="24"/>
              </w:rPr>
              <w:t>回</w:t>
            </w:r>
            <w:r>
              <w:rPr>
                <w:spacing w:val="-50"/>
                <w:sz w:val="24"/>
                <w:szCs w:val="24"/>
              </w:rPr>
              <w:t xml:space="preserve"> </w:t>
            </w:r>
            <w:r>
              <w:rPr>
                <w:rFonts w:ascii="Times New Roman" w:hAnsi="Times New Roman" w:eastAsia="Times New Roman" w:cs="Times New Roman"/>
                <w:spacing w:val="-6"/>
                <w:sz w:val="24"/>
                <w:szCs w:val="24"/>
              </w:rPr>
              <w:t xml:space="preserve">35kV </w:t>
            </w:r>
            <w:r>
              <w:rPr>
                <w:spacing w:val="-6"/>
                <w:sz w:val="24"/>
                <w:szCs w:val="24"/>
              </w:rPr>
              <w:t>线路，</w:t>
            </w:r>
            <w:r>
              <w:rPr>
                <w:rFonts w:ascii="Times New Roman" w:hAnsi="Times New Roman" w:eastAsia="Times New Roman" w:cs="Times New Roman"/>
                <w:spacing w:val="-6"/>
                <w:sz w:val="24"/>
                <w:szCs w:val="24"/>
              </w:rPr>
              <w:t>9</w:t>
            </w:r>
            <w:r>
              <w:rPr>
                <w:rFonts w:ascii="Times New Roman" w:hAnsi="Times New Roman" w:eastAsia="Times New Roman" w:cs="Times New Roman"/>
                <w:spacing w:val="33"/>
                <w:sz w:val="24"/>
                <w:szCs w:val="24"/>
              </w:rPr>
              <w:t xml:space="preserve"> </w:t>
            </w:r>
            <w:r>
              <w:rPr>
                <w:spacing w:val="-6"/>
                <w:sz w:val="24"/>
                <w:szCs w:val="24"/>
              </w:rPr>
              <w:t>回</w:t>
            </w:r>
            <w:r>
              <w:rPr>
                <w:spacing w:val="-32"/>
                <w:sz w:val="24"/>
                <w:szCs w:val="24"/>
              </w:rPr>
              <w:t xml:space="preserve"> </w:t>
            </w:r>
            <w:r>
              <w:rPr>
                <w:rFonts w:ascii="Times New Roman" w:hAnsi="Times New Roman" w:eastAsia="Times New Roman" w:cs="Times New Roman"/>
                <w:spacing w:val="-6"/>
                <w:sz w:val="24"/>
                <w:szCs w:val="24"/>
              </w:rPr>
              <w:t>10kV</w:t>
            </w:r>
            <w:r>
              <w:rPr>
                <w:rFonts w:ascii="Times New Roman" w:hAnsi="Times New Roman" w:eastAsia="Times New Roman" w:cs="Times New Roman"/>
                <w:spacing w:val="14"/>
                <w:sz w:val="24"/>
                <w:szCs w:val="24"/>
              </w:rPr>
              <w:t xml:space="preserve"> </w:t>
            </w:r>
            <w:r>
              <w:rPr>
                <w:spacing w:val="-6"/>
                <w:sz w:val="24"/>
                <w:szCs w:val="24"/>
              </w:rPr>
              <w:t>线路。</w:t>
            </w:r>
          </w:p>
          <w:p w14:paraId="55671E7C">
            <w:pPr>
              <w:pStyle w:val="6"/>
              <w:spacing w:before="181" w:line="219" w:lineRule="auto"/>
              <w:ind w:left="589"/>
              <w:rPr>
                <w:sz w:val="24"/>
                <w:szCs w:val="24"/>
              </w:rPr>
            </w:pPr>
            <w:r>
              <w:rPr>
                <w:rFonts w:ascii="Times New Roman" w:hAnsi="Times New Roman" w:eastAsia="Times New Roman" w:cs="Times New Roman"/>
                <w:b/>
                <w:bCs/>
                <w:spacing w:val="-4"/>
                <w:sz w:val="24"/>
                <w:szCs w:val="24"/>
              </w:rPr>
              <w:t>1</w:t>
            </w:r>
            <w:r>
              <w:rPr>
                <w:b/>
                <w:bCs/>
                <w:spacing w:val="-4"/>
                <w:sz w:val="24"/>
                <w:szCs w:val="24"/>
              </w:rPr>
              <w:t>）新建</w:t>
            </w:r>
            <w:r>
              <w:rPr>
                <w:spacing w:val="-42"/>
                <w:sz w:val="24"/>
                <w:szCs w:val="24"/>
              </w:rPr>
              <w:t xml:space="preserve"> </w:t>
            </w:r>
            <w:r>
              <w:rPr>
                <w:rFonts w:ascii="Times New Roman" w:hAnsi="Times New Roman" w:eastAsia="Times New Roman" w:cs="Times New Roman"/>
                <w:b/>
                <w:bCs/>
                <w:spacing w:val="-4"/>
                <w:sz w:val="24"/>
                <w:szCs w:val="24"/>
              </w:rPr>
              <w:t xml:space="preserve">110kV </w:t>
            </w:r>
            <w:r>
              <w:rPr>
                <w:b/>
                <w:bCs/>
                <w:spacing w:val="-4"/>
                <w:sz w:val="24"/>
                <w:szCs w:val="24"/>
              </w:rPr>
              <w:t>架空线路工程</w:t>
            </w:r>
          </w:p>
          <w:p w14:paraId="56245A62">
            <w:pPr>
              <w:pStyle w:val="6"/>
              <w:spacing w:before="182" w:line="359" w:lineRule="auto"/>
              <w:ind w:left="102" w:right="102" w:firstLine="480"/>
              <w:jc w:val="both"/>
              <w:rPr>
                <w:sz w:val="24"/>
                <w:szCs w:val="24"/>
              </w:rPr>
            </w:pPr>
            <w:r>
              <w:rPr>
                <w:spacing w:val="-5"/>
                <w:sz w:val="24"/>
                <w:szCs w:val="24"/>
              </w:rPr>
              <w:t>根据本工程接入系统方案，本期新建</w:t>
            </w:r>
            <w:r>
              <w:rPr>
                <w:spacing w:val="-55"/>
                <w:sz w:val="24"/>
                <w:szCs w:val="24"/>
              </w:rPr>
              <w:t xml:space="preserve"> </w:t>
            </w:r>
            <w:r>
              <w:rPr>
                <w:rFonts w:ascii="Times New Roman" w:hAnsi="Times New Roman" w:eastAsia="Times New Roman" w:cs="Times New Roman"/>
                <w:spacing w:val="-5"/>
                <w:sz w:val="24"/>
                <w:szCs w:val="24"/>
              </w:rPr>
              <w:t>2</w:t>
            </w:r>
            <w:r>
              <w:rPr>
                <w:rFonts w:ascii="Times New Roman" w:hAnsi="Times New Roman" w:eastAsia="Times New Roman" w:cs="Times New Roman"/>
                <w:spacing w:val="33"/>
                <w:sz w:val="24"/>
                <w:szCs w:val="24"/>
              </w:rPr>
              <w:t xml:space="preserve"> </w:t>
            </w:r>
            <w:r>
              <w:rPr>
                <w:spacing w:val="-5"/>
                <w:sz w:val="24"/>
                <w:szCs w:val="24"/>
              </w:rPr>
              <w:t>回</w:t>
            </w:r>
            <w:r>
              <w:rPr>
                <w:spacing w:val="-32"/>
                <w:sz w:val="24"/>
                <w:szCs w:val="24"/>
              </w:rPr>
              <w:t xml:space="preserve"> </w:t>
            </w:r>
            <w:r>
              <w:rPr>
                <w:rFonts w:ascii="Times New Roman" w:hAnsi="Times New Roman" w:eastAsia="Times New Roman" w:cs="Times New Roman"/>
                <w:spacing w:val="-5"/>
                <w:sz w:val="24"/>
                <w:szCs w:val="24"/>
              </w:rPr>
              <w:t xml:space="preserve">110kV </w:t>
            </w:r>
            <w:r>
              <w:rPr>
                <w:spacing w:val="-5"/>
                <w:sz w:val="24"/>
                <w:szCs w:val="24"/>
              </w:rPr>
              <w:t>架空线路，其</w:t>
            </w:r>
            <w:r>
              <w:rPr>
                <w:spacing w:val="-6"/>
                <w:sz w:val="24"/>
                <w:szCs w:val="24"/>
              </w:rPr>
              <w:t>中</w:t>
            </w:r>
            <w:r>
              <w:rPr>
                <w:spacing w:val="-32"/>
                <w:sz w:val="24"/>
                <w:szCs w:val="24"/>
              </w:rPr>
              <w:t xml:space="preserve"> </w:t>
            </w:r>
            <w:r>
              <w:rPr>
                <w:rFonts w:ascii="Times New Roman" w:hAnsi="Times New Roman" w:eastAsia="Times New Roman" w:cs="Times New Roman"/>
                <w:spacing w:val="-6"/>
                <w:sz w:val="24"/>
                <w:szCs w:val="24"/>
              </w:rPr>
              <w:t>1</w:t>
            </w:r>
            <w:r>
              <w:rPr>
                <w:rFonts w:ascii="Times New Roman" w:hAnsi="Times New Roman" w:eastAsia="Times New Roman" w:cs="Times New Roman"/>
                <w:spacing w:val="33"/>
                <w:sz w:val="24"/>
                <w:szCs w:val="24"/>
              </w:rPr>
              <w:t xml:space="preserve"> </w:t>
            </w:r>
            <w:r>
              <w:rPr>
                <w:spacing w:val="-6"/>
                <w:sz w:val="24"/>
                <w:szCs w:val="24"/>
              </w:rPr>
              <w:t>回接</w:t>
            </w:r>
            <w:r>
              <w:rPr>
                <w:spacing w:val="-8"/>
                <w:sz w:val="24"/>
                <w:szCs w:val="24"/>
              </w:rPr>
              <w:t>入拟建的</w:t>
            </w:r>
            <w:r>
              <w:rPr>
                <w:spacing w:val="-62"/>
                <w:sz w:val="24"/>
                <w:szCs w:val="24"/>
              </w:rPr>
              <w:t xml:space="preserve"> </w:t>
            </w:r>
            <w:r>
              <w:rPr>
                <w:rFonts w:ascii="Times New Roman" w:hAnsi="Times New Roman" w:eastAsia="Times New Roman" w:cs="Times New Roman"/>
                <w:spacing w:val="-8"/>
                <w:sz w:val="24"/>
                <w:szCs w:val="24"/>
              </w:rPr>
              <w:t xml:space="preserve">220kV </w:t>
            </w:r>
            <w:r>
              <w:rPr>
                <w:spacing w:val="-8"/>
                <w:sz w:val="24"/>
                <w:szCs w:val="24"/>
              </w:rPr>
              <w:t>芳华变，新建线路长度</w:t>
            </w:r>
            <w:r>
              <w:rPr>
                <w:spacing w:val="-62"/>
                <w:sz w:val="24"/>
                <w:szCs w:val="24"/>
              </w:rPr>
              <w:t xml:space="preserve"> </w:t>
            </w:r>
            <w:r>
              <w:rPr>
                <w:rFonts w:ascii="Times New Roman" w:hAnsi="Times New Roman" w:eastAsia="Times New Roman" w:cs="Times New Roman"/>
                <w:spacing w:val="-8"/>
                <w:sz w:val="24"/>
                <w:szCs w:val="24"/>
              </w:rPr>
              <w:t>2</w:t>
            </w:r>
            <w:r>
              <w:rPr>
                <w:spacing w:val="-8"/>
                <w:sz w:val="24"/>
                <w:szCs w:val="24"/>
              </w:rPr>
              <w:t>×</w:t>
            </w:r>
            <w:r>
              <w:rPr>
                <w:rFonts w:ascii="Times New Roman" w:hAnsi="Times New Roman" w:eastAsia="Times New Roman" w:cs="Times New Roman"/>
                <w:spacing w:val="-8"/>
                <w:sz w:val="24"/>
                <w:szCs w:val="24"/>
              </w:rPr>
              <w:t>6.36+3.89km</w:t>
            </w:r>
            <w:r>
              <w:rPr>
                <w:spacing w:val="-8"/>
                <w:sz w:val="24"/>
                <w:szCs w:val="24"/>
              </w:rPr>
              <w:t>。另外新建</w:t>
            </w:r>
            <w:r>
              <w:rPr>
                <w:spacing w:val="-39"/>
                <w:sz w:val="24"/>
                <w:szCs w:val="24"/>
              </w:rPr>
              <w:t xml:space="preserve"> </w:t>
            </w:r>
            <w:r>
              <w:rPr>
                <w:rFonts w:ascii="Times New Roman" w:hAnsi="Times New Roman" w:eastAsia="Times New Roman" w:cs="Times New Roman"/>
                <w:spacing w:val="-9"/>
                <w:sz w:val="24"/>
                <w:szCs w:val="24"/>
              </w:rPr>
              <w:t>1</w:t>
            </w:r>
            <w:r>
              <w:rPr>
                <w:rFonts w:ascii="Times New Roman" w:hAnsi="Times New Roman" w:eastAsia="Times New Roman" w:cs="Times New Roman"/>
                <w:spacing w:val="28"/>
                <w:sz w:val="24"/>
                <w:szCs w:val="24"/>
              </w:rPr>
              <w:t xml:space="preserve"> </w:t>
            </w:r>
            <w:r>
              <w:rPr>
                <w:spacing w:val="-9"/>
                <w:sz w:val="24"/>
                <w:szCs w:val="24"/>
              </w:rPr>
              <w:t>回</w:t>
            </w:r>
            <w:r>
              <w:rPr>
                <w:spacing w:val="-39"/>
                <w:sz w:val="24"/>
                <w:szCs w:val="24"/>
              </w:rPr>
              <w:t xml:space="preserve"> </w:t>
            </w:r>
            <w:r>
              <w:rPr>
                <w:rFonts w:ascii="Times New Roman" w:hAnsi="Times New Roman" w:eastAsia="Times New Roman" w:cs="Times New Roman"/>
                <w:spacing w:val="-9"/>
                <w:sz w:val="24"/>
                <w:szCs w:val="24"/>
              </w:rPr>
              <w:t>110kV</w:t>
            </w:r>
            <w:r>
              <w:rPr>
                <w:spacing w:val="-3"/>
                <w:sz w:val="24"/>
                <w:szCs w:val="24"/>
              </w:rPr>
              <w:t>线路“</w:t>
            </w:r>
            <w:r>
              <w:rPr>
                <w:rFonts w:ascii="Times New Roman" w:hAnsi="Times New Roman" w:eastAsia="Times New Roman" w:cs="Times New Roman"/>
                <w:spacing w:val="-3"/>
                <w:sz w:val="24"/>
                <w:szCs w:val="24"/>
              </w:rPr>
              <w:t>T</w:t>
            </w:r>
            <w:r>
              <w:rPr>
                <w:rFonts w:ascii="Times New Roman" w:hAnsi="Times New Roman" w:eastAsia="Times New Roman" w:cs="Times New Roman"/>
                <w:spacing w:val="-15"/>
                <w:sz w:val="24"/>
                <w:szCs w:val="24"/>
              </w:rPr>
              <w:t xml:space="preserve"> </w:t>
            </w:r>
            <w:r>
              <w:rPr>
                <w:spacing w:val="-3"/>
                <w:sz w:val="24"/>
                <w:szCs w:val="24"/>
              </w:rPr>
              <w:t>”接芳华变</w:t>
            </w:r>
            <w:r>
              <w:rPr>
                <w:rFonts w:ascii="Times New Roman" w:hAnsi="Times New Roman" w:eastAsia="Times New Roman" w:cs="Times New Roman"/>
                <w:spacing w:val="-3"/>
                <w:sz w:val="24"/>
                <w:szCs w:val="24"/>
              </w:rPr>
              <w:t>~</w:t>
            </w:r>
            <w:r>
              <w:rPr>
                <w:spacing w:val="-3"/>
                <w:sz w:val="24"/>
                <w:szCs w:val="24"/>
              </w:rPr>
              <w:t>吉冲变</w:t>
            </w:r>
            <w:r>
              <w:rPr>
                <w:spacing w:val="-32"/>
                <w:sz w:val="24"/>
                <w:szCs w:val="24"/>
              </w:rPr>
              <w:t xml:space="preserve"> </w:t>
            </w:r>
            <w:r>
              <w:rPr>
                <w:rFonts w:ascii="Times New Roman" w:hAnsi="Times New Roman" w:eastAsia="Times New Roman" w:cs="Times New Roman"/>
                <w:spacing w:val="-3"/>
                <w:sz w:val="24"/>
                <w:szCs w:val="24"/>
              </w:rPr>
              <w:t>110kV</w:t>
            </w:r>
            <w:r>
              <w:rPr>
                <w:spacing w:val="-3"/>
                <w:sz w:val="24"/>
                <w:szCs w:val="24"/>
              </w:rPr>
              <w:t>Ⅱ回线路新建线路长度</w:t>
            </w:r>
            <w:r>
              <w:rPr>
                <w:spacing w:val="-49"/>
                <w:sz w:val="24"/>
                <w:szCs w:val="24"/>
              </w:rPr>
              <w:t xml:space="preserve"> </w:t>
            </w:r>
            <w:r>
              <w:rPr>
                <w:rFonts w:ascii="Times New Roman" w:hAnsi="Times New Roman" w:eastAsia="Times New Roman" w:cs="Times New Roman"/>
                <w:spacing w:val="-3"/>
                <w:sz w:val="24"/>
                <w:szCs w:val="24"/>
              </w:rPr>
              <w:t>5.78km</w:t>
            </w:r>
            <w:r>
              <w:rPr>
                <w:spacing w:val="-3"/>
                <w:sz w:val="24"/>
                <w:szCs w:val="24"/>
              </w:rPr>
              <w:t>。</w:t>
            </w:r>
          </w:p>
          <w:p w14:paraId="14E0BD37">
            <w:pPr>
              <w:pStyle w:val="6"/>
              <w:spacing w:line="219" w:lineRule="auto"/>
              <w:ind w:left="579"/>
              <w:rPr>
                <w:sz w:val="24"/>
                <w:szCs w:val="24"/>
              </w:rPr>
            </w:pPr>
            <w:r>
              <w:rPr>
                <w:rFonts w:ascii="Times New Roman" w:hAnsi="Times New Roman" w:eastAsia="Times New Roman" w:cs="Times New Roman"/>
                <w:b/>
                <w:bCs/>
                <w:spacing w:val="-2"/>
                <w:sz w:val="24"/>
                <w:szCs w:val="24"/>
              </w:rPr>
              <w:t>2</w:t>
            </w:r>
            <w:r>
              <w:rPr>
                <w:b/>
                <w:bCs/>
                <w:spacing w:val="-2"/>
                <w:sz w:val="24"/>
                <w:szCs w:val="24"/>
              </w:rPr>
              <w:t>）新建</w:t>
            </w:r>
            <w:r>
              <w:rPr>
                <w:spacing w:val="-52"/>
                <w:sz w:val="24"/>
                <w:szCs w:val="24"/>
              </w:rPr>
              <w:t xml:space="preserve"> </w:t>
            </w:r>
            <w:r>
              <w:rPr>
                <w:rFonts w:ascii="Times New Roman" w:hAnsi="Times New Roman" w:eastAsia="Times New Roman" w:cs="Times New Roman"/>
                <w:b/>
                <w:bCs/>
                <w:spacing w:val="-2"/>
                <w:sz w:val="24"/>
                <w:szCs w:val="24"/>
              </w:rPr>
              <w:t xml:space="preserve">35kV </w:t>
            </w:r>
            <w:r>
              <w:rPr>
                <w:b/>
                <w:bCs/>
                <w:spacing w:val="-2"/>
                <w:sz w:val="24"/>
                <w:szCs w:val="24"/>
              </w:rPr>
              <w:t>架空线路工程</w:t>
            </w:r>
          </w:p>
          <w:p w14:paraId="6661E856">
            <w:pPr>
              <w:pStyle w:val="6"/>
              <w:spacing w:before="183" w:line="359" w:lineRule="auto"/>
              <w:ind w:left="125" w:right="102" w:firstLine="458"/>
              <w:rPr>
                <w:sz w:val="24"/>
                <w:szCs w:val="24"/>
              </w:rPr>
            </w:pPr>
            <w:r>
              <w:rPr>
                <w:spacing w:val="-4"/>
                <w:sz w:val="24"/>
                <w:szCs w:val="24"/>
              </w:rPr>
              <w:t>新建</w:t>
            </w:r>
            <w:r>
              <w:rPr>
                <w:spacing w:val="-26"/>
                <w:sz w:val="24"/>
                <w:szCs w:val="24"/>
              </w:rPr>
              <w:t xml:space="preserve"> </w:t>
            </w:r>
            <w:r>
              <w:rPr>
                <w:rFonts w:ascii="Times New Roman" w:hAnsi="Times New Roman" w:eastAsia="Times New Roman" w:cs="Times New Roman"/>
                <w:spacing w:val="-4"/>
                <w:sz w:val="24"/>
                <w:szCs w:val="24"/>
              </w:rPr>
              <w:t>1</w:t>
            </w:r>
            <w:r>
              <w:rPr>
                <w:rFonts w:ascii="Times New Roman" w:hAnsi="Times New Roman" w:eastAsia="Times New Roman" w:cs="Times New Roman"/>
                <w:spacing w:val="40"/>
                <w:sz w:val="24"/>
                <w:szCs w:val="24"/>
              </w:rPr>
              <w:t xml:space="preserve"> </w:t>
            </w:r>
            <w:r>
              <w:rPr>
                <w:spacing w:val="-4"/>
                <w:sz w:val="24"/>
                <w:szCs w:val="24"/>
              </w:rPr>
              <w:t>回</w:t>
            </w:r>
            <w:r>
              <w:rPr>
                <w:spacing w:val="-45"/>
                <w:sz w:val="24"/>
                <w:szCs w:val="24"/>
              </w:rPr>
              <w:t xml:space="preserve"> </w:t>
            </w:r>
            <w:r>
              <w:rPr>
                <w:rFonts w:ascii="Times New Roman" w:hAnsi="Times New Roman" w:eastAsia="Times New Roman" w:cs="Times New Roman"/>
                <w:spacing w:val="-4"/>
                <w:sz w:val="24"/>
                <w:szCs w:val="24"/>
              </w:rPr>
              <w:t>35kV</w:t>
            </w:r>
            <w:r>
              <w:rPr>
                <w:rFonts w:ascii="Times New Roman" w:hAnsi="Times New Roman" w:eastAsia="Times New Roman" w:cs="Times New Roman"/>
                <w:spacing w:val="19"/>
                <w:sz w:val="24"/>
                <w:szCs w:val="24"/>
              </w:rPr>
              <w:t xml:space="preserve"> </w:t>
            </w:r>
            <w:r>
              <w:rPr>
                <w:spacing w:val="-4"/>
                <w:sz w:val="24"/>
                <w:szCs w:val="24"/>
              </w:rPr>
              <w:t>线路，即新建</w:t>
            </w:r>
            <w:r>
              <w:rPr>
                <w:spacing w:val="-25"/>
                <w:sz w:val="24"/>
                <w:szCs w:val="24"/>
              </w:rPr>
              <w:t xml:space="preserve"> </w:t>
            </w:r>
            <w:r>
              <w:rPr>
                <w:rFonts w:ascii="Times New Roman" w:hAnsi="Times New Roman" w:eastAsia="Times New Roman" w:cs="Times New Roman"/>
                <w:spacing w:val="-4"/>
                <w:sz w:val="24"/>
                <w:szCs w:val="24"/>
              </w:rPr>
              <w:t>1</w:t>
            </w:r>
            <w:r>
              <w:rPr>
                <w:rFonts w:ascii="Times New Roman" w:hAnsi="Times New Roman" w:eastAsia="Times New Roman" w:cs="Times New Roman"/>
                <w:spacing w:val="38"/>
                <w:sz w:val="24"/>
                <w:szCs w:val="24"/>
              </w:rPr>
              <w:t xml:space="preserve"> </w:t>
            </w:r>
            <w:r>
              <w:rPr>
                <w:spacing w:val="-4"/>
                <w:sz w:val="24"/>
                <w:szCs w:val="24"/>
              </w:rPr>
              <w:t>回</w:t>
            </w:r>
            <w:r>
              <w:rPr>
                <w:spacing w:val="-46"/>
                <w:sz w:val="24"/>
                <w:szCs w:val="24"/>
              </w:rPr>
              <w:t xml:space="preserve"> </w:t>
            </w:r>
            <w:r>
              <w:rPr>
                <w:rFonts w:ascii="Times New Roman" w:hAnsi="Times New Roman" w:eastAsia="Times New Roman" w:cs="Times New Roman"/>
                <w:spacing w:val="-4"/>
                <w:sz w:val="24"/>
                <w:szCs w:val="24"/>
              </w:rPr>
              <w:t xml:space="preserve">T </w:t>
            </w:r>
            <w:r>
              <w:rPr>
                <w:spacing w:val="-4"/>
                <w:sz w:val="24"/>
                <w:szCs w:val="24"/>
              </w:rPr>
              <w:t>接</w:t>
            </w:r>
            <w:r>
              <w:rPr>
                <w:spacing w:val="-45"/>
                <w:sz w:val="24"/>
                <w:szCs w:val="24"/>
              </w:rPr>
              <w:t xml:space="preserve"> </w:t>
            </w:r>
            <w:r>
              <w:rPr>
                <w:rFonts w:ascii="Times New Roman" w:hAnsi="Times New Roman" w:eastAsia="Times New Roman" w:cs="Times New Roman"/>
                <w:spacing w:val="-4"/>
                <w:sz w:val="24"/>
                <w:szCs w:val="24"/>
              </w:rPr>
              <w:t>35kV</w:t>
            </w:r>
            <w:r>
              <w:rPr>
                <w:rFonts w:ascii="Times New Roman" w:hAnsi="Times New Roman" w:eastAsia="Times New Roman" w:cs="Times New Roman"/>
                <w:spacing w:val="18"/>
                <w:sz w:val="24"/>
                <w:szCs w:val="24"/>
              </w:rPr>
              <w:t xml:space="preserve"> </w:t>
            </w:r>
            <w:r>
              <w:rPr>
                <w:spacing w:val="-4"/>
                <w:sz w:val="24"/>
                <w:szCs w:val="24"/>
              </w:rPr>
              <w:t>金瑞达瓷业线并在</w:t>
            </w:r>
            <w:r>
              <w:rPr>
                <w:spacing w:val="-25"/>
                <w:sz w:val="24"/>
                <w:szCs w:val="24"/>
              </w:rPr>
              <w:t xml:space="preserve"> </w:t>
            </w:r>
            <w:r>
              <w:rPr>
                <w:rFonts w:ascii="Times New Roman" w:hAnsi="Times New Roman" w:eastAsia="Times New Roman" w:cs="Times New Roman"/>
                <w:spacing w:val="-4"/>
                <w:sz w:val="24"/>
                <w:szCs w:val="24"/>
              </w:rPr>
              <w:t>110kV</w:t>
            </w:r>
            <w:r>
              <w:rPr>
                <w:spacing w:val="-3"/>
                <w:sz w:val="24"/>
                <w:szCs w:val="24"/>
              </w:rPr>
              <w:t>中纪变侧开断，新建线路长度</w:t>
            </w:r>
            <w:r>
              <w:rPr>
                <w:spacing w:val="-49"/>
                <w:sz w:val="24"/>
                <w:szCs w:val="24"/>
              </w:rPr>
              <w:t xml:space="preserve"> </w:t>
            </w:r>
            <w:r>
              <w:rPr>
                <w:rFonts w:ascii="Times New Roman" w:hAnsi="Times New Roman" w:eastAsia="Times New Roman" w:cs="Times New Roman"/>
                <w:spacing w:val="-3"/>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165km</w:t>
            </w:r>
            <w:r>
              <w:rPr>
                <w:rFonts w:ascii="Times New Roman" w:hAnsi="Times New Roman" w:eastAsia="Times New Roman" w:cs="Times New Roman"/>
                <w:spacing w:val="-33"/>
                <w:sz w:val="24"/>
                <w:szCs w:val="24"/>
              </w:rPr>
              <w:t xml:space="preserve"> </w:t>
            </w:r>
            <w:r>
              <w:rPr>
                <w:spacing w:val="-3"/>
                <w:sz w:val="24"/>
                <w:szCs w:val="24"/>
              </w:rPr>
              <w:t>，架空线路截面按</w:t>
            </w:r>
            <w:r>
              <w:rPr>
                <w:spacing w:val="-55"/>
                <w:sz w:val="24"/>
                <w:szCs w:val="24"/>
              </w:rPr>
              <w:t xml:space="preserve"> </w:t>
            </w:r>
            <w:r>
              <w:rPr>
                <w:rFonts w:ascii="Times New Roman" w:hAnsi="Times New Roman" w:eastAsia="Times New Roman" w:cs="Times New Roman"/>
                <w:spacing w:val="-3"/>
                <w:sz w:val="24"/>
                <w:szCs w:val="24"/>
              </w:rPr>
              <w:t>240mm</w:t>
            </w:r>
            <w:r>
              <w:rPr>
                <w:rFonts w:ascii="Times New Roman" w:hAnsi="Times New Roman" w:eastAsia="Times New Roman" w:cs="Times New Roman"/>
                <w:spacing w:val="-3"/>
                <w:position w:val="7"/>
                <w:sz w:val="15"/>
                <w:szCs w:val="15"/>
              </w:rPr>
              <w:t>2</w:t>
            </w:r>
            <w:r>
              <w:rPr>
                <w:rFonts w:ascii="Times New Roman" w:hAnsi="Times New Roman" w:eastAsia="Times New Roman" w:cs="Times New Roman"/>
                <w:spacing w:val="11"/>
                <w:position w:val="7"/>
                <w:sz w:val="15"/>
                <w:szCs w:val="15"/>
              </w:rPr>
              <w:t xml:space="preserve"> </w:t>
            </w:r>
            <w:r>
              <w:rPr>
                <w:spacing w:val="-3"/>
                <w:sz w:val="24"/>
                <w:szCs w:val="24"/>
              </w:rPr>
              <w:t>选择。</w:t>
            </w:r>
          </w:p>
          <w:p w14:paraId="432540B8">
            <w:pPr>
              <w:pStyle w:val="6"/>
              <w:spacing w:line="219" w:lineRule="auto"/>
              <w:ind w:left="577"/>
              <w:rPr>
                <w:sz w:val="24"/>
                <w:szCs w:val="24"/>
              </w:rPr>
            </w:pPr>
            <w:r>
              <w:rPr>
                <w:rFonts w:ascii="Times New Roman" w:hAnsi="Times New Roman" w:eastAsia="Times New Roman" w:cs="Times New Roman"/>
                <w:b/>
                <w:bCs/>
                <w:spacing w:val="-3"/>
                <w:sz w:val="24"/>
                <w:szCs w:val="24"/>
              </w:rPr>
              <w:t>3</w:t>
            </w:r>
            <w:r>
              <w:rPr>
                <w:b/>
                <w:bCs/>
                <w:spacing w:val="-3"/>
                <w:sz w:val="24"/>
                <w:szCs w:val="24"/>
              </w:rPr>
              <w:t>）新建</w:t>
            </w:r>
            <w:r>
              <w:rPr>
                <w:spacing w:val="-35"/>
                <w:sz w:val="24"/>
                <w:szCs w:val="24"/>
              </w:rPr>
              <w:t xml:space="preserve"> </w:t>
            </w:r>
            <w:r>
              <w:rPr>
                <w:rFonts w:ascii="Times New Roman" w:hAnsi="Times New Roman" w:eastAsia="Times New Roman" w:cs="Times New Roman"/>
                <w:b/>
                <w:bCs/>
                <w:spacing w:val="-3"/>
                <w:sz w:val="24"/>
                <w:szCs w:val="24"/>
              </w:rPr>
              <w:t xml:space="preserve">10kV </w:t>
            </w:r>
            <w:r>
              <w:rPr>
                <w:b/>
                <w:bCs/>
                <w:spacing w:val="-3"/>
                <w:sz w:val="24"/>
                <w:szCs w:val="24"/>
              </w:rPr>
              <w:t>架空线路工程</w:t>
            </w:r>
          </w:p>
          <w:p w14:paraId="7FD2EE66">
            <w:pPr>
              <w:pStyle w:val="6"/>
              <w:spacing w:before="184" w:line="359" w:lineRule="auto"/>
              <w:ind w:left="106" w:right="102" w:firstLine="476"/>
              <w:rPr>
                <w:sz w:val="24"/>
                <w:szCs w:val="24"/>
              </w:rPr>
            </w:pPr>
            <w:r>
              <w:rPr>
                <w:spacing w:val="-12"/>
                <w:sz w:val="24"/>
                <w:szCs w:val="24"/>
              </w:rPr>
              <w:t>①新建</w:t>
            </w:r>
            <w:r>
              <w:rPr>
                <w:spacing w:val="-32"/>
                <w:sz w:val="24"/>
                <w:szCs w:val="24"/>
              </w:rPr>
              <w:t xml:space="preserve"> </w:t>
            </w:r>
            <w:r>
              <w:rPr>
                <w:rFonts w:ascii="Times New Roman" w:hAnsi="Times New Roman" w:eastAsia="Times New Roman" w:cs="Times New Roman"/>
                <w:spacing w:val="-12"/>
                <w:sz w:val="24"/>
                <w:szCs w:val="24"/>
              </w:rPr>
              <w:t xml:space="preserve">10kV </w:t>
            </w:r>
            <w:r>
              <w:rPr>
                <w:spacing w:val="-12"/>
                <w:sz w:val="24"/>
                <w:szCs w:val="24"/>
              </w:rPr>
              <w:t>松山变</w:t>
            </w:r>
            <w:r>
              <w:rPr>
                <w:spacing w:val="-54"/>
                <w:sz w:val="24"/>
                <w:szCs w:val="24"/>
              </w:rPr>
              <w:t xml:space="preserve"> </w:t>
            </w:r>
            <w:r>
              <w:rPr>
                <w:rFonts w:ascii="Times New Roman" w:hAnsi="Times New Roman" w:eastAsia="Times New Roman" w:cs="Times New Roman"/>
                <w:spacing w:val="-12"/>
                <w:sz w:val="24"/>
                <w:szCs w:val="24"/>
              </w:rPr>
              <w:t>I</w:t>
            </w:r>
            <w:r>
              <w:rPr>
                <w:spacing w:val="-12"/>
                <w:sz w:val="24"/>
                <w:szCs w:val="24"/>
              </w:rPr>
              <w:t>、Ⅱ</w:t>
            </w:r>
            <w:r>
              <w:rPr>
                <w:spacing w:val="-87"/>
                <w:sz w:val="24"/>
                <w:szCs w:val="24"/>
              </w:rPr>
              <w:t xml:space="preserve"> </w:t>
            </w:r>
            <w:r>
              <w:rPr>
                <w:spacing w:val="-12"/>
                <w:sz w:val="24"/>
                <w:szCs w:val="24"/>
              </w:rPr>
              <w:t>回：由站内</w:t>
            </w:r>
            <w:r>
              <w:rPr>
                <w:spacing w:val="-32"/>
                <w:sz w:val="24"/>
                <w:szCs w:val="24"/>
              </w:rPr>
              <w:t xml:space="preserve"> </w:t>
            </w:r>
            <w:r>
              <w:rPr>
                <w:rFonts w:ascii="Times New Roman" w:hAnsi="Times New Roman" w:eastAsia="Times New Roman" w:cs="Times New Roman"/>
                <w:spacing w:val="-12"/>
                <w:sz w:val="24"/>
                <w:szCs w:val="24"/>
              </w:rPr>
              <w:t>10kV</w:t>
            </w:r>
            <w:r>
              <w:rPr>
                <w:rFonts w:ascii="Times New Roman" w:hAnsi="Times New Roman" w:eastAsia="Times New Roman" w:cs="Times New Roman"/>
                <w:spacing w:val="32"/>
                <w:sz w:val="24"/>
                <w:szCs w:val="24"/>
              </w:rPr>
              <w:t xml:space="preserve"> </w:t>
            </w:r>
            <w:r>
              <w:rPr>
                <w:spacing w:val="-12"/>
                <w:sz w:val="24"/>
                <w:szCs w:val="24"/>
              </w:rPr>
              <w:t>出线塔架空出线，</w:t>
            </w:r>
            <w:r>
              <w:rPr>
                <w:rFonts w:ascii="Times New Roman" w:hAnsi="Times New Roman" w:eastAsia="Times New Roman" w:cs="Times New Roman"/>
                <w:spacing w:val="-12"/>
                <w:sz w:val="24"/>
                <w:szCs w:val="24"/>
              </w:rPr>
              <w:t xml:space="preserve">T </w:t>
            </w:r>
            <w:r>
              <w:rPr>
                <w:spacing w:val="-13"/>
                <w:sz w:val="24"/>
                <w:szCs w:val="24"/>
              </w:rPr>
              <w:t>接至</w:t>
            </w:r>
            <w:r>
              <w:rPr>
                <w:spacing w:val="-32"/>
                <w:sz w:val="24"/>
                <w:szCs w:val="24"/>
              </w:rPr>
              <w:t xml:space="preserve"> </w:t>
            </w:r>
            <w:r>
              <w:rPr>
                <w:rFonts w:ascii="Times New Roman" w:hAnsi="Times New Roman" w:eastAsia="Times New Roman" w:cs="Times New Roman"/>
                <w:spacing w:val="-13"/>
                <w:sz w:val="24"/>
                <w:szCs w:val="24"/>
              </w:rPr>
              <w:t>10kV</w:t>
            </w:r>
            <w:r>
              <w:rPr>
                <w:spacing w:val="-2"/>
                <w:sz w:val="24"/>
                <w:szCs w:val="24"/>
              </w:rPr>
              <w:t>大东瓷砖厂线</w:t>
            </w:r>
            <w:r>
              <w:rPr>
                <w:rFonts w:ascii="Times New Roman" w:hAnsi="Times New Roman" w:eastAsia="Times New Roman" w:cs="Times New Roman"/>
                <w:spacing w:val="-2"/>
                <w:sz w:val="24"/>
                <w:szCs w:val="24"/>
              </w:rPr>
              <w:t>#162+1</w:t>
            </w:r>
            <w:r>
              <w:rPr>
                <w:rFonts w:ascii="Times New Roman" w:hAnsi="Times New Roman" w:eastAsia="Times New Roman" w:cs="Times New Roman"/>
                <w:spacing w:val="-34"/>
                <w:sz w:val="24"/>
                <w:szCs w:val="24"/>
              </w:rPr>
              <w:t xml:space="preserve"> </w:t>
            </w:r>
            <w:r>
              <w:rPr>
                <w:spacing w:val="-2"/>
                <w:sz w:val="24"/>
                <w:szCs w:val="24"/>
              </w:rPr>
              <w:t>、</w:t>
            </w:r>
            <w:r>
              <w:rPr>
                <w:rFonts w:ascii="Times New Roman" w:hAnsi="Times New Roman" w:eastAsia="Times New Roman" w:cs="Times New Roman"/>
                <w:spacing w:val="-2"/>
                <w:sz w:val="24"/>
                <w:szCs w:val="24"/>
              </w:rPr>
              <w:t>#163</w:t>
            </w:r>
            <w:r>
              <w:rPr>
                <w:rFonts w:ascii="Times New Roman" w:hAnsi="Times New Roman" w:eastAsia="Times New Roman" w:cs="Times New Roman"/>
                <w:spacing w:val="15"/>
                <w:sz w:val="24"/>
                <w:szCs w:val="24"/>
              </w:rPr>
              <w:t xml:space="preserve"> </w:t>
            </w:r>
            <w:r>
              <w:rPr>
                <w:spacing w:val="-2"/>
                <w:sz w:val="24"/>
                <w:szCs w:val="24"/>
              </w:rPr>
              <w:t>号杆，新</w:t>
            </w:r>
            <w:r>
              <w:rPr>
                <w:spacing w:val="-3"/>
                <w:sz w:val="24"/>
                <w:szCs w:val="24"/>
              </w:rPr>
              <w:t>建线路长度约</w:t>
            </w:r>
            <w:r>
              <w:rPr>
                <w:spacing w:val="-32"/>
                <w:sz w:val="24"/>
                <w:szCs w:val="24"/>
              </w:rPr>
              <w:t xml:space="preserve"> </w:t>
            </w:r>
            <w:r>
              <w:rPr>
                <w:rFonts w:ascii="Times New Roman" w:hAnsi="Times New Roman" w:eastAsia="Times New Roman" w:cs="Times New Roman"/>
                <w:spacing w:val="-3"/>
                <w:sz w:val="24"/>
                <w:szCs w:val="24"/>
              </w:rPr>
              <w:t>1.844km</w:t>
            </w:r>
            <w:r>
              <w:rPr>
                <w:spacing w:val="-3"/>
                <w:sz w:val="24"/>
                <w:szCs w:val="24"/>
              </w:rPr>
              <w:t>。</w:t>
            </w:r>
          </w:p>
          <w:p w14:paraId="43A540F0">
            <w:pPr>
              <w:pStyle w:val="6"/>
              <w:spacing w:line="358" w:lineRule="auto"/>
              <w:ind w:left="104" w:right="103" w:firstLine="477"/>
              <w:rPr>
                <w:sz w:val="24"/>
                <w:szCs w:val="24"/>
              </w:rPr>
            </w:pPr>
            <w:r>
              <w:rPr>
                <w:spacing w:val="-3"/>
                <w:sz w:val="24"/>
                <w:szCs w:val="24"/>
              </w:rPr>
              <w:t>②新建</w:t>
            </w:r>
            <w:r>
              <w:rPr>
                <w:spacing w:val="-32"/>
                <w:sz w:val="24"/>
                <w:szCs w:val="24"/>
              </w:rPr>
              <w:t xml:space="preserve"> </w:t>
            </w:r>
            <w:r>
              <w:rPr>
                <w:rFonts w:ascii="Times New Roman" w:hAnsi="Times New Roman" w:eastAsia="Times New Roman" w:cs="Times New Roman"/>
                <w:spacing w:val="-3"/>
                <w:sz w:val="24"/>
                <w:szCs w:val="24"/>
              </w:rPr>
              <w:t xml:space="preserve">10kV </w:t>
            </w:r>
            <w:r>
              <w:rPr>
                <w:spacing w:val="-3"/>
                <w:sz w:val="24"/>
                <w:szCs w:val="24"/>
              </w:rPr>
              <w:t>松山变Ⅲ回：由站内</w:t>
            </w:r>
            <w:r>
              <w:rPr>
                <w:spacing w:val="-32"/>
                <w:sz w:val="24"/>
                <w:szCs w:val="24"/>
              </w:rPr>
              <w:t xml:space="preserve"> </w:t>
            </w:r>
            <w:r>
              <w:rPr>
                <w:rFonts w:ascii="Times New Roman" w:hAnsi="Times New Roman" w:eastAsia="Times New Roman" w:cs="Times New Roman"/>
                <w:spacing w:val="-3"/>
                <w:sz w:val="24"/>
                <w:szCs w:val="24"/>
              </w:rPr>
              <w:t>10kV</w:t>
            </w:r>
            <w:r>
              <w:rPr>
                <w:rFonts w:ascii="Times New Roman" w:hAnsi="Times New Roman" w:eastAsia="Times New Roman" w:cs="Times New Roman"/>
                <w:spacing w:val="31"/>
                <w:w w:val="101"/>
                <w:sz w:val="24"/>
                <w:szCs w:val="24"/>
              </w:rPr>
              <w:t xml:space="preserve"> </w:t>
            </w:r>
            <w:r>
              <w:rPr>
                <w:spacing w:val="-3"/>
                <w:sz w:val="24"/>
                <w:szCs w:val="24"/>
              </w:rPr>
              <w:t>出线塔架空出线，</w:t>
            </w:r>
            <w:r>
              <w:rPr>
                <w:rFonts w:ascii="Times New Roman" w:hAnsi="Times New Roman" w:eastAsia="Times New Roman" w:cs="Times New Roman"/>
                <w:spacing w:val="-3"/>
                <w:sz w:val="24"/>
                <w:szCs w:val="24"/>
              </w:rPr>
              <w:t xml:space="preserve">T </w:t>
            </w:r>
            <w:r>
              <w:rPr>
                <w:spacing w:val="-3"/>
                <w:sz w:val="24"/>
                <w:szCs w:val="24"/>
              </w:rPr>
              <w:t>接</w:t>
            </w:r>
            <w:r>
              <w:rPr>
                <w:spacing w:val="-32"/>
                <w:sz w:val="24"/>
                <w:szCs w:val="24"/>
              </w:rPr>
              <w:t xml:space="preserve"> </w:t>
            </w:r>
            <w:r>
              <w:rPr>
                <w:rFonts w:ascii="Times New Roman" w:hAnsi="Times New Roman" w:eastAsia="Times New Roman" w:cs="Times New Roman"/>
                <w:spacing w:val="-3"/>
                <w:sz w:val="24"/>
                <w:szCs w:val="24"/>
              </w:rPr>
              <w:t xml:space="preserve">10kV </w:t>
            </w:r>
            <w:r>
              <w:rPr>
                <w:spacing w:val="-3"/>
                <w:sz w:val="24"/>
                <w:szCs w:val="24"/>
              </w:rPr>
              <w:t>摆</w:t>
            </w:r>
            <w:r>
              <w:rPr>
                <w:spacing w:val="-2"/>
                <w:sz w:val="24"/>
                <w:szCs w:val="24"/>
              </w:rPr>
              <w:t>洋线</w:t>
            </w:r>
            <w:r>
              <w:rPr>
                <w:rFonts w:ascii="Times New Roman" w:hAnsi="Times New Roman" w:eastAsia="Times New Roman" w:cs="Times New Roman"/>
                <w:spacing w:val="-2"/>
                <w:sz w:val="24"/>
                <w:szCs w:val="24"/>
              </w:rPr>
              <w:t>#37</w:t>
            </w:r>
            <w:r>
              <w:rPr>
                <w:rFonts w:ascii="Times New Roman" w:hAnsi="Times New Roman" w:eastAsia="Times New Roman" w:cs="Times New Roman"/>
                <w:spacing w:val="21"/>
                <w:w w:val="101"/>
                <w:sz w:val="24"/>
                <w:szCs w:val="24"/>
              </w:rPr>
              <w:t xml:space="preserve"> </w:t>
            </w:r>
            <w:r>
              <w:rPr>
                <w:spacing w:val="-2"/>
                <w:sz w:val="24"/>
                <w:szCs w:val="24"/>
              </w:rPr>
              <w:t>号杆，线路长度约</w:t>
            </w:r>
            <w:r>
              <w:rPr>
                <w:spacing w:val="-52"/>
                <w:sz w:val="24"/>
                <w:szCs w:val="24"/>
              </w:rPr>
              <w:t xml:space="preserve"> </w:t>
            </w:r>
            <w:r>
              <w:rPr>
                <w:rFonts w:ascii="Times New Roman" w:hAnsi="Times New Roman" w:eastAsia="Times New Roman" w:cs="Times New Roman"/>
                <w:spacing w:val="-2"/>
                <w:sz w:val="24"/>
                <w:szCs w:val="24"/>
              </w:rPr>
              <w:t>0.723km</w:t>
            </w:r>
            <w:r>
              <w:rPr>
                <w:spacing w:val="-2"/>
                <w:sz w:val="24"/>
                <w:szCs w:val="24"/>
              </w:rPr>
              <w:t>。</w:t>
            </w:r>
          </w:p>
          <w:p w14:paraId="40861704">
            <w:pPr>
              <w:pStyle w:val="6"/>
              <w:spacing w:before="3" w:line="359" w:lineRule="auto"/>
              <w:ind w:left="130" w:right="102" w:firstLine="450"/>
              <w:rPr>
                <w:sz w:val="24"/>
                <w:szCs w:val="24"/>
              </w:rPr>
            </w:pPr>
            <w:r>
              <w:rPr>
                <w:spacing w:val="-3"/>
                <w:sz w:val="24"/>
                <w:szCs w:val="24"/>
              </w:rPr>
              <w:t>③新建</w:t>
            </w:r>
            <w:r>
              <w:rPr>
                <w:spacing w:val="-13"/>
                <w:sz w:val="24"/>
                <w:szCs w:val="24"/>
              </w:rPr>
              <w:t xml:space="preserve"> </w:t>
            </w:r>
            <w:r>
              <w:rPr>
                <w:rFonts w:ascii="Times New Roman" w:hAnsi="Times New Roman" w:eastAsia="Times New Roman" w:cs="Times New Roman"/>
                <w:spacing w:val="-3"/>
                <w:sz w:val="24"/>
                <w:szCs w:val="24"/>
              </w:rPr>
              <w:t>10kV</w:t>
            </w:r>
            <w:r>
              <w:rPr>
                <w:rFonts w:ascii="Times New Roman" w:hAnsi="Times New Roman" w:eastAsia="Times New Roman" w:cs="Times New Roman"/>
                <w:spacing w:val="15"/>
                <w:sz w:val="24"/>
                <w:szCs w:val="24"/>
              </w:rPr>
              <w:t xml:space="preserve"> </w:t>
            </w:r>
            <w:r>
              <w:rPr>
                <w:spacing w:val="-3"/>
                <w:sz w:val="24"/>
                <w:szCs w:val="24"/>
              </w:rPr>
              <w:t>松山变</w:t>
            </w:r>
            <w:r>
              <w:rPr>
                <w:spacing w:val="-49"/>
                <w:sz w:val="24"/>
                <w:szCs w:val="24"/>
              </w:rPr>
              <w:t xml:space="preserve"> </w:t>
            </w:r>
            <w:r>
              <w:rPr>
                <w:rFonts w:ascii="Times New Roman" w:hAnsi="Times New Roman" w:eastAsia="Times New Roman" w:cs="Times New Roman"/>
                <w:spacing w:val="-3"/>
                <w:sz w:val="24"/>
                <w:szCs w:val="24"/>
              </w:rPr>
              <w:t>I</w:t>
            </w:r>
            <w:r>
              <w:rPr>
                <w:rFonts w:ascii="Times New Roman" w:hAnsi="Times New Roman" w:eastAsia="Times New Roman" w:cs="Times New Roman"/>
                <w:spacing w:val="37"/>
                <w:sz w:val="24"/>
                <w:szCs w:val="24"/>
              </w:rPr>
              <w:t xml:space="preserve"> </w:t>
            </w:r>
            <w:r>
              <w:rPr>
                <w:spacing w:val="-3"/>
                <w:sz w:val="24"/>
                <w:szCs w:val="24"/>
              </w:rPr>
              <w:t>回：由站内</w:t>
            </w:r>
            <w:r>
              <w:rPr>
                <w:spacing w:val="-27"/>
                <w:sz w:val="24"/>
                <w:szCs w:val="24"/>
              </w:rPr>
              <w:t xml:space="preserve"> </w:t>
            </w:r>
            <w:r>
              <w:rPr>
                <w:rFonts w:ascii="Times New Roman" w:hAnsi="Times New Roman" w:eastAsia="Times New Roman" w:cs="Times New Roman"/>
                <w:spacing w:val="-3"/>
                <w:sz w:val="24"/>
                <w:szCs w:val="24"/>
              </w:rPr>
              <w:t>10kV</w:t>
            </w:r>
            <w:r>
              <w:rPr>
                <w:rFonts w:ascii="Times New Roman" w:hAnsi="Times New Roman" w:eastAsia="Times New Roman" w:cs="Times New Roman"/>
                <w:spacing w:val="36"/>
                <w:w w:val="101"/>
                <w:sz w:val="24"/>
                <w:szCs w:val="24"/>
              </w:rPr>
              <w:t xml:space="preserve"> </w:t>
            </w:r>
            <w:r>
              <w:rPr>
                <w:spacing w:val="-3"/>
                <w:sz w:val="24"/>
                <w:szCs w:val="24"/>
              </w:rPr>
              <w:t>出线塔架空出线，</w:t>
            </w:r>
            <w:r>
              <w:rPr>
                <w:rFonts w:ascii="Times New Roman" w:hAnsi="Times New Roman" w:eastAsia="Times New Roman" w:cs="Times New Roman"/>
                <w:spacing w:val="-3"/>
                <w:sz w:val="24"/>
                <w:szCs w:val="24"/>
              </w:rPr>
              <w:t xml:space="preserve">T </w:t>
            </w:r>
            <w:r>
              <w:rPr>
                <w:spacing w:val="-3"/>
                <w:sz w:val="24"/>
                <w:szCs w:val="24"/>
              </w:rPr>
              <w:t>接至</w:t>
            </w:r>
            <w:r>
              <w:rPr>
                <w:spacing w:val="-30"/>
                <w:sz w:val="24"/>
                <w:szCs w:val="24"/>
              </w:rPr>
              <w:t xml:space="preserve"> </w:t>
            </w:r>
            <w:r>
              <w:rPr>
                <w:rFonts w:ascii="Times New Roman" w:hAnsi="Times New Roman" w:eastAsia="Times New Roman" w:cs="Times New Roman"/>
                <w:spacing w:val="-3"/>
                <w:sz w:val="24"/>
                <w:szCs w:val="24"/>
              </w:rPr>
              <w:t>10kV</w:t>
            </w:r>
            <w:r>
              <w:rPr>
                <w:spacing w:val="-3"/>
                <w:sz w:val="24"/>
                <w:szCs w:val="24"/>
              </w:rPr>
              <w:t>旧州线</w:t>
            </w:r>
            <w:r>
              <w:rPr>
                <w:rFonts w:ascii="Times New Roman" w:hAnsi="Times New Roman" w:eastAsia="Times New Roman" w:cs="Times New Roman"/>
                <w:spacing w:val="-3"/>
                <w:sz w:val="24"/>
                <w:szCs w:val="24"/>
              </w:rPr>
              <w:t>#50</w:t>
            </w:r>
            <w:r>
              <w:rPr>
                <w:rFonts w:ascii="Times New Roman" w:hAnsi="Times New Roman" w:eastAsia="Times New Roman" w:cs="Times New Roman"/>
                <w:spacing w:val="23"/>
                <w:sz w:val="24"/>
                <w:szCs w:val="24"/>
              </w:rPr>
              <w:t xml:space="preserve"> </w:t>
            </w:r>
            <w:r>
              <w:rPr>
                <w:spacing w:val="-3"/>
                <w:sz w:val="24"/>
                <w:szCs w:val="24"/>
              </w:rPr>
              <w:t>号杆，线路长度约</w:t>
            </w:r>
            <w:r>
              <w:rPr>
                <w:spacing w:val="-55"/>
                <w:sz w:val="24"/>
                <w:szCs w:val="24"/>
              </w:rPr>
              <w:t xml:space="preserve"> </w:t>
            </w:r>
            <w:r>
              <w:rPr>
                <w:rFonts w:ascii="Times New Roman" w:hAnsi="Times New Roman" w:eastAsia="Times New Roman" w:cs="Times New Roman"/>
                <w:spacing w:val="-3"/>
                <w:sz w:val="24"/>
                <w:szCs w:val="24"/>
              </w:rPr>
              <w:t>2.009km</w:t>
            </w:r>
            <w:r>
              <w:rPr>
                <w:spacing w:val="-3"/>
                <w:sz w:val="24"/>
                <w:szCs w:val="24"/>
              </w:rPr>
              <w:t>。</w:t>
            </w:r>
          </w:p>
          <w:p w14:paraId="6F255B75">
            <w:pPr>
              <w:pStyle w:val="6"/>
              <w:spacing w:line="359" w:lineRule="auto"/>
              <w:ind w:left="110" w:right="122" w:firstLine="470"/>
              <w:rPr>
                <w:sz w:val="24"/>
                <w:szCs w:val="24"/>
              </w:rPr>
            </w:pPr>
            <w:r>
              <w:rPr>
                <w:spacing w:val="-4"/>
                <w:sz w:val="24"/>
                <w:szCs w:val="24"/>
              </w:rPr>
              <w:t>④新建</w:t>
            </w:r>
            <w:r>
              <w:rPr>
                <w:spacing w:val="-32"/>
                <w:sz w:val="24"/>
                <w:szCs w:val="24"/>
              </w:rPr>
              <w:t xml:space="preserve"> </w:t>
            </w:r>
            <w:r>
              <w:rPr>
                <w:rFonts w:ascii="Times New Roman" w:hAnsi="Times New Roman" w:eastAsia="Times New Roman" w:cs="Times New Roman"/>
                <w:spacing w:val="-4"/>
                <w:sz w:val="24"/>
                <w:szCs w:val="24"/>
              </w:rPr>
              <w:t xml:space="preserve">10kV </w:t>
            </w:r>
            <w:r>
              <w:rPr>
                <w:spacing w:val="-4"/>
                <w:sz w:val="24"/>
                <w:szCs w:val="24"/>
              </w:rPr>
              <w:t>松山变</w:t>
            </w:r>
            <w:r>
              <w:rPr>
                <w:spacing w:val="-58"/>
                <w:sz w:val="24"/>
                <w:szCs w:val="24"/>
              </w:rPr>
              <w:t xml:space="preserve"> </w:t>
            </w:r>
            <w:r>
              <w:rPr>
                <w:rFonts w:ascii="Times New Roman" w:hAnsi="Times New Roman" w:eastAsia="Times New Roman" w:cs="Times New Roman"/>
                <w:spacing w:val="-4"/>
                <w:sz w:val="24"/>
                <w:szCs w:val="24"/>
              </w:rPr>
              <w:t>V</w:t>
            </w:r>
            <w:r>
              <w:rPr>
                <w:rFonts w:ascii="Times New Roman" w:hAnsi="Times New Roman" w:eastAsia="Times New Roman" w:cs="Times New Roman"/>
                <w:spacing w:val="33"/>
                <w:sz w:val="24"/>
                <w:szCs w:val="24"/>
              </w:rPr>
              <w:t xml:space="preserve"> </w:t>
            </w:r>
            <w:r>
              <w:rPr>
                <w:spacing w:val="-4"/>
                <w:sz w:val="24"/>
                <w:szCs w:val="24"/>
              </w:rPr>
              <w:t>回：由站内</w:t>
            </w:r>
            <w:r>
              <w:rPr>
                <w:spacing w:val="-32"/>
                <w:sz w:val="24"/>
                <w:szCs w:val="24"/>
              </w:rPr>
              <w:t xml:space="preserve"> </w:t>
            </w:r>
            <w:r>
              <w:rPr>
                <w:rFonts w:ascii="Times New Roman" w:hAnsi="Times New Roman" w:eastAsia="Times New Roman" w:cs="Times New Roman"/>
                <w:spacing w:val="-4"/>
                <w:sz w:val="24"/>
                <w:szCs w:val="24"/>
              </w:rPr>
              <w:t>10kV</w:t>
            </w:r>
            <w:r>
              <w:rPr>
                <w:rFonts w:ascii="Times New Roman" w:hAnsi="Times New Roman" w:eastAsia="Times New Roman" w:cs="Times New Roman"/>
                <w:spacing w:val="29"/>
                <w:w w:val="101"/>
                <w:sz w:val="24"/>
                <w:szCs w:val="24"/>
              </w:rPr>
              <w:t xml:space="preserve"> </w:t>
            </w:r>
            <w:r>
              <w:rPr>
                <w:spacing w:val="-4"/>
                <w:sz w:val="24"/>
                <w:szCs w:val="24"/>
              </w:rPr>
              <w:t>出线塔架空</w:t>
            </w:r>
            <w:r>
              <w:rPr>
                <w:spacing w:val="-5"/>
                <w:sz w:val="24"/>
                <w:szCs w:val="24"/>
              </w:rPr>
              <w:t>出线，</w:t>
            </w:r>
            <w:r>
              <w:rPr>
                <w:rFonts w:ascii="Times New Roman" w:hAnsi="Times New Roman" w:eastAsia="Times New Roman" w:cs="Times New Roman"/>
                <w:spacing w:val="-5"/>
                <w:sz w:val="24"/>
                <w:szCs w:val="24"/>
              </w:rPr>
              <w:t xml:space="preserve">T </w:t>
            </w:r>
            <w:r>
              <w:rPr>
                <w:spacing w:val="-5"/>
                <w:sz w:val="24"/>
                <w:szCs w:val="24"/>
              </w:rPr>
              <w:t>接至</w:t>
            </w:r>
            <w:r>
              <w:rPr>
                <w:spacing w:val="-32"/>
                <w:sz w:val="24"/>
                <w:szCs w:val="24"/>
              </w:rPr>
              <w:t xml:space="preserve"> </w:t>
            </w:r>
            <w:r>
              <w:rPr>
                <w:rFonts w:ascii="Times New Roman" w:hAnsi="Times New Roman" w:eastAsia="Times New Roman" w:cs="Times New Roman"/>
                <w:spacing w:val="-5"/>
                <w:sz w:val="24"/>
                <w:szCs w:val="24"/>
              </w:rPr>
              <w:t>10kV</w:t>
            </w:r>
            <w:r>
              <w:rPr>
                <w:spacing w:val="-2"/>
                <w:sz w:val="24"/>
                <w:szCs w:val="24"/>
              </w:rPr>
              <w:t>马军营线</w:t>
            </w:r>
            <w:r>
              <w:rPr>
                <w:rFonts w:ascii="Times New Roman" w:hAnsi="Times New Roman" w:eastAsia="Times New Roman" w:cs="Times New Roman"/>
                <w:spacing w:val="-2"/>
                <w:sz w:val="24"/>
                <w:szCs w:val="24"/>
              </w:rPr>
              <w:t>#13</w:t>
            </w:r>
            <w:r>
              <w:rPr>
                <w:rFonts w:ascii="Times New Roman" w:hAnsi="Times New Roman" w:eastAsia="Times New Roman" w:cs="Times New Roman"/>
                <w:spacing w:val="18"/>
                <w:sz w:val="24"/>
                <w:szCs w:val="24"/>
              </w:rPr>
              <w:t xml:space="preserve"> </w:t>
            </w:r>
            <w:r>
              <w:rPr>
                <w:spacing w:val="-2"/>
                <w:sz w:val="24"/>
                <w:szCs w:val="24"/>
              </w:rPr>
              <w:t>号杆，线路长度约</w:t>
            </w:r>
            <w:r>
              <w:rPr>
                <w:spacing w:val="-51"/>
                <w:sz w:val="24"/>
                <w:szCs w:val="24"/>
              </w:rPr>
              <w:t xml:space="preserve"> </w:t>
            </w:r>
            <w:r>
              <w:rPr>
                <w:rFonts w:ascii="Times New Roman" w:hAnsi="Times New Roman" w:eastAsia="Times New Roman" w:cs="Times New Roman"/>
                <w:spacing w:val="-2"/>
                <w:sz w:val="24"/>
                <w:szCs w:val="24"/>
              </w:rPr>
              <w:t>3.083km</w:t>
            </w:r>
            <w:r>
              <w:rPr>
                <w:spacing w:val="-2"/>
                <w:sz w:val="24"/>
                <w:szCs w:val="24"/>
              </w:rPr>
              <w:t>。</w:t>
            </w:r>
          </w:p>
          <w:p w14:paraId="7CB13FEB">
            <w:pPr>
              <w:pStyle w:val="6"/>
              <w:spacing w:line="217" w:lineRule="auto"/>
              <w:ind w:left="581"/>
              <w:rPr>
                <w:rFonts w:ascii="Times New Roman" w:hAnsi="Times New Roman" w:eastAsia="Times New Roman" w:cs="Times New Roman"/>
                <w:sz w:val="24"/>
                <w:szCs w:val="24"/>
              </w:rPr>
            </w:pPr>
            <w:r>
              <w:rPr>
                <w:spacing w:val="-2"/>
                <w:sz w:val="24"/>
                <w:szCs w:val="24"/>
              </w:rPr>
              <w:t>⑤新建</w:t>
            </w:r>
            <w:r>
              <w:rPr>
                <w:spacing w:val="-30"/>
                <w:sz w:val="24"/>
                <w:szCs w:val="24"/>
              </w:rPr>
              <w:t xml:space="preserve"> </w:t>
            </w:r>
            <w:r>
              <w:rPr>
                <w:rFonts w:ascii="Times New Roman" w:hAnsi="Times New Roman" w:eastAsia="Times New Roman" w:cs="Times New Roman"/>
                <w:spacing w:val="-2"/>
                <w:sz w:val="24"/>
                <w:szCs w:val="24"/>
              </w:rPr>
              <w:t>10kV</w:t>
            </w:r>
            <w:r>
              <w:rPr>
                <w:rFonts w:ascii="Times New Roman" w:hAnsi="Times New Roman" w:eastAsia="Times New Roman" w:cs="Times New Roman"/>
                <w:spacing w:val="15"/>
                <w:sz w:val="24"/>
                <w:szCs w:val="24"/>
              </w:rPr>
              <w:t xml:space="preserve"> </w:t>
            </w:r>
            <w:r>
              <w:rPr>
                <w:spacing w:val="-2"/>
                <w:sz w:val="24"/>
                <w:szCs w:val="24"/>
              </w:rPr>
              <w:t>松山变Ⅵ回：由站内</w:t>
            </w:r>
            <w:r>
              <w:rPr>
                <w:spacing w:val="-32"/>
                <w:sz w:val="24"/>
                <w:szCs w:val="24"/>
              </w:rPr>
              <w:t xml:space="preserve"> </w:t>
            </w:r>
            <w:r>
              <w:rPr>
                <w:rFonts w:ascii="Times New Roman" w:hAnsi="Times New Roman" w:eastAsia="Times New Roman" w:cs="Times New Roman"/>
                <w:spacing w:val="-2"/>
                <w:sz w:val="24"/>
                <w:szCs w:val="24"/>
              </w:rPr>
              <w:t>10kV</w:t>
            </w:r>
            <w:r>
              <w:rPr>
                <w:rFonts w:ascii="Times New Roman" w:hAnsi="Times New Roman" w:eastAsia="Times New Roman" w:cs="Times New Roman"/>
                <w:spacing w:val="34"/>
                <w:w w:val="101"/>
                <w:sz w:val="24"/>
                <w:szCs w:val="24"/>
              </w:rPr>
              <w:t xml:space="preserve"> </w:t>
            </w:r>
            <w:r>
              <w:rPr>
                <w:spacing w:val="-2"/>
                <w:sz w:val="24"/>
                <w:szCs w:val="24"/>
              </w:rPr>
              <w:t>出线塔架空出线，</w:t>
            </w:r>
            <w:r>
              <w:rPr>
                <w:rFonts w:ascii="Times New Roman" w:hAnsi="Times New Roman" w:eastAsia="Times New Roman" w:cs="Times New Roman"/>
                <w:spacing w:val="-2"/>
                <w:sz w:val="24"/>
                <w:szCs w:val="24"/>
              </w:rPr>
              <w:t xml:space="preserve">T </w:t>
            </w:r>
            <w:r>
              <w:rPr>
                <w:spacing w:val="-2"/>
                <w:sz w:val="24"/>
                <w:szCs w:val="24"/>
              </w:rPr>
              <w:t>接</w:t>
            </w:r>
            <w:r>
              <w:rPr>
                <w:spacing w:val="-3"/>
                <w:sz w:val="24"/>
                <w:szCs w:val="24"/>
              </w:rPr>
              <w:t>至</w:t>
            </w:r>
            <w:r>
              <w:rPr>
                <w:spacing w:val="-27"/>
                <w:sz w:val="24"/>
                <w:szCs w:val="24"/>
              </w:rPr>
              <w:t xml:space="preserve"> </w:t>
            </w:r>
            <w:r>
              <w:rPr>
                <w:rFonts w:ascii="Times New Roman" w:hAnsi="Times New Roman" w:eastAsia="Times New Roman" w:cs="Times New Roman"/>
                <w:spacing w:val="-3"/>
                <w:sz w:val="24"/>
                <w:szCs w:val="24"/>
              </w:rPr>
              <w:t>10kV</w:t>
            </w:r>
          </w:p>
        </w:tc>
      </w:tr>
    </w:tbl>
    <w:p w14:paraId="65C07277">
      <w:pPr>
        <w:rPr>
          <w:rFonts w:ascii="Arial"/>
          <w:sz w:val="21"/>
        </w:rPr>
      </w:pPr>
    </w:p>
    <w:p w14:paraId="75D73541">
      <w:pPr>
        <w:rPr>
          <w:rFonts w:ascii="Arial" w:hAnsi="Arial" w:eastAsia="Arial" w:cs="Arial"/>
          <w:sz w:val="21"/>
          <w:szCs w:val="21"/>
        </w:rPr>
        <w:sectPr>
          <w:footerReference r:id="rId41" w:type="default"/>
          <w:pgSz w:w="11907" w:h="16840"/>
          <w:pgMar w:top="400" w:right="1684" w:bottom="1240" w:left="1683" w:header="0" w:footer="1077" w:gutter="0"/>
          <w:cols w:space="720" w:num="1"/>
        </w:sectPr>
      </w:pPr>
    </w:p>
    <w:p w14:paraId="6C0FD53F">
      <w:pPr>
        <w:spacing w:before="19"/>
      </w:pPr>
    </w:p>
    <w:p w14:paraId="427E2940">
      <w:pPr>
        <w:spacing w:before="19"/>
      </w:pPr>
    </w:p>
    <w:p w14:paraId="19FC49C5">
      <w:pPr>
        <w:spacing w:before="18"/>
      </w:pPr>
    </w:p>
    <w:p w14:paraId="73AC79EA">
      <w:pPr>
        <w:spacing w:before="18"/>
      </w:pPr>
    </w:p>
    <w:tbl>
      <w:tblPr>
        <w:tblStyle w:val="5"/>
        <w:tblW w:w="852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5"/>
        <w:gridCol w:w="113"/>
        <w:gridCol w:w="457"/>
        <w:gridCol w:w="374"/>
        <w:gridCol w:w="1286"/>
        <w:gridCol w:w="2795"/>
        <w:gridCol w:w="1192"/>
        <w:gridCol w:w="958"/>
        <w:gridCol w:w="852"/>
        <w:gridCol w:w="122"/>
      </w:tblGrid>
      <w:tr w14:paraId="4EB80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0" w:hRule="atLeast"/>
        </w:trPr>
        <w:tc>
          <w:tcPr>
            <w:tcW w:w="375" w:type="dxa"/>
            <w:tcBorders>
              <w:top w:val="single" w:color="000000" w:sz="6" w:space="0"/>
              <w:left w:val="single" w:color="000000" w:sz="6" w:space="0"/>
              <w:bottom w:val="nil"/>
              <w:right w:val="single" w:color="000000" w:sz="6" w:space="0"/>
            </w:tcBorders>
            <w:vAlign w:val="top"/>
          </w:tcPr>
          <w:p w14:paraId="5EA6EF7A">
            <w:pPr>
              <w:rPr>
                <w:rFonts w:ascii="Arial"/>
                <w:sz w:val="21"/>
              </w:rPr>
            </w:pPr>
          </w:p>
        </w:tc>
        <w:tc>
          <w:tcPr>
            <w:tcW w:w="8149" w:type="dxa"/>
            <w:gridSpan w:val="9"/>
            <w:tcBorders>
              <w:top w:val="single" w:color="000000" w:sz="6" w:space="0"/>
              <w:left w:val="single" w:color="000000" w:sz="6" w:space="0"/>
              <w:right w:val="single" w:color="000000" w:sz="6" w:space="0"/>
            </w:tcBorders>
            <w:vAlign w:val="top"/>
          </w:tcPr>
          <w:p w14:paraId="4B0D254E">
            <w:pPr>
              <w:pStyle w:val="6"/>
              <w:spacing w:before="41" w:line="219" w:lineRule="auto"/>
              <w:ind w:left="109"/>
              <w:rPr>
                <w:sz w:val="24"/>
                <w:szCs w:val="24"/>
              </w:rPr>
            </w:pPr>
            <w:r>
              <w:rPr>
                <w:spacing w:val="-2"/>
                <w:sz w:val="24"/>
                <w:szCs w:val="24"/>
              </w:rPr>
              <w:t>小堡子线</w:t>
            </w:r>
            <w:r>
              <w:rPr>
                <w:rFonts w:ascii="Times New Roman" w:hAnsi="Times New Roman" w:eastAsia="Times New Roman" w:cs="Times New Roman"/>
                <w:spacing w:val="-2"/>
                <w:sz w:val="24"/>
                <w:szCs w:val="24"/>
              </w:rPr>
              <w:t>#14+1</w:t>
            </w:r>
            <w:r>
              <w:rPr>
                <w:rFonts w:ascii="Times New Roman" w:hAnsi="Times New Roman" w:eastAsia="Times New Roman" w:cs="Times New Roman"/>
                <w:spacing w:val="26"/>
                <w:w w:val="101"/>
                <w:sz w:val="24"/>
                <w:szCs w:val="24"/>
              </w:rPr>
              <w:t xml:space="preserve"> </w:t>
            </w:r>
            <w:r>
              <w:rPr>
                <w:spacing w:val="-2"/>
                <w:sz w:val="24"/>
                <w:szCs w:val="24"/>
              </w:rPr>
              <w:t>号杆，线路长度约</w:t>
            </w:r>
            <w:r>
              <w:rPr>
                <w:spacing w:val="-55"/>
                <w:sz w:val="24"/>
                <w:szCs w:val="24"/>
              </w:rPr>
              <w:t xml:space="preserve"> </w:t>
            </w:r>
            <w:r>
              <w:rPr>
                <w:rFonts w:ascii="Times New Roman" w:hAnsi="Times New Roman" w:eastAsia="Times New Roman" w:cs="Times New Roman"/>
                <w:spacing w:val="-2"/>
                <w:sz w:val="24"/>
                <w:szCs w:val="24"/>
              </w:rPr>
              <w:t>2.703km</w:t>
            </w:r>
            <w:r>
              <w:rPr>
                <w:spacing w:val="-2"/>
                <w:sz w:val="24"/>
                <w:szCs w:val="24"/>
              </w:rPr>
              <w:t>。</w:t>
            </w:r>
          </w:p>
          <w:p w14:paraId="7755B06D">
            <w:pPr>
              <w:pStyle w:val="6"/>
              <w:spacing w:before="181" w:line="359" w:lineRule="auto"/>
              <w:ind w:left="108" w:right="112" w:firstLine="472"/>
              <w:rPr>
                <w:sz w:val="24"/>
                <w:szCs w:val="24"/>
              </w:rPr>
            </w:pPr>
            <w:r>
              <w:rPr>
                <w:spacing w:val="-4"/>
                <w:sz w:val="24"/>
                <w:szCs w:val="24"/>
              </w:rPr>
              <w:t>⑥新建</w:t>
            </w:r>
            <w:r>
              <w:rPr>
                <w:spacing w:val="-15"/>
                <w:sz w:val="24"/>
                <w:szCs w:val="24"/>
              </w:rPr>
              <w:t xml:space="preserve"> </w:t>
            </w:r>
            <w:r>
              <w:rPr>
                <w:rFonts w:ascii="Times New Roman" w:hAnsi="Times New Roman" w:eastAsia="Times New Roman" w:cs="Times New Roman"/>
                <w:spacing w:val="-4"/>
                <w:sz w:val="24"/>
                <w:szCs w:val="24"/>
              </w:rPr>
              <w:t xml:space="preserve">10kV </w:t>
            </w:r>
            <w:r>
              <w:rPr>
                <w:spacing w:val="-4"/>
                <w:sz w:val="24"/>
                <w:szCs w:val="24"/>
              </w:rPr>
              <w:t>松山变Ⅶ回：由站内</w:t>
            </w:r>
            <w:r>
              <w:rPr>
                <w:spacing w:val="-32"/>
                <w:sz w:val="24"/>
                <w:szCs w:val="24"/>
              </w:rPr>
              <w:t xml:space="preserve"> </w:t>
            </w:r>
            <w:r>
              <w:rPr>
                <w:rFonts w:ascii="Times New Roman" w:hAnsi="Times New Roman" w:eastAsia="Times New Roman" w:cs="Times New Roman"/>
                <w:spacing w:val="-4"/>
                <w:sz w:val="24"/>
                <w:szCs w:val="24"/>
              </w:rPr>
              <w:t>10kV</w:t>
            </w:r>
            <w:r>
              <w:rPr>
                <w:rFonts w:ascii="Times New Roman" w:hAnsi="Times New Roman" w:eastAsia="Times New Roman" w:cs="Times New Roman"/>
                <w:spacing w:val="29"/>
                <w:w w:val="101"/>
                <w:sz w:val="24"/>
                <w:szCs w:val="24"/>
              </w:rPr>
              <w:t xml:space="preserve"> </w:t>
            </w:r>
            <w:r>
              <w:rPr>
                <w:spacing w:val="-4"/>
                <w:sz w:val="24"/>
                <w:szCs w:val="24"/>
              </w:rPr>
              <w:t>出线架空出线，先</w:t>
            </w:r>
            <w:r>
              <w:rPr>
                <w:spacing w:val="-53"/>
                <w:sz w:val="24"/>
                <w:szCs w:val="24"/>
              </w:rPr>
              <w:t xml:space="preserve"> </w:t>
            </w:r>
            <w:r>
              <w:rPr>
                <w:rFonts w:ascii="Times New Roman" w:hAnsi="Times New Roman" w:eastAsia="Times New Roman" w:cs="Times New Roman"/>
                <w:spacing w:val="-4"/>
                <w:sz w:val="24"/>
                <w:szCs w:val="24"/>
              </w:rPr>
              <w:t xml:space="preserve">T </w:t>
            </w:r>
            <w:r>
              <w:rPr>
                <w:spacing w:val="-4"/>
                <w:sz w:val="24"/>
                <w:szCs w:val="24"/>
              </w:rPr>
              <w:t>接至</w:t>
            </w:r>
            <w:r>
              <w:rPr>
                <w:spacing w:val="-32"/>
                <w:sz w:val="24"/>
                <w:szCs w:val="24"/>
              </w:rPr>
              <w:t xml:space="preserve"> </w:t>
            </w:r>
            <w:r>
              <w:rPr>
                <w:rFonts w:ascii="Times New Roman" w:hAnsi="Times New Roman" w:eastAsia="Times New Roman" w:cs="Times New Roman"/>
                <w:spacing w:val="-4"/>
                <w:sz w:val="24"/>
                <w:szCs w:val="24"/>
              </w:rPr>
              <w:t>10kV</w:t>
            </w:r>
            <w:r>
              <w:rPr>
                <w:spacing w:val="-3"/>
                <w:sz w:val="24"/>
                <w:szCs w:val="24"/>
              </w:rPr>
              <w:t>小堡子线</w:t>
            </w:r>
            <w:r>
              <w:rPr>
                <w:rFonts w:ascii="Times New Roman" w:hAnsi="Times New Roman" w:eastAsia="Times New Roman" w:cs="Times New Roman"/>
                <w:spacing w:val="-3"/>
                <w:sz w:val="24"/>
                <w:szCs w:val="24"/>
              </w:rPr>
              <w:t xml:space="preserve">#11+1 </w:t>
            </w:r>
            <w:r>
              <w:rPr>
                <w:spacing w:val="-3"/>
                <w:sz w:val="24"/>
                <w:szCs w:val="24"/>
              </w:rPr>
              <w:t>号杆，然后将</w:t>
            </w:r>
            <w:r>
              <w:rPr>
                <w:spacing w:val="-31"/>
                <w:sz w:val="24"/>
                <w:szCs w:val="24"/>
              </w:rPr>
              <w:t xml:space="preserve"> </w:t>
            </w:r>
            <w:r>
              <w:rPr>
                <w:rFonts w:ascii="Times New Roman" w:hAnsi="Times New Roman" w:eastAsia="Times New Roman" w:cs="Times New Roman"/>
                <w:spacing w:val="-3"/>
                <w:sz w:val="24"/>
                <w:szCs w:val="24"/>
              </w:rPr>
              <w:t>10kV</w:t>
            </w:r>
            <w:r>
              <w:rPr>
                <w:rFonts w:ascii="Times New Roman" w:hAnsi="Times New Roman" w:eastAsia="Times New Roman" w:cs="Times New Roman"/>
                <w:spacing w:val="15"/>
                <w:sz w:val="24"/>
                <w:szCs w:val="24"/>
              </w:rPr>
              <w:t xml:space="preserve"> </w:t>
            </w:r>
            <w:r>
              <w:rPr>
                <w:spacing w:val="-3"/>
                <w:sz w:val="24"/>
                <w:szCs w:val="24"/>
              </w:rPr>
              <w:t>小堡子线</w:t>
            </w:r>
            <w:r>
              <w:rPr>
                <w:spacing w:val="-50"/>
                <w:sz w:val="24"/>
                <w:szCs w:val="24"/>
              </w:rPr>
              <w:t xml:space="preserve"> </w:t>
            </w:r>
            <w:r>
              <w:rPr>
                <w:rFonts w:ascii="Times New Roman" w:hAnsi="Times New Roman" w:eastAsia="Times New Roman" w:cs="Times New Roman"/>
                <w:spacing w:val="-3"/>
                <w:sz w:val="24"/>
                <w:szCs w:val="24"/>
              </w:rPr>
              <w:t>6</w:t>
            </w:r>
            <w:r>
              <w:rPr>
                <w:rFonts w:ascii="Times New Roman" w:hAnsi="Times New Roman" w:eastAsia="Times New Roman" w:cs="Times New Roman"/>
                <w:spacing w:val="15"/>
                <w:w w:val="101"/>
                <w:sz w:val="24"/>
                <w:szCs w:val="24"/>
              </w:rPr>
              <w:t xml:space="preserve"> </w:t>
            </w:r>
            <w:r>
              <w:rPr>
                <w:spacing w:val="-3"/>
                <w:sz w:val="24"/>
                <w:szCs w:val="24"/>
              </w:rPr>
              <w:t>号杆接入至</w:t>
            </w:r>
            <w:r>
              <w:rPr>
                <w:spacing w:val="-32"/>
                <w:sz w:val="24"/>
                <w:szCs w:val="24"/>
              </w:rPr>
              <w:t xml:space="preserve"> </w:t>
            </w:r>
            <w:r>
              <w:rPr>
                <w:rFonts w:ascii="Times New Roman" w:hAnsi="Times New Roman" w:eastAsia="Times New Roman" w:cs="Times New Roman"/>
                <w:spacing w:val="-4"/>
                <w:sz w:val="24"/>
                <w:szCs w:val="24"/>
              </w:rPr>
              <w:t xml:space="preserve">10kV </w:t>
            </w:r>
            <w:r>
              <w:rPr>
                <w:spacing w:val="-4"/>
                <w:sz w:val="24"/>
                <w:szCs w:val="24"/>
              </w:rPr>
              <w:t>渔塘线</w:t>
            </w:r>
            <w:r>
              <w:rPr>
                <w:spacing w:val="-50"/>
                <w:sz w:val="24"/>
                <w:szCs w:val="24"/>
              </w:rPr>
              <w:t xml:space="preserve"> </w:t>
            </w:r>
            <w:r>
              <w:rPr>
                <w:rFonts w:ascii="Times New Roman" w:hAnsi="Times New Roman" w:eastAsia="Times New Roman" w:cs="Times New Roman"/>
                <w:spacing w:val="-4"/>
                <w:sz w:val="24"/>
                <w:szCs w:val="24"/>
              </w:rPr>
              <w:t>3+1</w:t>
            </w:r>
            <w:r>
              <w:rPr>
                <w:spacing w:val="-2"/>
                <w:sz w:val="24"/>
                <w:szCs w:val="24"/>
              </w:rPr>
              <w:t>号杆，线路长度约</w:t>
            </w:r>
            <w:r>
              <w:rPr>
                <w:spacing w:val="-45"/>
                <w:sz w:val="24"/>
                <w:szCs w:val="24"/>
              </w:rPr>
              <w:t xml:space="preserve"> </w:t>
            </w:r>
            <w:r>
              <w:rPr>
                <w:rFonts w:ascii="Times New Roman" w:hAnsi="Times New Roman" w:eastAsia="Times New Roman" w:cs="Times New Roman"/>
                <w:spacing w:val="-2"/>
                <w:sz w:val="24"/>
                <w:szCs w:val="24"/>
              </w:rPr>
              <w:t>2.939km</w:t>
            </w:r>
            <w:r>
              <w:rPr>
                <w:spacing w:val="-2"/>
                <w:sz w:val="24"/>
                <w:szCs w:val="24"/>
              </w:rPr>
              <w:t>。</w:t>
            </w:r>
          </w:p>
          <w:p w14:paraId="4D8E3212">
            <w:pPr>
              <w:pStyle w:val="6"/>
              <w:spacing w:before="3" w:line="358" w:lineRule="auto"/>
              <w:ind w:left="106" w:right="102" w:firstLine="475"/>
              <w:rPr>
                <w:sz w:val="24"/>
                <w:szCs w:val="24"/>
              </w:rPr>
            </w:pPr>
            <w:r>
              <w:rPr>
                <w:spacing w:val="-10"/>
                <w:sz w:val="24"/>
                <w:szCs w:val="24"/>
              </w:rPr>
              <w:t>⑦新建</w:t>
            </w:r>
            <w:r>
              <w:rPr>
                <w:spacing w:val="-14"/>
                <w:sz w:val="24"/>
                <w:szCs w:val="24"/>
              </w:rPr>
              <w:t xml:space="preserve"> </w:t>
            </w:r>
            <w:r>
              <w:rPr>
                <w:rFonts w:ascii="Times New Roman" w:hAnsi="Times New Roman" w:eastAsia="Times New Roman" w:cs="Times New Roman"/>
                <w:spacing w:val="-10"/>
                <w:sz w:val="24"/>
                <w:szCs w:val="24"/>
              </w:rPr>
              <w:t xml:space="preserve">10kV </w:t>
            </w:r>
            <w:r>
              <w:rPr>
                <w:spacing w:val="-10"/>
                <w:sz w:val="24"/>
                <w:szCs w:val="24"/>
              </w:rPr>
              <w:t>松山变Ⅷ回：由站内</w:t>
            </w:r>
            <w:r>
              <w:rPr>
                <w:spacing w:val="-31"/>
                <w:sz w:val="24"/>
                <w:szCs w:val="24"/>
              </w:rPr>
              <w:t xml:space="preserve"> </w:t>
            </w:r>
            <w:r>
              <w:rPr>
                <w:rFonts w:ascii="Times New Roman" w:hAnsi="Times New Roman" w:eastAsia="Times New Roman" w:cs="Times New Roman"/>
                <w:spacing w:val="-10"/>
                <w:sz w:val="24"/>
                <w:szCs w:val="24"/>
              </w:rPr>
              <w:t>10kV</w:t>
            </w:r>
            <w:r>
              <w:rPr>
                <w:rFonts w:ascii="Times New Roman" w:hAnsi="Times New Roman" w:eastAsia="Times New Roman" w:cs="Times New Roman"/>
                <w:spacing w:val="31"/>
                <w:w w:val="101"/>
                <w:sz w:val="24"/>
                <w:szCs w:val="24"/>
              </w:rPr>
              <w:t xml:space="preserve"> </w:t>
            </w:r>
            <w:r>
              <w:rPr>
                <w:spacing w:val="-10"/>
                <w:sz w:val="24"/>
                <w:szCs w:val="24"/>
              </w:rPr>
              <w:t>出线塔架空出线，先</w:t>
            </w:r>
            <w:r>
              <w:rPr>
                <w:spacing w:val="-53"/>
                <w:sz w:val="24"/>
                <w:szCs w:val="24"/>
              </w:rPr>
              <w:t xml:space="preserve"> </w:t>
            </w:r>
            <w:r>
              <w:rPr>
                <w:rFonts w:ascii="Times New Roman" w:hAnsi="Times New Roman" w:eastAsia="Times New Roman" w:cs="Times New Roman"/>
                <w:spacing w:val="-10"/>
                <w:sz w:val="24"/>
                <w:szCs w:val="24"/>
              </w:rPr>
              <w:t xml:space="preserve">T </w:t>
            </w:r>
            <w:r>
              <w:rPr>
                <w:spacing w:val="-10"/>
                <w:sz w:val="24"/>
                <w:szCs w:val="24"/>
              </w:rPr>
              <w:t>接至</w:t>
            </w:r>
            <w:r>
              <w:rPr>
                <w:spacing w:val="-32"/>
                <w:sz w:val="24"/>
                <w:szCs w:val="24"/>
              </w:rPr>
              <w:t xml:space="preserve"> </w:t>
            </w:r>
            <w:r>
              <w:rPr>
                <w:rFonts w:ascii="Times New Roman" w:hAnsi="Times New Roman" w:eastAsia="Times New Roman" w:cs="Times New Roman"/>
                <w:spacing w:val="-10"/>
                <w:sz w:val="24"/>
                <w:szCs w:val="24"/>
              </w:rPr>
              <w:t>10kV</w:t>
            </w:r>
            <w:r>
              <w:rPr>
                <w:spacing w:val="-6"/>
                <w:sz w:val="24"/>
                <w:szCs w:val="24"/>
              </w:rPr>
              <w:t>旧州线</w:t>
            </w:r>
            <w:r>
              <w:rPr>
                <w:rFonts w:ascii="Times New Roman" w:hAnsi="Times New Roman" w:eastAsia="Times New Roman" w:cs="Times New Roman"/>
                <w:spacing w:val="-6"/>
                <w:sz w:val="24"/>
                <w:szCs w:val="24"/>
              </w:rPr>
              <w:t>#14</w:t>
            </w:r>
            <w:r>
              <w:rPr>
                <w:rFonts w:ascii="Times New Roman" w:hAnsi="Times New Roman" w:eastAsia="Times New Roman" w:cs="Times New Roman"/>
                <w:spacing w:val="15"/>
                <w:sz w:val="24"/>
                <w:szCs w:val="24"/>
              </w:rPr>
              <w:t xml:space="preserve"> </w:t>
            </w:r>
            <w:r>
              <w:rPr>
                <w:spacing w:val="-6"/>
                <w:sz w:val="24"/>
                <w:szCs w:val="24"/>
              </w:rPr>
              <w:t>号杆，然后将</w:t>
            </w:r>
            <w:r>
              <w:rPr>
                <w:spacing w:val="-32"/>
                <w:sz w:val="24"/>
                <w:szCs w:val="24"/>
              </w:rPr>
              <w:t xml:space="preserve"> </w:t>
            </w:r>
            <w:r>
              <w:rPr>
                <w:rFonts w:ascii="Times New Roman" w:hAnsi="Times New Roman" w:eastAsia="Times New Roman" w:cs="Times New Roman"/>
                <w:spacing w:val="-6"/>
                <w:sz w:val="24"/>
                <w:szCs w:val="24"/>
              </w:rPr>
              <w:t>10kV</w:t>
            </w:r>
            <w:r>
              <w:rPr>
                <w:rFonts w:ascii="Times New Roman" w:hAnsi="Times New Roman" w:eastAsia="Times New Roman" w:cs="Times New Roman"/>
                <w:spacing w:val="36"/>
                <w:sz w:val="24"/>
                <w:szCs w:val="24"/>
              </w:rPr>
              <w:t xml:space="preserve"> </w:t>
            </w:r>
            <w:r>
              <w:rPr>
                <w:spacing w:val="-6"/>
                <w:sz w:val="24"/>
                <w:szCs w:val="24"/>
              </w:rPr>
              <w:t>旧州线</w:t>
            </w:r>
            <w:r>
              <w:rPr>
                <w:spacing w:val="-56"/>
                <w:sz w:val="24"/>
                <w:szCs w:val="24"/>
              </w:rPr>
              <w:t xml:space="preserve"> </w:t>
            </w:r>
            <w:r>
              <w:rPr>
                <w:rFonts w:ascii="Times New Roman" w:hAnsi="Times New Roman" w:eastAsia="Times New Roman" w:cs="Times New Roman"/>
                <w:spacing w:val="-6"/>
                <w:sz w:val="24"/>
                <w:szCs w:val="24"/>
              </w:rPr>
              <w:t>4</w:t>
            </w:r>
            <w:r>
              <w:rPr>
                <w:rFonts w:ascii="Times New Roman" w:hAnsi="Times New Roman" w:eastAsia="Times New Roman" w:cs="Times New Roman"/>
                <w:spacing w:val="15"/>
                <w:sz w:val="24"/>
                <w:szCs w:val="24"/>
              </w:rPr>
              <w:t xml:space="preserve"> </w:t>
            </w:r>
            <w:r>
              <w:rPr>
                <w:spacing w:val="-6"/>
                <w:sz w:val="24"/>
                <w:szCs w:val="24"/>
              </w:rPr>
              <w:t>号杆接入至</w:t>
            </w:r>
            <w:r>
              <w:rPr>
                <w:spacing w:val="-32"/>
                <w:sz w:val="24"/>
                <w:szCs w:val="24"/>
              </w:rPr>
              <w:t xml:space="preserve"> </w:t>
            </w:r>
            <w:r>
              <w:rPr>
                <w:rFonts w:ascii="Times New Roman" w:hAnsi="Times New Roman" w:eastAsia="Times New Roman" w:cs="Times New Roman"/>
                <w:spacing w:val="-6"/>
                <w:sz w:val="24"/>
                <w:szCs w:val="24"/>
              </w:rPr>
              <w:t>10kV</w:t>
            </w:r>
            <w:r>
              <w:rPr>
                <w:rFonts w:ascii="Times New Roman" w:hAnsi="Times New Roman" w:eastAsia="Times New Roman" w:cs="Times New Roman"/>
                <w:spacing w:val="21"/>
                <w:w w:val="101"/>
                <w:sz w:val="24"/>
                <w:szCs w:val="24"/>
              </w:rPr>
              <w:t xml:space="preserve"> </w:t>
            </w:r>
            <w:r>
              <w:rPr>
                <w:spacing w:val="-6"/>
                <w:sz w:val="24"/>
                <w:szCs w:val="24"/>
              </w:rPr>
              <w:t>响水坝线</w:t>
            </w:r>
            <w:r>
              <w:rPr>
                <w:spacing w:val="-51"/>
                <w:sz w:val="24"/>
                <w:szCs w:val="24"/>
              </w:rPr>
              <w:t xml:space="preserve"> </w:t>
            </w:r>
            <w:r>
              <w:rPr>
                <w:rFonts w:ascii="Times New Roman" w:hAnsi="Times New Roman" w:eastAsia="Times New Roman" w:cs="Times New Roman"/>
                <w:spacing w:val="-6"/>
                <w:sz w:val="24"/>
                <w:szCs w:val="24"/>
              </w:rPr>
              <w:t>3+</w:t>
            </w:r>
            <w:r>
              <w:rPr>
                <w:rFonts w:ascii="Times New Roman" w:hAnsi="Times New Roman" w:eastAsia="Times New Roman" w:cs="Times New Roman"/>
                <w:spacing w:val="-7"/>
                <w:sz w:val="24"/>
                <w:szCs w:val="24"/>
              </w:rPr>
              <w:t>1</w:t>
            </w:r>
            <w:r>
              <w:rPr>
                <w:rFonts w:ascii="Times New Roman" w:hAnsi="Times New Roman" w:eastAsia="Times New Roman" w:cs="Times New Roman"/>
                <w:spacing w:val="15"/>
                <w:w w:val="101"/>
                <w:sz w:val="24"/>
                <w:szCs w:val="24"/>
              </w:rPr>
              <w:t xml:space="preserve"> </w:t>
            </w:r>
            <w:r>
              <w:rPr>
                <w:spacing w:val="-7"/>
                <w:sz w:val="24"/>
                <w:szCs w:val="24"/>
              </w:rPr>
              <w:t>号杆</w:t>
            </w:r>
            <w:r>
              <w:rPr>
                <w:spacing w:val="-2"/>
                <w:sz w:val="24"/>
                <w:szCs w:val="24"/>
              </w:rPr>
              <w:t>线路，线路长度约</w:t>
            </w:r>
            <w:r>
              <w:rPr>
                <w:spacing w:val="-42"/>
                <w:sz w:val="24"/>
                <w:szCs w:val="24"/>
              </w:rPr>
              <w:t xml:space="preserve"> </w:t>
            </w:r>
            <w:r>
              <w:rPr>
                <w:rFonts w:ascii="Times New Roman" w:hAnsi="Times New Roman" w:eastAsia="Times New Roman" w:cs="Times New Roman"/>
                <w:spacing w:val="-2"/>
                <w:sz w:val="24"/>
                <w:szCs w:val="24"/>
              </w:rPr>
              <w:t>2.808km</w:t>
            </w:r>
            <w:r>
              <w:rPr>
                <w:spacing w:val="-2"/>
                <w:sz w:val="24"/>
                <w:szCs w:val="24"/>
              </w:rPr>
              <w:t>。</w:t>
            </w:r>
          </w:p>
          <w:p w14:paraId="4B78EC0B">
            <w:pPr>
              <w:pStyle w:val="6"/>
              <w:spacing w:before="1" w:line="359" w:lineRule="auto"/>
              <w:ind w:left="103" w:right="41" w:firstLine="478"/>
              <w:rPr>
                <w:sz w:val="24"/>
                <w:szCs w:val="24"/>
              </w:rPr>
            </w:pPr>
            <w:r>
              <w:rPr>
                <w:spacing w:val="-4"/>
                <w:sz w:val="24"/>
                <w:szCs w:val="24"/>
              </w:rPr>
              <w:t>⑧新建</w:t>
            </w:r>
            <w:r>
              <w:rPr>
                <w:spacing w:val="-15"/>
                <w:sz w:val="24"/>
                <w:szCs w:val="24"/>
              </w:rPr>
              <w:t xml:space="preserve"> </w:t>
            </w:r>
            <w:r>
              <w:rPr>
                <w:rFonts w:ascii="Times New Roman" w:hAnsi="Times New Roman" w:eastAsia="Times New Roman" w:cs="Times New Roman"/>
                <w:spacing w:val="-4"/>
                <w:sz w:val="24"/>
                <w:szCs w:val="24"/>
              </w:rPr>
              <w:t xml:space="preserve">10kV </w:t>
            </w:r>
            <w:r>
              <w:rPr>
                <w:spacing w:val="-4"/>
                <w:sz w:val="24"/>
                <w:szCs w:val="24"/>
              </w:rPr>
              <w:t>松山变Ⅸ回：由站内</w:t>
            </w:r>
            <w:r>
              <w:rPr>
                <w:spacing w:val="-32"/>
                <w:sz w:val="24"/>
                <w:szCs w:val="24"/>
              </w:rPr>
              <w:t xml:space="preserve"> </w:t>
            </w:r>
            <w:r>
              <w:rPr>
                <w:rFonts w:ascii="Times New Roman" w:hAnsi="Times New Roman" w:eastAsia="Times New Roman" w:cs="Times New Roman"/>
                <w:spacing w:val="-4"/>
                <w:sz w:val="24"/>
                <w:szCs w:val="24"/>
              </w:rPr>
              <w:t>10kV</w:t>
            </w:r>
            <w:r>
              <w:rPr>
                <w:rFonts w:ascii="Times New Roman" w:hAnsi="Times New Roman" w:eastAsia="Times New Roman" w:cs="Times New Roman"/>
                <w:spacing w:val="29"/>
                <w:w w:val="101"/>
                <w:sz w:val="24"/>
                <w:szCs w:val="24"/>
              </w:rPr>
              <w:t xml:space="preserve"> </w:t>
            </w:r>
            <w:r>
              <w:rPr>
                <w:spacing w:val="-4"/>
                <w:sz w:val="24"/>
                <w:szCs w:val="24"/>
              </w:rPr>
              <w:t>出线塔架空出线，先</w:t>
            </w:r>
            <w:r>
              <w:rPr>
                <w:spacing w:val="-53"/>
                <w:sz w:val="24"/>
                <w:szCs w:val="24"/>
              </w:rPr>
              <w:t xml:space="preserve"> </w:t>
            </w:r>
            <w:r>
              <w:rPr>
                <w:rFonts w:ascii="Times New Roman" w:hAnsi="Times New Roman" w:eastAsia="Times New Roman" w:cs="Times New Roman"/>
                <w:spacing w:val="-4"/>
                <w:sz w:val="24"/>
                <w:szCs w:val="24"/>
              </w:rPr>
              <w:t xml:space="preserve">T </w:t>
            </w:r>
            <w:r>
              <w:rPr>
                <w:spacing w:val="-4"/>
                <w:sz w:val="24"/>
                <w:szCs w:val="24"/>
              </w:rPr>
              <w:t>接</w:t>
            </w:r>
            <w:r>
              <w:rPr>
                <w:spacing w:val="-32"/>
                <w:sz w:val="24"/>
                <w:szCs w:val="24"/>
              </w:rPr>
              <w:t xml:space="preserve"> </w:t>
            </w:r>
            <w:r>
              <w:rPr>
                <w:rFonts w:ascii="Times New Roman" w:hAnsi="Times New Roman" w:eastAsia="Times New Roman" w:cs="Times New Roman"/>
                <w:spacing w:val="-4"/>
                <w:sz w:val="24"/>
                <w:szCs w:val="24"/>
              </w:rPr>
              <w:t>10kV</w:t>
            </w:r>
            <w:r>
              <w:rPr>
                <w:spacing w:val="-7"/>
                <w:sz w:val="24"/>
                <w:szCs w:val="24"/>
              </w:rPr>
              <w:t>摆洋线</w:t>
            </w:r>
            <w:r>
              <w:rPr>
                <w:rFonts w:ascii="Times New Roman" w:hAnsi="Times New Roman" w:eastAsia="Times New Roman" w:cs="Times New Roman"/>
                <w:spacing w:val="-7"/>
                <w:sz w:val="24"/>
                <w:szCs w:val="24"/>
              </w:rPr>
              <w:t xml:space="preserve">#34 </w:t>
            </w:r>
            <w:r>
              <w:rPr>
                <w:spacing w:val="-7"/>
                <w:sz w:val="24"/>
                <w:szCs w:val="24"/>
              </w:rPr>
              <w:t>号杆，然后将</w:t>
            </w:r>
            <w:r>
              <w:rPr>
                <w:spacing w:val="-32"/>
                <w:sz w:val="24"/>
                <w:szCs w:val="24"/>
              </w:rPr>
              <w:t xml:space="preserve"> </w:t>
            </w:r>
            <w:r>
              <w:rPr>
                <w:rFonts w:ascii="Times New Roman" w:hAnsi="Times New Roman" w:eastAsia="Times New Roman" w:cs="Times New Roman"/>
                <w:spacing w:val="-7"/>
                <w:sz w:val="24"/>
                <w:szCs w:val="24"/>
              </w:rPr>
              <w:t xml:space="preserve">10kV </w:t>
            </w:r>
            <w:r>
              <w:rPr>
                <w:spacing w:val="-7"/>
                <w:sz w:val="24"/>
                <w:szCs w:val="24"/>
              </w:rPr>
              <w:t>摆洋线</w:t>
            </w:r>
            <w:r>
              <w:rPr>
                <w:spacing w:val="-58"/>
                <w:sz w:val="24"/>
                <w:szCs w:val="24"/>
              </w:rPr>
              <w:t xml:space="preserve"> </w:t>
            </w:r>
            <w:r>
              <w:rPr>
                <w:rFonts w:ascii="Times New Roman" w:hAnsi="Times New Roman" w:eastAsia="Times New Roman" w:cs="Times New Roman"/>
                <w:spacing w:val="-7"/>
                <w:sz w:val="24"/>
                <w:szCs w:val="24"/>
              </w:rPr>
              <w:t xml:space="preserve">4 </w:t>
            </w:r>
            <w:r>
              <w:rPr>
                <w:spacing w:val="-7"/>
                <w:sz w:val="24"/>
                <w:szCs w:val="24"/>
              </w:rPr>
              <w:t>号塔接入至</w:t>
            </w:r>
            <w:r>
              <w:rPr>
                <w:spacing w:val="-35"/>
                <w:sz w:val="24"/>
                <w:szCs w:val="24"/>
              </w:rPr>
              <w:t xml:space="preserve"> </w:t>
            </w:r>
            <w:r>
              <w:rPr>
                <w:rFonts w:ascii="Times New Roman" w:hAnsi="Times New Roman" w:eastAsia="Times New Roman" w:cs="Times New Roman"/>
                <w:spacing w:val="-7"/>
                <w:sz w:val="24"/>
                <w:szCs w:val="24"/>
              </w:rPr>
              <w:t xml:space="preserve">10kV </w:t>
            </w:r>
            <w:r>
              <w:rPr>
                <w:spacing w:val="-7"/>
                <w:sz w:val="24"/>
                <w:szCs w:val="24"/>
              </w:rPr>
              <w:t>板桥线</w:t>
            </w:r>
            <w:r>
              <w:rPr>
                <w:spacing w:val="-51"/>
                <w:sz w:val="24"/>
                <w:szCs w:val="24"/>
              </w:rPr>
              <w:t xml:space="preserve"> </w:t>
            </w:r>
            <w:r>
              <w:rPr>
                <w:rFonts w:ascii="Times New Roman" w:hAnsi="Times New Roman" w:eastAsia="Times New Roman" w:cs="Times New Roman"/>
                <w:spacing w:val="-7"/>
                <w:sz w:val="24"/>
                <w:szCs w:val="24"/>
              </w:rPr>
              <w:t>5</w:t>
            </w:r>
            <w:r>
              <w:rPr>
                <w:rFonts w:ascii="Times New Roman" w:hAnsi="Times New Roman" w:eastAsia="Times New Roman" w:cs="Times New Roman"/>
                <w:spacing w:val="11"/>
                <w:sz w:val="24"/>
                <w:szCs w:val="24"/>
              </w:rPr>
              <w:t xml:space="preserve"> </w:t>
            </w:r>
            <w:r>
              <w:rPr>
                <w:spacing w:val="-7"/>
                <w:sz w:val="24"/>
                <w:szCs w:val="24"/>
              </w:rPr>
              <w:t>号杆线路，</w:t>
            </w:r>
            <w:r>
              <w:rPr>
                <w:spacing w:val="-3"/>
                <w:sz w:val="24"/>
                <w:szCs w:val="24"/>
              </w:rPr>
              <w:t>线路长度约</w:t>
            </w:r>
            <w:r>
              <w:rPr>
                <w:spacing w:val="-32"/>
                <w:sz w:val="24"/>
                <w:szCs w:val="24"/>
              </w:rPr>
              <w:t xml:space="preserve"> </w:t>
            </w:r>
            <w:r>
              <w:rPr>
                <w:rFonts w:ascii="Times New Roman" w:hAnsi="Times New Roman" w:eastAsia="Times New Roman" w:cs="Times New Roman"/>
                <w:spacing w:val="-3"/>
                <w:sz w:val="24"/>
                <w:szCs w:val="24"/>
              </w:rPr>
              <w:t>1.021km</w:t>
            </w:r>
            <w:r>
              <w:rPr>
                <w:spacing w:val="-3"/>
                <w:sz w:val="24"/>
                <w:szCs w:val="24"/>
              </w:rPr>
              <w:t>。</w:t>
            </w:r>
          </w:p>
          <w:p w14:paraId="2E84FE27">
            <w:pPr>
              <w:pStyle w:val="6"/>
              <w:spacing w:line="220" w:lineRule="auto"/>
              <w:ind w:left="594"/>
              <w:rPr>
                <w:sz w:val="24"/>
                <w:szCs w:val="24"/>
              </w:rPr>
            </w:pPr>
            <w:r>
              <w:rPr>
                <w:b/>
                <w:bCs/>
                <w:spacing w:val="-5"/>
                <w:sz w:val="24"/>
                <w:szCs w:val="24"/>
              </w:rPr>
              <w:t>（</w:t>
            </w:r>
            <w:r>
              <w:rPr>
                <w:rFonts w:ascii="Times New Roman" w:hAnsi="Times New Roman" w:eastAsia="Times New Roman" w:cs="Times New Roman"/>
                <w:b/>
                <w:bCs/>
                <w:spacing w:val="-5"/>
                <w:sz w:val="24"/>
                <w:szCs w:val="24"/>
              </w:rPr>
              <w:t>4</w:t>
            </w:r>
            <w:r>
              <w:rPr>
                <w:b/>
                <w:bCs/>
                <w:spacing w:val="-5"/>
                <w:sz w:val="24"/>
                <w:szCs w:val="24"/>
              </w:rPr>
              <w:t>）</w:t>
            </w:r>
            <w:r>
              <w:rPr>
                <w:rFonts w:ascii="Times New Roman" w:hAnsi="Times New Roman" w:eastAsia="Times New Roman" w:cs="Times New Roman"/>
                <w:b/>
                <w:bCs/>
                <w:spacing w:val="-5"/>
                <w:sz w:val="24"/>
                <w:szCs w:val="24"/>
              </w:rPr>
              <w:t>220kV</w:t>
            </w:r>
            <w:r>
              <w:rPr>
                <w:rFonts w:ascii="Times New Roman" w:hAnsi="Times New Roman" w:eastAsia="Times New Roman" w:cs="Times New Roman"/>
                <w:b/>
                <w:bCs/>
                <w:spacing w:val="15"/>
                <w:w w:val="101"/>
                <w:sz w:val="24"/>
                <w:szCs w:val="24"/>
              </w:rPr>
              <w:t xml:space="preserve"> </w:t>
            </w:r>
            <w:r>
              <w:rPr>
                <w:b/>
                <w:bCs/>
                <w:spacing w:val="-5"/>
                <w:sz w:val="24"/>
                <w:szCs w:val="24"/>
              </w:rPr>
              <w:t>芳华变</w:t>
            </w:r>
            <w:r>
              <w:rPr>
                <w:spacing w:val="-44"/>
                <w:sz w:val="24"/>
                <w:szCs w:val="24"/>
              </w:rPr>
              <w:t xml:space="preserve"> </w:t>
            </w:r>
            <w:r>
              <w:rPr>
                <w:rFonts w:ascii="Times New Roman" w:hAnsi="Times New Roman" w:eastAsia="Times New Roman" w:cs="Times New Roman"/>
                <w:b/>
                <w:bCs/>
                <w:spacing w:val="-5"/>
                <w:sz w:val="24"/>
                <w:szCs w:val="24"/>
              </w:rPr>
              <w:t>110kV</w:t>
            </w:r>
            <w:r>
              <w:rPr>
                <w:rFonts w:ascii="Times New Roman" w:hAnsi="Times New Roman" w:eastAsia="Times New Roman" w:cs="Times New Roman"/>
                <w:b/>
                <w:bCs/>
                <w:spacing w:val="27"/>
                <w:w w:val="101"/>
                <w:sz w:val="24"/>
                <w:szCs w:val="24"/>
              </w:rPr>
              <w:t xml:space="preserve"> </w:t>
            </w:r>
            <w:r>
              <w:rPr>
                <w:b/>
                <w:bCs/>
                <w:spacing w:val="-5"/>
                <w:sz w:val="24"/>
                <w:szCs w:val="24"/>
              </w:rPr>
              <w:t>间隔扩</w:t>
            </w:r>
            <w:r>
              <w:rPr>
                <w:b/>
                <w:bCs/>
                <w:spacing w:val="-6"/>
                <w:sz w:val="24"/>
                <w:szCs w:val="24"/>
              </w:rPr>
              <w:t>建工程</w:t>
            </w:r>
          </w:p>
          <w:p w14:paraId="17B4A143">
            <w:pPr>
              <w:pStyle w:val="6"/>
              <w:spacing w:before="180" w:line="359" w:lineRule="auto"/>
              <w:ind w:left="105" w:right="194" w:firstLine="473"/>
              <w:rPr>
                <w:sz w:val="24"/>
                <w:szCs w:val="24"/>
              </w:rPr>
            </w:pP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15"/>
                <w:sz w:val="24"/>
                <w:szCs w:val="24"/>
              </w:rPr>
              <w:t xml:space="preserve"> </w:t>
            </w:r>
            <w:r>
              <w:rPr>
                <w:spacing w:val="-3"/>
                <w:sz w:val="24"/>
                <w:szCs w:val="24"/>
              </w:rPr>
              <w:t>芳华变：本期利用</w:t>
            </w:r>
            <w:r>
              <w:rPr>
                <w:spacing w:val="-32"/>
                <w:sz w:val="24"/>
                <w:szCs w:val="24"/>
              </w:rPr>
              <w:t xml:space="preserve"> </w:t>
            </w:r>
            <w:r>
              <w:rPr>
                <w:rFonts w:ascii="Times New Roman" w:hAnsi="Times New Roman" w:eastAsia="Times New Roman" w:cs="Times New Roman"/>
                <w:spacing w:val="-3"/>
                <w:sz w:val="24"/>
                <w:szCs w:val="24"/>
              </w:rPr>
              <w:t>110kV</w:t>
            </w:r>
            <w:r>
              <w:rPr>
                <w:rFonts w:ascii="Times New Roman" w:hAnsi="Times New Roman" w:eastAsia="Times New Roman" w:cs="Times New Roman"/>
                <w:spacing w:val="29"/>
                <w:w w:val="101"/>
                <w:sz w:val="24"/>
                <w:szCs w:val="24"/>
              </w:rPr>
              <w:t xml:space="preserve"> </w:t>
            </w:r>
            <w:r>
              <w:rPr>
                <w:spacing w:val="-3"/>
                <w:sz w:val="24"/>
                <w:szCs w:val="24"/>
              </w:rPr>
              <w:t>出线侧由西至东第</w:t>
            </w:r>
            <w:r>
              <w:rPr>
                <w:spacing w:val="-32"/>
                <w:sz w:val="24"/>
                <w:szCs w:val="24"/>
              </w:rPr>
              <w:t xml:space="preserve"> </w:t>
            </w:r>
            <w:r>
              <w:rPr>
                <w:rFonts w:ascii="Times New Roman" w:hAnsi="Times New Roman" w:eastAsia="Times New Roman" w:cs="Times New Roman"/>
                <w:spacing w:val="-3"/>
                <w:sz w:val="24"/>
                <w:szCs w:val="24"/>
              </w:rPr>
              <w:t xml:space="preserve">15 </w:t>
            </w:r>
            <w:r>
              <w:rPr>
                <w:spacing w:val="-3"/>
                <w:sz w:val="24"/>
                <w:szCs w:val="24"/>
              </w:rPr>
              <w:t>个出线间隔“备用</w:t>
            </w:r>
            <w:r>
              <w:rPr>
                <w:spacing w:val="-48"/>
                <w:sz w:val="24"/>
                <w:szCs w:val="24"/>
              </w:rPr>
              <w:t xml:space="preserve"> </w:t>
            </w:r>
            <w:r>
              <w:rPr>
                <w:rFonts w:ascii="Times New Roman" w:hAnsi="Times New Roman" w:eastAsia="Times New Roman" w:cs="Times New Roman"/>
                <w:spacing w:val="-3"/>
                <w:sz w:val="24"/>
                <w:szCs w:val="24"/>
              </w:rPr>
              <w:t>3</w:t>
            </w:r>
            <w:r>
              <w:rPr>
                <w:rFonts w:ascii="Times New Roman" w:hAnsi="Times New Roman" w:eastAsia="Times New Roman" w:cs="Times New Roman"/>
                <w:spacing w:val="30"/>
                <w:w w:val="101"/>
                <w:sz w:val="24"/>
                <w:szCs w:val="24"/>
              </w:rPr>
              <w:t xml:space="preserve"> </w:t>
            </w:r>
            <w:r>
              <w:rPr>
                <w:spacing w:val="-3"/>
                <w:sz w:val="24"/>
                <w:szCs w:val="24"/>
              </w:rPr>
              <w:t>出线间隔</w:t>
            </w:r>
            <w:r>
              <w:rPr>
                <w:spacing w:val="-88"/>
                <w:sz w:val="24"/>
                <w:szCs w:val="24"/>
              </w:rPr>
              <w:t xml:space="preserve"> </w:t>
            </w:r>
            <w:r>
              <w:rPr>
                <w:spacing w:val="-3"/>
                <w:sz w:val="24"/>
                <w:szCs w:val="24"/>
              </w:rPr>
              <w:t>”进行出线，新增间隔在预留场地内，不新增用地。</w:t>
            </w:r>
          </w:p>
          <w:p w14:paraId="5242D855">
            <w:pPr>
              <w:pStyle w:val="6"/>
              <w:spacing w:line="220" w:lineRule="auto"/>
              <w:ind w:left="579"/>
              <w:rPr>
                <w:sz w:val="24"/>
                <w:szCs w:val="24"/>
              </w:rPr>
            </w:pPr>
            <w:r>
              <w:rPr>
                <w:rFonts w:ascii="Times New Roman" w:hAnsi="Times New Roman" w:eastAsia="Times New Roman" w:cs="Times New Roman"/>
                <w:b/>
                <w:bCs/>
                <w:spacing w:val="-7"/>
                <w:sz w:val="24"/>
                <w:szCs w:val="24"/>
              </w:rPr>
              <w:t>2</w:t>
            </w:r>
            <w:r>
              <w:rPr>
                <w:rFonts w:ascii="Times New Roman" w:hAnsi="Times New Roman" w:eastAsia="Times New Roman" w:cs="Times New Roman"/>
                <w:b/>
                <w:bCs/>
                <w:spacing w:val="-33"/>
                <w:sz w:val="24"/>
                <w:szCs w:val="24"/>
              </w:rPr>
              <w:t xml:space="preserve"> </w:t>
            </w:r>
            <w:r>
              <w:rPr>
                <w:b/>
                <w:bCs/>
                <w:spacing w:val="-7"/>
                <w:sz w:val="24"/>
                <w:szCs w:val="24"/>
              </w:rPr>
              <w:t>、项目组成</w:t>
            </w:r>
          </w:p>
          <w:p w14:paraId="5C3BF3A7">
            <w:pPr>
              <w:pStyle w:val="6"/>
              <w:spacing w:before="181" w:line="203" w:lineRule="auto"/>
              <w:ind w:left="2677"/>
              <w:rPr>
                <w:sz w:val="24"/>
                <w:szCs w:val="24"/>
              </w:rPr>
            </w:pPr>
            <w:r>
              <w:rPr>
                <w:b/>
                <w:bCs/>
                <w:spacing w:val="-2"/>
                <w:sz w:val="24"/>
                <w:szCs w:val="24"/>
              </w:rPr>
              <w:t>表</w:t>
            </w:r>
            <w:r>
              <w:rPr>
                <w:spacing w:val="-48"/>
                <w:sz w:val="24"/>
                <w:szCs w:val="24"/>
              </w:rPr>
              <w:t xml:space="preserve"> </w:t>
            </w:r>
            <w:r>
              <w:rPr>
                <w:rFonts w:ascii="Times New Roman" w:hAnsi="Times New Roman" w:eastAsia="Times New Roman" w:cs="Times New Roman"/>
                <w:b/>
                <w:bCs/>
                <w:spacing w:val="-2"/>
                <w:sz w:val="24"/>
                <w:szCs w:val="24"/>
              </w:rPr>
              <w:t xml:space="preserve">2-2        </w:t>
            </w:r>
            <w:r>
              <w:rPr>
                <w:b/>
                <w:bCs/>
                <w:spacing w:val="-2"/>
                <w:sz w:val="24"/>
                <w:szCs w:val="24"/>
              </w:rPr>
              <w:t>项目组成一览表</w:t>
            </w:r>
          </w:p>
        </w:tc>
      </w:tr>
      <w:tr w14:paraId="376FD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375" w:type="dxa"/>
            <w:vMerge w:val="restart"/>
            <w:tcBorders>
              <w:top w:val="nil"/>
              <w:left w:val="single" w:color="000000" w:sz="6" w:space="0"/>
              <w:bottom w:val="nil"/>
              <w:right w:val="single" w:color="000000" w:sz="6" w:space="0"/>
            </w:tcBorders>
            <w:vAlign w:val="top"/>
          </w:tcPr>
          <w:p w14:paraId="1AD8F906">
            <w:pPr>
              <w:rPr>
                <w:rFonts w:ascii="Arial"/>
                <w:sz w:val="21"/>
              </w:rPr>
            </w:pPr>
          </w:p>
        </w:tc>
        <w:tc>
          <w:tcPr>
            <w:tcW w:w="113" w:type="dxa"/>
            <w:tcBorders>
              <w:top w:val="nil"/>
              <w:left w:val="single" w:color="000000" w:sz="6" w:space="0"/>
              <w:bottom w:val="nil"/>
            </w:tcBorders>
            <w:vAlign w:val="top"/>
          </w:tcPr>
          <w:p w14:paraId="3147C2F1">
            <w:pPr>
              <w:rPr>
                <w:rFonts w:ascii="Arial"/>
                <w:sz w:val="21"/>
              </w:rPr>
            </w:pPr>
          </w:p>
        </w:tc>
        <w:tc>
          <w:tcPr>
            <w:tcW w:w="457" w:type="dxa"/>
            <w:vMerge w:val="restart"/>
            <w:tcBorders>
              <w:bottom w:val="nil"/>
            </w:tcBorders>
            <w:shd w:val="clear" w:color="auto" w:fill="BEBEBE"/>
            <w:textDirection w:val="tbRlV"/>
            <w:vAlign w:val="top"/>
          </w:tcPr>
          <w:p w14:paraId="7602982B">
            <w:pPr>
              <w:pStyle w:val="6"/>
              <w:spacing w:before="130" w:line="218" w:lineRule="auto"/>
              <w:ind w:left="451"/>
            </w:pPr>
            <w:r>
              <w:rPr>
                <w:b/>
                <w:bCs/>
                <w:spacing w:val="6"/>
              </w:rPr>
              <w:t>名</w:t>
            </w:r>
            <w:r>
              <w:rPr>
                <w:spacing w:val="-38"/>
              </w:rPr>
              <w:t xml:space="preserve"> </w:t>
            </w:r>
            <w:r>
              <w:rPr>
                <w:b/>
                <w:bCs/>
                <w:spacing w:val="6"/>
              </w:rPr>
              <w:t>称</w:t>
            </w:r>
          </w:p>
        </w:tc>
        <w:tc>
          <w:tcPr>
            <w:tcW w:w="5647" w:type="dxa"/>
            <w:gridSpan w:val="4"/>
            <w:shd w:val="clear" w:color="auto" w:fill="BEBEBE"/>
            <w:vAlign w:val="top"/>
          </w:tcPr>
          <w:p w14:paraId="5D3EFC58">
            <w:pPr>
              <w:pStyle w:val="6"/>
              <w:spacing w:before="172" w:line="228" w:lineRule="auto"/>
              <w:ind w:left="2093"/>
            </w:pPr>
            <w:r>
              <w:rPr>
                <w:b/>
                <w:bCs/>
                <w:spacing w:val="6"/>
              </w:rPr>
              <w:t>建设内容及规模</w:t>
            </w:r>
          </w:p>
        </w:tc>
        <w:tc>
          <w:tcPr>
            <w:tcW w:w="1810" w:type="dxa"/>
            <w:gridSpan w:val="2"/>
            <w:shd w:val="clear" w:color="auto" w:fill="BEBEBE"/>
            <w:vAlign w:val="top"/>
          </w:tcPr>
          <w:p w14:paraId="3DCF0C69">
            <w:pPr>
              <w:pStyle w:val="6"/>
              <w:spacing w:before="38" w:line="227" w:lineRule="auto"/>
              <w:ind w:left="726" w:right="161" w:hanging="547"/>
            </w:pPr>
            <w:r>
              <w:rPr>
                <w:b/>
                <w:bCs/>
                <w:spacing w:val="7"/>
              </w:rPr>
              <w:t>可能产生的环境</w:t>
            </w:r>
            <w:r>
              <w:rPr>
                <w:b/>
                <w:bCs/>
                <w:spacing w:val="-8"/>
              </w:rPr>
              <w:t>问题</w:t>
            </w:r>
          </w:p>
        </w:tc>
        <w:tc>
          <w:tcPr>
            <w:tcW w:w="122" w:type="dxa"/>
            <w:tcBorders>
              <w:top w:val="nil"/>
              <w:bottom w:val="nil"/>
              <w:right w:val="single" w:color="000000" w:sz="6" w:space="0"/>
            </w:tcBorders>
            <w:vAlign w:val="top"/>
          </w:tcPr>
          <w:p w14:paraId="0CB16969">
            <w:pPr>
              <w:rPr>
                <w:rFonts w:ascii="Arial"/>
                <w:sz w:val="21"/>
              </w:rPr>
            </w:pPr>
          </w:p>
        </w:tc>
      </w:tr>
      <w:tr w14:paraId="6D6C6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trPr>
        <w:tc>
          <w:tcPr>
            <w:tcW w:w="375" w:type="dxa"/>
            <w:vMerge w:val="continue"/>
            <w:tcBorders>
              <w:top w:val="nil"/>
              <w:left w:val="single" w:color="000000" w:sz="6" w:space="0"/>
              <w:bottom w:val="nil"/>
              <w:right w:val="single" w:color="000000" w:sz="6" w:space="0"/>
            </w:tcBorders>
            <w:vAlign w:val="top"/>
          </w:tcPr>
          <w:p w14:paraId="18DFB9D3">
            <w:pPr>
              <w:rPr>
                <w:rFonts w:ascii="Arial"/>
                <w:sz w:val="21"/>
              </w:rPr>
            </w:pPr>
          </w:p>
        </w:tc>
        <w:tc>
          <w:tcPr>
            <w:tcW w:w="113" w:type="dxa"/>
            <w:tcBorders>
              <w:top w:val="nil"/>
              <w:left w:val="single" w:color="000000" w:sz="6" w:space="0"/>
              <w:bottom w:val="nil"/>
            </w:tcBorders>
            <w:vAlign w:val="top"/>
          </w:tcPr>
          <w:p w14:paraId="648F9904">
            <w:pPr>
              <w:rPr>
                <w:rFonts w:ascii="Arial"/>
                <w:sz w:val="21"/>
              </w:rPr>
            </w:pPr>
          </w:p>
        </w:tc>
        <w:tc>
          <w:tcPr>
            <w:tcW w:w="457" w:type="dxa"/>
            <w:vMerge w:val="continue"/>
            <w:tcBorders>
              <w:top w:val="nil"/>
            </w:tcBorders>
            <w:textDirection w:val="tbRlV"/>
            <w:vAlign w:val="top"/>
          </w:tcPr>
          <w:p w14:paraId="45BF34D5">
            <w:pPr>
              <w:rPr>
                <w:rFonts w:ascii="Arial"/>
                <w:sz w:val="21"/>
              </w:rPr>
            </w:pPr>
          </w:p>
        </w:tc>
        <w:tc>
          <w:tcPr>
            <w:tcW w:w="1660" w:type="dxa"/>
            <w:gridSpan w:val="2"/>
            <w:shd w:val="clear" w:color="auto" w:fill="BEBEBE"/>
            <w:vAlign w:val="top"/>
          </w:tcPr>
          <w:p w14:paraId="608A1C23">
            <w:pPr>
              <w:spacing w:line="253" w:lineRule="auto"/>
              <w:rPr>
                <w:rFonts w:ascii="Arial"/>
                <w:sz w:val="21"/>
              </w:rPr>
            </w:pPr>
          </w:p>
          <w:p w14:paraId="6A4B0C4C">
            <w:pPr>
              <w:pStyle w:val="6"/>
              <w:spacing w:before="65" w:line="228" w:lineRule="auto"/>
              <w:ind w:left="622"/>
            </w:pPr>
            <w:r>
              <w:rPr>
                <w:b/>
                <w:bCs/>
                <w:spacing w:val="2"/>
              </w:rPr>
              <w:t>项目</w:t>
            </w:r>
          </w:p>
        </w:tc>
        <w:tc>
          <w:tcPr>
            <w:tcW w:w="2795" w:type="dxa"/>
            <w:shd w:val="clear" w:color="auto" w:fill="BEBEBE"/>
            <w:vAlign w:val="top"/>
          </w:tcPr>
          <w:p w14:paraId="535D32BC">
            <w:pPr>
              <w:spacing w:line="252" w:lineRule="auto"/>
              <w:rPr>
                <w:rFonts w:ascii="Arial"/>
                <w:sz w:val="21"/>
              </w:rPr>
            </w:pPr>
          </w:p>
          <w:p w14:paraId="7B506399">
            <w:pPr>
              <w:pStyle w:val="6"/>
              <w:spacing w:before="65" w:line="227" w:lineRule="auto"/>
              <w:ind w:left="1192"/>
            </w:pPr>
            <w:r>
              <w:rPr>
                <w:b/>
                <w:bCs/>
                <w:spacing w:val="3"/>
              </w:rPr>
              <w:t>本期</w:t>
            </w:r>
          </w:p>
        </w:tc>
        <w:tc>
          <w:tcPr>
            <w:tcW w:w="1192" w:type="dxa"/>
            <w:shd w:val="clear" w:color="auto" w:fill="BEBEBE"/>
            <w:vAlign w:val="top"/>
          </w:tcPr>
          <w:p w14:paraId="0B70CBEC">
            <w:pPr>
              <w:pStyle w:val="6"/>
              <w:spacing w:before="48" w:line="228" w:lineRule="auto"/>
              <w:ind w:left="118"/>
            </w:pPr>
            <w:r>
              <w:rPr>
                <w:b/>
                <w:bCs/>
                <w:spacing w:val="-10"/>
              </w:rPr>
              <w:t>终期（终期</w:t>
            </w:r>
          </w:p>
          <w:p w14:paraId="59C3346E">
            <w:pPr>
              <w:pStyle w:val="6"/>
              <w:spacing w:before="23" w:line="227" w:lineRule="auto"/>
              <w:ind w:left="182"/>
            </w:pPr>
            <w:r>
              <w:rPr>
                <w:b/>
                <w:bCs/>
                <w:spacing w:val="6"/>
              </w:rPr>
              <w:t>规模本次</w:t>
            </w:r>
          </w:p>
          <w:p w14:paraId="467F721E">
            <w:pPr>
              <w:pStyle w:val="6"/>
              <w:spacing w:before="27" w:line="209" w:lineRule="auto"/>
              <w:ind w:left="185"/>
            </w:pPr>
            <w:r>
              <w:rPr>
                <w:b/>
                <w:bCs/>
                <w:spacing w:val="2"/>
              </w:rPr>
              <w:t>不评价）</w:t>
            </w:r>
          </w:p>
        </w:tc>
        <w:tc>
          <w:tcPr>
            <w:tcW w:w="958" w:type="dxa"/>
            <w:shd w:val="clear" w:color="auto" w:fill="BEBEBE"/>
            <w:vAlign w:val="top"/>
          </w:tcPr>
          <w:p w14:paraId="59A7A28D">
            <w:pPr>
              <w:spacing w:line="253" w:lineRule="auto"/>
              <w:rPr>
                <w:rFonts w:ascii="Arial"/>
                <w:sz w:val="21"/>
              </w:rPr>
            </w:pPr>
          </w:p>
          <w:p w14:paraId="575252A5">
            <w:pPr>
              <w:pStyle w:val="6"/>
              <w:spacing w:before="65" w:line="228" w:lineRule="auto"/>
              <w:ind w:left="172"/>
            </w:pPr>
            <w:r>
              <w:rPr>
                <w:b/>
                <w:bCs/>
                <w:spacing w:val="5"/>
              </w:rPr>
              <w:t>施工期</w:t>
            </w:r>
          </w:p>
        </w:tc>
        <w:tc>
          <w:tcPr>
            <w:tcW w:w="852" w:type="dxa"/>
            <w:shd w:val="clear" w:color="auto" w:fill="BEBEBE"/>
            <w:vAlign w:val="top"/>
          </w:tcPr>
          <w:p w14:paraId="5F133566">
            <w:pPr>
              <w:spacing w:line="253" w:lineRule="auto"/>
              <w:rPr>
                <w:rFonts w:ascii="Arial"/>
                <w:sz w:val="21"/>
              </w:rPr>
            </w:pPr>
          </w:p>
          <w:p w14:paraId="4F1CBEBE">
            <w:pPr>
              <w:pStyle w:val="6"/>
              <w:spacing w:before="65" w:line="228" w:lineRule="auto"/>
              <w:ind w:left="122"/>
            </w:pPr>
            <w:r>
              <w:rPr>
                <w:b/>
                <w:bCs/>
                <w:spacing w:val="5"/>
              </w:rPr>
              <w:t>运营期</w:t>
            </w:r>
          </w:p>
        </w:tc>
        <w:tc>
          <w:tcPr>
            <w:tcW w:w="122" w:type="dxa"/>
            <w:tcBorders>
              <w:top w:val="nil"/>
              <w:bottom w:val="nil"/>
              <w:right w:val="single" w:color="000000" w:sz="6" w:space="0"/>
            </w:tcBorders>
            <w:vAlign w:val="top"/>
          </w:tcPr>
          <w:p w14:paraId="4837FB36">
            <w:pPr>
              <w:rPr>
                <w:rFonts w:ascii="Arial"/>
                <w:sz w:val="21"/>
              </w:rPr>
            </w:pPr>
          </w:p>
        </w:tc>
      </w:tr>
      <w:tr w14:paraId="54FE27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trPr>
        <w:tc>
          <w:tcPr>
            <w:tcW w:w="375" w:type="dxa"/>
            <w:vMerge w:val="restart"/>
            <w:tcBorders>
              <w:top w:val="nil"/>
              <w:left w:val="single" w:color="000000" w:sz="6" w:space="0"/>
              <w:bottom w:val="nil"/>
              <w:right w:val="single" w:color="000000" w:sz="6" w:space="0"/>
            </w:tcBorders>
            <w:vAlign w:val="top"/>
          </w:tcPr>
          <w:p w14:paraId="0860B165">
            <w:pPr>
              <w:rPr>
                <w:rFonts w:ascii="Arial"/>
                <w:sz w:val="21"/>
              </w:rPr>
            </w:pPr>
          </w:p>
        </w:tc>
        <w:tc>
          <w:tcPr>
            <w:tcW w:w="113" w:type="dxa"/>
            <w:tcBorders>
              <w:top w:val="nil"/>
              <w:left w:val="single" w:color="000000" w:sz="6" w:space="0"/>
              <w:bottom w:val="nil"/>
            </w:tcBorders>
            <w:vAlign w:val="top"/>
          </w:tcPr>
          <w:p w14:paraId="771DFA01">
            <w:pPr>
              <w:rPr>
                <w:rFonts w:ascii="Arial"/>
                <w:sz w:val="21"/>
              </w:rPr>
            </w:pPr>
          </w:p>
        </w:tc>
        <w:tc>
          <w:tcPr>
            <w:tcW w:w="457" w:type="dxa"/>
            <w:vMerge w:val="restart"/>
            <w:tcBorders>
              <w:bottom w:val="nil"/>
            </w:tcBorders>
            <w:textDirection w:val="tbRlV"/>
            <w:vAlign w:val="top"/>
          </w:tcPr>
          <w:p w14:paraId="2F75FFD0">
            <w:pPr>
              <w:pStyle w:val="6"/>
              <w:spacing w:before="127" w:line="217" w:lineRule="auto"/>
              <w:ind w:left="2370"/>
            </w:pPr>
            <w:r>
              <w:rPr>
                <w:spacing w:val="8"/>
              </w:rPr>
              <w:t>变</w:t>
            </w:r>
            <w:r>
              <w:rPr>
                <w:spacing w:val="-37"/>
              </w:rPr>
              <w:t xml:space="preserve"> </w:t>
            </w:r>
            <w:r>
              <w:rPr>
                <w:spacing w:val="8"/>
              </w:rPr>
              <w:t>电</w:t>
            </w:r>
            <w:r>
              <w:rPr>
                <w:spacing w:val="-37"/>
              </w:rPr>
              <w:t xml:space="preserve"> </w:t>
            </w:r>
            <w:r>
              <w:rPr>
                <w:spacing w:val="8"/>
              </w:rPr>
              <w:t>站</w:t>
            </w:r>
          </w:p>
        </w:tc>
        <w:tc>
          <w:tcPr>
            <w:tcW w:w="374" w:type="dxa"/>
            <w:vMerge w:val="restart"/>
            <w:tcBorders>
              <w:bottom w:val="nil"/>
            </w:tcBorders>
            <w:textDirection w:val="tbRlV"/>
            <w:vAlign w:val="top"/>
          </w:tcPr>
          <w:p w14:paraId="3269C1F7">
            <w:pPr>
              <w:pStyle w:val="6"/>
              <w:spacing w:before="60" w:line="217" w:lineRule="auto"/>
              <w:ind w:left="1134"/>
            </w:pPr>
            <w:r>
              <w:rPr>
                <w:spacing w:val="8"/>
              </w:rPr>
              <w:t>主</w:t>
            </w:r>
            <w:r>
              <w:rPr>
                <w:spacing w:val="-36"/>
              </w:rPr>
              <w:t xml:space="preserve"> </w:t>
            </w:r>
            <w:r>
              <w:rPr>
                <w:spacing w:val="8"/>
              </w:rPr>
              <w:t>体</w:t>
            </w:r>
            <w:r>
              <w:rPr>
                <w:spacing w:val="-35"/>
              </w:rPr>
              <w:t xml:space="preserve"> </w:t>
            </w:r>
            <w:r>
              <w:rPr>
                <w:spacing w:val="8"/>
              </w:rPr>
              <w:t>工</w:t>
            </w:r>
            <w:r>
              <w:rPr>
                <w:spacing w:val="-35"/>
              </w:rPr>
              <w:t xml:space="preserve"> </w:t>
            </w:r>
            <w:r>
              <w:rPr>
                <w:spacing w:val="8"/>
              </w:rPr>
              <w:t>程</w:t>
            </w:r>
          </w:p>
        </w:tc>
        <w:tc>
          <w:tcPr>
            <w:tcW w:w="1286" w:type="dxa"/>
            <w:vAlign w:val="top"/>
          </w:tcPr>
          <w:p w14:paraId="31B4312D">
            <w:pPr>
              <w:pStyle w:val="6"/>
              <w:spacing w:before="42" w:line="185" w:lineRule="auto"/>
              <w:ind w:left="225"/>
            </w:pPr>
            <w:r>
              <w:rPr>
                <w:spacing w:val="6"/>
              </w:rPr>
              <w:t>主变容量</w:t>
            </w:r>
          </w:p>
        </w:tc>
        <w:tc>
          <w:tcPr>
            <w:tcW w:w="2795" w:type="dxa"/>
            <w:vAlign w:val="top"/>
          </w:tcPr>
          <w:p w14:paraId="66A357A9">
            <w:pPr>
              <w:spacing w:before="78" w:line="172" w:lineRule="auto"/>
              <w:ind w:left="93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2×50</w:t>
            </w:r>
            <w:r>
              <w:rPr>
                <w:rFonts w:ascii="Times New Roman" w:hAnsi="Times New Roman" w:eastAsia="Times New Roman" w:cs="Times New Roman"/>
                <w:sz w:val="20"/>
                <w:szCs w:val="20"/>
              </w:rPr>
              <w:t>MVA</w:t>
            </w:r>
          </w:p>
        </w:tc>
        <w:tc>
          <w:tcPr>
            <w:tcW w:w="1192" w:type="dxa"/>
            <w:vAlign w:val="top"/>
          </w:tcPr>
          <w:p w14:paraId="44BF53D7">
            <w:pPr>
              <w:spacing w:before="78" w:line="172" w:lineRule="auto"/>
              <w:ind w:left="143"/>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3×50</w:t>
            </w:r>
            <w:r>
              <w:rPr>
                <w:rFonts w:ascii="Times New Roman" w:hAnsi="Times New Roman" w:eastAsia="Times New Roman" w:cs="Times New Roman"/>
                <w:sz w:val="20"/>
                <w:szCs w:val="20"/>
              </w:rPr>
              <w:t>MVA</w:t>
            </w:r>
          </w:p>
        </w:tc>
        <w:tc>
          <w:tcPr>
            <w:tcW w:w="958" w:type="dxa"/>
            <w:vMerge w:val="restart"/>
            <w:tcBorders>
              <w:bottom w:val="nil"/>
            </w:tcBorders>
            <w:vAlign w:val="top"/>
          </w:tcPr>
          <w:p w14:paraId="2241977F">
            <w:pPr>
              <w:spacing w:line="249" w:lineRule="auto"/>
              <w:rPr>
                <w:rFonts w:ascii="Arial"/>
                <w:sz w:val="21"/>
              </w:rPr>
            </w:pPr>
          </w:p>
          <w:p w14:paraId="2D9D1228">
            <w:pPr>
              <w:spacing w:line="250" w:lineRule="auto"/>
              <w:rPr>
                <w:rFonts w:ascii="Arial"/>
                <w:sz w:val="21"/>
              </w:rPr>
            </w:pPr>
          </w:p>
          <w:p w14:paraId="72FE9838">
            <w:pPr>
              <w:spacing w:line="250" w:lineRule="auto"/>
              <w:rPr>
                <w:rFonts w:ascii="Arial"/>
                <w:sz w:val="21"/>
              </w:rPr>
            </w:pPr>
          </w:p>
          <w:p w14:paraId="1299A6AE">
            <w:pPr>
              <w:spacing w:line="250" w:lineRule="auto"/>
              <w:rPr>
                <w:rFonts w:ascii="Arial"/>
                <w:sz w:val="21"/>
              </w:rPr>
            </w:pPr>
          </w:p>
          <w:p w14:paraId="62F8AA2C">
            <w:pPr>
              <w:spacing w:line="250" w:lineRule="auto"/>
              <w:rPr>
                <w:rFonts w:ascii="Arial"/>
                <w:sz w:val="21"/>
              </w:rPr>
            </w:pPr>
          </w:p>
          <w:p w14:paraId="068C37D6">
            <w:pPr>
              <w:spacing w:line="250" w:lineRule="auto"/>
              <w:rPr>
                <w:rFonts w:ascii="Arial"/>
                <w:sz w:val="21"/>
              </w:rPr>
            </w:pPr>
          </w:p>
          <w:p w14:paraId="13FFA29E">
            <w:pPr>
              <w:spacing w:line="250" w:lineRule="auto"/>
              <w:rPr>
                <w:rFonts w:ascii="Arial"/>
                <w:sz w:val="21"/>
              </w:rPr>
            </w:pPr>
          </w:p>
          <w:p w14:paraId="5B272168">
            <w:pPr>
              <w:pStyle w:val="6"/>
              <w:spacing w:before="65" w:line="230" w:lineRule="auto"/>
              <w:ind w:left="174"/>
            </w:pPr>
            <w:r>
              <w:rPr>
                <w:spacing w:val="7"/>
              </w:rPr>
              <w:t>施工扬</w:t>
            </w:r>
          </w:p>
          <w:p w14:paraId="44B2CBEF">
            <w:pPr>
              <w:pStyle w:val="6"/>
              <w:spacing w:before="21" w:line="231" w:lineRule="auto"/>
              <w:ind w:left="119"/>
            </w:pPr>
            <w:r>
              <w:rPr>
                <w:spacing w:val="-18"/>
              </w:rPr>
              <w:t>尘、施工</w:t>
            </w:r>
          </w:p>
          <w:p w14:paraId="08913F49">
            <w:pPr>
              <w:pStyle w:val="6"/>
              <w:spacing w:before="24" w:line="228" w:lineRule="auto"/>
              <w:ind w:left="127"/>
            </w:pPr>
            <w:r>
              <w:rPr>
                <w:spacing w:val="-19"/>
              </w:rPr>
              <w:t>噪声、生</w:t>
            </w:r>
          </w:p>
          <w:p w14:paraId="5370B957">
            <w:pPr>
              <w:pStyle w:val="6"/>
              <w:spacing w:before="23" w:line="228" w:lineRule="auto"/>
              <w:ind w:right="14"/>
              <w:jc w:val="right"/>
            </w:pPr>
            <w:r>
              <w:rPr>
                <w:spacing w:val="4"/>
              </w:rPr>
              <w:t>活污水、</w:t>
            </w:r>
          </w:p>
          <w:p w14:paraId="2B4F027C">
            <w:pPr>
              <w:pStyle w:val="6"/>
              <w:spacing w:before="27" w:line="228" w:lineRule="auto"/>
              <w:ind w:left="193"/>
            </w:pPr>
            <w:r>
              <w:t>固体废</w:t>
            </w:r>
          </w:p>
          <w:p w14:paraId="7188B1A9">
            <w:pPr>
              <w:pStyle w:val="6"/>
              <w:spacing w:before="23" w:line="228" w:lineRule="auto"/>
              <w:ind w:left="117"/>
            </w:pPr>
            <w:r>
              <w:rPr>
                <w:spacing w:val="-17"/>
              </w:rPr>
              <w:t>物、植被</w:t>
            </w:r>
          </w:p>
          <w:p w14:paraId="2266865F">
            <w:pPr>
              <w:pStyle w:val="6"/>
              <w:spacing w:before="27" w:line="228" w:lineRule="auto"/>
              <w:ind w:left="277"/>
            </w:pPr>
            <w:r>
              <w:rPr>
                <w:spacing w:val="5"/>
              </w:rPr>
              <w:t>破坏</w:t>
            </w:r>
          </w:p>
        </w:tc>
        <w:tc>
          <w:tcPr>
            <w:tcW w:w="852" w:type="dxa"/>
            <w:vMerge w:val="restart"/>
            <w:tcBorders>
              <w:bottom w:val="nil"/>
            </w:tcBorders>
            <w:vAlign w:val="top"/>
          </w:tcPr>
          <w:p w14:paraId="02FF591A">
            <w:pPr>
              <w:spacing w:line="249" w:lineRule="auto"/>
              <w:rPr>
                <w:rFonts w:ascii="Arial"/>
                <w:sz w:val="21"/>
              </w:rPr>
            </w:pPr>
          </w:p>
          <w:p w14:paraId="51DD576C">
            <w:pPr>
              <w:spacing w:line="250" w:lineRule="auto"/>
              <w:rPr>
                <w:rFonts w:ascii="Arial"/>
                <w:sz w:val="21"/>
              </w:rPr>
            </w:pPr>
          </w:p>
          <w:p w14:paraId="5B3D2696">
            <w:pPr>
              <w:spacing w:line="250" w:lineRule="auto"/>
              <w:rPr>
                <w:rFonts w:ascii="Arial"/>
                <w:sz w:val="21"/>
              </w:rPr>
            </w:pPr>
          </w:p>
          <w:p w14:paraId="16985DBA">
            <w:pPr>
              <w:spacing w:line="250" w:lineRule="auto"/>
              <w:rPr>
                <w:rFonts w:ascii="Arial"/>
                <w:sz w:val="21"/>
              </w:rPr>
            </w:pPr>
          </w:p>
          <w:p w14:paraId="4A0AE090">
            <w:pPr>
              <w:spacing w:line="250" w:lineRule="auto"/>
              <w:rPr>
                <w:rFonts w:ascii="Arial"/>
                <w:sz w:val="21"/>
              </w:rPr>
            </w:pPr>
          </w:p>
          <w:p w14:paraId="7BDE4D1F">
            <w:pPr>
              <w:spacing w:line="250" w:lineRule="auto"/>
              <w:rPr>
                <w:rFonts w:ascii="Arial"/>
                <w:sz w:val="21"/>
              </w:rPr>
            </w:pPr>
          </w:p>
          <w:p w14:paraId="6F9EDF32">
            <w:pPr>
              <w:spacing w:line="250" w:lineRule="auto"/>
              <w:rPr>
                <w:rFonts w:ascii="Arial"/>
                <w:sz w:val="21"/>
              </w:rPr>
            </w:pPr>
          </w:p>
          <w:p w14:paraId="37DE13F3">
            <w:pPr>
              <w:pStyle w:val="6"/>
              <w:spacing w:before="65" w:line="228" w:lineRule="auto"/>
              <w:ind w:left="140"/>
            </w:pPr>
            <w:r>
              <w:t>固体废</w:t>
            </w:r>
          </w:p>
          <w:p w14:paraId="175F8956">
            <w:pPr>
              <w:pStyle w:val="6"/>
              <w:spacing w:before="23" w:line="229" w:lineRule="auto"/>
              <w:ind w:left="122"/>
            </w:pPr>
            <w:r>
              <w:rPr>
                <w:spacing w:val="7"/>
              </w:rPr>
              <w:t>物、工</w:t>
            </w:r>
          </w:p>
          <w:p w14:paraId="5D48EDF7">
            <w:pPr>
              <w:pStyle w:val="6"/>
              <w:spacing w:before="25" w:line="230" w:lineRule="auto"/>
              <w:ind w:left="228"/>
            </w:pPr>
            <w:r>
              <w:rPr>
                <w:spacing w:val="4"/>
              </w:rPr>
              <w:t>频电</w:t>
            </w:r>
          </w:p>
          <w:p w14:paraId="748EDBF7">
            <w:pPr>
              <w:pStyle w:val="6"/>
              <w:spacing w:before="22" w:line="228" w:lineRule="auto"/>
              <w:ind w:left="121"/>
            </w:pPr>
            <w:r>
              <w:rPr>
                <w:spacing w:val="7"/>
              </w:rPr>
              <w:t>场、工</w:t>
            </w:r>
          </w:p>
          <w:p w14:paraId="5D58D604">
            <w:pPr>
              <w:pStyle w:val="6"/>
              <w:spacing w:before="26" w:line="230" w:lineRule="auto"/>
              <w:ind w:left="228"/>
            </w:pPr>
            <w:r>
              <w:rPr>
                <w:spacing w:val="4"/>
              </w:rPr>
              <w:t>频磁</w:t>
            </w:r>
          </w:p>
          <w:p w14:paraId="6E0B787C">
            <w:pPr>
              <w:pStyle w:val="6"/>
              <w:spacing w:before="23" w:line="228" w:lineRule="auto"/>
              <w:ind w:left="121"/>
            </w:pPr>
            <w:r>
              <w:rPr>
                <w:spacing w:val="10"/>
              </w:rPr>
              <w:t>场、噪</w:t>
            </w:r>
          </w:p>
          <w:p w14:paraId="0486EB62">
            <w:pPr>
              <w:pStyle w:val="6"/>
              <w:spacing w:before="26" w:line="228" w:lineRule="auto"/>
              <w:ind w:left="337"/>
            </w:pPr>
            <w:r>
              <w:t>声</w:t>
            </w:r>
          </w:p>
        </w:tc>
        <w:tc>
          <w:tcPr>
            <w:tcW w:w="122" w:type="dxa"/>
            <w:tcBorders>
              <w:top w:val="nil"/>
              <w:bottom w:val="nil"/>
              <w:right w:val="single" w:color="000000" w:sz="6" w:space="0"/>
            </w:tcBorders>
            <w:vAlign w:val="top"/>
          </w:tcPr>
          <w:p w14:paraId="019E7EC7">
            <w:pPr>
              <w:rPr>
                <w:rFonts w:ascii="Arial"/>
                <w:sz w:val="21"/>
              </w:rPr>
            </w:pPr>
          </w:p>
        </w:tc>
      </w:tr>
      <w:tr w14:paraId="606B7D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375" w:type="dxa"/>
            <w:vMerge w:val="continue"/>
            <w:tcBorders>
              <w:top w:val="nil"/>
              <w:left w:val="single" w:color="000000" w:sz="6" w:space="0"/>
              <w:bottom w:val="nil"/>
              <w:right w:val="single" w:color="000000" w:sz="6" w:space="0"/>
            </w:tcBorders>
            <w:vAlign w:val="top"/>
          </w:tcPr>
          <w:p w14:paraId="775D83C5">
            <w:pPr>
              <w:rPr>
                <w:rFonts w:ascii="Arial"/>
                <w:sz w:val="21"/>
              </w:rPr>
            </w:pPr>
          </w:p>
        </w:tc>
        <w:tc>
          <w:tcPr>
            <w:tcW w:w="113" w:type="dxa"/>
            <w:tcBorders>
              <w:top w:val="nil"/>
              <w:left w:val="single" w:color="000000" w:sz="6" w:space="0"/>
              <w:bottom w:val="nil"/>
            </w:tcBorders>
            <w:vAlign w:val="top"/>
          </w:tcPr>
          <w:p w14:paraId="4357F02E">
            <w:pPr>
              <w:rPr>
                <w:rFonts w:ascii="Arial"/>
                <w:sz w:val="21"/>
              </w:rPr>
            </w:pPr>
          </w:p>
        </w:tc>
        <w:tc>
          <w:tcPr>
            <w:tcW w:w="457" w:type="dxa"/>
            <w:vMerge w:val="continue"/>
            <w:tcBorders>
              <w:top w:val="nil"/>
              <w:bottom w:val="nil"/>
            </w:tcBorders>
            <w:textDirection w:val="tbRlV"/>
            <w:vAlign w:val="top"/>
          </w:tcPr>
          <w:p w14:paraId="56352002">
            <w:pPr>
              <w:rPr>
                <w:rFonts w:ascii="Arial"/>
                <w:sz w:val="21"/>
              </w:rPr>
            </w:pPr>
          </w:p>
        </w:tc>
        <w:tc>
          <w:tcPr>
            <w:tcW w:w="374" w:type="dxa"/>
            <w:vMerge w:val="continue"/>
            <w:tcBorders>
              <w:top w:val="nil"/>
              <w:bottom w:val="nil"/>
            </w:tcBorders>
            <w:textDirection w:val="tbRlV"/>
            <w:vAlign w:val="top"/>
          </w:tcPr>
          <w:p w14:paraId="6B294B41">
            <w:pPr>
              <w:rPr>
                <w:rFonts w:ascii="Arial"/>
                <w:sz w:val="21"/>
              </w:rPr>
            </w:pPr>
          </w:p>
        </w:tc>
        <w:tc>
          <w:tcPr>
            <w:tcW w:w="1286" w:type="dxa"/>
            <w:vAlign w:val="top"/>
          </w:tcPr>
          <w:p w14:paraId="6054DF70">
            <w:pPr>
              <w:pStyle w:val="6"/>
              <w:spacing w:before="64" w:line="206" w:lineRule="auto"/>
              <w:ind w:left="248"/>
            </w:pPr>
            <w:r>
              <w:rPr>
                <w:spacing w:val="1"/>
              </w:rPr>
              <w:t>电压等级</w:t>
            </w:r>
          </w:p>
        </w:tc>
        <w:tc>
          <w:tcPr>
            <w:tcW w:w="3987" w:type="dxa"/>
            <w:gridSpan w:val="2"/>
            <w:vAlign w:val="top"/>
          </w:tcPr>
          <w:p w14:paraId="1448F1BB">
            <w:pPr>
              <w:pStyle w:val="6"/>
              <w:spacing w:before="64" w:line="206" w:lineRule="auto"/>
              <w:ind w:left="785"/>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/35</w:t>
            </w:r>
            <w:r>
              <w:rPr>
                <w:rFonts w:ascii="Times New Roman" w:hAnsi="Times New Roman" w:eastAsia="Times New Roman" w:cs="Times New Roman"/>
              </w:rPr>
              <w:t>kV</w:t>
            </w:r>
            <w:r>
              <w:rPr>
                <w:rFonts w:ascii="Times New Roman" w:hAnsi="Times New Roman" w:eastAsia="Times New Roman" w:cs="Times New Roman"/>
                <w:spacing w:val="6"/>
              </w:rPr>
              <w:t>/10</w:t>
            </w:r>
            <w:r>
              <w:rPr>
                <w:rFonts w:ascii="Times New Roman" w:hAnsi="Times New Roman" w:eastAsia="Times New Roman" w:cs="Times New Roman"/>
              </w:rPr>
              <w:t>kV</w:t>
            </w:r>
            <w:r>
              <w:rPr>
                <w:spacing w:val="6"/>
              </w:rPr>
              <w:t>三级电压</w:t>
            </w:r>
          </w:p>
        </w:tc>
        <w:tc>
          <w:tcPr>
            <w:tcW w:w="958" w:type="dxa"/>
            <w:vMerge w:val="continue"/>
            <w:tcBorders>
              <w:top w:val="nil"/>
              <w:bottom w:val="nil"/>
            </w:tcBorders>
            <w:vAlign w:val="top"/>
          </w:tcPr>
          <w:p w14:paraId="7F5737C7">
            <w:pPr>
              <w:rPr>
                <w:rFonts w:ascii="Arial"/>
                <w:sz w:val="21"/>
              </w:rPr>
            </w:pPr>
          </w:p>
        </w:tc>
        <w:tc>
          <w:tcPr>
            <w:tcW w:w="852" w:type="dxa"/>
            <w:vMerge w:val="continue"/>
            <w:tcBorders>
              <w:top w:val="nil"/>
              <w:bottom w:val="nil"/>
            </w:tcBorders>
            <w:vAlign w:val="top"/>
          </w:tcPr>
          <w:p w14:paraId="4B06007E">
            <w:pPr>
              <w:rPr>
                <w:rFonts w:ascii="Arial"/>
                <w:sz w:val="21"/>
              </w:rPr>
            </w:pPr>
          </w:p>
        </w:tc>
        <w:tc>
          <w:tcPr>
            <w:tcW w:w="122" w:type="dxa"/>
            <w:tcBorders>
              <w:top w:val="nil"/>
              <w:bottom w:val="nil"/>
              <w:right w:val="single" w:color="000000" w:sz="6" w:space="0"/>
            </w:tcBorders>
            <w:vAlign w:val="top"/>
          </w:tcPr>
          <w:p w14:paraId="36821944">
            <w:pPr>
              <w:rPr>
                <w:rFonts w:ascii="Arial"/>
                <w:sz w:val="21"/>
              </w:rPr>
            </w:pPr>
          </w:p>
        </w:tc>
      </w:tr>
      <w:tr w14:paraId="4E773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375" w:type="dxa"/>
            <w:vMerge w:val="continue"/>
            <w:tcBorders>
              <w:top w:val="nil"/>
              <w:left w:val="single" w:color="000000" w:sz="6" w:space="0"/>
              <w:bottom w:val="nil"/>
              <w:right w:val="single" w:color="000000" w:sz="6" w:space="0"/>
            </w:tcBorders>
            <w:vAlign w:val="top"/>
          </w:tcPr>
          <w:p w14:paraId="475156B4">
            <w:pPr>
              <w:rPr>
                <w:rFonts w:ascii="Arial"/>
                <w:sz w:val="21"/>
              </w:rPr>
            </w:pPr>
          </w:p>
        </w:tc>
        <w:tc>
          <w:tcPr>
            <w:tcW w:w="113" w:type="dxa"/>
            <w:tcBorders>
              <w:top w:val="nil"/>
              <w:left w:val="single" w:color="000000" w:sz="6" w:space="0"/>
              <w:bottom w:val="nil"/>
            </w:tcBorders>
            <w:vAlign w:val="top"/>
          </w:tcPr>
          <w:p w14:paraId="56ED7F55">
            <w:pPr>
              <w:rPr>
                <w:rFonts w:ascii="Arial"/>
                <w:sz w:val="21"/>
              </w:rPr>
            </w:pPr>
          </w:p>
        </w:tc>
        <w:tc>
          <w:tcPr>
            <w:tcW w:w="457" w:type="dxa"/>
            <w:vMerge w:val="continue"/>
            <w:tcBorders>
              <w:top w:val="nil"/>
              <w:bottom w:val="nil"/>
            </w:tcBorders>
            <w:textDirection w:val="tbRlV"/>
            <w:vAlign w:val="top"/>
          </w:tcPr>
          <w:p w14:paraId="705260E2">
            <w:pPr>
              <w:rPr>
                <w:rFonts w:ascii="Arial"/>
                <w:sz w:val="21"/>
              </w:rPr>
            </w:pPr>
          </w:p>
        </w:tc>
        <w:tc>
          <w:tcPr>
            <w:tcW w:w="374" w:type="dxa"/>
            <w:vMerge w:val="continue"/>
            <w:tcBorders>
              <w:top w:val="nil"/>
              <w:bottom w:val="nil"/>
            </w:tcBorders>
            <w:textDirection w:val="tbRlV"/>
            <w:vAlign w:val="top"/>
          </w:tcPr>
          <w:p w14:paraId="7970A927">
            <w:pPr>
              <w:rPr>
                <w:rFonts w:ascii="Arial"/>
                <w:sz w:val="21"/>
              </w:rPr>
            </w:pPr>
          </w:p>
        </w:tc>
        <w:tc>
          <w:tcPr>
            <w:tcW w:w="1286" w:type="dxa"/>
            <w:vAlign w:val="top"/>
          </w:tcPr>
          <w:p w14:paraId="28C45BC8">
            <w:pPr>
              <w:spacing w:line="250" w:lineRule="auto"/>
              <w:rPr>
                <w:rFonts w:ascii="Arial"/>
                <w:sz w:val="21"/>
              </w:rPr>
            </w:pPr>
          </w:p>
          <w:p w14:paraId="16DF3A4A">
            <w:pPr>
              <w:pStyle w:val="6"/>
              <w:spacing w:before="65" w:line="228" w:lineRule="auto"/>
              <w:ind w:left="144"/>
            </w:pPr>
            <w:r>
              <w:rPr>
                <w:rFonts w:ascii="Times New Roman" w:hAnsi="Times New Roman" w:eastAsia="Times New Roman" w:cs="Times New Roman"/>
                <w:spacing w:val="-3"/>
              </w:rPr>
              <w:t>110kV</w:t>
            </w:r>
            <w:r>
              <w:rPr>
                <w:rFonts w:ascii="Times New Roman" w:hAnsi="Times New Roman" w:eastAsia="Times New Roman" w:cs="Times New Roman"/>
                <w:spacing w:val="33"/>
              </w:rPr>
              <w:t xml:space="preserve"> </w:t>
            </w:r>
            <w:r>
              <w:rPr>
                <w:spacing w:val="-3"/>
              </w:rPr>
              <w:t>出线</w:t>
            </w:r>
          </w:p>
        </w:tc>
        <w:tc>
          <w:tcPr>
            <w:tcW w:w="2795" w:type="dxa"/>
            <w:vAlign w:val="top"/>
          </w:tcPr>
          <w:p w14:paraId="50F32987">
            <w:pPr>
              <w:pStyle w:val="6"/>
              <w:spacing w:before="45" w:line="230" w:lineRule="auto"/>
              <w:ind w:left="46" w:right="68" w:firstLine="416"/>
              <w:jc w:val="both"/>
            </w:pPr>
            <w:r>
              <w:rPr>
                <w:rFonts w:ascii="Times New Roman" w:hAnsi="Times New Roman" w:eastAsia="Times New Roman" w:cs="Times New Roman"/>
                <w:spacing w:val="1"/>
              </w:rPr>
              <w:t>2</w:t>
            </w:r>
            <w:r>
              <w:rPr>
                <w:rFonts w:ascii="Times New Roman" w:hAnsi="Times New Roman" w:eastAsia="Times New Roman" w:cs="Times New Roman"/>
                <w:spacing w:val="34"/>
              </w:rPr>
              <w:t xml:space="preserve"> </w:t>
            </w:r>
            <w:r>
              <w:rPr>
                <w:spacing w:val="1"/>
              </w:rPr>
              <w:t>回：</w:t>
            </w:r>
            <w:r>
              <w:rPr>
                <w:rFonts w:ascii="Times New Roman" w:hAnsi="Times New Roman" w:eastAsia="Times New Roman" w:cs="Times New Roman"/>
                <w:spacing w:val="1"/>
              </w:rPr>
              <w:t>1</w:t>
            </w:r>
            <w:r>
              <w:rPr>
                <w:rFonts w:ascii="Times New Roman" w:hAnsi="Times New Roman" w:eastAsia="Times New Roman" w:cs="Times New Roman"/>
                <w:spacing w:val="32"/>
                <w:w w:val="101"/>
              </w:rPr>
              <w:t xml:space="preserve"> </w:t>
            </w:r>
            <w:r>
              <w:rPr>
                <w:spacing w:val="1"/>
              </w:rPr>
              <w:t>回接入</w:t>
            </w:r>
            <w:r>
              <w:rPr>
                <w:spacing w:val="-43"/>
              </w:rPr>
              <w:t xml:space="preserve"> </w:t>
            </w:r>
            <w:r>
              <w:rPr>
                <w:rFonts w:ascii="Times New Roman" w:hAnsi="Times New Roman" w:eastAsia="Times New Roman" w:cs="Times New Roman"/>
                <w:spacing w:val="1"/>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1"/>
              </w:rPr>
              <w:t>芳</w:t>
            </w:r>
            <w:r>
              <w:rPr>
                <w:spacing w:val="5"/>
              </w:rPr>
              <w:t>华变；</w:t>
            </w:r>
            <w:r>
              <w:rPr>
                <w:rFonts w:ascii="Times New Roman" w:hAnsi="Times New Roman" w:eastAsia="Times New Roman" w:cs="Times New Roman"/>
                <w:spacing w:val="5"/>
              </w:rPr>
              <w:t>1</w:t>
            </w:r>
            <w:r>
              <w:rPr>
                <w:rFonts w:ascii="Times New Roman" w:hAnsi="Times New Roman" w:eastAsia="Times New Roman" w:cs="Times New Roman"/>
                <w:spacing w:val="41"/>
              </w:rPr>
              <w:t xml:space="preserve"> </w:t>
            </w:r>
            <w:r>
              <w:rPr>
                <w:spacing w:val="5"/>
              </w:rPr>
              <w:t>回</w:t>
            </w:r>
            <w:r>
              <w:rPr>
                <w:rFonts w:ascii="Times New Roman" w:hAnsi="Times New Roman" w:eastAsia="Times New Roman" w:cs="Times New Roman"/>
                <w:spacing w:val="5"/>
              </w:rPr>
              <w:t>“T”</w:t>
            </w:r>
            <w:r>
              <w:rPr>
                <w:spacing w:val="5"/>
              </w:rPr>
              <w:t>接芳华变</w:t>
            </w:r>
            <w:r>
              <w:rPr>
                <w:rFonts w:ascii="Times New Roman" w:hAnsi="Times New Roman" w:eastAsia="Times New Roman" w:cs="Times New Roman"/>
                <w:spacing w:val="5"/>
              </w:rPr>
              <w:t>~</w:t>
            </w:r>
            <w:r>
              <w:rPr>
                <w:spacing w:val="5"/>
              </w:rPr>
              <w:t>吉冲</w:t>
            </w:r>
            <w:r>
              <w:rPr>
                <w:spacing w:val="2"/>
              </w:rPr>
              <w:t>变</w:t>
            </w:r>
            <w:r>
              <w:rPr>
                <w:spacing w:val="-14"/>
              </w:rPr>
              <w:t xml:space="preserve"> </w:t>
            </w:r>
            <w:r>
              <w:rPr>
                <w:rFonts w:ascii="Times New Roman" w:hAnsi="Times New Roman" w:eastAsia="Times New Roman" w:cs="Times New Roman"/>
                <w:spacing w:val="2"/>
              </w:rPr>
              <w:t>110</w:t>
            </w:r>
            <w:r>
              <w:rPr>
                <w:rFonts w:ascii="Times New Roman" w:hAnsi="Times New Roman" w:eastAsia="Times New Roman" w:cs="Times New Roman"/>
              </w:rPr>
              <w:t>kV</w:t>
            </w:r>
            <w:r>
              <w:rPr>
                <w:rFonts w:ascii="Times New Roman" w:hAnsi="Times New Roman" w:eastAsia="Times New Roman" w:cs="Times New Roman"/>
                <w:spacing w:val="2"/>
              </w:rPr>
              <w:t xml:space="preserve"> Ⅱ</w:t>
            </w:r>
            <w:r>
              <w:rPr>
                <w:spacing w:val="2"/>
              </w:rPr>
              <w:t>回线路；</w:t>
            </w:r>
          </w:p>
        </w:tc>
        <w:tc>
          <w:tcPr>
            <w:tcW w:w="1192" w:type="dxa"/>
            <w:vAlign w:val="top"/>
          </w:tcPr>
          <w:p w14:paraId="14DBD67C">
            <w:pPr>
              <w:spacing w:line="249" w:lineRule="auto"/>
              <w:rPr>
                <w:rFonts w:ascii="Arial"/>
                <w:sz w:val="21"/>
              </w:rPr>
            </w:pPr>
          </w:p>
          <w:p w14:paraId="048B1DF9">
            <w:pPr>
              <w:pStyle w:val="6"/>
              <w:spacing w:before="65" w:line="231" w:lineRule="auto"/>
              <w:ind w:left="421"/>
            </w:pPr>
            <w:r>
              <w:rPr>
                <w:rFonts w:ascii="Times New Roman" w:hAnsi="Times New Roman" w:eastAsia="Times New Roman" w:cs="Times New Roman"/>
                <w:spacing w:val="-3"/>
              </w:rPr>
              <w:t>5</w:t>
            </w:r>
            <w:r>
              <w:rPr>
                <w:rFonts w:ascii="Times New Roman" w:hAnsi="Times New Roman" w:eastAsia="Times New Roman" w:cs="Times New Roman"/>
                <w:spacing w:val="32"/>
                <w:w w:val="101"/>
              </w:rPr>
              <w:t xml:space="preserve"> </w:t>
            </w:r>
            <w:r>
              <w:rPr>
                <w:spacing w:val="-3"/>
              </w:rPr>
              <w:t>回</w:t>
            </w:r>
          </w:p>
        </w:tc>
        <w:tc>
          <w:tcPr>
            <w:tcW w:w="958" w:type="dxa"/>
            <w:vMerge w:val="continue"/>
            <w:tcBorders>
              <w:top w:val="nil"/>
              <w:bottom w:val="nil"/>
            </w:tcBorders>
            <w:vAlign w:val="top"/>
          </w:tcPr>
          <w:p w14:paraId="698973B0">
            <w:pPr>
              <w:rPr>
                <w:rFonts w:ascii="Arial"/>
                <w:sz w:val="21"/>
              </w:rPr>
            </w:pPr>
          </w:p>
        </w:tc>
        <w:tc>
          <w:tcPr>
            <w:tcW w:w="852" w:type="dxa"/>
            <w:vMerge w:val="continue"/>
            <w:tcBorders>
              <w:top w:val="nil"/>
              <w:bottom w:val="nil"/>
            </w:tcBorders>
            <w:vAlign w:val="top"/>
          </w:tcPr>
          <w:p w14:paraId="3470E26C">
            <w:pPr>
              <w:rPr>
                <w:rFonts w:ascii="Arial"/>
                <w:sz w:val="21"/>
              </w:rPr>
            </w:pPr>
          </w:p>
        </w:tc>
        <w:tc>
          <w:tcPr>
            <w:tcW w:w="122" w:type="dxa"/>
            <w:tcBorders>
              <w:top w:val="nil"/>
              <w:bottom w:val="nil"/>
              <w:right w:val="single" w:color="000000" w:sz="6" w:space="0"/>
            </w:tcBorders>
            <w:vAlign w:val="top"/>
          </w:tcPr>
          <w:p w14:paraId="4AFFD466">
            <w:pPr>
              <w:rPr>
                <w:rFonts w:ascii="Arial"/>
                <w:sz w:val="21"/>
              </w:rPr>
            </w:pPr>
          </w:p>
        </w:tc>
      </w:tr>
      <w:tr w14:paraId="10156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trPr>
        <w:tc>
          <w:tcPr>
            <w:tcW w:w="375" w:type="dxa"/>
            <w:vMerge w:val="continue"/>
            <w:tcBorders>
              <w:top w:val="nil"/>
              <w:left w:val="single" w:color="000000" w:sz="6" w:space="0"/>
              <w:bottom w:val="nil"/>
              <w:right w:val="single" w:color="000000" w:sz="6" w:space="0"/>
            </w:tcBorders>
            <w:vAlign w:val="top"/>
          </w:tcPr>
          <w:p w14:paraId="5FD44D01">
            <w:pPr>
              <w:rPr>
                <w:rFonts w:ascii="Arial"/>
                <w:sz w:val="21"/>
              </w:rPr>
            </w:pPr>
          </w:p>
        </w:tc>
        <w:tc>
          <w:tcPr>
            <w:tcW w:w="113" w:type="dxa"/>
            <w:tcBorders>
              <w:top w:val="nil"/>
              <w:left w:val="single" w:color="000000" w:sz="6" w:space="0"/>
              <w:bottom w:val="nil"/>
            </w:tcBorders>
            <w:vAlign w:val="top"/>
          </w:tcPr>
          <w:p w14:paraId="066D44DD">
            <w:pPr>
              <w:rPr>
                <w:rFonts w:ascii="Arial"/>
                <w:sz w:val="21"/>
              </w:rPr>
            </w:pPr>
          </w:p>
        </w:tc>
        <w:tc>
          <w:tcPr>
            <w:tcW w:w="457" w:type="dxa"/>
            <w:vMerge w:val="continue"/>
            <w:tcBorders>
              <w:top w:val="nil"/>
              <w:bottom w:val="nil"/>
            </w:tcBorders>
            <w:textDirection w:val="tbRlV"/>
            <w:vAlign w:val="top"/>
          </w:tcPr>
          <w:p w14:paraId="545E1E6F">
            <w:pPr>
              <w:rPr>
                <w:rFonts w:ascii="Arial"/>
                <w:sz w:val="21"/>
              </w:rPr>
            </w:pPr>
          </w:p>
        </w:tc>
        <w:tc>
          <w:tcPr>
            <w:tcW w:w="374" w:type="dxa"/>
            <w:vMerge w:val="continue"/>
            <w:tcBorders>
              <w:top w:val="nil"/>
              <w:bottom w:val="nil"/>
            </w:tcBorders>
            <w:textDirection w:val="tbRlV"/>
            <w:vAlign w:val="top"/>
          </w:tcPr>
          <w:p w14:paraId="1A75E8D2">
            <w:pPr>
              <w:rPr>
                <w:rFonts w:ascii="Arial"/>
                <w:sz w:val="21"/>
              </w:rPr>
            </w:pPr>
          </w:p>
        </w:tc>
        <w:tc>
          <w:tcPr>
            <w:tcW w:w="1286" w:type="dxa"/>
            <w:vAlign w:val="top"/>
          </w:tcPr>
          <w:p w14:paraId="4FD7F09B">
            <w:pPr>
              <w:pStyle w:val="6"/>
              <w:spacing w:before="63" w:line="166" w:lineRule="auto"/>
              <w:ind w:left="176"/>
            </w:pPr>
            <w:r>
              <w:rPr>
                <w:rFonts w:ascii="Times New Roman" w:hAnsi="Times New Roman" w:eastAsia="Times New Roman" w:cs="Times New Roman"/>
              </w:rPr>
              <w:t>35kV</w:t>
            </w:r>
            <w:r>
              <w:rPr>
                <w:rFonts w:ascii="Times New Roman" w:hAnsi="Times New Roman" w:eastAsia="Times New Roman" w:cs="Times New Roman"/>
                <w:spacing w:val="32"/>
              </w:rPr>
              <w:t xml:space="preserve"> </w:t>
            </w:r>
            <w:r>
              <w:t>出线</w:t>
            </w:r>
          </w:p>
        </w:tc>
        <w:tc>
          <w:tcPr>
            <w:tcW w:w="2795" w:type="dxa"/>
            <w:vAlign w:val="top"/>
          </w:tcPr>
          <w:p w14:paraId="244B6A59">
            <w:pPr>
              <w:pStyle w:val="6"/>
              <w:spacing w:before="63" w:line="166" w:lineRule="auto"/>
              <w:ind w:left="62"/>
            </w:pPr>
            <w:r>
              <w:rPr>
                <w:rFonts w:ascii="Times New Roman" w:hAnsi="Times New Roman" w:eastAsia="Times New Roman" w:cs="Times New Roman"/>
                <w:spacing w:val="-4"/>
              </w:rPr>
              <w:t>1</w:t>
            </w:r>
            <w:r>
              <w:rPr>
                <w:rFonts w:ascii="Times New Roman" w:hAnsi="Times New Roman" w:eastAsia="Times New Roman" w:cs="Times New Roman"/>
                <w:spacing w:val="38"/>
                <w:w w:val="101"/>
              </w:rPr>
              <w:t xml:space="preserve"> </w:t>
            </w:r>
            <w:r>
              <w:rPr>
                <w:spacing w:val="-4"/>
              </w:rPr>
              <w:t>回：</w:t>
            </w:r>
            <w:r>
              <w:rPr>
                <w:rFonts w:ascii="Times New Roman" w:hAnsi="Times New Roman" w:eastAsia="Times New Roman" w:cs="Times New Roman"/>
                <w:spacing w:val="-4"/>
              </w:rPr>
              <w:t>T</w:t>
            </w:r>
            <w:r>
              <w:rPr>
                <w:rFonts w:ascii="Times New Roman" w:hAnsi="Times New Roman" w:eastAsia="Times New Roman" w:cs="Times New Roman"/>
                <w:spacing w:val="12"/>
                <w:w w:val="101"/>
              </w:rPr>
              <w:t xml:space="preserve"> </w:t>
            </w:r>
            <w:r>
              <w:rPr>
                <w:spacing w:val="-4"/>
              </w:rPr>
              <w:t>接</w:t>
            </w:r>
            <w:r>
              <w:rPr>
                <w:spacing w:val="-39"/>
              </w:rPr>
              <w:t xml:space="preserve"> </w:t>
            </w:r>
            <w:r>
              <w:rPr>
                <w:rFonts w:ascii="Times New Roman" w:hAnsi="Times New Roman" w:eastAsia="Times New Roman" w:cs="Times New Roman"/>
                <w:spacing w:val="-4"/>
              </w:rPr>
              <w:t>35kV</w:t>
            </w:r>
            <w:r>
              <w:rPr>
                <w:rFonts w:ascii="Times New Roman" w:hAnsi="Times New Roman" w:eastAsia="Times New Roman" w:cs="Times New Roman"/>
                <w:spacing w:val="15"/>
                <w:w w:val="101"/>
              </w:rPr>
              <w:t xml:space="preserve"> </w:t>
            </w:r>
            <w:r>
              <w:rPr>
                <w:spacing w:val="-4"/>
              </w:rPr>
              <w:t>金瑞达瓷业线</w:t>
            </w:r>
          </w:p>
        </w:tc>
        <w:tc>
          <w:tcPr>
            <w:tcW w:w="1192" w:type="dxa"/>
            <w:vAlign w:val="top"/>
          </w:tcPr>
          <w:p w14:paraId="62F56B22">
            <w:pPr>
              <w:pStyle w:val="6"/>
              <w:spacing w:before="63" w:line="166" w:lineRule="auto"/>
              <w:ind w:left="420"/>
            </w:pPr>
            <w:r>
              <w:rPr>
                <w:rFonts w:ascii="Times New Roman" w:hAnsi="Times New Roman" w:eastAsia="Times New Roman" w:cs="Times New Roman"/>
                <w:spacing w:val="-3"/>
              </w:rPr>
              <w:t>6</w:t>
            </w:r>
            <w:r>
              <w:rPr>
                <w:rFonts w:ascii="Times New Roman" w:hAnsi="Times New Roman" w:eastAsia="Times New Roman" w:cs="Times New Roman"/>
                <w:spacing w:val="33"/>
              </w:rPr>
              <w:t xml:space="preserve"> </w:t>
            </w:r>
            <w:r>
              <w:rPr>
                <w:spacing w:val="-3"/>
              </w:rPr>
              <w:t>回</w:t>
            </w:r>
          </w:p>
        </w:tc>
        <w:tc>
          <w:tcPr>
            <w:tcW w:w="958" w:type="dxa"/>
            <w:vMerge w:val="continue"/>
            <w:tcBorders>
              <w:top w:val="nil"/>
              <w:bottom w:val="nil"/>
            </w:tcBorders>
            <w:vAlign w:val="top"/>
          </w:tcPr>
          <w:p w14:paraId="009255B4">
            <w:pPr>
              <w:rPr>
                <w:rFonts w:ascii="Arial"/>
                <w:sz w:val="21"/>
              </w:rPr>
            </w:pPr>
          </w:p>
        </w:tc>
        <w:tc>
          <w:tcPr>
            <w:tcW w:w="852" w:type="dxa"/>
            <w:vMerge w:val="continue"/>
            <w:tcBorders>
              <w:top w:val="nil"/>
              <w:bottom w:val="nil"/>
            </w:tcBorders>
            <w:vAlign w:val="top"/>
          </w:tcPr>
          <w:p w14:paraId="39E6C9A7">
            <w:pPr>
              <w:rPr>
                <w:rFonts w:ascii="Arial"/>
                <w:sz w:val="21"/>
              </w:rPr>
            </w:pPr>
          </w:p>
        </w:tc>
        <w:tc>
          <w:tcPr>
            <w:tcW w:w="122" w:type="dxa"/>
            <w:tcBorders>
              <w:top w:val="nil"/>
              <w:bottom w:val="nil"/>
              <w:right w:val="single" w:color="000000" w:sz="6" w:space="0"/>
            </w:tcBorders>
            <w:vAlign w:val="top"/>
          </w:tcPr>
          <w:p w14:paraId="36A0FB74">
            <w:pPr>
              <w:rPr>
                <w:rFonts w:ascii="Arial"/>
                <w:sz w:val="21"/>
              </w:rPr>
            </w:pPr>
          </w:p>
        </w:tc>
      </w:tr>
      <w:tr w14:paraId="55580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375" w:type="dxa"/>
            <w:vMerge w:val="continue"/>
            <w:tcBorders>
              <w:top w:val="nil"/>
              <w:left w:val="single" w:color="000000" w:sz="6" w:space="0"/>
              <w:bottom w:val="nil"/>
              <w:right w:val="single" w:color="000000" w:sz="6" w:space="0"/>
            </w:tcBorders>
            <w:vAlign w:val="top"/>
          </w:tcPr>
          <w:p w14:paraId="24DDF8B2">
            <w:pPr>
              <w:rPr>
                <w:rFonts w:ascii="Arial"/>
                <w:sz w:val="21"/>
              </w:rPr>
            </w:pPr>
          </w:p>
        </w:tc>
        <w:tc>
          <w:tcPr>
            <w:tcW w:w="113" w:type="dxa"/>
            <w:tcBorders>
              <w:top w:val="nil"/>
              <w:left w:val="single" w:color="000000" w:sz="6" w:space="0"/>
              <w:bottom w:val="nil"/>
            </w:tcBorders>
            <w:vAlign w:val="top"/>
          </w:tcPr>
          <w:p w14:paraId="489D5812">
            <w:pPr>
              <w:rPr>
                <w:rFonts w:ascii="Arial"/>
                <w:sz w:val="21"/>
              </w:rPr>
            </w:pPr>
          </w:p>
        </w:tc>
        <w:tc>
          <w:tcPr>
            <w:tcW w:w="457" w:type="dxa"/>
            <w:vMerge w:val="continue"/>
            <w:tcBorders>
              <w:top w:val="nil"/>
              <w:bottom w:val="nil"/>
            </w:tcBorders>
            <w:textDirection w:val="tbRlV"/>
            <w:vAlign w:val="top"/>
          </w:tcPr>
          <w:p w14:paraId="7EB24CBC">
            <w:pPr>
              <w:rPr>
                <w:rFonts w:ascii="Arial"/>
                <w:sz w:val="21"/>
              </w:rPr>
            </w:pPr>
          </w:p>
        </w:tc>
        <w:tc>
          <w:tcPr>
            <w:tcW w:w="374" w:type="dxa"/>
            <w:vMerge w:val="continue"/>
            <w:tcBorders>
              <w:top w:val="nil"/>
              <w:bottom w:val="nil"/>
            </w:tcBorders>
            <w:textDirection w:val="tbRlV"/>
            <w:vAlign w:val="top"/>
          </w:tcPr>
          <w:p w14:paraId="6BBA4E74">
            <w:pPr>
              <w:rPr>
                <w:rFonts w:ascii="Arial"/>
                <w:sz w:val="21"/>
              </w:rPr>
            </w:pPr>
          </w:p>
        </w:tc>
        <w:tc>
          <w:tcPr>
            <w:tcW w:w="1286" w:type="dxa"/>
            <w:vAlign w:val="top"/>
          </w:tcPr>
          <w:p w14:paraId="7E95DA01">
            <w:pPr>
              <w:pStyle w:val="6"/>
              <w:spacing w:before="87" w:line="185" w:lineRule="auto"/>
              <w:ind w:left="192"/>
            </w:pPr>
            <w:r>
              <w:rPr>
                <w:rFonts w:ascii="Times New Roman" w:hAnsi="Times New Roman" w:eastAsia="Times New Roman" w:cs="Times New Roman"/>
                <w:spacing w:val="-2"/>
              </w:rPr>
              <w:t>10kV</w:t>
            </w:r>
            <w:r>
              <w:rPr>
                <w:rFonts w:ascii="Times New Roman" w:hAnsi="Times New Roman" w:eastAsia="Times New Roman" w:cs="Times New Roman"/>
                <w:spacing w:val="29"/>
              </w:rPr>
              <w:t xml:space="preserve"> </w:t>
            </w:r>
            <w:r>
              <w:rPr>
                <w:spacing w:val="-2"/>
              </w:rPr>
              <w:t>出线</w:t>
            </w:r>
          </w:p>
        </w:tc>
        <w:tc>
          <w:tcPr>
            <w:tcW w:w="2795" w:type="dxa"/>
            <w:vAlign w:val="top"/>
          </w:tcPr>
          <w:p w14:paraId="21FDBD92">
            <w:pPr>
              <w:pStyle w:val="6"/>
              <w:spacing w:before="87" w:line="185" w:lineRule="auto"/>
              <w:ind w:left="1217"/>
            </w:pPr>
            <w:r>
              <w:rPr>
                <w:rFonts w:ascii="Times New Roman" w:hAnsi="Times New Roman" w:eastAsia="Times New Roman" w:cs="Times New Roman"/>
                <w:spacing w:val="-2"/>
              </w:rPr>
              <w:t>9</w:t>
            </w:r>
            <w:r>
              <w:rPr>
                <w:rFonts w:ascii="Times New Roman" w:hAnsi="Times New Roman" w:eastAsia="Times New Roman" w:cs="Times New Roman"/>
                <w:spacing w:val="32"/>
                <w:w w:val="101"/>
              </w:rPr>
              <w:t xml:space="preserve"> </w:t>
            </w:r>
            <w:r>
              <w:rPr>
                <w:spacing w:val="-2"/>
              </w:rPr>
              <w:t>回</w:t>
            </w:r>
          </w:p>
        </w:tc>
        <w:tc>
          <w:tcPr>
            <w:tcW w:w="1192" w:type="dxa"/>
            <w:vAlign w:val="top"/>
          </w:tcPr>
          <w:p w14:paraId="07F73509">
            <w:pPr>
              <w:pStyle w:val="6"/>
              <w:spacing w:before="87" w:line="185" w:lineRule="auto"/>
              <w:ind w:left="367"/>
            </w:pPr>
            <w:r>
              <w:rPr>
                <w:rFonts w:ascii="Times New Roman" w:hAnsi="Times New Roman" w:eastAsia="Times New Roman" w:cs="Times New Roman"/>
              </w:rPr>
              <w:t>30</w:t>
            </w:r>
            <w:r>
              <w:rPr>
                <w:rFonts w:ascii="Times New Roman" w:hAnsi="Times New Roman" w:eastAsia="Times New Roman" w:cs="Times New Roman"/>
                <w:spacing w:val="33"/>
              </w:rPr>
              <w:t xml:space="preserve"> </w:t>
            </w:r>
            <w:r>
              <w:t>回</w:t>
            </w:r>
          </w:p>
        </w:tc>
        <w:tc>
          <w:tcPr>
            <w:tcW w:w="958" w:type="dxa"/>
            <w:vMerge w:val="continue"/>
            <w:tcBorders>
              <w:top w:val="nil"/>
              <w:bottom w:val="nil"/>
            </w:tcBorders>
            <w:vAlign w:val="top"/>
          </w:tcPr>
          <w:p w14:paraId="065C8EE7">
            <w:pPr>
              <w:rPr>
                <w:rFonts w:ascii="Arial"/>
                <w:sz w:val="21"/>
              </w:rPr>
            </w:pPr>
          </w:p>
        </w:tc>
        <w:tc>
          <w:tcPr>
            <w:tcW w:w="852" w:type="dxa"/>
            <w:vMerge w:val="continue"/>
            <w:tcBorders>
              <w:top w:val="nil"/>
              <w:bottom w:val="nil"/>
            </w:tcBorders>
            <w:vAlign w:val="top"/>
          </w:tcPr>
          <w:p w14:paraId="72D496C4">
            <w:pPr>
              <w:rPr>
                <w:rFonts w:ascii="Arial"/>
                <w:sz w:val="21"/>
              </w:rPr>
            </w:pPr>
          </w:p>
        </w:tc>
        <w:tc>
          <w:tcPr>
            <w:tcW w:w="122" w:type="dxa"/>
            <w:tcBorders>
              <w:top w:val="nil"/>
              <w:bottom w:val="nil"/>
              <w:right w:val="single" w:color="000000" w:sz="6" w:space="0"/>
            </w:tcBorders>
            <w:vAlign w:val="top"/>
          </w:tcPr>
          <w:p w14:paraId="136F8E57">
            <w:pPr>
              <w:rPr>
                <w:rFonts w:ascii="Arial"/>
                <w:sz w:val="21"/>
              </w:rPr>
            </w:pPr>
          </w:p>
        </w:tc>
      </w:tr>
      <w:tr w14:paraId="186C2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375" w:type="dxa"/>
            <w:vMerge w:val="continue"/>
            <w:tcBorders>
              <w:top w:val="nil"/>
              <w:left w:val="single" w:color="000000" w:sz="6" w:space="0"/>
              <w:bottom w:val="nil"/>
              <w:right w:val="single" w:color="000000" w:sz="6" w:space="0"/>
            </w:tcBorders>
            <w:vAlign w:val="top"/>
          </w:tcPr>
          <w:p w14:paraId="2F3328F2">
            <w:pPr>
              <w:rPr>
                <w:rFonts w:ascii="Arial"/>
                <w:sz w:val="21"/>
              </w:rPr>
            </w:pPr>
          </w:p>
        </w:tc>
        <w:tc>
          <w:tcPr>
            <w:tcW w:w="113" w:type="dxa"/>
            <w:tcBorders>
              <w:top w:val="nil"/>
              <w:left w:val="single" w:color="000000" w:sz="6" w:space="0"/>
              <w:bottom w:val="nil"/>
            </w:tcBorders>
            <w:vAlign w:val="top"/>
          </w:tcPr>
          <w:p w14:paraId="41A7573A">
            <w:pPr>
              <w:rPr>
                <w:rFonts w:ascii="Arial"/>
                <w:sz w:val="21"/>
              </w:rPr>
            </w:pPr>
          </w:p>
        </w:tc>
        <w:tc>
          <w:tcPr>
            <w:tcW w:w="457" w:type="dxa"/>
            <w:vMerge w:val="continue"/>
            <w:tcBorders>
              <w:top w:val="nil"/>
              <w:bottom w:val="nil"/>
            </w:tcBorders>
            <w:textDirection w:val="tbRlV"/>
            <w:vAlign w:val="top"/>
          </w:tcPr>
          <w:p w14:paraId="34444111">
            <w:pPr>
              <w:rPr>
                <w:rFonts w:ascii="Arial"/>
                <w:sz w:val="21"/>
              </w:rPr>
            </w:pPr>
          </w:p>
        </w:tc>
        <w:tc>
          <w:tcPr>
            <w:tcW w:w="374" w:type="dxa"/>
            <w:vMerge w:val="continue"/>
            <w:tcBorders>
              <w:top w:val="nil"/>
              <w:bottom w:val="nil"/>
            </w:tcBorders>
            <w:textDirection w:val="tbRlV"/>
            <w:vAlign w:val="top"/>
          </w:tcPr>
          <w:p w14:paraId="5D9712A2">
            <w:pPr>
              <w:rPr>
                <w:rFonts w:ascii="Arial"/>
                <w:sz w:val="21"/>
              </w:rPr>
            </w:pPr>
          </w:p>
        </w:tc>
        <w:tc>
          <w:tcPr>
            <w:tcW w:w="1286" w:type="dxa"/>
            <w:vAlign w:val="top"/>
          </w:tcPr>
          <w:p w14:paraId="31B41112">
            <w:pPr>
              <w:pStyle w:val="6"/>
              <w:spacing w:before="171" w:line="228" w:lineRule="auto"/>
              <w:ind w:left="225"/>
            </w:pPr>
            <w:r>
              <w:rPr>
                <w:spacing w:val="6"/>
              </w:rPr>
              <w:t>无功补偿</w:t>
            </w:r>
          </w:p>
        </w:tc>
        <w:tc>
          <w:tcPr>
            <w:tcW w:w="2795" w:type="dxa"/>
            <w:vAlign w:val="top"/>
          </w:tcPr>
          <w:p w14:paraId="12825694">
            <w:pPr>
              <w:pStyle w:val="6"/>
              <w:spacing w:before="171" w:line="228" w:lineRule="auto"/>
              <w:ind w:left="176"/>
              <w:rPr>
                <w:rFonts w:ascii="Times New Roman" w:hAnsi="Times New Roman" w:eastAsia="Times New Roman" w:cs="Times New Roman"/>
              </w:rPr>
            </w:pPr>
            <w:r>
              <w:rPr>
                <w:spacing w:val="6"/>
              </w:rPr>
              <w:t>电容器组：</w:t>
            </w:r>
            <w:r>
              <w:rPr>
                <w:rFonts w:ascii="Times New Roman" w:hAnsi="Times New Roman" w:eastAsia="Times New Roman" w:cs="Times New Roman"/>
                <w:spacing w:val="6"/>
              </w:rPr>
              <w:t>2</w:t>
            </w:r>
            <w:r>
              <w:rPr>
                <w:spacing w:val="6"/>
              </w:rPr>
              <w:t>×</w:t>
            </w:r>
            <w:r>
              <w:rPr>
                <w:rFonts w:ascii="Times New Roman" w:hAnsi="Times New Roman" w:eastAsia="Times New Roman" w:cs="Times New Roman"/>
                <w:spacing w:val="6"/>
              </w:rPr>
              <w:t>2</w:t>
            </w:r>
            <w:r>
              <w:rPr>
                <w:spacing w:val="6"/>
              </w:rPr>
              <w:t>×</w:t>
            </w:r>
            <w:r>
              <w:rPr>
                <w:rFonts w:ascii="Times New Roman" w:hAnsi="Times New Roman" w:eastAsia="Times New Roman" w:cs="Times New Roman"/>
                <w:spacing w:val="6"/>
              </w:rPr>
              <w:t>5.01</w:t>
            </w:r>
            <w:r>
              <w:rPr>
                <w:rFonts w:ascii="Times New Roman" w:hAnsi="Times New Roman" w:eastAsia="Times New Roman" w:cs="Times New Roman"/>
              </w:rPr>
              <w:t>Mvar</w:t>
            </w:r>
          </w:p>
        </w:tc>
        <w:tc>
          <w:tcPr>
            <w:tcW w:w="1192" w:type="dxa"/>
            <w:vAlign w:val="top"/>
          </w:tcPr>
          <w:p w14:paraId="71A63AB1">
            <w:pPr>
              <w:spacing w:before="87" w:line="195" w:lineRule="auto"/>
              <w:ind w:left="52"/>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3×2×5.01</w:t>
            </w:r>
            <w:r>
              <w:rPr>
                <w:rFonts w:ascii="Times New Roman" w:hAnsi="Times New Roman" w:eastAsia="Times New Roman" w:cs="Times New Roman"/>
                <w:sz w:val="20"/>
                <w:szCs w:val="20"/>
              </w:rPr>
              <w:t>Mv</w:t>
            </w:r>
          </w:p>
          <w:p w14:paraId="447B7754">
            <w:pPr>
              <w:spacing w:before="101" w:line="83" w:lineRule="exact"/>
              <w:ind w:left="522"/>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ar</w:t>
            </w:r>
          </w:p>
        </w:tc>
        <w:tc>
          <w:tcPr>
            <w:tcW w:w="958" w:type="dxa"/>
            <w:vMerge w:val="continue"/>
            <w:tcBorders>
              <w:top w:val="nil"/>
              <w:bottom w:val="nil"/>
            </w:tcBorders>
            <w:vAlign w:val="top"/>
          </w:tcPr>
          <w:p w14:paraId="12B58CF8">
            <w:pPr>
              <w:rPr>
                <w:rFonts w:ascii="Arial"/>
                <w:sz w:val="21"/>
              </w:rPr>
            </w:pPr>
          </w:p>
        </w:tc>
        <w:tc>
          <w:tcPr>
            <w:tcW w:w="852" w:type="dxa"/>
            <w:vMerge w:val="continue"/>
            <w:tcBorders>
              <w:top w:val="nil"/>
              <w:bottom w:val="nil"/>
            </w:tcBorders>
            <w:vAlign w:val="top"/>
          </w:tcPr>
          <w:p w14:paraId="7800B637">
            <w:pPr>
              <w:rPr>
                <w:rFonts w:ascii="Arial"/>
                <w:sz w:val="21"/>
              </w:rPr>
            </w:pPr>
          </w:p>
        </w:tc>
        <w:tc>
          <w:tcPr>
            <w:tcW w:w="122" w:type="dxa"/>
            <w:tcBorders>
              <w:top w:val="nil"/>
              <w:bottom w:val="nil"/>
              <w:right w:val="single" w:color="000000" w:sz="6" w:space="0"/>
            </w:tcBorders>
            <w:vAlign w:val="top"/>
          </w:tcPr>
          <w:p w14:paraId="1CCFF270">
            <w:pPr>
              <w:rPr>
                <w:rFonts w:ascii="Arial"/>
                <w:sz w:val="21"/>
              </w:rPr>
            </w:pPr>
          </w:p>
        </w:tc>
      </w:tr>
      <w:tr w14:paraId="02016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375" w:type="dxa"/>
            <w:vMerge w:val="continue"/>
            <w:tcBorders>
              <w:top w:val="nil"/>
              <w:left w:val="single" w:color="000000" w:sz="6" w:space="0"/>
              <w:bottom w:val="nil"/>
              <w:right w:val="single" w:color="000000" w:sz="6" w:space="0"/>
            </w:tcBorders>
            <w:vAlign w:val="top"/>
          </w:tcPr>
          <w:p w14:paraId="70BFBE50">
            <w:pPr>
              <w:rPr>
                <w:rFonts w:ascii="Arial"/>
                <w:sz w:val="21"/>
              </w:rPr>
            </w:pPr>
          </w:p>
        </w:tc>
        <w:tc>
          <w:tcPr>
            <w:tcW w:w="113" w:type="dxa"/>
            <w:tcBorders>
              <w:top w:val="nil"/>
              <w:left w:val="single" w:color="000000" w:sz="6" w:space="0"/>
              <w:bottom w:val="nil"/>
            </w:tcBorders>
            <w:vAlign w:val="top"/>
          </w:tcPr>
          <w:p w14:paraId="45B98719">
            <w:pPr>
              <w:rPr>
                <w:rFonts w:ascii="Arial"/>
                <w:sz w:val="21"/>
              </w:rPr>
            </w:pPr>
          </w:p>
        </w:tc>
        <w:tc>
          <w:tcPr>
            <w:tcW w:w="457" w:type="dxa"/>
            <w:vMerge w:val="continue"/>
            <w:tcBorders>
              <w:top w:val="nil"/>
              <w:bottom w:val="nil"/>
            </w:tcBorders>
            <w:textDirection w:val="tbRlV"/>
            <w:vAlign w:val="top"/>
          </w:tcPr>
          <w:p w14:paraId="4AE503C8">
            <w:pPr>
              <w:rPr>
                <w:rFonts w:ascii="Arial"/>
                <w:sz w:val="21"/>
              </w:rPr>
            </w:pPr>
          </w:p>
        </w:tc>
        <w:tc>
          <w:tcPr>
            <w:tcW w:w="374" w:type="dxa"/>
            <w:vMerge w:val="continue"/>
            <w:tcBorders>
              <w:top w:val="nil"/>
              <w:bottom w:val="nil"/>
            </w:tcBorders>
            <w:textDirection w:val="tbRlV"/>
            <w:vAlign w:val="top"/>
          </w:tcPr>
          <w:p w14:paraId="60C7DDA8">
            <w:pPr>
              <w:rPr>
                <w:rFonts w:ascii="Arial"/>
                <w:sz w:val="21"/>
              </w:rPr>
            </w:pPr>
          </w:p>
        </w:tc>
        <w:tc>
          <w:tcPr>
            <w:tcW w:w="1286" w:type="dxa"/>
            <w:vAlign w:val="top"/>
          </w:tcPr>
          <w:p w14:paraId="19E55F7C">
            <w:pPr>
              <w:pStyle w:val="6"/>
              <w:spacing w:before="220" w:line="227" w:lineRule="auto"/>
              <w:ind w:left="223"/>
            </w:pPr>
            <w:r>
              <w:rPr>
                <w:spacing w:val="7"/>
              </w:rPr>
              <w:t>布置方式</w:t>
            </w:r>
          </w:p>
        </w:tc>
        <w:tc>
          <w:tcPr>
            <w:tcW w:w="3987" w:type="dxa"/>
            <w:gridSpan w:val="2"/>
            <w:vAlign w:val="top"/>
          </w:tcPr>
          <w:p w14:paraId="536A1885">
            <w:pPr>
              <w:pStyle w:val="6"/>
              <w:spacing w:before="85" w:line="227" w:lineRule="auto"/>
              <w:ind w:left="111"/>
            </w:pPr>
            <w:r>
              <w:rPr>
                <w:spacing w:val="4"/>
              </w:rPr>
              <w:t>变电站户外布置，</w:t>
            </w: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13"/>
              </w:rPr>
              <w:t xml:space="preserve"> </w:t>
            </w:r>
            <w:r>
              <w:rPr>
                <w:spacing w:val="4"/>
              </w:rPr>
              <w:t>、</w:t>
            </w:r>
            <w:r>
              <w:rPr>
                <w:rFonts w:ascii="Times New Roman" w:hAnsi="Times New Roman" w:eastAsia="Times New Roman" w:cs="Times New Roman"/>
                <w:spacing w:val="4"/>
              </w:rPr>
              <w:t>35</w:t>
            </w:r>
            <w:r>
              <w:rPr>
                <w:rFonts w:ascii="Times New Roman" w:hAnsi="Times New Roman" w:eastAsia="Times New Roman" w:cs="Times New Roman"/>
              </w:rPr>
              <w:t>kV</w:t>
            </w:r>
            <w:r>
              <w:rPr>
                <w:rFonts w:ascii="Times New Roman" w:hAnsi="Times New Roman" w:eastAsia="Times New Roman" w:cs="Times New Roman"/>
                <w:spacing w:val="-27"/>
              </w:rPr>
              <w:t xml:space="preserve"> </w:t>
            </w:r>
            <w:r>
              <w:rPr>
                <w:spacing w:val="4"/>
              </w:rPr>
              <w:t>、</w:t>
            </w:r>
            <w:r>
              <w:rPr>
                <w:rFonts w:ascii="Times New Roman" w:hAnsi="Times New Roman" w:eastAsia="Times New Roman" w:cs="Times New Roman"/>
                <w:spacing w:val="4"/>
              </w:rPr>
              <w:t>10</w:t>
            </w:r>
            <w:r>
              <w:rPr>
                <w:rFonts w:ascii="Times New Roman" w:hAnsi="Times New Roman" w:eastAsia="Times New Roman" w:cs="Times New Roman"/>
              </w:rPr>
              <w:t>kV</w:t>
            </w:r>
            <w:r>
              <w:rPr>
                <w:spacing w:val="4"/>
              </w:rPr>
              <w:t>架</w:t>
            </w:r>
          </w:p>
          <w:p w14:paraId="5ADC69AE">
            <w:pPr>
              <w:pStyle w:val="6"/>
              <w:spacing w:before="25" w:line="169" w:lineRule="auto"/>
              <w:ind w:left="1692"/>
            </w:pPr>
            <w:r>
              <w:rPr>
                <w:spacing w:val="4"/>
              </w:rPr>
              <w:t>空出线</w:t>
            </w:r>
          </w:p>
        </w:tc>
        <w:tc>
          <w:tcPr>
            <w:tcW w:w="958" w:type="dxa"/>
            <w:vMerge w:val="continue"/>
            <w:tcBorders>
              <w:top w:val="nil"/>
              <w:bottom w:val="nil"/>
            </w:tcBorders>
            <w:vAlign w:val="top"/>
          </w:tcPr>
          <w:p w14:paraId="0C861CEE">
            <w:pPr>
              <w:rPr>
                <w:rFonts w:ascii="Arial"/>
                <w:sz w:val="21"/>
              </w:rPr>
            </w:pPr>
          </w:p>
        </w:tc>
        <w:tc>
          <w:tcPr>
            <w:tcW w:w="852" w:type="dxa"/>
            <w:vMerge w:val="continue"/>
            <w:tcBorders>
              <w:top w:val="nil"/>
              <w:bottom w:val="nil"/>
            </w:tcBorders>
            <w:vAlign w:val="top"/>
          </w:tcPr>
          <w:p w14:paraId="1DDCA436">
            <w:pPr>
              <w:rPr>
                <w:rFonts w:ascii="Arial"/>
                <w:sz w:val="21"/>
              </w:rPr>
            </w:pPr>
          </w:p>
        </w:tc>
        <w:tc>
          <w:tcPr>
            <w:tcW w:w="122" w:type="dxa"/>
            <w:tcBorders>
              <w:top w:val="nil"/>
              <w:bottom w:val="nil"/>
              <w:right w:val="single" w:color="000000" w:sz="6" w:space="0"/>
            </w:tcBorders>
            <w:vAlign w:val="top"/>
          </w:tcPr>
          <w:p w14:paraId="0B18EF27">
            <w:pPr>
              <w:rPr>
                <w:rFonts w:ascii="Arial"/>
                <w:sz w:val="21"/>
              </w:rPr>
            </w:pPr>
          </w:p>
        </w:tc>
      </w:tr>
      <w:tr w14:paraId="31F94D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375" w:type="dxa"/>
            <w:vMerge w:val="continue"/>
            <w:tcBorders>
              <w:top w:val="nil"/>
              <w:left w:val="single" w:color="000000" w:sz="6" w:space="0"/>
              <w:bottom w:val="nil"/>
              <w:right w:val="single" w:color="000000" w:sz="6" w:space="0"/>
            </w:tcBorders>
            <w:vAlign w:val="top"/>
          </w:tcPr>
          <w:p w14:paraId="43E622AE">
            <w:pPr>
              <w:rPr>
                <w:rFonts w:ascii="Arial"/>
                <w:sz w:val="21"/>
              </w:rPr>
            </w:pPr>
          </w:p>
        </w:tc>
        <w:tc>
          <w:tcPr>
            <w:tcW w:w="113" w:type="dxa"/>
            <w:tcBorders>
              <w:top w:val="nil"/>
              <w:left w:val="single" w:color="000000" w:sz="6" w:space="0"/>
              <w:bottom w:val="nil"/>
            </w:tcBorders>
            <w:vAlign w:val="top"/>
          </w:tcPr>
          <w:p w14:paraId="3EE072A9">
            <w:pPr>
              <w:rPr>
                <w:rFonts w:ascii="Arial"/>
                <w:sz w:val="21"/>
              </w:rPr>
            </w:pPr>
          </w:p>
        </w:tc>
        <w:tc>
          <w:tcPr>
            <w:tcW w:w="457" w:type="dxa"/>
            <w:vMerge w:val="continue"/>
            <w:tcBorders>
              <w:top w:val="nil"/>
              <w:bottom w:val="nil"/>
            </w:tcBorders>
            <w:textDirection w:val="tbRlV"/>
            <w:vAlign w:val="top"/>
          </w:tcPr>
          <w:p w14:paraId="61694F1F">
            <w:pPr>
              <w:rPr>
                <w:rFonts w:ascii="Arial"/>
                <w:sz w:val="21"/>
              </w:rPr>
            </w:pPr>
          </w:p>
        </w:tc>
        <w:tc>
          <w:tcPr>
            <w:tcW w:w="374" w:type="dxa"/>
            <w:vMerge w:val="continue"/>
            <w:tcBorders>
              <w:top w:val="nil"/>
            </w:tcBorders>
            <w:textDirection w:val="tbRlV"/>
            <w:vAlign w:val="top"/>
          </w:tcPr>
          <w:p w14:paraId="17272B94">
            <w:pPr>
              <w:rPr>
                <w:rFonts w:ascii="Arial"/>
                <w:sz w:val="21"/>
              </w:rPr>
            </w:pPr>
          </w:p>
        </w:tc>
        <w:tc>
          <w:tcPr>
            <w:tcW w:w="1286" w:type="dxa"/>
            <w:vAlign w:val="top"/>
          </w:tcPr>
          <w:p w14:paraId="6CA5DC12">
            <w:pPr>
              <w:pStyle w:val="6"/>
              <w:spacing w:before="85" w:line="191" w:lineRule="auto"/>
              <w:ind w:left="469"/>
            </w:pPr>
            <w:r>
              <w:rPr>
                <w:spacing w:val="-13"/>
              </w:rPr>
              <w:t>占地</w:t>
            </w:r>
          </w:p>
        </w:tc>
        <w:tc>
          <w:tcPr>
            <w:tcW w:w="3987" w:type="dxa"/>
            <w:gridSpan w:val="2"/>
            <w:vAlign w:val="top"/>
          </w:tcPr>
          <w:p w14:paraId="71E71556">
            <w:pPr>
              <w:pStyle w:val="6"/>
              <w:spacing w:before="85" w:line="191" w:lineRule="auto"/>
              <w:ind w:left="876"/>
            </w:pPr>
            <w:r>
              <w:rPr>
                <w:rFonts w:ascii="Times New Roman" w:hAnsi="Times New Roman" w:eastAsia="Times New Roman" w:cs="Times New Roman"/>
                <w:spacing w:val="5"/>
              </w:rPr>
              <w:t>1.087</w:t>
            </w:r>
            <w:r>
              <w:rPr>
                <w:rFonts w:ascii="Times New Roman" w:hAnsi="Times New Roman" w:eastAsia="Times New Roman" w:cs="Times New Roman"/>
              </w:rPr>
              <w:t>hm</w:t>
            </w:r>
            <w:r>
              <w:rPr>
                <w:rFonts w:ascii="Times New Roman" w:hAnsi="Times New Roman" w:eastAsia="Times New Roman" w:cs="Times New Roman"/>
                <w:spacing w:val="5"/>
                <w:position w:val="6"/>
                <w:sz w:val="13"/>
                <w:szCs w:val="13"/>
              </w:rPr>
              <w:t>2</w:t>
            </w:r>
            <w:r>
              <w:rPr>
                <w:spacing w:val="5"/>
              </w:rPr>
              <w:t>（含进站道路）</w:t>
            </w:r>
          </w:p>
        </w:tc>
        <w:tc>
          <w:tcPr>
            <w:tcW w:w="958" w:type="dxa"/>
            <w:vMerge w:val="continue"/>
            <w:tcBorders>
              <w:top w:val="nil"/>
              <w:bottom w:val="nil"/>
            </w:tcBorders>
            <w:vAlign w:val="top"/>
          </w:tcPr>
          <w:p w14:paraId="35DA3627">
            <w:pPr>
              <w:rPr>
                <w:rFonts w:ascii="Arial"/>
                <w:sz w:val="21"/>
              </w:rPr>
            </w:pPr>
          </w:p>
        </w:tc>
        <w:tc>
          <w:tcPr>
            <w:tcW w:w="852" w:type="dxa"/>
            <w:vMerge w:val="continue"/>
            <w:tcBorders>
              <w:top w:val="nil"/>
              <w:bottom w:val="nil"/>
            </w:tcBorders>
            <w:vAlign w:val="top"/>
          </w:tcPr>
          <w:p w14:paraId="5B755B77">
            <w:pPr>
              <w:rPr>
                <w:rFonts w:ascii="Arial"/>
                <w:sz w:val="21"/>
              </w:rPr>
            </w:pPr>
          </w:p>
        </w:tc>
        <w:tc>
          <w:tcPr>
            <w:tcW w:w="122" w:type="dxa"/>
            <w:tcBorders>
              <w:top w:val="nil"/>
              <w:bottom w:val="nil"/>
              <w:right w:val="single" w:color="000000" w:sz="6" w:space="0"/>
            </w:tcBorders>
            <w:vAlign w:val="top"/>
          </w:tcPr>
          <w:p w14:paraId="4F99C463">
            <w:pPr>
              <w:rPr>
                <w:rFonts w:ascii="Arial"/>
                <w:sz w:val="21"/>
              </w:rPr>
            </w:pPr>
          </w:p>
        </w:tc>
      </w:tr>
      <w:tr w14:paraId="5E18B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375" w:type="dxa"/>
            <w:vMerge w:val="continue"/>
            <w:tcBorders>
              <w:top w:val="nil"/>
              <w:left w:val="single" w:color="000000" w:sz="6" w:space="0"/>
              <w:bottom w:val="nil"/>
              <w:right w:val="single" w:color="000000" w:sz="6" w:space="0"/>
            </w:tcBorders>
            <w:vAlign w:val="top"/>
          </w:tcPr>
          <w:p w14:paraId="5E964C68">
            <w:pPr>
              <w:rPr>
                <w:rFonts w:ascii="Arial"/>
                <w:sz w:val="21"/>
              </w:rPr>
            </w:pPr>
          </w:p>
        </w:tc>
        <w:tc>
          <w:tcPr>
            <w:tcW w:w="113" w:type="dxa"/>
            <w:tcBorders>
              <w:top w:val="nil"/>
              <w:left w:val="single" w:color="000000" w:sz="6" w:space="0"/>
              <w:bottom w:val="nil"/>
            </w:tcBorders>
            <w:vAlign w:val="top"/>
          </w:tcPr>
          <w:p w14:paraId="74D811BB">
            <w:pPr>
              <w:rPr>
                <w:rFonts w:ascii="Arial"/>
                <w:sz w:val="21"/>
              </w:rPr>
            </w:pPr>
          </w:p>
        </w:tc>
        <w:tc>
          <w:tcPr>
            <w:tcW w:w="457" w:type="dxa"/>
            <w:vMerge w:val="continue"/>
            <w:tcBorders>
              <w:top w:val="nil"/>
              <w:bottom w:val="nil"/>
            </w:tcBorders>
            <w:textDirection w:val="tbRlV"/>
            <w:vAlign w:val="top"/>
          </w:tcPr>
          <w:p w14:paraId="40641B18">
            <w:pPr>
              <w:rPr>
                <w:rFonts w:ascii="Arial"/>
                <w:sz w:val="21"/>
              </w:rPr>
            </w:pPr>
          </w:p>
        </w:tc>
        <w:tc>
          <w:tcPr>
            <w:tcW w:w="1660" w:type="dxa"/>
            <w:gridSpan w:val="2"/>
            <w:vAlign w:val="top"/>
          </w:tcPr>
          <w:p w14:paraId="1D55A77D">
            <w:pPr>
              <w:spacing w:line="266" w:lineRule="auto"/>
              <w:rPr>
                <w:rFonts w:ascii="Arial"/>
                <w:sz w:val="21"/>
              </w:rPr>
            </w:pPr>
          </w:p>
          <w:p w14:paraId="1A33CEF8">
            <w:pPr>
              <w:pStyle w:val="6"/>
              <w:spacing w:before="65" w:line="254" w:lineRule="auto"/>
              <w:ind w:left="623" w:right="623"/>
            </w:pPr>
            <w:r>
              <w:rPr>
                <w:spacing w:val="3"/>
              </w:rPr>
              <w:t>辅助工程</w:t>
            </w:r>
          </w:p>
        </w:tc>
        <w:tc>
          <w:tcPr>
            <w:tcW w:w="3987" w:type="dxa"/>
            <w:gridSpan w:val="2"/>
            <w:vAlign w:val="top"/>
          </w:tcPr>
          <w:p w14:paraId="22F3086D">
            <w:pPr>
              <w:pStyle w:val="6"/>
              <w:spacing w:before="59" w:line="235" w:lineRule="auto"/>
              <w:ind w:left="110" w:right="48" w:firstLine="4"/>
              <w:jc w:val="both"/>
            </w:pPr>
            <w:r>
              <w:rPr>
                <w:spacing w:val="9"/>
              </w:rPr>
              <w:t>一体化供水系统，水泵房，消防水池，主</w:t>
            </w:r>
            <w:r>
              <w:rPr>
                <w:spacing w:val="21"/>
              </w:rPr>
              <w:t>控楼，配电装置楼、事故油池、化粪池</w:t>
            </w:r>
            <w:r>
              <w:rPr>
                <w:spacing w:val="-1"/>
              </w:rPr>
              <w:t>（</w:t>
            </w:r>
            <w:r>
              <w:rPr>
                <w:rFonts w:ascii="Times New Roman" w:hAnsi="Times New Roman" w:eastAsia="Times New Roman" w:cs="Times New Roman"/>
                <w:spacing w:val="-1"/>
              </w:rPr>
              <w:t>2m</w:t>
            </w:r>
            <w:r>
              <w:rPr>
                <w:rFonts w:ascii="Times New Roman" w:hAnsi="Times New Roman" w:eastAsia="Times New Roman" w:cs="Times New Roman"/>
                <w:spacing w:val="-1"/>
                <w:position w:val="1"/>
                <w:sz w:val="13"/>
                <w:szCs w:val="13"/>
              </w:rPr>
              <w:t>3</w:t>
            </w:r>
            <w:r>
              <w:rPr>
                <w:spacing w:val="-1"/>
                <w:position w:val="1"/>
              </w:rPr>
              <w:t>）</w:t>
            </w:r>
            <w:r>
              <w:rPr>
                <w:spacing w:val="-1"/>
              </w:rPr>
              <w:t>、污水处理设施（处理能力</w:t>
            </w:r>
            <w:r>
              <w:rPr>
                <w:rFonts w:ascii="Times New Roman" w:hAnsi="Times New Roman" w:eastAsia="Times New Roman" w:cs="Times New Roman"/>
                <w:spacing w:val="-1"/>
              </w:rPr>
              <w:t>0.5t</w:t>
            </w:r>
            <w:r>
              <w:rPr>
                <w:rFonts w:ascii="Times New Roman" w:hAnsi="Times New Roman" w:eastAsia="Times New Roman" w:cs="Times New Roman"/>
                <w:spacing w:val="-2"/>
              </w:rPr>
              <w:t>/h</w:t>
            </w:r>
            <w:r>
              <w:rPr>
                <w:spacing w:val="-47"/>
                <w:w w:val="89"/>
              </w:rPr>
              <w:t>），</w:t>
            </w:r>
            <w:r>
              <w:rPr>
                <w:spacing w:val="5"/>
              </w:rPr>
              <w:t>总建筑面积</w:t>
            </w:r>
            <w:r>
              <w:rPr>
                <w:rFonts w:ascii="Times New Roman" w:hAnsi="Times New Roman" w:eastAsia="Times New Roman" w:cs="Times New Roman"/>
                <w:spacing w:val="5"/>
              </w:rPr>
              <w:t>1670.83m</w:t>
            </w:r>
            <w:r>
              <w:rPr>
                <w:rFonts w:ascii="Times New Roman" w:hAnsi="Times New Roman" w:eastAsia="Times New Roman" w:cs="Times New Roman"/>
                <w:spacing w:val="5"/>
                <w:position w:val="6"/>
                <w:sz w:val="13"/>
                <w:szCs w:val="13"/>
              </w:rPr>
              <w:t>2</w:t>
            </w:r>
            <w:r>
              <w:rPr>
                <w:spacing w:val="5"/>
              </w:rPr>
              <w:t>；</w:t>
            </w:r>
          </w:p>
        </w:tc>
        <w:tc>
          <w:tcPr>
            <w:tcW w:w="958" w:type="dxa"/>
            <w:vMerge w:val="continue"/>
            <w:tcBorders>
              <w:top w:val="nil"/>
              <w:bottom w:val="nil"/>
            </w:tcBorders>
            <w:vAlign w:val="top"/>
          </w:tcPr>
          <w:p w14:paraId="502E208E">
            <w:pPr>
              <w:rPr>
                <w:rFonts w:ascii="Arial"/>
                <w:sz w:val="21"/>
              </w:rPr>
            </w:pPr>
          </w:p>
        </w:tc>
        <w:tc>
          <w:tcPr>
            <w:tcW w:w="852" w:type="dxa"/>
            <w:vMerge w:val="continue"/>
            <w:tcBorders>
              <w:top w:val="nil"/>
              <w:bottom w:val="nil"/>
            </w:tcBorders>
            <w:vAlign w:val="top"/>
          </w:tcPr>
          <w:p w14:paraId="3875D705">
            <w:pPr>
              <w:rPr>
                <w:rFonts w:ascii="Arial"/>
                <w:sz w:val="21"/>
              </w:rPr>
            </w:pPr>
          </w:p>
        </w:tc>
        <w:tc>
          <w:tcPr>
            <w:tcW w:w="122" w:type="dxa"/>
            <w:tcBorders>
              <w:top w:val="nil"/>
              <w:bottom w:val="nil"/>
              <w:right w:val="single" w:color="000000" w:sz="6" w:space="0"/>
            </w:tcBorders>
            <w:vAlign w:val="top"/>
          </w:tcPr>
          <w:p w14:paraId="56BA309E">
            <w:pPr>
              <w:rPr>
                <w:rFonts w:ascii="Arial"/>
                <w:sz w:val="21"/>
              </w:rPr>
            </w:pPr>
          </w:p>
        </w:tc>
      </w:tr>
      <w:tr w14:paraId="56031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8" w:hRule="atLeast"/>
        </w:trPr>
        <w:tc>
          <w:tcPr>
            <w:tcW w:w="375" w:type="dxa"/>
            <w:vMerge w:val="continue"/>
            <w:tcBorders>
              <w:top w:val="nil"/>
              <w:left w:val="single" w:color="000000" w:sz="6" w:space="0"/>
              <w:bottom w:val="single" w:color="000000" w:sz="6" w:space="0"/>
              <w:right w:val="single" w:color="000000" w:sz="6" w:space="0"/>
            </w:tcBorders>
            <w:vAlign w:val="top"/>
          </w:tcPr>
          <w:p w14:paraId="389EBA17">
            <w:pPr>
              <w:rPr>
                <w:rFonts w:ascii="Arial"/>
                <w:sz w:val="21"/>
              </w:rPr>
            </w:pPr>
          </w:p>
        </w:tc>
        <w:tc>
          <w:tcPr>
            <w:tcW w:w="113" w:type="dxa"/>
            <w:tcBorders>
              <w:top w:val="nil"/>
              <w:left w:val="single" w:color="000000" w:sz="6" w:space="0"/>
              <w:bottom w:val="single" w:color="000000" w:sz="6" w:space="0"/>
            </w:tcBorders>
            <w:vAlign w:val="top"/>
          </w:tcPr>
          <w:p w14:paraId="11BDCDB3">
            <w:pPr>
              <w:rPr>
                <w:rFonts w:ascii="Arial"/>
                <w:sz w:val="21"/>
              </w:rPr>
            </w:pPr>
          </w:p>
        </w:tc>
        <w:tc>
          <w:tcPr>
            <w:tcW w:w="457" w:type="dxa"/>
            <w:vMerge w:val="continue"/>
            <w:tcBorders>
              <w:top w:val="nil"/>
              <w:bottom w:val="single" w:color="000000" w:sz="6" w:space="0"/>
            </w:tcBorders>
            <w:textDirection w:val="tbRlV"/>
            <w:vAlign w:val="top"/>
          </w:tcPr>
          <w:p w14:paraId="0C6BA27E">
            <w:pPr>
              <w:rPr>
                <w:rFonts w:ascii="Arial"/>
                <w:sz w:val="21"/>
              </w:rPr>
            </w:pPr>
          </w:p>
        </w:tc>
        <w:tc>
          <w:tcPr>
            <w:tcW w:w="1660" w:type="dxa"/>
            <w:gridSpan w:val="2"/>
            <w:tcBorders>
              <w:bottom w:val="single" w:color="000000" w:sz="6" w:space="0"/>
            </w:tcBorders>
            <w:vAlign w:val="top"/>
          </w:tcPr>
          <w:p w14:paraId="2036E80C">
            <w:pPr>
              <w:spacing w:line="262" w:lineRule="auto"/>
              <w:rPr>
                <w:rFonts w:ascii="Arial"/>
                <w:sz w:val="21"/>
              </w:rPr>
            </w:pPr>
          </w:p>
          <w:p w14:paraId="36B6E1FD">
            <w:pPr>
              <w:pStyle w:val="6"/>
              <w:spacing w:before="65" w:line="252" w:lineRule="auto"/>
              <w:ind w:left="624" w:right="623" w:firstLine="3"/>
            </w:pPr>
            <w:r>
              <w:rPr>
                <w:spacing w:val="1"/>
              </w:rPr>
              <w:t>公用</w:t>
            </w:r>
            <w:r>
              <w:rPr>
                <w:spacing w:val="3"/>
              </w:rPr>
              <w:t>工程</w:t>
            </w:r>
          </w:p>
        </w:tc>
        <w:tc>
          <w:tcPr>
            <w:tcW w:w="3987" w:type="dxa"/>
            <w:gridSpan w:val="2"/>
            <w:tcBorders>
              <w:bottom w:val="single" w:color="000000" w:sz="6" w:space="0"/>
            </w:tcBorders>
            <w:vAlign w:val="top"/>
          </w:tcPr>
          <w:p w14:paraId="5A7E87CA">
            <w:pPr>
              <w:pStyle w:val="6"/>
              <w:spacing w:before="59" w:line="242" w:lineRule="auto"/>
              <w:ind w:left="109" w:right="103" w:firstLine="2"/>
              <w:jc w:val="both"/>
            </w:pPr>
            <w:r>
              <w:rPr>
                <w:spacing w:val="9"/>
              </w:rPr>
              <w:t>新建进站道路长度约</w:t>
            </w:r>
            <w:r>
              <w:rPr>
                <w:rFonts w:ascii="Times New Roman" w:hAnsi="Times New Roman" w:eastAsia="Times New Roman" w:cs="Times New Roman"/>
                <w:spacing w:val="9"/>
              </w:rPr>
              <w:t>10m</w:t>
            </w:r>
            <w:r>
              <w:rPr>
                <w:rFonts w:ascii="Times New Roman" w:hAnsi="Times New Roman" w:eastAsia="Times New Roman" w:cs="Times New Roman"/>
                <w:spacing w:val="-12"/>
              </w:rPr>
              <w:t xml:space="preserve"> </w:t>
            </w:r>
            <w:r>
              <w:rPr>
                <w:spacing w:val="9"/>
              </w:rPr>
              <w:t>，从站址东侧乡村道路引接至站区，站内主变区域周边设</w:t>
            </w:r>
            <w:r>
              <w:rPr>
                <w:spacing w:val="5"/>
              </w:rPr>
              <w:t>置</w:t>
            </w:r>
            <w:r>
              <w:rPr>
                <w:rFonts w:ascii="Times New Roman" w:hAnsi="Times New Roman" w:eastAsia="Times New Roman" w:cs="Times New Roman"/>
                <w:spacing w:val="5"/>
              </w:rPr>
              <w:t>4m</w:t>
            </w:r>
            <w:r>
              <w:rPr>
                <w:spacing w:val="5"/>
              </w:rPr>
              <w:t>宽环形通道供设备运输、运维检修及</w:t>
            </w:r>
            <w:r>
              <w:rPr>
                <w:spacing w:val="9"/>
              </w:rPr>
              <w:t>消防通道用，站内道路采用公路型道路。</w:t>
            </w:r>
          </w:p>
        </w:tc>
        <w:tc>
          <w:tcPr>
            <w:tcW w:w="958" w:type="dxa"/>
            <w:vMerge w:val="continue"/>
            <w:tcBorders>
              <w:top w:val="nil"/>
              <w:bottom w:val="single" w:color="000000" w:sz="6" w:space="0"/>
            </w:tcBorders>
            <w:vAlign w:val="top"/>
          </w:tcPr>
          <w:p w14:paraId="681ABC9B">
            <w:pPr>
              <w:rPr>
                <w:rFonts w:ascii="Arial"/>
                <w:sz w:val="21"/>
              </w:rPr>
            </w:pPr>
          </w:p>
        </w:tc>
        <w:tc>
          <w:tcPr>
            <w:tcW w:w="852" w:type="dxa"/>
            <w:vMerge w:val="continue"/>
            <w:tcBorders>
              <w:top w:val="nil"/>
              <w:bottom w:val="single" w:color="000000" w:sz="6" w:space="0"/>
            </w:tcBorders>
            <w:vAlign w:val="top"/>
          </w:tcPr>
          <w:p w14:paraId="30E8AFC2">
            <w:pPr>
              <w:rPr>
                <w:rFonts w:ascii="Arial"/>
                <w:sz w:val="21"/>
              </w:rPr>
            </w:pPr>
          </w:p>
        </w:tc>
        <w:tc>
          <w:tcPr>
            <w:tcW w:w="122" w:type="dxa"/>
            <w:tcBorders>
              <w:top w:val="nil"/>
              <w:bottom w:val="single" w:color="000000" w:sz="6" w:space="0"/>
              <w:right w:val="single" w:color="000000" w:sz="6" w:space="0"/>
            </w:tcBorders>
            <w:vAlign w:val="top"/>
          </w:tcPr>
          <w:p w14:paraId="45868C07">
            <w:pPr>
              <w:rPr>
                <w:rFonts w:ascii="Arial"/>
                <w:sz w:val="21"/>
              </w:rPr>
            </w:pPr>
          </w:p>
        </w:tc>
      </w:tr>
    </w:tbl>
    <w:p w14:paraId="49760F7F">
      <w:pPr>
        <w:rPr>
          <w:rFonts w:ascii="Arial"/>
          <w:sz w:val="21"/>
        </w:rPr>
      </w:pPr>
    </w:p>
    <w:p w14:paraId="6397A07E">
      <w:pPr>
        <w:rPr>
          <w:rFonts w:ascii="Arial" w:hAnsi="Arial" w:eastAsia="Arial" w:cs="Arial"/>
          <w:sz w:val="21"/>
          <w:szCs w:val="21"/>
        </w:rPr>
        <w:sectPr>
          <w:footerReference r:id="rId42" w:type="default"/>
          <w:pgSz w:w="11907" w:h="16840"/>
          <w:pgMar w:top="400" w:right="1684" w:bottom="1240" w:left="1683" w:header="0" w:footer="1077" w:gutter="0"/>
          <w:cols w:space="720" w:num="1"/>
        </w:sectPr>
      </w:pPr>
    </w:p>
    <w:p w14:paraId="267BD463">
      <w:pPr>
        <w:spacing w:before="19"/>
      </w:pPr>
    </w:p>
    <w:p w14:paraId="2BE40622">
      <w:pPr>
        <w:spacing w:before="19"/>
      </w:pPr>
    </w:p>
    <w:p w14:paraId="146A4CBC">
      <w:pPr>
        <w:spacing w:before="18"/>
      </w:pPr>
    </w:p>
    <w:p w14:paraId="3E0109D0">
      <w:pPr>
        <w:spacing w:before="18"/>
      </w:pPr>
    </w:p>
    <w:tbl>
      <w:tblPr>
        <w:tblStyle w:val="5"/>
        <w:tblW w:w="852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5"/>
        <w:gridCol w:w="113"/>
        <w:gridCol w:w="457"/>
        <w:gridCol w:w="1660"/>
        <w:gridCol w:w="3987"/>
        <w:gridCol w:w="958"/>
        <w:gridCol w:w="852"/>
        <w:gridCol w:w="122"/>
      </w:tblGrid>
      <w:tr w14:paraId="258D3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3" w:hRule="atLeast"/>
        </w:trPr>
        <w:tc>
          <w:tcPr>
            <w:tcW w:w="375" w:type="dxa"/>
            <w:vMerge w:val="restart"/>
            <w:tcBorders>
              <w:top w:val="single" w:color="000000" w:sz="6" w:space="0"/>
              <w:left w:val="single" w:color="000000" w:sz="6" w:space="0"/>
              <w:bottom w:val="nil"/>
              <w:right w:val="single" w:color="000000" w:sz="6" w:space="0"/>
            </w:tcBorders>
            <w:vAlign w:val="top"/>
          </w:tcPr>
          <w:p w14:paraId="3A0EFF77">
            <w:pPr>
              <w:rPr>
                <w:rFonts w:ascii="Arial"/>
                <w:sz w:val="21"/>
              </w:rPr>
            </w:pPr>
          </w:p>
        </w:tc>
        <w:tc>
          <w:tcPr>
            <w:tcW w:w="113" w:type="dxa"/>
            <w:tcBorders>
              <w:top w:val="single" w:color="000000" w:sz="6" w:space="0"/>
              <w:left w:val="single" w:color="000000" w:sz="6" w:space="0"/>
              <w:bottom w:val="nil"/>
            </w:tcBorders>
            <w:vAlign w:val="top"/>
          </w:tcPr>
          <w:p w14:paraId="1A3F8044">
            <w:pPr>
              <w:rPr>
                <w:rFonts w:ascii="Arial"/>
                <w:sz w:val="21"/>
              </w:rPr>
            </w:pPr>
          </w:p>
        </w:tc>
        <w:tc>
          <w:tcPr>
            <w:tcW w:w="457" w:type="dxa"/>
            <w:vMerge w:val="restart"/>
            <w:tcBorders>
              <w:top w:val="single" w:color="000000" w:sz="6" w:space="0"/>
              <w:bottom w:val="nil"/>
            </w:tcBorders>
            <w:textDirection w:val="tbRlV"/>
            <w:vAlign w:val="top"/>
          </w:tcPr>
          <w:p w14:paraId="47D7D23F">
            <w:pPr>
              <w:pStyle w:val="6"/>
              <w:spacing w:before="127" w:line="207" w:lineRule="auto"/>
              <w:ind w:left="4275"/>
            </w:pPr>
            <w:r>
              <w:rPr>
                <w:spacing w:val="8"/>
              </w:rPr>
              <w:t>输</w:t>
            </w:r>
            <w:r>
              <w:rPr>
                <w:spacing w:val="-32"/>
              </w:rPr>
              <w:t xml:space="preserve"> </w:t>
            </w:r>
            <w:r>
              <w:rPr>
                <w:spacing w:val="8"/>
                <w:position w:val="1"/>
              </w:rPr>
              <w:t>电</w:t>
            </w:r>
            <w:r>
              <w:rPr>
                <w:spacing w:val="-38"/>
                <w:position w:val="1"/>
              </w:rPr>
              <w:t xml:space="preserve"> </w:t>
            </w:r>
            <w:r>
              <w:rPr>
                <w:spacing w:val="8"/>
              </w:rPr>
              <w:t>线</w:t>
            </w:r>
            <w:r>
              <w:rPr>
                <w:spacing w:val="-35"/>
              </w:rPr>
              <w:t xml:space="preserve"> </w:t>
            </w:r>
            <w:r>
              <w:rPr>
                <w:spacing w:val="8"/>
              </w:rPr>
              <w:t>路</w:t>
            </w:r>
            <w:r>
              <w:rPr>
                <w:spacing w:val="-37"/>
              </w:rPr>
              <w:t xml:space="preserve"> </w:t>
            </w:r>
            <w:r>
              <w:rPr>
                <w:spacing w:val="8"/>
              </w:rPr>
              <w:t>工</w:t>
            </w:r>
            <w:r>
              <w:rPr>
                <w:spacing w:val="-36"/>
              </w:rPr>
              <w:t xml:space="preserve"> </w:t>
            </w:r>
            <w:r>
              <w:rPr>
                <w:spacing w:val="8"/>
              </w:rPr>
              <w:t>程</w:t>
            </w:r>
          </w:p>
        </w:tc>
        <w:tc>
          <w:tcPr>
            <w:tcW w:w="1660" w:type="dxa"/>
            <w:tcBorders>
              <w:top w:val="single" w:color="000000" w:sz="6" w:space="0"/>
            </w:tcBorders>
            <w:vAlign w:val="top"/>
          </w:tcPr>
          <w:p w14:paraId="5A9F58C3">
            <w:pPr>
              <w:spacing w:line="265" w:lineRule="auto"/>
              <w:rPr>
                <w:rFonts w:ascii="Arial"/>
                <w:sz w:val="21"/>
              </w:rPr>
            </w:pPr>
          </w:p>
          <w:p w14:paraId="588E31BA">
            <w:pPr>
              <w:spacing w:line="266" w:lineRule="auto"/>
              <w:rPr>
                <w:rFonts w:ascii="Arial"/>
                <w:sz w:val="21"/>
              </w:rPr>
            </w:pPr>
          </w:p>
          <w:p w14:paraId="75E4B28B">
            <w:pPr>
              <w:spacing w:line="266" w:lineRule="auto"/>
              <w:rPr>
                <w:rFonts w:ascii="Arial"/>
                <w:sz w:val="21"/>
              </w:rPr>
            </w:pPr>
          </w:p>
          <w:p w14:paraId="00DE5B73">
            <w:pPr>
              <w:spacing w:line="266" w:lineRule="auto"/>
              <w:rPr>
                <w:rFonts w:ascii="Arial"/>
                <w:sz w:val="21"/>
              </w:rPr>
            </w:pPr>
          </w:p>
          <w:p w14:paraId="57FE0118">
            <w:pPr>
              <w:pStyle w:val="6"/>
              <w:spacing w:before="65" w:line="252" w:lineRule="auto"/>
              <w:ind w:left="108" w:right="110"/>
            </w:pPr>
            <w:r>
              <w:rPr>
                <w:spacing w:val="-2"/>
              </w:rPr>
              <w:t>新</w:t>
            </w:r>
            <w:r>
              <w:rPr>
                <w:spacing w:val="-36"/>
              </w:rPr>
              <w:t xml:space="preserve"> </w:t>
            </w:r>
            <w:r>
              <w:rPr>
                <w:spacing w:val="-2"/>
              </w:rPr>
              <w:t>建</w:t>
            </w:r>
            <w:r>
              <w:rPr>
                <w:spacing w:val="28"/>
              </w:rPr>
              <w:t xml:space="preserve"> </w:t>
            </w:r>
            <w:r>
              <w:rPr>
                <w:rFonts w:ascii="Times New Roman" w:hAnsi="Times New Roman" w:eastAsia="Times New Roman" w:cs="Times New Roman"/>
                <w:spacing w:val="-2"/>
              </w:rPr>
              <w:t>110kV</w:t>
            </w:r>
            <w:r>
              <w:rPr>
                <w:rFonts w:ascii="Times New Roman" w:hAnsi="Times New Roman" w:eastAsia="Times New Roman" w:cs="Times New Roman"/>
                <w:spacing w:val="7"/>
              </w:rPr>
              <w:t xml:space="preserve">  </w:t>
            </w:r>
            <w:r>
              <w:rPr>
                <w:spacing w:val="-2"/>
              </w:rPr>
              <w:t>线</w:t>
            </w:r>
            <w:r>
              <w:t>路</w:t>
            </w:r>
          </w:p>
        </w:tc>
        <w:tc>
          <w:tcPr>
            <w:tcW w:w="3987" w:type="dxa"/>
            <w:tcBorders>
              <w:top w:val="single" w:color="000000" w:sz="6" w:space="0"/>
            </w:tcBorders>
            <w:vAlign w:val="top"/>
          </w:tcPr>
          <w:p w14:paraId="29B071D8">
            <w:pPr>
              <w:pStyle w:val="6"/>
              <w:spacing w:before="46" w:line="228" w:lineRule="auto"/>
              <w:ind w:left="112"/>
            </w:pPr>
            <w:r>
              <w:rPr>
                <w:b/>
                <w:bCs/>
                <w:spacing w:val="-1"/>
              </w:rPr>
              <w:t>新建</w:t>
            </w:r>
            <w:r>
              <w:rPr>
                <w:spacing w:val="-34"/>
              </w:rPr>
              <w:t xml:space="preserve"> </w:t>
            </w:r>
            <w:r>
              <w:rPr>
                <w:rFonts w:ascii="Times New Roman" w:hAnsi="Times New Roman" w:eastAsia="Times New Roman" w:cs="Times New Roman"/>
                <w:b/>
                <w:bCs/>
                <w:spacing w:val="-1"/>
              </w:rPr>
              <w:t>110kV</w:t>
            </w:r>
            <w:r>
              <w:rPr>
                <w:rFonts w:ascii="Times New Roman" w:hAnsi="Times New Roman" w:eastAsia="Times New Roman" w:cs="Times New Roman"/>
                <w:b/>
                <w:bCs/>
                <w:spacing w:val="14"/>
                <w:w w:val="101"/>
              </w:rPr>
              <w:t xml:space="preserve"> </w:t>
            </w:r>
            <w:r>
              <w:rPr>
                <w:b/>
                <w:bCs/>
                <w:spacing w:val="-1"/>
              </w:rPr>
              <w:t>线路</w:t>
            </w:r>
            <w:r>
              <w:rPr>
                <w:spacing w:val="-40"/>
              </w:rPr>
              <w:t xml:space="preserve"> </w:t>
            </w:r>
            <w:r>
              <w:rPr>
                <w:rFonts w:ascii="Times New Roman" w:hAnsi="Times New Roman" w:eastAsia="Times New Roman" w:cs="Times New Roman"/>
                <w:b/>
                <w:bCs/>
                <w:spacing w:val="-1"/>
              </w:rPr>
              <w:t>2</w:t>
            </w:r>
            <w:r>
              <w:rPr>
                <w:rFonts w:ascii="Times New Roman" w:hAnsi="Times New Roman" w:eastAsia="Times New Roman" w:cs="Times New Roman"/>
                <w:b/>
                <w:bCs/>
                <w:spacing w:val="32"/>
                <w:w w:val="101"/>
              </w:rPr>
              <w:t xml:space="preserve"> </w:t>
            </w:r>
            <w:r>
              <w:rPr>
                <w:b/>
                <w:bCs/>
                <w:spacing w:val="-1"/>
              </w:rPr>
              <w:t>回：</w:t>
            </w:r>
          </w:p>
          <w:p w14:paraId="3BF168C1">
            <w:pPr>
              <w:pStyle w:val="6"/>
              <w:spacing w:before="22" w:line="252" w:lineRule="auto"/>
              <w:ind w:left="110" w:right="101"/>
            </w:pPr>
            <w:r>
              <w:rPr>
                <w:spacing w:val="8"/>
              </w:rPr>
              <w:t>①</w:t>
            </w:r>
            <w:r>
              <w:rPr>
                <w:rFonts w:ascii="Times New Roman" w:hAnsi="Times New Roman" w:eastAsia="Times New Roman" w:cs="Times New Roman"/>
                <w:spacing w:val="8"/>
              </w:rPr>
              <w:t>110</w:t>
            </w:r>
            <w:r>
              <w:rPr>
                <w:rFonts w:ascii="Times New Roman" w:hAnsi="Times New Roman" w:eastAsia="Times New Roman" w:cs="Times New Roman"/>
              </w:rPr>
              <w:t>kV</w:t>
            </w:r>
            <w:r>
              <w:rPr>
                <w:rFonts w:ascii="Times New Roman" w:hAnsi="Times New Roman" w:eastAsia="Times New Roman" w:cs="Times New Roman"/>
                <w:spacing w:val="8"/>
              </w:rPr>
              <w:t xml:space="preserve"> </w:t>
            </w:r>
            <w:r>
              <w:rPr>
                <w:spacing w:val="8"/>
              </w:rPr>
              <w:t>松山变～</w:t>
            </w:r>
            <w:r>
              <w:rPr>
                <w:rFonts w:ascii="Times New Roman" w:hAnsi="Times New Roman" w:eastAsia="Times New Roman" w:cs="Times New Roman"/>
                <w:spacing w:val="8"/>
              </w:rPr>
              <w:t>220</w:t>
            </w:r>
            <w:r>
              <w:rPr>
                <w:rFonts w:ascii="Times New Roman" w:hAnsi="Times New Roman" w:eastAsia="Times New Roman" w:cs="Times New Roman"/>
              </w:rPr>
              <w:t>kV</w:t>
            </w:r>
            <w:r>
              <w:rPr>
                <w:rFonts w:ascii="Times New Roman" w:hAnsi="Times New Roman" w:eastAsia="Times New Roman" w:cs="Times New Roman"/>
                <w:spacing w:val="28"/>
                <w:w w:val="101"/>
              </w:rPr>
              <w:t xml:space="preserve"> </w:t>
            </w:r>
            <w:r>
              <w:rPr>
                <w:spacing w:val="8"/>
              </w:rPr>
              <w:t>芳华变，单、双</w:t>
            </w:r>
            <w:r>
              <w:rPr>
                <w:spacing w:val="-2"/>
              </w:rPr>
              <w:t>回</w:t>
            </w:r>
            <w:r>
              <w:rPr>
                <w:spacing w:val="-45"/>
              </w:rPr>
              <w:t xml:space="preserve"> </w:t>
            </w:r>
            <w:r>
              <w:rPr>
                <w:spacing w:val="-2"/>
              </w:rPr>
              <w:t>路</w:t>
            </w:r>
            <w:r>
              <w:rPr>
                <w:spacing w:val="-55"/>
              </w:rPr>
              <w:t xml:space="preserve"> </w:t>
            </w:r>
            <w:r>
              <w:rPr>
                <w:spacing w:val="-2"/>
              </w:rPr>
              <w:t>混</w:t>
            </w:r>
            <w:r>
              <w:rPr>
                <w:spacing w:val="-58"/>
              </w:rPr>
              <w:t xml:space="preserve"> </w:t>
            </w:r>
            <w:r>
              <w:rPr>
                <w:spacing w:val="-2"/>
              </w:rPr>
              <w:t>合</w:t>
            </w:r>
            <w:r>
              <w:rPr>
                <w:spacing w:val="-58"/>
              </w:rPr>
              <w:t xml:space="preserve"> </w:t>
            </w:r>
            <w:r>
              <w:rPr>
                <w:spacing w:val="-2"/>
              </w:rPr>
              <w:t>架</w:t>
            </w:r>
            <w:r>
              <w:rPr>
                <w:spacing w:val="-55"/>
              </w:rPr>
              <w:t xml:space="preserve"> </w:t>
            </w:r>
            <w:r>
              <w:rPr>
                <w:spacing w:val="-2"/>
              </w:rPr>
              <w:t>设</w:t>
            </w:r>
            <w:r>
              <w:rPr>
                <w:spacing w:val="-39"/>
              </w:rPr>
              <w:t xml:space="preserve"> </w:t>
            </w:r>
            <w:r>
              <w:rPr>
                <w:spacing w:val="-2"/>
              </w:rPr>
              <w:t>，</w:t>
            </w:r>
            <w:r>
              <w:rPr>
                <w:spacing w:val="-58"/>
              </w:rPr>
              <w:t xml:space="preserve"> </w:t>
            </w:r>
            <w:r>
              <w:rPr>
                <w:rFonts w:ascii="Times New Roman" w:hAnsi="Times New Roman" w:eastAsia="Times New Roman" w:cs="Times New Roman"/>
                <w:spacing w:val="-2"/>
              </w:rPr>
              <w:t xml:space="preserve">220kV  </w:t>
            </w:r>
            <w:r>
              <w:rPr>
                <w:spacing w:val="-2"/>
              </w:rPr>
              <w:t>芳</w:t>
            </w:r>
            <w:r>
              <w:rPr>
                <w:spacing w:val="-57"/>
              </w:rPr>
              <w:t xml:space="preserve"> </w:t>
            </w:r>
            <w:r>
              <w:rPr>
                <w:spacing w:val="-2"/>
              </w:rPr>
              <w:t>华</w:t>
            </w:r>
            <w:r>
              <w:rPr>
                <w:spacing w:val="-59"/>
              </w:rPr>
              <w:t xml:space="preserve"> </w:t>
            </w:r>
            <w:r>
              <w:rPr>
                <w:spacing w:val="-2"/>
              </w:rPr>
              <w:t>变</w:t>
            </w:r>
            <w:r>
              <w:rPr>
                <w:spacing w:val="-40"/>
              </w:rPr>
              <w:t xml:space="preserve"> </w:t>
            </w:r>
            <w:r>
              <w:rPr>
                <w:spacing w:val="-2"/>
              </w:rPr>
              <w:t>出</w:t>
            </w:r>
            <w:r>
              <w:rPr>
                <w:spacing w:val="-56"/>
              </w:rPr>
              <w:t xml:space="preserve"> </w:t>
            </w:r>
            <w:r>
              <w:rPr>
                <w:spacing w:val="-2"/>
              </w:rPr>
              <w:t>线</w:t>
            </w:r>
            <w:r>
              <w:rPr>
                <w:spacing w:val="-58"/>
              </w:rPr>
              <w:t xml:space="preserve"> </w:t>
            </w:r>
            <w:r>
              <w:rPr>
                <w:spacing w:val="-2"/>
              </w:rPr>
              <w:t>段</w:t>
            </w:r>
            <w:r>
              <w:rPr>
                <w:rFonts w:ascii="Times New Roman" w:hAnsi="Times New Roman" w:eastAsia="Times New Roman" w:cs="Times New Roman"/>
                <w:spacing w:val="5"/>
              </w:rPr>
              <w:t>6.36</w:t>
            </w:r>
            <w:r>
              <w:rPr>
                <w:rFonts w:ascii="Times New Roman" w:hAnsi="Times New Roman" w:eastAsia="Times New Roman" w:cs="Times New Roman"/>
              </w:rPr>
              <w:t>km</w:t>
            </w:r>
            <w:r>
              <w:rPr>
                <w:rFonts w:ascii="Times New Roman" w:hAnsi="Times New Roman" w:eastAsia="Times New Roman" w:cs="Times New Roman"/>
                <w:spacing w:val="5"/>
              </w:rPr>
              <w:t xml:space="preserve"> </w:t>
            </w:r>
            <w:r>
              <w:rPr>
                <w:spacing w:val="5"/>
              </w:rPr>
              <w:t>采用双回路架设单边挂线，其余段</w:t>
            </w:r>
            <w:r>
              <w:rPr>
                <w:spacing w:val="8"/>
              </w:rPr>
              <w:t>采用单回路架设。线路全长</w:t>
            </w:r>
            <w:r>
              <w:rPr>
                <w:spacing w:val="-19"/>
              </w:rPr>
              <w:t xml:space="preserve"> </w:t>
            </w:r>
            <w:r>
              <w:rPr>
                <w:rFonts w:ascii="Times New Roman" w:hAnsi="Times New Roman" w:eastAsia="Times New Roman" w:cs="Times New Roman"/>
                <w:spacing w:val="8"/>
              </w:rPr>
              <w:t>10.25</w:t>
            </w:r>
            <w:r>
              <w:rPr>
                <w:rFonts w:ascii="Times New Roman" w:hAnsi="Times New Roman" w:eastAsia="Times New Roman" w:cs="Times New Roman"/>
              </w:rPr>
              <w:t>km</w:t>
            </w:r>
            <w:r>
              <w:rPr>
                <w:rFonts w:ascii="Times New Roman" w:hAnsi="Times New Roman" w:eastAsia="Times New Roman" w:cs="Times New Roman"/>
                <w:spacing w:val="-20"/>
              </w:rPr>
              <w:t xml:space="preserve"> </w:t>
            </w:r>
            <w:r>
              <w:rPr>
                <w:spacing w:val="8"/>
              </w:rPr>
              <w:t>，导</w:t>
            </w:r>
            <w:r>
              <w:rPr>
                <w:spacing w:val="5"/>
              </w:rPr>
              <w:t>线截面</w:t>
            </w:r>
            <w:r>
              <w:rPr>
                <w:spacing w:val="-34"/>
              </w:rPr>
              <w:t xml:space="preserve"> </w:t>
            </w:r>
            <w:r>
              <w:rPr>
                <w:rFonts w:ascii="Times New Roman" w:hAnsi="Times New Roman" w:eastAsia="Times New Roman" w:cs="Times New Roman"/>
                <w:spacing w:val="5"/>
              </w:rPr>
              <w:t>300</w:t>
            </w:r>
            <w:r>
              <w:rPr>
                <w:rFonts w:ascii="Times New Roman" w:hAnsi="Times New Roman" w:eastAsia="Times New Roman" w:cs="Times New Roman"/>
              </w:rPr>
              <w:t>mm</w:t>
            </w:r>
            <w:r>
              <w:rPr>
                <w:rFonts w:ascii="Times New Roman" w:hAnsi="Times New Roman" w:eastAsia="Times New Roman" w:cs="Times New Roman"/>
                <w:spacing w:val="5"/>
                <w:position w:val="6"/>
                <w:sz w:val="13"/>
                <w:szCs w:val="13"/>
              </w:rPr>
              <w:t>2</w:t>
            </w:r>
            <w:r>
              <w:rPr>
                <w:rFonts w:ascii="Times New Roman" w:hAnsi="Times New Roman" w:eastAsia="Times New Roman" w:cs="Times New Roman"/>
                <w:spacing w:val="-5"/>
                <w:position w:val="6"/>
                <w:sz w:val="13"/>
                <w:szCs w:val="13"/>
              </w:rPr>
              <w:t xml:space="preserve"> </w:t>
            </w:r>
            <w:r>
              <w:rPr>
                <w:spacing w:val="5"/>
              </w:rPr>
              <w:t>；全线共</w:t>
            </w:r>
            <w:r>
              <w:rPr>
                <w:spacing w:val="-43"/>
              </w:rPr>
              <w:t xml:space="preserve"> </w:t>
            </w:r>
            <w:r>
              <w:rPr>
                <w:rFonts w:ascii="Times New Roman" w:hAnsi="Times New Roman" w:eastAsia="Times New Roman" w:cs="Times New Roman"/>
                <w:spacing w:val="5"/>
              </w:rPr>
              <w:t xml:space="preserve">29 </w:t>
            </w:r>
            <w:r>
              <w:rPr>
                <w:spacing w:val="5"/>
              </w:rPr>
              <w:t>基塔杆。</w:t>
            </w:r>
          </w:p>
          <w:p w14:paraId="008E0677">
            <w:pPr>
              <w:pStyle w:val="6"/>
              <w:spacing w:before="2"/>
              <w:ind w:left="113" w:right="32" w:hanging="4"/>
            </w:pPr>
            <w:r>
              <w:rPr>
                <w:spacing w:val="-4"/>
              </w:rPr>
              <w:t>②</w:t>
            </w:r>
            <w:r>
              <w:rPr>
                <w:rFonts w:ascii="Times New Roman" w:hAnsi="Times New Roman" w:eastAsia="Times New Roman" w:cs="Times New Roman"/>
                <w:spacing w:val="-4"/>
              </w:rPr>
              <w:t>110kV</w:t>
            </w:r>
            <w:r>
              <w:rPr>
                <w:rFonts w:ascii="Times New Roman" w:hAnsi="Times New Roman" w:eastAsia="Times New Roman" w:cs="Times New Roman"/>
                <w:spacing w:val="46"/>
              </w:rPr>
              <w:t xml:space="preserve"> </w:t>
            </w:r>
            <w:r>
              <w:rPr>
                <w:spacing w:val="-4"/>
              </w:rPr>
              <w:t>松</w:t>
            </w:r>
            <w:r>
              <w:rPr>
                <w:spacing w:val="-38"/>
              </w:rPr>
              <w:t xml:space="preserve"> </w:t>
            </w:r>
            <w:r>
              <w:rPr>
                <w:spacing w:val="-4"/>
              </w:rPr>
              <w:t>山</w:t>
            </w:r>
            <w:r>
              <w:rPr>
                <w:spacing w:val="-58"/>
              </w:rPr>
              <w:t xml:space="preserve"> </w:t>
            </w:r>
            <w:r>
              <w:rPr>
                <w:spacing w:val="-4"/>
              </w:rPr>
              <w:t xml:space="preserve">变 </w:t>
            </w:r>
            <w:r>
              <w:rPr>
                <w:rFonts w:ascii="Times New Roman" w:hAnsi="Times New Roman" w:eastAsia="Times New Roman" w:cs="Times New Roman"/>
                <w:spacing w:val="-4"/>
              </w:rPr>
              <w:t>T</w:t>
            </w:r>
            <w:r>
              <w:rPr>
                <w:rFonts w:ascii="Times New Roman" w:hAnsi="Times New Roman" w:eastAsia="Times New Roman" w:cs="Times New Roman"/>
                <w:spacing w:val="43"/>
                <w:w w:val="101"/>
              </w:rPr>
              <w:t xml:space="preserve"> </w:t>
            </w:r>
            <w:r>
              <w:rPr>
                <w:spacing w:val="-4"/>
              </w:rPr>
              <w:t>接</w:t>
            </w:r>
            <w:r>
              <w:rPr>
                <w:spacing w:val="-51"/>
              </w:rPr>
              <w:t xml:space="preserve"> </w:t>
            </w:r>
            <w:r>
              <w:rPr>
                <w:spacing w:val="-4"/>
              </w:rPr>
              <w:t>芳</w:t>
            </w:r>
            <w:r>
              <w:rPr>
                <w:spacing w:val="-55"/>
              </w:rPr>
              <w:t xml:space="preserve"> </w:t>
            </w:r>
            <w:r>
              <w:rPr>
                <w:spacing w:val="-4"/>
              </w:rPr>
              <w:t>华</w:t>
            </w:r>
            <w:r>
              <w:rPr>
                <w:spacing w:val="-58"/>
              </w:rPr>
              <w:t xml:space="preserve"> </w:t>
            </w:r>
            <w:r>
              <w:rPr>
                <w:spacing w:val="-4"/>
              </w:rPr>
              <w:t>变</w:t>
            </w:r>
            <w:r>
              <w:rPr>
                <w:spacing w:val="-38"/>
              </w:rPr>
              <w:t xml:space="preserve"> </w:t>
            </w:r>
            <w:r>
              <w:rPr>
                <w:spacing w:val="-4"/>
              </w:rPr>
              <w:t>出</w:t>
            </w:r>
            <w:r>
              <w:rPr>
                <w:spacing w:val="-54"/>
              </w:rPr>
              <w:t xml:space="preserve"> </w:t>
            </w:r>
            <w:r>
              <w:rPr>
                <w:spacing w:val="-4"/>
              </w:rPr>
              <w:t>线 π</w:t>
            </w:r>
            <w:r>
              <w:rPr>
                <w:spacing w:val="-57"/>
              </w:rPr>
              <w:t xml:space="preserve"> </w:t>
            </w:r>
            <w:r>
              <w:rPr>
                <w:spacing w:val="-4"/>
              </w:rPr>
              <w:t>接</w:t>
            </w:r>
            <w:r>
              <w:rPr>
                <w:rFonts w:ascii="Times New Roman" w:hAnsi="Times New Roman" w:eastAsia="Times New Roman" w:cs="Times New Roman"/>
                <w:spacing w:val="-1"/>
              </w:rPr>
              <w:t xml:space="preserve">110kV </w:t>
            </w:r>
            <w:r>
              <w:rPr>
                <w:spacing w:val="-1"/>
              </w:rPr>
              <w:t>吉中线的</w:t>
            </w:r>
            <w:r>
              <w:rPr>
                <w:spacing w:val="-30"/>
              </w:rPr>
              <w:t xml:space="preserve"> </w:t>
            </w:r>
            <w:r>
              <w:rPr>
                <w:rFonts w:ascii="Times New Roman" w:hAnsi="Times New Roman" w:eastAsia="Times New Roman" w:cs="Times New Roman"/>
                <w:spacing w:val="-1"/>
              </w:rPr>
              <w:t xml:space="preserve">110kV </w:t>
            </w:r>
            <w:r>
              <w:rPr>
                <w:spacing w:val="-1"/>
              </w:rPr>
              <w:t>线路。单回路架设。</w:t>
            </w:r>
            <w:r>
              <w:rPr>
                <w:spacing w:val="5"/>
              </w:rPr>
              <w:t>线路全长</w:t>
            </w:r>
            <w:r>
              <w:rPr>
                <w:spacing w:val="-29"/>
              </w:rPr>
              <w:t xml:space="preserve"> </w:t>
            </w:r>
            <w:r>
              <w:rPr>
                <w:rFonts w:ascii="Times New Roman" w:hAnsi="Times New Roman" w:eastAsia="Times New Roman" w:cs="Times New Roman"/>
                <w:spacing w:val="5"/>
              </w:rPr>
              <w:t>5.78</w:t>
            </w:r>
            <w:r>
              <w:rPr>
                <w:rFonts w:ascii="Times New Roman" w:hAnsi="Times New Roman" w:eastAsia="Times New Roman" w:cs="Times New Roman"/>
              </w:rPr>
              <w:t>km</w:t>
            </w:r>
            <w:r>
              <w:rPr>
                <w:rFonts w:ascii="Times New Roman" w:hAnsi="Times New Roman" w:eastAsia="Times New Roman" w:cs="Times New Roman"/>
                <w:spacing w:val="-24"/>
              </w:rPr>
              <w:t xml:space="preserve"> </w:t>
            </w:r>
            <w:r>
              <w:rPr>
                <w:spacing w:val="5"/>
              </w:rPr>
              <w:t>，导线截面</w:t>
            </w:r>
            <w:r>
              <w:rPr>
                <w:spacing w:val="-38"/>
              </w:rPr>
              <w:t xml:space="preserve"> </w:t>
            </w:r>
            <w:r>
              <w:rPr>
                <w:rFonts w:ascii="Times New Roman" w:hAnsi="Times New Roman" w:eastAsia="Times New Roman" w:cs="Times New Roman"/>
                <w:spacing w:val="5"/>
              </w:rPr>
              <w:t>240</w:t>
            </w:r>
            <w:r>
              <w:rPr>
                <w:rFonts w:ascii="Times New Roman" w:hAnsi="Times New Roman" w:eastAsia="Times New Roman" w:cs="Times New Roman"/>
              </w:rPr>
              <w:t>mm</w:t>
            </w:r>
            <w:r>
              <w:rPr>
                <w:rFonts w:ascii="Times New Roman" w:hAnsi="Times New Roman" w:eastAsia="Times New Roman" w:cs="Times New Roman"/>
                <w:spacing w:val="5"/>
                <w:position w:val="6"/>
                <w:sz w:val="13"/>
                <w:szCs w:val="13"/>
              </w:rPr>
              <w:t>2</w:t>
            </w:r>
            <w:r>
              <w:rPr>
                <w:rFonts w:ascii="Times New Roman" w:hAnsi="Times New Roman" w:eastAsia="Times New Roman" w:cs="Times New Roman"/>
                <w:spacing w:val="-5"/>
                <w:position w:val="6"/>
                <w:sz w:val="13"/>
                <w:szCs w:val="13"/>
              </w:rPr>
              <w:t xml:space="preserve"> </w:t>
            </w:r>
            <w:r>
              <w:rPr>
                <w:spacing w:val="5"/>
              </w:rPr>
              <w:t>；全</w:t>
            </w:r>
            <w:r>
              <w:rPr>
                <w:spacing w:val="2"/>
              </w:rPr>
              <w:t>线共</w:t>
            </w:r>
            <w:r>
              <w:rPr>
                <w:spacing w:val="-17"/>
              </w:rPr>
              <w:t xml:space="preserve"> </w:t>
            </w:r>
            <w:r>
              <w:rPr>
                <w:rFonts w:ascii="Times New Roman" w:hAnsi="Times New Roman" w:eastAsia="Times New Roman" w:cs="Times New Roman"/>
                <w:spacing w:val="2"/>
              </w:rPr>
              <w:t xml:space="preserve">16 </w:t>
            </w:r>
            <w:r>
              <w:rPr>
                <w:spacing w:val="2"/>
              </w:rPr>
              <w:t>基塔杆。</w:t>
            </w:r>
          </w:p>
        </w:tc>
        <w:tc>
          <w:tcPr>
            <w:tcW w:w="958" w:type="dxa"/>
            <w:tcBorders>
              <w:top w:val="single" w:color="000000" w:sz="6" w:space="0"/>
            </w:tcBorders>
            <w:vAlign w:val="top"/>
          </w:tcPr>
          <w:p w14:paraId="10A31F3B">
            <w:pPr>
              <w:spacing w:line="388" w:lineRule="auto"/>
              <w:rPr>
                <w:rFonts w:ascii="Arial"/>
                <w:sz w:val="21"/>
              </w:rPr>
            </w:pPr>
          </w:p>
          <w:p w14:paraId="48B332C0">
            <w:pPr>
              <w:pStyle w:val="6"/>
              <w:spacing w:before="65" w:line="251" w:lineRule="auto"/>
              <w:ind w:left="119" w:right="101" w:hanging="2"/>
            </w:pPr>
            <w:r>
              <w:t>施</w:t>
            </w:r>
            <w:r>
              <w:rPr>
                <w:spacing w:val="-32"/>
              </w:rPr>
              <w:t xml:space="preserve"> </w:t>
            </w:r>
            <w:r>
              <w:t>工</w:t>
            </w:r>
            <w:r>
              <w:rPr>
                <w:spacing w:val="-35"/>
              </w:rPr>
              <w:t xml:space="preserve"> </w:t>
            </w:r>
            <w:r>
              <w:t>扬</w:t>
            </w:r>
            <w:r>
              <w:rPr>
                <w:spacing w:val="-18"/>
              </w:rPr>
              <w:t>尘、施工</w:t>
            </w:r>
          </w:p>
          <w:p w14:paraId="7094D3EA">
            <w:pPr>
              <w:pStyle w:val="6"/>
              <w:spacing w:line="228" w:lineRule="auto"/>
              <w:ind w:left="127"/>
            </w:pPr>
            <w:r>
              <w:rPr>
                <w:spacing w:val="-19"/>
              </w:rPr>
              <w:t>噪声、生</w:t>
            </w:r>
          </w:p>
          <w:p w14:paraId="16BE7BAC">
            <w:pPr>
              <w:pStyle w:val="6"/>
              <w:spacing w:before="22" w:line="253" w:lineRule="auto"/>
              <w:ind w:left="117" w:right="40" w:firstLine="4"/>
              <w:jc w:val="both"/>
            </w:pPr>
            <w:r>
              <w:rPr>
                <w:spacing w:val="-3"/>
              </w:rPr>
              <w:t>活污水、</w:t>
            </w:r>
            <w:r>
              <w:rPr>
                <w:spacing w:val="1"/>
              </w:rPr>
              <w:t>固</w:t>
            </w:r>
            <w:r>
              <w:rPr>
                <w:spacing w:val="-35"/>
              </w:rPr>
              <w:t xml:space="preserve"> </w:t>
            </w:r>
            <w:r>
              <w:rPr>
                <w:spacing w:val="1"/>
              </w:rPr>
              <w:t>体</w:t>
            </w:r>
            <w:r>
              <w:rPr>
                <w:spacing w:val="-35"/>
              </w:rPr>
              <w:t xml:space="preserve"> </w:t>
            </w:r>
            <w:r>
              <w:rPr>
                <w:spacing w:val="1"/>
              </w:rPr>
              <w:t>废</w:t>
            </w:r>
            <w:r>
              <w:rPr>
                <w:spacing w:val="-17"/>
              </w:rPr>
              <w:t>物、植被</w:t>
            </w:r>
            <w:r>
              <w:rPr>
                <w:spacing w:val="3"/>
              </w:rPr>
              <w:t>破坏；</w:t>
            </w:r>
          </w:p>
        </w:tc>
        <w:tc>
          <w:tcPr>
            <w:tcW w:w="852" w:type="dxa"/>
            <w:tcBorders>
              <w:top w:val="single" w:color="000000" w:sz="6" w:space="0"/>
            </w:tcBorders>
            <w:vAlign w:val="top"/>
          </w:tcPr>
          <w:p w14:paraId="01EB333B">
            <w:pPr>
              <w:spacing w:line="328" w:lineRule="auto"/>
              <w:rPr>
                <w:rFonts w:ascii="Arial"/>
                <w:sz w:val="21"/>
              </w:rPr>
            </w:pPr>
          </w:p>
          <w:p w14:paraId="20BFF311">
            <w:pPr>
              <w:spacing w:line="329" w:lineRule="auto"/>
              <w:rPr>
                <w:rFonts w:ascii="Arial"/>
                <w:sz w:val="21"/>
              </w:rPr>
            </w:pPr>
          </w:p>
          <w:p w14:paraId="5B78D657">
            <w:pPr>
              <w:pStyle w:val="6"/>
              <w:spacing w:before="65" w:line="252" w:lineRule="auto"/>
              <w:ind w:left="119" w:right="99" w:firstLine="3"/>
              <w:jc w:val="both"/>
            </w:pPr>
            <w:r>
              <w:rPr>
                <w:spacing w:val="8"/>
              </w:rPr>
              <w:t>工频电</w:t>
            </w:r>
            <w:r>
              <w:rPr>
                <w:spacing w:val="9"/>
              </w:rPr>
              <w:t>场、工</w:t>
            </w:r>
            <w:r>
              <w:rPr>
                <w:spacing w:val="1"/>
              </w:rPr>
              <w:t>频</w:t>
            </w:r>
            <w:r>
              <w:rPr>
                <w:spacing w:val="13"/>
              </w:rPr>
              <w:t xml:space="preserve">  </w:t>
            </w:r>
            <w:r>
              <w:rPr>
                <w:spacing w:val="1"/>
              </w:rPr>
              <w:t>磁</w:t>
            </w:r>
            <w:r>
              <w:rPr>
                <w:spacing w:val="9"/>
              </w:rPr>
              <w:t>场、噪</w:t>
            </w:r>
            <w:r>
              <w:t>声；</w:t>
            </w:r>
          </w:p>
        </w:tc>
        <w:tc>
          <w:tcPr>
            <w:tcW w:w="122" w:type="dxa"/>
            <w:tcBorders>
              <w:top w:val="single" w:color="000000" w:sz="6" w:space="0"/>
              <w:bottom w:val="nil"/>
              <w:right w:val="single" w:color="000000" w:sz="6" w:space="0"/>
            </w:tcBorders>
            <w:vAlign w:val="top"/>
          </w:tcPr>
          <w:p w14:paraId="4DA2C545">
            <w:pPr>
              <w:rPr>
                <w:rFonts w:ascii="Arial"/>
                <w:sz w:val="21"/>
              </w:rPr>
            </w:pPr>
          </w:p>
        </w:tc>
      </w:tr>
      <w:tr w14:paraId="0B602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1" w:hRule="atLeast"/>
        </w:trPr>
        <w:tc>
          <w:tcPr>
            <w:tcW w:w="375" w:type="dxa"/>
            <w:vMerge w:val="continue"/>
            <w:tcBorders>
              <w:top w:val="nil"/>
              <w:left w:val="single" w:color="000000" w:sz="6" w:space="0"/>
              <w:bottom w:val="nil"/>
              <w:right w:val="single" w:color="000000" w:sz="6" w:space="0"/>
            </w:tcBorders>
            <w:vAlign w:val="top"/>
          </w:tcPr>
          <w:p w14:paraId="576FA18B">
            <w:pPr>
              <w:rPr>
                <w:rFonts w:ascii="Arial"/>
                <w:sz w:val="21"/>
              </w:rPr>
            </w:pPr>
          </w:p>
        </w:tc>
        <w:tc>
          <w:tcPr>
            <w:tcW w:w="113" w:type="dxa"/>
            <w:tcBorders>
              <w:top w:val="nil"/>
              <w:left w:val="single" w:color="000000" w:sz="6" w:space="0"/>
              <w:bottom w:val="nil"/>
            </w:tcBorders>
            <w:vAlign w:val="top"/>
          </w:tcPr>
          <w:p w14:paraId="770BF293">
            <w:pPr>
              <w:rPr>
                <w:rFonts w:ascii="Arial"/>
                <w:sz w:val="21"/>
              </w:rPr>
            </w:pPr>
          </w:p>
        </w:tc>
        <w:tc>
          <w:tcPr>
            <w:tcW w:w="457" w:type="dxa"/>
            <w:vMerge w:val="continue"/>
            <w:tcBorders>
              <w:top w:val="nil"/>
              <w:bottom w:val="nil"/>
            </w:tcBorders>
            <w:textDirection w:val="tbRlV"/>
            <w:vAlign w:val="top"/>
          </w:tcPr>
          <w:p w14:paraId="620A7EDA">
            <w:pPr>
              <w:rPr>
                <w:rFonts w:ascii="Arial"/>
                <w:sz w:val="21"/>
              </w:rPr>
            </w:pPr>
          </w:p>
        </w:tc>
        <w:tc>
          <w:tcPr>
            <w:tcW w:w="1660" w:type="dxa"/>
            <w:vAlign w:val="top"/>
          </w:tcPr>
          <w:p w14:paraId="35FCBEC7">
            <w:pPr>
              <w:spacing w:line="325" w:lineRule="auto"/>
              <w:rPr>
                <w:rFonts w:ascii="Arial"/>
                <w:sz w:val="21"/>
              </w:rPr>
            </w:pPr>
          </w:p>
          <w:p w14:paraId="119AB89A">
            <w:pPr>
              <w:spacing w:line="326" w:lineRule="auto"/>
              <w:rPr>
                <w:rFonts w:ascii="Arial"/>
                <w:sz w:val="21"/>
              </w:rPr>
            </w:pPr>
          </w:p>
          <w:p w14:paraId="0FD64404">
            <w:pPr>
              <w:pStyle w:val="6"/>
              <w:spacing w:before="65" w:line="228" w:lineRule="auto"/>
              <w:ind w:left="108"/>
            </w:pPr>
            <w:r>
              <w:rPr>
                <w:spacing w:val="4"/>
              </w:rPr>
              <w:t>新建</w:t>
            </w:r>
            <w:r>
              <w:rPr>
                <w:spacing w:val="-36"/>
              </w:rPr>
              <w:t xml:space="preserve"> </w:t>
            </w:r>
            <w:r>
              <w:rPr>
                <w:rFonts w:ascii="Times New Roman" w:hAnsi="Times New Roman" w:eastAsia="Times New Roman" w:cs="Times New Roman"/>
                <w:spacing w:val="4"/>
              </w:rPr>
              <w:t>35</w:t>
            </w:r>
            <w:r>
              <w:rPr>
                <w:rFonts w:ascii="Times New Roman" w:hAnsi="Times New Roman" w:eastAsia="Times New Roman" w:cs="Times New Roman"/>
              </w:rPr>
              <w:t>kV</w:t>
            </w:r>
            <w:r>
              <w:rPr>
                <w:rFonts w:ascii="Times New Roman" w:hAnsi="Times New Roman" w:eastAsia="Times New Roman" w:cs="Times New Roman"/>
                <w:spacing w:val="16"/>
                <w:w w:val="101"/>
              </w:rPr>
              <w:t xml:space="preserve"> </w:t>
            </w:r>
            <w:r>
              <w:rPr>
                <w:spacing w:val="4"/>
              </w:rPr>
              <w:t>线路</w:t>
            </w:r>
          </w:p>
        </w:tc>
        <w:tc>
          <w:tcPr>
            <w:tcW w:w="3987" w:type="dxa"/>
            <w:vAlign w:val="top"/>
          </w:tcPr>
          <w:p w14:paraId="3753071E">
            <w:pPr>
              <w:pStyle w:val="6"/>
              <w:spacing w:before="41" w:line="228" w:lineRule="auto"/>
              <w:ind w:left="112"/>
            </w:pPr>
            <w:r>
              <w:rPr>
                <w:b/>
                <w:bCs/>
                <w:spacing w:val="-1"/>
              </w:rPr>
              <w:t>新建</w:t>
            </w:r>
            <w:r>
              <w:rPr>
                <w:spacing w:val="-37"/>
              </w:rPr>
              <w:t xml:space="preserve"> </w:t>
            </w:r>
            <w:r>
              <w:rPr>
                <w:rFonts w:ascii="Times New Roman" w:hAnsi="Times New Roman" w:eastAsia="Times New Roman" w:cs="Times New Roman"/>
                <w:b/>
                <w:bCs/>
                <w:spacing w:val="-1"/>
              </w:rPr>
              <w:t>35kV</w:t>
            </w:r>
            <w:r>
              <w:rPr>
                <w:rFonts w:ascii="Times New Roman" w:hAnsi="Times New Roman" w:eastAsia="Times New Roman" w:cs="Times New Roman"/>
                <w:b/>
                <w:bCs/>
                <w:spacing w:val="14"/>
              </w:rPr>
              <w:t xml:space="preserve"> </w:t>
            </w:r>
            <w:r>
              <w:rPr>
                <w:b/>
                <w:bCs/>
                <w:spacing w:val="-1"/>
              </w:rPr>
              <w:t>线路</w:t>
            </w:r>
            <w:r>
              <w:rPr>
                <w:spacing w:val="-31"/>
              </w:rPr>
              <w:t xml:space="preserve"> </w:t>
            </w:r>
            <w:r>
              <w:rPr>
                <w:rFonts w:ascii="Times New Roman" w:hAnsi="Times New Roman" w:eastAsia="Times New Roman" w:cs="Times New Roman"/>
                <w:b/>
                <w:bCs/>
                <w:spacing w:val="-1"/>
              </w:rPr>
              <w:t>1</w:t>
            </w:r>
            <w:r>
              <w:rPr>
                <w:rFonts w:ascii="Times New Roman" w:hAnsi="Times New Roman" w:eastAsia="Times New Roman" w:cs="Times New Roman"/>
                <w:b/>
                <w:bCs/>
                <w:spacing w:val="30"/>
              </w:rPr>
              <w:t xml:space="preserve"> </w:t>
            </w:r>
            <w:r>
              <w:rPr>
                <w:b/>
                <w:bCs/>
                <w:spacing w:val="-1"/>
              </w:rPr>
              <w:t>回：</w:t>
            </w:r>
          </w:p>
          <w:p w14:paraId="0171F23A">
            <w:pPr>
              <w:pStyle w:val="6"/>
              <w:spacing w:before="24" w:line="228" w:lineRule="auto"/>
              <w:ind w:left="127"/>
            </w:pP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松山变</w:t>
            </w:r>
            <w:r>
              <w:rPr>
                <w:spacing w:val="-39"/>
              </w:rPr>
              <w:t xml:space="preserve"> </w:t>
            </w:r>
            <w:r>
              <w:rPr>
                <w:rFonts w:ascii="Times New Roman" w:hAnsi="Times New Roman" w:eastAsia="Times New Roman" w:cs="Times New Roman"/>
                <w:spacing w:val="5"/>
              </w:rPr>
              <w:t xml:space="preserve">T </w:t>
            </w:r>
            <w:r>
              <w:rPr>
                <w:spacing w:val="5"/>
              </w:rPr>
              <w:t>接</w:t>
            </w:r>
            <w:r>
              <w:rPr>
                <w:spacing w:val="-37"/>
              </w:rPr>
              <w:t xml:space="preserve"> </w:t>
            </w:r>
            <w:r>
              <w:rPr>
                <w:rFonts w:ascii="Times New Roman" w:hAnsi="Times New Roman" w:eastAsia="Times New Roman" w:cs="Times New Roman"/>
                <w:spacing w:val="5"/>
              </w:rPr>
              <w:t>35</w:t>
            </w:r>
            <w:r>
              <w:rPr>
                <w:rFonts w:ascii="Times New Roman" w:hAnsi="Times New Roman" w:eastAsia="Times New Roman" w:cs="Times New Roman"/>
              </w:rPr>
              <w:t>kV</w:t>
            </w:r>
            <w:r>
              <w:rPr>
                <w:rFonts w:ascii="Times New Roman" w:hAnsi="Times New Roman" w:eastAsia="Times New Roman" w:cs="Times New Roman"/>
                <w:spacing w:val="13"/>
              </w:rPr>
              <w:t xml:space="preserve"> </w:t>
            </w:r>
            <w:r>
              <w:rPr>
                <w:spacing w:val="5"/>
              </w:rPr>
              <w:t>金瑞达瓷业线，</w:t>
            </w:r>
          </w:p>
          <w:p w14:paraId="60E39174">
            <w:pPr>
              <w:pStyle w:val="6"/>
              <w:spacing w:before="25" w:line="251" w:lineRule="auto"/>
              <w:ind w:left="110" w:right="103" w:firstLine="2"/>
            </w:pPr>
            <w:r>
              <w:rPr>
                <w:spacing w:val="4"/>
              </w:rPr>
              <w:t>单回路架设（除</w:t>
            </w:r>
            <w:r>
              <w:rPr>
                <w:spacing w:val="-17"/>
              </w:rPr>
              <w:t xml:space="preserve"> </w:t>
            </w: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15"/>
              </w:rPr>
              <w:t xml:space="preserve"> </w:t>
            </w:r>
            <w:r>
              <w:rPr>
                <w:spacing w:val="4"/>
              </w:rPr>
              <w:t>松山变出线终端塔</w:t>
            </w:r>
            <w:r>
              <w:rPr>
                <w:spacing w:val="8"/>
              </w:rPr>
              <w:t>采用双回路架设单边挂线</w:t>
            </w:r>
            <w:r>
              <w:rPr>
                <w:spacing w:val="20"/>
              </w:rPr>
              <w:t>），</w:t>
            </w:r>
            <w:r>
              <w:rPr>
                <w:spacing w:val="8"/>
              </w:rPr>
              <w:t>线路全长</w:t>
            </w:r>
          </w:p>
          <w:p w14:paraId="37D37005">
            <w:pPr>
              <w:pStyle w:val="6"/>
              <w:spacing w:before="1" w:line="231" w:lineRule="auto"/>
              <w:ind w:left="110" w:right="103"/>
            </w:pPr>
            <w:r>
              <w:rPr>
                <w:rFonts w:ascii="Times New Roman" w:hAnsi="Times New Roman" w:eastAsia="Times New Roman" w:cs="Times New Roman"/>
                <w:spacing w:val="2"/>
              </w:rPr>
              <w:t>0.</w:t>
            </w:r>
            <w:r>
              <w:rPr>
                <w:rFonts w:ascii="Times New Roman" w:hAnsi="Times New Roman" w:eastAsia="Times New Roman" w:cs="Times New Roman"/>
                <w:spacing w:val="-25"/>
              </w:rPr>
              <w:t xml:space="preserve"> </w:t>
            </w:r>
            <w:r>
              <w:rPr>
                <w:rFonts w:ascii="Times New Roman" w:hAnsi="Times New Roman" w:eastAsia="Times New Roman" w:cs="Times New Roman"/>
                <w:spacing w:val="2"/>
              </w:rPr>
              <w:t>165</w:t>
            </w:r>
            <w:r>
              <w:rPr>
                <w:rFonts w:ascii="Times New Roman" w:hAnsi="Times New Roman" w:eastAsia="Times New Roman" w:cs="Times New Roman"/>
              </w:rPr>
              <w:t>km</w:t>
            </w:r>
            <w:r>
              <w:rPr>
                <w:rFonts w:ascii="Times New Roman" w:hAnsi="Times New Roman" w:eastAsia="Times New Roman" w:cs="Times New Roman"/>
                <w:spacing w:val="-24"/>
              </w:rPr>
              <w:t xml:space="preserve"> </w:t>
            </w:r>
            <w:r>
              <w:rPr>
                <w:spacing w:val="2"/>
              </w:rPr>
              <w:t>，导线截面</w:t>
            </w:r>
            <w:r>
              <w:rPr>
                <w:spacing w:val="-41"/>
              </w:rPr>
              <w:t xml:space="preserve"> </w:t>
            </w:r>
            <w:r>
              <w:rPr>
                <w:rFonts w:ascii="Times New Roman" w:hAnsi="Times New Roman" w:eastAsia="Times New Roman" w:cs="Times New Roman"/>
                <w:spacing w:val="2"/>
              </w:rPr>
              <w:t>240</w:t>
            </w:r>
            <w:r>
              <w:rPr>
                <w:rFonts w:ascii="Times New Roman" w:hAnsi="Times New Roman" w:eastAsia="Times New Roman" w:cs="Times New Roman"/>
              </w:rPr>
              <w:t>mm</w:t>
            </w:r>
            <w:r>
              <w:rPr>
                <w:rFonts w:ascii="Times New Roman" w:hAnsi="Times New Roman" w:eastAsia="Times New Roman" w:cs="Times New Roman"/>
                <w:spacing w:val="2"/>
                <w:position w:val="6"/>
                <w:sz w:val="13"/>
                <w:szCs w:val="13"/>
              </w:rPr>
              <w:t>2</w:t>
            </w:r>
            <w:r>
              <w:rPr>
                <w:rFonts w:ascii="Times New Roman" w:hAnsi="Times New Roman" w:eastAsia="Times New Roman" w:cs="Times New Roman"/>
                <w:spacing w:val="-7"/>
                <w:position w:val="6"/>
                <w:sz w:val="13"/>
                <w:szCs w:val="13"/>
              </w:rPr>
              <w:t xml:space="preserve"> </w:t>
            </w:r>
            <w:r>
              <w:rPr>
                <w:spacing w:val="2"/>
              </w:rPr>
              <w:t>；全线共</w:t>
            </w:r>
            <w:r>
              <w:rPr>
                <w:spacing w:val="-41"/>
              </w:rPr>
              <w:t xml:space="preserve"> </w:t>
            </w:r>
            <w:r>
              <w:rPr>
                <w:rFonts w:ascii="Times New Roman" w:hAnsi="Times New Roman" w:eastAsia="Times New Roman" w:cs="Times New Roman"/>
                <w:spacing w:val="2"/>
              </w:rPr>
              <w:t>2</w:t>
            </w:r>
            <w:r>
              <w:rPr>
                <w:rFonts w:ascii="Times New Roman" w:hAnsi="Times New Roman" w:eastAsia="Times New Roman" w:cs="Times New Roman"/>
                <w:spacing w:val="1"/>
              </w:rPr>
              <w:t xml:space="preserve"> </w:t>
            </w:r>
            <w:r>
              <w:rPr>
                <w:spacing w:val="1"/>
              </w:rPr>
              <w:t>基</w:t>
            </w:r>
            <w:r>
              <w:rPr>
                <w:spacing w:val="3"/>
              </w:rPr>
              <w:t>塔杆。</w:t>
            </w:r>
          </w:p>
        </w:tc>
        <w:tc>
          <w:tcPr>
            <w:tcW w:w="958" w:type="dxa"/>
            <w:vMerge w:val="restart"/>
            <w:tcBorders>
              <w:bottom w:val="nil"/>
            </w:tcBorders>
            <w:vAlign w:val="top"/>
          </w:tcPr>
          <w:p w14:paraId="1D560635">
            <w:pPr>
              <w:spacing w:line="244" w:lineRule="auto"/>
              <w:rPr>
                <w:rFonts w:ascii="Arial"/>
                <w:sz w:val="21"/>
              </w:rPr>
            </w:pPr>
          </w:p>
          <w:p w14:paraId="18E795DF">
            <w:pPr>
              <w:spacing w:line="244" w:lineRule="auto"/>
              <w:rPr>
                <w:rFonts w:ascii="Arial"/>
                <w:sz w:val="21"/>
              </w:rPr>
            </w:pPr>
          </w:p>
          <w:p w14:paraId="3EEB0361">
            <w:pPr>
              <w:spacing w:line="244" w:lineRule="auto"/>
              <w:rPr>
                <w:rFonts w:ascii="Arial"/>
                <w:sz w:val="21"/>
              </w:rPr>
            </w:pPr>
          </w:p>
          <w:p w14:paraId="6A841CF5">
            <w:pPr>
              <w:spacing w:line="244" w:lineRule="auto"/>
              <w:rPr>
                <w:rFonts w:ascii="Arial"/>
                <w:sz w:val="21"/>
              </w:rPr>
            </w:pPr>
          </w:p>
          <w:p w14:paraId="712693A3">
            <w:pPr>
              <w:spacing w:line="244" w:lineRule="auto"/>
              <w:rPr>
                <w:rFonts w:ascii="Arial"/>
                <w:sz w:val="21"/>
              </w:rPr>
            </w:pPr>
          </w:p>
          <w:p w14:paraId="5D44BF73">
            <w:pPr>
              <w:spacing w:line="244" w:lineRule="auto"/>
              <w:rPr>
                <w:rFonts w:ascii="Arial"/>
                <w:sz w:val="21"/>
              </w:rPr>
            </w:pPr>
          </w:p>
          <w:p w14:paraId="4F8B4022">
            <w:pPr>
              <w:spacing w:line="244" w:lineRule="auto"/>
              <w:rPr>
                <w:rFonts w:ascii="Arial"/>
                <w:sz w:val="21"/>
              </w:rPr>
            </w:pPr>
          </w:p>
          <w:p w14:paraId="496453E6">
            <w:pPr>
              <w:spacing w:line="244" w:lineRule="auto"/>
              <w:rPr>
                <w:rFonts w:ascii="Arial"/>
                <w:sz w:val="21"/>
              </w:rPr>
            </w:pPr>
          </w:p>
          <w:p w14:paraId="63107505">
            <w:pPr>
              <w:spacing w:line="244" w:lineRule="auto"/>
              <w:rPr>
                <w:rFonts w:ascii="Arial"/>
                <w:sz w:val="21"/>
              </w:rPr>
            </w:pPr>
          </w:p>
          <w:p w14:paraId="2E5ED8DA">
            <w:pPr>
              <w:spacing w:line="245" w:lineRule="auto"/>
              <w:rPr>
                <w:rFonts w:ascii="Arial"/>
                <w:sz w:val="21"/>
              </w:rPr>
            </w:pPr>
          </w:p>
          <w:p w14:paraId="0D64B952">
            <w:pPr>
              <w:spacing w:line="245" w:lineRule="auto"/>
              <w:rPr>
                <w:rFonts w:ascii="Arial"/>
                <w:sz w:val="21"/>
              </w:rPr>
            </w:pPr>
          </w:p>
          <w:p w14:paraId="3C5CE838">
            <w:pPr>
              <w:pStyle w:val="6"/>
              <w:spacing w:before="65" w:line="252" w:lineRule="auto"/>
              <w:ind w:left="117" w:right="40"/>
              <w:jc w:val="both"/>
            </w:pPr>
            <w:r>
              <w:t>施</w:t>
            </w:r>
            <w:r>
              <w:rPr>
                <w:spacing w:val="-32"/>
              </w:rPr>
              <w:t xml:space="preserve"> </w:t>
            </w:r>
            <w:r>
              <w:t>工</w:t>
            </w:r>
            <w:r>
              <w:rPr>
                <w:spacing w:val="-35"/>
              </w:rPr>
              <w:t xml:space="preserve"> </w:t>
            </w:r>
            <w:r>
              <w:t>扬</w:t>
            </w:r>
            <w:r>
              <w:rPr>
                <w:spacing w:val="-17"/>
              </w:rPr>
              <w:t>尘、施工噪声、生</w:t>
            </w:r>
            <w:r>
              <w:rPr>
                <w:spacing w:val="-2"/>
              </w:rPr>
              <w:t>活污水、</w:t>
            </w:r>
            <w:r>
              <w:rPr>
                <w:spacing w:val="1"/>
              </w:rPr>
              <w:t>固</w:t>
            </w:r>
            <w:r>
              <w:rPr>
                <w:spacing w:val="-35"/>
              </w:rPr>
              <w:t xml:space="preserve"> </w:t>
            </w:r>
            <w:r>
              <w:rPr>
                <w:spacing w:val="1"/>
              </w:rPr>
              <w:t>体</w:t>
            </w:r>
            <w:r>
              <w:rPr>
                <w:spacing w:val="-35"/>
              </w:rPr>
              <w:t xml:space="preserve"> </w:t>
            </w:r>
            <w:r>
              <w:rPr>
                <w:spacing w:val="1"/>
              </w:rPr>
              <w:t>废</w:t>
            </w:r>
            <w:r>
              <w:rPr>
                <w:spacing w:val="-17"/>
              </w:rPr>
              <w:t>物、植被</w:t>
            </w:r>
            <w:r>
              <w:rPr>
                <w:spacing w:val="3"/>
              </w:rPr>
              <w:t>破坏；</w:t>
            </w:r>
          </w:p>
        </w:tc>
        <w:tc>
          <w:tcPr>
            <w:tcW w:w="852" w:type="dxa"/>
            <w:vMerge w:val="restart"/>
            <w:tcBorders>
              <w:bottom w:val="nil"/>
            </w:tcBorders>
            <w:vAlign w:val="top"/>
          </w:tcPr>
          <w:p w14:paraId="3464095B">
            <w:pPr>
              <w:spacing w:line="252" w:lineRule="auto"/>
              <w:rPr>
                <w:rFonts w:ascii="Arial"/>
                <w:sz w:val="21"/>
              </w:rPr>
            </w:pPr>
          </w:p>
          <w:p w14:paraId="09743F95">
            <w:pPr>
              <w:spacing w:line="252" w:lineRule="auto"/>
              <w:rPr>
                <w:rFonts w:ascii="Arial"/>
                <w:sz w:val="21"/>
              </w:rPr>
            </w:pPr>
          </w:p>
          <w:p w14:paraId="4B1C21EB">
            <w:pPr>
              <w:spacing w:line="252" w:lineRule="auto"/>
              <w:rPr>
                <w:rFonts w:ascii="Arial"/>
                <w:sz w:val="21"/>
              </w:rPr>
            </w:pPr>
          </w:p>
          <w:p w14:paraId="79905CF4">
            <w:pPr>
              <w:spacing w:line="253" w:lineRule="auto"/>
              <w:rPr>
                <w:rFonts w:ascii="Arial"/>
                <w:sz w:val="21"/>
              </w:rPr>
            </w:pPr>
          </w:p>
          <w:p w14:paraId="42EC4A63">
            <w:pPr>
              <w:spacing w:line="253" w:lineRule="auto"/>
              <w:rPr>
                <w:rFonts w:ascii="Arial"/>
                <w:sz w:val="21"/>
              </w:rPr>
            </w:pPr>
          </w:p>
          <w:p w14:paraId="3BB63394">
            <w:pPr>
              <w:spacing w:line="253" w:lineRule="auto"/>
              <w:rPr>
                <w:rFonts w:ascii="Arial"/>
                <w:sz w:val="21"/>
              </w:rPr>
            </w:pPr>
          </w:p>
          <w:p w14:paraId="5E27E006">
            <w:pPr>
              <w:spacing w:line="253" w:lineRule="auto"/>
              <w:rPr>
                <w:rFonts w:ascii="Arial"/>
                <w:sz w:val="21"/>
              </w:rPr>
            </w:pPr>
          </w:p>
          <w:p w14:paraId="6D36AEE0">
            <w:pPr>
              <w:spacing w:line="253" w:lineRule="auto"/>
              <w:rPr>
                <w:rFonts w:ascii="Arial"/>
                <w:sz w:val="21"/>
              </w:rPr>
            </w:pPr>
          </w:p>
          <w:p w14:paraId="73C76CE8">
            <w:pPr>
              <w:spacing w:line="253" w:lineRule="auto"/>
              <w:rPr>
                <w:rFonts w:ascii="Arial"/>
                <w:sz w:val="21"/>
              </w:rPr>
            </w:pPr>
          </w:p>
          <w:p w14:paraId="54098456">
            <w:pPr>
              <w:spacing w:line="253" w:lineRule="auto"/>
              <w:rPr>
                <w:rFonts w:ascii="Arial"/>
                <w:sz w:val="21"/>
              </w:rPr>
            </w:pPr>
          </w:p>
          <w:p w14:paraId="31B8F215">
            <w:pPr>
              <w:spacing w:line="253" w:lineRule="auto"/>
              <w:rPr>
                <w:rFonts w:ascii="Arial"/>
                <w:sz w:val="21"/>
              </w:rPr>
            </w:pPr>
          </w:p>
          <w:p w14:paraId="76F3F2AD">
            <w:pPr>
              <w:spacing w:line="253" w:lineRule="auto"/>
              <w:rPr>
                <w:rFonts w:ascii="Arial"/>
                <w:sz w:val="21"/>
              </w:rPr>
            </w:pPr>
          </w:p>
          <w:p w14:paraId="275F2EA5">
            <w:pPr>
              <w:spacing w:line="253" w:lineRule="auto"/>
              <w:rPr>
                <w:rFonts w:ascii="Arial"/>
                <w:sz w:val="21"/>
              </w:rPr>
            </w:pPr>
          </w:p>
          <w:p w14:paraId="135AF066">
            <w:pPr>
              <w:spacing w:line="253" w:lineRule="auto"/>
              <w:rPr>
                <w:rFonts w:ascii="Arial"/>
                <w:sz w:val="21"/>
              </w:rPr>
            </w:pPr>
          </w:p>
          <w:p w14:paraId="5DB91E75">
            <w:pPr>
              <w:spacing w:before="58" w:line="199" w:lineRule="auto"/>
              <w:ind w:left="1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2" w:type="dxa"/>
            <w:tcBorders>
              <w:top w:val="nil"/>
              <w:bottom w:val="nil"/>
              <w:right w:val="single" w:color="000000" w:sz="6" w:space="0"/>
            </w:tcBorders>
            <w:vAlign w:val="top"/>
          </w:tcPr>
          <w:p w14:paraId="2706F2F7">
            <w:pPr>
              <w:rPr>
                <w:rFonts w:ascii="Arial"/>
                <w:sz w:val="21"/>
              </w:rPr>
            </w:pPr>
          </w:p>
        </w:tc>
      </w:tr>
      <w:tr w14:paraId="51D63C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1" w:hRule="atLeast"/>
        </w:trPr>
        <w:tc>
          <w:tcPr>
            <w:tcW w:w="375" w:type="dxa"/>
            <w:vMerge w:val="continue"/>
            <w:tcBorders>
              <w:top w:val="nil"/>
              <w:left w:val="single" w:color="000000" w:sz="6" w:space="0"/>
              <w:bottom w:val="nil"/>
              <w:right w:val="single" w:color="000000" w:sz="6" w:space="0"/>
            </w:tcBorders>
            <w:vAlign w:val="top"/>
          </w:tcPr>
          <w:p w14:paraId="5DDE7847">
            <w:pPr>
              <w:rPr>
                <w:rFonts w:ascii="Arial"/>
                <w:sz w:val="21"/>
              </w:rPr>
            </w:pPr>
          </w:p>
        </w:tc>
        <w:tc>
          <w:tcPr>
            <w:tcW w:w="113" w:type="dxa"/>
            <w:tcBorders>
              <w:top w:val="nil"/>
              <w:left w:val="single" w:color="000000" w:sz="6" w:space="0"/>
              <w:bottom w:val="nil"/>
            </w:tcBorders>
            <w:vAlign w:val="top"/>
          </w:tcPr>
          <w:p w14:paraId="5E0F63BA">
            <w:pPr>
              <w:rPr>
                <w:rFonts w:ascii="Arial"/>
                <w:sz w:val="21"/>
              </w:rPr>
            </w:pPr>
          </w:p>
        </w:tc>
        <w:tc>
          <w:tcPr>
            <w:tcW w:w="457" w:type="dxa"/>
            <w:vMerge w:val="continue"/>
            <w:tcBorders>
              <w:top w:val="nil"/>
            </w:tcBorders>
            <w:textDirection w:val="tbRlV"/>
            <w:vAlign w:val="top"/>
          </w:tcPr>
          <w:p w14:paraId="7C4BD7E3">
            <w:pPr>
              <w:rPr>
                <w:rFonts w:ascii="Arial"/>
                <w:sz w:val="21"/>
              </w:rPr>
            </w:pPr>
          </w:p>
        </w:tc>
        <w:tc>
          <w:tcPr>
            <w:tcW w:w="1660" w:type="dxa"/>
            <w:vAlign w:val="top"/>
          </w:tcPr>
          <w:p w14:paraId="488385EB">
            <w:pPr>
              <w:spacing w:line="243" w:lineRule="auto"/>
              <w:rPr>
                <w:rFonts w:ascii="Arial"/>
                <w:sz w:val="21"/>
              </w:rPr>
            </w:pPr>
          </w:p>
          <w:p w14:paraId="3EE456A2">
            <w:pPr>
              <w:spacing w:line="243" w:lineRule="auto"/>
              <w:rPr>
                <w:rFonts w:ascii="Arial"/>
                <w:sz w:val="21"/>
              </w:rPr>
            </w:pPr>
          </w:p>
          <w:p w14:paraId="39F37134">
            <w:pPr>
              <w:spacing w:line="243" w:lineRule="auto"/>
              <w:rPr>
                <w:rFonts w:ascii="Arial"/>
                <w:sz w:val="21"/>
              </w:rPr>
            </w:pPr>
          </w:p>
          <w:p w14:paraId="7FBBC405">
            <w:pPr>
              <w:spacing w:line="243" w:lineRule="auto"/>
              <w:rPr>
                <w:rFonts w:ascii="Arial"/>
                <w:sz w:val="21"/>
              </w:rPr>
            </w:pPr>
          </w:p>
          <w:p w14:paraId="592CB529">
            <w:pPr>
              <w:spacing w:line="243" w:lineRule="auto"/>
              <w:rPr>
                <w:rFonts w:ascii="Arial"/>
                <w:sz w:val="21"/>
              </w:rPr>
            </w:pPr>
          </w:p>
          <w:p w14:paraId="69C1358F">
            <w:pPr>
              <w:spacing w:line="244" w:lineRule="auto"/>
              <w:rPr>
                <w:rFonts w:ascii="Arial"/>
                <w:sz w:val="21"/>
              </w:rPr>
            </w:pPr>
          </w:p>
          <w:p w14:paraId="509F13D2">
            <w:pPr>
              <w:spacing w:line="244" w:lineRule="auto"/>
              <w:rPr>
                <w:rFonts w:ascii="Arial"/>
                <w:sz w:val="21"/>
              </w:rPr>
            </w:pPr>
          </w:p>
          <w:p w14:paraId="0D546233">
            <w:pPr>
              <w:spacing w:line="244" w:lineRule="auto"/>
              <w:rPr>
                <w:rFonts w:ascii="Arial"/>
                <w:sz w:val="21"/>
              </w:rPr>
            </w:pPr>
          </w:p>
          <w:p w14:paraId="3117E344">
            <w:pPr>
              <w:spacing w:line="244" w:lineRule="auto"/>
              <w:rPr>
                <w:rFonts w:ascii="Arial"/>
                <w:sz w:val="21"/>
              </w:rPr>
            </w:pPr>
          </w:p>
          <w:p w14:paraId="7A27E9A5">
            <w:pPr>
              <w:spacing w:line="244" w:lineRule="auto"/>
              <w:rPr>
                <w:rFonts w:ascii="Arial"/>
                <w:sz w:val="21"/>
              </w:rPr>
            </w:pPr>
          </w:p>
          <w:p w14:paraId="2BC5B7AC">
            <w:pPr>
              <w:spacing w:line="244" w:lineRule="auto"/>
              <w:rPr>
                <w:rFonts w:ascii="Arial"/>
                <w:sz w:val="21"/>
              </w:rPr>
            </w:pPr>
          </w:p>
          <w:p w14:paraId="232F3FDE">
            <w:pPr>
              <w:pStyle w:val="6"/>
              <w:spacing w:before="65" w:line="228" w:lineRule="auto"/>
              <w:ind w:left="108"/>
            </w:pPr>
            <w:r>
              <w:rPr>
                <w:spacing w:val="2"/>
              </w:rPr>
              <w:t>新建</w:t>
            </w:r>
            <w:r>
              <w:rPr>
                <w:spacing w:val="-23"/>
              </w:rPr>
              <w:t xml:space="preserve"> </w:t>
            </w:r>
            <w:r>
              <w:rPr>
                <w:rFonts w:ascii="Times New Roman" w:hAnsi="Times New Roman" w:eastAsia="Times New Roman" w:cs="Times New Roman"/>
                <w:spacing w:val="2"/>
              </w:rPr>
              <w:t>10</w:t>
            </w:r>
            <w:r>
              <w:rPr>
                <w:rFonts w:ascii="Times New Roman" w:hAnsi="Times New Roman" w:eastAsia="Times New Roman" w:cs="Times New Roman"/>
              </w:rPr>
              <w:t>kV</w:t>
            </w:r>
            <w:r>
              <w:rPr>
                <w:rFonts w:ascii="Times New Roman" w:hAnsi="Times New Roman" w:eastAsia="Times New Roman" w:cs="Times New Roman"/>
                <w:spacing w:val="16"/>
              </w:rPr>
              <w:t xml:space="preserve"> </w:t>
            </w:r>
            <w:r>
              <w:rPr>
                <w:spacing w:val="2"/>
              </w:rPr>
              <w:t>线路</w:t>
            </w:r>
          </w:p>
        </w:tc>
        <w:tc>
          <w:tcPr>
            <w:tcW w:w="3987" w:type="dxa"/>
            <w:vAlign w:val="top"/>
          </w:tcPr>
          <w:p w14:paraId="457A4AF4">
            <w:pPr>
              <w:pStyle w:val="6"/>
              <w:spacing w:before="39" w:line="228" w:lineRule="auto"/>
              <w:ind w:left="112"/>
            </w:pPr>
            <w:r>
              <w:rPr>
                <w:b/>
                <w:bCs/>
                <w:spacing w:val="-1"/>
              </w:rPr>
              <w:t>新建</w:t>
            </w:r>
            <w:r>
              <w:rPr>
                <w:spacing w:val="-30"/>
              </w:rPr>
              <w:t xml:space="preserve"> </w:t>
            </w:r>
            <w:r>
              <w:rPr>
                <w:rFonts w:ascii="Times New Roman" w:hAnsi="Times New Roman" w:eastAsia="Times New Roman" w:cs="Times New Roman"/>
                <w:b/>
                <w:bCs/>
                <w:spacing w:val="-1"/>
              </w:rPr>
              <w:t>10kV</w:t>
            </w:r>
            <w:r>
              <w:rPr>
                <w:rFonts w:ascii="Times New Roman" w:hAnsi="Times New Roman" w:eastAsia="Times New Roman" w:cs="Times New Roman"/>
                <w:b/>
                <w:bCs/>
                <w:spacing w:val="14"/>
                <w:w w:val="101"/>
              </w:rPr>
              <w:t xml:space="preserve"> </w:t>
            </w:r>
            <w:r>
              <w:rPr>
                <w:b/>
                <w:bCs/>
                <w:spacing w:val="-1"/>
              </w:rPr>
              <w:t>线路</w:t>
            </w:r>
            <w:r>
              <w:rPr>
                <w:spacing w:val="-39"/>
              </w:rPr>
              <w:t xml:space="preserve"> </w:t>
            </w:r>
            <w:r>
              <w:rPr>
                <w:rFonts w:ascii="Times New Roman" w:hAnsi="Times New Roman" w:eastAsia="Times New Roman" w:cs="Times New Roman"/>
                <w:b/>
                <w:bCs/>
                <w:spacing w:val="-1"/>
              </w:rPr>
              <w:t>9</w:t>
            </w:r>
            <w:r>
              <w:rPr>
                <w:rFonts w:ascii="Times New Roman" w:hAnsi="Times New Roman" w:eastAsia="Times New Roman" w:cs="Times New Roman"/>
                <w:b/>
                <w:bCs/>
                <w:spacing w:val="30"/>
                <w:w w:val="101"/>
              </w:rPr>
              <w:t xml:space="preserve"> </w:t>
            </w:r>
            <w:r>
              <w:rPr>
                <w:b/>
                <w:bCs/>
                <w:spacing w:val="-1"/>
              </w:rPr>
              <w:t>回：</w:t>
            </w:r>
          </w:p>
          <w:p w14:paraId="62976BD2">
            <w:pPr>
              <w:pStyle w:val="6"/>
              <w:spacing w:before="25" w:line="251" w:lineRule="auto"/>
              <w:ind w:left="113" w:right="32" w:firstLine="13"/>
            </w:pPr>
            <w:r>
              <w:rPr>
                <w:rFonts w:ascii="Times New Roman" w:hAnsi="Times New Roman" w:eastAsia="Times New Roman" w:cs="Times New Roman"/>
                <w:spacing w:val="3"/>
              </w:rPr>
              <w:t>10</w:t>
            </w:r>
            <w:r>
              <w:rPr>
                <w:rFonts w:ascii="Times New Roman" w:hAnsi="Times New Roman" w:eastAsia="Times New Roman" w:cs="Times New Roman"/>
              </w:rPr>
              <w:t>kV</w:t>
            </w:r>
            <w:r>
              <w:rPr>
                <w:rFonts w:ascii="Times New Roman" w:hAnsi="Times New Roman" w:eastAsia="Times New Roman" w:cs="Times New Roman"/>
                <w:spacing w:val="3"/>
              </w:rPr>
              <w:t xml:space="preserve"> </w:t>
            </w:r>
            <w:r>
              <w:rPr>
                <w:spacing w:val="3"/>
              </w:rPr>
              <w:t>松山变</w:t>
            </w:r>
            <w:r>
              <w:rPr>
                <w:rFonts w:ascii="Times New Roman" w:hAnsi="Times New Roman" w:eastAsia="Times New Roman" w:cs="Times New Roman"/>
                <w:spacing w:val="3"/>
              </w:rPr>
              <w:t>Ⅰ</w:t>
            </w:r>
            <w:r>
              <w:rPr>
                <w:spacing w:val="3"/>
              </w:rPr>
              <w:t>回线：单、双、四回路架设。</w:t>
            </w:r>
            <w:r>
              <w:rPr>
                <w:spacing w:val="4"/>
              </w:rPr>
              <w:t>线路全长</w:t>
            </w:r>
            <w:r>
              <w:rPr>
                <w:spacing w:val="-10"/>
              </w:rPr>
              <w:t xml:space="preserve"> </w:t>
            </w:r>
            <w:r>
              <w:rPr>
                <w:rFonts w:ascii="Times New Roman" w:hAnsi="Times New Roman" w:eastAsia="Times New Roman" w:cs="Times New Roman"/>
                <w:spacing w:val="4"/>
              </w:rPr>
              <w:t>1.862</w:t>
            </w:r>
            <w:r>
              <w:rPr>
                <w:rFonts w:ascii="Times New Roman" w:hAnsi="Times New Roman" w:eastAsia="Times New Roman" w:cs="Times New Roman"/>
              </w:rPr>
              <w:t>km</w:t>
            </w:r>
            <w:r>
              <w:rPr>
                <w:rFonts w:ascii="Times New Roman" w:hAnsi="Times New Roman" w:eastAsia="Times New Roman" w:cs="Times New Roman"/>
                <w:spacing w:val="-22"/>
              </w:rPr>
              <w:t xml:space="preserve"> </w:t>
            </w:r>
            <w:r>
              <w:rPr>
                <w:spacing w:val="4"/>
              </w:rPr>
              <w:t>，导线截面</w:t>
            </w:r>
            <w:r>
              <w:rPr>
                <w:spacing w:val="-43"/>
              </w:rPr>
              <w:t xml:space="preserve"> </w:t>
            </w:r>
            <w:r>
              <w:rPr>
                <w:rFonts w:ascii="Times New Roman" w:hAnsi="Times New Roman" w:eastAsia="Times New Roman" w:cs="Times New Roman"/>
                <w:spacing w:val="4"/>
              </w:rPr>
              <w:t>240</w:t>
            </w:r>
            <w:r>
              <w:rPr>
                <w:rFonts w:ascii="Times New Roman" w:hAnsi="Times New Roman" w:eastAsia="Times New Roman" w:cs="Times New Roman"/>
              </w:rPr>
              <w:t>mm</w:t>
            </w:r>
            <w:r>
              <w:rPr>
                <w:rFonts w:ascii="Times New Roman" w:hAnsi="Times New Roman" w:eastAsia="Times New Roman" w:cs="Times New Roman"/>
                <w:spacing w:val="4"/>
                <w:position w:val="6"/>
                <w:sz w:val="13"/>
                <w:szCs w:val="13"/>
              </w:rPr>
              <w:t>2</w:t>
            </w:r>
            <w:r>
              <w:rPr>
                <w:spacing w:val="4"/>
              </w:rPr>
              <w:t>。</w:t>
            </w:r>
          </w:p>
          <w:p w14:paraId="6096245B">
            <w:pPr>
              <w:pStyle w:val="6"/>
              <w:spacing w:line="251" w:lineRule="auto"/>
              <w:ind w:left="113" w:right="32" w:firstLine="13"/>
            </w:pPr>
            <w:r>
              <w:rPr>
                <w:rFonts w:ascii="Times New Roman" w:hAnsi="Times New Roman" w:eastAsia="Times New Roman" w:cs="Times New Roman"/>
              </w:rPr>
              <w:t xml:space="preserve">10kV </w:t>
            </w:r>
            <w:r>
              <w:t>松山变</w:t>
            </w:r>
            <w:r>
              <w:rPr>
                <w:rFonts w:ascii="Times New Roman" w:hAnsi="Times New Roman" w:eastAsia="Times New Roman" w:cs="Times New Roman"/>
              </w:rPr>
              <w:t>Ⅱ</w:t>
            </w:r>
            <w:r>
              <w:t>回线：单、双、四回路</w:t>
            </w:r>
            <w:r>
              <w:rPr>
                <w:spacing w:val="-1"/>
              </w:rPr>
              <w:t>架设。</w:t>
            </w:r>
            <w:r>
              <w:rPr>
                <w:spacing w:val="4"/>
              </w:rPr>
              <w:t>线路全长</w:t>
            </w:r>
            <w:r>
              <w:rPr>
                <w:spacing w:val="-12"/>
              </w:rPr>
              <w:t xml:space="preserve"> </w:t>
            </w:r>
            <w:r>
              <w:rPr>
                <w:rFonts w:ascii="Times New Roman" w:hAnsi="Times New Roman" w:eastAsia="Times New Roman" w:cs="Times New Roman"/>
                <w:spacing w:val="4"/>
              </w:rPr>
              <w:t>1.74</w:t>
            </w:r>
            <w:r>
              <w:rPr>
                <w:rFonts w:ascii="Times New Roman" w:hAnsi="Times New Roman" w:eastAsia="Times New Roman" w:cs="Times New Roman"/>
              </w:rPr>
              <w:t>km</w:t>
            </w:r>
            <w:r>
              <w:rPr>
                <w:rFonts w:ascii="Times New Roman" w:hAnsi="Times New Roman" w:eastAsia="Times New Roman" w:cs="Times New Roman"/>
                <w:spacing w:val="-24"/>
              </w:rPr>
              <w:t xml:space="preserve"> </w:t>
            </w:r>
            <w:r>
              <w:rPr>
                <w:spacing w:val="4"/>
              </w:rPr>
              <w:t>，导线截面</w:t>
            </w:r>
            <w:r>
              <w:rPr>
                <w:spacing w:val="-40"/>
              </w:rPr>
              <w:t xml:space="preserve"> </w:t>
            </w:r>
            <w:r>
              <w:rPr>
                <w:rFonts w:ascii="Times New Roman" w:hAnsi="Times New Roman" w:eastAsia="Times New Roman" w:cs="Times New Roman"/>
                <w:spacing w:val="4"/>
              </w:rPr>
              <w:t>240</w:t>
            </w:r>
            <w:r>
              <w:rPr>
                <w:rFonts w:ascii="Times New Roman" w:hAnsi="Times New Roman" w:eastAsia="Times New Roman" w:cs="Times New Roman"/>
              </w:rPr>
              <w:t>mm</w:t>
            </w:r>
            <w:r>
              <w:rPr>
                <w:rFonts w:ascii="Times New Roman" w:hAnsi="Times New Roman" w:eastAsia="Times New Roman" w:cs="Times New Roman"/>
                <w:spacing w:val="4"/>
                <w:position w:val="6"/>
                <w:sz w:val="13"/>
                <w:szCs w:val="13"/>
              </w:rPr>
              <w:t>2</w:t>
            </w:r>
            <w:r>
              <w:rPr>
                <w:spacing w:val="4"/>
              </w:rPr>
              <w:t>。</w:t>
            </w:r>
          </w:p>
          <w:p w14:paraId="71133D92">
            <w:pPr>
              <w:pStyle w:val="6"/>
              <w:spacing w:before="1" w:line="251" w:lineRule="auto"/>
              <w:ind w:left="113" w:right="103" w:firstLine="14"/>
            </w:pPr>
            <w:r>
              <w:rPr>
                <w:rFonts w:ascii="Times New Roman" w:hAnsi="Times New Roman" w:eastAsia="Times New Roman" w:cs="Times New Roman"/>
                <w:spacing w:val="3"/>
              </w:rPr>
              <w:t>10</w:t>
            </w:r>
            <w:r>
              <w:rPr>
                <w:rFonts w:ascii="Times New Roman" w:hAnsi="Times New Roman" w:eastAsia="Times New Roman" w:cs="Times New Roman"/>
              </w:rPr>
              <w:t>kV</w:t>
            </w:r>
            <w:r>
              <w:rPr>
                <w:rFonts w:ascii="Times New Roman" w:hAnsi="Times New Roman" w:eastAsia="Times New Roman" w:cs="Times New Roman"/>
                <w:spacing w:val="3"/>
              </w:rPr>
              <w:t xml:space="preserve"> </w:t>
            </w:r>
            <w:r>
              <w:rPr>
                <w:spacing w:val="3"/>
              </w:rPr>
              <w:t>松山变</w:t>
            </w:r>
            <w:r>
              <w:rPr>
                <w:rFonts w:ascii="Times New Roman" w:hAnsi="Times New Roman" w:eastAsia="Times New Roman" w:cs="Times New Roman"/>
                <w:spacing w:val="3"/>
              </w:rPr>
              <w:t>Ⅲ</w:t>
            </w:r>
            <w:r>
              <w:rPr>
                <w:spacing w:val="3"/>
              </w:rPr>
              <w:t>回线：单、四回路架设。线</w:t>
            </w:r>
            <w:r>
              <w:rPr>
                <w:spacing w:val="5"/>
              </w:rPr>
              <w:t>路全长</w:t>
            </w:r>
            <w:r>
              <w:rPr>
                <w:spacing w:val="-30"/>
              </w:rPr>
              <w:t xml:space="preserve"> </w:t>
            </w:r>
            <w:r>
              <w:rPr>
                <w:rFonts w:ascii="Times New Roman" w:hAnsi="Times New Roman" w:eastAsia="Times New Roman" w:cs="Times New Roman"/>
                <w:spacing w:val="5"/>
              </w:rPr>
              <w:t>0.72</w:t>
            </w:r>
            <w:r>
              <w:rPr>
                <w:rFonts w:ascii="Times New Roman" w:hAnsi="Times New Roman" w:eastAsia="Times New Roman" w:cs="Times New Roman"/>
              </w:rPr>
              <w:t>km</w:t>
            </w:r>
            <w:r>
              <w:rPr>
                <w:rFonts w:ascii="Times New Roman" w:hAnsi="Times New Roman" w:eastAsia="Times New Roman" w:cs="Times New Roman"/>
                <w:spacing w:val="-24"/>
              </w:rPr>
              <w:t xml:space="preserve"> </w:t>
            </w:r>
            <w:r>
              <w:rPr>
                <w:spacing w:val="5"/>
              </w:rPr>
              <w:t>，导线截面</w:t>
            </w:r>
            <w:r>
              <w:rPr>
                <w:spacing w:val="-43"/>
              </w:rPr>
              <w:t xml:space="preserve"> </w:t>
            </w:r>
            <w:r>
              <w:rPr>
                <w:rFonts w:ascii="Times New Roman" w:hAnsi="Times New Roman" w:eastAsia="Times New Roman" w:cs="Times New Roman"/>
                <w:spacing w:val="5"/>
              </w:rPr>
              <w:t>240</w:t>
            </w:r>
            <w:r>
              <w:rPr>
                <w:rFonts w:ascii="Times New Roman" w:hAnsi="Times New Roman" w:eastAsia="Times New Roman" w:cs="Times New Roman"/>
              </w:rPr>
              <w:t>mm</w:t>
            </w:r>
            <w:r>
              <w:rPr>
                <w:rFonts w:ascii="Times New Roman" w:hAnsi="Times New Roman" w:eastAsia="Times New Roman" w:cs="Times New Roman"/>
                <w:spacing w:val="5"/>
                <w:position w:val="6"/>
                <w:sz w:val="13"/>
                <w:szCs w:val="13"/>
              </w:rPr>
              <w:t>2</w:t>
            </w:r>
            <w:r>
              <w:rPr>
                <w:spacing w:val="5"/>
              </w:rPr>
              <w:t>。</w:t>
            </w:r>
          </w:p>
          <w:p w14:paraId="43D99B3A">
            <w:pPr>
              <w:pStyle w:val="6"/>
              <w:spacing w:before="3" w:line="251" w:lineRule="auto"/>
              <w:ind w:left="112" w:right="32" w:firstLine="15"/>
            </w:pPr>
            <w:r>
              <w:rPr>
                <w:rFonts w:ascii="Times New Roman" w:hAnsi="Times New Roman" w:eastAsia="Times New Roman" w:cs="Times New Roman"/>
                <w:spacing w:val="5"/>
              </w:rPr>
              <w:t>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松山变</w:t>
            </w:r>
            <w:r>
              <w:rPr>
                <w:rFonts w:ascii="Times New Roman" w:hAnsi="Times New Roman" w:eastAsia="Times New Roman" w:cs="Times New Roman"/>
                <w:spacing w:val="5"/>
              </w:rPr>
              <w:t>Ⅳ</w:t>
            </w:r>
            <w:r>
              <w:rPr>
                <w:spacing w:val="5"/>
              </w:rPr>
              <w:t>回线：架空</w:t>
            </w:r>
            <w:r>
              <w:rPr>
                <w:rFonts w:ascii="Times New Roman" w:hAnsi="Times New Roman" w:eastAsia="Times New Roman" w:cs="Times New Roman"/>
                <w:spacing w:val="5"/>
              </w:rPr>
              <w:t>+</w:t>
            </w:r>
            <w:r>
              <w:rPr>
                <w:rFonts w:ascii="Times New Roman" w:hAnsi="Times New Roman" w:eastAsia="Times New Roman" w:cs="Times New Roman"/>
                <w:spacing w:val="-13"/>
              </w:rPr>
              <w:t xml:space="preserve"> </w:t>
            </w:r>
            <w:r>
              <w:rPr>
                <w:spacing w:val="5"/>
              </w:rPr>
              <w:t>电缆方式。架</w:t>
            </w:r>
            <w:r>
              <w:rPr>
                <w:spacing w:val="9"/>
              </w:rPr>
              <w:t>空线路采用单、双、四回路架设；线路全</w:t>
            </w:r>
            <w:r>
              <w:rPr>
                <w:spacing w:val="8"/>
              </w:rPr>
              <w:t>长</w:t>
            </w:r>
            <w:r>
              <w:rPr>
                <w:spacing w:val="-13"/>
              </w:rPr>
              <w:t xml:space="preserve"> </w:t>
            </w:r>
            <w:r>
              <w:rPr>
                <w:rFonts w:ascii="Times New Roman" w:hAnsi="Times New Roman" w:eastAsia="Times New Roman" w:cs="Times New Roman"/>
                <w:spacing w:val="8"/>
              </w:rPr>
              <w:t>1.978</w:t>
            </w:r>
            <w:r>
              <w:rPr>
                <w:spacing w:val="8"/>
              </w:rPr>
              <w:t>（架空）</w:t>
            </w:r>
            <w:r>
              <w:rPr>
                <w:rFonts w:ascii="Times New Roman" w:hAnsi="Times New Roman" w:eastAsia="Times New Roman" w:cs="Times New Roman"/>
                <w:spacing w:val="8"/>
              </w:rPr>
              <w:t>+0.042</w:t>
            </w:r>
            <w:r>
              <w:rPr>
                <w:spacing w:val="8"/>
              </w:rPr>
              <w:t>（电缆）</w:t>
            </w:r>
            <w:r>
              <w:rPr>
                <w:rFonts w:ascii="Times New Roman" w:hAnsi="Times New Roman" w:eastAsia="Times New Roman" w:cs="Times New Roman"/>
              </w:rPr>
              <w:t>km</w:t>
            </w:r>
            <w:r>
              <w:rPr>
                <w:rFonts w:ascii="Times New Roman" w:hAnsi="Times New Roman" w:eastAsia="Times New Roman" w:cs="Times New Roman"/>
                <w:spacing w:val="-16"/>
              </w:rPr>
              <w:t xml:space="preserve"> </w:t>
            </w:r>
            <w:r>
              <w:rPr>
                <w:spacing w:val="8"/>
              </w:rPr>
              <w:t>，架</w:t>
            </w:r>
            <w:r>
              <w:rPr>
                <w:spacing w:val="5"/>
              </w:rPr>
              <w:t>空导线截面</w:t>
            </w:r>
            <w:r>
              <w:rPr>
                <w:spacing w:val="-31"/>
              </w:rPr>
              <w:t xml:space="preserve"> </w:t>
            </w:r>
            <w:r>
              <w:rPr>
                <w:rFonts w:ascii="Times New Roman" w:hAnsi="Times New Roman" w:eastAsia="Times New Roman" w:cs="Times New Roman"/>
                <w:spacing w:val="5"/>
              </w:rPr>
              <w:t>240</w:t>
            </w:r>
            <w:r>
              <w:rPr>
                <w:rFonts w:ascii="Times New Roman" w:hAnsi="Times New Roman" w:eastAsia="Times New Roman" w:cs="Times New Roman"/>
              </w:rPr>
              <w:t>mm</w:t>
            </w:r>
            <w:r>
              <w:rPr>
                <w:rFonts w:ascii="Times New Roman" w:hAnsi="Times New Roman" w:eastAsia="Times New Roman" w:cs="Times New Roman"/>
                <w:spacing w:val="5"/>
                <w:position w:val="6"/>
                <w:sz w:val="13"/>
                <w:szCs w:val="13"/>
              </w:rPr>
              <w:t>2</w:t>
            </w:r>
            <w:r>
              <w:rPr>
                <w:rFonts w:ascii="Times New Roman" w:hAnsi="Times New Roman" w:eastAsia="Times New Roman" w:cs="Times New Roman"/>
                <w:spacing w:val="-7"/>
                <w:position w:val="6"/>
                <w:sz w:val="13"/>
                <w:szCs w:val="13"/>
              </w:rPr>
              <w:t xml:space="preserve"> </w:t>
            </w:r>
            <w:r>
              <w:rPr>
                <w:spacing w:val="5"/>
              </w:rPr>
              <w:t>，电缆截面</w:t>
            </w:r>
            <w:r>
              <w:rPr>
                <w:spacing w:val="-44"/>
              </w:rPr>
              <w:t xml:space="preserve"> </w:t>
            </w:r>
            <w:r>
              <w:rPr>
                <w:rFonts w:ascii="Times New Roman" w:hAnsi="Times New Roman" w:eastAsia="Times New Roman" w:cs="Times New Roman"/>
                <w:spacing w:val="5"/>
              </w:rPr>
              <w:t>400</w:t>
            </w:r>
            <w:r>
              <w:rPr>
                <w:rFonts w:ascii="Times New Roman" w:hAnsi="Times New Roman" w:eastAsia="Times New Roman" w:cs="Times New Roman"/>
              </w:rPr>
              <w:t>mm</w:t>
            </w:r>
            <w:r>
              <w:rPr>
                <w:rFonts w:ascii="Times New Roman" w:hAnsi="Times New Roman" w:eastAsia="Times New Roman" w:cs="Times New Roman"/>
                <w:spacing w:val="5"/>
                <w:position w:val="6"/>
                <w:sz w:val="13"/>
                <w:szCs w:val="13"/>
              </w:rPr>
              <w:t xml:space="preserve">2 </w:t>
            </w:r>
            <w:r>
              <w:rPr>
                <w:spacing w:val="5"/>
              </w:rPr>
              <w:t>。</w:t>
            </w:r>
            <w:r>
              <w:t xml:space="preserve"> </w:t>
            </w:r>
            <w:r>
              <w:rPr>
                <w:rFonts w:ascii="Times New Roman" w:hAnsi="Times New Roman" w:eastAsia="Times New Roman" w:cs="Times New Roman"/>
              </w:rPr>
              <w:t xml:space="preserve">10kV </w:t>
            </w:r>
            <w:r>
              <w:t>松山变</w:t>
            </w:r>
            <w:r>
              <w:rPr>
                <w:rFonts w:ascii="Times New Roman" w:hAnsi="Times New Roman" w:eastAsia="Times New Roman" w:cs="Times New Roman"/>
              </w:rPr>
              <w:t>Ⅴ</w:t>
            </w:r>
            <w:r>
              <w:t>回线：单、双、四回路</w:t>
            </w:r>
            <w:r>
              <w:rPr>
                <w:spacing w:val="-1"/>
              </w:rPr>
              <w:t>架设。</w:t>
            </w:r>
            <w:r>
              <w:rPr>
                <w:spacing w:val="4"/>
              </w:rPr>
              <w:t>线路全长</w:t>
            </w:r>
            <w:r>
              <w:rPr>
                <w:spacing w:val="-33"/>
              </w:rPr>
              <w:t xml:space="preserve"> </w:t>
            </w:r>
            <w:r>
              <w:rPr>
                <w:rFonts w:ascii="Times New Roman" w:hAnsi="Times New Roman" w:eastAsia="Times New Roman" w:cs="Times New Roman"/>
                <w:spacing w:val="4"/>
              </w:rPr>
              <w:t>3.</w:t>
            </w:r>
            <w:r>
              <w:rPr>
                <w:rFonts w:ascii="Times New Roman" w:hAnsi="Times New Roman" w:eastAsia="Times New Roman" w:cs="Times New Roman"/>
                <w:spacing w:val="-25"/>
              </w:rPr>
              <w:t xml:space="preserve"> </w:t>
            </w:r>
            <w:r>
              <w:rPr>
                <w:rFonts w:ascii="Times New Roman" w:hAnsi="Times New Roman" w:eastAsia="Times New Roman" w:cs="Times New Roman"/>
                <w:spacing w:val="4"/>
              </w:rPr>
              <w:t>161</w:t>
            </w:r>
            <w:r>
              <w:rPr>
                <w:rFonts w:ascii="Times New Roman" w:hAnsi="Times New Roman" w:eastAsia="Times New Roman" w:cs="Times New Roman"/>
              </w:rPr>
              <w:t>km</w:t>
            </w:r>
            <w:r>
              <w:rPr>
                <w:rFonts w:ascii="Times New Roman" w:hAnsi="Times New Roman" w:eastAsia="Times New Roman" w:cs="Times New Roman"/>
                <w:spacing w:val="-22"/>
              </w:rPr>
              <w:t xml:space="preserve"> </w:t>
            </w:r>
            <w:r>
              <w:rPr>
                <w:spacing w:val="4"/>
              </w:rPr>
              <w:t>，导线截面</w:t>
            </w:r>
            <w:r>
              <w:rPr>
                <w:spacing w:val="-43"/>
              </w:rPr>
              <w:t xml:space="preserve"> </w:t>
            </w:r>
            <w:r>
              <w:rPr>
                <w:rFonts w:ascii="Times New Roman" w:hAnsi="Times New Roman" w:eastAsia="Times New Roman" w:cs="Times New Roman"/>
                <w:spacing w:val="4"/>
              </w:rPr>
              <w:t>240</w:t>
            </w:r>
            <w:r>
              <w:rPr>
                <w:rFonts w:ascii="Times New Roman" w:hAnsi="Times New Roman" w:eastAsia="Times New Roman" w:cs="Times New Roman"/>
              </w:rPr>
              <w:t>mm</w:t>
            </w:r>
            <w:r>
              <w:rPr>
                <w:rFonts w:ascii="Times New Roman" w:hAnsi="Times New Roman" w:eastAsia="Times New Roman" w:cs="Times New Roman"/>
                <w:spacing w:val="4"/>
                <w:position w:val="6"/>
                <w:sz w:val="13"/>
                <w:szCs w:val="13"/>
              </w:rPr>
              <w:t>2</w:t>
            </w:r>
            <w:r>
              <w:rPr>
                <w:spacing w:val="4"/>
              </w:rPr>
              <w:t>。</w:t>
            </w:r>
          </w:p>
          <w:p w14:paraId="5297E88D">
            <w:pPr>
              <w:pStyle w:val="6"/>
              <w:spacing w:before="7" w:line="245" w:lineRule="auto"/>
              <w:ind w:left="114" w:right="32" w:firstLine="12"/>
            </w:pPr>
            <w:r>
              <w:rPr>
                <w:rFonts w:ascii="Times New Roman" w:hAnsi="Times New Roman" w:eastAsia="Times New Roman" w:cs="Times New Roman"/>
                <w:spacing w:val="11"/>
              </w:rPr>
              <w:t>10</w:t>
            </w:r>
            <w:r>
              <w:rPr>
                <w:rFonts w:ascii="Times New Roman" w:hAnsi="Times New Roman" w:eastAsia="Times New Roman" w:cs="Times New Roman"/>
              </w:rPr>
              <w:t>kV</w:t>
            </w:r>
            <w:r>
              <w:rPr>
                <w:rFonts w:ascii="Times New Roman" w:hAnsi="Times New Roman" w:eastAsia="Times New Roman" w:cs="Times New Roman"/>
                <w:spacing w:val="16"/>
                <w:w w:val="101"/>
              </w:rPr>
              <w:t xml:space="preserve"> </w:t>
            </w:r>
            <w:r>
              <w:rPr>
                <w:spacing w:val="11"/>
              </w:rPr>
              <w:t>松山变</w:t>
            </w:r>
            <w:r>
              <w:rPr>
                <w:rFonts w:ascii="Times New Roman" w:hAnsi="Times New Roman" w:eastAsia="Times New Roman" w:cs="Times New Roman"/>
                <w:spacing w:val="11"/>
              </w:rPr>
              <w:t>Ⅵ</w:t>
            </w:r>
            <w:r>
              <w:rPr>
                <w:spacing w:val="11"/>
              </w:rPr>
              <w:t>回线：单、双、</w:t>
            </w:r>
            <w:r>
              <w:rPr>
                <w:spacing w:val="-57"/>
              </w:rPr>
              <w:t xml:space="preserve"> </w:t>
            </w:r>
            <w:r>
              <w:rPr>
                <w:spacing w:val="11"/>
              </w:rPr>
              <w:t>四回路架</w:t>
            </w:r>
            <w:r>
              <w:rPr>
                <w:spacing w:val="-3"/>
              </w:rPr>
              <w:t>设。线路全长</w:t>
            </w:r>
            <w:r>
              <w:rPr>
                <w:spacing w:val="-33"/>
              </w:rPr>
              <w:t xml:space="preserve"> </w:t>
            </w:r>
            <w:r>
              <w:rPr>
                <w:rFonts w:ascii="Times New Roman" w:hAnsi="Times New Roman" w:eastAsia="Times New Roman" w:cs="Times New Roman"/>
                <w:spacing w:val="-3"/>
              </w:rPr>
              <w:t>2.726km</w:t>
            </w:r>
            <w:r>
              <w:rPr>
                <w:spacing w:val="-3"/>
              </w:rPr>
              <w:t>，导线截面</w:t>
            </w:r>
            <w:r>
              <w:rPr>
                <w:spacing w:val="-40"/>
              </w:rPr>
              <w:t xml:space="preserve"> </w:t>
            </w:r>
            <w:r>
              <w:rPr>
                <w:rFonts w:ascii="Times New Roman" w:hAnsi="Times New Roman" w:eastAsia="Times New Roman" w:cs="Times New Roman"/>
                <w:spacing w:val="-3"/>
              </w:rPr>
              <w:t>240mm</w:t>
            </w:r>
            <w:r>
              <w:rPr>
                <w:rFonts w:ascii="Times New Roman" w:hAnsi="Times New Roman" w:eastAsia="Times New Roman" w:cs="Times New Roman"/>
                <w:spacing w:val="-3"/>
                <w:position w:val="6"/>
                <w:sz w:val="13"/>
                <w:szCs w:val="13"/>
              </w:rPr>
              <w:t>2</w:t>
            </w:r>
            <w:r>
              <w:rPr>
                <w:spacing w:val="-3"/>
              </w:rPr>
              <w:t>。</w:t>
            </w:r>
            <w:r>
              <w:t xml:space="preserve"> </w:t>
            </w:r>
            <w:r>
              <w:rPr>
                <w:rFonts w:ascii="Times New Roman" w:hAnsi="Times New Roman" w:eastAsia="Times New Roman" w:cs="Times New Roman"/>
                <w:spacing w:val="10"/>
              </w:rPr>
              <w:t>10</w:t>
            </w:r>
            <w:r>
              <w:rPr>
                <w:rFonts w:ascii="Times New Roman" w:hAnsi="Times New Roman" w:eastAsia="Times New Roman" w:cs="Times New Roman"/>
              </w:rPr>
              <w:t>kV</w:t>
            </w:r>
            <w:r>
              <w:rPr>
                <w:rFonts w:ascii="Times New Roman" w:hAnsi="Times New Roman" w:eastAsia="Times New Roman" w:cs="Times New Roman"/>
                <w:spacing w:val="10"/>
              </w:rPr>
              <w:t xml:space="preserve"> </w:t>
            </w:r>
            <w:r>
              <w:rPr>
                <w:spacing w:val="10"/>
              </w:rPr>
              <w:t>松山变</w:t>
            </w:r>
            <w:r>
              <w:rPr>
                <w:rFonts w:ascii="Times New Roman" w:hAnsi="Times New Roman" w:eastAsia="Times New Roman" w:cs="Times New Roman"/>
                <w:spacing w:val="10"/>
              </w:rPr>
              <w:t>Ⅶ</w:t>
            </w:r>
            <w:r>
              <w:rPr>
                <w:spacing w:val="10"/>
              </w:rPr>
              <w:t>回线：单、双、四回路架</w:t>
            </w:r>
            <w:r>
              <w:rPr>
                <w:spacing w:val="-3"/>
              </w:rPr>
              <w:t>设。线路全长</w:t>
            </w:r>
            <w:r>
              <w:rPr>
                <w:spacing w:val="-33"/>
              </w:rPr>
              <w:t xml:space="preserve"> </w:t>
            </w:r>
            <w:r>
              <w:rPr>
                <w:rFonts w:ascii="Times New Roman" w:hAnsi="Times New Roman" w:eastAsia="Times New Roman" w:cs="Times New Roman"/>
                <w:spacing w:val="-3"/>
              </w:rPr>
              <w:t>2.991km</w:t>
            </w:r>
            <w:r>
              <w:rPr>
                <w:spacing w:val="-3"/>
              </w:rPr>
              <w:t>，导线截面</w:t>
            </w:r>
            <w:r>
              <w:rPr>
                <w:spacing w:val="-40"/>
              </w:rPr>
              <w:t xml:space="preserve"> </w:t>
            </w:r>
            <w:r>
              <w:rPr>
                <w:rFonts w:ascii="Times New Roman" w:hAnsi="Times New Roman" w:eastAsia="Times New Roman" w:cs="Times New Roman"/>
                <w:spacing w:val="-3"/>
              </w:rPr>
              <w:t>240mm</w:t>
            </w:r>
            <w:r>
              <w:rPr>
                <w:rFonts w:ascii="Times New Roman" w:hAnsi="Times New Roman" w:eastAsia="Times New Roman" w:cs="Times New Roman"/>
                <w:spacing w:val="-3"/>
                <w:position w:val="6"/>
                <w:sz w:val="13"/>
                <w:szCs w:val="13"/>
              </w:rPr>
              <w:t>2</w:t>
            </w:r>
            <w:r>
              <w:rPr>
                <w:spacing w:val="-3"/>
              </w:rPr>
              <w:t>。</w:t>
            </w:r>
            <w:r>
              <w:t xml:space="preserve"> </w:t>
            </w:r>
            <w:r>
              <w:rPr>
                <w:rFonts w:ascii="Times New Roman" w:hAnsi="Times New Roman" w:eastAsia="Times New Roman" w:cs="Times New Roman"/>
                <w:spacing w:val="7"/>
              </w:rPr>
              <w:t>10</w:t>
            </w:r>
            <w:r>
              <w:rPr>
                <w:rFonts w:ascii="Times New Roman" w:hAnsi="Times New Roman" w:eastAsia="Times New Roman" w:cs="Times New Roman"/>
              </w:rPr>
              <w:t>kV</w:t>
            </w:r>
            <w:r>
              <w:rPr>
                <w:rFonts w:ascii="Times New Roman" w:hAnsi="Times New Roman" w:eastAsia="Times New Roman" w:cs="Times New Roman"/>
                <w:spacing w:val="7"/>
              </w:rPr>
              <w:t xml:space="preserve"> </w:t>
            </w:r>
            <w:r>
              <w:rPr>
                <w:spacing w:val="7"/>
              </w:rPr>
              <w:t>松山变</w:t>
            </w:r>
            <w:r>
              <w:rPr>
                <w:rFonts w:ascii="Times New Roman" w:hAnsi="Times New Roman" w:eastAsia="Times New Roman" w:cs="Times New Roman"/>
                <w:spacing w:val="7"/>
              </w:rPr>
              <w:t>Ⅷ</w:t>
            </w:r>
            <w:r>
              <w:rPr>
                <w:spacing w:val="7"/>
              </w:rPr>
              <w:t>回线：单、双、四回路架</w:t>
            </w:r>
            <w:r>
              <w:rPr>
                <w:spacing w:val="-3"/>
              </w:rPr>
              <w:t>设。线路全长</w:t>
            </w:r>
            <w:r>
              <w:rPr>
                <w:spacing w:val="-33"/>
              </w:rPr>
              <w:t xml:space="preserve"> </w:t>
            </w:r>
            <w:r>
              <w:rPr>
                <w:rFonts w:ascii="Times New Roman" w:hAnsi="Times New Roman" w:eastAsia="Times New Roman" w:cs="Times New Roman"/>
                <w:spacing w:val="-3"/>
              </w:rPr>
              <w:t>2.861km</w:t>
            </w:r>
            <w:r>
              <w:rPr>
                <w:spacing w:val="-3"/>
              </w:rPr>
              <w:t>，导线截面</w:t>
            </w:r>
            <w:r>
              <w:rPr>
                <w:spacing w:val="-40"/>
              </w:rPr>
              <w:t xml:space="preserve"> </w:t>
            </w:r>
            <w:r>
              <w:rPr>
                <w:rFonts w:ascii="Times New Roman" w:hAnsi="Times New Roman" w:eastAsia="Times New Roman" w:cs="Times New Roman"/>
                <w:spacing w:val="-3"/>
              </w:rPr>
              <w:t>240mm</w:t>
            </w:r>
            <w:r>
              <w:rPr>
                <w:rFonts w:ascii="Times New Roman" w:hAnsi="Times New Roman" w:eastAsia="Times New Roman" w:cs="Times New Roman"/>
                <w:spacing w:val="-3"/>
                <w:position w:val="6"/>
                <w:sz w:val="13"/>
                <w:szCs w:val="13"/>
              </w:rPr>
              <w:t>2</w:t>
            </w:r>
            <w:r>
              <w:rPr>
                <w:spacing w:val="-3"/>
              </w:rPr>
              <w:t>。</w:t>
            </w:r>
            <w:r>
              <w:t xml:space="preserve"> </w:t>
            </w:r>
            <w:r>
              <w:rPr>
                <w:rFonts w:ascii="Times New Roman" w:hAnsi="Times New Roman" w:eastAsia="Times New Roman" w:cs="Times New Roman"/>
                <w:spacing w:val="9"/>
              </w:rPr>
              <w:t>10</w:t>
            </w:r>
            <w:r>
              <w:rPr>
                <w:rFonts w:ascii="Times New Roman" w:hAnsi="Times New Roman" w:eastAsia="Times New Roman" w:cs="Times New Roman"/>
              </w:rPr>
              <w:t>kV</w:t>
            </w:r>
            <w:r>
              <w:rPr>
                <w:rFonts w:ascii="Times New Roman" w:hAnsi="Times New Roman" w:eastAsia="Times New Roman" w:cs="Times New Roman"/>
                <w:spacing w:val="9"/>
              </w:rPr>
              <w:t xml:space="preserve"> </w:t>
            </w:r>
            <w:r>
              <w:rPr>
                <w:spacing w:val="9"/>
              </w:rPr>
              <w:t>松山变</w:t>
            </w:r>
            <w:r>
              <w:rPr>
                <w:rFonts w:ascii="Times New Roman" w:hAnsi="Times New Roman" w:eastAsia="Times New Roman" w:cs="Times New Roman"/>
                <w:spacing w:val="9"/>
              </w:rPr>
              <w:t>Ⅸ</w:t>
            </w:r>
            <w:r>
              <w:rPr>
                <w:spacing w:val="9"/>
              </w:rPr>
              <w:t>回线：单、双、四回路架</w:t>
            </w:r>
            <w:r>
              <w:rPr>
                <w:spacing w:val="1"/>
              </w:rPr>
              <w:t>设。线路全长</w:t>
            </w:r>
            <w:r>
              <w:rPr>
                <w:spacing w:val="-28"/>
              </w:rPr>
              <w:t xml:space="preserve"> </w:t>
            </w:r>
            <w:r>
              <w:rPr>
                <w:rFonts w:ascii="Times New Roman" w:hAnsi="Times New Roman" w:eastAsia="Times New Roman" w:cs="Times New Roman"/>
                <w:spacing w:val="1"/>
              </w:rPr>
              <w:t>0.98</w:t>
            </w:r>
            <w:r>
              <w:rPr>
                <w:rFonts w:ascii="Times New Roman" w:hAnsi="Times New Roman" w:eastAsia="Times New Roman" w:cs="Times New Roman"/>
              </w:rPr>
              <w:t>km</w:t>
            </w:r>
            <w:r>
              <w:rPr>
                <w:spacing w:val="1"/>
              </w:rPr>
              <w:t>，导线截面</w:t>
            </w:r>
            <w:r>
              <w:rPr>
                <w:spacing w:val="-40"/>
              </w:rPr>
              <w:t xml:space="preserve"> </w:t>
            </w:r>
            <w:r>
              <w:rPr>
                <w:rFonts w:ascii="Times New Roman" w:hAnsi="Times New Roman" w:eastAsia="Times New Roman" w:cs="Times New Roman"/>
                <w:spacing w:val="1"/>
              </w:rPr>
              <w:t>240</w:t>
            </w:r>
            <w:r>
              <w:rPr>
                <w:rFonts w:ascii="Times New Roman" w:hAnsi="Times New Roman" w:eastAsia="Times New Roman" w:cs="Times New Roman"/>
              </w:rPr>
              <w:t>mm</w:t>
            </w:r>
            <w:r>
              <w:rPr>
                <w:rFonts w:ascii="Times New Roman" w:hAnsi="Times New Roman" w:eastAsia="Times New Roman" w:cs="Times New Roman"/>
                <w:spacing w:val="1"/>
                <w:position w:val="6"/>
                <w:sz w:val="13"/>
                <w:szCs w:val="13"/>
              </w:rPr>
              <w:t>2</w:t>
            </w:r>
            <w:r>
              <w:rPr>
                <w:spacing w:val="1"/>
              </w:rPr>
              <w:t>。</w:t>
            </w:r>
          </w:p>
        </w:tc>
        <w:tc>
          <w:tcPr>
            <w:tcW w:w="958" w:type="dxa"/>
            <w:vMerge w:val="continue"/>
            <w:tcBorders>
              <w:top w:val="nil"/>
            </w:tcBorders>
            <w:vAlign w:val="top"/>
          </w:tcPr>
          <w:p w14:paraId="2C059471">
            <w:pPr>
              <w:rPr>
                <w:rFonts w:ascii="Arial"/>
                <w:sz w:val="21"/>
              </w:rPr>
            </w:pPr>
          </w:p>
        </w:tc>
        <w:tc>
          <w:tcPr>
            <w:tcW w:w="852" w:type="dxa"/>
            <w:vMerge w:val="continue"/>
            <w:tcBorders>
              <w:top w:val="nil"/>
            </w:tcBorders>
            <w:vAlign w:val="top"/>
          </w:tcPr>
          <w:p w14:paraId="30A8E718">
            <w:pPr>
              <w:rPr>
                <w:rFonts w:ascii="Arial"/>
                <w:sz w:val="21"/>
              </w:rPr>
            </w:pPr>
          </w:p>
        </w:tc>
        <w:tc>
          <w:tcPr>
            <w:tcW w:w="122" w:type="dxa"/>
            <w:tcBorders>
              <w:top w:val="nil"/>
              <w:bottom w:val="nil"/>
              <w:right w:val="single" w:color="000000" w:sz="6" w:space="0"/>
            </w:tcBorders>
            <w:vAlign w:val="top"/>
          </w:tcPr>
          <w:p w14:paraId="2070C665">
            <w:pPr>
              <w:rPr>
                <w:rFonts w:ascii="Arial"/>
                <w:sz w:val="21"/>
              </w:rPr>
            </w:pPr>
          </w:p>
        </w:tc>
      </w:tr>
      <w:tr w14:paraId="13B68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375" w:type="dxa"/>
            <w:vMerge w:val="continue"/>
            <w:tcBorders>
              <w:top w:val="nil"/>
              <w:left w:val="single" w:color="000000" w:sz="6" w:space="0"/>
              <w:bottom w:val="nil"/>
              <w:right w:val="single" w:color="000000" w:sz="6" w:space="0"/>
            </w:tcBorders>
            <w:vAlign w:val="top"/>
          </w:tcPr>
          <w:p w14:paraId="17181A0B">
            <w:pPr>
              <w:rPr>
                <w:rFonts w:ascii="Arial"/>
                <w:sz w:val="21"/>
              </w:rPr>
            </w:pPr>
          </w:p>
        </w:tc>
        <w:tc>
          <w:tcPr>
            <w:tcW w:w="113" w:type="dxa"/>
            <w:tcBorders>
              <w:top w:val="nil"/>
              <w:left w:val="single" w:color="000000" w:sz="6" w:space="0"/>
              <w:bottom w:val="nil"/>
            </w:tcBorders>
            <w:vAlign w:val="top"/>
          </w:tcPr>
          <w:p w14:paraId="01149077">
            <w:pPr>
              <w:rPr>
                <w:rFonts w:ascii="Arial"/>
                <w:sz w:val="21"/>
              </w:rPr>
            </w:pPr>
          </w:p>
        </w:tc>
        <w:tc>
          <w:tcPr>
            <w:tcW w:w="457" w:type="dxa"/>
            <w:textDirection w:val="tbRlV"/>
            <w:vAlign w:val="top"/>
          </w:tcPr>
          <w:p w14:paraId="1696C799">
            <w:pPr>
              <w:pStyle w:val="6"/>
              <w:spacing w:before="127" w:line="217" w:lineRule="auto"/>
              <w:ind w:left="314"/>
            </w:pPr>
            <w:r>
              <w:rPr>
                <w:spacing w:val="8"/>
              </w:rPr>
              <w:t>间</w:t>
            </w:r>
            <w:r>
              <w:rPr>
                <w:spacing w:val="-36"/>
              </w:rPr>
              <w:t xml:space="preserve"> </w:t>
            </w:r>
            <w:r>
              <w:rPr>
                <w:spacing w:val="8"/>
              </w:rPr>
              <w:t>隔</w:t>
            </w:r>
            <w:r>
              <w:rPr>
                <w:spacing w:val="-35"/>
              </w:rPr>
              <w:t xml:space="preserve"> </w:t>
            </w:r>
            <w:r>
              <w:rPr>
                <w:spacing w:val="8"/>
              </w:rPr>
              <w:t>工</w:t>
            </w:r>
            <w:r>
              <w:rPr>
                <w:spacing w:val="-35"/>
              </w:rPr>
              <w:t xml:space="preserve"> </w:t>
            </w:r>
            <w:r>
              <w:rPr>
                <w:spacing w:val="8"/>
              </w:rPr>
              <w:t>程</w:t>
            </w:r>
          </w:p>
        </w:tc>
        <w:tc>
          <w:tcPr>
            <w:tcW w:w="1660" w:type="dxa"/>
            <w:vAlign w:val="top"/>
          </w:tcPr>
          <w:p w14:paraId="05E305A0">
            <w:pPr>
              <w:spacing w:line="258" w:lineRule="auto"/>
              <w:rPr>
                <w:rFonts w:ascii="Arial"/>
                <w:sz w:val="21"/>
              </w:rPr>
            </w:pPr>
          </w:p>
          <w:p w14:paraId="3C38D2F7">
            <w:pPr>
              <w:spacing w:line="258" w:lineRule="auto"/>
              <w:rPr>
                <w:rFonts w:ascii="Arial"/>
                <w:sz w:val="21"/>
              </w:rPr>
            </w:pPr>
          </w:p>
          <w:p w14:paraId="1177B7BD">
            <w:pPr>
              <w:pStyle w:val="6"/>
              <w:spacing w:before="65" w:line="255" w:lineRule="auto"/>
              <w:ind w:left="120" w:right="110" w:hanging="13"/>
            </w:pPr>
            <w:r>
              <w:rPr>
                <w:spacing w:val="39"/>
              </w:rPr>
              <w:t>对侧变电站间</w:t>
            </w:r>
            <w:r>
              <w:t>隔</w:t>
            </w:r>
          </w:p>
        </w:tc>
        <w:tc>
          <w:tcPr>
            <w:tcW w:w="3987" w:type="dxa"/>
            <w:vAlign w:val="top"/>
          </w:tcPr>
          <w:p w14:paraId="59CA8CFA">
            <w:pPr>
              <w:spacing w:line="246" w:lineRule="auto"/>
              <w:rPr>
                <w:rFonts w:ascii="Arial"/>
                <w:sz w:val="21"/>
              </w:rPr>
            </w:pPr>
          </w:p>
          <w:p w14:paraId="31068828">
            <w:pPr>
              <w:pStyle w:val="6"/>
              <w:spacing w:before="65" w:line="253" w:lineRule="auto"/>
              <w:ind w:left="112" w:right="103" w:hanging="5"/>
              <w:jc w:val="both"/>
            </w:pPr>
            <w:r>
              <w:rPr>
                <w:rFonts w:ascii="Times New Roman" w:hAnsi="Times New Roman" w:eastAsia="Times New Roman" w:cs="Times New Roman"/>
                <w:spacing w:val="4"/>
              </w:rPr>
              <w:t>220</w:t>
            </w:r>
            <w:r>
              <w:rPr>
                <w:rFonts w:ascii="Times New Roman" w:hAnsi="Times New Roman" w:eastAsia="Times New Roman" w:cs="Times New Roman"/>
              </w:rPr>
              <w:t>kV</w:t>
            </w:r>
            <w:r>
              <w:rPr>
                <w:spacing w:val="4"/>
              </w:rPr>
              <w:t>芳华变：本期利用</w:t>
            </w:r>
            <w:r>
              <w:rPr>
                <w:rFonts w:ascii="Times New Roman" w:hAnsi="Times New Roman" w:eastAsia="Times New Roman" w:cs="Times New Roman"/>
                <w:spacing w:val="4"/>
              </w:rPr>
              <w:t>110</w:t>
            </w:r>
            <w:r>
              <w:rPr>
                <w:rFonts w:ascii="Times New Roman" w:hAnsi="Times New Roman" w:eastAsia="Times New Roman" w:cs="Times New Roman"/>
              </w:rPr>
              <w:t>kV</w:t>
            </w:r>
            <w:r>
              <w:rPr>
                <w:spacing w:val="4"/>
              </w:rPr>
              <w:t>出线侧由西</w:t>
            </w:r>
            <w:r>
              <w:rPr>
                <w:spacing w:val="13"/>
              </w:rPr>
              <w:t>至东第</w:t>
            </w:r>
            <w:r>
              <w:rPr>
                <w:rFonts w:ascii="Times New Roman" w:hAnsi="Times New Roman" w:eastAsia="Times New Roman" w:cs="Times New Roman"/>
                <w:spacing w:val="13"/>
              </w:rPr>
              <w:t>15</w:t>
            </w:r>
            <w:r>
              <w:rPr>
                <w:spacing w:val="13"/>
              </w:rPr>
              <w:t>个出线间隔</w:t>
            </w:r>
            <w:r>
              <w:rPr>
                <w:rFonts w:ascii="Times New Roman" w:hAnsi="Times New Roman" w:eastAsia="Times New Roman" w:cs="Times New Roman"/>
                <w:spacing w:val="13"/>
              </w:rPr>
              <w:t>“</w:t>
            </w:r>
            <w:r>
              <w:rPr>
                <w:rFonts w:ascii="Times New Roman" w:hAnsi="Times New Roman" w:eastAsia="Times New Roman" w:cs="Times New Roman"/>
                <w:spacing w:val="-23"/>
              </w:rPr>
              <w:t xml:space="preserve"> </w:t>
            </w:r>
            <w:r>
              <w:rPr>
                <w:spacing w:val="13"/>
              </w:rPr>
              <w:t>备用</w:t>
            </w:r>
            <w:r>
              <w:rPr>
                <w:rFonts w:ascii="Times New Roman" w:hAnsi="Times New Roman" w:eastAsia="Times New Roman" w:cs="Times New Roman"/>
                <w:spacing w:val="13"/>
              </w:rPr>
              <w:t>3</w:t>
            </w:r>
            <w:r>
              <w:rPr>
                <w:spacing w:val="13"/>
              </w:rPr>
              <w:t>出线间隔</w:t>
            </w:r>
            <w:r>
              <w:rPr>
                <w:rFonts w:ascii="Times New Roman" w:hAnsi="Times New Roman" w:eastAsia="Times New Roman" w:cs="Times New Roman"/>
                <w:spacing w:val="13"/>
              </w:rPr>
              <w:t>”</w:t>
            </w:r>
            <w:r>
              <w:rPr>
                <w:spacing w:val="13"/>
              </w:rPr>
              <w:t>进</w:t>
            </w:r>
            <w:r>
              <w:rPr>
                <w:spacing w:val="9"/>
              </w:rPr>
              <w:t>行出线，新增间隔在预留场地内，不新增</w:t>
            </w:r>
            <w:r>
              <w:rPr>
                <w:spacing w:val="2"/>
              </w:rPr>
              <w:t>用地。</w:t>
            </w:r>
          </w:p>
        </w:tc>
        <w:tc>
          <w:tcPr>
            <w:tcW w:w="958" w:type="dxa"/>
            <w:vAlign w:val="top"/>
          </w:tcPr>
          <w:p w14:paraId="6E494988">
            <w:pPr>
              <w:pStyle w:val="6"/>
              <w:spacing w:before="43" w:line="250" w:lineRule="auto"/>
              <w:ind w:left="119" w:right="101" w:hanging="2"/>
            </w:pPr>
            <w:r>
              <w:t>施</w:t>
            </w:r>
            <w:r>
              <w:rPr>
                <w:spacing w:val="-32"/>
              </w:rPr>
              <w:t xml:space="preserve"> </w:t>
            </w:r>
            <w:r>
              <w:t>工</w:t>
            </w:r>
            <w:r>
              <w:rPr>
                <w:spacing w:val="-35"/>
              </w:rPr>
              <w:t xml:space="preserve"> </w:t>
            </w:r>
            <w:r>
              <w:t>扬</w:t>
            </w:r>
            <w:r>
              <w:rPr>
                <w:spacing w:val="-18"/>
              </w:rPr>
              <w:t>尘、施工</w:t>
            </w:r>
          </w:p>
          <w:p w14:paraId="5481BC3C">
            <w:pPr>
              <w:pStyle w:val="6"/>
              <w:spacing w:line="228" w:lineRule="auto"/>
              <w:ind w:left="127"/>
            </w:pPr>
            <w:r>
              <w:rPr>
                <w:spacing w:val="-19"/>
              </w:rPr>
              <w:t>噪声、生</w:t>
            </w:r>
          </w:p>
          <w:p w14:paraId="61629534">
            <w:pPr>
              <w:pStyle w:val="6"/>
              <w:spacing w:before="27" w:line="236" w:lineRule="auto"/>
              <w:ind w:left="117" w:right="40" w:firstLine="3"/>
              <w:jc w:val="both"/>
            </w:pPr>
            <w:r>
              <w:rPr>
                <w:spacing w:val="-3"/>
              </w:rPr>
              <w:t>活污水、</w:t>
            </w:r>
            <w:r>
              <w:rPr>
                <w:spacing w:val="1"/>
              </w:rPr>
              <w:t>固</w:t>
            </w:r>
            <w:r>
              <w:rPr>
                <w:spacing w:val="-35"/>
              </w:rPr>
              <w:t xml:space="preserve"> </w:t>
            </w:r>
            <w:r>
              <w:rPr>
                <w:spacing w:val="1"/>
              </w:rPr>
              <w:t>体</w:t>
            </w:r>
            <w:r>
              <w:rPr>
                <w:spacing w:val="-36"/>
              </w:rPr>
              <w:t xml:space="preserve"> </w:t>
            </w:r>
            <w:r>
              <w:rPr>
                <w:spacing w:val="1"/>
              </w:rPr>
              <w:t>废</w:t>
            </w:r>
            <w:r>
              <w:t>物；</w:t>
            </w:r>
          </w:p>
        </w:tc>
        <w:tc>
          <w:tcPr>
            <w:tcW w:w="852" w:type="dxa"/>
            <w:vAlign w:val="top"/>
          </w:tcPr>
          <w:p w14:paraId="12700C02">
            <w:pPr>
              <w:pStyle w:val="6"/>
              <w:spacing w:before="177" w:line="230" w:lineRule="auto"/>
              <w:ind w:left="122"/>
            </w:pPr>
            <w:r>
              <w:rPr>
                <w:spacing w:val="8"/>
              </w:rPr>
              <w:t>工频电</w:t>
            </w:r>
          </w:p>
          <w:p w14:paraId="01953C17">
            <w:pPr>
              <w:pStyle w:val="6"/>
              <w:spacing w:before="24" w:line="252" w:lineRule="auto"/>
              <w:ind w:left="119" w:right="99"/>
              <w:jc w:val="both"/>
            </w:pPr>
            <w:r>
              <w:rPr>
                <w:spacing w:val="9"/>
              </w:rPr>
              <w:t>场、工</w:t>
            </w:r>
            <w:r>
              <w:rPr>
                <w:spacing w:val="1"/>
              </w:rPr>
              <w:t>频</w:t>
            </w:r>
            <w:r>
              <w:rPr>
                <w:spacing w:val="13"/>
              </w:rPr>
              <w:t xml:space="preserve">  </w:t>
            </w:r>
            <w:r>
              <w:rPr>
                <w:spacing w:val="1"/>
              </w:rPr>
              <w:t>磁</w:t>
            </w:r>
            <w:r>
              <w:rPr>
                <w:spacing w:val="9"/>
              </w:rPr>
              <w:t>场、噪</w:t>
            </w:r>
            <w:r>
              <w:t>声；</w:t>
            </w:r>
          </w:p>
        </w:tc>
        <w:tc>
          <w:tcPr>
            <w:tcW w:w="122" w:type="dxa"/>
            <w:tcBorders>
              <w:top w:val="nil"/>
              <w:bottom w:val="nil"/>
              <w:right w:val="single" w:color="000000" w:sz="6" w:space="0"/>
            </w:tcBorders>
            <w:vAlign w:val="top"/>
          </w:tcPr>
          <w:p w14:paraId="1CFAF671">
            <w:pPr>
              <w:rPr>
                <w:rFonts w:ascii="Arial"/>
                <w:sz w:val="21"/>
              </w:rPr>
            </w:pPr>
          </w:p>
        </w:tc>
      </w:tr>
      <w:tr w14:paraId="257C1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375" w:type="dxa"/>
            <w:vMerge w:val="continue"/>
            <w:tcBorders>
              <w:top w:val="nil"/>
              <w:left w:val="single" w:color="000000" w:sz="6" w:space="0"/>
              <w:bottom w:val="nil"/>
              <w:right w:val="single" w:color="000000" w:sz="6" w:space="0"/>
            </w:tcBorders>
            <w:vAlign w:val="top"/>
          </w:tcPr>
          <w:p w14:paraId="5F9830C6">
            <w:pPr>
              <w:rPr>
                <w:rFonts w:ascii="Arial"/>
                <w:sz w:val="21"/>
              </w:rPr>
            </w:pPr>
          </w:p>
        </w:tc>
        <w:tc>
          <w:tcPr>
            <w:tcW w:w="113" w:type="dxa"/>
            <w:tcBorders>
              <w:top w:val="nil"/>
              <w:left w:val="single" w:color="000000" w:sz="6" w:space="0"/>
              <w:bottom w:val="nil"/>
            </w:tcBorders>
            <w:vAlign w:val="top"/>
          </w:tcPr>
          <w:p w14:paraId="5892809B">
            <w:pPr>
              <w:rPr>
                <w:rFonts w:ascii="Arial"/>
                <w:sz w:val="21"/>
              </w:rPr>
            </w:pPr>
          </w:p>
        </w:tc>
        <w:tc>
          <w:tcPr>
            <w:tcW w:w="457" w:type="dxa"/>
            <w:vMerge w:val="restart"/>
            <w:tcBorders>
              <w:bottom w:val="nil"/>
            </w:tcBorders>
            <w:textDirection w:val="tbRlV"/>
            <w:vAlign w:val="top"/>
          </w:tcPr>
          <w:p w14:paraId="5240C1C0">
            <w:pPr>
              <w:pStyle w:val="6"/>
              <w:spacing w:before="127" w:line="216" w:lineRule="auto"/>
              <w:ind w:left="462"/>
            </w:pPr>
            <w:r>
              <w:rPr>
                <w:spacing w:val="8"/>
              </w:rPr>
              <w:t>临</w:t>
            </w:r>
            <w:r>
              <w:rPr>
                <w:spacing w:val="-36"/>
              </w:rPr>
              <w:t xml:space="preserve"> </w:t>
            </w:r>
            <w:r>
              <w:rPr>
                <w:spacing w:val="8"/>
              </w:rPr>
              <w:t>时</w:t>
            </w:r>
            <w:r>
              <w:rPr>
                <w:spacing w:val="-35"/>
              </w:rPr>
              <w:t xml:space="preserve"> </w:t>
            </w:r>
            <w:r>
              <w:rPr>
                <w:spacing w:val="8"/>
              </w:rPr>
              <w:t>工</w:t>
            </w:r>
            <w:r>
              <w:rPr>
                <w:spacing w:val="-38"/>
              </w:rPr>
              <w:t xml:space="preserve"> </w:t>
            </w:r>
            <w:r>
              <w:rPr>
                <w:spacing w:val="8"/>
              </w:rPr>
              <w:t>程</w:t>
            </w:r>
          </w:p>
        </w:tc>
        <w:tc>
          <w:tcPr>
            <w:tcW w:w="1660" w:type="dxa"/>
            <w:vAlign w:val="top"/>
          </w:tcPr>
          <w:p w14:paraId="10A29D0A">
            <w:pPr>
              <w:spacing w:line="249" w:lineRule="auto"/>
              <w:rPr>
                <w:rFonts w:ascii="Arial"/>
                <w:sz w:val="21"/>
              </w:rPr>
            </w:pPr>
          </w:p>
          <w:p w14:paraId="07420967">
            <w:pPr>
              <w:pStyle w:val="6"/>
              <w:spacing w:before="65" w:line="228" w:lineRule="auto"/>
              <w:ind w:left="621"/>
            </w:pPr>
            <w:r>
              <w:rPr>
                <w:spacing w:val="4"/>
              </w:rPr>
              <w:t>料场</w:t>
            </w:r>
          </w:p>
        </w:tc>
        <w:tc>
          <w:tcPr>
            <w:tcW w:w="3987" w:type="dxa"/>
            <w:vAlign w:val="top"/>
          </w:tcPr>
          <w:p w14:paraId="0190D3CD">
            <w:pPr>
              <w:pStyle w:val="6"/>
              <w:spacing w:before="43" w:line="233" w:lineRule="auto"/>
              <w:ind w:left="110" w:right="103" w:firstLine="3"/>
              <w:jc w:val="both"/>
            </w:pPr>
            <w:r>
              <w:rPr>
                <w:spacing w:val="9"/>
              </w:rPr>
              <w:t>工程施工过程中使用的混凝土粗、细骨料及块石料从所在镇区合法料场购买，施工</w:t>
            </w:r>
            <w:r>
              <w:rPr>
                <w:spacing w:val="8"/>
              </w:rPr>
              <w:t>现场不设置取土场和砂石料加工系统。</w:t>
            </w:r>
          </w:p>
        </w:tc>
        <w:tc>
          <w:tcPr>
            <w:tcW w:w="958" w:type="dxa"/>
            <w:vAlign w:val="top"/>
          </w:tcPr>
          <w:p w14:paraId="1DFBA625">
            <w:pPr>
              <w:spacing w:before="62" w:line="199"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52" w:type="dxa"/>
            <w:vAlign w:val="top"/>
          </w:tcPr>
          <w:p w14:paraId="6AAD358C">
            <w:pPr>
              <w:spacing w:before="62" w:line="199" w:lineRule="auto"/>
              <w:ind w:left="1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2" w:type="dxa"/>
            <w:tcBorders>
              <w:top w:val="nil"/>
              <w:bottom w:val="nil"/>
              <w:right w:val="single" w:color="000000" w:sz="6" w:space="0"/>
            </w:tcBorders>
            <w:vAlign w:val="top"/>
          </w:tcPr>
          <w:p w14:paraId="018B5C44">
            <w:pPr>
              <w:rPr>
                <w:rFonts w:ascii="Arial"/>
                <w:sz w:val="21"/>
              </w:rPr>
            </w:pPr>
          </w:p>
        </w:tc>
      </w:tr>
      <w:tr w14:paraId="212E25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375" w:type="dxa"/>
            <w:vMerge w:val="continue"/>
            <w:tcBorders>
              <w:top w:val="nil"/>
              <w:left w:val="single" w:color="000000" w:sz="6" w:space="0"/>
              <w:bottom w:val="nil"/>
              <w:right w:val="single" w:color="000000" w:sz="6" w:space="0"/>
            </w:tcBorders>
            <w:vAlign w:val="top"/>
          </w:tcPr>
          <w:p w14:paraId="41E5E062">
            <w:pPr>
              <w:rPr>
                <w:rFonts w:ascii="Arial"/>
                <w:sz w:val="21"/>
              </w:rPr>
            </w:pPr>
          </w:p>
        </w:tc>
        <w:tc>
          <w:tcPr>
            <w:tcW w:w="113" w:type="dxa"/>
            <w:tcBorders>
              <w:top w:val="nil"/>
              <w:left w:val="single" w:color="000000" w:sz="6" w:space="0"/>
              <w:bottom w:val="nil"/>
            </w:tcBorders>
            <w:vAlign w:val="top"/>
          </w:tcPr>
          <w:p w14:paraId="0C4A4419">
            <w:pPr>
              <w:rPr>
                <w:rFonts w:ascii="Arial"/>
                <w:sz w:val="21"/>
              </w:rPr>
            </w:pPr>
          </w:p>
        </w:tc>
        <w:tc>
          <w:tcPr>
            <w:tcW w:w="457" w:type="dxa"/>
            <w:vMerge w:val="continue"/>
            <w:tcBorders>
              <w:top w:val="nil"/>
              <w:bottom w:val="nil"/>
            </w:tcBorders>
            <w:textDirection w:val="tbRlV"/>
            <w:vAlign w:val="top"/>
          </w:tcPr>
          <w:p w14:paraId="0EB9B344">
            <w:pPr>
              <w:rPr>
                <w:rFonts w:ascii="Arial"/>
                <w:sz w:val="21"/>
              </w:rPr>
            </w:pPr>
          </w:p>
        </w:tc>
        <w:tc>
          <w:tcPr>
            <w:tcW w:w="1660" w:type="dxa"/>
            <w:vAlign w:val="top"/>
          </w:tcPr>
          <w:p w14:paraId="148D819C">
            <w:pPr>
              <w:spacing w:line="261" w:lineRule="auto"/>
              <w:rPr>
                <w:rFonts w:ascii="Arial"/>
                <w:sz w:val="21"/>
              </w:rPr>
            </w:pPr>
          </w:p>
          <w:p w14:paraId="1FCC7E8A">
            <w:pPr>
              <w:pStyle w:val="6"/>
              <w:spacing w:before="65" w:line="228" w:lineRule="auto"/>
              <w:ind w:left="409"/>
            </w:pPr>
            <w:r>
              <w:rPr>
                <w:spacing w:val="7"/>
              </w:rPr>
              <w:t>表土堆场</w:t>
            </w:r>
          </w:p>
        </w:tc>
        <w:tc>
          <w:tcPr>
            <w:tcW w:w="3987" w:type="dxa"/>
            <w:vAlign w:val="top"/>
          </w:tcPr>
          <w:p w14:paraId="263DBBBC">
            <w:pPr>
              <w:pStyle w:val="6"/>
              <w:spacing w:before="54" w:line="254" w:lineRule="auto"/>
              <w:ind w:left="110" w:right="101" w:firstLine="1"/>
            </w:pPr>
            <w:r>
              <w:rPr>
                <w:spacing w:val="21"/>
              </w:rPr>
              <w:t>本项目在变电站内及线路塔基周围设置</w:t>
            </w:r>
            <w:r>
              <w:rPr>
                <w:spacing w:val="7"/>
              </w:rPr>
              <w:t>表土临时堆场；</w:t>
            </w:r>
          </w:p>
        </w:tc>
        <w:tc>
          <w:tcPr>
            <w:tcW w:w="958" w:type="dxa"/>
            <w:vAlign w:val="top"/>
          </w:tcPr>
          <w:p w14:paraId="3A45EA42">
            <w:pPr>
              <w:pStyle w:val="6"/>
              <w:spacing w:before="55" w:line="233" w:lineRule="auto"/>
              <w:ind w:left="117" w:right="101"/>
              <w:jc w:val="both"/>
            </w:pPr>
            <w:r>
              <w:t>施</w:t>
            </w:r>
            <w:r>
              <w:rPr>
                <w:spacing w:val="-32"/>
              </w:rPr>
              <w:t xml:space="preserve"> </w:t>
            </w:r>
            <w:r>
              <w:t>工</w:t>
            </w:r>
            <w:r>
              <w:rPr>
                <w:spacing w:val="-35"/>
              </w:rPr>
              <w:t xml:space="preserve"> </w:t>
            </w:r>
            <w:r>
              <w:t>扬</w:t>
            </w:r>
            <w:r>
              <w:rPr>
                <w:spacing w:val="-17"/>
              </w:rPr>
              <w:t>尘、固体</w:t>
            </w:r>
            <w:r>
              <w:rPr>
                <w:spacing w:val="3"/>
              </w:rPr>
              <w:t>废物；</w:t>
            </w:r>
          </w:p>
        </w:tc>
        <w:tc>
          <w:tcPr>
            <w:tcW w:w="852" w:type="dxa"/>
            <w:vAlign w:val="top"/>
          </w:tcPr>
          <w:p w14:paraId="77AB434E">
            <w:pPr>
              <w:rPr>
                <w:rFonts w:ascii="Arial"/>
                <w:sz w:val="21"/>
              </w:rPr>
            </w:pPr>
          </w:p>
        </w:tc>
        <w:tc>
          <w:tcPr>
            <w:tcW w:w="122" w:type="dxa"/>
            <w:tcBorders>
              <w:top w:val="nil"/>
              <w:bottom w:val="nil"/>
              <w:right w:val="single" w:color="000000" w:sz="6" w:space="0"/>
            </w:tcBorders>
            <w:vAlign w:val="top"/>
          </w:tcPr>
          <w:p w14:paraId="7F595347">
            <w:pPr>
              <w:rPr>
                <w:rFonts w:ascii="Arial"/>
                <w:sz w:val="21"/>
              </w:rPr>
            </w:pPr>
          </w:p>
        </w:tc>
      </w:tr>
      <w:tr w14:paraId="4882A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375" w:type="dxa"/>
            <w:vMerge w:val="continue"/>
            <w:tcBorders>
              <w:top w:val="nil"/>
              <w:left w:val="single" w:color="000000" w:sz="6" w:space="0"/>
              <w:bottom w:val="single" w:color="000000" w:sz="6" w:space="0"/>
              <w:right w:val="single" w:color="000000" w:sz="6" w:space="0"/>
            </w:tcBorders>
            <w:vAlign w:val="top"/>
          </w:tcPr>
          <w:p w14:paraId="1666FDB4">
            <w:pPr>
              <w:rPr>
                <w:rFonts w:ascii="Arial"/>
                <w:sz w:val="21"/>
              </w:rPr>
            </w:pPr>
          </w:p>
        </w:tc>
        <w:tc>
          <w:tcPr>
            <w:tcW w:w="113" w:type="dxa"/>
            <w:tcBorders>
              <w:top w:val="nil"/>
              <w:left w:val="single" w:color="000000" w:sz="6" w:space="0"/>
              <w:bottom w:val="single" w:color="000000" w:sz="6" w:space="0"/>
            </w:tcBorders>
            <w:vAlign w:val="top"/>
          </w:tcPr>
          <w:p w14:paraId="7C086DD4">
            <w:pPr>
              <w:rPr>
                <w:rFonts w:ascii="Arial"/>
                <w:sz w:val="21"/>
              </w:rPr>
            </w:pPr>
          </w:p>
        </w:tc>
        <w:tc>
          <w:tcPr>
            <w:tcW w:w="457" w:type="dxa"/>
            <w:vMerge w:val="continue"/>
            <w:tcBorders>
              <w:top w:val="nil"/>
              <w:bottom w:val="single" w:color="000000" w:sz="6" w:space="0"/>
            </w:tcBorders>
            <w:textDirection w:val="tbRlV"/>
            <w:vAlign w:val="top"/>
          </w:tcPr>
          <w:p w14:paraId="6A5DB234">
            <w:pPr>
              <w:rPr>
                <w:rFonts w:ascii="Arial"/>
                <w:sz w:val="21"/>
              </w:rPr>
            </w:pPr>
          </w:p>
        </w:tc>
        <w:tc>
          <w:tcPr>
            <w:tcW w:w="1660" w:type="dxa"/>
            <w:tcBorders>
              <w:bottom w:val="single" w:color="000000" w:sz="6" w:space="0"/>
            </w:tcBorders>
            <w:vAlign w:val="top"/>
          </w:tcPr>
          <w:p w14:paraId="7BDDB6BE">
            <w:pPr>
              <w:pStyle w:val="6"/>
              <w:spacing w:before="54" w:line="216" w:lineRule="auto"/>
              <w:ind w:left="519"/>
            </w:pPr>
            <w:r>
              <w:rPr>
                <w:spacing w:val="5"/>
              </w:rPr>
              <w:t>弃渣场</w:t>
            </w:r>
          </w:p>
        </w:tc>
        <w:tc>
          <w:tcPr>
            <w:tcW w:w="3987" w:type="dxa"/>
            <w:tcBorders>
              <w:bottom w:val="single" w:color="000000" w:sz="6" w:space="0"/>
            </w:tcBorders>
            <w:vAlign w:val="top"/>
          </w:tcPr>
          <w:p w14:paraId="6C82830F">
            <w:pPr>
              <w:pStyle w:val="6"/>
              <w:spacing w:before="54" w:line="216" w:lineRule="auto"/>
              <w:ind w:left="112"/>
            </w:pPr>
            <w:r>
              <w:rPr>
                <w:spacing w:val="6"/>
              </w:rPr>
              <w:t>本项目共开挖土石方</w:t>
            </w:r>
            <w:r>
              <w:rPr>
                <w:rFonts w:ascii="Times New Roman" w:hAnsi="Times New Roman" w:eastAsia="Times New Roman" w:cs="Times New Roman"/>
                <w:spacing w:val="6"/>
              </w:rPr>
              <w:t>15500m</w:t>
            </w:r>
            <w:r>
              <w:rPr>
                <w:rFonts w:ascii="Times New Roman" w:hAnsi="Times New Roman" w:eastAsia="Times New Roman" w:cs="Times New Roman"/>
                <w:spacing w:val="6"/>
                <w:position w:val="6"/>
                <w:sz w:val="13"/>
                <w:szCs w:val="13"/>
              </w:rPr>
              <w:t>3</w:t>
            </w:r>
            <w:r>
              <w:rPr>
                <w:rFonts w:ascii="Times New Roman" w:hAnsi="Times New Roman" w:eastAsia="Times New Roman" w:cs="Times New Roman"/>
                <w:spacing w:val="4"/>
                <w:position w:val="6"/>
                <w:sz w:val="13"/>
                <w:szCs w:val="13"/>
              </w:rPr>
              <w:t xml:space="preserve"> </w:t>
            </w:r>
            <w:r>
              <w:rPr>
                <w:spacing w:val="6"/>
              </w:rPr>
              <w:t>，站址及塔</w:t>
            </w:r>
          </w:p>
        </w:tc>
        <w:tc>
          <w:tcPr>
            <w:tcW w:w="958" w:type="dxa"/>
            <w:tcBorders>
              <w:bottom w:val="single" w:color="000000" w:sz="6" w:space="0"/>
            </w:tcBorders>
            <w:vAlign w:val="top"/>
          </w:tcPr>
          <w:p w14:paraId="1A2643AF">
            <w:pPr>
              <w:spacing w:before="72" w:line="199"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52" w:type="dxa"/>
            <w:tcBorders>
              <w:bottom w:val="single" w:color="000000" w:sz="6" w:space="0"/>
            </w:tcBorders>
            <w:vAlign w:val="top"/>
          </w:tcPr>
          <w:p w14:paraId="2BCB3870">
            <w:pPr>
              <w:spacing w:before="72" w:line="199" w:lineRule="auto"/>
              <w:ind w:left="1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2" w:type="dxa"/>
            <w:tcBorders>
              <w:top w:val="nil"/>
              <w:bottom w:val="single" w:color="000000" w:sz="6" w:space="0"/>
              <w:right w:val="single" w:color="000000" w:sz="6" w:space="0"/>
            </w:tcBorders>
            <w:vAlign w:val="top"/>
          </w:tcPr>
          <w:p w14:paraId="1B14FD0E">
            <w:pPr>
              <w:rPr>
                <w:rFonts w:ascii="Arial"/>
                <w:sz w:val="21"/>
              </w:rPr>
            </w:pPr>
          </w:p>
        </w:tc>
      </w:tr>
    </w:tbl>
    <w:p w14:paraId="244BB891">
      <w:pPr>
        <w:rPr>
          <w:rFonts w:ascii="Arial"/>
          <w:sz w:val="21"/>
        </w:rPr>
      </w:pPr>
    </w:p>
    <w:p w14:paraId="4ECBE81A">
      <w:pPr>
        <w:rPr>
          <w:rFonts w:ascii="Arial" w:hAnsi="Arial" w:eastAsia="Arial" w:cs="Arial"/>
          <w:sz w:val="21"/>
          <w:szCs w:val="21"/>
        </w:rPr>
        <w:sectPr>
          <w:footerReference r:id="rId43" w:type="default"/>
          <w:pgSz w:w="11907" w:h="16840"/>
          <w:pgMar w:top="400" w:right="1684" w:bottom="1240" w:left="1683" w:header="0" w:footer="1077" w:gutter="0"/>
          <w:cols w:space="720" w:num="1"/>
        </w:sectPr>
      </w:pPr>
    </w:p>
    <w:p w14:paraId="35E7BF0E">
      <w:pPr>
        <w:spacing w:before="19"/>
      </w:pPr>
    </w:p>
    <w:p w14:paraId="2E50F60E">
      <w:pPr>
        <w:spacing w:before="19"/>
      </w:pPr>
    </w:p>
    <w:p w14:paraId="2C375078">
      <w:pPr>
        <w:spacing w:before="18"/>
      </w:pPr>
    </w:p>
    <w:p w14:paraId="407EF64C">
      <w:pPr>
        <w:spacing w:before="18"/>
      </w:pPr>
    </w:p>
    <w:tbl>
      <w:tblPr>
        <w:tblStyle w:val="5"/>
        <w:tblW w:w="852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5"/>
        <w:gridCol w:w="113"/>
        <w:gridCol w:w="457"/>
        <w:gridCol w:w="374"/>
        <w:gridCol w:w="1286"/>
        <w:gridCol w:w="3987"/>
        <w:gridCol w:w="958"/>
        <w:gridCol w:w="852"/>
        <w:gridCol w:w="122"/>
      </w:tblGrid>
      <w:tr w14:paraId="5BA00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375" w:type="dxa"/>
            <w:vMerge w:val="restart"/>
            <w:tcBorders>
              <w:top w:val="single" w:color="000000" w:sz="6" w:space="0"/>
              <w:left w:val="single" w:color="000000" w:sz="6" w:space="0"/>
              <w:bottom w:val="nil"/>
              <w:right w:val="single" w:color="000000" w:sz="6" w:space="0"/>
            </w:tcBorders>
            <w:vAlign w:val="top"/>
          </w:tcPr>
          <w:p w14:paraId="12EDCDA1">
            <w:pPr>
              <w:rPr>
                <w:rFonts w:ascii="Arial"/>
                <w:sz w:val="21"/>
              </w:rPr>
            </w:pPr>
          </w:p>
        </w:tc>
        <w:tc>
          <w:tcPr>
            <w:tcW w:w="113" w:type="dxa"/>
            <w:tcBorders>
              <w:top w:val="single" w:color="000000" w:sz="6" w:space="0"/>
              <w:left w:val="single" w:color="000000" w:sz="6" w:space="0"/>
              <w:bottom w:val="nil"/>
            </w:tcBorders>
            <w:vAlign w:val="top"/>
          </w:tcPr>
          <w:p w14:paraId="1384197B">
            <w:pPr>
              <w:rPr>
                <w:rFonts w:ascii="Arial"/>
                <w:sz w:val="21"/>
              </w:rPr>
            </w:pPr>
          </w:p>
        </w:tc>
        <w:tc>
          <w:tcPr>
            <w:tcW w:w="457" w:type="dxa"/>
            <w:vMerge w:val="restart"/>
            <w:tcBorders>
              <w:top w:val="single" w:color="000000" w:sz="6" w:space="0"/>
              <w:bottom w:val="nil"/>
            </w:tcBorders>
            <w:vAlign w:val="top"/>
          </w:tcPr>
          <w:p w14:paraId="4D419898">
            <w:pPr>
              <w:rPr>
                <w:rFonts w:ascii="Arial"/>
                <w:sz w:val="21"/>
              </w:rPr>
            </w:pPr>
          </w:p>
        </w:tc>
        <w:tc>
          <w:tcPr>
            <w:tcW w:w="1660" w:type="dxa"/>
            <w:gridSpan w:val="2"/>
            <w:tcBorders>
              <w:top w:val="single" w:color="000000" w:sz="6" w:space="0"/>
            </w:tcBorders>
            <w:vAlign w:val="top"/>
          </w:tcPr>
          <w:p w14:paraId="49215EF6">
            <w:pPr>
              <w:rPr>
                <w:rFonts w:ascii="Arial"/>
                <w:sz w:val="21"/>
              </w:rPr>
            </w:pPr>
          </w:p>
        </w:tc>
        <w:tc>
          <w:tcPr>
            <w:tcW w:w="3987" w:type="dxa"/>
            <w:tcBorders>
              <w:top w:val="single" w:color="000000" w:sz="6" w:space="0"/>
            </w:tcBorders>
            <w:vAlign w:val="top"/>
          </w:tcPr>
          <w:p w14:paraId="21554810">
            <w:pPr>
              <w:pStyle w:val="6"/>
              <w:spacing w:before="47" w:line="239" w:lineRule="auto"/>
              <w:ind w:left="110" w:right="103"/>
              <w:jc w:val="both"/>
            </w:pPr>
            <w:r>
              <w:rPr>
                <w:spacing w:val="6"/>
              </w:rPr>
              <w:t>基回填</w:t>
            </w:r>
            <w:r>
              <w:rPr>
                <w:rFonts w:ascii="Times New Roman" w:hAnsi="Times New Roman" w:eastAsia="Times New Roman" w:cs="Times New Roman"/>
                <w:spacing w:val="6"/>
              </w:rPr>
              <w:t>15500m</w:t>
            </w:r>
            <w:r>
              <w:rPr>
                <w:rFonts w:ascii="Times New Roman" w:hAnsi="Times New Roman" w:eastAsia="Times New Roman" w:cs="Times New Roman"/>
                <w:spacing w:val="6"/>
                <w:position w:val="6"/>
                <w:sz w:val="13"/>
                <w:szCs w:val="13"/>
              </w:rPr>
              <w:t>3</w:t>
            </w:r>
            <w:r>
              <w:rPr>
                <w:rFonts w:ascii="Times New Roman" w:hAnsi="Times New Roman" w:eastAsia="Times New Roman" w:cs="Times New Roman"/>
                <w:spacing w:val="5"/>
                <w:position w:val="6"/>
                <w:sz w:val="13"/>
                <w:szCs w:val="13"/>
              </w:rPr>
              <w:t xml:space="preserve"> </w:t>
            </w:r>
            <w:r>
              <w:rPr>
                <w:spacing w:val="6"/>
              </w:rPr>
              <w:t>，产生开挖的土石方全部</w:t>
            </w:r>
            <w:r>
              <w:rPr>
                <w:spacing w:val="9"/>
              </w:rPr>
              <w:t>用于自身回填，不产生弃方，不设置取土</w:t>
            </w:r>
            <w:r>
              <w:rPr>
                <w:spacing w:val="7"/>
              </w:rPr>
              <w:t>场和永久弃渣场。</w:t>
            </w:r>
          </w:p>
        </w:tc>
        <w:tc>
          <w:tcPr>
            <w:tcW w:w="958" w:type="dxa"/>
            <w:tcBorders>
              <w:top w:val="single" w:color="000000" w:sz="6" w:space="0"/>
            </w:tcBorders>
            <w:vAlign w:val="top"/>
          </w:tcPr>
          <w:p w14:paraId="50094D0B">
            <w:pPr>
              <w:rPr>
                <w:rFonts w:ascii="Arial"/>
                <w:sz w:val="21"/>
              </w:rPr>
            </w:pPr>
          </w:p>
        </w:tc>
        <w:tc>
          <w:tcPr>
            <w:tcW w:w="852" w:type="dxa"/>
            <w:tcBorders>
              <w:top w:val="single" w:color="000000" w:sz="6" w:space="0"/>
            </w:tcBorders>
            <w:vAlign w:val="top"/>
          </w:tcPr>
          <w:p w14:paraId="252A670B">
            <w:pPr>
              <w:rPr>
                <w:rFonts w:ascii="Arial"/>
                <w:sz w:val="21"/>
              </w:rPr>
            </w:pPr>
          </w:p>
        </w:tc>
        <w:tc>
          <w:tcPr>
            <w:tcW w:w="122" w:type="dxa"/>
            <w:tcBorders>
              <w:top w:val="single" w:color="000000" w:sz="6" w:space="0"/>
              <w:bottom w:val="nil"/>
              <w:right w:val="single" w:color="000000" w:sz="6" w:space="0"/>
            </w:tcBorders>
            <w:vAlign w:val="top"/>
          </w:tcPr>
          <w:p w14:paraId="6EA83592">
            <w:pPr>
              <w:rPr>
                <w:rFonts w:ascii="Arial"/>
                <w:sz w:val="21"/>
              </w:rPr>
            </w:pPr>
          </w:p>
        </w:tc>
      </w:tr>
      <w:tr w14:paraId="379AC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375" w:type="dxa"/>
            <w:vMerge w:val="continue"/>
            <w:tcBorders>
              <w:top w:val="nil"/>
              <w:left w:val="single" w:color="000000" w:sz="6" w:space="0"/>
              <w:bottom w:val="nil"/>
              <w:right w:val="single" w:color="000000" w:sz="6" w:space="0"/>
            </w:tcBorders>
            <w:vAlign w:val="top"/>
          </w:tcPr>
          <w:p w14:paraId="1EBB0E7E">
            <w:pPr>
              <w:rPr>
                <w:rFonts w:ascii="Arial"/>
                <w:sz w:val="21"/>
              </w:rPr>
            </w:pPr>
          </w:p>
        </w:tc>
        <w:tc>
          <w:tcPr>
            <w:tcW w:w="113" w:type="dxa"/>
            <w:tcBorders>
              <w:top w:val="nil"/>
              <w:left w:val="single" w:color="000000" w:sz="6" w:space="0"/>
              <w:bottom w:val="nil"/>
            </w:tcBorders>
            <w:vAlign w:val="top"/>
          </w:tcPr>
          <w:p w14:paraId="1BA4332D">
            <w:pPr>
              <w:rPr>
                <w:rFonts w:ascii="Arial"/>
                <w:sz w:val="21"/>
              </w:rPr>
            </w:pPr>
          </w:p>
        </w:tc>
        <w:tc>
          <w:tcPr>
            <w:tcW w:w="457" w:type="dxa"/>
            <w:vMerge w:val="continue"/>
            <w:tcBorders>
              <w:top w:val="nil"/>
              <w:bottom w:val="nil"/>
            </w:tcBorders>
            <w:vAlign w:val="top"/>
          </w:tcPr>
          <w:p w14:paraId="1C443F1E">
            <w:pPr>
              <w:rPr>
                <w:rFonts w:ascii="Arial"/>
                <w:sz w:val="21"/>
              </w:rPr>
            </w:pPr>
          </w:p>
        </w:tc>
        <w:tc>
          <w:tcPr>
            <w:tcW w:w="1660" w:type="dxa"/>
            <w:gridSpan w:val="2"/>
            <w:vAlign w:val="top"/>
          </w:tcPr>
          <w:p w14:paraId="2798E372">
            <w:pPr>
              <w:pStyle w:val="6"/>
              <w:spacing w:before="170" w:line="228" w:lineRule="auto"/>
              <w:ind w:left="201"/>
            </w:pPr>
            <w:r>
              <w:rPr>
                <w:spacing w:val="8"/>
              </w:rPr>
              <w:t>跨越施工场地</w:t>
            </w:r>
          </w:p>
        </w:tc>
        <w:tc>
          <w:tcPr>
            <w:tcW w:w="3987" w:type="dxa"/>
            <w:vAlign w:val="top"/>
          </w:tcPr>
          <w:p w14:paraId="7371862C">
            <w:pPr>
              <w:pStyle w:val="6"/>
              <w:spacing w:before="35" w:line="225" w:lineRule="auto"/>
              <w:ind w:left="109" w:right="103" w:firstLine="2"/>
            </w:pPr>
            <w:r>
              <w:rPr>
                <w:spacing w:val="9"/>
              </w:rPr>
              <w:t>本项目线路在跨越高速公路和国道时，设</w:t>
            </w:r>
            <w:r>
              <w:rPr>
                <w:spacing w:val="6"/>
              </w:rPr>
              <w:t>置</w:t>
            </w:r>
            <w:r>
              <w:rPr>
                <w:spacing w:val="-45"/>
              </w:rPr>
              <w:t xml:space="preserve"> </w:t>
            </w:r>
            <w:r>
              <w:rPr>
                <w:rFonts w:ascii="Times New Roman" w:hAnsi="Times New Roman" w:eastAsia="Times New Roman" w:cs="Times New Roman"/>
                <w:spacing w:val="6"/>
              </w:rPr>
              <w:t>4</w:t>
            </w:r>
            <w:r>
              <w:rPr>
                <w:rFonts w:ascii="Times New Roman" w:hAnsi="Times New Roman" w:eastAsia="Times New Roman" w:cs="Times New Roman"/>
                <w:spacing w:val="16"/>
              </w:rPr>
              <w:t xml:space="preserve"> </w:t>
            </w:r>
            <w:r>
              <w:rPr>
                <w:spacing w:val="6"/>
              </w:rPr>
              <w:t>处跨越施工场地。</w:t>
            </w:r>
          </w:p>
        </w:tc>
        <w:tc>
          <w:tcPr>
            <w:tcW w:w="958" w:type="dxa"/>
            <w:vMerge w:val="restart"/>
            <w:tcBorders>
              <w:bottom w:val="nil"/>
            </w:tcBorders>
            <w:vAlign w:val="top"/>
          </w:tcPr>
          <w:p w14:paraId="632036A0">
            <w:pPr>
              <w:pStyle w:val="6"/>
              <w:spacing w:before="35" w:line="252" w:lineRule="auto"/>
              <w:ind w:left="117" w:right="58"/>
              <w:jc w:val="both"/>
            </w:pPr>
            <w:r>
              <w:rPr>
                <w:spacing w:val="7"/>
              </w:rPr>
              <w:t>施工扬</w:t>
            </w:r>
            <w:r>
              <w:rPr>
                <w:spacing w:val="-17"/>
              </w:rPr>
              <w:t>尘、施工噪声、固</w:t>
            </w:r>
            <w:r>
              <w:rPr>
                <w:spacing w:val="-6"/>
              </w:rPr>
              <w:t>体废物；</w:t>
            </w:r>
          </w:p>
        </w:tc>
        <w:tc>
          <w:tcPr>
            <w:tcW w:w="852" w:type="dxa"/>
            <w:vMerge w:val="restart"/>
            <w:tcBorders>
              <w:bottom w:val="nil"/>
            </w:tcBorders>
            <w:vAlign w:val="top"/>
          </w:tcPr>
          <w:p w14:paraId="0B6BC177">
            <w:pPr>
              <w:spacing w:before="50" w:line="199" w:lineRule="auto"/>
              <w:ind w:left="1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2" w:type="dxa"/>
            <w:tcBorders>
              <w:top w:val="nil"/>
              <w:bottom w:val="nil"/>
              <w:right w:val="single" w:color="000000" w:sz="6" w:space="0"/>
            </w:tcBorders>
            <w:vAlign w:val="top"/>
          </w:tcPr>
          <w:p w14:paraId="1EC1C58C">
            <w:pPr>
              <w:rPr>
                <w:rFonts w:ascii="Arial"/>
                <w:sz w:val="21"/>
              </w:rPr>
            </w:pPr>
          </w:p>
        </w:tc>
      </w:tr>
      <w:tr w14:paraId="2FDEA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4" w:hRule="atLeast"/>
        </w:trPr>
        <w:tc>
          <w:tcPr>
            <w:tcW w:w="375" w:type="dxa"/>
            <w:vMerge w:val="continue"/>
            <w:tcBorders>
              <w:top w:val="nil"/>
              <w:left w:val="single" w:color="000000" w:sz="6" w:space="0"/>
              <w:bottom w:val="nil"/>
              <w:right w:val="single" w:color="000000" w:sz="6" w:space="0"/>
            </w:tcBorders>
            <w:vAlign w:val="top"/>
          </w:tcPr>
          <w:p w14:paraId="06F7CD95">
            <w:pPr>
              <w:rPr>
                <w:rFonts w:ascii="Arial"/>
                <w:sz w:val="21"/>
              </w:rPr>
            </w:pPr>
          </w:p>
        </w:tc>
        <w:tc>
          <w:tcPr>
            <w:tcW w:w="113" w:type="dxa"/>
            <w:tcBorders>
              <w:top w:val="nil"/>
              <w:left w:val="single" w:color="000000" w:sz="6" w:space="0"/>
              <w:bottom w:val="nil"/>
            </w:tcBorders>
            <w:vAlign w:val="top"/>
          </w:tcPr>
          <w:p w14:paraId="028EEBB3">
            <w:pPr>
              <w:rPr>
                <w:rFonts w:ascii="Arial"/>
                <w:sz w:val="21"/>
              </w:rPr>
            </w:pPr>
          </w:p>
        </w:tc>
        <w:tc>
          <w:tcPr>
            <w:tcW w:w="457" w:type="dxa"/>
            <w:vMerge w:val="continue"/>
            <w:tcBorders>
              <w:top w:val="nil"/>
              <w:bottom w:val="nil"/>
            </w:tcBorders>
            <w:vAlign w:val="top"/>
          </w:tcPr>
          <w:p w14:paraId="7B2F6B33">
            <w:pPr>
              <w:rPr>
                <w:rFonts w:ascii="Arial"/>
                <w:sz w:val="21"/>
              </w:rPr>
            </w:pPr>
          </w:p>
        </w:tc>
        <w:tc>
          <w:tcPr>
            <w:tcW w:w="1660" w:type="dxa"/>
            <w:gridSpan w:val="2"/>
            <w:vAlign w:val="top"/>
          </w:tcPr>
          <w:p w14:paraId="1BC1F482">
            <w:pPr>
              <w:spacing w:line="245" w:lineRule="auto"/>
              <w:rPr>
                <w:rFonts w:ascii="Arial"/>
                <w:sz w:val="21"/>
              </w:rPr>
            </w:pPr>
          </w:p>
          <w:p w14:paraId="7FEB4212">
            <w:pPr>
              <w:spacing w:line="245" w:lineRule="auto"/>
              <w:rPr>
                <w:rFonts w:ascii="Arial"/>
                <w:sz w:val="21"/>
              </w:rPr>
            </w:pPr>
          </w:p>
          <w:p w14:paraId="69178BCB">
            <w:pPr>
              <w:spacing w:line="245" w:lineRule="auto"/>
              <w:rPr>
                <w:rFonts w:ascii="Arial"/>
                <w:sz w:val="21"/>
              </w:rPr>
            </w:pPr>
          </w:p>
          <w:p w14:paraId="559D842F">
            <w:pPr>
              <w:spacing w:line="246" w:lineRule="auto"/>
              <w:rPr>
                <w:rFonts w:ascii="Arial"/>
                <w:sz w:val="21"/>
              </w:rPr>
            </w:pPr>
          </w:p>
          <w:p w14:paraId="3E6E6BE2">
            <w:pPr>
              <w:spacing w:line="246" w:lineRule="auto"/>
              <w:rPr>
                <w:rFonts w:ascii="Arial"/>
                <w:sz w:val="21"/>
              </w:rPr>
            </w:pPr>
          </w:p>
          <w:p w14:paraId="5A0CE608">
            <w:pPr>
              <w:spacing w:line="246" w:lineRule="auto"/>
              <w:rPr>
                <w:rFonts w:ascii="Arial"/>
                <w:sz w:val="21"/>
              </w:rPr>
            </w:pPr>
          </w:p>
          <w:p w14:paraId="3CC9C477">
            <w:pPr>
              <w:pStyle w:val="6"/>
              <w:spacing w:before="65" w:line="228" w:lineRule="auto"/>
              <w:ind w:left="409"/>
            </w:pPr>
            <w:r>
              <w:rPr>
                <w:spacing w:val="7"/>
              </w:rPr>
              <w:t>施工营地</w:t>
            </w:r>
          </w:p>
        </w:tc>
        <w:tc>
          <w:tcPr>
            <w:tcW w:w="3987" w:type="dxa"/>
            <w:vAlign w:val="top"/>
          </w:tcPr>
          <w:p w14:paraId="3FA98EC3">
            <w:pPr>
              <w:pStyle w:val="6"/>
              <w:spacing w:before="48" w:line="252" w:lineRule="auto"/>
              <w:ind w:left="112" w:right="102" w:hanging="1"/>
            </w:pPr>
            <w:r>
              <w:rPr>
                <w:b/>
                <w:bCs/>
                <w:spacing w:val="14"/>
              </w:rPr>
              <w:t>变电站：</w:t>
            </w:r>
            <w:r>
              <w:rPr>
                <w:spacing w:val="14"/>
              </w:rPr>
              <w:t>在征地范围内设</w:t>
            </w:r>
            <w:r>
              <w:rPr>
                <w:rFonts w:ascii="Times New Roman" w:hAnsi="Times New Roman" w:eastAsia="Times New Roman" w:cs="Times New Roman"/>
                <w:spacing w:val="14"/>
              </w:rPr>
              <w:t>1</w:t>
            </w:r>
            <w:r>
              <w:rPr>
                <w:spacing w:val="14"/>
              </w:rPr>
              <w:t>个施工营地，用于堆放施工材料，施工营地内设旱厕</w:t>
            </w:r>
            <w:r>
              <w:rPr>
                <w:rFonts w:ascii="Times New Roman" w:hAnsi="Times New Roman" w:eastAsia="Times New Roman" w:cs="Times New Roman"/>
                <w:spacing w:val="14"/>
              </w:rPr>
              <w:t>1</w:t>
            </w:r>
            <w:r>
              <w:rPr>
                <w:spacing w:val="-1"/>
              </w:rPr>
              <w:t>座。</w:t>
            </w:r>
          </w:p>
          <w:p w14:paraId="767BF884">
            <w:pPr>
              <w:pStyle w:val="6"/>
              <w:spacing w:before="1" w:line="251" w:lineRule="auto"/>
              <w:ind w:left="110" w:right="103" w:firstLine="1"/>
            </w:pPr>
            <w:r>
              <w:rPr>
                <w:b/>
                <w:bCs/>
                <w:spacing w:val="8"/>
              </w:rPr>
              <w:t>架空线路：</w:t>
            </w:r>
            <w:r>
              <w:rPr>
                <w:spacing w:val="8"/>
              </w:rPr>
              <w:t>本工程线路分段施工，塔基浇</w:t>
            </w:r>
            <w:r>
              <w:rPr>
                <w:spacing w:val="9"/>
              </w:rPr>
              <w:t>筑购买成品混凝土或采用人工现场拌合，拌合点位于各塔基施工区，不设置集中混凝土生产加工营地。根据工程设计，施工期所用铁塔等直接购买供应商生产的成</w:t>
            </w:r>
          </w:p>
          <w:p w14:paraId="7DE1EC66">
            <w:pPr>
              <w:pStyle w:val="6"/>
              <w:spacing w:before="1" w:line="234" w:lineRule="auto"/>
              <w:ind w:left="110" w:right="103" w:firstLine="17"/>
            </w:pPr>
            <w:r>
              <w:rPr>
                <w:spacing w:val="8"/>
              </w:rPr>
              <w:t>品组件组立铁塔，不设置铁塔加工场地，</w:t>
            </w:r>
            <w:r>
              <w:rPr>
                <w:spacing w:val="9"/>
              </w:rPr>
              <w:t>施工期设置塔基施工区，用于塔基施工材料的堆放。施工人员生活依托附近乡镇民</w:t>
            </w:r>
            <w:r>
              <w:rPr>
                <w:spacing w:val="8"/>
              </w:rPr>
              <w:t>房解决，不设置施工生活营地。</w:t>
            </w:r>
          </w:p>
        </w:tc>
        <w:tc>
          <w:tcPr>
            <w:tcW w:w="958" w:type="dxa"/>
            <w:vMerge w:val="continue"/>
            <w:tcBorders>
              <w:top w:val="nil"/>
              <w:bottom w:val="nil"/>
            </w:tcBorders>
            <w:vAlign w:val="top"/>
          </w:tcPr>
          <w:p w14:paraId="5CEFC2F0">
            <w:pPr>
              <w:rPr>
                <w:rFonts w:ascii="Arial"/>
                <w:sz w:val="21"/>
              </w:rPr>
            </w:pPr>
          </w:p>
        </w:tc>
        <w:tc>
          <w:tcPr>
            <w:tcW w:w="852" w:type="dxa"/>
            <w:vMerge w:val="continue"/>
            <w:tcBorders>
              <w:top w:val="nil"/>
              <w:bottom w:val="nil"/>
            </w:tcBorders>
            <w:vAlign w:val="top"/>
          </w:tcPr>
          <w:p w14:paraId="328688A1">
            <w:pPr>
              <w:rPr>
                <w:rFonts w:ascii="Arial"/>
                <w:sz w:val="21"/>
              </w:rPr>
            </w:pPr>
          </w:p>
        </w:tc>
        <w:tc>
          <w:tcPr>
            <w:tcW w:w="122" w:type="dxa"/>
            <w:tcBorders>
              <w:top w:val="nil"/>
              <w:bottom w:val="nil"/>
              <w:right w:val="single" w:color="000000" w:sz="6" w:space="0"/>
            </w:tcBorders>
            <w:vAlign w:val="top"/>
          </w:tcPr>
          <w:p w14:paraId="28EFA5D0">
            <w:pPr>
              <w:rPr>
                <w:rFonts w:ascii="Arial"/>
                <w:sz w:val="21"/>
              </w:rPr>
            </w:pPr>
          </w:p>
        </w:tc>
      </w:tr>
      <w:tr w14:paraId="760281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375" w:type="dxa"/>
            <w:vMerge w:val="continue"/>
            <w:tcBorders>
              <w:top w:val="nil"/>
              <w:left w:val="single" w:color="000000" w:sz="6" w:space="0"/>
              <w:bottom w:val="nil"/>
              <w:right w:val="single" w:color="000000" w:sz="6" w:space="0"/>
            </w:tcBorders>
            <w:vAlign w:val="top"/>
          </w:tcPr>
          <w:p w14:paraId="42D28595">
            <w:pPr>
              <w:rPr>
                <w:rFonts w:ascii="Arial"/>
                <w:sz w:val="21"/>
              </w:rPr>
            </w:pPr>
          </w:p>
        </w:tc>
        <w:tc>
          <w:tcPr>
            <w:tcW w:w="113" w:type="dxa"/>
            <w:tcBorders>
              <w:top w:val="nil"/>
              <w:left w:val="single" w:color="000000" w:sz="6" w:space="0"/>
              <w:bottom w:val="nil"/>
            </w:tcBorders>
            <w:vAlign w:val="top"/>
          </w:tcPr>
          <w:p w14:paraId="5A1342AA">
            <w:pPr>
              <w:rPr>
                <w:rFonts w:ascii="Arial"/>
                <w:sz w:val="21"/>
              </w:rPr>
            </w:pPr>
          </w:p>
        </w:tc>
        <w:tc>
          <w:tcPr>
            <w:tcW w:w="457" w:type="dxa"/>
            <w:vMerge w:val="continue"/>
            <w:tcBorders>
              <w:top w:val="nil"/>
            </w:tcBorders>
            <w:vAlign w:val="top"/>
          </w:tcPr>
          <w:p w14:paraId="01DEC24E">
            <w:pPr>
              <w:rPr>
                <w:rFonts w:ascii="Arial"/>
                <w:sz w:val="21"/>
              </w:rPr>
            </w:pPr>
          </w:p>
        </w:tc>
        <w:tc>
          <w:tcPr>
            <w:tcW w:w="1660" w:type="dxa"/>
            <w:gridSpan w:val="2"/>
            <w:vAlign w:val="top"/>
          </w:tcPr>
          <w:p w14:paraId="2C04E5D8">
            <w:pPr>
              <w:spacing w:line="275" w:lineRule="auto"/>
              <w:rPr>
                <w:rFonts w:ascii="Arial"/>
                <w:sz w:val="21"/>
              </w:rPr>
            </w:pPr>
          </w:p>
          <w:p w14:paraId="3D34DCC3">
            <w:pPr>
              <w:pStyle w:val="6"/>
              <w:spacing w:before="65" w:line="228" w:lineRule="auto"/>
              <w:ind w:left="213"/>
            </w:pPr>
            <w:r>
              <w:rPr>
                <w:spacing w:val="6"/>
              </w:rPr>
              <w:t>临时施工场地</w:t>
            </w:r>
          </w:p>
        </w:tc>
        <w:tc>
          <w:tcPr>
            <w:tcW w:w="3987" w:type="dxa"/>
            <w:vAlign w:val="top"/>
          </w:tcPr>
          <w:p w14:paraId="32E29D8A">
            <w:pPr>
              <w:pStyle w:val="6"/>
              <w:spacing w:before="68" w:line="239" w:lineRule="auto"/>
              <w:ind w:left="109" w:right="103" w:firstLine="2"/>
              <w:jc w:val="both"/>
            </w:pPr>
            <w:r>
              <w:rPr>
                <w:spacing w:val="8"/>
              </w:rPr>
              <w:t>本工程设置临时塔基施工区</w:t>
            </w:r>
            <w:r>
              <w:rPr>
                <w:rFonts w:ascii="Times New Roman" w:hAnsi="Times New Roman" w:eastAsia="Times New Roman" w:cs="Times New Roman"/>
                <w:spacing w:val="8"/>
              </w:rPr>
              <w:t>45</w:t>
            </w:r>
            <w:r>
              <w:rPr>
                <w:spacing w:val="8"/>
              </w:rPr>
              <w:t>处、牵张场</w:t>
            </w:r>
            <w:r>
              <w:rPr>
                <w:rFonts w:ascii="Times New Roman" w:hAnsi="Times New Roman" w:eastAsia="Times New Roman" w:cs="Times New Roman"/>
                <w:spacing w:val="8"/>
              </w:rPr>
              <w:t>5</w:t>
            </w:r>
            <w:r>
              <w:rPr>
                <w:spacing w:val="8"/>
              </w:rPr>
              <w:t>处、临时跨越施工场地</w:t>
            </w:r>
            <w:r>
              <w:rPr>
                <w:rFonts w:ascii="Times New Roman" w:hAnsi="Times New Roman" w:eastAsia="Times New Roman" w:cs="Times New Roman"/>
                <w:spacing w:val="8"/>
              </w:rPr>
              <w:t>4</w:t>
            </w:r>
            <w:r>
              <w:rPr>
                <w:spacing w:val="8"/>
              </w:rPr>
              <w:t>处，施工结束后</w:t>
            </w:r>
            <w:r>
              <w:rPr>
                <w:spacing w:val="7"/>
              </w:rPr>
              <w:t>进行恢复治理。</w:t>
            </w:r>
          </w:p>
        </w:tc>
        <w:tc>
          <w:tcPr>
            <w:tcW w:w="958" w:type="dxa"/>
            <w:vMerge w:val="continue"/>
            <w:tcBorders>
              <w:top w:val="nil"/>
            </w:tcBorders>
            <w:vAlign w:val="top"/>
          </w:tcPr>
          <w:p w14:paraId="5AE7B50B">
            <w:pPr>
              <w:rPr>
                <w:rFonts w:ascii="Arial"/>
                <w:sz w:val="21"/>
              </w:rPr>
            </w:pPr>
          </w:p>
        </w:tc>
        <w:tc>
          <w:tcPr>
            <w:tcW w:w="852" w:type="dxa"/>
            <w:vMerge w:val="continue"/>
            <w:tcBorders>
              <w:top w:val="nil"/>
            </w:tcBorders>
            <w:vAlign w:val="top"/>
          </w:tcPr>
          <w:p w14:paraId="20A8B82E">
            <w:pPr>
              <w:rPr>
                <w:rFonts w:ascii="Arial"/>
                <w:sz w:val="21"/>
              </w:rPr>
            </w:pPr>
          </w:p>
        </w:tc>
        <w:tc>
          <w:tcPr>
            <w:tcW w:w="122" w:type="dxa"/>
            <w:tcBorders>
              <w:top w:val="nil"/>
              <w:bottom w:val="nil"/>
              <w:right w:val="single" w:color="000000" w:sz="6" w:space="0"/>
            </w:tcBorders>
            <w:vAlign w:val="top"/>
          </w:tcPr>
          <w:p w14:paraId="701EC8B6">
            <w:pPr>
              <w:rPr>
                <w:rFonts w:ascii="Arial"/>
                <w:sz w:val="21"/>
              </w:rPr>
            </w:pPr>
          </w:p>
        </w:tc>
      </w:tr>
      <w:tr w14:paraId="75010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0" w:hRule="atLeast"/>
        </w:trPr>
        <w:tc>
          <w:tcPr>
            <w:tcW w:w="375" w:type="dxa"/>
            <w:vMerge w:val="continue"/>
            <w:tcBorders>
              <w:top w:val="nil"/>
              <w:left w:val="single" w:color="000000" w:sz="6" w:space="0"/>
              <w:bottom w:val="nil"/>
              <w:right w:val="single" w:color="000000" w:sz="6" w:space="0"/>
            </w:tcBorders>
            <w:vAlign w:val="top"/>
          </w:tcPr>
          <w:p w14:paraId="11A93531">
            <w:pPr>
              <w:rPr>
                <w:rFonts w:ascii="Arial"/>
                <w:sz w:val="21"/>
              </w:rPr>
            </w:pPr>
          </w:p>
        </w:tc>
        <w:tc>
          <w:tcPr>
            <w:tcW w:w="113" w:type="dxa"/>
            <w:tcBorders>
              <w:top w:val="nil"/>
              <w:left w:val="single" w:color="000000" w:sz="6" w:space="0"/>
              <w:bottom w:val="nil"/>
            </w:tcBorders>
            <w:vAlign w:val="top"/>
          </w:tcPr>
          <w:p w14:paraId="7CBFDF51">
            <w:pPr>
              <w:rPr>
                <w:rFonts w:ascii="Arial"/>
                <w:sz w:val="21"/>
              </w:rPr>
            </w:pPr>
          </w:p>
        </w:tc>
        <w:tc>
          <w:tcPr>
            <w:tcW w:w="457" w:type="dxa"/>
            <w:vMerge w:val="restart"/>
            <w:tcBorders>
              <w:bottom w:val="nil"/>
            </w:tcBorders>
            <w:textDirection w:val="tbRlV"/>
            <w:vAlign w:val="top"/>
          </w:tcPr>
          <w:p w14:paraId="4D666085">
            <w:pPr>
              <w:pStyle w:val="6"/>
              <w:spacing w:before="127" w:line="217" w:lineRule="auto"/>
              <w:ind w:left="3483"/>
            </w:pPr>
            <w:r>
              <w:rPr>
                <w:spacing w:val="8"/>
              </w:rPr>
              <w:t>环</w:t>
            </w:r>
            <w:r>
              <w:rPr>
                <w:spacing w:val="-34"/>
              </w:rPr>
              <w:t xml:space="preserve"> </w:t>
            </w:r>
            <w:r>
              <w:rPr>
                <w:spacing w:val="8"/>
              </w:rPr>
              <w:t>保</w:t>
            </w:r>
            <w:r>
              <w:rPr>
                <w:spacing w:val="-37"/>
              </w:rPr>
              <w:t xml:space="preserve"> </w:t>
            </w:r>
            <w:r>
              <w:rPr>
                <w:spacing w:val="8"/>
              </w:rPr>
              <w:t>工</w:t>
            </w:r>
            <w:r>
              <w:rPr>
                <w:spacing w:val="-35"/>
              </w:rPr>
              <w:t xml:space="preserve"> </w:t>
            </w:r>
            <w:r>
              <w:rPr>
                <w:spacing w:val="8"/>
              </w:rPr>
              <w:t>程</w:t>
            </w:r>
          </w:p>
        </w:tc>
        <w:tc>
          <w:tcPr>
            <w:tcW w:w="374" w:type="dxa"/>
            <w:vMerge w:val="restart"/>
            <w:tcBorders>
              <w:bottom w:val="nil"/>
            </w:tcBorders>
            <w:textDirection w:val="tbRlV"/>
            <w:vAlign w:val="top"/>
          </w:tcPr>
          <w:p w14:paraId="2AE96B27">
            <w:pPr>
              <w:pStyle w:val="6"/>
              <w:spacing w:before="59" w:line="217" w:lineRule="auto"/>
              <w:ind w:left="2374"/>
            </w:pPr>
            <w:r>
              <w:rPr>
                <w:spacing w:val="8"/>
              </w:rPr>
              <w:t>变</w:t>
            </w:r>
            <w:r>
              <w:rPr>
                <w:spacing w:val="-34"/>
              </w:rPr>
              <w:t xml:space="preserve"> </w:t>
            </w:r>
            <w:r>
              <w:rPr>
                <w:spacing w:val="8"/>
              </w:rPr>
              <w:t>电</w:t>
            </w:r>
            <w:r>
              <w:rPr>
                <w:spacing w:val="-38"/>
              </w:rPr>
              <w:t xml:space="preserve"> </w:t>
            </w:r>
            <w:r>
              <w:rPr>
                <w:spacing w:val="8"/>
              </w:rPr>
              <w:t>站</w:t>
            </w:r>
          </w:p>
        </w:tc>
        <w:tc>
          <w:tcPr>
            <w:tcW w:w="1286" w:type="dxa"/>
            <w:vAlign w:val="top"/>
          </w:tcPr>
          <w:p w14:paraId="64D33052">
            <w:pPr>
              <w:spacing w:line="255" w:lineRule="auto"/>
              <w:rPr>
                <w:rFonts w:ascii="Arial"/>
                <w:sz w:val="21"/>
              </w:rPr>
            </w:pPr>
          </w:p>
          <w:p w14:paraId="08B90E23">
            <w:pPr>
              <w:spacing w:line="255" w:lineRule="auto"/>
              <w:rPr>
                <w:rFonts w:ascii="Arial"/>
                <w:sz w:val="21"/>
              </w:rPr>
            </w:pPr>
          </w:p>
          <w:p w14:paraId="1D3FDA00">
            <w:pPr>
              <w:pStyle w:val="6"/>
              <w:spacing w:before="65" w:line="228" w:lineRule="auto"/>
              <w:ind w:left="225"/>
            </w:pPr>
            <w:r>
              <w:rPr>
                <w:spacing w:val="6"/>
              </w:rPr>
              <w:t>污水治理</w:t>
            </w:r>
          </w:p>
        </w:tc>
        <w:tc>
          <w:tcPr>
            <w:tcW w:w="3987" w:type="dxa"/>
            <w:vAlign w:val="top"/>
          </w:tcPr>
          <w:p w14:paraId="08E3A833">
            <w:pPr>
              <w:pStyle w:val="6"/>
              <w:spacing w:before="36" w:line="227" w:lineRule="auto"/>
              <w:ind w:left="111"/>
            </w:pPr>
            <w:r>
              <w:rPr>
                <w:spacing w:val="9"/>
              </w:rPr>
              <w:t>变电站安保人员产生的生活污水经拟设</w:t>
            </w:r>
          </w:p>
          <w:p w14:paraId="3C3F9F9F">
            <w:pPr>
              <w:pStyle w:val="6"/>
              <w:spacing w:before="24" w:line="229" w:lineRule="auto"/>
              <w:ind w:left="109" w:right="103"/>
            </w:pPr>
            <w:r>
              <w:rPr>
                <w:spacing w:val="6"/>
              </w:rPr>
              <w:t>置的化粪池（</w:t>
            </w:r>
            <w:r>
              <w:rPr>
                <w:rFonts w:ascii="Times New Roman" w:hAnsi="Times New Roman" w:eastAsia="Times New Roman" w:cs="Times New Roman"/>
                <w:spacing w:val="6"/>
              </w:rPr>
              <w:t>2m</w:t>
            </w:r>
            <w:r>
              <w:rPr>
                <w:rFonts w:ascii="Times New Roman" w:hAnsi="Times New Roman" w:eastAsia="Times New Roman" w:cs="Times New Roman"/>
                <w:spacing w:val="6"/>
                <w:position w:val="1"/>
                <w:sz w:val="13"/>
                <w:szCs w:val="13"/>
              </w:rPr>
              <w:t xml:space="preserve">3 </w:t>
            </w:r>
            <w:r>
              <w:rPr>
                <w:spacing w:val="6"/>
                <w:position w:val="1"/>
              </w:rPr>
              <w:t>）</w:t>
            </w:r>
            <w:r>
              <w:rPr>
                <w:spacing w:val="6"/>
              </w:rPr>
              <w:t>、一体化污水处理设</w:t>
            </w:r>
            <w:r>
              <w:rPr>
                <w:spacing w:val="4"/>
              </w:rPr>
              <w:t>施（处理能力</w:t>
            </w:r>
            <w:r>
              <w:rPr>
                <w:rFonts w:ascii="Times New Roman" w:hAnsi="Times New Roman" w:eastAsia="Times New Roman" w:cs="Times New Roman"/>
                <w:spacing w:val="4"/>
              </w:rPr>
              <w:t>0.5t/h</w:t>
            </w:r>
            <w:r>
              <w:rPr>
                <w:spacing w:val="4"/>
              </w:rPr>
              <w:t>）收集处理后回用于进</w:t>
            </w:r>
            <w:r>
              <w:rPr>
                <w:spacing w:val="9"/>
              </w:rPr>
              <w:t>站大门两侧绿化带绿化，不外排；同时设</w:t>
            </w:r>
            <w:r>
              <w:rPr>
                <w:spacing w:val="5"/>
              </w:rPr>
              <w:t>置</w:t>
            </w:r>
            <w:r>
              <w:rPr>
                <w:rFonts w:ascii="Times New Roman" w:hAnsi="Times New Roman" w:eastAsia="Times New Roman" w:cs="Times New Roman"/>
                <w:spacing w:val="5"/>
              </w:rPr>
              <w:t>1</w:t>
            </w:r>
            <w:r>
              <w:rPr>
                <w:spacing w:val="5"/>
              </w:rPr>
              <w:t>个</w:t>
            </w:r>
            <w:r>
              <w:rPr>
                <w:rFonts w:ascii="Times New Roman" w:hAnsi="Times New Roman" w:eastAsia="Times New Roman" w:cs="Times New Roman"/>
                <w:spacing w:val="5"/>
              </w:rPr>
              <w:t>5m</w:t>
            </w:r>
            <w:r>
              <w:rPr>
                <w:rFonts w:ascii="Times New Roman" w:hAnsi="Times New Roman" w:eastAsia="Times New Roman" w:cs="Times New Roman"/>
                <w:spacing w:val="5"/>
                <w:position w:val="6"/>
                <w:sz w:val="13"/>
                <w:szCs w:val="13"/>
              </w:rPr>
              <w:t>3</w:t>
            </w:r>
            <w:r>
              <w:rPr>
                <w:rFonts w:ascii="Times New Roman" w:hAnsi="Times New Roman" w:eastAsia="Times New Roman" w:cs="Times New Roman"/>
                <w:spacing w:val="-9"/>
                <w:position w:val="6"/>
                <w:sz w:val="13"/>
                <w:szCs w:val="13"/>
              </w:rPr>
              <w:t xml:space="preserve"> </w:t>
            </w:r>
            <w:r>
              <w:rPr>
                <w:spacing w:val="5"/>
              </w:rPr>
              <w:t>的中水暂存池。</w:t>
            </w:r>
          </w:p>
        </w:tc>
        <w:tc>
          <w:tcPr>
            <w:tcW w:w="958" w:type="dxa"/>
            <w:vMerge w:val="restart"/>
            <w:tcBorders>
              <w:bottom w:val="nil"/>
            </w:tcBorders>
            <w:vAlign w:val="top"/>
          </w:tcPr>
          <w:p w14:paraId="157FADF7">
            <w:pPr>
              <w:spacing w:line="326" w:lineRule="auto"/>
              <w:rPr>
                <w:rFonts w:ascii="Arial"/>
                <w:sz w:val="21"/>
              </w:rPr>
            </w:pPr>
          </w:p>
          <w:p w14:paraId="15B909E3">
            <w:pPr>
              <w:spacing w:line="327" w:lineRule="auto"/>
              <w:rPr>
                <w:rFonts w:ascii="Arial"/>
                <w:sz w:val="21"/>
              </w:rPr>
            </w:pPr>
          </w:p>
          <w:p w14:paraId="5B189E3E">
            <w:pPr>
              <w:pStyle w:val="6"/>
              <w:spacing w:before="65" w:line="252" w:lineRule="auto"/>
              <w:ind w:left="119" w:right="101" w:hanging="2"/>
              <w:jc w:val="both"/>
            </w:pPr>
            <w:r>
              <w:rPr>
                <w:spacing w:val="7"/>
              </w:rPr>
              <w:t>施工废</w:t>
            </w:r>
            <w:r>
              <w:rPr>
                <w:spacing w:val="-18"/>
              </w:rPr>
              <w:t>水、生活</w:t>
            </w:r>
            <w:r>
              <w:rPr>
                <w:spacing w:val="2"/>
              </w:rPr>
              <w:t>污水；</w:t>
            </w:r>
          </w:p>
        </w:tc>
        <w:tc>
          <w:tcPr>
            <w:tcW w:w="852" w:type="dxa"/>
            <w:vMerge w:val="restart"/>
            <w:tcBorders>
              <w:bottom w:val="nil"/>
            </w:tcBorders>
            <w:vAlign w:val="top"/>
          </w:tcPr>
          <w:p w14:paraId="147C6739">
            <w:pPr>
              <w:spacing w:line="262" w:lineRule="auto"/>
              <w:rPr>
                <w:rFonts w:ascii="Arial"/>
                <w:sz w:val="21"/>
              </w:rPr>
            </w:pPr>
          </w:p>
          <w:p w14:paraId="59EDBE43">
            <w:pPr>
              <w:spacing w:line="262" w:lineRule="auto"/>
              <w:rPr>
                <w:rFonts w:ascii="Arial"/>
                <w:sz w:val="21"/>
              </w:rPr>
            </w:pPr>
          </w:p>
          <w:p w14:paraId="25A7119E">
            <w:pPr>
              <w:spacing w:line="263" w:lineRule="auto"/>
              <w:rPr>
                <w:rFonts w:ascii="Arial"/>
                <w:sz w:val="21"/>
              </w:rPr>
            </w:pPr>
          </w:p>
          <w:p w14:paraId="5879422C">
            <w:pPr>
              <w:pStyle w:val="6"/>
              <w:spacing w:before="65" w:line="252" w:lineRule="auto"/>
              <w:ind w:left="121" w:right="106"/>
            </w:pPr>
            <w:r>
              <w:rPr>
                <w:spacing w:val="6"/>
              </w:rPr>
              <w:t>生活污</w:t>
            </w:r>
            <w:r>
              <w:rPr>
                <w:spacing w:val="-1"/>
              </w:rPr>
              <w:t>水；</w:t>
            </w:r>
          </w:p>
        </w:tc>
        <w:tc>
          <w:tcPr>
            <w:tcW w:w="122" w:type="dxa"/>
            <w:tcBorders>
              <w:top w:val="nil"/>
              <w:bottom w:val="nil"/>
              <w:right w:val="single" w:color="000000" w:sz="6" w:space="0"/>
            </w:tcBorders>
            <w:vAlign w:val="top"/>
          </w:tcPr>
          <w:p w14:paraId="01A58B93">
            <w:pPr>
              <w:rPr>
                <w:rFonts w:ascii="Arial"/>
                <w:sz w:val="21"/>
              </w:rPr>
            </w:pPr>
          </w:p>
        </w:tc>
      </w:tr>
      <w:tr w14:paraId="0EE94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3" w:hRule="atLeast"/>
        </w:trPr>
        <w:tc>
          <w:tcPr>
            <w:tcW w:w="375" w:type="dxa"/>
            <w:vMerge w:val="continue"/>
            <w:tcBorders>
              <w:top w:val="nil"/>
              <w:left w:val="single" w:color="000000" w:sz="6" w:space="0"/>
              <w:bottom w:val="nil"/>
              <w:right w:val="single" w:color="000000" w:sz="6" w:space="0"/>
            </w:tcBorders>
            <w:vAlign w:val="top"/>
          </w:tcPr>
          <w:p w14:paraId="79B7834C">
            <w:pPr>
              <w:rPr>
                <w:rFonts w:ascii="Arial"/>
                <w:sz w:val="21"/>
              </w:rPr>
            </w:pPr>
          </w:p>
        </w:tc>
        <w:tc>
          <w:tcPr>
            <w:tcW w:w="113" w:type="dxa"/>
            <w:tcBorders>
              <w:top w:val="nil"/>
              <w:left w:val="single" w:color="000000" w:sz="6" w:space="0"/>
              <w:bottom w:val="nil"/>
            </w:tcBorders>
            <w:vAlign w:val="top"/>
          </w:tcPr>
          <w:p w14:paraId="05A6CB39">
            <w:pPr>
              <w:rPr>
                <w:rFonts w:ascii="Arial"/>
                <w:sz w:val="21"/>
              </w:rPr>
            </w:pPr>
          </w:p>
        </w:tc>
        <w:tc>
          <w:tcPr>
            <w:tcW w:w="457" w:type="dxa"/>
            <w:vMerge w:val="continue"/>
            <w:tcBorders>
              <w:top w:val="nil"/>
              <w:bottom w:val="nil"/>
            </w:tcBorders>
            <w:textDirection w:val="tbRlV"/>
            <w:vAlign w:val="top"/>
          </w:tcPr>
          <w:p w14:paraId="229D71CE">
            <w:pPr>
              <w:rPr>
                <w:rFonts w:ascii="Arial"/>
                <w:sz w:val="21"/>
              </w:rPr>
            </w:pPr>
          </w:p>
        </w:tc>
        <w:tc>
          <w:tcPr>
            <w:tcW w:w="374" w:type="dxa"/>
            <w:vMerge w:val="continue"/>
            <w:tcBorders>
              <w:top w:val="nil"/>
              <w:bottom w:val="nil"/>
            </w:tcBorders>
            <w:textDirection w:val="tbRlV"/>
            <w:vAlign w:val="top"/>
          </w:tcPr>
          <w:p w14:paraId="10229E83">
            <w:pPr>
              <w:rPr>
                <w:rFonts w:ascii="Arial"/>
                <w:sz w:val="21"/>
              </w:rPr>
            </w:pPr>
          </w:p>
        </w:tc>
        <w:tc>
          <w:tcPr>
            <w:tcW w:w="1286" w:type="dxa"/>
            <w:vAlign w:val="top"/>
          </w:tcPr>
          <w:p w14:paraId="6F41C667">
            <w:pPr>
              <w:pStyle w:val="6"/>
              <w:spacing w:before="220" w:line="252" w:lineRule="auto"/>
              <w:ind w:left="544" w:right="119" w:hanging="416"/>
            </w:pPr>
            <w:r>
              <w:rPr>
                <w:spacing w:val="6"/>
              </w:rPr>
              <w:t>雨污分流系</w:t>
            </w:r>
            <w:r>
              <w:t>统</w:t>
            </w:r>
          </w:p>
        </w:tc>
        <w:tc>
          <w:tcPr>
            <w:tcW w:w="3987" w:type="dxa"/>
            <w:vAlign w:val="top"/>
          </w:tcPr>
          <w:p w14:paraId="1587F20F">
            <w:pPr>
              <w:pStyle w:val="6"/>
              <w:spacing w:before="82" w:line="234" w:lineRule="auto"/>
              <w:ind w:left="110" w:right="103"/>
              <w:jc w:val="both"/>
            </w:pPr>
            <w:r>
              <w:rPr>
                <w:spacing w:val="9"/>
              </w:rPr>
              <w:t>变电站设置雨污分流系统，雨水通过雨水沟外排，安保人员产生的生活污水收集进</w:t>
            </w:r>
            <w:r>
              <w:rPr>
                <w:spacing w:val="8"/>
              </w:rPr>
              <w:t>入化粪池、一体化污水处理设施；</w:t>
            </w:r>
          </w:p>
        </w:tc>
        <w:tc>
          <w:tcPr>
            <w:tcW w:w="958" w:type="dxa"/>
            <w:vMerge w:val="continue"/>
            <w:tcBorders>
              <w:top w:val="nil"/>
            </w:tcBorders>
            <w:vAlign w:val="top"/>
          </w:tcPr>
          <w:p w14:paraId="66B2E741">
            <w:pPr>
              <w:rPr>
                <w:rFonts w:ascii="Arial"/>
                <w:sz w:val="21"/>
              </w:rPr>
            </w:pPr>
          </w:p>
        </w:tc>
        <w:tc>
          <w:tcPr>
            <w:tcW w:w="852" w:type="dxa"/>
            <w:vMerge w:val="continue"/>
            <w:tcBorders>
              <w:top w:val="nil"/>
            </w:tcBorders>
            <w:vAlign w:val="top"/>
          </w:tcPr>
          <w:p w14:paraId="2D95BF55">
            <w:pPr>
              <w:rPr>
                <w:rFonts w:ascii="Arial"/>
                <w:sz w:val="21"/>
              </w:rPr>
            </w:pPr>
          </w:p>
        </w:tc>
        <w:tc>
          <w:tcPr>
            <w:tcW w:w="122" w:type="dxa"/>
            <w:tcBorders>
              <w:top w:val="nil"/>
              <w:bottom w:val="nil"/>
              <w:right w:val="single" w:color="000000" w:sz="6" w:space="0"/>
            </w:tcBorders>
            <w:vAlign w:val="top"/>
          </w:tcPr>
          <w:p w14:paraId="31F0DF57">
            <w:pPr>
              <w:rPr>
                <w:rFonts w:ascii="Arial"/>
                <w:sz w:val="21"/>
              </w:rPr>
            </w:pPr>
          </w:p>
        </w:tc>
      </w:tr>
      <w:tr w14:paraId="1FBAB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375" w:type="dxa"/>
            <w:vMerge w:val="continue"/>
            <w:tcBorders>
              <w:top w:val="nil"/>
              <w:left w:val="single" w:color="000000" w:sz="6" w:space="0"/>
              <w:bottom w:val="nil"/>
              <w:right w:val="single" w:color="000000" w:sz="6" w:space="0"/>
            </w:tcBorders>
            <w:vAlign w:val="top"/>
          </w:tcPr>
          <w:p w14:paraId="1A35D900">
            <w:pPr>
              <w:rPr>
                <w:rFonts w:ascii="Arial"/>
                <w:sz w:val="21"/>
              </w:rPr>
            </w:pPr>
          </w:p>
        </w:tc>
        <w:tc>
          <w:tcPr>
            <w:tcW w:w="113" w:type="dxa"/>
            <w:tcBorders>
              <w:top w:val="nil"/>
              <w:left w:val="single" w:color="000000" w:sz="6" w:space="0"/>
              <w:bottom w:val="nil"/>
            </w:tcBorders>
            <w:vAlign w:val="top"/>
          </w:tcPr>
          <w:p w14:paraId="4D481ED6">
            <w:pPr>
              <w:rPr>
                <w:rFonts w:ascii="Arial"/>
                <w:sz w:val="21"/>
              </w:rPr>
            </w:pPr>
          </w:p>
        </w:tc>
        <w:tc>
          <w:tcPr>
            <w:tcW w:w="457" w:type="dxa"/>
            <w:vMerge w:val="continue"/>
            <w:tcBorders>
              <w:top w:val="nil"/>
              <w:bottom w:val="nil"/>
            </w:tcBorders>
            <w:textDirection w:val="tbRlV"/>
            <w:vAlign w:val="top"/>
          </w:tcPr>
          <w:p w14:paraId="522356A5">
            <w:pPr>
              <w:rPr>
                <w:rFonts w:ascii="Arial"/>
                <w:sz w:val="21"/>
              </w:rPr>
            </w:pPr>
          </w:p>
        </w:tc>
        <w:tc>
          <w:tcPr>
            <w:tcW w:w="374" w:type="dxa"/>
            <w:vMerge w:val="continue"/>
            <w:tcBorders>
              <w:top w:val="nil"/>
              <w:bottom w:val="nil"/>
            </w:tcBorders>
            <w:textDirection w:val="tbRlV"/>
            <w:vAlign w:val="top"/>
          </w:tcPr>
          <w:p w14:paraId="0A1347A3">
            <w:pPr>
              <w:rPr>
                <w:rFonts w:ascii="Arial"/>
                <w:sz w:val="21"/>
              </w:rPr>
            </w:pPr>
          </w:p>
        </w:tc>
        <w:tc>
          <w:tcPr>
            <w:tcW w:w="1286" w:type="dxa"/>
            <w:vAlign w:val="top"/>
          </w:tcPr>
          <w:p w14:paraId="591BF961">
            <w:pPr>
              <w:spacing w:line="264" w:lineRule="auto"/>
              <w:rPr>
                <w:rFonts w:ascii="Arial"/>
                <w:sz w:val="21"/>
              </w:rPr>
            </w:pPr>
          </w:p>
          <w:p w14:paraId="4818C1E5">
            <w:pPr>
              <w:spacing w:line="265" w:lineRule="auto"/>
              <w:rPr>
                <w:rFonts w:ascii="Arial"/>
                <w:sz w:val="21"/>
              </w:rPr>
            </w:pPr>
          </w:p>
          <w:p w14:paraId="1527E85C">
            <w:pPr>
              <w:pStyle w:val="6"/>
              <w:spacing w:before="65" w:line="228" w:lineRule="auto"/>
              <w:ind w:left="241"/>
            </w:pPr>
            <w:r>
              <w:rPr>
                <w:spacing w:val="2"/>
              </w:rPr>
              <w:t>固废治理</w:t>
            </w:r>
          </w:p>
        </w:tc>
        <w:tc>
          <w:tcPr>
            <w:tcW w:w="3987" w:type="dxa"/>
            <w:vAlign w:val="top"/>
          </w:tcPr>
          <w:p w14:paraId="7A8B417D">
            <w:pPr>
              <w:pStyle w:val="6"/>
              <w:spacing w:before="53" w:line="251" w:lineRule="auto"/>
              <w:ind w:left="112" w:right="103"/>
            </w:pPr>
            <w:r>
              <w:rPr>
                <w:spacing w:val="9"/>
              </w:rPr>
              <w:t>站内设置生活垃圾收集桶，生活垃圾收集</w:t>
            </w:r>
            <w:r>
              <w:rPr>
                <w:spacing w:val="8"/>
              </w:rPr>
              <w:t>后委托环卫部门定期清运。</w:t>
            </w:r>
          </w:p>
          <w:p w14:paraId="2779BE53">
            <w:pPr>
              <w:pStyle w:val="6"/>
              <w:spacing w:before="1" w:line="232" w:lineRule="auto"/>
              <w:ind w:left="110" w:right="103" w:firstLine="1"/>
            </w:pPr>
            <w:r>
              <w:rPr>
                <w:spacing w:val="14"/>
              </w:rPr>
              <w:t>本环评要求在变电站内设置</w:t>
            </w:r>
            <w:r>
              <w:rPr>
                <w:rFonts w:ascii="Times New Roman" w:hAnsi="Times New Roman" w:eastAsia="Times New Roman" w:cs="Times New Roman"/>
                <w:spacing w:val="14"/>
              </w:rPr>
              <w:t>1</w:t>
            </w:r>
            <w:r>
              <w:rPr>
                <w:spacing w:val="14"/>
              </w:rPr>
              <w:t>间危废暂存</w:t>
            </w:r>
            <w:r>
              <w:rPr>
                <w:spacing w:val="6"/>
              </w:rPr>
              <w:t>间，面积约为</w:t>
            </w:r>
            <w:r>
              <w:rPr>
                <w:rFonts w:ascii="Times New Roman" w:hAnsi="Times New Roman" w:eastAsia="Times New Roman" w:cs="Times New Roman"/>
                <w:spacing w:val="6"/>
              </w:rPr>
              <w:t>12m</w:t>
            </w:r>
            <w:r>
              <w:rPr>
                <w:rFonts w:ascii="Times New Roman" w:hAnsi="Times New Roman" w:eastAsia="Times New Roman" w:cs="Times New Roman"/>
                <w:spacing w:val="6"/>
                <w:position w:val="6"/>
                <w:sz w:val="13"/>
                <w:szCs w:val="13"/>
              </w:rPr>
              <w:t>2</w:t>
            </w:r>
            <w:r>
              <w:rPr>
                <w:rFonts w:ascii="Times New Roman" w:hAnsi="Times New Roman" w:eastAsia="Times New Roman" w:cs="Times New Roman"/>
                <w:spacing w:val="-7"/>
                <w:position w:val="6"/>
                <w:sz w:val="13"/>
                <w:szCs w:val="13"/>
              </w:rPr>
              <w:t xml:space="preserve"> </w:t>
            </w:r>
            <w:r>
              <w:rPr>
                <w:spacing w:val="6"/>
              </w:rPr>
              <w:t>，用于暂存事故废油及</w:t>
            </w:r>
            <w:r>
              <w:rPr>
                <w:spacing w:val="7"/>
              </w:rPr>
              <w:t>废旧铅蓄电池。</w:t>
            </w:r>
          </w:p>
        </w:tc>
        <w:tc>
          <w:tcPr>
            <w:tcW w:w="958" w:type="dxa"/>
            <w:vAlign w:val="top"/>
          </w:tcPr>
          <w:p w14:paraId="6707AF24">
            <w:pPr>
              <w:pStyle w:val="6"/>
              <w:spacing w:before="53" w:line="252" w:lineRule="auto"/>
              <w:ind w:left="117" w:right="101" w:firstLine="17"/>
            </w:pPr>
            <w:r>
              <w:rPr>
                <w:spacing w:val="-5"/>
              </w:rPr>
              <w:t>固</w:t>
            </w:r>
            <w:r>
              <w:rPr>
                <w:spacing w:val="-35"/>
              </w:rPr>
              <w:t xml:space="preserve"> </w:t>
            </w:r>
            <w:r>
              <w:rPr>
                <w:spacing w:val="-5"/>
              </w:rPr>
              <w:t>体</w:t>
            </w:r>
            <w:r>
              <w:rPr>
                <w:spacing w:val="-36"/>
              </w:rPr>
              <w:t xml:space="preserve"> </w:t>
            </w:r>
            <w:r>
              <w:rPr>
                <w:spacing w:val="-5"/>
              </w:rPr>
              <w:t>废</w:t>
            </w:r>
            <w:r>
              <w:t>物；</w:t>
            </w:r>
          </w:p>
        </w:tc>
        <w:tc>
          <w:tcPr>
            <w:tcW w:w="852" w:type="dxa"/>
            <w:vAlign w:val="top"/>
          </w:tcPr>
          <w:p w14:paraId="1B7A67EA">
            <w:pPr>
              <w:pStyle w:val="6"/>
              <w:spacing w:before="53" w:line="252" w:lineRule="auto"/>
              <w:ind w:left="119" w:right="99" w:firstLine="17"/>
            </w:pPr>
            <w:r>
              <w:rPr>
                <w:spacing w:val="3"/>
              </w:rPr>
              <w:t>固体废</w:t>
            </w:r>
            <w:r>
              <w:t>物；</w:t>
            </w:r>
          </w:p>
        </w:tc>
        <w:tc>
          <w:tcPr>
            <w:tcW w:w="122" w:type="dxa"/>
            <w:tcBorders>
              <w:top w:val="nil"/>
              <w:bottom w:val="nil"/>
              <w:right w:val="single" w:color="000000" w:sz="6" w:space="0"/>
            </w:tcBorders>
            <w:vAlign w:val="top"/>
          </w:tcPr>
          <w:p w14:paraId="6F7C9C32">
            <w:pPr>
              <w:rPr>
                <w:rFonts w:ascii="Arial"/>
                <w:sz w:val="21"/>
              </w:rPr>
            </w:pPr>
          </w:p>
        </w:tc>
      </w:tr>
      <w:tr w14:paraId="5F1D5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375" w:type="dxa"/>
            <w:vMerge w:val="continue"/>
            <w:tcBorders>
              <w:top w:val="nil"/>
              <w:left w:val="single" w:color="000000" w:sz="6" w:space="0"/>
              <w:bottom w:val="nil"/>
              <w:right w:val="single" w:color="000000" w:sz="6" w:space="0"/>
            </w:tcBorders>
            <w:vAlign w:val="top"/>
          </w:tcPr>
          <w:p w14:paraId="56DAB09D">
            <w:pPr>
              <w:rPr>
                <w:rFonts w:ascii="Arial"/>
                <w:sz w:val="21"/>
              </w:rPr>
            </w:pPr>
          </w:p>
        </w:tc>
        <w:tc>
          <w:tcPr>
            <w:tcW w:w="113" w:type="dxa"/>
            <w:tcBorders>
              <w:top w:val="nil"/>
              <w:left w:val="single" w:color="000000" w:sz="6" w:space="0"/>
              <w:bottom w:val="nil"/>
            </w:tcBorders>
            <w:vAlign w:val="top"/>
          </w:tcPr>
          <w:p w14:paraId="506F4905">
            <w:pPr>
              <w:rPr>
                <w:rFonts w:ascii="Arial"/>
                <w:sz w:val="21"/>
              </w:rPr>
            </w:pPr>
          </w:p>
        </w:tc>
        <w:tc>
          <w:tcPr>
            <w:tcW w:w="457" w:type="dxa"/>
            <w:vMerge w:val="continue"/>
            <w:tcBorders>
              <w:top w:val="nil"/>
              <w:bottom w:val="nil"/>
            </w:tcBorders>
            <w:textDirection w:val="tbRlV"/>
            <w:vAlign w:val="top"/>
          </w:tcPr>
          <w:p w14:paraId="1A4C6308">
            <w:pPr>
              <w:rPr>
                <w:rFonts w:ascii="Arial"/>
                <w:sz w:val="21"/>
              </w:rPr>
            </w:pPr>
          </w:p>
        </w:tc>
        <w:tc>
          <w:tcPr>
            <w:tcW w:w="374" w:type="dxa"/>
            <w:vMerge w:val="continue"/>
            <w:tcBorders>
              <w:top w:val="nil"/>
              <w:bottom w:val="nil"/>
            </w:tcBorders>
            <w:textDirection w:val="tbRlV"/>
            <w:vAlign w:val="top"/>
          </w:tcPr>
          <w:p w14:paraId="72A8B00D">
            <w:pPr>
              <w:rPr>
                <w:rFonts w:ascii="Arial"/>
                <w:sz w:val="21"/>
              </w:rPr>
            </w:pPr>
          </w:p>
        </w:tc>
        <w:tc>
          <w:tcPr>
            <w:tcW w:w="1286" w:type="dxa"/>
            <w:vAlign w:val="top"/>
          </w:tcPr>
          <w:p w14:paraId="0B1E78CA">
            <w:pPr>
              <w:pStyle w:val="6"/>
              <w:spacing w:before="191" w:line="230" w:lineRule="auto"/>
              <w:ind w:left="222"/>
            </w:pPr>
            <w:r>
              <w:rPr>
                <w:spacing w:val="7"/>
              </w:rPr>
              <w:t>施工扬尘</w:t>
            </w:r>
          </w:p>
        </w:tc>
        <w:tc>
          <w:tcPr>
            <w:tcW w:w="3987" w:type="dxa"/>
            <w:vAlign w:val="top"/>
          </w:tcPr>
          <w:p w14:paraId="6642AF6E">
            <w:pPr>
              <w:pStyle w:val="6"/>
              <w:spacing w:before="56" w:line="228" w:lineRule="auto"/>
              <w:ind w:left="127" w:right="103" w:hanging="15"/>
            </w:pPr>
            <w:r>
              <w:rPr>
                <w:spacing w:val="2"/>
              </w:rPr>
              <w:t>密目网</w:t>
            </w:r>
            <w:r>
              <w:rPr>
                <w:spacing w:val="-41"/>
              </w:rPr>
              <w:t xml:space="preserve"> </w:t>
            </w:r>
            <w:r>
              <w:rPr>
                <w:rFonts w:ascii="Times New Roman" w:hAnsi="Times New Roman" w:eastAsia="Times New Roman" w:cs="Times New Roman"/>
                <w:spacing w:val="2"/>
              </w:rPr>
              <w:t>2050m</w:t>
            </w:r>
            <w:r>
              <w:rPr>
                <w:rFonts w:ascii="Times New Roman" w:hAnsi="Times New Roman" w:eastAsia="Times New Roman" w:cs="Times New Roman"/>
                <w:spacing w:val="2"/>
                <w:position w:val="6"/>
                <w:sz w:val="13"/>
                <w:szCs w:val="13"/>
              </w:rPr>
              <w:t>2</w:t>
            </w:r>
            <w:r>
              <w:rPr>
                <w:rFonts w:ascii="Times New Roman" w:hAnsi="Times New Roman" w:eastAsia="Times New Roman" w:cs="Times New Roman"/>
                <w:spacing w:val="-9"/>
                <w:position w:val="6"/>
                <w:sz w:val="13"/>
                <w:szCs w:val="13"/>
              </w:rPr>
              <w:t xml:space="preserve"> </w:t>
            </w:r>
            <w:r>
              <w:rPr>
                <w:spacing w:val="2"/>
              </w:rPr>
              <w:t>，柔性防护网</w:t>
            </w:r>
            <w:r>
              <w:rPr>
                <w:spacing w:val="-32"/>
              </w:rPr>
              <w:t xml:space="preserve"> </w:t>
            </w:r>
            <w:r>
              <w:rPr>
                <w:rFonts w:ascii="Times New Roman" w:hAnsi="Times New Roman" w:eastAsia="Times New Roman" w:cs="Times New Roman"/>
                <w:spacing w:val="2"/>
              </w:rPr>
              <w:t>800m</w:t>
            </w:r>
            <w:r>
              <w:rPr>
                <w:rFonts w:ascii="Times New Roman" w:hAnsi="Times New Roman" w:eastAsia="Times New Roman" w:cs="Times New Roman"/>
                <w:spacing w:val="2"/>
                <w:position w:val="6"/>
                <w:sz w:val="13"/>
                <w:szCs w:val="13"/>
              </w:rPr>
              <w:t>2</w:t>
            </w:r>
            <w:r>
              <w:rPr>
                <w:rFonts w:ascii="Times New Roman" w:hAnsi="Times New Roman" w:eastAsia="Times New Roman" w:cs="Times New Roman"/>
                <w:spacing w:val="-5"/>
                <w:position w:val="6"/>
                <w:sz w:val="13"/>
                <w:szCs w:val="13"/>
              </w:rPr>
              <w:t xml:space="preserve"> </w:t>
            </w:r>
            <w:r>
              <w:rPr>
                <w:spacing w:val="2"/>
              </w:rPr>
              <w:t>；洒水</w:t>
            </w:r>
            <w:r>
              <w:rPr>
                <w:spacing w:val="-3"/>
              </w:rPr>
              <w:t>降尘；</w:t>
            </w:r>
          </w:p>
        </w:tc>
        <w:tc>
          <w:tcPr>
            <w:tcW w:w="958" w:type="dxa"/>
            <w:vAlign w:val="top"/>
          </w:tcPr>
          <w:p w14:paraId="036E7B2C">
            <w:pPr>
              <w:pStyle w:val="6"/>
              <w:spacing w:before="56" w:line="228" w:lineRule="auto"/>
              <w:ind w:left="119" w:right="101" w:hanging="2"/>
            </w:pPr>
            <w:r>
              <w:t>施</w:t>
            </w:r>
            <w:r>
              <w:rPr>
                <w:spacing w:val="-32"/>
              </w:rPr>
              <w:t xml:space="preserve"> </w:t>
            </w:r>
            <w:r>
              <w:t>工</w:t>
            </w:r>
            <w:r>
              <w:rPr>
                <w:spacing w:val="-35"/>
              </w:rPr>
              <w:t xml:space="preserve"> </w:t>
            </w:r>
            <w:r>
              <w:t>扬</w:t>
            </w:r>
            <w:r>
              <w:rPr>
                <w:spacing w:val="-1"/>
              </w:rPr>
              <w:t>尘；</w:t>
            </w:r>
          </w:p>
        </w:tc>
        <w:tc>
          <w:tcPr>
            <w:tcW w:w="852" w:type="dxa"/>
            <w:vAlign w:val="top"/>
          </w:tcPr>
          <w:p w14:paraId="1FB9C686">
            <w:pPr>
              <w:spacing w:before="223" w:line="199" w:lineRule="auto"/>
              <w:ind w:left="1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2" w:type="dxa"/>
            <w:tcBorders>
              <w:top w:val="nil"/>
              <w:bottom w:val="nil"/>
              <w:right w:val="single" w:color="000000" w:sz="6" w:space="0"/>
            </w:tcBorders>
            <w:vAlign w:val="top"/>
          </w:tcPr>
          <w:p w14:paraId="0270D7FD">
            <w:pPr>
              <w:rPr>
                <w:rFonts w:ascii="Arial"/>
                <w:sz w:val="21"/>
              </w:rPr>
            </w:pPr>
          </w:p>
        </w:tc>
      </w:tr>
      <w:tr w14:paraId="5C0AD7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375" w:type="dxa"/>
            <w:vMerge w:val="continue"/>
            <w:tcBorders>
              <w:top w:val="nil"/>
              <w:left w:val="single" w:color="000000" w:sz="6" w:space="0"/>
              <w:bottom w:val="nil"/>
              <w:right w:val="single" w:color="000000" w:sz="6" w:space="0"/>
            </w:tcBorders>
            <w:vAlign w:val="top"/>
          </w:tcPr>
          <w:p w14:paraId="3C8E1242">
            <w:pPr>
              <w:rPr>
                <w:rFonts w:ascii="Arial"/>
                <w:sz w:val="21"/>
              </w:rPr>
            </w:pPr>
          </w:p>
        </w:tc>
        <w:tc>
          <w:tcPr>
            <w:tcW w:w="113" w:type="dxa"/>
            <w:tcBorders>
              <w:top w:val="nil"/>
              <w:left w:val="single" w:color="000000" w:sz="6" w:space="0"/>
              <w:bottom w:val="nil"/>
            </w:tcBorders>
            <w:vAlign w:val="top"/>
          </w:tcPr>
          <w:p w14:paraId="77CC3CEE">
            <w:pPr>
              <w:rPr>
                <w:rFonts w:ascii="Arial"/>
                <w:sz w:val="21"/>
              </w:rPr>
            </w:pPr>
          </w:p>
        </w:tc>
        <w:tc>
          <w:tcPr>
            <w:tcW w:w="457" w:type="dxa"/>
            <w:vMerge w:val="continue"/>
            <w:tcBorders>
              <w:top w:val="nil"/>
              <w:bottom w:val="nil"/>
            </w:tcBorders>
            <w:textDirection w:val="tbRlV"/>
            <w:vAlign w:val="top"/>
          </w:tcPr>
          <w:p w14:paraId="3760B992">
            <w:pPr>
              <w:rPr>
                <w:rFonts w:ascii="Arial"/>
                <w:sz w:val="21"/>
              </w:rPr>
            </w:pPr>
          </w:p>
        </w:tc>
        <w:tc>
          <w:tcPr>
            <w:tcW w:w="374" w:type="dxa"/>
            <w:vMerge w:val="continue"/>
            <w:tcBorders>
              <w:top w:val="nil"/>
              <w:bottom w:val="nil"/>
            </w:tcBorders>
            <w:textDirection w:val="tbRlV"/>
            <w:vAlign w:val="top"/>
          </w:tcPr>
          <w:p w14:paraId="57D7DDD4">
            <w:pPr>
              <w:rPr>
                <w:rFonts w:ascii="Arial"/>
                <w:sz w:val="21"/>
              </w:rPr>
            </w:pPr>
          </w:p>
        </w:tc>
        <w:tc>
          <w:tcPr>
            <w:tcW w:w="1286" w:type="dxa"/>
            <w:vAlign w:val="top"/>
          </w:tcPr>
          <w:p w14:paraId="7647212B">
            <w:pPr>
              <w:spacing w:line="249" w:lineRule="auto"/>
              <w:rPr>
                <w:rFonts w:ascii="Arial"/>
                <w:sz w:val="21"/>
              </w:rPr>
            </w:pPr>
          </w:p>
          <w:p w14:paraId="4E32C73A">
            <w:pPr>
              <w:pStyle w:val="6"/>
              <w:spacing w:before="65" w:line="228" w:lineRule="auto"/>
              <w:ind w:left="226"/>
            </w:pPr>
            <w:r>
              <w:rPr>
                <w:spacing w:val="6"/>
              </w:rPr>
              <w:t>水保措施</w:t>
            </w:r>
          </w:p>
        </w:tc>
        <w:tc>
          <w:tcPr>
            <w:tcW w:w="3987" w:type="dxa"/>
            <w:vAlign w:val="top"/>
          </w:tcPr>
          <w:p w14:paraId="3F250004">
            <w:pPr>
              <w:pStyle w:val="6"/>
              <w:spacing w:before="45" w:line="236" w:lineRule="auto"/>
              <w:ind w:left="127" w:right="103" w:hanging="15"/>
              <w:jc w:val="both"/>
            </w:pPr>
            <w:r>
              <w:rPr>
                <w:spacing w:val="29"/>
              </w:rPr>
              <w:t>站址周围</w:t>
            </w:r>
            <w:r>
              <w:rPr>
                <w:spacing w:val="-58"/>
              </w:rPr>
              <w:t xml:space="preserve"> </w:t>
            </w:r>
            <w:r>
              <w:rPr>
                <w:spacing w:val="29"/>
              </w:rPr>
              <w:t>设置浆砌砂浆抹面矩形</w:t>
            </w:r>
            <w:r>
              <w:rPr>
                <w:spacing w:val="-41"/>
              </w:rPr>
              <w:t xml:space="preserve"> </w:t>
            </w:r>
            <w:r>
              <w:rPr>
                <w:spacing w:val="29"/>
              </w:rPr>
              <w:t>明沟</w:t>
            </w:r>
            <w:r>
              <w:rPr>
                <w:rFonts w:ascii="Times New Roman" w:hAnsi="Times New Roman" w:eastAsia="Times New Roman" w:cs="Times New Roman"/>
                <w:spacing w:val="4"/>
              </w:rPr>
              <w:t>150m</w:t>
            </w:r>
            <w:r>
              <w:rPr>
                <w:spacing w:val="4"/>
              </w:rPr>
              <w:t>，进站道路沿上坡向设置截洪沟。站</w:t>
            </w:r>
            <w:r>
              <w:rPr>
                <w:spacing w:val="5"/>
              </w:rPr>
              <w:t>内及进站道路绿化面积为</w:t>
            </w:r>
            <w:r>
              <w:rPr>
                <w:spacing w:val="-24"/>
              </w:rPr>
              <w:t xml:space="preserve"> </w:t>
            </w:r>
            <w:r>
              <w:rPr>
                <w:rFonts w:ascii="Times New Roman" w:hAnsi="Times New Roman" w:eastAsia="Times New Roman" w:cs="Times New Roman"/>
                <w:spacing w:val="5"/>
              </w:rPr>
              <w:t>300m</w:t>
            </w:r>
            <w:r>
              <w:rPr>
                <w:rFonts w:ascii="Times New Roman" w:hAnsi="Times New Roman" w:eastAsia="Times New Roman" w:cs="Times New Roman"/>
                <w:spacing w:val="5"/>
                <w:position w:val="6"/>
                <w:sz w:val="13"/>
                <w:szCs w:val="13"/>
              </w:rPr>
              <w:t>2</w:t>
            </w:r>
            <w:r>
              <w:rPr>
                <w:spacing w:val="5"/>
              </w:rPr>
              <w:t>；</w:t>
            </w:r>
          </w:p>
        </w:tc>
        <w:tc>
          <w:tcPr>
            <w:tcW w:w="958" w:type="dxa"/>
            <w:vAlign w:val="top"/>
          </w:tcPr>
          <w:p w14:paraId="04E47ED5">
            <w:pPr>
              <w:spacing w:line="289" w:lineRule="auto"/>
              <w:rPr>
                <w:rFonts w:ascii="Arial"/>
                <w:sz w:val="21"/>
              </w:rPr>
            </w:pPr>
          </w:p>
          <w:p w14:paraId="071DF222">
            <w:pPr>
              <w:spacing w:before="57" w:line="199"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52" w:type="dxa"/>
            <w:vAlign w:val="top"/>
          </w:tcPr>
          <w:p w14:paraId="25403426">
            <w:pPr>
              <w:spacing w:line="289" w:lineRule="auto"/>
              <w:rPr>
                <w:rFonts w:ascii="Arial"/>
                <w:sz w:val="21"/>
              </w:rPr>
            </w:pPr>
          </w:p>
          <w:p w14:paraId="4CB2B2CC">
            <w:pPr>
              <w:spacing w:before="57" w:line="199" w:lineRule="auto"/>
              <w:ind w:left="1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2" w:type="dxa"/>
            <w:tcBorders>
              <w:top w:val="nil"/>
              <w:bottom w:val="nil"/>
              <w:right w:val="single" w:color="000000" w:sz="6" w:space="0"/>
            </w:tcBorders>
            <w:vAlign w:val="top"/>
          </w:tcPr>
          <w:p w14:paraId="55EF1C90">
            <w:pPr>
              <w:rPr>
                <w:rFonts w:ascii="Arial"/>
                <w:sz w:val="21"/>
              </w:rPr>
            </w:pPr>
          </w:p>
        </w:tc>
      </w:tr>
      <w:tr w14:paraId="64A58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375" w:type="dxa"/>
            <w:vMerge w:val="continue"/>
            <w:tcBorders>
              <w:top w:val="nil"/>
              <w:left w:val="single" w:color="000000" w:sz="6" w:space="0"/>
              <w:bottom w:val="nil"/>
              <w:right w:val="single" w:color="000000" w:sz="6" w:space="0"/>
            </w:tcBorders>
            <w:vAlign w:val="top"/>
          </w:tcPr>
          <w:p w14:paraId="054C5DE9">
            <w:pPr>
              <w:rPr>
                <w:rFonts w:ascii="Arial"/>
                <w:sz w:val="21"/>
              </w:rPr>
            </w:pPr>
          </w:p>
        </w:tc>
        <w:tc>
          <w:tcPr>
            <w:tcW w:w="113" w:type="dxa"/>
            <w:tcBorders>
              <w:top w:val="nil"/>
              <w:left w:val="single" w:color="000000" w:sz="6" w:space="0"/>
              <w:bottom w:val="nil"/>
            </w:tcBorders>
            <w:vAlign w:val="top"/>
          </w:tcPr>
          <w:p w14:paraId="6919FE12">
            <w:pPr>
              <w:rPr>
                <w:rFonts w:ascii="Arial"/>
                <w:sz w:val="21"/>
              </w:rPr>
            </w:pPr>
          </w:p>
        </w:tc>
        <w:tc>
          <w:tcPr>
            <w:tcW w:w="457" w:type="dxa"/>
            <w:vMerge w:val="continue"/>
            <w:tcBorders>
              <w:top w:val="nil"/>
              <w:bottom w:val="nil"/>
            </w:tcBorders>
            <w:textDirection w:val="tbRlV"/>
            <w:vAlign w:val="top"/>
          </w:tcPr>
          <w:p w14:paraId="60ADBA6E">
            <w:pPr>
              <w:rPr>
                <w:rFonts w:ascii="Arial"/>
                <w:sz w:val="21"/>
              </w:rPr>
            </w:pPr>
          </w:p>
        </w:tc>
        <w:tc>
          <w:tcPr>
            <w:tcW w:w="374" w:type="dxa"/>
            <w:vMerge w:val="continue"/>
            <w:tcBorders>
              <w:top w:val="nil"/>
            </w:tcBorders>
            <w:textDirection w:val="tbRlV"/>
            <w:vAlign w:val="top"/>
          </w:tcPr>
          <w:p w14:paraId="52CAA12D">
            <w:pPr>
              <w:rPr>
                <w:rFonts w:ascii="Arial"/>
                <w:sz w:val="21"/>
              </w:rPr>
            </w:pPr>
          </w:p>
        </w:tc>
        <w:tc>
          <w:tcPr>
            <w:tcW w:w="1286" w:type="dxa"/>
            <w:vAlign w:val="top"/>
          </w:tcPr>
          <w:p w14:paraId="0CCA5AA8">
            <w:pPr>
              <w:pStyle w:val="6"/>
              <w:spacing w:before="179" w:line="228" w:lineRule="auto"/>
              <w:ind w:left="332"/>
            </w:pPr>
            <w:r>
              <w:rPr>
                <w:spacing w:val="5"/>
              </w:rPr>
              <w:t>警示牌</w:t>
            </w:r>
          </w:p>
        </w:tc>
        <w:tc>
          <w:tcPr>
            <w:tcW w:w="3987" w:type="dxa"/>
            <w:vAlign w:val="top"/>
          </w:tcPr>
          <w:p w14:paraId="1CC06860">
            <w:pPr>
              <w:pStyle w:val="6"/>
              <w:spacing w:before="45" w:line="226" w:lineRule="auto"/>
              <w:ind w:left="111" w:right="152" w:firstLine="4"/>
            </w:pPr>
            <w:r>
              <w:rPr>
                <w:spacing w:val="5"/>
              </w:rPr>
              <w:t>安全警示牌</w:t>
            </w:r>
            <w:r>
              <w:rPr>
                <w:spacing w:val="-36"/>
              </w:rPr>
              <w:t xml:space="preserve"> </w:t>
            </w:r>
            <w:r>
              <w:rPr>
                <w:rFonts w:ascii="Times New Roman" w:hAnsi="Times New Roman" w:eastAsia="Times New Roman" w:cs="Times New Roman"/>
                <w:spacing w:val="5"/>
              </w:rPr>
              <w:t xml:space="preserve">5 </w:t>
            </w:r>
            <w:r>
              <w:rPr>
                <w:spacing w:val="5"/>
              </w:rPr>
              <w:t>个、</w:t>
            </w:r>
            <w:r>
              <w:rPr>
                <w:spacing w:val="-59"/>
              </w:rPr>
              <w:t xml:space="preserve"> </w:t>
            </w:r>
            <w:r>
              <w:rPr>
                <w:spacing w:val="5"/>
              </w:rPr>
              <w:t>电力设施保护标识牌</w:t>
            </w:r>
            <w:r>
              <w:rPr>
                <w:spacing w:val="-38"/>
              </w:rPr>
              <w:t xml:space="preserve"> </w:t>
            </w:r>
            <w:r>
              <w:rPr>
                <w:rFonts w:ascii="Times New Roman" w:hAnsi="Times New Roman" w:eastAsia="Times New Roman" w:cs="Times New Roman"/>
                <w:spacing w:val="5"/>
              </w:rPr>
              <w:t>5</w:t>
            </w:r>
            <w:r>
              <w:t>个；</w:t>
            </w:r>
          </w:p>
        </w:tc>
        <w:tc>
          <w:tcPr>
            <w:tcW w:w="958" w:type="dxa"/>
            <w:vAlign w:val="top"/>
          </w:tcPr>
          <w:p w14:paraId="394EB115">
            <w:pPr>
              <w:spacing w:before="211" w:line="199"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52" w:type="dxa"/>
            <w:vAlign w:val="top"/>
          </w:tcPr>
          <w:p w14:paraId="57F34F3F">
            <w:pPr>
              <w:spacing w:before="211" w:line="199" w:lineRule="auto"/>
              <w:ind w:left="1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2" w:type="dxa"/>
            <w:tcBorders>
              <w:top w:val="nil"/>
              <w:bottom w:val="nil"/>
              <w:right w:val="single" w:color="000000" w:sz="6" w:space="0"/>
            </w:tcBorders>
            <w:vAlign w:val="top"/>
          </w:tcPr>
          <w:p w14:paraId="04767F65">
            <w:pPr>
              <w:rPr>
                <w:rFonts w:ascii="Arial"/>
                <w:sz w:val="21"/>
              </w:rPr>
            </w:pPr>
          </w:p>
        </w:tc>
      </w:tr>
      <w:tr w14:paraId="229BD9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375" w:type="dxa"/>
            <w:vMerge w:val="continue"/>
            <w:tcBorders>
              <w:top w:val="nil"/>
              <w:left w:val="single" w:color="000000" w:sz="6" w:space="0"/>
              <w:bottom w:val="nil"/>
              <w:right w:val="single" w:color="000000" w:sz="6" w:space="0"/>
            </w:tcBorders>
            <w:vAlign w:val="top"/>
          </w:tcPr>
          <w:p w14:paraId="5B8406DE">
            <w:pPr>
              <w:rPr>
                <w:rFonts w:ascii="Arial"/>
                <w:sz w:val="21"/>
              </w:rPr>
            </w:pPr>
          </w:p>
        </w:tc>
        <w:tc>
          <w:tcPr>
            <w:tcW w:w="113" w:type="dxa"/>
            <w:tcBorders>
              <w:top w:val="nil"/>
              <w:left w:val="single" w:color="000000" w:sz="6" w:space="0"/>
              <w:bottom w:val="nil"/>
            </w:tcBorders>
            <w:vAlign w:val="top"/>
          </w:tcPr>
          <w:p w14:paraId="025627C4">
            <w:pPr>
              <w:rPr>
                <w:rFonts w:ascii="Arial"/>
                <w:sz w:val="21"/>
              </w:rPr>
            </w:pPr>
          </w:p>
        </w:tc>
        <w:tc>
          <w:tcPr>
            <w:tcW w:w="457" w:type="dxa"/>
            <w:vMerge w:val="continue"/>
            <w:tcBorders>
              <w:top w:val="nil"/>
              <w:bottom w:val="nil"/>
            </w:tcBorders>
            <w:textDirection w:val="tbRlV"/>
            <w:vAlign w:val="top"/>
          </w:tcPr>
          <w:p w14:paraId="371B6FA7">
            <w:pPr>
              <w:rPr>
                <w:rFonts w:ascii="Arial"/>
                <w:sz w:val="21"/>
              </w:rPr>
            </w:pPr>
          </w:p>
        </w:tc>
        <w:tc>
          <w:tcPr>
            <w:tcW w:w="374" w:type="dxa"/>
            <w:vMerge w:val="restart"/>
            <w:tcBorders>
              <w:bottom w:val="nil"/>
            </w:tcBorders>
            <w:textDirection w:val="tbRlV"/>
            <w:vAlign w:val="top"/>
          </w:tcPr>
          <w:p w14:paraId="315C41CE">
            <w:pPr>
              <w:pStyle w:val="6"/>
              <w:spacing w:before="59" w:line="215" w:lineRule="auto"/>
              <w:ind w:left="743"/>
            </w:pPr>
            <w:r>
              <w:rPr>
                <w:spacing w:val="8"/>
              </w:rPr>
              <w:t>架</w:t>
            </w:r>
            <w:r>
              <w:rPr>
                <w:spacing w:val="-36"/>
              </w:rPr>
              <w:t xml:space="preserve"> </w:t>
            </w:r>
            <w:r>
              <w:rPr>
                <w:spacing w:val="8"/>
              </w:rPr>
              <w:t>空</w:t>
            </w:r>
            <w:r>
              <w:rPr>
                <w:spacing w:val="-35"/>
              </w:rPr>
              <w:t xml:space="preserve"> </w:t>
            </w:r>
            <w:r>
              <w:rPr>
                <w:spacing w:val="8"/>
              </w:rPr>
              <w:t>线</w:t>
            </w:r>
            <w:r>
              <w:rPr>
                <w:spacing w:val="-38"/>
              </w:rPr>
              <w:t xml:space="preserve"> </w:t>
            </w:r>
            <w:r>
              <w:rPr>
                <w:spacing w:val="8"/>
              </w:rPr>
              <w:t>路</w:t>
            </w:r>
          </w:p>
        </w:tc>
        <w:tc>
          <w:tcPr>
            <w:tcW w:w="1286" w:type="dxa"/>
            <w:vAlign w:val="top"/>
          </w:tcPr>
          <w:p w14:paraId="341828D8">
            <w:pPr>
              <w:pStyle w:val="6"/>
              <w:spacing w:before="184" w:line="230" w:lineRule="auto"/>
              <w:ind w:left="222"/>
            </w:pPr>
            <w:r>
              <w:rPr>
                <w:spacing w:val="7"/>
              </w:rPr>
              <w:t>施工扬尘</w:t>
            </w:r>
          </w:p>
        </w:tc>
        <w:tc>
          <w:tcPr>
            <w:tcW w:w="3987" w:type="dxa"/>
            <w:vAlign w:val="top"/>
          </w:tcPr>
          <w:p w14:paraId="03E94CEE">
            <w:pPr>
              <w:pStyle w:val="6"/>
              <w:spacing w:before="183" w:line="228" w:lineRule="auto"/>
              <w:ind w:left="110"/>
            </w:pPr>
            <w:r>
              <w:rPr>
                <w:spacing w:val="8"/>
              </w:rPr>
              <w:t>施工废水沉淀后用于洒水降尘；</w:t>
            </w:r>
          </w:p>
        </w:tc>
        <w:tc>
          <w:tcPr>
            <w:tcW w:w="958" w:type="dxa"/>
            <w:vAlign w:val="top"/>
          </w:tcPr>
          <w:p w14:paraId="30151396">
            <w:pPr>
              <w:pStyle w:val="6"/>
              <w:spacing w:before="47" w:line="224" w:lineRule="auto"/>
              <w:ind w:left="119" w:right="101" w:hanging="2"/>
            </w:pPr>
            <w:r>
              <w:t>施</w:t>
            </w:r>
            <w:r>
              <w:rPr>
                <w:spacing w:val="-32"/>
              </w:rPr>
              <w:t xml:space="preserve"> </w:t>
            </w:r>
            <w:r>
              <w:t>工</w:t>
            </w:r>
            <w:r>
              <w:rPr>
                <w:spacing w:val="-35"/>
              </w:rPr>
              <w:t xml:space="preserve"> </w:t>
            </w:r>
            <w:r>
              <w:t>扬</w:t>
            </w:r>
            <w:r>
              <w:rPr>
                <w:spacing w:val="-1"/>
              </w:rPr>
              <w:t>尘；</w:t>
            </w:r>
          </w:p>
        </w:tc>
        <w:tc>
          <w:tcPr>
            <w:tcW w:w="852" w:type="dxa"/>
            <w:vAlign w:val="top"/>
          </w:tcPr>
          <w:p w14:paraId="27A4BEB1">
            <w:pPr>
              <w:spacing w:before="216" w:line="199" w:lineRule="auto"/>
              <w:ind w:left="1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2" w:type="dxa"/>
            <w:tcBorders>
              <w:top w:val="nil"/>
              <w:bottom w:val="nil"/>
              <w:right w:val="single" w:color="000000" w:sz="6" w:space="0"/>
            </w:tcBorders>
            <w:vAlign w:val="top"/>
          </w:tcPr>
          <w:p w14:paraId="10E14BB9">
            <w:pPr>
              <w:rPr>
                <w:rFonts w:ascii="Arial"/>
                <w:sz w:val="21"/>
              </w:rPr>
            </w:pPr>
          </w:p>
        </w:tc>
      </w:tr>
      <w:tr w14:paraId="077E6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375" w:type="dxa"/>
            <w:vMerge w:val="continue"/>
            <w:tcBorders>
              <w:top w:val="nil"/>
              <w:left w:val="single" w:color="000000" w:sz="6" w:space="0"/>
              <w:bottom w:val="nil"/>
              <w:right w:val="single" w:color="000000" w:sz="6" w:space="0"/>
            </w:tcBorders>
            <w:vAlign w:val="top"/>
          </w:tcPr>
          <w:p w14:paraId="0B946DA8">
            <w:pPr>
              <w:rPr>
                <w:rFonts w:ascii="Arial"/>
                <w:sz w:val="21"/>
              </w:rPr>
            </w:pPr>
          </w:p>
        </w:tc>
        <w:tc>
          <w:tcPr>
            <w:tcW w:w="113" w:type="dxa"/>
            <w:tcBorders>
              <w:top w:val="nil"/>
              <w:left w:val="single" w:color="000000" w:sz="6" w:space="0"/>
              <w:bottom w:val="nil"/>
            </w:tcBorders>
            <w:vAlign w:val="top"/>
          </w:tcPr>
          <w:p w14:paraId="693EA3B9">
            <w:pPr>
              <w:rPr>
                <w:rFonts w:ascii="Arial"/>
                <w:sz w:val="21"/>
              </w:rPr>
            </w:pPr>
          </w:p>
        </w:tc>
        <w:tc>
          <w:tcPr>
            <w:tcW w:w="457" w:type="dxa"/>
            <w:vMerge w:val="continue"/>
            <w:tcBorders>
              <w:top w:val="nil"/>
              <w:bottom w:val="nil"/>
            </w:tcBorders>
            <w:textDirection w:val="tbRlV"/>
            <w:vAlign w:val="top"/>
          </w:tcPr>
          <w:p w14:paraId="2520B8F8">
            <w:pPr>
              <w:rPr>
                <w:rFonts w:ascii="Arial"/>
                <w:sz w:val="21"/>
              </w:rPr>
            </w:pPr>
          </w:p>
        </w:tc>
        <w:tc>
          <w:tcPr>
            <w:tcW w:w="374" w:type="dxa"/>
            <w:vMerge w:val="continue"/>
            <w:tcBorders>
              <w:top w:val="nil"/>
              <w:bottom w:val="nil"/>
            </w:tcBorders>
            <w:textDirection w:val="tbRlV"/>
            <w:vAlign w:val="top"/>
          </w:tcPr>
          <w:p w14:paraId="3607C3CD">
            <w:pPr>
              <w:rPr>
                <w:rFonts w:ascii="Arial"/>
                <w:sz w:val="21"/>
              </w:rPr>
            </w:pPr>
          </w:p>
        </w:tc>
        <w:tc>
          <w:tcPr>
            <w:tcW w:w="1286" w:type="dxa"/>
            <w:vAlign w:val="top"/>
          </w:tcPr>
          <w:p w14:paraId="01D77931">
            <w:pPr>
              <w:pStyle w:val="6"/>
              <w:spacing w:before="57" w:line="228" w:lineRule="auto"/>
              <w:ind w:left="435" w:right="119" w:hanging="315"/>
            </w:pPr>
            <w:r>
              <w:rPr>
                <w:spacing w:val="8"/>
              </w:rPr>
              <w:t>塔基安全警</w:t>
            </w:r>
            <w:r>
              <w:rPr>
                <w:spacing w:val="4"/>
              </w:rPr>
              <w:t>示牌</w:t>
            </w:r>
          </w:p>
        </w:tc>
        <w:tc>
          <w:tcPr>
            <w:tcW w:w="3987" w:type="dxa"/>
            <w:vAlign w:val="top"/>
          </w:tcPr>
          <w:p w14:paraId="6DACF52D">
            <w:pPr>
              <w:pStyle w:val="6"/>
              <w:spacing w:before="57" w:line="228" w:lineRule="auto"/>
              <w:ind w:left="112" w:right="103" w:hanging="1"/>
            </w:pPr>
            <w:r>
              <w:rPr>
                <w:spacing w:val="10"/>
              </w:rPr>
              <w:t>塔基安全警示牌</w:t>
            </w:r>
            <w:r>
              <w:rPr>
                <w:spacing w:val="-27"/>
              </w:rPr>
              <w:t xml:space="preserve"> </w:t>
            </w:r>
            <w:r>
              <w:rPr>
                <w:rFonts w:ascii="Times New Roman" w:hAnsi="Times New Roman" w:eastAsia="Times New Roman" w:cs="Times New Roman"/>
                <w:spacing w:val="10"/>
              </w:rPr>
              <w:t>45</w:t>
            </w:r>
            <w:r>
              <w:rPr>
                <w:rFonts w:ascii="Times New Roman" w:hAnsi="Times New Roman" w:eastAsia="Times New Roman" w:cs="Times New Roman"/>
                <w:spacing w:val="17"/>
                <w:w w:val="101"/>
              </w:rPr>
              <w:t xml:space="preserve"> </w:t>
            </w:r>
            <w:r>
              <w:rPr>
                <w:spacing w:val="10"/>
              </w:rPr>
              <w:t>个、</w:t>
            </w:r>
            <w:r>
              <w:rPr>
                <w:spacing w:val="-55"/>
              </w:rPr>
              <w:t xml:space="preserve"> </w:t>
            </w:r>
            <w:r>
              <w:rPr>
                <w:spacing w:val="10"/>
              </w:rPr>
              <w:t>电力设施保护标</w:t>
            </w:r>
            <w:r>
              <w:rPr>
                <w:spacing w:val="2"/>
              </w:rPr>
              <w:t>识牌</w:t>
            </w:r>
            <w:r>
              <w:rPr>
                <w:spacing w:val="-42"/>
              </w:rPr>
              <w:t xml:space="preserve"> </w:t>
            </w:r>
            <w:r>
              <w:rPr>
                <w:rFonts w:ascii="Times New Roman" w:hAnsi="Times New Roman" w:eastAsia="Times New Roman" w:cs="Times New Roman"/>
                <w:spacing w:val="2"/>
              </w:rPr>
              <w:t>45</w:t>
            </w:r>
            <w:r>
              <w:rPr>
                <w:rFonts w:ascii="Times New Roman" w:hAnsi="Times New Roman" w:eastAsia="Times New Roman" w:cs="Times New Roman"/>
                <w:spacing w:val="12"/>
                <w:w w:val="101"/>
              </w:rPr>
              <w:t xml:space="preserve"> </w:t>
            </w:r>
            <w:r>
              <w:rPr>
                <w:spacing w:val="2"/>
              </w:rPr>
              <w:t>个；</w:t>
            </w:r>
          </w:p>
        </w:tc>
        <w:tc>
          <w:tcPr>
            <w:tcW w:w="958" w:type="dxa"/>
            <w:vAlign w:val="top"/>
          </w:tcPr>
          <w:p w14:paraId="7B78C717">
            <w:pPr>
              <w:spacing w:before="222" w:line="199"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52" w:type="dxa"/>
            <w:vAlign w:val="top"/>
          </w:tcPr>
          <w:p w14:paraId="41FCCA12">
            <w:pPr>
              <w:spacing w:before="222" w:line="199" w:lineRule="auto"/>
              <w:ind w:left="1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2" w:type="dxa"/>
            <w:tcBorders>
              <w:top w:val="nil"/>
              <w:bottom w:val="nil"/>
              <w:right w:val="single" w:color="000000" w:sz="6" w:space="0"/>
            </w:tcBorders>
            <w:vAlign w:val="top"/>
          </w:tcPr>
          <w:p w14:paraId="7B1DB088">
            <w:pPr>
              <w:rPr>
                <w:rFonts w:ascii="Arial"/>
                <w:sz w:val="21"/>
              </w:rPr>
            </w:pPr>
          </w:p>
        </w:tc>
      </w:tr>
      <w:tr w14:paraId="06C35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375" w:type="dxa"/>
            <w:vMerge w:val="continue"/>
            <w:tcBorders>
              <w:top w:val="nil"/>
              <w:left w:val="single" w:color="000000" w:sz="6" w:space="0"/>
              <w:bottom w:val="nil"/>
              <w:right w:val="single" w:color="000000" w:sz="6" w:space="0"/>
            </w:tcBorders>
            <w:vAlign w:val="top"/>
          </w:tcPr>
          <w:p w14:paraId="04C97A98">
            <w:pPr>
              <w:rPr>
                <w:rFonts w:ascii="Arial"/>
                <w:sz w:val="21"/>
              </w:rPr>
            </w:pPr>
          </w:p>
        </w:tc>
        <w:tc>
          <w:tcPr>
            <w:tcW w:w="113" w:type="dxa"/>
            <w:tcBorders>
              <w:top w:val="nil"/>
              <w:left w:val="single" w:color="000000" w:sz="6" w:space="0"/>
              <w:bottom w:val="nil"/>
            </w:tcBorders>
            <w:vAlign w:val="top"/>
          </w:tcPr>
          <w:p w14:paraId="72BD68A0">
            <w:pPr>
              <w:rPr>
                <w:rFonts w:ascii="Arial"/>
                <w:sz w:val="21"/>
              </w:rPr>
            </w:pPr>
          </w:p>
        </w:tc>
        <w:tc>
          <w:tcPr>
            <w:tcW w:w="457" w:type="dxa"/>
            <w:vMerge w:val="continue"/>
            <w:tcBorders>
              <w:top w:val="nil"/>
              <w:bottom w:val="nil"/>
            </w:tcBorders>
            <w:textDirection w:val="tbRlV"/>
            <w:vAlign w:val="top"/>
          </w:tcPr>
          <w:p w14:paraId="57244356">
            <w:pPr>
              <w:rPr>
                <w:rFonts w:ascii="Arial"/>
                <w:sz w:val="21"/>
              </w:rPr>
            </w:pPr>
          </w:p>
        </w:tc>
        <w:tc>
          <w:tcPr>
            <w:tcW w:w="374" w:type="dxa"/>
            <w:vMerge w:val="continue"/>
            <w:tcBorders>
              <w:top w:val="nil"/>
              <w:bottom w:val="nil"/>
            </w:tcBorders>
            <w:textDirection w:val="tbRlV"/>
            <w:vAlign w:val="top"/>
          </w:tcPr>
          <w:p w14:paraId="12CD279B">
            <w:pPr>
              <w:rPr>
                <w:rFonts w:ascii="Arial"/>
                <w:sz w:val="21"/>
              </w:rPr>
            </w:pPr>
          </w:p>
        </w:tc>
        <w:tc>
          <w:tcPr>
            <w:tcW w:w="1286" w:type="dxa"/>
            <w:vAlign w:val="top"/>
          </w:tcPr>
          <w:p w14:paraId="1A0CCE93">
            <w:pPr>
              <w:pStyle w:val="6"/>
              <w:spacing w:before="178" w:line="228" w:lineRule="auto"/>
              <w:ind w:left="226"/>
            </w:pPr>
            <w:r>
              <w:rPr>
                <w:spacing w:val="6"/>
              </w:rPr>
              <w:t>水保措施</w:t>
            </w:r>
          </w:p>
        </w:tc>
        <w:tc>
          <w:tcPr>
            <w:tcW w:w="3987" w:type="dxa"/>
            <w:vAlign w:val="top"/>
          </w:tcPr>
          <w:p w14:paraId="55ECEE7A">
            <w:pPr>
              <w:pStyle w:val="6"/>
              <w:spacing w:before="44" w:line="226" w:lineRule="auto"/>
              <w:ind w:left="111" w:right="103" w:hanging="1"/>
            </w:pPr>
            <w:r>
              <w:rPr>
                <w:spacing w:val="9"/>
              </w:rPr>
              <w:t>表土剥离进行临时堆存；采用无纺布对表</w:t>
            </w:r>
            <w:r>
              <w:rPr>
                <w:spacing w:val="8"/>
              </w:rPr>
              <w:t>土堆场、裸露地表进行临时苫盖；</w:t>
            </w:r>
          </w:p>
        </w:tc>
        <w:tc>
          <w:tcPr>
            <w:tcW w:w="958" w:type="dxa"/>
            <w:vAlign w:val="top"/>
          </w:tcPr>
          <w:p w14:paraId="772D4BE6">
            <w:pPr>
              <w:spacing w:before="213" w:line="199"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52" w:type="dxa"/>
            <w:vAlign w:val="top"/>
          </w:tcPr>
          <w:p w14:paraId="4DFA71FB">
            <w:pPr>
              <w:spacing w:before="213" w:line="199" w:lineRule="auto"/>
              <w:ind w:left="1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2" w:type="dxa"/>
            <w:tcBorders>
              <w:top w:val="nil"/>
              <w:bottom w:val="nil"/>
              <w:right w:val="single" w:color="000000" w:sz="6" w:space="0"/>
            </w:tcBorders>
            <w:vAlign w:val="top"/>
          </w:tcPr>
          <w:p w14:paraId="57D2AD62">
            <w:pPr>
              <w:rPr>
                <w:rFonts w:ascii="Arial"/>
                <w:sz w:val="21"/>
              </w:rPr>
            </w:pPr>
          </w:p>
        </w:tc>
      </w:tr>
      <w:tr w14:paraId="6FF0A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375" w:type="dxa"/>
            <w:vMerge w:val="continue"/>
            <w:tcBorders>
              <w:top w:val="nil"/>
              <w:left w:val="single" w:color="000000" w:sz="6" w:space="0"/>
              <w:bottom w:val="nil"/>
              <w:right w:val="single" w:color="000000" w:sz="6" w:space="0"/>
            </w:tcBorders>
            <w:vAlign w:val="top"/>
          </w:tcPr>
          <w:p w14:paraId="1E48B054">
            <w:pPr>
              <w:rPr>
                <w:rFonts w:ascii="Arial"/>
                <w:sz w:val="21"/>
              </w:rPr>
            </w:pPr>
          </w:p>
        </w:tc>
        <w:tc>
          <w:tcPr>
            <w:tcW w:w="113" w:type="dxa"/>
            <w:tcBorders>
              <w:top w:val="nil"/>
              <w:left w:val="single" w:color="000000" w:sz="6" w:space="0"/>
              <w:bottom w:val="nil"/>
            </w:tcBorders>
            <w:vAlign w:val="top"/>
          </w:tcPr>
          <w:p w14:paraId="41F1C206">
            <w:pPr>
              <w:rPr>
                <w:rFonts w:ascii="Arial"/>
                <w:sz w:val="21"/>
              </w:rPr>
            </w:pPr>
          </w:p>
        </w:tc>
        <w:tc>
          <w:tcPr>
            <w:tcW w:w="457" w:type="dxa"/>
            <w:vMerge w:val="continue"/>
            <w:tcBorders>
              <w:top w:val="nil"/>
            </w:tcBorders>
            <w:textDirection w:val="tbRlV"/>
            <w:vAlign w:val="top"/>
          </w:tcPr>
          <w:p w14:paraId="048E6950">
            <w:pPr>
              <w:rPr>
                <w:rFonts w:ascii="Arial"/>
                <w:sz w:val="21"/>
              </w:rPr>
            </w:pPr>
          </w:p>
        </w:tc>
        <w:tc>
          <w:tcPr>
            <w:tcW w:w="374" w:type="dxa"/>
            <w:vMerge w:val="continue"/>
            <w:tcBorders>
              <w:top w:val="nil"/>
            </w:tcBorders>
            <w:textDirection w:val="tbRlV"/>
            <w:vAlign w:val="top"/>
          </w:tcPr>
          <w:p w14:paraId="16EBB85C">
            <w:pPr>
              <w:rPr>
                <w:rFonts w:ascii="Arial"/>
                <w:sz w:val="21"/>
              </w:rPr>
            </w:pPr>
          </w:p>
        </w:tc>
        <w:tc>
          <w:tcPr>
            <w:tcW w:w="1286" w:type="dxa"/>
            <w:vAlign w:val="top"/>
          </w:tcPr>
          <w:p w14:paraId="0484BEDC">
            <w:pPr>
              <w:pStyle w:val="6"/>
              <w:spacing w:before="184" w:line="254" w:lineRule="auto"/>
              <w:ind w:left="329" w:right="119" w:hanging="197"/>
            </w:pPr>
            <w:r>
              <w:rPr>
                <w:spacing w:val="5"/>
              </w:rPr>
              <w:t>临时占地植</w:t>
            </w:r>
            <w:r>
              <w:rPr>
                <w:spacing w:val="6"/>
              </w:rPr>
              <w:t>被恢复</w:t>
            </w:r>
          </w:p>
        </w:tc>
        <w:tc>
          <w:tcPr>
            <w:tcW w:w="3987" w:type="dxa"/>
            <w:vAlign w:val="top"/>
          </w:tcPr>
          <w:p w14:paraId="69A19F2D">
            <w:pPr>
              <w:pStyle w:val="6"/>
              <w:spacing w:before="49" w:line="236" w:lineRule="auto"/>
              <w:ind w:left="110" w:right="103"/>
              <w:jc w:val="both"/>
            </w:pPr>
            <w:r>
              <w:rPr>
                <w:spacing w:val="5"/>
              </w:rPr>
              <w:t>塔基施工区</w:t>
            </w:r>
            <w:r>
              <w:rPr>
                <w:spacing w:val="-36"/>
              </w:rPr>
              <w:t xml:space="preserve"> </w:t>
            </w:r>
            <w:r>
              <w:rPr>
                <w:rFonts w:ascii="Times New Roman" w:hAnsi="Times New Roman" w:eastAsia="Times New Roman" w:cs="Times New Roman"/>
                <w:spacing w:val="5"/>
              </w:rPr>
              <w:t>2250m</w:t>
            </w:r>
            <w:r>
              <w:rPr>
                <w:rFonts w:ascii="Times New Roman" w:hAnsi="Times New Roman" w:eastAsia="Times New Roman" w:cs="Times New Roman"/>
                <w:spacing w:val="5"/>
                <w:position w:val="6"/>
                <w:sz w:val="13"/>
                <w:szCs w:val="13"/>
              </w:rPr>
              <w:t xml:space="preserve">2 </w:t>
            </w:r>
            <w:r>
              <w:rPr>
                <w:spacing w:val="5"/>
              </w:rPr>
              <w:t>、牵张场</w:t>
            </w:r>
            <w:r>
              <w:rPr>
                <w:spacing w:val="-18"/>
              </w:rPr>
              <w:t xml:space="preserve"> </w:t>
            </w:r>
            <w:r>
              <w:rPr>
                <w:rFonts w:ascii="Times New Roman" w:hAnsi="Times New Roman" w:eastAsia="Times New Roman" w:cs="Times New Roman"/>
                <w:spacing w:val="5"/>
              </w:rPr>
              <w:t>1500m</w:t>
            </w:r>
            <w:r>
              <w:rPr>
                <w:rFonts w:ascii="Times New Roman" w:hAnsi="Times New Roman" w:eastAsia="Times New Roman" w:cs="Times New Roman"/>
                <w:spacing w:val="5"/>
                <w:position w:val="6"/>
                <w:sz w:val="13"/>
                <w:szCs w:val="13"/>
              </w:rPr>
              <w:t>2</w:t>
            </w:r>
            <w:r>
              <w:rPr>
                <w:rFonts w:ascii="Times New Roman" w:hAnsi="Times New Roman" w:eastAsia="Times New Roman" w:cs="Times New Roman"/>
                <w:spacing w:val="-6"/>
                <w:position w:val="6"/>
                <w:sz w:val="13"/>
                <w:szCs w:val="13"/>
              </w:rPr>
              <w:t xml:space="preserve"> </w:t>
            </w:r>
            <w:r>
              <w:rPr>
                <w:spacing w:val="5"/>
              </w:rPr>
              <w:t>、跨</w:t>
            </w:r>
            <w:r>
              <w:rPr>
                <w:spacing w:val="10"/>
              </w:rPr>
              <w:t>越施工场地</w:t>
            </w:r>
            <w:r>
              <w:rPr>
                <w:spacing w:val="-3"/>
              </w:rPr>
              <w:t xml:space="preserve"> </w:t>
            </w:r>
            <w:r>
              <w:rPr>
                <w:rFonts w:ascii="Times New Roman" w:hAnsi="Times New Roman" w:eastAsia="Times New Roman" w:cs="Times New Roman"/>
                <w:spacing w:val="10"/>
              </w:rPr>
              <w:t>1400m</w:t>
            </w:r>
            <w:r>
              <w:rPr>
                <w:rFonts w:ascii="Times New Roman" w:hAnsi="Times New Roman" w:eastAsia="Times New Roman" w:cs="Times New Roman"/>
                <w:spacing w:val="10"/>
                <w:position w:val="6"/>
                <w:sz w:val="13"/>
                <w:szCs w:val="13"/>
              </w:rPr>
              <w:t>2</w:t>
            </w:r>
            <w:r>
              <w:rPr>
                <w:rFonts w:ascii="Times New Roman" w:hAnsi="Times New Roman" w:eastAsia="Times New Roman" w:cs="Times New Roman"/>
                <w:spacing w:val="16"/>
                <w:w w:val="103"/>
                <w:position w:val="6"/>
                <w:sz w:val="13"/>
                <w:szCs w:val="13"/>
              </w:rPr>
              <w:t xml:space="preserve"> </w:t>
            </w:r>
            <w:r>
              <w:rPr>
                <w:spacing w:val="10"/>
              </w:rPr>
              <w:t>等施工结束后进行植</w:t>
            </w:r>
            <w:r>
              <w:rPr>
                <w:spacing w:val="6"/>
              </w:rPr>
              <w:t>被恢复，植被恢复面积约</w:t>
            </w:r>
            <w:r>
              <w:rPr>
                <w:spacing w:val="-24"/>
              </w:rPr>
              <w:t xml:space="preserve"> </w:t>
            </w:r>
            <w:r>
              <w:rPr>
                <w:rFonts w:ascii="Times New Roman" w:hAnsi="Times New Roman" w:eastAsia="Times New Roman" w:cs="Times New Roman"/>
                <w:spacing w:val="6"/>
              </w:rPr>
              <w:t>5150m</w:t>
            </w:r>
            <w:r>
              <w:rPr>
                <w:rFonts w:ascii="Times New Roman" w:hAnsi="Times New Roman" w:eastAsia="Times New Roman" w:cs="Times New Roman"/>
                <w:spacing w:val="6"/>
                <w:position w:val="6"/>
                <w:sz w:val="13"/>
                <w:szCs w:val="13"/>
              </w:rPr>
              <w:t>2</w:t>
            </w:r>
            <w:r>
              <w:rPr>
                <w:spacing w:val="6"/>
              </w:rPr>
              <w:t>；</w:t>
            </w:r>
          </w:p>
        </w:tc>
        <w:tc>
          <w:tcPr>
            <w:tcW w:w="958" w:type="dxa"/>
            <w:vAlign w:val="top"/>
          </w:tcPr>
          <w:p w14:paraId="7259594C">
            <w:pPr>
              <w:spacing w:line="294" w:lineRule="auto"/>
              <w:rPr>
                <w:rFonts w:ascii="Arial"/>
                <w:sz w:val="21"/>
              </w:rPr>
            </w:pPr>
          </w:p>
          <w:p w14:paraId="4945F008">
            <w:pPr>
              <w:spacing w:before="57" w:line="199"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52" w:type="dxa"/>
            <w:vAlign w:val="top"/>
          </w:tcPr>
          <w:p w14:paraId="739D47C7">
            <w:pPr>
              <w:spacing w:line="294" w:lineRule="auto"/>
              <w:rPr>
                <w:rFonts w:ascii="Arial"/>
                <w:sz w:val="21"/>
              </w:rPr>
            </w:pPr>
          </w:p>
          <w:p w14:paraId="36E892EB">
            <w:pPr>
              <w:spacing w:before="57" w:line="199" w:lineRule="auto"/>
              <w:ind w:left="1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2" w:type="dxa"/>
            <w:tcBorders>
              <w:top w:val="nil"/>
              <w:bottom w:val="nil"/>
              <w:right w:val="single" w:color="000000" w:sz="6" w:space="0"/>
            </w:tcBorders>
            <w:vAlign w:val="top"/>
          </w:tcPr>
          <w:p w14:paraId="761E705A">
            <w:pPr>
              <w:rPr>
                <w:rFonts w:ascii="Arial"/>
                <w:sz w:val="21"/>
              </w:rPr>
            </w:pPr>
          </w:p>
        </w:tc>
      </w:tr>
      <w:tr w14:paraId="1B498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375" w:type="dxa"/>
            <w:vMerge w:val="continue"/>
            <w:tcBorders>
              <w:top w:val="nil"/>
              <w:left w:val="single" w:color="000000" w:sz="6" w:space="0"/>
              <w:bottom w:val="single" w:color="000000" w:sz="6" w:space="0"/>
              <w:right w:val="single" w:color="000000" w:sz="6" w:space="0"/>
            </w:tcBorders>
            <w:vAlign w:val="top"/>
          </w:tcPr>
          <w:p w14:paraId="34642CA1">
            <w:pPr>
              <w:rPr>
                <w:rFonts w:ascii="Arial"/>
                <w:sz w:val="21"/>
              </w:rPr>
            </w:pPr>
          </w:p>
        </w:tc>
        <w:tc>
          <w:tcPr>
            <w:tcW w:w="113" w:type="dxa"/>
            <w:tcBorders>
              <w:top w:val="nil"/>
              <w:left w:val="single" w:color="000000" w:sz="6" w:space="0"/>
              <w:bottom w:val="single" w:color="000000" w:sz="6" w:space="0"/>
            </w:tcBorders>
            <w:vAlign w:val="top"/>
          </w:tcPr>
          <w:p w14:paraId="3E684D3A">
            <w:pPr>
              <w:rPr>
                <w:rFonts w:ascii="Arial"/>
                <w:sz w:val="21"/>
              </w:rPr>
            </w:pPr>
          </w:p>
        </w:tc>
        <w:tc>
          <w:tcPr>
            <w:tcW w:w="7914" w:type="dxa"/>
            <w:gridSpan w:val="6"/>
            <w:tcBorders>
              <w:bottom w:val="single" w:color="000000" w:sz="6" w:space="0"/>
            </w:tcBorders>
            <w:vAlign w:val="top"/>
          </w:tcPr>
          <w:p w14:paraId="492B34B3">
            <w:pPr>
              <w:pStyle w:val="6"/>
              <w:spacing w:before="44" w:line="226" w:lineRule="auto"/>
              <w:ind w:left="106"/>
            </w:pPr>
            <w:r>
              <w:rPr>
                <w:b/>
                <w:bCs/>
                <w:spacing w:val="7"/>
              </w:rPr>
              <w:t>注：根据《电磁环境控制限值》（</w:t>
            </w:r>
            <w:r>
              <w:rPr>
                <w:rFonts w:ascii="Times New Roman" w:hAnsi="Times New Roman" w:eastAsia="Times New Roman" w:cs="Times New Roman"/>
                <w:b/>
                <w:bCs/>
              </w:rPr>
              <w:t>GB</w:t>
            </w:r>
            <w:r>
              <w:rPr>
                <w:rFonts w:ascii="Times New Roman" w:hAnsi="Times New Roman" w:eastAsia="Times New Roman" w:cs="Times New Roman"/>
                <w:b/>
                <w:bCs/>
                <w:spacing w:val="7"/>
              </w:rPr>
              <w:t>8702-2014</w:t>
            </w:r>
            <w:r>
              <w:rPr>
                <w:b/>
                <w:bCs/>
                <w:spacing w:val="7"/>
              </w:rPr>
              <w:t>）中的豁免范围，从电磁环境保护管</w:t>
            </w:r>
          </w:p>
        </w:tc>
        <w:tc>
          <w:tcPr>
            <w:tcW w:w="122" w:type="dxa"/>
            <w:tcBorders>
              <w:top w:val="nil"/>
              <w:bottom w:val="single" w:color="000000" w:sz="6" w:space="0"/>
              <w:right w:val="single" w:color="000000" w:sz="6" w:space="0"/>
            </w:tcBorders>
            <w:vAlign w:val="top"/>
          </w:tcPr>
          <w:p w14:paraId="6C61C16A">
            <w:pPr>
              <w:rPr>
                <w:rFonts w:ascii="Arial"/>
                <w:sz w:val="21"/>
              </w:rPr>
            </w:pPr>
          </w:p>
        </w:tc>
      </w:tr>
    </w:tbl>
    <w:p w14:paraId="1D00B2F3">
      <w:pPr>
        <w:rPr>
          <w:rFonts w:ascii="Arial"/>
          <w:sz w:val="21"/>
        </w:rPr>
      </w:pPr>
    </w:p>
    <w:p w14:paraId="4B19DAEF">
      <w:pPr>
        <w:rPr>
          <w:rFonts w:ascii="Arial" w:hAnsi="Arial" w:eastAsia="Arial" w:cs="Arial"/>
          <w:sz w:val="21"/>
          <w:szCs w:val="21"/>
        </w:rPr>
        <w:sectPr>
          <w:footerReference r:id="rId44" w:type="default"/>
          <w:pgSz w:w="11907" w:h="16840"/>
          <w:pgMar w:top="400" w:right="1684" w:bottom="1240" w:left="1683" w:header="0" w:footer="1077" w:gutter="0"/>
          <w:cols w:space="720" w:num="1"/>
        </w:sectPr>
      </w:pPr>
    </w:p>
    <w:p w14:paraId="0CB36EAF">
      <w:pPr>
        <w:spacing w:before="19"/>
      </w:pPr>
      <w:r>
        <w:pict>
          <v:shape id="_x0000_s1034" o:spid="_x0000_s1034" style="position:absolute;left:0pt;margin-left:110.35pt;margin-top:367.75pt;height:344.4pt;width:0.5pt;mso-position-horizontal-relative:page;mso-position-vertical-relative:page;z-index:251667456;mso-width-relative:page;mso-height-relative:page;" filled="f" stroked="t" coordsize="10,6887" o:allowincell="f" path="m4,0l4,6887e">
            <v:fill on="f" focussize="0,0"/>
            <v:stroke weight="0.48pt" color="#000000" miterlimit="2" joinstyle="bevel"/>
            <v:imagedata o:title=""/>
            <o:lock v:ext="edit"/>
          </v:shape>
        </w:pict>
      </w:r>
    </w:p>
    <w:p w14:paraId="7429A05F">
      <w:pPr>
        <w:spacing w:before="19"/>
      </w:pPr>
    </w:p>
    <w:p w14:paraId="5211BBA6">
      <w:pPr>
        <w:spacing w:before="18"/>
      </w:pPr>
    </w:p>
    <w:p w14:paraId="0D126537">
      <w:pPr>
        <w:spacing w:before="18"/>
      </w:pPr>
    </w:p>
    <w:tbl>
      <w:tblPr>
        <w:tblStyle w:val="5"/>
        <w:tblW w:w="852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5"/>
        <w:gridCol w:w="879"/>
        <w:gridCol w:w="1154"/>
        <w:gridCol w:w="5953"/>
        <w:gridCol w:w="163"/>
      </w:tblGrid>
      <w:tr w14:paraId="53477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8" w:hRule="atLeast"/>
        </w:trPr>
        <w:tc>
          <w:tcPr>
            <w:tcW w:w="375" w:type="dxa"/>
            <w:vMerge w:val="restart"/>
            <w:tcBorders>
              <w:top w:val="single" w:color="000000" w:sz="6" w:space="0"/>
              <w:left w:val="single" w:color="000000" w:sz="6" w:space="0"/>
              <w:bottom w:val="nil"/>
              <w:right w:val="single" w:color="000000" w:sz="6" w:space="0"/>
            </w:tcBorders>
            <w:vAlign w:val="top"/>
          </w:tcPr>
          <w:p w14:paraId="0CFE1276">
            <w:pPr>
              <w:rPr>
                <w:rFonts w:ascii="Arial"/>
                <w:sz w:val="21"/>
              </w:rPr>
            </w:pPr>
          </w:p>
        </w:tc>
        <w:tc>
          <w:tcPr>
            <w:tcW w:w="8149" w:type="dxa"/>
            <w:gridSpan w:val="4"/>
            <w:tcBorders>
              <w:top w:val="single" w:color="000000" w:sz="6" w:space="0"/>
              <w:left w:val="single" w:color="000000" w:sz="6" w:space="0"/>
              <w:right w:val="single" w:color="000000" w:sz="6" w:space="0"/>
            </w:tcBorders>
            <w:vAlign w:val="top"/>
          </w:tcPr>
          <w:p w14:paraId="03D86821">
            <w:pPr>
              <w:spacing w:line="52" w:lineRule="auto"/>
              <w:rPr>
                <w:rFonts w:ascii="Arial"/>
                <w:sz w:val="2"/>
              </w:rPr>
            </w:pPr>
          </w:p>
          <w:tbl>
            <w:tblPr>
              <w:tblStyle w:val="5"/>
              <w:tblW w:w="7932" w:type="dxa"/>
              <w:tblInd w:w="96" w:type="dxa"/>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7932"/>
            </w:tblGrid>
            <w:tr w14:paraId="1D0B0821">
              <w:tblPrEx>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376" w:hRule="atLeast"/>
              </w:trPr>
              <w:tc>
                <w:tcPr>
                  <w:tcW w:w="7932" w:type="dxa"/>
                  <w:vAlign w:val="top"/>
                </w:tcPr>
                <w:p w14:paraId="26F8D8E1">
                  <w:pPr>
                    <w:pStyle w:val="6"/>
                    <w:spacing w:before="38" w:line="245" w:lineRule="auto"/>
                    <w:ind w:left="115" w:right="39" w:firstLine="2"/>
                    <w:jc w:val="both"/>
                  </w:pPr>
                  <w:r>
                    <w:rPr>
                      <w:b/>
                      <w:bCs/>
                      <w:spacing w:val="8"/>
                    </w:rPr>
                    <w:t>理角度，</w:t>
                  </w:r>
                  <w:r>
                    <w:rPr>
                      <w:rFonts w:ascii="Times New Roman" w:hAnsi="Times New Roman" w:eastAsia="Times New Roman" w:cs="Times New Roman"/>
                      <w:b/>
                      <w:bCs/>
                      <w:spacing w:val="8"/>
                    </w:rPr>
                    <w:t>100</w:t>
                  </w:r>
                  <w:r>
                    <w:rPr>
                      <w:rFonts w:ascii="Times New Roman" w:hAnsi="Times New Roman" w:eastAsia="Times New Roman" w:cs="Times New Roman"/>
                      <w:b/>
                      <w:bCs/>
                    </w:rPr>
                    <w:t>kV</w:t>
                  </w:r>
                  <w:r>
                    <w:rPr>
                      <w:rFonts w:ascii="Times New Roman" w:hAnsi="Times New Roman" w:eastAsia="Times New Roman" w:cs="Times New Roman"/>
                      <w:b/>
                      <w:bCs/>
                      <w:spacing w:val="20"/>
                      <w:w w:val="101"/>
                    </w:rPr>
                    <w:t xml:space="preserve">  </w:t>
                  </w:r>
                  <w:r>
                    <w:rPr>
                      <w:b/>
                      <w:bCs/>
                      <w:spacing w:val="8"/>
                    </w:rPr>
                    <w:t>以下电压等级的交流输变电设施产生的电场、磁场、</w:t>
                  </w:r>
                  <w:r>
                    <w:rPr>
                      <w:spacing w:val="-57"/>
                    </w:rPr>
                    <w:t xml:space="preserve"> </w:t>
                  </w:r>
                  <w:r>
                    <w:rPr>
                      <w:b/>
                      <w:bCs/>
                      <w:spacing w:val="8"/>
                    </w:rPr>
                    <w:t>电磁场可免于</w:t>
                  </w:r>
                  <w:r>
                    <w:rPr>
                      <w:b/>
                      <w:bCs/>
                      <w:spacing w:val="9"/>
                    </w:rPr>
                    <w:t>管理；</w:t>
                  </w:r>
                  <w:r>
                    <w:rPr>
                      <w:spacing w:val="-71"/>
                    </w:rPr>
                    <w:t xml:space="preserve"> </w:t>
                  </w:r>
                  <w:r>
                    <w:rPr>
                      <w:b/>
                      <w:bCs/>
                      <w:spacing w:val="9"/>
                    </w:rPr>
                    <w:t>《建设项目环境影响评价分类管理名录（</w:t>
                  </w:r>
                  <w:r>
                    <w:rPr>
                      <w:rFonts w:ascii="Times New Roman" w:hAnsi="Times New Roman" w:eastAsia="Times New Roman" w:cs="Times New Roman"/>
                      <w:b/>
                      <w:bCs/>
                      <w:spacing w:val="9"/>
                    </w:rPr>
                    <w:t xml:space="preserve">2021 </w:t>
                  </w:r>
                  <w:r>
                    <w:rPr>
                      <w:b/>
                      <w:bCs/>
                      <w:spacing w:val="9"/>
                    </w:rPr>
                    <w:t>年版）》（生态环境部，部令</w:t>
                  </w:r>
                  <w:r>
                    <w:rPr>
                      <w:b/>
                      <w:bCs/>
                      <w:spacing w:val="8"/>
                    </w:rPr>
                    <w:t>第</w:t>
                  </w:r>
                  <w:r>
                    <w:rPr>
                      <w:spacing w:val="8"/>
                    </w:rPr>
                    <w:t xml:space="preserve"> </w:t>
                  </w:r>
                  <w:r>
                    <w:rPr>
                      <w:rFonts w:ascii="Times New Roman" w:hAnsi="Times New Roman" w:eastAsia="Times New Roman" w:cs="Times New Roman"/>
                      <w:b/>
                      <w:bCs/>
                      <w:spacing w:val="8"/>
                    </w:rPr>
                    <w:t xml:space="preserve">16  </w:t>
                  </w:r>
                  <w:r>
                    <w:rPr>
                      <w:b/>
                      <w:bCs/>
                      <w:spacing w:val="8"/>
                    </w:rPr>
                    <w:t>号）未将</w:t>
                  </w:r>
                  <w:r>
                    <w:rPr>
                      <w:spacing w:val="-28"/>
                    </w:rPr>
                    <w:t xml:space="preserve"> </w:t>
                  </w:r>
                  <w:r>
                    <w:rPr>
                      <w:rFonts w:ascii="Times New Roman" w:hAnsi="Times New Roman" w:eastAsia="Times New Roman" w:cs="Times New Roman"/>
                      <w:b/>
                      <w:bCs/>
                      <w:spacing w:val="8"/>
                    </w:rPr>
                    <w:t>100</w:t>
                  </w:r>
                  <w:r>
                    <w:rPr>
                      <w:rFonts w:ascii="Times New Roman" w:hAnsi="Times New Roman" w:eastAsia="Times New Roman" w:cs="Times New Roman"/>
                      <w:b/>
                      <w:bCs/>
                    </w:rPr>
                    <w:t>kV</w:t>
                  </w:r>
                  <w:r>
                    <w:rPr>
                      <w:rFonts w:ascii="Times New Roman" w:hAnsi="Times New Roman" w:eastAsia="Times New Roman" w:cs="Times New Roman"/>
                      <w:b/>
                      <w:bCs/>
                      <w:spacing w:val="8"/>
                    </w:rPr>
                    <w:t xml:space="preserve">  </w:t>
                  </w:r>
                  <w:r>
                    <w:rPr>
                      <w:b/>
                      <w:bCs/>
                      <w:spacing w:val="8"/>
                    </w:rPr>
                    <w:t>以下输变电</w:t>
                  </w:r>
                  <w:r>
                    <w:rPr>
                      <w:b/>
                      <w:bCs/>
                      <w:spacing w:val="7"/>
                    </w:rPr>
                    <w:t>工程纳入，该名录第五条明确规定“本名录未作</w:t>
                  </w:r>
                  <w:r>
                    <w:rPr>
                      <w:b/>
                      <w:bCs/>
                      <w:spacing w:val="4"/>
                    </w:rPr>
                    <w:t>规定的建设项目，不纳入建设项目环境影响评价管理</w:t>
                  </w:r>
                  <w:r>
                    <w:rPr>
                      <w:spacing w:val="-65"/>
                    </w:rPr>
                    <w:t xml:space="preserve"> </w:t>
                  </w:r>
                  <w:r>
                    <w:rPr>
                      <w:b/>
                      <w:bCs/>
                      <w:spacing w:val="4"/>
                    </w:rPr>
                    <w:t>”。因此，本工程包含的</w:t>
                  </w:r>
                  <w:r>
                    <w:rPr>
                      <w:spacing w:val="-42"/>
                    </w:rPr>
                    <w:t xml:space="preserve"> </w:t>
                  </w:r>
                  <w:r>
                    <w:rPr>
                      <w:rFonts w:ascii="Times New Roman" w:hAnsi="Times New Roman" w:eastAsia="Times New Roman" w:cs="Times New Roman"/>
                      <w:b/>
                      <w:bCs/>
                      <w:spacing w:val="4"/>
                    </w:rPr>
                    <w:t>35</w:t>
                  </w:r>
                  <w:r>
                    <w:rPr>
                      <w:rFonts w:ascii="Times New Roman" w:hAnsi="Times New Roman" w:eastAsia="Times New Roman" w:cs="Times New Roman"/>
                      <w:b/>
                      <w:bCs/>
                    </w:rPr>
                    <w:t>kV</w:t>
                  </w:r>
                  <w:r>
                    <w:rPr>
                      <w:b/>
                      <w:bCs/>
                      <w:spacing w:val="4"/>
                    </w:rPr>
                    <w:t>、</w:t>
                  </w:r>
                  <w:r>
                    <w:t xml:space="preserve"> </w:t>
                  </w:r>
                  <w:r>
                    <w:rPr>
                      <w:rFonts w:ascii="Times New Roman" w:hAnsi="Times New Roman" w:eastAsia="Times New Roman" w:cs="Times New Roman"/>
                      <w:b/>
                      <w:bCs/>
                      <w:spacing w:val="4"/>
                    </w:rPr>
                    <w:t>10</w:t>
                  </w:r>
                  <w:r>
                    <w:rPr>
                      <w:rFonts w:ascii="Times New Roman" w:hAnsi="Times New Roman" w:eastAsia="Times New Roman" w:cs="Times New Roman"/>
                      <w:b/>
                      <w:bCs/>
                    </w:rPr>
                    <w:t>kV</w:t>
                  </w:r>
                  <w:r>
                    <w:rPr>
                      <w:rFonts w:ascii="Times New Roman" w:hAnsi="Times New Roman" w:eastAsia="Times New Roman" w:cs="Times New Roman"/>
                      <w:b/>
                      <w:bCs/>
                      <w:spacing w:val="43"/>
                    </w:rPr>
                    <w:t xml:space="preserve"> </w:t>
                  </w:r>
                  <w:r>
                    <w:rPr>
                      <w:b/>
                      <w:bCs/>
                      <w:spacing w:val="4"/>
                    </w:rPr>
                    <w:t>电压等级的工程内容属于免于环境影响评价管理，本环评仅对其进行简单评价。</w:t>
                  </w:r>
                </w:p>
              </w:tc>
            </w:tr>
          </w:tbl>
          <w:p w14:paraId="0B26E798">
            <w:pPr>
              <w:pStyle w:val="6"/>
              <w:spacing w:before="34" w:line="220" w:lineRule="auto"/>
              <w:ind w:left="577"/>
              <w:rPr>
                <w:sz w:val="24"/>
                <w:szCs w:val="24"/>
              </w:rPr>
            </w:pPr>
            <w:r>
              <w:rPr>
                <w:rFonts w:ascii="Times New Roman" w:hAnsi="Times New Roman" w:eastAsia="Times New Roman" w:cs="Times New Roman"/>
                <w:b/>
                <w:bCs/>
                <w:spacing w:val="-4"/>
                <w:sz w:val="24"/>
                <w:szCs w:val="24"/>
              </w:rPr>
              <w:t>3</w:t>
            </w:r>
            <w:r>
              <w:rPr>
                <w:rFonts w:ascii="Times New Roman" w:hAnsi="Times New Roman" w:eastAsia="Times New Roman" w:cs="Times New Roman"/>
                <w:b/>
                <w:bCs/>
                <w:spacing w:val="-29"/>
                <w:sz w:val="24"/>
                <w:szCs w:val="24"/>
              </w:rPr>
              <w:t xml:space="preserve"> </w:t>
            </w:r>
            <w:r>
              <w:rPr>
                <w:b/>
                <w:bCs/>
                <w:spacing w:val="-4"/>
                <w:sz w:val="24"/>
                <w:szCs w:val="24"/>
              </w:rPr>
              <w:t>、施工期和运行期主要环境影响</w:t>
            </w:r>
          </w:p>
          <w:p w14:paraId="221593D7">
            <w:pPr>
              <w:pStyle w:val="6"/>
              <w:spacing w:before="182" w:line="359" w:lineRule="auto"/>
              <w:ind w:left="102" w:right="103" w:firstLine="481"/>
              <w:jc w:val="both"/>
              <w:rPr>
                <w:sz w:val="24"/>
                <w:szCs w:val="24"/>
              </w:rPr>
            </w:pPr>
            <w:r>
              <w:rPr>
                <w:sz w:val="24"/>
                <w:szCs w:val="24"/>
              </w:rPr>
              <w:t>本项目施工期主要环境影响有项目占地及基础开挖对区域陆生生态、地表植被的影响；混凝土拌合、养护及施工器具清洗产生的施工废水；物料运输、土建施工产生的扬尘；施工机械、运输车辆产生的噪声；基础开挖、构</w:t>
            </w:r>
            <w:r>
              <w:rPr>
                <w:spacing w:val="-1"/>
                <w:sz w:val="24"/>
                <w:szCs w:val="24"/>
              </w:rPr>
              <w:t>筑物建设产生的固体废弃物。</w:t>
            </w:r>
          </w:p>
          <w:p w14:paraId="40238E16">
            <w:pPr>
              <w:pStyle w:val="6"/>
              <w:spacing w:before="2" w:line="358" w:lineRule="auto"/>
              <w:ind w:left="102" w:right="23" w:firstLine="480"/>
              <w:jc w:val="both"/>
              <w:rPr>
                <w:sz w:val="24"/>
                <w:szCs w:val="24"/>
              </w:rPr>
            </w:pPr>
            <w:r>
              <w:rPr>
                <w:sz w:val="24"/>
                <w:szCs w:val="24"/>
              </w:rPr>
              <w:t>运行期主要环境影响有变电站、输电线路运行产生的工频电磁场、噪声</w:t>
            </w:r>
            <w:r>
              <w:rPr>
                <w:spacing w:val="-5"/>
                <w:sz w:val="24"/>
                <w:szCs w:val="24"/>
              </w:rPr>
              <w:t>影响；工作人员产生的生活污水及生活垃圾；变电站运行产生的废铅酸电池、</w:t>
            </w:r>
            <w:r>
              <w:rPr>
                <w:spacing w:val="-1"/>
                <w:sz w:val="24"/>
                <w:szCs w:val="24"/>
              </w:rPr>
              <w:t>废变压器油等固废。</w:t>
            </w:r>
          </w:p>
          <w:p w14:paraId="7EEE7D21">
            <w:pPr>
              <w:pStyle w:val="6"/>
              <w:spacing w:before="1" w:line="220" w:lineRule="auto"/>
              <w:ind w:left="579"/>
              <w:rPr>
                <w:sz w:val="24"/>
                <w:szCs w:val="24"/>
              </w:rPr>
            </w:pPr>
            <w:r>
              <w:rPr>
                <w:rFonts w:ascii="Times New Roman" w:hAnsi="Times New Roman" w:eastAsia="Times New Roman" w:cs="Times New Roman"/>
                <w:b/>
                <w:bCs/>
                <w:spacing w:val="-6"/>
                <w:sz w:val="24"/>
                <w:szCs w:val="24"/>
              </w:rPr>
              <w:t>4</w:t>
            </w:r>
            <w:r>
              <w:rPr>
                <w:rFonts w:ascii="Times New Roman" w:hAnsi="Times New Roman" w:eastAsia="Times New Roman" w:cs="Times New Roman"/>
                <w:b/>
                <w:bCs/>
                <w:spacing w:val="-32"/>
                <w:sz w:val="24"/>
                <w:szCs w:val="24"/>
              </w:rPr>
              <w:t xml:space="preserve"> </w:t>
            </w:r>
            <w:r>
              <w:rPr>
                <w:b/>
                <w:bCs/>
                <w:spacing w:val="-6"/>
                <w:sz w:val="24"/>
                <w:szCs w:val="24"/>
              </w:rPr>
              <w:t>、主要设备选型</w:t>
            </w:r>
          </w:p>
          <w:p w14:paraId="7AF6C8B9">
            <w:pPr>
              <w:pStyle w:val="6"/>
              <w:spacing w:before="181" w:line="203" w:lineRule="auto"/>
              <w:ind w:left="2466"/>
              <w:rPr>
                <w:sz w:val="24"/>
                <w:szCs w:val="24"/>
              </w:rPr>
            </w:pPr>
            <w:r>
              <w:rPr>
                <w:b/>
                <w:bCs/>
                <w:spacing w:val="-2"/>
                <w:sz w:val="24"/>
                <w:szCs w:val="24"/>
              </w:rPr>
              <w:t>表</w:t>
            </w:r>
            <w:r>
              <w:rPr>
                <w:rFonts w:ascii="Times New Roman" w:hAnsi="Times New Roman" w:eastAsia="Times New Roman" w:cs="Times New Roman"/>
                <w:b/>
                <w:bCs/>
                <w:spacing w:val="-2"/>
                <w:sz w:val="24"/>
                <w:szCs w:val="24"/>
              </w:rPr>
              <w:t xml:space="preserve">2-3        </w:t>
            </w:r>
            <w:r>
              <w:rPr>
                <w:b/>
                <w:bCs/>
                <w:spacing w:val="-2"/>
                <w:sz w:val="24"/>
                <w:szCs w:val="24"/>
              </w:rPr>
              <w:t>变电站主要设备选型</w:t>
            </w:r>
          </w:p>
        </w:tc>
      </w:tr>
      <w:tr w14:paraId="291BA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75" w:type="dxa"/>
            <w:vMerge w:val="continue"/>
            <w:tcBorders>
              <w:top w:val="nil"/>
              <w:left w:val="single" w:color="000000" w:sz="6" w:space="0"/>
              <w:bottom w:val="nil"/>
              <w:right w:val="single" w:color="000000" w:sz="6" w:space="0"/>
            </w:tcBorders>
            <w:vAlign w:val="top"/>
          </w:tcPr>
          <w:p w14:paraId="29D8B493">
            <w:pPr>
              <w:rPr>
                <w:rFonts w:ascii="Arial"/>
                <w:sz w:val="21"/>
              </w:rPr>
            </w:pPr>
          </w:p>
        </w:tc>
        <w:tc>
          <w:tcPr>
            <w:tcW w:w="879" w:type="dxa"/>
            <w:tcBorders>
              <w:left w:val="single" w:color="000000" w:sz="6" w:space="0"/>
            </w:tcBorders>
            <w:vAlign w:val="top"/>
          </w:tcPr>
          <w:p w14:paraId="53714811">
            <w:pPr>
              <w:pStyle w:val="6"/>
              <w:spacing w:before="4" w:line="263" w:lineRule="exact"/>
              <w:ind w:firstLine="141"/>
            </w:pPr>
            <w:r>
              <w:rPr>
                <w:position w:val="-6"/>
              </w:rPr>
              <w:pict>
                <v:shape id="_x0000_s1035" o:spid="_x0000_s1035" o:spt="202" type="#_x0000_t202" style="height:13.75pt;width:36.15pt;" fillcolor="#BEBEBE" filled="t" stroked="f" coordsize="21600,21600">
                  <v:path/>
                  <v:fill on="t" focussize="0,0"/>
                  <v:stroke on="f"/>
                  <v:imagedata o:title=""/>
                  <o:lock v:ext="edit" aspectratio="f"/>
                  <v:textbox inset="0mm,0mm,0mm,0mm">
                    <w:txbxContent>
                      <w:p w14:paraId="290ADA0C">
                        <w:pPr>
                          <w:spacing w:before="33" w:line="228" w:lineRule="auto"/>
                          <w:ind w:left="182"/>
                          <w:rPr>
                            <w:rFonts w:ascii="宋体" w:hAnsi="宋体" w:eastAsia="宋体" w:cs="宋体"/>
                            <w:sz w:val="20"/>
                            <w:szCs w:val="20"/>
                          </w:rPr>
                        </w:pPr>
                        <w:r>
                          <w:rPr>
                            <w:rFonts w:ascii="宋体" w:hAnsi="宋体" w:eastAsia="宋体" w:cs="宋体"/>
                            <w:b/>
                            <w:bCs/>
                            <w:spacing w:val="-9"/>
                            <w:sz w:val="20"/>
                            <w:szCs w:val="20"/>
                          </w:rPr>
                          <w:t>内容</w:t>
                        </w:r>
                      </w:p>
                    </w:txbxContent>
                  </v:textbox>
                  <w10:wrap type="none"/>
                  <w10:anchorlock/>
                </v:shape>
              </w:pict>
            </w:r>
          </w:p>
        </w:tc>
        <w:tc>
          <w:tcPr>
            <w:tcW w:w="1154" w:type="dxa"/>
            <w:shd w:val="clear" w:color="auto" w:fill="BEBEBE"/>
            <w:vAlign w:val="top"/>
          </w:tcPr>
          <w:p w14:paraId="262E0BA8">
            <w:pPr>
              <w:pStyle w:val="6"/>
              <w:spacing w:before="37" w:line="212" w:lineRule="auto"/>
              <w:ind w:left="371"/>
            </w:pPr>
            <w:r>
              <w:rPr>
                <w:b/>
                <w:bCs/>
                <w:spacing w:val="2"/>
              </w:rPr>
              <w:t>设备</w:t>
            </w:r>
          </w:p>
        </w:tc>
        <w:tc>
          <w:tcPr>
            <w:tcW w:w="5953" w:type="dxa"/>
            <w:shd w:val="clear" w:color="auto" w:fill="BEBEBE"/>
            <w:vAlign w:val="top"/>
          </w:tcPr>
          <w:p w14:paraId="6B162DBE">
            <w:pPr>
              <w:pStyle w:val="6"/>
              <w:spacing w:before="37" w:line="212" w:lineRule="auto"/>
              <w:ind w:left="2779"/>
            </w:pPr>
            <w:r>
              <w:rPr>
                <w:b/>
                <w:bCs/>
              </w:rPr>
              <w:t>型号</w:t>
            </w:r>
          </w:p>
        </w:tc>
        <w:tc>
          <w:tcPr>
            <w:tcW w:w="163" w:type="dxa"/>
            <w:vMerge w:val="restart"/>
            <w:tcBorders>
              <w:top w:val="nil"/>
              <w:bottom w:val="nil"/>
              <w:right w:val="single" w:color="000000" w:sz="6" w:space="0"/>
            </w:tcBorders>
            <w:vAlign w:val="top"/>
          </w:tcPr>
          <w:p w14:paraId="2132114B">
            <w:pPr>
              <w:rPr>
                <w:rFonts w:ascii="Arial"/>
                <w:sz w:val="21"/>
              </w:rPr>
            </w:pPr>
          </w:p>
        </w:tc>
      </w:tr>
      <w:tr w14:paraId="67679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375" w:type="dxa"/>
            <w:vMerge w:val="continue"/>
            <w:tcBorders>
              <w:top w:val="nil"/>
              <w:left w:val="single" w:color="000000" w:sz="6" w:space="0"/>
              <w:bottom w:val="nil"/>
              <w:right w:val="single" w:color="000000" w:sz="6" w:space="0"/>
            </w:tcBorders>
            <w:vAlign w:val="top"/>
          </w:tcPr>
          <w:p w14:paraId="380FBD3B">
            <w:pPr>
              <w:rPr>
                <w:rFonts w:ascii="Arial"/>
                <w:sz w:val="21"/>
              </w:rPr>
            </w:pPr>
          </w:p>
        </w:tc>
        <w:tc>
          <w:tcPr>
            <w:tcW w:w="879" w:type="dxa"/>
            <w:vMerge w:val="restart"/>
            <w:tcBorders>
              <w:left w:val="single" w:color="000000" w:sz="6" w:space="0"/>
              <w:bottom w:val="nil"/>
            </w:tcBorders>
            <w:vAlign w:val="top"/>
          </w:tcPr>
          <w:p w14:paraId="2BC100A6">
            <w:pPr>
              <w:pStyle w:val="6"/>
              <w:spacing w:before="39" w:line="229" w:lineRule="auto"/>
              <w:ind w:left="301"/>
            </w:pPr>
            <w:r>
              <w:rPr>
                <w:spacing w:val="4"/>
              </w:rPr>
              <w:t>变电</w:t>
            </w:r>
          </w:p>
          <w:p w14:paraId="64147640">
            <w:pPr>
              <w:pStyle w:val="6"/>
              <w:spacing w:before="22" w:line="253" w:lineRule="auto"/>
              <w:ind w:left="301" w:right="158"/>
              <w:jc w:val="both"/>
            </w:pPr>
            <w:r>
              <w:rPr>
                <w:spacing w:val="4"/>
              </w:rPr>
              <w:t>站电压设</w:t>
            </w:r>
            <w:r>
              <w:rPr>
                <w:spacing w:val="37"/>
                <w:w w:val="134"/>
              </w:rPr>
              <w:t>备</w:t>
            </w:r>
          </w:p>
        </w:tc>
        <w:tc>
          <w:tcPr>
            <w:tcW w:w="1154" w:type="dxa"/>
            <w:vAlign w:val="top"/>
          </w:tcPr>
          <w:p w14:paraId="4D730129">
            <w:pPr>
              <w:pStyle w:val="6"/>
              <w:spacing w:before="39" w:line="229" w:lineRule="auto"/>
              <w:ind w:left="160"/>
            </w:pPr>
            <w:r>
              <w:rPr>
                <w:spacing w:val="6"/>
              </w:rPr>
              <w:t>主变压器</w:t>
            </w:r>
          </w:p>
        </w:tc>
        <w:tc>
          <w:tcPr>
            <w:tcW w:w="5953" w:type="dxa"/>
            <w:vAlign w:val="top"/>
          </w:tcPr>
          <w:p w14:paraId="44C63A22">
            <w:pPr>
              <w:pStyle w:val="6"/>
              <w:spacing w:before="39" w:line="250" w:lineRule="auto"/>
              <w:ind w:left="113" w:right="1075" w:hanging="2"/>
              <w:rPr>
                <w:rFonts w:ascii="Times New Roman" w:hAnsi="Times New Roman" w:eastAsia="Times New Roman" w:cs="Times New Roman"/>
              </w:rPr>
            </w:pPr>
            <w:r>
              <w:rPr>
                <w:spacing w:val="8"/>
              </w:rPr>
              <w:t>三相双绕组有载调压变压器，</w:t>
            </w:r>
            <w:r>
              <w:rPr>
                <w:rFonts w:ascii="Times New Roman" w:hAnsi="Times New Roman" w:eastAsia="Times New Roman" w:cs="Times New Roman"/>
              </w:rPr>
              <w:t>SFZ</w:t>
            </w:r>
            <w:r>
              <w:rPr>
                <w:rFonts w:ascii="Times New Roman" w:hAnsi="Times New Roman" w:eastAsia="Times New Roman" w:cs="Times New Roman"/>
                <w:spacing w:val="8"/>
              </w:rPr>
              <w:t>11-50000/110</w:t>
            </w:r>
            <w:r>
              <w:rPr>
                <w:rFonts w:ascii="Times New Roman" w:hAnsi="Times New Roman" w:eastAsia="Times New Roman" w:cs="Times New Roman"/>
              </w:rPr>
              <w:t>GYW</w:t>
            </w:r>
            <w:r>
              <w:rPr>
                <w:spacing w:val="9"/>
              </w:rPr>
              <w:t>容量：</w:t>
            </w:r>
            <w:r>
              <w:rPr>
                <w:rFonts w:ascii="Times New Roman" w:hAnsi="Times New Roman" w:eastAsia="Times New Roman" w:cs="Times New Roman"/>
                <w:spacing w:val="9"/>
              </w:rPr>
              <w:t>50</w:t>
            </w:r>
            <w:r>
              <w:rPr>
                <w:rFonts w:ascii="Times New Roman" w:hAnsi="Times New Roman" w:eastAsia="Times New Roman" w:cs="Times New Roman"/>
              </w:rPr>
              <w:t>MVA</w:t>
            </w:r>
          </w:p>
          <w:p w14:paraId="120D72A4">
            <w:pPr>
              <w:pStyle w:val="6"/>
              <w:spacing w:line="228" w:lineRule="auto"/>
              <w:ind w:left="114"/>
            </w:pPr>
            <w:r>
              <w:rPr>
                <w:spacing w:val="5"/>
              </w:rPr>
              <w:t>容量比：</w:t>
            </w:r>
            <w:r>
              <w:rPr>
                <w:rFonts w:ascii="Times New Roman" w:hAnsi="Times New Roman" w:eastAsia="Times New Roman" w:cs="Times New Roman"/>
                <w:spacing w:val="5"/>
              </w:rPr>
              <w:t>100/100</w:t>
            </w:r>
            <w:r>
              <w:rPr>
                <w:spacing w:val="5"/>
              </w:rPr>
              <w:t>。</w:t>
            </w:r>
          </w:p>
          <w:p w14:paraId="70D5A2A6">
            <w:pPr>
              <w:pStyle w:val="6"/>
              <w:spacing w:before="26" w:line="231" w:lineRule="auto"/>
              <w:ind w:left="136"/>
              <w:rPr>
                <w:rFonts w:ascii="Times New Roman" w:hAnsi="Times New Roman" w:eastAsia="Times New Roman" w:cs="Times New Roman"/>
              </w:rPr>
            </w:pPr>
            <w:r>
              <w:rPr>
                <w:spacing w:val="4"/>
              </w:rPr>
              <w:t>电压比：</w:t>
            </w:r>
            <w:r>
              <w:rPr>
                <w:rFonts w:ascii="Times New Roman" w:hAnsi="Times New Roman" w:eastAsia="Times New Roman" w:cs="Times New Roman"/>
                <w:spacing w:val="4"/>
              </w:rPr>
              <w:t>110±8×1.25</w:t>
            </w:r>
            <w:r>
              <w:rPr>
                <w:spacing w:val="4"/>
              </w:rPr>
              <w:t>％</w:t>
            </w:r>
            <w:r>
              <w:rPr>
                <w:rFonts w:ascii="Times New Roman" w:hAnsi="Times New Roman" w:eastAsia="Times New Roman" w:cs="Times New Roman"/>
                <w:spacing w:val="4"/>
              </w:rPr>
              <w:t>/10.5</w:t>
            </w:r>
            <w:r>
              <w:rPr>
                <w:rFonts w:ascii="Times New Roman" w:hAnsi="Times New Roman" w:eastAsia="Times New Roman" w:cs="Times New Roman"/>
              </w:rPr>
              <w:t>kV</w:t>
            </w:r>
          </w:p>
          <w:p w14:paraId="3F858B77">
            <w:pPr>
              <w:pStyle w:val="6"/>
              <w:spacing w:before="20" w:line="218" w:lineRule="auto"/>
              <w:ind w:left="112"/>
              <w:rPr>
                <w:rFonts w:ascii="Times New Roman" w:hAnsi="Times New Roman" w:eastAsia="Times New Roman" w:cs="Times New Roman"/>
              </w:rPr>
            </w:pPr>
            <w:r>
              <w:rPr>
                <w:spacing w:val="6"/>
              </w:rPr>
              <w:t>联结组别：</w:t>
            </w:r>
            <w:r>
              <w:rPr>
                <w:rFonts w:ascii="Times New Roman" w:hAnsi="Times New Roman" w:eastAsia="Times New Roman" w:cs="Times New Roman"/>
              </w:rPr>
              <w:t>YN</w:t>
            </w:r>
            <w:r>
              <w:rPr>
                <w:rFonts w:ascii="Times New Roman" w:hAnsi="Times New Roman" w:eastAsia="Times New Roman" w:cs="Times New Roman"/>
                <w:spacing w:val="-25"/>
              </w:rPr>
              <w:t xml:space="preserve"> </w:t>
            </w:r>
            <w:r>
              <w:rPr>
                <w:spacing w:val="6"/>
              </w:rPr>
              <w:t>，</w:t>
            </w:r>
            <w:r>
              <w:rPr>
                <w:rFonts w:ascii="Times New Roman" w:hAnsi="Times New Roman" w:eastAsia="Times New Roman" w:cs="Times New Roman"/>
                <w:spacing w:val="6"/>
              </w:rPr>
              <w:t>d11</w:t>
            </w:r>
          </w:p>
          <w:p w14:paraId="3FFA564E">
            <w:pPr>
              <w:pStyle w:val="6"/>
              <w:spacing w:line="264" w:lineRule="exact"/>
              <w:ind w:left="125"/>
              <w:rPr>
                <w:rFonts w:ascii="Times New Roman" w:hAnsi="Times New Roman" w:eastAsia="Times New Roman" w:cs="Times New Roman"/>
              </w:rPr>
            </w:pPr>
            <w:r>
              <w:rPr>
                <w:spacing w:val="4"/>
                <w:position w:val="1"/>
              </w:rPr>
              <w:t>阻抗电压：</w:t>
            </w:r>
            <w:r>
              <w:rPr>
                <w:rFonts w:ascii="Times New Roman" w:hAnsi="Times New Roman" w:eastAsia="Times New Roman" w:cs="Times New Roman"/>
                <w:position w:val="1"/>
              </w:rPr>
              <w:t>Ud</w:t>
            </w:r>
            <w:r>
              <w:rPr>
                <w:rFonts w:ascii="Times New Roman" w:hAnsi="Times New Roman" w:eastAsia="Times New Roman" w:cs="Times New Roman"/>
                <w:spacing w:val="4"/>
                <w:position w:val="1"/>
              </w:rPr>
              <w:t>=</w:t>
            </w:r>
            <w:r>
              <w:rPr>
                <w:rFonts w:ascii="Times New Roman" w:hAnsi="Times New Roman" w:eastAsia="Times New Roman" w:cs="Times New Roman"/>
                <w:spacing w:val="-25"/>
                <w:position w:val="1"/>
              </w:rPr>
              <w:t xml:space="preserve"> </w:t>
            </w:r>
            <w:r>
              <w:rPr>
                <w:rFonts w:ascii="Times New Roman" w:hAnsi="Times New Roman" w:eastAsia="Times New Roman" w:cs="Times New Roman"/>
                <w:spacing w:val="4"/>
                <w:position w:val="1"/>
              </w:rPr>
              <w:t>16%</w:t>
            </w:r>
          </w:p>
        </w:tc>
        <w:tc>
          <w:tcPr>
            <w:tcW w:w="163" w:type="dxa"/>
            <w:vMerge w:val="continue"/>
            <w:tcBorders>
              <w:top w:val="nil"/>
              <w:bottom w:val="nil"/>
              <w:right w:val="single" w:color="000000" w:sz="6" w:space="0"/>
            </w:tcBorders>
            <w:vAlign w:val="top"/>
          </w:tcPr>
          <w:p w14:paraId="2DC7A71B">
            <w:pPr>
              <w:rPr>
                <w:rFonts w:ascii="Arial"/>
                <w:sz w:val="21"/>
              </w:rPr>
            </w:pPr>
          </w:p>
        </w:tc>
      </w:tr>
      <w:tr w14:paraId="76B9A6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6" w:hRule="atLeast"/>
        </w:trPr>
        <w:tc>
          <w:tcPr>
            <w:tcW w:w="375" w:type="dxa"/>
            <w:vMerge w:val="continue"/>
            <w:tcBorders>
              <w:top w:val="nil"/>
              <w:left w:val="single" w:color="000000" w:sz="6" w:space="0"/>
              <w:bottom w:val="nil"/>
              <w:right w:val="single" w:color="000000" w:sz="6" w:space="0"/>
            </w:tcBorders>
            <w:vAlign w:val="top"/>
          </w:tcPr>
          <w:p w14:paraId="3AA45F15">
            <w:pPr>
              <w:rPr>
                <w:rFonts w:ascii="Arial"/>
                <w:sz w:val="21"/>
              </w:rPr>
            </w:pPr>
          </w:p>
        </w:tc>
        <w:tc>
          <w:tcPr>
            <w:tcW w:w="879" w:type="dxa"/>
            <w:vMerge w:val="continue"/>
            <w:tcBorders>
              <w:top w:val="nil"/>
              <w:left w:val="single" w:color="000000" w:sz="6" w:space="0"/>
              <w:bottom w:val="nil"/>
            </w:tcBorders>
            <w:vAlign w:val="top"/>
          </w:tcPr>
          <w:p w14:paraId="76DF557F">
            <w:pPr>
              <w:rPr>
                <w:rFonts w:ascii="Arial"/>
                <w:sz w:val="21"/>
              </w:rPr>
            </w:pPr>
          </w:p>
        </w:tc>
        <w:tc>
          <w:tcPr>
            <w:tcW w:w="1154" w:type="dxa"/>
            <w:vAlign w:val="top"/>
          </w:tcPr>
          <w:p w14:paraId="489F1212">
            <w:pPr>
              <w:pStyle w:val="6"/>
              <w:spacing w:before="42" w:line="252" w:lineRule="auto"/>
              <w:ind w:left="265" w:right="188" w:hanging="61"/>
            </w:pPr>
            <w:r>
              <w:rPr>
                <w:rFonts w:ascii="Times New Roman" w:hAnsi="Times New Roman" w:eastAsia="Times New Roman" w:cs="Times New Roman"/>
                <w:spacing w:val="2"/>
              </w:rPr>
              <w:t>110</w:t>
            </w:r>
            <w:r>
              <w:rPr>
                <w:rFonts w:ascii="Times New Roman" w:hAnsi="Times New Roman" w:eastAsia="Times New Roman" w:cs="Times New Roman"/>
              </w:rPr>
              <w:t>kV</w:t>
            </w:r>
            <w:r>
              <w:rPr>
                <w:spacing w:val="2"/>
              </w:rPr>
              <w:t>电</w:t>
            </w:r>
            <w:r>
              <w:rPr>
                <w:spacing w:val="6"/>
              </w:rPr>
              <w:t>气设备</w:t>
            </w:r>
          </w:p>
        </w:tc>
        <w:tc>
          <w:tcPr>
            <w:tcW w:w="5953" w:type="dxa"/>
            <w:vAlign w:val="top"/>
          </w:tcPr>
          <w:p w14:paraId="6A9E9701">
            <w:pPr>
              <w:pStyle w:val="6"/>
              <w:spacing w:before="44" w:line="248" w:lineRule="auto"/>
              <w:ind w:left="103" w:firstLine="24"/>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19"/>
              </w:rPr>
              <w:t xml:space="preserve"> </w:t>
            </w:r>
            <w:r>
              <w:rPr>
                <w:rFonts w:ascii="Times New Roman" w:hAnsi="Times New Roman" w:eastAsia="Times New Roman" w:cs="Times New Roman"/>
              </w:rPr>
              <w:t>SF</w:t>
            </w:r>
            <w:r>
              <w:rPr>
                <w:rFonts w:ascii="Times New Roman" w:hAnsi="Times New Roman" w:eastAsia="Times New Roman" w:cs="Times New Roman"/>
                <w:spacing w:val="6"/>
              </w:rPr>
              <w:t xml:space="preserve">6  </w:t>
            </w:r>
            <w:r>
              <w:rPr>
                <w:spacing w:val="6"/>
              </w:rPr>
              <w:t>瓷柱式断路器：额定电压</w:t>
            </w:r>
            <w:r>
              <w:rPr>
                <w:rFonts w:ascii="Times New Roman" w:hAnsi="Times New Roman" w:eastAsia="Times New Roman" w:cs="Times New Roman"/>
                <w:spacing w:val="6"/>
              </w:rPr>
              <w:t>126</w:t>
            </w:r>
            <w:r>
              <w:rPr>
                <w:rFonts w:ascii="Times New Roman" w:hAnsi="Times New Roman" w:eastAsia="Times New Roman" w:cs="Times New Roman"/>
              </w:rPr>
              <w:t>kV</w:t>
            </w:r>
            <w:r>
              <w:rPr>
                <w:rFonts w:ascii="Times New Roman" w:hAnsi="Times New Roman" w:eastAsia="Times New Roman" w:cs="Times New Roman"/>
                <w:spacing w:val="-22"/>
              </w:rPr>
              <w:t xml:space="preserve"> </w:t>
            </w:r>
            <w:r>
              <w:rPr>
                <w:spacing w:val="6"/>
              </w:rPr>
              <w:t>，额定电流</w:t>
            </w:r>
            <w:r>
              <w:rPr>
                <w:rFonts w:ascii="Times New Roman" w:hAnsi="Times New Roman" w:eastAsia="Times New Roman" w:cs="Times New Roman"/>
                <w:spacing w:val="6"/>
              </w:rPr>
              <w:t>2000A</w:t>
            </w:r>
            <w:r>
              <w:rPr>
                <w:rFonts w:ascii="Times New Roman" w:hAnsi="Times New Roman" w:eastAsia="Times New Roman" w:cs="Times New Roman"/>
                <w:spacing w:val="-25"/>
              </w:rPr>
              <w:t xml:space="preserve"> </w:t>
            </w:r>
            <w:r>
              <w:rPr>
                <w:spacing w:val="6"/>
              </w:rPr>
              <w:t>，</w:t>
            </w:r>
            <w:r>
              <w:rPr>
                <w:spacing w:val="8"/>
              </w:rPr>
              <w:t>额定开断电流</w:t>
            </w:r>
            <w:r>
              <w:rPr>
                <w:rFonts w:ascii="Times New Roman" w:hAnsi="Times New Roman" w:eastAsia="Times New Roman" w:cs="Times New Roman"/>
                <w:spacing w:val="8"/>
              </w:rPr>
              <w:t>40</w:t>
            </w:r>
            <w:r>
              <w:rPr>
                <w:rFonts w:ascii="Times New Roman" w:hAnsi="Times New Roman" w:eastAsia="Times New Roman" w:cs="Times New Roman"/>
              </w:rPr>
              <w:t>kA</w:t>
            </w:r>
            <w:r>
              <w:rPr>
                <w:rFonts w:ascii="Times New Roman" w:hAnsi="Times New Roman" w:eastAsia="Times New Roman" w:cs="Times New Roman"/>
                <w:spacing w:val="-24"/>
              </w:rPr>
              <w:t xml:space="preserve"> </w:t>
            </w:r>
            <w:r>
              <w:rPr>
                <w:spacing w:val="8"/>
              </w:rPr>
              <w:t>，额定短时耐受电流（时间）</w:t>
            </w:r>
            <w:r>
              <w:rPr>
                <w:rFonts w:ascii="Times New Roman" w:hAnsi="Times New Roman" w:eastAsia="Times New Roman" w:cs="Times New Roman"/>
                <w:spacing w:val="8"/>
              </w:rPr>
              <w:t>40</w:t>
            </w:r>
            <w:r>
              <w:rPr>
                <w:rFonts w:ascii="Times New Roman" w:hAnsi="Times New Roman" w:eastAsia="Times New Roman" w:cs="Times New Roman"/>
              </w:rPr>
              <w:t>kA</w:t>
            </w:r>
            <w:r>
              <w:rPr>
                <w:spacing w:val="8"/>
              </w:rPr>
              <w:t>（</w:t>
            </w:r>
            <w:r>
              <w:rPr>
                <w:rFonts w:ascii="Times New Roman" w:hAnsi="Times New Roman" w:eastAsia="Times New Roman" w:cs="Times New Roman"/>
                <w:spacing w:val="8"/>
              </w:rPr>
              <w:t>3S</w:t>
            </w:r>
            <w:r>
              <w:rPr>
                <w:spacing w:val="24"/>
              </w:rPr>
              <w:t>）；</w:t>
            </w:r>
            <w:r>
              <w:t xml:space="preserve"> </w:t>
            </w:r>
            <w:r>
              <w:rPr>
                <w:rFonts w:ascii="Times New Roman" w:hAnsi="Times New Roman" w:eastAsia="Times New Roman" w:cs="Times New Roman"/>
              </w:rPr>
              <w:t>VSF</w:t>
            </w:r>
            <w:r>
              <w:rPr>
                <w:rFonts w:ascii="Times New Roman" w:hAnsi="Times New Roman" w:eastAsia="Times New Roman" w:cs="Times New Roman"/>
                <w:spacing w:val="19"/>
              </w:rPr>
              <w:t xml:space="preserve">6 </w:t>
            </w:r>
            <w:r>
              <w:rPr>
                <w:spacing w:val="19"/>
              </w:rPr>
              <w:t>电流互感器：</w:t>
            </w:r>
            <w:r>
              <w:rPr>
                <w:spacing w:val="-30"/>
              </w:rPr>
              <w:t xml:space="preserve"> </w:t>
            </w:r>
            <w:r>
              <w:rPr>
                <w:spacing w:val="19"/>
              </w:rPr>
              <w:t>主变进线配置</w:t>
            </w:r>
            <w:r>
              <w:rPr>
                <w:rFonts w:ascii="Times New Roman" w:hAnsi="Times New Roman" w:eastAsia="Times New Roman" w:cs="Times New Roman"/>
                <w:spacing w:val="19"/>
              </w:rPr>
              <w:t>6</w:t>
            </w:r>
            <w:r>
              <w:rPr>
                <w:rFonts w:ascii="Times New Roman" w:hAnsi="Times New Roman" w:eastAsia="Times New Roman" w:cs="Times New Roman"/>
                <w:spacing w:val="-17"/>
              </w:rPr>
              <w:t xml:space="preserve"> </w:t>
            </w:r>
            <w:r>
              <w:rPr>
                <w:spacing w:val="19"/>
              </w:rPr>
              <w:t>个二次绕组</w:t>
            </w:r>
            <w:r>
              <w:rPr>
                <w:spacing w:val="-51"/>
              </w:rPr>
              <w:t xml:space="preserve"> </w:t>
            </w:r>
            <w:r>
              <w:rPr>
                <w:spacing w:val="19"/>
              </w:rPr>
              <w:t>，</w:t>
            </w:r>
            <w:r>
              <w:rPr>
                <w:spacing w:val="-58"/>
              </w:rPr>
              <w:t xml:space="preserve"> </w:t>
            </w:r>
            <w:r>
              <w:rPr>
                <w:spacing w:val="19"/>
              </w:rPr>
              <w:t>级次为：</w:t>
            </w:r>
            <w:r>
              <w:t xml:space="preserve"> </w:t>
            </w:r>
            <w:r>
              <w:rPr>
                <w:rFonts w:ascii="Times New Roman" w:hAnsi="Times New Roman" w:eastAsia="Times New Roman" w:cs="Times New Roman"/>
                <w:spacing w:val="4"/>
              </w:rPr>
              <w:t>4×5P40/0.5S/0.2S</w:t>
            </w:r>
            <w:r>
              <w:rPr>
                <w:spacing w:val="4"/>
              </w:rPr>
              <w:t>级  变比为：</w:t>
            </w:r>
            <w:r>
              <w:rPr>
                <w:rFonts w:ascii="Times New Roman" w:hAnsi="Times New Roman" w:eastAsia="Times New Roman" w:cs="Times New Roman"/>
                <w:spacing w:val="4"/>
              </w:rPr>
              <w:t>400-800/1A</w:t>
            </w:r>
            <w:r>
              <w:rPr>
                <w:rFonts w:ascii="Times New Roman" w:hAnsi="Times New Roman" w:eastAsia="Times New Roman" w:cs="Times New Roman"/>
                <w:spacing w:val="35"/>
              </w:rPr>
              <w:t xml:space="preserve"> </w:t>
            </w:r>
            <w:r>
              <w:rPr>
                <w:spacing w:val="4"/>
              </w:rPr>
              <w:t>（抽头；</w:t>
            </w:r>
            <w:r>
              <w:rPr>
                <w:rFonts w:ascii="Times New Roman" w:hAnsi="Times New Roman" w:eastAsia="Times New Roman" w:cs="Times New Roman"/>
                <w:spacing w:val="4"/>
              </w:rPr>
              <w:t>2x200/1A</w:t>
            </w:r>
            <w:r>
              <w:rPr>
                <w:spacing w:val="-23"/>
              </w:rPr>
              <w:t>）；</w:t>
            </w:r>
            <w:r>
              <w:rPr>
                <w:spacing w:val="6"/>
              </w:rPr>
              <w:t>电容式电压互感器：母线设备：</w:t>
            </w:r>
            <w:r>
              <w:rPr>
                <w:rFonts w:ascii="Times New Roman" w:hAnsi="Times New Roman" w:eastAsia="Times New Roman" w:cs="Times New Roman"/>
                <w:spacing w:val="6"/>
              </w:rPr>
              <w:t>0.02μF</w:t>
            </w:r>
            <w:r>
              <w:rPr>
                <w:rFonts w:ascii="Times New Roman" w:hAnsi="Times New Roman" w:eastAsia="Times New Roman" w:cs="Times New Roman"/>
                <w:spacing w:val="-26"/>
              </w:rPr>
              <w:t xml:space="preserve"> </w:t>
            </w:r>
            <w:r>
              <w:rPr>
                <w:spacing w:val="-21"/>
              </w:rPr>
              <w:t>，（</w:t>
            </w:r>
            <w:r>
              <w:rPr>
                <w:rFonts w:ascii="Times New Roman" w:hAnsi="Times New Roman" w:eastAsia="Times New Roman" w:cs="Times New Roman"/>
                <w:spacing w:val="6"/>
              </w:rPr>
              <w:t>110/√3</w:t>
            </w:r>
            <w:r>
              <w:rPr>
                <w:spacing w:val="6"/>
              </w:rPr>
              <w:t>）</w:t>
            </w:r>
            <w:r>
              <w:rPr>
                <w:rFonts w:ascii="Times New Roman" w:hAnsi="Times New Roman" w:eastAsia="Times New Roman" w:cs="Times New Roman"/>
                <w:spacing w:val="6"/>
              </w:rPr>
              <w:t>/</w:t>
            </w:r>
            <w:r>
              <w:rPr>
                <w:spacing w:val="6"/>
              </w:rPr>
              <w:t>（</w:t>
            </w:r>
            <w:r>
              <w:rPr>
                <w:rFonts w:ascii="Times New Roman" w:hAnsi="Times New Roman" w:eastAsia="Times New Roman" w:cs="Times New Roman"/>
                <w:spacing w:val="6"/>
              </w:rPr>
              <w:t>0.</w:t>
            </w:r>
            <w:r>
              <w:rPr>
                <w:rFonts w:ascii="Times New Roman" w:hAnsi="Times New Roman" w:eastAsia="Times New Roman" w:cs="Times New Roman"/>
                <w:spacing w:val="-25"/>
              </w:rPr>
              <w:t xml:space="preserve"> </w:t>
            </w:r>
            <w:r>
              <w:rPr>
                <w:rFonts w:ascii="Times New Roman" w:hAnsi="Times New Roman" w:eastAsia="Times New Roman" w:cs="Times New Roman"/>
                <w:spacing w:val="6"/>
              </w:rPr>
              <w:t>10/√3</w:t>
            </w:r>
            <w:r>
              <w:rPr>
                <w:spacing w:val="6"/>
              </w:rPr>
              <w:t>）</w:t>
            </w:r>
            <w:r>
              <w:t xml:space="preserve"> </w:t>
            </w:r>
            <w:r>
              <w:rPr>
                <w:rFonts w:ascii="Times New Roman" w:hAnsi="Times New Roman" w:eastAsia="Times New Roman" w:cs="Times New Roman"/>
                <w:spacing w:val="3"/>
              </w:rPr>
              <w:t>/</w:t>
            </w:r>
            <w:r>
              <w:rPr>
                <w:spacing w:val="3"/>
              </w:rPr>
              <w:t>（</w:t>
            </w:r>
            <w:r>
              <w:rPr>
                <w:rFonts w:ascii="Times New Roman" w:hAnsi="Times New Roman" w:eastAsia="Times New Roman" w:cs="Times New Roman"/>
                <w:spacing w:val="3"/>
              </w:rPr>
              <w:t>0.</w:t>
            </w:r>
            <w:r>
              <w:rPr>
                <w:rFonts w:ascii="Times New Roman" w:hAnsi="Times New Roman" w:eastAsia="Times New Roman" w:cs="Times New Roman"/>
                <w:spacing w:val="-20"/>
              </w:rPr>
              <w:t xml:space="preserve"> </w:t>
            </w:r>
            <w:r>
              <w:rPr>
                <w:rFonts w:ascii="Times New Roman" w:hAnsi="Times New Roman" w:eastAsia="Times New Roman" w:cs="Times New Roman"/>
                <w:spacing w:val="3"/>
              </w:rPr>
              <w:t>1/√3</w:t>
            </w:r>
            <w:r>
              <w:rPr>
                <w:spacing w:val="3"/>
              </w:rPr>
              <w:t xml:space="preserve">） </w:t>
            </w:r>
            <w:r>
              <w:rPr>
                <w:rFonts w:ascii="Times New Roman" w:hAnsi="Times New Roman" w:eastAsia="Times New Roman" w:cs="Times New Roman"/>
                <w:spacing w:val="3"/>
              </w:rPr>
              <w:t>/</w:t>
            </w:r>
            <w:r>
              <w:rPr>
                <w:spacing w:val="3"/>
              </w:rPr>
              <w:t>（</w:t>
            </w:r>
            <w:r>
              <w:rPr>
                <w:rFonts w:ascii="Times New Roman" w:hAnsi="Times New Roman" w:eastAsia="Times New Roman" w:cs="Times New Roman"/>
                <w:spacing w:val="3"/>
              </w:rPr>
              <w:t>0.</w:t>
            </w:r>
            <w:r>
              <w:rPr>
                <w:rFonts w:ascii="Times New Roman" w:hAnsi="Times New Roman" w:eastAsia="Times New Roman" w:cs="Times New Roman"/>
                <w:spacing w:val="-25"/>
              </w:rPr>
              <w:t xml:space="preserve"> </w:t>
            </w:r>
            <w:r>
              <w:rPr>
                <w:rFonts w:ascii="Times New Roman" w:hAnsi="Times New Roman" w:eastAsia="Times New Roman" w:cs="Times New Roman"/>
                <w:spacing w:val="3"/>
              </w:rPr>
              <w:t>1/√3</w:t>
            </w:r>
            <w:r>
              <w:rPr>
                <w:spacing w:val="3"/>
              </w:rPr>
              <w:t>）</w:t>
            </w:r>
            <w:r>
              <w:rPr>
                <w:rFonts w:ascii="Times New Roman" w:hAnsi="Times New Roman" w:eastAsia="Times New Roman" w:cs="Times New Roman"/>
                <w:spacing w:val="3"/>
              </w:rPr>
              <w:t>/0.</w:t>
            </w:r>
            <w:r>
              <w:rPr>
                <w:rFonts w:ascii="Times New Roman" w:hAnsi="Times New Roman" w:eastAsia="Times New Roman" w:cs="Times New Roman"/>
                <w:spacing w:val="-25"/>
              </w:rPr>
              <w:t xml:space="preserve"> </w:t>
            </w:r>
            <w:r>
              <w:rPr>
                <w:rFonts w:ascii="Times New Roman" w:hAnsi="Times New Roman" w:eastAsia="Times New Roman" w:cs="Times New Roman"/>
                <w:spacing w:val="3"/>
              </w:rPr>
              <w:t>1</w:t>
            </w:r>
            <w:r>
              <w:rPr>
                <w:rFonts w:ascii="Times New Roman" w:hAnsi="Times New Roman" w:eastAsia="Times New Roman" w:cs="Times New Roman"/>
              </w:rPr>
              <w:t>kV</w:t>
            </w:r>
            <w:r>
              <w:rPr>
                <w:rFonts w:ascii="Times New Roman" w:hAnsi="Times New Roman" w:eastAsia="Times New Roman" w:cs="Times New Roman"/>
                <w:spacing w:val="-22"/>
              </w:rPr>
              <w:t xml:space="preserve"> </w:t>
            </w:r>
            <w:r>
              <w:rPr>
                <w:spacing w:val="3"/>
              </w:rPr>
              <w:t>，</w:t>
            </w:r>
            <w:r>
              <w:rPr>
                <w:rFonts w:ascii="Times New Roman" w:hAnsi="Times New Roman" w:eastAsia="Times New Roman" w:cs="Times New Roman"/>
                <w:spacing w:val="3"/>
              </w:rPr>
              <w:t>0.2/3P</w:t>
            </w:r>
            <w:r>
              <w:rPr>
                <w:spacing w:val="3"/>
              </w:rPr>
              <w:t>（</w:t>
            </w:r>
            <w:r>
              <w:rPr>
                <w:rFonts w:ascii="Times New Roman" w:hAnsi="Times New Roman" w:eastAsia="Times New Roman" w:cs="Times New Roman"/>
                <w:spacing w:val="3"/>
              </w:rPr>
              <w:t>0.5</w:t>
            </w:r>
            <w:r>
              <w:rPr>
                <w:spacing w:val="3"/>
              </w:rPr>
              <w:t>）</w:t>
            </w:r>
            <w:r>
              <w:rPr>
                <w:rFonts w:ascii="Times New Roman" w:hAnsi="Times New Roman" w:eastAsia="Times New Roman" w:cs="Times New Roman"/>
                <w:spacing w:val="3"/>
              </w:rPr>
              <w:t>/3P/3P</w:t>
            </w:r>
            <w:r>
              <w:rPr>
                <w:spacing w:val="3"/>
              </w:rPr>
              <w:t>级，三相装</w:t>
            </w:r>
            <w:r>
              <w:rPr>
                <w:spacing w:val="4"/>
              </w:rPr>
              <w:t>设；出线设备：</w:t>
            </w:r>
            <w:r>
              <w:rPr>
                <w:rFonts w:ascii="Times New Roman" w:hAnsi="Times New Roman" w:eastAsia="Times New Roman" w:cs="Times New Roman"/>
                <w:spacing w:val="4"/>
              </w:rPr>
              <w:t>0.01μF</w:t>
            </w:r>
            <w:r>
              <w:rPr>
                <w:rFonts w:ascii="Times New Roman" w:hAnsi="Times New Roman" w:eastAsia="Times New Roman" w:cs="Times New Roman"/>
                <w:spacing w:val="-23"/>
              </w:rPr>
              <w:t xml:space="preserve"> </w:t>
            </w:r>
            <w:r>
              <w:rPr>
                <w:spacing w:val="-18"/>
              </w:rPr>
              <w:t>，（</w:t>
            </w:r>
            <w:r>
              <w:rPr>
                <w:spacing w:val="60"/>
              </w:rPr>
              <w:t xml:space="preserve"> </w:t>
            </w:r>
            <w:r>
              <w:rPr>
                <w:rFonts w:ascii="Times New Roman" w:hAnsi="Times New Roman" w:eastAsia="Times New Roman" w:cs="Times New Roman"/>
                <w:spacing w:val="4"/>
              </w:rPr>
              <w:t>110/√3</w:t>
            </w:r>
            <w:r>
              <w:rPr>
                <w:spacing w:val="4"/>
              </w:rPr>
              <w:t>）</w:t>
            </w:r>
            <w:r>
              <w:rPr>
                <w:rFonts w:ascii="Times New Roman" w:hAnsi="Times New Roman" w:eastAsia="Times New Roman" w:cs="Times New Roman"/>
                <w:spacing w:val="4"/>
              </w:rPr>
              <w:t>/</w:t>
            </w:r>
            <w:r>
              <w:rPr>
                <w:spacing w:val="3"/>
              </w:rPr>
              <w:t>（</w:t>
            </w:r>
            <w:r>
              <w:rPr>
                <w:rFonts w:ascii="Times New Roman" w:hAnsi="Times New Roman" w:eastAsia="Times New Roman" w:cs="Times New Roman"/>
                <w:spacing w:val="3"/>
              </w:rPr>
              <w:t>0.</w:t>
            </w:r>
            <w:r>
              <w:rPr>
                <w:rFonts w:ascii="Times New Roman" w:hAnsi="Times New Roman" w:eastAsia="Times New Roman" w:cs="Times New Roman"/>
                <w:spacing w:val="-25"/>
              </w:rPr>
              <w:t xml:space="preserve"> </w:t>
            </w:r>
            <w:r>
              <w:rPr>
                <w:rFonts w:ascii="Times New Roman" w:hAnsi="Times New Roman" w:eastAsia="Times New Roman" w:cs="Times New Roman"/>
                <w:spacing w:val="3"/>
              </w:rPr>
              <w:t>1/√3</w:t>
            </w:r>
            <w:r>
              <w:rPr>
                <w:spacing w:val="3"/>
              </w:rPr>
              <w:t>）</w:t>
            </w:r>
            <w:r>
              <w:rPr>
                <w:rFonts w:ascii="Times New Roman" w:hAnsi="Times New Roman" w:eastAsia="Times New Roman" w:cs="Times New Roman"/>
                <w:spacing w:val="3"/>
              </w:rPr>
              <w:t>/0.</w:t>
            </w:r>
            <w:r>
              <w:rPr>
                <w:rFonts w:ascii="Times New Roman" w:hAnsi="Times New Roman" w:eastAsia="Times New Roman" w:cs="Times New Roman"/>
                <w:spacing w:val="-25"/>
              </w:rPr>
              <w:t xml:space="preserve"> </w:t>
            </w:r>
            <w:r>
              <w:rPr>
                <w:rFonts w:ascii="Times New Roman" w:hAnsi="Times New Roman" w:eastAsia="Times New Roman" w:cs="Times New Roman"/>
                <w:spacing w:val="3"/>
              </w:rPr>
              <w:t>1</w:t>
            </w:r>
            <w:r>
              <w:rPr>
                <w:rFonts w:ascii="Times New Roman" w:hAnsi="Times New Roman" w:eastAsia="Times New Roman" w:cs="Times New Roman"/>
              </w:rPr>
              <w:t>kV</w:t>
            </w:r>
            <w:r>
              <w:rPr>
                <w:rFonts w:ascii="Times New Roman" w:hAnsi="Times New Roman" w:eastAsia="Times New Roman" w:cs="Times New Roman"/>
                <w:spacing w:val="-25"/>
              </w:rPr>
              <w:t xml:space="preserve"> </w:t>
            </w:r>
            <w:r>
              <w:rPr>
                <w:spacing w:val="3"/>
              </w:rPr>
              <w:t>，</w:t>
            </w:r>
            <w:r>
              <w:rPr>
                <w:rFonts w:ascii="Times New Roman" w:hAnsi="Times New Roman" w:eastAsia="Times New Roman" w:cs="Times New Roman"/>
                <w:spacing w:val="3"/>
              </w:rPr>
              <w:t>0.5/3P</w:t>
            </w:r>
            <w:r>
              <w:rPr>
                <w:spacing w:val="7"/>
              </w:rPr>
              <w:t>级，</w:t>
            </w:r>
            <w:r>
              <w:rPr>
                <w:rFonts w:ascii="Times New Roman" w:hAnsi="Times New Roman" w:eastAsia="Times New Roman" w:cs="Times New Roman"/>
                <w:spacing w:val="7"/>
              </w:rPr>
              <w:t>A</w:t>
            </w:r>
            <w:r>
              <w:rPr>
                <w:spacing w:val="7"/>
              </w:rPr>
              <w:t>相装设；</w:t>
            </w:r>
          </w:p>
          <w:p w14:paraId="7060F6FF">
            <w:pPr>
              <w:pStyle w:val="6"/>
              <w:spacing w:before="23" w:line="230" w:lineRule="auto"/>
              <w:ind w:left="111" w:right="98" w:firstLine="3"/>
            </w:pPr>
            <w:r>
              <w:rPr>
                <w:spacing w:val="7"/>
              </w:rPr>
              <w:t>级氧化锌避雷器：</w:t>
            </w:r>
            <w:r>
              <w:rPr>
                <w:rFonts w:ascii="Times New Roman" w:hAnsi="Times New Roman" w:eastAsia="Times New Roman" w:cs="Times New Roman"/>
                <w:spacing w:val="7"/>
              </w:rPr>
              <w:t>Y10W-</w:t>
            </w:r>
            <w:r>
              <w:rPr>
                <w:rFonts w:ascii="Times New Roman" w:hAnsi="Times New Roman" w:eastAsia="Times New Roman" w:cs="Times New Roman"/>
                <w:spacing w:val="-7"/>
              </w:rPr>
              <w:t xml:space="preserve"> </w:t>
            </w:r>
            <w:r>
              <w:rPr>
                <w:rFonts w:ascii="Times New Roman" w:hAnsi="Times New Roman" w:eastAsia="Times New Roman" w:cs="Times New Roman"/>
                <w:spacing w:val="7"/>
              </w:rPr>
              <w:t>108/281</w:t>
            </w:r>
            <w:r>
              <w:rPr>
                <w:rFonts w:ascii="Times New Roman" w:hAnsi="Times New Roman" w:eastAsia="Times New Roman" w:cs="Times New Roman"/>
                <w:spacing w:val="-21"/>
              </w:rPr>
              <w:t xml:space="preserve"> </w:t>
            </w:r>
            <w:r>
              <w:rPr>
                <w:spacing w:val="7"/>
              </w:rPr>
              <w:t>，</w:t>
            </w:r>
            <w:r>
              <w:rPr>
                <w:rFonts w:ascii="Times New Roman" w:hAnsi="Times New Roman" w:eastAsia="Times New Roman" w:cs="Times New Roman"/>
                <w:spacing w:val="7"/>
              </w:rPr>
              <w:t>108</w:t>
            </w:r>
            <w:r>
              <w:rPr>
                <w:rFonts w:ascii="Times New Roman" w:hAnsi="Times New Roman" w:eastAsia="Times New Roman" w:cs="Times New Roman"/>
              </w:rPr>
              <w:t>kV</w:t>
            </w:r>
            <w:r>
              <w:rPr>
                <w:rFonts w:ascii="Times New Roman" w:hAnsi="Times New Roman" w:eastAsia="Times New Roman" w:cs="Times New Roman"/>
                <w:spacing w:val="-20"/>
              </w:rPr>
              <w:t xml:space="preserve"> </w:t>
            </w:r>
            <w:r>
              <w:rPr>
                <w:spacing w:val="7"/>
              </w:rPr>
              <w:t>，附在线监测仪，三</w:t>
            </w:r>
            <w:r>
              <w:rPr>
                <w:spacing w:val="5"/>
              </w:rPr>
              <w:t>相安装；</w:t>
            </w:r>
          </w:p>
        </w:tc>
        <w:tc>
          <w:tcPr>
            <w:tcW w:w="163" w:type="dxa"/>
            <w:vMerge w:val="continue"/>
            <w:tcBorders>
              <w:top w:val="nil"/>
              <w:bottom w:val="nil"/>
              <w:right w:val="single" w:color="000000" w:sz="6" w:space="0"/>
            </w:tcBorders>
            <w:vAlign w:val="top"/>
          </w:tcPr>
          <w:p w14:paraId="607EA6FA">
            <w:pPr>
              <w:rPr>
                <w:rFonts w:ascii="Arial"/>
                <w:sz w:val="21"/>
              </w:rPr>
            </w:pPr>
          </w:p>
        </w:tc>
      </w:tr>
      <w:tr w14:paraId="34004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375" w:type="dxa"/>
            <w:vMerge w:val="continue"/>
            <w:tcBorders>
              <w:top w:val="nil"/>
              <w:left w:val="single" w:color="000000" w:sz="6" w:space="0"/>
              <w:bottom w:val="nil"/>
              <w:right w:val="single" w:color="000000" w:sz="6" w:space="0"/>
            </w:tcBorders>
            <w:vAlign w:val="top"/>
          </w:tcPr>
          <w:p w14:paraId="18546180">
            <w:pPr>
              <w:rPr>
                <w:rFonts w:ascii="Arial"/>
                <w:sz w:val="21"/>
              </w:rPr>
            </w:pPr>
          </w:p>
        </w:tc>
        <w:tc>
          <w:tcPr>
            <w:tcW w:w="879" w:type="dxa"/>
            <w:vMerge w:val="continue"/>
            <w:tcBorders>
              <w:top w:val="nil"/>
              <w:left w:val="single" w:color="000000" w:sz="6" w:space="0"/>
              <w:bottom w:val="nil"/>
            </w:tcBorders>
            <w:vAlign w:val="top"/>
          </w:tcPr>
          <w:p w14:paraId="1E60D68D">
            <w:pPr>
              <w:rPr>
                <w:rFonts w:ascii="Arial"/>
                <w:sz w:val="21"/>
              </w:rPr>
            </w:pPr>
          </w:p>
        </w:tc>
        <w:tc>
          <w:tcPr>
            <w:tcW w:w="1154" w:type="dxa"/>
            <w:vAlign w:val="top"/>
          </w:tcPr>
          <w:p w14:paraId="35A53C4B">
            <w:pPr>
              <w:pStyle w:val="6"/>
              <w:spacing w:before="41" w:line="229" w:lineRule="auto"/>
              <w:ind w:left="370" w:right="138" w:hanging="219"/>
            </w:pPr>
            <w:r>
              <w:rPr>
                <w:rFonts w:ascii="Times New Roman" w:hAnsi="Times New Roman" w:eastAsia="Times New Roman" w:cs="Times New Roman"/>
                <w:spacing w:val="3"/>
              </w:rPr>
              <w:t>10</w:t>
            </w:r>
            <w:r>
              <w:rPr>
                <w:rFonts w:ascii="Times New Roman" w:hAnsi="Times New Roman" w:eastAsia="Times New Roman" w:cs="Times New Roman"/>
              </w:rPr>
              <w:t>kV</w:t>
            </w:r>
            <w:r>
              <w:rPr>
                <w:spacing w:val="3"/>
              </w:rPr>
              <w:t>电气设备</w:t>
            </w:r>
          </w:p>
        </w:tc>
        <w:tc>
          <w:tcPr>
            <w:tcW w:w="5953" w:type="dxa"/>
            <w:vAlign w:val="top"/>
          </w:tcPr>
          <w:p w14:paraId="7EFA947F">
            <w:pPr>
              <w:pStyle w:val="6"/>
              <w:spacing w:before="41" w:line="229" w:lineRule="auto"/>
              <w:ind w:left="114" w:right="98" w:firstLine="13"/>
            </w:pPr>
            <w:r>
              <w:rPr>
                <w:rFonts w:ascii="Times New Roman" w:hAnsi="Times New Roman" w:eastAsia="Times New Roman" w:cs="Times New Roman"/>
                <w:spacing w:val="9"/>
              </w:rPr>
              <w:t>10</w:t>
            </w:r>
            <w:r>
              <w:rPr>
                <w:rFonts w:ascii="Times New Roman" w:hAnsi="Times New Roman" w:eastAsia="Times New Roman" w:cs="Times New Roman"/>
              </w:rPr>
              <w:t>kV</w:t>
            </w:r>
            <w:r>
              <w:rPr>
                <w:spacing w:val="9"/>
              </w:rPr>
              <w:t>移开式开关柜：额定电压</w:t>
            </w:r>
            <w:r>
              <w:rPr>
                <w:rFonts w:ascii="Times New Roman" w:hAnsi="Times New Roman" w:eastAsia="Times New Roman" w:cs="Times New Roman"/>
                <w:spacing w:val="9"/>
              </w:rPr>
              <w:t>12</w:t>
            </w:r>
            <w:r>
              <w:rPr>
                <w:rFonts w:ascii="Times New Roman" w:hAnsi="Times New Roman" w:eastAsia="Times New Roman" w:cs="Times New Roman"/>
              </w:rPr>
              <w:t>kV</w:t>
            </w:r>
            <w:r>
              <w:rPr>
                <w:rFonts w:ascii="Times New Roman" w:hAnsi="Times New Roman" w:eastAsia="Times New Roman" w:cs="Times New Roman"/>
                <w:spacing w:val="-22"/>
              </w:rPr>
              <w:t xml:space="preserve"> </w:t>
            </w:r>
            <w:r>
              <w:rPr>
                <w:spacing w:val="9"/>
              </w:rPr>
              <w:t>，额定电流</w:t>
            </w:r>
            <w:r>
              <w:rPr>
                <w:rFonts w:ascii="Times New Roman" w:hAnsi="Times New Roman" w:eastAsia="Times New Roman" w:cs="Times New Roman"/>
                <w:spacing w:val="9"/>
              </w:rPr>
              <w:t>4000A</w:t>
            </w:r>
            <w:r>
              <w:rPr>
                <w:spacing w:val="9"/>
              </w:rPr>
              <w:t>（主</w:t>
            </w:r>
            <w:r>
              <w:rPr>
                <w:spacing w:val="8"/>
              </w:rPr>
              <w:t>变进</w:t>
            </w:r>
            <w:r>
              <w:rPr>
                <w:spacing w:val="7"/>
              </w:rPr>
              <w:t>线及分段）</w:t>
            </w:r>
            <w:r>
              <w:rPr>
                <w:rFonts w:ascii="Times New Roman" w:hAnsi="Times New Roman" w:eastAsia="Times New Roman" w:cs="Times New Roman"/>
                <w:spacing w:val="7"/>
              </w:rPr>
              <w:t>/1250A</w:t>
            </w:r>
            <w:r>
              <w:rPr>
                <w:spacing w:val="7"/>
              </w:rPr>
              <w:t>（其余</w:t>
            </w:r>
            <w:r>
              <w:rPr>
                <w:spacing w:val="18"/>
              </w:rPr>
              <w:t>），</w:t>
            </w:r>
            <w:r>
              <w:rPr>
                <w:spacing w:val="7"/>
              </w:rPr>
              <w:t>额度开断电流</w:t>
            </w:r>
            <w:r>
              <w:rPr>
                <w:rFonts w:ascii="Times New Roman" w:hAnsi="Times New Roman" w:eastAsia="Times New Roman" w:cs="Times New Roman"/>
                <w:spacing w:val="7"/>
              </w:rPr>
              <w:t>40</w:t>
            </w:r>
            <w:r>
              <w:rPr>
                <w:rFonts w:ascii="Times New Roman" w:hAnsi="Times New Roman" w:eastAsia="Times New Roman" w:cs="Times New Roman"/>
              </w:rPr>
              <w:t>kA</w:t>
            </w:r>
            <w:r>
              <w:rPr>
                <w:spacing w:val="7"/>
              </w:rPr>
              <w:t>；</w:t>
            </w:r>
          </w:p>
        </w:tc>
        <w:tc>
          <w:tcPr>
            <w:tcW w:w="163" w:type="dxa"/>
            <w:vMerge w:val="continue"/>
            <w:tcBorders>
              <w:top w:val="nil"/>
              <w:bottom w:val="nil"/>
              <w:right w:val="single" w:color="000000" w:sz="6" w:space="0"/>
            </w:tcBorders>
            <w:vAlign w:val="top"/>
          </w:tcPr>
          <w:p w14:paraId="11199517">
            <w:pPr>
              <w:rPr>
                <w:rFonts w:ascii="Arial"/>
                <w:sz w:val="21"/>
              </w:rPr>
            </w:pPr>
          </w:p>
        </w:tc>
      </w:tr>
      <w:tr w14:paraId="43BA6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43746A8A">
            <w:pPr>
              <w:rPr>
                <w:rFonts w:ascii="Arial"/>
                <w:sz w:val="21"/>
              </w:rPr>
            </w:pPr>
          </w:p>
        </w:tc>
        <w:tc>
          <w:tcPr>
            <w:tcW w:w="879" w:type="dxa"/>
            <w:vMerge w:val="continue"/>
            <w:tcBorders>
              <w:top w:val="nil"/>
              <w:left w:val="single" w:color="000000" w:sz="6" w:space="0"/>
              <w:bottom w:val="nil"/>
            </w:tcBorders>
            <w:vAlign w:val="top"/>
          </w:tcPr>
          <w:p w14:paraId="69722704">
            <w:pPr>
              <w:rPr>
                <w:rFonts w:ascii="Arial"/>
                <w:sz w:val="21"/>
              </w:rPr>
            </w:pPr>
          </w:p>
        </w:tc>
        <w:tc>
          <w:tcPr>
            <w:tcW w:w="1154" w:type="dxa"/>
            <w:vAlign w:val="top"/>
          </w:tcPr>
          <w:p w14:paraId="6BE5A71C">
            <w:pPr>
              <w:pStyle w:val="6"/>
              <w:spacing w:before="44" w:line="228" w:lineRule="auto"/>
              <w:ind w:left="367" w:right="138" w:hanging="216"/>
            </w:pPr>
            <w:r>
              <w:rPr>
                <w:rFonts w:ascii="Times New Roman" w:hAnsi="Times New Roman" w:eastAsia="Times New Roman" w:cs="Times New Roman"/>
                <w:spacing w:val="3"/>
              </w:rPr>
              <w:t>10</w:t>
            </w:r>
            <w:r>
              <w:rPr>
                <w:rFonts w:ascii="Times New Roman" w:hAnsi="Times New Roman" w:eastAsia="Times New Roman" w:cs="Times New Roman"/>
              </w:rPr>
              <w:t>kV</w:t>
            </w:r>
            <w:r>
              <w:rPr>
                <w:spacing w:val="3"/>
              </w:rPr>
              <w:t>补偿</w:t>
            </w:r>
            <w:r>
              <w:rPr>
                <w:spacing w:val="4"/>
              </w:rPr>
              <w:t>装置</w:t>
            </w:r>
          </w:p>
        </w:tc>
        <w:tc>
          <w:tcPr>
            <w:tcW w:w="5953" w:type="dxa"/>
            <w:vAlign w:val="top"/>
          </w:tcPr>
          <w:p w14:paraId="71475674">
            <w:pPr>
              <w:pStyle w:val="6"/>
              <w:spacing w:before="44" w:line="228" w:lineRule="auto"/>
              <w:ind w:left="111"/>
            </w:pPr>
            <w:r>
              <w:rPr>
                <w:spacing w:val="9"/>
              </w:rPr>
              <w:t>每台主变各装设</w:t>
            </w:r>
            <w:r>
              <w:rPr>
                <w:rFonts w:ascii="Times New Roman" w:hAnsi="Times New Roman" w:eastAsia="Times New Roman" w:cs="Times New Roman"/>
                <w:spacing w:val="9"/>
              </w:rPr>
              <w:t>5</w:t>
            </w:r>
            <w:r>
              <w:rPr>
                <w:rFonts w:ascii="Times New Roman" w:hAnsi="Times New Roman" w:eastAsia="Times New Roman" w:cs="Times New Roman"/>
              </w:rPr>
              <w:t>Mvar</w:t>
            </w:r>
            <w:r>
              <w:rPr>
                <w:spacing w:val="9"/>
              </w:rPr>
              <w:t>电容器补偿装置；</w:t>
            </w:r>
          </w:p>
          <w:p w14:paraId="002D159E">
            <w:pPr>
              <w:pStyle w:val="6"/>
              <w:spacing w:before="24" w:line="206" w:lineRule="auto"/>
              <w:ind w:left="111"/>
            </w:pPr>
            <w:r>
              <w:rPr>
                <w:spacing w:val="8"/>
              </w:rPr>
              <w:t>装置额定容量：</w:t>
            </w:r>
            <w:r>
              <w:rPr>
                <w:rFonts w:ascii="Times New Roman" w:hAnsi="Times New Roman" w:eastAsia="Times New Roman" w:cs="Times New Roman"/>
                <w:spacing w:val="8"/>
              </w:rPr>
              <w:t>5010</w:t>
            </w:r>
            <w:r>
              <w:rPr>
                <w:rFonts w:ascii="Times New Roman" w:hAnsi="Times New Roman" w:eastAsia="Times New Roman" w:cs="Times New Roman"/>
              </w:rPr>
              <w:t>kVar</w:t>
            </w:r>
            <w:r>
              <w:rPr>
                <w:spacing w:val="8"/>
              </w:rPr>
              <w:t>；</w:t>
            </w:r>
          </w:p>
        </w:tc>
        <w:tc>
          <w:tcPr>
            <w:tcW w:w="163" w:type="dxa"/>
            <w:vMerge w:val="continue"/>
            <w:tcBorders>
              <w:top w:val="nil"/>
              <w:bottom w:val="nil"/>
              <w:right w:val="single" w:color="000000" w:sz="6" w:space="0"/>
            </w:tcBorders>
            <w:vAlign w:val="top"/>
          </w:tcPr>
          <w:p w14:paraId="5BFE1492">
            <w:pPr>
              <w:rPr>
                <w:rFonts w:ascii="Arial"/>
                <w:sz w:val="21"/>
              </w:rPr>
            </w:pPr>
          </w:p>
        </w:tc>
      </w:tr>
      <w:tr w14:paraId="48898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375" w:type="dxa"/>
            <w:vMerge w:val="continue"/>
            <w:tcBorders>
              <w:top w:val="nil"/>
              <w:left w:val="single" w:color="000000" w:sz="6" w:space="0"/>
              <w:bottom w:val="nil"/>
              <w:right w:val="single" w:color="000000" w:sz="6" w:space="0"/>
            </w:tcBorders>
            <w:vAlign w:val="top"/>
          </w:tcPr>
          <w:p w14:paraId="0215BA9A">
            <w:pPr>
              <w:rPr>
                <w:rFonts w:ascii="Arial"/>
                <w:sz w:val="21"/>
              </w:rPr>
            </w:pPr>
          </w:p>
        </w:tc>
        <w:tc>
          <w:tcPr>
            <w:tcW w:w="879" w:type="dxa"/>
            <w:vMerge w:val="continue"/>
            <w:tcBorders>
              <w:top w:val="nil"/>
              <w:left w:val="single" w:color="000000" w:sz="6" w:space="0"/>
              <w:bottom w:val="nil"/>
            </w:tcBorders>
            <w:vAlign w:val="top"/>
          </w:tcPr>
          <w:p w14:paraId="47762BED">
            <w:pPr>
              <w:rPr>
                <w:rFonts w:ascii="Arial"/>
                <w:sz w:val="21"/>
              </w:rPr>
            </w:pPr>
          </w:p>
        </w:tc>
        <w:tc>
          <w:tcPr>
            <w:tcW w:w="1154" w:type="dxa"/>
            <w:vAlign w:val="top"/>
          </w:tcPr>
          <w:p w14:paraId="4FC7C930">
            <w:pPr>
              <w:pStyle w:val="6"/>
              <w:spacing w:before="46" w:line="252" w:lineRule="auto"/>
              <w:ind w:left="264" w:right="138" w:hanging="113"/>
            </w:pPr>
            <w:r>
              <w:rPr>
                <w:rFonts w:ascii="Times New Roman" w:hAnsi="Times New Roman" w:eastAsia="Times New Roman" w:cs="Times New Roman"/>
                <w:spacing w:val="3"/>
              </w:rPr>
              <w:t>10</w:t>
            </w:r>
            <w:r>
              <w:rPr>
                <w:rFonts w:ascii="Times New Roman" w:hAnsi="Times New Roman" w:eastAsia="Times New Roman" w:cs="Times New Roman"/>
              </w:rPr>
              <w:t>kV</w:t>
            </w:r>
            <w:r>
              <w:rPr>
                <w:spacing w:val="3"/>
              </w:rPr>
              <w:t>站用</w:t>
            </w:r>
            <w:r>
              <w:rPr>
                <w:spacing w:val="6"/>
              </w:rPr>
              <w:t>变压器</w:t>
            </w:r>
          </w:p>
        </w:tc>
        <w:tc>
          <w:tcPr>
            <w:tcW w:w="5953" w:type="dxa"/>
            <w:vAlign w:val="top"/>
          </w:tcPr>
          <w:p w14:paraId="3CC7D539">
            <w:pPr>
              <w:pStyle w:val="6"/>
              <w:spacing w:before="8" w:line="259" w:lineRule="auto"/>
              <w:ind w:left="110" w:right="98" w:firstLine="5"/>
              <w:rPr>
                <w:rFonts w:ascii="Times New Roman" w:hAnsi="Times New Roman" w:eastAsia="Times New Roman" w:cs="Times New Roman"/>
              </w:rPr>
            </w:pPr>
            <w:r>
              <w:rPr>
                <w:rFonts w:ascii="Times New Roman" w:hAnsi="Times New Roman" w:eastAsia="Times New Roman" w:cs="Times New Roman"/>
              </w:rPr>
              <w:t>SC</w:t>
            </w:r>
            <w:r>
              <w:rPr>
                <w:rFonts w:ascii="Times New Roman" w:hAnsi="Times New Roman" w:eastAsia="Times New Roman" w:cs="Times New Roman"/>
                <w:spacing w:val="1"/>
              </w:rPr>
              <w:t>11-200/10</w:t>
            </w:r>
            <w:r>
              <w:rPr>
                <w:rFonts w:ascii="Times New Roman" w:hAnsi="Times New Roman" w:eastAsia="Times New Roman" w:cs="Times New Roman"/>
                <w:spacing w:val="-21"/>
              </w:rPr>
              <w:t xml:space="preserve"> </w:t>
            </w:r>
            <w:r>
              <w:rPr>
                <w:spacing w:val="1"/>
              </w:rPr>
              <w:t>，</w:t>
            </w:r>
            <w:r>
              <w:rPr>
                <w:rFonts w:ascii="Times New Roman" w:hAnsi="Times New Roman" w:eastAsia="Times New Roman" w:cs="Times New Roman"/>
                <w:spacing w:val="1"/>
              </w:rPr>
              <w:t>200</w:t>
            </w:r>
            <w:r>
              <w:rPr>
                <w:rFonts w:ascii="Times New Roman" w:hAnsi="Times New Roman" w:eastAsia="Times New Roman" w:cs="Times New Roman"/>
              </w:rPr>
              <w:t>kVA</w:t>
            </w:r>
            <w:r>
              <w:rPr>
                <w:rFonts w:ascii="Times New Roman" w:hAnsi="Times New Roman" w:eastAsia="Times New Roman" w:cs="Times New Roman"/>
                <w:spacing w:val="-22"/>
              </w:rPr>
              <w:t xml:space="preserve"> </w:t>
            </w:r>
            <w:r>
              <w:rPr>
                <w:spacing w:val="1"/>
              </w:rPr>
              <w:t>，</w:t>
            </w:r>
            <w:r>
              <w:rPr>
                <w:rFonts w:ascii="Times New Roman" w:hAnsi="Times New Roman" w:eastAsia="Times New Roman" w:cs="Times New Roman"/>
                <w:spacing w:val="1"/>
              </w:rPr>
              <w:t>10.5±5%/0.4</w:t>
            </w:r>
            <w:r>
              <w:rPr>
                <w:rFonts w:ascii="Times New Roman" w:hAnsi="Times New Roman" w:eastAsia="Times New Roman" w:cs="Times New Roman"/>
              </w:rPr>
              <w:t>kV</w:t>
            </w:r>
            <w:r>
              <w:rPr>
                <w:rFonts w:ascii="Times New Roman" w:hAnsi="Times New Roman" w:eastAsia="Times New Roman" w:cs="Times New Roman"/>
                <w:spacing w:val="-24"/>
              </w:rPr>
              <w:t xml:space="preserve"> </w:t>
            </w:r>
            <w:r>
              <w:rPr>
                <w:spacing w:val="1"/>
              </w:rPr>
              <w:t xml:space="preserve">， </w:t>
            </w:r>
            <w:r>
              <w:rPr>
                <w:rFonts w:ascii="Times New Roman" w:hAnsi="Times New Roman" w:eastAsia="Times New Roman" w:cs="Times New Roman"/>
                <w:spacing w:val="1"/>
              </w:rPr>
              <w:t>D</w:t>
            </w:r>
            <w:r>
              <w:rPr>
                <w:rFonts w:ascii="Times New Roman" w:hAnsi="Times New Roman" w:eastAsia="Times New Roman" w:cs="Times New Roman"/>
                <w:spacing w:val="-22"/>
              </w:rPr>
              <w:t xml:space="preserve"> </w:t>
            </w:r>
            <w:r>
              <w:rPr>
                <w:spacing w:val="1"/>
              </w:rPr>
              <w:t xml:space="preserve">， </w:t>
            </w:r>
            <w:r>
              <w:rPr>
                <w:rFonts w:ascii="Times New Roman" w:hAnsi="Times New Roman" w:eastAsia="Times New Roman" w:cs="Times New Roman"/>
              </w:rPr>
              <w:t>yn</w:t>
            </w:r>
            <w:r>
              <w:rPr>
                <w:rFonts w:ascii="Times New Roman" w:hAnsi="Times New Roman" w:eastAsia="Times New Roman" w:cs="Times New Roman"/>
                <w:spacing w:val="1"/>
              </w:rPr>
              <w:t>11</w:t>
            </w:r>
            <w:r>
              <w:rPr>
                <w:rFonts w:ascii="Times New Roman" w:hAnsi="Times New Roman" w:eastAsia="Times New Roman" w:cs="Times New Roman"/>
                <w:spacing w:val="-24"/>
              </w:rPr>
              <w:t xml:space="preserve"> </w:t>
            </w:r>
            <w:r>
              <w:rPr>
                <w:spacing w:val="1"/>
              </w:rPr>
              <w:t xml:space="preserve">， </w:t>
            </w:r>
            <w:r>
              <w:rPr>
                <w:rFonts w:ascii="Times New Roman" w:hAnsi="Times New Roman" w:eastAsia="Times New Roman" w:cs="Times New Roman"/>
              </w:rPr>
              <w:t>Ud</w:t>
            </w:r>
            <w:r>
              <w:rPr>
                <w:rFonts w:ascii="Times New Roman" w:hAnsi="Times New Roman" w:eastAsia="Times New Roman" w:cs="Times New Roman"/>
                <w:spacing w:val="1"/>
              </w:rPr>
              <w:t>=4%;</w:t>
            </w:r>
            <w:r>
              <w:rPr>
                <w:spacing w:val="7"/>
              </w:rPr>
              <w:t>干式接地变压器：</w:t>
            </w:r>
            <w:r>
              <w:rPr>
                <w:rFonts w:ascii="Times New Roman" w:hAnsi="Times New Roman" w:eastAsia="Times New Roman" w:cs="Times New Roman"/>
                <w:spacing w:val="7"/>
              </w:rPr>
              <w:t>10.5</w:t>
            </w:r>
            <w:r>
              <w:rPr>
                <w:rFonts w:ascii="Times New Roman" w:hAnsi="Times New Roman" w:eastAsia="Times New Roman" w:cs="Times New Roman"/>
              </w:rPr>
              <w:t>kV</w:t>
            </w:r>
            <w:r>
              <w:rPr>
                <w:rFonts w:ascii="Times New Roman" w:hAnsi="Times New Roman" w:eastAsia="Times New Roman" w:cs="Times New Roman"/>
                <w:spacing w:val="-19"/>
              </w:rPr>
              <w:t xml:space="preserve"> </w:t>
            </w:r>
            <w:r>
              <w:rPr>
                <w:spacing w:val="7"/>
              </w:rPr>
              <w:t>，</w:t>
            </w:r>
            <w:r>
              <w:rPr>
                <w:rFonts w:ascii="Times New Roman" w:hAnsi="Times New Roman" w:eastAsia="Times New Roman" w:cs="Times New Roman"/>
                <w:spacing w:val="7"/>
              </w:rPr>
              <w:t>100</w:t>
            </w:r>
            <w:r>
              <w:rPr>
                <w:rFonts w:ascii="Times New Roman" w:hAnsi="Times New Roman" w:eastAsia="Times New Roman" w:cs="Times New Roman"/>
              </w:rPr>
              <w:t>kVA</w:t>
            </w:r>
          </w:p>
          <w:p w14:paraId="28812D48">
            <w:pPr>
              <w:pStyle w:val="6"/>
              <w:spacing w:before="20" w:line="204" w:lineRule="auto"/>
              <w:ind w:left="110"/>
            </w:pPr>
            <w:r>
              <w:rPr>
                <w:spacing w:val="5"/>
              </w:rPr>
              <w:t>接地电阻：</w:t>
            </w:r>
            <w:r>
              <w:rPr>
                <w:rFonts w:ascii="Times New Roman" w:hAnsi="Times New Roman" w:eastAsia="Times New Roman" w:cs="Times New Roman"/>
                <w:spacing w:val="5"/>
              </w:rPr>
              <w:t>60.4Ω</w:t>
            </w:r>
            <w:r>
              <w:rPr>
                <w:spacing w:val="5"/>
              </w:rPr>
              <w:t>。</w:t>
            </w:r>
          </w:p>
        </w:tc>
        <w:tc>
          <w:tcPr>
            <w:tcW w:w="163" w:type="dxa"/>
            <w:vMerge w:val="continue"/>
            <w:tcBorders>
              <w:top w:val="nil"/>
              <w:bottom w:val="nil"/>
              <w:right w:val="single" w:color="000000" w:sz="6" w:space="0"/>
            </w:tcBorders>
            <w:vAlign w:val="top"/>
          </w:tcPr>
          <w:p w14:paraId="2A86C992">
            <w:pPr>
              <w:rPr>
                <w:rFonts w:ascii="Arial"/>
                <w:sz w:val="21"/>
              </w:rPr>
            </w:pPr>
          </w:p>
        </w:tc>
      </w:tr>
      <w:tr w14:paraId="031B8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75" w:type="dxa"/>
            <w:vMerge w:val="continue"/>
            <w:tcBorders>
              <w:top w:val="nil"/>
              <w:left w:val="single" w:color="000000" w:sz="6" w:space="0"/>
              <w:bottom w:val="nil"/>
              <w:right w:val="single" w:color="000000" w:sz="6" w:space="0"/>
            </w:tcBorders>
            <w:vAlign w:val="top"/>
          </w:tcPr>
          <w:p w14:paraId="7A47726F">
            <w:pPr>
              <w:rPr>
                <w:rFonts w:ascii="Arial"/>
                <w:sz w:val="21"/>
              </w:rPr>
            </w:pPr>
          </w:p>
        </w:tc>
        <w:tc>
          <w:tcPr>
            <w:tcW w:w="879" w:type="dxa"/>
            <w:vMerge w:val="continue"/>
            <w:tcBorders>
              <w:top w:val="nil"/>
              <w:left w:val="single" w:color="000000" w:sz="6" w:space="0"/>
            </w:tcBorders>
            <w:vAlign w:val="top"/>
          </w:tcPr>
          <w:p w14:paraId="3DCFE93F">
            <w:pPr>
              <w:rPr>
                <w:rFonts w:ascii="Arial"/>
                <w:sz w:val="21"/>
              </w:rPr>
            </w:pPr>
          </w:p>
        </w:tc>
        <w:tc>
          <w:tcPr>
            <w:tcW w:w="1154" w:type="dxa"/>
            <w:vAlign w:val="top"/>
          </w:tcPr>
          <w:p w14:paraId="2EC0C71F">
            <w:pPr>
              <w:pStyle w:val="6"/>
              <w:spacing w:before="47" w:line="203" w:lineRule="auto"/>
              <w:ind w:left="263"/>
            </w:pPr>
            <w:r>
              <w:rPr>
                <w:spacing w:val="7"/>
              </w:rPr>
              <w:t>避雷针</w:t>
            </w:r>
          </w:p>
        </w:tc>
        <w:tc>
          <w:tcPr>
            <w:tcW w:w="5953" w:type="dxa"/>
            <w:vAlign w:val="top"/>
          </w:tcPr>
          <w:p w14:paraId="507CF651">
            <w:pPr>
              <w:pStyle w:val="6"/>
              <w:spacing w:before="47" w:line="203" w:lineRule="auto"/>
              <w:ind w:left="112"/>
            </w:pPr>
            <w:r>
              <w:rPr>
                <w:spacing w:val="6"/>
              </w:rPr>
              <w:t>氧化锌避雷器：</w:t>
            </w:r>
            <w:r>
              <w:rPr>
                <w:rFonts w:ascii="Times New Roman" w:hAnsi="Times New Roman" w:eastAsia="Times New Roman" w:cs="Times New Roman"/>
                <w:spacing w:val="6"/>
              </w:rPr>
              <w:t>Y10W-</w:t>
            </w:r>
            <w:r>
              <w:rPr>
                <w:rFonts w:ascii="Times New Roman" w:hAnsi="Times New Roman" w:eastAsia="Times New Roman" w:cs="Times New Roman"/>
                <w:spacing w:val="-26"/>
              </w:rPr>
              <w:t xml:space="preserve"> </w:t>
            </w:r>
            <w:r>
              <w:rPr>
                <w:rFonts w:ascii="Times New Roman" w:hAnsi="Times New Roman" w:eastAsia="Times New Roman" w:cs="Times New Roman"/>
                <w:spacing w:val="6"/>
              </w:rPr>
              <w:t>108/281</w:t>
            </w:r>
            <w:r>
              <w:rPr>
                <w:rFonts w:ascii="Times New Roman" w:hAnsi="Times New Roman" w:eastAsia="Times New Roman" w:cs="Times New Roman"/>
              </w:rPr>
              <w:t>GYW</w:t>
            </w:r>
            <w:r>
              <w:rPr>
                <w:rFonts w:ascii="Times New Roman" w:hAnsi="Times New Roman" w:eastAsia="Times New Roman" w:cs="Times New Roman"/>
                <w:spacing w:val="-25"/>
              </w:rPr>
              <w:t xml:space="preserve"> </w:t>
            </w:r>
            <w:r>
              <w:rPr>
                <w:spacing w:val="5"/>
              </w:rPr>
              <w:t>，</w:t>
            </w:r>
            <w:r>
              <w:rPr>
                <w:rFonts w:ascii="Times New Roman" w:hAnsi="Times New Roman" w:eastAsia="Times New Roman" w:cs="Times New Roman"/>
                <w:spacing w:val="5"/>
              </w:rPr>
              <w:t>108</w:t>
            </w:r>
            <w:r>
              <w:rPr>
                <w:rFonts w:ascii="Times New Roman" w:hAnsi="Times New Roman" w:eastAsia="Times New Roman" w:cs="Times New Roman"/>
              </w:rPr>
              <w:t>kV</w:t>
            </w:r>
            <w:r>
              <w:rPr>
                <w:rFonts w:ascii="Times New Roman" w:hAnsi="Times New Roman" w:eastAsia="Times New Roman" w:cs="Times New Roman"/>
                <w:spacing w:val="-22"/>
              </w:rPr>
              <w:t xml:space="preserve"> </w:t>
            </w:r>
            <w:r>
              <w:rPr>
                <w:spacing w:val="5"/>
              </w:rPr>
              <w:t>，附在线监测仪。</w:t>
            </w:r>
          </w:p>
        </w:tc>
        <w:tc>
          <w:tcPr>
            <w:tcW w:w="163" w:type="dxa"/>
            <w:vMerge w:val="continue"/>
            <w:tcBorders>
              <w:top w:val="nil"/>
              <w:bottom w:val="nil"/>
              <w:right w:val="single" w:color="000000" w:sz="6" w:space="0"/>
            </w:tcBorders>
            <w:vAlign w:val="top"/>
          </w:tcPr>
          <w:p w14:paraId="401DC0D8">
            <w:pPr>
              <w:rPr>
                <w:rFonts w:ascii="Arial"/>
                <w:sz w:val="21"/>
              </w:rPr>
            </w:pPr>
          </w:p>
        </w:tc>
      </w:tr>
      <w:tr w14:paraId="6B7E1F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375" w:type="dxa"/>
            <w:vMerge w:val="continue"/>
            <w:tcBorders>
              <w:top w:val="nil"/>
              <w:left w:val="single" w:color="000000" w:sz="6" w:space="0"/>
              <w:bottom w:val="single" w:color="000000" w:sz="6" w:space="0"/>
              <w:right w:val="single" w:color="000000" w:sz="6" w:space="0"/>
            </w:tcBorders>
            <w:vAlign w:val="top"/>
          </w:tcPr>
          <w:p w14:paraId="0AE6A25E">
            <w:pPr>
              <w:rPr>
                <w:rFonts w:ascii="Arial"/>
                <w:sz w:val="21"/>
              </w:rPr>
            </w:pPr>
          </w:p>
        </w:tc>
        <w:tc>
          <w:tcPr>
            <w:tcW w:w="8149" w:type="dxa"/>
            <w:gridSpan w:val="4"/>
            <w:tcBorders>
              <w:left w:val="single" w:color="000000" w:sz="6" w:space="0"/>
              <w:bottom w:val="single" w:color="000000" w:sz="6" w:space="0"/>
              <w:right w:val="single" w:color="000000" w:sz="6" w:space="0"/>
            </w:tcBorders>
            <w:vAlign w:val="top"/>
          </w:tcPr>
          <w:p w14:paraId="10900D5F">
            <w:pPr>
              <w:spacing w:line="247" w:lineRule="auto"/>
              <w:rPr>
                <w:rFonts w:ascii="Arial"/>
                <w:sz w:val="21"/>
              </w:rPr>
            </w:pPr>
          </w:p>
          <w:p w14:paraId="733610DB">
            <w:pPr>
              <w:pStyle w:val="6"/>
              <w:spacing w:before="78" w:line="206" w:lineRule="auto"/>
              <w:ind w:left="1650"/>
              <w:rPr>
                <w:sz w:val="24"/>
                <w:szCs w:val="24"/>
              </w:rPr>
            </w:pPr>
            <w:r>
              <w:rPr>
                <w:b/>
                <w:bCs/>
                <w:spacing w:val="-2"/>
                <w:sz w:val="24"/>
                <w:szCs w:val="24"/>
              </w:rPr>
              <w:t>表</w:t>
            </w:r>
            <w:r>
              <w:rPr>
                <w:rFonts w:ascii="Times New Roman" w:hAnsi="Times New Roman" w:eastAsia="Times New Roman" w:cs="Times New Roman"/>
                <w:b/>
                <w:bCs/>
                <w:spacing w:val="-2"/>
                <w:sz w:val="24"/>
                <w:szCs w:val="24"/>
              </w:rPr>
              <w:t>2-4    110kV</w:t>
            </w:r>
            <w:r>
              <w:rPr>
                <w:b/>
                <w:bCs/>
                <w:spacing w:val="-2"/>
                <w:sz w:val="24"/>
                <w:szCs w:val="24"/>
              </w:rPr>
              <w:t>输电线路建设内容主要技术参数</w:t>
            </w:r>
          </w:p>
        </w:tc>
      </w:tr>
    </w:tbl>
    <w:p w14:paraId="2B561BBB">
      <w:pPr>
        <w:rPr>
          <w:rFonts w:ascii="Arial"/>
          <w:sz w:val="21"/>
        </w:rPr>
      </w:pPr>
    </w:p>
    <w:p w14:paraId="4D73A819">
      <w:pPr>
        <w:rPr>
          <w:rFonts w:ascii="Arial" w:hAnsi="Arial" w:eastAsia="Arial" w:cs="Arial"/>
          <w:sz w:val="21"/>
          <w:szCs w:val="21"/>
        </w:rPr>
        <w:sectPr>
          <w:footerReference r:id="rId45" w:type="default"/>
          <w:pgSz w:w="11907" w:h="16840"/>
          <w:pgMar w:top="400" w:right="1684" w:bottom="1240" w:left="1683" w:header="0" w:footer="1077" w:gutter="0"/>
          <w:cols w:space="720" w:num="1"/>
        </w:sectPr>
      </w:pPr>
    </w:p>
    <w:p w14:paraId="02070E63">
      <w:pPr>
        <w:spacing w:before="19"/>
      </w:pPr>
    </w:p>
    <w:p w14:paraId="33F26722">
      <w:pPr>
        <w:spacing w:before="19"/>
      </w:pPr>
    </w:p>
    <w:p w14:paraId="15E58CB1">
      <w:pPr>
        <w:spacing w:before="18"/>
      </w:pPr>
    </w:p>
    <w:p w14:paraId="253B65D9">
      <w:pPr>
        <w:spacing w:before="18"/>
      </w:pPr>
    </w:p>
    <w:tbl>
      <w:tblPr>
        <w:tblStyle w:val="5"/>
        <w:tblW w:w="852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5"/>
        <w:gridCol w:w="114"/>
        <w:gridCol w:w="738"/>
        <w:gridCol w:w="168"/>
        <w:gridCol w:w="186"/>
        <w:gridCol w:w="1072"/>
        <w:gridCol w:w="182"/>
        <w:gridCol w:w="384"/>
        <w:gridCol w:w="388"/>
        <w:gridCol w:w="721"/>
        <w:gridCol w:w="1041"/>
        <w:gridCol w:w="81"/>
        <w:gridCol w:w="258"/>
        <w:gridCol w:w="466"/>
        <w:gridCol w:w="266"/>
        <w:gridCol w:w="215"/>
        <w:gridCol w:w="966"/>
        <w:gridCol w:w="779"/>
        <w:gridCol w:w="124"/>
      </w:tblGrid>
      <w:tr w14:paraId="70E33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375" w:type="dxa"/>
            <w:tcBorders>
              <w:top w:val="single" w:color="000000" w:sz="6" w:space="0"/>
              <w:left w:val="single" w:color="000000" w:sz="6" w:space="0"/>
              <w:bottom w:val="nil"/>
              <w:right w:val="single" w:color="000000" w:sz="6" w:space="0"/>
            </w:tcBorders>
            <w:vAlign w:val="top"/>
          </w:tcPr>
          <w:p w14:paraId="3D1CB59D">
            <w:pPr>
              <w:rPr>
                <w:rFonts w:ascii="Arial"/>
                <w:sz w:val="21"/>
              </w:rPr>
            </w:pPr>
          </w:p>
        </w:tc>
        <w:tc>
          <w:tcPr>
            <w:tcW w:w="114" w:type="dxa"/>
            <w:tcBorders>
              <w:top w:val="single" w:color="000000" w:sz="6" w:space="0"/>
              <w:left w:val="single" w:color="000000" w:sz="6" w:space="0"/>
              <w:bottom w:val="nil"/>
            </w:tcBorders>
            <w:vAlign w:val="top"/>
          </w:tcPr>
          <w:p w14:paraId="21FAD5A8">
            <w:pPr>
              <w:rPr>
                <w:rFonts w:ascii="Arial"/>
                <w:sz w:val="21"/>
              </w:rPr>
            </w:pPr>
          </w:p>
        </w:tc>
        <w:tc>
          <w:tcPr>
            <w:tcW w:w="738" w:type="dxa"/>
            <w:tcBorders>
              <w:top w:val="single" w:color="000000" w:sz="6" w:space="0"/>
            </w:tcBorders>
            <w:shd w:val="clear" w:color="auto" w:fill="BEBEBE"/>
            <w:vAlign w:val="top"/>
          </w:tcPr>
          <w:p w14:paraId="3021314D">
            <w:pPr>
              <w:pStyle w:val="6"/>
              <w:spacing w:before="47" w:line="234" w:lineRule="auto"/>
              <w:ind w:left="157" w:right="164" w:firstLine="22"/>
            </w:pPr>
            <w:r>
              <w:rPr>
                <w:b/>
                <w:bCs/>
                <w:spacing w:val="-9"/>
              </w:rPr>
              <w:t>电压</w:t>
            </w:r>
            <w:r>
              <w:rPr>
                <w:b/>
                <w:bCs/>
                <w:spacing w:val="3"/>
              </w:rPr>
              <w:t>等级</w:t>
            </w:r>
          </w:p>
        </w:tc>
        <w:tc>
          <w:tcPr>
            <w:tcW w:w="1608" w:type="dxa"/>
            <w:gridSpan w:val="4"/>
            <w:tcBorders>
              <w:top w:val="single" w:color="000000" w:sz="6" w:space="0"/>
            </w:tcBorders>
            <w:shd w:val="clear" w:color="auto" w:fill="BEBEBE"/>
            <w:vAlign w:val="top"/>
          </w:tcPr>
          <w:p w14:paraId="3E6DE27D">
            <w:pPr>
              <w:pStyle w:val="6"/>
              <w:spacing w:before="180" w:line="228" w:lineRule="auto"/>
              <w:ind w:left="385"/>
            </w:pPr>
            <w:r>
              <w:rPr>
                <w:b/>
                <w:bCs/>
                <w:spacing w:val="5"/>
              </w:rPr>
              <w:t>线路名称</w:t>
            </w:r>
          </w:p>
        </w:tc>
        <w:tc>
          <w:tcPr>
            <w:tcW w:w="1493" w:type="dxa"/>
            <w:gridSpan w:val="3"/>
            <w:tcBorders>
              <w:top w:val="single" w:color="000000" w:sz="6" w:space="0"/>
            </w:tcBorders>
            <w:shd w:val="clear" w:color="auto" w:fill="BEBEBE"/>
            <w:vAlign w:val="top"/>
          </w:tcPr>
          <w:p w14:paraId="38D10A00">
            <w:pPr>
              <w:pStyle w:val="6"/>
              <w:spacing w:before="47" w:line="234" w:lineRule="auto"/>
              <w:ind w:left="111" w:right="22" w:firstLine="10"/>
            </w:pPr>
            <w:r>
              <w:rPr>
                <w:b/>
                <w:bCs/>
                <w:spacing w:val="6"/>
              </w:rPr>
              <w:t>导线选型及导</w:t>
            </w:r>
            <w:r>
              <w:rPr>
                <w:b/>
                <w:bCs/>
                <w:spacing w:val="1"/>
              </w:rPr>
              <w:t>线直径（</w:t>
            </w:r>
            <w:r>
              <w:rPr>
                <w:rFonts w:ascii="Times New Roman" w:hAnsi="Times New Roman" w:eastAsia="Times New Roman" w:cs="Times New Roman"/>
                <w:b/>
                <w:bCs/>
              </w:rPr>
              <w:t>mm</w:t>
            </w:r>
            <w:r>
              <w:rPr>
                <w:b/>
                <w:bCs/>
                <w:spacing w:val="1"/>
              </w:rPr>
              <w:t>）</w:t>
            </w:r>
          </w:p>
        </w:tc>
        <w:tc>
          <w:tcPr>
            <w:tcW w:w="1122" w:type="dxa"/>
            <w:gridSpan w:val="2"/>
            <w:tcBorders>
              <w:top w:val="single" w:color="000000" w:sz="6" w:space="0"/>
            </w:tcBorders>
            <w:shd w:val="clear" w:color="auto" w:fill="BEBEBE"/>
            <w:vAlign w:val="top"/>
          </w:tcPr>
          <w:p w14:paraId="6DE5698F">
            <w:pPr>
              <w:pStyle w:val="6"/>
              <w:spacing w:before="47" w:line="234" w:lineRule="auto"/>
              <w:ind w:left="219" w:right="137" w:hanging="72"/>
            </w:pPr>
            <w:r>
              <w:rPr>
                <w:b/>
                <w:bCs/>
                <w:spacing w:val="5"/>
              </w:rPr>
              <w:t>线路长度</w:t>
            </w:r>
            <w:r>
              <w:rPr>
                <w:b/>
                <w:bCs/>
                <w:spacing w:val="-1"/>
              </w:rPr>
              <w:t>（</w:t>
            </w:r>
            <w:r>
              <w:rPr>
                <w:rFonts w:ascii="Times New Roman" w:hAnsi="Times New Roman" w:eastAsia="Times New Roman" w:cs="Times New Roman"/>
                <w:b/>
                <w:bCs/>
                <w:spacing w:val="-1"/>
              </w:rPr>
              <w:t>km</w:t>
            </w:r>
            <w:r>
              <w:rPr>
                <w:b/>
                <w:bCs/>
                <w:spacing w:val="-1"/>
              </w:rPr>
              <w:t>）</w:t>
            </w:r>
          </w:p>
        </w:tc>
        <w:tc>
          <w:tcPr>
            <w:tcW w:w="724" w:type="dxa"/>
            <w:gridSpan w:val="2"/>
            <w:tcBorders>
              <w:top w:val="single" w:color="000000" w:sz="6" w:space="0"/>
            </w:tcBorders>
            <w:shd w:val="clear" w:color="auto" w:fill="BEBEBE"/>
            <w:vAlign w:val="top"/>
          </w:tcPr>
          <w:p w14:paraId="34A92FB9">
            <w:pPr>
              <w:pStyle w:val="6"/>
              <w:spacing w:before="47" w:line="234" w:lineRule="auto"/>
              <w:ind w:left="162" w:right="148" w:firstLine="20"/>
            </w:pPr>
            <w:r>
              <w:rPr>
                <w:b/>
                <w:bCs/>
                <w:spacing w:val="-9"/>
              </w:rPr>
              <w:t>曲折</w:t>
            </w:r>
            <w:r>
              <w:rPr>
                <w:b/>
                <w:bCs/>
                <w:spacing w:val="1"/>
              </w:rPr>
              <w:t>系数</w:t>
            </w:r>
          </w:p>
        </w:tc>
        <w:tc>
          <w:tcPr>
            <w:tcW w:w="2226" w:type="dxa"/>
            <w:gridSpan w:val="4"/>
            <w:tcBorders>
              <w:top w:val="single" w:color="000000" w:sz="6" w:space="0"/>
            </w:tcBorders>
            <w:shd w:val="clear" w:color="auto" w:fill="BEBEBE"/>
            <w:vAlign w:val="top"/>
          </w:tcPr>
          <w:p w14:paraId="674662A2">
            <w:pPr>
              <w:pStyle w:val="6"/>
              <w:spacing w:before="47" w:line="234" w:lineRule="auto"/>
              <w:ind w:left="913" w:right="896"/>
            </w:pPr>
            <w:r>
              <w:rPr>
                <w:b/>
                <w:bCs/>
                <w:spacing w:val="3"/>
              </w:rPr>
              <w:t>架设方式</w:t>
            </w:r>
          </w:p>
        </w:tc>
        <w:tc>
          <w:tcPr>
            <w:tcW w:w="124" w:type="dxa"/>
            <w:tcBorders>
              <w:top w:val="single" w:color="000000" w:sz="6" w:space="0"/>
              <w:bottom w:val="nil"/>
              <w:right w:val="single" w:color="000000" w:sz="6" w:space="0"/>
            </w:tcBorders>
            <w:vAlign w:val="top"/>
          </w:tcPr>
          <w:p w14:paraId="415CD4F3">
            <w:pPr>
              <w:rPr>
                <w:rFonts w:ascii="Arial"/>
                <w:sz w:val="21"/>
              </w:rPr>
            </w:pPr>
          </w:p>
        </w:tc>
      </w:tr>
      <w:tr w14:paraId="28391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1" w:hRule="atLeast"/>
        </w:trPr>
        <w:tc>
          <w:tcPr>
            <w:tcW w:w="375" w:type="dxa"/>
            <w:vMerge w:val="restart"/>
            <w:tcBorders>
              <w:top w:val="nil"/>
              <w:left w:val="single" w:color="000000" w:sz="6" w:space="0"/>
              <w:bottom w:val="nil"/>
              <w:right w:val="single" w:color="000000" w:sz="6" w:space="0"/>
            </w:tcBorders>
            <w:vAlign w:val="top"/>
          </w:tcPr>
          <w:p w14:paraId="1CB52AAB">
            <w:pPr>
              <w:rPr>
                <w:rFonts w:ascii="Arial"/>
                <w:sz w:val="21"/>
              </w:rPr>
            </w:pPr>
          </w:p>
        </w:tc>
        <w:tc>
          <w:tcPr>
            <w:tcW w:w="114" w:type="dxa"/>
            <w:tcBorders>
              <w:top w:val="nil"/>
              <w:left w:val="single" w:color="000000" w:sz="6" w:space="0"/>
              <w:bottom w:val="nil"/>
            </w:tcBorders>
            <w:vAlign w:val="top"/>
          </w:tcPr>
          <w:p w14:paraId="6871B3A5">
            <w:pPr>
              <w:rPr>
                <w:rFonts w:ascii="Arial"/>
                <w:sz w:val="21"/>
              </w:rPr>
            </w:pPr>
          </w:p>
        </w:tc>
        <w:tc>
          <w:tcPr>
            <w:tcW w:w="738" w:type="dxa"/>
            <w:vMerge w:val="restart"/>
            <w:tcBorders>
              <w:bottom w:val="nil"/>
            </w:tcBorders>
            <w:vAlign w:val="top"/>
          </w:tcPr>
          <w:p w14:paraId="5725A12A">
            <w:pPr>
              <w:spacing w:line="277" w:lineRule="auto"/>
              <w:rPr>
                <w:rFonts w:ascii="Arial"/>
                <w:sz w:val="21"/>
              </w:rPr>
            </w:pPr>
          </w:p>
          <w:p w14:paraId="63415731">
            <w:pPr>
              <w:spacing w:line="277" w:lineRule="auto"/>
              <w:rPr>
                <w:rFonts w:ascii="Arial"/>
                <w:sz w:val="21"/>
              </w:rPr>
            </w:pPr>
          </w:p>
          <w:p w14:paraId="2D09B56F">
            <w:pPr>
              <w:spacing w:line="277" w:lineRule="auto"/>
              <w:rPr>
                <w:rFonts w:ascii="Arial"/>
                <w:sz w:val="21"/>
              </w:rPr>
            </w:pPr>
          </w:p>
          <w:p w14:paraId="7C708E89">
            <w:pPr>
              <w:spacing w:line="278" w:lineRule="auto"/>
              <w:rPr>
                <w:rFonts w:ascii="Arial"/>
                <w:sz w:val="21"/>
              </w:rPr>
            </w:pPr>
          </w:p>
          <w:p w14:paraId="5886A179">
            <w:pPr>
              <w:spacing w:before="57" w:line="264" w:lineRule="auto"/>
              <w:ind w:left="99" w:right="212" w:firstLine="2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110k</w:t>
            </w:r>
            <w:r>
              <w:rPr>
                <w:rFonts w:ascii="Times New Roman" w:hAnsi="Times New Roman" w:eastAsia="Times New Roman" w:cs="Times New Roman"/>
                <w:spacing w:val="1"/>
                <w:sz w:val="20"/>
                <w:szCs w:val="20"/>
              </w:rPr>
              <w:t xml:space="preserve"> </w:t>
            </w:r>
            <w:r>
              <w:rPr>
                <w:rFonts w:ascii="Times New Roman" w:hAnsi="Times New Roman" w:eastAsia="Times New Roman" w:cs="Times New Roman"/>
                <w:spacing w:val="4"/>
                <w:sz w:val="20"/>
                <w:szCs w:val="20"/>
              </w:rPr>
              <w:t>V</w:t>
            </w:r>
          </w:p>
        </w:tc>
        <w:tc>
          <w:tcPr>
            <w:tcW w:w="1608" w:type="dxa"/>
            <w:gridSpan w:val="4"/>
            <w:vAlign w:val="top"/>
          </w:tcPr>
          <w:p w14:paraId="79D23A2A">
            <w:pPr>
              <w:pStyle w:val="6"/>
              <w:spacing w:before="302" w:line="228" w:lineRule="auto"/>
              <w:ind w:left="324"/>
            </w:pPr>
            <w:r>
              <w:rPr>
                <w:rFonts w:ascii="Times New Roman" w:hAnsi="Times New Roman" w:eastAsia="Times New Roman" w:cs="Times New Roman"/>
                <w:spacing w:val="4"/>
              </w:rPr>
              <w:t>110</w:t>
            </w:r>
            <w:r>
              <w:rPr>
                <w:rFonts w:ascii="Times New Roman" w:hAnsi="Times New Roman" w:eastAsia="Times New Roman" w:cs="Times New Roman"/>
              </w:rPr>
              <w:t>kV</w:t>
            </w:r>
            <w:r>
              <w:rPr>
                <w:spacing w:val="4"/>
              </w:rPr>
              <w:t>松山</w:t>
            </w:r>
          </w:p>
          <w:p w14:paraId="3D2B01B6">
            <w:pPr>
              <w:pStyle w:val="6"/>
              <w:spacing w:before="24" w:line="228" w:lineRule="auto"/>
              <w:ind w:left="202"/>
            </w:pPr>
            <w:r>
              <w:rPr>
                <w:spacing w:val="7"/>
              </w:rPr>
              <w:t>变～</w:t>
            </w:r>
            <w:r>
              <w:rPr>
                <w:rFonts w:ascii="Times New Roman" w:hAnsi="Times New Roman" w:eastAsia="Times New Roman" w:cs="Times New Roman"/>
                <w:spacing w:val="7"/>
              </w:rPr>
              <w:t>220</w:t>
            </w:r>
            <w:r>
              <w:rPr>
                <w:rFonts w:ascii="Times New Roman" w:hAnsi="Times New Roman" w:eastAsia="Times New Roman" w:cs="Times New Roman"/>
              </w:rPr>
              <w:t>kV</w:t>
            </w:r>
            <w:r>
              <w:rPr>
                <w:spacing w:val="7"/>
              </w:rPr>
              <w:t>芳</w:t>
            </w:r>
          </w:p>
          <w:p w14:paraId="41764813">
            <w:pPr>
              <w:pStyle w:val="6"/>
              <w:spacing w:before="23" w:line="228" w:lineRule="auto"/>
              <w:ind w:left="386"/>
            </w:pPr>
            <w:r>
              <w:rPr>
                <w:spacing w:val="7"/>
              </w:rPr>
              <w:t>华变线路</w:t>
            </w:r>
          </w:p>
        </w:tc>
        <w:tc>
          <w:tcPr>
            <w:tcW w:w="1493" w:type="dxa"/>
            <w:gridSpan w:val="3"/>
            <w:vAlign w:val="top"/>
          </w:tcPr>
          <w:p w14:paraId="55AF92A8">
            <w:pPr>
              <w:spacing w:line="290" w:lineRule="auto"/>
              <w:rPr>
                <w:rFonts w:ascii="Arial"/>
                <w:sz w:val="21"/>
              </w:rPr>
            </w:pPr>
          </w:p>
          <w:p w14:paraId="597EB680">
            <w:pPr>
              <w:spacing w:before="57" w:line="199" w:lineRule="auto"/>
              <w:ind w:left="155"/>
              <w:rPr>
                <w:rFonts w:ascii="Times New Roman" w:hAnsi="Times New Roman" w:eastAsia="Times New Roman" w:cs="Times New Roman"/>
                <w:sz w:val="20"/>
                <w:szCs w:val="20"/>
              </w:rPr>
            </w:pPr>
            <w:r>
              <w:rPr>
                <w:rFonts w:ascii="Times New Roman" w:hAnsi="Times New Roman" w:eastAsia="Times New Roman" w:cs="Times New Roman"/>
                <w:sz w:val="20"/>
                <w:szCs w:val="20"/>
              </w:rPr>
              <w:t>JL</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LB</w:t>
            </w:r>
            <w:r>
              <w:rPr>
                <w:rFonts w:ascii="Times New Roman" w:hAnsi="Times New Roman" w:eastAsia="Times New Roman" w:cs="Times New Roman"/>
                <w:spacing w:val="7"/>
                <w:sz w:val="20"/>
                <w:szCs w:val="20"/>
              </w:rPr>
              <w:t>20A-30</w:t>
            </w:r>
          </w:p>
          <w:p w14:paraId="0DF7BF56">
            <w:pPr>
              <w:spacing w:before="52" w:line="200" w:lineRule="auto"/>
              <w:ind w:left="5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0/40;</w:t>
            </w:r>
          </w:p>
          <w:p w14:paraId="50075254">
            <w:pPr>
              <w:pStyle w:val="6"/>
              <w:spacing w:before="29" w:line="228" w:lineRule="auto"/>
              <w:ind w:left="111"/>
            </w:pPr>
            <w:r>
              <w:rPr>
                <w:spacing w:val="5"/>
              </w:rPr>
              <w:t>直径</w:t>
            </w:r>
            <w:r>
              <w:rPr>
                <w:rFonts w:ascii="Times New Roman" w:hAnsi="Times New Roman" w:eastAsia="Times New Roman" w:cs="Times New Roman"/>
                <w:spacing w:val="5"/>
              </w:rPr>
              <w:t>23.9</w:t>
            </w:r>
            <w:r>
              <w:rPr>
                <w:rFonts w:ascii="Times New Roman" w:hAnsi="Times New Roman" w:eastAsia="Times New Roman" w:cs="Times New Roman"/>
              </w:rPr>
              <w:t>mm</w:t>
            </w:r>
            <w:r>
              <w:rPr>
                <w:spacing w:val="5"/>
              </w:rPr>
              <w:t>；</w:t>
            </w:r>
          </w:p>
        </w:tc>
        <w:tc>
          <w:tcPr>
            <w:tcW w:w="1122" w:type="dxa"/>
            <w:gridSpan w:val="2"/>
            <w:vAlign w:val="top"/>
          </w:tcPr>
          <w:p w14:paraId="52DE9FDA">
            <w:pPr>
              <w:spacing w:line="250" w:lineRule="auto"/>
              <w:rPr>
                <w:rFonts w:ascii="Arial"/>
                <w:sz w:val="21"/>
              </w:rPr>
            </w:pPr>
          </w:p>
          <w:p w14:paraId="79909F9B">
            <w:pPr>
              <w:pStyle w:val="6"/>
              <w:spacing w:before="65" w:line="267" w:lineRule="exact"/>
              <w:ind w:left="405"/>
            </w:pPr>
            <w:r>
              <w:rPr>
                <w:rFonts w:ascii="Times New Roman" w:hAnsi="Times New Roman" w:eastAsia="Times New Roman" w:cs="Times New Roman"/>
                <w:spacing w:val="5"/>
                <w:position w:val="1"/>
              </w:rPr>
              <w:t>2</w:t>
            </w:r>
            <w:r>
              <w:rPr>
                <w:spacing w:val="5"/>
                <w:position w:val="1"/>
              </w:rPr>
              <w:t>×</w:t>
            </w:r>
          </w:p>
          <w:p w14:paraId="507FCE55">
            <w:pPr>
              <w:pStyle w:val="6"/>
              <w:spacing w:before="27" w:line="253" w:lineRule="auto"/>
              <w:ind w:left="157" w:right="131" w:hanging="16"/>
            </w:pPr>
            <w:r>
              <w:rPr>
                <w:rFonts w:ascii="Times New Roman" w:hAnsi="Times New Roman" w:eastAsia="Times New Roman" w:cs="Times New Roman"/>
                <w:spacing w:val="3"/>
              </w:rPr>
              <w:t xml:space="preserve">6.36+3.89 </w:t>
            </w:r>
            <w:r>
              <w:rPr>
                <w:spacing w:val="2"/>
              </w:rPr>
              <w:t>（双回）</w:t>
            </w:r>
          </w:p>
        </w:tc>
        <w:tc>
          <w:tcPr>
            <w:tcW w:w="724" w:type="dxa"/>
            <w:gridSpan w:val="2"/>
            <w:vAlign w:val="top"/>
          </w:tcPr>
          <w:p w14:paraId="02EE284F">
            <w:pPr>
              <w:spacing w:line="274" w:lineRule="auto"/>
              <w:rPr>
                <w:rFonts w:ascii="Arial"/>
                <w:sz w:val="21"/>
              </w:rPr>
            </w:pPr>
          </w:p>
          <w:p w14:paraId="096A5DE2">
            <w:pPr>
              <w:spacing w:line="275" w:lineRule="auto"/>
              <w:rPr>
                <w:rFonts w:ascii="Arial"/>
                <w:sz w:val="21"/>
              </w:rPr>
            </w:pPr>
          </w:p>
          <w:p w14:paraId="35C970B5">
            <w:pPr>
              <w:spacing w:before="57"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1.24</w:t>
            </w:r>
          </w:p>
        </w:tc>
        <w:tc>
          <w:tcPr>
            <w:tcW w:w="2226" w:type="dxa"/>
            <w:gridSpan w:val="4"/>
            <w:vAlign w:val="top"/>
          </w:tcPr>
          <w:p w14:paraId="30AFDF8C">
            <w:pPr>
              <w:pStyle w:val="6"/>
              <w:spacing w:before="31" w:line="228" w:lineRule="auto"/>
              <w:ind w:left="117"/>
            </w:pPr>
            <w:r>
              <w:rPr>
                <w:spacing w:val="7"/>
              </w:rPr>
              <w:t>单、双回路混合架设，</w:t>
            </w:r>
          </w:p>
          <w:p w14:paraId="2B1C0B35">
            <w:pPr>
              <w:pStyle w:val="6"/>
              <w:spacing w:before="24" w:line="228" w:lineRule="auto"/>
              <w:ind w:left="203"/>
            </w:pPr>
            <w:r>
              <w:rPr>
                <w:rFonts w:ascii="Times New Roman" w:hAnsi="Times New Roman" w:eastAsia="Times New Roman" w:cs="Times New Roman"/>
                <w:spacing w:val="8"/>
              </w:rPr>
              <w:t>220</w:t>
            </w:r>
            <w:r>
              <w:rPr>
                <w:rFonts w:ascii="Times New Roman" w:hAnsi="Times New Roman" w:eastAsia="Times New Roman" w:cs="Times New Roman"/>
              </w:rPr>
              <w:t>kV</w:t>
            </w:r>
            <w:r>
              <w:rPr>
                <w:spacing w:val="8"/>
              </w:rPr>
              <w:t>芳华变出线段</w:t>
            </w:r>
          </w:p>
          <w:p w14:paraId="212CC8D3">
            <w:pPr>
              <w:pStyle w:val="6"/>
              <w:spacing w:before="23" w:line="227" w:lineRule="auto"/>
              <w:ind w:left="176"/>
            </w:pPr>
            <w:r>
              <w:rPr>
                <w:rFonts w:ascii="Times New Roman" w:hAnsi="Times New Roman" w:eastAsia="Times New Roman" w:cs="Times New Roman"/>
                <w:spacing w:val="7"/>
              </w:rPr>
              <w:t>6.36</w:t>
            </w:r>
            <w:r>
              <w:rPr>
                <w:rFonts w:ascii="Times New Roman" w:hAnsi="Times New Roman" w:eastAsia="Times New Roman" w:cs="Times New Roman"/>
              </w:rPr>
              <w:t>km</w:t>
            </w:r>
            <w:r>
              <w:rPr>
                <w:spacing w:val="7"/>
              </w:rPr>
              <w:t>采用双回路架</w:t>
            </w:r>
          </w:p>
          <w:p w14:paraId="7E086CE8">
            <w:pPr>
              <w:pStyle w:val="6"/>
              <w:spacing w:before="27" w:line="227" w:lineRule="auto"/>
              <w:ind w:left="119"/>
            </w:pPr>
            <w:r>
              <w:rPr>
                <w:spacing w:val="-1"/>
              </w:rPr>
              <w:t>设单边挂线，其余段采</w:t>
            </w:r>
          </w:p>
          <w:p w14:paraId="3D166546">
            <w:pPr>
              <w:pStyle w:val="6"/>
              <w:spacing w:before="28" w:line="212" w:lineRule="auto"/>
              <w:ind w:left="391"/>
            </w:pPr>
            <w:r>
              <w:rPr>
                <w:spacing w:val="6"/>
              </w:rPr>
              <w:t>用单回路架设。</w:t>
            </w:r>
          </w:p>
        </w:tc>
        <w:tc>
          <w:tcPr>
            <w:tcW w:w="124" w:type="dxa"/>
            <w:tcBorders>
              <w:top w:val="nil"/>
              <w:bottom w:val="nil"/>
              <w:right w:val="single" w:color="000000" w:sz="6" w:space="0"/>
            </w:tcBorders>
            <w:vAlign w:val="top"/>
          </w:tcPr>
          <w:p w14:paraId="111C4C71">
            <w:pPr>
              <w:rPr>
                <w:rFonts w:ascii="Arial"/>
                <w:sz w:val="21"/>
              </w:rPr>
            </w:pPr>
          </w:p>
        </w:tc>
      </w:tr>
      <w:tr w14:paraId="4EBDB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0" w:hRule="atLeast"/>
        </w:trPr>
        <w:tc>
          <w:tcPr>
            <w:tcW w:w="375" w:type="dxa"/>
            <w:vMerge w:val="continue"/>
            <w:tcBorders>
              <w:top w:val="nil"/>
              <w:left w:val="single" w:color="000000" w:sz="6" w:space="0"/>
              <w:bottom w:val="nil"/>
              <w:right w:val="single" w:color="000000" w:sz="6" w:space="0"/>
            </w:tcBorders>
            <w:vAlign w:val="top"/>
          </w:tcPr>
          <w:p w14:paraId="53635959">
            <w:pPr>
              <w:rPr>
                <w:rFonts w:ascii="Arial"/>
                <w:sz w:val="21"/>
              </w:rPr>
            </w:pPr>
          </w:p>
        </w:tc>
        <w:tc>
          <w:tcPr>
            <w:tcW w:w="114" w:type="dxa"/>
            <w:tcBorders>
              <w:top w:val="nil"/>
              <w:left w:val="single" w:color="000000" w:sz="6" w:space="0"/>
              <w:bottom w:val="nil"/>
            </w:tcBorders>
            <w:vAlign w:val="top"/>
          </w:tcPr>
          <w:p w14:paraId="5FAFF061">
            <w:pPr>
              <w:rPr>
                <w:rFonts w:ascii="Arial"/>
                <w:sz w:val="21"/>
              </w:rPr>
            </w:pPr>
          </w:p>
        </w:tc>
        <w:tc>
          <w:tcPr>
            <w:tcW w:w="738" w:type="dxa"/>
            <w:vMerge w:val="continue"/>
            <w:tcBorders>
              <w:top w:val="nil"/>
            </w:tcBorders>
            <w:vAlign w:val="top"/>
          </w:tcPr>
          <w:p w14:paraId="29E8FD99">
            <w:pPr>
              <w:rPr>
                <w:rFonts w:ascii="Arial"/>
                <w:sz w:val="21"/>
              </w:rPr>
            </w:pPr>
          </w:p>
        </w:tc>
        <w:tc>
          <w:tcPr>
            <w:tcW w:w="1608" w:type="dxa"/>
            <w:gridSpan w:val="4"/>
            <w:vAlign w:val="top"/>
          </w:tcPr>
          <w:p w14:paraId="2F712513">
            <w:pPr>
              <w:pStyle w:val="6"/>
              <w:spacing w:before="35" w:line="228" w:lineRule="auto"/>
              <w:ind w:left="156"/>
              <w:rPr>
                <w:rFonts w:ascii="Times New Roman" w:hAnsi="Times New Roman" w:eastAsia="Times New Roman" w:cs="Times New Roman"/>
              </w:rPr>
            </w:pPr>
            <w:r>
              <w:rPr>
                <w:rFonts w:ascii="Times New Roman" w:hAnsi="Times New Roman" w:eastAsia="Times New Roman" w:cs="Times New Roman"/>
                <w:spacing w:val="5"/>
              </w:rPr>
              <w:t>110</w:t>
            </w:r>
            <w:r>
              <w:rPr>
                <w:rFonts w:ascii="Times New Roman" w:hAnsi="Times New Roman" w:eastAsia="Times New Roman" w:cs="Times New Roman"/>
              </w:rPr>
              <w:t>kV</w:t>
            </w:r>
            <w:r>
              <w:rPr>
                <w:spacing w:val="5"/>
              </w:rPr>
              <w:t>松山变</w:t>
            </w:r>
            <w:r>
              <w:rPr>
                <w:rFonts w:ascii="Times New Roman" w:hAnsi="Times New Roman" w:eastAsia="Times New Roman" w:cs="Times New Roman"/>
                <w:spacing w:val="5"/>
              </w:rPr>
              <w:t>T</w:t>
            </w:r>
          </w:p>
          <w:p w14:paraId="54EC9546">
            <w:pPr>
              <w:pStyle w:val="6"/>
              <w:spacing w:before="27" w:line="228" w:lineRule="auto"/>
              <w:ind w:left="173"/>
            </w:pPr>
            <w:r>
              <w:rPr>
                <w:spacing w:val="8"/>
              </w:rPr>
              <w:t>接芳华变出线</w:t>
            </w:r>
          </w:p>
          <w:p w14:paraId="6F7D78C4">
            <w:pPr>
              <w:pStyle w:val="6"/>
              <w:spacing w:before="23" w:line="229" w:lineRule="auto"/>
              <w:ind w:left="253"/>
            </w:pPr>
            <w:r>
              <w:rPr>
                <w:spacing w:val="-1"/>
              </w:rPr>
              <w:t>π接</w:t>
            </w:r>
            <w:r>
              <w:rPr>
                <w:rFonts w:ascii="Times New Roman" w:hAnsi="Times New Roman" w:eastAsia="Times New Roman" w:cs="Times New Roman"/>
                <w:spacing w:val="-1"/>
              </w:rPr>
              <w:t>110kV</w:t>
            </w:r>
            <w:r>
              <w:rPr>
                <w:spacing w:val="-1"/>
              </w:rPr>
              <w:t>吉</w:t>
            </w:r>
          </w:p>
          <w:p w14:paraId="2E23B187">
            <w:pPr>
              <w:pStyle w:val="6"/>
              <w:spacing w:before="25" w:line="228" w:lineRule="auto"/>
              <w:ind w:left="222"/>
              <w:rPr>
                <w:rFonts w:ascii="Times New Roman" w:hAnsi="Times New Roman" w:eastAsia="Times New Roman" w:cs="Times New Roman"/>
              </w:rPr>
            </w:pPr>
            <w:r>
              <w:rPr>
                <w:spacing w:val="4"/>
              </w:rPr>
              <w:t>中线的</w:t>
            </w:r>
            <w:r>
              <w:rPr>
                <w:rFonts w:ascii="Times New Roman" w:hAnsi="Times New Roman" w:eastAsia="Times New Roman" w:cs="Times New Roman"/>
                <w:spacing w:val="4"/>
              </w:rPr>
              <w:t>110</w:t>
            </w:r>
            <w:r>
              <w:rPr>
                <w:rFonts w:ascii="Times New Roman" w:hAnsi="Times New Roman" w:eastAsia="Times New Roman" w:cs="Times New Roman"/>
              </w:rPr>
              <w:t>kV</w:t>
            </w:r>
          </w:p>
          <w:p w14:paraId="0EBDEFCC">
            <w:pPr>
              <w:pStyle w:val="6"/>
              <w:spacing w:before="24" w:line="216" w:lineRule="auto"/>
              <w:ind w:left="596"/>
            </w:pPr>
            <w:r>
              <w:rPr>
                <w:spacing w:val="3"/>
              </w:rPr>
              <w:t>线路</w:t>
            </w:r>
          </w:p>
        </w:tc>
        <w:tc>
          <w:tcPr>
            <w:tcW w:w="1493" w:type="dxa"/>
            <w:gridSpan w:val="3"/>
            <w:vAlign w:val="top"/>
          </w:tcPr>
          <w:p w14:paraId="3822338E">
            <w:pPr>
              <w:spacing w:line="282" w:lineRule="auto"/>
              <w:rPr>
                <w:rFonts w:ascii="Arial"/>
                <w:sz w:val="21"/>
              </w:rPr>
            </w:pPr>
          </w:p>
          <w:p w14:paraId="4B9BF8E4">
            <w:pPr>
              <w:spacing w:before="58" w:line="199" w:lineRule="auto"/>
              <w:ind w:left="155"/>
              <w:rPr>
                <w:rFonts w:ascii="Times New Roman" w:hAnsi="Times New Roman" w:eastAsia="Times New Roman" w:cs="Times New Roman"/>
                <w:sz w:val="20"/>
                <w:szCs w:val="20"/>
              </w:rPr>
            </w:pPr>
            <w:r>
              <w:rPr>
                <w:rFonts w:ascii="Times New Roman" w:hAnsi="Times New Roman" w:eastAsia="Times New Roman" w:cs="Times New Roman"/>
                <w:sz w:val="20"/>
                <w:szCs w:val="20"/>
              </w:rPr>
              <w:t>JL</w:t>
            </w:r>
            <w:r>
              <w:rPr>
                <w:rFonts w:ascii="Times New Roman" w:hAnsi="Times New Roman" w:eastAsia="Times New Roman" w:cs="Times New Roman"/>
                <w:spacing w:val="7"/>
                <w:sz w:val="20"/>
                <w:szCs w:val="20"/>
              </w:rPr>
              <w:t>/</w:t>
            </w:r>
            <w:r>
              <w:rPr>
                <w:rFonts w:ascii="Times New Roman" w:hAnsi="Times New Roman" w:eastAsia="Times New Roman" w:cs="Times New Roman"/>
                <w:sz w:val="20"/>
                <w:szCs w:val="20"/>
              </w:rPr>
              <w:t>LB</w:t>
            </w:r>
            <w:r>
              <w:rPr>
                <w:rFonts w:ascii="Times New Roman" w:hAnsi="Times New Roman" w:eastAsia="Times New Roman" w:cs="Times New Roman"/>
                <w:spacing w:val="7"/>
                <w:sz w:val="20"/>
                <w:szCs w:val="20"/>
              </w:rPr>
              <w:t>20A-24</w:t>
            </w:r>
          </w:p>
          <w:p w14:paraId="29351E79">
            <w:pPr>
              <w:pStyle w:val="6"/>
              <w:spacing w:before="31" w:line="230" w:lineRule="auto"/>
              <w:ind w:left="509"/>
            </w:pPr>
            <w:r>
              <w:rPr>
                <w:rFonts w:ascii="Times New Roman" w:hAnsi="Times New Roman" w:eastAsia="Times New Roman" w:cs="Times New Roman"/>
                <w:spacing w:val="1"/>
              </w:rPr>
              <w:t>0/3</w:t>
            </w:r>
            <w:r>
              <w:rPr>
                <w:spacing w:val="1"/>
              </w:rPr>
              <w:t>；</w:t>
            </w:r>
          </w:p>
          <w:p w14:paraId="48DA5E88">
            <w:pPr>
              <w:pStyle w:val="6"/>
              <w:spacing w:before="24" w:line="228" w:lineRule="auto"/>
              <w:ind w:left="111"/>
            </w:pPr>
            <w:r>
              <w:rPr>
                <w:spacing w:val="5"/>
              </w:rPr>
              <w:t>直径</w:t>
            </w:r>
            <w:r>
              <w:rPr>
                <w:rFonts w:ascii="Times New Roman" w:hAnsi="Times New Roman" w:eastAsia="Times New Roman" w:cs="Times New Roman"/>
                <w:spacing w:val="5"/>
              </w:rPr>
              <w:t>21.6</w:t>
            </w:r>
            <w:r>
              <w:rPr>
                <w:rFonts w:ascii="Times New Roman" w:hAnsi="Times New Roman" w:eastAsia="Times New Roman" w:cs="Times New Roman"/>
              </w:rPr>
              <w:t>mm</w:t>
            </w:r>
            <w:r>
              <w:rPr>
                <w:spacing w:val="5"/>
              </w:rPr>
              <w:t>；</w:t>
            </w:r>
          </w:p>
        </w:tc>
        <w:tc>
          <w:tcPr>
            <w:tcW w:w="1122" w:type="dxa"/>
            <w:gridSpan w:val="2"/>
            <w:vAlign w:val="top"/>
          </w:tcPr>
          <w:p w14:paraId="4C66BDD0">
            <w:pPr>
              <w:spacing w:line="376" w:lineRule="auto"/>
              <w:rPr>
                <w:rFonts w:ascii="Arial"/>
                <w:sz w:val="21"/>
              </w:rPr>
            </w:pPr>
          </w:p>
          <w:p w14:paraId="69A137B3">
            <w:pPr>
              <w:pStyle w:val="6"/>
              <w:spacing w:before="65" w:line="256" w:lineRule="auto"/>
              <w:ind w:left="376" w:right="166" w:hanging="203"/>
            </w:pPr>
            <w:r>
              <w:rPr>
                <w:rFonts w:ascii="Times New Roman" w:hAnsi="Times New Roman" w:eastAsia="Times New Roman" w:cs="Times New Roman"/>
                <w:spacing w:val="4"/>
              </w:rPr>
              <w:t>5.78</w:t>
            </w:r>
            <w:r>
              <w:rPr>
                <w:spacing w:val="4"/>
              </w:rPr>
              <w:t>（单</w:t>
            </w:r>
            <w:r>
              <w:rPr>
                <w:spacing w:val="-10"/>
              </w:rPr>
              <w:t>回）</w:t>
            </w:r>
          </w:p>
        </w:tc>
        <w:tc>
          <w:tcPr>
            <w:tcW w:w="724" w:type="dxa"/>
            <w:gridSpan w:val="2"/>
            <w:vAlign w:val="top"/>
          </w:tcPr>
          <w:p w14:paraId="75B59C54">
            <w:pPr>
              <w:spacing w:line="278" w:lineRule="auto"/>
              <w:rPr>
                <w:rFonts w:ascii="Arial"/>
                <w:sz w:val="21"/>
              </w:rPr>
            </w:pPr>
          </w:p>
          <w:p w14:paraId="1BEA9592">
            <w:pPr>
              <w:spacing w:line="278" w:lineRule="auto"/>
              <w:rPr>
                <w:rFonts w:ascii="Arial"/>
                <w:sz w:val="21"/>
              </w:rPr>
            </w:pPr>
          </w:p>
          <w:p w14:paraId="1DB9B8A3">
            <w:pPr>
              <w:spacing w:before="57"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1.13</w:t>
            </w:r>
          </w:p>
        </w:tc>
        <w:tc>
          <w:tcPr>
            <w:tcW w:w="2226" w:type="dxa"/>
            <w:gridSpan w:val="4"/>
            <w:vAlign w:val="top"/>
          </w:tcPr>
          <w:p w14:paraId="56A717E9">
            <w:pPr>
              <w:spacing w:line="256" w:lineRule="auto"/>
              <w:rPr>
                <w:rFonts w:ascii="Arial"/>
                <w:sz w:val="21"/>
              </w:rPr>
            </w:pPr>
          </w:p>
          <w:p w14:paraId="61E23F4F">
            <w:pPr>
              <w:spacing w:line="257" w:lineRule="auto"/>
              <w:rPr>
                <w:rFonts w:ascii="Arial"/>
                <w:sz w:val="21"/>
              </w:rPr>
            </w:pPr>
          </w:p>
          <w:p w14:paraId="6ABF1CE1">
            <w:pPr>
              <w:pStyle w:val="6"/>
              <w:spacing w:before="65" w:line="228" w:lineRule="auto"/>
              <w:ind w:left="705"/>
            </w:pPr>
            <w:r>
              <w:rPr>
                <w:spacing w:val="6"/>
              </w:rPr>
              <w:t>单回架设</w:t>
            </w:r>
          </w:p>
        </w:tc>
        <w:tc>
          <w:tcPr>
            <w:tcW w:w="124" w:type="dxa"/>
            <w:tcBorders>
              <w:top w:val="nil"/>
              <w:bottom w:val="nil"/>
              <w:right w:val="single" w:color="000000" w:sz="6" w:space="0"/>
            </w:tcBorders>
            <w:vAlign w:val="top"/>
          </w:tcPr>
          <w:p w14:paraId="07667D41">
            <w:pPr>
              <w:rPr>
                <w:rFonts w:ascii="Arial"/>
                <w:sz w:val="21"/>
              </w:rPr>
            </w:pPr>
          </w:p>
        </w:tc>
      </w:tr>
      <w:tr w14:paraId="494AC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375" w:type="dxa"/>
            <w:vMerge w:val="continue"/>
            <w:tcBorders>
              <w:top w:val="nil"/>
              <w:left w:val="single" w:color="000000" w:sz="6" w:space="0"/>
              <w:bottom w:val="nil"/>
              <w:right w:val="single" w:color="000000" w:sz="6" w:space="0"/>
            </w:tcBorders>
            <w:vAlign w:val="top"/>
          </w:tcPr>
          <w:p w14:paraId="288BE6D7">
            <w:pPr>
              <w:rPr>
                <w:rFonts w:ascii="Arial"/>
                <w:sz w:val="21"/>
              </w:rPr>
            </w:pPr>
          </w:p>
        </w:tc>
        <w:tc>
          <w:tcPr>
            <w:tcW w:w="8149" w:type="dxa"/>
            <w:gridSpan w:val="18"/>
            <w:tcBorders>
              <w:left w:val="single" w:color="000000" w:sz="6" w:space="0"/>
              <w:right w:val="single" w:color="000000" w:sz="6" w:space="0"/>
            </w:tcBorders>
            <w:vAlign w:val="top"/>
          </w:tcPr>
          <w:p w14:paraId="7BD46C80">
            <w:pPr>
              <w:pStyle w:val="6"/>
              <w:spacing w:before="314" w:line="206" w:lineRule="auto"/>
              <w:ind w:left="1196"/>
              <w:rPr>
                <w:sz w:val="24"/>
                <w:szCs w:val="24"/>
              </w:rPr>
            </w:pPr>
            <w:r>
              <w:rPr>
                <w:b/>
                <w:bCs/>
                <w:spacing w:val="-2"/>
                <w:sz w:val="24"/>
                <w:szCs w:val="24"/>
              </w:rPr>
              <w:t>表</w:t>
            </w:r>
            <w:r>
              <w:rPr>
                <w:rFonts w:ascii="Times New Roman" w:hAnsi="Times New Roman" w:eastAsia="Times New Roman" w:cs="Times New Roman"/>
                <w:b/>
                <w:bCs/>
                <w:spacing w:val="-2"/>
                <w:sz w:val="24"/>
                <w:szCs w:val="24"/>
              </w:rPr>
              <w:t>2-5        35kV</w:t>
            </w:r>
            <w:r>
              <w:rPr>
                <w:rFonts w:ascii="Times New Roman" w:hAnsi="Times New Roman" w:eastAsia="Times New Roman" w:cs="Times New Roman"/>
                <w:b/>
                <w:bCs/>
                <w:spacing w:val="-28"/>
                <w:sz w:val="24"/>
                <w:szCs w:val="24"/>
              </w:rPr>
              <w:t xml:space="preserve"> </w:t>
            </w:r>
            <w:r>
              <w:rPr>
                <w:b/>
                <w:bCs/>
                <w:spacing w:val="-2"/>
                <w:sz w:val="24"/>
                <w:szCs w:val="24"/>
              </w:rPr>
              <w:t>、</w:t>
            </w:r>
            <w:r>
              <w:rPr>
                <w:rFonts w:ascii="Times New Roman" w:hAnsi="Times New Roman" w:eastAsia="Times New Roman" w:cs="Times New Roman"/>
                <w:b/>
                <w:bCs/>
                <w:spacing w:val="-2"/>
                <w:sz w:val="24"/>
                <w:szCs w:val="24"/>
              </w:rPr>
              <w:t>10kV</w:t>
            </w:r>
            <w:r>
              <w:rPr>
                <w:b/>
                <w:bCs/>
                <w:spacing w:val="-2"/>
                <w:sz w:val="24"/>
                <w:szCs w:val="24"/>
              </w:rPr>
              <w:t>输电线路建设内容主要技术参数</w:t>
            </w:r>
          </w:p>
        </w:tc>
      </w:tr>
      <w:tr w14:paraId="28A3B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75" w:type="dxa"/>
            <w:tcBorders>
              <w:top w:val="nil"/>
              <w:left w:val="single" w:color="000000" w:sz="6" w:space="0"/>
              <w:bottom w:val="nil"/>
              <w:right w:val="single" w:color="000000" w:sz="6" w:space="0"/>
            </w:tcBorders>
            <w:vAlign w:val="top"/>
          </w:tcPr>
          <w:p w14:paraId="4BCCB4BA">
            <w:pPr>
              <w:rPr>
                <w:rFonts w:ascii="Arial"/>
                <w:sz w:val="21"/>
              </w:rPr>
            </w:pPr>
          </w:p>
        </w:tc>
        <w:tc>
          <w:tcPr>
            <w:tcW w:w="114" w:type="dxa"/>
            <w:tcBorders>
              <w:top w:val="nil"/>
              <w:left w:val="single" w:color="000000" w:sz="6" w:space="0"/>
              <w:bottom w:val="nil"/>
            </w:tcBorders>
            <w:vAlign w:val="top"/>
          </w:tcPr>
          <w:p w14:paraId="27412FB6">
            <w:pPr>
              <w:rPr>
                <w:rFonts w:ascii="Arial"/>
                <w:sz w:val="21"/>
              </w:rPr>
            </w:pPr>
          </w:p>
        </w:tc>
        <w:tc>
          <w:tcPr>
            <w:tcW w:w="1092" w:type="dxa"/>
            <w:gridSpan w:val="3"/>
            <w:shd w:val="clear" w:color="auto" w:fill="BEBEBE"/>
            <w:vAlign w:val="top"/>
          </w:tcPr>
          <w:p w14:paraId="21D9B943">
            <w:pPr>
              <w:pStyle w:val="6"/>
              <w:spacing w:before="168" w:line="228" w:lineRule="auto"/>
              <w:ind w:left="147"/>
            </w:pPr>
            <w:r>
              <w:rPr>
                <w:b/>
                <w:bCs/>
              </w:rPr>
              <w:t>电压等级</w:t>
            </w:r>
          </w:p>
        </w:tc>
        <w:tc>
          <w:tcPr>
            <w:tcW w:w="1638" w:type="dxa"/>
            <w:gridSpan w:val="3"/>
            <w:shd w:val="clear" w:color="auto" w:fill="BEBEBE"/>
            <w:vAlign w:val="top"/>
          </w:tcPr>
          <w:p w14:paraId="7AFA4FCE">
            <w:pPr>
              <w:pStyle w:val="6"/>
              <w:spacing w:before="168" w:line="228" w:lineRule="auto"/>
              <w:ind w:left="401"/>
            </w:pPr>
            <w:r>
              <w:rPr>
                <w:b/>
                <w:bCs/>
                <w:spacing w:val="5"/>
              </w:rPr>
              <w:t>线路名称</w:t>
            </w:r>
          </w:p>
        </w:tc>
        <w:tc>
          <w:tcPr>
            <w:tcW w:w="2150" w:type="dxa"/>
            <w:gridSpan w:val="3"/>
            <w:shd w:val="clear" w:color="auto" w:fill="BEBEBE"/>
            <w:vAlign w:val="top"/>
          </w:tcPr>
          <w:p w14:paraId="2212EA5D">
            <w:pPr>
              <w:pStyle w:val="6"/>
              <w:spacing w:before="169" w:line="228" w:lineRule="auto"/>
              <w:ind w:left="662"/>
            </w:pPr>
            <w:r>
              <w:rPr>
                <w:b/>
                <w:bCs/>
                <w:spacing w:val="5"/>
              </w:rPr>
              <w:t>导线选型</w:t>
            </w:r>
          </w:p>
        </w:tc>
        <w:tc>
          <w:tcPr>
            <w:tcW w:w="1286" w:type="dxa"/>
            <w:gridSpan w:val="5"/>
            <w:shd w:val="clear" w:color="auto" w:fill="BEBEBE"/>
            <w:vAlign w:val="top"/>
          </w:tcPr>
          <w:p w14:paraId="2BE7164C">
            <w:pPr>
              <w:pStyle w:val="6"/>
              <w:spacing w:before="34" w:line="233" w:lineRule="auto"/>
              <w:ind w:left="304" w:right="216" w:hanging="72"/>
            </w:pPr>
            <w:r>
              <w:rPr>
                <w:b/>
                <w:bCs/>
                <w:spacing w:val="5"/>
              </w:rPr>
              <w:t>线路长度</w:t>
            </w:r>
            <w:r>
              <w:rPr>
                <w:b/>
                <w:bCs/>
              </w:rPr>
              <w:t>（</w:t>
            </w:r>
            <w:r>
              <w:rPr>
                <w:rFonts w:ascii="Times New Roman" w:hAnsi="Times New Roman" w:eastAsia="Times New Roman" w:cs="Times New Roman"/>
                <w:b/>
                <w:bCs/>
              </w:rPr>
              <w:t>km</w:t>
            </w:r>
            <w:r>
              <w:rPr>
                <w:b/>
                <w:bCs/>
              </w:rPr>
              <w:t>）</w:t>
            </w:r>
          </w:p>
        </w:tc>
        <w:tc>
          <w:tcPr>
            <w:tcW w:w="1745" w:type="dxa"/>
            <w:gridSpan w:val="2"/>
            <w:shd w:val="clear" w:color="auto" w:fill="BEBEBE"/>
            <w:vAlign w:val="top"/>
          </w:tcPr>
          <w:p w14:paraId="2A0DAF2B">
            <w:pPr>
              <w:pStyle w:val="6"/>
              <w:spacing w:before="34" w:line="233" w:lineRule="auto"/>
              <w:ind w:left="672" w:right="656"/>
            </w:pPr>
            <w:r>
              <w:rPr>
                <w:b/>
                <w:bCs/>
                <w:spacing w:val="3"/>
              </w:rPr>
              <w:t>架设方式</w:t>
            </w:r>
          </w:p>
        </w:tc>
        <w:tc>
          <w:tcPr>
            <w:tcW w:w="124" w:type="dxa"/>
            <w:tcBorders>
              <w:top w:val="nil"/>
              <w:bottom w:val="nil"/>
              <w:right w:val="single" w:color="000000" w:sz="6" w:space="0"/>
            </w:tcBorders>
            <w:vAlign w:val="top"/>
          </w:tcPr>
          <w:p w14:paraId="5BD99FB5">
            <w:pPr>
              <w:rPr>
                <w:rFonts w:ascii="Arial"/>
                <w:sz w:val="21"/>
              </w:rPr>
            </w:pPr>
          </w:p>
        </w:tc>
      </w:tr>
      <w:tr w14:paraId="7B1E62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375" w:type="dxa"/>
            <w:vMerge w:val="restart"/>
            <w:tcBorders>
              <w:top w:val="nil"/>
              <w:left w:val="single" w:color="000000" w:sz="6" w:space="0"/>
              <w:bottom w:val="nil"/>
              <w:right w:val="single" w:color="000000" w:sz="6" w:space="0"/>
            </w:tcBorders>
            <w:vAlign w:val="top"/>
          </w:tcPr>
          <w:p w14:paraId="4D7B2D04">
            <w:pPr>
              <w:rPr>
                <w:rFonts w:ascii="Arial"/>
                <w:sz w:val="21"/>
              </w:rPr>
            </w:pPr>
          </w:p>
        </w:tc>
        <w:tc>
          <w:tcPr>
            <w:tcW w:w="114" w:type="dxa"/>
            <w:tcBorders>
              <w:top w:val="nil"/>
              <w:left w:val="single" w:color="000000" w:sz="6" w:space="0"/>
              <w:bottom w:val="nil"/>
            </w:tcBorders>
            <w:vAlign w:val="top"/>
          </w:tcPr>
          <w:p w14:paraId="65360EDC">
            <w:pPr>
              <w:rPr>
                <w:rFonts w:ascii="Arial"/>
                <w:sz w:val="21"/>
              </w:rPr>
            </w:pPr>
          </w:p>
        </w:tc>
        <w:tc>
          <w:tcPr>
            <w:tcW w:w="1092" w:type="dxa"/>
            <w:gridSpan w:val="3"/>
            <w:vAlign w:val="top"/>
          </w:tcPr>
          <w:p w14:paraId="376BCACB">
            <w:pPr>
              <w:spacing w:line="279" w:lineRule="auto"/>
              <w:rPr>
                <w:rFonts w:ascii="Arial"/>
                <w:sz w:val="21"/>
              </w:rPr>
            </w:pPr>
          </w:p>
          <w:p w14:paraId="10284B0E">
            <w:pPr>
              <w:spacing w:before="57" w:line="199" w:lineRule="auto"/>
              <w:ind w:left="31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35</w:t>
            </w:r>
            <w:r>
              <w:rPr>
                <w:rFonts w:ascii="Times New Roman" w:hAnsi="Times New Roman" w:eastAsia="Times New Roman" w:cs="Times New Roman"/>
                <w:sz w:val="20"/>
                <w:szCs w:val="20"/>
              </w:rPr>
              <w:t>kV</w:t>
            </w:r>
          </w:p>
        </w:tc>
        <w:tc>
          <w:tcPr>
            <w:tcW w:w="1638" w:type="dxa"/>
            <w:gridSpan w:val="3"/>
            <w:vAlign w:val="top"/>
          </w:tcPr>
          <w:p w14:paraId="146602BA">
            <w:pPr>
              <w:pStyle w:val="6"/>
              <w:spacing w:before="34" w:line="228" w:lineRule="auto"/>
              <w:ind w:left="170"/>
              <w:rPr>
                <w:rFonts w:ascii="Times New Roman" w:hAnsi="Times New Roman" w:eastAsia="Times New Roman" w:cs="Times New Roman"/>
              </w:rPr>
            </w:pPr>
            <w:r>
              <w:rPr>
                <w:rFonts w:ascii="Times New Roman" w:hAnsi="Times New Roman" w:eastAsia="Times New Roman" w:cs="Times New Roman"/>
                <w:spacing w:val="5"/>
              </w:rPr>
              <w:t>110</w:t>
            </w:r>
            <w:r>
              <w:rPr>
                <w:rFonts w:ascii="Times New Roman" w:hAnsi="Times New Roman" w:eastAsia="Times New Roman" w:cs="Times New Roman"/>
              </w:rPr>
              <w:t>kV</w:t>
            </w:r>
            <w:r>
              <w:rPr>
                <w:spacing w:val="5"/>
              </w:rPr>
              <w:t>松山变</w:t>
            </w:r>
            <w:r>
              <w:rPr>
                <w:rFonts w:ascii="Times New Roman" w:hAnsi="Times New Roman" w:eastAsia="Times New Roman" w:cs="Times New Roman"/>
                <w:spacing w:val="5"/>
              </w:rPr>
              <w:t>T</w:t>
            </w:r>
          </w:p>
          <w:p w14:paraId="1E7EA102">
            <w:pPr>
              <w:pStyle w:val="6"/>
              <w:spacing w:before="24" w:line="229" w:lineRule="auto"/>
              <w:ind w:left="164"/>
            </w:pPr>
            <w:r>
              <w:rPr>
                <w:spacing w:val="9"/>
              </w:rPr>
              <w:t>接</w:t>
            </w:r>
            <w:r>
              <w:rPr>
                <w:rFonts w:ascii="Times New Roman" w:hAnsi="Times New Roman" w:eastAsia="Times New Roman" w:cs="Times New Roman"/>
                <w:spacing w:val="9"/>
              </w:rPr>
              <w:t>35</w:t>
            </w:r>
            <w:r>
              <w:rPr>
                <w:rFonts w:ascii="Times New Roman" w:hAnsi="Times New Roman" w:eastAsia="Times New Roman" w:cs="Times New Roman"/>
              </w:rPr>
              <w:t>kV</w:t>
            </w:r>
            <w:r>
              <w:rPr>
                <w:spacing w:val="9"/>
              </w:rPr>
              <w:t>金瑞达</w:t>
            </w:r>
          </w:p>
          <w:p w14:paraId="40095BB7">
            <w:pPr>
              <w:pStyle w:val="6"/>
              <w:spacing w:before="25" w:line="213" w:lineRule="auto"/>
              <w:ind w:left="509"/>
            </w:pPr>
            <w:r>
              <w:rPr>
                <w:spacing w:val="5"/>
              </w:rPr>
              <w:t>瓷业线</w:t>
            </w:r>
          </w:p>
        </w:tc>
        <w:tc>
          <w:tcPr>
            <w:tcW w:w="2150" w:type="dxa"/>
            <w:gridSpan w:val="3"/>
            <w:vAlign w:val="top"/>
          </w:tcPr>
          <w:p w14:paraId="5BE3CCA3">
            <w:pPr>
              <w:spacing w:line="279" w:lineRule="auto"/>
              <w:rPr>
                <w:rFonts w:ascii="Arial"/>
                <w:sz w:val="21"/>
              </w:rPr>
            </w:pPr>
          </w:p>
          <w:p w14:paraId="59DB8A7A">
            <w:pPr>
              <w:spacing w:before="57" w:line="199" w:lineRule="auto"/>
              <w:ind w:left="299"/>
              <w:rPr>
                <w:rFonts w:ascii="Times New Roman" w:hAnsi="Times New Roman" w:eastAsia="Times New Roman" w:cs="Times New Roman"/>
                <w:sz w:val="20"/>
                <w:szCs w:val="20"/>
              </w:rPr>
            </w:pPr>
            <w:r>
              <w:rPr>
                <w:rFonts w:ascii="Times New Roman" w:hAnsi="Times New Roman" w:eastAsia="Times New Roman" w:cs="Times New Roman"/>
                <w:sz w:val="20"/>
                <w:szCs w:val="20"/>
              </w:rPr>
              <w:t>JL</w:t>
            </w:r>
            <w:r>
              <w:rPr>
                <w:rFonts w:ascii="Times New Roman" w:hAnsi="Times New Roman" w:eastAsia="Times New Roman" w:cs="Times New Roman"/>
                <w:spacing w:val="6"/>
                <w:sz w:val="20"/>
                <w:szCs w:val="20"/>
              </w:rPr>
              <w:t>/</w:t>
            </w:r>
            <w:r>
              <w:rPr>
                <w:rFonts w:ascii="Times New Roman" w:hAnsi="Times New Roman" w:eastAsia="Times New Roman" w:cs="Times New Roman"/>
                <w:sz w:val="20"/>
                <w:szCs w:val="20"/>
              </w:rPr>
              <w:t>LB</w:t>
            </w:r>
            <w:r>
              <w:rPr>
                <w:rFonts w:ascii="Times New Roman" w:hAnsi="Times New Roman" w:eastAsia="Times New Roman" w:cs="Times New Roman"/>
                <w:spacing w:val="6"/>
                <w:sz w:val="20"/>
                <w:szCs w:val="20"/>
              </w:rPr>
              <w:t>20A-240/30</w:t>
            </w:r>
          </w:p>
        </w:tc>
        <w:tc>
          <w:tcPr>
            <w:tcW w:w="1286" w:type="dxa"/>
            <w:gridSpan w:val="5"/>
            <w:vAlign w:val="top"/>
          </w:tcPr>
          <w:p w14:paraId="11FA739C">
            <w:pPr>
              <w:spacing w:line="282" w:lineRule="auto"/>
              <w:rPr>
                <w:rFonts w:ascii="Arial"/>
                <w:sz w:val="21"/>
              </w:rPr>
            </w:pPr>
          </w:p>
          <w:p w14:paraId="40D2F50D">
            <w:pPr>
              <w:spacing w:before="58" w:line="195" w:lineRule="auto"/>
              <w:ind w:left="41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0.165</w:t>
            </w:r>
          </w:p>
        </w:tc>
        <w:tc>
          <w:tcPr>
            <w:tcW w:w="1745" w:type="dxa"/>
            <w:gridSpan w:val="2"/>
            <w:vAlign w:val="top"/>
          </w:tcPr>
          <w:p w14:paraId="5C8482CA">
            <w:pPr>
              <w:pStyle w:val="6"/>
              <w:spacing w:before="305" w:line="228" w:lineRule="auto"/>
              <w:ind w:left="361"/>
            </w:pPr>
            <w:r>
              <w:rPr>
                <w:spacing w:val="7"/>
              </w:rPr>
              <w:t>单回路架设</w:t>
            </w:r>
          </w:p>
        </w:tc>
        <w:tc>
          <w:tcPr>
            <w:tcW w:w="124" w:type="dxa"/>
            <w:tcBorders>
              <w:top w:val="nil"/>
              <w:bottom w:val="nil"/>
              <w:right w:val="single" w:color="000000" w:sz="6" w:space="0"/>
            </w:tcBorders>
            <w:vAlign w:val="top"/>
          </w:tcPr>
          <w:p w14:paraId="482700AC">
            <w:pPr>
              <w:rPr>
                <w:rFonts w:ascii="Arial"/>
                <w:sz w:val="21"/>
              </w:rPr>
            </w:pPr>
          </w:p>
        </w:tc>
      </w:tr>
      <w:tr w14:paraId="22020B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375" w:type="dxa"/>
            <w:vMerge w:val="continue"/>
            <w:tcBorders>
              <w:top w:val="nil"/>
              <w:left w:val="single" w:color="000000" w:sz="6" w:space="0"/>
              <w:bottom w:val="nil"/>
              <w:right w:val="single" w:color="000000" w:sz="6" w:space="0"/>
            </w:tcBorders>
            <w:vAlign w:val="top"/>
          </w:tcPr>
          <w:p w14:paraId="689443B7">
            <w:pPr>
              <w:rPr>
                <w:rFonts w:ascii="Arial"/>
                <w:sz w:val="21"/>
              </w:rPr>
            </w:pPr>
          </w:p>
        </w:tc>
        <w:tc>
          <w:tcPr>
            <w:tcW w:w="114" w:type="dxa"/>
            <w:tcBorders>
              <w:top w:val="nil"/>
              <w:left w:val="single" w:color="000000" w:sz="6" w:space="0"/>
              <w:bottom w:val="nil"/>
            </w:tcBorders>
            <w:vAlign w:val="top"/>
          </w:tcPr>
          <w:p w14:paraId="40416F94">
            <w:pPr>
              <w:rPr>
                <w:rFonts w:ascii="Arial"/>
                <w:sz w:val="21"/>
              </w:rPr>
            </w:pPr>
          </w:p>
        </w:tc>
        <w:tc>
          <w:tcPr>
            <w:tcW w:w="1092" w:type="dxa"/>
            <w:gridSpan w:val="3"/>
            <w:vMerge w:val="restart"/>
            <w:tcBorders>
              <w:bottom w:val="nil"/>
            </w:tcBorders>
            <w:vAlign w:val="top"/>
          </w:tcPr>
          <w:p w14:paraId="0D54C11D">
            <w:pPr>
              <w:spacing w:line="248" w:lineRule="auto"/>
              <w:rPr>
                <w:rFonts w:ascii="Arial"/>
                <w:sz w:val="21"/>
              </w:rPr>
            </w:pPr>
          </w:p>
          <w:p w14:paraId="347FA896">
            <w:pPr>
              <w:spacing w:line="248" w:lineRule="auto"/>
              <w:rPr>
                <w:rFonts w:ascii="Arial"/>
                <w:sz w:val="21"/>
              </w:rPr>
            </w:pPr>
          </w:p>
          <w:p w14:paraId="67066CDE">
            <w:pPr>
              <w:spacing w:line="248" w:lineRule="auto"/>
              <w:rPr>
                <w:rFonts w:ascii="Arial"/>
                <w:sz w:val="21"/>
              </w:rPr>
            </w:pPr>
          </w:p>
          <w:p w14:paraId="2CF9DE0E">
            <w:pPr>
              <w:spacing w:line="249" w:lineRule="auto"/>
              <w:rPr>
                <w:rFonts w:ascii="Arial"/>
                <w:sz w:val="21"/>
              </w:rPr>
            </w:pPr>
          </w:p>
          <w:p w14:paraId="7C1FF084">
            <w:pPr>
              <w:spacing w:line="249" w:lineRule="auto"/>
              <w:rPr>
                <w:rFonts w:ascii="Arial"/>
                <w:sz w:val="21"/>
              </w:rPr>
            </w:pPr>
          </w:p>
          <w:p w14:paraId="7D23A840">
            <w:pPr>
              <w:spacing w:line="249" w:lineRule="auto"/>
              <w:rPr>
                <w:rFonts w:ascii="Arial"/>
                <w:sz w:val="21"/>
              </w:rPr>
            </w:pPr>
          </w:p>
          <w:p w14:paraId="28983B8E">
            <w:pPr>
              <w:spacing w:line="249" w:lineRule="auto"/>
              <w:rPr>
                <w:rFonts w:ascii="Arial"/>
                <w:sz w:val="21"/>
              </w:rPr>
            </w:pPr>
          </w:p>
          <w:p w14:paraId="5E0BAE11">
            <w:pPr>
              <w:spacing w:line="249" w:lineRule="auto"/>
              <w:rPr>
                <w:rFonts w:ascii="Arial"/>
                <w:sz w:val="21"/>
              </w:rPr>
            </w:pPr>
          </w:p>
          <w:p w14:paraId="40E4D60C">
            <w:pPr>
              <w:spacing w:line="249" w:lineRule="auto"/>
              <w:rPr>
                <w:rFonts w:ascii="Arial"/>
                <w:sz w:val="21"/>
              </w:rPr>
            </w:pPr>
          </w:p>
          <w:p w14:paraId="7F5A4A22">
            <w:pPr>
              <w:spacing w:line="249" w:lineRule="auto"/>
              <w:rPr>
                <w:rFonts w:ascii="Arial"/>
                <w:sz w:val="21"/>
              </w:rPr>
            </w:pPr>
          </w:p>
          <w:p w14:paraId="46AE363A">
            <w:pPr>
              <w:spacing w:before="57" w:line="199" w:lineRule="auto"/>
              <w:ind w:left="12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10kV</w:t>
            </w:r>
          </w:p>
        </w:tc>
        <w:tc>
          <w:tcPr>
            <w:tcW w:w="1638" w:type="dxa"/>
            <w:gridSpan w:val="3"/>
            <w:vAlign w:val="top"/>
          </w:tcPr>
          <w:p w14:paraId="114D5AEF">
            <w:pPr>
              <w:pStyle w:val="6"/>
              <w:spacing w:before="38" w:line="228" w:lineRule="auto"/>
              <w:ind w:left="717" w:right="133" w:hanging="569"/>
            </w:pPr>
            <w:r>
              <w:rPr>
                <w:rFonts w:ascii="Times New Roman" w:hAnsi="Times New Roman" w:eastAsia="Times New Roman" w:cs="Times New Roman"/>
                <w:spacing w:val="5"/>
              </w:rPr>
              <w:t>10</w:t>
            </w:r>
            <w:r>
              <w:rPr>
                <w:rFonts w:ascii="Times New Roman" w:hAnsi="Times New Roman" w:eastAsia="Times New Roman" w:cs="Times New Roman"/>
              </w:rPr>
              <w:t>kV</w:t>
            </w:r>
            <w:r>
              <w:rPr>
                <w:spacing w:val="5"/>
              </w:rPr>
              <w:t>松山变</w:t>
            </w:r>
            <w:r>
              <w:rPr>
                <w:rFonts w:ascii="Times New Roman" w:hAnsi="Times New Roman" w:eastAsia="Times New Roman" w:cs="Times New Roman"/>
                <w:spacing w:val="5"/>
              </w:rPr>
              <w:t>Ⅰ</w:t>
            </w:r>
            <w:r>
              <w:rPr>
                <w:spacing w:val="5"/>
              </w:rPr>
              <w:t>回</w:t>
            </w:r>
            <w:r>
              <w:t>线</w:t>
            </w:r>
          </w:p>
        </w:tc>
        <w:tc>
          <w:tcPr>
            <w:tcW w:w="2150" w:type="dxa"/>
            <w:gridSpan w:val="3"/>
            <w:vAlign w:val="top"/>
          </w:tcPr>
          <w:p w14:paraId="6614A865">
            <w:pPr>
              <w:spacing w:before="203" w:line="199" w:lineRule="auto"/>
              <w:ind w:left="235"/>
              <w:rPr>
                <w:rFonts w:ascii="Times New Roman" w:hAnsi="Times New Roman" w:eastAsia="Times New Roman" w:cs="Times New Roman"/>
                <w:sz w:val="20"/>
                <w:szCs w:val="20"/>
              </w:rPr>
            </w:pPr>
            <w:r>
              <w:rPr>
                <w:rFonts w:ascii="Times New Roman" w:hAnsi="Times New Roman" w:eastAsia="Times New Roman" w:cs="Times New Roman"/>
                <w:sz w:val="20"/>
                <w:szCs w:val="20"/>
              </w:rPr>
              <w:t>JKLGYJ</w:t>
            </w:r>
            <w:r>
              <w:rPr>
                <w:rFonts w:ascii="Times New Roman" w:hAnsi="Times New Roman" w:eastAsia="Times New Roman" w:cs="Times New Roman"/>
                <w:spacing w:val="5"/>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5"/>
                <w:sz w:val="20"/>
                <w:szCs w:val="20"/>
              </w:rPr>
              <w:t>10-240/30</w:t>
            </w:r>
          </w:p>
        </w:tc>
        <w:tc>
          <w:tcPr>
            <w:tcW w:w="1286" w:type="dxa"/>
            <w:gridSpan w:val="5"/>
            <w:vAlign w:val="top"/>
          </w:tcPr>
          <w:p w14:paraId="7108F0BA">
            <w:pPr>
              <w:spacing w:before="207" w:line="195" w:lineRule="auto"/>
              <w:ind w:left="43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1.862</w:t>
            </w:r>
          </w:p>
        </w:tc>
        <w:tc>
          <w:tcPr>
            <w:tcW w:w="1745" w:type="dxa"/>
            <w:gridSpan w:val="2"/>
            <w:vAlign w:val="top"/>
          </w:tcPr>
          <w:p w14:paraId="16508C61">
            <w:pPr>
              <w:pStyle w:val="6"/>
              <w:spacing w:before="38" w:line="228" w:lineRule="auto"/>
              <w:ind w:left="465" w:right="130" w:hanging="315"/>
            </w:pPr>
            <w:r>
              <w:rPr>
                <w:spacing w:val="8"/>
              </w:rPr>
              <w:t>单、双、四回路</w:t>
            </w:r>
            <w:r>
              <w:rPr>
                <w:spacing w:val="6"/>
              </w:rPr>
              <w:t>混合架设</w:t>
            </w:r>
          </w:p>
        </w:tc>
        <w:tc>
          <w:tcPr>
            <w:tcW w:w="124" w:type="dxa"/>
            <w:tcBorders>
              <w:top w:val="nil"/>
              <w:bottom w:val="nil"/>
              <w:right w:val="single" w:color="000000" w:sz="6" w:space="0"/>
            </w:tcBorders>
            <w:vAlign w:val="top"/>
          </w:tcPr>
          <w:p w14:paraId="70CCBD70">
            <w:pPr>
              <w:rPr>
                <w:rFonts w:ascii="Arial"/>
                <w:sz w:val="21"/>
              </w:rPr>
            </w:pPr>
          </w:p>
        </w:tc>
      </w:tr>
      <w:tr w14:paraId="221A5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375" w:type="dxa"/>
            <w:vMerge w:val="continue"/>
            <w:tcBorders>
              <w:top w:val="nil"/>
              <w:left w:val="single" w:color="000000" w:sz="6" w:space="0"/>
              <w:bottom w:val="nil"/>
              <w:right w:val="single" w:color="000000" w:sz="6" w:space="0"/>
            </w:tcBorders>
            <w:vAlign w:val="top"/>
          </w:tcPr>
          <w:p w14:paraId="306B86CE">
            <w:pPr>
              <w:rPr>
                <w:rFonts w:ascii="Arial"/>
                <w:sz w:val="21"/>
              </w:rPr>
            </w:pPr>
          </w:p>
        </w:tc>
        <w:tc>
          <w:tcPr>
            <w:tcW w:w="114" w:type="dxa"/>
            <w:tcBorders>
              <w:top w:val="nil"/>
              <w:left w:val="single" w:color="000000" w:sz="6" w:space="0"/>
              <w:bottom w:val="nil"/>
            </w:tcBorders>
            <w:vAlign w:val="top"/>
          </w:tcPr>
          <w:p w14:paraId="76BA5268">
            <w:pPr>
              <w:rPr>
                <w:rFonts w:ascii="Arial"/>
                <w:sz w:val="21"/>
              </w:rPr>
            </w:pPr>
          </w:p>
        </w:tc>
        <w:tc>
          <w:tcPr>
            <w:tcW w:w="1092" w:type="dxa"/>
            <w:gridSpan w:val="3"/>
            <w:vMerge w:val="continue"/>
            <w:tcBorders>
              <w:top w:val="nil"/>
              <w:bottom w:val="nil"/>
            </w:tcBorders>
            <w:vAlign w:val="top"/>
          </w:tcPr>
          <w:p w14:paraId="6DC915F0">
            <w:pPr>
              <w:rPr>
                <w:rFonts w:ascii="Arial"/>
                <w:sz w:val="21"/>
              </w:rPr>
            </w:pPr>
          </w:p>
        </w:tc>
        <w:tc>
          <w:tcPr>
            <w:tcW w:w="1638" w:type="dxa"/>
            <w:gridSpan w:val="3"/>
            <w:vAlign w:val="top"/>
          </w:tcPr>
          <w:p w14:paraId="038FA4D3">
            <w:pPr>
              <w:pStyle w:val="6"/>
              <w:spacing w:before="44" w:line="230" w:lineRule="auto"/>
              <w:ind w:left="629" w:right="207" w:hanging="409"/>
            </w:pPr>
            <w:r>
              <w:rPr>
                <w:rFonts w:ascii="Times New Roman" w:hAnsi="Times New Roman" w:eastAsia="Times New Roman" w:cs="Times New Roman"/>
                <w:spacing w:val="5"/>
              </w:rPr>
              <w:t>10</w:t>
            </w:r>
            <w:r>
              <w:rPr>
                <w:rFonts w:ascii="Times New Roman" w:hAnsi="Times New Roman" w:eastAsia="Times New Roman" w:cs="Times New Roman"/>
              </w:rPr>
              <w:t>kV</w:t>
            </w:r>
            <w:r>
              <w:rPr>
                <w:spacing w:val="5"/>
              </w:rPr>
              <w:t>松山变</w:t>
            </w:r>
            <w:r>
              <w:rPr>
                <w:rFonts w:ascii="Times New Roman" w:hAnsi="Times New Roman" w:eastAsia="Times New Roman" w:cs="Times New Roman"/>
                <w:spacing w:val="5"/>
              </w:rPr>
              <w:t>Ⅱ</w:t>
            </w:r>
            <w:r>
              <w:rPr>
                <w:spacing w:val="-6"/>
              </w:rPr>
              <w:t>回线</w:t>
            </w:r>
          </w:p>
        </w:tc>
        <w:tc>
          <w:tcPr>
            <w:tcW w:w="2150" w:type="dxa"/>
            <w:gridSpan w:val="3"/>
            <w:vAlign w:val="top"/>
          </w:tcPr>
          <w:p w14:paraId="56920488">
            <w:pPr>
              <w:spacing w:before="210" w:line="199" w:lineRule="auto"/>
              <w:ind w:left="235"/>
              <w:rPr>
                <w:rFonts w:ascii="Times New Roman" w:hAnsi="Times New Roman" w:eastAsia="Times New Roman" w:cs="Times New Roman"/>
                <w:sz w:val="20"/>
                <w:szCs w:val="20"/>
              </w:rPr>
            </w:pPr>
            <w:r>
              <w:rPr>
                <w:rFonts w:ascii="Times New Roman" w:hAnsi="Times New Roman" w:eastAsia="Times New Roman" w:cs="Times New Roman"/>
                <w:sz w:val="20"/>
                <w:szCs w:val="20"/>
              </w:rPr>
              <w:t>JKLGYJ</w:t>
            </w:r>
            <w:r>
              <w:rPr>
                <w:rFonts w:ascii="Times New Roman" w:hAnsi="Times New Roman" w:eastAsia="Times New Roman" w:cs="Times New Roman"/>
                <w:spacing w:val="5"/>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5"/>
                <w:sz w:val="20"/>
                <w:szCs w:val="20"/>
              </w:rPr>
              <w:t>10-240/30</w:t>
            </w:r>
          </w:p>
        </w:tc>
        <w:tc>
          <w:tcPr>
            <w:tcW w:w="1286" w:type="dxa"/>
            <w:gridSpan w:val="5"/>
            <w:vAlign w:val="top"/>
          </w:tcPr>
          <w:p w14:paraId="5A06C65B">
            <w:pPr>
              <w:spacing w:before="214" w:line="195" w:lineRule="auto"/>
              <w:ind w:left="48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1.74</w:t>
            </w:r>
          </w:p>
        </w:tc>
        <w:tc>
          <w:tcPr>
            <w:tcW w:w="1745" w:type="dxa"/>
            <w:gridSpan w:val="2"/>
            <w:vAlign w:val="top"/>
          </w:tcPr>
          <w:p w14:paraId="6CF69A36">
            <w:pPr>
              <w:pStyle w:val="6"/>
              <w:spacing w:before="44" w:line="230" w:lineRule="auto"/>
              <w:ind w:left="465" w:right="130" w:hanging="315"/>
            </w:pPr>
            <w:r>
              <w:rPr>
                <w:spacing w:val="8"/>
              </w:rPr>
              <w:t>单、双、四回路</w:t>
            </w:r>
            <w:r>
              <w:rPr>
                <w:spacing w:val="6"/>
              </w:rPr>
              <w:t>混合架设</w:t>
            </w:r>
          </w:p>
        </w:tc>
        <w:tc>
          <w:tcPr>
            <w:tcW w:w="124" w:type="dxa"/>
            <w:tcBorders>
              <w:top w:val="nil"/>
              <w:bottom w:val="nil"/>
              <w:right w:val="single" w:color="000000" w:sz="6" w:space="0"/>
            </w:tcBorders>
            <w:vAlign w:val="top"/>
          </w:tcPr>
          <w:p w14:paraId="3C6E9C78">
            <w:pPr>
              <w:rPr>
                <w:rFonts w:ascii="Arial"/>
                <w:sz w:val="21"/>
              </w:rPr>
            </w:pPr>
          </w:p>
        </w:tc>
      </w:tr>
      <w:tr w14:paraId="4D0DF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375" w:type="dxa"/>
            <w:vMerge w:val="continue"/>
            <w:tcBorders>
              <w:top w:val="nil"/>
              <w:left w:val="single" w:color="000000" w:sz="6" w:space="0"/>
              <w:bottom w:val="nil"/>
              <w:right w:val="single" w:color="000000" w:sz="6" w:space="0"/>
            </w:tcBorders>
            <w:vAlign w:val="top"/>
          </w:tcPr>
          <w:p w14:paraId="4FF04DF5">
            <w:pPr>
              <w:rPr>
                <w:rFonts w:ascii="Arial"/>
                <w:sz w:val="21"/>
              </w:rPr>
            </w:pPr>
          </w:p>
        </w:tc>
        <w:tc>
          <w:tcPr>
            <w:tcW w:w="114" w:type="dxa"/>
            <w:tcBorders>
              <w:top w:val="nil"/>
              <w:left w:val="single" w:color="000000" w:sz="6" w:space="0"/>
              <w:bottom w:val="nil"/>
            </w:tcBorders>
            <w:vAlign w:val="top"/>
          </w:tcPr>
          <w:p w14:paraId="633E2DAE">
            <w:pPr>
              <w:rPr>
                <w:rFonts w:ascii="Arial"/>
                <w:sz w:val="21"/>
              </w:rPr>
            </w:pPr>
          </w:p>
        </w:tc>
        <w:tc>
          <w:tcPr>
            <w:tcW w:w="1092" w:type="dxa"/>
            <w:gridSpan w:val="3"/>
            <w:vMerge w:val="continue"/>
            <w:tcBorders>
              <w:top w:val="nil"/>
              <w:bottom w:val="nil"/>
            </w:tcBorders>
            <w:vAlign w:val="top"/>
          </w:tcPr>
          <w:p w14:paraId="532459E7">
            <w:pPr>
              <w:rPr>
                <w:rFonts w:ascii="Arial"/>
                <w:sz w:val="21"/>
              </w:rPr>
            </w:pPr>
          </w:p>
        </w:tc>
        <w:tc>
          <w:tcPr>
            <w:tcW w:w="1638" w:type="dxa"/>
            <w:gridSpan w:val="3"/>
            <w:vAlign w:val="top"/>
          </w:tcPr>
          <w:p w14:paraId="377ABD1F">
            <w:pPr>
              <w:pStyle w:val="6"/>
              <w:spacing w:before="40" w:line="229" w:lineRule="auto"/>
              <w:ind w:left="629" w:right="173" w:hanging="443"/>
            </w:pPr>
            <w:r>
              <w:rPr>
                <w:rFonts w:ascii="Times New Roman" w:hAnsi="Times New Roman" w:eastAsia="Times New Roman" w:cs="Times New Roman"/>
                <w:spacing w:val="6"/>
              </w:rPr>
              <w:t>10</w:t>
            </w:r>
            <w:r>
              <w:rPr>
                <w:rFonts w:ascii="Times New Roman" w:hAnsi="Times New Roman" w:eastAsia="Times New Roman" w:cs="Times New Roman"/>
              </w:rPr>
              <w:t>kV</w:t>
            </w:r>
            <w:r>
              <w:rPr>
                <w:spacing w:val="6"/>
              </w:rPr>
              <w:t>松山变</w:t>
            </w:r>
            <w:r>
              <w:rPr>
                <w:rFonts w:ascii="Times New Roman" w:hAnsi="Times New Roman" w:eastAsia="Times New Roman" w:cs="Times New Roman"/>
                <w:spacing w:val="6"/>
              </w:rPr>
              <w:t>Ⅲ</w:t>
            </w:r>
            <w:r>
              <w:rPr>
                <w:spacing w:val="-6"/>
              </w:rPr>
              <w:t>回线</w:t>
            </w:r>
          </w:p>
        </w:tc>
        <w:tc>
          <w:tcPr>
            <w:tcW w:w="2150" w:type="dxa"/>
            <w:gridSpan w:val="3"/>
            <w:vAlign w:val="top"/>
          </w:tcPr>
          <w:p w14:paraId="4BEB3AAC">
            <w:pPr>
              <w:spacing w:before="207" w:line="199" w:lineRule="auto"/>
              <w:ind w:left="235"/>
              <w:rPr>
                <w:rFonts w:ascii="Times New Roman" w:hAnsi="Times New Roman" w:eastAsia="Times New Roman" w:cs="Times New Roman"/>
                <w:sz w:val="20"/>
                <w:szCs w:val="20"/>
              </w:rPr>
            </w:pPr>
            <w:r>
              <w:rPr>
                <w:rFonts w:ascii="Times New Roman" w:hAnsi="Times New Roman" w:eastAsia="Times New Roman" w:cs="Times New Roman"/>
                <w:sz w:val="20"/>
                <w:szCs w:val="20"/>
              </w:rPr>
              <w:t>JKLGYJ</w:t>
            </w:r>
            <w:r>
              <w:rPr>
                <w:rFonts w:ascii="Times New Roman" w:hAnsi="Times New Roman" w:eastAsia="Times New Roman" w:cs="Times New Roman"/>
                <w:spacing w:val="5"/>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5"/>
                <w:sz w:val="20"/>
                <w:szCs w:val="20"/>
              </w:rPr>
              <w:t>10-240/30</w:t>
            </w:r>
          </w:p>
        </w:tc>
        <w:tc>
          <w:tcPr>
            <w:tcW w:w="1286" w:type="dxa"/>
            <w:gridSpan w:val="5"/>
            <w:vAlign w:val="top"/>
          </w:tcPr>
          <w:p w14:paraId="07BDF3D0">
            <w:pPr>
              <w:spacing w:before="211" w:line="195" w:lineRule="auto"/>
              <w:ind w:left="46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0.72</w:t>
            </w:r>
          </w:p>
        </w:tc>
        <w:tc>
          <w:tcPr>
            <w:tcW w:w="1745" w:type="dxa"/>
            <w:gridSpan w:val="2"/>
            <w:vAlign w:val="top"/>
          </w:tcPr>
          <w:p w14:paraId="67E1AF65">
            <w:pPr>
              <w:pStyle w:val="6"/>
              <w:spacing w:before="40" w:line="229" w:lineRule="auto"/>
              <w:ind w:left="674" w:right="130" w:hanging="524"/>
            </w:pPr>
            <w:r>
              <w:rPr>
                <w:spacing w:val="8"/>
              </w:rPr>
              <w:t>单、四回路混合</w:t>
            </w:r>
            <w:r>
              <w:rPr>
                <w:spacing w:val="4"/>
              </w:rPr>
              <w:t>架设</w:t>
            </w:r>
          </w:p>
        </w:tc>
        <w:tc>
          <w:tcPr>
            <w:tcW w:w="124" w:type="dxa"/>
            <w:tcBorders>
              <w:top w:val="nil"/>
              <w:bottom w:val="nil"/>
              <w:right w:val="single" w:color="000000" w:sz="6" w:space="0"/>
            </w:tcBorders>
            <w:vAlign w:val="top"/>
          </w:tcPr>
          <w:p w14:paraId="63B39EA8">
            <w:pPr>
              <w:rPr>
                <w:rFonts w:ascii="Arial"/>
                <w:sz w:val="21"/>
              </w:rPr>
            </w:pPr>
          </w:p>
        </w:tc>
      </w:tr>
      <w:tr w14:paraId="7413AB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375" w:type="dxa"/>
            <w:vMerge w:val="continue"/>
            <w:tcBorders>
              <w:top w:val="nil"/>
              <w:left w:val="single" w:color="000000" w:sz="6" w:space="0"/>
              <w:bottom w:val="nil"/>
              <w:right w:val="single" w:color="000000" w:sz="6" w:space="0"/>
            </w:tcBorders>
            <w:vAlign w:val="top"/>
          </w:tcPr>
          <w:p w14:paraId="55AD4311">
            <w:pPr>
              <w:rPr>
                <w:rFonts w:ascii="Arial"/>
                <w:sz w:val="21"/>
              </w:rPr>
            </w:pPr>
          </w:p>
        </w:tc>
        <w:tc>
          <w:tcPr>
            <w:tcW w:w="114" w:type="dxa"/>
            <w:tcBorders>
              <w:top w:val="nil"/>
              <w:left w:val="single" w:color="000000" w:sz="6" w:space="0"/>
              <w:bottom w:val="nil"/>
            </w:tcBorders>
            <w:vAlign w:val="top"/>
          </w:tcPr>
          <w:p w14:paraId="59D38498">
            <w:pPr>
              <w:rPr>
                <w:rFonts w:ascii="Arial"/>
                <w:sz w:val="21"/>
              </w:rPr>
            </w:pPr>
          </w:p>
        </w:tc>
        <w:tc>
          <w:tcPr>
            <w:tcW w:w="1092" w:type="dxa"/>
            <w:gridSpan w:val="3"/>
            <w:vMerge w:val="continue"/>
            <w:tcBorders>
              <w:top w:val="nil"/>
              <w:bottom w:val="nil"/>
            </w:tcBorders>
            <w:vAlign w:val="top"/>
          </w:tcPr>
          <w:p w14:paraId="2591765D">
            <w:pPr>
              <w:rPr>
                <w:rFonts w:ascii="Arial"/>
                <w:sz w:val="21"/>
              </w:rPr>
            </w:pPr>
          </w:p>
        </w:tc>
        <w:tc>
          <w:tcPr>
            <w:tcW w:w="1638" w:type="dxa"/>
            <w:gridSpan w:val="3"/>
            <w:vAlign w:val="top"/>
          </w:tcPr>
          <w:p w14:paraId="5699058E">
            <w:pPr>
              <w:pStyle w:val="6"/>
              <w:spacing w:before="180" w:line="252" w:lineRule="auto"/>
              <w:ind w:left="629" w:right="163" w:hanging="452"/>
            </w:pPr>
            <w:r>
              <w:rPr>
                <w:rFonts w:ascii="Times New Roman" w:hAnsi="Times New Roman" w:eastAsia="Times New Roman" w:cs="Times New Roman"/>
                <w:spacing w:val="6"/>
              </w:rPr>
              <w:t>10</w:t>
            </w:r>
            <w:r>
              <w:rPr>
                <w:rFonts w:ascii="Times New Roman" w:hAnsi="Times New Roman" w:eastAsia="Times New Roman" w:cs="Times New Roman"/>
              </w:rPr>
              <w:t>kV</w:t>
            </w:r>
            <w:r>
              <w:rPr>
                <w:spacing w:val="6"/>
              </w:rPr>
              <w:t>松山变</w:t>
            </w:r>
            <w:r>
              <w:rPr>
                <w:rFonts w:ascii="Times New Roman" w:hAnsi="Times New Roman" w:eastAsia="Times New Roman" w:cs="Times New Roman"/>
                <w:spacing w:val="6"/>
              </w:rPr>
              <w:t>Ⅳ</w:t>
            </w:r>
            <w:r>
              <w:rPr>
                <w:spacing w:val="-6"/>
              </w:rPr>
              <w:t>回线</w:t>
            </w:r>
          </w:p>
        </w:tc>
        <w:tc>
          <w:tcPr>
            <w:tcW w:w="2150" w:type="dxa"/>
            <w:gridSpan w:val="3"/>
            <w:vAlign w:val="top"/>
          </w:tcPr>
          <w:p w14:paraId="2111D213">
            <w:pPr>
              <w:pStyle w:val="6"/>
              <w:spacing w:before="107" w:line="189" w:lineRule="auto"/>
              <w:ind w:left="131"/>
            </w:pPr>
            <w:r>
              <w:rPr>
                <w:rFonts w:ascii="Times New Roman" w:hAnsi="Times New Roman" w:eastAsia="Times New Roman" w:cs="Times New Roman"/>
              </w:rPr>
              <w:t>JKLGYJ</w:t>
            </w:r>
            <w:r>
              <w:rPr>
                <w:rFonts w:ascii="Times New Roman" w:hAnsi="Times New Roman" w:eastAsia="Times New Roman" w:cs="Times New Roman"/>
                <w:spacing w:val="4"/>
              </w:rPr>
              <w:t>-</w:t>
            </w:r>
            <w:r>
              <w:rPr>
                <w:rFonts w:ascii="Times New Roman" w:hAnsi="Times New Roman" w:eastAsia="Times New Roman" w:cs="Times New Roman"/>
                <w:spacing w:val="-21"/>
              </w:rPr>
              <w:t xml:space="preserve"> </w:t>
            </w:r>
            <w:r>
              <w:rPr>
                <w:rFonts w:ascii="Times New Roman" w:hAnsi="Times New Roman" w:eastAsia="Times New Roman" w:cs="Times New Roman"/>
                <w:spacing w:val="4"/>
              </w:rPr>
              <w:t>10-240/30</w:t>
            </w:r>
            <w:r>
              <w:rPr>
                <w:spacing w:val="4"/>
              </w:rPr>
              <w:t>、</w:t>
            </w:r>
          </w:p>
          <w:p w14:paraId="514AB5F4">
            <w:pPr>
              <w:spacing w:before="51" w:line="199" w:lineRule="auto"/>
              <w:ind w:left="114"/>
              <w:rPr>
                <w:rFonts w:ascii="Times New Roman" w:hAnsi="Times New Roman" w:eastAsia="Times New Roman" w:cs="Times New Roman"/>
                <w:sz w:val="20"/>
                <w:szCs w:val="20"/>
              </w:rPr>
            </w:pPr>
            <w:r>
              <w:rPr>
                <w:rFonts w:ascii="Times New Roman" w:hAnsi="Times New Roman" w:eastAsia="Times New Roman" w:cs="Times New Roman"/>
                <w:sz w:val="20"/>
                <w:szCs w:val="20"/>
              </w:rPr>
              <w:t>FYZA</w:t>
            </w:r>
            <w:r>
              <w:rPr>
                <w:rFonts w:ascii="Times New Roman" w:hAnsi="Times New Roman" w:eastAsia="Times New Roman" w:cs="Times New Roman"/>
                <w:spacing w:val="8"/>
                <w:sz w:val="20"/>
                <w:szCs w:val="20"/>
              </w:rPr>
              <w:t>-</w:t>
            </w:r>
            <w:r>
              <w:rPr>
                <w:rFonts w:ascii="Times New Roman" w:hAnsi="Times New Roman" w:eastAsia="Times New Roman" w:cs="Times New Roman"/>
                <w:sz w:val="20"/>
                <w:szCs w:val="20"/>
              </w:rPr>
              <w:t>YJY</w:t>
            </w:r>
            <w:r>
              <w:rPr>
                <w:rFonts w:ascii="Times New Roman" w:hAnsi="Times New Roman" w:eastAsia="Times New Roman" w:cs="Times New Roman"/>
                <w:spacing w:val="8"/>
                <w:sz w:val="20"/>
                <w:szCs w:val="20"/>
              </w:rPr>
              <w:t>22-8.7/15k</w:t>
            </w:r>
          </w:p>
          <w:p w14:paraId="379A86D7">
            <w:pPr>
              <w:spacing w:before="53" w:line="195" w:lineRule="auto"/>
              <w:ind w:left="69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V-3×400</w:t>
            </w:r>
          </w:p>
        </w:tc>
        <w:tc>
          <w:tcPr>
            <w:tcW w:w="1286" w:type="dxa"/>
            <w:gridSpan w:val="5"/>
            <w:vAlign w:val="top"/>
          </w:tcPr>
          <w:p w14:paraId="6C3E9C93">
            <w:pPr>
              <w:pStyle w:val="6"/>
              <w:spacing w:before="41" w:line="237" w:lineRule="auto"/>
              <w:ind w:left="152" w:right="131" w:firstLine="69"/>
              <w:jc w:val="both"/>
            </w:pPr>
            <w:r>
              <w:rPr>
                <w:rFonts w:ascii="Times New Roman" w:hAnsi="Times New Roman" w:eastAsia="Times New Roman" w:cs="Times New Roman"/>
                <w:spacing w:val="1"/>
              </w:rPr>
              <w:t>1.978</w:t>
            </w:r>
            <w:r>
              <w:rPr>
                <w:spacing w:val="1"/>
              </w:rPr>
              <w:t>（架</w:t>
            </w:r>
            <w:r>
              <w:rPr>
                <w:spacing w:val="4"/>
              </w:rPr>
              <w:t>空）</w:t>
            </w:r>
            <w:r>
              <w:rPr>
                <w:rFonts w:ascii="Times New Roman" w:hAnsi="Times New Roman" w:eastAsia="Times New Roman" w:cs="Times New Roman"/>
                <w:spacing w:val="4"/>
              </w:rPr>
              <w:t>+0.042</w:t>
            </w:r>
            <w:r>
              <w:rPr>
                <w:rFonts w:ascii="Times New Roman" w:hAnsi="Times New Roman" w:eastAsia="Times New Roman" w:cs="Times New Roman"/>
                <w:spacing w:val="1"/>
              </w:rPr>
              <w:t xml:space="preserve"> </w:t>
            </w:r>
            <w:r>
              <w:rPr>
                <w:spacing w:val="24"/>
              </w:rPr>
              <w:t>（电缆）</w:t>
            </w:r>
          </w:p>
        </w:tc>
        <w:tc>
          <w:tcPr>
            <w:tcW w:w="1745" w:type="dxa"/>
            <w:gridSpan w:val="2"/>
            <w:vAlign w:val="top"/>
          </w:tcPr>
          <w:p w14:paraId="69F276EA">
            <w:pPr>
              <w:pStyle w:val="6"/>
              <w:spacing w:before="43" w:line="227" w:lineRule="auto"/>
              <w:ind w:left="254"/>
            </w:pPr>
            <w:r>
              <w:rPr>
                <w:spacing w:val="8"/>
              </w:rPr>
              <w:t>架空线路采用</w:t>
            </w:r>
          </w:p>
          <w:p w14:paraId="725AFA53">
            <w:pPr>
              <w:pStyle w:val="6"/>
              <w:spacing w:before="24" w:line="228" w:lineRule="auto"/>
              <w:ind w:left="150"/>
            </w:pPr>
            <w:r>
              <w:rPr>
                <w:spacing w:val="8"/>
              </w:rPr>
              <w:t>单、双、四回路</w:t>
            </w:r>
          </w:p>
          <w:p w14:paraId="77BB15BA">
            <w:pPr>
              <w:pStyle w:val="6"/>
              <w:spacing w:before="26" w:line="207" w:lineRule="auto"/>
              <w:ind w:left="362"/>
            </w:pPr>
            <w:r>
              <w:rPr>
                <w:spacing w:val="5"/>
              </w:rPr>
              <w:t>混合架设。</w:t>
            </w:r>
          </w:p>
        </w:tc>
        <w:tc>
          <w:tcPr>
            <w:tcW w:w="124" w:type="dxa"/>
            <w:tcBorders>
              <w:top w:val="nil"/>
              <w:bottom w:val="nil"/>
              <w:right w:val="single" w:color="000000" w:sz="6" w:space="0"/>
            </w:tcBorders>
            <w:vAlign w:val="top"/>
          </w:tcPr>
          <w:p w14:paraId="777F8C14">
            <w:pPr>
              <w:rPr>
                <w:rFonts w:ascii="Arial"/>
                <w:sz w:val="21"/>
              </w:rPr>
            </w:pPr>
          </w:p>
        </w:tc>
      </w:tr>
      <w:tr w14:paraId="0BF83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375" w:type="dxa"/>
            <w:vMerge w:val="continue"/>
            <w:tcBorders>
              <w:top w:val="nil"/>
              <w:left w:val="single" w:color="000000" w:sz="6" w:space="0"/>
              <w:bottom w:val="nil"/>
              <w:right w:val="single" w:color="000000" w:sz="6" w:space="0"/>
            </w:tcBorders>
            <w:vAlign w:val="top"/>
          </w:tcPr>
          <w:p w14:paraId="1D34C98E">
            <w:pPr>
              <w:rPr>
                <w:rFonts w:ascii="Arial"/>
                <w:sz w:val="21"/>
              </w:rPr>
            </w:pPr>
          </w:p>
        </w:tc>
        <w:tc>
          <w:tcPr>
            <w:tcW w:w="114" w:type="dxa"/>
            <w:tcBorders>
              <w:top w:val="nil"/>
              <w:left w:val="single" w:color="000000" w:sz="6" w:space="0"/>
              <w:bottom w:val="nil"/>
            </w:tcBorders>
            <w:vAlign w:val="top"/>
          </w:tcPr>
          <w:p w14:paraId="0617E18F">
            <w:pPr>
              <w:rPr>
                <w:rFonts w:ascii="Arial"/>
                <w:sz w:val="21"/>
              </w:rPr>
            </w:pPr>
          </w:p>
        </w:tc>
        <w:tc>
          <w:tcPr>
            <w:tcW w:w="1092" w:type="dxa"/>
            <w:gridSpan w:val="3"/>
            <w:vMerge w:val="continue"/>
            <w:tcBorders>
              <w:top w:val="nil"/>
              <w:bottom w:val="nil"/>
            </w:tcBorders>
            <w:vAlign w:val="top"/>
          </w:tcPr>
          <w:p w14:paraId="045ED6FF">
            <w:pPr>
              <w:rPr>
                <w:rFonts w:ascii="Arial"/>
                <w:sz w:val="21"/>
              </w:rPr>
            </w:pPr>
          </w:p>
        </w:tc>
        <w:tc>
          <w:tcPr>
            <w:tcW w:w="1638" w:type="dxa"/>
            <w:gridSpan w:val="3"/>
            <w:vAlign w:val="top"/>
          </w:tcPr>
          <w:p w14:paraId="629ADF61">
            <w:pPr>
              <w:pStyle w:val="6"/>
              <w:spacing w:before="45" w:line="227" w:lineRule="auto"/>
              <w:ind w:left="629" w:right="198" w:hanging="419"/>
            </w:pPr>
            <w:r>
              <w:rPr>
                <w:rFonts w:ascii="Times New Roman" w:hAnsi="Times New Roman" w:eastAsia="Times New Roman" w:cs="Times New Roman"/>
                <w:spacing w:val="5"/>
              </w:rPr>
              <w:t>10</w:t>
            </w:r>
            <w:r>
              <w:rPr>
                <w:rFonts w:ascii="Times New Roman" w:hAnsi="Times New Roman" w:eastAsia="Times New Roman" w:cs="Times New Roman"/>
              </w:rPr>
              <w:t>kV</w:t>
            </w:r>
            <w:r>
              <w:rPr>
                <w:spacing w:val="5"/>
              </w:rPr>
              <w:t>松山变</w:t>
            </w:r>
            <w:r>
              <w:rPr>
                <w:rFonts w:ascii="Times New Roman" w:hAnsi="Times New Roman" w:eastAsia="Times New Roman" w:cs="Times New Roman"/>
                <w:spacing w:val="5"/>
              </w:rPr>
              <w:t>Ⅴ</w:t>
            </w:r>
            <w:r>
              <w:rPr>
                <w:spacing w:val="-6"/>
              </w:rPr>
              <w:t>回线</w:t>
            </w:r>
          </w:p>
        </w:tc>
        <w:tc>
          <w:tcPr>
            <w:tcW w:w="2150" w:type="dxa"/>
            <w:gridSpan w:val="3"/>
            <w:vAlign w:val="top"/>
          </w:tcPr>
          <w:p w14:paraId="71271D92">
            <w:pPr>
              <w:spacing w:before="210" w:line="199" w:lineRule="auto"/>
              <w:ind w:left="235"/>
              <w:rPr>
                <w:rFonts w:ascii="Times New Roman" w:hAnsi="Times New Roman" w:eastAsia="Times New Roman" w:cs="Times New Roman"/>
                <w:sz w:val="20"/>
                <w:szCs w:val="20"/>
              </w:rPr>
            </w:pPr>
            <w:r>
              <w:rPr>
                <w:rFonts w:ascii="Times New Roman" w:hAnsi="Times New Roman" w:eastAsia="Times New Roman" w:cs="Times New Roman"/>
                <w:sz w:val="20"/>
                <w:szCs w:val="20"/>
              </w:rPr>
              <w:t>JKLGYJ</w:t>
            </w:r>
            <w:r>
              <w:rPr>
                <w:rFonts w:ascii="Times New Roman" w:hAnsi="Times New Roman" w:eastAsia="Times New Roman" w:cs="Times New Roman"/>
                <w:spacing w:val="5"/>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5"/>
                <w:sz w:val="20"/>
                <w:szCs w:val="20"/>
              </w:rPr>
              <w:t>10-240/30</w:t>
            </w:r>
          </w:p>
        </w:tc>
        <w:tc>
          <w:tcPr>
            <w:tcW w:w="1286" w:type="dxa"/>
            <w:gridSpan w:val="5"/>
            <w:vAlign w:val="top"/>
          </w:tcPr>
          <w:p w14:paraId="14265061">
            <w:pPr>
              <w:spacing w:before="214"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3.161</w:t>
            </w:r>
          </w:p>
        </w:tc>
        <w:tc>
          <w:tcPr>
            <w:tcW w:w="1745" w:type="dxa"/>
            <w:gridSpan w:val="2"/>
            <w:vAlign w:val="top"/>
          </w:tcPr>
          <w:p w14:paraId="5592602E">
            <w:pPr>
              <w:pStyle w:val="6"/>
              <w:spacing w:before="45" w:line="227" w:lineRule="auto"/>
              <w:ind w:left="465" w:right="130" w:hanging="315"/>
            </w:pPr>
            <w:r>
              <w:rPr>
                <w:spacing w:val="8"/>
              </w:rPr>
              <w:t>单、双、四回路</w:t>
            </w:r>
            <w:r>
              <w:rPr>
                <w:spacing w:val="6"/>
              </w:rPr>
              <w:t>混合架设</w:t>
            </w:r>
          </w:p>
        </w:tc>
        <w:tc>
          <w:tcPr>
            <w:tcW w:w="124" w:type="dxa"/>
            <w:tcBorders>
              <w:top w:val="nil"/>
              <w:bottom w:val="nil"/>
              <w:right w:val="single" w:color="000000" w:sz="6" w:space="0"/>
            </w:tcBorders>
            <w:vAlign w:val="top"/>
          </w:tcPr>
          <w:p w14:paraId="0E6F0412">
            <w:pPr>
              <w:rPr>
                <w:rFonts w:ascii="Arial"/>
                <w:sz w:val="21"/>
              </w:rPr>
            </w:pPr>
          </w:p>
        </w:tc>
      </w:tr>
      <w:tr w14:paraId="013B3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375" w:type="dxa"/>
            <w:vMerge w:val="continue"/>
            <w:tcBorders>
              <w:top w:val="nil"/>
              <w:left w:val="single" w:color="000000" w:sz="6" w:space="0"/>
              <w:bottom w:val="nil"/>
              <w:right w:val="single" w:color="000000" w:sz="6" w:space="0"/>
            </w:tcBorders>
            <w:vAlign w:val="top"/>
          </w:tcPr>
          <w:p w14:paraId="75C8D020">
            <w:pPr>
              <w:rPr>
                <w:rFonts w:ascii="Arial"/>
                <w:sz w:val="21"/>
              </w:rPr>
            </w:pPr>
          </w:p>
        </w:tc>
        <w:tc>
          <w:tcPr>
            <w:tcW w:w="114" w:type="dxa"/>
            <w:tcBorders>
              <w:top w:val="nil"/>
              <w:left w:val="single" w:color="000000" w:sz="6" w:space="0"/>
              <w:bottom w:val="nil"/>
            </w:tcBorders>
            <w:vAlign w:val="top"/>
          </w:tcPr>
          <w:p w14:paraId="427061F2">
            <w:pPr>
              <w:rPr>
                <w:rFonts w:ascii="Arial"/>
                <w:sz w:val="21"/>
              </w:rPr>
            </w:pPr>
          </w:p>
        </w:tc>
        <w:tc>
          <w:tcPr>
            <w:tcW w:w="1092" w:type="dxa"/>
            <w:gridSpan w:val="3"/>
            <w:vMerge w:val="continue"/>
            <w:tcBorders>
              <w:top w:val="nil"/>
              <w:bottom w:val="nil"/>
            </w:tcBorders>
            <w:vAlign w:val="top"/>
          </w:tcPr>
          <w:p w14:paraId="6543A1FE">
            <w:pPr>
              <w:rPr>
                <w:rFonts w:ascii="Arial"/>
                <w:sz w:val="21"/>
              </w:rPr>
            </w:pPr>
          </w:p>
        </w:tc>
        <w:tc>
          <w:tcPr>
            <w:tcW w:w="1638" w:type="dxa"/>
            <w:gridSpan w:val="3"/>
            <w:vAlign w:val="top"/>
          </w:tcPr>
          <w:p w14:paraId="31D3F477">
            <w:pPr>
              <w:pStyle w:val="6"/>
              <w:spacing w:before="43" w:line="231" w:lineRule="auto"/>
              <w:ind w:left="629" w:right="164" w:hanging="452"/>
            </w:pPr>
            <w:r>
              <w:rPr>
                <w:rFonts w:ascii="Times New Roman" w:hAnsi="Times New Roman" w:eastAsia="Times New Roman" w:cs="Times New Roman"/>
                <w:spacing w:val="6"/>
              </w:rPr>
              <w:t>10</w:t>
            </w:r>
            <w:r>
              <w:rPr>
                <w:rFonts w:ascii="Times New Roman" w:hAnsi="Times New Roman" w:eastAsia="Times New Roman" w:cs="Times New Roman"/>
              </w:rPr>
              <w:t>kV</w:t>
            </w:r>
            <w:r>
              <w:rPr>
                <w:spacing w:val="6"/>
              </w:rPr>
              <w:t>松山变</w:t>
            </w:r>
            <w:r>
              <w:rPr>
                <w:rFonts w:ascii="Times New Roman" w:hAnsi="Times New Roman" w:eastAsia="Times New Roman" w:cs="Times New Roman"/>
                <w:spacing w:val="6"/>
              </w:rPr>
              <w:t>Ⅵ</w:t>
            </w:r>
            <w:r>
              <w:rPr>
                <w:spacing w:val="-6"/>
              </w:rPr>
              <w:t>回线</w:t>
            </w:r>
          </w:p>
        </w:tc>
        <w:tc>
          <w:tcPr>
            <w:tcW w:w="2150" w:type="dxa"/>
            <w:gridSpan w:val="3"/>
            <w:vAlign w:val="top"/>
          </w:tcPr>
          <w:p w14:paraId="3E3D0933">
            <w:pPr>
              <w:spacing w:before="213" w:line="199" w:lineRule="auto"/>
              <w:ind w:left="235"/>
              <w:rPr>
                <w:rFonts w:ascii="Times New Roman" w:hAnsi="Times New Roman" w:eastAsia="Times New Roman" w:cs="Times New Roman"/>
                <w:sz w:val="20"/>
                <w:szCs w:val="20"/>
              </w:rPr>
            </w:pPr>
            <w:r>
              <w:rPr>
                <w:rFonts w:ascii="Times New Roman" w:hAnsi="Times New Roman" w:eastAsia="Times New Roman" w:cs="Times New Roman"/>
                <w:sz w:val="20"/>
                <w:szCs w:val="20"/>
              </w:rPr>
              <w:t>JKLGYJ</w:t>
            </w:r>
            <w:r>
              <w:rPr>
                <w:rFonts w:ascii="Times New Roman" w:hAnsi="Times New Roman" w:eastAsia="Times New Roman" w:cs="Times New Roman"/>
                <w:spacing w:val="5"/>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5"/>
                <w:sz w:val="20"/>
                <w:szCs w:val="20"/>
              </w:rPr>
              <w:t>10-240/30</w:t>
            </w:r>
          </w:p>
        </w:tc>
        <w:tc>
          <w:tcPr>
            <w:tcW w:w="1286" w:type="dxa"/>
            <w:gridSpan w:val="5"/>
            <w:vAlign w:val="top"/>
          </w:tcPr>
          <w:p w14:paraId="45AA17FD">
            <w:pPr>
              <w:spacing w:before="216" w:line="195" w:lineRule="auto"/>
              <w:ind w:left="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2.726</w:t>
            </w:r>
          </w:p>
        </w:tc>
        <w:tc>
          <w:tcPr>
            <w:tcW w:w="1745" w:type="dxa"/>
            <w:gridSpan w:val="2"/>
            <w:vAlign w:val="top"/>
          </w:tcPr>
          <w:p w14:paraId="4131E207">
            <w:pPr>
              <w:pStyle w:val="6"/>
              <w:spacing w:before="43" w:line="231" w:lineRule="auto"/>
              <w:ind w:left="465" w:right="130" w:hanging="315"/>
            </w:pPr>
            <w:r>
              <w:rPr>
                <w:spacing w:val="8"/>
              </w:rPr>
              <w:t>单、双、四回路</w:t>
            </w:r>
            <w:r>
              <w:rPr>
                <w:spacing w:val="6"/>
              </w:rPr>
              <w:t>混合架设</w:t>
            </w:r>
          </w:p>
        </w:tc>
        <w:tc>
          <w:tcPr>
            <w:tcW w:w="124" w:type="dxa"/>
            <w:tcBorders>
              <w:top w:val="nil"/>
              <w:bottom w:val="nil"/>
              <w:right w:val="single" w:color="000000" w:sz="6" w:space="0"/>
            </w:tcBorders>
            <w:vAlign w:val="top"/>
          </w:tcPr>
          <w:p w14:paraId="01051FEE">
            <w:pPr>
              <w:rPr>
                <w:rFonts w:ascii="Arial"/>
                <w:sz w:val="21"/>
              </w:rPr>
            </w:pPr>
          </w:p>
        </w:tc>
      </w:tr>
      <w:tr w14:paraId="40EA9C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375" w:type="dxa"/>
            <w:vMerge w:val="continue"/>
            <w:tcBorders>
              <w:top w:val="nil"/>
              <w:left w:val="single" w:color="000000" w:sz="6" w:space="0"/>
              <w:bottom w:val="nil"/>
              <w:right w:val="single" w:color="000000" w:sz="6" w:space="0"/>
            </w:tcBorders>
            <w:vAlign w:val="top"/>
          </w:tcPr>
          <w:p w14:paraId="5C98DAB4">
            <w:pPr>
              <w:rPr>
                <w:rFonts w:ascii="Arial"/>
                <w:sz w:val="21"/>
              </w:rPr>
            </w:pPr>
          </w:p>
        </w:tc>
        <w:tc>
          <w:tcPr>
            <w:tcW w:w="114" w:type="dxa"/>
            <w:tcBorders>
              <w:top w:val="nil"/>
              <w:left w:val="single" w:color="000000" w:sz="6" w:space="0"/>
              <w:bottom w:val="nil"/>
            </w:tcBorders>
            <w:vAlign w:val="top"/>
          </w:tcPr>
          <w:p w14:paraId="449B50C2">
            <w:pPr>
              <w:rPr>
                <w:rFonts w:ascii="Arial"/>
                <w:sz w:val="21"/>
              </w:rPr>
            </w:pPr>
          </w:p>
        </w:tc>
        <w:tc>
          <w:tcPr>
            <w:tcW w:w="1092" w:type="dxa"/>
            <w:gridSpan w:val="3"/>
            <w:vMerge w:val="continue"/>
            <w:tcBorders>
              <w:top w:val="nil"/>
              <w:bottom w:val="nil"/>
            </w:tcBorders>
            <w:vAlign w:val="top"/>
          </w:tcPr>
          <w:p w14:paraId="622C5412">
            <w:pPr>
              <w:rPr>
                <w:rFonts w:ascii="Arial"/>
                <w:sz w:val="21"/>
              </w:rPr>
            </w:pPr>
          </w:p>
        </w:tc>
        <w:tc>
          <w:tcPr>
            <w:tcW w:w="1638" w:type="dxa"/>
            <w:gridSpan w:val="3"/>
            <w:vAlign w:val="top"/>
          </w:tcPr>
          <w:p w14:paraId="5EEA8861">
            <w:pPr>
              <w:pStyle w:val="6"/>
              <w:spacing w:before="41" w:line="228" w:lineRule="auto"/>
              <w:ind w:left="630" w:right="132" w:hanging="484"/>
            </w:pPr>
            <w:r>
              <w:rPr>
                <w:rFonts w:ascii="Times New Roman" w:hAnsi="Times New Roman" w:eastAsia="Times New Roman" w:cs="Times New Roman"/>
                <w:spacing w:val="6"/>
              </w:rPr>
              <w:t>10</w:t>
            </w:r>
            <w:r>
              <w:rPr>
                <w:rFonts w:ascii="Times New Roman" w:hAnsi="Times New Roman" w:eastAsia="Times New Roman" w:cs="Times New Roman"/>
              </w:rPr>
              <w:t>kV</w:t>
            </w:r>
            <w:r>
              <w:rPr>
                <w:spacing w:val="6"/>
              </w:rPr>
              <w:t>松山变</w:t>
            </w:r>
            <w:r>
              <w:rPr>
                <w:rFonts w:ascii="Times New Roman" w:hAnsi="Times New Roman" w:eastAsia="Times New Roman" w:cs="Times New Roman"/>
                <w:spacing w:val="6"/>
              </w:rPr>
              <w:t>Ⅶ</w:t>
            </w:r>
            <w:r>
              <w:rPr>
                <w:spacing w:val="-6"/>
              </w:rPr>
              <w:t>回线</w:t>
            </w:r>
          </w:p>
        </w:tc>
        <w:tc>
          <w:tcPr>
            <w:tcW w:w="2150" w:type="dxa"/>
            <w:gridSpan w:val="3"/>
            <w:vAlign w:val="top"/>
          </w:tcPr>
          <w:p w14:paraId="753BA6A7">
            <w:pPr>
              <w:spacing w:before="208" w:line="199" w:lineRule="auto"/>
              <w:ind w:left="235"/>
              <w:rPr>
                <w:rFonts w:ascii="Times New Roman" w:hAnsi="Times New Roman" w:eastAsia="Times New Roman" w:cs="Times New Roman"/>
                <w:sz w:val="20"/>
                <w:szCs w:val="20"/>
              </w:rPr>
            </w:pPr>
            <w:r>
              <w:rPr>
                <w:rFonts w:ascii="Times New Roman" w:hAnsi="Times New Roman" w:eastAsia="Times New Roman" w:cs="Times New Roman"/>
                <w:sz w:val="20"/>
                <w:szCs w:val="20"/>
              </w:rPr>
              <w:t>JKLGYJ</w:t>
            </w:r>
            <w:r>
              <w:rPr>
                <w:rFonts w:ascii="Times New Roman" w:hAnsi="Times New Roman" w:eastAsia="Times New Roman" w:cs="Times New Roman"/>
                <w:spacing w:val="5"/>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5"/>
                <w:sz w:val="20"/>
                <w:szCs w:val="20"/>
              </w:rPr>
              <w:t>10-240/30</w:t>
            </w:r>
          </w:p>
        </w:tc>
        <w:tc>
          <w:tcPr>
            <w:tcW w:w="1286" w:type="dxa"/>
            <w:gridSpan w:val="5"/>
            <w:vAlign w:val="top"/>
          </w:tcPr>
          <w:p w14:paraId="6F900A16">
            <w:pPr>
              <w:spacing w:before="212" w:line="195" w:lineRule="auto"/>
              <w:ind w:left="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2.991</w:t>
            </w:r>
          </w:p>
        </w:tc>
        <w:tc>
          <w:tcPr>
            <w:tcW w:w="1745" w:type="dxa"/>
            <w:gridSpan w:val="2"/>
            <w:vAlign w:val="top"/>
          </w:tcPr>
          <w:p w14:paraId="5A818AA3">
            <w:pPr>
              <w:pStyle w:val="6"/>
              <w:spacing w:before="41" w:line="228" w:lineRule="auto"/>
              <w:ind w:left="465" w:right="130" w:hanging="315"/>
            </w:pPr>
            <w:r>
              <w:rPr>
                <w:spacing w:val="8"/>
              </w:rPr>
              <w:t>单、双、四回路</w:t>
            </w:r>
            <w:r>
              <w:rPr>
                <w:spacing w:val="6"/>
              </w:rPr>
              <w:t>混合架设</w:t>
            </w:r>
          </w:p>
        </w:tc>
        <w:tc>
          <w:tcPr>
            <w:tcW w:w="124" w:type="dxa"/>
            <w:tcBorders>
              <w:top w:val="nil"/>
              <w:bottom w:val="nil"/>
              <w:right w:val="single" w:color="000000" w:sz="6" w:space="0"/>
            </w:tcBorders>
            <w:vAlign w:val="top"/>
          </w:tcPr>
          <w:p w14:paraId="2B5BAF60">
            <w:pPr>
              <w:rPr>
                <w:rFonts w:ascii="Arial"/>
                <w:sz w:val="21"/>
              </w:rPr>
            </w:pPr>
          </w:p>
        </w:tc>
      </w:tr>
      <w:tr w14:paraId="1704C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375" w:type="dxa"/>
            <w:vMerge w:val="continue"/>
            <w:tcBorders>
              <w:top w:val="nil"/>
              <w:left w:val="single" w:color="000000" w:sz="6" w:space="0"/>
              <w:bottom w:val="nil"/>
              <w:right w:val="single" w:color="000000" w:sz="6" w:space="0"/>
            </w:tcBorders>
            <w:vAlign w:val="top"/>
          </w:tcPr>
          <w:p w14:paraId="08A36742">
            <w:pPr>
              <w:rPr>
                <w:rFonts w:ascii="Arial"/>
                <w:sz w:val="21"/>
              </w:rPr>
            </w:pPr>
          </w:p>
        </w:tc>
        <w:tc>
          <w:tcPr>
            <w:tcW w:w="114" w:type="dxa"/>
            <w:tcBorders>
              <w:top w:val="nil"/>
              <w:left w:val="single" w:color="000000" w:sz="6" w:space="0"/>
              <w:bottom w:val="nil"/>
            </w:tcBorders>
            <w:vAlign w:val="top"/>
          </w:tcPr>
          <w:p w14:paraId="34215B0F">
            <w:pPr>
              <w:rPr>
                <w:rFonts w:ascii="Arial"/>
                <w:sz w:val="21"/>
              </w:rPr>
            </w:pPr>
          </w:p>
        </w:tc>
        <w:tc>
          <w:tcPr>
            <w:tcW w:w="1092" w:type="dxa"/>
            <w:gridSpan w:val="3"/>
            <w:vMerge w:val="continue"/>
            <w:tcBorders>
              <w:top w:val="nil"/>
              <w:bottom w:val="nil"/>
            </w:tcBorders>
            <w:vAlign w:val="top"/>
          </w:tcPr>
          <w:p w14:paraId="16E25E21">
            <w:pPr>
              <w:rPr>
                <w:rFonts w:ascii="Arial"/>
                <w:sz w:val="21"/>
              </w:rPr>
            </w:pPr>
          </w:p>
        </w:tc>
        <w:tc>
          <w:tcPr>
            <w:tcW w:w="1638" w:type="dxa"/>
            <w:gridSpan w:val="3"/>
            <w:vAlign w:val="top"/>
          </w:tcPr>
          <w:p w14:paraId="7F372CD6">
            <w:pPr>
              <w:pStyle w:val="6"/>
              <w:spacing w:before="45" w:line="227" w:lineRule="auto"/>
              <w:ind w:left="427" w:right="275" w:hanging="140"/>
            </w:pPr>
            <w:r>
              <w:rPr>
                <w:rFonts w:ascii="Times New Roman" w:hAnsi="Times New Roman" w:eastAsia="Times New Roman" w:cs="Times New Roman"/>
                <w:spacing w:val="5"/>
              </w:rPr>
              <w:t>10</w:t>
            </w:r>
            <w:r>
              <w:rPr>
                <w:rFonts w:ascii="Times New Roman" w:hAnsi="Times New Roman" w:eastAsia="Times New Roman" w:cs="Times New Roman"/>
              </w:rPr>
              <w:t>kV</w:t>
            </w:r>
            <w:r>
              <w:rPr>
                <w:spacing w:val="5"/>
              </w:rPr>
              <w:t>松山变</w:t>
            </w:r>
            <w:r>
              <w:rPr>
                <w:rFonts w:ascii="Times New Roman" w:hAnsi="Times New Roman" w:eastAsia="Times New Roman" w:cs="Times New Roman"/>
                <w:spacing w:val="10"/>
              </w:rPr>
              <w:t>Ⅷ</w:t>
            </w:r>
            <w:r>
              <w:rPr>
                <w:spacing w:val="10"/>
              </w:rPr>
              <w:t>回线</w:t>
            </w:r>
          </w:p>
        </w:tc>
        <w:tc>
          <w:tcPr>
            <w:tcW w:w="2150" w:type="dxa"/>
            <w:gridSpan w:val="3"/>
            <w:vAlign w:val="top"/>
          </w:tcPr>
          <w:p w14:paraId="1F54AA12">
            <w:pPr>
              <w:spacing w:before="214" w:line="199" w:lineRule="auto"/>
              <w:ind w:left="235"/>
              <w:rPr>
                <w:rFonts w:ascii="Times New Roman" w:hAnsi="Times New Roman" w:eastAsia="Times New Roman" w:cs="Times New Roman"/>
                <w:sz w:val="20"/>
                <w:szCs w:val="20"/>
              </w:rPr>
            </w:pPr>
            <w:r>
              <w:rPr>
                <w:rFonts w:ascii="Times New Roman" w:hAnsi="Times New Roman" w:eastAsia="Times New Roman" w:cs="Times New Roman"/>
                <w:sz w:val="20"/>
                <w:szCs w:val="20"/>
              </w:rPr>
              <w:t>JKLGYJ</w:t>
            </w:r>
            <w:r>
              <w:rPr>
                <w:rFonts w:ascii="Times New Roman" w:hAnsi="Times New Roman" w:eastAsia="Times New Roman" w:cs="Times New Roman"/>
                <w:spacing w:val="5"/>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5"/>
                <w:sz w:val="20"/>
                <w:szCs w:val="20"/>
              </w:rPr>
              <w:t>10-240/30</w:t>
            </w:r>
          </w:p>
        </w:tc>
        <w:tc>
          <w:tcPr>
            <w:tcW w:w="1286" w:type="dxa"/>
            <w:gridSpan w:val="5"/>
            <w:vAlign w:val="top"/>
          </w:tcPr>
          <w:p w14:paraId="39868A54">
            <w:pPr>
              <w:spacing w:before="218" w:line="195" w:lineRule="auto"/>
              <w:ind w:left="41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2.861</w:t>
            </w:r>
          </w:p>
        </w:tc>
        <w:tc>
          <w:tcPr>
            <w:tcW w:w="1745" w:type="dxa"/>
            <w:gridSpan w:val="2"/>
            <w:vAlign w:val="top"/>
          </w:tcPr>
          <w:p w14:paraId="38DEE811">
            <w:pPr>
              <w:pStyle w:val="6"/>
              <w:spacing w:before="45" w:line="227" w:lineRule="auto"/>
              <w:ind w:left="465" w:right="130" w:hanging="315"/>
            </w:pPr>
            <w:r>
              <w:rPr>
                <w:spacing w:val="8"/>
              </w:rPr>
              <w:t>单、双、四回路</w:t>
            </w:r>
            <w:r>
              <w:rPr>
                <w:spacing w:val="6"/>
              </w:rPr>
              <w:t>混合架设</w:t>
            </w:r>
          </w:p>
        </w:tc>
        <w:tc>
          <w:tcPr>
            <w:tcW w:w="124" w:type="dxa"/>
            <w:tcBorders>
              <w:top w:val="nil"/>
              <w:bottom w:val="nil"/>
              <w:right w:val="single" w:color="000000" w:sz="6" w:space="0"/>
            </w:tcBorders>
            <w:vAlign w:val="top"/>
          </w:tcPr>
          <w:p w14:paraId="5FB22F0A">
            <w:pPr>
              <w:rPr>
                <w:rFonts w:ascii="Arial"/>
                <w:sz w:val="21"/>
              </w:rPr>
            </w:pPr>
          </w:p>
        </w:tc>
      </w:tr>
      <w:tr w14:paraId="2618C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375" w:type="dxa"/>
            <w:vMerge w:val="continue"/>
            <w:tcBorders>
              <w:top w:val="nil"/>
              <w:left w:val="single" w:color="000000" w:sz="6" w:space="0"/>
              <w:bottom w:val="nil"/>
              <w:right w:val="single" w:color="000000" w:sz="6" w:space="0"/>
            </w:tcBorders>
            <w:vAlign w:val="top"/>
          </w:tcPr>
          <w:p w14:paraId="4CADE9AE">
            <w:pPr>
              <w:rPr>
                <w:rFonts w:ascii="Arial"/>
                <w:sz w:val="21"/>
              </w:rPr>
            </w:pPr>
          </w:p>
        </w:tc>
        <w:tc>
          <w:tcPr>
            <w:tcW w:w="114" w:type="dxa"/>
            <w:tcBorders>
              <w:top w:val="nil"/>
              <w:left w:val="single" w:color="000000" w:sz="6" w:space="0"/>
              <w:bottom w:val="nil"/>
            </w:tcBorders>
            <w:vAlign w:val="top"/>
          </w:tcPr>
          <w:p w14:paraId="7E7153AD">
            <w:pPr>
              <w:rPr>
                <w:rFonts w:ascii="Arial"/>
                <w:sz w:val="21"/>
              </w:rPr>
            </w:pPr>
          </w:p>
        </w:tc>
        <w:tc>
          <w:tcPr>
            <w:tcW w:w="1092" w:type="dxa"/>
            <w:gridSpan w:val="3"/>
            <w:vMerge w:val="continue"/>
            <w:tcBorders>
              <w:top w:val="nil"/>
            </w:tcBorders>
            <w:vAlign w:val="top"/>
          </w:tcPr>
          <w:p w14:paraId="21F13A4C">
            <w:pPr>
              <w:rPr>
                <w:rFonts w:ascii="Arial"/>
                <w:sz w:val="21"/>
              </w:rPr>
            </w:pPr>
          </w:p>
        </w:tc>
        <w:tc>
          <w:tcPr>
            <w:tcW w:w="1638" w:type="dxa"/>
            <w:gridSpan w:val="3"/>
            <w:vAlign w:val="top"/>
          </w:tcPr>
          <w:p w14:paraId="3A92E71D">
            <w:pPr>
              <w:pStyle w:val="6"/>
              <w:spacing w:before="48" w:line="229" w:lineRule="auto"/>
              <w:ind w:left="629" w:right="163" w:hanging="452"/>
            </w:pPr>
            <w:r>
              <w:rPr>
                <w:rFonts w:ascii="Times New Roman" w:hAnsi="Times New Roman" w:eastAsia="Times New Roman" w:cs="Times New Roman"/>
                <w:spacing w:val="6"/>
              </w:rPr>
              <w:t>10</w:t>
            </w:r>
            <w:r>
              <w:rPr>
                <w:rFonts w:ascii="Times New Roman" w:hAnsi="Times New Roman" w:eastAsia="Times New Roman" w:cs="Times New Roman"/>
              </w:rPr>
              <w:t>kV</w:t>
            </w:r>
            <w:r>
              <w:rPr>
                <w:spacing w:val="6"/>
              </w:rPr>
              <w:t>松山变</w:t>
            </w:r>
            <w:r>
              <w:rPr>
                <w:rFonts w:ascii="Times New Roman" w:hAnsi="Times New Roman" w:eastAsia="Times New Roman" w:cs="Times New Roman"/>
                <w:spacing w:val="6"/>
              </w:rPr>
              <w:t>Ⅸ</w:t>
            </w:r>
            <w:r>
              <w:rPr>
                <w:spacing w:val="-6"/>
              </w:rPr>
              <w:t>回线</w:t>
            </w:r>
          </w:p>
        </w:tc>
        <w:tc>
          <w:tcPr>
            <w:tcW w:w="2150" w:type="dxa"/>
            <w:gridSpan w:val="3"/>
            <w:vAlign w:val="top"/>
          </w:tcPr>
          <w:p w14:paraId="4012355B">
            <w:pPr>
              <w:spacing w:before="214" w:line="199" w:lineRule="auto"/>
              <w:ind w:left="235"/>
              <w:rPr>
                <w:rFonts w:ascii="Times New Roman" w:hAnsi="Times New Roman" w:eastAsia="Times New Roman" w:cs="Times New Roman"/>
                <w:sz w:val="20"/>
                <w:szCs w:val="20"/>
              </w:rPr>
            </w:pPr>
            <w:r>
              <w:rPr>
                <w:rFonts w:ascii="Times New Roman" w:hAnsi="Times New Roman" w:eastAsia="Times New Roman" w:cs="Times New Roman"/>
                <w:sz w:val="20"/>
                <w:szCs w:val="20"/>
              </w:rPr>
              <w:t>JKLGYJ</w:t>
            </w:r>
            <w:r>
              <w:rPr>
                <w:rFonts w:ascii="Times New Roman" w:hAnsi="Times New Roman" w:eastAsia="Times New Roman" w:cs="Times New Roman"/>
                <w:spacing w:val="5"/>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5"/>
                <w:sz w:val="20"/>
                <w:szCs w:val="20"/>
              </w:rPr>
              <w:t>10-240/30</w:t>
            </w:r>
          </w:p>
        </w:tc>
        <w:tc>
          <w:tcPr>
            <w:tcW w:w="1286" w:type="dxa"/>
            <w:gridSpan w:val="5"/>
            <w:vAlign w:val="top"/>
          </w:tcPr>
          <w:p w14:paraId="20BE6048">
            <w:pPr>
              <w:spacing w:before="218" w:line="195" w:lineRule="auto"/>
              <w:ind w:left="46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0.98</w:t>
            </w:r>
          </w:p>
        </w:tc>
        <w:tc>
          <w:tcPr>
            <w:tcW w:w="1745" w:type="dxa"/>
            <w:gridSpan w:val="2"/>
            <w:vAlign w:val="top"/>
          </w:tcPr>
          <w:p w14:paraId="2F948FE1">
            <w:pPr>
              <w:pStyle w:val="6"/>
              <w:spacing w:before="48" w:line="229" w:lineRule="auto"/>
              <w:ind w:left="674" w:right="130" w:hanging="524"/>
            </w:pPr>
            <w:r>
              <w:rPr>
                <w:spacing w:val="8"/>
              </w:rPr>
              <w:t>单、四回路混合</w:t>
            </w:r>
            <w:r>
              <w:rPr>
                <w:spacing w:val="4"/>
              </w:rPr>
              <w:t>架设</w:t>
            </w:r>
          </w:p>
        </w:tc>
        <w:tc>
          <w:tcPr>
            <w:tcW w:w="124" w:type="dxa"/>
            <w:tcBorders>
              <w:top w:val="nil"/>
              <w:bottom w:val="nil"/>
              <w:right w:val="single" w:color="000000" w:sz="6" w:space="0"/>
            </w:tcBorders>
            <w:vAlign w:val="top"/>
          </w:tcPr>
          <w:p w14:paraId="77AAB074">
            <w:pPr>
              <w:rPr>
                <w:rFonts w:ascii="Arial"/>
                <w:sz w:val="21"/>
              </w:rPr>
            </w:pPr>
          </w:p>
        </w:tc>
      </w:tr>
      <w:tr w14:paraId="4E894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375" w:type="dxa"/>
            <w:vMerge w:val="continue"/>
            <w:tcBorders>
              <w:top w:val="nil"/>
              <w:left w:val="single" w:color="000000" w:sz="6" w:space="0"/>
              <w:bottom w:val="nil"/>
              <w:right w:val="single" w:color="000000" w:sz="6" w:space="0"/>
            </w:tcBorders>
            <w:vAlign w:val="top"/>
          </w:tcPr>
          <w:p w14:paraId="676FAFA3">
            <w:pPr>
              <w:rPr>
                <w:rFonts w:ascii="Arial"/>
                <w:sz w:val="21"/>
              </w:rPr>
            </w:pPr>
          </w:p>
        </w:tc>
        <w:tc>
          <w:tcPr>
            <w:tcW w:w="8149" w:type="dxa"/>
            <w:gridSpan w:val="18"/>
            <w:tcBorders>
              <w:left w:val="single" w:color="000000" w:sz="6" w:space="0"/>
              <w:right w:val="single" w:color="000000" w:sz="6" w:space="0"/>
            </w:tcBorders>
            <w:vAlign w:val="top"/>
          </w:tcPr>
          <w:p w14:paraId="1D5EF2AC">
            <w:pPr>
              <w:spacing w:line="242" w:lineRule="auto"/>
              <w:rPr>
                <w:rFonts w:ascii="Arial"/>
                <w:sz w:val="21"/>
              </w:rPr>
            </w:pPr>
          </w:p>
          <w:p w14:paraId="0C351E01">
            <w:pPr>
              <w:pStyle w:val="6"/>
              <w:spacing w:before="78" w:line="199" w:lineRule="auto"/>
              <w:ind w:left="2315"/>
              <w:rPr>
                <w:sz w:val="24"/>
                <w:szCs w:val="24"/>
              </w:rPr>
            </w:pPr>
            <w:r>
              <w:rPr>
                <w:b/>
                <w:bCs/>
                <w:spacing w:val="-2"/>
                <w:sz w:val="24"/>
                <w:szCs w:val="24"/>
              </w:rPr>
              <w:t>表</w:t>
            </w:r>
            <w:r>
              <w:rPr>
                <w:spacing w:val="-45"/>
                <w:sz w:val="24"/>
                <w:szCs w:val="24"/>
              </w:rPr>
              <w:t xml:space="preserve"> </w:t>
            </w:r>
            <w:r>
              <w:rPr>
                <w:rFonts w:ascii="Times New Roman" w:hAnsi="Times New Roman" w:eastAsia="Times New Roman" w:cs="Times New Roman"/>
                <w:b/>
                <w:bCs/>
                <w:spacing w:val="-2"/>
                <w:sz w:val="24"/>
                <w:szCs w:val="24"/>
              </w:rPr>
              <w:t xml:space="preserve">2-6        </w:t>
            </w:r>
            <w:r>
              <w:rPr>
                <w:b/>
                <w:bCs/>
                <w:spacing w:val="-2"/>
                <w:sz w:val="24"/>
                <w:szCs w:val="24"/>
              </w:rPr>
              <w:t>线路杆塔主要设备选型</w:t>
            </w:r>
          </w:p>
        </w:tc>
      </w:tr>
      <w:tr w14:paraId="6E963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375" w:type="dxa"/>
            <w:vMerge w:val="continue"/>
            <w:tcBorders>
              <w:top w:val="nil"/>
              <w:left w:val="single" w:color="000000" w:sz="6" w:space="0"/>
              <w:bottom w:val="nil"/>
              <w:right w:val="single" w:color="000000" w:sz="6" w:space="0"/>
            </w:tcBorders>
            <w:vAlign w:val="top"/>
          </w:tcPr>
          <w:p w14:paraId="49848124">
            <w:pPr>
              <w:rPr>
                <w:rFonts w:ascii="Arial"/>
                <w:sz w:val="21"/>
              </w:rPr>
            </w:pPr>
          </w:p>
        </w:tc>
        <w:tc>
          <w:tcPr>
            <w:tcW w:w="114" w:type="dxa"/>
            <w:tcBorders>
              <w:top w:val="nil"/>
              <w:left w:val="single" w:color="000000" w:sz="6" w:space="0"/>
              <w:bottom w:val="nil"/>
            </w:tcBorders>
            <w:vAlign w:val="top"/>
          </w:tcPr>
          <w:p w14:paraId="7AA507BE">
            <w:pPr>
              <w:rPr>
                <w:rFonts w:ascii="Arial"/>
                <w:sz w:val="21"/>
              </w:rPr>
            </w:pPr>
          </w:p>
        </w:tc>
        <w:tc>
          <w:tcPr>
            <w:tcW w:w="906" w:type="dxa"/>
            <w:gridSpan w:val="2"/>
            <w:vMerge w:val="restart"/>
            <w:tcBorders>
              <w:bottom w:val="nil"/>
            </w:tcBorders>
            <w:vAlign w:val="top"/>
          </w:tcPr>
          <w:p w14:paraId="23CC1DCB">
            <w:pPr>
              <w:spacing w:line="253" w:lineRule="auto"/>
              <w:rPr>
                <w:rFonts w:ascii="Arial"/>
                <w:sz w:val="21"/>
              </w:rPr>
            </w:pPr>
          </w:p>
          <w:p w14:paraId="784D7D4D">
            <w:pPr>
              <w:spacing w:line="254" w:lineRule="auto"/>
              <w:rPr>
                <w:rFonts w:ascii="Arial"/>
                <w:sz w:val="21"/>
              </w:rPr>
            </w:pPr>
          </w:p>
          <w:p w14:paraId="4E04764A">
            <w:pPr>
              <w:spacing w:line="254" w:lineRule="auto"/>
              <w:rPr>
                <w:rFonts w:ascii="Arial"/>
                <w:sz w:val="21"/>
              </w:rPr>
            </w:pPr>
          </w:p>
          <w:p w14:paraId="48F8A7EC">
            <w:pPr>
              <w:pStyle w:val="6"/>
              <w:spacing w:before="58" w:line="248" w:lineRule="auto"/>
              <w:ind w:left="138" w:right="143" w:firstLine="48"/>
              <w:jc w:val="both"/>
            </w:pPr>
            <w:r>
              <w:rPr>
                <w:rFonts w:ascii="Times New Roman" w:hAnsi="Times New Roman" w:eastAsia="Times New Roman" w:cs="Times New Roman"/>
                <w:spacing w:val="-2"/>
              </w:rPr>
              <w:t>110kV</w:t>
            </w:r>
            <w:r>
              <w:rPr>
                <w:spacing w:val="6"/>
              </w:rPr>
              <w:t>单回架</w:t>
            </w:r>
            <w:r>
              <w:rPr>
                <w:spacing w:val="5"/>
              </w:rPr>
              <w:t>空线路</w:t>
            </w:r>
          </w:p>
        </w:tc>
        <w:tc>
          <w:tcPr>
            <w:tcW w:w="1258" w:type="dxa"/>
            <w:gridSpan w:val="2"/>
            <w:vAlign w:val="top"/>
          </w:tcPr>
          <w:p w14:paraId="50169A56">
            <w:pPr>
              <w:pStyle w:val="6"/>
              <w:spacing w:before="44" w:line="202" w:lineRule="auto"/>
              <w:ind w:left="418"/>
            </w:pPr>
            <w:r>
              <w:rPr>
                <w:b/>
                <w:bCs/>
                <w:spacing w:val="4"/>
              </w:rPr>
              <w:t>铁塔</w:t>
            </w:r>
          </w:p>
        </w:tc>
        <w:tc>
          <w:tcPr>
            <w:tcW w:w="954" w:type="dxa"/>
            <w:gridSpan w:val="3"/>
            <w:vAlign w:val="top"/>
          </w:tcPr>
          <w:p w14:paraId="0611705F">
            <w:pPr>
              <w:pStyle w:val="6"/>
              <w:spacing w:before="44" w:line="202" w:lineRule="auto"/>
              <w:ind w:left="175"/>
            </w:pPr>
            <w:r>
              <w:rPr>
                <w:b/>
                <w:bCs/>
                <w:spacing w:val="1"/>
              </w:rPr>
              <w:t>呼称高</w:t>
            </w:r>
          </w:p>
        </w:tc>
        <w:tc>
          <w:tcPr>
            <w:tcW w:w="2101" w:type="dxa"/>
            <w:gridSpan w:val="4"/>
            <w:vAlign w:val="top"/>
          </w:tcPr>
          <w:p w14:paraId="0B5118FD">
            <w:pPr>
              <w:pStyle w:val="6"/>
              <w:spacing w:before="44" w:line="202" w:lineRule="auto"/>
              <w:ind w:left="130"/>
            </w:pPr>
            <w:r>
              <w:rPr>
                <w:b/>
                <w:bCs/>
                <w:spacing w:val="5"/>
              </w:rPr>
              <w:t>导线最大间距（</w:t>
            </w:r>
            <w:r>
              <w:rPr>
                <w:rFonts w:ascii="Times New Roman" w:hAnsi="Times New Roman" w:eastAsia="Times New Roman" w:cs="Times New Roman"/>
                <w:b/>
                <w:bCs/>
                <w:spacing w:val="5"/>
              </w:rPr>
              <w:t>m</w:t>
            </w:r>
            <w:r>
              <w:rPr>
                <w:b/>
                <w:bCs/>
                <w:spacing w:val="5"/>
              </w:rPr>
              <w:t>）</w:t>
            </w:r>
          </w:p>
        </w:tc>
        <w:tc>
          <w:tcPr>
            <w:tcW w:w="732" w:type="dxa"/>
            <w:gridSpan w:val="2"/>
            <w:vAlign w:val="top"/>
          </w:tcPr>
          <w:p w14:paraId="3FF5F333">
            <w:pPr>
              <w:pStyle w:val="6"/>
              <w:spacing w:before="44" w:line="202" w:lineRule="auto"/>
              <w:ind w:left="164"/>
            </w:pPr>
            <w:r>
              <w:rPr>
                <w:b/>
                <w:bCs/>
                <w:spacing w:val="2"/>
              </w:rPr>
              <w:t>塔型</w:t>
            </w:r>
          </w:p>
        </w:tc>
        <w:tc>
          <w:tcPr>
            <w:tcW w:w="1181" w:type="dxa"/>
            <w:gridSpan w:val="2"/>
            <w:vAlign w:val="top"/>
          </w:tcPr>
          <w:p w14:paraId="28AA9625">
            <w:pPr>
              <w:pStyle w:val="6"/>
              <w:spacing w:before="44" w:line="202" w:lineRule="auto"/>
              <w:ind w:left="178"/>
            </w:pPr>
            <w:r>
              <w:rPr>
                <w:b/>
                <w:bCs/>
                <w:spacing w:val="6"/>
              </w:rPr>
              <w:t>排列方式</w:t>
            </w:r>
          </w:p>
        </w:tc>
        <w:tc>
          <w:tcPr>
            <w:tcW w:w="779" w:type="dxa"/>
            <w:vAlign w:val="top"/>
          </w:tcPr>
          <w:p w14:paraId="1C09FF4F">
            <w:pPr>
              <w:pStyle w:val="6"/>
              <w:spacing w:before="44" w:line="202" w:lineRule="auto"/>
              <w:ind w:left="190"/>
            </w:pPr>
            <w:r>
              <w:rPr>
                <w:b/>
                <w:bCs/>
                <w:spacing w:val="3"/>
              </w:rPr>
              <w:t>基数</w:t>
            </w:r>
          </w:p>
        </w:tc>
        <w:tc>
          <w:tcPr>
            <w:tcW w:w="124" w:type="dxa"/>
            <w:tcBorders>
              <w:top w:val="nil"/>
              <w:bottom w:val="nil"/>
              <w:right w:val="single" w:color="000000" w:sz="6" w:space="0"/>
            </w:tcBorders>
            <w:vAlign w:val="top"/>
          </w:tcPr>
          <w:p w14:paraId="0B89A44F">
            <w:pPr>
              <w:rPr>
                <w:rFonts w:ascii="Arial"/>
                <w:sz w:val="21"/>
              </w:rPr>
            </w:pPr>
          </w:p>
        </w:tc>
      </w:tr>
      <w:tr w14:paraId="2704E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375" w:type="dxa"/>
            <w:vMerge w:val="continue"/>
            <w:tcBorders>
              <w:top w:val="nil"/>
              <w:left w:val="single" w:color="000000" w:sz="6" w:space="0"/>
              <w:bottom w:val="nil"/>
              <w:right w:val="single" w:color="000000" w:sz="6" w:space="0"/>
            </w:tcBorders>
            <w:vAlign w:val="top"/>
          </w:tcPr>
          <w:p w14:paraId="111B0430">
            <w:pPr>
              <w:rPr>
                <w:rFonts w:ascii="Arial"/>
                <w:sz w:val="21"/>
              </w:rPr>
            </w:pPr>
          </w:p>
        </w:tc>
        <w:tc>
          <w:tcPr>
            <w:tcW w:w="114" w:type="dxa"/>
            <w:tcBorders>
              <w:top w:val="nil"/>
              <w:left w:val="single" w:color="000000" w:sz="6" w:space="0"/>
              <w:bottom w:val="nil"/>
            </w:tcBorders>
            <w:vAlign w:val="top"/>
          </w:tcPr>
          <w:p w14:paraId="7FB2E34B">
            <w:pPr>
              <w:spacing w:line="223" w:lineRule="exact"/>
              <w:rPr>
                <w:rFonts w:ascii="Arial"/>
                <w:sz w:val="19"/>
              </w:rPr>
            </w:pPr>
          </w:p>
        </w:tc>
        <w:tc>
          <w:tcPr>
            <w:tcW w:w="906" w:type="dxa"/>
            <w:gridSpan w:val="2"/>
            <w:vMerge w:val="continue"/>
            <w:tcBorders>
              <w:top w:val="nil"/>
              <w:bottom w:val="nil"/>
            </w:tcBorders>
            <w:vAlign w:val="top"/>
          </w:tcPr>
          <w:p w14:paraId="0719EA7E">
            <w:pPr>
              <w:rPr>
                <w:rFonts w:ascii="Arial"/>
                <w:sz w:val="21"/>
              </w:rPr>
            </w:pPr>
          </w:p>
        </w:tc>
        <w:tc>
          <w:tcPr>
            <w:tcW w:w="1258" w:type="dxa"/>
            <w:gridSpan w:val="2"/>
            <w:vAlign w:val="top"/>
          </w:tcPr>
          <w:p w14:paraId="112AD632">
            <w:pPr>
              <w:spacing w:before="68" w:line="162"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1B1X4-Z1</w:t>
            </w:r>
          </w:p>
        </w:tc>
        <w:tc>
          <w:tcPr>
            <w:tcW w:w="954" w:type="dxa"/>
            <w:gridSpan w:val="3"/>
            <w:vAlign w:val="top"/>
          </w:tcPr>
          <w:p w14:paraId="672EE187">
            <w:pPr>
              <w:spacing w:before="68" w:line="162" w:lineRule="auto"/>
              <w:ind w:left="28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48m</w:t>
            </w:r>
          </w:p>
        </w:tc>
        <w:tc>
          <w:tcPr>
            <w:tcW w:w="2101" w:type="dxa"/>
            <w:gridSpan w:val="4"/>
            <w:vAlign w:val="top"/>
          </w:tcPr>
          <w:p w14:paraId="1D786786">
            <w:pPr>
              <w:spacing w:before="68" w:line="162" w:lineRule="auto"/>
              <w:ind w:left="9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6.8</w:t>
            </w:r>
          </w:p>
        </w:tc>
        <w:tc>
          <w:tcPr>
            <w:tcW w:w="732" w:type="dxa"/>
            <w:gridSpan w:val="2"/>
            <w:vMerge w:val="restart"/>
            <w:tcBorders>
              <w:bottom w:val="nil"/>
            </w:tcBorders>
            <w:vAlign w:val="top"/>
          </w:tcPr>
          <w:p w14:paraId="594345FC">
            <w:pPr>
              <w:pStyle w:val="6"/>
              <w:spacing w:before="147" w:line="253" w:lineRule="auto"/>
              <w:ind w:left="269" w:right="153" w:hanging="103"/>
            </w:pPr>
            <w:r>
              <w:rPr>
                <w:spacing w:val="3"/>
              </w:rPr>
              <w:t>直线</w:t>
            </w:r>
            <w:r>
              <w:t>塔</w:t>
            </w:r>
          </w:p>
        </w:tc>
        <w:tc>
          <w:tcPr>
            <w:tcW w:w="1181" w:type="dxa"/>
            <w:gridSpan w:val="2"/>
            <w:vMerge w:val="restart"/>
            <w:tcBorders>
              <w:bottom w:val="nil"/>
            </w:tcBorders>
            <w:vAlign w:val="top"/>
          </w:tcPr>
          <w:p w14:paraId="39A45402">
            <w:pPr>
              <w:pStyle w:val="6"/>
              <w:spacing w:before="284" w:line="227" w:lineRule="auto"/>
              <w:ind w:left="181"/>
            </w:pPr>
            <w:r>
              <w:rPr>
                <w:spacing w:val="7"/>
              </w:rPr>
              <w:t>三角排列</w:t>
            </w:r>
          </w:p>
        </w:tc>
        <w:tc>
          <w:tcPr>
            <w:tcW w:w="779" w:type="dxa"/>
            <w:vMerge w:val="restart"/>
            <w:tcBorders>
              <w:bottom w:val="nil"/>
            </w:tcBorders>
            <w:vAlign w:val="top"/>
          </w:tcPr>
          <w:p w14:paraId="69B63926">
            <w:pPr>
              <w:spacing w:line="261" w:lineRule="auto"/>
              <w:rPr>
                <w:rFonts w:ascii="Arial"/>
                <w:sz w:val="21"/>
              </w:rPr>
            </w:pPr>
          </w:p>
          <w:p w14:paraId="584A0FB1">
            <w:pPr>
              <w:spacing w:before="57" w:line="195" w:lineRule="auto"/>
              <w:ind w:left="31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18</w:t>
            </w:r>
          </w:p>
        </w:tc>
        <w:tc>
          <w:tcPr>
            <w:tcW w:w="124" w:type="dxa"/>
            <w:tcBorders>
              <w:top w:val="nil"/>
              <w:bottom w:val="nil"/>
              <w:right w:val="single" w:color="000000" w:sz="6" w:space="0"/>
            </w:tcBorders>
            <w:vAlign w:val="top"/>
          </w:tcPr>
          <w:p w14:paraId="5236FD68">
            <w:pPr>
              <w:spacing w:line="223" w:lineRule="exact"/>
              <w:rPr>
                <w:rFonts w:ascii="Arial"/>
                <w:sz w:val="19"/>
              </w:rPr>
            </w:pPr>
          </w:p>
        </w:tc>
      </w:tr>
      <w:tr w14:paraId="5692A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375" w:type="dxa"/>
            <w:vMerge w:val="continue"/>
            <w:tcBorders>
              <w:top w:val="nil"/>
              <w:left w:val="single" w:color="000000" w:sz="6" w:space="0"/>
              <w:bottom w:val="nil"/>
              <w:right w:val="single" w:color="000000" w:sz="6" w:space="0"/>
            </w:tcBorders>
            <w:vAlign w:val="top"/>
          </w:tcPr>
          <w:p w14:paraId="68AA145B">
            <w:pPr>
              <w:rPr>
                <w:rFonts w:ascii="Arial"/>
                <w:sz w:val="21"/>
              </w:rPr>
            </w:pPr>
          </w:p>
        </w:tc>
        <w:tc>
          <w:tcPr>
            <w:tcW w:w="114" w:type="dxa"/>
            <w:tcBorders>
              <w:top w:val="nil"/>
              <w:left w:val="single" w:color="000000" w:sz="6" w:space="0"/>
              <w:bottom w:val="nil"/>
            </w:tcBorders>
            <w:vAlign w:val="top"/>
          </w:tcPr>
          <w:p w14:paraId="082762BA">
            <w:pPr>
              <w:rPr>
                <w:rFonts w:ascii="Arial"/>
                <w:sz w:val="21"/>
              </w:rPr>
            </w:pPr>
          </w:p>
        </w:tc>
        <w:tc>
          <w:tcPr>
            <w:tcW w:w="906" w:type="dxa"/>
            <w:gridSpan w:val="2"/>
            <w:vMerge w:val="continue"/>
            <w:tcBorders>
              <w:top w:val="nil"/>
              <w:bottom w:val="nil"/>
            </w:tcBorders>
            <w:vAlign w:val="top"/>
          </w:tcPr>
          <w:p w14:paraId="5C8D9311">
            <w:pPr>
              <w:rPr>
                <w:rFonts w:ascii="Arial"/>
                <w:sz w:val="21"/>
              </w:rPr>
            </w:pPr>
          </w:p>
        </w:tc>
        <w:tc>
          <w:tcPr>
            <w:tcW w:w="1258" w:type="dxa"/>
            <w:gridSpan w:val="2"/>
            <w:vAlign w:val="top"/>
          </w:tcPr>
          <w:p w14:paraId="1776A239">
            <w:pPr>
              <w:spacing w:before="81" w:line="173"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1B1X4-Z2</w:t>
            </w:r>
          </w:p>
        </w:tc>
        <w:tc>
          <w:tcPr>
            <w:tcW w:w="954" w:type="dxa"/>
            <w:gridSpan w:val="3"/>
            <w:vAlign w:val="top"/>
          </w:tcPr>
          <w:p w14:paraId="69AB4920">
            <w:pPr>
              <w:spacing w:before="81" w:line="173" w:lineRule="auto"/>
              <w:ind w:left="29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54m</w:t>
            </w:r>
          </w:p>
        </w:tc>
        <w:tc>
          <w:tcPr>
            <w:tcW w:w="2101" w:type="dxa"/>
            <w:gridSpan w:val="4"/>
            <w:vAlign w:val="top"/>
          </w:tcPr>
          <w:p w14:paraId="645398F9">
            <w:pPr>
              <w:spacing w:before="84" w:line="170" w:lineRule="auto"/>
              <w:ind w:left="1002"/>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732" w:type="dxa"/>
            <w:gridSpan w:val="2"/>
            <w:vMerge w:val="continue"/>
            <w:tcBorders>
              <w:top w:val="nil"/>
              <w:bottom w:val="nil"/>
            </w:tcBorders>
            <w:vAlign w:val="top"/>
          </w:tcPr>
          <w:p w14:paraId="316CEBC6">
            <w:pPr>
              <w:rPr>
                <w:rFonts w:ascii="Arial"/>
                <w:sz w:val="21"/>
              </w:rPr>
            </w:pPr>
          </w:p>
        </w:tc>
        <w:tc>
          <w:tcPr>
            <w:tcW w:w="1181" w:type="dxa"/>
            <w:gridSpan w:val="2"/>
            <w:vMerge w:val="continue"/>
            <w:tcBorders>
              <w:top w:val="nil"/>
              <w:bottom w:val="nil"/>
            </w:tcBorders>
            <w:vAlign w:val="top"/>
          </w:tcPr>
          <w:p w14:paraId="2F5EA6FA">
            <w:pPr>
              <w:rPr>
                <w:rFonts w:ascii="Arial"/>
                <w:sz w:val="21"/>
              </w:rPr>
            </w:pPr>
          </w:p>
        </w:tc>
        <w:tc>
          <w:tcPr>
            <w:tcW w:w="779" w:type="dxa"/>
            <w:vMerge w:val="continue"/>
            <w:tcBorders>
              <w:top w:val="nil"/>
              <w:bottom w:val="nil"/>
            </w:tcBorders>
            <w:vAlign w:val="top"/>
          </w:tcPr>
          <w:p w14:paraId="264EAB2A">
            <w:pPr>
              <w:rPr>
                <w:rFonts w:ascii="Arial"/>
                <w:sz w:val="21"/>
              </w:rPr>
            </w:pPr>
          </w:p>
        </w:tc>
        <w:tc>
          <w:tcPr>
            <w:tcW w:w="124" w:type="dxa"/>
            <w:tcBorders>
              <w:top w:val="nil"/>
              <w:bottom w:val="nil"/>
              <w:right w:val="single" w:color="000000" w:sz="6" w:space="0"/>
            </w:tcBorders>
            <w:vAlign w:val="top"/>
          </w:tcPr>
          <w:p w14:paraId="37742477">
            <w:pPr>
              <w:rPr>
                <w:rFonts w:ascii="Arial"/>
                <w:sz w:val="21"/>
              </w:rPr>
            </w:pPr>
          </w:p>
        </w:tc>
      </w:tr>
      <w:tr w14:paraId="1B660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375" w:type="dxa"/>
            <w:vMerge w:val="continue"/>
            <w:tcBorders>
              <w:top w:val="nil"/>
              <w:left w:val="single" w:color="000000" w:sz="6" w:space="0"/>
              <w:bottom w:val="nil"/>
              <w:right w:val="single" w:color="000000" w:sz="6" w:space="0"/>
            </w:tcBorders>
            <w:vAlign w:val="top"/>
          </w:tcPr>
          <w:p w14:paraId="396345E6">
            <w:pPr>
              <w:rPr>
                <w:rFonts w:ascii="Arial"/>
                <w:sz w:val="21"/>
              </w:rPr>
            </w:pPr>
          </w:p>
        </w:tc>
        <w:tc>
          <w:tcPr>
            <w:tcW w:w="114" w:type="dxa"/>
            <w:tcBorders>
              <w:top w:val="nil"/>
              <w:left w:val="single" w:color="000000" w:sz="6" w:space="0"/>
              <w:bottom w:val="nil"/>
            </w:tcBorders>
            <w:vAlign w:val="top"/>
          </w:tcPr>
          <w:p w14:paraId="30FBE049">
            <w:pPr>
              <w:spacing w:line="237" w:lineRule="exact"/>
              <w:rPr>
                <w:rFonts w:ascii="Arial"/>
                <w:sz w:val="20"/>
              </w:rPr>
            </w:pPr>
          </w:p>
        </w:tc>
        <w:tc>
          <w:tcPr>
            <w:tcW w:w="906" w:type="dxa"/>
            <w:gridSpan w:val="2"/>
            <w:vMerge w:val="continue"/>
            <w:tcBorders>
              <w:top w:val="nil"/>
              <w:bottom w:val="nil"/>
            </w:tcBorders>
            <w:vAlign w:val="top"/>
          </w:tcPr>
          <w:p w14:paraId="659ABCC2">
            <w:pPr>
              <w:rPr>
                <w:rFonts w:ascii="Arial"/>
                <w:sz w:val="21"/>
              </w:rPr>
            </w:pPr>
          </w:p>
        </w:tc>
        <w:tc>
          <w:tcPr>
            <w:tcW w:w="1258" w:type="dxa"/>
            <w:gridSpan w:val="2"/>
            <w:vAlign w:val="top"/>
          </w:tcPr>
          <w:p w14:paraId="6FF59CBC">
            <w:pPr>
              <w:spacing w:before="71" w:line="173" w:lineRule="auto"/>
              <w:ind w:left="19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1B1X4-Z3</w:t>
            </w:r>
          </w:p>
        </w:tc>
        <w:tc>
          <w:tcPr>
            <w:tcW w:w="954" w:type="dxa"/>
            <w:gridSpan w:val="3"/>
            <w:vAlign w:val="top"/>
          </w:tcPr>
          <w:p w14:paraId="3A361B5D">
            <w:pPr>
              <w:spacing w:before="71" w:line="173" w:lineRule="auto"/>
              <w:ind w:left="29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54m</w:t>
            </w:r>
          </w:p>
        </w:tc>
        <w:tc>
          <w:tcPr>
            <w:tcW w:w="2101" w:type="dxa"/>
            <w:gridSpan w:val="4"/>
            <w:vAlign w:val="top"/>
          </w:tcPr>
          <w:p w14:paraId="5D1575EB">
            <w:pPr>
              <w:spacing w:before="71" w:line="173" w:lineRule="auto"/>
              <w:ind w:left="9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7.4</w:t>
            </w:r>
          </w:p>
        </w:tc>
        <w:tc>
          <w:tcPr>
            <w:tcW w:w="732" w:type="dxa"/>
            <w:gridSpan w:val="2"/>
            <w:vMerge w:val="continue"/>
            <w:tcBorders>
              <w:top w:val="nil"/>
            </w:tcBorders>
            <w:vAlign w:val="top"/>
          </w:tcPr>
          <w:p w14:paraId="6FE7918F">
            <w:pPr>
              <w:rPr>
                <w:rFonts w:ascii="Arial"/>
                <w:sz w:val="21"/>
              </w:rPr>
            </w:pPr>
          </w:p>
        </w:tc>
        <w:tc>
          <w:tcPr>
            <w:tcW w:w="1181" w:type="dxa"/>
            <w:gridSpan w:val="2"/>
            <w:vMerge w:val="continue"/>
            <w:tcBorders>
              <w:top w:val="nil"/>
            </w:tcBorders>
            <w:vAlign w:val="top"/>
          </w:tcPr>
          <w:p w14:paraId="15B5BB2D">
            <w:pPr>
              <w:rPr>
                <w:rFonts w:ascii="Arial"/>
                <w:sz w:val="21"/>
              </w:rPr>
            </w:pPr>
          </w:p>
        </w:tc>
        <w:tc>
          <w:tcPr>
            <w:tcW w:w="779" w:type="dxa"/>
            <w:vMerge w:val="continue"/>
            <w:tcBorders>
              <w:top w:val="nil"/>
            </w:tcBorders>
            <w:vAlign w:val="top"/>
          </w:tcPr>
          <w:p w14:paraId="5F8EC2D0">
            <w:pPr>
              <w:rPr>
                <w:rFonts w:ascii="Arial"/>
                <w:sz w:val="21"/>
              </w:rPr>
            </w:pPr>
          </w:p>
        </w:tc>
        <w:tc>
          <w:tcPr>
            <w:tcW w:w="124" w:type="dxa"/>
            <w:tcBorders>
              <w:top w:val="nil"/>
              <w:bottom w:val="nil"/>
              <w:right w:val="single" w:color="000000" w:sz="6" w:space="0"/>
            </w:tcBorders>
            <w:vAlign w:val="top"/>
          </w:tcPr>
          <w:p w14:paraId="4365E6C9">
            <w:pPr>
              <w:spacing w:line="237" w:lineRule="exact"/>
              <w:rPr>
                <w:rFonts w:ascii="Arial"/>
                <w:sz w:val="20"/>
              </w:rPr>
            </w:pPr>
          </w:p>
        </w:tc>
      </w:tr>
      <w:tr w14:paraId="73B30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 w:hRule="atLeast"/>
        </w:trPr>
        <w:tc>
          <w:tcPr>
            <w:tcW w:w="375" w:type="dxa"/>
            <w:vMerge w:val="continue"/>
            <w:tcBorders>
              <w:top w:val="nil"/>
              <w:left w:val="single" w:color="000000" w:sz="6" w:space="0"/>
              <w:bottom w:val="nil"/>
              <w:right w:val="single" w:color="000000" w:sz="6" w:space="0"/>
            </w:tcBorders>
            <w:vAlign w:val="top"/>
          </w:tcPr>
          <w:p w14:paraId="148E8011">
            <w:pPr>
              <w:rPr>
                <w:rFonts w:ascii="Arial"/>
                <w:sz w:val="21"/>
              </w:rPr>
            </w:pPr>
          </w:p>
        </w:tc>
        <w:tc>
          <w:tcPr>
            <w:tcW w:w="114" w:type="dxa"/>
            <w:tcBorders>
              <w:top w:val="nil"/>
              <w:left w:val="single" w:color="000000" w:sz="6" w:space="0"/>
              <w:bottom w:val="nil"/>
            </w:tcBorders>
            <w:vAlign w:val="top"/>
          </w:tcPr>
          <w:p w14:paraId="27C9FAD6">
            <w:pPr>
              <w:spacing w:line="240" w:lineRule="exact"/>
              <w:rPr>
                <w:rFonts w:ascii="Arial"/>
                <w:sz w:val="20"/>
              </w:rPr>
            </w:pPr>
          </w:p>
        </w:tc>
        <w:tc>
          <w:tcPr>
            <w:tcW w:w="906" w:type="dxa"/>
            <w:gridSpan w:val="2"/>
            <w:vMerge w:val="continue"/>
            <w:tcBorders>
              <w:top w:val="nil"/>
              <w:bottom w:val="nil"/>
            </w:tcBorders>
            <w:vAlign w:val="top"/>
          </w:tcPr>
          <w:p w14:paraId="49416241">
            <w:pPr>
              <w:rPr>
                <w:rFonts w:ascii="Arial"/>
                <w:sz w:val="21"/>
              </w:rPr>
            </w:pPr>
          </w:p>
        </w:tc>
        <w:tc>
          <w:tcPr>
            <w:tcW w:w="1258" w:type="dxa"/>
            <w:gridSpan w:val="2"/>
            <w:vAlign w:val="top"/>
          </w:tcPr>
          <w:p w14:paraId="4543CAFE">
            <w:pPr>
              <w:spacing w:before="71" w:line="176" w:lineRule="auto"/>
              <w:ind w:left="2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1C1X4-J2</w:t>
            </w:r>
          </w:p>
        </w:tc>
        <w:tc>
          <w:tcPr>
            <w:tcW w:w="954" w:type="dxa"/>
            <w:gridSpan w:val="3"/>
            <w:vAlign w:val="top"/>
          </w:tcPr>
          <w:p w14:paraId="1A162120">
            <w:pPr>
              <w:spacing w:before="71" w:line="176" w:lineRule="auto"/>
              <w:ind w:left="28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42m</w:t>
            </w:r>
          </w:p>
        </w:tc>
        <w:tc>
          <w:tcPr>
            <w:tcW w:w="2101" w:type="dxa"/>
            <w:gridSpan w:val="4"/>
            <w:vAlign w:val="top"/>
          </w:tcPr>
          <w:p w14:paraId="59CC5149">
            <w:pPr>
              <w:spacing w:before="71" w:line="176" w:lineRule="auto"/>
              <w:ind w:left="9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7.6</w:t>
            </w:r>
          </w:p>
        </w:tc>
        <w:tc>
          <w:tcPr>
            <w:tcW w:w="732" w:type="dxa"/>
            <w:gridSpan w:val="2"/>
            <w:vMerge w:val="restart"/>
            <w:tcBorders>
              <w:bottom w:val="nil"/>
            </w:tcBorders>
            <w:vAlign w:val="top"/>
          </w:tcPr>
          <w:p w14:paraId="634854EB">
            <w:pPr>
              <w:pStyle w:val="6"/>
              <w:spacing w:before="274" w:line="253" w:lineRule="auto"/>
              <w:ind w:left="269" w:right="153" w:hanging="103"/>
            </w:pPr>
            <w:r>
              <w:rPr>
                <w:spacing w:val="3"/>
              </w:rPr>
              <w:t>耐张</w:t>
            </w:r>
            <w:r>
              <w:t>塔</w:t>
            </w:r>
          </w:p>
        </w:tc>
        <w:tc>
          <w:tcPr>
            <w:tcW w:w="1181" w:type="dxa"/>
            <w:gridSpan w:val="2"/>
            <w:vMerge w:val="restart"/>
            <w:tcBorders>
              <w:bottom w:val="nil"/>
            </w:tcBorders>
            <w:vAlign w:val="top"/>
          </w:tcPr>
          <w:p w14:paraId="2794AAC3">
            <w:pPr>
              <w:spacing w:line="342" w:lineRule="auto"/>
              <w:rPr>
                <w:rFonts w:ascii="Arial"/>
                <w:sz w:val="21"/>
              </w:rPr>
            </w:pPr>
          </w:p>
          <w:p w14:paraId="0A1A10BC">
            <w:pPr>
              <w:pStyle w:val="6"/>
              <w:spacing w:before="65" w:line="227" w:lineRule="auto"/>
              <w:ind w:left="181"/>
            </w:pPr>
            <w:r>
              <w:rPr>
                <w:spacing w:val="7"/>
              </w:rPr>
              <w:t>三角排列</w:t>
            </w:r>
          </w:p>
        </w:tc>
        <w:tc>
          <w:tcPr>
            <w:tcW w:w="779" w:type="dxa"/>
            <w:vMerge w:val="restart"/>
            <w:tcBorders>
              <w:bottom w:val="nil"/>
            </w:tcBorders>
            <w:vAlign w:val="top"/>
          </w:tcPr>
          <w:p w14:paraId="75F4D167">
            <w:pPr>
              <w:spacing w:line="385" w:lineRule="auto"/>
              <w:rPr>
                <w:rFonts w:ascii="Arial"/>
                <w:sz w:val="21"/>
              </w:rPr>
            </w:pPr>
          </w:p>
          <w:p w14:paraId="5D8A5C06">
            <w:pPr>
              <w:spacing w:before="58" w:line="195" w:lineRule="auto"/>
              <w:ind w:left="31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17</w:t>
            </w:r>
          </w:p>
        </w:tc>
        <w:tc>
          <w:tcPr>
            <w:tcW w:w="124" w:type="dxa"/>
            <w:tcBorders>
              <w:top w:val="nil"/>
              <w:bottom w:val="nil"/>
              <w:right w:val="single" w:color="000000" w:sz="6" w:space="0"/>
            </w:tcBorders>
            <w:vAlign w:val="top"/>
          </w:tcPr>
          <w:p w14:paraId="685C7910">
            <w:pPr>
              <w:spacing w:line="240" w:lineRule="exact"/>
              <w:rPr>
                <w:rFonts w:ascii="Arial"/>
                <w:sz w:val="20"/>
              </w:rPr>
            </w:pPr>
          </w:p>
        </w:tc>
      </w:tr>
      <w:tr w14:paraId="1FD8B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375" w:type="dxa"/>
            <w:vMerge w:val="continue"/>
            <w:tcBorders>
              <w:top w:val="nil"/>
              <w:left w:val="single" w:color="000000" w:sz="6" w:space="0"/>
              <w:bottom w:val="nil"/>
              <w:right w:val="single" w:color="000000" w:sz="6" w:space="0"/>
            </w:tcBorders>
            <w:vAlign w:val="top"/>
          </w:tcPr>
          <w:p w14:paraId="17E59BE6">
            <w:pPr>
              <w:rPr>
                <w:rFonts w:ascii="Arial"/>
                <w:sz w:val="21"/>
              </w:rPr>
            </w:pPr>
          </w:p>
        </w:tc>
        <w:tc>
          <w:tcPr>
            <w:tcW w:w="114" w:type="dxa"/>
            <w:tcBorders>
              <w:top w:val="nil"/>
              <w:left w:val="single" w:color="000000" w:sz="6" w:space="0"/>
              <w:bottom w:val="nil"/>
            </w:tcBorders>
            <w:vAlign w:val="top"/>
          </w:tcPr>
          <w:p w14:paraId="48DC17D3">
            <w:pPr>
              <w:spacing w:line="228" w:lineRule="exact"/>
              <w:rPr>
                <w:rFonts w:ascii="Arial"/>
                <w:sz w:val="19"/>
              </w:rPr>
            </w:pPr>
          </w:p>
        </w:tc>
        <w:tc>
          <w:tcPr>
            <w:tcW w:w="906" w:type="dxa"/>
            <w:gridSpan w:val="2"/>
            <w:vMerge w:val="continue"/>
            <w:tcBorders>
              <w:top w:val="nil"/>
              <w:bottom w:val="nil"/>
            </w:tcBorders>
            <w:vAlign w:val="top"/>
          </w:tcPr>
          <w:p w14:paraId="1203D0B1">
            <w:pPr>
              <w:rPr>
                <w:rFonts w:ascii="Arial"/>
                <w:sz w:val="21"/>
              </w:rPr>
            </w:pPr>
          </w:p>
        </w:tc>
        <w:tc>
          <w:tcPr>
            <w:tcW w:w="1258" w:type="dxa"/>
            <w:gridSpan w:val="2"/>
            <w:vAlign w:val="top"/>
          </w:tcPr>
          <w:p w14:paraId="658BB5FB">
            <w:pPr>
              <w:spacing w:before="68" w:line="168" w:lineRule="auto"/>
              <w:ind w:left="2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1C1X4-J4</w:t>
            </w:r>
          </w:p>
        </w:tc>
        <w:tc>
          <w:tcPr>
            <w:tcW w:w="954" w:type="dxa"/>
            <w:gridSpan w:val="3"/>
            <w:vAlign w:val="top"/>
          </w:tcPr>
          <w:p w14:paraId="3BCA3631">
            <w:pPr>
              <w:spacing w:before="68" w:line="168" w:lineRule="auto"/>
              <w:ind w:left="28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42m</w:t>
            </w:r>
          </w:p>
        </w:tc>
        <w:tc>
          <w:tcPr>
            <w:tcW w:w="2101" w:type="dxa"/>
            <w:gridSpan w:val="4"/>
            <w:vAlign w:val="top"/>
          </w:tcPr>
          <w:p w14:paraId="0124DCA5">
            <w:pPr>
              <w:spacing w:before="68" w:line="168" w:lineRule="auto"/>
              <w:ind w:left="9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7.9</w:t>
            </w:r>
          </w:p>
        </w:tc>
        <w:tc>
          <w:tcPr>
            <w:tcW w:w="732" w:type="dxa"/>
            <w:gridSpan w:val="2"/>
            <w:vMerge w:val="continue"/>
            <w:tcBorders>
              <w:top w:val="nil"/>
              <w:bottom w:val="nil"/>
            </w:tcBorders>
            <w:vAlign w:val="top"/>
          </w:tcPr>
          <w:p w14:paraId="5F549874">
            <w:pPr>
              <w:rPr>
                <w:rFonts w:ascii="Arial"/>
                <w:sz w:val="21"/>
              </w:rPr>
            </w:pPr>
          </w:p>
        </w:tc>
        <w:tc>
          <w:tcPr>
            <w:tcW w:w="1181" w:type="dxa"/>
            <w:gridSpan w:val="2"/>
            <w:vMerge w:val="continue"/>
            <w:tcBorders>
              <w:top w:val="nil"/>
              <w:bottom w:val="nil"/>
            </w:tcBorders>
            <w:vAlign w:val="top"/>
          </w:tcPr>
          <w:p w14:paraId="2C6B79FB">
            <w:pPr>
              <w:rPr>
                <w:rFonts w:ascii="Arial"/>
                <w:sz w:val="21"/>
              </w:rPr>
            </w:pPr>
          </w:p>
        </w:tc>
        <w:tc>
          <w:tcPr>
            <w:tcW w:w="779" w:type="dxa"/>
            <w:vMerge w:val="continue"/>
            <w:tcBorders>
              <w:top w:val="nil"/>
              <w:bottom w:val="nil"/>
            </w:tcBorders>
            <w:vAlign w:val="top"/>
          </w:tcPr>
          <w:p w14:paraId="3BD903CC">
            <w:pPr>
              <w:rPr>
                <w:rFonts w:ascii="Arial"/>
                <w:sz w:val="21"/>
              </w:rPr>
            </w:pPr>
          </w:p>
        </w:tc>
        <w:tc>
          <w:tcPr>
            <w:tcW w:w="124" w:type="dxa"/>
            <w:tcBorders>
              <w:top w:val="nil"/>
              <w:bottom w:val="nil"/>
              <w:right w:val="single" w:color="000000" w:sz="6" w:space="0"/>
            </w:tcBorders>
            <w:vAlign w:val="top"/>
          </w:tcPr>
          <w:p w14:paraId="53C2C1A5">
            <w:pPr>
              <w:spacing w:line="228" w:lineRule="exact"/>
              <w:rPr>
                <w:rFonts w:ascii="Arial"/>
                <w:sz w:val="19"/>
              </w:rPr>
            </w:pPr>
          </w:p>
        </w:tc>
      </w:tr>
      <w:tr w14:paraId="12A51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375" w:type="dxa"/>
            <w:vMerge w:val="continue"/>
            <w:tcBorders>
              <w:top w:val="nil"/>
              <w:left w:val="single" w:color="000000" w:sz="6" w:space="0"/>
              <w:bottom w:val="nil"/>
              <w:right w:val="single" w:color="000000" w:sz="6" w:space="0"/>
            </w:tcBorders>
            <w:vAlign w:val="top"/>
          </w:tcPr>
          <w:p w14:paraId="7C07890C">
            <w:pPr>
              <w:rPr>
                <w:rFonts w:ascii="Arial"/>
                <w:sz w:val="21"/>
              </w:rPr>
            </w:pPr>
          </w:p>
        </w:tc>
        <w:tc>
          <w:tcPr>
            <w:tcW w:w="114" w:type="dxa"/>
            <w:tcBorders>
              <w:top w:val="nil"/>
              <w:left w:val="single" w:color="000000" w:sz="6" w:space="0"/>
              <w:bottom w:val="nil"/>
            </w:tcBorders>
            <w:vAlign w:val="top"/>
          </w:tcPr>
          <w:p w14:paraId="70585D43">
            <w:pPr>
              <w:spacing w:line="228" w:lineRule="exact"/>
              <w:rPr>
                <w:rFonts w:ascii="Arial"/>
                <w:sz w:val="19"/>
              </w:rPr>
            </w:pPr>
          </w:p>
        </w:tc>
        <w:tc>
          <w:tcPr>
            <w:tcW w:w="906" w:type="dxa"/>
            <w:gridSpan w:val="2"/>
            <w:vMerge w:val="continue"/>
            <w:tcBorders>
              <w:top w:val="nil"/>
              <w:bottom w:val="nil"/>
            </w:tcBorders>
            <w:vAlign w:val="top"/>
          </w:tcPr>
          <w:p w14:paraId="1B7821E0">
            <w:pPr>
              <w:rPr>
                <w:rFonts w:ascii="Arial"/>
                <w:sz w:val="21"/>
              </w:rPr>
            </w:pPr>
          </w:p>
        </w:tc>
        <w:tc>
          <w:tcPr>
            <w:tcW w:w="1258" w:type="dxa"/>
            <w:gridSpan w:val="2"/>
            <w:vAlign w:val="top"/>
          </w:tcPr>
          <w:p w14:paraId="00DE5811">
            <w:pPr>
              <w:spacing w:before="73" w:line="161" w:lineRule="auto"/>
              <w:ind w:left="2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1B1X4-J2</w:t>
            </w:r>
          </w:p>
        </w:tc>
        <w:tc>
          <w:tcPr>
            <w:tcW w:w="954" w:type="dxa"/>
            <w:gridSpan w:val="3"/>
            <w:vAlign w:val="top"/>
          </w:tcPr>
          <w:p w14:paraId="59450B36">
            <w:pPr>
              <w:spacing w:before="73" w:line="161" w:lineRule="auto"/>
              <w:ind w:left="2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39m</w:t>
            </w:r>
          </w:p>
        </w:tc>
        <w:tc>
          <w:tcPr>
            <w:tcW w:w="2101" w:type="dxa"/>
            <w:gridSpan w:val="4"/>
            <w:vAlign w:val="top"/>
          </w:tcPr>
          <w:p w14:paraId="2B5D2EC8">
            <w:pPr>
              <w:spacing w:before="73" w:line="161" w:lineRule="auto"/>
              <w:ind w:left="9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7.3</w:t>
            </w:r>
          </w:p>
        </w:tc>
        <w:tc>
          <w:tcPr>
            <w:tcW w:w="732" w:type="dxa"/>
            <w:gridSpan w:val="2"/>
            <w:vMerge w:val="continue"/>
            <w:tcBorders>
              <w:top w:val="nil"/>
              <w:bottom w:val="nil"/>
            </w:tcBorders>
            <w:vAlign w:val="top"/>
          </w:tcPr>
          <w:p w14:paraId="77F7103A">
            <w:pPr>
              <w:rPr>
                <w:rFonts w:ascii="Arial"/>
                <w:sz w:val="21"/>
              </w:rPr>
            </w:pPr>
          </w:p>
        </w:tc>
        <w:tc>
          <w:tcPr>
            <w:tcW w:w="1181" w:type="dxa"/>
            <w:gridSpan w:val="2"/>
            <w:vMerge w:val="continue"/>
            <w:tcBorders>
              <w:top w:val="nil"/>
              <w:bottom w:val="nil"/>
            </w:tcBorders>
            <w:vAlign w:val="top"/>
          </w:tcPr>
          <w:p w14:paraId="2376741B">
            <w:pPr>
              <w:rPr>
                <w:rFonts w:ascii="Arial"/>
                <w:sz w:val="21"/>
              </w:rPr>
            </w:pPr>
          </w:p>
        </w:tc>
        <w:tc>
          <w:tcPr>
            <w:tcW w:w="779" w:type="dxa"/>
            <w:vMerge w:val="continue"/>
            <w:tcBorders>
              <w:top w:val="nil"/>
              <w:bottom w:val="nil"/>
            </w:tcBorders>
            <w:vAlign w:val="top"/>
          </w:tcPr>
          <w:p w14:paraId="028FFA5B">
            <w:pPr>
              <w:rPr>
                <w:rFonts w:ascii="Arial"/>
                <w:sz w:val="21"/>
              </w:rPr>
            </w:pPr>
          </w:p>
        </w:tc>
        <w:tc>
          <w:tcPr>
            <w:tcW w:w="124" w:type="dxa"/>
            <w:tcBorders>
              <w:top w:val="nil"/>
              <w:bottom w:val="nil"/>
              <w:right w:val="single" w:color="000000" w:sz="6" w:space="0"/>
            </w:tcBorders>
            <w:vAlign w:val="top"/>
          </w:tcPr>
          <w:p w14:paraId="52F4CCD1">
            <w:pPr>
              <w:spacing w:line="228" w:lineRule="exact"/>
              <w:rPr>
                <w:rFonts w:ascii="Arial"/>
                <w:sz w:val="19"/>
              </w:rPr>
            </w:pPr>
          </w:p>
        </w:tc>
      </w:tr>
      <w:tr w14:paraId="01FDF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 w:hRule="atLeast"/>
        </w:trPr>
        <w:tc>
          <w:tcPr>
            <w:tcW w:w="375" w:type="dxa"/>
            <w:vMerge w:val="continue"/>
            <w:tcBorders>
              <w:top w:val="nil"/>
              <w:left w:val="single" w:color="000000" w:sz="6" w:space="0"/>
              <w:bottom w:val="nil"/>
              <w:right w:val="single" w:color="000000" w:sz="6" w:space="0"/>
            </w:tcBorders>
            <w:vAlign w:val="top"/>
          </w:tcPr>
          <w:p w14:paraId="361C405B">
            <w:pPr>
              <w:rPr>
                <w:rFonts w:ascii="Arial"/>
                <w:sz w:val="21"/>
              </w:rPr>
            </w:pPr>
          </w:p>
        </w:tc>
        <w:tc>
          <w:tcPr>
            <w:tcW w:w="114" w:type="dxa"/>
            <w:tcBorders>
              <w:top w:val="nil"/>
              <w:left w:val="single" w:color="000000" w:sz="6" w:space="0"/>
              <w:bottom w:val="nil"/>
            </w:tcBorders>
            <w:vAlign w:val="top"/>
          </w:tcPr>
          <w:p w14:paraId="059A47B0">
            <w:pPr>
              <w:rPr>
                <w:rFonts w:ascii="Arial"/>
                <w:sz w:val="21"/>
              </w:rPr>
            </w:pPr>
          </w:p>
        </w:tc>
        <w:tc>
          <w:tcPr>
            <w:tcW w:w="906" w:type="dxa"/>
            <w:gridSpan w:val="2"/>
            <w:vMerge w:val="continue"/>
            <w:tcBorders>
              <w:top w:val="nil"/>
              <w:bottom w:val="nil"/>
            </w:tcBorders>
            <w:vAlign w:val="top"/>
          </w:tcPr>
          <w:p w14:paraId="47F2D802">
            <w:pPr>
              <w:rPr>
                <w:rFonts w:ascii="Arial"/>
                <w:sz w:val="21"/>
              </w:rPr>
            </w:pPr>
          </w:p>
        </w:tc>
        <w:tc>
          <w:tcPr>
            <w:tcW w:w="1258" w:type="dxa"/>
            <w:gridSpan w:val="2"/>
            <w:vAlign w:val="top"/>
          </w:tcPr>
          <w:p w14:paraId="34FDAD31">
            <w:pPr>
              <w:spacing w:before="83" w:line="174" w:lineRule="auto"/>
              <w:ind w:left="2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1B1X4-J4</w:t>
            </w:r>
          </w:p>
        </w:tc>
        <w:tc>
          <w:tcPr>
            <w:tcW w:w="954" w:type="dxa"/>
            <w:gridSpan w:val="3"/>
            <w:vAlign w:val="top"/>
          </w:tcPr>
          <w:p w14:paraId="6C8B86B2">
            <w:pPr>
              <w:spacing w:before="83" w:line="174" w:lineRule="auto"/>
              <w:ind w:left="2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39m</w:t>
            </w:r>
          </w:p>
        </w:tc>
        <w:tc>
          <w:tcPr>
            <w:tcW w:w="2101" w:type="dxa"/>
            <w:gridSpan w:val="4"/>
            <w:vAlign w:val="top"/>
          </w:tcPr>
          <w:p w14:paraId="5DBCC251">
            <w:pPr>
              <w:spacing w:before="83" w:line="174" w:lineRule="auto"/>
              <w:ind w:left="928"/>
              <w:rPr>
                <w:rFonts w:ascii="Times New Roman" w:hAnsi="Times New Roman" w:eastAsia="Times New Roman" w:cs="Times New Roman"/>
                <w:sz w:val="20"/>
                <w:szCs w:val="20"/>
              </w:rPr>
            </w:pPr>
            <w:r>
              <w:rPr>
                <w:rFonts w:ascii="Times New Roman" w:hAnsi="Times New Roman" w:eastAsia="Times New Roman" w:cs="Times New Roman"/>
                <w:sz w:val="20"/>
                <w:szCs w:val="20"/>
              </w:rPr>
              <w:t>8.2</w:t>
            </w:r>
          </w:p>
        </w:tc>
        <w:tc>
          <w:tcPr>
            <w:tcW w:w="732" w:type="dxa"/>
            <w:gridSpan w:val="2"/>
            <w:vMerge w:val="continue"/>
            <w:tcBorders>
              <w:top w:val="nil"/>
            </w:tcBorders>
            <w:vAlign w:val="top"/>
          </w:tcPr>
          <w:p w14:paraId="4A57FE59">
            <w:pPr>
              <w:rPr>
                <w:rFonts w:ascii="Arial"/>
                <w:sz w:val="21"/>
              </w:rPr>
            </w:pPr>
          </w:p>
        </w:tc>
        <w:tc>
          <w:tcPr>
            <w:tcW w:w="1181" w:type="dxa"/>
            <w:gridSpan w:val="2"/>
            <w:vMerge w:val="continue"/>
            <w:tcBorders>
              <w:top w:val="nil"/>
            </w:tcBorders>
            <w:vAlign w:val="top"/>
          </w:tcPr>
          <w:p w14:paraId="0A28EA00">
            <w:pPr>
              <w:rPr>
                <w:rFonts w:ascii="Arial"/>
                <w:sz w:val="21"/>
              </w:rPr>
            </w:pPr>
          </w:p>
        </w:tc>
        <w:tc>
          <w:tcPr>
            <w:tcW w:w="779" w:type="dxa"/>
            <w:vMerge w:val="continue"/>
            <w:tcBorders>
              <w:top w:val="nil"/>
            </w:tcBorders>
            <w:vAlign w:val="top"/>
          </w:tcPr>
          <w:p w14:paraId="5323E2E0">
            <w:pPr>
              <w:rPr>
                <w:rFonts w:ascii="Arial"/>
                <w:sz w:val="21"/>
              </w:rPr>
            </w:pPr>
          </w:p>
        </w:tc>
        <w:tc>
          <w:tcPr>
            <w:tcW w:w="124" w:type="dxa"/>
            <w:tcBorders>
              <w:top w:val="nil"/>
              <w:bottom w:val="nil"/>
              <w:right w:val="single" w:color="000000" w:sz="6" w:space="0"/>
            </w:tcBorders>
            <w:vAlign w:val="top"/>
          </w:tcPr>
          <w:p w14:paraId="69E2213C">
            <w:pPr>
              <w:rPr>
                <w:rFonts w:ascii="Arial"/>
                <w:sz w:val="21"/>
              </w:rPr>
            </w:pPr>
          </w:p>
        </w:tc>
      </w:tr>
      <w:tr w14:paraId="209194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375" w:type="dxa"/>
            <w:vMerge w:val="continue"/>
            <w:tcBorders>
              <w:top w:val="nil"/>
              <w:left w:val="single" w:color="000000" w:sz="6" w:space="0"/>
              <w:bottom w:val="nil"/>
              <w:right w:val="single" w:color="000000" w:sz="6" w:space="0"/>
            </w:tcBorders>
            <w:vAlign w:val="top"/>
          </w:tcPr>
          <w:p w14:paraId="74FC1B3F">
            <w:pPr>
              <w:rPr>
                <w:rFonts w:ascii="Arial"/>
                <w:sz w:val="21"/>
              </w:rPr>
            </w:pPr>
          </w:p>
        </w:tc>
        <w:tc>
          <w:tcPr>
            <w:tcW w:w="114" w:type="dxa"/>
            <w:tcBorders>
              <w:top w:val="nil"/>
              <w:left w:val="single" w:color="000000" w:sz="6" w:space="0"/>
              <w:bottom w:val="nil"/>
            </w:tcBorders>
            <w:vAlign w:val="top"/>
          </w:tcPr>
          <w:p w14:paraId="2F84DA76">
            <w:pPr>
              <w:rPr>
                <w:rFonts w:ascii="Arial"/>
                <w:sz w:val="21"/>
              </w:rPr>
            </w:pPr>
          </w:p>
        </w:tc>
        <w:tc>
          <w:tcPr>
            <w:tcW w:w="906" w:type="dxa"/>
            <w:gridSpan w:val="2"/>
            <w:vMerge w:val="continue"/>
            <w:tcBorders>
              <w:top w:val="nil"/>
            </w:tcBorders>
            <w:vAlign w:val="top"/>
          </w:tcPr>
          <w:p w14:paraId="3F529F5A">
            <w:pPr>
              <w:rPr>
                <w:rFonts w:ascii="Arial"/>
                <w:sz w:val="21"/>
              </w:rPr>
            </w:pPr>
          </w:p>
        </w:tc>
        <w:tc>
          <w:tcPr>
            <w:tcW w:w="6226" w:type="dxa"/>
            <w:gridSpan w:val="13"/>
            <w:vAlign w:val="top"/>
          </w:tcPr>
          <w:p w14:paraId="081FDF6C">
            <w:pPr>
              <w:pStyle w:val="6"/>
              <w:spacing w:before="47" w:line="204" w:lineRule="auto"/>
              <w:ind w:left="2913"/>
            </w:pPr>
            <w:r>
              <w:rPr>
                <w:spacing w:val="2"/>
              </w:rPr>
              <w:t>小计</w:t>
            </w:r>
          </w:p>
        </w:tc>
        <w:tc>
          <w:tcPr>
            <w:tcW w:w="779" w:type="dxa"/>
            <w:vAlign w:val="top"/>
          </w:tcPr>
          <w:p w14:paraId="56F8CE00">
            <w:pPr>
              <w:spacing w:before="84" w:line="193" w:lineRule="auto"/>
              <w:ind w:left="296"/>
              <w:rPr>
                <w:rFonts w:ascii="Times New Roman" w:hAnsi="Times New Roman" w:eastAsia="Times New Roman" w:cs="Times New Roman"/>
                <w:sz w:val="20"/>
                <w:szCs w:val="20"/>
              </w:rPr>
            </w:pPr>
            <w:r>
              <w:rPr>
                <w:rFonts w:ascii="Times New Roman" w:hAnsi="Times New Roman" w:eastAsia="Times New Roman" w:cs="Times New Roman"/>
                <w:sz w:val="20"/>
                <w:szCs w:val="20"/>
              </w:rPr>
              <w:t>35</w:t>
            </w:r>
          </w:p>
        </w:tc>
        <w:tc>
          <w:tcPr>
            <w:tcW w:w="124" w:type="dxa"/>
            <w:tcBorders>
              <w:top w:val="nil"/>
              <w:bottom w:val="nil"/>
              <w:right w:val="single" w:color="000000" w:sz="6" w:space="0"/>
            </w:tcBorders>
            <w:vAlign w:val="top"/>
          </w:tcPr>
          <w:p w14:paraId="74C43A0E">
            <w:pPr>
              <w:rPr>
                <w:rFonts w:ascii="Arial"/>
                <w:sz w:val="21"/>
              </w:rPr>
            </w:pPr>
          </w:p>
        </w:tc>
      </w:tr>
      <w:tr w14:paraId="6A2DC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375" w:type="dxa"/>
            <w:vMerge w:val="continue"/>
            <w:tcBorders>
              <w:top w:val="nil"/>
              <w:left w:val="single" w:color="000000" w:sz="6" w:space="0"/>
              <w:bottom w:val="single" w:color="000000" w:sz="6" w:space="0"/>
              <w:right w:val="single" w:color="000000" w:sz="6" w:space="0"/>
            </w:tcBorders>
            <w:vAlign w:val="top"/>
          </w:tcPr>
          <w:p w14:paraId="1D77C79A">
            <w:pPr>
              <w:rPr>
                <w:rFonts w:ascii="Arial"/>
                <w:sz w:val="21"/>
              </w:rPr>
            </w:pPr>
          </w:p>
        </w:tc>
        <w:tc>
          <w:tcPr>
            <w:tcW w:w="114" w:type="dxa"/>
            <w:tcBorders>
              <w:top w:val="nil"/>
              <w:left w:val="single" w:color="000000" w:sz="6" w:space="0"/>
              <w:bottom w:val="single" w:color="000000" w:sz="6" w:space="0"/>
            </w:tcBorders>
            <w:vAlign w:val="top"/>
          </w:tcPr>
          <w:p w14:paraId="6D14FFED">
            <w:pPr>
              <w:rPr>
                <w:rFonts w:ascii="Arial"/>
                <w:sz w:val="21"/>
              </w:rPr>
            </w:pPr>
          </w:p>
        </w:tc>
        <w:tc>
          <w:tcPr>
            <w:tcW w:w="906" w:type="dxa"/>
            <w:gridSpan w:val="2"/>
            <w:tcBorders>
              <w:bottom w:val="single" w:color="000000" w:sz="6" w:space="0"/>
            </w:tcBorders>
            <w:vAlign w:val="top"/>
          </w:tcPr>
          <w:p w14:paraId="387081F7">
            <w:pPr>
              <w:spacing w:before="63" w:line="194"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110kV</w:t>
            </w:r>
          </w:p>
        </w:tc>
        <w:tc>
          <w:tcPr>
            <w:tcW w:w="1258" w:type="dxa"/>
            <w:gridSpan w:val="2"/>
            <w:tcBorders>
              <w:bottom w:val="single" w:color="000000" w:sz="6" w:space="0"/>
            </w:tcBorders>
            <w:vAlign w:val="top"/>
          </w:tcPr>
          <w:p w14:paraId="6F4AF692">
            <w:pPr>
              <w:spacing w:before="66" w:line="190" w:lineRule="auto"/>
              <w:ind w:left="21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1C2X1-J1</w:t>
            </w:r>
          </w:p>
        </w:tc>
        <w:tc>
          <w:tcPr>
            <w:tcW w:w="954" w:type="dxa"/>
            <w:gridSpan w:val="3"/>
            <w:tcBorders>
              <w:bottom w:val="single" w:color="000000" w:sz="6" w:space="0"/>
            </w:tcBorders>
            <w:vAlign w:val="top"/>
          </w:tcPr>
          <w:p w14:paraId="7B8B54AC">
            <w:pPr>
              <w:spacing w:before="66" w:line="190" w:lineRule="auto"/>
              <w:ind w:left="2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24m</w:t>
            </w:r>
          </w:p>
        </w:tc>
        <w:tc>
          <w:tcPr>
            <w:tcW w:w="2101" w:type="dxa"/>
            <w:gridSpan w:val="4"/>
            <w:tcBorders>
              <w:bottom w:val="single" w:color="000000" w:sz="6" w:space="0"/>
            </w:tcBorders>
            <w:vAlign w:val="top"/>
          </w:tcPr>
          <w:p w14:paraId="3D99FF63">
            <w:pPr>
              <w:spacing w:before="66" w:line="190" w:lineRule="auto"/>
              <w:ind w:left="1007"/>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732" w:type="dxa"/>
            <w:gridSpan w:val="2"/>
            <w:tcBorders>
              <w:bottom w:val="single" w:color="000000" w:sz="6" w:space="0"/>
            </w:tcBorders>
            <w:vAlign w:val="top"/>
          </w:tcPr>
          <w:p w14:paraId="552C6A05">
            <w:pPr>
              <w:pStyle w:val="6"/>
              <w:spacing w:before="47" w:line="186" w:lineRule="auto"/>
              <w:ind w:left="166"/>
            </w:pPr>
            <w:r>
              <w:rPr>
                <w:spacing w:val="3"/>
              </w:rPr>
              <w:t>直线</w:t>
            </w:r>
          </w:p>
        </w:tc>
        <w:tc>
          <w:tcPr>
            <w:tcW w:w="1181" w:type="dxa"/>
            <w:gridSpan w:val="2"/>
            <w:tcBorders>
              <w:bottom w:val="single" w:color="000000" w:sz="6" w:space="0"/>
            </w:tcBorders>
            <w:vAlign w:val="top"/>
          </w:tcPr>
          <w:p w14:paraId="6373CAD1">
            <w:pPr>
              <w:pStyle w:val="6"/>
              <w:spacing w:before="47" w:line="186" w:lineRule="auto"/>
              <w:ind w:left="181"/>
            </w:pPr>
            <w:r>
              <w:rPr>
                <w:spacing w:val="7"/>
              </w:rPr>
              <w:t>垂直逆向</w:t>
            </w:r>
          </w:p>
        </w:tc>
        <w:tc>
          <w:tcPr>
            <w:tcW w:w="779" w:type="dxa"/>
            <w:tcBorders>
              <w:bottom w:val="single" w:color="000000" w:sz="6" w:space="0"/>
            </w:tcBorders>
            <w:vAlign w:val="top"/>
          </w:tcPr>
          <w:p w14:paraId="1BE201FB">
            <w:pPr>
              <w:spacing w:before="66" w:line="190" w:lineRule="auto"/>
              <w:ind w:left="349"/>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24" w:type="dxa"/>
            <w:tcBorders>
              <w:top w:val="nil"/>
              <w:bottom w:val="single" w:color="000000" w:sz="6" w:space="0"/>
              <w:right w:val="single" w:color="000000" w:sz="6" w:space="0"/>
            </w:tcBorders>
            <w:vAlign w:val="top"/>
          </w:tcPr>
          <w:p w14:paraId="7503C0FC">
            <w:pPr>
              <w:rPr>
                <w:rFonts w:ascii="Arial"/>
                <w:sz w:val="21"/>
              </w:rPr>
            </w:pPr>
          </w:p>
        </w:tc>
      </w:tr>
    </w:tbl>
    <w:p w14:paraId="61EC4B85">
      <w:pPr>
        <w:rPr>
          <w:rFonts w:ascii="Arial"/>
          <w:sz w:val="21"/>
        </w:rPr>
      </w:pPr>
    </w:p>
    <w:p w14:paraId="65F40190">
      <w:pPr>
        <w:rPr>
          <w:rFonts w:ascii="Arial" w:hAnsi="Arial" w:eastAsia="Arial" w:cs="Arial"/>
          <w:sz w:val="21"/>
          <w:szCs w:val="21"/>
        </w:rPr>
        <w:sectPr>
          <w:footerReference r:id="rId46" w:type="default"/>
          <w:pgSz w:w="11907" w:h="16840"/>
          <w:pgMar w:top="400" w:right="1684" w:bottom="1240" w:left="1683" w:header="0" w:footer="1077" w:gutter="0"/>
          <w:cols w:space="720" w:num="1"/>
        </w:sectPr>
      </w:pPr>
    </w:p>
    <w:p w14:paraId="27A2168E">
      <w:pPr>
        <w:spacing w:before="19"/>
      </w:pPr>
    </w:p>
    <w:p w14:paraId="1101416F">
      <w:pPr>
        <w:spacing w:before="19"/>
      </w:pPr>
    </w:p>
    <w:p w14:paraId="3E3BA4AA">
      <w:pPr>
        <w:spacing w:before="18"/>
      </w:pPr>
    </w:p>
    <w:p w14:paraId="1813DB11">
      <w:pPr>
        <w:spacing w:before="18"/>
      </w:pPr>
    </w:p>
    <w:tbl>
      <w:tblPr>
        <w:tblStyle w:val="5"/>
        <w:tblW w:w="852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5"/>
        <w:gridCol w:w="114"/>
        <w:gridCol w:w="905"/>
        <w:gridCol w:w="1258"/>
        <w:gridCol w:w="954"/>
        <w:gridCol w:w="2101"/>
        <w:gridCol w:w="733"/>
        <w:gridCol w:w="1181"/>
        <w:gridCol w:w="779"/>
        <w:gridCol w:w="124"/>
      </w:tblGrid>
      <w:tr w14:paraId="17466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75" w:type="dxa"/>
            <w:vMerge w:val="restart"/>
            <w:tcBorders>
              <w:top w:val="single" w:color="000000" w:sz="6" w:space="0"/>
              <w:left w:val="single" w:color="000000" w:sz="6" w:space="0"/>
              <w:bottom w:val="nil"/>
              <w:right w:val="single" w:color="000000" w:sz="6" w:space="0"/>
            </w:tcBorders>
            <w:vAlign w:val="top"/>
          </w:tcPr>
          <w:p w14:paraId="539A1BB3">
            <w:pPr>
              <w:rPr>
                <w:rFonts w:ascii="Arial"/>
                <w:sz w:val="21"/>
              </w:rPr>
            </w:pPr>
          </w:p>
        </w:tc>
        <w:tc>
          <w:tcPr>
            <w:tcW w:w="114" w:type="dxa"/>
            <w:tcBorders>
              <w:top w:val="single" w:color="000000" w:sz="6" w:space="0"/>
              <w:left w:val="single" w:color="000000" w:sz="6" w:space="0"/>
              <w:bottom w:val="nil"/>
            </w:tcBorders>
            <w:vAlign w:val="top"/>
          </w:tcPr>
          <w:p w14:paraId="52DD5D15">
            <w:pPr>
              <w:spacing w:line="234" w:lineRule="exact"/>
              <w:rPr>
                <w:rFonts w:ascii="Arial"/>
                <w:sz w:val="20"/>
              </w:rPr>
            </w:pPr>
          </w:p>
        </w:tc>
        <w:tc>
          <w:tcPr>
            <w:tcW w:w="905" w:type="dxa"/>
            <w:vMerge w:val="restart"/>
            <w:tcBorders>
              <w:top w:val="single" w:color="000000" w:sz="6" w:space="0"/>
              <w:bottom w:val="nil"/>
            </w:tcBorders>
            <w:vAlign w:val="top"/>
          </w:tcPr>
          <w:p w14:paraId="658E3C86">
            <w:pPr>
              <w:pStyle w:val="6"/>
              <w:spacing w:before="45" w:line="252" w:lineRule="auto"/>
              <w:ind w:left="142" w:right="142" w:hanging="6"/>
            </w:pPr>
            <w:r>
              <w:rPr>
                <w:spacing w:val="6"/>
              </w:rPr>
              <w:t>双回架</w:t>
            </w:r>
            <w:r>
              <w:rPr>
                <w:spacing w:val="3"/>
              </w:rPr>
              <w:t>空线路</w:t>
            </w:r>
          </w:p>
        </w:tc>
        <w:tc>
          <w:tcPr>
            <w:tcW w:w="1258" w:type="dxa"/>
            <w:tcBorders>
              <w:top w:val="single" w:color="000000" w:sz="6" w:space="0"/>
            </w:tcBorders>
            <w:vAlign w:val="top"/>
          </w:tcPr>
          <w:p w14:paraId="0A513624">
            <w:pPr>
              <w:spacing w:before="68" w:line="173"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1C2X1-J2</w:t>
            </w:r>
          </w:p>
        </w:tc>
        <w:tc>
          <w:tcPr>
            <w:tcW w:w="954" w:type="dxa"/>
            <w:tcBorders>
              <w:top w:val="single" w:color="000000" w:sz="6" w:space="0"/>
            </w:tcBorders>
            <w:vAlign w:val="top"/>
          </w:tcPr>
          <w:p w14:paraId="48DC8DB0">
            <w:pPr>
              <w:spacing w:before="68" w:line="173" w:lineRule="auto"/>
              <w:ind w:left="29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24m</w:t>
            </w:r>
          </w:p>
        </w:tc>
        <w:tc>
          <w:tcPr>
            <w:tcW w:w="2101" w:type="dxa"/>
            <w:tcBorders>
              <w:top w:val="single" w:color="000000" w:sz="6" w:space="0"/>
            </w:tcBorders>
            <w:vAlign w:val="top"/>
          </w:tcPr>
          <w:p w14:paraId="5FB92970">
            <w:pPr>
              <w:spacing w:before="68" w:line="173" w:lineRule="auto"/>
              <w:ind w:left="929"/>
              <w:rPr>
                <w:rFonts w:ascii="Times New Roman" w:hAnsi="Times New Roman" w:eastAsia="Times New Roman" w:cs="Times New Roman"/>
                <w:sz w:val="20"/>
                <w:szCs w:val="20"/>
              </w:rPr>
            </w:pPr>
            <w:r>
              <w:rPr>
                <w:rFonts w:ascii="Times New Roman" w:hAnsi="Times New Roman" w:eastAsia="Times New Roman" w:cs="Times New Roman"/>
                <w:sz w:val="20"/>
                <w:szCs w:val="20"/>
              </w:rPr>
              <w:t>8.3</w:t>
            </w:r>
          </w:p>
        </w:tc>
        <w:tc>
          <w:tcPr>
            <w:tcW w:w="733" w:type="dxa"/>
            <w:vMerge w:val="restart"/>
            <w:tcBorders>
              <w:top w:val="single" w:color="000000" w:sz="6" w:space="0"/>
              <w:bottom w:val="nil"/>
            </w:tcBorders>
            <w:vAlign w:val="top"/>
          </w:tcPr>
          <w:p w14:paraId="263EB36A">
            <w:pPr>
              <w:pStyle w:val="6"/>
              <w:spacing w:before="46" w:line="230" w:lineRule="auto"/>
              <w:ind w:left="270"/>
            </w:pPr>
            <w:r>
              <w:t>塔</w:t>
            </w:r>
          </w:p>
        </w:tc>
        <w:tc>
          <w:tcPr>
            <w:tcW w:w="1181" w:type="dxa"/>
            <w:vMerge w:val="restart"/>
            <w:tcBorders>
              <w:top w:val="single" w:color="000000" w:sz="6" w:space="0"/>
              <w:bottom w:val="nil"/>
            </w:tcBorders>
            <w:vAlign w:val="top"/>
          </w:tcPr>
          <w:p w14:paraId="64C7C1F1">
            <w:pPr>
              <w:pStyle w:val="6"/>
              <w:spacing w:before="46" w:line="229" w:lineRule="auto"/>
              <w:ind w:left="285"/>
            </w:pPr>
            <w:r>
              <w:rPr>
                <w:spacing w:val="6"/>
              </w:rPr>
              <w:t>序排列</w:t>
            </w:r>
          </w:p>
        </w:tc>
        <w:tc>
          <w:tcPr>
            <w:tcW w:w="779" w:type="dxa"/>
            <w:vMerge w:val="restart"/>
            <w:tcBorders>
              <w:top w:val="single" w:color="000000" w:sz="6" w:space="0"/>
              <w:bottom w:val="nil"/>
            </w:tcBorders>
            <w:vAlign w:val="top"/>
          </w:tcPr>
          <w:p w14:paraId="4957479E">
            <w:pPr>
              <w:rPr>
                <w:rFonts w:ascii="Arial"/>
                <w:sz w:val="21"/>
              </w:rPr>
            </w:pPr>
          </w:p>
        </w:tc>
        <w:tc>
          <w:tcPr>
            <w:tcW w:w="124" w:type="dxa"/>
            <w:tcBorders>
              <w:top w:val="single" w:color="000000" w:sz="6" w:space="0"/>
              <w:bottom w:val="nil"/>
              <w:right w:val="single" w:color="000000" w:sz="6" w:space="0"/>
            </w:tcBorders>
            <w:vAlign w:val="top"/>
          </w:tcPr>
          <w:p w14:paraId="6AFFD56D">
            <w:pPr>
              <w:spacing w:line="234" w:lineRule="exact"/>
              <w:rPr>
                <w:rFonts w:ascii="Arial"/>
                <w:sz w:val="20"/>
              </w:rPr>
            </w:pPr>
          </w:p>
        </w:tc>
      </w:tr>
      <w:tr w14:paraId="0B122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 w:hRule="atLeast"/>
        </w:trPr>
        <w:tc>
          <w:tcPr>
            <w:tcW w:w="375" w:type="dxa"/>
            <w:vMerge w:val="continue"/>
            <w:tcBorders>
              <w:top w:val="nil"/>
              <w:left w:val="single" w:color="000000" w:sz="6" w:space="0"/>
              <w:bottom w:val="nil"/>
              <w:right w:val="single" w:color="000000" w:sz="6" w:space="0"/>
            </w:tcBorders>
            <w:vAlign w:val="top"/>
          </w:tcPr>
          <w:p w14:paraId="59BD74D8">
            <w:pPr>
              <w:rPr>
                <w:rFonts w:ascii="Arial"/>
                <w:sz w:val="21"/>
              </w:rPr>
            </w:pPr>
          </w:p>
        </w:tc>
        <w:tc>
          <w:tcPr>
            <w:tcW w:w="114" w:type="dxa"/>
            <w:tcBorders>
              <w:top w:val="nil"/>
              <w:left w:val="single" w:color="000000" w:sz="6" w:space="0"/>
              <w:bottom w:val="nil"/>
            </w:tcBorders>
            <w:vAlign w:val="top"/>
          </w:tcPr>
          <w:p w14:paraId="46C7C55E">
            <w:pPr>
              <w:rPr>
                <w:rFonts w:ascii="Arial"/>
                <w:sz w:val="21"/>
              </w:rPr>
            </w:pPr>
          </w:p>
        </w:tc>
        <w:tc>
          <w:tcPr>
            <w:tcW w:w="905" w:type="dxa"/>
            <w:vMerge w:val="continue"/>
            <w:tcBorders>
              <w:top w:val="nil"/>
              <w:bottom w:val="nil"/>
            </w:tcBorders>
            <w:vAlign w:val="top"/>
          </w:tcPr>
          <w:p w14:paraId="5405A00B">
            <w:pPr>
              <w:rPr>
                <w:rFonts w:ascii="Arial"/>
                <w:sz w:val="21"/>
              </w:rPr>
            </w:pPr>
          </w:p>
        </w:tc>
        <w:tc>
          <w:tcPr>
            <w:tcW w:w="1258" w:type="dxa"/>
            <w:vAlign w:val="top"/>
          </w:tcPr>
          <w:p w14:paraId="5451FE87">
            <w:pPr>
              <w:spacing w:before="68" w:line="185" w:lineRule="auto"/>
              <w:ind w:left="19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1C2X1-</w:t>
            </w:r>
            <w:r>
              <w:rPr>
                <w:rFonts w:ascii="Times New Roman" w:hAnsi="Times New Roman" w:eastAsia="Times New Roman" w:cs="Times New Roman"/>
                <w:sz w:val="20"/>
                <w:szCs w:val="20"/>
              </w:rPr>
              <w:t>JD</w:t>
            </w:r>
          </w:p>
        </w:tc>
        <w:tc>
          <w:tcPr>
            <w:tcW w:w="954" w:type="dxa"/>
            <w:vAlign w:val="top"/>
          </w:tcPr>
          <w:p w14:paraId="11D03B2B">
            <w:pPr>
              <w:spacing w:before="68" w:line="185" w:lineRule="auto"/>
              <w:ind w:left="29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28m</w:t>
            </w:r>
          </w:p>
        </w:tc>
        <w:tc>
          <w:tcPr>
            <w:tcW w:w="2101" w:type="dxa"/>
            <w:vAlign w:val="top"/>
          </w:tcPr>
          <w:p w14:paraId="356FA4F0">
            <w:pPr>
              <w:spacing w:before="68" w:line="185" w:lineRule="auto"/>
              <w:ind w:left="87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8.35</w:t>
            </w:r>
          </w:p>
        </w:tc>
        <w:tc>
          <w:tcPr>
            <w:tcW w:w="733" w:type="dxa"/>
            <w:vMerge w:val="continue"/>
            <w:tcBorders>
              <w:top w:val="nil"/>
            </w:tcBorders>
            <w:vAlign w:val="top"/>
          </w:tcPr>
          <w:p w14:paraId="48661727">
            <w:pPr>
              <w:rPr>
                <w:rFonts w:ascii="Arial"/>
                <w:sz w:val="21"/>
              </w:rPr>
            </w:pPr>
          </w:p>
        </w:tc>
        <w:tc>
          <w:tcPr>
            <w:tcW w:w="1181" w:type="dxa"/>
            <w:vMerge w:val="continue"/>
            <w:tcBorders>
              <w:top w:val="nil"/>
            </w:tcBorders>
            <w:vAlign w:val="top"/>
          </w:tcPr>
          <w:p w14:paraId="72D26AFA">
            <w:pPr>
              <w:rPr>
                <w:rFonts w:ascii="Arial"/>
                <w:sz w:val="21"/>
              </w:rPr>
            </w:pPr>
          </w:p>
        </w:tc>
        <w:tc>
          <w:tcPr>
            <w:tcW w:w="779" w:type="dxa"/>
            <w:vMerge w:val="continue"/>
            <w:tcBorders>
              <w:top w:val="nil"/>
            </w:tcBorders>
            <w:vAlign w:val="top"/>
          </w:tcPr>
          <w:p w14:paraId="5112CFC2">
            <w:pPr>
              <w:rPr>
                <w:rFonts w:ascii="Arial"/>
                <w:sz w:val="21"/>
              </w:rPr>
            </w:pPr>
          </w:p>
        </w:tc>
        <w:tc>
          <w:tcPr>
            <w:tcW w:w="124" w:type="dxa"/>
            <w:tcBorders>
              <w:top w:val="nil"/>
              <w:bottom w:val="nil"/>
              <w:right w:val="single" w:color="000000" w:sz="6" w:space="0"/>
            </w:tcBorders>
            <w:vAlign w:val="top"/>
          </w:tcPr>
          <w:p w14:paraId="4D8CD9E0">
            <w:pPr>
              <w:rPr>
                <w:rFonts w:ascii="Arial"/>
                <w:sz w:val="21"/>
              </w:rPr>
            </w:pPr>
          </w:p>
        </w:tc>
      </w:tr>
      <w:tr w14:paraId="71C46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375" w:type="dxa"/>
            <w:vMerge w:val="continue"/>
            <w:tcBorders>
              <w:top w:val="nil"/>
              <w:left w:val="single" w:color="000000" w:sz="6" w:space="0"/>
              <w:bottom w:val="nil"/>
              <w:right w:val="single" w:color="000000" w:sz="6" w:space="0"/>
            </w:tcBorders>
            <w:vAlign w:val="top"/>
          </w:tcPr>
          <w:p w14:paraId="21E300A7">
            <w:pPr>
              <w:rPr>
                <w:rFonts w:ascii="Arial"/>
                <w:sz w:val="21"/>
              </w:rPr>
            </w:pPr>
          </w:p>
        </w:tc>
        <w:tc>
          <w:tcPr>
            <w:tcW w:w="114" w:type="dxa"/>
            <w:tcBorders>
              <w:top w:val="nil"/>
              <w:left w:val="single" w:color="000000" w:sz="6" w:space="0"/>
              <w:bottom w:val="nil"/>
            </w:tcBorders>
            <w:vAlign w:val="top"/>
          </w:tcPr>
          <w:p w14:paraId="62458D01">
            <w:pPr>
              <w:spacing w:line="215" w:lineRule="exact"/>
              <w:rPr>
                <w:rFonts w:ascii="Arial"/>
                <w:sz w:val="18"/>
              </w:rPr>
            </w:pPr>
          </w:p>
        </w:tc>
        <w:tc>
          <w:tcPr>
            <w:tcW w:w="905" w:type="dxa"/>
            <w:vMerge w:val="continue"/>
            <w:tcBorders>
              <w:top w:val="nil"/>
              <w:bottom w:val="nil"/>
            </w:tcBorders>
            <w:vAlign w:val="top"/>
          </w:tcPr>
          <w:p w14:paraId="155E3188">
            <w:pPr>
              <w:rPr>
                <w:rFonts w:ascii="Arial"/>
                <w:sz w:val="21"/>
              </w:rPr>
            </w:pPr>
          </w:p>
        </w:tc>
        <w:tc>
          <w:tcPr>
            <w:tcW w:w="1258" w:type="dxa"/>
            <w:vAlign w:val="top"/>
          </w:tcPr>
          <w:p w14:paraId="5D194FC2">
            <w:pPr>
              <w:spacing w:before="59" w:line="163" w:lineRule="auto"/>
              <w:ind w:left="19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1C2X1-Z3</w:t>
            </w:r>
          </w:p>
        </w:tc>
        <w:tc>
          <w:tcPr>
            <w:tcW w:w="954" w:type="dxa"/>
            <w:vAlign w:val="top"/>
          </w:tcPr>
          <w:p w14:paraId="16771007">
            <w:pPr>
              <w:spacing w:before="59" w:line="163" w:lineRule="auto"/>
              <w:ind w:left="29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39m</w:t>
            </w:r>
          </w:p>
        </w:tc>
        <w:tc>
          <w:tcPr>
            <w:tcW w:w="2101" w:type="dxa"/>
            <w:vAlign w:val="top"/>
          </w:tcPr>
          <w:p w14:paraId="48DFFD7F">
            <w:pPr>
              <w:spacing w:before="59" w:line="163" w:lineRule="auto"/>
              <w:ind w:left="9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7.6</w:t>
            </w:r>
          </w:p>
        </w:tc>
        <w:tc>
          <w:tcPr>
            <w:tcW w:w="733" w:type="dxa"/>
            <w:vMerge w:val="restart"/>
            <w:tcBorders>
              <w:bottom w:val="nil"/>
            </w:tcBorders>
            <w:vAlign w:val="top"/>
          </w:tcPr>
          <w:p w14:paraId="499D7693">
            <w:pPr>
              <w:pStyle w:val="6"/>
              <w:spacing w:before="136" w:line="255" w:lineRule="auto"/>
              <w:ind w:left="270" w:right="153" w:hanging="103"/>
            </w:pPr>
            <w:r>
              <w:rPr>
                <w:spacing w:val="3"/>
              </w:rPr>
              <w:t>耐张</w:t>
            </w:r>
            <w:r>
              <w:t>塔</w:t>
            </w:r>
          </w:p>
        </w:tc>
        <w:tc>
          <w:tcPr>
            <w:tcW w:w="1181" w:type="dxa"/>
            <w:vMerge w:val="restart"/>
            <w:tcBorders>
              <w:bottom w:val="nil"/>
            </w:tcBorders>
            <w:vAlign w:val="top"/>
          </w:tcPr>
          <w:p w14:paraId="7D98C379">
            <w:pPr>
              <w:pStyle w:val="6"/>
              <w:spacing w:before="135" w:line="255" w:lineRule="auto"/>
              <w:ind w:left="284" w:right="165" w:hanging="103"/>
            </w:pPr>
            <w:r>
              <w:rPr>
                <w:spacing w:val="7"/>
              </w:rPr>
              <w:t>垂直逆向</w:t>
            </w:r>
            <w:r>
              <w:rPr>
                <w:spacing w:val="6"/>
              </w:rPr>
              <w:t>序排列</w:t>
            </w:r>
          </w:p>
        </w:tc>
        <w:tc>
          <w:tcPr>
            <w:tcW w:w="779" w:type="dxa"/>
            <w:vMerge w:val="restart"/>
            <w:tcBorders>
              <w:bottom w:val="nil"/>
            </w:tcBorders>
            <w:vAlign w:val="top"/>
          </w:tcPr>
          <w:p w14:paraId="3409B3DA">
            <w:pPr>
              <w:spacing w:line="250" w:lineRule="auto"/>
              <w:rPr>
                <w:rFonts w:ascii="Arial"/>
                <w:sz w:val="21"/>
              </w:rPr>
            </w:pPr>
          </w:p>
          <w:p w14:paraId="70F82D4B">
            <w:pPr>
              <w:spacing w:before="57" w:line="195" w:lineRule="auto"/>
              <w:ind w:left="34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24" w:type="dxa"/>
            <w:tcBorders>
              <w:top w:val="nil"/>
              <w:bottom w:val="nil"/>
              <w:right w:val="single" w:color="000000" w:sz="6" w:space="0"/>
            </w:tcBorders>
            <w:vAlign w:val="top"/>
          </w:tcPr>
          <w:p w14:paraId="5849EC65">
            <w:pPr>
              <w:spacing w:line="215" w:lineRule="exact"/>
              <w:rPr>
                <w:rFonts w:ascii="Arial"/>
                <w:sz w:val="18"/>
              </w:rPr>
            </w:pPr>
          </w:p>
        </w:tc>
      </w:tr>
      <w:tr w14:paraId="73F28B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375" w:type="dxa"/>
            <w:vMerge w:val="continue"/>
            <w:tcBorders>
              <w:top w:val="nil"/>
              <w:left w:val="single" w:color="000000" w:sz="6" w:space="0"/>
              <w:bottom w:val="nil"/>
              <w:right w:val="single" w:color="000000" w:sz="6" w:space="0"/>
            </w:tcBorders>
            <w:vAlign w:val="top"/>
          </w:tcPr>
          <w:p w14:paraId="40C4B98C">
            <w:pPr>
              <w:rPr>
                <w:rFonts w:ascii="Arial"/>
                <w:sz w:val="21"/>
              </w:rPr>
            </w:pPr>
          </w:p>
        </w:tc>
        <w:tc>
          <w:tcPr>
            <w:tcW w:w="114" w:type="dxa"/>
            <w:tcBorders>
              <w:top w:val="nil"/>
              <w:left w:val="single" w:color="000000" w:sz="6" w:space="0"/>
              <w:bottom w:val="nil"/>
            </w:tcBorders>
            <w:vAlign w:val="top"/>
          </w:tcPr>
          <w:p w14:paraId="04801DA4">
            <w:pPr>
              <w:spacing w:line="229" w:lineRule="exact"/>
              <w:rPr>
                <w:rFonts w:ascii="Arial"/>
                <w:sz w:val="19"/>
              </w:rPr>
            </w:pPr>
          </w:p>
        </w:tc>
        <w:tc>
          <w:tcPr>
            <w:tcW w:w="905" w:type="dxa"/>
            <w:vMerge w:val="continue"/>
            <w:tcBorders>
              <w:top w:val="nil"/>
              <w:bottom w:val="nil"/>
            </w:tcBorders>
            <w:vAlign w:val="top"/>
          </w:tcPr>
          <w:p w14:paraId="1D829B43">
            <w:pPr>
              <w:rPr>
                <w:rFonts w:ascii="Arial"/>
                <w:sz w:val="21"/>
              </w:rPr>
            </w:pPr>
          </w:p>
        </w:tc>
        <w:tc>
          <w:tcPr>
            <w:tcW w:w="1258" w:type="dxa"/>
            <w:vAlign w:val="top"/>
          </w:tcPr>
          <w:p w14:paraId="2F65231C">
            <w:pPr>
              <w:spacing w:before="80" w:line="149" w:lineRule="exact"/>
              <w:ind w:left="191"/>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1C2X1-Z2</w:t>
            </w:r>
          </w:p>
        </w:tc>
        <w:tc>
          <w:tcPr>
            <w:tcW w:w="954" w:type="dxa"/>
            <w:vAlign w:val="top"/>
          </w:tcPr>
          <w:p w14:paraId="07C5AFE3">
            <w:pPr>
              <w:spacing w:before="80" w:line="149" w:lineRule="exact"/>
              <w:ind w:left="29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33m</w:t>
            </w:r>
          </w:p>
        </w:tc>
        <w:tc>
          <w:tcPr>
            <w:tcW w:w="2101" w:type="dxa"/>
            <w:vAlign w:val="top"/>
          </w:tcPr>
          <w:p w14:paraId="2B0F9B66">
            <w:pPr>
              <w:spacing w:before="80" w:line="149" w:lineRule="exact"/>
              <w:ind w:left="924"/>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7.4</w:t>
            </w:r>
          </w:p>
        </w:tc>
        <w:tc>
          <w:tcPr>
            <w:tcW w:w="733" w:type="dxa"/>
            <w:vMerge w:val="continue"/>
            <w:tcBorders>
              <w:top w:val="nil"/>
              <w:bottom w:val="nil"/>
            </w:tcBorders>
            <w:vAlign w:val="top"/>
          </w:tcPr>
          <w:p w14:paraId="6F54330F">
            <w:pPr>
              <w:rPr>
                <w:rFonts w:ascii="Arial"/>
                <w:sz w:val="21"/>
              </w:rPr>
            </w:pPr>
          </w:p>
        </w:tc>
        <w:tc>
          <w:tcPr>
            <w:tcW w:w="1181" w:type="dxa"/>
            <w:vMerge w:val="continue"/>
            <w:tcBorders>
              <w:top w:val="nil"/>
              <w:bottom w:val="nil"/>
            </w:tcBorders>
            <w:vAlign w:val="top"/>
          </w:tcPr>
          <w:p w14:paraId="330F91ED">
            <w:pPr>
              <w:rPr>
                <w:rFonts w:ascii="Arial"/>
                <w:sz w:val="21"/>
              </w:rPr>
            </w:pPr>
          </w:p>
        </w:tc>
        <w:tc>
          <w:tcPr>
            <w:tcW w:w="779" w:type="dxa"/>
            <w:vMerge w:val="continue"/>
            <w:tcBorders>
              <w:top w:val="nil"/>
              <w:bottom w:val="nil"/>
            </w:tcBorders>
            <w:vAlign w:val="top"/>
          </w:tcPr>
          <w:p w14:paraId="20D5C411">
            <w:pPr>
              <w:rPr>
                <w:rFonts w:ascii="Arial"/>
                <w:sz w:val="21"/>
              </w:rPr>
            </w:pPr>
          </w:p>
        </w:tc>
        <w:tc>
          <w:tcPr>
            <w:tcW w:w="124" w:type="dxa"/>
            <w:tcBorders>
              <w:top w:val="nil"/>
              <w:bottom w:val="nil"/>
              <w:right w:val="single" w:color="000000" w:sz="6" w:space="0"/>
            </w:tcBorders>
            <w:vAlign w:val="top"/>
          </w:tcPr>
          <w:p w14:paraId="592BAE70">
            <w:pPr>
              <w:spacing w:line="229" w:lineRule="exact"/>
              <w:rPr>
                <w:rFonts w:ascii="Arial"/>
                <w:sz w:val="19"/>
              </w:rPr>
            </w:pPr>
          </w:p>
        </w:tc>
      </w:tr>
      <w:tr w14:paraId="67702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375" w:type="dxa"/>
            <w:vMerge w:val="continue"/>
            <w:tcBorders>
              <w:top w:val="nil"/>
              <w:left w:val="single" w:color="000000" w:sz="6" w:space="0"/>
              <w:bottom w:val="nil"/>
              <w:right w:val="single" w:color="000000" w:sz="6" w:space="0"/>
            </w:tcBorders>
            <w:vAlign w:val="top"/>
          </w:tcPr>
          <w:p w14:paraId="3D8145AB">
            <w:pPr>
              <w:rPr>
                <w:rFonts w:ascii="Arial"/>
                <w:sz w:val="21"/>
              </w:rPr>
            </w:pPr>
          </w:p>
        </w:tc>
        <w:tc>
          <w:tcPr>
            <w:tcW w:w="114" w:type="dxa"/>
            <w:tcBorders>
              <w:top w:val="nil"/>
              <w:left w:val="single" w:color="000000" w:sz="6" w:space="0"/>
              <w:bottom w:val="nil"/>
            </w:tcBorders>
            <w:vAlign w:val="top"/>
          </w:tcPr>
          <w:p w14:paraId="67B7488C">
            <w:pPr>
              <w:rPr>
                <w:rFonts w:ascii="Arial"/>
                <w:sz w:val="21"/>
              </w:rPr>
            </w:pPr>
          </w:p>
        </w:tc>
        <w:tc>
          <w:tcPr>
            <w:tcW w:w="905" w:type="dxa"/>
            <w:vMerge w:val="continue"/>
            <w:tcBorders>
              <w:top w:val="nil"/>
              <w:bottom w:val="nil"/>
            </w:tcBorders>
            <w:vAlign w:val="top"/>
          </w:tcPr>
          <w:p w14:paraId="341B2741">
            <w:pPr>
              <w:rPr>
                <w:rFonts w:ascii="Arial"/>
                <w:sz w:val="21"/>
              </w:rPr>
            </w:pPr>
          </w:p>
        </w:tc>
        <w:tc>
          <w:tcPr>
            <w:tcW w:w="1258" w:type="dxa"/>
            <w:vAlign w:val="top"/>
          </w:tcPr>
          <w:p w14:paraId="1D37ABEE">
            <w:pPr>
              <w:spacing w:before="86" w:line="177" w:lineRule="auto"/>
              <w:ind w:left="19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1C2X1-Z1</w:t>
            </w:r>
          </w:p>
        </w:tc>
        <w:tc>
          <w:tcPr>
            <w:tcW w:w="954" w:type="dxa"/>
            <w:vAlign w:val="top"/>
          </w:tcPr>
          <w:p w14:paraId="3C38DE95">
            <w:pPr>
              <w:spacing w:before="86" w:line="177" w:lineRule="auto"/>
              <w:ind w:left="29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27m</w:t>
            </w:r>
          </w:p>
        </w:tc>
        <w:tc>
          <w:tcPr>
            <w:tcW w:w="2101" w:type="dxa"/>
            <w:vAlign w:val="top"/>
          </w:tcPr>
          <w:p w14:paraId="04874F3C">
            <w:pPr>
              <w:spacing w:before="86" w:line="177" w:lineRule="auto"/>
              <w:ind w:left="924"/>
              <w:rPr>
                <w:rFonts w:ascii="Times New Roman" w:hAnsi="Times New Roman" w:eastAsia="Times New Roman" w:cs="Times New Roman"/>
                <w:sz w:val="20"/>
                <w:szCs w:val="20"/>
              </w:rPr>
            </w:pPr>
            <w:r>
              <w:rPr>
                <w:rFonts w:ascii="Times New Roman" w:hAnsi="Times New Roman" w:eastAsia="Times New Roman" w:cs="Times New Roman"/>
                <w:sz w:val="20"/>
                <w:szCs w:val="20"/>
              </w:rPr>
              <w:t>7.</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733" w:type="dxa"/>
            <w:vMerge w:val="continue"/>
            <w:tcBorders>
              <w:top w:val="nil"/>
            </w:tcBorders>
            <w:vAlign w:val="top"/>
          </w:tcPr>
          <w:p w14:paraId="7BBBF9F2">
            <w:pPr>
              <w:rPr>
                <w:rFonts w:ascii="Arial"/>
                <w:sz w:val="21"/>
              </w:rPr>
            </w:pPr>
          </w:p>
        </w:tc>
        <w:tc>
          <w:tcPr>
            <w:tcW w:w="1181" w:type="dxa"/>
            <w:vMerge w:val="continue"/>
            <w:tcBorders>
              <w:top w:val="nil"/>
            </w:tcBorders>
            <w:vAlign w:val="top"/>
          </w:tcPr>
          <w:p w14:paraId="27451ADC">
            <w:pPr>
              <w:rPr>
                <w:rFonts w:ascii="Arial"/>
                <w:sz w:val="21"/>
              </w:rPr>
            </w:pPr>
          </w:p>
        </w:tc>
        <w:tc>
          <w:tcPr>
            <w:tcW w:w="779" w:type="dxa"/>
            <w:vMerge w:val="continue"/>
            <w:tcBorders>
              <w:top w:val="nil"/>
            </w:tcBorders>
            <w:vAlign w:val="top"/>
          </w:tcPr>
          <w:p w14:paraId="794EF2C5">
            <w:pPr>
              <w:rPr>
                <w:rFonts w:ascii="Arial"/>
                <w:sz w:val="21"/>
              </w:rPr>
            </w:pPr>
          </w:p>
        </w:tc>
        <w:tc>
          <w:tcPr>
            <w:tcW w:w="124" w:type="dxa"/>
            <w:tcBorders>
              <w:top w:val="nil"/>
              <w:bottom w:val="nil"/>
              <w:right w:val="single" w:color="000000" w:sz="6" w:space="0"/>
            </w:tcBorders>
            <w:vAlign w:val="top"/>
          </w:tcPr>
          <w:p w14:paraId="4C4F3F94">
            <w:pPr>
              <w:rPr>
                <w:rFonts w:ascii="Arial"/>
                <w:sz w:val="21"/>
              </w:rPr>
            </w:pPr>
          </w:p>
        </w:tc>
      </w:tr>
      <w:tr w14:paraId="11AC2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375" w:type="dxa"/>
            <w:vMerge w:val="continue"/>
            <w:tcBorders>
              <w:top w:val="nil"/>
              <w:left w:val="single" w:color="000000" w:sz="6" w:space="0"/>
              <w:bottom w:val="nil"/>
              <w:right w:val="single" w:color="000000" w:sz="6" w:space="0"/>
            </w:tcBorders>
            <w:vAlign w:val="top"/>
          </w:tcPr>
          <w:p w14:paraId="24D5B749">
            <w:pPr>
              <w:rPr>
                <w:rFonts w:ascii="Arial"/>
                <w:sz w:val="21"/>
              </w:rPr>
            </w:pPr>
          </w:p>
        </w:tc>
        <w:tc>
          <w:tcPr>
            <w:tcW w:w="114" w:type="dxa"/>
            <w:tcBorders>
              <w:top w:val="nil"/>
              <w:left w:val="single" w:color="000000" w:sz="6" w:space="0"/>
              <w:bottom w:val="nil"/>
            </w:tcBorders>
            <w:vAlign w:val="top"/>
          </w:tcPr>
          <w:p w14:paraId="03696196">
            <w:pPr>
              <w:rPr>
                <w:rFonts w:ascii="Arial"/>
                <w:sz w:val="21"/>
              </w:rPr>
            </w:pPr>
          </w:p>
        </w:tc>
        <w:tc>
          <w:tcPr>
            <w:tcW w:w="905" w:type="dxa"/>
            <w:vMerge w:val="continue"/>
            <w:tcBorders>
              <w:top w:val="nil"/>
            </w:tcBorders>
            <w:vAlign w:val="top"/>
          </w:tcPr>
          <w:p w14:paraId="0B3A1969">
            <w:pPr>
              <w:rPr>
                <w:rFonts w:ascii="Arial"/>
                <w:sz w:val="21"/>
              </w:rPr>
            </w:pPr>
          </w:p>
        </w:tc>
        <w:tc>
          <w:tcPr>
            <w:tcW w:w="6227" w:type="dxa"/>
            <w:gridSpan w:val="5"/>
            <w:vAlign w:val="top"/>
          </w:tcPr>
          <w:p w14:paraId="24121126">
            <w:pPr>
              <w:pStyle w:val="6"/>
              <w:spacing w:before="47" w:line="216" w:lineRule="auto"/>
              <w:ind w:left="2914"/>
            </w:pPr>
            <w:r>
              <w:rPr>
                <w:spacing w:val="2"/>
              </w:rPr>
              <w:t>小计</w:t>
            </w:r>
          </w:p>
        </w:tc>
        <w:tc>
          <w:tcPr>
            <w:tcW w:w="779" w:type="dxa"/>
            <w:vAlign w:val="top"/>
          </w:tcPr>
          <w:p w14:paraId="31871FBB">
            <w:pPr>
              <w:spacing w:before="83" w:line="195" w:lineRule="auto"/>
              <w:ind w:left="31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24" w:type="dxa"/>
            <w:tcBorders>
              <w:top w:val="nil"/>
              <w:bottom w:val="nil"/>
              <w:right w:val="single" w:color="000000" w:sz="6" w:space="0"/>
            </w:tcBorders>
            <w:vAlign w:val="top"/>
          </w:tcPr>
          <w:p w14:paraId="443CD76D">
            <w:pPr>
              <w:rPr>
                <w:rFonts w:ascii="Arial"/>
                <w:sz w:val="21"/>
              </w:rPr>
            </w:pPr>
          </w:p>
        </w:tc>
      </w:tr>
      <w:tr w14:paraId="2F54CF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75" w:type="dxa"/>
            <w:vMerge w:val="continue"/>
            <w:tcBorders>
              <w:top w:val="nil"/>
              <w:left w:val="single" w:color="000000" w:sz="6" w:space="0"/>
              <w:bottom w:val="nil"/>
              <w:right w:val="single" w:color="000000" w:sz="6" w:space="0"/>
            </w:tcBorders>
            <w:vAlign w:val="top"/>
          </w:tcPr>
          <w:p w14:paraId="6C8D946E">
            <w:pPr>
              <w:rPr>
                <w:rFonts w:ascii="Arial"/>
                <w:sz w:val="21"/>
              </w:rPr>
            </w:pPr>
          </w:p>
        </w:tc>
        <w:tc>
          <w:tcPr>
            <w:tcW w:w="114" w:type="dxa"/>
            <w:tcBorders>
              <w:top w:val="nil"/>
              <w:left w:val="single" w:color="000000" w:sz="6" w:space="0"/>
              <w:bottom w:val="nil"/>
            </w:tcBorders>
            <w:vAlign w:val="top"/>
          </w:tcPr>
          <w:p w14:paraId="376658B0">
            <w:pPr>
              <w:rPr>
                <w:rFonts w:ascii="Arial"/>
                <w:sz w:val="21"/>
              </w:rPr>
            </w:pPr>
          </w:p>
        </w:tc>
        <w:tc>
          <w:tcPr>
            <w:tcW w:w="905" w:type="dxa"/>
            <w:vAlign w:val="top"/>
          </w:tcPr>
          <w:p w14:paraId="2A6FCDC5">
            <w:pPr>
              <w:pStyle w:val="6"/>
              <w:spacing w:before="31" w:line="217" w:lineRule="auto"/>
              <w:ind w:left="248"/>
            </w:pPr>
            <w:r>
              <w:rPr>
                <w:spacing w:val="2"/>
              </w:rPr>
              <w:t>总计</w:t>
            </w:r>
          </w:p>
        </w:tc>
        <w:tc>
          <w:tcPr>
            <w:tcW w:w="7006" w:type="dxa"/>
            <w:gridSpan w:val="6"/>
            <w:vAlign w:val="top"/>
          </w:tcPr>
          <w:p w14:paraId="10D2A66D">
            <w:pPr>
              <w:pStyle w:val="6"/>
              <w:spacing w:before="31" w:line="217" w:lineRule="auto"/>
              <w:ind w:left="833"/>
            </w:pPr>
            <w:r>
              <w:rPr>
                <w:spacing w:val="7"/>
              </w:rPr>
              <w:t>本项目线路共用铁塔</w:t>
            </w:r>
            <w:r>
              <w:rPr>
                <w:spacing w:val="-41"/>
              </w:rPr>
              <w:t xml:space="preserve"> </w:t>
            </w:r>
            <w:r>
              <w:rPr>
                <w:rFonts w:ascii="Times New Roman" w:hAnsi="Times New Roman" w:eastAsia="Times New Roman" w:cs="Times New Roman"/>
                <w:spacing w:val="7"/>
              </w:rPr>
              <w:t xml:space="preserve">45 </w:t>
            </w:r>
            <w:r>
              <w:rPr>
                <w:spacing w:val="7"/>
              </w:rPr>
              <w:t>基，直线塔</w:t>
            </w:r>
            <w:r>
              <w:rPr>
                <w:spacing w:val="-43"/>
              </w:rPr>
              <w:t xml:space="preserve"> </w:t>
            </w:r>
            <w:r>
              <w:rPr>
                <w:rFonts w:ascii="Times New Roman" w:hAnsi="Times New Roman" w:eastAsia="Times New Roman" w:cs="Times New Roman"/>
                <w:spacing w:val="7"/>
              </w:rPr>
              <w:t xml:space="preserve">24 </w:t>
            </w:r>
            <w:r>
              <w:rPr>
                <w:spacing w:val="7"/>
              </w:rPr>
              <w:t>基，耐张塔</w:t>
            </w:r>
            <w:r>
              <w:rPr>
                <w:spacing w:val="-43"/>
              </w:rPr>
              <w:t xml:space="preserve"> </w:t>
            </w:r>
            <w:r>
              <w:rPr>
                <w:rFonts w:ascii="Times New Roman" w:hAnsi="Times New Roman" w:eastAsia="Times New Roman" w:cs="Times New Roman"/>
                <w:spacing w:val="7"/>
              </w:rPr>
              <w:t xml:space="preserve">21 </w:t>
            </w:r>
            <w:r>
              <w:rPr>
                <w:spacing w:val="7"/>
              </w:rPr>
              <w:t>基。</w:t>
            </w:r>
          </w:p>
        </w:tc>
        <w:tc>
          <w:tcPr>
            <w:tcW w:w="124" w:type="dxa"/>
            <w:tcBorders>
              <w:top w:val="nil"/>
              <w:bottom w:val="nil"/>
              <w:right w:val="single" w:color="000000" w:sz="6" w:space="0"/>
            </w:tcBorders>
            <w:vAlign w:val="top"/>
          </w:tcPr>
          <w:p w14:paraId="34DDAC96">
            <w:pPr>
              <w:rPr>
                <w:rFonts w:ascii="Arial"/>
                <w:sz w:val="21"/>
              </w:rPr>
            </w:pPr>
          </w:p>
        </w:tc>
      </w:tr>
      <w:tr w14:paraId="77A21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05" w:hRule="atLeast"/>
        </w:trPr>
        <w:tc>
          <w:tcPr>
            <w:tcW w:w="375" w:type="dxa"/>
            <w:vMerge w:val="continue"/>
            <w:tcBorders>
              <w:top w:val="nil"/>
              <w:left w:val="single" w:color="000000" w:sz="6" w:space="0"/>
              <w:bottom w:val="single" w:color="000000" w:sz="6" w:space="0"/>
              <w:right w:val="single" w:color="000000" w:sz="6" w:space="0"/>
            </w:tcBorders>
            <w:vAlign w:val="top"/>
          </w:tcPr>
          <w:p w14:paraId="135C9A60">
            <w:pPr>
              <w:rPr>
                <w:rFonts w:ascii="Arial"/>
                <w:sz w:val="21"/>
              </w:rPr>
            </w:pPr>
          </w:p>
        </w:tc>
        <w:tc>
          <w:tcPr>
            <w:tcW w:w="8149" w:type="dxa"/>
            <w:gridSpan w:val="9"/>
            <w:tcBorders>
              <w:left w:val="single" w:color="000000" w:sz="6" w:space="0"/>
              <w:bottom w:val="single" w:color="000000" w:sz="6" w:space="0"/>
              <w:right w:val="single" w:color="000000" w:sz="6" w:space="0"/>
            </w:tcBorders>
            <w:vAlign w:val="top"/>
          </w:tcPr>
          <w:p w14:paraId="2C4465ED">
            <w:pPr>
              <w:pStyle w:val="6"/>
              <w:spacing w:before="37" w:line="219" w:lineRule="auto"/>
              <w:ind w:left="584"/>
              <w:rPr>
                <w:sz w:val="24"/>
                <w:szCs w:val="24"/>
              </w:rPr>
            </w:pPr>
            <w:r>
              <w:rPr>
                <w:spacing w:val="-2"/>
                <w:sz w:val="24"/>
                <w:szCs w:val="24"/>
              </w:rPr>
              <w:t>本项目线路使用的典型杆塔见附图</w:t>
            </w:r>
            <w:r>
              <w:rPr>
                <w:spacing w:val="-48"/>
                <w:sz w:val="24"/>
                <w:szCs w:val="24"/>
              </w:rPr>
              <w:t xml:space="preserve"> </w:t>
            </w:r>
            <w:r>
              <w:rPr>
                <w:rFonts w:ascii="Times New Roman" w:hAnsi="Times New Roman" w:eastAsia="Times New Roman" w:cs="Times New Roman"/>
                <w:spacing w:val="-2"/>
                <w:sz w:val="24"/>
                <w:szCs w:val="24"/>
              </w:rPr>
              <w:t>5</w:t>
            </w:r>
            <w:r>
              <w:rPr>
                <w:rFonts w:ascii="Times New Roman" w:hAnsi="Times New Roman" w:eastAsia="Times New Roman" w:cs="Times New Roman"/>
                <w:spacing w:val="-31"/>
                <w:sz w:val="24"/>
                <w:szCs w:val="24"/>
              </w:rPr>
              <w:t xml:space="preserve"> </w:t>
            </w:r>
            <w:r>
              <w:rPr>
                <w:spacing w:val="-2"/>
                <w:sz w:val="24"/>
                <w:szCs w:val="24"/>
              </w:rPr>
              <w:t>，线路基础</w:t>
            </w:r>
            <w:r>
              <w:rPr>
                <w:spacing w:val="-3"/>
                <w:sz w:val="24"/>
                <w:szCs w:val="24"/>
              </w:rPr>
              <w:t>型式见附图</w:t>
            </w:r>
            <w:r>
              <w:rPr>
                <w:spacing w:val="-50"/>
                <w:sz w:val="24"/>
                <w:szCs w:val="24"/>
              </w:rPr>
              <w:t xml:space="preserve"> </w:t>
            </w:r>
            <w:r>
              <w:rPr>
                <w:rFonts w:ascii="Times New Roman" w:hAnsi="Times New Roman" w:eastAsia="Times New Roman" w:cs="Times New Roman"/>
                <w:spacing w:val="-3"/>
                <w:sz w:val="24"/>
                <w:szCs w:val="24"/>
              </w:rPr>
              <w:t>6</w:t>
            </w:r>
            <w:r>
              <w:rPr>
                <w:spacing w:val="-3"/>
                <w:sz w:val="24"/>
                <w:szCs w:val="24"/>
              </w:rPr>
              <w:t>。</w:t>
            </w:r>
          </w:p>
          <w:p w14:paraId="6A15D593">
            <w:pPr>
              <w:pStyle w:val="6"/>
              <w:spacing w:before="181" w:line="220" w:lineRule="auto"/>
              <w:ind w:left="581"/>
              <w:rPr>
                <w:sz w:val="24"/>
                <w:szCs w:val="24"/>
              </w:rPr>
            </w:pPr>
            <w:r>
              <w:rPr>
                <w:rFonts w:ascii="Times New Roman" w:hAnsi="Times New Roman" w:eastAsia="Times New Roman" w:cs="Times New Roman"/>
                <w:b/>
                <w:bCs/>
                <w:spacing w:val="-5"/>
                <w:sz w:val="24"/>
                <w:szCs w:val="24"/>
              </w:rPr>
              <w:t>5</w:t>
            </w:r>
            <w:r>
              <w:rPr>
                <w:rFonts w:ascii="Times New Roman" w:hAnsi="Times New Roman" w:eastAsia="Times New Roman" w:cs="Times New Roman"/>
                <w:b/>
                <w:bCs/>
                <w:spacing w:val="-23"/>
                <w:sz w:val="24"/>
                <w:szCs w:val="24"/>
              </w:rPr>
              <w:t xml:space="preserve"> </w:t>
            </w:r>
            <w:r>
              <w:rPr>
                <w:b/>
                <w:bCs/>
                <w:spacing w:val="-5"/>
                <w:sz w:val="24"/>
                <w:szCs w:val="24"/>
              </w:rPr>
              <w:t>、</w:t>
            </w:r>
            <w:r>
              <w:rPr>
                <w:rFonts w:ascii="Times New Roman" w:hAnsi="Times New Roman" w:eastAsia="Times New Roman" w:cs="Times New Roman"/>
                <w:b/>
                <w:bCs/>
                <w:spacing w:val="-5"/>
                <w:sz w:val="24"/>
                <w:szCs w:val="24"/>
              </w:rPr>
              <w:t>220kV</w:t>
            </w:r>
            <w:r>
              <w:rPr>
                <w:rFonts w:ascii="Times New Roman" w:hAnsi="Times New Roman" w:eastAsia="Times New Roman" w:cs="Times New Roman"/>
                <w:b/>
                <w:bCs/>
                <w:spacing w:val="16"/>
                <w:sz w:val="24"/>
                <w:szCs w:val="24"/>
              </w:rPr>
              <w:t xml:space="preserve"> </w:t>
            </w:r>
            <w:r>
              <w:rPr>
                <w:b/>
                <w:bCs/>
                <w:spacing w:val="-5"/>
                <w:sz w:val="24"/>
                <w:szCs w:val="24"/>
              </w:rPr>
              <w:t>芳华变间隔扩建工程</w:t>
            </w:r>
          </w:p>
          <w:p w14:paraId="58C02FF2">
            <w:pPr>
              <w:pStyle w:val="6"/>
              <w:spacing w:before="180" w:line="354" w:lineRule="auto"/>
              <w:ind w:left="97" w:right="23" w:firstLine="480"/>
              <w:jc w:val="both"/>
              <w:rPr>
                <w:sz w:val="24"/>
                <w:szCs w:val="24"/>
              </w:rPr>
            </w:pP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24"/>
                <w:w w:val="101"/>
                <w:sz w:val="24"/>
                <w:szCs w:val="24"/>
              </w:rPr>
              <w:t xml:space="preserve"> </w:t>
            </w:r>
            <w:r>
              <w:rPr>
                <w:spacing w:val="-3"/>
                <w:sz w:val="24"/>
                <w:szCs w:val="24"/>
              </w:rPr>
              <w:t>芳华变处于建设阶段，拟建设</w:t>
            </w:r>
            <w:r>
              <w:rPr>
                <w:spacing w:val="-46"/>
                <w:sz w:val="24"/>
                <w:szCs w:val="24"/>
              </w:rPr>
              <w:t xml:space="preserve"> </w:t>
            </w:r>
            <w:r>
              <w:rPr>
                <w:rFonts w:ascii="Times New Roman" w:hAnsi="Times New Roman" w:eastAsia="Times New Roman" w:cs="Times New Roman"/>
                <w:spacing w:val="-3"/>
                <w:sz w:val="24"/>
                <w:szCs w:val="24"/>
              </w:rPr>
              <w:t xml:space="preserve">8 </w:t>
            </w:r>
            <w:r>
              <w:rPr>
                <w:spacing w:val="-3"/>
                <w:sz w:val="24"/>
                <w:szCs w:val="24"/>
              </w:rPr>
              <w:t>个</w:t>
            </w:r>
            <w:r>
              <w:rPr>
                <w:spacing w:val="-55"/>
                <w:sz w:val="24"/>
                <w:szCs w:val="24"/>
              </w:rPr>
              <w:t xml:space="preserve"> </w:t>
            </w: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28"/>
                <w:sz w:val="24"/>
                <w:szCs w:val="24"/>
              </w:rPr>
              <w:t xml:space="preserve"> </w:t>
            </w:r>
            <w:r>
              <w:rPr>
                <w:spacing w:val="-3"/>
                <w:sz w:val="24"/>
                <w:szCs w:val="24"/>
              </w:rPr>
              <w:t>间隔，规划向西北方向</w:t>
            </w:r>
            <w:r>
              <w:rPr>
                <w:spacing w:val="-4"/>
                <w:sz w:val="24"/>
                <w:szCs w:val="24"/>
              </w:rPr>
              <w:t>出线；拟建</w:t>
            </w:r>
            <w:r>
              <w:rPr>
                <w:spacing w:val="-22"/>
                <w:sz w:val="24"/>
                <w:szCs w:val="24"/>
              </w:rPr>
              <w:t xml:space="preserve"> </w:t>
            </w:r>
            <w:r>
              <w:rPr>
                <w:rFonts w:ascii="Times New Roman" w:hAnsi="Times New Roman" w:eastAsia="Times New Roman" w:cs="Times New Roman"/>
                <w:spacing w:val="-4"/>
                <w:sz w:val="24"/>
                <w:szCs w:val="24"/>
              </w:rPr>
              <w:t xml:space="preserve">12 </w:t>
            </w:r>
            <w:r>
              <w:rPr>
                <w:spacing w:val="-4"/>
                <w:sz w:val="24"/>
                <w:szCs w:val="24"/>
              </w:rPr>
              <w:t>个</w:t>
            </w:r>
            <w:r>
              <w:rPr>
                <w:spacing w:val="-32"/>
                <w:sz w:val="24"/>
                <w:szCs w:val="24"/>
              </w:rPr>
              <w:t xml:space="preserve"> </w:t>
            </w:r>
            <w:r>
              <w:rPr>
                <w:rFonts w:ascii="Times New Roman" w:hAnsi="Times New Roman" w:eastAsia="Times New Roman" w:cs="Times New Roman"/>
                <w:spacing w:val="-4"/>
                <w:sz w:val="24"/>
                <w:szCs w:val="24"/>
              </w:rPr>
              <w:t>110kV</w:t>
            </w:r>
            <w:r>
              <w:rPr>
                <w:rFonts w:ascii="Times New Roman" w:hAnsi="Times New Roman" w:eastAsia="Times New Roman" w:cs="Times New Roman"/>
                <w:spacing w:val="28"/>
                <w:sz w:val="24"/>
                <w:szCs w:val="24"/>
              </w:rPr>
              <w:t xml:space="preserve"> </w:t>
            </w:r>
            <w:r>
              <w:rPr>
                <w:spacing w:val="-4"/>
                <w:sz w:val="24"/>
                <w:szCs w:val="24"/>
              </w:rPr>
              <w:t>间隔，规划向东南方向出线；拟建</w:t>
            </w:r>
            <w:r>
              <w:rPr>
                <w:spacing w:val="-51"/>
                <w:sz w:val="24"/>
                <w:szCs w:val="24"/>
              </w:rPr>
              <w:t xml:space="preserve"> </w:t>
            </w:r>
            <w:r>
              <w:rPr>
                <w:rFonts w:ascii="Times New Roman" w:hAnsi="Times New Roman" w:eastAsia="Times New Roman" w:cs="Times New Roman"/>
                <w:spacing w:val="-4"/>
                <w:sz w:val="24"/>
                <w:szCs w:val="24"/>
              </w:rPr>
              <w:t xml:space="preserve">9 </w:t>
            </w:r>
            <w:r>
              <w:rPr>
                <w:spacing w:val="-4"/>
                <w:sz w:val="24"/>
                <w:szCs w:val="24"/>
              </w:rPr>
              <w:t>个</w:t>
            </w:r>
            <w:r>
              <w:rPr>
                <w:spacing w:val="-50"/>
                <w:sz w:val="24"/>
                <w:szCs w:val="24"/>
              </w:rPr>
              <w:t xml:space="preserve"> </w:t>
            </w:r>
            <w:r>
              <w:rPr>
                <w:rFonts w:ascii="Times New Roman" w:hAnsi="Times New Roman" w:eastAsia="Times New Roman" w:cs="Times New Roman"/>
                <w:spacing w:val="-4"/>
                <w:sz w:val="24"/>
                <w:szCs w:val="24"/>
              </w:rPr>
              <w:t>35kV</w:t>
            </w:r>
            <w:r>
              <w:rPr>
                <w:rFonts w:ascii="Times New Roman" w:hAnsi="Times New Roman" w:eastAsia="Times New Roman" w:cs="Times New Roman"/>
                <w:spacing w:val="28"/>
                <w:sz w:val="24"/>
                <w:szCs w:val="24"/>
              </w:rPr>
              <w:t xml:space="preserve"> </w:t>
            </w:r>
            <w:r>
              <w:rPr>
                <w:spacing w:val="-4"/>
                <w:sz w:val="24"/>
                <w:szCs w:val="24"/>
              </w:rPr>
              <w:t>间隔，</w:t>
            </w:r>
            <w:r>
              <w:rPr>
                <w:spacing w:val="-5"/>
                <w:sz w:val="24"/>
                <w:szCs w:val="24"/>
              </w:rPr>
              <w:t>规划向西南方向出线，本期新建</w:t>
            </w:r>
            <w:r>
              <w:rPr>
                <w:spacing w:val="-32"/>
                <w:sz w:val="24"/>
                <w:szCs w:val="24"/>
              </w:rPr>
              <w:t xml:space="preserve"> </w:t>
            </w:r>
            <w:r>
              <w:rPr>
                <w:rFonts w:ascii="Times New Roman" w:hAnsi="Times New Roman" w:eastAsia="Times New Roman" w:cs="Times New Roman"/>
                <w:spacing w:val="-5"/>
                <w:sz w:val="24"/>
                <w:szCs w:val="24"/>
              </w:rPr>
              <w:t>1</w:t>
            </w:r>
            <w:r>
              <w:rPr>
                <w:rFonts w:ascii="Times New Roman" w:hAnsi="Times New Roman" w:eastAsia="Times New Roman" w:cs="Times New Roman"/>
                <w:spacing w:val="33"/>
                <w:sz w:val="24"/>
                <w:szCs w:val="24"/>
              </w:rPr>
              <w:t xml:space="preserve"> </w:t>
            </w:r>
            <w:r>
              <w:rPr>
                <w:spacing w:val="-5"/>
                <w:sz w:val="24"/>
                <w:szCs w:val="24"/>
              </w:rPr>
              <w:t>回</w:t>
            </w:r>
            <w:r>
              <w:rPr>
                <w:spacing w:val="-32"/>
                <w:sz w:val="24"/>
                <w:szCs w:val="24"/>
              </w:rPr>
              <w:t xml:space="preserve"> </w:t>
            </w:r>
            <w:r>
              <w:rPr>
                <w:rFonts w:ascii="Times New Roman" w:hAnsi="Times New Roman" w:eastAsia="Times New Roman" w:cs="Times New Roman"/>
                <w:spacing w:val="-5"/>
                <w:sz w:val="24"/>
                <w:szCs w:val="24"/>
              </w:rPr>
              <w:t xml:space="preserve">110kV </w:t>
            </w:r>
            <w:r>
              <w:rPr>
                <w:spacing w:val="-5"/>
                <w:sz w:val="24"/>
                <w:szCs w:val="24"/>
              </w:rPr>
              <w:t>线</w:t>
            </w:r>
            <w:r>
              <w:rPr>
                <w:spacing w:val="-6"/>
                <w:sz w:val="24"/>
                <w:szCs w:val="24"/>
              </w:rPr>
              <w:t>路接入</w:t>
            </w:r>
            <w:r>
              <w:rPr>
                <w:spacing w:val="-55"/>
                <w:sz w:val="24"/>
                <w:szCs w:val="24"/>
              </w:rPr>
              <w:t xml:space="preserve"> </w:t>
            </w:r>
            <w:r>
              <w:rPr>
                <w:rFonts w:ascii="Times New Roman" w:hAnsi="Times New Roman" w:eastAsia="Times New Roman" w:cs="Times New Roman"/>
                <w:spacing w:val="-6"/>
                <w:sz w:val="24"/>
                <w:szCs w:val="24"/>
              </w:rPr>
              <w:t>220kV</w:t>
            </w:r>
            <w:r>
              <w:rPr>
                <w:rFonts w:ascii="Times New Roman" w:hAnsi="Times New Roman" w:eastAsia="Times New Roman" w:cs="Times New Roman"/>
                <w:spacing w:val="16"/>
                <w:sz w:val="24"/>
                <w:szCs w:val="24"/>
              </w:rPr>
              <w:t xml:space="preserve"> </w:t>
            </w:r>
            <w:r>
              <w:rPr>
                <w:spacing w:val="-6"/>
                <w:sz w:val="24"/>
                <w:szCs w:val="24"/>
              </w:rPr>
              <w:t>芳华变面向出线</w:t>
            </w:r>
            <w:r>
              <w:rPr>
                <w:spacing w:val="-7"/>
                <w:sz w:val="24"/>
                <w:szCs w:val="24"/>
              </w:rPr>
              <w:t>方向从左至右第</w:t>
            </w:r>
            <w:r>
              <w:rPr>
                <w:spacing w:val="-42"/>
                <w:sz w:val="24"/>
                <w:szCs w:val="24"/>
              </w:rPr>
              <w:t xml:space="preserve"> </w:t>
            </w:r>
            <w:r>
              <w:rPr>
                <w:rFonts w:ascii="Times New Roman" w:hAnsi="Times New Roman" w:eastAsia="Times New Roman" w:cs="Times New Roman"/>
                <w:spacing w:val="-7"/>
                <w:sz w:val="24"/>
                <w:szCs w:val="24"/>
              </w:rPr>
              <w:t xml:space="preserve">3 </w:t>
            </w:r>
            <w:r>
              <w:rPr>
                <w:spacing w:val="-7"/>
                <w:sz w:val="24"/>
                <w:szCs w:val="24"/>
              </w:rPr>
              <w:t>个</w:t>
            </w:r>
            <w:r>
              <w:rPr>
                <w:spacing w:val="-35"/>
                <w:sz w:val="24"/>
                <w:szCs w:val="24"/>
              </w:rPr>
              <w:t xml:space="preserve"> </w:t>
            </w:r>
            <w:r>
              <w:rPr>
                <w:rFonts w:ascii="Times New Roman" w:hAnsi="Times New Roman" w:eastAsia="Times New Roman" w:cs="Times New Roman"/>
                <w:spacing w:val="-7"/>
                <w:sz w:val="24"/>
                <w:szCs w:val="24"/>
              </w:rPr>
              <w:t>110kV</w:t>
            </w:r>
            <w:r>
              <w:rPr>
                <w:rFonts w:ascii="Times New Roman" w:hAnsi="Times New Roman" w:eastAsia="Times New Roman" w:cs="Times New Roman"/>
                <w:spacing w:val="28"/>
                <w:sz w:val="24"/>
                <w:szCs w:val="24"/>
              </w:rPr>
              <w:t xml:space="preserve"> </w:t>
            </w:r>
            <w:r>
              <w:rPr>
                <w:spacing w:val="-7"/>
                <w:sz w:val="24"/>
                <w:szCs w:val="24"/>
              </w:rPr>
              <w:t>间隔。相序为立于站内面向出线方向从左到右</w:t>
            </w:r>
            <w:r>
              <w:rPr>
                <w:spacing w:val="-54"/>
                <w:sz w:val="24"/>
                <w:szCs w:val="24"/>
              </w:rPr>
              <w:t xml:space="preserve"> </w:t>
            </w:r>
            <w:r>
              <w:rPr>
                <w:rFonts w:ascii="Times New Roman" w:hAnsi="Times New Roman" w:eastAsia="Times New Roman" w:cs="Times New Roman"/>
                <w:spacing w:val="-7"/>
                <w:sz w:val="24"/>
                <w:szCs w:val="24"/>
              </w:rPr>
              <w:t>C</w:t>
            </w:r>
            <w:r>
              <w:rPr>
                <w:spacing w:val="-7"/>
                <w:sz w:val="24"/>
                <w:szCs w:val="24"/>
              </w:rPr>
              <w:t>、</w:t>
            </w:r>
            <w:r>
              <w:rPr>
                <w:sz w:val="24"/>
                <w:szCs w:val="24"/>
              </w:rPr>
              <w:t xml:space="preserve"> </w:t>
            </w:r>
            <w:r>
              <w:rPr>
                <w:rFonts w:ascii="Times New Roman" w:hAnsi="Times New Roman" w:eastAsia="Times New Roman" w:cs="Times New Roman"/>
                <w:spacing w:val="-2"/>
                <w:sz w:val="24"/>
                <w:szCs w:val="24"/>
              </w:rPr>
              <w:t>B</w:t>
            </w:r>
            <w:r>
              <w:rPr>
                <w:rFonts w:ascii="Times New Roman" w:hAnsi="Times New Roman" w:eastAsia="Times New Roman" w:cs="Times New Roman"/>
                <w:spacing w:val="-17"/>
                <w:sz w:val="24"/>
                <w:szCs w:val="24"/>
              </w:rPr>
              <w:t xml:space="preserve"> </w:t>
            </w:r>
            <w:r>
              <w:rPr>
                <w:spacing w:val="-2"/>
                <w:sz w:val="24"/>
                <w:szCs w:val="24"/>
              </w:rPr>
              <w:t>、</w:t>
            </w:r>
            <w:r>
              <w:rPr>
                <w:rFonts w:ascii="Times New Roman" w:hAnsi="Times New Roman" w:eastAsia="Times New Roman" w:cs="Times New Roman"/>
                <w:spacing w:val="-2"/>
                <w:sz w:val="24"/>
                <w:szCs w:val="24"/>
              </w:rPr>
              <w:t xml:space="preserve">A </w:t>
            </w:r>
            <w:r>
              <w:rPr>
                <w:spacing w:val="-2"/>
                <w:sz w:val="24"/>
                <w:szCs w:val="24"/>
              </w:rPr>
              <w:t>排列。具体出线间隔布置示意图如下图所示：</w:t>
            </w:r>
          </w:p>
          <w:p w14:paraId="03371BD8">
            <w:pPr>
              <w:pStyle w:val="6"/>
              <w:spacing w:line="7298" w:lineRule="exact"/>
              <w:ind w:firstLine="515"/>
            </w:pPr>
            <w:r>
              <w:rPr>
                <w:position w:val="-145"/>
              </w:rPr>
              <w:pict>
                <v:group id="_x0000_s1036" o:spid="_x0000_s1036" o:spt="203" style="height:364.95pt;width:354.7pt;" coordsize="7094,7299">
                  <o:lock v:ext="edit"/>
                  <v:shape id="_x0000_s1037" o:spid="_x0000_s1037" o:spt="75" type="#_x0000_t75" style="position:absolute;left:0;top:0;height:7060;width:7094;" filled="f" stroked="f" coordsize="21600,21600">
                    <v:path/>
                    <v:fill on="f" focussize="0,0"/>
                    <v:stroke on="f"/>
                    <v:imagedata r:id="rId223" o:title=""/>
                    <o:lock v:ext="edit" aspectratio="t"/>
                  </v:shape>
                  <v:shape id="_x0000_s1038" o:spid="_x0000_s1038" o:spt="202" type="#_x0000_t202" style="position:absolute;left:2056;top:7069;height:248;width:3612;" filled="f" stroked="f" coordsize="21600,21600">
                    <v:path/>
                    <v:fill on="f" focussize="0,0"/>
                    <v:stroke on="f"/>
                    <v:imagedata o:title=""/>
                    <o:lock v:ext="edit" aspectratio="f"/>
                    <v:textbox inset="0mm,0mm,0mm,0mm">
                      <w:txbxContent>
                        <w:p w14:paraId="339EBF30">
                          <w:pPr>
                            <w:spacing w:before="19" w:line="227" w:lineRule="auto"/>
                            <w:ind w:left="20"/>
                            <w:rPr>
                              <w:rFonts w:ascii="宋体" w:hAnsi="宋体" w:eastAsia="宋体" w:cs="宋体"/>
                              <w:sz w:val="20"/>
                              <w:szCs w:val="20"/>
                            </w:rPr>
                          </w:pPr>
                          <w:r>
                            <w:rPr>
                              <w:rFonts w:ascii="宋体" w:hAnsi="宋体" w:eastAsia="宋体" w:cs="宋体"/>
                              <w:b/>
                              <w:bCs/>
                              <w:spacing w:val="4"/>
                              <w:sz w:val="20"/>
                              <w:szCs w:val="20"/>
                            </w:rPr>
                            <w:t>图</w:t>
                          </w:r>
                          <w:r>
                            <w:rPr>
                              <w:rFonts w:ascii="宋体" w:hAnsi="宋体" w:eastAsia="宋体" w:cs="宋体"/>
                              <w:spacing w:val="-37"/>
                              <w:sz w:val="20"/>
                              <w:szCs w:val="20"/>
                            </w:rPr>
                            <w:t xml:space="preserve"> </w:t>
                          </w:r>
                          <w:r>
                            <w:rPr>
                              <w:rFonts w:ascii="Times New Roman" w:hAnsi="Times New Roman" w:eastAsia="Times New Roman" w:cs="Times New Roman"/>
                              <w:b/>
                              <w:bCs/>
                              <w:spacing w:val="4"/>
                              <w:sz w:val="20"/>
                              <w:szCs w:val="20"/>
                            </w:rPr>
                            <w:t>2-2      220</w:t>
                          </w:r>
                          <w:r>
                            <w:rPr>
                              <w:rFonts w:ascii="Times New Roman" w:hAnsi="Times New Roman" w:eastAsia="Times New Roman" w:cs="Times New Roman"/>
                              <w:b/>
                              <w:bCs/>
                              <w:sz w:val="20"/>
                              <w:szCs w:val="20"/>
                            </w:rPr>
                            <w:t>kV</w:t>
                          </w:r>
                          <w:r>
                            <w:rPr>
                              <w:rFonts w:ascii="Times New Roman" w:hAnsi="Times New Roman" w:eastAsia="Times New Roman" w:cs="Times New Roman"/>
                              <w:b/>
                              <w:bCs/>
                              <w:spacing w:val="20"/>
                              <w:sz w:val="20"/>
                              <w:szCs w:val="20"/>
                            </w:rPr>
                            <w:t xml:space="preserve"> </w:t>
                          </w:r>
                          <w:r>
                            <w:rPr>
                              <w:rFonts w:ascii="宋体" w:hAnsi="宋体" w:eastAsia="宋体" w:cs="宋体"/>
                              <w:b/>
                              <w:bCs/>
                              <w:spacing w:val="4"/>
                              <w:sz w:val="20"/>
                              <w:szCs w:val="20"/>
                            </w:rPr>
                            <w:t>芳华变间隔布置示意图</w:t>
                          </w:r>
                        </w:p>
                      </w:txbxContent>
                    </v:textbox>
                  </v:shape>
                  <w10:wrap type="none"/>
                  <w10:anchorlock/>
                </v:group>
              </w:pict>
            </w:r>
          </w:p>
          <w:p w14:paraId="59D7E698">
            <w:pPr>
              <w:pStyle w:val="6"/>
              <w:spacing w:before="69" w:line="219" w:lineRule="auto"/>
              <w:ind w:left="582"/>
              <w:rPr>
                <w:sz w:val="24"/>
                <w:szCs w:val="24"/>
              </w:rPr>
            </w:pPr>
            <w:r>
              <w:rPr>
                <w:rFonts w:ascii="Times New Roman" w:hAnsi="Times New Roman" w:eastAsia="Times New Roman" w:cs="Times New Roman"/>
                <w:b/>
                <w:bCs/>
                <w:spacing w:val="-6"/>
                <w:sz w:val="24"/>
                <w:szCs w:val="24"/>
              </w:rPr>
              <w:t>6</w:t>
            </w:r>
            <w:r>
              <w:rPr>
                <w:rFonts w:ascii="Times New Roman" w:hAnsi="Times New Roman" w:eastAsia="Times New Roman" w:cs="Times New Roman"/>
                <w:b/>
                <w:bCs/>
                <w:spacing w:val="-34"/>
                <w:sz w:val="24"/>
                <w:szCs w:val="24"/>
              </w:rPr>
              <w:t xml:space="preserve"> </w:t>
            </w:r>
            <w:r>
              <w:rPr>
                <w:b/>
                <w:bCs/>
                <w:spacing w:val="-6"/>
                <w:sz w:val="24"/>
                <w:szCs w:val="24"/>
              </w:rPr>
              <w:t>、光缆通信工程</w:t>
            </w:r>
          </w:p>
          <w:p w14:paraId="00ACE99A">
            <w:pPr>
              <w:pStyle w:val="6"/>
              <w:spacing w:before="179" w:line="343" w:lineRule="auto"/>
              <w:ind w:left="105" w:right="102" w:firstLine="491"/>
              <w:rPr>
                <w:rFonts w:ascii="Times New Roman" w:hAnsi="Times New Roman" w:eastAsia="Times New Roman" w:cs="Times New Roman"/>
                <w:sz w:val="24"/>
                <w:szCs w:val="24"/>
              </w:rPr>
            </w:pPr>
            <w:r>
              <w:rPr>
                <w:sz w:val="24"/>
                <w:szCs w:val="24"/>
              </w:rPr>
              <w:t>随</w:t>
            </w:r>
            <w:r>
              <w:rPr>
                <w:spacing w:val="-55"/>
                <w:sz w:val="24"/>
                <w:szCs w:val="24"/>
              </w:rPr>
              <w:t xml:space="preserve"> </w:t>
            </w:r>
            <w:r>
              <w:rPr>
                <w:rFonts w:ascii="Times New Roman" w:hAnsi="Times New Roman" w:eastAsia="Times New Roman" w:cs="Times New Roman"/>
                <w:sz w:val="24"/>
                <w:szCs w:val="24"/>
              </w:rPr>
              <w:t>110kV</w:t>
            </w:r>
            <w:r>
              <w:rPr>
                <w:rFonts w:ascii="Times New Roman" w:hAnsi="Times New Roman" w:eastAsia="Times New Roman" w:cs="Times New Roman"/>
                <w:spacing w:val="-12"/>
                <w:sz w:val="24"/>
                <w:szCs w:val="24"/>
              </w:rPr>
              <w:t xml:space="preserve"> </w:t>
            </w:r>
            <w:r>
              <w:rPr>
                <w:sz w:val="24"/>
                <w:szCs w:val="24"/>
              </w:rPr>
              <w:t>松山变～</w:t>
            </w:r>
            <w:r>
              <w:rPr>
                <w:rFonts w:ascii="Times New Roman" w:hAnsi="Times New Roman" w:eastAsia="Times New Roman" w:cs="Times New Roman"/>
                <w:sz w:val="24"/>
                <w:szCs w:val="24"/>
              </w:rPr>
              <w:t xml:space="preserve">220kV </w:t>
            </w:r>
            <w:r>
              <w:rPr>
                <w:sz w:val="24"/>
                <w:szCs w:val="24"/>
              </w:rPr>
              <w:t>芳华变线路</w:t>
            </w:r>
            <w:r>
              <w:rPr>
                <w:spacing w:val="-1"/>
                <w:sz w:val="24"/>
                <w:szCs w:val="24"/>
              </w:rPr>
              <w:t>架设双回路段架设</w:t>
            </w:r>
            <w:r>
              <w:rPr>
                <w:rFonts w:ascii="Times New Roman" w:hAnsi="Times New Roman" w:eastAsia="Times New Roman" w:cs="Times New Roman"/>
                <w:spacing w:val="-1"/>
                <w:sz w:val="24"/>
                <w:szCs w:val="24"/>
              </w:rPr>
              <w:t>2</w:t>
            </w:r>
            <w:r>
              <w:rPr>
                <w:rFonts w:ascii="Times New Roman" w:hAnsi="Times New Roman" w:eastAsia="Times New Roman" w:cs="Times New Roman"/>
                <w:spacing w:val="-15"/>
                <w:sz w:val="24"/>
                <w:szCs w:val="24"/>
              </w:rPr>
              <w:t xml:space="preserve"> </w:t>
            </w:r>
            <w:r>
              <w:rPr>
                <w:spacing w:val="-1"/>
                <w:sz w:val="24"/>
                <w:szCs w:val="24"/>
              </w:rPr>
              <w:t>根</w:t>
            </w:r>
            <w:r>
              <w:rPr>
                <w:rFonts w:ascii="Times New Roman" w:hAnsi="Times New Roman" w:eastAsia="Times New Roman" w:cs="Times New Roman"/>
                <w:spacing w:val="-1"/>
                <w:sz w:val="24"/>
                <w:szCs w:val="24"/>
              </w:rPr>
              <w:t xml:space="preserve">48 </w:t>
            </w:r>
            <w:r>
              <w:rPr>
                <w:spacing w:val="-1"/>
                <w:sz w:val="24"/>
                <w:szCs w:val="24"/>
              </w:rPr>
              <w:t>芯</w:t>
            </w:r>
            <w:r>
              <w:rPr>
                <w:rFonts w:ascii="Times New Roman" w:hAnsi="Times New Roman" w:eastAsia="Times New Roman" w:cs="Times New Roman"/>
                <w:spacing w:val="-1"/>
                <w:sz w:val="24"/>
                <w:szCs w:val="24"/>
              </w:rPr>
              <w:t>OPGW</w:t>
            </w:r>
            <w:r>
              <w:rPr>
                <w:spacing w:val="-10"/>
                <w:sz w:val="24"/>
                <w:szCs w:val="24"/>
              </w:rPr>
              <w:t>光缆（其中</w:t>
            </w:r>
            <w:r>
              <w:rPr>
                <w:spacing w:val="-32"/>
                <w:sz w:val="24"/>
                <w:szCs w:val="24"/>
              </w:rPr>
              <w:t xml:space="preserve"> </w:t>
            </w:r>
            <w:r>
              <w:rPr>
                <w:rFonts w:ascii="Times New Roman" w:hAnsi="Times New Roman" w:eastAsia="Times New Roman" w:cs="Times New Roman"/>
                <w:spacing w:val="-10"/>
                <w:sz w:val="24"/>
                <w:szCs w:val="24"/>
              </w:rPr>
              <w:t xml:space="preserve">1 </w:t>
            </w:r>
            <w:r>
              <w:rPr>
                <w:spacing w:val="-10"/>
                <w:sz w:val="24"/>
                <w:szCs w:val="24"/>
              </w:rPr>
              <w:t>根预留</w:t>
            </w:r>
            <w:r>
              <w:rPr>
                <w:spacing w:val="-49"/>
                <w:w w:val="79"/>
                <w:sz w:val="24"/>
                <w:szCs w:val="24"/>
              </w:rPr>
              <w:t>），</w:t>
            </w:r>
            <w:r>
              <w:rPr>
                <w:spacing w:val="-10"/>
                <w:sz w:val="24"/>
                <w:szCs w:val="24"/>
              </w:rPr>
              <w:t>单回路段架设</w:t>
            </w:r>
            <w:r>
              <w:rPr>
                <w:spacing w:val="-32"/>
                <w:sz w:val="24"/>
                <w:szCs w:val="24"/>
              </w:rPr>
              <w:t xml:space="preserve"> </w:t>
            </w:r>
            <w:r>
              <w:rPr>
                <w:rFonts w:ascii="Times New Roman" w:hAnsi="Times New Roman" w:eastAsia="Times New Roman" w:cs="Times New Roman"/>
                <w:spacing w:val="-10"/>
                <w:sz w:val="24"/>
                <w:szCs w:val="24"/>
              </w:rPr>
              <w:t xml:space="preserve">1 </w:t>
            </w:r>
            <w:r>
              <w:rPr>
                <w:spacing w:val="-10"/>
                <w:sz w:val="24"/>
                <w:szCs w:val="24"/>
              </w:rPr>
              <w:t>根</w:t>
            </w:r>
            <w:r>
              <w:rPr>
                <w:spacing w:val="-56"/>
                <w:sz w:val="24"/>
                <w:szCs w:val="24"/>
              </w:rPr>
              <w:t xml:space="preserve"> </w:t>
            </w:r>
            <w:r>
              <w:rPr>
                <w:rFonts w:ascii="Times New Roman" w:hAnsi="Times New Roman" w:eastAsia="Times New Roman" w:cs="Times New Roman"/>
                <w:spacing w:val="-10"/>
                <w:sz w:val="24"/>
                <w:szCs w:val="24"/>
              </w:rPr>
              <w:t>48</w:t>
            </w:r>
            <w:r>
              <w:rPr>
                <w:rFonts w:ascii="Times New Roman" w:hAnsi="Times New Roman" w:eastAsia="Times New Roman" w:cs="Times New Roman"/>
                <w:spacing w:val="14"/>
                <w:sz w:val="24"/>
                <w:szCs w:val="24"/>
              </w:rPr>
              <w:t xml:space="preserve"> </w:t>
            </w:r>
            <w:r>
              <w:rPr>
                <w:spacing w:val="-10"/>
                <w:sz w:val="24"/>
                <w:szCs w:val="24"/>
              </w:rPr>
              <w:t>芯</w:t>
            </w:r>
            <w:r>
              <w:rPr>
                <w:spacing w:val="-52"/>
                <w:sz w:val="24"/>
                <w:szCs w:val="24"/>
              </w:rPr>
              <w:t xml:space="preserve"> </w:t>
            </w:r>
            <w:r>
              <w:rPr>
                <w:rFonts w:ascii="Times New Roman" w:hAnsi="Times New Roman" w:eastAsia="Times New Roman" w:cs="Times New Roman"/>
                <w:spacing w:val="-10"/>
                <w:sz w:val="24"/>
                <w:szCs w:val="24"/>
              </w:rPr>
              <w:t>OPGW</w:t>
            </w:r>
            <w:r>
              <w:rPr>
                <w:rFonts w:ascii="Times New Roman" w:hAnsi="Times New Roman" w:eastAsia="Times New Roman" w:cs="Times New Roman"/>
                <w:spacing w:val="13"/>
                <w:sz w:val="24"/>
                <w:szCs w:val="24"/>
              </w:rPr>
              <w:t xml:space="preserve"> </w:t>
            </w:r>
            <w:r>
              <w:rPr>
                <w:spacing w:val="-10"/>
                <w:sz w:val="24"/>
                <w:szCs w:val="24"/>
              </w:rPr>
              <w:t>光缆，最终形成</w:t>
            </w:r>
            <w:r>
              <w:rPr>
                <w:spacing w:val="-32"/>
                <w:sz w:val="24"/>
                <w:szCs w:val="24"/>
              </w:rPr>
              <w:t xml:space="preserve"> </w:t>
            </w:r>
            <w:r>
              <w:rPr>
                <w:rFonts w:ascii="Times New Roman" w:hAnsi="Times New Roman" w:eastAsia="Times New Roman" w:cs="Times New Roman"/>
                <w:spacing w:val="-10"/>
                <w:sz w:val="24"/>
                <w:szCs w:val="24"/>
              </w:rPr>
              <w:t>110kV</w:t>
            </w:r>
          </w:p>
        </w:tc>
      </w:tr>
    </w:tbl>
    <w:p w14:paraId="50CBEDE5">
      <w:pPr>
        <w:rPr>
          <w:rFonts w:ascii="Arial"/>
          <w:sz w:val="21"/>
        </w:rPr>
      </w:pPr>
    </w:p>
    <w:p w14:paraId="3B40E731">
      <w:pPr>
        <w:rPr>
          <w:rFonts w:ascii="Arial" w:hAnsi="Arial" w:eastAsia="Arial" w:cs="Arial"/>
          <w:sz w:val="21"/>
          <w:szCs w:val="21"/>
        </w:rPr>
        <w:sectPr>
          <w:footerReference r:id="rId47" w:type="default"/>
          <w:pgSz w:w="11907" w:h="16840"/>
          <w:pgMar w:top="400" w:right="1684" w:bottom="1240" w:left="1683" w:header="0" w:footer="1077" w:gutter="0"/>
          <w:cols w:space="720" w:num="1"/>
        </w:sectPr>
      </w:pPr>
    </w:p>
    <w:p w14:paraId="1BA0FF93">
      <w:pPr>
        <w:spacing w:before="19"/>
      </w:pPr>
    </w:p>
    <w:p w14:paraId="7ABB34D1">
      <w:pPr>
        <w:spacing w:before="19"/>
      </w:pPr>
    </w:p>
    <w:p w14:paraId="646D7C67">
      <w:pPr>
        <w:spacing w:before="18"/>
      </w:pPr>
    </w:p>
    <w:p w14:paraId="1CF3DAF7">
      <w:pPr>
        <w:spacing w:before="18"/>
      </w:pPr>
    </w:p>
    <w:tbl>
      <w:tblPr>
        <w:tblStyle w:val="5"/>
        <w:tblW w:w="85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5"/>
        <w:gridCol w:w="8149"/>
      </w:tblGrid>
      <w:tr w14:paraId="37FC5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46" w:hRule="atLeast"/>
        </w:trPr>
        <w:tc>
          <w:tcPr>
            <w:tcW w:w="375" w:type="dxa"/>
            <w:vAlign w:val="top"/>
          </w:tcPr>
          <w:p w14:paraId="00A5575F">
            <w:pPr>
              <w:rPr>
                <w:rFonts w:ascii="Arial"/>
                <w:sz w:val="21"/>
              </w:rPr>
            </w:pPr>
          </w:p>
        </w:tc>
        <w:tc>
          <w:tcPr>
            <w:tcW w:w="8149" w:type="dxa"/>
            <w:vAlign w:val="top"/>
          </w:tcPr>
          <w:p w14:paraId="500C1650">
            <w:pPr>
              <w:pStyle w:val="6"/>
              <w:spacing w:before="41" w:line="219" w:lineRule="auto"/>
              <w:ind w:left="104"/>
              <w:rPr>
                <w:sz w:val="24"/>
                <w:szCs w:val="24"/>
              </w:rPr>
            </w:pPr>
            <w:r>
              <w:rPr>
                <w:spacing w:val="-5"/>
                <w:sz w:val="24"/>
                <w:szCs w:val="24"/>
              </w:rPr>
              <w:t>松山变至</w:t>
            </w:r>
            <w:r>
              <w:rPr>
                <w:spacing w:val="-52"/>
                <w:sz w:val="24"/>
                <w:szCs w:val="24"/>
              </w:rPr>
              <w:t xml:space="preserve"> </w:t>
            </w:r>
            <w:r>
              <w:rPr>
                <w:rFonts w:ascii="Times New Roman" w:hAnsi="Times New Roman" w:eastAsia="Times New Roman" w:cs="Times New Roman"/>
                <w:spacing w:val="-5"/>
                <w:sz w:val="24"/>
                <w:szCs w:val="24"/>
              </w:rPr>
              <w:t>220kV</w:t>
            </w:r>
            <w:r>
              <w:rPr>
                <w:rFonts w:ascii="Times New Roman" w:hAnsi="Times New Roman" w:eastAsia="Times New Roman" w:cs="Times New Roman"/>
                <w:spacing w:val="16"/>
                <w:sz w:val="24"/>
                <w:szCs w:val="24"/>
              </w:rPr>
              <w:t xml:space="preserve"> </w:t>
            </w:r>
            <w:r>
              <w:rPr>
                <w:spacing w:val="-5"/>
                <w:sz w:val="24"/>
                <w:szCs w:val="24"/>
              </w:rPr>
              <w:t>芳华变的</w:t>
            </w:r>
            <w:r>
              <w:rPr>
                <w:spacing w:val="-32"/>
                <w:sz w:val="24"/>
                <w:szCs w:val="24"/>
              </w:rPr>
              <w:t xml:space="preserve"> </w:t>
            </w:r>
            <w:r>
              <w:rPr>
                <w:rFonts w:ascii="Times New Roman" w:hAnsi="Times New Roman" w:eastAsia="Times New Roman" w:cs="Times New Roman"/>
                <w:spacing w:val="-5"/>
                <w:sz w:val="24"/>
                <w:szCs w:val="24"/>
              </w:rPr>
              <w:t>1</w:t>
            </w:r>
            <w:r>
              <w:rPr>
                <w:rFonts w:ascii="Times New Roman" w:hAnsi="Times New Roman" w:eastAsia="Times New Roman" w:cs="Times New Roman"/>
                <w:spacing w:val="33"/>
                <w:sz w:val="24"/>
                <w:szCs w:val="24"/>
              </w:rPr>
              <w:t xml:space="preserve"> </w:t>
            </w:r>
            <w:r>
              <w:rPr>
                <w:spacing w:val="-5"/>
                <w:sz w:val="24"/>
                <w:szCs w:val="24"/>
              </w:rPr>
              <w:t>回</w:t>
            </w:r>
            <w:r>
              <w:rPr>
                <w:spacing w:val="-56"/>
                <w:sz w:val="24"/>
                <w:szCs w:val="24"/>
              </w:rPr>
              <w:t xml:space="preserve"> </w:t>
            </w:r>
            <w:r>
              <w:rPr>
                <w:rFonts w:ascii="Times New Roman" w:hAnsi="Times New Roman" w:eastAsia="Times New Roman" w:cs="Times New Roman"/>
                <w:spacing w:val="-5"/>
                <w:sz w:val="24"/>
                <w:szCs w:val="24"/>
              </w:rPr>
              <w:t>48</w:t>
            </w:r>
            <w:r>
              <w:rPr>
                <w:rFonts w:ascii="Times New Roman" w:hAnsi="Times New Roman" w:eastAsia="Times New Roman" w:cs="Times New Roman"/>
                <w:spacing w:val="14"/>
                <w:sz w:val="24"/>
                <w:szCs w:val="24"/>
              </w:rPr>
              <w:t xml:space="preserve"> </w:t>
            </w:r>
            <w:r>
              <w:rPr>
                <w:spacing w:val="-5"/>
                <w:sz w:val="24"/>
                <w:szCs w:val="24"/>
              </w:rPr>
              <w:t>芯光缆路由。</w:t>
            </w:r>
          </w:p>
          <w:p w14:paraId="596CC019">
            <w:pPr>
              <w:pStyle w:val="6"/>
              <w:spacing w:before="180" w:line="359" w:lineRule="auto"/>
              <w:ind w:left="102" w:right="103" w:firstLine="494"/>
              <w:jc w:val="both"/>
              <w:rPr>
                <w:sz w:val="24"/>
                <w:szCs w:val="24"/>
              </w:rPr>
            </w:pPr>
            <w:r>
              <w:rPr>
                <w:spacing w:val="-4"/>
                <w:sz w:val="24"/>
                <w:szCs w:val="24"/>
              </w:rPr>
              <w:t>随</w:t>
            </w:r>
            <w:r>
              <w:rPr>
                <w:spacing w:val="-42"/>
                <w:sz w:val="24"/>
                <w:szCs w:val="24"/>
              </w:rPr>
              <w:t xml:space="preserve"> </w:t>
            </w:r>
            <w:r>
              <w:rPr>
                <w:rFonts w:ascii="Times New Roman" w:hAnsi="Times New Roman" w:eastAsia="Times New Roman" w:cs="Times New Roman"/>
                <w:spacing w:val="-4"/>
                <w:sz w:val="24"/>
                <w:szCs w:val="24"/>
              </w:rPr>
              <w:t xml:space="preserve">110kV </w:t>
            </w:r>
            <w:r>
              <w:rPr>
                <w:spacing w:val="-4"/>
                <w:sz w:val="24"/>
                <w:szCs w:val="24"/>
              </w:rPr>
              <w:t>松山变</w:t>
            </w:r>
            <w:r>
              <w:rPr>
                <w:spacing w:val="-62"/>
                <w:sz w:val="24"/>
                <w:szCs w:val="24"/>
              </w:rPr>
              <w:t xml:space="preserve"> </w:t>
            </w:r>
            <w:r>
              <w:rPr>
                <w:rFonts w:ascii="Times New Roman" w:hAnsi="Times New Roman" w:eastAsia="Times New Roman" w:cs="Times New Roman"/>
                <w:spacing w:val="-4"/>
                <w:sz w:val="24"/>
                <w:szCs w:val="24"/>
              </w:rPr>
              <w:t xml:space="preserve">T </w:t>
            </w:r>
            <w:r>
              <w:rPr>
                <w:spacing w:val="-4"/>
                <w:sz w:val="24"/>
                <w:szCs w:val="24"/>
              </w:rPr>
              <w:t>接芳华变出线π接</w:t>
            </w:r>
            <w:r>
              <w:rPr>
                <w:spacing w:val="-42"/>
                <w:sz w:val="24"/>
                <w:szCs w:val="24"/>
              </w:rPr>
              <w:t xml:space="preserve"> </w:t>
            </w:r>
            <w:r>
              <w:rPr>
                <w:rFonts w:ascii="Times New Roman" w:hAnsi="Times New Roman" w:eastAsia="Times New Roman" w:cs="Times New Roman"/>
                <w:spacing w:val="-4"/>
                <w:sz w:val="24"/>
                <w:szCs w:val="24"/>
              </w:rPr>
              <w:t>110</w:t>
            </w:r>
            <w:r>
              <w:rPr>
                <w:rFonts w:ascii="Times New Roman" w:hAnsi="Times New Roman" w:eastAsia="Times New Roman" w:cs="Times New Roman"/>
                <w:spacing w:val="-5"/>
                <w:sz w:val="24"/>
                <w:szCs w:val="24"/>
              </w:rPr>
              <w:t xml:space="preserve">kV </w:t>
            </w:r>
            <w:r>
              <w:rPr>
                <w:spacing w:val="-5"/>
                <w:sz w:val="24"/>
                <w:szCs w:val="24"/>
              </w:rPr>
              <w:t>吉中线的</w:t>
            </w:r>
            <w:r>
              <w:rPr>
                <w:spacing w:val="-41"/>
                <w:sz w:val="24"/>
                <w:szCs w:val="24"/>
              </w:rPr>
              <w:t xml:space="preserve"> </w:t>
            </w:r>
            <w:r>
              <w:rPr>
                <w:rFonts w:ascii="Times New Roman" w:hAnsi="Times New Roman" w:eastAsia="Times New Roman" w:cs="Times New Roman"/>
                <w:spacing w:val="-5"/>
                <w:sz w:val="24"/>
                <w:szCs w:val="24"/>
              </w:rPr>
              <w:t xml:space="preserve">110kV </w:t>
            </w:r>
            <w:r>
              <w:rPr>
                <w:spacing w:val="-5"/>
                <w:sz w:val="24"/>
                <w:szCs w:val="24"/>
              </w:rPr>
              <w:t>线路架设</w:t>
            </w:r>
            <w:r>
              <w:rPr>
                <w:spacing w:val="-65"/>
                <w:sz w:val="24"/>
                <w:szCs w:val="24"/>
              </w:rPr>
              <w:t xml:space="preserve"> </w:t>
            </w:r>
            <w:r>
              <w:rPr>
                <w:rFonts w:ascii="Times New Roman" w:hAnsi="Times New Roman" w:eastAsia="Times New Roman" w:cs="Times New Roman"/>
                <w:spacing w:val="-5"/>
                <w:sz w:val="24"/>
                <w:szCs w:val="24"/>
              </w:rPr>
              <w:t>2</w:t>
            </w:r>
            <w:r>
              <w:rPr>
                <w:spacing w:val="-4"/>
                <w:sz w:val="24"/>
                <w:szCs w:val="24"/>
              </w:rPr>
              <w:t>根</w:t>
            </w:r>
            <w:r>
              <w:rPr>
                <w:spacing w:val="-36"/>
                <w:sz w:val="24"/>
                <w:szCs w:val="24"/>
              </w:rPr>
              <w:t xml:space="preserve"> </w:t>
            </w:r>
            <w:r>
              <w:rPr>
                <w:rFonts w:ascii="Times New Roman" w:hAnsi="Times New Roman" w:eastAsia="Times New Roman" w:cs="Times New Roman"/>
                <w:spacing w:val="-4"/>
                <w:sz w:val="24"/>
                <w:szCs w:val="24"/>
              </w:rPr>
              <w:t>36</w:t>
            </w:r>
            <w:r>
              <w:rPr>
                <w:rFonts w:ascii="Times New Roman" w:hAnsi="Times New Roman" w:eastAsia="Times New Roman" w:cs="Times New Roman"/>
                <w:spacing w:val="14"/>
                <w:sz w:val="24"/>
                <w:szCs w:val="24"/>
              </w:rPr>
              <w:t xml:space="preserve"> </w:t>
            </w:r>
            <w:r>
              <w:rPr>
                <w:spacing w:val="-4"/>
                <w:sz w:val="24"/>
                <w:szCs w:val="24"/>
              </w:rPr>
              <w:t>芯</w:t>
            </w:r>
            <w:r>
              <w:rPr>
                <w:spacing w:val="-52"/>
                <w:sz w:val="24"/>
                <w:szCs w:val="24"/>
              </w:rPr>
              <w:t xml:space="preserve"> </w:t>
            </w:r>
            <w:r>
              <w:rPr>
                <w:rFonts w:ascii="Times New Roman" w:hAnsi="Times New Roman" w:eastAsia="Times New Roman" w:cs="Times New Roman"/>
                <w:spacing w:val="-4"/>
                <w:sz w:val="24"/>
                <w:szCs w:val="24"/>
              </w:rPr>
              <w:t xml:space="preserve">OPGW-80 </w:t>
            </w:r>
            <w:r>
              <w:rPr>
                <w:spacing w:val="-4"/>
                <w:sz w:val="24"/>
                <w:szCs w:val="24"/>
              </w:rPr>
              <w:t>光缆，将</w:t>
            </w:r>
            <w:r>
              <w:rPr>
                <w:spacing w:val="-55"/>
                <w:sz w:val="24"/>
                <w:szCs w:val="24"/>
              </w:rPr>
              <w:t xml:space="preserve"> </w:t>
            </w:r>
            <w:r>
              <w:rPr>
                <w:rFonts w:ascii="Times New Roman" w:hAnsi="Times New Roman" w:eastAsia="Times New Roman" w:cs="Times New Roman"/>
                <w:spacing w:val="-4"/>
                <w:sz w:val="24"/>
                <w:szCs w:val="24"/>
              </w:rPr>
              <w:t>220kV</w:t>
            </w:r>
            <w:r>
              <w:rPr>
                <w:rFonts w:ascii="Times New Roman" w:hAnsi="Times New Roman" w:eastAsia="Times New Roman" w:cs="Times New Roman"/>
                <w:spacing w:val="16"/>
                <w:sz w:val="24"/>
                <w:szCs w:val="24"/>
              </w:rPr>
              <w:t xml:space="preserve"> </w:t>
            </w:r>
            <w:r>
              <w:rPr>
                <w:spacing w:val="-4"/>
                <w:sz w:val="24"/>
                <w:szCs w:val="24"/>
              </w:rPr>
              <w:t>芳华变～</w:t>
            </w:r>
            <w:r>
              <w:rPr>
                <w:rFonts w:ascii="Times New Roman" w:hAnsi="Times New Roman" w:eastAsia="Times New Roman" w:cs="Times New Roman"/>
                <w:spacing w:val="-4"/>
                <w:sz w:val="24"/>
                <w:szCs w:val="24"/>
              </w:rPr>
              <w:t>110kV</w:t>
            </w:r>
            <w:r>
              <w:rPr>
                <w:rFonts w:ascii="Times New Roman" w:hAnsi="Times New Roman" w:eastAsia="Times New Roman" w:cs="Times New Roman"/>
                <w:spacing w:val="17"/>
                <w:sz w:val="24"/>
                <w:szCs w:val="24"/>
              </w:rPr>
              <w:t xml:space="preserve"> </w:t>
            </w:r>
            <w:r>
              <w:rPr>
                <w:spacing w:val="-4"/>
                <w:sz w:val="24"/>
                <w:szCs w:val="24"/>
              </w:rPr>
              <w:t>吉冲变原有的</w:t>
            </w:r>
            <w:r>
              <w:rPr>
                <w:spacing w:val="-32"/>
                <w:sz w:val="24"/>
                <w:szCs w:val="24"/>
              </w:rPr>
              <w:t xml:space="preserve"> </w:t>
            </w:r>
            <w:r>
              <w:rPr>
                <w:rFonts w:ascii="Times New Roman" w:hAnsi="Times New Roman" w:eastAsia="Times New Roman" w:cs="Times New Roman"/>
                <w:spacing w:val="-4"/>
                <w:sz w:val="24"/>
                <w:szCs w:val="24"/>
              </w:rPr>
              <w:t xml:space="preserve">1 </w:t>
            </w:r>
            <w:r>
              <w:rPr>
                <w:spacing w:val="-4"/>
                <w:sz w:val="24"/>
                <w:szCs w:val="24"/>
              </w:rPr>
              <w:t>根</w:t>
            </w:r>
            <w:r>
              <w:rPr>
                <w:spacing w:val="-50"/>
                <w:sz w:val="24"/>
                <w:szCs w:val="24"/>
              </w:rPr>
              <w:t xml:space="preserve"> </w:t>
            </w:r>
            <w:r>
              <w:rPr>
                <w:rFonts w:ascii="Times New Roman" w:hAnsi="Times New Roman" w:eastAsia="Times New Roman" w:cs="Times New Roman"/>
                <w:spacing w:val="-4"/>
                <w:sz w:val="24"/>
                <w:szCs w:val="24"/>
              </w:rPr>
              <w:t>36</w:t>
            </w:r>
            <w:r>
              <w:rPr>
                <w:rFonts w:ascii="Times New Roman" w:hAnsi="Times New Roman" w:eastAsia="Times New Roman" w:cs="Times New Roman"/>
                <w:spacing w:val="14"/>
                <w:sz w:val="24"/>
                <w:szCs w:val="24"/>
              </w:rPr>
              <w:t xml:space="preserve"> </w:t>
            </w:r>
            <w:r>
              <w:rPr>
                <w:spacing w:val="-4"/>
                <w:sz w:val="24"/>
                <w:szCs w:val="24"/>
              </w:rPr>
              <w:t>芯</w:t>
            </w:r>
            <w:r>
              <w:rPr>
                <w:rFonts w:ascii="Times New Roman" w:hAnsi="Times New Roman" w:eastAsia="Times New Roman" w:cs="Times New Roman"/>
                <w:spacing w:val="-2"/>
                <w:sz w:val="24"/>
                <w:szCs w:val="24"/>
              </w:rPr>
              <w:t xml:space="preserve">OPGW </w:t>
            </w:r>
            <w:r>
              <w:rPr>
                <w:spacing w:val="-2"/>
                <w:sz w:val="24"/>
                <w:szCs w:val="24"/>
              </w:rPr>
              <w:t>光缆</w:t>
            </w:r>
            <w:r>
              <w:rPr>
                <w:rFonts w:ascii="Times New Roman" w:hAnsi="Times New Roman" w:eastAsia="Times New Roman" w:cs="Times New Roman"/>
                <w:spacing w:val="-2"/>
                <w:sz w:val="24"/>
                <w:szCs w:val="24"/>
              </w:rPr>
              <w:t>π</w:t>
            </w:r>
            <w:r>
              <w:rPr>
                <w:rFonts w:ascii="Times New Roman" w:hAnsi="Times New Roman" w:eastAsia="Times New Roman" w:cs="Times New Roman"/>
                <w:spacing w:val="-43"/>
                <w:sz w:val="24"/>
                <w:szCs w:val="24"/>
              </w:rPr>
              <w:t xml:space="preserve"> </w:t>
            </w:r>
            <w:r>
              <w:rPr>
                <w:spacing w:val="-2"/>
                <w:sz w:val="24"/>
                <w:szCs w:val="24"/>
              </w:rPr>
              <w:t>断，最终形成</w:t>
            </w:r>
            <w:r>
              <w:rPr>
                <w:spacing w:val="-31"/>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松山变至</w:t>
            </w:r>
            <w:r>
              <w:rPr>
                <w:spacing w:val="-55"/>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5"/>
                <w:sz w:val="24"/>
                <w:szCs w:val="24"/>
              </w:rPr>
              <w:t xml:space="preserve"> </w:t>
            </w:r>
            <w:r>
              <w:rPr>
                <w:spacing w:val="-2"/>
                <w:sz w:val="24"/>
                <w:szCs w:val="24"/>
              </w:rPr>
              <w:t>芳华变、</w:t>
            </w:r>
            <w:r>
              <w:rPr>
                <w:rFonts w:ascii="Times New Roman" w:hAnsi="Times New Roman" w:eastAsia="Times New Roman" w:cs="Times New Roman"/>
                <w:spacing w:val="-2"/>
                <w:sz w:val="24"/>
                <w:szCs w:val="24"/>
              </w:rPr>
              <w:t>11</w:t>
            </w:r>
            <w:r>
              <w:rPr>
                <w:rFonts w:ascii="Times New Roman" w:hAnsi="Times New Roman" w:eastAsia="Times New Roman" w:cs="Times New Roman"/>
                <w:spacing w:val="-3"/>
                <w:sz w:val="24"/>
                <w:szCs w:val="24"/>
              </w:rPr>
              <w:t xml:space="preserve">0kV </w:t>
            </w:r>
            <w:r>
              <w:rPr>
                <w:spacing w:val="-3"/>
                <w:sz w:val="24"/>
                <w:szCs w:val="24"/>
              </w:rPr>
              <w:t>松山变至</w:t>
            </w:r>
            <w:r>
              <w:rPr>
                <w:rFonts w:ascii="Times New Roman" w:hAnsi="Times New Roman" w:eastAsia="Times New Roman" w:cs="Times New Roman"/>
                <w:spacing w:val="-7"/>
                <w:sz w:val="24"/>
                <w:szCs w:val="24"/>
              </w:rPr>
              <w:t>110kV</w:t>
            </w:r>
            <w:r>
              <w:rPr>
                <w:rFonts w:ascii="Times New Roman" w:hAnsi="Times New Roman" w:eastAsia="Times New Roman" w:cs="Times New Roman"/>
                <w:spacing w:val="28"/>
                <w:sz w:val="24"/>
                <w:szCs w:val="24"/>
              </w:rPr>
              <w:t xml:space="preserve"> </w:t>
            </w:r>
            <w:r>
              <w:rPr>
                <w:spacing w:val="-7"/>
                <w:sz w:val="24"/>
                <w:szCs w:val="24"/>
              </w:rPr>
              <w:t>吉冲变的</w:t>
            </w:r>
            <w:r>
              <w:rPr>
                <w:spacing w:val="-32"/>
                <w:sz w:val="24"/>
                <w:szCs w:val="24"/>
              </w:rPr>
              <w:t xml:space="preserve"> </w:t>
            </w:r>
            <w:r>
              <w:rPr>
                <w:rFonts w:ascii="Times New Roman" w:hAnsi="Times New Roman" w:eastAsia="Times New Roman" w:cs="Times New Roman"/>
                <w:spacing w:val="-7"/>
                <w:sz w:val="24"/>
                <w:szCs w:val="24"/>
              </w:rPr>
              <w:t>1</w:t>
            </w:r>
            <w:r>
              <w:rPr>
                <w:rFonts w:ascii="Times New Roman" w:hAnsi="Times New Roman" w:eastAsia="Times New Roman" w:cs="Times New Roman"/>
                <w:spacing w:val="33"/>
                <w:sz w:val="24"/>
                <w:szCs w:val="24"/>
              </w:rPr>
              <w:t xml:space="preserve"> </w:t>
            </w:r>
            <w:r>
              <w:rPr>
                <w:spacing w:val="-7"/>
                <w:sz w:val="24"/>
                <w:szCs w:val="24"/>
              </w:rPr>
              <w:t>回</w:t>
            </w:r>
            <w:r>
              <w:rPr>
                <w:spacing w:val="-50"/>
                <w:sz w:val="24"/>
                <w:szCs w:val="24"/>
              </w:rPr>
              <w:t xml:space="preserve"> </w:t>
            </w:r>
            <w:r>
              <w:rPr>
                <w:rFonts w:ascii="Times New Roman" w:hAnsi="Times New Roman" w:eastAsia="Times New Roman" w:cs="Times New Roman"/>
                <w:spacing w:val="-7"/>
                <w:sz w:val="24"/>
                <w:szCs w:val="24"/>
              </w:rPr>
              <w:t>36</w:t>
            </w:r>
            <w:r>
              <w:rPr>
                <w:rFonts w:ascii="Times New Roman" w:hAnsi="Times New Roman" w:eastAsia="Times New Roman" w:cs="Times New Roman"/>
                <w:spacing w:val="14"/>
                <w:sz w:val="24"/>
                <w:szCs w:val="24"/>
              </w:rPr>
              <w:t xml:space="preserve"> </w:t>
            </w:r>
            <w:r>
              <w:rPr>
                <w:spacing w:val="-7"/>
                <w:sz w:val="24"/>
                <w:szCs w:val="24"/>
              </w:rPr>
              <w:t>芯光缆路由。</w:t>
            </w:r>
          </w:p>
          <w:p w14:paraId="1A72C120">
            <w:pPr>
              <w:pStyle w:val="6"/>
              <w:spacing w:line="359" w:lineRule="auto"/>
              <w:ind w:left="98" w:right="41" w:firstLine="497"/>
              <w:jc w:val="both"/>
              <w:rPr>
                <w:sz w:val="24"/>
                <w:szCs w:val="24"/>
              </w:rPr>
            </w:pPr>
            <w:r>
              <w:rPr>
                <w:spacing w:val="-5"/>
                <w:sz w:val="24"/>
                <w:szCs w:val="24"/>
              </w:rPr>
              <w:t>随</w:t>
            </w:r>
            <w:r>
              <w:rPr>
                <w:spacing w:val="-28"/>
                <w:sz w:val="24"/>
                <w:szCs w:val="24"/>
              </w:rPr>
              <w:t xml:space="preserve"> </w:t>
            </w:r>
            <w:r>
              <w:rPr>
                <w:rFonts w:ascii="Times New Roman" w:hAnsi="Times New Roman" w:eastAsia="Times New Roman" w:cs="Times New Roman"/>
                <w:spacing w:val="-5"/>
                <w:sz w:val="24"/>
                <w:szCs w:val="24"/>
              </w:rPr>
              <w:t xml:space="preserve">110kV </w:t>
            </w:r>
            <w:r>
              <w:rPr>
                <w:spacing w:val="-5"/>
                <w:sz w:val="24"/>
                <w:szCs w:val="24"/>
              </w:rPr>
              <w:t>松山变</w:t>
            </w:r>
            <w:r>
              <w:rPr>
                <w:spacing w:val="-67"/>
                <w:sz w:val="24"/>
                <w:szCs w:val="24"/>
              </w:rPr>
              <w:t xml:space="preserve"> </w:t>
            </w:r>
            <w:r>
              <w:rPr>
                <w:rFonts w:ascii="Times New Roman" w:hAnsi="Times New Roman" w:eastAsia="Times New Roman" w:cs="Times New Roman"/>
                <w:spacing w:val="-5"/>
                <w:sz w:val="24"/>
                <w:szCs w:val="24"/>
              </w:rPr>
              <w:t xml:space="preserve">T </w:t>
            </w:r>
            <w:r>
              <w:rPr>
                <w:spacing w:val="-5"/>
                <w:sz w:val="24"/>
                <w:szCs w:val="24"/>
              </w:rPr>
              <w:t>接</w:t>
            </w:r>
            <w:r>
              <w:rPr>
                <w:spacing w:val="-65"/>
                <w:sz w:val="24"/>
                <w:szCs w:val="24"/>
              </w:rPr>
              <w:t xml:space="preserve"> </w:t>
            </w:r>
            <w:r>
              <w:rPr>
                <w:rFonts w:ascii="Times New Roman" w:hAnsi="Times New Roman" w:eastAsia="Times New Roman" w:cs="Times New Roman"/>
                <w:spacing w:val="-5"/>
                <w:sz w:val="24"/>
                <w:szCs w:val="24"/>
              </w:rPr>
              <w:t xml:space="preserve">35kV </w:t>
            </w:r>
            <w:r>
              <w:rPr>
                <w:spacing w:val="-5"/>
                <w:sz w:val="24"/>
                <w:szCs w:val="24"/>
              </w:rPr>
              <w:t>金瑞达瓷业线新建线路架设</w:t>
            </w:r>
            <w:r>
              <w:rPr>
                <w:spacing w:val="-46"/>
                <w:sz w:val="24"/>
                <w:szCs w:val="24"/>
              </w:rPr>
              <w:t xml:space="preserve"> </w:t>
            </w:r>
            <w:r>
              <w:rPr>
                <w:rFonts w:ascii="Times New Roman" w:hAnsi="Times New Roman" w:eastAsia="Times New Roman" w:cs="Times New Roman"/>
                <w:spacing w:val="-5"/>
                <w:sz w:val="24"/>
                <w:szCs w:val="24"/>
              </w:rPr>
              <w:t xml:space="preserve">1 </w:t>
            </w:r>
            <w:r>
              <w:rPr>
                <w:spacing w:val="-5"/>
                <w:sz w:val="24"/>
                <w:szCs w:val="24"/>
              </w:rPr>
              <w:t>根</w:t>
            </w:r>
            <w:r>
              <w:rPr>
                <w:spacing w:val="-69"/>
                <w:sz w:val="24"/>
                <w:szCs w:val="24"/>
              </w:rPr>
              <w:t xml:space="preserve"> </w:t>
            </w:r>
            <w:r>
              <w:rPr>
                <w:rFonts w:ascii="Times New Roman" w:hAnsi="Times New Roman" w:eastAsia="Times New Roman" w:cs="Times New Roman"/>
                <w:spacing w:val="-5"/>
                <w:sz w:val="24"/>
                <w:szCs w:val="24"/>
              </w:rPr>
              <w:t xml:space="preserve">24 </w:t>
            </w:r>
            <w:r>
              <w:rPr>
                <w:spacing w:val="-5"/>
                <w:sz w:val="24"/>
                <w:szCs w:val="24"/>
              </w:rPr>
              <w:t>芯</w:t>
            </w:r>
            <w:r>
              <w:rPr>
                <w:spacing w:val="-66"/>
                <w:sz w:val="24"/>
                <w:szCs w:val="24"/>
              </w:rPr>
              <w:t xml:space="preserve"> </w:t>
            </w:r>
            <w:r>
              <w:rPr>
                <w:rFonts w:ascii="Times New Roman" w:hAnsi="Times New Roman" w:eastAsia="Times New Roman" w:cs="Times New Roman"/>
                <w:spacing w:val="-5"/>
                <w:sz w:val="24"/>
                <w:szCs w:val="24"/>
              </w:rPr>
              <w:t>OPGW</w:t>
            </w:r>
            <w:r>
              <w:rPr>
                <w:spacing w:val="-5"/>
                <w:sz w:val="24"/>
                <w:szCs w:val="24"/>
              </w:rPr>
              <w:t>光缆，将</w:t>
            </w:r>
            <w:r>
              <w:rPr>
                <w:spacing w:val="-50"/>
                <w:sz w:val="24"/>
                <w:szCs w:val="24"/>
              </w:rPr>
              <w:t xml:space="preserve"> </w:t>
            </w:r>
            <w:r>
              <w:rPr>
                <w:rFonts w:ascii="Times New Roman" w:hAnsi="Times New Roman" w:eastAsia="Times New Roman" w:cs="Times New Roman"/>
                <w:spacing w:val="-5"/>
                <w:sz w:val="24"/>
                <w:szCs w:val="24"/>
              </w:rPr>
              <w:t>35kV</w:t>
            </w:r>
            <w:r>
              <w:rPr>
                <w:rFonts w:ascii="Times New Roman" w:hAnsi="Times New Roman" w:eastAsia="Times New Roman" w:cs="Times New Roman"/>
                <w:spacing w:val="13"/>
                <w:sz w:val="24"/>
                <w:szCs w:val="24"/>
              </w:rPr>
              <w:t xml:space="preserve"> </w:t>
            </w:r>
            <w:r>
              <w:rPr>
                <w:spacing w:val="-5"/>
                <w:sz w:val="24"/>
                <w:szCs w:val="24"/>
              </w:rPr>
              <w:t>金瑞达瓷砖厂至</w:t>
            </w:r>
            <w:r>
              <w:rPr>
                <w:spacing w:val="-52"/>
                <w:sz w:val="24"/>
                <w:szCs w:val="24"/>
              </w:rPr>
              <w:t xml:space="preserve"> </w:t>
            </w:r>
            <w:r>
              <w:rPr>
                <w:rFonts w:ascii="Times New Roman" w:hAnsi="Times New Roman" w:eastAsia="Times New Roman" w:cs="Times New Roman"/>
                <w:spacing w:val="-5"/>
                <w:sz w:val="24"/>
                <w:szCs w:val="24"/>
              </w:rPr>
              <w:t xml:space="preserve">T </w:t>
            </w:r>
            <w:r>
              <w:rPr>
                <w:spacing w:val="-5"/>
                <w:sz w:val="24"/>
                <w:szCs w:val="24"/>
              </w:rPr>
              <w:t>接点的地线更换为</w:t>
            </w:r>
            <w:r>
              <w:rPr>
                <w:spacing w:val="-32"/>
                <w:sz w:val="24"/>
                <w:szCs w:val="24"/>
              </w:rPr>
              <w:t xml:space="preserve"> </w:t>
            </w:r>
            <w:r>
              <w:rPr>
                <w:rFonts w:ascii="Times New Roman" w:hAnsi="Times New Roman" w:eastAsia="Times New Roman" w:cs="Times New Roman"/>
                <w:spacing w:val="-5"/>
                <w:sz w:val="24"/>
                <w:szCs w:val="24"/>
              </w:rPr>
              <w:t xml:space="preserve">1 </w:t>
            </w:r>
            <w:r>
              <w:rPr>
                <w:spacing w:val="-5"/>
                <w:sz w:val="24"/>
                <w:szCs w:val="24"/>
              </w:rPr>
              <w:t>根</w:t>
            </w:r>
            <w:r>
              <w:rPr>
                <w:spacing w:val="-55"/>
                <w:sz w:val="24"/>
                <w:szCs w:val="24"/>
              </w:rPr>
              <w:t xml:space="preserve"> </w:t>
            </w:r>
            <w:r>
              <w:rPr>
                <w:rFonts w:ascii="Times New Roman" w:hAnsi="Times New Roman" w:eastAsia="Times New Roman" w:cs="Times New Roman"/>
                <w:spacing w:val="-5"/>
                <w:sz w:val="24"/>
                <w:szCs w:val="24"/>
              </w:rPr>
              <w:t>24</w:t>
            </w:r>
            <w:r>
              <w:rPr>
                <w:rFonts w:ascii="Times New Roman" w:hAnsi="Times New Roman" w:eastAsia="Times New Roman" w:cs="Times New Roman"/>
                <w:spacing w:val="14"/>
                <w:sz w:val="24"/>
                <w:szCs w:val="24"/>
              </w:rPr>
              <w:t xml:space="preserve"> </w:t>
            </w:r>
            <w:r>
              <w:rPr>
                <w:spacing w:val="-5"/>
                <w:sz w:val="24"/>
                <w:szCs w:val="24"/>
              </w:rPr>
              <w:t>芯</w:t>
            </w:r>
            <w:r>
              <w:rPr>
                <w:spacing w:val="-52"/>
                <w:sz w:val="24"/>
                <w:szCs w:val="24"/>
              </w:rPr>
              <w:t xml:space="preserve"> </w:t>
            </w:r>
            <w:r>
              <w:rPr>
                <w:rFonts w:ascii="Times New Roman" w:hAnsi="Times New Roman" w:eastAsia="Times New Roman" w:cs="Times New Roman"/>
                <w:spacing w:val="-5"/>
                <w:sz w:val="24"/>
                <w:szCs w:val="24"/>
              </w:rPr>
              <w:t>OP</w:t>
            </w:r>
            <w:r>
              <w:rPr>
                <w:rFonts w:ascii="Times New Roman" w:hAnsi="Times New Roman" w:eastAsia="Times New Roman" w:cs="Times New Roman"/>
                <w:spacing w:val="-6"/>
                <w:sz w:val="24"/>
                <w:szCs w:val="24"/>
              </w:rPr>
              <w:t xml:space="preserve">GW </w:t>
            </w:r>
            <w:r>
              <w:rPr>
                <w:spacing w:val="-6"/>
                <w:sz w:val="24"/>
                <w:szCs w:val="24"/>
              </w:rPr>
              <w:t>光缆，</w:t>
            </w:r>
            <w:r>
              <w:rPr>
                <w:spacing w:val="-4"/>
                <w:sz w:val="24"/>
                <w:szCs w:val="24"/>
              </w:rPr>
              <w:t>更换地线长度约</w:t>
            </w:r>
            <w:r>
              <w:rPr>
                <w:spacing w:val="-47"/>
                <w:sz w:val="24"/>
                <w:szCs w:val="24"/>
              </w:rPr>
              <w:t xml:space="preserve"> </w:t>
            </w:r>
            <w:r>
              <w:rPr>
                <w:rFonts w:ascii="Times New Roman" w:hAnsi="Times New Roman" w:eastAsia="Times New Roman" w:cs="Times New Roman"/>
                <w:spacing w:val="-4"/>
                <w:sz w:val="24"/>
                <w:szCs w:val="24"/>
              </w:rPr>
              <w:t>2.215km</w:t>
            </w:r>
            <w:r>
              <w:rPr>
                <w:spacing w:val="-4"/>
                <w:sz w:val="24"/>
                <w:szCs w:val="24"/>
              </w:rPr>
              <w:t>。最终形成</w:t>
            </w:r>
            <w:r>
              <w:rPr>
                <w:spacing w:val="-32"/>
                <w:sz w:val="24"/>
                <w:szCs w:val="24"/>
              </w:rPr>
              <w:t xml:space="preserve"> </w:t>
            </w:r>
            <w:r>
              <w:rPr>
                <w:rFonts w:ascii="Times New Roman" w:hAnsi="Times New Roman" w:eastAsia="Times New Roman" w:cs="Times New Roman"/>
                <w:spacing w:val="-4"/>
                <w:sz w:val="24"/>
                <w:szCs w:val="24"/>
              </w:rPr>
              <w:t xml:space="preserve">110kV </w:t>
            </w:r>
            <w:r>
              <w:rPr>
                <w:spacing w:val="-4"/>
                <w:sz w:val="24"/>
                <w:szCs w:val="24"/>
              </w:rPr>
              <w:t>松山变～</w:t>
            </w:r>
            <w:r>
              <w:rPr>
                <w:rFonts w:ascii="Times New Roman" w:hAnsi="Times New Roman" w:eastAsia="Times New Roman" w:cs="Times New Roman"/>
                <w:spacing w:val="-4"/>
                <w:sz w:val="24"/>
                <w:szCs w:val="24"/>
              </w:rPr>
              <w:t xml:space="preserve">35kV </w:t>
            </w:r>
            <w:r>
              <w:rPr>
                <w:spacing w:val="-4"/>
                <w:sz w:val="24"/>
                <w:szCs w:val="24"/>
              </w:rPr>
              <w:t>金瑞达瓷砖的</w:t>
            </w:r>
            <w:r>
              <w:rPr>
                <w:spacing w:val="-32"/>
                <w:sz w:val="24"/>
                <w:szCs w:val="24"/>
              </w:rPr>
              <w:t xml:space="preserve"> </w:t>
            </w:r>
            <w:r>
              <w:rPr>
                <w:rFonts w:ascii="Times New Roman" w:hAnsi="Times New Roman" w:eastAsia="Times New Roman" w:cs="Times New Roman"/>
                <w:spacing w:val="-4"/>
                <w:sz w:val="24"/>
                <w:szCs w:val="24"/>
              </w:rPr>
              <w:t xml:space="preserve">1 </w:t>
            </w:r>
            <w:r>
              <w:rPr>
                <w:spacing w:val="-4"/>
                <w:sz w:val="24"/>
                <w:szCs w:val="24"/>
              </w:rPr>
              <w:t>根</w:t>
            </w:r>
            <w:r>
              <w:rPr>
                <w:rFonts w:ascii="Times New Roman" w:hAnsi="Times New Roman" w:eastAsia="Times New Roman" w:cs="Times New Roman"/>
                <w:spacing w:val="-2"/>
                <w:sz w:val="24"/>
                <w:szCs w:val="24"/>
              </w:rPr>
              <w:t xml:space="preserve">24 </w:t>
            </w:r>
            <w:r>
              <w:rPr>
                <w:spacing w:val="-2"/>
                <w:sz w:val="24"/>
                <w:szCs w:val="24"/>
              </w:rPr>
              <w:t>芯</w:t>
            </w:r>
            <w:r>
              <w:rPr>
                <w:spacing w:val="-52"/>
                <w:sz w:val="24"/>
                <w:szCs w:val="24"/>
              </w:rPr>
              <w:t xml:space="preserve"> </w:t>
            </w:r>
            <w:r>
              <w:rPr>
                <w:rFonts w:ascii="Times New Roman" w:hAnsi="Times New Roman" w:eastAsia="Times New Roman" w:cs="Times New Roman"/>
                <w:spacing w:val="-2"/>
                <w:sz w:val="24"/>
                <w:szCs w:val="24"/>
              </w:rPr>
              <w:t>OPGW</w:t>
            </w:r>
            <w:r>
              <w:rPr>
                <w:rFonts w:ascii="Times New Roman" w:hAnsi="Times New Roman" w:eastAsia="Times New Roman" w:cs="Times New Roman"/>
                <w:spacing w:val="10"/>
                <w:sz w:val="24"/>
                <w:szCs w:val="24"/>
              </w:rPr>
              <w:t xml:space="preserve"> </w:t>
            </w:r>
            <w:r>
              <w:rPr>
                <w:spacing w:val="-2"/>
                <w:sz w:val="24"/>
                <w:szCs w:val="24"/>
              </w:rPr>
              <w:t>光缆路由。</w:t>
            </w:r>
          </w:p>
          <w:p w14:paraId="5DE61E02">
            <w:pPr>
              <w:pStyle w:val="6"/>
              <w:spacing w:line="220" w:lineRule="auto"/>
              <w:ind w:left="581"/>
              <w:rPr>
                <w:sz w:val="24"/>
                <w:szCs w:val="24"/>
              </w:rPr>
            </w:pPr>
            <w:r>
              <w:rPr>
                <w:rFonts w:ascii="Times New Roman" w:hAnsi="Times New Roman" w:eastAsia="Times New Roman" w:cs="Times New Roman"/>
                <w:b/>
                <w:bCs/>
                <w:spacing w:val="-8"/>
                <w:sz w:val="24"/>
                <w:szCs w:val="24"/>
              </w:rPr>
              <w:t>7</w:t>
            </w:r>
            <w:r>
              <w:rPr>
                <w:rFonts w:ascii="Times New Roman" w:hAnsi="Times New Roman" w:eastAsia="Times New Roman" w:cs="Times New Roman"/>
                <w:b/>
                <w:bCs/>
                <w:spacing w:val="-29"/>
                <w:sz w:val="24"/>
                <w:szCs w:val="24"/>
              </w:rPr>
              <w:t xml:space="preserve"> </w:t>
            </w:r>
            <w:r>
              <w:rPr>
                <w:b/>
                <w:bCs/>
                <w:spacing w:val="-8"/>
                <w:sz w:val="24"/>
                <w:szCs w:val="24"/>
              </w:rPr>
              <w:t>、公用工程</w:t>
            </w:r>
          </w:p>
          <w:p w14:paraId="5B4F84A9">
            <w:pPr>
              <w:pStyle w:val="6"/>
              <w:spacing w:before="182" w:line="219" w:lineRule="auto"/>
              <w:ind w:left="594"/>
              <w:rPr>
                <w:sz w:val="24"/>
                <w:szCs w:val="24"/>
              </w:rPr>
            </w:pPr>
            <w:r>
              <w:rPr>
                <w:spacing w:val="-3"/>
                <w:sz w:val="24"/>
                <w:szCs w:val="24"/>
              </w:rPr>
              <w:t>（</w:t>
            </w:r>
            <w:r>
              <w:rPr>
                <w:rFonts w:ascii="Times New Roman" w:hAnsi="Times New Roman" w:eastAsia="Times New Roman" w:cs="Times New Roman"/>
                <w:spacing w:val="-3"/>
                <w:sz w:val="24"/>
                <w:szCs w:val="24"/>
              </w:rPr>
              <w:t>1</w:t>
            </w:r>
            <w:r>
              <w:rPr>
                <w:spacing w:val="-3"/>
                <w:sz w:val="24"/>
                <w:szCs w:val="24"/>
              </w:rPr>
              <w:t>）给水、排水</w:t>
            </w:r>
          </w:p>
          <w:p w14:paraId="7EA80328">
            <w:pPr>
              <w:pStyle w:val="6"/>
              <w:spacing w:before="182" w:line="359" w:lineRule="auto"/>
              <w:ind w:left="106" w:right="103" w:firstLine="476"/>
              <w:rPr>
                <w:sz w:val="24"/>
                <w:szCs w:val="24"/>
              </w:rPr>
            </w:pPr>
            <w:r>
              <w:rPr>
                <w:spacing w:val="2"/>
                <w:sz w:val="24"/>
                <w:szCs w:val="24"/>
              </w:rPr>
              <w:t>①站区给水：变电站运营期为无人值班有人值守，正常运行期间</w:t>
            </w:r>
            <w:r>
              <w:rPr>
                <w:spacing w:val="1"/>
                <w:sz w:val="24"/>
                <w:szCs w:val="24"/>
              </w:rPr>
              <w:t>仅有</w:t>
            </w:r>
            <w:r>
              <w:rPr>
                <w:spacing w:val="-52"/>
                <w:sz w:val="24"/>
                <w:szCs w:val="24"/>
              </w:rPr>
              <w:t xml:space="preserve"> </w:t>
            </w:r>
            <w:r>
              <w:rPr>
                <w:rFonts w:ascii="Times New Roman" w:hAnsi="Times New Roman" w:eastAsia="Times New Roman" w:cs="Times New Roman"/>
                <w:spacing w:val="1"/>
                <w:sz w:val="24"/>
                <w:szCs w:val="24"/>
              </w:rPr>
              <w:t>2</w:t>
            </w:r>
            <w:r>
              <w:rPr>
                <w:sz w:val="24"/>
                <w:szCs w:val="24"/>
              </w:rPr>
              <w:t>名安保人员，安保人员生活用水较少，运营期站内生活用水由附近居民自来</w:t>
            </w:r>
            <w:r>
              <w:rPr>
                <w:spacing w:val="-2"/>
                <w:sz w:val="24"/>
                <w:szCs w:val="24"/>
              </w:rPr>
              <w:t>水管网直接供水。</w:t>
            </w:r>
          </w:p>
          <w:p w14:paraId="5048479C">
            <w:pPr>
              <w:pStyle w:val="6"/>
              <w:spacing w:before="5" w:line="357" w:lineRule="auto"/>
              <w:ind w:left="105" w:right="103" w:firstLine="476"/>
              <w:rPr>
                <w:sz w:val="24"/>
                <w:szCs w:val="24"/>
              </w:rPr>
            </w:pPr>
            <w:r>
              <w:rPr>
                <w:sz w:val="24"/>
                <w:szCs w:val="24"/>
              </w:rPr>
              <w:t>②站区排水：站内排水采用雨污分流制的排水系统，为自然排放。雨水经站内排水沟收集后，沿排水沟排入附近沟渠，用于灌溉。安保人员产生的</w:t>
            </w:r>
            <w:r>
              <w:rPr>
                <w:spacing w:val="-1"/>
                <w:sz w:val="24"/>
                <w:szCs w:val="24"/>
              </w:rPr>
              <w:t>生活污水经化粪池（</w:t>
            </w:r>
            <w:r>
              <w:rPr>
                <w:rFonts w:ascii="Times New Roman" w:hAnsi="Times New Roman" w:eastAsia="Times New Roman" w:cs="Times New Roman"/>
                <w:spacing w:val="-1"/>
                <w:sz w:val="24"/>
                <w:szCs w:val="24"/>
              </w:rPr>
              <w:t>2m</w:t>
            </w:r>
            <w:r>
              <w:rPr>
                <w:rFonts w:ascii="Times New Roman" w:hAnsi="Times New Roman" w:eastAsia="Times New Roman" w:cs="Times New Roman"/>
                <w:spacing w:val="-1"/>
                <w:position w:val="1"/>
                <w:sz w:val="15"/>
                <w:szCs w:val="15"/>
              </w:rPr>
              <w:t>3</w:t>
            </w:r>
            <w:r>
              <w:rPr>
                <w:spacing w:val="-1"/>
                <w:position w:val="1"/>
                <w:sz w:val="24"/>
                <w:szCs w:val="24"/>
              </w:rPr>
              <w:t>）</w:t>
            </w:r>
            <w:r>
              <w:rPr>
                <w:spacing w:val="-1"/>
                <w:sz w:val="24"/>
                <w:szCs w:val="24"/>
              </w:rPr>
              <w:t>、一体化污水处理设施（处理能力</w:t>
            </w:r>
            <w:r>
              <w:rPr>
                <w:spacing w:val="-51"/>
                <w:sz w:val="24"/>
                <w:szCs w:val="24"/>
              </w:rPr>
              <w:t xml:space="preserve"> </w:t>
            </w:r>
            <w:r>
              <w:rPr>
                <w:rFonts w:ascii="Times New Roman" w:hAnsi="Times New Roman" w:eastAsia="Times New Roman" w:cs="Times New Roman"/>
                <w:spacing w:val="-1"/>
                <w:sz w:val="24"/>
                <w:szCs w:val="24"/>
              </w:rPr>
              <w:t>0.5t/h</w:t>
            </w:r>
            <w:r>
              <w:rPr>
                <w:spacing w:val="-1"/>
                <w:sz w:val="24"/>
                <w:szCs w:val="24"/>
              </w:rPr>
              <w:t>）收</w:t>
            </w:r>
            <w:r>
              <w:rPr>
                <w:spacing w:val="-2"/>
                <w:sz w:val="24"/>
                <w:szCs w:val="24"/>
              </w:rPr>
              <w:t>集处</w:t>
            </w:r>
            <w:r>
              <w:rPr>
                <w:sz w:val="24"/>
                <w:szCs w:val="24"/>
              </w:rPr>
              <w:t>理后用于进站大门两侧绿化带绿化，污泥委托环卫部门定期清掏，不外排；</w:t>
            </w:r>
            <w:r>
              <w:rPr>
                <w:spacing w:val="-5"/>
                <w:sz w:val="24"/>
                <w:szCs w:val="24"/>
              </w:rPr>
              <w:t>同时设置</w:t>
            </w:r>
            <w:r>
              <w:rPr>
                <w:spacing w:val="-24"/>
                <w:sz w:val="24"/>
                <w:szCs w:val="24"/>
              </w:rPr>
              <w:t xml:space="preserve"> </w:t>
            </w:r>
            <w:r>
              <w:rPr>
                <w:rFonts w:ascii="Times New Roman" w:hAnsi="Times New Roman" w:eastAsia="Times New Roman" w:cs="Times New Roman"/>
                <w:spacing w:val="-5"/>
                <w:sz w:val="24"/>
                <w:szCs w:val="24"/>
              </w:rPr>
              <w:t xml:space="preserve">1 </w:t>
            </w:r>
            <w:r>
              <w:rPr>
                <w:spacing w:val="-5"/>
                <w:sz w:val="24"/>
                <w:szCs w:val="24"/>
              </w:rPr>
              <w:t>个</w:t>
            </w:r>
            <w:r>
              <w:rPr>
                <w:spacing w:val="-48"/>
                <w:sz w:val="24"/>
                <w:szCs w:val="24"/>
              </w:rPr>
              <w:t xml:space="preserve"> </w:t>
            </w:r>
            <w:r>
              <w:rPr>
                <w:rFonts w:ascii="Times New Roman" w:hAnsi="Times New Roman" w:eastAsia="Times New Roman" w:cs="Times New Roman"/>
                <w:spacing w:val="-5"/>
                <w:sz w:val="24"/>
                <w:szCs w:val="24"/>
              </w:rPr>
              <w:t>5m</w:t>
            </w:r>
            <w:r>
              <w:rPr>
                <w:rFonts w:ascii="Times New Roman" w:hAnsi="Times New Roman" w:eastAsia="Times New Roman" w:cs="Times New Roman"/>
                <w:spacing w:val="-5"/>
                <w:position w:val="8"/>
                <w:sz w:val="15"/>
                <w:szCs w:val="15"/>
              </w:rPr>
              <w:t xml:space="preserve">3  </w:t>
            </w:r>
            <w:r>
              <w:rPr>
                <w:spacing w:val="-5"/>
                <w:sz w:val="24"/>
                <w:szCs w:val="24"/>
              </w:rPr>
              <w:t>的中水暂存池。</w:t>
            </w:r>
          </w:p>
          <w:p w14:paraId="6EC8F8ED">
            <w:pPr>
              <w:pStyle w:val="6"/>
              <w:spacing w:line="220" w:lineRule="auto"/>
              <w:ind w:left="594"/>
              <w:rPr>
                <w:sz w:val="24"/>
                <w:szCs w:val="24"/>
              </w:rPr>
            </w:pPr>
            <w:r>
              <w:rPr>
                <w:spacing w:val="-4"/>
                <w:sz w:val="24"/>
                <w:szCs w:val="24"/>
              </w:rPr>
              <w:t>（</w:t>
            </w:r>
            <w:r>
              <w:rPr>
                <w:rFonts w:ascii="Times New Roman" w:hAnsi="Times New Roman" w:eastAsia="Times New Roman" w:cs="Times New Roman"/>
                <w:spacing w:val="-4"/>
                <w:sz w:val="24"/>
                <w:szCs w:val="24"/>
              </w:rPr>
              <w:t>2</w:t>
            </w:r>
            <w:r>
              <w:rPr>
                <w:spacing w:val="-4"/>
                <w:sz w:val="24"/>
                <w:szCs w:val="24"/>
              </w:rPr>
              <w:t>）事故油</w:t>
            </w:r>
          </w:p>
          <w:p w14:paraId="33BF9E25">
            <w:pPr>
              <w:pStyle w:val="6"/>
              <w:spacing w:before="179" w:line="357" w:lineRule="auto"/>
              <w:ind w:left="104" w:right="103" w:firstLine="480"/>
              <w:jc w:val="both"/>
              <w:rPr>
                <w:sz w:val="24"/>
                <w:szCs w:val="24"/>
              </w:rPr>
            </w:pPr>
            <w:r>
              <w:rPr>
                <w:spacing w:val="-2"/>
                <w:sz w:val="24"/>
                <w:szCs w:val="24"/>
              </w:rPr>
              <w:t>站区内修建事故油池（有效容积为</w:t>
            </w:r>
            <w:r>
              <w:rPr>
                <w:spacing w:val="-49"/>
                <w:sz w:val="24"/>
                <w:szCs w:val="24"/>
              </w:rPr>
              <w:t xml:space="preserve"> </w:t>
            </w:r>
            <w:r>
              <w:rPr>
                <w:rFonts w:ascii="Times New Roman" w:hAnsi="Times New Roman" w:eastAsia="Times New Roman" w:cs="Times New Roman"/>
                <w:spacing w:val="-2"/>
                <w:sz w:val="24"/>
                <w:szCs w:val="24"/>
              </w:rPr>
              <w:t>30.0m</w:t>
            </w:r>
            <w:r>
              <w:rPr>
                <w:rFonts w:ascii="Times New Roman" w:hAnsi="Times New Roman" w:eastAsia="Times New Roman" w:cs="Times New Roman"/>
                <w:spacing w:val="-2"/>
                <w:position w:val="1"/>
                <w:sz w:val="15"/>
                <w:szCs w:val="15"/>
              </w:rPr>
              <w:t>3</w:t>
            </w:r>
            <w:r>
              <w:rPr>
                <w:spacing w:val="18"/>
                <w:position w:val="1"/>
                <w:sz w:val="24"/>
                <w:szCs w:val="24"/>
              </w:rPr>
              <w:t>）</w:t>
            </w:r>
            <w:r>
              <w:rPr>
                <w:spacing w:val="18"/>
                <w:sz w:val="24"/>
                <w:szCs w:val="24"/>
              </w:rPr>
              <w:t>，</w:t>
            </w:r>
            <w:r>
              <w:rPr>
                <w:spacing w:val="-2"/>
                <w:sz w:val="24"/>
                <w:szCs w:val="24"/>
              </w:rPr>
              <w:t>当主变压器发生事故时，</w:t>
            </w:r>
            <w:r>
              <w:rPr>
                <w:sz w:val="24"/>
                <w:szCs w:val="24"/>
              </w:rPr>
              <w:t>其绝缘油可经事故排油管排入事故油池后，油水分离后回收利用，不可回收</w:t>
            </w:r>
            <w:r>
              <w:rPr>
                <w:spacing w:val="-1"/>
                <w:sz w:val="24"/>
                <w:szCs w:val="24"/>
              </w:rPr>
              <w:t>的废油由有资质的单位回收处理。</w:t>
            </w:r>
          </w:p>
          <w:p w14:paraId="23410DED">
            <w:pPr>
              <w:pStyle w:val="6"/>
              <w:spacing w:line="219" w:lineRule="auto"/>
              <w:ind w:left="594"/>
              <w:rPr>
                <w:sz w:val="24"/>
                <w:szCs w:val="24"/>
              </w:rPr>
            </w:pPr>
            <w:r>
              <w:rPr>
                <w:spacing w:val="-3"/>
                <w:sz w:val="24"/>
                <w:szCs w:val="24"/>
              </w:rPr>
              <w:t>（</w:t>
            </w:r>
            <w:r>
              <w:rPr>
                <w:rFonts w:ascii="Times New Roman" w:hAnsi="Times New Roman" w:eastAsia="Times New Roman" w:cs="Times New Roman"/>
                <w:spacing w:val="-3"/>
                <w:sz w:val="24"/>
                <w:szCs w:val="24"/>
              </w:rPr>
              <w:t>3</w:t>
            </w:r>
            <w:r>
              <w:rPr>
                <w:spacing w:val="-3"/>
                <w:sz w:val="24"/>
                <w:szCs w:val="24"/>
              </w:rPr>
              <w:t>）进站道路</w:t>
            </w:r>
          </w:p>
          <w:p w14:paraId="55577A06">
            <w:pPr>
              <w:pStyle w:val="6"/>
              <w:spacing w:before="180" w:line="219" w:lineRule="auto"/>
              <w:ind w:left="584"/>
              <w:rPr>
                <w:sz w:val="24"/>
                <w:szCs w:val="24"/>
              </w:rPr>
            </w:pPr>
            <w:r>
              <w:rPr>
                <w:spacing w:val="-2"/>
                <w:sz w:val="24"/>
                <w:szCs w:val="24"/>
              </w:rPr>
              <w:t>站外乡村公路引接到站址的新建进站道路约</w:t>
            </w:r>
            <w:r>
              <w:rPr>
                <w:spacing w:val="-26"/>
                <w:sz w:val="24"/>
                <w:szCs w:val="24"/>
              </w:rPr>
              <w:t xml:space="preserve"> </w:t>
            </w:r>
            <w:r>
              <w:rPr>
                <w:rFonts w:ascii="Times New Roman" w:hAnsi="Times New Roman" w:eastAsia="Times New Roman" w:cs="Times New Roman"/>
                <w:spacing w:val="-2"/>
                <w:sz w:val="24"/>
                <w:szCs w:val="24"/>
              </w:rPr>
              <w:t>10m</w:t>
            </w:r>
            <w:r>
              <w:rPr>
                <w:spacing w:val="-2"/>
                <w:sz w:val="24"/>
                <w:szCs w:val="24"/>
              </w:rPr>
              <w:t>。</w:t>
            </w:r>
          </w:p>
          <w:p w14:paraId="7162D149">
            <w:pPr>
              <w:pStyle w:val="6"/>
              <w:spacing w:before="184" w:line="219" w:lineRule="auto"/>
              <w:ind w:left="594"/>
              <w:rPr>
                <w:sz w:val="24"/>
                <w:szCs w:val="24"/>
              </w:rPr>
            </w:pPr>
            <w:r>
              <w:rPr>
                <w:spacing w:val="-3"/>
                <w:sz w:val="24"/>
                <w:szCs w:val="24"/>
              </w:rPr>
              <w:t>（</w:t>
            </w:r>
            <w:r>
              <w:rPr>
                <w:rFonts w:ascii="Times New Roman" w:hAnsi="Times New Roman" w:eastAsia="Times New Roman" w:cs="Times New Roman"/>
                <w:spacing w:val="-3"/>
                <w:sz w:val="24"/>
                <w:szCs w:val="24"/>
              </w:rPr>
              <w:t>4</w:t>
            </w:r>
            <w:r>
              <w:rPr>
                <w:spacing w:val="-3"/>
                <w:sz w:val="24"/>
                <w:szCs w:val="24"/>
              </w:rPr>
              <w:t>）站区道路</w:t>
            </w:r>
          </w:p>
          <w:p w14:paraId="6CE7DC8E">
            <w:pPr>
              <w:pStyle w:val="6"/>
              <w:spacing w:before="181" w:line="348" w:lineRule="auto"/>
              <w:ind w:left="102" w:right="103" w:firstLine="480"/>
              <w:rPr>
                <w:sz w:val="24"/>
                <w:szCs w:val="24"/>
              </w:rPr>
            </w:pPr>
            <w:r>
              <w:rPr>
                <w:spacing w:val="-2"/>
                <w:sz w:val="24"/>
                <w:szCs w:val="24"/>
              </w:rPr>
              <w:t>变电站大门直对主变压器运输道路，变电站进站大门净宽</w:t>
            </w:r>
            <w:r>
              <w:rPr>
                <w:spacing w:val="-49"/>
                <w:sz w:val="24"/>
                <w:szCs w:val="24"/>
              </w:rPr>
              <w:t xml:space="preserve"> </w:t>
            </w:r>
            <w:r>
              <w:rPr>
                <w:rFonts w:ascii="Times New Roman" w:hAnsi="Times New Roman" w:eastAsia="Times New Roman" w:cs="Times New Roman"/>
                <w:spacing w:val="-2"/>
                <w:sz w:val="24"/>
                <w:szCs w:val="24"/>
              </w:rPr>
              <w:t>5.</w:t>
            </w:r>
            <w:r>
              <w:rPr>
                <w:rFonts w:ascii="Times New Roman" w:hAnsi="Times New Roman" w:eastAsia="Times New Roman" w:cs="Times New Roman"/>
                <w:spacing w:val="-3"/>
                <w:sz w:val="24"/>
                <w:szCs w:val="24"/>
              </w:rPr>
              <w:t>5m</w:t>
            </w:r>
            <w:r>
              <w:rPr>
                <w:spacing w:val="-3"/>
                <w:sz w:val="24"/>
                <w:szCs w:val="24"/>
              </w:rPr>
              <w:t>，满足消</w:t>
            </w:r>
            <w:r>
              <w:rPr>
                <w:spacing w:val="-2"/>
                <w:sz w:val="24"/>
                <w:szCs w:val="24"/>
              </w:rPr>
              <w:t>防车通行及大件运输的要求。站内消防道路设计</w:t>
            </w:r>
            <w:r>
              <w:rPr>
                <w:spacing w:val="-3"/>
                <w:sz w:val="24"/>
                <w:szCs w:val="24"/>
              </w:rPr>
              <w:t>宽度为</w:t>
            </w:r>
            <w:r>
              <w:rPr>
                <w:spacing w:val="-58"/>
                <w:sz w:val="24"/>
                <w:szCs w:val="24"/>
              </w:rPr>
              <w:t xml:space="preserve"> </w:t>
            </w:r>
            <w:r>
              <w:rPr>
                <w:rFonts w:ascii="Times New Roman" w:hAnsi="Times New Roman" w:eastAsia="Times New Roman" w:cs="Times New Roman"/>
                <w:spacing w:val="-3"/>
                <w:sz w:val="24"/>
                <w:szCs w:val="24"/>
              </w:rPr>
              <w:t>4m</w:t>
            </w:r>
            <w:r>
              <w:rPr>
                <w:rFonts w:ascii="Times New Roman" w:hAnsi="Times New Roman" w:eastAsia="Times New Roman" w:cs="Times New Roman"/>
                <w:spacing w:val="-31"/>
                <w:sz w:val="24"/>
                <w:szCs w:val="24"/>
              </w:rPr>
              <w:t xml:space="preserve"> </w:t>
            </w:r>
            <w:r>
              <w:rPr>
                <w:spacing w:val="-3"/>
                <w:sz w:val="24"/>
                <w:szCs w:val="24"/>
              </w:rPr>
              <w:t>，转弯半径</w:t>
            </w:r>
            <w:r>
              <w:rPr>
                <w:spacing w:val="-50"/>
                <w:sz w:val="24"/>
                <w:szCs w:val="24"/>
              </w:rPr>
              <w:t xml:space="preserve"> </w:t>
            </w:r>
            <w:r>
              <w:rPr>
                <w:rFonts w:ascii="Times New Roman" w:hAnsi="Times New Roman" w:eastAsia="Times New Roman" w:cs="Times New Roman"/>
                <w:spacing w:val="-3"/>
                <w:sz w:val="24"/>
                <w:szCs w:val="24"/>
              </w:rPr>
              <w:t>9m</w:t>
            </w:r>
            <w:r>
              <w:rPr>
                <w:rFonts w:ascii="Times New Roman" w:hAnsi="Times New Roman" w:eastAsia="Times New Roman" w:cs="Times New Roman"/>
                <w:spacing w:val="-26"/>
                <w:sz w:val="24"/>
                <w:szCs w:val="24"/>
              </w:rPr>
              <w:t xml:space="preserve"> </w:t>
            </w:r>
            <w:r>
              <w:rPr>
                <w:spacing w:val="-3"/>
                <w:sz w:val="24"/>
                <w:szCs w:val="24"/>
              </w:rPr>
              <w:t>。操作及人行巡视小道统一铺设路面砖，路面高于站内地坪</w:t>
            </w:r>
            <w:r>
              <w:rPr>
                <w:spacing w:val="-21"/>
                <w:sz w:val="24"/>
                <w:szCs w:val="24"/>
              </w:rPr>
              <w:t xml:space="preserve"> </w:t>
            </w:r>
            <w:r>
              <w:rPr>
                <w:rFonts w:ascii="Times New Roman" w:hAnsi="Times New Roman" w:eastAsia="Times New Roman" w:cs="Times New Roman"/>
                <w:spacing w:val="-3"/>
                <w:sz w:val="24"/>
                <w:szCs w:val="24"/>
              </w:rPr>
              <w:t>100mm</w:t>
            </w:r>
            <w:r>
              <w:rPr>
                <w:spacing w:val="-3"/>
                <w:sz w:val="24"/>
                <w:szCs w:val="24"/>
              </w:rPr>
              <w:t>，与电缆沟</w:t>
            </w:r>
          </w:p>
        </w:tc>
      </w:tr>
    </w:tbl>
    <w:p w14:paraId="2582EDF2">
      <w:pPr>
        <w:rPr>
          <w:rFonts w:ascii="Arial"/>
          <w:sz w:val="21"/>
        </w:rPr>
      </w:pPr>
    </w:p>
    <w:p w14:paraId="1B4B599D">
      <w:pPr>
        <w:rPr>
          <w:rFonts w:ascii="Arial" w:hAnsi="Arial" w:eastAsia="Arial" w:cs="Arial"/>
          <w:sz w:val="21"/>
          <w:szCs w:val="21"/>
        </w:rPr>
        <w:sectPr>
          <w:footerReference r:id="rId48" w:type="default"/>
          <w:pgSz w:w="11907" w:h="16840"/>
          <w:pgMar w:top="400" w:right="1684" w:bottom="1240" w:left="1683" w:header="0" w:footer="1077" w:gutter="0"/>
          <w:cols w:space="720" w:num="1"/>
        </w:sectPr>
      </w:pPr>
    </w:p>
    <w:p w14:paraId="79F7F2A2">
      <w:pPr>
        <w:spacing w:before="19"/>
      </w:pPr>
    </w:p>
    <w:p w14:paraId="03C068B3">
      <w:pPr>
        <w:spacing w:before="19"/>
      </w:pPr>
    </w:p>
    <w:p w14:paraId="647FC503">
      <w:pPr>
        <w:spacing w:before="18"/>
      </w:pPr>
    </w:p>
    <w:p w14:paraId="5578341B">
      <w:pPr>
        <w:spacing w:before="18"/>
      </w:pPr>
    </w:p>
    <w:tbl>
      <w:tblPr>
        <w:tblStyle w:val="5"/>
        <w:tblW w:w="85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5"/>
        <w:gridCol w:w="8149"/>
      </w:tblGrid>
      <w:tr w14:paraId="518C8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04" w:hRule="atLeast"/>
        </w:trPr>
        <w:tc>
          <w:tcPr>
            <w:tcW w:w="375" w:type="dxa"/>
            <w:vAlign w:val="top"/>
          </w:tcPr>
          <w:p w14:paraId="0ED38901">
            <w:pPr>
              <w:rPr>
                <w:rFonts w:ascii="Arial"/>
                <w:sz w:val="21"/>
              </w:rPr>
            </w:pPr>
          </w:p>
        </w:tc>
        <w:tc>
          <w:tcPr>
            <w:tcW w:w="8149" w:type="dxa"/>
            <w:vAlign w:val="top"/>
          </w:tcPr>
          <w:p w14:paraId="0409F21B">
            <w:pPr>
              <w:pStyle w:val="6"/>
              <w:spacing w:before="41" w:line="219" w:lineRule="auto"/>
              <w:ind w:left="109"/>
              <w:rPr>
                <w:sz w:val="24"/>
                <w:szCs w:val="24"/>
              </w:rPr>
            </w:pPr>
            <w:r>
              <w:rPr>
                <w:spacing w:val="-3"/>
                <w:sz w:val="24"/>
                <w:szCs w:val="24"/>
              </w:rPr>
              <w:t>高出地面一致。</w:t>
            </w:r>
          </w:p>
          <w:p w14:paraId="6ACFAD8C">
            <w:pPr>
              <w:pStyle w:val="6"/>
              <w:spacing w:before="180" w:line="221" w:lineRule="auto"/>
              <w:ind w:left="594"/>
              <w:rPr>
                <w:sz w:val="24"/>
                <w:szCs w:val="24"/>
              </w:rPr>
            </w:pPr>
            <w:r>
              <w:rPr>
                <w:spacing w:val="-5"/>
                <w:sz w:val="24"/>
                <w:szCs w:val="24"/>
              </w:rPr>
              <w:t>（</w:t>
            </w:r>
            <w:r>
              <w:rPr>
                <w:rFonts w:ascii="Times New Roman" w:hAnsi="Times New Roman" w:eastAsia="Times New Roman" w:cs="Times New Roman"/>
                <w:spacing w:val="-5"/>
                <w:sz w:val="24"/>
                <w:szCs w:val="24"/>
              </w:rPr>
              <w:t>5</w:t>
            </w:r>
            <w:r>
              <w:rPr>
                <w:spacing w:val="-5"/>
                <w:sz w:val="24"/>
                <w:szCs w:val="24"/>
              </w:rPr>
              <w:t>）绿化</w:t>
            </w:r>
          </w:p>
          <w:p w14:paraId="33D19967">
            <w:pPr>
              <w:pStyle w:val="6"/>
              <w:spacing w:before="180" w:line="359" w:lineRule="auto"/>
              <w:ind w:left="105" w:right="103" w:firstLine="480"/>
              <w:rPr>
                <w:sz w:val="24"/>
                <w:szCs w:val="24"/>
              </w:rPr>
            </w:pPr>
            <w:r>
              <w:rPr>
                <w:sz w:val="24"/>
                <w:szCs w:val="24"/>
              </w:rPr>
              <w:t>为最大限度地降低项目对环境的影响，改善站区环境和运行条件，净化空气，美化环境。站内适当种植观赏和美化效果好的常绿树，在站区进站道</w:t>
            </w:r>
            <w:r>
              <w:rPr>
                <w:spacing w:val="-1"/>
                <w:sz w:val="24"/>
                <w:szCs w:val="24"/>
              </w:rPr>
              <w:t>路两侧、主要建筑入口附近培植观赏和美化效果好的常绿树。</w:t>
            </w:r>
          </w:p>
          <w:p w14:paraId="3916CD10">
            <w:pPr>
              <w:pStyle w:val="6"/>
              <w:spacing w:line="220" w:lineRule="auto"/>
              <w:ind w:left="125"/>
              <w:rPr>
                <w:sz w:val="24"/>
                <w:szCs w:val="24"/>
              </w:rPr>
            </w:pPr>
            <w:r>
              <w:rPr>
                <w:b/>
                <w:bCs/>
                <w:spacing w:val="-6"/>
                <w:sz w:val="24"/>
                <w:szCs w:val="24"/>
              </w:rPr>
              <w:t>四、工程占地情况</w:t>
            </w:r>
          </w:p>
          <w:p w14:paraId="5BF01CAD">
            <w:pPr>
              <w:pStyle w:val="6"/>
              <w:spacing w:before="182" w:line="220" w:lineRule="auto"/>
              <w:ind w:left="594"/>
              <w:rPr>
                <w:sz w:val="24"/>
                <w:szCs w:val="24"/>
              </w:rPr>
            </w:pPr>
            <w:r>
              <w:rPr>
                <w:b/>
                <w:bCs/>
                <w:spacing w:val="-4"/>
                <w:sz w:val="24"/>
                <w:szCs w:val="24"/>
              </w:rPr>
              <w:t>（</w:t>
            </w:r>
            <w:r>
              <w:rPr>
                <w:rFonts w:ascii="Times New Roman" w:hAnsi="Times New Roman" w:eastAsia="Times New Roman" w:cs="Times New Roman"/>
                <w:b/>
                <w:bCs/>
                <w:spacing w:val="-4"/>
                <w:sz w:val="24"/>
                <w:szCs w:val="24"/>
              </w:rPr>
              <w:t>1</w:t>
            </w:r>
            <w:r>
              <w:rPr>
                <w:b/>
                <w:bCs/>
                <w:spacing w:val="-4"/>
                <w:sz w:val="24"/>
                <w:szCs w:val="24"/>
              </w:rPr>
              <w:t>）项目工程占地情况</w:t>
            </w:r>
          </w:p>
          <w:p w14:paraId="73B2694F">
            <w:pPr>
              <w:pStyle w:val="6"/>
              <w:spacing w:before="180" w:line="357" w:lineRule="auto"/>
              <w:ind w:left="102" w:right="101" w:firstLine="481"/>
              <w:jc w:val="both"/>
              <w:rPr>
                <w:sz w:val="24"/>
                <w:szCs w:val="24"/>
              </w:rPr>
            </w:pPr>
            <w:r>
              <w:rPr>
                <w:spacing w:val="-3"/>
                <w:sz w:val="24"/>
                <w:szCs w:val="24"/>
              </w:rPr>
              <w:t>本工程总占地面积为</w:t>
            </w:r>
            <w:r>
              <w:rPr>
                <w:spacing w:val="-32"/>
                <w:sz w:val="24"/>
                <w:szCs w:val="24"/>
              </w:rPr>
              <w:t xml:space="preserve"> </w:t>
            </w:r>
            <w:r>
              <w:rPr>
                <w:rFonts w:ascii="Times New Roman" w:hAnsi="Times New Roman" w:eastAsia="Times New Roman" w:cs="Times New Roman"/>
                <w:spacing w:val="-3"/>
                <w:sz w:val="24"/>
                <w:szCs w:val="24"/>
              </w:rPr>
              <w:t>1.962hm</w:t>
            </w:r>
            <w:r>
              <w:rPr>
                <w:rFonts w:ascii="Times New Roman" w:hAnsi="Times New Roman" w:eastAsia="Times New Roman" w:cs="Times New Roman"/>
                <w:spacing w:val="-3"/>
                <w:position w:val="7"/>
                <w:sz w:val="15"/>
                <w:szCs w:val="15"/>
              </w:rPr>
              <w:t>2</w:t>
            </w:r>
            <w:r>
              <w:rPr>
                <w:rFonts w:ascii="Times New Roman" w:hAnsi="Times New Roman" w:eastAsia="Times New Roman" w:cs="Times New Roman"/>
                <w:spacing w:val="-7"/>
                <w:position w:val="7"/>
                <w:sz w:val="15"/>
                <w:szCs w:val="15"/>
              </w:rPr>
              <w:t xml:space="preserve"> </w:t>
            </w:r>
            <w:r>
              <w:rPr>
                <w:spacing w:val="-3"/>
                <w:sz w:val="24"/>
                <w:szCs w:val="24"/>
              </w:rPr>
              <w:t>，其中永久占地面积为</w:t>
            </w:r>
            <w:r>
              <w:rPr>
                <w:spacing w:val="-32"/>
                <w:sz w:val="24"/>
                <w:szCs w:val="24"/>
              </w:rPr>
              <w:t xml:space="preserve"> </w:t>
            </w:r>
            <w:r>
              <w:rPr>
                <w:rFonts w:ascii="Times New Roman" w:hAnsi="Times New Roman" w:eastAsia="Times New Roman" w:cs="Times New Roman"/>
                <w:spacing w:val="-3"/>
                <w:sz w:val="24"/>
                <w:szCs w:val="24"/>
              </w:rPr>
              <w:t>1.44</w:t>
            </w:r>
            <w:r>
              <w:rPr>
                <w:rFonts w:ascii="Times New Roman" w:hAnsi="Times New Roman" w:eastAsia="Times New Roman" w:cs="Times New Roman"/>
                <w:spacing w:val="-4"/>
                <w:sz w:val="24"/>
                <w:szCs w:val="24"/>
              </w:rPr>
              <w:t>7hm</w:t>
            </w:r>
            <w:r>
              <w:rPr>
                <w:rFonts w:ascii="Times New Roman" w:hAnsi="Times New Roman" w:eastAsia="Times New Roman" w:cs="Times New Roman"/>
                <w:spacing w:val="-4"/>
                <w:position w:val="7"/>
                <w:sz w:val="15"/>
                <w:szCs w:val="15"/>
              </w:rPr>
              <w:t>2</w:t>
            </w:r>
            <w:r>
              <w:rPr>
                <w:spacing w:val="-4"/>
                <w:sz w:val="24"/>
                <w:szCs w:val="24"/>
              </w:rPr>
              <w:t>（其中塔</w:t>
            </w:r>
            <w:r>
              <w:rPr>
                <w:spacing w:val="-1"/>
                <w:sz w:val="24"/>
                <w:szCs w:val="24"/>
              </w:rPr>
              <w:t>基永久占地</w:t>
            </w:r>
            <w:r>
              <w:rPr>
                <w:spacing w:val="-48"/>
                <w:sz w:val="24"/>
                <w:szCs w:val="24"/>
              </w:rPr>
              <w:t xml:space="preserve"> </w:t>
            </w:r>
            <w:r>
              <w:rPr>
                <w:rFonts w:ascii="Times New Roman" w:hAnsi="Times New Roman" w:eastAsia="Times New Roman" w:cs="Times New Roman"/>
                <w:spacing w:val="-1"/>
                <w:sz w:val="24"/>
                <w:szCs w:val="24"/>
              </w:rPr>
              <w:t>0.36hm</w:t>
            </w:r>
            <w:r>
              <w:rPr>
                <w:rFonts w:ascii="Times New Roman" w:hAnsi="Times New Roman" w:eastAsia="Times New Roman" w:cs="Times New Roman"/>
                <w:spacing w:val="-1"/>
                <w:position w:val="8"/>
                <w:sz w:val="15"/>
                <w:szCs w:val="15"/>
              </w:rPr>
              <w:t xml:space="preserve">2 </w:t>
            </w:r>
            <w:r>
              <w:rPr>
                <w:spacing w:val="-1"/>
                <w:sz w:val="24"/>
                <w:szCs w:val="24"/>
              </w:rPr>
              <w:t>，变电站、进站道路及站外排水沟</w:t>
            </w:r>
            <w:r>
              <w:rPr>
                <w:spacing w:val="-29"/>
                <w:sz w:val="24"/>
                <w:szCs w:val="24"/>
              </w:rPr>
              <w:t xml:space="preserve"> </w:t>
            </w:r>
            <w:r>
              <w:rPr>
                <w:rFonts w:ascii="Times New Roman" w:hAnsi="Times New Roman" w:eastAsia="Times New Roman" w:cs="Times New Roman"/>
                <w:spacing w:val="-1"/>
                <w:sz w:val="24"/>
                <w:szCs w:val="24"/>
              </w:rPr>
              <w:t>1.087hm</w:t>
            </w:r>
            <w:r>
              <w:rPr>
                <w:rFonts w:ascii="Times New Roman" w:hAnsi="Times New Roman" w:eastAsia="Times New Roman" w:cs="Times New Roman"/>
                <w:spacing w:val="-1"/>
                <w:position w:val="1"/>
                <w:sz w:val="15"/>
                <w:szCs w:val="15"/>
              </w:rPr>
              <w:t xml:space="preserve">2 </w:t>
            </w:r>
            <w:r>
              <w:rPr>
                <w:spacing w:val="4"/>
                <w:position w:val="1"/>
                <w:sz w:val="24"/>
                <w:szCs w:val="24"/>
              </w:rPr>
              <w:t>）</w:t>
            </w:r>
            <w:r>
              <w:rPr>
                <w:spacing w:val="4"/>
                <w:sz w:val="24"/>
                <w:szCs w:val="24"/>
              </w:rPr>
              <w:t>，</w:t>
            </w:r>
            <w:r>
              <w:rPr>
                <w:spacing w:val="-1"/>
                <w:sz w:val="24"/>
                <w:szCs w:val="24"/>
              </w:rPr>
              <w:t>临时占</w:t>
            </w:r>
            <w:r>
              <w:rPr>
                <w:spacing w:val="2"/>
                <w:sz w:val="24"/>
                <w:szCs w:val="24"/>
              </w:rPr>
              <w:t>地面积为</w:t>
            </w:r>
            <w:r>
              <w:rPr>
                <w:spacing w:val="-34"/>
                <w:sz w:val="24"/>
                <w:szCs w:val="24"/>
              </w:rPr>
              <w:t xml:space="preserve"> </w:t>
            </w:r>
            <w:r>
              <w:rPr>
                <w:rFonts w:ascii="Times New Roman" w:hAnsi="Times New Roman" w:eastAsia="Times New Roman" w:cs="Times New Roman"/>
                <w:spacing w:val="2"/>
                <w:sz w:val="24"/>
                <w:szCs w:val="24"/>
              </w:rPr>
              <w:t>0.515</w:t>
            </w:r>
            <w:r>
              <w:rPr>
                <w:rFonts w:ascii="Times New Roman" w:hAnsi="Times New Roman" w:eastAsia="Times New Roman" w:cs="Times New Roman"/>
                <w:sz w:val="24"/>
                <w:szCs w:val="24"/>
              </w:rPr>
              <w:t>hm</w:t>
            </w:r>
            <w:r>
              <w:rPr>
                <w:rFonts w:ascii="Times New Roman" w:hAnsi="Times New Roman" w:eastAsia="Times New Roman" w:cs="Times New Roman"/>
                <w:spacing w:val="2"/>
                <w:position w:val="7"/>
                <w:sz w:val="15"/>
                <w:szCs w:val="15"/>
              </w:rPr>
              <w:t xml:space="preserve">2 </w:t>
            </w:r>
            <w:r>
              <w:rPr>
                <w:spacing w:val="2"/>
                <w:sz w:val="24"/>
                <w:szCs w:val="24"/>
              </w:rPr>
              <w:t xml:space="preserve">。本次工程占用旱地 </w:t>
            </w:r>
            <w:r>
              <w:rPr>
                <w:rFonts w:ascii="Times New Roman" w:hAnsi="Times New Roman" w:eastAsia="Times New Roman" w:cs="Times New Roman"/>
                <w:spacing w:val="2"/>
                <w:sz w:val="24"/>
                <w:szCs w:val="24"/>
              </w:rPr>
              <w:t>1.742</w:t>
            </w:r>
            <w:r>
              <w:rPr>
                <w:rFonts w:ascii="Times New Roman" w:hAnsi="Times New Roman" w:eastAsia="Times New Roman" w:cs="Times New Roman"/>
                <w:sz w:val="24"/>
                <w:szCs w:val="24"/>
              </w:rPr>
              <w:t>hm</w:t>
            </w:r>
            <w:r>
              <w:rPr>
                <w:rFonts w:ascii="Times New Roman" w:hAnsi="Times New Roman" w:eastAsia="Times New Roman" w:cs="Times New Roman"/>
                <w:spacing w:val="2"/>
                <w:position w:val="7"/>
                <w:sz w:val="15"/>
                <w:szCs w:val="15"/>
              </w:rPr>
              <w:t xml:space="preserve">2 </w:t>
            </w:r>
            <w:r>
              <w:rPr>
                <w:spacing w:val="2"/>
                <w:sz w:val="24"/>
                <w:szCs w:val="24"/>
              </w:rPr>
              <w:t>、荒草地</w:t>
            </w:r>
            <w:r>
              <w:rPr>
                <w:spacing w:val="-39"/>
                <w:sz w:val="24"/>
                <w:szCs w:val="24"/>
              </w:rPr>
              <w:t xml:space="preserve"> </w:t>
            </w:r>
            <w:r>
              <w:rPr>
                <w:rFonts w:ascii="Times New Roman" w:hAnsi="Times New Roman" w:eastAsia="Times New Roman" w:cs="Times New Roman"/>
                <w:spacing w:val="2"/>
                <w:sz w:val="24"/>
                <w:szCs w:val="24"/>
              </w:rPr>
              <w:t>0.08</w:t>
            </w:r>
            <w:r>
              <w:rPr>
                <w:rFonts w:ascii="Times New Roman" w:hAnsi="Times New Roman" w:eastAsia="Times New Roman" w:cs="Times New Roman"/>
                <w:sz w:val="24"/>
                <w:szCs w:val="24"/>
              </w:rPr>
              <w:t>hm</w:t>
            </w:r>
            <w:r>
              <w:rPr>
                <w:rFonts w:ascii="Times New Roman" w:hAnsi="Times New Roman" w:eastAsia="Times New Roman" w:cs="Times New Roman"/>
                <w:spacing w:val="2"/>
                <w:position w:val="7"/>
                <w:sz w:val="15"/>
                <w:szCs w:val="15"/>
              </w:rPr>
              <w:t xml:space="preserve">2 </w:t>
            </w:r>
            <w:r>
              <w:rPr>
                <w:spacing w:val="2"/>
                <w:sz w:val="24"/>
                <w:szCs w:val="24"/>
              </w:rPr>
              <w:t>、园地</w:t>
            </w:r>
            <w:r>
              <w:rPr>
                <w:rFonts w:ascii="Times New Roman" w:hAnsi="Times New Roman" w:eastAsia="Times New Roman" w:cs="Times New Roman"/>
                <w:spacing w:val="-3"/>
                <w:sz w:val="24"/>
                <w:szCs w:val="24"/>
              </w:rPr>
              <w:t>0.22hm</w:t>
            </w:r>
            <w:r>
              <w:rPr>
                <w:rFonts w:ascii="Times New Roman" w:hAnsi="Times New Roman" w:eastAsia="Times New Roman" w:cs="Times New Roman"/>
                <w:spacing w:val="-3"/>
                <w:position w:val="7"/>
                <w:sz w:val="15"/>
                <w:szCs w:val="15"/>
              </w:rPr>
              <w:t xml:space="preserve">2 </w:t>
            </w:r>
            <w:r>
              <w:rPr>
                <w:spacing w:val="-3"/>
                <w:sz w:val="24"/>
                <w:szCs w:val="24"/>
              </w:rPr>
              <w:t>。工程占地情况见表</w:t>
            </w:r>
            <w:r>
              <w:rPr>
                <w:spacing w:val="-43"/>
                <w:sz w:val="24"/>
                <w:szCs w:val="24"/>
              </w:rPr>
              <w:t xml:space="preserve"> </w:t>
            </w:r>
            <w:r>
              <w:rPr>
                <w:rFonts w:ascii="Times New Roman" w:hAnsi="Times New Roman" w:eastAsia="Times New Roman" w:cs="Times New Roman"/>
                <w:spacing w:val="-3"/>
                <w:sz w:val="24"/>
                <w:szCs w:val="24"/>
              </w:rPr>
              <w:t>2-7</w:t>
            </w:r>
            <w:r>
              <w:rPr>
                <w:spacing w:val="-3"/>
                <w:sz w:val="24"/>
                <w:szCs w:val="24"/>
              </w:rPr>
              <w:t>。</w:t>
            </w:r>
          </w:p>
          <w:p w14:paraId="23A5F857">
            <w:pPr>
              <w:pStyle w:val="6"/>
              <w:spacing w:line="213" w:lineRule="auto"/>
              <w:ind w:left="2062"/>
              <w:rPr>
                <w:rFonts w:ascii="Times New Roman" w:hAnsi="Times New Roman" w:eastAsia="Times New Roman" w:cs="Times New Roman"/>
                <w:sz w:val="15"/>
                <w:szCs w:val="15"/>
              </w:rPr>
            </w:pPr>
            <w:r>
              <w:rPr>
                <w:b/>
                <w:bCs/>
                <w:spacing w:val="-1"/>
                <w:sz w:val="24"/>
                <w:szCs w:val="24"/>
              </w:rPr>
              <w:t>表</w:t>
            </w:r>
            <w:r>
              <w:rPr>
                <w:spacing w:val="-54"/>
                <w:sz w:val="24"/>
                <w:szCs w:val="24"/>
              </w:rPr>
              <w:t xml:space="preserve"> </w:t>
            </w:r>
            <w:r>
              <w:rPr>
                <w:rFonts w:ascii="Times New Roman" w:hAnsi="Times New Roman" w:eastAsia="Times New Roman" w:cs="Times New Roman"/>
                <w:b/>
                <w:bCs/>
                <w:spacing w:val="-1"/>
                <w:sz w:val="24"/>
                <w:szCs w:val="24"/>
              </w:rPr>
              <w:t xml:space="preserve">2-7      </w:t>
            </w:r>
            <w:r>
              <w:rPr>
                <w:b/>
                <w:bCs/>
                <w:spacing w:val="-1"/>
                <w:sz w:val="24"/>
                <w:szCs w:val="24"/>
              </w:rPr>
              <w:t>工程占地情况一览表</w:t>
            </w:r>
            <w:r>
              <w:rPr>
                <w:spacing w:val="-1"/>
                <w:sz w:val="24"/>
                <w:szCs w:val="24"/>
              </w:rPr>
              <w:t xml:space="preserve"> </w:t>
            </w:r>
            <w:r>
              <w:rPr>
                <w:spacing w:val="-2"/>
                <w:sz w:val="24"/>
                <w:szCs w:val="24"/>
              </w:rPr>
              <w:t xml:space="preserve"> </w:t>
            </w:r>
            <w:r>
              <w:rPr>
                <w:b/>
                <w:bCs/>
                <w:spacing w:val="-2"/>
                <w:sz w:val="24"/>
                <w:szCs w:val="24"/>
              </w:rPr>
              <w:t>单位：</w:t>
            </w:r>
            <w:r>
              <w:rPr>
                <w:rFonts w:ascii="Times New Roman" w:hAnsi="Times New Roman" w:eastAsia="Times New Roman" w:cs="Times New Roman"/>
                <w:spacing w:val="-2"/>
                <w:sz w:val="24"/>
                <w:szCs w:val="24"/>
              </w:rPr>
              <w:t>hm</w:t>
            </w:r>
            <w:r>
              <w:rPr>
                <w:rFonts w:ascii="Times New Roman" w:hAnsi="Times New Roman" w:eastAsia="Times New Roman" w:cs="Times New Roman"/>
                <w:spacing w:val="-2"/>
                <w:position w:val="7"/>
                <w:sz w:val="15"/>
                <w:szCs w:val="15"/>
              </w:rPr>
              <w:t>2</w:t>
            </w:r>
          </w:p>
          <w:tbl>
            <w:tblPr>
              <w:tblStyle w:val="5"/>
              <w:tblW w:w="7928" w:type="dxa"/>
              <w:tblInd w:w="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6"/>
              <w:gridCol w:w="1090"/>
              <w:gridCol w:w="1292"/>
              <w:gridCol w:w="1203"/>
              <w:gridCol w:w="1047"/>
              <w:gridCol w:w="822"/>
              <w:gridCol w:w="891"/>
              <w:gridCol w:w="1187"/>
            </w:tblGrid>
            <w:tr w14:paraId="40E11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396" w:type="dxa"/>
                  <w:vMerge w:val="restart"/>
                  <w:tcBorders>
                    <w:bottom w:val="nil"/>
                  </w:tcBorders>
                  <w:shd w:val="clear" w:color="auto" w:fill="A4A4A4"/>
                  <w:vAlign w:val="top"/>
                </w:tcPr>
                <w:p w14:paraId="02487EE4">
                  <w:pPr>
                    <w:spacing w:before="212" w:line="195" w:lineRule="auto"/>
                    <w:ind w:left="155"/>
                    <w:rPr>
                      <w:rFonts w:ascii="Times New Roman" w:hAnsi="Times New Roman" w:eastAsia="Times New Roman" w:cs="Times New Roman"/>
                      <w:sz w:val="20"/>
                      <w:szCs w:val="20"/>
                    </w:rPr>
                  </w:pPr>
                  <w:r>
                    <w:rPr>
                      <w:rFonts w:ascii="Times New Roman" w:hAnsi="Times New Roman" w:eastAsia="Times New Roman" w:cs="Times New Roman"/>
                      <w:b/>
                      <w:bCs/>
                      <w:sz w:val="20"/>
                      <w:szCs w:val="20"/>
                    </w:rPr>
                    <w:t>1</w:t>
                  </w:r>
                </w:p>
              </w:tc>
              <w:tc>
                <w:tcPr>
                  <w:tcW w:w="3585" w:type="dxa"/>
                  <w:gridSpan w:val="3"/>
                  <w:shd w:val="clear" w:color="auto" w:fill="A4A4A4"/>
                  <w:vAlign w:val="top"/>
                </w:tcPr>
                <w:p w14:paraId="093E1C9F">
                  <w:pPr>
                    <w:pStyle w:val="6"/>
                    <w:spacing w:before="34" w:line="218" w:lineRule="auto"/>
                    <w:ind w:left="1376"/>
                  </w:pPr>
                  <w:r>
                    <w:rPr>
                      <w:b/>
                      <w:bCs/>
                      <w:spacing w:val="5"/>
                    </w:rPr>
                    <w:t>工程内容</w:t>
                  </w:r>
                </w:p>
              </w:tc>
              <w:tc>
                <w:tcPr>
                  <w:tcW w:w="2760" w:type="dxa"/>
                  <w:gridSpan w:val="3"/>
                  <w:shd w:val="clear" w:color="auto" w:fill="A4A4A4"/>
                  <w:vAlign w:val="top"/>
                </w:tcPr>
                <w:p w14:paraId="5A8B11D8">
                  <w:pPr>
                    <w:pStyle w:val="6"/>
                    <w:spacing w:before="34" w:line="209" w:lineRule="auto"/>
                    <w:ind w:left="292"/>
                  </w:pPr>
                  <w:r>
                    <w:rPr>
                      <w:b/>
                      <w:bCs/>
                      <w:spacing w:val="4"/>
                    </w:rPr>
                    <w:t>占地类型及面积（</w:t>
                  </w:r>
                  <w:r>
                    <w:rPr>
                      <w:rFonts w:ascii="Times New Roman" w:hAnsi="Times New Roman" w:eastAsia="Times New Roman" w:cs="Times New Roman"/>
                      <w:b/>
                      <w:bCs/>
                    </w:rPr>
                    <w:t>hm</w:t>
                  </w:r>
                  <w:r>
                    <w:rPr>
                      <w:rFonts w:ascii="Times New Roman" w:hAnsi="Times New Roman" w:eastAsia="Times New Roman" w:cs="Times New Roman"/>
                      <w:b/>
                      <w:bCs/>
                      <w:spacing w:val="4"/>
                      <w:position w:val="1"/>
                      <w:sz w:val="13"/>
                      <w:szCs w:val="13"/>
                    </w:rPr>
                    <w:t>2</w:t>
                  </w:r>
                  <w:r>
                    <w:rPr>
                      <w:b/>
                      <w:bCs/>
                      <w:spacing w:val="4"/>
                      <w:position w:val="1"/>
                    </w:rPr>
                    <w:t>）</w:t>
                  </w:r>
                </w:p>
              </w:tc>
              <w:tc>
                <w:tcPr>
                  <w:tcW w:w="1187" w:type="dxa"/>
                  <w:vMerge w:val="restart"/>
                  <w:tcBorders>
                    <w:bottom w:val="nil"/>
                  </w:tcBorders>
                  <w:shd w:val="clear" w:color="auto" w:fill="A4A4A4"/>
                  <w:vAlign w:val="top"/>
                </w:tcPr>
                <w:p w14:paraId="2612E147">
                  <w:pPr>
                    <w:pStyle w:val="6"/>
                    <w:spacing w:before="174" w:line="229" w:lineRule="auto"/>
                    <w:jc w:val="right"/>
                  </w:pPr>
                  <w:r>
                    <w:rPr>
                      <w:b/>
                      <w:bCs/>
                      <w:spacing w:val="-4"/>
                    </w:rPr>
                    <w:t>合计（</w:t>
                  </w:r>
                  <w:r>
                    <w:rPr>
                      <w:rFonts w:ascii="Times New Roman" w:hAnsi="Times New Roman" w:eastAsia="Times New Roman" w:cs="Times New Roman"/>
                      <w:b/>
                      <w:bCs/>
                      <w:spacing w:val="-4"/>
                    </w:rPr>
                    <w:t>hm</w:t>
                  </w:r>
                  <w:r>
                    <w:rPr>
                      <w:rFonts w:ascii="Times New Roman" w:hAnsi="Times New Roman" w:eastAsia="Times New Roman" w:cs="Times New Roman"/>
                      <w:b/>
                      <w:bCs/>
                      <w:spacing w:val="-4"/>
                      <w:sz w:val="13"/>
                      <w:szCs w:val="13"/>
                    </w:rPr>
                    <w:t>2</w:t>
                  </w:r>
                  <w:r>
                    <w:rPr>
                      <w:b/>
                      <w:bCs/>
                      <w:spacing w:val="-4"/>
                    </w:rPr>
                    <w:t>）</w:t>
                  </w:r>
                </w:p>
              </w:tc>
            </w:tr>
            <w:tr w14:paraId="7C5A9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96" w:type="dxa"/>
                  <w:vMerge w:val="continue"/>
                  <w:tcBorders>
                    <w:top w:val="nil"/>
                  </w:tcBorders>
                  <w:vAlign w:val="top"/>
                </w:tcPr>
                <w:p w14:paraId="1414FA1B">
                  <w:pPr>
                    <w:rPr>
                      <w:rFonts w:ascii="Arial"/>
                      <w:sz w:val="21"/>
                    </w:rPr>
                  </w:pPr>
                </w:p>
              </w:tc>
              <w:tc>
                <w:tcPr>
                  <w:tcW w:w="2382" w:type="dxa"/>
                  <w:gridSpan w:val="2"/>
                  <w:shd w:val="clear" w:color="auto" w:fill="A4A4A4"/>
                  <w:vAlign w:val="top"/>
                </w:tcPr>
                <w:p w14:paraId="44BADF65">
                  <w:pPr>
                    <w:pStyle w:val="6"/>
                    <w:spacing w:before="31" w:line="217" w:lineRule="auto"/>
                    <w:ind w:left="986"/>
                  </w:pPr>
                  <w:r>
                    <w:rPr>
                      <w:b/>
                      <w:bCs/>
                      <w:spacing w:val="2"/>
                    </w:rPr>
                    <w:t>项目</w:t>
                  </w:r>
                </w:p>
              </w:tc>
              <w:tc>
                <w:tcPr>
                  <w:tcW w:w="1203" w:type="dxa"/>
                  <w:shd w:val="clear" w:color="auto" w:fill="A4A4A4"/>
                  <w:vAlign w:val="top"/>
                </w:tcPr>
                <w:p w14:paraId="6AB85A21">
                  <w:pPr>
                    <w:pStyle w:val="6"/>
                    <w:spacing w:before="31" w:line="217" w:lineRule="auto"/>
                    <w:ind w:left="156"/>
                  </w:pPr>
                  <w:r>
                    <w:rPr>
                      <w:b/>
                      <w:bCs/>
                      <w:spacing w:val="5"/>
                    </w:rPr>
                    <w:t>面积</w:t>
                  </w:r>
                  <w:r>
                    <w:rPr>
                      <w:rFonts w:ascii="Times New Roman" w:hAnsi="Times New Roman" w:eastAsia="Times New Roman" w:cs="Times New Roman"/>
                      <w:b/>
                      <w:bCs/>
                      <w:spacing w:val="5"/>
                    </w:rPr>
                    <w:t>/</w:t>
                  </w:r>
                  <w:r>
                    <w:rPr>
                      <w:b/>
                      <w:bCs/>
                      <w:spacing w:val="5"/>
                    </w:rPr>
                    <w:t>数量</w:t>
                  </w:r>
                </w:p>
              </w:tc>
              <w:tc>
                <w:tcPr>
                  <w:tcW w:w="1047" w:type="dxa"/>
                  <w:shd w:val="clear" w:color="auto" w:fill="A4A4A4"/>
                  <w:vAlign w:val="top"/>
                </w:tcPr>
                <w:p w14:paraId="0AA807FF">
                  <w:pPr>
                    <w:pStyle w:val="6"/>
                    <w:spacing w:before="31" w:line="217" w:lineRule="auto"/>
                    <w:ind w:left="366"/>
                  </w:pPr>
                  <w:r>
                    <w:rPr>
                      <w:b/>
                      <w:bCs/>
                      <w:spacing w:val="-5"/>
                    </w:rPr>
                    <w:t>园地</w:t>
                  </w:r>
                </w:p>
              </w:tc>
              <w:tc>
                <w:tcPr>
                  <w:tcW w:w="822" w:type="dxa"/>
                  <w:shd w:val="clear" w:color="auto" w:fill="A4A4A4"/>
                  <w:vAlign w:val="top"/>
                </w:tcPr>
                <w:p w14:paraId="55369F29">
                  <w:pPr>
                    <w:pStyle w:val="6"/>
                    <w:spacing w:before="31" w:line="217" w:lineRule="auto"/>
                    <w:ind w:left="135"/>
                  </w:pPr>
                  <w:r>
                    <w:rPr>
                      <w:b/>
                      <w:bCs/>
                      <w:spacing w:val="4"/>
                    </w:rPr>
                    <w:t>荒草地</w:t>
                  </w:r>
                </w:p>
              </w:tc>
              <w:tc>
                <w:tcPr>
                  <w:tcW w:w="891" w:type="dxa"/>
                  <w:shd w:val="clear" w:color="auto" w:fill="A4A4A4"/>
                  <w:vAlign w:val="top"/>
                </w:tcPr>
                <w:p w14:paraId="4A5B39EA">
                  <w:pPr>
                    <w:pStyle w:val="6"/>
                    <w:spacing w:before="31" w:line="217" w:lineRule="auto"/>
                    <w:ind w:left="244"/>
                  </w:pPr>
                  <w:r>
                    <w:rPr>
                      <w:b/>
                      <w:bCs/>
                      <w:spacing w:val="2"/>
                    </w:rPr>
                    <w:t>旱地</w:t>
                  </w:r>
                </w:p>
              </w:tc>
              <w:tc>
                <w:tcPr>
                  <w:tcW w:w="1187" w:type="dxa"/>
                  <w:vMerge w:val="continue"/>
                  <w:tcBorders>
                    <w:top w:val="nil"/>
                  </w:tcBorders>
                  <w:vAlign w:val="top"/>
                </w:tcPr>
                <w:p w14:paraId="1BADB64F">
                  <w:pPr>
                    <w:rPr>
                      <w:rFonts w:ascii="Arial"/>
                      <w:sz w:val="21"/>
                    </w:rPr>
                  </w:pPr>
                </w:p>
              </w:tc>
            </w:tr>
            <w:tr w14:paraId="2D11B9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396" w:type="dxa"/>
                  <w:vMerge w:val="restart"/>
                  <w:tcBorders>
                    <w:bottom w:val="nil"/>
                  </w:tcBorders>
                  <w:textDirection w:val="tbRlV"/>
                  <w:vAlign w:val="top"/>
                </w:tcPr>
                <w:p w14:paraId="49306441">
                  <w:pPr>
                    <w:pStyle w:val="6"/>
                    <w:spacing w:before="93" w:line="208" w:lineRule="auto"/>
                    <w:ind w:left="319"/>
                  </w:pPr>
                  <w:r>
                    <w:rPr>
                      <w:spacing w:val="8"/>
                    </w:rPr>
                    <w:t>永</w:t>
                  </w:r>
                  <w:r>
                    <w:rPr>
                      <w:spacing w:val="-36"/>
                    </w:rPr>
                    <w:t xml:space="preserve"> </w:t>
                  </w:r>
                  <w:r>
                    <w:rPr>
                      <w:spacing w:val="8"/>
                    </w:rPr>
                    <w:t>久</w:t>
                  </w:r>
                  <w:r>
                    <w:rPr>
                      <w:spacing w:val="-35"/>
                    </w:rPr>
                    <w:t xml:space="preserve"> </w:t>
                  </w:r>
                  <w:r>
                    <w:rPr>
                      <w:spacing w:val="8"/>
                      <w:position w:val="1"/>
                    </w:rPr>
                    <w:t>占</w:t>
                  </w:r>
                  <w:r>
                    <w:rPr>
                      <w:spacing w:val="-35"/>
                      <w:position w:val="1"/>
                    </w:rPr>
                    <w:t xml:space="preserve"> </w:t>
                  </w:r>
                  <w:r>
                    <w:rPr>
                      <w:spacing w:val="8"/>
                    </w:rPr>
                    <w:t>地</w:t>
                  </w:r>
                </w:p>
              </w:tc>
              <w:tc>
                <w:tcPr>
                  <w:tcW w:w="1090" w:type="dxa"/>
                  <w:vMerge w:val="restart"/>
                  <w:tcBorders>
                    <w:bottom w:val="nil"/>
                  </w:tcBorders>
                  <w:vAlign w:val="top"/>
                </w:tcPr>
                <w:p w14:paraId="64F7EF64">
                  <w:pPr>
                    <w:spacing w:line="379" w:lineRule="auto"/>
                    <w:rPr>
                      <w:rFonts w:ascii="Arial"/>
                      <w:sz w:val="21"/>
                    </w:rPr>
                  </w:pPr>
                </w:p>
                <w:p w14:paraId="5ED31946">
                  <w:pPr>
                    <w:pStyle w:val="6"/>
                    <w:spacing w:before="65" w:line="229" w:lineRule="auto"/>
                    <w:ind w:left="233"/>
                  </w:pPr>
                  <w:r>
                    <w:rPr>
                      <w:spacing w:val="6"/>
                    </w:rPr>
                    <w:t>变电站</w:t>
                  </w:r>
                </w:p>
              </w:tc>
              <w:tc>
                <w:tcPr>
                  <w:tcW w:w="1292" w:type="dxa"/>
                  <w:vAlign w:val="top"/>
                </w:tcPr>
                <w:p w14:paraId="6240228D">
                  <w:pPr>
                    <w:pStyle w:val="6"/>
                    <w:spacing w:before="33" w:line="233" w:lineRule="auto"/>
                    <w:ind w:left="359" w:right="123" w:hanging="234"/>
                  </w:pPr>
                  <w:r>
                    <w:rPr>
                      <w:spacing w:val="7"/>
                    </w:rPr>
                    <w:t>变电站围墙</w:t>
                  </w:r>
                  <w:r>
                    <w:rPr>
                      <w:spacing w:val="-2"/>
                    </w:rPr>
                    <w:t>内占地</w:t>
                  </w:r>
                </w:p>
              </w:tc>
              <w:tc>
                <w:tcPr>
                  <w:tcW w:w="1203" w:type="dxa"/>
                  <w:vAlign w:val="top"/>
                </w:tcPr>
                <w:p w14:paraId="210006F1">
                  <w:pPr>
                    <w:spacing w:before="203" w:line="195" w:lineRule="auto"/>
                    <w:ind w:left="42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0.91</w:t>
                  </w:r>
                </w:p>
              </w:tc>
              <w:tc>
                <w:tcPr>
                  <w:tcW w:w="1047" w:type="dxa"/>
                  <w:vAlign w:val="top"/>
                </w:tcPr>
                <w:p w14:paraId="1055D3DE">
                  <w:pPr>
                    <w:spacing w:before="199" w:line="199" w:lineRule="auto"/>
                    <w:ind w:left="5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22" w:type="dxa"/>
                  <w:vAlign w:val="top"/>
                </w:tcPr>
                <w:p w14:paraId="1BFA16F9">
                  <w:pPr>
                    <w:spacing w:before="199" w:line="199" w:lineRule="auto"/>
                    <w:ind w:left="4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91" w:type="dxa"/>
                  <w:vAlign w:val="top"/>
                </w:tcPr>
                <w:p w14:paraId="1E1E987F">
                  <w:pPr>
                    <w:spacing w:before="203" w:line="195" w:lineRule="auto"/>
                    <w:ind w:left="26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0.91</w:t>
                  </w:r>
                </w:p>
              </w:tc>
              <w:tc>
                <w:tcPr>
                  <w:tcW w:w="1187" w:type="dxa"/>
                  <w:vAlign w:val="top"/>
                </w:tcPr>
                <w:p w14:paraId="0A4B1B6B">
                  <w:pPr>
                    <w:spacing w:before="203" w:line="195" w:lineRule="auto"/>
                    <w:ind w:left="4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0.91</w:t>
                  </w:r>
                </w:p>
              </w:tc>
            </w:tr>
            <w:tr w14:paraId="608A7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96" w:type="dxa"/>
                  <w:vMerge w:val="continue"/>
                  <w:tcBorders>
                    <w:top w:val="nil"/>
                    <w:bottom w:val="nil"/>
                  </w:tcBorders>
                  <w:textDirection w:val="tbRlV"/>
                  <w:vAlign w:val="top"/>
                </w:tcPr>
                <w:p w14:paraId="38C68E2D">
                  <w:pPr>
                    <w:rPr>
                      <w:rFonts w:ascii="Arial"/>
                      <w:sz w:val="21"/>
                    </w:rPr>
                  </w:pPr>
                </w:p>
              </w:tc>
              <w:tc>
                <w:tcPr>
                  <w:tcW w:w="1090" w:type="dxa"/>
                  <w:vMerge w:val="continue"/>
                  <w:tcBorders>
                    <w:top w:val="nil"/>
                  </w:tcBorders>
                  <w:vAlign w:val="top"/>
                </w:tcPr>
                <w:p w14:paraId="4D4DAA7B">
                  <w:pPr>
                    <w:rPr>
                      <w:rFonts w:ascii="Arial"/>
                      <w:sz w:val="21"/>
                    </w:rPr>
                  </w:pPr>
                </w:p>
              </w:tc>
              <w:tc>
                <w:tcPr>
                  <w:tcW w:w="1292" w:type="dxa"/>
                  <w:vAlign w:val="top"/>
                </w:tcPr>
                <w:p w14:paraId="0151F8F2">
                  <w:pPr>
                    <w:pStyle w:val="6"/>
                    <w:spacing w:before="34" w:line="228" w:lineRule="auto"/>
                    <w:ind w:left="123"/>
                  </w:pPr>
                  <w:r>
                    <w:rPr>
                      <w:spacing w:val="8"/>
                    </w:rPr>
                    <w:t>进站道路及</w:t>
                  </w:r>
                </w:p>
                <w:p w14:paraId="385FFD74">
                  <w:pPr>
                    <w:pStyle w:val="6"/>
                    <w:spacing w:before="24" w:line="215" w:lineRule="auto"/>
                    <w:ind w:left="126"/>
                  </w:pPr>
                  <w:r>
                    <w:rPr>
                      <w:spacing w:val="7"/>
                    </w:rPr>
                    <w:t>站外排水沟</w:t>
                  </w:r>
                </w:p>
              </w:tc>
              <w:tc>
                <w:tcPr>
                  <w:tcW w:w="1203" w:type="dxa"/>
                  <w:vAlign w:val="top"/>
                </w:tcPr>
                <w:p w14:paraId="0150AC04">
                  <w:pPr>
                    <w:spacing w:before="205" w:line="195" w:lineRule="auto"/>
                    <w:ind w:left="36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0.177</w:t>
                  </w:r>
                </w:p>
              </w:tc>
              <w:tc>
                <w:tcPr>
                  <w:tcW w:w="1047" w:type="dxa"/>
                  <w:vAlign w:val="top"/>
                </w:tcPr>
                <w:p w14:paraId="55126588">
                  <w:pPr>
                    <w:spacing w:before="201" w:line="199" w:lineRule="auto"/>
                    <w:ind w:left="5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22" w:type="dxa"/>
                  <w:vAlign w:val="top"/>
                </w:tcPr>
                <w:p w14:paraId="1CC0CEF2">
                  <w:pPr>
                    <w:spacing w:before="201" w:line="199" w:lineRule="auto"/>
                    <w:ind w:left="4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91" w:type="dxa"/>
                  <w:vAlign w:val="top"/>
                </w:tcPr>
                <w:p w14:paraId="7F5DB857">
                  <w:pPr>
                    <w:spacing w:before="205"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0.177</w:t>
                  </w:r>
                </w:p>
              </w:tc>
              <w:tc>
                <w:tcPr>
                  <w:tcW w:w="1187" w:type="dxa"/>
                  <w:vAlign w:val="top"/>
                </w:tcPr>
                <w:p w14:paraId="458607B2">
                  <w:pPr>
                    <w:spacing w:before="205" w:line="195" w:lineRule="auto"/>
                    <w:ind w:left="36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0.177</w:t>
                  </w:r>
                </w:p>
              </w:tc>
            </w:tr>
            <w:tr w14:paraId="4C3CB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96" w:type="dxa"/>
                  <w:vMerge w:val="continue"/>
                  <w:tcBorders>
                    <w:top w:val="nil"/>
                    <w:bottom w:val="nil"/>
                  </w:tcBorders>
                  <w:textDirection w:val="tbRlV"/>
                  <w:vAlign w:val="top"/>
                </w:tcPr>
                <w:p w14:paraId="061F04AF">
                  <w:pPr>
                    <w:rPr>
                      <w:rFonts w:ascii="Arial"/>
                      <w:sz w:val="21"/>
                    </w:rPr>
                  </w:pPr>
                </w:p>
              </w:tc>
              <w:tc>
                <w:tcPr>
                  <w:tcW w:w="1090" w:type="dxa"/>
                  <w:vAlign w:val="top"/>
                </w:tcPr>
                <w:p w14:paraId="1B697038">
                  <w:pPr>
                    <w:pStyle w:val="6"/>
                    <w:spacing w:before="35" w:line="214" w:lineRule="auto"/>
                    <w:ind w:left="129"/>
                  </w:pPr>
                  <w:r>
                    <w:rPr>
                      <w:spacing w:val="7"/>
                    </w:rPr>
                    <w:t>架空线路</w:t>
                  </w:r>
                </w:p>
              </w:tc>
              <w:tc>
                <w:tcPr>
                  <w:tcW w:w="1292" w:type="dxa"/>
                  <w:vAlign w:val="top"/>
                </w:tcPr>
                <w:p w14:paraId="4EF947E3">
                  <w:pPr>
                    <w:pStyle w:val="6"/>
                    <w:spacing w:before="35" w:line="214" w:lineRule="auto"/>
                    <w:ind w:left="149"/>
                  </w:pPr>
                  <w:r>
                    <w:rPr>
                      <w:rFonts w:ascii="Times New Roman" w:hAnsi="Times New Roman" w:eastAsia="Times New Roman" w:cs="Times New Roman"/>
                    </w:rPr>
                    <w:t>110kV</w:t>
                  </w:r>
                  <w:r>
                    <w:rPr>
                      <w:rFonts w:ascii="Times New Roman" w:hAnsi="Times New Roman" w:eastAsia="Times New Roman" w:cs="Times New Roman"/>
                      <w:spacing w:val="12"/>
                    </w:rPr>
                    <w:t xml:space="preserve"> </w:t>
                  </w:r>
                  <w:r>
                    <w:t>塔基</w:t>
                  </w:r>
                </w:p>
              </w:tc>
              <w:tc>
                <w:tcPr>
                  <w:tcW w:w="1203" w:type="dxa"/>
                  <w:vAlign w:val="top"/>
                </w:tcPr>
                <w:p w14:paraId="7DC58B1D">
                  <w:pPr>
                    <w:pStyle w:val="6"/>
                    <w:spacing w:before="35" w:line="214" w:lineRule="auto"/>
                    <w:ind w:left="364"/>
                  </w:pPr>
                  <w:r>
                    <w:rPr>
                      <w:rFonts w:ascii="Times New Roman" w:hAnsi="Times New Roman" w:eastAsia="Times New Roman" w:cs="Times New Roman"/>
                      <w:spacing w:val="2"/>
                    </w:rPr>
                    <w:t>45</w:t>
                  </w:r>
                  <w:r>
                    <w:rPr>
                      <w:rFonts w:ascii="Times New Roman" w:hAnsi="Times New Roman" w:eastAsia="Times New Roman" w:cs="Times New Roman"/>
                      <w:spacing w:val="10"/>
                    </w:rPr>
                    <w:t xml:space="preserve"> </w:t>
                  </w:r>
                  <w:r>
                    <w:rPr>
                      <w:spacing w:val="2"/>
                    </w:rPr>
                    <w:t>基</w:t>
                  </w:r>
                </w:p>
              </w:tc>
              <w:tc>
                <w:tcPr>
                  <w:tcW w:w="1047" w:type="dxa"/>
                  <w:vAlign w:val="top"/>
                </w:tcPr>
                <w:p w14:paraId="2177DD89">
                  <w:pPr>
                    <w:spacing w:before="71" w:line="195" w:lineRule="auto"/>
                    <w:ind w:left="3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822" w:type="dxa"/>
                  <w:vAlign w:val="top"/>
                </w:tcPr>
                <w:p w14:paraId="3F669664">
                  <w:pPr>
                    <w:spacing w:before="71" w:line="195" w:lineRule="auto"/>
                    <w:ind w:left="2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891" w:type="dxa"/>
                  <w:vAlign w:val="top"/>
                </w:tcPr>
                <w:p w14:paraId="3CF24D48">
                  <w:pPr>
                    <w:spacing w:before="71" w:line="195" w:lineRule="auto"/>
                    <w:ind w:left="26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0.31</w:t>
                  </w:r>
                </w:p>
              </w:tc>
              <w:tc>
                <w:tcPr>
                  <w:tcW w:w="1187" w:type="dxa"/>
                  <w:vAlign w:val="top"/>
                </w:tcPr>
                <w:p w14:paraId="1E18D862">
                  <w:pPr>
                    <w:spacing w:before="71" w:line="195" w:lineRule="auto"/>
                    <w:ind w:left="4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0.36</w:t>
                  </w:r>
                </w:p>
              </w:tc>
            </w:tr>
            <w:tr w14:paraId="04FFA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96" w:type="dxa"/>
                  <w:vMerge w:val="continue"/>
                  <w:tcBorders>
                    <w:top w:val="nil"/>
                  </w:tcBorders>
                  <w:textDirection w:val="tbRlV"/>
                  <w:vAlign w:val="top"/>
                </w:tcPr>
                <w:p w14:paraId="0D1645A5">
                  <w:pPr>
                    <w:rPr>
                      <w:rFonts w:ascii="Arial"/>
                      <w:sz w:val="21"/>
                    </w:rPr>
                  </w:pPr>
                </w:p>
              </w:tc>
              <w:tc>
                <w:tcPr>
                  <w:tcW w:w="3585" w:type="dxa"/>
                  <w:gridSpan w:val="3"/>
                  <w:vAlign w:val="top"/>
                </w:tcPr>
                <w:p w14:paraId="38140901">
                  <w:pPr>
                    <w:pStyle w:val="6"/>
                    <w:spacing w:before="36" w:line="214" w:lineRule="auto"/>
                    <w:ind w:left="1593"/>
                  </w:pPr>
                  <w:r>
                    <w:rPr>
                      <w:spacing w:val="2"/>
                    </w:rPr>
                    <w:t>小计</w:t>
                  </w:r>
                </w:p>
              </w:tc>
              <w:tc>
                <w:tcPr>
                  <w:tcW w:w="1047" w:type="dxa"/>
                  <w:vAlign w:val="top"/>
                </w:tcPr>
                <w:p w14:paraId="63C1DBD3">
                  <w:pPr>
                    <w:spacing w:before="72" w:line="195" w:lineRule="auto"/>
                    <w:ind w:left="3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822" w:type="dxa"/>
                  <w:vAlign w:val="top"/>
                </w:tcPr>
                <w:p w14:paraId="5A153A01">
                  <w:pPr>
                    <w:spacing w:before="72" w:line="195" w:lineRule="auto"/>
                    <w:ind w:left="2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891" w:type="dxa"/>
                  <w:vAlign w:val="top"/>
                </w:tcPr>
                <w:p w14:paraId="6C938802">
                  <w:pPr>
                    <w:spacing w:before="72" w:line="195" w:lineRule="auto"/>
                    <w:ind w:left="23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1.397</w:t>
                  </w:r>
                </w:p>
              </w:tc>
              <w:tc>
                <w:tcPr>
                  <w:tcW w:w="1187" w:type="dxa"/>
                  <w:vAlign w:val="top"/>
                </w:tcPr>
                <w:p w14:paraId="0BF05FE1">
                  <w:pPr>
                    <w:spacing w:before="72" w:line="195" w:lineRule="auto"/>
                    <w:ind w:left="37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1.447</w:t>
                  </w:r>
                </w:p>
              </w:tc>
            </w:tr>
            <w:tr w14:paraId="67682C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96" w:type="dxa"/>
                  <w:vMerge w:val="restart"/>
                  <w:tcBorders>
                    <w:bottom w:val="nil"/>
                  </w:tcBorders>
                  <w:textDirection w:val="tbRlV"/>
                  <w:vAlign w:val="top"/>
                </w:tcPr>
                <w:p w14:paraId="5F067A8E">
                  <w:pPr>
                    <w:pStyle w:val="6"/>
                    <w:spacing w:before="92" w:line="207" w:lineRule="auto"/>
                    <w:ind w:left="185"/>
                  </w:pPr>
                  <w:r>
                    <w:rPr>
                      <w:spacing w:val="8"/>
                    </w:rPr>
                    <w:t>临</w:t>
                  </w:r>
                  <w:r>
                    <w:rPr>
                      <w:spacing w:val="-36"/>
                    </w:rPr>
                    <w:t xml:space="preserve"> </w:t>
                  </w:r>
                  <w:r>
                    <w:rPr>
                      <w:spacing w:val="8"/>
                    </w:rPr>
                    <w:t>时</w:t>
                  </w:r>
                  <w:r>
                    <w:rPr>
                      <w:spacing w:val="-38"/>
                    </w:rPr>
                    <w:t xml:space="preserve"> </w:t>
                  </w:r>
                  <w:r>
                    <w:rPr>
                      <w:spacing w:val="8"/>
                      <w:position w:val="1"/>
                    </w:rPr>
                    <w:t>占</w:t>
                  </w:r>
                  <w:r>
                    <w:rPr>
                      <w:spacing w:val="-35"/>
                      <w:position w:val="1"/>
                    </w:rPr>
                    <w:t xml:space="preserve"> </w:t>
                  </w:r>
                  <w:r>
                    <w:rPr>
                      <w:spacing w:val="8"/>
                    </w:rPr>
                    <w:t>地</w:t>
                  </w:r>
                </w:p>
              </w:tc>
              <w:tc>
                <w:tcPr>
                  <w:tcW w:w="1090" w:type="dxa"/>
                  <w:vMerge w:val="restart"/>
                  <w:tcBorders>
                    <w:bottom w:val="nil"/>
                  </w:tcBorders>
                  <w:vAlign w:val="top"/>
                </w:tcPr>
                <w:p w14:paraId="3F84657A">
                  <w:pPr>
                    <w:spacing w:line="250" w:lineRule="auto"/>
                    <w:rPr>
                      <w:rFonts w:ascii="Arial"/>
                      <w:sz w:val="21"/>
                    </w:rPr>
                  </w:pPr>
                </w:p>
                <w:p w14:paraId="207D47FD">
                  <w:pPr>
                    <w:pStyle w:val="6"/>
                    <w:spacing w:before="65" w:line="252" w:lineRule="auto"/>
                    <w:ind w:left="338" w:right="338" w:hanging="1"/>
                  </w:pPr>
                  <w:r>
                    <w:rPr>
                      <w:spacing w:val="4"/>
                    </w:rPr>
                    <w:t>架空</w:t>
                  </w:r>
                  <w:r>
                    <w:rPr>
                      <w:spacing w:val="3"/>
                    </w:rPr>
                    <w:t>线路</w:t>
                  </w:r>
                </w:p>
              </w:tc>
              <w:tc>
                <w:tcPr>
                  <w:tcW w:w="1292" w:type="dxa"/>
                  <w:vAlign w:val="top"/>
                </w:tcPr>
                <w:p w14:paraId="01738778">
                  <w:pPr>
                    <w:pStyle w:val="6"/>
                    <w:spacing w:before="34" w:line="215" w:lineRule="auto"/>
                    <w:ind w:left="125"/>
                  </w:pPr>
                  <w:r>
                    <w:rPr>
                      <w:spacing w:val="8"/>
                    </w:rPr>
                    <w:t>塔基施工区</w:t>
                  </w:r>
                </w:p>
              </w:tc>
              <w:tc>
                <w:tcPr>
                  <w:tcW w:w="1203" w:type="dxa"/>
                  <w:vAlign w:val="top"/>
                </w:tcPr>
                <w:p w14:paraId="4633B5F1">
                  <w:pPr>
                    <w:pStyle w:val="6"/>
                    <w:spacing w:before="34" w:line="215" w:lineRule="auto"/>
                    <w:ind w:left="364"/>
                  </w:pPr>
                  <w:r>
                    <w:rPr>
                      <w:rFonts w:ascii="Times New Roman" w:hAnsi="Times New Roman" w:eastAsia="Times New Roman" w:cs="Times New Roman"/>
                      <w:spacing w:val="2"/>
                    </w:rPr>
                    <w:t>45</w:t>
                  </w:r>
                  <w:r>
                    <w:rPr>
                      <w:rFonts w:ascii="Times New Roman" w:hAnsi="Times New Roman" w:eastAsia="Times New Roman" w:cs="Times New Roman"/>
                      <w:spacing w:val="13"/>
                      <w:w w:val="101"/>
                    </w:rPr>
                    <w:t xml:space="preserve"> </w:t>
                  </w:r>
                  <w:r>
                    <w:rPr>
                      <w:spacing w:val="2"/>
                    </w:rPr>
                    <w:t>处</w:t>
                  </w:r>
                </w:p>
              </w:tc>
              <w:tc>
                <w:tcPr>
                  <w:tcW w:w="1047" w:type="dxa"/>
                  <w:vAlign w:val="top"/>
                </w:tcPr>
                <w:p w14:paraId="232D69D2">
                  <w:pPr>
                    <w:spacing w:before="70" w:line="195" w:lineRule="auto"/>
                    <w:ind w:left="3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0.08</w:t>
                  </w:r>
                </w:p>
              </w:tc>
              <w:tc>
                <w:tcPr>
                  <w:tcW w:w="822" w:type="dxa"/>
                  <w:vAlign w:val="top"/>
                </w:tcPr>
                <w:p w14:paraId="7E52A168">
                  <w:pPr>
                    <w:spacing w:before="70" w:line="195" w:lineRule="auto"/>
                    <w:ind w:left="2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891" w:type="dxa"/>
                  <w:vAlign w:val="top"/>
                </w:tcPr>
                <w:p w14:paraId="629F12F0">
                  <w:pPr>
                    <w:spacing w:before="70"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0.185</w:t>
                  </w:r>
                </w:p>
              </w:tc>
              <w:tc>
                <w:tcPr>
                  <w:tcW w:w="1187" w:type="dxa"/>
                  <w:vAlign w:val="top"/>
                </w:tcPr>
                <w:p w14:paraId="67684860">
                  <w:pPr>
                    <w:spacing w:before="70" w:line="195" w:lineRule="auto"/>
                    <w:ind w:left="36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0.225</w:t>
                  </w:r>
                </w:p>
              </w:tc>
            </w:tr>
            <w:tr w14:paraId="4971F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96" w:type="dxa"/>
                  <w:vMerge w:val="continue"/>
                  <w:tcBorders>
                    <w:top w:val="nil"/>
                    <w:bottom w:val="nil"/>
                  </w:tcBorders>
                  <w:textDirection w:val="tbRlV"/>
                  <w:vAlign w:val="top"/>
                </w:tcPr>
                <w:p w14:paraId="3CFB7DED">
                  <w:pPr>
                    <w:rPr>
                      <w:rFonts w:ascii="Arial"/>
                      <w:sz w:val="21"/>
                    </w:rPr>
                  </w:pPr>
                </w:p>
              </w:tc>
              <w:tc>
                <w:tcPr>
                  <w:tcW w:w="1090" w:type="dxa"/>
                  <w:vMerge w:val="continue"/>
                  <w:tcBorders>
                    <w:top w:val="nil"/>
                    <w:bottom w:val="nil"/>
                  </w:tcBorders>
                  <w:vAlign w:val="top"/>
                </w:tcPr>
                <w:p w14:paraId="74ED8842">
                  <w:pPr>
                    <w:rPr>
                      <w:rFonts w:ascii="Arial"/>
                      <w:sz w:val="21"/>
                    </w:rPr>
                  </w:pPr>
                </w:p>
              </w:tc>
              <w:tc>
                <w:tcPr>
                  <w:tcW w:w="1292" w:type="dxa"/>
                  <w:vAlign w:val="top"/>
                </w:tcPr>
                <w:p w14:paraId="3FFC9606">
                  <w:pPr>
                    <w:pStyle w:val="6"/>
                    <w:spacing w:before="36" w:line="232" w:lineRule="auto"/>
                    <w:ind w:left="545" w:right="120" w:hanging="420"/>
                  </w:pPr>
                  <w:r>
                    <w:rPr>
                      <w:spacing w:val="8"/>
                    </w:rPr>
                    <w:t>跨越施工场</w:t>
                  </w:r>
                  <w:r>
                    <w:t>地</w:t>
                  </w:r>
                </w:p>
              </w:tc>
              <w:tc>
                <w:tcPr>
                  <w:tcW w:w="1203" w:type="dxa"/>
                  <w:vAlign w:val="top"/>
                </w:tcPr>
                <w:p w14:paraId="51D6A9EA">
                  <w:pPr>
                    <w:pStyle w:val="6"/>
                    <w:spacing w:before="169" w:line="232" w:lineRule="auto"/>
                    <w:ind w:left="417"/>
                  </w:pPr>
                  <w:r>
                    <w:rPr>
                      <w:rFonts w:ascii="Times New Roman" w:hAnsi="Times New Roman" w:eastAsia="Times New Roman" w:cs="Times New Roman"/>
                    </w:rPr>
                    <w:t>4</w:t>
                  </w:r>
                  <w:r>
                    <w:rPr>
                      <w:rFonts w:ascii="Times New Roman" w:hAnsi="Times New Roman" w:eastAsia="Times New Roman" w:cs="Times New Roman"/>
                      <w:spacing w:val="16"/>
                    </w:rPr>
                    <w:t xml:space="preserve"> </w:t>
                  </w:r>
                  <w:r>
                    <w:t>处</w:t>
                  </w:r>
                </w:p>
              </w:tc>
              <w:tc>
                <w:tcPr>
                  <w:tcW w:w="1047" w:type="dxa"/>
                  <w:vAlign w:val="top"/>
                </w:tcPr>
                <w:p w14:paraId="7D46F94F">
                  <w:pPr>
                    <w:spacing w:before="205" w:line="195" w:lineRule="auto"/>
                    <w:ind w:left="3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w:t>
                  </w:r>
                </w:p>
              </w:tc>
              <w:tc>
                <w:tcPr>
                  <w:tcW w:w="822" w:type="dxa"/>
                  <w:vAlign w:val="top"/>
                </w:tcPr>
                <w:p w14:paraId="700EA54A">
                  <w:pPr>
                    <w:spacing w:before="205" w:line="195" w:lineRule="auto"/>
                    <w:ind w:left="2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891" w:type="dxa"/>
                  <w:vAlign w:val="top"/>
                </w:tcPr>
                <w:p w14:paraId="51D7651B">
                  <w:pPr>
                    <w:spacing w:before="205" w:line="195" w:lineRule="auto"/>
                    <w:ind w:left="26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187" w:type="dxa"/>
                  <w:vAlign w:val="top"/>
                </w:tcPr>
                <w:p w14:paraId="578540A3">
                  <w:pPr>
                    <w:spacing w:before="205" w:line="195" w:lineRule="auto"/>
                    <w:ind w:left="413"/>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0.</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pacing w:val="-5"/>
                      <w:sz w:val="20"/>
                      <w:szCs w:val="20"/>
                    </w:rPr>
                    <w:t>14</w:t>
                  </w:r>
                </w:p>
              </w:tc>
            </w:tr>
            <w:tr w14:paraId="74F8B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96" w:type="dxa"/>
                  <w:vMerge w:val="continue"/>
                  <w:tcBorders>
                    <w:top w:val="nil"/>
                    <w:bottom w:val="nil"/>
                  </w:tcBorders>
                  <w:textDirection w:val="tbRlV"/>
                  <w:vAlign w:val="top"/>
                </w:tcPr>
                <w:p w14:paraId="023B8BD4">
                  <w:pPr>
                    <w:rPr>
                      <w:rFonts w:ascii="Arial"/>
                      <w:sz w:val="21"/>
                    </w:rPr>
                  </w:pPr>
                </w:p>
              </w:tc>
              <w:tc>
                <w:tcPr>
                  <w:tcW w:w="1090" w:type="dxa"/>
                  <w:vMerge w:val="continue"/>
                  <w:tcBorders>
                    <w:top w:val="nil"/>
                  </w:tcBorders>
                  <w:vAlign w:val="top"/>
                </w:tcPr>
                <w:p w14:paraId="45FD6B67">
                  <w:pPr>
                    <w:rPr>
                      <w:rFonts w:ascii="Arial"/>
                      <w:sz w:val="21"/>
                    </w:rPr>
                  </w:pPr>
                </w:p>
              </w:tc>
              <w:tc>
                <w:tcPr>
                  <w:tcW w:w="1292" w:type="dxa"/>
                  <w:vAlign w:val="top"/>
                </w:tcPr>
                <w:p w14:paraId="00F3FEC1">
                  <w:pPr>
                    <w:pStyle w:val="6"/>
                    <w:spacing w:before="36" w:line="213" w:lineRule="auto"/>
                    <w:ind w:left="336"/>
                  </w:pPr>
                  <w:r>
                    <w:rPr>
                      <w:spacing w:val="6"/>
                    </w:rPr>
                    <w:t>牵张场</w:t>
                  </w:r>
                </w:p>
              </w:tc>
              <w:tc>
                <w:tcPr>
                  <w:tcW w:w="1203" w:type="dxa"/>
                  <w:vAlign w:val="top"/>
                </w:tcPr>
                <w:p w14:paraId="7D07BACA">
                  <w:pPr>
                    <w:pStyle w:val="6"/>
                    <w:spacing w:before="36" w:line="213" w:lineRule="auto"/>
                    <w:ind w:left="424"/>
                  </w:pPr>
                  <w:r>
                    <w:rPr>
                      <w:rFonts w:ascii="Times New Roman" w:hAnsi="Times New Roman" w:eastAsia="Times New Roman" w:cs="Times New Roman"/>
                      <w:spacing w:val="-3"/>
                    </w:rPr>
                    <w:t>5</w:t>
                  </w:r>
                  <w:r>
                    <w:rPr>
                      <w:rFonts w:ascii="Times New Roman" w:hAnsi="Times New Roman" w:eastAsia="Times New Roman" w:cs="Times New Roman"/>
                      <w:spacing w:val="16"/>
                    </w:rPr>
                    <w:t xml:space="preserve"> </w:t>
                  </w:r>
                  <w:r>
                    <w:rPr>
                      <w:spacing w:val="-3"/>
                    </w:rPr>
                    <w:t>处</w:t>
                  </w:r>
                </w:p>
              </w:tc>
              <w:tc>
                <w:tcPr>
                  <w:tcW w:w="1047" w:type="dxa"/>
                  <w:vAlign w:val="top"/>
                </w:tcPr>
                <w:p w14:paraId="5E5053B9">
                  <w:pPr>
                    <w:spacing w:before="71" w:line="195" w:lineRule="auto"/>
                    <w:ind w:left="3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822" w:type="dxa"/>
                  <w:vAlign w:val="top"/>
                </w:tcPr>
                <w:p w14:paraId="31E13826">
                  <w:pPr>
                    <w:spacing w:before="67" w:line="199" w:lineRule="auto"/>
                    <w:ind w:left="4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91" w:type="dxa"/>
                  <w:vAlign w:val="top"/>
                </w:tcPr>
                <w:p w14:paraId="17A98FB5">
                  <w:pPr>
                    <w:spacing w:before="71" w:line="195" w:lineRule="auto"/>
                    <w:ind w:left="2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4"/>
                      <w:sz w:val="20"/>
                      <w:szCs w:val="20"/>
                    </w:rPr>
                    <w:t>12</w:t>
                  </w:r>
                </w:p>
              </w:tc>
              <w:tc>
                <w:tcPr>
                  <w:tcW w:w="1187" w:type="dxa"/>
                  <w:vAlign w:val="top"/>
                </w:tcPr>
                <w:p w14:paraId="19542816">
                  <w:pPr>
                    <w:spacing w:before="71" w:line="195" w:lineRule="auto"/>
                    <w:ind w:left="4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0.15</w:t>
                  </w:r>
                </w:p>
              </w:tc>
            </w:tr>
            <w:tr w14:paraId="33901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96" w:type="dxa"/>
                  <w:vMerge w:val="continue"/>
                  <w:tcBorders>
                    <w:top w:val="nil"/>
                  </w:tcBorders>
                  <w:textDirection w:val="tbRlV"/>
                  <w:vAlign w:val="top"/>
                </w:tcPr>
                <w:p w14:paraId="710D16FA">
                  <w:pPr>
                    <w:rPr>
                      <w:rFonts w:ascii="Arial"/>
                      <w:sz w:val="21"/>
                    </w:rPr>
                  </w:pPr>
                </w:p>
              </w:tc>
              <w:tc>
                <w:tcPr>
                  <w:tcW w:w="3585" w:type="dxa"/>
                  <w:gridSpan w:val="3"/>
                  <w:vAlign w:val="top"/>
                </w:tcPr>
                <w:p w14:paraId="1B9C821A">
                  <w:pPr>
                    <w:pStyle w:val="6"/>
                    <w:spacing w:before="37" w:line="212" w:lineRule="auto"/>
                    <w:ind w:left="1593"/>
                  </w:pPr>
                  <w:r>
                    <w:rPr>
                      <w:spacing w:val="2"/>
                    </w:rPr>
                    <w:t>小计</w:t>
                  </w:r>
                </w:p>
              </w:tc>
              <w:tc>
                <w:tcPr>
                  <w:tcW w:w="1047" w:type="dxa"/>
                  <w:vAlign w:val="top"/>
                </w:tcPr>
                <w:p w14:paraId="39E6FE08">
                  <w:pPr>
                    <w:spacing w:before="72" w:line="195" w:lineRule="auto"/>
                    <w:ind w:left="3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0.18</w:t>
                  </w:r>
                </w:p>
              </w:tc>
              <w:tc>
                <w:tcPr>
                  <w:tcW w:w="822" w:type="dxa"/>
                  <w:vAlign w:val="top"/>
                </w:tcPr>
                <w:p w14:paraId="60BBA54E">
                  <w:pPr>
                    <w:spacing w:before="72" w:line="195" w:lineRule="auto"/>
                    <w:ind w:left="2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w:t>
                  </w:r>
                </w:p>
              </w:tc>
              <w:tc>
                <w:tcPr>
                  <w:tcW w:w="891" w:type="dxa"/>
                  <w:vAlign w:val="top"/>
                </w:tcPr>
                <w:p w14:paraId="47D72F00">
                  <w:pPr>
                    <w:spacing w:before="72"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0.345</w:t>
                  </w:r>
                </w:p>
              </w:tc>
              <w:tc>
                <w:tcPr>
                  <w:tcW w:w="1187" w:type="dxa"/>
                  <w:vAlign w:val="top"/>
                </w:tcPr>
                <w:p w14:paraId="0B5ACB58">
                  <w:pPr>
                    <w:spacing w:before="72" w:line="195" w:lineRule="auto"/>
                    <w:ind w:left="36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0.515</w:t>
                  </w:r>
                </w:p>
              </w:tc>
            </w:tr>
            <w:tr w14:paraId="581D1D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981" w:type="dxa"/>
                  <w:gridSpan w:val="4"/>
                  <w:vAlign w:val="top"/>
                </w:tcPr>
                <w:p w14:paraId="104DE0E1">
                  <w:pPr>
                    <w:pStyle w:val="6"/>
                    <w:spacing w:before="35" w:line="218" w:lineRule="auto"/>
                    <w:ind w:left="1098"/>
                  </w:pPr>
                  <w:r>
                    <w:rPr>
                      <w:spacing w:val="7"/>
                    </w:rPr>
                    <w:t>总占地面积（</w:t>
                  </w:r>
                  <w:r>
                    <w:rPr>
                      <w:rFonts w:ascii="Times New Roman" w:hAnsi="Times New Roman" w:eastAsia="Times New Roman" w:cs="Times New Roman"/>
                    </w:rPr>
                    <w:t>hm</w:t>
                  </w:r>
                  <w:r>
                    <w:rPr>
                      <w:rFonts w:ascii="Times New Roman" w:hAnsi="Times New Roman" w:eastAsia="Times New Roman" w:cs="Times New Roman"/>
                      <w:spacing w:val="7"/>
                      <w:sz w:val="13"/>
                      <w:szCs w:val="13"/>
                    </w:rPr>
                    <w:t>2</w:t>
                  </w:r>
                  <w:r>
                    <w:rPr>
                      <w:spacing w:val="7"/>
                    </w:rPr>
                    <w:t>）</w:t>
                  </w:r>
                </w:p>
              </w:tc>
              <w:tc>
                <w:tcPr>
                  <w:tcW w:w="3947" w:type="dxa"/>
                  <w:gridSpan w:val="4"/>
                  <w:vAlign w:val="top"/>
                </w:tcPr>
                <w:p w14:paraId="44C1FC6B">
                  <w:pPr>
                    <w:spacing w:before="57" w:line="195" w:lineRule="auto"/>
                    <w:ind w:left="175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1.962</w:t>
                  </w:r>
                </w:p>
              </w:tc>
            </w:tr>
          </w:tbl>
          <w:p w14:paraId="1A4EEE3C">
            <w:pPr>
              <w:pStyle w:val="6"/>
              <w:spacing w:before="35" w:line="219" w:lineRule="auto"/>
              <w:ind w:left="594"/>
              <w:rPr>
                <w:sz w:val="24"/>
                <w:szCs w:val="24"/>
              </w:rPr>
            </w:pPr>
            <w:r>
              <w:rPr>
                <w:b/>
                <w:bCs/>
                <w:spacing w:val="-4"/>
                <w:sz w:val="24"/>
                <w:szCs w:val="24"/>
              </w:rPr>
              <w:t>（</w:t>
            </w:r>
            <w:r>
              <w:rPr>
                <w:rFonts w:ascii="Times New Roman" w:hAnsi="Times New Roman" w:eastAsia="Times New Roman" w:cs="Times New Roman"/>
                <w:b/>
                <w:bCs/>
                <w:spacing w:val="-4"/>
                <w:sz w:val="24"/>
                <w:szCs w:val="24"/>
              </w:rPr>
              <w:t>2</w:t>
            </w:r>
            <w:r>
              <w:rPr>
                <w:b/>
                <w:bCs/>
                <w:spacing w:val="-4"/>
                <w:sz w:val="24"/>
                <w:szCs w:val="24"/>
              </w:rPr>
              <w:t>）涉及占用基本农田情况</w:t>
            </w:r>
          </w:p>
          <w:p w14:paraId="2DBDA1EE">
            <w:pPr>
              <w:pStyle w:val="6"/>
              <w:spacing w:before="179" w:line="360" w:lineRule="auto"/>
              <w:ind w:left="102" w:right="23" w:firstLine="481"/>
              <w:jc w:val="both"/>
              <w:rPr>
                <w:sz w:val="24"/>
                <w:szCs w:val="24"/>
              </w:rPr>
            </w:pPr>
            <w:r>
              <w:rPr>
                <w:spacing w:val="-2"/>
                <w:sz w:val="24"/>
                <w:szCs w:val="24"/>
              </w:rPr>
              <w:t>本工程</w:t>
            </w:r>
            <w:r>
              <w:rPr>
                <w:spacing w:val="-28"/>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松山变电站不涉及占用永久基本农田；</w:t>
            </w:r>
            <w:r>
              <w:rPr>
                <w:rFonts w:ascii="Times New Roman" w:hAnsi="Times New Roman" w:eastAsia="Times New Roman" w:cs="Times New Roman"/>
                <w:spacing w:val="-2"/>
                <w:sz w:val="24"/>
                <w:szCs w:val="24"/>
              </w:rPr>
              <w:t xml:space="preserve">110kV </w:t>
            </w:r>
            <w:r>
              <w:rPr>
                <w:spacing w:val="-2"/>
                <w:sz w:val="24"/>
                <w:szCs w:val="24"/>
              </w:rPr>
              <w:t>线路塔基涉</w:t>
            </w:r>
            <w:r>
              <w:rPr>
                <w:spacing w:val="-1"/>
                <w:sz w:val="24"/>
                <w:szCs w:val="24"/>
              </w:rPr>
              <w:t>及</w:t>
            </w:r>
            <w:r>
              <w:rPr>
                <w:spacing w:val="-35"/>
                <w:sz w:val="24"/>
                <w:szCs w:val="24"/>
              </w:rPr>
              <w:t xml:space="preserve"> </w:t>
            </w:r>
            <w:r>
              <w:rPr>
                <w:rFonts w:ascii="Times New Roman" w:hAnsi="Times New Roman" w:eastAsia="Times New Roman" w:cs="Times New Roman"/>
                <w:spacing w:val="-1"/>
                <w:sz w:val="24"/>
                <w:szCs w:val="24"/>
              </w:rPr>
              <w:t xml:space="preserve">9 </w:t>
            </w:r>
            <w:r>
              <w:rPr>
                <w:spacing w:val="-1"/>
                <w:sz w:val="24"/>
                <w:szCs w:val="24"/>
              </w:rPr>
              <w:t>基塔永久占用永久基本农田，</w:t>
            </w:r>
            <w:r>
              <w:rPr>
                <w:rFonts w:ascii="Times New Roman" w:hAnsi="Times New Roman" w:eastAsia="Times New Roman" w:cs="Times New Roman"/>
                <w:spacing w:val="-1"/>
                <w:sz w:val="24"/>
                <w:szCs w:val="24"/>
              </w:rPr>
              <w:t xml:space="preserve">9 </w:t>
            </w:r>
            <w:r>
              <w:rPr>
                <w:spacing w:val="-1"/>
                <w:sz w:val="24"/>
                <w:szCs w:val="24"/>
              </w:rPr>
              <w:t>基铁塔施工临时占地涉及占用永久基本</w:t>
            </w:r>
            <w:r>
              <w:rPr>
                <w:spacing w:val="-8"/>
                <w:sz w:val="24"/>
                <w:szCs w:val="24"/>
              </w:rPr>
              <w:t>农田。占用基本农田总面积为</w:t>
            </w:r>
            <w:r>
              <w:rPr>
                <w:spacing w:val="-20"/>
                <w:sz w:val="24"/>
                <w:szCs w:val="24"/>
              </w:rPr>
              <w:t xml:space="preserve"> </w:t>
            </w:r>
            <w:r>
              <w:rPr>
                <w:rFonts w:ascii="Times New Roman" w:hAnsi="Times New Roman" w:eastAsia="Times New Roman" w:cs="Times New Roman"/>
                <w:spacing w:val="-8"/>
                <w:sz w:val="24"/>
                <w:szCs w:val="24"/>
              </w:rPr>
              <w:t>1218</w:t>
            </w:r>
            <w:r>
              <w:rPr>
                <w:rFonts w:ascii="Times New Roman" w:hAnsi="Times New Roman" w:eastAsia="Times New Roman" w:cs="Times New Roman"/>
                <w:spacing w:val="-8"/>
              </w:rPr>
              <w:t>m</w:t>
            </w:r>
            <w:r>
              <w:rPr>
                <w:rFonts w:ascii="Times New Roman" w:hAnsi="Times New Roman" w:eastAsia="Times New Roman" w:cs="Times New Roman"/>
                <w:spacing w:val="-8"/>
                <w:position w:val="6"/>
                <w:sz w:val="13"/>
                <w:szCs w:val="13"/>
              </w:rPr>
              <w:t>2</w:t>
            </w:r>
            <w:r>
              <w:rPr>
                <w:spacing w:val="-8"/>
                <w:sz w:val="24"/>
                <w:szCs w:val="24"/>
              </w:rPr>
              <w:t>，其中永久占用</w:t>
            </w:r>
            <w:r>
              <w:rPr>
                <w:spacing w:val="-50"/>
                <w:sz w:val="24"/>
                <w:szCs w:val="24"/>
              </w:rPr>
              <w:t xml:space="preserve"> </w:t>
            </w:r>
            <w:r>
              <w:rPr>
                <w:rFonts w:ascii="Times New Roman" w:hAnsi="Times New Roman" w:eastAsia="Times New Roman" w:cs="Times New Roman"/>
                <w:spacing w:val="-8"/>
                <w:sz w:val="24"/>
                <w:szCs w:val="24"/>
              </w:rPr>
              <w:t>678</w:t>
            </w:r>
            <w:r>
              <w:rPr>
                <w:rFonts w:ascii="Times New Roman" w:hAnsi="Times New Roman" w:eastAsia="Times New Roman" w:cs="Times New Roman"/>
                <w:spacing w:val="-8"/>
              </w:rPr>
              <w:t>m</w:t>
            </w:r>
            <w:r>
              <w:rPr>
                <w:rFonts w:ascii="Times New Roman" w:hAnsi="Times New Roman" w:eastAsia="Times New Roman" w:cs="Times New Roman"/>
                <w:spacing w:val="-8"/>
                <w:position w:val="6"/>
                <w:sz w:val="13"/>
                <w:szCs w:val="13"/>
              </w:rPr>
              <w:t>2</w:t>
            </w:r>
            <w:r>
              <w:rPr>
                <w:spacing w:val="-8"/>
                <w:sz w:val="24"/>
                <w:szCs w:val="24"/>
              </w:rPr>
              <w:t>，临时占用</w:t>
            </w:r>
            <w:r>
              <w:rPr>
                <w:spacing w:val="-49"/>
                <w:sz w:val="24"/>
                <w:szCs w:val="24"/>
              </w:rPr>
              <w:t xml:space="preserve"> </w:t>
            </w:r>
            <w:r>
              <w:rPr>
                <w:rFonts w:ascii="Times New Roman" w:hAnsi="Times New Roman" w:eastAsia="Times New Roman" w:cs="Times New Roman"/>
                <w:spacing w:val="-8"/>
                <w:sz w:val="24"/>
                <w:szCs w:val="24"/>
              </w:rPr>
              <w:t>540</w:t>
            </w:r>
            <w:r>
              <w:rPr>
                <w:rFonts w:ascii="Times New Roman" w:hAnsi="Times New Roman" w:eastAsia="Times New Roman" w:cs="Times New Roman"/>
                <w:spacing w:val="-8"/>
              </w:rPr>
              <w:t>m</w:t>
            </w:r>
            <w:r>
              <w:rPr>
                <w:rFonts w:ascii="Times New Roman" w:hAnsi="Times New Roman" w:eastAsia="Times New Roman" w:cs="Times New Roman"/>
                <w:spacing w:val="-8"/>
                <w:position w:val="6"/>
                <w:sz w:val="13"/>
                <w:szCs w:val="13"/>
              </w:rPr>
              <w:t>2</w:t>
            </w:r>
            <w:r>
              <w:rPr>
                <w:spacing w:val="-8"/>
                <w:sz w:val="24"/>
                <w:szCs w:val="24"/>
              </w:rPr>
              <w:t>。</w:t>
            </w:r>
            <w:r>
              <w:rPr>
                <w:spacing w:val="-2"/>
                <w:sz w:val="24"/>
                <w:szCs w:val="24"/>
              </w:rPr>
              <w:t>具体情况如下：</w:t>
            </w:r>
          </w:p>
          <w:p w14:paraId="249068E2">
            <w:pPr>
              <w:pStyle w:val="6"/>
              <w:spacing w:before="1" w:line="210" w:lineRule="auto"/>
              <w:ind w:left="582"/>
              <w:rPr>
                <w:sz w:val="24"/>
                <w:szCs w:val="24"/>
              </w:rPr>
            </w:pPr>
            <w:r>
              <w:rPr>
                <w:b/>
                <w:bCs/>
                <w:spacing w:val="-2"/>
                <w:sz w:val="24"/>
                <w:szCs w:val="24"/>
              </w:rPr>
              <w:t>表</w:t>
            </w:r>
            <w:r>
              <w:rPr>
                <w:spacing w:val="-54"/>
                <w:sz w:val="24"/>
                <w:szCs w:val="24"/>
              </w:rPr>
              <w:t xml:space="preserve"> </w:t>
            </w:r>
            <w:r>
              <w:rPr>
                <w:rFonts w:ascii="Times New Roman" w:hAnsi="Times New Roman" w:eastAsia="Times New Roman" w:cs="Times New Roman"/>
                <w:b/>
                <w:bCs/>
                <w:spacing w:val="-2"/>
                <w:sz w:val="24"/>
                <w:szCs w:val="24"/>
              </w:rPr>
              <w:t>2-</w:t>
            </w:r>
            <w:r>
              <w:rPr>
                <w:rFonts w:ascii="Times New Roman" w:hAnsi="Times New Roman" w:eastAsia="Times New Roman" w:cs="Times New Roman"/>
                <w:b/>
                <w:bCs/>
                <w:spacing w:val="-12"/>
                <w:sz w:val="24"/>
                <w:szCs w:val="24"/>
              </w:rPr>
              <w:t xml:space="preserve"> </w:t>
            </w:r>
            <w:r>
              <w:rPr>
                <w:rFonts w:ascii="Times New Roman" w:hAnsi="Times New Roman" w:eastAsia="Times New Roman" w:cs="Times New Roman"/>
                <w:b/>
                <w:bCs/>
                <w:spacing w:val="-2"/>
                <w:sz w:val="24"/>
                <w:szCs w:val="24"/>
              </w:rPr>
              <w:t xml:space="preserve">8    </w:t>
            </w:r>
            <w:r>
              <w:rPr>
                <w:b/>
                <w:bCs/>
                <w:spacing w:val="-2"/>
                <w:sz w:val="24"/>
                <w:szCs w:val="24"/>
              </w:rPr>
              <w:t>工程占用公益林、基本农田和生态保护红线占地面积统计表</w:t>
            </w:r>
          </w:p>
          <w:tbl>
            <w:tblPr>
              <w:tblStyle w:val="5"/>
              <w:tblW w:w="7941" w:type="dxa"/>
              <w:tblInd w:w="9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80"/>
              <w:gridCol w:w="950"/>
              <w:gridCol w:w="1531"/>
              <w:gridCol w:w="1597"/>
              <w:gridCol w:w="1433"/>
              <w:gridCol w:w="950"/>
            </w:tblGrid>
            <w:tr w14:paraId="2F2D5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1" w:hRule="atLeast"/>
              </w:trPr>
              <w:tc>
                <w:tcPr>
                  <w:tcW w:w="1480" w:type="dxa"/>
                  <w:vAlign w:val="top"/>
                </w:tcPr>
                <w:p w14:paraId="463730E6">
                  <w:pPr>
                    <w:pStyle w:val="6"/>
                    <w:spacing w:before="280" w:line="228" w:lineRule="auto"/>
                    <w:ind w:left="536"/>
                  </w:pPr>
                  <w:r>
                    <w:rPr>
                      <w:b/>
                      <w:bCs/>
                      <w:spacing w:val="2"/>
                    </w:rPr>
                    <w:t>分项</w:t>
                  </w:r>
                </w:p>
              </w:tc>
              <w:tc>
                <w:tcPr>
                  <w:tcW w:w="950" w:type="dxa"/>
                  <w:vAlign w:val="top"/>
                </w:tcPr>
                <w:p w14:paraId="2B14FE4C">
                  <w:pPr>
                    <w:pStyle w:val="6"/>
                    <w:spacing w:before="143" w:line="255" w:lineRule="auto"/>
                    <w:ind w:left="172" w:right="159" w:hanging="10"/>
                  </w:pPr>
                  <w:r>
                    <w:rPr>
                      <w:b/>
                      <w:bCs/>
                      <w:spacing w:val="5"/>
                    </w:rPr>
                    <w:t>塔基数</w:t>
                  </w:r>
                  <w:r>
                    <w:rPr>
                      <w:b/>
                      <w:bCs/>
                      <w:spacing w:val="-2"/>
                    </w:rPr>
                    <w:t>（基）</w:t>
                  </w:r>
                </w:p>
              </w:tc>
              <w:tc>
                <w:tcPr>
                  <w:tcW w:w="1531" w:type="dxa"/>
                  <w:vAlign w:val="top"/>
                </w:tcPr>
                <w:p w14:paraId="140E2B05">
                  <w:pPr>
                    <w:pStyle w:val="6"/>
                    <w:spacing w:before="143" w:line="228" w:lineRule="auto"/>
                    <w:ind w:left="140"/>
                  </w:pPr>
                  <w:r>
                    <w:rPr>
                      <w:b/>
                      <w:bCs/>
                      <w:spacing w:val="6"/>
                    </w:rPr>
                    <w:t>永久占地面积</w:t>
                  </w:r>
                </w:p>
                <w:p w14:paraId="10E5FD67">
                  <w:pPr>
                    <w:pStyle w:val="6"/>
                    <w:spacing w:before="23"/>
                    <w:ind w:left="449"/>
                  </w:pPr>
                  <w:r>
                    <w:rPr>
                      <w:b/>
                      <w:bCs/>
                      <w:spacing w:val="-1"/>
                    </w:rPr>
                    <w:t>（</w:t>
                  </w:r>
                  <w:r>
                    <w:rPr>
                      <w:rFonts w:ascii="Times New Roman" w:hAnsi="Times New Roman" w:eastAsia="Times New Roman" w:cs="Times New Roman"/>
                      <w:b/>
                      <w:bCs/>
                      <w:spacing w:val="-1"/>
                    </w:rPr>
                    <w:t>m</w:t>
                  </w:r>
                  <w:r>
                    <w:rPr>
                      <w:rFonts w:ascii="Times New Roman" w:hAnsi="Times New Roman" w:eastAsia="Times New Roman" w:cs="Times New Roman"/>
                      <w:b/>
                      <w:bCs/>
                      <w:spacing w:val="-1"/>
                      <w:sz w:val="13"/>
                      <w:szCs w:val="13"/>
                    </w:rPr>
                    <w:t>2</w:t>
                  </w:r>
                  <w:r>
                    <w:rPr>
                      <w:b/>
                      <w:bCs/>
                      <w:spacing w:val="-1"/>
                    </w:rPr>
                    <w:t>）</w:t>
                  </w:r>
                </w:p>
              </w:tc>
              <w:tc>
                <w:tcPr>
                  <w:tcW w:w="1597" w:type="dxa"/>
                  <w:vAlign w:val="top"/>
                </w:tcPr>
                <w:p w14:paraId="53B75EFF">
                  <w:pPr>
                    <w:pStyle w:val="6"/>
                    <w:spacing w:before="143" w:line="228" w:lineRule="auto"/>
                    <w:ind w:left="184"/>
                  </w:pPr>
                  <w:r>
                    <w:rPr>
                      <w:b/>
                      <w:bCs/>
                      <w:spacing w:val="5"/>
                    </w:rPr>
                    <w:t>临时占地面积</w:t>
                  </w:r>
                </w:p>
                <w:p w14:paraId="1CDEEA00">
                  <w:pPr>
                    <w:pStyle w:val="6"/>
                    <w:spacing w:before="24"/>
                    <w:ind w:left="482"/>
                  </w:pPr>
                  <w:r>
                    <w:rPr>
                      <w:b/>
                      <w:bCs/>
                      <w:spacing w:val="-1"/>
                    </w:rPr>
                    <w:t>（</w:t>
                  </w:r>
                  <w:r>
                    <w:rPr>
                      <w:rFonts w:ascii="Times New Roman" w:hAnsi="Times New Roman" w:eastAsia="Times New Roman" w:cs="Times New Roman"/>
                      <w:b/>
                      <w:bCs/>
                      <w:spacing w:val="-1"/>
                    </w:rPr>
                    <w:t>m</w:t>
                  </w:r>
                  <w:r>
                    <w:rPr>
                      <w:rFonts w:ascii="Times New Roman" w:hAnsi="Times New Roman" w:eastAsia="Times New Roman" w:cs="Times New Roman"/>
                      <w:b/>
                      <w:bCs/>
                      <w:spacing w:val="-1"/>
                      <w:sz w:val="13"/>
                      <w:szCs w:val="13"/>
                    </w:rPr>
                    <w:t>2</w:t>
                  </w:r>
                  <w:r>
                    <w:rPr>
                      <w:b/>
                      <w:bCs/>
                      <w:spacing w:val="-1"/>
                    </w:rPr>
                    <w:t>）</w:t>
                  </w:r>
                </w:p>
              </w:tc>
              <w:tc>
                <w:tcPr>
                  <w:tcW w:w="1433" w:type="dxa"/>
                  <w:vAlign w:val="top"/>
                </w:tcPr>
                <w:p w14:paraId="42F15294">
                  <w:pPr>
                    <w:pStyle w:val="6"/>
                    <w:spacing w:before="143" w:line="258" w:lineRule="auto"/>
                    <w:ind w:left="201" w:right="189"/>
                    <w:jc w:val="right"/>
                  </w:pPr>
                  <w:r>
                    <w:rPr>
                      <w:b/>
                      <w:bCs/>
                      <w:spacing w:val="5"/>
                    </w:rPr>
                    <w:t>总占地面积</w:t>
                  </w:r>
                  <w:r>
                    <w:rPr>
                      <w:b/>
                      <w:bCs/>
                    </w:rPr>
                    <w:t>（</w:t>
                  </w:r>
                  <w:r>
                    <w:rPr>
                      <w:rFonts w:ascii="Times New Roman" w:hAnsi="Times New Roman" w:eastAsia="Times New Roman" w:cs="Times New Roman"/>
                      <w:b/>
                      <w:bCs/>
                    </w:rPr>
                    <w:t>m</w:t>
                  </w:r>
                  <w:r>
                    <w:rPr>
                      <w:rFonts w:ascii="Times New Roman" w:hAnsi="Times New Roman" w:eastAsia="Times New Roman" w:cs="Times New Roman"/>
                      <w:b/>
                      <w:bCs/>
                      <w:sz w:val="13"/>
                      <w:szCs w:val="13"/>
                    </w:rPr>
                    <w:t>2</w:t>
                  </w:r>
                  <w:r>
                    <w:rPr>
                      <w:b/>
                      <w:bCs/>
                    </w:rPr>
                    <w:t>）</w:t>
                  </w:r>
                </w:p>
              </w:tc>
              <w:tc>
                <w:tcPr>
                  <w:tcW w:w="950" w:type="dxa"/>
                  <w:vAlign w:val="top"/>
                </w:tcPr>
                <w:p w14:paraId="51661458">
                  <w:pPr>
                    <w:pStyle w:val="6"/>
                    <w:spacing w:before="280" w:line="229" w:lineRule="auto"/>
                    <w:ind w:left="272"/>
                  </w:pPr>
                  <w:r>
                    <w:rPr>
                      <w:b/>
                      <w:bCs/>
                      <w:spacing w:val="2"/>
                    </w:rPr>
                    <w:t>备注</w:t>
                  </w:r>
                </w:p>
              </w:tc>
            </w:tr>
            <w:tr w14:paraId="72615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480" w:type="dxa"/>
                  <w:vAlign w:val="top"/>
                </w:tcPr>
                <w:p w14:paraId="6593C0C7">
                  <w:pPr>
                    <w:pStyle w:val="6"/>
                    <w:spacing w:before="71" w:line="227" w:lineRule="auto"/>
                    <w:ind w:left="117"/>
                  </w:pPr>
                  <w:r>
                    <w:rPr>
                      <w:spacing w:val="7"/>
                    </w:rPr>
                    <w:t>永久基本农田</w:t>
                  </w:r>
                </w:p>
              </w:tc>
              <w:tc>
                <w:tcPr>
                  <w:tcW w:w="950" w:type="dxa"/>
                  <w:vAlign w:val="top"/>
                </w:tcPr>
                <w:p w14:paraId="382B473C">
                  <w:pPr>
                    <w:spacing w:before="107" w:line="195" w:lineRule="auto"/>
                    <w:ind w:left="426"/>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531" w:type="dxa"/>
                  <w:vAlign w:val="top"/>
                </w:tcPr>
                <w:p w14:paraId="14E4B7AA">
                  <w:pPr>
                    <w:spacing w:before="107" w:line="195" w:lineRule="auto"/>
                    <w:ind w:left="6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678</w:t>
                  </w:r>
                </w:p>
              </w:tc>
              <w:tc>
                <w:tcPr>
                  <w:tcW w:w="1597" w:type="dxa"/>
                  <w:vAlign w:val="top"/>
                </w:tcPr>
                <w:p w14:paraId="601C1F5C">
                  <w:pPr>
                    <w:spacing w:before="107" w:line="195" w:lineRule="auto"/>
                    <w:ind w:left="64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540</w:t>
                  </w:r>
                </w:p>
              </w:tc>
              <w:tc>
                <w:tcPr>
                  <w:tcW w:w="1433" w:type="dxa"/>
                  <w:vAlign w:val="top"/>
                </w:tcPr>
                <w:p w14:paraId="53C89354">
                  <w:pPr>
                    <w:spacing w:before="107" w:line="195" w:lineRule="auto"/>
                    <w:ind w:left="53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1218</w:t>
                  </w:r>
                </w:p>
              </w:tc>
              <w:tc>
                <w:tcPr>
                  <w:tcW w:w="950" w:type="dxa"/>
                  <w:vAlign w:val="top"/>
                </w:tcPr>
                <w:p w14:paraId="53436A14">
                  <w:pPr>
                    <w:spacing w:before="196" w:line="96" w:lineRule="exact"/>
                    <w:ind w:left="260"/>
                    <w:rPr>
                      <w:rFonts w:ascii="Times New Roman" w:hAnsi="Times New Roman" w:eastAsia="Times New Roman" w:cs="Times New Roman"/>
                      <w:sz w:val="20"/>
                      <w:szCs w:val="20"/>
                    </w:rPr>
                  </w:pPr>
                  <w:r>
                    <w:rPr>
                      <w:rFonts w:ascii="Times New Roman" w:hAnsi="Times New Roman" w:eastAsia="Times New Roman" w:cs="Times New Roman"/>
                      <w:spacing w:val="10"/>
                      <w:position w:val="-2"/>
                      <w:sz w:val="20"/>
                      <w:szCs w:val="20"/>
                    </w:rPr>
                    <w:t>——</w:t>
                  </w:r>
                </w:p>
              </w:tc>
            </w:tr>
          </w:tbl>
          <w:p w14:paraId="0986CB07">
            <w:pPr>
              <w:pStyle w:val="6"/>
              <w:spacing w:before="37" w:line="220" w:lineRule="auto"/>
              <w:ind w:left="106"/>
              <w:rPr>
                <w:sz w:val="24"/>
                <w:szCs w:val="24"/>
              </w:rPr>
            </w:pPr>
            <w:r>
              <w:rPr>
                <w:b/>
                <w:bCs/>
                <w:spacing w:val="-4"/>
                <w:sz w:val="24"/>
                <w:szCs w:val="24"/>
              </w:rPr>
              <w:t>五、工程土石方</w:t>
            </w:r>
          </w:p>
        </w:tc>
      </w:tr>
    </w:tbl>
    <w:p w14:paraId="12E80951">
      <w:pPr>
        <w:rPr>
          <w:rFonts w:ascii="Arial"/>
          <w:sz w:val="21"/>
        </w:rPr>
      </w:pPr>
    </w:p>
    <w:p w14:paraId="30883BBD">
      <w:pPr>
        <w:rPr>
          <w:rFonts w:ascii="Arial" w:hAnsi="Arial" w:eastAsia="Arial" w:cs="Arial"/>
          <w:sz w:val="21"/>
          <w:szCs w:val="21"/>
        </w:rPr>
        <w:sectPr>
          <w:footerReference r:id="rId49" w:type="default"/>
          <w:pgSz w:w="11907" w:h="16840"/>
          <w:pgMar w:top="400" w:right="1684" w:bottom="1240" w:left="1683" w:header="0" w:footer="1077" w:gutter="0"/>
          <w:cols w:space="720" w:num="1"/>
        </w:sectPr>
      </w:pPr>
    </w:p>
    <w:p w14:paraId="582A7073">
      <w:pPr>
        <w:spacing w:before="19"/>
      </w:pPr>
    </w:p>
    <w:p w14:paraId="43B10041">
      <w:pPr>
        <w:spacing w:before="19"/>
      </w:pPr>
    </w:p>
    <w:p w14:paraId="04D68A8D">
      <w:pPr>
        <w:spacing w:before="18"/>
      </w:pPr>
    </w:p>
    <w:p w14:paraId="18325DD2">
      <w:pPr>
        <w:spacing w:before="18"/>
      </w:pPr>
    </w:p>
    <w:tbl>
      <w:tblPr>
        <w:tblStyle w:val="5"/>
        <w:tblW w:w="85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5"/>
        <w:gridCol w:w="8149"/>
      </w:tblGrid>
      <w:tr w14:paraId="54E47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21" w:hRule="atLeast"/>
        </w:trPr>
        <w:tc>
          <w:tcPr>
            <w:tcW w:w="375" w:type="dxa"/>
            <w:vAlign w:val="top"/>
          </w:tcPr>
          <w:p w14:paraId="40ADA913">
            <w:pPr>
              <w:rPr>
                <w:rFonts w:ascii="Arial"/>
                <w:sz w:val="21"/>
              </w:rPr>
            </w:pPr>
          </w:p>
        </w:tc>
        <w:tc>
          <w:tcPr>
            <w:tcW w:w="8149" w:type="dxa"/>
            <w:vAlign w:val="top"/>
          </w:tcPr>
          <w:p w14:paraId="71DADCD0">
            <w:pPr>
              <w:pStyle w:val="6"/>
              <w:spacing w:before="41" w:line="358" w:lineRule="auto"/>
              <w:ind w:left="105" w:right="112" w:firstLine="478"/>
              <w:rPr>
                <w:sz w:val="24"/>
                <w:szCs w:val="24"/>
              </w:rPr>
            </w:pPr>
            <w:r>
              <w:rPr>
                <w:spacing w:val="-1"/>
                <w:sz w:val="24"/>
                <w:szCs w:val="24"/>
              </w:rPr>
              <w:t>根据《</w:t>
            </w:r>
            <w:r>
              <w:rPr>
                <w:rFonts w:ascii="Times New Roman" w:hAnsi="Times New Roman" w:eastAsia="Times New Roman" w:cs="Times New Roman"/>
                <w:spacing w:val="-1"/>
                <w:sz w:val="24"/>
                <w:szCs w:val="24"/>
              </w:rPr>
              <w:t>110kV</w:t>
            </w:r>
            <w:r>
              <w:rPr>
                <w:spacing w:val="-1"/>
                <w:sz w:val="24"/>
                <w:szCs w:val="24"/>
              </w:rPr>
              <w:t>松山输变电工程水土保持方案报告表》，本工程站址及线</w:t>
            </w:r>
            <w:r>
              <w:rPr>
                <w:spacing w:val="-3"/>
                <w:sz w:val="24"/>
                <w:szCs w:val="24"/>
              </w:rPr>
              <w:t>路塔基土石方开挖总量为</w:t>
            </w:r>
            <w:r>
              <w:rPr>
                <w:rFonts w:ascii="Times New Roman" w:hAnsi="Times New Roman" w:eastAsia="Times New Roman" w:cs="Times New Roman"/>
                <w:spacing w:val="-3"/>
                <w:sz w:val="24"/>
                <w:szCs w:val="24"/>
              </w:rPr>
              <w:t>15500m</w:t>
            </w:r>
            <w:r>
              <w:rPr>
                <w:rFonts w:ascii="Times New Roman" w:hAnsi="Times New Roman" w:eastAsia="Times New Roman" w:cs="Times New Roman"/>
                <w:spacing w:val="-3"/>
                <w:position w:val="7"/>
                <w:sz w:val="15"/>
                <w:szCs w:val="15"/>
              </w:rPr>
              <w:t>3</w:t>
            </w:r>
            <w:r>
              <w:rPr>
                <w:rFonts w:ascii="Times New Roman" w:hAnsi="Times New Roman" w:eastAsia="Times New Roman" w:cs="Times New Roman"/>
                <w:spacing w:val="4"/>
                <w:position w:val="7"/>
                <w:sz w:val="15"/>
                <w:szCs w:val="15"/>
              </w:rPr>
              <w:t xml:space="preserve"> </w:t>
            </w:r>
            <w:r>
              <w:rPr>
                <w:spacing w:val="-3"/>
                <w:sz w:val="24"/>
                <w:szCs w:val="24"/>
              </w:rPr>
              <w:t>，站址及塔基回填</w:t>
            </w:r>
            <w:r>
              <w:rPr>
                <w:rFonts w:ascii="Times New Roman" w:hAnsi="Times New Roman" w:eastAsia="Times New Roman" w:cs="Times New Roman"/>
                <w:spacing w:val="-3"/>
                <w:sz w:val="24"/>
                <w:szCs w:val="24"/>
              </w:rPr>
              <w:t>15500m</w:t>
            </w:r>
            <w:r>
              <w:rPr>
                <w:rFonts w:ascii="Times New Roman" w:hAnsi="Times New Roman" w:eastAsia="Times New Roman" w:cs="Times New Roman"/>
                <w:spacing w:val="-3"/>
                <w:position w:val="7"/>
                <w:sz w:val="15"/>
                <w:szCs w:val="15"/>
              </w:rPr>
              <w:t>3</w:t>
            </w:r>
            <w:r>
              <w:rPr>
                <w:rFonts w:ascii="Times New Roman" w:hAnsi="Times New Roman" w:eastAsia="Times New Roman" w:cs="Times New Roman"/>
                <w:spacing w:val="-7"/>
                <w:position w:val="7"/>
                <w:sz w:val="15"/>
                <w:szCs w:val="15"/>
              </w:rPr>
              <w:t xml:space="preserve"> </w:t>
            </w:r>
            <w:r>
              <w:rPr>
                <w:spacing w:val="-3"/>
                <w:sz w:val="24"/>
                <w:szCs w:val="24"/>
              </w:rPr>
              <w:t>，无弃土产生。</w:t>
            </w:r>
          </w:p>
          <w:p w14:paraId="0A7B8EA0">
            <w:pPr>
              <w:pStyle w:val="6"/>
              <w:spacing w:line="217" w:lineRule="auto"/>
              <w:ind w:left="582"/>
              <w:rPr>
                <w:sz w:val="24"/>
                <w:szCs w:val="24"/>
              </w:rPr>
            </w:pPr>
            <w:r>
              <w:rPr>
                <w:spacing w:val="-3"/>
                <w:sz w:val="24"/>
                <w:szCs w:val="24"/>
              </w:rPr>
              <w:t>①变电站</w:t>
            </w:r>
          </w:p>
          <w:p w14:paraId="2C04A137">
            <w:pPr>
              <w:pStyle w:val="6"/>
              <w:spacing w:before="187" w:line="359" w:lineRule="auto"/>
              <w:ind w:left="102" w:right="101" w:firstLine="481"/>
              <w:rPr>
                <w:sz w:val="24"/>
                <w:szCs w:val="24"/>
              </w:rPr>
            </w:pPr>
            <w:r>
              <w:rPr>
                <w:spacing w:val="-1"/>
                <w:sz w:val="24"/>
                <w:szCs w:val="24"/>
              </w:rPr>
              <w:t>本工程变电站共开挖土石方</w:t>
            </w:r>
            <w:r>
              <w:rPr>
                <w:spacing w:val="-25"/>
                <w:sz w:val="24"/>
                <w:szCs w:val="24"/>
              </w:rPr>
              <w:t xml:space="preserve"> </w:t>
            </w:r>
            <w:r>
              <w:rPr>
                <w:rFonts w:ascii="Times New Roman" w:hAnsi="Times New Roman" w:eastAsia="Times New Roman" w:cs="Times New Roman"/>
                <w:spacing w:val="-1"/>
                <w:sz w:val="24"/>
                <w:szCs w:val="24"/>
              </w:rPr>
              <w:t>13000m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2"/>
                <w:position w:val="8"/>
                <w:sz w:val="15"/>
                <w:szCs w:val="15"/>
              </w:rPr>
              <w:t xml:space="preserve"> </w:t>
            </w:r>
            <w:r>
              <w:rPr>
                <w:spacing w:val="-2"/>
                <w:sz w:val="24"/>
                <w:szCs w:val="24"/>
              </w:rPr>
              <w:t>，其中场平开挖</w:t>
            </w:r>
            <w:r>
              <w:rPr>
                <w:spacing w:val="-27"/>
                <w:sz w:val="24"/>
                <w:szCs w:val="24"/>
              </w:rPr>
              <w:t xml:space="preserve"> </w:t>
            </w:r>
            <w:r>
              <w:rPr>
                <w:rFonts w:ascii="Times New Roman" w:hAnsi="Times New Roman" w:eastAsia="Times New Roman" w:cs="Times New Roman"/>
                <w:spacing w:val="-2"/>
                <w:sz w:val="24"/>
                <w:szCs w:val="24"/>
              </w:rPr>
              <w:t>12600m</w:t>
            </w:r>
            <w:r>
              <w:rPr>
                <w:rFonts w:ascii="Times New Roman" w:hAnsi="Times New Roman" w:eastAsia="Times New Roman" w:cs="Times New Roman"/>
                <w:spacing w:val="-2"/>
                <w:position w:val="8"/>
                <w:sz w:val="15"/>
                <w:szCs w:val="15"/>
              </w:rPr>
              <w:t xml:space="preserve">3 </w:t>
            </w:r>
            <w:r>
              <w:rPr>
                <w:spacing w:val="-2"/>
                <w:sz w:val="24"/>
                <w:szCs w:val="24"/>
              </w:rPr>
              <w:t>，基础开</w:t>
            </w:r>
            <w:r>
              <w:rPr>
                <w:spacing w:val="-1"/>
                <w:sz w:val="24"/>
                <w:szCs w:val="24"/>
              </w:rPr>
              <w:t>挖</w:t>
            </w:r>
            <w:r>
              <w:rPr>
                <w:spacing w:val="-48"/>
                <w:sz w:val="24"/>
                <w:szCs w:val="24"/>
              </w:rPr>
              <w:t xml:space="preserve"> </w:t>
            </w:r>
            <w:r>
              <w:rPr>
                <w:rFonts w:ascii="Times New Roman" w:hAnsi="Times New Roman" w:eastAsia="Times New Roman" w:cs="Times New Roman"/>
                <w:spacing w:val="-1"/>
                <w:sz w:val="24"/>
                <w:szCs w:val="24"/>
              </w:rPr>
              <w:t>400m3</w:t>
            </w:r>
            <w:r>
              <w:rPr>
                <w:spacing w:val="-1"/>
                <w:sz w:val="24"/>
                <w:szCs w:val="24"/>
              </w:rPr>
              <w:t>；场地及基础回填</w:t>
            </w:r>
            <w:r>
              <w:rPr>
                <w:spacing w:val="-30"/>
                <w:sz w:val="24"/>
                <w:szCs w:val="24"/>
              </w:rPr>
              <w:t xml:space="preserve"> </w:t>
            </w:r>
            <w:r>
              <w:rPr>
                <w:rFonts w:ascii="Times New Roman" w:hAnsi="Times New Roman" w:eastAsia="Times New Roman" w:cs="Times New Roman"/>
                <w:spacing w:val="-1"/>
                <w:sz w:val="24"/>
                <w:szCs w:val="24"/>
              </w:rPr>
              <w:t>13000m</w:t>
            </w:r>
            <w:r>
              <w:rPr>
                <w:rFonts w:ascii="Times New Roman" w:hAnsi="Times New Roman" w:eastAsia="Times New Roman" w:cs="Times New Roman"/>
                <w:spacing w:val="-1"/>
                <w:position w:val="8"/>
                <w:sz w:val="15"/>
                <w:szCs w:val="15"/>
              </w:rPr>
              <w:t xml:space="preserve">3 </w:t>
            </w:r>
            <w:r>
              <w:rPr>
                <w:spacing w:val="-1"/>
                <w:sz w:val="24"/>
                <w:szCs w:val="24"/>
              </w:rPr>
              <w:t>，变电站产生开挖的土石方全部用于自身回填，不产生弃方。</w:t>
            </w:r>
          </w:p>
          <w:p w14:paraId="196AAA2C">
            <w:pPr>
              <w:pStyle w:val="6"/>
              <w:spacing w:line="217" w:lineRule="auto"/>
              <w:ind w:left="581"/>
              <w:rPr>
                <w:sz w:val="24"/>
                <w:szCs w:val="24"/>
              </w:rPr>
            </w:pPr>
            <w:r>
              <w:rPr>
                <w:spacing w:val="-2"/>
                <w:sz w:val="24"/>
                <w:szCs w:val="24"/>
              </w:rPr>
              <w:t>②输电线路</w:t>
            </w:r>
          </w:p>
          <w:p w14:paraId="6AF61C67">
            <w:pPr>
              <w:pStyle w:val="6"/>
              <w:spacing w:before="183" w:line="359" w:lineRule="auto"/>
              <w:ind w:left="104" w:right="103" w:firstLine="480"/>
              <w:rPr>
                <w:sz w:val="24"/>
                <w:szCs w:val="24"/>
              </w:rPr>
            </w:pPr>
            <w:r>
              <w:rPr>
                <w:spacing w:val="-2"/>
                <w:sz w:val="24"/>
                <w:szCs w:val="24"/>
              </w:rPr>
              <w:t>本工程</w:t>
            </w:r>
            <w:r>
              <w:rPr>
                <w:spacing w:val="-32"/>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线路土石方主要涉及塔基基础开挖、塔</w:t>
            </w:r>
            <w:r>
              <w:rPr>
                <w:spacing w:val="-3"/>
                <w:sz w:val="24"/>
                <w:szCs w:val="24"/>
              </w:rPr>
              <w:t>基施工材料堆放和</w:t>
            </w:r>
            <w:r>
              <w:rPr>
                <w:spacing w:val="-2"/>
                <w:sz w:val="24"/>
                <w:szCs w:val="24"/>
              </w:rPr>
              <w:t>混凝土搅拌场地平整开挖土石方，线路施工共开挖土石方</w:t>
            </w:r>
            <w:r>
              <w:rPr>
                <w:spacing w:val="-55"/>
                <w:sz w:val="24"/>
                <w:szCs w:val="24"/>
              </w:rPr>
              <w:t xml:space="preserve"> </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3"/>
                <w:sz w:val="24"/>
                <w:szCs w:val="24"/>
              </w:rPr>
              <w:t>500m</w:t>
            </w:r>
            <w:r>
              <w:rPr>
                <w:rFonts w:ascii="Times New Roman" w:hAnsi="Times New Roman" w:eastAsia="Times New Roman" w:cs="Times New Roman"/>
                <w:spacing w:val="-3"/>
                <w:position w:val="8"/>
                <w:sz w:val="15"/>
                <w:szCs w:val="15"/>
              </w:rPr>
              <w:t>3</w:t>
            </w:r>
            <w:r>
              <w:rPr>
                <w:spacing w:val="-3"/>
                <w:sz w:val="24"/>
                <w:szCs w:val="24"/>
              </w:rPr>
              <w:t>，一般回填土石方</w:t>
            </w:r>
            <w:r>
              <w:rPr>
                <w:spacing w:val="-43"/>
                <w:sz w:val="24"/>
                <w:szCs w:val="24"/>
              </w:rPr>
              <w:t xml:space="preserve"> </w:t>
            </w:r>
            <w:r>
              <w:rPr>
                <w:rFonts w:ascii="Times New Roman" w:hAnsi="Times New Roman" w:eastAsia="Times New Roman" w:cs="Times New Roman"/>
                <w:spacing w:val="-3"/>
                <w:sz w:val="24"/>
                <w:szCs w:val="24"/>
              </w:rPr>
              <w:t>800m</w:t>
            </w:r>
            <w:r>
              <w:rPr>
                <w:rFonts w:ascii="Times New Roman" w:hAnsi="Times New Roman" w:eastAsia="Times New Roman" w:cs="Times New Roman"/>
                <w:spacing w:val="-3"/>
                <w:position w:val="8"/>
                <w:sz w:val="15"/>
                <w:szCs w:val="15"/>
              </w:rPr>
              <w:t>3</w:t>
            </w:r>
            <w:r>
              <w:rPr>
                <w:rFonts w:ascii="Times New Roman" w:hAnsi="Times New Roman" w:eastAsia="Times New Roman" w:cs="Times New Roman"/>
                <w:spacing w:val="-7"/>
                <w:position w:val="8"/>
                <w:sz w:val="15"/>
                <w:szCs w:val="15"/>
              </w:rPr>
              <w:t xml:space="preserve"> </w:t>
            </w:r>
            <w:r>
              <w:rPr>
                <w:spacing w:val="-3"/>
                <w:sz w:val="24"/>
                <w:szCs w:val="24"/>
              </w:rPr>
              <w:t>，剩余土石方调运回填至塔基施工区，调运回填共计</w:t>
            </w:r>
            <w:r>
              <w:rPr>
                <w:spacing w:val="-32"/>
                <w:sz w:val="24"/>
                <w:szCs w:val="24"/>
              </w:rPr>
              <w:t xml:space="preserve"> </w:t>
            </w:r>
            <w:r>
              <w:rPr>
                <w:rFonts w:ascii="Times New Roman" w:hAnsi="Times New Roman" w:eastAsia="Times New Roman" w:cs="Times New Roman"/>
                <w:spacing w:val="-3"/>
                <w:sz w:val="24"/>
                <w:szCs w:val="24"/>
              </w:rPr>
              <w:t>1700m</w:t>
            </w:r>
            <w:r>
              <w:rPr>
                <w:rFonts w:ascii="Times New Roman" w:hAnsi="Times New Roman" w:eastAsia="Times New Roman" w:cs="Times New Roman"/>
                <w:spacing w:val="-3"/>
                <w:position w:val="8"/>
                <w:sz w:val="15"/>
                <w:szCs w:val="15"/>
              </w:rPr>
              <w:t>3</w:t>
            </w:r>
            <w:r>
              <w:rPr>
                <w:spacing w:val="-3"/>
                <w:sz w:val="24"/>
                <w:szCs w:val="24"/>
              </w:rPr>
              <w:t>，</w:t>
            </w:r>
            <w:r>
              <w:rPr>
                <w:spacing w:val="-2"/>
                <w:sz w:val="24"/>
                <w:szCs w:val="24"/>
              </w:rPr>
              <w:t>就地利用，无弃土。</w:t>
            </w:r>
          </w:p>
          <w:p w14:paraId="2F30CD43">
            <w:pPr>
              <w:pStyle w:val="6"/>
              <w:spacing w:line="219" w:lineRule="auto"/>
              <w:ind w:left="1304"/>
              <w:rPr>
                <w:rFonts w:ascii="Times New Roman" w:hAnsi="Times New Roman" w:eastAsia="Times New Roman" w:cs="Times New Roman"/>
                <w:sz w:val="15"/>
                <w:szCs w:val="15"/>
              </w:rPr>
            </w:pPr>
            <w:r>
              <w:rPr>
                <w:b/>
                <w:bCs/>
                <w:spacing w:val="-1"/>
                <w:sz w:val="24"/>
                <w:szCs w:val="24"/>
              </w:rPr>
              <w:t>表</w:t>
            </w:r>
            <w:r>
              <w:rPr>
                <w:rFonts w:ascii="Times New Roman" w:hAnsi="Times New Roman" w:eastAsia="Times New Roman" w:cs="Times New Roman"/>
                <w:b/>
                <w:bCs/>
                <w:spacing w:val="-1"/>
                <w:sz w:val="24"/>
                <w:szCs w:val="24"/>
              </w:rPr>
              <w:t xml:space="preserve">2-9      </w:t>
            </w:r>
            <w:r>
              <w:rPr>
                <w:b/>
                <w:bCs/>
                <w:spacing w:val="-1"/>
                <w:sz w:val="24"/>
                <w:szCs w:val="24"/>
              </w:rPr>
              <w:t>项目各区域土石方产生量</w:t>
            </w:r>
            <w:r>
              <w:rPr>
                <w:spacing w:val="-1"/>
                <w:sz w:val="24"/>
                <w:szCs w:val="24"/>
              </w:rPr>
              <w:t xml:space="preserve">        </w:t>
            </w:r>
            <w:r>
              <w:rPr>
                <w:b/>
                <w:bCs/>
                <w:spacing w:val="-1"/>
                <w:sz w:val="24"/>
                <w:szCs w:val="24"/>
              </w:rPr>
              <w:t>单位：</w:t>
            </w:r>
            <w:r>
              <w:rPr>
                <w:rFonts w:ascii="Times New Roman" w:hAnsi="Times New Roman" w:eastAsia="Times New Roman" w:cs="Times New Roman"/>
                <w:b/>
                <w:bCs/>
                <w:spacing w:val="-1"/>
                <w:sz w:val="24"/>
                <w:szCs w:val="24"/>
              </w:rPr>
              <w:t>m</w:t>
            </w:r>
            <w:r>
              <w:rPr>
                <w:rFonts w:ascii="Times New Roman" w:hAnsi="Times New Roman" w:eastAsia="Times New Roman" w:cs="Times New Roman"/>
                <w:b/>
                <w:bCs/>
                <w:spacing w:val="-1"/>
                <w:position w:val="7"/>
                <w:sz w:val="15"/>
                <w:szCs w:val="15"/>
              </w:rPr>
              <w:t>3</w:t>
            </w:r>
          </w:p>
          <w:p w14:paraId="72197C47">
            <w:pPr>
              <w:spacing w:line="118" w:lineRule="auto"/>
              <w:rPr>
                <w:rFonts w:ascii="Arial"/>
                <w:sz w:val="2"/>
              </w:rPr>
            </w:pPr>
          </w:p>
          <w:tbl>
            <w:tblPr>
              <w:tblStyle w:val="5"/>
              <w:tblW w:w="7932" w:type="dxa"/>
              <w:tblInd w:w="10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9"/>
              <w:gridCol w:w="2559"/>
              <w:gridCol w:w="1187"/>
              <w:gridCol w:w="2083"/>
              <w:gridCol w:w="1204"/>
            </w:tblGrid>
            <w:tr w14:paraId="03BBA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899" w:type="dxa"/>
                  <w:shd w:val="clear" w:color="auto" w:fill="D7D7D7"/>
                  <w:vAlign w:val="top"/>
                </w:tcPr>
                <w:p w14:paraId="0C3FE848">
                  <w:pPr>
                    <w:pStyle w:val="6"/>
                    <w:spacing w:before="162" w:line="229" w:lineRule="auto"/>
                    <w:ind w:left="242"/>
                  </w:pPr>
                  <w:r>
                    <w:rPr>
                      <w:b/>
                      <w:bCs/>
                      <w:spacing w:val="4"/>
                    </w:rPr>
                    <w:t>序号</w:t>
                  </w:r>
                </w:p>
              </w:tc>
              <w:tc>
                <w:tcPr>
                  <w:tcW w:w="2559" w:type="dxa"/>
                  <w:shd w:val="clear" w:color="auto" w:fill="D7D7D7"/>
                  <w:vAlign w:val="top"/>
                </w:tcPr>
                <w:p w14:paraId="4770B91F">
                  <w:pPr>
                    <w:pStyle w:val="6"/>
                    <w:spacing w:before="162" w:line="228" w:lineRule="auto"/>
                    <w:ind w:left="1074"/>
                  </w:pPr>
                  <w:r>
                    <w:rPr>
                      <w:b/>
                      <w:bCs/>
                      <w:spacing w:val="2"/>
                    </w:rPr>
                    <w:t>分区</w:t>
                  </w:r>
                </w:p>
              </w:tc>
              <w:tc>
                <w:tcPr>
                  <w:tcW w:w="1187" w:type="dxa"/>
                  <w:shd w:val="clear" w:color="auto" w:fill="D7D7D7"/>
                  <w:vAlign w:val="top"/>
                </w:tcPr>
                <w:p w14:paraId="560C328D">
                  <w:pPr>
                    <w:pStyle w:val="6"/>
                    <w:spacing w:before="162" w:line="229" w:lineRule="auto"/>
                    <w:ind w:left="284"/>
                  </w:pPr>
                  <w:r>
                    <w:rPr>
                      <w:b/>
                      <w:bCs/>
                      <w:spacing w:val="5"/>
                    </w:rPr>
                    <w:t>开挖量</w:t>
                  </w:r>
                </w:p>
              </w:tc>
              <w:tc>
                <w:tcPr>
                  <w:tcW w:w="2083" w:type="dxa"/>
                  <w:shd w:val="clear" w:color="auto" w:fill="D7D7D7"/>
                  <w:vAlign w:val="top"/>
                </w:tcPr>
                <w:p w14:paraId="103342C9">
                  <w:pPr>
                    <w:pStyle w:val="6"/>
                    <w:spacing w:before="162" w:line="228" w:lineRule="auto"/>
                    <w:ind w:left="754"/>
                  </w:pPr>
                  <w:r>
                    <w:rPr>
                      <w:b/>
                      <w:bCs/>
                      <w:spacing w:val="-2"/>
                    </w:rPr>
                    <w:t>回填量</w:t>
                  </w:r>
                </w:p>
              </w:tc>
              <w:tc>
                <w:tcPr>
                  <w:tcW w:w="1204" w:type="dxa"/>
                  <w:shd w:val="clear" w:color="auto" w:fill="D7D7D7"/>
                  <w:vAlign w:val="top"/>
                </w:tcPr>
                <w:p w14:paraId="24E59ABF">
                  <w:pPr>
                    <w:pStyle w:val="6"/>
                    <w:spacing w:before="162" w:line="228" w:lineRule="auto"/>
                    <w:ind w:left="291"/>
                  </w:pPr>
                  <w:r>
                    <w:rPr>
                      <w:b/>
                      <w:bCs/>
                      <w:spacing w:val="5"/>
                    </w:rPr>
                    <w:t>废弃方</w:t>
                  </w:r>
                </w:p>
              </w:tc>
            </w:tr>
            <w:tr w14:paraId="62A0A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899" w:type="dxa"/>
                  <w:vAlign w:val="top"/>
                </w:tcPr>
                <w:p w14:paraId="11F161D3">
                  <w:pPr>
                    <w:spacing w:before="69" w:line="195" w:lineRule="auto"/>
                    <w:ind w:left="420"/>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559" w:type="dxa"/>
                  <w:vAlign w:val="top"/>
                </w:tcPr>
                <w:p w14:paraId="2209224C">
                  <w:pPr>
                    <w:pStyle w:val="6"/>
                    <w:spacing w:before="33" w:line="215" w:lineRule="auto"/>
                    <w:ind w:left="128"/>
                  </w:pPr>
                  <w:r>
                    <w:rPr>
                      <w:spacing w:val="8"/>
                    </w:rPr>
                    <w:t>变电站区（含进站道路）</w:t>
                  </w:r>
                </w:p>
              </w:tc>
              <w:tc>
                <w:tcPr>
                  <w:tcW w:w="1187" w:type="dxa"/>
                  <w:vAlign w:val="top"/>
                </w:tcPr>
                <w:p w14:paraId="5ECE1FB4">
                  <w:pPr>
                    <w:spacing w:before="69" w:line="195" w:lineRule="auto"/>
                    <w:ind w:left="353"/>
                    <w:rPr>
                      <w:rFonts w:ascii="Times New Roman" w:hAnsi="Times New Roman" w:eastAsia="Times New Roman" w:cs="Times New Roman"/>
                      <w:sz w:val="20"/>
                      <w:szCs w:val="20"/>
                    </w:rPr>
                  </w:pPr>
                  <w:r>
                    <w:rPr>
                      <w:rFonts w:ascii="Times New Roman" w:hAnsi="Times New Roman" w:eastAsia="Times New Roman" w:cs="Times New Roman"/>
                      <w:sz w:val="20"/>
                      <w:szCs w:val="20"/>
                    </w:rPr>
                    <w:t>13000</w:t>
                  </w:r>
                </w:p>
              </w:tc>
              <w:tc>
                <w:tcPr>
                  <w:tcW w:w="2083" w:type="dxa"/>
                  <w:vAlign w:val="top"/>
                </w:tcPr>
                <w:p w14:paraId="001883E6">
                  <w:pPr>
                    <w:spacing w:before="69" w:line="195" w:lineRule="auto"/>
                    <w:ind w:left="803"/>
                    <w:rPr>
                      <w:rFonts w:ascii="Times New Roman" w:hAnsi="Times New Roman" w:eastAsia="Times New Roman" w:cs="Times New Roman"/>
                      <w:sz w:val="20"/>
                      <w:szCs w:val="20"/>
                    </w:rPr>
                  </w:pPr>
                  <w:r>
                    <w:rPr>
                      <w:rFonts w:ascii="Times New Roman" w:hAnsi="Times New Roman" w:eastAsia="Times New Roman" w:cs="Times New Roman"/>
                      <w:sz w:val="20"/>
                      <w:szCs w:val="20"/>
                    </w:rPr>
                    <w:t>13000</w:t>
                  </w:r>
                </w:p>
              </w:tc>
              <w:tc>
                <w:tcPr>
                  <w:tcW w:w="1204" w:type="dxa"/>
                  <w:vAlign w:val="top"/>
                </w:tcPr>
                <w:p w14:paraId="239914EC">
                  <w:pPr>
                    <w:spacing w:before="69" w:line="195" w:lineRule="auto"/>
                    <w:ind w:left="55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2934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899" w:type="dxa"/>
                  <w:vAlign w:val="top"/>
                </w:tcPr>
                <w:p w14:paraId="7FE32D6E">
                  <w:pPr>
                    <w:spacing w:before="69" w:line="195" w:lineRule="auto"/>
                    <w:ind w:left="39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559" w:type="dxa"/>
                  <w:vAlign w:val="top"/>
                </w:tcPr>
                <w:p w14:paraId="596B16DC">
                  <w:pPr>
                    <w:pStyle w:val="6"/>
                    <w:spacing w:before="33" w:line="216" w:lineRule="auto"/>
                    <w:ind w:left="488"/>
                  </w:pPr>
                  <w:r>
                    <w:rPr>
                      <w:rFonts w:ascii="Times New Roman" w:hAnsi="Times New Roman" w:eastAsia="Times New Roman" w:cs="Times New Roman"/>
                      <w:spacing w:val="6"/>
                    </w:rPr>
                    <w:t>110</w:t>
                  </w:r>
                  <w:r>
                    <w:rPr>
                      <w:rFonts w:ascii="Times New Roman" w:hAnsi="Times New Roman" w:eastAsia="Times New Roman" w:cs="Times New Roman"/>
                    </w:rPr>
                    <w:t>kV</w:t>
                  </w:r>
                  <w:r>
                    <w:rPr>
                      <w:spacing w:val="6"/>
                    </w:rPr>
                    <w:t>架空线路区</w:t>
                  </w:r>
                </w:p>
              </w:tc>
              <w:tc>
                <w:tcPr>
                  <w:tcW w:w="1187" w:type="dxa"/>
                  <w:vAlign w:val="top"/>
                </w:tcPr>
                <w:p w14:paraId="71B6501F">
                  <w:pPr>
                    <w:spacing w:before="69" w:line="195" w:lineRule="auto"/>
                    <w:ind w:left="38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2500</w:t>
                  </w:r>
                </w:p>
              </w:tc>
              <w:tc>
                <w:tcPr>
                  <w:tcW w:w="2083" w:type="dxa"/>
                  <w:vAlign w:val="top"/>
                </w:tcPr>
                <w:p w14:paraId="2F32FE16">
                  <w:pPr>
                    <w:spacing w:before="69" w:line="195" w:lineRule="auto"/>
                    <w:ind w:left="83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2500</w:t>
                  </w:r>
                </w:p>
              </w:tc>
              <w:tc>
                <w:tcPr>
                  <w:tcW w:w="1204" w:type="dxa"/>
                  <w:vAlign w:val="top"/>
                </w:tcPr>
                <w:p w14:paraId="557C2731">
                  <w:pPr>
                    <w:spacing w:before="69" w:line="195" w:lineRule="auto"/>
                    <w:ind w:left="55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58831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458" w:type="dxa"/>
                  <w:gridSpan w:val="2"/>
                  <w:vAlign w:val="top"/>
                </w:tcPr>
                <w:p w14:paraId="0DC7C594">
                  <w:pPr>
                    <w:pStyle w:val="6"/>
                    <w:spacing w:before="34" w:line="214" w:lineRule="auto"/>
                    <w:ind w:left="1527"/>
                  </w:pPr>
                  <w:r>
                    <w:rPr>
                      <w:spacing w:val="4"/>
                    </w:rPr>
                    <w:t>合计</w:t>
                  </w:r>
                </w:p>
              </w:tc>
              <w:tc>
                <w:tcPr>
                  <w:tcW w:w="1187" w:type="dxa"/>
                  <w:vAlign w:val="top"/>
                </w:tcPr>
                <w:p w14:paraId="1E2A300D">
                  <w:pPr>
                    <w:spacing w:before="70" w:line="195" w:lineRule="auto"/>
                    <w:ind w:left="353"/>
                    <w:rPr>
                      <w:rFonts w:ascii="Times New Roman" w:hAnsi="Times New Roman" w:eastAsia="Times New Roman" w:cs="Times New Roman"/>
                      <w:sz w:val="20"/>
                      <w:szCs w:val="20"/>
                    </w:rPr>
                  </w:pPr>
                  <w:r>
                    <w:rPr>
                      <w:rFonts w:ascii="Times New Roman" w:hAnsi="Times New Roman" w:eastAsia="Times New Roman" w:cs="Times New Roman"/>
                      <w:sz w:val="20"/>
                      <w:szCs w:val="20"/>
                    </w:rPr>
                    <w:t>15500</w:t>
                  </w:r>
                </w:p>
              </w:tc>
              <w:tc>
                <w:tcPr>
                  <w:tcW w:w="2083" w:type="dxa"/>
                  <w:vAlign w:val="top"/>
                </w:tcPr>
                <w:p w14:paraId="78C2A93B">
                  <w:pPr>
                    <w:spacing w:before="70" w:line="195" w:lineRule="auto"/>
                    <w:ind w:left="803"/>
                    <w:rPr>
                      <w:rFonts w:ascii="Times New Roman" w:hAnsi="Times New Roman" w:eastAsia="Times New Roman" w:cs="Times New Roman"/>
                      <w:sz w:val="20"/>
                      <w:szCs w:val="20"/>
                    </w:rPr>
                  </w:pPr>
                  <w:r>
                    <w:rPr>
                      <w:rFonts w:ascii="Times New Roman" w:hAnsi="Times New Roman" w:eastAsia="Times New Roman" w:cs="Times New Roman"/>
                      <w:sz w:val="20"/>
                      <w:szCs w:val="20"/>
                    </w:rPr>
                    <w:t>15500</w:t>
                  </w:r>
                </w:p>
              </w:tc>
              <w:tc>
                <w:tcPr>
                  <w:tcW w:w="1204" w:type="dxa"/>
                  <w:vAlign w:val="top"/>
                </w:tcPr>
                <w:p w14:paraId="23303BEE">
                  <w:pPr>
                    <w:spacing w:before="70" w:line="195" w:lineRule="auto"/>
                    <w:ind w:left="55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r>
            <w:tr w14:paraId="7FA7D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7932" w:type="dxa"/>
                  <w:gridSpan w:val="5"/>
                  <w:vAlign w:val="top"/>
                </w:tcPr>
                <w:p w14:paraId="0BB69888">
                  <w:pPr>
                    <w:pStyle w:val="6"/>
                    <w:spacing w:line="270" w:lineRule="exact"/>
                    <w:ind w:left="446"/>
                  </w:pPr>
                  <w:r>
                    <w:rPr>
                      <w:spacing w:val="9"/>
                      <w:position w:val="1"/>
                    </w:rPr>
                    <w:t>注：①表中土石方为自然方；②土石方平衡计算公式为：开挖－回填</w:t>
                  </w:r>
                  <w:r>
                    <w:rPr>
                      <w:rFonts w:ascii="Times New Roman" w:hAnsi="Times New Roman" w:eastAsia="Times New Roman" w:cs="Times New Roman"/>
                      <w:spacing w:val="9"/>
                      <w:position w:val="1"/>
                    </w:rPr>
                    <w:t>=</w:t>
                  </w:r>
                  <w:r>
                    <w:rPr>
                      <w:spacing w:val="9"/>
                      <w:position w:val="1"/>
                    </w:rPr>
                    <w:t>废弃。</w:t>
                  </w:r>
                </w:p>
              </w:tc>
            </w:tr>
          </w:tbl>
          <w:p w14:paraId="3444A808">
            <w:pPr>
              <w:pStyle w:val="6"/>
              <w:spacing w:before="158" w:line="219" w:lineRule="auto"/>
              <w:ind w:left="105"/>
              <w:rPr>
                <w:sz w:val="24"/>
                <w:szCs w:val="24"/>
              </w:rPr>
            </w:pPr>
            <w:r>
              <w:rPr>
                <w:b/>
                <w:bCs/>
                <w:spacing w:val="-3"/>
                <w:sz w:val="24"/>
                <w:szCs w:val="24"/>
              </w:rPr>
              <w:t>六、项目主要技术指标</w:t>
            </w:r>
          </w:p>
          <w:p w14:paraId="4C2A9A82">
            <w:pPr>
              <w:pStyle w:val="6"/>
              <w:spacing w:before="181" w:line="219" w:lineRule="auto"/>
              <w:ind w:left="586"/>
              <w:rPr>
                <w:sz w:val="24"/>
                <w:szCs w:val="24"/>
              </w:rPr>
            </w:pPr>
            <w:r>
              <w:rPr>
                <w:spacing w:val="-4"/>
                <w:sz w:val="24"/>
                <w:szCs w:val="24"/>
              </w:rPr>
              <w:t>工程主要技术指标见表</w:t>
            </w:r>
            <w:r>
              <w:rPr>
                <w:spacing w:val="-42"/>
                <w:sz w:val="24"/>
                <w:szCs w:val="24"/>
              </w:rPr>
              <w:t xml:space="preserve"> </w:t>
            </w:r>
            <w:r>
              <w:rPr>
                <w:rFonts w:ascii="Times New Roman" w:hAnsi="Times New Roman" w:eastAsia="Times New Roman" w:cs="Times New Roman"/>
                <w:spacing w:val="-4"/>
                <w:sz w:val="24"/>
                <w:szCs w:val="24"/>
              </w:rPr>
              <w:t>2-</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4"/>
                <w:sz w:val="24"/>
                <w:szCs w:val="24"/>
              </w:rPr>
              <w:t>10</w:t>
            </w:r>
            <w:r>
              <w:rPr>
                <w:spacing w:val="-4"/>
                <w:sz w:val="24"/>
                <w:szCs w:val="24"/>
              </w:rPr>
              <w:t>。</w:t>
            </w:r>
          </w:p>
          <w:p w14:paraId="10D54931">
            <w:pPr>
              <w:pStyle w:val="6"/>
              <w:spacing w:before="181" w:line="213" w:lineRule="auto"/>
              <w:ind w:left="2435"/>
              <w:rPr>
                <w:sz w:val="24"/>
                <w:szCs w:val="24"/>
              </w:rPr>
            </w:pPr>
            <w:r>
              <w:rPr>
                <w:b/>
                <w:bCs/>
                <w:spacing w:val="-2"/>
                <w:sz w:val="24"/>
                <w:szCs w:val="24"/>
              </w:rPr>
              <w:t>表</w:t>
            </w:r>
            <w:r>
              <w:rPr>
                <w:spacing w:val="-46"/>
                <w:sz w:val="24"/>
                <w:szCs w:val="24"/>
              </w:rPr>
              <w:t xml:space="preserve"> </w:t>
            </w:r>
            <w:r>
              <w:rPr>
                <w:rFonts w:ascii="Times New Roman" w:hAnsi="Times New Roman" w:eastAsia="Times New Roman" w:cs="Times New Roman"/>
                <w:b/>
                <w:bCs/>
                <w:spacing w:val="-2"/>
                <w:sz w:val="24"/>
                <w:szCs w:val="24"/>
              </w:rPr>
              <w:t xml:space="preserve">2-10      </w:t>
            </w:r>
            <w:r>
              <w:rPr>
                <w:b/>
                <w:bCs/>
                <w:spacing w:val="-2"/>
                <w:sz w:val="24"/>
                <w:szCs w:val="24"/>
              </w:rPr>
              <w:t>本项目主要技术指标</w:t>
            </w:r>
          </w:p>
          <w:tbl>
            <w:tblPr>
              <w:tblStyle w:val="5"/>
              <w:tblW w:w="7920" w:type="dxa"/>
              <w:tblInd w:w="10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77"/>
              <w:gridCol w:w="321"/>
              <w:gridCol w:w="321"/>
              <w:gridCol w:w="1540"/>
              <w:gridCol w:w="843"/>
              <w:gridCol w:w="1210"/>
              <w:gridCol w:w="1922"/>
              <w:gridCol w:w="1186"/>
            </w:tblGrid>
            <w:tr w14:paraId="2C022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5" w:hRule="atLeast"/>
              </w:trPr>
              <w:tc>
                <w:tcPr>
                  <w:tcW w:w="577" w:type="dxa"/>
                  <w:shd w:val="clear" w:color="auto" w:fill="A4A4A4"/>
                  <w:vAlign w:val="top"/>
                </w:tcPr>
                <w:p w14:paraId="5BFCE194">
                  <w:pPr>
                    <w:pStyle w:val="6"/>
                    <w:spacing w:before="36" w:line="220" w:lineRule="auto"/>
                    <w:ind w:left="75"/>
                  </w:pPr>
                  <w:r>
                    <w:rPr>
                      <w:b/>
                      <w:bCs/>
                      <w:spacing w:val="4"/>
                    </w:rPr>
                    <w:t>序号</w:t>
                  </w:r>
                </w:p>
              </w:tc>
              <w:tc>
                <w:tcPr>
                  <w:tcW w:w="2182" w:type="dxa"/>
                  <w:gridSpan w:val="3"/>
                  <w:shd w:val="clear" w:color="auto" w:fill="A4A4A4"/>
                  <w:vAlign w:val="top"/>
                </w:tcPr>
                <w:p w14:paraId="7C25F49D">
                  <w:pPr>
                    <w:pStyle w:val="6"/>
                    <w:spacing w:before="36" w:line="220" w:lineRule="auto"/>
                    <w:ind w:left="879"/>
                  </w:pPr>
                  <w:r>
                    <w:rPr>
                      <w:b/>
                      <w:bCs/>
                      <w:spacing w:val="2"/>
                    </w:rPr>
                    <w:t>名称</w:t>
                  </w:r>
                </w:p>
              </w:tc>
              <w:tc>
                <w:tcPr>
                  <w:tcW w:w="843" w:type="dxa"/>
                  <w:shd w:val="clear" w:color="auto" w:fill="A4A4A4"/>
                  <w:vAlign w:val="top"/>
                </w:tcPr>
                <w:p w14:paraId="1D0E3797">
                  <w:pPr>
                    <w:pStyle w:val="6"/>
                    <w:spacing w:before="36" w:line="220" w:lineRule="auto"/>
                    <w:ind w:left="210"/>
                  </w:pPr>
                  <w:r>
                    <w:rPr>
                      <w:b/>
                      <w:bCs/>
                      <w:spacing w:val="3"/>
                    </w:rPr>
                    <w:t>单位</w:t>
                  </w:r>
                </w:p>
              </w:tc>
              <w:tc>
                <w:tcPr>
                  <w:tcW w:w="1210" w:type="dxa"/>
                  <w:shd w:val="clear" w:color="auto" w:fill="A4A4A4"/>
                  <w:vAlign w:val="top"/>
                </w:tcPr>
                <w:p w14:paraId="70F6A3A8">
                  <w:pPr>
                    <w:pStyle w:val="6"/>
                    <w:spacing w:before="36" w:line="220" w:lineRule="auto"/>
                    <w:ind w:left="289"/>
                  </w:pPr>
                  <w:r>
                    <w:rPr>
                      <w:b/>
                      <w:bCs/>
                      <w:spacing w:val="5"/>
                    </w:rPr>
                    <w:t>变电站</w:t>
                  </w:r>
                </w:p>
              </w:tc>
              <w:tc>
                <w:tcPr>
                  <w:tcW w:w="1922" w:type="dxa"/>
                  <w:shd w:val="clear" w:color="auto" w:fill="A4A4A4"/>
                  <w:vAlign w:val="top"/>
                </w:tcPr>
                <w:p w14:paraId="63FE580F">
                  <w:pPr>
                    <w:pStyle w:val="6"/>
                    <w:spacing w:before="36" w:line="220" w:lineRule="auto"/>
                    <w:ind w:left="540"/>
                  </w:pPr>
                  <w:r>
                    <w:rPr>
                      <w:b/>
                      <w:bCs/>
                      <w:spacing w:val="6"/>
                    </w:rPr>
                    <w:t>输电线路</w:t>
                  </w:r>
                </w:p>
              </w:tc>
              <w:tc>
                <w:tcPr>
                  <w:tcW w:w="1186" w:type="dxa"/>
                  <w:shd w:val="clear" w:color="auto" w:fill="A4A4A4"/>
                  <w:vAlign w:val="top"/>
                </w:tcPr>
                <w:p w14:paraId="61EBE031">
                  <w:pPr>
                    <w:pStyle w:val="6"/>
                    <w:spacing w:before="36" w:line="220" w:lineRule="auto"/>
                    <w:ind w:left="384"/>
                  </w:pPr>
                  <w:r>
                    <w:rPr>
                      <w:b/>
                      <w:bCs/>
                      <w:spacing w:val="3"/>
                    </w:rPr>
                    <w:t>合计</w:t>
                  </w:r>
                </w:p>
              </w:tc>
            </w:tr>
            <w:tr w14:paraId="56EA2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6" w:hRule="atLeast"/>
              </w:trPr>
              <w:tc>
                <w:tcPr>
                  <w:tcW w:w="577" w:type="dxa"/>
                  <w:vMerge w:val="restart"/>
                  <w:tcBorders>
                    <w:bottom w:val="nil"/>
                  </w:tcBorders>
                  <w:vAlign w:val="top"/>
                </w:tcPr>
                <w:p w14:paraId="6D42CB8C">
                  <w:pPr>
                    <w:spacing w:line="293" w:lineRule="auto"/>
                    <w:rPr>
                      <w:rFonts w:ascii="Arial"/>
                      <w:sz w:val="21"/>
                    </w:rPr>
                  </w:pPr>
                </w:p>
                <w:p w14:paraId="4B4D0AA7">
                  <w:pPr>
                    <w:spacing w:line="294" w:lineRule="auto"/>
                    <w:rPr>
                      <w:rFonts w:ascii="Arial"/>
                      <w:sz w:val="21"/>
                    </w:rPr>
                  </w:pPr>
                </w:p>
                <w:p w14:paraId="3F06239E">
                  <w:pPr>
                    <w:spacing w:before="57" w:line="195" w:lineRule="auto"/>
                    <w:ind w:left="250"/>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321" w:type="dxa"/>
                  <w:vMerge w:val="restart"/>
                  <w:tcBorders>
                    <w:bottom w:val="nil"/>
                  </w:tcBorders>
                  <w:textDirection w:val="tbRlV"/>
                  <w:vAlign w:val="top"/>
                </w:tcPr>
                <w:p w14:paraId="628428CB">
                  <w:pPr>
                    <w:pStyle w:val="6"/>
                    <w:spacing w:before="56" w:line="207" w:lineRule="auto"/>
                    <w:ind w:left="202"/>
                  </w:pPr>
                  <w:r>
                    <w:rPr>
                      <w:spacing w:val="8"/>
                      <w:position w:val="1"/>
                    </w:rPr>
                    <w:t>占</w:t>
                  </w:r>
                  <w:r>
                    <w:rPr>
                      <w:spacing w:val="-34"/>
                      <w:position w:val="1"/>
                    </w:rPr>
                    <w:t xml:space="preserve"> </w:t>
                  </w:r>
                  <w:r>
                    <w:rPr>
                      <w:spacing w:val="8"/>
                    </w:rPr>
                    <w:t>地</w:t>
                  </w:r>
                  <w:r>
                    <w:rPr>
                      <w:spacing w:val="-37"/>
                    </w:rPr>
                    <w:t xml:space="preserve"> </w:t>
                  </w:r>
                  <w:r>
                    <w:rPr>
                      <w:spacing w:val="8"/>
                    </w:rPr>
                    <w:t>面</w:t>
                  </w:r>
                  <w:r>
                    <w:rPr>
                      <w:spacing w:val="-35"/>
                    </w:rPr>
                    <w:t xml:space="preserve"> </w:t>
                  </w:r>
                  <w:r>
                    <w:rPr>
                      <w:spacing w:val="8"/>
                    </w:rPr>
                    <w:t>积</w:t>
                  </w:r>
                </w:p>
              </w:tc>
              <w:tc>
                <w:tcPr>
                  <w:tcW w:w="1861" w:type="dxa"/>
                  <w:gridSpan w:val="2"/>
                  <w:vAlign w:val="top"/>
                </w:tcPr>
                <w:p w14:paraId="37581F4F">
                  <w:pPr>
                    <w:pStyle w:val="6"/>
                    <w:spacing w:before="29" w:line="218" w:lineRule="auto"/>
                    <w:ind w:left="718"/>
                  </w:pPr>
                  <w:r>
                    <w:rPr>
                      <w:spacing w:val="3"/>
                    </w:rPr>
                    <w:t>永久</w:t>
                  </w:r>
                </w:p>
              </w:tc>
              <w:tc>
                <w:tcPr>
                  <w:tcW w:w="843" w:type="dxa"/>
                  <w:vAlign w:val="top"/>
                </w:tcPr>
                <w:p w14:paraId="3F076C3B">
                  <w:pPr>
                    <w:spacing w:before="45" w:line="216" w:lineRule="auto"/>
                    <w:ind w:left="245"/>
                    <w:rPr>
                      <w:rFonts w:ascii="Times New Roman" w:hAnsi="Times New Roman" w:eastAsia="Times New Roman" w:cs="Times New Roman"/>
                      <w:sz w:val="13"/>
                      <w:szCs w:val="13"/>
                    </w:rPr>
                  </w:pPr>
                  <w:r>
                    <w:rPr>
                      <w:rFonts w:ascii="Times New Roman" w:hAnsi="Times New Roman" w:eastAsia="Times New Roman" w:cs="Times New Roman"/>
                      <w:position w:val="-1"/>
                      <w:sz w:val="20"/>
                      <w:szCs w:val="20"/>
                    </w:rPr>
                    <w:t>hm</w:t>
                  </w:r>
                  <w:r>
                    <w:rPr>
                      <w:rFonts w:ascii="Times New Roman" w:hAnsi="Times New Roman" w:eastAsia="Times New Roman" w:cs="Times New Roman"/>
                      <w:spacing w:val="15"/>
                      <w:position w:val="5"/>
                      <w:sz w:val="13"/>
                      <w:szCs w:val="13"/>
                    </w:rPr>
                    <w:t>2</w:t>
                  </w:r>
                </w:p>
              </w:tc>
              <w:tc>
                <w:tcPr>
                  <w:tcW w:w="1210" w:type="dxa"/>
                  <w:vAlign w:val="top"/>
                </w:tcPr>
                <w:p w14:paraId="65710A30">
                  <w:pPr>
                    <w:spacing w:before="65" w:line="195" w:lineRule="auto"/>
                    <w:ind w:left="38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1.087</w:t>
                  </w:r>
                </w:p>
              </w:tc>
              <w:tc>
                <w:tcPr>
                  <w:tcW w:w="1922" w:type="dxa"/>
                  <w:vAlign w:val="top"/>
                </w:tcPr>
                <w:p w14:paraId="64071C01">
                  <w:pPr>
                    <w:spacing w:before="65" w:line="195" w:lineRule="auto"/>
                    <w:ind w:left="78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0.36</w:t>
                  </w:r>
                </w:p>
              </w:tc>
              <w:tc>
                <w:tcPr>
                  <w:tcW w:w="1186" w:type="dxa"/>
                  <w:vAlign w:val="top"/>
                </w:tcPr>
                <w:p w14:paraId="5B0F9BFA">
                  <w:pPr>
                    <w:spacing w:before="65" w:line="195" w:lineRule="auto"/>
                    <w:ind w:left="3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1.447</w:t>
                  </w:r>
                </w:p>
              </w:tc>
            </w:tr>
            <w:tr w14:paraId="5381F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6" w:hRule="atLeast"/>
              </w:trPr>
              <w:tc>
                <w:tcPr>
                  <w:tcW w:w="577" w:type="dxa"/>
                  <w:vMerge w:val="continue"/>
                  <w:tcBorders>
                    <w:top w:val="nil"/>
                    <w:bottom w:val="nil"/>
                  </w:tcBorders>
                  <w:vAlign w:val="top"/>
                </w:tcPr>
                <w:p w14:paraId="11453E0C">
                  <w:pPr>
                    <w:rPr>
                      <w:rFonts w:ascii="Arial"/>
                      <w:sz w:val="21"/>
                    </w:rPr>
                  </w:pPr>
                </w:p>
              </w:tc>
              <w:tc>
                <w:tcPr>
                  <w:tcW w:w="321" w:type="dxa"/>
                  <w:vMerge w:val="continue"/>
                  <w:tcBorders>
                    <w:top w:val="nil"/>
                    <w:bottom w:val="nil"/>
                  </w:tcBorders>
                  <w:textDirection w:val="tbRlV"/>
                  <w:vAlign w:val="top"/>
                </w:tcPr>
                <w:p w14:paraId="2BBE9A63">
                  <w:pPr>
                    <w:rPr>
                      <w:rFonts w:ascii="Arial"/>
                      <w:sz w:val="21"/>
                    </w:rPr>
                  </w:pPr>
                </w:p>
              </w:tc>
              <w:tc>
                <w:tcPr>
                  <w:tcW w:w="321" w:type="dxa"/>
                  <w:vMerge w:val="restart"/>
                  <w:tcBorders>
                    <w:bottom w:val="nil"/>
                  </w:tcBorders>
                  <w:textDirection w:val="tbRlV"/>
                  <w:vAlign w:val="top"/>
                </w:tcPr>
                <w:p w14:paraId="29E5FFA3">
                  <w:pPr>
                    <w:pStyle w:val="6"/>
                    <w:spacing w:before="53" w:line="207" w:lineRule="auto"/>
                    <w:ind w:left="184"/>
                  </w:pPr>
                  <w:r>
                    <w:rPr>
                      <w:spacing w:val="8"/>
                    </w:rPr>
                    <w:t>临</w:t>
                  </w:r>
                  <w:r>
                    <w:rPr>
                      <w:spacing w:val="-35"/>
                    </w:rPr>
                    <w:t xml:space="preserve"> </w:t>
                  </w:r>
                  <w:r>
                    <w:rPr>
                      <w:spacing w:val="8"/>
                    </w:rPr>
                    <w:t>时</w:t>
                  </w:r>
                </w:p>
              </w:tc>
              <w:tc>
                <w:tcPr>
                  <w:tcW w:w="1540" w:type="dxa"/>
                  <w:vAlign w:val="top"/>
                </w:tcPr>
                <w:p w14:paraId="7F293787">
                  <w:pPr>
                    <w:pStyle w:val="6"/>
                    <w:spacing w:before="28" w:line="219" w:lineRule="auto"/>
                    <w:ind w:left="485"/>
                  </w:pPr>
                  <w:r>
                    <w:rPr>
                      <w:spacing w:val="6"/>
                    </w:rPr>
                    <w:t>牵张场</w:t>
                  </w:r>
                </w:p>
              </w:tc>
              <w:tc>
                <w:tcPr>
                  <w:tcW w:w="843" w:type="dxa"/>
                  <w:vAlign w:val="top"/>
                </w:tcPr>
                <w:p w14:paraId="76C22A66">
                  <w:pPr>
                    <w:spacing w:before="44" w:line="216" w:lineRule="auto"/>
                    <w:ind w:left="245"/>
                    <w:rPr>
                      <w:rFonts w:ascii="Times New Roman" w:hAnsi="Times New Roman" w:eastAsia="Times New Roman" w:cs="Times New Roman"/>
                      <w:sz w:val="13"/>
                      <w:szCs w:val="13"/>
                    </w:rPr>
                  </w:pPr>
                  <w:r>
                    <w:rPr>
                      <w:rFonts w:ascii="Times New Roman" w:hAnsi="Times New Roman" w:eastAsia="Times New Roman" w:cs="Times New Roman"/>
                      <w:position w:val="-1"/>
                      <w:sz w:val="20"/>
                      <w:szCs w:val="20"/>
                    </w:rPr>
                    <w:t>hm</w:t>
                  </w:r>
                  <w:r>
                    <w:rPr>
                      <w:rFonts w:ascii="Times New Roman" w:hAnsi="Times New Roman" w:eastAsia="Times New Roman" w:cs="Times New Roman"/>
                      <w:spacing w:val="15"/>
                      <w:position w:val="5"/>
                      <w:sz w:val="13"/>
                      <w:szCs w:val="13"/>
                    </w:rPr>
                    <w:t>2</w:t>
                  </w:r>
                </w:p>
              </w:tc>
              <w:tc>
                <w:tcPr>
                  <w:tcW w:w="1210" w:type="dxa"/>
                  <w:vAlign w:val="top"/>
                </w:tcPr>
                <w:p w14:paraId="62E80B15">
                  <w:pPr>
                    <w:spacing w:before="60" w:line="199" w:lineRule="auto"/>
                    <w:ind w:left="5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922" w:type="dxa"/>
                  <w:vAlign w:val="top"/>
                </w:tcPr>
                <w:p w14:paraId="16DD08C7">
                  <w:pPr>
                    <w:spacing w:before="64" w:line="195" w:lineRule="auto"/>
                    <w:ind w:left="78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0.15</w:t>
                  </w:r>
                </w:p>
              </w:tc>
              <w:tc>
                <w:tcPr>
                  <w:tcW w:w="1186" w:type="dxa"/>
                  <w:vAlign w:val="top"/>
                </w:tcPr>
                <w:p w14:paraId="62913B5C">
                  <w:pPr>
                    <w:spacing w:before="64" w:line="195" w:lineRule="auto"/>
                    <w:ind w:left="4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0.15</w:t>
                  </w:r>
                </w:p>
              </w:tc>
            </w:tr>
            <w:tr w14:paraId="0406B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6" w:hRule="atLeast"/>
              </w:trPr>
              <w:tc>
                <w:tcPr>
                  <w:tcW w:w="577" w:type="dxa"/>
                  <w:vMerge w:val="continue"/>
                  <w:tcBorders>
                    <w:top w:val="nil"/>
                    <w:bottom w:val="nil"/>
                  </w:tcBorders>
                  <w:vAlign w:val="top"/>
                </w:tcPr>
                <w:p w14:paraId="4355456A">
                  <w:pPr>
                    <w:rPr>
                      <w:rFonts w:ascii="Arial"/>
                      <w:sz w:val="21"/>
                    </w:rPr>
                  </w:pPr>
                </w:p>
              </w:tc>
              <w:tc>
                <w:tcPr>
                  <w:tcW w:w="321" w:type="dxa"/>
                  <w:vMerge w:val="continue"/>
                  <w:tcBorders>
                    <w:top w:val="nil"/>
                    <w:bottom w:val="nil"/>
                  </w:tcBorders>
                  <w:textDirection w:val="tbRlV"/>
                  <w:vAlign w:val="top"/>
                </w:tcPr>
                <w:p w14:paraId="3B3CF117">
                  <w:pPr>
                    <w:rPr>
                      <w:rFonts w:ascii="Arial"/>
                      <w:sz w:val="21"/>
                    </w:rPr>
                  </w:pPr>
                </w:p>
              </w:tc>
              <w:tc>
                <w:tcPr>
                  <w:tcW w:w="321" w:type="dxa"/>
                  <w:vMerge w:val="continue"/>
                  <w:tcBorders>
                    <w:top w:val="nil"/>
                    <w:bottom w:val="nil"/>
                  </w:tcBorders>
                  <w:textDirection w:val="tbRlV"/>
                  <w:vAlign w:val="top"/>
                </w:tcPr>
                <w:p w14:paraId="580FD806">
                  <w:pPr>
                    <w:rPr>
                      <w:rFonts w:ascii="Arial"/>
                      <w:sz w:val="21"/>
                    </w:rPr>
                  </w:pPr>
                </w:p>
              </w:tc>
              <w:tc>
                <w:tcPr>
                  <w:tcW w:w="1540" w:type="dxa"/>
                  <w:vAlign w:val="top"/>
                </w:tcPr>
                <w:p w14:paraId="36D8A261">
                  <w:pPr>
                    <w:pStyle w:val="6"/>
                    <w:spacing w:before="30" w:line="217" w:lineRule="auto"/>
                    <w:ind w:left="241"/>
                  </w:pPr>
                  <w:r>
                    <w:rPr>
                      <w:spacing w:val="8"/>
                    </w:rPr>
                    <w:t>塔基施工区</w:t>
                  </w:r>
                </w:p>
              </w:tc>
              <w:tc>
                <w:tcPr>
                  <w:tcW w:w="843" w:type="dxa"/>
                  <w:vAlign w:val="top"/>
                </w:tcPr>
                <w:p w14:paraId="143492A6">
                  <w:pPr>
                    <w:spacing w:before="49" w:line="213" w:lineRule="auto"/>
                    <w:ind w:left="245"/>
                    <w:rPr>
                      <w:rFonts w:ascii="Times New Roman" w:hAnsi="Times New Roman" w:eastAsia="Times New Roman" w:cs="Times New Roman"/>
                      <w:sz w:val="13"/>
                      <w:szCs w:val="13"/>
                    </w:rPr>
                  </w:pPr>
                  <w:r>
                    <w:rPr>
                      <w:rFonts w:ascii="Times New Roman" w:hAnsi="Times New Roman" w:eastAsia="Times New Roman" w:cs="Times New Roman"/>
                      <w:position w:val="-1"/>
                      <w:sz w:val="20"/>
                      <w:szCs w:val="20"/>
                    </w:rPr>
                    <w:t>hm</w:t>
                  </w:r>
                  <w:r>
                    <w:rPr>
                      <w:rFonts w:ascii="Times New Roman" w:hAnsi="Times New Roman" w:eastAsia="Times New Roman" w:cs="Times New Roman"/>
                      <w:spacing w:val="15"/>
                      <w:position w:val="5"/>
                      <w:sz w:val="13"/>
                      <w:szCs w:val="13"/>
                    </w:rPr>
                    <w:t>2</w:t>
                  </w:r>
                </w:p>
              </w:tc>
              <w:tc>
                <w:tcPr>
                  <w:tcW w:w="1210" w:type="dxa"/>
                  <w:vAlign w:val="top"/>
                </w:tcPr>
                <w:p w14:paraId="15B55BAA">
                  <w:pPr>
                    <w:spacing w:before="62" w:line="199" w:lineRule="auto"/>
                    <w:ind w:left="5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922" w:type="dxa"/>
                  <w:vAlign w:val="top"/>
                </w:tcPr>
                <w:p w14:paraId="618D6C7C">
                  <w:pPr>
                    <w:spacing w:before="66" w:line="195" w:lineRule="auto"/>
                    <w:ind w:left="72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0.225</w:t>
                  </w:r>
                </w:p>
              </w:tc>
              <w:tc>
                <w:tcPr>
                  <w:tcW w:w="1186" w:type="dxa"/>
                  <w:vAlign w:val="top"/>
                </w:tcPr>
                <w:p w14:paraId="094AAF88">
                  <w:pPr>
                    <w:spacing w:before="66"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0.225</w:t>
                  </w:r>
                </w:p>
              </w:tc>
            </w:tr>
            <w:tr w14:paraId="0654E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577" w:type="dxa"/>
                  <w:vMerge w:val="continue"/>
                  <w:tcBorders>
                    <w:top w:val="nil"/>
                    <w:bottom w:val="nil"/>
                  </w:tcBorders>
                  <w:vAlign w:val="top"/>
                </w:tcPr>
                <w:p w14:paraId="437BF991">
                  <w:pPr>
                    <w:rPr>
                      <w:rFonts w:ascii="Arial"/>
                      <w:sz w:val="21"/>
                    </w:rPr>
                  </w:pPr>
                </w:p>
              </w:tc>
              <w:tc>
                <w:tcPr>
                  <w:tcW w:w="321" w:type="dxa"/>
                  <w:vMerge w:val="continue"/>
                  <w:tcBorders>
                    <w:top w:val="nil"/>
                    <w:bottom w:val="nil"/>
                  </w:tcBorders>
                  <w:textDirection w:val="tbRlV"/>
                  <w:vAlign w:val="top"/>
                </w:tcPr>
                <w:p w14:paraId="34F5B6DD">
                  <w:pPr>
                    <w:rPr>
                      <w:rFonts w:ascii="Arial"/>
                      <w:sz w:val="21"/>
                    </w:rPr>
                  </w:pPr>
                </w:p>
              </w:tc>
              <w:tc>
                <w:tcPr>
                  <w:tcW w:w="321" w:type="dxa"/>
                  <w:vMerge w:val="continue"/>
                  <w:tcBorders>
                    <w:top w:val="nil"/>
                  </w:tcBorders>
                  <w:textDirection w:val="tbRlV"/>
                  <w:vAlign w:val="top"/>
                </w:tcPr>
                <w:p w14:paraId="017611B0">
                  <w:pPr>
                    <w:rPr>
                      <w:rFonts w:ascii="Arial"/>
                      <w:sz w:val="21"/>
                    </w:rPr>
                  </w:pPr>
                </w:p>
              </w:tc>
              <w:tc>
                <w:tcPr>
                  <w:tcW w:w="1540" w:type="dxa"/>
                  <w:vAlign w:val="top"/>
                </w:tcPr>
                <w:p w14:paraId="25233BC3">
                  <w:pPr>
                    <w:pStyle w:val="6"/>
                    <w:spacing w:before="33" w:line="216" w:lineRule="auto"/>
                    <w:ind w:left="136"/>
                  </w:pPr>
                  <w:r>
                    <w:rPr>
                      <w:spacing w:val="8"/>
                    </w:rPr>
                    <w:t>跨越施工场地</w:t>
                  </w:r>
                </w:p>
              </w:tc>
              <w:tc>
                <w:tcPr>
                  <w:tcW w:w="843" w:type="dxa"/>
                  <w:vAlign w:val="top"/>
                </w:tcPr>
                <w:p w14:paraId="65AF9BDD">
                  <w:pPr>
                    <w:spacing w:before="48" w:line="216" w:lineRule="auto"/>
                    <w:ind w:left="245"/>
                    <w:rPr>
                      <w:rFonts w:ascii="Times New Roman" w:hAnsi="Times New Roman" w:eastAsia="Times New Roman" w:cs="Times New Roman"/>
                      <w:sz w:val="13"/>
                      <w:szCs w:val="13"/>
                    </w:rPr>
                  </w:pPr>
                  <w:r>
                    <w:rPr>
                      <w:rFonts w:ascii="Times New Roman" w:hAnsi="Times New Roman" w:eastAsia="Times New Roman" w:cs="Times New Roman"/>
                      <w:position w:val="-1"/>
                      <w:sz w:val="20"/>
                      <w:szCs w:val="20"/>
                    </w:rPr>
                    <w:t>hm</w:t>
                  </w:r>
                  <w:r>
                    <w:rPr>
                      <w:rFonts w:ascii="Times New Roman" w:hAnsi="Times New Roman" w:eastAsia="Times New Roman" w:cs="Times New Roman"/>
                      <w:spacing w:val="15"/>
                      <w:position w:val="5"/>
                      <w:sz w:val="13"/>
                      <w:szCs w:val="13"/>
                    </w:rPr>
                    <w:t>2</w:t>
                  </w:r>
                </w:p>
              </w:tc>
              <w:tc>
                <w:tcPr>
                  <w:tcW w:w="1210" w:type="dxa"/>
                  <w:vAlign w:val="top"/>
                </w:tcPr>
                <w:p w14:paraId="0C29A121">
                  <w:pPr>
                    <w:spacing w:before="64" w:line="199" w:lineRule="auto"/>
                    <w:ind w:left="5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922" w:type="dxa"/>
                  <w:vAlign w:val="top"/>
                </w:tcPr>
                <w:p w14:paraId="237B28B5">
                  <w:pPr>
                    <w:spacing w:before="68" w:line="195" w:lineRule="auto"/>
                    <w:ind w:left="78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0.14</w:t>
                  </w:r>
                </w:p>
              </w:tc>
              <w:tc>
                <w:tcPr>
                  <w:tcW w:w="1186" w:type="dxa"/>
                  <w:vAlign w:val="top"/>
                </w:tcPr>
                <w:p w14:paraId="3DBBC9E9">
                  <w:pPr>
                    <w:spacing w:before="68" w:line="195" w:lineRule="auto"/>
                    <w:ind w:left="40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4"/>
                      <w:sz w:val="20"/>
                      <w:szCs w:val="20"/>
                    </w:rPr>
                    <w:t>14</w:t>
                  </w:r>
                </w:p>
              </w:tc>
            </w:tr>
            <w:tr w14:paraId="66E04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6" w:hRule="atLeast"/>
              </w:trPr>
              <w:tc>
                <w:tcPr>
                  <w:tcW w:w="577" w:type="dxa"/>
                  <w:vMerge w:val="continue"/>
                  <w:tcBorders>
                    <w:top w:val="nil"/>
                  </w:tcBorders>
                  <w:vAlign w:val="top"/>
                </w:tcPr>
                <w:p w14:paraId="2C5E99D5">
                  <w:pPr>
                    <w:rPr>
                      <w:rFonts w:ascii="Arial"/>
                      <w:sz w:val="21"/>
                    </w:rPr>
                  </w:pPr>
                </w:p>
              </w:tc>
              <w:tc>
                <w:tcPr>
                  <w:tcW w:w="321" w:type="dxa"/>
                  <w:vMerge w:val="continue"/>
                  <w:tcBorders>
                    <w:top w:val="nil"/>
                  </w:tcBorders>
                  <w:textDirection w:val="tbRlV"/>
                  <w:vAlign w:val="top"/>
                </w:tcPr>
                <w:p w14:paraId="09D3437C">
                  <w:pPr>
                    <w:rPr>
                      <w:rFonts w:ascii="Arial"/>
                      <w:sz w:val="21"/>
                    </w:rPr>
                  </w:pPr>
                </w:p>
              </w:tc>
              <w:tc>
                <w:tcPr>
                  <w:tcW w:w="1861" w:type="dxa"/>
                  <w:gridSpan w:val="2"/>
                  <w:vAlign w:val="top"/>
                </w:tcPr>
                <w:p w14:paraId="106B25F1">
                  <w:pPr>
                    <w:pStyle w:val="6"/>
                    <w:spacing w:before="33" w:line="215" w:lineRule="auto"/>
                    <w:ind w:left="717"/>
                  </w:pPr>
                  <w:r>
                    <w:rPr>
                      <w:spacing w:val="4"/>
                    </w:rPr>
                    <w:t>合计</w:t>
                  </w:r>
                </w:p>
              </w:tc>
              <w:tc>
                <w:tcPr>
                  <w:tcW w:w="843" w:type="dxa"/>
                  <w:vAlign w:val="top"/>
                </w:tcPr>
                <w:p w14:paraId="0EED6B22">
                  <w:pPr>
                    <w:spacing w:before="49" w:line="216" w:lineRule="auto"/>
                    <w:ind w:left="245"/>
                    <w:rPr>
                      <w:rFonts w:ascii="Times New Roman" w:hAnsi="Times New Roman" w:eastAsia="Times New Roman" w:cs="Times New Roman"/>
                      <w:sz w:val="13"/>
                      <w:szCs w:val="13"/>
                    </w:rPr>
                  </w:pPr>
                  <w:r>
                    <w:rPr>
                      <w:rFonts w:ascii="Times New Roman" w:hAnsi="Times New Roman" w:eastAsia="Times New Roman" w:cs="Times New Roman"/>
                      <w:position w:val="-1"/>
                      <w:sz w:val="20"/>
                      <w:szCs w:val="20"/>
                    </w:rPr>
                    <w:t>hm</w:t>
                  </w:r>
                  <w:r>
                    <w:rPr>
                      <w:rFonts w:ascii="Times New Roman" w:hAnsi="Times New Roman" w:eastAsia="Times New Roman" w:cs="Times New Roman"/>
                      <w:spacing w:val="15"/>
                      <w:position w:val="5"/>
                      <w:sz w:val="13"/>
                      <w:szCs w:val="13"/>
                    </w:rPr>
                    <w:t>2</w:t>
                  </w:r>
                </w:p>
              </w:tc>
              <w:tc>
                <w:tcPr>
                  <w:tcW w:w="1210" w:type="dxa"/>
                  <w:vAlign w:val="top"/>
                </w:tcPr>
                <w:p w14:paraId="04C36D9D">
                  <w:pPr>
                    <w:spacing w:before="69" w:line="195" w:lineRule="auto"/>
                    <w:ind w:left="38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1.087</w:t>
                  </w:r>
                </w:p>
              </w:tc>
              <w:tc>
                <w:tcPr>
                  <w:tcW w:w="1922" w:type="dxa"/>
                  <w:vAlign w:val="top"/>
                </w:tcPr>
                <w:p w14:paraId="1914A15C">
                  <w:pPr>
                    <w:spacing w:before="69" w:line="195" w:lineRule="auto"/>
                    <w:ind w:left="72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0.875</w:t>
                  </w:r>
                </w:p>
              </w:tc>
              <w:tc>
                <w:tcPr>
                  <w:tcW w:w="1186" w:type="dxa"/>
                  <w:vAlign w:val="top"/>
                </w:tcPr>
                <w:p w14:paraId="51DBA3F5">
                  <w:pPr>
                    <w:spacing w:before="69" w:line="195" w:lineRule="auto"/>
                    <w:ind w:left="37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1.962</w:t>
                  </w:r>
                </w:p>
              </w:tc>
            </w:tr>
            <w:tr w14:paraId="3BCF8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6" w:hRule="atLeast"/>
              </w:trPr>
              <w:tc>
                <w:tcPr>
                  <w:tcW w:w="577" w:type="dxa"/>
                  <w:vAlign w:val="top"/>
                </w:tcPr>
                <w:p w14:paraId="4F68B982">
                  <w:pPr>
                    <w:spacing w:before="71" w:line="195" w:lineRule="auto"/>
                    <w:ind w:left="230"/>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182" w:type="dxa"/>
                  <w:gridSpan w:val="3"/>
                  <w:vAlign w:val="top"/>
                </w:tcPr>
                <w:p w14:paraId="1CDEE3C3">
                  <w:pPr>
                    <w:pStyle w:val="6"/>
                    <w:spacing w:before="35" w:line="213" w:lineRule="auto"/>
                    <w:ind w:left="669"/>
                  </w:pPr>
                  <w:r>
                    <w:rPr>
                      <w:spacing w:val="6"/>
                    </w:rPr>
                    <w:t>主变规模</w:t>
                  </w:r>
                </w:p>
              </w:tc>
              <w:tc>
                <w:tcPr>
                  <w:tcW w:w="843" w:type="dxa"/>
                  <w:vAlign w:val="top"/>
                </w:tcPr>
                <w:p w14:paraId="5433258A">
                  <w:pPr>
                    <w:spacing w:before="67" w:line="199" w:lineRule="auto"/>
                    <w:ind w:left="38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10" w:type="dxa"/>
                  <w:vAlign w:val="top"/>
                </w:tcPr>
                <w:p w14:paraId="70156E50">
                  <w:pPr>
                    <w:spacing w:before="70" w:line="195" w:lineRule="auto"/>
                    <w:ind w:left="103"/>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2×50</w:t>
                  </w:r>
                  <w:r>
                    <w:rPr>
                      <w:rFonts w:ascii="Times New Roman" w:hAnsi="Times New Roman" w:eastAsia="Times New Roman" w:cs="Times New Roman"/>
                      <w:sz w:val="20"/>
                      <w:szCs w:val="20"/>
                    </w:rPr>
                    <w:t>MVA</w:t>
                  </w:r>
                </w:p>
              </w:tc>
              <w:tc>
                <w:tcPr>
                  <w:tcW w:w="1922" w:type="dxa"/>
                  <w:vAlign w:val="top"/>
                </w:tcPr>
                <w:p w14:paraId="5FBB5974">
                  <w:pPr>
                    <w:spacing w:before="67" w:line="199" w:lineRule="auto"/>
                    <w:ind w:left="92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86" w:type="dxa"/>
                  <w:vAlign w:val="top"/>
                </w:tcPr>
                <w:p w14:paraId="2FBA2F80">
                  <w:pPr>
                    <w:spacing w:before="67" w:line="199" w:lineRule="auto"/>
                    <w:ind w:left="55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511C1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8" w:hRule="atLeast"/>
              </w:trPr>
              <w:tc>
                <w:tcPr>
                  <w:tcW w:w="577" w:type="dxa"/>
                  <w:vAlign w:val="top"/>
                </w:tcPr>
                <w:p w14:paraId="7C068945">
                  <w:pPr>
                    <w:spacing w:line="284" w:lineRule="auto"/>
                    <w:rPr>
                      <w:rFonts w:ascii="Arial"/>
                      <w:sz w:val="21"/>
                    </w:rPr>
                  </w:pPr>
                </w:p>
                <w:p w14:paraId="470F395B">
                  <w:pPr>
                    <w:spacing w:before="58" w:line="195" w:lineRule="auto"/>
                    <w:ind w:left="23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182" w:type="dxa"/>
                  <w:gridSpan w:val="3"/>
                  <w:vAlign w:val="top"/>
                </w:tcPr>
                <w:p w14:paraId="018A8AF7">
                  <w:pPr>
                    <w:spacing w:line="241" w:lineRule="auto"/>
                    <w:rPr>
                      <w:rFonts w:ascii="Arial"/>
                      <w:sz w:val="21"/>
                    </w:rPr>
                  </w:pPr>
                </w:p>
                <w:p w14:paraId="2B9707FB">
                  <w:pPr>
                    <w:pStyle w:val="6"/>
                    <w:spacing w:before="65" w:line="228" w:lineRule="auto"/>
                    <w:ind w:left="670"/>
                  </w:pPr>
                  <w:r>
                    <w:rPr>
                      <w:spacing w:val="6"/>
                    </w:rPr>
                    <w:t>线路规模</w:t>
                  </w:r>
                </w:p>
              </w:tc>
              <w:tc>
                <w:tcPr>
                  <w:tcW w:w="843" w:type="dxa"/>
                  <w:vAlign w:val="top"/>
                </w:tcPr>
                <w:p w14:paraId="26AF893E">
                  <w:pPr>
                    <w:spacing w:line="280" w:lineRule="auto"/>
                    <w:rPr>
                      <w:rFonts w:ascii="Arial"/>
                      <w:sz w:val="21"/>
                    </w:rPr>
                  </w:pPr>
                </w:p>
                <w:p w14:paraId="0BD98D87">
                  <w:pPr>
                    <w:spacing w:before="58" w:line="199" w:lineRule="auto"/>
                    <w:ind w:left="38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10" w:type="dxa"/>
                  <w:vAlign w:val="top"/>
                </w:tcPr>
                <w:p w14:paraId="793F583B">
                  <w:pPr>
                    <w:spacing w:line="280" w:lineRule="auto"/>
                    <w:rPr>
                      <w:rFonts w:ascii="Arial"/>
                      <w:sz w:val="21"/>
                    </w:rPr>
                  </w:pPr>
                </w:p>
                <w:p w14:paraId="1FA43449">
                  <w:pPr>
                    <w:spacing w:before="58" w:line="199" w:lineRule="auto"/>
                    <w:ind w:left="5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922" w:type="dxa"/>
                  <w:vAlign w:val="top"/>
                </w:tcPr>
                <w:p w14:paraId="66E5C483">
                  <w:pPr>
                    <w:pStyle w:val="6"/>
                    <w:spacing w:before="34" w:line="228" w:lineRule="auto"/>
                    <w:ind w:left="147"/>
                  </w:pPr>
                  <w:r>
                    <w:rPr>
                      <w:rFonts w:ascii="Times New Roman" w:hAnsi="Times New Roman" w:eastAsia="Times New Roman" w:cs="Times New Roman"/>
                      <w:spacing w:val="-2"/>
                    </w:rPr>
                    <w:t>110kV</w:t>
                  </w:r>
                  <w:r>
                    <w:rPr>
                      <w:rFonts w:ascii="Times New Roman" w:hAnsi="Times New Roman" w:eastAsia="Times New Roman" w:cs="Times New Roman"/>
                      <w:spacing w:val="16"/>
                    </w:rPr>
                    <w:t xml:space="preserve"> </w:t>
                  </w:r>
                  <w:r>
                    <w:rPr>
                      <w:spacing w:val="-2"/>
                    </w:rPr>
                    <w:t>线路</w:t>
                  </w:r>
                  <w:r>
                    <w:rPr>
                      <w:spacing w:val="-41"/>
                    </w:rPr>
                    <w:t xml:space="preserve"> </w:t>
                  </w:r>
                  <w:r>
                    <w:rPr>
                      <w:rFonts w:ascii="Times New Roman" w:hAnsi="Times New Roman" w:eastAsia="Times New Roman" w:cs="Times New Roman"/>
                      <w:spacing w:val="-2"/>
                    </w:rPr>
                    <w:t>2</w:t>
                  </w:r>
                  <w:r>
                    <w:rPr>
                      <w:rFonts w:ascii="Times New Roman" w:hAnsi="Times New Roman" w:eastAsia="Times New Roman" w:cs="Times New Roman"/>
                      <w:spacing w:val="30"/>
                    </w:rPr>
                    <w:t xml:space="preserve"> </w:t>
                  </w:r>
                  <w:r>
                    <w:rPr>
                      <w:spacing w:val="-2"/>
                    </w:rPr>
                    <w:t>回；</w:t>
                  </w:r>
                </w:p>
                <w:p w14:paraId="1F0DD71D">
                  <w:pPr>
                    <w:pStyle w:val="6"/>
                    <w:spacing w:before="26" w:line="228" w:lineRule="auto"/>
                    <w:jc w:val="right"/>
                    <w:rPr>
                      <w:rFonts w:ascii="Times New Roman" w:hAnsi="Times New Roman" w:eastAsia="Times New Roman" w:cs="Times New Roman"/>
                    </w:rPr>
                  </w:pPr>
                  <w:r>
                    <w:rPr>
                      <w:rFonts w:ascii="Times New Roman" w:hAnsi="Times New Roman" w:eastAsia="Times New Roman" w:cs="Times New Roman"/>
                      <w:spacing w:val="-8"/>
                    </w:rPr>
                    <w:t>35kV</w:t>
                  </w:r>
                  <w:r>
                    <w:rPr>
                      <w:rFonts w:ascii="Times New Roman" w:hAnsi="Times New Roman" w:eastAsia="Times New Roman" w:cs="Times New Roman"/>
                      <w:spacing w:val="-7"/>
                    </w:rPr>
                    <w:t xml:space="preserve"> </w:t>
                  </w:r>
                  <w:r>
                    <w:rPr>
                      <w:spacing w:val="-7"/>
                    </w:rPr>
                    <w:t>线路</w:t>
                  </w:r>
                  <w:r>
                    <w:rPr>
                      <w:spacing w:val="-17"/>
                    </w:rPr>
                    <w:t xml:space="preserve"> </w:t>
                  </w:r>
                  <w:r>
                    <w:rPr>
                      <w:rFonts w:ascii="Times New Roman" w:hAnsi="Times New Roman" w:eastAsia="Times New Roman" w:cs="Times New Roman"/>
                      <w:spacing w:val="-7"/>
                    </w:rPr>
                    <w:t>1</w:t>
                  </w:r>
                  <w:r>
                    <w:rPr>
                      <w:rFonts w:ascii="Times New Roman" w:hAnsi="Times New Roman" w:eastAsia="Times New Roman" w:cs="Times New Roman"/>
                      <w:spacing w:val="27"/>
                      <w:w w:val="101"/>
                    </w:rPr>
                    <w:t xml:space="preserve"> </w:t>
                  </w:r>
                  <w:r>
                    <w:rPr>
                      <w:spacing w:val="-7"/>
                    </w:rPr>
                    <w:t>回；</w:t>
                  </w:r>
                  <w:r>
                    <w:rPr>
                      <w:rFonts w:ascii="Times New Roman" w:hAnsi="Times New Roman" w:eastAsia="Times New Roman" w:cs="Times New Roman"/>
                      <w:spacing w:val="-7"/>
                    </w:rPr>
                    <w:t>10k</w:t>
                  </w:r>
                  <w:r>
                    <w:rPr>
                      <w:rFonts w:ascii="Times New Roman" w:hAnsi="Times New Roman" w:eastAsia="Times New Roman" w:cs="Times New Roman"/>
                      <w:spacing w:val="-3"/>
                    </w:rPr>
                    <w:t>V</w:t>
                  </w:r>
                </w:p>
                <w:p w14:paraId="6285B93A">
                  <w:pPr>
                    <w:pStyle w:val="6"/>
                    <w:spacing w:before="24" w:line="211" w:lineRule="auto"/>
                    <w:ind w:left="546"/>
                  </w:pPr>
                  <w:r>
                    <w:t>线路</w:t>
                  </w:r>
                  <w:r>
                    <w:rPr>
                      <w:spacing w:val="-35"/>
                    </w:rPr>
                    <w:t xml:space="preserve"> </w:t>
                  </w:r>
                  <w:r>
                    <w:rPr>
                      <w:rFonts w:ascii="Times New Roman" w:hAnsi="Times New Roman" w:eastAsia="Times New Roman" w:cs="Times New Roman"/>
                    </w:rPr>
                    <w:t>9</w:t>
                  </w:r>
                  <w:r>
                    <w:rPr>
                      <w:rFonts w:ascii="Times New Roman" w:hAnsi="Times New Roman" w:eastAsia="Times New Roman" w:cs="Times New Roman"/>
                      <w:spacing w:val="33"/>
                    </w:rPr>
                    <w:t xml:space="preserve"> </w:t>
                  </w:r>
                  <w:r>
                    <w:t>回</w:t>
                  </w:r>
                </w:p>
              </w:tc>
              <w:tc>
                <w:tcPr>
                  <w:tcW w:w="1186" w:type="dxa"/>
                  <w:vAlign w:val="top"/>
                </w:tcPr>
                <w:p w14:paraId="09B7BCF3">
                  <w:pPr>
                    <w:spacing w:line="280" w:lineRule="auto"/>
                    <w:rPr>
                      <w:rFonts w:ascii="Arial"/>
                      <w:sz w:val="21"/>
                    </w:rPr>
                  </w:pPr>
                </w:p>
                <w:p w14:paraId="21D4B1B3">
                  <w:pPr>
                    <w:spacing w:before="58" w:line="199" w:lineRule="auto"/>
                    <w:ind w:left="55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020C6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577" w:type="dxa"/>
                  <w:vAlign w:val="top"/>
                </w:tcPr>
                <w:p w14:paraId="1BB82E96">
                  <w:pPr>
                    <w:spacing w:before="60" w:line="195" w:lineRule="auto"/>
                    <w:ind w:left="22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182" w:type="dxa"/>
                  <w:gridSpan w:val="3"/>
                  <w:vAlign w:val="top"/>
                </w:tcPr>
                <w:p w14:paraId="2629873B">
                  <w:pPr>
                    <w:pStyle w:val="6"/>
                    <w:spacing w:before="39" w:line="210" w:lineRule="auto"/>
                    <w:ind w:left="670"/>
                  </w:pPr>
                  <w:r>
                    <w:rPr>
                      <w:spacing w:val="6"/>
                    </w:rPr>
                    <w:t>建筑面积</w:t>
                  </w:r>
                </w:p>
              </w:tc>
              <w:tc>
                <w:tcPr>
                  <w:tcW w:w="843" w:type="dxa"/>
                  <w:vAlign w:val="top"/>
                </w:tcPr>
                <w:p w14:paraId="1DD0EF02">
                  <w:pPr>
                    <w:spacing w:before="40" w:line="216" w:lineRule="auto"/>
                    <w:ind w:left="298"/>
                    <w:rPr>
                      <w:rFonts w:ascii="Times New Roman" w:hAnsi="Times New Roman" w:eastAsia="Times New Roman" w:cs="Times New Roman"/>
                      <w:sz w:val="13"/>
                      <w:szCs w:val="13"/>
                    </w:rPr>
                  </w:pPr>
                  <w:r>
                    <w:rPr>
                      <w:rFonts w:ascii="Times New Roman" w:hAnsi="Times New Roman" w:eastAsia="Times New Roman" w:cs="Times New Roman"/>
                      <w:spacing w:val="4"/>
                      <w:position w:val="-3"/>
                      <w:sz w:val="20"/>
                      <w:szCs w:val="20"/>
                    </w:rPr>
                    <w:t>m</w:t>
                  </w:r>
                  <w:r>
                    <w:rPr>
                      <w:rFonts w:ascii="Times New Roman" w:hAnsi="Times New Roman" w:eastAsia="Times New Roman" w:cs="Times New Roman"/>
                      <w:spacing w:val="4"/>
                      <w:position w:val="3"/>
                      <w:sz w:val="13"/>
                      <w:szCs w:val="13"/>
                    </w:rPr>
                    <w:t>2</w:t>
                  </w:r>
                </w:p>
              </w:tc>
              <w:tc>
                <w:tcPr>
                  <w:tcW w:w="1210" w:type="dxa"/>
                  <w:vAlign w:val="top"/>
                </w:tcPr>
                <w:p w14:paraId="16F712F9">
                  <w:pPr>
                    <w:spacing w:before="60" w:line="195" w:lineRule="auto"/>
                    <w:ind w:left="27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1670.83</w:t>
                  </w:r>
                </w:p>
              </w:tc>
              <w:tc>
                <w:tcPr>
                  <w:tcW w:w="1922" w:type="dxa"/>
                  <w:vAlign w:val="top"/>
                </w:tcPr>
                <w:p w14:paraId="723DD7FB">
                  <w:pPr>
                    <w:spacing w:before="56" w:line="199" w:lineRule="auto"/>
                    <w:ind w:left="92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186" w:type="dxa"/>
                  <w:vAlign w:val="top"/>
                </w:tcPr>
                <w:p w14:paraId="19A00465">
                  <w:pPr>
                    <w:spacing w:before="56" w:line="199" w:lineRule="auto"/>
                    <w:ind w:left="55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0B90A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5" w:hRule="atLeast"/>
              </w:trPr>
              <w:tc>
                <w:tcPr>
                  <w:tcW w:w="577" w:type="dxa"/>
                  <w:vAlign w:val="top"/>
                </w:tcPr>
                <w:p w14:paraId="4C5EE1F0">
                  <w:pPr>
                    <w:spacing w:before="64" w:line="192" w:lineRule="auto"/>
                    <w:ind w:left="23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2182" w:type="dxa"/>
                  <w:gridSpan w:val="3"/>
                  <w:vAlign w:val="top"/>
                </w:tcPr>
                <w:p w14:paraId="47DC99DC">
                  <w:pPr>
                    <w:pStyle w:val="6"/>
                    <w:spacing w:before="39" w:line="217" w:lineRule="auto"/>
                    <w:ind w:left="668"/>
                  </w:pPr>
                  <w:r>
                    <w:rPr>
                      <w:spacing w:val="7"/>
                    </w:rPr>
                    <w:t>动态投资</w:t>
                  </w:r>
                </w:p>
              </w:tc>
              <w:tc>
                <w:tcPr>
                  <w:tcW w:w="843" w:type="dxa"/>
                  <w:vAlign w:val="top"/>
                </w:tcPr>
                <w:p w14:paraId="330491C0">
                  <w:pPr>
                    <w:pStyle w:val="6"/>
                    <w:spacing w:before="39" w:line="217" w:lineRule="auto"/>
                    <w:ind w:left="216"/>
                  </w:pPr>
                  <w:r>
                    <w:rPr>
                      <w:spacing w:val="2"/>
                    </w:rPr>
                    <w:t>万元</w:t>
                  </w:r>
                </w:p>
              </w:tc>
              <w:tc>
                <w:tcPr>
                  <w:tcW w:w="4318" w:type="dxa"/>
                  <w:gridSpan w:val="3"/>
                  <w:vAlign w:val="top"/>
                </w:tcPr>
                <w:p w14:paraId="6ED3D0C4">
                  <w:pPr>
                    <w:spacing w:before="61" w:line="195" w:lineRule="auto"/>
                    <w:ind w:left="1911"/>
                    <w:rPr>
                      <w:rFonts w:ascii="Times New Roman" w:hAnsi="Times New Roman" w:eastAsia="Times New Roman" w:cs="Times New Roman"/>
                      <w:sz w:val="20"/>
                      <w:szCs w:val="20"/>
                    </w:rPr>
                  </w:pPr>
                  <w:r>
                    <w:rPr>
                      <w:rFonts w:ascii="Times New Roman" w:hAnsi="Times New Roman" w:eastAsia="Times New Roman" w:cs="Times New Roman"/>
                      <w:sz w:val="20"/>
                      <w:szCs w:val="20"/>
                    </w:rPr>
                    <w:t>10121</w:t>
                  </w:r>
                </w:p>
              </w:tc>
            </w:tr>
          </w:tbl>
          <w:p w14:paraId="44371D2E">
            <w:pPr>
              <w:pStyle w:val="6"/>
              <w:spacing w:before="157" w:line="219" w:lineRule="auto"/>
              <w:ind w:left="101"/>
              <w:rPr>
                <w:sz w:val="24"/>
                <w:szCs w:val="24"/>
              </w:rPr>
            </w:pPr>
            <w:r>
              <w:rPr>
                <w:b/>
                <w:bCs/>
                <w:spacing w:val="-1"/>
              </w:rPr>
              <w:t>七、</w:t>
            </w:r>
            <w:r>
              <w:rPr>
                <w:b/>
                <w:bCs/>
                <w:spacing w:val="-1"/>
                <w:sz w:val="24"/>
                <w:szCs w:val="24"/>
              </w:rPr>
              <w:t>工作制度和劳动定员</w:t>
            </w:r>
          </w:p>
          <w:p w14:paraId="09175DB1">
            <w:pPr>
              <w:pStyle w:val="6"/>
              <w:spacing w:before="180" w:line="343" w:lineRule="auto"/>
              <w:ind w:left="103" w:right="127" w:firstLine="498"/>
              <w:rPr>
                <w:sz w:val="24"/>
                <w:szCs w:val="24"/>
              </w:rPr>
            </w:pPr>
            <w:r>
              <w:rPr>
                <w:rFonts w:ascii="Times New Roman" w:hAnsi="Times New Roman" w:eastAsia="Times New Roman" w:cs="Times New Roman"/>
                <w:sz w:val="24"/>
                <w:szCs w:val="24"/>
              </w:rPr>
              <w:t xml:space="preserve">110kV </w:t>
            </w:r>
            <w:r>
              <w:rPr>
                <w:sz w:val="24"/>
                <w:szCs w:val="24"/>
              </w:rPr>
              <w:t>松山变电站运行期设置安保人员</w:t>
            </w:r>
            <w:r>
              <w:rPr>
                <w:spacing w:val="-46"/>
                <w:sz w:val="24"/>
                <w:szCs w:val="24"/>
              </w:rPr>
              <w:t xml:space="preserve"> </w:t>
            </w:r>
            <w:r>
              <w:rPr>
                <w:rFonts w:ascii="Times New Roman" w:hAnsi="Times New Roman" w:eastAsia="Times New Roman" w:cs="Times New Roman"/>
                <w:sz w:val="24"/>
                <w:szCs w:val="24"/>
              </w:rPr>
              <w:t xml:space="preserve">5 </w:t>
            </w:r>
            <w:r>
              <w:rPr>
                <w:sz w:val="24"/>
                <w:szCs w:val="24"/>
              </w:rPr>
              <w:t>人，实行每日8</w:t>
            </w:r>
            <w:r>
              <w:rPr>
                <w:spacing w:val="-44"/>
                <w:sz w:val="24"/>
                <w:szCs w:val="24"/>
              </w:rPr>
              <w:t xml:space="preserve"> </w:t>
            </w:r>
            <w:r>
              <w:rPr>
                <w:sz w:val="24"/>
                <w:szCs w:val="24"/>
              </w:rPr>
              <w:t>小时，年工作</w:t>
            </w:r>
            <w:r>
              <w:rPr>
                <w:rFonts w:ascii="Times New Roman" w:hAnsi="Times New Roman" w:eastAsia="Times New Roman" w:cs="Times New Roman"/>
                <w:spacing w:val="-1"/>
                <w:sz w:val="24"/>
                <w:szCs w:val="24"/>
              </w:rPr>
              <w:t xml:space="preserve">365 </w:t>
            </w:r>
            <w:r>
              <w:rPr>
                <w:spacing w:val="-1"/>
                <w:sz w:val="24"/>
                <w:szCs w:val="24"/>
              </w:rPr>
              <w:t>天。其他工程不新增工作人员。</w:t>
            </w:r>
          </w:p>
        </w:tc>
      </w:tr>
    </w:tbl>
    <w:p w14:paraId="1CFA4641">
      <w:pPr>
        <w:rPr>
          <w:rFonts w:ascii="Arial"/>
          <w:sz w:val="21"/>
        </w:rPr>
      </w:pPr>
    </w:p>
    <w:p w14:paraId="5296E301">
      <w:pPr>
        <w:rPr>
          <w:rFonts w:ascii="Arial" w:hAnsi="Arial" w:eastAsia="Arial" w:cs="Arial"/>
          <w:sz w:val="21"/>
          <w:szCs w:val="21"/>
        </w:rPr>
        <w:sectPr>
          <w:footerReference r:id="rId50" w:type="default"/>
          <w:pgSz w:w="11907" w:h="16840"/>
          <w:pgMar w:top="400" w:right="1684" w:bottom="1240" w:left="1683" w:header="0" w:footer="1077" w:gutter="0"/>
          <w:cols w:space="720" w:num="1"/>
        </w:sectPr>
      </w:pPr>
    </w:p>
    <w:p w14:paraId="7F30F5C6">
      <w:pPr>
        <w:spacing w:before="19"/>
      </w:pPr>
    </w:p>
    <w:p w14:paraId="7A9AB985">
      <w:pPr>
        <w:spacing w:before="19"/>
      </w:pPr>
    </w:p>
    <w:p w14:paraId="653F6512">
      <w:pPr>
        <w:spacing w:before="18"/>
      </w:pPr>
    </w:p>
    <w:p w14:paraId="5E35D3D1">
      <w:pPr>
        <w:spacing w:before="18"/>
      </w:pPr>
    </w:p>
    <w:tbl>
      <w:tblPr>
        <w:tblStyle w:val="5"/>
        <w:tblW w:w="85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5"/>
        <w:gridCol w:w="8149"/>
      </w:tblGrid>
      <w:tr w14:paraId="2600A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46" w:hRule="atLeast"/>
        </w:trPr>
        <w:tc>
          <w:tcPr>
            <w:tcW w:w="375" w:type="dxa"/>
            <w:textDirection w:val="tbRlV"/>
            <w:vAlign w:val="top"/>
          </w:tcPr>
          <w:p w14:paraId="669BE0C1">
            <w:pPr>
              <w:pStyle w:val="6"/>
              <w:spacing w:before="17" w:line="209" w:lineRule="auto"/>
              <w:ind w:left="5563"/>
              <w:rPr>
                <w:sz w:val="24"/>
                <w:szCs w:val="24"/>
              </w:rPr>
            </w:pPr>
            <w:r>
              <w:rPr>
                <w:spacing w:val="-1"/>
                <w:sz w:val="24"/>
                <w:szCs w:val="24"/>
              </w:rPr>
              <w:t>总</w:t>
            </w:r>
            <w:r>
              <w:rPr>
                <w:spacing w:val="-43"/>
                <w:sz w:val="24"/>
                <w:szCs w:val="24"/>
              </w:rPr>
              <w:t xml:space="preserve"> </w:t>
            </w:r>
            <w:r>
              <w:rPr>
                <w:spacing w:val="-1"/>
                <w:sz w:val="24"/>
                <w:szCs w:val="24"/>
              </w:rPr>
              <w:t>平</w:t>
            </w:r>
            <w:r>
              <w:rPr>
                <w:spacing w:val="-48"/>
                <w:sz w:val="24"/>
                <w:szCs w:val="24"/>
              </w:rPr>
              <w:t xml:space="preserve"> </w:t>
            </w:r>
            <w:r>
              <w:rPr>
                <w:spacing w:val="-1"/>
                <w:sz w:val="24"/>
                <w:szCs w:val="24"/>
              </w:rPr>
              <w:t>面</w:t>
            </w:r>
            <w:r>
              <w:rPr>
                <w:spacing w:val="-50"/>
                <w:sz w:val="24"/>
                <w:szCs w:val="24"/>
              </w:rPr>
              <w:t xml:space="preserve"> </w:t>
            </w:r>
            <w:r>
              <w:rPr>
                <w:spacing w:val="-1"/>
                <w:sz w:val="24"/>
                <w:szCs w:val="24"/>
              </w:rPr>
              <w:t>及</w:t>
            </w:r>
            <w:r>
              <w:rPr>
                <w:spacing w:val="-48"/>
                <w:sz w:val="24"/>
                <w:szCs w:val="24"/>
              </w:rPr>
              <w:t xml:space="preserve"> </w:t>
            </w:r>
            <w:r>
              <w:rPr>
                <w:spacing w:val="-1"/>
                <w:sz w:val="24"/>
                <w:szCs w:val="24"/>
              </w:rPr>
              <w:t>现</w:t>
            </w:r>
            <w:r>
              <w:rPr>
                <w:spacing w:val="-47"/>
                <w:sz w:val="24"/>
                <w:szCs w:val="24"/>
              </w:rPr>
              <w:t xml:space="preserve"> </w:t>
            </w:r>
            <w:r>
              <w:rPr>
                <w:spacing w:val="-1"/>
                <w:sz w:val="24"/>
                <w:szCs w:val="24"/>
              </w:rPr>
              <w:t>场</w:t>
            </w:r>
            <w:r>
              <w:rPr>
                <w:spacing w:val="-51"/>
                <w:sz w:val="24"/>
                <w:szCs w:val="24"/>
              </w:rPr>
              <w:t xml:space="preserve"> </w:t>
            </w:r>
            <w:r>
              <w:rPr>
                <w:spacing w:val="-1"/>
                <w:sz w:val="24"/>
                <w:szCs w:val="24"/>
              </w:rPr>
              <w:t>布</w:t>
            </w:r>
            <w:r>
              <w:rPr>
                <w:spacing w:val="-47"/>
                <w:sz w:val="24"/>
                <w:szCs w:val="24"/>
              </w:rPr>
              <w:t xml:space="preserve"> </w:t>
            </w:r>
            <w:r>
              <w:rPr>
                <w:spacing w:val="-1"/>
                <w:sz w:val="24"/>
                <w:szCs w:val="24"/>
              </w:rPr>
              <w:t>置</w:t>
            </w:r>
          </w:p>
        </w:tc>
        <w:tc>
          <w:tcPr>
            <w:tcW w:w="8149" w:type="dxa"/>
            <w:vAlign w:val="top"/>
          </w:tcPr>
          <w:p w14:paraId="7BFF920C">
            <w:pPr>
              <w:pStyle w:val="6"/>
              <w:spacing w:before="40" w:line="219" w:lineRule="auto"/>
              <w:ind w:left="106"/>
              <w:rPr>
                <w:sz w:val="24"/>
                <w:szCs w:val="24"/>
              </w:rPr>
            </w:pPr>
            <w:r>
              <w:rPr>
                <w:b/>
                <w:bCs/>
                <w:spacing w:val="-3"/>
                <w:sz w:val="24"/>
                <w:szCs w:val="24"/>
              </w:rPr>
              <w:t>一、变电站总平面布置</w:t>
            </w:r>
          </w:p>
          <w:p w14:paraId="77FD869E">
            <w:pPr>
              <w:pStyle w:val="6"/>
              <w:spacing w:before="182" w:line="359" w:lineRule="auto"/>
              <w:ind w:left="103" w:right="103" w:firstLine="480"/>
              <w:jc w:val="both"/>
              <w:rPr>
                <w:sz w:val="24"/>
                <w:szCs w:val="24"/>
              </w:rPr>
            </w:pPr>
            <w:r>
              <w:rPr>
                <w:sz w:val="24"/>
                <w:szCs w:val="24"/>
              </w:rPr>
              <w:t>根据工艺流程、线路规划、进站道路和地形地质条件，以及设备检修安</w:t>
            </w:r>
            <w:r>
              <w:rPr>
                <w:spacing w:val="-1"/>
                <w:sz w:val="24"/>
                <w:szCs w:val="24"/>
              </w:rPr>
              <w:t>装，消防等要求，站区整体呈矩形布置，其中东西方向最宽约</w:t>
            </w:r>
            <w:r>
              <w:rPr>
                <w:spacing w:val="-50"/>
                <w:sz w:val="24"/>
                <w:szCs w:val="24"/>
              </w:rPr>
              <w:t xml:space="preserve"> </w:t>
            </w:r>
            <w:r>
              <w:rPr>
                <w:rFonts w:ascii="Times New Roman" w:hAnsi="Times New Roman" w:eastAsia="Times New Roman" w:cs="Times New Roman"/>
                <w:spacing w:val="-1"/>
                <w:sz w:val="24"/>
                <w:szCs w:val="24"/>
              </w:rPr>
              <w:t>9</w:t>
            </w:r>
            <w:r>
              <w:rPr>
                <w:rFonts w:ascii="Times New Roman" w:hAnsi="Times New Roman" w:eastAsia="Times New Roman" w:cs="Times New Roman"/>
                <w:spacing w:val="-2"/>
                <w:sz w:val="24"/>
                <w:szCs w:val="24"/>
              </w:rPr>
              <w:t>1m</w:t>
            </w:r>
            <w:r>
              <w:rPr>
                <w:rFonts w:ascii="Times New Roman" w:hAnsi="Times New Roman" w:eastAsia="Times New Roman" w:cs="Times New Roman"/>
                <w:spacing w:val="-31"/>
                <w:sz w:val="24"/>
                <w:szCs w:val="24"/>
              </w:rPr>
              <w:t xml:space="preserve"> </w:t>
            </w:r>
            <w:r>
              <w:rPr>
                <w:spacing w:val="-2"/>
                <w:sz w:val="24"/>
                <w:szCs w:val="24"/>
              </w:rPr>
              <w:t>，南北方</w:t>
            </w:r>
            <w:r>
              <w:rPr>
                <w:spacing w:val="-3"/>
                <w:sz w:val="24"/>
                <w:szCs w:val="24"/>
              </w:rPr>
              <w:t>向最长为</w:t>
            </w:r>
            <w:r>
              <w:rPr>
                <w:spacing w:val="-32"/>
                <w:sz w:val="24"/>
                <w:szCs w:val="24"/>
              </w:rPr>
              <w:t xml:space="preserve"> </w:t>
            </w:r>
            <w:r>
              <w:rPr>
                <w:rFonts w:ascii="Times New Roman" w:hAnsi="Times New Roman" w:eastAsia="Times New Roman" w:cs="Times New Roman"/>
                <w:spacing w:val="-3"/>
                <w:sz w:val="24"/>
                <w:szCs w:val="24"/>
              </w:rPr>
              <w:t>100m</w:t>
            </w:r>
            <w:r>
              <w:rPr>
                <w:spacing w:val="-3"/>
                <w:sz w:val="24"/>
                <w:szCs w:val="24"/>
              </w:rPr>
              <w:t>（围墙内</w:t>
            </w:r>
            <w:r>
              <w:rPr>
                <w:spacing w:val="17"/>
                <w:sz w:val="24"/>
                <w:szCs w:val="24"/>
              </w:rPr>
              <w:t>），</w:t>
            </w:r>
            <w:r>
              <w:rPr>
                <w:spacing w:val="-3"/>
                <w:sz w:val="24"/>
                <w:szCs w:val="24"/>
              </w:rPr>
              <w:t>围墙内占地面积约为</w:t>
            </w:r>
            <w:r>
              <w:rPr>
                <w:spacing w:val="-50"/>
                <w:sz w:val="24"/>
                <w:szCs w:val="24"/>
              </w:rPr>
              <w:t xml:space="preserve"> </w:t>
            </w:r>
            <w:r>
              <w:rPr>
                <w:rFonts w:ascii="Times New Roman" w:hAnsi="Times New Roman" w:eastAsia="Times New Roman" w:cs="Times New Roman"/>
                <w:spacing w:val="-3"/>
                <w:sz w:val="24"/>
                <w:szCs w:val="24"/>
              </w:rPr>
              <w:t>9100m</w:t>
            </w:r>
            <w:r>
              <w:rPr>
                <w:spacing w:val="-3"/>
                <w:sz w:val="24"/>
                <w:szCs w:val="24"/>
              </w:rPr>
              <w:t>²。</w:t>
            </w:r>
          </w:p>
          <w:p w14:paraId="7988297F">
            <w:pPr>
              <w:pStyle w:val="6"/>
              <w:spacing w:before="1" w:line="357" w:lineRule="auto"/>
              <w:ind w:left="102" w:right="101" w:firstLine="509"/>
              <w:jc w:val="both"/>
              <w:rPr>
                <w:sz w:val="24"/>
                <w:szCs w:val="24"/>
              </w:rPr>
            </w:pPr>
            <w:r>
              <w:rPr>
                <w:spacing w:val="-3"/>
                <w:sz w:val="24"/>
                <w:szCs w:val="24"/>
              </w:rPr>
              <w:t>电气总平面布置呈矩形布置，站区西南侧布置</w:t>
            </w:r>
            <w:r>
              <w:rPr>
                <w:spacing w:val="-31"/>
                <w:sz w:val="24"/>
                <w:szCs w:val="24"/>
              </w:rPr>
              <w:t xml:space="preserve"> </w:t>
            </w:r>
            <w:r>
              <w:rPr>
                <w:rFonts w:ascii="Times New Roman" w:hAnsi="Times New Roman" w:eastAsia="Times New Roman" w:cs="Times New Roman"/>
                <w:spacing w:val="-3"/>
                <w:sz w:val="24"/>
                <w:szCs w:val="24"/>
              </w:rPr>
              <w:t xml:space="preserve">110kV </w:t>
            </w:r>
            <w:r>
              <w:rPr>
                <w:spacing w:val="-3"/>
                <w:sz w:val="24"/>
                <w:szCs w:val="24"/>
              </w:rPr>
              <w:t>配电装置，中</w:t>
            </w:r>
            <w:r>
              <w:rPr>
                <w:spacing w:val="-4"/>
                <w:sz w:val="24"/>
                <w:szCs w:val="24"/>
              </w:rPr>
              <w:t>间区</w:t>
            </w:r>
            <w:r>
              <w:rPr>
                <w:spacing w:val="1"/>
                <w:sz w:val="24"/>
                <w:szCs w:val="24"/>
              </w:rPr>
              <w:t>域布置</w:t>
            </w:r>
            <w:r>
              <w:rPr>
                <w:spacing w:val="-17"/>
                <w:sz w:val="24"/>
                <w:szCs w:val="24"/>
              </w:rPr>
              <w:t xml:space="preserve"> </w:t>
            </w:r>
            <w:r>
              <w:rPr>
                <w:rFonts w:ascii="Times New Roman" w:hAnsi="Times New Roman" w:eastAsia="Times New Roman" w:cs="Times New Roman"/>
                <w:spacing w:val="1"/>
                <w:sz w:val="24"/>
                <w:szCs w:val="24"/>
              </w:rPr>
              <w:t>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接地变、主变压器及主控配电综合楼；站区东南侧布置危废间</w:t>
            </w:r>
            <w:r>
              <w:rPr>
                <w:spacing w:val="-4"/>
                <w:sz w:val="24"/>
                <w:szCs w:val="24"/>
              </w:rPr>
              <w:t>和</w:t>
            </w:r>
            <w:r>
              <w:rPr>
                <w:spacing w:val="-19"/>
                <w:sz w:val="24"/>
                <w:szCs w:val="24"/>
              </w:rPr>
              <w:t xml:space="preserve"> </w:t>
            </w:r>
            <w:r>
              <w:rPr>
                <w:rFonts w:ascii="Times New Roman" w:hAnsi="Times New Roman" w:eastAsia="Times New Roman" w:cs="Times New Roman"/>
                <w:spacing w:val="-4"/>
                <w:sz w:val="24"/>
                <w:szCs w:val="24"/>
              </w:rPr>
              <w:t>10kV</w:t>
            </w:r>
            <w:r>
              <w:rPr>
                <w:rFonts w:ascii="Times New Roman" w:hAnsi="Times New Roman" w:eastAsia="Times New Roman" w:cs="Times New Roman"/>
                <w:spacing w:val="32"/>
                <w:sz w:val="24"/>
                <w:szCs w:val="24"/>
              </w:rPr>
              <w:t xml:space="preserve"> </w:t>
            </w:r>
            <w:r>
              <w:rPr>
                <w:spacing w:val="-4"/>
                <w:sz w:val="24"/>
                <w:szCs w:val="24"/>
              </w:rPr>
              <w:t>出线铁塔；站区西北侧布置</w:t>
            </w:r>
            <w:r>
              <w:rPr>
                <w:spacing w:val="-29"/>
                <w:sz w:val="24"/>
                <w:szCs w:val="24"/>
              </w:rPr>
              <w:t xml:space="preserve"> </w:t>
            </w:r>
            <w:r>
              <w:rPr>
                <w:rFonts w:ascii="Times New Roman" w:hAnsi="Times New Roman" w:eastAsia="Times New Roman" w:cs="Times New Roman"/>
                <w:spacing w:val="-4"/>
                <w:sz w:val="24"/>
                <w:szCs w:val="24"/>
              </w:rPr>
              <w:t>10kV</w:t>
            </w:r>
            <w:r>
              <w:rPr>
                <w:rFonts w:ascii="Times New Roman" w:hAnsi="Times New Roman" w:eastAsia="Times New Roman" w:cs="Times New Roman"/>
                <w:spacing w:val="39"/>
                <w:sz w:val="24"/>
                <w:szCs w:val="24"/>
              </w:rPr>
              <w:t xml:space="preserve"> </w:t>
            </w:r>
            <w:r>
              <w:rPr>
                <w:spacing w:val="-4"/>
                <w:sz w:val="24"/>
                <w:szCs w:val="24"/>
              </w:rPr>
              <w:t>电容器、</w:t>
            </w:r>
            <w:r>
              <w:rPr>
                <w:rFonts w:ascii="Times New Roman" w:hAnsi="Times New Roman" w:eastAsia="Times New Roman" w:cs="Times New Roman"/>
                <w:spacing w:val="-4"/>
                <w:sz w:val="24"/>
                <w:szCs w:val="24"/>
              </w:rPr>
              <w:t>10kV</w:t>
            </w:r>
            <w:r>
              <w:rPr>
                <w:rFonts w:ascii="Times New Roman" w:hAnsi="Times New Roman" w:eastAsia="Times New Roman" w:cs="Times New Roman"/>
                <w:spacing w:val="32"/>
                <w:sz w:val="24"/>
                <w:szCs w:val="24"/>
              </w:rPr>
              <w:t xml:space="preserve"> </w:t>
            </w:r>
            <w:r>
              <w:rPr>
                <w:spacing w:val="-4"/>
                <w:sz w:val="24"/>
                <w:szCs w:val="24"/>
              </w:rPr>
              <w:t>出线铁塔、水泵房</w:t>
            </w:r>
            <w:r>
              <w:rPr>
                <w:spacing w:val="2"/>
                <w:sz w:val="24"/>
                <w:szCs w:val="24"/>
              </w:rPr>
              <w:t>及消防水池；站区东侧布置警传室、化粪池（</w:t>
            </w:r>
            <w:r>
              <w:rPr>
                <w:rFonts w:ascii="Times New Roman" w:hAnsi="Times New Roman" w:eastAsia="Times New Roman" w:cs="Times New Roman"/>
                <w:spacing w:val="2"/>
                <w:sz w:val="24"/>
                <w:szCs w:val="24"/>
              </w:rPr>
              <w:t>2m</w:t>
            </w:r>
            <w:r>
              <w:rPr>
                <w:rFonts w:ascii="Times New Roman" w:hAnsi="Times New Roman" w:eastAsia="Times New Roman" w:cs="Times New Roman"/>
                <w:spacing w:val="2"/>
                <w:position w:val="1"/>
                <w:sz w:val="15"/>
                <w:szCs w:val="15"/>
              </w:rPr>
              <w:t xml:space="preserve">3 </w:t>
            </w:r>
            <w:r>
              <w:rPr>
                <w:spacing w:val="2"/>
                <w:position w:val="1"/>
                <w:sz w:val="24"/>
                <w:szCs w:val="24"/>
              </w:rPr>
              <w:t>）</w:t>
            </w:r>
            <w:r>
              <w:rPr>
                <w:spacing w:val="2"/>
                <w:sz w:val="24"/>
                <w:szCs w:val="24"/>
              </w:rPr>
              <w:t>、一体化污水处理设施</w:t>
            </w:r>
            <w:r>
              <w:rPr>
                <w:sz w:val="24"/>
                <w:szCs w:val="24"/>
              </w:rPr>
              <w:t>（处理能力</w:t>
            </w:r>
            <w:r>
              <w:rPr>
                <w:spacing w:val="-49"/>
                <w:sz w:val="24"/>
                <w:szCs w:val="24"/>
              </w:rPr>
              <w:t xml:space="preserve"> </w:t>
            </w:r>
            <w:r>
              <w:rPr>
                <w:rFonts w:ascii="Times New Roman" w:hAnsi="Times New Roman" w:eastAsia="Times New Roman" w:cs="Times New Roman"/>
                <w:sz w:val="24"/>
                <w:szCs w:val="24"/>
              </w:rPr>
              <w:t>0.5t/h</w:t>
            </w:r>
            <w:r>
              <w:rPr>
                <w:sz w:val="24"/>
                <w:szCs w:val="24"/>
              </w:rPr>
              <w:t>）、中水池（</w:t>
            </w:r>
            <w:r>
              <w:rPr>
                <w:rFonts w:ascii="Times New Roman" w:hAnsi="Times New Roman" w:eastAsia="Times New Roman" w:cs="Times New Roman"/>
                <w:sz w:val="24"/>
                <w:szCs w:val="24"/>
              </w:rPr>
              <w:t>5m</w:t>
            </w:r>
            <w:r>
              <w:rPr>
                <w:rFonts w:ascii="Times New Roman" w:hAnsi="Times New Roman" w:eastAsia="Times New Roman" w:cs="Times New Roman"/>
                <w:position w:val="1"/>
                <w:sz w:val="15"/>
                <w:szCs w:val="15"/>
              </w:rPr>
              <w:t>3</w:t>
            </w:r>
            <w:r>
              <w:rPr>
                <w:position w:val="1"/>
                <w:sz w:val="24"/>
                <w:szCs w:val="24"/>
              </w:rPr>
              <w:t>）</w:t>
            </w:r>
            <w:r>
              <w:rPr>
                <w:sz w:val="24"/>
                <w:szCs w:val="24"/>
              </w:rPr>
              <w:t>及</w:t>
            </w:r>
            <w:r>
              <w:rPr>
                <w:spacing w:val="-47"/>
                <w:sz w:val="24"/>
                <w:szCs w:val="24"/>
              </w:rPr>
              <w:t xml:space="preserve"> </w:t>
            </w:r>
            <w:r>
              <w:rPr>
                <w:rFonts w:ascii="Times New Roman" w:hAnsi="Times New Roman" w:eastAsia="Times New Roman" w:cs="Times New Roman"/>
                <w:spacing w:val="-1"/>
                <w:sz w:val="24"/>
                <w:szCs w:val="24"/>
              </w:rPr>
              <w:t>35kV</w:t>
            </w:r>
            <w:r>
              <w:rPr>
                <w:rFonts w:ascii="Times New Roman" w:hAnsi="Times New Roman" w:eastAsia="Times New Roman" w:cs="Times New Roman"/>
                <w:spacing w:val="31"/>
                <w:w w:val="101"/>
                <w:sz w:val="24"/>
                <w:szCs w:val="24"/>
              </w:rPr>
              <w:t xml:space="preserve"> </w:t>
            </w:r>
            <w:r>
              <w:rPr>
                <w:spacing w:val="-1"/>
                <w:sz w:val="24"/>
                <w:szCs w:val="24"/>
              </w:rPr>
              <w:t>出线构架；进站道路从变电站</w:t>
            </w:r>
            <w:r>
              <w:rPr>
                <w:sz w:val="24"/>
                <w:szCs w:val="24"/>
              </w:rPr>
              <w:t>的东南角进入。主变及配电装置楼四周设置有环形运输、维护、消防通道，</w:t>
            </w:r>
            <w:r>
              <w:rPr>
                <w:spacing w:val="-7"/>
                <w:sz w:val="24"/>
                <w:szCs w:val="24"/>
              </w:rPr>
              <w:t>运输主通道正对进站大门，便于主变运输。三台主变呈</w:t>
            </w:r>
            <w:r>
              <w:rPr>
                <w:rFonts w:ascii="Times New Roman" w:hAnsi="Times New Roman" w:eastAsia="Times New Roman" w:cs="Times New Roman"/>
                <w:spacing w:val="-7"/>
                <w:sz w:val="24"/>
                <w:szCs w:val="24"/>
              </w:rPr>
              <w:t>“</w:t>
            </w:r>
            <w:r>
              <w:rPr>
                <w:rFonts w:ascii="Times New Roman" w:hAnsi="Times New Roman" w:eastAsia="Times New Roman" w:cs="Times New Roman"/>
                <w:spacing w:val="-28"/>
                <w:sz w:val="24"/>
                <w:szCs w:val="24"/>
              </w:rPr>
              <w:t xml:space="preserve"> </w:t>
            </w:r>
            <w:r>
              <w:rPr>
                <w:spacing w:val="-7"/>
                <w:sz w:val="24"/>
                <w:szCs w:val="24"/>
              </w:rPr>
              <w:t>一</w:t>
            </w:r>
            <w:r>
              <w:rPr>
                <w:rFonts w:ascii="Times New Roman" w:hAnsi="Times New Roman" w:eastAsia="Times New Roman" w:cs="Times New Roman"/>
                <w:spacing w:val="-7"/>
                <w:sz w:val="24"/>
                <w:szCs w:val="24"/>
              </w:rPr>
              <w:t>”</w:t>
            </w:r>
            <w:r>
              <w:rPr>
                <w:spacing w:val="-7"/>
                <w:sz w:val="24"/>
                <w:szCs w:val="24"/>
              </w:rPr>
              <w:t>字型布置在</w:t>
            </w:r>
            <w:r>
              <w:rPr>
                <w:spacing w:val="-32"/>
                <w:sz w:val="24"/>
                <w:szCs w:val="24"/>
              </w:rPr>
              <w:t xml:space="preserve"> </w:t>
            </w:r>
            <w:r>
              <w:rPr>
                <w:rFonts w:ascii="Times New Roman" w:hAnsi="Times New Roman" w:eastAsia="Times New Roman" w:cs="Times New Roman"/>
                <w:spacing w:val="-7"/>
                <w:sz w:val="24"/>
                <w:szCs w:val="24"/>
              </w:rPr>
              <w:t>110kV</w:t>
            </w:r>
            <w:r>
              <w:rPr>
                <w:spacing w:val="-1"/>
                <w:sz w:val="24"/>
                <w:szCs w:val="24"/>
              </w:rPr>
              <w:t>配电装置和主控配电装置楼之间。</w:t>
            </w:r>
          </w:p>
          <w:p w14:paraId="6BA8EC25">
            <w:pPr>
              <w:pStyle w:val="6"/>
              <w:spacing w:before="1" w:line="359" w:lineRule="auto"/>
              <w:ind w:left="104" w:right="103" w:firstLine="480"/>
              <w:jc w:val="both"/>
              <w:rPr>
                <w:sz w:val="24"/>
                <w:szCs w:val="24"/>
              </w:rPr>
            </w:pPr>
            <w:r>
              <w:rPr>
                <w:spacing w:val="1"/>
                <w:sz w:val="24"/>
                <w:szCs w:val="24"/>
              </w:rPr>
              <w:t>主控配电综合楼为三层建筑，一层设</w:t>
            </w:r>
            <w:r>
              <w:rPr>
                <w:spacing w:val="-20"/>
                <w:sz w:val="24"/>
                <w:szCs w:val="24"/>
              </w:rPr>
              <w:t xml:space="preserve"> </w:t>
            </w:r>
            <w:r>
              <w:rPr>
                <w:rFonts w:ascii="Times New Roman" w:hAnsi="Times New Roman" w:eastAsia="Times New Roman" w:cs="Times New Roman"/>
                <w:spacing w:val="1"/>
                <w:sz w:val="24"/>
                <w:szCs w:val="24"/>
              </w:rPr>
              <w:t>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配电装置室、电缆竖井及绝</w:t>
            </w:r>
            <w:r>
              <w:rPr>
                <w:spacing w:val="2"/>
                <w:sz w:val="24"/>
                <w:szCs w:val="24"/>
              </w:rPr>
              <w:t>缘工具间；二层设</w:t>
            </w:r>
            <w:r>
              <w:rPr>
                <w:spacing w:val="-47"/>
                <w:sz w:val="24"/>
                <w:szCs w:val="24"/>
              </w:rPr>
              <w:t xml:space="preserve"> </w:t>
            </w:r>
            <w:r>
              <w:rPr>
                <w:rFonts w:ascii="Times New Roman" w:hAnsi="Times New Roman" w:eastAsia="Times New Roman" w:cs="Times New Roman"/>
                <w:spacing w:val="2"/>
                <w:sz w:val="24"/>
                <w:szCs w:val="24"/>
              </w:rPr>
              <w:t>35</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 xml:space="preserve"> </w:t>
            </w:r>
            <w:r>
              <w:rPr>
                <w:spacing w:val="2"/>
                <w:sz w:val="24"/>
                <w:szCs w:val="24"/>
              </w:rPr>
              <w:t>配电装置室、二次电缆间及工具间</w:t>
            </w:r>
            <w:r>
              <w:rPr>
                <w:spacing w:val="1"/>
                <w:sz w:val="24"/>
                <w:szCs w:val="24"/>
              </w:rPr>
              <w:t>；三层设有继电</w:t>
            </w:r>
            <w:r>
              <w:rPr>
                <w:spacing w:val="-1"/>
                <w:sz w:val="24"/>
                <w:szCs w:val="24"/>
              </w:rPr>
              <w:t>保护及通信室、蓄电池室。</w:t>
            </w:r>
          </w:p>
          <w:p w14:paraId="3B164863">
            <w:pPr>
              <w:pStyle w:val="6"/>
              <w:spacing w:before="2" w:line="355" w:lineRule="auto"/>
              <w:ind w:left="101" w:right="103" w:firstLine="481"/>
              <w:jc w:val="both"/>
              <w:rPr>
                <w:sz w:val="24"/>
                <w:szCs w:val="24"/>
              </w:rPr>
            </w:pPr>
            <w:r>
              <w:rPr>
                <w:spacing w:val="-2"/>
                <w:sz w:val="24"/>
                <w:szCs w:val="24"/>
              </w:rPr>
              <w:t>变电站环保设施分布为：本期在</w:t>
            </w:r>
            <w:r>
              <w:rPr>
                <w:spacing w:val="-32"/>
                <w:sz w:val="24"/>
                <w:szCs w:val="24"/>
              </w:rPr>
              <w:t xml:space="preserve"> </w:t>
            </w:r>
            <w:r>
              <w:rPr>
                <w:rFonts w:ascii="Times New Roman" w:hAnsi="Times New Roman" w:eastAsia="Times New Roman" w:cs="Times New Roman"/>
                <w:spacing w:val="-2"/>
                <w:sz w:val="24"/>
                <w:szCs w:val="24"/>
              </w:rPr>
              <w:t>1#</w:t>
            </w:r>
            <w:r>
              <w:rPr>
                <w:spacing w:val="-2"/>
                <w:sz w:val="24"/>
                <w:szCs w:val="24"/>
              </w:rPr>
              <w:t>主变、</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3"/>
                <w:sz w:val="24"/>
                <w:szCs w:val="24"/>
              </w:rPr>
              <w:t>#</w:t>
            </w:r>
            <w:r>
              <w:rPr>
                <w:spacing w:val="-3"/>
                <w:sz w:val="24"/>
                <w:szCs w:val="24"/>
              </w:rPr>
              <w:t>主变、</w:t>
            </w:r>
            <w:r>
              <w:rPr>
                <w:rFonts w:ascii="Times New Roman" w:hAnsi="Times New Roman" w:eastAsia="Times New Roman" w:cs="Times New Roman"/>
                <w:spacing w:val="-3"/>
                <w:sz w:val="24"/>
                <w:szCs w:val="24"/>
              </w:rPr>
              <w:t>3#</w:t>
            </w:r>
            <w:r>
              <w:rPr>
                <w:spacing w:val="-3"/>
                <w:sz w:val="24"/>
                <w:szCs w:val="24"/>
              </w:rPr>
              <w:t>主变（预留）处布</w:t>
            </w:r>
            <w:r>
              <w:rPr>
                <w:spacing w:val="-4"/>
                <w:sz w:val="24"/>
                <w:szCs w:val="24"/>
              </w:rPr>
              <w:t>置集油坑，</w:t>
            </w:r>
            <w:r>
              <w:rPr>
                <w:rFonts w:ascii="Times New Roman" w:hAnsi="Times New Roman" w:eastAsia="Times New Roman" w:cs="Times New Roman"/>
                <w:spacing w:val="-4"/>
                <w:sz w:val="24"/>
                <w:szCs w:val="24"/>
              </w:rPr>
              <w:t>1#</w:t>
            </w:r>
            <w:r>
              <w:rPr>
                <w:spacing w:val="-4"/>
                <w:sz w:val="24"/>
                <w:szCs w:val="24"/>
              </w:rPr>
              <w:t>主变东侧设置</w:t>
            </w:r>
            <w:r>
              <w:rPr>
                <w:spacing w:val="-36"/>
                <w:sz w:val="24"/>
                <w:szCs w:val="24"/>
              </w:rPr>
              <w:t xml:space="preserve"> </w:t>
            </w:r>
            <w:r>
              <w:rPr>
                <w:rFonts w:ascii="Times New Roman" w:hAnsi="Times New Roman" w:eastAsia="Times New Roman" w:cs="Times New Roman"/>
                <w:spacing w:val="-4"/>
                <w:sz w:val="24"/>
                <w:szCs w:val="24"/>
              </w:rPr>
              <w:t>30m</w:t>
            </w:r>
            <w:r>
              <w:rPr>
                <w:rFonts w:ascii="Times New Roman" w:hAnsi="Times New Roman" w:eastAsia="Times New Roman" w:cs="Times New Roman"/>
                <w:spacing w:val="-4"/>
                <w:position w:val="8"/>
                <w:sz w:val="15"/>
                <w:szCs w:val="15"/>
              </w:rPr>
              <w:t>3</w:t>
            </w:r>
            <w:r>
              <w:rPr>
                <w:rFonts w:ascii="Times New Roman" w:hAnsi="Times New Roman" w:eastAsia="Times New Roman" w:cs="Times New Roman"/>
                <w:spacing w:val="9"/>
                <w:position w:val="8"/>
                <w:sz w:val="15"/>
                <w:szCs w:val="15"/>
              </w:rPr>
              <w:t xml:space="preserve"> </w:t>
            </w:r>
            <w:r>
              <w:rPr>
                <w:spacing w:val="-4"/>
                <w:sz w:val="24"/>
                <w:szCs w:val="24"/>
              </w:rPr>
              <w:t>事故油池。进站大门进入后西侧设置危废暂</w:t>
            </w:r>
            <w:r>
              <w:rPr>
                <w:spacing w:val="2"/>
                <w:sz w:val="24"/>
                <w:szCs w:val="24"/>
              </w:rPr>
              <w:t>存间，警传室北侧布置有化粪池（</w:t>
            </w:r>
            <w:r>
              <w:rPr>
                <w:rFonts w:ascii="Times New Roman" w:hAnsi="Times New Roman" w:eastAsia="Times New Roman" w:cs="Times New Roman"/>
                <w:spacing w:val="2"/>
                <w:sz w:val="24"/>
                <w:szCs w:val="24"/>
              </w:rPr>
              <w:t>2m</w:t>
            </w:r>
            <w:r>
              <w:rPr>
                <w:rFonts w:ascii="Times New Roman" w:hAnsi="Times New Roman" w:eastAsia="Times New Roman" w:cs="Times New Roman"/>
                <w:spacing w:val="2"/>
                <w:position w:val="1"/>
                <w:sz w:val="15"/>
                <w:szCs w:val="15"/>
              </w:rPr>
              <w:t xml:space="preserve">3 </w:t>
            </w:r>
            <w:r>
              <w:rPr>
                <w:spacing w:val="2"/>
                <w:position w:val="1"/>
                <w:sz w:val="24"/>
                <w:szCs w:val="24"/>
              </w:rPr>
              <w:t>）</w:t>
            </w:r>
            <w:r>
              <w:rPr>
                <w:spacing w:val="2"/>
                <w:sz w:val="24"/>
                <w:szCs w:val="24"/>
              </w:rPr>
              <w:t>、一体化污水处理设施（处理能力</w:t>
            </w:r>
            <w:r>
              <w:rPr>
                <w:rFonts w:ascii="Times New Roman" w:hAnsi="Times New Roman" w:eastAsia="Times New Roman" w:cs="Times New Roman"/>
                <w:spacing w:val="-1"/>
                <w:sz w:val="24"/>
                <w:szCs w:val="24"/>
              </w:rPr>
              <w:t>0.5t/h</w:t>
            </w:r>
            <w:r>
              <w:rPr>
                <w:spacing w:val="-1"/>
                <w:sz w:val="24"/>
                <w:szCs w:val="24"/>
              </w:rPr>
              <w:t>）、中水池（</w:t>
            </w:r>
            <w:r>
              <w:rPr>
                <w:rFonts w:ascii="Times New Roman" w:hAnsi="Times New Roman" w:eastAsia="Times New Roman" w:cs="Times New Roman"/>
                <w:spacing w:val="-1"/>
                <w:sz w:val="24"/>
                <w:szCs w:val="24"/>
              </w:rPr>
              <w:t>5m</w:t>
            </w:r>
            <w:r>
              <w:rPr>
                <w:rFonts w:ascii="Times New Roman" w:hAnsi="Times New Roman" w:eastAsia="Times New Roman" w:cs="Times New Roman"/>
                <w:spacing w:val="-1"/>
                <w:position w:val="1"/>
                <w:sz w:val="15"/>
                <w:szCs w:val="15"/>
              </w:rPr>
              <w:t>3</w:t>
            </w:r>
            <w:r>
              <w:rPr>
                <w:spacing w:val="-1"/>
                <w:position w:val="1"/>
                <w:sz w:val="24"/>
                <w:szCs w:val="24"/>
              </w:rPr>
              <w:t>）</w:t>
            </w:r>
            <w:r>
              <w:rPr>
                <w:spacing w:val="-1"/>
                <w:sz w:val="24"/>
                <w:szCs w:val="24"/>
              </w:rPr>
              <w:t>。</w:t>
            </w:r>
          </w:p>
          <w:p w14:paraId="1B967B7C">
            <w:pPr>
              <w:pStyle w:val="6"/>
              <w:spacing w:before="5" w:line="358" w:lineRule="auto"/>
              <w:ind w:left="101" w:right="120" w:firstLine="481"/>
              <w:jc w:val="both"/>
              <w:rPr>
                <w:sz w:val="24"/>
                <w:szCs w:val="24"/>
              </w:rPr>
            </w:pPr>
            <w:r>
              <w:rPr>
                <w:sz w:val="24"/>
                <w:szCs w:val="24"/>
              </w:rPr>
              <w:t>变电站的平面布置具有以下特点：①平面布置</w:t>
            </w:r>
            <w:r>
              <w:rPr>
                <w:spacing w:val="-1"/>
                <w:sz w:val="24"/>
                <w:szCs w:val="24"/>
              </w:rPr>
              <w:t>整齐紧凑，进出线方便，</w:t>
            </w:r>
            <w:r>
              <w:rPr>
                <w:sz w:val="24"/>
                <w:szCs w:val="24"/>
              </w:rPr>
              <w:t>功能分区明显，满足工艺流程要求；②本站为全户内设</w:t>
            </w:r>
            <w:r>
              <w:rPr>
                <w:spacing w:val="-1"/>
                <w:sz w:val="24"/>
                <w:szCs w:val="24"/>
              </w:rPr>
              <w:t>计，节省占地。③遵</w:t>
            </w:r>
            <w:r>
              <w:rPr>
                <w:sz w:val="24"/>
                <w:szCs w:val="24"/>
              </w:rPr>
              <w:t>守《建筑设计防火规范》等国家现行规程规范要求；④</w:t>
            </w:r>
            <w:r>
              <w:rPr>
                <w:spacing w:val="-1"/>
                <w:sz w:val="24"/>
                <w:szCs w:val="24"/>
              </w:rPr>
              <w:t>遵守《建筑设计防火</w:t>
            </w:r>
            <w:r>
              <w:rPr>
                <w:sz w:val="24"/>
                <w:szCs w:val="24"/>
              </w:rPr>
              <w:t>规范》等国家现行规程规范要求。从工艺和环保角度分</w:t>
            </w:r>
            <w:r>
              <w:rPr>
                <w:spacing w:val="-1"/>
                <w:sz w:val="24"/>
                <w:szCs w:val="24"/>
              </w:rPr>
              <w:t>析，该变电站总体布</w:t>
            </w:r>
            <w:r>
              <w:rPr>
                <w:spacing w:val="-2"/>
                <w:sz w:val="24"/>
                <w:szCs w:val="24"/>
              </w:rPr>
              <w:t>置合理。</w:t>
            </w:r>
          </w:p>
          <w:p w14:paraId="7B24AD27">
            <w:pPr>
              <w:pStyle w:val="6"/>
              <w:spacing w:before="1" w:line="218" w:lineRule="auto"/>
              <w:ind w:left="106"/>
              <w:rPr>
                <w:sz w:val="24"/>
                <w:szCs w:val="24"/>
              </w:rPr>
            </w:pPr>
            <w:r>
              <w:rPr>
                <w:b/>
                <w:bCs/>
                <w:spacing w:val="-3"/>
                <w:sz w:val="24"/>
                <w:szCs w:val="24"/>
              </w:rPr>
              <w:t>二、输电线路平面布置</w:t>
            </w:r>
          </w:p>
          <w:p w14:paraId="14E7EA88">
            <w:pPr>
              <w:pStyle w:val="6"/>
              <w:spacing w:before="184" w:line="219" w:lineRule="auto"/>
              <w:ind w:left="589"/>
              <w:rPr>
                <w:sz w:val="24"/>
                <w:szCs w:val="24"/>
              </w:rPr>
            </w:pPr>
            <w:r>
              <w:rPr>
                <w:rFonts w:ascii="Times New Roman" w:hAnsi="Times New Roman" w:eastAsia="Times New Roman" w:cs="Times New Roman"/>
                <w:b/>
                <w:bCs/>
                <w:spacing w:val="-4"/>
                <w:sz w:val="24"/>
                <w:szCs w:val="24"/>
              </w:rPr>
              <w:t>1</w:t>
            </w:r>
            <w:r>
              <w:rPr>
                <w:rFonts w:ascii="Times New Roman" w:hAnsi="Times New Roman" w:eastAsia="Times New Roman" w:cs="Times New Roman"/>
                <w:b/>
                <w:bCs/>
                <w:spacing w:val="-27"/>
                <w:sz w:val="24"/>
                <w:szCs w:val="24"/>
              </w:rPr>
              <w:t xml:space="preserve"> </w:t>
            </w:r>
            <w:r>
              <w:rPr>
                <w:b/>
                <w:bCs/>
                <w:spacing w:val="-4"/>
                <w:sz w:val="24"/>
                <w:szCs w:val="24"/>
              </w:rPr>
              <w:t>、</w:t>
            </w:r>
            <w:r>
              <w:rPr>
                <w:rFonts w:ascii="Times New Roman" w:hAnsi="Times New Roman" w:eastAsia="Times New Roman" w:cs="Times New Roman"/>
                <w:b/>
                <w:bCs/>
                <w:spacing w:val="-4"/>
                <w:sz w:val="24"/>
                <w:szCs w:val="24"/>
              </w:rPr>
              <w:t xml:space="preserve">110kV </w:t>
            </w:r>
            <w:r>
              <w:rPr>
                <w:b/>
                <w:bCs/>
                <w:spacing w:val="-4"/>
                <w:sz w:val="24"/>
                <w:szCs w:val="24"/>
              </w:rPr>
              <w:t>松山变～</w:t>
            </w:r>
            <w:r>
              <w:rPr>
                <w:rFonts w:ascii="Times New Roman" w:hAnsi="Times New Roman" w:eastAsia="Times New Roman" w:cs="Times New Roman"/>
                <w:b/>
                <w:bCs/>
                <w:spacing w:val="-4"/>
                <w:sz w:val="24"/>
                <w:szCs w:val="24"/>
              </w:rPr>
              <w:t>220kV</w:t>
            </w:r>
            <w:r>
              <w:rPr>
                <w:rFonts w:ascii="Times New Roman" w:hAnsi="Times New Roman" w:eastAsia="Times New Roman" w:cs="Times New Roman"/>
                <w:b/>
                <w:bCs/>
                <w:spacing w:val="15"/>
                <w:w w:val="101"/>
                <w:sz w:val="24"/>
                <w:szCs w:val="24"/>
              </w:rPr>
              <w:t xml:space="preserve"> </w:t>
            </w:r>
            <w:r>
              <w:rPr>
                <w:b/>
                <w:bCs/>
                <w:spacing w:val="-4"/>
                <w:sz w:val="24"/>
                <w:szCs w:val="24"/>
              </w:rPr>
              <w:t>芳华变</w:t>
            </w:r>
          </w:p>
          <w:p w14:paraId="1585FC07">
            <w:pPr>
              <w:pStyle w:val="6"/>
              <w:spacing w:before="182" w:line="348" w:lineRule="auto"/>
              <w:ind w:left="102" w:right="41" w:firstLine="483"/>
              <w:jc w:val="both"/>
              <w:rPr>
                <w:sz w:val="24"/>
                <w:szCs w:val="24"/>
              </w:rPr>
            </w:pPr>
            <w:r>
              <w:rPr>
                <w:spacing w:val="2"/>
                <w:sz w:val="24"/>
                <w:szCs w:val="24"/>
              </w:rPr>
              <w:t>线路从新建变电站向西方出线后，左转向西南方向跨越</w:t>
            </w:r>
            <w:r>
              <w:rPr>
                <w:spacing w:val="-48"/>
                <w:sz w:val="24"/>
                <w:szCs w:val="24"/>
              </w:rPr>
              <w:t xml:space="preserve"> </w:t>
            </w:r>
            <w:r>
              <w:rPr>
                <w:rFonts w:ascii="Times New Roman" w:hAnsi="Times New Roman" w:eastAsia="Times New Roman" w:cs="Times New Roman"/>
                <w:spacing w:val="2"/>
                <w:sz w:val="24"/>
                <w:szCs w:val="24"/>
              </w:rPr>
              <w:t>35</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 xml:space="preserve"> </w:t>
            </w:r>
            <w:r>
              <w:rPr>
                <w:spacing w:val="2"/>
                <w:sz w:val="24"/>
                <w:szCs w:val="24"/>
              </w:rPr>
              <w:t>金瑞</w:t>
            </w:r>
            <w:r>
              <w:rPr>
                <w:spacing w:val="1"/>
                <w:sz w:val="24"/>
                <w:szCs w:val="24"/>
              </w:rPr>
              <w:t>达瓷</w:t>
            </w:r>
            <w:r>
              <w:rPr>
                <w:sz w:val="24"/>
                <w:szCs w:val="24"/>
              </w:rPr>
              <w:t>业线后继续平行曲陆高速（滇中环线高速）前进，在中所堡村北侧向西北转</w:t>
            </w:r>
            <w:r>
              <w:rPr>
                <w:spacing w:val="-10"/>
                <w:sz w:val="24"/>
                <w:szCs w:val="24"/>
              </w:rPr>
              <w:t>向，跨越曲陆高速（滇中环线高速）后平行</w:t>
            </w:r>
            <w:r>
              <w:rPr>
                <w:spacing w:val="-31"/>
                <w:sz w:val="24"/>
                <w:szCs w:val="24"/>
              </w:rPr>
              <w:t xml:space="preserve"> </w:t>
            </w:r>
            <w:r>
              <w:rPr>
                <w:rFonts w:ascii="Times New Roman" w:hAnsi="Times New Roman" w:eastAsia="Times New Roman" w:cs="Times New Roman"/>
                <w:spacing w:val="-10"/>
                <w:sz w:val="24"/>
                <w:szCs w:val="24"/>
              </w:rPr>
              <w:t>110kV</w:t>
            </w:r>
            <w:r>
              <w:rPr>
                <w:rFonts w:ascii="Times New Roman" w:hAnsi="Times New Roman" w:eastAsia="Times New Roman" w:cs="Times New Roman"/>
                <w:spacing w:val="15"/>
                <w:sz w:val="24"/>
                <w:szCs w:val="24"/>
              </w:rPr>
              <w:t xml:space="preserve"> </w:t>
            </w:r>
            <w:r>
              <w:rPr>
                <w:spacing w:val="-10"/>
                <w:sz w:val="24"/>
                <w:szCs w:val="24"/>
              </w:rPr>
              <w:t>芳华</w:t>
            </w:r>
            <w:r>
              <w:rPr>
                <w:spacing w:val="-53"/>
                <w:sz w:val="24"/>
                <w:szCs w:val="24"/>
              </w:rPr>
              <w:t xml:space="preserve"> </w:t>
            </w:r>
            <w:r>
              <w:rPr>
                <w:rFonts w:ascii="Times New Roman" w:hAnsi="Times New Roman" w:eastAsia="Times New Roman" w:cs="Times New Roman"/>
                <w:spacing w:val="-10"/>
                <w:sz w:val="24"/>
                <w:szCs w:val="24"/>
              </w:rPr>
              <w:t xml:space="preserve">T </w:t>
            </w:r>
            <w:r>
              <w:rPr>
                <w:spacing w:val="-10"/>
                <w:sz w:val="24"/>
                <w:szCs w:val="24"/>
              </w:rPr>
              <w:t>接中大</w:t>
            </w:r>
            <w:r>
              <w:rPr>
                <w:spacing w:val="-54"/>
                <w:sz w:val="24"/>
                <w:szCs w:val="24"/>
              </w:rPr>
              <w:t xml:space="preserve"> </w:t>
            </w:r>
            <w:r>
              <w:rPr>
                <w:rFonts w:ascii="Times New Roman" w:hAnsi="Times New Roman" w:eastAsia="Times New Roman" w:cs="Times New Roman"/>
                <w:spacing w:val="-10"/>
                <w:sz w:val="24"/>
                <w:szCs w:val="24"/>
              </w:rPr>
              <w:t>II</w:t>
            </w:r>
            <w:r>
              <w:rPr>
                <w:rFonts w:ascii="Times New Roman" w:hAnsi="Times New Roman" w:eastAsia="Times New Roman" w:cs="Times New Roman"/>
                <w:spacing w:val="35"/>
                <w:sz w:val="24"/>
                <w:szCs w:val="24"/>
              </w:rPr>
              <w:t xml:space="preserve"> </w:t>
            </w:r>
            <w:r>
              <w:rPr>
                <w:spacing w:val="-10"/>
                <w:sz w:val="24"/>
                <w:szCs w:val="24"/>
              </w:rPr>
              <w:t>回线</w:t>
            </w:r>
            <w:r>
              <w:rPr>
                <w:spacing w:val="-11"/>
                <w:sz w:val="24"/>
                <w:szCs w:val="24"/>
              </w:rPr>
              <w:t>走线，</w:t>
            </w:r>
          </w:p>
        </w:tc>
      </w:tr>
    </w:tbl>
    <w:p w14:paraId="7894C93B">
      <w:pPr>
        <w:rPr>
          <w:rFonts w:ascii="Arial"/>
          <w:sz w:val="21"/>
        </w:rPr>
      </w:pPr>
    </w:p>
    <w:p w14:paraId="6C503318">
      <w:pPr>
        <w:rPr>
          <w:rFonts w:ascii="Arial" w:hAnsi="Arial" w:eastAsia="Arial" w:cs="Arial"/>
          <w:sz w:val="21"/>
          <w:szCs w:val="21"/>
        </w:rPr>
        <w:sectPr>
          <w:footerReference r:id="rId51" w:type="default"/>
          <w:pgSz w:w="11907" w:h="16840"/>
          <w:pgMar w:top="400" w:right="1684" w:bottom="1240" w:left="1683" w:header="0" w:footer="1077" w:gutter="0"/>
          <w:cols w:space="720" w:num="1"/>
        </w:sectPr>
      </w:pPr>
    </w:p>
    <w:p w14:paraId="749B210C">
      <w:pPr>
        <w:spacing w:before="19"/>
      </w:pPr>
    </w:p>
    <w:p w14:paraId="5D99ECDD">
      <w:pPr>
        <w:spacing w:before="19"/>
      </w:pPr>
    </w:p>
    <w:p w14:paraId="068673AC">
      <w:pPr>
        <w:spacing w:before="18"/>
      </w:pPr>
    </w:p>
    <w:p w14:paraId="407D2813">
      <w:pPr>
        <w:spacing w:before="18"/>
      </w:pPr>
    </w:p>
    <w:tbl>
      <w:tblPr>
        <w:tblStyle w:val="5"/>
        <w:tblW w:w="85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5"/>
        <w:gridCol w:w="7743"/>
        <w:gridCol w:w="406"/>
      </w:tblGrid>
      <w:tr w14:paraId="1544F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38" w:hRule="atLeast"/>
        </w:trPr>
        <w:tc>
          <w:tcPr>
            <w:tcW w:w="375" w:type="dxa"/>
            <w:vMerge w:val="restart"/>
            <w:tcBorders>
              <w:bottom w:val="nil"/>
            </w:tcBorders>
            <w:vAlign w:val="top"/>
          </w:tcPr>
          <w:p w14:paraId="33374E50">
            <w:pPr>
              <w:rPr>
                <w:rFonts w:ascii="Arial"/>
                <w:sz w:val="21"/>
              </w:rPr>
            </w:pPr>
          </w:p>
        </w:tc>
        <w:tc>
          <w:tcPr>
            <w:tcW w:w="8149" w:type="dxa"/>
            <w:gridSpan w:val="2"/>
            <w:tcBorders>
              <w:bottom w:val="nil"/>
            </w:tcBorders>
            <w:vAlign w:val="top"/>
          </w:tcPr>
          <w:p w14:paraId="5557A2B4">
            <w:pPr>
              <w:pStyle w:val="6"/>
              <w:spacing w:before="41" w:line="358" w:lineRule="auto"/>
              <w:ind w:left="105" w:right="41" w:hanging="1"/>
              <w:rPr>
                <w:sz w:val="24"/>
                <w:szCs w:val="24"/>
              </w:rPr>
            </w:pPr>
            <w:r>
              <w:rPr>
                <w:spacing w:val="-6"/>
                <w:sz w:val="24"/>
                <w:szCs w:val="24"/>
              </w:rPr>
              <w:t>沿途已经尽量避让基本农田等敏感因素，在</w:t>
            </w:r>
            <w:r>
              <w:rPr>
                <w:spacing w:val="-53"/>
                <w:sz w:val="24"/>
                <w:szCs w:val="24"/>
              </w:rPr>
              <w:t xml:space="preserve"> </w:t>
            </w:r>
            <w:r>
              <w:rPr>
                <w:rFonts w:ascii="Times New Roman" w:hAnsi="Times New Roman" w:eastAsia="Times New Roman" w:cs="Times New Roman"/>
                <w:spacing w:val="-6"/>
                <w:sz w:val="24"/>
                <w:szCs w:val="24"/>
              </w:rPr>
              <w:t xml:space="preserve">220kV </w:t>
            </w:r>
            <w:r>
              <w:rPr>
                <w:spacing w:val="-6"/>
                <w:sz w:val="24"/>
                <w:szCs w:val="24"/>
              </w:rPr>
              <w:t>芳华变东南侧约</w:t>
            </w:r>
            <w:r>
              <w:rPr>
                <w:spacing w:val="-61"/>
                <w:sz w:val="24"/>
                <w:szCs w:val="24"/>
              </w:rPr>
              <w:t xml:space="preserve"> </w:t>
            </w:r>
            <w:r>
              <w:rPr>
                <w:rFonts w:ascii="Times New Roman" w:hAnsi="Times New Roman" w:eastAsia="Times New Roman" w:cs="Times New Roman"/>
                <w:spacing w:val="-6"/>
                <w:sz w:val="24"/>
                <w:szCs w:val="24"/>
              </w:rPr>
              <w:t xml:space="preserve">0.6km </w:t>
            </w:r>
            <w:r>
              <w:rPr>
                <w:spacing w:val="-6"/>
                <w:sz w:val="24"/>
                <w:szCs w:val="24"/>
              </w:rPr>
              <w:t>处，</w:t>
            </w:r>
            <w:r>
              <w:rPr>
                <w:spacing w:val="-3"/>
                <w:sz w:val="24"/>
                <w:szCs w:val="24"/>
              </w:rPr>
              <w:t>最后接入</w:t>
            </w:r>
            <w:r>
              <w:rPr>
                <w:spacing w:val="-51"/>
                <w:sz w:val="24"/>
                <w:szCs w:val="24"/>
              </w:rPr>
              <w:t xml:space="preserve"> </w:t>
            </w: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16"/>
                <w:sz w:val="24"/>
                <w:szCs w:val="24"/>
              </w:rPr>
              <w:t xml:space="preserve"> </w:t>
            </w:r>
            <w:r>
              <w:rPr>
                <w:spacing w:val="-3"/>
                <w:sz w:val="24"/>
                <w:szCs w:val="24"/>
              </w:rPr>
              <w:t>芳华变。</w:t>
            </w:r>
          </w:p>
          <w:p w14:paraId="409D57EF">
            <w:pPr>
              <w:pStyle w:val="6"/>
              <w:spacing w:before="2" w:line="359" w:lineRule="auto"/>
              <w:ind w:left="102" w:right="103" w:firstLine="481"/>
              <w:jc w:val="both"/>
              <w:rPr>
                <w:sz w:val="24"/>
                <w:szCs w:val="24"/>
              </w:rPr>
            </w:pPr>
            <w:r>
              <w:rPr>
                <w:sz w:val="24"/>
                <w:szCs w:val="24"/>
              </w:rPr>
              <w:t>本方案线路采用单双回路混合架设，</w:t>
            </w:r>
            <w:r>
              <w:rPr>
                <w:rFonts w:ascii="Times New Roman" w:hAnsi="Times New Roman" w:eastAsia="Times New Roman" w:cs="Times New Roman"/>
                <w:sz w:val="24"/>
                <w:szCs w:val="24"/>
              </w:rPr>
              <w:t xml:space="preserve">110kV </w:t>
            </w:r>
            <w:r>
              <w:rPr>
                <w:sz w:val="24"/>
                <w:szCs w:val="24"/>
              </w:rPr>
              <w:t>松山变外为双回路终端塔单</w:t>
            </w:r>
            <w:r>
              <w:rPr>
                <w:spacing w:val="-2"/>
                <w:sz w:val="24"/>
                <w:szCs w:val="24"/>
              </w:rPr>
              <w:t>边挂线，跨越高速公路至</w:t>
            </w:r>
            <w:r>
              <w:rPr>
                <w:spacing w:val="-52"/>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6"/>
                <w:sz w:val="24"/>
                <w:szCs w:val="24"/>
              </w:rPr>
              <w:t xml:space="preserve"> </w:t>
            </w:r>
            <w:r>
              <w:rPr>
                <w:spacing w:val="-2"/>
                <w:sz w:val="24"/>
                <w:szCs w:val="24"/>
              </w:rPr>
              <w:t>芳华变段按双回路建设，其余采用单回路架</w:t>
            </w:r>
            <w:r>
              <w:rPr>
                <w:spacing w:val="-5"/>
                <w:sz w:val="24"/>
                <w:szCs w:val="24"/>
              </w:rPr>
              <w:t>设，全线路径长</w:t>
            </w:r>
            <w:r>
              <w:rPr>
                <w:spacing w:val="-32"/>
                <w:sz w:val="24"/>
                <w:szCs w:val="24"/>
              </w:rPr>
              <w:t xml:space="preserve"> </w:t>
            </w:r>
            <w:r>
              <w:rPr>
                <w:rFonts w:ascii="Times New Roman" w:hAnsi="Times New Roman" w:eastAsia="Times New Roman" w:cs="Times New Roman"/>
                <w:spacing w:val="-5"/>
                <w:sz w:val="24"/>
                <w:szCs w:val="24"/>
              </w:rPr>
              <w:t>10.25km</w:t>
            </w:r>
            <w:r>
              <w:rPr>
                <w:rFonts w:ascii="Times New Roman" w:hAnsi="Times New Roman" w:eastAsia="Times New Roman" w:cs="Times New Roman"/>
                <w:spacing w:val="-31"/>
                <w:sz w:val="24"/>
                <w:szCs w:val="24"/>
              </w:rPr>
              <w:t xml:space="preserve"> </w:t>
            </w:r>
            <w:r>
              <w:rPr>
                <w:spacing w:val="-5"/>
                <w:sz w:val="24"/>
                <w:szCs w:val="24"/>
              </w:rPr>
              <w:t>，其中双回路长</w:t>
            </w:r>
            <w:r>
              <w:rPr>
                <w:spacing w:val="-49"/>
                <w:sz w:val="24"/>
                <w:szCs w:val="24"/>
              </w:rPr>
              <w:t xml:space="preserve"> </w:t>
            </w:r>
            <w:r>
              <w:rPr>
                <w:rFonts w:ascii="Times New Roman" w:hAnsi="Times New Roman" w:eastAsia="Times New Roman" w:cs="Times New Roman"/>
                <w:spacing w:val="-5"/>
                <w:sz w:val="24"/>
                <w:szCs w:val="24"/>
              </w:rPr>
              <w:t>6.36km</w:t>
            </w:r>
            <w:r>
              <w:rPr>
                <w:rFonts w:ascii="Times New Roman" w:hAnsi="Times New Roman" w:eastAsia="Times New Roman" w:cs="Times New Roman"/>
                <w:spacing w:val="-31"/>
                <w:sz w:val="24"/>
                <w:szCs w:val="24"/>
              </w:rPr>
              <w:t xml:space="preserve"> </w:t>
            </w:r>
            <w:r>
              <w:rPr>
                <w:spacing w:val="-5"/>
                <w:sz w:val="24"/>
                <w:szCs w:val="24"/>
              </w:rPr>
              <w:t>，单回路长</w:t>
            </w:r>
            <w:r>
              <w:rPr>
                <w:spacing w:val="-50"/>
                <w:sz w:val="24"/>
                <w:szCs w:val="24"/>
              </w:rPr>
              <w:t xml:space="preserve"> </w:t>
            </w:r>
            <w:r>
              <w:rPr>
                <w:rFonts w:ascii="Times New Roman" w:hAnsi="Times New Roman" w:eastAsia="Times New Roman" w:cs="Times New Roman"/>
                <w:spacing w:val="-5"/>
                <w:sz w:val="24"/>
                <w:szCs w:val="24"/>
              </w:rPr>
              <w:t>3.89km</w:t>
            </w:r>
            <w:r>
              <w:rPr>
                <w:rFonts w:ascii="Times New Roman" w:hAnsi="Times New Roman" w:eastAsia="Times New Roman" w:cs="Times New Roman"/>
                <w:spacing w:val="-30"/>
                <w:sz w:val="24"/>
                <w:szCs w:val="24"/>
              </w:rPr>
              <w:t xml:space="preserve"> </w:t>
            </w:r>
            <w:r>
              <w:rPr>
                <w:spacing w:val="-5"/>
                <w:sz w:val="24"/>
                <w:szCs w:val="24"/>
              </w:rPr>
              <w:t>，曲折系</w:t>
            </w:r>
            <w:r>
              <w:rPr>
                <w:spacing w:val="-4"/>
                <w:sz w:val="24"/>
                <w:szCs w:val="24"/>
              </w:rPr>
              <w:t>数</w:t>
            </w:r>
            <w:r>
              <w:rPr>
                <w:spacing w:val="-31"/>
                <w:sz w:val="24"/>
                <w:szCs w:val="24"/>
              </w:rPr>
              <w:t xml:space="preserve"> </w:t>
            </w:r>
            <w:r>
              <w:rPr>
                <w:rFonts w:ascii="Times New Roman" w:hAnsi="Times New Roman" w:eastAsia="Times New Roman" w:cs="Times New Roman"/>
                <w:spacing w:val="-4"/>
                <w:sz w:val="24"/>
                <w:szCs w:val="24"/>
              </w:rPr>
              <w:t>1.24</w:t>
            </w:r>
            <w:r>
              <w:rPr>
                <w:rFonts w:ascii="Times New Roman" w:hAnsi="Times New Roman" w:eastAsia="Times New Roman" w:cs="Times New Roman"/>
                <w:spacing w:val="-27"/>
                <w:sz w:val="24"/>
                <w:szCs w:val="24"/>
              </w:rPr>
              <w:t xml:space="preserve"> </w:t>
            </w:r>
            <w:r>
              <w:rPr>
                <w:spacing w:val="-4"/>
                <w:sz w:val="24"/>
                <w:szCs w:val="24"/>
              </w:rPr>
              <w:t>。线路全线位于陆良县境内。</w:t>
            </w:r>
          </w:p>
          <w:p w14:paraId="2AB7B285">
            <w:pPr>
              <w:pStyle w:val="6"/>
              <w:spacing w:line="219" w:lineRule="auto"/>
              <w:ind w:left="579"/>
              <w:rPr>
                <w:sz w:val="24"/>
                <w:szCs w:val="24"/>
              </w:rPr>
            </w:pPr>
            <w:r>
              <w:rPr>
                <w:rFonts w:ascii="Times New Roman" w:hAnsi="Times New Roman" w:eastAsia="Times New Roman" w:cs="Times New Roman"/>
                <w:b/>
                <w:bCs/>
                <w:spacing w:val="-3"/>
                <w:sz w:val="24"/>
                <w:szCs w:val="24"/>
              </w:rPr>
              <w:t>2</w:t>
            </w:r>
            <w:r>
              <w:rPr>
                <w:rFonts w:ascii="Times New Roman" w:hAnsi="Times New Roman" w:eastAsia="Times New Roman" w:cs="Times New Roman"/>
                <w:b/>
                <w:bCs/>
                <w:spacing w:val="-31"/>
                <w:sz w:val="24"/>
                <w:szCs w:val="24"/>
              </w:rPr>
              <w:t xml:space="preserve"> </w:t>
            </w:r>
            <w:r>
              <w:rPr>
                <w:b/>
                <w:bCs/>
                <w:spacing w:val="-3"/>
                <w:sz w:val="24"/>
                <w:szCs w:val="24"/>
              </w:rPr>
              <w:t>、</w:t>
            </w:r>
            <w:r>
              <w:rPr>
                <w:rFonts w:ascii="Times New Roman" w:hAnsi="Times New Roman" w:eastAsia="Times New Roman" w:cs="Times New Roman"/>
                <w:b/>
                <w:bCs/>
                <w:spacing w:val="-3"/>
                <w:sz w:val="24"/>
                <w:szCs w:val="24"/>
              </w:rPr>
              <w:t xml:space="preserve">110kV </w:t>
            </w:r>
            <w:r>
              <w:rPr>
                <w:b/>
                <w:bCs/>
                <w:spacing w:val="-3"/>
                <w:sz w:val="24"/>
                <w:szCs w:val="24"/>
              </w:rPr>
              <w:t>松山变</w:t>
            </w:r>
            <w:r>
              <w:rPr>
                <w:rFonts w:ascii="Times New Roman" w:hAnsi="Times New Roman" w:eastAsia="Times New Roman" w:cs="Times New Roman"/>
                <w:b/>
                <w:bCs/>
                <w:spacing w:val="-3"/>
                <w:sz w:val="24"/>
                <w:szCs w:val="24"/>
              </w:rPr>
              <w:t>“T”</w:t>
            </w:r>
            <w:r>
              <w:rPr>
                <w:b/>
                <w:bCs/>
                <w:spacing w:val="-3"/>
                <w:sz w:val="24"/>
                <w:szCs w:val="24"/>
              </w:rPr>
              <w:t>接芳华变出线π接</w:t>
            </w:r>
            <w:r>
              <w:rPr>
                <w:spacing w:val="-44"/>
                <w:sz w:val="24"/>
                <w:szCs w:val="24"/>
              </w:rPr>
              <w:t xml:space="preserve"> </w:t>
            </w:r>
            <w:r>
              <w:rPr>
                <w:rFonts w:ascii="Times New Roman" w:hAnsi="Times New Roman" w:eastAsia="Times New Roman" w:cs="Times New Roman"/>
                <w:b/>
                <w:bCs/>
                <w:spacing w:val="-3"/>
                <w:sz w:val="24"/>
                <w:szCs w:val="24"/>
              </w:rPr>
              <w:t>110kV</w:t>
            </w:r>
            <w:r>
              <w:rPr>
                <w:rFonts w:ascii="Times New Roman" w:hAnsi="Times New Roman" w:eastAsia="Times New Roman" w:cs="Times New Roman"/>
                <w:b/>
                <w:bCs/>
                <w:spacing w:val="17"/>
                <w:w w:val="101"/>
                <w:sz w:val="24"/>
                <w:szCs w:val="24"/>
              </w:rPr>
              <w:t xml:space="preserve"> </w:t>
            </w:r>
            <w:r>
              <w:rPr>
                <w:b/>
                <w:bCs/>
                <w:spacing w:val="-3"/>
                <w:sz w:val="24"/>
                <w:szCs w:val="24"/>
              </w:rPr>
              <w:t>吉中线的</w:t>
            </w:r>
            <w:r>
              <w:rPr>
                <w:spacing w:val="-44"/>
                <w:sz w:val="24"/>
                <w:szCs w:val="24"/>
              </w:rPr>
              <w:t xml:space="preserve"> </w:t>
            </w:r>
            <w:r>
              <w:rPr>
                <w:rFonts w:ascii="Times New Roman" w:hAnsi="Times New Roman" w:eastAsia="Times New Roman" w:cs="Times New Roman"/>
                <w:b/>
                <w:bCs/>
                <w:spacing w:val="-3"/>
                <w:sz w:val="24"/>
                <w:szCs w:val="24"/>
              </w:rPr>
              <w:t xml:space="preserve">110kV </w:t>
            </w:r>
            <w:r>
              <w:rPr>
                <w:b/>
                <w:bCs/>
                <w:spacing w:val="-3"/>
                <w:sz w:val="24"/>
                <w:szCs w:val="24"/>
              </w:rPr>
              <w:t>线路</w:t>
            </w:r>
          </w:p>
          <w:p w14:paraId="5335946C">
            <w:pPr>
              <w:pStyle w:val="6"/>
              <w:spacing w:before="182" w:line="359" w:lineRule="auto"/>
              <w:ind w:left="102" w:right="101" w:firstLine="483"/>
              <w:jc w:val="both"/>
              <w:rPr>
                <w:sz w:val="24"/>
                <w:szCs w:val="24"/>
              </w:rPr>
            </w:pPr>
            <w:r>
              <w:rPr>
                <w:spacing w:val="2"/>
                <w:sz w:val="24"/>
                <w:szCs w:val="24"/>
              </w:rPr>
              <w:t>线路从新建变电站向西方出线后，左转向西南方向跨越</w:t>
            </w:r>
            <w:r>
              <w:rPr>
                <w:spacing w:val="-48"/>
                <w:sz w:val="24"/>
                <w:szCs w:val="24"/>
              </w:rPr>
              <w:t xml:space="preserve"> </w:t>
            </w:r>
            <w:r>
              <w:rPr>
                <w:rFonts w:ascii="Times New Roman" w:hAnsi="Times New Roman" w:eastAsia="Times New Roman" w:cs="Times New Roman"/>
                <w:spacing w:val="2"/>
                <w:sz w:val="24"/>
                <w:szCs w:val="24"/>
              </w:rPr>
              <w:t>35</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 xml:space="preserve"> </w:t>
            </w:r>
            <w:r>
              <w:rPr>
                <w:spacing w:val="2"/>
                <w:sz w:val="24"/>
                <w:szCs w:val="24"/>
              </w:rPr>
              <w:t>金瑞</w:t>
            </w:r>
            <w:r>
              <w:rPr>
                <w:spacing w:val="1"/>
                <w:sz w:val="24"/>
                <w:szCs w:val="24"/>
              </w:rPr>
              <w:t>达瓷</w:t>
            </w:r>
            <w:r>
              <w:rPr>
                <w:sz w:val="24"/>
                <w:szCs w:val="24"/>
              </w:rPr>
              <w:t>业线后继续平行曲陆高速（滇中环线高速）前进，在中所堡村北侧向西南转</w:t>
            </w:r>
            <w:r>
              <w:rPr>
                <w:spacing w:val="-3"/>
                <w:sz w:val="24"/>
                <w:szCs w:val="24"/>
              </w:rPr>
              <w:t>向，绕开黑龙村水库，穿越</w:t>
            </w:r>
            <w:r>
              <w:rPr>
                <w:spacing w:val="-32"/>
                <w:sz w:val="24"/>
                <w:szCs w:val="24"/>
              </w:rPr>
              <w:t xml:space="preserve"> </w:t>
            </w:r>
            <w:r>
              <w:rPr>
                <w:rFonts w:ascii="Times New Roman" w:hAnsi="Times New Roman" w:eastAsia="Times New Roman" w:cs="Times New Roman"/>
                <w:spacing w:val="-3"/>
                <w:sz w:val="24"/>
                <w:szCs w:val="24"/>
              </w:rPr>
              <w:t>110kV</w:t>
            </w:r>
            <w:r>
              <w:rPr>
                <w:rFonts w:ascii="Times New Roman" w:hAnsi="Times New Roman" w:eastAsia="Times New Roman" w:cs="Times New Roman"/>
                <w:spacing w:val="15"/>
                <w:sz w:val="24"/>
                <w:szCs w:val="24"/>
              </w:rPr>
              <w:t xml:space="preserve"> </w:t>
            </w:r>
            <w:r>
              <w:rPr>
                <w:spacing w:val="-3"/>
                <w:sz w:val="24"/>
                <w:szCs w:val="24"/>
              </w:rPr>
              <w:t>芳华</w:t>
            </w:r>
            <w:r>
              <w:rPr>
                <w:spacing w:val="-53"/>
                <w:sz w:val="24"/>
                <w:szCs w:val="24"/>
              </w:rPr>
              <w:t xml:space="preserve"> </w:t>
            </w:r>
            <w:r>
              <w:rPr>
                <w:rFonts w:ascii="Times New Roman" w:hAnsi="Times New Roman" w:eastAsia="Times New Roman" w:cs="Times New Roman"/>
                <w:spacing w:val="-3"/>
                <w:sz w:val="24"/>
                <w:szCs w:val="24"/>
              </w:rPr>
              <w:t xml:space="preserve">T </w:t>
            </w:r>
            <w:r>
              <w:rPr>
                <w:spacing w:val="-3"/>
                <w:sz w:val="24"/>
                <w:szCs w:val="24"/>
              </w:rPr>
              <w:t>接中大</w:t>
            </w:r>
            <w:r>
              <w:rPr>
                <w:spacing w:val="-55"/>
                <w:sz w:val="24"/>
                <w:szCs w:val="24"/>
              </w:rPr>
              <w:t xml:space="preserve"> </w:t>
            </w:r>
            <w:r>
              <w:rPr>
                <w:rFonts w:ascii="Times New Roman" w:hAnsi="Times New Roman" w:eastAsia="Times New Roman" w:cs="Times New Roman"/>
                <w:spacing w:val="-3"/>
                <w:sz w:val="24"/>
                <w:szCs w:val="24"/>
              </w:rPr>
              <w:t>II</w:t>
            </w:r>
            <w:r>
              <w:rPr>
                <w:rFonts w:ascii="Times New Roman" w:hAnsi="Times New Roman" w:eastAsia="Times New Roman" w:cs="Times New Roman"/>
                <w:spacing w:val="35"/>
                <w:sz w:val="24"/>
                <w:szCs w:val="24"/>
              </w:rPr>
              <w:t xml:space="preserve"> </w:t>
            </w:r>
            <w:r>
              <w:rPr>
                <w:spacing w:val="-3"/>
                <w:sz w:val="24"/>
                <w:szCs w:val="24"/>
              </w:rPr>
              <w:t>回线后继续走线；</w:t>
            </w:r>
          </w:p>
          <w:p w14:paraId="786D5984">
            <w:pPr>
              <w:pStyle w:val="6"/>
              <w:spacing w:before="2" w:line="330" w:lineRule="auto"/>
              <w:ind w:left="90" w:right="23" w:firstLine="490"/>
              <w:jc w:val="both"/>
              <w:rPr>
                <w:sz w:val="24"/>
                <w:szCs w:val="24"/>
              </w:rPr>
            </w:pPr>
            <w:r>
              <w:rPr>
                <w:rFonts w:ascii="Times New Roman" w:hAnsi="Times New Roman" w:eastAsia="Times New Roman" w:cs="Times New Roman"/>
                <w:spacing w:val="2"/>
                <w:sz w:val="24"/>
                <w:szCs w:val="24"/>
              </w:rPr>
              <w:t xml:space="preserve">T </w:t>
            </w:r>
            <w:r>
              <w:rPr>
                <w:spacing w:val="2"/>
                <w:sz w:val="24"/>
                <w:szCs w:val="24"/>
              </w:rPr>
              <w:t>接方案：与芳华输变电工程设计单位协商</w:t>
            </w:r>
            <w:r>
              <w:rPr>
                <w:spacing w:val="1"/>
                <w:sz w:val="24"/>
                <w:szCs w:val="24"/>
              </w:rPr>
              <w:t>后，将其</w:t>
            </w:r>
            <w:r>
              <w:rPr>
                <w:rFonts w:ascii="Times New Roman" w:hAnsi="Times New Roman" w:eastAsia="Times New Roman" w:cs="Times New Roman"/>
                <w:spacing w:val="1"/>
                <w:sz w:val="24"/>
                <w:szCs w:val="24"/>
              </w:rPr>
              <w:t>π</w:t>
            </w:r>
            <w:r>
              <w:rPr>
                <w:spacing w:val="1"/>
                <w:sz w:val="24"/>
                <w:szCs w:val="24"/>
              </w:rPr>
              <w:t>接</w:t>
            </w:r>
            <w:r>
              <w:rPr>
                <w:spacing w:val="-27"/>
                <w:sz w:val="24"/>
                <w:szCs w:val="24"/>
              </w:rPr>
              <w:t xml:space="preserve"> </w:t>
            </w:r>
            <w:r>
              <w:rPr>
                <w:rFonts w:ascii="Times New Roman" w:hAnsi="Times New Roman" w:eastAsia="Times New Roman" w:cs="Times New Roman"/>
                <w:spacing w:val="1"/>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22"/>
                <w:sz w:val="24"/>
                <w:szCs w:val="24"/>
              </w:rPr>
              <w:t xml:space="preserve"> </w:t>
            </w:r>
            <w:r>
              <w:rPr>
                <w:spacing w:val="1"/>
                <w:sz w:val="24"/>
                <w:szCs w:val="24"/>
              </w:rPr>
              <w:t>吉中线</w:t>
            </w:r>
            <w:r>
              <w:rPr>
                <w:rFonts w:ascii="Times New Roman" w:hAnsi="Times New Roman" w:eastAsia="Times New Roman" w:cs="Times New Roman"/>
                <w:sz w:val="24"/>
                <w:szCs w:val="24"/>
              </w:rPr>
              <w:t>NF</w:t>
            </w:r>
            <w:r>
              <w:rPr>
                <w:rFonts w:ascii="Times New Roman" w:hAnsi="Times New Roman" w:eastAsia="Times New Roman" w:cs="Times New Roman"/>
                <w:spacing w:val="2"/>
                <w:sz w:val="24"/>
                <w:szCs w:val="24"/>
              </w:rPr>
              <w:t>20</w:t>
            </w:r>
            <w:r>
              <w:rPr>
                <w:rFonts w:ascii="Times New Roman" w:hAnsi="Times New Roman" w:eastAsia="Times New Roman" w:cs="Times New Roman"/>
                <w:spacing w:val="34"/>
                <w:w w:val="101"/>
                <w:sz w:val="24"/>
                <w:szCs w:val="24"/>
              </w:rPr>
              <w:t xml:space="preserve"> </w:t>
            </w:r>
            <w:r>
              <w:rPr>
                <w:spacing w:val="2"/>
                <w:sz w:val="24"/>
                <w:szCs w:val="24"/>
              </w:rPr>
              <w:t>号塔预留为双回路</w:t>
            </w:r>
            <w:r>
              <w:rPr>
                <w:spacing w:val="-48"/>
                <w:sz w:val="24"/>
                <w:szCs w:val="24"/>
              </w:rPr>
              <w:t xml:space="preserve"> </w:t>
            </w:r>
            <w:r>
              <w:rPr>
                <w:rFonts w:ascii="Times New Roman" w:hAnsi="Times New Roman" w:eastAsia="Times New Roman" w:cs="Times New Roman"/>
                <w:spacing w:val="2"/>
                <w:sz w:val="24"/>
                <w:szCs w:val="24"/>
              </w:rPr>
              <w:t xml:space="preserve">T </w:t>
            </w:r>
            <w:r>
              <w:rPr>
                <w:spacing w:val="2"/>
                <w:sz w:val="24"/>
                <w:szCs w:val="24"/>
              </w:rPr>
              <w:t>接塔，本次线路直接接至</w:t>
            </w:r>
            <w:r>
              <w:rPr>
                <w:spacing w:val="-25"/>
                <w:sz w:val="24"/>
                <w:szCs w:val="24"/>
              </w:rPr>
              <w:t xml:space="preserve"> </w:t>
            </w:r>
            <w:r>
              <w:rPr>
                <w:rFonts w:ascii="Times New Roman" w:hAnsi="Times New Roman" w:eastAsia="Times New Roman" w:cs="Times New Roman"/>
                <w:spacing w:val="2"/>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23"/>
                <w:sz w:val="24"/>
                <w:szCs w:val="24"/>
              </w:rPr>
              <w:t xml:space="preserve"> </w:t>
            </w:r>
            <w:r>
              <w:rPr>
                <w:spacing w:val="2"/>
                <w:sz w:val="24"/>
                <w:szCs w:val="24"/>
              </w:rPr>
              <w:t>芳华</w:t>
            </w:r>
            <w:r>
              <w:rPr>
                <w:rFonts w:ascii="Times New Roman" w:hAnsi="Times New Roman" w:eastAsia="Times New Roman" w:cs="Times New Roman"/>
                <w:spacing w:val="2"/>
                <w:sz w:val="24"/>
                <w:szCs w:val="24"/>
              </w:rPr>
              <w:t>π</w:t>
            </w:r>
            <w:r>
              <w:rPr>
                <w:spacing w:val="2"/>
                <w:sz w:val="24"/>
                <w:szCs w:val="24"/>
              </w:rPr>
              <w:t>接吉中线</w:t>
            </w:r>
            <w:r>
              <w:rPr>
                <w:rFonts w:ascii="Times New Roman" w:hAnsi="Times New Roman" w:eastAsia="Times New Roman" w:cs="Times New Roman"/>
                <w:spacing w:val="-4"/>
                <w:sz w:val="24"/>
                <w:szCs w:val="24"/>
              </w:rPr>
              <w:t>NF19</w:t>
            </w:r>
            <w:r>
              <w:rPr>
                <w:rFonts w:ascii="Times New Roman" w:hAnsi="Times New Roman" w:eastAsia="Times New Roman" w:cs="Times New Roman"/>
                <w:spacing w:val="16"/>
                <w:sz w:val="24"/>
                <w:szCs w:val="24"/>
              </w:rPr>
              <w:t xml:space="preserve"> </w:t>
            </w:r>
            <w:r>
              <w:rPr>
                <w:spacing w:val="-4"/>
                <w:sz w:val="24"/>
                <w:szCs w:val="24"/>
              </w:rPr>
              <w:t>号塔上，线路采用单回路架设，线路</w:t>
            </w:r>
            <w:r>
              <w:rPr>
                <w:spacing w:val="-5"/>
                <w:sz w:val="24"/>
                <w:szCs w:val="24"/>
              </w:rPr>
              <w:t>路径长约</w:t>
            </w:r>
            <w:r>
              <w:rPr>
                <w:spacing w:val="-49"/>
                <w:sz w:val="24"/>
                <w:szCs w:val="24"/>
              </w:rPr>
              <w:t xml:space="preserve"> </w:t>
            </w:r>
            <w:r>
              <w:rPr>
                <w:rFonts w:ascii="Times New Roman" w:hAnsi="Times New Roman" w:eastAsia="Times New Roman" w:cs="Times New Roman"/>
                <w:spacing w:val="-5"/>
                <w:sz w:val="24"/>
                <w:szCs w:val="24"/>
              </w:rPr>
              <w:t>5.78km</w:t>
            </w:r>
            <w:r>
              <w:rPr>
                <w:rFonts w:ascii="Times New Roman" w:hAnsi="Times New Roman" w:eastAsia="Times New Roman" w:cs="Times New Roman"/>
                <w:spacing w:val="-30"/>
                <w:sz w:val="24"/>
                <w:szCs w:val="24"/>
              </w:rPr>
              <w:t xml:space="preserve"> </w:t>
            </w:r>
            <w:r>
              <w:rPr>
                <w:spacing w:val="-5"/>
                <w:sz w:val="24"/>
                <w:szCs w:val="24"/>
              </w:rPr>
              <w:t>，曲折系数</w:t>
            </w:r>
            <w:r>
              <w:rPr>
                <w:spacing w:val="-32"/>
                <w:sz w:val="24"/>
                <w:szCs w:val="24"/>
              </w:rPr>
              <w:t xml:space="preserve"> </w:t>
            </w:r>
            <w:r>
              <w:rPr>
                <w:rFonts w:ascii="Times New Roman" w:hAnsi="Times New Roman" w:eastAsia="Times New Roman" w:cs="Times New Roman"/>
                <w:spacing w:val="-5"/>
                <w:sz w:val="24"/>
                <w:szCs w:val="24"/>
              </w:rPr>
              <w:t>1.11</w:t>
            </w:r>
            <w:r>
              <w:rPr>
                <w:spacing w:val="-5"/>
                <w:sz w:val="24"/>
                <w:szCs w:val="24"/>
              </w:rPr>
              <w:t>。</w:t>
            </w:r>
            <w:r>
              <w:rPr>
                <w:sz w:val="24"/>
                <w:szCs w:val="24"/>
              </w:rPr>
              <w:t>线路全线位于陆良县境内。</w:t>
            </w:r>
          </w:p>
        </w:tc>
      </w:tr>
      <w:tr w14:paraId="66AE8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0" w:hRule="atLeast"/>
        </w:trPr>
        <w:tc>
          <w:tcPr>
            <w:tcW w:w="375" w:type="dxa"/>
            <w:vMerge w:val="continue"/>
            <w:tcBorders>
              <w:top w:val="nil"/>
              <w:bottom w:val="nil"/>
            </w:tcBorders>
            <w:vAlign w:val="top"/>
          </w:tcPr>
          <w:p w14:paraId="0F9B8897">
            <w:pPr>
              <w:rPr>
                <w:rFonts w:ascii="Arial"/>
                <w:sz w:val="21"/>
              </w:rPr>
            </w:pPr>
          </w:p>
        </w:tc>
        <w:tc>
          <w:tcPr>
            <w:tcW w:w="7743" w:type="dxa"/>
            <w:tcBorders>
              <w:top w:val="nil"/>
              <w:bottom w:val="nil"/>
              <w:right w:val="nil"/>
            </w:tcBorders>
            <w:vAlign w:val="top"/>
          </w:tcPr>
          <w:p w14:paraId="248B5DA7">
            <w:pPr>
              <w:spacing w:before="103" w:line="4650" w:lineRule="exact"/>
              <w:ind w:firstLine="155"/>
            </w:pPr>
            <w:r>
              <w:rPr>
                <w:position w:val="-93"/>
              </w:rPr>
              <w:drawing>
                <wp:inline distT="0" distB="0" distL="0" distR="0">
                  <wp:extent cx="4806950" cy="295275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224"/>
                          <a:stretch>
                            <a:fillRect/>
                          </a:stretch>
                        </pic:blipFill>
                        <pic:spPr>
                          <a:xfrm>
                            <a:off x="0" y="0"/>
                            <a:ext cx="4807457" cy="2952750"/>
                          </a:xfrm>
                          <a:prstGeom prst="rect">
                            <a:avLst/>
                          </a:prstGeom>
                        </pic:spPr>
                      </pic:pic>
                    </a:graphicData>
                  </a:graphic>
                </wp:inline>
              </w:drawing>
            </w:r>
          </w:p>
        </w:tc>
        <w:tc>
          <w:tcPr>
            <w:tcW w:w="406" w:type="dxa"/>
            <w:tcBorders>
              <w:top w:val="nil"/>
              <w:left w:val="nil"/>
              <w:bottom w:val="nil"/>
            </w:tcBorders>
            <w:vAlign w:val="top"/>
          </w:tcPr>
          <w:p w14:paraId="24B1070E">
            <w:pPr>
              <w:spacing w:line="246" w:lineRule="auto"/>
              <w:rPr>
                <w:rFonts w:ascii="Arial"/>
                <w:sz w:val="21"/>
              </w:rPr>
            </w:pPr>
          </w:p>
          <w:p w14:paraId="6E1586A8">
            <w:pPr>
              <w:spacing w:line="246" w:lineRule="auto"/>
              <w:rPr>
                <w:rFonts w:ascii="Arial"/>
                <w:sz w:val="21"/>
              </w:rPr>
            </w:pPr>
          </w:p>
          <w:p w14:paraId="5599FFB1">
            <w:pPr>
              <w:spacing w:line="246" w:lineRule="auto"/>
              <w:rPr>
                <w:rFonts w:ascii="Arial"/>
                <w:sz w:val="21"/>
              </w:rPr>
            </w:pPr>
          </w:p>
          <w:p w14:paraId="14026229">
            <w:pPr>
              <w:spacing w:line="246" w:lineRule="auto"/>
              <w:rPr>
                <w:rFonts w:ascii="Arial"/>
                <w:sz w:val="21"/>
              </w:rPr>
            </w:pPr>
          </w:p>
          <w:p w14:paraId="3E7B6528">
            <w:pPr>
              <w:spacing w:line="247" w:lineRule="auto"/>
              <w:rPr>
                <w:rFonts w:ascii="Arial"/>
                <w:sz w:val="21"/>
              </w:rPr>
            </w:pPr>
          </w:p>
          <w:p w14:paraId="4B41F813">
            <w:pPr>
              <w:spacing w:line="247" w:lineRule="auto"/>
              <w:rPr>
                <w:rFonts w:ascii="Arial"/>
                <w:sz w:val="21"/>
              </w:rPr>
            </w:pPr>
          </w:p>
          <w:p w14:paraId="56519030">
            <w:pPr>
              <w:spacing w:line="247" w:lineRule="auto"/>
              <w:rPr>
                <w:rFonts w:ascii="Arial"/>
                <w:sz w:val="21"/>
              </w:rPr>
            </w:pPr>
          </w:p>
          <w:p w14:paraId="6701B713">
            <w:pPr>
              <w:spacing w:line="247" w:lineRule="auto"/>
              <w:rPr>
                <w:rFonts w:ascii="Arial"/>
                <w:sz w:val="21"/>
              </w:rPr>
            </w:pPr>
          </w:p>
          <w:p w14:paraId="53186794">
            <w:pPr>
              <w:spacing w:line="247" w:lineRule="auto"/>
              <w:rPr>
                <w:rFonts w:ascii="Arial"/>
                <w:sz w:val="21"/>
              </w:rPr>
            </w:pPr>
          </w:p>
          <w:p w14:paraId="47D043DF">
            <w:pPr>
              <w:spacing w:line="247" w:lineRule="auto"/>
              <w:rPr>
                <w:rFonts w:ascii="Arial"/>
                <w:sz w:val="21"/>
              </w:rPr>
            </w:pPr>
          </w:p>
          <w:p w14:paraId="3526DBD1">
            <w:pPr>
              <w:spacing w:line="247" w:lineRule="auto"/>
              <w:rPr>
                <w:rFonts w:ascii="Arial"/>
                <w:sz w:val="21"/>
              </w:rPr>
            </w:pPr>
          </w:p>
          <w:p w14:paraId="4C8D1026">
            <w:pPr>
              <w:spacing w:line="247" w:lineRule="auto"/>
              <w:rPr>
                <w:rFonts w:ascii="Arial"/>
                <w:sz w:val="21"/>
              </w:rPr>
            </w:pPr>
          </w:p>
          <w:p w14:paraId="7CAF2520">
            <w:pPr>
              <w:spacing w:line="247" w:lineRule="auto"/>
              <w:rPr>
                <w:rFonts w:ascii="Arial"/>
                <w:sz w:val="21"/>
              </w:rPr>
            </w:pPr>
          </w:p>
          <w:p w14:paraId="265F901C">
            <w:pPr>
              <w:spacing w:line="247" w:lineRule="auto"/>
              <w:rPr>
                <w:rFonts w:ascii="Arial"/>
                <w:sz w:val="21"/>
              </w:rPr>
            </w:pPr>
          </w:p>
          <w:p w14:paraId="16F90658">
            <w:pPr>
              <w:spacing w:line="247" w:lineRule="auto"/>
              <w:rPr>
                <w:rFonts w:ascii="Arial"/>
                <w:sz w:val="21"/>
              </w:rPr>
            </w:pPr>
          </w:p>
          <w:p w14:paraId="06E2D4A3">
            <w:pPr>
              <w:spacing w:line="247" w:lineRule="auto"/>
              <w:rPr>
                <w:rFonts w:ascii="Arial"/>
                <w:sz w:val="21"/>
              </w:rPr>
            </w:pPr>
          </w:p>
          <w:p w14:paraId="30E7401C">
            <w:pPr>
              <w:spacing w:line="247" w:lineRule="auto"/>
              <w:rPr>
                <w:rFonts w:ascii="Arial"/>
                <w:sz w:val="21"/>
              </w:rPr>
            </w:pPr>
          </w:p>
          <w:p w14:paraId="0C308ECD">
            <w:pPr>
              <w:spacing w:line="247" w:lineRule="auto"/>
              <w:rPr>
                <w:rFonts w:ascii="Arial"/>
                <w:sz w:val="21"/>
              </w:rPr>
            </w:pPr>
          </w:p>
          <w:p w14:paraId="4DA6E704">
            <w:pPr>
              <w:pStyle w:val="6"/>
              <w:spacing w:before="78" w:line="194" w:lineRule="auto"/>
              <w:ind w:left="23"/>
              <w:rPr>
                <w:sz w:val="24"/>
                <w:szCs w:val="24"/>
              </w:rPr>
            </w:pPr>
            <w:r>
              <w:rPr>
                <w:b/>
                <w:bCs/>
                <w:spacing w:val="-3"/>
                <w:sz w:val="24"/>
                <w:szCs w:val="24"/>
              </w:rPr>
              <w:t>图</w:t>
            </w:r>
          </w:p>
        </w:tc>
      </w:tr>
      <w:tr w14:paraId="21AAF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05" w:hRule="atLeast"/>
        </w:trPr>
        <w:tc>
          <w:tcPr>
            <w:tcW w:w="375" w:type="dxa"/>
            <w:vMerge w:val="continue"/>
            <w:tcBorders>
              <w:top w:val="nil"/>
            </w:tcBorders>
            <w:vAlign w:val="top"/>
          </w:tcPr>
          <w:p w14:paraId="2E0925AE">
            <w:pPr>
              <w:rPr>
                <w:rFonts w:ascii="Arial"/>
                <w:sz w:val="21"/>
              </w:rPr>
            </w:pPr>
          </w:p>
        </w:tc>
        <w:tc>
          <w:tcPr>
            <w:tcW w:w="8149" w:type="dxa"/>
            <w:gridSpan w:val="2"/>
            <w:tcBorders>
              <w:top w:val="nil"/>
            </w:tcBorders>
            <w:vAlign w:val="top"/>
          </w:tcPr>
          <w:p w14:paraId="3DB09C1F">
            <w:pPr>
              <w:pStyle w:val="6"/>
              <w:spacing w:before="47" w:line="219" w:lineRule="auto"/>
              <w:ind w:left="2137"/>
              <w:rPr>
                <w:sz w:val="24"/>
                <w:szCs w:val="24"/>
              </w:rPr>
            </w:pPr>
            <w:r>
              <w:rPr>
                <w:rFonts w:ascii="Times New Roman" w:hAnsi="Times New Roman" w:eastAsia="Times New Roman" w:cs="Times New Roman"/>
                <w:b/>
                <w:bCs/>
                <w:spacing w:val="-2"/>
                <w:sz w:val="24"/>
                <w:szCs w:val="24"/>
              </w:rPr>
              <w:t xml:space="preserve">2-3      </w:t>
            </w:r>
            <w:r>
              <w:rPr>
                <w:b/>
                <w:bCs/>
                <w:spacing w:val="-2"/>
                <w:sz w:val="24"/>
                <w:szCs w:val="24"/>
              </w:rPr>
              <w:t>松山变</w:t>
            </w:r>
            <w:r>
              <w:rPr>
                <w:spacing w:val="-44"/>
                <w:sz w:val="24"/>
                <w:szCs w:val="24"/>
              </w:rPr>
              <w:t xml:space="preserve"> </w:t>
            </w:r>
            <w:r>
              <w:rPr>
                <w:rFonts w:ascii="Times New Roman" w:hAnsi="Times New Roman" w:eastAsia="Times New Roman" w:cs="Times New Roman"/>
                <w:b/>
                <w:bCs/>
                <w:spacing w:val="-2"/>
                <w:sz w:val="24"/>
                <w:szCs w:val="24"/>
              </w:rPr>
              <w:t xml:space="preserve">110kV </w:t>
            </w:r>
            <w:r>
              <w:rPr>
                <w:b/>
                <w:bCs/>
                <w:spacing w:val="-2"/>
                <w:sz w:val="24"/>
                <w:szCs w:val="24"/>
              </w:rPr>
              <w:t>接</w:t>
            </w:r>
            <w:r>
              <w:rPr>
                <w:b/>
                <w:bCs/>
                <w:spacing w:val="-3"/>
                <w:sz w:val="24"/>
                <w:szCs w:val="24"/>
              </w:rPr>
              <w:t>入系统示意图</w:t>
            </w:r>
          </w:p>
          <w:p w14:paraId="496ABBC1">
            <w:pPr>
              <w:pStyle w:val="6"/>
              <w:spacing w:before="27" w:line="219" w:lineRule="auto"/>
              <w:ind w:left="103"/>
              <w:rPr>
                <w:sz w:val="24"/>
                <w:szCs w:val="24"/>
              </w:rPr>
            </w:pPr>
            <w:r>
              <w:rPr>
                <w:b/>
                <w:bCs/>
                <w:spacing w:val="-3"/>
                <w:sz w:val="24"/>
                <w:szCs w:val="24"/>
              </w:rPr>
              <w:t>三、输电线路交叉跨越情况</w:t>
            </w:r>
          </w:p>
          <w:p w14:paraId="2DF10D4A">
            <w:pPr>
              <w:pStyle w:val="6"/>
              <w:spacing w:before="181" w:line="359" w:lineRule="auto"/>
              <w:ind w:left="103" w:right="101" w:firstLine="480"/>
              <w:jc w:val="both"/>
              <w:rPr>
                <w:sz w:val="24"/>
                <w:szCs w:val="24"/>
              </w:rPr>
            </w:pPr>
            <w:r>
              <w:rPr>
                <w:sz w:val="24"/>
                <w:szCs w:val="24"/>
              </w:rPr>
              <w:t>根据调查了解、收集资料统计，本项目架空线路（推荐方案）路径交叉</w:t>
            </w:r>
            <w:r>
              <w:rPr>
                <w:spacing w:val="1"/>
                <w:sz w:val="24"/>
                <w:szCs w:val="24"/>
              </w:rPr>
              <w:t>跨越情况见表</w:t>
            </w:r>
            <w:r>
              <w:rPr>
                <w:spacing w:val="-36"/>
                <w:sz w:val="24"/>
                <w:szCs w:val="24"/>
              </w:rPr>
              <w:t xml:space="preserve"> </w:t>
            </w:r>
            <w:r>
              <w:rPr>
                <w:rFonts w:ascii="Times New Roman" w:hAnsi="Times New Roman" w:eastAsia="Times New Roman" w:cs="Times New Roman"/>
                <w:spacing w:val="1"/>
                <w:sz w:val="24"/>
                <w:szCs w:val="24"/>
              </w:rPr>
              <w:t>2-</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1"/>
                <w:sz w:val="24"/>
                <w:szCs w:val="24"/>
              </w:rPr>
              <w:t>10</w:t>
            </w:r>
            <w:r>
              <w:rPr>
                <w:rFonts w:ascii="Times New Roman" w:hAnsi="Times New Roman" w:eastAsia="Times New Roman" w:cs="Times New Roman"/>
                <w:spacing w:val="-26"/>
                <w:sz w:val="24"/>
                <w:szCs w:val="24"/>
              </w:rPr>
              <w:t xml:space="preserve"> </w:t>
            </w:r>
            <w:r>
              <w:rPr>
                <w:spacing w:val="1"/>
                <w:sz w:val="24"/>
                <w:szCs w:val="24"/>
              </w:rPr>
              <w:t>，线路对地及交叉跨越物的最小距离按《</w:t>
            </w:r>
            <w:r>
              <w:rPr>
                <w:rFonts w:ascii="Times New Roman" w:hAnsi="Times New Roman" w:eastAsia="Times New Roman" w:cs="Times New Roman"/>
                <w:spacing w:val="1"/>
                <w:sz w:val="24"/>
                <w:szCs w:val="24"/>
              </w:rPr>
              <w:t>110</w:t>
            </w:r>
            <w:r>
              <w:rPr>
                <w:rFonts w:ascii="Times New Roman" w:hAnsi="Times New Roman" w:eastAsia="Times New Roman" w:cs="Times New Roman"/>
                <w:sz w:val="24"/>
                <w:szCs w:val="24"/>
              </w:rPr>
              <w:t>kV</w:t>
            </w:r>
            <w:r>
              <w:rPr>
                <w:spacing w:val="1"/>
                <w:sz w:val="24"/>
                <w:szCs w:val="24"/>
              </w:rPr>
              <w:t>～</w:t>
            </w:r>
            <w:r>
              <w:rPr>
                <w:rFonts w:ascii="Times New Roman" w:hAnsi="Times New Roman" w:eastAsia="Times New Roman" w:cs="Times New Roman"/>
                <w:spacing w:val="1"/>
                <w:sz w:val="24"/>
                <w:szCs w:val="24"/>
              </w:rPr>
              <w:t>750</w:t>
            </w:r>
            <w:r>
              <w:rPr>
                <w:rFonts w:ascii="Times New Roman" w:hAnsi="Times New Roman" w:eastAsia="Times New Roman" w:cs="Times New Roman"/>
                <w:sz w:val="24"/>
                <w:szCs w:val="24"/>
              </w:rPr>
              <w:t>kV</w:t>
            </w:r>
            <w:r>
              <w:rPr>
                <w:spacing w:val="-1"/>
                <w:sz w:val="24"/>
                <w:szCs w:val="24"/>
              </w:rPr>
              <w:t>架空输电线路设计规范》（</w:t>
            </w:r>
            <w:r>
              <w:rPr>
                <w:rFonts w:ascii="Times New Roman" w:hAnsi="Times New Roman" w:eastAsia="Times New Roman" w:cs="Times New Roman"/>
                <w:spacing w:val="-1"/>
                <w:sz w:val="24"/>
                <w:szCs w:val="24"/>
              </w:rPr>
              <w:t>GB50545- 2010</w:t>
            </w:r>
            <w:r>
              <w:rPr>
                <w:spacing w:val="-1"/>
                <w:sz w:val="24"/>
                <w:szCs w:val="24"/>
              </w:rPr>
              <w:t>）规</w:t>
            </w:r>
            <w:r>
              <w:rPr>
                <w:spacing w:val="-2"/>
                <w:sz w:val="24"/>
                <w:szCs w:val="24"/>
              </w:rPr>
              <w:t>定考虑，见表</w:t>
            </w:r>
            <w:r>
              <w:rPr>
                <w:spacing w:val="-55"/>
                <w:sz w:val="24"/>
                <w:szCs w:val="24"/>
              </w:rPr>
              <w:t xml:space="preserve"> </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
                <w:sz w:val="24"/>
                <w:szCs w:val="24"/>
              </w:rPr>
              <w:t>11</w:t>
            </w:r>
            <w:r>
              <w:rPr>
                <w:spacing w:val="-2"/>
                <w:sz w:val="24"/>
                <w:szCs w:val="24"/>
              </w:rPr>
              <w:t>。</w:t>
            </w:r>
          </w:p>
          <w:p w14:paraId="12EECD80">
            <w:pPr>
              <w:pStyle w:val="6"/>
              <w:spacing w:line="206" w:lineRule="auto"/>
              <w:ind w:left="1803"/>
              <w:rPr>
                <w:sz w:val="24"/>
                <w:szCs w:val="24"/>
              </w:rPr>
            </w:pPr>
            <w:r>
              <w:rPr>
                <w:b/>
                <w:bCs/>
                <w:spacing w:val="-2"/>
                <w:sz w:val="24"/>
                <w:szCs w:val="24"/>
              </w:rPr>
              <w:t>表</w:t>
            </w:r>
            <w:r>
              <w:rPr>
                <w:rFonts w:ascii="Times New Roman" w:hAnsi="Times New Roman" w:eastAsia="Times New Roman" w:cs="Times New Roman"/>
                <w:b/>
                <w:bCs/>
                <w:spacing w:val="-2"/>
                <w:sz w:val="24"/>
                <w:szCs w:val="24"/>
              </w:rPr>
              <w:t xml:space="preserve">2-10        </w:t>
            </w:r>
            <w:r>
              <w:rPr>
                <w:b/>
                <w:bCs/>
                <w:spacing w:val="-2"/>
                <w:sz w:val="24"/>
                <w:szCs w:val="24"/>
              </w:rPr>
              <w:t>本项目线路主要交叉跨越情况表</w:t>
            </w:r>
          </w:p>
        </w:tc>
      </w:tr>
    </w:tbl>
    <w:p w14:paraId="033F9361">
      <w:pPr>
        <w:rPr>
          <w:rFonts w:ascii="Arial"/>
          <w:sz w:val="21"/>
        </w:rPr>
      </w:pPr>
    </w:p>
    <w:p w14:paraId="251DD08A">
      <w:pPr>
        <w:rPr>
          <w:rFonts w:ascii="Arial" w:hAnsi="Arial" w:eastAsia="Arial" w:cs="Arial"/>
          <w:sz w:val="21"/>
          <w:szCs w:val="21"/>
        </w:rPr>
        <w:sectPr>
          <w:headerReference r:id="rId52" w:type="default"/>
          <w:footerReference r:id="rId53" w:type="default"/>
          <w:pgSz w:w="11907" w:h="16840"/>
          <w:pgMar w:top="400" w:right="1684" w:bottom="1240" w:left="1683" w:header="0" w:footer="1077" w:gutter="0"/>
          <w:cols w:space="720" w:num="1"/>
        </w:sectPr>
      </w:pPr>
    </w:p>
    <w:p w14:paraId="63347418">
      <w:pPr>
        <w:spacing w:before="19"/>
      </w:pPr>
      <w:r>
        <w:pict>
          <v:shape id="_x0000_s1039" o:spid="_x0000_s1039" style="position:absolute;left:0pt;margin-left:503.7pt;margin-top:275.85pt;height:385.25pt;width:0.75pt;mso-position-horizontal-relative:page;mso-position-vertical-relative:page;z-index:251669504;mso-width-relative:page;mso-height-relative:page;" filled="f" stroked="t" coordsize="15,7705" o:allowincell="f" path="m7,0l7,7704e">
            <v:fill on="f" focussize="0,0"/>
            <v:stroke weight="0.72pt" color="#000000" miterlimit="2" joinstyle="bevel"/>
            <v:imagedata o:title=""/>
            <o:lock v:ext="edit"/>
          </v:shape>
        </w:pict>
      </w:r>
      <w:r>
        <w:pict>
          <v:shape id="_x0000_s1040" o:spid="_x0000_s1040" style="position:absolute;left:0pt;margin-left:109.1pt;margin-top:275.15pt;height:385.95pt;width:0.75pt;mso-position-horizontal-relative:page;mso-position-vertical-relative:page;z-index:251671552;mso-width-relative:page;mso-height-relative:page;" filled="f" stroked="t" coordsize="15,7719" o:allowincell="f" path="m7,0l7,7718e">
            <v:fill on="f" focussize="0,0"/>
            <v:stroke weight="0.72pt" color="#000000" miterlimit="2" joinstyle="bevel"/>
            <v:imagedata o:title=""/>
            <o:lock v:ext="edit"/>
          </v:shape>
        </w:pict>
      </w:r>
      <w:r>
        <w:pict>
          <v:shape id="_x0000_s1041" o:spid="_x0000_s1041" style="position:absolute;left:0pt;margin-left:502.3pt;margin-top:73.7pt;height:139.2pt;width:0.75pt;mso-position-horizontal-relative:page;mso-position-vertical-relative:page;z-index:251668480;mso-width-relative:page;mso-height-relative:page;" filled="f" stroked="t" coordsize="15,2783" o:allowincell="f" path="m7,0l7,2783e">
            <v:fill on="f" focussize="0,0"/>
            <v:stroke weight="0.72pt" color="#000000" miterlimit="2" joinstyle="bevel"/>
            <v:imagedata o:title=""/>
            <o:lock v:ext="edit"/>
          </v:shape>
        </w:pict>
      </w:r>
      <w:r>
        <w:pict>
          <v:shape id="_x0000_s1042" o:spid="_x0000_s1042" style="position:absolute;left:0pt;margin-left:110.45pt;margin-top:73pt;height:139.9pt;width:0.75pt;mso-position-horizontal-relative:page;mso-position-vertical-relative:page;z-index:251670528;mso-width-relative:page;mso-height-relative:page;" filled="f" stroked="t" coordsize="15,2797" o:allowincell="f" path="m7,0l7,2797e">
            <v:fill on="f" focussize="0,0"/>
            <v:stroke weight="0.72pt" color="#000000" miterlimit="2" joinstyle="bevel"/>
            <v:imagedata o:title=""/>
            <o:lock v:ext="edit"/>
          </v:shape>
        </w:pict>
      </w:r>
    </w:p>
    <w:p w14:paraId="48035DB0">
      <w:pPr>
        <w:spacing w:before="19"/>
      </w:pPr>
    </w:p>
    <w:p w14:paraId="4724DD74">
      <w:pPr>
        <w:spacing w:before="18"/>
      </w:pPr>
    </w:p>
    <w:p w14:paraId="739C42BC">
      <w:pPr>
        <w:spacing w:before="18"/>
      </w:pPr>
    </w:p>
    <w:tbl>
      <w:tblPr>
        <w:tblStyle w:val="5"/>
        <w:tblW w:w="8524"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179"/>
        <w:gridCol w:w="454"/>
        <w:gridCol w:w="1075"/>
        <w:gridCol w:w="805"/>
        <w:gridCol w:w="109"/>
        <w:gridCol w:w="413"/>
        <w:gridCol w:w="842"/>
        <w:gridCol w:w="126"/>
        <w:gridCol w:w="125"/>
        <w:gridCol w:w="550"/>
        <w:gridCol w:w="914"/>
        <w:gridCol w:w="195"/>
        <w:gridCol w:w="1144"/>
        <w:gridCol w:w="993"/>
        <w:gridCol w:w="225"/>
      </w:tblGrid>
      <w:tr w14:paraId="43C92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375" w:type="dxa"/>
            <w:tcBorders>
              <w:top w:val="single" w:color="000000" w:sz="6" w:space="0"/>
              <w:left w:val="single" w:color="000000" w:sz="6" w:space="0"/>
              <w:bottom w:val="nil"/>
              <w:right w:val="single" w:color="000000" w:sz="6" w:space="0"/>
            </w:tcBorders>
            <w:vAlign w:val="top"/>
          </w:tcPr>
          <w:p w14:paraId="7359B42A">
            <w:pPr>
              <w:rPr>
                <w:rFonts w:ascii="Arial"/>
                <w:sz w:val="21"/>
              </w:rPr>
            </w:pPr>
          </w:p>
        </w:tc>
        <w:tc>
          <w:tcPr>
            <w:tcW w:w="1708" w:type="dxa"/>
            <w:gridSpan w:val="3"/>
            <w:tcBorders>
              <w:top w:val="single" w:color="000000" w:sz="6" w:space="0"/>
              <w:left w:val="single" w:color="000000" w:sz="6" w:space="0"/>
              <w:right w:val="single" w:color="000000" w:sz="2" w:space="0"/>
            </w:tcBorders>
            <w:shd w:val="clear" w:color="auto" w:fill="D7D7D7"/>
            <w:vAlign w:val="top"/>
          </w:tcPr>
          <w:p w14:paraId="51AF7964">
            <w:pPr>
              <w:pStyle w:val="6"/>
              <w:spacing w:before="185" w:line="228" w:lineRule="auto"/>
              <w:ind w:left="510"/>
            </w:pPr>
            <w:r>
              <w:rPr>
                <w:b/>
                <w:bCs/>
                <w:spacing w:val="5"/>
              </w:rPr>
              <w:t>线路名称</w:t>
            </w:r>
          </w:p>
        </w:tc>
        <w:tc>
          <w:tcPr>
            <w:tcW w:w="805" w:type="dxa"/>
            <w:tcBorders>
              <w:top w:val="single" w:color="000000" w:sz="6" w:space="0"/>
              <w:left w:val="single" w:color="000000" w:sz="2" w:space="0"/>
              <w:right w:val="single" w:color="000000" w:sz="2" w:space="0"/>
            </w:tcBorders>
            <w:shd w:val="clear" w:color="auto" w:fill="D7D7D7"/>
            <w:vAlign w:val="top"/>
          </w:tcPr>
          <w:p w14:paraId="7AE5B1DD">
            <w:pPr>
              <w:pStyle w:val="6"/>
              <w:spacing w:before="185" w:line="229" w:lineRule="auto"/>
              <w:ind w:left="193"/>
            </w:pPr>
            <w:r>
              <w:rPr>
                <w:b/>
                <w:bCs/>
                <w:spacing w:val="4"/>
              </w:rPr>
              <w:t>序号</w:t>
            </w:r>
          </w:p>
        </w:tc>
        <w:tc>
          <w:tcPr>
            <w:tcW w:w="1364" w:type="dxa"/>
            <w:gridSpan w:val="3"/>
            <w:tcBorders>
              <w:top w:val="single" w:color="000000" w:sz="6" w:space="0"/>
              <w:left w:val="single" w:color="000000" w:sz="2" w:space="0"/>
            </w:tcBorders>
            <w:shd w:val="clear" w:color="auto" w:fill="D7D7D7"/>
            <w:vAlign w:val="top"/>
          </w:tcPr>
          <w:p w14:paraId="5353C493">
            <w:pPr>
              <w:pStyle w:val="6"/>
              <w:spacing w:before="51" w:line="235" w:lineRule="auto"/>
              <w:ind w:left="158" w:right="153" w:firstLine="1"/>
            </w:pPr>
            <w:r>
              <w:rPr>
                <w:b/>
                <w:bCs/>
                <w:spacing w:val="6"/>
              </w:rPr>
              <w:t>重要交叉跨越对象名称</w:t>
            </w:r>
          </w:p>
        </w:tc>
        <w:tc>
          <w:tcPr>
            <w:tcW w:w="801" w:type="dxa"/>
            <w:gridSpan w:val="3"/>
            <w:tcBorders>
              <w:top w:val="single" w:color="000000" w:sz="6" w:space="0"/>
            </w:tcBorders>
            <w:shd w:val="clear" w:color="auto" w:fill="D7D7D7"/>
            <w:vAlign w:val="top"/>
          </w:tcPr>
          <w:p w14:paraId="46D7B28B">
            <w:pPr>
              <w:pStyle w:val="6"/>
              <w:spacing w:before="51" w:line="235" w:lineRule="auto"/>
              <w:ind w:left="193" w:right="186" w:firstLine="3"/>
            </w:pPr>
            <w:r>
              <w:rPr>
                <w:b/>
                <w:bCs/>
                <w:spacing w:val="1"/>
              </w:rPr>
              <w:t>交叉</w:t>
            </w:r>
            <w:r>
              <w:rPr>
                <w:b/>
                <w:bCs/>
                <w:spacing w:val="3"/>
              </w:rPr>
              <w:t>方式</w:t>
            </w:r>
          </w:p>
        </w:tc>
        <w:tc>
          <w:tcPr>
            <w:tcW w:w="1109" w:type="dxa"/>
            <w:gridSpan w:val="2"/>
            <w:tcBorders>
              <w:top w:val="single" w:color="000000" w:sz="6" w:space="0"/>
            </w:tcBorders>
            <w:shd w:val="clear" w:color="auto" w:fill="D7D7D7"/>
            <w:vAlign w:val="top"/>
          </w:tcPr>
          <w:p w14:paraId="1217A6C1">
            <w:pPr>
              <w:pStyle w:val="6"/>
              <w:spacing w:before="51" w:line="235" w:lineRule="auto"/>
              <w:ind w:left="241" w:right="145" w:hanging="104"/>
            </w:pPr>
            <w:r>
              <w:rPr>
                <w:b/>
                <w:bCs/>
                <w:spacing w:val="1"/>
              </w:rPr>
              <w:t>钻（跨）</w:t>
            </w:r>
            <w:r>
              <w:rPr>
                <w:b/>
                <w:bCs/>
                <w:spacing w:val="5"/>
              </w:rPr>
              <w:t>越次数</w:t>
            </w:r>
          </w:p>
        </w:tc>
        <w:tc>
          <w:tcPr>
            <w:tcW w:w="2362" w:type="dxa"/>
            <w:gridSpan w:val="3"/>
            <w:tcBorders>
              <w:top w:val="single" w:color="000000" w:sz="6" w:space="0"/>
              <w:right w:val="single" w:color="000000" w:sz="6" w:space="0"/>
            </w:tcBorders>
            <w:shd w:val="clear" w:color="auto" w:fill="D7D7D7"/>
            <w:vAlign w:val="top"/>
          </w:tcPr>
          <w:p w14:paraId="3E0A9D93">
            <w:pPr>
              <w:pStyle w:val="6"/>
              <w:spacing w:before="185" w:line="229" w:lineRule="auto"/>
              <w:ind w:left="895"/>
            </w:pPr>
            <w:r>
              <w:rPr>
                <w:b/>
                <w:bCs/>
                <w:spacing w:val="2"/>
              </w:rPr>
              <w:t>备注</w:t>
            </w:r>
          </w:p>
        </w:tc>
      </w:tr>
      <w:tr w14:paraId="259DF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375" w:type="dxa"/>
            <w:vMerge w:val="restart"/>
            <w:tcBorders>
              <w:top w:val="nil"/>
              <w:left w:val="single" w:color="000000" w:sz="6" w:space="0"/>
              <w:bottom w:val="nil"/>
              <w:right w:val="single" w:color="000000" w:sz="6" w:space="0"/>
            </w:tcBorders>
            <w:vAlign w:val="top"/>
          </w:tcPr>
          <w:p w14:paraId="7336A168">
            <w:pPr>
              <w:rPr>
                <w:rFonts w:ascii="Arial"/>
                <w:sz w:val="21"/>
              </w:rPr>
            </w:pPr>
          </w:p>
        </w:tc>
        <w:tc>
          <w:tcPr>
            <w:tcW w:w="1708" w:type="dxa"/>
            <w:gridSpan w:val="3"/>
            <w:vMerge w:val="restart"/>
            <w:tcBorders>
              <w:left w:val="single" w:color="000000" w:sz="6" w:space="0"/>
              <w:bottom w:val="nil"/>
              <w:right w:val="single" w:color="000000" w:sz="2" w:space="0"/>
            </w:tcBorders>
            <w:vAlign w:val="top"/>
          </w:tcPr>
          <w:p w14:paraId="256EABED">
            <w:pPr>
              <w:rPr>
                <w:rFonts w:ascii="Arial"/>
                <w:sz w:val="21"/>
              </w:rPr>
            </w:pPr>
          </w:p>
          <w:p w14:paraId="424FA2DB">
            <w:pPr>
              <w:pStyle w:val="6"/>
              <w:spacing w:before="65" w:line="228" w:lineRule="auto"/>
              <w:ind w:left="343"/>
            </w:pPr>
            <w:r>
              <w:rPr>
                <w:rFonts w:ascii="Times New Roman" w:hAnsi="Times New Roman" w:eastAsia="Times New Roman" w:cs="Times New Roman"/>
                <w:spacing w:val="5"/>
              </w:rPr>
              <w:t>110</w:t>
            </w:r>
            <w:r>
              <w:rPr>
                <w:rFonts w:ascii="Times New Roman" w:hAnsi="Times New Roman" w:eastAsia="Times New Roman" w:cs="Times New Roman"/>
              </w:rPr>
              <w:t>kV</w:t>
            </w:r>
            <w:r>
              <w:rPr>
                <w:spacing w:val="5"/>
              </w:rPr>
              <w:t>松山变</w:t>
            </w:r>
          </w:p>
          <w:p w14:paraId="20133F76">
            <w:pPr>
              <w:pStyle w:val="6"/>
              <w:spacing w:before="27" w:line="228" w:lineRule="auto"/>
              <w:ind w:left="291"/>
            </w:pPr>
            <w:r>
              <w:rPr>
                <w:rFonts w:ascii="Times New Roman" w:hAnsi="Times New Roman" w:eastAsia="Times New Roman" w:cs="Times New Roman"/>
                <w:spacing w:val="7"/>
              </w:rPr>
              <w:t>-220</w:t>
            </w:r>
            <w:r>
              <w:rPr>
                <w:rFonts w:ascii="Times New Roman" w:hAnsi="Times New Roman" w:eastAsia="Times New Roman" w:cs="Times New Roman"/>
              </w:rPr>
              <w:t>kV</w:t>
            </w:r>
            <w:r>
              <w:rPr>
                <w:spacing w:val="7"/>
              </w:rPr>
              <w:t>芳华变</w:t>
            </w:r>
          </w:p>
          <w:p w14:paraId="0D53174B">
            <w:pPr>
              <w:pStyle w:val="6"/>
              <w:spacing w:before="23" w:line="228" w:lineRule="auto"/>
              <w:ind w:left="721"/>
            </w:pPr>
            <w:r>
              <w:rPr>
                <w:spacing w:val="3"/>
              </w:rPr>
              <w:t>线路</w:t>
            </w:r>
          </w:p>
        </w:tc>
        <w:tc>
          <w:tcPr>
            <w:tcW w:w="805" w:type="dxa"/>
            <w:tcBorders>
              <w:left w:val="single" w:color="000000" w:sz="2" w:space="0"/>
              <w:right w:val="single" w:color="000000" w:sz="2" w:space="0"/>
            </w:tcBorders>
            <w:vAlign w:val="top"/>
          </w:tcPr>
          <w:p w14:paraId="3C898220">
            <w:pPr>
              <w:spacing w:before="202" w:line="195" w:lineRule="auto"/>
              <w:ind w:left="36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364" w:type="dxa"/>
            <w:gridSpan w:val="3"/>
            <w:tcBorders>
              <w:left w:val="single" w:color="000000" w:sz="2" w:space="0"/>
            </w:tcBorders>
            <w:vAlign w:val="top"/>
          </w:tcPr>
          <w:p w14:paraId="69AE9993">
            <w:pPr>
              <w:pStyle w:val="6"/>
              <w:spacing w:before="163" w:line="228" w:lineRule="auto"/>
              <w:ind w:left="243"/>
            </w:pPr>
            <w:r>
              <w:rPr>
                <w:rFonts w:ascii="Times New Roman" w:hAnsi="Times New Roman" w:eastAsia="Times New Roman" w:cs="Times New Roman"/>
                <w:spacing w:val="7"/>
              </w:rPr>
              <w:t>35</w:t>
            </w:r>
            <w:r>
              <w:rPr>
                <w:rFonts w:ascii="Times New Roman" w:hAnsi="Times New Roman" w:eastAsia="Times New Roman" w:cs="Times New Roman"/>
              </w:rPr>
              <w:t>kV</w:t>
            </w:r>
            <w:r>
              <w:rPr>
                <w:spacing w:val="7"/>
              </w:rPr>
              <w:t>线路</w:t>
            </w:r>
          </w:p>
        </w:tc>
        <w:tc>
          <w:tcPr>
            <w:tcW w:w="801" w:type="dxa"/>
            <w:gridSpan w:val="3"/>
            <w:vAlign w:val="top"/>
          </w:tcPr>
          <w:p w14:paraId="7C53ECA2">
            <w:pPr>
              <w:pStyle w:val="6"/>
              <w:spacing w:before="163" w:line="229" w:lineRule="auto"/>
              <w:ind w:left="194"/>
            </w:pPr>
            <w:r>
              <w:rPr>
                <w:spacing w:val="4"/>
              </w:rPr>
              <w:t>跨越</w:t>
            </w:r>
          </w:p>
        </w:tc>
        <w:tc>
          <w:tcPr>
            <w:tcW w:w="1109" w:type="dxa"/>
            <w:gridSpan w:val="2"/>
            <w:vAlign w:val="top"/>
          </w:tcPr>
          <w:p w14:paraId="2789F40C">
            <w:pPr>
              <w:spacing w:before="202" w:line="195" w:lineRule="auto"/>
              <w:ind w:left="523"/>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362" w:type="dxa"/>
            <w:gridSpan w:val="3"/>
            <w:tcBorders>
              <w:right w:val="single" w:color="000000" w:sz="6" w:space="0"/>
            </w:tcBorders>
            <w:vAlign w:val="top"/>
          </w:tcPr>
          <w:p w14:paraId="7FAD7195">
            <w:pPr>
              <w:pStyle w:val="6"/>
              <w:spacing w:before="29" w:line="229" w:lineRule="auto"/>
              <w:ind w:left="135"/>
            </w:pPr>
            <w:r>
              <w:rPr>
                <w:spacing w:val="9"/>
              </w:rPr>
              <w:t>跨越</w:t>
            </w:r>
            <w:r>
              <w:rPr>
                <w:rFonts w:ascii="Times New Roman" w:hAnsi="Times New Roman" w:eastAsia="Times New Roman" w:cs="Times New Roman"/>
                <w:spacing w:val="9"/>
              </w:rPr>
              <w:t>35</w:t>
            </w:r>
            <w:r>
              <w:rPr>
                <w:rFonts w:ascii="Times New Roman" w:hAnsi="Times New Roman" w:eastAsia="Times New Roman" w:cs="Times New Roman"/>
              </w:rPr>
              <w:t>kV</w:t>
            </w:r>
            <w:r>
              <w:rPr>
                <w:spacing w:val="9"/>
              </w:rPr>
              <w:t>金瑞达瓷业</w:t>
            </w:r>
          </w:p>
          <w:p w14:paraId="1746F3F8">
            <w:pPr>
              <w:pStyle w:val="6"/>
              <w:spacing w:before="23" w:line="219" w:lineRule="auto"/>
              <w:ind w:left="1001"/>
            </w:pPr>
            <w:r>
              <w:t>线</w:t>
            </w:r>
          </w:p>
        </w:tc>
      </w:tr>
      <w:tr w14:paraId="101D5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375" w:type="dxa"/>
            <w:vMerge w:val="continue"/>
            <w:tcBorders>
              <w:top w:val="nil"/>
              <w:left w:val="single" w:color="000000" w:sz="6" w:space="0"/>
              <w:bottom w:val="nil"/>
              <w:right w:val="single" w:color="000000" w:sz="6" w:space="0"/>
            </w:tcBorders>
            <w:vAlign w:val="top"/>
          </w:tcPr>
          <w:p w14:paraId="576C5264">
            <w:pPr>
              <w:rPr>
                <w:rFonts w:ascii="Arial"/>
                <w:sz w:val="21"/>
              </w:rPr>
            </w:pPr>
          </w:p>
        </w:tc>
        <w:tc>
          <w:tcPr>
            <w:tcW w:w="1708" w:type="dxa"/>
            <w:gridSpan w:val="3"/>
            <w:vMerge w:val="continue"/>
            <w:tcBorders>
              <w:top w:val="nil"/>
              <w:left w:val="single" w:color="000000" w:sz="6" w:space="0"/>
              <w:right w:val="single" w:color="000000" w:sz="2" w:space="0"/>
            </w:tcBorders>
            <w:vAlign w:val="top"/>
          </w:tcPr>
          <w:p w14:paraId="6D37F0B5">
            <w:pPr>
              <w:rPr>
                <w:rFonts w:ascii="Arial"/>
                <w:sz w:val="21"/>
              </w:rPr>
            </w:pPr>
          </w:p>
        </w:tc>
        <w:tc>
          <w:tcPr>
            <w:tcW w:w="805" w:type="dxa"/>
            <w:tcBorders>
              <w:left w:val="single" w:color="000000" w:sz="2" w:space="0"/>
              <w:right w:val="single" w:color="000000" w:sz="2" w:space="0"/>
            </w:tcBorders>
            <w:vAlign w:val="top"/>
          </w:tcPr>
          <w:p w14:paraId="7786F1BA">
            <w:pPr>
              <w:spacing w:line="280" w:lineRule="auto"/>
              <w:rPr>
                <w:rFonts w:ascii="Arial"/>
                <w:sz w:val="21"/>
              </w:rPr>
            </w:pPr>
          </w:p>
          <w:p w14:paraId="1A01C4B5">
            <w:pPr>
              <w:spacing w:before="58" w:line="195" w:lineRule="auto"/>
              <w:ind w:left="34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364" w:type="dxa"/>
            <w:gridSpan w:val="3"/>
            <w:tcBorders>
              <w:left w:val="single" w:color="000000" w:sz="2" w:space="0"/>
            </w:tcBorders>
            <w:vAlign w:val="top"/>
          </w:tcPr>
          <w:p w14:paraId="11669BEF">
            <w:pPr>
              <w:pStyle w:val="6"/>
              <w:spacing w:before="303" w:line="228" w:lineRule="auto"/>
              <w:ind w:left="267"/>
            </w:pPr>
            <w:r>
              <w:rPr>
                <w:spacing w:val="7"/>
              </w:rPr>
              <w:t>跨越公路</w:t>
            </w:r>
          </w:p>
        </w:tc>
        <w:tc>
          <w:tcPr>
            <w:tcW w:w="801" w:type="dxa"/>
            <w:gridSpan w:val="3"/>
            <w:vAlign w:val="top"/>
          </w:tcPr>
          <w:p w14:paraId="2F65384F">
            <w:pPr>
              <w:pStyle w:val="6"/>
              <w:spacing w:before="304" w:line="229" w:lineRule="auto"/>
              <w:ind w:left="194"/>
            </w:pPr>
            <w:r>
              <w:rPr>
                <w:spacing w:val="4"/>
              </w:rPr>
              <w:t>跨越</w:t>
            </w:r>
          </w:p>
        </w:tc>
        <w:tc>
          <w:tcPr>
            <w:tcW w:w="1109" w:type="dxa"/>
            <w:gridSpan w:val="2"/>
            <w:vAlign w:val="top"/>
          </w:tcPr>
          <w:p w14:paraId="6E61F5C0">
            <w:pPr>
              <w:spacing w:line="280" w:lineRule="auto"/>
              <w:rPr>
                <w:rFonts w:ascii="Arial"/>
                <w:sz w:val="21"/>
              </w:rPr>
            </w:pPr>
          </w:p>
          <w:p w14:paraId="2FB66EEF">
            <w:pPr>
              <w:spacing w:before="58" w:line="195" w:lineRule="auto"/>
              <w:ind w:left="503"/>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362" w:type="dxa"/>
            <w:gridSpan w:val="3"/>
            <w:tcBorders>
              <w:right w:val="single" w:color="000000" w:sz="6" w:space="0"/>
            </w:tcBorders>
            <w:vAlign w:val="top"/>
          </w:tcPr>
          <w:p w14:paraId="51702899">
            <w:pPr>
              <w:pStyle w:val="6"/>
              <w:spacing w:before="30" w:line="228" w:lineRule="auto"/>
              <w:ind w:left="161"/>
            </w:pPr>
            <w:r>
              <w:rPr>
                <w:spacing w:val="8"/>
              </w:rPr>
              <w:t>分别跨越滇中环线高</w:t>
            </w:r>
          </w:p>
          <w:p w14:paraId="7E74C89E">
            <w:pPr>
              <w:pStyle w:val="6"/>
              <w:spacing w:before="27" w:line="228" w:lineRule="auto"/>
              <w:ind w:left="134"/>
            </w:pPr>
            <w:r>
              <w:rPr>
                <w:spacing w:val="7"/>
              </w:rPr>
              <w:t>速、兰马线（</w:t>
            </w:r>
            <w:r>
              <w:rPr>
                <w:rFonts w:ascii="Times New Roman" w:hAnsi="Times New Roman" w:eastAsia="Times New Roman" w:cs="Times New Roman"/>
                <w:spacing w:val="7"/>
              </w:rPr>
              <w:t>G320</w:t>
            </w:r>
            <w:r>
              <w:rPr>
                <w:spacing w:val="7"/>
              </w:rPr>
              <w:t>国</w:t>
            </w:r>
          </w:p>
          <w:p w14:paraId="67CF694B">
            <w:pPr>
              <w:pStyle w:val="6"/>
              <w:spacing w:before="24" w:line="217" w:lineRule="auto"/>
              <w:ind w:left="631"/>
            </w:pPr>
            <w:r>
              <w:rPr>
                <w:spacing w:val="7"/>
              </w:rPr>
              <w:t>道）各</w:t>
            </w:r>
            <w:r>
              <w:rPr>
                <w:rFonts w:ascii="Times New Roman" w:hAnsi="Times New Roman" w:eastAsia="Times New Roman" w:cs="Times New Roman"/>
                <w:spacing w:val="7"/>
              </w:rPr>
              <w:t>1</w:t>
            </w:r>
            <w:r>
              <w:rPr>
                <w:spacing w:val="7"/>
              </w:rPr>
              <w:t>次</w:t>
            </w:r>
          </w:p>
        </w:tc>
      </w:tr>
      <w:tr w14:paraId="4E015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375" w:type="dxa"/>
            <w:vMerge w:val="continue"/>
            <w:tcBorders>
              <w:top w:val="nil"/>
              <w:left w:val="single" w:color="000000" w:sz="6" w:space="0"/>
              <w:bottom w:val="nil"/>
              <w:right w:val="single" w:color="000000" w:sz="6" w:space="0"/>
            </w:tcBorders>
            <w:vAlign w:val="top"/>
          </w:tcPr>
          <w:p w14:paraId="055112CA">
            <w:pPr>
              <w:rPr>
                <w:rFonts w:ascii="Arial"/>
                <w:sz w:val="21"/>
              </w:rPr>
            </w:pPr>
          </w:p>
        </w:tc>
        <w:tc>
          <w:tcPr>
            <w:tcW w:w="1708" w:type="dxa"/>
            <w:gridSpan w:val="3"/>
            <w:tcBorders>
              <w:left w:val="single" w:color="000000" w:sz="6" w:space="0"/>
              <w:right w:val="single" w:color="000000" w:sz="2" w:space="0"/>
            </w:tcBorders>
            <w:vAlign w:val="top"/>
          </w:tcPr>
          <w:p w14:paraId="1185A306">
            <w:pPr>
              <w:pStyle w:val="6"/>
              <w:spacing w:before="30"/>
              <w:ind w:left="273" w:right="115" w:firstLine="5"/>
              <w:jc w:val="both"/>
            </w:pPr>
            <w:r>
              <w:rPr>
                <w:rFonts w:ascii="Times New Roman" w:hAnsi="Times New Roman" w:eastAsia="Times New Roman" w:cs="Times New Roman"/>
                <w:spacing w:val="5"/>
              </w:rPr>
              <w:t>110</w:t>
            </w:r>
            <w:r>
              <w:rPr>
                <w:rFonts w:ascii="Times New Roman" w:hAnsi="Times New Roman" w:eastAsia="Times New Roman" w:cs="Times New Roman"/>
              </w:rPr>
              <w:t>kV</w:t>
            </w:r>
            <w:r>
              <w:rPr>
                <w:spacing w:val="5"/>
              </w:rPr>
              <w:t>松山变</w:t>
            </w:r>
            <w:r>
              <w:rPr>
                <w:rFonts w:ascii="Times New Roman" w:hAnsi="Times New Roman" w:eastAsia="Times New Roman" w:cs="Times New Roman"/>
                <w:spacing w:val="5"/>
              </w:rPr>
              <w:t>T</w:t>
            </w:r>
            <w:r>
              <w:rPr>
                <w:spacing w:val="7"/>
              </w:rPr>
              <w:t>接</w:t>
            </w:r>
            <w:r>
              <w:rPr>
                <w:rFonts w:ascii="Times New Roman" w:hAnsi="Times New Roman" w:eastAsia="Times New Roman" w:cs="Times New Roman"/>
                <w:spacing w:val="7"/>
              </w:rPr>
              <w:t>110</w:t>
            </w:r>
            <w:r>
              <w:rPr>
                <w:rFonts w:ascii="Times New Roman" w:hAnsi="Times New Roman" w:eastAsia="Times New Roman" w:cs="Times New Roman"/>
              </w:rPr>
              <w:t>kV</w:t>
            </w:r>
            <w:r>
              <w:rPr>
                <w:spacing w:val="7"/>
              </w:rPr>
              <w:t>芳华</w:t>
            </w:r>
            <w:r>
              <w:rPr>
                <w:rFonts w:ascii="Times New Roman" w:hAnsi="Times New Roman" w:eastAsia="Times New Roman" w:cs="Times New Roman"/>
                <w:spacing w:val="7"/>
              </w:rPr>
              <w:t>π</w:t>
            </w:r>
            <w:r>
              <w:rPr>
                <w:spacing w:val="12"/>
              </w:rPr>
              <w:t>接吉中线线路</w:t>
            </w:r>
          </w:p>
        </w:tc>
        <w:tc>
          <w:tcPr>
            <w:tcW w:w="805" w:type="dxa"/>
            <w:tcBorders>
              <w:left w:val="single" w:color="000000" w:sz="2" w:space="0"/>
              <w:right w:val="single" w:color="000000" w:sz="2" w:space="0"/>
            </w:tcBorders>
            <w:vAlign w:val="top"/>
          </w:tcPr>
          <w:p w14:paraId="4AC3D987">
            <w:pPr>
              <w:spacing w:line="280" w:lineRule="auto"/>
              <w:rPr>
                <w:rFonts w:ascii="Arial"/>
                <w:sz w:val="21"/>
              </w:rPr>
            </w:pPr>
          </w:p>
          <w:p w14:paraId="67AF917B">
            <w:pPr>
              <w:spacing w:before="57" w:line="195" w:lineRule="auto"/>
              <w:ind w:left="36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364" w:type="dxa"/>
            <w:gridSpan w:val="3"/>
            <w:tcBorders>
              <w:left w:val="single" w:color="000000" w:sz="2" w:space="0"/>
            </w:tcBorders>
            <w:vAlign w:val="top"/>
          </w:tcPr>
          <w:p w14:paraId="3252C95C">
            <w:pPr>
              <w:pStyle w:val="6"/>
              <w:spacing w:before="303" w:line="228" w:lineRule="auto"/>
              <w:ind w:left="243"/>
            </w:pPr>
            <w:r>
              <w:rPr>
                <w:rFonts w:ascii="Times New Roman" w:hAnsi="Times New Roman" w:eastAsia="Times New Roman" w:cs="Times New Roman"/>
                <w:spacing w:val="7"/>
              </w:rPr>
              <w:t>35</w:t>
            </w:r>
            <w:r>
              <w:rPr>
                <w:rFonts w:ascii="Times New Roman" w:hAnsi="Times New Roman" w:eastAsia="Times New Roman" w:cs="Times New Roman"/>
              </w:rPr>
              <w:t>kV</w:t>
            </w:r>
            <w:r>
              <w:rPr>
                <w:spacing w:val="7"/>
              </w:rPr>
              <w:t>线路</w:t>
            </w:r>
          </w:p>
        </w:tc>
        <w:tc>
          <w:tcPr>
            <w:tcW w:w="801" w:type="dxa"/>
            <w:gridSpan w:val="3"/>
            <w:vAlign w:val="top"/>
          </w:tcPr>
          <w:p w14:paraId="5680E0F5">
            <w:pPr>
              <w:pStyle w:val="6"/>
              <w:spacing w:before="303" w:line="229" w:lineRule="auto"/>
              <w:ind w:left="194"/>
            </w:pPr>
            <w:r>
              <w:rPr>
                <w:spacing w:val="4"/>
              </w:rPr>
              <w:t>跨越</w:t>
            </w:r>
          </w:p>
        </w:tc>
        <w:tc>
          <w:tcPr>
            <w:tcW w:w="1109" w:type="dxa"/>
            <w:gridSpan w:val="2"/>
            <w:vAlign w:val="top"/>
          </w:tcPr>
          <w:p w14:paraId="1D6F3E1F">
            <w:pPr>
              <w:spacing w:line="280" w:lineRule="auto"/>
              <w:rPr>
                <w:rFonts w:ascii="Arial"/>
                <w:sz w:val="21"/>
              </w:rPr>
            </w:pPr>
          </w:p>
          <w:p w14:paraId="0934BC00">
            <w:pPr>
              <w:spacing w:before="57" w:line="195" w:lineRule="auto"/>
              <w:ind w:left="523"/>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362" w:type="dxa"/>
            <w:gridSpan w:val="3"/>
            <w:tcBorders>
              <w:right w:val="single" w:color="000000" w:sz="6" w:space="0"/>
            </w:tcBorders>
            <w:vAlign w:val="top"/>
          </w:tcPr>
          <w:p w14:paraId="7C1E712F">
            <w:pPr>
              <w:pStyle w:val="6"/>
              <w:spacing w:before="169" w:line="229" w:lineRule="auto"/>
              <w:ind w:left="135"/>
            </w:pPr>
            <w:r>
              <w:rPr>
                <w:spacing w:val="9"/>
              </w:rPr>
              <w:t>跨越</w:t>
            </w:r>
            <w:r>
              <w:rPr>
                <w:rFonts w:ascii="Times New Roman" w:hAnsi="Times New Roman" w:eastAsia="Times New Roman" w:cs="Times New Roman"/>
                <w:spacing w:val="9"/>
              </w:rPr>
              <w:t>35</w:t>
            </w:r>
            <w:r>
              <w:rPr>
                <w:rFonts w:ascii="Times New Roman" w:hAnsi="Times New Roman" w:eastAsia="Times New Roman" w:cs="Times New Roman"/>
              </w:rPr>
              <w:t>kV</w:t>
            </w:r>
            <w:r>
              <w:rPr>
                <w:spacing w:val="9"/>
              </w:rPr>
              <w:t>金瑞达瓷业</w:t>
            </w:r>
          </w:p>
          <w:p w14:paraId="10EBFF69">
            <w:pPr>
              <w:pStyle w:val="6"/>
              <w:spacing w:before="23" w:line="228" w:lineRule="auto"/>
              <w:ind w:left="1001"/>
            </w:pPr>
            <w:r>
              <w:t>线</w:t>
            </w:r>
          </w:p>
        </w:tc>
      </w:tr>
      <w:tr w14:paraId="1D851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0" w:hRule="atLeast"/>
        </w:trPr>
        <w:tc>
          <w:tcPr>
            <w:tcW w:w="375" w:type="dxa"/>
            <w:vMerge w:val="continue"/>
            <w:tcBorders>
              <w:top w:val="nil"/>
              <w:left w:val="single" w:color="000000" w:sz="6" w:space="0"/>
              <w:bottom w:val="nil"/>
              <w:right w:val="single" w:color="000000" w:sz="6" w:space="0"/>
            </w:tcBorders>
            <w:vAlign w:val="top"/>
          </w:tcPr>
          <w:p w14:paraId="17A1D232">
            <w:pPr>
              <w:rPr>
                <w:rFonts w:ascii="Arial"/>
                <w:sz w:val="21"/>
              </w:rPr>
            </w:pPr>
          </w:p>
        </w:tc>
        <w:tc>
          <w:tcPr>
            <w:tcW w:w="8149" w:type="dxa"/>
            <w:gridSpan w:val="15"/>
            <w:tcBorders>
              <w:left w:val="single" w:color="000000" w:sz="6" w:space="0"/>
              <w:right w:val="single" w:color="000000" w:sz="6" w:space="0"/>
            </w:tcBorders>
            <w:vAlign w:val="top"/>
          </w:tcPr>
          <w:p w14:paraId="5ACAD48B">
            <w:pPr>
              <w:pStyle w:val="6"/>
              <w:spacing w:before="39" w:line="359" w:lineRule="auto"/>
              <w:ind w:left="108" w:right="103" w:firstLine="474"/>
              <w:rPr>
                <w:sz w:val="24"/>
                <w:szCs w:val="24"/>
              </w:rPr>
            </w:pPr>
            <w:r>
              <w:rPr>
                <w:spacing w:val="1"/>
                <w:sz w:val="24"/>
                <w:szCs w:val="24"/>
              </w:rPr>
              <w:t>根据《</w:t>
            </w:r>
            <w:r>
              <w:rPr>
                <w:rFonts w:ascii="Times New Roman" w:hAnsi="Times New Roman" w:eastAsia="Times New Roman" w:cs="Times New Roman"/>
                <w:spacing w:val="1"/>
                <w:sz w:val="24"/>
                <w:szCs w:val="24"/>
              </w:rPr>
              <w:t>110</w:t>
            </w:r>
            <w:r>
              <w:rPr>
                <w:rFonts w:ascii="Times New Roman" w:hAnsi="Times New Roman" w:eastAsia="Times New Roman" w:cs="Times New Roman"/>
                <w:sz w:val="24"/>
                <w:szCs w:val="24"/>
              </w:rPr>
              <w:t>kV</w:t>
            </w:r>
            <w:r>
              <w:rPr>
                <w:spacing w:val="1"/>
                <w:sz w:val="24"/>
                <w:szCs w:val="24"/>
              </w:rPr>
              <w:t>～</w:t>
            </w:r>
            <w:r>
              <w:rPr>
                <w:rFonts w:ascii="Times New Roman" w:hAnsi="Times New Roman" w:eastAsia="Times New Roman" w:cs="Times New Roman"/>
                <w:spacing w:val="1"/>
                <w:sz w:val="24"/>
                <w:szCs w:val="24"/>
              </w:rPr>
              <w:t>750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架空输电线路设计规范》（</w:t>
            </w:r>
            <w:r>
              <w:rPr>
                <w:rFonts w:ascii="Times New Roman" w:hAnsi="Times New Roman" w:eastAsia="Times New Roman" w:cs="Times New Roman"/>
                <w:sz w:val="24"/>
                <w:szCs w:val="24"/>
              </w:rPr>
              <w:t>GB</w:t>
            </w:r>
            <w:r>
              <w:rPr>
                <w:rFonts w:ascii="Times New Roman" w:hAnsi="Times New Roman" w:eastAsia="Times New Roman" w:cs="Times New Roman"/>
                <w:spacing w:val="1"/>
                <w:sz w:val="24"/>
                <w:szCs w:val="24"/>
              </w:rPr>
              <w:t>505</w:t>
            </w:r>
            <w:r>
              <w:rPr>
                <w:rFonts w:ascii="Times New Roman" w:hAnsi="Times New Roman" w:eastAsia="Times New Roman" w:cs="Times New Roman"/>
                <w:sz w:val="24"/>
                <w:szCs w:val="24"/>
              </w:rPr>
              <w:t>45-2010</w:t>
            </w:r>
            <w:r>
              <w:rPr>
                <w:sz w:val="24"/>
                <w:szCs w:val="24"/>
              </w:rPr>
              <w:t>）的规</w:t>
            </w:r>
            <w:r>
              <w:rPr>
                <w:spacing w:val="-2"/>
                <w:sz w:val="24"/>
                <w:szCs w:val="24"/>
              </w:rPr>
              <w:t>定，导线对地面建筑物的距离，不小于表</w:t>
            </w:r>
            <w:r>
              <w:rPr>
                <w:spacing w:val="-55"/>
                <w:sz w:val="24"/>
                <w:szCs w:val="24"/>
              </w:rPr>
              <w:t xml:space="preserve"> </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
                <w:sz w:val="24"/>
                <w:szCs w:val="24"/>
              </w:rPr>
              <w:t xml:space="preserve">11 </w:t>
            </w:r>
            <w:r>
              <w:rPr>
                <w:spacing w:val="-2"/>
                <w:sz w:val="24"/>
                <w:szCs w:val="24"/>
              </w:rPr>
              <w:t>所列</w:t>
            </w:r>
            <w:r>
              <w:rPr>
                <w:spacing w:val="-3"/>
                <w:sz w:val="24"/>
                <w:szCs w:val="24"/>
              </w:rPr>
              <w:t>数值。</w:t>
            </w:r>
          </w:p>
          <w:p w14:paraId="7F4B138C">
            <w:pPr>
              <w:pStyle w:val="6"/>
              <w:spacing w:before="1" w:line="205" w:lineRule="auto"/>
              <w:ind w:left="867"/>
              <w:rPr>
                <w:sz w:val="24"/>
                <w:szCs w:val="24"/>
              </w:rPr>
            </w:pPr>
            <w:r>
              <w:rPr>
                <w:b/>
                <w:bCs/>
                <w:spacing w:val="-1"/>
                <w:sz w:val="24"/>
                <w:szCs w:val="24"/>
              </w:rPr>
              <w:t>表</w:t>
            </w:r>
            <w:r>
              <w:rPr>
                <w:rFonts w:ascii="Times New Roman" w:hAnsi="Times New Roman" w:eastAsia="Times New Roman" w:cs="Times New Roman"/>
                <w:b/>
                <w:bCs/>
                <w:spacing w:val="-1"/>
                <w:sz w:val="24"/>
                <w:szCs w:val="24"/>
              </w:rPr>
              <w:t>2-11    110kV</w:t>
            </w:r>
            <w:r>
              <w:rPr>
                <w:b/>
                <w:bCs/>
                <w:spacing w:val="-1"/>
                <w:sz w:val="24"/>
                <w:szCs w:val="24"/>
              </w:rPr>
              <w:t>输电线路导线与其他设</w:t>
            </w:r>
            <w:r>
              <w:rPr>
                <w:b/>
                <w:bCs/>
                <w:spacing w:val="-2"/>
                <w:sz w:val="24"/>
                <w:szCs w:val="24"/>
              </w:rPr>
              <w:t>施交叉时安全距离要求</w:t>
            </w:r>
          </w:p>
        </w:tc>
      </w:tr>
      <w:tr w14:paraId="70643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75" w:type="dxa"/>
            <w:tcBorders>
              <w:top w:val="nil"/>
              <w:left w:val="single" w:color="000000" w:sz="6" w:space="0"/>
              <w:bottom w:val="nil"/>
              <w:right w:val="single" w:color="000000" w:sz="6" w:space="0"/>
            </w:tcBorders>
            <w:vAlign w:val="top"/>
          </w:tcPr>
          <w:p w14:paraId="30F46581">
            <w:pPr>
              <w:rPr>
                <w:rFonts w:ascii="Arial"/>
                <w:sz w:val="21"/>
              </w:rPr>
            </w:pPr>
          </w:p>
        </w:tc>
        <w:tc>
          <w:tcPr>
            <w:tcW w:w="633" w:type="dxa"/>
            <w:gridSpan w:val="2"/>
            <w:tcBorders>
              <w:left w:val="single" w:color="000000" w:sz="6" w:space="0"/>
            </w:tcBorders>
            <w:vAlign w:val="top"/>
          </w:tcPr>
          <w:p w14:paraId="474A295C">
            <w:pPr>
              <w:pStyle w:val="6"/>
              <w:spacing w:line="539" w:lineRule="exact"/>
              <w:ind w:firstLine="121"/>
            </w:pPr>
            <w:r>
              <w:rPr>
                <w:position w:val="-11"/>
              </w:rPr>
              <w:pict>
                <v:shape id="_x0000_s1043" o:spid="_x0000_s1043" o:spt="202" type="#_x0000_t202" style="height:27.3pt;width:24.6pt;" fillcolor="#D7D7D7" filled="t" stroked="f" coordsize="21600,21600">
                  <v:path/>
                  <v:fill on="t" focussize="0,0"/>
                  <v:stroke on="f"/>
                  <v:imagedata o:title=""/>
                  <o:lock v:ext="edit" aspectratio="f"/>
                  <v:textbox inset="0mm,0mm,0mm,0mm" style="layout-flow:vertical-ideographic;">
                    <w:txbxContent>
                      <w:p w14:paraId="3133B968">
                        <w:pPr>
                          <w:spacing w:before="143" w:line="218" w:lineRule="auto"/>
                          <w:ind w:left="34"/>
                          <w:rPr>
                            <w:rFonts w:ascii="宋体" w:hAnsi="宋体" w:eastAsia="宋体" w:cs="宋体"/>
                            <w:sz w:val="20"/>
                            <w:szCs w:val="20"/>
                          </w:rPr>
                        </w:pPr>
                        <w:r>
                          <w:rPr>
                            <w:rFonts w:ascii="宋体" w:hAnsi="宋体" w:eastAsia="宋体" w:cs="宋体"/>
                            <w:b/>
                            <w:bCs/>
                            <w:spacing w:val="6"/>
                            <w:sz w:val="20"/>
                            <w:szCs w:val="20"/>
                          </w:rPr>
                          <w:t>序</w:t>
                        </w:r>
                        <w:r>
                          <w:rPr>
                            <w:rFonts w:ascii="宋体" w:hAnsi="宋体" w:eastAsia="宋体" w:cs="宋体"/>
                            <w:spacing w:val="-38"/>
                            <w:sz w:val="20"/>
                            <w:szCs w:val="20"/>
                          </w:rPr>
                          <w:t xml:space="preserve"> </w:t>
                        </w:r>
                        <w:r>
                          <w:rPr>
                            <w:rFonts w:ascii="宋体" w:hAnsi="宋体" w:eastAsia="宋体" w:cs="宋体"/>
                            <w:b/>
                            <w:bCs/>
                            <w:spacing w:val="6"/>
                            <w:sz w:val="20"/>
                            <w:szCs w:val="20"/>
                          </w:rPr>
                          <w:t>号</w:t>
                        </w:r>
                      </w:p>
                    </w:txbxContent>
                  </v:textbox>
                  <w10:wrap type="none"/>
                  <w10:anchorlock/>
                </v:shape>
              </w:pict>
            </w:r>
          </w:p>
        </w:tc>
        <w:tc>
          <w:tcPr>
            <w:tcW w:w="1989" w:type="dxa"/>
            <w:gridSpan w:val="3"/>
            <w:shd w:val="clear" w:color="auto" w:fill="D7D7D7"/>
            <w:vAlign w:val="top"/>
          </w:tcPr>
          <w:p w14:paraId="7E2BE073">
            <w:pPr>
              <w:pStyle w:val="6"/>
              <w:spacing w:before="34" w:line="233" w:lineRule="auto"/>
              <w:ind w:left="566" w:right="125" w:hanging="447"/>
            </w:pPr>
            <w:r>
              <w:rPr>
                <w:b/>
                <w:bCs/>
                <w:spacing w:val="6"/>
              </w:rPr>
              <w:t>线路经过区域</w:t>
            </w:r>
            <w:r>
              <w:rPr>
                <w:rFonts w:ascii="Times New Roman" w:hAnsi="Times New Roman" w:eastAsia="Times New Roman" w:cs="Times New Roman"/>
                <w:b/>
                <w:bCs/>
                <w:spacing w:val="6"/>
              </w:rPr>
              <w:t>/</w:t>
            </w:r>
            <w:r>
              <w:rPr>
                <w:b/>
                <w:bCs/>
                <w:spacing w:val="6"/>
              </w:rPr>
              <w:t>被跨越物名称</w:t>
            </w:r>
          </w:p>
        </w:tc>
        <w:tc>
          <w:tcPr>
            <w:tcW w:w="1506" w:type="dxa"/>
            <w:gridSpan w:val="4"/>
            <w:shd w:val="clear" w:color="auto" w:fill="D7D7D7"/>
            <w:vAlign w:val="top"/>
          </w:tcPr>
          <w:p w14:paraId="529F34CA">
            <w:pPr>
              <w:pStyle w:val="6"/>
              <w:spacing w:before="34" w:line="228" w:lineRule="auto"/>
              <w:ind w:left="241"/>
            </w:pPr>
            <w:r>
              <w:rPr>
                <w:b/>
                <w:bCs/>
                <w:spacing w:val="5"/>
              </w:rPr>
              <w:t>距离（</w:t>
            </w:r>
            <w:r>
              <w:rPr>
                <w:rFonts w:ascii="Times New Roman" w:hAnsi="Times New Roman" w:eastAsia="Times New Roman" w:cs="Times New Roman"/>
                <w:b/>
                <w:bCs/>
                <w:spacing w:val="5"/>
              </w:rPr>
              <w:t>m</w:t>
            </w:r>
            <w:r>
              <w:rPr>
                <w:b/>
                <w:bCs/>
                <w:spacing w:val="5"/>
              </w:rPr>
              <w:t>）</w:t>
            </w:r>
          </w:p>
        </w:tc>
        <w:tc>
          <w:tcPr>
            <w:tcW w:w="4021" w:type="dxa"/>
            <w:gridSpan w:val="6"/>
            <w:tcBorders>
              <w:right w:val="single" w:color="000000" w:sz="6" w:space="0"/>
            </w:tcBorders>
            <w:shd w:val="clear" w:color="auto" w:fill="D7D7D7"/>
            <w:vAlign w:val="top"/>
          </w:tcPr>
          <w:p w14:paraId="5BBCD3F0">
            <w:pPr>
              <w:pStyle w:val="6"/>
              <w:spacing w:before="34" w:line="229" w:lineRule="auto"/>
              <w:ind w:left="1736"/>
            </w:pPr>
            <w:r>
              <w:rPr>
                <w:b/>
                <w:bCs/>
                <w:spacing w:val="2"/>
              </w:rPr>
              <w:t>备注</w:t>
            </w:r>
          </w:p>
        </w:tc>
      </w:tr>
      <w:tr w14:paraId="315A9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375" w:type="dxa"/>
            <w:vMerge w:val="restart"/>
            <w:tcBorders>
              <w:top w:val="nil"/>
              <w:left w:val="single" w:color="000000" w:sz="6" w:space="0"/>
              <w:bottom w:val="nil"/>
              <w:right w:val="single" w:color="000000" w:sz="6" w:space="0"/>
            </w:tcBorders>
            <w:vAlign w:val="top"/>
          </w:tcPr>
          <w:p w14:paraId="19AC06D2">
            <w:pPr>
              <w:rPr>
                <w:rFonts w:ascii="Arial"/>
                <w:sz w:val="21"/>
              </w:rPr>
            </w:pPr>
          </w:p>
        </w:tc>
        <w:tc>
          <w:tcPr>
            <w:tcW w:w="633" w:type="dxa"/>
            <w:gridSpan w:val="2"/>
            <w:tcBorders>
              <w:left w:val="single" w:color="000000" w:sz="6" w:space="0"/>
            </w:tcBorders>
            <w:vAlign w:val="top"/>
          </w:tcPr>
          <w:p w14:paraId="7E5B4DE4">
            <w:pPr>
              <w:spacing w:before="56" w:line="195" w:lineRule="auto"/>
              <w:ind w:left="33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989" w:type="dxa"/>
            <w:gridSpan w:val="3"/>
            <w:vAlign w:val="top"/>
          </w:tcPr>
          <w:p w14:paraId="745FCE8F">
            <w:pPr>
              <w:pStyle w:val="6"/>
              <w:spacing w:before="34" w:line="228" w:lineRule="auto"/>
              <w:ind w:left="677"/>
            </w:pPr>
            <w:r>
              <w:rPr>
                <w:spacing w:val="6"/>
              </w:rPr>
              <w:t>居民区</w:t>
            </w:r>
          </w:p>
        </w:tc>
        <w:tc>
          <w:tcPr>
            <w:tcW w:w="1506" w:type="dxa"/>
            <w:gridSpan w:val="4"/>
            <w:vAlign w:val="top"/>
          </w:tcPr>
          <w:p w14:paraId="5F955699">
            <w:pPr>
              <w:spacing w:before="55" w:line="195" w:lineRule="auto"/>
              <w:ind w:left="61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4021" w:type="dxa"/>
            <w:gridSpan w:val="6"/>
            <w:vMerge w:val="restart"/>
            <w:tcBorders>
              <w:bottom w:val="nil"/>
              <w:right w:val="single" w:color="000000" w:sz="6" w:space="0"/>
            </w:tcBorders>
            <w:vAlign w:val="top"/>
          </w:tcPr>
          <w:p w14:paraId="71D92383">
            <w:pPr>
              <w:pStyle w:val="6"/>
              <w:spacing w:before="34" w:line="228" w:lineRule="auto"/>
              <w:ind w:left="111"/>
            </w:pPr>
            <w:r>
              <w:rPr>
                <w:spacing w:val="3"/>
              </w:rPr>
              <w:t>最大弧垂情况下，导线对地面的最小距离</w:t>
            </w:r>
          </w:p>
        </w:tc>
      </w:tr>
      <w:tr w14:paraId="410A3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375" w:type="dxa"/>
            <w:vMerge w:val="continue"/>
            <w:tcBorders>
              <w:top w:val="nil"/>
              <w:left w:val="single" w:color="000000" w:sz="6" w:space="0"/>
              <w:bottom w:val="nil"/>
              <w:right w:val="single" w:color="000000" w:sz="6" w:space="0"/>
            </w:tcBorders>
            <w:vAlign w:val="top"/>
          </w:tcPr>
          <w:p w14:paraId="18C0B00A">
            <w:pPr>
              <w:rPr>
                <w:rFonts w:ascii="Arial"/>
                <w:sz w:val="21"/>
              </w:rPr>
            </w:pPr>
          </w:p>
        </w:tc>
        <w:tc>
          <w:tcPr>
            <w:tcW w:w="633" w:type="dxa"/>
            <w:gridSpan w:val="2"/>
            <w:tcBorders>
              <w:left w:val="single" w:color="000000" w:sz="6" w:space="0"/>
            </w:tcBorders>
            <w:vAlign w:val="top"/>
          </w:tcPr>
          <w:p w14:paraId="5A22F08B">
            <w:pPr>
              <w:spacing w:before="55" w:line="195" w:lineRule="auto"/>
              <w:ind w:left="31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989" w:type="dxa"/>
            <w:gridSpan w:val="3"/>
            <w:vAlign w:val="top"/>
          </w:tcPr>
          <w:p w14:paraId="6DA1E1ED">
            <w:pPr>
              <w:pStyle w:val="6"/>
              <w:spacing w:before="34" w:line="228" w:lineRule="auto"/>
              <w:ind w:left="573"/>
            </w:pPr>
            <w:r>
              <w:rPr>
                <w:spacing w:val="6"/>
              </w:rPr>
              <w:t>非居民区</w:t>
            </w:r>
          </w:p>
        </w:tc>
        <w:tc>
          <w:tcPr>
            <w:tcW w:w="1506" w:type="dxa"/>
            <w:gridSpan w:val="4"/>
            <w:vAlign w:val="top"/>
          </w:tcPr>
          <w:p w14:paraId="40317298">
            <w:pPr>
              <w:spacing w:before="55" w:line="195" w:lineRule="auto"/>
              <w:ind w:left="62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6.0</w:t>
            </w:r>
          </w:p>
        </w:tc>
        <w:tc>
          <w:tcPr>
            <w:tcW w:w="4021" w:type="dxa"/>
            <w:gridSpan w:val="6"/>
            <w:vMerge w:val="continue"/>
            <w:tcBorders>
              <w:top w:val="nil"/>
              <w:bottom w:val="nil"/>
              <w:right w:val="single" w:color="000000" w:sz="6" w:space="0"/>
            </w:tcBorders>
            <w:vAlign w:val="top"/>
          </w:tcPr>
          <w:p w14:paraId="39A78D3A">
            <w:pPr>
              <w:rPr>
                <w:rFonts w:ascii="Arial"/>
                <w:sz w:val="21"/>
              </w:rPr>
            </w:pPr>
          </w:p>
        </w:tc>
      </w:tr>
      <w:tr w14:paraId="68E35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375" w:type="dxa"/>
            <w:vMerge w:val="continue"/>
            <w:tcBorders>
              <w:top w:val="nil"/>
              <w:left w:val="single" w:color="000000" w:sz="6" w:space="0"/>
              <w:bottom w:val="nil"/>
              <w:right w:val="single" w:color="000000" w:sz="6" w:space="0"/>
            </w:tcBorders>
            <w:vAlign w:val="top"/>
          </w:tcPr>
          <w:p w14:paraId="1C5E16B1">
            <w:pPr>
              <w:rPr>
                <w:rFonts w:ascii="Arial"/>
                <w:sz w:val="21"/>
              </w:rPr>
            </w:pPr>
          </w:p>
        </w:tc>
        <w:tc>
          <w:tcPr>
            <w:tcW w:w="633" w:type="dxa"/>
            <w:gridSpan w:val="2"/>
            <w:tcBorders>
              <w:left w:val="single" w:color="000000" w:sz="6" w:space="0"/>
            </w:tcBorders>
            <w:vAlign w:val="top"/>
          </w:tcPr>
          <w:p w14:paraId="1BE4FFDC">
            <w:pPr>
              <w:spacing w:before="55" w:line="195" w:lineRule="auto"/>
              <w:ind w:left="32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989" w:type="dxa"/>
            <w:gridSpan w:val="3"/>
            <w:vAlign w:val="top"/>
          </w:tcPr>
          <w:p w14:paraId="534BAE40">
            <w:pPr>
              <w:pStyle w:val="6"/>
              <w:spacing w:before="33" w:line="229" w:lineRule="auto"/>
              <w:ind w:left="363"/>
            </w:pPr>
            <w:r>
              <w:rPr>
                <w:spacing w:val="7"/>
              </w:rPr>
              <w:t>交通困难地区</w:t>
            </w:r>
          </w:p>
        </w:tc>
        <w:tc>
          <w:tcPr>
            <w:tcW w:w="1506" w:type="dxa"/>
            <w:gridSpan w:val="4"/>
            <w:vAlign w:val="top"/>
          </w:tcPr>
          <w:p w14:paraId="49201484">
            <w:pPr>
              <w:spacing w:before="55" w:line="195" w:lineRule="auto"/>
              <w:ind w:left="621"/>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4021" w:type="dxa"/>
            <w:gridSpan w:val="6"/>
            <w:vMerge w:val="continue"/>
            <w:tcBorders>
              <w:top w:val="nil"/>
              <w:right w:val="single" w:color="000000" w:sz="6" w:space="0"/>
            </w:tcBorders>
            <w:vAlign w:val="top"/>
          </w:tcPr>
          <w:p w14:paraId="01317375">
            <w:pPr>
              <w:rPr>
                <w:rFonts w:ascii="Arial"/>
                <w:sz w:val="21"/>
              </w:rPr>
            </w:pPr>
          </w:p>
        </w:tc>
      </w:tr>
      <w:tr w14:paraId="63769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2E2F45D0">
            <w:pPr>
              <w:rPr>
                <w:rFonts w:ascii="Arial"/>
                <w:sz w:val="21"/>
              </w:rPr>
            </w:pPr>
          </w:p>
        </w:tc>
        <w:tc>
          <w:tcPr>
            <w:tcW w:w="633" w:type="dxa"/>
            <w:gridSpan w:val="2"/>
            <w:tcBorders>
              <w:left w:val="single" w:color="000000" w:sz="6" w:space="0"/>
            </w:tcBorders>
            <w:vAlign w:val="top"/>
          </w:tcPr>
          <w:p w14:paraId="4559A9F6">
            <w:pPr>
              <w:spacing w:before="54" w:line="195"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989" w:type="dxa"/>
            <w:gridSpan w:val="3"/>
            <w:vAlign w:val="top"/>
          </w:tcPr>
          <w:p w14:paraId="2A78DADA">
            <w:pPr>
              <w:pStyle w:val="6"/>
              <w:spacing w:before="32" w:line="228" w:lineRule="auto"/>
              <w:ind w:left="153"/>
            </w:pPr>
            <w:r>
              <w:rPr>
                <w:spacing w:val="8"/>
              </w:rPr>
              <w:t>步行可以到达的山</w:t>
            </w:r>
          </w:p>
          <w:p w14:paraId="45998604">
            <w:pPr>
              <w:pStyle w:val="6"/>
              <w:spacing w:before="27" w:line="214" w:lineRule="auto"/>
              <w:ind w:left="885"/>
            </w:pPr>
            <w:r>
              <w:t>坡</w:t>
            </w:r>
          </w:p>
        </w:tc>
        <w:tc>
          <w:tcPr>
            <w:tcW w:w="1506" w:type="dxa"/>
            <w:gridSpan w:val="4"/>
            <w:vAlign w:val="top"/>
          </w:tcPr>
          <w:p w14:paraId="6B914B85">
            <w:pPr>
              <w:spacing w:before="54" w:line="195" w:lineRule="auto"/>
              <w:ind w:left="621"/>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4021" w:type="dxa"/>
            <w:gridSpan w:val="6"/>
            <w:tcBorders>
              <w:right w:val="single" w:color="000000" w:sz="6" w:space="0"/>
            </w:tcBorders>
            <w:vAlign w:val="top"/>
          </w:tcPr>
          <w:p w14:paraId="5E2F0AC6">
            <w:pPr>
              <w:pStyle w:val="6"/>
              <w:spacing w:before="32" w:line="228" w:lineRule="auto"/>
              <w:ind w:left="111"/>
            </w:pPr>
            <w:r>
              <w:rPr>
                <w:spacing w:val="3"/>
              </w:rPr>
              <w:t>最大风偏情况下，导线与山坡、峭壁和岩</w:t>
            </w:r>
          </w:p>
          <w:p w14:paraId="372DAA6B">
            <w:pPr>
              <w:pStyle w:val="6"/>
              <w:spacing w:before="27" w:line="214" w:lineRule="auto"/>
              <w:ind w:left="1106"/>
            </w:pPr>
            <w:r>
              <w:rPr>
                <w:spacing w:val="8"/>
              </w:rPr>
              <w:t>石的最小净空距离</w:t>
            </w:r>
          </w:p>
        </w:tc>
      </w:tr>
      <w:tr w14:paraId="32E2E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1B2E1001">
            <w:pPr>
              <w:rPr>
                <w:rFonts w:ascii="Arial"/>
                <w:sz w:val="21"/>
              </w:rPr>
            </w:pPr>
          </w:p>
        </w:tc>
        <w:tc>
          <w:tcPr>
            <w:tcW w:w="633" w:type="dxa"/>
            <w:gridSpan w:val="2"/>
            <w:vMerge w:val="restart"/>
            <w:tcBorders>
              <w:left w:val="single" w:color="000000" w:sz="6" w:space="0"/>
              <w:bottom w:val="nil"/>
            </w:tcBorders>
            <w:vAlign w:val="top"/>
          </w:tcPr>
          <w:p w14:paraId="31DAC277">
            <w:pPr>
              <w:spacing w:before="57" w:line="192" w:lineRule="auto"/>
              <w:ind w:left="32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989" w:type="dxa"/>
            <w:gridSpan w:val="3"/>
            <w:vMerge w:val="restart"/>
            <w:tcBorders>
              <w:bottom w:val="nil"/>
            </w:tcBorders>
            <w:vAlign w:val="top"/>
          </w:tcPr>
          <w:p w14:paraId="31232A49">
            <w:pPr>
              <w:pStyle w:val="6"/>
              <w:spacing w:before="33" w:line="228" w:lineRule="auto"/>
              <w:ind w:left="678"/>
            </w:pPr>
            <w:r>
              <w:rPr>
                <w:spacing w:val="6"/>
              </w:rPr>
              <w:t>建筑物</w:t>
            </w:r>
          </w:p>
        </w:tc>
        <w:tc>
          <w:tcPr>
            <w:tcW w:w="1506" w:type="dxa"/>
            <w:gridSpan w:val="4"/>
            <w:vAlign w:val="top"/>
          </w:tcPr>
          <w:p w14:paraId="3125C05F">
            <w:pPr>
              <w:spacing w:before="54" w:line="195" w:lineRule="auto"/>
              <w:ind w:left="621"/>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c>
          <w:tcPr>
            <w:tcW w:w="4021" w:type="dxa"/>
            <w:gridSpan w:val="6"/>
            <w:tcBorders>
              <w:right w:val="single" w:color="000000" w:sz="6" w:space="0"/>
            </w:tcBorders>
            <w:vAlign w:val="top"/>
          </w:tcPr>
          <w:p w14:paraId="2F9D724A">
            <w:pPr>
              <w:pStyle w:val="6"/>
              <w:spacing w:before="33" w:line="228" w:lineRule="auto"/>
              <w:ind w:left="111"/>
            </w:pPr>
            <w:r>
              <w:rPr>
                <w:spacing w:val="3"/>
              </w:rPr>
              <w:t>最大弧垂情况下，导线与建筑物之间的最</w:t>
            </w:r>
          </w:p>
          <w:p w14:paraId="3E466BC8">
            <w:pPr>
              <w:pStyle w:val="6"/>
              <w:spacing w:before="27" w:line="214" w:lineRule="auto"/>
              <w:ind w:left="1425"/>
            </w:pPr>
            <w:r>
              <w:rPr>
                <w:spacing w:val="7"/>
              </w:rPr>
              <w:t>小垂直距离</w:t>
            </w:r>
          </w:p>
        </w:tc>
      </w:tr>
      <w:tr w14:paraId="4227C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375" w:type="dxa"/>
            <w:vMerge w:val="continue"/>
            <w:tcBorders>
              <w:top w:val="nil"/>
              <w:left w:val="single" w:color="000000" w:sz="6" w:space="0"/>
              <w:bottom w:val="nil"/>
              <w:right w:val="single" w:color="000000" w:sz="6" w:space="0"/>
            </w:tcBorders>
            <w:vAlign w:val="top"/>
          </w:tcPr>
          <w:p w14:paraId="05DE36B5">
            <w:pPr>
              <w:rPr>
                <w:rFonts w:ascii="Arial"/>
                <w:sz w:val="21"/>
              </w:rPr>
            </w:pPr>
          </w:p>
        </w:tc>
        <w:tc>
          <w:tcPr>
            <w:tcW w:w="633" w:type="dxa"/>
            <w:gridSpan w:val="2"/>
            <w:vMerge w:val="continue"/>
            <w:tcBorders>
              <w:top w:val="nil"/>
              <w:left w:val="single" w:color="000000" w:sz="6" w:space="0"/>
              <w:bottom w:val="nil"/>
            </w:tcBorders>
            <w:vAlign w:val="top"/>
          </w:tcPr>
          <w:p w14:paraId="7BE1F2FC">
            <w:pPr>
              <w:rPr>
                <w:rFonts w:ascii="Arial"/>
                <w:sz w:val="21"/>
              </w:rPr>
            </w:pPr>
          </w:p>
        </w:tc>
        <w:tc>
          <w:tcPr>
            <w:tcW w:w="1989" w:type="dxa"/>
            <w:gridSpan w:val="3"/>
            <w:vMerge w:val="continue"/>
            <w:tcBorders>
              <w:top w:val="nil"/>
              <w:bottom w:val="nil"/>
            </w:tcBorders>
            <w:vAlign w:val="top"/>
          </w:tcPr>
          <w:p w14:paraId="175423B3">
            <w:pPr>
              <w:rPr>
                <w:rFonts w:ascii="Arial"/>
                <w:sz w:val="21"/>
              </w:rPr>
            </w:pPr>
          </w:p>
        </w:tc>
        <w:tc>
          <w:tcPr>
            <w:tcW w:w="1506" w:type="dxa"/>
            <w:gridSpan w:val="4"/>
            <w:vAlign w:val="top"/>
          </w:tcPr>
          <w:p w14:paraId="66D6832A">
            <w:pPr>
              <w:spacing w:before="55" w:line="195" w:lineRule="auto"/>
              <w:ind w:left="6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4021" w:type="dxa"/>
            <w:gridSpan w:val="6"/>
            <w:tcBorders>
              <w:right w:val="single" w:color="000000" w:sz="6" w:space="0"/>
            </w:tcBorders>
            <w:vAlign w:val="top"/>
          </w:tcPr>
          <w:p w14:paraId="121F30AE">
            <w:pPr>
              <w:pStyle w:val="6"/>
              <w:spacing w:before="35" w:line="228" w:lineRule="auto"/>
              <w:ind w:left="111"/>
            </w:pPr>
            <w:r>
              <w:rPr>
                <w:spacing w:val="3"/>
              </w:rPr>
              <w:t>最大风偏情况下，边导线与建筑物之间的</w:t>
            </w:r>
          </w:p>
          <w:p w14:paraId="74547E01">
            <w:pPr>
              <w:pStyle w:val="6"/>
              <w:spacing w:before="24" w:line="213" w:lineRule="auto"/>
              <w:ind w:left="1316"/>
            </w:pPr>
            <w:r>
              <w:rPr>
                <w:spacing w:val="7"/>
              </w:rPr>
              <w:t>最小净空距离</w:t>
            </w:r>
          </w:p>
        </w:tc>
      </w:tr>
      <w:tr w14:paraId="0E719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618989E2">
            <w:pPr>
              <w:rPr>
                <w:rFonts w:ascii="Arial"/>
                <w:sz w:val="21"/>
              </w:rPr>
            </w:pPr>
          </w:p>
        </w:tc>
        <w:tc>
          <w:tcPr>
            <w:tcW w:w="633" w:type="dxa"/>
            <w:gridSpan w:val="2"/>
            <w:vMerge w:val="continue"/>
            <w:tcBorders>
              <w:top w:val="nil"/>
              <w:left w:val="single" w:color="000000" w:sz="6" w:space="0"/>
            </w:tcBorders>
            <w:vAlign w:val="top"/>
          </w:tcPr>
          <w:p w14:paraId="068C2CC8">
            <w:pPr>
              <w:rPr>
                <w:rFonts w:ascii="Arial"/>
                <w:sz w:val="21"/>
              </w:rPr>
            </w:pPr>
          </w:p>
        </w:tc>
        <w:tc>
          <w:tcPr>
            <w:tcW w:w="1989" w:type="dxa"/>
            <w:gridSpan w:val="3"/>
            <w:vMerge w:val="continue"/>
            <w:tcBorders>
              <w:top w:val="nil"/>
            </w:tcBorders>
            <w:vAlign w:val="top"/>
          </w:tcPr>
          <w:p w14:paraId="62965ED5">
            <w:pPr>
              <w:rPr>
                <w:rFonts w:ascii="Arial"/>
                <w:sz w:val="21"/>
              </w:rPr>
            </w:pPr>
          </w:p>
        </w:tc>
        <w:tc>
          <w:tcPr>
            <w:tcW w:w="1506" w:type="dxa"/>
            <w:gridSpan w:val="4"/>
            <w:vAlign w:val="top"/>
          </w:tcPr>
          <w:p w14:paraId="7A85D4CF">
            <w:pPr>
              <w:spacing w:before="58" w:line="195" w:lineRule="auto"/>
              <w:ind w:left="6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4021" w:type="dxa"/>
            <w:gridSpan w:val="6"/>
            <w:tcBorders>
              <w:right w:val="single" w:color="000000" w:sz="6" w:space="0"/>
            </w:tcBorders>
            <w:vAlign w:val="top"/>
          </w:tcPr>
          <w:p w14:paraId="6DCA7649">
            <w:pPr>
              <w:pStyle w:val="6"/>
              <w:spacing w:before="36" w:line="228" w:lineRule="auto"/>
              <w:ind w:left="110"/>
            </w:pPr>
            <w:r>
              <w:rPr>
                <w:spacing w:val="3"/>
              </w:rPr>
              <w:t>无风情况下，边导线与建筑物之间的水平</w:t>
            </w:r>
          </w:p>
          <w:p w14:paraId="63B9B41F">
            <w:pPr>
              <w:pStyle w:val="6"/>
              <w:spacing w:before="24" w:line="213" w:lineRule="auto"/>
              <w:ind w:left="1733"/>
            </w:pPr>
            <w:r>
              <w:rPr>
                <w:spacing w:val="5"/>
              </w:rPr>
              <w:t>距离</w:t>
            </w:r>
          </w:p>
        </w:tc>
      </w:tr>
      <w:tr w14:paraId="51B66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5E6BEC03">
            <w:pPr>
              <w:rPr>
                <w:rFonts w:ascii="Arial"/>
                <w:sz w:val="21"/>
              </w:rPr>
            </w:pPr>
          </w:p>
        </w:tc>
        <w:tc>
          <w:tcPr>
            <w:tcW w:w="633" w:type="dxa"/>
            <w:gridSpan w:val="2"/>
            <w:vMerge w:val="restart"/>
            <w:tcBorders>
              <w:left w:val="single" w:color="000000" w:sz="6" w:space="0"/>
              <w:bottom w:val="nil"/>
            </w:tcBorders>
            <w:vAlign w:val="top"/>
          </w:tcPr>
          <w:p w14:paraId="51B6858F">
            <w:pPr>
              <w:spacing w:before="58" w:line="195" w:lineRule="auto"/>
              <w:ind w:left="323"/>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989" w:type="dxa"/>
            <w:gridSpan w:val="3"/>
            <w:vMerge w:val="restart"/>
            <w:tcBorders>
              <w:bottom w:val="nil"/>
            </w:tcBorders>
            <w:vAlign w:val="top"/>
          </w:tcPr>
          <w:p w14:paraId="165657F3">
            <w:pPr>
              <w:pStyle w:val="6"/>
              <w:spacing w:before="37" w:line="228" w:lineRule="auto"/>
              <w:ind w:left="779"/>
            </w:pPr>
            <w:r>
              <w:rPr>
                <w:spacing w:val="4"/>
              </w:rPr>
              <w:t>树木</w:t>
            </w:r>
          </w:p>
        </w:tc>
        <w:tc>
          <w:tcPr>
            <w:tcW w:w="1506" w:type="dxa"/>
            <w:gridSpan w:val="4"/>
            <w:vAlign w:val="top"/>
          </w:tcPr>
          <w:p w14:paraId="73945540">
            <w:pPr>
              <w:spacing w:before="58" w:line="195" w:lineRule="auto"/>
              <w:ind w:left="6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4021" w:type="dxa"/>
            <w:gridSpan w:val="6"/>
            <w:tcBorders>
              <w:right w:val="single" w:color="000000" w:sz="6" w:space="0"/>
            </w:tcBorders>
            <w:vAlign w:val="top"/>
          </w:tcPr>
          <w:p w14:paraId="1D04A87A">
            <w:pPr>
              <w:pStyle w:val="6"/>
              <w:spacing w:before="38" w:line="231" w:lineRule="auto"/>
              <w:ind w:left="791" w:right="235" w:hanging="669"/>
            </w:pPr>
            <w:r>
              <w:rPr>
                <w:spacing w:val="2"/>
              </w:rPr>
              <w:t>当跨越时，导线与树木之间（考虑自然生</w:t>
            </w:r>
            <w:r>
              <w:rPr>
                <w:spacing w:val="9"/>
              </w:rPr>
              <w:t>长高度）的最小垂直距离</w:t>
            </w:r>
          </w:p>
        </w:tc>
      </w:tr>
      <w:tr w14:paraId="7E558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375" w:type="dxa"/>
            <w:vMerge w:val="continue"/>
            <w:tcBorders>
              <w:top w:val="nil"/>
              <w:left w:val="single" w:color="000000" w:sz="6" w:space="0"/>
              <w:bottom w:val="nil"/>
              <w:right w:val="single" w:color="000000" w:sz="6" w:space="0"/>
            </w:tcBorders>
            <w:vAlign w:val="top"/>
          </w:tcPr>
          <w:p w14:paraId="7BAEA5CD">
            <w:pPr>
              <w:rPr>
                <w:rFonts w:ascii="Arial"/>
                <w:sz w:val="21"/>
              </w:rPr>
            </w:pPr>
          </w:p>
        </w:tc>
        <w:tc>
          <w:tcPr>
            <w:tcW w:w="633" w:type="dxa"/>
            <w:gridSpan w:val="2"/>
            <w:vMerge w:val="continue"/>
            <w:tcBorders>
              <w:top w:val="nil"/>
              <w:left w:val="single" w:color="000000" w:sz="6" w:space="0"/>
            </w:tcBorders>
            <w:vAlign w:val="top"/>
          </w:tcPr>
          <w:p w14:paraId="530D6C0C">
            <w:pPr>
              <w:rPr>
                <w:rFonts w:ascii="Arial"/>
                <w:sz w:val="21"/>
              </w:rPr>
            </w:pPr>
          </w:p>
        </w:tc>
        <w:tc>
          <w:tcPr>
            <w:tcW w:w="1989" w:type="dxa"/>
            <w:gridSpan w:val="3"/>
            <w:vMerge w:val="continue"/>
            <w:tcBorders>
              <w:top w:val="nil"/>
            </w:tcBorders>
            <w:vAlign w:val="top"/>
          </w:tcPr>
          <w:p w14:paraId="3BF442F4">
            <w:pPr>
              <w:rPr>
                <w:rFonts w:ascii="Arial"/>
                <w:sz w:val="21"/>
              </w:rPr>
            </w:pPr>
          </w:p>
        </w:tc>
        <w:tc>
          <w:tcPr>
            <w:tcW w:w="1506" w:type="dxa"/>
            <w:gridSpan w:val="4"/>
            <w:vAlign w:val="top"/>
          </w:tcPr>
          <w:p w14:paraId="1E40C376">
            <w:pPr>
              <w:spacing w:before="59" w:line="195" w:lineRule="auto"/>
              <w:ind w:left="61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4021" w:type="dxa"/>
            <w:gridSpan w:val="6"/>
            <w:tcBorders>
              <w:right w:val="single" w:color="000000" w:sz="6" w:space="0"/>
            </w:tcBorders>
            <w:vAlign w:val="top"/>
          </w:tcPr>
          <w:p w14:paraId="22F11EC5">
            <w:pPr>
              <w:pStyle w:val="6"/>
              <w:spacing w:before="37" w:line="228" w:lineRule="auto"/>
              <w:ind w:left="111"/>
            </w:pPr>
            <w:r>
              <w:rPr>
                <w:spacing w:val="3"/>
              </w:rPr>
              <w:t>最大风偏情况下，输电线路通过公园、绿</w:t>
            </w:r>
          </w:p>
          <w:p w14:paraId="4C3FED1F">
            <w:pPr>
              <w:pStyle w:val="6"/>
              <w:spacing w:before="26" w:line="228" w:lineRule="auto"/>
              <w:ind w:left="110"/>
            </w:pPr>
            <w:r>
              <w:rPr>
                <w:spacing w:val="3"/>
              </w:rPr>
              <w:t>化区或防护林带，导线与树木之间的最小</w:t>
            </w:r>
          </w:p>
          <w:p w14:paraId="4C6DA4A5">
            <w:pPr>
              <w:pStyle w:val="6"/>
              <w:spacing w:before="24" w:line="211" w:lineRule="auto"/>
              <w:ind w:left="1527"/>
            </w:pPr>
            <w:r>
              <w:rPr>
                <w:spacing w:val="6"/>
              </w:rPr>
              <w:t>净空距离</w:t>
            </w:r>
          </w:p>
        </w:tc>
      </w:tr>
      <w:tr w14:paraId="4102D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375" w:type="dxa"/>
            <w:vMerge w:val="continue"/>
            <w:tcBorders>
              <w:top w:val="nil"/>
              <w:left w:val="single" w:color="000000" w:sz="6" w:space="0"/>
              <w:bottom w:val="nil"/>
              <w:right w:val="single" w:color="000000" w:sz="6" w:space="0"/>
            </w:tcBorders>
            <w:vAlign w:val="top"/>
          </w:tcPr>
          <w:p w14:paraId="3910A108">
            <w:pPr>
              <w:rPr>
                <w:rFonts w:ascii="Arial"/>
                <w:sz w:val="21"/>
              </w:rPr>
            </w:pPr>
          </w:p>
        </w:tc>
        <w:tc>
          <w:tcPr>
            <w:tcW w:w="633" w:type="dxa"/>
            <w:gridSpan w:val="2"/>
            <w:tcBorders>
              <w:left w:val="single" w:color="000000" w:sz="6" w:space="0"/>
            </w:tcBorders>
            <w:vAlign w:val="top"/>
          </w:tcPr>
          <w:p w14:paraId="6CFDD726">
            <w:pPr>
              <w:spacing w:before="63" w:line="192" w:lineRule="auto"/>
              <w:ind w:left="322"/>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989" w:type="dxa"/>
            <w:gridSpan w:val="3"/>
            <w:vAlign w:val="top"/>
          </w:tcPr>
          <w:p w14:paraId="632685AA">
            <w:pPr>
              <w:pStyle w:val="6"/>
              <w:spacing w:before="39" w:line="228" w:lineRule="auto"/>
              <w:ind w:left="154"/>
            </w:pPr>
            <w:r>
              <w:rPr>
                <w:spacing w:val="7"/>
              </w:rPr>
              <w:t>果树、经济作物、</w:t>
            </w:r>
          </w:p>
          <w:p w14:paraId="20594E2B">
            <w:pPr>
              <w:pStyle w:val="6"/>
              <w:spacing w:before="24" w:line="228" w:lineRule="auto"/>
              <w:ind w:left="150"/>
            </w:pPr>
            <w:r>
              <w:rPr>
                <w:spacing w:val="8"/>
              </w:rPr>
              <w:t>城市绿化灌木及街</w:t>
            </w:r>
          </w:p>
          <w:p w14:paraId="636E290B">
            <w:pPr>
              <w:pStyle w:val="6"/>
              <w:spacing w:before="27" w:line="209" w:lineRule="auto"/>
              <w:ind w:left="778"/>
            </w:pPr>
            <w:r>
              <w:rPr>
                <w:spacing w:val="5"/>
              </w:rPr>
              <w:t>道树</w:t>
            </w:r>
          </w:p>
        </w:tc>
        <w:tc>
          <w:tcPr>
            <w:tcW w:w="1506" w:type="dxa"/>
            <w:gridSpan w:val="4"/>
            <w:vAlign w:val="top"/>
          </w:tcPr>
          <w:p w14:paraId="4CB9085B">
            <w:pPr>
              <w:spacing w:before="60" w:line="195" w:lineRule="auto"/>
              <w:ind w:left="61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3.0</w:t>
            </w:r>
          </w:p>
        </w:tc>
        <w:tc>
          <w:tcPr>
            <w:tcW w:w="4021" w:type="dxa"/>
            <w:gridSpan w:val="6"/>
            <w:tcBorders>
              <w:right w:val="single" w:color="000000" w:sz="6" w:space="0"/>
            </w:tcBorders>
            <w:vAlign w:val="top"/>
          </w:tcPr>
          <w:p w14:paraId="1DFB7B29">
            <w:pPr>
              <w:pStyle w:val="6"/>
              <w:spacing w:before="39" w:line="228" w:lineRule="auto"/>
              <w:ind w:left="108"/>
            </w:pPr>
            <w:r>
              <w:rPr>
                <w:spacing w:val="3"/>
              </w:rPr>
              <w:t>输电线路通过果树、经济作物、城市绿化</w:t>
            </w:r>
          </w:p>
          <w:p w14:paraId="2F6C2927">
            <w:pPr>
              <w:pStyle w:val="6"/>
              <w:spacing w:before="24" w:line="228" w:lineRule="auto"/>
              <w:ind w:left="111"/>
            </w:pPr>
            <w:r>
              <w:rPr>
                <w:spacing w:val="3"/>
              </w:rPr>
              <w:t>灌木及街道树时，与树木之间的最小垂直</w:t>
            </w:r>
          </w:p>
          <w:p w14:paraId="34313EFF">
            <w:pPr>
              <w:pStyle w:val="6"/>
              <w:spacing w:before="27" w:line="209" w:lineRule="auto"/>
              <w:ind w:left="1733"/>
            </w:pPr>
            <w:r>
              <w:rPr>
                <w:spacing w:val="5"/>
              </w:rPr>
              <w:t>距离</w:t>
            </w:r>
          </w:p>
        </w:tc>
      </w:tr>
      <w:tr w14:paraId="55087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306478B0">
            <w:pPr>
              <w:rPr>
                <w:rFonts w:ascii="Arial"/>
                <w:sz w:val="21"/>
              </w:rPr>
            </w:pPr>
          </w:p>
        </w:tc>
        <w:tc>
          <w:tcPr>
            <w:tcW w:w="633" w:type="dxa"/>
            <w:gridSpan w:val="2"/>
            <w:tcBorders>
              <w:left w:val="single" w:color="000000" w:sz="6" w:space="0"/>
            </w:tcBorders>
            <w:vAlign w:val="top"/>
          </w:tcPr>
          <w:p w14:paraId="1505AC5F">
            <w:pPr>
              <w:spacing w:before="60" w:line="195" w:lineRule="auto"/>
              <w:ind w:left="327"/>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989" w:type="dxa"/>
            <w:gridSpan w:val="3"/>
            <w:vAlign w:val="top"/>
          </w:tcPr>
          <w:p w14:paraId="3CC7443E">
            <w:pPr>
              <w:pStyle w:val="6"/>
              <w:spacing w:before="40" w:line="230" w:lineRule="auto"/>
              <w:ind w:left="153" w:right="177" w:firstLine="3"/>
            </w:pPr>
            <w:r>
              <w:rPr>
                <w:spacing w:val="5"/>
              </w:rPr>
              <w:t>公路（高速公路、一级～四级公路）</w:t>
            </w:r>
          </w:p>
        </w:tc>
        <w:tc>
          <w:tcPr>
            <w:tcW w:w="1506" w:type="dxa"/>
            <w:gridSpan w:val="4"/>
            <w:vAlign w:val="top"/>
          </w:tcPr>
          <w:p w14:paraId="6FCFCBC5">
            <w:pPr>
              <w:spacing w:before="60" w:line="195" w:lineRule="auto"/>
              <w:ind w:left="61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4021" w:type="dxa"/>
            <w:gridSpan w:val="6"/>
            <w:tcBorders>
              <w:right w:val="single" w:color="000000" w:sz="6" w:space="0"/>
            </w:tcBorders>
            <w:vAlign w:val="top"/>
          </w:tcPr>
          <w:p w14:paraId="789313F7">
            <w:pPr>
              <w:pStyle w:val="6"/>
              <w:spacing w:before="40" w:line="228" w:lineRule="auto"/>
              <w:ind w:left="1632"/>
            </w:pPr>
            <w:r>
              <w:rPr>
                <w:spacing w:val="6"/>
              </w:rPr>
              <w:t>至路面</w:t>
            </w:r>
          </w:p>
        </w:tc>
      </w:tr>
      <w:tr w14:paraId="146F5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6EC50FB8">
            <w:pPr>
              <w:rPr>
                <w:rFonts w:ascii="Arial"/>
                <w:sz w:val="21"/>
              </w:rPr>
            </w:pPr>
          </w:p>
        </w:tc>
        <w:tc>
          <w:tcPr>
            <w:tcW w:w="633" w:type="dxa"/>
            <w:gridSpan w:val="2"/>
            <w:tcBorders>
              <w:left w:val="single" w:color="000000" w:sz="6" w:space="0"/>
            </w:tcBorders>
            <w:vAlign w:val="top"/>
          </w:tcPr>
          <w:p w14:paraId="4A4E9B10">
            <w:pPr>
              <w:spacing w:before="62" w:line="195" w:lineRule="auto"/>
              <w:ind w:left="322"/>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989" w:type="dxa"/>
            <w:gridSpan w:val="3"/>
            <w:vAlign w:val="top"/>
          </w:tcPr>
          <w:p w14:paraId="31EB2824">
            <w:pPr>
              <w:pStyle w:val="6"/>
              <w:spacing w:before="41" w:line="228" w:lineRule="auto"/>
              <w:ind w:left="573"/>
            </w:pPr>
            <w:r>
              <w:rPr>
                <w:spacing w:val="6"/>
              </w:rPr>
              <w:t>弱电线路</w:t>
            </w:r>
          </w:p>
        </w:tc>
        <w:tc>
          <w:tcPr>
            <w:tcW w:w="1506" w:type="dxa"/>
            <w:gridSpan w:val="4"/>
            <w:vAlign w:val="top"/>
          </w:tcPr>
          <w:p w14:paraId="75E35951">
            <w:pPr>
              <w:spacing w:before="62" w:line="195" w:lineRule="auto"/>
              <w:ind w:left="61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3.0</w:t>
            </w:r>
          </w:p>
        </w:tc>
        <w:tc>
          <w:tcPr>
            <w:tcW w:w="4021" w:type="dxa"/>
            <w:gridSpan w:val="6"/>
            <w:tcBorders>
              <w:right w:val="single" w:color="000000" w:sz="6" w:space="0"/>
            </w:tcBorders>
            <w:vAlign w:val="top"/>
          </w:tcPr>
          <w:p w14:paraId="4245DDB0">
            <w:pPr>
              <w:pStyle w:val="6"/>
              <w:spacing w:before="41" w:line="228" w:lineRule="auto"/>
              <w:ind w:left="110"/>
            </w:pPr>
            <w:r>
              <w:rPr>
                <w:spacing w:val="3"/>
              </w:rPr>
              <w:t>至被跨越弱电线路，电力线路架设在弱电</w:t>
            </w:r>
          </w:p>
          <w:p w14:paraId="0D4DEFFB">
            <w:pPr>
              <w:pStyle w:val="6"/>
              <w:spacing w:before="24" w:line="209" w:lineRule="auto"/>
              <w:ind w:left="1422"/>
            </w:pPr>
            <w:r>
              <w:rPr>
                <w:spacing w:val="5"/>
              </w:rPr>
              <w:t>线路上方。</w:t>
            </w:r>
          </w:p>
        </w:tc>
      </w:tr>
      <w:tr w14:paraId="4A408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8" w:hRule="atLeast"/>
        </w:trPr>
        <w:tc>
          <w:tcPr>
            <w:tcW w:w="375" w:type="dxa"/>
            <w:vMerge w:val="continue"/>
            <w:tcBorders>
              <w:top w:val="nil"/>
              <w:left w:val="single" w:color="000000" w:sz="6" w:space="0"/>
              <w:bottom w:val="nil"/>
              <w:right w:val="single" w:color="000000" w:sz="6" w:space="0"/>
            </w:tcBorders>
            <w:vAlign w:val="top"/>
          </w:tcPr>
          <w:p w14:paraId="2A2E9293">
            <w:pPr>
              <w:rPr>
                <w:rFonts w:ascii="Arial"/>
                <w:sz w:val="21"/>
              </w:rPr>
            </w:pPr>
          </w:p>
        </w:tc>
        <w:tc>
          <w:tcPr>
            <w:tcW w:w="8149" w:type="dxa"/>
            <w:gridSpan w:val="15"/>
            <w:tcBorders>
              <w:left w:val="single" w:color="000000" w:sz="6" w:space="0"/>
              <w:right w:val="single" w:color="000000" w:sz="6" w:space="0"/>
            </w:tcBorders>
            <w:vAlign w:val="top"/>
          </w:tcPr>
          <w:p w14:paraId="7F5C7CEC">
            <w:pPr>
              <w:pStyle w:val="6"/>
              <w:tabs>
                <w:tab w:val="left" w:pos="4497"/>
              </w:tabs>
              <w:spacing w:before="40" w:line="253" w:lineRule="auto"/>
              <w:ind w:left="109" w:right="118" w:firstLine="176"/>
            </w:pPr>
            <w:r>
              <w:rPr>
                <w:rFonts w:ascii="Times New Roman" w:hAnsi="Times New Roman" w:eastAsia="Times New Roman" w:cs="Times New Roman"/>
                <w:spacing w:val="2"/>
                <w:position w:val="1"/>
              </w:rPr>
              <w:t xml:space="preserve">10              </w:t>
            </w:r>
            <w:r>
              <w:rPr>
                <w:spacing w:val="2"/>
              </w:rPr>
              <w:t xml:space="preserve">电力线路            </w:t>
            </w:r>
            <w:r>
              <w:rPr>
                <w:rFonts w:ascii="Times New Roman" w:hAnsi="Times New Roman" w:eastAsia="Times New Roman" w:cs="Times New Roman"/>
                <w:spacing w:val="2"/>
                <w:position w:val="1"/>
              </w:rPr>
              <w:t xml:space="preserve">3.0        </w:t>
            </w:r>
            <w:r>
              <w:rPr>
                <w:rFonts w:ascii="Times New Roman" w:hAnsi="Times New Roman" w:eastAsia="Times New Roman" w:cs="Times New Roman"/>
                <w:spacing w:val="1"/>
                <w:position w:val="1"/>
              </w:rPr>
              <w:t xml:space="preserve">       </w:t>
            </w:r>
            <w:r>
              <w:rPr>
                <w:spacing w:val="1"/>
              </w:rPr>
              <w:t>至被跨越电力线路，电压等级较高的线路</w:t>
            </w:r>
            <w:r>
              <w:rPr>
                <w:u w:val="single" w:color="auto"/>
              </w:rPr>
              <w:tab/>
            </w:r>
            <w:r>
              <w:rPr>
                <w:spacing w:val="8"/>
                <w:u w:val="single" w:color="auto"/>
              </w:rPr>
              <w:t>架设在电压等级较低的线路上方。</w:t>
            </w:r>
            <w:r>
              <w:rPr>
                <w:spacing w:val="3"/>
                <w:u w:val="single" w:color="auto"/>
              </w:rPr>
              <w:t xml:space="preserve">    </w:t>
            </w:r>
          </w:p>
          <w:p w14:paraId="354BDC98">
            <w:pPr>
              <w:pStyle w:val="6"/>
              <w:spacing w:before="16" w:line="359" w:lineRule="auto"/>
              <w:ind w:left="102" w:right="103" w:firstLine="480"/>
              <w:rPr>
                <w:sz w:val="24"/>
                <w:szCs w:val="24"/>
              </w:rPr>
            </w:pPr>
            <w:r>
              <w:rPr>
                <w:spacing w:val="-2"/>
                <w:sz w:val="24"/>
                <w:szCs w:val="24"/>
              </w:rPr>
              <w:t>根据初设报告，拟建</w:t>
            </w:r>
            <w:r>
              <w:rPr>
                <w:spacing w:val="-32"/>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架空线路与交叉跨越物间的</w:t>
            </w:r>
            <w:r>
              <w:rPr>
                <w:spacing w:val="-3"/>
                <w:sz w:val="24"/>
                <w:szCs w:val="24"/>
              </w:rPr>
              <w:t>最小设计距离见</w:t>
            </w:r>
            <w:r>
              <w:rPr>
                <w:spacing w:val="-7"/>
                <w:sz w:val="24"/>
                <w:szCs w:val="24"/>
              </w:rPr>
              <w:t>表</w:t>
            </w:r>
            <w:r>
              <w:rPr>
                <w:spacing w:val="-55"/>
                <w:sz w:val="24"/>
                <w:szCs w:val="24"/>
              </w:rPr>
              <w:t xml:space="preserve"> </w:t>
            </w:r>
            <w:r>
              <w:rPr>
                <w:rFonts w:ascii="Times New Roman" w:hAnsi="Times New Roman" w:eastAsia="Times New Roman" w:cs="Times New Roman"/>
                <w:spacing w:val="-7"/>
                <w:sz w:val="24"/>
                <w:szCs w:val="24"/>
              </w:rPr>
              <w:t>2-</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7"/>
                <w:sz w:val="24"/>
                <w:szCs w:val="24"/>
              </w:rPr>
              <w:t>12</w:t>
            </w:r>
            <w:r>
              <w:rPr>
                <w:spacing w:val="-7"/>
                <w:sz w:val="24"/>
                <w:szCs w:val="24"/>
              </w:rPr>
              <w:t>。</w:t>
            </w:r>
          </w:p>
          <w:p w14:paraId="567C8FEC">
            <w:pPr>
              <w:pStyle w:val="6"/>
              <w:spacing w:line="199" w:lineRule="auto"/>
              <w:ind w:left="810"/>
              <w:rPr>
                <w:sz w:val="24"/>
                <w:szCs w:val="24"/>
              </w:rPr>
            </w:pPr>
            <w:r>
              <w:rPr>
                <w:b/>
                <w:bCs/>
                <w:spacing w:val="-2"/>
                <w:sz w:val="24"/>
                <w:szCs w:val="24"/>
              </w:rPr>
              <w:t>表</w:t>
            </w:r>
            <w:r>
              <w:rPr>
                <w:spacing w:val="-46"/>
                <w:sz w:val="24"/>
                <w:szCs w:val="24"/>
              </w:rPr>
              <w:t xml:space="preserve"> </w:t>
            </w:r>
            <w:r>
              <w:rPr>
                <w:rFonts w:ascii="Times New Roman" w:hAnsi="Times New Roman" w:eastAsia="Times New Roman" w:cs="Times New Roman"/>
                <w:b/>
                <w:bCs/>
                <w:spacing w:val="-2"/>
                <w:sz w:val="24"/>
                <w:szCs w:val="24"/>
              </w:rPr>
              <w:t xml:space="preserve">2-12    </w:t>
            </w:r>
            <w:r>
              <w:rPr>
                <w:b/>
                <w:bCs/>
                <w:spacing w:val="-2"/>
                <w:sz w:val="24"/>
                <w:szCs w:val="24"/>
              </w:rPr>
              <w:t>项目拟建线路与交叉跨越物间的最小设计距离一览表</w:t>
            </w:r>
          </w:p>
        </w:tc>
      </w:tr>
      <w:tr w14:paraId="5F9A1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375" w:type="dxa"/>
            <w:vMerge w:val="continue"/>
            <w:tcBorders>
              <w:top w:val="nil"/>
              <w:left w:val="single" w:color="000000" w:sz="6" w:space="0"/>
              <w:bottom w:val="single" w:color="000000" w:sz="6" w:space="0"/>
              <w:right w:val="single" w:color="000000" w:sz="6" w:space="0"/>
            </w:tcBorders>
            <w:vAlign w:val="top"/>
          </w:tcPr>
          <w:p w14:paraId="071D2605">
            <w:pPr>
              <w:rPr>
                <w:rFonts w:ascii="Arial"/>
                <w:sz w:val="21"/>
              </w:rPr>
            </w:pPr>
          </w:p>
        </w:tc>
        <w:tc>
          <w:tcPr>
            <w:tcW w:w="179" w:type="dxa"/>
            <w:tcBorders>
              <w:top w:val="nil"/>
              <w:left w:val="single" w:color="000000" w:sz="6" w:space="0"/>
              <w:bottom w:val="single" w:color="000000" w:sz="6" w:space="0"/>
            </w:tcBorders>
            <w:vAlign w:val="top"/>
          </w:tcPr>
          <w:p w14:paraId="406C4A86">
            <w:pPr>
              <w:rPr>
                <w:rFonts w:ascii="Arial"/>
                <w:sz w:val="21"/>
              </w:rPr>
            </w:pPr>
          </w:p>
        </w:tc>
        <w:tc>
          <w:tcPr>
            <w:tcW w:w="454" w:type="dxa"/>
            <w:tcBorders>
              <w:bottom w:val="single" w:color="000000" w:sz="6" w:space="0"/>
            </w:tcBorders>
            <w:textDirection w:val="tbRlV"/>
            <w:vAlign w:val="top"/>
          </w:tcPr>
          <w:p w14:paraId="224DA187">
            <w:pPr>
              <w:pStyle w:val="6"/>
              <w:spacing w:before="106" w:line="218" w:lineRule="auto"/>
              <w:ind w:left="179"/>
            </w:pPr>
            <w:r>
              <w:rPr>
                <w:b/>
                <w:bCs/>
                <w:spacing w:val="6"/>
              </w:rPr>
              <w:t>序</w:t>
            </w:r>
            <w:r>
              <w:rPr>
                <w:spacing w:val="-38"/>
              </w:rPr>
              <w:t xml:space="preserve"> </w:t>
            </w:r>
            <w:r>
              <w:rPr>
                <w:b/>
                <w:bCs/>
                <w:spacing w:val="6"/>
              </w:rPr>
              <w:t>号</w:t>
            </w:r>
          </w:p>
        </w:tc>
        <w:tc>
          <w:tcPr>
            <w:tcW w:w="2402" w:type="dxa"/>
            <w:gridSpan w:val="4"/>
            <w:tcBorders>
              <w:bottom w:val="single" w:color="000000" w:sz="6" w:space="0"/>
              <w:right w:val="single" w:color="000000" w:sz="2" w:space="0"/>
            </w:tcBorders>
            <w:vAlign w:val="top"/>
          </w:tcPr>
          <w:p w14:paraId="1A0EE46D">
            <w:pPr>
              <w:spacing w:line="250" w:lineRule="auto"/>
              <w:rPr>
                <w:rFonts w:ascii="Arial"/>
                <w:sz w:val="21"/>
              </w:rPr>
            </w:pPr>
          </w:p>
          <w:p w14:paraId="4AE2989F">
            <w:pPr>
              <w:pStyle w:val="6"/>
              <w:spacing w:before="65" w:line="229" w:lineRule="auto"/>
              <w:ind w:left="575"/>
            </w:pPr>
            <w:r>
              <w:rPr>
                <w:b/>
                <w:bCs/>
                <w:spacing w:val="6"/>
              </w:rPr>
              <w:t>钻</w:t>
            </w:r>
            <w:r>
              <w:rPr>
                <w:rFonts w:ascii="Times New Roman" w:hAnsi="Times New Roman" w:eastAsia="Times New Roman" w:cs="Times New Roman"/>
                <w:b/>
                <w:bCs/>
                <w:spacing w:val="6"/>
              </w:rPr>
              <w:t>/</w:t>
            </w:r>
            <w:r>
              <w:rPr>
                <w:b/>
                <w:bCs/>
                <w:spacing w:val="6"/>
              </w:rPr>
              <w:t>跨越物名称</w:t>
            </w:r>
          </w:p>
        </w:tc>
        <w:tc>
          <w:tcPr>
            <w:tcW w:w="968" w:type="dxa"/>
            <w:gridSpan w:val="2"/>
            <w:tcBorders>
              <w:left w:val="single" w:color="000000" w:sz="2" w:space="0"/>
              <w:bottom w:val="single" w:color="000000" w:sz="6" w:space="0"/>
            </w:tcBorders>
            <w:vAlign w:val="top"/>
          </w:tcPr>
          <w:p w14:paraId="063D00D5">
            <w:pPr>
              <w:pStyle w:val="6"/>
              <w:spacing w:before="180" w:line="252" w:lineRule="auto"/>
              <w:ind w:left="423" w:right="128" w:hanging="211"/>
            </w:pPr>
            <w:r>
              <w:rPr>
                <w:b/>
                <w:bCs/>
                <w:spacing w:val="4"/>
              </w:rPr>
              <w:t>交叉方</w:t>
            </w:r>
            <w:r>
              <w:rPr>
                <w:b/>
                <w:bCs/>
                <w:spacing w:val="-3"/>
              </w:rPr>
              <w:t>式</w:t>
            </w:r>
          </w:p>
        </w:tc>
        <w:tc>
          <w:tcPr>
            <w:tcW w:w="1589" w:type="dxa"/>
            <w:gridSpan w:val="3"/>
            <w:tcBorders>
              <w:bottom w:val="single" w:color="000000" w:sz="6" w:space="0"/>
            </w:tcBorders>
            <w:vAlign w:val="top"/>
          </w:tcPr>
          <w:p w14:paraId="26D0706C">
            <w:pPr>
              <w:pStyle w:val="6"/>
              <w:spacing w:before="41"/>
              <w:ind w:left="204" w:right="121" w:hanging="1"/>
              <w:jc w:val="both"/>
            </w:pPr>
            <w:r>
              <w:rPr>
                <w:b/>
                <w:bCs/>
                <w:spacing w:val="6"/>
              </w:rPr>
              <w:t>拟建线路与交叉跨越物间垂</w:t>
            </w:r>
            <w:r>
              <w:rPr>
                <w:b/>
                <w:bCs/>
                <w:spacing w:val="8"/>
              </w:rPr>
              <w:t>直距离（</w:t>
            </w:r>
            <w:r>
              <w:rPr>
                <w:rFonts w:ascii="Times New Roman" w:hAnsi="Times New Roman" w:eastAsia="Times New Roman" w:cs="Times New Roman"/>
                <w:b/>
                <w:bCs/>
                <w:spacing w:val="8"/>
              </w:rPr>
              <w:t>m</w:t>
            </w:r>
            <w:r>
              <w:rPr>
                <w:b/>
                <w:bCs/>
                <w:spacing w:val="8"/>
              </w:rPr>
              <w:t>）</w:t>
            </w:r>
          </w:p>
        </w:tc>
        <w:tc>
          <w:tcPr>
            <w:tcW w:w="1339" w:type="dxa"/>
            <w:gridSpan w:val="2"/>
            <w:tcBorders>
              <w:bottom w:val="single" w:color="000000" w:sz="6" w:space="0"/>
            </w:tcBorders>
            <w:vAlign w:val="top"/>
          </w:tcPr>
          <w:p w14:paraId="556A8529">
            <w:pPr>
              <w:spacing w:before="78" w:line="195" w:lineRule="auto"/>
              <w:ind w:left="265"/>
              <w:rPr>
                <w:rFonts w:ascii="Times New Roman" w:hAnsi="Times New Roman" w:eastAsia="Times New Roman" w:cs="Times New Roman"/>
                <w:sz w:val="20"/>
                <w:szCs w:val="20"/>
              </w:rPr>
            </w:pPr>
            <w:r>
              <w:rPr>
                <w:rFonts w:ascii="Times New Roman" w:hAnsi="Times New Roman" w:eastAsia="Times New Roman" w:cs="Times New Roman"/>
                <w:b/>
                <w:bCs/>
                <w:sz w:val="20"/>
                <w:szCs w:val="20"/>
              </w:rPr>
              <w:t>GB</w:t>
            </w:r>
            <w:r>
              <w:rPr>
                <w:rFonts w:ascii="Times New Roman" w:hAnsi="Times New Roman" w:eastAsia="Times New Roman" w:cs="Times New Roman"/>
                <w:b/>
                <w:bCs/>
                <w:spacing w:val="5"/>
                <w:sz w:val="20"/>
                <w:szCs w:val="20"/>
              </w:rPr>
              <w:t>50545-</w:t>
            </w:r>
          </w:p>
          <w:p w14:paraId="713CF363">
            <w:pPr>
              <w:pStyle w:val="6"/>
              <w:spacing w:before="34" w:line="228" w:lineRule="auto"/>
              <w:ind w:left="158"/>
            </w:pPr>
            <w:r>
              <w:rPr>
                <w:rFonts w:ascii="Times New Roman" w:hAnsi="Times New Roman" w:eastAsia="Times New Roman" w:cs="Times New Roman"/>
                <w:b/>
                <w:bCs/>
                <w:spacing w:val="1"/>
              </w:rPr>
              <w:t>2010</w:t>
            </w:r>
            <w:r>
              <w:rPr>
                <w:rFonts w:ascii="Times New Roman" w:hAnsi="Times New Roman" w:eastAsia="Times New Roman" w:cs="Times New Roman"/>
                <w:b/>
                <w:bCs/>
                <w:spacing w:val="32"/>
              </w:rPr>
              <w:t xml:space="preserve"> </w:t>
            </w:r>
            <w:r>
              <w:rPr>
                <w:b/>
                <w:bCs/>
                <w:spacing w:val="1"/>
              </w:rPr>
              <w:t>中的规</w:t>
            </w:r>
          </w:p>
          <w:p w14:paraId="51F82F04">
            <w:pPr>
              <w:pStyle w:val="6"/>
              <w:spacing w:before="24" w:line="228" w:lineRule="auto"/>
              <w:ind w:left="402"/>
            </w:pPr>
            <w:r>
              <w:rPr>
                <w:b/>
                <w:bCs/>
                <w:spacing w:val="3"/>
              </w:rPr>
              <w:t>定距离</w:t>
            </w:r>
          </w:p>
        </w:tc>
        <w:tc>
          <w:tcPr>
            <w:tcW w:w="993" w:type="dxa"/>
            <w:tcBorders>
              <w:bottom w:val="single" w:color="000000" w:sz="6" w:space="0"/>
            </w:tcBorders>
            <w:vAlign w:val="top"/>
          </w:tcPr>
          <w:p w14:paraId="1C9F4634">
            <w:pPr>
              <w:pStyle w:val="6"/>
              <w:spacing w:before="42" w:line="228" w:lineRule="auto"/>
              <w:ind w:left="230"/>
            </w:pPr>
            <w:r>
              <w:rPr>
                <w:b/>
                <w:bCs/>
                <w:spacing w:val="4"/>
              </w:rPr>
              <w:t>是否符</w:t>
            </w:r>
          </w:p>
          <w:p w14:paraId="27F00E00">
            <w:pPr>
              <w:pStyle w:val="6"/>
              <w:spacing w:before="27" w:line="233" w:lineRule="auto"/>
              <w:ind w:left="330" w:right="132" w:hanging="103"/>
            </w:pPr>
            <w:r>
              <w:rPr>
                <w:b/>
                <w:bCs/>
                <w:spacing w:val="5"/>
              </w:rPr>
              <w:t>合设计</w:t>
            </w:r>
            <w:r>
              <w:rPr>
                <w:b/>
                <w:bCs/>
                <w:spacing w:val="3"/>
              </w:rPr>
              <w:t>要求</w:t>
            </w:r>
          </w:p>
        </w:tc>
        <w:tc>
          <w:tcPr>
            <w:tcW w:w="225" w:type="dxa"/>
            <w:tcBorders>
              <w:top w:val="nil"/>
              <w:bottom w:val="single" w:color="000000" w:sz="6" w:space="0"/>
              <w:right w:val="single" w:color="000000" w:sz="6" w:space="0"/>
            </w:tcBorders>
            <w:vAlign w:val="top"/>
          </w:tcPr>
          <w:p w14:paraId="2D7A2070">
            <w:pPr>
              <w:rPr>
                <w:rFonts w:ascii="Arial"/>
                <w:sz w:val="21"/>
              </w:rPr>
            </w:pPr>
          </w:p>
        </w:tc>
      </w:tr>
    </w:tbl>
    <w:p w14:paraId="4E56F14E">
      <w:pPr>
        <w:rPr>
          <w:rFonts w:ascii="Arial"/>
          <w:sz w:val="21"/>
        </w:rPr>
      </w:pPr>
    </w:p>
    <w:p w14:paraId="383D0358">
      <w:pPr>
        <w:rPr>
          <w:rFonts w:ascii="Arial" w:hAnsi="Arial" w:eastAsia="Arial" w:cs="Arial"/>
          <w:sz w:val="21"/>
          <w:szCs w:val="21"/>
        </w:rPr>
        <w:sectPr>
          <w:headerReference r:id="rId54" w:type="default"/>
          <w:footerReference r:id="rId55" w:type="default"/>
          <w:pgSz w:w="11907" w:h="16840"/>
          <w:pgMar w:top="400" w:right="1684" w:bottom="1240" w:left="1683" w:header="0" w:footer="1077" w:gutter="0"/>
          <w:cols w:space="720" w:num="1"/>
        </w:sectPr>
      </w:pPr>
    </w:p>
    <w:p w14:paraId="0CEF18A6">
      <w:pPr>
        <w:spacing w:before="19"/>
      </w:pPr>
    </w:p>
    <w:p w14:paraId="23507FE4">
      <w:pPr>
        <w:spacing w:before="19"/>
      </w:pPr>
    </w:p>
    <w:p w14:paraId="6106D8E2">
      <w:pPr>
        <w:spacing w:before="18"/>
      </w:pPr>
    </w:p>
    <w:p w14:paraId="51AA6FD9">
      <w:pPr>
        <w:spacing w:before="18"/>
      </w:pPr>
    </w:p>
    <w:tbl>
      <w:tblPr>
        <w:tblStyle w:val="5"/>
        <w:tblW w:w="8524"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179"/>
        <w:gridCol w:w="491"/>
        <w:gridCol w:w="873"/>
        <w:gridCol w:w="1530"/>
        <w:gridCol w:w="967"/>
        <w:gridCol w:w="1589"/>
        <w:gridCol w:w="1339"/>
        <w:gridCol w:w="993"/>
        <w:gridCol w:w="188"/>
      </w:tblGrid>
      <w:tr w14:paraId="5BD2C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375" w:type="dxa"/>
            <w:vMerge w:val="restart"/>
            <w:tcBorders>
              <w:top w:val="single" w:color="000000" w:sz="6" w:space="0"/>
              <w:left w:val="single" w:color="000000" w:sz="6" w:space="0"/>
              <w:bottom w:val="nil"/>
              <w:right w:val="single" w:color="000000" w:sz="6" w:space="0"/>
            </w:tcBorders>
            <w:vAlign w:val="top"/>
          </w:tcPr>
          <w:p w14:paraId="3A7C876D">
            <w:pPr>
              <w:rPr>
                <w:rFonts w:ascii="Arial"/>
                <w:sz w:val="21"/>
              </w:rPr>
            </w:pPr>
          </w:p>
        </w:tc>
        <w:tc>
          <w:tcPr>
            <w:tcW w:w="179" w:type="dxa"/>
            <w:tcBorders>
              <w:top w:val="single" w:color="000000" w:sz="6" w:space="0"/>
              <w:left w:val="single" w:color="000000" w:sz="6" w:space="0"/>
              <w:bottom w:val="nil"/>
            </w:tcBorders>
            <w:vAlign w:val="top"/>
          </w:tcPr>
          <w:p w14:paraId="508C890C">
            <w:pPr>
              <w:rPr>
                <w:rFonts w:ascii="Arial"/>
                <w:sz w:val="21"/>
              </w:rPr>
            </w:pPr>
          </w:p>
        </w:tc>
        <w:tc>
          <w:tcPr>
            <w:tcW w:w="491" w:type="dxa"/>
            <w:tcBorders>
              <w:top w:val="single" w:color="000000" w:sz="6" w:space="0"/>
            </w:tcBorders>
            <w:vAlign w:val="top"/>
          </w:tcPr>
          <w:p w14:paraId="3972B7F2">
            <w:pPr>
              <w:spacing w:before="224" w:line="195" w:lineRule="auto"/>
              <w:ind w:left="205"/>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873" w:type="dxa"/>
            <w:tcBorders>
              <w:top w:val="single" w:color="000000" w:sz="6" w:space="0"/>
            </w:tcBorders>
            <w:vAlign w:val="top"/>
          </w:tcPr>
          <w:p w14:paraId="4B0438DA">
            <w:pPr>
              <w:pStyle w:val="6"/>
              <w:spacing w:before="83" w:line="234" w:lineRule="auto"/>
              <w:ind w:left="226" w:right="205" w:hanging="26"/>
            </w:pPr>
            <w:r>
              <w:rPr>
                <w:rFonts w:ascii="Times New Roman" w:hAnsi="Times New Roman" w:eastAsia="Times New Roman" w:cs="Times New Roman"/>
                <w:spacing w:val="6"/>
              </w:rPr>
              <w:t>35</w:t>
            </w:r>
            <w:r>
              <w:rPr>
                <w:rFonts w:ascii="Times New Roman" w:hAnsi="Times New Roman" w:eastAsia="Times New Roman" w:cs="Times New Roman"/>
              </w:rPr>
              <w:t>kV</w:t>
            </w:r>
            <w:r>
              <w:rPr>
                <w:spacing w:val="3"/>
              </w:rPr>
              <w:t>线路</w:t>
            </w:r>
          </w:p>
        </w:tc>
        <w:tc>
          <w:tcPr>
            <w:tcW w:w="1530" w:type="dxa"/>
            <w:tcBorders>
              <w:top w:val="single" w:color="000000" w:sz="6" w:space="0"/>
              <w:right w:val="single" w:color="000000" w:sz="2" w:space="0"/>
            </w:tcBorders>
            <w:vAlign w:val="top"/>
          </w:tcPr>
          <w:p w14:paraId="717156EE">
            <w:pPr>
              <w:pStyle w:val="6"/>
              <w:spacing w:before="51" w:line="235" w:lineRule="auto"/>
              <w:ind w:left="238" w:right="168" w:hanging="76"/>
            </w:pPr>
            <w:r>
              <w:rPr>
                <w:spacing w:val="4"/>
              </w:rPr>
              <w:t>跨越</w:t>
            </w:r>
            <w:r>
              <w:rPr>
                <w:spacing w:val="-37"/>
              </w:rPr>
              <w:t xml:space="preserve"> </w:t>
            </w:r>
            <w:r>
              <w:rPr>
                <w:rFonts w:ascii="Times New Roman" w:hAnsi="Times New Roman" w:eastAsia="Times New Roman" w:cs="Times New Roman"/>
                <w:spacing w:val="4"/>
              </w:rPr>
              <w:t>35</w:t>
            </w:r>
            <w:r>
              <w:rPr>
                <w:rFonts w:ascii="Times New Roman" w:hAnsi="Times New Roman" w:eastAsia="Times New Roman" w:cs="Times New Roman"/>
              </w:rPr>
              <w:t>kV</w:t>
            </w:r>
            <w:r>
              <w:rPr>
                <w:rFonts w:ascii="Times New Roman" w:hAnsi="Times New Roman" w:eastAsia="Times New Roman" w:cs="Times New Roman"/>
                <w:spacing w:val="13"/>
                <w:w w:val="101"/>
              </w:rPr>
              <w:t xml:space="preserve"> </w:t>
            </w:r>
            <w:r>
              <w:rPr>
                <w:spacing w:val="4"/>
              </w:rPr>
              <w:t>金</w:t>
            </w:r>
            <w:r>
              <w:rPr>
                <w:spacing w:val="8"/>
              </w:rPr>
              <w:t>瑞达瓷业线</w:t>
            </w:r>
          </w:p>
        </w:tc>
        <w:tc>
          <w:tcPr>
            <w:tcW w:w="967" w:type="dxa"/>
            <w:tcBorders>
              <w:top w:val="single" w:color="000000" w:sz="6" w:space="0"/>
              <w:left w:val="single" w:color="000000" w:sz="2" w:space="0"/>
            </w:tcBorders>
            <w:vAlign w:val="top"/>
          </w:tcPr>
          <w:p w14:paraId="1223872D">
            <w:pPr>
              <w:pStyle w:val="6"/>
              <w:spacing w:before="185" w:line="229" w:lineRule="auto"/>
              <w:ind w:left="278"/>
            </w:pPr>
            <w:r>
              <w:rPr>
                <w:spacing w:val="4"/>
              </w:rPr>
              <w:t>跨越</w:t>
            </w:r>
          </w:p>
        </w:tc>
        <w:tc>
          <w:tcPr>
            <w:tcW w:w="1589" w:type="dxa"/>
            <w:tcBorders>
              <w:top w:val="single" w:color="000000" w:sz="6" w:space="0"/>
            </w:tcBorders>
            <w:vAlign w:val="top"/>
          </w:tcPr>
          <w:p w14:paraId="1E4F9B27">
            <w:pPr>
              <w:spacing w:before="224" w:line="195" w:lineRule="auto"/>
              <w:ind w:left="68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w:t>
            </w:r>
          </w:p>
        </w:tc>
        <w:tc>
          <w:tcPr>
            <w:tcW w:w="1339" w:type="dxa"/>
            <w:tcBorders>
              <w:top w:val="single" w:color="000000" w:sz="6" w:space="0"/>
            </w:tcBorders>
            <w:vAlign w:val="top"/>
          </w:tcPr>
          <w:p w14:paraId="7C11DCD1">
            <w:pPr>
              <w:spacing w:before="224" w:line="195" w:lineRule="auto"/>
              <w:ind w:left="56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w:t>
            </w:r>
          </w:p>
        </w:tc>
        <w:tc>
          <w:tcPr>
            <w:tcW w:w="993" w:type="dxa"/>
            <w:tcBorders>
              <w:top w:val="single" w:color="000000" w:sz="6" w:space="0"/>
            </w:tcBorders>
            <w:vAlign w:val="top"/>
          </w:tcPr>
          <w:p w14:paraId="06D56FBC">
            <w:pPr>
              <w:pStyle w:val="6"/>
              <w:spacing w:before="185" w:line="228" w:lineRule="auto"/>
              <w:ind w:left="297"/>
            </w:pPr>
            <w:r>
              <w:rPr>
                <w:spacing w:val="3"/>
              </w:rPr>
              <w:t>符合</w:t>
            </w:r>
          </w:p>
        </w:tc>
        <w:tc>
          <w:tcPr>
            <w:tcW w:w="188" w:type="dxa"/>
            <w:vMerge w:val="restart"/>
            <w:tcBorders>
              <w:top w:val="single" w:color="000000" w:sz="6" w:space="0"/>
              <w:bottom w:val="nil"/>
              <w:right w:val="single" w:color="000000" w:sz="6" w:space="0"/>
            </w:tcBorders>
            <w:vAlign w:val="top"/>
          </w:tcPr>
          <w:p w14:paraId="050FB78E">
            <w:pPr>
              <w:rPr>
                <w:rFonts w:ascii="Arial"/>
                <w:sz w:val="21"/>
              </w:rPr>
            </w:pPr>
          </w:p>
        </w:tc>
      </w:tr>
      <w:tr w14:paraId="5A1B6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75" w:type="dxa"/>
            <w:vMerge w:val="continue"/>
            <w:tcBorders>
              <w:top w:val="nil"/>
              <w:left w:val="single" w:color="000000" w:sz="6" w:space="0"/>
              <w:bottom w:val="nil"/>
              <w:right w:val="single" w:color="000000" w:sz="6" w:space="0"/>
            </w:tcBorders>
            <w:vAlign w:val="top"/>
          </w:tcPr>
          <w:p w14:paraId="160682D8">
            <w:pPr>
              <w:rPr>
                <w:rFonts w:ascii="Arial"/>
                <w:sz w:val="21"/>
              </w:rPr>
            </w:pPr>
          </w:p>
        </w:tc>
        <w:tc>
          <w:tcPr>
            <w:tcW w:w="179" w:type="dxa"/>
            <w:tcBorders>
              <w:top w:val="nil"/>
              <w:left w:val="single" w:color="000000" w:sz="6" w:space="0"/>
              <w:bottom w:val="nil"/>
            </w:tcBorders>
            <w:vAlign w:val="top"/>
          </w:tcPr>
          <w:p w14:paraId="6721CE36">
            <w:pPr>
              <w:rPr>
                <w:rFonts w:ascii="Arial"/>
                <w:sz w:val="21"/>
              </w:rPr>
            </w:pPr>
          </w:p>
        </w:tc>
        <w:tc>
          <w:tcPr>
            <w:tcW w:w="491" w:type="dxa"/>
            <w:vMerge w:val="restart"/>
            <w:tcBorders>
              <w:bottom w:val="nil"/>
            </w:tcBorders>
            <w:vAlign w:val="top"/>
          </w:tcPr>
          <w:p w14:paraId="5E7C2DD9">
            <w:pPr>
              <w:spacing w:line="286" w:lineRule="auto"/>
              <w:rPr>
                <w:rFonts w:ascii="Arial"/>
                <w:sz w:val="21"/>
              </w:rPr>
            </w:pPr>
          </w:p>
          <w:p w14:paraId="735205C1">
            <w:pPr>
              <w:spacing w:before="58" w:line="195" w:lineRule="auto"/>
              <w:ind w:left="18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873" w:type="dxa"/>
            <w:vMerge w:val="restart"/>
            <w:tcBorders>
              <w:bottom w:val="nil"/>
            </w:tcBorders>
            <w:vAlign w:val="top"/>
          </w:tcPr>
          <w:p w14:paraId="02859599">
            <w:pPr>
              <w:rPr>
                <w:rFonts w:ascii="Arial"/>
                <w:sz w:val="21"/>
              </w:rPr>
            </w:pPr>
          </w:p>
          <w:p w14:paraId="363355F1">
            <w:pPr>
              <w:pStyle w:val="6"/>
              <w:spacing w:before="65" w:line="228" w:lineRule="auto"/>
              <w:ind w:left="230"/>
            </w:pPr>
            <w:r>
              <w:rPr>
                <w:spacing w:val="1"/>
              </w:rPr>
              <w:t>公路</w:t>
            </w:r>
          </w:p>
        </w:tc>
        <w:tc>
          <w:tcPr>
            <w:tcW w:w="1530" w:type="dxa"/>
            <w:vAlign w:val="top"/>
          </w:tcPr>
          <w:p w14:paraId="25BB1CC6">
            <w:pPr>
              <w:pStyle w:val="6"/>
              <w:spacing w:before="29" w:line="213" w:lineRule="auto"/>
              <w:ind w:left="107"/>
            </w:pPr>
            <w:r>
              <w:rPr>
                <w:spacing w:val="8"/>
              </w:rPr>
              <w:t>滇中环线高速</w:t>
            </w:r>
          </w:p>
        </w:tc>
        <w:tc>
          <w:tcPr>
            <w:tcW w:w="967" w:type="dxa"/>
            <w:vAlign w:val="top"/>
          </w:tcPr>
          <w:p w14:paraId="07E9CB84">
            <w:pPr>
              <w:pStyle w:val="6"/>
              <w:spacing w:before="29" w:line="213" w:lineRule="auto"/>
              <w:ind w:left="276"/>
            </w:pPr>
            <w:r>
              <w:rPr>
                <w:spacing w:val="4"/>
              </w:rPr>
              <w:t>跨越</w:t>
            </w:r>
          </w:p>
        </w:tc>
        <w:tc>
          <w:tcPr>
            <w:tcW w:w="1589" w:type="dxa"/>
            <w:vAlign w:val="top"/>
          </w:tcPr>
          <w:p w14:paraId="5239DBB2">
            <w:pPr>
              <w:spacing w:before="65" w:line="195" w:lineRule="auto"/>
              <w:ind w:left="63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≥13</w:t>
            </w:r>
          </w:p>
        </w:tc>
        <w:tc>
          <w:tcPr>
            <w:tcW w:w="1339" w:type="dxa"/>
            <w:vMerge w:val="restart"/>
            <w:tcBorders>
              <w:bottom w:val="nil"/>
            </w:tcBorders>
            <w:vAlign w:val="top"/>
          </w:tcPr>
          <w:p w14:paraId="66158AFD">
            <w:pPr>
              <w:pStyle w:val="6"/>
              <w:spacing w:before="172" w:line="231" w:lineRule="auto"/>
              <w:ind w:left="107"/>
            </w:pPr>
            <w:r>
              <w:rPr>
                <w:rFonts w:ascii="Times New Roman" w:hAnsi="Times New Roman" w:eastAsia="Times New Roman" w:cs="Times New Roman"/>
                <w:spacing w:val="-5"/>
              </w:rPr>
              <w:t>≥7.0</w:t>
            </w:r>
            <w:r>
              <w:rPr>
                <w:spacing w:val="-5"/>
              </w:rPr>
              <w:t>（参照公</w:t>
            </w:r>
          </w:p>
          <w:p w14:paraId="65D75FED">
            <w:pPr>
              <w:pStyle w:val="6"/>
              <w:spacing w:before="21" w:line="228" w:lineRule="auto"/>
              <w:ind w:left="467"/>
            </w:pPr>
            <w:r>
              <w:rPr>
                <w:spacing w:val="-1"/>
              </w:rPr>
              <w:t>路）</w:t>
            </w:r>
          </w:p>
        </w:tc>
        <w:tc>
          <w:tcPr>
            <w:tcW w:w="993" w:type="dxa"/>
            <w:vAlign w:val="top"/>
          </w:tcPr>
          <w:p w14:paraId="38FB316E">
            <w:pPr>
              <w:pStyle w:val="6"/>
              <w:spacing w:before="29" w:line="213" w:lineRule="auto"/>
              <w:ind w:left="297"/>
            </w:pPr>
            <w:r>
              <w:rPr>
                <w:spacing w:val="3"/>
              </w:rPr>
              <w:t>符合</w:t>
            </w:r>
          </w:p>
        </w:tc>
        <w:tc>
          <w:tcPr>
            <w:tcW w:w="188" w:type="dxa"/>
            <w:vMerge w:val="continue"/>
            <w:tcBorders>
              <w:top w:val="nil"/>
              <w:bottom w:val="nil"/>
              <w:right w:val="single" w:color="000000" w:sz="6" w:space="0"/>
            </w:tcBorders>
            <w:vAlign w:val="top"/>
          </w:tcPr>
          <w:p w14:paraId="50ECD40D">
            <w:pPr>
              <w:rPr>
                <w:rFonts w:ascii="Arial"/>
                <w:sz w:val="21"/>
              </w:rPr>
            </w:pPr>
          </w:p>
        </w:tc>
      </w:tr>
      <w:tr w14:paraId="59D4A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375" w:type="dxa"/>
            <w:vMerge w:val="continue"/>
            <w:tcBorders>
              <w:top w:val="nil"/>
              <w:left w:val="single" w:color="000000" w:sz="6" w:space="0"/>
              <w:bottom w:val="nil"/>
              <w:right w:val="single" w:color="000000" w:sz="6" w:space="0"/>
            </w:tcBorders>
            <w:vAlign w:val="top"/>
          </w:tcPr>
          <w:p w14:paraId="7A61EB86">
            <w:pPr>
              <w:rPr>
                <w:rFonts w:ascii="Arial"/>
                <w:sz w:val="21"/>
              </w:rPr>
            </w:pPr>
          </w:p>
        </w:tc>
        <w:tc>
          <w:tcPr>
            <w:tcW w:w="179" w:type="dxa"/>
            <w:tcBorders>
              <w:top w:val="nil"/>
              <w:left w:val="single" w:color="000000" w:sz="6" w:space="0"/>
              <w:bottom w:val="nil"/>
            </w:tcBorders>
            <w:vAlign w:val="top"/>
          </w:tcPr>
          <w:p w14:paraId="62E88EC0">
            <w:pPr>
              <w:rPr>
                <w:rFonts w:ascii="Arial"/>
                <w:sz w:val="21"/>
              </w:rPr>
            </w:pPr>
          </w:p>
        </w:tc>
        <w:tc>
          <w:tcPr>
            <w:tcW w:w="491" w:type="dxa"/>
            <w:vMerge w:val="continue"/>
            <w:tcBorders>
              <w:top w:val="nil"/>
            </w:tcBorders>
            <w:vAlign w:val="top"/>
          </w:tcPr>
          <w:p w14:paraId="774970B0">
            <w:pPr>
              <w:rPr>
                <w:rFonts w:ascii="Arial"/>
                <w:sz w:val="21"/>
              </w:rPr>
            </w:pPr>
          </w:p>
        </w:tc>
        <w:tc>
          <w:tcPr>
            <w:tcW w:w="873" w:type="dxa"/>
            <w:vMerge w:val="continue"/>
            <w:tcBorders>
              <w:top w:val="nil"/>
            </w:tcBorders>
            <w:vAlign w:val="top"/>
          </w:tcPr>
          <w:p w14:paraId="608C73A1">
            <w:pPr>
              <w:rPr>
                <w:rFonts w:ascii="Arial"/>
                <w:sz w:val="21"/>
              </w:rPr>
            </w:pPr>
          </w:p>
        </w:tc>
        <w:tc>
          <w:tcPr>
            <w:tcW w:w="1530" w:type="dxa"/>
            <w:vAlign w:val="top"/>
          </w:tcPr>
          <w:p w14:paraId="4633C4B6">
            <w:pPr>
              <w:pStyle w:val="6"/>
              <w:spacing w:before="37" w:line="228" w:lineRule="auto"/>
              <w:ind w:left="107"/>
              <w:rPr>
                <w:rFonts w:ascii="Times New Roman" w:hAnsi="Times New Roman" w:eastAsia="Times New Roman" w:cs="Times New Roman"/>
              </w:rPr>
            </w:pPr>
            <w:r>
              <w:rPr>
                <w:spacing w:val="6"/>
              </w:rPr>
              <w:t>兰马线（</w:t>
            </w:r>
            <w:r>
              <w:rPr>
                <w:rFonts w:ascii="Times New Roman" w:hAnsi="Times New Roman" w:eastAsia="Times New Roman" w:cs="Times New Roman"/>
                <w:spacing w:val="6"/>
              </w:rPr>
              <w:t>G320</w:t>
            </w:r>
          </w:p>
          <w:p w14:paraId="295935C3">
            <w:pPr>
              <w:pStyle w:val="6"/>
              <w:spacing w:before="23" w:line="219" w:lineRule="auto"/>
              <w:ind w:left="470"/>
            </w:pPr>
            <w:r>
              <w:rPr>
                <w:spacing w:val="-4"/>
              </w:rPr>
              <w:t>国道）</w:t>
            </w:r>
          </w:p>
        </w:tc>
        <w:tc>
          <w:tcPr>
            <w:tcW w:w="967" w:type="dxa"/>
            <w:vAlign w:val="top"/>
          </w:tcPr>
          <w:p w14:paraId="22D2D146">
            <w:pPr>
              <w:pStyle w:val="6"/>
              <w:spacing w:before="171" w:line="229" w:lineRule="auto"/>
              <w:ind w:left="276"/>
            </w:pPr>
            <w:r>
              <w:rPr>
                <w:spacing w:val="4"/>
              </w:rPr>
              <w:t>跨越</w:t>
            </w:r>
          </w:p>
        </w:tc>
        <w:tc>
          <w:tcPr>
            <w:tcW w:w="1589" w:type="dxa"/>
            <w:vAlign w:val="top"/>
          </w:tcPr>
          <w:p w14:paraId="04029BA1">
            <w:pPr>
              <w:spacing w:before="210" w:line="195" w:lineRule="auto"/>
              <w:ind w:left="63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1339" w:type="dxa"/>
            <w:vMerge w:val="continue"/>
            <w:tcBorders>
              <w:top w:val="nil"/>
            </w:tcBorders>
            <w:vAlign w:val="top"/>
          </w:tcPr>
          <w:p w14:paraId="2DD1A38E">
            <w:pPr>
              <w:rPr>
                <w:rFonts w:ascii="Arial"/>
                <w:sz w:val="21"/>
              </w:rPr>
            </w:pPr>
          </w:p>
        </w:tc>
        <w:tc>
          <w:tcPr>
            <w:tcW w:w="993" w:type="dxa"/>
            <w:vAlign w:val="top"/>
          </w:tcPr>
          <w:p w14:paraId="33A3AC9C">
            <w:pPr>
              <w:pStyle w:val="6"/>
              <w:spacing w:before="171" w:line="228" w:lineRule="auto"/>
              <w:ind w:left="297"/>
            </w:pPr>
            <w:r>
              <w:rPr>
                <w:spacing w:val="3"/>
              </w:rPr>
              <w:t>符合</w:t>
            </w:r>
          </w:p>
        </w:tc>
        <w:tc>
          <w:tcPr>
            <w:tcW w:w="188" w:type="dxa"/>
            <w:vMerge w:val="continue"/>
            <w:tcBorders>
              <w:top w:val="nil"/>
              <w:bottom w:val="nil"/>
              <w:right w:val="single" w:color="000000" w:sz="6" w:space="0"/>
            </w:tcBorders>
            <w:vAlign w:val="top"/>
          </w:tcPr>
          <w:p w14:paraId="3E30DC71">
            <w:pPr>
              <w:rPr>
                <w:rFonts w:ascii="Arial"/>
                <w:sz w:val="21"/>
              </w:rPr>
            </w:pPr>
          </w:p>
        </w:tc>
      </w:tr>
      <w:tr w14:paraId="13FCD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0" w:hRule="atLeast"/>
        </w:trPr>
        <w:tc>
          <w:tcPr>
            <w:tcW w:w="375" w:type="dxa"/>
            <w:vMerge w:val="continue"/>
            <w:tcBorders>
              <w:top w:val="nil"/>
              <w:left w:val="single" w:color="000000" w:sz="6" w:space="0"/>
              <w:bottom w:val="single" w:color="000000" w:sz="6" w:space="0"/>
              <w:right w:val="single" w:color="000000" w:sz="6" w:space="0"/>
            </w:tcBorders>
            <w:vAlign w:val="top"/>
          </w:tcPr>
          <w:p w14:paraId="39BC81D3">
            <w:pPr>
              <w:rPr>
                <w:rFonts w:ascii="Arial"/>
                <w:sz w:val="21"/>
              </w:rPr>
            </w:pPr>
          </w:p>
        </w:tc>
        <w:tc>
          <w:tcPr>
            <w:tcW w:w="8149" w:type="dxa"/>
            <w:gridSpan w:val="9"/>
            <w:tcBorders>
              <w:left w:val="single" w:color="000000" w:sz="6" w:space="0"/>
              <w:bottom w:val="single" w:color="000000" w:sz="6" w:space="0"/>
              <w:right w:val="single" w:color="000000" w:sz="6" w:space="0"/>
            </w:tcBorders>
            <w:vAlign w:val="top"/>
          </w:tcPr>
          <w:p w14:paraId="32DC7FEE">
            <w:pPr>
              <w:pStyle w:val="6"/>
              <w:spacing w:before="35" w:line="359" w:lineRule="auto"/>
              <w:ind w:left="103" w:right="101" w:firstLine="480"/>
              <w:jc w:val="both"/>
              <w:rPr>
                <w:sz w:val="24"/>
                <w:szCs w:val="24"/>
              </w:rPr>
            </w:pPr>
            <w:r>
              <w:rPr>
                <w:spacing w:val="-2"/>
                <w:sz w:val="24"/>
                <w:szCs w:val="24"/>
              </w:rPr>
              <w:t>根据上表分析，本工程</w:t>
            </w:r>
            <w:r>
              <w:rPr>
                <w:spacing w:val="-32"/>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单、双回线路跨越电力线</w:t>
            </w:r>
            <w:r>
              <w:rPr>
                <w:spacing w:val="-3"/>
                <w:sz w:val="24"/>
                <w:szCs w:val="24"/>
              </w:rPr>
              <w:t>路、公路时，拟</w:t>
            </w:r>
            <w:r>
              <w:rPr>
                <w:spacing w:val="2"/>
                <w:sz w:val="24"/>
                <w:szCs w:val="24"/>
              </w:rPr>
              <w:t>建线路与交叉跨越物间垂直距离最小距离均符合《</w:t>
            </w:r>
            <w:r>
              <w:rPr>
                <w:rFonts w:ascii="Times New Roman" w:hAnsi="Times New Roman" w:eastAsia="Times New Roman" w:cs="Times New Roman"/>
                <w:spacing w:val="2"/>
                <w:sz w:val="24"/>
                <w:szCs w:val="24"/>
              </w:rPr>
              <w:t>110</w:t>
            </w:r>
            <w:r>
              <w:rPr>
                <w:rFonts w:ascii="Times New Roman" w:hAnsi="Times New Roman" w:eastAsia="Times New Roman" w:cs="Times New Roman"/>
                <w:sz w:val="24"/>
                <w:szCs w:val="24"/>
              </w:rPr>
              <w:t>kV</w:t>
            </w:r>
            <w:r>
              <w:rPr>
                <w:spacing w:val="2"/>
                <w:sz w:val="24"/>
                <w:szCs w:val="24"/>
              </w:rPr>
              <w:t>～</w:t>
            </w:r>
            <w:r>
              <w:rPr>
                <w:rFonts w:ascii="Times New Roman" w:hAnsi="Times New Roman" w:eastAsia="Times New Roman" w:cs="Times New Roman"/>
                <w:spacing w:val="2"/>
                <w:sz w:val="24"/>
                <w:szCs w:val="24"/>
              </w:rPr>
              <w:t>750</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 xml:space="preserve"> </w:t>
            </w:r>
            <w:r>
              <w:rPr>
                <w:spacing w:val="2"/>
                <w:sz w:val="24"/>
                <w:szCs w:val="24"/>
              </w:rPr>
              <w:t>架空输电</w:t>
            </w:r>
            <w:r>
              <w:rPr>
                <w:spacing w:val="-1"/>
                <w:sz w:val="24"/>
                <w:szCs w:val="24"/>
              </w:rPr>
              <w:t>线路设计规范》（</w:t>
            </w:r>
            <w:r>
              <w:rPr>
                <w:rFonts w:ascii="Times New Roman" w:hAnsi="Times New Roman" w:eastAsia="Times New Roman" w:cs="Times New Roman"/>
                <w:spacing w:val="-1"/>
                <w:sz w:val="24"/>
                <w:szCs w:val="24"/>
              </w:rPr>
              <w:t>GB50545-2010</w:t>
            </w:r>
            <w:r>
              <w:rPr>
                <w:spacing w:val="-1"/>
                <w:sz w:val="24"/>
                <w:szCs w:val="24"/>
              </w:rPr>
              <w:t>）规定的设计限制要求。架空</w:t>
            </w:r>
            <w:r>
              <w:rPr>
                <w:spacing w:val="-2"/>
                <w:sz w:val="24"/>
                <w:szCs w:val="24"/>
              </w:rPr>
              <w:t>线路施工时，</w:t>
            </w:r>
            <w:r>
              <w:rPr>
                <w:sz w:val="24"/>
                <w:szCs w:val="24"/>
              </w:rPr>
              <w:t>建设单位严格要求施工单位按照上表中输电线路导线对地距离及交叉跨越设计规范施工，确保交叉跨越处满足相关安全距离，在跨越输电线路和高速公</w:t>
            </w:r>
            <w:r>
              <w:rPr>
                <w:spacing w:val="-1"/>
                <w:sz w:val="24"/>
                <w:szCs w:val="24"/>
              </w:rPr>
              <w:t>路时，导线或地线在跨越档内不得有接头。</w:t>
            </w:r>
          </w:p>
          <w:p w14:paraId="64E3AC2F">
            <w:pPr>
              <w:pStyle w:val="6"/>
              <w:spacing w:line="218" w:lineRule="auto"/>
              <w:ind w:left="125"/>
              <w:rPr>
                <w:sz w:val="24"/>
                <w:szCs w:val="24"/>
              </w:rPr>
            </w:pPr>
            <w:r>
              <w:rPr>
                <w:b/>
                <w:bCs/>
                <w:spacing w:val="-6"/>
                <w:sz w:val="24"/>
                <w:szCs w:val="24"/>
              </w:rPr>
              <w:t>四、施工布置情况</w:t>
            </w:r>
          </w:p>
          <w:p w14:paraId="19809588">
            <w:pPr>
              <w:pStyle w:val="6"/>
              <w:spacing w:before="181" w:line="220" w:lineRule="auto"/>
              <w:ind w:left="589"/>
              <w:rPr>
                <w:sz w:val="24"/>
                <w:szCs w:val="24"/>
              </w:rPr>
            </w:pPr>
            <w:r>
              <w:rPr>
                <w:rFonts w:ascii="Times New Roman" w:hAnsi="Times New Roman" w:eastAsia="Times New Roman" w:cs="Times New Roman"/>
                <w:b/>
                <w:bCs/>
                <w:spacing w:val="-9"/>
                <w:sz w:val="24"/>
                <w:szCs w:val="24"/>
              </w:rPr>
              <w:t>1</w:t>
            </w:r>
            <w:r>
              <w:rPr>
                <w:rFonts w:ascii="Times New Roman" w:hAnsi="Times New Roman" w:eastAsia="Times New Roman" w:cs="Times New Roman"/>
                <w:b/>
                <w:bCs/>
                <w:spacing w:val="-34"/>
                <w:sz w:val="24"/>
                <w:szCs w:val="24"/>
              </w:rPr>
              <w:t xml:space="preserve"> </w:t>
            </w:r>
            <w:r>
              <w:rPr>
                <w:b/>
                <w:bCs/>
                <w:spacing w:val="-9"/>
                <w:sz w:val="24"/>
                <w:szCs w:val="24"/>
              </w:rPr>
              <w:t>、施工营地</w:t>
            </w:r>
          </w:p>
          <w:p w14:paraId="0D8293DE">
            <w:pPr>
              <w:pStyle w:val="6"/>
              <w:spacing w:before="183" w:line="359" w:lineRule="auto"/>
              <w:ind w:left="103" w:right="103" w:firstLine="480"/>
              <w:jc w:val="both"/>
              <w:rPr>
                <w:sz w:val="24"/>
                <w:szCs w:val="24"/>
              </w:rPr>
            </w:pPr>
            <w:r>
              <w:rPr>
                <w:spacing w:val="-2"/>
                <w:sz w:val="24"/>
                <w:szCs w:val="24"/>
              </w:rPr>
              <w:t>本项目变电站设置</w:t>
            </w:r>
            <w:r>
              <w:rPr>
                <w:spacing w:val="-20"/>
                <w:sz w:val="24"/>
                <w:szCs w:val="24"/>
              </w:rPr>
              <w:t xml:space="preserve"> </w:t>
            </w:r>
            <w:r>
              <w:rPr>
                <w:rFonts w:ascii="Times New Roman" w:hAnsi="Times New Roman" w:eastAsia="Times New Roman" w:cs="Times New Roman"/>
                <w:spacing w:val="-2"/>
                <w:sz w:val="24"/>
                <w:szCs w:val="24"/>
              </w:rPr>
              <w:t xml:space="preserve">1 </w:t>
            </w:r>
            <w:r>
              <w:rPr>
                <w:spacing w:val="-2"/>
                <w:sz w:val="24"/>
                <w:szCs w:val="24"/>
              </w:rPr>
              <w:t>个施工营地和</w:t>
            </w:r>
            <w:r>
              <w:rPr>
                <w:spacing w:val="-29"/>
                <w:sz w:val="24"/>
                <w:szCs w:val="24"/>
              </w:rPr>
              <w:t xml:space="preserve"> </w:t>
            </w:r>
            <w:r>
              <w:rPr>
                <w:rFonts w:ascii="Times New Roman" w:hAnsi="Times New Roman" w:eastAsia="Times New Roman" w:cs="Times New Roman"/>
                <w:spacing w:val="-2"/>
                <w:sz w:val="24"/>
                <w:szCs w:val="24"/>
              </w:rPr>
              <w:t xml:space="preserve">1 </w:t>
            </w:r>
            <w:r>
              <w:rPr>
                <w:spacing w:val="-2"/>
                <w:sz w:val="24"/>
                <w:szCs w:val="24"/>
              </w:rPr>
              <w:t>个旱厕，变电站施工营地主要用于</w:t>
            </w:r>
            <w:r>
              <w:rPr>
                <w:sz w:val="24"/>
                <w:szCs w:val="24"/>
              </w:rPr>
              <w:t>堆放施工材料，施工营地内设置堆料场，并用篷布进行遮盖，施工人员不在</w:t>
            </w:r>
            <w:r>
              <w:rPr>
                <w:spacing w:val="-1"/>
                <w:sz w:val="24"/>
                <w:szCs w:val="24"/>
              </w:rPr>
              <w:t>变电站施工营地内食宿。</w:t>
            </w:r>
          </w:p>
          <w:p w14:paraId="282B5B7D">
            <w:pPr>
              <w:pStyle w:val="6"/>
              <w:spacing w:before="3" w:line="358" w:lineRule="auto"/>
              <w:ind w:left="105" w:right="103" w:firstLine="479"/>
              <w:jc w:val="both"/>
              <w:rPr>
                <w:sz w:val="24"/>
                <w:szCs w:val="24"/>
              </w:rPr>
            </w:pPr>
            <w:r>
              <w:rPr>
                <w:sz w:val="24"/>
                <w:szCs w:val="24"/>
              </w:rPr>
              <w:t>本项目输电线路施工点分散，每个施工点需要堆放的材料不多，输电线路施工人员生活依托线路沿线村庄居民生活设施，因此，输电线路不单独另</w:t>
            </w:r>
            <w:r>
              <w:rPr>
                <w:spacing w:val="-2"/>
                <w:sz w:val="24"/>
                <w:szCs w:val="24"/>
              </w:rPr>
              <w:t>设堆料场和施工营地。</w:t>
            </w:r>
          </w:p>
          <w:p w14:paraId="448FEAE9">
            <w:pPr>
              <w:pStyle w:val="6"/>
              <w:spacing w:line="220" w:lineRule="auto"/>
              <w:ind w:left="579"/>
              <w:rPr>
                <w:sz w:val="24"/>
                <w:szCs w:val="24"/>
              </w:rPr>
            </w:pPr>
            <w:r>
              <w:rPr>
                <w:rFonts w:ascii="Times New Roman" w:hAnsi="Times New Roman" w:eastAsia="Times New Roman" w:cs="Times New Roman"/>
                <w:b/>
                <w:bCs/>
                <w:spacing w:val="-10"/>
                <w:sz w:val="24"/>
                <w:szCs w:val="24"/>
              </w:rPr>
              <w:t>2</w:t>
            </w:r>
            <w:r>
              <w:rPr>
                <w:rFonts w:ascii="Times New Roman" w:hAnsi="Times New Roman" w:eastAsia="Times New Roman" w:cs="Times New Roman"/>
                <w:b/>
                <w:bCs/>
                <w:spacing w:val="-34"/>
                <w:sz w:val="24"/>
                <w:szCs w:val="24"/>
              </w:rPr>
              <w:t xml:space="preserve"> </w:t>
            </w:r>
            <w:r>
              <w:rPr>
                <w:b/>
                <w:bCs/>
                <w:spacing w:val="-10"/>
                <w:sz w:val="24"/>
                <w:szCs w:val="24"/>
              </w:rPr>
              <w:t>、料场</w:t>
            </w:r>
          </w:p>
          <w:p w14:paraId="649F566F">
            <w:pPr>
              <w:pStyle w:val="6"/>
              <w:spacing w:before="181" w:line="359" w:lineRule="auto"/>
              <w:ind w:left="102" w:right="103" w:firstLine="481"/>
              <w:jc w:val="both"/>
              <w:rPr>
                <w:sz w:val="24"/>
                <w:szCs w:val="24"/>
              </w:rPr>
            </w:pPr>
            <w:r>
              <w:rPr>
                <w:sz w:val="24"/>
                <w:szCs w:val="24"/>
              </w:rPr>
              <w:t>本工程施工过程中使用的混凝土粗、细骨料及块石料从所在镇区合法料场购买，施工现场不设置砂石料加工系统；本项目变电站施工使用商品混凝</w:t>
            </w:r>
            <w:r>
              <w:rPr>
                <w:spacing w:val="-1"/>
                <w:sz w:val="24"/>
                <w:szCs w:val="24"/>
              </w:rPr>
              <w:t>土，线路塔基施工时使用移动式搅拌站。</w:t>
            </w:r>
          </w:p>
          <w:p w14:paraId="49ADE807">
            <w:pPr>
              <w:pStyle w:val="6"/>
              <w:spacing w:before="1" w:line="219" w:lineRule="auto"/>
              <w:ind w:left="577"/>
              <w:rPr>
                <w:sz w:val="24"/>
                <w:szCs w:val="24"/>
              </w:rPr>
            </w:pPr>
            <w:r>
              <w:rPr>
                <w:rFonts w:ascii="Times New Roman" w:hAnsi="Times New Roman" w:eastAsia="Times New Roman" w:cs="Times New Roman"/>
                <w:b/>
                <w:bCs/>
                <w:spacing w:val="-8"/>
                <w:sz w:val="24"/>
                <w:szCs w:val="24"/>
              </w:rPr>
              <w:t>3</w:t>
            </w:r>
            <w:r>
              <w:rPr>
                <w:rFonts w:ascii="Times New Roman" w:hAnsi="Times New Roman" w:eastAsia="Times New Roman" w:cs="Times New Roman"/>
                <w:b/>
                <w:bCs/>
                <w:spacing w:val="-33"/>
                <w:sz w:val="24"/>
                <w:szCs w:val="24"/>
              </w:rPr>
              <w:t xml:space="preserve"> </w:t>
            </w:r>
            <w:r>
              <w:rPr>
                <w:b/>
                <w:bCs/>
                <w:spacing w:val="-8"/>
                <w:sz w:val="24"/>
                <w:szCs w:val="24"/>
              </w:rPr>
              <w:t>、弃渣场</w:t>
            </w:r>
          </w:p>
          <w:p w14:paraId="4E39BE90">
            <w:pPr>
              <w:pStyle w:val="6"/>
              <w:spacing w:before="184" w:line="359" w:lineRule="auto"/>
              <w:ind w:left="105" w:right="112" w:firstLine="478"/>
              <w:jc w:val="both"/>
              <w:rPr>
                <w:sz w:val="24"/>
                <w:szCs w:val="24"/>
              </w:rPr>
            </w:pPr>
            <w:r>
              <w:rPr>
                <w:spacing w:val="-1"/>
                <w:sz w:val="24"/>
                <w:szCs w:val="24"/>
              </w:rPr>
              <w:t>根据《</w:t>
            </w:r>
            <w:r>
              <w:rPr>
                <w:rFonts w:ascii="Times New Roman" w:hAnsi="Times New Roman" w:eastAsia="Times New Roman" w:cs="Times New Roman"/>
                <w:spacing w:val="-1"/>
                <w:sz w:val="24"/>
                <w:szCs w:val="24"/>
              </w:rPr>
              <w:t>110kV</w:t>
            </w:r>
            <w:r>
              <w:rPr>
                <w:spacing w:val="-1"/>
                <w:sz w:val="24"/>
                <w:szCs w:val="24"/>
              </w:rPr>
              <w:t>松山输变电工程水土保持方案报告表》，本工程站址及线</w:t>
            </w:r>
            <w:r>
              <w:rPr>
                <w:spacing w:val="-3"/>
                <w:sz w:val="24"/>
                <w:szCs w:val="24"/>
              </w:rPr>
              <w:t>路塔基土石方开挖总量为</w:t>
            </w:r>
            <w:r>
              <w:rPr>
                <w:rFonts w:ascii="Times New Roman" w:hAnsi="Times New Roman" w:eastAsia="Times New Roman" w:cs="Times New Roman"/>
                <w:spacing w:val="-3"/>
                <w:sz w:val="24"/>
                <w:szCs w:val="24"/>
              </w:rPr>
              <w:t>15500m</w:t>
            </w:r>
            <w:r>
              <w:rPr>
                <w:rFonts w:ascii="Times New Roman" w:hAnsi="Times New Roman" w:eastAsia="Times New Roman" w:cs="Times New Roman"/>
                <w:spacing w:val="-3"/>
                <w:position w:val="8"/>
                <w:sz w:val="15"/>
                <w:szCs w:val="15"/>
              </w:rPr>
              <w:t>3</w:t>
            </w:r>
            <w:r>
              <w:rPr>
                <w:rFonts w:ascii="Times New Roman" w:hAnsi="Times New Roman" w:eastAsia="Times New Roman" w:cs="Times New Roman"/>
                <w:spacing w:val="4"/>
                <w:position w:val="8"/>
                <w:sz w:val="15"/>
                <w:szCs w:val="15"/>
              </w:rPr>
              <w:t xml:space="preserve"> </w:t>
            </w:r>
            <w:r>
              <w:rPr>
                <w:spacing w:val="-3"/>
                <w:sz w:val="24"/>
                <w:szCs w:val="24"/>
              </w:rPr>
              <w:t>，站址及塔基回填</w:t>
            </w:r>
            <w:r>
              <w:rPr>
                <w:rFonts w:ascii="Times New Roman" w:hAnsi="Times New Roman" w:eastAsia="Times New Roman" w:cs="Times New Roman"/>
                <w:spacing w:val="-3"/>
                <w:sz w:val="24"/>
                <w:szCs w:val="24"/>
              </w:rPr>
              <w:t>15500m</w:t>
            </w:r>
            <w:r>
              <w:rPr>
                <w:rFonts w:ascii="Times New Roman" w:hAnsi="Times New Roman" w:eastAsia="Times New Roman" w:cs="Times New Roman"/>
                <w:spacing w:val="-3"/>
                <w:position w:val="8"/>
                <w:sz w:val="15"/>
                <w:szCs w:val="15"/>
              </w:rPr>
              <w:t>3</w:t>
            </w:r>
            <w:r>
              <w:rPr>
                <w:rFonts w:ascii="Times New Roman" w:hAnsi="Times New Roman" w:eastAsia="Times New Roman" w:cs="Times New Roman"/>
                <w:spacing w:val="-7"/>
                <w:position w:val="8"/>
                <w:sz w:val="15"/>
                <w:szCs w:val="15"/>
              </w:rPr>
              <w:t xml:space="preserve"> </w:t>
            </w:r>
            <w:r>
              <w:rPr>
                <w:spacing w:val="-3"/>
                <w:sz w:val="24"/>
                <w:szCs w:val="24"/>
              </w:rPr>
              <w:t>，无弃土产生。</w:t>
            </w:r>
            <w:r>
              <w:rPr>
                <w:sz w:val="24"/>
                <w:szCs w:val="24"/>
              </w:rPr>
              <w:t>项目产生的表土用于施工结束后临时施工场地</w:t>
            </w:r>
            <w:r>
              <w:rPr>
                <w:spacing w:val="-1"/>
                <w:sz w:val="24"/>
                <w:szCs w:val="24"/>
              </w:rPr>
              <w:t>生态恢复使用，其余土石方用</w:t>
            </w:r>
            <w:r>
              <w:rPr>
                <w:sz w:val="24"/>
                <w:szCs w:val="24"/>
              </w:rPr>
              <w:t>于站址、塔基回填、塔基周边护坡使用，无永</w:t>
            </w:r>
            <w:r>
              <w:rPr>
                <w:spacing w:val="-1"/>
                <w:sz w:val="24"/>
                <w:szCs w:val="24"/>
              </w:rPr>
              <w:t>久弃渣产生，不设置取土场和</w:t>
            </w:r>
            <w:r>
              <w:rPr>
                <w:spacing w:val="-2"/>
                <w:sz w:val="24"/>
                <w:szCs w:val="24"/>
              </w:rPr>
              <w:t>永久弃渣场。</w:t>
            </w:r>
          </w:p>
          <w:p w14:paraId="498CF1A8">
            <w:pPr>
              <w:pStyle w:val="6"/>
              <w:spacing w:line="217" w:lineRule="auto"/>
              <w:ind w:left="582"/>
              <w:rPr>
                <w:sz w:val="24"/>
                <w:szCs w:val="24"/>
              </w:rPr>
            </w:pPr>
            <w:r>
              <w:rPr>
                <w:spacing w:val="-3"/>
                <w:sz w:val="24"/>
                <w:szCs w:val="24"/>
              </w:rPr>
              <w:t>①变电站</w:t>
            </w:r>
          </w:p>
          <w:p w14:paraId="51FE9606">
            <w:pPr>
              <w:pStyle w:val="6"/>
              <w:spacing w:before="183" w:line="219" w:lineRule="auto"/>
              <w:ind w:left="584"/>
              <w:rPr>
                <w:sz w:val="24"/>
                <w:szCs w:val="24"/>
              </w:rPr>
            </w:pPr>
            <w:r>
              <w:rPr>
                <w:spacing w:val="-2"/>
                <w:sz w:val="24"/>
                <w:szCs w:val="24"/>
              </w:rPr>
              <w:t>本工程变电站占地面积为</w:t>
            </w:r>
            <w:r>
              <w:rPr>
                <w:spacing w:val="-32"/>
                <w:sz w:val="24"/>
                <w:szCs w:val="24"/>
              </w:rPr>
              <w:t xml:space="preserve"> </w:t>
            </w:r>
            <w:r>
              <w:rPr>
                <w:rFonts w:ascii="Times New Roman" w:hAnsi="Times New Roman" w:eastAsia="Times New Roman" w:cs="Times New Roman"/>
                <w:spacing w:val="-2"/>
                <w:sz w:val="24"/>
                <w:szCs w:val="24"/>
              </w:rPr>
              <w:t>1.087hm</w:t>
            </w:r>
            <w:r>
              <w:rPr>
                <w:rFonts w:ascii="Times New Roman" w:hAnsi="Times New Roman" w:eastAsia="Times New Roman" w:cs="Times New Roman"/>
                <w:spacing w:val="-2"/>
                <w:position w:val="8"/>
                <w:sz w:val="15"/>
                <w:szCs w:val="15"/>
              </w:rPr>
              <w:t>2</w:t>
            </w:r>
            <w:r>
              <w:rPr>
                <w:rFonts w:ascii="Times New Roman" w:hAnsi="Times New Roman" w:eastAsia="Times New Roman" w:cs="Times New Roman"/>
                <w:spacing w:val="-7"/>
                <w:position w:val="8"/>
                <w:sz w:val="15"/>
                <w:szCs w:val="15"/>
              </w:rPr>
              <w:t xml:space="preserve"> </w:t>
            </w:r>
            <w:r>
              <w:rPr>
                <w:spacing w:val="-2"/>
                <w:sz w:val="24"/>
                <w:szCs w:val="24"/>
              </w:rPr>
              <w:t>，施工期场地平整和构筑</w:t>
            </w:r>
            <w:r>
              <w:rPr>
                <w:spacing w:val="-3"/>
                <w:sz w:val="24"/>
                <w:szCs w:val="24"/>
              </w:rPr>
              <w:t>物基础开挖</w:t>
            </w:r>
          </w:p>
        </w:tc>
      </w:tr>
    </w:tbl>
    <w:p w14:paraId="49982EB4">
      <w:pPr>
        <w:rPr>
          <w:rFonts w:ascii="Arial"/>
          <w:sz w:val="21"/>
        </w:rPr>
      </w:pPr>
    </w:p>
    <w:p w14:paraId="160424E6">
      <w:pPr>
        <w:rPr>
          <w:rFonts w:ascii="Arial" w:hAnsi="Arial" w:eastAsia="Arial" w:cs="Arial"/>
          <w:sz w:val="21"/>
          <w:szCs w:val="21"/>
        </w:rPr>
        <w:sectPr>
          <w:footerReference r:id="rId56" w:type="default"/>
          <w:pgSz w:w="11907" w:h="16840"/>
          <w:pgMar w:top="400" w:right="1684" w:bottom="1240" w:left="1683" w:header="0" w:footer="1077" w:gutter="0"/>
          <w:cols w:space="720" w:num="1"/>
        </w:sectPr>
      </w:pPr>
    </w:p>
    <w:p w14:paraId="7B51AF84">
      <w:pPr>
        <w:spacing w:before="19"/>
      </w:pPr>
    </w:p>
    <w:p w14:paraId="206D2D6F">
      <w:pPr>
        <w:spacing w:before="19"/>
      </w:pPr>
    </w:p>
    <w:p w14:paraId="35BA8771">
      <w:pPr>
        <w:spacing w:before="18"/>
      </w:pPr>
    </w:p>
    <w:p w14:paraId="206234BD">
      <w:pPr>
        <w:spacing w:before="18"/>
      </w:pPr>
    </w:p>
    <w:tbl>
      <w:tblPr>
        <w:tblStyle w:val="5"/>
        <w:tblW w:w="85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5"/>
        <w:gridCol w:w="8149"/>
      </w:tblGrid>
      <w:tr w14:paraId="4A616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46" w:hRule="atLeast"/>
        </w:trPr>
        <w:tc>
          <w:tcPr>
            <w:tcW w:w="375" w:type="dxa"/>
            <w:vAlign w:val="top"/>
          </w:tcPr>
          <w:p w14:paraId="4BC0881A">
            <w:pPr>
              <w:rPr>
                <w:rFonts w:ascii="Arial"/>
                <w:sz w:val="21"/>
              </w:rPr>
            </w:pPr>
          </w:p>
        </w:tc>
        <w:tc>
          <w:tcPr>
            <w:tcW w:w="8149" w:type="dxa"/>
            <w:vAlign w:val="top"/>
          </w:tcPr>
          <w:p w14:paraId="5B9510C1">
            <w:pPr>
              <w:pStyle w:val="6"/>
              <w:spacing w:before="40" w:line="359" w:lineRule="auto"/>
              <w:ind w:left="103" w:right="103" w:hanging="1"/>
              <w:jc w:val="both"/>
              <w:rPr>
                <w:sz w:val="24"/>
                <w:szCs w:val="24"/>
              </w:rPr>
            </w:pPr>
            <w:r>
              <w:rPr>
                <w:sz w:val="24"/>
                <w:szCs w:val="24"/>
              </w:rPr>
              <w:t>会产生一定量的土石方；变电站施工弃土主要为表层耕植土及岩石，表层耕植土用作附近荒地绿化及耕植用土，岩石回用于构筑物基础石料回填。施工</w:t>
            </w:r>
            <w:r>
              <w:rPr>
                <w:spacing w:val="-1"/>
                <w:sz w:val="24"/>
                <w:szCs w:val="24"/>
              </w:rPr>
              <w:t>结束后及时对临时弃土场占地进行植被绿化。</w:t>
            </w:r>
          </w:p>
          <w:p w14:paraId="3D7A280C">
            <w:pPr>
              <w:pStyle w:val="6"/>
              <w:spacing w:line="217" w:lineRule="auto"/>
              <w:ind w:left="581"/>
              <w:rPr>
                <w:sz w:val="24"/>
                <w:szCs w:val="24"/>
              </w:rPr>
            </w:pPr>
            <w:r>
              <w:rPr>
                <w:spacing w:val="-2"/>
                <w:sz w:val="24"/>
                <w:szCs w:val="24"/>
              </w:rPr>
              <w:t>②输电线路</w:t>
            </w:r>
          </w:p>
          <w:p w14:paraId="6E9A2288">
            <w:pPr>
              <w:pStyle w:val="6"/>
              <w:spacing w:before="186" w:line="359" w:lineRule="auto"/>
              <w:ind w:left="102" w:right="103" w:firstLine="481"/>
              <w:rPr>
                <w:sz w:val="24"/>
                <w:szCs w:val="24"/>
              </w:rPr>
            </w:pPr>
            <w:r>
              <w:rPr>
                <w:sz w:val="24"/>
                <w:szCs w:val="24"/>
              </w:rPr>
              <w:t>本项目输电线路建设开挖区主要是杆塔基础，开挖区呈点状分布，开挖面积较小，产生的开挖土石方量较小，因此，输电线路施工期不设弃渣场，开挖土石方临时堆存在塔基开挖处，等塔基浇筑结束后及时填筑在塔基周围</w:t>
            </w:r>
            <w:r>
              <w:rPr>
                <w:spacing w:val="-1"/>
                <w:sz w:val="24"/>
                <w:szCs w:val="24"/>
              </w:rPr>
              <w:t>低洼处，或用作塔基护坡；塔基的施工为逐个开挖回填。</w:t>
            </w:r>
          </w:p>
          <w:p w14:paraId="27240F23">
            <w:pPr>
              <w:pStyle w:val="6"/>
              <w:spacing w:line="219" w:lineRule="auto"/>
              <w:ind w:left="579"/>
              <w:rPr>
                <w:sz w:val="24"/>
                <w:szCs w:val="24"/>
              </w:rPr>
            </w:pPr>
            <w:r>
              <w:rPr>
                <w:rFonts w:ascii="Times New Roman" w:hAnsi="Times New Roman" w:eastAsia="Times New Roman" w:cs="Times New Roman"/>
                <w:b/>
                <w:bCs/>
                <w:spacing w:val="-6"/>
                <w:sz w:val="24"/>
                <w:szCs w:val="24"/>
              </w:rPr>
              <w:t>4</w:t>
            </w:r>
            <w:r>
              <w:rPr>
                <w:rFonts w:ascii="Times New Roman" w:hAnsi="Times New Roman" w:eastAsia="Times New Roman" w:cs="Times New Roman"/>
                <w:b/>
                <w:bCs/>
                <w:spacing w:val="-32"/>
                <w:sz w:val="24"/>
                <w:szCs w:val="24"/>
              </w:rPr>
              <w:t xml:space="preserve"> </w:t>
            </w:r>
            <w:r>
              <w:rPr>
                <w:b/>
                <w:bCs/>
                <w:spacing w:val="-6"/>
                <w:sz w:val="24"/>
                <w:szCs w:val="24"/>
              </w:rPr>
              <w:t>、临时施工场地</w:t>
            </w:r>
          </w:p>
          <w:p w14:paraId="7A84ACBD">
            <w:pPr>
              <w:pStyle w:val="6"/>
              <w:spacing w:before="180" w:line="359" w:lineRule="auto"/>
              <w:ind w:left="131" w:right="103" w:firstLine="452"/>
              <w:rPr>
                <w:sz w:val="24"/>
                <w:szCs w:val="24"/>
              </w:rPr>
            </w:pPr>
            <w:r>
              <w:rPr>
                <w:sz w:val="24"/>
                <w:szCs w:val="24"/>
              </w:rPr>
              <w:t>本工程变电站施工均在变电站征地范围内进行，不设临时施工场地。变</w:t>
            </w:r>
            <w:r>
              <w:rPr>
                <w:spacing w:val="-2"/>
                <w:sz w:val="24"/>
                <w:szCs w:val="24"/>
              </w:rPr>
              <w:t>电站施工临时堆土场设于变电站占地范围内。</w:t>
            </w:r>
          </w:p>
          <w:p w14:paraId="6AF35717">
            <w:pPr>
              <w:pStyle w:val="6"/>
              <w:spacing w:line="359" w:lineRule="auto"/>
              <w:ind w:left="103" w:right="23" w:firstLine="480"/>
              <w:rPr>
                <w:sz w:val="24"/>
                <w:szCs w:val="24"/>
              </w:rPr>
            </w:pPr>
            <w:r>
              <w:rPr>
                <w:spacing w:val="-4"/>
                <w:sz w:val="24"/>
                <w:szCs w:val="24"/>
              </w:rPr>
              <w:t>塔基临时施工场地：本工程施工期设置临时塔基施工区</w:t>
            </w:r>
            <w:r>
              <w:rPr>
                <w:spacing w:val="-56"/>
                <w:sz w:val="24"/>
                <w:szCs w:val="24"/>
              </w:rPr>
              <w:t xml:space="preserve"> </w:t>
            </w:r>
            <w:r>
              <w:rPr>
                <w:rFonts w:ascii="Times New Roman" w:hAnsi="Times New Roman" w:eastAsia="Times New Roman" w:cs="Times New Roman"/>
                <w:spacing w:val="-4"/>
                <w:sz w:val="24"/>
                <w:szCs w:val="24"/>
              </w:rPr>
              <w:t>45</w:t>
            </w:r>
            <w:r>
              <w:rPr>
                <w:rFonts w:ascii="Times New Roman" w:hAnsi="Times New Roman" w:eastAsia="Times New Roman" w:cs="Times New Roman"/>
                <w:spacing w:val="14"/>
                <w:sz w:val="24"/>
                <w:szCs w:val="24"/>
              </w:rPr>
              <w:t xml:space="preserve"> </w:t>
            </w:r>
            <w:r>
              <w:rPr>
                <w:spacing w:val="-4"/>
                <w:sz w:val="24"/>
                <w:szCs w:val="24"/>
              </w:rPr>
              <w:t>处，</w:t>
            </w:r>
            <w:r>
              <w:rPr>
                <w:spacing w:val="-5"/>
                <w:sz w:val="24"/>
                <w:szCs w:val="24"/>
              </w:rPr>
              <w:t>位于各塔基点位处；塔基施工时的临时堆土场位于塔基临时施工场地内，不另外占地。</w:t>
            </w:r>
          </w:p>
          <w:p w14:paraId="5BFE13D4">
            <w:pPr>
              <w:pStyle w:val="6"/>
              <w:spacing w:before="1" w:line="359" w:lineRule="auto"/>
              <w:ind w:left="103" w:right="41" w:firstLine="493"/>
              <w:rPr>
                <w:sz w:val="24"/>
                <w:szCs w:val="24"/>
              </w:rPr>
            </w:pPr>
            <w:r>
              <w:rPr>
                <w:spacing w:val="-6"/>
                <w:sz w:val="24"/>
                <w:szCs w:val="24"/>
              </w:rPr>
              <w:t>临时牵张场：选择地形平缓的场地进行施工，尽量避免占用林地及耕地，</w:t>
            </w:r>
            <w:r>
              <w:rPr>
                <w:spacing w:val="-2"/>
                <w:sz w:val="24"/>
                <w:szCs w:val="24"/>
              </w:rPr>
              <w:t>使用完毕后恢复原始功能，共设置</w:t>
            </w:r>
            <w:r>
              <w:rPr>
                <w:spacing w:val="-48"/>
                <w:sz w:val="24"/>
                <w:szCs w:val="24"/>
              </w:rPr>
              <w:t xml:space="preserve"> </w:t>
            </w:r>
            <w:r>
              <w:rPr>
                <w:rFonts w:ascii="Times New Roman" w:hAnsi="Times New Roman" w:eastAsia="Times New Roman" w:cs="Times New Roman"/>
                <w:spacing w:val="-2"/>
                <w:sz w:val="24"/>
                <w:szCs w:val="24"/>
              </w:rPr>
              <w:t xml:space="preserve">5 </w:t>
            </w:r>
            <w:r>
              <w:rPr>
                <w:spacing w:val="-2"/>
                <w:sz w:val="24"/>
                <w:szCs w:val="24"/>
              </w:rPr>
              <w:t>处牵</w:t>
            </w:r>
            <w:r>
              <w:rPr>
                <w:spacing w:val="-3"/>
                <w:sz w:val="24"/>
                <w:szCs w:val="24"/>
              </w:rPr>
              <w:t>张场（牵张场位置见附图</w:t>
            </w:r>
            <w:r>
              <w:rPr>
                <w:spacing w:val="-32"/>
                <w:sz w:val="24"/>
                <w:szCs w:val="24"/>
              </w:rPr>
              <w:t xml:space="preserve"> </w:t>
            </w:r>
            <w:r>
              <w:rPr>
                <w:rFonts w:ascii="Times New Roman" w:hAnsi="Times New Roman" w:eastAsia="Times New Roman" w:cs="Times New Roman"/>
                <w:spacing w:val="-3"/>
                <w:sz w:val="24"/>
                <w:szCs w:val="24"/>
              </w:rPr>
              <w:t>16</w:t>
            </w:r>
            <w:r>
              <w:rPr>
                <w:spacing w:val="-7"/>
                <w:sz w:val="24"/>
                <w:szCs w:val="24"/>
              </w:rPr>
              <w:t>），</w:t>
            </w:r>
            <w:r>
              <w:rPr>
                <w:spacing w:val="-3"/>
                <w:sz w:val="24"/>
                <w:szCs w:val="24"/>
              </w:rPr>
              <w:t>共</w:t>
            </w:r>
            <w:r>
              <w:rPr>
                <w:sz w:val="24"/>
                <w:szCs w:val="24"/>
              </w:rPr>
              <w:t>需临时占压及扰动地表面积约</w:t>
            </w:r>
            <w:r>
              <w:rPr>
                <w:spacing w:val="-50"/>
                <w:sz w:val="24"/>
                <w:szCs w:val="24"/>
              </w:rPr>
              <w:t xml:space="preserve"> </w:t>
            </w:r>
            <w:r>
              <w:rPr>
                <w:rFonts w:ascii="Times New Roman" w:hAnsi="Times New Roman" w:eastAsia="Times New Roman" w:cs="Times New Roman"/>
                <w:sz w:val="24"/>
                <w:szCs w:val="24"/>
              </w:rPr>
              <w:t>300m</w:t>
            </w:r>
            <w:r>
              <w:rPr>
                <w:rFonts w:ascii="Times New Roman" w:hAnsi="Times New Roman" w:eastAsia="Times New Roman" w:cs="Times New Roman"/>
                <w:position w:val="8"/>
                <w:sz w:val="15"/>
                <w:szCs w:val="15"/>
              </w:rPr>
              <w:t xml:space="preserve">2 </w:t>
            </w:r>
            <w:r>
              <w:rPr>
                <w:sz w:val="24"/>
                <w:szCs w:val="24"/>
              </w:rPr>
              <w:t>。张力放线后尽快进行架线，通</w:t>
            </w:r>
            <w:r>
              <w:rPr>
                <w:spacing w:val="-1"/>
                <w:sz w:val="24"/>
                <w:szCs w:val="24"/>
              </w:rPr>
              <w:t>常以张</w:t>
            </w:r>
            <w:r>
              <w:rPr>
                <w:sz w:val="24"/>
                <w:szCs w:val="24"/>
              </w:rPr>
              <w:t>力放线施工阶段做紧线段，以直线塔为紧线塔，紧线完毕后尽快进行附件安</w:t>
            </w:r>
            <w:r>
              <w:rPr>
                <w:spacing w:val="-1"/>
                <w:sz w:val="24"/>
                <w:szCs w:val="24"/>
              </w:rPr>
              <w:t>装，施工场地施工结束后进行恢复治理。</w:t>
            </w:r>
          </w:p>
          <w:p w14:paraId="71227CA3">
            <w:pPr>
              <w:pStyle w:val="6"/>
              <w:spacing w:before="1" w:line="359" w:lineRule="auto"/>
              <w:ind w:left="104" w:right="103" w:firstLine="492"/>
              <w:jc w:val="both"/>
              <w:rPr>
                <w:sz w:val="24"/>
                <w:szCs w:val="24"/>
              </w:rPr>
            </w:pPr>
            <w:r>
              <w:rPr>
                <w:spacing w:val="1"/>
                <w:sz w:val="24"/>
                <w:szCs w:val="24"/>
              </w:rPr>
              <w:t>临时跨越施工场地：本工程线路在跨越</w:t>
            </w:r>
            <w:r>
              <w:rPr>
                <w:spacing w:val="-32"/>
                <w:sz w:val="24"/>
                <w:szCs w:val="24"/>
              </w:rPr>
              <w:t xml:space="preserve"> </w:t>
            </w:r>
            <w:r>
              <w:rPr>
                <w:rFonts w:ascii="Times New Roman" w:hAnsi="Times New Roman" w:eastAsia="Times New Roman" w:cs="Times New Roman"/>
                <w:spacing w:val="1"/>
                <w:sz w:val="24"/>
                <w:szCs w:val="24"/>
              </w:rPr>
              <w:t>35</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金瑞达瓷业线、滇中环线</w:t>
            </w:r>
            <w:r>
              <w:rPr>
                <w:spacing w:val="-2"/>
                <w:sz w:val="24"/>
                <w:szCs w:val="24"/>
              </w:rPr>
              <w:t>高速、兰马线（</w:t>
            </w:r>
            <w:r>
              <w:rPr>
                <w:rFonts w:ascii="Times New Roman" w:hAnsi="Times New Roman" w:eastAsia="Times New Roman" w:cs="Times New Roman"/>
                <w:spacing w:val="-2"/>
                <w:sz w:val="24"/>
                <w:szCs w:val="24"/>
              </w:rPr>
              <w:t>G320</w:t>
            </w:r>
            <w:r>
              <w:rPr>
                <w:rFonts w:ascii="Times New Roman" w:hAnsi="Times New Roman" w:eastAsia="Times New Roman" w:cs="Times New Roman"/>
                <w:spacing w:val="33"/>
                <w:sz w:val="24"/>
                <w:szCs w:val="24"/>
              </w:rPr>
              <w:t xml:space="preserve"> </w:t>
            </w:r>
            <w:r>
              <w:rPr>
                <w:spacing w:val="-2"/>
                <w:sz w:val="24"/>
                <w:szCs w:val="24"/>
              </w:rPr>
              <w:t>国道）时，需布置双</w:t>
            </w:r>
            <w:r>
              <w:rPr>
                <w:spacing w:val="-3"/>
                <w:sz w:val="24"/>
                <w:szCs w:val="24"/>
              </w:rPr>
              <w:t>侧穿越场，共布置跨越施工场地</w:t>
            </w:r>
            <w:r>
              <w:rPr>
                <w:spacing w:val="-56"/>
                <w:sz w:val="24"/>
                <w:szCs w:val="24"/>
              </w:rPr>
              <w:t xml:space="preserve"> </w:t>
            </w:r>
            <w:r>
              <w:rPr>
                <w:rFonts w:ascii="Times New Roman" w:hAnsi="Times New Roman" w:eastAsia="Times New Roman" w:cs="Times New Roman"/>
                <w:spacing w:val="-3"/>
                <w:sz w:val="24"/>
                <w:szCs w:val="24"/>
              </w:rPr>
              <w:t>4</w:t>
            </w:r>
            <w:r>
              <w:rPr>
                <w:sz w:val="24"/>
                <w:szCs w:val="24"/>
              </w:rPr>
              <w:t>处，跨越施工场地选择地形平缓的场地进行施工，共需临时占压及扰动地表</w:t>
            </w:r>
            <w:r>
              <w:rPr>
                <w:spacing w:val="-3"/>
                <w:sz w:val="24"/>
                <w:szCs w:val="24"/>
              </w:rPr>
              <w:t>面积</w:t>
            </w:r>
            <w:r>
              <w:rPr>
                <w:spacing w:val="-29"/>
                <w:sz w:val="24"/>
                <w:szCs w:val="24"/>
              </w:rPr>
              <w:t xml:space="preserve"> </w:t>
            </w:r>
            <w:r>
              <w:rPr>
                <w:rFonts w:ascii="Times New Roman" w:hAnsi="Times New Roman" w:eastAsia="Times New Roman" w:cs="Times New Roman"/>
                <w:spacing w:val="-3"/>
                <w:sz w:val="24"/>
                <w:szCs w:val="24"/>
              </w:rPr>
              <w:t>1400m</w:t>
            </w:r>
            <w:r>
              <w:rPr>
                <w:rFonts w:ascii="Times New Roman" w:hAnsi="Times New Roman" w:eastAsia="Times New Roman" w:cs="Times New Roman"/>
                <w:spacing w:val="-3"/>
                <w:position w:val="8"/>
                <w:sz w:val="15"/>
                <w:szCs w:val="15"/>
              </w:rPr>
              <w:t xml:space="preserve">2 </w:t>
            </w:r>
            <w:r>
              <w:rPr>
                <w:spacing w:val="-3"/>
                <w:sz w:val="24"/>
                <w:szCs w:val="24"/>
              </w:rPr>
              <w:t>。施工场地施工结束后进行恢复治理。</w:t>
            </w:r>
          </w:p>
          <w:p w14:paraId="04462443">
            <w:pPr>
              <w:pStyle w:val="6"/>
              <w:spacing w:before="1" w:line="220" w:lineRule="auto"/>
              <w:ind w:left="581"/>
              <w:rPr>
                <w:sz w:val="24"/>
                <w:szCs w:val="24"/>
              </w:rPr>
            </w:pPr>
            <w:r>
              <w:rPr>
                <w:rFonts w:ascii="Times New Roman" w:hAnsi="Times New Roman" w:eastAsia="Times New Roman" w:cs="Times New Roman"/>
                <w:b/>
                <w:bCs/>
                <w:spacing w:val="-8"/>
                <w:sz w:val="24"/>
                <w:szCs w:val="24"/>
              </w:rPr>
              <w:t>5</w:t>
            </w:r>
            <w:r>
              <w:rPr>
                <w:rFonts w:ascii="Times New Roman" w:hAnsi="Times New Roman" w:eastAsia="Times New Roman" w:cs="Times New Roman"/>
                <w:b/>
                <w:bCs/>
                <w:spacing w:val="-32"/>
                <w:sz w:val="24"/>
                <w:szCs w:val="24"/>
              </w:rPr>
              <w:t xml:space="preserve"> </w:t>
            </w:r>
            <w:r>
              <w:rPr>
                <w:b/>
                <w:bCs/>
                <w:spacing w:val="-8"/>
                <w:sz w:val="24"/>
                <w:szCs w:val="24"/>
              </w:rPr>
              <w:t>、施工交通</w:t>
            </w:r>
          </w:p>
          <w:p w14:paraId="613E3D46">
            <w:pPr>
              <w:pStyle w:val="6"/>
              <w:spacing w:before="181" w:line="359" w:lineRule="auto"/>
              <w:ind w:left="103" w:right="23" w:firstLine="498"/>
              <w:jc w:val="both"/>
              <w:rPr>
                <w:sz w:val="24"/>
                <w:szCs w:val="24"/>
              </w:rPr>
            </w:pPr>
            <w:r>
              <w:rPr>
                <w:rFonts w:ascii="Times New Roman" w:hAnsi="Times New Roman" w:eastAsia="Times New Roman" w:cs="Times New Roman"/>
                <w:sz w:val="24"/>
                <w:szCs w:val="24"/>
              </w:rPr>
              <w:t xml:space="preserve">110kV </w:t>
            </w:r>
            <w:r>
              <w:rPr>
                <w:sz w:val="24"/>
                <w:szCs w:val="24"/>
              </w:rPr>
              <w:t>松山变电站站址位于陆良县板桥镇，站址东侧为乡</w:t>
            </w:r>
            <w:r>
              <w:rPr>
                <w:spacing w:val="-1"/>
                <w:sz w:val="24"/>
                <w:szCs w:val="24"/>
              </w:rPr>
              <w:t>村公路，交通</w:t>
            </w:r>
            <w:r>
              <w:rPr>
                <w:spacing w:val="-5"/>
                <w:sz w:val="24"/>
                <w:szCs w:val="24"/>
              </w:rPr>
              <w:t>较为便利，满足对外运输需要。主变压器等大件设备运输沿铁路、高速公路、</w:t>
            </w:r>
            <w:r>
              <w:rPr>
                <w:sz w:val="24"/>
                <w:szCs w:val="24"/>
              </w:rPr>
              <w:t>乡村公路运输到达站址。因此，变电站施工不需要新建施工便道。项目场外</w:t>
            </w:r>
            <w:r>
              <w:rPr>
                <w:spacing w:val="-4"/>
                <w:sz w:val="24"/>
                <w:szCs w:val="24"/>
              </w:rPr>
              <w:t>交通运输图见附图</w:t>
            </w:r>
            <w:r>
              <w:rPr>
                <w:spacing w:val="-27"/>
                <w:sz w:val="24"/>
                <w:szCs w:val="24"/>
              </w:rPr>
              <w:t xml:space="preserve"> </w:t>
            </w:r>
            <w:r>
              <w:rPr>
                <w:rFonts w:ascii="Times New Roman" w:hAnsi="Times New Roman" w:eastAsia="Times New Roman" w:cs="Times New Roman"/>
                <w:spacing w:val="-4"/>
                <w:sz w:val="24"/>
                <w:szCs w:val="24"/>
              </w:rPr>
              <w:t>18</w:t>
            </w:r>
            <w:r>
              <w:rPr>
                <w:spacing w:val="-4"/>
                <w:sz w:val="24"/>
                <w:szCs w:val="24"/>
              </w:rPr>
              <w:t>。</w:t>
            </w:r>
          </w:p>
          <w:p w14:paraId="691D4768">
            <w:pPr>
              <w:pStyle w:val="6"/>
              <w:spacing w:before="1" w:line="342" w:lineRule="auto"/>
              <w:ind w:left="105" w:right="103" w:firstLine="477"/>
              <w:rPr>
                <w:sz w:val="24"/>
                <w:szCs w:val="24"/>
              </w:rPr>
            </w:pPr>
            <w:r>
              <w:rPr>
                <w:sz w:val="24"/>
                <w:szCs w:val="24"/>
              </w:rPr>
              <w:t>输电线路交通运输主要对铁塔、导线、导线牵引设备和塔基施工砂、石等设备和施工材料的运输，在施工过程中利用已有的乡村公路、机耕道、田</w:t>
            </w:r>
          </w:p>
        </w:tc>
      </w:tr>
    </w:tbl>
    <w:p w14:paraId="22A2D3BC">
      <w:pPr>
        <w:rPr>
          <w:rFonts w:ascii="Arial"/>
          <w:sz w:val="21"/>
        </w:rPr>
      </w:pPr>
    </w:p>
    <w:p w14:paraId="5082C17B">
      <w:pPr>
        <w:rPr>
          <w:rFonts w:ascii="Arial" w:hAnsi="Arial" w:eastAsia="Arial" w:cs="Arial"/>
          <w:sz w:val="21"/>
          <w:szCs w:val="21"/>
        </w:rPr>
        <w:sectPr>
          <w:footerReference r:id="rId57" w:type="default"/>
          <w:pgSz w:w="11907" w:h="16840"/>
          <w:pgMar w:top="400" w:right="1684" w:bottom="1240" w:left="1683" w:header="0" w:footer="1077" w:gutter="0"/>
          <w:cols w:space="720" w:num="1"/>
        </w:sectPr>
      </w:pPr>
    </w:p>
    <w:p w14:paraId="55F688EC">
      <w:pPr>
        <w:spacing w:before="19"/>
      </w:pPr>
    </w:p>
    <w:p w14:paraId="5DF811CB">
      <w:pPr>
        <w:spacing w:before="19"/>
      </w:pPr>
    </w:p>
    <w:p w14:paraId="65858209">
      <w:pPr>
        <w:spacing w:before="18"/>
      </w:pPr>
    </w:p>
    <w:p w14:paraId="1F9EE026">
      <w:pPr>
        <w:spacing w:before="18"/>
      </w:pPr>
    </w:p>
    <w:tbl>
      <w:tblPr>
        <w:tblStyle w:val="5"/>
        <w:tblW w:w="85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5"/>
        <w:gridCol w:w="8149"/>
      </w:tblGrid>
      <w:tr w14:paraId="318C6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79" w:hRule="atLeast"/>
        </w:trPr>
        <w:tc>
          <w:tcPr>
            <w:tcW w:w="375" w:type="dxa"/>
            <w:vAlign w:val="top"/>
          </w:tcPr>
          <w:p w14:paraId="36747583">
            <w:pPr>
              <w:rPr>
                <w:rFonts w:ascii="Arial"/>
                <w:sz w:val="21"/>
              </w:rPr>
            </w:pPr>
          </w:p>
        </w:tc>
        <w:tc>
          <w:tcPr>
            <w:tcW w:w="8149" w:type="dxa"/>
            <w:vAlign w:val="top"/>
          </w:tcPr>
          <w:p w14:paraId="21035C4A">
            <w:pPr>
              <w:pStyle w:val="6"/>
              <w:spacing w:before="41" w:line="359" w:lineRule="auto"/>
              <w:ind w:left="102" w:right="103" w:firstLine="19"/>
              <w:jc w:val="both"/>
              <w:rPr>
                <w:sz w:val="24"/>
                <w:szCs w:val="24"/>
              </w:rPr>
            </w:pPr>
            <w:r>
              <w:rPr>
                <w:sz w:val="24"/>
                <w:szCs w:val="24"/>
              </w:rPr>
              <w:t>间小路进行施工材料和设备的运送；对于运输</w:t>
            </w:r>
            <w:r>
              <w:rPr>
                <w:spacing w:val="-1"/>
                <w:sz w:val="24"/>
                <w:szCs w:val="24"/>
              </w:rPr>
              <w:t>车辆无法直接到达的塔基处，</w:t>
            </w:r>
            <w:r>
              <w:rPr>
                <w:sz w:val="24"/>
                <w:szCs w:val="24"/>
              </w:rPr>
              <w:t>采用运输车辆将施工材料、设备运输至塔基附近的村寨或道路，然后通过人工、马驮或简易运输将设备运至施工现场，不再修建施工便道。</w:t>
            </w:r>
            <w:r>
              <w:rPr>
                <w:rFonts w:ascii="Times New Roman" w:hAnsi="Times New Roman" w:eastAsia="Times New Roman" w:cs="Times New Roman"/>
                <w:sz w:val="24"/>
                <w:szCs w:val="24"/>
              </w:rPr>
              <w:t>220</w:t>
            </w:r>
            <w:r>
              <w:rPr>
                <w:rFonts w:ascii="Times New Roman" w:hAnsi="Times New Roman" w:eastAsia="Times New Roman" w:cs="Times New Roman"/>
                <w:spacing w:val="-1"/>
                <w:sz w:val="24"/>
                <w:szCs w:val="24"/>
              </w:rPr>
              <w:t>kV</w:t>
            </w:r>
            <w:r>
              <w:rPr>
                <w:rFonts w:ascii="Times New Roman" w:hAnsi="Times New Roman" w:eastAsia="Times New Roman" w:cs="Times New Roman"/>
                <w:spacing w:val="18"/>
                <w:sz w:val="24"/>
                <w:szCs w:val="24"/>
              </w:rPr>
              <w:t xml:space="preserve"> </w:t>
            </w:r>
            <w:r>
              <w:rPr>
                <w:spacing w:val="-1"/>
                <w:sz w:val="24"/>
                <w:szCs w:val="24"/>
              </w:rPr>
              <w:t>芳华</w:t>
            </w:r>
            <w:r>
              <w:rPr>
                <w:sz w:val="24"/>
                <w:szCs w:val="24"/>
              </w:rPr>
              <w:t>变间隔扩建工程可通过芳华变进站道路到达</w:t>
            </w:r>
            <w:r>
              <w:rPr>
                <w:spacing w:val="-1"/>
                <w:sz w:val="24"/>
                <w:szCs w:val="24"/>
              </w:rPr>
              <w:t>，交通运输十分便利。</w:t>
            </w:r>
          </w:p>
          <w:p w14:paraId="1AD28B19">
            <w:pPr>
              <w:pStyle w:val="6"/>
              <w:spacing w:line="220" w:lineRule="auto"/>
              <w:ind w:left="106"/>
              <w:rPr>
                <w:sz w:val="24"/>
                <w:szCs w:val="24"/>
              </w:rPr>
            </w:pPr>
            <w:r>
              <w:rPr>
                <w:b/>
                <w:bCs/>
                <w:spacing w:val="-4"/>
                <w:sz w:val="24"/>
                <w:szCs w:val="24"/>
              </w:rPr>
              <w:t>五、项目拆迁及安置</w:t>
            </w:r>
          </w:p>
          <w:p w14:paraId="0158477D">
            <w:pPr>
              <w:pStyle w:val="6"/>
              <w:spacing w:before="179" w:line="344" w:lineRule="auto"/>
              <w:ind w:left="126" w:right="103" w:firstLine="457"/>
              <w:rPr>
                <w:sz w:val="24"/>
                <w:szCs w:val="24"/>
              </w:rPr>
            </w:pPr>
            <w:r>
              <w:rPr>
                <w:sz w:val="24"/>
                <w:szCs w:val="24"/>
              </w:rPr>
              <w:t>本工程位于陆良县板桥镇，变电站和输电线路拟定时，已避让民房，无</w:t>
            </w:r>
            <w:r>
              <w:rPr>
                <w:spacing w:val="-2"/>
                <w:sz w:val="24"/>
                <w:szCs w:val="24"/>
              </w:rPr>
              <w:t>民房拆迁，征占地范围内不涉及居民点。</w:t>
            </w:r>
          </w:p>
        </w:tc>
      </w:tr>
      <w:tr w14:paraId="3129D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46" w:hRule="atLeast"/>
        </w:trPr>
        <w:tc>
          <w:tcPr>
            <w:tcW w:w="375" w:type="dxa"/>
            <w:vMerge w:val="restart"/>
            <w:tcBorders>
              <w:bottom w:val="nil"/>
            </w:tcBorders>
            <w:textDirection w:val="tbRlV"/>
            <w:vAlign w:val="top"/>
          </w:tcPr>
          <w:p w14:paraId="3701DC70">
            <w:pPr>
              <w:pStyle w:val="6"/>
              <w:spacing w:before="18" w:line="209" w:lineRule="auto"/>
              <w:ind w:left="4518"/>
              <w:rPr>
                <w:sz w:val="24"/>
                <w:szCs w:val="24"/>
              </w:rPr>
            </w:pPr>
            <w:r>
              <w:rPr>
                <w:spacing w:val="53"/>
                <w:sz w:val="24"/>
                <w:szCs w:val="24"/>
              </w:rPr>
              <w:t>施工方案</w:t>
            </w:r>
          </w:p>
        </w:tc>
        <w:tc>
          <w:tcPr>
            <w:tcW w:w="8149" w:type="dxa"/>
            <w:tcBorders>
              <w:bottom w:val="nil"/>
            </w:tcBorders>
            <w:vAlign w:val="top"/>
          </w:tcPr>
          <w:p w14:paraId="51B39E80">
            <w:pPr>
              <w:pStyle w:val="6"/>
              <w:spacing w:before="155" w:line="220" w:lineRule="auto"/>
              <w:ind w:left="106"/>
              <w:rPr>
                <w:sz w:val="24"/>
                <w:szCs w:val="24"/>
              </w:rPr>
            </w:pPr>
            <w:r>
              <w:rPr>
                <w:b/>
                <w:bCs/>
                <w:spacing w:val="-4"/>
                <w:sz w:val="24"/>
                <w:szCs w:val="24"/>
              </w:rPr>
              <w:t>一、施工工艺流程</w:t>
            </w:r>
          </w:p>
          <w:p w14:paraId="0F1D1F80">
            <w:pPr>
              <w:pStyle w:val="6"/>
              <w:spacing w:before="179" w:line="349" w:lineRule="auto"/>
              <w:ind w:left="102" w:right="44" w:firstLine="481"/>
              <w:jc w:val="both"/>
              <w:rPr>
                <w:sz w:val="24"/>
                <w:szCs w:val="24"/>
              </w:rPr>
            </w:pPr>
            <w:r>
              <w:rPr>
                <w:spacing w:val="1"/>
                <w:sz w:val="24"/>
                <w:szCs w:val="24"/>
              </w:rPr>
              <w:t>本项目为新建输变电项目，工程施工包括变电站施工和输电线路施工，</w:t>
            </w:r>
            <w:r>
              <w:rPr>
                <w:spacing w:val="-5"/>
                <w:sz w:val="24"/>
                <w:szCs w:val="24"/>
              </w:rPr>
              <w:t>其中变电站施工主要有土石方工程施工、基坑开挖、建筑施工、设备</w:t>
            </w:r>
            <w:r>
              <w:rPr>
                <w:spacing w:val="-6"/>
                <w:sz w:val="24"/>
                <w:szCs w:val="24"/>
              </w:rPr>
              <w:t>安装等；</w:t>
            </w:r>
            <w:r>
              <w:rPr>
                <w:sz w:val="24"/>
                <w:szCs w:val="24"/>
              </w:rPr>
              <w:t>输电线路施工主要有施工材料运输、基础施工、塔基施工，线路架设，原线</w:t>
            </w:r>
            <w:r>
              <w:rPr>
                <w:spacing w:val="-1"/>
                <w:sz w:val="24"/>
                <w:szCs w:val="24"/>
              </w:rPr>
              <w:t>路拆除等。具体施工流程图见下图。</w:t>
            </w:r>
          </w:p>
        </w:tc>
      </w:tr>
      <w:tr w14:paraId="1B33C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87" w:hRule="atLeast"/>
        </w:trPr>
        <w:tc>
          <w:tcPr>
            <w:tcW w:w="375" w:type="dxa"/>
            <w:vMerge w:val="continue"/>
            <w:tcBorders>
              <w:top w:val="nil"/>
              <w:bottom w:val="nil"/>
            </w:tcBorders>
            <w:textDirection w:val="tbRlV"/>
            <w:vAlign w:val="top"/>
          </w:tcPr>
          <w:p w14:paraId="370D4D1D">
            <w:pPr>
              <w:rPr>
                <w:rFonts w:ascii="Arial"/>
                <w:sz w:val="21"/>
              </w:rPr>
            </w:pPr>
          </w:p>
        </w:tc>
        <w:tc>
          <w:tcPr>
            <w:tcW w:w="8149" w:type="dxa"/>
            <w:tcBorders>
              <w:top w:val="nil"/>
              <w:bottom w:val="nil"/>
            </w:tcBorders>
            <w:vAlign w:val="top"/>
          </w:tcPr>
          <w:p w14:paraId="27A45392">
            <w:pPr>
              <w:spacing w:before="141" w:line="2781" w:lineRule="exact"/>
              <w:ind w:firstLine="478"/>
            </w:pPr>
            <w:r>
              <w:drawing>
                <wp:anchor distT="0" distB="0" distL="0" distR="0" simplePos="0" relativeHeight="251672576" behindDoc="0" locked="0" layoutInCell="1" allowOverlap="1">
                  <wp:simplePos x="0" y="0"/>
                  <wp:positionH relativeFrom="rightMargin">
                    <wp:posOffset>-5085715</wp:posOffset>
                  </wp:positionH>
                  <wp:positionV relativeFrom="topMargin">
                    <wp:posOffset>3810</wp:posOffset>
                  </wp:positionV>
                  <wp:extent cx="5001260" cy="196215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225"/>
                          <a:stretch>
                            <a:fillRect/>
                          </a:stretch>
                        </pic:blipFill>
                        <pic:spPr>
                          <a:xfrm>
                            <a:off x="0" y="0"/>
                            <a:ext cx="5001006" cy="1962150"/>
                          </a:xfrm>
                          <a:prstGeom prst="rect">
                            <a:avLst/>
                          </a:prstGeom>
                        </pic:spPr>
                      </pic:pic>
                    </a:graphicData>
                  </a:graphic>
                </wp:anchor>
              </w:drawing>
            </w:r>
            <w:r>
              <w:rPr>
                <w:position w:val="-55"/>
              </w:rPr>
              <w:drawing>
                <wp:inline distT="0" distB="0" distL="0" distR="0">
                  <wp:extent cx="4588510" cy="176593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226"/>
                          <a:stretch>
                            <a:fillRect/>
                          </a:stretch>
                        </pic:blipFill>
                        <pic:spPr>
                          <a:xfrm>
                            <a:off x="0" y="0"/>
                            <a:ext cx="4588976" cy="1766454"/>
                          </a:xfrm>
                          <a:prstGeom prst="rect">
                            <a:avLst/>
                          </a:prstGeom>
                        </pic:spPr>
                      </pic:pic>
                    </a:graphicData>
                  </a:graphic>
                </wp:inline>
              </w:drawing>
            </w:r>
          </w:p>
        </w:tc>
      </w:tr>
      <w:tr w14:paraId="570BC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82" w:hRule="atLeast"/>
        </w:trPr>
        <w:tc>
          <w:tcPr>
            <w:tcW w:w="375" w:type="dxa"/>
            <w:vMerge w:val="continue"/>
            <w:tcBorders>
              <w:top w:val="nil"/>
            </w:tcBorders>
            <w:textDirection w:val="tbRlV"/>
            <w:vAlign w:val="top"/>
          </w:tcPr>
          <w:p w14:paraId="5BFCCC63">
            <w:pPr>
              <w:rPr>
                <w:rFonts w:ascii="Arial"/>
                <w:sz w:val="21"/>
              </w:rPr>
            </w:pPr>
          </w:p>
        </w:tc>
        <w:tc>
          <w:tcPr>
            <w:tcW w:w="8149" w:type="dxa"/>
            <w:tcBorders>
              <w:top w:val="nil"/>
            </w:tcBorders>
            <w:vAlign w:val="top"/>
          </w:tcPr>
          <w:p w14:paraId="5031FD3B">
            <w:pPr>
              <w:pStyle w:val="6"/>
              <w:spacing w:before="46" w:line="219" w:lineRule="auto"/>
              <w:ind w:left="1979"/>
              <w:rPr>
                <w:sz w:val="24"/>
                <w:szCs w:val="24"/>
              </w:rPr>
            </w:pPr>
            <w:r>
              <w:rPr>
                <w:b/>
                <w:bCs/>
                <w:spacing w:val="-3"/>
                <w:sz w:val="24"/>
                <w:szCs w:val="24"/>
              </w:rPr>
              <w:t>图</w:t>
            </w:r>
            <w:r>
              <w:rPr>
                <w:spacing w:val="-43"/>
                <w:sz w:val="24"/>
                <w:szCs w:val="24"/>
              </w:rPr>
              <w:t xml:space="preserve"> </w:t>
            </w:r>
            <w:r>
              <w:rPr>
                <w:rFonts w:ascii="Times New Roman" w:hAnsi="Times New Roman" w:eastAsia="Times New Roman" w:cs="Times New Roman"/>
                <w:b/>
                <w:bCs/>
                <w:spacing w:val="-3"/>
                <w:sz w:val="24"/>
                <w:szCs w:val="24"/>
              </w:rPr>
              <w:t xml:space="preserve">2-4        </w:t>
            </w:r>
            <w:r>
              <w:rPr>
                <w:b/>
                <w:bCs/>
                <w:spacing w:val="-3"/>
                <w:sz w:val="24"/>
                <w:szCs w:val="24"/>
              </w:rPr>
              <w:t>施工期工序流程及产污位置图</w:t>
            </w:r>
          </w:p>
          <w:p w14:paraId="54E6CC93">
            <w:pPr>
              <w:pStyle w:val="6"/>
              <w:spacing w:before="182" w:line="221" w:lineRule="auto"/>
              <w:ind w:left="106"/>
              <w:rPr>
                <w:sz w:val="24"/>
                <w:szCs w:val="24"/>
              </w:rPr>
            </w:pPr>
            <w:r>
              <w:rPr>
                <w:b/>
                <w:bCs/>
                <w:spacing w:val="-4"/>
                <w:sz w:val="24"/>
                <w:szCs w:val="24"/>
              </w:rPr>
              <w:t>二、变电站施工工艺</w:t>
            </w:r>
          </w:p>
          <w:p w14:paraId="7503CE0B">
            <w:pPr>
              <w:pStyle w:val="6"/>
              <w:spacing w:before="178" w:line="221" w:lineRule="auto"/>
              <w:ind w:left="589"/>
              <w:rPr>
                <w:sz w:val="24"/>
                <w:szCs w:val="24"/>
              </w:rPr>
            </w:pPr>
            <w:r>
              <w:rPr>
                <w:rFonts w:ascii="Times New Roman" w:hAnsi="Times New Roman" w:eastAsia="Times New Roman" w:cs="Times New Roman"/>
                <w:b/>
                <w:bCs/>
                <w:spacing w:val="-9"/>
                <w:sz w:val="24"/>
                <w:szCs w:val="24"/>
              </w:rPr>
              <w:t>1</w:t>
            </w:r>
            <w:r>
              <w:rPr>
                <w:rFonts w:ascii="Times New Roman" w:hAnsi="Times New Roman" w:eastAsia="Times New Roman" w:cs="Times New Roman"/>
                <w:b/>
                <w:bCs/>
                <w:spacing w:val="-34"/>
                <w:sz w:val="24"/>
                <w:szCs w:val="24"/>
              </w:rPr>
              <w:t xml:space="preserve"> </w:t>
            </w:r>
            <w:r>
              <w:rPr>
                <w:b/>
                <w:bCs/>
                <w:spacing w:val="-9"/>
                <w:sz w:val="24"/>
                <w:szCs w:val="24"/>
              </w:rPr>
              <w:t>、施工准备</w:t>
            </w:r>
          </w:p>
          <w:p w14:paraId="43523F05">
            <w:pPr>
              <w:pStyle w:val="6"/>
              <w:spacing w:before="181" w:line="359" w:lineRule="auto"/>
              <w:ind w:left="106" w:right="103" w:firstLine="477"/>
              <w:rPr>
                <w:sz w:val="24"/>
                <w:szCs w:val="24"/>
              </w:rPr>
            </w:pPr>
            <w:r>
              <w:rPr>
                <w:sz w:val="24"/>
                <w:szCs w:val="24"/>
              </w:rPr>
              <w:t>变电站施工前需划定施工范围，设计标高，建设围墙，做好站外截、排</w:t>
            </w:r>
            <w:r>
              <w:rPr>
                <w:spacing w:val="-1"/>
                <w:sz w:val="24"/>
                <w:szCs w:val="24"/>
              </w:rPr>
              <w:t>水沟，以防止雨水冲刷站区。</w:t>
            </w:r>
          </w:p>
          <w:p w14:paraId="70176DC6">
            <w:pPr>
              <w:pStyle w:val="6"/>
              <w:spacing w:line="220" w:lineRule="auto"/>
              <w:ind w:left="579"/>
              <w:rPr>
                <w:sz w:val="24"/>
                <w:szCs w:val="24"/>
              </w:rPr>
            </w:pPr>
            <w:r>
              <w:rPr>
                <w:rFonts w:ascii="Times New Roman" w:hAnsi="Times New Roman" w:eastAsia="Times New Roman" w:cs="Times New Roman"/>
                <w:b/>
                <w:bCs/>
                <w:spacing w:val="-5"/>
                <w:sz w:val="24"/>
                <w:szCs w:val="24"/>
              </w:rPr>
              <w:t>2</w:t>
            </w:r>
            <w:r>
              <w:rPr>
                <w:rFonts w:ascii="Times New Roman" w:hAnsi="Times New Roman" w:eastAsia="Times New Roman" w:cs="Times New Roman"/>
                <w:b/>
                <w:bCs/>
                <w:spacing w:val="-28"/>
                <w:sz w:val="24"/>
                <w:szCs w:val="24"/>
              </w:rPr>
              <w:t xml:space="preserve"> </w:t>
            </w:r>
            <w:r>
              <w:rPr>
                <w:b/>
                <w:bCs/>
                <w:spacing w:val="-5"/>
                <w:sz w:val="24"/>
                <w:szCs w:val="24"/>
              </w:rPr>
              <w:t>、场地平整、基础施工</w:t>
            </w:r>
          </w:p>
          <w:p w14:paraId="1E5CCDF5">
            <w:pPr>
              <w:pStyle w:val="6"/>
              <w:spacing w:before="179" w:line="217" w:lineRule="auto"/>
              <w:ind w:left="582"/>
              <w:rPr>
                <w:sz w:val="24"/>
                <w:szCs w:val="24"/>
              </w:rPr>
            </w:pPr>
            <w:r>
              <w:rPr>
                <w:spacing w:val="-2"/>
                <w:sz w:val="24"/>
                <w:szCs w:val="24"/>
              </w:rPr>
              <w:t>①场地平整</w:t>
            </w:r>
          </w:p>
          <w:p w14:paraId="242D6798">
            <w:pPr>
              <w:pStyle w:val="6"/>
              <w:spacing w:before="186" w:line="348" w:lineRule="auto"/>
              <w:ind w:left="102" w:right="23" w:firstLine="480"/>
              <w:jc w:val="both"/>
              <w:rPr>
                <w:sz w:val="24"/>
                <w:szCs w:val="24"/>
              </w:rPr>
            </w:pPr>
            <w:r>
              <w:rPr>
                <w:spacing w:val="-5"/>
                <w:sz w:val="24"/>
                <w:szCs w:val="24"/>
              </w:rPr>
              <w:t>变电站进行场地平整、基础施工时，严格控制施工范围在变电站围墙内。</w:t>
            </w:r>
            <w:r>
              <w:rPr>
                <w:sz w:val="24"/>
                <w:szCs w:val="24"/>
              </w:rPr>
              <w:t>挖方区按设计标高进行开挖，开挖宜从上到下分层分段依次进行，随时做成一定的坡度以利于泄水。填方区用推土机填埋，填土分层夯实填平，经检验</w:t>
            </w:r>
          </w:p>
        </w:tc>
      </w:tr>
    </w:tbl>
    <w:p w14:paraId="30C1B1FA">
      <w:pPr>
        <w:rPr>
          <w:rFonts w:ascii="Arial"/>
          <w:sz w:val="21"/>
        </w:rPr>
      </w:pPr>
    </w:p>
    <w:p w14:paraId="6C409B70">
      <w:pPr>
        <w:rPr>
          <w:rFonts w:ascii="Arial" w:hAnsi="Arial" w:eastAsia="Arial" w:cs="Arial"/>
          <w:sz w:val="21"/>
          <w:szCs w:val="21"/>
        </w:rPr>
        <w:sectPr>
          <w:footerReference r:id="rId58" w:type="default"/>
          <w:pgSz w:w="11907" w:h="16840"/>
          <w:pgMar w:top="400" w:right="1684" w:bottom="1240" w:left="1683" w:header="0" w:footer="1077" w:gutter="0"/>
          <w:cols w:space="720" w:num="1"/>
        </w:sectPr>
      </w:pPr>
    </w:p>
    <w:p w14:paraId="500EBAF5">
      <w:pPr>
        <w:spacing w:before="19"/>
      </w:pPr>
    </w:p>
    <w:p w14:paraId="55A0D00C">
      <w:pPr>
        <w:spacing w:before="19"/>
      </w:pPr>
    </w:p>
    <w:p w14:paraId="43DB46D6">
      <w:pPr>
        <w:spacing w:before="18"/>
      </w:pPr>
    </w:p>
    <w:p w14:paraId="0C598BE5">
      <w:pPr>
        <w:spacing w:before="18"/>
      </w:pPr>
    </w:p>
    <w:tbl>
      <w:tblPr>
        <w:tblStyle w:val="5"/>
        <w:tblW w:w="85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5"/>
        <w:gridCol w:w="8149"/>
      </w:tblGrid>
      <w:tr w14:paraId="1C7C3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46" w:hRule="atLeast"/>
        </w:trPr>
        <w:tc>
          <w:tcPr>
            <w:tcW w:w="375" w:type="dxa"/>
            <w:vAlign w:val="top"/>
          </w:tcPr>
          <w:p w14:paraId="2FC7A50C">
            <w:pPr>
              <w:rPr>
                <w:rFonts w:ascii="Arial"/>
                <w:sz w:val="21"/>
              </w:rPr>
            </w:pPr>
          </w:p>
        </w:tc>
        <w:tc>
          <w:tcPr>
            <w:tcW w:w="8149" w:type="dxa"/>
            <w:vAlign w:val="top"/>
          </w:tcPr>
          <w:p w14:paraId="5273ED41">
            <w:pPr>
              <w:pStyle w:val="6"/>
              <w:spacing w:before="41" w:line="219" w:lineRule="auto"/>
              <w:ind w:left="104"/>
              <w:rPr>
                <w:sz w:val="24"/>
                <w:szCs w:val="24"/>
              </w:rPr>
            </w:pPr>
            <w:r>
              <w:rPr>
                <w:sz w:val="24"/>
                <w:szCs w:val="24"/>
              </w:rPr>
              <w:t>合格后方可铺填上层土。石方工程主要为排</w:t>
            </w:r>
            <w:r>
              <w:rPr>
                <w:spacing w:val="-1"/>
                <w:sz w:val="24"/>
                <w:szCs w:val="24"/>
              </w:rPr>
              <w:t>水沟、挡土墙、边坡护坡。</w:t>
            </w:r>
          </w:p>
          <w:p w14:paraId="2C439532">
            <w:pPr>
              <w:pStyle w:val="6"/>
              <w:spacing w:before="180" w:line="217" w:lineRule="auto"/>
              <w:ind w:left="581"/>
              <w:rPr>
                <w:sz w:val="24"/>
                <w:szCs w:val="24"/>
              </w:rPr>
            </w:pPr>
            <w:r>
              <w:rPr>
                <w:spacing w:val="-2"/>
                <w:sz w:val="24"/>
                <w:szCs w:val="24"/>
              </w:rPr>
              <w:t>②基础施工</w:t>
            </w:r>
          </w:p>
          <w:p w14:paraId="41B3D2F4">
            <w:pPr>
              <w:pStyle w:val="6"/>
              <w:spacing w:before="183" w:line="357" w:lineRule="auto"/>
              <w:ind w:left="101" w:right="59" w:firstLine="482"/>
              <w:rPr>
                <w:sz w:val="24"/>
                <w:szCs w:val="24"/>
              </w:rPr>
            </w:pPr>
            <w:r>
              <w:rPr>
                <w:spacing w:val="-4"/>
                <w:sz w:val="24"/>
                <w:szCs w:val="24"/>
              </w:rPr>
              <w:t>本工程主要建筑物有主控通信楼、</w:t>
            </w:r>
            <w:r>
              <w:rPr>
                <w:rFonts w:ascii="Times New Roman" w:hAnsi="Times New Roman" w:eastAsia="Times New Roman" w:cs="Times New Roman"/>
                <w:spacing w:val="-4"/>
                <w:sz w:val="24"/>
                <w:szCs w:val="24"/>
              </w:rPr>
              <w:t>110kV</w:t>
            </w:r>
            <w:r>
              <w:rPr>
                <w:rFonts w:ascii="Times New Roman" w:hAnsi="Times New Roman" w:eastAsia="Times New Roman" w:cs="Times New Roman"/>
                <w:spacing w:val="-18"/>
                <w:sz w:val="24"/>
                <w:szCs w:val="24"/>
              </w:rPr>
              <w:t xml:space="preserve"> </w:t>
            </w:r>
            <w:r>
              <w:rPr>
                <w:rFonts w:ascii="Times New Roman" w:hAnsi="Times New Roman" w:eastAsia="Times New Roman" w:cs="Times New Roman"/>
                <w:spacing w:val="-4"/>
                <w:sz w:val="24"/>
                <w:szCs w:val="24"/>
              </w:rPr>
              <w:t>AIS</w:t>
            </w:r>
            <w:r>
              <w:rPr>
                <w:rFonts w:ascii="Times New Roman" w:hAnsi="Times New Roman" w:eastAsia="Times New Roman" w:cs="Times New Roman"/>
                <w:spacing w:val="14"/>
                <w:sz w:val="24"/>
                <w:szCs w:val="24"/>
              </w:rPr>
              <w:t xml:space="preserve"> </w:t>
            </w:r>
            <w:r>
              <w:rPr>
                <w:spacing w:val="-4"/>
                <w:sz w:val="24"/>
                <w:szCs w:val="24"/>
              </w:rPr>
              <w:t>和保护小室和</w:t>
            </w:r>
            <w:r>
              <w:rPr>
                <w:spacing w:val="-32"/>
                <w:sz w:val="24"/>
                <w:szCs w:val="24"/>
              </w:rPr>
              <w:t xml:space="preserve"> </w:t>
            </w:r>
            <w:r>
              <w:rPr>
                <w:rFonts w:ascii="Times New Roman" w:hAnsi="Times New Roman" w:eastAsia="Times New Roman" w:cs="Times New Roman"/>
                <w:spacing w:val="-4"/>
                <w:sz w:val="24"/>
                <w:szCs w:val="24"/>
              </w:rPr>
              <w:t>10kV</w:t>
            </w:r>
            <w:r>
              <w:rPr>
                <w:rFonts w:ascii="Times New Roman" w:hAnsi="Times New Roman" w:eastAsia="Times New Roman" w:cs="Times New Roman"/>
                <w:spacing w:val="-5"/>
                <w:sz w:val="24"/>
                <w:szCs w:val="24"/>
              </w:rPr>
              <w:t xml:space="preserve"> </w:t>
            </w:r>
            <w:r>
              <w:rPr>
                <w:spacing w:val="-5"/>
                <w:sz w:val="24"/>
                <w:szCs w:val="24"/>
              </w:rPr>
              <w:t>保护小室、站用电室、警传室、生活消防水泵房、消防小间等。主控通信楼、</w:t>
            </w:r>
            <w:r>
              <w:rPr>
                <w:rFonts w:ascii="Times New Roman" w:hAnsi="Times New Roman" w:eastAsia="Times New Roman" w:cs="Times New Roman"/>
                <w:spacing w:val="-5"/>
                <w:sz w:val="24"/>
                <w:szCs w:val="24"/>
              </w:rPr>
              <w:t>110kV</w:t>
            </w:r>
            <w:r>
              <w:rPr>
                <w:sz w:val="24"/>
                <w:szCs w:val="24"/>
              </w:rPr>
              <w:t>保护小室、站用电室、警传室、生活消防水泵房均采用框架结构，柱下独立</w:t>
            </w:r>
            <w:r>
              <w:rPr>
                <w:spacing w:val="-3"/>
                <w:sz w:val="24"/>
                <w:szCs w:val="24"/>
              </w:rPr>
              <w:t>基础。</w:t>
            </w:r>
            <w:r>
              <w:rPr>
                <w:rFonts w:ascii="Times New Roman" w:hAnsi="Times New Roman" w:eastAsia="Times New Roman" w:cs="Times New Roman"/>
                <w:spacing w:val="-3"/>
                <w:sz w:val="24"/>
                <w:szCs w:val="24"/>
              </w:rPr>
              <w:t>110kVAIS</w:t>
            </w:r>
            <w:r>
              <w:rPr>
                <w:rFonts w:ascii="Times New Roman" w:hAnsi="Times New Roman" w:eastAsia="Times New Roman" w:cs="Times New Roman"/>
                <w:spacing w:val="23"/>
                <w:sz w:val="24"/>
                <w:szCs w:val="24"/>
              </w:rPr>
              <w:t xml:space="preserve"> </w:t>
            </w:r>
            <w:r>
              <w:rPr>
                <w:spacing w:val="-3"/>
                <w:sz w:val="24"/>
                <w:szCs w:val="24"/>
              </w:rPr>
              <w:t>和保护小室采用门式钢架轻型房屋钢结构，柱下独立基础。</w:t>
            </w:r>
            <w:r>
              <w:rPr>
                <w:spacing w:val="2"/>
                <w:sz w:val="24"/>
                <w:szCs w:val="24"/>
              </w:rPr>
              <w:t>消防小间采用砖混结构，墙下条形基础。地下建筑物如化粪池（</w:t>
            </w:r>
            <w:r>
              <w:rPr>
                <w:rFonts w:ascii="Times New Roman" w:hAnsi="Times New Roman" w:eastAsia="Times New Roman" w:cs="Times New Roman"/>
                <w:spacing w:val="2"/>
                <w:sz w:val="24"/>
                <w:szCs w:val="24"/>
              </w:rPr>
              <w:t>2m</w:t>
            </w:r>
            <w:r>
              <w:rPr>
                <w:rFonts w:ascii="Times New Roman" w:hAnsi="Times New Roman" w:eastAsia="Times New Roman" w:cs="Times New Roman"/>
                <w:spacing w:val="2"/>
                <w:position w:val="1"/>
                <w:sz w:val="15"/>
                <w:szCs w:val="15"/>
              </w:rPr>
              <w:t xml:space="preserve">3 </w:t>
            </w:r>
            <w:r>
              <w:rPr>
                <w:spacing w:val="2"/>
                <w:position w:val="1"/>
                <w:sz w:val="24"/>
                <w:szCs w:val="24"/>
              </w:rPr>
              <w:t>）</w:t>
            </w:r>
            <w:r>
              <w:rPr>
                <w:spacing w:val="2"/>
                <w:sz w:val="24"/>
                <w:szCs w:val="24"/>
              </w:rPr>
              <w:t>、一</w:t>
            </w:r>
            <w:r>
              <w:rPr>
                <w:spacing w:val="-1"/>
                <w:sz w:val="24"/>
                <w:szCs w:val="24"/>
              </w:rPr>
              <w:t>体化污水处理设施（处理能力</w:t>
            </w:r>
            <w:r>
              <w:rPr>
                <w:spacing w:val="-49"/>
                <w:sz w:val="24"/>
                <w:szCs w:val="24"/>
              </w:rPr>
              <w:t xml:space="preserve"> </w:t>
            </w:r>
            <w:r>
              <w:rPr>
                <w:rFonts w:ascii="Times New Roman" w:hAnsi="Times New Roman" w:eastAsia="Times New Roman" w:cs="Times New Roman"/>
                <w:spacing w:val="-1"/>
                <w:sz w:val="24"/>
                <w:szCs w:val="24"/>
              </w:rPr>
              <w:t>0.5t/h</w:t>
            </w:r>
            <w:r>
              <w:rPr>
                <w:spacing w:val="-1"/>
                <w:sz w:val="24"/>
                <w:szCs w:val="24"/>
              </w:rPr>
              <w:t>）、中水池（</w:t>
            </w:r>
            <w:r>
              <w:rPr>
                <w:rFonts w:ascii="Times New Roman" w:hAnsi="Times New Roman" w:eastAsia="Times New Roman" w:cs="Times New Roman"/>
                <w:spacing w:val="-1"/>
                <w:sz w:val="24"/>
                <w:szCs w:val="24"/>
              </w:rPr>
              <w:t>5m</w:t>
            </w:r>
            <w:r>
              <w:rPr>
                <w:rFonts w:ascii="Times New Roman" w:hAnsi="Times New Roman" w:eastAsia="Times New Roman" w:cs="Times New Roman"/>
                <w:spacing w:val="-1"/>
                <w:position w:val="1"/>
                <w:sz w:val="15"/>
                <w:szCs w:val="15"/>
              </w:rPr>
              <w:t>3</w:t>
            </w:r>
            <w:r>
              <w:rPr>
                <w:spacing w:val="-1"/>
                <w:position w:val="1"/>
                <w:sz w:val="24"/>
                <w:szCs w:val="24"/>
              </w:rPr>
              <w:t>）</w:t>
            </w:r>
            <w:r>
              <w:rPr>
                <w:spacing w:val="-1"/>
                <w:sz w:val="24"/>
                <w:szCs w:val="24"/>
              </w:rPr>
              <w:t>、事故油池等，采用钢筋混凝土板式基础，基坑开挖采用人工和机械结合的方法。</w:t>
            </w:r>
          </w:p>
          <w:p w14:paraId="3728BD3B">
            <w:pPr>
              <w:pStyle w:val="6"/>
              <w:spacing w:line="220" w:lineRule="auto"/>
              <w:ind w:left="577"/>
              <w:rPr>
                <w:sz w:val="24"/>
                <w:szCs w:val="24"/>
              </w:rPr>
            </w:pPr>
            <w:r>
              <w:rPr>
                <w:rFonts w:ascii="Times New Roman" w:hAnsi="Times New Roman" w:eastAsia="Times New Roman" w:cs="Times New Roman"/>
                <w:b/>
                <w:bCs/>
                <w:spacing w:val="-7"/>
                <w:sz w:val="24"/>
                <w:szCs w:val="24"/>
              </w:rPr>
              <w:t>3</w:t>
            </w:r>
            <w:r>
              <w:rPr>
                <w:rFonts w:ascii="Times New Roman" w:hAnsi="Times New Roman" w:eastAsia="Times New Roman" w:cs="Times New Roman"/>
                <w:b/>
                <w:bCs/>
                <w:spacing w:val="-31"/>
                <w:sz w:val="24"/>
                <w:szCs w:val="24"/>
              </w:rPr>
              <w:t xml:space="preserve"> </w:t>
            </w:r>
            <w:r>
              <w:rPr>
                <w:b/>
                <w:bCs/>
                <w:spacing w:val="-7"/>
                <w:sz w:val="24"/>
                <w:szCs w:val="24"/>
              </w:rPr>
              <w:t>、设备安装</w:t>
            </w:r>
          </w:p>
          <w:p w14:paraId="6BA1211B">
            <w:pPr>
              <w:pStyle w:val="6"/>
              <w:spacing w:before="182" w:line="359" w:lineRule="auto"/>
              <w:ind w:left="103" w:right="103" w:firstLine="481"/>
              <w:rPr>
                <w:sz w:val="24"/>
                <w:szCs w:val="24"/>
              </w:rPr>
            </w:pPr>
            <w:r>
              <w:rPr>
                <w:sz w:val="24"/>
                <w:szCs w:val="24"/>
              </w:rPr>
              <w:t>主变压器采用激动绞磨与滚筒组合的方式就位，冷却器用汽吊的方式安</w:t>
            </w:r>
            <w:r>
              <w:rPr>
                <w:spacing w:val="-1"/>
                <w:sz w:val="24"/>
                <w:szCs w:val="24"/>
              </w:rPr>
              <w:t>装、电气设备采用吊车吊运安装。</w:t>
            </w:r>
          </w:p>
          <w:p w14:paraId="5778CBF9">
            <w:pPr>
              <w:pStyle w:val="6"/>
              <w:spacing w:line="219" w:lineRule="auto"/>
              <w:ind w:left="579"/>
              <w:rPr>
                <w:sz w:val="24"/>
                <w:szCs w:val="24"/>
              </w:rPr>
            </w:pPr>
            <w:r>
              <w:rPr>
                <w:rFonts w:ascii="Times New Roman" w:hAnsi="Times New Roman" w:eastAsia="Times New Roman" w:cs="Times New Roman"/>
                <w:b/>
                <w:bCs/>
                <w:spacing w:val="-5"/>
                <w:sz w:val="24"/>
                <w:szCs w:val="24"/>
              </w:rPr>
              <w:t>4</w:t>
            </w:r>
            <w:r>
              <w:rPr>
                <w:rFonts w:ascii="Times New Roman" w:hAnsi="Times New Roman" w:eastAsia="Times New Roman" w:cs="Times New Roman"/>
                <w:b/>
                <w:bCs/>
                <w:spacing w:val="-28"/>
                <w:sz w:val="24"/>
                <w:szCs w:val="24"/>
              </w:rPr>
              <w:t xml:space="preserve"> </w:t>
            </w:r>
            <w:r>
              <w:rPr>
                <w:b/>
                <w:bCs/>
                <w:spacing w:val="-5"/>
                <w:sz w:val="24"/>
                <w:szCs w:val="24"/>
              </w:rPr>
              <w:t>、进站道路及施工交通</w:t>
            </w:r>
          </w:p>
          <w:p w14:paraId="1D85A992">
            <w:pPr>
              <w:pStyle w:val="6"/>
              <w:spacing w:before="181" w:line="359" w:lineRule="auto"/>
              <w:ind w:left="102" w:right="103" w:firstLine="480"/>
              <w:jc w:val="both"/>
              <w:rPr>
                <w:sz w:val="24"/>
                <w:szCs w:val="24"/>
              </w:rPr>
            </w:pPr>
            <w:r>
              <w:rPr>
                <w:spacing w:val="-2"/>
                <w:sz w:val="24"/>
                <w:szCs w:val="24"/>
              </w:rPr>
              <w:t>变电站进站道路从站址东侧的乡村公路引接，引接长度约</w:t>
            </w:r>
            <w:r>
              <w:rPr>
                <w:spacing w:val="-26"/>
                <w:sz w:val="24"/>
                <w:szCs w:val="24"/>
              </w:rPr>
              <w:t xml:space="preserve"> </w:t>
            </w:r>
            <w:r>
              <w:rPr>
                <w:rFonts w:ascii="Times New Roman" w:hAnsi="Times New Roman" w:eastAsia="Times New Roman" w:cs="Times New Roman"/>
                <w:spacing w:val="-2"/>
                <w:sz w:val="24"/>
                <w:szCs w:val="24"/>
              </w:rPr>
              <w:t>12m</w:t>
            </w:r>
            <w:r>
              <w:rPr>
                <w:rFonts w:ascii="Times New Roman" w:hAnsi="Times New Roman" w:eastAsia="Times New Roman" w:cs="Times New Roman"/>
                <w:spacing w:val="-31"/>
                <w:sz w:val="24"/>
                <w:szCs w:val="24"/>
              </w:rPr>
              <w:t xml:space="preserve"> </w:t>
            </w:r>
            <w:r>
              <w:rPr>
                <w:spacing w:val="-2"/>
                <w:sz w:val="24"/>
                <w:szCs w:val="24"/>
              </w:rPr>
              <w:t>，进站道</w:t>
            </w:r>
            <w:r>
              <w:rPr>
                <w:sz w:val="24"/>
                <w:szCs w:val="24"/>
              </w:rPr>
              <w:t>路修建将会破坏施工地的地表植被，产生一定量的挖方。施工结束后及时对裸露的地表进行植被恢复，施工挖方运至变电站回填在地基处；进站道路能</w:t>
            </w:r>
            <w:r>
              <w:rPr>
                <w:spacing w:val="-1"/>
                <w:sz w:val="24"/>
                <w:szCs w:val="24"/>
              </w:rPr>
              <w:t>够满足项目所需设备、物资的运输，不需新修施工道路。</w:t>
            </w:r>
          </w:p>
          <w:p w14:paraId="79478DF0">
            <w:pPr>
              <w:pStyle w:val="6"/>
              <w:spacing w:before="1" w:line="220" w:lineRule="auto"/>
              <w:ind w:left="581"/>
              <w:rPr>
                <w:sz w:val="24"/>
                <w:szCs w:val="24"/>
              </w:rPr>
            </w:pPr>
            <w:r>
              <w:rPr>
                <w:rFonts w:ascii="Times New Roman" w:hAnsi="Times New Roman" w:eastAsia="Times New Roman" w:cs="Times New Roman"/>
                <w:b/>
                <w:bCs/>
                <w:spacing w:val="-6"/>
                <w:sz w:val="24"/>
                <w:szCs w:val="24"/>
              </w:rPr>
              <w:t>5</w:t>
            </w:r>
            <w:r>
              <w:rPr>
                <w:rFonts w:ascii="Times New Roman" w:hAnsi="Times New Roman" w:eastAsia="Times New Roman" w:cs="Times New Roman"/>
                <w:b/>
                <w:bCs/>
                <w:spacing w:val="-34"/>
                <w:sz w:val="24"/>
                <w:szCs w:val="24"/>
              </w:rPr>
              <w:t xml:space="preserve"> </w:t>
            </w:r>
            <w:r>
              <w:rPr>
                <w:b/>
                <w:bCs/>
                <w:spacing w:val="-6"/>
                <w:sz w:val="24"/>
                <w:szCs w:val="24"/>
              </w:rPr>
              <w:t>、施工人员安排</w:t>
            </w:r>
          </w:p>
          <w:p w14:paraId="2F37DE8C">
            <w:pPr>
              <w:pStyle w:val="6"/>
              <w:spacing w:before="181" w:line="359" w:lineRule="auto"/>
              <w:ind w:left="105" w:right="103" w:firstLine="478"/>
              <w:jc w:val="both"/>
              <w:rPr>
                <w:sz w:val="24"/>
                <w:szCs w:val="24"/>
              </w:rPr>
            </w:pPr>
            <w:r>
              <w:rPr>
                <w:spacing w:val="-2"/>
                <w:sz w:val="24"/>
                <w:szCs w:val="24"/>
              </w:rPr>
              <w:t>变电站拟安排施工人员</w:t>
            </w:r>
            <w:r>
              <w:rPr>
                <w:rFonts w:ascii="Times New Roman" w:hAnsi="Times New Roman" w:eastAsia="Times New Roman" w:cs="Times New Roman"/>
                <w:spacing w:val="-2"/>
                <w:sz w:val="24"/>
                <w:szCs w:val="24"/>
              </w:rPr>
              <w:t xml:space="preserve">30 </w:t>
            </w:r>
            <w:r>
              <w:rPr>
                <w:spacing w:val="-2"/>
                <w:sz w:val="24"/>
                <w:szCs w:val="24"/>
              </w:rPr>
              <w:t>人，除技术人员外招收当地劳动力，工程施工</w:t>
            </w:r>
            <w:r>
              <w:rPr>
                <w:sz w:val="24"/>
                <w:szCs w:val="24"/>
              </w:rPr>
              <w:t>期在变电站内设置活动板房式施工营地，施工营地主要用于堆放施工材料，并用篷布进行遮盖；施工人员不在变电站施工营地内食宿，施工人员食宿租</w:t>
            </w:r>
            <w:r>
              <w:rPr>
                <w:spacing w:val="-1"/>
                <w:sz w:val="24"/>
                <w:szCs w:val="24"/>
              </w:rPr>
              <w:t>用附近村民民房（当地劳动力回家食宿）。</w:t>
            </w:r>
          </w:p>
          <w:p w14:paraId="5C3AAE7E">
            <w:pPr>
              <w:pStyle w:val="6"/>
              <w:spacing w:before="1" w:line="219" w:lineRule="auto"/>
              <w:ind w:left="103"/>
              <w:rPr>
                <w:sz w:val="24"/>
                <w:szCs w:val="24"/>
              </w:rPr>
            </w:pPr>
            <w:r>
              <w:rPr>
                <w:b/>
                <w:bCs/>
                <w:spacing w:val="-3"/>
                <w:sz w:val="24"/>
                <w:szCs w:val="24"/>
              </w:rPr>
              <w:t>三、输电线路施工工艺</w:t>
            </w:r>
          </w:p>
          <w:p w14:paraId="7FD71176">
            <w:pPr>
              <w:pStyle w:val="6"/>
              <w:spacing w:before="183" w:line="219" w:lineRule="auto"/>
              <w:ind w:left="594"/>
              <w:rPr>
                <w:sz w:val="24"/>
                <w:szCs w:val="24"/>
              </w:rPr>
            </w:pPr>
            <w:r>
              <w:rPr>
                <w:b/>
                <w:bCs/>
                <w:spacing w:val="-5"/>
                <w:sz w:val="24"/>
                <w:szCs w:val="24"/>
              </w:rPr>
              <w:t>（一）架空输电线路</w:t>
            </w:r>
          </w:p>
          <w:p w14:paraId="7A1FB4E4">
            <w:pPr>
              <w:pStyle w:val="6"/>
              <w:spacing w:before="180" w:line="221" w:lineRule="auto"/>
              <w:ind w:left="594"/>
              <w:rPr>
                <w:sz w:val="24"/>
                <w:szCs w:val="24"/>
              </w:rPr>
            </w:pPr>
            <w:r>
              <w:rPr>
                <w:b/>
                <w:bCs/>
                <w:spacing w:val="-5"/>
                <w:sz w:val="24"/>
                <w:szCs w:val="24"/>
              </w:rPr>
              <w:t>（</w:t>
            </w:r>
            <w:r>
              <w:rPr>
                <w:rFonts w:ascii="Times New Roman" w:hAnsi="Times New Roman" w:eastAsia="Times New Roman" w:cs="Times New Roman"/>
                <w:b/>
                <w:bCs/>
                <w:spacing w:val="-5"/>
                <w:sz w:val="24"/>
                <w:szCs w:val="24"/>
              </w:rPr>
              <w:t>1</w:t>
            </w:r>
            <w:r>
              <w:rPr>
                <w:b/>
                <w:bCs/>
                <w:spacing w:val="-5"/>
                <w:sz w:val="24"/>
                <w:szCs w:val="24"/>
              </w:rPr>
              <w:t>）施工准备</w:t>
            </w:r>
          </w:p>
          <w:p w14:paraId="60246461">
            <w:pPr>
              <w:pStyle w:val="6"/>
              <w:spacing w:before="181" w:line="359" w:lineRule="auto"/>
              <w:ind w:left="103" w:right="103" w:firstLine="479"/>
              <w:rPr>
                <w:sz w:val="24"/>
                <w:szCs w:val="24"/>
              </w:rPr>
            </w:pPr>
            <w:r>
              <w:rPr>
                <w:sz w:val="24"/>
                <w:szCs w:val="24"/>
              </w:rPr>
              <w:t>施工准备阶段主要是施工备料。施工道路尽量利用已有公路和便道，物</w:t>
            </w:r>
            <w:r>
              <w:rPr>
                <w:spacing w:val="-1"/>
                <w:sz w:val="24"/>
                <w:szCs w:val="24"/>
              </w:rPr>
              <w:t>料运输采用车辆运输、马驮、人抬等方式。</w:t>
            </w:r>
          </w:p>
          <w:p w14:paraId="0C7C3673">
            <w:pPr>
              <w:pStyle w:val="6"/>
              <w:spacing w:before="1" w:line="222" w:lineRule="auto"/>
              <w:ind w:left="594"/>
              <w:rPr>
                <w:sz w:val="24"/>
                <w:szCs w:val="24"/>
              </w:rPr>
            </w:pPr>
            <w:r>
              <w:rPr>
                <w:b/>
                <w:bCs/>
                <w:spacing w:val="-5"/>
                <w:sz w:val="24"/>
                <w:szCs w:val="24"/>
              </w:rPr>
              <w:t>（</w:t>
            </w:r>
            <w:r>
              <w:rPr>
                <w:rFonts w:ascii="Times New Roman" w:hAnsi="Times New Roman" w:eastAsia="Times New Roman" w:cs="Times New Roman"/>
                <w:b/>
                <w:bCs/>
                <w:spacing w:val="-5"/>
                <w:sz w:val="24"/>
                <w:szCs w:val="24"/>
              </w:rPr>
              <w:t>2</w:t>
            </w:r>
            <w:r>
              <w:rPr>
                <w:b/>
                <w:bCs/>
                <w:spacing w:val="-5"/>
                <w:sz w:val="24"/>
                <w:szCs w:val="24"/>
              </w:rPr>
              <w:t>）基础施工</w:t>
            </w:r>
          </w:p>
          <w:p w14:paraId="3E4B6EAC">
            <w:pPr>
              <w:pStyle w:val="6"/>
              <w:spacing w:before="177" w:line="217" w:lineRule="auto"/>
              <w:ind w:left="582"/>
              <w:rPr>
                <w:sz w:val="24"/>
                <w:szCs w:val="24"/>
              </w:rPr>
            </w:pPr>
            <w:r>
              <w:rPr>
                <w:spacing w:val="-2"/>
                <w:sz w:val="24"/>
                <w:szCs w:val="24"/>
              </w:rPr>
              <w:t>①塔基基坑开挖</w:t>
            </w:r>
          </w:p>
        </w:tc>
      </w:tr>
    </w:tbl>
    <w:p w14:paraId="2E02F1E4">
      <w:pPr>
        <w:rPr>
          <w:rFonts w:ascii="Arial"/>
          <w:sz w:val="21"/>
        </w:rPr>
      </w:pPr>
    </w:p>
    <w:p w14:paraId="0F1AC946">
      <w:pPr>
        <w:rPr>
          <w:rFonts w:ascii="Arial" w:hAnsi="Arial" w:eastAsia="Arial" w:cs="Arial"/>
          <w:sz w:val="21"/>
          <w:szCs w:val="21"/>
        </w:rPr>
        <w:sectPr>
          <w:footerReference r:id="rId59" w:type="default"/>
          <w:pgSz w:w="11907" w:h="16840"/>
          <w:pgMar w:top="400" w:right="1684" w:bottom="1240" w:left="1683" w:header="0" w:footer="1077" w:gutter="0"/>
          <w:cols w:space="720" w:num="1"/>
        </w:sectPr>
      </w:pPr>
    </w:p>
    <w:p w14:paraId="738471A7">
      <w:pPr>
        <w:spacing w:before="19"/>
      </w:pPr>
    </w:p>
    <w:p w14:paraId="5C1E4D8F">
      <w:pPr>
        <w:spacing w:before="19"/>
      </w:pPr>
    </w:p>
    <w:p w14:paraId="08541A32">
      <w:pPr>
        <w:spacing w:before="18"/>
      </w:pPr>
    </w:p>
    <w:p w14:paraId="5DB53E80">
      <w:pPr>
        <w:spacing w:before="18"/>
      </w:pPr>
    </w:p>
    <w:tbl>
      <w:tblPr>
        <w:tblStyle w:val="5"/>
        <w:tblW w:w="85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5"/>
        <w:gridCol w:w="8149"/>
      </w:tblGrid>
      <w:tr w14:paraId="762E2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546" w:hRule="atLeast"/>
        </w:trPr>
        <w:tc>
          <w:tcPr>
            <w:tcW w:w="375" w:type="dxa"/>
            <w:vAlign w:val="top"/>
          </w:tcPr>
          <w:p w14:paraId="4F08AE95">
            <w:pPr>
              <w:rPr>
                <w:rFonts w:ascii="Arial"/>
                <w:sz w:val="21"/>
              </w:rPr>
            </w:pPr>
          </w:p>
        </w:tc>
        <w:tc>
          <w:tcPr>
            <w:tcW w:w="8149" w:type="dxa"/>
            <w:vAlign w:val="top"/>
          </w:tcPr>
          <w:p w14:paraId="1DBEF257">
            <w:pPr>
              <w:pStyle w:val="6"/>
              <w:spacing w:before="41" w:line="358" w:lineRule="auto"/>
              <w:ind w:left="102" w:right="103" w:firstLine="483"/>
              <w:rPr>
                <w:sz w:val="24"/>
                <w:szCs w:val="24"/>
              </w:rPr>
            </w:pPr>
            <w:r>
              <w:rPr>
                <w:sz w:val="24"/>
                <w:szCs w:val="24"/>
              </w:rPr>
              <w:t>工程线路基础开挖主要是塔基基坑开挖，设计单位建议塔基多采用人工挖孔桩基础，从而保证线路施工质量，减少</w:t>
            </w:r>
            <w:r>
              <w:rPr>
                <w:spacing w:val="-1"/>
                <w:sz w:val="24"/>
                <w:szCs w:val="24"/>
              </w:rPr>
              <w:t>植被破坏和地表扰动。</w:t>
            </w:r>
          </w:p>
          <w:p w14:paraId="4851A048">
            <w:pPr>
              <w:pStyle w:val="6"/>
              <w:spacing w:before="1" w:line="359" w:lineRule="auto"/>
              <w:ind w:left="103" w:right="23" w:firstLine="482"/>
              <w:rPr>
                <w:sz w:val="24"/>
                <w:szCs w:val="24"/>
              </w:rPr>
            </w:pPr>
            <w:r>
              <w:rPr>
                <w:sz w:val="24"/>
                <w:szCs w:val="24"/>
              </w:rPr>
              <w:t>线路塔基基础采用斜柱式基础、掏挖式基础、独立基础、灌注桩基础；</w:t>
            </w:r>
            <w:r>
              <w:rPr>
                <w:spacing w:val="-5"/>
                <w:sz w:val="24"/>
                <w:szCs w:val="24"/>
              </w:rPr>
              <w:t>线路沿线地形地质条件较好时，选择经济性较好的掏挖基础；地形坡度较大、</w:t>
            </w:r>
            <w:r>
              <w:rPr>
                <w:sz w:val="24"/>
                <w:szCs w:val="24"/>
              </w:rPr>
              <w:t>地形陡峭和高低腿无法满足地形坡度要求时，采用挖孔基础，并配合铁塔长短腿，尽可能减小土石方的开挖量；部分软土地基及存在地下水的塔位拟采</w:t>
            </w:r>
            <w:r>
              <w:rPr>
                <w:spacing w:val="-2"/>
                <w:sz w:val="24"/>
                <w:szCs w:val="24"/>
              </w:rPr>
              <w:t>用灌注桩基础。</w:t>
            </w:r>
          </w:p>
          <w:p w14:paraId="084E3B27">
            <w:pPr>
              <w:pStyle w:val="6"/>
              <w:spacing w:line="217" w:lineRule="auto"/>
              <w:ind w:left="581"/>
              <w:rPr>
                <w:sz w:val="24"/>
                <w:szCs w:val="24"/>
              </w:rPr>
            </w:pPr>
            <w:r>
              <w:rPr>
                <w:spacing w:val="-2"/>
                <w:sz w:val="24"/>
                <w:szCs w:val="24"/>
              </w:rPr>
              <w:t>②浇筑工程</w:t>
            </w:r>
          </w:p>
          <w:p w14:paraId="6EAED059">
            <w:pPr>
              <w:pStyle w:val="6"/>
              <w:spacing w:before="186" w:line="359" w:lineRule="auto"/>
              <w:ind w:left="102" w:right="103" w:firstLine="510"/>
              <w:rPr>
                <w:sz w:val="24"/>
                <w:szCs w:val="24"/>
              </w:rPr>
            </w:pPr>
            <w:r>
              <w:rPr>
                <w:spacing w:val="-1"/>
                <w:sz w:val="24"/>
                <w:szCs w:val="24"/>
              </w:rPr>
              <w:t>由于项目输电线路施工地点较为分散，施工时采用逐个开挖的方式进行</w:t>
            </w:r>
            <w:r>
              <w:rPr>
                <w:sz w:val="24"/>
                <w:szCs w:val="24"/>
              </w:rPr>
              <w:t>施工；基础施工时，尽量缩短基坑暴露时间，做到随挖随浇筑基础，同时做好基面及基坑的排水工作。塔基浇筑所需的水、砂石等材料由人工运输至施工现场，塔基基础用现场浇筑的钢筋混凝土基础，塔基浇筑量不大，混凝土使用量较少，采用人工现场拌合；浇筑过程中产生的施工废水收集后回用于</w:t>
            </w:r>
            <w:r>
              <w:rPr>
                <w:spacing w:val="-2"/>
                <w:sz w:val="24"/>
                <w:szCs w:val="24"/>
              </w:rPr>
              <w:t>施工作业。</w:t>
            </w:r>
          </w:p>
          <w:p w14:paraId="76776520">
            <w:pPr>
              <w:pStyle w:val="6"/>
              <w:spacing w:line="217" w:lineRule="auto"/>
              <w:ind w:left="581"/>
              <w:rPr>
                <w:sz w:val="24"/>
                <w:szCs w:val="24"/>
              </w:rPr>
            </w:pPr>
            <w:r>
              <w:rPr>
                <w:spacing w:val="-2"/>
                <w:sz w:val="24"/>
                <w:szCs w:val="24"/>
              </w:rPr>
              <w:t>③土石方回填</w:t>
            </w:r>
          </w:p>
          <w:p w14:paraId="268CC208">
            <w:pPr>
              <w:pStyle w:val="6"/>
              <w:spacing w:before="185" w:line="359" w:lineRule="auto"/>
              <w:ind w:left="102" w:right="103" w:firstLine="510"/>
              <w:rPr>
                <w:sz w:val="24"/>
                <w:szCs w:val="24"/>
              </w:rPr>
            </w:pPr>
            <w:r>
              <w:rPr>
                <w:spacing w:val="-1"/>
                <w:sz w:val="24"/>
                <w:szCs w:val="24"/>
              </w:rPr>
              <w:t>由于工程输电线路施工地点较为分散，塔基浇筑好后优先进行土石方回</w:t>
            </w:r>
            <w:r>
              <w:rPr>
                <w:sz w:val="24"/>
                <w:szCs w:val="24"/>
              </w:rPr>
              <w:t>填，将基础开挖产生的土石方回填至塔基低洼处，回填不完的临时弃土堆放在塔基施工区一角，待塔基施工结束后压实修筑在塔</w:t>
            </w:r>
            <w:r>
              <w:rPr>
                <w:spacing w:val="-1"/>
                <w:sz w:val="24"/>
                <w:szCs w:val="24"/>
              </w:rPr>
              <w:t>基周边做护坡和挡墙。</w:t>
            </w:r>
          </w:p>
          <w:p w14:paraId="7501B2D7">
            <w:pPr>
              <w:pStyle w:val="6"/>
              <w:spacing w:line="220" w:lineRule="auto"/>
              <w:ind w:left="594"/>
              <w:rPr>
                <w:sz w:val="24"/>
                <w:szCs w:val="24"/>
              </w:rPr>
            </w:pPr>
            <w:r>
              <w:rPr>
                <w:b/>
                <w:bCs/>
                <w:spacing w:val="-4"/>
                <w:sz w:val="24"/>
                <w:szCs w:val="24"/>
              </w:rPr>
              <w:t>（</w:t>
            </w:r>
            <w:r>
              <w:rPr>
                <w:rFonts w:ascii="Times New Roman" w:hAnsi="Times New Roman" w:eastAsia="Times New Roman" w:cs="Times New Roman"/>
                <w:b/>
                <w:bCs/>
                <w:spacing w:val="-4"/>
                <w:sz w:val="24"/>
                <w:szCs w:val="24"/>
              </w:rPr>
              <w:t>3</w:t>
            </w:r>
            <w:r>
              <w:rPr>
                <w:b/>
                <w:bCs/>
                <w:spacing w:val="-4"/>
                <w:sz w:val="24"/>
                <w:szCs w:val="24"/>
              </w:rPr>
              <w:t>）铁塔组立及架线施工：</w:t>
            </w:r>
          </w:p>
          <w:p w14:paraId="4510B7B5">
            <w:pPr>
              <w:pStyle w:val="6"/>
              <w:spacing w:before="182" w:line="217" w:lineRule="auto"/>
              <w:ind w:left="582"/>
              <w:rPr>
                <w:sz w:val="24"/>
                <w:szCs w:val="24"/>
              </w:rPr>
            </w:pPr>
            <w:r>
              <w:rPr>
                <w:spacing w:val="-2"/>
                <w:sz w:val="24"/>
                <w:szCs w:val="24"/>
              </w:rPr>
              <w:t>①杆塔组立</w:t>
            </w:r>
          </w:p>
          <w:p w14:paraId="7C72A8AC">
            <w:pPr>
              <w:pStyle w:val="6"/>
              <w:spacing w:before="183" w:line="359" w:lineRule="auto"/>
              <w:ind w:left="103" w:right="103" w:firstLine="480"/>
              <w:jc w:val="both"/>
              <w:rPr>
                <w:sz w:val="24"/>
                <w:szCs w:val="24"/>
              </w:rPr>
            </w:pPr>
            <w:r>
              <w:rPr>
                <w:sz w:val="24"/>
                <w:szCs w:val="24"/>
              </w:rPr>
              <w:t>杆塔为可拆卸、组装式角钢塔，零散材料运至附近机耕路，人抬或马驮至塔基处，不设置施工便道；铁塔组立采用内抱杆外拉线方式组立，铁塔组立按线路施工规范要求进行施工，吊装时可根据构架的不同形式采用四点绑</w:t>
            </w:r>
            <w:r>
              <w:rPr>
                <w:spacing w:val="-1"/>
                <w:sz w:val="24"/>
                <w:szCs w:val="24"/>
              </w:rPr>
              <w:t>扎或两点绑扎，绑扎时用垫木或废轮胎保护。</w:t>
            </w:r>
          </w:p>
          <w:p w14:paraId="28021DF4">
            <w:pPr>
              <w:pStyle w:val="6"/>
              <w:spacing w:before="1" w:line="217" w:lineRule="auto"/>
              <w:ind w:left="581"/>
              <w:rPr>
                <w:sz w:val="24"/>
                <w:szCs w:val="24"/>
              </w:rPr>
            </w:pPr>
            <w:r>
              <w:rPr>
                <w:spacing w:val="-2"/>
                <w:sz w:val="24"/>
                <w:szCs w:val="24"/>
              </w:rPr>
              <w:t>②架线施工</w:t>
            </w:r>
          </w:p>
          <w:p w14:paraId="6DD7BF51">
            <w:pPr>
              <w:pStyle w:val="6"/>
              <w:spacing w:before="186" w:line="359" w:lineRule="auto"/>
              <w:ind w:left="102" w:right="103" w:firstLine="480"/>
              <w:rPr>
                <w:sz w:val="24"/>
                <w:szCs w:val="24"/>
              </w:rPr>
            </w:pPr>
            <w:r>
              <w:rPr>
                <w:sz w:val="24"/>
                <w:szCs w:val="24"/>
              </w:rPr>
              <w:t>根据地形地貌情况及周边分布情况，本项目分别采用牵张力放线、无人</w:t>
            </w:r>
            <w:r>
              <w:rPr>
                <w:spacing w:val="-1"/>
                <w:sz w:val="24"/>
                <w:szCs w:val="24"/>
              </w:rPr>
              <w:t>机放线工艺，对架线通道属于无害化架线方式。</w:t>
            </w:r>
          </w:p>
          <w:p w14:paraId="02C0D758">
            <w:pPr>
              <w:pStyle w:val="6"/>
              <w:spacing w:line="342" w:lineRule="auto"/>
              <w:ind w:left="104" w:right="103" w:firstLine="480"/>
              <w:rPr>
                <w:sz w:val="24"/>
                <w:szCs w:val="24"/>
              </w:rPr>
            </w:pPr>
            <w:r>
              <w:rPr>
                <w:sz w:val="24"/>
                <w:szCs w:val="24"/>
              </w:rPr>
              <w:t>牵张力放线施工方法：线路在经过地形相对平缓处采用牵张力放线施工方法。施工单位根据自身条件选择一牵四或一牵二两种放线方法。当导线采</w:t>
            </w:r>
          </w:p>
        </w:tc>
      </w:tr>
    </w:tbl>
    <w:p w14:paraId="2CDCAFDF">
      <w:pPr>
        <w:rPr>
          <w:rFonts w:ascii="Arial"/>
          <w:sz w:val="21"/>
        </w:rPr>
      </w:pPr>
    </w:p>
    <w:p w14:paraId="2FF22D20">
      <w:pPr>
        <w:rPr>
          <w:rFonts w:ascii="Arial" w:hAnsi="Arial" w:eastAsia="Arial" w:cs="Arial"/>
          <w:sz w:val="21"/>
          <w:szCs w:val="21"/>
        </w:rPr>
        <w:sectPr>
          <w:footerReference r:id="rId60" w:type="default"/>
          <w:pgSz w:w="11907" w:h="16840"/>
          <w:pgMar w:top="400" w:right="1684" w:bottom="1240" w:left="1683" w:header="0" w:footer="1077" w:gutter="0"/>
          <w:cols w:space="720" w:num="1"/>
        </w:sectPr>
      </w:pPr>
    </w:p>
    <w:p w14:paraId="2626A265">
      <w:pPr>
        <w:spacing w:before="19"/>
      </w:pPr>
    </w:p>
    <w:p w14:paraId="655779E6">
      <w:pPr>
        <w:spacing w:before="19"/>
      </w:pPr>
    </w:p>
    <w:p w14:paraId="0721D10C">
      <w:pPr>
        <w:spacing w:before="18"/>
      </w:pPr>
    </w:p>
    <w:p w14:paraId="60A73167">
      <w:pPr>
        <w:spacing w:before="18"/>
      </w:pPr>
    </w:p>
    <w:tbl>
      <w:tblPr>
        <w:tblStyle w:val="5"/>
        <w:tblW w:w="85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5"/>
        <w:gridCol w:w="8149"/>
      </w:tblGrid>
      <w:tr w14:paraId="00ED0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46" w:hRule="atLeast"/>
        </w:trPr>
        <w:tc>
          <w:tcPr>
            <w:tcW w:w="375" w:type="dxa"/>
            <w:vAlign w:val="top"/>
          </w:tcPr>
          <w:p w14:paraId="0719A51F">
            <w:pPr>
              <w:rPr>
                <w:rFonts w:ascii="Arial"/>
                <w:sz w:val="21"/>
              </w:rPr>
            </w:pPr>
          </w:p>
        </w:tc>
        <w:tc>
          <w:tcPr>
            <w:tcW w:w="8149" w:type="dxa"/>
            <w:vAlign w:val="top"/>
          </w:tcPr>
          <w:p w14:paraId="177DD497">
            <w:pPr>
              <w:pStyle w:val="6"/>
              <w:spacing w:before="42" w:line="359" w:lineRule="auto"/>
              <w:ind w:left="101" w:right="41" w:firstLine="3"/>
              <w:rPr>
                <w:sz w:val="24"/>
                <w:szCs w:val="24"/>
              </w:rPr>
            </w:pPr>
            <w:r>
              <w:rPr>
                <w:spacing w:val="-5"/>
                <w:sz w:val="24"/>
                <w:szCs w:val="24"/>
              </w:rPr>
              <w:t>用一牵四方式张力放线时，每极四根子导线应基本同时紧线，同时观</w:t>
            </w:r>
            <w:r>
              <w:rPr>
                <w:spacing w:val="-6"/>
                <w:sz w:val="24"/>
                <w:szCs w:val="24"/>
              </w:rPr>
              <w:t>测弧垂，</w:t>
            </w:r>
            <w:r>
              <w:rPr>
                <w:sz w:val="24"/>
                <w:szCs w:val="24"/>
              </w:rPr>
              <w:t>并及时安装附件；当导线按一牵二方式张力放线时，先将四根子导线展放完毕，再将四根子导线同时紧线或分两次紧线；导、地线在放线过程中应防止导、地线落地拖拉及相互摩擦。紧线按地线</w:t>
            </w:r>
            <w:r>
              <w:rPr>
                <w:rFonts w:ascii="Times New Roman" w:hAnsi="Times New Roman" w:eastAsia="Times New Roman" w:cs="Times New Roman"/>
                <w:sz w:val="24"/>
                <w:szCs w:val="24"/>
              </w:rPr>
              <w:t>→</w:t>
            </w:r>
            <w:r>
              <w:rPr>
                <w:rFonts w:ascii="Times New Roman" w:hAnsi="Times New Roman" w:eastAsia="Times New Roman" w:cs="Times New Roman"/>
                <w:spacing w:val="-44"/>
                <w:sz w:val="24"/>
                <w:szCs w:val="24"/>
              </w:rPr>
              <w:t xml:space="preserve"> </w:t>
            </w:r>
            <w:r>
              <w:rPr>
                <w:sz w:val="24"/>
                <w:szCs w:val="24"/>
              </w:rPr>
              <w:t>导线顺序进</w:t>
            </w:r>
            <w:r>
              <w:rPr>
                <w:spacing w:val="-1"/>
                <w:sz w:val="24"/>
                <w:szCs w:val="24"/>
              </w:rPr>
              <w:t>行，紧线布置与常</w:t>
            </w:r>
            <w:r>
              <w:rPr>
                <w:sz w:val="24"/>
                <w:szCs w:val="24"/>
              </w:rPr>
              <w:t>规放线相同，导、地线采用直线塔紧线，耐张角钢塔张塔高空断线、高空压</w:t>
            </w:r>
            <w:r>
              <w:rPr>
                <w:spacing w:val="1"/>
                <w:sz w:val="24"/>
                <w:szCs w:val="24"/>
              </w:rPr>
              <w:t>接、平衡对外拉线方式。架空地线展放及收紧、展放导引绳、牵放牵引绳、</w:t>
            </w:r>
            <w:r>
              <w:rPr>
                <w:sz w:val="24"/>
                <w:szCs w:val="24"/>
              </w:rPr>
              <w:t>牵放导线、锚固导线、紧线临锚、附件安装、压接升空、间隔棒安装、耐张</w:t>
            </w:r>
            <w:r>
              <w:rPr>
                <w:spacing w:val="-5"/>
                <w:sz w:val="24"/>
                <w:szCs w:val="24"/>
              </w:rPr>
              <w:t>角钢塔张塔平衡挂线和跳线安装等。线路沿线设置牵张场，采用张力机紧线，</w:t>
            </w:r>
            <w:r>
              <w:rPr>
                <w:sz w:val="24"/>
                <w:szCs w:val="24"/>
              </w:rPr>
              <w:t>一般以张力放线施工段作为紧线段，以直线塔作为紧线操作塔。紧线完毕后</w:t>
            </w:r>
            <w:r>
              <w:rPr>
                <w:spacing w:val="-1"/>
                <w:sz w:val="24"/>
                <w:szCs w:val="24"/>
              </w:rPr>
              <w:t>进行附件、线夹、防震金具、间隔棒等安装。</w:t>
            </w:r>
          </w:p>
          <w:p w14:paraId="35CFAAC0">
            <w:pPr>
              <w:pStyle w:val="6"/>
              <w:spacing w:line="359" w:lineRule="auto"/>
              <w:ind w:left="102" w:right="103" w:firstLine="482"/>
              <w:jc w:val="both"/>
              <w:rPr>
                <w:sz w:val="24"/>
                <w:szCs w:val="24"/>
              </w:rPr>
            </w:pPr>
            <w:r>
              <w:rPr>
                <w:sz w:val="24"/>
                <w:szCs w:val="24"/>
              </w:rPr>
              <w:t>无人机放线工艺：一般是在机身下悬挂一平衡重物，导引绳连接其上，在地面展放机械的配合下牵引飞过塔位。由塔上人员配合或机上操作人员借助导杆将导引绳放入牵引滑车槽内，再用导引绳、牵引绳，通过相与相间渡</w:t>
            </w:r>
            <w:r>
              <w:rPr>
                <w:spacing w:val="-1"/>
                <w:sz w:val="24"/>
                <w:szCs w:val="24"/>
              </w:rPr>
              <w:t>绳等操作，最后用牵引绳牵放导线。</w:t>
            </w:r>
          </w:p>
          <w:p w14:paraId="784C7183">
            <w:pPr>
              <w:pStyle w:val="6"/>
              <w:spacing w:line="217" w:lineRule="auto"/>
              <w:ind w:left="581"/>
              <w:rPr>
                <w:sz w:val="24"/>
                <w:szCs w:val="24"/>
              </w:rPr>
            </w:pPr>
            <w:r>
              <w:rPr>
                <w:spacing w:val="-1"/>
                <w:sz w:val="24"/>
                <w:szCs w:val="24"/>
              </w:rPr>
              <w:t>③跨越设施安装与拆除</w:t>
            </w:r>
          </w:p>
          <w:p w14:paraId="7F9B5FA8">
            <w:pPr>
              <w:pStyle w:val="6"/>
              <w:spacing w:before="185" w:line="219" w:lineRule="auto"/>
              <w:ind w:left="584"/>
              <w:rPr>
                <w:sz w:val="24"/>
                <w:szCs w:val="24"/>
              </w:rPr>
            </w:pPr>
            <w:r>
              <w:rPr>
                <w:spacing w:val="-1"/>
                <w:sz w:val="24"/>
                <w:szCs w:val="24"/>
              </w:rPr>
              <w:t>本工程设置施工跨越场地</w:t>
            </w:r>
            <w:r>
              <w:rPr>
                <w:spacing w:val="-57"/>
                <w:sz w:val="24"/>
                <w:szCs w:val="24"/>
              </w:rPr>
              <w:t xml:space="preserve"> </w:t>
            </w:r>
            <w:r>
              <w:rPr>
                <w:rFonts w:ascii="Times New Roman" w:hAnsi="Times New Roman" w:eastAsia="Times New Roman" w:cs="Times New Roman"/>
                <w:spacing w:val="-1"/>
                <w:sz w:val="24"/>
                <w:szCs w:val="24"/>
              </w:rPr>
              <w:t xml:space="preserve">4 </w:t>
            </w:r>
            <w:r>
              <w:rPr>
                <w:spacing w:val="-1"/>
                <w:sz w:val="24"/>
                <w:szCs w:val="24"/>
              </w:rPr>
              <w:t>处。</w:t>
            </w:r>
          </w:p>
          <w:p w14:paraId="7BFADF5D">
            <w:pPr>
              <w:pStyle w:val="6"/>
              <w:spacing w:before="181" w:line="359" w:lineRule="auto"/>
              <w:ind w:left="103" w:right="103" w:firstLine="479"/>
              <w:rPr>
                <w:sz w:val="24"/>
                <w:szCs w:val="24"/>
              </w:rPr>
            </w:pPr>
            <w:r>
              <w:rPr>
                <w:sz w:val="24"/>
                <w:szCs w:val="24"/>
              </w:rPr>
              <w:t>施工准备：跨越架线施工前应了解被跨越电力线情况，测量被跨越物的</w:t>
            </w:r>
            <w:r>
              <w:rPr>
                <w:spacing w:val="-1"/>
                <w:sz w:val="24"/>
                <w:szCs w:val="24"/>
              </w:rPr>
              <w:t>相关技术参数和收集现场条件，确定方案。</w:t>
            </w:r>
          </w:p>
          <w:p w14:paraId="16423431">
            <w:pPr>
              <w:pStyle w:val="6"/>
              <w:spacing w:before="1" w:line="359" w:lineRule="auto"/>
              <w:ind w:left="102" w:right="23" w:firstLine="480"/>
              <w:jc w:val="both"/>
              <w:rPr>
                <w:sz w:val="24"/>
                <w:szCs w:val="24"/>
              </w:rPr>
            </w:pPr>
            <w:r>
              <w:rPr>
                <w:sz w:val="24"/>
                <w:szCs w:val="24"/>
              </w:rPr>
              <w:t>跨越设施安装：采用钢制跨越架，分别布置于各跨越点处，共</w:t>
            </w:r>
            <w:r>
              <w:rPr>
                <w:spacing w:val="-52"/>
                <w:sz w:val="24"/>
                <w:szCs w:val="24"/>
              </w:rPr>
              <w:t xml:space="preserve"> </w:t>
            </w:r>
            <w:r>
              <w:rPr>
                <w:rFonts w:ascii="Times New Roman" w:hAnsi="Times New Roman" w:eastAsia="Times New Roman" w:cs="Times New Roman"/>
                <w:sz w:val="24"/>
                <w:szCs w:val="24"/>
              </w:rPr>
              <w:t xml:space="preserve">2 </w:t>
            </w:r>
            <w:r>
              <w:rPr>
                <w:sz w:val="24"/>
                <w:szCs w:val="24"/>
              </w:rPr>
              <w:t>处</w:t>
            </w:r>
            <w:r>
              <w:rPr>
                <w:spacing w:val="-1"/>
                <w:sz w:val="24"/>
                <w:szCs w:val="24"/>
              </w:rPr>
              <w:t>。架</w:t>
            </w:r>
            <w:r>
              <w:rPr>
                <w:spacing w:val="2"/>
                <w:sz w:val="24"/>
                <w:szCs w:val="24"/>
              </w:rPr>
              <w:t>体立杆垂直埋入坑内，埋深不小于</w:t>
            </w:r>
            <w:r>
              <w:rPr>
                <w:spacing w:val="-51"/>
                <w:sz w:val="24"/>
                <w:szCs w:val="24"/>
              </w:rPr>
              <w:t xml:space="preserve"> </w:t>
            </w:r>
            <w:r>
              <w:rPr>
                <w:rFonts w:ascii="Times New Roman" w:hAnsi="Times New Roman" w:eastAsia="Times New Roman" w:cs="Times New Roman"/>
                <w:spacing w:val="2"/>
                <w:sz w:val="24"/>
                <w:szCs w:val="24"/>
              </w:rPr>
              <w:t xml:space="preserve">0.5 </w:t>
            </w:r>
            <w:r>
              <w:rPr>
                <w:spacing w:val="2"/>
                <w:sz w:val="24"/>
                <w:szCs w:val="24"/>
              </w:rPr>
              <w:t>米，横杆与立</w:t>
            </w:r>
            <w:r>
              <w:rPr>
                <w:spacing w:val="1"/>
                <w:sz w:val="24"/>
                <w:szCs w:val="24"/>
              </w:rPr>
              <w:t>杆直角搭设，每个节点均应可靠连接，逐步加固，由下向上依次进行。跨越架两端及每隔</w:t>
            </w:r>
            <w:r>
              <w:rPr>
                <w:spacing w:val="-46"/>
                <w:sz w:val="24"/>
                <w:szCs w:val="24"/>
              </w:rPr>
              <w:t xml:space="preserve"> </w:t>
            </w:r>
            <w:r>
              <w:rPr>
                <w:rFonts w:ascii="Times New Roman" w:hAnsi="Times New Roman" w:eastAsia="Times New Roman" w:cs="Times New Roman"/>
                <w:spacing w:val="1"/>
                <w:sz w:val="24"/>
                <w:szCs w:val="24"/>
              </w:rPr>
              <w:t xml:space="preserve">6-7 </w:t>
            </w:r>
            <w:r>
              <w:rPr>
                <w:spacing w:val="1"/>
                <w:sz w:val="24"/>
                <w:szCs w:val="24"/>
              </w:rPr>
              <w:t>根立</w:t>
            </w:r>
            <w:r>
              <w:rPr>
                <w:spacing w:val="-5"/>
                <w:sz w:val="24"/>
                <w:szCs w:val="24"/>
              </w:rPr>
              <w:t>杆应设剪刀撑、支杆或拉线。拉线、支杆或剪刀撑设在立杆与横杆的交接处。</w:t>
            </w:r>
            <w:r>
              <w:rPr>
                <w:spacing w:val="-2"/>
                <w:sz w:val="24"/>
                <w:szCs w:val="24"/>
              </w:rPr>
              <w:t>跨越架两端应搭设羊角，羊角伸出端部</w:t>
            </w:r>
            <w:r>
              <w:rPr>
                <w:spacing w:val="-55"/>
                <w:sz w:val="24"/>
                <w:szCs w:val="24"/>
              </w:rPr>
              <w:t xml:space="preserve"> </w:t>
            </w:r>
            <w:r>
              <w:rPr>
                <w:rFonts w:ascii="Times New Roman" w:hAnsi="Times New Roman" w:eastAsia="Times New Roman" w:cs="Times New Roman"/>
                <w:spacing w:val="-2"/>
                <w:sz w:val="24"/>
                <w:szCs w:val="24"/>
              </w:rPr>
              <w:t>2-3</w:t>
            </w:r>
            <w:r>
              <w:rPr>
                <w:rFonts w:ascii="Times New Roman" w:hAnsi="Times New Roman" w:eastAsia="Times New Roman" w:cs="Times New Roman"/>
                <w:spacing w:val="-3"/>
                <w:sz w:val="24"/>
                <w:szCs w:val="24"/>
              </w:rPr>
              <w:t>m</w:t>
            </w:r>
            <w:r>
              <w:rPr>
                <w:spacing w:val="-3"/>
                <w:sz w:val="24"/>
                <w:szCs w:val="24"/>
              </w:rPr>
              <w:t>，临时拉线及跨越架排数应符合</w:t>
            </w:r>
            <w:r>
              <w:rPr>
                <w:sz w:val="24"/>
                <w:szCs w:val="24"/>
              </w:rPr>
              <w:t>施工方案要求。跨越设施安装不得计划外占地，安装完成后应按相关规定悬挂醒目的警告标志，跨越设施应经使用单位</w:t>
            </w:r>
            <w:r>
              <w:rPr>
                <w:spacing w:val="-1"/>
                <w:sz w:val="24"/>
                <w:szCs w:val="24"/>
              </w:rPr>
              <w:t>验收合格后方可使用。</w:t>
            </w:r>
          </w:p>
          <w:p w14:paraId="0A35F7CB">
            <w:pPr>
              <w:pStyle w:val="6"/>
              <w:spacing w:before="4" w:line="350" w:lineRule="auto"/>
              <w:ind w:left="104" w:right="41" w:firstLine="479"/>
              <w:jc w:val="both"/>
              <w:rPr>
                <w:sz w:val="24"/>
                <w:szCs w:val="24"/>
              </w:rPr>
            </w:pPr>
            <w:r>
              <w:rPr>
                <w:spacing w:val="-5"/>
                <w:sz w:val="24"/>
                <w:szCs w:val="24"/>
              </w:rPr>
              <w:t>跨越架线：跨越不停电线路时，施工人员不</w:t>
            </w:r>
            <w:r>
              <w:rPr>
                <w:spacing w:val="-6"/>
                <w:sz w:val="24"/>
                <w:szCs w:val="24"/>
              </w:rPr>
              <w:t>得在跨越架内侧攀登或作业，</w:t>
            </w:r>
            <w:r>
              <w:rPr>
                <w:sz w:val="24"/>
                <w:szCs w:val="24"/>
              </w:rPr>
              <w:t>并严禁从封顶架上通过，在带电体附近作业时，人体与带电体的最小安全距</w:t>
            </w:r>
            <w:r>
              <w:rPr>
                <w:spacing w:val="1"/>
                <w:sz w:val="24"/>
                <w:szCs w:val="24"/>
              </w:rPr>
              <w:t>离应满足安全规程要求。施工时邀请被跨越电力线运行部门进行现场监护，</w:t>
            </w:r>
            <w:r>
              <w:rPr>
                <w:sz w:val="24"/>
                <w:szCs w:val="24"/>
              </w:rPr>
              <w:t>作为施工单位安全监护人。跨越带电线路施工前，向运行部门书面申请“退</w:t>
            </w:r>
          </w:p>
        </w:tc>
      </w:tr>
    </w:tbl>
    <w:p w14:paraId="7625F29E">
      <w:pPr>
        <w:rPr>
          <w:rFonts w:ascii="Arial"/>
          <w:sz w:val="21"/>
        </w:rPr>
      </w:pPr>
    </w:p>
    <w:p w14:paraId="645C654B">
      <w:pPr>
        <w:rPr>
          <w:rFonts w:ascii="Arial" w:hAnsi="Arial" w:eastAsia="Arial" w:cs="Arial"/>
          <w:sz w:val="21"/>
          <w:szCs w:val="21"/>
        </w:rPr>
        <w:sectPr>
          <w:footerReference r:id="rId61" w:type="default"/>
          <w:pgSz w:w="11907" w:h="16840"/>
          <w:pgMar w:top="400" w:right="1684" w:bottom="1240" w:left="1683" w:header="0" w:footer="1077" w:gutter="0"/>
          <w:cols w:space="720" w:num="1"/>
        </w:sectPr>
      </w:pPr>
    </w:p>
    <w:p w14:paraId="097F2805">
      <w:pPr>
        <w:spacing w:before="19"/>
      </w:pPr>
    </w:p>
    <w:p w14:paraId="6FB7736E">
      <w:pPr>
        <w:spacing w:before="19"/>
      </w:pPr>
    </w:p>
    <w:p w14:paraId="2A1D60EE">
      <w:pPr>
        <w:spacing w:before="18"/>
      </w:pPr>
    </w:p>
    <w:p w14:paraId="5B506EB2">
      <w:pPr>
        <w:spacing w:before="18"/>
      </w:pPr>
    </w:p>
    <w:tbl>
      <w:tblPr>
        <w:tblStyle w:val="5"/>
        <w:tblW w:w="852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5"/>
        <w:gridCol w:w="114"/>
        <w:gridCol w:w="558"/>
        <w:gridCol w:w="2931"/>
        <w:gridCol w:w="4422"/>
        <w:gridCol w:w="124"/>
      </w:tblGrid>
      <w:tr w14:paraId="2D74A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42" w:hRule="atLeast"/>
        </w:trPr>
        <w:tc>
          <w:tcPr>
            <w:tcW w:w="375" w:type="dxa"/>
            <w:vMerge w:val="restart"/>
            <w:tcBorders>
              <w:top w:val="single" w:color="000000" w:sz="6" w:space="0"/>
              <w:left w:val="single" w:color="000000" w:sz="6" w:space="0"/>
              <w:bottom w:val="nil"/>
              <w:right w:val="single" w:color="000000" w:sz="6" w:space="0"/>
            </w:tcBorders>
            <w:vAlign w:val="top"/>
          </w:tcPr>
          <w:p w14:paraId="1BC8D475">
            <w:pPr>
              <w:rPr>
                <w:rFonts w:ascii="Arial"/>
                <w:sz w:val="21"/>
              </w:rPr>
            </w:pPr>
          </w:p>
        </w:tc>
        <w:tc>
          <w:tcPr>
            <w:tcW w:w="8149" w:type="dxa"/>
            <w:gridSpan w:val="5"/>
            <w:tcBorders>
              <w:top w:val="single" w:color="000000" w:sz="6" w:space="0"/>
              <w:left w:val="single" w:color="000000" w:sz="6" w:space="0"/>
              <w:right w:val="single" w:color="000000" w:sz="6" w:space="0"/>
            </w:tcBorders>
            <w:vAlign w:val="top"/>
          </w:tcPr>
          <w:p w14:paraId="2B292A7F">
            <w:pPr>
              <w:pStyle w:val="6"/>
              <w:spacing w:before="41" w:line="358" w:lineRule="auto"/>
              <w:ind w:left="103" w:right="143" w:firstLine="20"/>
              <w:rPr>
                <w:sz w:val="24"/>
                <w:szCs w:val="24"/>
              </w:rPr>
            </w:pPr>
            <w:r>
              <w:rPr>
                <w:spacing w:val="-3"/>
                <w:sz w:val="24"/>
                <w:szCs w:val="24"/>
              </w:rPr>
              <w:t>出重合闸</w:t>
            </w:r>
            <w:r>
              <w:rPr>
                <w:spacing w:val="-76"/>
                <w:sz w:val="24"/>
                <w:szCs w:val="24"/>
              </w:rPr>
              <w:t xml:space="preserve"> </w:t>
            </w:r>
            <w:r>
              <w:rPr>
                <w:spacing w:val="-3"/>
                <w:sz w:val="24"/>
                <w:szCs w:val="24"/>
              </w:rPr>
              <w:t>”。跨越不停电线路架线施工应在良好的天气下进行，遇雨、雪、</w:t>
            </w:r>
            <w:r>
              <w:rPr>
                <w:spacing w:val="-2"/>
                <w:sz w:val="24"/>
                <w:szCs w:val="24"/>
              </w:rPr>
              <w:t>霜、雾，相对湿度</w:t>
            </w:r>
            <w:r>
              <w:rPr>
                <w:spacing w:val="-31"/>
                <w:sz w:val="24"/>
                <w:szCs w:val="24"/>
              </w:rPr>
              <w:t xml:space="preserve"> </w:t>
            </w:r>
            <w:r>
              <w:rPr>
                <w:rFonts w:ascii="Times New Roman" w:hAnsi="Times New Roman" w:eastAsia="Times New Roman" w:cs="Times New Roman"/>
                <w:spacing w:val="-2"/>
                <w:sz w:val="24"/>
                <w:szCs w:val="24"/>
              </w:rPr>
              <w:t>85%</w:t>
            </w:r>
            <w:r>
              <w:rPr>
                <w:spacing w:val="-2"/>
                <w:sz w:val="24"/>
                <w:szCs w:val="24"/>
              </w:rPr>
              <w:t>或</w:t>
            </w:r>
            <w:r>
              <w:rPr>
                <w:spacing w:val="-49"/>
                <w:sz w:val="24"/>
                <w:szCs w:val="24"/>
              </w:rPr>
              <w:t xml:space="preserve"> </w:t>
            </w:r>
            <w:r>
              <w:rPr>
                <w:rFonts w:ascii="Times New Roman" w:hAnsi="Times New Roman" w:eastAsia="Times New Roman" w:cs="Times New Roman"/>
                <w:spacing w:val="-2"/>
                <w:sz w:val="24"/>
                <w:szCs w:val="24"/>
              </w:rPr>
              <w:t xml:space="preserve">5 </w:t>
            </w:r>
            <w:r>
              <w:rPr>
                <w:spacing w:val="-2"/>
                <w:sz w:val="24"/>
                <w:szCs w:val="24"/>
              </w:rPr>
              <w:t>级以上大风时，停止作业。</w:t>
            </w:r>
          </w:p>
          <w:p w14:paraId="39682B0B">
            <w:pPr>
              <w:pStyle w:val="6"/>
              <w:spacing w:before="2" w:line="359" w:lineRule="auto"/>
              <w:ind w:left="103" w:right="103" w:firstLine="480"/>
              <w:jc w:val="both"/>
              <w:rPr>
                <w:sz w:val="24"/>
                <w:szCs w:val="24"/>
              </w:rPr>
            </w:pPr>
            <w:r>
              <w:rPr>
                <w:sz w:val="24"/>
                <w:szCs w:val="24"/>
              </w:rPr>
              <w:t>跨越架线设施拆除：跨越架拆除，操作顺序与搭设时相反，由上向下逐根进行。不得上下无次序地同时进行拆除，或采取成排推倒的方法，拆下的材料应有人传递，不得向下抛扔，并有防倾倒措施。拆除下来的材料回收利</w:t>
            </w:r>
            <w:r>
              <w:rPr>
                <w:spacing w:val="-1"/>
                <w:sz w:val="24"/>
                <w:szCs w:val="24"/>
              </w:rPr>
              <w:t>用，不得随意抛弃施工现场。</w:t>
            </w:r>
          </w:p>
          <w:p w14:paraId="77DC46A9">
            <w:pPr>
              <w:pStyle w:val="6"/>
              <w:spacing w:line="220" w:lineRule="auto"/>
              <w:ind w:left="594"/>
              <w:rPr>
                <w:sz w:val="24"/>
                <w:szCs w:val="24"/>
              </w:rPr>
            </w:pPr>
            <w:r>
              <w:rPr>
                <w:b/>
                <w:bCs/>
                <w:spacing w:val="-5"/>
                <w:sz w:val="24"/>
                <w:szCs w:val="24"/>
              </w:rPr>
              <w:t>（二）间隔扩建工程</w:t>
            </w:r>
          </w:p>
          <w:p w14:paraId="0B27A1FD">
            <w:pPr>
              <w:pStyle w:val="6"/>
              <w:spacing w:before="181" w:line="359" w:lineRule="auto"/>
              <w:ind w:left="105" w:right="103" w:firstLine="479"/>
              <w:rPr>
                <w:sz w:val="24"/>
                <w:szCs w:val="24"/>
              </w:rPr>
            </w:pPr>
            <w:r>
              <w:rPr>
                <w:spacing w:val="-6"/>
                <w:sz w:val="24"/>
                <w:szCs w:val="24"/>
              </w:rPr>
              <w:t>本期在</w:t>
            </w:r>
            <w:r>
              <w:rPr>
                <w:spacing w:val="-44"/>
                <w:sz w:val="24"/>
                <w:szCs w:val="24"/>
              </w:rPr>
              <w:t xml:space="preserve"> </w:t>
            </w:r>
            <w:r>
              <w:rPr>
                <w:rFonts w:ascii="Times New Roman" w:hAnsi="Times New Roman" w:eastAsia="Times New Roman" w:cs="Times New Roman"/>
                <w:spacing w:val="-6"/>
                <w:sz w:val="24"/>
                <w:szCs w:val="24"/>
              </w:rPr>
              <w:t>220kV</w:t>
            </w:r>
            <w:r>
              <w:rPr>
                <w:rFonts w:ascii="Times New Roman" w:hAnsi="Times New Roman" w:eastAsia="Times New Roman" w:cs="Times New Roman"/>
                <w:spacing w:val="15"/>
                <w:sz w:val="24"/>
                <w:szCs w:val="24"/>
              </w:rPr>
              <w:t xml:space="preserve"> </w:t>
            </w:r>
            <w:r>
              <w:rPr>
                <w:spacing w:val="-6"/>
                <w:sz w:val="24"/>
                <w:szCs w:val="24"/>
              </w:rPr>
              <w:t>芳华变</w:t>
            </w:r>
            <w:r>
              <w:rPr>
                <w:spacing w:val="-32"/>
                <w:sz w:val="24"/>
                <w:szCs w:val="24"/>
              </w:rPr>
              <w:t xml:space="preserve"> </w:t>
            </w:r>
            <w:r>
              <w:rPr>
                <w:rFonts w:ascii="Times New Roman" w:hAnsi="Times New Roman" w:eastAsia="Times New Roman" w:cs="Times New Roman"/>
                <w:spacing w:val="-6"/>
                <w:sz w:val="24"/>
                <w:szCs w:val="24"/>
              </w:rPr>
              <w:t>110kV</w:t>
            </w:r>
            <w:r>
              <w:rPr>
                <w:rFonts w:ascii="Times New Roman" w:hAnsi="Times New Roman" w:eastAsia="Times New Roman" w:cs="Times New Roman"/>
                <w:spacing w:val="27"/>
                <w:w w:val="101"/>
                <w:sz w:val="24"/>
                <w:szCs w:val="24"/>
              </w:rPr>
              <w:t xml:space="preserve"> </w:t>
            </w:r>
            <w:r>
              <w:rPr>
                <w:spacing w:val="-6"/>
                <w:sz w:val="24"/>
                <w:szCs w:val="24"/>
              </w:rPr>
              <w:t>出线侧扩建间隔</w:t>
            </w:r>
            <w:r>
              <w:rPr>
                <w:spacing w:val="-32"/>
                <w:sz w:val="24"/>
                <w:szCs w:val="24"/>
              </w:rPr>
              <w:t xml:space="preserve"> </w:t>
            </w:r>
            <w:r>
              <w:rPr>
                <w:rFonts w:ascii="Times New Roman" w:hAnsi="Times New Roman" w:eastAsia="Times New Roman" w:cs="Times New Roman"/>
                <w:spacing w:val="-6"/>
                <w:sz w:val="24"/>
                <w:szCs w:val="24"/>
              </w:rPr>
              <w:t xml:space="preserve">1 </w:t>
            </w:r>
            <w:r>
              <w:rPr>
                <w:spacing w:val="-6"/>
                <w:sz w:val="24"/>
                <w:szCs w:val="24"/>
              </w:rPr>
              <w:t>个，出线间隔电气设备采</w:t>
            </w:r>
            <w:r>
              <w:rPr>
                <w:sz w:val="24"/>
                <w:szCs w:val="24"/>
              </w:rPr>
              <w:t>用吊车吊运安装，安装到位后进行线缆连接，经调试验收合格后投入运行。</w:t>
            </w:r>
            <w:r>
              <w:rPr>
                <w:spacing w:val="-2"/>
                <w:sz w:val="24"/>
                <w:szCs w:val="24"/>
              </w:rPr>
              <w:t>工程均在站内预留场地内施工，施工周期约需</w:t>
            </w:r>
            <w:r>
              <w:rPr>
                <w:spacing w:val="-23"/>
                <w:sz w:val="24"/>
                <w:szCs w:val="24"/>
              </w:rPr>
              <w:t xml:space="preserve"> </w:t>
            </w:r>
            <w:r>
              <w:rPr>
                <w:rFonts w:ascii="Times New Roman" w:hAnsi="Times New Roman" w:eastAsia="Times New Roman" w:cs="Times New Roman"/>
                <w:spacing w:val="-2"/>
                <w:sz w:val="24"/>
                <w:szCs w:val="24"/>
              </w:rPr>
              <w:t xml:space="preserve">1 </w:t>
            </w:r>
            <w:r>
              <w:rPr>
                <w:spacing w:val="-2"/>
                <w:sz w:val="24"/>
                <w:szCs w:val="24"/>
              </w:rPr>
              <w:t>个月。</w:t>
            </w:r>
          </w:p>
          <w:p w14:paraId="38D60802">
            <w:pPr>
              <w:pStyle w:val="6"/>
              <w:spacing w:line="220" w:lineRule="auto"/>
              <w:ind w:left="594"/>
              <w:rPr>
                <w:sz w:val="24"/>
                <w:szCs w:val="24"/>
              </w:rPr>
            </w:pPr>
            <w:r>
              <w:rPr>
                <w:b/>
                <w:bCs/>
                <w:spacing w:val="-5"/>
                <w:sz w:val="24"/>
                <w:szCs w:val="24"/>
              </w:rPr>
              <w:t>（三）拆迁安置情况</w:t>
            </w:r>
          </w:p>
          <w:p w14:paraId="54A29842">
            <w:pPr>
              <w:pStyle w:val="6"/>
              <w:spacing w:before="179" w:line="219" w:lineRule="auto"/>
              <w:ind w:left="582"/>
              <w:rPr>
                <w:sz w:val="24"/>
                <w:szCs w:val="24"/>
              </w:rPr>
            </w:pPr>
            <w:r>
              <w:rPr>
                <w:spacing w:val="-1"/>
                <w:sz w:val="24"/>
                <w:szCs w:val="24"/>
              </w:rPr>
              <w:t>施工范围内无拆迁安置问题。</w:t>
            </w:r>
          </w:p>
          <w:p w14:paraId="7267B528">
            <w:pPr>
              <w:pStyle w:val="6"/>
              <w:spacing w:before="183" w:line="221" w:lineRule="auto"/>
              <w:ind w:left="594"/>
              <w:rPr>
                <w:sz w:val="24"/>
                <w:szCs w:val="24"/>
              </w:rPr>
            </w:pPr>
            <w:r>
              <w:rPr>
                <w:b/>
                <w:bCs/>
                <w:spacing w:val="-5"/>
                <w:sz w:val="24"/>
                <w:szCs w:val="24"/>
              </w:rPr>
              <w:t>（四）施工交通</w:t>
            </w:r>
          </w:p>
          <w:p w14:paraId="4320DEE1">
            <w:pPr>
              <w:pStyle w:val="6"/>
              <w:spacing w:before="180" w:line="359" w:lineRule="auto"/>
              <w:ind w:left="105" w:right="103" w:firstLine="480"/>
              <w:jc w:val="both"/>
              <w:rPr>
                <w:sz w:val="24"/>
                <w:szCs w:val="24"/>
              </w:rPr>
            </w:pPr>
            <w:r>
              <w:rPr>
                <w:sz w:val="24"/>
                <w:szCs w:val="24"/>
              </w:rPr>
              <w:t>线路施工过程利用已有的进站道路、机耕道、便道进行施工材料和设备的运送，在车辆无法到达地区，通过人工、马驮或简易运输将设备运至施工</w:t>
            </w:r>
            <w:r>
              <w:rPr>
                <w:spacing w:val="-2"/>
                <w:sz w:val="24"/>
                <w:szCs w:val="24"/>
              </w:rPr>
              <w:t>现场；不新修施工便道。</w:t>
            </w:r>
          </w:p>
          <w:p w14:paraId="73BE3B2B">
            <w:pPr>
              <w:pStyle w:val="6"/>
              <w:spacing w:before="1" w:line="220" w:lineRule="auto"/>
              <w:ind w:left="594"/>
              <w:rPr>
                <w:sz w:val="24"/>
                <w:szCs w:val="24"/>
              </w:rPr>
            </w:pPr>
            <w:r>
              <w:rPr>
                <w:b/>
                <w:bCs/>
                <w:spacing w:val="-5"/>
                <w:sz w:val="24"/>
                <w:szCs w:val="24"/>
              </w:rPr>
              <w:t>（七）施工人员安排</w:t>
            </w:r>
          </w:p>
          <w:p w14:paraId="245BA50C">
            <w:pPr>
              <w:pStyle w:val="6"/>
              <w:spacing w:before="180" w:line="359" w:lineRule="auto"/>
              <w:ind w:left="103" w:right="103" w:firstLine="479"/>
              <w:jc w:val="both"/>
              <w:rPr>
                <w:sz w:val="24"/>
                <w:szCs w:val="24"/>
              </w:rPr>
            </w:pPr>
            <w:r>
              <w:rPr>
                <w:spacing w:val="-4"/>
                <w:sz w:val="24"/>
                <w:szCs w:val="24"/>
              </w:rPr>
              <w:t>输电线路施工人员为</w:t>
            </w:r>
            <w:r>
              <w:rPr>
                <w:spacing w:val="-41"/>
                <w:sz w:val="24"/>
                <w:szCs w:val="24"/>
              </w:rPr>
              <w:t xml:space="preserve"> </w:t>
            </w:r>
            <w:r>
              <w:rPr>
                <w:rFonts w:ascii="Times New Roman" w:hAnsi="Times New Roman" w:eastAsia="Times New Roman" w:cs="Times New Roman"/>
                <w:spacing w:val="-4"/>
                <w:sz w:val="24"/>
                <w:szCs w:val="24"/>
              </w:rPr>
              <w:t xml:space="preserve">30 </w:t>
            </w:r>
            <w:r>
              <w:rPr>
                <w:spacing w:val="-4"/>
                <w:sz w:val="24"/>
                <w:szCs w:val="24"/>
              </w:rPr>
              <w:t>人，除技术人员外招收当地劳动力。由于施工点</w:t>
            </w:r>
            <w:r>
              <w:rPr>
                <w:sz w:val="24"/>
                <w:szCs w:val="24"/>
              </w:rPr>
              <w:t>较为分散，输电线路施工均不设置施工营地，施工人员食宿租用线路周围村</w:t>
            </w:r>
            <w:r>
              <w:rPr>
                <w:spacing w:val="-1"/>
                <w:sz w:val="24"/>
                <w:szCs w:val="24"/>
              </w:rPr>
              <w:t>庄民房（当地劳动力回家食宿）。</w:t>
            </w:r>
          </w:p>
          <w:p w14:paraId="3911B8E5">
            <w:pPr>
              <w:pStyle w:val="6"/>
              <w:spacing w:before="1" w:line="218" w:lineRule="auto"/>
              <w:ind w:left="125"/>
              <w:rPr>
                <w:sz w:val="24"/>
                <w:szCs w:val="24"/>
              </w:rPr>
            </w:pPr>
            <w:r>
              <w:rPr>
                <w:b/>
                <w:bCs/>
                <w:spacing w:val="-6"/>
                <w:sz w:val="24"/>
                <w:szCs w:val="24"/>
              </w:rPr>
              <w:t>四、主要施工机械</w:t>
            </w:r>
          </w:p>
          <w:p w14:paraId="72A789D2">
            <w:pPr>
              <w:pStyle w:val="6"/>
              <w:spacing w:before="183" w:line="219" w:lineRule="auto"/>
              <w:ind w:left="582"/>
              <w:rPr>
                <w:sz w:val="24"/>
                <w:szCs w:val="24"/>
              </w:rPr>
            </w:pPr>
            <w:r>
              <w:rPr>
                <w:spacing w:val="-1"/>
                <w:sz w:val="24"/>
                <w:szCs w:val="24"/>
              </w:rPr>
              <w:t>施工期主要施工机械见下表。</w:t>
            </w:r>
          </w:p>
          <w:p w14:paraId="2363D067">
            <w:pPr>
              <w:pStyle w:val="6"/>
              <w:spacing w:before="177" w:line="208" w:lineRule="auto"/>
              <w:ind w:left="2376"/>
            </w:pPr>
            <w:r>
              <w:rPr>
                <w:b/>
                <w:bCs/>
                <w:spacing w:val="6"/>
              </w:rPr>
              <w:t>表</w:t>
            </w:r>
            <w:r>
              <w:rPr>
                <w:spacing w:val="-43"/>
              </w:rPr>
              <w:t xml:space="preserve"> </w:t>
            </w:r>
            <w:r>
              <w:rPr>
                <w:rFonts w:ascii="Times New Roman" w:hAnsi="Times New Roman" w:eastAsia="Times New Roman" w:cs="Times New Roman"/>
                <w:b/>
                <w:bCs/>
                <w:spacing w:val="6"/>
              </w:rPr>
              <w:t xml:space="preserve">2-13    </w:t>
            </w:r>
            <w:r>
              <w:rPr>
                <w:b/>
                <w:bCs/>
                <w:spacing w:val="6"/>
              </w:rPr>
              <w:t>本工程主要施工机械一</w:t>
            </w:r>
            <w:r>
              <w:rPr>
                <w:b/>
                <w:bCs/>
                <w:spacing w:val="5"/>
              </w:rPr>
              <w:t>览表</w:t>
            </w:r>
          </w:p>
        </w:tc>
      </w:tr>
      <w:tr w14:paraId="1D641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75" w:type="dxa"/>
            <w:vMerge w:val="continue"/>
            <w:tcBorders>
              <w:top w:val="nil"/>
              <w:left w:val="single" w:color="000000" w:sz="6" w:space="0"/>
              <w:bottom w:val="nil"/>
              <w:right w:val="single" w:color="000000" w:sz="6" w:space="0"/>
            </w:tcBorders>
            <w:vAlign w:val="top"/>
          </w:tcPr>
          <w:p w14:paraId="31DE18AE">
            <w:pPr>
              <w:rPr>
                <w:rFonts w:ascii="Arial"/>
                <w:sz w:val="21"/>
              </w:rPr>
            </w:pPr>
          </w:p>
        </w:tc>
        <w:tc>
          <w:tcPr>
            <w:tcW w:w="114" w:type="dxa"/>
            <w:tcBorders>
              <w:top w:val="nil"/>
              <w:left w:val="single" w:color="000000" w:sz="6" w:space="0"/>
              <w:bottom w:val="nil"/>
            </w:tcBorders>
            <w:vAlign w:val="top"/>
          </w:tcPr>
          <w:p w14:paraId="2FCE4921">
            <w:pPr>
              <w:rPr>
                <w:rFonts w:ascii="Arial"/>
                <w:sz w:val="21"/>
              </w:rPr>
            </w:pPr>
          </w:p>
        </w:tc>
        <w:tc>
          <w:tcPr>
            <w:tcW w:w="558" w:type="dxa"/>
            <w:vAlign w:val="top"/>
          </w:tcPr>
          <w:p w14:paraId="5D9CF140">
            <w:pPr>
              <w:pStyle w:val="6"/>
              <w:spacing w:before="42" w:line="206" w:lineRule="auto"/>
              <w:ind w:left="66"/>
            </w:pPr>
            <w:r>
              <w:rPr>
                <w:b/>
                <w:bCs/>
                <w:spacing w:val="4"/>
              </w:rPr>
              <w:t>序号</w:t>
            </w:r>
          </w:p>
        </w:tc>
        <w:tc>
          <w:tcPr>
            <w:tcW w:w="2931" w:type="dxa"/>
            <w:vAlign w:val="top"/>
          </w:tcPr>
          <w:p w14:paraId="4076D755">
            <w:pPr>
              <w:pStyle w:val="6"/>
              <w:spacing w:before="42" w:line="206" w:lineRule="auto"/>
              <w:ind w:left="1044"/>
            </w:pPr>
            <w:r>
              <w:rPr>
                <w:b/>
                <w:bCs/>
                <w:spacing w:val="6"/>
              </w:rPr>
              <w:t>施工机械</w:t>
            </w:r>
          </w:p>
        </w:tc>
        <w:tc>
          <w:tcPr>
            <w:tcW w:w="4422" w:type="dxa"/>
            <w:vAlign w:val="top"/>
          </w:tcPr>
          <w:p w14:paraId="5932FF4B">
            <w:pPr>
              <w:pStyle w:val="6"/>
              <w:spacing w:before="42" w:line="206" w:lineRule="auto"/>
              <w:ind w:left="2012"/>
            </w:pPr>
            <w:r>
              <w:rPr>
                <w:b/>
                <w:bCs/>
                <w:spacing w:val="2"/>
              </w:rPr>
              <w:t>备注</w:t>
            </w:r>
          </w:p>
        </w:tc>
        <w:tc>
          <w:tcPr>
            <w:tcW w:w="124" w:type="dxa"/>
            <w:tcBorders>
              <w:top w:val="nil"/>
              <w:bottom w:val="nil"/>
              <w:right w:val="single" w:color="000000" w:sz="6" w:space="0"/>
            </w:tcBorders>
            <w:vAlign w:val="top"/>
          </w:tcPr>
          <w:p w14:paraId="373CA5F7">
            <w:pPr>
              <w:rPr>
                <w:rFonts w:ascii="Arial"/>
                <w:sz w:val="21"/>
              </w:rPr>
            </w:pPr>
          </w:p>
        </w:tc>
      </w:tr>
      <w:tr w14:paraId="7BD8A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75" w:type="dxa"/>
            <w:vMerge w:val="continue"/>
            <w:tcBorders>
              <w:top w:val="nil"/>
              <w:left w:val="single" w:color="000000" w:sz="6" w:space="0"/>
              <w:bottom w:val="nil"/>
              <w:right w:val="single" w:color="000000" w:sz="6" w:space="0"/>
            </w:tcBorders>
            <w:vAlign w:val="top"/>
          </w:tcPr>
          <w:p w14:paraId="6C8D86D0">
            <w:pPr>
              <w:rPr>
                <w:rFonts w:ascii="Arial"/>
                <w:sz w:val="21"/>
              </w:rPr>
            </w:pPr>
          </w:p>
        </w:tc>
        <w:tc>
          <w:tcPr>
            <w:tcW w:w="114" w:type="dxa"/>
            <w:tcBorders>
              <w:top w:val="nil"/>
              <w:left w:val="single" w:color="000000" w:sz="6" w:space="0"/>
              <w:bottom w:val="nil"/>
            </w:tcBorders>
            <w:vAlign w:val="top"/>
          </w:tcPr>
          <w:p w14:paraId="5DD8004E">
            <w:pPr>
              <w:rPr>
                <w:rFonts w:ascii="Arial"/>
                <w:sz w:val="21"/>
              </w:rPr>
            </w:pPr>
          </w:p>
        </w:tc>
        <w:tc>
          <w:tcPr>
            <w:tcW w:w="558" w:type="dxa"/>
            <w:vAlign w:val="top"/>
          </w:tcPr>
          <w:p w14:paraId="0D3FA5CE">
            <w:pPr>
              <w:spacing w:before="78" w:line="195" w:lineRule="auto"/>
              <w:ind w:left="242"/>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931" w:type="dxa"/>
            <w:vAlign w:val="top"/>
          </w:tcPr>
          <w:p w14:paraId="4211946A">
            <w:pPr>
              <w:pStyle w:val="6"/>
              <w:spacing w:before="42" w:line="206" w:lineRule="auto"/>
              <w:ind w:left="1154"/>
            </w:pPr>
            <w:r>
              <w:rPr>
                <w:spacing w:val="6"/>
              </w:rPr>
              <w:t>起重机</w:t>
            </w:r>
          </w:p>
        </w:tc>
        <w:tc>
          <w:tcPr>
            <w:tcW w:w="4422" w:type="dxa"/>
            <w:vAlign w:val="top"/>
          </w:tcPr>
          <w:p w14:paraId="0ACDE80F">
            <w:pPr>
              <w:pStyle w:val="6"/>
              <w:spacing w:before="42" w:line="206" w:lineRule="auto"/>
              <w:ind w:left="1800"/>
            </w:pPr>
            <w:r>
              <w:rPr>
                <w:spacing w:val="7"/>
              </w:rPr>
              <w:t>材料装卸</w:t>
            </w:r>
          </w:p>
        </w:tc>
        <w:tc>
          <w:tcPr>
            <w:tcW w:w="124" w:type="dxa"/>
            <w:tcBorders>
              <w:top w:val="nil"/>
              <w:bottom w:val="nil"/>
              <w:right w:val="single" w:color="000000" w:sz="6" w:space="0"/>
            </w:tcBorders>
            <w:vAlign w:val="top"/>
          </w:tcPr>
          <w:p w14:paraId="009DA77D">
            <w:pPr>
              <w:rPr>
                <w:rFonts w:ascii="Arial"/>
                <w:sz w:val="21"/>
              </w:rPr>
            </w:pPr>
          </w:p>
        </w:tc>
      </w:tr>
      <w:tr w14:paraId="7D4F5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75" w:type="dxa"/>
            <w:vMerge w:val="continue"/>
            <w:tcBorders>
              <w:top w:val="nil"/>
              <w:left w:val="single" w:color="000000" w:sz="6" w:space="0"/>
              <w:bottom w:val="nil"/>
              <w:right w:val="single" w:color="000000" w:sz="6" w:space="0"/>
            </w:tcBorders>
            <w:vAlign w:val="top"/>
          </w:tcPr>
          <w:p w14:paraId="3C11EA65">
            <w:pPr>
              <w:rPr>
                <w:rFonts w:ascii="Arial"/>
                <w:sz w:val="21"/>
              </w:rPr>
            </w:pPr>
          </w:p>
        </w:tc>
        <w:tc>
          <w:tcPr>
            <w:tcW w:w="114" w:type="dxa"/>
            <w:tcBorders>
              <w:top w:val="nil"/>
              <w:left w:val="single" w:color="000000" w:sz="6" w:space="0"/>
              <w:bottom w:val="nil"/>
            </w:tcBorders>
            <w:vAlign w:val="top"/>
          </w:tcPr>
          <w:p w14:paraId="3D913955">
            <w:pPr>
              <w:rPr>
                <w:rFonts w:ascii="Arial"/>
                <w:sz w:val="21"/>
              </w:rPr>
            </w:pPr>
          </w:p>
        </w:tc>
        <w:tc>
          <w:tcPr>
            <w:tcW w:w="558" w:type="dxa"/>
            <w:vAlign w:val="top"/>
          </w:tcPr>
          <w:p w14:paraId="3E91C611">
            <w:pPr>
              <w:spacing w:before="80" w:line="195" w:lineRule="auto"/>
              <w:ind w:left="221"/>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931" w:type="dxa"/>
            <w:vAlign w:val="top"/>
          </w:tcPr>
          <w:p w14:paraId="33E16CD3">
            <w:pPr>
              <w:pStyle w:val="6"/>
              <w:spacing w:before="44" w:line="206" w:lineRule="auto"/>
              <w:ind w:left="1048"/>
            </w:pPr>
            <w:r>
              <w:rPr>
                <w:spacing w:val="7"/>
              </w:rPr>
              <w:t>载重汽车</w:t>
            </w:r>
          </w:p>
        </w:tc>
        <w:tc>
          <w:tcPr>
            <w:tcW w:w="4422" w:type="dxa"/>
            <w:vAlign w:val="top"/>
          </w:tcPr>
          <w:p w14:paraId="180F9F55">
            <w:pPr>
              <w:pStyle w:val="6"/>
              <w:spacing w:before="44" w:line="206" w:lineRule="auto"/>
              <w:ind w:left="1589"/>
            </w:pPr>
            <w:r>
              <w:rPr>
                <w:spacing w:val="8"/>
              </w:rPr>
              <w:t>材料汽车运输</w:t>
            </w:r>
          </w:p>
        </w:tc>
        <w:tc>
          <w:tcPr>
            <w:tcW w:w="124" w:type="dxa"/>
            <w:tcBorders>
              <w:top w:val="nil"/>
              <w:bottom w:val="nil"/>
              <w:right w:val="single" w:color="000000" w:sz="6" w:space="0"/>
            </w:tcBorders>
            <w:vAlign w:val="top"/>
          </w:tcPr>
          <w:p w14:paraId="0BEEA115">
            <w:pPr>
              <w:rPr>
                <w:rFonts w:ascii="Arial"/>
                <w:sz w:val="21"/>
              </w:rPr>
            </w:pPr>
          </w:p>
        </w:tc>
      </w:tr>
      <w:tr w14:paraId="1DB244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75" w:type="dxa"/>
            <w:vMerge w:val="continue"/>
            <w:tcBorders>
              <w:top w:val="nil"/>
              <w:left w:val="single" w:color="000000" w:sz="6" w:space="0"/>
              <w:bottom w:val="nil"/>
              <w:right w:val="single" w:color="000000" w:sz="6" w:space="0"/>
            </w:tcBorders>
            <w:vAlign w:val="top"/>
          </w:tcPr>
          <w:p w14:paraId="29315CE9">
            <w:pPr>
              <w:rPr>
                <w:rFonts w:ascii="Arial"/>
                <w:sz w:val="21"/>
              </w:rPr>
            </w:pPr>
          </w:p>
        </w:tc>
        <w:tc>
          <w:tcPr>
            <w:tcW w:w="114" w:type="dxa"/>
            <w:tcBorders>
              <w:top w:val="nil"/>
              <w:left w:val="single" w:color="000000" w:sz="6" w:space="0"/>
              <w:bottom w:val="nil"/>
            </w:tcBorders>
            <w:vAlign w:val="top"/>
          </w:tcPr>
          <w:p w14:paraId="50B92D67">
            <w:pPr>
              <w:rPr>
                <w:rFonts w:ascii="Arial"/>
                <w:sz w:val="21"/>
              </w:rPr>
            </w:pPr>
          </w:p>
        </w:tc>
        <w:tc>
          <w:tcPr>
            <w:tcW w:w="558" w:type="dxa"/>
            <w:vAlign w:val="top"/>
          </w:tcPr>
          <w:p w14:paraId="451DD1F3">
            <w:pPr>
              <w:spacing w:before="81" w:line="194" w:lineRule="auto"/>
              <w:ind w:left="226"/>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931" w:type="dxa"/>
            <w:vAlign w:val="top"/>
          </w:tcPr>
          <w:p w14:paraId="2FD25A35">
            <w:pPr>
              <w:pStyle w:val="6"/>
              <w:spacing w:before="44" w:line="205" w:lineRule="auto"/>
              <w:ind w:left="839"/>
            </w:pPr>
            <w:r>
              <w:rPr>
                <w:spacing w:val="7"/>
              </w:rPr>
              <w:t>混凝土振捣器</w:t>
            </w:r>
          </w:p>
        </w:tc>
        <w:tc>
          <w:tcPr>
            <w:tcW w:w="4422" w:type="dxa"/>
            <w:vAlign w:val="top"/>
          </w:tcPr>
          <w:p w14:paraId="0D41C8DC">
            <w:pPr>
              <w:pStyle w:val="6"/>
              <w:spacing w:before="44" w:line="205" w:lineRule="auto"/>
              <w:ind w:left="1800"/>
            </w:pPr>
            <w:r>
              <w:rPr>
                <w:spacing w:val="7"/>
              </w:rPr>
              <w:t>基础施工</w:t>
            </w:r>
          </w:p>
        </w:tc>
        <w:tc>
          <w:tcPr>
            <w:tcW w:w="124" w:type="dxa"/>
            <w:tcBorders>
              <w:top w:val="nil"/>
              <w:bottom w:val="nil"/>
              <w:right w:val="single" w:color="000000" w:sz="6" w:space="0"/>
            </w:tcBorders>
            <w:vAlign w:val="top"/>
          </w:tcPr>
          <w:p w14:paraId="3B9D0F59">
            <w:pPr>
              <w:rPr>
                <w:rFonts w:ascii="Arial"/>
                <w:sz w:val="21"/>
              </w:rPr>
            </w:pPr>
          </w:p>
        </w:tc>
      </w:tr>
      <w:tr w14:paraId="2E2EAC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75" w:type="dxa"/>
            <w:vMerge w:val="continue"/>
            <w:tcBorders>
              <w:top w:val="nil"/>
              <w:left w:val="single" w:color="000000" w:sz="6" w:space="0"/>
              <w:bottom w:val="nil"/>
              <w:right w:val="single" w:color="000000" w:sz="6" w:space="0"/>
            </w:tcBorders>
            <w:vAlign w:val="top"/>
          </w:tcPr>
          <w:p w14:paraId="1946AA14">
            <w:pPr>
              <w:rPr>
                <w:rFonts w:ascii="Arial"/>
                <w:sz w:val="21"/>
              </w:rPr>
            </w:pPr>
          </w:p>
        </w:tc>
        <w:tc>
          <w:tcPr>
            <w:tcW w:w="114" w:type="dxa"/>
            <w:tcBorders>
              <w:top w:val="nil"/>
              <w:left w:val="single" w:color="000000" w:sz="6" w:space="0"/>
              <w:bottom w:val="nil"/>
            </w:tcBorders>
            <w:vAlign w:val="top"/>
          </w:tcPr>
          <w:p w14:paraId="6E92DAB0">
            <w:pPr>
              <w:rPr>
                <w:rFonts w:ascii="Arial"/>
                <w:sz w:val="21"/>
              </w:rPr>
            </w:pPr>
          </w:p>
        </w:tc>
        <w:tc>
          <w:tcPr>
            <w:tcW w:w="558" w:type="dxa"/>
            <w:vAlign w:val="top"/>
          </w:tcPr>
          <w:p w14:paraId="704C6C91">
            <w:pPr>
              <w:spacing w:before="79" w:line="195" w:lineRule="auto"/>
              <w:ind w:left="22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931" w:type="dxa"/>
            <w:vAlign w:val="top"/>
          </w:tcPr>
          <w:p w14:paraId="338E5AB6">
            <w:pPr>
              <w:pStyle w:val="6"/>
              <w:spacing w:before="43" w:line="206" w:lineRule="auto"/>
              <w:ind w:left="1152"/>
            </w:pPr>
            <w:r>
              <w:rPr>
                <w:spacing w:val="7"/>
              </w:rPr>
              <w:t>挖掘机</w:t>
            </w:r>
          </w:p>
        </w:tc>
        <w:tc>
          <w:tcPr>
            <w:tcW w:w="4422" w:type="dxa"/>
            <w:vAlign w:val="top"/>
          </w:tcPr>
          <w:p w14:paraId="76F10A9E">
            <w:pPr>
              <w:pStyle w:val="6"/>
              <w:spacing w:before="43" w:line="206" w:lineRule="auto"/>
              <w:ind w:left="1800"/>
            </w:pPr>
            <w:r>
              <w:rPr>
                <w:spacing w:val="7"/>
              </w:rPr>
              <w:t>基础施工</w:t>
            </w:r>
          </w:p>
        </w:tc>
        <w:tc>
          <w:tcPr>
            <w:tcW w:w="124" w:type="dxa"/>
            <w:tcBorders>
              <w:top w:val="nil"/>
              <w:bottom w:val="nil"/>
              <w:right w:val="single" w:color="000000" w:sz="6" w:space="0"/>
            </w:tcBorders>
            <w:vAlign w:val="top"/>
          </w:tcPr>
          <w:p w14:paraId="445CD214">
            <w:pPr>
              <w:rPr>
                <w:rFonts w:ascii="Arial"/>
                <w:sz w:val="21"/>
              </w:rPr>
            </w:pPr>
          </w:p>
        </w:tc>
      </w:tr>
      <w:tr w14:paraId="564B3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75" w:type="dxa"/>
            <w:vMerge w:val="continue"/>
            <w:tcBorders>
              <w:top w:val="nil"/>
              <w:left w:val="single" w:color="000000" w:sz="6" w:space="0"/>
              <w:bottom w:val="nil"/>
              <w:right w:val="single" w:color="000000" w:sz="6" w:space="0"/>
            </w:tcBorders>
            <w:vAlign w:val="top"/>
          </w:tcPr>
          <w:p w14:paraId="7F33C3B5">
            <w:pPr>
              <w:rPr>
                <w:rFonts w:ascii="Arial"/>
                <w:sz w:val="21"/>
              </w:rPr>
            </w:pPr>
          </w:p>
        </w:tc>
        <w:tc>
          <w:tcPr>
            <w:tcW w:w="114" w:type="dxa"/>
            <w:tcBorders>
              <w:top w:val="nil"/>
              <w:left w:val="single" w:color="000000" w:sz="6" w:space="0"/>
              <w:bottom w:val="nil"/>
            </w:tcBorders>
            <w:vAlign w:val="top"/>
          </w:tcPr>
          <w:p w14:paraId="63F07986">
            <w:pPr>
              <w:rPr>
                <w:rFonts w:ascii="Arial"/>
                <w:sz w:val="21"/>
              </w:rPr>
            </w:pPr>
          </w:p>
        </w:tc>
        <w:tc>
          <w:tcPr>
            <w:tcW w:w="558" w:type="dxa"/>
            <w:vAlign w:val="top"/>
          </w:tcPr>
          <w:p w14:paraId="08DDE51B">
            <w:pPr>
              <w:spacing w:before="83" w:line="191" w:lineRule="auto"/>
              <w:ind w:left="227"/>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2931" w:type="dxa"/>
            <w:vAlign w:val="top"/>
          </w:tcPr>
          <w:p w14:paraId="29D9A216">
            <w:pPr>
              <w:pStyle w:val="6"/>
              <w:spacing w:before="44" w:line="205" w:lineRule="auto"/>
              <w:ind w:left="966"/>
            </w:pPr>
            <w:r>
              <w:rPr>
                <w:spacing w:val="3"/>
              </w:rPr>
              <w:t>电动卷扬机</w:t>
            </w:r>
          </w:p>
        </w:tc>
        <w:tc>
          <w:tcPr>
            <w:tcW w:w="4422" w:type="dxa"/>
            <w:vAlign w:val="top"/>
          </w:tcPr>
          <w:p w14:paraId="47FC1750">
            <w:pPr>
              <w:pStyle w:val="6"/>
              <w:spacing w:before="44" w:line="205" w:lineRule="auto"/>
              <w:ind w:left="1903"/>
            </w:pPr>
            <w:r>
              <w:rPr>
                <w:spacing w:val="6"/>
              </w:rPr>
              <w:t>放紧线</w:t>
            </w:r>
          </w:p>
        </w:tc>
        <w:tc>
          <w:tcPr>
            <w:tcW w:w="124" w:type="dxa"/>
            <w:tcBorders>
              <w:top w:val="nil"/>
              <w:bottom w:val="nil"/>
              <w:right w:val="single" w:color="000000" w:sz="6" w:space="0"/>
            </w:tcBorders>
            <w:vAlign w:val="top"/>
          </w:tcPr>
          <w:p w14:paraId="11056E4F">
            <w:pPr>
              <w:rPr>
                <w:rFonts w:ascii="Arial"/>
                <w:sz w:val="21"/>
              </w:rPr>
            </w:pPr>
          </w:p>
        </w:tc>
      </w:tr>
      <w:tr w14:paraId="792D9D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75" w:type="dxa"/>
            <w:vMerge w:val="continue"/>
            <w:tcBorders>
              <w:top w:val="nil"/>
              <w:left w:val="single" w:color="000000" w:sz="6" w:space="0"/>
              <w:bottom w:val="nil"/>
              <w:right w:val="single" w:color="000000" w:sz="6" w:space="0"/>
            </w:tcBorders>
            <w:vAlign w:val="top"/>
          </w:tcPr>
          <w:p w14:paraId="7E6E3E3B">
            <w:pPr>
              <w:rPr>
                <w:rFonts w:ascii="Arial"/>
                <w:sz w:val="21"/>
              </w:rPr>
            </w:pPr>
          </w:p>
        </w:tc>
        <w:tc>
          <w:tcPr>
            <w:tcW w:w="114" w:type="dxa"/>
            <w:tcBorders>
              <w:top w:val="nil"/>
              <w:left w:val="single" w:color="000000" w:sz="6" w:space="0"/>
              <w:bottom w:val="nil"/>
            </w:tcBorders>
            <w:vAlign w:val="top"/>
          </w:tcPr>
          <w:p w14:paraId="17E3BE54">
            <w:pPr>
              <w:rPr>
                <w:rFonts w:ascii="Arial"/>
                <w:sz w:val="21"/>
              </w:rPr>
            </w:pPr>
          </w:p>
        </w:tc>
        <w:tc>
          <w:tcPr>
            <w:tcW w:w="558" w:type="dxa"/>
            <w:vAlign w:val="top"/>
          </w:tcPr>
          <w:p w14:paraId="5E82FC08">
            <w:pPr>
              <w:spacing w:before="82" w:line="193" w:lineRule="auto"/>
              <w:ind w:left="226"/>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2931" w:type="dxa"/>
            <w:vAlign w:val="top"/>
          </w:tcPr>
          <w:p w14:paraId="0A41BA74">
            <w:pPr>
              <w:pStyle w:val="6"/>
              <w:spacing w:before="46" w:line="204" w:lineRule="auto"/>
              <w:ind w:left="946"/>
            </w:pPr>
            <w:r>
              <w:rPr>
                <w:spacing w:val="7"/>
              </w:rPr>
              <w:t>交流电焊机</w:t>
            </w:r>
          </w:p>
        </w:tc>
        <w:tc>
          <w:tcPr>
            <w:tcW w:w="4422" w:type="dxa"/>
            <w:vAlign w:val="top"/>
          </w:tcPr>
          <w:p w14:paraId="3EF47852">
            <w:pPr>
              <w:pStyle w:val="6"/>
              <w:spacing w:before="46" w:line="204" w:lineRule="auto"/>
              <w:ind w:left="1800"/>
            </w:pPr>
            <w:r>
              <w:rPr>
                <w:spacing w:val="7"/>
              </w:rPr>
              <w:t>塔材焊接</w:t>
            </w:r>
          </w:p>
        </w:tc>
        <w:tc>
          <w:tcPr>
            <w:tcW w:w="124" w:type="dxa"/>
            <w:tcBorders>
              <w:top w:val="nil"/>
              <w:bottom w:val="nil"/>
              <w:right w:val="single" w:color="000000" w:sz="6" w:space="0"/>
            </w:tcBorders>
            <w:vAlign w:val="top"/>
          </w:tcPr>
          <w:p w14:paraId="68FB1502">
            <w:pPr>
              <w:rPr>
                <w:rFonts w:ascii="Arial"/>
                <w:sz w:val="21"/>
              </w:rPr>
            </w:pPr>
          </w:p>
        </w:tc>
      </w:tr>
      <w:tr w14:paraId="534B92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75" w:type="dxa"/>
            <w:vMerge w:val="continue"/>
            <w:tcBorders>
              <w:top w:val="nil"/>
              <w:left w:val="single" w:color="000000" w:sz="6" w:space="0"/>
              <w:bottom w:val="nil"/>
              <w:right w:val="single" w:color="000000" w:sz="6" w:space="0"/>
            </w:tcBorders>
            <w:vAlign w:val="top"/>
          </w:tcPr>
          <w:p w14:paraId="15204088">
            <w:pPr>
              <w:rPr>
                <w:rFonts w:ascii="Arial"/>
                <w:sz w:val="21"/>
              </w:rPr>
            </w:pPr>
          </w:p>
        </w:tc>
        <w:tc>
          <w:tcPr>
            <w:tcW w:w="114" w:type="dxa"/>
            <w:tcBorders>
              <w:top w:val="nil"/>
              <w:left w:val="single" w:color="000000" w:sz="6" w:space="0"/>
              <w:bottom w:val="nil"/>
            </w:tcBorders>
            <w:vAlign w:val="top"/>
          </w:tcPr>
          <w:p w14:paraId="63EFB977">
            <w:pPr>
              <w:rPr>
                <w:rFonts w:ascii="Arial"/>
                <w:sz w:val="21"/>
              </w:rPr>
            </w:pPr>
          </w:p>
        </w:tc>
        <w:tc>
          <w:tcPr>
            <w:tcW w:w="558" w:type="dxa"/>
            <w:vAlign w:val="top"/>
          </w:tcPr>
          <w:p w14:paraId="32A6CA19">
            <w:pPr>
              <w:spacing w:before="85" w:line="189" w:lineRule="auto"/>
              <w:ind w:left="225"/>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2931" w:type="dxa"/>
            <w:vAlign w:val="top"/>
          </w:tcPr>
          <w:p w14:paraId="701D2A13">
            <w:pPr>
              <w:pStyle w:val="6"/>
              <w:spacing w:before="47" w:line="203" w:lineRule="auto"/>
              <w:ind w:left="1155"/>
            </w:pPr>
            <w:r>
              <w:rPr>
                <w:spacing w:val="6"/>
              </w:rPr>
              <w:t>牵引机</w:t>
            </w:r>
          </w:p>
        </w:tc>
        <w:tc>
          <w:tcPr>
            <w:tcW w:w="4422" w:type="dxa"/>
            <w:vAlign w:val="top"/>
          </w:tcPr>
          <w:p w14:paraId="42E28320">
            <w:pPr>
              <w:pStyle w:val="6"/>
              <w:spacing w:before="47" w:line="203" w:lineRule="auto"/>
              <w:ind w:left="1903"/>
            </w:pPr>
            <w:r>
              <w:rPr>
                <w:spacing w:val="6"/>
              </w:rPr>
              <w:t>放紧线</w:t>
            </w:r>
          </w:p>
        </w:tc>
        <w:tc>
          <w:tcPr>
            <w:tcW w:w="124" w:type="dxa"/>
            <w:tcBorders>
              <w:top w:val="nil"/>
              <w:bottom w:val="nil"/>
              <w:right w:val="single" w:color="000000" w:sz="6" w:space="0"/>
            </w:tcBorders>
            <w:vAlign w:val="top"/>
          </w:tcPr>
          <w:p w14:paraId="0DF3853E">
            <w:pPr>
              <w:rPr>
                <w:rFonts w:ascii="Arial"/>
                <w:sz w:val="21"/>
              </w:rPr>
            </w:pPr>
          </w:p>
        </w:tc>
      </w:tr>
      <w:tr w14:paraId="44421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75" w:type="dxa"/>
            <w:vMerge w:val="continue"/>
            <w:tcBorders>
              <w:top w:val="nil"/>
              <w:left w:val="single" w:color="000000" w:sz="6" w:space="0"/>
              <w:bottom w:val="nil"/>
              <w:right w:val="single" w:color="000000" w:sz="6" w:space="0"/>
            </w:tcBorders>
            <w:vAlign w:val="top"/>
          </w:tcPr>
          <w:p w14:paraId="7D32AFD5">
            <w:pPr>
              <w:rPr>
                <w:rFonts w:ascii="Arial"/>
                <w:sz w:val="21"/>
              </w:rPr>
            </w:pPr>
          </w:p>
        </w:tc>
        <w:tc>
          <w:tcPr>
            <w:tcW w:w="114" w:type="dxa"/>
            <w:tcBorders>
              <w:top w:val="nil"/>
              <w:left w:val="single" w:color="000000" w:sz="6" w:space="0"/>
              <w:bottom w:val="nil"/>
            </w:tcBorders>
            <w:vAlign w:val="top"/>
          </w:tcPr>
          <w:p w14:paraId="13B80D05">
            <w:pPr>
              <w:rPr>
                <w:rFonts w:ascii="Arial"/>
                <w:sz w:val="21"/>
              </w:rPr>
            </w:pPr>
          </w:p>
        </w:tc>
        <w:tc>
          <w:tcPr>
            <w:tcW w:w="558" w:type="dxa"/>
            <w:vAlign w:val="top"/>
          </w:tcPr>
          <w:p w14:paraId="6C6B605E">
            <w:pPr>
              <w:spacing w:before="82" w:line="194" w:lineRule="auto"/>
              <w:ind w:left="230"/>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2931" w:type="dxa"/>
            <w:vAlign w:val="top"/>
          </w:tcPr>
          <w:p w14:paraId="4EE6978D">
            <w:pPr>
              <w:pStyle w:val="6"/>
              <w:spacing w:before="45" w:line="205" w:lineRule="auto"/>
              <w:ind w:left="1158"/>
            </w:pPr>
            <w:r>
              <w:rPr>
                <w:spacing w:val="5"/>
              </w:rPr>
              <w:t>张力计</w:t>
            </w:r>
          </w:p>
        </w:tc>
        <w:tc>
          <w:tcPr>
            <w:tcW w:w="4422" w:type="dxa"/>
            <w:vAlign w:val="top"/>
          </w:tcPr>
          <w:p w14:paraId="1CA0D1D0">
            <w:pPr>
              <w:pStyle w:val="6"/>
              <w:spacing w:before="45" w:line="205" w:lineRule="auto"/>
              <w:ind w:left="1903"/>
            </w:pPr>
            <w:r>
              <w:rPr>
                <w:spacing w:val="6"/>
              </w:rPr>
              <w:t>放紧线</w:t>
            </w:r>
          </w:p>
        </w:tc>
        <w:tc>
          <w:tcPr>
            <w:tcW w:w="124" w:type="dxa"/>
            <w:tcBorders>
              <w:top w:val="nil"/>
              <w:bottom w:val="nil"/>
              <w:right w:val="single" w:color="000000" w:sz="6" w:space="0"/>
            </w:tcBorders>
            <w:vAlign w:val="top"/>
          </w:tcPr>
          <w:p w14:paraId="2E62E857">
            <w:pPr>
              <w:rPr>
                <w:rFonts w:ascii="Arial"/>
                <w:sz w:val="21"/>
              </w:rPr>
            </w:pPr>
          </w:p>
        </w:tc>
      </w:tr>
      <w:tr w14:paraId="1819E5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375" w:type="dxa"/>
            <w:vMerge w:val="continue"/>
            <w:tcBorders>
              <w:top w:val="nil"/>
              <w:left w:val="single" w:color="000000" w:sz="6" w:space="0"/>
              <w:bottom w:val="single" w:color="000000" w:sz="6" w:space="0"/>
              <w:right w:val="single" w:color="000000" w:sz="6" w:space="0"/>
            </w:tcBorders>
            <w:vAlign w:val="top"/>
          </w:tcPr>
          <w:p w14:paraId="2B0DDE47">
            <w:pPr>
              <w:rPr>
                <w:rFonts w:ascii="Arial"/>
                <w:sz w:val="21"/>
              </w:rPr>
            </w:pPr>
          </w:p>
        </w:tc>
        <w:tc>
          <w:tcPr>
            <w:tcW w:w="114" w:type="dxa"/>
            <w:tcBorders>
              <w:top w:val="nil"/>
              <w:left w:val="single" w:color="000000" w:sz="6" w:space="0"/>
              <w:bottom w:val="single" w:color="000000" w:sz="6" w:space="0"/>
            </w:tcBorders>
            <w:vAlign w:val="top"/>
          </w:tcPr>
          <w:p w14:paraId="043CE705">
            <w:pPr>
              <w:rPr>
                <w:rFonts w:ascii="Arial"/>
                <w:sz w:val="21"/>
              </w:rPr>
            </w:pPr>
          </w:p>
        </w:tc>
        <w:tc>
          <w:tcPr>
            <w:tcW w:w="558" w:type="dxa"/>
            <w:tcBorders>
              <w:bottom w:val="single" w:color="000000" w:sz="6" w:space="0"/>
            </w:tcBorders>
            <w:vAlign w:val="top"/>
          </w:tcPr>
          <w:p w14:paraId="0FB576E8">
            <w:pPr>
              <w:spacing w:before="82" w:line="195" w:lineRule="auto"/>
              <w:ind w:left="225"/>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2931" w:type="dxa"/>
            <w:tcBorders>
              <w:bottom w:val="single" w:color="000000" w:sz="6" w:space="0"/>
            </w:tcBorders>
            <w:vAlign w:val="top"/>
          </w:tcPr>
          <w:p w14:paraId="197F3D3D">
            <w:pPr>
              <w:pStyle w:val="6"/>
              <w:spacing w:before="46" w:line="224" w:lineRule="auto"/>
              <w:ind w:left="1155"/>
            </w:pPr>
            <w:r>
              <w:rPr>
                <w:spacing w:val="6"/>
              </w:rPr>
              <w:t>无人机</w:t>
            </w:r>
          </w:p>
        </w:tc>
        <w:tc>
          <w:tcPr>
            <w:tcW w:w="4422" w:type="dxa"/>
            <w:tcBorders>
              <w:bottom w:val="single" w:color="000000" w:sz="6" w:space="0"/>
            </w:tcBorders>
            <w:vAlign w:val="top"/>
          </w:tcPr>
          <w:p w14:paraId="4A09C1BD">
            <w:pPr>
              <w:pStyle w:val="6"/>
              <w:spacing w:before="46" w:line="224" w:lineRule="auto"/>
              <w:ind w:left="1903"/>
            </w:pPr>
            <w:r>
              <w:rPr>
                <w:spacing w:val="6"/>
              </w:rPr>
              <w:t>放紧线</w:t>
            </w:r>
          </w:p>
        </w:tc>
        <w:tc>
          <w:tcPr>
            <w:tcW w:w="124" w:type="dxa"/>
            <w:tcBorders>
              <w:top w:val="nil"/>
              <w:bottom w:val="single" w:color="000000" w:sz="6" w:space="0"/>
              <w:right w:val="single" w:color="000000" w:sz="6" w:space="0"/>
            </w:tcBorders>
            <w:vAlign w:val="top"/>
          </w:tcPr>
          <w:p w14:paraId="176FAD96">
            <w:pPr>
              <w:rPr>
                <w:rFonts w:ascii="Arial"/>
                <w:sz w:val="21"/>
              </w:rPr>
            </w:pPr>
          </w:p>
        </w:tc>
      </w:tr>
    </w:tbl>
    <w:p w14:paraId="25978B28">
      <w:pPr>
        <w:rPr>
          <w:rFonts w:ascii="Arial"/>
          <w:sz w:val="21"/>
        </w:rPr>
      </w:pPr>
    </w:p>
    <w:p w14:paraId="541A8FEF">
      <w:pPr>
        <w:rPr>
          <w:rFonts w:ascii="Arial" w:hAnsi="Arial" w:eastAsia="Arial" w:cs="Arial"/>
          <w:sz w:val="21"/>
          <w:szCs w:val="21"/>
        </w:rPr>
        <w:sectPr>
          <w:footerReference r:id="rId62" w:type="default"/>
          <w:pgSz w:w="11907" w:h="16840"/>
          <w:pgMar w:top="400" w:right="1684" w:bottom="1240" w:left="1683" w:header="0" w:footer="1077" w:gutter="0"/>
          <w:cols w:space="720" w:num="1"/>
        </w:sectPr>
      </w:pPr>
    </w:p>
    <w:p w14:paraId="364FA254">
      <w:pPr>
        <w:spacing w:before="19"/>
      </w:pPr>
    </w:p>
    <w:p w14:paraId="6E841FDF">
      <w:pPr>
        <w:spacing w:before="19"/>
      </w:pPr>
    </w:p>
    <w:p w14:paraId="7FC353F1">
      <w:pPr>
        <w:spacing w:before="18"/>
      </w:pPr>
    </w:p>
    <w:p w14:paraId="46C8FC60">
      <w:pPr>
        <w:spacing w:before="18"/>
      </w:pPr>
    </w:p>
    <w:tbl>
      <w:tblPr>
        <w:tblStyle w:val="5"/>
        <w:tblW w:w="852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5"/>
        <w:gridCol w:w="114"/>
        <w:gridCol w:w="618"/>
        <w:gridCol w:w="1048"/>
        <w:gridCol w:w="3283"/>
        <w:gridCol w:w="2962"/>
        <w:gridCol w:w="124"/>
      </w:tblGrid>
      <w:tr w14:paraId="4A4EF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9" w:hRule="atLeast"/>
        </w:trPr>
        <w:tc>
          <w:tcPr>
            <w:tcW w:w="375" w:type="dxa"/>
            <w:tcBorders>
              <w:top w:val="single" w:color="000000" w:sz="6" w:space="0"/>
              <w:left w:val="single" w:color="000000" w:sz="6" w:space="0"/>
              <w:bottom w:val="single" w:color="000000" w:sz="6" w:space="0"/>
              <w:right w:val="single" w:color="000000" w:sz="6" w:space="0"/>
            </w:tcBorders>
            <w:vAlign w:val="top"/>
          </w:tcPr>
          <w:p w14:paraId="5A1D6696">
            <w:pPr>
              <w:rPr>
                <w:rFonts w:ascii="Arial"/>
                <w:sz w:val="21"/>
              </w:rPr>
            </w:pPr>
          </w:p>
        </w:tc>
        <w:tc>
          <w:tcPr>
            <w:tcW w:w="8149" w:type="dxa"/>
            <w:gridSpan w:val="6"/>
            <w:tcBorders>
              <w:top w:val="single" w:color="000000" w:sz="6" w:space="0"/>
              <w:left w:val="single" w:color="000000" w:sz="6" w:space="0"/>
              <w:bottom w:val="single" w:color="000000" w:sz="6" w:space="0"/>
              <w:right w:val="single" w:color="000000" w:sz="6" w:space="0"/>
            </w:tcBorders>
            <w:vAlign w:val="top"/>
          </w:tcPr>
          <w:p w14:paraId="48654351">
            <w:pPr>
              <w:pStyle w:val="6"/>
              <w:spacing w:before="161" w:line="220" w:lineRule="auto"/>
              <w:ind w:left="106"/>
              <w:rPr>
                <w:sz w:val="24"/>
                <w:szCs w:val="24"/>
              </w:rPr>
            </w:pPr>
            <w:r>
              <w:rPr>
                <w:b/>
                <w:bCs/>
                <w:spacing w:val="-4"/>
                <w:sz w:val="24"/>
                <w:szCs w:val="24"/>
              </w:rPr>
              <w:t>五、施工进度</w:t>
            </w:r>
          </w:p>
          <w:p w14:paraId="6B203B6F">
            <w:pPr>
              <w:pStyle w:val="6"/>
              <w:spacing w:before="291" w:line="300" w:lineRule="auto"/>
              <w:ind w:left="106" w:right="103" w:firstLine="478"/>
              <w:jc w:val="both"/>
              <w:rPr>
                <w:sz w:val="24"/>
                <w:szCs w:val="24"/>
              </w:rPr>
            </w:pPr>
            <w:r>
              <w:rPr>
                <w:spacing w:val="-4"/>
                <w:sz w:val="24"/>
                <w:szCs w:val="24"/>
              </w:rPr>
              <w:t>本项目变电站与输电线路同步施工，变电站计划建</w:t>
            </w:r>
            <w:r>
              <w:rPr>
                <w:spacing w:val="-5"/>
                <w:sz w:val="24"/>
                <w:szCs w:val="24"/>
              </w:rPr>
              <w:t>设工期为</w:t>
            </w:r>
            <w:r>
              <w:rPr>
                <w:spacing w:val="-32"/>
                <w:sz w:val="24"/>
                <w:szCs w:val="24"/>
              </w:rPr>
              <w:t xml:space="preserve"> </w:t>
            </w:r>
            <w:r>
              <w:rPr>
                <w:rFonts w:ascii="Times New Roman" w:hAnsi="Times New Roman" w:eastAsia="Times New Roman" w:cs="Times New Roman"/>
                <w:spacing w:val="-5"/>
                <w:sz w:val="24"/>
                <w:szCs w:val="24"/>
              </w:rPr>
              <w:t xml:space="preserve">12 </w:t>
            </w:r>
            <w:r>
              <w:rPr>
                <w:spacing w:val="-5"/>
                <w:sz w:val="24"/>
                <w:szCs w:val="24"/>
              </w:rPr>
              <w:t>个月，输</w:t>
            </w:r>
            <w:r>
              <w:rPr>
                <w:sz w:val="24"/>
                <w:szCs w:val="24"/>
              </w:rPr>
              <w:t>电线路计划建设工期为</w:t>
            </w:r>
            <w:r>
              <w:rPr>
                <w:spacing w:val="-47"/>
                <w:sz w:val="24"/>
                <w:szCs w:val="24"/>
              </w:rPr>
              <w:t xml:space="preserve"> </w:t>
            </w:r>
            <w:r>
              <w:rPr>
                <w:rFonts w:ascii="Times New Roman" w:hAnsi="Times New Roman" w:eastAsia="Times New Roman" w:cs="Times New Roman"/>
                <w:sz w:val="24"/>
                <w:szCs w:val="24"/>
              </w:rPr>
              <w:t xml:space="preserve">6 </w:t>
            </w:r>
            <w:r>
              <w:rPr>
                <w:sz w:val="24"/>
                <w:szCs w:val="24"/>
              </w:rPr>
              <w:t>个月，计划</w:t>
            </w:r>
            <w:r>
              <w:rPr>
                <w:spacing w:val="-50"/>
                <w:sz w:val="24"/>
                <w:szCs w:val="24"/>
              </w:rPr>
              <w:t xml:space="preserve"> </w:t>
            </w:r>
            <w:r>
              <w:rPr>
                <w:rFonts w:ascii="Times New Roman" w:hAnsi="Times New Roman" w:eastAsia="Times New Roman" w:cs="Times New Roman"/>
                <w:sz w:val="24"/>
                <w:szCs w:val="24"/>
              </w:rPr>
              <w:t>202</w:t>
            </w:r>
            <w:r>
              <w:rPr>
                <w:rFonts w:ascii="Times New Roman" w:hAnsi="Times New Roman" w:eastAsia="Times New Roman" w:cs="Times New Roman"/>
                <w:spacing w:val="-1"/>
                <w:sz w:val="24"/>
                <w:szCs w:val="24"/>
              </w:rPr>
              <w:t xml:space="preserve">6 </w:t>
            </w:r>
            <w:r>
              <w:rPr>
                <w:spacing w:val="-1"/>
                <w:sz w:val="24"/>
                <w:szCs w:val="24"/>
              </w:rPr>
              <w:t>年</w:t>
            </w:r>
            <w:r>
              <w:rPr>
                <w:spacing w:val="-48"/>
                <w:sz w:val="24"/>
                <w:szCs w:val="24"/>
              </w:rPr>
              <w:t xml:space="preserve"> </w:t>
            </w:r>
            <w:r>
              <w:rPr>
                <w:rFonts w:ascii="Times New Roman" w:hAnsi="Times New Roman" w:eastAsia="Times New Roman" w:cs="Times New Roman"/>
                <w:spacing w:val="-1"/>
                <w:sz w:val="24"/>
                <w:szCs w:val="24"/>
              </w:rPr>
              <w:t>3</w:t>
            </w:r>
            <w:r>
              <w:rPr>
                <w:rFonts w:ascii="Times New Roman" w:hAnsi="Times New Roman" w:eastAsia="Times New Roman" w:cs="Times New Roman"/>
                <w:spacing w:val="17"/>
                <w:w w:val="101"/>
                <w:sz w:val="24"/>
                <w:szCs w:val="24"/>
              </w:rPr>
              <w:t xml:space="preserve"> </w:t>
            </w:r>
            <w:r>
              <w:rPr>
                <w:spacing w:val="-1"/>
                <w:sz w:val="24"/>
                <w:szCs w:val="24"/>
              </w:rPr>
              <w:t>月开工建设，</w:t>
            </w:r>
            <w:r>
              <w:rPr>
                <w:rFonts w:ascii="Times New Roman" w:hAnsi="Times New Roman" w:eastAsia="Times New Roman" w:cs="Times New Roman"/>
                <w:spacing w:val="-1"/>
                <w:sz w:val="24"/>
                <w:szCs w:val="24"/>
              </w:rPr>
              <w:t xml:space="preserve">2027 </w:t>
            </w:r>
            <w:r>
              <w:rPr>
                <w:spacing w:val="-1"/>
                <w:sz w:val="24"/>
                <w:szCs w:val="24"/>
              </w:rPr>
              <w:t>年</w:t>
            </w:r>
            <w:r>
              <w:rPr>
                <w:spacing w:val="-48"/>
                <w:sz w:val="24"/>
                <w:szCs w:val="24"/>
              </w:rPr>
              <w:t xml:space="preserve"> </w:t>
            </w:r>
            <w:r>
              <w:rPr>
                <w:rFonts w:ascii="Times New Roman" w:hAnsi="Times New Roman" w:eastAsia="Times New Roman" w:cs="Times New Roman"/>
                <w:spacing w:val="-1"/>
                <w:sz w:val="24"/>
                <w:szCs w:val="24"/>
              </w:rPr>
              <w:t>3</w:t>
            </w:r>
            <w:r>
              <w:rPr>
                <w:rFonts w:ascii="Times New Roman" w:hAnsi="Times New Roman" w:eastAsia="Times New Roman" w:cs="Times New Roman"/>
                <w:spacing w:val="17"/>
                <w:w w:val="101"/>
                <w:sz w:val="24"/>
                <w:szCs w:val="24"/>
              </w:rPr>
              <w:t xml:space="preserve"> </w:t>
            </w:r>
            <w:r>
              <w:rPr>
                <w:spacing w:val="-1"/>
                <w:sz w:val="24"/>
                <w:szCs w:val="24"/>
              </w:rPr>
              <w:t>月全</w:t>
            </w:r>
            <w:r>
              <w:rPr>
                <w:spacing w:val="-3"/>
                <w:sz w:val="24"/>
                <w:szCs w:val="24"/>
              </w:rPr>
              <w:t>部建设完成。</w:t>
            </w:r>
          </w:p>
        </w:tc>
      </w:tr>
      <w:tr w14:paraId="336CE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5" w:hRule="atLeast"/>
        </w:trPr>
        <w:tc>
          <w:tcPr>
            <w:tcW w:w="375" w:type="dxa"/>
            <w:vMerge w:val="restart"/>
            <w:tcBorders>
              <w:top w:val="single" w:color="000000" w:sz="6" w:space="0"/>
              <w:left w:val="single" w:color="000000" w:sz="6" w:space="0"/>
              <w:bottom w:val="nil"/>
              <w:right w:val="single" w:color="000000" w:sz="6" w:space="0"/>
            </w:tcBorders>
            <w:textDirection w:val="tbRlV"/>
            <w:vAlign w:val="top"/>
          </w:tcPr>
          <w:p w14:paraId="341D9EA7">
            <w:pPr>
              <w:pStyle w:val="6"/>
              <w:spacing w:before="17" w:line="209" w:lineRule="auto"/>
              <w:ind w:left="5165"/>
              <w:rPr>
                <w:sz w:val="24"/>
                <w:szCs w:val="24"/>
              </w:rPr>
            </w:pPr>
            <w:r>
              <w:rPr>
                <w:spacing w:val="34"/>
                <w:sz w:val="24"/>
                <w:szCs w:val="24"/>
              </w:rPr>
              <w:t>其他</w:t>
            </w:r>
          </w:p>
        </w:tc>
        <w:tc>
          <w:tcPr>
            <w:tcW w:w="8149" w:type="dxa"/>
            <w:gridSpan w:val="6"/>
            <w:tcBorders>
              <w:top w:val="single" w:color="000000" w:sz="6" w:space="0"/>
              <w:left w:val="single" w:color="000000" w:sz="6" w:space="0"/>
              <w:right w:val="single" w:color="000000" w:sz="6" w:space="0"/>
            </w:tcBorders>
            <w:vAlign w:val="top"/>
          </w:tcPr>
          <w:p w14:paraId="26DC5CA5">
            <w:pPr>
              <w:pStyle w:val="6"/>
              <w:spacing w:before="92" w:line="220" w:lineRule="auto"/>
              <w:ind w:left="106"/>
              <w:rPr>
                <w:sz w:val="24"/>
                <w:szCs w:val="24"/>
              </w:rPr>
            </w:pPr>
            <w:r>
              <w:rPr>
                <w:b/>
                <w:bCs/>
                <w:spacing w:val="-4"/>
                <w:sz w:val="24"/>
                <w:szCs w:val="24"/>
              </w:rPr>
              <w:t>一、变电站站址方案比选</w:t>
            </w:r>
          </w:p>
          <w:p w14:paraId="1A436D6D">
            <w:pPr>
              <w:pStyle w:val="6"/>
              <w:spacing w:before="207" w:line="346" w:lineRule="auto"/>
              <w:ind w:left="120" w:right="107" w:firstLine="462"/>
              <w:rPr>
                <w:sz w:val="24"/>
                <w:szCs w:val="24"/>
              </w:rPr>
            </w:pPr>
            <w:r>
              <w:rPr>
                <w:spacing w:val="-1"/>
                <w:sz w:val="24"/>
                <w:szCs w:val="24"/>
              </w:rPr>
              <w:t>根据可研资料，本项目</w:t>
            </w:r>
            <w:r>
              <w:rPr>
                <w:spacing w:val="-16"/>
                <w:sz w:val="24"/>
                <w:szCs w:val="24"/>
              </w:rPr>
              <w:t xml:space="preserve"> </w:t>
            </w:r>
            <w:r>
              <w:rPr>
                <w:rFonts w:ascii="Times New Roman" w:hAnsi="Times New Roman" w:eastAsia="Times New Roman" w:cs="Times New Roman"/>
                <w:spacing w:val="-1"/>
                <w:sz w:val="24"/>
                <w:szCs w:val="24"/>
              </w:rPr>
              <w:t xml:space="preserve">110kV </w:t>
            </w:r>
            <w:r>
              <w:rPr>
                <w:spacing w:val="-1"/>
                <w:sz w:val="24"/>
                <w:szCs w:val="24"/>
              </w:rPr>
              <w:t>变电站站址选择了</w:t>
            </w:r>
            <w:r>
              <w:rPr>
                <w:rFonts w:ascii="Times New Roman" w:hAnsi="Times New Roman" w:eastAsia="Times New Roman" w:cs="Times New Roman"/>
                <w:spacing w:val="-1"/>
                <w:sz w:val="24"/>
                <w:szCs w:val="24"/>
              </w:rPr>
              <w:t xml:space="preserve">2 </w:t>
            </w:r>
            <w:r>
              <w:rPr>
                <w:spacing w:val="-1"/>
                <w:sz w:val="24"/>
                <w:szCs w:val="24"/>
              </w:rPr>
              <w:t>个站址进行了比选。</w:t>
            </w:r>
            <w:r>
              <w:rPr>
                <w:spacing w:val="-4"/>
                <w:sz w:val="24"/>
                <w:szCs w:val="24"/>
              </w:rPr>
              <w:t>即站址</w:t>
            </w:r>
            <w:r>
              <w:rPr>
                <w:spacing w:val="-32"/>
                <w:sz w:val="24"/>
                <w:szCs w:val="24"/>
              </w:rPr>
              <w:t xml:space="preserve"> </w:t>
            </w:r>
            <w:r>
              <w:rPr>
                <w:rFonts w:ascii="Times New Roman" w:hAnsi="Times New Roman" w:eastAsia="Times New Roman" w:cs="Times New Roman"/>
                <w:spacing w:val="-4"/>
                <w:sz w:val="24"/>
                <w:szCs w:val="24"/>
              </w:rPr>
              <w:t>1</w:t>
            </w:r>
            <w:r>
              <w:rPr>
                <w:rFonts w:ascii="Times New Roman" w:hAnsi="Times New Roman" w:eastAsia="Times New Roman" w:cs="Times New Roman"/>
                <w:spacing w:val="-30"/>
                <w:sz w:val="24"/>
                <w:szCs w:val="24"/>
              </w:rPr>
              <w:t xml:space="preserve"> </w:t>
            </w:r>
            <w:r>
              <w:rPr>
                <w:spacing w:val="-4"/>
                <w:sz w:val="24"/>
                <w:szCs w:val="24"/>
              </w:rPr>
              <w:t>：芦旗堡站址（推荐方案</w:t>
            </w:r>
            <w:r>
              <w:rPr>
                <w:spacing w:val="5"/>
                <w:sz w:val="24"/>
                <w:szCs w:val="24"/>
              </w:rPr>
              <w:t>）；</w:t>
            </w:r>
            <w:r>
              <w:rPr>
                <w:spacing w:val="-4"/>
                <w:sz w:val="24"/>
                <w:szCs w:val="24"/>
              </w:rPr>
              <w:t>站址</w:t>
            </w:r>
            <w:r>
              <w:rPr>
                <w:spacing w:val="-55"/>
                <w:sz w:val="24"/>
                <w:szCs w:val="24"/>
              </w:rPr>
              <w:t xml:space="preserve"> </w:t>
            </w:r>
            <w:r>
              <w:rPr>
                <w:rFonts w:ascii="Times New Roman" w:hAnsi="Times New Roman" w:eastAsia="Times New Roman" w:cs="Times New Roman"/>
                <w:spacing w:val="-4"/>
                <w:sz w:val="24"/>
                <w:szCs w:val="24"/>
              </w:rPr>
              <w:t>2</w:t>
            </w:r>
            <w:r>
              <w:rPr>
                <w:rFonts w:ascii="Times New Roman" w:hAnsi="Times New Roman" w:eastAsia="Times New Roman" w:cs="Times New Roman"/>
                <w:spacing w:val="-30"/>
                <w:sz w:val="24"/>
                <w:szCs w:val="24"/>
              </w:rPr>
              <w:t xml:space="preserve"> </w:t>
            </w:r>
            <w:r>
              <w:rPr>
                <w:spacing w:val="-4"/>
                <w:sz w:val="24"/>
                <w:szCs w:val="24"/>
              </w:rPr>
              <w:t>：大堆子站</w:t>
            </w:r>
            <w:r>
              <w:rPr>
                <w:spacing w:val="-5"/>
                <w:sz w:val="24"/>
                <w:szCs w:val="24"/>
              </w:rPr>
              <w:t>址（比选方案）。</w:t>
            </w:r>
          </w:p>
          <w:p w14:paraId="55079387">
            <w:pPr>
              <w:spacing w:line="4876" w:lineRule="exact"/>
              <w:ind w:firstLine="132"/>
            </w:pPr>
            <w:r>
              <w:rPr>
                <w:position w:val="-97"/>
              </w:rPr>
              <w:drawing>
                <wp:inline distT="0" distB="0" distL="0" distR="0">
                  <wp:extent cx="4991100" cy="309626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227"/>
                          <a:stretch>
                            <a:fillRect/>
                          </a:stretch>
                        </pic:blipFill>
                        <pic:spPr>
                          <a:xfrm>
                            <a:off x="0" y="0"/>
                            <a:ext cx="4991100" cy="3096768"/>
                          </a:xfrm>
                          <a:prstGeom prst="rect">
                            <a:avLst/>
                          </a:prstGeom>
                        </pic:spPr>
                      </pic:pic>
                    </a:graphicData>
                  </a:graphic>
                </wp:inline>
              </w:drawing>
            </w:r>
          </w:p>
          <w:p w14:paraId="32668F50">
            <w:pPr>
              <w:pStyle w:val="6"/>
              <w:spacing w:before="169" w:line="227" w:lineRule="auto"/>
              <w:ind w:left="1821"/>
            </w:pPr>
            <w:r>
              <w:rPr>
                <w:b/>
                <w:bCs/>
                <w:spacing w:val="5"/>
              </w:rPr>
              <w:t>图</w:t>
            </w:r>
            <w:r>
              <w:rPr>
                <w:spacing w:val="-43"/>
              </w:rPr>
              <w:t xml:space="preserve"> </w:t>
            </w:r>
            <w:r>
              <w:rPr>
                <w:rFonts w:ascii="Times New Roman" w:hAnsi="Times New Roman" w:eastAsia="Times New Roman" w:cs="Times New Roman"/>
                <w:b/>
                <w:bCs/>
                <w:spacing w:val="5"/>
              </w:rPr>
              <w:t>2-5        110</w:t>
            </w:r>
            <w:r>
              <w:rPr>
                <w:rFonts w:ascii="Times New Roman" w:hAnsi="Times New Roman" w:eastAsia="Times New Roman" w:cs="Times New Roman"/>
                <w:b/>
                <w:bCs/>
              </w:rPr>
              <w:t>kV</w:t>
            </w:r>
            <w:r>
              <w:rPr>
                <w:rFonts w:ascii="Times New Roman" w:hAnsi="Times New Roman" w:eastAsia="Times New Roman" w:cs="Times New Roman"/>
                <w:b/>
                <w:bCs/>
                <w:spacing w:val="5"/>
              </w:rPr>
              <w:t xml:space="preserve"> </w:t>
            </w:r>
            <w:r>
              <w:rPr>
                <w:b/>
                <w:bCs/>
                <w:spacing w:val="5"/>
              </w:rPr>
              <w:t>松山变电站选址方案</w:t>
            </w:r>
            <w:r>
              <w:rPr>
                <w:b/>
                <w:bCs/>
                <w:spacing w:val="4"/>
              </w:rPr>
              <w:t>分布示意图</w:t>
            </w:r>
          </w:p>
          <w:p w14:paraId="03700A9F">
            <w:pPr>
              <w:pStyle w:val="6"/>
              <w:spacing w:before="162" w:line="208" w:lineRule="auto"/>
              <w:ind w:left="1953"/>
            </w:pPr>
            <w:r>
              <w:rPr>
                <w:b/>
                <w:bCs/>
                <w:spacing w:val="6"/>
              </w:rPr>
              <w:t>表</w:t>
            </w:r>
            <w:r>
              <w:rPr>
                <w:spacing w:val="-32"/>
              </w:rPr>
              <w:t xml:space="preserve"> </w:t>
            </w:r>
            <w:r>
              <w:rPr>
                <w:rFonts w:ascii="Times New Roman" w:hAnsi="Times New Roman" w:eastAsia="Times New Roman" w:cs="Times New Roman"/>
                <w:b/>
                <w:bCs/>
                <w:spacing w:val="6"/>
              </w:rPr>
              <w:t xml:space="preserve">2-14    </w:t>
            </w:r>
            <w:r>
              <w:rPr>
                <w:b/>
                <w:bCs/>
                <w:spacing w:val="6"/>
              </w:rPr>
              <w:t>松山变芦旗堡站址、大堆子站址比选</w:t>
            </w:r>
          </w:p>
        </w:tc>
      </w:tr>
      <w:tr w14:paraId="69F28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375" w:type="dxa"/>
            <w:vMerge w:val="continue"/>
            <w:tcBorders>
              <w:top w:val="nil"/>
              <w:left w:val="single" w:color="000000" w:sz="6" w:space="0"/>
              <w:bottom w:val="nil"/>
              <w:right w:val="single" w:color="000000" w:sz="6" w:space="0"/>
            </w:tcBorders>
            <w:textDirection w:val="tbRlV"/>
            <w:vAlign w:val="top"/>
          </w:tcPr>
          <w:p w14:paraId="0DDA7A6E">
            <w:pPr>
              <w:rPr>
                <w:rFonts w:ascii="Arial"/>
                <w:sz w:val="21"/>
              </w:rPr>
            </w:pPr>
          </w:p>
        </w:tc>
        <w:tc>
          <w:tcPr>
            <w:tcW w:w="114" w:type="dxa"/>
            <w:tcBorders>
              <w:top w:val="nil"/>
              <w:left w:val="single" w:color="000000" w:sz="6" w:space="0"/>
              <w:bottom w:val="nil"/>
            </w:tcBorders>
            <w:vAlign w:val="top"/>
          </w:tcPr>
          <w:p w14:paraId="7AD8483A">
            <w:pPr>
              <w:rPr>
                <w:rFonts w:ascii="Arial"/>
                <w:sz w:val="21"/>
              </w:rPr>
            </w:pPr>
          </w:p>
        </w:tc>
        <w:tc>
          <w:tcPr>
            <w:tcW w:w="618" w:type="dxa"/>
            <w:vAlign w:val="top"/>
          </w:tcPr>
          <w:p w14:paraId="1D45243B">
            <w:pPr>
              <w:pStyle w:val="6"/>
              <w:spacing w:before="83" w:line="229" w:lineRule="auto"/>
              <w:ind w:left="95"/>
            </w:pPr>
            <w:r>
              <w:rPr>
                <w:b/>
                <w:bCs/>
                <w:spacing w:val="4"/>
              </w:rPr>
              <w:t>序号</w:t>
            </w:r>
          </w:p>
        </w:tc>
        <w:tc>
          <w:tcPr>
            <w:tcW w:w="1048" w:type="dxa"/>
            <w:vAlign w:val="top"/>
          </w:tcPr>
          <w:p w14:paraId="52B25400">
            <w:pPr>
              <w:pStyle w:val="6"/>
              <w:spacing w:before="84" w:line="228" w:lineRule="auto"/>
              <w:ind w:left="316"/>
            </w:pPr>
            <w:r>
              <w:rPr>
                <w:b/>
                <w:bCs/>
                <w:spacing w:val="2"/>
              </w:rPr>
              <w:t>项目</w:t>
            </w:r>
          </w:p>
        </w:tc>
        <w:tc>
          <w:tcPr>
            <w:tcW w:w="3283" w:type="dxa"/>
            <w:vAlign w:val="top"/>
          </w:tcPr>
          <w:p w14:paraId="55740F2D">
            <w:pPr>
              <w:pStyle w:val="6"/>
              <w:spacing w:before="83" w:line="227" w:lineRule="auto"/>
              <w:ind w:left="725"/>
            </w:pPr>
            <w:r>
              <w:rPr>
                <w:b/>
                <w:bCs/>
                <w:spacing w:val="2"/>
              </w:rPr>
              <w:t>站址</w:t>
            </w:r>
            <w:r>
              <w:rPr>
                <w:spacing w:val="-32"/>
              </w:rPr>
              <w:t xml:space="preserve"> </w:t>
            </w:r>
            <w:r>
              <w:rPr>
                <w:rFonts w:ascii="Times New Roman" w:hAnsi="Times New Roman" w:eastAsia="Times New Roman" w:cs="Times New Roman"/>
                <w:b/>
                <w:bCs/>
                <w:spacing w:val="2"/>
              </w:rPr>
              <w:t>1</w:t>
            </w:r>
            <w:r>
              <w:rPr>
                <w:rFonts w:ascii="Times New Roman" w:hAnsi="Times New Roman" w:eastAsia="Times New Roman" w:cs="Times New Roman"/>
                <w:b/>
                <w:bCs/>
                <w:spacing w:val="-22"/>
              </w:rPr>
              <w:t xml:space="preserve"> </w:t>
            </w:r>
            <w:r>
              <w:rPr>
                <w:b/>
                <w:bCs/>
                <w:spacing w:val="2"/>
              </w:rPr>
              <w:t>：芦旗堡站址</w:t>
            </w:r>
          </w:p>
        </w:tc>
        <w:tc>
          <w:tcPr>
            <w:tcW w:w="2962" w:type="dxa"/>
            <w:vAlign w:val="top"/>
          </w:tcPr>
          <w:p w14:paraId="75396E2A">
            <w:pPr>
              <w:pStyle w:val="6"/>
              <w:spacing w:before="84" w:line="228" w:lineRule="auto"/>
              <w:ind w:left="569"/>
            </w:pPr>
            <w:r>
              <w:rPr>
                <w:b/>
                <w:bCs/>
                <w:spacing w:val="3"/>
              </w:rPr>
              <w:t>站址</w:t>
            </w:r>
            <w:r>
              <w:rPr>
                <w:spacing w:val="-41"/>
              </w:rPr>
              <w:t xml:space="preserve"> </w:t>
            </w:r>
            <w:r>
              <w:rPr>
                <w:rFonts w:ascii="Times New Roman" w:hAnsi="Times New Roman" w:eastAsia="Times New Roman" w:cs="Times New Roman"/>
                <w:b/>
                <w:bCs/>
                <w:spacing w:val="3"/>
              </w:rPr>
              <w:t>2</w:t>
            </w:r>
            <w:r>
              <w:rPr>
                <w:rFonts w:ascii="Times New Roman" w:hAnsi="Times New Roman" w:eastAsia="Times New Roman" w:cs="Times New Roman"/>
                <w:b/>
                <w:bCs/>
                <w:spacing w:val="-22"/>
              </w:rPr>
              <w:t xml:space="preserve"> </w:t>
            </w:r>
            <w:r>
              <w:rPr>
                <w:b/>
                <w:bCs/>
                <w:spacing w:val="3"/>
              </w:rPr>
              <w:t>：大堆子站址</w:t>
            </w:r>
          </w:p>
        </w:tc>
        <w:tc>
          <w:tcPr>
            <w:tcW w:w="124" w:type="dxa"/>
            <w:tcBorders>
              <w:top w:val="nil"/>
              <w:bottom w:val="nil"/>
              <w:right w:val="single" w:color="000000" w:sz="6" w:space="0"/>
            </w:tcBorders>
            <w:vAlign w:val="top"/>
          </w:tcPr>
          <w:p w14:paraId="0E904DAE">
            <w:pPr>
              <w:rPr>
                <w:rFonts w:ascii="Arial"/>
                <w:sz w:val="21"/>
              </w:rPr>
            </w:pPr>
          </w:p>
        </w:tc>
      </w:tr>
      <w:tr w14:paraId="6AECD2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375" w:type="dxa"/>
            <w:vMerge w:val="continue"/>
            <w:tcBorders>
              <w:top w:val="nil"/>
              <w:left w:val="single" w:color="000000" w:sz="6" w:space="0"/>
              <w:bottom w:val="nil"/>
              <w:right w:val="single" w:color="000000" w:sz="6" w:space="0"/>
            </w:tcBorders>
            <w:textDirection w:val="tbRlV"/>
            <w:vAlign w:val="top"/>
          </w:tcPr>
          <w:p w14:paraId="75DFFAC1">
            <w:pPr>
              <w:rPr>
                <w:rFonts w:ascii="Arial"/>
                <w:sz w:val="21"/>
              </w:rPr>
            </w:pPr>
          </w:p>
        </w:tc>
        <w:tc>
          <w:tcPr>
            <w:tcW w:w="114" w:type="dxa"/>
            <w:tcBorders>
              <w:top w:val="nil"/>
              <w:left w:val="single" w:color="000000" w:sz="6" w:space="0"/>
              <w:bottom w:val="nil"/>
            </w:tcBorders>
            <w:vAlign w:val="top"/>
          </w:tcPr>
          <w:p w14:paraId="66DD96DD">
            <w:pPr>
              <w:rPr>
                <w:rFonts w:ascii="Arial"/>
                <w:sz w:val="21"/>
              </w:rPr>
            </w:pPr>
          </w:p>
        </w:tc>
        <w:tc>
          <w:tcPr>
            <w:tcW w:w="618" w:type="dxa"/>
            <w:vAlign w:val="top"/>
          </w:tcPr>
          <w:p w14:paraId="60D45FE2">
            <w:pPr>
              <w:spacing w:line="290" w:lineRule="auto"/>
              <w:rPr>
                <w:rFonts w:ascii="Arial"/>
                <w:sz w:val="21"/>
              </w:rPr>
            </w:pPr>
          </w:p>
          <w:p w14:paraId="753652B9">
            <w:pPr>
              <w:spacing w:before="58" w:line="195" w:lineRule="auto"/>
              <w:ind w:left="270"/>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048" w:type="dxa"/>
            <w:vAlign w:val="top"/>
          </w:tcPr>
          <w:p w14:paraId="1444BE77">
            <w:pPr>
              <w:pStyle w:val="6"/>
              <w:spacing w:before="176" w:line="255" w:lineRule="auto"/>
              <w:ind w:left="315" w:right="108" w:hanging="210"/>
            </w:pPr>
            <w:r>
              <w:rPr>
                <w:spacing w:val="7"/>
              </w:rPr>
              <w:t>站址地理</w:t>
            </w:r>
            <w:r>
              <w:rPr>
                <w:spacing w:val="4"/>
              </w:rPr>
              <w:t>位置</w:t>
            </w:r>
          </w:p>
        </w:tc>
        <w:tc>
          <w:tcPr>
            <w:tcW w:w="3283" w:type="dxa"/>
            <w:vAlign w:val="top"/>
          </w:tcPr>
          <w:p w14:paraId="7658CD8C">
            <w:pPr>
              <w:pStyle w:val="6"/>
              <w:spacing w:before="42" w:line="227" w:lineRule="auto"/>
              <w:ind w:left="281"/>
            </w:pPr>
            <w:r>
              <w:rPr>
                <w:spacing w:val="9"/>
              </w:rPr>
              <w:t>站址位于板桥镇政府西南侧约</w:t>
            </w:r>
          </w:p>
          <w:p w14:paraId="47901AE3">
            <w:pPr>
              <w:pStyle w:val="6"/>
              <w:spacing w:before="25" w:line="228" w:lineRule="auto"/>
              <w:ind w:left="91"/>
            </w:pPr>
            <w:r>
              <w:rPr>
                <w:rFonts w:ascii="Times New Roman" w:hAnsi="Times New Roman" w:eastAsia="Times New Roman" w:cs="Times New Roman"/>
                <w:spacing w:val="5"/>
              </w:rPr>
              <w:t>2.0</w:t>
            </w:r>
            <w:r>
              <w:rPr>
                <w:rFonts w:ascii="Times New Roman" w:hAnsi="Times New Roman" w:eastAsia="Times New Roman" w:cs="Times New Roman"/>
              </w:rPr>
              <w:t>km</w:t>
            </w:r>
            <w:r>
              <w:rPr>
                <w:rFonts w:ascii="Times New Roman" w:hAnsi="Times New Roman" w:eastAsia="Times New Roman" w:cs="Times New Roman"/>
                <w:spacing w:val="18"/>
              </w:rPr>
              <w:t xml:space="preserve"> </w:t>
            </w:r>
            <w:r>
              <w:rPr>
                <w:spacing w:val="5"/>
              </w:rPr>
              <w:t>处，站址距离</w:t>
            </w:r>
            <w:r>
              <w:rPr>
                <w:spacing w:val="-41"/>
              </w:rPr>
              <w:t xml:space="preserve"> </w:t>
            </w:r>
            <w:r>
              <w:rPr>
                <w:rFonts w:ascii="Times New Roman" w:hAnsi="Times New Roman" w:eastAsia="Times New Roman" w:cs="Times New Roman"/>
                <w:spacing w:val="5"/>
              </w:rPr>
              <w:t>248</w:t>
            </w:r>
            <w:r>
              <w:rPr>
                <w:rFonts w:ascii="Times New Roman" w:hAnsi="Times New Roman" w:eastAsia="Times New Roman" w:cs="Times New Roman"/>
                <w:spacing w:val="30"/>
                <w:w w:val="101"/>
              </w:rPr>
              <w:t xml:space="preserve"> </w:t>
            </w:r>
            <w:r>
              <w:rPr>
                <w:spacing w:val="5"/>
              </w:rPr>
              <w:t>国道秀河</w:t>
            </w:r>
          </w:p>
          <w:p w14:paraId="325FD946">
            <w:pPr>
              <w:pStyle w:val="6"/>
              <w:spacing w:before="23" w:line="209" w:lineRule="auto"/>
              <w:ind w:left="518"/>
            </w:pPr>
            <w:r>
              <w:rPr>
                <w:spacing w:val="2"/>
              </w:rPr>
              <w:t>线约</w:t>
            </w:r>
            <w:r>
              <w:rPr>
                <w:spacing w:val="-16"/>
              </w:rPr>
              <w:t xml:space="preserve"> </w:t>
            </w:r>
            <w:r>
              <w:rPr>
                <w:rFonts w:ascii="Times New Roman" w:hAnsi="Times New Roman" w:eastAsia="Times New Roman" w:cs="Times New Roman"/>
                <w:spacing w:val="2"/>
              </w:rPr>
              <w:t>1.3</w:t>
            </w:r>
            <w:r>
              <w:rPr>
                <w:rFonts w:ascii="Times New Roman" w:hAnsi="Times New Roman" w:eastAsia="Times New Roman" w:cs="Times New Roman"/>
              </w:rPr>
              <w:t>km</w:t>
            </w:r>
            <w:r>
              <w:rPr>
                <w:rFonts w:ascii="Times New Roman" w:hAnsi="Times New Roman" w:eastAsia="Times New Roman" w:cs="Times New Roman"/>
                <w:spacing w:val="-24"/>
              </w:rPr>
              <w:t xml:space="preserve"> </w:t>
            </w:r>
            <w:r>
              <w:rPr>
                <w:spacing w:val="2"/>
              </w:rPr>
              <w:t>，交通便利。</w:t>
            </w:r>
          </w:p>
        </w:tc>
        <w:tc>
          <w:tcPr>
            <w:tcW w:w="2962" w:type="dxa"/>
            <w:vAlign w:val="top"/>
          </w:tcPr>
          <w:p w14:paraId="2F39301A">
            <w:pPr>
              <w:pStyle w:val="6"/>
              <w:spacing w:before="42" w:line="227" w:lineRule="auto"/>
              <w:ind w:left="125"/>
            </w:pPr>
            <w:r>
              <w:rPr>
                <w:spacing w:val="9"/>
              </w:rPr>
              <w:t>站址位于板桥镇政府东南侧约</w:t>
            </w:r>
          </w:p>
          <w:p w14:paraId="1998AC9A">
            <w:pPr>
              <w:pStyle w:val="6"/>
              <w:spacing w:before="25" w:line="228" w:lineRule="auto"/>
              <w:ind w:left="60"/>
            </w:pPr>
            <w:r>
              <w:rPr>
                <w:rFonts w:ascii="Times New Roman" w:hAnsi="Times New Roman" w:eastAsia="Times New Roman" w:cs="Times New Roman"/>
                <w:spacing w:val="3"/>
              </w:rPr>
              <w:t>2.7</w:t>
            </w:r>
            <w:r>
              <w:rPr>
                <w:rFonts w:ascii="Times New Roman" w:hAnsi="Times New Roman" w:eastAsia="Times New Roman" w:cs="Times New Roman"/>
              </w:rPr>
              <w:t>km</w:t>
            </w:r>
            <w:r>
              <w:rPr>
                <w:rFonts w:ascii="Times New Roman" w:hAnsi="Times New Roman" w:eastAsia="Times New Roman" w:cs="Times New Roman"/>
                <w:spacing w:val="29"/>
                <w:w w:val="101"/>
              </w:rPr>
              <w:t xml:space="preserve"> </w:t>
            </w:r>
            <w:r>
              <w:rPr>
                <w:spacing w:val="3"/>
              </w:rPr>
              <w:t>处，站址距离</w:t>
            </w:r>
            <w:r>
              <w:rPr>
                <w:spacing w:val="-38"/>
              </w:rPr>
              <w:t xml:space="preserve"> </w:t>
            </w:r>
            <w:r>
              <w:rPr>
                <w:rFonts w:ascii="Times New Roman" w:hAnsi="Times New Roman" w:eastAsia="Times New Roman" w:cs="Times New Roman"/>
                <w:spacing w:val="3"/>
              </w:rPr>
              <w:t xml:space="preserve">084 </w:t>
            </w:r>
            <w:r>
              <w:rPr>
                <w:spacing w:val="3"/>
              </w:rPr>
              <w:t>县道约</w:t>
            </w:r>
          </w:p>
          <w:p w14:paraId="284DC65A">
            <w:pPr>
              <w:pStyle w:val="6"/>
              <w:spacing w:before="23" w:line="209" w:lineRule="auto"/>
              <w:ind w:left="611"/>
            </w:pPr>
            <w:r>
              <w:rPr>
                <w:rFonts w:ascii="Times New Roman" w:hAnsi="Times New Roman" w:eastAsia="Times New Roman" w:cs="Times New Roman"/>
                <w:spacing w:val="2"/>
              </w:rPr>
              <w:t>1.6</w:t>
            </w:r>
            <w:r>
              <w:rPr>
                <w:rFonts w:ascii="Times New Roman" w:hAnsi="Times New Roman" w:eastAsia="Times New Roman" w:cs="Times New Roman"/>
              </w:rPr>
              <w:t>km</w:t>
            </w:r>
            <w:r>
              <w:rPr>
                <w:rFonts w:ascii="Times New Roman" w:hAnsi="Times New Roman" w:eastAsia="Times New Roman" w:cs="Times New Roman"/>
                <w:spacing w:val="-20"/>
              </w:rPr>
              <w:t xml:space="preserve"> </w:t>
            </w:r>
            <w:r>
              <w:rPr>
                <w:spacing w:val="2"/>
              </w:rPr>
              <w:t>，交通便利。</w:t>
            </w:r>
          </w:p>
        </w:tc>
        <w:tc>
          <w:tcPr>
            <w:tcW w:w="124" w:type="dxa"/>
            <w:tcBorders>
              <w:top w:val="nil"/>
              <w:bottom w:val="nil"/>
              <w:right w:val="single" w:color="000000" w:sz="6" w:space="0"/>
            </w:tcBorders>
            <w:vAlign w:val="top"/>
          </w:tcPr>
          <w:p w14:paraId="477F6450">
            <w:pPr>
              <w:rPr>
                <w:rFonts w:ascii="Arial"/>
                <w:sz w:val="21"/>
              </w:rPr>
            </w:pPr>
          </w:p>
        </w:tc>
      </w:tr>
      <w:tr w14:paraId="24A7D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375" w:type="dxa"/>
            <w:vMerge w:val="continue"/>
            <w:tcBorders>
              <w:top w:val="nil"/>
              <w:left w:val="single" w:color="000000" w:sz="6" w:space="0"/>
              <w:bottom w:val="nil"/>
              <w:right w:val="single" w:color="000000" w:sz="6" w:space="0"/>
            </w:tcBorders>
            <w:textDirection w:val="tbRlV"/>
            <w:vAlign w:val="top"/>
          </w:tcPr>
          <w:p w14:paraId="4522A785">
            <w:pPr>
              <w:rPr>
                <w:rFonts w:ascii="Arial"/>
                <w:sz w:val="21"/>
              </w:rPr>
            </w:pPr>
          </w:p>
        </w:tc>
        <w:tc>
          <w:tcPr>
            <w:tcW w:w="114" w:type="dxa"/>
            <w:tcBorders>
              <w:top w:val="nil"/>
              <w:left w:val="single" w:color="000000" w:sz="6" w:space="0"/>
              <w:bottom w:val="nil"/>
            </w:tcBorders>
            <w:vAlign w:val="top"/>
          </w:tcPr>
          <w:p w14:paraId="2A9CCB6D">
            <w:pPr>
              <w:rPr>
                <w:rFonts w:ascii="Arial"/>
                <w:sz w:val="21"/>
              </w:rPr>
            </w:pPr>
          </w:p>
        </w:tc>
        <w:tc>
          <w:tcPr>
            <w:tcW w:w="618" w:type="dxa"/>
            <w:vAlign w:val="top"/>
          </w:tcPr>
          <w:p w14:paraId="5BFD5376">
            <w:pPr>
              <w:spacing w:line="348" w:lineRule="auto"/>
              <w:rPr>
                <w:rFonts w:ascii="Arial"/>
                <w:sz w:val="21"/>
              </w:rPr>
            </w:pPr>
          </w:p>
          <w:p w14:paraId="6F988FCC">
            <w:pPr>
              <w:spacing w:line="349" w:lineRule="auto"/>
              <w:rPr>
                <w:rFonts w:ascii="Arial"/>
                <w:sz w:val="21"/>
              </w:rPr>
            </w:pPr>
          </w:p>
          <w:p w14:paraId="3CBA78C1">
            <w:pPr>
              <w:spacing w:before="57" w:line="195" w:lineRule="auto"/>
              <w:ind w:left="250"/>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048" w:type="dxa"/>
            <w:vAlign w:val="top"/>
          </w:tcPr>
          <w:p w14:paraId="64CA4651">
            <w:pPr>
              <w:spacing w:line="382" w:lineRule="auto"/>
              <w:rPr>
                <w:rFonts w:ascii="Arial"/>
                <w:sz w:val="21"/>
              </w:rPr>
            </w:pPr>
          </w:p>
          <w:p w14:paraId="661C3AF8">
            <w:pPr>
              <w:pStyle w:val="6"/>
              <w:spacing w:before="65" w:line="229" w:lineRule="auto"/>
              <w:ind w:left="108"/>
            </w:pPr>
            <w:r>
              <w:rPr>
                <w:spacing w:val="6"/>
              </w:rPr>
              <w:t>交通及进</w:t>
            </w:r>
          </w:p>
          <w:p w14:paraId="39BC0FF8">
            <w:pPr>
              <w:pStyle w:val="6"/>
              <w:spacing w:before="25" w:line="228" w:lineRule="auto"/>
              <w:ind w:left="105"/>
            </w:pPr>
            <w:r>
              <w:rPr>
                <w:spacing w:val="7"/>
              </w:rPr>
              <w:t>站道路引</w:t>
            </w:r>
          </w:p>
          <w:p w14:paraId="7DDAB39B">
            <w:pPr>
              <w:pStyle w:val="6"/>
              <w:spacing w:before="24" w:line="229" w:lineRule="auto"/>
              <w:ind w:left="418"/>
            </w:pPr>
            <w:r>
              <w:rPr>
                <w:spacing w:val="1"/>
              </w:rPr>
              <w:t>接</w:t>
            </w:r>
          </w:p>
        </w:tc>
        <w:tc>
          <w:tcPr>
            <w:tcW w:w="3283" w:type="dxa"/>
            <w:vAlign w:val="top"/>
          </w:tcPr>
          <w:p w14:paraId="21BF565F">
            <w:pPr>
              <w:pStyle w:val="6"/>
              <w:spacing w:before="178" w:line="252" w:lineRule="auto"/>
              <w:ind w:left="58" w:firstLine="12"/>
              <w:jc w:val="both"/>
            </w:pPr>
            <w:r>
              <w:rPr>
                <w:spacing w:val="8"/>
              </w:rPr>
              <w:t>拟建变电站大门位于站址东侧，站</w:t>
            </w:r>
            <w:r>
              <w:rPr>
                <w:spacing w:val="7"/>
              </w:rPr>
              <w:t>址东侧有</w:t>
            </w:r>
            <w:r>
              <w:rPr>
                <w:spacing w:val="-34"/>
              </w:rPr>
              <w:t xml:space="preserve"> </w:t>
            </w:r>
            <w:r>
              <w:rPr>
                <w:rFonts w:ascii="Times New Roman" w:hAnsi="Times New Roman" w:eastAsia="Times New Roman" w:cs="Times New Roman"/>
                <w:spacing w:val="7"/>
              </w:rPr>
              <w:t xml:space="preserve">084 </w:t>
            </w:r>
            <w:r>
              <w:rPr>
                <w:spacing w:val="7"/>
              </w:rPr>
              <w:t>县道经过，可用于引</w:t>
            </w:r>
            <w:r>
              <w:rPr>
                <w:spacing w:val="6"/>
              </w:rPr>
              <w:t>接进站道路。现有路面宽约</w:t>
            </w:r>
            <w:r>
              <w:rPr>
                <w:spacing w:val="-36"/>
              </w:rPr>
              <w:t xml:space="preserve"> </w:t>
            </w:r>
            <w:r>
              <w:rPr>
                <w:rFonts w:ascii="Times New Roman" w:hAnsi="Times New Roman" w:eastAsia="Times New Roman" w:cs="Times New Roman"/>
                <w:spacing w:val="6"/>
              </w:rPr>
              <w:t>5.5m</w:t>
            </w:r>
            <w:r>
              <w:rPr>
                <w:rFonts w:ascii="Times New Roman" w:hAnsi="Times New Roman" w:eastAsia="Times New Roman" w:cs="Times New Roman"/>
                <w:spacing w:val="-24"/>
              </w:rPr>
              <w:t xml:space="preserve"> </w:t>
            </w:r>
            <w:r>
              <w:rPr>
                <w:spacing w:val="6"/>
              </w:rPr>
              <w:t>，</w:t>
            </w:r>
            <w:r>
              <w:rPr>
                <w:spacing w:val="9"/>
              </w:rPr>
              <w:t>现状路面为水泥混凝土路面，需新</w:t>
            </w:r>
            <w:r>
              <w:rPr>
                <w:spacing w:val="-1"/>
              </w:rPr>
              <w:t>建道路</w:t>
            </w:r>
            <w:r>
              <w:rPr>
                <w:spacing w:val="-21"/>
              </w:rPr>
              <w:t xml:space="preserve"> </w:t>
            </w:r>
            <w:r>
              <w:rPr>
                <w:rFonts w:ascii="Times New Roman" w:hAnsi="Times New Roman" w:eastAsia="Times New Roman" w:cs="Times New Roman"/>
                <w:spacing w:val="-1"/>
              </w:rPr>
              <w:t>12m</w:t>
            </w:r>
            <w:r>
              <w:rPr>
                <w:spacing w:val="-1"/>
              </w:rPr>
              <w:t>，可满足大件运输要求。</w:t>
            </w:r>
          </w:p>
        </w:tc>
        <w:tc>
          <w:tcPr>
            <w:tcW w:w="2962" w:type="dxa"/>
            <w:vAlign w:val="top"/>
          </w:tcPr>
          <w:p w14:paraId="075B9E63">
            <w:pPr>
              <w:pStyle w:val="6"/>
              <w:spacing w:before="41" w:line="227" w:lineRule="auto"/>
              <w:jc w:val="right"/>
            </w:pPr>
            <w:r>
              <w:rPr>
                <w:spacing w:val="5"/>
              </w:rPr>
              <w:t>拟建变电站大门位于站址北侧，</w:t>
            </w:r>
          </w:p>
          <w:p w14:paraId="31FFFA53">
            <w:pPr>
              <w:pStyle w:val="6"/>
              <w:spacing w:before="27" w:line="227" w:lineRule="auto"/>
              <w:ind w:left="65"/>
            </w:pPr>
            <w:r>
              <w:rPr>
                <w:spacing w:val="3"/>
              </w:rPr>
              <w:t>站址北侧有机耕路经过，可用于</w:t>
            </w:r>
          </w:p>
          <w:p w14:paraId="1BC36622">
            <w:pPr>
              <w:pStyle w:val="6"/>
              <w:spacing w:before="24" w:line="228" w:lineRule="auto"/>
              <w:ind w:left="140"/>
            </w:pPr>
            <w:r>
              <w:rPr>
                <w:spacing w:val="8"/>
              </w:rPr>
              <w:t>引接进站道路。现有路面宽约</w:t>
            </w:r>
          </w:p>
          <w:p w14:paraId="2BBD2FC0">
            <w:pPr>
              <w:pStyle w:val="6"/>
              <w:spacing w:before="26" w:line="228" w:lineRule="auto"/>
              <w:ind w:left="91"/>
            </w:pPr>
            <w:r>
              <w:rPr>
                <w:rFonts w:ascii="Times New Roman" w:hAnsi="Times New Roman" w:eastAsia="Times New Roman" w:cs="Times New Roman"/>
                <w:spacing w:val="6"/>
              </w:rPr>
              <w:t>4m</w:t>
            </w:r>
            <w:r>
              <w:rPr>
                <w:rFonts w:ascii="Times New Roman" w:hAnsi="Times New Roman" w:eastAsia="Times New Roman" w:cs="Times New Roman"/>
                <w:spacing w:val="-17"/>
              </w:rPr>
              <w:t xml:space="preserve"> </w:t>
            </w:r>
            <w:r>
              <w:rPr>
                <w:spacing w:val="6"/>
              </w:rPr>
              <w:t>，现状路面为泥结石路面，</w:t>
            </w:r>
          </w:p>
          <w:p w14:paraId="05A92934">
            <w:pPr>
              <w:pStyle w:val="6"/>
              <w:spacing w:before="25" w:line="228" w:lineRule="auto"/>
              <w:ind w:left="81"/>
            </w:pPr>
            <w:r>
              <w:rPr>
                <w:spacing w:val="5"/>
              </w:rPr>
              <w:t>需新建进站道路</w:t>
            </w:r>
            <w:r>
              <w:rPr>
                <w:spacing w:val="-31"/>
              </w:rPr>
              <w:t xml:space="preserve"> </w:t>
            </w:r>
            <w:r>
              <w:rPr>
                <w:rFonts w:ascii="Times New Roman" w:hAnsi="Times New Roman" w:eastAsia="Times New Roman" w:cs="Times New Roman"/>
                <w:spacing w:val="5"/>
              </w:rPr>
              <w:t>5m</w:t>
            </w:r>
            <w:r>
              <w:rPr>
                <w:rFonts w:ascii="Times New Roman" w:hAnsi="Times New Roman" w:eastAsia="Times New Roman" w:cs="Times New Roman"/>
                <w:spacing w:val="-26"/>
              </w:rPr>
              <w:t xml:space="preserve"> </w:t>
            </w:r>
            <w:r>
              <w:rPr>
                <w:spacing w:val="5"/>
              </w:rPr>
              <w:t>，可满足大</w:t>
            </w:r>
          </w:p>
          <w:p w14:paraId="5CAFBA35">
            <w:pPr>
              <w:pStyle w:val="6"/>
              <w:spacing w:before="24" w:line="207" w:lineRule="auto"/>
              <w:ind w:left="860"/>
            </w:pPr>
            <w:r>
              <w:rPr>
                <w:spacing w:val="6"/>
              </w:rPr>
              <w:t>件运输要求。</w:t>
            </w:r>
          </w:p>
        </w:tc>
        <w:tc>
          <w:tcPr>
            <w:tcW w:w="124" w:type="dxa"/>
            <w:tcBorders>
              <w:top w:val="nil"/>
              <w:bottom w:val="nil"/>
              <w:right w:val="single" w:color="000000" w:sz="6" w:space="0"/>
            </w:tcBorders>
            <w:vAlign w:val="top"/>
          </w:tcPr>
          <w:p w14:paraId="55EC70EB">
            <w:pPr>
              <w:rPr>
                <w:rFonts w:ascii="Arial"/>
                <w:sz w:val="21"/>
              </w:rPr>
            </w:pPr>
          </w:p>
        </w:tc>
      </w:tr>
      <w:tr w14:paraId="4B296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375" w:type="dxa"/>
            <w:vMerge w:val="continue"/>
            <w:tcBorders>
              <w:top w:val="nil"/>
              <w:left w:val="single" w:color="000000" w:sz="6" w:space="0"/>
              <w:bottom w:val="single" w:color="000000" w:sz="6" w:space="0"/>
              <w:right w:val="single" w:color="000000" w:sz="6" w:space="0"/>
            </w:tcBorders>
            <w:textDirection w:val="tbRlV"/>
            <w:vAlign w:val="top"/>
          </w:tcPr>
          <w:p w14:paraId="250DBF9E">
            <w:pPr>
              <w:rPr>
                <w:rFonts w:ascii="Arial"/>
                <w:sz w:val="21"/>
              </w:rPr>
            </w:pPr>
          </w:p>
        </w:tc>
        <w:tc>
          <w:tcPr>
            <w:tcW w:w="114" w:type="dxa"/>
            <w:tcBorders>
              <w:top w:val="nil"/>
              <w:left w:val="single" w:color="000000" w:sz="6" w:space="0"/>
              <w:bottom w:val="single" w:color="000000" w:sz="6" w:space="0"/>
            </w:tcBorders>
            <w:vAlign w:val="top"/>
          </w:tcPr>
          <w:p w14:paraId="0E135B5E">
            <w:pPr>
              <w:rPr>
                <w:rFonts w:ascii="Arial"/>
                <w:sz w:val="21"/>
              </w:rPr>
            </w:pPr>
          </w:p>
        </w:tc>
        <w:tc>
          <w:tcPr>
            <w:tcW w:w="618" w:type="dxa"/>
            <w:tcBorders>
              <w:bottom w:val="single" w:color="000000" w:sz="6" w:space="0"/>
            </w:tcBorders>
            <w:vAlign w:val="top"/>
          </w:tcPr>
          <w:p w14:paraId="243320DB">
            <w:pPr>
              <w:spacing w:line="312" w:lineRule="auto"/>
              <w:rPr>
                <w:rFonts w:ascii="Arial"/>
                <w:sz w:val="21"/>
              </w:rPr>
            </w:pPr>
          </w:p>
          <w:p w14:paraId="05AB3453">
            <w:pPr>
              <w:spacing w:before="58" w:line="195" w:lineRule="auto"/>
              <w:ind w:left="25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048" w:type="dxa"/>
            <w:tcBorders>
              <w:bottom w:val="single" w:color="000000" w:sz="6" w:space="0"/>
            </w:tcBorders>
            <w:vAlign w:val="top"/>
          </w:tcPr>
          <w:p w14:paraId="1B239B0D">
            <w:pPr>
              <w:pStyle w:val="6"/>
              <w:spacing w:before="199" w:line="252" w:lineRule="auto"/>
              <w:ind w:left="316" w:right="108" w:hanging="211"/>
            </w:pPr>
            <w:r>
              <w:rPr>
                <w:spacing w:val="7"/>
              </w:rPr>
              <w:t>土地使用</w:t>
            </w:r>
            <w:r>
              <w:rPr>
                <w:spacing w:val="4"/>
              </w:rPr>
              <w:t>情况</w:t>
            </w:r>
          </w:p>
        </w:tc>
        <w:tc>
          <w:tcPr>
            <w:tcW w:w="3283" w:type="dxa"/>
            <w:tcBorders>
              <w:bottom w:val="single" w:color="000000" w:sz="6" w:space="0"/>
            </w:tcBorders>
            <w:vAlign w:val="top"/>
          </w:tcPr>
          <w:p w14:paraId="2739EF12">
            <w:pPr>
              <w:pStyle w:val="6"/>
              <w:spacing w:before="181" w:line="247" w:lineRule="auto"/>
              <w:ind w:left="97" w:right="118" w:hanging="25"/>
              <w:rPr>
                <w:sz w:val="24"/>
                <w:szCs w:val="24"/>
              </w:rPr>
            </w:pPr>
            <w:r>
              <w:rPr>
                <w:spacing w:val="5"/>
              </w:rPr>
              <w:t>土地性质满足建站要求，为园地；</w:t>
            </w:r>
            <w:r>
              <w:rPr>
                <w:spacing w:val="3"/>
              </w:rPr>
              <w:t>变电站围墙内占地面积</w:t>
            </w:r>
            <w:r>
              <w:rPr>
                <w:spacing w:val="-28"/>
              </w:rPr>
              <w:t xml:space="preserve"> </w:t>
            </w:r>
            <w:r>
              <w:rPr>
                <w:rFonts w:ascii="Times New Roman" w:hAnsi="Times New Roman" w:eastAsia="Times New Roman" w:cs="Times New Roman"/>
                <w:spacing w:val="3"/>
              </w:rPr>
              <w:t>0.91</w:t>
            </w:r>
            <w:r>
              <w:rPr>
                <w:rFonts w:ascii="Times New Roman" w:hAnsi="Times New Roman" w:eastAsia="Times New Roman" w:cs="Times New Roman"/>
              </w:rPr>
              <w:t>hm</w:t>
            </w:r>
            <w:r>
              <w:rPr>
                <w:rFonts w:ascii="Times New Roman" w:hAnsi="Times New Roman" w:eastAsia="Times New Roman" w:cs="Times New Roman"/>
                <w:spacing w:val="3"/>
                <w:position w:val="6"/>
                <w:sz w:val="13"/>
                <w:szCs w:val="13"/>
              </w:rPr>
              <w:t>2</w:t>
            </w:r>
            <w:r>
              <w:rPr>
                <w:spacing w:val="3"/>
                <w:position w:val="-1"/>
                <w:sz w:val="24"/>
                <w:szCs w:val="24"/>
              </w:rPr>
              <w:t>；</w:t>
            </w:r>
          </w:p>
        </w:tc>
        <w:tc>
          <w:tcPr>
            <w:tcW w:w="2962" w:type="dxa"/>
            <w:tcBorders>
              <w:bottom w:val="single" w:color="000000" w:sz="6" w:space="0"/>
            </w:tcBorders>
            <w:vAlign w:val="top"/>
          </w:tcPr>
          <w:p w14:paraId="221E980D">
            <w:pPr>
              <w:pStyle w:val="6"/>
              <w:spacing w:before="43" w:line="228" w:lineRule="auto"/>
              <w:ind w:left="125"/>
            </w:pPr>
            <w:r>
              <w:rPr>
                <w:spacing w:val="9"/>
              </w:rPr>
              <w:t>土地性质满足建站要求，为园</w:t>
            </w:r>
          </w:p>
          <w:p w14:paraId="29DB767F">
            <w:pPr>
              <w:pStyle w:val="6"/>
              <w:spacing w:before="26" w:line="228" w:lineRule="auto"/>
              <w:ind w:left="230"/>
            </w:pPr>
            <w:r>
              <w:rPr>
                <w:spacing w:val="9"/>
              </w:rPr>
              <w:t>地；变电站围墙内占地面积</w:t>
            </w:r>
          </w:p>
          <w:p w14:paraId="6F84AD78">
            <w:pPr>
              <w:pStyle w:val="6"/>
              <w:spacing w:before="29" w:line="221" w:lineRule="auto"/>
              <w:ind w:left="913"/>
              <w:rPr>
                <w:sz w:val="24"/>
                <w:szCs w:val="24"/>
              </w:rPr>
            </w:pPr>
            <w:r>
              <w:rPr>
                <w:rFonts w:ascii="Times New Roman" w:hAnsi="Times New Roman" w:eastAsia="Times New Roman" w:cs="Times New Roman"/>
                <w:spacing w:val="4"/>
              </w:rPr>
              <w:t>0.9207</w:t>
            </w:r>
            <w:r>
              <w:rPr>
                <w:rFonts w:ascii="Times New Roman" w:hAnsi="Times New Roman" w:eastAsia="Times New Roman" w:cs="Times New Roman"/>
              </w:rPr>
              <w:t>hm</w:t>
            </w:r>
            <w:r>
              <w:rPr>
                <w:rFonts w:ascii="Times New Roman" w:hAnsi="Times New Roman" w:eastAsia="Times New Roman" w:cs="Times New Roman"/>
                <w:spacing w:val="4"/>
                <w:position w:val="6"/>
                <w:sz w:val="13"/>
                <w:szCs w:val="13"/>
              </w:rPr>
              <w:t>2</w:t>
            </w:r>
            <w:r>
              <w:rPr>
                <w:spacing w:val="4"/>
                <w:position w:val="-1"/>
                <w:sz w:val="24"/>
                <w:szCs w:val="24"/>
              </w:rPr>
              <w:t>；</w:t>
            </w:r>
          </w:p>
        </w:tc>
        <w:tc>
          <w:tcPr>
            <w:tcW w:w="124" w:type="dxa"/>
            <w:tcBorders>
              <w:top w:val="nil"/>
              <w:bottom w:val="single" w:color="000000" w:sz="6" w:space="0"/>
              <w:right w:val="single" w:color="000000" w:sz="6" w:space="0"/>
            </w:tcBorders>
            <w:vAlign w:val="top"/>
          </w:tcPr>
          <w:p w14:paraId="7F02FA13">
            <w:pPr>
              <w:rPr>
                <w:rFonts w:ascii="Arial"/>
                <w:sz w:val="21"/>
              </w:rPr>
            </w:pPr>
          </w:p>
        </w:tc>
      </w:tr>
    </w:tbl>
    <w:p w14:paraId="5CA879B9">
      <w:pPr>
        <w:rPr>
          <w:rFonts w:ascii="Arial"/>
          <w:sz w:val="21"/>
        </w:rPr>
      </w:pPr>
    </w:p>
    <w:p w14:paraId="287C4057">
      <w:pPr>
        <w:rPr>
          <w:rFonts w:ascii="Arial" w:hAnsi="Arial" w:eastAsia="Arial" w:cs="Arial"/>
          <w:sz w:val="21"/>
          <w:szCs w:val="21"/>
        </w:rPr>
        <w:sectPr>
          <w:footerReference r:id="rId63" w:type="default"/>
          <w:pgSz w:w="11907" w:h="16840"/>
          <w:pgMar w:top="400" w:right="1684" w:bottom="1240" w:left="1683" w:header="0" w:footer="1077" w:gutter="0"/>
          <w:cols w:space="720" w:num="1"/>
        </w:sectPr>
      </w:pPr>
    </w:p>
    <w:p w14:paraId="25059FD4">
      <w:pPr>
        <w:spacing w:before="19"/>
      </w:pPr>
    </w:p>
    <w:p w14:paraId="1131EA1E">
      <w:pPr>
        <w:spacing w:before="19"/>
      </w:pPr>
    </w:p>
    <w:p w14:paraId="0725E977">
      <w:pPr>
        <w:spacing w:before="18"/>
      </w:pPr>
    </w:p>
    <w:p w14:paraId="6E28F69B">
      <w:pPr>
        <w:spacing w:before="18"/>
      </w:pPr>
    </w:p>
    <w:tbl>
      <w:tblPr>
        <w:tblStyle w:val="5"/>
        <w:tblW w:w="852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5"/>
        <w:gridCol w:w="114"/>
        <w:gridCol w:w="618"/>
        <w:gridCol w:w="1048"/>
        <w:gridCol w:w="3283"/>
        <w:gridCol w:w="2962"/>
        <w:gridCol w:w="124"/>
      </w:tblGrid>
      <w:tr w14:paraId="020E8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0" w:hRule="atLeast"/>
        </w:trPr>
        <w:tc>
          <w:tcPr>
            <w:tcW w:w="375" w:type="dxa"/>
            <w:vMerge w:val="restart"/>
            <w:tcBorders>
              <w:top w:val="single" w:color="000000" w:sz="6" w:space="0"/>
              <w:left w:val="single" w:color="000000" w:sz="6" w:space="0"/>
              <w:bottom w:val="nil"/>
              <w:right w:val="single" w:color="000000" w:sz="6" w:space="0"/>
            </w:tcBorders>
            <w:vAlign w:val="top"/>
          </w:tcPr>
          <w:p w14:paraId="509E2997">
            <w:pPr>
              <w:rPr>
                <w:rFonts w:ascii="Arial"/>
                <w:sz w:val="21"/>
              </w:rPr>
            </w:pPr>
          </w:p>
        </w:tc>
        <w:tc>
          <w:tcPr>
            <w:tcW w:w="114" w:type="dxa"/>
            <w:tcBorders>
              <w:top w:val="single" w:color="000000" w:sz="6" w:space="0"/>
              <w:left w:val="single" w:color="000000" w:sz="6" w:space="0"/>
              <w:bottom w:val="nil"/>
            </w:tcBorders>
            <w:vAlign w:val="top"/>
          </w:tcPr>
          <w:p w14:paraId="6E584667">
            <w:pPr>
              <w:rPr>
                <w:rFonts w:ascii="Arial"/>
                <w:sz w:val="21"/>
              </w:rPr>
            </w:pPr>
          </w:p>
        </w:tc>
        <w:tc>
          <w:tcPr>
            <w:tcW w:w="618" w:type="dxa"/>
            <w:tcBorders>
              <w:top w:val="single" w:color="000000" w:sz="6" w:space="0"/>
            </w:tcBorders>
            <w:vAlign w:val="top"/>
          </w:tcPr>
          <w:p w14:paraId="42390E0B">
            <w:pPr>
              <w:spacing w:line="283" w:lineRule="auto"/>
              <w:rPr>
                <w:rFonts w:ascii="Arial"/>
                <w:sz w:val="21"/>
              </w:rPr>
            </w:pPr>
          </w:p>
          <w:p w14:paraId="7C68B94D">
            <w:pPr>
              <w:spacing w:line="283" w:lineRule="auto"/>
              <w:rPr>
                <w:rFonts w:ascii="Arial"/>
                <w:sz w:val="21"/>
              </w:rPr>
            </w:pPr>
          </w:p>
          <w:p w14:paraId="3487062C">
            <w:pPr>
              <w:spacing w:before="57" w:line="195" w:lineRule="auto"/>
              <w:ind w:left="24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048" w:type="dxa"/>
            <w:tcBorders>
              <w:top w:val="single" w:color="000000" w:sz="6" w:space="0"/>
            </w:tcBorders>
            <w:vAlign w:val="top"/>
          </w:tcPr>
          <w:p w14:paraId="1CD0E4FA">
            <w:pPr>
              <w:spacing w:line="387" w:lineRule="auto"/>
              <w:rPr>
                <w:rFonts w:ascii="Arial"/>
                <w:sz w:val="21"/>
              </w:rPr>
            </w:pPr>
          </w:p>
          <w:p w14:paraId="3CB0819E">
            <w:pPr>
              <w:pStyle w:val="6"/>
              <w:spacing w:before="65" w:line="251" w:lineRule="auto"/>
              <w:ind w:left="315" w:right="246" w:hanging="105"/>
            </w:pPr>
            <w:r>
              <w:rPr>
                <w:spacing w:val="-5"/>
              </w:rPr>
              <w:t>地形、</w:t>
            </w:r>
            <w:r>
              <w:rPr>
                <w:spacing w:val="4"/>
              </w:rPr>
              <w:t>地貌</w:t>
            </w:r>
          </w:p>
        </w:tc>
        <w:tc>
          <w:tcPr>
            <w:tcW w:w="3283" w:type="dxa"/>
            <w:tcBorders>
              <w:top w:val="single" w:color="000000" w:sz="6" w:space="0"/>
            </w:tcBorders>
            <w:vAlign w:val="top"/>
          </w:tcPr>
          <w:p w14:paraId="76CFBC1C">
            <w:pPr>
              <w:pStyle w:val="6"/>
              <w:spacing w:before="46" w:line="228" w:lineRule="auto"/>
              <w:jc w:val="right"/>
            </w:pPr>
            <w:r>
              <w:rPr>
                <w:spacing w:val="-1"/>
              </w:rPr>
              <w:t>站址海拔约</w:t>
            </w:r>
            <w:r>
              <w:rPr>
                <w:spacing w:val="-22"/>
              </w:rPr>
              <w:t xml:space="preserve"> </w:t>
            </w:r>
            <w:r>
              <w:rPr>
                <w:rFonts w:ascii="Times New Roman" w:hAnsi="Times New Roman" w:eastAsia="Times New Roman" w:cs="Times New Roman"/>
                <w:spacing w:val="-1"/>
              </w:rPr>
              <w:t>1833m</w:t>
            </w:r>
            <w:r>
              <w:rPr>
                <w:spacing w:val="-1"/>
              </w:rPr>
              <w:t>，场地位于坝区，</w:t>
            </w:r>
          </w:p>
          <w:p w14:paraId="2A529009">
            <w:pPr>
              <w:pStyle w:val="6"/>
              <w:spacing w:before="23" w:line="228" w:lineRule="auto"/>
              <w:ind w:left="59"/>
            </w:pPr>
            <w:r>
              <w:rPr>
                <w:spacing w:val="1"/>
              </w:rPr>
              <w:t>相对高差</w:t>
            </w:r>
            <w:r>
              <w:rPr>
                <w:spacing w:val="-17"/>
              </w:rPr>
              <w:t xml:space="preserve"> </w:t>
            </w:r>
            <w:r>
              <w:rPr>
                <w:rFonts w:ascii="Times New Roman" w:hAnsi="Times New Roman" w:eastAsia="Times New Roman" w:cs="Times New Roman"/>
                <w:spacing w:val="1"/>
              </w:rPr>
              <w:t>1~2m</w:t>
            </w:r>
            <w:r>
              <w:rPr>
                <w:spacing w:val="1"/>
              </w:rPr>
              <w:t>，地形较为平缓，整</w:t>
            </w:r>
          </w:p>
          <w:p w14:paraId="7845BB53">
            <w:pPr>
              <w:pStyle w:val="6"/>
              <w:spacing w:before="26" w:line="225" w:lineRule="auto"/>
              <w:ind w:left="59"/>
            </w:pPr>
            <w:r>
              <w:rPr>
                <w:spacing w:val="1"/>
              </w:rPr>
              <w:t>体上地形坡度为</w:t>
            </w:r>
            <w:r>
              <w:rPr>
                <w:spacing w:val="-15"/>
              </w:rPr>
              <w:t xml:space="preserve"> </w:t>
            </w:r>
            <w:r>
              <w:rPr>
                <w:rFonts w:ascii="Times New Roman" w:hAnsi="Times New Roman" w:eastAsia="Times New Roman" w:cs="Times New Roman"/>
                <w:spacing w:val="1"/>
              </w:rPr>
              <w:t>1~4°</w:t>
            </w:r>
            <w:r>
              <w:rPr>
                <w:rFonts w:ascii="Times New Roman" w:hAnsi="Times New Roman" w:eastAsia="Times New Roman" w:cs="Times New Roman"/>
                <w:spacing w:val="-24"/>
              </w:rPr>
              <w:t xml:space="preserve"> </w:t>
            </w:r>
            <w:r>
              <w:rPr>
                <w:spacing w:val="1"/>
              </w:rPr>
              <w:t>,</w:t>
            </w:r>
            <w:r>
              <w:rPr>
                <w:spacing w:val="47"/>
              </w:rPr>
              <w:t xml:space="preserve"> </w:t>
            </w:r>
            <w:r>
              <w:rPr>
                <w:spacing w:val="1"/>
              </w:rPr>
              <w:t>局部会形成</w:t>
            </w:r>
          </w:p>
          <w:p w14:paraId="2FD4DD58">
            <w:pPr>
              <w:pStyle w:val="6"/>
              <w:spacing w:before="27" w:line="228" w:lineRule="auto"/>
              <w:ind w:left="94"/>
            </w:pPr>
            <w:r>
              <w:rPr>
                <w:spacing w:val="6"/>
              </w:rPr>
              <w:t>高</w:t>
            </w:r>
            <w:r>
              <w:rPr>
                <w:spacing w:val="-41"/>
              </w:rPr>
              <w:t xml:space="preserve"> </w:t>
            </w:r>
            <w:r>
              <w:rPr>
                <w:rFonts w:ascii="Times New Roman" w:hAnsi="Times New Roman" w:eastAsia="Times New Roman" w:cs="Times New Roman"/>
                <w:spacing w:val="6"/>
              </w:rPr>
              <w:t>2~3m</w:t>
            </w:r>
            <w:r>
              <w:rPr>
                <w:rFonts w:ascii="Times New Roman" w:hAnsi="Times New Roman" w:eastAsia="Times New Roman" w:cs="Times New Roman"/>
                <w:spacing w:val="26"/>
                <w:w w:val="101"/>
              </w:rPr>
              <w:t xml:space="preserve"> </w:t>
            </w:r>
            <w:r>
              <w:rPr>
                <w:spacing w:val="6"/>
              </w:rPr>
              <w:t>的挖填方边坡。站址范围</w:t>
            </w:r>
          </w:p>
          <w:p w14:paraId="192C93A5">
            <w:pPr>
              <w:pStyle w:val="6"/>
              <w:spacing w:before="27" w:line="216" w:lineRule="auto"/>
              <w:ind w:left="491"/>
            </w:pPr>
            <w:r>
              <w:rPr>
                <w:spacing w:val="8"/>
              </w:rPr>
              <w:t>种植有桑树等经济作物。</w:t>
            </w:r>
          </w:p>
        </w:tc>
        <w:tc>
          <w:tcPr>
            <w:tcW w:w="2962" w:type="dxa"/>
            <w:tcBorders>
              <w:top w:val="single" w:color="000000" w:sz="6" w:space="0"/>
            </w:tcBorders>
            <w:vAlign w:val="top"/>
          </w:tcPr>
          <w:p w14:paraId="2D82C5DC">
            <w:pPr>
              <w:pStyle w:val="6"/>
              <w:spacing w:before="46" w:line="251" w:lineRule="auto"/>
              <w:ind w:left="84" w:right="49" w:hanging="19"/>
              <w:jc w:val="both"/>
            </w:pPr>
            <w:r>
              <w:t>站址海拔约</w:t>
            </w:r>
            <w:r>
              <w:rPr>
                <w:spacing w:val="-15"/>
              </w:rPr>
              <w:t xml:space="preserve"> </w:t>
            </w:r>
            <w:r>
              <w:rPr>
                <w:rFonts w:ascii="Times New Roman" w:hAnsi="Times New Roman" w:eastAsia="Times New Roman" w:cs="Times New Roman"/>
              </w:rPr>
              <w:t>1823m</w:t>
            </w:r>
            <w:r>
              <w:t>，场地位于坝</w:t>
            </w:r>
            <w:r>
              <w:rPr>
                <w:spacing w:val="3"/>
              </w:rPr>
              <w:t>区，相对高差</w:t>
            </w:r>
            <w:r>
              <w:rPr>
                <w:spacing w:val="-9"/>
              </w:rPr>
              <w:t xml:space="preserve"> </w:t>
            </w:r>
            <w:r>
              <w:rPr>
                <w:rFonts w:ascii="Times New Roman" w:hAnsi="Times New Roman" w:eastAsia="Times New Roman" w:cs="Times New Roman"/>
                <w:spacing w:val="3"/>
              </w:rPr>
              <w:t>1m</w:t>
            </w:r>
            <w:r>
              <w:rPr>
                <w:rFonts w:ascii="Times New Roman" w:hAnsi="Times New Roman" w:eastAsia="Times New Roman" w:cs="Times New Roman"/>
                <w:spacing w:val="-24"/>
              </w:rPr>
              <w:t xml:space="preserve"> </w:t>
            </w:r>
            <w:r>
              <w:rPr>
                <w:spacing w:val="3"/>
              </w:rPr>
              <w:t>，地形较为平</w:t>
            </w:r>
            <w:r>
              <w:rPr>
                <w:spacing w:val="6"/>
              </w:rPr>
              <w:t>缓，整体上地形坡度为</w:t>
            </w:r>
            <w:r>
              <w:rPr>
                <w:spacing w:val="-7"/>
              </w:rPr>
              <w:t xml:space="preserve"> </w:t>
            </w:r>
            <w:r>
              <w:rPr>
                <w:rFonts w:ascii="Times New Roman" w:hAnsi="Times New Roman" w:eastAsia="Times New Roman" w:cs="Times New Roman"/>
                <w:spacing w:val="6"/>
              </w:rPr>
              <w:t>1~2°</w:t>
            </w:r>
            <w:r>
              <w:rPr>
                <w:spacing w:val="6"/>
              </w:rPr>
              <w:t>。</w:t>
            </w:r>
          </w:p>
          <w:p w14:paraId="32951CC1">
            <w:pPr>
              <w:pStyle w:val="6"/>
              <w:spacing w:line="234" w:lineRule="auto"/>
              <w:ind w:left="764" w:right="111" w:hanging="641"/>
              <w:jc w:val="both"/>
            </w:pPr>
            <w:r>
              <w:rPr>
                <w:spacing w:val="9"/>
              </w:rPr>
              <w:t>场地范围现状为种植有桑树等</w:t>
            </w:r>
            <w:r>
              <w:rPr>
                <w:spacing w:val="5"/>
              </w:rPr>
              <w:t>多种经济作物。</w:t>
            </w:r>
          </w:p>
        </w:tc>
        <w:tc>
          <w:tcPr>
            <w:tcW w:w="124" w:type="dxa"/>
            <w:tcBorders>
              <w:top w:val="single" w:color="000000" w:sz="6" w:space="0"/>
              <w:bottom w:val="nil"/>
              <w:right w:val="single" w:color="000000" w:sz="6" w:space="0"/>
            </w:tcBorders>
            <w:vAlign w:val="top"/>
          </w:tcPr>
          <w:p w14:paraId="789ECA10">
            <w:pPr>
              <w:rPr>
                <w:rFonts w:ascii="Arial"/>
                <w:sz w:val="21"/>
              </w:rPr>
            </w:pPr>
          </w:p>
        </w:tc>
      </w:tr>
      <w:tr w14:paraId="138CD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375" w:type="dxa"/>
            <w:vMerge w:val="continue"/>
            <w:tcBorders>
              <w:top w:val="nil"/>
              <w:left w:val="single" w:color="000000" w:sz="6" w:space="0"/>
              <w:bottom w:val="nil"/>
              <w:right w:val="single" w:color="000000" w:sz="6" w:space="0"/>
            </w:tcBorders>
            <w:vAlign w:val="top"/>
          </w:tcPr>
          <w:p w14:paraId="4BCDA950">
            <w:pPr>
              <w:rPr>
                <w:rFonts w:ascii="Arial"/>
                <w:sz w:val="21"/>
              </w:rPr>
            </w:pPr>
          </w:p>
        </w:tc>
        <w:tc>
          <w:tcPr>
            <w:tcW w:w="114" w:type="dxa"/>
            <w:tcBorders>
              <w:top w:val="nil"/>
              <w:left w:val="single" w:color="000000" w:sz="6" w:space="0"/>
              <w:bottom w:val="nil"/>
            </w:tcBorders>
            <w:vAlign w:val="top"/>
          </w:tcPr>
          <w:p w14:paraId="00600D22">
            <w:pPr>
              <w:rPr>
                <w:rFonts w:ascii="Arial"/>
                <w:sz w:val="21"/>
              </w:rPr>
            </w:pPr>
          </w:p>
        </w:tc>
        <w:tc>
          <w:tcPr>
            <w:tcW w:w="618" w:type="dxa"/>
            <w:vAlign w:val="top"/>
          </w:tcPr>
          <w:p w14:paraId="198F28C5">
            <w:pPr>
              <w:spacing w:line="277" w:lineRule="auto"/>
              <w:rPr>
                <w:rFonts w:ascii="Arial"/>
                <w:sz w:val="21"/>
              </w:rPr>
            </w:pPr>
          </w:p>
          <w:p w14:paraId="1074D2B5">
            <w:pPr>
              <w:spacing w:line="277" w:lineRule="auto"/>
              <w:rPr>
                <w:rFonts w:ascii="Arial"/>
                <w:sz w:val="21"/>
              </w:rPr>
            </w:pPr>
          </w:p>
          <w:p w14:paraId="64D6C31D">
            <w:pPr>
              <w:spacing w:before="57" w:line="192" w:lineRule="auto"/>
              <w:ind w:left="25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048" w:type="dxa"/>
            <w:vAlign w:val="top"/>
          </w:tcPr>
          <w:p w14:paraId="55A3B309">
            <w:pPr>
              <w:spacing w:line="254" w:lineRule="auto"/>
              <w:rPr>
                <w:rFonts w:ascii="Arial"/>
                <w:sz w:val="21"/>
              </w:rPr>
            </w:pPr>
          </w:p>
          <w:p w14:paraId="20E59690">
            <w:pPr>
              <w:spacing w:line="254" w:lineRule="auto"/>
              <w:rPr>
                <w:rFonts w:ascii="Arial"/>
                <w:sz w:val="21"/>
              </w:rPr>
            </w:pPr>
          </w:p>
          <w:p w14:paraId="34E2DFAF">
            <w:pPr>
              <w:pStyle w:val="6"/>
              <w:spacing w:before="65" w:line="228" w:lineRule="auto"/>
              <w:ind w:left="104"/>
            </w:pPr>
            <w:r>
              <w:rPr>
                <w:spacing w:val="7"/>
              </w:rPr>
              <w:t>地质条件</w:t>
            </w:r>
          </w:p>
        </w:tc>
        <w:tc>
          <w:tcPr>
            <w:tcW w:w="3283" w:type="dxa"/>
            <w:vAlign w:val="top"/>
          </w:tcPr>
          <w:p w14:paraId="68F0F260">
            <w:pPr>
              <w:pStyle w:val="6"/>
              <w:spacing w:before="31" w:line="227" w:lineRule="auto"/>
              <w:ind w:left="71"/>
            </w:pPr>
            <w:r>
              <w:rPr>
                <w:spacing w:val="8"/>
              </w:rPr>
              <w:t>拟建场地内未见大型空洞、滑坡、</w:t>
            </w:r>
          </w:p>
          <w:p w14:paraId="3DB1B6F9">
            <w:pPr>
              <w:pStyle w:val="6"/>
              <w:spacing w:before="27" w:line="228" w:lineRule="auto"/>
              <w:ind w:left="73"/>
            </w:pPr>
            <w:r>
              <w:rPr>
                <w:spacing w:val="8"/>
              </w:rPr>
              <w:t>泥石流、地裂缝等不良地质现象，</w:t>
            </w:r>
          </w:p>
          <w:p w14:paraId="0949147E">
            <w:pPr>
              <w:pStyle w:val="6"/>
              <w:spacing w:before="24" w:line="227" w:lineRule="auto"/>
              <w:ind w:left="70"/>
            </w:pPr>
            <w:r>
              <w:rPr>
                <w:spacing w:val="9"/>
              </w:rPr>
              <w:t>场地和地基基本稳定，基本适宜建</w:t>
            </w:r>
          </w:p>
          <w:p w14:paraId="78A34F7F">
            <w:pPr>
              <w:pStyle w:val="6"/>
              <w:spacing w:before="27" w:line="228" w:lineRule="auto"/>
              <w:ind w:left="75"/>
            </w:pPr>
            <w:r>
              <w:rPr>
                <w:spacing w:val="9"/>
              </w:rPr>
              <w:t>设，建筑设计按抗震设防烈度进行</w:t>
            </w:r>
          </w:p>
          <w:p w14:paraId="52246E35">
            <w:pPr>
              <w:pStyle w:val="6"/>
              <w:spacing w:before="24" w:line="216" w:lineRule="auto"/>
              <w:ind w:left="1335"/>
            </w:pPr>
            <w:r>
              <w:rPr>
                <w:spacing w:val="2"/>
              </w:rPr>
              <w:t>设计。</w:t>
            </w:r>
          </w:p>
        </w:tc>
        <w:tc>
          <w:tcPr>
            <w:tcW w:w="2962" w:type="dxa"/>
            <w:vAlign w:val="top"/>
          </w:tcPr>
          <w:p w14:paraId="63817729">
            <w:pPr>
              <w:spacing w:line="254" w:lineRule="auto"/>
              <w:rPr>
                <w:rFonts w:ascii="Arial"/>
                <w:sz w:val="21"/>
              </w:rPr>
            </w:pPr>
          </w:p>
          <w:p w14:paraId="6EAECE51">
            <w:pPr>
              <w:spacing w:line="254" w:lineRule="auto"/>
              <w:rPr>
                <w:rFonts w:ascii="Arial"/>
                <w:sz w:val="21"/>
              </w:rPr>
            </w:pPr>
          </w:p>
          <w:p w14:paraId="444B0C61">
            <w:pPr>
              <w:pStyle w:val="6"/>
              <w:spacing w:before="65" w:line="230" w:lineRule="auto"/>
              <w:ind w:left="1117"/>
              <w:rPr>
                <w:rFonts w:ascii="Times New Roman" w:hAnsi="Times New Roman" w:eastAsia="Times New Roman" w:cs="Times New Roman"/>
              </w:rPr>
            </w:pPr>
            <w:r>
              <w:t>同站址</w:t>
            </w:r>
            <w:r>
              <w:rPr>
                <w:spacing w:val="-23"/>
              </w:rPr>
              <w:t xml:space="preserve"> </w:t>
            </w:r>
            <w:r>
              <w:rPr>
                <w:rFonts w:ascii="Times New Roman" w:hAnsi="Times New Roman" w:eastAsia="Times New Roman" w:cs="Times New Roman"/>
              </w:rPr>
              <w:t>1</w:t>
            </w:r>
          </w:p>
        </w:tc>
        <w:tc>
          <w:tcPr>
            <w:tcW w:w="124" w:type="dxa"/>
            <w:tcBorders>
              <w:top w:val="nil"/>
              <w:bottom w:val="nil"/>
              <w:right w:val="single" w:color="000000" w:sz="6" w:space="0"/>
            </w:tcBorders>
            <w:vAlign w:val="top"/>
          </w:tcPr>
          <w:p w14:paraId="14B2A61B">
            <w:pPr>
              <w:rPr>
                <w:rFonts w:ascii="Arial"/>
                <w:sz w:val="21"/>
              </w:rPr>
            </w:pPr>
          </w:p>
        </w:tc>
      </w:tr>
      <w:tr w14:paraId="1FF95F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2A4254F9">
            <w:pPr>
              <w:rPr>
                <w:rFonts w:ascii="Arial"/>
                <w:sz w:val="21"/>
              </w:rPr>
            </w:pPr>
          </w:p>
        </w:tc>
        <w:tc>
          <w:tcPr>
            <w:tcW w:w="114" w:type="dxa"/>
            <w:tcBorders>
              <w:top w:val="nil"/>
              <w:left w:val="single" w:color="000000" w:sz="6" w:space="0"/>
              <w:bottom w:val="nil"/>
            </w:tcBorders>
            <w:vAlign w:val="top"/>
          </w:tcPr>
          <w:p w14:paraId="2D517B80">
            <w:pPr>
              <w:rPr>
                <w:rFonts w:ascii="Arial"/>
                <w:sz w:val="21"/>
              </w:rPr>
            </w:pPr>
          </w:p>
        </w:tc>
        <w:tc>
          <w:tcPr>
            <w:tcW w:w="618" w:type="dxa"/>
            <w:vAlign w:val="top"/>
          </w:tcPr>
          <w:p w14:paraId="4F247F39">
            <w:pPr>
              <w:spacing w:before="207" w:line="195" w:lineRule="auto"/>
              <w:ind w:left="255"/>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048" w:type="dxa"/>
            <w:vAlign w:val="top"/>
          </w:tcPr>
          <w:p w14:paraId="24E2AB80">
            <w:pPr>
              <w:pStyle w:val="6"/>
              <w:spacing w:before="34" w:line="233" w:lineRule="auto"/>
              <w:ind w:left="207" w:right="108" w:hanging="103"/>
            </w:pPr>
            <w:r>
              <w:rPr>
                <w:spacing w:val="7"/>
              </w:rPr>
              <w:t>变电站布置方式</w:t>
            </w:r>
          </w:p>
        </w:tc>
        <w:tc>
          <w:tcPr>
            <w:tcW w:w="3283" w:type="dxa"/>
            <w:vAlign w:val="top"/>
          </w:tcPr>
          <w:p w14:paraId="612042FD">
            <w:pPr>
              <w:pStyle w:val="6"/>
              <w:spacing w:before="168" w:line="227" w:lineRule="auto"/>
              <w:ind w:left="1120"/>
            </w:pPr>
            <w:r>
              <w:rPr>
                <w:spacing w:val="8"/>
              </w:rPr>
              <w:t>全户外布置</w:t>
            </w:r>
          </w:p>
        </w:tc>
        <w:tc>
          <w:tcPr>
            <w:tcW w:w="2962" w:type="dxa"/>
            <w:vAlign w:val="top"/>
          </w:tcPr>
          <w:p w14:paraId="4BA5ACB1">
            <w:pPr>
              <w:pStyle w:val="6"/>
              <w:spacing w:before="168" w:line="227" w:lineRule="auto"/>
              <w:ind w:left="964"/>
            </w:pPr>
            <w:r>
              <w:rPr>
                <w:spacing w:val="8"/>
              </w:rPr>
              <w:t>全户外布置</w:t>
            </w:r>
          </w:p>
        </w:tc>
        <w:tc>
          <w:tcPr>
            <w:tcW w:w="124" w:type="dxa"/>
            <w:tcBorders>
              <w:top w:val="nil"/>
              <w:bottom w:val="nil"/>
              <w:right w:val="single" w:color="000000" w:sz="6" w:space="0"/>
            </w:tcBorders>
            <w:vAlign w:val="top"/>
          </w:tcPr>
          <w:p w14:paraId="07C2B4CC">
            <w:pPr>
              <w:rPr>
                <w:rFonts w:ascii="Arial"/>
                <w:sz w:val="21"/>
              </w:rPr>
            </w:pPr>
          </w:p>
        </w:tc>
      </w:tr>
      <w:tr w14:paraId="331D7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66BDE8A9">
            <w:pPr>
              <w:rPr>
                <w:rFonts w:ascii="Arial"/>
                <w:sz w:val="21"/>
              </w:rPr>
            </w:pPr>
          </w:p>
        </w:tc>
        <w:tc>
          <w:tcPr>
            <w:tcW w:w="114" w:type="dxa"/>
            <w:tcBorders>
              <w:top w:val="nil"/>
              <w:left w:val="single" w:color="000000" w:sz="6" w:space="0"/>
              <w:bottom w:val="nil"/>
            </w:tcBorders>
            <w:vAlign w:val="top"/>
          </w:tcPr>
          <w:p w14:paraId="62A428DF">
            <w:pPr>
              <w:rPr>
                <w:rFonts w:ascii="Arial"/>
                <w:sz w:val="21"/>
              </w:rPr>
            </w:pPr>
          </w:p>
        </w:tc>
        <w:tc>
          <w:tcPr>
            <w:tcW w:w="618" w:type="dxa"/>
            <w:vAlign w:val="top"/>
          </w:tcPr>
          <w:p w14:paraId="52941E4B">
            <w:pPr>
              <w:spacing w:before="210" w:line="192" w:lineRule="auto"/>
              <w:ind w:left="254"/>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048" w:type="dxa"/>
            <w:vAlign w:val="top"/>
          </w:tcPr>
          <w:p w14:paraId="2769DF21">
            <w:pPr>
              <w:pStyle w:val="6"/>
              <w:spacing w:before="34" w:line="233" w:lineRule="auto"/>
              <w:ind w:left="315" w:right="108" w:hanging="208"/>
            </w:pPr>
            <w:r>
              <w:rPr>
                <w:spacing w:val="6"/>
              </w:rPr>
              <w:t>不良地质</w:t>
            </w:r>
            <w:r>
              <w:rPr>
                <w:spacing w:val="4"/>
              </w:rPr>
              <w:t>作用</w:t>
            </w:r>
          </w:p>
        </w:tc>
        <w:tc>
          <w:tcPr>
            <w:tcW w:w="3283" w:type="dxa"/>
            <w:vAlign w:val="top"/>
          </w:tcPr>
          <w:p w14:paraId="5E0A9369">
            <w:pPr>
              <w:pStyle w:val="6"/>
              <w:spacing w:before="169" w:line="227" w:lineRule="auto"/>
              <w:ind w:left="385"/>
            </w:pPr>
            <w:r>
              <w:rPr>
                <w:spacing w:val="8"/>
              </w:rPr>
              <w:t>场地范围无不良地质分布。</w:t>
            </w:r>
          </w:p>
        </w:tc>
        <w:tc>
          <w:tcPr>
            <w:tcW w:w="2962" w:type="dxa"/>
            <w:vAlign w:val="top"/>
          </w:tcPr>
          <w:p w14:paraId="36691BBE">
            <w:pPr>
              <w:pStyle w:val="6"/>
              <w:spacing w:before="169" w:line="230" w:lineRule="auto"/>
              <w:ind w:left="1117"/>
              <w:rPr>
                <w:rFonts w:ascii="Times New Roman" w:hAnsi="Times New Roman" w:eastAsia="Times New Roman" w:cs="Times New Roman"/>
              </w:rPr>
            </w:pPr>
            <w:r>
              <w:t>同站址</w:t>
            </w:r>
            <w:r>
              <w:rPr>
                <w:spacing w:val="-23"/>
              </w:rPr>
              <w:t xml:space="preserve"> </w:t>
            </w:r>
            <w:r>
              <w:rPr>
                <w:rFonts w:ascii="Times New Roman" w:hAnsi="Times New Roman" w:eastAsia="Times New Roman" w:cs="Times New Roman"/>
              </w:rPr>
              <w:t>1</w:t>
            </w:r>
          </w:p>
        </w:tc>
        <w:tc>
          <w:tcPr>
            <w:tcW w:w="124" w:type="dxa"/>
            <w:tcBorders>
              <w:top w:val="nil"/>
              <w:bottom w:val="nil"/>
              <w:right w:val="single" w:color="000000" w:sz="6" w:space="0"/>
            </w:tcBorders>
            <w:vAlign w:val="top"/>
          </w:tcPr>
          <w:p w14:paraId="62057D72">
            <w:pPr>
              <w:rPr>
                <w:rFonts w:ascii="Arial"/>
                <w:sz w:val="21"/>
              </w:rPr>
            </w:pPr>
          </w:p>
        </w:tc>
      </w:tr>
      <w:tr w14:paraId="176722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0AA0F5A2">
            <w:pPr>
              <w:rPr>
                <w:rFonts w:ascii="Arial"/>
                <w:sz w:val="21"/>
              </w:rPr>
            </w:pPr>
          </w:p>
        </w:tc>
        <w:tc>
          <w:tcPr>
            <w:tcW w:w="114" w:type="dxa"/>
            <w:tcBorders>
              <w:top w:val="nil"/>
              <w:left w:val="single" w:color="000000" w:sz="6" w:space="0"/>
              <w:bottom w:val="nil"/>
            </w:tcBorders>
            <w:vAlign w:val="top"/>
          </w:tcPr>
          <w:p w14:paraId="1F22DA87">
            <w:pPr>
              <w:rPr>
                <w:rFonts w:ascii="Arial"/>
                <w:sz w:val="21"/>
              </w:rPr>
            </w:pPr>
          </w:p>
        </w:tc>
        <w:tc>
          <w:tcPr>
            <w:tcW w:w="618" w:type="dxa"/>
            <w:vAlign w:val="top"/>
          </w:tcPr>
          <w:p w14:paraId="01514C69">
            <w:pPr>
              <w:spacing w:before="208" w:line="195" w:lineRule="auto"/>
              <w:ind w:left="259"/>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048" w:type="dxa"/>
            <w:vAlign w:val="top"/>
          </w:tcPr>
          <w:p w14:paraId="3F6AC0B6">
            <w:pPr>
              <w:pStyle w:val="6"/>
              <w:spacing w:before="36" w:line="232" w:lineRule="auto"/>
              <w:ind w:left="208" w:right="108" w:hanging="103"/>
            </w:pPr>
            <w:r>
              <w:rPr>
                <w:spacing w:val="7"/>
              </w:rPr>
              <w:t>站址压覆矿情况</w:t>
            </w:r>
          </w:p>
        </w:tc>
        <w:tc>
          <w:tcPr>
            <w:tcW w:w="3283" w:type="dxa"/>
            <w:vAlign w:val="top"/>
          </w:tcPr>
          <w:p w14:paraId="5D1B5EC8">
            <w:pPr>
              <w:pStyle w:val="6"/>
              <w:spacing w:before="169" w:line="228" w:lineRule="auto"/>
              <w:ind w:left="1016"/>
            </w:pPr>
            <w:r>
              <w:rPr>
                <w:spacing w:val="7"/>
              </w:rPr>
              <w:t>无压覆矿情况</w:t>
            </w:r>
          </w:p>
        </w:tc>
        <w:tc>
          <w:tcPr>
            <w:tcW w:w="2962" w:type="dxa"/>
            <w:vAlign w:val="top"/>
          </w:tcPr>
          <w:p w14:paraId="7F157534">
            <w:pPr>
              <w:pStyle w:val="6"/>
              <w:spacing w:before="169" w:line="228" w:lineRule="auto"/>
              <w:ind w:left="863"/>
            </w:pPr>
            <w:r>
              <w:rPr>
                <w:spacing w:val="7"/>
              </w:rPr>
              <w:t>无压覆矿情况</w:t>
            </w:r>
          </w:p>
        </w:tc>
        <w:tc>
          <w:tcPr>
            <w:tcW w:w="124" w:type="dxa"/>
            <w:tcBorders>
              <w:top w:val="nil"/>
              <w:bottom w:val="nil"/>
              <w:right w:val="single" w:color="000000" w:sz="6" w:space="0"/>
            </w:tcBorders>
            <w:vAlign w:val="top"/>
          </w:tcPr>
          <w:p w14:paraId="7AAE9D2D">
            <w:pPr>
              <w:rPr>
                <w:rFonts w:ascii="Arial"/>
                <w:sz w:val="21"/>
              </w:rPr>
            </w:pPr>
          </w:p>
        </w:tc>
      </w:tr>
      <w:tr w14:paraId="50AED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375" w:type="dxa"/>
            <w:vMerge w:val="continue"/>
            <w:tcBorders>
              <w:top w:val="nil"/>
              <w:left w:val="single" w:color="000000" w:sz="6" w:space="0"/>
              <w:bottom w:val="nil"/>
              <w:right w:val="single" w:color="000000" w:sz="6" w:space="0"/>
            </w:tcBorders>
            <w:vAlign w:val="top"/>
          </w:tcPr>
          <w:p w14:paraId="18262A1D">
            <w:pPr>
              <w:rPr>
                <w:rFonts w:ascii="Arial"/>
                <w:sz w:val="21"/>
              </w:rPr>
            </w:pPr>
          </w:p>
        </w:tc>
        <w:tc>
          <w:tcPr>
            <w:tcW w:w="114" w:type="dxa"/>
            <w:tcBorders>
              <w:top w:val="nil"/>
              <w:left w:val="single" w:color="000000" w:sz="6" w:space="0"/>
              <w:bottom w:val="nil"/>
            </w:tcBorders>
            <w:vAlign w:val="top"/>
          </w:tcPr>
          <w:p w14:paraId="2EFD8217">
            <w:pPr>
              <w:rPr>
                <w:rFonts w:ascii="Arial"/>
                <w:sz w:val="21"/>
              </w:rPr>
            </w:pPr>
          </w:p>
        </w:tc>
        <w:tc>
          <w:tcPr>
            <w:tcW w:w="618" w:type="dxa"/>
            <w:vAlign w:val="top"/>
          </w:tcPr>
          <w:p w14:paraId="7E404C12">
            <w:pPr>
              <w:spacing w:before="182" w:line="195" w:lineRule="auto"/>
              <w:ind w:left="254"/>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048" w:type="dxa"/>
            <w:vAlign w:val="top"/>
          </w:tcPr>
          <w:p w14:paraId="6A1492A6">
            <w:pPr>
              <w:pStyle w:val="6"/>
              <w:spacing w:before="144" w:line="228" w:lineRule="auto"/>
              <w:ind w:left="106"/>
            </w:pPr>
            <w:r>
              <w:rPr>
                <w:spacing w:val="6"/>
              </w:rPr>
              <w:t>文物情况</w:t>
            </w:r>
          </w:p>
        </w:tc>
        <w:tc>
          <w:tcPr>
            <w:tcW w:w="3283" w:type="dxa"/>
            <w:vAlign w:val="top"/>
          </w:tcPr>
          <w:p w14:paraId="64A83DD8">
            <w:pPr>
              <w:pStyle w:val="6"/>
              <w:spacing w:before="144" w:line="228" w:lineRule="auto"/>
              <w:ind w:left="1122"/>
            </w:pPr>
            <w:r>
              <w:rPr>
                <w:spacing w:val="7"/>
              </w:rPr>
              <w:t>无文物压覆</w:t>
            </w:r>
          </w:p>
        </w:tc>
        <w:tc>
          <w:tcPr>
            <w:tcW w:w="2962" w:type="dxa"/>
            <w:vAlign w:val="top"/>
          </w:tcPr>
          <w:p w14:paraId="6F34A3A0">
            <w:pPr>
              <w:pStyle w:val="6"/>
              <w:spacing w:before="144" w:line="228" w:lineRule="auto"/>
              <w:ind w:left="966"/>
            </w:pPr>
            <w:r>
              <w:rPr>
                <w:spacing w:val="7"/>
              </w:rPr>
              <w:t>无文物压覆</w:t>
            </w:r>
          </w:p>
        </w:tc>
        <w:tc>
          <w:tcPr>
            <w:tcW w:w="124" w:type="dxa"/>
            <w:tcBorders>
              <w:top w:val="nil"/>
              <w:bottom w:val="nil"/>
              <w:right w:val="single" w:color="000000" w:sz="6" w:space="0"/>
            </w:tcBorders>
            <w:vAlign w:val="top"/>
          </w:tcPr>
          <w:p w14:paraId="20700094">
            <w:pPr>
              <w:rPr>
                <w:rFonts w:ascii="Arial"/>
                <w:sz w:val="21"/>
              </w:rPr>
            </w:pPr>
          </w:p>
        </w:tc>
      </w:tr>
      <w:tr w14:paraId="271A4B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375" w:type="dxa"/>
            <w:vMerge w:val="continue"/>
            <w:tcBorders>
              <w:top w:val="nil"/>
              <w:left w:val="single" w:color="000000" w:sz="6" w:space="0"/>
              <w:bottom w:val="nil"/>
              <w:right w:val="single" w:color="000000" w:sz="6" w:space="0"/>
            </w:tcBorders>
            <w:vAlign w:val="top"/>
          </w:tcPr>
          <w:p w14:paraId="08EEB863">
            <w:pPr>
              <w:rPr>
                <w:rFonts w:ascii="Arial"/>
                <w:sz w:val="21"/>
              </w:rPr>
            </w:pPr>
          </w:p>
        </w:tc>
        <w:tc>
          <w:tcPr>
            <w:tcW w:w="114" w:type="dxa"/>
            <w:tcBorders>
              <w:top w:val="nil"/>
              <w:left w:val="single" w:color="000000" w:sz="6" w:space="0"/>
              <w:bottom w:val="nil"/>
            </w:tcBorders>
            <w:vAlign w:val="top"/>
          </w:tcPr>
          <w:p w14:paraId="0684DBDD">
            <w:pPr>
              <w:rPr>
                <w:rFonts w:ascii="Arial"/>
                <w:sz w:val="21"/>
              </w:rPr>
            </w:pPr>
          </w:p>
        </w:tc>
        <w:tc>
          <w:tcPr>
            <w:tcW w:w="618" w:type="dxa"/>
            <w:vAlign w:val="top"/>
          </w:tcPr>
          <w:p w14:paraId="3A1174B3">
            <w:pPr>
              <w:spacing w:before="182" w:line="195" w:lineRule="auto"/>
              <w:ind w:left="21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048" w:type="dxa"/>
            <w:vAlign w:val="top"/>
          </w:tcPr>
          <w:p w14:paraId="48EA9A05">
            <w:pPr>
              <w:pStyle w:val="6"/>
              <w:spacing w:before="146" w:line="228" w:lineRule="auto"/>
              <w:ind w:left="316"/>
            </w:pPr>
            <w:r>
              <w:rPr>
                <w:spacing w:val="4"/>
              </w:rPr>
              <w:t>给水</w:t>
            </w:r>
          </w:p>
        </w:tc>
        <w:tc>
          <w:tcPr>
            <w:tcW w:w="3283" w:type="dxa"/>
            <w:vAlign w:val="top"/>
          </w:tcPr>
          <w:p w14:paraId="56611F56">
            <w:pPr>
              <w:pStyle w:val="6"/>
              <w:spacing w:before="146" w:line="227" w:lineRule="auto"/>
              <w:ind w:left="493"/>
            </w:pPr>
            <w:r>
              <w:rPr>
                <w:spacing w:val="7"/>
              </w:rPr>
              <w:t>就近引接乡镇供水管网。</w:t>
            </w:r>
          </w:p>
        </w:tc>
        <w:tc>
          <w:tcPr>
            <w:tcW w:w="2962" w:type="dxa"/>
            <w:vAlign w:val="top"/>
          </w:tcPr>
          <w:p w14:paraId="6A02C207">
            <w:pPr>
              <w:pStyle w:val="6"/>
              <w:spacing w:before="146" w:line="227" w:lineRule="auto"/>
              <w:ind w:left="337"/>
            </w:pPr>
            <w:r>
              <w:rPr>
                <w:spacing w:val="7"/>
              </w:rPr>
              <w:t>就近引接乡镇供水管网。</w:t>
            </w:r>
          </w:p>
        </w:tc>
        <w:tc>
          <w:tcPr>
            <w:tcW w:w="124" w:type="dxa"/>
            <w:tcBorders>
              <w:top w:val="nil"/>
              <w:bottom w:val="nil"/>
              <w:right w:val="single" w:color="000000" w:sz="6" w:space="0"/>
            </w:tcBorders>
            <w:vAlign w:val="top"/>
          </w:tcPr>
          <w:p w14:paraId="60DEB891">
            <w:pPr>
              <w:rPr>
                <w:rFonts w:ascii="Arial"/>
                <w:sz w:val="21"/>
              </w:rPr>
            </w:pPr>
          </w:p>
        </w:tc>
      </w:tr>
      <w:tr w14:paraId="15B2A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5" w:hRule="atLeast"/>
        </w:trPr>
        <w:tc>
          <w:tcPr>
            <w:tcW w:w="375" w:type="dxa"/>
            <w:vMerge w:val="continue"/>
            <w:tcBorders>
              <w:top w:val="nil"/>
              <w:left w:val="single" w:color="000000" w:sz="6" w:space="0"/>
              <w:bottom w:val="nil"/>
              <w:right w:val="single" w:color="000000" w:sz="6" w:space="0"/>
            </w:tcBorders>
            <w:vAlign w:val="top"/>
          </w:tcPr>
          <w:p w14:paraId="074B8BE8">
            <w:pPr>
              <w:rPr>
                <w:rFonts w:ascii="Arial"/>
                <w:sz w:val="21"/>
              </w:rPr>
            </w:pPr>
          </w:p>
        </w:tc>
        <w:tc>
          <w:tcPr>
            <w:tcW w:w="114" w:type="dxa"/>
            <w:tcBorders>
              <w:top w:val="nil"/>
              <w:left w:val="single" w:color="000000" w:sz="6" w:space="0"/>
              <w:bottom w:val="nil"/>
            </w:tcBorders>
            <w:vAlign w:val="top"/>
          </w:tcPr>
          <w:p w14:paraId="3E74D7DD">
            <w:pPr>
              <w:rPr>
                <w:rFonts w:ascii="Arial"/>
                <w:sz w:val="21"/>
              </w:rPr>
            </w:pPr>
          </w:p>
        </w:tc>
        <w:tc>
          <w:tcPr>
            <w:tcW w:w="618" w:type="dxa"/>
            <w:vAlign w:val="top"/>
          </w:tcPr>
          <w:p w14:paraId="2289D7A5">
            <w:pPr>
              <w:spacing w:line="278" w:lineRule="auto"/>
              <w:rPr>
                <w:rFonts w:ascii="Arial"/>
                <w:sz w:val="21"/>
              </w:rPr>
            </w:pPr>
          </w:p>
          <w:p w14:paraId="27E672FC">
            <w:pPr>
              <w:spacing w:line="279" w:lineRule="auto"/>
              <w:rPr>
                <w:rFonts w:ascii="Arial"/>
                <w:sz w:val="21"/>
              </w:rPr>
            </w:pPr>
          </w:p>
          <w:p w14:paraId="7F15B8FE">
            <w:pPr>
              <w:spacing w:before="57" w:line="195" w:lineRule="auto"/>
              <w:ind w:left="21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11</w:t>
            </w:r>
          </w:p>
        </w:tc>
        <w:tc>
          <w:tcPr>
            <w:tcW w:w="1048" w:type="dxa"/>
            <w:vAlign w:val="top"/>
          </w:tcPr>
          <w:p w14:paraId="7509757E">
            <w:pPr>
              <w:spacing w:line="377" w:lineRule="auto"/>
              <w:rPr>
                <w:rFonts w:ascii="Arial"/>
                <w:sz w:val="21"/>
              </w:rPr>
            </w:pPr>
          </w:p>
          <w:p w14:paraId="5B29EA19">
            <w:pPr>
              <w:pStyle w:val="6"/>
              <w:spacing w:before="65" w:line="252" w:lineRule="auto"/>
              <w:ind w:left="315" w:right="212" w:hanging="92"/>
            </w:pPr>
            <w:r>
              <w:rPr>
                <w:spacing w:val="2"/>
              </w:rPr>
              <w:t>防洪及</w:t>
            </w:r>
            <w:r>
              <w:rPr>
                <w:spacing w:val="4"/>
              </w:rPr>
              <w:t>排水</w:t>
            </w:r>
          </w:p>
        </w:tc>
        <w:tc>
          <w:tcPr>
            <w:tcW w:w="3283" w:type="dxa"/>
            <w:vAlign w:val="top"/>
          </w:tcPr>
          <w:p w14:paraId="5A4DF08C">
            <w:pPr>
              <w:pStyle w:val="6"/>
              <w:spacing w:before="38" w:line="243" w:lineRule="auto"/>
              <w:ind w:left="59" w:firstLine="12"/>
            </w:pPr>
            <w:r>
              <w:rPr>
                <w:spacing w:val="8"/>
              </w:rPr>
              <w:t>站址地势较周边高，故站址不存在</w:t>
            </w:r>
            <w:r>
              <w:rPr>
                <w:spacing w:val="9"/>
              </w:rPr>
              <w:t>百年一遇设计洪水位。排水：站址</w:t>
            </w:r>
            <w:r>
              <w:rPr>
                <w:spacing w:val="6"/>
              </w:rPr>
              <w:t>旁有宽</w:t>
            </w:r>
            <w:r>
              <w:rPr>
                <w:spacing w:val="-24"/>
              </w:rPr>
              <w:t xml:space="preserve"> </w:t>
            </w:r>
            <w:r>
              <w:rPr>
                <w:rFonts w:ascii="Times New Roman" w:hAnsi="Times New Roman" w:eastAsia="Times New Roman" w:cs="Times New Roman"/>
                <w:spacing w:val="6"/>
              </w:rPr>
              <w:t xml:space="preserve">1 </w:t>
            </w:r>
            <w:r>
              <w:rPr>
                <w:spacing w:val="6"/>
              </w:rPr>
              <w:t>米，深</w:t>
            </w:r>
            <w:r>
              <w:rPr>
                <w:spacing w:val="-23"/>
              </w:rPr>
              <w:t xml:space="preserve"> </w:t>
            </w:r>
            <w:r>
              <w:rPr>
                <w:rFonts w:ascii="Times New Roman" w:hAnsi="Times New Roman" w:eastAsia="Times New Roman" w:cs="Times New Roman"/>
                <w:spacing w:val="6"/>
              </w:rPr>
              <w:t xml:space="preserve">1 </w:t>
            </w:r>
            <w:r>
              <w:rPr>
                <w:spacing w:val="6"/>
              </w:rPr>
              <w:t>米左右排水沟。</w:t>
            </w:r>
            <w:r>
              <w:rPr>
                <w:spacing w:val="9"/>
              </w:rPr>
              <w:t>在站内设置雨水收集池，雨水收集</w:t>
            </w:r>
            <w:r>
              <w:rPr>
                <w:spacing w:val="1"/>
              </w:rPr>
              <w:t>池设置溢流管，雨水溢流至排水沟。</w:t>
            </w:r>
          </w:p>
        </w:tc>
        <w:tc>
          <w:tcPr>
            <w:tcW w:w="2962" w:type="dxa"/>
            <w:vAlign w:val="top"/>
          </w:tcPr>
          <w:p w14:paraId="76D2CB2B">
            <w:pPr>
              <w:pStyle w:val="6"/>
              <w:spacing w:before="171" w:line="228" w:lineRule="auto"/>
              <w:ind w:left="65"/>
            </w:pPr>
            <w:r>
              <w:rPr>
                <w:spacing w:val="3"/>
              </w:rPr>
              <w:t>站址地势较周边高，故站址不存</w:t>
            </w:r>
          </w:p>
          <w:p w14:paraId="3A1BF8CB">
            <w:pPr>
              <w:pStyle w:val="6"/>
              <w:spacing w:before="24" w:line="228" w:lineRule="auto"/>
              <w:jc w:val="right"/>
            </w:pPr>
            <w:r>
              <w:rPr>
                <w:spacing w:val="5"/>
              </w:rPr>
              <w:t>在百年一遇设计洪水位。排水：</w:t>
            </w:r>
          </w:p>
          <w:p w14:paraId="462D3FF9">
            <w:pPr>
              <w:pStyle w:val="6"/>
              <w:spacing w:before="26" w:line="228" w:lineRule="auto"/>
              <w:ind w:left="125"/>
            </w:pPr>
            <w:r>
              <w:rPr>
                <w:spacing w:val="9"/>
              </w:rPr>
              <w:t>站址排水可集中引至道路旁土</w:t>
            </w:r>
          </w:p>
          <w:p w14:paraId="094A05DA">
            <w:pPr>
              <w:pStyle w:val="6"/>
              <w:spacing w:before="27" w:line="228" w:lineRule="auto"/>
              <w:ind w:left="1070"/>
            </w:pPr>
            <w:r>
              <w:rPr>
                <w:spacing w:val="5"/>
              </w:rPr>
              <w:t>沟排放。</w:t>
            </w:r>
          </w:p>
        </w:tc>
        <w:tc>
          <w:tcPr>
            <w:tcW w:w="124" w:type="dxa"/>
            <w:tcBorders>
              <w:top w:val="nil"/>
              <w:bottom w:val="nil"/>
              <w:right w:val="single" w:color="000000" w:sz="6" w:space="0"/>
            </w:tcBorders>
            <w:vAlign w:val="top"/>
          </w:tcPr>
          <w:p w14:paraId="7A24E1E3">
            <w:pPr>
              <w:rPr>
                <w:rFonts w:ascii="Arial"/>
                <w:sz w:val="21"/>
              </w:rPr>
            </w:pPr>
          </w:p>
        </w:tc>
      </w:tr>
      <w:tr w14:paraId="242C1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6DCBFD15">
            <w:pPr>
              <w:rPr>
                <w:rFonts w:ascii="Arial"/>
                <w:sz w:val="21"/>
              </w:rPr>
            </w:pPr>
          </w:p>
        </w:tc>
        <w:tc>
          <w:tcPr>
            <w:tcW w:w="114" w:type="dxa"/>
            <w:tcBorders>
              <w:top w:val="nil"/>
              <w:left w:val="single" w:color="000000" w:sz="6" w:space="0"/>
              <w:bottom w:val="nil"/>
            </w:tcBorders>
            <w:vAlign w:val="top"/>
          </w:tcPr>
          <w:p w14:paraId="7F65C363">
            <w:pPr>
              <w:rPr>
                <w:rFonts w:ascii="Arial"/>
                <w:sz w:val="21"/>
              </w:rPr>
            </w:pPr>
          </w:p>
        </w:tc>
        <w:tc>
          <w:tcPr>
            <w:tcW w:w="618" w:type="dxa"/>
            <w:vAlign w:val="top"/>
          </w:tcPr>
          <w:p w14:paraId="11878735">
            <w:pPr>
              <w:spacing w:before="210" w:line="195" w:lineRule="auto"/>
              <w:ind w:left="21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1048" w:type="dxa"/>
            <w:vAlign w:val="top"/>
          </w:tcPr>
          <w:p w14:paraId="32BDD1DE">
            <w:pPr>
              <w:pStyle w:val="6"/>
              <w:spacing w:before="40" w:line="228" w:lineRule="auto"/>
              <w:ind w:left="108"/>
            </w:pPr>
            <w:r>
              <w:rPr>
                <w:spacing w:val="6"/>
              </w:rPr>
              <w:t>与城镇规</w:t>
            </w:r>
          </w:p>
          <w:p w14:paraId="7EB533F2">
            <w:pPr>
              <w:pStyle w:val="6"/>
              <w:spacing w:before="24" w:line="210" w:lineRule="auto"/>
              <w:ind w:left="103"/>
            </w:pPr>
            <w:r>
              <w:rPr>
                <w:spacing w:val="7"/>
              </w:rPr>
              <w:t>划的关系</w:t>
            </w:r>
          </w:p>
        </w:tc>
        <w:tc>
          <w:tcPr>
            <w:tcW w:w="3283" w:type="dxa"/>
            <w:vAlign w:val="top"/>
          </w:tcPr>
          <w:p w14:paraId="0C92467D">
            <w:pPr>
              <w:pStyle w:val="6"/>
              <w:spacing w:before="174" w:line="228" w:lineRule="auto"/>
              <w:ind w:left="704"/>
            </w:pPr>
            <w:r>
              <w:rPr>
                <w:spacing w:val="7"/>
              </w:rPr>
              <w:t>与城镇规划无冲突。</w:t>
            </w:r>
          </w:p>
        </w:tc>
        <w:tc>
          <w:tcPr>
            <w:tcW w:w="2962" w:type="dxa"/>
            <w:vAlign w:val="top"/>
          </w:tcPr>
          <w:p w14:paraId="57B35C04">
            <w:pPr>
              <w:pStyle w:val="6"/>
              <w:spacing w:before="40" w:line="228" w:lineRule="auto"/>
              <w:ind w:left="548"/>
            </w:pPr>
            <w:r>
              <w:rPr>
                <w:spacing w:val="7"/>
              </w:rPr>
              <w:t>与城镇规划无冲突。</w:t>
            </w:r>
          </w:p>
        </w:tc>
        <w:tc>
          <w:tcPr>
            <w:tcW w:w="124" w:type="dxa"/>
            <w:tcBorders>
              <w:top w:val="nil"/>
              <w:bottom w:val="nil"/>
              <w:right w:val="single" w:color="000000" w:sz="6" w:space="0"/>
            </w:tcBorders>
            <w:vAlign w:val="top"/>
          </w:tcPr>
          <w:p w14:paraId="1A7E1FC3">
            <w:pPr>
              <w:rPr>
                <w:rFonts w:ascii="Arial"/>
                <w:sz w:val="21"/>
              </w:rPr>
            </w:pPr>
          </w:p>
        </w:tc>
      </w:tr>
      <w:tr w14:paraId="2B5198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9" w:hRule="atLeast"/>
        </w:trPr>
        <w:tc>
          <w:tcPr>
            <w:tcW w:w="375" w:type="dxa"/>
            <w:vMerge w:val="continue"/>
            <w:tcBorders>
              <w:top w:val="nil"/>
              <w:left w:val="single" w:color="000000" w:sz="6" w:space="0"/>
              <w:bottom w:val="nil"/>
              <w:right w:val="single" w:color="000000" w:sz="6" w:space="0"/>
            </w:tcBorders>
            <w:vAlign w:val="top"/>
          </w:tcPr>
          <w:p w14:paraId="02FDE932">
            <w:pPr>
              <w:rPr>
                <w:rFonts w:ascii="Arial"/>
                <w:sz w:val="21"/>
              </w:rPr>
            </w:pPr>
          </w:p>
        </w:tc>
        <w:tc>
          <w:tcPr>
            <w:tcW w:w="114" w:type="dxa"/>
            <w:tcBorders>
              <w:top w:val="nil"/>
              <w:left w:val="single" w:color="000000" w:sz="6" w:space="0"/>
              <w:bottom w:val="nil"/>
            </w:tcBorders>
            <w:vAlign w:val="top"/>
          </w:tcPr>
          <w:p w14:paraId="0718CF76">
            <w:pPr>
              <w:rPr>
                <w:rFonts w:ascii="Arial"/>
                <w:sz w:val="21"/>
              </w:rPr>
            </w:pPr>
          </w:p>
        </w:tc>
        <w:tc>
          <w:tcPr>
            <w:tcW w:w="618" w:type="dxa"/>
            <w:vAlign w:val="top"/>
          </w:tcPr>
          <w:p w14:paraId="1F2E430E">
            <w:pPr>
              <w:spacing w:line="276" w:lineRule="auto"/>
              <w:rPr>
                <w:rFonts w:ascii="Arial"/>
                <w:sz w:val="21"/>
              </w:rPr>
            </w:pPr>
          </w:p>
          <w:p w14:paraId="12ACE032">
            <w:pPr>
              <w:spacing w:line="277" w:lineRule="auto"/>
              <w:rPr>
                <w:rFonts w:ascii="Arial"/>
                <w:sz w:val="21"/>
              </w:rPr>
            </w:pPr>
          </w:p>
          <w:p w14:paraId="2CE94CE4">
            <w:pPr>
              <w:spacing w:line="277" w:lineRule="auto"/>
              <w:rPr>
                <w:rFonts w:ascii="Arial"/>
                <w:sz w:val="21"/>
              </w:rPr>
            </w:pPr>
          </w:p>
          <w:p w14:paraId="4943EFEB">
            <w:pPr>
              <w:spacing w:before="57" w:line="195" w:lineRule="auto"/>
              <w:ind w:left="21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13</w:t>
            </w:r>
          </w:p>
        </w:tc>
        <w:tc>
          <w:tcPr>
            <w:tcW w:w="1048" w:type="dxa"/>
            <w:vAlign w:val="top"/>
          </w:tcPr>
          <w:p w14:paraId="1018E6C8">
            <w:pPr>
              <w:spacing w:line="325" w:lineRule="auto"/>
              <w:rPr>
                <w:rFonts w:ascii="Arial"/>
                <w:sz w:val="21"/>
              </w:rPr>
            </w:pPr>
          </w:p>
          <w:p w14:paraId="56C1F272">
            <w:pPr>
              <w:spacing w:line="325" w:lineRule="auto"/>
              <w:rPr>
                <w:rFonts w:ascii="Arial"/>
                <w:sz w:val="21"/>
              </w:rPr>
            </w:pPr>
          </w:p>
          <w:p w14:paraId="0F8EF699">
            <w:pPr>
              <w:pStyle w:val="6"/>
              <w:spacing w:before="65" w:line="252" w:lineRule="auto"/>
              <w:ind w:left="103" w:right="108" w:firstLine="11"/>
            </w:pPr>
            <w:r>
              <w:rPr>
                <w:spacing w:val="4"/>
              </w:rPr>
              <w:t>障碍物拆</w:t>
            </w:r>
            <w:r>
              <w:rPr>
                <w:spacing w:val="7"/>
              </w:rPr>
              <w:t>迁及赔偿</w:t>
            </w:r>
          </w:p>
        </w:tc>
        <w:tc>
          <w:tcPr>
            <w:tcW w:w="3283" w:type="dxa"/>
            <w:vAlign w:val="top"/>
          </w:tcPr>
          <w:p w14:paraId="31BC3D20">
            <w:pPr>
              <w:spacing w:line="245" w:lineRule="auto"/>
              <w:rPr>
                <w:rFonts w:ascii="Arial"/>
                <w:sz w:val="21"/>
              </w:rPr>
            </w:pPr>
          </w:p>
          <w:p w14:paraId="5BD8E728">
            <w:pPr>
              <w:pStyle w:val="6"/>
              <w:spacing w:before="65" w:line="251" w:lineRule="auto"/>
              <w:ind w:left="59" w:firstLine="11"/>
            </w:pPr>
            <w:r>
              <w:rPr>
                <w:spacing w:val="8"/>
              </w:rPr>
              <w:t>①站址：征地赔偿按园地及农作物</w:t>
            </w:r>
            <w:r>
              <w:rPr>
                <w:spacing w:val="9"/>
              </w:rPr>
              <w:t>青苗赔偿计列；②进站道路：征地（租地）赔偿按园地及农作物青苗</w:t>
            </w:r>
            <w:r>
              <w:rPr>
                <w:spacing w:val="-2"/>
              </w:rPr>
              <w:t>赔偿计列。③需迁改</w:t>
            </w:r>
            <w:r>
              <w:rPr>
                <w:spacing w:val="-15"/>
              </w:rPr>
              <w:t xml:space="preserve"> </w:t>
            </w:r>
            <w:r>
              <w:rPr>
                <w:rFonts w:ascii="Times New Roman" w:hAnsi="Times New Roman" w:eastAsia="Times New Roman" w:cs="Times New Roman"/>
                <w:spacing w:val="-2"/>
              </w:rPr>
              <w:t>1</w:t>
            </w:r>
            <w:r>
              <w:rPr>
                <w:rFonts w:ascii="Times New Roman" w:hAnsi="Times New Roman" w:eastAsia="Times New Roman" w:cs="Times New Roman"/>
                <w:spacing w:val="14"/>
              </w:rPr>
              <w:t xml:space="preserve"> </w:t>
            </w:r>
            <w:r>
              <w:rPr>
                <w:spacing w:val="-2"/>
              </w:rPr>
              <w:t>条通信线路。</w:t>
            </w:r>
          </w:p>
          <w:p w14:paraId="7B76697E">
            <w:pPr>
              <w:pStyle w:val="6"/>
              <w:spacing w:line="225" w:lineRule="auto"/>
              <w:ind w:left="223"/>
            </w:pPr>
            <w:r>
              <w:rPr>
                <w:spacing w:val="6"/>
              </w:rPr>
              <w:t>④水渠、水沟或水管约</w:t>
            </w:r>
            <w:r>
              <w:rPr>
                <w:spacing w:val="-22"/>
              </w:rPr>
              <w:t xml:space="preserve"> </w:t>
            </w:r>
            <w:r>
              <w:rPr>
                <w:rFonts w:ascii="Times New Roman" w:hAnsi="Times New Roman" w:eastAsia="Times New Roman" w:cs="Times New Roman"/>
                <w:spacing w:val="6"/>
              </w:rPr>
              <w:t>800m</w:t>
            </w:r>
            <w:r>
              <w:rPr>
                <w:spacing w:val="6"/>
              </w:rPr>
              <w:t>。</w:t>
            </w:r>
          </w:p>
        </w:tc>
        <w:tc>
          <w:tcPr>
            <w:tcW w:w="2962" w:type="dxa"/>
            <w:vAlign w:val="top"/>
          </w:tcPr>
          <w:p w14:paraId="2E7BB31B">
            <w:pPr>
              <w:pStyle w:val="6"/>
              <w:spacing w:before="38" w:line="225" w:lineRule="auto"/>
              <w:ind w:left="63"/>
            </w:pPr>
            <w:r>
              <w:rPr>
                <w:spacing w:val="3"/>
              </w:rPr>
              <w:t>①站址：征地赔偿按园地及农作</w:t>
            </w:r>
          </w:p>
          <w:p w14:paraId="2D4466B1">
            <w:pPr>
              <w:pStyle w:val="6"/>
              <w:spacing w:before="29" w:line="225" w:lineRule="auto"/>
              <w:jc w:val="right"/>
            </w:pPr>
            <w:r>
              <w:rPr>
                <w:spacing w:val="5"/>
              </w:rPr>
              <w:t>物青苗赔偿计列；②进站道路：</w:t>
            </w:r>
          </w:p>
          <w:p w14:paraId="6DB2EB6F">
            <w:pPr>
              <w:pStyle w:val="6"/>
              <w:spacing w:before="26" w:line="228" w:lineRule="auto"/>
              <w:ind w:left="67"/>
            </w:pPr>
            <w:r>
              <w:rPr>
                <w:spacing w:val="2"/>
              </w:rPr>
              <w:t>征地（租地）赔偿按园地及农作</w:t>
            </w:r>
          </w:p>
          <w:p w14:paraId="47AD6D87">
            <w:pPr>
              <w:pStyle w:val="6"/>
              <w:spacing w:before="27" w:line="225" w:lineRule="auto"/>
              <w:ind w:left="100"/>
              <w:rPr>
                <w:rFonts w:ascii="Times New Roman" w:hAnsi="Times New Roman" w:eastAsia="Times New Roman" w:cs="Times New Roman"/>
              </w:rPr>
            </w:pPr>
            <w:r>
              <w:rPr>
                <w:spacing w:val="8"/>
              </w:rPr>
              <w:t>物青苗赔偿计列。③需迁改</w:t>
            </w:r>
            <w:r>
              <w:rPr>
                <w:spacing w:val="-41"/>
              </w:rPr>
              <w:t xml:space="preserve"> </w:t>
            </w:r>
            <w:r>
              <w:rPr>
                <w:rFonts w:ascii="Times New Roman" w:hAnsi="Times New Roman" w:eastAsia="Times New Roman" w:cs="Times New Roman"/>
                <w:spacing w:val="8"/>
              </w:rPr>
              <w:t>22</w:t>
            </w:r>
          </w:p>
          <w:p w14:paraId="1A90568B">
            <w:pPr>
              <w:pStyle w:val="6"/>
              <w:spacing w:before="27" w:line="228" w:lineRule="auto"/>
              <w:ind w:left="66"/>
            </w:pPr>
            <w:r>
              <w:rPr>
                <w:spacing w:val="5"/>
              </w:rPr>
              <w:t>座坟冢及一条</w:t>
            </w:r>
            <w:r>
              <w:rPr>
                <w:spacing w:val="-24"/>
              </w:rPr>
              <w:t xml:space="preserve"> </w:t>
            </w:r>
            <w:r>
              <w:rPr>
                <w:rFonts w:ascii="Times New Roman" w:hAnsi="Times New Roman" w:eastAsia="Times New Roman" w:cs="Times New Roman"/>
                <w:spacing w:val="5"/>
              </w:rPr>
              <w:t>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线路及一条</w:t>
            </w:r>
          </w:p>
          <w:p w14:paraId="7A486277">
            <w:pPr>
              <w:pStyle w:val="6"/>
              <w:spacing w:before="25" w:line="225" w:lineRule="auto"/>
              <w:ind w:left="64"/>
            </w:pPr>
            <w:r>
              <w:rPr>
                <w:spacing w:val="3"/>
              </w:rPr>
              <w:t>通信线路。④水渠、水沟或水管</w:t>
            </w:r>
          </w:p>
          <w:p w14:paraId="1C508681">
            <w:pPr>
              <w:pStyle w:val="6"/>
              <w:spacing w:before="68" w:line="173" w:lineRule="auto"/>
              <w:ind w:left="1147"/>
            </w:pPr>
            <w:r>
              <w:rPr>
                <w:rFonts w:ascii="Times New Roman" w:hAnsi="Times New Roman" w:eastAsia="Times New Roman" w:cs="Times New Roman"/>
                <w:spacing w:val="2"/>
              </w:rPr>
              <w:t>600m</w:t>
            </w:r>
            <w:r>
              <w:rPr>
                <w:spacing w:val="2"/>
              </w:rPr>
              <w:t>。</w:t>
            </w:r>
          </w:p>
        </w:tc>
        <w:tc>
          <w:tcPr>
            <w:tcW w:w="124" w:type="dxa"/>
            <w:tcBorders>
              <w:top w:val="nil"/>
              <w:bottom w:val="nil"/>
              <w:right w:val="single" w:color="000000" w:sz="6" w:space="0"/>
            </w:tcBorders>
            <w:vAlign w:val="top"/>
          </w:tcPr>
          <w:p w14:paraId="103117EF">
            <w:pPr>
              <w:rPr>
                <w:rFonts w:ascii="Arial"/>
                <w:sz w:val="21"/>
              </w:rPr>
            </w:pPr>
          </w:p>
        </w:tc>
      </w:tr>
      <w:tr w14:paraId="7DE2D6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375" w:type="dxa"/>
            <w:vMerge w:val="continue"/>
            <w:tcBorders>
              <w:top w:val="nil"/>
              <w:left w:val="single" w:color="000000" w:sz="6" w:space="0"/>
              <w:bottom w:val="nil"/>
              <w:right w:val="single" w:color="000000" w:sz="6" w:space="0"/>
            </w:tcBorders>
            <w:vAlign w:val="top"/>
          </w:tcPr>
          <w:p w14:paraId="1859FCA2">
            <w:pPr>
              <w:rPr>
                <w:rFonts w:ascii="Arial"/>
                <w:sz w:val="21"/>
              </w:rPr>
            </w:pPr>
          </w:p>
        </w:tc>
        <w:tc>
          <w:tcPr>
            <w:tcW w:w="114" w:type="dxa"/>
            <w:tcBorders>
              <w:top w:val="nil"/>
              <w:left w:val="single" w:color="000000" w:sz="6" w:space="0"/>
              <w:bottom w:val="nil"/>
            </w:tcBorders>
            <w:vAlign w:val="top"/>
          </w:tcPr>
          <w:p w14:paraId="480A04AF">
            <w:pPr>
              <w:rPr>
                <w:rFonts w:ascii="Arial"/>
                <w:sz w:val="21"/>
              </w:rPr>
            </w:pPr>
          </w:p>
        </w:tc>
        <w:tc>
          <w:tcPr>
            <w:tcW w:w="618" w:type="dxa"/>
            <w:vAlign w:val="top"/>
          </w:tcPr>
          <w:p w14:paraId="56DFDC48">
            <w:pPr>
              <w:spacing w:line="241" w:lineRule="auto"/>
              <w:rPr>
                <w:rFonts w:ascii="Arial"/>
                <w:sz w:val="21"/>
              </w:rPr>
            </w:pPr>
          </w:p>
          <w:p w14:paraId="3B462C61">
            <w:pPr>
              <w:spacing w:line="242" w:lineRule="auto"/>
              <w:rPr>
                <w:rFonts w:ascii="Arial"/>
                <w:sz w:val="21"/>
              </w:rPr>
            </w:pPr>
          </w:p>
          <w:p w14:paraId="0DA2D9CC">
            <w:pPr>
              <w:spacing w:line="242" w:lineRule="auto"/>
              <w:rPr>
                <w:rFonts w:ascii="Arial"/>
                <w:sz w:val="21"/>
              </w:rPr>
            </w:pPr>
          </w:p>
          <w:p w14:paraId="0215AD44">
            <w:pPr>
              <w:spacing w:line="242" w:lineRule="auto"/>
              <w:rPr>
                <w:rFonts w:ascii="Arial"/>
                <w:sz w:val="21"/>
              </w:rPr>
            </w:pPr>
          </w:p>
          <w:p w14:paraId="3EDF74B4">
            <w:pPr>
              <w:spacing w:before="57" w:line="195" w:lineRule="auto"/>
              <w:ind w:left="21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14</w:t>
            </w:r>
          </w:p>
        </w:tc>
        <w:tc>
          <w:tcPr>
            <w:tcW w:w="1048" w:type="dxa"/>
            <w:vAlign w:val="top"/>
          </w:tcPr>
          <w:p w14:paraId="31E9B42B">
            <w:pPr>
              <w:spacing w:line="262" w:lineRule="auto"/>
              <w:rPr>
                <w:rFonts w:ascii="Arial"/>
                <w:sz w:val="21"/>
              </w:rPr>
            </w:pPr>
          </w:p>
          <w:p w14:paraId="09F0BAAD">
            <w:pPr>
              <w:spacing w:line="263" w:lineRule="auto"/>
              <w:rPr>
                <w:rFonts w:ascii="Arial"/>
                <w:sz w:val="21"/>
              </w:rPr>
            </w:pPr>
          </w:p>
          <w:p w14:paraId="743B2179">
            <w:pPr>
              <w:spacing w:line="263" w:lineRule="auto"/>
              <w:rPr>
                <w:rFonts w:ascii="Arial"/>
                <w:sz w:val="21"/>
              </w:rPr>
            </w:pPr>
          </w:p>
          <w:p w14:paraId="7EFD6B81">
            <w:pPr>
              <w:pStyle w:val="6"/>
              <w:spacing w:before="65" w:line="254" w:lineRule="auto"/>
              <w:ind w:left="433" w:right="108" w:hanging="329"/>
            </w:pPr>
            <w:r>
              <w:rPr>
                <w:spacing w:val="7"/>
              </w:rPr>
              <w:t>环境敏感</w:t>
            </w:r>
            <w:r>
              <w:t>区</w:t>
            </w:r>
          </w:p>
        </w:tc>
        <w:tc>
          <w:tcPr>
            <w:tcW w:w="3283" w:type="dxa"/>
            <w:vAlign w:val="top"/>
          </w:tcPr>
          <w:p w14:paraId="332EE4B2">
            <w:pPr>
              <w:pStyle w:val="6"/>
              <w:spacing w:before="42" w:line="228" w:lineRule="auto"/>
              <w:ind w:left="59"/>
            </w:pPr>
            <w:r>
              <w:rPr>
                <w:spacing w:val="9"/>
              </w:rPr>
              <w:t>变电站站址不涉及自然保护区、风</w:t>
            </w:r>
          </w:p>
          <w:p w14:paraId="4DBDE7E2">
            <w:pPr>
              <w:pStyle w:val="6"/>
              <w:spacing w:before="23" w:line="227" w:lineRule="auto"/>
              <w:ind w:left="63"/>
            </w:pPr>
            <w:r>
              <w:rPr>
                <w:spacing w:val="9"/>
              </w:rPr>
              <w:t>景名胜区、永久基本农田、生态保</w:t>
            </w:r>
          </w:p>
          <w:p w14:paraId="4679049C">
            <w:pPr>
              <w:pStyle w:val="6"/>
              <w:spacing w:before="27" w:line="228" w:lineRule="auto"/>
              <w:ind w:left="60"/>
            </w:pPr>
            <w:r>
              <w:rPr>
                <w:spacing w:val="8"/>
              </w:rPr>
              <w:t>护红线及公益林等环境敏感区。</w:t>
            </w:r>
          </w:p>
          <w:p w14:paraId="61CA7A5B">
            <w:pPr>
              <w:pStyle w:val="6"/>
              <w:spacing w:before="26" w:line="228" w:lineRule="auto"/>
              <w:ind w:left="73"/>
            </w:pPr>
            <w:r>
              <w:rPr>
                <w:spacing w:val="8"/>
              </w:rPr>
              <w:t>生活污水处理满足标准后，回用。</w:t>
            </w:r>
          </w:p>
          <w:p w14:paraId="0DF5150C">
            <w:pPr>
              <w:pStyle w:val="6"/>
              <w:spacing w:before="24" w:line="228" w:lineRule="auto"/>
              <w:ind w:left="59"/>
            </w:pPr>
            <w:r>
              <w:rPr>
                <w:spacing w:val="10"/>
              </w:rPr>
              <w:t>变电站周围</w:t>
            </w:r>
            <w:r>
              <w:rPr>
                <w:spacing w:val="-55"/>
              </w:rPr>
              <w:t xml:space="preserve"> </w:t>
            </w:r>
            <w:r>
              <w:rPr>
                <w:rFonts w:ascii="Times New Roman" w:hAnsi="Times New Roman" w:eastAsia="Times New Roman" w:cs="Times New Roman"/>
                <w:spacing w:val="10"/>
              </w:rPr>
              <w:t>30m</w:t>
            </w:r>
            <w:r>
              <w:rPr>
                <w:spacing w:val="10"/>
              </w:rPr>
              <w:t>范围内无电磁环境</w:t>
            </w:r>
          </w:p>
          <w:p w14:paraId="6659B397">
            <w:pPr>
              <w:pStyle w:val="6"/>
              <w:spacing w:before="24" w:line="228" w:lineRule="auto"/>
              <w:ind w:left="72"/>
            </w:pPr>
            <w:r>
              <w:rPr>
                <w:spacing w:val="9"/>
              </w:rPr>
              <w:t>保护目标；站址最近声环境保护目</w:t>
            </w:r>
          </w:p>
          <w:p w14:paraId="2B60233D">
            <w:pPr>
              <w:pStyle w:val="6"/>
              <w:spacing w:before="27" w:line="228" w:lineRule="auto"/>
              <w:ind w:left="146"/>
            </w:pPr>
            <w:r>
              <w:rPr>
                <w:spacing w:val="7"/>
              </w:rPr>
              <w:t>标为站址东侧</w:t>
            </w:r>
            <w:r>
              <w:rPr>
                <w:spacing w:val="-33"/>
              </w:rPr>
              <w:t xml:space="preserve"> </w:t>
            </w:r>
            <w:r>
              <w:rPr>
                <w:rFonts w:ascii="Times New Roman" w:hAnsi="Times New Roman" w:eastAsia="Times New Roman" w:cs="Times New Roman"/>
                <w:spacing w:val="7"/>
              </w:rPr>
              <w:t xml:space="preserve">39m </w:t>
            </w:r>
            <w:r>
              <w:rPr>
                <w:spacing w:val="7"/>
              </w:rPr>
              <w:t>处的临时看护</w:t>
            </w:r>
          </w:p>
          <w:p w14:paraId="7805325D">
            <w:pPr>
              <w:pStyle w:val="6"/>
              <w:spacing w:before="24" w:line="207" w:lineRule="auto"/>
              <w:ind w:left="1435"/>
            </w:pPr>
            <w:r>
              <w:t>房。</w:t>
            </w:r>
          </w:p>
        </w:tc>
        <w:tc>
          <w:tcPr>
            <w:tcW w:w="2962" w:type="dxa"/>
            <w:vAlign w:val="top"/>
          </w:tcPr>
          <w:p w14:paraId="42DE9CFB">
            <w:pPr>
              <w:pStyle w:val="6"/>
              <w:spacing w:before="179" w:line="251" w:lineRule="auto"/>
              <w:ind w:left="64" w:firstLine="59"/>
              <w:jc w:val="both"/>
            </w:pPr>
            <w:r>
              <w:rPr>
                <w:spacing w:val="6"/>
              </w:rPr>
              <w:t>变电站生活污水处理满足标准后回用，对周围环境影响较小。</w:t>
            </w:r>
            <w:r>
              <w:t>占用园地，占地数量不大，对土地资源影响不大。变电站站址距</w:t>
            </w:r>
            <w:r>
              <w:rPr>
                <w:spacing w:val="2"/>
              </w:rPr>
              <w:t>离村庄较近，距居民点仅</w:t>
            </w:r>
            <w:r>
              <w:rPr>
                <w:spacing w:val="-21"/>
              </w:rPr>
              <w:t xml:space="preserve"> </w:t>
            </w:r>
            <w:r>
              <w:rPr>
                <w:rFonts w:ascii="Times New Roman" w:hAnsi="Times New Roman" w:eastAsia="Times New Roman" w:cs="Times New Roman"/>
                <w:spacing w:val="2"/>
              </w:rPr>
              <w:t>12m</w:t>
            </w:r>
            <w:r>
              <w:rPr>
                <w:rFonts w:ascii="Times New Roman" w:hAnsi="Times New Roman" w:eastAsia="Times New Roman" w:cs="Times New Roman"/>
                <w:spacing w:val="-24"/>
              </w:rPr>
              <w:t xml:space="preserve"> </w:t>
            </w:r>
            <w:r>
              <w:rPr>
                <w:spacing w:val="2"/>
              </w:rPr>
              <w:t>，站址声环境评价范围内（</w:t>
            </w:r>
            <w:r>
              <w:rPr>
                <w:rFonts w:ascii="Times New Roman" w:hAnsi="Times New Roman" w:eastAsia="Times New Roman" w:cs="Times New Roman"/>
                <w:spacing w:val="2"/>
              </w:rPr>
              <w:t>200m</w:t>
            </w:r>
            <w:r>
              <w:rPr>
                <w:spacing w:val="2"/>
              </w:rPr>
              <w:t>）</w:t>
            </w:r>
          </w:p>
          <w:p w14:paraId="01FF451C">
            <w:pPr>
              <w:pStyle w:val="6"/>
              <w:spacing w:line="226" w:lineRule="auto"/>
              <w:ind w:left="600"/>
            </w:pPr>
            <w:r>
              <w:rPr>
                <w:spacing w:val="3"/>
              </w:rPr>
              <w:t>分布有</w:t>
            </w:r>
            <w:r>
              <w:rPr>
                <w:spacing w:val="-18"/>
              </w:rPr>
              <w:t xml:space="preserve"> </w:t>
            </w:r>
            <w:r>
              <w:rPr>
                <w:rFonts w:ascii="Times New Roman" w:hAnsi="Times New Roman" w:eastAsia="Times New Roman" w:cs="Times New Roman"/>
                <w:spacing w:val="3"/>
              </w:rPr>
              <w:t xml:space="preserve">10 </w:t>
            </w:r>
            <w:r>
              <w:rPr>
                <w:spacing w:val="3"/>
              </w:rPr>
              <w:t>户居民。</w:t>
            </w:r>
          </w:p>
        </w:tc>
        <w:tc>
          <w:tcPr>
            <w:tcW w:w="124" w:type="dxa"/>
            <w:tcBorders>
              <w:top w:val="nil"/>
              <w:bottom w:val="nil"/>
              <w:right w:val="single" w:color="000000" w:sz="6" w:space="0"/>
            </w:tcBorders>
            <w:vAlign w:val="top"/>
          </w:tcPr>
          <w:p w14:paraId="0AB0C41B">
            <w:pPr>
              <w:rPr>
                <w:rFonts w:ascii="Arial"/>
                <w:sz w:val="21"/>
              </w:rPr>
            </w:pPr>
          </w:p>
        </w:tc>
      </w:tr>
      <w:tr w14:paraId="06E52A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26354053">
            <w:pPr>
              <w:rPr>
                <w:rFonts w:ascii="Arial"/>
                <w:sz w:val="21"/>
              </w:rPr>
            </w:pPr>
          </w:p>
        </w:tc>
        <w:tc>
          <w:tcPr>
            <w:tcW w:w="114" w:type="dxa"/>
            <w:tcBorders>
              <w:top w:val="nil"/>
              <w:left w:val="single" w:color="000000" w:sz="6" w:space="0"/>
              <w:bottom w:val="nil"/>
            </w:tcBorders>
            <w:vAlign w:val="top"/>
          </w:tcPr>
          <w:p w14:paraId="050AC59A">
            <w:pPr>
              <w:rPr>
                <w:rFonts w:ascii="Arial"/>
                <w:sz w:val="21"/>
              </w:rPr>
            </w:pPr>
          </w:p>
        </w:tc>
        <w:tc>
          <w:tcPr>
            <w:tcW w:w="618" w:type="dxa"/>
            <w:vAlign w:val="top"/>
          </w:tcPr>
          <w:p w14:paraId="55E19EDF">
            <w:pPr>
              <w:spacing w:before="216" w:line="195" w:lineRule="auto"/>
              <w:ind w:left="21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1048" w:type="dxa"/>
            <w:vAlign w:val="top"/>
          </w:tcPr>
          <w:p w14:paraId="0B4AE3C0">
            <w:pPr>
              <w:pStyle w:val="6"/>
              <w:spacing w:before="42" w:line="229" w:lineRule="auto"/>
              <w:ind w:left="427" w:right="108" w:hanging="323"/>
            </w:pPr>
            <w:r>
              <w:rPr>
                <w:spacing w:val="7"/>
              </w:rPr>
              <w:t>变电站投</w:t>
            </w:r>
            <w:r>
              <w:t>资</w:t>
            </w:r>
          </w:p>
        </w:tc>
        <w:tc>
          <w:tcPr>
            <w:tcW w:w="3283" w:type="dxa"/>
            <w:vAlign w:val="top"/>
          </w:tcPr>
          <w:p w14:paraId="4D76BD9E">
            <w:pPr>
              <w:pStyle w:val="6"/>
              <w:spacing w:before="178" w:line="228" w:lineRule="auto"/>
              <w:ind w:left="1200"/>
            </w:pPr>
            <w:r>
              <w:rPr>
                <w:rFonts w:ascii="Times New Roman" w:hAnsi="Times New Roman" w:eastAsia="Times New Roman" w:cs="Times New Roman"/>
                <w:spacing w:val="2"/>
              </w:rPr>
              <w:t>6736</w:t>
            </w:r>
            <w:r>
              <w:rPr>
                <w:rFonts w:ascii="Times New Roman" w:hAnsi="Times New Roman" w:eastAsia="Times New Roman" w:cs="Times New Roman"/>
                <w:spacing w:val="18"/>
                <w:w w:val="101"/>
              </w:rPr>
              <w:t xml:space="preserve"> </w:t>
            </w:r>
            <w:r>
              <w:rPr>
                <w:spacing w:val="2"/>
              </w:rPr>
              <w:t>万元</w:t>
            </w:r>
          </w:p>
        </w:tc>
        <w:tc>
          <w:tcPr>
            <w:tcW w:w="2962" w:type="dxa"/>
            <w:vAlign w:val="top"/>
          </w:tcPr>
          <w:p w14:paraId="57BF11EC">
            <w:pPr>
              <w:pStyle w:val="6"/>
              <w:spacing w:before="178" w:line="228" w:lineRule="auto"/>
              <w:ind w:left="1043"/>
            </w:pPr>
            <w:r>
              <w:rPr>
                <w:rFonts w:ascii="Times New Roman" w:hAnsi="Times New Roman" w:eastAsia="Times New Roman" w:cs="Times New Roman"/>
                <w:spacing w:val="3"/>
              </w:rPr>
              <w:t>7012</w:t>
            </w:r>
            <w:r>
              <w:rPr>
                <w:rFonts w:ascii="Times New Roman" w:hAnsi="Times New Roman" w:eastAsia="Times New Roman" w:cs="Times New Roman"/>
                <w:spacing w:val="14"/>
                <w:w w:val="101"/>
              </w:rPr>
              <w:t xml:space="preserve"> </w:t>
            </w:r>
            <w:r>
              <w:rPr>
                <w:spacing w:val="3"/>
              </w:rPr>
              <w:t>万元</w:t>
            </w:r>
          </w:p>
        </w:tc>
        <w:tc>
          <w:tcPr>
            <w:tcW w:w="124" w:type="dxa"/>
            <w:tcBorders>
              <w:top w:val="nil"/>
              <w:bottom w:val="nil"/>
              <w:right w:val="single" w:color="000000" w:sz="6" w:space="0"/>
            </w:tcBorders>
            <w:vAlign w:val="top"/>
          </w:tcPr>
          <w:p w14:paraId="2E67D799">
            <w:pPr>
              <w:rPr>
                <w:rFonts w:ascii="Arial"/>
                <w:sz w:val="21"/>
              </w:rPr>
            </w:pPr>
          </w:p>
        </w:tc>
      </w:tr>
      <w:tr w14:paraId="4F4D4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375" w:type="dxa"/>
            <w:vMerge w:val="continue"/>
            <w:tcBorders>
              <w:top w:val="nil"/>
              <w:left w:val="single" w:color="000000" w:sz="6" w:space="0"/>
              <w:bottom w:val="nil"/>
              <w:right w:val="single" w:color="000000" w:sz="6" w:space="0"/>
            </w:tcBorders>
            <w:vAlign w:val="top"/>
          </w:tcPr>
          <w:p w14:paraId="1A444F33">
            <w:pPr>
              <w:rPr>
                <w:rFonts w:ascii="Arial"/>
                <w:sz w:val="21"/>
              </w:rPr>
            </w:pPr>
          </w:p>
        </w:tc>
        <w:tc>
          <w:tcPr>
            <w:tcW w:w="114" w:type="dxa"/>
            <w:tcBorders>
              <w:top w:val="nil"/>
              <w:left w:val="single" w:color="000000" w:sz="6" w:space="0"/>
              <w:bottom w:val="nil"/>
            </w:tcBorders>
            <w:vAlign w:val="top"/>
          </w:tcPr>
          <w:p w14:paraId="5EC703E2">
            <w:pPr>
              <w:rPr>
                <w:rFonts w:ascii="Arial"/>
                <w:sz w:val="21"/>
              </w:rPr>
            </w:pPr>
          </w:p>
        </w:tc>
        <w:tc>
          <w:tcPr>
            <w:tcW w:w="1666" w:type="dxa"/>
            <w:gridSpan w:val="2"/>
            <w:vAlign w:val="top"/>
          </w:tcPr>
          <w:p w14:paraId="1ED62396">
            <w:pPr>
              <w:pStyle w:val="6"/>
              <w:spacing w:before="125" w:line="229" w:lineRule="auto"/>
              <w:ind w:left="626"/>
            </w:pPr>
            <w:r>
              <w:rPr>
                <w:spacing w:val="2"/>
              </w:rPr>
              <w:t>结论</w:t>
            </w:r>
          </w:p>
        </w:tc>
        <w:tc>
          <w:tcPr>
            <w:tcW w:w="3283" w:type="dxa"/>
            <w:vAlign w:val="top"/>
          </w:tcPr>
          <w:p w14:paraId="049988E4">
            <w:pPr>
              <w:pStyle w:val="6"/>
              <w:spacing w:before="125" w:line="227" w:lineRule="auto"/>
              <w:ind w:left="1434"/>
            </w:pPr>
            <w:r>
              <w:rPr>
                <w:spacing w:val="4"/>
              </w:rPr>
              <w:t>推荐</w:t>
            </w:r>
          </w:p>
        </w:tc>
        <w:tc>
          <w:tcPr>
            <w:tcW w:w="2962" w:type="dxa"/>
            <w:vAlign w:val="top"/>
          </w:tcPr>
          <w:p w14:paraId="08D05F08">
            <w:pPr>
              <w:pStyle w:val="6"/>
              <w:spacing w:before="125" w:line="227" w:lineRule="auto"/>
              <w:ind w:left="1179"/>
            </w:pPr>
            <w:r>
              <w:rPr>
                <w:spacing w:val="5"/>
              </w:rPr>
              <w:t>不推荐</w:t>
            </w:r>
          </w:p>
        </w:tc>
        <w:tc>
          <w:tcPr>
            <w:tcW w:w="124" w:type="dxa"/>
            <w:tcBorders>
              <w:top w:val="nil"/>
              <w:bottom w:val="nil"/>
              <w:right w:val="single" w:color="000000" w:sz="6" w:space="0"/>
            </w:tcBorders>
            <w:vAlign w:val="top"/>
          </w:tcPr>
          <w:p w14:paraId="7658D9DB">
            <w:pPr>
              <w:rPr>
                <w:rFonts w:ascii="Arial"/>
                <w:sz w:val="21"/>
              </w:rPr>
            </w:pPr>
          </w:p>
        </w:tc>
      </w:tr>
      <w:tr w14:paraId="74FC4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6" w:hRule="atLeast"/>
        </w:trPr>
        <w:tc>
          <w:tcPr>
            <w:tcW w:w="375" w:type="dxa"/>
            <w:vMerge w:val="continue"/>
            <w:tcBorders>
              <w:top w:val="nil"/>
              <w:left w:val="single" w:color="000000" w:sz="6" w:space="0"/>
              <w:bottom w:val="single" w:color="000000" w:sz="6" w:space="0"/>
              <w:right w:val="single" w:color="000000" w:sz="6" w:space="0"/>
            </w:tcBorders>
            <w:vAlign w:val="top"/>
          </w:tcPr>
          <w:p w14:paraId="09FB9807">
            <w:pPr>
              <w:rPr>
                <w:rFonts w:ascii="Arial"/>
                <w:sz w:val="21"/>
              </w:rPr>
            </w:pPr>
          </w:p>
        </w:tc>
        <w:tc>
          <w:tcPr>
            <w:tcW w:w="8149" w:type="dxa"/>
            <w:gridSpan w:val="6"/>
            <w:tcBorders>
              <w:left w:val="single" w:color="000000" w:sz="6" w:space="0"/>
              <w:bottom w:val="single" w:color="000000" w:sz="6" w:space="0"/>
              <w:right w:val="single" w:color="000000" w:sz="6" w:space="0"/>
            </w:tcBorders>
            <w:vAlign w:val="top"/>
          </w:tcPr>
          <w:p w14:paraId="33182DA4">
            <w:pPr>
              <w:pStyle w:val="6"/>
              <w:spacing w:before="49" w:line="353" w:lineRule="auto"/>
              <w:ind w:left="104" w:right="103" w:firstLine="480"/>
              <w:rPr>
                <w:sz w:val="24"/>
                <w:szCs w:val="24"/>
              </w:rPr>
            </w:pPr>
            <w:r>
              <w:rPr>
                <w:sz w:val="24"/>
                <w:szCs w:val="24"/>
              </w:rPr>
              <w:t>本项目两个选址均避让了自然保护区、风景名胜区、森林公园、生态保护红线等环境敏感区，统筹考虑了城镇规划、工业园区、加油站、加气站、工矿企业、水利、电力、交通、通信、军事光缆、沿线矿产资源压覆（包括</w:t>
            </w:r>
          </w:p>
        </w:tc>
      </w:tr>
    </w:tbl>
    <w:p w14:paraId="0C7CFB60">
      <w:pPr>
        <w:rPr>
          <w:rFonts w:ascii="Arial"/>
          <w:sz w:val="21"/>
        </w:rPr>
      </w:pPr>
    </w:p>
    <w:p w14:paraId="45230D66">
      <w:pPr>
        <w:rPr>
          <w:rFonts w:ascii="Arial" w:hAnsi="Arial" w:eastAsia="Arial" w:cs="Arial"/>
          <w:sz w:val="21"/>
          <w:szCs w:val="21"/>
        </w:rPr>
        <w:sectPr>
          <w:footerReference r:id="rId64" w:type="default"/>
          <w:pgSz w:w="11907" w:h="16840"/>
          <w:pgMar w:top="400" w:right="1684" w:bottom="1240" w:left="1683" w:header="0" w:footer="1077" w:gutter="0"/>
          <w:cols w:space="720" w:num="1"/>
        </w:sectPr>
      </w:pPr>
    </w:p>
    <w:p w14:paraId="2CF81C12">
      <w:pPr>
        <w:spacing w:before="19"/>
      </w:pPr>
    </w:p>
    <w:p w14:paraId="4E97B0AB">
      <w:pPr>
        <w:spacing w:before="19"/>
      </w:pPr>
    </w:p>
    <w:p w14:paraId="0142340E">
      <w:pPr>
        <w:spacing w:before="18"/>
      </w:pPr>
    </w:p>
    <w:p w14:paraId="4B8D85DE">
      <w:pPr>
        <w:spacing w:before="18"/>
      </w:pPr>
    </w:p>
    <w:tbl>
      <w:tblPr>
        <w:tblStyle w:val="5"/>
        <w:tblW w:w="85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5"/>
        <w:gridCol w:w="8149"/>
      </w:tblGrid>
      <w:tr w14:paraId="69027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66" w:hRule="atLeast"/>
        </w:trPr>
        <w:tc>
          <w:tcPr>
            <w:tcW w:w="375" w:type="dxa"/>
            <w:vAlign w:val="top"/>
          </w:tcPr>
          <w:p w14:paraId="60C0ED3F">
            <w:pPr>
              <w:rPr>
                <w:rFonts w:ascii="Arial"/>
                <w:sz w:val="21"/>
              </w:rPr>
            </w:pPr>
          </w:p>
        </w:tc>
        <w:tc>
          <w:tcPr>
            <w:tcW w:w="8149" w:type="dxa"/>
            <w:vAlign w:val="top"/>
          </w:tcPr>
          <w:p w14:paraId="3830E329">
            <w:pPr>
              <w:pStyle w:val="6"/>
              <w:spacing w:before="41" w:line="359" w:lineRule="auto"/>
              <w:ind w:left="102" w:right="103"/>
              <w:jc w:val="both"/>
              <w:rPr>
                <w:sz w:val="24"/>
                <w:szCs w:val="24"/>
              </w:rPr>
            </w:pPr>
            <w:r>
              <w:rPr>
                <w:sz w:val="24"/>
                <w:szCs w:val="24"/>
              </w:rPr>
              <w:t>探矿权、采矿权）等各种设施，对选址进行了最大程度的优化。本报告提出一系列保护措施可以减轻对生态环境产生影响。推荐方案已尽最大限度减少树木砍伐及原始生态破坏，本项目取得了工程所在地陆良县人民政府及各部</w:t>
            </w:r>
            <w:r>
              <w:rPr>
                <w:spacing w:val="-1"/>
                <w:sz w:val="24"/>
                <w:szCs w:val="24"/>
              </w:rPr>
              <w:t>门对选址选线原则同意的意见。</w:t>
            </w:r>
          </w:p>
          <w:p w14:paraId="79CDB727">
            <w:pPr>
              <w:pStyle w:val="6"/>
              <w:spacing w:before="8" w:line="358" w:lineRule="auto"/>
              <w:ind w:left="104" w:right="23" w:firstLine="480"/>
              <w:jc w:val="both"/>
              <w:rPr>
                <w:sz w:val="24"/>
                <w:szCs w:val="24"/>
              </w:rPr>
            </w:pPr>
            <w:r>
              <w:rPr>
                <w:sz w:val="24"/>
                <w:szCs w:val="24"/>
              </w:rPr>
              <w:t>两个比选站址均位于农村区域，周围生态环境受人为干扰严重，已不具备自然景观的条件，形成一定规模的以居住、农耕为主要功能的区域。从投资情况来看，卢旗堡站址投资更少；从环境保护角度分析，大堆子站址距离</w:t>
            </w:r>
            <w:r>
              <w:rPr>
                <w:spacing w:val="-2"/>
                <w:sz w:val="24"/>
                <w:szCs w:val="24"/>
              </w:rPr>
              <w:t>村庄较近，距居民点仅</w:t>
            </w:r>
            <w:r>
              <w:rPr>
                <w:spacing w:val="-23"/>
                <w:sz w:val="24"/>
                <w:szCs w:val="24"/>
              </w:rPr>
              <w:t xml:space="preserve"> </w:t>
            </w:r>
            <w:r>
              <w:rPr>
                <w:rFonts w:ascii="Times New Roman" w:hAnsi="Times New Roman" w:eastAsia="Times New Roman" w:cs="Times New Roman"/>
                <w:spacing w:val="-2"/>
                <w:sz w:val="24"/>
                <w:szCs w:val="24"/>
              </w:rPr>
              <w:t>12m</w:t>
            </w:r>
            <w:r>
              <w:rPr>
                <w:rFonts w:ascii="Times New Roman" w:hAnsi="Times New Roman" w:eastAsia="Times New Roman" w:cs="Times New Roman"/>
                <w:spacing w:val="-31"/>
                <w:sz w:val="24"/>
                <w:szCs w:val="24"/>
              </w:rPr>
              <w:t xml:space="preserve"> </w:t>
            </w:r>
            <w:r>
              <w:rPr>
                <w:spacing w:val="-2"/>
                <w:sz w:val="24"/>
                <w:szCs w:val="24"/>
              </w:rPr>
              <w:t>，变电站施工过程中及建成后均会对周边居民的</w:t>
            </w:r>
            <w:r>
              <w:rPr>
                <w:sz w:val="24"/>
                <w:szCs w:val="24"/>
              </w:rPr>
              <w:t>生活产生一定影响，存在被居民投诉的可能性；而卢旗堡站址最近居民点为</w:t>
            </w:r>
            <w:r>
              <w:rPr>
                <w:spacing w:val="-2"/>
                <w:sz w:val="24"/>
                <w:szCs w:val="24"/>
              </w:rPr>
              <w:t>站址东侧</w:t>
            </w:r>
            <w:r>
              <w:rPr>
                <w:spacing w:val="-50"/>
                <w:sz w:val="24"/>
                <w:szCs w:val="24"/>
              </w:rPr>
              <w:t xml:space="preserve"> </w:t>
            </w:r>
            <w:r>
              <w:rPr>
                <w:rFonts w:ascii="Times New Roman" w:hAnsi="Times New Roman" w:eastAsia="Times New Roman" w:cs="Times New Roman"/>
                <w:spacing w:val="-2"/>
                <w:sz w:val="24"/>
                <w:szCs w:val="24"/>
              </w:rPr>
              <w:t xml:space="preserve">39m </w:t>
            </w:r>
            <w:r>
              <w:rPr>
                <w:spacing w:val="-2"/>
                <w:sz w:val="24"/>
                <w:szCs w:val="24"/>
              </w:rPr>
              <w:t>处的临时看护房；因此，从环境保护的角度上来看，卢旗</w:t>
            </w:r>
            <w:r>
              <w:rPr>
                <w:spacing w:val="-3"/>
                <w:sz w:val="24"/>
                <w:szCs w:val="24"/>
              </w:rPr>
              <w:t>堡站</w:t>
            </w:r>
            <w:r>
              <w:rPr>
                <w:spacing w:val="-5"/>
                <w:sz w:val="24"/>
                <w:szCs w:val="24"/>
              </w:rPr>
              <w:t>址优于大堆子站址，与设计推荐卢旗堡站址为本工程的变电站拟建站址相符。</w:t>
            </w:r>
          </w:p>
          <w:p w14:paraId="4AAEA7CD">
            <w:pPr>
              <w:pStyle w:val="6"/>
              <w:spacing w:line="219" w:lineRule="auto"/>
              <w:ind w:left="106"/>
              <w:rPr>
                <w:sz w:val="24"/>
                <w:szCs w:val="24"/>
              </w:rPr>
            </w:pPr>
            <w:r>
              <w:rPr>
                <w:b/>
                <w:bCs/>
                <w:spacing w:val="-3"/>
                <w:sz w:val="24"/>
                <w:szCs w:val="24"/>
              </w:rPr>
              <w:t>二、输电线路路径方案比选</w:t>
            </w:r>
          </w:p>
          <w:p w14:paraId="1B562EC2">
            <w:pPr>
              <w:pStyle w:val="6"/>
              <w:spacing w:before="183" w:line="219" w:lineRule="auto"/>
              <w:ind w:left="589"/>
              <w:rPr>
                <w:sz w:val="24"/>
                <w:szCs w:val="24"/>
              </w:rPr>
            </w:pPr>
            <w:r>
              <w:rPr>
                <w:rFonts w:ascii="Times New Roman" w:hAnsi="Times New Roman" w:eastAsia="Times New Roman" w:cs="Times New Roman"/>
                <w:b/>
                <w:bCs/>
                <w:spacing w:val="-5"/>
                <w:sz w:val="24"/>
                <w:szCs w:val="24"/>
              </w:rPr>
              <w:t>1</w:t>
            </w:r>
            <w:r>
              <w:rPr>
                <w:rFonts w:ascii="Times New Roman" w:hAnsi="Times New Roman" w:eastAsia="Times New Roman" w:cs="Times New Roman"/>
                <w:b/>
                <w:bCs/>
                <w:spacing w:val="-34"/>
                <w:sz w:val="24"/>
                <w:szCs w:val="24"/>
              </w:rPr>
              <w:t xml:space="preserve"> </w:t>
            </w:r>
            <w:r>
              <w:rPr>
                <w:b/>
                <w:bCs/>
                <w:spacing w:val="-5"/>
                <w:sz w:val="24"/>
                <w:szCs w:val="24"/>
              </w:rPr>
              <w:t>、</w:t>
            </w:r>
            <w:r>
              <w:rPr>
                <w:rFonts w:ascii="Times New Roman" w:hAnsi="Times New Roman" w:eastAsia="Times New Roman" w:cs="Times New Roman"/>
                <w:b/>
                <w:bCs/>
                <w:spacing w:val="-5"/>
                <w:sz w:val="24"/>
                <w:szCs w:val="24"/>
              </w:rPr>
              <w:t xml:space="preserve">110kV </w:t>
            </w:r>
            <w:r>
              <w:rPr>
                <w:b/>
                <w:bCs/>
                <w:spacing w:val="-5"/>
                <w:sz w:val="24"/>
                <w:szCs w:val="24"/>
              </w:rPr>
              <w:t>线路</w:t>
            </w:r>
          </w:p>
          <w:p w14:paraId="4EB76A78">
            <w:pPr>
              <w:pStyle w:val="6"/>
              <w:spacing w:before="181" w:line="219" w:lineRule="auto"/>
              <w:ind w:left="594"/>
              <w:rPr>
                <w:sz w:val="24"/>
                <w:szCs w:val="24"/>
              </w:rPr>
            </w:pPr>
            <w:r>
              <w:rPr>
                <w:b/>
                <w:bCs/>
                <w:spacing w:val="-3"/>
                <w:sz w:val="24"/>
                <w:szCs w:val="24"/>
              </w:rPr>
              <w:t>（</w:t>
            </w:r>
            <w:r>
              <w:rPr>
                <w:rFonts w:ascii="Times New Roman" w:hAnsi="Times New Roman" w:eastAsia="Times New Roman" w:cs="Times New Roman"/>
                <w:b/>
                <w:bCs/>
                <w:spacing w:val="-3"/>
                <w:sz w:val="24"/>
                <w:szCs w:val="24"/>
              </w:rPr>
              <w:t>1</w:t>
            </w:r>
            <w:r>
              <w:rPr>
                <w:b/>
                <w:bCs/>
                <w:spacing w:val="-3"/>
                <w:sz w:val="24"/>
                <w:szCs w:val="24"/>
              </w:rPr>
              <w:t>）</w:t>
            </w:r>
            <w:r>
              <w:rPr>
                <w:rFonts w:ascii="Times New Roman" w:hAnsi="Times New Roman" w:eastAsia="Times New Roman" w:cs="Times New Roman"/>
                <w:b/>
                <w:bCs/>
                <w:spacing w:val="-3"/>
                <w:sz w:val="24"/>
                <w:szCs w:val="24"/>
              </w:rPr>
              <w:t xml:space="preserve">110kV </w:t>
            </w:r>
            <w:r>
              <w:rPr>
                <w:b/>
                <w:bCs/>
                <w:spacing w:val="-3"/>
                <w:sz w:val="24"/>
                <w:szCs w:val="24"/>
              </w:rPr>
              <w:t>松山变～</w:t>
            </w:r>
            <w:r>
              <w:rPr>
                <w:rFonts w:ascii="Times New Roman" w:hAnsi="Times New Roman" w:eastAsia="Times New Roman" w:cs="Times New Roman"/>
                <w:b/>
                <w:bCs/>
                <w:spacing w:val="-3"/>
                <w:sz w:val="24"/>
                <w:szCs w:val="24"/>
              </w:rPr>
              <w:t>220kV</w:t>
            </w:r>
            <w:r>
              <w:rPr>
                <w:rFonts w:ascii="Times New Roman" w:hAnsi="Times New Roman" w:eastAsia="Times New Roman" w:cs="Times New Roman"/>
                <w:b/>
                <w:bCs/>
                <w:spacing w:val="26"/>
                <w:sz w:val="24"/>
                <w:szCs w:val="24"/>
              </w:rPr>
              <w:t xml:space="preserve"> </w:t>
            </w:r>
            <w:r>
              <w:rPr>
                <w:b/>
                <w:bCs/>
                <w:spacing w:val="-3"/>
                <w:sz w:val="24"/>
                <w:szCs w:val="24"/>
              </w:rPr>
              <w:t>芳华变</w:t>
            </w:r>
          </w:p>
          <w:p w14:paraId="0F7609EE">
            <w:pPr>
              <w:pStyle w:val="6"/>
              <w:spacing w:before="183" w:line="217" w:lineRule="auto"/>
              <w:ind w:left="582"/>
              <w:rPr>
                <w:sz w:val="24"/>
                <w:szCs w:val="24"/>
              </w:rPr>
            </w:pPr>
            <w:r>
              <w:rPr>
                <w:spacing w:val="-1"/>
                <w:sz w:val="24"/>
                <w:szCs w:val="24"/>
              </w:rPr>
              <w:t>①推荐方案（南方案</w:t>
            </w:r>
            <w:r>
              <w:rPr>
                <w:sz w:val="24"/>
                <w:szCs w:val="24"/>
              </w:rPr>
              <w:t>）：</w:t>
            </w:r>
          </w:p>
          <w:p w14:paraId="71125BA5">
            <w:pPr>
              <w:pStyle w:val="6"/>
              <w:spacing w:before="186" w:line="359" w:lineRule="auto"/>
              <w:ind w:left="98" w:right="103" w:firstLine="487"/>
              <w:rPr>
                <w:sz w:val="24"/>
                <w:szCs w:val="24"/>
              </w:rPr>
            </w:pPr>
            <w:r>
              <w:rPr>
                <w:spacing w:val="-1"/>
                <w:sz w:val="24"/>
                <w:szCs w:val="24"/>
              </w:rPr>
              <w:t>线路从新建变电站向西方出线后，左转向西南方向跨越</w:t>
            </w:r>
            <w:r>
              <w:rPr>
                <w:spacing w:val="-41"/>
                <w:sz w:val="24"/>
                <w:szCs w:val="24"/>
              </w:rPr>
              <w:t xml:space="preserve"> </w:t>
            </w:r>
            <w:r>
              <w:rPr>
                <w:rFonts w:ascii="Times New Roman" w:hAnsi="Times New Roman" w:eastAsia="Times New Roman" w:cs="Times New Roman"/>
                <w:spacing w:val="-1"/>
                <w:sz w:val="24"/>
                <w:szCs w:val="24"/>
              </w:rPr>
              <w:t xml:space="preserve">35kV </w:t>
            </w:r>
            <w:r>
              <w:rPr>
                <w:spacing w:val="-1"/>
                <w:sz w:val="24"/>
                <w:szCs w:val="24"/>
              </w:rPr>
              <w:t>金瑞达瓷</w:t>
            </w:r>
            <w:r>
              <w:rPr>
                <w:sz w:val="24"/>
                <w:szCs w:val="24"/>
              </w:rPr>
              <w:t>业线后继续平行曲陆高速前进，在中所堡村北侧向西北转向</w:t>
            </w:r>
            <w:r>
              <w:rPr>
                <w:spacing w:val="-1"/>
                <w:sz w:val="24"/>
                <w:szCs w:val="24"/>
              </w:rPr>
              <w:t>，跨越曲陆高速</w:t>
            </w:r>
            <w:r>
              <w:rPr>
                <w:spacing w:val="-5"/>
                <w:sz w:val="24"/>
                <w:szCs w:val="24"/>
              </w:rPr>
              <w:t>后平行</w:t>
            </w:r>
            <w:r>
              <w:rPr>
                <w:spacing w:val="-32"/>
                <w:sz w:val="24"/>
                <w:szCs w:val="24"/>
              </w:rPr>
              <w:t xml:space="preserve"> </w:t>
            </w:r>
            <w:r>
              <w:rPr>
                <w:rFonts w:ascii="Times New Roman" w:hAnsi="Times New Roman" w:eastAsia="Times New Roman" w:cs="Times New Roman"/>
                <w:spacing w:val="-5"/>
                <w:sz w:val="24"/>
                <w:szCs w:val="24"/>
              </w:rPr>
              <w:t>110kV</w:t>
            </w:r>
            <w:r>
              <w:rPr>
                <w:rFonts w:ascii="Times New Roman" w:hAnsi="Times New Roman" w:eastAsia="Times New Roman" w:cs="Times New Roman"/>
                <w:spacing w:val="16"/>
                <w:sz w:val="24"/>
                <w:szCs w:val="24"/>
              </w:rPr>
              <w:t xml:space="preserve"> </w:t>
            </w:r>
            <w:r>
              <w:rPr>
                <w:spacing w:val="-5"/>
                <w:sz w:val="24"/>
                <w:szCs w:val="24"/>
              </w:rPr>
              <w:t>芳华</w:t>
            </w:r>
            <w:r>
              <w:rPr>
                <w:spacing w:val="-53"/>
                <w:sz w:val="24"/>
                <w:szCs w:val="24"/>
              </w:rPr>
              <w:t xml:space="preserve"> </w:t>
            </w:r>
            <w:r>
              <w:rPr>
                <w:rFonts w:ascii="Times New Roman" w:hAnsi="Times New Roman" w:eastAsia="Times New Roman" w:cs="Times New Roman"/>
                <w:spacing w:val="-5"/>
                <w:sz w:val="24"/>
                <w:szCs w:val="24"/>
              </w:rPr>
              <w:t xml:space="preserve">T </w:t>
            </w:r>
            <w:r>
              <w:rPr>
                <w:spacing w:val="-5"/>
                <w:sz w:val="24"/>
                <w:szCs w:val="24"/>
              </w:rPr>
              <w:t>接中大</w:t>
            </w:r>
            <w:r>
              <w:rPr>
                <w:spacing w:val="-54"/>
                <w:sz w:val="24"/>
                <w:szCs w:val="24"/>
              </w:rPr>
              <w:t xml:space="preserve"> </w:t>
            </w:r>
            <w:r>
              <w:rPr>
                <w:rFonts w:ascii="Times New Roman" w:hAnsi="Times New Roman" w:eastAsia="Times New Roman" w:cs="Times New Roman"/>
                <w:spacing w:val="-5"/>
                <w:sz w:val="24"/>
                <w:szCs w:val="24"/>
              </w:rPr>
              <w:t>II</w:t>
            </w:r>
            <w:r>
              <w:rPr>
                <w:rFonts w:ascii="Times New Roman" w:hAnsi="Times New Roman" w:eastAsia="Times New Roman" w:cs="Times New Roman"/>
                <w:spacing w:val="35"/>
                <w:sz w:val="24"/>
                <w:szCs w:val="24"/>
              </w:rPr>
              <w:t xml:space="preserve"> </w:t>
            </w:r>
            <w:r>
              <w:rPr>
                <w:spacing w:val="-5"/>
                <w:sz w:val="24"/>
                <w:szCs w:val="24"/>
              </w:rPr>
              <w:t>回线走线</w:t>
            </w:r>
            <w:r>
              <w:rPr>
                <w:spacing w:val="-6"/>
                <w:sz w:val="24"/>
                <w:szCs w:val="24"/>
              </w:rPr>
              <w:t>，沿途已经尽量避让基本农田等敏感</w:t>
            </w:r>
            <w:r>
              <w:rPr>
                <w:spacing w:val="-2"/>
                <w:sz w:val="24"/>
                <w:szCs w:val="24"/>
              </w:rPr>
              <w:t>因素，在</w:t>
            </w:r>
            <w:r>
              <w:rPr>
                <w:spacing w:val="-50"/>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5"/>
                <w:sz w:val="24"/>
                <w:szCs w:val="24"/>
              </w:rPr>
              <w:t xml:space="preserve"> </w:t>
            </w:r>
            <w:r>
              <w:rPr>
                <w:spacing w:val="-2"/>
                <w:sz w:val="24"/>
                <w:szCs w:val="24"/>
              </w:rPr>
              <w:t>芳华变东南侧约</w:t>
            </w:r>
            <w:r>
              <w:rPr>
                <w:spacing w:val="-51"/>
                <w:sz w:val="24"/>
                <w:szCs w:val="24"/>
              </w:rPr>
              <w:t xml:space="preserve"> </w:t>
            </w:r>
            <w:r>
              <w:rPr>
                <w:rFonts w:ascii="Times New Roman" w:hAnsi="Times New Roman" w:eastAsia="Times New Roman" w:cs="Times New Roman"/>
                <w:spacing w:val="-2"/>
                <w:sz w:val="24"/>
                <w:szCs w:val="24"/>
              </w:rPr>
              <w:t>0.6km</w:t>
            </w:r>
            <w:r>
              <w:rPr>
                <w:rFonts w:ascii="Times New Roman" w:hAnsi="Times New Roman" w:eastAsia="Times New Roman" w:cs="Times New Roman"/>
                <w:spacing w:val="15"/>
                <w:sz w:val="24"/>
                <w:szCs w:val="24"/>
              </w:rPr>
              <w:t xml:space="preserve"> </w:t>
            </w:r>
            <w:r>
              <w:rPr>
                <w:spacing w:val="-2"/>
                <w:sz w:val="24"/>
                <w:szCs w:val="24"/>
              </w:rPr>
              <w:t>处，最后接入</w:t>
            </w:r>
            <w:r>
              <w:rPr>
                <w:spacing w:val="-55"/>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5"/>
                <w:sz w:val="24"/>
                <w:szCs w:val="24"/>
              </w:rPr>
              <w:t xml:space="preserve"> </w:t>
            </w:r>
            <w:r>
              <w:rPr>
                <w:spacing w:val="-2"/>
                <w:sz w:val="24"/>
                <w:szCs w:val="24"/>
              </w:rPr>
              <w:t>芳华变。由于</w:t>
            </w:r>
            <w:r>
              <w:rPr>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7"/>
                <w:w w:val="101"/>
                <w:sz w:val="24"/>
                <w:szCs w:val="24"/>
              </w:rPr>
              <w:t xml:space="preserve"> </w:t>
            </w:r>
            <w:r>
              <w:rPr>
                <w:spacing w:val="-2"/>
                <w:sz w:val="24"/>
                <w:szCs w:val="24"/>
              </w:rPr>
              <w:t>芳华变周围被基本农田包围，在</w:t>
            </w:r>
            <w:r>
              <w:rPr>
                <w:spacing w:val="-55"/>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5"/>
                <w:sz w:val="24"/>
                <w:szCs w:val="24"/>
              </w:rPr>
              <w:t xml:space="preserve"> </w:t>
            </w:r>
            <w:r>
              <w:rPr>
                <w:spacing w:val="-2"/>
                <w:sz w:val="24"/>
                <w:szCs w:val="24"/>
              </w:rPr>
              <w:t>芳华变外有无法避让基本农田的塔基。</w:t>
            </w:r>
          </w:p>
          <w:p w14:paraId="090FC9CC">
            <w:pPr>
              <w:pStyle w:val="6"/>
              <w:spacing w:before="6" w:line="358" w:lineRule="auto"/>
              <w:ind w:left="102" w:right="41" w:firstLine="481"/>
              <w:jc w:val="both"/>
              <w:rPr>
                <w:sz w:val="24"/>
                <w:szCs w:val="24"/>
              </w:rPr>
            </w:pPr>
            <w:r>
              <w:rPr>
                <w:sz w:val="24"/>
                <w:szCs w:val="24"/>
              </w:rPr>
              <w:t>本方案线路采用单双回路混合架设，</w:t>
            </w:r>
            <w:r>
              <w:rPr>
                <w:rFonts w:ascii="Times New Roman" w:hAnsi="Times New Roman" w:eastAsia="Times New Roman" w:cs="Times New Roman"/>
                <w:sz w:val="24"/>
                <w:szCs w:val="24"/>
              </w:rPr>
              <w:t xml:space="preserve">110kV </w:t>
            </w:r>
            <w:r>
              <w:rPr>
                <w:spacing w:val="-1"/>
                <w:sz w:val="24"/>
                <w:szCs w:val="24"/>
              </w:rPr>
              <w:t>松山变外为双回路终端塔单</w:t>
            </w:r>
            <w:r>
              <w:rPr>
                <w:spacing w:val="-2"/>
                <w:sz w:val="24"/>
                <w:szCs w:val="24"/>
              </w:rPr>
              <w:t>边挂线，跨越高速公路至</w:t>
            </w:r>
            <w:r>
              <w:rPr>
                <w:spacing w:val="-52"/>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6"/>
                <w:sz w:val="24"/>
                <w:szCs w:val="24"/>
              </w:rPr>
              <w:t xml:space="preserve"> </w:t>
            </w:r>
            <w:r>
              <w:rPr>
                <w:spacing w:val="-2"/>
                <w:sz w:val="24"/>
                <w:szCs w:val="24"/>
              </w:rPr>
              <w:t>芳华变段按双回路建设，其余采用单回路架</w:t>
            </w:r>
            <w:r>
              <w:rPr>
                <w:spacing w:val="-5"/>
                <w:sz w:val="24"/>
                <w:szCs w:val="24"/>
              </w:rPr>
              <w:t>设，全线路径长</w:t>
            </w:r>
            <w:r>
              <w:rPr>
                <w:spacing w:val="-32"/>
                <w:sz w:val="24"/>
                <w:szCs w:val="24"/>
              </w:rPr>
              <w:t xml:space="preserve"> </w:t>
            </w:r>
            <w:r>
              <w:rPr>
                <w:rFonts w:ascii="Times New Roman" w:hAnsi="Times New Roman" w:eastAsia="Times New Roman" w:cs="Times New Roman"/>
                <w:spacing w:val="-5"/>
                <w:sz w:val="24"/>
                <w:szCs w:val="24"/>
              </w:rPr>
              <w:t>10.25km</w:t>
            </w:r>
            <w:r>
              <w:rPr>
                <w:rFonts w:ascii="Times New Roman" w:hAnsi="Times New Roman" w:eastAsia="Times New Roman" w:cs="Times New Roman"/>
                <w:spacing w:val="-31"/>
                <w:sz w:val="24"/>
                <w:szCs w:val="24"/>
              </w:rPr>
              <w:t xml:space="preserve"> </w:t>
            </w:r>
            <w:r>
              <w:rPr>
                <w:spacing w:val="-5"/>
                <w:sz w:val="24"/>
                <w:szCs w:val="24"/>
              </w:rPr>
              <w:t>，其中双回路长</w:t>
            </w:r>
            <w:r>
              <w:rPr>
                <w:spacing w:val="-49"/>
                <w:sz w:val="24"/>
                <w:szCs w:val="24"/>
              </w:rPr>
              <w:t xml:space="preserve"> </w:t>
            </w:r>
            <w:r>
              <w:rPr>
                <w:rFonts w:ascii="Times New Roman" w:hAnsi="Times New Roman" w:eastAsia="Times New Roman" w:cs="Times New Roman"/>
                <w:spacing w:val="-5"/>
                <w:sz w:val="24"/>
                <w:szCs w:val="24"/>
              </w:rPr>
              <w:t>6.36km</w:t>
            </w:r>
            <w:r>
              <w:rPr>
                <w:rFonts w:ascii="Times New Roman" w:hAnsi="Times New Roman" w:eastAsia="Times New Roman" w:cs="Times New Roman"/>
                <w:spacing w:val="-31"/>
                <w:sz w:val="24"/>
                <w:szCs w:val="24"/>
              </w:rPr>
              <w:t xml:space="preserve"> </w:t>
            </w:r>
            <w:r>
              <w:rPr>
                <w:spacing w:val="-5"/>
                <w:sz w:val="24"/>
                <w:szCs w:val="24"/>
              </w:rPr>
              <w:t>，单回路长</w:t>
            </w:r>
            <w:r>
              <w:rPr>
                <w:spacing w:val="-50"/>
                <w:sz w:val="24"/>
                <w:szCs w:val="24"/>
              </w:rPr>
              <w:t xml:space="preserve"> </w:t>
            </w:r>
            <w:r>
              <w:rPr>
                <w:rFonts w:ascii="Times New Roman" w:hAnsi="Times New Roman" w:eastAsia="Times New Roman" w:cs="Times New Roman"/>
                <w:spacing w:val="-5"/>
                <w:sz w:val="24"/>
                <w:szCs w:val="24"/>
              </w:rPr>
              <w:t>3.89km</w:t>
            </w:r>
            <w:r>
              <w:rPr>
                <w:rFonts w:ascii="Times New Roman" w:hAnsi="Times New Roman" w:eastAsia="Times New Roman" w:cs="Times New Roman"/>
                <w:spacing w:val="-30"/>
                <w:sz w:val="24"/>
                <w:szCs w:val="24"/>
              </w:rPr>
              <w:t xml:space="preserve"> </w:t>
            </w:r>
            <w:r>
              <w:rPr>
                <w:spacing w:val="-5"/>
                <w:sz w:val="24"/>
                <w:szCs w:val="24"/>
              </w:rPr>
              <w:t>，曲折系</w:t>
            </w:r>
            <w:r>
              <w:rPr>
                <w:spacing w:val="-7"/>
                <w:sz w:val="24"/>
                <w:szCs w:val="24"/>
              </w:rPr>
              <w:t>数</w:t>
            </w:r>
            <w:r>
              <w:rPr>
                <w:spacing w:val="-32"/>
                <w:sz w:val="24"/>
                <w:szCs w:val="24"/>
              </w:rPr>
              <w:t xml:space="preserve"> </w:t>
            </w:r>
            <w:r>
              <w:rPr>
                <w:rFonts w:ascii="Times New Roman" w:hAnsi="Times New Roman" w:eastAsia="Times New Roman" w:cs="Times New Roman"/>
                <w:spacing w:val="-7"/>
                <w:sz w:val="24"/>
                <w:szCs w:val="24"/>
              </w:rPr>
              <w:t>1.24</w:t>
            </w:r>
            <w:r>
              <w:rPr>
                <w:spacing w:val="-7"/>
                <w:sz w:val="24"/>
                <w:szCs w:val="24"/>
              </w:rPr>
              <w:t>。线路全线位于陆良县境内。由于</w:t>
            </w:r>
            <w:r>
              <w:rPr>
                <w:spacing w:val="-55"/>
                <w:sz w:val="24"/>
                <w:szCs w:val="24"/>
              </w:rPr>
              <w:t xml:space="preserve"> </w:t>
            </w:r>
            <w:r>
              <w:rPr>
                <w:rFonts w:ascii="Times New Roman" w:hAnsi="Times New Roman" w:eastAsia="Times New Roman" w:cs="Times New Roman"/>
                <w:spacing w:val="-7"/>
                <w:sz w:val="24"/>
                <w:szCs w:val="24"/>
              </w:rPr>
              <w:t>220kV</w:t>
            </w:r>
            <w:r>
              <w:rPr>
                <w:rFonts w:ascii="Times New Roman" w:hAnsi="Times New Roman" w:eastAsia="Times New Roman" w:cs="Times New Roman"/>
                <w:spacing w:val="15"/>
                <w:sz w:val="24"/>
                <w:szCs w:val="24"/>
              </w:rPr>
              <w:t xml:space="preserve"> </w:t>
            </w:r>
            <w:r>
              <w:rPr>
                <w:spacing w:val="-7"/>
                <w:sz w:val="24"/>
                <w:szCs w:val="24"/>
              </w:rPr>
              <w:t>芳华变周围被</w:t>
            </w:r>
            <w:r>
              <w:rPr>
                <w:spacing w:val="-8"/>
                <w:sz w:val="24"/>
                <w:szCs w:val="24"/>
              </w:rPr>
              <w:t>基本农田包围，</w:t>
            </w:r>
            <w:r>
              <w:rPr>
                <w:spacing w:val="-2"/>
                <w:sz w:val="24"/>
                <w:szCs w:val="24"/>
              </w:rPr>
              <w:t>在</w:t>
            </w:r>
            <w:r>
              <w:rPr>
                <w:spacing w:val="-40"/>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6"/>
                <w:sz w:val="24"/>
                <w:szCs w:val="24"/>
              </w:rPr>
              <w:t xml:space="preserve"> </w:t>
            </w:r>
            <w:r>
              <w:rPr>
                <w:spacing w:val="-2"/>
                <w:sz w:val="24"/>
                <w:szCs w:val="24"/>
              </w:rPr>
              <w:t>芳华变外有无法避让基本农田的塔基。</w:t>
            </w:r>
          </w:p>
          <w:p w14:paraId="1561C324">
            <w:pPr>
              <w:pStyle w:val="6"/>
              <w:spacing w:line="217" w:lineRule="auto"/>
              <w:ind w:left="581"/>
              <w:rPr>
                <w:sz w:val="24"/>
                <w:szCs w:val="24"/>
              </w:rPr>
            </w:pPr>
            <w:r>
              <w:rPr>
                <w:spacing w:val="-1"/>
                <w:sz w:val="24"/>
                <w:szCs w:val="24"/>
              </w:rPr>
              <w:t>②比较方案（北方案</w:t>
            </w:r>
            <w:r>
              <w:rPr>
                <w:sz w:val="24"/>
                <w:szCs w:val="24"/>
              </w:rPr>
              <w:t>）：</w:t>
            </w:r>
          </w:p>
          <w:p w14:paraId="55475A67">
            <w:pPr>
              <w:pStyle w:val="6"/>
              <w:spacing w:before="185" w:line="350" w:lineRule="auto"/>
              <w:ind w:left="102" w:right="120" w:firstLine="483"/>
              <w:rPr>
                <w:sz w:val="24"/>
                <w:szCs w:val="24"/>
              </w:rPr>
            </w:pPr>
            <w:r>
              <w:rPr>
                <w:spacing w:val="-1"/>
                <w:sz w:val="24"/>
                <w:szCs w:val="24"/>
              </w:rPr>
              <w:t>线路从新建变电站向西方出线后，左转向西南方向跨越</w:t>
            </w:r>
            <w:r>
              <w:rPr>
                <w:spacing w:val="-41"/>
                <w:sz w:val="24"/>
                <w:szCs w:val="24"/>
              </w:rPr>
              <w:t xml:space="preserve"> </w:t>
            </w:r>
            <w:r>
              <w:rPr>
                <w:rFonts w:ascii="Times New Roman" w:hAnsi="Times New Roman" w:eastAsia="Times New Roman" w:cs="Times New Roman"/>
                <w:spacing w:val="-1"/>
                <w:sz w:val="24"/>
                <w:szCs w:val="24"/>
              </w:rPr>
              <w:t xml:space="preserve">35kV </w:t>
            </w:r>
            <w:r>
              <w:rPr>
                <w:spacing w:val="-1"/>
                <w:sz w:val="24"/>
                <w:szCs w:val="24"/>
              </w:rPr>
              <w:t>金瑞达瓷</w:t>
            </w:r>
            <w:r>
              <w:rPr>
                <w:sz w:val="24"/>
                <w:szCs w:val="24"/>
              </w:rPr>
              <w:t>业线后继续平行曲陆高速前进，在中所堡村北侧向西</w:t>
            </w:r>
            <w:r>
              <w:rPr>
                <w:spacing w:val="-1"/>
                <w:sz w:val="24"/>
                <w:szCs w:val="24"/>
              </w:rPr>
              <w:t>北转向，走线至狮子口</w:t>
            </w:r>
          </w:p>
        </w:tc>
      </w:tr>
    </w:tbl>
    <w:p w14:paraId="3814D382">
      <w:pPr>
        <w:rPr>
          <w:rFonts w:ascii="Arial"/>
          <w:sz w:val="21"/>
        </w:rPr>
      </w:pPr>
    </w:p>
    <w:p w14:paraId="5DADCD95">
      <w:pPr>
        <w:rPr>
          <w:rFonts w:ascii="Arial" w:hAnsi="Arial" w:eastAsia="Arial" w:cs="Arial"/>
          <w:sz w:val="21"/>
          <w:szCs w:val="21"/>
        </w:rPr>
        <w:sectPr>
          <w:footerReference r:id="rId65" w:type="default"/>
          <w:pgSz w:w="11907" w:h="16840"/>
          <w:pgMar w:top="400" w:right="1684" w:bottom="1240" w:left="1683" w:header="0" w:footer="1077" w:gutter="0"/>
          <w:cols w:space="720" w:num="1"/>
        </w:sectPr>
      </w:pPr>
    </w:p>
    <w:p w14:paraId="70DF7EB4">
      <w:pPr>
        <w:spacing w:before="19"/>
      </w:pPr>
    </w:p>
    <w:p w14:paraId="07773A1B">
      <w:pPr>
        <w:spacing w:before="19"/>
      </w:pPr>
    </w:p>
    <w:p w14:paraId="41E8D714">
      <w:pPr>
        <w:spacing w:before="18"/>
      </w:pPr>
    </w:p>
    <w:p w14:paraId="5B0BC2DF">
      <w:pPr>
        <w:spacing w:before="18"/>
      </w:pPr>
    </w:p>
    <w:tbl>
      <w:tblPr>
        <w:tblStyle w:val="5"/>
        <w:tblW w:w="852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5"/>
        <w:gridCol w:w="115"/>
        <w:gridCol w:w="439"/>
        <w:gridCol w:w="1539"/>
        <w:gridCol w:w="2963"/>
        <w:gridCol w:w="2969"/>
        <w:gridCol w:w="124"/>
      </w:tblGrid>
      <w:tr w14:paraId="420BC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3" w:hRule="atLeast"/>
        </w:trPr>
        <w:tc>
          <w:tcPr>
            <w:tcW w:w="375" w:type="dxa"/>
            <w:vMerge w:val="restart"/>
            <w:tcBorders>
              <w:top w:val="single" w:color="000000" w:sz="6" w:space="0"/>
              <w:left w:val="single" w:color="000000" w:sz="6" w:space="0"/>
              <w:bottom w:val="nil"/>
              <w:right w:val="single" w:color="000000" w:sz="6" w:space="0"/>
            </w:tcBorders>
            <w:vAlign w:val="top"/>
          </w:tcPr>
          <w:p w14:paraId="65278612">
            <w:pPr>
              <w:rPr>
                <w:rFonts w:ascii="Arial"/>
                <w:sz w:val="21"/>
              </w:rPr>
            </w:pPr>
          </w:p>
        </w:tc>
        <w:tc>
          <w:tcPr>
            <w:tcW w:w="8149" w:type="dxa"/>
            <w:gridSpan w:val="6"/>
            <w:tcBorders>
              <w:top w:val="single" w:color="000000" w:sz="6" w:space="0"/>
              <w:left w:val="single" w:color="000000" w:sz="6" w:space="0"/>
              <w:right w:val="single" w:color="000000" w:sz="6" w:space="0"/>
            </w:tcBorders>
            <w:vAlign w:val="top"/>
          </w:tcPr>
          <w:p w14:paraId="4F383676">
            <w:pPr>
              <w:pStyle w:val="6"/>
              <w:spacing w:before="41" w:line="358" w:lineRule="auto"/>
              <w:ind w:left="111" w:right="103" w:hanging="7"/>
              <w:rPr>
                <w:sz w:val="24"/>
                <w:szCs w:val="24"/>
              </w:rPr>
            </w:pPr>
            <w:r>
              <w:rPr>
                <w:spacing w:val="-2"/>
                <w:sz w:val="24"/>
                <w:szCs w:val="24"/>
              </w:rPr>
              <w:t>村南侧向西转向，沿途已经尽量避让基本农田等敏感因素，在</w:t>
            </w:r>
            <w:r>
              <w:rPr>
                <w:spacing w:val="-54"/>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6"/>
                <w:sz w:val="24"/>
                <w:szCs w:val="24"/>
              </w:rPr>
              <w:t xml:space="preserve"> </w:t>
            </w:r>
            <w:r>
              <w:rPr>
                <w:spacing w:val="-2"/>
                <w:sz w:val="24"/>
                <w:szCs w:val="24"/>
              </w:rPr>
              <w:t>芳华变东侧约</w:t>
            </w:r>
            <w:r>
              <w:rPr>
                <w:spacing w:val="-51"/>
                <w:sz w:val="24"/>
                <w:szCs w:val="24"/>
              </w:rPr>
              <w:t xml:space="preserve"> </w:t>
            </w:r>
            <w:r>
              <w:rPr>
                <w:rFonts w:ascii="Times New Roman" w:hAnsi="Times New Roman" w:eastAsia="Times New Roman" w:cs="Times New Roman"/>
                <w:spacing w:val="-2"/>
                <w:sz w:val="24"/>
                <w:szCs w:val="24"/>
              </w:rPr>
              <w:t xml:space="preserve">0.8km </w:t>
            </w:r>
            <w:r>
              <w:rPr>
                <w:spacing w:val="-2"/>
                <w:sz w:val="24"/>
                <w:szCs w:val="24"/>
              </w:rPr>
              <w:t>处，最后接入</w:t>
            </w:r>
            <w:r>
              <w:rPr>
                <w:spacing w:val="-55"/>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8"/>
                <w:sz w:val="24"/>
                <w:szCs w:val="24"/>
              </w:rPr>
              <w:t xml:space="preserve"> </w:t>
            </w:r>
            <w:r>
              <w:rPr>
                <w:spacing w:val="-2"/>
                <w:sz w:val="24"/>
                <w:szCs w:val="24"/>
              </w:rPr>
              <w:t>芳</w:t>
            </w:r>
            <w:r>
              <w:rPr>
                <w:spacing w:val="-3"/>
                <w:sz w:val="24"/>
                <w:szCs w:val="24"/>
              </w:rPr>
              <w:t>华变。</w:t>
            </w:r>
          </w:p>
          <w:p w14:paraId="235B7A7D">
            <w:pPr>
              <w:pStyle w:val="6"/>
              <w:spacing w:before="2" w:line="359" w:lineRule="auto"/>
              <w:ind w:left="106" w:right="215" w:firstLine="478"/>
              <w:rPr>
                <w:sz w:val="24"/>
                <w:szCs w:val="24"/>
              </w:rPr>
            </w:pPr>
            <w:r>
              <w:rPr>
                <w:spacing w:val="-4"/>
                <w:sz w:val="24"/>
                <w:szCs w:val="24"/>
              </w:rPr>
              <w:t>本方案线路采用单回路架设，线路路径长约</w:t>
            </w:r>
            <w:r>
              <w:rPr>
                <w:spacing w:val="-25"/>
                <w:sz w:val="24"/>
                <w:szCs w:val="24"/>
              </w:rPr>
              <w:t xml:space="preserve"> </w:t>
            </w:r>
            <w:r>
              <w:rPr>
                <w:rFonts w:ascii="Times New Roman" w:hAnsi="Times New Roman" w:eastAsia="Times New Roman" w:cs="Times New Roman"/>
                <w:spacing w:val="-4"/>
                <w:sz w:val="24"/>
                <w:szCs w:val="24"/>
              </w:rPr>
              <w:t>10.54km</w:t>
            </w:r>
            <w:r>
              <w:rPr>
                <w:rFonts w:ascii="Times New Roman" w:hAnsi="Times New Roman" w:eastAsia="Times New Roman" w:cs="Times New Roman"/>
                <w:spacing w:val="-33"/>
                <w:sz w:val="24"/>
                <w:szCs w:val="24"/>
              </w:rPr>
              <w:t xml:space="preserve"> </w:t>
            </w:r>
            <w:r>
              <w:rPr>
                <w:spacing w:val="-4"/>
                <w:sz w:val="24"/>
                <w:szCs w:val="24"/>
              </w:rPr>
              <w:t>，曲折系数</w:t>
            </w:r>
            <w:r>
              <w:rPr>
                <w:spacing w:val="-31"/>
                <w:sz w:val="24"/>
                <w:szCs w:val="24"/>
              </w:rPr>
              <w:t xml:space="preserve"> </w:t>
            </w:r>
            <w:r>
              <w:rPr>
                <w:rFonts w:ascii="Times New Roman" w:hAnsi="Times New Roman" w:eastAsia="Times New Roman" w:cs="Times New Roman"/>
                <w:spacing w:val="-4"/>
                <w:sz w:val="24"/>
                <w:szCs w:val="24"/>
              </w:rPr>
              <w:t>1.29</w:t>
            </w:r>
            <w:r>
              <w:rPr>
                <w:spacing w:val="-4"/>
                <w:sz w:val="24"/>
                <w:szCs w:val="24"/>
              </w:rPr>
              <w:t>。</w:t>
            </w:r>
            <w:r>
              <w:rPr>
                <w:spacing w:val="-2"/>
                <w:sz w:val="24"/>
                <w:szCs w:val="24"/>
              </w:rPr>
              <w:t>线路全线位于陆良县境内。</w:t>
            </w:r>
          </w:p>
          <w:p w14:paraId="7121E241">
            <w:pPr>
              <w:pStyle w:val="6"/>
              <w:spacing w:line="219" w:lineRule="auto"/>
              <w:ind w:left="586"/>
              <w:rPr>
                <w:sz w:val="24"/>
                <w:szCs w:val="24"/>
              </w:rPr>
            </w:pPr>
            <w:r>
              <w:rPr>
                <w:spacing w:val="-2"/>
                <w:sz w:val="24"/>
                <w:szCs w:val="24"/>
              </w:rPr>
              <w:t>线路路径方案比较见下表：</w:t>
            </w:r>
          </w:p>
          <w:p w14:paraId="248DD53E">
            <w:pPr>
              <w:pStyle w:val="6"/>
              <w:spacing w:before="176" w:line="215" w:lineRule="auto"/>
              <w:ind w:left="1428"/>
            </w:pPr>
            <w:r>
              <w:rPr>
                <w:b/>
                <w:bCs/>
                <w:spacing w:val="6"/>
              </w:rPr>
              <w:t>表</w:t>
            </w:r>
            <w:r>
              <w:rPr>
                <w:spacing w:val="-40"/>
              </w:rPr>
              <w:t xml:space="preserve"> </w:t>
            </w:r>
            <w:r>
              <w:rPr>
                <w:rFonts w:ascii="Times New Roman" w:hAnsi="Times New Roman" w:eastAsia="Times New Roman" w:cs="Times New Roman"/>
                <w:b/>
                <w:bCs/>
                <w:spacing w:val="6"/>
              </w:rPr>
              <w:t>2-15    110</w:t>
            </w:r>
            <w:r>
              <w:rPr>
                <w:rFonts w:ascii="Times New Roman" w:hAnsi="Times New Roman" w:eastAsia="Times New Roman" w:cs="Times New Roman"/>
                <w:b/>
                <w:bCs/>
              </w:rPr>
              <w:t>kV</w:t>
            </w:r>
            <w:r>
              <w:rPr>
                <w:rFonts w:ascii="Times New Roman" w:hAnsi="Times New Roman" w:eastAsia="Times New Roman" w:cs="Times New Roman"/>
                <w:b/>
                <w:bCs/>
                <w:spacing w:val="6"/>
              </w:rPr>
              <w:t xml:space="preserve"> </w:t>
            </w:r>
            <w:r>
              <w:rPr>
                <w:b/>
                <w:bCs/>
                <w:spacing w:val="6"/>
              </w:rPr>
              <w:t>松山变～</w:t>
            </w:r>
            <w:r>
              <w:rPr>
                <w:rFonts w:ascii="Times New Roman" w:hAnsi="Times New Roman" w:eastAsia="Times New Roman" w:cs="Times New Roman"/>
                <w:b/>
                <w:bCs/>
                <w:spacing w:val="6"/>
              </w:rPr>
              <w:t>220</w:t>
            </w:r>
            <w:r>
              <w:rPr>
                <w:rFonts w:ascii="Times New Roman" w:hAnsi="Times New Roman" w:eastAsia="Times New Roman" w:cs="Times New Roman"/>
                <w:b/>
                <w:bCs/>
              </w:rPr>
              <w:t>kV</w:t>
            </w:r>
            <w:r>
              <w:rPr>
                <w:rFonts w:ascii="Times New Roman" w:hAnsi="Times New Roman" w:eastAsia="Times New Roman" w:cs="Times New Roman"/>
                <w:b/>
                <w:bCs/>
                <w:spacing w:val="20"/>
              </w:rPr>
              <w:t xml:space="preserve"> </w:t>
            </w:r>
            <w:r>
              <w:rPr>
                <w:b/>
                <w:bCs/>
                <w:spacing w:val="6"/>
              </w:rPr>
              <w:t>芳华变线路</w:t>
            </w:r>
            <w:r>
              <w:rPr>
                <w:b/>
                <w:bCs/>
                <w:spacing w:val="5"/>
              </w:rPr>
              <w:t>路径方案比选</w:t>
            </w:r>
          </w:p>
        </w:tc>
      </w:tr>
      <w:tr w14:paraId="28214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375" w:type="dxa"/>
            <w:vMerge w:val="continue"/>
            <w:tcBorders>
              <w:top w:val="nil"/>
              <w:left w:val="single" w:color="000000" w:sz="6" w:space="0"/>
              <w:bottom w:val="nil"/>
              <w:right w:val="single" w:color="000000" w:sz="6" w:space="0"/>
            </w:tcBorders>
            <w:vAlign w:val="top"/>
          </w:tcPr>
          <w:p w14:paraId="5CB8AD7F">
            <w:pPr>
              <w:rPr>
                <w:rFonts w:ascii="Arial"/>
                <w:sz w:val="21"/>
              </w:rPr>
            </w:pPr>
          </w:p>
        </w:tc>
        <w:tc>
          <w:tcPr>
            <w:tcW w:w="115" w:type="dxa"/>
            <w:tcBorders>
              <w:top w:val="nil"/>
              <w:left w:val="single" w:color="000000" w:sz="6" w:space="0"/>
              <w:bottom w:val="nil"/>
            </w:tcBorders>
            <w:vAlign w:val="top"/>
          </w:tcPr>
          <w:p w14:paraId="285D9EB6">
            <w:pPr>
              <w:rPr>
                <w:rFonts w:ascii="Arial"/>
                <w:sz w:val="21"/>
              </w:rPr>
            </w:pPr>
          </w:p>
        </w:tc>
        <w:tc>
          <w:tcPr>
            <w:tcW w:w="439" w:type="dxa"/>
            <w:textDirection w:val="tbRlV"/>
            <w:vAlign w:val="top"/>
          </w:tcPr>
          <w:p w14:paraId="1FCBBAFD">
            <w:pPr>
              <w:pStyle w:val="6"/>
              <w:spacing w:before="125" w:line="218" w:lineRule="auto"/>
              <w:ind w:left="34"/>
            </w:pPr>
            <w:r>
              <w:rPr>
                <w:spacing w:val="8"/>
              </w:rPr>
              <w:t>序</w:t>
            </w:r>
            <w:r>
              <w:rPr>
                <w:spacing w:val="-38"/>
              </w:rPr>
              <w:t xml:space="preserve"> </w:t>
            </w:r>
            <w:r>
              <w:rPr>
                <w:spacing w:val="8"/>
              </w:rPr>
              <w:t>号</w:t>
            </w:r>
          </w:p>
        </w:tc>
        <w:tc>
          <w:tcPr>
            <w:tcW w:w="1539" w:type="dxa"/>
            <w:vAlign w:val="top"/>
          </w:tcPr>
          <w:p w14:paraId="0C09056A">
            <w:pPr>
              <w:pStyle w:val="6"/>
              <w:spacing w:before="168" w:line="228" w:lineRule="auto"/>
              <w:ind w:left="108"/>
            </w:pPr>
            <w:r>
              <w:rPr>
                <w:spacing w:val="7"/>
              </w:rPr>
              <w:t>方案内容</w:t>
            </w:r>
          </w:p>
        </w:tc>
        <w:tc>
          <w:tcPr>
            <w:tcW w:w="2963" w:type="dxa"/>
            <w:vAlign w:val="top"/>
          </w:tcPr>
          <w:p w14:paraId="3FE0614D">
            <w:pPr>
              <w:pStyle w:val="6"/>
              <w:spacing w:before="169" w:line="227" w:lineRule="auto"/>
              <w:ind w:left="543"/>
            </w:pPr>
            <w:r>
              <w:rPr>
                <w:spacing w:val="7"/>
              </w:rPr>
              <w:t>南方案（推荐方案）</w:t>
            </w:r>
          </w:p>
        </w:tc>
        <w:tc>
          <w:tcPr>
            <w:tcW w:w="2969" w:type="dxa"/>
            <w:vAlign w:val="top"/>
          </w:tcPr>
          <w:p w14:paraId="1A3175D6">
            <w:pPr>
              <w:pStyle w:val="6"/>
              <w:spacing w:before="169" w:line="228" w:lineRule="auto"/>
              <w:ind w:left="552"/>
            </w:pPr>
            <w:r>
              <w:rPr>
                <w:spacing w:val="7"/>
              </w:rPr>
              <w:t>北方案（比较方案）</w:t>
            </w:r>
          </w:p>
        </w:tc>
        <w:tc>
          <w:tcPr>
            <w:tcW w:w="124" w:type="dxa"/>
            <w:vMerge w:val="restart"/>
            <w:tcBorders>
              <w:top w:val="nil"/>
              <w:bottom w:val="nil"/>
              <w:right w:val="single" w:color="000000" w:sz="6" w:space="0"/>
            </w:tcBorders>
            <w:vAlign w:val="top"/>
          </w:tcPr>
          <w:p w14:paraId="7169D5EE">
            <w:pPr>
              <w:rPr>
                <w:rFonts w:ascii="Arial"/>
                <w:sz w:val="21"/>
              </w:rPr>
            </w:pPr>
          </w:p>
        </w:tc>
      </w:tr>
      <w:tr w14:paraId="43D96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1CA74B4D">
            <w:pPr>
              <w:rPr>
                <w:rFonts w:ascii="Arial"/>
                <w:sz w:val="21"/>
              </w:rPr>
            </w:pPr>
          </w:p>
        </w:tc>
        <w:tc>
          <w:tcPr>
            <w:tcW w:w="115" w:type="dxa"/>
            <w:tcBorders>
              <w:top w:val="nil"/>
              <w:left w:val="single" w:color="000000" w:sz="6" w:space="0"/>
              <w:bottom w:val="nil"/>
            </w:tcBorders>
            <w:vAlign w:val="top"/>
          </w:tcPr>
          <w:p w14:paraId="6A6EC6AE">
            <w:pPr>
              <w:rPr>
                <w:rFonts w:ascii="Arial"/>
                <w:sz w:val="21"/>
              </w:rPr>
            </w:pPr>
          </w:p>
        </w:tc>
        <w:tc>
          <w:tcPr>
            <w:tcW w:w="439" w:type="dxa"/>
            <w:vAlign w:val="top"/>
          </w:tcPr>
          <w:p w14:paraId="46629FE9">
            <w:pPr>
              <w:spacing w:before="209" w:line="195" w:lineRule="auto"/>
              <w:ind w:left="123"/>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539" w:type="dxa"/>
            <w:vAlign w:val="top"/>
          </w:tcPr>
          <w:p w14:paraId="4A25AFCD">
            <w:pPr>
              <w:pStyle w:val="6"/>
              <w:spacing w:before="170" w:line="228" w:lineRule="auto"/>
              <w:ind w:right="16"/>
              <w:jc w:val="right"/>
            </w:pPr>
            <w:r>
              <w:rPr>
                <w:spacing w:val="-6"/>
              </w:rPr>
              <w:t>线路长度（</w:t>
            </w:r>
            <w:r>
              <w:rPr>
                <w:rFonts w:ascii="Times New Roman" w:hAnsi="Times New Roman" w:eastAsia="Times New Roman" w:cs="Times New Roman"/>
                <w:spacing w:val="-6"/>
              </w:rPr>
              <w:t>km</w:t>
            </w:r>
            <w:r>
              <w:rPr>
                <w:spacing w:val="-6"/>
              </w:rPr>
              <w:t>）</w:t>
            </w:r>
          </w:p>
        </w:tc>
        <w:tc>
          <w:tcPr>
            <w:tcW w:w="2963" w:type="dxa"/>
            <w:vAlign w:val="top"/>
          </w:tcPr>
          <w:p w14:paraId="7F5D508F">
            <w:pPr>
              <w:pStyle w:val="6"/>
              <w:spacing w:before="35" w:line="228" w:lineRule="auto"/>
              <w:ind w:left="166"/>
              <w:rPr>
                <w:rFonts w:ascii="Times New Roman" w:hAnsi="Times New Roman" w:eastAsia="Times New Roman" w:cs="Times New Roman"/>
              </w:rPr>
            </w:pPr>
            <w:r>
              <w:rPr>
                <w:spacing w:val="2"/>
              </w:rPr>
              <w:t>线路约</w:t>
            </w:r>
            <w:r>
              <w:rPr>
                <w:spacing w:val="-19"/>
              </w:rPr>
              <w:t xml:space="preserve"> </w:t>
            </w:r>
            <w:r>
              <w:rPr>
                <w:rFonts w:ascii="Times New Roman" w:hAnsi="Times New Roman" w:eastAsia="Times New Roman" w:cs="Times New Roman"/>
                <w:spacing w:val="2"/>
              </w:rPr>
              <w:t>10.25</w:t>
            </w:r>
            <w:r>
              <w:rPr>
                <w:rFonts w:ascii="Times New Roman" w:hAnsi="Times New Roman" w:eastAsia="Times New Roman" w:cs="Times New Roman"/>
              </w:rPr>
              <w:t>km</w:t>
            </w:r>
            <w:r>
              <w:rPr>
                <w:rFonts w:ascii="Times New Roman" w:hAnsi="Times New Roman" w:eastAsia="Times New Roman" w:cs="Times New Roman"/>
                <w:spacing w:val="-21"/>
              </w:rPr>
              <w:t xml:space="preserve"> </w:t>
            </w:r>
            <w:r>
              <w:rPr>
                <w:spacing w:val="2"/>
              </w:rPr>
              <w:t>，全线</w:t>
            </w:r>
            <w:r>
              <w:rPr>
                <w:spacing w:val="-23"/>
              </w:rPr>
              <w:t xml:space="preserve"> </w:t>
            </w:r>
            <w:r>
              <w:rPr>
                <w:rFonts w:ascii="Times New Roman" w:hAnsi="Times New Roman" w:eastAsia="Times New Roman" w:cs="Times New Roman"/>
                <w:spacing w:val="2"/>
              </w:rPr>
              <w:t>10</w:t>
            </w:r>
            <w:r>
              <w:rPr>
                <w:rFonts w:ascii="Times New Roman" w:hAnsi="Times New Roman" w:eastAsia="Times New Roman" w:cs="Times New Roman"/>
              </w:rPr>
              <w:t>mm</w:t>
            </w:r>
          </w:p>
          <w:p w14:paraId="47939BB0">
            <w:pPr>
              <w:pStyle w:val="6"/>
              <w:spacing w:before="24" w:line="214" w:lineRule="auto"/>
              <w:ind w:left="1275"/>
            </w:pPr>
            <w:r>
              <w:rPr>
                <w:spacing w:val="4"/>
              </w:rPr>
              <w:t>冰区</w:t>
            </w:r>
          </w:p>
        </w:tc>
        <w:tc>
          <w:tcPr>
            <w:tcW w:w="2969" w:type="dxa"/>
            <w:vAlign w:val="top"/>
          </w:tcPr>
          <w:p w14:paraId="4EFE1DA5">
            <w:pPr>
              <w:pStyle w:val="6"/>
              <w:spacing w:before="35" w:line="228" w:lineRule="auto"/>
              <w:ind w:left="175"/>
              <w:rPr>
                <w:rFonts w:ascii="Times New Roman" w:hAnsi="Times New Roman" w:eastAsia="Times New Roman" w:cs="Times New Roman"/>
              </w:rPr>
            </w:pPr>
            <w:r>
              <w:rPr>
                <w:spacing w:val="2"/>
              </w:rPr>
              <w:t>线路约</w:t>
            </w:r>
            <w:r>
              <w:rPr>
                <w:spacing w:val="-19"/>
              </w:rPr>
              <w:t xml:space="preserve"> </w:t>
            </w:r>
            <w:r>
              <w:rPr>
                <w:rFonts w:ascii="Times New Roman" w:hAnsi="Times New Roman" w:eastAsia="Times New Roman" w:cs="Times New Roman"/>
                <w:spacing w:val="2"/>
              </w:rPr>
              <w:t>10.54</w:t>
            </w:r>
            <w:r>
              <w:rPr>
                <w:rFonts w:ascii="Times New Roman" w:hAnsi="Times New Roman" w:eastAsia="Times New Roman" w:cs="Times New Roman"/>
              </w:rPr>
              <w:t>km</w:t>
            </w:r>
            <w:r>
              <w:rPr>
                <w:rFonts w:ascii="Times New Roman" w:hAnsi="Times New Roman" w:eastAsia="Times New Roman" w:cs="Times New Roman"/>
                <w:spacing w:val="-21"/>
              </w:rPr>
              <w:t xml:space="preserve"> </w:t>
            </w:r>
            <w:r>
              <w:rPr>
                <w:spacing w:val="2"/>
              </w:rPr>
              <w:t>，全线</w:t>
            </w:r>
            <w:r>
              <w:rPr>
                <w:spacing w:val="-23"/>
              </w:rPr>
              <w:t xml:space="preserve"> </w:t>
            </w:r>
            <w:r>
              <w:rPr>
                <w:rFonts w:ascii="Times New Roman" w:hAnsi="Times New Roman" w:eastAsia="Times New Roman" w:cs="Times New Roman"/>
                <w:spacing w:val="2"/>
              </w:rPr>
              <w:t>10</w:t>
            </w:r>
            <w:r>
              <w:rPr>
                <w:rFonts w:ascii="Times New Roman" w:hAnsi="Times New Roman" w:eastAsia="Times New Roman" w:cs="Times New Roman"/>
              </w:rPr>
              <w:t>mm</w:t>
            </w:r>
          </w:p>
          <w:p w14:paraId="1A6F988D">
            <w:pPr>
              <w:pStyle w:val="6"/>
              <w:spacing w:before="24" w:line="214" w:lineRule="auto"/>
              <w:ind w:left="1283"/>
            </w:pPr>
            <w:r>
              <w:rPr>
                <w:spacing w:val="4"/>
              </w:rPr>
              <w:t>冰区</w:t>
            </w:r>
          </w:p>
        </w:tc>
        <w:tc>
          <w:tcPr>
            <w:tcW w:w="124" w:type="dxa"/>
            <w:vMerge w:val="continue"/>
            <w:tcBorders>
              <w:top w:val="nil"/>
              <w:bottom w:val="nil"/>
              <w:right w:val="single" w:color="000000" w:sz="6" w:space="0"/>
            </w:tcBorders>
            <w:vAlign w:val="top"/>
          </w:tcPr>
          <w:p w14:paraId="331B2589">
            <w:pPr>
              <w:rPr>
                <w:rFonts w:ascii="Arial"/>
                <w:sz w:val="21"/>
              </w:rPr>
            </w:pPr>
          </w:p>
        </w:tc>
      </w:tr>
      <w:tr w14:paraId="73548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375" w:type="dxa"/>
            <w:vMerge w:val="continue"/>
            <w:tcBorders>
              <w:top w:val="nil"/>
              <w:left w:val="single" w:color="000000" w:sz="6" w:space="0"/>
              <w:bottom w:val="nil"/>
              <w:right w:val="single" w:color="000000" w:sz="6" w:space="0"/>
            </w:tcBorders>
            <w:vAlign w:val="top"/>
          </w:tcPr>
          <w:p w14:paraId="69897668">
            <w:pPr>
              <w:rPr>
                <w:rFonts w:ascii="Arial"/>
                <w:sz w:val="21"/>
              </w:rPr>
            </w:pPr>
          </w:p>
        </w:tc>
        <w:tc>
          <w:tcPr>
            <w:tcW w:w="115" w:type="dxa"/>
            <w:tcBorders>
              <w:top w:val="nil"/>
              <w:left w:val="single" w:color="000000" w:sz="6" w:space="0"/>
              <w:bottom w:val="nil"/>
            </w:tcBorders>
            <w:vAlign w:val="top"/>
          </w:tcPr>
          <w:p w14:paraId="0050BDEE">
            <w:pPr>
              <w:rPr>
                <w:rFonts w:ascii="Arial"/>
                <w:sz w:val="21"/>
              </w:rPr>
            </w:pPr>
          </w:p>
        </w:tc>
        <w:tc>
          <w:tcPr>
            <w:tcW w:w="439" w:type="dxa"/>
            <w:vAlign w:val="top"/>
          </w:tcPr>
          <w:p w14:paraId="0E6F7B5A">
            <w:pPr>
              <w:spacing w:before="99" w:line="195" w:lineRule="auto"/>
              <w:ind w:left="103"/>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539" w:type="dxa"/>
            <w:vAlign w:val="top"/>
          </w:tcPr>
          <w:p w14:paraId="4EED2721">
            <w:pPr>
              <w:pStyle w:val="6"/>
              <w:spacing w:before="60" w:line="228" w:lineRule="auto"/>
              <w:ind w:left="131"/>
            </w:pPr>
            <w:r>
              <w:rPr>
                <w:spacing w:val="1"/>
              </w:rPr>
              <w:t>曲折系数</w:t>
            </w:r>
          </w:p>
        </w:tc>
        <w:tc>
          <w:tcPr>
            <w:tcW w:w="2963" w:type="dxa"/>
            <w:vAlign w:val="top"/>
          </w:tcPr>
          <w:p w14:paraId="74512895">
            <w:pPr>
              <w:spacing w:before="98" w:line="195" w:lineRule="auto"/>
              <w:ind w:left="131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1.24</w:t>
            </w:r>
          </w:p>
        </w:tc>
        <w:tc>
          <w:tcPr>
            <w:tcW w:w="2969" w:type="dxa"/>
            <w:vAlign w:val="top"/>
          </w:tcPr>
          <w:p w14:paraId="70AAB134">
            <w:pPr>
              <w:spacing w:before="98" w:line="195" w:lineRule="auto"/>
              <w:ind w:left="13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1.29</w:t>
            </w:r>
          </w:p>
        </w:tc>
        <w:tc>
          <w:tcPr>
            <w:tcW w:w="124" w:type="dxa"/>
            <w:vMerge w:val="continue"/>
            <w:tcBorders>
              <w:top w:val="nil"/>
              <w:bottom w:val="nil"/>
              <w:right w:val="single" w:color="000000" w:sz="6" w:space="0"/>
            </w:tcBorders>
            <w:vAlign w:val="top"/>
          </w:tcPr>
          <w:p w14:paraId="05F8A227">
            <w:pPr>
              <w:rPr>
                <w:rFonts w:ascii="Arial"/>
                <w:sz w:val="21"/>
              </w:rPr>
            </w:pPr>
          </w:p>
        </w:tc>
      </w:tr>
      <w:tr w14:paraId="2C9F2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375" w:type="dxa"/>
            <w:vMerge w:val="continue"/>
            <w:tcBorders>
              <w:top w:val="nil"/>
              <w:left w:val="single" w:color="000000" w:sz="6" w:space="0"/>
              <w:bottom w:val="nil"/>
              <w:right w:val="single" w:color="000000" w:sz="6" w:space="0"/>
            </w:tcBorders>
            <w:vAlign w:val="top"/>
          </w:tcPr>
          <w:p w14:paraId="48770F89">
            <w:pPr>
              <w:rPr>
                <w:rFonts w:ascii="Arial"/>
                <w:sz w:val="21"/>
              </w:rPr>
            </w:pPr>
          </w:p>
        </w:tc>
        <w:tc>
          <w:tcPr>
            <w:tcW w:w="115" w:type="dxa"/>
            <w:tcBorders>
              <w:top w:val="nil"/>
              <w:left w:val="single" w:color="000000" w:sz="6" w:space="0"/>
              <w:bottom w:val="nil"/>
            </w:tcBorders>
            <w:vAlign w:val="top"/>
          </w:tcPr>
          <w:p w14:paraId="19A24109">
            <w:pPr>
              <w:rPr>
                <w:rFonts w:ascii="Arial"/>
                <w:sz w:val="21"/>
              </w:rPr>
            </w:pPr>
          </w:p>
        </w:tc>
        <w:tc>
          <w:tcPr>
            <w:tcW w:w="439" w:type="dxa"/>
            <w:vAlign w:val="top"/>
          </w:tcPr>
          <w:p w14:paraId="3A92781B">
            <w:pPr>
              <w:spacing w:before="99" w:line="195" w:lineRule="auto"/>
              <w:ind w:left="107"/>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539" w:type="dxa"/>
            <w:vAlign w:val="top"/>
          </w:tcPr>
          <w:p w14:paraId="78E451B3">
            <w:pPr>
              <w:pStyle w:val="6"/>
              <w:spacing w:before="62" w:line="228" w:lineRule="auto"/>
              <w:ind w:left="107"/>
            </w:pPr>
            <w:r>
              <w:rPr>
                <w:spacing w:val="7"/>
              </w:rPr>
              <w:t>地形概述</w:t>
            </w:r>
          </w:p>
        </w:tc>
        <w:tc>
          <w:tcPr>
            <w:tcW w:w="2963" w:type="dxa"/>
            <w:vAlign w:val="top"/>
          </w:tcPr>
          <w:p w14:paraId="172DFF82">
            <w:pPr>
              <w:pStyle w:val="6"/>
              <w:spacing w:before="63" w:line="228" w:lineRule="auto"/>
              <w:ind w:left="523"/>
              <w:rPr>
                <w:rFonts w:ascii="Times New Roman" w:hAnsi="Times New Roman" w:eastAsia="Times New Roman" w:cs="Times New Roman"/>
              </w:rPr>
            </w:pPr>
            <w:r>
              <w:rPr>
                <w:spacing w:val="3"/>
              </w:rPr>
              <w:t>平地</w:t>
            </w:r>
            <w:r>
              <w:rPr>
                <w:spacing w:val="-35"/>
              </w:rPr>
              <w:t xml:space="preserve"> </w:t>
            </w:r>
            <w:r>
              <w:rPr>
                <w:rFonts w:ascii="Times New Roman" w:hAnsi="Times New Roman" w:eastAsia="Times New Roman" w:cs="Times New Roman"/>
                <w:spacing w:val="3"/>
              </w:rPr>
              <w:t>80%</w:t>
            </w:r>
            <w:r>
              <w:rPr>
                <w:rFonts w:ascii="Times New Roman" w:hAnsi="Times New Roman" w:eastAsia="Times New Roman" w:cs="Times New Roman"/>
                <w:spacing w:val="-26"/>
              </w:rPr>
              <w:t xml:space="preserve"> </w:t>
            </w:r>
            <w:r>
              <w:rPr>
                <w:spacing w:val="3"/>
              </w:rPr>
              <w:t>、丘陵</w:t>
            </w:r>
            <w:r>
              <w:rPr>
                <w:spacing w:val="-40"/>
              </w:rPr>
              <w:t xml:space="preserve"> </w:t>
            </w:r>
            <w:r>
              <w:rPr>
                <w:rFonts w:ascii="Times New Roman" w:hAnsi="Times New Roman" w:eastAsia="Times New Roman" w:cs="Times New Roman"/>
                <w:spacing w:val="3"/>
              </w:rPr>
              <w:t>20%</w:t>
            </w:r>
          </w:p>
        </w:tc>
        <w:tc>
          <w:tcPr>
            <w:tcW w:w="2969" w:type="dxa"/>
            <w:vAlign w:val="top"/>
          </w:tcPr>
          <w:p w14:paraId="1A0B6F66">
            <w:pPr>
              <w:pStyle w:val="6"/>
              <w:spacing w:before="63" w:line="228" w:lineRule="auto"/>
              <w:ind w:left="531"/>
              <w:rPr>
                <w:rFonts w:ascii="Times New Roman" w:hAnsi="Times New Roman" w:eastAsia="Times New Roman" w:cs="Times New Roman"/>
              </w:rPr>
            </w:pPr>
            <w:r>
              <w:rPr>
                <w:spacing w:val="3"/>
              </w:rPr>
              <w:t>平地</w:t>
            </w:r>
            <w:r>
              <w:rPr>
                <w:spacing w:val="-35"/>
              </w:rPr>
              <w:t xml:space="preserve"> </w:t>
            </w:r>
            <w:r>
              <w:rPr>
                <w:rFonts w:ascii="Times New Roman" w:hAnsi="Times New Roman" w:eastAsia="Times New Roman" w:cs="Times New Roman"/>
                <w:spacing w:val="3"/>
              </w:rPr>
              <w:t>80%</w:t>
            </w:r>
            <w:r>
              <w:rPr>
                <w:rFonts w:ascii="Times New Roman" w:hAnsi="Times New Roman" w:eastAsia="Times New Roman" w:cs="Times New Roman"/>
                <w:spacing w:val="-26"/>
              </w:rPr>
              <w:t xml:space="preserve"> </w:t>
            </w:r>
            <w:r>
              <w:rPr>
                <w:spacing w:val="3"/>
              </w:rPr>
              <w:t>、丘陵</w:t>
            </w:r>
            <w:r>
              <w:rPr>
                <w:spacing w:val="-40"/>
              </w:rPr>
              <w:t xml:space="preserve"> </w:t>
            </w:r>
            <w:r>
              <w:rPr>
                <w:rFonts w:ascii="Times New Roman" w:hAnsi="Times New Roman" w:eastAsia="Times New Roman" w:cs="Times New Roman"/>
                <w:spacing w:val="3"/>
              </w:rPr>
              <w:t>20%</w:t>
            </w:r>
          </w:p>
        </w:tc>
        <w:tc>
          <w:tcPr>
            <w:tcW w:w="124" w:type="dxa"/>
            <w:vMerge w:val="continue"/>
            <w:tcBorders>
              <w:top w:val="nil"/>
              <w:bottom w:val="nil"/>
              <w:right w:val="single" w:color="000000" w:sz="6" w:space="0"/>
            </w:tcBorders>
            <w:vAlign w:val="top"/>
          </w:tcPr>
          <w:p w14:paraId="31F4A99F">
            <w:pPr>
              <w:rPr>
                <w:rFonts w:ascii="Arial"/>
                <w:sz w:val="21"/>
              </w:rPr>
            </w:pPr>
          </w:p>
        </w:tc>
      </w:tr>
      <w:tr w14:paraId="3C6E3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375" w:type="dxa"/>
            <w:vMerge w:val="continue"/>
            <w:tcBorders>
              <w:top w:val="nil"/>
              <w:left w:val="single" w:color="000000" w:sz="6" w:space="0"/>
              <w:bottom w:val="nil"/>
              <w:right w:val="single" w:color="000000" w:sz="6" w:space="0"/>
            </w:tcBorders>
            <w:vAlign w:val="top"/>
          </w:tcPr>
          <w:p w14:paraId="5333D1CB">
            <w:pPr>
              <w:rPr>
                <w:rFonts w:ascii="Arial"/>
                <w:sz w:val="21"/>
              </w:rPr>
            </w:pPr>
          </w:p>
        </w:tc>
        <w:tc>
          <w:tcPr>
            <w:tcW w:w="115" w:type="dxa"/>
            <w:tcBorders>
              <w:top w:val="nil"/>
              <w:left w:val="single" w:color="000000" w:sz="6" w:space="0"/>
              <w:bottom w:val="nil"/>
            </w:tcBorders>
            <w:vAlign w:val="top"/>
          </w:tcPr>
          <w:p w14:paraId="514C7AD1">
            <w:pPr>
              <w:rPr>
                <w:rFonts w:ascii="Arial"/>
                <w:sz w:val="21"/>
              </w:rPr>
            </w:pPr>
          </w:p>
        </w:tc>
        <w:tc>
          <w:tcPr>
            <w:tcW w:w="439" w:type="dxa"/>
            <w:vAlign w:val="top"/>
          </w:tcPr>
          <w:p w14:paraId="5903A3FE">
            <w:pPr>
              <w:spacing w:before="99" w:line="195" w:lineRule="auto"/>
              <w:ind w:left="10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539" w:type="dxa"/>
            <w:vAlign w:val="top"/>
          </w:tcPr>
          <w:p w14:paraId="4E6B6DC3">
            <w:pPr>
              <w:pStyle w:val="6"/>
              <w:spacing w:before="63" w:line="228" w:lineRule="auto"/>
              <w:ind w:left="106"/>
            </w:pPr>
            <w:r>
              <w:rPr>
                <w:spacing w:val="5"/>
              </w:rPr>
              <w:t>海拔</w:t>
            </w:r>
          </w:p>
        </w:tc>
        <w:tc>
          <w:tcPr>
            <w:tcW w:w="2963" w:type="dxa"/>
            <w:vAlign w:val="top"/>
          </w:tcPr>
          <w:p w14:paraId="59F97D74">
            <w:pPr>
              <w:spacing w:before="99" w:line="195" w:lineRule="auto"/>
              <w:ind w:left="943"/>
              <w:rPr>
                <w:rFonts w:ascii="Times New Roman" w:hAnsi="Times New Roman" w:eastAsia="Times New Roman" w:cs="Times New Roman"/>
                <w:sz w:val="20"/>
                <w:szCs w:val="20"/>
              </w:rPr>
            </w:pPr>
            <w:r>
              <w:rPr>
                <w:rFonts w:ascii="Times New Roman" w:hAnsi="Times New Roman" w:eastAsia="Times New Roman" w:cs="Times New Roman"/>
                <w:sz w:val="20"/>
                <w:szCs w:val="20"/>
              </w:rPr>
              <w:t>1860~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1915m</w:t>
            </w:r>
          </w:p>
        </w:tc>
        <w:tc>
          <w:tcPr>
            <w:tcW w:w="2969" w:type="dxa"/>
            <w:vAlign w:val="top"/>
          </w:tcPr>
          <w:p w14:paraId="7769EAAE">
            <w:pPr>
              <w:spacing w:before="99" w:line="195" w:lineRule="auto"/>
              <w:ind w:left="952"/>
              <w:rPr>
                <w:rFonts w:ascii="Times New Roman" w:hAnsi="Times New Roman" w:eastAsia="Times New Roman" w:cs="Times New Roman"/>
                <w:sz w:val="20"/>
                <w:szCs w:val="20"/>
              </w:rPr>
            </w:pPr>
            <w:r>
              <w:rPr>
                <w:rFonts w:ascii="Times New Roman" w:hAnsi="Times New Roman" w:eastAsia="Times New Roman" w:cs="Times New Roman"/>
                <w:sz w:val="20"/>
                <w:szCs w:val="20"/>
              </w:rPr>
              <w:t>1860~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1915m</w:t>
            </w:r>
          </w:p>
        </w:tc>
        <w:tc>
          <w:tcPr>
            <w:tcW w:w="124" w:type="dxa"/>
            <w:vMerge w:val="continue"/>
            <w:tcBorders>
              <w:top w:val="nil"/>
              <w:bottom w:val="nil"/>
              <w:right w:val="single" w:color="000000" w:sz="6" w:space="0"/>
            </w:tcBorders>
            <w:vAlign w:val="top"/>
          </w:tcPr>
          <w:p w14:paraId="0357D496">
            <w:pPr>
              <w:rPr>
                <w:rFonts w:ascii="Arial"/>
                <w:sz w:val="21"/>
              </w:rPr>
            </w:pPr>
          </w:p>
        </w:tc>
      </w:tr>
      <w:tr w14:paraId="7918B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17709DD9">
            <w:pPr>
              <w:rPr>
                <w:rFonts w:ascii="Arial"/>
                <w:sz w:val="21"/>
              </w:rPr>
            </w:pPr>
          </w:p>
        </w:tc>
        <w:tc>
          <w:tcPr>
            <w:tcW w:w="115" w:type="dxa"/>
            <w:tcBorders>
              <w:top w:val="nil"/>
              <w:left w:val="single" w:color="000000" w:sz="6" w:space="0"/>
              <w:bottom w:val="nil"/>
            </w:tcBorders>
            <w:vAlign w:val="top"/>
          </w:tcPr>
          <w:p w14:paraId="7F076F1A">
            <w:pPr>
              <w:rPr>
                <w:rFonts w:ascii="Arial"/>
                <w:sz w:val="21"/>
              </w:rPr>
            </w:pPr>
          </w:p>
        </w:tc>
        <w:tc>
          <w:tcPr>
            <w:tcW w:w="439" w:type="dxa"/>
            <w:vAlign w:val="top"/>
          </w:tcPr>
          <w:p w14:paraId="132062F1">
            <w:pPr>
              <w:spacing w:before="214" w:line="192" w:lineRule="auto"/>
              <w:ind w:left="109"/>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539" w:type="dxa"/>
            <w:vAlign w:val="top"/>
          </w:tcPr>
          <w:p w14:paraId="01BC65C9">
            <w:pPr>
              <w:pStyle w:val="6"/>
              <w:spacing w:before="175" w:line="228" w:lineRule="auto"/>
              <w:ind w:left="107"/>
            </w:pPr>
            <w:r>
              <w:rPr>
                <w:spacing w:val="7"/>
              </w:rPr>
              <w:t>地质情况</w:t>
            </w:r>
          </w:p>
        </w:tc>
        <w:tc>
          <w:tcPr>
            <w:tcW w:w="2963" w:type="dxa"/>
            <w:vAlign w:val="top"/>
          </w:tcPr>
          <w:p w14:paraId="5FC61E5A">
            <w:pPr>
              <w:pStyle w:val="6"/>
              <w:spacing w:before="38" w:line="231" w:lineRule="auto"/>
              <w:ind w:left="243" w:right="116" w:hanging="120"/>
            </w:pPr>
            <w:r>
              <w:rPr>
                <w:spacing w:val="9"/>
              </w:rPr>
              <w:t>线路路径避让已经办理开采权</w:t>
            </w:r>
            <w:r>
              <w:rPr>
                <w:spacing w:val="7"/>
              </w:rPr>
              <w:t>的矿产区域，地质情况较好</w:t>
            </w:r>
          </w:p>
        </w:tc>
        <w:tc>
          <w:tcPr>
            <w:tcW w:w="2969" w:type="dxa"/>
            <w:vAlign w:val="top"/>
          </w:tcPr>
          <w:p w14:paraId="55F4F5D6">
            <w:pPr>
              <w:pStyle w:val="6"/>
              <w:spacing w:before="38" w:line="231" w:lineRule="auto"/>
              <w:ind w:left="251" w:right="113" w:hanging="120"/>
            </w:pPr>
            <w:r>
              <w:rPr>
                <w:spacing w:val="9"/>
              </w:rPr>
              <w:t>线路路径避让已经办理开采权</w:t>
            </w:r>
            <w:r>
              <w:rPr>
                <w:spacing w:val="7"/>
              </w:rPr>
              <w:t>的矿产区域，地质情况较好</w:t>
            </w:r>
          </w:p>
        </w:tc>
        <w:tc>
          <w:tcPr>
            <w:tcW w:w="124" w:type="dxa"/>
            <w:vMerge w:val="continue"/>
            <w:tcBorders>
              <w:top w:val="nil"/>
              <w:bottom w:val="nil"/>
              <w:right w:val="single" w:color="000000" w:sz="6" w:space="0"/>
            </w:tcBorders>
            <w:vAlign w:val="top"/>
          </w:tcPr>
          <w:p w14:paraId="786A67AF">
            <w:pPr>
              <w:rPr>
                <w:rFonts w:ascii="Arial"/>
                <w:sz w:val="21"/>
              </w:rPr>
            </w:pPr>
          </w:p>
        </w:tc>
      </w:tr>
      <w:tr w14:paraId="6F7620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375" w:type="dxa"/>
            <w:vMerge w:val="continue"/>
            <w:tcBorders>
              <w:top w:val="nil"/>
              <w:left w:val="single" w:color="000000" w:sz="6" w:space="0"/>
              <w:bottom w:val="nil"/>
              <w:right w:val="single" w:color="000000" w:sz="6" w:space="0"/>
            </w:tcBorders>
            <w:vAlign w:val="top"/>
          </w:tcPr>
          <w:p w14:paraId="40FCCBCB">
            <w:pPr>
              <w:rPr>
                <w:rFonts w:ascii="Arial"/>
                <w:sz w:val="21"/>
              </w:rPr>
            </w:pPr>
          </w:p>
        </w:tc>
        <w:tc>
          <w:tcPr>
            <w:tcW w:w="115" w:type="dxa"/>
            <w:tcBorders>
              <w:top w:val="nil"/>
              <w:left w:val="single" w:color="000000" w:sz="6" w:space="0"/>
              <w:bottom w:val="nil"/>
            </w:tcBorders>
            <w:vAlign w:val="top"/>
          </w:tcPr>
          <w:p w14:paraId="6E0E3B2E">
            <w:pPr>
              <w:rPr>
                <w:rFonts w:ascii="Arial"/>
                <w:sz w:val="21"/>
              </w:rPr>
            </w:pPr>
          </w:p>
        </w:tc>
        <w:tc>
          <w:tcPr>
            <w:tcW w:w="439" w:type="dxa"/>
            <w:vAlign w:val="top"/>
          </w:tcPr>
          <w:p w14:paraId="087CC10D">
            <w:pPr>
              <w:spacing w:line="286" w:lineRule="auto"/>
              <w:rPr>
                <w:rFonts w:ascii="Arial"/>
                <w:sz w:val="21"/>
              </w:rPr>
            </w:pPr>
          </w:p>
          <w:p w14:paraId="42B68F1E">
            <w:pPr>
              <w:spacing w:before="58" w:line="195" w:lineRule="auto"/>
              <w:ind w:left="107"/>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539" w:type="dxa"/>
            <w:vAlign w:val="top"/>
          </w:tcPr>
          <w:p w14:paraId="2EECCE71">
            <w:pPr>
              <w:spacing w:line="243" w:lineRule="auto"/>
              <w:rPr>
                <w:rFonts w:ascii="Arial"/>
                <w:sz w:val="21"/>
              </w:rPr>
            </w:pPr>
          </w:p>
          <w:p w14:paraId="2EC8FDA0">
            <w:pPr>
              <w:pStyle w:val="6"/>
              <w:spacing w:before="65" w:line="229" w:lineRule="auto"/>
              <w:ind w:left="111"/>
            </w:pPr>
            <w:r>
              <w:rPr>
                <w:spacing w:val="6"/>
              </w:rPr>
              <w:t>交叉跨越</w:t>
            </w:r>
          </w:p>
        </w:tc>
        <w:tc>
          <w:tcPr>
            <w:tcW w:w="2963" w:type="dxa"/>
            <w:vAlign w:val="top"/>
          </w:tcPr>
          <w:p w14:paraId="5BF9F78E">
            <w:pPr>
              <w:pStyle w:val="6"/>
              <w:spacing w:before="37" w:line="238" w:lineRule="auto"/>
              <w:ind w:left="110" w:right="128"/>
              <w:jc w:val="both"/>
            </w:pPr>
            <w:r>
              <w:rPr>
                <w:spacing w:val="3"/>
              </w:rPr>
              <w:t>跨越</w:t>
            </w:r>
            <w:r>
              <w:rPr>
                <w:spacing w:val="-16"/>
              </w:rPr>
              <w:t xml:space="preserve"> </w:t>
            </w:r>
            <w:r>
              <w:rPr>
                <w:rFonts w:ascii="Times New Roman" w:hAnsi="Times New Roman" w:eastAsia="Times New Roman" w:cs="Times New Roman"/>
                <w:spacing w:val="3"/>
              </w:rPr>
              <w:t>1</w:t>
            </w:r>
            <w:r>
              <w:rPr>
                <w:rFonts w:ascii="Times New Roman" w:hAnsi="Times New Roman" w:eastAsia="Times New Roman" w:cs="Times New Roman"/>
                <w:spacing w:val="18"/>
              </w:rPr>
              <w:t xml:space="preserve"> </w:t>
            </w:r>
            <w:r>
              <w:rPr>
                <w:spacing w:val="3"/>
              </w:rPr>
              <w:t>次</w:t>
            </w:r>
            <w:r>
              <w:rPr>
                <w:spacing w:val="-39"/>
              </w:rPr>
              <w:t xml:space="preserve"> </w:t>
            </w:r>
            <w:r>
              <w:rPr>
                <w:rFonts w:ascii="Times New Roman" w:hAnsi="Times New Roman" w:eastAsia="Times New Roman" w:cs="Times New Roman"/>
                <w:spacing w:val="3"/>
              </w:rPr>
              <w:t>35</w:t>
            </w:r>
            <w:r>
              <w:rPr>
                <w:rFonts w:ascii="Times New Roman" w:hAnsi="Times New Roman" w:eastAsia="Times New Roman" w:cs="Times New Roman"/>
              </w:rPr>
              <w:t>kV</w:t>
            </w:r>
            <w:r>
              <w:rPr>
                <w:rFonts w:ascii="Times New Roman" w:hAnsi="Times New Roman" w:eastAsia="Times New Roman" w:cs="Times New Roman"/>
                <w:spacing w:val="16"/>
              </w:rPr>
              <w:t xml:space="preserve"> </w:t>
            </w:r>
            <w:r>
              <w:rPr>
                <w:spacing w:val="3"/>
              </w:rPr>
              <w:t>线路；跨越高</w:t>
            </w:r>
            <w:r>
              <w:rPr>
                <w:spacing w:val="2"/>
              </w:rPr>
              <w:t>速公路</w:t>
            </w:r>
            <w:r>
              <w:rPr>
                <w:spacing w:val="-21"/>
              </w:rPr>
              <w:t xml:space="preserve"> </w:t>
            </w:r>
            <w:r>
              <w:rPr>
                <w:rFonts w:ascii="Times New Roman" w:hAnsi="Times New Roman" w:eastAsia="Times New Roman" w:cs="Times New Roman"/>
                <w:spacing w:val="2"/>
              </w:rPr>
              <w:t>1</w:t>
            </w:r>
            <w:r>
              <w:rPr>
                <w:rFonts w:ascii="Times New Roman" w:hAnsi="Times New Roman" w:eastAsia="Times New Roman" w:cs="Times New Roman"/>
                <w:spacing w:val="18"/>
                <w:w w:val="101"/>
              </w:rPr>
              <w:t xml:space="preserve"> </w:t>
            </w:r>
            <w:r>
              <w:rPr>
                <w:spacing w:val="2"/>
              </w:rPr>
              <w:t>次，国道</w:t>
            </w:r>
            <w:r>
              <w:rPr>
                <w:spacing w:val="-23"/>
              </w:rPr>
              <w:t xml:space="preserve"> </w:t>
            </w:r>
            <w:r>
              <w:rPr>
                <w:rFonts w:ascii="Times New Roman" w:hAnsi="Times New Roman" w:eastAsia="Times New Roman" w:cs="Times New Roman"/>
                <w:spacing w:val="2"/>
              </w:rPr>
              <w:t>1</w:t>
            </w:r>
            <w:r>
              <w:rPr>
                <w:rFonts w:ascii="Times New Roman" w:hAnsi="Times New Roman" w:eastAsia="Times New Roman" w:cs="Times New Roman"/>
                <w:spacing w:val="17"/>
                <w:w w:val="101"/>
              </w:rPr>
              <w:t xml:space="preserve"> </w:t>
            </w:r>
            <w:r>
              <w:rPr>
                <w:spacing w:val="2"/>
              </w:rPr>
              <w:t>次，乡村</w:t>
            </w:r>
            <w:r>
              <w:rPr>
                <w:spacing w:val="6"/>
              </w:rPr>
              <w:t>道路若干次；</w:t>
            </w:r>
          </w:p>
        </w:tc>
        <w:tc>
          <w:tcPr>
            <w:tcW w:w="2969" w:type="dxa"/>
            <w:vAlign w:val="top"/>
          </w:tcPr>
          <w:p w14:paraId="14F32DA1">
            <w:pPr>
              <w:pStyle w:val="6"/>
              <w:spacing w:before="37" w:line="238" w:lineRule="auto"/>
              <w:ind w:left="114" w:right="128"/>
              <w:jc w:val="both"/>
            </w:pPr>
            <w:r>
              <w:rPr>
                <w:spacing w:val="4"/>
              </w:rPr>
              <w:t>跨越</w:t>
            </w:r>
            <w:r>
              <w:rPr>
                <w:spacing w:val="-16"/>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18"/>
              </w:rPr>
              <w:t xml:space="preserve"> </w:t>
            </w:r>
            <w:r>
              <w:rPr>
                <w:spacing w:val="4"/>
              </w:rPr>
              <w:t>次</w:t>
            </w:r>
            <w:r>
              <w:rPr>
                <w:spacing w:val="-39"/>
              </w:rPr>
              <w:t xml:space="preserve"> </w:t>
            </w:r>
            <w:r>
              <w:rPr>
                <w:rFonts w:ascii="Times New Roman" w:hAnsi="Times New Roman" w:eastAsia="Times New Roman" w:cs="Times New Roman"/>
                <w:spacing w:val="4"/>
              </w:rPr>
              <w:t>35</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线路；跨越高</w:t>
            </w:r>
            <w:r>
              <w:rPr>
                <w:spacing w:val="2"/>
              </w:rPr>
              <w:t>速公路</w:t>
            </w:r>
            <w:r>
              <w:rPr>
                <w:spacing w:val="-21"/>
              </w:rPr>
              <w:t xml:space="preserve"> </w:t>
            </w:r>
            <w:r>
              <w:rPr>
                <w:rFonts w:ascii="Times New Roman" w:hAnsi="Times New Roman" w:eastAsia="Times New Roman" w:cs="Times New Roman"/>
                <w:spacing w:val="2"/>
              </w:rPr>
              <w:t>1</w:t>
            </w:r>
            <w:r>
              <w:rPr>
                <w:rFonts w:ascii="Times New Roman" w:hAnsi="Times New Roman" w:eastAsia="Times New Roman" w:cs="Times New Roman"/>
                <w:spacing w:val="18"/>
                <w:w w:val="101"/>
              </w:rPr>
              <w:t xml:space="preserve"> </w:t>
            </w:r>
            <w:r>
              <w:rPr>
                <w:spacing w:val="2"/>
              </w:rPr>
              <w:t>次，国道</w:t>
            </w:r>
            <w:r>
              <w:rPr>
                <w:spacing w:val="-21"/>
              </w:rPr>
              <w:t xml:space="preserve"> </w:t>
            </w:r>
            <w:r>
              <w:rPr>
                <w:rFonts w:ascii="Times New Roman" w:hAnsi="Times New Roman" w:eastAsia="Times New Roman" w:cs="Times New Roman"/>
                <w:spacing w:val="2"/>
              </w:rPr>
              <w:t>1</w:t>
            </w:r>
            <w:r>
              <w:rPr>
                <w:rFonts w:ascii="Times New Roman" w:hAnsi="Times New Roman" w:eastAsia="Times New Roman" w:cs="Times New Roman"/>
                <w:spacing w:val="18"/>
              </w:rPr>
              <w:t xml:space="preserve"> </w:t>
            </w:r>
            <w:r>
              <w:rPr>
                <w:spacing w:val="2"/>
              </w:rPr>
              <w:t>次，乡村</w:t>
            </w:r>
            <w:r>
              <w:rPr>
                <w:spacing w:val="6"/>
              </w:rPr>
              <w:t>道路若干次；</w:t>
            </w:r>
          </w:p>
        </w:tc>
        <w:tc>
          <w:tcPr>
            <w:tcW w:w="124" w:type="dxa"/>
            <w:vMerge w:val="continue"/>
            <w:tcBorders>
              <w:top w:val="nil"/>
              <w:bottom w:val="nil"/>
              <w:right w:val="single" w:color="000000" w:sz="6" w:space="0"/>
            </w:tcBorders>
            <w:vAlign w:val="top"/>
          </w:tcPr>
          <w:p w14:paraId="51884547">
            <w:pPr>
              <w:rPr>
                <w:rFonts w:ascii="Arial"/>
                <w:sz w:val="21"/>
              </w:rPr>
            </w:pPr>
          </w:p>
        </w:tc>
      </w:tr>
      <w:tr w14:paraId="55099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375" w:type="dxa"/>
            <w:vMerge w:val="continue"/>
            <w:tcBorders>
              <w:top w:val="nil"/>
              <w:left w:val="single" w:color="000000" w:sz="6" w:space="0"/>
              <w:bottom w:val="nil"/>
              <w:right w:val="single" w:color="000000" w:sz="6" w:space="0"/>
            </w:tcBorders>
            <w:vAlign w:val="top"/>
          </w:tcPr>
          <w:p w14:paraId="5A56581A">
            <w:pPr>
              <w:rPr>
                <w:rFonts w:ascii="Arial"/>
                <w:sz w:val="21"/>
              </w:rPr>
            </w:pPr>
          </w:p>
        </w:tc>
        <w:tc>
          <w:tcPr>
            <w:tcW w:w="115" w:type="dxa"/>
            <w:tcBorders>
              <w:top w:val="nil"/>
              <w:left w:val="single" w:color="000000" w:sz="6" w:space="0"/>
              <w:bottom w:val="nil"/>
            </w:tcBorders>
            <w:vAlign w:val="top"/>
          </w:tcPr>
          <w:p w14:paraId="2B3FD907">
            <w:pPr>
              <w:rPr>
                <w:rFonts w:ascii="Arial"/>
                <w:sz w:val="21"/>
              </w:rPr>
            </w:pPr>
          </w:p>
        </w:tc>
        <w:tc>
          <w:tcPr>
            <w:tcW w:w="439" w:type="dxa"/>
            <w:vAlign w:val="top"/>
          </w:tcPr>
          <w:p w14:paraId="3F942D89">
            <w:pPr>
              <w:spacing w:before="103" w:line="192" w:lineRule="auto"/>
              <w:ind w:left="106"/>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539" w:type="dxa"/>
            <w:vAlign w:val="top"/>
          </w:tcPr>
          <w:p w14:paraId="51A5DB70">
            <w:pPr>
              <w:pStyle w:val="6"/>
              <w:spacing w:before="65" w:line="228" w:lineRule="auto"/>
              <w:ind w:left="107"/>
            </w:pPr>
            <w:r>
              <w:rPr>
                <w:spacing w:val="7"/>
              </w:rPr>
              <w:t>拆迁情况</w:t>
            </w:r>
          </w:p>
        </w:tc>
        <w:tc>
          <w:tcPr>
            <w:tcW w:w="2963" w:type="dxa"/>
            <w:vAlign w:val="top"/>
          </w:tcPr>
          <w:p w14:paraId="246064C5">
            <w:pPr>
              <w:pStyle w:val="6"/>
              <w:spacing w:before="65" w:line="228" w:lineRule="auto"/>
              <w:ind w:left="1382"/>
            </w:pPr>
            <w:r>
              <w:t>无</w:t>
            </w:r>
          </w:p>
        </w:tc>
        <w:tc>
          <w:tcPr>
            <w:tcW w:w="2969" w:type="dxa"/>
            <w:vAlign w:val="top"/>
          </w:tcPr>
          <w:p w14:paraId="7566AA70">
            <w:pPr>
              <w:pStyle w:val="6"/>
              <w:spacing w:before="65" w:line="228" w:lineRule="auto"/>
              <w:ind w:left="1391"/>
            </w:pPr>
            <w:r>
              <w:t>无</w:t>
            </w:r>
          </w:p>
        </w:tc>
        <w:tc>
          <w:tcPr>
            <w:tcW w:w="124" w:type="dxa"/>
            <w:vMerge w:val="continue"/>
            <w:tcBorders>
              <w:top w:val="nil"/>
              <w:bottom w:val="nil"/>
              <w:right w:val="single" w:color="000000" w:sz="6" w:space="0"/>
            </w:tcBorders>
            <w:vAlign w:val="top"/>
          </w:tcPr>
          <w:p w14:paraId="46395ABD">
            <w:pPr>
              <w:rPr>
                <w:rFonts w:ascii="Arial"/>
                <w:sz w:val="21"/>
              </w:rPr>
            </w:pPr>
          </w:p>
        </w:tc>
      </w:tr>
      <w:tr w14:paraId="5FF56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375" w:type="dxa"/>
            <w:vMerge w:val="continue"/>
            <w:tcBorders>
              <w:top w:val="nil"/>
              <w:left w:val="single" w:color="000000" w:sz="6" w:space="0"/>
              <w:bottom w:val="nil"/>
              <w:right w:val="single" w:color="000000" w:sz="6" w:space="0"/>
            </w:tcBorders>
            <w:vAlign w:val="top"/>
          </w:tcPr>
          <w:p w14:paraId="336D5511">
            <w:pPr>
              <w:rPr>
                <w:rFonts w:ascii="Arial"/>
                <w:sz w:val="21"/>
              </w:rPr>
            </w:pPr>
          </w:p>
        </w:tc>
        <w:tc>
          <w:tcPr>
            <w:tcW w:w="115" w:type="dxa"/>
            <w:tcBorders>
              <w:top w:val="nil"/>
              <w:left w:val="single" w:color="000000" w:sz="6" w:space="0"/>
              <w:bottom w:val="nil"/>
            </w:tcBorders>
            <w:vAlign w:val="top"/>
          </w:tcPr>
          <w:p w14:paraId="20815DFD">
            <w:pPr>
              <w:rPr>
                <w:rFonts w:ascii="Arial"/>
                <w:sz w:val="21"/>
              </w:rPr>
            </w:pPr>
          </w:p>
        </w:tc>
        <w:tc>
          <w:tcPr>
            <w:tcW w:w="439" w:type="dxa"/>
            <w:vAlign w:val="top"/>
          </w:tcPr>
          <w:p w14:paraId="6E9E4A28">
            <w:pPr>
              <w:spacing w:before="256" w:line="195" w:lineRule="auto"/>
              <w:ind w:left="111"/>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539" w:type="dxa"/>
            <w:vAlign w:val="top"/>
          </w:tcPr>
          <w:p w14:paraId="7FF855A5">
            <w:pPr>
              <w:pStyle w:val="6"/>
              <w:spacing w:before="217" w:line="228" w:lineRule="auto"/>
              <w:ind w:left="107"/>
            </w:pPr>
            <w:r>
              <w:rPr>
                <w:spacing w:val="8"/>
              </w:rPr>
              <w:t>运行维护条件</w:t>
            </w:r>
          </w:p>
        </w:tc>
        <w:tc>
          <w:tcPr>
            <w:tcW w:w="2963" w:type="dxa"/>
            <w:vAlign w:val="top"/>
          </w:tcPr>
          <w:p w14:paraId="78A5AB7C">
            <w:pPr>
              <w:pStyle w:val="6"/>
              <w:spacing w:before="217" w:line="228" w:lineRule="auto"/>
              <w:ind w:left="646"/>
            </w:pPr>
            <w:r>
              <w:rPr>
                <w:spacing w:val="8"/>
              </w:rPr>
              <w:t>运行维护条件一般</w:t>
            </w:r>
          </w:p>
        </w:tc>
        <w:tc>
          <w:tcPr>
            <w:tcW w:w="2969" w:type="dxa"/>
            <w:vAlign w:val="top"/>
          </w:tcPr>
          <w:p w14:paraId="5DA42A4D">
            <w:pPr>
              <w:pStyle w:val="6"/>
              <w:spacing w:before="217" w:line="228" w:lineRule="auto"/>
              <w:ind w:left="654"/>
            </w:pPr>
            <w:r>
              <w:rPr>
                <w:spacing w:val="8"/>
              </w:rPr>
              <w:t>运行维护条件一般</w:t>
            </w:r>
          </w:p>
        </w:tc>
        <w:tc>
          <w:tcPr>
            <w:tcW w:w="124" w:type="dxa"/>
            <w:vMerge w:val="continue"/>
            <w:tcBorders>
              <w:top w:val="nil"/>
              <w:bottom w:val="nil"/>
              <w:right w:val="single" w:color="000000" w:sz="6" w:space="0"/>
            </w:tcBorders>
            <w:vAlign w:val="top"/>
          </w:tcPr>
          <w:p w14:paraId="1E040C0C">
            <w:pPr>
              <w:rPr>
                <w:rFonts w:ascii="Arial"/>
                <w:sz w:val="21"/>
              </w:rPr>
            </w:pPr>
          </w:p>
        </w:tc>
      </w:tr>
      <w:tr w14:paraId="480A3D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082F9289">
            <w:pPr>
              <w:rPr>
                <w:rFonts w:ascii="Arial"/>
                <w:sz w:val="21"/>
              </w:rPr>
            </w:pPr>
          </w:p>
        </w:tc>
        <w:tc>
          <w:tcPr>
            <w:tcW w:w="115" w:type="dxa"/>
            <w:tcBorders>
              <w:top w:val="nil"/>
              <w:left w:val="single" w:color="000000" w:sz="6" w:space="0"/>
              <w:bottom w:val="nil"/>
            </w:tcBorders>
            <w:vAlign w:val="top"/>
          </w:tcPr>
          <w:p w14:paraId="7A3716D0">
            <w:pPr>
              <w:rPr>
                <w:rFonts w:ascii="Arial"/>
                <w:sz w:val="21"/>
              </w:rPr>
            </w:pPr>
          </w:p>
        </w:tc>
        <w:tc>
          <w:tcPr>
            <w:tcW w:w="439" w:type="dxa"/>
            <w:vAlign w:val="top"/>
          </w:tcPr>
          <w:p w14:paraId="3A1C12D9">
            <w:pPr>
              <w:spacing w:before="212" w:line="195" w:lineRule="auto"/>
              <w:ind w:left="107"/>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539" w:type="dxa"/>
            <w:vAlign w:val="top"/>
          </w:tcPr>
          <w:p w14:paraId="09E5DA6D">
            <w:pPr>
              <w:pStyle w:val="6"/>
              <w:spacing w:before="42" w:line="229" w:lineRule="auto"/>
              <w:ind w:left="108" w:right="109"/>
            </w:pPr>
            <w:r>
              <w:rPr>
                <w:spacing w:val="19"/>
              </w:rPr>
              <w:t>周围森林、公</w:t>
            </w:r>
            <w:r>
              <w:rPr>
                <w:spacing w:val="7"/>
              </w:rPr>
              <w:t>益林分布情况</w:t>
            </w:r>
          </w:p>
        </w:tc>
        <w:tc>
          <w:tcPr>
            <w:tcW w:w="2963" w:type="dxa"/>
            <w:vAlign w:val="top"/>
          </w:tcPr>
          <w:p w14:paraId="4AF4012B">
            <w:pPr>
              <w:pStyle w:val="6"/>
              <w:spacing w:before="41" w:line="227" w:lineRule="auto"/>
              <w:ind w:left="121"/>
            </w:pPr>
            <w:r>
              <w:rPr>
                <w:spacing w:val="9"/>
              </w:rPr>
              <w:t>基本不涉及林地；不涉及公益</w:t>
            </w:r>
          </w:p>
          <w:p w14:paraId="2BD39F15">
            <w:pPr>
              <w:pStyle w:val="6"/>
              <w:spacing w:before="25" w:line="208" w:lineRule="auto"/>
              <w:ind w:left="1381"/>
            </w:pPr>
            <w:r>
              <w:t>林</w:t>
            </w:r>
          </w:p>
        </w:tc>
        <w:tc>
          <w:tcPr>
            <w:tcW w:w="2969" w:type="dxa"/>
            <w:vAlign w:val="top"/>
          </w:tcPr>
          <w:p w14:paraId="3BE1A7ED">
            <w:pPr>
              <w:pStyle w:val="6"/>
              <w:spacing w:before="41" w:line="227" w:lineRule="auto"/>
              <w:ind w:left="129"/>
            </w:pPr>
            <w:r>
              <w:rPr>
                <w:spacing w:val="9"/>
              </w:rPr>
              <w:t>基本不涉及林地；不涉及公益</w:t>
            </w:r>
          </w:p>
          <w:p w14:paraId="4D42C246">
            <w:pPr>
              <w:pStyle w:val="6"/>
              <w:spacing w:before="25" w:line="208" w:lineRule="auto"/>
              <w:ind w:left="1390"/>
            </w:pPr>
            <w:r>
              <w:t>林</w:t>
            </w:r>
          </w:p>
        </w:tc>
        <w:tc>
          <w:tcPr>
            <w:tcW w:w="124" w:type="dxa"/>
            <w:vMerge w:val="continue"/>
            <w:tcBorders>
              <w:top w:val="nil"/>
              <w:bottom w:val="nil"/>
              <w:right w:val="single" w:color="000000" w:sz="6" w:space="0"/>
            </w:tcBorders>
            <w:vAlign w:val="top"/>
          </w:tcPr>
          <w:p w14:paraId="1885490A">
            <w:pPr>
              <w:rPr>
                <w:rFonts w:ascii="Arial"/>
                <w:sz w:val="21"/>
              </w:rPr>
            </w:pPr>
          </w:p>
        </w:tc>
      </w:tr>
      <w:tr w14:paraId="3B1A2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375" w:type="dxa"/>
            <w:vMerge w:val="continue"/>
            <w:tcBorders>
              <w:top w:val="nil"/>
              <w:left w:val="single" w:color="000000" w:sz="6" w:space="0"/>
              <w:bottom w:val="nil"/>
              <w:right w:val="single" w:color="000000" w:sz="6" w:space="0"/>
            </w:tcBorders>
            <w:vAlign w:val="top"/>
          </w:tcPr>
          <w:p w14:paraId="54B8C235">
            <w:pPr>
              <w:rPr>
                <w:rFonts w:ascii="Arial"/>
                <w:sz w:val="21"/>
              </w:rPr>
            </w:pPr>
          </w:p>
        </w:tc>
        <w:tc>
          <w:tcPr>
            <w:tcW w:w="115" w:type="dxa"/>
            <w:tcBorders>
              <w:top w:val="nil"/>
              <w:left w:val="single" w:color="000000" w:sz="6" w:space="0"/>
              <w:bottom w:val="nil"/>
            </w:tcBorders>
            <w:vAlign w:val="top"/>
          </w:tcPr>
          <w:p w14:paraId="297F389D">
            <w:pPr>
              <w:rPr>
                <w:rFonts w:ascii="Arial"/>
                <w:sz w:val="21"/>
              </w:rPr>
            </w:pPr>
          </w:p>
        </w:tc>
        <w:tc>
          <w:tcPr>
            <w:tcW w:w="439" w:type="dxa"/>
            <w:vAlign w:val="top"/>
          </w:tcPr>
          <w:p w14:paraId="4F523993">
            <w:pPr>
              <w:spacing w:before="215" w:line="195" w:lineRule="auto"/>
              <w:ind w:left="12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539" w:type="dxa"/>
            <w:vAlign w:val="top"/>
          </w:tcPr>
          <w:p w14:paraId="4A8B3C88">
            <w:pPr>
              <w:pStyle w:val="6"/>
              <w:spacing w:before="41" w:line="229" w:lineRule="auto"/>
              <w:ind w:left="109" w:right="144" w:firstLine="32"/>
            </w:pPr>
            <w:r>
              <w:rPr>
                <w:spacing w:val="7"/>
              </w:rPr>
              <w:t>自然保护区、生态保护红线</w:t>
            </w:r>
          </w:p>
        </w:tc>
        <w:tc>
          <w:tcPr>
            <w:tcW w:w="2963" w:type="dxa"/>
            <w:vAlign w:val="top"/>
          </w:tcPr>
          <w:p w14:paraId="106FEC89">
            <w:pPr>
              <w:pStyle w:val="6"/>
              <w:spacing w:before="176" w:line="229" w:lineRule="auto"/>
              <w:ind w:left="1175"/>
            </w:pPr>
            <w:r>
              <w:rPr>
                <w:spacing w:val="5"/>
              </w:rPr>
              <w:t>不涉及</w:t>
            </w:r>
          </w:p>
        </w:tc>
        <w:tc>
          <w:tcPr>
            <w:tcW w:w="2969" w:type="dxa"/>
            <w:vAlign w:val="top"/>
          </w:tcPr>
          <w:p w14:paraId="3E874C4C">
            <w:pPr>
              <w:pStyle w:val="6"/>
              <w:spacing w:before="176" w:line="229" w:lineRule="auto"/>
              <w:ind w:left="1183"/>
            </w:pPr>
            <w:r>
              <w:rPr>
                <w:spacing w:val="5"/>
              </w:rPr>
              <w:t>不涉及</w:t>
            </w:r>
          </w:p>
        </w:tc>
        <w:tc>
          <w:tcPr>
            <w:tcW w:w="124" w:type="dxa"/>
            <w:vMerge w:val="continue"/>
            <w:tcBorders>
              <w:top w:val="nil"/>
              <w:bottom w:val="nil"/>
              <w:right w:val="single" w:color="000000" w:sz="6" w:space="0"/>
            </w:tcBorders>
            <w:vAlign w:val="top"/>
          </w:tcPr>
          <w:p w14:paraId="797691A4">
            <w:pPr>
              <w:rPr>
                <w:rFonts w:ascii="Arial"/>
                <w:sz w:val="21"/>
              </w:rPr>
            </w:pPr>
          </w:p>
        </w:tc>
      </w:tr>
      <w:tr w14:paraId="5D968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366C40A7">
            <w:pPr>
              <w:rPr>
                <w:rFonts w:ascii="Arial"/>
                <w:sz w:val="21"/>
              </w:rPr>
            </w:pPr>
          </w:p>
        </w:tc>
        <w:tc>
          <w:tcPr>
            <w:tcW w:w="115" w:type="dxa"/>
            <w:tcBorders>
              <w:top w:val="nil"/>
              <w:left w:val="single" w:color="000000" w:sz="6" w:space="0"/>
              <w:bottom w:val="nil"/>
            </w:tcBorders>
            <w:vAlign w:val="top"/>
          </w:tcPr>
          <w:p w14:paraId="608A6E38">
            <w:pPr>
              <w:rPr>
                <w:rFonts w:ascii="Arial"/>
                <w:sz w:val="21"/>
              </w:rPr>
            </w:pPr>
          </w:p>
        </w:tc>
        <w:tc>
          <w:tcPr>
            <w:tcW w:w="439" w:type="dxa"/>
            <w:vAlign w:val="top"/>
          </w:tcPr>
          <w:p w14:paraId="65E8CDCE">
            <w:pPr>
              <w:spacing w:before="216" w:line="195" w:lineRule="auto"/>
              <w:ind w:left="123"/>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11</w:t>
            </w:r>
          </w:p>
        </w:tc>
        <w:tc>
          <w:tcPr>
            <w:tcW w:w="1539" w:type="dxa"/>
            <w:vAlign w:val="top"/>
          </w:tcPr>
          <w:p w14:paraId="154EE569">
            <w:pPr>
              <w:pStyle w:val="6"/>
              <w:spacing w:before="42" w:line="229" w:lineRule="auto"/>
              <w:ind w:left="132" w:right="109" w:hanging="26"/>
            </w:pPr>
            <w:r>
              <w:rPr>
                <w:spacing w:val="19"/>
              </w:rPr>
              <w:t>矿区、基本农</w:t>
            </w:r>
            <w:r>
              <w:t>田</w:t>
            </w:r>
          </w:p>
        </w:tc>
        <w:tc>
          <w:tcPr>
            <w:tcW w:w="2963" w:type="dxa"/>
            <w:vAlign w:val="top"/>
          </w:tcPr>
          <w:p w14:paraId="25338265">
            <w:pPr>
              <w:pStyle w:val="6"/>
              <w:spacing w:before="43" w:line="228" w:lineRule="auto"/>
              <w:ind w:left="146"/>
            </w:pPr>
            <w:r>
              <w:rPr>
                <w:spacing w:val="8"/>
              </w:rPr>
              <w:t>矿区已避让不涉及；</w:t>
            </w:r>
            <w:r>
              <w:rPr>
                <w:rFonts w:ascii="Times New Roman" w:hAnsi="Times New Roman" w:eastAsia="Times New Roman" w:cs="Times New Roman"/>
                <w:spacing w:val="8"/>
              </w:rPr>
              <w:t xml:space="preserve">7 </w:t>
            </w:r>
            <w:r>
              <w:rPr>
                <w:spacing w:val="8"/>
              </w:rPr>
              <w:t>基铁塔</w:t>
            </w:r>
          </w:p>
          <w:p w14:paraId="10188489">
            <w:pPr>
              <w:pStyle w:val="6"/>
              <w:spacing w:before="27" w:line="204" w:lineRule="auto"/>
              <w:ind w:left="542"/>
            </w:pPr>
            <w:r>
              <w:rPr>
                <w:spacing w:val="7"/>
              </w:rPr>
              <w:t>涉及占用基本农田；</w:t>
            </w:r>
          </w:p>
        </w:tc>
        <w:tc>
          <w:tcPr>
            <w:tcW w:w="2969" w:type="dxa"/>
            <w:vAlign w:val="top"/>
          </w:tcPr>
          <w:p w14:paraId="0ECE4F6D">
            <w:pPr>
              <w:pStyle w:val="6"/>
              <w:spacing w:before="43" w:line="228" w:lineRule="auto"/>
              <w:ind w:left="114"/>
            </w:pPr>
            <w:r>
              <w:rPr>
                <w:spacing w:val="6"/>
              </w:rPr>
              <w:t>矿区已避让不涉及；</w:t>
            </w:r>
            <w:r>
              <w:rPr>
                <w:rFonts w:ascii="Times New Roman" w:hAnsi="Times New Roman" w:eastAsia="Times New Roman" w:cs="Times New Roman"/>
                <w:spacing w:val="6"/>
              </w:rPr>
              <w:t xml:space="preserve">12 </w:t>
            </w:r>
            <w:r>
              <w:rPr>
                <w:spacing w:val="6"/>
              </w:rPr>
              <w:t>基铁塔</w:t>
            </w:r>
          </w:p>
          <w:p w14:paraId="21538438">
            <w:pPr>
              <w:pStyle w:val="6"/>
              <w:spacing w:before="27" w:line="204" w:lineRule="auto"/>
              <w:ind w:left="551"/>
            </w:pPr>
            <w:r>
              <w:rPr>
                <w:spacing w:val="7"/>
              </w:rPr>
              <w:t>涉及占用基本农田；</w:t>
            </w:r>
          </w:p>
        </w:tc>
        <w:tc>
          <w:tcPr>
            <w:tcW w:w="124" w:type="dxa"/>
            <w:vMerge w:val="continue"/>
            <w:tcBorders>
              <w:top w:val="nil"/>
              <w:bottom w:val="nil"/>
              <w:right w:val="single" w:color="000000" w:sz="6" w:space="0"/>
            </w:tcBorders>
            <w:vAlign w:val="top"/>
          </w:tcPr>
          <w:p w14:paraId="1BEC51BC">
            <w:pPr>
              <w:rPr>
                <w:rFonts w:ascii="Arial"/>
                <w:sz w:val="21"/>
              </w:rPr>
            </w:pPr>
          </w:p>
        </w:tc>
      </w:tr>
      <w:tr w14:paraId="0B08B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0311B7EA">
            <w:pPr>
              <w:rPr>
                <w:rFonts w:ascii="Arial"/>
                <w:sz w:val="21"/>
              </w:rPr>
            </w:pPr>
          </w:p>
        </w:tc>
        <w:tc>
          <w:tcPr>
            <w:tcW w:w="115" w:type="dxa"/>
            <w:tcBorders>
              <w:top w:val="nil"/>
              <w:left w:val="single" w:color="000000" w:sz="6" w:space="0"/>
              <w:bottom w:val="nil"/>
            </w:tcBorders>
            <w:vAlign w:val="top"/>
          </w:tcPr>
          <w:p w14:paraId="473D64BF">
            <w:pPr>
              <w:rPr>
                <w:rFonts w:ascii="Arial"/>
                <w:sz w:val="21"/>
              </w:rPr>
            </w:pPr>
          </w:p>
        </w:tc>
        <w:tc>
          <w:tcPr>
            <w:tcW w:w="439" w:type="dxa"/>
            <w:vAlign w:val="top"/>
          </w:tcPr>
          <w:p w14:paraId="795BE798">
            <w:pPr>
              <w:spacing w:before="217" w:line="195" w:lineRule="auto"/>
              <w:ind w:left="12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1539" w:type="dxa"/>
            <w:vAlign w:val="top"/>
          </w:tcPr>
          <w:p w14:paraId="4EEBE399">
            <w:pPr>
              <w:pStyle w:val="6"/>
              <w:spacing w:before="45" w:line="228" w:lineRule="auto"/>
              <w:ind w:left="107" w:right="109"/>
            </w:pPr>
            <w:r>
              <w:rPr>
                <w:spacing w:val="19"/>
              </w:rPr>
              <w:t>环境保护目标</w:t>
            </w:r>
            <w:r>
              <w:rPr>
                <w:spacing w:val="4"/>
              </w:rPr>
              <w:t>情况</w:t>
            </w:r>
          </w:p>
        </w:tc>
        <w:tc>
          <w:tcPr>
            <w:tcW w:w="2963" w:type="dxa"/>
            <w:vAlign w:val="top"/>
          </w:tcPr>
          <w:p w14:paraId="5C7F1465">
            <w:pPr>
              <w:pStyle w:val="6"/>
              <w:spacing w:before="45" w:line="228" w:lineRule="auto"/>
              <w:ind w:left="112" w:right="104" w:firstLine="10"/>
            </w:pPr>
            <w:r>
              <w:rPr>
                <w:spacing w:val="9"/>
              </w:rPr>
              <w:t>主要涉及分散的苗圃、蔬菜看</w:t>
            </w:r>
            <w:r>
              <w:t>护用房</w:t>
            </w:r>
            <w:r>
              <w:rPr>
                <w:spacing w:val="-10"/>
              </w:rPr>
              <w:t xml:space="preserve"> </w:t>
            </w:r>
            <w:r>
              <w:rPr>
                <w:rFonts w:ascii="Times New Roman" w:hAnsi="Times New Roman" w:eastAsia="Times New Roman" w:cs="Times New Roman"/>
              </w:rPr>
              <w:t xml:space="preserve">10 </w:t>
            </w:r>
            <w:r>
              <w:t>户，不涉及聚集村落</w:t>
            </w:r>
          </w:p>
        </w:tc>
        <w:tc>
          <w:tcPr>
            <w:tcW w:w="2969" w:type="dxa"/>
            <w:vAlign w:val="top"/>
          </w:tcPr>
          <w:p w14:paraId="38040845">
            <w:pPr>
              <w:pStyle w:val="6"/>
              <w:spacing w:before="45" w:line="228" w:lineRule="auto"/>
              <w:ind w:left="182" w:right="113" w:hanging="51"/>
            </w:pPr>
            <w:r>
              <w:rPr>
                <w:spacing w:val="9"/>
              </w:rPr>
              <w:t>主要涉及分散的苗圃、蔬菜看</w:t>
            </w:r>
            <w:r>
              <w:rPr>
                <w:spacing w:val="6"/>
              </w:rPr>
              <w:t>护用房</w:t>
            </w:r>
            <w:r>
              <w:rPr>
                <w:spacing w:val="-21"/>
              </w:rPr>
              <w:t xml:space="preserve"> </w:t>
            </w:r>
            <w:r>
              <w:rPr>
                <w:rFonts w:ascii="Times New Roman" w:hAnsi="Times New Roman" w:eastAsia="Times New Roman" w:cs="Times New Roman"/>
                <w:spacing w:val="6"/>
              </w:rPr>
              <w:t xml:space="preserve">18 </w:t>
            </w:r>
            <w:r>
              <w:rPr>
                <w:spacing w:val="6"/>
              </w:rPr>
              <w:t>户，涉及聚集村落</w:t>
            </w:r>
          </w:p>
        </w:tc>
        <w:tc>
          <w:tcPr>
            <w:tcW w:w="124" w:type="dxa"/>
            <w:vMerge w:val="continue"/>
            <w:tcBorders>
              <w:top w:val="nil"/>
              <w:bottom w:val="nil"/>
              <w:right w:val="single" w:color="000000" w:sz="6" w:space="0"/>
            </w:tcBorders>
            <w:vAlign w:val="top"/>
          </w:tcPr>
          <w:p w14:paraId="01620106">
            <w:pPr>
              <w:rPr>
                <w:rFonts w:ascii="Arial"/>
                <w:sz w:val="21"/>
              </w:rPr>
            </w:pPr>
          </w:p>
        </w:tc>
      </w:tr>
      <w:tr w14:paraId="2A20D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375" w:type="dxa"/>
            <w:vMerge w:val="continue"/>
            <w:tcBorders>
              <w:top w:val="nil"/>
              <w:left w:val="single" w:color="000000" w:sz="6" w:space="0"/>
              <w:bottom w:val="single" w:color="000000" w:sz="6" w:space="0"/>
              <w:right w:val="single" w:color="000000" w:sz="6" w:space="0"/>
            </w:tcBorders>
            <w:vAlign w:val="top"/>
          </w:tcPr>
          <w:p w14:paraId="73994A80">
            <w:pPr>
              <w:rPr>
                <w:rFonts w:ascii="Arial"/>
                <w:sz w:val="21"/>
              </w:rPr>
            </w:pPr>
          </w:p>
        </w:tc>
        <w:tc>
          <w:tcPr>
            <w:tcW w:w="115" w:type="dxa"/>
            <w:tcBorders>
              <w:top w:val="nil"/>
              <w:left w:val="single" w:color="000000" w:sz="6" w:space="0"/>
              <w:bottom w:val="single" w:color="000000" w:sz="6" w:space="0"/>
            </w:tcBorders>
            <w:vAlign w:val="top"/>
          </w:tcPr>
          <w:p w14:paraId="2A3A5EC3">
            <w:pPr>
              <w:rPr>
                <w:rFonts w:ascii="Arial"/>
                <w:sz w:val="21"/>
              </w:rPr>
            </w:pPr>
          </w:p>
        </w:tc>
        <w:tc>
          <w:tcPr>
            <w:tcW w:w="439" w:type="dxa"/>
            <w:tcBorders>
              <w:bottom w:val="single" w:color="000000" w:sz="6" w:space="0"/>
            </w:tcBorders>
            <w:vAlign w:val="top"/>
          </w:tcPr>
          <w:p w14:paraId="262CFB50">
            <w:pPr>
              <w:spacing w:before="106" w:line="195" w:lineRule="auto"/>
              <w:ind w:left="12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13</w:t>
            </w:r>
          </w:p>
        </w:tc>
        <w:tc>
          <w:tcPr>
            <w:tcW w:w="1539" w:type="dxa"/>
            <w:tcBorders>
              <w:bottom w:val="single" w:color="000000" w:sz="6" w:space="0"/>
            </w:tcBorders>
            <w:vAlign w:val="top"/>
          </w:tcPr>
          <w:p w14:paraId="27ED4E7D">
            <w:pPr>
              <w:pStyle w:val="6"/>
              <w:spacing w:before="68" w:line="227" w:lineRule="auto"/>
              <w:ind w:left="110"/>
            </w:pPr>
            <w:r>
              <w:rPr>
                <w:spacing w:val="7"/>
              </w:rPr>
              <w:t>设计推荐意见</w:t>
            </w:r>
          </w:p>
        </w:tc>
        <w:tc>
          <w:tcPr>
            <w:tcW w:w="2963" w:type="dxa"/>
            <w:tcBorders>
              <w:bottom w:val="single" w:color="000000" w:sz="6" w:space="0"/>
            </w:tcBorders>
            <w:vAlign w:val="top"/>
          </w:tcPr>
          <w:p w14:paraId="05B4B38B">
            <w:pPr>
              <w:pStyle w:val="6"/>
              <w:spacing w:before="68" w:line="227" w:lineRule="auto"/>
              <w:ind w:left="1275"/>
            </w:pPr>
            <w:r>
              <w:rPr>
                <w:spacing w:val="4"/>
              </w:rPr>
              <w:t>推荐</w:t>
            </w:r>
          </w:p>
        </w:tc>
        <w:tc>
          <w:tcPr>
            <w:tcW w:w="2969" w:type="dxa"/>
            <w:tcBorders>
              <w:bottom w:val="single" w:color="000000" w:sz="6" w:space="0"/>
            </w:tcBorders>
            <w:vAlign w:val="top"/>
          </w:tcPr>
          <w:p w14:paraId="0DB00E9A">
            <w:pPr>
              <w:pStyle w:val="6"/>
              <w:spacing w:before="68" w:line="227" w:lineRule="auto"/>
              <w:ind w:left="1183"/>
            </w:pPr>
            <w:r>
              <w:rPr>
                <w:spacing w:val="5"/>
              </w:rPr>
              <w:t>不推荐</w:t>
            </w:r>
          </w:p>
        </w:tc>
        <w:tc>
          <w:tcPr>
            <w:tcW w:w="124" w:type="dxa"/>
            <w:vMerge w:val="continue"/>
            <w:tcBorders>
              <w:top w:val="nil"/>
              <w:bottom w:val="single" w:color="000000" w:sz="6" w:space="0"/>
              <w:right w:val="single" w:color="000000" w:sz="6" w:space="0"/>
            </w:tcBorders>
            <w:vAlign w:val="top"/>
          </w:tcPr>
          <w:p w14:paraId="792103EB">
            <w:pPr>
              <w:rPr>
                <w:rFonts w:ascii="Arial"/>
                <w:sz w:val="21"/>
              </w:rPr>
            </w:pPr>
          </w:p>
        </w:tc>
      </w:tr>
    </w:tbl>
    <w:p w14:paraId="638C438C">
      <w:pPr>
        <w:rPr>
          <w:rFonts w:ascii="Arial"/>
          <w:sz w:val="21"/>
        </w:rPr>
      </w:pPr>
    </w:p>
    <w:p w14:paraId="0F9D46C2">
      <w:pPr>
        <w:rPr>
          <w:rFonts w:ascii="Arial" w:hAnsi="Arial" w:eastAsia="Arial" w:cs="Arial"/>
          <w:sz w:val="21"/>
          <w:szCs w:val="21"/>
        </w:rPr>
        <w:sectPr>
          <w:footerReference r:id="rId66" w:type="default"/>
          <w:pgSz w:w="11907" w:h="16840"/>
          <w:pgMar w:top="400" w:right="1684" w:bottom="1240" w:left="1683" w:header="0" w:footer="1077" w:gutter="0"/>
          <w:cols w:space="720" w:num="1"/>
        </w:sectPr>
      </w:pPr>
    </w:p>
    <w:p w14:paraId="245CC36E">
      <w:pPr>
        <w:spacing w:before="19"/>
      </w:pPr>
    </w:p>
    <w:p w14:paraId="65F61520">
      <w:pPr>
        <w:spacing w:before="19"/>
      </w:pPr>
    </w:p>
    <w:p w14:paraId="189738FC">
      <w:pPr>
        <w:spacing w:before="18"/>
      </w:pPr>
    </w:p>
    <w:p w14:paraId="50E0E90E">
      <w:pPr>
        <w:spacing w:before="18"/>
      </w:pPr>
    </w:p>
    <w:tbl>
      <w:tblPr>
        <w:tblStyle w:val="5"/>
        <w:tblW w:w="85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5"/>
        <w:gridCol w:w="8149"/>
      </w:tblGrid>
      <w:tr w14:paraId="41582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22" w:hRule="atLeast"/>
        </w:trPr>
        <w:tc>
          <w:tcPr>
            <w:tcW w:w="375" w:type="dxa"/>
            <w:vAlign w:val="top"/>
          </w:tcPr>
          <w:p w14:paraId="7C414BB3">
            <w:pPr>
              <w:rPr>
                <w:rFonts w:ascii="Arial"/>
                <w:sz w:val="21"/>
              </w:rPr>
            </w:pPr>
          </w:p>
        </w:tc>
        <w:tc>
          <w:tcPr>
            <w:tcW w:w="8149" w:type="dxa"/>
            <w:vAlign w:val="top"/>
          </w:tcPr>
          <w:p w14:paraId="70CA90AB">
            <w:pPr>
              <w:spacing w:before="65" w:line="5246" w:lineRule="exact"/>
              <w:ind w:firstLine="119"/>
            </w:pPr>
            <w:r>
              <w:rPr>
                <w:position w:val="-104"/>
              </w:rPr>
              <w:drawing>
                <wp:inline distT="0" distB="0" distL="0" distR="0">
                  <wp:extent cx="4936490" cy="3330575"/>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228"/>
                          <a:stretch>
                            <a:fillRect/>
                          </a:stretch>
                        </pic:blipFill>
                        <pic:spPr>
                          <a:xfrm>
                            <a:off x="0" y="0"/>
                            <a:ext cx="4936997" cy="3330702"/>
                          </a:xfrm>
                          <a:prstGeom prst="rect">
                            <a:avLst/>
                          </a:prstGeom>
                        </pic:spPr>
                      </pic:pic>
                    </a:graphicData>
                  </a:graphic>
                </wp:inline>
              </w:drawing>
            </w:r>
          </w:p>
          <w:p w14:paraId="42761A37">
            <w:pPr>
              <w:pStyle w:val="6"/>
              <w:spacing w:before="190" w:line="227" w:lineRule="auto"/>
              <w:ind w:left="660"/>
            </w:pPr>
            <w:r>
              <w:rPr>
                <w:b/>
                <w:bCs/>
                <w:spacing w:val="6"/>
              </w:rPr>
              <w:t>图</w:t>
            </w:r>
            <w:r>
              <w:rPr>
                <w:spacing w:val="-40"/>
              </w:rPr>
              <w:t xml:space="preserve"> </w:t>
            </w:r>
            <w:r>
              <w:rPr>
                <w:rFonts w:ascii="Times New Roman" w:hAnsi="Times New Roman" w:eastAsia="Times New Roman" w:cs="Times New Roman"/>
                <w:b/>
                <w:bCs/>
                <w:spacing w:val="6"/>
              </w:rPr>
              <w:t>2-6    110</w:t>
            </w:r>
            <w:r>
              <w:rPr>
                <w:rFonts w:ascii="Times New Roman" w:hAnsi="Times New Roman" w:eastAsia="Times New Roman" w:cs="Times New Roman"/>
                <w:b/>
                <w:bCs/>
              </w:rPr>
              <w:t>kV</w:t>
            </w:r>
            <w:r>
              <w:rPr>
                <w:rFonts w:ascii="Times New Roman" w:hAnsi="Times New Roman" w:eastAsia="Times New Roman" w:cs="Times New Roman"/>
                <w:b/>
                <w:bCs/>
                <w:spacing w:val="6"/>
              </w:rPr>
              <w:t xml:space="preserve"> </w:t>
            </w:r>
            <w:r>
              <w:rPr>
                <w:b/>
                <w:bCs/>
                <w:spacing w:val="6"/>
              </w:rPr>
              <w:t>松山变～</w:t>
            </w:r>
            <w:r>
              <w:rPr>
                <w:rFonts w:ascii="Times New Roman" w:hAnsi="Times New Roman" w:eastAsia="Times New Roman" w:cs="Times New Roman"/>
                <w:b/>
                <w:bCs/>
                <w:spacing w:val="6"/>
              </w:rPr>
              <w:t>220</w:t>
            </w:r>
            <w:r>
              <w:rPr>
                <w:rFonts w:ascii="Times New Roman" w:hAnsi="Times New Roman" w:eastAsia="Times New Roman" w:cs="Times New Roman"/>
                <w:b/>
                <w:bCs/>
              </w:rPr>
              <w:t>kV</w:t>
            </w:r>
            <w:r>
              <w:rPr>
                <w:rFonts w:ascii="Times New Roman" w:hAnsi="Times New Roman" w:eastAsia="Times New Roman" w:cs="Times New Roman"/>
                <w:b/>
                <w:bCs/>
                <w:spacing w:val="20"/>
              </w:rPr>
              <w:t xml:space="preserve"> </w:t>
            </w:r>
            <w:r>
              <w:rPr>
                <w:b/>
                <w:bCs/>
                <w:spacing w:val="6"/>
              </w:rPr>
              <w:t>芳华变线路推荐方案与比选</w:t>
            </w:r>
            <w:r>
              <w:rPr>
                <w:b/>
                <w:bCs/>
                <w:spacing w:val="5"/>
              </w:rPr>
              <w:t>方案比选示意图</w:t>
            </w:r>
          </w:p>
          <w:p w14:paraId="44F4BE35">
            <w:pPr>
              <w:pStyle w:val="6"/>
              <w:spacing w:before="151" w:line="359" w:lineRule="auto"/>
              <w:ind w:left="103" w:right="103" w:firstLine="482"/>
              <w:rPr>
                <w:sz w:val="24"/>
                <w:szCs w:val="24"/>
              </w:rPr>
            </w:pPr>
            <w:r>
              <w:rPr>
                <w:spacing w:val="-1"/>
                <w:sz w:val="24"/>
                <w:szCs w:val="24"/>
              </w:rPr>
              <w:t>综合以上分析，</w:t>
            </w:r>
            <w:r>
              <w:rPr>
                <w:rFonts w:ascii="Times New Roman" w:hAnsi="Times New Roman" w:eastAsia="Times New Roman" w:cs="Times New Roman"/>
                <w:spacing w:val="-1"/>
                <w:sz w:val="24"/>
                <w:szCs w:val="24"/>
              </w:rPr>
              <w:t xml:space="preserve">110kV </w:t>
            </w:r>
            <w:r>
              <w:rPr>
                <w:spacing w:val="-1"/>
                <w:sz w:val="24"/>
                <w:szCs w:val="24"/>
              </w:rPr>
              <w:t>松山变～</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21"/>
                <w:w w:val="101"/>
                <w:sz w:val="24"/>
                <w:szCs w:val="24"/>
              </w:rPr>
              <w:t xml:space="preserve"> </w:t>
            </w:r>
            <w:r>
              <w:rPr>
                <w:spacing w:val="-1"/>
                <w:sz w:val="24"/>
                <w:szCs w:val="24"/>
              </w:rPr>
              <w:t>芳华变线路路径方案南、北方案</w:t>
            </w:r>
            <w:r>
              <w:rPr>
                <w:spacing w:val="-2"/>
                <w:sz w:val="24"/>
                <w:szCs w:val="24"/>
              </w:rPr>
              <w:t>均不涉及生态保护红线、</w:t>
            </w:r>
            <w:r>
              <w:rPr>
                <w:spacing w:val="-65"/>
                <w:sz w:val="24"/>
                <w:szCs w:val="24"/>
              </w:rPr>
              <w:t xml:space="preserve"> </w:t>
            </w:r>
            <w:r>
              <w:rPr>
                <w:spacing w:val="-2"/>
                <w:sz w:val="24"/>
                <w:szCs w:val="24"/>
              </w:rPr>
              <w:t>自然保护区、公益林等生态敏感区，但均不可避免</w:t>
            </w:r>
            <w:r>
              <w:rPr>
                <w:spacing w:val="1"/>
                <w:sz w:val="24"/>
                <w:szCs w:val="24"/>
              </w:rPr>
              <w:t>地占用永久基本农田，北方案占用永久基本农田塔基数量较南方案多</w:t>
            </w:r>
            <w:r>
              <w:rPr>
                <w:rFonts w:ascii="Times New Roman" w:hAnsi="Times New Roman" w:eastAsia="Times New Roman" w:cs="Times New Roman"/>
                <w:spacing w:val="1"/>
                <w:sz w:val="24"/>
                <w:szCs w:val="24"/>
              </w:rPr>
              <w:t xml:space="preserve">5 </w:t>
            </w:r>
            <w:r>
              <w:rPr>
                <w:spacing w:val="1"/>
                <w:sz w:val="24"/>
                <w:szCs w:val="24"/>
              </w:rPr>
              <w:t>基；</w:t>
            </w:r>
            <w:r>
              <w:rPr>
                <w:spacing w:val="-2"/>
                <w:sz w:val="24"/>
                <w:szCs w:val="24"/>
              </w:rPr>
              <w:t>北方案线路长度较南方案长</w:t>
            </w:r>
            <w:r>
              <w:rPr>
                <w:spacing w:val="-49"/>
                <w:sz w:val="24"/>
                <w:szCs w:val="24"/>
              </w:rPr>
              <w:t xml:space="preserve"> </w:t>
            </w:r>
            <w:r>
              <w:rPr>
                <w:rFonts w:ascii="Times New Roman" w:hAnsi="Times New Roman" w:eastAsia="Times New Roman" w:cs="Times New Roman"/>
                <w:spacing w:val="-2"/>
                <w:sz w:val="24"/>
                <w:szCs w:val="24"/>
              </w:rPr>
              <w:t>0.29km</w:t>
            </w:r>
            <w:r>
              <w:rPr>
                <w:spacing w:val="-2"/>
                <w:sz w:val="24"/>
                <w:szCs w:val="24"/>
              </w:rPr>
              <w:t>，北方案线路投资较南方案多；且北方案</w:t>
            </w:r>
            <w:r>
              <w:rPr>
                <w:spacing w:val="-1"/>
                <w:sz w:val="24"/>
                <w:szCs w:val="24"/>
              </w:rPr>
              <w:t>涉及电磁、声环境保护目标较南方案多</w:t>
            </w:r>
            <w:r>
              <w:rPr>
                <w:spacing w:val="-37"/>
                <w:sz w:val="24"/>
                <w:szCs w:val="24"/>
              </w:rPr>
              <w:t xml:space="preserve"> </w:t>
            </w:r>
            <w:r>
              <w:rPr>
                <w:rFonts w:ascii="Times New Roman" w:hAnsi="Times New Roman" w:eastAsia="Times New Roman" w:cs="Times New Roman"/>
                <w:spacing w:val="-1"/>
                <w:sz w:val="24"/>
                <w:szCs w:val="24"/>
              </w:rPr>
              <w:t xml:space="preserve">8 </w:t>
            </w:r>
            <w:r>
              <w:rPr>
                <w:spacing w:val="-1"/>
                <w:sz w:val="24"/>
                <w:szCs w:val="24"/>
              </w:rPr>
              <w:t>户，且北方案途经居民集聚区（狮子口村</w:t>
            </w:r>
            <w:r>
              <w:rPr>
                <w:spacing w:val="10"/>
                <w:sz w:val="24"/>
                <w:szCs w:val="24"/>
              </w:rPr>
              <w:t>），</w:t>
            </w:r>
            <w:r>
              <w:rPr>
                <w:spacing w:val="-1"/>
                <w:sz w:val="24"/>
                <w:szCs w:val="24"/>
              </w:rPr>
              <w:t>对居民点的影响较南方案大。故本次环评跟设计一致，推荐南方</w:t>
            </w:r>
            <w:r>
              <w:rPr>
                <w:spacing w:val="-5"/>
                <w:sz w:val="24"/>
                <w:szCs w:val="24"/>
              </w:rPr>
              <w:t>案。</w:t>
            </w:r>
          </w:p>
          <w:p w14:paraId="73154210">
            <w:pPr>
              <w:pStyle w:val="6"/>
              <w:spacing w:line="359" w:lineRule="auto"/>
              <w:ind w:left="105" w:right="163" w:firstLine="489"/>
              <w:rPr>
                <w:sz w:val="24"/>
                <w:szCs w:val="24"/>
              </w:rPr>
            </w:pPr>
            <w:r>
              <w:rPr>
                <w:b/>
                <w:bCs/>
                <w:spacing w:val="-4"/>
                <w:sz w:val="24"/>
                <w:szCs w:val="24"/>
              </w:rPr>
              <w:t>（</w:t>
            </w:r>
            <w:r>
              <w:rPr>
                <w:rFonts w:ascii="Times New Roman" w:hAnsi="Times New Roman" w:eastAsia="Times New Roman" w:cs="Times New Roman"/>
                <w:b/>
                <w:bCs/>
                <w:spacing w:val="-4"/>
                <w:sz w:val="24"/>
                <w:szCs w:val="24"/>
              </w:rPr>
              <w:t>2</w:t>
            </w:r>
            <w:r>
              <w:rPr>
                <w:b/>
                <w:bCs/>
                <w:spacing w:val="-4"/>
                <w:sz w:val="24"/>
                <w:szCs w:val="24"/>
              </w:rPr>
              <w:t>）</w:t>
            </w:r>
            <w:r>
              <w:rPr>
                <w:rFonts w:ascii="Times New Roman" w:hAnsi="Times New Roman" w:eastAsia="Times New Roman" w:cs="Times New Roman"/>
                <w:b/>
                <w:bCs/>
                <w:spacing w:val="-4"/>
                <w:sz w:val="24"/>
                <w:szCs w:val="24"/>
              </w:rPr>
              <w:t xml:space="preserve">110kV </w:t>
            </w:r>
            <w:r>
              <w:rPr>
                <w:b/>
                <w:bCs/>
                <w:spacing w:val="-4"/>
                <w:sz w:val="24"/>
                <w:szCs w:val="24"/>
              </w:rPr>
              <w:t>松山变“</w:t>
            </w:r>
            <w:r>
              <w:rPr>
                <w:rFonts w:ascii="Times New Roman" w:hAnsi="Times New Roman" w:eastAsia="Times New Roman" w:cs="Times New Roman"/>
                <w:b/>
                <w:bCs/>
                <w:spacing w:val="-4"/>
                <w:sz w:val="24"/>
                <w:szCs w:val="24"/>
              </w:rPr>
              <w:t>T</w:t>
            </w:r>
            <w:r>
              <w:rPr>
                <w:rFonts w:ascii="Times New Roman" w:hAnsi="Times New Roman" w:eastAsia="Times New Roman" w:cs="Times New Roman"/>
                <w:b/>
                <w:bCs/>
                <w:spacing w:val="-9"/>
                <w:sz w:val="24"/>
                <w:szCs w:val="24"/>
              </w:rPr>
              <w:t xml:space="preserve"> </w:t>
            </w:r>
            <w:r>
              <w:rPr>
                <w:b/>
                <w:bCs/>
                <w:spacing w:val="-4"/>
                <w:sz w:val="24"/>
                <w:szCs w:val="24"/>
              </w:rPr>
              <w:t>”接芳华变出线π接</w:t>
            </w:r>
            <w:r>
              <w:rPr>
                <w:spacing w:val="-45"/>
                <w:sz w:val="24"/>
                <w:szCs w:val="24"/>
              </w:rPr>
              <w:t xml:space="preserve"> </w:t>
            </w:r>
            <w:r>
              <w:rPr>
                <w:rFonts w:ascii="Times New Roman" w:hAnsi="Times New Roman" w:eastAsia="Times New Roman" w:cs="Times New Roman"/>
                <w:b/>
                <w:bCs/>
                <w:spacing w:val="-4"/>
                <w:sz w:val="24"/>
                <w:szCs w:val="24"/>
              </w:rPr>
              <w:t>110kV</w:t>
            </w:r>
            <w:r>
              <w:rPr>
                <w:rFonts w:ascii="Times New Roman" w:hAnsi="Times New Roman" w:eastAsia="Times New Roman" w:cs="Times New Roman"/>
                <w:b/>
                <w:bCs/>
                <w:spacing w:val="18"/>
                <w:sz w:val="24"/>
                <w:szCs w:val="24"/>
              </w:rPr>
              <w:t xml:space="preserve"> </w:t>
            </w:r>
            <w:r>
              <w:rPr>
                <w:b/>
                <w:bCs/>
                <w:spacing w:val="-4"/>
                <w:sz w:val="24"/>
                <w:szCs w:val="24"/>
              </w:rPr>
              <w:t>吉中线的</w:t>
            </w:r>
            <w:r>
              <w:rPr>
                <w:spacing w:val="-44"/>
                <w:sz w:val="24"/>
                <w:szCs w:val="24"/>
              </w:rPr>
              <w:t xml:space="preserve"> </w:t>
            </w:r>
            <w:r>
              <w:rPr>
                <w:rFonts w:ascii="Times New Roman" w:hAnsi="Times New Roman" w:eastAsia="Times New Roman" w:cs="Times New Roman"/>
                <w:b/>
                <w:bCs/>
                <w:spacing w:val="-4"/>
                <w:sz w:val="24"/>
                <w:szCs w:val="24"/>
              </w:rPr>
              <w:t xml:space="preserve">110kV </w:t>
            </w:r>
            <w:r>
              <w:rPr>
                <w:b/>
                <w:bCs/>
                <w:spacing w:val="-4"/>
                <w:sz w:val="24"/>
                <w:szCs w:val="24"/>
              </w:rPr>
              <w:t>线</w:t>
            </w:r>
            <w:r>
              <w:rPr>
                <w:b/>
                <w:bCs/>
                <w:spacing w:val="-3"/>
                <w:sz w:val="24"/>
                <w:szCs w:val="24"/>
              </w:rPr>
              <w:t>路</w:t>
            </w:r>
          </w:p>
          <w:p w14:paraId="68C4E5EE">
            <w:pPr>
              <w:pStyle w:val="6"/>
              <w:spacing w:line="359" w:lineRule="auto"/>
              <w:ind w:left="102" w:right="44" w:firstLine="483"/>
              <w:jc w:val="both"/>
              <w:rPr>
                <w:sz w:val="24"/>
                <w:szCs w:val="24"/>
              </w:rPr>
            </w:pPr>
            <w:r>
              <w:rPr>
                <w:spacing w:val="-1"/>
                <w:sz w:val="24"/>
                <w:szCs w:val="24"/>
              </w:rPr>
              <w:t>线路从新建变电站向西方出线后，左转向西南方向跨越</w:t>
            </w:r>
            <w:r>
              <w:rPr>
                <w:spacing w:val="-41"/>
                <w:sz w:val="24"/>
                <w:szCs w:val="24"/>
              </w:rPr>
              <w:t xml:space="preserve"> </w:t>
            </w:r>
            <w:r>
              <w:rPr>
                <w:rFonts w:ascii="Times New Roman" w:hAnsi="Times New Roman" w:eastAsia="Times New Roman" w:cs="Times New Roman"/>
                <w:spacing w:val="-1"/>
                <w:sz w:val="24"/>
                <w:szCs w:val="24"/>
              </w:rPr>
              <w:t xml:space="preserve">35kV </w:t>
            </w:r>
            <w:r>
              <w:rPr>
                <w:spacing w:val="-1"/>
                <w:sz w:val="24"/>
                <w:szCs w:val="24"/>
              </w:rPr>
              <w:t>金瑞达瓷</w:t>
            </w:r>
            <w:r>
              <w:rPr>
                <w:sz w:val="24"/>
                <w:szCs w:val="24"/>
              </w:rPr>
              <w:t>业线后继续平行曲陆高速前进，在中所堡村北侧向西</w:t>
            </w:r>
            <w:r>
              <w:rPr>
                <w:spacing w:val="-1"/>
                <w:sz w:val="24"/>
                <w:szCs w:val="24"/>
              </w:rPr>
              <w:t>南转向，绕开黑龙村水</w:t>
            </w:r>
            <w:r>
              <w:rPr>
                <w:spacing w:val="-3"/>
                <w:sz w:val="24"/>
                <w:szCs w:val="24"/>
              </w:rPr>
              <w:t>库，穿越</w:t>
            </w:r>
            <w:r>
              <w:rPr>
                <w:spacing w:val="-29"/>
                <w:sz w:val="24"/>
                <w:szCs w:val="24"/>
              </w:rPr>
              <w:t xml:space="preserve"> </w:t>
            </w:r>
            <w:r>
              <w:rPr>
                <w:rFonts w:ascii="Times New Roman" w:hAnsi="Times New Roman" w:eastAsia="Times New Roman" w:cs="Times New Roman"/>
                <w:spacing w:val="-3"/>
                <w:sz w:val="24"/>
                <w:szCs w:val="24"/>
              </w:rPr>
              <w:t>110kV</w:t>
            </w:r>
            <w:r>
              <w:rPr>
                <w:rFonts w:ascii="Times New Roman" w:hAnsi="Times New Roman" w:eastAsia="Times New Roman" w:cs="Times New Roman"/>
                <w:spacing w:val="15"/>
                <w:w w:val="101"/>
                <w:sz w:val="24"/>
                <w:szCs w:val="24"/>
              </w:rPr>
              <w:t xml:space="preserve"> </w:t>
            </w:r>
            <w:r>
              <w:rPr>
                <w:spacing w:val="-3"/>
                <w:sz w:val="24"/>
                <w:szCs w:val="24"/>
              </w:rPr>
              <w:t>芳华</w:t>
            </w:r>
            <w:r>
              <w:rPr>
                <w:spacing w:val="-53"/>
                <w:sz w:val="24"/>
                <w:szCs w:val="24"/>
              </w:rPr>
              <w:t xml:space="preserve"> </w:t>
            </w:r>
            <w:r>
              <w:rPr>
                <w:rFonts w:ascii="Times New Roman" w:hAnsi="Times New Roman" w:eastAsia="Times New Roman" w:cs="Times New Roman"/>
                <w:spacing w:val="-3"/>
                <w:sz w:val="24"/>
                <w:szCs w:val="24"/>
              </w:rPr>
              <w:t xml:space="preserve">T </w:t>
            </w:r>
            <w:r>
              <w:rPr>
                <w:spacing w:val="-3"/>
                <w:sz w:val="24"/>
                <w:szCs w:val="24"/>
              </w:rPr>
              <w:t>接中大</w:t>
            </w:r>
            <w:r>
              <w:rPr>
                <w:spacing w:val="-54"/>
                <w:sz w:val="24"/>
                <w:szCs w:val="24"/>
              </w:rPr>
              <w:t xml:space="preserve"> </w:t>
            </w:r>
            <w:r>
              <w:rPr>
                <w:rFonts w:ascii="Times New Roman" w:hAnsi="Times New Roman" w:eastAsia="Times New Roman" w:cs="Times New Roman"/>
                <w:spacing w:val="-3"/>
                <w:sz w:val="24"/>
                <w:szCs w:val="24"/>
              </w:rPr>
              <w:t>II</w:t>
            </w:r>
            <w:r>
              <w:rPr>
                <w:rFonts w:ascii="Times New Roman" w:hAnsi="Times New Roman" w:eastAsia="Times New Roman" w:cs="Times New Roman"/>
                <w:spacing w:val="34"/>
                <w:w w:val="101"/>
                <w:sz w:val="24"/>
                <w:szCs w:val="24"/>
              </w:rPr>
              <w:t xml:space="preserve"> </w:t>
            </w:r>
            <w:r>
              <w:rPr>
                <w:spacing w:val="-3"/>
                <w:sz w:val="24"/>
                <w:szCs w:val="24"/>
              </w:rPr>
              <w:t>回线后继续走线，之后</w:t>
            </w:r>
            <w:r>
              <w:rPr>
                <w:spacing w:val="-53"/>
                <w:sz w:val="24"/>
                <w:szCs w:val="24"/>
              </w:rPr>
              <w:t xml:space="preserve"> </w:t>
            </w:r>
            <w:r>
              <w:rPr>
                <w:rFonts w:ascii="Times New Roman" w:hAnsi="Times New Roman" w:eastAsia="Times New Roman" w:cs="Times New Roman"/>
                <w:spacing w:val="-3"/>
                <w:sz w:val="24"/>
                <w:szCs w:val="24"/>
              </w:rPr>
              <w:t xml:space="preserve">T </w:t>
            </w:r>
            <w:r>
              <w:rPr>
                <w:spacing w:val="-3"/>
                <w:sz w:val="24"/>
                <w:szCs w:val="24"/>
              </w:rPr>
              <w:t>接芳华变出线π</w:t>
            </w:r>
            <w:r>
              <w:rPr>
                <w:spacing w:val="-5"/>
                <w:sz w:val="24"/>
                <w:szCs w:val="24"/>
              </w:rPr>
              <w:t>接</w:t>
            </w:r>
            <w:r>
              <w:rPr>
                <w:spacing w:val="-29"/>
                <w:sz w:val="24"/>
                <w:szCs w:val="24"/>
              </w:rPr>
              <w:t xml:space="preserve"> </w:t>
            </w:r>
            <w:r>
              <w:rPr>
                <w:rFonts w:ascii="Times New Roman" w:hAnsi="Times New Roman" w:eastAsia="Times New Roman" w:cs="Times New Roman"/>
                <w:spacing w:val="-5"/>
                <w:sz w:val="24"/>
                <w:szCs w:val="24"/>
              </w:rPr>
              <w:t>110kV</w:t>
            </w:r>
            <w:r>
              <w:rPr>
                <w:rFonts w:ascii="Times New Roman" w:hAnsi="Times New Roman" w:eastAsia="Times New Roman" w:cs="Times New Roman"/>
                <w:spacing w:val="17"/>
                <w:sz w:val="24"/>
                <w:szCs w:val="24"/>
              </w:rPr>
              <w:t xml:space="preserve"> </w:t>
            </w:r>
            <w:r>
              <w:rPr>
                <w:spacing w:val="-5"/>
                <w:sz w:val="24"/>
                <w:szCs w:val="24"/>
              </w:rPr>
              <w:t>吉中线的</w:t>
            </w:r>
            <w:r>
              <w:rPr>
                <w:spacing w:val="-32"/>
                <w:sz w:val="24"/>
                <w:szCs w:val="24"/>
              </w:rPr>
              <w:t xml:space="preserve"> </w:t>
            </w:r>
            <w:r>
              <w:rPr>
                <w:rFonts w:ascii="Times New Roman" w:hAnsi="Times New Roman" w:eastAsia="Times New Roman" w:cs="Times New Roman"/>
                <w:spacing w:val="-5"/>
                <w:sz w:val="24"/>
                <w:szCs w:val="24"/>
              </w:rPr>
              <w:t xml:space="preserve">110kV </w:t>
            </w:r>
            <w:r>
              <w:rPr>
                <w:spacing w:val="-5"/>
                <w:sz w:val="24"/>
                <w:szCs w:val="24"/>
              </w:rPr>
              <w:t>线路（双回线路</w:t>
            </w:r>
            <w:r>
              <w:rPr>
                <w:spacing w:val="-62"/>
                <w:w w:val="98"/>
                <w:sz w:val="24"/>
                <w:szCs w:val="24"/>
              </w:rPr>
              <w:t>），</w:t>
            </w:r>
            <w:r>
              <w:rPr>
                <w:spacing w:val="-5"/>
                <w:sz w:val="24"/>
                <w:szCs w:val="24"/>
              </w:rPr>
              <w:t>其中</w:t>
            </w:r>
            <w:r>
              <w:rPr>
                <w:rFonts w:ascii="Times New Roman" w:hAnsi="Times New Roman" w:eastAsia="Times New Roman" w:cs="Times New Roman"/>
                <w:spacing w:val="-5"/>
                <w:sz w:val="24"/>
                <w:szCs w:val="24"/>
              </w:rPr>
              <w:t xml:space="preserve">T </w:t>
            </w:r>
            <w:r>
              <w:rPr>
                <w:spacing w:val="-5"/>
                <w:sz w:val="24"/>
                <w:szCs w:val="24"/>
              </w:rPr>
              <w:t>接方案有以下两种方案；</w:t>
            </w:r>
          </w:p>
          <w:p w14:paraId="48B9E23F">
            <w:pPr>
              <w:pStyle w:val="6"/>
              <w:spacing w:before="1" w:line="359" w:lineRule="auto"/>
              <w:ind w:left="105" w:right="103" w:firstLine="475"/>
              <w:jc w:val="both"/>
              <w:rPr>
                <w:sz w:val="24"/>
                <w:szCs w:val="24"/>
              </w:rPr>
            </w:pPr>
            <w:r>
              <w:rPr>
                <w:rFonts w:ascii="Times New Roman" w:hAnsi="Times New Roman" w:eastAsia="Times New Roman" w:cs="Times New Roman"/>
                <w:spacing w:val="-5"/>
                <w:sz w:val="24"/>
                <w:szCs w:val="24"/>
              </w:rPr>
              <w:t xml:space="preserve">T </w:t>
            </w:r>
            <w:r>
              <w:rPr>
                <w:spacing w:val="-5"/>
                <w:sz w:val="24"/>
                <w:szCs w:val="24"/>
              </w:rPr>
              <w:t>接推荐方案一：即</w:t>
            </w:r>
            <w:r>
              <w:rPr>
                <w:spacing w:val="-35"/>
                <w:sz w:val="24"/>
                <w:szCs w:val="24"/>
              </w:rPr>
              <w:t xml:space="preserve"> </w:t>
            </w:r>
            <w:r>
              <w:rPr>
                <w:rFonts w:ascii="Times New Roman" w:hAnsi="Times New Roman" w:eastAsia="Times New Roman" w:cs="Times New Roman"/>
                <w:spacing w:val="-5"/>
                <w:sz w:val="24"/>
                <w:szCs w:val="24"/>
              </w:rPr>
              <w:t xml:space="preserve">T </w:t>
            </w:r>
            <w:r>
              <w:rPr>
                <w:spacing w:val="-5"/>
                <w:sz w:val="24"/>
                <w:szCs w:val="24"/>
              </w:rPr>
              <w:t>接芳华变出线π接</w:t>
            </w:r>
            <w:r>
              <w:rPr>
                <w:spacing w:val="-32"/>
                <w:sz w:val="24"/>
                <w:szCs w:val="24"/>
              </w:rPr>
              <w:t xml:space="preserve"> </w:t>
            </w:r>
            <w:r>
              <w:rPr>
                <w:rFonts w:ascii="Times New Roman" w:hAnsi="Times New Roman" w:eastAsia="Times New Roman" w:cs="Times New Roman"/>
                <w:spacing w:val="-5"/>
                <w:sz w:val="24"/>
                <w:szCs w:val="24"/>
              </w:rPr>
              <w:t>110kV</w:t>
            </w:r>
            <w:r>
              <w:rPr>
                <w:rFonts w:ascii="Times New Roman" w:hAnsi="Times New Roman" w:eastAsia="Times New Roman" w:cs="Times New Roman"/>
                <w:spacing w:val="17"/>
                <w:w w:val="101"/>
                <w:sz w:val="24"/>
                <w:szCs w:val="24"/>
              </w:rPr>
              <w:t xml:space="preserve"> </w:t>
            </w:r>
            <w:r>
              <w:rPr>
                <w:spacing w:val="-5"/>
                <w:sz w:val="24"/>
                <w:szCs w:val="24"/>
              </w:rPr>
              <w:t>吉中线的</w:t>
            </w:r>
            <w:r>
              <w:rPr>
                <w:spacing w:val="-32"/>
                <w:sz w:val="24"/>
                <w:szCs w:val="24"/>
              </w:rPr>
              <w:t xml:space="preserve"> </w:t>
            </w:r>
            <w:r>
              <w:rPr>
                <w:rFonts w:ascii="Times New Roman" w:hAnsi="Times New Roman" w:eastAsia="Times New Roman" w:cs="Times New Roman"/>
                <w:spacing w:val="-5"/>
                <w:sz w:val="24"/>
                <w:szCs w:val="24"/>
              </w:rPr>
              <w:t xml:space="preserve">110kV </w:t>
            </w:r>
            <w:r>
              <w:rPr>
                <w:spacing w:val="-5"/>
                <w:sz w:val="24"/>
                <w:szCs w:val="24"/>
              </w:rPr>
              <w:t>双回段</w:t>
            </w:r>
            <w:r>
              <w:rPr>
                <w:spacing w:val="-4"/>
                <w:sz w:val="24"/>
                <w:szCs w:val="24"/>
              </w:rPr>
              <w:t>线路，拟建松山变至</w:t>
            </w:r>
            <w:r>
              <w:rPr>
                <w:spacing w:val="-43"/>
                <w:sz w:val="24"/>
                <w:szCs w:val="24"/>
              </w:rPr>
              <w:t xml:space="preserve"> </w:t>
            </w:r>
            <w:r>
              <w:rPr>
                <w:rFonts w:ascii="Times New Roman" w:hAnsi="Times New Roman" w:eastAsia="Times New Roman" w:cs="Times New Roman"/>
                <w:spacing w:val="-4"/>
                <w:sz w:val="24"/>
                <w:szCs w:val="24"/>
              </w:rPr>
              <w:t xml:space="preserve">T </w:t>
            </w:r>
            <w:r>
              <w:rPr>
                <w:spacing w:val="-4"/>
                <w:sz w:val="24"/>
                <w:szCs w:val="24"/>
              </w:rPr>
              <w:t>接点线路采用单回路架设，线路路径长约</w:t>
            </w:r>
            <w:r>
              <w:rPr>
                <w:spacing w:val="-48"/>
                <w:sz w:val="24"/>
                <w:szCs w:val="24"/>
              </w:rPr>
              <w:t xml:space="preserve"> </w:t>
            </w:r>
            <w:r>
              <w:rPr>
                <w:rFonts w:ascii="Times New Roman" w:hAnsi="Times New Roman" w:eastAsia="Times New Roman" w:cs="Times New Roman"/>
                <w:spacing w:val="-4"/>
                <w:sz w:val="24"/>
                <w:szCs w:val="24"/>
              </w:rPr>
              <w:t>5.78km</w:t>
            </w:r>
            <w:r>
              <w:rPr>
                <w:rFonts w:ascii="Times New Roman" w:hAnsi="Times New Roman" w:eastAsia="Times New Roman" w:cs="Times New Roman"/>
                <w:spacing w:val="-30"/>
                <w:sz w:val="24"/>
                <w:szCs w:val="24"/>
              </w:rPr>
              <w:t xml:space="preserve"> </w:t>
            </w:r>
            <w:r>
              <w:rPr>
                <w:spacing w:val="-4"/>
                <w:sz w:val="24"/>
                <w:szCs w:val="24"/>
              </w:rPr>
              <w:t>，曲折系数</w:t>
            </w:r>
            <w:r>
              <w:rPr>
                <w:spacing w:val="-26"/>
                <w:sz w:val="24"/>
                <w:szCs w:val="24"/>
              </w:rPr>
              <w:t xml:space="preserve"> </w:t>
            </w:r>
            <w:r>
              <w:rPr>
                <w:rFonts w:ascii="Times New Roman" w:hAnsi="Times New Roman" w:eastAsia="Times New Roman" w:cs="Times New Roman"/>
                <w:spacing w:val="-4"/>
                <w:sz w:val="24"/>
                <w:szCs w:val="24"/>
              </w:rPr>
              <w:t>1.11</w:t>
            </w:r>
            <w:r>
              <w:rPr>
                <w:rFonts w:ascii="Times New Roman" w:hAnsi="Times New Roman" w:eastAsia="Times New Roman" w:cs="Times New Roman"/>
                <w:spacing w:val="-27"/>
                <w:sz w:val="24"/>
                <w:szCs w:val="24"/>
              </w:rPr>
              <w:t xml:space="preserve"> </w:t>
            </w:r>
            <w:r>
              <w:rPr>
                <w:spacing w:val="-4"/>
                <w:sz w:val="24"/>
                <w:szCs w:val="24"/>
              </w:rPr>
              <w:t>。线路全线位于陆良县境内。</w:t>
            </w:r>
          </w:p>
          <w:p w14:paraId="5B82D2A7">
            <w:pPr>
              <w:pStyle w:val="6"/>
              <w:spacing w:line="219" w:lineRule="auto"/>
              <w:ind w:left="580"/>
              <w:rPr>
                <w:sz w:val="24"/>
                <w:szCs w:val="24"/>
              </w:rPr>
            </w:pPr>
            <w:r>
              <w:rPr>
                <w:rFonts w:ascii="Times New Roman" w:hAnsi="Times New Roman" w:eastAsia="Times New Roman" w:cs="Times New Roman"/>
                <w:spacing w:val="-5"/>
                <w:sz w:val="24"/>
                <w:szCs w:val="24"/>
              </w:rPr>
              <w:t xml:space="preserve">T </w:t>
            </w:r>
            <w:r>
              <w:rPr>
                <w:spacing w:val="-5"/>
                <w:sz w:val="24"/>
                <w:szCs w:val="24"/>
              </w:rPr>
              <w:t>接比选方案二：即</w:t>
            </w:r>
            <w:r>
              <w:rPr>
                <w:spacing w:val="-35"/>
                <w:sz w:val="24"/>
                <w:szCs w:val="24"/>
              </w:rPr>
              <w:t xml:space="preserve"> </w:t>
            </w:r>
            <w:r>
              <w:rPr>
                <w:rFonts w:ascii="Times New Roman" w:hAnsi="Times New Roman" w:eastAsia="Times New Roman" w:cs="Times New Roman"/>
                <w:spacing w:val="-5"/>
                <w:sz w:val="24"/>
                <w:szCs w:val="24"/>
              </w:rPr>
              <w:t xml:space="preserve">T </w:t>
            </w:r>
            <w:r>
              <w:rPr>
                <w:spacing w:val="-5"/>
                <w:sz w:val="24"/>
                <w:szCs w:val="24"/>
              </w:rPr>
              <w:t>接芳华变出线π接</w:t>
            </w:r>
            <w:r>
              <w:rPr>
                <w:spacing w:val="-32"/>
                <w:sz w:val="24"/>
                <w:szCs w:val="24"/>
              </w:rPr>
              <w:t xml:space="preserve"> </w:t>
            </w:r>
            <w:r>
              <w:rPr>
                <w:rFonts w:ascii="Times New Roman" w:hAnsi="Times New Roman" w:eastAsia="Times New Roman" w:cs="Times New Roman"/>
                <w:spacing w:val="-5"/>
                <w:sz w:val="24"/>
                <w:szCs w:val="24"/>
              </w:rPr>
              <w:t>110kV</w:t>
            </w:r>
            <w:r>
              <w:rPr>
                <w:rFonts w:ascii="Times New Roman" w:hAnsi="Times New Roman" w:eastAsia="Times New Roman" w:cs="Times New Roman"/>
                <w:spacing w:val="17"/>
                <w:w w:val="101"/>
                <w:sz w:val="24"/>
                <w:szCs w:val="24"/>
              </w:rPr>
              <w:t xml:space="preserve"> </w:t>
            </w:r>
            <w:r>
              <w:rPr>
                <w:spacing w:val="-5"/>
                <w:sz w:val="24"/>
                <w:szCs w:val="24"/>
              </w:rPr>
              <w:t>吉中线的</w:t>
            </w:r>
            <w:r>
              <w:rPr>
                <w:spacing w:val="-32"/>
                <w:sz w:val="24"/>
                <w:szCs w:val="24"/>
              </w:rPr>
              <w:t xml:space="preserve"> </w:t>
            </w:r>
            <w:r>
              <w:rPr>
                <w:rFonts w:ascii="Times New Roman" w:hAnsi="Times New Roman" w:eastAsia="Times New Roman" w:cs="Times New Roman"/>
                <w:spacing w:val="-5"/>
                <w:sz w:val="24"/>
                <w:szCs w:val="24"/>
              </w:rPr>
              <w:t xml:space="preserve">110kV </w:t>
            </w:r>
            <w:r>
              <w:rPr>
                <w:spacing w:val="-5"/>
                <w:sz w:val="24"/>
                <w:szCs w:val="24"/>
              </w:rPr>
              <w:t>线路单</w:t>
            </w:r>
          </w:p>
        </w:tc>
      </w:tr>
    </w:tbl>
    <w:p w14:paraId="7107F83B">
      <w:pPr>
        <w:rPr>
          <w:rFonts w:ascii="Arial"/>
          <w:sz w:val="21"/>
        </w:rPr>
      </w:pPr>
    </w:p>
    <w:p w14:paraId="5F6C3E7A">
      <w:pPr>
        <w:rPr>
          <w:rFonts w:ascii="Arial" w:hAnsi="Arial" w:eastAsia="Arial" w:cs="Arial"/>
          <w:sz w:val="21"/>
          <w:szCs w:val="21"/>
        </w:rPr>
        <w:sectPr>
          <w:footerReference r:id="rId67" w:type="default"/>
          <w:pgSz w:w="11907" w:h="16840"/>
          <w:pgMar w:top="400" w:right="1684" w:bottom="1237" w:left="1683" w:header="0" w:footer="1077" w:gutter="0"/>
          <w:cols w:space="720" w:num="1"/>
        </w:sectPr>
      </w:pPr>
    </w:p>
    <w:p w14:paraId="6BCA1FCB">
      <w:pPr>
        <w:spacing w:before="19"/>
      </w:pPr>
    </w:p>
    <w:p w14:paraId="2CB03F36">
      <w:pPr>
        <w:spacing w:before="19"/>
      </w:pPr>
    </w:p>
    <w:p w14:paraId="4425F51E">
      <w:pPr>
        <w:spacing w:before="18"/>
      </w:pPr>
    </w:p>
    <w:p w14:paraId="4C8A0817">
      <w:pPr>
        <w:spacing w:before="18"/>
      </w:pPr>
    </w:p>
    <w:tbl>
      <w:tblPr>
        <w:tblStyle w:val="5"/>
        <w:tblW w:w="852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5"/>
        <w:gridCol w:w="115"/>
        <w:gridCol w:w="439"/>
        <w:gridCol w:w="1539"/>
        <w:gridCol w:w="3041"/>
        <w:gridCol w:w="2891"/>
        <w:gridCol w:w="124"/>
      </w:tblGrid>
      <w:tr w14:paraId="6368F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4" w:hRule="atLeast"/>
        </w:trPr>
        <w:tc>
          <w:tcPr>
            <w:tcW w:w="375" w:type="dxa"/>
            <w:vMerge w:val="restart"/>
            <w:tcBorders>
              <w:top w:val="single" w:color="000000" w:sz="6" w:space="0"/>
              <w:left w:val="single" w:color="000000" w:sz="6" w:space="0"/>
              <w:bottom w:val="nil"/>
              <w:right w:val="single" w:color="000000" w:sz="6" w:space="0"/>
            </w:tcBorders>
            <w:vAlign w:val="top"/>
          </w:tcPr>
          <w:p w14:paraId="71450E3D">
            <w:pPr>
              <w:rPr>
                <w:rFonts w:ascii="Arial"/>
                <w:sz w:val="21"/>
              </w:rPr>
            </w:pPr>
          </w:p>
        </w:tc>
        <w:tc>
          <w:tcPr>
            <w:tcW w:w="8149" w:type="dxa"/>
            <w:gridSpan w:val="6"/>
            <w:tcBorders>
              <w:top w:val="single" w:color="000000" w:sz="6" w:space="0"/>
              <w:left w:val="single" w:color="000000" w:sz="6" w:space="0"/>
              <w:right w:val="single" w:color="000000" w:sz="6" w:space="0"/>
            </w:tcBorders>
            <w:vAlign w:val="top"/>
          </w:tcPr>
          <w:p w14:paraId="407080A8">
            <w:pPr>
              <w:pStyle w:val="6"/>
              <w:spacing w:before="42" w:line="357" w:lineRule="auto"/>
              <w:ind w:left="130" w:right="145" w:hanging="4"/>
              <w:rPr>
                <w:sz w:val="24"/>
                <w:szCs w:val="24"/>
              </w:rPr>
            </w:pPr>
            <w:r>
              <w:rPr>
                <w:spacing w:val="-3"/>
                <w:sz w:val="24"/>
                <w:szCs w:val="24"/>
              </w:rPr>
              <w:t>回段线路，拟建松山变至</w:t>
            </w:r>
            <w:r>
              <w:rPr>
                <w:spacing w:val="-53"/>
                <w:sz w:val="24"/>
                <w:szCs w:val="24"/>
              </w:rPr>
              <w:t xml:space="preserve"> </w:t>
            </w:r>
            <w:r>
              <w:rPr>
                <w:rFonts w:ascii="Times New Roman" w:hAnsi="Times New Roman" w:eastAsia="Times New Roman" w:cs="Times New Roman"/>
                <w:spacing w:val="-3"/>
                <w:sz w:val="24"/>
                <w:szCs w:val="24"/>
              </w:rPr>
              <w:t xml:space="preserve">T </w:t>
            </w:r>
            <w:r>
              <w:rPr>
                <w:spacing w:val="-3"/>
                <w:sz w:val="24"/>
                <w:szCs w:val="24"/>
              </w:rPr>
              <w:t>接点线路采用单回路架设，线路路径长</w:t>
            </w:r>
            <w:r>
              <w:rPr>
                <w:spacing w:val="-4"/>
                <w:sz w:val="24"/>
                <w:szCs w:val="24"/>
              </w:rPr>
              <w:t>约</w:t>
            </w:r>
            <w:r>
              <w:rPr>
                <w:spacing w:val="-50"/>
                <w:sz w:val="24"/>
                <w:szCs w:val="24"/>
              </w:rPr>
              <w:t xml:space="preserve"> </w:t>
            </w:r>
            <w:r>
              <w:rPr>
                <w:rFonts w:ascii="Times New Roman" w:hAnsi="Times New Roman" w:eastAsia="Times New Roman" w:cs="Times New Roman"/>
                <w:spacing w:val="-4"/>
                <w:sz w:val="24"/>
                <w:szCs w:val="24"/>
              </w:rPr>
              <w:t>6km</w:t>
            </w:r>
            <w:r>
              <w:rPr>
                <w:spacing w:val="-4"/>
                <w:sz w:val="24"/>
                <w:szCs w:val="24"/>
              </w:rPr>
              <w:t>，</w:t>
            </w:r>
            <w:r>
              <w:rPr>
                <w:spacing w:val="-5"/>
                <w:sz w:val="24"/>
                <w:szCs w:val="24"/>
              </w:rPr>
              <w:t>曲折系数</w:t>
            </w:r>
            <w:r>
              <w:rPr>
                <w:spacing w:val="-27"/>
                <w:sz w:val="24"/>
                <w:szCs w:val="24"/>
              </w:rPr>
              <w:t xml:space="preserve"> </w:t>
            </w:r>
            <w:r>
              <w:rPr>
                <w:rFonts w:ascii="Times New Roman" w:hAnsi="Times New Roman" w:eastAsia="Times New Roman" w:cs="Times New Roman"/>
                <w:spacing w:val="-5"/>
                <w:sz w:val="24"/>
                <w:szCs w:val="24"/>
              </w:rPr>
              <w:t>1.13</w:t>
            </w:r>
            <w:r>
              <w:rPr>
                <w:rFonts w:ascii="Times New Roman" w:hAnsi="Times New Roman" w:eastAsia="Times New Roman" w:cs="Times New Roman"/>
                <w:spacing w:val="-27"/>
                <w:sz w:val="24"/>
                <w:szCs w:val="24"/>
              </w:rPr>
              <w:t xml:space="preserve"> </w:t>
            </w:r>
            <w:r>
              <w:rPr>
                <w:spacing w:val="-5"/>
                <w:sz w:val="24"/>
                <w:szCs w:val="24"/>
              </w:rPr>
              <w:t>。线路全线位于陆良县境内。</w:t>
            </w:r>
          </w:p>
          <w:p w14:paraId="4E0F0150">
            <w:pPr>
              <w:pStyle w:val="6"/>
              <w:spacing w:line="215" w:lineRule="auto"/>
              <w:ind w:left="101"/>
            </w:pPr>
            <w:r>
              <w:rPr>
                <w:b/>
                <w:bCs/>
                <w:spacing w:val="5"/>
              </w:rPr>
              <w:t>表</w:t>
            </w:r>
            <w:r>
              <w:rPr>
                <w:spacing w:val="-57"/>
              </w:rPr>
              <w:t xml:space="preserve"> </w:t>
            </w:r>
            <w:r>
              <w:rPr>
                <w:rFonts w:ascii="Times New Roman" w:hAnsi="Times New Roman" w:eastAsia="Times New Roman" w:cs="Times New Roman"/>
                <w:b/>
                <w:bCs/>
                <w:spacing w:val="5"/>
              </w:rPr>
              <w:t>2-16    110</w:t>
            </w:r>
            <w:r>
              <w:rPr>
                <w:rFonts w:ascii="Times New Roman" w:hAnsi="Times New Roman" w:eastAsia="Times New Roman" w:cs="Times New Roman"/>
                <w:b/>
                <w:bCs/>
              </w:rPr>
              <w:t>kV</w:t>
            </w:r>
            <w:r>
              <w:rPr>
                <w:rFonts w:ascii="Times New Roman" w:hAnsi="Times New Roman" w:eastAsia="Times New Roman" w:cs="Times New Roman"/>
                <w:b/>
                <w:bCs/>
                <w:spacing w:val="5"/>
              </w:rPr>
              <w:t xml:space="preserve"> </w:t>
            </w:r>
            <w:r>
              <w:rPr>
                <w:b/>
                <w:bCs/>
                <w:spacing w:val="5"/>
              </w:rPr>
              <w:t>松山变</w:t>
            </w:r>
            <w:r>
              <w:rPr>
                <w:rFonts w:ascii="Times New Roman" w:hAnsi="Times New Roman" w:eastAsia="Times New Roman" w:cs="Times New Roman"/>
                <w:b/>
                <w:bCs/>
                <w:spacing w:val="5"/>
              </w:rPr>
              <w:t>“T”</w:t>
            </w:r>
            <w:r>
              <w:rPr>
                <w:b/>
                <w:bCs/>
                <w:spacing w:val="5"/>
              </w:rPr>
              <w:t>接芳华变</w:t>
            </w:r>
            <w:r>
              <w:rPr>
                <w:b/>
                <w:bCs/>
                <w:spacing w:val="4"/>
              </w:rPr>
              <w:t>出线π接</w:t>
            </w:r>
            <w:r>
              <w:rPr>
                <w:spacing w:val="-48"/>
              </w:rPr>
              <w:t xml:space="preserve"> </w:t>
            </w:r>
            <w:r>
              <w:rPr>
                <w:rFonts w:ascii="Times New Roman" w:hAnsi="Times New Roman" w:eastAsia="Times New Roman" w:cs="Times New Roman"/>
                <w:b/>
                <w:bCs/>
                <w:spacing w:val="4"/>
              </w:rPr>
              <w:t>110</w:t>
            </w:r>
            <w:r>
              <w:rPr>
                <w:rFonts w:ascii="Times New Roman" w:hAnsi="Times New Roman" w:eastAsia="Times New Roman" w:cs="Times New Roman"/>
                <w:b/>
                <w:bCs/>
              </w:rPr>
              <w:t>kV</w:t>
            </w:r>
            <w:r>
              <w:rPr>
                <w:rFonts w:ascii="Times New Roman" w:hAnsi="Times New Roman" w:eastAsia="Times New Roman" w:cs="Times New Roman"/>
                <w:b/>
                <w:bCs/>
                <w:spacing w:val="4"/>
              </w:rPr>
              <w:t xml:space="preserve"> </w:t>
            </w:r>
            <w:r>
              <w:rPr>
                <w:b/>
                <w:bCs/>
                <w:spacing w:val="4"/>
              </w:rPr>
              <w:t>吉中线的</w:t>
            </w:r>
            <w:r>
              <w:rPr>
                <w:spacing w:val="-48"/>
              </w:rPr>
              <w:t xml:space="preserve"> </w:t>
            </w:r>
            <w:r>
              <w:rPr>
                <w:rFonts w:ascii="Times New Roman" w:hAnsi="Times New Roman" w:eastAsia="Times New Roman" w:cs="Times New Roman"/>
                <w:b/>
                <w:bCs/>
                <w:spacing w:val="4"/>
              </w:rPr>
              <w:t>110</w:t>
            </w:r>
            <w:r>
              <w:rPr>
                <w:rFonts w:ascii="Times New Roman" w:hAnsi="Times New Roman" w:eastAsia="Times New Roman" w:cs="Times New Roman"/>
                <w:b/>
                <w:bCs/>
              </w:rPr>
              <w:t>kV</w:t>
            </w:r>
            <w:r>
              <w:rPr>
                <w:rFonts w:ascii="Times New Roman" w:hAnsi="Times New Roman" w:eastAsia="Times New Roman" w:cs="Times New Roman"/>
                <w:b/>
                <w:bCs/>
                <w:spacing w:val="4"/>
              </w:rPr>
              <w:t xml:space="preserve"> </w:t>
            </w:r>
            <w:r>
              <w:rPr>
                <w:b/>
                <w:bCs/>
                <w:spacing w:val="4"/>
              </w:rPr>
              <w:t>线路路径方案比选</w:t>
            </w:r>
          </w:p>
        </w:tc>
      </w:tr>
      <w:tr w14:paraId="234ED3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19036ABA">
            <w:pPr>
              <w:rPr>
                <w:rFonts w:ascii="Arial"/>
                <w:sz w:val="21"/>
              </w:rPr>
            </w:pPr>
          </w:p>
        </w:tc>
        <w:tc>
          <w:tcPr>
            <w:tcW w:w="115" w:type="dxa"/>
            <w:tcBorders>
              <w:top w:val="nil"/>
              <w:left w:val="single" w:color="000000" w:sz="6" w:space="0"/>
              <w:bottom w:val="nil"/>
            </w:tcBorders>
            <w:vAlign w:val="top"/>
          </w:tcPr>
          <w:p w14:paraId="0A5B2768">
            <w:pPr>
              <w:rPr>
                <w:rFonts w:ascii="Arial"/>
                <w:sz w:val="21"/>
              </w:rPr>
            </w:pPr>
          </w:p>
        </w:tc>
        <w:tc>
          <w:tcPr>
            <w:tcW w:w="439" w:type="dxa"/>
            <w:textDirection w:val="tbRlV"/>
            <w:vAlign w:val="top"/>
          </w:tcPr>
          <w:p w14:paraId="5FB4C714">
            <w:pPr>
              <w:pStyle w:val="6"/>
              <w:spacing w:before="125" w:line="218" w:lineRule="auto"/>
              <w:ind w:left="32"/>
            </w:pPr>
            <w:r>
              <w:rPr>
                <w:spacing w:val="8"/>
              </w:rPr>
              <w:t>序</w:t>
            </w:r>
            <w:r>
              <w:rPr>
                <w:spacing w:val="-35"/>
              </w:rPr>
              <w:t xml:space="preserve"> </w:t>
            </w:r>
            <w:r>
              <w:rPr>
                <w:spacing w:val="8"/>
              </w:rPr>
              <w:t>号</w:t>
            </w:r>
          </w:p>
        </w:tc>
        <w:tc>
          <w:tcPr>
            <w:tcW w:w="1539" w:type="dxa"/>
            <w:vAlign w:val="top"/>
          </w:tcPr>
          <w:p w14:paraId="2E6BB7A9">
            <w:pPr>
              <w:pStyle w:val="6"/>
              <w:spacing w:before="168" w:line="228" w:lineRule="auto"/>
              <w:ind w:left="108"/>
            </w:pPr>
            <w:r>
              <w:rPr>
                <w:spacing w:val="7"/>
              </w:rPr>
              <w:t>方案内容</w:t>
            </w:r>
          </w:p>
        </w:tc>
        <w:tc>
          <w:tcPr>
            <w:tcW w:w="3041" w:type="dxa"/>
            <w:vAlign w:val="top"/>
          </w:tcPr>
          <w:p w14:paraId="376F8795">
            <w:pPr>
              <w:pStyle w:val="6"/>
              <w:spacing w:before="153" w:line="219" w:lineRule="auto"/>
              <w:ind w:left="700"/>
              <w:rPr>
                <w:sz w:val="24"/>
                <w:szCs w:val="24"/>
              </w:rPr>
            </w:pPr>
            <w:r>
              <w:rPr>
                <w:rFonts w:ascii="Times New Roman" w:hAnsi="Times New Roman" w:eastAsia="Times New Roman" w:cs="Times New Roman"/>
                <w:sz w:val="24"/>
                <w:szCs w:val="24"/>
              </w:rPr>
              <w:t xml:space="preserve">T </w:t>
            </w:r>
            <w:r>
              <w:rPr>
                <w:sz w:val="24"/>
                <w:szCs w:val="24"/>
              </w:rPr>
              <w:t>接推荐方案一</w:t>
            </w:r>
          </w:p>
        </w:tc>
        <w:tc>
          <w:tcPr>
            <w:tcW w:w="2891" w:type="dxa"/>
            <w:vAlign w:val="top"/>
          </w:tcPr>
          <w:p w14:paraId="498B1EA3">
            <w:pPr>
              <w:pStyle w:val="6"/>
              <w:spacing w:before="154" w:line="220" w:lineRule="auto"/>
              <w:ind w:left="631"/>
              <w:rPr>
                <w:sz w:val="24"/>
                <w:szCs w:val="24"/>
              </w:rPr>
            </w:pPr>
            <w:r>
              <w:rPr>
                <w:rFonts w:ascii="Times New Roman" w:hAnsi="Times New Roman" w:eastAsia="Times New Roman" w:cs="Times New Roman"/>
                <w:spacing w:val="-1"/>
                <w:sz w:val="24"/>
                <w:szCs w:val="24"/>
              </w:rPr>
              <w:t xml:space="preserve">T </w:t>
            </w:r>
            <w:r>
              <w:rPr>
                <w:spacing w:val="-1"/>
                <w:sz w:val="24"/>
                <w:szCs w:val="24"/>
              </w:rPr>
              <w:t>接比选方案二</w:t>
            </w:r>
          </w:p>
        </w:tc>
        <w:tc>
          <w:tcPr>
            <w:tcW w:w="124" w:type="dxa"/>
            <w:tcBorders>
              <w:top w:val="nil"/>
              <w:bottom w:val="nil"/>
              <w:right w:val="single" w:color="000000" w:sz="6" w:space="0"/>
            </w:tcBorders>
            <w:vAlign w:val="top"/>
          </w:tcPr>
          <w:p w14:paraId="03B19459">
            <w:pPr>
              <w:rPr>
                <w:rFonts w:ascii="Arial"/>
                <w:sz w:val="21"/>
              </w:rPr>
            </w:pPr>
          </w:p>
        </w:tc>
      </w:tr>
      <w:tr w14:paraId="10941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375" w:type="dxa"/>
            <w:vMerge w:val="continue"/>
            <w:tcBorders>
              <w:top w:val="nil"/>
              <w:left w:val="single" w:color="000000" w:sz="6" w:space="0"/>
              <w:bottom w:val="nil"/>
              <w:right w:val="single" w:color="000000" w:sz="6" w:space="0"/>
            </w:tcBorders>
            <w:vAlign w:val="top"/>
          </w:tcPr>
          <w:p w14:paraId="3D7078ED">
            <w:pPr>
              <w:rPr>
                <w:rFonts w:ascii="Arial"/>
                <w:sz w:val="21"/>
              </w:rPr>
            </w:pPr>
          </w:p>
        </w:tc>
        <w:tc>
          <w:tcPr>
            <w:tcW w:w="115" w:type="dxa"/>
            <w:tcBorders>
              <w:top w:val="nil"/>
              <w:left w:val="single" w:color="000000" w:sz="6" w:space="0"/>
              <w:bottom w:val="nil"/>
            </w:tcBorders>
            <w:vAlign w:val="top"/>
          </w:tcPr>
          <w:p w14:paraId="2C7E4482">
            <w:pPr>
              <w:rPr>
                <w:rFonts w:ascii="Arial"/>
                <w:sz w:val="21"/>
              </w:rPr>
            </w:pPr>
          </w:p>
        </w:tc>
        <w:tc>
          <w:tcPr>
            <w:tcW w:w="439" w:type="dxa"/>
            <w:vAlign w:val="top"/>
          </w:tcPr>
          <w:p w14:paraId="59452CE5">
            <w:pPr>
              <w:spacing w:before="95" w:line="195" w:lineRule="auto"/>
              <w:ind w:left="123"/>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539" w:type="dxa"/>
            <w:vAlign w:val="top"/>
          </w:tcPr>
          <w:p w14:paraId="4A36C59A">
            <w:pPr>
              <w:pStyle w:val="6"/>
              <w:spacing w:before="56" w:line="228" w:lineRule="auto"/>
              <w:ind w:right="16"/>
              <w:jc w:val="right"/>
            </w:pPr>
            <w:r>
              <w:rPr>
                <w:spacing w:val="-6"/>
              </w:rPr>
              <w:t>线路长度（</w:t>
            </w:r>
            <w:r>
              <w:rPr>
                <w:rFonts w:ascii="Times New Roman" w:hAnsi="Times New Roman" w:eastAsia="Times New Roman" w:cs="Times New Roman"/>
                <w:spacing w:val="-6"/>
              </w:rPr>
              <w:t>km</w:t>
            </w:r>
            <w:r>
              <w:rPr>
                <w:spacing w:val="-6"/>
              </w:rPr>
              <w:t>）</w:t>
            </w:r>
          </w:p>
        </w:tc>
        <w:tc>
          <w:tcPr>
            <w:tcW w:w="3041" w:type="dxa"/>
            <w:vAlign w:val="top"/>
          </w:tcPr>
          <w:p w14:paraId="5D73E8F5">
            <w:pPr>
              <w:pStyle w:val="6"/>
              <w:spacing w:before="56" w:line="228" w:lineRule="auto"/>
              <w:ind w:left="764"/>
            </w:pPr>
            <w:r>
              <w:rPr>
                <w:spacing w:val="4"/>
              </w:rPr>
              <w:t>线路约</w:t>
            </w:r>
            <w:r>
              <w:rPr>
                <w:spacing w:val="-35"/>
              </w:rPr>
              <w:t xml:space="preserve"> </w:t>
            </w:r>
            <w:r>
              <w:rPr>
                <w:rFonts w:ascii="Times New Roman" w:hAnsi="Times New Roman" w:eastAsia="Times New Roman" w:cs="Times New Roman"/>
                <w:spacing w:val="4"/>
              </w:rPr>
              <w:t>5.78</w:t>
            </w:r>
            <w:r>
              <w:rPr>
                <w:rFonts w:ascii="Times New Roman" w:hAnsi="Times New Roman" w:eastAsia="Times New Roman" w:cs="Times New Roman"/>
              </w:rPr>
              <w:t>km</w:t>
            </w:r>
            <w:r>
              <w:rPr>
                <w:spacing w:val="4"/>
              </w:rPr>
              <w:t>，</w:t>
            </w:r>
          </w:p>
        </w:tc>
        <w:tc>
          <w:tcPr>
            <w:tcW w:w="2891" w:type="dxa"/>
            <w:vAlign w:val="top"/>
          </w:tcPr>
          <w:p w14:paraId="7E90FA35">
            <w:pPr>
              <w:pStyle w:val="6"/>
              <w:spacing w:before="56" w:line="228" w:lineRule="auto"/>
              <w:ind w:left="929"/>
              <w:rPr>
                <w:rFonts w:ascii="Times New Roman" w:hAnsi="Times New Roman" w:eastAsia="Times New Roman" w:cs="Times New Roman"/>
              </w:rPr>
            </w:pPr>
            <w:r>
              <w:rPr>
                <w:spacing w:val="6"/>
              </w:rPr>
              <w:t>线路约</w:t>
            </w:r>
            <w:r>
              <w:rPr>
                <w:spacing w:val="-39"/>
              </w:rPr>
              <w:t xml:space="preserve"> </w:t>
            </w:r>
            <w:r>
              <w:rPr>
                <w:rFonts w:ascii="Times New Roman" w:hAnsi="Times New Roman" w:eastAsia="Times New Roman" w:cs="Times New Roman"/>
                <w:spacing w:val="6"/>
              </w:rPr>
              <w:t>6</w:t>
            </w:r>
            <w:r>
              <w:rPr>
                <w:rFonts w:ascii="Times New Roman" w:hAnsi="Times New Roman" w:eastAsia="Times New Roman" w:cs="Times New Roman"/>
              </w:rPr>
              <w:t>km</w:t>
            </w:r>
          </w:p>
        </w:tc>
        <w:tc>
          <w:tcPr>
            <w:tcW w:w="124" w:type="dxa"/>
            <w:tcBorders>
              <w:top w:val="nil"/>
              <w:bottom w:val="nil"/>
              <w:right w:val="single" w:color="000000" w:sz="6" w:space="0"/>
            </w:tcBorders>
            <w:vAlign w:val="top"/>
          </w:tcPr>
          <w:p w14:paraId="361D30B9">
            <w:pPr>
              <w:rPr>
                <w:rFonts w:ascii="Arial"/>
                <w:sz w:val="21"/>
              </w:rPr>
            </w:pPr>
          </w:p>
        </w:tc>
      </w:tr>
      <w:tr w14:paraId="76E65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375" w:type="dxa"/>
            <w:vMerge w:val="continue"/>
            <w:tcBorders>
              <w:top w:val="nil"/>
              <w:left w:val="single" w:color="000000" w:sz="6" w:space="0"/>
              <w:bottom w:val="nil"/>
              <w:right w:val="single" w:color="000000" w:sz="6" w:space="0"/>
            </w:tcBorders>
            <w:vAlign w:val="top"/>
          </w:tcPr>
          <w:p w14:paraId="0DAD4807">
            <w:pPr>
              <w:rPr>
                <w:rFonts w:ascii="Arial"/>
                <w:sz w:val="21"/>
              </w:rPr>
            </w:pPr>
          </w:p>
        </w:tc>
        <w:tc>
          <w:tcPr>
            <w:tcW w:w="115" w:type="dxa"/>
            <w:tcBorders>
              <w:top w:val="nil"/>
              <w:left w:val="single" w:color="000000" w:sz="6" w:space="0"/>
              <w:bottom w:val="nil"/>
            </w:tcBorders>
            <w:vAlign w:val="top"/>
          </w:tcPr>
          <w:p w14:paraId="1366B780">
            <w:pPr>
              <w:rPr>
                <w:rFonts w:ascii="Arial"/>
                <w:sz w:val="21"/>
              </w:rPr>
            </w:pPr>
          </w:p>
        </w:tc>
        <w:tc>
          <w:tcPr>
            <w:tcW w:w="439" w:type="dxa"/>
            <w:vAlign w:val="top"/>
          </w:tcPr>
          <w:p w14:paraId="7DFCA58A">
            <w:pPr>
              <w:spacing w:before="95" w:line="195" w:lineRule="auto"/>
              <w:ind w:left="103"/>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539" w:type="dxa"/>
            <w:vAlign w:val="top"/>
          </w:tcPr>
          <w:p w14:paraId="3DC1B39A">
            <w:pPr>
              <w:pStyle w:val="6"/>
              <w:spacing w:before="58" w:line="228" w:lineRule="auto"/>
              <w:ind w:left="131"/>
            </w:pPr>
            <w:r>
              <w:rPr>
                <w:spacing w:val="1"/>
              </w:rPr>
              <w:t>曲折系数</w:t>
            </w:r>
          </w:p>
        </w:tc>
        <w:tc>
          <w:tcPr>
            <w:tcW w:w="3041" w:type="dxa"/>
            <w:vAlign w:val="top"/>
          </w:tcPr>
          <w:p w14:paraId="2FFA6246">
            <w:pPr>
              <w:spacing w:before="95" w:line="195" w:lineRule="auto"/>
              <w:ind w:left="1361"/>
              <w:rPr>
                <w:rFonts w:ascii="Times New Roman" w:hAnsi="Times New Roman" w:eastAsia="Times New Roman" w:cs="Times New Roman"/>
                <w:sz w:val="20"/>
                <w:szCs w:val="20"/>
              </w:rPr>
            </w:pPr>
            <w:r>
              <w:rPr>
                <w:rFonts w:ascii="Times New Roman" w:hAnsi="Times New Roman" w:eastAsia="Times New Roman" w:cs="Times New Roman"/>
                <w:spacing w:val="-9"/>
                <w:sz w:val="20"/>
                <w:szCs w:val="20"/>
              </w:rPr>
              <w:t>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9"/>
                <w:sz w:val="20"/>
                <w:szCs w:val="20"/>
              </w:rPr>
              <w:t>11</w:t>
            </w:r>
          </w:p>
        </w:tc>
        <w:tc>
          <w:tcPr>
            <w:tcW w:w="2891" w:type="dxa"/>
            <w:vAlign w:val="top"/>
          </w:tcPr>
          <w:p w14:paraId="0A665B4F">
            <w:pPr>
              <w:spacing w:before="95" w:line="195" w:lineRule="auto"/>
              <w:ind w:left="12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1.13</w:t>
            </w:r>
          </w:p>
        </w:tc>
        <w:tc>
          <w:tcPr>
            <w:tcW w:w="124" w:type="dxa"/>
            <w:tcBorders>
              <w:top w:val="nil"/>
              <w:bottom w:val="nil"/>
              <w:right w:val="single" w:color="000000" w:sz="6" w:space="0"/>
            </w:tcBorders>
            <w:vAlign w:val="top"/>
          </w:tcPr>
          <w:p w14:paraId="23A68F84">
            <w:pPr>
              <w:rPr>
                <w:rFonts w:ascii="Arial"/>
                <w:sz w:val="21"/>
              </w:rPr>
            </w:pPr>
          </w:p>
        </w:tc>
      </w:tr>
      <w:tr w14:paraId="26A22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375" w:type="dxa"/>
            <w:vMerge w:val="continue"/>
            <w:tcBorders>
              <w:top w:val="nil"/>
              <w:left w:val="single" w:color="000000" w:sz="6" w:space="0"/>
              <w:bottom w:val="nil"/>
              <w:right w:val="single" w:color="000000" w:sz="6" w:space="0"/>
            </w:tcBorders>
            <w:vAlign w:val="top"/>
          </w:tcPr>
          <w:p w14:paraId="7CD595F6">
            <w:pPr>
              <w:rPr>
                <w:rFonts w:ascii="Arial"/>
                <w:sz w:val="21"/>
              </w:rPr>
            </w:pPr>
          </w:p>
        </w:tc>
        <w:tc>
          <w:tcPr>
            <w:tcW w:w="115" w:type="dxa"/>
            <w:tcBorders>
              <w:top w:val="nil"/>
              <w:left w:val="single" w:color="000000" w:sz="6" w:space="0"/>
              <w:bottom w:val="nil"/>
            </w:tcBorders>
            <w:vAlign w:val="top"/>
          </w:tcPr>
          <w:p w14:paraId="73A42D7A">
            <w:pPr>
              <w:rPr>
                <w:rFonts w:ascii="Arial"/>
                <w:sz w:val="21"/>
              </w:rPr>
            </w:pPr>
          </w:p>
        </w:tc>
        <w:tc>
          <w:tcPr>
            <w:tcW w:w="439" w:type="dxa"/>
            <w:vAlign w:val="top"/>
          </w:tcPr>
          <w:p w14:paraId="4CF0AECB">
            <w:pPr>
              <w:spacing w:before="95" w:line="195" w:lineRule="auto"/>
              <w:ind w:left="107"/>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539" w:type="dxa"/>
            <w:vAlign w:val="top"/>
          </w:tcPr>
          <w:p w14:paraId="68DA9DF6">
            <w:pPr>
              <w:pStyle w:val="6"/>
              <w:spacing w:before="59" w:line="228" w:lineRule="auto"/>
              <w:ind w:left="107"/>
            </w:pPr>
            <w:r>
              <w:rPr>
                <w:spacing w:val="7"/>
              </w:rPr>
              <w:t>地形概述</w:t>
            </w:r>
          </w:p>
        </w:tc>
        <w:tc>
          <w:tcPr>
            <w:tcW w:w="3041" w:type="dxa"/>
            <w:vAlign w:val="top"/>
          </w:tcPr>
          <w:p w14:paraId="3C73225D">
            <w:pPr>
              <w:pStyle w:val="6"/>
              <w:spacing w:before="59" w:line="228" w:lineRule="auto"/>
              <w:ind w:left="561"/>
              <w:rPr>
                <w:rFonts w:ascii="Times New Roman" w:hAnsi="Times New Roman" w:eastAsia="Times New Roman" w:cs="Times New Roman"/>
              </w:rPr>
            </w:pPr>
            <w:r>
              <w:rPr>
                <w:spacing w:val="3"/>
              </w:rPr>
              <w:t>平地</w:t>
            </w:r>
            <w:r>
              <w:rPr>
                <w:spacing w:val="-32"/>
              </w:rPr>
              <w:t xml:space="preserve"> </w:t>
            </w:r>
            <w:r>
              <w:rPr>
                <w:rFonts w:ascii="Times New Roman" w:hAnsi="Times New Roman" w:eastAsia="Times New Roman" w:cs="Times New Roman"/>
                <w:spacing w:val="3"/>
              </w:rPr>
              <w:t>80%</w:t>
            </w:r>
            <w:r>
              <w:rPr>
                <w:rFonts w:ascii="Times New Roman" w:hAnsi="Times New Roman" w:eastAsia="Times New Roman" w:cs="Times New Roman"/>
                <w:spacing w:val="-26"/>
              </w:rPr>
              <w:t xml:space="preserve"> </w:t>
            </w:r>
            <w:r>
              <w:rPr>
                <w:spacing w:val="3"/>
              </w:rPr>
              <w:t>、丘陵</w:t>
            </w:r>
            <w:r>
              <w:rPr>
                <w:spacing w:val="-43"/>
              </w:rPr>
              <w:t xml:space="preserve"> </w:t>
            </w:r>
            <w:r>
              <w:rPr>
                <w:rFonts w:ascii="Times New Roman" w:hAnsi="Times New Roman" w:eastAsia="Times New Roman" w:cs="Times New Roman"/>
                <w:spacing w:val="3"/>
              </w:rPr>
              <w:t>20%</w:t>
            </w:r>
          </w:p>
        </w:tc>
        <w:tc>
          <w:tcPr>
            <w:tcW w:w="2891" w:type="dxa"/>
            <w:vAlign w:val="top"/>
          </w:tcPr>
          <w:p w14:paraId="7809F6F0">
            <w:pPr>
              <w:pStyle w:val="6"/>
              <w:spacing w:before="59" w:line="228" w:lineRule="auto"/>
              <w:ind w:left="492"/>
              <w:rPr>
                <w:rFonts w:ascii="Times New Roman" w:hAnsi="Times New Roman" w:eastAsia="Times New Roman" w:cs="Times New Roman"/>
              </w:rPr>
            </w:pPr>
            <w:r>
              <w:rPr>
                <w:spacing w:val="2"/>
              </w:rPr>
              <w:t>平地</w:t>
            </w:r>
            <w:r>
              <w:rPr>
                <w:spacing w:val="-24"/>
              </w:rPr>
              <w:t xml:space="preserve"> </w:t>
            </w:r>
            <w:r>
              <w:rPr>
                <w:rFonts w:ascii="Times New Roman" w:hAnsi="Times New Roman" w:eastAsia="Times New Roman" w:cs="Times New Roman"/>
                <w:spacing w:val="2"/>
              </w:rPr>
              <w:t>80%</w:t>
            </w:r>
            <w:r>
              <w:rPr>
                <w:rFonts w:ascii="Times New Roman" w:hAnsi="Times New Roman" w:eastAsia="Times New Roman" w:cs="Times New Roman"/>
                <w:spacing w:val="-26"/>
              </w:rPr>
              <w:t xml:space="preserve"> </w:t>
            </w:r>
            <w:r>
              <w:rPr>
                <w:spacing w:val="2"/>
              </w:rPr>
              <w:t>、丘陵</w:t>
            </w:r>
            <w:r>
              <w:rPr>
                <w:spacing w:val="-40"/>
              </w:rPr>
              <w:t xml:space="preserve"> </w:t>
            </w:r>
            <w:r>
              <w:rPr>
                <w:rFonts w:ascii="Times New Roman" w:hAnsi="Times New Roman" w:eastAsia="Times New Roman" w:cs="Times New Roman"/>
                <w:spacing w:val="2"/>
              </w:rPr>
              <w:t>20%</w:t>
            </w:r>
          </w:p>
        </w:tc>
        <w:tc>
          <w:tcPr>
            <w:tcW w:w="124" w:type="dxa"/>
            <w:tcBorders>
              <w:top w:val="nil"/>
              <w:bottom w:val="nil"/>
              <w:right w:val="single" w:color="000000" w:sz="6" w:space="0"/>
            </w:tcBorders>
            <w:vAlign w:val="top"/>
          </w:tcPr>
          <w:p w14:paraId="7CCD551F">
            <w:pPr>
              <w:rPr>
                <w:rFonts w:ascii="Arial"/>
                <w:sz w:val="21"/>
              </w:rPr>
            </w:pPr>
          </w:p>
        </w:tc>
      </w:tr>
      <w:tr w14:paraId="16A32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375" w:type="dxa"/>
            <w:vMerge w:val="continue"/>
            <w:tcBorders>
              <w:top w:val="nil"/>
              <w:left w:val="single" w:color="000000" w:sz="6" w:space="0"/>
              <w:bottom w:val="nil"/>
              <w:right w:val="single" w:color="000000" w:sz="6" w:space="0"/>
            </w:tcBorders>
            <w:vAlign w:val="top"/>
          </w:tcPr>
          <w:p w14:paraId="4EBAAD3B">
            <w:pPr>
              <w:rPr>
                <w:rFonts w:ascii="Arial"/>
                <w:sz w:val="21"/>
              </w:rPr>
            </w:pPr>
          </w:p>
        </w:tc>
        <w:tc>
          <w:tcPr>
            <w:tcW w:w="115" w:type="dxa"/>
            <w:tcBorders>
              <w:top w:val="nil"/>
              <w:left w:val="single" w:color="000000" w:sz="6" w:space="0"/>
              <w:bottom w:val="nil"/>
            </w:tcBorders>
            <w:vAlign w:val="top"/>
          </w:tcPr>
          <w:p w14:paraId="4EC35BF7">
            <w:pPr>
              <w:rPr>
                <w:rFonts w:ascii="Arial"/>
                <w:sz w:val="21"/>
              </w:rPr>
            </w:pPr>
          </w:p>
        </w:tc>
        <w:tc>
          <w:tcPr>
            <w:tcW w:w="439" w:type="dxa"/>
            <w:vAlign w:val="top"/>
          </w:tcPr>
          <w:p w14:paraId="663E1C20">
            <w:pPr>
              <w:spacing w:before="98" w:line="195" w:lineRule="auto"/>
              <w:ind w:left="10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539" w:type="dxa"/>
            <w:vAlign w:val="top"/>
          </w:tcPr>
          <w:p w14:paraId="4718DAF0">
            <w:pPr>
              <w:pStyle w:val="6"/>
              <w:spacing w:before="60" w:line="228" w:lineRule="auto"/>
              <w:ind w:left="106"/>
            </w:pPr>
            <w:r>
              <w:rPr>
                <w:spacing w:val="5"/>
              </w:rPr>
              <w:t>海拔</w:t>
            </w:r>
          </w:p>
        </w:tc>
        <w:tc>
          <w:tcPr>
            <w:tcW w:w="3041" w:type="dxa"/>
            <w:vAlign w:val="top"/>
          </w:tcPr>
          <w:p w14:paraId="10B64CBC">
            <w:pPr>
              <w:spacing w:before="97" w:line="195" w:lineRule="auto"/>
              <w:ind w:left="982"/>
              <w:rPr>
                <w:rFonts w:ascii="Times New Roman" w:hAnsi="Times New Roman" w:eastAsia="Times New Roman" w:cs="Times New Roman"/>
                <w:sz w:val="20"/>
                <w:szCs w:val="20"/>
              </w:rPr>
            </w:pPr>
            <w:r>
              <w:rPr>
                <w:rFonts w:ascii="Times New Roman" w:hAnsi="Times New Roman" w:eastAsia="Times New Roman" w:cs="Times New Roman"/>
                <w:sz w:val="20"/>
                <w:szCs w:val="20"/>
              </w:rPr>
              <w:t>1860~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1913m</w:t>
            </w:r>
          </w:p>
        </w:tc>
        <w:tc>
          <w:tcPr>
            <w:tcW w:w="2891" w:type="dxa"/>
            <w:vAlign w:val="top"/>
          </w:tcPr>
          <w:p w14:paraId="6415C66D">
            <w:pPr>
              <w:spacing w:before="97" w:line="195" w:lineRule="auto"/>
              <w:ind w:left="912"/>
              <w:rPr>
                <w:rFonts w:ascii="Times New Roman" w:hAnsi="Times New Roman" w:eastAsia="Times New Roman" w:cs="Times New Roman"/>
                <w:sz w:val="20"/>
                <w:szCs w:val="20"/>
              </w:rPr>
            </w:pPr>
            <w:r>
              <w:rPr>
                <w:rFonts w:ascii="Times New Roman" w:hAnsi="Times New Roman" w:eastAsia="Times New Roman" w:cs="Times New Roman"/>
                <w:sz w:val="20"/>
                <w:szCs w:val="20"/>
              </w:rPr>
              <w:t>1860~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1913m</w:t>
            </w:r>
          </w:p>
        </w:tc>
        <w:tc>
          <w:tcPr>
            <w:tcW w:w="124" w:type="dxa"/>
            <w:tcBorders>
              <w:top w:val="nil"/>
              <w:bottom w:val="nil"/>
              <w:right w:val="single" w:color="000000" w:sz="6" w:space="0"/>
            </w:tcBorders>
            <w:vAlign w:val="top"/>
          </w:tcPr>
          <w:p w14:paraId="20A59DA2">
            <w:pPr>
              <w:rPr>
                <w:rFonts w:ascii="Arial"/>
                <w:sz w:val="21"/>
              </w:rPr>
            </w:pPr>
          </w:p>
        </w:tc>
      </w:tr>
      <w:tr w14:paraId="7F2D7A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375" w:type="dxa"/>
            <w:vMerge w:val="continue"/>
            <w:tcBorders>
              <w:top w:val="nil"/>
              <w:left w:val="single" w:color="000000" w:sz="6" w:space="0"/>
              <w:bottom w:val="nil"/>
              <w:right w:val="single" w:color="000000" w:sz="6" w:space="0"/>
            </w:tcBorders>
            <w:vAlign w:val="top"/>
          </w:tcPr>
          <w:p w14:paraId="78DDEE6C">
            <w:pPr>
              <w:rPr>
                <w:rFonts w:ascii="Arial"/>
                <w:sz w:val="21"/>
              </w:rPr>
            </w:pPr>
          </w:p>
        </w:tc>
        <w:tc>
          <w:tcPr>
            <w:tcW w:w="115" w:type="dxa"/>
            <w:tcBorders>
              <w:top w:val="nil"/>
              <w:left w:val="single" w:color="000000" w:sz="6" w:space="0"/>
              <w:bottom w:val="nil"/>
            </w:tcBorders>
            <w:vAlign w:val="top"/>
          </w:tcPr>
          <w:p w14:paraId="461295E7">
            <w:pPr>
              <w:rPr>
                <w:rFonts w:ascii="Arial"/>
                <w:sz w:val="21"/>
              </w:rPr>
            </w:pPr>
          </w:p>
        </w:tc>
        <w:tc>
          <w:tcPr>
            <w:tcW w:w="439" w:type="dxa"/>
            <w:vAlign w:val="top"/>
          </w:tcPr>
          <w:p w14:paraId="1C11D707">
            <w:pPr>
              <w:spacing w:before="210" w:line="192" w:lineRule="auto"/>
              <w:ind w:left="109"/>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539" w:type="dxa"/>
            <w:vAlign w:val="top"/>
          </w:tcPr>
          <w:p w14:paraId="79BAA7E1">
            <w:pPr>
              <w:pStyle w:val="6"/>
              <w:spacing w:before="172" w:line="228" w:lineRule="auto"/>
              <w:ind w:left="107"/>
            </w:pPr>
            <w:r>
              <w:rPr>
                <w:spacing w:val="7"/>
              </w:rPr>
              <w:t>地质情况</w:t>
            </w:r>
          </w:p>
        </w:tc>
        <w:tc>
          <w:tcPr>
            <w:tcW w:w="3041" w:type="dxa"/>
            <w:vAlign w:val="top"/>
          </w:tcPr>
          <w:p w14:paraId="546D3EB4">
            <w:pPr>
              <w:pStyle w:val="6"/>
              <w:spacing w:before="37" w:line="231" w:lineRule="auto"/>
              <w:ind w:left="282" w:right="155" w:hanging="120"/>
            </w:pPr>
            <w:r>
              <w:rPr>
                <w:spacing w:val="9"/>
              </w:rPr>
              <w:t>线路路径避让已经办理开采权</w:t>
            </w:r>
            <w:r>
              <w:rPr>
                <w:spacing w:val="7"/>
              </w:rPr>
              <w:t>的矿产区域，地质情况较好</w:t>
            </w:r>
          </w:p>
        </w:tc>
        <w:tc>
          <w:tcPr>
            <w:tcW w:w="2891" w:type="dxa"/>
            <w:vAlign w:val="top"/>
          </w:tcPr>
          <w:p w14:paraId="366014E1">
            <w:pPr>
              <w:pStyle w:val="6"/>
              <w:spacing w:before="37" w:line="231" w:lineRule="auto"/>
              <w:ind w:left="115" w:right="101" w:firstLine="82"/>
            </w:pPr>
            <w:r>
              <w:rPr>
                <w:spacing w:val="8"/>
              </w:rPr>
              <w:t>线路路径避让已经办理开采</w:t>
            </w:r>
            <w:r>
              <w:rPr>
                <w:spacing w:val="5"/>
              </w:rPr>
              <w:t>权的矿产区域，地质情况较好</w:t>
            </w:r>
          </w:p>
        </w:tc>
        <w:tc>
          <w:tcPr>
            <w:tcW w:w="124" w:type="dxa"/>
            <w:tcBorders>
              <w:top w:val="nil"/>
              <w:bottom w:val="nil"/>
              <w:right w:val="single" w:color="000000" w:sz="6" w:space="0"/>
            </w:tcBorders>
            <w:vAlign w:val="top"/>
          </w:tcPr>
          <w:p w14:paraId="24FF0AE6">
            <w:pPr>
              <w:rPr>
                <w:rFonts w:ascii="Arial"/>
                <w:sz w:val="21"/>
              </w:rPr>
            </w:pPr>
          </w:p>
        </w:tc>
      </w:tr>
      <w:tr w14:paraId="5D4077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375" w:type="dxa"/>
            <w:vMerge w:val="continue"/>
            <w:tcBorders>
              <w:top w:val="nil"/>
              <w:left w:val="single" w:color="000000" w:sz="6" w:space="0"/>
              <w:bottom w:val="nil"/>
              <w:right w:val="single" w:color="000000" w:sz="6" w:space="0"/>
            </w:tcBorders>
            <w:vAlign w:val="top"/>
          </w:tcPr>
          <w:p w14:paraId="3617DDE2">
            <w:pPr>
              <w:rPr>
                <w:rFonts w:ascii="Arial"/>
                <w:sz w:val="21"/>
              </w:rPr>
            </w:pPr>
          </w:p>
        </w:tc>
        <w:tc>
          <w:tcPr>
            <w:tcW w:w="115" w:type="dxa"/>
            <w:tcBorders>
              <w:top w:val="nil"/>
              <w:left w:val="single" w:color="000000" w:sz="6" w:space="0"/>
              <w:bottom w:val="nil"/>
            </w:tcBorders>
            <w:vAlign w:val="top"/>
          </w:tcPr>
          <w:p w14:paraId="0F33C339">
            <w:pPr>
              <w:rPr>
                <w:rFonts w:ascii="Arial"/>
                <w:sz w:val="21"/>
              </w:rPr>
            </w:pPr>
          </w:p>
        </w:tc>
        <w:tc>
          <w:tcPr>
            <w:tcW w:w="439" w:type="dxa"/>
            <w:vAlign w:val="top"/>
          </w:tcPr>
          <w:p w14:paraId="488E0E6E">
            <w:pPr>
              <w:spacing w:line="286" w:lineRule="auto"/>
              <w:rPr>
                <w:rFonts w:ascii="Arial"/>
                <w:sz w:val="21"/>
              </w:rPr>
            </w:pPr>
          </w:p>
          <w:p w14:paraId="7BDFCD69">
            <w:pPr>
              <w:spacing w:before="57" w:line="195" w:lineRule="auto"/>
              <w:ind w:left="107"/>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539" w:type="dxa"/>
            <w:vAlign w:val="top"/>
          </w:tcPr>
          <w:p w14:paraId="16CD7C4D">
            <w:pPr>
              <w:spacing w:line="243" w:lineRule="auto"/>
              <w:rPr>
                <w:rFonts w:ascii="Arial"/>
                <w:sz w:val="21"/>
              </w:rPr>
            </w:pPr>
          </w:p>
          <w:p w14:paraId="1C7E81B4">
            <w:pPr>
              <w:pStyle w:val="6"/>
              <w:spacing w:before="65" w:line="229" w:lineRule="auto"/>
              <w:ind w:left="111"/>
            </w:pPr>
            <w:r>
              <w:rPr>
                <w:spacing w:val="6"/>
              </w:rPr>
              <w:t>交叉跨越</w:t>
            </w:r>
          </w:p>
        </w:tc>
        <w:tc>
          <w:tcPr>
            <w:tcW w:w="3041" w:type="dxa"/>
            <w:vAlign w:val="top"/>
          </w:tcPr>
          <w:p w14:paraId="1C6D2D96">
            <w:pPr>
              <w:pStyle w:val="6"/>
              <w:spacing w:before="176" w:line="251" w:lineRule="auto"/>
              <w:ind w:left="113" w:right="53" w:hanging="2"/>
            </w:pPr>
            <w:r>
              <w:rPr>
                <w:spacing w:val="1"/>
              </w:rPr>
              <w:t>钻越</w:t>
            </w:r>
            <w:r>
              <w:rPr>
                <w:spacing w:val="-20"/>
              </w:rPr>
              <w:t xml:space="preserve"> </w:t>
            </w:r>
            <w:r>
              <w:rPr>
                <w:rFonts w:ascii="Times New Roman" w:hAnsi="Times New Roman" w:eastAsia="Times New Roman" w:cs="Times New Roman"/>
                <w:spacing w:val="1"/>
              </w:rPr>
              <w:t>110</w:t>
            </w:r>
            <w:r>
              <w:rPr>
                <w:rFonts w:ascii="Times New Roman" w:hAnsi="Times New Roman" w:eastAsia="Times New Roman" w:cs="Times New Roman"/>
              </w:rPr>
              <w:t>kV</w:t>
            </w:r>
            <w:r>
              <w:rPr>
                <w:rFonts w:ascii="Times New Roman" w:hAnsi="Times New Roman" w:eastAsia="Times New Roman" w:cs="Times New Roman"/>
                <w:spacing w:val="17"/>
                <w:w w:val="101"/>
              </w:rPr>
              <w:t xml:space="preserve"> </w:t>
            </w:r>
            <w:r>
              <w:rPr>
                <w:spacing w:val="1"/>
              </w:rPr>
              <w:t>芳华</w:t>
            </w:r>
            <w:r>
              <w:rPr>
                <w:spacing w:val="-39"/>
              </w:rPr>
              <w:t xml:space="preserve"> </w:t>
            </w:r>
            <w:r>
              <w:rPr>
                <w:rFonts w:ascii="Times New Roman" w:hAnsi="Times New Roman" w:eastAsia="Times New Roman" w:cs="Times New Roman"/>
                <w:spacing w:val="1"/>
              </w:rPr>
              <w:t xml:space="preserve">T </w:t>
            </w:r>
            <w:r>
              <w:rPr>
                <w:spacing w:val="1"/>
              </w:rPr>
              <w:t>接中大</w:t>
            </w:r>
            <w:r>
              <w:rPr>
                <w:spacing w:val="-40"/>
              </w:rPr>
              <w:t xml:space="preserve"> </w:t>
            </w:r>
            <w:r>
              <w:rPr>
                <w:rFonts w:ascii="Times New Roman" w:hAnsi="Times New Roman" w:eastAsia="Times New Roman" w:cs="Times New Roman"/>
              </w:rPr>
              <w:t>II</w:t>
            </w:r>
            <w:r>
              <w:rPr>
                <w:rFonts w:ascii="Times New Roman" w:hAnsi="Times New Roman" w:eastAsia="Times New Roman" w:cs="Times New Roman"/>
                <w:spacing w:val="34"/>
                <w:w w:val="101"/>
              </w:rPr>
              <w:t xml:space="preserve"> </w:t>
            </w:r>
            <w:r>
              <w:rPr>
                <w:spacing w:val="1"/>
              </w:rPr>
              <w:t>回</w:t>
            </w:r>
            <w:r>
              <w:rPr>
                <w:spacing w:val="2"/>
              </w:rPr>
              <w:t>线（未建</w:t>
            </w:r>
            <w:r>
              <w:rPr>
                <w:spacing w:val="21"/>
              </w:rPr>
              <w:t>），</w:t>
            </w:r>
            <w:r>
              <w:rPr>
                <w:spacing w:val="2"/>
              </w:rPr>
              <w:t>乡村道路若干次；</w:t>
            </w:r>
          </w:p>
        </w:tc>
        <w:tc>
          <w:tcPr>
            <w:tcW w:w="2891" w:type="dxa"/>
            <w:vAlign w:val="top"/>
          </w:tcPr>
          <w:p w14:paraId="4536E04C">
            <w:pPr>
              <w:pStyle w:val="6"/>
              <w:spacing w:before="38" w:line="238" w:lineRule="auto"/>
              <w:ind w:left="121" w:right="101" w:hanging="5"/>
              <w:jc w:val="both"/>
            </w:pPr>
            <w:r>
              <w:rPr>
                <w:spacing w:val="3"/>
              </w:rPr>
              <w:t>钻越</w:t>
            </w:r>
            <w:r>
              <w:rPr>
                <w:spacing w:val="-18"/>
              </w:rPr>
              <w:t xml:space="preserve"> </w:t>
            </w:r>
            <w:r>
              <w:rPr>
                <w:rFonts w:ascii="Times New Roman" w:hAnsi="Times New Roman" w:eastAsia="Times New Roman" w:cs="Times New Roman"/>
                <w:spacing w:val="3"/>
              </w:rPr>
              <w:t>110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3"/>
              </w:rPr>
              <w:t>芳华</w:t>
            </w:r>
            <w:r>
              <w:rPr>
                <w:spacing w:val="-39"/>
              </w:rPr>
              <w:t xml:space="preserve"> </w:t>
            </w:r>
            <w:r>
              <w:rPr>
                <w:rFonts w:ascii="Times New Roman" w:hAnsi="Times New Roman" w:eastAsia="Times New Roman" w:cs="Times New Roman"/>
                <w:spacing w:val="3"/>
              </w:rPr>
              <w:t xml:space="preserve">T </w:t>
            </w:r>
            <w:r>
              <w:rPr>
                <w:spacing w:val="3"/>
              </w:rPr>
              <w:t>接中大</w:t>
            </w:r>
            <w:r>
              <w:rPr>
                <w:spacing w:val="-42"/>
              </w:rPr>
              <w:t xml:space="preserve"> </w:t>
            </w:r>
            <w:r>
              <w:rPr>
                <w:rFonts w:ascii="Times New Roman" w:hAnsi="Times New Roman" w:eastAsia="Times New Roman" w:cs="Times New Roman"/>
              </w:rPr>
              <w:t>II</w:t>
            </w:r>
            <w:r>
              <w:rPr>
                <w:spacing w:val="5"/>
              </w:rPr>
              <w:t>回线（未建</w:t>
            </w:r>
            <w:r>
              <w:rPr>
                <w:spacing w:val="3"/>
              </w:rPr>
              <w:t>），</w:t>
            </w:r>
            <w:r>
              <w:rPr>
                <w:spacing w:val="5"/>
              </w:rPr>
              <w:t>乡村道路若干</w:t>
            </w:r>
            <w:r>
              <w:rPr>
                <w:spacing w:val="-3"/>
              </w:rPr>
              <w:t>次；</w:t>
            </w:r>
          </w:p>
        </w:tc>
        <w:tc>
          <w:tcPr>
            <w:tcW w:w="124" w:type="dxa"/>
            <w:tcBorders>
              <w:top w:val="nil"/>
              <w:bottom w:val="nil"/>
              <w:right w:val="single" w:color="000000" w:sz="6" w:space="0"/>
            </w:tcBorders>
            <w:vAlign w:val="top"/>
          </w:tcPr>
          <w:p w14:paraId="1790E38A">
            <w:pPr>
              <w:rPr>
                <w:rFonts w:ascii="Arial"/>
                <w:sz w:val="21"/>
              </w:rPr>
            </w:pPr>
          </w:p>
        </w:tc>
      </w:tr>
      <w:tr w14:paraId="792B74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375" w:type="dxa"/>
            <w:vMerge w:val="continue"/>
            <w:tcBorders>
              <w:top w:val="nil"/>
              <w:left w:val="single" w:color="000000" w:sz="6" w:space="0"/>
              <w:bottom w:val="nil"/>
              <w:right w:val="single" w:color="000000" w:sz="6" w:space="0"/>
            </w:tcBorders>
            <w:vAlign w:val="top"/>
          </w:tcPr>
          <w:p w14:paraId="5E7A1D0B">
            <w:pPr>
              <w:rPr>
                <w:rFonts w:ascii="Arial"/>
                <w:sz w:val="21"/>
              </w:rPr>
            </w:pPr>
          </w:p>
        </w:tc>
        <w:tc>
          <w:tcPr>
            <w:tcW w:w="115" w:type="dxa"/>
            <w:tcBorders>
              <w:top w:val="nil"/>
              <w:left w:val="single" w:color="000000" w:sz="6" w:space="0"/>
              <w:bottom w:val="nil"/>
            </w:tcBorders>
            <w:vAlign w:val="top"/>
          </w:tcPr>
          <w:p w14:paraId="42925A84">
            <w:pPr>
              <w:rPr>
                <w:rFonts w:ascii="Arial"/>
                <w:sz w:val="21"/>
              </w:rPr>
            </w:pPr>
          </w:p>
        </w:tc>
        <w:tc>
          <w:tcPr>
            <w:tcW w:w="439" w:type="dxa"/>
            <w:vAlign w:val="top"/>
          </w:tcPr>
          <w:p w14:paraId="131104F2">
            <w:pPr>
              <w:spacing w:before="102" w:line="192" w:lineRule="auto"/>
              <w:ind w:left="106"/>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539" w:type="dxa"/>
            <w:vAlign w:val="top"/>
          </w:tcPr>
          <w:p w14:paraId="78D8BB29">
            <w:pPr>
              <w:pStyle w:val="6"/>
              <w:spacing w:before="61" w:line="228" w:lineRule="auto"/>
              <w:ind w:left="107"/>
            </w:pPr>
            <w:r>
              <w:rPr>
                <w:spacing w:val="7"/>
              </w:rPr>
              <w:t>拆迁情况</w:t>
            </w:r>
          </w:p>
        </w:tc>
        <w:tc>
          <w:tcPr>
            <w:tcW w:w="3041" w:type="dxa"/>
            <w:vAlign w:val="top"/>
          </w:tcPr>
          <w:p w14:paraId="598BDAEA">
            <w:pPr>
              <w:pStyle w:val="6"/>
              <w:spacing w:before="61" w:line="228" w:lineRule="auto"/>
              <w:ind w:left="1421"/>
            </w:pPr>
            <w:r>
              <w:t>无</w:t>
            </w:r>
          </w:p>
        </w:tc>
        <w:tc>
          <w:tcPr>
            <w:tcW w:w="2891" w:type="dxa"/>
            <w:vAlign w:val="top"/>
          </w:tcPr>
          <w:p w14:paraId="142E0327">
            <w:pPr>
              <w:pStyle w:val="6"/>
              <w:spacing w:before="61" w:line="228" w:lineRule="auto"/>
              <w:ind w:left="1351"/>
            </w:pPr>
            <w:r>
              <w:t>无</w:t>
            </w:r>
          </w:p>
        </w:tc>
        <w:tc>
          <w:tcPr>
            <w:tcW w:w="124" w:type="dxa"/>
            <w:tcBorders>
              <w:top w:val="nil"/>
              <w:bottom w:val="nil"/>
              <w:right w:val="single" w:color="000000" w:sz="6" w:space="0"/>
            </w:tcBorders>
            <w:vAlign w:val="top"/>
          </w:tcPr>
          <w:p w14:paraId="23E3B46F">
            <w:pPr>
              <w:rPr>
                <w:rFonts w:ascii="Arial"/>
                <w:sz w:val="21"/>
              </w:rPr>
            </w:pPr>
          </w:p>
        </w:tc>
      </w:tr>
      <w:tr w14:paraId="17E50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375" w:type="dxa"/>
            <w:vMerge w:val="continue"/>
            <w:tcBorders>
              <w:top w:val="nil"/>
              <w:left w:val="single" w:color="000000" w:sz="6" w:space="0"/>
              <w:bottom w:val="nil"/>
              <w:right w:val="single" w:color="000000" w:sz="6" w:space="0"/>
            </w:tcBorders>
            <w:vAlign w:val="top"/>
          </w:tcPr>
          <w:p w14:paraId="6A520C84">
            <w:pPr>
              <w:rPr>
                <w:rFonts w:ascii="Arial"/>
                <w:sz w:val="21"/>
              </w:rPr>
            </w:pPr>
          </w:p>
        </w:tc>
        <w:tc>
          <w:tcPr>
            <w:tcW w:w="115" w:type="dxa"/>
            <w:tcBorders>
              <w:top w:val="nil"/>
              <w:left w:val="single" w:color="000000" w:sz="6" w:space="0"/>
              <w:bottom w:val="nil"/>
            </w:tcBorders>
            <w:vAlign w:val="top"/>
          </w:tcPr>
          <w:p w14:paraId="506C3461">
            <w:pPr>
              <w:rPr>
                <w:rFonts w:ascii="Arial"/>
                <w:sz w:val="21"/>
              </w:rPr>
            </w:pPr>
          </w:p>
        </w:tc>
        <w:tc>
          <w:tcPr>
            <w:tcW w:w="439" w:type="dxa"/>
            <w:vAlign w:val="top"/>
          </w:tcPr>
          <w:p w14:paraId="1BBAD069">
            <w:pPr>
              <w:spacing w:before="253" w:line="195" w:lineRule="auto"/>
              <w:ind w:left="111"/>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539" w:type="dxa"/>
            <w:vAlign w:val="top"/>
          </w:tcPr>
          <w:p w14:paraId="4E025E3F">
            <w:pPr>
              <w:pStyle w:val="6"/>
              <w:spacing w:before="217" w:line="228" w:lineRule="auto"/>
              <w:ind w:left="107"/>
            </w:pPr>
            <w:r>
              <w:rPr>
                <w:spacing w:val="8"/>
              </w:rPr>
              <w:t>运行维护条件</w:t>
            </w:r>
          </w:p>
        </w:tc>
        <w:tc>
          <w:tcPr>
            <w:tcW w:w="3041" w:type="dxa"/>
            <w:vAlign w:val="top"/>
          </w:tcPr>
          <w:p w14:paraId="608C3A6A">
            <w:pPr>
              <w:pStyle w:val="6"/>
              <w:spacing w:before="217" w:line="228" w:lineRule="auto"/>
              <w:ind w:left="685"/>
            </w:pPr>
            <w:r>
              <w:rPr>
                <w:spacing w:val="8"/>
              </w:rPr>
              <w:t>运行维护条件一般</w:t>
            </w:r>
          </w:p>
        </w:tc>
        <w:tc>
          <w:tcPr>
            <w:tcW w:w="2891" w:type="dxa"/>
            <w:vAlign w:val="top"/>
          </w:tcPr>
          <w:p w14:paraId="149691A2">
            <w:pPr>
              <w:pStyle w:val="6"/>
              <w:spacing w:before="217" w:line="228" w:lineRule="auto"/>
              <w:ind w:left="615"/>
            </w:pPr>
            <w:r>
              <w:rPr>
                <w:spacing w:val="8"/>
              </w:rPr>
              <w:t>运行维护条件一般</w:t>
            </w:r>
          </w:p>
        </w:tc>
        <w:tc>
          <w:tcPr>
            <w:tcW w:w="124" w:type="dxa"/>
            <w:tcBorders>
              <w:top w:val="nil"/>
              <w:bottom w:val="nil"/>
              <w:right w:val="single" w:color="000000" w:sz="6" w:space="0"/>
            </w:tcBorders>
            <w:vAlign w:val="top"/>
          </w:tcPr>
          <w:p w14:paraId="67714DBE">
            <w:pPr>
              <w:rPr>
                <w:rFonts w:ascii="Arial"/>
                <w:sz w:val="21"/>
              </w:rPr>
            </w:pPr>
          </w:p>
        </w:tc>
      </w:tr>
      <w:tr w14:paraId="0A219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375" w:type="dxa"/>
            <w:vMerge w:val="continue"/>
            <w:tcBorders>
              <w:top w:val="nil"/>
              <w:left w:val="single" w:color="000000" w:sz="6" w:space="0"/>
              <w:bottom w:val="nil"/>
              <w:right w:val="single" w:color="000000" w:sz="6" w:space="0"/>
            </w:tcBorders>
            <w:vAlign w:val="top"/>
          </w:tcPr>
          <w:p w14:paraId="000C90A8">
            <w:pPr>
              <w:rPr>
                <w:rFonts w:ascii="Arial"/>
                <w:sz w:val="21"/>
              </w:rPr>
            </w:pPr>
          </w:p>
        </w:tc>
        <w:tc>
          <w:tcPr>
            <w:tcW w:w="115" w:type="dxa"/>
            <w:tcBorders>
              <w:top w:val="nil"/>
              <w:left w:val="single" w:color="000000" w:sz="6" w:space="0"/>
              <w:bottom w:val="nil"/>
            </w:tcBorders>
            <w:vAlign w:val="top"/>
          </w:tcPr>
          <w:p w14:paraId="633521E0">
            <w:pPr>
              <w:rPr>
                <w:rFonts w:ascii="Arial"/>
                <w:sz w:val="21"/>
              </w:rPr>
            </w:pPr>
          </w:p>
        </w:tc>
        <w:tc>
          <w:tcPr>
            <w:tcW w:w="439" w:type="dxa"/>
            <w:vAlign w:val="top"/>
          </w:tcPr>
          <w:p w14:paraId="6D4A33F5">
            <w:pPr>
              <w:spacing w:before="211" w:line="195" w:lineRule="auto"/>
              <w:ind w:left="107"/>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539" w:type="dxa"/>
            <w:vAlign w:val="top"/>
          </w:tcPr>
          <w:p w14:paraId="487F2E7C">
            <w:pPr>
              <w:pStyle w:val="6"/>
              <w:spacing w:before="39" w:line="230" w:lineRule="auto"/>
              <w:ind w:left="108" w:right="109"/>
            </w:pPr>
            <w:r>
              <w:rPr>
                <w:spacing w:val="19"/>
              </w:rPr>
              <w:t>周围森林、公</w:t>
            </w:r>
            <w:r>
              <w:rPr>
                <w:spacing w:val="7"/>
              </w:rPr>
              <w:t>益林分布情况</w:t>
            </w:r>
          </w:p>
        </w:tc>
        <w:tc>
          <w:tcPr>
            <w:tcW w:w="3041" w:type="dxa"/>
            <w:vAlign w:val="top"/>
          </w:tcPr>
          <w:p w14:paraId="3BFDBE10">
            <w:pPr>
              <w:pStyle w:val="6"/>
              <w:spacing w:before="175" w:line="228" w:lineRule="auto"/>
              <w:ind w:left="268"/>
            </w:pPr>
            <w:r>
              <w:rPr>
                <w:spacing w:val="9"/>
              </w:rPr>
              <w:t>不涉及林地；不涉及公益林</w:t>
            </w:r>
          </w:p>
        </w:tc>
        <w:tc>
          <w:tcPr>
            <w:tcW w:w="2891" w:type="dxa"/>
            <w:vAlign w:val="top"/>
          </w:tcPr>
          <w:p w14:paraId="44ABEB5A">
            <w:pPr>
              <w:pStyle w:val="6"/>
              <w:spacing w:before="175" w:line="228" w:lineRule="auto"/>
              <w:ind w:left="197"/>
            </w:pPr>
            <w:r>
              <w:rPr>
                <w:spacing w:val="9"/>
              </w:rPr>
              <w:t>涉及桉树林；不涉及公益林</w:t>
            </w:r>
          </w:p>
        </w:tc>
        <w:tc>
          <w:tcPr>
            <w:tcW w:w="124" w:type="dxa"/>
            <w:tcBorders>
              <w:top w:val="nil"/>
              <w:bottom w:val="nil"/>
              <w:right w:val="single" w:color="000000" w:sz="6" w:space="0"/>
            </w:tcBorders>
            <w:vAlign w:val="top"/>
          </w:tcPr>
          <w:p w14:paraId="13D43FB0">
            <w:pPr>
              <w:rPr>
                <w:rFonts w:ascii="Arial"/>
                <w:sz w:val="21"/>
              </w:rPr>
            </w:pPr>
          </w:p>
        </w:tc>
      </w:tr>
      <w:tr w14:paraId="19296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6CD93033">
            <w:pPr>
              <w:rPr>
                <w:rFonts w:ascii="Arial"/>
                <w:sz w:val="21"/>
              </w:rPr>
            </w:pPr>
          </w:p>
        </w:tc>
        <w:tc>
          <w:tcPr>
            <w:tcW w:w="115" w:type="dxa"/>
            <w:tcBorders>
              <w:top w:val="nil"/>
              <w:left w:val="single" w:color="000000" w:sz="6" w:space="0"/>
              <w:bottom w:val="nil"/>
            </w:tcBorders>
            <w:vAlign w:val="top"/>
          </w:tcPr>
          <w:p w14:paraId="39DC9CE7">
            <w:pPr>
              <w:rPr>
                <w:rFonts w:ascii="Arial"/>
                <w:sz w:val="21"/>
              </w:rPr>
            </w:pPr>
          </w:p>
        </w:tc>
        <w:tc>
          <w:tcPr>
            <w:tcW w:w="439" w:type="dxa"/>
            <w:vAlign w:val="top"/>
          </w:tcPr>
          <w:p w14:paraId="2857B746">
            <w:pPr>
              <w:spacing w:before="213" w:line="195" w:lineRule="auto"/>
              <w:ind w:left="12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539" w:type="dxa"/>
            <w:vAlign w:val="top"/>
          </w:tcPr>
          <w:p w14:paraId="522E9DD4">
            <w:pPr>
              <w:pStyle w:val="6"/>
              <w:spacing w:before="42" w:line="229" w:lineRule="auto"/>
              <w:ind w:left="109" w:right="144" w:firstLine="32"/>
            </w:pPr>
            <w:r>
              <w:rPr>
                <w:spacing w:val="7"/>
              </w:rPr>
              <w:t>自然保护区、生态保护红线</w:t>
            </w:r>
          </w:p>
        </w:tc>
        <w:tc>
          <w:tcPr>
            <w:tcW w:w="3041" w:type="dxa"/>
            <w:vAlign w:val="top"/>
          </w:tcPr>
          <w:p w14:paraId="4E9AD81A">
            <w:pPr>
              <w:pStyle w:val="6"/>
              <w:spacing w:before="177" w:line="229" w:lineRule="auto"/>
              <w:ind w:left="1214"/>
            </w:pPr>
            <w:r>
              <w:rPr>
                <w:spacing w:val="5"/>
              </w:rPr>
              <w:t>不涉及</w:t>
            </w:r>
          </w:p>
        </w:tc>
        <w:tc>
          <w:tcPr>
            <w:tcW w:w="2891" w:type="dxa"/>
            <w:vAlign w:val="top"/>
          </w:tcPr>
          <w:p w14:paraId="15C5A813">
            <w:pPr>
              <w:pStyle w:val="6"/>
              <w:spacing w:before="177" w:line="229" w:lineRule="auto"/>
              <w:ind w:left="1144"/>
            </w:pPr>
            <w:r>
              <w:rPr>
                <w:spacing w:val="5"/>
              </w:rPr>
              <w:t>不涉及</w:t>
            </w:r>
          </w:p>
        </w:tc>
        <w:tc>
          <w:tcPr>
            <w:tcW w:w="124" w:type="dxa"/>
            <w:tcBorders>
              <w:top w:val="nil"/>
              <w:bottom w:val="nil"/>
              <w:right w:val="single" w:color="000000" w:sz="6" w:space="0"/>
            </w:tcBorders>
            <w:vAlign w:val="top"/>
          </w:tcPr>
          <w:p w14:paraId="0944AEF8">
            <w:pPr>
              <w:rPr>
                <w:rFonts w:ascii="Arial"/>
                <w:sz w:val="21"/>
              </w:rPr>
            </w:pPr>
          </w:p>
        </w:tc>
      </w:tr>
      <w:tr w14:paraId="5D31F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75" w:type="dxa"/>
            <w:vMerge w:val="continue"/>
            <w:tcBorders>
              <w:top w:val="nil"/>
              <w:left w:val="single" w:color="000000" w:sz="6" w:space="0"/>
              <w:bottom w:val="nil"/>
              <w:right w:val="single" w:color="000000" w:sz="6" w:space="0"/>
            </w:tcBorders>
            <w:vAlign w:val="top"/>
          </w:tcPr>
          <w:p w14:paraId="22F97106">
            <w:pPr>
              <w:rPr>
                <w:rFonts w:ascii="Arial"/>
                <w:sz w:val="21"/>
              </w:rPr>
            </w:pPr>
          </w:p>
        </w:tc>
        <w:tc>
          <w:tcPr>
            <w:tcW w:w="115" w:type="dxa"/>
            <w:tcBorders>
              <w:top w:val="nil"/>
              <w:left w:val="single" w:color="000000" w:sz="6" w:space="0"/>
              <w:bottom w:val="nil"/>
            </w:tcBorders>
            <w:vAlign w:val="top"/>
          </w:tcPr>
          <w:p w14:paraId="2D549902">
            <w:pPr>
              <w:rPr>
                <w:rFonts w:ascii="Arial"/>
                <w:sz w:val="21"/>
              </w:rPr>
            </w:pPr>
          </w:p>
        </w:tc>
        <w:tc>
          <w:tcPr>
            <w:tcW w:w="439" w:type="dxa"/>
            <w:vAlign w:val="top"/>
          </w:tcPr>
          <w:p w14:paraId="2212B349">
            <w:pPr>
              <w:spacing w:before="213" w:line="195" w:lineRule="auto"/>
              <w:ind w:left="123"/>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11</w:t>
            </w:r>
          </w:p>
        </w:tc>
        <w:tc>
          <w:tcPr>
            <w:tcW w:w="1539" w:type="dxa"/>
            <w:vAlign w:val="top"/>
          </w:tcPr>
          <w:p w14:paraId="5A03F90B">
            <w:pPr>
              <w:pStyle w:val="6"/>
              <w:spacing w:before="42" w:line="229" w:lineRule="auto"/>
              <w:ind w:left="132" w:right="109" w:hanging="26"/>
            </w:pPr>
            <w:r>
              <w:rPr>
                <w:spacing w:val="19"/>
              </w:rPr>
              <w:t>矿区、基本农</w:t>
            </w:r>
            <w:r>
              <w:t>田</w:t>
            </w:r>
          </w:p>
        </w:tc>
        <w:tc>
          <w:tcPr>
            <w:tcW w:w="3041" w:type="dxa"/>
            <w:vAlign w:val="top"/>
          </w:tcPr>
          <w:p w14:paraId="5400EA85">
            <w:pPr>
              <w:pStyle w:val="6"/>
              <w:spacing w:before="43" w:line="228" w:lineRule="auto"/>
              <w:ind w:left="110"/>
            </w:pPr>
            <w:r>
              <w:rPr>
                <w:spacing w:val="4"/>
              </w:rPr>
              <w:t>矿区已避让不涉及；</w:t>
            </w:r>
            <w:r>
              <w:rPr>
                <w:rFonts w:ascii="Times New Roman" w:hAnsi="Times New Roman" w:eastAsia="Times New Roman" w:cs="Times New Roman"/>
                <w:spacing w:val="4"/>
              </w:rPr>
              <w:t xml:space="preserve">2 </w:t>
            </w:r>
            <w:r>
              <w:rPr>
                <w:spacing w:val="4"/>
              </w:rPr>
              <w:t>基铁塔涉</w:t>
            </w:r>
          </w:p>
          <w:p w14:paraId="6B8DFBF7">
            <w:pPr>
              <w:pStyle w:val="6"/>
              <w:spacing w:before="24" w:line="207" w:lineRule="auto"/>
              <w:ind w:left="684"/>
            </w:pPr>
            <w:r>
              <w:rPr>
                <w:spacing w:val="7"/>
              </w:rPr>
              <w:t>及占用基本农田；</w:t>
            </w:r>
          </w:p>
        </w:tc>
        <w:tc>
          <w:tcPr>
            <w:tcW w:w="2891" w:type="dxa"/>
            <w:vAlign w:val="top"/>
          </w:tcPr>
          <w:p w14:paraId="0E322811">
            <w:pPr>
              <w:pStyle w:val="6"/>
              <w:spacing w:before="43" w:line="228" w:lineRule="auto"/>
              <w:ind w:left="115"/>
            </w:pPr>
            <w:r>
              <w:rPr>
                <w:spacing w:val="8"/>
              </w:rPr>
              <w:t>矿区已避让不涉及；</w:t>
            </w:r>
            <w:r>
              <w:rPr>
                <w:rFonts w:ascii="Times New Roman" w:hAnsi="Times New Roman" w:eastAsia="Times New Roman" w:cs="Times New Roman"/>
                <w:spacing w:val="8"/>
              </w:rPr>
              <w:t xml:space="preserve">2 </w:t>
            </w:r>
            <w:r>
              <w:rPr>
                <w:spacing w:val="8"/>
              </w:rPr>
              <w:t>基铁塔</w:t>
            </w:r>
          </w:p>
          <w:p w14:paraId="04A74AA7">
            <w:pPr>
              <w:pStyle w:val="6"/>
              <w:spacing w:before="24" w:line="207" w:lineRule="auto"/>
              <w:ind w:left="511"/>
            </w:pPr>
            <w:r>
              <w:rPr>
                <w:spacing w:val="7"/>
              </w:rPr>
              <w:t>涉及占用基本农田；</w:t>
            </w:r>
          </w:p>
        </w:tc>
        <w:tc>
          <w:tcPr>
            <w:tcW w:w="124" w:type="dxa"/>
            <w:tcBorders>
              <w:top w:val="nil"/>
              <w:bottom w:val="nil"/>
              <w:right w:val="single" w:color="000000" w:sz="6" w:space="0"/>
            </w:tcBorders>
            <w:vAlign w:val="top"/>
          </w:tcPr>
          <w:p w14:paraId="579867DF">
            <w:pPr>
              <w:rPr>
                <w:rFonts w:ascii="Arial"/>
                <w:sz w:val="21"/>
              </w:rPr>
            </w:pPr>
          </w:p>
        </w:tc>
      </w:tr>
      <w:tr w14:paraId="35F21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375" w:type="dxa"/>
            <w:vMerge w:val="continue"/>
            <w:tcBorders>
              <w:top w:val="nil"/>
              <w:left w:val="single" w:color="000000" w:sz="6" w:space="0"/>
              <w:bottom w:val="nil"/>
              <w:right w:val="single" w:color="000000" w:sz="6" w:space="0"/>
            </w:tcBorders>
            <w:vAlign w:val="top"/>
          </w:tcPr>
          <w:p w14:paraId="08FB2E22">
            <w:pPr>
              <w:rPr>
                <w:rFonts w:ascii="Arial"/>
                <w:sz w:val="21"/>
              </w:rPr>
            </w:pPr>
          </w:p>
        </w:tc>
        <w:tc>
          <w:tcPr>
            <w:tcW w:w="115" w:type="dxa"/>
            <w:tcBorders>
              <w:top w:val="nil"/>
              <w:left w:val="single" w:color="000000" w:sz="6" w:space="0"/>
              <w:bottom w:val="nil"/>
            </w:tcBorders>
            <w:vAlign w:val="top"/>
          </w:tcPr>
          <w:p w14:paraId="01B16B95">
            <w:pPr>
              <w:rPr>
                <w:rFonts w:ascii="Arial"/>
                <w:sz w:val="21"/>
              </w:rPr>
            </w:pPr>
          </w:p>
        </w:tc>
        <w:tc>
          <w:tcPr>
            <w:tcW w:w="439" w:type="dxa"/>
            <w:vAlign w:val="top"/>
          </w:tcPr>
          <w:p w14:paraId="4BB3ED67">
            <w:pPr>
              <w:spacing w:before="214" w:line="195" w:lineRule="auto"/>
              <w:ind w:left="12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1539" w:type="dxa"/>
            <w:vAlign w:val="top"/>
          </w:tcPr>
          <w:p w14:paraId="3A47B62A">
            <w:pPr>
              <w:pStyle w:val="6"/>
              <w:spacing w:before="178" w:line="228" w:lineRule="auto"/>
              <w:ind w:left="107"/>
            </w:pPr>
            <w:r>
              <w:rPr>
                <w:spacing w:val="8"/>
              </w:rPr>
              <w:t>环境保护目标</w:t>
            </w:r>
          </w:p>
        </w:tc>
        <w:tc>
          <w:tcPr>
            <w:tcW w:w="3041" w:type="dxa"/>
            <w:vAlign w:val="top"/>
          </w:tcPr>
          <w:p w14:paraId="1387B768">
            <w:pPr>
              <w:pStyle w:val="6"/>
              <w:spacing w:before="43" w:line="228" w:lineRule="auto"/>
              <w:ind w:left="160" w:right="155"/>
            </w:pPr>
            <w:r>
              <w:rPr>
                <w:spacing w:val="9"/>
              </w:rPr>
              <w:t>主要涉及分散的苗圃、蔬菜看</w:t>
            </w:r>
            <w:r>
              <w:rPr>
                <w:spacing w:val="7"/>
              </w:rPr>
              <w:t>护用房</w:t>
            </w:r>
            <w:r>
              <w:rPr>
                <w:spacing w:val="-30"/>
              </w:rPr>
              <w:t xml:space="preserve"> </w:t>
            </w:r>
            <w:r>
              <w:rPr>
                <w:rFonts w:ascii="Times New Roman" w:hAnsi="Times New Roman" w:eastAsia="Times New Roman" w:cs="Times New Roman"/>
                <w:spacing w:val="7"/>
              </w:rPr>
              <w:t xml:space="preserve">7 </w:t>
            </w:r>
            <w:r>
              <w:rPr>
                <w:spacing w:val="7"/>
              </w:rPr>
              <w:t>户，不涉及聚集村落</w:t>
            </w:r>
          </w:p>
        </w:tc>
        <w:tc>
          <w:tcPr>
            <w:tcW w:w="2891" w:type="dxa"/>
            <w:vAlign w:val="top"/>
          </w:tcPr>
          <w:p w14:paraId="06CE3101">
            <w:pPr>
              <w:pStyle w:val="6"/>
              <w:spacing w:before="43" w:line="228" w:lineRule="auto"/>
              <w:ind w:left="195" w:right="99" w:hanging="78"/>
            </w:pPr>
            <w:r>
              <w:rPr>
                <w:spacing w:val="5"/>
              </w:rPr>
              <w:t>主要涉及分散的苗圃、蔬菜看</w:t>
            </w:r>
            <w:r>
              <w:rPr>
                <w:spacing w:val="7"/>
              </w:rPr>
              <w:t>护用房</w:t>
            </w:r>
            <w:r>
              <w:rPr>
                <w:spacing w:val="-34"/>
              </w:rPr>
              <w:t xml:space="preserve"> </w:t>
            </w:r>
            <w:r>
              <w:rPr>
                <w:rFonts w:ascii="Times New Roman" w:hAnsi="Times New Roman" w:eastAsia="Times New Roman" w:cs="Times New Roman"/>
                <w:spacing w:val="7"/>
              </w:rPr>
              <w:t xml:space="preserve">7 </w:t>
            </w:r>
            <w:r>
              <w:rPr>
                <w:spacing w:val="7"/>
              </w:rPr>
              <w:t>户，涉及聚集村落</w:t>
            </w:r>
          </w:p>
        </w:tc>
        <w:tc>
          <w:tcPr>
            <w:tcW w:w="124" w:type="dxa"/>
            <w:tcBorders>
              <w:top w:val="nil"/>
              <w:bottom w:val="nil"/>
              <w:right w:val="single" w:color="000000" w:sz="6" w:space="0"/>
            </w:tcBorders>
            <w:vAlign w:val="top"/>
          </w:tcPr>
          <w:p w14:paraId="032A7E36">
            <w:pPr>
              <w:rPr>
                <w:rFonts w:ascii="Arial"/>
                <w:sz w:val="21"/>
              </w:rPr>
            </w:pPr>
          </w:p>
        </w:tc>
      </w:tr>
      <w:tr w14:paraId="4BAB0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375" w:type="dxa"/>
            <w:vMerge w:val="continue"/>
            <w:tcBorders>
              <w:top w:val="nil"/>
              <w:left w:val="single" w:color="000000" w:sz="6" w:space="0"/>
              <w:bottom w:val="nil"/>
              <w:right w:val="single" w:color="000000" w:sz="6" w:space="0"/>
            </w:tcBorders>
            <w:vAlign w:val="top"/>
          </w:tcPr>
          <w:p w14:paraId="6DCBD418">
            <w:pPr>
              <w:rPr>
                <w:rFonts w:ascii="Arial"/>
                <w:sz w:val="21"/>
              </w:rPr>
            </w:pPr>
          </w:p>
        </w:tc>
        <w:tc>
          <w:tcPr>
            <w:tcW w:w="115" w:type="dxa"/>
            <w:tcBorders>
              <w:top w:val="nil"/>
              <w:left w:val="single" w:color="000000" w:sz="6" w:space="0"/>
              <w:bottom w:val="nil"/>
            </w:tcBorders>
            <w:vAlign w:val="top"/>
          </w:tcPr>
          <w:p w14:paraId="491BFB36">
            <w:pPr>
              <w:rPr>
                <w:rFonts w:ascii="Arial"/>
                <w:sz w:val="21"/>
              </w:rPr>
            </w:pPr>
          </w:p>
        </w:tc>
        <w:tc>
          <w:tcPr>
            <w:tcW w:w="439" w:type="dxa"/>
            <w:vAlign w:val="top"/>
          </w:tcPr>
          <w:p w14:paraId="296261C0">
            <w:pPr>
              <w:spacing w:line="293" w:lineRule="auto"/>
              <w:rPr>
                <w:rFonts w:ascii="Arial"/>
                <w:sz w:val="21"/>
              </w:rPr>
            </w:pPr>
          </w:p>
          <w:p w14:paraId="4E4D0C49">
            <w:pPr>
              <w:spacing w:before="57" w:line="195" w:lineRule="auto"/>
              <w:ind w:left="12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13</w:t>
            </w:r>
          </w:p>
        </w:tc>
        <w:tc>
          <w:tcPr>
            <w:tcW w:w="1539" w:type="dxa"/>
            <w:vAlign w:val="top"/>
          </w:tcPr>
          <w:p w14:paraId="7CAE0B3D">
            <w:pPr>
              <w:spacing w:line="250" w:lineRule="auto"/>
              <w:rPr>
                <w:rFonts w:ascii="Arial"/>
                <w:sz w:val="21"/>
              </w:rPr>
            </w:pPr>
          </w:p>
          <w:p w14:paraId="6943D66B">
            <w:pPr>
              <w:pStyle w:val="6"/>
              <w:spacing w:before="65" w:line="228" w:lineRule="auto"/>
              <w:ind w:left="106"/>
            </w:pPr>
            <w:r>
              <w:rPr>
                <w:spacing w:val="7"/>
              </w:rPr>
              <w:t>施工难度</w:t>
            </w:r>
          </w:p>
        </w:tc>
        <w:tc>
          <w:tcPr>
            <w:tcW w:w="3041" w:type="dxa"/>
            <w:vAlign w:val="top"/>
          </w:tcPr>
          <w:p w14:paraId="69DB6D37">
            <w:pPr>
              <w:spacing w:line="249" w:lineRule="auto"/>
              <w:rPr>
                <w:rFonts w:ascii="Arial"/>
                <w:sz w:val="21"/>
              </w:rPr>
            </w:pPr>
          </w:p>
          <w:p w14:paraId="27E4B9A2">
            <w:pPr>
              <w:pStyle w:val="6"/>
              <w:spacing w:before="65" w:line="228" w:lineRule="auto"/>
              <w:ind w:left="803"/>
            </w:pPr>
            <w:r>
              <w:rPr>
                <w:rFonts w:ascii="Times New Roman" w:hAnsi="Times New Roman" w:eastAsia="Times New Roman" w:cs="Times New Roman"/>
                <w:spacing w:val="7"/>
              </w:rPr>
              <w:t xml:space="preserve">T </w:t>
            </w:r>
            <w:r>
              <w:rPr>
                <w:spacing w:val="7"/>
              </w:rPr>
              <w:t>接点施工方便</w:t>
            </w:r>
          </w:p>
        </w:tc>
        <w:tc>
          <w:tcPr>
            <w:tcW w:w="2891" w:type="dxa"/>
            <w:vAlign w:val="top"/>
          </w:tcPr>
          <w:p w14:paraId="4EFD390B">
            <w:pPr>
              <w:pStyle w:val="6"/>
              <w:spacing w:before="45" w:line="227" w:lineRule="auto"/>
              <w:ind w:left="114"/>
            </w:pPr>
            <w:r>
              <w:rPr>
                <w:rFonts w:ascii="Times New Roman" w:hAnsi="Times New Roman" w:eastAsia="Times New Roman" w:cs="Times New Roman"/>
                <w:spacing w:val="4"/>
              </w:rPr>
              <w:t xml:space="preserve">T </w:t>
            </w:r>
            <w:r>
              <w:rPr>
                <w:spacing w:val="4"/>
              </w:rPr>
              <w:t>接点需新建</w:t>
            </w:r>
            <w:r>
              <w:rPr>
                <w:spacing w:val="-34"/>
              </w:rPr>
              <w:t xml:space="preserve"> </w:t>
            </w:r>
            <w:r>
              <w:rPr>
                <w:rFonts w:ascii="Times New Roman" w:hAnsi="Times New Roman" w:eastAsia="Times New Roman" w:cs="Times New Roman"/>
                <w:spacing w:val="4"/>
              </w:rPr>
              <w:t xml:space="preserve">T </w:t>
            </w:r>
            <w:r>
              <w:rPr>
                <w:spacing w:val="4"/>
              </w:rPr>
              <w:t>接塔，附近有</w:t>
            </w:r>
          </w:p>
          <w:p w14:paraId="793D3824">
            <w:pPr>
              <w:pStyle w:val="6"/>
              <w:spacing w:before="25" w:line="227" w:lineRule="auto"/>
              <w:ind w:left="116"/>
            </w:pPr>
            <w:r>
              <w:rPr>
                <w:spacing w:val="5"/>
              </w:rPr>
              <w:t>较高桉树林分布，增加施工难</w:t>
            </w:r>
          </w:p>
          <w:p w14:paraId="0D3FE69E">
            <w:pPr>
              <w:pStyle w:val="6"/>
              <w:spacing w:before="27" w:line="204" w:lineRule="auto"/>
              <w:ind w:left="1348"/>
            </w:pPr>
            <w:r>
              <w:rPr>
                <w:spacing w:val="1"/>
              </w:rPr>
              <w:t>度</w:t>
            </w:r>
          </w:p>
        </w:tc>
        <w:tc>
          <w:tcPr>
            <w:tcW w:w="124" w:type="dxa"/>
            <w:tcBorders>
              <w:top w:val="nil"/>
              <w:bottom w:val="nil"/>
              <w:right w:val="single" w:color="000000" w:sz="6" w:space="0"/>
            </w:tcBorders>
            <w:vAlign w:val="top"/>
          </w:tcPr>
          <w:p w14:paraId="5169558A">
            <w:pPr>
              <w:rPr>
                <w:rFonts w:ascii="Arial"/>
                <w:sz w:val="21"/>
              </w:rPr>
            </w:pPr>
          </w:p>
        </w:tc>
      </w:tr>
      <w:tr w14:paraId="55EC2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375" w:type="dxa"/>
            <w:vMerge w:val="continue"/>
            <w:tcBorders>
              <w:top w:val="nil"/>
              <w:left w:val="single" w:color="000000" w:sz="6" w:space="0"/>
              <w:bottom w:val="single" w:color="000000" w:sz="6" w:space="0"/>
              <w:right w:val="single" w:color="000000" w:sz="6" w:space="0"/>
            </w:tcBorders>
            <w:vAlign w:val="top"/>
          </w:tcPr>
          <w:p w14:paraId="5E0BA588">
            <w:pPr>
              <w:rPr>
                <w:rFonts w:ascii="Arial"/>
                <w:sz w:val="21"/>
              </w:rPr>
            </w:pPr>
          </w:p>
        </w:tc>
        <w:tc>
          <w:tcPr>
            <w:tcW w:w="115" w:type="dxa"/>
            <w:tcBorders>
              <w:top w:val="nil"/>
              <w:left w:val="single" w:color="000000" w:sz="6" w:space="0"/>
              <w:bottom w:val="single" w:color="000000" w:sz="6" w:space="0"/>
            </w:tcBorders>
            <w:vAlign w:val="top"/>
          </w:tcPr>
          <w:p w14:paraId="75519C40">
            <w:pPr>
              <w:rPr>
                <w:rFonts w:ascii="Arial"/>
                <w:sz w:val="21"/>
              </w:rPr>
            </w:pPr>
          </w:p>
        </w:tc>
        <w:tc>
          <w:tcPr>
            <w:tcW w:w="439" w:type="dxa"/>
            <w:tcBorders>
              <w:bottom w:val="single" w:color="000000" w:sz="6" w:space="0"/>
            </w:tcBorders>
            <w:vAlign w:val="top"/>
          </w:tcPr>
          <w:p w14:paraId="588A0CA2">
            <w:pPr>
              <w:spacing w:before="107" w:line="195" w:lineRule="auto"/>
              <w:ind w:left="12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13</w:t>
            </w:r>
          </w:p>
        </w:tc>
        <w:tc>
          <w:tcPr>
            <w:tcW w:w="1539" w:type="dxa"/>
            <w:tcBorders>
              <w:bottom w:val="single" w:color="000000" w:sz="6" w:space="0"/>
            </w:tcBorders>
            <w:vAlign w:val="top"/>
          </w:tcPr>
          <w:p w14:paraId="056840FF">
            <w:pPr>
              <w:pStyle w:val="6"/>
              <w:spacing w:before="71" w:line="227" w:lineRule="auto"/>
              <w:ind w:left="110"/>
            </w:pPr>
            <w:r>
              <w:rPr>
                <w:spacing w:val="7"/>
              </w:rPr>
              <w:t>设计推荐意见</w:t>
            </w:r>
          </w:p>
        </w:tc>
        <w:tc>
          <w:tcPr>
            <w:tcW w:w="3041" w:type="dxa"/>
            <w:tcBorders>
              <w:bottom w:val="single" w:color="000000" w:sz="6" w:space="0"/>
            </w:tcBorders>
            <w:vAlign w:val="top"/>
          </w:tcPr>
          <w:p w14:paraId="6014B226">
            <w:pPr>
              <w:pStyle w:val="6"/>
              <w:spacing w:before="71" w:line="227" w:lineRule="auto"/>
              <w:ind w:left="1316"/>
            </w:pPr>
            <w:r>
              <w:rPr>
                <w:spacing w:val="4"/>
              </w:rPr>
              <w:t>推荐</w:t>
            </w:r>
          </w:p>
        </w:tc>
        <w:tc>
          <w:tcPr>
            <w:tcW w:w="2891" w:type="dxa"/>
            <w:tcBorders>
              <w:bottom w:val="single" w:color="000000" w:sz="6" w:space="0"/>
            </w:tcBorders>
            <w:vAlign w:val="top"/>
          </w:tcPr>
          <w:p w14:paraId="3D3D5105">
            <w:pPr>
              <w:pStyle w:val="6"/>
              <w:spacing w:before="71" w:line="227" w:lineRule="auto"/>
              <w:ind w:left="1144"/>
            </w:pPr>
            <w:r>
              <w:rPr>
                <w:spacing w:val="5"/>
              </w:rPr>
              <w:t>不推荐</w:t>
            </w:r>
          </w:p>
        </w:tc>
        <w:tc>
          <w:tcPr>
            <w:tcW w:w="124" w:type="dxa"/>
            <w:tcBorders>
              <w:top w:val="nil"/>
              <w:bottom w:val="single" w:color="000000" w:sz="6" w:space="0"/>
              <w:right w:val="single" w:color="000000" w:sz="6" w:space="0"/>
            </w:tcBorders>
            <w:vAlign w:val="top"/>
          </w:tcPr>
          <w:p w14:paraId="28F6105E">
            <w:pPr>
              <w:rPr>
                <w:rFonts w:ascii="Arial"/>
                <w:sz w:val="21"/>
              </w:rPr>
            </w:pPr>
          </w:p>
        </w:tc>
      </w:tr>
    </w:tbl>
    <w:p w14:paraId="42151B3C">
      <w:pPr>
        <w:rPr>
          <w:rFonts w:ascii="Arial"/>
          <w:sz w:val="21"/>
        </w:rPr>
      </w:pPr>
    </w:p>
    <w:p w14:paraId="2B198143">
      <w:pPr>
        <w:rPr>
          <w:rFonts w:ascii="Arial" w:hAnsi="Arial" w:eastAsia="Arial" w:cs="Arial"/>
          <w:sz w:val="21"/>
          <w:szCs w:val="21"/>
        </w:rPr>
        <w:sectPr>
          <w:footerReference r:id="rId68" w:type="default"/>
          <w:pgSz w:w="11907" w:h="16840"/>
          <w:pgMar w:top="400" w:right="1684" w:bottom="1240" w:left="1683" w:header="0" w:footer="1077" w:gutter="0"/>
          <w:cols w:space="720" w:num="1"/>
        </w:sectPr>
      </w:pPr>
    </w:p>
    <w:p w14:paraId="4A1BD9C1">
      <w:pPr>
        <w:spacing w:before="19"/>
      </w:pPr>
    </w:p>
    <w:p w14:paraId="075C22A7">
      <w:pPr>
        <w:spacing w:before="19"/>
      </w:pPr>
    </w:p>
    <w:p w14:paraId="1D9437A5">
      <w:pPr>
        <w:spacing w:before="18"/>
      </w:pPr>
    </w:p>
    <w:p w14:paraId="1B76452A">
      <w:pPr>
        <w:spacing w:before="18"/>
      </w:pPr>
    </w:p>
    <w:tbl>
      <w:tblPr>
        <w:tblStyle w:val="5"/>
        <w:tblW w:w="85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5"/>
        <w:gridCol w:w="8149"/>
      </w:tblGrid>
      <w:tr w14:paraId="20B02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00" w:hRule="atLeast"/>
        </w:trPr>
        <w:tc>
          <w:tcPr>
            <w:tcW w:w="375" w:type="dxa"/>
            <w:vAlign w:val="top"/>
          </w:tcPr>
          <w:p w14:paraId="157B9685">
            <w:pPr>
              <w:rPr>
                <w:rFonts w:ascii="Arial"/>
                <w:sz w:val="21"/>
              </w:rPr>
            </w:pPr>
          </w:p>
        </w:tc>
        <w:tc>
          <w:tcPr>
            <w:tcW w:w="8149" w:type="dxa"/>
            <w:vAlign w:val="top"/>
          </w:tcPr>
          <w:p w14:paraId="7B2EAF68">
            <w:pPr>
              <w:spacing w:before="4" w:line="5272" w:lineRule="exact"/>
              <w:ind w:firstLine="93"/>
            </w:pPr>
            <w:r>
              <w:rPr>
                <w:position w:val="-105"/>
              </w:rPr>
              <w:drawing>
                <wp:inline distT="0" distB="0" distL="0" distR="0">
                  <wp:extent cx="5105400" cy="334772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229"/>
                          <a:stretch>
                            <a:fillRect/>
                          </a:stretch>
                        </pic:blipFill>
                        <pic:spPr>
                          <a:xfrm>
                            <a:off x="0" y="0"/>
                            <a:ext cx="5105527" cy="3348228"/>
                          </a:xfrm>
                          <a:prstGeom prst="rect">
                            <a:avLst/>
                          </a:prstGeom>
                        </pic:spPr>
                      </pic:pic>
                    </a:graphicData>
                  </a:graphic>
                </wp:inline>
              </w:drawing>
            </w:r>
          </w:p>
          <w:p w14:paraId="4E4B1925">
            <w:pPr>
              <w:pStyle w:val="6"/>
              <w:spacing w:before="30" w:line="227" w:lineRule="auto"/>
              <w:ind w:left="122"/>
            </w:pPr>
            <w:r>
              <w:rPr>
                <w:b/>
                <w:bCs/>
                <w:spacing w:val="2"/>
              </w:rPr>
              <w:t>图</w:t>
            </w:r>
            <w:r>
              <w:rPr>
                <w:spacing w:val="-27"/>
              </w:rPr>
              <w:t xml:space="preserve"> </w:t>
            </w:r>
            <w:r>
              <w:rPr>
                <w:rFonts w:ascii="Times New Roman" w:hAnsi="Times New Roman" w:eastAsia="Times New Roman" w:cs="Times New Roman"/>
                <w:b/>
                <w:bCs/>
                <w:spacing w:val="2"/>
              </w:rPr>
              <w:t>2-7    110</w:t>
            </w:r>
            <w:r>
              <w:rPr>
                <w:rFonts w:ascii="Times New Roman" w:hAnsi="Times New Roman" w:eastAsia="Times New Roman" w:cs="Times New Roman"/>
                <w:b/>
                <w:bCs/>
              </w:rPr>
              <w:t>kV</w:t>
            </w:r>
            <w:r>
              <w:rPr>
                <w:rFonts w:ascii="Times New Roman" w:hAnsi="Times New Roman" w:eastAsia="Times New Roman" w:cs="Times New Roman"/>
                <w:b/>
                <w:bCs/>
                <w:spacing w:val="14"/>
                <w:w w:val="101"/>
              </w:rPr>
              <w:t xml:space="preserve"> </w:t>
            </w:r>
            <w:r>
              <w:rPr>
                <w:b/>
                <w:bCs/>
                <w:spacing w:val="2"/>
              </w:rPr>
              <w:t>松山变“</w:t>
            </w:r>
            <w:r>
              <w:rPr>
                <w:rFonts w:ascii="Times New Roman" w:hAnsi="Times New Roman" w:eastAsia="Times New Roman" w:cs="Times New Roman"/>
                <w:b/>
                <w:bCs/>
                <w:spacing w:val="2"/>
              </w:rPr>
              <w:t>T</w:t>
            </w:r>
            <w:r>
              <w:rPr>
                <w:rFonts w:ascii="Times New Roman" w:hAnsi="Times New Roman" w:eastAsia="Times New Roman" w:cs="Times New Roman"/>
                <w:b/>
                <w:bCs/>
                <w:spacing w:val="-22"/>
              </w:rPr>
              <w:t xml:space="preserve"> </w:t>
            </w:r>
            <w:r>
              <w:rPr>
                <w:b/>
                <w:bCs/>
                <w:spacing w:val="2"/>
              </w:rPr>
              <w:t>”接芳华变出线</w:t>
            </w:r>
            <w:r>
              <w:rPr>
                <w:spacing w:val="-37"/>
              </w:rPr>
              <w:t xml:space="preserve"> </w:t>
            </w:r>
            <w:r>
              <w:rPr>
                <w:b/>
                <w:bCs/>
                <w:spacing w:val="2"/>
              </w:rPr>
              <w:t>π接</w:t>
            </w:r>
            <w:r>
              <w:rPr>
                <w:spacing w:val="-31"/>
              </w:rPr>
              <w:t xml:space="preserve"> </w:t>
            </w:r>
            <w:r>
              <w:rPr>
                <w:rFonts w:ascii="Times New Roman" w:hAnsi="Times New Roman" w:eastAsia="Times New Roman" w:cs="Times New Roman"/>
                <w:b/>
                <w:bCs/>
                <w:spacing w:val="2"/>
              </w:rPr>
              <w:t>110</w:t>
            </w:r>
            <w:r>
              <w:rPr>
                <w:rFonts w:ascii="Times New Roman" w:hAnsi="Times New Roman" w:eastAsia="Times New Roman" w:cs="Times New Roman"/>
                <w:b/>
                <w:bCs/>
              </w:rPr>
              <w:t>kV</w:t>
            </w:r>
            <w:r>
              <w:rPr>
                <w:rFonts w:ascii="Times New Roman" w:hAnsi="Times New Roman" w:eastAsia="Times New Roman" w:cs="Times New Roman"/>
                <w:b/>
                <w:bCs/>
                <w:spacing w:val="21"/>
              </w:rPr>
              <w:t xml:space="preserve"> </w:t>
            </w:r>
            <w:r>
              <w:rPr>
                <w:b/>
                <w:bCs/>
                <w:spacing w:val="2"/>
              </w:rPr>
              <w:t>吉中线的</w:t>
            </w:r>
            <w:r>
              <w:rPr>
                <w:spacing w:val="-34"/>
              </w:rPr>
              <w:t xml:space="preserve"> </w:t>
            </w:r>
            <w:r>
              <w:rPr>
                <w:rFonts w:ascii="Times New Roman" w:hAnsi="Times New Roman" w:eastAsia="Times New Roman" w:cs="Times New Roman"/>
                <w:b/>
                <w:bCs/>
                <w:spacing w:val="2"/>
              </w:rPr>
              <w:t>110</w:t>
            </w:r>
            <w:r>
              <w:rPr>
                <w:rFonts w:ascii="Times New Roman" w:hAnsi="Times New Roman" w:eastAsia="Times New Roman" w:cs="Times New Roman"/>
                <w:b/>
                <w:bCs/>
              </w:rPr>
              <w:t>kV</w:t>
            </w:r>
            <w:r>
              <w:rPr>
                <w:rFonts w:ascii="Times New Roman" w:hAnsi="Times New Roman" w:eastAsia="Times New Roman" w:cs="Times New Roman"/>
                <w:b/>
                <w:bCs/>
                <w:spacing w:val="16"/>
                <w:w w:val="101"/>
              </w:rPr>
              <w:t xml:space="preserve"> </w:t>
            </w:r>
            <w:r>
              <w:rPr>
                <w:b/>
                <w:bCs/>
                <w:spacing w:val="2"/>
              </w:rPr>
              <w:t>线路推荐方案与</w:t>
            </w:r>
          </w:p>
          <w:p w14:paraId="4C176334">
            <w:pPr>
              <w:pStyle w:val="6"/>
              <w:spacing w:before="28" w:line="228" w:lineRule="auto"/>
              <w:ind w:left="3143"/>
            </w:pPr>
            <w:r>
              <w:rPr>
                <w:b/>
                <w:bCs/>
                <w:spacing w:val="5"/>
              </w:rPr>
              <w:t>比选方案比选示意图</w:t>
            </w:r>
          </w:p>
          <w:p w14:paraId="393C382F">
            <w:pPr>
              <w:pStyle w:val="6"/>
              <w:spacing w:before="149" w:line="359" w:lineRule="auto"/>
              <w:ind w:left="102" w:right="103" w:firstLine="478"/>
              <w:jc w:val="both"/>
              <w:rPr>
                <w:sz w:val="24"/>
                <w:szCs w:val="24"/>
              </w:rPr>
            </w:pPr>
            <w:r>
              <w:rPr>
                <w:rFonts w:ascii="Times New Roman" w:hAnsi="Times New Roman" w:eastAsia="Times New Roman" w:cs="Times New Roman"/>
                <w:spacing w:val="-1"/>
                <w:sz w:val="24"/>
                <w:szCs w:val="24"/>
              </w:rPr>
              <w:t xml:space="preserve">T </w:t>
            </w:r>
            <w:r>
              <w:rPr>
                <w:spacing w:val="-1"/>
                <w:sz w:val="24"/>
                <w:szCs w:val="24"/>
              </w:rPr>
              <w:t>接方案一较方案二路径长度短，投资低，经济指标合理，且方案二</w:t>
            </w:r>
            <w:r>
              <w:rPr>
                <w:spacing w:val="-37"/>
                <w:sz w:val="24"/>
                <w:szCs w:val="24"/>
              </w:rPr>
              <w:t xml:space="preserve"> </w:t>
            </w:r>
            <w:r>
              <w:rPr>
                <w:rFonts w:ascii="Times New Roman" w:hAnsi="Times New Roman" w:eastAsia="Times New Roman" w:cs="Times New Roman"/>
                <w:spacing w:val="-1"/>
                <w:sz w:val="24"/>
                <w:szCs w:val="24"/>
              </w:rPr>
              <w:t>T</w:t>
            </w:r>
            <w:r>
              <w:rPr>
                <w:spacing w:val="-1"/>
                <w:sz w:val="24"/>
                <w:szCs w:val="24"/>
              </w:rPr>
              <w:t>接点处有大片桉树林，在桉树林内完成交叉跨越与</w:t>
            </w:r>
            <w:r>
              <w:rPr>
                <w:spacing w:val="-46"/>
                <w:sz w:val="24"/>
                <w:szCs w:val="24"/>
              </w:rPr>
              <w:t xml:space="preserve"> </w:t>
            </w:r>
            <w:r>
              <w:rPr>
                <w:rFonts w:ascii="Times New Roman" w:hAnsi="Times New Roman" w:eastAsia="Times New Roman" w:cs="Times New Roman"/>
                <w:spacing w:val="-1"/>
                <w:sz w:val="24"/>
                <w:szCs w:val="24"/>
              </w:rPr>
              <w:t xml:space="preserve">T </w:t>
            </w:r>
            <w:r>
              <w:rPr>
                <w:spacing w:val="-1"/>
                <w:sz w:val="24"/>
                <w:szCs w:val="24"/>
              </w:rPr>
              <w:t>接施工难度大，通道难以协调。故本次环评跟设计一致，推荐</w:t>
            </w:r>
            <w:r>
              <w:rPr>
                <w:spacing w:val="-46"/>
                <w:sz w:val="24"/>
                <w:szCs w:val="24"/>
              </w:rPr>
              <w:t xml:space="preserve"> </w:t>
            </w:r>
            <w:r>
              <w:rPr>
                <w:rFonts w:ascii="Times New Roman" w:hAnsi="Times New Roman" w:eastAsia="Times New Roman" w:cs="Times New Roman"/>
                <w:spacing w:val="-1"/>
                <w:sz w:val="24"/>
                <w:szCs w:val="24"/>
              </w:rPr>
              <w:t xml:space="preserve">T </w:t>
            </w:r>
            <w:r>
              <w:rPr>
                <w:spacing w:val="-1"/>
                <w:sz w:val="24"/>
                <w:szCs w:val="24"/>
              </w:rPr>
              <w:t>接方案一。</w:t>
            </w:r>
          </w:p>
          <w:p w14:paraId="03A24D25">
            <w:pPr>
              <w:pStyle w:val="6"/>
              <w:spacing w:before="1" w:line="218" w:lineRule="auto"/>
              <w:ind w:left="106"/>
              <w:rPr>
                <w:sz w:val="24"/>
                <w:szCs w:val="24"/>
              </w:rPr>
            </w:pPr>
            <w:r>
              <w:rPr>
                <w:b/>
                <w:bCs/>
                <w:spacing w:val="-3"/>
                <w:sz w:val="24"/>
                <w:szCs w:val="24"/>
              </w:rPr>
              <w:t>二、永久基本农田无法避让论证</w:t>
            </w:r>
          </w:p>
          <w:p w14:paraId="1414D60F">
            <w:pPr>
              <w:pStyle w:val="6"/>
              <w:spacing w:before="186" w:line="357" w:lineRule="auto"/>
              <w:ind w:left="103" w:right="100" w:firstLine="480"/>
              <w:jc w:val="both"/>
              <w:rPr>
                <w:sz w:val="24"/>
                <w:szCs w:val="24"/>
              </w:rPr>
            </w:pPr>
            <w:r>
              <w:rPr>
                <w:sz w:val="24"/>
                <w:szCs w:val="24"/>
              </w:rPr>
              <w:t>根据曲靖市自然资源和规划局《</w:t>
            </w:r>
            <w:r>
              <w:rPr>
                <w:rFonts w:ascii="Times New Roman" w:hAnsi="Times New Roman" w:eastAsia="Times New Roman" w:cs="Times New Roman"/>
                <w:sz w:val="24"/>
                <w:szCs w:val="24"/>
              </w:rPr>
              <w:t xml:space="preserve">110kV </w:t>
            </w:r>
            <w:r>
              <w:rPr>
                <w:sz w:val="24"/>
                <w:szCs w:val="24"/>
              </w:rPr>
              <w:t>松山输</w:t>
            </w:r>
            <w:r>
              <w:rPr>
                <w:spacing w:val="-1"/>
                <w:sz w:val="24"/>
                <w:szCs w:val="24"/>
              </w:rPr>
              <w:t>变电工程用地预审与选址</w:t>
            </w:r>
            <w:r>
              <w:rPr>
                <w:spacing w:val="-2"/>
                <w:sz w:val="24"/>
                <w:szCs w:val="24"/>
              </w:rPr>
              <w:t>意见书》（用字第</w:t>
            </w:r>
            <w:r>
              <w:rPr>
                <w:spacing w:val="-48"/>
                <w:sz w:val="24"/>
                <w:szCs w:val="24"/>
              </w:rPr>
              <w:t xml:space="preserve"> </w:t>
            </w:r>
            <w:r>
              <w:rPr>
                <w:rFonts w:ascii="Times New Roman" w:hAnsi="Times New Roman" w:eastAsia="Times New Roman" w:cs="Times New Roman"/>
                <w:spacing w:val="-2"/>
                <w:sz w:val="24"/>
                <w:szCs w:val="24"/>
              </w:rPr>
              <w:t>530300202500008</w:t>
            </w:r>
            <w:r>
              <w:rPr>
                <w:rFonts w:ascii="Times New Roman" w:hAnsi="Times New Roman" w:eastAsia="Times New Roman" w:cs="Times New Roman"/>
                <w:spacing w:val="16"/>
                <w:sz w:val="24"/>
                <w:szCs w:val="24"/>
              </w:rPr>
              <w:t xml:space="preserve"> </w:t>
            </w:r>
            <w:r>
              <w:rPr>
                <w:spacing w:val="-2"/>
                <w:sz w:val="24"/>
                <w:szCs w:val="24"/>
              </w:rPr>
              <w:t>号，见附件</w:t>
            </w:r>
            <w:r>
              <w:rPr>
                <w:spacing w:val="-51"/>
                <w:sz w:val="24"/>
                <w:szCs w:val="24"/>
              </w:rPr>
              <w:t xml:space="preserve"> </w:t>
            </w:r>
            <w:r>
              <w:rPr>
                <w:rFonts w:ascii="Times New Roman" w:hAnsi="Times New Roman" w:eastAsia="Times New Roman" w:cs="Times New Roman"/>
                <w:spacing w:val="-2"/>
                <w:sz w:val="24"/>
                <w:szCs w:val="24"/>
              </w:rPr>
              <w:t>9</w:t>
            </w:r>
            <w:r>
              <w:rPr>
                <w:spacing w:val="14"/>
                <w:sz w:val="24"/>
                <w:szCs w:val="24"/>
              </w:rPr>
              <w:t>），</w:t>
            </w:r>
            <w:r>
              <w:rPr>
                <w:spacing w:val="-2"/>
                <w:sz w:val="24"/>
                <w:szCs w:val="24"/>
              </w:rPr>
              <w:t>该工程站址用地性质</w:t>
            </w:r>
            <w:r>
              <w:rPr>
                <w:sz w:val="24"/>
                <w:szCs w:val="24"/>
              </w:rPr>
              <w:t>为农用地，不占用生态红线、永久基本农田、建设</w:t>
            </w:r>
            <w:r>
              <w:rPr>
                <w:spacing w:val="-1"/>
                <w:sz w:val="24"/>
                <w:szCs w:val="24"/>
              </w:rPr>
              <w:t>用地、未利用地。根据陆</w:t>
            </w:r>
            <w:r>
              <w:rPr>
                <w:spacing w:val="-2"/>
                <w:sz w:val="24"/>
                <w:szCs w:val="24"/>
              </w:rPr>
              <w:t>良县自然资源局《关于</w:t>
            </w:r>
            <w:r>
              <w:rPr>
                <w:spacing w:val="-31"/>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松山输变电工程路径走向的查询结果》（</w:t>
            </w:r>
            <w:r>
              <w:rPr>
                <w:rFonts w:ascii="Times New Roman" w:hAnsi="Times New Roman" w:eastAsia="Times New Roman" w:cs="Times New Roman"/>
                <w:spacing w:val="-2"/>
                <w:sz w:val="24"/>
                <w:szCs w:val="24"/>
              </w:rPr>
              <w:t>2025</w:t>
            </w:r>
            <w:r>
              <w:rPr>
                <w:spacing w:val="-6"/>
                <w:sz w:val="24"/>
                <w:szCs w:val="24"/>
              </w:rPr>
              <w:t>年</w:t>
            </w:r>
            <w:r>
              <w:rPr>
                <w:spacing w:val="-31"/>
                <w:sz w:val="24"/>
                <w:szCs w:val="24"/>
              </w:rPr>
              <w:t xml:space="preserve"> </w:t>
            </w:r>
            <w:r>
              <w:rPr>
                <w:rFonts w:ascii="Times New Roman" w:hAnsi="Times New Roman" w:eastAsia="Times New Roman" w:cs="Times New Roman"/>
                <w:spacing w:val="-6"/>
                <w:sz w:val="24"/>
                <w:szCs w:val="24"/>
              </w:rPr>
              <w:t>11</w:t>
            </w:r>
            <w:r>
              <w:rPr>
                <w:rFonts w:ascii="Times New Roman" w:hAnsi="Times New Roman" w:eastAsia="Times New Roman" w:cs="Times New Roman"/>
                <w:spacing w:val="15"/>
                <w:w w:val="101"/>
                <w:sz w:val="24"/>
                <w:szCs w:val="24"/>
              </w:rPr>
              <w:t xml:space="preserve"> </w:t>
            </w:r>
            <w:r>
              <w:rPr>
                <w:spacing w:val="-6"/>
                <w:sz w:val="24"/>
                <w:szCs w:val="24"/>
              </w:rPr>
              <w:t>月</w:t>
            </w:r>
            <w:r>
              <w:rPr>
                <w:spacing w:val="-32"/>
                <w:sz w:val="24"/>
                <w:szCs w:val="24"/>
              </w:rPr>
              <w:t xml:space="preserve"> </w:t>
            </w:r>
            <w:r>
              <w:rPr>
                <w:rFonts w:ascii="Times New Roman" w:hAnsi="Times New Roman" w:eastAsia="Times New Roman" w:cs="Times New Roman"/>
                <w:spacing w:val="-6"/>
                <w:sz w:val="24"/>
                <w:szCs w:val="24"/>
              </w:rPr>
              <w:t>12</w:t>
            </w:r>
            <w:r>
              <w:rPr>
                <w:rFonts w:ascii="Times New Roman" w:hAnsi="Times New Roman" w:eastAsia="Times New Roman" w:cs="Times New Roman"/>
                <w:spacing w:val="50"/>
                <w:w w:val="101"/>
                <w:sz w:val="24"/>
                <w:szCs w:val="24"/>
              </w:rPr>
              <w:t xml:space="preserve"> </w:t>
            </w:r>
            <w:r>
              <w:rPr>
                <w:spacing w:val="-6"/>
                <w:sz w:val="24"/>
                <w:szCs w:val="24"/>
              </w:rPr>
              <w:t>日，附件</w:t>
            </w:r>
            <w:r>
              <w:rPr>
                <w:spacing w:val="-32"/>
                <w:sz w:val="24"/>
                <w:szCs w:val="24"/>
              </w:rPr>
              <w:t xml:space="preserve"> </w:t>
            </w:r>
            <w:r>
              <w:rPr>
                <w:rFonts w:ascii="Times New Roman" w:hAnsi="Times New Roman" w:eastAsia="Times New Roman" w:cs="Times New Roman"/>
                <w:spacing w:val="-6"/>
                <w:sz w:val="24"/>
                <w:szCs w:val="24"/>
              </w:rPr>
              <w:t>10</w:t>
            </w:r>
            <w:r>
              <w:rPr>
                <w:spacing w:val="-4"/>
                <w:sz w:val="24"/>
                <w:szCs w:val="24"/>
              </w:rPr>
              <w:t>），</w:t>
            </w:r>
            <w:r>
              <w:rPr>
                <w:spacing w:val="-6"/>
                <w:sz w:val="24"/>
                <w:szCs w:val="24"/>
              </w:rPr>
              <w:t>拟建</w:t>
            </w:r>
            <w:r>
              <w:rPr>
                <w:spacing w:val="-32"/>
                <w:sz w:val="24"/>
                <w:szCs w:val="24"/>
              </w:rPr>
              <w:t xml:space="preserve"> </w:t>
            </w:r>
            <w:r>
              <w:rPr>
                <w:rFonts w:ascii="Times New Roman" w:hAnsi="Times New Roman" w:eastAsia="Times New Roman" w:cs="Times New Roman"/>
                <w:spacing w:val="-6"/>
                <w:sz w:val="24"/>
                <w:szCs w:val="24"/>
              </w:rPr>
              <w:t xml:space="preserve">110kV </w:t>
            </w:r>
            <w:r>
              <w:rPr>
                <w:spacing w:val="-6"/>
                <w:sz w:val="24"/>
                <w:szCs w:val="24"/>
              </w:rPr>
              <w:t>线路塔基</w:t>
            </w:r>
            <w:r>
              <w:rPr>
                <w:spacing w:val="-7"/>
                <w:sz w:val="24"/>
                <w:szCs w:val="24"/>
              </w:rPr>
              <w:t>不占用生态保护红线，但</w:t>
            </w:r>
            <w:r>
              <w:rPr>
                <w:spacing w:val="-51"/>
                <w:sz w:val="24"/>
                <w:szCs w:val="24"/>
              </w:rPr>
              <w:t xml:space="preserve"> </w:t>
            </w:r>
            <w:r>
              <w:rPr>
                <w:rFonts w:ascii="Times New Roman" w:hAnsi="Times New Roman" w:eastAsia="Times New Roman" w:cs="Times New Roman"/>
                <w:spacing w:val="-7"/>
                <w:sz w:val="24"/>
                <w:szCs w:val="24"/>
              </w:rPr>
              <w:t>9</w:t>
            </w:r>
            <w:r>
              <w:rPr>
                <w:spacing w:val="-7"/>
                <w:sz w:val="24"/>
                <w:szCs w:val="24"/>
              </w:rPr>
              <w:t>个塔基占用永久基本农田，</w:t>
            </w:r>
            <w:r>
              <w:rPr>
                <w:spacing w:val="-59"/>
                <w:sz w:val="24"/>
                <w:szCs w:val="24"/>
              </w:rPr>
              <w:t xml:space="preserve"> </w:t>
            </w:r>
            <w:r>
              <w:rPr>
                <w:spacing w:val="-7"/>
                <w:sz w:val="24"/>
                <w:szCs w:val="24"/>
              </w:rPr>
              <w:t>占用塔基编号为</w:t>
            </w:r>
            <w:r>
              <w:rPr>
                <w:spacing w:val="-49"/>
                <w:sz w:val="24"/>
                <w:szCs w:val="24"/>
              </w:rPr>
              <w:t xml:space="preserve"> </w:t>
            </w:r>
            <w:r>
              <w:rPr>
                <w:rFonts w:ascii="Times New Roman" w:hAnsi="Times New Roman" w:eastAsia="Times New Roman" w:cs="Times New Roman"/>
                <w:spacing w:val="-7"/>
                <w:sz w:val="24"/>
                <w:szCs w:val="24"/>
              </w:rPr>
              <w:t>57</w:t>
            </w:r>
            <w:r>
              <w:rPr>
                <w:rFonts w:ascii="Times New Roman" w:hAnsi="Times New Roman" w:eastAsia="Times New Roman" w:cs="Times New Roman"/>
                <w:spacing w:val="-33"/>
                <w:sz w:val="24"/>
                <w:szCs w:val="24"/>
              </w:rPr>
              <w:t xml:space="preserve"> </w:t>
            </w:r>
            <w:r>
              <w:rPr>
                <w:spacing w:val="-7"/>
                <w:sz w:val="24"/>
                <w:szCs w:val="24"/>
              </w:rPr>
              <w:t>、</w:t>
            </w:r>
            <w:r>
              <w:rPr>
                <w:rFonts w:ascii="Times New Roman" w:hAnsi="Times New Roman" w:eastAsia="Times New Roman" w:cs="Times New Roman"/>
                <w:spacing w:val="-7"/>
                <w:sz w:val="24"/>
                <w:szCs w:val="24"/>
              </w:rPr>
              <w:t>58</w:t>
            </w:r>
            <w:r>
              <w:rPr>
                <w:rFonts w:ascii="Times New Roman" w:hAnsi="Times New Roman" w:eastAsia="Times New Roman" w:cs="Times New Roman"/>
                <w:spacing w:val="-34"/>
                <w:sz w:val="24"/>
                <w:szCs w:val="24"/>
              </w:rPr>
              <w:t xml:space="preserve"> </w:t>
            </w:r>
            <w:r>
              <w:rPr>
                <w:spacing w:val="-7"/>
                <w:sz w:val="24"/>
                <w:szCs w:val="24"/>
              </w:rPr>
              <w:t>、</w:t>
            </w:r>
            <w:r>
              <w:rPr>
                <w:rFonts w:ascii="Times New Roman" w:hAnsi="Times New Roman" w:eastAsia="Times New Roman" w:cs="Times New Roman"/>
                <w:spacing w:val="-7"/>
                <w:sz w:val="24"/>
                <w:szCs w:val="24"/>
              </w:rPr>
              <w:t>59</w:t>
            </w:r>
            <w:r>
              <w:rPr>
                <w:rFonts w:ascii="Times New Roman" w:hAnsi="Times New Roman" w:eastAsia="Times New Roman" w:cs="Times New Roman"/>
                <w:spacing w:val="-34"/>
                <w:sz w:val="24"/>
                <w:szCs w:val="24"/>
              </w:rPr>
              <w:t xml:space="preserve"> </w:t>
            </w:r>
            <w:r>
              <w:rPr>
                <w:spacing w:val="-7"/>
                <w:sz w:val="24"/>
                <w:szCs w:val="24"/>
              </w:rPr>
              <w:t>、</w:t>
            </w:r>
            <w:r>
              <w:rPr>
                <w:rFonts w:ascii="Times New Roman" w:hAnsi="Times New Roman" w:eastAsia="Times New Roman" w:cs="Times New Roman"/>
                <w:spacing w:val="-7"/>
                <w:sz w:val="24"/>
                <w:szCs w:val="24"/>
              </w:rPr>
              <w:t>60</w:t>
            </w:r>
            <w:r>
              <w:rPr>
                <w:rFonts w:ascii="Times New Roman" w:hAnsi="Times New Roman" w:eastAsia="Times New Roman" w:cs="Times New Roman"/>
                <w:spacing w:val="-34"/>
                <w:sz w:val="24"/>
                <w:szCs w:val="24"/>
              </w:rPr>
              <w:t xml:space="preserve"> </w:t>
            </w:r>
            <w:r>
              <w:rPr>
                <w:spacing w:val="-7"/>
                <w:sz w:val="24"/>
                <w:szCs w:val="24"/>
              </w:rPr>
              <w:t>、</w:t>
            </w:r>
            <w:r>
              <w:rPr>
                <w:rFonts w:ascii="Times New Roman" w:hAnsi="Times New Roman" w:eastAsia="Times New Roman" w:cs="Times New Roman"/>
                <w:spacing w:val="-7"/>
                <w:sz w:val="24"/>
                <w:szCs w:val="24"/>
              </w:rPr>
              <w:t>61</w:t>
            </w:r>
            <w:r>
              <w:rPr>
                <w:rFonts w:ascii="Times New Roman" w:hAnsi="Times New Roman" w:eastAsia="Times New Roman" w:cs="Times New Roman"/>
                <w:spacing w:val="-34"/>
                <w:sz w:val="24"/>
                <w:szCs w:val="24"/>
              </w:rPr>
              <w:t xml:space="preserve"> </w:t>
            </w:r>
            <w:r>
              <w:rPr>
                <w:spacing w:val="-7"/>
                <w:sz w:val="24"/>
                <w:szCs w:val="24"/>
              </w:rPr>
              <w:t>、</w:t>
            </w:r>
            <w:r>
              <w:rPr>
                <w:rFonts w:ascii="Times New Roman" w:hAnsi="Times New Roman" w:eastAsia="Times New Roman" w:cs="Times New Roman"/>
                <w:spacing w:val="-7"/>
                <w:sz w:val="24"/>
                <w:szCs w:val="24"/>
              </w:rPr>
              <w:t>62</w:t>
            </w:r>
            <w:r>
              <w:rPr>
                <w:rFonts w:ascii="Times New Roman" w:hAnsi="Times New Roman" w:eastAsia="Times New Roman" w:cs="Times New Roman"/>
                <w:spacing w:val="-34"/>
                <w:sz w:val="24"/>
                <w:szCs w:val="24"/>
              </w:rPr>
              <w:t xml:space="preserve"> </w:t>
            </w:r>
            <w:r>
              <w:rPr>
                <w:spacing w:val="-7"/>
                <w:sz w:val="24"/>
                <w:szCs w:val="24"/>
              </w:rPr>
              <w:t>、</w:t>
            </w:r>
            <w:r>
              <w:rPr>
                <w:rFonts w:ascii="Times New Roman" w:hAnsi="Times New Roman" w:eastAsia="Times New Roman" w:cs="Times New Roman"/>
                <w:spacing w:val="-7"/>
                <w:sz w:val="24"/>
                <w:szCs w:val="24"/>
              </w:rPr>
              <w:t>68</w:t>
            </w:r>
            <w:r>
              <w:rPr>
                <w:spacing w:val="-7"/>
                <w:sz w:val="24"/>
                <w:szCs w:val="24"/>
              </w:rPr>
              <w:t>、</w:t>
            </w:r>
            <w:r>
              <w:rPr>
                <w:sz w:val="24"/>
                <w:szCs w:val="24"/>
              </w:rPr>
              <w:t xml:space="preserve"> </w:t>
            </w:r>
            <w:r>
              <w:rPr>
                <w:rFonts w:ascii="Times New Roman" w:hAnsi="Times New Roman" w:eastAsia="Times New Roman" w:cs="Times New Roman"/>
                <w:spacing w:val="-3"/>
                <w:sz w:val="24"/>
                <w:szCs w:val="24"/>
              </w:rPr>
              <w:t>99</w:t>
            </w:r>
            <w:r>
              <w:rPr>
                <w:rFonts w:ascii="Times New Roman" w:hAnsi="Times New Roman" w:eastAsia="Times New Roman" w:cs="Times New Roman"/>
                <w:spacing w:val="-34"/>
                <w:sz w:val="24"/>
                <w:szCs w:val="24"/>
              </w:rPr>
              <w:t xml:space="preserve"> </w:t>
            </w:r>
            <w:r>
              <w:rPr>
                <w:spacing w:val="-3"/>
                <w:sz w:val="24"/>
                <w:szCs w:val="24"/>
              </w:rPr>
              <w:t>、</w:t>
            </w:r>
            <w:r>
              <w:rPr>
                <w:rFonts w:ascii="Times New Roman" w:hAnsi="Times New Roman" w:eastAsia="Times New Roman" w:cs="Times New Roman"/>
                <w:spacing w:val="-3"/>
                <w:sz w:val="24"/>
                <w:szCs w:val="24"/>
              </w:rPr>
              <w:t>102</w:t>
            </w:r>
            <w:r>
              <w:rPr>
                <w:rFonts w:ascii="Times New Roman" w:hAnsi="Times New Roman" w:eastAsia="Times New Roman" w:cs="Times New Roman"/>
                <w:spacing w:val="-27"/>
                <w:sz w:val="24"/>
                <w:szCs w:val="24"/>
              </w:rPr>
              <w:t xml:space="preserve"> </w:t>
            </w:r>
            <w:r>
              <w:rPr>
                <w:spacing w:val="-3"/>
                <w:sz w:val="24"/>
                <w:szCs w:val="24"/>
              </w:rPr>
              <w:t>。具体为</w:t>
            </w:r>
            <w:r>
              <w:rPr>
                <w:spacing w:val="-32"/>
                <w:sz w:val="24"/>
                <w:szCs w:val="24"/>
              </w:rPr>
              <w:t xml:space="preserve"> </w:t>
            </w:r>
            <w:r>
              <w:rPr>
                <w:rFonts w:ascii="Times New Roman" w:hAnsi="Times New Roman" w:eastAsia="Times New Roman" w:cs="Times New Roman"/>
                <w:spacing w:val="-3"/>
                <w:sz w:val="24"/>
                <w:szCs w:val="24"/>
              </w:rPr>
              <w:t xml:space="preserve">110kV </w:t>
            </w:r>
            <w:r>
              <w:rPr>
                <w:spacing w:val="-3"/>
                <w:sz w:val="24"/>
                <w:szCs w:val="24"/>
              </w:rPr>
              <w:t>松山变～</w:t>
            </w: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15"/>
                <w:w w:val="101"/>
                <w:sz w:val="24"/>
                <w:szCs w:val="24"/>
              </w:rPr>
              <w:t xml:space="preserve"> </w:t>
            </w:r>
            <w:r>
              <w:rPr>
                <w:spacing w:val="-3"/>
                <w:sz w:val="24"/>
                <w:szCs w:val="24"/>
              </w:rPr>
              <w:t>芳华变线路推荐方案塔基涉及</w:t>
            </w:r>
            <w:r>
              <w:rPr>
                <w:spacing w:val="-51"/>
                <w:sz w:val="24"/>
                <w:szCs w:val="24"/>
              </w:rPr>
              <w:t xml:space="preserve"> </w:t>
            </w:r>
            <w:r>
              <w:rPr>
                <w:rFonts w:ascii="Times New Roman" w:hAnsi="Times New Roman" w:eastAsia="Times New Roman" w:cs="Times New Roman"/>
                <w:spacing w:val="-3"/>
                <w:sz w:val="24"/>
                <w:szCs w:val="24"/>
              </w:rPr>
              <w:t xml:space="preserve">7 </w:t>
            </w:r>
            <w:r>
              <w:rPr>
                <w:spacing w:val="-3"/>
                <w:sz w:val="24"/>
                <w:szCs w:val="24"/>
              </w:rPr>
              <w:t>个</w:t>
            </w:r>
            <w:r>
              <w:rPr>
                <w:spacing w:val="-11"/>
                <w:sz w:val="24"/>
                <w:szCs w:val="24"/>
              </w:rPr>
              <w:t>塔基占用永久基本农田，占用塔基编号为</w:t>
            </w:r>
            <w:r>
              <w:rPr>
                <w:spacing w:val="-43"/>
                <w:sz w:val="24"/>
                <w:szCs w:val="24"/>
              </w:rPr>
              <w:t xml:space="preserve"> </w:t>
            </w:r>
            <w:r>
              <w:rPr>
                <w:rFonts w:ascii="Times New Roman" w:hAnsi="Times New Roman" w:eastAsia="Times New Roman" w:cs="Times New Roman"/>
                <w:spacing w:val="-11"/>
                <w:sz w:val="24"/>
                <w:szCs w:val="24"/>
              </w:rPr>
              <w:t>57</w:t>
            </w:r>
            <w:r>
              <w:rPr>
                <w:spacing w:val="-11"/>
                <w:sz w:val="24"/>
                <w:szCs w:val="24"/>
              </w:rPr>
              <w:t>、</w:t>
            </w:r>
            <w:r>
              <w:rPr>
                <w:rFonts w:ascii="Times New Roman" w:hAnsi="Times New Roman" w:eastAsia="Times New Roman" w:cs="Times New Roman"/>
                <w:spacing w:val="-11"/>
                <w:sz w:val="24"/>
                <w:szCs w:val="24"/>
              </w:rPr>
              <w:t>58</w:t>
            </w:r>
            <w:r>
              <w:rPr>
                <w:spacing w:val="-11"/>
                <w:sz w:val="24"/>
                <w:szCs w:val="24"/>
              </w:rPr>
              <w:t>、</w:t>
            </w:r>
            <w:r>
              <w:rPr>
                <w:rFonts w:ascii="Times New Roman" w:hAnsi="Times New Roman" w:eastAsia="Times New Roman" w:cs="Times New Roman"/>
                <w:spacing w:val="-11"/>
                <w:sz w:val="24"/>
                <w:szCs w:val="24"/>
              </w:rPr>
              <w:t>59</w:t>
            </w:r>
            <w:r>
              <w:rPr>
                <w:spacing w:val="-11"/>
                <w:sz w:val="24"/>
                <w:szCs w:val="24"/>
              </w:rPr>
              <w:t>、</w:t>
            </w:r>
            <w:r>
              <w:rPr>
                <w:rFonts w:ascii="Times New Roman" w:hAnsi="Times New Roman" w:eastAsia="Times New Roman" w:cs="Times New Roman"/>
                <w:spacing w:val="-11"/>
                <w:sz w:val="24"/>
                <w:szCs w:val="24"/>
              </w:rPr>
              <w:t>60</w:t>
            </w:r>
            <w:r>
              <w:rPr>
                <w:spacing w:val="-11"/>
                <w:sz w:val="24"/>
                <w:szCs w:val="24"/>
              </w:rPr>
              <w:t>、</w:t>
            </w:r>
            <w:r>
              <w:rPr>
                <w:rFonts w:ascii="Times New Roman" w:hAnsi="Times New Roman" w:eastAsia="Times New Roman" w:cs="Times New Roman"/>
                <w:spacing w:val="-11"/>
                <w:sz w:val="24"/>
                <w:szCs w:val="24"/>
              </w:rPr>
              <w:t>61</w:t>
            </w:r>
            <w:r>
              <w:rPr>
                <w:spacing w:val="-11"/>
                <w:sz w:val="24"/>
                <w:szCs w:val="24"/>
              </w:rPr>
              <w:t>、</w:t>
            </w:r>
            <w:r>
              <w:rPr>
                <w:rFonts w:ascii="Times New Roman" w:hAnsi="Times New Roman" w:eastAsia="Times New Roman" w:cs="Times New Roman"/>
                <w:spacing w:val="-11"/>
                <w:sz w:val="24"/>
                <w:szCs w:val="24"/>
              </w:rPr>
              <w:t>62</w:t>
            </w:r>
            <w:r>
              <w:rPr>
                <w:spacing w:val="-11"/>
                <w:sz w:val="24"/>
                <w:szCs w:val="24"/>
              </w:rPr>
              <w:t>、</w:t>
            </w:r>
            <w:r>
              <w:rPr>
                <w:rFonts w:ascii="Times New Roman" w:hAnsi="Times New Roman" w:eastAsia="Times New Roman" w:cs="Times New Roman"/>
                <w:spacing w:val="-11"/>
                <w:sz w:val="24"/>
                <w:szCs w:val="24"/>
              </w:rPr>
              <w:t>68</w:t>
            </w:r>
            <w:r>
              <w:rPr>
                <w:spacing w:val="-11"/>
                <w:sz w:val="24"/>
                <w:szCs w:val="24"/>
              </w:rPr>
              <w:t>；</w:t>
            </w:r>
            <w:r>
              <w:rPr>
                <w:rFonts w:ascii="Times New Roman" w:hAnsi="Times New Roman" w:eastAsia="Times New Roman" w:cs="Times New Roman"/>
                <w:spacing w:val="-11"/>
                <w:sz w:val="24"/>
                <w:szCs w:val="24"/>
              </w:rPr>
              <w:t>110kV</w:t>
            </w:r>
            <w:r>
              <w:rPr>
                <w:spacing w:val="-3"/>
                <w:sz w:val="24"/>
                <w:szCs w:val="24"/>
              </w:rPr>
              <w:t>松山变“</w:t>
            </w:r>
            <w:r>
              <w:rPr>
                <w:rFonts w:ascii="Times New Roman" w:hAnsi="Times New Roman" w:eastAsia="Times New Roman" w:cs="Times New Roman"/>
                <w:spacing w:val="-3"/>
                <w:sz w:val="24"/>
                <w:szCs w:val="24"/>
              </w:rPr>
              <w:t>T</w:t>
            </w:r>
            <w:r>
              <w:rPr>
                <w:rFonts w:ascii="Times New Roman" w:hAnsi="Times New Roman" w:eastAsia="Times New Roman" w:cs="Times New Roman"/>
                <w:spacing w:val="-28"/>
                <w:sz w:val="24"/>
                <w:szCs w:val="24"/>
              </w:rPr>
              <w:t xml:space="preserve"> </w:t>
            </w:r>
            <w:r>
              <w:rPr>
                <w:spacing w:val="-3"/>
                <w:sz w:val="24"/>
                <w:szCs w:val="24"/>
              </w:rPr>
              <w:t>”接芳华变出线π接</w:t>
            </w:r>
            <w:r>
              <w:rPr>
                <w:spacing w:val="-32"/>
                <w:sz w:val="24"/>
                <w:szCs w:val="24"/>
              </w:rPr>
              <w:t xml:space="preserve"> </w:t>
            </w:r>
            <w:r>
              <w:rPr>
                <w:rFonts w:ascii="Times New Roman" w:hAnsi="Times New Roman" w:eastAsia="Times New Roman" w:cs="Times New Roman"/>
                <w:spacing w:val="-3"/>
                <w:sz w:val="24"/>
                <w:szCs w:val="24"/>
              </w:rPr>
              <w:t>110kV</w:t>
            </w:r>
            <w:r>
              <w:rPr>
                <w:rFonts w:ascii="Times New Roman" w:hAnsi="Times New Roman" w:eastAsia="Times New Roman" w:cs="Times New Roman"/>
                <w:spacing w:val="18"/>
                <w:sz w:val="24"/>
                <w:szCs w:val="24"/>
              </w:rPr>
              <w:t xml:space="preserve"> </w:t>
            </w:r>
            <w:r>
              <w:rPr>
                <w:spacing w:val="-3"/>
                <w:sz w:val="24"/>
                <w:szCs w:val="24"/>
              </w:rPr>
              <w:t>吉中线的</w:t>
            </w:r>
            <w:r>
              <w:rPr>
                <w:spacing w:val="-32"/>
                <w:sz w:val="24"/>
                <w:szCs w:val="24"/>
              </w:rPr>
              <w:t xml:space="preserve"> </w:t>
            </w:r>
            <w:r>
              <w:rPr>
                <w:rFonts w:ascii="Times New Roman" w:hAnsi="Times New Roman" w:eastAsia="Times New Roman" w:cs="Times New Roman"/>
                <w:spacing w:val="-3"/>
                <w:sz w:val="24"/>
                <w:szCs w:val="24"/>
              </w:rPr>
              <w:t xml:space="preserve">110kV </w:t>
            </w:r>
            <w:r>
              <w:rPr>
                <w:spacing w:val="-3"/>
                <w:sz w:val="24"/>
                <w:szCs w:val="24"/>
              </w:rPr>
              <w:t>线路塔基</w:t>
            </w:r>
            <w:r>
              <w:rPr>
                <w:spacing w:val="-4"/>
                <w:sz w:val="24"/>
                <w:szCs w:val="24"/>
              </w:rPr>
              <w:t>涉及</w:t>
            </w:r>
            <w:r>
              <w:rPr>
                <w:spacing w:val="-55"/>
                <w:sz w:val="24"/>
                <w:szCs w:val="24"/>
              </w:rPr>
              <w:t xml:space="preserve"> </w:t>
            </w:r>
            <w:r>
              <w:rPr>
                <w:rFonts w:ascii="Times New Roman" w:hAnsi="Times New Roman" w:eastAsia="Times New Roman" w:cs="Times New Roman"/>
                <w:spacing w:val="-4"/>
                <w:sz w:val="24"/>
                <w:szCs w:val="24"/>
              </w:rPr>
              <w:t xml:space="preserve">2 </w:t>
            </w:r>
            <w:r>
              <w:rPr>
                <w:spacing w:val="-4"/>
                <w:sz w:val="24"/>
                <w:szCs w:val="24"/>
              </w:rPr>
              <w:t>个塔基占用永久基本农田，</w:t>
            </w:r>
            <w:r>
              <w:rPr>
                <w:spacing w:val="-71"/>
                <w:sz w:val="24"/>
                <w:szCs w:val="24"/>
              </w:rPr>
              <w:t xml:space="preserve"> </w:t>
            </w:r>
            <w:r>
              <w:rPr>
                <w:spacing w:val="-4"/>
                <w:sz w:val="24"/>
                <w:szCs w:val="24"/>
              </w:rPr>
              <w:t>占用塔基编号为</w:t>
            </w:r>
            <w:r>
              <w:rPr>
                <w:spacing w:val="-50"/>
                <w:sz w:val="24"/>
                <w:szCs w:val="24"/>
              </w:rPr>
              <w:t xml:space="preserve"> </w:t>
            </w:r>
            <w:r>
              <w:rPr>
                <w:rFonts w:ascii="Times New Roman" w:hAnsi="Times New Roman" w:eastAsia="Times New Roman" w:cs="Times New Roman"/>
                <w:spacing w:val="-4"/>
                <w:sz w:val="24"/>
                <w:szCs w:val="24"/>
              </w:rPr>
              <w:t>99</w:t>
            </w:r>
            <w:r>
              <w:rPr>
                <w:rFonts w:ascii="Times New Roman" w:hAnsi="Times New Roman" w:eastAsia="Times New Roman" w:cs="Times New Roman"/>
                <w:spacing w:val="-34"/>
                <w:sz w:val="24"/>
                <w:szCs w:val="24"/>
              </w:rPr>
              <w:t xml:space="preserve"> </w:t>
            </w:r>
            <w:r>
              <w:rPr>
                <w:spacing w:val="-4"/>
                <w:sz w:val="24"/>
                <w:szCs w:val="24"/>
              </w:rPr>
              <w:t>、</w:t>
            </w:r>
            <w:r>
              <w:rPr>
                <w:rFonts w:ascii="Times New Roman" w:hAnsi="Times New Roman" w:eastAsia="Times New Roman" w:cs="Times New Roman"/>
                <w:spacing w:val="-4"/>
                <w:sz w:val="24"/>
                <w:szCs w:val="24"/>
              </w:rPr>
              <w:t>102</w:t>
            </w:r>
            <w:r>
              <w:rPr>
                <w:spacing w:val="-4"/>
                <w:sz w:val="24"/>
                <w:szCs w:val="24"/>
              </w:rPr>
              <w:t>。</w:t>
            </w:r>
          </w:p>
        </w:tc>
      </w:tr>
    </w:tbl>
    <w:p w14:paraId="06B2E0CD">
      <w:pPr>
        <w:rPr>
          <w:rFonts w:ascii="Arial"/>
          <w:sz w:val="21"/>
        </w:rPr>
      </w:pPr>
    </w:p>
    <w:p w14:paraId="2629F549">
      <w:pPr>
        <w:rPr>
          <w:rFonts w:ascii="Arial" w:hAnsi="Arial" w:eastAsia="Arial" w:cs="Arial"/>
          <w:sz w:val="21"/>
          <w:szCs w:val="21"/>
        </w:rPr>
        <w:sectPr>
          <w:footerReference r:id="rId69" w:type="default"/>
          <w:pgSz w:w="11907" w:h="16840"/>
          <w:pgMar w:top="400" w:right="1684" w:bottom="1237" w:left="1683" w:header="0" w:footer="1077" w:gutter="0"/>
          <w:cols w:space="720" w:num="1"/>
        </w:sectPr>
      </w:pPr>
    </w:p>
    <w:p w14:paraId="189E93A9">
      <w:pPr>
        <w:spacing w:before="19"/>
      </w:pPr>
    </w:p>
    <w:p w14:paraId="31705EA2">
      <w:pPr>
        <w:spacing w:before="19"/>
      </w:pPr>
    </w:p>
    <w:p w14:paraId="5754DBB0">
      <w:pPr>
        <w:spacing w:before="18"/>
      </w:pPr>
    </w:p>
    <w:p w14:paraId="145B4358">
      <w:pPr>
        <w:spacing w:before="18"/>
      </w:pPr>
    </w:p>
    <w:tbl>
      <w:tblPr>
        <w:tblStyle w:val="5"/>
        <w:tblW w:w="85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5"/>
        <w:gridCol w:w="8149"/>
      </w:tblGrid>
      <w:tr w14:paraId="0954C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6" w:hRule="atLeast"/>
        </w:trPr>
        <w:tc>
          <w:tcPr>
            <w:tcW w:w="375" w:type="dxa"/>
            <w:tcBorders>
              <w:bottom w:val="nil"/>
            </w:tcBorders>
            <w:vAlign w:val="top"/>
          </w:tcPr>
          <w:p w14:paraId="1D4F3602">
            <w:pPr>
              <w:rPr>
                <w:rFonts w:ascii="Arial"/>
                <w:sz w:val="21"/>
              </w:rPr>
            </w:pPr>
          </w:p>
        </w:tc>
        <w:tc>
          <w:tcPr>
            <w:tcW w:w="8149" w:type="dxa"/>
            <w:tcBorders>
              <w:bottom w:val="nil"/>
            </w:tcBorders>
            <w:vAlign w:val="top"/>
          </w:tcPr>
          <w:p w14:paraId="7A26958E">
            <w:pPr>
              <w:spacing w:before="64" w:line="6177" w:lineRule="exact"/>
              <w:ind w:firstLine="93"/>
            </w:pPr>
            <w:r>
              <w:rPr>
                <w:position w:val="-123"/>
              </w:rPr>
              <w:drawing>
                <wp:inline distT="0" distB="0" distL="0" distR="0">
                  <wp:extent cx="5036820" cy="3922395"/>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230"/>
                          <a:stretch>
                            <a:fillRect/>
                          </a:stretch>
                        </pic:blipFill>
                        <pic:spPr>
                          <a:xfrm>
                            <a:off x="0" y="0"/>
                            <a:ext cx="5036820" cy="3922775"/>
                          </a:xfrm>
                          <a:prstGeom prst="rect">
                            <a:avLst/>
                          </a:prstGeom>
                        </pic:spPr>
                      </pic:pic>
                    </a:graphicData>
                  </a:graphic>
                </wp:inline>
              </w:drawing>
            </w:r>
          </w:p>
          <w:p w14:paraId="1174EABE">
            <w:pPr>
              <w:pStyle w:val="6"/>
              <w:spacing w:before="191" w:line="206" w:lineRule="auto"/>
              <w:ind w:left="1579"/>
              <w:outlineLvl w:val="0"/>
            </w:pPr>
            <w:bookmarkStart w:id="0" w:name="bookmark3"/>
            <w:bookmarkEnd w:id="0"/>
            <w:r>
              <w:rPr>
                <w:b/>
                <w:bCs/>
                <w:spacing w:val="5"/>
              </w:rPr>
              <w:t>图</w:t>
            </w:r>
            <w:r>
              <w:rPr>
                <w:spacing w:val="-42"/>
              </w:rPr>
              <w:t xml:space="preserve"> </w:t>
            </w:r>
            <w:r>
              <w:rPr>
                <w:rFonts w:ascii="Times New Roman" w:hAnsi="Times New Roman" w:eastAsia="Times New Roman" w:cs="Times New Roman"/>
                <w:b/>
                <w:bCs/>
                <w:spacing w:val="5"/>
              </w:rPr>
              <w:t xml:space="preserve">2-8    </w:t>
            </w:r>
            <w:r>
              <w:rPr>
                <w:b/>
                <w:bCs/>
                <w:spacing w:val="5"/>
              </w:rPr>
              <w:t>本项目</w:t>
            </w:r>
            <w:r>
              <w:rPr>
                <w:spacing w:val="-31"/>
              </w:rPr>
              <w:t xml:space="preserve"> </w:t>
            </w:r>
            <w:r>
              <w:rPr>
                <w:rFonts w:ascii="Times New Roman" w:hAnsi="Times New Roman" w:eastAsia="Times New Roman" w:cs="Times New Roman"/>
                <w:b/>
                <w:bCs/>
                <w:spacing w:val="5"/>
              </w:rPr>
              <w:t>110</w:t>
            </w:r>
            <w:r>
              <w:rPr>
                <w:rFonts w:ascii="Times New Roman" w:hAnsi="Times New Roman" w:eastAsia="Times New Roman" w:cs="Times New Roman"/>
                <w:b/>
                <w:bCs/>
              </w:rPr>
              <w:t>kV</w:t>
            </w:r>
            <w:r>
              <w:rPr>
                <w:rFonts w:ascii="Times New Roman" w:hAnsi="Times New Roman" w:eastAsia="Times New Roman" w:cs="Times New Roman"/>
                <w:b/>
                <w:bCs/>
                <w:spacing w:val="16"/>
              </w:rPr>
              <w:t xml:space="preserve"> </w:t>
            </w:r>
            <w:r>
              <w:rPr>
                <w:b/>
                <w:bCs/>
                <w:spacing w:val="5"/>
              </w:rPr>
              <w:t>线路路径与基本农田位置关</w:t>
            </w:r>
            <w:r>
              <w:rPr>
                <w:b/>
                <w:bCs/>
                <w:spacing w:val="4"/>
              </w:rPr>
              <w:t>系图</w:t>
            </w:r>
          </w:p>
        </w:tc>
      </w:tr>
      <w:tr w14:paraId="31AB1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81" w:hRule="atLeast"/>
        </w:trPr>
        <w:tc>
          <w:tcPr>
            <w:tcW w:w="375" w:type="dxa"/>
            <w:tcBorders>
              <w:top w:val="nil"/>
              <w:bottom w:val="nil"/>
            </w:tcBorders>
            <w:vAlign w:val="top"/>
          </w:tcPr>
          <w:p w14:paraId="5AE79F15">
            <w:pPr>
              <w:rPr>
                <w:rFonts w:ascii="Arial"/>
                <w:sz w:val="21"/>
              </w:rPr>
            </w:pPr>
          </w:p>
        </w:tc>
        <w:tc>
          <w:tcPr>
            <w:tcW w:w="8149" w:type="dxa"/>
            <w:tcBorders>
              <w:top w:val="nil"/>
              <w:bottom w:val="nil"/>
            </w:tcBorders>
            <w:vAlign w:val="top"/>
          </w:tcPr>
          <w:p w14:paraId="18EB8D06">
            <w:pPr>
              <w:spacing w:before="7" w:line="4963" w:lineRule="exact"/>
              <w:ind w:firstLine="93"/>
            </w:pPr>
            <w:r>
              <w:rPr>
                <w:position w:val="-99"/>
              </w:rPr>
              <w:drawing>
                <wp:inline distT="0" distB="0" distL="0" distR="0">
                  <wp:extent cx="5076190" cy="3151505"/>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231"/>
                          <a:stretch>
                            <a:fillRect/>
                          </a:stretch>
                        </pic:blipFill>
                        <pic:spPr>
                          <a:xfrm>
                            <a:off x="0" y="0"/>
                            <a:ext cx="5076444" cy="3151631"/>
                          </a:xfrm>
                          <a:prstGeom prst="rect">
                            <a:avLst/>
                          </a:prstGeom>
                        </pic:spPr>
                      </pic:pic>
                    </a:graphicData>
                  </a:graphic>
                </wp:inline>
              </w:drawing>
            </w:r>
          </w:p>
        </w:tc>
      </w:tr>
      <w:tr w14:paraId="66508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2" w:hRule="atLeast"/>
        </w:trPr>
        <w:tc>
          <w:tcPr>
            <w:tcW w:w="375" w:type="dxa"/>
            <w:tcBorders>
              <w:top w:val="nil"/>
            </w:tcBorders>
            <w:vAlign w:val="top"/>
          </w:tcPr>
          <w:p w14:paraId="07DDEE1E">
            <w:pPr>
              <w:rPr>
                <w:rFonts w:ascii="Arial"/>
                <w:sz w:val="21"/>
              </w:rPr>
            </w:pPr>
          </w:p>
        </w:tc>
        <w:tc>
          <w:tcPr>
            <w:tcW w:w="8149" w:type="dxa"/>
            <w:tcBorders>
              <w:top w:val="nil"/>
            </w:tcBorders>
            <w:vAlign w:val="top"/>
          </w:tcPr>
          <w:p w14:paraId="53698437">
            <w:pPr>
              <w:pStyle w:val="6"/>
              <w:spacing w:before="46" w:line="227" w:lineRule="auto"/>
              <w:ind w:left="122"/>
            </w:pPr>
            <w:r>
              <w:rPr>
                <w:b/>
                <w:bCs/>
                <w:spacing w:val="3"/>
              </w:rPr>
              <w:t>图</w:t>
            </w:r>
            <w:r>
              <w:rPr>
                <w:spacing w:val="-42"/>
              </w:rPr>
              <w:t xml:space="preserve"> </w:t>
            </w:r>
            <w:r>
              <w:rPr>
                <w:rFonts w:ascii="Times New Roman" w:hAnsi="Times New Roman" w:eastAsia="Times New Roman" w:cs="Times New Roman"/>
                <w:b/>
                <w:bCs/>
                <w:spacing w:val="3"/>
              </w:rPr>
              <w:t xml:space="preserve">2-9    </w:t>
            </w:r>
            <w:r>
              <w:rPr>
                <w:b/>
                <w:bCs/>
                <w:spacing w:val="3"/>
              </w:rPr>
              <w:t>本项目</w:t>
            </w:r>
            <w:r>
              <w:rPr>
                <w:spacing w:val="-34"/>
              </w:rPr>
              <w:t xml:space="preserve"> </w:t>
            </w:r>
            <w:r>
              <w:rPr>
                <w:rFonts w:ascii="Times New Roman" w:hAnsi="Times New Roman" w:eastAsia="Times New Roman" w:cs="Times New Roman"/>
                <w:b/>
                <w:bCs/>
                <w:spacing w:val="3"/>
              </w:rPr>
              <w:t>110</w:t>
            </w:r>
            <w:r>
              <w:rPr>
                <w:rFonts w:ascii="Times New Roman" w:hAnsi="Times New Roman" w:eastAsia="Times New Roman" w:cs="Times New Roman"/>
                <w:b/>
                <w:bCs/>
              </w:rPr>
              <w:t>kV</w:t>
            </w:r>
            <w:r>
              <w:rPr>
                <w:rFonts w:ascii="Times New Roman" w:hAnsi="Times New Roman" w:eastAsia="Times New Roman" w:cs="Times New Roman"/>
                <w:b/>
                <w:bCs/>
                <w:spacing w:val="3"/>
              </w:rPr>
              <w:t xml:space="preserve"> </w:t>
            </w:r>
            <w:r>
              <w:rPr>
                <w:b/>
                <w:bCs/>
                <w:spacing w:val="3"/>
              </w:rPr>
              <w:t>松山变～</w:t>
            </w:r>
            <w:r>
              <w:rPr>
                <w:rFonts w:ascii="Times New Roman" w:hAnsi="Times New Roman" w:eastAsia="Times New Roman" w:cs="Times New Roman"/>
                <w:b/>
                <w:bCs/>
                <w:spacing w:val="3"/>
              </w:rPr>
              <w:t>220</w:t>
            </w:r>
            <w:r>
              <w:rPr>
                <w:rFonts w:ascii="Times New Roman" w:hAnsi="Times New Roman" w:eastAsia="Times New Roman" w:cs="Times New Roman"/>
                <w:b/>
                <w:bCs/>
              </w:rPr>
              <w:t>kV</w:t>
            </w:r>
            <w:r>
              <w:rPr>
                <w:rFonts w:ascii="Times New Roman" w:hAnsi="Times New Roman" w:eastAsia="Times New Roman" w:cs="Times New Roman"/>
                <w:b/>
                <w:bCs/>
                <w:spacing w:val="20"/>
              </w:rPr>
              <w:t xml:space="preserve"> </w:t>
            </w:r>
            <w:r>
              <w:rPr>
                <w:b/>
                <w:bCs/>
                <w:spacing w:val="3"/>
              </w:rPr>
              <w:t>芳华变线路</w:t>
            </w:r>
            <w:r>
              <w:rPr>
                <w:b/>
                <w:bCs/>
                <w:spacing w:val="2"/>
              </w:rPr>
              <w:t>塔基（</w:t>
            </w:r>
            <w:r>
              <w:rPr>
                <w:rFonts w:ascii="Times New Roman" w:hAnsi="Times New Roman" w:eastAsia="Times New Roman" w:cs="Times New Roman"/>
                <w:b/>
                <w:bCs/>
                <w:spacing w:val="2"/>
              </w:rPr>
              <w:t>57#</w:t>
            </w:r>
            <w:r>
              <w:rPr>
                <w:rFonts w:ascii="Times New Roman" w:hAnsi="Times New Roman" w:eastAsia="Times New Roman" w:cs="Times New Roman"/>
                <w:b/>
                <w:bCs/>
                <w:spacing w:val="-29"/>
              </w:rPr>
              <w:t xml:space="preserve"> </w:t>
            </w:r>
            <w:r>
              <w:rPr>
                <w:b/>
                <w:bCs/>
                <w:spacing w:val="2"/>
              </w:rPr>
              <w:t>、</w:t>
            </w:r>
            <w:r>
              <w:rPr>
                <w:rFonts w:ascii="Times New Roman" w:hAnsi="Times New Roman" w:eastAsia="Times New Roman" w:cs="Times New Roman"/>
                <w:b/>
                <w:bCs/>
                <w:spacing w:val="2"/>
              </w:rPr>
              <w:t>58#</w:t>
            </w:r>
            <w:r>
              <w:rPr>
                <w:rFonts w:ascii="Times New Roman" w:hAnsi="Times New Roman" w:eastAsia="Times New Roman" w:cs="Times New Roman"/>
                <w:b/>
                <w:bCs/>
                <w:spacing w:val="-28"/>
              </w:rPr>
              <w:t xml:space="preserve"> </w:t>
            </w:r>
            <w:r>
              <w:rPr>
                <w:b/>
                <w:bCs/>
                <w:spacing w:val="2"/>
              </w:rPr>
              <w:t>、</w:t>
            </w:r>
            <w:r>
              <w:rPr>
                <w:rFonts w:ascii="Times New Roman" w:hAnsi="Times New Roman" w:eastAsia="Times New Roman" w:cs="Times New Roman"/>
                <w:b/>
                <w:bCs/>
                <w:spacing w:val="2"/>
              </w:rPr>
              <w:t>59#</w:t>
            </w:r>
            <w:r>
              <w:rPr>
                <w:rFonts w:ascii="Times New Roman" w:hAnsi="Times New Roman" w:eastAsia="Times New Roman" w:cs="Times New Roman"/>
                <w:b/>
                <w:bCs/>
                <w:spacing w:val="-29"/>
              </w:rPr>
              <w:t xml:space="preserve"> </w:t>
            </w:r>
            <w:r>
              <w:rPr>
                <w:b/>
                <w:bCs/>
                <w:spacing w:val="2"/>
              </w:rPr>
              <w:t>、</w:t>
            </w:r>
            <w:r>
              <w:rPr>
                <w:rFonts w:ascii="Times New Roman" w:hAnsi="Times New Roman" w:eastAsia="Times New Roman" w:cs="Times New Roman"/>
                <w:b/>
                <w:bCs/>
                <w:spacing w:val="2"/>
              </w:rPr>
              <w:t>60#</w:t>
            </w:r>
            <w:r>
              <w:rPr>
                <w:b/>
                <w:bCs/>
                <w:spacing w:val="2"/>
              </w:rPr>
              <w:t>）</w:t>
            </w:r>
            <w:r>
              <w:rPr>
                <w:spacing w:val="-52"/>
              </w:rPr>
              <w:t xml:space="preserve"> </w:t>
            </w:r>
            <w:r>
              <w:rPr>
                <w:b/>
                <w:bCs/>
                <w:spacing w:val="2"/>
              </w:rPr>
              <w:t>占用永</w:t>
            </w:r>
          </w:p>
          <w:p w14:paraId="5F97D884">
            <w:pPr>
              <w:pStyle w:val="6"/>
              <w:spacing w:before="25" w:line="227" w:lineRule="auto"/>
              <w:ind w:left="3229"/>
            </w:pPr>
            <w:r>
              <w:rPr>
                <w:b/>
                <w:bCs/>
                <w:spacing w:val="7"/>
              </w:rPr>
              <w:t>久基本农田示意图</w:t>
            </w:r>
          </w:p>
        </w:tc>
      </w:tr>
    </w:tbl>
    <w:p w14:paraId="1B779480">
      <w:pPr>
        <w:rPr>
          <w:rFonts w:ascii="Arial"/>
          <w:sz w:val="21"/>
        </w:rPr>
      </w:pPr>
    </w:p>
    <w:p w14:paraId="694629AB">
      <w:pPr>
        <w:rPr>
          <w:rFonts w:ascii="Arial" w:hAnsi="Arial" w:eastAsia="Arial" w:cs="Arial"/>
          <w:sz w:val="21"/>
          <w:szCs w:val="21"/>
        </w:rPr>
        <w:sectPr>
          <w:footerReference r:id="rId70" w:type="default"/>
          <w:pgSz w:w="11907" w:h="16840"/>
          <w:pgMar w:top="400" w:right="1684" w:bottom="1240" w:left="1683" w:header="0" w:footer="1077" w:gutter="0"/>
          <w:cols w:space="720" w:num="1"/>
        </w:sectPr>
      </w:pPr>
    </w:p>
    <w:p w14:paraId="2008BE9D">
      <w:pPr>
        <w:spacing w:before="19"/>
      </w:pPr>
    </w:p>
    <w:p w14:paraId="50FA9791">
      <w:pPr>
        <w:spacing w:before="19"/>
      </w:pPr>
    </w:p>
    <w:p w14:paraId="757409C1">
      <w:pPr>
        <w:spacing w:before="18"/>
      </w:pPr>
    </w:p>
    <w:p w14:paraId="20E28F3D">
      <w:pPr>
        <w:spacing w:before="18"/>
      </w:pPr>
    </w:p>
    <w:tbl>
      <w:tblPr>
        <w:tblStyle w:val="5"/>
        <w:tblW w:w="85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5"/>
        <w:gridCol w:w="8149"/>
      </w:tblGrid>
      <w:tr w14:paraId="6FEDC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60" w:hRule="atLeast"/>
        </w:trPr>
        <w:tc>
          <w:tcPr>
            <w:tcW w:w="375" w:type="dxa"/>
            <w:vAlign w:val="top"/>
          </w:tcPr>
          <w:p w14:paraId="2CD6BB59">
            <w:pPr>
              <w:rPr>
                <w:rFonts w:ascii="Arial"/>
                <w:sz w:val="21"/>
              </w:rPr>
            </w:pPr>
          </w:p>
        </w:tc>
        <w:tc>
          <w:tcPr>
            <w:tcW w:w="8149" w:type="dxa"/>
            <w:vAlign w:val="top"/>
          </w:tcPr>
          <w:p w14:paraId="23813620">
            <w:pPr>
              <w:spacing w:before="4" w:line="5069" w:lineRule="exact"/>
              <w:ind w:firstLine="93"/>
            </w:pPr>
            <w:r>
              <w:rPr>
                <w:position w:val="-101"/>
              </w:rPr>
              <w:drawing>
                <wp:inline distT="0" distB="0" distL="0" distR="0">
                  <wp:extent cx="5076190" cy="321818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232"/>
                          <a:stretch>
                            <a:fillRect/>
                          </a:stretch>
                        </pic:blipFill>
                        <pic:spPr>
                          <a:xfrm>
                            <a:off x="0" y="0"/>
                            <a:ext cx="5076444" cy="3218688"/>
                          </a:xfrm>
                          <a:prstGeom prst="rect">
                            <a:avLst/>
                          </a:prstGeom>
                        </pic:spPr>
                      </pic:pic>
                    </a:graphicData>
                  </a:graphic>
                </wp:inline>
              </w:drawing>
            </w:r>
          </w:p>
          <w:p w14:paraId="06D35F30">
            <w:pPr>
              <w:pStyle w:val="6"/>
              <w:spacing w:before="32" w:line="227" w:lineRule="auto"/>
              <w:ind w:left="160"/>
            </w:pPr>
            <w:r>
              <w:rPr>
                <w:b/>
                <w:bCs/>
                <w:spacing w:val="4"/>
              </w:rPr>
              <w:t>图</w:t>
            </w:r>
            <w:r>
              <w:rPr>
                <w:spacing w:val="-42"/>
              </w:rPr>
              <w:t xml:space="preserve"> </w:t>
            </w:r>
            <w:r>
              <w:rPr>
                <w:rFonts w:ascii="Times New Roman" w:hAnsi="Times New Roman" w:eastAsia="Times New Roman" w:cs="Times New Roman"/>
                <w:b/>
                <w:bCs/>
                <w:spacing w:val="4"/>
              </w:rPr>
              <w:t xml:space="preserve">2-10    </w:t>
            </w:r>
            <w:r>
              <w:rPr>
                <w:b/>
                <w:bCs/>
                <w:spacing w:val="4"/>
              </w:rPr>
              <w:t>本项目</w:t>
            </w:r>
            <w:r>
              <w:rPr>
                <w:spacing w:val="-32"/>
              </w:rPr>
              <w:t xml:space="preserve"> </w:t>
            </w:r>
            <w:r>
              <w:rPr>
                <w:rFonts w:ascii="Times New Roman" w:hAnsi="Times New Roman" w:eastAsia="Times New Roman" w:cs="Times New Roman"/>
                <w:b/>
                <w:bCs/>
                <w:spacing w:val="4"/>
              </w:rPr>
              <w:t>110</w:t>
            </w:r>
            <w:r>
              <w:rPr>
                <w:rFonts w:ascii="Times New Roman" w:hAnsi="Times New Roman" w:eastAsia="Times New Roman" w:cs="Times New Roman"/>
                <w:b/>
                <w:bCs/>
              </w:rPr>
              <w:t>kV</w:t>
            </w:r>
            <w:r>
              <w:rPr>
                <w:rFonts w:ascii="Times New Roman" w:hAnsi="Times New Roman" w:eastAsia="Times New Roman" w:cs="Times New Roman"/>
                <w:b/>
                <w:bCs/>
                <w:spacing w:val="15"/>
                <w:w w:val="101"/>
              </w:rPr>
              <w:t xml:space="preserve"> </w:t>
            </w:r>
            <w:r>
              <w:rPr>
                <w:b/>
                <w:bCs/>
                <w:spacing w:val="4"/>
              </w:rPr>
              <w:t>松山变～</w:t>
            </w:r>
            <w:r>
              <w:rPr>
                <w:rFonts w:ascii="Times New Roman" w:hAnsi="Times New Roman" w:eastAsia="Times New Roman" w:cs="Times New Roman"/>
                <w:b/>
                <w:bCs/>
                <w:spacing w:val="4"/>
              </w:rPr>
              <w:t>220</w:t>
            </w:r>
            <w:r>
              <w:rPr>
                <w:rFonts w:ascii="Times New Roman" w:hAnsi="Times New Roman" w:eastAsia="Times New Roman" w:cs="Times New Roman"/>
                <w:b/>
                <w:bCs/>
              </w:rPr>
              <w:t>kV</w:t>
            </w:r>
            <w:r>
              <w:rPr>
                <w:rFonts w:ascii="Times New Roman" w:hAnsi="Times New Roman" w:eastAsia="Times New Roman" w:cs="Times New Roman"/>
                <w:b/>
                <w:bCs/>
                <w:spacing w:val="19"/>
              </w:rPr>
              <w:t xml:space="preserve"> </w:t>
            </w:r>
            <w:r>
              <w:rPr>
                <w:b/>
                <w:bCs/>
                <w:spacing w:val="4"/>
              </w:rPr>
              <w:t>芳华变线路塔</w:t>
            </w:r>
            <w:r>
              <w:rPr>
                <w:b/>
                <w:bCs/>
                <w:spacing w:val="3"/>
              </w:rPr>
              <w:t>基（</w:t>
            </w:r>
            <w:r>
              <w:rPr>
                <w:rFonts w:ascii="Times New Roman" w:hAnsi="Times New Roman" w:eastAsia="Times New Roman" w:cs="Times New Roman"/>
                <w:b/>
                <w:bCs/>
                <w:spacing w:val="3"/>
              </w:rPr>
              <w:t>62#</w:t>
            </w:r>
            <w:r>
              <w:rPr>
                <w:rFonts w:ascii="Times New Roman" w:hAnsi="Times New Roman" w:eastAsia="Times New Roman" w:cs="Times New Roman"/>
                <w:b/>
                <w:bCs/>
                <w:spacing w:val="-29"/>
              </w:rPr>
              <w:t xml:space="preserve"> </w:t>
            </w:r>
            <w:r>
              <w:rPr>
                <w:b/>
                <w:bCs/>
                <w:spacing w:val="3"/>
              </w:rPr>
              <w:t>、</w:t>
            </w:r>
            <w:r>
              <w:rPr>
                <w:rFonts w:ascii="Times New Roman" w:hAnsi="Times New Roman" w:eastAsia="Times New Roman" w:cs="Times New Roman"/>
                <w:b/>
                <w:bCs/>
                <w:spacing w:val="3"/>
              </w:rPr>
              <w:t>68#</w:t>
            </w:r>
            <w:r>
              <w:rPr>
                <w:b/>
                <w:bCs/>
                <w:spacing w:val="3"/>
              </w:rPr>
              <w:t>）</w:t>
            </w:r>
            <w:r>
              <w:rPr>
                <w:spacing w:val="-47"/>
              </w:rPr>
              <w:t xml:space="preserve"> </w:t>
            </w:r>
            <w:r>
              <w:rPr>
                <w:b/>
                <w:bCs/>
                <w:spacing w:val="3"/>
              </w:rPr>
              <w:t>占用永久基本农</w:t>
            </w:r>
          </w:p>
          <w:p w14:paraId="47A08FAA">
            <w:pPr>
              <w:pStyle w:val="6"/>
              <w:spacing w:before="25" w:line="222" w:lineRule="auto"/>
              <w:ind w:left="3674"/>
            </w:pPr>
            <w:r>
              <w:rPr>
                <w:b/>
                <w:bCs/>
              </w:rPr>
              <w:t>田示意图</w:t>
            </w:r>
          </w:p>
          <w:p w14:paraId="28B2794F">
            <w:pPr>
              <w:spacing w:line="4944" w:lineRule="exact"/>
              <w:ind w:firstLine="93"/>
            </w:pPr>
            <w:r>
              <w:rPr>
                <w:position w:val="-98"/>
              </w:rPr>
              <w:drawing>
                <wp:inline distT="0" distB="0" distL="0" distR="0">
                  <wp:extent cx="5076190" cy="3139440"/>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233"/>
                          <a:stretch>
                            <a:fillRect/>
                          </a:stretch>
                        </pic:blipFill>
                        <pic:spPr>
                          <a:xfrm>
                            <a:off x="0" y="0"/>
                            <a:ext cx="5076444" cy="3139440"/>
                          </a:xfrm>
                          <a:prstGeom prst="rect">
                            <a:avLst/>
                          </a:prstGeom>
                        </pic:spPr>
                      </pic:pic>
                    </a:graphicData>
                  </a:graphic>
                </wp:inline>
              </w:drawing>
            </w:r>
          </w:p>
          <w:p w14:paraId="067BFF26">
            <w:pPr>
              <w:pStyle w:val="6"/>
              <w:spacing w:before="32" w:line="227" w:lineRule="auto"/>
              <w:ind w:left="136"/>
            </w:pPr>
            <w:r>
              <w:rPr>
                <w:b/>
                <w:bCs/>
                <w:spacing w:val="5"/>
              </w:rPr>
              <w:t>图</w:t>
            </w:r>
            <w:r>
              <w:rPr>
                <w:rFonts w:ascii="Times New Roman" w:hAnsi="Times New Roman" w:eastAsia="Times New Roman" w:cs="Times New Roman"/>
                <w:b/>
                <w:bCs/>
                <w:spacing w:val="5"/>
              </w:rPr>
              <w:t xml:space="preserve">2-11    </w:t>
            </w:r>
            <w:r>
              <w:rPr>
                <w:b/>
                <w:bCs/>
                <w:spacing w:val="5"/>
              </w:rPr>
              <w:t>本项目“</w:t>
            </w:r>
            <w:r>
              <w:rPr>
                <w:rFonts w:ascii="Times New Roman" w:hAnsi="Times New Roman" w:eastAsia="Times New Roman" w:cs="Times New Roman"/>
                <w:b/>
                <w:bCs/>
                <w:spacing w:val="5"/>
              </w:rPr>
              <w:t>T</w:t>
            </w:r>
            <w:r>
              <w:rPr>
                <w:rFonts w:ascii="Times New Roman" w:hAnsi="Times New Roman" w:eastAsia="Times New Roman" w:cs="Times New Roman"/>
                <w:b/>
                <w:bCs/>
                <w:spacing w:val="-2"/>
              </w:rPr>
              <w:t xml:space="preserve"> </w:t>
            </w:r>
            <w:r>
              <w:rPr>
                <w:b/>
                <w:bCs/>
                <w:spacing w:val="5"/>
              </w:rPr>
              <w:t>”接芳华变出线π接</w:t>
            </w:r>
            <w:r>
              <w:rPr>
                <w:rFonts w:ascii="Times New Roman" w:hAnsi="Times New Roman" w:eastAsia="Times New Roman" w:cs="Times New Roman"/>
                <w:b/>
                <w:bCs/>
                <w:spacing w:val="5"/>
              </w:rPr>
              <w:t>110</w:t>
            </w:r>
            <w:r>
              <w:rPr>
                <w:rFonts w:ascii="Times New Roman" w:hAnsi="Times New Roman" w:eastAsia="Times New Roman" w:cs="Times New Roman"/>
                <w:b/>
                <w:bCs/>
              </w:rPr>
              <w:t>kV</w:t>
            </w:r>
            <w:r>
              <w:rPr>
                <w:b/>
                <w:bCs/>
                <w:spacing w:val="5"/>
              </w:rPr>
              <w:t>吉中线的</w:t>
            </w:r>
            <w:r>
              <w:rPr>
                <w:rFonts w:ascii="Times New Roman" w:hAnsi="Times New Roman" w:eastAsia="Times New Roman" w:cs="Times New Roman"/>
                <w:b/>
                <w:bCs/>
                <w:spacing w:val="5"/>
              </w:rPr>
              <w:t>110</w:t>
            </w:r>
            <w:r>
              <w:rPr>
                <w:rFonts w:ascii="Times New Roman" w:hAnsi="Times New Roman" w:eastAsia="Times New Roman" w:cs="Times New Roman"/>
                <w:b/>
                <w:bCs/>
              </w:rPr>
              <w:t>kV</w:t>
            </w:r>
            <w:r>
              <w:rPr>
                <w:b/>
                <w:bCs/>
                <w:spacing w:val="5"/>
              </w:rPr>
              <w:t>线路塔基（</w:t>
            </w:r>
            <w:r>
              <w:rPr>
                <w:rFonts w:ascii="Times New Roman" w:hAnsi="Times New Roman" w:eastAsia="Times New Roman" w:cs="Times New Roman"/>
                <w:b/>
                <w:bCs/>
                <w:spacing w:val="5"/>
              </w:rPr>
              <w:t>99#</w:t>
            </w:r>
            <w:r>
              <w:rPr>
                <w:rFonts w:ascii="Times New Roman" w:hAnsi="Times New Roman" w:eastAsia="Times New Roman" w:cs="Times New Roman"/>
                <w:b/>
                <w:bCs/>
                <w:spacing w:val="-29"/>
              </w:rPr>
              <w:t xml:space="preserve"> </w:t>
            </w:r>
            <w:r>
              <w:rPr>
                <w:b/>
                <w:bCs/>
                <w:spacing w:val="5"/>
              </w:rPr>
              <w:t>、</w:t>
            </w:r>
            <w:r>
              <w:rPr>
                <w:rFonts w:ascii="Times New Roman" w:hAnsi="Times New Roman" w:eastAsia="Times New Roman" w:cs="Times New Roman"/>
                <w:b/>
                <w:bCs/>
                <w:spacing w:val="5"/>
              </w:rPr>
              <w:t>102#</w:t>
            </w:r>
            <w:r>
              <w:rPr>
                <w:b/>
                <w:bCs/>
                <w:spacing w:val="5"/>
              </w:rPr>
              <w:t>）</w:t>
            </w:r>
          </w:p>
          <w:p w14:paraId="485F4D90">
            <w:pPr>
              <w:pStyle w:val="6"/>
              <w:spacing w:before="25" w:line="227" w:lineRule="auto"/>
              <w:ind w:left="2944"/>
            </w:pPr>
            <w:r>
              <w:rPr>
                <w:b/>
                <w:bCs/>
                <w:spacing w:val="4"/>
              </w:rPr>
              <w:t>占用永久基本农田示意图</w:t>
            </w:r>
          </w:p>
          <w:p w14:paraId="4307BABB">
            <w:pPr>
              <w:pStyle w:val="6"/>
              <w:spacing w:before="34" w:line="359" w:lineRule="auto"/>
              <w:ind w:left="102" w:right="41" w:firstLine="481"/>
              <w:jc w:val="both"/>
              <w:rPr>
                <w:sz w:val="24"/>
                <w:szCs w:val="24"/>
              </w:rPr>
            </w:pPr>
            <w:r>
              <w:rPr>
                <w:spacing w:val="-3"/>
                <w:sz w:val="24"/>
                <w:szCs w:val="24"/>
              </w:rPr>
              <w:t>本项目</w:t>
            </w:r>
            <w:r>
              <w:rPr>
                <w:spacing w:val="-32"/>
                <w:sz w:val="24"/>
                <w:szCs w:val="24"/>
              </w:rPr>
              <w:t xml:space="preserve"> </w:t>
            </w:r>
            <w:r>
              <w:rPr>
                <w:rFonts w:ascii="Times New Roman" w:hAnsi="Times New Roman" w:eastAsia="Times New Roman" w:cs="Times New Roman"/>
                <w:spacing w:val="-3"/>
                <w:sz w:val="24"/>
                <w:szCs w:val="24"/>
              </w:rPr>
              <w:t xml:space="preserve">110kV </w:t>
            </w:r>
            <w:r>
              <w:rPr>
                <w:spacing w:val="-3"/>
                <w:sz w:val="24"/>
                <w:szCs w:val="24"/>
              </w:rPr>
              <w:t>线路自松山变出线后，至</w:t>
            </w:r>
            <w:r>
              <w:rPr>
                <w:spacing w:val="-55"/>
                <w:sz w:val="24"/>
                <w:szCs w:val="24"/>
              </w:rPr>
              <w:t xml:space="preserve"> </w:t>
            </w:r>
            <w:r>
              <w:rPr>
                <w:rFonts w:ascii="Times New Roman" w:hAnsi="Times New Roman" w:eastAsia="Times New Roman" w:cs="Times New Roman"/>
                <w:spacing w:val="-4"/>
                <w:sz w:val="24"/>
                <w:szCs w:val="24"/>
              </w:rPr>
              <w:t>220kV</w:t>
            </w:r>
            <w:r>
              <w:rPr>
                <w:rFonts w:ascii="Times New Roman" w:hAnsi="Times New Roman" w:eastAsia="Times New Roman" w:cs="Times New Roman"/>
                <w:spacing w:val="16"/>
                <w:sz w:val="24"/>
                <w:szCs w:val="24"/>
              </w:rPr>
              <w:t xml:space="preserve"> </w:t>
            </w:r>
            <w:r>
              <w:rPr>
                <w:spacing w:val="-4"/>
                <w:sz w:val="24"/>
                <w:szCs w:val="24"/>
              </w:rPr>
              <w:t>芳华变侧线路沿线及至</w:t>
            </w:r>
            <w:r>
              <w:rPr>
                <w:spacing w:val="-53"/>
                <w:sz w:val="24"/>
                <w:szCs w:val="24"/>
              </w:rPr>
              <w:t xml:space="preserve"> </w:t>
            </w:r>
            <w:r>
              <w:rPr>
                <w:rFonts w:ascii="Times New Roman" w:hAnsi="Times New Roman" w:eastAsia="Times New Roman" w:cs="Times New Roman"/>
                <w:spacing w:val="-4"/>
                <w:sz w:val="24"/>
                <w:szCs w:val="24"/>
              </w:rPr>
              <w:t>T</w:t>
            </w:r>
            <w:r>
              <w:rPr>
                <w:spacing w:val="-4"/>
                <w:sz w:val="24"/>
                <w:szCs w:val="24"/>
              </w:rPr>
              <w:t>接点线路沿线分布有大片的基本农田，且</w:t>
            </w:r>
            <w:r>
              <w:rPr>
                <w:rFonts w:ascii="Times New Roman" w:hAnsi="Times New Roman" w:eastAsia="Times New Roman" w:cs="Times New Roman"/>
                <w:spacing w:val="-4"/>
                <w:sz w:val="24"/>
                <w:szCs w:val="24"/>
              </w:rPr>
              <w:t>22</w:t>
            </w:r>
            <w:r>
              <w:rPr>
                <w:rFonts w:ascii="Times New Roman" w:hAnsi="Times New Roman" w:eastAsia="Times New Roman" w:cs="Times New Roman"/>
                <w:spacing w:val="-5"/>
                <w:sz w:val="24"/>
                <w:szCs w:val="24"/>
              </w:rPr>
              <w:t xml:space="preserve">0kV </w:t>
            </w:r>
            <w:r>
              <w:rPr>
                <w:spacing w:val="-5"/>
                <w:sz w:val="24"/>
                <w:szCs w:val="24"/>
              </w:rPr>
              <w:t>芳华变基本被基本农田包围，</w:t>
            </w:r>
            <w:r>
              <w:rPr>
                <w:sz w:val="24"/>
                <w:szCs w:val="24"/>
              </w:rPr>
              <w:t>线路沿线避让高速公路、沿线居民聚集区后，线路路</w:t>
            </w:r>
            <w:r>
              <w:rPr>
                <w:spacing w:val="-1"/>
                <w:sz w:val="24"/>
                <w:szCs w:val="24"/>
              </w:rPr>
              <w:t>径无法完全避让基本农</w:t>
            </w:r>
            <w:r>
              <w:rPr>
                <w:sz w:val="24"/>
                <w:szCs w:val="24"/>
              </w:rPr>
              <w:t>田；线路沿线尽量利用永久基本农田空隙布置塔基位</w:t>
            </w:r>
            <w:r>
              <w:rPr>
                <w:spacing w:val="-1"/>
                <w:sz w:val="24"/>
                <w:szCs w:val="24"/>
              </w:rPr>
              <w:t>置，无法避让区域将塔基尽可能沿田间道路、沟渠、田坎架设，不妨碍机械化耕作。</w:t>
            </w:r>
          </w:p>
        </w:tc>
      </w:tr>
    </w:tbl>
    <w:p w14:paraId="206B4EE9">
      <w:pPr>
        <w:rPr>
          <w:rFonts w:ascii="Arial"/>
          <w:sz w:val="21"/>
        </w:rPr>
      </w:pPr>
    </w:p>
    <w:p w14:paraId="09F8502F">
      <w:pPr>
        <w:rPr>
          <w:rFonts w:ascii="Arial" w:hAnsi="Arial" w:eastAsia="Arial" w:cs="Arial"/>
          <w:sz w:val="21"/>
          <w:szCs w:val="21"/>
        </w:rPr>
        <w:sectPr>
          <w:footerReference r:id="rId71" w:type="default"/>
          <w:pgSz w:w="11907" w:h="16840"/>
          <w:pgMar w:top="400" w:right="1684" w:bottom="1240" w:left="1683" w:header="0" w:footer="1077" w:gutter="0"/>
          <w:cols w:space="720" w:num="1"/>
        </w:sectPr>
      </w:pPr>
    </w:p>
    <w:p w14:paraId="489FA73D">
      <w:pPr>
        <w:spacing w:line="251" w:lineRule="auto"/>
        <w:rPr>
          <w:rFonts w:ascii="Arial"/>
          <w:sz w:val="21"/>
        </w:rPr>
      </w:pPr>
    </w:p>
    <w:p w14:paraId="59391FA6">
      <w:pPr>
        <w:spacing w:line="251" w:lineRule="auto"/>
        <w:rPr>
          <w:rFonts w:ascii="Arial"/>
          <w:sz w:val="21"/>
        </w:rPr>
      </w:pPr>
    </w:p>
    <w:p w14:paraId="1CDB6158">
      <w:pPr>
        <w:spacing w:line="252" w:lineRule="auto"/>
        <w:rPr>
          <w:rFonts w:ascii="Arial"/>
          <w:sz w:val="21"/>
        </w:rPr>
      </w:pPr>
    </w:p>
    <w:p w14:paraId="12DB94DC">
      <w:pPr>
        <w:spacing w:line="252" w:lineRule="auto"/>
        <w:rPr>
          <w:rFonts w:ascii="Arial"/>
          <w:sz w:val="21"/>
        </w:rPr>
      </w:pPr>
    </w:p>
    <w:p w14:paraId="22200E41">
      <w:pPr>
        <w:spacing w:line="252" w:lineRule="auto"/>
        <w:rPr>
          <w:rFonts w:ascii="Arial"/>
          <w:sz w:val="21"/>
        </w:rPr>
      </w:pPr>
    </w:p>
    <w:p w14:paraId="707C9815">
      <w:pPr>
        <w:pStyle w:val="2"/>
        <w:spacing w:before="98" w:line="218" w:lineRule="auto"/>
        <w:ind w:left="1571"/>
        <w:rPr>
          <w:sz w:val="30"/>
          <w:szCs w:val="30"/>
        </w:rPr>
      </w:pPr>
      <w:r>
        <w:rPr>
          <w:b/>
          <w:bCs/>
          <w:spacing w:val="-3"/>
          <w:sz w:val="30"/>
          <w:szCs w:val="30"/>
        </w:rPr>
        <w:t>三、生态环境现状、保护目标及评价标准</w:t>
      </w:r>
    </w:p>
    <w:p w14:paraId="6D71622C">
      <w:pPr>
        <w:spacing w:before="29"/>
      </w:pPr>
    </w:p>
    <w:tbl>
      <w:tblPr>
        <w:tblStyle w:val="5"/>
        <w:tblW w:w="852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4"/>
        <w:gridCol w:w="8063"/>
      </w:tblGrid>
      <w:tr w14:paraId="2888C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13" w:hRule="atLeast"/>
        </w:trPr>
        <w:tc>
          <w:tcPr>
            <w:tcW w:w="464" w:type="dxa"/>
            <w:textDirection w:val="tbRlV"/>
            <w:vAlign w:val="top"/>
          </w:tcPr>
          <w:p w14:paraId="545653E2">
            <w:pPr>
              <w:pStyle w:val="6"/>
              <w:spacing w:before="106" w:line="208" w:lineRule="auto"/>
              <w:ind w:left="5409"/>
              <w:rPr>
                <w:sz w:val="24"/>
                <w:szCs w:val="24"/>
              </w:rPr>
            </w:pPr>
            <w:r>
              <w:rPr>
                <w:spacing w:val="-1"/>
                <w:sz w:val="24"/>
                <w:szCs w:val="24"/>
              </w:rPr>
              <w:t>生</w:t>
            </w:r>
            <w:r>
              <w:rPr>
                <w:spacing w:val="-47"/>
                <w:sz w:val="24"/>
                <w:szCs w:val="24"/>
              </w:rPr>
              <w:t xml:space="preserve"> </w:t>
            </w:r>
            <w:r>
              <w:rPr>
                <w:spacing w:val="-1"/>
                <w:sz w:val="24"/>
                <w:szCs w:val="24"/>
              </w:rPr>
              <w:t>态</w:t>
            </w:r>
            <w:r>
              <w:rPr>
                <w:spacing w:val="-48"/>
                <w:sz w:val="24"/>
                <w:szCs w:val="24"/>
              </w:rPr>
              <w:t xml:space="preserve"> </w:t>
            </w:r>
            <w:r>
              <w:rPr>
                <w:spacing w:val="-1"/>
                <w:sz w:val="24"/>
                <w:szCs w:val="24"/>
              </w:rPr>
              <w:t>环</w:t>
            </w:r>
            <w:r>
              <w:rPr>
                <w:spacing w:val="-47"/>
                <w:sz w:val="24"/>
                <w:szCs w:val="24"/>
              </w:rPr>
              <w:t xml:space="preserve"> </w:t>
            </w:r>
            <w:r>
              <w:rPr>
                <w:spacing w:val="-1"/>
                <w:sz w:val="24"/>
                <w:szCs w:val="24"/>
              </w:rPr>
              <w:t>境</w:t>
            </w:r>
            <w:r>
              <w:rPr>
                <w:spacing w:val="-48"/>
                <w:sz w:val="24"/>
                <w:szCs w:val="24"/>
              </w:rPr>
              <w:t xml:space="preserve"> </w:t>
            </w:r>
            <w:r>
              <w:rPr>
                <w:spacing w:val="-1"/>
                <w:sz w:val="24"/>
                <w:szCs w:val="24"/>
              </w:rPr>
              <w:t>现</w:t>
            </w:r>
            <w:r>
              <w:rPr>
                <w:spacing w:val="-50"/>
                <w:sz w:val="24"/>
                <w:szCs w:val="24"/>
              </w:rPr>
              <w:t xml:space="preserve"> </w:t>
            </w:r>
            <w:r>
              <w:rPr>
                <w:spacing w:val="-1"/>
                <w:sz w:val="24"/>
                <w:szCs w:val="24"/>
              </w:rPr>
              <w:t>状</w:t>
            </w:r>
          </w:p>
        </w:tc>
        <w:tc>
          <w:tcPr>
            <w:tcW w:w="8063" w:type="dxa"/>
            <w:vAlign w:val="top"/>
          </w:tcPr>
          <w:p w14:paraId="6106A8F3">
            <w:pPr>
              <w:pStyle w:val="6"/>
              <w:spacing w:before="40" w:line="221" w:lineRule="auto"/>
              <w:ind w:left="107"/>
              <w:rPr>
                <w:sz w:val="24"/>
                <w:szCs w:val="24"/>
              </w:rPr>
            </w:pPr>
            <w:r>
              <w:rPr>
                <w:b/>
                <w:bCs/>
                <w:spacing w:val="-3"/>
                <w:sz w:val="24"/>
                <w:szCs w:val="24"/>
              </w:rPr>
              <w:t>一、重要生态功能区划</w:t>
            </w:r>
          </w:p>
          <w:p w14:paraId="51613850">
            <w:pPr>
              <w:pStyle w:val="6"/>
              <w:spacing w:before="179" w:line="219" w:lineRule="auto"/>
              <w:ind w:left="590"/>
              <w:rPr>
                <w:sz w:val="24"/>
                <w:szCs w:val="24"/>
              </w:rPr>
            </w:pPr>
            <w:r>
              <w:rPr>
                <w:rFonts w:ascii="Times New Roman" w:hAnsi="Times New Roman" w:eastAsia="Times New Roman" w:cs="Times New Roman"/>
                <w:b/>
                <w:bCs/>
                <w:spacing w:val="-6"/>
                <w:sz w:val="24"/>
                <w:szCs w:val="24"/>
              </w:rPr>
              <w:t>1</w:t>
            </w:r>
            <w:r>
              <w:rPr>
                <w:rFonts w:ascii="Times New Roman" w:hAnsi="Times New Roman" w:eastAsia="Times New Roman" w:cs="Times New Roman"/>
                <w:b/>
                <w:bCs/>
                <w:spacing w:val="-23"/>
                <w:sz w:val="24"/>
                <w:szCs w:val="24"/>
              </w:rPr>
              <w:t xml:space="preserve"> </w:t>
            </w:r>
            <w:r>
              <w:rPr>
                <w:b/>
                <w:bCs/>
                <w:spacing w:val="-6"/>
                <w:sz w:val="24"/>
                <w:szCs w:val="24"/>
              </w:rPr>
              <w:t>、云南省主体功能区规划</w:t>
            </w:r>
          </w:p>
          <w:p w14:paraId="70881F24">
            <w:pPr>
              <w:pStyle w:val="6"/>
              <w:spacing w:before="183" w:line="359" w:lineRule="auto"/>
              <w:ind w:left="103" w:right="73" w:firstLine="476"/>
              <w:jc w:val="both"/>
              <w:rPr>
                <w:sz w:val="24"/>
                <w:szCs w:val="24"/>
              </w:rPr>
            </w:pPr>
            <w:r>
              <w:rPr>
                <w:rFonts w:ascii="Times New Roman" w:hAnsi="Times New Roman" w:eastAsia="Times New Roman" w:cs="Times New Roman"/>
                <w:spacing w:val="-1"/>
                <w:sz w:val="24"/>
                <w:szCs w:val="24"/>
              </w:rPr>
              <w:t xml:space="preserve">2014 </w:t>
            </w:r>
            <w:r>
              <w:rPr>
                <w:spacing w:val="-1"/>
                <w:sz w:val="24"/>
                <w:szCs w:val="24"/>
              </w:rPr>
              <w:t>年</w:t>
            </w:r>
            <w:r>
              <w:rPr>
                <w:spacing w:val="-14"/>
                <w:sz w:val="24"/>
                <w:szCs w:val="24"/>
              </w:rPr>
              <w:t xml:space="preserve"> </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20"/>
                <w:sz w:val="24"/>
                <w:szCs w:val="24"/>
              </w:rPr>
              <w:t xml:space="preserve"> </w:t>
            </w:r>
            <w:r>
              <w:rPr>
                <w:spacing w:val="-1"/>
                <w:sz w:val="24"/>
                <w:szCs w:val="24"/>
              </w:rPr>
              <w:t>月</w:t>
            </w:r>
            <w:r>
              <w:rPr>
                <w:spacing w:val="-47"/>
                <w:sz w:val="24"/>
                <w:szCs w:val="24"/>
              </w:rPr>
              <w:t xml:space="preserve"> </w:t>
            </w:r>
            <w:r>
              <w:rPr>
                <w:rFonts w:ascii="Times New Roman" w:hAnsi="Times New Roman" w:eastAsia="Times New Roman" w:cs="Times New Roman"/>
                <w:spacing w:val="-1"/>
                <w:sz w:val="24"/>
                <w:szCs w:val="24"/>
              </w:rPr>
              <w:t xml:space="preserve">6  </w:t>
            </w:r>
            <w:r>
              <w:rPr>
                <w:spacing w:val="-1"/>
                <w:sz w:val="24"/>
                <w:szCs w:val="24"/>
              </w:rPr>
              <w:t>日云南省人民政府发布了《云南省人民政府关于印发云</w:t>
            </w:r>
            <w:r>
              <w:rPr>
                <w:spacing w:val="-2"/>
                <w:sz w:val="24"/>
                <w:szCs w:val="24"/>
              </w:rPr>
              <w:t>南省主体功能区规划的通知》（云政发〔</w:t>
            </w:r>
            <w:r>
              <w:rPr>
                <w:rFonts w:ascii="Times New Roman" w:hAnsi="Times New Roman" w:eastAsia="Times New Roman" w:cs="Times New Roman"/>
                <w:spacing w:val="-2"/>
                <w:sz w:val="24"/>
                <w:szCs w:val="24"/>
              </w:rPr>
              <w:t>2014</w:t>
            </w:r>
            <w:r>
              <w:rPr>
                <w:spacing w:val="-2"/>
                <w:sz w:val="24"/>
                <w:szCs w:val="24"/>
              </w:rPr>
              <w:t>〕</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16"/>
                <w:w w:val="101"/>
                <w:sz w:val="24"/>
                <w:szCs w:val="24"/>
              </w:rPr>
              <w:t xml:space="preserve"> </w:t>
            </w:r>
            <w:r>
              <w:rPr>
                <w:spacing w:val="-2"/>
                <w:sz w:val="24"/>
                <w:szCs w:val="24"/>
              </w:rPr>
              <w:t>号</w:t>
            </w:r>
            <w:r>
              <w:rPr>
                <w:spacing w:val="15"/>
                <w:sz w:val="24"/>
                <w:szCs w:val="24"/>
              </w:rPr>
              <w:t>），</w:t>
            </w:r>
            <w:r>
              <w:rPr>
                <w:spacing w:val="-2"/>
                <w:sz w:val="24"/>
                <w:szCs w:val="24"/>
              </w:rPr>
              <w:t>云南省主体功能区划是根据不同区域的资源环境承载力、现有</w:t>
            </w:r>
            <w:r>
              <w:rPr>
                <w:spacing w:val="-3"/>
                <w:sz w:val="24"/>
                <w:szCs w:val="24"/>
              </w:rPr>
              <w:t>开发密度和未来发展潜力，划分</w:t>
            </w:r>
            <w:r>
              <w:rPr>
                <w:spacing w:val="-2"/>
                <w:sz w:val="24"/>
                <w:szCs w:val="24"/>
              </w:rPr>
              <w:t>主体功能区，逐步形成人口、经济、资源环</w:t>
            </w:r>
            <w:r>
              <w:rPr>
                <w:spacing w:val="-3"/>
                <w:sz w:val="24"/>
                <w:szCs w:val="24"/>
              </w:rPr>
              <w:t>境相协调的空间开发布局，云南</w:t>
            </w:r>
            <w:r>
              <w:rPr>
                <w:spacing w:val="-1"/>
                <w:sz w:val="24"/>
                <w:szCs w:val="24"/>
              </w:rPr>
              <w:t>省国土空间按开发方式分为重点开发区域、限制开发区域和禁止开发区域</w:t>
            </w:r>
            <w:r>
              <w:rPr>
                <w:spacing w:val="-47"/>
                <w:sz w:val="24"/>
                <w:szCs w:val="24"/>
              </w:rPr>
              <w:t xml:space="preserve"> </w:t>
            </w:r>
            <w:r>
              <w:rPr>
                <w:rFonts w:ascii="Times New Roman" w:hAnsi="Times New Roman" w:eastAsia="Times New Roman" w:cs="Times New Roman"/>
                <w:spacing w:val="-1"/>
                <w:sz w:val="24"/>
                <w:szCs w:val="24"/>
              </w:rPr>
              <w:t>3</w:t>
            </w:r>
            <w:r>
              <w:rPr>
                <w:spacing w:val="-2"/>
                <w:sz w:val="24"/>
                <w:szCs w:val="24"/>
              </w:rPr>
              <w:t>类主体功能区。其中禁止开发区包括自然保护区、世界遗产、风景名胜区、森林公园、地质公园、城市饮用水源保护区</w:t>
            </w:r>
            <w:r>
              <w:rPr>
                <w:spacing w:val="-3"/>
                <w:sz w:val="24"/>
                <w:szCs w:val="24"/>
              </w:rPr>
              <w:t>、湿地公园、水产种质资源保护</w:t>
            </w:r>
            <w:r>
              <w:rPr>
                <w:spacing w:val="-1"/>
                <w:sz w:val="24"/>
                <w:szCs w:val="24"/>
              </w:rPr>
              <w:t>区、牛栏江流域上游保护区水源保护核心区等。</w:t>
            </w:r>
          </w:p>
          <w:p w14:paraId="6B8DD815">
            <w:pPr>
              <w:pStyle w:val="6"/>
              <w:spacing w:before="3" w:line="359" w:lineRule="auto"/>
              <w:ind w:left="104" w:right="22" w:firstLine="480"/>
              <w:jc w:val="both"/>
              <w:rPr>
                <w:sz w:val="24"/>
                <w:szCs w:val="24"/>
              </w:rPr>
            </w:pPr>
            <w:r>
              <w:rPr>
                <w:spacing w:val="-3"/>
                <w:sz w:val="24"/>
                <w:szCs w:val="24"/>
              </w:rPr>
              <w:t>本工程位于陆良县芳华镇、板桥镇、三岔河镇、中枢街道，根据项目区与云南省主体功能区划关系示意图（见附图</w:t>
            </w:r>
            <w:r>
              <w:rPr>
                <w:spacing w:val="-31"/>
                <w:sz w:val="24"/>
                <w:szCs w:val="24"/>
              </w:rPr>
              <w:t xml:space="preserve"> </w:t>
            </w:r>
            <w:r>
              <w:rPr>
                <w:rFonts w:ascii="Times New Roman" w:hAnsi="Times New Roman" w:eastAsia="Times New Roman" w:cs="Times New Roman"/>
                <w:spacing w:val="-3"/>
                <w:sz w:val="24"/>
                <w:szCs w:val="24"/>
              </w:rPr>
              <w:t>11</w:t>
            </w:r>
            <w:r>
              <w:rPr>
                <w:spacing w:val="4"/>
                <w:sz w:val="24"/>
                <w:szCs w:val="24"/>
              </w:rPr>
              <w:t>），</w:t>
            </w:r>
            <w:r>
              <w:rPr>
                <w:spacing w:val="-3"/>
                <w:sz w:val="24"/>
                <w:szCs w:val="24"/>
              </w:rPr>
              <w:t>属于国家农产品主产</w:t>
            </w:r>
            <w:r>
              <w:rPr>
                <w:spacing w:val="-4"/>
                <w:sz w:val="24"/>
                <w:szCs w:val="24"/>
              </w:rPr>
              <w:t>区。</w:t>
            </w:r>
            <w:r>
              <w:rPr>
                <w:spacing w:val="-3"/>
                <w:sz w:val="24"/>
                <w:szCs w:val="24"/>
              </w:rPr>
              <w:t>本项目线路塔基涉及占用部分耕地及基本农田，变电站占地类型主要为其他园地。项目施工期短，不会长期占用，除线路铁塔四个支撑脚外，其余临时占用的耕地施工结束后进行复耕，恢复其原有功能，不影响农产品主产区功</w:t>
            </w:r>
            <w:r>
              <w:rPr>
                <w:spacing w:val="-1"/>
                <w:sz w:val="24"/>
                <w:szCs w:val="24"/>
              </w:rPr>
              <w:t>能定位。因此项目与《云南省主体功能区规划》的要求不冲突。</w:t>
            </w:r>
          </w:p>
          <w:p w14:paraId="0395CCC3">
            <w:pPr>
              <w:pStyle w:val="6"/>
              <w:spacing w:before="1" w:line="220" w:lineRule="auto"/>
              <w:ind w:left="100"/>
              <w:rPr>
                <w:sz w:val="24"/>
                <w:szCs w:val="24"/>
              </w:rPr>
            </w:pPr>
            <w:r>
              <w:rPr>
                <w:rFonts w:ascii="Times New Roman" w:hAnsi="Times New Roman" w:eastAsia="Times New Roman" w:cs="Times New Roman"/>
                <w:b/>
                <w:bCs/>
                <w:spacing w:val="-6"/>
                <w:sz w:val="24"/>
                <w:szCs w:val="24"/>
              </w:rPr>
              <w:t>2</w:t>
            </w:r>
            <w:r>
              <w:rPr>
                <w:rFonts w:ascii="Times New Roman" w:hAnsi="Times New Roman" w:eastAsia="Times New Roman" w:cs="Times New Roman"/>
                <w:b/>
                <w:bCs/>
                <w:spacing w:val="-32"/>
                <w:sz w:val="24"/>
                <w:szCs w:val="24"/>
              </w:rPr>
              <w:t xml:space="preserve"> </w:t>
            </w:r>
            <w:r>
              <w:rPr>
                <w:b/>
                <w:bCs/>
                <w:spacing w:val="-6"/>
                <w:sz w:val="24"/>
                <w:szCs w:val="24"/>
              </w:rPr>
              <w:t>、生态功能区划</w:t>
            </w:r>
          </w:p>
          <w:p w14:paraId="68421CC1">
            <w:pPr>
              <w:pStyle w:val="6"/>
              <w:spacing w:before="178" w:line="359" w:lineRule="auto"/>
              <w:ind w:left="103" w:right="102" w:firstLine="480"/>
              <w:jc w:val="both"/>
              <w:rPr>
                <w:sz w:val="24"/>
                <w:szCs w:val="24"/>
              </w:rPr>
            </w:pPr>
            <w:r>
              <w:rPr>
                <w:spacing w:val="-3"/>
                <w:sz w:val="24"/>
                <w:szCs w:val="24"/>
              </w:rPr>
              <w:t>根据《云南省生态功能区划》，生态功能分区是依据区域生态环境敏感</w:t>
            </w:r>
            <w:r>
              <w:rPr>
                <w:spacing w:val="-2"/>
                <w:sz w:val="24"/>
                <w:szCs w:val="24"/>
              </w:rPr>
              <w:t>性、生态服务功能重要性、生态环境特征的</w:t>
            </w:r>
            <w:r>
              <w:rPr>
                <w:spacing w:val="-3"/>
                <w:sz w:val="24"/>
                <w:szCs w:val="24"/>
              </w:rPr>
              <w:t>相似性和差异性而进行的地理空</w:t>
            </w:r>
            <w:r>
              <w:rPr>
                <w:spacing w:val="-2"/>
                <w:sz w:val="24"/>
                <w:szCs w:val="24"/>
              </w:rPr>
              <w:t>间分区。根据</w:t>
            </w:r>
            <w:r>
              <w:rPr>
                <w:rFonts w:ascii="Times New Roman" w:hAnsi="Times New Roman" w:eastAsia="Times New Roman" w:cs="Times New Roman"/>
                <w:spacing w:val="-2"/>
                <w:sz w:val="24"/>
                <w:szCs w:val="24"/>
              </w:rPr>
              <w:t>“</w:t>
            </w:r>
            <w:r>
              <w:rPr>
                <w:spacing w:val="-2"/>
                <w:sz w:val="24"/>
                <w:szCs w:val="24"/>
              </w:rPr>
              <w:t>生态功能区划的技术规范</w:t>
            </w:r>
            <w:r>
              <w:rPr>
                <w:rFonts w:ascii="Times New Roman" w:hAnsi="Times New Roman" w:eastAsia="Times New Roman" w:cs="Times New Roman"/>
                <w:spacing w:val="-2"/>
                <w:sz w:val="24"/>
                <w:szCs w:val="24"/>
              </w:rPr>
              <w:t>”</w:t>
            </w:r>
            <w:r>
              <w:rPr>
                <w:spacing w:val="-2"/>
                <w:sz w:val="24"/>
                <w:szCs w:val="24"/>
              </w:rPr>
              <w:t>要求，结合云南省的实际情况，生</w:t>
            </w:r>
            <w:r>
              <w:rPr>
                <w:spacing w:val="-1"/>
                <w:sz w:val="24"/>
                <w:szCs w:val="24"/>
              </w:rPr>
              <w:t>态功能区划分区命名的主要依据是：</w:t>
            </w:r>
          </w:p>
          <w:p w14:paraId="5AB5EA0E">
            <w:pPr>
              <w:pStyle w:val="6"/>
              <w:spacing w:line="359" w:lineRule="auto"/>
              <w:ind w:left="123" w:right="102" w:firstLine="464"/>
              <w:rPr>
                <w:sz w:val="24"/>
                <w:szCs w:val="24"/>
              </w:rPr>
            </w:pPr>
            <w:r>
              <w:rPr>
                <w:spacing w:val="-2"/>
                <w:sz w:val="24"/>
                <w:szCs w:val="24"/>
              </w:rPr>
              <w:t>一级区（生态区</w:t>
            </w:r>
            <w:r>
              <w:rPr>
                <w:spacing w:val="-12"/>
                <w:sz w:val="24"/>
                <w:szCs w:val="24"/>
              </w:rPr>
              <w:t>）：</w:t>
            </w:r>
            <w:r>
              <w:rPr>
                <w:spacing w:val="-2"/>
                <w:sz w:val="24"/>
                <w:szCs w:val="24"/>
              </w:rPr>
              <w:t>反映云南省生物地理气候带，并与国家和相</w:t>
            </w:r>
            <w:r>
              <w:rPr>
                <w:spacing w:val="-3"/>
                <w:sz w:val="24"/>
                <w:szCs w:val="24"/>
              </w:rPr>
              <w:t>邻省区</w:t>
            </w:r>
            <w:r>
              <w:rPr>
                <w:spacing w:val="-1"/>
                <w:sz w:val="24"/>
                <w:szCs w:val="24"/>
              </w:rPr>
              <w:t>的一级区接轨，命名方式由地理方位＋植被型＋生态</w:t>
            </w:r>
            <w:r>
              <w:rPr>
                <w:spacing w:val="-2"/>
                <w:sz w:val="24"/>
                <w:szCs w:val="24"/>
              </w:rPr>
              <w:t>区构成。</w:t>
            </w:r>
          </w:p>
          <w:p w14:paraId="5679BA8E">
            <w:pPr>
              <w:pStyle w:val="6"/>
              <w:spacing w:before="1" w:line="359" w:lineRule="auto"/>
              <w:ind w:left="105" w:right="100" w:firstLine="481"/>
              <w:jc w:val="both"/>
              <w:rPr>
                <w:sz w:val="24"/>
                <w:szCs w:val="24"/>
              </w:rPr>
            </w:pPr>
            <w:r>
              <w:rPr>
                <w:spacing w:val="-2"/>
                <w:sz w:val="24"/>
                <w:szCs w:val="24"/>
              </w:rPr>
              <w:t>二级区（生态亚区</w:t>
            </w:r>
            <w:r>
              <w:rPr>
                <w:spacing w:val="-12"/>
                <w:sz w:val="24"/>
                <w:szCs w:val="24"/>
              </w:rPr>
              <w:t>）：</w:t>
            </w:r>
            <w:r>
              <w:rPr>
                <w:spacing w:val="-2"/>
                <w:sz w:val="24"/>
                <w:szCs w:val="24"/>
              </w:rPr>
              <w:t>体现分区的生态系统类型组合、优势生态系</w:t>
            </w:r>
            <w:r>
              <w:rPr>
                <w:spacing w:val="-3"/>
                <w:sz w:val="24"/>
                <w:szCs w:val="24"/>
              </w:rPr>
              <w:t>统类</w:t>
            </w:r>
            <w:r>
              <w:rPr>
                <w:spacing w:val="5"/>
                <w:sz w:val="24"/>
                <w:szCs w:val="24"/>
              </w:rPr>
              <w:t>型和地貌特征，由地名＋地形组合特征＋优势生态系统类型＋生态亚区构</w:t>
            </w:r>
            <w:r>
              <w:rPr>
                <w:spacing w:val="-6"/>
                <w:sz w:val="24"/>
                <w:szCs w:val="24"/>
              </w:rPr>
              <w:t>成。</w:t>
            </w:r>
          </w:p>
          <w:p w14:paraId="1A1F923C">
            <w:pPr>
              <w:pStyle w:val="6"/>
              <w:spacing w:line="219" w:lineRule="auto"/>
              <w:ind w:left="583"/>
              <w:rPr>
                <w:sz w:val="24"/>
                <w:szCs w:val="24"/>
              </w:rPr>
            </w:pPr>
            <w:r>
              <w:rPr>
                <w:spacing w:val="-2"/>
                <w:sz w:val="24"/>
                <w:szCs w:val="24"/>
              </w:rPr>
              <w:t>三级区（生态功能区</w:t>
            </w:r>
            <w:r>
              <w:rPr>
                <w:spacing w:val="-11"/>
                <w:sz w:val="24"/>
                <w:szCs w:val="24"/>
              </w:rPr>
              <w:t>）：</w:t>
            </w:r>
            <w:r>
              <w:rPr>
                <w:spacing w:val="-2"/>
                <w:sz w:val="24"/>
                <w:szCs w:val="24"/>
              </w:rPr>
              <w:t>体现分区的生态服务功能的重要性和生态环境</w:t>
            </w:r>
          </w:p>
        </w:tc>
      </w:tr>
    </w:tbl>
    <w:p w14:paraId="6ED261EE">
      <w:pPr>
        <w:rPr>
          <w:rFonts w:ascii="Arial"/>
          <w:sz w:val="21"/>
        </w:rPr>
      </w:pPr>
    </w:p>
    <w:p w14:paraId="501D541E">
      <w:pPr>
        <w:rPr>
          <w:rFonts w:ascii="Arial" w:hAnsi="Arial" w:eastAsia="Arial" w:cs="Arial"/>
          <w:sz w:val="21"/>
          <w:szCs w:val="21"/>
        </w:rPr>
        <w:sectPr>
          <w:footerReference r:id="rId72" w:type="default"/>
          <w:pgSz w:w="11907" w:h="16840"/>
          <w:pgMar w:top="400" w:right="1682" w:bottom="1240" w:left="1682" w:header="0" w:footer="1077" w:gutter="0"/>
          <w:cols w:space="720" w:num="1"/>
        </w:sectPr>
      </w:pPr>
    </w:p>
    <w:p w14:paraId="140DC129">
      <w:pPr>
        <w:spacing w:before="19"/>
      </w:pPr>
    </w:p>
    <w:p w14:paraId="2ABC1392">
      <w:pPr>
        <w:spacing w:before="19"/>
      </w:pPr>
    </w:p>
    <w:p w14:paraId="6F2FEBC2">
      <w:pPr>
        <w:spacing w:before="18"/>
      </w:pPr>
    </w:p>
    <w:p w14:paraId="3A5117B9">
      <w:pPr>
        <w:spacing w:before="18"/>
      </w:pPr>
    </w:p>
    <w:tbl>
      <w:tblPr>
        <w:tblStyle w:val="5"/>
        <w:tblW w:w="852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4"/>
        <w:gridCol w:w="8063"/>
      </w:tblGrid>
      <w:tr w14:paraId="59378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46" w:hRule="atLeast"/>
        </w:trPr>
        <w:tc>
          <w:tcPr>
            <w:tcW w:w="464" w:type="dxa"/>
            <w:vAlign w:val="top"/>
          </w:tcPr>
          <w:p w14:paraId="3D18BF5E">
            <w:pPr>
              <w:rPr>
                <w:rFonts w:ascii="Arial"/>
                <w:sz w:val="21"/>
              </w:rPr>
            </w:pPr>
          </w:p>
        </w:tc>
        <w:tc>
          <w:tcPr>
            <w:tcW w:w="8063" w:type="dxa"/>
            <w:vAlign w:val="top"/>
          </w:tcPr>
          <w:p w14:paraId="4CD1CDC1">
            <w:pPr>
              <w:pStyle w:val="6"/>
              <w:spacing w:before="41" w:line="358" w:lineRule="auto"/>
              <w:ind w:left="103" w:right="103"/>
              <w:rPr>
                <w:sz w:val="24"/>
                <w:szCs w:val="24"/>
              </w:rPr>
            </w:pPr>
            <w:r>
              <w:rPr>
                <w:spacing w:val="-1"/>
                <w:sz w:val="24"/>
                <w:szCs w:val="24"/>
              </w:rPr>
              <w:t>敏感性特点，由地名＋地形＋主要生态服务功能（或生态环境敏感性</w:t>
            </w:r>
            <w:r>
              <w:rPr>
                <w:spacing w:val="-25"/>
                <w:sz w:val="24"/>
                <w:szCs w:val="24"/>
              </w:rPr>
              <w:t>）＋</w:t>
            </w:r>
            <w:r>
              <w:rPr>
                <w:spacing w:val="-1"/>
                <w:sz w:val="24"/>
                <w:szCs w:val="24"/>
              </w:rPr>
              <w:t>生</w:t>
            </w:r>
            <w:r>
              <w:rPr>
                <w:spacing w:val="-2"/>
                <w:sz w:val="24"/>
                <w:szCs w:val="24"/>
              </w:rPr>
              <w:t>态功能区构成。</w:t>
            </w:r>
          </w:p>
          <w:p w14:paraId="142487B3">
            <w:pPr>
              <w:pStyle w:val="6"/>
              <w:spacing w:before="2" w:line="359" w:lineRule="auto"/>
              <w:ind w:left="103" w:right="103" w:firstLine="486"/>
              <w:rPr>
                <w:sz w:val="24"/>
                <w:szCs w:val="24"/>
              </w:rPr>
            </w:pPr>
            <w:r>
              <w:rPr>
                <w:spacing w:val="-1"/>
                <w:sz w:val="24"/>
                <w:szCs w:val="24"/>
              </w:rPr>
              <w:t>云南省生态功能区共分一级区（生态区）</w:t>
            </w:r>
            <w:r>
              <w:rPr>
                <w:rFonts w:ascii="Times New Roman" w:hAnsi="Times New Roman" w:eastAsia="Times New Roman" w:cs="Times New Roman"/>
                <w:spacing w:val="-1"/>
                <w:sz w:val="24"/>
                <w:szCs w:val="24"/>
              </w:rPr>
              <w:t xml:space="preserve">5 </w:t>
            </w:r>
            <w:r>
              <w:rPr>
                <w:spacing w:val="-1"/>
                <w:sz w:val="24"/>
                <w:szCs w:val="24"/>
              </w:rPr>
              <w:t>个，二级区（生态亚区）</w:t>
            </w:r>
            <w:r>
              <w:rPr>
                <w:rFonts w:ascii="Times New Roman" w:hAnsi="Times New Roman" w:eastAsia="Times New Roman" w:cs="Times New Roman"/>
                <w:spacing w:val="-1"/>
                <w:sz w:val="24"/>
                <w:szCs w:val="24"/>
              </w:rPr>
              <w:t>19</w:t>
            </w:r>
            <w:r>
              <w:rPr>
                <w:spacing w:val="-1"/>
                <w:sz w:val="24"/>
                <w:szCs w:val="24"/>
              </w:rPr>
              <w:t>个，三级区（生态功能区）</w:t>
            </w:r>
            <w:r>
              <w:rPr>
                <w:rFonts w:ascii="Times New Roman" w:hAnsi="Times New Roman" w:eastAsia="Times New Roman" w:cs="Times New Roman"/>
                <w:spacing w:val="-1"/>
                <w:sz w:val="24"/>
                <w:szCs w:val="24"/>
              </w:rPr>
              <w:t xml:space="preserve">65 </w:t>
            </w:r>
            <w:r>
              <w:rPr>
                <w:spacing w:val="-1"/>
                <w:sz w:val="24"/>
                <w:szCs w:val="24"/>
              </w:rPr>
              <w:t>个。</w:t>
            </w:r>
          </w:p>
          <w:p w14:paraId="2F39C055">
            <w:pPr>
              <w:pStyle w:val="6"/>
              <w:spacing w:line="359" w:lineRule="auto"/>
              <w:ind w:left="103" w:right="103" w:firstLine="480"/>
              <w:rPr>
                <w:sz w:val="24"/>
                <w:szCs w:val="24"/>
              </w:rPr>
            </w:pPr>
            <w:r>
              <w:rPr>
                <w:spacing w:val="1"/>
                <w:sz w:val="24"/>
                <w:szCs w:val="24"/>
              </w:rPr>
              <w:t>根据项目区与云南省生态功能区划关系示意图（见附图</w:t>
            </w:r>
            <w:r>
              <w:rPr>
                <w:spacing w:val="-27"/>
                <w:sz w:val="24"/>
                <w:szCs w:val="24"/>
              </w:rPr>
              <w:t xml:space="preserve"> </w:t>
            </w:r>
            <w:r>
              <w:rPr>
                <w:rFonts w:ascii="Times New Roman" w:hAnsi="Times New Roman" w:eastAsia="Times New Roman" w:cs="Times New Roman"/>
                <w:spacing w:val="1"/>
                <w:sz w:val="24"/>
                <w:szCs w:val="24"/>
              </w:rPr>
              <w:t>12</w:t>
            </w:r>
            <w:r>
              <w:rPr>
                <w:spacing w:val="19"/>
                <w:sz w:val="24"/>
                <w:szCs w:val="24"/>
              </w:rPr>
              <w:t>），</w:t>
            </w:r>
            <w:r>
              <w:rPr>
                <w:spacing w:val="1"/>
                <w:sz w:val="24"/>
                <w:szCs w:val="24"/>
              </w:rPr>
              <w:t>项目区</w:t>
            </w:r>
            <w:r>
              <w:rPr>
                <w:spacing w:val="-3"/>
                <w:sz w:val="24"/>
                <w:szCs w:val="24"/>
              </w:rPr>
              <w:t>位于</w:t>
            </w:r>
            <w:r>
              <w:rPr>
                <w:spacing w:val="-54"/>
                <w:sz w:val="24"/>
                <w:szCs w:val="24"/>
              </w:rPr>
              <w:t xml:space="preserve"> </w:t>
            </w:r>
            <w:r>
              <w:rPr>
                <w:rFonts w:ascii="Times New Roman" w:hAnsi="Times New Roman" w:eastAsia="Times New Roman" w:cs="Times New Roman"/>
                <w:spacing w:val="-3"/>
                <w:sz w:val="24"/>
                <w:szCs w:val="24"/>
              </w:rPr>
              <w:t>III1-</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3"/>
                <w:sz w:val="24"/>
                <w:szCs w:val="24"/>
              </w:rPr>
              <w:t>11</w:t>
            </w:r>
            <w:r>
              <w:rPr>
                <w:rFonts w:ascii="Times New Roman" w:hAnsi="Times New Roman" w:eastAsia="Times New Roman" w:cs="Times New Roman"/>
                <w:spacing w:val="33"/>
                <w:sz w:val="24"/>
                <w:szCs w:val="24"/>
              </w:rPr>
              <w:t xml:space="preserve"> </w:t>
            </w:r>
            <w:r>
              <w:rPr>
                <w:spacing w:val="-3"/>
                <w:sz w:val="24"/>
                <w:szCs w:val="24"/>
              </w:rPr>
              <w:t>曲靖、陆良山原盆地城镇与农业生态功能区。</w:t>
            </w:r>
          </w:p>
          <w:p w14:paraId="59426FBF">
            <w:pPr>
              <w:pStyle w:val="6"/>
              <w:spacing w:before="2" w:line="358" w:lineRule="auto"/>
              <w:ind w:left="103" w:right="102" w:firstLine="483"/>
              <w:jc w:val="both"/>
              <w:rPr>
                <w:sz w:val="24"/>
                <w:szCs w:val="24"/>
              </w:rPr>
            </w:pPr>
            <w:r>
              <w:rPr>
                <w:b/>
                <w:bCs/>
                <w:sz w:val="24"/>
                <w:szCs w:val="24"/>
              </w:rPr>
              <w:t>该功能区主要生态特征：</w:t>
            </w:r>
            <w:r>
              <w:rPr>
                <w:sz w:val="24"/>
                <w:szCs w:val="24"/>
              </w:rPr>
              <w:t>以石灰岩盆地地貌为主，降雨量</w:t>
            </w:r>
            <w:r>
              <w:rPr>
                <w:spacing w:val="-39"/>
                <w:sz w:val="24"/>
                <w:szCs w:val="24"/>
              </w:rPr>
              <w:t xml:space="preserve"> </w:t>
            </w:r>
            <w:r>
              <w:rPr>
                <w:rFonts w:ascii="Times New Roman" w:hAnsi="Times New Roman" w:eastAsia="Times New Roman" w:cs="Times New Roman"/>
                <w:sz w:val="24"/>
                <w:szCs w:val="24"/>
              </w:rPr>
              <w:t>900-</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 xml:space="preserve">1000 </w:t>
            </w:r>
            <w:r>
              <w:rPr>
                <w:sz w:val="24"/>
                <w:szCs w:val="24"/>
              </w:rPr>
              <w:t>毫</w:t>
            </w:r>
            <w:r>
              <w:rPr>
                <w:spacing w:val="-2"/>
                <w:sz w:val="24"/>
                <w:szCs w:val="24"/>
              </w:rPr>
              <w:t>米。地带性植被为半湿润常绿阔叶林，现存</w:t>
            </w:r>
            <w:r>
              <w:rPr>
                <w:spacing w:val="-3"/>
                <w:sz w:val="24"/>
                <w:szCs w:val="24"/>
              </w:rPr>
              <w:t>植被主要为云南松林，土壤以红壤为主。</w:t>
            </w:r>
          </w:p>
          <w:p w14:paraId="1D887B0C">
            <w:pPr>
              <w:pStyle w:val="6"/>
              <w:spacing w:line="220" w:lineRule="auto"/>
              <w:ind w:left="587"/>
              <w:rPr>
                <w:sz w:val="24"/>
                <w:szCs w:val="24"/>
              </w:rPr>
            </w:pPr>
            <w:r>
              <w:rPr>
                <w:b/>
                <w:bCs/>
                <w:spacing w:val="-1"/>
                <w:sz w:val="24"/>
                <w:szCs w:val="24"/>
              </w:rPr>
              <w:t>该区域的主要生态问题：</w:t>
            </w:r>
            <w:r>
              <w:rPr>
                <w:spacing w:val="-1"/>
                <w:sz w:val="24"/>
                <w:szCs w:val="24"/>
              </w:rPr>
              <w:t>土地利用不合理导致的</w:t>
            </w:r>
            <w:r>
              <w:rPr>
                <w:spacing w:val="-2"/>
                <w:sz w:val="24"/>
                <w:szCs w:val="24"/>
              </w:rPr>
              <w:t>土地石漠化。</w:t>
            </w:r>
          </w:p>
          <w:p w14:paraId="55C31DC6">
            <w:pPr>
              <w:pStyle w:val="6"/>
              <w:spacing w:before="183" w:line="219" w:lineRule="auto"/>
              <w:ind w:left="585"/>
              <w:rPr>
                <w:sz w:val="24"/>
                <w:szCs w:val="24"/>
              </w:rPr>
            </w:pPr>
            <w:r>
              <w:rPr>
                <w:b/>
                <w:bCs/>
                <w:spacing w:val="-2"/>
                <w:sz w:val="24"/>
                <w:szCs w:val="24"/>
              </w:rPr>
              <w:t>生态环境敏感性：</w:t>
            </w:r>
            <w:r>
              <w:rPr>
                <w:spacing w:val="-2"/>
                <w:sz w:val="24"/>
                <w:szCs w:val="24"/>
              </w:rPr>
              <w:t>石漠化高中度敏感</w:t>
            </w:r>
          </w:p>
          <w:p w14:paraId="608FF2FA">
            <w:pPr>
              <w:pStyle w:val="6"/>
              <w:spacing w:before="180" w:line="359" w:lineRule="auto"/>
              <w:ind w:left="123" w:right="102" w:firstLine="462"/>
              <w:rPr>
                <w:sz w:val="24"/>
                <w:szCs w:val="24"/>
              </w:rPr>
            </w:pPr>
            <w:r>
              <w:rPr>
                <w:b/>
                <w:bCs/>
                <w:spacing w:val="-4"/>
                <w:sz w:val="24"/>
                <w:szCs w:val="24"/>
              </w:rPr>
              <w:t>主要生态系统服务功能：</w:t>
            </w:r>
            <w:r>
              <w:rPr>
                <w:spacing w:val="-4"/>
                <w:sz w:val="24"/>
                <w:szCs w:val="24"/>
              </w:rPr>
              <w:t>以岩溶地貌为主的生态旅游和以粮食生产为主</w:t>
            </w:r>
            <w:r>
              <w:rPr>
                <w:spacing w:val="-5"/>
                <w:sz w:val="24"/>
                <w:szCs w:val="24"/>
              </w:rPr>
              <w:t>的生态农业。</w:t>
            </w:r>
          </w:p>
          <w:p w14:paraId="75299A2D">
            <w:pPr>
              <w:pStyle w:val="6"/>
              <w:spacing w:line="360" w:lineRule="auto"/>
              <w:ind w:left="112" w:right="84" w:firstLine="472"/>
              <w:rPr>
                <w:sz w:val="24"/>
                <w:szCs w:val="24"/>
              </w:rPr>
            </w:pPr>
            <w:r>
              <w:rPr>
                <w:b/>
                <w:bCs/>
                <w:spacing w:val="-3"/>
                <w:sz w:val="24"/>
                <w:szCs w:val="24"/>
              </w:rPr>
              <w:t>保护措施与发展方向：</w:t>
            </w:r>
            <w:r>
              <w:rPr>
                <w:spacing w:val="-3"/>
                <w:sz w:val="24"/>
                <w:szCs w:val="24"/>
              </w:rPr>
              <w:t>开展生态旅游，合理利用土地，推行清洁生产，</w:t>
            </w:r>
            <w:r>
              <w:rPr>
                <w:spacing w:val="-1"/>
                <w:sz w:val="24"/>
                <w:szCs w:val="24"/>
              </w:rPr>
              <w:t>改善森林的数量，保护岩溶地貌环境和农田生态环境，防止石漠化。</w:t>
            </w:r>
          </w:p>
          <w:p w14:paraId="5A564165">
            <w:pPr>
              <w:pStyle w:val="6"/>
              <w:spacing w:before="1" w:line="359" w:lineRule="auto"/>
              <w:ind w:left="103" w:right="102" w:firstLine="480"/>
              <w:jc w:val="both"/>
              <w:rPr>
                <w:sz w:val="24"/>
                <w:szCs w:val="24"/>
              </w:rPr>
            </w:pPr>
            <w:r>
              <w:rPr>
                <w:spacing w:val="-3"/>
                <w:sz w:val="24"/>
                <w:szCs w:val="24"/>
              </w:rPr>
              <w:t>本项目为输变电工程，项目塔基占地面积较小，沿线植被均为当地常见</w:t>
            </w:r>
            <w:r>
              <w:rPr>
                <w:spacing w:val="-2"/>
                <w:sz w:val="24"/>
                <w:szCs w:val="24"/>
              </w:rPr>
              <w:t>物种，分布广泛，项目占地属于间隔式占地</w:t>
            </w:r>
            <w:r>
              <w:rPr>
                <w:spacing w:val="-3"/>
                <w:sz w:val="24"/>
                <w:szCs w:val="24"/>
              </w:rPr>
              <w:t>，所以项目的建设不会对沿线植</w:t>
            </w:r>
            <w:r>
              <w:rPr>
                <w:spacing w:val="-2"/>
                <w:sz w:val="24"/>
                <w:szCs w:val="24"/>
              </w:rPr>
              <w:t>被类型及分布造成大的影响；项目变电站占</w:t>
            </w:r>
            <w:r>
              <w:rPr>
                <w:spacing w:val="-3"/>
                <w:sz w:val="24"/>
                <w:szCs w:val="24"/>
              </w:rPr>
              <w:t>地类型主要为人工桑树林，项目</w:t>
            </w:r>
            <w:r>
              <w:rPr>
                <w:spacing w:val="-2"/>
                <w:sz w:val="24"/>
                <w:szCs w:val="24"/>
              </w:rPr>
              <w:t>建设过程中将严格落实补偿制度，并落实各</w:t>
            </w:r>
            <w:r>
              <w:rPr>
                <w:spacing w:val="-3"/>
                <w:sz w:val="24"/>
                <w:szCs w:val="24"/>
              </w:rPr>
              <w:t>项环境保护和水土保持措施，及</w:t>
            </w:r>
            <w:r>
              <w:rPr>
                <w:spacing w:val="-9"/>
                <w:sz w:val="24"/>
                <w:szCs w:val="24"/>
              </w:rPr>
              <w:t>时恢复施工迹地植被，最大程度降低对生态环</w:t>
            </w:r>
            <w:r>
              <w:rPr>
                <w:spacing w:val="-10"/>
                <w:sz w:val="24"/>
                <w:szCs w:val="24"/>
              </w:rPr>
              <w:t>境的影响。因此，本工程与《云</w:t>
            </w:r>
            <w:r>
              <w:rPr>
                <w:spacing w:val="-1"/>
                <w:sz w:val="24"/>
                <w:szCs w:val="24"/>
              </w:rPr>
              <w:t>南省生态功能区划》不冲突。</w:t>
            </w:r>
          </w:p>
          <w:p w14:paraId="496012D2">
            <w:pPr>
              <w:pStyle w:val="6"/>
              <w:spacing w:line="219" w:lineRule="auto"/>
              <w:ind w:left="107"/>
              <w:rPr>
                <w:sz w:val="24"/>
                <w:szCs w:val="24"/>
              </w:rPr>
            </w:pPr>
            <w:r>
              <w:rPr>
                <w:b/>
                <w:bCs/>
                <w:spacing w:val="-4"/>
                <w:sz w:val="24"/>
                <w:szCs w:val="24"/>
              </w:rPr>
              <w:t>二、环境质量现状</w:t>
            </w:r>
          </w:p>
          <w:p w14:paraId="0810688B">
            <w:pPr>
              <w:pStyle w:val="6"/>
              <w:spacing w:before="181" w:line="219" w:lineRule="auto"/>
              <w:ind w:left="590"/>
              <w:rPr>
                <w:sz w:val="24"/>
                <w:szCs w:val="24"/>
              </w:rPr>
            </w:pPr>
            <w:r>
              <w:rPr>
                <w:rFonts w:ascii="Times New Roman" w:hAnsi="Times New Roman" w:eastAsia="Times New Roman" w:cs="Times New Roman"/>
                <w:b/>
                <w:bCs/>
                <w:spacing w:val="-7"/>
                <w:sz w:val="24"/>
                <w:szCs w:val="24"/>
              </w:rPr>
              <w:t>1</w:t>
            </w:r>
            <w:r>
              <w:rPr>
                <w:rFonts w:ascii="Times New Roman" w:hAnsi="Times New Roman" w:eastAsia="Times New Roman" w:cs="Times New Roman"/>
                <w:b/>
                <w:bCs/>
                <w:spacing w:val="-34"/>
                <w:sz w:val="24"/>
                <w:szCs w:val="24"/>
              </w:rPr>
              <w:t xml:space="preserve"> </w:t>
            </w:r>
            <w:r>
              <w:rPr>
                <w:b/>
                <w:bCs/>
                <w:spacing w:val="-7"/>
                <w:sz w:val="24"/>
                <w:szCs w:val="24"/>
              </w:rPr>
              <w:t>、生态环境现状</w:t>
            </w:r>
          </w:p>
          <w:p w14:paraId="50D55EDA">
            <w:pPr>
              <w:pStyle w:val="6"/>
              <w:spacing w:before="183" w:line="219" w:lineRule="auto"/>
              <w:ind w:left="590"/>
              <w:rPr>
                <w:sz w:val="24"/>
                <w:szCs w:val="24"/>
              </w:rPr>
            </w:pPr>
            <w:r>
              <w:rPr>
                <w:rFonts w:ascii="Times New Roman" w:hAnsi="Times New Roman" w:eastAsia="Times New Roman" w:cs="Times New Roman"/>
                <w:b/>
                <w:bCs/>
                <w:spacing w:val="-3"/>
                <w:sz w:val="24"/>
                <w:szCs w:val="24"/>
              </w:rPr>
              <w:t xml:space="preserve">1.1 </w:t>
            </w:r>
            <w:r>
              <w:rPr>
                <w:b/>
                <w:bCs/>
                <w:spacing w:val="-3"/>
                <w:sz w:val="24"/>
                <w:szCs w:val="24"/>
              </w:rPr>
              <w:t>土地利用现状</w:t>
            </w:r>
          </w:p>
          <w:p w14:paraId="7828C9E6">
            <w:pPr>
              <w:pStyle w:val="6"/>
              <w:spacing w:before="181" w:line="219" w:lineRule="auto"/>
              <w:ind w:left="595"/>
              <w:rPr>
                <w:sz w:val="24"/>
                <w:szCs w:val="24"/>
              </w:rPr>
            </w:pPr>
            <w:r>
              <w:rPr>
                <w:spacing w:val="-2"/>
                <w:sz w:val="24"/>
                <w:szCs w:val="24"/>
              </w:rPr>
              <w:t>（</w:t>
            </w:r>
            <w:r>
              <w:rPr>
                <w:rFonts w:ascii="Times New Roman" w:hAnsi="Times New Roman" w:eastAsia="Times New Roman" w:cs="Times New Roman"/>
                <w:spacing w:val="-2"/>
                <w:sz w:val="24"/>
                <w:szCs w:val="24"/>
              </w:rPr>
              <w:t>1</w:t>
            </w:r>
            <w:r>
              <w:rPr>
                <w:spacing w:val="-2"/>
                <w:sz w:val="24"/>
                <w:szCs w:val="24"/>
              </w:rPr>
              <w:t>）项目区土地利用现状</w:t>
            </w:r>
          </w:p>
          <w:p w14:paraId="7516F9BB">
            <w:pPr>
              <w:pStyle w:val="6"/>
              <w:spacing w:before="182" w:line="349" w:lineRule="auto"/>
              <w:ind w:left="103" w:right="102" w:firstLine="481"/>
              <w:rPr>
                <w:sz w:val="24"/>
                <w:szCs w:val="24"/>
              </w:rPr>
            </w:pPr>
            <w:r>
              <w:rPr>
                <w:spacing w:val="-5"/>
                <w:sz w:val="24"/>
                <w:szCs w:val="24"/>
              </w:rPr>
              <w:t>本工程总占地面积为</w:t>
            </w:r>
            <w:r>
              <w:rPr>
                <w:spacing w:val="-18"/>
                <w:sz w:val="24"/>
                <w:szCs w:val="24"/>
              </w:rPr>
              <w:t xml:space="preserve"> </w:t>
            </w:r>
            <w:r>
              <w:rPr>
                <w:rFonts w:ascii="Times New Roman" w:hAnsi="Times New Roman" w:eastAsia="Times New Roman" w:cs="Times New Roman"/>
                <w:spacing w:val="-5"/>
                <w:sz w:val="24"/>
                <w:szCs w:val="24"/>
              </w:rPr>
              <w:t>1.962hm</w:t>
            </w:r>
            <w:r>
              <w:rPr>
                <w:rFonts w:ascii="Times New Roman" w:hAnsi="Times New Roman" w:eastAsia="Times New Roman" w:cs="Times New Roman"/>
                <w:spacing w:val="-5"/>
                <w:position w:val="7"/>
                <w:sz w:val="15"/>
                <w:szCs w:val="15"/>
              </w:rPr>
              <w:t>2</w:t>
            </w:r>
            <w:r>
              <w:rPr>
                <w:spacing w:val="-5"/>
                <w:sz w:val="24"/>
                <w:szCs w:val="24"/>
              </w:rPr>
              <w:t>，其中永久占地面积为</w:t>
            </w:r>
            <w:r>
              <w:rPr>
                <w:spacing w:val="-32"/>
                <w:sz w:val="24"/>
                <w:szCs w:val="24"/>
              </w:rPr>
              <w:t xml:space="preserve"> </w:t>
            </w:r>
            <w:r>
              <w:rPr>
                <w:rFonts w:ascii="Times New Roman" w:hAnsi="Times New Roman" w:eastAsia="Times New Roman" w:cs="Times New Roman"/>
                <w:spacing w:val="-5"/>
                <w:sz w:val="24"/>
                <w:szCs w:val="24"/>
              </w:rPr>
              <w:t>1.447hm</w:t>
            </w:r>
            <w:r>
              <w:rPr>
                <w:rFonts w:ascii="Times New Roman" w:hAnsi="Times New Roman" w:eastAsia="Times New Roman" w:cs="Times New Roman"/>
                <w:spacing w:val="-5"/>
                <w:position w:val="7"/>
                <w:sz w:val="15"/>
                <w:szCs w:val="15"/>
              </w:rPr>
              <w:t>2</w:t>
            </w:r>
            <w:r>
              <w:rPr>
                <w:spacing w:val="-5"/>
                <w:sz w:val="24"/>
                <w:szCs w:val="24"/>
              </w:rPr>
              <w:t>（其中塔</w:t>
            </w:r>
            <w:r>
              <w:rPr>
                <w:spacing w:val="-2"/>
                <w:sz w:val="24"/>
                <w:szCs w:val="24"/>
              </w:rPr>
              <w:t>基永久占地</w:t>
            </w:r>
            <w:r>
              <w:rPr>
                <w:spacing w:val="-52"/>
                <w:sz w:val="24"/>
                <w:szCs w:val="24"/>
              </w:rPr>
              <w:t xml:space="preserve"> </w:t>
            </w:r>
            <w:r>
              <w:rPr>
                <w:rFonts w:ascii="Times New Roman" w:hAnsi="Times New Roman" w:eastAsia="Times New Roman" w:cs="Times New Roman"/>
                <w:spacing w:val="-2"/>
                <w:sz w:val="24"/>
                <w:szCs w:val="24"/>
              </w:rPr>
              <w:t>0.36hm</w:t>
            </w:r>
            <w:r>
              <w:rPr>
                <w:rFonts w:ascii="Times New Roman" w:hAnsi="Times New Roman" w:eastAsia="Times New Roman" w:cs="Times New Roman"/>
                <w:spacing w:val="-2"/>
                <w:position w:val="8"/>
                <w:sz w:val="15"/>
                <w:szCs w:val="15"/>
              </w:rPr>
              <w:t>2</w:t>
            </w:r>
            <w:r>
              <w:rPr>
                <w:rFonts w:ascii="Times New Roman" w:hAnsi="Times New Roman" w:eastAsia="Times New Roman" w:cs="Times New Roman"/>
                <w:spacing w:val="-7"/>
                <w:position w:val="8"/>
                <w:sz w:val="15"/>
                <w:szCs w:val="15"/>
              </w:rPr>
              <w:t xml:space="preserve"> </w:t>
            </w:r>
            <w:r>
              <w:rPr>
                <w:spacing w:val="-2"/>
                <w:sz w:val="24"/>
                <w:szCs w:val="24"/>
              </w:rPr>
              <w:t>，变电站、进站道</w:t>
            </w:r>
            <w:r>
              <w:rPr>
                <w:spacing w:val="-3"/>
                <w:sz w:val="24"/>
                <w:szCs w:val="24"/>
              </w:rPr>
              <w:t>路及站外排水沟</w:t>
            </w:r>
            <w:r>
              <w:rPr>
                <w:spacing w:val="-30"/>
                <w:sz w:val="24"/>
                <w:szCs w:val="24"/>
              </w:rPr>
              <w:t xml:space="preserve"> </w:t>
            </w:r>
            <w:r>
              <w:rPr>
                <w:rFonts w:ascii="Times New Roman" w:hAnsi="Times New Roman" w:eastAsia="Times New Roman" w:cs="Times New Roman"/>
                <w:spacing w:val="-3"/>
                <w:sz w:val="24"/>
                <w:szCs w:val="24"/>
              </w:rPr>
              <w:t>1.087hm</w:t>
            </w:r>
            <w:r>
              <w:rPr>
                <w:rFonts w:ascii="Times New Roman" w:hAnsi="Times New Roman" w:eastAsia="Times New Roman" w:cs="Times New Roman"/>
                <w:spacing w:val="-3"/>
                <w:position w:val="1"/>
                <w:sz w:val="15"/>
                <w:szCs w:val="15"/>
              </w:rPr>
              <w:t>2</w:t>
            </w:r>
            <w:r>
              <w:rPr>
                <w:spacing w:val="11"/>
                <w:position w:val="1"/>
                <w:sz w:val="24"/>
                <w:szCs w:val="24"/>
              </w:rPr>
              <w:t>）</w:t>
            </w:r>
            <w:r>
              <w:rPr>
                <w:spacing w:val="11"/>
                <w:sz w:val="24"/>
                <w:szCs w:val="24"/>
              </w:rPr>
              <w:t>，</w:t>
            </w:r>
            <w:r>
              <w:rPr>
                <w:spacing w:val="-3"/>
                <w:sz w:val="24"/>
                <w:szCs w:val="24"/>
              </w:rPr>
              <w:t>临时占</w:t>
            </w:r>
            <w:r>
              <w:rPr>
                <w:spacing w:val="1"/>
                <w:sz w:val="24"/>
                <w:szCs w:val="24"/>
              </w:rPr>
              <w:t>地面积为</w:t>
            </w:r>
            <w:r>
              <w:rPr>
                <w:spacing w:val="-42"/>
                <w:sz w:val="24"/>
                <w:szCs w:val="24"/>
              </w:rPr>
              <w:t xml:space="preserve"> </w:t>
            </w:r>
            <w:r>
              <w:rPr>
                <w:rFonts w:ascii="Times New Roman" w:hAnsi="Times New Roman" w:eastAsia="Times New Roman" w:cs="Times New Roman"/>
                <w:spacing w:val="1"/>
                <w:sz w:val="24"/>
                <w:szCs w:val="24"/>
              </w:rPr>
              <w:t>0.515</w:t>
            </w:r>
            <w:r>
              <w:rPr>
                <w:rFonts w:ascii="Times New Roman" w:hAnsi="Times New Roman" w:eastAsia="Times New Roman" w:cs="Times New Roman"/>
                <w:sz w:val="24"/>
                <w:szCs w:val="24"/>
              </w:rPr>
              <w:t>hm</w:t>
            </w:r>
            <w:r>
              <w:rPr>
                <w:rFonts w:ascii="Times New Roman" w:hAnsi="Times New Roman" w:eastAsia="Times New Roman" w:cs="Times New Roman"/>
                <w:spacing w:val="1"/>
                <w:position w:val="7"/>
                <w:sz w:val="15"/>
                <w:szCs w:val="15"/>
              </w:rPr>
              <w:t xml:space="preserve">2 </w:t>
            </w:r>
            <w:r>
              <w:rPr>
                <w:spacing w:val="1"/>
                <w:sz w:val="24"/>
                <w:szCs w:val="24"/>
              </w:rPr>
              <w:t>。本次工程占用旱地</w:t>
            </w:r>
            <w:r>
              <w:rPr>
                <w:spacing w:val="-23"/>
                <w:sz w:val="24"/>
                <w:szCs w:val="24"/>
              </w:rPr>
              <w:t xml:space="preserve"> </w:t>
            </w:r>
            <w:r>
              <w:rPr>
                <w:rFonts w:ascii="Times New Roman" w:hAnsi="Times New Roman" w:eastAsia="Times New Roman" w:cs="Times New Roman"/>
                <w:spacing w:val="1"/>
                <w:sz w:val="24"/>
                <w:szCs w:val="24"/>
              </w:rPr>
              <w:t>1.742</w:t>
            </w:r>
            <w:r>
              <w:rPr>
                <w:rFonts w:ascii="Times New Roman" w:hAnsi="Times New Roman" w:eastAsia="Times New Roman" w:cs="Times New Roman"/>
                <w:sz w:val="24"/>
                <w:szCs w:val="24"/>
              </w:rPr>
              <w:t>hm</w:t>
            </w:r>
            <w:r>
              <w:rPr>
                <w:rFonts w:ascii="Times New Roman" w:hAnsi="Times New Roman" w:eastAsia="Times New Roman" w:cs="Times New Roman"/>
                <w:spacing w:val="1"/>
                <w:position w:val="7"/>
                <w:sz w:val="15"/>
                <w:szCs w:val="15"/>
              </w:rPr>
              <w:t xml:space="preserve">2 </w:t>
            </w:r>
            <w:r>
              <w:rPr>
                <w:spacing w:val="1"/>
                <w:sz w:val="24"/>
                <w:szCs w:val="24"/>
              </w:rPr>
              <w:t>、荒</w:t>
            </w:r>
            <w:r>
              <w:rPr>
                <w:sz w:val="24"/>
                <w:szCs w:val="24"/>
              </w:rPr>
              <w:t>草地</w:t>
            </w:r>
            <w:r>
              <w:rPr>
                <w:spacing w:val="-41"/>
                <w:sz w:val="24"/>
                <w:szCs w:val="24"/>
              </w:rPr>
              <w:t xml:space="preserve"> </w:t>
            </w:r>
            <w:r>
              <w:rPr>
                <w:rFonts w:ascii="Times New Roman" w:hAnsi="Times New Roman" w:eastAsia="Times New Roman" w:cs="Times New Roman"/>
                <w:sz w:val="24"/>
                <w:szCs w:val="24"/>
              </w:rPr>
              <w:t>0.08hm</w:t>
            </w:r>
            <w:r>
              <w:rPr>
                <w:rFonts w:ascii="Times New Roman" w:hAnsi="Times New Roman" w:eastAsia="Times New Roman" w:cs="Times New Roman"/>
                <w:position w:val="7"/>
                <w:sz w:val="15"/>
                <w:szCs w:val="15"/>
              </w:rPr>
              <w:t xml:space="preserve">2 </w:t>
            </w:r>
            <w:r>
              <w:rPr>
                <w:sz w:val="24"/>
                <w:szCs w:val="24"/>
              </w:rPr>
              <w:t>、园地</w:t>
            </w:r>
            <w:r>
              <w:rPr>
                <w:rFonts w:ascii="Times New Roman" w:hAnsi="Times New Roman" w:eastAsia="Times New Roman" w:cs="Times New Roman"/>
                <w:spacing w:val="-4"/>
                <w:sz w:val="24"/>
                <w:szCs w:val="24"/>
              </w:rPr>
              <w:t>0.22hm</w:t>
            </w:r>
            <w:r>
              <w:rPr>
                <w:rFonts w:ascii="Times New Roman" w:hAnsi="Times New Roman" w:eastAsia="Times New Roman" w:cs="Times New Roman"/>
                <w:spacing w:val="-4"/>
                <w:position w:val="7"/>
                <w:sz w:val="15"/>
                <w:szCs w:val="15"/>
              </w:rPr>
              <w:t xml:space="preserve">2 </w:t>
            </w:r>
            <w:r>
              <w:rPr>
                <w:spacing w:val="-4"/>
                <w:sz w:val="24"/>
                <w:szCs w:val="24"/>
              </w:rPr>
              <w:t>。详见表</w:t>
            </w:r>
            <w:r>
              <w:rPr>
                <w:spacing w:val="-42"/>
                <w:sz w:val="24"/>
                <w:szCs w:val="24"/>
              </w:rPr>
              <w:t xml:space="preserve"> </w:t>
            </w:r>
            <w:r>
              <w:rPr>
                <w:rFonts w:ascii="Times New Roman" w:hAnsi="Times New Roman" w:eastAsia="Times New Roman" w:cs="Times New Roman"/>
                <w:spacing w:val="-4"/>
                <w:sz w:val="24"/>
                <w:szCs w:val="24"/>
              </w:rPr>
              <w:t>2-7</w:t>
            </w:r>
            <w:r>
              <w:rPr>
                <w:spacing w:val="-4"/>
                <w:sz w:val="24"/>
                <w:szCs w:val="24"/>
              </w:rPr>
              <w:t>。</w:t>
            </w:r>
          </w:p>
        </w:tc>
      </w:tr>
    </w:tbl>
    <w:p w14:paraId="4946C833">
      <w:pPr>
        <w:rPr>
          <w:rFonts w:ascii="Arial"/>
          <w:sz w:val="21"/>
        </w:rPr>
      </w:pPr>
    </w:p>
    <w:p w14:paraId="27CF9E24">
      <w:pPr>
        <w:rPr>
          <w:rFonts w:ascii="Arial" w:hAnsi="Arial" w:eastAsia="Arial" w:cs="Arial"/>
          <w:sz w:val="21"/>
          <w:szCs w:val="21"/>
        </w:rPr>
        <w:sectPr>
          <w:footerReference r:id="rId73" w:type="default"/>
          <w:pgSz w:w="11907" w:h="16840"/>
          <w:pgMar w:top="400" w:right="1682" w:bottom="1240" w:left="1682" w:header="0" w:footer="1077" w:gutter="0"/>
          <w:cols w:space="720" w:num="1"/>
        </w:sectPr>
      </w:pPr>
    </w:p>
    <w:p w14:paraId="487DCFC7">
      <w:pPr>
        <w:spacing w:before="19"/>
      </w:pPr>
      <w:r>
        <w:drawing>
          <wp:anchor distT="0" distB="0" distL="0" distR="0" simplePos="0" relativeHeight="251673600" behindDoc="0" locked="0" layoutInCell="0" allowOverlap="1">
            <wp:simplePos x="0" y="0"/>
            <wp:positionH relativeFrom="page">
              <wp:posOffset>1457325</wp:posOffset>
            </wp:positionH>
            <wp:positionV relativeFrom="page">
              <wp:posOffset>8477250</wp:posOffset>
            </wp:positionV>
            <wp:extent cx="6350" cy="1247140"/>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34"/>
                    <a:stretch>
                      <a:fillRect/>
                    </a:stretch>
                  </pic:blipFill>
                  <pic:spPr>
                    <a:xfrm>
                      <a:off x="0" y="0"/>
                      <a:ext cx="6350" cy="1247140"/>
                    </a:xfrm>
                    <a:prstGeom prst="rect">
                      <a:avLst/>
                    </a:prstGeom>
                  </pic:spPr>
                </pic:pic>
              </a:graphicData>
            </a:graphic>
          </wp:anchor>
        </w:drawing>
      </w:r>
      <w:r>
        <w:pict>
          <v:shape id="_x0000_s1044" o:spid="_x0000_s1044" style="position:absolute;left:0pt;margin-left:113.1pt;margin-top:252.7pt;height:211.8pt;width:0.5pt;mso-position-horizontal-relative:page;mso-position-vertical-relative:page;z-index:251674624;mso-width-relative:page;mso-height-relative:page;" filled="f" stroked="t" coordsize="10,4236" o:allowincell="f" path="m4,0l4,4235e">
            <v:fill on="f" focussize="0,0"/>
            <v:stroke weight="0.48pt" color="#000000" miterlimit="2" joinstyle="bevel"/>
            <v:imagedata o:title=""/>
            <o:lock v:ext="edit"/>
          </v:shape>
        </w:pict>
      </w:r>
    </w:p>
    <w:p w14:paraId="542FBB43">
      <w:pPr>
        <w:spacing w:before="19"/>
      </w:pPr>
    </w:p>
    <w:p w14:paraId="677AEA0E">
      <w:pPr>
        <w:spacing w:before="18"/>
      </w:pPr>
    </w:p>
    <w:p w14:paraId="3B6D1C4D">
      <w:pPr>
        <w:spacing w:before="18"/>
      </w:pPr>
    </w:p>
    <w:tbl>
      <w:tblPr>
        <w:tblStyle w:val="5"/>
        <w:tblW w:w="852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4"/>
        <w:gridCol w:w="506"/>
        <w:gridCol w:w="336"/>
        <w:gridCol w:w="680"/>
        <w:gridCol w:w="830"/>
        <w:gridCol w:w="666"/>
        <w:gridCol w:w="346"/>
        <w:gridCol w:w="805"/>
        <w:gridCol w:w="176"/>
        <w:gridCol w:w="1077"/>
        <w:gridCol w:w="683"/>
        <w:gridCol w:w="570"/>
        <w:gridCol w:w="1226"/>
        <w:gridCol w:w="33"/>
        <w:gridCol w:w="129"/>
      </w:tblGrid>
      <w:tr w14:paraId="0CA99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0" w:hRule="atLeast"/>
        </w:trPr>
        <w:tc>
          <w:tcPr>
            <w:tcW w:w="464" w:type="dxa"/>
            <w:vMerge w:val="restart"/>
            <w:tcBorders>
              <w:top w:val="single" w:color="000000" w:sz="6" w:space="0"/>
              <w:left w:val="single" w:color="000000" w:sz="6" w:space="0"/>
              <w:bottom w:val="nil"/>
              <w:right w:val="single" w:color="000000" w:sz="6" w:space="0"/>
            </w:tcBorders>
            <w:vAlign w:val="top"/>
          </w:tcPr>
          <w:p w14:paraId="72A2E186">
            <w:pPr>
              <w:rPr>
                <w:rFonts w:ascii="Arial"/>
                <w:sz w:val="21"/>
              </w:rPr>
            </w:pPr>
          </w:p>
        </w:tc>
        <w:tc>
          <w:tcPr>
            <w:tcW w:w="8063" w:type="dxa"/>
            <w:gridSpan w:val="14"/>
            <w:tcBorders>
              <w:top w:val="single" w:color="000000" w:sz="6" w:space="0"/>
              <w:left w:val="single" w:color="000000" w:sz="6" w:space="0"/>
              <w:right w:val="single" w:color="000000" w:sz="6" w:space="0"/>
            </w:tcBorders>
            <w:vAlign w:val="top"/>
          </w:tcPr>
          <w:p w14:paraId="58F0A23D">
            <w:pPr>
              <w:pStyle w:val="6"/>
              <w:spacing w:before="41" w:line="218" w:lineRule="auto"/>
              <w:ind w:left="595"/>
              <w:rPr>
                <w:sz w:val="24"/>
                <w:szCs w:val="24"/>
              </w:rPr>
            </w:pPr>
            <w:r>
              <w:rPr>
                <w:spacing w:val="-2"/>
                <w:sz w:val="24"/>
                <w:szCs w:val="24"/>
              </w:rPr>
              <w:t>（</w:t>
            </w:r>
            <w:r>
              <w:rPr>
                <w:rFonts w:ascii="Times New Roman" w:hAnsi="Times New Roman" w:eastAsia="Times New Roman" w:cs="Times New Roman"/>
                <w:spacing w:val="-2"/>
                <w:sz w:val="24"/>
                <w:szCs w:val="24"/>
              </w:rPr>
              <w:t>2</w:t>
            </w:r>
            <w:r>
              <w:rPr>
                <w:spacing w:val="-2"/>
                <w:sz w:val="24"/>
                <w:szCs w:val="24"/>
              </w:rPr>
              <w:t>）评价区土地利用现状</w:t>
            </w:r>
          </w:p>
          <w:p w14:paraId="07C882F4">
            <w:pPr>
              <w:pStyle w:val="6"/>
              <w:spacing w:before="182" w:line="359" w:lineRule="auto"/>
              <w:ind w:left="111" w:right="102" w:firstLine="474"/>
              <w:rPr>
                <w:sz w:val="24"/>
                <w:szCs w:val="24"/>
              </w:rPr>
            </w:pPr>
            <w:r>
              <w:rPr>
                <w:spacing w:val="-2"/>
                <w:sz w:val="24"/>
                <w:szCs w:val="24"/>
              </w:rPr>
              <w:t>依据《土地利用现状分类》（</w:t>
            </w:r>
            <w:r>
              <w:rPr>
                <w:rFonts w:ascii="Times New Roman" w:hAnsi="Times New Roman" w:eastAsia="Times New Roman" w:cs="Times New Roman"/>
                <w:spacing w:val="-2"/>
                <w:sz w:val="24"/>
                <w:szCs w:val="24"/>
              </w:rPr>
              <w:t>GB/T21010-2017</w:t>
            </w:r>
            <w:r>
              <w:rPr>
                <w:spacing w:val="-14"/>
                <w:sz w:val="24"/>
                <w:szCs w:val="24"/>
              </w:rPr>
              <w:t>），</w:t>
            </w:r>
            <w:r>
              <w:rPr>
                <w:spacing w:val="-3"/>
                <w:sz w:val="24"/>
                <w:szCs w:val="24"/>
              </w:rPr>
              <w:t>在卫星遥感影像解译的基础上，结合实地调查结果，综合分析后对评价区土地进行分类，将范围内土地利用现状分为旱地、草地、园地、工矿用地、住宅用地、公共管理与</w:t>
            </w:r>
            <w:r>
              <w:rPr>
                <w:sz w:val="24"/>
                <w:szCs w:val="24"/>
              </w:rPr>
              <w:t>公共服务用地、交通运输用地、水域及水利设施用地、其他土地共</w:t>
            </w:r>
            <w:r>
              <w:rPr>
                <w:spacing w:val="-28"/>
                <w:sz w:val="24"/>
                <w:szCs w:val="24"/>
              </w:rPr>
              <w:t xml:space="preserve"> </w:t>
            </w:r>
            <w:r>
              <w:rPr>
                <w:rFonts w:ascii="Times New Roman" w:hAnsi="Times New Roman" w:eastAsia="Times New Roman" w:cs="Times New Roman"/>
                <w:sz w:val="24"/>
                <w:szCs w:val="24"/>
              </w:rPr>
              <w:t xml:space="preserve">12 </w:t>
            </w:r>
            <w:r>
              <w:rPr>
                <w:sz w:val="24"/>
                <w:szCs w:val="24"/>
              </w:rPr>
              <w:t>个类</w:t>
            </w:r>
            <w:r>
              <w:rPr>
                <w:spacing w:val="-3"/>
                <w:sz w:val="24"/>
                <w:szCs w:val="24"/>
              </w:rPr>
              <w:t>型。评价区旱地、园地分布面积相对较大，是以旱地和园地为优势的用地类</w:t>
            </w:r>
            <w:r>
              <w:rPr>
                <w:spacing w:val="-9"/>
                <w:sz w:val="24"/>
                <w:szCs w:val="24"/>
              </w:rPr>
              <w:t>型。</w:t>
            </w:r>
          </w:p>
          <w:p w14:paraId="6247501F">
            <w:pPr>
              <w:pStyle w:val="6"/>
              <w:spacing w:line="217" w:lineRule="auto"/>
              <w:ind w:left="1970"/>
              <w:rPr>
                <w:sz w:val="24"/>
                <w:szCs w:val="24"/>
              </w:rPr>
            </w:pPr>
            <w:r>
              <w:rPr>
                <w:b/>
                <w:bCs/>
                <w:spacing w:val="-2"/>
                <w:sz w:val="24"/>
                <w:szCs w:val="24"/>
              </w:rPr>
              <w:t>表</w:t>
            </w:r>
            <w:r>
              <w:rPr>
                <w:spacing w:val="-45"/>
                <w:sz w:val="24"/>
                <w:szCs w:val="24"/>
              </w:rPr>
              <w:t xml:space="preserve"> </w:t>
            </w:r>
            <w:r>
              <w:rPr>
                <w:rFonts w:ascii="Times New Roman" w:hAnsi="Times New Roman" w:eastAsia="Times New Roman" w:cs="Times New Roman"/>
                <w:b/>
                <w:bCs/>
                <w:spacing w:val="-2"/>
                <w:sz w:val="24"/>
                <w:szCs w:val="24"/>
              </w:rPr>
              <w:t xml:space="preserve">3-1      </w:t>
            </w:r>
            <w:r>
              <w:rPr>
                <w:b/>
                <w:bCs/>
                <w:spacing w:val="-2"/>
                <w:sz w:val="24"/>
                <w:szCs w:val="24"/>
              </w:rPr>
              <w:t>评价区内土地利用现状统计表</w:t>
            </w:r>
          </w:p>
        </w:tc>
      </w:tr>
      <w:tr w14:paraId="181091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64" w:type="dxa"/>
            <w:vMerge w:val="continue"/>
            <w:tcBorders>
              <w:top w:val="nil"/>
              <w:left w:val="single" w:color="000000" w:sz="6" w:space="0"/>
              <w:bottom w:val="nil"/>
              <w:right w:val="single" w:color="000000" w:sz="6" w:space="0"/>
            </w:tcBorders>
            <w:vAlign w:val="top"/>
          </w:tcPr>
          <w:p w14:paraId="47E14424">
            <w:pPr>
              <w:rPr>
                <w:rFonts w:ascii="Arial"/>
                <w:sz w:val="21"/>
              </w:rPr>
            </w:pPr>
          </w:p>
        </w:tc>
        <w:tc>
          <w:tcPr>
            <w:tcW w:w="506" w:type="dxa"/>
            <w:tcBorders>
              <w:left w:val="single" w:color="000000" w:sz="6" w:space="0"/>
            </w:tcBorders>
            <w:textDirection w:val="tbRlV"/>
            <w:vAlign w:val="top"/>
          </w:tcPr>
          <w:p w14:paraId="5ABF8F47">
            <w:pPr>
              <w:pStyle w:val="6"/>
              <w:spacing w:before="96" w:line="207" w:lineRule="auto"/>
              <w:ind w:left="64"/>
            </w:pPr>
            <w:r>
              <w:rPr>
                <w:b/>
                <w:bCs/>
                <w:spacing w:val="7"/>
              </w:rPr>
              <w:t>序号</w:t>
            </w:r>
          </w:p>
        </w:tc>
        <w:tc>
          <w:tcPr>
            <w:tcW w:w="1016" w:type="dxa"/>
            <w:gridSpan w:val="2"/>
            <w:vAlign w:val="top"/>
          </w:tcPr>
          <w:p w14:paraId="30623F5A">
            <w:pPr>
              <w:pStyle w:val="6"/>
              <w:spacing w:before="170" w:line="228" w:lineRule="auto"/>
              <w:ind w:left="195"/>
            </w:pPr>
            <w:r>
              <w:rPr>
                <w:b/>
                <w:bCs/>
                <w:spacing w:val="4"/>
              </w:rPr>
              <w:t>一级类</w:t>
            </w:r>
          </w:p>
        </w:tc>
        <w:tc>
          <w:tcPr>
            <w:tcW w:w="1496" w:type="dxa"/>
            <w:gridSpan w:val="2"/>
            <w:vAlign w:val="top"/>
          </w:tcPr>
          <w:p w14:paraId="3A550EB0">
            <w:pPr>
              <w:pStyle w:val="6"/>
              <w:spacing w:before="170" w:line="228" w:lineRule="auto"/>
              <w:ind w:left="437"/>
            </w:pPr>
            <w:r>
              <w:rPr>
                <w:b/>
                <w:bCs/>
                <w:spacing w:val="4"/>
              </w:rPr>
              <w:t>二级类</w:t>
            </w:r>
          </w:p>
        </w:tc>
        <w:tc>
          <w:tcPr>
            <w:tcW w:w="1151" w:type="dxa"/>
            <w:gridSpan w:val="2"/>
            <w:vAlign w:val="top"/>
          </w:tcPr>
          <w:p w14:paraId="1F4C96E0">
            <w:pPr>
              <w:pStyle w:val="6"/>
              <w:spacing w:before="171" w:line="228" w:lineRule="auto"/>
              <w:ind w:left="162"/>
              <w:rPr>
                <w:rFonts w:ascii="Times New Roman" w:hAnsi="Times New Roman" w:eastAsia="Times New Roman" w:cs="Times New Roman"/>
                <w:sz w:val="13"/>
                <w:szCs w:val="13"/>
              </w:rPr>
            </w:pPr>
            <w:r>
              <w:rPr>
                <w:b/>
                <w:bCs/>
                <w:spacing w:val="6"/>
              </w:rPr>
              <w:t>面积</w:t>
            </w:r>
            <w:r>
              <w:rPr>
                <w:rFonts w:ascii="Times New Roman" w:hAnsi="Times New Roman" w:eastAsia="Times New Roman" w:cs="Times New Roman"/>
                <w:b/>
                <w:bCs/>
                <w:spacing w:val="6"/>
              </w:rPr>
              <w:t>/</w:t>
            </w:r>
            <w:r>
              <w:rPr>
                <w:rFonts w:ascii="Times New Roman" w:hAnsi="Times New Roman" w:eastAsia="Times New Roman" w:cs="Times New Roman"/>
                <w:b/>
                <w:bCs/>
              </w:rPr>
              <w:t>hm</w:t>
            </w:r>
            <w:r>
              <w:rPr>
                <w:rFonts w:ascii="Times New Roman" w:hAnsi="Times New Roman" w:eastAsia="Times New Roman" w:cs="Times New Roman"/>
                <w:b/>
                <w:bCs/>
                <w:spacing w:val="6"/>
                <w:position w:val="6"/>
                <w:sz w:val="13"/>
                <w:szCs w:val="13"/>
              </w:rPr>
              <w:t>2</w:t>
            </w:r>
          </w:p>
        </w:tc>
        <w:tc>
          <w:tcPr>
            <w:tcW w:w="1253" w:type="dxa"/>
            <w:gridSpan w:val="2"/>
            <w:vAlign w:val="top"/>
          </w:tcPr>
          <w:p w14:paraId="7C0AA8D3">
            <w:pPr>
              <w:pStyle w:val="6"/>
              <w:spacing w:before="171" w:line="228" w:lineRule="auto"/>
              <w:ind w:left="191"/>
              <w:rPr>
                <w:rFonts w:ascii="Times New Roman" w:hAnsi="Times New Roman" w:eastAsia="Times New Roman" w:cs="Times New Roman"/>
              </w:rPr>
            </w:pPr>
            <w:r>
              <w:rPr>
                <w:b/>
                <w:bCs/>
                <w:spacing w:val="4"/>
              </w:rPr>
              <w:t>百分比</w:t>
            </w:r>
            <w:r>
              <w:rPr>
                <w:rFonts w:ascii="Times New Roman" w:hAnsi="Times New Roman" w:eastAsia="Times New Roman" w:cs="Times New Roman"/>
                <w:b/>
                <w:bCs/>
                <w:spacing w:val="4"/>
              </w:rPr>
              <w:t>/%</w:t>
            </w:r>
          </w:p>
        </w:tc>
        <w:tc>
          <w:tcPr>
            <w:tcW w:w="1253" w:type="dxa"/>
            <w:gridSpan w:val="2"/>
            <w:vAlign w:val="top"/>
          </w:tcPr>
          <w:p w14:paraId="64690563">
            <w:pPr>
              <w:pStyle w:val="6"/>
              <w:spacing w:before="33" w:line="228" w:lineRule="auto"/>
              <w:ind w:left="121"/>
            </w:pPr>
            <w:r>
              <w:rPr>
                <w:b/>
                <w:bCs/>
                <w:spacing w:val="4"/>
              </w:rPr>
              <w:t>临时占地面</w:t>
            </w:r>
          </w:p>
          <w:p w14:paraId="147A6EF1">
            <w:pPr>
              <w:pStyle w:val="6"/>
              <w:spacing w:before="27" w:line="213" w:lineRule="auto"/>
              <w:ind w:left="320"/>
              <w:rPr>
                <w:rFonts w:ascii="Times New Roman" w:hAnsi="Times New Roman" w:eastAsia="Times New Roman" w:cs="Times New Roman"/>
                <w:sz w:val="13"/>
                <w:szCs w:val="13"/>
              </w:rPr>
            </w:pPr>
            <w:r>
              <w:rPr>
                <w:b/>
                <w:bCs/>
                <w:spacing w:val="7"/>
              </w:rPr>
              <w:t>积</w:t>
            </w:r>
            <w:r>
              <w:rPr>
                <w:rFonts w:ascii="Times New Roman" w:hAnsi="Times New Roman" w:eastAsia="Times New Roman" w:cs="Times New Roman"/>
                <w:b/>
                <w:bCs/>
                <w:spacing w:val="7"/>
              </w:rPr>
              <w:t>/</w:t>
            </w:r>
            <w:r>
              <w:rPr>
                <w:rFonts w:ascii="Times New Roman" w:hAnsi="Times New Roman" w:eastAsia="Times New Roman" w:cs="Times New Roman"/>
                <w:b/>
                <w:bCs/>
              </w:rPr>
              <w:t>hm</w:t>
            </w:r>
            <w:r>
              <w:rPr>
                <w:rFonts w:ascii="Times New Roman" w:hAnsi="Times New Roman" w:eastAsia="Times New Roman" w:cs="Times New Roman"/>
                <w:b/>
                <w:bCs/>
                <w:spacing w:val="7"/>
                <w:position w:val="6"/>
                <w:sz w:val="13"/>
                <w:szCs w:val="13"/>
              </w:rPr>
              <w:t>2</w:t>
            </w:r>
          </w:p>
        </w:tc>
        <w:tc>
          <w:tcPr>
            <w:tcW w:w="1259" w:type="dxa"/>
            <w:gridSpan w:val="2"/>
            <w:vAlign w:val="top"/>
          </w:tcPr>
          <w:p w14:paraId="60071AB1">
            <w:pPr>
              <w:pStyle w:val="6"/>
              <w:spacing w:before="34" w:line="229" w:lineRule="auto"/>
              <w:ind w:left="116"/>
            </w:pPr>
            <w:r>
              <w:rPr>
                <w:b/>
                <w:bCs/>
                <w:spacing w:val="6"/>
              </w:rPr>
              <w:t>永久占地面</w:t>
            </w:r>
          </w:p>
          <w:p w14:paraId="6798735E">
            <w:pPr>
              <w:pStyle w:val="6"/>
              <w:spacing w:before="25" w:line="213" w:lineRule="auto"/>
              <w:ind w:left="325"/>
              <w:rPr>
                <w:rFonts w:ascii="Times New Roman" w:hAnsi="Times New Roman" w:eastAsia="Times New Roman" w:cs="Times New Roman"/>
                <w:sz w:val="13"/>
                <w:szCs w:val="13"/>
              </w:rPr>
            </w:pPr>
            <w:r>
              <w:rPr>
                <w:b/>
                <w:bCs/>
                <w:spacing w:val="7"/>
              </w:rPr>
              <w:t>积</w:t>
            </w:r>
            <w:r>
              <w:rPr>
                <w:rFonts w:ascii="Times New Roman" w:hAnsi="Times New Roman" w:eastAsia="Times New Roman" w:cs="Times New Roman"/>
                <w:b/>
                <w:bCs/>
                <w:spacing w:val="7"/>
              </w:rPr>
              <w:t>/</w:t>
            </w:r>
            <w:r>
              <w:rPr>
                <w:rFonts w:ascii="Times New Roman" w:hAnsi="Times New Roman" w:eastAsia="Times New Roman" w:cs="Times New Roman"/>
                <w:b/>
                <w:bCs/>
              </w:rPr>
              <w:t>hm</w:t>
            </w:r>
            <w:r>
              <w:rPr>
                <w:rFonts w:ascii="Times New Roman" w:hAnsi="Times New Roman" w:eastAsia="Times New Roman" w:cs="Times New Roman"/>
                <w:b/>
                <w:bCs/>
                <w:spacing w:val="7"/>
                <w:position w:val="6"/>
                <w:sz w:val="13"/>
                <w:szCs w:val="13"/>
              </w:rPr>
              <w:t>2</w:t>
            </w:r>
          </w:p>
        </w:tc>
        <w:tc>
          <w:tcPr>
            <w:tcW w:w="129" w:type="dxa"/>
            <w:tcBorders>
              <w:top w:val="nil"/>
              <w:bottom w:val="nil"/>
              <w:right w:val="single" w:color="000000" w:sz="6" w:space="0"/>
            </w:tcBorders>
            <w:vAlign w:val="top"/>
          </w:tcPr>
          <w:p w14:paraId="571EAAA7">
            <w:pPr>
              <w:rPr>
                <w:rFonts w:ascii="Arial"/>
                <w:sz w:val="21"/>
              </w:rPr>
            </w:pPr>
          </w:p>
        </w:tc>
      </w:tr>
      <w:tr w14:paraId="774A66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4" w:type="dxa"/>
            <w:vMerge w:val="continue"/>
            <w:tcBorders>
              <w:top w:val="nil"/>
              <w:left w:val="single" w:color="000000" w:sz="6" w:space="0"/>
              <w:bottom w:val="nil"/>
              <w:right w:val="single" w:color="000000" w:sz="6" w:space="0"/>
            </w:tcBorders>
            <w:vAlign w:val="top"/>
          </w:tcPr>
          <w:p w14:paraId="69A6A958">
            <w:pPr>
              <w:rPr>
                <w:rFonts w:ascii="Arial"/>
                <w:sz w:val="21"/>
              </w:rPr>
            </w:pPr>
          </w:p>
        </w:tc>
        <w:tc>
          <w:tcPr>
            <w:tcW w:w="506" w:type="dxa"/>
            <w:tcBorders>
              <w:left w:val="single" w:color="000000" w:sz="6" w:space="0"/>
            </w:tcBorders>
            <w:vAlign w:val="top"/>
          </w:tcPr>
          <w:p w14:paraId="1A15AECE">
            <w:pPr>
              <w:spacing w:before="73" w:line="195" w:lineRule="auto"/>
              <w:ind w:left="270"/>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016" w:type="dxa"/>
            <w:gridSpan w:val="2"/>
            <w:vMerge w:val="restart"/>
            <w:tcBorders>
              <w:bottom w:val="nil"/>
            </w:tcBorders>
            <w:vAlign w:val="top"/>
          </w:tcPr>
          <w:p w14:paraId="618D2331">
            <w:pPr>
              <w:pStyle w:val="6"/>
              <w:spacing w:before="176" w:line="229" w:lineRule="auto"/>
              <w:ind w:left="91"/>
            </w:pPr>
            <w:r>
              <w:rPr>
                <w:spacing w:val="6"/>
              </w:rPr>
              <w:t>工业用地</w:t>
            </w:r>
          </w:p>
        </w:tc>
        <w:tc>
          <w:tcPr>
            <w:tcW w:w="1496" w:type="dxa"/>
            <w:gridSpan w:val="2"/>
            <w:vAlign w:val="top"/>
          </w:tcPr>
          <w:p w14:paraId="005770B0">
            <w:pPr>
              <w:pStyle w:val="6"/>
              <w:spacing w:before="37" w:line="212" w:lineRule="auto"/>
              <w:ind w:left="329"/>
            </w:pPr>
            <w:r>
              <w:rPr>
                <w:spacing w:val="7"/>
              </w:rPr>
              <w:t>采矿用地</w:t>
            </w:r>
          </w:p>
        </w:tc>
        <w:tc>
          <w:tcPr>
            <w:tcW w:w="1151" w:type="dxa"/>
            <w:gridSpan w:val="2"/>
            <w:vAlign w:val="top"/>
          </w:tcPr>
          <w:p w14:paraId="214A6A5F">
            <w:pPr>
              <w:spacing w:before="72" w:line="195" w:lineRule="auto"/>
              <w:ind w:left="4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1.32</w:t>
            </w:r>
          </w:p>
        </w:tc>
        <w:tc>
          <w:tcPr>
            <w:tcW w:w="1253" w:type="dxa"/>
            <w:gridSpan w:val="2"/>
            <w:vAlign w:val="top"/>
          </w:tcPr>
          <w:p w14:paraId="04CF8493">
            <w:pPr>
              <w:spacing w:before="72" w:line="195" w:lineRule="auto"/>
              <w:ind w:left="45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0.16</w:t>
            </w:r>
          </w:p>
        </w:tc>
        <w:tc>
          <w:tcPr>
            <w:tcW w:w="1253" w:type="dxa"/>
            <w:gridSpan w:val="2"/>
            <w:vAlign w:val="top"/>
          </w:tcPr>
          <w:p w14:paraId="4EF047CB">
            <w:pPr>
              <w:spacing w:before="69" w:line="199" w:lineRule="auto"/>
              <w:ind w:left="5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59" w:type="dxa"/>
            <w:gridSpan w:val="2"/>
            <w:vAlign w:val="top"/>
          </w:tcPr>
          <w:p w14:paraId="651C4909">
            <w:pPr>
              <w:spacing w:before="69" w:line="199" w:lineRule="auto"/>
              <w:ind w:left="60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9" w:type="dxa"/>
            <w:tcBorders>
              <w:top w:val="nil"/>
              <w:bottom w:val="nil"/>
              <w:right w:val="single" w:color="000000" w:sz="6" w:space="0"/>
            </w:tcBorders>
            <w:vAlign w:val="top"/>
          </w:tcPr>
          <w:p w14:paraId="0676E09D">
            <w:pPr>
              <w:rPr>
                <w:rFonts w:ascii="Arial"/>
                <w:sz w:val="21"/>
              </w:rPr>
            </w:pPr>
          </w:p>
        </w:tc>
      </w:tr>
      <w:tr w14:paraId="2259D6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4" w:type="dxa"/>
            <w:vMerge w:val="continue"/>
            <w:tcBorders>
              <w:top w:val="nil"/>
              <w:left w:val="single" w:color="000000" w:sz="6" w:space="0"/>
              <w:bottom w:val="nil"/>
              <w:right w:val="single" w:color="000000" w:sz="6" w:space="0"/>
            </w:tcBorders>
            <w:vAlign w:val="top"/>
          </w:tcPr>
          <w:p w14:paraId="254A71B4">
            <w:pPr>
              <w:rPr>
                <w:rFonts w:ascii="Arial"/>
                <w:sz w:val="21"/>
              </w:rPr>
            </w:pPr>
          </w:p>
        </w:tc>
        <w:tc>
          <w:tcPr>
            <w:tcW w:w="506" w:type="dxa"/>
            <w:tcBorders>
              <w:left w:val="single" w:color="000000" w:sz="6" w:space="0"/>
            </w:tcBorders>
            <w:vAlign w:val="top"/>
          </w:tcPr>
          <w:p w14:paraId="5371FA7B">
            <w:pPr>
              <w:spacing w:before="71" w:line="195" w:lineRule="auto"/>
              <w:ind w:left="250"/>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016" w:type="dxa"/>
            <w:gridSpan w:val="2"/>
            <w:vMerge w:val="continue"/>
            <w:tcBorders>
              <w:top w:val="nil"/>
            </w:tcBorders>
            <w:vAlign w:val="top"/>
          </w:tcPr>
          <w:p w14:paraId="707F28CA">
            <w:pPr>
              <w:rPr>
                <w:rFonts w:ascii="Arial"/>
                <w:sz w:val="21"/>
              </w:rPr>
            </w:pPr>
          </w:p>
        </w:tc>
        <w:tc>
          <w:tcPr>
            <w:tcW w:w="1496" w:type="dxa"/>
            <w:gridSpan w:val="2"/>
            <w:vAlign w:val="top"/>
          </w:tcPr>
          <w:p w14:paraId="301423D7">
            <w:pPr>
              <w:pStyle w:val="6"/>
              <w:spacing w:before="36" w:line="213" w:lineRule="auto"/>
              <w:ind w:left="333"/>
            </w:pPr>
            <w:r>
              <w:rPr>
                <w:spacing w:val="6"/>
              </w:rPr>
              <w:t>工业用地</w:t>
            </w:r>
          </w:p>
        </w:tc>
        <w:tc>
          <w:tcPr>
            <w:tcW w:w="1151" w:type="dxa"/>
            <w:gridSpan w:val="2"/>
            <w:vAlign w:val="top"/>
          </w:tcPr>
          <w:p w14:paraId="7431D398">
            <w:pPr>
              <w:spacing w:before="71" w:line="195" w:lineRule="auto"/>
              <w:ind w:left="4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1.15</w:t>
            </w:r>
          </w:p>
        </w:tc>
        <w:tc>
          <w:tcPr>
            <w:tcW w:w="1253" w:type="dxa"/>
            <w:gridSpan w:val="2"/>
            <w:vAlign w:val="top"/>
          </w:tcPr>
          <w:p w14:paraId="1FAB979D">
            <w:pPr>
              <w:spacing w:before="71" w:line="195" w:lineRule="auto"/>
              <w:ind w:left="45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0.</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pacing w:val="-5"/>
                <w:sz w:val="20"/>
                <w:szCs w:val="20"/>
              </w:rPr>
              <w:t>14</w:t>
            </w:r>
          </w:p>
        </w:tc>
        <w:tc>
          <w:tcPr>
            <w:tcW w:w="1253" w:type="dxa"/>
            <w:gridSpan w:val="2"/>
            <w:vAlign w:val="top"/>
          </w:tcPr>
          <w:p w14:paraId="78829D14">
            <w:pPr>
              <w:spacing w:before="67" w:line="199" w:lineRule="auto"/>
              <w:ind w:left="5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59" w:type="dxa"/>
            <w:gridSpan w:val="2"/>
            <w:vAlign w:val="top"/>
          </w:tcPr>
          <w:p w14:paraId="5543F7C5">
            <w:pPr>
              <w:spacing w:before="67" w:line="199" w:lineRule="auto"/>
              <w:ind w:left="60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9" w:type="dxa"/>
            <w:tcBorders>
              <w:top w:val="nil"/>
              <w:bottom w:val="nil"/>
              <w:right w:val="single" w:color="000000" w:sz="6" w:space="0"/>
            </w:tcBorders>
            <w:vAlign w:val="top"/>
          </w:tcPr>
          <w:p w14:paraId="3DFE9AFE">
            <w:pPr>
              <w:rPr>
                <w:rFonts w:ascii="Arial"/>
                <w:sz w:val="21"/>
              </w:rPr>
            </w:pPr>
          </w:p>
        </w:tc>
      </w:tr>
      <w:tr w14:paraId="06CF3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4" w:type="dxa"/>
            <w:vMerge w:val="continue"/>
            <w:tcBorders>
              <w:top w:val="nil"/>
              <w:left w:val="single" w:color="000000" w:sz="6" w:space="0"/>
              <w:bottom w:val="nil"/>
              <w:right w:val="single" w:color="000000" w:sz="6" w:space="0"/>
            </w:tcBorders>
            <w:vAlign w:val="top"/>
          </w:tcPr>
          <w:p w14:paraId="5D165D76">
            <w:pPr>
              <w:rPr>
                <w:rFonts w:ascii="Arial"/>
                <w:sz w:val="21"/>
              </w:rPr>
            </w:pPr>
          </w:p>
        </w:tc>
        <w:tc>
          <w:tcPr>
            <w:tcW w:w="506" w:type="dxa"/>
            <w:tcBorders>
              <w:left w:val="single" w:color="000000" w:sz="6" w:space="0"/>
            </w:tcBorders>
            <w:vAlign w:val="top"/>
          </w:tcPr>
          <w:p w14:paraId="64E746B5">
            <w:pPr>
              <w:spacing w:before="72" w:line="195" w:lineRule="auto"/>
              <w:ind w:left="25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016" w:type="dxa"/>
            <w:gridSpan w:val="2"/>
            <w:vMerge w:val="restart"/>
            <w:tcBorders>
              <w:bottom w:val="nil"/>
            </w:tcBorders>
            <w:vAlign w:val="top"/>
          </w:tcPr>
          <w:p w14:paraId="7939CC9B">
            <w:pPr>
              <w:pStyle w:val="6"/>
              <w:spacing w:before="175" w:line="228" w:lineRule="auto"/>
              <w:ind w:left="88"/>
            </w:pPr>
            <w:r>
              <w:rPr>
                <w:spacing w:val="7"/>
              </w:rPr>
              <w:t>道路用地</w:t>
            </w:r>
          </w:p>
        </w:tc>
        <w:tc>
          <w:tcPr>
            <w:tcW w:w="1496" w:type="dxa"/>
            <w:gridSpan w:val="2"/>
            <w:vAlign w:val="top"/>
          </w:tcPr>
          <w:p w14:paraId="5FB7FDD3">
            <w:pPr>
              <w:pStyle w:val="6"/>
              <w:spacing w:before="37" w:line="212" w:lineRule="auto"/>
              <w:ind w:left="337"/>
            </w:pPr>
            <w:r>
              <w:rPr>
                <w:spacing w:val="5"/>
              </w:rPr>
              <w:t>公路用地</w:t>
            </w:r>
          </w:p>
        </w:tc>
        <w:tc>
          <w:tcPr>
            <w:tcW w:w="1151" w:type="dxa"/>
            <w:gridSpan w:val="2"/>
            <w:vAlign w:val="top"/>
          </w:tcPr>
          <w:p w14:paraId="7B2FE17D">
            <w:pPr>
              <w:spacing w:before="72" w:line="195" w:lineRule="auto"/>
              <w:ind w:left="40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8.85</w:t>
            </w:r>
          </w:p>
        </w:tc>
        <w:tc>
          <w:tcPr>
            <w:tcW w:w="1253" w:type="dxa"/>
            <w:gridSpan w:val="2"/>
            <w:vAlign w:val="top"/>
          </w:tcPr>
          <w:p w14:paraId="39CD4A6D">
            <w:pPr>
              <w:spacing w:before="72" w:line="195" w:lineRule="auto"/>
              <w:ind w:left="46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1.09</w:t>
            </w:r>
          </w:p>
        </w:tc>
        <w:tc>
          <w:tcPr>
            <w:tcW w:w="1253" w:type="dxa"/>
            <w:gridSpan w:val="2"/>
            <w:vAlign w:val="top"/>
          </w:tcPr>
          <w:p w14:paraId="42834366">
            <w:pPr>
              <w:spacing w:before="69" w:line="199" w:lineRule="auto"/>
              <w:ind w:left="5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59" w:type="dxa"/>
            <w:gridSpan w:val="2"/>
            <w:vAlign w:val="top"/>
          </w:tcPr>
          <w:p w14:paraId="39DDE4E0">
            <w:pPr>
              <w:spacing w:before="69" w:line="199" w:lineRule="auto"/>
              <w:ind w:left="60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9" w:type="dxa"/>
            <w:tcBorders>
              <w:top w:val="nil"/>
              <w:bottom w:val="nil"/>
              <w:right w:val="single" w:color="000000" w:sz="6" w:space="0"/>
            </w:tcBorders>
            <w:vAlign w:val="top"/>
          </w:tcPr>
          <w:p w14:paraId="5FB574CD">
            <w:pPr>
              <w:rPr>
                <w:rFonts w:ascii="Arial"/>
                <w:sz w:val="21"/>
              </w:rPr>
            </w:pPr>
          </w:p>
        </w:tc>
      </w:tr>
      <w:tr w14:paraId="5C0C10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4" w:type="dxa"/>
            <w:vMerge w:val="continue"/>
            <w:tcBorders>
              <w:top w:val="nil"/>
              <w:left w:val="single" w:color="000000" w:sz="6" w:space="0"/>
              <w:bottom w:val="nil"/>
              <w:right w:val="single" w:color="000000" w:sz="6" w:space="0"/>
            </w:tcBorders>
            <w:vAlign w:val="top"/>
          </w:tcPr>
          <w:p w14:paraId="4E9E94BF">
            <w:pPr>
              <w:rPr>
                <w:rFonts w:ascii="Arial"/>
                <w:sz w:val="21"/>
              </w:rPr>
            </w:pPr>
          </w:p>
        </w:tc>
        <w:tc>
          <w:tcPr>
            <w:tcW w:w="506" w:type="dxa"/>
            <w:tcBorders>
              <w:left w:val="single" w:color="000000" w:sz="6" w:space="0"/>
            </w:tcBorders>
            <w:vAlign w:val="top"/>
          </w:tcPr>
          <w:p w14:paraId="0367FDB2">
            <w:pPr>
              <w:spacing w:before="74" w:line="195" w:lineRule="auto"/>
              <w:ind w:left="24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016" w:type="dxa"/>
            <w:gridSpan w:val="2"/>
            <w:vMerge w:val="continue"/>
            <w:tcBorders>
              <w:top w:val="nil"/>
            </w:tcBorders>
            <w:vAlign w:val="top"/>
          </w:tcPr>
          <w:p w14:paraId="28C9E64A">
            <w:pPr>
              <w:rPr>
                <w:rFonts w:ascii="Arial"/>
                <w:sz w:val="21"/>
              </w:rPr>
            </w:pPr>
          </w:p>
        </w:tc>
        <w:tc>
          <w:tcPr>
            <w:tcW w:w="1496" w:type="dxa"/>
            <w:gridSpan w:val="2"/>
            <w:vAlign w:val="top"/>
          </w:tcPr>
          <w:p w14:paraId="08333DB2">
            <w:pPr>
              <w:pStyle w:val="6"/>
              <w:spacing w:before="38" w:line="211" w:lineRule="auto"/>
              <w:ind w:left="330"/>
            </w:pPr>
            <w:r>
              <w:rPr>
                <w:spacing w:val="7"/>
              </w:rPr>
              <w:t>农村道路</w:t>
            </w:r>
          </w:p>
        </w:tc>
        <w:tc>
          <w:tcPr>
            <w:tcW w:w="1151" w:type="dxa"/>
            <w:gridSpan w:val="2"/>
            <w:vAlign w:val="top"/>
          </w:tcPr>
          <w:p w14:paraId="5A2B7D7B">
            <w:pPr>
              <w:spacing w:before="74" w:line="195" w:lineRule="auto"/>
              <w:ind w:left="36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12.32</w:t>
            </w:r>
          </w:p>
        </w:tc>
        <w:tc>
          <w:tcPr>
            <w:tcW w:w="1253" w:type="dxa"/>
            <w:gridSpan w:val="2"/>
            <w:vAlign w:val="top"/>
          </w:tcPr>
          <w:p w14:paraId="39F61F22">
            <w:pPr>
              <w:spacing w:before="74" w:line="195" w:lineRule="auto"/>
              <w:ind w:left="46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1.51</w:t>
            </w:r>
          </w:p>
        </w:tc>
        <w:tc>
          <w:tcPr>
            <w:tcW w:w="1253" w:type="dxa"/>
            <w:gridSpan w:val="2"/>
            <w:vAlign w:val="top"/>
          </w:tcPr>
          <w:p w14:paraId="1C811990">
            <w:pPr>
              <w:spacing w:before="70" w:line="199" w:lineRule="auto"/>
              <w:ind w:left="5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59" w:type="dxa"/>
            <w:gridSpan w:val="2"/>
            <w:vAlign w:val="top"/>
          </w:tcPr>
          <w:p w14:paraId="53CDDC96">
            <w:pPr>
              <w:spacing w:before="70" w:line="199" w:lineRule="auto"/>
              <w:ind w:left="60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9" w:type="dxa"/>
            <w:tcBorders>
              <w:top w:val="nil"/>
              <w:bottom w:val="nil"/>
              <w:right w:val="single" w:color="000000" w:sz="6" w:space="0"/>
            </w:tcBorders>
            <w:vAlign w:val="top"/>
          </w:tcPr>
          <w:p w14:paraId="49D75FFF">
            <w:pPr>
              <w:rPr>
                <w:rFonts w:ascii="Arial"/>
                <w:sz w:val="21"/>
              </w:rPr>
            </w:pPr>
          </w:p>
        </w:tc>
      </w:tr>
      <w:tr w14:paraId="52C8E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4" w:type="dxa"/>
            <w:vMerge w:val="continue"/>
            <w:tcBorders>
              <w:top w:val="nil"/>
              <w:left w:val="single" w:color="000000" w:sz="6" w:space="0"/>
              <w:bottom w:val="nil"/>
              <w:right w:val="single" w:color="000000" w:sz="6" w:space="0"/>
            </w:tcBorders>
            <w:vAlign w:val="top"/>
          </w:tcPr>
          <w:p w14:paraId="017F98CE">
            <w:pPr>
              <w:rPr>
                <w:rFonts w:ascii="Arial"/>
                <w:sz w:val="21"/>
              </w:rPr>
            </w:pPr>
          </w:p>
        </w:tc>
        <w:tc>
          <w:tcPr>
            <w:tcW w:w="506" w:type="dxa"/>
            <w:tcBorders>
              <w:left w:val="single" w:color="000000" w:sz="6" w:space="0"/>
            </w:tcBorders>
            <w:vAlign w:val="top"/>
          </w:tcPr>
          <w:p w14:paraId="30DFB7F6">
            <w:pPr>
              <w:spacing w:before="75" w:line="192" w:lineRule="auto"/>
              <w:ind w:left="255"/>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016" w:type="dxa"/>
            <w:gridSpan w:val="2"/>
            <w:vMerge w:val="restart"/>
            <w:tcBorders>
              <w:bottom w:val="nil"/>
            </w:tcBorders>
            <w:vAlign w:val="top"/>
          </w:tcPr>
          <w:p w14:paraId="71494FB8">
            <w:pPr>
              <w:pStyle w:val="6"/>
              <w:spacing w:before="175" w:line="228" w:lineRule="auto"/>
              <w:ind w:left="300"/>
            </w:pPr>
            <w:r>
              <w:rPr>
                <w:spacing w:val="3"/>
              </w:rPr>
              <w:t>水域</w:t>
            </w:r>
          </w:p>
        </w:tc>
        <w:tc>
          <w:tcPr>
            <w:tcW w:w="1496" w:type="dxa"/>
            <w:gridSpan w:val="2"/>
            <w:vAlign w:val="top"/>
          </w:tcPr>
          <w:p w14:paraId="790E9E42">
            <w:pPr>
              <w:pStyle w:val="6"/>
              <w:spacing w:before="37" w:line="212" w:lineRule="auto"/>
              <w:ind w:left="330"/>
            </w:pPr>
            <w:r>
              <w:rPr>
                <w:spacing w:val="7"/>
              </w:rPr>
              <w:t>坑塘水面</w:t>
            </w:r>
          </w:p>
        </w:tc>
        <w:tc>
          <w:tcPr>
            <w:tcW w:w="1151" w:type="dxa"/>
            <w:gridSpan w:val="2"/>
            <w:vAlign w:val="top"/>
          </w:tcPr>
          <w:p w14:paraId="74521507">
            <w:pPr>
              <w:spacing w:before="72" w:line="195" w:lineRule="auto"/>
              <w:ind w:left="4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1.03</w:t>
            </w:r>
          </w:p>
        </w:tc>
        <w:tc>
          <w:tcPr>
            <w:tcW w:w="1253" w:type="dxa"/>
            <w:gridSpan w:val="2"/>
            <w:vAlign w:val="top"/>
          </w:tcPr>
          <w:p w14:paraId="68A67B76">
            <w:pPr>
              <w:spacing w:before="72" w:line="195" w:lineRule="auto"/>
              <w:ind w:left="45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0.13</w:t>
            </w:r>
          </w:p>
        </w:tc>
        <w:tc>
          <w:tcPr>
            <w:tcW w:w="1253" w:type="dxa"/>
            <w:gridSpan w:val="2"/>
            <w:vAlign w:val="top"/>
          </w:tcPr>
          <w:p w14:paraId="043FFFC7">
            <w:pPr>
              <w:spacing w:before="69" w:line="199" w:lineRule="auto"/>
              <w:ind w:left="5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59" w:type="dxa"/>
            <w:gridSpan w:val="2"/>
            <w:vAlign w:val="top"/>
          </w:tcPr>
          <w:p w14:paraId="3FB43741">
            <w:pPr>
              <w:spacing w:before="69" w:line="199" w:lineRule="auto"/>
              <w:ind w:left="60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9" w:type="dxa"/>
            <w:tcBorders>
              <w:top w:val="nil"/>
              <w:bottom w:val="nil"/>
              <w:right w:val="single" w:color="000000" w:sz="6" w:space="0"/>
            </w:tcBorders>
            <w:vAlign w:val="top"/>
          </w:tcPr>
          <w:p w14:paraId="79980864">
            <w:pPr>
              <w:rPr>
                <w:rFonts w:ascii="Arial"/>
                <w:sz w:val="21"/>
              </w:rPr>
            </w:pPr>
          </w:p>
        </w:tc>
      </w:tr>
      <w:tr w14:paraId="16928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4" w:type="dxa"/>
            <w:vMerge w:val="continue"/>
            <w:tcBorders>
              <w:top w:val="nil"/>
              <w:left w:val="single" w:color="000000" w:sz="6" w:space="0"/>
              <w:bottom w:val="nil"/>
              <w:right w:val="single" w:color="000000" w:sz="6" w:space="0"/>
            </w:tcBorders>
            <w:vAlign w:val="top"/>
          </w:tcPr>
          <w:p w14:paraId="2FF40722">
            <w:pPr>
              <w:rPr>
                <w:rFonts w:ascii="Arial"/>
                <w:sz w:val="21"/>
              </w:rPr>
            </w:pPr>
          </w:p>
        </w:tc>
        <w:tc>
          <w:tcPr>
            <w:tcW w:w="506" w:type="dxa"/>
            <w:tcBorders>
              <w:left w:val="single" w:color="000000" w:sz="6" w:space="0"/>
            </w:tcBorders>
            <w:vAlign w:val="top"/>
          </w:tcPr>
          <w:p w14:paraId="5A58C7A6">
            <w:pPr>
              <w:spacing w:before="74" w:line="195" w:lineRule="auto"/>
              <w:ind w:left="254"/>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016" w:type="dxa"/>
            <w:gridSpan w:val="2"/>
            <w:vMerge w:val="continue"/>
            <w:tcBorders>
              <w:top w:val="nil"/>
            </w:tcBorders>
            <w:vAlign w:val="top"/>
          </w:tcPr>
          <w:p w14:paraId="46A947E5">
            <w:pPr>
              <w:rPr>
                <w:rFonts w:ascii="Arial"/>
                <w:sz w:val="21"/>
              </w:rPr>
            </w:pPr>
          </w:p>
        </w:tc>
        <w:tc>
          <w:tcPr>
            <w:tcW w:w="1496" w:type="dxa"/>
            <w:gridSpan w:val="2"/>
            <w:vAlign w:val="top"/>
          </w:tcPr>
          <w:p w14:paraId="61579F9E">
            <w:pPr>
              <w:pStyle w:val="6"/>
              <w:spacing w:before="38" w:line="211" w:lineRule="auto"/>
              <w:ind w:left="333"/>
            </w:pPr>
            <w:r>
              <w:rPr>
                <w:spacing w:val="6"/>
              </w:rPr>
              <w:t>水库水面</w:t>
            </w:r>
          </w:p>
        </w:tc>
        <w:tc>
          <w:tcPr>
            <w:tcW w:w="1151" w:type="dxa"/>
            <w:gridSpan w:val="2"/>
            <w:vAlign w:val="top"/>
          </w:tcPr>
          <w:p w14:paraId="15AA8FFD">
            <w:pPr>
              <w:spacing w:before="74" w:line="195" w:lineRule="auto"/>
              <w:ind w:left="39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2.37</w:t>
            </w:r>
          </w:p>
        </w:tc>
        <w:tc>
          <w:tcPr>
            <w:tcW w:w="1253" w:type="dxa"/>
            <w:gridSpan w:val="2"/>
            <w:vAlign w:val="top"/>
          </w:tcPr>
          <w:p w14:paraId="2CFFB985">
            <w:pPr>
              <w:spacing w:before="74" w:line="195" w:lineRule="auto"/>
              <w:ind w:left="45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0.29</w:t>
            </w:r>
          </w:p>
        </w:tc>
        <w:tc>
          <w:tcPr>
            <w:tcW w:w="1253" w:type="dxa"/>
            <w:gridSpan w:val="2"/>
            <w:vAlign w:val="top"/>
          </w:tcPr>
          <w:p w14:paraId="63181A8F">
            <w:pPr>
              <w:spacing w:before="70" w:line="199" w:lineRule="auto"/>
              <w:ind w:left="5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59" w:type="dxa"/>
            <w:gridSpan w:val="2"/>
            <w:vAlign w:val="top"/>
          </w:tcPr>
          <w:p w14:paraId="17D4134B">
            <w:pPr>
              <w:spacing w:before="70" w:line="199" w:lineRule="auto"/>
              <w:ind w:left="60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9" w:type="dxa"/>
            <w:tcBorders>
              <w:top w:val="nil"/>
              <w:bottom w:val="nil"/>
              <w:right w:val="single" w:color="000000" w:sz="6" w:space="0"/>
            </w:tcBorders>
            <w:vAlign w:val="top"/>
          </w:tcPr>
          <w:p w14:paraId="58074299">
            <w:pPr>
              <w:rPr>
                <w:rFonts w:ascii="Arial"/>
                <w:sz w:val="21"/>
              </w:rPr>
            </w:pPr>
          </w:p>
        </w:tc>
      </w:tr>
      <w:tr w14:paraId="4E91B9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4" w:type="dxa"/>
            <w:vMerge w:val="continue"/>
            <w:tcBorders>
              <w:top w:val="nil"/>
              <w:left w:val="single" w:color="000000" w:sz="6" w:space="0"/>
              <w:bottom w:val="nil"/>
              <w:right w:val="single" w:color="000000" w:sz="6" w:space="0"/>
            </w:tcBorders>
            <w:vAlign w:val="top"/>
          </w:tcPr>
          <w:p w14:paraId="33927A9E">
            <w:pPr>
              <w:rPr>
                <w:rFonts w:ascii="Arial"/>
                <w:sz w:val="21"/>
              </w:rPr>
            </w:pPr>
          </w:p>
        </w:tc>
        <w:tc>
          <w:tcPr>
            <w:tcW w:w="506" w:type="dxa"/>
            <w:tcBorders>
              <w:left w:val="single" w:color="000000" w:sz="6" w:space="0"/>
            </w:tcBorders>
            <w:vAlign w:val="top"/>
          </w:tcPr>
          <w:p w14:paraId="4B6A8D1C">
            <w:pPr>
              <w:spacing w:before="78" w:line="192" w:lineRule="auto"/>
              <w:ind w:left="253"/>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016" w:type="dxa"/>
            <w:gridSpan w:val="2"/>
            <w:vMerge w:val="restart"/>
            <w:tcBorders>
              <w:bottom w:val="nil"/>
            </w:tcBorders>
            <w:vAlign w:val="top"/>
          </w:tcPr>
          <w:p w14:paraId="28E1C79D">
            <w:pPr>
              <w:pStyle w:val="6"/>
              <w:spacing w:before="178" w:line="229" w:lineRule="auto"/>
              <w:ind w:left="194"/>
            </w:pPr>
            <w:r>
              <w:rPr>
                <w:spacing w:val="6"/>
              </w:rPr>
              <w:t>农用地</w:t>
            </w:r>
          </w:p>
        </w:tc>
        <w:tc>
          <w:tcPr>
            <w:tcW w:w="1496" w:type="dxa"/>
            <w:gridSpan w:val="2"/>
            <w:vAlign w:val="top"/>
          </w:tcPr>
          <w:p w14:paraId="6D6D78E7">
            <w:pPr>
              <w:pStyle w:val="6"/>
              <w:spacing w:before="39" w:line="210" w:lineRule="auto"/>
              <w:ind w:left="544"/>
            </w:pPr>
            <w:r>
              <w:rPr>
                <w:spacing w:val="3"/>
              </w:rPr>
              <w:t>旱地</w:t>
            </w:r>
          </w:p>
        </w:tc>
        <w:tc>
          <w:tcPr>
            <w:tcW w:w="1151" w:type="dxa"/>
            <w:gridSpan w:val="2"/>
            <w:vAlign w:val="top"/>
          </w:tcPr>
          <w:p w14:paraId="24E470E7">
            <w:pPr>
              <w:spacing w:before="75" w:line="195"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689.43</w:t>
            </w:r>
          </w:p>
        </w:tc>
        <w:tc>
          <w:tcPr>
            <w:tcW w:w="1253" w:type="dxa"/>
            <w:gridSpan w:val="2"/>
            <w:vAlign w:val="top"/>
          </w:tcPr>
          <w:p w14:paraId="66D05869">
            <w:pPr>
              <w:spacing w:before="75" w:line="195" w:lineRule="auto"/>
              <w:ind w:left="4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84.71</w:t>
            </w:r>
          </w:p>
        </w:tc>
        <w:tc>
          <w:tcPr>
            <w:tcW w:w="1253" w:type="dxa"/>
            <w:gridSpan w:val="2"/>
            <w:vAlign w:val="top"/>
          </w:tcPr>
          <w:p w14:paraId="4E47E40A">
            <w:pPr>
              <w:spacing w:before="75" w:line="195" w:lineRule="auto"/>
              <w:ind w:left="39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0.345</w:t>
            </w:r>
          </w:p>
        </w:tc>
        <w:tc>
          <w:tcPr>
            <w:tcW w:w="1259" w:type="dxa"/>
            <w:gridSpan w:val="2"/>
            <w:vAlign w:val="top"/>
          </w:tcPr>
          <w:p w14:paraId="010262DC">
            <w:pPr>
              <w:spacing w:before="75" w:line="195" w:lineRule="auto"/>
              <w:ind w:left="42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1.397</w:t>
            </w:r>
          </w:p>
        </w:tc>
        <w:tc>
          <w:tcPr>
            <w:tcW w:w="129" w:type="dxa"/>
            <w:tcBorders>
              <w:top w:val="nil"/>
              <w:bottom w:val="nil"/>
              <w:right w:val="single" w:color="000000" w:sz="6" w:space="0"/>
            </w:tcBorders>
            <w:vAlign w:val="top"/>
          </w:tcPr>
          <w:p w14:paraId="2005757D">
            <w:pPr>
              <w:rPr>
                <w:rFonts w:ascii="Arial"/>
                <w:sz w:val="21"/>
              </w:rPr>
            </w:pPr>
          </w:p>
        </w:tc>
      </w:tr>
      <w:tr w14:paraId="2C739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64" w:type="dxa"/>
            <w:vMerge w:val="continue"/>
            <w:tcBorders>
              <w:top w:val="nil"/>
              <w:left w:val="single" w:color="000000" w:sz="6" w:space="0"/>
              <w:bottom w:val="nil"/>
              <w:right w:val="single" w:color="000000" w:sz="6" w:space="0"/>
            </w:tcBorders>
            <w:vAlign w:val="top"/>
          </w:tcPr>
          <w:p w14:paraId="1B0E5295">
            <w:pPr>
              <w:rPr>
                <w:rFonts w:ascii="Arial"/>
                <w:sz w:val="21"/>
              </w:rPr>
            </w:pPr>
          </w:p>
        </w:tc>
        <w:tc>
          <w:tcPr>
            <w:tcW w:w="506" w:type="dxa"/>
            <w:tcBorders>
              <w:left w:val="single" w:color="000000" w:sz="6" w:space="0"/>
            </w:tcBorders>
            <w:vAlign w:val="top"/>
          </w:tcPr>
          <w:p w14:paraId="58717889">
            <w:pPr>
              <w:spacing w:before="74" w:line="195" w:lineRule="auto"/>
              <w:ind w:left="258"/>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016" w:type="dxa"/>
            <w:gridSpan w:val="2"/>
            <w:vMerge w:val="continue"/>
            <w:tcBorders>
              <w:top w:val="nil"/>
            </w:tcBorders>
            <w:vAlign w:val="top"/>
          </w:tcPr>
          <w:p w14:paraId="55BCFD04">
            <w:pPr>
              <w:rPr>
                <w:rFonts w:ascii="Arial"/>
                <w:sz w:val="21"/>
              </w:rPr>
            </w:pPr>
          </w:p>
        </w:tc>
        <w:tc>
          <w:tcPr>
            <w:tcW w:w="1496" w:type="dxa"/>
            <w:gridSpan w:val="2"/>
            <w:vAlign w:val="top"/>
          </w:tcPr>
          <w:p w14:paraId="3D529FE0">
            <w:pPr>
              <w:pStyle w:val="6"/>
              <w:spacing w:before="38" w:line="212" w:lineRule="auto"/>
              <w:ind w:left="228"/>
            </w:pPr>
            <w:r>
              <w:rPr>
                <w:spacing w:val="7"/>
              </w:rPr>
              <w:t>设施农用地</w:t>
            </w:r>
          </w:p>
        </w:tc>
        <w:tc>
          <w:tcPr>
            <w:tcW w:w="1151" w:type="dxa"/>
            <w:gridSpan w:val="2"/>
            <w:vAlign w:val="top"/>
          </w:tcPr>
          <w:p w14:paraId="687F1BA6">
            <w:pPr>
              <w:spacing w:before="74" w:line="195" w:lineRule="auto"/>
              <w:ind w:left="3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5.19</w:t>
            </w:r>
          </w:p>
        </w:tc>
        <w:tc>
          <w:tcPr>
            <w:tcW w:w="1253" w:type="dxa"/>
            <w:gridSpan w:val="2"/>
            <w:vAlign w:val="top"/>
          </w:tcPr>
          <w:p w14:paraId="76541BC4">
            <w:pPr>
              <w:spacing w:before="74" w:line="195" w:lineRule="auto"/>
              <w:ind w:left="45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0.64</w:t>
            </w:r>
          </w:p>
        </w:tc>
        <w:tc>
          <w:tcPr>
            <w:tcW w:w="1253" w:type="dxa"/>
            <w:gridSpan w:val="2"/>
            <w:vAlign w:val="top"/>
          </w:tcPr>
          <w:p w14:paraId="4DEB87F6">
            <w:pPr>
              <w:spacing w:before="70" w:line="199" w:lineRule="auto"/>
              <w:ind w:left="5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59" w:type="dxa"/>
            <w:gridSpan w:val="2"/>
            <w:vAlign w:val="top"/>
          </w:tcPr>
          <w:p w14:paraId="0A6B2868">
            <w:pPr>
              <w:rPr>
                <w:rFonts w:ascii="Arial"/>
                <w:sz w:val="21"/>
              </w:rPr>
            </w:pPr>
          </w:p>
        </w:tc>
        <w:tc>
          <w:tcPr>
            <w:tcW w:w="129" w:type="dxa"/>
            <w:tcBorders>
              <w:top w:val="nil"/>
              <w:bottom w:val="nil"/>
              <w:right w:val="single" w:color="000000" w:sz="6" w:space="0"/>
            </w:tcBorders>
            <w:vAlign w:val="top"/>
          </w:tcPr>
          <w:p w14:paraId="08C454CA">
            <w:pPr>
              <w:rPr>
                <w:rFonts w:ascii="Arial"/>
                <w:sz w:val="21"/>
              </w:rPr>
            </w:pPr>
          </w:p>
        </w:tc>
      </w:tr>
      <w:tr w14:paraId="06A78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4" w:type="dxa"/>
            <w:vMerge w:val="continue"/>
            <w:tcBorders>
              <w:top w:val="nil"/>
              <w:left w:val="single" w:color="000000" w:sz="6" w:space="0"/>
              <w:bottom w:val="nil"/>
              <w:right w:val="single" w:color="000000" w:sz="6" w:space="0"/>
            </w:tcBorders>
            <w:vAlign w:val="top"/>
          </w:tcPr>
          <w:p w14:paraId="6821FA4C">
            <w:pPr>
              <w:rPr>
                <w:rFonts w:ascii="Arial"/>
                <w:sz w:val="21"/>
              </w:rPr>
            </w:pPr>
          </w:p>
        </w:tc>
        <w:tc>
          <w:tcPr>
            <w:tcW w:w="506" w:type="dxa"/>
            <w:tcBorders>
              <w:left w:val="single" w:color="000000" w:sz="6" w:space="0"/>
            </w:tcBorders>
            <w:vAlign w:val="top"/>
          </w:tcPr>
          <w:p w14:paraId="0CBE43AF">
            <w:pPr>
              <w:spacing w:before="74" w:line="195" w:lineRule="auto"/>
              <w:ind w:left="254"/>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016" w:type="dxa"/>
            <w:gridSpan w:val="2"/>
            <w:vAlign w:val="top"/>
          </w:tcPr>
          <w:p w14:paraId="5817D1AD">
            <w:pPr>
              <w:pStyle w:val="6"/>
              <w:spacing w:before="38" w:line="211" w:lineRule="auto"/>
              <w:ind w:left="91"/>
            </w:pPr>
            <w:r>
              <w:rPr>
                <w:spacing w:val="6"/>
              </w:rPr>
              <w:t>建筑用地</w:t>
            </w:r>
          </w:p>
        </w:tc>
        <w:tc>
          <w:tcPr>
            <w:tcW w:w="1496" w:type="dxa"/>
            <w:gridSpan w:val="2"/>
            <w:vAlign w:val="top"/>
          </w:tcPr>
          <w:p w14:paraId="4BB92FE1">
            <w:pPr>
              <w:pStyle w:val="6"/>
              <w:spacing w:before="38" w:line="211" w:lineRule="auto"/>
              <w:ind w:left="224"/>
            </w:pPr>
            <w:r>
              <w:rPr>
                <w:spacing w:val="8"/>
              </w:rPr>
              <w:t>农村宅基地</w:t>
            </w:r>
          </w:p>
        </w:tc>
        <w:tc>
          <w:tcPr>
            <w:tcW w:w="1151" w:type="dxa"/>
            <w:gridSpan w:val="2"/>
            <w:vAlign w:val="top"/>
          </w:tcPr>
          <w:p w14:paraId="40C2B703">
            <w:pPr>
              <w:spacing w:before="74" w:line="195" w:lineRule="auto"/>
              <w:ind w:left="36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11.82</w:t>
            </w:r>
          </w:p>
        </w:tc>
        <w:tc>
          <w:tcPr>
            <w:tcW w:w="1253" w:type="dxa"/>
            <w:gridSpan w:val="2"/>
            <w:vAlign w:val="top"/>
          </w:tcPr>
          <w:p w14:paraId="0004AB87">
            <w:pPr>
              <w:spacing w:before="74" w:line="195" w:lineRule="auto"/>
              <w:ind w:left="46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1.45</w:t>
            </w:r>
          </w:p>
        </w:tc>
        <w:tc>
          <w:tcPr>
            <w:tcW w:w="1253" w:type="dxa"/>
            <w:gridSpan w:val="2"/>
            <w:vAlign w:val="top"/>
          </w:tcPr>
          <w:p w14:paraId="34980910">
            <w:pPr>
              <w:spacing w:before="70" w:line="199" w:lineRule="auto"/>
              <w:ind w:left="5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59" w:type="dxa"/>
            <w:gridSpan w:val="2"/>
            <w:vAlign w:val="top"/>
          </w:tcPr>
          <w:p w14:paraId="4E66252A">
            <w:pPr>
              <w:spacing w:before="70" w:line="199" w:lineRule="auto"/>
              <w:ind w:left="60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9" w:type="dxa"/>
            <w:tcBorders>
              <w:top w:val="nil"/>
              <w:bottom w:val="nil"/>
              <w:right w:val="single" w:color="000000" w:sz="6" w:space="0"/>
            </w:tcBorders>
            <w:vAlign w:val="top"/>
          </w:tcPr>
          <w:p w14:paraId="631536F5">
            <w:pPr>
              <w:rPr>
                <w:rFonts w:ascii="Arial"/>
                <w:sz w:val="21"/>
              </w:rPr>
            </w:pPr>
          </w:p>
        </w:tc>
      </w:tr>
      <w:tr w14:paraId="0435F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4" w:type="dxa"/>
            <w:vMerge w:val="continue"/>
            <w:tcBorders>
              <w:top w:val="nil"/>
              <w:left w:val="single" w:color="000000" w:sz="6" w:space="0"/>
              <w:bottom w:val="nil"/>
              <w:right w:val="single" w:color="000000" w:sz="6" w:space="0"/>
            </w:tcBorders>
            <w:vAlign w:val="top"/>
          </w:tcPr>
          <w:p w14:paraId="355156E7">
            <w:pPr>
              <w:rPr>
                <w:rFonts w:ascii="Arial"/>
                <w:sz w:val="21"/>
              </w:rPr>
            </w:pPr>
          </w:p>
        </w:tc>
        <w:tc>
          <w:tcPr>
            <w:tcW w:w="506" w:type="dxa"/>
            <w:tcBorders>
              <w:left w:val="single" w:color="000000" w:sz="6" w:space="0"/>
            </w:tcBorders>
            <w:vAlign w:val="top"/>
          </w:tcPr>
          <w:p w14:paraId="3B9BCC49">
            <w:pPr>
              <w:spacing w:before="73" w:line="195" w:lineRule="auto"/>
              <w:ind w:left="21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016" w:type="dxa"/>
            <w:gridSpan w:val="2"/>
            <w:vAlign w:val="top"/>
          </w:tcPr>
          <w:p w14:paraId="59ABDEBF">
            <w:pPr>
              <w:pStyle w:val="6"/>
              <w:spacing w:before="37" w:line="212" w:lineRule="auto"/>
              <w:ind w:left="299"/>
            </w:pPr>
            <w:r>
              <w:rPr>
                <w:spacing w:val="3"/>
              </w:rPr>
              <w:t>草地</w:t>
            </w:r>
          </w:p>
        </w:tc>
        <w:tc>
          <w:tcPr>
            <w:tcW w:w="1496" w:type="dxa"/>
            <w:gridSpan w:val="2"/>
            <w:vAlign w:val="top"/>
          </w:tcPr>
          <w:p w14:paraId="179A2937">
            <w:pPr>
              <w:pStyle w:val="6"/>
              <w:spacing w:before="37" w:line="212" w:lineRule="auto"/>
              <w:ind w:left="331"/>
            </w:pPr>
            <w:r>
              <w:rPr>
                <w:spacing w:val="7"/>
              </w:rPr>
              <w:t>其他草地</w:t>
            </w:r>
          </w:p>
        </w:tc>
        <w:tc>
          <w:tcPr>
            <w:tcW w:w="1151" w:type="dxa"/>
            <w:gridSpan w:val="2"/>
            <w:vAlign w:val="top"/>
          </w:tcPr>
          <w:p w14:paraId="29269184">
            <w:pPr>
              <w:spacing w:before="73" w:line="195" w:lineRule="auto"/>
              <w:ind w:left="3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5.66</w:t>
            </w:r>
          </w:p>
        </w:tc>
        <w:tc>
          <w:tcPr>
            <w:tcW w:w="1253" w:type="dxa"/>
            <w:gridSpan w:val="2"/>
            <w:vAlign w:val="top"/>
          </w:tcPr>
          <w:p w14:paraId="4EFC032E">
            <w:pPr>
              <w:spacing w:before="73" w:line="195" w:lineRule="auto"/>
              <w:ind w:left="45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0.70</w:t>
            </w:r>
          </w:p>
        </w:tc>
        <w:tc>
          <w:tcPr>
            <w:tcW w:w="1253" w:type="dxa"/>
            <w:gridSpan w:val="2"/>
            <w:vAlign w:val="top"/>
          </w:tcPr>
          <w:p w14:paraId="42BA9074">
            <w:pPr>
              <w:spacing w:before="73" w:line="195" w:lineRule="auto"/>
              <w:ind w:left="4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w:t>
            </w:r>
          </w:p>
        </w:tc>
        <w:tc>
          <w:tcPr>
            <w:tcW w:w="1259" w:type="dxa"/>
            <w:gridSpan w:val="2"/>
            <w:vAlign w:val="top"/>
          </w:tcPr>
          <w:p w14:paraId="0EAB31E8">
            <w:pPr>
              <w:spacing w:before="73" w:line="195" w:lineRule="auto"/>
              <w:ind w:left="45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129" w:type="dxa"/>
            <w:tcBorders>
              <w:top w:val="nil"/>
              <w:bottom w:val="nil"/>
              <w:right w:val="single" w:color="000000" w:sz="6" w:space="0"/>
            </w:tcBorders>
            <w:vAlign w:val="top"/>
          </w:tcPr>
          <w:p w14:paraId="19EC8747">
            <w:pPr>
              <w:rPr>
                <w:rFonts w:ascii="Arial"/>
                <w:sz w:val="21"/>
              </w:rPr>
            </w:pPr>
          </w:p>
        </w:tc>
      </w:tr>
      <w:tr w14:paraId="28374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4" w:type="dxa"/>
            <w:vMerge w:val="continue"/>
            <w:tcBorders>
              <w:top w:val="nil"/>
              <w:left w:val="single" w:color="000000" w:sz="6" w:space="0"/>
              <w:bottom w:val="nil"/>
              <w:right w:val="single" w:color="000000" w:sz="6" w:space="0"/>
            </w:tcBorders>
            <w:vAlign w:val="top"/>
          </w:tcPr>
          <w:p w14:paraId="71C9DE04">
            <w:pPr>
              <w:rPr>
                <w:rFonts w:ascii="Arial"/>
                <w:sz w:val="21"/>
              </w:rPr>
            </w:pPr>
          </w:p>
        </w:tc>
        <w:tc>
          <w:tcPr>
            <w:tcW w:w="506" w:type="dxa"/>
            <w:tcBorders>
              <w:left w:val="single" w:color="000000" w:sz="6" w:space="0"/>
            </w:tcBorders>
            <w:vAlign w:val="top"/>
          </w:tcPr>
          <w:p w14:paraId="67FD5827">
            <w:pPr>
              <w:spacing w:before="74" w:line="195" w:lineRule="auto"/>
              <w:ind w:left="222"/>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11</w:t>
            </w:r>
          </w:p>
        </w:tc>
        <w:tc>
          <w:tcPr>
            <w:tcW w:w="1016" w:type="dxa"/>
            <w:gridSpan w:val="2"/>
            <w:vAlign w:val="top"/>
          </w:tcPr>
          <w:p w14:paraId="06887C25">
            <w:pPr>
              <w:pStyle w:val="6"/>
              <w:spacing w:before="38" w:line="211" w:lineRule="auto"/>
              <w:ind w:left="314"/>
            </w:pPr>
            <w:r>
              <w:rPr>
                <w:spacing w:val="-4"/>
              </w:rPr>
              <w:t>园地</w:t>
            </w:r>
          </w:p>
        </w:tc>
        <w:tc>
          <w:tcPr>
            <w:tcW w:w="1496" w:type="dxa"/>
            <w:gridSpan w:val="2"/>
            <w:vAlign w:val="top"/>
          </w:tcPr>
          <w:p w14:paraId="22529241">
            <w:pPr>
              <w:pStyle w:val="6"/>
              <w:spacing w:before="38" w:line="211" w:lineRule="auto"/>
              <w:ind w:left="331"/>
            </w:pPr>
            <w:r>
              <w:rPr>
                <w:spacing w:val="7"/>
              </w:rPr>
              <w:t>其他园地</w:t>
            </w:r>
          </w:p>
        </w:tc>
        <w:tc>
          <w:tcPr>
            <w:tcW w:w="1151" w:type="dxa"/>
            <w:gridSpan w:val="2"/>
            <w:vAlign w:val="top"/>
          </w:tcPr>
          <w:p w14:paraId="13B9F94C">
            <w:pPr>
              <w:spacing w:before="74" w:line="195" w:lineRule="auto"/>
              <w:ind w:left="34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74.27</w:t>
            </w:r>
          </w:p>
        </w:tc>
        <w:tc>
          <w:tcPr>
            <w:tcW w:w="1253" w:type="dxa"/>
            <w:gridSpan w:val="2"/>
            <w:vAlign w:val="top"/>
          </w:tcPr>
          <w:p w14:paraId="1AA611B4">
            <w:pPr>
              <w:spacing w:before="74" w:line="195" w:lineRule="auto"/>
              <w:ind w:left="45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9.13</w:t>
            </w:r>
          </w:p>
        </w:tc>
        <w:tc>
          <w:tcPr>
            <w:tcW w:w="1253" w:type="dxa"/>
            <w:gridSpan w:val="2"/>
            <w:vAlign w:val="top"/>
          </w:tcPr>
          <w:p w14:paraId="5E7234DC">
            <w:pPr>
              <w:spacing w:before="74" w:line="195" w:lineRule="auto"/>
              <w:ind w:left="4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0.17</w:t>
            </w:r>
          </w:p>
        </w:tc>
        <w:tc>
          <w:tcPr>
            <w:tcW w:w="1259" w:type="dxa"/>
            <w:gridSpan w:val="2"/>
            <w:vAlign w:val="top"/>
          </w:tcPr>
          <w:p w14:paraId="7370B6C4">
            <w:pPr>
              <w:spacing w:before="74" w:line="195" w:lineRule="auto"/>
              <w:ind w:left="45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29" w:type="dxa"/>
            <w:tcBorders>
              <w:top w:val="nil"/>
              <w:bottom w:val="nil"/>
              <w:right w:val="single" w:color="000000" w:sz="6" w:space="0"/>
            </w:tcBorders>
            <w:vAlign w:val="top"/>
          </w:tcPr>
          <w:p w14:paraId="5C50B935">
            <w:pPr>
              <w:rPr>
                <w:rFonts w:ascii="Arial"/>
                <w:sz w:val="21"/>
              </w:rPr>
            </w:pPr>
          </w:p>
        </w:tc>
      </w:tr>
      <w:tr w14:paraId="23342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4" w:type="dxa"/>
            <w:vMerge w:val="continue"/>
            <w:tcBorders>
              <w:top w:val="nil"/>
              <w:left w:val="single" w:color="000000" w:sz="6" w:space="0"/>
              <w:bottom w:val="nil"/>
              <w:right w:val="single" w:color="000000" w:sz="6" w:space="0"/>
            </w:tcBorders>
            <w:vAlign w:val="top"/>
          </w:tcPr>
          <w:p w14:paraId="286A8328">
            <w:pPr>
              <w:rPr>
                <w:rFonts w:ascii="Arial"/>
                <w:sz w:val="21"/>
              </w:rPr>
            </w:pPr>
          </w:p>
        </w:tc>
        <w:tc>
          <w:tcPr>
            <w:tcW w:w="506" w:type="dxa"/>
            <w:tcBorders>
              <w:left w:val="single" w:color="000000" w:sz="6" w:space="0"/>
            </w:tcBorders>
            <w:vAlign w:val="top"/>
          </w:tcPr>
          <w:p w14:paraId="5E182B29">
            <w:pPr>
              <w:spacing w:before="73" w:line="195" w:lineRule="auto"/>
              <w:ind w:left="21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1016" w:type="dxa"/>
            <w:gridSpan w:val="2"/>
            <w:vAlign w:val="top"/>
          </w:tcPr>
          <w:p w14:paraId="2E78ABE6">
            <w:pPr>
              <w:pStyle w:val="6"/>
              <w:spacing w:before="37" w:line="212" w:lineRule="auto"/>
              <w:ind w:left="89"/>
            </w:pPr>
            <w:r>
              <w:rPr>
                <w:spacing w:val="7"/>
              </w:rPr>
              <w:t>其他用地</w:t>
            </w:r>
          </w:p>
        </w:tc>
        <w:tc>
          <w:tcPr>
            <w:tcW w:w="1496" w:type="dxa"/>
            <w:gridSpan w:val="2"/>
            <w:vAlign w:val="top"/>
          </w:tcPr>
          <w:p w14:paraId="1DF41E09">
            <w:pPr>
              <w:pStyle w:val="6"/>
              <w:spacing w:before="37" w:line="212" w:lineRule="auto"/>
              <w:ind w:left="224"/>
            </w:pPr>
            <w:r>
              <w:rPr>
                <w:spacing w:val="8"/>
              </w:rPr>
              <w:t>裸岩石砾地</w:t>
            </w:r>
          </w:p>
        </w:tc>
        <w:tc>
          <w:tcPr>
            <w:tcW w:w="1151" w:type="dxa"/>
            <w:gridSpan w:val="2"/>
            <w:vAlign w:val="top"/>
          </w:tcPr>
          <w:p w14:paraId="3CEAB355">
            <w:pPr>
              <w:spacing w:before="73" w:line="195" w:lineRule="auto"/>
              <w:ind w:left="3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0.48</w:t>
            </w:r>
          </w:p>
        </w:tc>
        <w:tc>
          <w:tcPr>
            <w:tcW w:w="1253" w:type="dxa"/>
            <w:gridSpan w:val="2"/>
            <w:vAlign w:val="top"/>
          </w:tcPr>
          <w:p w14:paraId="77C72CC6">
            <w:pPr>
              <w:spacing w:before="73" w:line="195" w:lineRule="auto"/>
              <w:ind w:left="45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0.06</w:t>
            </w:r>
          </w:p>
        </w:tc>
        <w:tc>
          <w:tcPr>
            <w:tcW w:w="1253" w:type="dxa"/>
            <w:gridSpan w:val="2"/>
            <w:vAlign w:val="top"/>
          </w:tcPr>
          <w:p w14:paraId="677F0B03">
            <w:pPr>
              <w:spacing w:before="69" w:line="199" w:lineRule="auto"/>
              <w:ind w:left="5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59" w:type="dxa"/>
            <w:gridSpan w:val="2"/>
            <w:vAlign w:val="top"/>
          </w:tcPr>
          <w:p w14:paraId="276D73F2">
            <w:pPr>
              <w:spacing w:before="69" w:line="199" w:lineRule="auto"/>
              <w:ind w:left="60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29" w:type="dxa"/>
            <w:tcBorders>
              <w:top w:val="nil"/>
              <w:bottom w:val="nil"/>
              <w:right w:val="single" w:color="000000" w:sz="6" w:space="0"/>
            </w:tcBorders>
            <w:vAlign w:val="top"/>
          </w:tcPr>
          <w:p w14:paraId="43155A1D">
            <w:pPr>
              <w:rPr>
                <w:rFonts w:ascii="Arial"/>
                <w:sz w:val="21"/>
              </w:rPr>
            </w:pPr>
          </w:p>
        </w:tc>
      </w:tr>
      <w:tr w14:paraId="4A250B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64" w:type="dxa"/>
            <w:vMerge w:val="continue"/>
            <w:tcBorders>
              <w:top w:val="nil"/>
              <w:left w:val="single" w:color="000000" w:sz="6" w:space="0"/>
              <w:bottom w:val="nil"/>
              <w:right w:val="single" w:color="000000" w:sz="6" w:space="0"/>
            </w:tcBorders>
            <w:vAlign w:val="top"/>
          </w:tcPr>
          <w:p w14:paraId="51A77FF3">
            <w:pPr>
              <w:rPr>
                <w:rFonts w:ascii="Arial"/>
                <w:sz w:val="21"/>
              </w:rPr>
            </w:pPr>
          </w:p>
        </w:tc>
        <w:tc>
          <w:tcPr>
            <w:tcW w:w="3018" w:type="dxa"/>
            <w:gridSpan w:val="5"/>
            <w:tcBorders>
              <w:left w:val="single" w:color="000000" w:sz="6" w:space="0"/>
            </w:tcBorders>
            <w:vAlign w:val="top"/>
          </w:tcPr>
          <w:p w14:paraId="4FCD2E90">
            <w:pPr>
              <w:pStyle w:val="6"/>
              <w:spacing w:before="38" w:line="212" w:lineRule="auto"/>
              <w:ind w:left="1356"/>
            </w:pPr>
            <w:r>
              <w:rPr>
                <w:spacing w:val="4"/>
              </w:rPr>
              <w:t>合计</w:t>
            </w:r>
          </w:p>
        </w:tc>
        <w:tc>
          <w:tcPr>
            <w:tcW w:w="1151" w:type="dxa"/>
            <w:gridSpan w:val="2"/>
            <w:vAlign w:val="top"/>
          </w:tcPr>
          <w:p w14:paraId="0B5FE420">
            <w:pPr>
              <w:spacing w:before="74" w:line="195" w:lineRule="auto"/>
              <w:ind w:left="29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813.88</w:t>
            </w:r>
          </w:p>
        </w:tc>
        <w:tc>
          <w:tcPr>
            <w:tcW w:w="1253" w:type="dxa"/>
            <w:gridSpan w:val="2"/>
            <w:vAlign w:val="top"/>
          </w:tcPr>
          <w:p w14:paraId="2E474182">
            <w:pPr>
              <w:spacing w:before="74" w:line="195" w:lineRule="auto"/>
              <w:ind w:left="49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1253" w:type="dxa"/>
            <w:gridSpan w:val="2"/>
            <w:vAlign w:val="top"/>
          </w:tcPr>
          <w:p w14:paraId="5C1B6D7B">
            <w:pPr>
              <w:spacing w:before="74" w:line="195" w:lineRule="auto"/>
              <w:ind w:left="39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0.515</w:t>
            </w:r>
          </w:p>
        </w:tc>
        <w:tc>
          <w:tcPr>
            <w:tcW w:w="1259" w:type="dxa"/>
            <w:gridSpan w:val="2"/>
            <w:vAlign w:val="top"/>
          </w:tcPr>
          <w:p w14:paraId="029AACD6">
            <w:pPr>
              <w:spacing w:before="74" w:line="195" w:lineRule="auto"/>
              <w:ind w:left="42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1.447</w:t>
            </w:r>
          </w:p>
        </w:tc>
        <w:tc>
          <w:tcPr>
            <w:tcW w:w="129" w:type="dxa"/>
            <w:tcBorders>
              <w:top w:val="nil"/>
              <w:bottom w:val="nil"/>
              <w:right w:val="single" w:color="000000" w:sz="6" w:space="0"/>
            </w:tcBorders>
            <w:vAlign w:val="top"/>
          </w:tcPr>
          <w:p w14:paraId="7AFF5556">
            <w:pPr>
              <w:rPr>
                <w:rFonts w:ascii="Arial"/>
                <w:sz w:val="21"/>
              </w:rPr>
            </w:pPr>
          </w:p>
        </w:tc>
      </w:tr>
      <w:tr w14:paraId="366377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1" w:hRule="atLeast"/>
        </w:trPr>
        <w:tc>
          <w:tcPr>
            <w:tcW w:w="464" w:type="dxa"/>
            <w:vMerge w:val="continue"/>
            <w:tcBorders>
              <w:top w:val="nil"/>
              <w:left w:val="single" w:color="000000" w:sz="6" w:space="0"/>
              <w:bottom w:val="nil"/>
              <w:right w:val="single" w:color="000000" w:sz="6" w:space="0"/>
            </w:tcBorders>
            <w:vAlign w:val="top"/>
          </w:tcPr>
          <w:p w14:paraId="253594B0">
            <w:pPr>
              <w:rPr>
                <w:rFonts w:ascii="Arial"/>
                <w:sz w:val="21"/>
              </w:rPr>
            </w:pPr>
          </w:p>
        </w:tc>
        <w:tc>
          <w:tcPr>
            <w:tcW w:w="8063" w:type="dxa"/>
            <w:gridSpan w:val="14"/>
            <w:tcBorders>
              <w:left w:val="single" w:color="000000" w:sz="6" w:space="0"/>
              <w:right w:val="single" w:color="000000" w:sz="6" w:space="0"/>
            </w:tcBorders>
            <w:vAlign w:val="top"/>
          </w:tcPr>
          <w:p w14:paraId="27032AAB">
            <w:pPr>
              <w:pStyle w:val="6"/>
              <w:spacing w:before="43" w:line="219" w:lineRule="auto"/>
              <w:ind w:left="110"/>
              <w:rPr>
                <w:sz w:val="24"/>
                <w:szCs w:val="24"/>
              </w:rPr>
            </w:pPr>
            <w:r>
              <w:rPr>
                <w:rFonts w:ascii="Times New Roman" w:hAnsi="Times New Roman" w:eastAsia="Times New Roman" w:cs="Times New Roman"/>
                <w:b/>
                <w:bCs/>
                <w:spacing w:val="-3"/>
                <w:sz w:val="24"/>
                <w:szCs w:val="24"/>
              </w:rPr>
              <w:t xml:space="preserve">1.2 </w:t>
            </w:r>
            <w:r>
              <w:rPr>
                <w:b/>
                <w:bCs/>
                <w:spacing w:val="-3"/>
                <w:sz w:val="24"/>
                <w:szCs w:val="24"/>
              </w:rPr>
              <w:t>项目区植被现状</w:t>
            </w:r>
          </w:p>
          <w:p w14:paraId="6465E45A">
            <w:pPr>
              <w:pStyle w:val="6"/>
              <w:spacing w:before="181" w:line="359" w:lineRule="auto"/>
              <w:ind w:left="103" w:right="73" w:firstLine="480"/>
              <w:jc w:val="both"/>
              <w:rPr>
                <w:sz w:val="24"/>
                <w:szCs w:val="24"/>
              </w:rPr>
            </w:pPr>
            <w:r>
              <w:rPr>
                <w:spacing w:val="-2"/>
                <w:sz w:val="24"/>
                <w:szCs w:val="24"/>
              </w:rPr>
              <w:t>本项目评价区域无自然保护区、风景名胜区、世界文化和自然遗产地、森林公园、地质公园、天然林、珍稀濒危野</w:t>
            </w:r>
            <w:r>
              <w:rPr>
                <w:spacing w:val="-3"/>
                <w:sz w:val="24"/>
                <w:szCs w:val="24"/>
              </w:rPr>
              <w:t>生动植物天然集中分布区等生态</w:t>
            </w:r>
            <w:r>
              <w:rPr>
                <w:spacing w:val="-2"/>
                <w:sz w:val="24"/>
                <w:szCs w:val="24"/>
              </w:rPr>
              <w:t>环境敏感区分布。</w:t>
            </w:r>
          </w:p>
          <w:p w14:paraId="64D552FF">
            <w:pPr>
              <w:pStyle w:val="6"/>
              <w:spacing w:line="359" w:lineRule="auto"/>
              <w:ind w:left="103" w:right="41" w:firstLine="480"/>
              <w:jc w:val="both"/>
              <w:rPr>
                <w:sz w:val="24"/>
                <w:szCs w:val="24"/>
              </w:rPr>
            </w:pPr>
            <w:r>
              <w:rPr>
                <w:spacing w:val="-5"/>
                <w:sz w:val="24"/>
                <w:szCs w:val="24"/>
              </w:rPr>
              <w:t>本项目</w:t>
            </w:r>
            <w:r>
              <w:rPr>
                <w:spacing w:val="-25"/>
                <w:sz w:val="24"/>
                <w:szCs w:val="24"/>
              </w:rPr>
              <w:t xml:space="preserve"> </w:t>
            </w:r>
            <w:r>
              <w:rPr>
                <w:rFonts w:ascii="Times New Roman" w:hAnsi="Times New Roman" w:eastAsia="Times New Roman" w:cs="Times New Roman"/>
                <w:spacing w:val="-5"/>
                <w:sz w:val="24"/>
                <w:szCs w:val="24"/>
              </w:rPr>
              <w:t xml:space="preserve">110kV </w:t>
            </w:r>
            <w:r>
              <w:rPr>
                <w:spacing w:val="-5"/>
                <w:sz w:val="24"/>
                <w:szCs w:val="24"/>
              </w:rPr>
              <w:t>松山变电站和架空线路沿线所在周边区域村寨多，为农作</w:t>
            </w:r>
            <w:r>
              <w:rPr>
                <w:spacing w:val="-8"/>
                <w:sz w:val="24"/>
                <w:szCs w:val="24"/>
              </w:rPr>
              <w:t>物种植区，耕地分布广泛，面积大，开发较早，农业经济发达，垦殖率较高，</w:t>
            </w:r>
            <w:r>
              <w:rPr>
                <w:spacing w:val="-2"/>
                <w:sz w:val="24"/>
                <w:szCs w:val="24"/>
              </w:rPr>
              <w:t>无原生、次生植被存在，现有植被主要是经</w:t>
            </w:r>
            <w:r>
              <w:rPr>
                <w:spacing w:val="-3"/>
                <w:sz w:val="24"/>
                <w:szCs w:val="24"/>
              </w:rPr>
              <w:t>人为干扰破坏后形成的人工植被</w:t>
            </w:r>
            <w:r>
              <w:rPr>
                <w:spacing w:val="-2"/>
                <w:sz w:val="24"/>
                <w:szCs w:val="24"/>
              </w:rPr>
              <w:t>（如桉树林</w:t>
            </w:r>
            <w:r>
              <w:rPr>
                <w:spacing w:val="8"/>
                <w:sz w:val="24"/>
                <w:szCs w:val="24"/>
              </w:rPr>
              <w:t>），</w:t>
            </w:r>
            <w:r>
              <w:rPr>
                <w:spacing w:val="-2"/>
                <w:sz w:val="24"/>
                <w:szCs w:val="24"/>
              </w:rPr>
              <w:t>农作物有烤烟、桑叶、玉米等，经济林有桉树林、果林等。</w:t>
            </w:r>
          </w:p>
          <w:p w14:paraId="58032EB8">
            <w:pPr>
              <w:pStyle w:val="6"/>
              <w:spacing w:line="210" w:lineRule="auto"/>
              <w:ind w:left="2212"/>
              <w:rPr>
                <w:sz w:val="24"/>
                <w:szCs w:val="24"/>
              </w:rPr>
            </w:pPr>
            <w:r>
              <w:rPr>
                <w:b/>
                <w:bCs/>
                <w:spacing w:val="-2"/>
                <w:sz w:val="24"/>
                <w:szCs w:val="24"/>
              </w:rPr>
              <w:t>表</w:t>
            </w:r>
            <w:r>
              <w:rPr>
                <w:spacing w:val="-49"/>
                <w:sz w:val="24"/>
                <w:szCs w:val="24"/>
              </w:rPr>
              <w:t xml:space="preserve"> </w:t>
            </w:r>
            <w:r>
              <w:rPr>
                <w:rFonts w:ascii="Times New Roman" w:hAnsi="Times New Roman" w:eastAsia="Times New Roman" w:cs="Times New Roman"/>
                <w:b/>
                <w:bCs/>
                <w:spacing w:val="-2"/>
                <w:sz w:val="24"/>
                <w:szCs w:val="24"/>
              </w:rPr>
              <w:t xml:space="preserve">3-2      </w:t>
            </w:r>
            <w:r>
              <w:rPr>
                <w:b/>
                <w:bCs/>
                <w:spacing w:val="-2"/>
                <w:sz w:val="24"/>
                <w:szCs w:val="24"/>
              </w:rPr>
              <w:t>评价区内植被现状统计表</w:t>
            </w:r>
          </w:p>
        </w:tc>
      </w:tr>
      <w:tr w14:paraId="407C63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4" w:type="dxa"/>
            <w:vMerge w:val="continue"/>
            <w:tcBorders>
              <w:top w:val="nil"/>
              <w:left w:val="single" w:color="000000" w:sz="6" w:space="0"/>
              <w:bottom w:val="nil"/>
              <w:right w:val="single" w:color="000000" w:sz="6" w:space="0"/>
            </w:tcBorders>
            <w:vAlign w:val="top"/>
          </w:tcPr>
          <w:p w14:paraId="4ED30978">
            <w:pPr>
              <w:rPr>
                <w:rFonts w:ascii="Arial"/>
                <w:sz w:val="21"/>
              </w:rPr>
            </w:pPr>
          </w:p>
        </w:tc>
        <w:tc>
          <w:tcPr>
            <w:tcW w:w="842" w:type="dxa"/>
            <w:gridSpan w:val="2"/>
            <w:tcBorders>
              <w:left w:val="single" w:color="000000" w:sz="6" w:space="0"/>
            </w:tcBorders>
            <w:vAlign w:val="top"/>
          </w:tcPr>
          <w:p w14:paraId="2D2B4F40">
            <w:pPr>
              <w:pStyle w:val="6"/>
              <w:spacing w:before="43" w:line="206" w:lineRule="auto"/>
              <w:ind w:left="257"/>
            </w:pPr>
            <w:r>
              <w:rPr>
                <w:b/>
                <w:bCs/>
                <w:spacing w:val="-9"/>
              </w:rPr>
              <w:t>号</w:t>
            </w:r>
            <w:r>
              <w:rPr>
                <w:spacing w:val="-9"/>
              </w:rPr>
              <w:t xml:space="preserve"> </w:t>
            </w:r>
            <w:r>
              <w:rPr>
                <w:b/>
                <w:bCs/>
                <w:spacing w:val="-9"/>
              </w:rPr>
              <w:t>序</w:t>
            </w:r>
          </w:p>
        </w:tc>
        <w:tc>
          <w:tcPr>
            <w:tcW w:w="1510" w:type="dxa"/>
            <w:gridSpan w:val="2"/>
            <w:vAlign w:val="top"/>
          </w:tcPr>
          <w:p w14:paraId="758885B9">
            <w:pPr>
              <w:pStyle w:val="6"/>
              <w:spacing w:before="42" w:line="207" w:lineRule="auto"/>
              <w:ind w:left="336"/>
            </w:pPr>
            <w:r>
              <w:rPr>
                <w:b/>
                <w:bCs/>
                <w:spacing w:val="6"/>
              </w:rPr>
              <w:t>植被类型</w:t>
            </w:r>
          </w:p>
        </w:tc>
        <w:tc>
          <w:tcPr>
            <w:tcW w:w="1012" w:type="dxa"/>
            <w:gridSpan w:val="2"/>
            <w:vAlign w:val="top"/>
          </w:tcPr>
          <w:p w14:paraId="744B711E">
            <w:pPr>
              <w:pStyle w:val="6"/>
              <w:spacing w:before="42" w:line="207" w:lineRule="auto"/>
              <w:ind w:left="91"/>
              <w:rPr>
                <w:rFonts w:ascii="Times New Roman" w:hAnsi="Times New Roman" w:eastAsia="Times New Roman" w:cs="Times New Roman"/>
                <w:sz w:val="13"/>
                <w:szCs w:val="13"/>
              </w:rPr>
            </w:pPr>
            <w:r>
              <w:rPr>
                <w:b/>
                <w:bCs/>
                <w:spacing w:val="6"/>
              </w:rPr>
              <w:t>面积</w:t>
            </w:r>
            <w:r>
              <w:rPr>
                <w:rFonts w:ascii="Times New Roman" w:hAnsi="Times New Roman" w:eastAsia="Times New Roman" w:cs="Times New Roman"/>
                <w:b/>
                <w:bCs/>
                <w:spacing w:val="6"/>
              </w:rPr>
              <w:t>/</w:t>
            </w:r>
            <w:r>
              <w:rPr>
                <w:rFonts w:ascii="Times New Roman" w:hAnsi="Times New Roman" w:eastAsia="Times New Roman" w:cs="Times New Roman"/>
                <w:b/>
                <w:bCs/>
              </w:rPr>
              <w:t>hm</w:t>
            </w:r>
            <w:r>
              <w:rPr>
                <w:rFonts w:ascii="Times New Roman" w:hAnsi="Times New Roman" w:eastAsia="Times New Roman" w:cs="Times New Roman"/>
                <w:b/>
                <w:bCs/>
                <w:spacing w:val="6"/>
                <w:position w:val="6"/>
                <w:sz w:val="13"/>
                <w:szCs w:val="13"/>
              </w:rPr>
              <w:t>2</w:t>
            </w:r>
          </w:p>
        </w:tc>
        <w:tc>
          <w:tcPr>
            <w:tcW w:w="981" w:type="dxa"/>
            <w:gridSpan w:val="2"/>
            <w:vAlign w:val="top"/>
          </w:tcPr>
          <w:p w14:paraId="7FD58B10">
            <w:pPr>
              <w:pStyle w:val="6"/>
              <w:spacing w:before="42" w:line="207" w:lineRule="auto"/>
              <w:ind w:left="53"/>
              <w:rPr>
                <w:rFonts w:ascii="Times New Roman" w:hAnsi="Times New Roman" w:eastAsia="Times New Roman" w:cs="Times New Roman"/>
              </w:rPr>
            </w:pPr>
            <w:r>
              <w:rPr>
                <w:b/>
                <w:bCs/>
                <w:spacing w:val="4"/>
              </w:rPr>
              <w:t>百分比</w:t>
            </w:r>
            <w:r>
              <w:rPr>
                <w:rFonts w:ascii="Times New Roman" w:hAnsi="Times New Roman" w:eastAsia="Times New Roman" w:cs="Times New Roman"/>
                <w:b/>
                <w:bCs/>
                <w:spacing w:val="4"/>
              </w:rPr>
              <w:t>/%</w:t>
            </w:r>
          </w:p>
        </w:tc>
        <w:tc>
          <w:tcPr>
            <w:tcW w:w="1760" w:type="dxa"/>
            <w:gridSpan w:val="2"/>
            <w:vAlign w:val="top"/>
          </w:tcPr>
          <w:p w14:paraId="17EB8D6D">
            <w:pPr>
              <w:pStyle w:val="6"/>
              <w:spacing w:before="42" w:line="207" w:lineRule="auto"/>
              <w:ind w:left="58"/>
              <w:rPr>
                <w:rFonts w:ascii="Times New Roman" w:hAnsi="Times New Roman" w:eastAsia="Times New Roman" w:cs="Times New Roman"/>
                <w:sz w:val="13"/>
                <w:szCs w:val="13"/>
              </w:rPr>
            </w:pPr>
            <w:r>
              <w:rPr>
                <w:b/>
                <w:bCs/>
                <w:spacing w:val="6"/>
              </w:rPr>
              <w:t>临时占地面积</w:t>
            </w:r>
            <w:r>
              <w:rPr>
                <w:rFonts w:ascii="Times New Roman" w:hAnsi="Times New Roman" w:eastAsia="Times New Roman" w:cs="Times New Roman"/>
                <w:b/>
                <w:bCs/>
                <w:spacing w:val="6"/>
              </w:rPr>
              <w:t>/</w:t>
            </w:r>
            <w:r>
              <w:rPr>
                <w:rFonts w:ascii="Times New Roman" w:hAnsi="Times New Roman" w:eastAsia="Times New Roman" w:cs="Times New Roman"/>
                <w:b/>
                <w:bCs/>
              </w:rPr>
              <w:t>hm</w:t>
            </w:r>
            <w:r>
              <w:rPr>
                <w:rFonts w:ascii="Times New Roman" w:hAnsi="Times New Roman" w:eastAsia="Times New Roman" w:cs="Times New Roman"/>
                <w:b/>
                <w:bCs/>
                <w:spacing w:val="6"/>
                <w:position w:val="6"/>
                <w:sz w:val="13"/>
                <w:szCs w:val="13"/>
              </w:rPr>
              <w:t>2</w:t>
            </w:r>
          </w:p>
        </w:tc>
        <w:tc>
          <w:tcPr>
            <w:tcW w:w="1796" w:type="dxa"/>
            <w:gridSpan w:val="2"/>
            <w:vAlign w:val="top"/>
          </w:tcPr>
          <w:p w14:paraId="72841682">
            <w:pPr>
              <w:pStyle w:val="6"/>
              <w:spacing w:before="42" w:line="207" w:lineRule="auto"/>
              <w:ind w:left="69"/>
              <w:rPr>
                <w:rFonts w:ascii="Times New Roman" w:hAnsi="Times New Roman" w:eastAsia="Times New Roman" w:cs="Times New Roman"/>
                <w:sz w:val="13"/>
                <w:szCs w:val="13"/>
              </w:rPr>
            </w:pPr>
            <w:r>
              <w:rPr>
                <w:b/>
                <w:bCs/>
                <w:spacing w:val="7"/>
              </w:rPr>
              <w:t>永久占地面积</w:t>
            </w:r>
            <w:r>
              <w:rPr>
                <w:rFonts w:ascii="Times New Roman" w:hAnsi="Times New Roman" w:eastAsia="Times New Roman" w:cs="Times New Roman"/>
                <w:b/>
                <w:bCs/>
                <w:spacing w:val="7"/>
              </w:rPr>
              <w:t>/</w:t>
            </w:r>
            <w:r>
              <w:rPr>
                <w:rFonts w:ascii="Times New Roman" w:hAnsi="Times New Roman" w:eastAsia="Times New Roman" w:cs="Times New Roman"/>
                <w:b/>
                <w:bCs/>
              </w:rPr>
              <w:t>hm</w:t>
            </w:r>
            <w:r>
              <w:rPr>
                <w:rFonts w:ascii="Times New Roman" w:hAnsi="Times New Roman" w:eastAsia="Times New Roman" w:cs="Times New Roman"/>
                <w:b/>
                <w:bCs/>
                <w:spacing w:val="7"/>
                <w:position w:val="6"/>
                <w:sz w:val="13"/>
                <w:szCs w:val="13"/>
              </w:rPr>
              <w:t>2</w:t>
            </w:r>
          </w:p>
        </w:tc>
        <w:tc>
          <w:tcPr>
            <w:tcW w:w="162" w:type="dxa"/>
            <w:gridSpan w:val="2"/>
            <w:vMerge w:val="restart"/>
            <w:tcBorders>
              <w:top w:val="nil"/>
              <w:bottom w:val="nil"/>
              <w:right w:val="single" w:color="000000" w:sz="6" w:space="0"/>
            </w:tcBorders>
            <w:vAlign w:val="top"/>
          </w:tcPr>
          <w:p w14:paraId="5696E1FD">
            <w:pPr>
              <w:rPr>
                <w:rFonts w:ascii="Arial"/>
                <w:sz w:val="21"/>
              </w:rPr>
            </w:pPr>
          </w:p>
        </w:tc>
      </w:tr>
      <w:tr w14:paraId="44902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4" w:type="dxa"/>
            <w:vMerge w:val="continue"/>
            <w:tcBorders>
              <w:top w:val="nil"/>
              <w:left w:val="single" w:color="000000" w:sz="6" w:space="0"/>
              <w:bottom w:val="nil"/>
              <w:right w:val="single" w:color="000000" w:sz="6" w:space="0"/>
            </w:tcBorders>
            <w:vAlign w:val="top"/>
          </w:tcPr>
          <w:p w14:paraId="415C6B50">
            <w:pPr>
              <w:rPr>
                <w:rFonts w:ascii="Arial"/>
                <w:sz w:val="21"/>
              </w:rPr>
            </w:pPr>
          </w:p>
        </w:tc>
        <w:tc>
          <w:tcPr>
            <w:tcW w:w="842" w:type="dxa"/>
            <w:gridSpan w:val="2"/>
            <w:tcBorders>
              <w:left w:val="single" w:color="000000" w:sz="6" w:space="0"/>
            </w:tcBorders>
            <w:vAlign w:val="top"/>
          </w:tcPr>
          <w:p w14:paraId="3A1EC76C">
            <w:pPr>
              <w:spacing w:before="80" w:line="195" w:lineRule="auto"/>
              <w:ind w:left="455"/>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510" w:type="dxa"/>
            <w:gridSpan w:val="2"/>
            <w:vAlign w:val="top"/>
          </w:tcPr>
          <w:p w14:paraId="608809EE">
            <w:pPr>
              <w:pStyle w:val="6"/>
              <w:spacing w:before="43" w:line="206" w:lineRule="auto"/>
              <w:ind w:left="229"/>
            </w:pPr>
            <w:r>
              <w:rPr>
                <w:spacing w:val="8"/>
              </w:rPr>
              <w:t>稀树灌草丛</w:t>
            </w:r>
          </w:p>
        </w:tc>
        <w:tc>
          <w:tcPr>
            <w:tcW w:w="1012" w:type="dxa"/>
            <w:gridSpan w:val="2"/>
            <w:vAlign w:val="top"/>
          </w:tcPr>
          <w:p w14:paraId="55D9D5AB">
            <w:pPr>
              <w:spacing w:before="65" w:line="195" w:lineRule="auto"/>
              <w:ind w:left="32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5.66</w:t>
            </w:r>
          </w:p>
        </w:tc>
        <w:tc>
          <w:tcPr>
            <w:tcW w:w="981" w:type="dxa"/>
            <w:gridSpan w:val="2"/>
            <w:vAlign w:val="top"/>
          </w:tcPr>
          <w:p w14:paraId="4570393E">
            <w:pPr>
              <w:spacing w:before="65"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0.70</w:t>
            </w:r>
          </w:p>
        </w:tc>
        <w:tc>
          <w:tcPr>
            <w:tcW w:w="1760" w:type="dxa"/>
            <w:gridSpan w:val="2"/>
            <w:vAlign w:val="top"/>
          </w:tcPr>
          <w:p w14:paraId="4CA02522">
            <w:pPr>
              <w:spacing w:before="80" w:line="195" w:lineRule="auto"/>
              <w:ind w:left="70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w:t>
            </w:r>
          </w:p>
        </w:tc>
        <w:tc>
          <w:tcPr>
            <w:tcW w:w="1796" w:type="dxa"/>
            <w:gridSpan w:val="2"/>
            <w:vAlign w:val="top"/>
          </w:tcPr>
          <w:p w14:paraId="24787ECF">
            <w:pPr>
              <w:spacing w:before="80" w:line="195" w:lineRule="auto"/>
              <w:ind w:left="7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w:t>
            </w:r>
          </w:p>
        </w:tc>
        <w:tc>
          <w:tcPr>
            <w:tcW w:w="162" w:type="dxa"/>
            <w:gridSpan w:val="2"/>
            <w:vMerge w:val="continue"/>
            <w:tcBorders>
              <w:top w:val="nil"/>
              <w:bottom w:val="nil"/>
              <w:right w:val="single" w:color="000000" w:sz="6" w:space="0"/>
            </w:tcBorders>
            <w:vAlign w:val="top"/>
          </w:tcPr>
          <w:p w14:paraId="21409743">
            <w:pPr>
              <w:rPr>
                <w:rFonts w:ascii="Arial"/>
                <w:sz w:val="21"/>
              </w:rPr>
            </w:pPr>
          </w:p>
        </w:tc>
      </w:tr>
      <w:tr w14:paraId="1C312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4" w:type="dxa"/>
            <w:vMerge w:val="continue"/>
            <w:tcBorders>
              <w:top w:val="nil"/>
              <w:left w:val="single" w:color="000000" w:sz="6" w:space="0"/>
              <w:bottom w:val="nil"/>
              <w:right w:val="single" w:color="000000" w:sz="6" w:space="0"/>
            </w:tcBorders>
            <w:vAlign w:val="top"/>
          </w:tcPr>
          <w:p w14:paraId="2AAC19C2">
            <w:pPr>
              <w:rPr>
                <w:rFonts w:ascii="Arial"/>
                <w:sz w:val="21"/>
              </w:rPr>
            </w:pPr>
          </w:p>
        </w:tc>
        <w:tc>
          <w:tcPr>
            <w:tcW w:w="842" w:type="dxa"/>
            <w:gridSpan w:val="2"/>
            <w:tcBorders>
              <w:left w:val="single" w:color="000000" w:sz="6" w:space="0"/>
            </w:tcBorders>
            <w:vAlign w:val="top"/>
          </w:tcPr>
          <w:p w14:paraId="2FA6C651">
            <w:pPr>
              <w:spacing w:before="82" w:line="193" w:lineRule="auto"/>
              <w:ind w:left="434"/>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510" w:type="dxa"/>
            <w:gridSpan w:val="2"/>
            <w:vAlign w:val="top"/>
          </w:tcPr>
          <w:p w14:paraId="2F6FAC95">
            <w:pPr>
              <w:pStyle w:val="6"/>
              <w:spacing w:before="46" w:line="204" w:lineRule="auto"/>
              <w:ind w:left="232"/>
            </w:pPr>
            <w:r>
              <w:rPr>
                <w:spacing w:val="7"/>
              </w:rPr>
              <w:t>人工经济林</w:t>
            </w:r>
          </w:p>
        </w:tc>
        <w:tc>
          <w:tcPr>
            <w:tcW w:w="1012" w:type="dxa"/>
            <w:gridSpan w:val="2"/>
            <w:vAlign w:val="top"/>
          </w:tcPr>
          <w:p w14:paraId="160DD995">
            <w:pPr>
              <w:spacing w:before="64" w:line="195"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74.27</w:t>
            </w:r>
          </w:p>
        </w:tc>
        <w:tc>
          <w:tcPr>
            <w:tcW w:w="981" w:type="dxa"/>
            <w:gridSpan w:val="2"/>
            <w:vAlign w:val="top"/>
          </w:tcPr>
          <w:p w14:paraId="0B1AD9BD">
            <w:pPr>
              <w:spacing w:before="64" w:line="195" w:lineRule="auto"/>
              <w:ind w:left="3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9.13</w:t>
            </w:r>
          </w:p>
        </w:tc>
        <w:tc>
          <w:tcPr>
            <w:tcW w:w="1760" w:type="dxa"/>
            <w:gridSpan w:val="2"/>
            <w:vAlign w:val="top"/>
          </w:tcPr>
          <w:p w14:paraId="0F2C36A0">
            <w:pPr>
              <w:spacing w:before="82" w:line="193" w:lineRule="auto"/>
              <w:ind w:left="70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0.17</w:t>
            </w:r>
          </w:p>
        </w:tc>
        <w:tc>
          <w:tcPr>
            <w:tcW w:w="1796" w:type="dxa"/>
            <w:gridSpan w:val="2"/>
            <w:vAlign w:val="top"/>
          </w:tcPr>
          <w:p w14:paraId="4E89E4E6">
            <w:pPr>
              <w:spacing w:before="82" w:line="193" w:lineRule="auto"/>
              <w:ind w:left="7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62" w:type="dxa"/>
            <w:gridSpan w:val="2"/>
            <w:vMerge w:val="continue"/>
            <w:tcBorders>
              <w:top w:val="nil"/>
              <w:bottom w:val="nil"/>
              <w:right w:val="single" w:color="000000" w:sz="6" w:space="0"/>
            </w:tcBorders>
            <w:vAlign w:val="top"/>
          </w:tcPr>
          <w:p w14:paraId="0FE59BF4">
            <w:pPr>
              <w:rPr>
                <w:rFonts w:ascii="Arial"/>
                <w:sz w:val="21"/>
              </w:rPr>
            </w:pPr>
          </w:p>
        </w:tc>
      </w:tr>
      <w:tr w14:paraId="28609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4" w:type="dxa"/>
            <w:vMerge w:val="continue"/>
            <w:tcBorders>
              <w:top w:val="nil"/>
              <w:left w:val="single" w:color="000000" w:sz="6" w:space="0"/>
              <w:bottom w:val="nil"/>
              <w:right w:val="single" w:color="000000" w:sz="6" w:space="0"/>
            </w:tcBorders>
            <w:vAlign w:val="top"/>
          </w:tcPr>
          <w:p w14:paraId="0225BC35">
            <w:pPr>
              <w:rPr>
                <w:rFonts w:ascii="Arial"/>
                <w:sz w:val="21"/>
              </w:rPr>
            </w:pPr>
          </w:p>
        </w:tc>
        <w:tc>
          <w:tcPr>
            <w:tcW w:w="842" w:type="dxa"/>
            <w:gridSpan w:val="2"/>
            <w:tcBorders>
              <w:left w:val="single" w:color="000000" w:sz="6" w:space="0"/>
            </w:tcBorders>
            <w:vAlign w:val="top"/>
          </w:tcPr>
          <w:p w14:paraId="753CEBBC">
            <w:pPr>
              <w:spacing w:before="80" w:line="195" w:lineRule="auto"/>
              <w:ind w:left="439"/>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510" w:type="dxa"/>
            <w:gridSpan w:val="2"/>
            <w:vAlign w:val="top"/>
          </w:tcPr>
          <w:p w14:paraId="096C3D0C">
            <w:pPr>
              <w:pStyle w:val="6"/>
              <w:spacing w:before="43" w:line="206" w:lineRule="auto"/>
              <w:ind w:left="441"/>
            </w:pPr>
            <w:r>
              <w:rPr>
                <w:spacing w:val="6"/>
              </w:rPr>
              <w:t>农作物</w:t>
            </w:r>
          </w:p>
        </w:tc>
        <w:tc>
          <w:tcPr>
            <w:tcW w:w="1012" w:type="dxa"/>
            <w:gridSpan w:val="2"/>
            <w:vAlign w:val="top"/>
          </w:tcPr>
          <w:p w14:paraId="1110C06C">
            <w:pPr>
              <w:spacing w:before="65" w:line="195" w:lineRule="auto"/>
              <w:ind w:left="22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689.43</w:t>
            </w:r>
          </w:p>
        </w:tc>
        <w:tc>
          <w:tcPr>
            <w:tcW w:w="981" w:type="dxa"/>
            <w:gridSpan w:val="2"/>
            <w:vAlign w:val="top"/>
          </w:tcPr>
          <w:p w14:paraId="74CD4413">
            <w:pPr>
              <w:spacing w:before="65" w:line="195" w:lineRule="auto"/>
              <w:ind w:left="2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84.71</w:t>
            </w:r>
          </w:p>
        </w:tc>
        <w:tc>
          <w:tcPr>
            <w:tcW w:w="1760" w:type="dxa"/>
            <w:gridSpan w:val="2"/>
            <w:vAlign w:val="top"/>
          </w:tcPr>
          <w:p w14:paraId="3E0CAE5F">
            <w:pPr>
              <w:spacing w:before="80" w:line="195" w:lineRule="auto"/>
              <w:ind w:left="65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0.345</w:t>
            </w:r>
          </w:p>
        </w:tc>
        <w:tc>
          <w:tcPr>
            <w:tcW w:w="1796" w:type="dxa"/>
            <w:gridSpan w:val="2"/>
            <w:vAlign w:val="top"/>
          </w:tcPr>
          <w:p w14:paraId="298281EA">
            <w:pPr>
              <w:spacing w:before="80" w:line="195" w:lineRule="auto"/>
              <w:ind w:left="68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1.397</w:t>
            </w:r>
          </w:p>
        </w:tc>
        <w:tc>
          <w:tcPr>
            <w:tcW w:w="162" w:type="dxa"/>
            <w:gridSpan w:val="2"/>
            <w:vMerge w:val="continue"/>
            <w:tcBorders>
              <w:top w:val="nil"/>
              <w:bottom w:val="nil"/>
              <w:right w:val="single" w:color="000000" w:sz="6" w:space="0"/>
            </w:tcBorders>
            <w:vAlign w:val="top"/>
          </w:tcPr>
          <w:p w14:paraId="508EEA61">
            <w:pPr>
              <w:rPr>
                <w:rFonts w:ascii="Arial"/>
                <w:sz w:val="21"/>
              </w:rPr>
            </w:pPr>
          </w:p>
        </w:tc>
      </w:tr>
      <w:tr w14:paraId="1034F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64" w:type="dxa"/>
            <w:vMerge w:val="continue"/>
            <w:tcBorders>
              <w:top w:val="nil"/>
              <w:left w:val="single" w:color="000000" w:sz="6" w:space="0"/>
              <w:bottom w:val="nil"/>
              <w:right w:val="single" w:color="000000" w:sz="6" w:space="0"/>
            </w:tcBorders>
            <w:vAlign w:val="top"/>
          </w:tcPr>
          <w:p w14:paraId="5549E846">
            <w:pPr>
              <w:rPr>
                <w:rFonts w:ascii="Arial"/>
                <w:sz w:val="21"/>
              </w:rPr>
            </w:pPr>
          </w:p>
        </w:tc>
        <w:tc>
          <w:tcPr>
            <w:tcW w:w="842" w:type="dxa"/>
            <w:gridSpan w:val="2"/>
            <w:tcBorders>
              <w:left w:val="single" w:color="000000" w:sz="6" w:space="0"/>
            </w:tcBorders>
            <w:vAlign w:val="top"/>
          </w:tcPr>
          <w:p w14:paraId="0F4FC315">
            <w:pPr>
              <w:spacing w:before="218" w:line="195" w:lineRule="auto"/>
              <w:ind w:left="43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510" w:type="dxa"/>
            <w:gridSpan w:val="2"/>
            <w:vAlign w:val="top"/>
          </w:tcPr>
          <w:p w14:paraId="0ED27C33">
            <w:pPr>
              <w:pStyle w:val="6"/>
              <w:spacing w:before="45" w:line="228" w:lineRule="auto"/>
              <w:ind w:left="151" w:right="22" w:hanging="130"/>
            </w:pPr>
            <w:r>
              <w:rPr>
                <w:spacing w:val="8"/>
              </w:rPr>
              <w:t>农村宅基地、农</w:t>
            </w:r>
            <w:r>
              <w:rPr>
                <w:spacing w:val="4"/>
              </w:rPr>
              <w:t>田果园看护房</w:t>
            </w:r>
          </w:p>
        </w:tc>
        <w:tc>
          <w:tcPr>
            <w:tcW w:w="1012" w:type="dxa"/>
            <w:gridSpan w:val="2"/>
            <w:vAlign w:val="top"/>
          </w:tcPr>
          <w:p w14:paraId="098A3FD0">
            <w:pPr>
              <w:spacing w:before="218" w:line="195" w:lineRule="auto"/>
              <w:ind w:left="28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17.01</w:t>
            </w:r>
          </w:p>
        </w:tc>
        <w:tc>
          <w:tcPr>
            <w:tcW w:w="981" w:type="dxa"/>
            <w:gridSpan w:val="2"/>
            <w:vAlign w:val="top"/>
          </w:tcPr>
          <w:p w14:paraId="202503D8">
            <w:pPr>
              <w:spacing w:before="66" w:line="195" w:lineRule="auto"/>
              <w:ind w:left="3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2.09</w:t>
            </w:r>
          </w:p>
        </w:tc>
        <w:tc>
          <w:tcPr>
            <w:tcW w:w="1760" w:type="dxa"/>
            <w:gridSpan w:val="2"/>
            <w:vAlign w:val="top"/>
          </w:tcPr>
          <w:p w14:paraId="7A942B6F">
            <w:pPr>
              <w:spacing w:before="214" w:line="199" w:lineRule="auto"/>
              <w:ind w:left="8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796" w:type="dxa"/>
            <w:gridSpan w:val="2"/>
            <w:vAlign w:val="top"/>
          </w:tcPr>
          <w:p w14:paraId="35E63DE6">
            <w:pPr>
              <w:spacing w:before="214" w:line="199"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 w:type="dxa"/>
            <w:gridSpan w:val="2"/>
            <w:vMerge w:val="continue"/>
            <w:tcBorders>
              <w:top w:val="nil"/>
              <w:bottom w:val="nil"/>
              <w:right w:val="single" w:color="000000" w:sz="6" w:space="0"/>
            </w:tcBorders>
            <w:vAlign w:val="top"/>
          </w:tcPr>
          <w:p w14:paraId="6AE5BA42">
            <w:pPr>
              <w:rPr>
                <w:rFonts w:ascii="Arial"/>
                <w:sz w:val="21"/>
              </w:rPr>
            </w:pPr>
          </w:p>
        </w:tc>
      </w:tr>
      <w:tr w14:paraId="0D36FA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464" w:type="dxa"/>
            <w:vMerge w:val="continue"/>
            <w:tcBorders>
              <w:top w:val="nil"/>
              <w:left w:val="single" w:color="000000" w:sz="6" w:space="0"/>
              <w:bottom w:val="single" w:color="000000" w:sz="6" w:space="0"/>
              <w:right w:val="single" w:color="000000" w:sz="6" w:space="0"/>
            </w:tcBorders>
            <w:vAlign w:val="top"/>
          </w:tcPr>
          <w:p w14:paraId="7A48DA84">
            <w:pPr>
              <w:rPr>
                <w:rFonts w:ascii="Arial"/>
                <w:sz w:val="21"/>
              </w:rPr>
            </w:pPr>
          </w:p>
        </w:tc>
        <w:tc>
          <w:tcPr>
            <w:tcW w:w="842" w:type="dxa"/>
            <w:gridSpan w:val="2"/>
            <w:tcBorders>
              <w:left w:val="single" w:color="000000" w:sz="6" w:space="0"/>
              <w:bottom w:val="single" w:color="000000" w:sz="6" w:space="0"/>
            </w:tcBorders>
            <w:vAlign w:val="top"/>
          </w:tcPr>
          <w:p w14:paraId="3E7CECC1">
            <w:pPr>
              <w:spacing w:before="84" w:line="192" w:lineRule="auto"/>
              <w:ind w:left="440"/>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510" w:type="dxa"/>
            <w:gridSpan w:val="2"/>
            <w:tcBorders>
              <w:bottom w:val="single" w:color="000000" w:sz="6" w:space="0"/>
            </w:tcBorders>
            <w:vAlign w:val="top"/>
          </w:tcPr>
          <w:p w14:paraId="46F3535C">
            <w:pPr>
              <w:pStyle w:val="6"/>
              <w:spacing w:before="46" w:line="215" w:lineRule="auto"/>
              <w:ind w:left="27"/>
            </w:pPr>
            <w:r>
              <w:rPr>
                <w:spacing w:val="7"/>
              </w:rPr>
              <w:t>高速公路、农村</w:t>
            </w:r>
          </w:p>
        </w:tc>
        <w:tc>
          <w:tcPr>
            <w:tcW w:w="1012" w:type="dxa"/>
            <w:gridSpan w:val="2"/>
            <w:tcBorders>
              <w:bottom w:val="single" w:color="000000" w:sz="6" w:space="0"/>
            </w:tcBorders>
            <w:vAlign w:val="top"/>
          </w:tcPr>
          <w:p w14:paraId="64F246AA">
            <w:pPr>
              <w:spacing w:before="81"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21.17</w:t>
            </w:r>
          </w:p>
        </w:tc>
        <w:tc>
          <w:tcPr>
            <w:tcW w:w="981" w:type="dxa"/>
            <w:gridSpan w:val="2"/>
            <w:tcBorders>
              <w:bottom w:val="single" w:color="000000" w:sz="6" w:space="0"/>
            </w:tcBorders>
            <w:vAlign w:val="top"/>
          </w:tcPr>
          <w:p w14:paraId="0C6AA85E">
            <w:pPr>
              <w:spacing w:before="67" w:line="195" w:lineRule="auto"/>
              <w:ind w:left="3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2.60</w:t>
            </w:r>
          </w:p>
        </w:tc>
        <w:tc>
          <w:tcPr>
            <w:tcW w:w="1760" w:type="dxa"/>
            <w:gridSpan w:val="2"/>
            <w:tcBorders>
              <w:bottom w:val="single" w:color="000000" w:sz="6" w:space="0"/>
            </w:tcBorders>
            <w:vAlign w:val="top"/>
          </w:tcPr>
          <w:p w14:paraId="2955AB98">
            <w:pPr>
              <w:spacing w:before="77" w:line="199" w:lineRule="auto"/>
              <w:ind w:left="8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796" w:type="dxa"/>
            <w:gridSpan w:val="2"/>
            <w:tcBorders>
              <w:bottom w:val="single" w:color="000000" w:sz="6" w:space="0"/>
            </w:tcBorders>
            <w:vAlign w:val="top"/>
          </w:tcPr>
          <w:p w14:paraId="16DC60A6">
            <w:pPr>
              <w:spacing w:before="77" w:line="199"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 w:type="dxa"/>
            <w:gridSpan w:val="2"/>
            <w:vMerge w:val="continue"/>
            <w:tcBorders>
              <w:top w:val="nil"/>
              <w:bottom w:val="single" w:color="000000" w:sz="6" w:space="0"/>
              <w:right w:val="single" w:color="000000" w:sz="6" w:space="0"/>
            </w:tcBorders>
            <w:vAlign w:val="top"/>
          </w:tcPr>
          <w:p w14:paraId="618A4B70">
            <w:pPr>
              <w:rPr>
                <w:rFonts w:ascii="Arial"/>
                <w:sz w:val="21"/>
              </w:rPr>
            </w:pPr>
          </w:p>
        </w:tc>
      </w:tr>
    </w:tbl>
    <w:p w14:paraId="0675D94B">
      <w:pPr>
        <w:rPr>
          <w:rFonts w:ascii="Arial"/>
          <w:sz w:val="21"/>
        </w:rPr>
      </w:pPr>
    </w:p>
    <w:p w14:paraId="6C629096">
      <w:pPr>
        <w:rPr>
          <w:rFonts w:ascii="Arial" w:hAnsi="Arial" w:eastAsia="Arial" w:cs="Arial"/>
          <w:sz w:val="21"/>
          <w:szCs w:val="21"/>
        </w:rPr>
        <w:sectPr>
          <w:footerReference r:id="rId74" w:type="default"/>
          <w:pgSz w:w="11907" w:h="16840"/>
          <w:pgMar w:top="400" w:right="1682" w:bottom="1240" w:left="1682" w:header="0" w:footer="1077" w:gutter="0"/>
          <w:cols w:space="720" w:num="1"/>
        </w:sectPr>
      </w:pPr>
    </w:p>
    <w:p w14:paraId="127D3397">
      <w:pPr>
        <w:spacing w:before="19"/>
      </w:pPr>
    </w:p>
    <w:p w14:paraId="4D2131B3">
      <w:pPr>
        <w:spacing w:before="19"/>
      </w:pPr>
    </w:p>
    <w:p w14:paraId="32B47244">
      <w:pPr>
        <w:spacing w:before="18"/>
      </w:pPr>
    </w:p>
    <w:p w14:paraId="347772E8">
      <w:pPr>
        <w:spacing w:before="18"/>
      </w:pPr>
    </w:p>
    <w:tbl>
      <w:tblPr>
        <w:tblStyle w:val="5"/>
        <w:tblW w:w="852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4"/>
        <w:gridCol w:w="153"/>
        <w:gridCol w:w="690"/>
        <w:gridCol w:w="1510"/>
        <w:gridCol w:w="1012"/>
        <w:gridCol w:w="980"/>
        <w:gridCol w:w="1760"/>
        <w:gridCol w:w="1796"/>
        <w:gridCol w:w="162"/>
      </w:tblGrid>
      <w:tr w14:paraId="25C18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464" w:type="dxa"/>
            <w:vMerge w:val="restart"/>
            <w:tcBorders>
              <w:top w:val="single" w:color="000000" w:sz="6" w:space="0"/>
              <w:left w:val="single" w:color="000000" w:sz="6" w:space="0"/>
              <w:bottom w:val="nil"/>
              <w:right w:val="single" w:color="000000" w:sz="6" w:space="0"/>
            </w:tcBorders>
            <w:vAlign w:val="top"/>
          </w:tcPr>
          <w:p w14:paraId="2F59FCA9">
            <w:pPr>
              <w:rPr>
                <w:rFonts w:ascii="Arial"/>
                <w:sz w:val="21"/>
              </w:rPr>
            </w:pPr>
          </w:p>
        </w:tc>
        <w:tc>
          <w:tcPr>
            <w:tcW w:w="153" w:type="dxa"/>
            <w:vMerge w:val="restart"/>
            <w:tcBorders>
              <w:top w:val="single" w:color="000000" w:sz="6" w:space="0"/>
              <w:left w:val="single" w:color="000000" w:sz="6" w:space="0"/>
              <w:bottom w:val="nil"/>
            </w:tcBorders>
            <w:vAlign w:val="top"/>
          </w:tcPr>
          <w:p w14:paraId="647D1EFA">
            <w:pPr>
              <w:rPr>
                <w:rFonts w:ascii="Arial"/>
                <w:sz w:val="21"/>
              </w:rPr>
            </w:pPr>
          </w:p>
        </w:tc>
        <w:tc>
          <w:tcPr>
            <w:tcW w:w="690" w:type="dxa"/>
            <w:tcBorders>
              <w:top w:val="single" w:color="000000" w:sz="6" w:space="0"/>
            </w:tcBorders>
            <w:vAlign w:val="top"/>
          </w:tcPr>
          <w:p w14:paraId="5C769B0B">
            <w:pPr>
              <w:rPr>
                <w:rFonts w:ascii="Arial"/>
                <w:sz w:val="21"/>
              </w:rPr>
            </w:pPr>
          </w:p>
        </w:tc>
        <w:tc>
          <w:tcPr>
            <w:tcW w:w="1510" w:type="dxa"/>
            <w:tcBorders>
              <w:top w:val="single" w:color="000000" w:sz="6" w:space="0"/>
            </w:tcBorders>
            <w:vAlign w:val="top"/>
          </w:tcPr>
          <w:p w14:paraId="44D0DA2B">
            <w:pPr>
              <w:pStyle w:val="6"/>
              <w:spacing w:before="46" w:line="216" w:lineRule="auto"/>
              <w:ind w:left="545"/>
            </w:pPr>
            <w:r>
              <w:rPr>
                <w:spacing w:val="5"/>
              </w:rPr>
              <w:t>道路</w:t>
            </w:r>
          </w:p>
        </w:tc>
        <w:tc>
          <w:tcPr>
            <w:tcW w:w="1012" w:type="dxa"/>
            <w:tcBorders>
              <w:top w:val="single" w:color="000000" w:sz="6" w:space="0"/>
            </w:tcBorders>
            <w:vAlign w:val="top"/>
          </w:tcPr>
          <w:p w14:paraId="1097E819">
            <w:pPr>
              <w:rPr>
                <w:rFonts w:ascii="Arial"/>
                <w:sz w:val="21"/>
              </w:rPr>
            </w:pPr>
          </w:p>
        </w:tc>
        <w:tc>
          <w:tcPr>
            <w:tcW w:w="980" w:type="dxa"/>
            <w:tcBorders>
              <w:top w:val="single" w:color="000000" w:sz="6" w:space="0"/>
            </w:tcBorders>
            <w:vAlign w:val="top"/>
          </w:tcPr>
          <w:p w14:paraId="03208D4F">
            <w:pPr>
              <w:rPr>
                <w:rFonts w:ascii="Arial"/>
                <w:sz w:val="21"/>
              </w:rPr>
            </w:pPr>
          </w:p>
        </w:tc>
        <w:tc>
          <w:tcPr>
            <w:tcW w:w="1760" w:type="dxa"/>
            <w:tcBorders>
              <w:top w:val="single" w:color="000000" w:sz="6" w:space="0"/>
            </w:tcBorders>
            <w:vAlign w:val="top"/>
          </w:tcPr>
          <w:p w14:paraId="2E44C68F">
            <w:pPr>
              <w:rPr>
                <w:rFonts w:ascii="Arial"/>
                <w:sz w:val="21"/>
              </w:rPr>
            </w:pPr>
          </w:p>
        </w:tc>
        <w:tc>
          <w:tcPr>
            <w:tcW w:w="1796" w:type="dxa"/>
            <w:tcBorders>
              <w:top w:val="single" w:color="000000" w:sz="6" w:space="0"/>
            </w:tcBorders>
            <w:vAlign w:val="top"/>
          </w:tcPr>
          <w:p w14:paraId="5741089B">
            <w:pPr>
              <w:rPr>
                <w:rFonts w:ascii="Arial"/>
                <w:sz w:val="21"/>
              </w:rPr>
            </w:pPr>
          </w:p>
        </w:tc>
        <w:tc>
          <w:tcPr>
            <w:tcW w:w="162" w:type="dxa"/>
            <w:vMerge w:val="restart"/>
            <w:tcBorders>
              <w:top w:val="single" w:color="000000" w:sz="6" w:space="0"/>
              <w:bottom w:val="nil"/>
              <w:right w:val="single" w:color="000000" w:sz="6" w:space="0"/>
            </w:tcBorders>
            <w:vAlign w:val="top"/>
          </w:tcPr>
          <w:p w14:paraId="26B887C3">
            <w:pPr>
              <w:rPr>
                <w:rFonts w:ascii="Arial"/>
                <w:sz w:val="21"/>
              </w:rPr>
            </w:pPr>
          </w:p>
        </w:tc>
      </w:tr>
      <w:tr w14:paraId="0C15F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64" w:type="dxa"/>
            <w:vMerge w:val="continue"/>
            <w:tcBorders>
              <w:top w:val="nil"/>
              <w:left w:val="single" w:color="000000" w:sz="6" w:space="0"/>
              <w:bottom w:val="nil"/>
              <w:right w:val="single" w:color="000000" w:sz="6" w:space="0"/>
            </w:tcBorders>
            <w:vAlign w:val="top"/>
          </w:tcPr>
          <w:p w14:paraId="262E582C">
            <w:pPr>
              <w:rPr>
                <w:rFonts w:ascii="Arial"/>
                <w:sz w:val="21"/>
              </w:rPr>
            </w:pPr>
          </w:p>
        </w:tc>
        <w:tc>
          <w:tcPr>
            <w:tcW w:w="153" w:type="dxa"/>
            <w:vMerge w:val="continue"/>
            <w:tcBorders>
              <w:top w:val="nil"/>
              <w:left w:val="single" w:color="000000" w:sz="6" w:space="0"/>
              <w:bottom w:val="nil"/>
            </w:tcBorders>
            <w:vAlign w:val="top"/>
          </w:tcPr>
          <w:p w14:paraId="348E8F54">
            <w:pPr>
              <w:rPr>
                <w:rFonts w:ascii="Arial"/>
                <w:sz w:val="21"/>
              </w:rPr>
            </w:pPr>
          </w:p>
        </w:tc>
        <w:tc>
          <w:tcPr>
            <w:tcW w:w="690" w:type="dxa"/>
            <w:vAlign w:val="top"/>
          </w:tcPr>
          <w:p w14:paraId="23FBAAF1">
            <w:pPr>
              <w:spacing w:before="67" w:line="195" w:lineRule="auto"/>
              <w:ind w:left="291"/>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510" w:type="dxa"/>
            <w:vAlign w:val="top"/>
          </w:tcPr>
          <w:p w14:paraId="04EEE161">
            <w:pPr>
              <w:pStyle w:val="6"/>
              <w:spacing w:before="30" w:line="219" w:lineRule="auto"/>
              <w:ind w:left="547"/>
            </w:pPr>
            <w:r>
              <w:rPr>
                <w:spacing w:val="4"/>
              </w:rPr>
              <w:t>其他</w:t>
            </w:r>
          </w:p>
        </w:tc>
        <w:tc>
          <w:tcPr>
            <w:tcW w:w="1012" w:type="dxa"/>
            <w:vAlign w:val="top"/>
          </w:tcPr>
          <w:p w14:paraId="0923C6AF">
            <w:pPr>
              <w:spacing w:before="67" w:line="195"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6.34</w:t>
            </w:r>
          </w:p>
        </w:tc>
        <w:tc>
          <w:tcPr>
            <w:tcW w:w="980" w:type="dxa"/>
            <w:vAlign w:val="top"/>
          </w:tcPr>
          <w:p w14:paraId="3CF2EDD1">
            <w:pPr>
              <w:spacing w:before="52" w:line="195" w:lineRule="auto"/>
              <w:ind w:left="3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0.78</w:t>
            </w:r>
          </w:p>
        </w:tc>
        <w:tc>
          <w:tcPr>
            <w:tcW w:w="1760" w:type="dxa"/>
            <w:vAlign w:val="top"/>
          </w:tcPr>
          <w:p w14:paraId="4879C60B">
            <w:pPr>
              <w:spacing w:before="63" w:line="199" w:lineRule="auto"/>
              <w:ind w:left="8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796" w:type="dxa"/>
            <w:vAlign w:val="top"/>
          </w:tcPr>
          <w:p w14:paraId="689844C7">
            <w:pPr>
              <w:spacing w:before="63" w:line="199" w:lineRule="auto"/>
              <w:ind w:left="8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2" w:type="dxa"/>
            <w:vMerge w:val="continue"/>
            <w:tcBorders>
              <w:top w:val="nil"/>
              <w:bottom w:val="nil"/>
              <w:right w:val="single" w:color="000000" w:sz="6" w:space="0"/>
            </w:tcBorders>
            <w:vAlign w:val="top"/>
          </w:tcPr>
          <w:p w14:paraId="72096307">
            <w:pPr>
              <w:rPr>
                <w:rFonts w:ascii="Arial"/>
                <w:sz w:val="21"/>
              </w:rPr>
            </w:pPr>
          </w:p>
        </w:tc>
      </w:tr>
      <w:tr w14:paraId="4BF42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4" w:type="dxa"/>
            <w:vMerge w:val="continue"/>
            <w:tcBorders>
              <w:top w:val="nil"/>
              <w:left w:val="single" w:color="000000" w:sz="6" w:space="0"/>
              <w:bottom w:val="nil"/>
              <w:right w:val="single" w:color="000000" w:sz="6" w:space="0"/>
            </w:tcBorders>
            <w:vAlign w:val="top"/>
          </w:tcPr>
          <w:p w14:paraId="5694A70D">
            <w:pPr>
              <w:rPr>
                <w:rFonts w:ascii="Arial"/>
                <w:sz w:val="21"/>
              </w:rPr>
            </w:pPr>
          </w:p>
        </w:tc>
        <w:tc>
          <w:tcPr>
            <w:tcW w:w="153" w:type="dxa"/>
            <w:vMerge w:val="continue"/>
            <w:tcBorders>
              <w:top w:val="nil"/>
              <w:left w:val="single" w:color="000000" w:sz="6" w:space="0"/>
              <w:bottom w:val="nil"/>
            </w:tcBorders>
            <w:vAlign w:val="top"/>
          </w:tcPr>
          <w:p w14:paraId="70EB3292">
            <w:pPr>
              <w:rPr>
                <w:rFonts w:ascii="Arial"/>
                <w:sz w:val="21"/>
              </w:rPr>
            </w:pPr>
          </w:p>
        </w:tc>
        <w:tc>
          <w:tcPr>
            <w:tcW w:w="2200" w:type="dxa"/>
            <w:gridSpan w:val="2"/>
            <w:vAlign w:val="top"/>
          </w:tcPr>
          <w:p w14:paraId="4125DADB">
            <w:pPr>
              <w:pStyle w:val="6"/>
              <w:spacing w:before="31" w:line="217" w:lineRule="auto"/>
              <w:ind w:left="891"/>
            </w:pPr>
            <w:r>
              <w:rPr>
                <w:spacing w:val="4"/>
              </w:rPr>
              <w:t>合计</w:t>
            </w:r>
          </w:p>
        </w:tc>
        <w:tc>
          <w:tcPr>
            <w:tcW w:w="1012" w:type="dxa"/>
            <w:vAlign w:val="top"/>
          </w:tcPr>
          <w:p w14:paraId="680A8066">
            <w:pPr>
              <w:spacing w:before="67" w:line="195" w:lineRule="auto"/>
              <w:ind w:left="2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813.88</w:t>
            </w:r>
          </w:p>
        </w:tc>
        <w:tc>
          <w:tcPr>
            <w:tcW w:w="980" w:type="dxa"/>
            <w:vAlign w:val="top"/>
          </w:tcPr>
          <w:p w14:paraId="4A141CCA">
            <w:pPr>
              <w:spacing w:before="52" w:line="195" w:lineRule="auto"/>
              <w:ind w:left="222"/>
              <w:rPr>
                <w:rFonts w:ascii="Times New Roman" w:hAnsi="Times New Roman" w:eastAsia="Times New Roman" w:cs="Times New Roman"/>
                <w:sz w:val="20"/>
                <w:szCs w:val="20"/>
              </w:rPr>
            </w:pPr>
            <w:r>
              <w:rPr>
                <w:rFonts w:ascii="Times New Roman" w:hAnsi="Times New Roman" w:eastAsia="Times New Roman" w:cs="Times New Roman"/>
                <w:sz w:val="20"/>
                <w:szCs w:val="20"/>
              </w:rPr>
              <w:t>100.00</w:t>
            </w:r>
          </w:p>
        </w:tc>
        <w:tc>
          <w:tcPr>
            <w:tcW w:w="1760" w:type="dxa"/>
            <w:vAlign w:val="top"/>
          </w:tcPr>
          <w:p w14:paraId="1138B3B6">
            <w:pPr>
              <w:spacing w:before="67" w:line="195" w:lineRule="auto"/>
              <w:ind w:left="65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0.515</w:t>
            </w:r>
          </w:p>
        </w:tc>
        <w:tc>
          <w:tcPr>
            <w:tcW w:w="1796" w:type="dxa"/>
            <w:vAlign w:val="top"/>
          </w:tcPr>
          <w:p w14:paraId="46C6CCD8">
            <w:pPr>
              <w:spacing w:before="67" w:line="195" w:lineRule="auto"/>
              <w:ind w:left="68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1.447</w:t>
            </w:r>
          </w:p>
        </w:tc>
        <w:tc>
          <w:tcPr>
            <w:tcW w:w="162" w:type="dxa"/>
            <w:vMerge w:val="continue"/>
            <w:tcBorders>
              <w:top w:val="nil"/>
              <w:bottom w:val="nil"/>
              <w:right w:val="single" w:color="000000" w:sz="6" w:space="0"/>
            </w:tcBorders>
            <w:vAlign w:val="top"/>
          </w:tcPr>
          <w:p w14:paraId="52403DCA">
            <w:pPr>
              <w:rPr>
                <w:rFonts w:ascii="Arial"/>
                <w:sz w:val="21"/>
              </w:rPr>
            </w:pPr>
          </w:p>
        </w:tc>
      </w:tr>
      <w:tr w14:paraId="4D5C7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51" w:hRule="atLeast"/>
        </w:trPr>
        <w:tc>
          <w:tcPr>
            <w:tcW w:w="464" w:type="dxa"/>
            <w:vMerge w:val="continue"/>
            <w:tcBorders>
              <w:top w:val="nil"/>
              <w:left w:val="single" w:color="000000" w:sz="6" w:space="0"/>
              <w:bottom w:val="single" w:color="000000" w:sz="6" w:space="0"/>
              <w:right w:val="single" w:color="000000" w:sz="6" w:space="0"/>
            </w:tcBorders>
            <w:vAlign w:val="top"/>
          </w:tcPr>
          <w:p w14:paraId="5ACE572F">
            <w:pPr>
              <w:rPr>
                <w:rFonts w:ascii="Arial"/>
                <w:sz w:val="21"/>
              </w:rPr>
            </w:pPr>
          </w:p>
        </w:tc>
        <w:tc>
          <w:tcPr>
            <w:tcW w:w="8063" w:type="dxa"/>
            <w:gridSpan w:val="8"/>
            <w:tcBorders>
              <w:left w:val="single" w:color="000000" w:sz="6" w:space="0"/>
              <w:bottom w:val="single" w:color="000000" w:sz="6" w:space="0"/>
              <w:right w:val="single" w:color="000000" w:sz="6" w:space="0"/>
            </w:tcBorders>
            <w:vAlign w:val="top"/>
          </w:tcPr>
          <w:p w14:paraId="071E8825">
            <w:pPr>
              <w:pStyle w:val="6"/>
              <w:spacing w:before="37" w:line="219" w:lineRule="auto"/>
              <w:ind w:left="110"/>
              <w:rPr>
                <w:sz w:val="24"/>
                <w:szCs w:val="24"/>
              </w:rPr>
            </w:pPr>
            <w:r>
              <w:rPr>
                <w:rFonts w:ascii="Times New Roman" w:hAnsi="Times New Roman" w:eastAsia="Times New Roman" w:cs="Times New Roman"/>
                <w:b/>
                <w:bCs/>
                <w:spacing w:val="-3"/>
                <w:sz w:val="24"/>
                <w:szCs w:val="24"/>
              </w:rPr>
              <w:t xml:space="preserve">1.3 </w:t>
            </w:r>
            <w:r>
              <w:rPr>
                <w:b/>
                <w:bCs/>
                <w:spacing w:val="-3"/>
                <w:sz w:val="24"/>
                <w:szCs w:val="24"/>
              </w:rPr>
              <w:t>项目区动物现状</w:t>
            </w:r>
          </w:p>
          <w:p w14:paraId="00EA66E7">
            <w:pPr>
              <w:pStyle w:val="6"/>
              <w:spacing w:before="181" w:line="359" w:lineRule="auto"/>
              <w:ind w:left="103" w:right="91" w:firstLine="484"/>
              <w:jc w:val="both"/>
              <w:rPr>
                <w:sz w:val="24"/>
                <w:szCs w:val="24"/>
              </w:rPr>
            </w:pPr>
            <w:r>
              <w:rPr>
                <w:spacing w:val="-2"/>
                <w:sz w:val="24"/>
                <w:szCs w:val="24"/>
              </w:rPr>
              <w:t>项目评价区内动物主要为小型的哺乳动物以及</w:t>
            </w:r>
            <w:r>
              <w:rPr>
                <w:spacing w:val="-3"/>
                <w:sz w:val="24"/>
                <w:szCs w:val="24"/>
              </w:rPr>
              <w:t>两栖类的一些常见物种，</w:t>
            </w:r>
            <w:r>
              <w:rPr>
                <w:spacing w:val="-2"/>
                <w:sz w:val="24"/>
                <w:szCs w:val="24"/>
              </w:rPr>
              <w:t>如青蛙、蟾蜍、云南半趾虎等；哺乳动物主</w:t>
            </w:r>
            <w:r>
              <w:rPr>
                <w:spacing w:val="-3"/>
                <w:sz w:val="24"/>
                <w:szCs w:val="24"/>
              </w:rPr>
              <w:t>要有侧纹岩松鼠、褐家鼠、褐尾</w:t>
            </w:r>
            <w:r>
              <w:rPr>
                <w:spacing w:val="-2"/>
                <w:sz w:val="24"/>
                <w:szCs w:val="24"/>
              </w:rPr>
              <w:t>鼠等小型兽类。鸟类主要有普通夜鹰、家燕</w:t>
            </w:r>
            <w:r>
              <w:rPr>
                <w:spacing w:val="-3"/>
                <w:sz w:val="24"/>
                <w:szCs w:val="24"/>
              </w:rPr>
              <w:t>、喜鹊、小嘴乌鸦、山麻雀、斑</w:t>
            </w:r>
            <w:r>
              <w:rPr>
                <w:spacing w:val="-2"/>
                <w:sz w:val="24"/>
                <w:szCs w:val="24"/>
              </w:rPr>
              <w:t>鸠等。从整体上看，评价区由于长期受人为</w:t>
            </w:r>
            <w:r>
              <w:rPr>
                <w:spacing w:val="-3"/>
                <w:sz w:val="24"/>
                <w:szCs w:val="24"/>
              </w:rPr>
              <w:t>开发活动的干扰影响，早已不存</w:t>
            </w:r>
            <w:r>
              <w:rPr>
                <w:spacing w:val="-2"/>
                <w:sz w:val="24"/>
                <w:szCs w:val="24"/>
              </w:rPr>
              <w:t>在大型野生动物栖息地，评价区的野生动物</w:t>
            </w:r>
            <w:r>
              <w:rPr>
                <w:spacing w:val="-3"/>
                <w:sz w:val="24"/>
                <w:szCs w:val="24"/>
              </w:rPr>
              <w:t>种类贫乏、数量稀少、生物多样</w:t>
            </w:r>
            <w:r>
              <w:rPr>
                <w:spacing w:val="-1"/>
                <w:sz w:val="24"/>
                <w:szCs w:val="24"/>
              </w:rPr>
              <w:t>性水平低下，也未发现仅在当地分布的特有种类和珍稀物种。</w:t>
            </w:r>
          </w:p>
          <w:p w14:paraId="66348FFB">
            <w:pPr>
              <w:pStyle w:val="6"/>
              <w:spacing w:line="359" w:lineRule="auto"/>
              <w:ind w:left="103" w:right="103" w:firstLine="480"/>
              <w:jc w:val="both"/>
              <w:rPr>
                <w:sz w:val="24"/>
                <w:szCs w:val="24"/>
              </w:rPr>
            </w:pPr>
            <w:r>
              <w:rPr>
                <w:spacing w:val="-2"/>
                <w:sz w:val="24"/>
                <w:szCs w:val="24"/>
              </w:rPr>
              <w:t>根据《国家重点保护野生动物名录》（</w:t>
            </w:r>
            <w:r>
              <w:rPr>
                <w:rFonts w:ascii="Times New Roman" w:hAnsi="Times New Roman" w:eastAsia="Times New Roman" w:cs="Times New Roman"/>
                <w:spacing w:val="-2"/>
                <w:sz w:val="24"/>
                <w:szCs w:val="24"/>
              </w:rPr>
              <w:t>20</w:t>
            </w:r>
            <w:r>
              <w:rPr>
                <w:rFonts w:ascii="Times New Roman" w:hAnsi="Times New Roman" w:eastAsia="Times New Roman" w:cs="Times New Roman"/>
                <w:spacing w:val="-3"/>
                <w:sz w:val="24"/>
                <w:szCs w:val="24"/>
              </w:rPr>
              <w:t>21</w:t>
            </w:r>
            <w:r>
              <w:rPr>
                <w:spacing w:val="-3"/>
                <w:sz w:val="24"/>
                <w:szCs w:val="24"/>
              </w:rPr>
              <w:t>）、《云南省珍稀保护动物</w:t>
            </w:r>
            <w:r>
              <w:rPr>
                <w:spacing w:val="3"/>
                <w:sz w:val="24"/>
                <w:szCs w:val="24"/>
              </w:rPr>
              <w:t>名录》（</w:t>
            </w:r>
            <w:r>
              <w:rPr>
                <w:rFonts w:ascii="Times New Roman" w:hAnsi="Times New Roman" w:eastAsia="Times New Roman" w:cs="Times New Roman"/>
                <w:spacing w:val="3"/>
                <w:sz w:val="24"/>
                <w:szCs w:val="24"/>
              </w:rPr>
              <w:t xml:space="preserve">1989 </w:t>
            </w:r>
            <w:r>
              <w:rPr>
                <w:spacing w:val="3"/>
                <w:sz w:val="24"/>
                <w:szCs w:val="24"/>
              </w:rPr>
              <w:t>年）等资料，项目评价区未发现国家一级、二级</w:t>
            </w:r>
            <w:r>
              <w:rPr>
                <w:spacing w:val="2"/>
                <w:sz w:val="24"/>
                <w:szCs w:val="24"/>
              </w:rPr>
              <w:t>、三级重点</w:t>
            </w:r>
            <w:r>
              <w:rPr>
                <w:spacing w:val="-2"/>
                <w:sz w:val="24"/>
                <w:szCs w:val="24"/>
              </w:rPr>
              <w:t>保护野生动物分布。按照《云南省重点保护陆生野生动物</w:t>
            </w:r>
            <w:r>
              <w:rPr>
                <w:spacing w:val="-3"/>
                <w:sz w:val="24"/>
                <w:szCs w:val="24"/>
              </w:rPr>
              <w:t>名录》（</w:t>
            </w:r>
            <w:r>
              <w:rPr>
                <w:rFonts w:ascii="Times New Roman" w:hAnsi="Times New Roman" w:eastAsia="Times New Roman" w:cs="Times New Roman"/>
                <w:spacing w:val="-3"/>
                <w:sz w:val="24"/>
                <w:szCs w:val="24"/>
              </w:rPr>
              <w:t>2023</w:t>
            </w:r>
            <w:r>
              <w:rPr>
                <w:spacing w:val="-3"/>
                <w:sz w:val="24"/>
                <w:szCs w:val="24"/>
              </w:rPr>
              <w:t>）统</w:t>
            </w:r>
            <w:r>
              <w:rPr>
                <w:spacing w:val="-1"/>
                <w:sz w:val="24"/>
                <w:szCs w:val="24"/>
              </w:rPr>
              <w:t>计，评价区未发现有云南省级重点保护动物。</w:t>
            </w:r>
          </w:p>
          <w:p w14:paraId="6725B508">
            <w:pPr>
              <w:pStyle w:val="6"/>
              <w:spacing w:before="1" w:line="359" w:lineRule="auto"/>
              <w:ind w:left="103" w:right="103" w:firstLine="483"/>
              <w:jc w:val="both"/>
              <w:rPr>
                <w:sz w:val="24"/>
                <w:szCs w:val="24"/>
              </w:rPr>
            </w:pPr>
            <w:r>
              <w:rPr>
                <w:spacing w:val="5"/>
                <w:sz w:val="24"/>
                <w:szCs w:val="24"/>
              </w:rPr>
              <w:t>项目评价区域无发现列入国家和省级重点保护的野生动植物及古树名</w:t>
            </w:r>
            <w:r>
              <w:rPr>
                <w:spacing w:val="-2"/>
                <w:sz w:val="24"/>
                <w:szCs w:val="24"/>
              </w:rPr>
              <w:t>木，也不涉及国家和云南省重点保护野生动</w:t>
            </w:r>
            <w:r>
              <w:rPr>
                <w:spacing w:val="-3"/>
                <w:sz w:val="24"/>
                <w:szCs w:val="24"/>
              </w:rPr>
              <w:t>物的栖息地、主要活动区及迁徙</w:t>
            </w:r>
            <w:r>
              <w:rPr>
                <w:spacing w:val="-4"/>
                <w:sz w:val="24"/>
                <w:szCs w:val="24"/>
              </w:rPr>
              <w:t>通道。</w:t>
            </w:r>
          </w:p>
          <w:p w14:paraId="461D6292">
            <w:pPr>
              <w:pStyle w:val="6"/>
              <w:spacing w:before="2" w:line="358" w:lineRule="auto"/>
              <w:ind w:left="103" w:right="103" w:firstLine="480"/>
              <w:jc w:val="both"/>
              <w:rPr>
                <w:sz w:val="24"/>
                <w:szCs w:val="24"/>
              </w:rPr>
            </w:pPr>
            <w:r>
              <w:rPr>
                <w:spacing w:val="-3"/>
                <w:sz w:val="24"/>
                <w:szCs w:val="24"/>
              </w:rPr>
              <w:t>根据《中国生物多样性红色名录》，评价区未记录到受威胁物种。评价</w:t>
            </w:r>
            <w:r>
              <w:rPr>
                <w:spacing w:val="-2"/>
                <w:sz w:val="24"/>
                <w:szCs w:val="24"/>
              </w:rPr>
              <w:t>区内未发现国家和云南省政府列入拯救保护</w:t>
            </w:r>
            <w:r>
              <w:rPr>
                <w:spacing w:val="-3"/>
                <w:sz w:val="24"/>
                <w:szCs w:val="24"/>
              </w:rPr>
              <w:t>的极小种群物种，未记录到外来</w:t>
            </w:r>
            <w:r>
              <w:rPr>
                <w:spacing w:val="-2"/>
                <w:sz w:val="24"/>
                <w:szCs w:val="24"/>
              </w:rPr>
              <w:t>入侵动物分布。</w:t>
            </w:r>
          </w:p>
          <w:p w14:paraId="15C67BB0">
            <w:pPr>
              <w:pStyle w:val="6"/>
              <w:spacing w:before="1" w:line="219" w:lineRule="auto"/>
              <w:ind w:left="110"/>
              <w:rPr>
                <w:sz w:val="24"/>
                <w:szCs w:val="24"/>
              </w:rPr>
            </w:pPr>
            <w:r>
              <w:rPr>
                <w:rFonts w:ascii="Times New Roman" w:hAnsi="Times New Roman" w:eastAsia="Times New Roman" w:cs="Times New Roman"/>
                <w:b/>
                <w:bCs/>
                <w:spacing w:val="-3"/>
                <w:sz w:val="24"/>
                <w:szCs w:val="24"/>
              </w:rPr>
              <w:t xml:space="preserve">1.4 </w:t>
            </w:r>
            <w:r>
              <w:rPr>
                <w:b/>
                <w:bCs/>
                <w:spacing w:val="-3"/>
                <w:sz w:val="24"/>
                <w:szCs w:val="24"/>
              </w:rPr>
              <w:t>项目区与鸟类迁徙通道位置关系</w:t>
            </w:r>
          </w:p>
          <w:p w14:paraId="7E7A5F31">
            <w:pPr>
              <w:pStyle w:val="6"/>
              <w:spacing w:before="184" w:line="359" w:lineRule="auto"/>
              <w:ind w:left="103" w:right="103" w:firstLine="485"/>
              <w:jc w:val="both"/>
              <w:rPr>
                <w:sz w:val="24"/>
                <w:szCs w:val="24"/>
              </w:rPr>
            </w:pPr>
            <w:r>
              <w:rPr>
                <w:spacing w:val="-3"/>
                <w:sz w:val="24"/>
                <w:szCs w:val="24"/>
              </w:rPr>
              <w:t>鸟类迁徙是鸟类遵循大自然环境的一种生存本能反应，候鸟的迁徙时间</w:t>
            </w:r>
            <w:r>
              <w:rPr>
                <w:spacing w:val="-2"/>
                <w:sz w:val="24"/>
                <w:szCs w:val="24"/>
              </w:rPr>
              <w:t>和路线、迁徙数量、种群关系、归巢能力、</w:t>
            </w:r>
            <w:r>
              <w:rPr>
                <w:spacing w:val="-3"/>
                <w:sz w:val="24"/>
                <w:szCs w:val="24"/>
              </w:rPr>
              <w:t>死亡率、存活率、寿命，以及与</w:t>
            </w:r>
            <w:r>
              <w:rPr>
                <w:spacing w:val="-2"/>
                <w:sz w:val="24"/>
                <w:szCs w:val="24"/>
              </w:rPr>
              <w:t>繁殖地、越冬地环境的关系等生态规律，对</w:t>
            </w:r>
            <w:r>
              <w:rPr>
                <w:spacing w:val="-3"/>
                <w:sz w:val="24"/>
                <w:szCs w:val="24"/>
              </w:rPr>
              <w:t>于保护珍稀濒危鸟种和维护生态</w:t>
            </w:r>
            <w:r>
              <w:rPr>
                <w:spacing w:val="-2"/>
                <w:sz w:val="24"/>
                <w:szCs w:val="24"/>
              </w:rPr>
              <w:t>平衡、保障航空安全、计划利用经济候鸟、</w:t>
            </w:r>
            <w:r>
              <w:rPr>
                <w:spacing w:val="-3"/>
                <w:sz w:val="24"/>
                <w:szCs w:val="24"/>
              </w:rPr>
              <w:t>防止流行病的传播等可以提供科</w:t>
            </w:r>
            <w:r>
              <w:rPr>
                <w:sz w:val="24"/>
                <w:szCs w:val="24"/>
              </w:rPr>
              <w:t>学的依据，将会给人类带来巨大的社会和经</w:t>
            </w:r>
            <w:r>
              <w:rPr>
                <w:spacing w:val="-1"/>
                <w:sz w:val="24"/>
                <w:szCs w:val="24"/>
              </w:rPr>
              <w:t>济效益以及生态效益。</w:t>
            </w:r>
          </w:p>
          <w:p w14:paraId="39C7ECF1">
            <w:pPr>
              <w:pStyle w:val="6"/>
              <w:spacing w:before="1" w:line="351" w:lineRule="auto"/>
              <w:ind w:left="103" w:right="103" w:firstLine="482"/>
              <w:jc w:val="both"/>
              <w:rPr>
                <w:rFonts w:ascii="Segoe UI" w:hAnsi="Segoe UI" w:eastAsia="Segoe UI" w:cs="Segoe UI"/>
                <w:sz w:val="24"/>
                <w:szCs w:val="24"/>
              </w:rPr>
            </w:pPr>
            <w:r>
              <w:rPr>
                <w:spacing w:val="-3"/>
                <w:sz w:val="24"/>
                <w:szCs w:val="24"/>
              </w:rPr>
              <w:t>就云南而言，经过几代人的努力，当下对于鸟类尤其是候鸟在云南的迁</w:t>
            </w:r>
            <w:r>
              <w:rPr>
                <w:spacing w:val="-2"/>
                <w:sz w:val="24"/>
                <w:szCs w:val="24"/>
              </w:rPr>
              <w:t>徙通道，已基本形成一定的认知。云南的候</w:t>
            </w:r>
            <w:r>
              <w:rPr>
                <w:spacing w:val="-3"/>
                <w:sz w:val="24"/>
                <w:szCs w:val="24"/>
              </w:rPr>
              <w:t>鸟迁徙通道主要包含以下几条线</w:t>
            </w:r>
            <w:r>
              <w:rPr>
                <w:sz w:val="24"/>
                <w:szCs w:val="24"/>
              </w:rPr>
              <w:t>路：滇西横断山脉通道，其中涵盖高黎贡山与怒</w:t>
            </w:r>
            <w:r>
              <w:rPr>
                <w:spacing w:val="-1"/>
                <w:sz w:val="24"/>
                <w:szCs w:val="24"/>
              </w:rPr>
              <w:t>江迁徙路线、梅里雪山</w:t>
            </w:r>
            <w:r>
              <w:rPr>
                <w:rFonts w:ascii="Segoe UI" w:hAnsi="Segoe UI" w:eastAsia="Segoe UI" w:cs="Segoe UI"/>
                <w:spacing w:val="-1"/>
                <w:sz w:val="24"/>
                <w:szCs w:val="24"/>
              </w:rPr>
              <w:t>-</w:t>
            </w:r>
            <w:r>
              <w:rPr>
                <w:spacing w:val="-1"/>
                <w:sz w:val="24"/>
                <w:szCs w:val="24"/>
              </w:rPr>
              <w:t>怒</w:t>
            </w:r>
            <w:r>
              <w:rPr>
                <w:sz w:val="24"/>
                <w:szCs w:val="24"/>
              </w:rPr>
              <w:t>江</w:t>
            </w:r>
            <w:r>
              <w:rPr>
                <w:rFonts w:ascii="Segoe UI" w:hAnsi="Segoe UI" w:eastAsia="Segoe UI" w:cs="Segoe UI"/>
                <w:sz w:val="24"/>
                <w:szCs w:val="24"/>
              </w:rPr>
              <w:t>-</w:t>
            </w:r>
            <w:r>
              <w:rPr>
                <w:sz w:val="24"/>
                <w:szCs w:val="24"/>
              </w:rPr>
              <w:t>碧罗雪山与澜沧江流域迁徙路线；云岭</w:t>
            </w:r>
            <w:r>
              <w:rPr>
                <w:rFonts w:ascii="Segoe UI" w:hAnsi="Segoe UI" w:eastAsia="Segoe UI" w:cs="Segoe UI"/>
                <w:sz w:val="24"/>
                <w:szCs w:val="24"/>
              </w:rPr>
              <w:t>-</w:t>
            </w:r>
            <w:r>
              <w:rPr>
                <w:sz w:val="24"/>
                <w:szCs w:val="24"/>
              </w:rPr>
              <w:t>罗坪山</w:t>
            </w:r>
            <w:r>
              <w:rPr>
                <w:rFonts w:ascii="Segoe UI" w:hAnsi="Segoe UI" w:eastAsia="Segoe UI" w:cs="Segoe UI"/>
                <w:sz w:val="24"/>
                <w:szCs w:val="24"/>
              </w:rPr>
              <w:t>-</w:t>
            </w:r>
            <w:r>
              <w:rPr>
                <w:sz w:val="24"/>
                <w:szCs w:val="24"/>
              </w:rPr>
              <w:t>点苍山</w:t>
            </w:r>
            <w:r>
              <w:rPr>
                <w:rFonts w:ascii="Segoe UI" w:hAnsi="Segoe UI" w:eastAsia="Segoe UI" w:cs="Segoe UI"/>
                <w:sz w:val="24"/>
                <w:szCs w:val="24"/>
              </w:rPr>
              <w:t>-</w:t>
            </w:r>
            <w:r>
              <w:rPr>
                <w:sz w:val="24"/>
                <w:szCs w:val="24"/>
              </w:rPr>
              <w:t>无量山</w:t>
            </w:r>
            <w:r>
              <w:rPr>
                <w:rFonts w:ascii="Segoe UI" w:hAnsi="Segoe UI" w:eastAsia="Segoe UI" w:cs="Segoe UI"/>
                <w:sz w:val="24"/>
                <w:szCs w:val="24"/>
              </w:rPr>
              <w:t>-</w:t>
            </w:r>
            <w:r>
              <w:rPr>
                <w:sz w:val="24"/>
                <w:szCs w:val="24"/>
              </w:rPr>
              <w:t>哀牢山</w:t>
            </w:r>
            <w:r>
              <w:rPr>
                <w:rFonts w:ascii="Segoe UI" w:hAnsi="Segoe UI" w:eastAsia="Segoe UI" w:cs="Segoe UI"/>
                <w:sz w:val="24"/>
                <w:szCs w:val="24"/>
              </w:rPr>
              <w:t>-</w:t>
            </w:r>
          </w:p>
        </w:tc>
      </w:tr>
    </w:tbl>
    <w:p w14:paraId="164790AC">
      <w:pPr>
        <w:rPr>
          <w:rFonts w:ascii="Arial"/>
          <w:sz w:val="21"/>
        </w:rPr>
      </w:pPr>
    </w:p>
    <w:p w14:paraId="7A8B1A44">
      <w:pPr>
        <w:rPr>
          <w:rFonts w:ascii="Arial" w:hAnsi="Arial" w:eastAsia="Arial" w:cs="Arial"/>
          <w:sz w:val="21"/>
          <w:szCs w:val="21"/>
        </w:rPr>
        <w:sectPr>
          <w:footerReference r:id="rId75" w:type="default"/>
          <w:pgSz w:w="11907" w:h="16840"/>
          <w:pgMar w:top="400" w:right="1682" w:bottom="1240" w:left="1682" w:header="0" w:footer="1077" w:gutter="0"/>
          <w:cols w:space="720" w:num="1"/>
        </w:sectPr>
      </w:pPr>
    </w:p>
    <w:p w14:paraId="2C44531E">
      <w:pPr>
        <w:spacing w:before="19"/>
      </w:pPr>
    </w:p>
    <w:p w14:paraId="2CABDEC6">
      <w:pPr>
        <w:spacing w:before="19"/>
      </w:pPr>
    </w:p>
    <w:p w14:paraId="7E4FD0AF">
      <w:pPr>
        <w:spacing w:before="18"/>
      </w:pPr>
    </w:p>
    <w:p w14:paraId="367650DA">
      <w:pPr>
        <w:spacing w:before="18"/>
      </w:pPr>
    </w:p>
    <w:tbl>
      <w:tblPr>
        <w:tblStyle w:val="5"/>
        <w:tblW w:w="852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4"/>
        <w:gridCol w:w="8063"/>
      </w:tblGrid>
      <w:tr w14:paraId="71A06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740" w:hRule="atLeast"/>
        </w:trPr>
        <w:tc>
          <w:tcPr>
            <w:tcW w:w="464" w:type="dxa"/>
            <w:vAlign w:val="top"/>
          </w:tcPr>
          <w:p w14:paraId="4BEC1EC6">
            <w:pPr>
              <w:rPr>
                <w:rFonts w:ascii="Arial"/>
                <w:sz w:val="21"/>
              </w:rPr>
            </w:pPr>
          </w:p>
        </w:tc>
        <w:tc>
          <w:tcPr>
            <w:tcW w:w="8063" w:type="dxa"/>
            <w:vAlign w:val="top"/>
          </w:tcPr>
          <w:p w14:paraId="2FDB20A6">
            <w:pPr>
              <w:pStyle w:val="6"/>
              <w:spacing w:before="58" w:line="356" w:lineRule="auto"/>
              <w:ind w:left="105" w:right="102" w:firstLine="3"/>
              <w:rPr>
                <w:sz w:val="24"/>
                <w:szCs w:val="24"/>
              </w:rPr>
            </w:pPr>
            <w:r>
              <w:rPr>
                <w:spacing w:val="-4"/>
                <w:sz w:val="24"/>
                <w:szCs w:val="24"/>
              </w:rPr>
              <w:t>红河路线。滇东</w:t>
            </w:r>
            <w:r>
              <w:rPr>
                <w:rFonts w:ascii="Segoe UI" w:hAnsi="Segoe UI" w:eastAsia="Segoe UI" w:cs="Segoe UI"/>
                <w:spacing w:val="-4"/>
                <w:sz w:val="24"/>
                <w:szCs w:val="24"/>
              </w:rPr>
              <w:t>-</w:t>
            </w:r>
            <w:r>
              <w:rPr>
                <w:spacing w:val="-4"/>
                <w:sz w:val="24"/>
                <w:szCs w:val="24"/>
              </w:rPr>
              <w:t>滇中高原通道包括滇东北</w:t>
            </w:r>
            <w:r>
              <w:rPr>
                <w:rFonts w:ascii="Segoe UI" w:hAnsi="Segoe UI" w:eastAsia="Segoe UI" w:cs="Segoe UI"/>
                <w:spacing w:val="-4"/>
                <w:sz w:val="24"/>
                <w:szCs w:val="24"/>
              </w:rPr>
              <w:t>-</w:t>
            </w:r>
            <w:r>
              <w:rPr>
                <w:spacing w:val="-4"/>
                <w:sz w:val="24"/>
                <w:szCs w:val="24"/>
              </w:rPr>
              <w:t>滇中</w:t>
            </w:r>
            <w:r>
              <w:rPr>
                <w:rFonts w:ascii="Segoe UI" w:hAnsi="Segoe UI" w:eastAsia="Segoe UI" w:cs="Segoe UI"/>
                <w:spacing w:val="-4"/>
                <w:sz w:val="24"/>
                <w:szCs w:val="24"/>
              </w:rPr>
              <w:t>-</w:t>
            </w:r>
            <w:r>
              <w:rPr>
                <w:spacing w:val="-4"/>
                <w:sz w:val="24"/>
                <w:szCs w:val="24"/>
              </w:rPr>
              <w:t>滇东南清晰通道、金沙江河</w:t>
            </w:r>
            <w:r>
              <w:rPr>
                <w:spacing w:val="-1"/>
                <w:sz w:val="24"/>
                <w:szCs w:val="24"/>
              </w:rPr>
              <w:t>谷滇中高原模糊通道、滇东北滇东岩溶地区模糊通道。</w:t>
            </w:r>
          </w:p>
          <w:p w14:paraId="06124B4E">
            <w:pPr>
              <w:pStyle w:val="6"/>
              <w:spacing w:before="9" w:line="354" w:lineRule="auto"/>
              <w:ind w:left="104" w:right="73" w:firstLine="479"/>
              <w:rPr>
                <w:sz w:val="24"/>
                <w:szCs w:val="24"/>
              </w:rPr>
            </w:pPr>
            <w:r>
              <w:rPr>
                <w:spacing w:val="-1"/>
                <w:sz w:val="24"/>
                <w:szCs w:val="24"/>
              </w:rPr>
              <w:t>根据云南省</w:t>
            </w:r>
            <w:r>
              <w:rPr>
                <w:rFonts w:ascii="Segoe UI" w:hAnsi="Segoe UI" w:eastAsia="Segoe UI" w:cs="Segoe UI"/>
                <w:spacing w:val="-1"/>
                <w:sz w:val="24"/>
                <w:szCs w:val="24"/>
              </w:rPr>
              <w:t>“</w:t>
            </w:r>
            <w:r>
              <w:rPr>
                <w:spacing w:val="-1"/>
                <w:sz w:val="24"/>
                <w:szCs w:val="24"/>
              </w:rPr>
              <w:t>打雀点</w:t>
            </w:r>
            <w:r>
              <w:rPr>
                <w:rFonts w:ascii="Segoe UI" w:hAnsi="Segoe UI" w:eastAsia="Segoe UI" w:cs="Segoe UI"/>
                <w:spacing w:val="-1"/>
                <w:sz w:val="24"/>
                <w:szCs w:val="24"/>
              </w:rPr>
              <w:t>”</w:t>
            </w:r>
            <w:r>
              <w:rPr>
                <w:spacing w:val="-1"/>
                <w:sz w:val="24"/>
                <w:szCs w:val="24"/>
              </w:rPr>
              <w:t>分布以及候鸟迁徙研究的资料综合分析，本项目输</w:t>
            </w:r>
            <w:r>
              <w:rPr>
                <w:spacing w:val="-2"/>
                <w:sz w:val="24"/>
                <w:szCs w:val="24"/>
              </w:rPr>
              <w:t>电线路并未处于已知的主要候鸟迁徙通道之上。输电线路已施行避让措施，其路径的选取未与云南候鸟的迁徙通道重合，不在鸟类迁徙通道的范畴内。</w:t>
            </w:r>
            <w:r>
              <w:rPr>
                <w:spacing w:val="-3"/>
                <w:sz w:val="24"/>
                <w:szCs w:val="24"/>
              </w:rPr>
              <w:t>项目的建设运行对候鸟的迁徙影响不大。输电线路在施工期的影响主要体现为施工噪声会对鸟类造成一定影响等。施工期间，各类施工机械的噪声以及</w:t>
            </w:r>
            <w:r>
              <w:rPr>
                <w:sz w:val="24"/>
                <w:szCs w:val="24"/>
              </w:rPr>
              <w:t>人员活动会对鸟类形成一定程度的惊吓。不过</w:t>
            </w:r>
            <w:r>
              <w:rPr>
                <w:spacing w:val="-1"/>
                <w:sz w:val="24"/>
                <w:szCs w:val="24"/>
              </w:rPr>
              <w:t>单个塔基施工的影响范围较</w:t>
            </w:r>
            <w:r>
              <w:rPr>
                <w:spacing w:val="-3"/>
                <w:sz w:val="24"/>
                <w:szCs w:val="24"/>
              </w:rPr>
              <w:t>小，且施工时长较短，待建设完工人员撤离现场后，施工活动带来的影响也随之消除。</w:t>
            </w:r>
          </w:p>
          <w:p w14:paraId="646D6396">
            <w:pPr>
              <w:spacing w:line="5481" w:lineRule="exact"/>
              <w:ind w:firstLine="94"/>
            </w:pPr>
            <w:r>
              <w:rPr>
                <w:position w:val="-109"/>
              </w:rPr>
              <w:drawing>
                <wp:inline distT="0" distB="0" distL="0" distR="0">
                  <wp:extent cx="5010785" cy="3480435"/>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235"/>
                          <a:stretch>
                            <a:fillRect/>
                          </a:stretch>
                        </pic:blipFill>
                        <pic:spPr>
                          <a:xfrm>
                            <a:off x="0" y="0"/>
                            <a:ext cx="5010911" cy="3480815"/>
                          </a:xfrm>
                          <a:prstGeom prst="rect">
                            <a:avLst/>
                          </a:prstGeom>
                        </pic:spPr>
                      </pic:pic>
                    </a:graphicData>
                  </a:graphic>
                </wp:inline>
              </w:drawing>
            </w:r>
          </w:p>
          <w:p w14:paraId="1043E0B0">
            <w:pPr>
              <w:pStyle w:val="6"/>
              <w:spacing w:before="29" w:line="228" w:lineRule="auto"/>
              <w:ind w:left="1668"/>
            </w:pPr>
            <w:r>
              <w:rPr>
                <w:b/>
                <w:bCs/>
                <w:spacing w:val="6"/>
              </w:rPr>
              <w:t>图</w:t>
            </w:r>
            <w:r>
              <w:rPr>
                <w:spacing w:val="-44"/>
              </w:rPr>
              <w:t xml:space="preserve"> </w:t>
            </w:r>
            <w:r>
              <w:rPr>
                <w:rFonts w:ascii="Times New Roman" w:hAnsi="Times New Roman" w:eastAsia="Times New Roman" w:cs="Times New Roman"/>
                <w:b/>
                <w:bCs/>
                <w:spacing w:val="6"/>
              </w:rPr>
              <w:t xml:space="preserve">3-4    </w:t>
            </w:r>
            <w:r>
              <w:rPr>
                <w:b/>
                <w:bCs/>
                <w:spacing w:val="6"/>
              </w:rPr>
              <w:t>项目与云南省鸟类迁徙通道位置关系示</w:t>
            </w:r>
            <w:r>
              <w:rPr>
                <w:b/>
                <w:bCs/>
                <w:spacing w:val="5"/>
              </w:rPr>
              <w:t>意图</w:t>
            </w:r>
          </w:p>
          <w:p w14:paraId="214A7F3F">
            <w:pPr>
              <w:pStyle w:val="6"/>
              <w:spacing w:before="32" w:line="359" w:lineRule="auto"/>
              <w:ind w:left="103" w:right="102" w:firstLine="480"/>
              <w:jc w:val="both"/>
              <w:rPr>
                <w:sz w:val="24"/>
                <w:szCs w:val="24"/>
              </w:rPr>
            </w:pPr>
            <w:r>
              <w:rPr>
                <w:spacing w:val="-2"/>
                <w:sz w:val="24"/>
                <w:szCs w:val="24"/>
              </w:rPr>
              <w:t>根据云南省</w:t>
            </w:r>
            <w:r>
              <w:rPr>
                <w:rFonts w:ascii="Times New Roman" w:hAnsi="Times New Roman" w:eastAsia="Times New Roman" w:cs="Times New Roman"/>
                <w:spacing w:val="-2"/>
                <w:sz w:val="24"/>
                <w:szCs w:val="24"/>
              </w:rPr>
              <w:t>“</w:t>
            </w:r>
            <w:r>
              <w:rPr>
                <w:spacing w:val="-2"/>
                <w:sz w:val="24"/>
                <w:szCs w:val="24"/>
              </w:rPr>
              <w:t>打雀点</w:t>
            </w:r>
            <w:r>
              <w:rPr>
                <w:rFonts w:ascii="Times New Roman" w:hAnsi="Times New Roman" w:eastAsia="Times New Roman" w:cs="Times New Roman"/>
                <w:spacing w:val="-2"/>
                <w:sz w:val="24"/>
                <w:szCs w:val="24"/>
              </w:rPr>
              <w:t>”</w:t>
            </w:r>
            <w:r>
              <w:rPr>
                <w:spacing w:val="-2"/>
                <w:sz w:val="24"/>
                <w:szCs w:val="24"/>
              </w:rPr>
              <w:t>分布以及候鸟迁徙研究的资料分析，结合查询云南</w:t>
            </w:r>
            <w:r>
              <w:rPr>
                <w:spacing w:val="-9"/>
                <w:sz w:val="24"/>
                <w:szCs w:val="24"/>
              </w:rPr>
              <w:t>省林业和草原局公告《云南省候鸟迁徙通道重点区域范围（第一批）》（</w:t>
            </w:r>
            <w:r>
              <w:rPr>
                <w:rFonts w:ascii="Times New Roman" w:hAnsi="Times New Roman" w:eastAsia="Times New Roman" w:cs="Times New Roman"/>
                <w:spacing w:val="-9"/>
                <w:sz w:val="24"/>
                <w:szCs w:val="24"/>
              </w:rPr>
              <w:t>2023</w:t>
            </w:r>
            <w:r>
              <w:rPr>
                <w:spacing w:val="-2"/>
                <w:sz w:val="24"/>
                <w:szCs w:val="24"/>
              </w:rPr>
              <w:t>年第</w:t>
            </w:r>
            <w:r>
              <w:rPr>
                <w:spacing w:val="-32"/>
                <w:sz w:val="24"/>
                <w:szCs w:val="24"/>
              </w:rPr>
              <w:t xml:space="preserve"> </w:t>
            </w:r>
            <w:r>
              <w:rPr>
                <w:rFonts w:ascii="Times New Roman" w:hAnsi="Times New Roman" w:eastAsia="Times New Roman" w:cs="Times New Roman"/>
                <w:spacing w:val="-2"/>
                <w:sz w:val="24"/>
                <w:szCs w:val="24"/>
              </w:rPr>
              <w:t>10</w:t>
            </w:r>
            <w:r>
              <w:rPr>
                <w:rFonts w:ascii="Times New Roman" w:hAnsi="Times New Roman" w:eastAsia="Times New Roman" w:cs="Times New Roman"/>
                <w:spacing w:val="15"/>
                <w:sz w:val="24"/>
                <w:szCs w:val="24"/>
              </w:rPr>
              <w:t xml:space="preserve"> </w:t>
            </w:r>
            <w:r>
              <w:rPr>
                <w:spacing w:val="-2"/>
                <w:sz w:val="24"/>
                <w:szCs w:val="24"/>
              </w:rPr>
              <w:t>号</w:t>
            </w:r>
            <w:r>
              <w:rPr>
                <w:spacing w:val="5"/>
                <w:sz w:val="24"/>
                <w:szCs w:val="24"/>
              </w:rPr>
              <w:t>），</w:t>
            </w:r>
            <w:r>
              <w:rPr>
                <w:spacing w:val="-2"/>
                <w:sz w:val="24"/>
                <w:szCs w:val="24"/>
              </w:rPr>
              <w:t>本项目占地区及外围生态评价区不涉及已公布的候鸟迁徙通</w:t>
            </w:r>
            <w:r>
              <w:rPr>
                <w:sz w:val="24"/>
                <w:szCs w:val="24"/>
              </w:rPr>
              <w:t>道重点区域，本项目输电线路并未处于已知的主</w:t>
            </w:r>
            <w:r>
              <w:rPr>
                <w:spacing w:val="-1"/>
                <w:sz w:val="24"/>
                <w:szCs w:val="24"/>
              </w:rPr>
              <w:t>要候鸟迁徙通道之上。</w:t>
            </w:r>
          </w:p>
          <w:p w14:paraId="48C0EA34">
            <w:pPr>
              <w:pStyle w:val="6"/>
              <w:spacing w:line="219" w:lineRule="auto"/>
              <w:ind w:left="100"/>
              <w:rPr>
                <w:sz w:val="24"/>
                <w:szCs w:val="24"/>
              </w:rPr>
            </w:pPr>
            <w:r>
              <w:rPr>
                <w:rFonts w:ascii="Times New Roman" w:hAnsi="Times New Roman" w:eastAsia="Times New Roman" w:cs="Times New Roman"/>
                <w:b/>
                <w:bCs/>
                <w:spacing w:val="-5"/>
                <w:sz w:val="24"/>
                <w:szCs w:val="24"/>
              </w:rPr>
              <w:t>2</w:t>
            </w:r>
            <w:r>
              <w:rPr>
                <w:rFonts w:ascii="Times New Roman" w:hAnsi="Times New Roman" w:eastAsia="Times New Roman" w:cs="Times New Roman"/>
                <w:b/>
                <w:bCs/>
                <w:spacing w:val="-33"/>
                <w:sz w:val="24"/>
                <w:szCs w:val="24"/>
              </w:rPr>
              <w:t xml:space="preserve"> </w:t>
            </w:r>
            <w:r>
              <w:rPr>
                <w:b/>
                <w:bCs/>
                <w:spacing w:val="-5"/>
                <w:sz w:val="24"/>
                <w:szCs w:val="24"/>
              </w:rPr>
              <w:t>、环境空气质量现状</w:t>
            </w:r>
          </w:p>
          <w:p w14:paraId="2995FD3A">
            <w:pPr>
              <w:pStyle w:val="6"/>
              <w:spacing w:before="183" w:line="342" w:lineRule="auto"/>
              <w:ind w:left="103" w:right="102" w:firstLine="480"/>
              <w:rPr>
                <w:sz w:val="24"/>
                <w:szCs w:val="24"/>
              </w:rPr>
            </w:pPr>
            <w:r>
              <w:rPr>
                <w:spacing w:val="-3"/>
                <w:sz w:val="24"/>
                <w:szCs w:val="24"/>
              </w:rPr>
              <w:t>本项目全线位于陆良县，线路所经区域均为农村地区，属于大气环境质</w:t>
            </w:r>
            <w:r>
              <w:rPr>
                <w:sz w:val="24"/>
                <w:szCs w:val="24"/>
              </w:rPr>
              <w:t>量二类功能区，执行《环境空气质量标准》（</w:t>
            </w:r>
            <w:r>
              <w:rPr>
                <w:rFonts w:ascii="Times New Roman" w:hAnsi="Times New Roman" w:eastAsia="Times New Roman" w:cs="Times New Roman"/>
                <w:sz w:val="24"/>
                <w:szCs w:val="24"/>
              </w:rPr>
              <w:t>GB3095</w:t>
            </w:r>
            <w:r>
              <w:rPr>
                <w:rFonts w:ascii="Times New Roman" w:hAnsi="Times New Roman" w:eastAsia="Times New Roman" w:cs="Times New Roman"/>
                <w:spacing w:val="-1"/>
                <w:sz w:val="24"/>
                <w:szCs w:val="24"/>
              </w:rPr>
              <w:t>-2012</w:t>
            </w:r>
            <w:r>
              <w:rPr>
                <w:spacing w:val="-1"/>
                <w:sz w:val="24"/>
                <w:szCs w:val="24"/>
              </w:rPr>
              <w:t>）二级标准。</w:t>
            </w:r>
          </w:p>
        </w:tc>
      </w:tr>
    </w:tbl>
    <w:p w14:paraId="701A135C">
      <w:pPr>
        <w:rPr>
          <w:rFonts w:ascii="Arial"/>
          <w:sz w:val="21"/>
        </w:rPr>
      </w:pPr>
    </w:p>
    <w:p w14:paraId="6C50DE02">
      <w:pPr>
        <w:rPr>
          <w:rFonts w:ascii="Arial" w:hAnsi="Arial" w:eastAsia="Arial" w:cs="Arial"/>
          <w:sz w:val="21"/>
          <w:szCs w:val="21"/>
        </w:rPr>
        <w:sectPr>
          <w:footerReference r:id="rId76" w:type="default"/>
          <w:pgSz w:w="11907" w:h="16840"/>
          <w:pgMar w:top="400" w:right="1682" w:bottom="1240" w:left="1682" w:header="0" w:footer="1077" w:gutter="0"/>
          <w:cols w:space="720" w:num="1"/>
        </w:sectPr>
      </w:pPr>
    </w:p>
    <w:p w14:paraId="535DEDA4">
      <w:pPr>
        <w:spacing w:before="19"/>
      </w:pPr>
    </w:p>
    <w:p w14:paraId="118AAA0F">
      <w:pPr>
        <w:spacing w:before="19"/>
      </w:pPr>
    </w:p>
    <w:p w14:paraId="562D4A22">
      <w:pPr>
        <w:spacing w:before="18"/>
      </w:pPr>
    </w:p>
    <w:p w14:paraId="332FB9B1">
      <w:pPr>
        <w:spacing w:before="18"/>
      </w:pPr>
    </w:p>
    <w:tbl>
      <w:tblPr>
        <w:tblStyle w:val="5"/>
        <w:tblW w:w="852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4"/>
        <w:gridCol w:w="8063"/>
      </w:tblGrid>
      <w:tr w14:paraId="654E1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784" w:hRule="atLeast"/>
        </w:trPr>
        <w:tc>
          <w:tcPr>
            <w:tcW w:w="464" w:type="dxa"/>
            <w:vAlign w:val="top"/>
          </w:tcPr>
          <w:p w14:paraId="262A750E">
            <w:pPr>
              <w:rPr>
                <w:rFonts w:ascii="Arial"/>
                <w:sz w:val="21"/>
              </w:rPr>
            </w:pPr>
          </w:p>
        </w:tc>
        <w:tc>
          <w:tcPr>
            <w:tcW w:w="8063" w:type="dxa"/>
            <w:vAlign w:val="top"/>
          </w:tcPr>
          <w:p w14:paraId="63D520DA">
            <w:pPr>
              <w:pStyle w:val="6"/>
              <w:spacing w:before="44" w:line="356" w:lineRule="auto"/>
              <w:ind w:left="106" w:right="3" w:firstLine="477"/>
              <w:jc w:val="both"/>
              <w:rPr>
                <w:sz w:val="24"/>
                <w:szCs w:val="24"/>
              </w:rPr>
            </w:pPr>
            <w:r>
              <w:rPr>
                <w:spacing w:val="1"/>
                <w:sz w:val="24"/>
                <w:szCs w:val="24"/>
              </w:rPr>
              <w:t>根据《曲靖市环境质量年报（</w:t>
            </w:r>
            <w:r>
              <w:rPr>
                <w:rFonts w:ascii="Times New Roman" w:hAnsi="Times New Roman" w:eastAsia="Times New Roman" w:cs="Times New Roman"/>
                <w:spacing w:val="1"/>
                <w:sz w:val="24"/>
                <w:szCs w:val="24"/>
              </w:rPr>
              <w:t xml:space="preserve">2024 </w:t>
            </w:r>
            <w:r>
              <w:rPr>
                <w:spacing w:val="1"/>
                <w:sz w:val="24"/>
                <w:szCs w:val="24"/>
              </w:rPr>
              <w:t>年）》，</w:t>
            </w:r>
            <w:r>
              <w:rPr>
                <w:rFonts w:ascii="Times New Roman" w:hAnsi="Times New Roman" w:eastAsia="Times New Roman" w:cs="Times New Roman"/>
                <w:spacing w:val="1"/>
                <w:sz w:val="24"/>
                <w:szCs w:val="24"/>
              </w:rPr>
              <w:t xml:space="preserve">2024 </w:t>
            </w:r>
            <w:r>
              <w:rPr>
                <w:spacing w:val="1"/>
                <w:sz w:val="24"/>
                <w:szCs w:val="24"/>
              </w:rPr>
              <w:t>年，曲靖市中心城区</w:t>
            </w:r>
            <w:r>
              <w:rPr>
                <w:spacing w:val="4"/>
                <w:sz w:val="24"/>
                <w:szCs w:val="24"/>
              </w:rPr>
              <w:t>二氧化硫（</w:t>
            </w:r>
            <w:r>
              <w:rPr>
                <w:rFonts w:ascii="Times New Roman" w:hAnsi="Times New Roman" w:eastAsia="Times New Roman" w:cs="Times New Roman"/>
                <w:sz w:val="24"/>
                <w:szCs w:val="24"/>
              </w:rPr>
              <w:t>SO</w:t>
            </w:r>
            <w:r>
              <w:rPr>
                <w:rFonts w:ascii="Times New Roman" w:hAnsi="Times New Roman" w:eastAsia="Times New Roman" w:cs="Times New Roman"/>
                <w:spacing w:val="4"/>
                <w:sz w:val="14"/>
                <w:szCs w:val="14"/>
              </w:rPr>
              <w:t>2</w:t>
            </w:r>
            <w:r>
              <w:rPr>
                <w:spacing w:val="4"/>
                <w:sz w:val="24"/>
                <w:szCs w:val="24"/>
              </w:rPr>
              <w:t>）</w:t>
            </w:r>
            <w:r>
              <w:rPr>
                <w:spacing w:val="-70"/>
                <w:sz w:val="24"/>
                <w:szCs w:val="24"/>
              </w:rPr>
              <w:t xml:space="preserve"> </w:t>
            </w:r>
            <w:r>
              <w:rPr>
                <w:spacing w:val="4"/>
                <w:sz w:val="24"/>
                <w:szCs w:val="24"/>
              </w:rPr>
              <w:t>的平均浓度为</w:t>
            </w:r>
            <w:r>
              <w:rPr>
                <w:spacing w:val="-39"/>
                <w:sz w:val="24"/>
                <w:szCs w:val="24"/>
              </w:rPr>
              <w:t xml:space="preserve"> </w:t>
            </w:r>
            <w:r>
              <w:rPr>
                <w:rFonts w:ascii="Times New Roman" w:hAnsi="Times New Roman" w:eastAsia="Times New Roman" w:cs="Times New Roman"/>
                <w:spacing w:val="4"/>
                <w:sz w:val="24"/>
                <w:szCs w:val="24"/>
              </w:rPr>
              <w:t>7μg/m</w:t>
            </w:r>
            <w:r>
              <w:rPr>
                <w:rFonts w:ascii="Times New Roman" w:hAnsi="Times New Roman" w:eastAsia="Times New Roman" w:cs="Times New Roman"/>
                <w:spacing w:val="4"/>
                <w:position w:val="8"/>
                <w:sz w:val="14"/>
                <w:szCs w:val="14"/>
              </w:rPr>
              <w:t xml:space="preserve">3 </w:t>
            </w:r>
            <w:r>
              <w:rPr>
                <w:spacing w:val="4"/>
                <w:sz w:val="24"/>
                <w:szCs w:val="24"/>
              </w:rPr>
              <w:t>；二氧化氮（</w:t>
            </w:r>
            <w:r>
              <w:rPr>
                <w:rFonts w:ascii="Times New Roman" w:hAnsi="Times New Roman" w:eastAsia="Times New Roman" w:cs="Times New Roman"/>
                <w:sz w:val="24"/>
                <w:szCs w:val="24"/>
              </w:rPr>
              <w:t>NO</w:t>
            </w:r>
            <w:r>
              <w:rPr>
                <w:rFonts w:ascii="Times New Roman" w:hAnsi="Times New Roman" w:eastAsia="Times New Roman" w:cs="Times New Roman"/>
                <w:spacing w:val="4"/>
                <w:sz w:val="14"/>
                <w:szCs w:val="14"/>
              </w:rPr>
              <w:t>2</w:t>
            </w:r>
            <w:r>
              <w:rPr>
                <w:spacing w:val="4"/>
                <w:sz w:val="24"/>
                <w:szCs w:val="24"/>
              </w:rPr>
              <w:t>）</w:t>
            </w:r>
            <w:r>
              <w:rPr>
                <w:spacing w:val="-67"/>
                <w:sz w:val="24"/>
                <w:szCs w:val="24"/>
              </w:rPr>
              <w:t xml:space="preserve"> </w:t>
            </w:r>
            <w:r>
              <w:rPr>
                <w:spacing w:val="4"/>
                <w:sz w:val="24"/>
                <w:szCs w:val="24"/>
              </w:rPr>
              <w:t>的平</w:t>
            </w:r>
            <w:r>
              <w:rPr>
                <w:spacing w:val="3"/>
                <w:sz w:val="24"/>
                <w:szCs w:val="24"/>
              </w:rPr>
              <w:t>均浓度为</w:t>
            </w:r>
            <w:r>
              <w:rPr>
                <w:rFonts w:ascii="Times New Roman" w:hAnsi="Times New Roman" w:eastAsia="Times New Roman" w:cs="Times New Roman"/>
                <w:spacing w:val="-2"/>
                <w:sz w:val="24"/>
                <w:szCs w:val="24"/>
              </w:rPr>
              <w:t>13μg/m</w:t>
            </w:r>
            <w:r>
              <w:rPr>
                <w:rFonts w:ascii="Times New Roman" w:hAnsi="Times New Roman" w:eastAsia="Times New Roman" w:cs="Times New Roman"/>
                <w:spacing w:val="-2"/>
                <w:position w:val="7"/>
                <w:sz w:val="14"/>
                <w:szCs w:val="14"/>
              </w:rPr>
              <w:t xml:space="preserve">3 </w:t>
            </w:r>
            <w:r>
              <w:rPr>
                <w:spacing w:val="-2"/>
                <w:sz w:val="24"/>
                <w:szCs w:val="24"/>
              </w:rPr>
              <w:t>；可吸入颗粒物（</w:t>
            </w:r>
            <w:r>
              <w:rPr>
                <w:rFonts w:ascii="Times New Roman" w:hAnsi="Times New Roman" w:eastAsia="Times New Roman" w:cs="Times New Roman"/>
                <w:spacing w:val="-2"/>
                <w:sz w:val="24"/>
                <w:szCs w:val="24"/>
              </w:rPr>
              <w:t>PM</w:t>
            </w:r>
            <w:r>
              <w:rPr>
                <w:rFonts w:ascii="Times New Roman" w:hAnsi="Times New Roman" w:eastAsia="Times New Roman" w:cs="Times New Roman"/>
                <w:spacing w:val="-2"/>
                <w:sz w:val="14"/>
                <w:szCs w:val="14"/>
              </w:rPr>
              <w:t>10</w:t>
            </w:r>
            <w:r>
              <w:rPr>
                <w:spacing w:val="-2"/>
                <w:sz w:val="24"/>
                <w:szCs w:val="24"/>
              </w:rPr>
              <w:t>）的平均</w:t>
            </w:r>
            <w:r>
              <w:rPr>
                <w:spacing w:val="-3"/>
                <w:sz w:val="24"/>
                <w:szCs w:val="24"/>
              </w:rPr>
              <w:t>浓度为</w:t>
            </w:r>
            <w:r>
              <w:rPr>
                <w:spacing w:val="-50"/>
                <w:sz w:val="24"/>
                <w:szCs w:val="24"/>
              </w:rPr>
              <w:t xml:space="preserve"> </w:t>
            </w:r>
            <w:r>
              <w:rPr>
                <w:rFonts w:ascii="Times New Roman" w:hAnsi="Times New Roman" w:eastAsia="Times New Roman" w:cs="Times New Roman"/>
                <w:spacing w:val="-3"/>
                <w:sz w:val="24"/>
                <w:szCs w:val="24"/>
              </w:rPr>
              <w:t>32μg/m</w:t>
            </w:r>
            <w:r>
              <w:rPr>
                <w:rFonts w:ascii="Times New Roman" w:hAnsi="Times New Roman" w:eastAsia="Times New Roman" w:cs="Times New Roman"/>
                <w:spacing w:val="-3"/>
                <w:position w:val="7"/>
                <w:sz w:val="14"/>
                <w:szCs w:val="14"/>
              </w:rPr>
              <w:t xml:space="preserve">3 </w:t>
            </w:r>
            <w:r>
              <w:rPr>
                <w:spacing w:val="-3"/>
                <w:sz w:val="24"/>
                <w:szCs w:val="24"/>
              </w:rPr>
              <w:t>；细颗粒物（</w:t>
            </w:r>
            <w:r>
              <w:rPr>
                <w:rFonts w:ascii="Times New Roman" w:hAnsi="Times New Roman" w:eastAsia="Times New Roman" w:cs="Times New Roman"/>
                <w:spacing w:val="-3"/>
                <w:sz w:val="24"/>
                <w:szCs w:val="24"/>
              </w:rPr>
              <w:t>PM</w:t>
            </w:r>
            <w:r>
              <w:rPr>
                <w:rFonts w:ascii="Times New Roman" w:hAnsi="Times New Roman" w:eastAsia="Times New Roman" w:cs="Times New Roman"/>
                <w:spacing w:val="-3"/>
                <w:position w:val="-1"/>
                <w:sz w:val="14"/>
                <w:szCs w:val="14"/>
              </w:rPr>
              <w:t>2.</w:t>
            </w:r>
            <w:r>
              <w:rPr>
                <w:rFonts w:ascii="Times New Roman" w:hAnsi="Times New Roman" w:eastAsia="Times New Roman" w:cs="Times New Roman"/>
                <w:spacing w:val="-3"/>
                <w:sz w:val="14"/>
                <w:szCs w:val="14"/>
              </w:rPr>
              <w:t>5</w:t>
            </w:r>
            <w:r>
              <w:rPr>
                <w:spacing w:val="-3"/>
                <w:sz w:val="24"/>
                <w:szCs w:val="24"/>
              </w:rPr>
              <w:t>）</w:t>
            </w:r>
            <w:r>
              <w:rPr>
                <w:spacing w:val="-2"/>
                <w:sz w:val="24"/>
                <w:szCs w:val="24"/>
              </w:rPr>
              <w:t>的平均浓度为</w:t>
            </w:r>
            <w:r>
              <w:rPr>
                <w:spacing w:val="-41"/>
                <w:sz w:val="24"/>
                <w:szCs w:val="24"/>
              </w:rPr>
              <w:t xml:space="preserve"> </w:t>
            </w:r>
            <w:r>
              <w:rPr>
                <w:rFonts w:ascii="Times New Roman" w:hAnsi="Times New Roman" w:eastAsia="Times New Roman" w:cs="Times New Roman"/>
                <w:spacing w:val="-2"/>
                <w:sz w:val="24"/>
                <w:szCs w:val="24"/>
              </w:rPr>
              <w:t>7μg/m</w:t>
            </w:r>
            <w:r>
              <w:rPr>
                <w:rFonts w:ascii="Times New Roman" w:hAnsi="Times New Roman" w:eastAsia="Times New Roman" w:cs="Times New Roman"/>
                <w:spacing w:val="-2"/>
                <w:position w:val="8"/>
                <w:sz w:val="14"/>
                <w:szCs w:val="14"/>
              </w:rPr>
              <w:t xml:space="preserve">3 </w:t>
            </w:r>
            <w:r>
              <w:rPr>
                <w:spacing w:val="-2"/>
                <w:sz w:val="24"/>
                <w:szCs w:val="24"/>
              </w:rPr>
              <w:t>；一氧化碳（</w:t>
            </w:r>
            <w:r>
              <w:rPr>
                <w:rFonts w:ascii="Times New Roman" w:hAnsi="Times New Roman" w:eastAsia="Times New Roman" w:cs="Times New Roman"/>
                <w:spacing w:val="-2"/>
                <w:sz w:val="24"/>
                <w:szCs w:val="24"/>
              </w:rPr>
              <w:t>CO</w:t>
            </w:r>
            <w:r>
              <w:rPr>
                <w:spacing w:val="-2"/>
                <w:sz w:val="24"/>
                <w:szCs w:val="24"/>
              </w:rPr>
              <w:t>）的</w:t>
            </w:r>
            <w:r>
              <w:rPr>
                <w:spacing w:val="-52"/>
                <w:sz w:val="24"/>
                <w:szCs w:val="24"/>
              </w:rPr>
              <w:t xml:space="preserve"> </w:t>
            </w:r>
            <w:r>
              <w:rPr>
                <w:rFonts w:ascii="Times New Roman" w:hAnsi="Times New Roman" w:eastAsia="Times New Roman" w:cs="Times New Roman"/>
                <w:spacing w:val="-2"/>
                <w:sz w:val="24"/>
                <w:szCs w:val="24"/>
              </w:rPr>
              <w:t>24</w:t>
            </w:r>
            <w:r>
              <w:rPr>
                <w:rFonts w:ascii="Times New Roman" w:hAnsi="Times New Roman" w:eastAsia="Times New Roman" w:cs="Times New Roman"/>
                <w:spacing w:val="15"/>
                <w:w w:val="101"/>
                <w:sz w:val="24"/>
                <w:szCs w:val="24"/>
              </w:rPr>
              <w:t xml:space="preserve"> </w:t>
            </w:r>
            <w:r>
              <w:rPr>
                <w:spacing w:val="-2"/>
                <w:sz w:val="24"/>
                <w:szCs w:val="24"/>
              </w:rPr>
              <w:t>小时平均浓度第</w:t>
            </w:r>
            <w:r>
              <w:rPr>
                <w:spacing w:val="-48"/>
                <w:sz w:val="24"/>
                <w:szCs w:val="24"/>
              </w:rPr>
              <w:t xml:space="preserve"> </w:t>
            </w:r>
            <w:r>
              <w:rPr>
                <w:rFonts w:ascii="Times New Roman" w:hAnsi="Times New Roman" w:eastAsia="Times New Roman" w:cs="Times New Roman"/>
                <w:spacing w:val="-2"/>
                <w:sz w:val="24"/>
                <w:szCs w:val="24"/>
              </w:rPr>
              <w:t>95</w:t>
            </w:r>
            <w:r>
              <w:rPr>
                <w:rFonts w:ascii="Times New Roman" w:hAnsi="Times New Roman" w:eastAsia="Times New Roman" w:cs="Times New Roman"/>
                <w:spacing w:val="18"/>
                <w:sz w:val="24"/>
                <w:szCs w:val="24"/>
              </w:rPr>
              <w:t xml:space="preserve"> </w:t>
            </w:r>
            <w:r>
              <w:rPr>
                <w:spacing w:val="-2"/>
                <w:sz w:val="24"/>
                <w:szCs w:val="24"/>
              </w:rPr>
              <w:t>百分位数为</w:t>
            </w:r>
            <w:r>
              <w:rPr>
                <w:spacing w:val="-52"/>
                <w:sz w:val="24"/>
                <w:szCs w:val="24"/>
              </w:rPr>
              <w:t xml:space="preserve"> </w:t>
            </w:r>
            <w:r>
              <w:rPr>
                <w:rFonts w:ascii="Times New Roman" w:hAnsi="Times New Roman" w:eastAsia="Times New Roman" w:cs="Times New Roman"/>
                <w:spacing w:val="-2"/>
                <w:sz w:val="24"/>
                <w:szCs w:val="24"/>
              </w:rPr>
              <w:t>0.8mg/m</w:t>
            </w:r>
            <w:r>
              <w:rPr>
                <w:rFonts w:ascii="Times New Roman" w:hAnsi="Times New Roman" w:eastAsia="Times New Roman" w:cs="Times New Roman"/>
                <w:spacing w:val="-2"/>
                <w:position w:val="7"/>
                <w:sz w:val="14"/>
                <w:szCs w:val="14"/>
              </w:rPr>
              <w:t>3</w:t>
            </w:r>
            <w:r>
              <w:rPr>
                <w:spacing w:val="-20"/>
                <w:sz w:val="24"/>
                <w:szCs w:val="24"/>
              </w:rPr>
              <w:t>；臭氧（</w:t>
            </w:r>
            <w:r>
              <w:rPr>
                <w:rFonts w:ascii="Times New Roman" w:hAnsi="Times New Roman" w:eastAsia="Times New Roman" w:cs="Times New Roman"/>
                <w:spacing w:val="-20"/>
                <w:sz w:val="24"/>
                <w:szCs w:val="24"/>
              </w:rPr>
              <w:t>O</w:t>
            </w:r>
            <w:r>
              <w:rPr>
                <w:rFonts w:ascii="Times New Roman" w:hAnsi="Times New Roman" w:eastAsia="Times New Roman" w:cs="Times New Roman"/>
                <w:spacing w:val="-10"/>
                <w:sz w:val="14"/>
                <w:szCs w:val="14"/>
              </w:rPr>
              <w:t>3</w:t>
            </w:r>
            <w:r>
              <w:rPr>
                <w:spacing w:val="-10"/>
                <w:sz w:val="24"/>
                <w:szCs w:val="24"/>
              </w:rPr>
              <w:t>）日最大</w:t>
            </w:r>
            <w:r>
              <w:rPr>
                <w:spacing w:val="-45"/>
                <w:sz w:val="24"/>
                <w:szCs w:val="24"/>
              </w:rPr>
              <w:t xml:space="preserve"> </w:t>
            </w:r>
            <w:r>
              <w:rPr>
                <w:rFonts w:ascii="Times New Roman" w:hAnsi="Times New Roman" w:eastAsia="Times New Roman" w:cs="Times New Roman"/>
                <w:spacing w:val="-4"/>
                <w:sz w:val="24"/>
                <w:szCs w:val="24"/>
              </w:rPr>
              <w:t>8</w:t>
            </w:r>
            <w:r>
              <w:rPr>
                <w:rFonts w:ascii="Times New Roman" w:hAnsi="Times New Roman" w:eastAsia="Times New Roman" w:cs="Times New Roman"/>
                <w:spacing w:val="16"/>
                <w:sz w:val="24"/>
                <w:szCs w:val="24"/>
              </w:rPr>
              <w:t xml:space="preserve"> </w:t>
            </w:r>
            <w:r>
              <w:rPr>
                <w:spacing w:val="-4"/>
                <w:sz w:val="24"/>
                <w:szCs w:val="24"/>
              </w:rPr>
              <w:t>小时平均浓度第</w:t>
            </w:r>
            <w:r>
              <w:rPr>
                <w:spacing w:val="-50"/>
                <w:sz w:val="24"/>
                <w:szCs w:val="24"/>
              </w:rPr>
              <w:t xml:space="preserve"> </w:t>
            </w:r>
            <w:r>
              <w:rPr>
                <w:rFonts w:ascii="Times New Roman" w:hAnsi="Times New Roman" w:eastAsia="Times New Roman" w:cs="Times New Roman"/>
                <w:spacing w:val="-4"/>
                <w:sz w:val="24"/>
                <w:szCs w:val="24"/>
              </w:rPr>
              <w:t>90</w:t>
            </w:r>
            <w:r>
              <w:rPr>
                <w:rFonts w:ascii="Times New Roman" w:hAnsi="Times New Roman" w:eastAsia="Times New Roman" w:cs="Times New Roman"/>
                <w:spacing w:val="17"/>
                <w:w w:val="101"/>
                <w:sz w:val="24"/>
                <w:szCs w:val="24"/>
              </w:rPr>
              <w:t xml:space="preserve"> </w:t>
            </w:r>
            <w:r>
              <w:rPr>
                <w:spacing w:val="-4"/>
                <w:sz w:val="24"/>
                <w:szCs w:val="24"/>
              </w:rPr>
              <w:t>百分位数为</w:t>
            </w:r>
            <w:r>
              <w:rPr>
                <w:spacing w:val="-32"/>
                <w:sz w:val="24"/>
                <w:szCs w:val="24"/>
              </w:rPr>
              <w:t xml:space="preserve"> </w:t>
            </w:r>
            <w:r>
              <w:rPr>
                <w:rFonts w:ascii="Times New Roman" w:hAnsi="Times New Roman" w:eastAsia="Times New Roman" w:cs="Times New Roman"/>
                <w:spacing w:val="-4"/>
                <w:sz w:val="24"/>
                <w:szCs w:val="24"/>
              </w:rPr>
              <w:t>138μg/m</w:t>
            </w:r>
            <w:r>
              <w:rPr>
                <w:rFonts w:ascii="Times New Roman" w:hAnsi="Times New Roman" w:eastAsia="Times New Roman" w:cs="Times New Roman"/>
                <w:spacing w:val="-4"/>
                <w:position w:val="7"/>
                <w:sz w:val="14"/>
                <w:szCs w:val="14"/>
              </w:rPr>
              <w:t>3</w:t>
            </w:r>
            <w:r>
              <w:rPr>
                <w:spacing w:val="-4"/>
                <w:sz w:val="24"/>
                <w:szCs w:val="24"/>
              </w:rPr>
              <w:t>。</w:t>
            </w:r>
            <w:r>
              <w:rPr>
                <w:spacing w:val="-1"/>
                <w:sz w:val="24"/>
                <w:szCs w:val="24"/>
              </w:rPr>
              <w:t>各项污染物浓度均在国家标准限值以内。</w:t>
            </w:r>
          </w:p>
          <w:p w14:paraId="4EE2231D">
            <w:pPr>
              <w:pStyle w:val="6"/>
              <w:spacing w:before="21" w:line="351" w:lineRule="auto"/>
              <w:ind w:left="104" w:right="103" w:firstLine="502"/>
              <w:rPr>
                <w:sz w:val="24"/>
                <w:szCs w:val="24"/>
              </w:rPr>
            </w:pPr>
            <w:r>
              <w:rPr>
                <w:spacing w:val="-8"/>
                <w:sz w:val="24"/>
                <w:szCs w:val="24"/>
              </w:rPr>
              <w:t>同时，根据曲靖市各县市区</w:t>
            </w:r>
            <w:r>
              <w:rPr>
                <w:spacing w:val="-59"/>
                <w:sz w:val="24"/>
                <w:szCs w:val="24"/>
              </w:rPr>
              <w:t xml:space="preserve"> </w:t>
            </w:r>
            <w:r>
              <w:rPr>
                <w:rFonts w:ascii="Times New Roman" w:hAnsi="Times New Roman" w:eastAsia="Times New Roman" w:cs="Times New Roman"/>
                <w:spacing w:val="-8"/>
                <w:sz w:val="24"/>
                <w:szCs w:val="24"/>
              </w:rPr>
              <w:t xml:space="preserve">2024 </w:t>
            </w:r>
            <w:r>
              <w:rPr>
                <w:spacing w:val="-8"/>
                <w:sz w:val="24"/>
                <w:szCs w:val="24"/>
              </w:rPr>
              <w:t>年六项污染物浓度统计表，陆良县</w:t>
            </w:r>
            <w:r>
              <w:rPr>
                <w:spacing w:val="-57"/>
                <w:sz w:val="24"/>
                <w:szCs w:val="24"/>
              </w:rPr>
              <w:t xml:space="preserve"> </w:t>
            </w:r>
            <w:r>
              <w:rPr>
                <w:rFonts w:ascii="Times New Roman" w:hAnsi="Times New Roman" w:eastAsia="Times New Roman" w:cs="Times New Roman"/>
                <w:spacing w:val="-8"/>
                <w:sz w:val="24"/>
                <w:szCs w:val="24"/>
              </w:rPr>
              <w:t>2024</w:t>
            </w:r>
            <w:r>
              <w:rPr>
                <w:spacing w:val="-1"/>
                <w:sz w:val="24"/>
                <w:szCs w:val="24"/>
              </w:rPr>
              <w:t>年环境空气污染物浓度如下表所示：</w:t>
            </w:r>
          </w:p>
          <w:p w14:paraId="78A94FCD">
            <w:pPr>
              <w:pStyle w:val="6"/>
              <w:spacing w:line="217" w:lineRule="auto"/>
              <w:ind w:left="2134"/>
              <w:rPr>
                <w:sz w:val="19"/>
                <w:szCs w:val="19"/>
              </w:rPr>
            </w:pPr>
            <w:r>
              <w:rPr>
                <w:b/>
                <w:bCs/>
                <w:spacing w:val="6"/>
                <w:sz w:val="19"/>
                <w:szCs w:val="19"/>
              </w:rPr>
              <w:t>表</w:t>
            </w:r>
            <w:r>
              <w:rPr>
                <w:spacing w:val="-41"/>
                <w:sz w:val="19"/>
                <w:szCs w:val="19"/>
              </w:rPr>
              <w:t xml:space="preserve"> </w:t>
            </w:r>
            <w:r>
              <w:rPr>
                <w:rFonts w:ascii="Times New Roman" w:hAnsi="Times New Roman" w:eastAsia="Times New Roman" w:cs="Times New Roman"/>
                <w:b/>
                <w:bCs/>
                <w:spacing w:val="6"/>
                <w:sz w:val="19"/>
                <w:szCs w:val="19"/>
              </w:rPr>
              <w:t xml:space="preserve">3-3    </w:t>
            </w:r>
            <w:r>
              <w:rPr>
                <w:b/>
                <w:bCs/>
                <w:spacing w:val="6"/>
                <w:sz w:val="19"/>
                <w:szCs w:val="19"/>
              </w:rPr>
              <w:t>陆良县</w:t>
            </w:r>
            <w:r>
              <w:rPr>
                <w:spacing w:val="-37"/>
                <w:sz w:val="19"/>
                <w:szCs w:val="19"/>
              </w:rPr>
              <w:t xml:space="preserve"> </w:t>
            </w:r>
            <w:r>
              <w:rPr>
                <w:rFonts w:ascii="Times New Roman" w:hAnsi="Times New Roman" w:eastAsia="Times New Roman" w:cs="Times New Roman"/>
                <w:b/>
                <w:bCs/>
                <w:spacing w:val="6"/>
                <w:sz w:val="19"/>
                <w:szCs w:val="19"/>
              </w:rPr>
              <w:t xml:space="preserve">2024 </w:t>
            </w:r>
            <w:r>
              <w:rPr>
                <w:b/>
                <w:bCs/>
                <w:spacing w:val="6"/>
                <w:sz w:val="19"/>
                <w:szCs w:val="19"/>
              </w:rPr>
              <w:t>年环境空气质量</w:t>
            </w:r>
            <w:r>
              <w:rPr>
                <w:b/>
                <w:bCs/>
                <w:spacing w:val="5"/>
                <w:sz w:val="19"/>
                <w:szCs w:val="19"/>
              </w:rPr>
              <w:t>现状评价表</w:t>
            </w:r>
          </w:p>
          <w:tbl>
            <w:tblPr>
              <w:tblStyle w:val="5"/>
              <w:tblW w:w="7841" w:type="dxa"/>
              <w:tblInd w:w="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9"/>
              <w:gridCol w:w="2032"/>
              <w:gridCol w:w="1848"/>
              <w:gridCol w:w="1727"/>
              <w:gridCol w:w="1415"/>
            </w:tblGrid>
            <w:tr w14:paraId="2CA89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819" w:type="dxa"/>
                  <w:vAlign w:val="top"/>
                </w:tcPr>
                <w:p w14:paraId="56A5BEE2">
                  <w:pPr>
                    <w:pStyle w:val="6"/>
                    <w:spacing w:before="50" w:line="228" w:lineRule="auto"/>
                    <w:ind w:left="99"/>
                  </w:pPr>
                  <w:r>
                    <w:rPr>
                      <w:b/>
                      <w:bCs/>
                      <w:spacing w:val="5"/>
                    </w:rPr>
                    <w:t>污染物</w:t>
                  </w:r>
                </w:p>
              </w:tc>
              <w:tc>
                <w:tcPr>
                  <w:tcW w:w="2032" w:type="dxa"/>
                  <w:vAlign w:val="top"/>
                </w:tcPr>
                <w:p w14:paraId="728B40CC">
                  <w:pPr>
                    <w:pStyle w:val="6"/>
                    <w:spacing w:before="50" w:line="226" w:lineRule="auto"/>
                    <w:ind w:left="494"/>
                  </w:pPr>
                  <w:r>
                    <w:rPr>
                      <w:b/>
                      <w:bCs/>
                      <w:spacing w:val="6"/>
                    </w:rPr>
                    <w:t>年评价指标</w:t>
                  </w:r>
                </w:p>
              </w:tc>
              <w:tc>
                <w:tcPr>
                  <w:tcW w:w="1848" w:type="dxa"/>
                  <w:vAlign w:val="top"/>
                </w:tcPr>
                <w:p w14:paraId="4B52B555">
                  <w:pPr>
                    <w:pStyle w:val="6"/>
                    <w:spacing w:before="50" w:line="239" w:lineRule="auto"/>
                    <w:ind w:left="18"/>
                  </w:pPr>
                  <w:r>
                    <w:rPr>
                      <w:b/>
                      <w:bCs/>
                      <w:spacing w:val="4"/>
                    </w:rPr>
                    <w:t>现状浓度</w:t>
                  </w:r>
                  <w:r>
                    <w:rPr>
                      <w:spacing w:val="4"/>
                    </w:rPr>
                    <w:t xml:space="preserve"> </w:t>
                  </w:r>
                  <w:r>
                    <w:rPr>
                      <w:b/>
                      <w:bCs/>
                      <w:spacing w:val="4"/>
                    </w:rPr>
                    <w:t>(</w:t>
                  </w:r>
                  <w:r>
                    <w:rPr>
                      <w:rFonts w:ascii="Times New Roman" w:hAnsi="Times New Roman" w:eastAsia="Times New Roman" w:cs="Times New Roman"/>
                      <w:b/>
                      <w:bCs/>
                      <w:spacing w:val="4"/>
                    </w:rPr>
                    <w:t>μg/m3</w:t>
                  </w:r>
                  <w:r>
                    <w:rPr>
                      <w:b/>
                      <w:bCs/>
                      <w:spacing w:val="4"/>
                    </w:rPr>
                    <w:t>）</w:t>
                  </w:r>
                </w:p>
              </w:tc>
              <w:tc>
                <w:tcPr>
                  <w:tcW w:w="1727" w:type="dxa"/>
                  <w:vAlign w:val="top"/>
                </w:tcPr>
                <w:p w14:paraId="06A3F675">
                  <w:pPr>
                    <w:pStyle w:val="6"/>
                    <w:spacing w:before="50" w:line="239" w:lineRule="auto"/>
                    <w:ind w:left="63"/>
                  </w:pPr>
                  <w:r>
                    <w:rPr>
                      <w:b/>
                      <w:bCs/>
                      <w:spacing w:val="3"/>
                    </w:rPr>
                    <w:t>标准值</w:t>
                  </w:r>
                  <w:r>
                    <w:rPr>
                      <w:spacing w:val="19"/>
                    </w:rPr>
                    <w:t xml:space="preserve"> </w:t>
                  </w:r>
                  <w:r>
                    <w:rPr>
                      <w:b/>
                      <w:bCs/>
                      <w:spacing w:val="3"/>
                    </w:rPr>
                    <w:t>(</w:t>
                  </w:r>
                  <w:r>
                    <w:rPr>
                      <w:rFonts w:ascii="Times New Roman" w:hAnsi="Times New Roman" w:eastAsia="Times New Roman" w:cs="Times New Roman"/>
                      <w:b/>
                      <w:bCs/>
                      <w:spacing w:val="3"/>
                    </w:rPr>
                    <w:t>μg/m3</w:t>
                  </w:r>
                  <w:r>
                    <w:rPr>
                      <w:b/>
                      <w:bCs/>
                      <w:spacing w:val="3"/>
                    </w:rPr>
                    <w:t>）</w:t>
                  </w:r>
                </w:p>
              </w:tc>
              <w:tc>
                <w:tcPr>
                  <w:tcW w:w="1415" w:type="dxa"/>
                  <w:vAlign w:val="top"/>
                </w:tcPr>
                <w:p w14:paraId="4D9610DA">
                  <w:pPr>
                    <w:pStyle w:val="6"/>
                    <w:spacing w:before="49" w:line="228" w:lineRule="auto"/>
                    <w:ind w:left="85"/>
                  </w:pPr>
                  <w:r>
                    <w:rPr>
                      <w:b/>
                      <w:bCs/>
                      <w:spacing w:val="6"/>
                    </w:rPr>
                    <w:t>是否满足标准</w:t>
                  </w:r>
                </w:p>
              </w:tc>
            </w:tr>
            <w:tr w14:paraId="2907A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819" w:type="dxa"/>
                  <w:vAlign w:val="top"/>
                </w:tcPr>
                <w:p w14:paraId="79C9E3A5">
                  <w:pPr>
                    <w:spacing w:before="62" w:line="202" w:lineRule="auto"/>
                    <w:ind w:left="124"/>
                    <w:rPr>
                      <w:rFonts w:ascii="Times New Roman" w:hAnsi="Times New Roman" w:eastAsia="Times New Roman" w:cs="Times New Roman"/>
                      <w:sz w:val="20"/>
                      <w:szCs w:val="20"/>
                    </w:rPr>
                  </w:pPr>
                  <w:r>
                    <w:rPr>
                      <w:rFonts w:ascii="Times New Roman" w:hAnsi="Times New Roman" w:eastAsia="Times New Roman" w:cs="Times New Roman"/>
                      <w:sz w:val="20"/>
                      <w:szCs w:val="20"/>
                    </w:rPr>
                    <w:t>PM</w:t>
                  </w:r>
                  <w:r>
                    <w:rPr>
                      <w:rFonts w:ascii="Times New Roman" w:hAnsi="Times New Roman" w:eastAsia="Times New Roman" w:cs="Times New Roman"/>
                      <w:spacing w:val="8"/>
                      <w:sz w:val="20"/>
                      <w:szCs w:val="20"/>
                    </w:rPr>
                    <w:t>2.5</w:t>
                  </w:r>
                </w:p>
              </w:tc>
              <w:tc>
                <w:tcPr>
                  <w:tcW w:w="2032" w:type="dxa"/>
                  <w:vAlign w:val="top"/>
                </w:tcPr>
                <w:p w14:paraId="1D1FFAAC">
                  <w:pPr>
                    <w:pStyle w:val="6"/>
                    <w:spacing w:before="29" w:line="214" w:lineRule="auto"/>
                    <w:ind w:left="602"/>
                  </w:pPr>
                  <w:r>
                    <w:rPr>
                      <w:spacing w:val="7"/>
                    </w:rPr>
                    <w:t>年均浓度</w:t>
                  </w:r>
                </w:p>
              </w:tc>
              <w:tc>
                <w:tcPr>
                  <w:tcW w:w="1848" w:type="dxa"/>
                  <w:vAlign w:val="top"/>
                </w:tcPr>
                <w:p w14:paraId="07B10044">
                  <w:pPr>
                    <w:spacing w:before="64" w:line="195" w:lineRule="auto"/>
                    <w:ind w:left="74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23.0</w:t>
                  </w:r>
                </w:p>
              </w:tc>
              <w:tc>
                <w:tcPr>
                  <w:tcW w:w="1727" w:type="dxa"/>
                  <w:vAlign w:val="top"/>
                </w:tcPr>
                <w:p w14:paraId="0F507A6D">
                  <w:pPr>
                    <w:spacing w:before="64" w:line="195" w:lineRule="auto"/>
                    <w:ind w:left="6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35.0</w:t>
                  </w:r>
                </w:p>
              </w:tc>
              <w:tc>
                <w:tcPr>
                  <w:tcW w:w="1415" w:type="dxa"/>
                  <w:vAlign w:val="top"/>
                </w:tcPr>
                <w:p w14:paraId="3367535F">
                  <w:pPr>
                    <w:pStyle w:val="6"/>
                    <w:spacing w:before="29" w:line="214" w:lineRule="auto"/>
                    <w:ind w:left="504"/>
                  </w:pPr>
                  <w:r>
                    <w:rPr>
                      <w:spacing w:val="4"/>
                    </w:rPr>
                    <w:t>满足</w:t>
                  </w:r>
                </w:p>
              </w:tc>
            </w:tr>
            <w:tr w14:paraId="0ED05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 w:hRule="atLeast"/>
              </w:trPr>
              <w:tc>
                <w:tcPr>
                  <w:tcW w:w="819" w:type="dxa"/>
                  <w:vAlign w:val="top"/>
                </w:tcPr>
                <w:p w14:paraId="5CF48D96">
                  <w:pPr>
                    <w:spacing w:before="62" w:line="202" w:lineRule="auto"/>
                    <w:ind w:left="151"/>
                    <w:rPr>
                      <w:rFonts w:ascii="Times New Roman" w:hAnsi="Times New Roman" w:eastAsia="Times New Roman" w:cs="Times New Roman"/>
                      <w:sz w:val="20"/>
                      <w:szCs w:val="20"/>
                    </w:rPr>
                  </w:pPr>
                  <w:r>
                    <w:rPr>
                      <w:rFonts w:ascii="Times New Roman" w:hAnsi="Times New Roman" w:eastAsia="Times New Roman" w:cs="Times New Roman"/>
                      <w:sz w:val="20"/>
                      <w:szCs w:val="20"/>
                    </w:rPr>
                    <w:t>PM</w:t>
                  </w:r>
                  <w:r>
                    <w:rPr>
                      <w:rFonts w:ascii="Times New Roman" w:hAnsi="Times New Roman" w:eastAsia="Times New Roman" w:cs="Times New Roman"/>
                      <w:spacing w:val="11"/>
                      <w:sz w:val="20"/>
                      <w:szCs w:val="20"/>
                    </w:rPr>
                    <w:t>10</w:t>
                  </w:r>
                </w:p>
              </w:tc>
              <w:tc>
                <w:tcPr>
                  <w:tcW w:w="2032" w:type="dxa"/>
                  <w:vAlign w:val="top"/>
                </w:tcPr>
                <w:p w14:paraId="55FDC643">
                  <w:pPr>
                    <w:pStyle w:val="6"/>
                    <w:spacing w:before="29" w:line="215" w:lineRule="auto"/>
                    <w:ind w:left="602"/>
                  </w:pPr>
                  <w:r>
                    <w:rPr>
                      <w:spacing w:val="7"/>
                    </w:rPr>
                    <w:t>年均浓度</w:t>
                  </w:r>
                </w:p>
              </w:tc>
              <w:tc>
                <w:tcPr>
                  <w:tcW w:w="1848" w:type="dxa"/>
                  <w:vAlign w:val="top"/>
                </w:tcPr>
                <w:p w14:paraId="04A3C626">
                  <w:pPr>
                    <w:spacing w:before="64" w:line="195" w:lineRule="auto"/>
                    <w:ind w:left="7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36.0</w:t>
                  </w:r>
                </w:p>
              </w:tc>
              <w:tc>
                <w:tcPr>
                  <w:tcW w:w="1727" w:type="dxa"/>
                  <w:vAlign w:val="top"/>
                </w:tcPr>
                <w:p w14:paraId="7687BC19">
                  <w:pPr>
                    <w:spacing w:before="64" w:line="195" w:lineRule="auto"/>
                    <w:ind w:left="68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70.0</w:t>
                  </w:r>
                </w:p>
              </w:tc>
              <w:tc>
                <w:tcPr>
                  <w:tcW w:w="1415" w:type="dxa"/>
                  <w:vAlign w:val="top"/>
                </w:tcPr>
                <w:p w14:paraId="12C97F67">
                  <w:pPr>
                    <w:pStyle w:val="6"/>
                    <w:spacing w:before="29" w:line="215" w:lineRule="auto"/>
                    <w:ind w:left="504"/>
                  </w:pPr>
                  <w:r>
                    <w:rPr>
                      <w:spacing w:val="4"/>
                    </w:rPr>
                    <w:t>满足</w:t>
                  </w:r>
                </w:p>
              </w:tc>
            </w:tr>
            <w:tr w14:paraId="329D0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 w:hRule="atLeast"/>
              </w:trPr>
              <w:tc>
                <w:tcPr>
                  <w:tcW w:w="819" w:type="dxa"/>
                  <w:vAlign w:val="top"/>
                </w:tcPr>
                <w:p w14:paraId="5B8FCC8C">
                  <w:pPr>
                    <w:spacing w:before="61" w:line="202" w:lineRule="auto"/>
                    <w:ind w:left="232"/>
                    <w:rPr>
                      <w:rFonts w:ascii="Times New Roman" w:hAnsi="Times New Roman" w:eastAsia="Times New Roman" w:cs="Times New Roman"/>
                      <w:sz w:val="20"/>
                      <w:szCs w:val="20"/>
                    </w:rPr>
                  </w:pPr>
                  <w:r>
                    <w:rPr>
                      <w:rFonts w:ascii="Times New Roman" w:hAnsi="Times New Roman" w:eastAsia="Times New Roman" w:cs="Times New Roman"/>
                      <w:sz w:val="20"/>
                      <w:szCs w:val="20"/>
                    </w:rPr>
                    <w:t>SO</w:t>
                  </w:r>
                  <w:r>
                    <w:rPr>
                      <w:rFonts w:ascii="Times New Roman" w:hAnsi="Times New Roman" w:eastAsia="Times New Roman" w:cs="Times New Roman"/>
                      <w:spacing w:val="4"/>
                      <w:sz w:val="20"/>
                      <w:szCs w:val="20"/>
                    </w:rPr>
                    <w:t>2</w:t>
                  </w:r>
                </w:p>
              </w:tc>
              <w:tc>
                <w:tcPr>
                  <w:tcW w:w="2032" w:type="dxa"/>
                  <w:vAlign w:val="top"/>
                </w:tcPr>
                <w:p w14:paraId="45EEB1FD">
                  <w:pPr>
                    <w:pStyle w:val="6"/>
                    <w:spacing w:before="30" w:line="214" w:lineRule="auto"/>
                    <w:ind w:left="602"/>
                  </w:pPr>
                  <w:r>
                    <w:rPr>
                      <w:spacing w:val="7"/>
                    </w:rPr>
                    <w:t>年均浓度</w:t>
                  </w:r>
                </w:p>
              </w:tc>
              <w:tc>
                <w:tcPr>
                  <w:tcW w:w="1848" w:type="dxa"/>
                  <w:vAlign w:val="top"/>
                </w:tcPr>
                <w:p w14:paraId="3D15392F">
                  <w:pPr>
                    <w:spacing w:before="65" w:line="195" w:lineRule="auto"/>
                    <w:ind w:left="76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12.0</w:t>
                  </w:r>
                </w:p>
              </w:tc>
              <w:tc>
                <w:tcPr>
                  <w:tcW w:w="1727" w:type="dxa"/>
                  <w:vAlign w:val="top"/>
                </w:tcPr>
                <w:p w14:paraId="52AE089F">
                  <w:pPr>
                    <w:spacing w:before="65" w:line="195" w:lineRule="auto"/>
                    <w:ind w:left="6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60.0</w:t>
                  </w:r>
                </w:p>
              </w:tc>
              <w:tc>
                <w:tcPr>
                  <w:tcW w:w="1415" w:type="dxa"/>
                  <w:vAlign w:val="top"/>
                </w:tcPr>
                <w:p w14:paraId="2548E209">
                  <w:pPr>
                    <w:pStyle w:val="6"/>
                    <w:spacing w:before="30" w:line="214" w:lineRule="auto"/>
                    <w:ind w:left="504"/>
                  </w:pPr>
                  <w:r>
                    <w:rPr>
                      <w:spacing w:val="4"/>
                    </w:rPr>
                    <w:t>满足</w:t>
                  </w:r>
                </w:p>
              </w:tc>
            </w:tr>
            <w:tr w14:paraId="0A806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819" w:type="dxa"/>
                  <w:vAlign w:val="top"/>
                </w:tcPr>
                <w:p w14:paraId="0AABB4AC">
                  <w:pPr>
                    <w:spacing w:before="60" w:line="204" w:lineRule="auto"/>
                    <w:ind w:left="197"/>
                    <w:rPr>
                      <w:rFonts w:ascii="Times New Roman" w:hAnsi="Times New Roman" w:eastAsia="Times New Roman" w:cs="Times New Roman"/>
                      <w:sz w:val="20"/>
                      <w:szCs w:val="20"/>
                    </w:rPr>
                  </w:pPr>
                  <w:r>
                    <w:rPr>
                      <w:rFonts w:ascii="Times New Roman" w:hAnsi="Times New Roman" w:eastAsia="Times New Roman" w:cs="Times New Roman"/>
                      <w:sz w:val="20"/>
                      <w:szCs w:val="20"/>
                    </w:rPr>
                    <w:t>NO</w:t>
                  </w:r>
                  <w:r>
                    <w:rPr>
                      <w:rFonts w:ascii="Times New Roman" w:hAnsi="Times New Roman" w:eastAsia="Times New Roman" w:cs="Times New Roman"/>
                      <w:spacing w:val="22"/>
                      <w:sz w:val="20"/>
                      <w:szCs w:val="20"/>
                    </w:rPr>
                    <w:t>2</w:t>
                  </w:r>
                </w:p>
              </w:tc>
              <w:tc>
                <w:tcPr>
                  <w:tcW w:w="2032" w:type="dxa"/>
                  <w:vAlign w:val="top"/>
                </w:tcPr>
                <w:p w14:paraId="26698CBD">
                  <w:pPr>
                    <w:pStyle w:val="6"/>
                    <w:spacing w:before="31" w:line="212" w:lineRule="auto"/>
                    <w:ind w:left="602"/>
                  </w:pPr>
                  <w:r>
                    <w:rPr>
                      <w:spacing w:val="7"/>
                    </w:rPr>
                    <w:t>年均浓度</w:t>
                  </w:r>
                </w:p>
              </w:tc>
              <w:tc>
                <w:tcPr>
                  <w:tcW w:w="1848" w:type="dxa"/>
                  <w:vAlign w:val="top"/>
                </w:tcPr>
                <w:p w14:paraId="12E80331">
                  <w:pPr>
                    <w:spacing w:before="67" w:line="195" w:lineRule="auto"/>
                    <w:ind w:left="76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17.0</w:t>
                  </w:r>
                </w:p>
              </w:tc>
              <w:tc>
                <w:tcPr>
                  <w:tcW w:w="1727" w:type="dxa"/>
                  <w:vAlign w:val="top"/>
                </w:tcPr>
                <w:p w14:paraId="38B57B5A">
                  <w:pPr>
                    <w:spacing w:before="67" w:line="195" w:lineRule="auto"/>
                    <w:ind w:left="6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40.0</w:t>
                  </w:r>
                </w:p>
              </w:tc>
              <w:tc>
                <w:tcPr>
                  <w:tcW w:w="1415" w:type="dxa"/>
                  <w:vAlign w:val="top"/>
                </w:tcPr>
                <w:p w14:paraId="6B3EC787">
                  <w:pPr>
                    <w:pStyle w:val="6"/>
                    <w:spacing w:before="31" w:line="212" w:lineRule="auto"/>
                    <w:ind w:left="504"/>
                  </w:pPr>
                  <w:r>
                    <w:rPr>
                      <w:spacing w:val="4"/>
                    </w:rPr>
                    <w:t>满足</w:t>
                  </w:r>
                </w:p>
              </w:tc>
            </w:tr>
            <w:tr w14:paraId="38C18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 w:hRule="atLeast"/>
              </w:trPr>
              <w:tc>
                <w:tcPr>
                  <w:tcW w:w="819" w:type="dxa"/>
                  <w:vAlign w:val="top"/>
                </w:tcPr>
                <w:p w14:paraId="14B23F8A">
                  <w:pPr>
                    <w:spacing w:before="81" w:line="195" w:lineRule="auto"/>
                    <w:ind w:left="2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CO</w:t>
                  </w:r>
                </w:p>
              </w:tc>
              <w:tc>
                <w:tcPr>
                  <w:tcW w:w="2032" w:type="dxa"/>
                  <w:vAlign w:val="top"/>
                </w:tcPr>
                <w:p w14:paraId="444DF9B9">
                  <w:pPr>
                    <w:pStyle w:val="6"/>
                    <w:spacing w:before="46" w:line="225" w:lineRule="auto"/>
                    <w:ind w:left="637"/>
                  </w:pPr>
                  <w:r>
                    <w:rPr>
                      <w:spacing w:val="-2"/>
                    </w:rPr>
                    <w:t>日均浓度</w:t>
                  </w:r>
                </w:p>
              </w:tc>
              <w:tc>
                <w:tcPr>
                  <w:tcW w:w="1848" w:type="dxa"/>
                  <w:vAlign w:val="top"/>
                </w:tcPr>
                <w:p w14:paraId="6126E96A">
                  <w:pPr>
                    <w:spacing w:before="53" w:line="195" w:lineRule="auto"/>
                    <w:ind w:left="517"/>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1.0</w:t>
                  </w:r>
                  <w:r>
                    <w:rPr>
                      <w:rFonts w:ascii="Times New Roman" w:hAnsi="Times New Roman" w:eastAsia="Times New Roman" w:cs="Times New Roman"/>
                      <w:position w:val="-1"/>
                      <w:sz w:val="20"/>
                      <w:szCs w:val="20"/>
                    </w:rPr>
                    <w:t>mg</w:t>
                  </w:r>
                  <w:r>
                    <w:rPr>
                      <w:rFonts w:ascii="Times New Roman" w:hAnsi="Times New Roman" w:eastAsia="Times New Roman" w:cs="Times New Roman"/>
                      <w:spacing w:val="2"/>
                      <w:position w:val="-1"/>
                      <w:sz w:val="20"/>
                      <w:szCs w:val="20"/>
                    </w:rPr>
                    <w:t>/m</w:t>
                  </w:r>
                  <w:r>
                    <w:rPr>
                      <w:rFonts w:ascii="Times New Roman" w:hAnsi="Times New Roman" w:eastAsia="Times New Roman" w:cs="Times New Roman"/>
                      <w:spacing w:val="2"/>
                      <w:position w:val="4"/>
                      <w:sz w:val="20"/>
                      <w:szCs w:val="20"/>
                    </w:rPr>
                    <w:t>3</w:t>
                  </w:r>
                </w:p>
              </w:tc>
              <w:tc>
                <w:tcPr>
                  <w:tcW w:w="1727" w:type="dxa"/>
                  <w:vAlign w:val="top"/>
                </w:tcPr>
                <w:p w14:paraId="4C8937FD">
                  <w:pPr>
                    <w:spacing w:before="53" w:line="195" w:lineRule="auto"/>
                    <w:ind w:left="436"/>
                    <w:rPr>
                      <w:rFonts w:ascii="Times New Roman" w:hAnsi="Times New Roman" w:eastAsia="Times New Roman" w:cs="Times New Roman"/>
                      <w:sz w:val="20"/>
                      <w:szCs w:val="20"/>
                    </w:rPr>
                  </w:pPr>
                  <w:r>
                    <w:rPr>
                      <w:rFonts w:ascii="Times New Roman" w:hAnsi="Times New Roman" w:eastAsia="Times New Roman" w:cs="Times New Roman"/>
                      <w:spacing w:val="5"/>
                      <w:position w:val="-1"/>
                      <w:sz w:val="20"/>
                      <w:szCs w:val="20"/>
                    </w:rPr>
                    <w:t>4.0</w:t>
                  </w:r>
                  <w:r>
                    <w:rPr>
                      <w:rFonts w:ascii="Times New Roman" w:hAnsi="Times New Roman" w:eastAsia="Times New Roman" w:cs="Times New Roman"/>
                      <w:position w:val="-1"/>
                      <w:sz w:val="20"/>
                      <w:szCs w:val="20"/>
                    </w:rPr>
                    <w:t>mg</w:t>
                  </w:r>
                  <w:r>
                    <w:rPr>
                      <w:rFonts w:ascii="Times New Roman" w:hAnsi="Times New Roman" w:eastAsia="Times New Roman" w:cs="Times New Roman"/>
                      <w:spacing w:val="5"/>
                      <w:position w:val="-1"/>
                      <w:sz w:val="20"/>
                      <w:szCs w:val="20"/>
                    </w:rPr>
                    <w:t>/m</w:t>
                  </w:r>
                  <w:r>
                    <w:rPr>
                      <w:rFonts w:ascii="Times New Roman" w:hAnsi="Times New Roman" w:eastAsia="Times New Roman" w:cs="Times New Roman"/>
                      <w:spacing w:val="5"/>
                      <w:position w:val="4"/>
                      <w:sz w:val="20"/>
                      <w:szCs w:val="20"/>
                    </w:rPr>
                    <w:t>3</w:t>
                  </w:r>
                </w:p>
              </w:tc>
              <w:tc>
                <w:tcPr>
                  <w:tcW w:w="1415" w:type="dxa"/>
                  <w:vAlign w:val="top"/>
                </w:tcPr>
                <w:p w14:paraId="5324665D">
                  <w:pPr>
                    <w:pStyle w:val="6"/>
                    <w:spacing w:before="46" w:line="225" w:lineRule="auto"/>
                    <w:ind w:left="504"/>
                  </w:pPr>
                  <w:r>
                    <w:rPr>
                      <w:spacing w:val="4"/>
                    </w:rPr>
                    <w:t>满足</w:t>
                  </w:r>
                </w:p>
              </w:tc>
            </w:tr>
            <w:tr w14:paraId="4E765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 w:hRule="atLeast"/>
              </w:trPr>
              <w:tc>
                <w:tcPr>
                  <w:tcW w:w="819" w:type="dxa"/>
                  <w:vAlign w:val="top"/>
                </w:tcPr>
                <w:p w14:paraId="620B6232">
                  <w:pPr>
                    <w:spacing w:before="65" w:line="204"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O3</w:t>
                  </w:r>
                </w:p>
              </w:tc>
              <w:tc>
                <w:tcPr>
                  <w:tcW w:w="2032" w:type="dxa"/>
                  <w:vAlign w:val="top"/>
                </w:tcPr>
                <w:p w14:paraId="6EE956EE">
                  <w:pPr>
                    <w:pStyle w:val="6"/>
                    <w:spacing w:before="33" w:line="211" w:lineRule="auto"/>
                    <w:ind w:left="111"/>
                  </w:pPr>
                  <w:r>
                    <w:rPr>
                      <w:spacing w:val="1"/>
                    </w:rPr>
                    <w:t>日均最大</w:t>
                  </w:r>
                  <w:r>
                    <w:rPr>
                      <w:spacing w:val="-35"/>
                    </w:rPr>
                    <w:t xml:space="preserve"> </w:t>
                  </w:r>
                  <w:r>
                    <w:rPr>
                      <w:rFonts w:ascii="Times New Roman" w:hAnsi="Times New Roman" w:eastAsia="Times New Roman" w:cs="Times New Roman"/>
                      <w:spacing w:val="1"/>
                    </w:rPr>
                    <w:t>8</w:t>
                  </w:r>
                  <w:r>
                    <w:rPr>
                      <w:rFonts w:ascii="Times New Roman" w:hAnsi="Times New Roman" w:eastAsia="Times New Roman" w:cs="Times New Roman"/>
                      <w:spacing w:val="17"/>
                      <w:w w:val="101"/>
                    </w:rPr>
                    <w:t xml:space="preserve"> </w:t>
                  </w:r>
                  <w:r>
                    <w:rPr>
                      <w:spacing w:val="1"/>
                    </w:rPr>
                    <w:t>小时浓度</w:t>
                  </w:r>
                </w:p>
              </w:tc>
              <w:tc>
                <w:tcPr>
                  <w:tcW w:w="1848" w:type="dxa"/>
                  <w:vAlign w:val="top"/>
                </w:tcPr>
                <w:p w14:paraId="5762AFF7">
                  <w:pPr>
                    <w:spacing w:before="69" w:line="195" w:lineRule="auto"/>
                    <w:ind w:left="7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133</w:t>
                  </w:r>
                </w:p>
              </w:tc>
              <w:tc>
                <w:tcPr>
                  <w:tcW w:w="1727" w:type="dxa"/>
                  <w:vAlign w:val="top"/>
                </w:tcPr>
                <w:p w14:paraId="154CE843">
                  <w:pPr>
                    <w:spacing w:before="69" w:line="195" w:lineRule="auto"/>
                    <w:ind w:left="72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160</w:t>
                  </w:r>
                </w:p>
              </w:tc>
              <w:tc>
                <w:tcPr>
                  <w:tcW w:w="1415" w:type="dxa"/>
                  <w:vAlign w:val="top"/>
                </w:tcPr>
                <w:p w14:paraId="5C0EC256">
                  <w:pPr>
                    <w:pStyle w:val="6"/>
                    <w:spacing w:before="33" w:line="211" w:lineRule="auto"/>
                    <w:ind w:left="504"/>
                  </w:pPr>
                  <w:r>
                    <w:rPr>
                      <w:spacing w:val="4"/>
                    </w:rPr>
                    <w:t>满足</w:t>
                  </w:r>
                </w:p>
              </w:tc>
            </w:tr>
            <w:tr w14:paraId="1FCA2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7841" w:type="dxa"/>
                  <w:gridSpan w:val="5"/>
                  <w:vAlign w:val="top"/>
                </w:tcPr>
                <w:p w14:paraId="1999054E">
                  <w:pPr>
                    <w:pStyle w:val="6"/>
                    <w:spacing w:before="68" w:line="213" w:lineRule="auto"/>
                    <w:ind w:left="127"/>
                  </w:pPr>
                  <w:r>
                    <w:rPr>
                      <w:spacing w:val="6"/>
                    </w:rPr>
                    <w:t>备注：</w:t>
                  </w:r>
                  <w:r>
                    <w:rPr>
                      <w:rFonts w:ascii="Times New Roman" w:hAnsi="Times New Roman" w:eastAsia="Times New Roman" w:cs="Times New Roman"/>
                    </w:rPr>
                    <w:t>CO</w:t>
                  </w:r>
                  <w:r>
                    <w:rPr>
                      <w:rFonts w:ascii="Times New Roman" w:hAnsi="Times New Roman" w:eastAsia="Times New Roman" w:cs="Times New Roman"/>
                      <w:spacing w:val="6"/>
                    </w:rPr>
                    <w:t xml:space="preserve"> </w:t>
                  </w:r>
                  <w:r>
                    <w:rPr>
                      <w:spacing w:val="6"/>
                    </w:rPr>
                    <w:t>为第</w:t>
                  </w:r>
                  <w:r>
                    <w:rPr>
                      <w:spacing w:val="-28"/>
                    </w:rPr>
                    <w:t xml:space="preserve"> </w:t>
                  </w:r>
                  <w:r>
                    <w:rPr>
                      <w:rFonts w:ascii="Times New Roman" w:hAnsi="Times New Roman" w:eastAsia="Times New Roman" w:cs="Times New Roman"/>
                      <w:spacing w:val="6"/>
                    </w:rPr>
                    <w:t>95</w:t>
                  </w:r>
                  <w:r>
                    <w:rPr>
                      <w:rFonts w:ascii="Times New Roman" w:hAnsi="Times New Roman" w:eastAsia="Times New Roman" w:cs="Times New Roman"/>
                      <w:spacing w:val="17"/>
                      <w:w w:val="101"/>
                    </w:rPr>
                    <w:t xml:space="preserve"> </w:t>
                  </w:r>
                  <w:r>
                    <w:rPr>
                      <w:spacing w:val="6"/>
                    </w:rPr>
                    <w:t>百分位数浓度，</w:t>
                  </w:r>
                  <w:r>
                    <w:rPr>
                      <w:rFonts w:ascii="Times New Roman" w:hAnsi="Times New Roman" w:eastAsia="Times New Roman" w:cs="Times New Roman"/>
                      <w:spacing w:val="6"/>
                    </w:rPr>
                    <w:t xml:space="preserve">03 </w:t>
                  </w:r>
                  <w:r>
                    <w:rPr>
                      <w:spacing w:val="6"/>
                    </w:rPr>
                    <w:t>为第</w:t>
                  </w:r>
                  <w:r>
                    <w:rPr>
                      <w:spacing w:val="-37"/>
                    </w:rPr>
                    <w:t xml:space="preserve"> </w:t>
                  </w:r>
                  <w:r>
                    <w:rPr>
                      <w:rFonts w:ascii="Times New Roman" w:hAnsi="Times New Roman" w:eastAsia="Times New Roman" w:cs="Times New Roman"/>
                      <w:spacing w:val="6"/>
                    </w:rPr>
                    <w:t>90</w:t>
                  </w:r>
                  <w:r>
                    <w:rPr>
                      <w:rFonts w:ascii="Times New Roman" w:hAnsi="Times New Roman" w:eastAsia="Times New Roman" w:cs="Times New Roman"/>
                      <w:spacing w:val="17"/>
                      <w:w w:val="101"/>
                    </w:rPr>
                    <w:t xml:space="preserve"> </w:t>
                  </w:r>
                  <w:r>
                    <w:rPr>
                      <w:spacing w:val="6"/>
                    </w:rPr>
                    <w:t>百分位数浓度。</w:t>
                  </w:r>
                </w:p>
              </w:tc>
            </w:tr>
          </w:tbl>
          <w:p w14:paraId="39D07B3B">
            <w:pPr>
              <w:pStyle w:val="6"/>
              <w:spacing w:before="37" w:line="358" w:lineRule="auto"/>
              <w:ind w:left="104" w:right="102" w:firstLine="479"/>
              <w:rPr>
                <w:sz w:val="24"/>
                <w:szCs w:val="24"/>
              </w:rPr>
            </w:pPr>
            <w:r>
              <w:rPr>
                <w:spacing w:val="-3"/>
                <w:sz w:val="24"/>
                <w:szCs w:val="24"/>
              </w:rPr>
              <w:t>根据上表可知，项目所在的陆良县环境空气质量现状可达到《环境空气</w:t>
            </w:r>
            <w:r>
              <w:rPr>
                <w:spacing w:val="-1"/>
                <w:sz w:val="24"/>
                <w:szCs w:val="24"/>
              </w:rPr>
              <w:t>质量标准》（</w:t>
            </w:r>
            <w:r>
              <w:rPr>
                <w:rFonts w:ascii="Times New Roman" w:hAnsi="Times New Roman" w:eastAsia="Times New Roman" w:cs="Times New Roman"/>
                <w:spacing w:val="-1"/>
                <w:sz w:val="24"/>
                <w:szCs w:val="24"/>
              </w:rPr>
              <w:t>GB3095-2012</w:t>
            </w:r>
            <w:r>
              <w:rPr>
                <w:spacing w:val="-1"/>
                <w:sz w:val="24"/>
                <w:szCs w:val="24"/>
              </w:rPr>
              <w:t>）二级标准。</w:t>
            </w:r>
          </w:p>
          <w:p w14:paraId="31626063">
            <w:pPr>
              <w:pStyle w:val="6"/>
              <w:spacing w:line="219" w:lineRule="auto"/>
              <w:ind w:left="98"/>
              <w:rPr>
                <w:sz w:val="24"/>
                <w:szCs w:val="24"/>
              </w:rPr>
            </w:pPr>
            <w:r>
              <w:rPr>
                <w:rFonts w:ascii="Times New Roman" w:hAnsi="Times New Roman" w:eastAsia="Times New Roman" w:cs="Times New Roman"/>
                <w:b/>
                <w:bCs/>
                <w:spacing w:val="-5"/>
                <w:sz w:val="24"/>
                <w:szCs w:val="24"/>
              </w:rPr>
              <w:t>3</w:t>
            </w:r>
            <w:r>
              <w:rPr>
                <w:rFonts w:ascii="Times New Roman" w:hAnsi="Times New Roman" w:eastAsia="Times New Roman" w:cs="Times New Roman"/>
                <w:b/>
                <w:bCs/>
                <w:spacing w:val="-28"/>
                <w:sz w:val="24"/>
                <w:szCs w:val="24"/>
              </w:rPr>
              <w:t xml:space="preserve"> </w:t>
            </w:r>
            <w:r>
              <w:rPr>
                <w:b/>
                <w:bCs/>
                <w:spacing w:val="-5"/>
                <w:sz w:val="24"/>
                <w:szCs w:val="24"/>
              </w:rPr>
              <w:t>、地表水环境质量现状</w:t>
            </w:r>
          </w:p>
          <w:p w14:paraId="4C6B1807">
            <w:pPr>
              <w:pStyle w:val="6"/>
              <w:spacing w:before="186" w:line="359" w:lineRule="auto"/>
              <w:ind w:left="103" w:right="41" w:firstLine="484"/>
              <w:jc w:val="both"/>
              <w:rPr>
                <w:sz w:val="24"/>
                <w:szCs w:val="24"/>
              </w:rPr>
            </w:pPr>
            <w:r>
              <w:rPr>
                <w:spacing w:val="-1"/>
                <w:sz w:val="24"/>
                <w:szCs w:val="24"/>
              </w:rPr>
              <w:t>项目沿线地表水体主要有黑龙村水库，尖石沟，属于南盘江右岸支流，</w:t>
            </w:r>
            <w:r>
              <w:rPr>
                <w:spacing w:val="-15"/>
                <w:sz w:val="24"/>
                <w:szCs w:val="24"/>
              </w:rPr>
              <w:t>南盘江属于珠江流域南盘江水系。根据《云南省水功能</w:t>
            </w:r>
            <w:r>
              <w:rPr>
                <w:spacing w:val="-16"/>
                <w:sz w:val="24"/>
                <w:szCs w:val="24"/>
              </w:rPr>
              <w:t>区划（</w:t>
            </w:r>
            <w:r>
              <w:rPr>
                <w:rFonts w:ascii="Times New Roman" w:hAnsi="Times New Roman" w:eastAsia="Times New Roman" w:cs="Times New Roman"/>
                <w:spacing w:val="-16"/>
                <w:sz w:val="24"/>
                <w:szCs w:val="24"/>
              </w:rPr>
              <w:t>2014</w:t>
            </w:r>
            <w:r>
              <w:rPr>
                <w:rFonts w:ascii="Times New Roman" w:hAnsi="Times New Roman" w:eastAsia="Times New Roman" w:cs="Times New Roman"/>
                <w:spacing w:val="10"/>
                <w:sz w:val="24"/>
                <w:szCs w:val="24"/>
              </w:rPr>
              <w:t xml:space="preserve"> </w:t>
            </w:r>
            <w:r>
              <w:rPr>
                <w:spacing w:val="-16"/>
                <w:sz w:val="24"/>
                <w:szCs w:val="24"/>
              </w:rPr>
              <w:t>年修订）》，</w:t>
            </w:r>
            <w:r>
              <w:rPr>
                <w:spacing w:val="3"/>
                <w:sz w:val="24"/>
                <w:szCs w:val="24"/>
              </w:rPr>
              <w:t>项目区所在地属于南盘江</w:t>
            </w:r>
            <w:r>
              <w:rPr>
                <w:rFonts w:ascii="Times New Roman" w:hAnsi="Times New Roman" w:eastAsia="Times New Roman" w:cs="Times New Roman"/>
                <w:spacing w:val="3"/>
                <w:sz w:val="24"/>
                <w:szCs w:val="24"/>
              </w:rPr>
              <w:t>“</w:t>
            </w:r>
            <w:r>
              <w:rPr>
                <w:rFonts w:ascii="Times New Roman" w:hAnsi="Times New Roman" w:eastAsia="Times New Roman" w:cs="Times New Roman"/>
                <w:spacing w:val="-41"/>
                <w:sz w:val="24"/>
                <w:szCs w:val="24"/>
              </w:rPr>
              <w:t xml:space="preserve"> </w:t>
            </w:r>
            <w:r>
              <w:rPr>
                <w:spacing w:val="3"/>
                <w:sz w:val="24"/>
                <w:szCs w:val="24"/>
              </w:rPr>
              <w:t>沾益</w:t>
            </w:r>
            <w:r>
              <w:rPr>
                <w:rFonts w:ascii="Times New Roman" w:hAnsi="Times New Roman" w:eastAsia="Times New Roman" w:cs="Times New Roman"/>
                <w:spacing w:val="3"/>
                <w:sz w:val="24"/>
                <w:szCs w:val="24"/>
              </w:rPr>
              <w:t>-</w:t>
            </w:r>
            <w:r>
              <w:rPr>
                <w:spacing w:val="3"/>
                <w:sz w:val="24"/>
                <w:szCs w:val="24"/>
              </w:rPr>
              <w:t>宜良开发利</w:t>
            </w:r>
            <w:r>
              <w:rPr>
                <w:spacing w:val="2"/>
                <w:sz w:val="24"/>
                <w:szCs w:val="24"/>
              </w:rPr>
              <w:t>用区</w:t>
            </w:r>
            <w:r>
              <w:rPr>
                <w:rFonts w:ascii="Times New Roman" w:hAnsi="Times New Roman" w:eastAsia="Times New Roman" w:cs="Times New Roman"/>
                <w:spacing w:val="2"/>
                <w:sz w:val="24"/>
                <w:szCs w:val="24"/>
              </w:rPr>
              <w:t>”</w:t>
            </w:r>
            <w:r>
              <w:rPr>
                <w:spacing w:val="2"/>
                <w:sz w:val="24"/>
                <w:szCs w:val="24"/>
              </w:rPr>
              <w:t>（一级功能区）、古宁过</w:t>
            </w:r>
            <w:r>
              <w:rPr>
                <w:spacing w:val="-2"/>
                <w:sz w:val="24"/>
                <w:szCs w:val="24"/>
              </w:rPr>
              <w:t>渡区（二级功能区</w:t>
            </w:r>
            <w:r>
              <w:rPr>
                <w:spacing w:val="1"/>
                <w:sz w:val="24"/>
                <w:szCs w:val="24"/>
              </w:rPr>
              <w:t>），</w:t>
            </w:r>
            <w:r>
              <w:rPr>
                <w:spacing w:val="-2"/>
                <w:sz w:val="24"/>
                <w:szCs w:val="24"/>
              </w:rPr>
              <w:t>现状水质为</w:t>
            </w:r>
            <w:r>
              <w:rPr>
                <w:rFonts w:ascii="Times New Roman" w:hAnsi="Times New Roman" w:eastAsia="Times New Roman" w:cs="Times New Roman"/>
                <w:spacing w:val="-2"/>
                <w:sz w:val="24"/>
                <w:szCs w:val="24"/>
              </w:rPr>
              <w:t>Ⅲ</w:t>
            </w:r>
            <w:r>
              <w:rPr>
                <w:spacing w:val="-2"/>
                <w:sz w:val="24"/>
                <w:szCs w:val="24"/>
              </w:rPr>
              <w:t>类，规划水平年水质目标为</w:t>
            </w:r>
            <w:r>
              <w:rPr>
                <w:rFonts w:ascii="Times New Roman" w:hAnsi="Times New Roman" w:eastAsia="Times New Roman" w:cs="Times New Roman"/>
                <w:spacing w:val="-2"/>
                <w:sz w:val="24"/>
                <w:szCs w:val="24"/>
              </w:rPr>
              <w:t>Ⅲ</w:t>
            </w:r>
            <w:r>
              <w:rPr>
                <w:spacing w:val="-2"/>
                <w:sz w:val="24"/>
                <w:szCs w:val="24"/>
              </w:rPr>
              <w:t>类，执行</w:t>
            </w:r>
            <w:r>
              <w:rPr>
                <w:sz w:val="24"/>
                <w:szCs w:val="24"/>
              </w:rPr>
              <w:t>《地表水环境质量标准》（</w:t>
            </w:r>
            <w:r>
              <w:rPr>
                <w:rFonts w:ascii="Times New Roman" w:hAnsi="Times New Roman" w:eastAsia="Times New Roman" w:cs="Times New Roman"/>
                <w:sz w:val="24"/>
                <w:szCs w:val="24"/>
              </w:rPr>
              <w:t>GB3838-2002</w:t>
            </w:r>
            <w:r>
              <w:rPr>
                <w:sz w:val="24"/>
                <w:szCs w:val="24"/>
              </w:rPr>
              <w:t>）</w:t>
            </w:r>
            <w:r>
              <w:rPr>
                <w:rFonts w:ascii="Times New Roman" w:hAnsi="Times New Roman" w:eastAsia="Times New Roman" w:cs="Times New Roman"/>
                <w:sz w:val="24"/>
                <w:szCs w:val="24"/>
              </w:rPr>
              <w:t>Ⅲ</w:t>
            </w:r>
            <w:r>
              <w:rPr>
                <w:sz w:val="24"/>
                <w:szCs w:val="24"/>
              </w:rPr>
              <w:t>类标准。因黑龙村水库</w:t>
            </w:r>
            <w:r>
              <w:rPr>
                <w:spacing w:val="-1"/>
                <w:sz w:val="24"/>
                <w:szCs w:val="24"/>
              </w:rPr>
              <w:t>，尖石</w:t>
            </w:r>
            <w:r>
              <w:rPr>
                <w:spacing w:val="-2"/>
                <w:sz w:val="24"/>
                <w:szCs w:val="24"/>
              </w:rPr>
              <w:t>沟均未划定水功能区划，根据原国家环境保</w:t>
            </w:r>
            <w:r>
              <w:rPr>
                <w:spacing w:val="-3"/>
                <w:sz w:val="24"/>
                <w:szCs w:val="24"/>
              </w:rPr>
              <w:t>护总局办公厅《关于加强水环境功能区水质目标管理有关问题的通知》（环办函〔</w:t>
            </w:r>
            <w:r>
              <w:rPr>
                <w:rFonts w:ascii="Times New Roman" w:hAnsi="Times New Roman" w:eastAsia="Times New Roman" w:cs="Times New Roman"/>
                <w:spacing w:val="-3"/>
                <w:sz w:val="24"/>
                <w:szCs w:val="24"/>
              </w:rPr>
              <w:t>2003</w:t>
            </w:r>
            <w:r>
              <w:rPr>
                <w:spacing w:val="-3"/>
                <w:sz w:val="24"/>
                <w:szCs w:val="24"/>
              </w:rPr>
              <w:t>〕</w:t>
            </w:r>
            <w:r>
              <w:rPr>
                <w:rFonts w:ascii="Times New Roman" w:hAnsi="Times New Roman" w:eastAsia="Times New Roman" w:cs="Times New Roman"/>
                <w:spacing w:val="-4"/>
                <w:sz w:val="24"/>
                <w:szCs w:val="24"/>
              </w:rPr>
              <w:t>436</w:t>
            </w:r>
            <w:r>
              <w:rPr>
                <w:rFonts w:ascii="Times New Roman" w:hAnsi="Times New Roman" w:eastAsia="Times New Roman" w:cs="Times New Roman"/>
                <w:spacing w:val="15"/>
                <w:sz w:val="24"/>
                <w:szCs w:val="24"/>
              </w:rPr>
              <w:t xml:space="preserve"> </w:t>
            </w:r>
            <w:r>
              <w:rPr>
                <w:spacing w:val="-4"/>
                <w:sz w:val="24"/>
                <w:szCs w:val="24"/>
              </w:rPr>
              <w:t>号</w:t>
            </w:r>
            <w:r>
              <w:rPr>
                <w:spacing w:val="-14"/>
                <w:sz w:val="24"/>
                <w:szCs w:val="24"/>
              </w:rPr>
              <w:t>），</w:t>
            </w:r>
            <w:r>
              <w:rPr>
                <w:rFonts w:ascii="Times New Roman" w:hAnsi="Times New Roman" w:eastAsia="Times New Roman" w:cs="Times New Roman"/>
                <w:spacing w:val="-4"/>
                <w:sz w:val="24"/>
                <w:szCs w:val="24"/>
              </w:rPr>
              <w:t>“</w:t>
            </w:r>
            <w:r>
              <w:rPr>
                <w:spacing w:val="-4"/>
                <w:sz w:val="24"/>
                <w:szCs w:val="24"/>
              </w:rPr>
              <w:t>凡没有</w:t>
            </w:r>
            <w:r>
              <w:rPr>
                <w:spacing w:val="-2"/>
                <w:sz w:val="24"/>
                <w:szCs w:val="24"/>
              </w:rPr>
              <w:t>划定水环境功能区的河流湖库，各地环保部</w:t>
            </w:r>
            <w:r>
              <w:rPr>
                <w:spacing w:val="-3"/>
                <w:sz w:val="24"/>
                <w:szCs w:val="24"/>
              </w:rPr>
              <w:t>门在测算水环境容量、排污许可</w:t>
            </w:r>
            <w:r>
              <w:rPr>
                <w:spacing w:val="-2"/>
                <w:sz w:val="24"/>
                <w:szCs w:val="24"/>
              </w:rPr>
              <w:t>证发放、老污染源管理和审批新、改、扩建</w:t>
            </w:r>
            <w:r>
              <w:rPr>
                <w:spacing w:val="-3"/>
                <w:sz w:val="24"/>
                <w:szCs w:val="24"/>
              </w:rPr>
              <w:t>项目时，河流按照《地表水环境</w:t>
            </w:r>
            <w:r>
              <w:rPr>
                <w:sz w:val="24"/>
                <w:szCs w:val="24"/>
              </w:rPr>
              <w:t>质量标准》（</w:t>
            </w:r>
            <w:r>
              <w:rPr>
                <w:rFonts w:ascii="Times New Roman" w:hAnsi="Times New Roman" w:eastAsia="Times New Roman" w:cs="Times New Roman"/>
                <w:sz w:val="24"/>
                <w:szCs w:val="24"/>
              </w:rPr>
              <w:t>GB3838-2002</w:t>
            </w:r>
            <w:r>
              <w:rPr>
                <w:sz w:val="24"/>
                <w:szCs w:val="24"/>
              </w:rPr>
              <w:t>）</w:t>
            </w:r>
            <w:r>
              <w:rPr>
                <w:rFonts w:ascii="Times New Roman" w:hAnsi="Times New Roman" w:eastAsia="Times New Roman" w:cs="Times New Roman"/>
                <w:sz w:val="24"/>
                <w:szCs w:val="24"/>
              </w:rPr>
              <w:t>III</w:t>
            </w:r>
            <w:r>
              <w:rPr>
                <w:rFonts w:ascii="Times New Roman" w:hAnsi="Times New Roman" w:eastAsia="Times New Roman" w:cs="Times New Roman"/>
                <w:spacing w:val="30"/>
                <w:w w:val="101"/>
                <w:sz w:val="24"/>
                <w:szCs w:val="24"/>
              </w:rPr>
              <w:t xml:space="preserve"> </w:t>
            </w:r>
            <w:r>
              <w:rPr>
                <w:sz w:val="24"/>
                <w:szCs w:val="24"/>
              </w:rPr>
              <w:t>类水质标准</w:t>
            </w:r>
            <w:r>
              <w:rPr>
                <w:rFonts w:ascii="Times New Roman" w:hAnsi="Times New Roman" w:eastAsia="Times New Roman" w:cs="Times New Roman"/>
                <w:sz w:val="24"/>
                <w:szCs w:val="24"/>
              </w:rPr>
              <w:t>”</w:t>
            </w:r>
            <w:r>
              <w:rPr>
                <w:rFonts w:ascii="Times New Roman" w:hAnsi="Times New Roman" w:eastAsia="Times New Roman" w:cs="Times New Roman"/>
                <w:spacing w:val="-30"/>
                <w:sz w:val="24"/>
                <w:szCs w:val="24"/>
              </w:rPr>
              <w:t xml:space="preserve"> </w:t>
            </w:r>
            <w:r>
              <w:rPr>
                <w:sz w:val="24"/>
                <w:szCs w:val="24"/>
              </w:rPr>
              <w:t>，故黑龙村水库，尖石沟执行《地表水环境质量标准》（</w:t>
            </w:r>
            <w:r>
              <w:rPr>
                <w:rFonts w:ascii="Times New Roman" w:hAnsi="Times New Roman" w:eastAsia="Times New Roman" w:cs="Times New Roman"/>
                <w:sz w:val="24"/>
                <w:szCs w:val="24"/>
              </w:rPr>
              <w:t>GB3838-2002</w:t>
            </w:r>
            <w:r>
              <w:rPr>
                <w:sz w:val="24"/>
                <w:szCs w:val="24"/>
              </w:rPr>
              <w:t>）</w:t>
            </w:r>
            <w:r>
              <w:rPr>
                <w:rFonts w:ascii="Times New Roman" w:hAnsi="Times New Roman" w:eastAsia="Times New Roman" w:cs="Times New Roman"/>
                <w:spacing w:val="-1"/>
                <w:sz w:val="24"/>
                <w:szCs w:val="24"/>
              </w:rPr>
              <w:t xml:space="preserve">III </w:t>
            </w:r>
            <w:r>
              <w:rPr>
                <w:spacing w:val="-1"/>
                <w:sz w:val="24"/>
                <w:szCs w:val="24"/>
              </w:rPr>
              <w:t>类水质标准。</w:t>
            </w:r>
          </w:p>
          <w:p w14:paraId="2BC5D977">
            <w:pPr>
              <w:pStyle w:val="6"/>
              <w:spacing w:before="1" w:line="342" w:lineRule="auto"/>
              <w:ind w:left="126" w:right="103" w:firstLine="458"/>
              <w:rPr>
                <w:sz w:val="24"/>
                <w:szCs w:val="24"/>
              </w:rPr>
            </w:pPr>
            <w:r>
              <w:rPr>
                <w:spacing w:val="3"/>
                <w:sz w:val="24"/>
                <w:szCs w:val="24"/>
              </w:rPr>
              <w:t>本项目地表水环境质量评价引用《曲靖市环境质量年报（</w:t>
            </w:r>
            <w:r>
              <w:rPr>
                <w:rFonts w:ascii="Times New Roman" w:hAnsi="Times New Roman" w:eastAsia="Times New Roman" w:cs="Times New Roman"/>
                <w:spacing w:val="3"/>
                <w:sz w:val="24"/>
                <w:szCs w:val="24"/>
              </w:rPr>
              <w:t xml:space="preserve">2024 </w:t>
            </w:r>
            <w:r>
              <w:rPr>
                <w:spacing w:val="3"/>
                <w:sz w:val="24"/>
                <w:szCs w:val="24"/>
              </w:rPr>
              <w:t>年）》</w:t>
            </w:r>
            <w:r>
              <w:rPr>
                <w:spacing w:val="1"/>
                <w:sz w:val="24"/>
                <w:szCs w:val="24"/>
              </w:rPr>
              <w:t>中南盘江</w:t>
            </w:r>
            <w:r>
              <w:rPr>
                <w:rFonts w:ascii="Times New Roman" w:hAnsi="Times New Roman" w:eastAsia="Times New Roman" w:cs="Times New Roman"/>
                <w:spacing w:val="1"/>
                <w:sz w:val="24"/>
                <w:szCs w:val="24"/>
              </w:rPr>
              <w:t>-</w:t>
            </w:r>
            <w:r>
              <w:rPr>
                <w:spacing w:val="1"/>
                <w:sz w:val="24"/>
                <w:szCs w:val="24"/>
              </w:rPr>
              <w:t>天生桥断面的监测数据（天生桥位于项目区下游处</w:t>
            </w:r>
            <w:r>
              <w:rPr>
                <w:spacing w:val="13"/>
                <w:sz w:val="24"/>
                <w:szCs w:val="24"/>
              </w:rPr>
              <w:t>），</w:t>
            </w:r>
            <w:r>
              <w:rPr>
                <w:spacing w:val="1"/>
                <w:sz w:val="24"/>
                <w:szCs w:val="24"/>
              </w:rPr>
              <w:t>水质现状</w:t>
            </w:r>
          </w:p>
        </w:tc>
      </w:tr>
    </w:tbl>
    <w:p w14:paraId="23FCE199">
      <w:pPr>
        <w:rPr>
          <w:rFonts w:ascii="Arial"/>
          <w:sz w:val="21"/>
        </w:rPr>
      </w:pPr>
    </w:p>
    <w:p w14:paraId="3922EFD4">
      <w:pPr>
        <w:rPr>
          <w:rFonts w:ascii="Arial" w:hAnsi="Arial" w:eastAsia="Arial" w:cs="Arial"/>
          <w:sz w:val="21"/>
          <w:szCs w:val="21"/>
        </w:rPr>
        <w:sectPr>
          <w:footerReference r:id="rId77" w:type="default"/>
          <w:pgSz w:w="11907" w:h="16840"/>
          <w:pgMar w:top="400" w:right="1682" w:bottom="1240" w:left="1682" w:header="0" w:footer="1077" w:gutter="0"/>
          <w:cols w:space="720" w:num="1"/>
        </w:sectPr>
      </w:pPr>
    </w:p>
    <w:p w14:paraId="4F8EA6F2">
      <w:pPr>
        <w:spacing w:before="19"/>
      </w:pPr>
      <w:r>
        <w:drawing>
          <wp:anchor distT="0" distB="0" distL="0" distR="0" simplePos="0" relativeHeight="251675648" behindDoc="0" locked="0" layoutInCell="0" allowOverlap="1">
            <wp:simplePos x="0" y="0"/>
            <wp:positionH relativeFrom="page">
              <wp:posOffset>6395720</wp:posOffset>
            </wp:positionH>
            <wp:positionV relativeFrom="page">
              <wp:posOffset>8810625</wp:posOffset>
            </wp:positionV>
            <wp:extent cx="6350" cy="871220"/>
            <wp:effectExtent l="0" t="0" r="0" b="0"/>
            <wp:wrapNone/>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36"/>
                    <a:stretch>
                      <a:fillRect/>
                    </a:stretch>
                  </pic:blipFill>
                  <pic:spPr>
                    <a:xfrm>
                      <a:off x="0" y="0"/>
                      <a:ext cx="6350" cy="871346"/>
                    </a:xfrm>
                    <a:prstGeom prst="rect">
                      <a:avLst/>
                    </a:prstGeom>
                  </pic:spPr>
                </pic:pic>
              </a:graphicData>
            </a:graphic>
          </wp:anchor>
        </w:drawing>
      </w:r>
    </w:p>
    <w:p w14:paraId="24A59EC7">
      <w:pPr>
        <w:spacing w:before="19"/>
      </w:pPr>
    </w:p>
    <w:p w14:paraId="3A373F7F">
      <w:pPr>
        <w:spacing w:before="18"/>
      </w:pPr>
    </w:p>
    <w:p w14:paraId="5368AA9E">
      <w:pPr>
        <w:spacing w:before="18"/>
      </w:pPr>
    </w:p>
    <w:tbl>
      <w:tblPr>
        <w:tblStyle w:val="5"/>
        <w:tblW w:w="852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4"/>
        <w:gridCol w:w="136"/>
        <w:gridCol w:w="1228"/>
        <w:gridCol w:w="2002"/>
        <w:gridCol w:w="1413"/>
        <w:gridCol w:w="1649"/>
        <w:gridCol w:w="1635"/>
      </w:tblGrid>
      <w:tr w14:paraId="6C8470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05" w:hRule="atLeast"/>
        </w:trPr>
        <w:tc>
          <w:tcPr>
            <w:tcW w:w="464" w:type="dxa"/>
            <w:vMerge w:val="restart"/>
            <w:tcBorders>
              <w:top w:val="single" w:color="000000" w:sz="6" w:space="0"/>
              <w:left w:val="single" w:color="000000" w:sz="6" w:space="0"/>
              <w:bottom w:val="nil"/>
              <w:right w:val="single" w:color="000000" w:sz="6" w:space="0"/>
            </w:tcBorders>
            <w:vAlign w:val="top"/>
          </w:tcPr>
          <w:p w14:paraId="28E77160">
            <w:pPr>
              <w:rPr>
                <w:rFonts w:ascii="Arial"/>
                <w:sz w:val="21"/>
              </w:rPr>
            </w:pPr>
          </w:p>
        </w:tc>
        <w:tc>
          <w:tcPr>
            <w:tcW w:w="8063" w:type="dxa"/>
            <w:gridSpan w:val="6"/>
            <w:tcBorders>
              <w:top w:val="single" w:color="000000" w:sz="6" w:space="0"/>
              <w:left w:val="single" w:color="000000" w:sz="6" w:space="0"/>
              <w:right w:val="single" w:color="000000" w:sz="6" w:space="0"/>
            </w:tcBorders>
            <w:vAlign w:val="top"/>
          </w:tcPr>
          <w:p w14:paraId="4A213A0F">
            <w:pPr>
              <w:pStyle w:val="6"/>
              <w:spacing w:before="40" w:line="359" w:lineRule="auto"/>
              <w:ind w:left="103" w:right="105" w:firstLine="2"/>
              <w:jc w:val="both"/>
              <w:rPr>
                <w:sz w:val="24"/>
                <w:szCs w:val="24"/>
              </w:rPr>
            </w:pPr>
            <w:r>
              <w:rPr>
                <w:spacing w:val="-2"/>
                <w:sz w:val="24"/>
                <w:szCs w:val="24"/>
              </w:rPr>
              <w:t>可以达到《地表水环境质量标准》（</w:t>
            </w:r>
            <w:r>
              <w:rPr>
                <w:rFonts w:ascii="Times New Roman" w:hAnsi="Times New Roman" w:eastAsia="Times New Roman" w:cs="Times New Roman"/>
                <w:spacing w:val="-2"/>
                <w:sz w:val="24"/>
                <w:szCs w:val="24"/>
              </w:rPr>
              <w:t>GB3838-2002</w:t>
            </w:r>
            <w:r>
              <w:rPr>
                <w:spacing w:val="-2"/>
                <w:sz w:val="24"/>
                <w:szCs w:val="24"/>
              </w:rPr>
              <w:t>）中</w:t>
            </w:r>
            <w:r>
              <w:rPr>
                <w:spacing w:val="-38"/>
                <w:sz w:val="24"/>
                <w:szCs w:val="24"/>
              </w:rPr>
              <w:t xml:space="preserve"> </w:t>
            </w:r>
            <w:r>
              <w:rPr>
                <w:rFonts w:ascii="Times New Roman" w:hAnsi="Times New Roman" w:eastAsia="Times New Roman" w:cs="Times New Roman"/>
                <w:spacing w:val="-2"/>
                <w:sz w:val="24"/>
                <w:szCs w:val="24"/>
              </w:rPr>
              <w:t xml:space="preserve">II </w:t>
            </w:r>
            <w:r>
              <w:rPr>
                <w:spacing w:val="-2"/>
                <w:sz w:val="24"/>
                <w:szCs w:val="24"/>
              </w:rPr>
              <w:t>类水质标准要求，</w:t>
            </w:r>
            <w:r>
              <w:rPr>
                <w:spacing w:val="1"/>
                <w:sz w:val="24"/>
                <w:szCs w:val="24"/>
              </w:rPr>
              <w:t>优于水功能区划的</w:t>
            </w:r>
            <w:r>
              <w:rPr>
                <w:spacing w:val="-54"/>
                <w:sz w:val="24"/>
                <w:szCs w:val="24"/>
              </w:rPr>
              <w:t xml:space="preserve"> </w:t>
            </w:r>
            <w:r>
              <w:rPr>
                <w:rFonts w:ascii="Times New Roman" w:hAnsi="Times New Roman" w:eastAsia="Times New Roman" w:cs="Times New Roman"/>
                <w:sz w:val="24"/>
                <w:szCs w:val="24"/>
              </w:rPr>
              <w:t>III</w:t>
            </w:r>
            <w:r>
              <w:rPr>
                <w:rFonts w:ascii="Times New Roman" w:hAnsi="Times New Roman" w:eastAsia="Times New Roman" w:cs="Times New Roman"/>
                <w:spacing w:val="1"/>
                <w:sz w:val="24"/>
                <w:szCs w:val="24"/>
              </w:rPr>
              <w:t xml:space="preserve"> </w:t>
            </w:r>
            <w:r>
              <w:rPr>
                <w:spacing w:val="1"/>
                <w:sz w:val="24"/>
                <w:szCs w:val="24"/>
              </w:rPr>
              <w:t>类质量标准。据此判定，本项目所在区域地表水环境</w:t>
            </w:r>
            <w:r>
              <w:rPr>
                <w:spacing w:val="-2"/>
                <w:sz w:val="24"/>
                <w:szCs w:val="24"/>
              </w:rPr>
              <w:t>质量现状较好。</w:t>
            </w:r>
          </w:p>
          <w:p w14:paraId="7E5D5DA4">
            <w:pPr>
              <w:pStyle w:val="6"/>
              <w:spacing w:line="219" w:lineRule="auto"/>
              <w:ind w:left="100"/>
              <w:rPr>
                <w:sz w:val="24"/>
                <w:szCs w:val="24"/>
              </w:rPr>
            </w:pPr>
            <w:r>
              <w:rPr>
                <w:rFonts w:ascii="Times New Roman" w:hAnsi="Times New Roman" w:eastAsia="Times New Roman" w:cs="Times New Roman"/>
                <w:b/>
                <w:bCs/>
                <w:spacing w:val="-6"/>
                <w:sz w:val="24"/>
                <w:szCs w:val="24"/>
              </w:rPr>
              <w:t>4</w:t>
            </w:r>
            <w:r>
              <w:rPr>
                <w:rFonts w:ascii="Times New Roman" w:hAnsi="Times New Roman" w:eastAsia="Times New Roman" w:cs="Times New Roman"/>
                <w:b/>
                <w:bCs/>
                <w:spacing w:val="-29"/>
                <w:sz w:val="24"/>
                <w:szCs w:val="24"/>
              </w:rPr>
              <w:t xml:space="preserve"> </w:t>
            </w:r>
            <w:r>
              <w:rPr>
                <w:b/>
                <w:bCs/>
                <w:spacing w:val="-6"/>
                <w:sz w:val="24"/>
                <w:szCs w:val="24"/>
              </w:rPr>
              <w:t>、声环境质量现状</w:t>
            </w:r>
          </w:p>
          <w:p w14:paraId="5CD08E72">
            <w:pPr>
              <w:pStyle w:val="6"/>
              <w:spacing w:before="182" w:line="219" w:lineRule="auto"/>
              <w:ind w:left="595"/>
              <w:rPr>
                <w:sz w:val="24"/>
                <w:szCs w:val="24"/>
              </w:rPr>
            </w:pPr>
            <w:r>
              <w:rPr>
                <w:spacing w:val="-3"/>
                <w:sz w:val="24"/>
                <w:szCs w:val="24"/>
              </w:rPr>
              <w:t>（</w:t>
            </w:r>
            <w:r>
              <w:rPr>
                <w:rFonts w:ascii="Times New Roman" w:hAnsi="Times New Roman" w:eastAsia="Times New Roman" w:cs="Times New Roman"/>
                <w:spacing w:val="-3"/>
                <w:sz w:val="24"/>
                <w:szCs w:val="24"/>
              </w:rPr>
              <w:t>1</w:t>
            </w:r>
            <w:r>
              <w:rPr>
                <w:spacing w:val="-3"/>
                <w:sz w:val="24"/>
                <w:szCs w:val="24"/>
              </w:rPr>
              <w:t>）监测布点</w:t>
            </w:r>
          </w:p>
          <w:p w14:paraId="0B73286F">
            <w:pPr>
              <w:pStyle w:val="6"/>
              <w:spacing w:before="181" w:line="359" w:lineRule="auto"/>
              <w:ind w:left="103" w:right="22" w:firstLine="480"/>
              <w:rPr>
                <w:sz w:val="24"/>
                <w:szCs w:val="24"/>
              </w:rPr>
            </w:pPr>
            <w:r>
              <w:rPr>
                <w:sz w:val="24"/>
                <w:szCs w:val="24"/>
              </w:rPr>
              <w:t>根据《环境影响评价技术导则声环境》（</w:t>
            </w:r>
            <w:r>
              <w:rPr>
                <w:rFonts w:ascii="Times New Roman" w:hAnsi="Times New Roman" w:eastAsia="Times New Roman" w:cs="Times New Roman"/>
                <w:sz w:val="24"/>
                <w:szCs w:val="24"/>
              </w:rPr>
              <w:t>HJ2.4-2021</w:t>
            </w:r>
            <w:r>
              <w:rPr>
                <w:sz w:val="24"/>
                <w:szCs w:val="24"/>
              </w:rPr>
              <w:t>）</w:t>
            </w:r>
            <w:r>
              <w:rPr>
                <w:spacing w:val="-1"/>
                <w:sz w:val="24"/>
                <w:szCs w:val="24"/>
              </w:rPr>
              <w:t>现场监测布点原</w:t>
            </w:r>
            <w:r>
              <w:rPr>
                <w:spacing w:val="-7"/>
                <w:sz w:val="24"/>
                <w:szCs w:val="24"/>
              </w:rPr>
              <w:t>则，布点应覆盖整个评价范围，包括厂界（场界、边界）和声环境保护目标；评价范围内没有明显的声源时（如工业噪声、交通运输噪声、建设施工噪声、</w:t>
            </w:r>
            <w:r>
              <w:rPr>
                <w:spacing w:val="-1"/>
                <w:sz w:val="24"/>
                <w:szCs w:val="24"/>
              </w:rPr>
              <w:t>社会生活噪声等</w:t>
            </w:r>
            <w:r>
              <w:rPr>
                <w:spacing w:val="6"/>
                <w:sz w:val="24"/>
                <w:szCs w:val="24"/>
              </w:rPr>
              <w:t>），</w:t>
            </w:r>
            <w:r>
              <w:rPr>
                <w:spacing w:val="-1"/>
                <w:sz w:val="24"/>
                <w:szCs w:val="24"/>
              </w:rPr>
              <w:t>可选择有代表性的区域布设测点。</w:t>
            </w:r>
          </w:p>
          <w:p w14:paraId="73413087">
            <w:pPr>
              <w:pStyle w:val="6"/>
              <w:spacing w:before="1" w:line="359" w:lineRule="auto"/>
              <w:ind w:left="103" w:right="22" w:firstLine="481"/>
              <w:jc w:val="both"/>
              <w:rPr>
                <w:sz w:val="24"/>
                <w:szCs w:val="24"/>
              </w:rPr>
            </w:pPr>
            <w:r>
              <w:rPr>
                <w:spacing w:val="-3"/>
                <w:sz w:val="24"/>
                <w:szCs w:val="24"/>
              </w:rPr>
              <w:t>本次现状监测选择在声环境影响相对敏感、与线路边导线距离最近的建筑物处布点监测，还在</w:t>
            </w:r>
            <w:r>
              <w:rPr>
                <w:spacing w:val="-37"/>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33"/>
                <w:sz w:val="24"/>
                <w:szCs w:val="24"/>
              </w:rPr>
              <w:t xml:space="preserve"> </w:t>
            </w:r>
            <w:r>
              <w:rPr>
                <w:spacing w:val="-3"/>
                <w:sz w:val="24"/>
                <w:szCs w:val="24"/>
              </w:rPr>
              <w:t>回输电线路的出线侧、接入变电站厂界、</w:t>
            </w:r>
            <w:r>
              <w:rPr>
                <w:rFonts w:ascii="Times New Roman" w:hAnsi="Times New Roman" w:eastAsia="Times New Roman" w:cs="Times New Roman"/>
                <w:spacing w:val="-3"/>
                <w:sz w:val="24"/>
                <w:szCs w:val="24"/>
              </w:rPr>
              <w:t xml:space="preserve">T </w:t>
            </w:r>
            <w:r>
              <w:rPr>
                <w:spacing w:val="-3"/>
                <w:sz w:val="24"/>
                <w:szCs w:val="24"/>
              </w:rPr>
              <w:t>接点等</w:t>
            </w:r>
            <w:r>
              <w:rPr>
                <w:spacing w:val="1"/>
                <w:sz w:val="24"/>
                <w:szCs w:val="24"/>
              </w:rPr>
              <w:t>具备监测条件处设置了监测点，线路沿线共布置</w:t>
            </w:r>
            <w:r>
              <w:rPr>
                <w:spacing w:val="-53"/>
                <w:sz w:val="24"/>
                <w:szCs w:val="24"/>
              </w:rPr>
              <w:t xml:space="preserve"> </w:t>
            </w:r>
            <w:r>
              <w:rPr>
                <w:rFonts w:ascii="Times New Roman" w:hAnsi="Times New Roman" w:eastAsia="Times New Roman" w:cs="Times New Roman"/>
                <w:spacing w:val="1"/>
                <w:sz w:val="24"/>
                <w:szCs w:val="24"/>
              </w:rPr>
              <w:t xml:space="preserve">21 </w:t>
            </w:r>
            <w:r>
              <w:rPr>
                <w:spacing w:val="1"/>
                <w:sz w:val="24"/>
                <w:szCs w:val="24"/>
              </w:rPr>
              <w:t>个监测点；新建变电站</w:t>
            </w:r>
            <w:r>
              <w:rPr>
                <w:spacing w:val="-9"/>
                <w:sz w:val="24"/>
                <w:szCs w:val="24"/>
              </w:rPr>
              <w:t>评价范围内涉及</w:t>
            </w:r>
            <w:r>
              <w:rPr>
                <w:spacing w:val="-39"/>
                <w:sz w:val="24"/>
                <w:szCs w:val="24"/>
              </w:rPr>
              <w:t xml:space="preserve"> </w:t>
            </w:r>
            <w:r>
              <w:rPr>
                <w:rFonts w:ascii="Times New Roman" w:hAnsi="Times New Roman" w:eastAsia="Times New Roman" w:cs="Times New Roman"/>
                <w:spacing w:val="-9"/>
                <w:sz w:val="24"/>
                <w:szCs w:val="24"/>
              </w:rPr>
              <w:t xml:space="preserve">7 </w:t>
            </w:r>
            <w:r>
              <w:rPr>
                <w:spacing w:val="-9"/>
                <w:sz w:val="24"/>
                <w:szCs w:val="24"/>
              </w:rPr>
              <w:t>个声环境保护目标，本次在拟建</w:t>
            </w:r>
            <w:r>
              <w:rPr>
                <w:spacing w:val="-32"/>
                <w:sz w:val="24"/>
                <w:szCs w:val="24"/>
              </w:rPr>
              <w:t xml:space="preserve"> </w:t>
            </w:r>
            <w:r>
              <w:rPr>
                <w:rFonts w:ascii="Times New Roman" w:hAnsi="Times New Roman" w:eastAsia="Times New Roman" w:cs="Times New Roman"/>
                <w:spacing w:val="-9"/>
                <w:sz w:val="24"/>
                <w:szCs w:val="24"/>
              </w:rPr>
              <w:t xml:space="preserve">110kV </w:t>
            </w:r>
            <w:r>
              <w:rPr>
                <w:spacing w:val="-9"/>
                <w:sz w:val="24"/>
                <w:szCs w:val="24"/>
              </w:rPr>
              <w:t>松山变电站东、南、</w:t>
            </w:r>
            <w:r>
              <w:rPr>
                <w:spacing w:val="-2"/>
                <w:sz w:val="24"/>
                <w:szCs w:val="24"/>
              </w:rPr>
              <w:t>西、北侧厂界及</w:t>
            </w:r>
            <w:r>
              <w:rPr>
                <w:spacing w:val="-50"/>
                <w:sz w:val="24"/>
                <w:szCs w:val="24"/>
              </w:rPr>
              <w:t xml:space="preserve"> </w:t>
            </w:r>
            <w:r>
              <w:rPr>
                <w:rFonts w:ascii="Times New Roman" w:hAnsi="Times New Roman" w:eastAsia="Times New Roman" w:cs="Times New Roman"/>
                <w:spacing w:val="-2"/>
                <w:sz w:val="24"/>
                <w:szCs w:val="24"/>
              </w:rPr>
              <w:t xml:space="preserve">7 </w:t>
            </w:r>
            <w:r>
              <w:rPr>
                <w:spacing w:val="-2"/>
                <w:sz w:val="24"/>
                <w:szCs w:val="24"/>
              </w:rPr>
              <w:t>个声环境保护目标处共设置</w:t>
            </w:r>
            <w:r>
              <w:rPr>
                <w:spacing w:val="-32"/>
                <w:sz w:val="24"/>
                <w:szCs w:val="24"/>
              </w:rPr>
              <w:t xml:space="preserve"> </w:t>
            </w:r>
            <w:r>
              <w:rPr>
                <w:rFonts w:ascii="Times New Roman" w:hAnsi="Times New Roman" w:eastAsia="Times New Roman" w:cs="Times New Roman"/>
                <w:spacing w:val="-2"/>
                <w:sz w:val="24"/>
                <w:szCs w:val="24"/>
              </w:rPr>
              <w:t xml:space="preserve">11 </w:t>
            </w:r>
            <w:r>
              <w:rPr>
                <w:spacing w:val="-2"/>
                <w:sz w:val="24"/>
                <w:szCs w:val="24"/>
              </w:rPr>
              <w:t>个监测点。</w:t>
            </w:r>
          </w:p>
          <w:p w14:paraId="36619CEB">
            <w:pPr>
              <w:pStyle w:val="6"/>
              <w:spacing w:before="1" w:line="359" w:lineRule="auto"/>
              <w:ind w:left="105" w:right="103" w:firstLine="505"/>
              <w:rPr>
                <w:sz w:val="24"/>
                <w:szCs w:val="24"/>
              </w:rPr>
            </w:pPr>
            <w:r>
              <w:rPr>
                <w:spacing w:val="4"/>
                <w:sz w:val="24"/>
                <w:szCs w:val="24"/>
              </w:rPr>
              <w:t>以上监测点的监测数据能够反映拟建项目变电站及线路沿线的声环境</w:t>
            </w:r>
            <w:r>
              <w:rPr>
                <w:spacing w:val="-4"/>
                <w:sz w:val="24"/>
                <w:szCs w:val="24"/>
              </w:rPr>
              <w:t>现状。</w:t>
            </w:r>
          </w:p>
          <w:p w14:paraId="7F22A096">
            <w:pPr>
              <w:pStyle w:val="6"/>
              <w:spacing w:line="220" w:lineRule="auto"/>
              <w:ind w:left="595"/>
              <w:rPr>
                <w:sz w:val="24"/>
                <w:szCs w:val="24"/>
              </w:rPr>
            </w:pPr>
            <w:r>
              <w:rPr>
                <w:spacing w:val="-3"/>
                <w:sz w:val="24"/>
                <w:szCs w:val="24"/>
              </w:rPr>
              <w:t>（</w:t>
            </w:r>
            <w:r>
              <w:rPr>
                <w:rFonts w:ascii="Times New Roman" w:hAnsi="Times New Roman" w:eastAsia="Times New Roman" w:cs="Times New Roman"/>
                <w:spacing w:val="-3"/>
                <w:sz w:val="24"/>
                <w:szCs w:val="24"/>
              </w:rPr>
              <w:t>2</w:t>
            </w:r>
            <w:r>
              <w:rPr>
                <w:spacing w:val="-3"/>
                <w:sz w:val="24"/>
                <w:szCs w:val="24"/>
              </w:rPr>
              <w:t>）监测因子</w:t>
            </w:r>
          </w:p>
          <w:p w14:paraId="5BA37944">
            <w:pPr>
              <w:pStyle w:val="6"/>
              <w:spacing w:before="180" w:line="219" w:lineRule="auto"/>
              <w:ind w:left="583"/>
              <w:rPr>
                <w:sz w:val="24"/>
                <w:szCs w:val="24"/>
              </w:rPr>
            </w:pPr>
            <w:r>
              <w:rPr>
                <w:spacing w:val="-3"/>
                <w:sz w:val="24"/>
                <w:szCs w:val="24"/>
              </w:rPr>
              <w:t>每个监测点离地</w:t>
            </w:r>
            <w:r>
              <w:rPr>
                <w:spacing w:val="-23"/>
                <w:sz w:val="24"/>
                <w:szCs w:val="24"/>
              </w:rPr>
              <w:t xml:space="preserve"> </w:t>
            </w:r>
            <w:r>
              <w:rPr>
                <w:rFonts w:ascii="Times New Roman" w:hAnsi="Times New Roman" w:eastAsia="Times New Roman" w:cs="Times New Roman"/>
                <w:spacing w:val="-3"/>
                <w:sz w:val="24"/>
                <w:szCs w:val="24"/>
              </w:rPr>
              <w:t xml:space="preserve">1.2m </w:t>
            </w:r>
            <w:r>
              <w:rPr>
                <w:spacing w:val="-3"/>
                <w:sz w:val="24"/>
                <w:szCs w:val="24"/>
              </w:rPr>
              <w:t>处的连续等效</w:t>
            </w:r>
            <w:r>
              <w:rPr>
                <w:spacing w:val="-58"/>
                <w:sz w:val="24"/>
                <w:szCs w:val="24"/>
              </w:rPr>
              <w:t xml:space="preserve"> </w:t>
            </w:r>
            <w:r>
              <w:rPr>
                <w:rFonts w:ascii="Times New Roman" w:hAnsi="Times New Roman" w:eastAsia="Times New Roman" w:cs="Times New Roman"/>
                <w:spacing w:val="-3"/>
                <w:sz w:val="24"/>
                <w:szCs w:val="24"/>
              </w:rPr>
              <w:t>A</w:t>
            </w:r>
            <w:r>
              <w:rPr>
                <w:rFonts w:ascii="Times New Roman" w:hAnsi="Times New Roman" w:eastAsia="Times New Roman" w:cs="Times New Roman"/>
                <w:spacing w:val="16"/>
                <w:w w:val="101"/>
                <w:sz w:val="24"/>
                <w:szCs w:val="24"/>
              </w:rPr>
              <w:t xml:space="preserve"> </w:t>
            </w:r>
            <w:r>
              <w:rPr>
                <w:spacing w:val="-3"/>
                <w:sz w:val="24"/>
                <w:szCs w:val="24"/>
              </w:rPr>
              <w:t>声级。</w:t>
            </w:r>
          </w:p>
          <w:p w14:paraId="361C9A26">
            <w:pPr>
              <w:pStyle w:val="6"/>
              <w:spacing w:before="183" w:line="219" w:lineRule="auto"/>
              <w:ind w:left="595"/>
              <w:rPr>
                <w:sz w:val="24"/>
                <w:szCs w:val="24"/>
              </w:rPr>
            </w:pPr>
            <w:r>
              <w:rPr>
                <w:spacing w:val="-2"/>
                <w:sz w:val="24"/>
                <w:szCs w:val="24"/>
              </w:rPr>
              <w:t>（</w:t>
            </w:r>
            <w:r>
              <w:rPr>
                <w:rFonts w:ascii="Times New Roman" w:hAnsi="Times New Roman" w:eastAsia="Times New Roman" w:cs="Times New Roman"/>
                <w:spacing w:val="-2"/>
                <w:sz w:val="24"/>
                <w:szCs w:val="24"/>
              </w:rPr>
              <w:t>3</w:t>
            </w:r>
            <w:r>
              <w:rPr>
                <w:spacing w:val="-2"/>
                <w:sz w:val="24"/>
                <w:szCs w:val="24"/>
              </w:rPr>
              <w:t>）监测频次：昼、夜各测一次。</w:t>
            </w:r>
          </w:p>
          <w:p w14:paraId="00A0A251">
            <w:pPr>
              <w:pStyle w:val="6"/>
              <w:spacing w:before="183" w:line="359" w:lineRule="auto"/>
              <w:ind w:left="104" w:right="103" w:firstLine="490"/>
              <w:rPr>
                <w:sz w:val="24"/>
                <w:szCs w:val="24"/>
              </w:rPr>
            </w:pPr>
            <w:r>
              <w:rPr>
                <w:spacing w:val="-6"/>
                <w:sz w:val="24"/>
                <w:szCs w:val="24"/>
              </w:rPr>
              <w:t>（</w:t>
            </w:r>
            <w:r>
              <w:rPr>
                <w:rFonts w:ascii="Times New Roman" w:hAnsi="Times New Roman" w:eastAsia="Times New Roman" w:cs="Times New Roman"/>
                <w:spacing w:val="-6"/>
                <w:sz w:val="24"/>
                <w:szCs w:val="24"/>
              </w:rPr>
              <w:t>4</w:t>
            </w:r>
            <w:r>
              <w:rPr>
                <w:spacing w:val="-6"/>
                <w:sz w:val="24"/>
                <w:szCs w:val="24"/>
              </w:rPr>
              <w:t>）监测时间：</w:t>
            </w:r>
            <w:r>
              <w:rPr>
                <w:rFonts w:ascii="Times New Roman" w:hAnsi="Times New Roman" w:eastAsia="Times New Roman" w:cs="Times New Roman"/>
                <w:spacing w:val="-6"/>
                <w:sz w:val="24"/>
                <w:szCs w:val="24"/>
              </w:rPr>
              <w:t xml:space="preserve">2025 </w:t>
            </w:r>
            <w:r>
              <w:rPr>
                <w:spacing w:val="-6"/>
                <w:sz w:val="24"/>
                <w:szCs w:val="24"/>
              </w:rPr>
              <w:t>年</w:t>
            </w:r>
            <w:r>
              <w:rPr>
                <w:spacing w:val="-50"/>
                <w:sz w:val="24"/>
                <w:szCs w:val="24"/>
              </w:rPr>
              <w:t xml:space="preserve"> </w:t>
            </w:r>
            <w:r>
              <w:rPr>
                <w:rFonts w:ascii="Times New Roman" w:hAnsi="Times New Roman" w:eastAsia="Times New Roman" w:cs="Times New Roman"/>
                <w:spacing w:val="-6"/>
                <w:sz w:val="24"/>
                <w:szCs w:val="24"/>
              </w:rPr>
              <w:t>7</w:t>
            </w:r>
            <w:r>
              <w:rPr>
                <w:rFonts w:ascii="Times New Roman" w:hAnsi="Times New Roman" w:eastAsia="Times New Roman" w:cs="Times New Roman"/>
                <w:spacing w:val="15"/>
                <w:w w:val="101"/>
                <w:sz w:val="24"/>
                <w:szCs w:val="24"/>
              </w:rPr>
              <w:t xml:space="preserve"> </w:t>
            </w:r>
            <w:r>
              <w:rPr>
                <w:spacing w:val="-6"/>
                <w:sz w:val="24"/>
                <w:szCs w:val="24"/>
              </w:rPr>
              <w:t>月</w:t>
            </w:r>
            <w:r>
              <w:rPr>
                <w:spacing w:val="-55"/>
                <w:sz w:val="24"/>
                <w:szCs w:val="24"/>
              </w:rPr>
              <w:t xml:space="preserve"> </w:t>
            </w:r>
            <w:r>
              <w:rPr>
                <w:rFonts w:ascii="Times New Roman" w:hAnsi="Times New Roman" w:eastAsia="Times New Roman" w:cs="Times New Roman"/>
                <w:spacing w:val="-6"/>
                <w:sz w:val="24"/>
                <w:szCs w:val="24"/>
              </w:rPr>
              <w:t xml:space="preserve">29  </w:t>
            </w:r>
            <w:r>
              <w:rPr>
                <w:spacing w:val="-6"/>
                <w:sz w:val="24"/>
                <w:szCs w:val="24"/>
              </w:rPr>
              <w:t>日</w:t>
            </w:r>
            <w:r>
              <w:rPr>
                <w:rFonts w:ascii="Times New Roman" w:hAnsi="Times New Roman" w:eastAsia="Times New Roman" w:cs="Times New Roman"/>
                <w:spacing w:val="-6"/>
                <w:sz w:val="24"/>
                <w:szCs w:val="24"/>
              </w:rPr>
              <w:t xml:space="preserve">~30  </w:t>
            </w:r>
            <w:r>
              <w:rPr>
                <w:spacing w:val="-6"/>
                <w:sz w:val="24"/>
                <w:szCs w:val="24"/>
              </w:rPr>
              <w:t>日进行了声环境现状监测；</w:t>
            </w:r>
            <w:r>
              <w:rPr>
                <w:rFonts w:ascii="Times New Roman" w:hAnsi="Times New Roman" w:eastAsia="Times New Roman" w:cs="Times New Roman"/>
                <w:spacing w:val="-6"/>
                <w:sz w:val="24"/>
                <w:szCs w:val="24"/>
              </w:rPr>
              <w:t>2025</w:t>
            </w:r>
            <w:r>
              <w:rPr>
                <w:spacing w:val="-6"/>
                <w:sz w:val="24"/>
                <w:szCs w:val="24"/>
              </w:rPr>
              <w:t>年</w:t>
            </w:r>
            <w:r>
              <w:rPr>
                <w:spacing w:val="-26"/>
                <w:sz w:val="24"/>
                <w:szCs w:val="24"/>
              </w:rPr>
              <w:t xml:space="preserve"> </w:t>
            </w:r>
            <w:r>
              <w:rPr>
                <w:rFonts w:ascii="Times New Roman" w:hAnsi="Times New Roman" w:eastAsia="Times New Roman" w:cs="Times New Roman"/>
                <w:spacing w:val="-6"/>
                <w:sz w:val="24"/>
                <w:szCs w:val="24"/>
              </w:rPr>
              <w:t>12</w:t>
            </w:r>
            <w:r>
              <w:rPr>
                <w:rFonts w:ascii="Times New Roman" w:hAnsi="Times New Roman" w:eastAsia="Times New Roman" w:cs="Times New Roman"/>
                <w:spacing w:val="16"/>
                <w:sz w:val="24"/>
                <w:szCs w:val="24"/>
              </w:rPr>
              <w:t xml:space="preserve"> </w:t>
            </w:r>
            <w:r>
              <w:rPr>
                <w:spacing w:val="-6"/>
                <w:sz w:val="24"/>
                <w:szCs w:val="24"/>
              </w:rPr>
              <w:t>月</w:t>
            </w:r>
            <w:r>
              <w:rPr>
                <w:spacing w:val="-55"/>
                <w:sz w:val="24"/>
                <w:szCs w:val="24"/>
              </w:rPr>
              <w:t xml:space="preserve"> </w:t>
            </w:r>
            <w:r>
              <w:rPr>
                <w:rFonts w:ascii="Times New Roman" w:hAnsi="Times New Roman" w:eastAsia="Times New Roman" w:cs="Times New Roman"/>
                <w:spacing w:val="-6"/>
                <w:sz w:val="24"/>
                <w:szCs w:val="24"/>
              </w:rPr>
              <w:t>27</w:t>
            </w:r>
            <w:r>
              <w:rPr>
                <w:rFonts w:ascii="Times New Roman" w:hAnsi="Times New Roman" w:eastAsia="Times New Roman" w:cs="Times New Roman"/>
                <w:spacing w:val="50"/>
                <w:w w:val="101"/>
                <w:sz w:val="24"/>
                <w:szCs w:val="24"/>
              </w:rPr>
              <w:t xml:space="preserve"> </w:t>
            </w:r>
            <w:r>
              <w:rPr>
                <w:spacing w:val="-6"/>
                <w:sz w:val="24"/>
                <w:szCs w:val="24"/>
              </w:rPr>
              <w:t>日</w:t>
            </w:r>
            <w:r>
              <w:rPr>
                <w:rFonts w:ascii="Times New Roman" w:hAnsi="Times New Roman" w:eastAsia="Times New Roman" w:cs="Times New Roman"/>
                <w:spacing w:val="-6"/>
                <w:sz w:val="24"/>
                <w:szCs w:val="24"/>
              </w:rPr>
              <w:t>~28</w:t>
            </w:r>
            <w:r>
              <w:rPr>
                <w:rFonts w:ascii="Times New Roman" w:hAnsi="Times New Roman" w:eastAsia="Times New Roman" w:cs="Times New Roman"/>
                <w:spacing w:val="48"/>
                <w:sz w:val="24"/>
                <w:szCs w:val="24"/>
              </w:rPr>
              <w:t xml:space="preserve"> </w:t>
            </w:r>
            <w:r>
              <w:rPr>
                <w:spacing w:val="-6"/>
                <w:sz w:val="24"/>
                <w:szCs w:val="24"/>
              </w:rPr>
              <w:t>日对项目区进行了声环境现状补充监测。</w:t>
            </w:r>
          </w:p>
          <w:p w14:paraId="74A2F96B">
            <w:pPr>
              <w:pStyle w:val="6"/>
              <w:spacing w:line="219" w:lineRule="auto"/>
              <w:ind w:left="595"/>
              <w:rPr>
                <w:sz w:val="24"/>
                <w:szCs w:val="24"/>
              </w:rPr>
            </w:pPr>
            <w:r>
              <w:rPr>
                <w:spacing w:val="-3"/>
                <w:sz w:val="24"/>
                <w:szCs w:val="24"/>
              </w:rPr>
              <w:t>（</w:t>
            </w:r>
            <w:r>
              <w:rPr>
                <w:rFonts w:ascii="Times New Roman" w:hAnsi="Times New Roman" w:eastAsia="Times New Roman" w:cs="Times New Roman"/>
                <w:spacing w:val="-3"/>
                <w:sz w:val="24"/>
                <w:szCs w:val="24"/>
              </w:rPr>
              <w:t>5</w:t>
            </w:r>
            <w:r>
              <w:rPr>
                <w:spacing w:val="-3"/>
                <w:sz w:val="24"/>
                <w:szCs w:val="24"/>
              </w:rPr>
              <w:t>）监测方法和仪器</w:t>
            </w:r>
          </w:p>
          <w:p w14:paraId="27B6A35A">
            <w:pPr>
              <w:pStyle w:val="6"/>
              <w:spacing w:before="181" w:line="221" w:lineRule="auto"/>
              <w:ind w:left="602"/>
              <w:rPr>
                <w:sz w:val="24"/>
                <w:szCs w:val="24"/>
              </w:rPr>
            </w:pPr>
            <w:r>
              <w:rPr>
                <w:rFonts w:ascii="Times New Roman" w:hAnsi="Times New Roman" w:eastAsia="Times New Roman" w:cs="Times New Roman"/>
                <w:spacing w:val="-5"/>
                <w:sz w:val="24"/>
                <w:szCs w:val="24"/>
              </w:rPr>
              <w:t>1</w:t>
            </w:r>
            <w:r>
              <w:rPr>
                <w:spacing w:val="-5"/>
                <w:sz w:val="24"/>
                <w:szCs w:val="24"/>
              </w:rPr>
              <w:t>）监测方法</w:t>
            </w:r>
          </w:p>
          <w:p w14:paraId="37C83B81">
            <w:pPr>
              <w:pStyle w:val="6"/>
              <w:spacing w:before="181" w:line="220" w:lineRule="auto"/>
              <w:ind w:left="589"/>
              <w:rPr>
                <w:sz w:val="24"/>
                <w:szCs w:val="24"/>
              </w:rPr>
            </w:pPr>
            <w:r>
              <w:rPr>
                <w:spacing w:val="-1"/>
                <w:sz w:val="24"/>
                <w:szCs w:val="24"/>
              </w:rPr>
              <w:t>《声环境质量标准》（</w:t>
            </w:r>
            <w:r>
              <w:rPr>
                <w:rFonts w:ascii="Times New Roman" w:hAnsi="Times New Roman" w:eastAsia="Times New Roman" w:cs="Times New Roman"/>
                <w:spacing w:val="-1"/>
                <w:sz w:val="24"/>
                <w:szCs w:val="24"/>
              </w:rPr>
              <w:t>GB3096-2008</w:t>
            </w:r>
            <w:r>
              <w:rPr>
                <w:spacing w:val="-1"/>
                <w:sz w:val="24"/>
                <w:szCs w:val="24"/>
              </w:rPr>
              <w:t>）</w:t>
            </w:r>
          </w:p>
          <w:p w14:paraId="605072E5">
            <w:pPr>
              <w:pStyle w:val="6"/>
              <w:spacing w:before="180" w:line="219" w:lineRule="auto"/>
              <w:ind w:left="579"/>
              <w:rPr>
                <w:sz w:val="24"/>
                <w:szCs w:val="24"/>
              </w:rPr>
            </w:pPr>
            <w:r>
              <w:rPr>
                <w:rFonts w:ascii="Times New Roman" w:hAnsi="Times New Roman" w:eastAsia="Times New Roman" w:cs="Times New Roman"/>
                <w:spacing w:val="-1"/>
                <w:sz w:val="24"/>
                <w:szCs w:val="24"/>
              </w:rPr>
              <w:t>2</w:t>
            </w:r>
            <w:r>
              <w:rPr>
                <w:spacing w:val="-1"/>
                <w:sz w:val="24"/>
                <w:szCs w:val="24"/>
              </w:rPr>
              <w:t>）监测仪器</w:t>
            </w:r>
          </w:p>
          <w:p w14:paraId="7CF20C57">
            <w:pPr>
              <w:pStyle w:val="6"/>
              <w:spacing w:before="183" w:line="219" w:lineRule="auto"/>
              <w:ind w:left="595"/>
              <w:rPr>
                <w:sz w:val="24"/>
                <w:szCs w:val="24"/>
              </w:rPr>
            </w:pPr>
            <w:r>
              <w:rPr>
                <w:spacing w:val="-2"/>
                <w:sz w:val="24"/>
                <w:szCs w:val="24"/>
              </w:rPr>
              <w:t>噪声监测仪器主要参数见下表。</w:t>
            </w:r>
          </w:p>
          <w:p w14:paraId="09E6AEB0">
            <w:pPr>
              <w:pStyle w:val="6"/>
              <w:spacing w:before="176" w:line="204" w:lineRule="auto"/>
              <w:ind w:left="2701"/>
            </w:pPr>
            <w:r>
              <w:rPr>
                <w:b/>
                <w:bCs/>
                <w:spacing w:val="4"/>
              </w:rPr>
              <w:t>表</w:t>
            </w:r>
            <w:r>
              <w:rPr>
                <w:spacing w:val="-25"/>
              </w:rPr>
              <w:t xml:space="preserve"> </w:t>
            </w:r>
            <w:r>
              <w:rPr>
                <w:rFonts w:ascii="Times New Roman" w:hAnsi="Times New Roman" w:eastAsia="Times New Roman" w:cs="Times New Roman"/>
                <w:b/>
                <w:bCs/>
                <w:spacing w:val="4"/>
              </w:rPr>
              <w:t xml:space="preserve">3-4        </w:t>
            </w:r>
            <w:r>
              <w:rPr>
                <w:b/>
                <w:bCs/>
                <w:spacing w:val="4"/>
              </w:rPr>
              <w:t>监测仪器主要参数</w:t>
            </w:r>
          </w:p>
        </w:tc>
      </w:tr>
      <w:tr w14:paraId="7A233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 w:hRule="atLeast"/>
        </w:trPr>
        <w:tc>
          <w:tcPr>
            <w:tcW w:w="464" w:type="dxa"/>
            <w:vMerge w:val="continue"/>
            <w:tcBorders>
              <w:top w:val="nil"/>
              <w:left w:val="single" w:color="000000" w:sz="6" w:space="0"/>
              <w:bottom w:val="nil"/>
              <w:right w:val="single" w:color="000000" w:sz="6" w:space="0"/>
            </w:tcBorders>
            <w:vAlign w:val="top"/>
          </w:tcPr>
          <w:p w14:paraId="299F582E">
            <w:pPr>
              <w:rPr>
                <w:rFonts w:ascii="Arial"/>
                <w:sz w:val="21"/>
              </w:rPr>
            </w:pPr>
          </w:p>
        </w:tc>
        <w:tc>
          <w:tcPr>
            <w:tcW w:w="136" w:type="dxa"/>
            <w:vMerge w:val="restart"/>
            <w:tcBorders>
              <w:top w:val="nil"/>
              <w:left w:val="single" w:color="000000" w:sz="6" w:space="0"/>
              <w:bottom w:val="nil"/>
            </w:tcBorders>
            <w:vAlign w:val="top"/>
          </w:tcPr>
          <w:p w14:paraId="1EEAF203">
            <w:pPr>
              <w:rPr>
                <w:rFonts w:ascii="Arial"/>
                <w:sz w:val="21"/>
              </w:rPr>
            </w:pPr>
          </w:p>
        </w:tc>
        <w:tc>
          <w:tcPr>
            <w:tcW w:w="1228" w:type="dxa"/>
            <w:vAlign w:val="top"/>
          </w:tcPr>
          <w:p w14:paraId="6168F4F3">
            <w:pPr>
              <w:pStyle w:val="6"/>
              <w:spacing w:before="42" w:line="203" w:lineRule="auto"/>
              <w:ind w:left="193"/>
            </w:pPr>
            <w:r>
              <w:rPr>
                <w:b/>
                <w:bCs/>
                <w:spacing w:val="6"/>
              </w:rPr>
              <w:t>监测时间</w:t>
            </w:r>
          </w:p>
        </w:tc>
        <w:tc>
          <w:tcPr>
            <w:tcW w:w="2002" w:type="dxa"/>
            <w:vAlign w:val="top"/>
          </w:tcPr>
          <w:p w14:paraId="36551407">
            <w:pPr>
              <w:pStyle w:val="6"/>
              <w:spacing w:before="42" w:line="203" w:lineRule="auto"/>
              <w:ind w:left="266"/>
            </w:pPr>
            <w:r>
              <w:rPr>
                <w:b/>
                <w:bCs/>
                <w:spacing w:val="7"/>
              </w:rPr>
              <w:t>监测仪器及编号</w:t>
            </w:r>
          </w:p>
        </w:tc>
        <w:tc>
          <w:tcPr>
            <w:tcW w:w="1413" w:type="dxa"/>
            <w:vAlign w:val="top"/>
          </w:tcPr>
          <w:p w14:paraId="064911B8">
            <w:pPr>
              <w:pStyle w:val="6"/>
              <w:spacing w:before="42" w:line="203" w:lineRule="auto"/>
              <w:ind w:left="292"/>
            </w:pPr>
            <w:r>
              <w:rPr>
                <w:b/>
                <w:bCs/>
                <w:spacing w:val="6"/>
              </w:rPr>
              <w:t>校准单位</w:t>
            </w:r>
          </w:p>
        </w:tc>
        <w:tc>
          <w:tcPr>
            <w:tcW w:w="1649" w:type="dxa"/>
            <w:vAlign w:val="top"/>
          </w:tcPr>
          <w:p w14:paraId="454A9C5C">
            <w:pPr>
              <w:pStyle w:val="6"/>
              <w:spacing w:before="42" w:line="203" w:lineRule="auto"/>
              <w:ind w:left="201"/>
            </w:pPr>
            <w:r>
              <w:rPr>
                <w:b/>
                <w:bCs/>
                <w:spacing w:val="6"/>
              </w:rPr>
              <w:t>校准证书编号</w:t>
            </w:r>
          </w:p>
        </w:tc>
        <w:tc>
          <w:tcPr>
            <w:tcW w:w="1635" w:type="dxa"/>
            <w:tcBorders>
              <w:right w:val="single" w:color="000000" w:sz="6" w:space="0"/>
            </w:tcBorders>
            <w:vAlign w:val="top"/>
          </w:tcPr>
          <w:p w14:paraId="10F96AA9">
            <w:pPr>
              <w:pStyle w:val="6"/>
              <w:spacing w:before="42" w:line="203" w:lineRule="auto"/>
              <w:ind w:left="94"/>
            </w:pPr>
            <w:r>
              <w:rPr>
                <w:b/>
                <w:bCs/>
                <w:spacing w:val="6"/>
              </w:rPr>
              <w:t>检定</w:t>
            </w:r>
            <w:r>
              <w:rPr>
                <w:rFonts w:ascii="Times New Roman" w:hAnsi="Times New Roman" w:eastAsia="Times New Roman" w:cs="Times New Roman"/>
                <w:b/>
                <w:bCs/>
                <w:spacing w:val="6"/>
              </w:rPr>
              <w:t>/</w:t>
            </w:r>
            <w:r>
              <w:rPr>
                <w:b/>
                <w:bCs/>
                <w:spacing w:val="6"/>
              </w:rPr>
              <w:t>校准日期</w:t>
            </w:r>
          </w:p>
        </w:tc>
      </w:tr>
      <w:tr w14:paraId="0DB37B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464" w:type="dxa"/>
            <w:vMerge w:val="continue"/>
            <w:tcBorders>
              <w:top w:val="nil"/>
              <w:left w:val="single" w:color="000000" w:sz="6" w:space="0"/>
              <w:bottom w:val="nil"/>
              <w:right w:val="single" w:color="000000" w:sz="6" w:space="0"/>
            </w:tcBorders>
            <w:vAlign w:val="top"/>
          </w:tcPr>
          <w:p w14:paraId="3E84ED23">
            <w:pPr>
              <w:rPr>
                <w:rFonts w:ascii="Arial"/>
                <w:sz w:val="21"/>
              </w:rPr>
            </w:pPr>
          </w:p>
        </w:tc>
        <w:tc>
          <w:tcPr>
            <w:tcW w:w="136" w:type="dxa"/>
            <w:vMerge w:val="continue"/>
            <w:tcBorders>
              <w:top w:val="nil"/>
              <w:left w:val="single" w:color="000000" w:sz="6" w:space="0"/>
              <w:bottom w:val="nil"/>
            </w:tcBorders>
            <w:vAlign w:val="top"/>
          </w:tcPr>
          <w:p w14:paraId="55EDB7D6">
            <w:pPr>
              <w:rPr>
                <w:rFonts w:ascii="Arial"/>
                <w:sz w:val="21"/>
              </w:rPr>
            </w:pPr>
          </w:p>
        </w:tc>
        <w:tc>
          <w:tcPr>
            <w:tcW w:w="1228" w:type="dxa"/>
            <w:vMerge w:val="restart"/>
            <w:tcBorders>
              <w:bottom w:val="nil"/>
            </w:tcBorders>
            <w:vAlign w:val="top"/>
          </w:tcPr>
          <w:p w14:paraId="432A7FA9">
            <w:pPr>
              <w:pStyle w:val="6"/>
              <w:spacing w:before="179" w:line="228" w:lineRule="auto"/>
              <w:ind w:left="56"/>
            </w:pPr>
            <w:r>
              <w:rPr>
                <w:rFonts w:ascii="Times New Roman" w:hAnsi="Times New Roman" w:eastAsia="Times New Roman" w:cs="Times New Roman"/>
                <w:spacing w:val="1"/>
              </w:rPr>
              <w:t>2025</w:t>
            </w:r>
            <w:r>
              <w:rPr>
                <w:rFonts w:ascii="Times New Roman" w:hAnsi="Times New Roman" w:eastAsia="Times New Roman" w:cs="Times New Roman"/>
                <w:spacing w:val="16"/>
              </w:rPr>
              <w:t xml:space="preserve"> </w:t>
            </w:r>
            <w:r>
              <w:rPr>
                <w:spacing w:val="1"/>
              </w:rPr>
              <w:t>年</w:t>
            </w:r>
            <w:r>
              <w:rPr>
                <w:spacing w:val="-38"/>
              </w:rPr>
              <w:t xml:space="preserve"> </w:t>
            </w:r>
            <w:r>
              <w:rPr>
                <w:rFonts w:ascii="Times New Roman" w:hAnsi="Times New Roman" w:eastAsia="Times New Roman" w:cs="Times New Roman"/>
                <w:spacing w:val="1"/>
              </w:rPr>
              <w:t>7</w:t>
            </w:r>
            <w:r>
              <w:rPr>
                <w:rFonts w:ascii="Times New Roman" w:hAnsi="Times New Roman" w:eastAsia="Times New Roman" w:cs="Times New Roman"/>
                <w:spacing w:val="15"/>
                <w:w w:val="101"/>
              </w:rPr>
              <w:t xml:space="preserve"> </w:t>
            </w:r>
            <w:r>
              <w:rPr>
                <w:spacing w:val="1"/>
              </w:rPr>
              <w:t>月</w:t>
            </w:r>
          </w:p>
          <w:p w14:paraId="79869B64">
            <w:pPr>
              <w:pStyle w:val="6"/>
              <w:spacing w:before="24" w:line="254" w:lineRule="auto"/>
              <w:ind w:left="211" w:right="6" w:hanging="211"/>
            </w:pPr>
            <w:r>
              <w:rPr>
                <w:rFonts w:ascii="Times New Roman" w:hAnsi="Times New Roman" w:eastAsia="Times New Roman" w:cs="Times New Roman"/>
                <w:spacing w:val="-6"/>
              </w:rPr>
              <w:t>29</w:t>
            </w:r>
            <w:r>
              <w:rPr>
                <w:rFonts w:ascii="Times New Roman" w:hAnsi="Times New Roman" w:eastAsia="Times New Roman" w:cs="Times New Roman"/>
                <w:spacing w:val="29"/>
              </w:rPr>
              <w:t xml:space="preserve"> </w:t>
            </w:r>
            <w:r>
              <w:rPr>
                <w:spacing w:val="-6"/>
              </w:rPr>
              <w:t>日</w:t>
            </w:r>
            <w:r>
              <w:rPr>
                <w:rFonts w:ascii="Times New Roman" w:hAnsi="Times New Roman" w:eastAsia="Times New Roman" w:cs="Times New Roman"/>
                <w:spacing w:val="-6"/>
              </w:rPr>
              <w:t>~30</w:t>
            </w:r>
            <w:r>
              <w:rPr>
                <w:rFonts w:ascii="Times New Roman" w:hAnsi="Times New Roman" w:eastAsia="Times New Roman" w:cs="Times New Roman"/>
                <w:spacing w:val="26"/>
              </w:rPr>
              <w:t xml:space="preserve"> </w:t>
            </w:r>
            <w:r>
              <w:rPr>
                <w:spacing w:val="-6"/>
              </w:rPr>
              <w:t>日昼</w:t>
            </w:r>
            <w:r>
              <w:rPr>
                <w:spacing w:val="2"/>
              </w:rPr>
              <w:t>间，夜间</w:t>
            </w:r>
          </w:p>
        </w:tc>
        <w:tc>
          <w:tcPr>
            <w:tcW w:w="2002" w:type="dxa"/>
            <w:vAlign w:val="top"/>
          </w:tcPr>
          <w:p w14:paraId="4452B46A">
            <w:pPr>
              <w:pStyle w:val="6"/>
              <w:spacing w:before="44" w:line="226" w:lineRule="auto"/>
              <w:ind w:left="62" w:right="30" w:hanging="41"/>
            </w:pPr>
            <w:r>
              <w:rPr>
                <w:rFonts w:ascii="Times New Roman" w:hAnsi="Times New Roman" w:eastAsia="Times New Roman" w:cs="Times New Roman"/>
              </w:rPr>
              <w:t>AWA</w:t>
            </w:r>
            <w:r>
              <w:rPr>
                <w:rFonts w:ascii="Times New Roman" w:hAnsi="Times New Roman" w:eastAsia="Times New Roman" w:cs="Times New Roman"/>
                <w:spacing w:val="3"/>
              </w:rPr>
              <w:t>6228-6</w:t>
            </w:r>
            <w:r>
              <w:rPr>
                <w:rFonts w:ascii="Times New Roman" w:hAnsi="Times New Roman" w:eastAsia="Times New Roman" w:cs="Times New Roman"/>
                <w:spacing w:val="19"/>
                <w:w w:val="101"/>
              </w:rPr>
              <w:t xml:space="preserve"> </w:t>
            </w:r>
            <w:r>
              <w:rPr>
                <w:spacing w:val="3"/>
              </w:rPr>
              <w:t>型多功能</w:t>
            </w:r>
            <w:r>
              <w:rPr>
                <w:spacing w:val="5"/>
              </w:rPr>
              <w:t>声级计（</w:t>
            </w:r>
            <w:r>
              <w:rPr>
                <w:rFonts w:ascii="Times New Roman" w:hAnsi="Times New Roman" w:eastAsia="Times New Roman" w:cs="Times New Roman"/>
                <w:spacing w:val="5"/>
              </w:rPr>
              <w:t>2015003#</w:t>
            </w:r>
            <w:r>
              <w:rPr>
                <w:spacing w:val="5"/>
              </w:rPr>
              <w:t>）</w:t>
            </w:r>
          </w:p>
        </w:tc>
        <w:tc>
          <w:tcPr>
            <w:tcW w:w="1413" w:type="dxa"/>
            <w:vMerge w:val="restart"/>
            <w:tcBorders>
              <w:bottom w:val="nil"/>
            </w:tcBorders>
            <w:vAlign w:val="top"/>
          </w:tcPr>
          <w:p w14:paraId="08734C53">
            <w:pPr>
              <w:spacing w:line="251" w:lineRule="auto"/>
              <w:rPr>
                <w:rFonts w:ascii="Arial"/>
                <w:sz w:val="21"/>
              </w:rPr>
            </w:pPr>
          </w:p>
          <w:p w14:paraId="1B235B9F">
            <w:pPr>
              <w:pStyle w:val="6"/>
              <w:spacing w:before="65" w:line="251" w:lineRule="auto"/>
              <w:ind w:left="82" w:right="75" w:firstLine="5"/>
            </w:pPr>
            <w:r>
              <w:rPr>
                <w:spacing w:val="7"/>
              </w:rPr>
              <w:t>云南省计量测</w:t>
            </w:r>
            <w:r>
              <w:rPr>
                <w:spacing w:val="8"/>
              </w:rPr>
              <w:t>试技术研究院</w:t>
            </w:r>
          </w:p>
        </w:tc>
        <w:tc>
          <w:tcPr>
            <w:tcW w:w="1649" w:type="dxa"/>
            <w:vAlign w:val="top"/>
          </w:tcPr>
          <w:p w14:paraId="74273D7A">
            <w:pPr>
              <w:spacing w:before="213" w:line="195" w:lineRule="auto"/>
              <w:ind w:left="36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925038410</w:t>
            </w:r>
          </w:p>
        </w:tc>
        <w:tc>
          <w:tcPr>
            <w:tcW w:w="1635" w:type="dxa"/>
            <w:tcBorders>
              <w:right w:val="single" w:color="000000" w:sz="6" w:space="0"/>
            </w:tcBorders>
            <w:vAlign w:val="top"/>
          </w:tcPr>
          <w:p w14:paraId="73E2A73D">
            <w:pPr>
              <w:spacing w:before="213"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2025.03.07</w:t>
            </w:r>
          </w:p>
        </w:tc>
      </w:tr>
      <w:tr w14:paraId="1758E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464" w:type="dxa"/>
            <w:vMerge w:val="continue"/>
            <w:tcBorders>
              <w:top w:val="nil"/>
              <w:left w:val="single" w:color="000000" w:sz="6" w:space="0"/>
              <w:bottom w:val="single" w:color="000000" w:sz="6" w:space="0"/>
              <w:right w:val="single" w:color="000000" w:sz="6" w:space="0"/>
            </w:tcBorders>
            <w:vAlign w:val="top"/>
          </w:tcPr>
          <w:p w14:paraId="4A8A34FB">
            <w:pPr>
              <w:rPr>
                <w:rFonts w:ascii="Arial"/>
                <w:sz w:val="21"/>
              </w:rPr>
            </w:pPr>
          </w:p>
        </w:tc>
        <w:tc>
          <w:tcPr>
            <w:tcW w:w="136" w:type="dxa"/>
            <w:vMerge w:val="continue"/>
            <w:tcBorders>
              <w:top w:val="nil"/>
              <w:left w:val="single" w:color="000000" w:sz="6" w:space="0"/>
              <w:bottom w:val="single" w:color="000000" w:sz="6" w:space="0"/>
            </w:tcBorders>
            <w:vAlign w:val="top"/>
          </w:tcPr>
          <w:p w14:paraId="78785BA1">
            <w:pPr>
              <w:rPr>
                <w:rFonts w:ascii="Arial"/>
                <w:sz w:val="21"/>
              </w:rPr>
            </w:pPr>
          </w:p>
        </w:tc>
        <w:tc>
          <w:tcPr>
            <w:tcW w:w="1228" w:type="dxa"/>
            <w:vMerge w:val="continue"/>
            <w:tcBorders>
              <w:top w:val="nil"/>
              <w:bottom w:val="single" w:color="000000" w:sz="6" w:space="0"/>
            </w:tcBorders>
            <w:vAlign w:val="top"/>
          </w:tcPr>
          <w:p w14:paraId="0FE6A4B3">
            <w:pPr>
              <w:rPr>
                <w:rFonts w:ascii="Arial"/>
                <w:sz w:val="21"/>
              </w:rPr>
            </w:pPr>
          </w:p>
        </w:tc>
        <w:tc>
          <w:tcPr>
            <w:tcW w:w="2002" w:type="dxa"/>
            <w:tcBorders>
              <w:bottom w:val="single" w:color="000000" w:sz="6" w:space="0"/>
            </w:tcBorders>
            <w:vAlign w:val="top"/>
          </w:tcPr>
          <w:p w14:paraId="62727311">
            <w:pPr>
              <w:pStyle w:val="6"/>
              <w:spacing w:before="44" w:line="233" w:lineRule="auto"/>
              <w:ind w:left="383" w:right="285" w:hanging="112"/>
            </w:pPr>
            <w:r>
              <w:rPr>
                <w:rFonts w:ascii="Times New Roman" w:hAnsi="Times New Roman" w:eastAsia="Times New Roman" w:cs="Times New Roman"/>
              </w:rPr>
              <w:t>ND</w:t>
            </w:r>
            <w:r>
              <w:rPr>
                <w:rFonts w:ascii="Times New Roman" w:hAnsi="Times New Roman" w:eastAsia="Times New Roman" w:cs="Times New Roman"/>
                <w:spacing w:val="8"/>
              </w:rPr>
              <w:t>9B</w:t>
            </w:r>
            <w:r>
              <w:rPr>
                <w:rFonts w:ascii="Times New Roman" w:hAnsi="Times New Roman" w:eastAsia="Times New Roman" w:cs="Times New Roman"/>
                <w:spacing w:val="19"/>
              </w:rPr>
              <w:t xml:space="preserve"> </w:t>
            </w:r>
            <w:r>
              <w:rPr>
                <w:spacing w:val="8"/>
              </w:rPr>
              <w:t>声校准器</w:t>
            </w:r>
            <w:r>
              <w:rPr>
                <w:spacing w:val="3"/>
              </w:rPr>
              <w:t>（</w:t>
            </w:r>
            <w:r>
              <w:rPr>
                <w:rFonts w:ascii="Times New Roman" w:hAnsi="Times New Roman" w:eastAsia="Times New Roman" w:cs="Times New Roman"/>
                <w:spacing w:val="3"/>
              </w:rPr>
              <w:t>2018002#</w:t>
            </w:r>
            <w:r>
              <w:rPr>
                <w:spacing w:val="3"/>
              </w:rPr>
              <w:t>）</w:t>
            </w:r>
          </w:p>
        </w:tc>
        <w:tc>
          <w:tcPr>
            <w:tcW w:w="1413" w:type="dxa"/>
            <w:vMerge w:val="continue"/>
            <w:tcBorders>
              <w:top w:val="nil"/>
              <w:bottom w:val="single" w:color="000000" w:sz="6" w:space="0"/>
            </w:tcBorders>
            <w:vAlign w:val="top"/>
          </w:tcPr>
          <w:p w14:paraId="0BDDB062">
            <w:pPr>
              <w:rPr>
                <w:rFonts w:ascii="Arial"/>
                <w:sz w:val="21"/>
              </w:rPr>
            </w:pPr>
          </w:p>
        </w:tc>
        <w:tc>
          <w:tcPr>
            <w:tcW w:w="1649" w:type="dxa"/>
            <w:tcBorders>
              <w:bottom w:val="single" w:color="000000" w:sz="6" w:space="0"/>
            </w:tcBorders>
            <w:vAlign w:val="top"/>
          </w:tcPr>
          <w:p w14:paraId="26DD9AD1">
            <w:pPr>
              <w:spacing w:before="214" w:line="195" w:lineRule="auto"/>
              <w:ind w:left="36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924260551</w:t>
            </w:r>
          </w:p>
        </w:tc>
        <w:tc>
          <w:tcPr>
            <w:tcW w:w="1635" w:type="dxa"/>
            <w:tcBorders>
              <w:bottom w:val="single" w:color="000000" w:sz="6" w:space="0"/>
              <w:right w:val="single" w:color="000000" w:sz="6" w:space="0"/>
            </w:tcBorders>
            <w:vAlign w:val="top"/>
          </w:tcPr>
          <w:p w14:paraId="2C313C6B">
            <w:pPr>
              <w:spacing w:before="214" w:line="195" w:lineRule="auto"/>
              <w:ind w:left="283"/>
              <w:rPr>
                <w:rFonts w:ascii="Times New Roman" w:hAnsi="Times New Roman" w:eastAsia="Times New Roman" w:cs="Times New Roman"/>
                <w:sz w:val="20"/>
                <w:szCs w:val="20"/>
              </w:rPr>
            </w:pPr>
            <w:r>
              <w:rPr>
                <w:rFonts w:ascii="Times New Roman" w:hAnsi="Times New Roman" w:eastAsia="Times New Roman" w:cs="Times New Roman"/>
                <w:sz w:val="20"/>
                <w:szCs w:val="20"/>
              </w:rPr>
              <w:t>2024.</w:t>
            </w:r>
            <w:r>
              <w:rPr>
                <w:rFonts w:ascii="Times New Roman" w:hAnsi="Times New Roman" w:eastAsia="Times New Roman" w:cs="Times New Roman"/>
                <w:spacing w:val="-19"/>
                <w:sz w:val="20"/>
                <w:szCs w:val="20"/>
              </w:rPr>
              <w:t xml:space="preserve"> </w:t>
            </w:r>
            <w:r>
              <w:rPr>
                <w:rFonts w:ascii="Times New Roman" w:hAnsi="Times New Roman" w:eastAsia="Times New Roman" w:cs="Times New Roman"/>
                <w:sz w:val="20"/>
                <w:szCs w:val="20"/>
              </w:rPr>
              <w:t>11.27</w:t>
            </w:r>
          </w:p>
        </w:tc>
      </w:tr>
    </w:tbl>
    <w:p w14:paraId="69178FEE">
      <w:pPr>
        <w:rPr>
          <w:rFonts w:ascii="Arial"/>
          <w:sz w:val="21"/>
        </w:rPr>
      </w:pPr>
    </w:p>
    <w:p w14:paraId="42B13B11">
      <w:pPr>
        <w:rPr>
          <w:rFonts w:ascii="Arial" w:hAnsi="Arial" w:eastAsia="Arial" w:cs="Arial"/>
          <w:sz w:val="21"/>
          <w:szCs w:val="21"/>
        </w:rPr>
        <w:sectPr>
          <w:footerReference r:id="rId78" w:type="default"/>
          <w:pgSz w:w="11907" w:h="16840"/>
          <w:pgMar w:top="400" w:right="1682" w:bottom="1240" w:left="1682" w:header="0" w:footer="1077" w:gutter="0"/>
          <w:cols w:space="720" w:num="1"/>
        </w:sectPr>
      </w:pPr>
    </w:p>
    <w:p w14:paraId="5611608E">
      <w:pPr>
        <w:spacing w:before="19"/>
      </w:pPr>
    </w:p>
    <w:p w14:paraId="21752152">
      <w:pPr>
        <w:spacing w:before="19"/>
      </w:pPr>
    </w:p>
    <w:p w14:paraId="6D868388">
      <w:pPr>
        <w:spacing w:before="18"/>
      </w:pPr>
    </w:p>
    <w:p w14:paraId="722B7270">
      <w:pPr>
        <w:spacing w:before="18"/>
      </w:pPr>
    </w:p>
    <w:tbl>
      <w:tblPr>
        <w:tblStyle w:val="5"/>
        <w:tblW w:w="852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4"/>
        <w:gridCol w:w="132"/>
        <w:gridCol w:w="883"/>
        <w:gridCol w:w="344"/>
        <w:gridCol w:w="2002"/>
        <w:gridCol w:w="1414"/>
        <w:gridCol w:w="197"/>
        <w:gridCol w:w="1142"/>
        <w:gridCol w:w="310"/>
        <w:gridCol w:w="665"/>
        <w:gridCol w:w="831"/>
        <w:gridCol w:w="143"/>
      </w:tblGrid>
      <w:tr w14:paraId="66D58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464" w:type="dxa"/>
            <w:vMerge w:val="restart"/>
            <w:tcBorders>
              <w:top w:val="single" w:color="000000" w:sz="6" w:space="0"/>
              <w:left w:val="single" w:color="000000" w:sz="6" w:space="0"/>
              <w:bottom w:val="nil"/>
              <w:right w:val="single" w:color="000000" w:sz="6" w:space="0"/>
            </w:tcBorders>
            <w:vAlign w:val="top"/>
          </w:tcPr>
          <w:p w14:paraId="151AA601">
            <w:pPr>
              <w:rPr>
                <w:rFonts w:ascii="Arial"/>
                <w:sz w:val="21"/>
              </w:rPr>
            </w:pPr>
          </w:p>
        </w:tc>
        <w:tc>
          <w:tcPr>
            <w:tcW w:w="132" w:type="dxa"/>
            <w:tcBorders>
              <w:top w:val="single" w:color="000000" w:sz="6" w:space="0"/>
              <w:left w:val="single" w:color="000000" w:sz="6" w:space="0"/>
              <w:bottom w:val="nil"/>
            </w:tcBorders>
            <w:vAlign w:val="top"/>
          </w:tcPr>
          <w:p w14:paraId="12D37C0E">
            <w:pPr>
              <w:rPr>
                <w:rFonts w:ascii="Arial"/>
                <w:sz w:val="21"/>
              </w:rPr>
            </w:pPr>
          </w:p>
        </w:tc>
        <w:tc>
          <w:tcPr>
            <w:tcW w:w="1227" w:type="dxa"/>
            <w:gridSpan w:val="2"/>
            <w:vMerge w:val="restart"/>
            <w:tcBorders>
              <w:top w:val="single" w:color="000000" w:sz="6" w:space="0"/>
              <w:bottom w:val="nil"/>
            </w:tcBorders>
            <w:vAlign w:val="top"/>
          </w:tcPr>
          <w:p w14:paraId="21E45864">
            <w:pPr>
              <w:pStyle w:val="6"/>
              <w:spacing w:before="178" w:line="228" w:lineRule="auto"/>
            </w:pPr>
            <w:r>
              <w:rPr>
                <w:rFonts w:ascii="Times New Roman" w:hAnsi="Times New Roman" w:eastAsia="Times New Roman" w:cs="Times New Roman"/>
              </w:rPr>
              <w:t>2025</w:t>
            </w:r>
            <w:r>
              <w:rPr>
                <w:rFonts w:ascii="Times New Roman" w:hAnsi="Times New Roman" w:eastAsia="Times New Roman" w:cs="Times New Roman"/>
                <w:spacing w:val="12"/>
              </w:rPr>
              <w:t xml:space="preserve"> </w:t>
            </w:r>
            <w:r>
              <w:t>年</w:t>
            </w:r>
            <w:r>
              <w:rPr>
                <w:spacing w:val="-23"/>
              </w:rPr>
              <w:t xml:space="preserve"> </w:t>
            </w:r>
            <w:r>
              <w:rPr>
                <w:rFonts w:ascii="Times New Roman" w:hAnsi="Times New Roman" w:eastAsia="Times New Roman" w:cs="Times New Roman"/>
              </w:rPr>
              <w:t>12</w:t>
            </w:r>
            <w:r>
              <w:rPr>
                <w:rFonts w:ascii="Times New Roman" w:hAnsi="Times New Roman" w:eastAsia="Times New Roman" w:cs="Times New Roman"/>
                <w:spacing w:val="14"/>
                <w:w w:val="101"/>
              </w:rPr>
              <w:t xml:space="preserve"> </w:t>
            </w:r>
            <w:r>
              <w:t>月</w:t>
            </w:r>
          </w:p>
          <w:p w14:paraId="606A00FD">
            <w:pPr>
              <w:pStyle w:val="6"/>
              <w:spacing w:before="26" w:line="252" w:lineRule="auto"/>
              <w:ind w:left="212" w:right="1" w:hanging="212"/>
            </w:pPr>
            <w:r>
              <w:rPr>
                <w:rFonts w:ascii="Times New Roman" w:hAnsi="Times New Roman" w:eastAsia="Times New Roman" w:cs="Times New Roman"/>
                <w:spacing w:val="-5"/>
              </w:rPr>
              <w:t>27</w:t>
            </w:r>
            <w:r>
              <w:rPr>
                <w:rFonts w:ascii="Times New Roman" w:hAnsi="Times New Roman" w:eastAsia="Times New Roman" w:cs="Times New Roman"/>
                <w:spacing w:val="24"/>
              </w:rPr>
              <w:t xml:space="preserve"> </w:t>
            </w:r>
            <w:r>
              <w:rPr>
                <w:spacing w:val="-5"/>
              </w:rPr>
              <w:t>日</w:t>
            </w:r>
            <w:r>
              <w:rPr>
                <w:rFonts w:ascii="Times New Roman" w:hAnsi="Times New Roman" w:eastAsia="Times New Roman" w:cs="Times New Roman"/>
                <w:spacing w:val="-5"/>
              </w:rPr>
              <w:t>~28</w:t>
            </w:r>
            <w:r>
              <w:rPr>
                <w:rFonts w:ascii="Times New Roman" w:hAnsi="Times New Roman" w:eastAsia="Times New Roman" w:cs="Times New Roman"/>
                <w:spacing w:val="26"/>
                <w:w w:val="101"/>
              </w:rPr>
              <w:t xml:space="preserve"> </w:t>
            </w:r>
            <w:r>
              <w:rPr>
                <w:spacing w:val="-5"/>
              </w:rPr>
              <w:t>日昼</w:t>
            </w:r>
            <w:r>
              <w:rPr>
                <w:spacing w:val="3"/>
              </w:rPr>
              <w:t>间，夜间</w:t>
            </w:r>
          </w:p>
        </w:tc>
        <w:tc>
          <w:tcPr>
            <w:tcW w:w="2002" w:type="dxa"/>
            <w:tcBorders>
              <w:top w:val="single" w:color="000000" w:sz="6" w:space="0"/>
            </w:tcBorders>
            <w:vAlign w:val="top"/>
          </w:tcPr>
          <w:p w14:paraId="1BD8FFCC">
            <w:pPr>
              <w:pStyle w:val="6"/>
              <w:spacing w:before="42" w:line="230" w:lineRule="auto"/>
              <w:ind w:left="67" w:right="25" w:hanging="41"/>
            </w:pPr>
            <w:r>
              <w:rPr>
                <w:rFonts w:ascii="Times New Roman" w:hAnsi="Times New Roman" w:eastAsia="Times New Roman" w:cs="Times New Roman"/>
              </w:rPr>
              <w:t>AWA</w:t>
            </w:r>
            <w:r>
              <w:rPr>
                <w:rFonts w:ascii="Times New Roman" w:hAnsi="Times New Roman" w:eastAsia="Times New Roman" w:cs="Times New Roman"/>
                <w:spacing w:val="3"/>
              </w:rPr>
              <w:t>6228-6</w:t>
            </w:r>
            <w:r>
              <w:rPr>
                <w:rFonts w:ascii="Times New Roman" w:hAnsi="Times New Roman" w:eastAsia="Times New Roman" w:cs="Times New Roman"/>
                <w:spacing w:val="19"/>
                <w:w w:val="101"/>
              </w:rPr>
              <w:t xml:space="preserve"> </w:t>
            </w:r>
            <w:r>
              <w:rPr>
                <w:spacing w:val="3"/>
              </w:rPr>
              <w:t>型多功能</w:t>
            </w:r>
            <w:r>
              <w:rPr>
                <w:spacing w:val="5"/>
              </w:rPr>
              <w:t>声级计（</w:t>
            </w:r>
            <w:r>
              <w:rPr>
                <w:rFonts w:ascii="Times New Roman" w:hAnsi="Times New Roman" w:eastAsia="Times New Roman" w:cs="Times New Roman"/>
                <w:spacing w:val="5"/>
              </w:rPr>
              <w:t>2015003#</w:t>
            </w:r>
            <w:r>
              <w:rPr>
                <w:spacing w:val="5"/>
              </w:rPr>
              <w:t>）</w:t>
            </w:r>
          </w:p>
        </w:tc>
        <w:tc>
          <w:tcPr>
            <w:tcW w:w="1414" w:type="dxa"/>
            <w:vMerge w:val="restart"/>
            <w:tcBorders>
              <w:top w:val="single" w:color="000000" w:sz="6" w:space="0"/>
              <w:bottom w:val="nil"/>
            </w:tcBorders>
            <w:vAlign w:val="top"/>
          </w:tcPr>
          <w:p w14:paraId="5D6FA45A">
            <w:pPr>
              <w:spacing w:line="249" w:lineRule="auto"/>
              <w:rPr>
                <w:rFonts w:ascii="Arial"/>
                <w:sz w:val="21"/>
              </w:rPr>
            </w:pPr>
          </w:p>
          <w:p w14:paraId="7BB6C177">
            <w:pPr>
              <w:pStyle w:val="6"/>
              <w:spacing w:before="65" w:line="251" w:lineRule="auto"/>
              <w:ind w:left="87" w:right="71" w:firstLine="5"/>
            </w:pPr>
            <w:r>
              <w:rPr>
                <w:spacing w:val="7"/>
              </w:rPr>
              <w:t>云南省计量测</w:t>
            </w:r>
            <w:r>
              <w:rPr>
                <w:spacing w:val="8"/>
              </w:rPr>
              <w:t>试技术研究院</w:t>
            </w:r>
          </w:p>
        </w:tc>
        <w:tc>
          <w:tcPr>
            <w:tcW w:w="1649" w:type="dxa"/>
            <w:gridSpan w:val="3"/>
            <w:tcBorders>
              <w:top w:val="single" w:color="000000" w:sz="6" w:space="0"/>
            </w:tcBorders>
            <w:vAlign w:val="top"/>
          </w:tcPr>
          <w:p w14:paraId="74E426E1">
            <w:pPr>
              <w:spacing w:before="214" w:line="195" w:lineRule="auto"/>
              <w:ind w:left="36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925038410</w:t>
            </w:r>
          </w:p>
        </w:tc>
        <w:tc>
          <w:tcPr>
            <w:tcW w:w="1496" w:type="dxa"/>
            <w:gridSpan w:val="2"/>
            <w:tcBorders>
              <w:top w:val="single" w:color="000000" w:sz="6" w:space="0"/>
            </w:tcBorders>
            <w:vAlign w:val="top"/>
          </w:tcPr>
          <w:p w14:paraId="0AF45E7F">
            <w:pPr>
              <w:spacing w:before="214"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2025.03.07</w:t>
            </w:r>
          </w:p>
        </w:tc>
        <w:tc>
          <w:tcPr>
            <w:tcW w:w="143" w:type="dxa"/>
            <w:tcBorders>
              <w:top w:val="single" w:color="000000" w:sz="6" w:space="0"/>
              <w:bottom w:val="nil"/>
              <w:right w:val="single" w:color="000000" w:sz="6" w:space="0"/>
            </w:tcBorders>
            <w:vAlign w:val="top"/>
          </w:tcPr>
          <w:p w14:paraId="52DCBB3D">
            <w:pPr>
              <w:rPr>
                <w:rFonts w:ascii="Arial"/>
                <w:sz w:val="21"/>
              </w:rPr>
            </w:pPr>
          </w:p>
        </w:tc>
      </w:tr>
      <w:tr w14:paraId="72497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64" w:type="dxa"/>
            <w:vMerge w:val="continue"/>
            <w:tcBorders>
              <w:top w:val="nil"/>
              <w:left w:val="single" w:color="000000" w:sz="6" w:space="0"/>
              <w:bottom w:val="nil"/>
              <w:right w:val="single" w:color="000000" w:sz="6" w:space="0"/>
            </w:tcBorders>
            <w:vAlign w:val="top"/>
          </w:tcPr>
          <w:p w14:paraId="41C65766">
            <w:pPr>
              <w:rPr>
                <w:rFonts w:ascii="Arial"/>
                <w:sz w:val="21"/>
              </w:rPr>
            </w:pPr>
          </w:p>
        </w:tc>
        <w:tc>
          <w:tcPr>
            <w:tcW w:w="132" w:type="dxa"/>
            <w:tcBorders>
              <w:top w:val="nil"/>
              <w:left w:val="single" w:color="000000" w:sz="6" w:space="0"/>
              <w:bottom w:val="nil"/>
            </w:tcBorders>
            <w:vAlign w:val="top"/>
          </w:tcPr>
          <w:p w14:paraId="4672E65C">
            <w:pPr>
              <w:rPr>
                <w:rFonts w:ascii="Arial"/>
                <w:sz w:val="21"/>
              </w:rPr>
            </w:pPr>
          </w:p>
        </w:tc>
        <w:tc>
          <w:tcPr>
            <w:tcW w:w="1227" w:type="dxa"/>
            <w:gridSpan w:val="2"/>
            <w:vMerge w:val="continue"/>
            <w:tcBorders>
              <w:top w:val="nil"/>
            </w:tcBorders>
            <w:vAlign w:val="top"/>
          </w:tcPr>
          <w:p w14:paraId="061E033D">
            <w:pPr>
              <w:rPr>
                <w:rFonts w:ascii="Arial"/>
                <w:sz w:val="21"/>
              </w:rPr>
            </w:pPr>
          </w:p>
        </w:tc>
        <w:tc>
          <w:tcPr>
            <w:tcW w:w="2002" w:type="dxa"/>
            <w:vAlign w:val="top"/>
          </w:tcPr>
          <w:p w14:paraId="724E8D95">
            <w:pPr>
              <w:pStyle w:val="6"/>
              <w:spacing w:before="35" w:line="233" w:lineRule="auto"/>
              <w:ind w:left="388" w:right="280" w:hanging="112"/>
            </w:pPr>
            <w:r>
              <w:rPr>
                <w:rFonts w:ascii="Times New Roman" w:hAnsi="Times New Roman" w:eastAsia="Times New Roman" w:cs="Times New Roman"/>
              </w:rPr>
              <w:t>ND</w:t>
            </w:r>
            <w:r>
              <w:rPr>
                <w:rFonts w:ascii="Times New Roman" w:hAnsi="Times New Roman" w:eastAsia="Times New Roman" w:cs="Times New Roman"/>
                <w:spacing w:val="8"/>
              </w:rPr>
              <w:t>9B</w:t>
            </w:r>
            <w:r>
              <w:rPr>
                <w:rFonts w:ascii="Times New Roman" w:hAnsi="Times New Roman" w:eastAsia="Times New Roman" w:cs="Times New Roman"/>
                <w:spacing w:val="19"/>
              </w:rPr>
              <w:t xml:space="preserve"> </w:t>
            </w:r>
            <w:r>
              <w:rPr>
                <w:spacing w:val="8"/>
              </w:rPr>
              <w:t>声校准器</w:t>
            </w:r>
            <w:r>
              <w:rPr>
                <w:spacing w:val="3"/>
              </w:rPr>
              <w:t>（</w:t>
            </w:r>
            <w:r>
              <w:rPr>
                <w:rFonts w:ascii="Times New Roman" w:hAnsi="Times New Roman" w:eastAsia="Times New Roman" w:cs="Times New Roman"/>
                <w:spacing w:val="3"/>
              </w:rPr>
              <w:t>2018002#</w:t>
            </w:r>
            <w:r>
              <w:rPr>
                <w:spacing w:val="3"/>
              </w:rPr>
              <w:t>）</w:t>
            </w:r>
          </w:p>
        </w:tc>
        <w:tc>
          <w:tcPr>
            <w:tcW w:w="1414" w:type="dxa"/>
            <w:vMerge w:val="continue"/>
            <w:tcBorders>
              <w:top w:val="nil"/>
            </w:tcBorders>
            <w:vAlign w:val="top"/>
          </w:tcPr>
          <w:p w14:paraId="74064C3E">
            <w:pPr>
              <w:rPr>
                <w:rFonts w:ascii="Arial"/>
                <w:sz w:val="21"/>
              </w:rPr>
            </w:pPr>
          </w:p>
        </w:tc>
        <w:tc>
          <w:tcPr>
            <w:tcW w:w="1649" w:type="dxa"/>
            <w:gridSpan w:val="3"/>
            <w:vAlign w:val="top"/>
          </w:tcPr>
          <w:p w14:paraId="12D9C594">
            <w:pPr>
              <w:spacing w:before="205" w:line="195" w:lineRule="auto"/>
              <w:ind w:left="36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925221192</w:t>
            </w:r>
          </w:p>
        </w:tc>
        <w:tc>
          <w:tcPr>
            <w:tcW w:w="1496" w:type="dxa"/>
            <w:gridSpan w:val="2"/>
            <w:vAlign w:val="top"/>
          </w:tcPr>
          <w:p w14:paraId="2290DD2C">
            <w:pPr>
              <w:spacing w:before="205" w:line="195" w:lineRule="auto"/>
              <w:ind w:left="28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2025.</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pacing w:val="1"/>
                <w:sz w:val="20"/>
                <w:szCs w:val="20"/>
              </w:rPr>
              <w:t>12.01</w:t>
            </w:r>
          </w:p>
        </w:tc>
        <w:tc>
          <w:tcPr>
            <w:tcW w:w="143" w:type="dxa"/>
            <w:tcBorders>
              <w:top w:val="nil"/>
              <w:bottom w:val="nil"/>
              <w:right w:val="single" w:color="000000" w:sz="6" w:space="0"/>
            </w:tcBorders>
            <w:vAlign w:val="top"/>
          </w:tcPr>
          <w:p w14:paraId="428E2C68">
            <w:pPr>
              <w:rPr>
                <w:rFonts w:ascii="Arial"/>
                <w:sz w:val="21"/>
              </w:rPr>
            </w:pPr>
          </w:p>
        </w:tc>
      </w:tr>
      <w:tr w14:paraId="12461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464" w:type="dxa"/>
            <w:vMerge w:val="continue"/>
            <w:tcBorders>
              <w:top w:val="nil"/>
              <w:left w:val="single" w:color="000000" w:sz="6" w:space="0"/>
              <w:bottom w:val="nil"/>
              <w:right w:val="single" w:color="000000" w:sz="6" w:space="0"/>
            </w:tcBorders>
            <w:vAlign w:val="top"/>
          </w:tcPr>
          <w:p w14:paraId="4CA5B85A">
            <w:pPr>
              <w:rPr>
                <w:rFonts w:ascii="Arial"/>
                <w:sz w:val="21"/>
              </w:rPr>
            </w:pPr>
          </w:p>
        </w:tc>
        <w:tc>
          <w:tcPr>
            <w:tcW w:w="8063" w:type="dxa"/>
            <w:gridSpan w:val="11"/>
            <w:tcBorders>
              <w:left w:val="single" w:color="000000" w:sz="6" w:space="0"/>
              <w:right w:val="single" w:color="000000" w:sz="6" w:space="0"/>
            </w:tcBorders>
            <w:vAlign w:val="top"/>
          </w:tcPr>
          <w:p w14:paraId="6F0A4FC7">
            <w:pPr>
              <w:pStyle w:val="6"/>
              <w:spacing w:before="34" w:line="218" w:lineRule="auto"/>
              <w:ind w:left="595"/>
              <w:rPr>
                <w:sz w:val="24"/>
                <w:szCs w:val="24"/>
              </w:rPr>
            </w:pPr>
            <w:r>
              <w:rPr>
                <w:spacing w:val="-3"/>
                <w:sz w:val="24"/>
                <w:szCs w:val="24"/>
              </w:rPr>
              <w:t>（</w:t>
            </w:r>
            <w:r>
              <w:rPr>
                <w:rFonts w:ascii="Times New Roman" w:hAnsi="Times New Roman" w:eastAsia="Times New Roman" w:cs="Times New Roman"/>
                <w:spacing w:val="-3"/>
                <w:sz w:val="24"/>
                <w:szCs w:val="24"/>
              </w:rPr>
              <w:t>6</w:t>
            </w:r>
            <w:r>
              <w:rPr>
                <w:spacing w:val="-3"/>
                <w:sz w:val="24"/>
                <w:szCs w:val="24"/>
              </w:rPr>
              <w:t>）监测结果及评价</w:t>
            </w:r>
          </w:p>
          <w:p w14:paraId="296E997B">
            <w:pPr>
              <w:pStyle w:val="6"/>
              <w:spacing w:before="178" w:line="218" w:lineRule="auto"/>
              <w:ind w:left="1861"/>
            </w:pPr>
            <w:r>
              <w:rPr>
                <w:b/>
                <w:bCs/>
                <w:spacing w:val="6"/>
              </w:rPr>
              <w:t>表</w:t>
            </w:r>
            <w:r>
              <w:rPr>
                <w:spacing w:val="-41"/>
              </w:rPr>
              <w:t xml:space="preserve"> </w:t>
            </w:r>
            <w:r>
              <w:rPr>
                <w:rFonts w:ascii="Times New Roman" w:hAnsi="Times New Roman" w:eastAsia="Times New Roman" w:cs="Times New Roman"/>
                <w:b/>
                <w:bCs/>
                <w:spacing w:val="6"/>
              </w:rPr>
              <w:t>3-5    110</w:t>
            </w:r>
            <w:r>
              <w:rPr>
                <w:rFonts w:ascii="Times New Roman" w:hAnsi="Times New Roman" w:eastAsia="Times New Roman" w:cs="Times New Roman"/>
                <w:b/>
                <w:bCs/>
              </w:rPr>
              <w:t>kV</w:t>
            </w:r>
            <w:r>
              <w:rPr>
                <w:rFonts w:ascii="Times New Roman" w:hAnsi="Times New Roman" w:eastAsia="Times New Roman" w:cs="Times New Roman"/>
                <w:b/>
                <w:bCs/>
                <w:spacing w:val="6"/>
              </w:rPr>
              <w:t xml:space="preserve"> </w:t>
            </w:r>
            <w:r>
              <w:rPr>
                <w:b/>
                <w:bCs/>
                <w:spacing w:val="6"/>
              </w:rPr>
              <w:t>松山输变电工程噪声现状监测值</w:t>
            </w:r>
          </w:p>
        </w:tc>
      </w:tr>
      <w:tr w14:paraId="5123C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464" w:type="dxa"/>
            <w:vMerge w:val="continue"/>
            <w:tcBorders>
              <w:top w:val="nil"/>
              <w:left w:val="single" w:color="000000" w:sz="6" w:space="0"/>
              <w:bottom w:val="nil"/>
              <w:right w:val="single" w:color="000000" w:sz="6" w:space="0"/>
            </w:tcBorders>
            <w:vAlign w:val="top"/>
          </w:tcPr>
          <w:p w14:paraId="60829B0E">
            <w:pPr>
              <w:rPr>
                <w:rFonts w:ascii="Arial"/>
                <w:sz w:val="21"/>
              </w:rPr>
            </w:pPr>
          </w:p>
        </w:tc>
        <w:tc>
          <w:tcPr>
            <w:tcW w:w="132" w:type="dxa"/>
            <w:tcBorders>
              <w:top w:val="nil"/>
              <w:left w:val="single" w:color="000000" w:sz="6" w:space="0"/>
              <w:bottom w:val="nil"/>
            </w:tcBorders>
            <w:vAlign w:val="top"/>
          </w:tcPr>
          <w:p w14:paraId="2B594373">
            <w:pPr>
              <w:rPr>
                <w:rFonts w:ascii="Arial"/>
                <w:sz w:val="21"/>
              </w:rPr>
            </w:pPr>
          </w:p>
        </w:tc>
        <w:tc>
          <w:tcPr>
            <w:tcW w:w="883" w:type="dxa"/>
            <w:vMerge w:val="restart"/>
            <w:tcBorders>
              <w:bottom w:val="nil"/>
            </w:tcBorders>
            <w:vAlign w:val="top"/>
          </w:tcPr>
          <w:p w14:paraId="09349016">
            <w:pPr>
              <w:spacing w:line="241" w:lineRule="auto"/>
              <w:rPr>
                <w:rFonts w:ascii="Arial"/>
                <w:sz w:val="21"/>
              </w:rPr>
            </w:pPr>
          </w:p>
          <w:p w14:paraId="58C2082B">
            <w:pPr>
              <w:pStyle w:val="6"/>
              <w:spacing w:before="65" w:line="229" w:lineRule="auto"/>
              <w:ind w:left="229"/>
            </w:pPr>
            <w:r>
              <w:rPr>
                <w:b/>
                <w:bCs/>
                <w:spacing w:val="4"/>
              </w:rPr>
              <w:t>序号</w:t>
            </w:r>
          </w:p>
        </w:tc>
        <w:tc>
          <w:tcPr>
            <w:tcW w:w="3957" w:type="dxa"/>
            <w:gridSpan w:val="4"/>
            <w:vMerge w:val="restart"/>
            <w:tcBorders>
              <w:bottom w:val="nil"/>
            </w:tcBorders>
            <w:vAlign w:val="top"/>
          </w:tcPr>
          <w:p w14:paraId="0616A4CA">
            <w:pPr>
              <w:spacing w:line="241" w:lineRule="auto"/>
              <w:rPr>
                <w:rFonts w:ascii="Arial"/>
                <w:sz w:val="21"/>
              </w:rPr>
            </w:pPr>
          </w:p>
          <w:p w14:paraId="278B84DF">
            <w:pPr>
              <w:pStyle w:val="6"/>
              <w:spacing w:before="65" w:line="229" w:lineRule="auto"/>
              <w:ind w:left="1246"/>
            </w:pPr>
            <w:r>
              <w:rPr>
                <w:b/>
                <w:bCs/>
                <w:spacing w:val="7"/>
              </w:rPr>
              <w:t>测量点点位描述</w:t>
            </w:r>
          </w:p>
        </w:tc>
        <w:tc>
          <w:tcPr>
            <w:tcW w:w="2117" w:type="dxa"/>
            <w:gridSpan w:val="3"/>
            <w:vAlign w:val="top"/>
          </w:tcPr>
          <w:p w14:paraId="4CCC9007">
            <w:pPr>
              <w:pStyle w:val="6"/>
              <w:spacing w:before="31" w:line="221" w:lineRule="auto"/>
              <w:ind w:right="6"/>
              <w:jc w:val="right"/>
            </w:pPr>
            <w:r>
              <w:rPr>
                <w:b/>
                <w:bCs/>
                <w:spacing w:val="3"/>
              </w:rPr>
              <w:t>噪声值（</w:t>
            </w:r>
            <w:r>
              <w:rPr>
                <w:rFonts w:ascii="Times New Roman" w:hAnsi="Times New Roman" w:eastAsia="Times New Roman" w:cs="Times New Roman"/>
                <w:b/>
                <w:bCs/>
              </w:rPr>
              <w:t>Leq</w:t>
            </w:r>
            <w:r>
              <w:rPr>
                <w:b/>
                <w:bCs/>
                <w:spacing w:val="3"/>
              </w:rPr>
              <w:t>）单位：</w:t>
            </w:r>
          </w:p>
          <w:p w14:paraId="00E1CB88">
            <w:pPr>
              <w:pStyle w:val="6"/>
              <w:spacing w:before="31" w:line="211" w:lineRule="auto"/>
              <w:ind w:left="653"/>
            </w:pPr>
            <w:r>
              <w:rPr>
                <w:rFonts w:ascii="Times New Roman" w:hAnsi="Times New Roman" w:eastAsia="Times New Roman" w:cs="Times New Roman"/>
                <w:b/>
                <w:bCs/>
              </w:rPr>
              <w:t>dB</w:t>
            </w:r>
            <w:r>
              <w:rPr>
                <w:b/>
                <w:bCs/>
                <w:spacing w:val="5"/>
              </w:rPr>
              <w:t>（</w:t>
            </w:r>
            <w:r>
              <w:rPr>
                <w:rFonts w:ascii="Times New Roman" w:hAnsi="Times New Roman" w:eastAsia="Times New Roman" w:cs="Times New Roman"/>
                <w:b/>
                <w:bCs/>
                <w:spacing w:val="5"/>
              </w:rPr>
              <w:t>A</w:t>
            </w:r>
            <w:r>
              <w:rPr>
                <w:b/>
                <w:bCs/>
                <w:spacing w:val="5"/>
              </w:rPr>
              <w:t>）</w:t>
            </w:r>
          </w:p>
        </w:tc>
        <w:tc>
          <w:tcPr>
            <w:tcW w:w="831" w:type="dxa"/>
            <w:vMerge w:val="restart"/>
            <w:tcBorders>
              <w:bottom w:val="nil"/>
            </w:tcBorders>
            <w:vAlign w:val="top"/>
          </w:tcPr>
          <w:p w14:paraId="56CA2A1D">
            <w:pPr>
              <w:spacing w:line="241" w:lineRule="auto"/>
              <w:rPr>
                <w:rFonts w:ascii="Arial"/>
                <w:sz w:val="21"/>
              </w:rPr>
            </w:pPr>
          </w:p>
          <w:p w14:paraId="56B6EAB0">
            <w:pPr>
              <w:pStyle w:val="6"/>
              <w:spacing w:before="65" w:line="229" w:lineRule="auto"/>
              <w:ind w:left="218"/>
            </w:pPr>
            <w:r>
              <w:rPr>
                <w:b/>
                <w:bCs/>
                <w:spacing w:val="2"/>
              </w:rPr>
              <w:t>备注</w:t>
            </w:r>
          </w:p>
        </w:tc>
        <w:tc>
          <w:tcPr>
            <w:tcW w:w="143" w:type="dxa"/>
            <w:tcBorders>
              <w:top w:val="nil"/>
              <w:bottom w:val="nil"/>
              <w:right w:val="single" w:color="000000" w:sz="6" w:space="0"/>
            </w:tcBorders>
            <w:vAlign w:val="top"/>
          </w:tcPr>
          <w:p w14:paraId="3A56F9E9">
            <w:pPr>
              <w:rPr>
                <w:rFonts w:ascii="Arial"/>
                <w:sz w:val="21"/>
              </w:rPr>
            </w:pPr>
          </w:p>
        </w:tc>
      </w:tr>
      <w:tr w14:paraId="097A48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464" w:type="dxa"/>
            <w:vMerge w:val="continue"/>
            <w:tcBorders>
              <w:top w:val="nil"/>
              <w:left w:val="single" w:color="000000" w:sz="6" w:space="0"/>
              <w:bottom w:val="nil"/>
              <w:right w:val="single" w:color="000000" w:sz="6" w:space="0"/>
            </w:tcBorders>
            <w:vAlign w:val="top"/>
          </w:tcPr>
          <w:p w14:paraId="7F9C03EB">
            <w:pPr>
              <w:rPr>
                <w:rFonts w:ascii="Arial"/>
                <w:sz w:val="21"/>
              </w:rPr>
            </w:pPr>
          </w:p>
        </w:tc>
        <w:tc>
          <w:tcPr>
            <w:tcW w:w="132" w:type="dxa"/>
            <w:tcBorders>
              <w:top w:val="nil"/>
              <w:left w:val="single" w:color="000000" w:sz="6" w:space="0"/>
              <w:bottom w:val="nil"/>
            </w:tcBorders>
            <w:vAlign w:val="top"/>
          </w:tcPr>
          <w:p w14:paraId="5075D96C">
            <w:pPr>
              <w:rPr>
                <w:rFonts w:ascii="Arial"/>
                <w:sz w:val="21"/>
              </w:rPr>
            </w:pPr>
          </w:p>
        </w:tc>
        <w:tc>
          <w:tcPr>
            <w:tcW w:w="883" w:type="dxa"/>
            <w:vMerge w:val="continue"/>
            <w:tcBorders>
              <w:top w:val="nil"/>
            </w:tcBorders>
            <w:vAlign w:val="top"/>
          </w:tcPr>
          <w:p w14:paraId="756321D4">
            <w:pPr>
              <w:rPr>
                <w:rFonts w:ascii="Arial"/>
                <w:sz w:val="21"/>
              </w:rPr>
            </w:pPr>
          </w:p>
        </w:tc>
        <w:tc>
          <w:tcPr>
            <w:tcW w:w="3957" w:type="dxa"/>
            <w:gridSpan w:val="4"/>
            <w:vMerge w:val="continue"/>
            <w:tcBorders>
              <w:top w:val="nil"/>
            </w:tcBorders>
            <w:vAlign w:val="top"/>
          </w:tcPr>
          <w:p w14:paraId="044D3FE1">
            <w:pPr>
              <w:rPr>
                <w:rFonts w:ascii="Arial"/>
                <w:sz w:val="21"/>
              </w:rPr>
            </w:pPr>
          </w:p>
        </w:tc>
        <w:tc>
          <w:tcPr>
            <w:tcW w:w="1142" w:type="dxa"/>
            <w:vAlign w:val="top"/>
          </w:tcPr>
          <w:p w14:paraId="6A2417D4">
            <w:pPr>
              <w:pStyle w:val="6"/>
              <w:spacing w:before="39" w:line="218" w:lineRule="auto"/>
              <w:ind w:left="366"/>
            </w:pPr>
            <w:r>
              <w:rPr>
                <w:b/>
                <w:bCs/>
                <w:spacing w:val="4"/>
              </w:rPr>
              <w:t>昼间</w:t>
            </w:r>
          </w:p>
        </w:tc>
        <w:tc>
          <w:tcPr>
            <w:tcW w:w="975" w:type="dxa"/>
            <w:gridSpan w:val="2"/>
            <w:vAlign w:val="top"/>
          </w:tcPr>
          <w:p w14:paraId="2E21C591">
            <w:pPr>
              <w:pStyle w:val="6"/>
              <w:spacing w:before="39" w:line="218" w:lineRule="auto"/>
              <w:ind w:left="289"/>
            </w:pPr>
            <w:r>
              <w:rPr>
                <w:b/>
                <w:bCs/>
                <w:spacing w:val="2"/>
              </w:rPr>
              <w:t>夜间</w:t>
            </w:r>
          </w:p>
        </w:tc>
        <w:tc>
          <w:tcPr>
            <w:tcW w:w="831" w:type="dxa"/>
            <w:vMerge w:val="continue"/>
            <w:tcBorders>
              <w:top w:val="nil"/>
            </w:tcBorders>
            <w:vAlign w:val="top"/>
          </w:tcPr>
          <w:p w14:paraId="7BA5D28D">
            <w:pPr>
              <w:rPr>
                <w:rFonts w:ascii="Arial"/>
                <w:sz w:val="21"/>
              </w:rPr>
            </w:pPr>
          </w:p>
        </w:tc>
        <w:tc>
          <w:tcPr>
            <w:tcW w:w="143" w:type="dxa"/>
            <w:tcBorders>
              <w:top w:val="nil"/>
              <w:bottom w:val="nil"/>
              <w:right w:val="single" w:color="000000" w:sz="6" w:space="0"/>
            </w:tcBorders>
            <w:vAlign w:val="top"/>
          </w:tcPr>
          <w:p w14:paraId="3E4EB90D">
            <w:pPr>
              <w:rPr>
                <w:rFonts w:ascii="Arial"/>
                <w:sz w:val="21"/>
              </w:rPr>
            </w:pPr>
          </w:p>
        </w:tc>
      </w:tr>
      <w:tr w14:paraId="7F48D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464" w:type="dxa"/>
            <w:vMerge w:val="continue"/>
            <w:tcBorders>
              <w:top w:val="nil"/>
              <w:left w:val="single" w:color="000000" w:sz="6" w:space="0"/>
              <w:bottom w:val="nil"/>
              <w:right w:val="single" w:color="000000" w:sz="6" w:space="0"/>
            </w:tcBorders>
            <w:vAlign w:val="top"/>
          </w:tcPr>
          <w:p w14:paraId="7E3117B6">
            <w:pPr>
              <w:rPr>
                <w:rFonts w:ascii="Arial"/>
                <w:sz w:val="21"/>
              </w:rPr>
            </w:pPr>
          </w:p>
        </w:tc>
        <w:tc>
          <w:tcPr>
            <w:tcW w:w="132" w:type="dxa"/>
            <w:tcBorders>
              <w:top w:val="nil"/>
              <w:left w:val="single" w:color="000000" w:sz="6" w:space="0"/>
              <w:bottom w:val="nil"/>
            </w:tcBorders>
            <w:vAlign w:val="top"/>
          </w:tcPr>
          <w:p w14:paraId="72DC8566">
            <w:pPr>
              <w:rPr>
                <w:rFonts w:ascii="Arial"/>
                <w:sz w:val="21"/>
              </w:rPr>
            </w:pPr>
          </w:p>
        </w:tc>
        <w:tc>
          <w:tcPr>
            <w:tcW w:w="883" w:type="dxa"/>
            <w:vMerge w:val="restart"/>
            <w:tcBorders>
              <w:bottom w:val="nil"/>
            </w:tcBorders>
            <w:vAlign w:val="top"/>
          </w:tcPr>
          <w:p w14:paraId="6BD7E05A">
            <w:pPr>
              <w:spacing w:line="430" w:lineRule="auto"/>
              <w:rPr>
                <w:rFonts w:ascii="Arial"/>
                <w:sz w:val="21"/>
              </w:rPr>
            </w:pPr>
          </w:p>
          <w:p w14:paraId="40839BCD">
            <w:pPr>
              <w:spacing w:before="57" w:line="195" w:lineRule="auto"/>
              <w:ind w:left="404"/>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3957" w:type="dxa"/>
            <w:gridSpan w:val="4"/>
            <w:vAlign w:val="top"/>
          </w:tcPr>
          <w:p w14:paraId="7F7D0454">
            <w:pPr>
              <w:pStyle w:val="6"/>
              <w:spacing w:before="32" w:line="211" w:lineRule="auto"/>
              <w:ind w:left="491"/>
            </w:pPr>
            <w:r>
              <w:rPr>
                <w:spacing w:val="6"/>
              </w:rPr>
              <w:t>拟建</w:t>
            </w:r>
            <w:r>
              <w:rPr>
                <w:spacing w:val="-16"/>
              </w:rPr>
              <w:t xml:space="preserve"> </w:t>
            </w: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松山变电站东侧厂界</w:t>
            </w:r>
          </w:p>
        </w:tc>
        <w:tc>
          <w:tcPr>
            <w:tcW w:w="1142" w:type="dxa"/>
            <w:vAlign w:val="top"/>
          </w:tcPr>
          <w:p w14:paraId="79A887EC">
            <w:pPr>
              <w:spacing w:before="68"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975" w:type="dxa"/>
            <w:gridSpan w:val="2"/>
            <w:vAlign w:val="top"/>
          </w:tcPr>
          <w:p w14:paraId="173A5F0C">
            <w:pPr>
              <w:spacing w:before="68"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37</w:t>
            </w:r>
          </w:p>
        </w:tc>
        <w:tc>
          <w:tcPr>
            <w:tcW w:w="831" w:type="dxa"/>
            <w:vAlign w:val="top"/>
          </w:tcPr>
          <w:p w14:paraId="3B750796">
            <w:pPr>
              <w:spacing w:before="156" w:line="97"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3" w:type="dxa"/>
            <w:tcBorders>
              <w:top w:val="nil"/>
              <w:bottom w:val="nil"/>
              <w:right w:val="single" w:color="000000" w:sz="6" w:space="0"/>
            </w:tcBorders>
            <w:vAlign w:val="top"/>
          </w:tcPr>
          <w:p w14:paraId="795A1E7C">
            <w:pPr>
              <w:rPr>
                <w:rFonts w:ascii="Arial"/>
                <w:sz w:val="21"/>
              </w:rPr>
            </w:pPr>
          </w:p>
        </w:tc>
      </w:tr>
      <w:tr w14:paraId="3BE11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64" w:type="dxa"/>
            <w:vMerge w:val="continue"/>
            <w:tcBorders>
              <w:top w:val="nil"/>
              <w:left w:val="single" w:color="000000" w:sz="6" w:space="0"/>
              <w:bottom w:val="nil"/>
              <w:right w:val="single" w:color="000000" w:sz="6" w:space="0"/>
            </w:tcBorders>
            <w:vAlign w:val="top"/>
          </w:tcPr>
          <w:p w14:paraId="606301F3">
            <w:pPr>
              <w:rPr>
                <w:rFonts w:ascii="Arial"/>
                <w:sz w:val="21"/>
              </w:rPr>
            </w:pPr>
          </w:p>
        </w:tc>
        <w:tc>
          <w:tcPr>
            <w:tcW w:w="132" w:type="dxa"/>
            <w:tcBorders>
              <w:top w:val="nil"/>
              <w:left w:val="single" w:color="000000" w:sz="6" w:space="0"/>
              <w:bottom w:val="nil"/>
            </w:tcBorders>
            <w:vAlign w:val="top"/>
          </w:tcPr>
          <w:p w14:paraId="444475E6">
            <w:pPr>
              <w:rPr>
                <w:rFonts w:ascii="Arial"/>
                <w:sz w:val="21"/>
              </w:rPr>
            </w:pPr>
          </w:p>
        </w:tc>
        <w:tc>
          <w:tcPr>
            <w:tcW w:w="883" w:type="dxa"/>
            <w:vMerge w:val="continue"/>
            <w:tcBorders>
              <w:top w:val="nil"/>
              <w:bottom w:val="nil"/>
            </w:tcBorders>
            <w:vAlign w:val="top"/>
          </w:tcPr>
          <w:p w14:paraId="41D646B1">
            <w:pPr>
              <w:rPr>
                <w:rFonts w:ascii="Arial"/>
                <w:sz w:val="21"/>
              </w:rPr>
            </w:pPr>
          </w:p>
        </w:tc>
        <w:tc>
          <w:tcPr>
            <w:tcW w:w="3957" w:type="dxa"/>
            <w:gridSpan w:val="4"/>
            <w:vAlign w:val="top"/>
          </w:tcPr>
          <w:p w14:paraId="32AB03CA">
            <w:pPr>
              <w:pStyle w:val="6"/>
              <w:spacing w:before="37" w:line="215" w:lineRule="auto"/>
              <w:ind w:left="491"/>
            </w:pPr>
            <w:r>
              <w:rPr>
                <w:spacing w:val="6"/>
              </w:rPr>
              <w:t>拟建</w:t>
            </w:r>
            <w:r>
              <w:rPr>
                <w:spacing w:val="-16"/>
              </w:rPr>
              <w:t xml:space="preserve"> </w:t>
            </w: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松山变电站南侧厂界</w:t>
            </w:r>
          </w:p>
        </w:tc>
        <w:tc>
          <w:tcPr>
            <w:tcW w:w="1142" w:type="dxa"/>
            <w:vAlign w:val="top"/>
          </w:tcPr>
          <w:p w14:paraId="0581A65D">
            <w:pPr>
              <w:spacing w:before="72" w:line="195" w:lineRule="auto"/>
              <w:ind w:left="476"/>
              <w:rPr>
                <w:rFonts w:ascii="Times New Roman" w:hAnsi="Times New Roman" w:eastAsia="Times New Roman" w:cs="Times New Roman"/>
                <w:sz w:val="20"/>
                <w:szCs w:val="20"/>
              </w:rPr>
            </w:pPr>
            <w:r>
              <w:rPr>
                <w:rFonts w:ascii="Times New Roman" w:hAnsi="Times New Roman" w:eastAsia="Times New Roman" w:cs="Times New Roman"/>
                <w:sz w:val="20"/>
                <w:szCs w:val="20"/>
              </w:rPr>
              <w:t>39</w:t>
            </w:r>
          </w:p>
        </w:tc>
        <w:tc>
          <w:tcPr>
            <w:tcW w:w="975" w:type="dxa"/>
            <w:gridSpan w:val="2"/>
            <w:vAlign w:val="top"/>
          </w:tcPr>
          <w:p w14:paraId="3024DCE4">
            <w:pPr>
              <w:spacing w:before="72"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36</w:t>
            </w:r>
          </w:p>
        </w:tc>
        <w:tc>
          <w:tcPr>
            <w:tcW w:w="831" w:type="dxa"/>
            <w:vAlign w:val="top"/>
          </w:tcPr>
          <w:p w14:paraId="45AB5BE4">
            <w:pPr>
              <w:spacing w:before="161" w:line="97"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3" w:type="dxa"/>
            <w:tcBorders>
              <w:top w:val="nil"/>
              <w:bottom w:val="nil"/>
              <w:right w:val="single" w:color="000000" w:sz="6" w:space="0"/>
            </w:tcBorders>
            <w:vAlign w:val="top"/>
          </w:tcPr>
          <w:p w14:paraId="542CBD21">
            <w:pPr>
              <w:rPr>
                <w:rFonts w:ascii="Arial"/>
                <w:sz w:val="21"/>
              </w:rPr>
            </w:pPr>
          </w:p>
        </w:tc>
      </w:tr>
      <w:tr w14:paraId="760BA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464" w:type="dxa"/>
            <w:vMerge w:val="continue"/>
            <w:tcBorders>
              <w:top w:val="nil"/>
              <w:left w:val="single" w:color="000000" w:sz="6" w:space="0"/>
              <w:bottom w:val="nil"/>
              <w:right w:val="single" w:color="000000" w:sz="6" w:space="0"/>
            </w:tcBorders>
            <w:vAlign w:val="top"/>
          </w:tcPr>
          <w:p w14:paraId="21717683">
            <w:pPr>
              <w:rPr>
                <w:rFonts w:ascii="Arial"/>
                <w:sz w:val="21"/>
              </w:rPr>
            </w:pPr>
          </w:p>
        </w:tc>
        <w:tc>
          <w:tcPr>
            <w:tcW w:w="132" w:type="dxa"/>
            <w:tcBorders>
              <w:top w:val="nil"/>
              <w:left w:val="single" w:color="000000" w:sz="6" w:space="0"/>
              <w:bottom w:val="nil"/>
            </w:tcBorders>
            <w:vAlign w:val="top"/>
          </w:tcPr>
          <w:p w14:paraId="742F8C44">
            <w:pPr>
              <w:rPr>
                <w:rFonts w:ascii="Arial"/>
                <w:sz w:val="21"/>
              </w:rPr>
            </w:pPr>
          </w:p>
        </w:tc>
        <w:tc>
          <w:tcPr>
            <w:tcW w:w="883" w:type="dxa"/>
            <w:vMerge w:val="continue"/>
            <w:tcBorders>
              <w:top w:val="nil"/>
              <w:bottom w:val="nil"/>
            </w:tcBorders>
            <w:vAlign w:val="top"/>
          </w:tcPr>
          <w:p w14:paraId="0C16666C">
            <w:pPr>
              <w:rPr>
                <w:rFonts w:ascii="Arial"/>
                <w:sz w:val="21"/>
              </w:rPr>
            </w:pPr>
          </w:p>
        </w:tc>
        <w:tc>
          <w:tcPr>
            <w:tcW w:w="3957" w:type="dxa"/>
            <w:gridSpan w:val="4"/>
            <w:vAlign w:val="top"/>
          </w:tcPr>
          <w:p w14:paraId="797084F1">
            <w:pPr>
              <w:pStyle w:val="6"/>
              <w:spacing w:before="35" w:line="207" w:lineRule="auto"/>
              <w:ind w:left="491"/>
            </w:pPr>
            <w:r>
              <w:rPr>
                <w:spacing w:val="6"/>
              </w:rPr>
              <w:t>拟建</w:t>
            </w:r>
            <w:r>
              <w:rPr>
                <w:spacing w:val="-16"/>
              </w:rPr>
              <w:t xml:space="preserve"> </w:t>
            </w: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松山变电站西侧厂界</w:t>
            </w:r>
          </w:p>
        </w:tc>
        <w:tc>
          <w:tcPr>
            <w:tcW w:w="1142" w:type="dxa"/>
            <w:vAlign w:val="top"/>
          </w:tcPr>
          <w:p w14:paraId="45FEF8B3">
            <w:pPr>
              <w:spacing w:before="71" w:line="195" w:lineRule="auto"/>
              <w:ind w:left="476"/>
              <w:rPr>
                <w:rFonts w:ascii="Times New Roman" w:hAnsi="Times New Roman" w:eastAsia="Times New Roman" w:cs="Times New Roman"/>
                <w:sz w:val="20"/>
                <w:szCs w:val="20"/>
              </w:rPr>
            </w:pPr>
            <w:r>
              <w:rPr>
                <w:rFonts w:ascii="Times New Roman" w:hAnsi="Times New Roman" w:eastAsia="Times New Roman" w:cs="Times New Roman"/>
                <w:sz w:val="20"/>
                <w:szCs w:val="20"/>
              </w:rPr>
              <w:t>39</w:t>
            </w:r>
          </w:p>
        </w:tc>
        <w:tc>
          <w:tcPr>
            <w:tcW w:w="975" w:type="dxa"/>
            <w:gridSpan w:val="2"/>
            <w:vAlign w:val="top"/>
          </w:tcPr>
          <w:p w14:paraId="37B234B3">
            <w:pPr>
              <w:spacing w:before="71"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37</w:t>
            </w:r>
          </w:p>
        </w:tc>
        <w:tc>
          <w:tcPr>
            <w:tcW w:w="831" w:type="dxa"/>
            <w:vAlign w:val="top"/>
          </w:tcPr>
          <w:p w14:paraId="37B5D5DA">
            <w:pPr>
              <w:spacing w:before="159" w:line="97"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3" w:type="dxa"/>
            <w:tcBorders>
              <w:top w:val="nil"/>
              <w:bottom w:val="nil"/>
              <w:right w:val="single" w:color="000000" w:sz="6" w:space="0"/>
            </w:tcBorders>
            <w:vAlign w:val="top"/>
          </w:tcPr>
          <w:p w14:paraId="79319F3F">
            <w:pPr>
              <w:rPr>
                <w:rFonts w:ascii="Arial"/>
                <w:sz w:val="21"/>
              </w:rPr>
            </w:pPr>
          </w:p>
        </w:tc>
      </w:tr>
      <w:tr w14:paraId="0B4843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464" w:type="dxa"/>
            <w:vMerge w:val="continue"/>
            <w:tcBorders>
              <w:top w:val="nil"/>
              <w:left w:val="single" w:color="000000" w:sz="6" w:space="0"/>
              <w:bottom w:val="nil"/>
              <w:right w:val="single" w:color="000000" w:sz="6" w:space="0"/>
            </w:tcBorders>
            <w:vAlign w:val="top"/>
          </w:tcPr>
          <w:p w14:paraId="5D8BC826">
            <w:pPr>
              <w:rPr>
                <w:rFonts w:ascii="Arial"/>
                <w:sz w:val="21"/>
              </w:rPr>
            </w:pPr>
          </w:p>
        </w:tc>
        <w:tc>
          <w:tcPr>
            <w:tcW w:w="132" w:type="dxa"/>
            <w:tcBorders>
              <w:top w:val="nil"/>
              <w:left w:val="single" w:color="000000" w:sz="6" w:space="0"/>
              <w:bottom w:val="nil"/>
            </w:tcBorders>
            <w:vAlign w:val="top"/>
          </w:tcPr>
          <w:p w14:paraId="272DAAB4">
            <w:pPr>
              <w:rPr>
                <w:rFonts w:ascii="Arial"/>
                <w:sz w:val="21"/>
              </w:rPr>
            </w:pPr>
          </w:p>
        </w:tc>
        <w:tc>
          <w:tcPr>
            <w:tcW w:w="883" w:type="dxa"/>
            <w:vMerge w:val="continue"/>
            <w:tcBorders>
              <w:top w:val="nil"/>
            </w:tcBorders>
            <w:vAlign w:val="top"/>
          </w:tcPr>
          <w:p w14:paraId="07DA1AD3">
            <w:pPr>
              <w:rPr>
                <w:rFonts w:ascii="Arial"/>
                <w:sz w:val="21"/>
              </w:rPr>
            </w:pPr>
          </w:p>
        </w:tc>
        <w:tc>
          <w:tcPr>
            <w:tcW w:w="3957" w:type="dxa"/>
            <w:gridSpan w:val="4"/>
            <w:vAlign w:val="top"/>
          </w:tcPr>
          <w:p w14:paraId="3B0D09B5">
            <w:pPr>
              <w:pStyle w:val="6"/>
              <w:spacing w:before="42" w:line="216" w:lineRule="auto"/>
              <w:ind w:left="491"/>
            </w:pPr>
            <w:r>
              <w:rPr>
                <w:spacing w:val="6"/>
              </w:rPr>
              <w:t>拟建</w:t>
            </w:r>
            <w:r>
              <w:rPr>
                <w:spacing w:val="-16"/>
              </w:rPr>
              <w:t xml:space="preserve"> </w:t>
            </w: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松山变电站北侧厂界</w:t>
            </w:r>
          </w:p>
        </w:tc>
        <w:tc>
          <w:tcPr>
            <w:tcW w:w="1142" w:type="dxa"/>
            <w:vAlign w:val="top"/>
          </w:tcPr>
          <w:p w14:paraId="08963663">
            <w:pPr>
              <w:spacing w:before="79" w:line="195" w:lineRule="auto"/>
              <w:ind w:left="476"/>
              <w:rPr>
                <w:rFonts w:ascii="Times New Roman" w:hAnsi="Times New Roman" w:eastAsia="Times New Roman" w:cs="Times New Roman"/>
                <w:sz w:val="20"/>
                <w:szCs w:val="20"/>
              </w:rPr>
            </w:pPr>
            <w:r>
              <w:rPr>
                <w:rFonts w:ascii="Times New Roman" w:hAnsi="Times New Roman" w:eastAsia="Times New Roman" w:cs="Times New Roman"/>
                <w:sz w:val="20"/>
                <w:szCs w:val="20"/>
              </w:rPr>
              <w:t>38</w:t>
            </w:r>
          </w:p>
        </w:tc>
        <w:tc>
          <w:tcPr>
            <w:tcW w:w="975" w:type="dxa"/>
            <w:gridSpan w:val="2"/>
            <w:vAlign w:val="top"/>
          </w:tcPr>
          <w:p w14:paraId="78F52A0D">
            <w:pPr>
              <w:spacing w:before="79"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35</w:t>
            </w:r>
          </w:p>
        </w:tc>
        <w:tc>
          <w:tcPr>
            <w:tcW w:w="831" w:type="dxa"/>
            <w:vAlign w:val="top"/>
          </w:tcPr>
          <w:p w14:paraId="3E6BF840">
            <w:pPr>
              <w:spacing w:before="167" w:line="97"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3" w:type="dxa"/>
            <w:tcBorders>
              <w:top w:val="nil"/>
              <w:bottom w:val="nil"/>
              <w:right w:val="single" w:color="000000" w:sz="6" w:space="0"/>
            </w:tcBorders>
            <w:vAlign w:val="top"/>
          </w:tcPr>
          <w:p w14:paraId="066B875F">
            <w:pPr>
              <w:rPr>
                <w:rFonts w:ascii="Arial"/>
                <w:sz w:val="21"/>
              </w:rPr>
            </w:pPr>
          </w:p>
        </w:tc>
      </w:tr>
      <w:tr w14:paraId="5D2DA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64" w:type="dxa"/>
            <w:vMerge w:val="continue"/>
            <w:tcBorders>
              <w:top w:val="nil"/>
              <w:left w:val="single" w:color="000000" w:sz="6" w:space="0"/>
              <w:bottom w:val="nil"/>
              <w:right w:val="single" w:color="000000" w:sz="6" w:space="0"/>
            </w:tcBorders>
            <w:vAlign w:val="top"/>
          </w:tcPr>
          <w:p w14:paraId="1A7DAA1F">
            <w:pPr>
              <w:rPr>
                <w:rFonts w:ascii="Arial"/>
                <w:sz w:val="21"/>
              </w:rPr>
            </w:pPr>
          </w:p>
        </w:tc>
        <w:tc>
          <w:tcPr>
            <w:tcW w:w="132" w:type="dxa"/>
            <w:tcBorders>
              <w:top w:val="nil"/>
              <w:left w:val="single" w:color="000000" w:sz="6" w:space="0"/>
              <w:bottom w:val="nil"/>
            </w:tcBorders>
            <w:vAlign w:val="top"/>
          </w:tcPr>
          <w:p w14:paraId="7A64BEA5">
            <w:pPr>
              <w:rPr>
                <w:rFonts w:ascii="Arial"/>
                <w:sz w:val="21"/>
              </w:rPr>
            </w:pPr>
          </w:p>
        </w:tc>
        <w:tc>
          <w:tcPr>
            <w:tcW w:w="883" w:type="dxa"/>
            <w:vAlign w:val="top"/>
          </w:tcPr>
          <w:p w14:paraId="7A0F5429">
            <w:pPr>
              <w:pStyle w:val="6"/>
              <w:spacing w:before="32" w:line="228" w:lineRule="auto"/>
              <w:ind w:left="124"/>
            </w:pPr>
            <w:r>
              <w:rPr>
                <w:spacing w:val="6"/>
              </w:rPr>
              <w:t>补充监</w:t>
            </w:r>
          </w:p>
          <w:p w14:paraId="39F004DF">
            <w:pPr>
              <w:pStyle w:val="6"/>
              <w:spacing w:before="26" w:line="215" w:lineRule="auto"/>
              <w:ind w:left="151"/>
              <w:rPr>
                <w:rFonts w:ascii="Times New Roman" w:hAnsi="Times New Roman" w:eastAsia="Times New Roman" w:cs="Times New Roman"/>
              </w:rPr>
            </w:pPr>
            <w:r>
              <w:rPr>
                <w:spacing w:val="2"/>
              </w:rPr>
              <w:t>测点</w:t>
            </w:r>
            <w:r>
              <w:rPr>
                <w:spacing w:val="-19"/>
              </w:rPr>
              <w:t xml:space="preserve"> </w:t>
            </w:r>
            <w:r>
              <w:rPr>
                <w:rFonts w:ascii="Times New Roman" w:hAnsi="Times New Roman" w:eastAsia="Times New Roman" w:cs="Times New Roman"/>
                <w:spacing w:val="2"/>
              </w:rPr>
              <w:t>1</w:t>
            </w:r>
          </w:p>
        </w:tc>
        <w:tc>
          <w:tcPr>
            <w:tcW w:w="3957" w:type="dxa"/>
            <w:gridSpan w:val="4"/>
            <w:vAlign w:val="top"/>
          </w:tcPr>
          <w:p w14:paraId="140B83D2">
            <w:pPr>
              <w:pStyle w:val="6"/>
              <w:spacing w:before="228" w:line="228" w:lineRule="auto"/>
              <w:ind w:left="508"/>
            </w:pP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松山变电站北侧</w:t>
            </w:r>
            <w:r>
              <w:rPr>
                <w:spacing w:val="-22"/>
              </w:rPr>
              <w:t xml:space="preserve"> </w:t>
            </w:r>
            <w:r>
              <w:rPr>
                <w:rFonts w:ascii="Times New Roman" w:hAnsi="Times New Roman" w:eastAsia="Times New Roman" w:cs="Times New Roman"/>
                <w:spacing w:val="5"/>
              </w:rPr>
              <w:t>1#</w:t>
            </w:r>
            <w:r>
              <w:rPr>
                <w:spacing w:val="5"/>
              </w:rPr>
              <w:t>居民点</w:t>
            </w:r>
          </w:p>
        </w:tc>
        <w:tc>
          <w:tcPr>
            <w:tcW w:w="1142" w:type="dxa"/>
            <w:vAlign w:val="top"/>
          </w:tcPr>
          <w:p w14:paraId="0FB1E49E">
            <w:pPr>
              <w:spacing w:before="205"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975" w:type="dxa"/>
            <w:gridSpan w:val="2"/>
            <w:vAlign w:val="top"/>
          </w:tcPr>
          <w:p w14:paraId="2A9DBFC7">
            <w:pPr>
              <w:spacing w:before="204"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39</w:t>
            </w:r>
          </w:p>
        </w:tc>
        <w:tc>
          <w:tcPr>
            <w:tcW w:w="831" w:type="dxa"/>
            <w:vAlign w:val="top"/>
          </w:tcPr>
          <w:p w14:paraId="4924F5D6">
            <w:pPr>
              <w:rPr>
                <w:rFonts w:ascii="Arial"/>
                <w:sz w:val="21"/>
              </w:rPr>
            </w:pPr>
          </w:p>
        </w:tc>
        <w:tc>
          <w:tcPr>
            <w:tcW w:w="143" w:type="dxa"/>
            <w:tcBorders>
              <w:top w:val="nil"/>
              <w:bottom w:val="nil"/>
              <w:right w:val="single" w:color="000000" w:sz="6" w:space="0"/>
            </w:tcBorders>
            <w:vAlign w:val="top"/>
          </w:tcPr>
          <w:p w14:paraId="25E04FE4">
            <w:pPr>
              <w:rPr>
                <w:rFonts w:ascii="Arial"/>
                <w:sz w:val="21"/>
              </w:rPr>
            </w:pPr>
          </w:p>
        </w:tc>
      </w:tr>
      <w:tr w14:paraId="6068A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64" w:type="dxa"/>
            <w:vMerge w:val="continue"/>
            <w:tcBorders>
              <w:top w:val="nil"/>
              <w:left w:val="single" w:color="000000" w:sz="6" w:space="0"/>
              <w:bottom w:val="nil"/>
              <w:right w:val="single" w:color="000000" w:sz="6" w:space="0"/>
            </w:tcBorders>
            <w:vAlign w:val="top"/>
          </w:tcPr>
          <w:p w14:paraId="31D77B0C">
            <w:pPr>
              <w:rPr>
                <w:rFonts w:ascii="Arial"/>
                <w:sz w:val="21"/>
              </w:rPr>
            </w:pPr>
          </w:p>
        </w:tc>
        <w:tc>
          <w:tcPr>
            <w:tcW w:w="132" w:type="dxa"/>
            <w:tcBorders>
              <w:top w:val="nil"/>
              <w:left w:val="single" w:color="000000" w:sz="6" w:space="0"/>
              <w:bottom w:val="nil"/>
            </w:tcBorders>
            <w:vAlign w:val="top"/>
          </w:tcPr>
          <w:p w14:paraId="419D0B97">
            <w:pPr>
              <w:rPr>
                <w:rFonts w:ascii="Arial"/>
                <w:sz w:val="21"/>
              </w:rPr>
            </w:pPr>
          </w:p>
        </w:tc>
        <w:tc>
          <w:tcPr>
            <w:tcW w:w="883" w:type="dxa"/>
            <w:vAlign w:val="top"/>
          </w:tcPr>
          <w:p w14:paraId="7E3DB040">
            <w:pPr>
              <w:pStyle w:val="6"/>
              <w:spacing w:before="33" w:line="228" w:lineRule="auto"/>
              <w:ind w:left="124"/>
            </w:pPr>
            <w:r>
              <w:rPr>
                <w:spacing w:val="6"/>
              </w:rPr>
              <w:t>补充监</w:t>
            </w:r>
          </w:p>
          <w:p w14:paraId="6861F746">
            <w:pPr>
              <w:pStyle w:val="6"/>
              <w:spacing w:before="26" w:line="215" w:lineRule="auto"/>
              <w:ind w:left="151"/>
              <w:rPr>
                <w:rFonts w:ascii="Times New Roman" w:hAnsi="Times New Roman" w:eastAsia="Times New Roman" w:cs="Times New Roman"/>
              </w:rPr>
            </w:pPr>
            <w:r>
              <w:rPr>
                <w:spacing w:val="2"/>
              </w:rPr>
              <w:t>测点</w:t>
            </w:r>
            <w:r>
              <w:rPr>
                <w:spacing w:val="-39"/>
              </w:rPr>
              <w:t xml:space="preserve"> </w:t>
            </w:r>
            <w:r>
              <w:rPr>
                <w:rFonts w:ascii="Times New Roman" w:hAnsi="Times New Roman" w:eastAsia="Times New Roman" w:cs="Times New Roman"/>
                <w:spacing w:val="2"/>
              </w:rPr>
              <w:t>2</w:t>
            </w:r>
          </w:p>
        </w:tc>
        <w:tc>
          <w:tcPr>
            <w:tcW w:w="3957" w:type="dxa"/>
            <w:gridSpan w:val="4"/>
            <w:vAlign w:val="top"/>
          </w:tcPr>
          <w:p w14:paraId="32C588AA">
            <w:pPr>
              <w:pStyle w:val="6"/>
              <w:spacing w:before="229" w:line="228" w:lineRule="auto"/>
              <w:ind w:left="299"/>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松山变电站北侧</w:t>
            </w:r>
            <w:r>
              <w:rPr>
                <w:spacing w:val="-32"/>
              </w:rPr>
              <w:t xml:space="preserve"> </w:t>
            </w:r>
            <w:r>
              <w:rPr>
                <w:rFonts w:ascii="Times New Roman" w:hAnsi="Times New Roman" w:eastAsia="Times New Roman" w:cs="Times New Roman"/>
                <w:spacing w:val="6"/>
              </w:rPr>
              <w:t>2#</w:t>
            </w:r>
            <w:r>
              <w:rPr>
                <w:spacing w:val="6"/>
              </w:rPr>
              <w:t>临时看护房</w:t>
            </w:r>
          </w:p>
        </w:tc>
        <w:tc>
          <w:tcPr>
            <w:tcW w:w="1142" w:type="dxa"/>
            <w:vAlign w:val="top"/>
          </w:tcPr>
          <w:p w14:paraId="436A71E5">
            <w:pPr>
              <w:spacing w:before="205"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w:t>
            </w:r>
          </w:p>
        </w:tc>
        <w:tc>
          <w:tcPr>
            <w:tcW w:w="975" w:type="dxa"/>
            <w:gridSpan w:val="2"/>
            <w:vAlign w:val="top"/>
          </w:tcPr>
          <w:p w14:paraId="6E4C55BA">
            <w:pPr>
              <w:spacing w:before="205"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38</w:t>
            </w:r>
          </w:p>
        </w:tc>
        <w:tc>
          <w:tcPr>
            <w:tcW w:w="831" w:type="dxa"/>
            <w:vAlign w:val="top"/>
          </w:tcPr>
          <w:p w14:paraId="08613402">
            <w:pPr>
              <w:rPr>
                <w:rFonts w:ascii="Arial"/>
                <w:sz w:val="21"/>
              </w:rPr>
            </w:pPr>
          </w:p>
        </w:tc>
        <w:tc>
          <w:tcPr>
            <w:tcW w:w="143" w:type="dxa"/>
            <w:tcBorders>
              <w:top w:val="nil"/>
              <w:bottom w:val="nil"/>
              <w:right w:val="single" w:color="000000" w:sz="6" w:space="0"/>
            </w:tcBorders>
            <w:vAlign w:val="top"/>
          </w:tcPr>
          <w:p w14:paraId="65C96954">
            <w:pPr>
              <w:rPr>
                <w:rFonts w:ascii="Arial"/>
                <w:sz w:val="21"/>
              </w:rPr>
            </w:pPr>
          </w:p>
        </w:tc>
      </w:tr>
      <w:tr w14:paraId="37443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64" w:type="dxa"/>
            <w:vMerge w:val="continue"/>
            <w:tcBorders>
              <w:top w:val="nil"/>
              <w:left w:val="single" w:color="000000" w:sz="6" w:space="0"/>
              <w:bottom w:val="nil"/>
              <w:right w:val="single" w:color="000000" w:sz="6" w:space="0"/>
            </w:tcBorders>
            <w:vAlign w:val="top"/>
          </w:tcPr>
          <w:p w14:paraId="38EAC7B9">
            <w:pPr>
              <w:rPr>
                <w:rFonts w:ascii="Arial"/>
                <w:sz w:val="21"/>
              </w:rPr>
            </w:pPr>
          </w:p>
        </w:tc>
        <w:tc>
          <w:tcPr>
            <w:tcW w:w="132" w:type="dxa"/>
            <w:tcBorders>
              <w:top w:val="nil"/>
              <w:left w:val="single" w:color="000000" w:sz="6" w:space="0"/>
              <w:bottom w:val="nil"/>
            </w:tcBorders>
            <w:vAlign w:val="top"/>
          </w:tcPr>
          <w:p w14:paraId="4FC6B4DB">
            <w:pPr>
              <w:rPr>
                <w:rFonts w:ascii="Arial"/>
                <w:sz w:val="21"/>
              </w:rPr>
            </w:pPr>
          </w:p>
        </w:tc>
        <w:tc>
          <w:tcPr>
            <w:tcW w:w="883" w:type="dxa"/>
            <w:vAlign w:val="top"/>
          </w:tcPr>
          <w:p w14:paraId="51F72DBE">
            <w:pPr>
              <w:pStyle w:val="6"/>
              <w:spacing w:before="35" w:line="228" w:lineRule="auto"/>
              <w:ind w:left="124"/>
            </w:pPr>
            <w:r>
              <w:rPr>
                <w:spacing w:val="6"/>
              </w:rPr>
              <w:t>补充监</w:t>
            </w:r>
          </w:p>
          <w:p w14:paraId="391A28A1">
            <w:pPr>
              <w:pStyle w:val="6"/>
              <w:spacing w:before="24" w:line="214" w:lineRule="auto"/>
              <w:ind w:left="151"/>
              <w:rPr>
                <w:rFonts w:ascii="Times New Roman" w:hAnsi="Times New Roman" w:eastAsia="Times New Roman" w:cs="Times New Roman"/>
              </w:rPr>
            </w:pPr>
            <w:r>
              <w:rPr>
                <w:spacing w:val="2"/>
              </w:rPr>
              <w:t>测点</w:t>
            </w:r>
            <w:r>
              <w:rPr>
                <w:spacing w:val="-35"/>
              </w:rPr>
              <w:t xml:space="preserve"> </w:t>
            </w:r>
            <w:r>
              <w:rPr>
                <w:rFonts w:ascii="Times New Roman" w:hAnsi="Times New Roman" w:eastAsia="Times New Roman" w:cs="Times New Roman"/>
                <w:spacing w:val="2"/>
              </w:rPr>
              <w:t>3</w:t>
            </w:r>
          </w:p>
        </w:tc>
        <w:tc>
          <w:tcPr>
            <w:tcW w:w="3957" w:type="dxa"/>
            <w:gridSpan w:val="4"/>
            <w:vAlign w:val="top"/>
          </w:tcPr>
          <w:p w14:paraId="0346F277">
            <w:pPr>
              <w:pStyle w:val="6"/>
              <w:spacing w:before="229" w:line="228" w:lineRule="auto"/>
              <w:ind w:left="299"/>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松山变电站北侧</w:t>
            </w:r>
            <w:r>
              <w:rPr>
                <w:spacing w:val="-32"/>
              </w:rPr>
              <w:t xml:space="preserve"> </w:t>
            </w:r>
            <w:r>
              <w:rPr>
                <w:rFonts w:ascii="Times New Roman" w:hAnsi="Times New Roman" w:eastAsia="Times New Roman" w:cs="Times New Roman"/>
                <w:spacing w:val="6"/>
              </w:rPr>
              <w:t>3#</w:t>
            </w:r>
            <w:r>
              <w:rPr>
                <w:spacing w:val="6"/>
              </w:rPr>
              <w:t>临时看护房</w:t>
            </w:r>
          </w:p>
        </w:tc>
        <w:tc>
          <w:tcPr>
            <w:tcW w:w="1142" w:type="dxa"/>
            <w:vAlign w:val="top"/>
          </w:tcPr>
          <w:p w14:paraId="29C6117C">
            <w:pPr>
              <w:spacing w:before="205"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975" w:type="dxa"/>
            <w:gridSpan w:val="2"/>
            <w:vAlign w:val="top"/>
          </w:tcPr>
          <w:p w14:paraId="2D3AD003">
            <w:pPr>
              <w:spacing w:before="205"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38</w:t>
            </w:r>
          </w:p>
        </w:tc>
        <w:tc>
          <w:tcPr>
            <w:tcW w:w="831" w:type="dxa"/>
            <w:vAlign w:val="top"/>
          </w:tcPr>
          <w:p w14:paraId="07461548">
            <w:pPr>
              <w:rPr>
                <w:rFonts w:ascii="Arial"/>
                <w:sz w:val="21"/>
              </w:rPr>
            </w:pPr>
          </w:p>
        </w:tc>
        <w:tc>
          <w:tcPr>
            <w:tcW w:w="143" w:type="dxa"/>
            <w:tcBorders>
              <w:top w:val="nil"/>
              <w:bottom w:val="nil"/>
              <w:right w:val="single" w:color="000000" w:sz="6" w:space="0"/>
            </w:tcBorders>
            <w:vAlign w:val="top"/>
          </w:tcPr>
          <w:p w14:paraId="4DFB5055">
            <w:pPr>
              <w:rPr>
                <w:rFonts w:ascii="Arial"/>
                <w:sz w:val="21"/>
              </w:rPr>
            </w:pPr>
          </w:p>
        </w:tc>
      </w:tr>
      <w:tr w14:paraId="3E042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64" w:type="dxa"/>
            <w:vMerge w:val="continue"/>
            <w:tcBorders>
              <w:top w:val="nil"/>
              <w:left w:val="single" w:color="000000" w:sz="6" w:space="0"/>
              <w:bottom w:val="nil"/>
              <w:right w:val="single" w:color="000000" w:sz="6" w:space="0"/>
            </w:tcBorders>
            <w:vAlign w:val="top"/>
          </w:tcPr>
          <w:p w14:paraId="25AB245F">
            <w:pPr>
              <w:rPr>
                <w:rFonts w:ascii="Arial"/>
                <w:sz w:val="21"/>
              </w:rPr>
            </w:pPr>
          </w:p>
        </w:tc>
        <w:tc>
          <w:tcPr>
            <w:tcW w:w="132" w:type="dxa"/>
            <w:tcBorders>
              <w:top w:val="nil"/>
              <w:left w:val="single" w:color="000000" w:sz="6" w:space="0"/>
              <w:bottom w:val="nil"/>
            </w:tcBorders>
            <w:vAlign w:val="top"/>
          </w:tcPr>
          <w:p w14:paraId="57E46EE2">
            <w:pPr>
              <w:rPr>
                <w:rFonts w:ascii="Arial"/>
                <w:sz w:val="21"/>
              </w:rPr>
            </w:pPr>
          </w:p>
        </w:tc>
        <w:tc>
          <w:tcPr>
            <w:tcW w:w="883" w:type="dxa"/>
            <w:vAlign w:val="top"/>
          </w:tcPr>
          <w:p w14:paraId="26C1C275">
            <w:pPr>
              <w:pStyle w:val="6"/>
              <w:spacing w:before="36" w:line="228" w:lineRule="auto"/>
              <w:ind w:left="124"/>
            </w:pPr>
            <w:r>
              <w:rPr>
                <w:spacing w:val="6"/>
              </w:rPr>
              <w:t>补充监</w:t>
            </w:r>
          </w:p>
          <w:p w14:paraId="261BDDB4">
            <w:pPr>
              <w:pStyle w:val="6"/>
              <w:spacing w:before="23" w:line="214" w:lineRule="auto"/>
              <w:ind w:left="151"/>
              <w:rPr>
                <w:rFonts w:ascii="Times New Roman" w:hAnsi="Times New Roman" w:eastAsia="Times New Roman" w:cs="Times New Roman"/>
              </w:rPr>
            </w:pPr>
            <w:r>
              <w:rPr>
                <w:spacing w:val="3"/>
              </w:rPr>
              <w:t>测点</w:t>
            </w:r>
            <w:r>
              <w:rPr>
                <w:spacing w:val="-42"/>
              </w:rPr>
              <w:t xml:space="preserve"> </w:t>
            </w:r>
            <w:r>
              <w:rPr>
                <w:rFonts w:ascii="Times New Roman" w:hAnsi="Times New Roman" w:eastAsia="Times New Roman" w:cs="Times New Roman"/>
                <w:spacing w:val="3"/>
              </w:rPr>
              <w:t>4</w:t>
            </w:r>
          </w:p>
        </w:tc>
        <w:tc>
          <w:tcPr>
            <w:tcW w:w="3957" w:type="dxa"/>
            <w:gridSpan w:val="4"/>
            <w:vAlign w:val="top"/>
          </w:tcPr>
          <w:p w14:paraId="07E01151">
            <w:pPr>
              <w:pStyle w:val="6"/>
              <w:spacing w:before="229" w:line="228" w:lineRule="auto"/>
              <w:ind w:left="299"/>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松山变电站北侧</w:t>
            </w:r>
            <w:r>
              <w:rPr>
                <w:spacing w:val="-32"/>
              </w:rPr>
              <w:t xml:space="preserve"> </w:t>
            </w:r>
            <w:r>
              <w:rPr>
                <w:rFonts w:ascii="Times New Roman" w:hAnsi="Times New Roman" w:eastAsia="Times New Roman" w:cs="Times New Roman"/>
                <w:spacing w:val="6"/>
              </w:rPr>
              <w:t>4#</w:t>
            </w:r>
            <w:r>
              <w:rPr>
                <w:spacing w:val="6"/>
              </w:rPr>
              <w:t>临时看护房</w:t>
            </w:r>
          </w:p>
        </w:tc>
        <w:tc>
          <w:tcPr>
            <w:tcW w:w="1142" w:type="dxa"/>
            <w:vAlign w:val="top"/>
          </w:tcPr>
          <w:p w14:paraId="33928E82">
            <w:pPr>
              <w:spacing w:before="206"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w:t>
            </w:r>
          </w:p>
        </w:tc>
        <w:tc>
          <w:tcPr>
            <w:tcW w:w="975" w:type="dxa"/>
            <w:gridSpan w:val="2"/>
            <w:vAlign w:val="top"/>
          </w:tcPr>
          <w:p w14:paraId="2C4C8A7F">
            <w:pPr>
              <w:spacing w:before="206"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37</w:t>
            </w:r>
          </w:p>
        </w:tc>
        <w:tc>
          <w:tcPr>
            <w:tcW w:w="831" w:type="dxa"/>
            <w:vAlign w:val="top"/>
          </w:tcPr>
          <w:p w14:paraId="73292D80">
            <w:pPr>
              <w:rPr>
                <w:rFonts w:ascii="Arial"/>
                <w:sz w:val="21"/>
              </w:rPr>
            </w:pPr>
          </w:p>
        </w:tc>
        <w:tc>
          <w:tcPr>
            <w:tcW w:w="143" w:type="dxa"/>
            <w:tcBorders>
              <w:top w:val="nil"/>
              <w:bottom w:val="nil"/>
              <w:right w:val="single" w:color="000000" w:sz="6" w:space="0"/>
            </w:tcBorders>
            <w:vAlign w:val="top"/>
          </w:tcPr>
          <w:p w14:paraId="720AF558">
            <w:pPr>
              <w:rPr>
                <w:rFonts w:ascii="Arial"/>
                <w:sz w:val="21"/>
              </w:rPr>
            </w:pPr>
          </w:p>
        </w:tc>
      </w:tr>
      <w:tr w14:paraId="356E2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464" w:type="dxa"/>
            <w:vMerge w:val="continue"/>
            <w:tcBorders>
              <w:top w:val="nil"/>
              <w:left w:val="single" w:color="000000" w:sz="6" w:space="0"/>
              <w:bottom w:val="nil"/>
              <w:right w:val="single" w:color="000000" w:sz="6" w:space="0"/>
            </w:tcBorders>
            <w:vAlign w:val="top"/>
          </w:tcPr>
          <w:p w14:paraId="56AA4CBA">
            <w:pPr>
              <w:rPr>
                <w:rFonts w:ascii="Arial"/>
                <w:sz w:val="21"/>
              </w:rPr>
            </w:pPr>
          </w:p>
        </w:tc>
        <w:tc>
          <w:tcPr>
            <w:tcW w:w="132" w:type="dxa"/>
            <w:tcBorders>
              <w:top w:val="nil"/>
              <w:left w:val="single" w:color="000000" w:sz="6" w:space="0"/>
              <w:bottom w:val="nil"/>
            </w:tcBorders>
            <w:vAlign w:val="top"/>
          </w:tcPr>
          <w:p w14:paraId="614269D6">
            <w:pPr>
              <w:rPr>
                <w:rFonts w:ascii="Arial"/>
                <w:sz w:val="21"/>
              </w:rPr>
            </w:pPr>
          </w:p>
        </w:tc>
        <w:tc>
          <w:tcPr>
            <w:tcW w:w="883" w:type="dxa"/>
            <w:vAlign w:val="top"/>
          </w:tcPr>
          <w:p w14:paraId="438848A0">
            <w:pPr>
              <w:pStyle w:val="6"/>
              <w:spacing w:before="36" w:line="228" w:lineRule="auto"/>
              <w:ind w:left="124"/>
            </w:pPr>
            <w:r>
              <w:rPr>
                <w:spacing w:val="6"/>
              </w:rPr>
              <w:t>补充监</w:t>
            </w:r>
          </w:p>
          <w:p w14:paraId="4C274998">
            <w:pPr>
              <w:pStyle w:val="6"/>
              <w:spacing w:before="23" w:line="213" w:lineRule="auto"/>
              <w:ind w:left="151"/>
              <w:rPr>
                <w:rFonts w:ascii="Times New Roman" w:hAnsi="Times New Roman" w:eastAsia="Times New Roman" w:cs="Times New Roman"/>
              </w:rPr>
            </w:pPr>
            <w:r>
              <w:rPr>
                <w:spacing w:val="2"/>
              </w:rPr>
              <w:t>测点</w:t>
            </w:r>
            <w:r>
              <w:rPr>
                <w:spacing w:val="-34"/>
              </w:rPr>
              <w:t xml:space="preserve"> </w:t>
            </w:r>
            <w:r>
              <w:rPr>
                <w:rFonts w:ascii="Times New Roman" w:hAnsi="Times New Roman" w:eastAsia="Times New Roman" w:cs="Times New Roman"/>
                <w:spacing w:val="2"/>
              </w:rPr>
              <w:t>5</w:t>
            </w:r>
          </w:p>
        </w:tc>
        <w:tc>
          <w:tcPr>
            <w:tcW w:w="3957" w:type="dxa"/>
            <w:gridSpan w:val="4"/>
            <w:vAlign w:val="top"/>
          </w:tcPr>
          <w:p w14:paraId="0EB9E00B">
            <w:pPr>
              <w:pStyle w:val="6"/>
              <w:spacing w:before="230" w:line="228" w:lineRule="auto"/>
              <w:ind w:left="299"/>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松山变电站东侧</w:t>
            </w:r>
            <w:r>
              <w:rPr>
                <w:spacing w:val="-32"/>
              </w:rPr>
              <w:t xml:space="preserve"> </w:t>
            </w:r>
            <w:r>
              <w:rPr>
                <w:rFonts w:ascii="Times New Roman" w:hAnsi="Times New Roman" w:eastAsia="Times New Roman" w:cs="Times New Roman"/>
                <w:spacing w:val="6"/>
              </w:rPr>
              <w:t>5#</w:t>
            </w:r>
            <w:r>
              <w:rPr>
                <w:spacing w:val="6"/>
              </w:rPr>
              <w:t>临时看护房</w:t>
            </w:r>
          </w:p>
        </w:tc>
        <w:tc>
          <w:tcPr>
            <w:tcW w:w="1142" w:type="dxa"/>
            <w:vAlign w:val="top"/>
          </w:tcPr>
          <w:p w14:paraId="2B3085FD">
            <w:pPr>
              <w:spacing w:before="206"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w:t>
            </w:r>
          </w:p>
        </w:tc>
        <w:tc>
          <w:tcPr>
            <w:tcW w:w="975" w:type="dxa"/>
            <w:gridSpan w:val="2"/>
            <w:vAlign w:val="top"/>
          </w:tcPr>
          <w:p w14:paraId="51F4A323">
            <w:pPr>
              <w:spacing w:before="206"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39</w:t>
            </w:r>
          </w:p>
        </w:tc>
        <w:tc>
          <w:tcPr>
            <w:tcW w:w="831" w:type="dxa"/>
            <w:vAlign w:val="top"/>
          </w:tcPr>
          <w:p w14:paraId="3607D34E">
            <w:pPr>
              <w:rPr>
                <w:rFonts w:ascii="Arial"/>
                <w:sz w:val="21"/>
              </w:rPr>
            </w:pPr>
          </w:p>
        </w:tc>
        <w:tc>
          <w:tcPr>
            <w:tcW w:w="143" w:type="dxa"/>
            <w:tcBorders>
              <w:top w:val="nil"/>
              <w:bottom w:val="nil"/>
              <w:right w:val="single" w:color="000000" w:sz="6" w:space="0"/>
            </w:tcBorders>
            <w:vAlign w:val="top"/>
          </w:tcPr>
          <w:p w14:paraId="7E417327">
            <w:pPr>
              <w:rPr>
                <w:rFonts w:ascii="Arial"/>
                <w:sz w:val="21"/>
              </w:rPr>
            </w:pPr>
          </w:p>
        </w:tc>
      </w:tr>
      <w:tr w14:paraId="2C2BD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64" w:type="dxa"/>
            <w:vMerge w:val="continue"/>
            <w:tcBorders>
              <w:top w:val="nil"/>
              <w:left w:val="single" w:color="000000" w:sz="6" w:space="0"/>
              <w:bottom w:val="nil"/>
              <w:right w:val="single" w:color="000000" w:sz="6" w:space="0"/>
            </w:tcBorders>
            <w:vAlign w:val="top"/>
          </w:tcPr>
          <w:p w14:paraId="64D754C4">
            <w:pPr>
              <w:rPr>
                <w:rFonts w:ascii="Arial"/>
                <w:sz w:val="21"/>
              </w:rPr>
            </w:pPr>
          </w:p>
        </w:tc>
        <w:tc>
          <w:tcPr>
            <w:tcW w:w="132" w:type="dxa"/>
            <w:tcBorders>
              <w:top w:val="nil"/>
              <w:left w:val="single" w:color="000000" w:sz="6" w:space="0"/>
              <w:bottom w:val="nil"/>
            </w:tcBorders>
            <w:vAlign w:val="top"/>
          </w:tcPr>
          <w:p w14:paraId="2E2F2AFE">
            <w:pPr>
              <w:rPr>
                <w:rFonts w:ascii="Arial"/>
                <w:sz w:val="21"/>
              </w:rPr>
            </w:pPr>
          </w:p>
        </w:tc>
        <w:tc>
          <w:tcPr>
            <w:tcW w:w="883" w:type="dxa"/>
            <w:vAlign w:val="top"/>
          </w:tcPr>
          <w:p w14:paraId="65111AA3">
            <w:pPr>
              <w:pStyle w:val="6"/>
              <w:spacing w:before="38" w:line="228" w:lineRule="auto"/>
              <w:ind w:left="124"/>
            </w:pPr>
            <w:r>
              <w:rPr>
                <w:spacing w:val="6"/>
              </w:rPr>
              <w:t>补充监</w:t>
            </w:r>
          </w:p>
          <w:p w14:paraId="68A883B3">
            <w:pPr>
              <w:pStyle w:val="6"/>
              <w:spacing w:before="24" w:line="212" w:lineRule="auto"/>
              <w:ind w:left="151"/>
              <w:rPr>
                <w:rFonts w:ascii="Times New Roman" w:hAnsi="Times New Roman" w:eastAsia="Times New Roman" w:cs="Times New Roman"/>
              </w:rPr>
            </w:pPr>
            <w:r>
              <w:rPr>
                <w:spacing w:val="2"/>
              </w:rPr>
              <w:t>测点</w:t>
            </w:r>
            <w:r>
              <w:rPr>
                <w:spacing w:val="-35"/>
              </w:rPr>
              <w:t xml:space="preserve"> </w:t>
            </w:r>
            <w:r>
              <w:rPr>
                <w:rFonts w:ascii="Times New Roman" w:hAnsi="Times New Roman" w:eastAsia="Times New Roman" w:cs="Times New Roman"/>
                <w:spacing w:val="2"/>
              </w:rPr>
              <w:t>6</w:t>
            </w:r>
          </w:p>
        </w:tc>
        <w:tc>
          <w:tcPr>
            <w:tcW w:w="3957" w:type="dxa"/>
            <w:gridSpan w:val="4"/>
            <w:vAlign w:val="top"/>
          </w:tcPr>
          <w:p w14:paraId="51D21704">
            <w:pPr>
              <w:pStyle w:val="6"/>
              <w:spacing w:before="231" w:line="228" w:lineRule="auto"/>
              <w:ind w:left="193"/>
            </w:pPr>
            <w:r>
              <w:rPr>
                <w:rFonts w:ascii="Times New Roman" w:hAnsi="Times New Roman" w:eastAsia="Times New Roman" w:cs="Times New Roman"/>
                <w:spacing w:val="9"/>
              </w:rPr>
              <w:t>110</w:t>
            </w:r>
            <w:r>
              <w:rPr>
                <w:rFonts w:ascii="Times New Roman" w:hAnsi="Times New Roman" w:eastAsia="Times New Roman" w:cs="Times New Roman"/>
              </w:rPr>
              <w:t>kV</w:t>
            </w:r>
            <w:r>
              <w:rPr>
                <w:rFonts w:ascii="Times New Roman" w:hAnsi="Times New Roman" w:eastAsia="Times New Roman" w:cs="Times New Roman"/>
                <w:spacing w:val="9"/>
              </w:rPr>
              <w:t xml:space="preserve"> </w:t>
            </w:r>
            <w:r>
              <w:rPr>
                <w:spacing w:val="9"/>
              </w:rPr>
              <w:t>松山变电站西南侧</w:t>
            </w:r>
            <w:r>
              <w:rPr>
                <w:rFonts w:ascii="Times New Roman" w:hAnsi="Times New Roman" w:eastAsia="Times New Roman" w:cs="Times New Roman"/>
                <w:spacing w:val="9"/>
              </w:rPr>
              <w:t>6#</w:t>
            </w:r>
            <w:r>
              <w:rPr>
                <w:spacing w:val="9"/>
              </w:rPr>
              <w:t>临时看护房</w:t>
            </w:r>
          </w:p>
        </w:tc>
        <w:tc>
          <w:tcPr>
            <w:tcW w:w="1142" w:type="dxa"/>
            <w:vAlign w:val="top"/>
          </w:tcPr>
          <w:p w14:paraId="21798067">
            <w:pPr>
              <w:spacing w:before="210"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975" w:type="dxa"/>
            <w:gridSpan w:val="2"/>
            <w:vAlign w:val="top"/>
          </w:tcPr>
          <w:p w14:paraId="6E812001">
            <w:pPr>
              <w:spacing w:before="210"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37</w:t>
            </w:r>
          </w:p>
        </w:tc>
        <w:tc>
          <w:tcPr>
            <w:tcW w:w="831" w:type="dxa"/>
            <w:vAlign w:val="top"/>
          </w:tcPr>
          <w:p w14:paraId="35E168EF">
            <w:pPr>
              <w:rPr>
                <w:rFonts w:ascii="Arial"/>
                <w:sz w:val="21"/>
              </w:rPr>
            </w:pPr>
          </w:p>
        </w:tc>
        <w:tc>
          <w:tcPr>
            <w:tcW w:w="143" w:type="dxa"/>
            <w:tcBorders>
              <w:top w:val="nil"/>
              <w:bottom w:val="nil"/>
              <w:right w:val="single" w:color="000000" w:sz="6" w:space="0"/>
            </w:tcBorders>
            <w:vAlign w:val="top"/>
          </w:tcPr>
          <w:p w14:paraId="1848FCA7">
            <w:pPr>
              <w:rPr>
                <w:rFonts w:ascii="Arial"/>
                <w:sz w:val="21"/>
              </w:rPr>
            </w:pPr>
          </w:p>
        </w:tc>
      </w:tr>
      <w:tr w14:paraId="0A4A0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64" w:type="dxa"/>
            <w:vMerge w:val="continue"/>
            <w:tcBorders>
              <w:top w:val="nil"/>
              <w:left w:val="single" w:color="000000" w:sz="6" w:space="0"/>
              <w:bottom w:val="nil"/>
              <w:right w:val="single" w:color="000000" w:sz="6" w:space="0"/>
            </w:tcBorders>
            <w:vAlign w:val="top"/>
          </w:tcPr>
          <w:p w14:paraId="55AD7122">
            <w:pPr>
              <w:rPr>
                <w:rFonts w:ascii="Arial"/>
                <w:sz w:val="21"/>
              </w:rPr>
            </w:pPr>
          </w:p>
        </w:tc>
        <w:tc>
          <w:tcPr>
            <w:tcW w:w="132" w:type="dxa"/>
            <w:tcBorders>
              <w:top w:val="nil"/>
              <w:left w:val="single" w:color="000000" w:sz="6" w:space="0"/>
              <w:bottom w:val="nil"/>
            </w:tcBorders>
            <w:vAlign w:val="top"/>
          </w:tcPr>
          <w:p w14:paraId="34669985">
            <w:pPr>
              <w:rPr>
                <w:rFonts w:ascii="Arial"/>
                <w:sz w:val="21"/>
              </w:rPr>
            </w:pPr>
          </w:p>
        </w:tc>
        <w:tc>
          <w:tcPr>
            <w:tcW w:w="883" w:type="dxa"/>
            <w:vAlign w:val="top"/>
          </w:tcPr>
          <w:p w14:paraId="01501DCF">
            <w:pPr>
              <w:pStyle w:val="6"/>
              <w:spacing w:before="38" w:line="228" w:lineRule="auto"/>
              <w:ind w:left="124"/>
            </w:pPr>
            <w:r>
              <w:rPr>
                <w:spacing w:val="6"/>
              </w:rPr>
              <w:t>补充监</w:t>
            </w:r>
          </w:p>
          <w:p w14:paraId="1E9CAAA7">
            <w:pPr>
              <w:pStyle w:val="6"/>
              <w:spacing w:before="23" w:line="212" w:lineRule="auto"/>
              <w:ind w:left="151"/>
              <w:rPr>
                <w:rFonts w:ascii="Times New Roman" w:hAnsi="Times New Roman" w:eastAsia="Times New Roman" w:cs="Times New Roman"/>
              </w:rPr>
            </w:pPr>
            <w:r>
              <w:rPr>
                <w:spacing w:val="2"/>
              </w:rPr>
              <w:t>测点</w:t>
            </w:r>
            <w:r>
              <w:rPr>
                <w:spacing w:val="-36"/>
              </w:rPr>
              <w:t xml:space="preserve"> </w:t>
            </w:r>
            <w:r>
              <w:rPr>
                <w:rFonts w:ascii="Times New Roman" w:hAnsi="Times New Roman" w:eastAsia="Times New Roman" w:cs="Times New Roman"/>
                <w:spacing w:val="2"/>
              </w:rPr>
              <w:t>7</w:t>
            </w:r>
          </w:p>
        </w:tc>
        <w:tc>
          <w:tcPr>
            <w:tcW w:w="3957" w:type="dxa"/>
            <w:gridSpan w:val="4"/>
            <w:vAlign w:val="top"/>
          </w:tcPr>
          <w:p w14:paraId="75EB03C9">
            <w:pPr>
              <w:pStyle w:val="6"/>
              <w:spacing w:before="232" w:line="228" w:lineRule="auto"/>
              <w:ind w:left="193"/>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松山变电站西北侧</w:t>
            </w:r>
            <w:r>
              <w:rPr>
                <w:spacing w:val="-27"/>
              </w:rPr>
              <w:t xml:space="preserve"> </w:t>
            </w:r>
            <w:r>
              <w:rPr>
                <w:rFonts w:ascii="Times New Roman" w:hAnsi="Times New Roman" w:eastAsia="Times New Roman" w:cs="Times New Roman"/>
                <w:spacing w:val="6"/>
              </w:rPr>
              <w:t>7#</w:t>
            </w:r>
            <w:r>
              <w:rPr>
                <w:spacing w:val="6"/>
              </w:rPr>
              <w:t>临时看护房</w:t>
            </w:r>
          </w:p>
        </w:tc>
        <w:tc>
          <w:tcPr>
            <w:tcW w:w="1142" w:type="dxa"/>
            <w:vAlign w:val="top"/>
          </w:tcPr>
          <w:p w14:paraId="68AFBA53">
            <w:pPr>
              <w:spacing w:before="210"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w:t>
            </w:r>
          </w:p>
        </w:tc>
        <w:tc>
          <w:tcPr>
            <w:tcW w:w="975" w:type="dxa"/>
            <w:gridSpan w:val="2"/>
            <w:vAlign w:val="top"/>
          </w:tcPr>
          <w:p w14:paraId="477B567F">
            <w:pPr>
              <w:spacing w:before="210"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39</w:t>
            </w:r>
          </w:p>
        </w:tc>
        <w:tc>
          <w:tcPr>
            <w:tcW w:w="831" w:type="dxa"/>
            <w:vAlign w:val="top"/>
          </w:tcPr>
          <w:p w14:paraId="6E3B5D2B">
            <w:pPr>
              <w:rPr>
                <w:rFonts w:ascii="Arial"/>
                <w:sz w:val="21"/>
              </w:rPr>
            </w:pPr>
          </w:p>
        </w:tc>
        <w:tc>
          <w:tcPr>
            <w:tcW w:w="143" w:type="dxa"/>
            <w:tcBorders>
              <w:top w:val="nil"/>
              <w:bottom w:val="nil"/>
              <w:right w:val="single" w:color="000000" w:sz="6" w:space="0"/>
            </w:tcBorders>
            <w:vAlign w:val="top"/>
          </w:tcPr>
          <w:p w14:paraId="57BFBE66">
            <w:pPr>
              <w:rPr>
                <w:rFonts w:ascii="Arial"/>
                <w:sz w:val="21"/>
              </w:rPr>
            </w:pPr>
          </w:p>
        </w:tc>
      </w:tr>
      <w:tr w14:paraId="6A5C0F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64" w:type="dxa"/>
            <w:vMerge w:val="continue"/>
            <w:tcBorders>
              <w:top w:val="nil"/>
              <w:left w:val="single" w:color="000000" w:sz="6" w:space="0"/>
              <w:bottom w:val="nil"/>
              <w:right w:val="single" w:color="000000" w:sz="6" w:space="0"/>
            </w:tcBorders>
            <w:vAlign w:val="top"/>
          </w:tcPr>
          <w:p w14:paraId="3494A396">
            <w:pPr>
              <w:rPr>
                <w:rFonts w:ascii="Arial"/>
                <w:sz w:val="21"/>
              </w:rPr>
            </w:pPr>
          </w:p>
        </w:tc>
        <w:tc>
          <w:tcPr>
            <w:tcW w:w="132" w:type="dxa"/>
            <w:tcBorders>
              <w:top w:val="nil"/>
              <w:left w:val="single" w:color="000000" w:sz="6" w:space="0"/>
              <w:bottom w:val="nil"/>
            </w:tcBorders>
            <w:vAlign w:val="top"/>
          </w:tcPr>
          <w:p w14:paraId="61F7FE93">
            <w:pPr>
              <w:rPr>
                <w:rFonts w:ascii="Arial"/>
                <w:sz w:val="21"/>
              </w:rPr>
            </w:pPr>
          </w:p>
        </w:tc>
        <w:tc>
          <w:tcPr>
            <w:tcW w:w="883" w:type="dxa"/>
            <w:vAlign w:val="top"/>
          </w:tcPr>
          <w:p w14:paraId="788F6DD1">
            <w:pPr>
              <w:spacing w:before="211" w:line="195" w:lineRule="auto"/>
              <w:ind w:left="384"/>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3957" w:type="dxa"/>
            <w:gridSpan w:val="4"/>
            <w:vAlign w:val="top"/>
          </w:tcPr>
          <w:p w14:paraId="38231C76">
            <w:pPr>
              <w:pStyle w:val="6"/>
              <w:spacing w:before="38" w:line="227" w:lineRule="auto"/>
              <w:ind w:left="153"/>
            </w:pPr>
            <w:r>
              <w:rPr>
                <w:spacing w:val="5"/>
              </w:rPr>
              <w:t>拟建</w:t>
            </w:r>
            <w:r>
              <w:rPr>
                <w:spacing w:val="-9"/>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接入</w:t>
            </w:r>
            <w:r>
              <w:rPr>
                <w:spacing w:val="-41"/>
              </w:rPr>
              <w:t xml:space="preserve"> </w:t>
            </w:r>
            <w:r>
              <w:rPr>
                <w:rFonts w:ascii="Times New Roman" w:hAnsi="Times New Roman" w:eastAsia="Times New Roman" w:cs="Times New Roman"/>
                <w:spacing w:val="5"/>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5"/>
              </w:rPr>
              <w:t>芳华变线路西侧</w:t>
            </w:r>
          </w:p>
          <w:p w14:paraId="64A1E7A6">
            <w:pPr>
              <w:pStyle w:val="6"/>
              <w:spacing w:before="25" w:line="212" w:lineRule="auto"/>
              <w:ind w:left="1355"/>
            </w:pPr>
            <w:r>
              <w:rPr>
                <w:spacing w:val="7"/>
              </w:rPr>
              <w:t>芦旗堡居民楼</w:t>
            </w:r>
          </w:p>
        </w:tc>
        <w:tc>
          <w:tcPr>
            <w:tcW w:w="1142" w:type="dxa"/>
            <w:vAlign w:val="top"/>
          </w:tcPr>
          <w:p w14:paraId="609B5EEF">
            <w:pPr>
              <w:spacing w:before="211"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w:t>
            </w:r>
          </w:p>
        </w:tc>
        <w:tc>
          <w:tcPr>
            <w:tcW w:w="975" w:type="dxa"/>
            <w:gridSpan w:val="2"/>
            <w:vAlign w:val="top"/>
          </w:tcPr>
          <w:p w14:paraId="3A636155">
            <w:pPr>
              <w:spacing w:before="211"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39</w:t>
            </w:r>
          </w:p>
        </w:tc>
        <w:tc>
          <w:tcPr>
            <w:tcW w:w="831" w:type="dxa"/>
            <w:vAlign w:val="top"/>
          </w:tcPr>
          <w:p w14:paraId="3AE15AB7">
            <w:pPr>
              <w:rPr>
                <w:rFonts w:ascii="Arial"/>
                <w:sz w:val="21"/>
              </w:rPr>
            </w:pPr>
          </w:p>
          <w:p w14:paraId="0D02D21D">
            <w:pPr>
              <w:spacing w:before="57" w:line="97"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3" w:type="dxa"/>
            <w:tcBorders>
              <w:top w:val="nil"/>
              <w:bottom w:val="nil"/>
              <w:right w:val="single" w:color="000000" w:sz="6" w:space="0"/>
            </w:tcBorders>
            <w:vAlign w:val="top"/>
          </w:tcPr>
          <w:p w14:paraId="6EA76A53">
            <w:pPr>
              <w:rPr>
                <w:rFonts w:ascii="Arial"/>
                <w:sz w:val="21"/>
              </w:rPr>
            </w:pPr>
          </w:p>
        </w:tc>
      </w:tr>
      <w:tr w14:paraId="7D69C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464" w:type="dxa"/>
            <w:vMerge w:val="continue"/>
            <w:tcBorders>
              <w:top w:val="nil"/>
              <w:left w:val="single" w:color="000000" w:sz="6" w:space="0"/>
              <w:bottom w:val="nil"/>
              <w:right w:val="single" w:color="000000" w:sz="6" w:space="0"/>
            </w:tcBorders>
            <w:vAlign w:val="top"/>
          </w:tcPr>
          <w:p w14:paraId="2772A378">
            <w:pPr>
              <w:rPr>
                <w:rFonts w:ascii="Arial"/>
                <w:sz w:val="21"/>
              </w:rPr>
            </w:pPr>
          </w:p>
        </w:tc>
        <w:tc>
          <w:tcPr>
            <w:tcW w:w="132" w:type="dxa"/>
            <w:tcBorders>
              <w:top w:val="nil"/>
              <w:left w:val="single" w:color="000000" w:sz="6" w:space="0"/>
              <w:bottom w:val="nil"/>
            </w:tcBorders>
            <w:vAlign w:val="top"/>
          </w:tcPr>
          <w:p w14:paraId="7E0B76F9">
            <w:pPr>
              <w:rPr>
                <w:rFonts w:ascii="Arial"/>
                <w:sz w:val="21"/>
              </w:rPr>
            </w:pPr>
          </w:p>
        </w:tc>
        <w:tc>
          <w:tcPr>
            <w:tcW w:w="883" w:type="dxa"/>
            <w:vAlign w:val="top"/>
          </w:tcPr>
          <w:p w14:paraId="4E9F287A">
            <w:pPr>
              <w:spacing w:before="211" w:line="195" w:lineRule="auto"/>
              <w:ind w:left="388"/>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3957" w:type="dxa"/>
            <w:gridSpan w:val="4"/>
            <w:vAlign w:val="top"/>
          </w:tcPr>
          <w:p w14:paraId="42E55B15">
            <w:pPr>
              <w:pStyle w:val="6"/>
              <w:spacing w:before="38" w:line="227" w:lineRule="auto"/>
              <w:ind w:left="153"/>
            </w:pPr>
            <w:r>
              <w:rPr>
                <w:spacing w:val="5"/>
              </w:rPr>
              <w:t>拟建</w:t>
            </w:r>
            <w:r>
              <w:rPr>
                <w:spacing w:val="-9"/>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接入</w:t>
            </w:r>
            <w:r>
              <w:rPr>
                <w:spacing w:val="-41"/>
              </w:rPr>
              <w:t xml:space="preserve"> </w:t>
            </w:r>
            <w:r>
              <w:rPr>
                <w:rFonts w:ascii="Times New Roman" w:hAnsi="Times New Roman" w:eastAsia="Times New Roman" w:cs="Times New Roman"/>
                <w:spacing w:val="5"/>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5"/>
              </w:rPr>
              <w:t>芳华变线路东侧</w:t>
            </w:r>
          </w:p>
          <w:p w14:paraId="4A65E98A">
            <w:pPr>
              <w:pStyle w:val="6"/>
              <w:spacing w:before="27" w:line="208" w:lineRule="auto"/>
              <w:ind w:left="1259"/>
            </w:pPr>
            <w:r>
              <w:rPr>
                <w:spacing w:val="7"/>
              </w:rPr>
              <w:t>临时菜地看护房</w:t>
            </w:r>
          </w:p>
        </w:tc>
        <w:tc>
          <w:tcPr>
            <w:tcW w:w="1142" w:type="dxa"/>
            <w:vAlign w:val="top"/>
          </w:tcPr>
          <w:p w14:paraId="27B7CE28">
            <w:pPr>
              <w:spacing w:before="211"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975" w:type="dxa"/>
            <w:gridSpan w:val="2"/>
            <w:vAlign w:val="top"/>
          </w:tcPr>
          <w:p w14:paraId="52908D75">
            <w:pPr>
              <w:spacing w:before="211"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38</w:t>
            </w:r>
          </w:p>
        </w:tc>
        <w:tc>
          <w:tcPr>
            <w:tcW w:w="831" w:type="dxa"/>
            <w:vAlign w:val="top"/>
          </w:tcPr>
          <w:p w14:paraId="63194D94">
            <w:pPr>
              <w:rPr>
                <w:rFonts w:ascii="Arial"/>
                <w:sz w:val="21"/>
              </w:rPr>
            </w:pPr>
          </w:p>
          <w:p w14:paraId="37E101F5">
            <w:pPr>
              <w:spacing w:before="58" w:line="97"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3" w:type="dxa"/>
            <w:tcBorders>
              <w:top w:val="nil"/>
              <w:bottom w:val="nil"/>
              <w:right w:val="single" w:color="000000" w:sz="6" w:space="0"/>
            </w:tcBorders>
            <w:vAlign w:val="top"/>
          </w:tcPr>
          <w:p w14:paraId="036BA1E0">
            <w:pPr>
              <w:rPr>
                <w:rFonts w:ascii="Arial"/>
                <w:sz w:val="21"/>
              </w:rPr>
            </w:pPr>
          </w:p>
        </w:tc>
      </w:tr>
      <w:tr w14:paraId="6F661D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64" w:type="dxa"/>
            <w:vMerge w:val="continue"/>
            <w:tcBorders>
              <w:top w:val="nil"/>
              <w:left w:val="single" w:color="000000" w:sz="6" w:space="0"/>
              <w:bottom w:val="nil"/>
              <w:right w:val="single" w:color="000000" w:sz="6" w:space="0"/>
            </w:tcBorders>
            <w:vAlign w:val="top"/>
          </w:tcPr>
          <w:p w14:paraId="17DF48C7">
            <w:pPr>
              <w:rPr>
                <w:rFonts w:ascii="Arial"/>
                <w:sz w:val="21"/>
              </w:rPr>
            </w:pPr>
          </w:p>
        </w:tc>
        <w:tc>
          <w:tcPr>
            <w:tcW w:w="132" w:type="dxa"/>
            <w:tcBorders>
              <w:top w:val="nil"/>
              <w:left w:val="single" w:color="000000" w:sz="6" w:space="0"/>
              <w:bottom w:val="nil"/>
            </w:tcBorders>
            <w:vAlign w:val="top"/>
          </w:tcPr>
          <w:p w14:paraId="5FCD0C8B">
            <w:pPr>
              <w:rPr>
                <w:rFonts w:ascii="Arial"/>
                <w:sz w:val="21"/>
              </w:rPr>
            </w:pPr>
          </w:p>
        </w:tc>
        <w:tc>
          <w:tcPr>
            <w:tcW w:w="883" w:type="dxa"/>
            <w:vAlign w:val="top"/>
          </w:tcPr>
          <w:p w14:paraId="1582D6BA">
            <w:pPr>
              <w:spacing w:before="213" w:line="195" w:lineRule="auto"/>
              <w:ind w:left="38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3957" w:type="dxa"/>
            <w:gridSpan w:val="4"/>
            <w:vAlign w:val="top"/>
          </w:tcPr>
          <w:p w14:paraId="16702CBA">
            <w:pPr>
              <w:pStyle w:val="6"/>
              <w:spacing w:before="40" w:line="227" w:lineRule="auto"/>
              <w:ind w:left="153"/>
            </w:pPr>
            <w:r>
              <w:rPr>
                <w:spacing w:val="5"/>
              </w:rPr>
              <w:t>拟建</w:t>
            </w:r>
            <w:r>
              <w:rPr>
                <w:spacing w:val="-9"/>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接入</w:t>
            </w:r>
            <w:r>
              <w:rPr>
                <w:spacing w:val="-41"/>
              </w:rPr>
              <w:t xml:space="preserve"> </w:t>
            </w:r>
            <w:r>
              <w:rPr>
                <w:rFonts w:ascii="Times New Roman" w:hAnsi="Times New Roman" w:eastAsia="Times New Roman" w:cs="Times New Roman"/>
                <w:spacing w:val="5"/>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5"/>
              </w:rPr>
              <w:t>芳华变线路北侧</w:t>
            </w:r>
          </w:p>
          <w:p w14:paraId="7C04371F">
            <w:pPr>
              <w:pStyle w:val="6"/>
              <w:spacing w:before="27" w:line="208" w:lineRule="auto"/>
              <w:ind w:left="1259"/>
            </w:pPr>
            <w:r>
              <w:rPr>
                <w:spacing w:val="7"/>
              </w:rPr>
              <w:t>临时菜地看护房</w:t>
            </w:r>
          </w:p>
        </w:tc>
        <w:tc>
          <w:tcPr>
            <w:tcW w:w="1142" w:type="dxa"/>
            <w:vAlign w:val="top"/>
          </w:tcPr>
          <w:p w14:paraId="1F1D5779">
            <w:pPr>
              <w:spacing w:before="212"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w:t>
            </w:r>
          </w:p>
        </w:tc>
        <w:tc>
          <w:tcPr>
            <w:tcW w:w="975" w:type="dxa"/>
            <w:gridSpan w:val="2"/>
            <w:vAlign w:val="top"/>
          </w:tcPr>
          <w:p w14:paraId="429C8397">
            <w:pPr>
              <w:spacing w:before="212"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38</w:t>
            </w:r>
          </w:p>
        </w:tc>
        <w:tc>
          <w:tcPr>
            <w:tcW w:w="831" w:type="dxa"/>
            <w:vAlign w:val="top"/>
          </w:tcPr>
          <w:p w14:paraId="03F8627E">
            <w:pPr>
              <w:spacing w:line="242" w:lineRule="auto"/>
              <w:rPr>
                <w:rFonts w:ascii="Arial"/>
                <w:sz w:val="21"/>
              </w:rPr>
            </w:pPr>
          </w:p>
          <w:p w14:paraId="449BDC61">
            <w:pPr>
              <w:spacing w:before="57" w:line="97"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3" w:type="dxa"/>
            <w:tcBorders>
              <w:top w:val="nil"/>
              <w:bottom w:val="nil"/>
              <w:right w:val="single" w:color="000000" w:sz="6" w:space="0"/>
            </w:tcBorders>
            <w:vAlign w:val="top"/>
          </w:tcPr>
          <w:p w14:paraId="09E60E74">
            <w:pPr>
              <w:rPr>
                <w:rFonts w:ascii="Arial"/>
                <w:sz w:val="21"/>
              </w:rPr>
            </w:pPr>
          </w:p>
        </w:tc>
      </w:tr>
      <w:tr w14:paraId="7E58B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64" w:type="dxa"/>
            <w:vMerge w:val="continue"/>
            <w:tcBorders>
              <w:top w:val="nil"/>
              <w:left w:val="single" w:color="000000" w:sz="6" w:space="0"/>
              <w:bottom w:val="nil"/>
              <w:right w:val="single" w:color="000000" w:sz="6" w:space="0"/>
            </w:tcBorders>
            <w:vAlign w:val="top"/>
          </w:tcPr>
          <w:p w14:paraId="74D0445E">
            <w:pPr>
              <w:rPr>
                <w:rFonts w:ascii="Arial"/>
                <w:sz w:val="21"/>
              </w:rPr>
            </w:pPr>
          </w:p>
        </w:tc>
        <w:tc>
          <w:tcPr>
            <w:tcW w:w="132" w:type="dxa"/>
            <w:tcBorders>
              <w:top w:val="nil"/>
              <w:left w:val="single" w:color="000000" w:sz="6" w:space="0"/>
              <w:bottom w:val="nil"/>
            </w:tcBorders>
            <w:vAlign w:val="top"/>
          </w:tcPr>
          <w:p w14:paraId="1583E8C8">
            <w:pPr>
              <w:rPr>
                <w:rFonts w:ascii="Arial"/>
                <w:sz w:val="21"/>
              </w:rPr>
            </w:pPr>
          </w:p>
        </w:tc>
        <w:tc>
          <w:tcPr>
            <w:tcW w:w="883" w:type="dxa"/>
            <w:vAlign w:val="top"/>
          </w:tcPr>
          <w:p w14:paraId="3FC267F5">
            <w:pPr>
              <w:spacing w:before="216" w:line="192" w:lineRule="auto"/>
              <w:ind w:left="390"/>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3957" w:type="dxa"/>
            <w:gridSpan w:val="4"/>
            <w:vAlign w:val="top"/>
          </w:tcPr>
          <w:p w14:paraId="08B75BE5">
            <w:pPr>
              <w:pStyle w:val="6"/>
              <w:spacing w:before="40" w:line="227" w:lineRule="auto"/>
              <w:ind w:left="153"/>
            </w:pPr>
            <w:r>
              <w:rPr>
                <w:spacing w:val="5"/>
              </w:rPr>
              <w:t>拟建</w:t>
            </w:r>
            <w:r>
              <w:rPr>
                <w:spacing w:val="-9"/>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接入</w:t>
            </w:r>
            <w:r>
              <w:rPr>
                <w:spacing w:val="-41"/>
              </w:rPr>
              <w:t xml:space="preserve"> </w:t>
            </w:r>
            <w:r>
              <w:rPr>
                <w:rFonts w:ascii="Times New Roman" w:hAnsi="Times New Roman" w:eastAsia="Times New Roman" w:cs="Times New Roman"/>
                <w:spacing w:val="5"/>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5"/>
              </w:rPr>
              <w:t>芳华变线路南侧</w:t>
            </w:r>
          </w:p>
          <w:p w14:paraId="1D063CEF">
            <w:pPr>
              <w:pStyle w:val="6"/>
              <w:spacing w:before="28" w:line="207" w:lineRule="auto"/>
              <w:ind w:left="1259"/>
            </w:pPr>
            <w:r>
              <w:rPr>
                <w:spacing w:val="7"/>
              </w:rPr>
              <w:t>临时菜地看护房</w:t>
            </w:r>
          </w:p>
        </w:tc>
        <w:tc>
          <w:tcPr>
            <w:tcW w:w="1142" w:type="dxa"/>
            <w:vAlign w:val="top"/>
          </w:tcPr>
          <w:p w14:paraId="35F19427">
            <w:pPr>
              <w:spacing w:before="213"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975" w:type="dxa"/>
            <w:gridSpan w:val="2"/>
            <w:vAlign w:val="top"/>
          </w:tcPr>
          <w:p w14:paraId="2BBFD14C">
            <w:pPr>
              <w:spacing w:before="213"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39</w:t>
            </w:r>
          </w:p>
        </w:tc>
        <w:tc>
          <w:tcPr>
            <w:tcW w:w="831" w:type="dxa"/>
            <w:vAlign w:val="top"/>
          </w:tcPr>
          <w:p w14:paraId="65D7595D">
            <w:pPr>
              <w:spacing w:line="242" w:lineRule="auto"/>
              <w:rPr>
                <w:rFonts w:ascii="Arial"/>
                <w:sz w:val="21"/>
              </w:rPr>
            </w:pPr>
          </w:p>
          <w:p w14:paraId="0DA4DE41">
            <w:pPr>
              <w:spacing w:before="58" w:line="96"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3" w:type="dxa"/>
            <w:tcBorders>
              <w:top w:val="nil"/>
              <w:bottom w:val="nil"/>
              <w:right w:val="single" w:color="000000" w:sz="6" w:space="0"/>
            </w:tcBorders>
            <w:vAlign w:val="top"/>
          </w:tcPr>
          <w:p w14:paraId="67DE2442">
            <w:pPr>
              <w:rPr>
                <w:rFonts w:ascii="Arial"/>
                <w:sz w:val="21"/>
              </w:rPr>
            </w:pPr>
          </w:p>
        </w:tc>
      </w:tr>
      <w:tr w14:paraId="6ECC4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64" w:type="dxa"/>
            <w:vMerge w:val="continue"/>
            <w:tcBorders>
              <w:top w:val="nil"/>
              <w:left w:val="single" w:color="000000" w:sz="6" w:space="0"/>
              <w:bottom w:val="nil"/>
              <w:right w:val="single" w:color="000000" w:sz="6" w:space="0"/>
            </w:tcBorders>
            <w:vAlign w:val="top"/>
          </w:tcPr>
          <w:p w14:paraId="193754BD">
            <w:pPr>
              <w:rPr>
                <w:rFonts w:ascii="Arial"/>
                <w:sz w:val="21"/>
              </w:rPr>
            </w:pPr>
          </w:p>
        </w:tc>
        <w:tc>
          <w:tcPr>
            <w:tcW w:w="132" w:type="dxa"/>
            <w:tcBorders>
              <w:top w:val="nil"/>
              <w:left w:val="single" w:color="000000" w:sz="6" w:space="0"/>
              <w:bottom w:val="nil"/>
            </w:tcBorders>
            <w:vAlign w:val="top"/>
          </w:tcPr>
          <w:p w14:paraId="4BA75764">
            <w:pPr>
              <w:rPr>
                <w:rFonts w:ascii="Arial"/>
                <w:sz w:val="21"/>
              </w:rPr>
            </w:pPr>
          </w:p>
        </w:tc>
        <w:tc>
          <w:tcPr>
            <w:tcW w:w="883" w:type="dxa"/>
            <w:vAlign w:val="top"/>
          </w:tcPr>
          <w:p w14:paraId="457E7EE2">
            <w:pPr>
              <w:spacing w:before="213" w:line="195" w:lineRule="auto"/>
              <w:ind w:left="389"/>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3957" w:type="dxa"/>
            <w:gridSpan w:val="4"/>
            <w:vAlign w:val="top"/>
          </w:tcPr>
          <w:p w14:paraId="58DFC89F">
            <w:pPr>
              <w:pStyle w:val="6"/>
              <w:spacing w:before="43" w:line="227" w:lineRule="auto"/>
              <w:ind w:left="153"/>
            </w:pPr>
            <w:r>
              <w:rPr>
                <w:spacing w:val="5"/>
              </w:rPr>
              <w:t>拟建</w:t>
            </w:r>
            <w:r>
              <w:rPr>
                <w:spacing w:val="-9"/>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接入</w:t>
            </w:r>
            <w:r>
              <w:rPr>
                <w:spacing w:val="-41"/>
              </w:rPr>
              <w:t xml:space="preserve"> </w:t>
            </w:r>
            <w:r>
              <w:rPr>
                <w:rFonts w:ascii="Times New Roman" w:hAnsi="Times New Roman" w:eastAsia="Times New Roman" w:cs="Times New Roman"/>
                <w:spacing w:val="5"/>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5"/>
              </w:rPr>
              <w:t>芳华变线路北侧</w:t>
            </w:r>
          </w:p>
          <w:p w14:paraId="01CC872E">
            <w:pPr>
              <w:pStyle w:val="6"/>
              <w:spacing w:before="25" w:line="207" w:lineRule="auto"/>
              <w:ind w:left="1259"/>
            </w:pPr>
            <w:r>
              <w:rPr>
                <w:spacing w:val="7"/>
              </w:rPr>
              <w:t>临时菜地看护房</w:t>
            </w:r>
          </w:p>
        </w:tc>
        <w:tc>
          <w:tcPr>
            <w:tcW w:w="1142" w:type="dxa"/>
            <w:vAlign w:val="top"/>
          </w:tcPr>
          <w:p w14:paraId="5DDB6A44">
            <w:pPr>
              <w:spacing w:before="213"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w:t>
            </w:r>
          </w:p>
        </w:tc>
        <w:tc>
          <w:tcPr>
            <w:tcW w:w="975" w:type="dxa"/>
            <w:gridSpan w:val="2"/>
            <w:vAlign w:val="top"/>
          </w:tcPr>
          <w:p w14:paraId="113F79BD">
            <w:pPr>
              <w:spacing w:before="213"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37</w:t>
            </w:r>
          </w:p>
        </w:tc>
        <w:tc>
          <w:tcPr>
            <w:tcW w:w="831" w:type="dxa"/>
            <w:vAlign w:val="top"/>
          </w:tcPr>
          <w:p w14:paraId="7525B3E7">
            <w:pPr>
              <w:spacing w:line="243" w:lineRule="auto"/>
              <w:rPr>
                <w:rFonts w:ascii="Arial"/>
                <w:sz w:val="21"/>
              </w:rPr>
            </w:pPr>
          </w:p>
          <w:p w14:paraId="673DA36B">
            <w:pPr>
              <w:spacing w:before="57" w:line="97"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3" w:type="dxa"/>
            <w:tcBorders>
              <w:top w:val="nil"/>
              <w:bottom w:val="nil"/>
              <w:right w:val="single" w:color="000000" w:sz="6" w:space="0"/>
            </w:tcBorders>
            <w:vAlign w:val="top"/>
          </w:tcPr>
          <w:p w14:paraId="1F77CF88">
            <w:pPr>
              <w:rPr>
                <w:rFonts w:ascii="Arial"/>
                <w:sz w:val="21"/>
              </w:rPr>
            </w:pPr>
          </w:p>
        </w:tc>
      </w:tr>
      <w:tr w14:paraId="13173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64" w:type="dxa"/>
            <w:vMerge w:val="continue"/>
            <w:tcBorders>
              <w:top w:val="nil"/>
              <w:left w:val="single" w:color="000000" w:sz="6" w:space="0"/>
              <w:bottom w:val="nil"/>
              <w:right w:val="single" w:color="000000" w:sz="6" w:space="0"/>
            </w:tcBorders>
            <w:vAlign w:val="top"/>
          </w:tcPr>
          <w:p w14:paraId="32CD8BF3">
            <w:pPr>
              <w:rPr>
                <w:rFonts w:ascii="Arial"/>
                <w:sz w:val="21"/>
              </w:rPr>
            </w:pPr>
          </w:p>
        </w:tc>
        <w:tc>
          <w:tcPr>
            <w:tcW w:w="132" w:type="dxa"/>
            <w:tcBorders>
              <w:top w:val="nil"/>
              <w:left w:val="single" w:color="000000" w:sz="6" w:space="0"/>
              <w:bottom w:val="nil"/>
            </w:tcBorders>
            <w:vAlign w:val="top"/>
          </w:tcPr>
          <w:p w14:paraId="0785B1CF">
            <w:pPr>
              <w:rPr>
                <w:rFonts w:ascii="Arial"/>
                <w:sz w:val="21"/>
              </w:rPr>
            </w:pPr>
          </w:p>
        </w:tc>
        <w:tc>
          <w:tcPr>
            <w:tcW w:w="883" w:type="dxa"/>
            <w:vAlign w:val="top"/>
          </w:tcPr>
          <w:p w14:paraId="3F8766D2">
            <w:pPr>
              <w:spacing w:before="217" w:line="192" w:lineRule="auto"/>
              <w:ind w:left="388"/>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3957" w:type="dxa"/>
            <w:gridSpan w:val="4"/>
            <w:vAlign w:val="top"/>
          </w:tcPr>
          <w:p w14:paraId="674CA458">
            <w:pPr>
              <w:pStyle w:val="6"/>
              <w:spacing w:before="43" w:line="227" w:lineRule="auto"/>
              <w:ind w:left="153"/>
            </w:pPr>
            <w:r>
              <w:rPr>
                <w:spacing w:val="5"/>
              </w:rPr>
              <w:t>拟建</w:t>
            </w:r>
            <w:r>
              <w:rPr>
                <w:spacing w:val="-9"/>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接入</w:t>
            </w:r>
            <w:r>
              <w:rPr>
                <w:spacing w:val="-41"/>
              </w:rPr>
              <w:t xml:space="preserve"> </w:t>
            </w:r>
            <w:r>
              <w:rPr>
                <w:rFonts w:ascii="Times New Roman" w:hAnsi="Times New Roman" w:eastAsia="Times New Roman" w:cs="Times New Roman"/>
                <w:spacing w:val="5"/>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5"/>
              </w:rPr>
              <w:t>芳华变线路南侧</w:t>
            </w:r>
          </w:p>
          <w:p w14:paraId="033D36A8">
            <w:pPr>
              <w:pStyle w:val="6"/>
              <w:spacing w:before="25" w:line="207" w:lineRule="auto"/>
              <w:ind w:left="1259"/>
            </w:pPr>
            <w:r>
              <w:rPr>
                <w:spacing w:val="7"/>
              </w:rPr>
              <w:t>临时菜地看护房</w:t>
            </w:r>
          </w:p>
        </w:tc>
        <w:tc>
          <w:tcPr>
            <w:tcW w:w="1142" w:type="dxa"/>
            <w:vAlign w:val="top"/>
          </w:tcPr>
          <w:p w14:paraId="4AF2E357">
            <w:pPr>
              <w:spacing w:before="214"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w:t>
            </w:r>
          </w:p>
        </w:tc>
        <w:tc>
          <w:tcPr>
            <w:tcW w:w="975" w:type="dxa"/>
            <w:gridSpan w:val="2"/>
            <w:vAlign w:val="top"/>
          </w:tcPr>
          <w:p w14:paraId="22365F19">
            <w:pPr>
              <w:spacing w:before="214"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38</w:t>
            </w:r>
          </w:p>
        </w:tc>
        <w:tc>
          <w:tcPr>
            <w:tcW w:w="831" w:type="dxa"/>
            <w:vAlign w:val="top"/>
          </w:tcPr>
          <w:p w14:paraId="1A2416CA">
            <w:pPr>
              <w:spacing w:line="243" w:lineRule="auto"/>
              <w:rPr>
                <w:rFonts w:ascii="Arial"/>
                <w:sz w:val="21"/>
              </w:rPr>
            </w:pPr>
          </w:p>
          <w:p w14:paraId="6B88DDD0">
            <w:pPr>
              <w:spacing w:before="57" w:line="97"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3" w:type="dxa"/>
            <w:tcBorders>
              <w:top w:val="nil"/>
              <w:bottom w:val="nil"/>
              <w:right w:val="single" w:color="000000" w:sz="6" w:space="0"/>
            </w:tcBorders>
            <w:vAlign w:val="top"/>
          </w:tcPr>
          <w:p w14:paraId="6FE234A2">
            <w:pPr>
              <w:rPr>
                <w:rFonts w:ascii="Arial"/>
                <w:sz w:val="21"/>
              </w:rPr>
            </w:pPr>
          </w:p>
        </w:tc>
      </w:tr>
      <w:tr w14:paraId="6C31F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64" w:type="dxa"/>
            <w:vMerge w:val="continue"/>
            <w:tcBorders>
              <w:top w:val="nil"/>
              <w:left w:val="single" w:color="000000" w:sz="6" w:space="0"/>
              <w:bottom w:val="nil"/>
              <w:right w:val="single" w:color="000000" w:sz="6" w:space="0"/>
            </w:tcBorders>
            <w:vAlign w:val="top"/>
          </w:tcPr>
          <w:p w14:paraId="4B1DB759">
            <w:pPr>
              <w:rPr>
                <w:rFonts w:ascii="Arial"/>
                <w:sz w:val="21"/>
              </w:rPr>
            </w:pPr>
          </w:p>
        </w:tc>
        <w:tc>
          <w:tcPr>
            <w:tcW w:w="132" w:type="dxa"/>
            <w:tcBorders>
              <w:top w:val="nil"/>
              <w:left w:val="single" w:color="000000" w:sz="6" w:space="0"/>
              <w:bottom w:val="nil"/>
            </w:tcBorders>
            <w:vAlign w:val="top"/>
          </w:tcPr>
          <w:p w14:paraId="3A6DCC62">
            <w:pPr>
              <w:rPr>
                <w:rFonts w:ascii="Arial"/>
                <w:sz w:val="21"/>
              </w:rPr>
            </w:pPr>
          </w:p>
        </w:tc>
        <w:tc>
          <w:tcPr>
            <w:tcW w:w="883" w:type="dxa"/>
            <w:vAlign w:val="top"/>
          </w:tcPr>
          <w:p w14:paraId="2E5C2ACA">
            <w:pPr>
              <w:spacing w:before="214" w:line="195" w:lineRule="auto"/>
              <w:ind w:left="393"/>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3957" w:type="dxa"/>
            <w:gridSpan w:val="4"/>
            <w:vAlign w:val="top"/>
          </w:tcPr>
          <w:p w14:paraId="61D3F12E">
            <w:pPr>
              <w:pStyle w:val="6"/>
              <w:spacing w:before="44" w:line="227" w:lineRule="auto"/>
              <w:ind w:left="153"/>
            </w:pPr>
            <w:r>
              <w:rPr>
                <w:spacing w:val="5"/>
              </w:rPr>
              <w:t>拟建</w:t>
            </w:r>
            <w:r>
              <w:rPr>
                <w:spacing w:val="-9"/>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接入</w:t>
            </w:r>
            <w:r>
              <w:rPr>
                <w:spacing w:val="-41"/>
              </w:rPr>
              <w:t xml:space="preserve"> </w:t>
            </w:r>
            <w:r>
              <w:rPr>
                <w:rFonts w:ascii="Times New Roman" w:hAnsi="Times New Roman" w:eastAsia="Times New Roman" w:cs="Times New Roman"/>
                <w:spacing w:val="5"/>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5"/>
              </w:rPr>
              <w:t>芳华变线路北侧</w:t>
            </w:r>
          </w:p>
          <w:p w14:paraId="4AB299FA">
            <w:pPr>
              <w:pStyle w:val="6"/>
              <w:spacing w:before="25" w:line="206" w:lineRule="auto"/>
              <w:ind w:left="1259"/>
            </w:pPr>
            <w:r>
              <w:rPr>
                <w:spacing w:val="7"/>
              </w:rPr>
              <w:t>临时菜地看护房</w:t>
            </w:r>
          </w:p>
        </w:tc>
        <w:tc>
          <w:tcPr>
            <w:tcW w:w="1142" w:type="dxa"/>
            <w:vAlign w:val="top"/>
          </w:tcPr>
          <w:p w14:paraId="68CC50AE">
            <w:pPr>
              <w:spacing w:before="214"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975" w:type="dxa"/>
            <w:gridSpan w:val="2"/>
            <w:vAlign w:val="top"/>
          </w:tcPr>
          <w:p w14:paraId="75282249">
            <w:pPr>
              <w:spacing w:before="214"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38</w:t>
            </w:r>
          </w:p>
        </w:tc>
        <w:tc>
          <w:tcPr>
            <w:tcW w:w="831" w:type="dxa"/>
            <w:vAlign w:val="top"/>
          </w:tcPr>
          <w:p w14:paraId="6FD6AF90">
            <w:pPr>
              <w:spacing w:line="243" w:lineRule="auto"/>
              <w:rPr>
                <w:rFonts w:ascii="Arial"/>
                <w:sz w:val="21"/>
              </w:rPr>
            </w:pPr>
          </w:p>
          <w:p w14:paraId="30F448AA">
            <w:pPr>
              <w:spacing w:before="58" w:line="97"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3" w:type="dxa"/>
            <w:tcBorders>
              <w:top w:val="nil"/>
              <w:bottom w:val="nil"/>
              <w:right w:val="single" w:color="000000" w:sz="6" w:space="0"/>
            </w:tcBorders>
            <w:vAlign w:val="top"/>
          </w:tcPr>
          <w:p w14:paraId="05A0A701">
            <w:pPr>
              <w:rPr>
                <w:rFonts w:ascii="Arial"/>
                <w:sz w:val="21"/>
              </w:rPr>
            </w:pPr>
          </w:p>
        </w:tc>
      </w:tr>
      <w:tr w14:paraId="55C20B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64" w:type="dxa"/>
            <w:vMerge w:val="continue"/>
            <w:tcBorders>
              <w:top w:val="nil"/>
              <w:left w:val="single" w:color="000000" w:sz="6" w:space="0"/>
              <w:bottom w:val="nil"/>
              <w:right w:val="single" w:color="000000" w:sz="6" w:space="0"/>
            </w:tcBorders>
            <w:vAlign w:val="top"/>
          </w:tcPr>
          <w:p w14:paraId="21A788DA">
            <w:pPr>
              <w:rPr>
                <w:rFonts w:ascii="Arial"/>
                <w:sz w:val="21"/>
              </w:rPr>
            </w:pPr>
          </w:p>
        </w:tc>
        <w:tc>
          <w:tcPr>
            <w:tcW w:w="132" w:type="dxa"/>
            <w:tcBorders>
              <w:top w:val="nil"/>
              <w:left w:val="single" w:color="000000" w:sz="6" w:space="0"/>
              <w:bottom w:val="nil"/>
            </w:tcBorders>
            <w:vAlign w:val="top"/>
          </w:tcPr>
          <w:p w14:paraId="47381187">
            <w:pPr>
              <w:rPr>
                <w:rFonts w:ascii="Arial"/>
                <w:sz w:val="21"/>
              </w:rPr>
            </w:pPr>
          </w:p>
        </w:tc>
        <w:tc>
          <w:tcPr>
            <w:tcW w:w="883" w:type="dxa"/>
            <w:vAlign w:val="top"/>
          </w:tcPr>
          <w:p w14:paraId="6E832149">
            <w:pPr>
              <w:spacing w:before="217" w:line="195" w:lineRule="auto"/>
              <w:ind w:left="388"/>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3957" w:type="dxa"/>
            <w:gridSpan w:val="4"/>
            <w:vAlign w:val="top"/>
          </w:tcPr>
          <w:p w14:paraId="2CF60F11">
            <w:pPr>
              <w:pStyle w:val="6"/>
              <w:spacing w:before="44" w:line="227" w:lineRule="auto"/>
              <w:ind w:left="153"/>
            </w:pPr>
            <w:r>
              <w:rPr>
                <w:spacing w:val="5"/>
              </w:rPr>
              <w:t>拟建</w:t>
            </w:r>
            <w:r>
              <w:rPr>
                <w:spacing w:val="-9"/>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接入</w:t>
            </w:r>
            <w:r>
              <w:rPr>
                <w:spacing w:val="-41"/>
              </w:rPr>
              <w:t xml:space="preserve"> </w:t>
            </w:r>
            <w:r>
              <w:rPr>
                <w:rFonts w:ascii="Times New Roman" w:hAnsi="Times New Roman" w:eastAsia="Times New Roman" w:cs="Times New Roman"/>
                <w:spacing w:val="5"/>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5"/>
              </w:rPr>
              <w:t>芳华变线路南侧</w:t>
            </w:r>
          </w:p>
          <w:p w14:paraId="1D4609F1">
            <w:pPr>
              <w:pStyle w:val="6"/>
              <w:spacing w:before="25" w:line="206" w:lineRule="auto"/>
              <w:ind w:left="1259"/>
            </w:pPr>
            <w:r>
              <w:rPr>
                <w:spacing w:val="7"/>
              </w:rPr>
              <w:t>临时菜地看护房</w:t>
            </w:r>
          </w:p>
        </w:tc>
        <w:tc>
          <w:tcPr>
            <w:tcW w:w="1142" w:type="dxa"/>
            <w:vAlign w:val="top"/>
          </w:tcPr>
          <w:p w14:paraId="7AD4C4A2">
            <w:pPr>
              <w:spacing w:before="217"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w:t>
            </w:r>
          </w:p>
        </w:tc>
        <w:tc>
          <w:tcPr>
            <w:tcW w:w="975" w:type="dxa"/>
            <w:gridSpan w:val="2"/>
            <w:vAlign w:val="top"/>
          </w:tcPr>
          <w:p w14:paraId="708FD9B6">
            <w:pPr>
              <w:spacing w:before="217"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37</w:t>
            </w:r>
          </w:p>
        </w:tc>
        <w:tc>
          <w:tcPr>
            <w:tcW w:w="831" w:type="dxa"/>
            <w:vAlign w:val="top"/>
          </w:tcPr>
          <w:p w14:paraId="117D2BC5">
            <w:pPr>
              <w:spacing w:line="246" w:lineRule="auto"/>
              <w:rPr>
                <w:rFonts w:ascii="Arial"/>
                <w:sz w:val="21"/>
              </w:rPr>
            </w:pPr>
          </w:p>
          <w:p w14:paraId="4A7B9DD9">
            <w:pPr>
              <w:spacing w:before="58" w:line="96"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3" w:type="dxa"/>
            <w:tcBorders>
              <w:top w:val="nil"/>
              <w:bottom w:val="nil"/>
              <w:right w:val="single" w:color="000000" w:sz="6" w:space="0"/>
            </w:tcBorders>
            <w:vAlign w:val="top"/>
          </w:tcPr>
          <w:p w14:paraId="2FA628A0">
            <w:pPr>
              <w:rPr>
                <w:rFonts w:ascii="Arial"/>
                <w:sz w:val="21"/>
              </w:rPr>
            </w:pPr>
          </w:p>
        </w:tc>
      </w:tr>
      <w:tr w14:paraId="24267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64" w:type="dxa"/>
            <w:vMerge w:val="continue"/>
            <w:tcBorders>
              <w:top w:val="nil"/>
              <w:left w:val="single" w:color="000000" w:sz="6" w:space="0"/>
              <w:bottom w:val="nil"/>
              <w:right w:val="single" w:color="000000" w:sz="6" w:space="0"/>
            </w:tcBorders>
            <w:vAlign w:val="top"/>
          </w:tcPr>
          <w:p w14:paraId="20A21116">
            <w:pPr>
              <w:rPr>
                <w:rFonts w:ascii="Arial"/>
                <w:sz w:val="21"/>
              </w:rPr>
            </w:pPr>
          </w:p>
        </w:tc>
        <w:tc>
          <w:tcPr>
            <w:tcW w:w="132" w:type="dxa"/>
            <w:tcBorders>
              <w:top w:val="nil"/>
              <w:left w:val="single" w:color="000000" w:sz="6" w:space="0"/>
              <w:bottom w:val="nil"/>
            </w:tcBorders>
            <w:vAlign w:val="top"/>
          </w:tcPr>
          <w:p w14:paraId="2DC749AF">
            <w:pPr>
              <w:rPr>
                <w:rFonts w:ascii="Arial"/>
                <w:sz w:val="21"/>
              </w:rPr>
            </w:pPr>
          </w:p>
        </w:tc>
        <w:tc>
          <w:tcPr>
            <w:tcW w:w="883" w:type="dxa"/>
            <w:vAlign w:val="top"/>
          </w:tcPr>
          <w:p w14:paraId="2DCE738B">
            <w:pPr>
              <w:spacing w:before="217" w:line="195" w:lineRule="auto"/>
              <w:ind w:left="35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3957" w:type="dxa"/>
            <w:gridSpan w:val="4"/>
            <w:vAlign w:val="top"/>
          </w:tcPr>
          <w:p w14:paraId="3BFFA96F">
            <w:pPr>
              <w:pStyle w:val="6"/>
              <w:spacing w:before="44" w:line="227" w:lineRule="auto"/>
              <w:ind w:left="153"/>
            </w:pPr>
            <w:r>
              <w:rPr>
                <w:spacing w:val="5"/>
              </w:rPr>
              <w:t>拟建</w:t>
            </w:r>
            <w:r>
              <w:rPr>
                <w:spacing w:val="-9"/>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接入</w:t>
            </w:r>
            <w:r>
              <w:rPr>
                <w:spacing w:val="-41"/>
              </w:rPr>
              <w:t xml:space="preserve"> </w:t>
            </w:r>
            <w:r>
              <w:rPr>
                <w:rFonts w:ascii="Times New Roman" w:hAnsi="Times New Roman" w:eastAsia="Times New Roman" w:cs="Times New Roman"/>
                <w:spacing w:val="5"/>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5"/>
              </w:rPr>
              <w:t>芳华变线路东侧</w:t>
            </w:r>
          </w:p>
          <w:p w14:paraId="1F284D74">
            <w:pPr>
              <w:pStyle w:val="6"/>
              <w:spacing w:before="24" w:line="207" w:lineRule="auto"/>
              <w:ind w:left="1354"/>
            </w:pPr>
            <w:r>
              <w:rPr>
                <w:spacing w:val="8"/>
              </w:rPr>
              <w:t>新华村居民楼</w:t>
            </w:r>
          </w:p>
        </w:tc>
        <w:tc>
          <w:tcPr>
            <w:tcW w:w="1142" w:type="dxa"/>
            <w:vAlign w:val="top"/>
          </w:tcPr>
          <w:p w14:paraId="322FA9C0">
            <w:pPr>
              <w:spacing w:before="217"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w:t>
            </w:r>
          </w:p>
        </w:tc>
        <w:tc>
          <w:tcPr>
            <w:tcW w:w="975" w:type="dxa"/>
            <w:gridSpan w:val="2"/>
            <w:vAlign w:val="top"/>
          </w:tcPr>
          <w:p w14:paraId="2A2F1F53">
            <w:pPr>
              <w:spacing w:before="217"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39</w:t>
            </w:r>
          </w:p>
        </w:tc>
        <w:tc>
          <w:tcPr>
            <w:tcW w:w="831" w:type="dxa"/>
            <w:vAlign w:val="top"/>
          </w:tcPr>
          <w:p w14:paraId="5BACD807">
            <w:pPr>
              <w:spacing w:line="246" w:lineRule="auto"/>
              <w:rPr>
                <w:rFonts w:ascii="Arial"/>
                <w:sz w:val="21"/>
              </w:rPr>
            </w:pPr>
          </w:p>
          <w:p w14:paraId="3E468DDE">
            <w:pPr>
              <w:spacing w:before="58" w:line="97"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3" w:type="dxa"/>
            <w:tcBorders>
              <w:top w:val="nil"/>
              <w:bottom w:val="nil"/>
              <w:right w:val="single" w:color="000000" w:sz="6" w:space="0"/>
            </w:tcBorders>
            <w:vAlign w:val="top"/>
          </w:tcPr>
          <w:p w14:paraId="226436EA">
            <w:pPr>
              <w:rPr>
                <w:rFonts w:ascii="Arial"/>
                <w:sz w:val="21"/>
              </w:rPr>
            </w:pPr>
          </w:p>
        </w:tc>
      </w:tr>
      <w:tr w14:paraId="04F14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64" w:type="dxa"/>
            <w:vMerge w:val="continue"/>
            <w:tcBorders>
              <w:top w:val="nil"/>
              <w:left w:val="single" w:color="000000" w:sz="6" w:space="0"/>
              <w:bottom w:val="nil"/>
              <w:right w:val="single" w:color="000000" w:sz="6" w:space="0"/>
            </w:tcBorders>
            <w:vAlign w:val="top"/>
          </w:tcPr>
          <w:p w14:paraId="0AE7C189">
            <w:pPr>
              <w:rPr>
                <w:rFonts w:ascii="Arial"/>
                <w:sz w:val="21"/>
              </w:rPr>
            </w:pPr>
          </w:p>
        </w:tc>
        <w:tc>
          <w:tcPr>
            <w:tcW w:w="132" w:type="dxa"/>
            <w:tcBorders>
              <w:top w:val="nil"/>
              <w:left w:val="single" w:color="000000" w:sz="6" w:space="0"/>
              <w:bottom w:val="nil"/>
            </w:tcBorders>
            <w:vAlign w:val="top"/>
          </w:tcPr>
          <w:p w14:paraId="4852DD0F">
            <w:pPr>
              <w:rPr>
                <w:rFonts w:ascii="Arial"/>
                <w:sz w:val="21"/>
              </w:rPr>
            </w:pPr>
          </w:p>
        </w:tc>
        <w:tc>
          <w:tcPr>
            <w:tcW w:w="883" w:type="dxa"/>
            <w:vAlign w:val="top"/>
          </w:tcPr>
          <w:p w14:paraId="39D42F9B">
            <w:pPr>
              <w:spacing w:before="217" w:line="195" w:lineRule="auto"/>
              <w:ind w:left="356"/>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11</w:t>
            </w:r>
          </w:p>
        </w:tc>
        <w:tc>
          <w:tcPr>
            <w:tcW w:w="3957" w:type="dxa"/>
            <w:gridSpan w:val="4"/>
            <w:vAlign w:val="top"/>
          </w:tcPr>
          <w:p w14:paraId="1A7A8C74">
            <w:pPr>
              <w:pStyle w:val="6"/>
              <w:spacing w:before="44" w:line="227" w:lineRule="auto"/>
              <w:ind w:left="153"/>
            </w:pPr>
            <w:r>
              <w:rPr>
                <w:spacing w:val="5"/>
              </w:rPr>
              <w:t>拟建</w:t>
            </w:r>
            <w:r>
              <w:rPr>
                <w:spacing w:val="-9"/>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接入</w:t>
            </w:r>
            <w:r>
              <w:rPr>
                <w:spacing w:val="-41"/>
              </w:rPr>
              <w:t xml:space="preserve"> </w:t>
            </w:r>
            <w:r>
              <w:rPr>
                <w:rFonts w:ascii="Times New Roman" w:hAnsi="Times New Roman" w:eastAsia="Times New Roman" w:cs="Times New Roman"/>
                <w:spacing w:val="5"/>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5"/>
              </w:rPr>
              <w:t>芳华变线路西侧</w:t>
            </w:r>
          </w:p>
          <w:p w14:paraId="5ED3EEEA">
            <w:pPr>
              <w:pStyle w:val="6"/>
              <w:spacing w:before="27" w:line="204" w:lineRule="auto"/>
              <w:ind w:left="934"/>
            </w:pPr>
            <w:r>
              <w:rPr>
                <w:spacing w:val="8"/>
              </w:rPr>
              <w:t>新华村菜地临时看护房</w:t>
            </w:r>
          </w:p>
        </w:tc>
        <w:tc>
          <w:tcPr>
            <w:tcW w:w="1142" w:type="dxa"/>
            <w:vAlign w:val="top"/>
          </w:tcPr>
          <w:p w14:paraId="5868C3AE">
            <w:pPr>
              <w:spacing w:before="217"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975" w:type="dxa"/>
            <w:gridSpan w:val="2"/>
            <w:vAlign w:val="top"/>
          </w:tcPr>
          <w:p w14:paraId="6674C07B">
            <w:pPr>
              <w:spacing w:before="217"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38</w:t>
            </w:r>
          </w:p>
        </w:tc>
        <w:tc>
          <w:tcPr>
            <w:tcW w:w="831" w:type="dxa"/>
            <w:vAlign w:val="top"/>
          </w:tcPr>
          <w:p w14:paraId="7EBAAB7A">
            <w:pPr>
              <w:spacing w:line="246" w:lineRule="auto"/>
              <w:rPr>
                <w:rFonts w:ascii="Arial"/>
                <w:sz w:val="21"/>
              </w:rPr>
            </w:pPr>
          </w:p>
          <w:p w14:paraId="6A7979A7">
            <w:pPr>
              <w:spacing w:before="57" w:line="97"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3" w:type="dxa"/>
            <w:tcBorders>
              <w:top w:val="nil"/>
              <w:bottom w:val="nil"/>
              <w:right w:val="single" w:color="000000" w:sz="6" w:space="0"/>
            </w:tcBorders>
            <w:vAlign w:val="top"/>
          </w:tcPr>
          <w:p w14:paraId="206DAD32">
            <w:pPr>
              <w:rPr>
                <w:rFonts w:ascii="Arial"/>
                <w:sz w:val="21"/>
              </w:rPr>
            </w:pPr>
          </w:p>
        </w:tc>
      </w:tr>
      <w:tr w14:paraId="126C47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464" w:type="dxa"/>
            <w:vMerge w:val="continue"/>
            <w:tcBorders>
              <w:top w:val="nil"/>
              <w:left w:val="single" w:color="000000" w:sz="6" w:space="0"/>
              <w:bottom w:val="single" w:color="000000" w:sz="6" w:space="0"/>
              <w:right w:val="single" w:color="000000" w:sz="6" w:space="0"/>
            </w:tcBorders>
            <w:vAlign w:val="top"/>
          </w:tcPr>
          <w:p w14:paraId="28B538F8">
            <w:pPr>
              <w:rPr>
                <w:rFonts w:ascii="Arial"/>
                <w:sz w:val="21"/>
              </w:rPr>
            </w:pPr>
          </w:p>
        </w:tc>
        <w:tc>
          <w:tcPr>
            <w:tcW w:w="132" w:type="dxa"/>
            <w:tcBorders>
              <w:top w:val="nil"/>
              <w:left w:val="single" w:color="000000" w:sz="6" w:space="0"/>
              <w:bottom w:val="single" w:color="000000" w:sz="6" w:space="0"/>
            </w:tcBorders>
            <w:vAlign w:val="top"/>
          </w:tcPr>
          <w:p w14:paraId="6C61E3F3">
            <w:pPr>
              <w:rPr>
                <w:rFonts w:ascii="Arial"/>
                <w:sz w:val="21"/>
              </w:rPr>
            </w:pPr>
          </w:p>
        </w:tc>
        <w:tc>
          <w:tcPr>
            <w:tcW w:w="883" w:type="dxa"/>
            <w:tcBorders>
              <w:bottom w:val="single" w:color="000000" w:sz="6" w:space="0"/>
            </w:tcBorders>
            <w:vAlign w:val="top"/>
          </w:tcPr>
          <w:p w14:paraId="7361F686">
            <w:pPr>
              <w:spacing w:before="217" w:line="195" w:lineRule="auto"/>
              <w:ind w:left="35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3957" w:type="dxa"/>
            <w:gridSpan w:val="4"/>
            <w:tcBorders>
              <w:bottom w:val="single" w:color="000000" w:sz="6" w:space="0"/>
            </w:tcBorders>
            <w:vAlign w:val="top"/>
          </w:tcPr>
          <w:p w14:paraId="08C5B7D1">
            <w:pPr>
              <w:pStyle w:val="6"/>
              <w:spacing w:before="44" w:line="227" w:lineRule="auto"/>
              <w:ind w:left="177"/>
              <w:rPr>
                <w:rFonts w:ascii="Times New Roman" w:hAnsi="Times New Roman" w:eastAsia="Times New Roman" w:cs="Times New Roman"/>
              </w:rPr>
            </w:pPr>
            <w:r>
              <w:rPr>
                <w:spacing w:val="6"/>
              </w:rPr>
              <w:t>拟建</w:t>
            </w:r>
            <w:r>
              <w:rPr>
                <w:spacing w:val="-38"/>
              </w:rPr>
              <w:t xml:space="preserve"> </w:t>
            </w:r>
            <w:r>
              <w:rPr>
                <w:rFonts w:ascii="Times New Roman" w:hAnsi="Times New Roman" w:eastAsia="Times New Roman" w:cs="Times New Roman"/>
                <w:spacing w:val="6"/>
              </w:rPr>
              <w:t>220</w:t>
            </w:r>
            <w:r>
              <w:rPr>
                <w:rFonts w:ascii="Times New Roman" w:hAnsi="Times New Roman" w:eastAsia="Times New Roman" w:cs="Times New Roman"/>
              </w:rPr>
              <w:t>kV</w:t>
            </w:r>
            <w:r>
              <w:rPr>
                <w:rFonts w:ascii="Times New Roman" w:hAnsi="Times New Roman" w:eastAsia="Times New Roman" w:cs="Times New Roman"/>
                <w:spacing w:val="17"/>
                <w:w w:val="101"/>
              </w:rPr>
              <w:t xml:space="preserve"> </w:t>
            </w:r>
            <w:r>
              <w:rPr>
                <w:spacing w:val="6"/>
              </w:rPr>
              <w:t>芳华变站址处（本期</w:t>
            </w:r>
            <w:r>
              <w:rPr>
                <w:spacing w:val="-21"/>
              </w:rPr>
              <w:t xml:space="preserve"> </w:t>
            </w:r>
            <w:r>
              <w:rPr>
                <w:rFonts w:ascii="Times New Roman" w:hAnsi="Times New Roman" w:eastAsia="Times New Roman" w:cs="Times New Roman"/>
                <w:spacing w:val="6"/>
              </w:rPr>
              <w:t>110</w:t>
            </w:r>
            <w:r>
              <w:rPr>
                <w:rFonts w:ascii="Times New Roman" w:hAnsi="Times New Roman" w:eastAsia="Times New Roman" w:cs="Times New Roman"/>
              </w:rPr>
              <w:t>kV</w:t>
            </w:r>
          </w:p>
          <w:p w14:paraId="175DB7DB">
            <w:pPr>
              <w:pStyle w:val="6"/>
              <w:spacing w:before="27" w:line="215" w:lineRule="auto"/>
              <w:ind w:left="1144"/>
            </w:pPr>
            <w:r>
              <w:rPr>
                <w:spacing w:val="7"/>
              </w:rPr>
              <w:t>线路接入间隔处）</w:t>
            </w:r>
          </w:p>
        </w:tc>
        <w:tc>
          <w:tcPr>
            <w:tcW w:w="1142" w:type="dxa"/>
            <w:tcBorders>
              <w:bottom w:val="single" w:color="000000" w:sz="6" w:space="0"/>
            </w:tcBorders>
            <w:vAlign w:val="top"/>
          </w:tcPr>
          <w:p w14:paraId="12813C7D">
            <w:pPr>
              <w:spacing w:before="217" w:line="195" w:lineRule="auto"/>
              <w:ind w:left="477"/>
              <w:rPr>
                <w:rFonts w:ascii="Times New Roman" w:hAnsi="Times New Roman" w:eastAsia="Times New Roman" w:cs="Times New Roman"/>
                <w:sz w:val="20"/>
                <w:szCs w:val="20"/>
              </w:rPr>
            </w:pPr>
            <w:r>
              <w:rPr>
                <w:rFonts w:ascii="Times New Roman" w:hAnsi="Times New Roman" w:eastAsia="Times New Roman" w:cs="Times New Roman"/>
                <w:sz w:val="20"/>
                <w:szCs w:val="20"/>
              </w:rPr>
              <w:t>51</w:t>
            </w:r>
          </w:p>
        </w:tc>
        <w:tc>
          <w:tcPr>
            <w:tcW w:w="975" w:type="dxa"/>
            <w:gridSpan w:val="2"/>
            <w:tcBorders>
              <w:bottom w:val="single" w:color="000000" w:sz="6" w:space="0"/>
            </w:tcBorders>
            <w:vAlign w:val="top"/>
          </w:tcPr>
          <w:p w14:paraId="1DACC671">
            <w:pPr>
              <w:spacing w:before="217" w:line="195" w:lineRule="auto"/>
              <w:ind w:left="38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831" w:type="dxa"/>
            <w:tcBorders>
              <w:bottom w:val="single" w:color="000000" w:sz="6" w:space="0"/>
            </w:tcBorders>
            <w:vAlign w:val="top"/>
          </w:tcPr>
          <w:p w14:paraId="0F6B0B94">
            <w:pPr>
              <w:spacing w:line="246" w:lineRule="auto"/>
              <w:rPr>
                <w:rFonts w:ascii="Arial"/>
                <w:sz w:val="21"/>
              </w:rPr>
            </w:pPr>
          </w:p>
          <w:p w14:paraId="7966BCD1">
            <w:pPr>
              <w:spacing w:before="58" w:line="97"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3" w:type="dxa"/>
            <w:tcBorders>
              <w:top w:val="nil"/>
              <w:bottom w:val="single" w:color="000000" w:sz="6" w:space="0"/>
              <w:right w:val="single" w:color="000000" w:sz="6" w:space="0"/>
            </w:tcBorders>
            <w:vAlign w:val="top"/>
          </w:tcPr>
          <w:p w14:paraId="4E17720D">
            <w:pPr>
              <w:rPr>
                <w:rFonts w:ascii="Arial"/>
                <w:sz w:val="21"/>
              </w:rPr>
            </w:pPr>
          </w:p>
        </w:tc>
      </w:tr>
    </w:tbl>
    <w:p w14:paraId="2B132621">
      <w:pPr>
        <w:rPr>
          <w:rFonts w:ascii="Arial"/>
          <w:sz w:val="21"/>
        </w:rPr>
      </w:pPr>
    </w:p>
    <w:p w14:paraId="3A4E68B2">
      <w:pPr>
        <w:rPr>
          <w:rFonts w:ascii="Arial" w:hAnsi="Arial" w:eastAsia="Arial" w:cs="Arial"/>
          <w:sz w:val="21"/>
          <w:szCs w:val="21"/>
        </w:rPr>
        <w:sectPr>
          <w:footerReference r:id="rId79" w:type="default"/>
          <w:pgSz w:w="11907" w:h="16840"/>
          <w:pgMar w:top="400" w:right="1682" w:bottom="1240" w:left="1682" w:header="0" w:footer="1077" w:gutter="0"/>
          <w:cols w:space="720" w:num="1"/>
        </w:sectPr>
      </w:pPr>
    </w:p>
    <w:p w14:paraId="23D56BB7">
      <w:pPr>
        <w:spacing w:before="19"/>
      </w:pPr>
    </w:p>
    <w:p w14:paraId="2399679B">
      <w:pPr>
        <w:spacing w:before="19"/>
      </w:pPr>
    </w:p>
    <w:p w14:paraId="378AFC4A">
      <w:pPr>
        <w:spacing w:before="18"/>
      </w:pPr>
    </w:p>
    <w:p w14:paraId="3AF8605D">
      <w:pPr>
        <w:spacing w:before="18"/>
      </w:pPr>
    </w:p>
    <w:tbl>
      <w:tblPr>
        <w:tblStyle w:val="5"/>
        <w:tblW w:w="852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4"/>
        <w:gridCol w:w="132"/>
        <w:gridCol w:w="883"/>
        <w:gridCol w:w="3957"/>
        <w:gridCol w:w="1142"/>
        <w:gridCol w:w="975"/>
        <w:gridCol w:w="832"/>
        <w:gridCol w:w="142"/>
      </w:tblGrid>
      <w:tr w14:paraId="364671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464" w:type="dxa"/>
            <w:vMerge w:val="restart"/>
            <w:tcBorders>
              <w:top w:val="single" w:color="000000" w:sz="6" w:space="0"/>
              <w:left w:val="single" w:color="000000" w:sz="6" w:space="0"/>
              <w:bottom w:val="nil"/>
              <w:right w:val="single" w:color="000000" w:sz="6" w:space="0"/>
            </w:tcBorders>
            <w:vAlign w:val="top"/>
          </w:tcPr>
          <w:p w14:paraId="2D0F99F1">
            <w:pPr>
              <w:rPr>
                <w:rFonts w:ascii="Arial"/>
                <w:sz w:val="21"/>
              </w:rPr>
            </w:pPr>
          </w:p>
        </w:tc>
        <w:tc>
          <w:tcPr>
            <w:tcW w:w="132" w:type="dxa"/>
            <w:tcBorders>
              <w:top w:val="single" w:color="000000" w:sz="6" w:space="0"/>
              <w:left w:val="single" w:color="000000" w:sz="6" w:space="0"/>
              <w:bottom w:val="nil"/>
            </w:tcBorders>
            <w:vAlign w:val="top"/>
          </w:tcPr>
          <w:p w14:paraId="7404575B">
            <w:pPr>
              <w:rPr>
                <w:rFonts w:ascii="Arial"/>
                <w:sz w:val="21"/>
              </w:rPr>
            </w:pPr>
          </w:p>
        </w:tc>
        <w:tc>
          <w:tcPr>
            <w:tcW w:w="883" w:type="dxa"/>
            <w:tcBorders>
              <w:top w:val="single" w:color="000000" w:sz="6" w:space="0"/>
            </w:tcBorders>
            <w:vAlign w:val="top"/>
          </w:tcPr>
          <w:p w14:paraId="2E8E85B8">
            <w:pPr>
              <w:spacing w:before="219" w:line="195" w:lineRule="auto"/>
              <w:ind w:left="35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13</w:t>
            </w:r>
          </w:p>
        </w:tc>
        <w:tc>
          <w:tcPr>
            <w:tcW w:w="3957" w:type="dxa"/>
            <w:tcBorders>
              <w:top w:val="single" w:color="000000" w:sz="6" w:space="0"/>
            </w:tcBorders>
            <w:vAlign w:val="top"/>
          </w:tcPr>
          <w:p w14:paraId="1C78C34D">
            <w:pPr>
              <w:pStyle w:val="6"/>
              <w:spacing w:before="46" w:line="227" w:lineRule="auto"/>
              <w:ind w:left="168"/>
            </w:pPr>
            <w:r>
              <w:rPr>
                <w:spacing w:val="7"/>
              </w:rPr>
              <w:t>本期拟建线路南侧约</w:t>
            </w:r>
            <w:r>
              <w:rPr>
                <w:spacing w:val="-31"/>
              </w:rPr>
              <w:t xml:space="preserve"> </w:t>
            </w:r>
            <w:r>
              <w:rPr>
                <w:rFonts w:ascii="Times New Roman" w:hAnsi="Times New Roman" w:eastAsia="Times New Roman" w:cs="Times New Roman"/>
                <w:spacing w:val="7"/>
              </w:rPr>
              <w:t>30m</w:t>
            </w:r>
            <w:r>
              <w:rPr>
                <w:rFonts w:ascii="Times New Roman" w:hAnsi="Times New Roman" w:eastAsia="Times New Roman" w:cs="Times New Roman"/>
                <w:spacing w:val="16"/>
              </w:rPr>
              <w:t xml:space="preserve"> </w:t>
            </w:r>
            <w:r>
              <w:rPr>
                <w:spacing w:val="7"/>
              </w:rPr>
              <w:t>处菜地临时看</w:t>
            </w:r>
          </w:p>
          <w:p w14:paraId="7F3999F5">
            <w:pPr>
              <w:pStyle w:val="6"/>
              <w:spacing w:before="25" w:line="218" w:lineRule="auto"/>
              <w:ind w:left="1774"/>
            </w:pPr>
            <w:r>
              <w:rPr>
                <w:spacing w:val="4"/>
              </w:rPr>
              <w:t>护房</w:t>
            </w:r>
          </w:p>
        </w:tc>
        <w:tc>
          <w:tcPr>
            <w:tcW w:w="1142" w:type="dxa"/>
            <w:tcBorders>
              <w:top w:val="single" w:color="000000" w:sz="6" w:space="0"/>
            </w:tcBorders>
            <w:vAlign w:val="top"/>
          </w:tcPr>
          <w:p w14:paraId="42D540AA">
            <w:pPr>
              <w:spacing w:before="219"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w:t>
            </w:r>
          </w:p>
        </w:tc>
        <w:tc>
          <w:tcPr>
            <w:tcW w:w="975" w:type="dxa"/>
            <w:tcBorders>
              <w:top w:val="single" w:color="000000" w:sz="6" w:space="0"/>
            </w:tcBorders>
            <w:vAlign w:val="top"/>
          </w:tcPr>
          <w:p w14:paraId="353CB03A">
            <w:pPr>
              <w:spacing w:before="219"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37</w:t>
            </w:r>
          </w:p>
        </w:tc>
        <w:tc>
          <w:tcPr>
            <w:tcW w:w="832" w:type="dxa"/>
            <w:tcBorders>
              <w:top w:val="single" w:color="000000" w:sz="6" w:space="0"/>
            </w:tcBorders>
            <w:vAlign w:val="top"/>
          </w:tcPr>
          <w:p w14:paraId="78E2F45D">
            <w:pPr>
              <w:spacing w:line="248" w:lineRule="auto"/>
              <w:rPr>
                <w:rFonts w:ascii="Arial"/>
                <w:sz w:val="21"/>
              </w:rPr>
            </w:pPr>
          </w:p>
          <w:p w14:paraId="717D7638">
            <w:pPr>
              <w:spacing w:before="57" w:line="97"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2" w:type="dxa"/>
            <w:tcBorders>
              <w:top w:val="single" w:color="000000" w:sz="6" w:space="0"/>
              <w:bottom w:val="nil"/>
              <w:right w:val="single" w:color="000000" w:sz="6" w:space="0"/>
            </w:tcBorders>
            <w:vAlign w:val="top"/>
          </w:tcPr>
          <w:p w14:paraId="7911E5D6">
            <w:pPr>
              <w:rPr>
                <w:rFonts w:ascii="Arial"/>
                <w:sz w:val="21"/>
              </w:rPr>
            </w:pPr>
          </w:p>
        </w:tc>
      </w:tr>
      <w:tr w14:paraId="46D57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64" w:type="dxa"/>
            <w:vMerge w:val="continue"/>
            <w:tcBorders>
              <w:top w:val="nil"/>
              <w:left w:val="single" w:color="000000" w:sz="6" w:space="0"/>
              <w:bottom w:val="nil"/>
              <w:right w:val="single" w:color="000000" w:sz="6" w:space="0"/>
            </w:tcBorders>
            <w:vAlign w:val="top"/>
          </w:tcPr>
          <w:p w14:paraId="0940DABE">
            <w:pPr>
              <w:rPr>
                <w:rFonts w:ascii="Arial"/>
                <w:sz w:val="21"/>
              </w:rPr>
            </w:pPr>
          </w:p>
        </w:tc>
        <w:tc>
          <w:tcPr>
            <w:tcW w:w="132" w:type="dxa"/>
            <w:tcBorders>
              <w:top w:val="nil"/>
              <w:left w:val="single" w:color="000000" w:sz="6" w:space="0"/>
              <w:bottom w:val="nil"/>
            </w:tcBorders>
            <w:vAlign w:val="top"/>
          </w:tcPr>
          <w:p w14:paraId="48E0EF17">
            <w:pPr>
              <w:rPr>
                <w:rFonts w:ascii="Arial"/>
                <w:sz w:val="21"/>
              </w:rPr>
            </w:pPr>
          </w:p>
        </w:tc>
        <w:tc>
          <w:tcPr>
            <w:tcW w:w="883" w:type="dxa"/>
            <w:vAlign w:val="top"/>
          </w:tcPr>
          <w:p w14:paraId="788A7617">
            <w:pPr>
              <w:spacing w:before="202" w:line="195" w:lineRule="auto"/>
              <w:ind w:left="35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14</w:t>
            </w:r>
          </w:p>
        </w:tc>
        <w:tc>
          <w:tcPr>
            <w:tcW w:w="3957" w:type="dxa"/>
            <w:vAlign w:val="top"/>
          </w:tcPr>
          <w:p w14:paraId="51102468">
            <w:pPr>
              <w:pStyle w:val="6"/>
              <w:spacing w:before="31" w:line="227" w:lineRule="auto"/>
              <w:ind w:left="168"/>
            </w:pPr>
            <w:r>
              <w:rPr>
                <w:spacing w:val="8"/>
              </w:rPr>
              <w:t>本期拟建线路东北侧约</w:t>
            </w:r>
            <w:r>
              <w:rPr>
                <w:spacing w:val="-41"/>
              </w:rPr>
              <w:t xml:space="preserve"> </w:t>
            </w:r>
            <w:r>
              <w:rPr>
                <w:rFonts w:ascii="Times New Roman" w:hAnsi="Times New Roman" w:eastAsia="Times New Roman" w:cs="Times New Roman"/>
                <w:spacing w:val="8"/>
              </w:rPr>
              <w:t xml:space="preserve">25m </w:t>
            </w:r>
            <w:r>
              <w:rPr>
                <w:spacing w:val="8"/>
              </w:rPr>
              <w:t>处菜地临时</w:t>
            </w:r>
          </w:p>
          <w:p w14:paraId="468F7BCF">
            <w:pPr>
              <w:pStyle w:val="6"/>
              <w:spacing w:before="25" w:line="218" w:lineRule="auto"/>
              <w:ind w:left="1667"/>
            </w:pPr>
            <w:r>
              <w:rPr>
                <w:spacing w:val="6"/>
              </w:rPr>
              <w:t>看护房</w:t>
            </w:r>
          </w:p>
        </w:tc>
        <w:tc>
          <w:tcPr>
            <w:tcW w:w="1142" w:type="dxa"/>
            <w:vAlign w:val="top"/>
          </w:tcPr>
          <w:p w14:paraId="307912BE">
            <w:pPr>
              <w:spacing w:before="202"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w:t>
            </w:r>
          </w:p>
        </w:tc>
        <w:tc>
          <w:tcPr>
            <w:tcW w:w="975" w:type="dxa"/>
            <w:vAlign w:val="top"/>
          </w:tcPr>
          <w:p w14:paraId="7580F9F5">
            <w:pPr>
              <w:spacing w:before="202"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38</w:t>
            </w:r>
          </w:p>
        </w:tc>
        <w:tc>
          <w:tcPr>
            <w:tcW w:w="832" w:type="dxa"/>
            <w:vAlign w:val="top"/>
          </w:tcPr>
          <w:p w14:paraId="35BE9E06">
            <w:pPr>
              <w:spacing w:before="290" w:line="97"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2" w:type="dxa"/>
            <w:tcBorders>
              <w:top w:val="nil"/>
              <w:bottom w:val="nil"/>
              <w:right w:val="single" w:color="000000" w:sz="6" w:space="0"/>
            </w:tcBorders>
            <w:vAlign w:val="top"/>
          </w:tcPr>
          <w:p w14:paraId="7706561C">
            <w:pPr>
              <w:rPr>
                <w:rFonts w:ascii="Arial"/>
                <w:sz w:val="21"/>
              </w:rPr>
            </w:pPr>
          </w:p>
        </w:tc>
      </w:tr>
      <w:tr w14:paraId="6DB3B7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64" w:type="dxa"/>
            <w:vMerge w:val="continue"/>
            <w:tcBorders>
              <w:top w:val="nil"/>
              <w:left w:val="single" w:color="000000" w:sz="6" w:space="0"/>
              <w:bottom w:val="nil"/>
              <w:right w:val="single" w:color="000000" w:sz="6" w:space="0"/>
            </w:tcBorders>
            <w:vAlign w:val="top"/>
          </w:tcPr>
          <w:p w14:paraId="0E41E7B0">
            <w:pPr>
              <w:rPr>
                <w:rFonts w:ascii="Arial"/>
                <w:sz w:val="21"/>
              </w:rPr>
            </w:pPr>
          </w:p>
        </w:tc>
        <w:tc>
          <w:tcPr>
            <w:tcW w:w="132" w:type="dxa"/>
            <w:tcBorders>
              <w:top w:val="nil"/>
              <w:left w:val="single" w:color="000000" w:sz="6" w:space="0"/>
              <w:bottom w:val="nil"/>
            </w:tcBorders>
            <w:vAlign w:val="top"/>
          </w:tcPr>
          <w:p w14:paraId="4D894D33">
            <w:pPr>
              <w:rPr>
                <w:rFonts w:ascii="Arial"/>
                <w:sz w:val="21"/>
              </w:rPr>
            </w:pPr>
          </w:p>
        </w:tc>
        <w:tc>
          <w:tcPr>
            <w:tcW w:w="883" w:type="dxa"/>
            <w:vAlign w:val="top"/>
          </w:tcPr>
          <w:p w14:paraId="5581DED2">
            <w:pPr>
              <w:spacing w:before="204" w:line="195" w:lineRule="auto"/>
              <w:ind w:left="35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3957" w:type="dxa"/>
            <w:vAlign w:val="top"/>
          </w:tcPr>
          <w:p w14:paraId="691E1458">
            <w:pPr>
              <w:pStyle w:val="6"/>
              <w:spacing w:before="32" w:line="227" w:lineRule="auto"/>
              <w:ind w:left="168"/>
            </w:pPr>
            <w:r>
              <w:rPr>
                <w:spacing w:val="8"/>
              </w:rPr>
              <w:t>本期拟建线路西南侧约</w:t>
            </w:r>
            <w:r>
              <w:rPr>
                <w:spacing w:val="-41"/>
              </w:rPr>
              <w:t xml:space="preserve"> </w:t>
            </w:r>
            <w:r>
              <w:rPr>
                <w:rFonts w:ascii="Times New Roman" w:hAnsi="Times New Roman" w:eastAsia="Times New Roman" w:cs="Times New Roman"/>
                <w:spacing w:val="8"/>
              </w:rPr>
              <w:t xml:space="preserve">25m </w:t>
            </w:r>
            <w:r>
              <w:rPr>
                <w:spacing w:val="8"/>
              </w:rPr>
              <w:t>处菜地临时</w:t>
            </w:r>
          </w:p>
          <w:p w14:paraId="20600F70">
            <w:pPr>
              <w:pStyle w:val="6"/>
              <w:spacing w:before="25" w:line="217" w:lineRule="auto"/>
              <w:ind w:left="1667"/>
            </w:pPr>
            <w:r>
              <w:rPr>
                <w:spacing w:val="6"/>
              </w:rPr>
              <w:t>看护房</w:t>
            </w:r>
          </w:p>
        </w:tc>
        <w:tc>
          <w:tcPr>
            <w:tcW w:w="1142" w:type="dxa"/>
            <w:vAlign w:val="top"/>
          </w:tcPr>
          <w:p w14:paraId="2C876293">
            <w:pPr>
              <w:spacing w:before="204"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w:t>
            </w:r>
          </w:p>
        </w:tc>
        <w:tc>
          <w:tcPr>
            <w:tcW w:w="975" w:type="dxa"/>
            <w:vAlign w:val="top"/>
          </w:tcPr>
          <w:p w14:paraId="36C2E4BB">
            <w:pPr>
              <w:spacing w:before="204"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39</w:t>
            </w:r>
          </w:p>
        </w:tc>
        <w:tc>
          <w:tcPr>
            <w:tcW w:w="832" w:type="dxa"/>
            <w:vAlign w:val="top"/>
          </w:tcPr>
          <w:p w14:paraId="2EBE70FC">
            <w:pPr>
              <w:spacing w:before="293" w:line="97"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2" w:type="dxa"/>
            <w:tcBorders>
              <w:top w:val="nil"/>
              <w:bottom w:val="nil"/>
              <w:right w:val="single" w:color="000000" w:sz="6" w:space="0"/>
            </w:tcBorders>
            <w:vAlign w:val="top"/>
          </w:tcPr>
          <w:p w14:paraId="0CE682C3">
            <w:pPr>
              <w:rPr>
                <w:rFonts w:ascii="Arial"/>
                <w:sz w:val="21"/>
              </w:rPr>
            </w:pPr>
          </w:p>
        </w:tc>
      </w:tr>
      <w:tr w14:paraId="2B2A2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64" w:type="dxa"/>
            <w:vMerge w:val="continue"/>
            <w:tcBorders>
              <w:top w:val="nil"/>
              <w:left w:val="single" w:color="000000" w:sz="6" w:space="0"/>
              <w:bottom w:val="nil"/>
              <w:right w:val="single" w:color="000000" w:sz="6" w:space="0"/>
            </w:tcBorders>
            <w:vAlign w:val="top"/>
          </w:tcPr>
          <w:p w14:paraId="356BF60A">
            <w:pPr>
              <w:rPr>
                <w:rFonts w:ascii="Arial"/>
                <w:sz w:val="21"/>
              </w:rPr>
            </w:pPr>
          </w:p>
        </w:tc>
        <w:tc>
          <w:tcPr>
            <w:tcW w:w="132" w:type="dxa"/>
            <w:tcBorders>
              <w:top w:val="nil"/>
              <w:left w:val="single" w:color="000000" w:sz="6" w:space="0"/>
              <w:bottom w:val="nil"/>
            </w:tcBorders>
            <w:vAlign w:val="top"/>
          </w:tcPr>
          <w:p w14:paraId="7EED1ED1">
            <w:pPr>
              <w:rPr>
                <w:rFonts w:ascii="Arial"/>
                <w:sz w:val="21"/>
              </w:rPr>
            </w:pPr>
          </w:p>
        </w:tc>
        <w:tc>
          <w:tcPr>
            <w:tcW w:w="883" w:type="dxa"/>
            <w:vAlign w:val="top"/>
          </w:tcPr>
          <w:p w14:paraId="0E8D83D4">
            <w:pPr>
              <w:spacing w:before="205" w:line="195" w:lineRule="auto"/>
              <w:ind w:left="35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3957" w:type="dxa"/>
            <w:vAlign w:val="top"/>
          </w:tcPr>
          <w:p w14:paraId="204A8B28">
            <w:pPr>
              <w:pStyle w:val="6"/>
              <w:spacing w:before="32" w:line="227" w:lineRule="auto"/>
              <w:ind w:left="268"/>
            </w:pPr>
            <w:r>
              <w:rPr>
                <w:spacing w:val="6"/>
              </w:rPr>
              <w:t>拟建</w:t>
            </w:r>
            <w:r>
              <w:rPr>
                <w:spacing w:val="-18"/>
              </w:rPr>
              <w:t xml:space="preserve"> </w:t>
            </w: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线路</w:t>
            </w:r>
            <w:r>
              <w:rPr>
                <w:spacing w:val="-39"/>
              </w:rPr>
              <w:t xml:space="preserve"> </w:t>
            </w:r>
            <w:r>
              <w:rPr>
                <w:rFonts w:ascii="Times New Roman" w:hAnsi="Times New Roman" w:eastAsia="Times New Roman" w:cs="Times New Roman"/>
                <w:spacing w:val="6"/>
              </w:rPr>
              <w:t xml:space="preserve">T </w:t>
            </w:r>
            <w:r>
              <w:rPr>
                <w:spacing w:val="6"/>
              </w:rPr>
              <w:t>接芳华变～吉冲变</w:t>
            </w:r>
          </w:p>
          <w:p w14:paraId="3253E008">
            <w:pPr>
              <w:pStyle w:val="6"/>
              <w:spacing w:before="27" w:line="216" w:lineRule="auto"/>
              <w:ind w:left="820"/>
            </w:pP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Ⅱ</w:t>
            </w:r>
            <w:r>
              <w:rPr>
                <w:spacing w:val="5"/>
              </w:rPr>
              <w:t>回线路（</w:t>
            </w:r>
            <w:r>
              <w:rPr>
                <w:rFonts w:ascii="Times New Roman" w:hAnsi="Times New Roman" w:eastAsia="Times New Roman" w:cs="Times New Roman"/>
                <w:spacing w:val="5"/>
              </w:rPr>
              <w:t xml:space="preserve">T </w:t>
            </w:r>
            <w:r>
              <w:rPr>
                <w:spacing w:val="5"/>
              </w:rPr>
              <w:t>接点）</w:t>
            </w:r>
          </w:p>
        </w:tc>
        <w:tc>
          <w:tcPr>
            <w:tcW w:w="1142" w:type="dxa"/>
            <w:vAlign w:val="top"/>
          </w:tcPr>
          <w:p w14:paraId="49219991">
            <w:pPr>
              <w:spacing w:before="205" w:line="195" w:lineRule="auto"/>
              <w:ind w:left="477"/>
              <w:rPr>
                <w:rFonts w:ascii="Times New Roman" w:hAnsi="Times New Roman" w:eastAsia="Times New Roman" w:cs="Times New Roman"/>
                <w:sz w:val="20"/>
                <w:szCs w:val="20"/>
              </w:rPr>
            </w:pPr>
            <w:r>
              <w:rPr>
                <w:rFonts w:ascii="Times New Roman" w:hAnsi="Times New Roman" w:eastAsia="Times New Roman" w:cs="Times New Roman"/>
                <w:sz w:val="20"/>
                <w:szCs w:val="20"/>
              </w:rPr>
              <w:t>51</w:t>
            </w:r>
          </w:p>
        </w:tc>
        <w:tc>
          <w:tcPr>
            <w:tcW w:w="975" w:type="dxa"/>
            <w:vAlign w:val="top"/>
          </w:tcPr>
          <w:p w14:paraId="2D08F9E6">
            <w:pPr>
              <w:spacing w:before="205" w:line="195" w:lineRule="auto"/>
              <w:ind w:left="38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832" w:type="dxa"/>
            <w:vAlign w:val="top"/>
          </w:tcPr>
          <w:p w14:paraId="3BADBD19">
            <w:pPr>
              <w:spacing w:before="293" w:line="97"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42" w:type="dxa"/>
            <w:tcBorders>
              <w:top w:val="nil"/>
              <w:bottom w:val="nil"/>
              <w:right w:val="single" w:color="000000" w:sz="6" w:space="0"/>
            </w:tcBorders>
            <w:vAlign w:val="top"/>
          </w:tcPr>
          <w:p w14:paraId="2C07EF1B">
            <w:pPr>
              <w:rPr>
                <w:rFonts w:ascii="Arial"/>
                <w:sz w:val="21"/>
              </w:rPr>
            </w:pPr>
          </w:p>
        </w:tc>
      </w:tr>
      <w:tr w14:paraId="258D1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 w:hRule="atLeast"/>
        </w:trPr>
        <w:tc>
          <w:tcPr>
            <w:tcW w:w="464" w:type="dxa"/>
            <w:vMerge w:val="continue"/>
            <w:tcBorders>
              <w:top w:val="nil"/>
              <w:left w:val="single" w:color="000000" w:sz="6" w:space="0"/>
              <w:bottom w:val="nil"/>
              <w:right w:val="single" w:color="000000" w:sz="6" w:space="0"/>
            </w:tcBorders>
            <w:vAlign w:val="top"/>
          </w:tcPr>
          <w:p w14:paraId="650E82C6">
            <w:pPr>
              <w:rPr>
                <w:rFonts w:ascii="Arial"/>
                <w:sz w:val="21"/>
              </w:rPr>
            </w:pPr>
          </w:p>
        </w:tc>
        <w:tc>
          <w:tcPr>
            <w:tcW w:w="132" w:type="dxa"/>
            <w:tcBorders>
              <w:top w:val="nil"/>
              <w:left w:val="single" w:color="000000" w:sz="6" w:space="0"/>
              <w:bottom w:val="nil"/>
            </w:tcBorders>
            <w:vAlign w:val="top"/>
          </w:tcPr>
          <w:p w14:paraId="3AE6EE04">
            <w:pPr>
              <w:rPr>
                <w:rFonts w:ascii="Arial"/>
                <w:sz w:val="21"/>
              </w:rPr>
            </w:pPr>
          </w:p>
        </w:tc>
        <w:tc>
          <w:tcPr>
            <w:tcW w:w="883" w:type="dxa"/>
            <w:vAlign w:val="top"/>
          </w:tcPr>
          <w:p w14:paraId="1DFD800A">
            <w:pPr>
              <w:pStyle w:val="6"/>
              <w:spacing w:before="92" w:line="228" w:lineRule="auto"/>
              <w:ind w:left="124"/>
            </w:pPr>
            <w:r>
              <w:rPr>
                <w:spacing w:val="6"/>
              </w:rPr>
              <w:t>补充监</w:t>
            </w:r>
          </w:p>
          <w:p w14:paraId="25C0FA1A">
            <w:pPr>
              <w:pStyle w:val="6"/>
              <w:spacing w:before="23" w:line="229" w:lineRule="auto"/>
              <w:ind w:left="151"/>
              <w:rPr>
                <w:rFonts w:ascii="Times New Roman" w:hAnsi="Times New Roman" w:eastAsia="Times New Roman" w:cs="Times New Roman"/>
              </w:rPr>
            </w:pPr>
            <w:r>
              <w:rPr>
                <w:spacing w:val="2"/>
              </w:rPr>
              <w:t>测点</w:t>
            </w:r>
            <w:r>
              <w:rPr>
                <w:spacing w:val="-31"/>
              </w:rPr>
              <w:t xml:space="preserve"> </w:t>
            </w:r>
            <w:r>
              <w:rPr>
                <w:rFonts w:ascii="Times New Roman" w:hAnsi="Times New Roman" w:eastAsia="Times New Roman" w:cs="Times New Roman"/>
                <w:spacing w:val="2"/>
              </w:rPr>
              <w:t>8</w:t>
            </w:r>
          </w:p>
        </w:tc>
        <w:tc>
          <w:tcPr>
            <w:tcW w:w="3957" w:type="dxa"/>
            <w:vAlign w:val="top"/>
          </w:tcPr>
          <w:p w14:paraId="5DF97DB4">
            <w:pPr>
              <w:pStyle w:val="6"/>
              <w:spacing w:before="151" w:line="227" w:lineRule="auto"/>
              <w:ind w:left="153"/>
            </w:pPr>
            <w:r>
              <w:rPr>
                <w:spacing w:val="5"/>
              </w:rPr>
              <w:t>拟建</w:t>
            </w:r>
            <w:r>
              <w:rPr>
                <w:spacing w:val="-9"/>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接入</w:t>
            </w:r>
            <w:r>
              <w:rPr>
                <w:spacing w:val="-41"/>
              </w:rPr>
              <w:t xml:space="preserve"> </w:t>
            </w:r>
            <w:r>
              <w:rPr>
                <w:rFonts w:ascii="Times New Roman" w:hAnsi="Times New Roman" w:eastAsia="Times New Roman" w:cs="Times New Roman"/>
                <w:spacing w:val="5"/>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5"/>
              </w:rPr>
              <w:t>芳华变线路北侧</w:t>
            </w:r>
          </w:p>
          <w:p w14:paraId="2905A05D">
            <w:pPr>
              <w:pStyle w:val="6"/>
              <w:spacing w:before="25" w:line="217" w:lineRule="auto"/>
              <w:ind w:left="637"/>
            </w:pPr>
            <w:r>
              <w:rPr>
                <w:spacing w:val="5"/>
              </w:rPr>
              <w:t>临时看护房（</w:t>
            </w:r>
            <w:r>
              <w:rPr>
                <w:rFonts w:ascii="Times New Roman" w:hAnsi="Times New Roman" w:eastAsia="Times New Roman" w:cs="Times New Roman"/>
              </w:rPr>
              <w:t>AZ</w:t>
            </w:r>
            <w:r>
              <w:rPr>
                <w:rFonts w:ascii="Times New Roman" w:hAnsi="Times New Roman" w:eastAsia="Times New Roman" w:cs="Times New Roman"/>
                <w:spacing w:val="5"/>
              </w:rPr>
              <w:t>1-</w:t>
            </w:r>
            <w:r>
              <w:rPr>
                <w:rFonts w:ascii="Times New Roman" w:hAnsi="Times New Roman" w:eastAsia="Times New Roman" w:cs="Times New Roman"/>
                <w:spacing w:val="-23"/>
              </w:rPr>
              <w:t xml:space="preserve"> </w:t>
            </w:r>
            <w:r>
              <w:rPr>
                <w:rFonts w:ascii="Times New Roman" w:hAnsi="Times New Roman" w:eastAsia="Times New Roman" w:cs="Times New Roman"/>
                <w:spacing w:val="5"/>
              </w:rPr>
              <w:t xml:space="preserve">1 </w:t>
            </w:r>
            <w:r>
              <w:rPr>
                <w:spacing w:val="5"/>
              </w:rPr>
              <w:t>塔西侧）</w:t>
            </w:r>
          </w:p>
        </w:tc>
        <w:tc>
          <w:tcPr>
            <w:tcW w:w="1142" w:type="dxa"/>
            <w:vAlign w:val="top"/>
          </w:tcPr>
          <w:p w14:paraId="3B0D7751">
            <w:pPr>
              <w:spacing w:before="264"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w:t>
            </w:r>
          </w:p>
        </w:tc>
        <w:tc>
          <w:tcPr>
            <w:tcW w:w="975" w:type="dxa"/>
            <w:vAlign w:val="top"/>
          </w:tcPr>
          <w:p w14:paraId="715A5BA9">
            <w:pPr>
              <w:spacing w:before="264"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39</w:t>
            </w:r>
          </w:p>
        </w:tc>
        <w:tc>
          <w:tcPr>
            <w:tcW w:w="832" w:type="dxa"/>
            <w:vAlign w:val="top"/>
          </w:tcPr>
          <w:p w14:paraId="4B23F202">
            <w:pPr>
              <w:rPr>
                <w:rFonts w:ascii="Arial"/>
                <w:sz w:val="21"/>
              </w:rPr>
            </w:pPr>
          </w:p>
        </w:tc>
        <w:tc>
          <w:tcPr>
            <w:tcW w:w="142" w:type="dxa"/>
            <w:tcBorders>
              <w:top w:val="nil"/>
              <w:bottom w:val="nil"/>
              <w:right w:val="single" w:color="000000" w:sz="6" w:space="0"/>
            </w:tcBorders>
            <w:vAlign w:val="top"/>
          </w:tcPr>
          <w:p w14:paraId="6D64F2FC">
            <w:pPr>
              <w:rPr>
                <w:rFonts w:ascii="Arial"/>
                <w:sz w:val="21"/>
              </w:rPr>
            </w:pPr>
          </w:p>
        </w:tc>
      </w:tr>
      <w:tr w14:paraId="41E19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464" w:type="dxa"/>
            <w:vMerge w:val="continue"/>
            <w:tcBorders>
              <w:top w:val="nil"/>
              <w:left w:val="single" w:color="000000" w:sz="6" w:space="0"/>
              <w:bottom w:val="nil"/>
              <w:right w:val="single" w:color="000000" w:sz="6" w:space="0"/>
            </w:tcBorders>
            <w:vAlign w:val="top"/>
          </w:tcPr>
          <w:p w14:paraId="37AABECB">
            <w:pPr>
              <w:rPr>
                <w:rFonts w:ascii="Arial"/>
                <w:sz w:val="21"/>
              </w:rPr>
            </w:pPr>
          </w:p>
        </w:tc>
        <w:tc>
          <w:tcPr>
            <w:tcW w:w="132" w:type="dxa"/>
            <w:tcBorders>
              <w:top w:val="nil"/>
              <w:left w:val="single" w:color="000000" w:sz="6" w:space="0"/>
              <w:bottom w:val="nil"/>
            </w:tcBorders>
            <w:vAlign w:val="top"/>
          </w:tcPr>
          <w:p w14:paraId="7F25633D">
            <w:pPr>
              <w:rPr>
                <w:rFonts w:ascii="Arial"/>
                <w:sz w:val="21"/>
              </w:rPr>
            </w:pPr>
          </w:p>
        </w:tc>
        <w:tc>
          <w:tcPr>
            <w:tcW w:w="883" w:type="dxa"/>
            <w:vAlign w:val="top"/>
          </w:tcPr>
          <w:p w14:paraId="05D02215">
            <w:pPr>
              <w:pStyle w:val="6"/>
              <w:spacing w:before="93" w:line="228" w:lineRule="auto"/>
              <w:ind w:left="124"/>
            </w:pPr>
            <w:r>
              <w:rPr>
                <w:spacing w:val="6"/>
              </w:rPr>
              <w:t>补充监</w:t>
            </w:r>
          </w:p>
          <w:p w14:paraId="49CC0558">
            <w:pPr>
              <w:pStyle w:val="6"/>
              <w:spacing w:before="23" w:line="229" w:lineRule="auto"/>
              <w:ind w:left="151"/>
              <w:rPr>
                <w:rFonts w:ascii="Times New Roman" w:hAnsi="Times New Roman" w:eastAsia="Times New Roman" w:cs="Times New Roman"/>
              </w:rPr>
            </w:pPr>
            <w:r>
              <w:rPr>
                <w:spacing w:val="2"/>
              </w:rPr>
              <w:t>测点</w:t>
            </w:r>
            <w:r>
              <w:rPr>
                <w:spacing w:val="-35"/>
              </w:rPr>
              <w:t xml:space="preserve"> </w:t>
            </w:r>
            <w:r>
              <w:rPr>
                <w:rFonts w:ascii="Times New Roman" w:hAnsi="Times New Roman" w:eastAsia="Times New Roman" w:cs="Times New Roman"/>
                <w:spacing w:val="2"/>
              </w:rPr>
              <w:t>9</w:t>
            </w:r>
          </w:p>
        </w:tc>
        <w:tc>
          <w:tcPr>
            <w:tcW w:w="3957" w:type="dxa"/>
            <w:vAlign w:val="top"/>
          </w:tcPr>
          <w:p w14:paraId="54EB32CC">
            <w:pPr>
              <w:pStyle w:val="6"/>
              <w:spacing w:before="153" w:line="227" w:lineRule="auto"/>
              <w:ind w:left="153"/>
            </w:pPr>
            <w:r>
              <w:rPr>
                <w:spacing w:val="5"/>
              </w:rPr>
              <w:t>拟建</w:t>
            </w:r>
            <w:r>
              <w:rPr>
                <w:spacing w:val="-9"/>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接入</w:t>
            </w:r>
            <w:r>
              <w:rPr>
                <w:spacing w:val="-41"/>
              </w:rPr>
              <w:t xml:space="preserve"> </w:t>
            </w:r>
            <w:r>
              <w:rPr>
                <w:rFonts w:ascii="Times New Roman" w:hAnsi="Times New Roman" w:eastAsia="Times New Roman" w:cs="Times New Roman"/>
                <w:spacing w:val="5"/>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5"/>
              </w:rPr>
              <w:t>芳华变线路西侧</w:t>
            </w:r>
          </w:p>
          <w:p w14:paraId="755192C9">
            <w:pPr>
              <w:pStyle w:val="6"/>
              <w:spacing w:before="27" w:line="214" w:lineRule="auto"/>
              <w:ind w:left="621"/>
            </w:pPr>
            <w:r>
              <w:rPr>
                <w:spacing w:val="12"/>
              </w:rPr>
              <w:t>临时看护房（</w:t>
            </w:r>
            <w:r>
              <w:rPr>
                <w:rFonts w:ascii="Times New Roman" w:hAnsi="Times New Roman" w:eastAsia="Times New Roman" w:cs="Times New Roman"/>
              </w:rPr>
              <w:t>AZ</w:t>
            </w:r>
            <w:r>
              <w:rPr>
                <w:rFonts w:ascii="Times New Roman" w:hAnsi="Times New Roman" w:eastAsia="Times New Roman" w:cs="Times New Roman"/>
                <w:spacing w:val="12"/>
              </w:rPr>
              <w:t>5</w:t>
            </w:r>
            <w:r>
              <w:rPr>
                <w:spacing w:val="12"/>
              </w:rPr>
              <w:t>塔西南侧）</w:t>
            </w:r>
          </w:p>
        </w:tc>
        <w:tc>
          <w:tcPr>
            <w:tcW w:w="1142" w:type="dxa"/>
            <w:vAlign w:val="top"/>
          </w:tcPr>
          <w:p w14:paraId="496A1CED">
            <w:pPr>
              <w:spacing w:before="266"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w:t>
            </w:r>
          </w:p>
        </w:tc>
        <w:tc>
          <w:tcPr>
            <w:tcW w:w="975" w:type="dxa"/>
            <w:vAlign w:val="top"/>
          </w:tcPr>
          <w:p w14:paraId="16EC8CD0">
            <w:pPr>
              <w:spacing w:before="266"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38</w:t>
            </w:r>
          </w:p>
        </w:tc>
        <w:tc>
          <w:tcPr>
            <w:tcW w:w="832" w:type="dxa"/>
            <w:vAlign w:val="top"/>
          </w:tcPr>
          <w:p w14:paraId="395A8EEA">
            <w:pPr>
              <w:rPr>
                <w:rFonts w:ascii="Arial"/>
                <w:sz w:val="21"/>
              </w:rPr>
            </w:pPr>
          </w:p>
        </w:tc>
        <w:tc>
          <w:tcPr>
            <w:tcW w:w="142" w:type="dxa"/>
            <w:tcBorders>
              <w:top w:val="nil"/>
              <w:bottom w:val="nil"/>
              <w:right w:val="single" w:color="000000" w:sz="6" w:space="0"/>
            </w:tcBorders>
            <w:vAlign w:val="top"/>
          </w:tcPr>
          <w:p w14:paraId="629F546D">
            <w:pPr>
              <w:rPr>
                <w:rFonts w:ascii="Arial"/>
                <w:sz w:val="21"/>
              </w:rPr>
            </w:pPr>
          </w:p>
        </w:tc>
      </w:tr>
      <w:tr w14:paraId="2A0AC3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464" w:type="dxa"/>
            <w:vMerge w:val="continue"/>
            <w:tcBorders>
              <w:top w:val="nil"/>
              <w:left w:val="single" w:color="000000" w:sz="6" w:space="0"/>
              <w:bottom w:val="nil"/>
              <w:right w:val="single" w:color="000000" w:sz="6" w:space="0"/>
            </w:tcBorders>
            <w:vAlign w:val="top"/>
          </w:tcPr>
          <w:p w14:paraId="19B6A84C">
            <w:pPr>
              <w:rPr>
                <w:rFonts w:ascii="Arial"/>
                <w:sz w:val="21"/>
              </w:rPr>
            </w:pPr>
          </w:p>
        </w:tc>
        <w:tc>
          <w:tcPr>
            <w:tcW w:w="132" w:type="dxa"/>
            <w:tcBorders>
              <w:top w:val="nil"/>
              <w:left w:val="single" w:color="000000" w:sz="6" w:space="0"/>
              <w:bottom w:val="nil"/>
            </w:tcBorders>
            <w:vAlign w:val="top"/>
          </w:tcPr>
          <w:p w14:paraId="4A11FC60">
            <w:pPr>
              <w:rPr>
                <w:rFonts w:ascii="Arial"/>
                <w:sz w:val="21"/>
              </w:rPr>
            </w:pPr>
          </w:p>
        </w:tc>
        <w:tc>
          <w:tcPr>
            <w:tcW w:w="883" w:type="dxa"/>
            <w:vAlign w:val="top"/>
          </w:tcPr>
          <w:p w14:paraId="7E853B77">
            <w:pPr>
              <w:pStyle w:val="6"/>
              <w:spacing w:before="229" w:line="255" w:lineRule="auto"/>
              <w:ind w:left="108" w:right="109" w:firstLine="15"/>
              <w:rPr>
                <w:rFonts w:ascii="Times New Roman" w:hAnsi="Times New Roman" w:eastAsia="Times New Roman" w:cs="Times New Roman"/>
              </w:rPr>
            </w:pPr>
            <w:r>
              <w:rPr>
                <w:spacing w:val="6"/>
              </w:rPr>
              <w:t>补充监</w:t>
            </w:r>
            <w:r>
              <w:rPr>
                <w:spacing w:val="-2"/>
              </w:rPr>
              <w:t>测点</w:t>
            </w:r>
            <w:r>
              <w:rPr>
                <w:spacing w:val="-34"/>
              </w:rPr>
              <w:t xml:space="preserve"> </w:t>
            </w:r>
            <w:r>
              <w:rPr>
                <w:rFonts w:ascii="Times New Roman" w:hAnsi="Times New Roman" w:eastAsia="Times New Roman" w:cs="Times New Roman"/>
                <w:spacing w:val="-2"/>
              </w:rPr>
              <w:t>10</w:t>
            </w:r>
          </w:p>
        </w:tc>
        <w:tc>
          <w:tcPr>
            <w:tcW w:w="3957" w:type="dxa"/>
            <w:vAlign w:val="top"/>
          </w:tcPr>
          <w:p w14:paraId="57A11E85">
            <w:pPr>
              <w:pStyle w:val="6"/>
              <w:spacing w:before="156" w:line="227" w:lineRule="auto"/>
              <w:ind w:left="271"/>
            </w:pPr>
            <w:r>
              <w:rPr>
                <w:spacing w:val="5"/>
              </w:rPr>
              <w:t>拟建</w:t>
            </w:r>
            <w:r>
              <w:rPr>
                <w:spacing w:val="-16"/>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16"/>
                <w:w w:val="101"/>
              </w:rPr>
              <w:t xml:space="preserve"> </w:t>
            </w:r>
            <w:r>
              <w:rPr>
                <w:spacing w:val="5"/>
              </w:rPr>
              <w:t>线路</w:t>
            </w:r>
            <w:r>
              <w:rPr>
                <w:spacing w:val="-39"/>
              </w:rPr>
              <w:t xml:space="preserve"> </w:t>
            </w:r>
            <w:r>
              <w:rPr>
                <w:rFonts w:ascii="Times New Roman" w:hAnsi="Times New Roman" w:eastAsia="Times New Roman" w:cs="Times New Roman"/>
                <w:spacing w:val="5"/>
              </w:rPr>
              <w:t xml:space="preserve">T </w:t>
            </w:r>
            <w:r>
              <w:rPr>
                <w:spacing w:val="5"/>
              </w:rPr>
              <w:t>接芳华变～吉冲变</w:t>
            </w:r>
          </w:p>
          <w:p w14:paraId="5F16DABE">
            <w:pPr>
              <w:pStyle w:val="6"/>
              <w:spacing w:before="24" w:line="228" w:lineRule="auto"/>
              <w:ind w:left="124"/>
            </w:pP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Ⅱ</w:t>
            </w:r>
            <w:r>
              <w:rPr>
                <w:spacing w:val="5"/>
              </w:rPr>
              <w:t>回线路西侧临时看护房（</w:t>
            </w:r>
            <w:r>
              <w:rPr>
                <w:rFonts w:ascii="Times New Roman" w:hAnsi="Times New Roman" w:eastAsia="Times New Roman" w:cs="Times New Roman"/>
              </w:rPr>
              <w:t>BZ</w:t>
            </w:r>
            <w:r>
              <w:rPr>
                <w:rFonts w:ascii="Times New Roman" w:hAnsi="Times New Roman" w:eastAsia="Times New Roman" w:cs="Times New Roman"/>
                <w:spacing w:val="5"/>
              </w:rPr>
              <w:t xml:space="preserve">7G </w:t>
            </w:r>
            <w:r>
              <w:rPr>
                <w:spacing w:val="5"/>
              </w:rPr>
              <w:t>塔</w:t>
            </w:r>
          </w:p>
          <w:p w14:paraId="39F0B227">
            <w:pPr>
              <w:pStyle w:val="6"/>
              <w:spacing w:before="25" w:line="214" w:lineRule="auto"/>
              <w:ind w:left="1567"/>
            </w:pPr>
            <w:r>
              <w:rPr>
                <w:spacing w:val="3"/>
              </w:rPr>
              <w:t>西南侧）</w:t>
            </w:r>
          </w:p>
        </w:tc>
        <w:tc>
          <w:tcPr>
            <w:tcW w:w="1142" w:type="dxa"/>
            <w:vAlign w:val="top"/>
          </w:tcPr>
          <w:p w14:paraId="0E3FEA45">
            <w:pPr>
              <w:spacing w:line="343" w:lineRule="auto"/>
              <w:rPr>
                <w:rFonts w:ascii="Arial"/>
                <w:sz w:val="21"/>
              </w:rPr>
            </w:pPr>
          </w:p>
          <w:p w14:paraId="16320551">
            <w:pPr>
              <w:spacing w:before="58"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975" w:type="dxa"/>
            <w:vAlign w:val="top"/>
          </w:tcPr>
          <w:p w14:paraId="60487213">
            <w:pPr>
              <w:spacing w:line="343" w:lineRule="auto"/>
              <w:rPr>
                <w:rFonts w:ascii="Arial"/>
                <w:sz w:val="21"/>
              </w:rPr>
            </w:pPr>
          </w:p>
          <w:p w14:paraId="42CBE35F">
            <w:pPr>
              <w:spacing w:before="58"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36</w:t>
            </w:r>
          </w:p>
        </w:tc>
        <w:tc>
          <w:tcPr>
            <w:tcW w:w="832" w:type="dxa"/>
            <w:vAlign w:val="top"/>
          </w:tcPr>
          <w:p w14:paraId="102B80EF">
            <w:pPr>
              <w:rPr>
                <w:rFonts w:ascii="Arial"/>
                <w:sz w:val="21"/>
              </w:rPr>
            </w:pPr>
          </w:p>
        </w:tc>
        <w:tc>
          <w:tcPr>
            <w:tcW w:w="142" w:type="dxa"/>
            <w:tcBorders>
              <w:top w:val="nil"/>
              <w:bottom w:val="nil"/>
              <w:right w:val="single" w:color="000000" w:sz="6" w:space="0"/>
            </w:tcBorders>
            <w:vAlign w:val="top"/>
          </w:tcPr>
          <w:p w14:paraId="6F810862">
            <w:pPr>
              <w:rPr>
                <w:rFonts w:ascii="Arial"/>
                <w:sz w:val="21"/>
              </w:rPr>
            </w:pPr>
          </w:p>
        </w:tc>
      </w:tr>
      <w:tr w14:paraId="258CFA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464" w:type="dxa"/>
            <w:vMerge w:val="continue"/>
            <w:tcBorders>
              <w:top w:val="nil"/>
              <w:left w:val="single" w:color="000000" w:sz="6" w:space="0"/>
              <w:bottom w:val="nil"/>
              <w:right w:val="single" w:color="000000" w:sz="6" w:space="0"/>
            </w:tcBorders>
            <w:vAlign w:val="top"/>
          </w:tcPr>
          <w:p w14:paraId="13E0F0D1">
            <w:pPr>
              <w:rPr>
                <w:rFonts w:ascii="Arial"/>
                <w:sz w:val="21"/>
              </w:rPr>
            </w:pPr>
          </w:p>
        </w:tc>
        <w:tc>
          <w:tcPr>
            <w:tcW w:w="132" w:type="dxa"/>
            <w:tcBorders>
              <w:top w:val="nil"/>
              <w:left w:val="single" w:color="000000" w:sz="6" w:space="0"/>
              <w:bottom w:val="nil"/>
            </w:tcBorders>
            <w:vAlign w:val="top"/>
          </w:tcPr>
          <w:p w14:paraId="5C54C127">
            <w:pPr>
              <w:rPr>
                <w:rFonts w:ascii="Arial"/>
                <w:sz w:val="21"/>
              </w:rPr>
            </w:pPr>
          </w:p>
        </w:tc>
        <w:tc>
          <w:tcPr>
            <w:tcW w:w="883" w:type="dxa"/>
            <w:vAlign w:val="top"/>
          </w:tcPr>
          <w:p w14:paraId="0E64719C">
            <w:pPr>
              <w:pStyle w:val="6"/>
              <w:spacing w:before="96" w:line="252" w:lineRule="auto"/>
              <w:ind w:left="108" w:right="107" w:firstLine="15"/>
              <w:rPr>
                <w:rFonts w:ascii="Times New Roman" w:hAnsi="Times New Roman" w:eastAsia="Times New Roman" w:cs="Times New Roman"/>
              </w:rPr>
            </w:pPr>
            <w:r>
              <w:rPr>
                <w:spacing w:val="6"/>
              </w:rPr>
              <w:t>补充监</w:t>
            </w:r>
            <w:r>
              <w:rPr>
                <w:spacing w:val="-3"/>
              </w:rPr>
              <w:t>测点</w:t>
            </w:r>
            <w:r>
              <w:rPr>
                <w:spacing w:val="-28"/>
              </w:rPr>
              <w:t xml:space="preserve"> </w:t>
            </w:r>
            <w:r>
              <w:rPr>
                <w:rFonts w:ascii="Times New Roman" w:hAnsi="Times New Roman" w:eastAsia="Times New Roman" w:cs="Times New Roman"/>
                <w:spacing w:val="-3"/>
              </w:rPr>
              <w:t>11</w:t>
            </w:r>
          </w:p>
        </w:tc>
        <w:tc>
          <w:tcPr>
            <w:tcW w:w="3957" w:type="dxa"/>
            <w:vAlign w:val="top"/>
          </w:tcPr>
          <w:p w14:paraId="01327BC8">
            <w:pPr>
              <w:pStyle w:val="6"/>
              <w:spacing w:before="155" w:line="227" w:lineRule="auto"/>
              <w:ind w:left="153"/>
            </w:pPr>
            <w:r>
              <w:rPr>
                <w:spacing w:val="5"/>
              </w:rPr>
              <w:t>拟建</w:t>
            </w:r>
            <w:r>
              <w:rPr>
                <w:spacing w:val="-9"/>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接入</w:t>
            </w:r>
            <w:r>
              <w:rPr>
                <w:spacing w:val="-41"/>
              </w:rPr>
              <w:t xml:space="preserve"> </w:t>
            </w:r>
            <w:r>
              <w:rPr>
                <w:rFonts w:ascii="Times New Roman" w:hAnsi="Times New Roman" w:eastAsia="Times New Roman" w:cs="Times New Roman"/>
                <w:spacing w:val="5"/>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5"/>
              </w:rPr>
              <w:t>芳华变线路北侧</w:t>
            </w:r>
          </w:p>
          <w:p w14:paraId="3A6B94DA">
            <w:pPr>
              <w:pStyle w:val="6"/>
              <w:spacing w:before="27" w:line="212" w:lineRule="auto"/>
              <w:ind w:left="508"/>
            </w:pPr>
            <w:r>
              <w:rPr>
                <w:spacing w:val="7"/>
              </w:rPr>
              <w:t>临时看护房（</w:t>
            </w:r>
            <w:r>
              <w:rPr>
                <w:rFonts w:ascii="Times New Roman" w:hAnsi="Times New Roman" w:eastAsia="Times New Roman" w:cs="Times New Roman"/>
              </w:rPr>
              <w:t>AZ</w:t>
            </w:r>
            <w:r>
              <w:rPr>
                <w:rFonts w:ascii="Times New Roman" w:hAnsi="Times New Roman" w:eastAsia="Times New Roman" w:cs="Times New Roman"/>
                <w:spacing w:val="7"/>
              </w:rPr>
              <w:t xml:space="preserve">7+1 </w:t>
            </w:r>
            <w:r>
              <w:rPr>
                <w:spacing w:val="7"/>
              </w:rPr>
              <w:t>塔东南侧）</w:t>
            </w:r>
          </w:p>
        </w:tc>
        <w:tc>
          <w:tcPr>
            <w:tcW w:w="1142" w:type="dxa"/>
            <w:vAlign w:val="top"/>
          </w:tcPr>
          <w:p w14:paraId="2D8A4047">
            <w:pPr>
              <w:spacing w:before="268"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w:t>
            </w:r>
          </w:p>
        </w:tc>
        <w:tc>
          <w:tcPr>
            <w:tcW w:w="975" w:type="dxa"/>
            <w:vAlign w:val="top"/>
          </w:tcPr>
          <w:p w14:paraId="71580D41">
            <w:pPr>
              <w:spacing w:before="268" w:line="195" w:lineRule="auto"/>
              <w:ind w:left="392"/>
              <w:rPr>
                <w:rFonts w:ascii="Times New Roman" w:hAnsi="Times New Roman" w:eastAsia="Times New Roman" w:cs="Times New Roman"/>
                <w:sz w:val="20"/>
                <w:szCs w:val="20"/>
              </w:rPr>
            </w:pPr>
            <w:r>
              <w:rPr>
                <w:rFonts w:ascii="Times New Roman" w:hAnsi="Times New Roman" w:eastAsia="Times New Roman" w:cs="Times New Roman"/>
                <w:sz w:val="20"/>
                <w:szCs w:val="20"/>
              </w:rPr>
              <w:t>38</w:t>
            </w:r>
          </w:p>
        </w:tc>
        <w:tc>
          <w:tcPr>
            <w:tcW w:w="832" w:type="dxa"/>
            <w:vAlign w:val="top"/>
          </w:tcPr>
          <w:p w14:paraId="46A3B66E">
            <w:pPr>
              <w:rPr>
                <w:rFonts w:ascii="Arial"/>
                <w:sz w:val="21"/>
              </w:rPr>
            </w:pPr>
          </w:p>
        </w:tc>
        <w:tc>
          <w:tcPr>
            <w:tcW w:w="142" w:type="dxa"/>
            <w:tcBorders>
              <w:top w:val="nil"/>
              <w:bottom w:val="nil"/>
              <w:right w:val="single" w:color="000000" w:sz="6" w:space="0"/>
            </w:tcBorders>
            <w:vAlign w:val="top"/>
          </w:tcPr>
          <w:p w14:paraId="50A6B3A1">
            <w:pPr>
              <w:rPr>
                <w:rFonts w:ascii="Arial"/>
                <w:sz w:val="21"/>
              </w:rPr>
            </w:pPr>
          </w:p>
        </w:tc>
      </w:tr>
      <w:tr w14:paraId="2C8D5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 w:hRule="atLeast"/>
        </w:trPr>
        <w:tc>
          <w:tcPr>
            <w:tcW w:w="464" w:type="dxa"/>
            <w:vMerge w:val="continue"/>
            <w:tcBorders>
              <w:top w:val="nil"/>
              <w:left w:val="single" w:color="000000" w:sz="6" w:space="0"/>
              <w:bottom w:val="nil"/>
              <w:right w:val="single" w:color="000000" w:sz="6" w:space="0"/>
            </w:tcBorders>
            <w:vAlign w:val="top"/>
          </w:tcPr>
          <w:p w14:paraId="13225BA6">
            <w:pPr>
              <w:rPr>
                <w:rFonts w:ascii="Arial"/>
                <w:sz w:val="21"/>
              </w:rPr>
            </w:pPr>
          </w:p>
        </w:tc>
        <w:tc>
          <w:tcPr>
            <w:tcW w:w="132" w:type="dxa"/>
            <w:tcBorders>
              <w:top w:val="nil"/>
              <w:left w:val="single" w:color="000000" w:sz="6" w:space="0"/>
              <w:bottom w:val="nil"/>
            </w:tcBorders>
            <w:vAlign w:val="top"/>
          </w:tcPr>
          <w:p w14:paraId="78216A69">
            <w:pPr>
              <w:rPr>
                <w:rFonts w:ascii="Arial"/>
                <w:sz w:val="21"/>
              </w:rPr>
            </w:pPr>
          </w:p>
        </w:tc>
        <w:tc>
          <w:tcPr>
            <w:tcW w:w="883" w:type="dxa"/>
            <w:vMerge w:val="restart"/>
            <w:tcBorders>
              <w:bottom w:val="nil"/>
            </w:tcBorders>
            <w:vAlign w:val="top"/>
          </w:tcPr>
          <w:p w14:paraId="338894E7">
            <w:pPr>
              <w:spacing w:line="304" w:lineRule="auto"/>
              <w:rPr>
                <w:rFonts w:ascii="Arial"/>
                <w:sz w:val="21"/>
              </w:rPr>
            </w:pPr>
          </w:p>
          <w:p w14:paraId="252C1517">
            <w:pPr>
              <w:pStyle w:val="6"/>
              <w:spacing w:before="65" w:line="255" w:lineRule="auto"/>
              <w:ind w:left="108" w:right="109" w:firstLine="15"/>
              <w:rPr>
                <w:rFonts w:ascii="Times New Roman" w:hAnsi="Times New Roman" w:eastAsia="Times New Roman" w:cs="Times New Roman"/>
              </w:rPr>
            </w:pPr>
            <w:r>
              <w:rPr>
                <w:spacing w:val="6"/>
              </w:rPr>
              <w:t>补充监</w:t>
            </w:r>
            <w:r>
              <w:rPr>
                <w:spacing w:val="-2"/>
              </w:rPr>
              <w:t>测点</w:t>
            </w:r>
            <w:r>
              <w:rPr>
                <w:spacing w:val="-34"/>
              </w:rPr>
              <w:t xml:space="preserve"> </w:t>
            </w:r>
            <w:r>
              <w:rPr>
                <w:rFonts w:ascii="Times New Roman" w:hAnsi="Times New Roman" w:eastAsia="Times New Roman" w:cs="Times New Roman"/>
                <w:spacing w:val="-2"/>
              </w:rPr>
              <w:t>12</w:t>
            </w:r>
          </w:p>
        </w:tc>
        <w:tc>
          <w:tcPr>
            <w:tcW w:w="3957" w:type="dxa"/>
            <w:vAlign w:val="top"/>
          </w:tcPr>
          <w:p w14:paraId="3985355D">
            <w:pPr>
              <w:pStyle w:val="6"/>
              <w:spacing w:before="155" w:line="232" w:lineRule="auto"/>
              <w:ind w:left="182" w:right="151" w:hanging="29"/>
            </w:pPr>
            <w:r>
              <w:rPr>
                <w:spacing w:val="5"/>
              </w:rPr>
              <w:t>拟建</w:t>
            </w:r>
            <w:r>
              <w:rPr>
                <w:spacing w:val="-9"/>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接入</w:t>
            </w:r>
            <w:r>
              <w:rPr>
                <w:spacing w:val="-41"/>
              </w:rPr>
              <w:t xml:space="preserve"> </w:t>
            </w:r>
            <w:r>
              <w:rPr>
                <w:rFonts w:ascii="Times New Roman" w:hAnsi="Times New Roman" w:eastAsia="Times New Roman" w:cs="Times New Roman"/>
                <w:spacing w:val="5"/>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5"/>
              </w:rPr>
              <w:t>芳华变线路东侧</w:t>
            </w:r>
            <w:r>
              <w:rPr>
                <w:spacing w:val="11"/>
              </w:rPr>
              <w:t>新华村居民楼一层（</w:t>
            </w:r>
            <w:r>
              <w:rPr>
                <w:rFonts w:ascii="Times New Roman" w:hAnsi="Times New Roman" w:eastAsia="Times New Roman" w:cs="Times New Roman"/>
              </w:rPr>
              <w:t>AZ</w:t>
            </w:r>
            <w:r>
              <w:rPr>
                <w:rFonts w:ascii="Times New Roman" w:hAnsi="Times New Roman" w:eastAsia="Times New Roman" w:cs="Times New Roman"/>
                <w:spacing w:val="11"/>
              </w:rPr>
              <w:t>7+1</w:t>
            </w:r>
            <w:r>
              <w:rPr>
                <w:spacing w:val="11"/>
              </w:rPr>
              <w:t>塔东南侧）</w:t>
            </w:r>
          </w:p>
        </w:tc>
        <w:tc>
          <w:tcPr>
            <w:tcW w:w="1142" w:type="dxa"/>
            <w:vAlign w:val="top"/>
          </w:tcPr>
          <w:p w14:paraId="0B47E0C5">
            <w:pPr>
              <w:spacing w:before="268"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w:t>
            </w:r>
          </w:p>
        </w:tc>
        <w:tc>
          <w:tcPr>
            <w:tcW w:w="975" w:type="dxa"/>
            <w:vAlign w:val="top"/>
          </w:tcPr>
          <w:p w14:paraId="06A7CF09">
            <w:pPr>
              <w:spacing w:before="268" w:line="195" w:lineRule="auto"/>
              <w:ind w:left="38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832" w:type="dxa"/>
            <w:vAlign w:val="top"/>
          </w:tcPr>
          <w:p w14:paraId="522C7773">
            <w:pPr>
              <w:rPr>
                <w:rFonts w:ascii="Arial"/>
                <w:sz w:val="21"/>
              </w:rPr>
            </w:pPr>
          </w:p>
        </w:tc>
        <w:tc>
          <w:tcPr>
            <w:tcW w:w="142" w:type="dxa"/>
            <w:tcBorders>
              <w:top w:val="nil"/>
              <w:bottom w:val="nil"/>
              <w:right w:val="single" w:color="000000" w:sz="6" w:space="0"/>
            </w:tcBorders>
            <w:vAlign w:val="top"/>
          </w:tcPr>
          <w:p w14:paraId="7EFE1F24">
            <w:pPr>
              <w:rPr>
                <w:rFonts w:ascii="Arial"/>
                <w:sz w:val="21"/>
              </w:rPr>
            </w:pPr>
          </w:p>
        </w:tc>
      </w:tr>
      <w:tr w14:paraId="4FCF3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464" w:type="dxa"/>
            <w:vMerge w:val="continue"/>
            <w:tcBorders>
              <w:top w:val="nil"/>
              <w:left w:val="single" w:color="000000" w:sz="6" w:space="0"/>
              <w:bottom w:val="nil"/>
              <w:right w:val="single" w:color="000000" w:sz="6" w:space="0"/>
            </w:tcBorders>
            <w:vAlign w:val="top"/>
          </w:tcPr>
          <w:p w14:paraId="191D7993">
            <w:pPr>
              <w:rPr>
                <w:rFonts w:ascii="Arial"/>
                <w:sz w:val="21"/>
              </w:rPr>
            </w:pPr>
          </w:p>
        </w:tc>
        <w:tc>
          <w:tcPr>
            <w:tcW w:w="132" w:type="dxa"/>
            <w:tcBorders>
              <w:top w:val="nil"/>
              <w:left w:val="single" w:color="000000" w:sz="6" w:space="0"/>
              <w:bottom w:val="nil"/>
            </w:tcBorders>
            <w:vAlign w:val="top"/>
          </w:tcPr>
          <w:p w14:paraId="109B1041">
            <w:pPr>
              <w:rPr>
                <w:rFonts w:ascii="Arial"/>
                <w:sz w:val="21"/>
              </w:rPr>
            </w:pPr>
          </w:p>
        </w:tc>
        <w:tc>
          <w:tcPr>
            <w:tcW w:w="883" w:type="dxa"/>
            <w:vMerge w:val="continue"/>
            <w:tcBorders>
              <w:top w:val="nil"/>
            </w:tcBorders>
            <w:vAlign w:val="top"/>
          </w:tcPr>
          <w:p w14:paraId="730B2394">
            <w:pPr>
              <w:rPr>
                <w:rFonts w:ascii="Arial"/>
                <w:sz w:val="21"/>
              </w:rPr>
            </w:pPr>
          </w:p>
        </w:tc>
        <w:tc>
          <w:tcPr>
            <w:tcW w:w="3957" w:type="dxa"/>
            <w:vAlign w:val="top"/>
          </w:tcPr>
          <w:p w14:paraId="6ADEF32B">
            <w:pPr>
              <w:pStyle w:val="6"/>
              <w:spacing w:before="37" w:line="232" w:lineRule="auto"/>
              <w:ind w:left="182" w:right="151" w:hanging="29"/>
            </w:pPr>
            <w:r>
              <w:rPr>
                <w:spacing w:val="5"/>
              </w:rPr>
              <w:t>拟建</w:t>
            </w:r>
            <w:r>
              <w:rPr>
                <w:spacing w:val="-9"/>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接入</w:t>
            </w:r>
            <w:r>
              <w:rPr>
                <w:spacing w:val="-41"/>
              </w:rPr>
              <w:t xml:space="preserve"> </w:t>
            </w:r>
            <w:r>
              <w:rPr>
                <w:rFonts w:ascii="Times New Roman" w:hAnsi="Times New Roman" w:eastAsia="Times New Roman" w:cs="Times New Roman"/>
                <w:spacing w:val="5"/>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5"/>
              </w:rPr>
              <w:t>芳华变线路东侧</w:t>
            </w:r>
            <w:r>
              <w:rPr>
                <w:spacing w:val="11"/>
              </w:rPr>
              <w:t>新华村居民楼三层（</w:t>
            </w:r>
            <w:r>
              <w:rPr>
                <w:rFonts w:ascii="Times New Roman" w:hAnsi="Times New Roman" w:eastAsia="Times New Roman" w:cs="Times New Roman"/>
              </w:rPr>
              <w:t>AZ</w:t>
            </w:r>
            <w:r>
              <w:rPr>
                <w:rFonts w:ascii="Times New Roman" w:hAnsi="Times New Roman" w:eastAsia="Times New Roman" w:cs="Times New Roman"/>
                <w:spacing w:val="11"/>
              </w:rPr>
              <w:t>7+1</w:t>
            </w:r>
            <w:r>
              <w:rPr>
                <w:spacing w:val="11"/>
              </w:rPr>
              <w:t>塔东南侧）</w:t>
            </w:r>
          </w:p>
        </w:tc>
        <w:tc>
          <w:tcPr>
            <w:tcW w:w="1142" w:type="dxa"/>
            <w:vAlign w:val="top"/>
          </w:tcPr>
          <w:p w14:paraId="2F6AD766">
            <w:pPr>
              <w:spacing w:before="210"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975" w:type="dxa"/>
            <w:vAlign w:val="top"/>
          </w:tcPr>
          <w:p w14:paraId="4BC3672A">
            <w:pPr>
              <w:spacing w:before="210" w:line="195" w:lineRule="auto"/>
              <w:ind w:left="38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c>
          <w:tcPr>
            <w:tcW w:w="832" w:type="dxa"/>
            <w:vAlign w:val="top"/>
          </w:tcPr>
          <w:p w14:paraId="5C5B5D1C">
            <w:pPr>
              <w:rPr>
                <w:rFonts w:ascii="Arial"/>
                <w:sz w:val="21"/>
              </w:rPr>
            </w:pPr>
          </w:p>
        </w:tc>
        <w:tc>
          <w:tcPr>
            <w:tcW w:w="142" w:type="dxa"/>
            <w:tcBorders>
              <w:top w:val="nil"/>
              <w:bottom w:val="nil"/>
              <w:right w:val="single" w:color="000000" w:sz="6" w:space="0"/>
            </w:tcBorders>
            <w:vAlign w:val="top"/>
          </w:tcPr>
          <w:p w14:paraId="2DB2E85F">
            <w:pPr>
              <w:rPr>
                <w:rFonts w:ascii="Arial"/>
                <w:sz w:val="21"/>
              </w:rPr>
            </w:pPr>
          </w:p>
        </w:tc>
      </w:tr>
      <w:tr w14:paraId="03E66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79" w:hRule="atLeast"/>
        </w:trPr>
        <w:tc>
          <w:tcPr>
            <w:tcW w:w="464" w:type="dxa"/>
            <w:vMerge w:val="continue"/>
            <w:tcBorders>
              <w:top w:val="nil"/>
              <w:left w:val="single" w:color="000000" w:sz="6" w:space="0"/>
              <w:bottom w:val="single" w:color="000000" w:sz="6" w:space="0"/>
              <w:right w:val="single" w:color="000000" w:sz="6" w:space="0"/>
            </w:tcBorders>
            <w:vAlign w:val="top"/>
          </w:tcPr>
          <w:p w14:paraId="2E0B6F3D">
            <w:pPr>
              <w:rPr>
                <w:rFonts w:ascii="Arial"/>
                <w:sz w:val="21"/>
              </w:rPr>
            </w:pPr>
          </w:p>
        </w:tc>
        <w:tc>
          <w:tcPr>
            <w:tcW w:w="8063" w:type="dxa"/>
            <w:gridSpan w:val="7"/>
            <w:tcBorders>
              <w:left w:val="single" w:color="000000" w:sz="6" w:space="0"/>
              <w:bottom w:val="single" w:color="000000" w:sz="6" w:space="0"/>
              <w:right w:val="single" w:color="000000" w:sz="6" w:space="0"/>
            </w:tcBorders>
            <w:vAlign w:val="top"/>
          </w:tcPr>
          <w:p w14:paraId="7C116B4C">
            <w:pPr>
              <w:pStyle w:val="6"/>
              <w:spacing w:before="42" w:line="219" w:lineRule="auto"/>
              <w:ind w:left="583"/>
              <w:rPr>
                <w:sz w:val="24"/>
                <w:szCs w:val="24"/>
              </w:rPr>
            </w:pPr>
            <w:r>
              <w:rPr>
                <w:spacing w:val="-1"/>
                <w:sz w:val="24"/>
                <w:szCs w:val="24"/>
              </w:rPr>
              <w:t>据上表监测数据，</w:t>
            </w:r>
            <w:r>
              <w:rPr>
                <w:rFonts w:ascii="Times New Roman" w:hAnsi="Times New Roman" w:eastAsia="Times New Roman" w:cs="Times New Roman"/>
                <w:spacing w:val="-1"/>
                <w:sz w:val="24"/>
                <w:szCs w:val="24"/>
              </w:rPr>
              <w:t xml:space="preserve">110kV </w:t>
            </w:r>
            <w:r>
              <w:rPr>
                <w:spacing w:val="-1"/>
                <w:sz w:val="24"/>
                <w:szCs w:val="24"/>
              </w:rPr>
              <w:t>松山输变电工程区域昼间噪声监测值为</w:t>
            </w:r>
          </w:p>
          <w:p w14:paraId="67DF2AD1">
            <w:pPr>
              <w:pStyle w:val="6"/>
              <w:spacing w:before="181" w:line="359" w:lineRule="auto"/>
              <w:ind w:left="107" w:right="22" w:hanging="3"/>
              <w:rPr>
                <w:sz w:val="24"/>
                <w:szCs w:val="24"/>
              </w:rPr>
            </w:pPr>
            <w:r>
              <w:rPr>
                <w:rFonts w:ascii="Times New Roman" w:hAnsi="Times New Roman" w:eastAsia="Times New Roman" w:cs="Times New Roman"/>
                <w:spacing w:val="-3"/>
                <w:sz w:val="24"/>
                <w:szCs w:val="24"/>
              </w:rPr>
              <w:t>38~51dB</w:t>
            </w:r>
            <w:r>
              <w:rPr>
                <w:spacing w:val="-3"/>
                <w:sz w:val="24"/>
                <w:szCs w:val="24"/>
              </w:rPr>
              <w:t>（</w:t>
            </w:r>
            <w:r>
              <w:rPr>
                <w:rFonts w:ascii="Times New Roman" w:hAnsi="Times New Roman" w:eastAsia="Times New Roman" w:cs="Times New Roman"/>
                <w:spacing w:val="-3"/>
                <w:sz w:val="24"/>
                <w:szCs w:val="24"/>
              </w:rPr>
              <w:t>A</w:t>
            </w:r>
            <w:r>
              <w:rPr>
                <w:spacing w:val="-2"/>
                <w:sz w:val="24"/>
                <w:szCs w:val="24"/>
              </w:rPr>
              <w:t>），</w:t>
            </w:r>
            <w:r>
              <w:rPr>
                <w:spacing w:val="-3"/>
                <w:sz w:val="24"/>
                <w:szCs w:val="24"/>
              </w:rPr>
              <w:t>夜间噪声监测值为</w:t>
            </w:r>
            <w:r>
              <w:rPr>
                <w:spacing w:val="-49"/>
                <w:sz w:val="24"/>
                <w:szCs w:val="24"/>
              </w:rPr>
              <w:t xml:space="preserve"> </w:t>
            </w:r>
            <w:r>
              <w:rPr>
                <w:rFonts w:ascii="Times New Roman" w:hAnsi="Times New Roman" w:eastAsia="Times New Roman" w:cs="Times New Roman"/>
                <w:spacing w:val="-3"/>
                <w:sz w:val="24"/>
                <w:szCs w:val="24"/>
              </w:rPr>
              <w:t>35~40dB</w:t>
            </w:r>
            <w:r>
              <w:rPr>
                <w:spacing w:val="-3"/>
                <w:sz w:val="24"/>
                <w:szCs w:val="24"/>
              </w:rPr>
              <w:t>（</w:t>
            </w:r>
            <w:r>
              <w:rPr>
                <w:rFonts w:ascii="Times New Roman" w:hAnsi="Times New Roman" w:eastAsia="Times New Roman" w:cs="Times New Roman"/>
                <w:spacing w:val="-3"/>
                <w:sz w:val="24"/>
                <w:szCs w:val="24"/>
              </w:rPr>
              <w:t>A</w:t>
            </w:r>
            <w:r>
              <w:rPr>
                <w:spacing w:val="-3"/>
                <w:sz w:val="24"/>
                <w:szCs w:val="24"/>
              </w:rPr>
              <w:t>）。项目所在区域昼间、夜声环境现状值均能满足《声环境质量标准》（</w:t>
            </w:r>
            <w:r>
              <w:rPr>
                <w:rFonts w:ascii="Times New Roman" w:hAnsi="Times New Roman" w:eastAsia="Times New Roman" w:cs="Times New Roman"/>
                <w:spacing w:val="-3"/>
                <w:sz w:val="24"/>
                <w:szCs w:val="24"/>
              </w:rPr>
              <w:t>GB3096-2008</w:t>
            </w:r>
            <w:r>
              <w:rPr>
                <w:spacing w:val="-3"/>
                <w:sz w:val="24"/>
                <w:szCs w:val="24"/>
              </w:rPr>
              <w:t>）</w:t>
            </w:r>
            <w:r>
              <w:rPr>
                <w:rFonts w:ascii="Times New Roman" w:hAnsi="Times New Roman" w:eastAsia="Times New Roman" w:cs="Times New Roman"/>
                <w:spacing w:val="-3"/>
                <w:sz w:val="24"/>
                <w:szCs w:val="24"/>
              </w:rPr>
              <w:t xml:space="preserve">1 </w:t>
            </w:r>
            <w:r>
              <w:rPr>
                <w:spacing w:val="-3"/>
                <w:sz w:val="24"/>
                <w:szCs w:val="24"/>
              </w:rPr>
              <w:t>类标准要求。</w:t>
            </w:r>
            <w:r>
              <w:rPr>
                <w:spacing w:val="-2"/>
                <w:sz w:val="24"/>
                <w:szCs w:val="24"/>
              </w:rPr>
              <w:t>项目区声环境质量现状较好。</w:t>
            </w:r>
          </w:p>
          <w:p w14:paraId="5A09DC6A">
            <w:pPr>
              <w:pStyle w:val="6"/>
              <w:spacing w:line="219" w:lineRule="auto"/>
              <w:ind w:left="102"/>
              <w:rPr>
                <w:sz w:val="24"/>
                <w:szCs w:val="24"/>
              </w:rPr>
            </w:pPr>
            <w:r>
              <w:rPr>
                <w:rFonts w:ascii="Times New Roman" w:hAnsi="Times New Roman" w:eastAsia="Times New Roman" w:cs="Times New Roman"/>
                <w:b/>
                <w:bCs/>
                <w:spacing w:val="-6"/>
                <w:sz w:val="24"/>
                <w:szCs w:val="24"/>
              </w:rPr>
              <w:t>5</w:t>
            </w:r>
            <w:r>
              <w:rPr>
                <w:rFonts w:ascii="Times New Roman" w:hAnsi="Times New Roman" w:eastAsia="Times New Roman" w:cs="Times New Roman"/>
                <w:b/>
                <w:bCs/>
                <w:spacing w:val="-34"/>
                <w:sz w:val="24"/>
                <w:szCs w:val="24"/>
              </w:rPr>
              <w:t xml:space="preserve"> </w:t>
            </w:r>
            <w:r>
              <w:rPr>
                <w:b/>
                <w:bCs/>
                <w:spacing w:val="-6"/>
                <w:sz w:val="24"/>
                <w:szCs w:val="24"/>
              </w:rPr>
              <w:t>、电磁环境现状</w:t>
            </w:r>
          </w:p>
          <w:p w14:paraId="14DB7E95">
            <w:pPr>
              <w:pStyle w:val="6"/>
              <w:spacing w:before="183" w:line="359" w:lineRule="auto"/>
              <w:ind w:left="103" w:right="103" w:firstLine="480"/>
              <w:rPr>
                <w:sz w:val="24"/>
                <w:szCs w:val="24"/>
              </w:rPr>
            </w:pPr>
            <w:r>
              <w:rPr>
                <w:spacing w:val="-2"/>
                <w:sz w:val="24"/>
                <w:szCs w:val="24"/>
              </w:rPr>
              <w:t>根据《</w:t>
            </w:r>
            <w:r>
              <w:rPr>
                <w:rFonts w:ascii="Times New Roman" w:hAnsi="Times New Roman" w:eastAsia="Times New Roman" w:cs="Times New Roman"/>
                <w:spacing w:val="-2"/>
                <w:sz w:val="24"/>
                <w:szCs w:val="24"/>
              </w:rPr>
              <w:t xml:space="preserve">110kV </w:t>
            </w:r>
            <w:r>
              <w:rPr>
                <w:spacing w:val="-2"/>
                <w:sz w:val="24"/>
                <w:szCs w:val="24"/>
              </w:rPr>
              <w:t>松山输变电工程电磁环境影响专题评价》中</w:t>
            </w:r>
            <w:r>
              <w:rPr>
                <w:spacing w:val="-3"/>
                <w:sz w:val="24"/>
                <w:szCs w:val="24"/>
              </w:rPr>
              <w:t>电磁环境现状</w:t>
            </w:r>
            <w:r>
              <w:rPr>
                <w:spacing w:val="-2"/>
                <w:sz w:val="24"/>
                <w:szCs w:val="24"/>
              </w:rPr>
              <w:t>评价，结论如下：</w:t>
            </w:r>
          </w:p>
          <w:p w14:paraId="552AF608">
            <w:pPr>
              <w:pStyle w:val="6"/>
              <w:spacing w:line="359" w:lineRule="auto"/>
              <w:ind w:left="107" w:right="103" w:firstLine="475"/>
              <w:jc w:val="both"/>
              <w:rPr>
                <w:sz w:val="24"/>
                <w:szCs w:val="24"/>
              </w:rPr>
            </w:pPr>
            <w:r>
              <w:rPr>
                <w:rFonts w:ascii="Times New Roman" w:hAnsi="Times New Roman" w:eastAsia="Times New Roman" w:cs="Times New Roman"/>
                <w:sz w:val="24"/>
                <w:szCs w:val="24"/>
              </w:rPr>
              <w:t xml:space="preserve">a  </w:t>
            </w:r>
            <w:r>
              <w:rPr>
                <w:sz w:val="24"/>
                <w:szCs w:val="24"/>
              </w:rPr>
              <w:t>拟建</w:t>
            </w:r>
            <w:r>
              <w:rPr>
                <w:spacing w:val="-26"/>
                <w:sz w:val="24"/>
                <w:szCs w:val="24"/>
              </w:rPr>
              <w:t xml:space="preserve"> </w:t>
            </w:r>
            <w:r>
              <w:rPr>
                <w:rFonts w:ascii="Times New Roman" w:hAnsi="Times New Roman" w:eastAsia="Times New Roman" w:cs="Times New Roman"/>
                <w:sz w:val="24"/>
                <w:szCs w:val="24"/>
              </w:rPr>
              <w:t xml:space="preserve">110kV </w:t>
            </w:r>
            <w:r>
              <w:rPr>
                <w:sz w:val="24"/>
                <w:szCs w:val="24"/>
              </w:rPr>
              <w:t>松山变电站：拟建</w:t>
            </w:r>
            <w:r>
              <w:rPr>
                <w:spacing w:val="-27"/>
                <w:sz w:val="24"/>
                <w:szCs w:val="24"/>
              </w:rPr>
              <w:t xml:space="preserve"> </w:t>
            </w:r>
            <w:r>
              <w:rPr>
                <w:rFonts w:ascii="Times New Roman" w:hAnsi="Times New Roman" w:eastAsia="Times New Roman" w:cs="Times New Roman"/>
                <w:sz w:val="24"/>
                <w:szCs w:val="24"/>
              </w:rPr>
              <w:t xml:space="preserve">110kV </w:t>
            </w:r>
            <w:r>
              <w:rPr>
                <w:sz w:val="24"/>
                <w:szCs w:val="24"/>
              </w:rPr>
              <w:t>松山变电站站址四周工频电场强度在</w:t>
            </w:r>
            <w:r>
              <w:rPr>
                <w:spacing w:val="-31"/>
                <w:sz w:val="24"/>
                <w:szCs w:val="24"/>
              </w:rPr>
              <w:t xml:space="preserve"> </w:t>
            </w:r>
            <w:r>
              <w:rPr>
                <w:rFonts w:ascii="Times New Roman" w:hAnsi="Times New Roman" w:eastAsia="Times New Roman" w:cs="Times New Roman"/>
                <w:sz w:val="24"/>
                <w:szCs w:val="24"/>
              </w:rPr>
              <w:t xml:space="preserve">0.45~0.46V/m </w:t>
            </w:r>
            <w:r>
              <w:rPr>
                <w:sz w:val="24"/>
                <w:szCs w:val="24"/>
              </w:rPr>
              <w:t>之间，工频磁感应强度在</w:t>
            </w:r>
            <w:r>
              <w:rPr>
                <w:spacing w:val="-46"/>
                <w:sz w:val="24"/>
                <w:szCs w:val="24"/>
              </w:rPr>
              <w:t xml:space="preserve"> </w:t>
            </w:r>
            <w:r>
              <w:rPr>
                <w:rFonts w:ascii="Times New Roman" w:hAnsi="Times New Roman" w:eastAsia="Times New Roman" w:cs="Times New Roman"/>
                <w:sz w:val="24"/>
                <w:szCs w:val="24"/>
              </w:rPr>
              <w:t>0.0252~0.0248</w:t>
            </w:r>
            <w:r>
              <w:rPr>
                <w:sz w:val="24"/>
                <w:szCs w:val="24"/>
              </w:rPr>
              <w:t>μ</w:t>
            </w:r>
            <w:r>
              <w:rPr>
                <w:rFonts w:ascii="Times New Roman" w:hAnsi="Times New Roman" w:eastAsia="Times New Roman" w:cs="Times New Roman"/>
                <w:sz w:val="24"/>
                <w:szCs w:val="24"/>
              </w:rPr>
              <w:t xml:space="preserve">T </w:t>
            </w:r>
            <w:r>
              <w:rPr>
                <w:sz w:val="24"/>
                <w:szCs w:val="24"/>
              </w:rPr>
              <w:t>之间，满足《电磁环境控制限值》（</w:t>
            </w:r>
            <w:r>
              <w:rPr>
                <w:rFonts w:ascii="Times New Roman" w:hAnsi="Times New Roman" w:eastAsia="Times New Roman" w:cs="Times New Roman"/>
                <w:sz w:val="24"/>
                <w:szCs w:val="24"/>
              </w:rPr>
              <w:t>GB8702-2</w:t>
            </w:r>
            <w:r>
              <w:rPr>
                <w:rFonts w:ascii="Times New Roman" w:hAnsi="Times New Roman" w:eastAsia="Times New Roman" w:cs="Times New Roman"/>
                <w:spacing w:val="-1"/>
                <w:sz w:val="24"/>
                <w:szCs w:val="24"/>
              </w:rPr>
              <w:t>014</w:t>
            </w:r>
            <w:r>
              <w:rPr>
                <w:spacing w:val="-1"/>
                <w:sz w:val="24"/>
                <w:szCs w:val="24"/>
              </w:rPr>
              <w:t>）中工频磁感应强度公众曝露控制</w:t>
            </w:r>
            <w:r>
              <w:rPr>
                <w:spacing w:val="-4"/>
                <w:sz w:val="24"/>
                <w:szCs w:val="24"/>
              </w:rPr>
              <w:t>限值</w:t>
            </w:r>
            <w:r>
              <w:rPr>
                <w:spacing w:val="-53"/>
                <w:sz w:val="24"/>
                <w:szCs w:val="24"/>
              </w:rPr>
              <w:t xml:space="preserve"> </w:t>
            </w:r>
            <w:r>
              <w:rPr>
                <w:rFonts w:ascii="Times New Roman" w:hAnsi="Times New Roman" w:eastAsia="Times New Roman" w:cs="Times New Roman"/>
                <w:spacing w:val="-4"/>
                <w:sz w:val="24"/>
                <w:szCs w:val="24"/>
              </w:rPr>
              <w:t>4000V/m</w:t>
            </w:r>
            <w:r>
              <w:rPr>
                <w:rFonts w:ascii="Times New Roman" w:hAnsi="Times New Roman" w:eastAsia="Times New Roman" w:cs="Times New Roman"/>
                <w:spacing w:val="-36"/>
                <w:sz w:val="24"/>
                <w:szCs w:val="24"/>
              </w:rPr>
              <w:t xml:space="preserve"> </w:t>
            </w:r>
            <w:r>
              <w:rPr>
                <w:spacing w:val="-4"/>
                <w:sz w:val="24"/>
                <w:szCs w:val="24"/>
              </w:rPr>
              <w:t>、</w:t>
            </w:r>
            <w:r>
              <w:rPr>
                <w:rFonts w:ascii="Times New Roman" w:hAnsi="Times New Roman" w:eastAsia="Times New Roman" w:cs="Times New Roman"/>
                <w:spacing w:val="-4"/>
                <w:sz w:val="24"/>
                <w:szCs w:val="24"/>
              </w:rPr>
              <w:t>100μT</w:t>
            </w:r>
            <w:r>
              <w:rPr>
                <w:rFonts w:ascii="Times New Roman" w:hAnsi="Times New Roman" w:eastAsia="Times New Roman" w:cs="Times New Roman"/>
                <w:spacing w:val="29"/>
                <w:w w:val="101"/>
                <w:sz w:val="24"/>
                <w:szCs w:val="24"/>
              </w:rPr>
              <w:t xml:space="preserve"> </w:t>
            </w:r>
            <w:r>
              <w:rPr>
                <w:spacing w:val="-4"/>
                <w:sz w:val="24"/>
                <w:szCs w:val="24"/>
              </w:rPr>
              <w:t>的要求；</w:t>
            </w:r>
          </w:p>
          <w:p w14:paraId="6599E32D">
            <w:pPr>
              <w:pStyle w:val="6"/>
              <w:spacing w:before="3" w:line="355" w:lineRule="auto"/>
              <w:ind w:left="103" w:right="41" w:firstLine="471"/>
              <w:jc w:val="both"/>
              <w:rPr>
                <w:sz w:val="24"/>
                <w:szCs w:val="24"/>
              </w:rPr>
            </w:pPr>
            <w:r>
              <w:rPr>
                <w:rFonts w:ascii="Times New Roman" w:hAnsi="Times New Roman" w:eastAsia="Times New Roman" w:cs="Times New Roman"/>
                <w:spacing w:val="-2"/>
                <w:sz w:val="24"/>
                <w:szCs w:val="24"/>
              </w:rPr>
              <w:t xml:space="preserve">b  </w:t>
            </w:r>
            <w:r>
              <w:rPr>
                <w:spacing w:val="-2"/>
                <w:sz w:val="24"/>
                <w:szCs w:val="24"/>
              </w:rPr>
              <w:t>保护目标：工程沿线保护目标工频电场强度在</w:t>
            </w:r>
            <w:r>
              <w:rPr>
                <w:spacing w:val="-51"/>
                <w:sz w:val="24"/>
                <w:szCs w:val="24"/>
              </w:rPr>
              <w:t xml:space="preserve"> </w:t>
            </w:r>
            <w:r>
              <w:rPr>
                <w:rFonts w:ascii="Times New Roman" w:hAnsi="Times New Roman" w:eastAsia="Times New Roman" w:cs="Times New Roman"/>
                <w:spacing w:val="-2"/>
                <w:sz w:val="24"/>
                <w:szCs w:val="24"/>
              </w:rPr>
              <w:t>0.45</w:t>
            </w:r>
            <w:r>
              <w:rPr>
                <w:spacing w:val="-2"/>
                <w:sz w:val="24"/>
                <w:szCs w:val="24"/>
              </w:rPr>
              <w:t>～</w:t>
            </w:r>
            <w:r>
              <w:rPr>
                <w:rFonts w:ascii="Times New Roman" w:hAnsi="Times New Roman" w:eastAsia="Times New Roman" w:cs="Times New Roman"/>
                <w:spacing w:val="-2"/>
                <w:sz w:val="24"/>
                <w:szCs w:val="24"/>
              </w:rPr>
              <w:t>10.43V/</w:t>
            </w:r>
            <w:r>
              <w:rPr>
                <w:rFonts w:ascii="Times New Roman" w:hAnsi="Times New Roman" w:eastAsia="Times New Roman" w:cs="Times New Roman"/>
                <w:spacing w:val="-3"/>
                <w:sz w:val="24"/>
                <w:szCs w:val="24"/>
              </w:rPr>
              <w:t xml:space="preserve">m </w:t>
            </w:r>
            <w:r>
              <w:rPr>
                <w:spacing w:val="-3"/>
                <w:sz w:val="24"/>
                <w:szCs w:val="24"/>
              </w:rPr>
              <w:t>之间，</w:t>
            </w:r>
            <w:r>
              <w:rPr>
                <w:sz w:val="24"/>
                <w:szCs w:val="24"/>
              </w:rPr>
              <w:t>最大值为</w:t>
            </w:r>
            <w:r>
              <w:rPr>
                <w:spacing w:val="-30"/>
                <w:sz w:val="24"/>
                <w:szCs w:val="24"/>
              </w:rPr>
              <w:t xml:space="preserve"> </w:t>
            </w:r>
            <w:r>
              <w:rPr>
                <w:rFonts w:ascii="Times New Roman" w:hAnsi="Times New Roman" w:eastAsia="Times New Roman" w:cs="Times New Roman"/>
                <w:sz w:val="24"/>
                <w:szCs w:val="24"/>
              </w:rPr>
              <w:t>10.43V/m</w:t>
            </w:r>
            <w:r>
              <w:rPr>
                <w:rFonts w:ascii="Times New Roman" w:hAnsi="Times New Roman" w:eastAsia="Times New Roman" w:cs="Times New Roman"/>
                <w:spacing w:val="-30"/>
                <w:sz w:val="24"/>
                <w:szCs w:val="24"/>
              </w:rPr>
              <w:t xml:space="preserve"> </w:t>
            </w:r>
            <w:r>
              <w:rPr>
                <w:sz w:val="24"/>
                <w:szCs w:val="24"/>
              </w:rPr>
              <w:t>，工频磁感应强度在</w:t>
            </w:r>
            <w:r>
              <w:rPr>
                <w:spacing w:val="-49"/>
                <w:sz w:val="24"/>
                <w:szCs w:val="24"/>
              </w:rPr>
              <w:t xml:space="preserve"> </w:t>
            </w:r>
            <w:r>
              <w:rPr>
                <w:rFonts w:ascii="Times New Roman" w:hAnsi="Times New Roman" w:eastAsia="Times New Roman" w:cs="Times New Roman"/>
                <w:sz w:val="24"/>
                <w:szCs w:val="24"/>
              </w:rPr>
              <w:t>0.0172</w:t>
            </w:r>
            <w:r>
              <w:rPr>
                <w:sz w:val="24"/>
                <w:szCs w:val="24"/>
              </w:rPr>
              <w:t>～</w:t>
            </w:r>
            <w:r>
              <w:rPr>
                <w:rFonts w:ascii="Times New Roman" w:hAnsi="Times New Roman" w:eastAsia="Times New Roman" w:cs="Times New Roman"/>
                <w:sz w:val="24"/>
                <w:szCs w:val="24"/>
              </w:rPr>
              <w:t>0.0</w:t>
            </w:r>
            <w:r>
              <w:rPr>
                <w:rFonts w:ascii="Times New Roman" w:hAnsi="Times New Roman" w:eastAsia="Times New Roman" w:cs="Times New Roman"/>
                <w:spacing w:val="-1"/>
                <w:sz w:val="24"/>
                <w:szCs w:val="24"/>
              </w:rPr>
              <w:t xml:space="preserve">769μT </w:t>
            </w:r>
            <w:r>
              <w:rPr>
                <w:spacing w:val="-1"/>
                <w:sz w:val="24"/>
                <w:szCs w:val="24"/>
              </w:rPr>
              <w:t>之间，最大值为</w:t>
            </w:r>
            <w:r>
              <w:rPr>
                <w:rFonts w:ascii="Times New Roman" w:hAnsi="Times New Roman" w:eastAsia="Times New Roman" w:cs="Times New Roman"/>
                <w:sz w:val="24"/>
                <w:szCs w:val="24"/>
              </w:rPr>
              <w:t>0.0769μT</w:t>
            </w:r>
            <w:r>
              <w:rPr>
                <w:rFonts w:ascii="Times New Roman" w:hAnsi="Times New Roman" w:eastAsia="Times New Roman" w:cs="Times New Roman"/>
                <w:spacing w:val="-29"/>
                <w:sz w:val="24"/>
                <w:szCs w:val="24"/>
              </w:rPr>
              <w:t xml:space="preserve"> </w:t>
            </w:r>
            <w:r>
              <w:rPr>
                <w:sz w:val="24"/>
                <w:szCs w:val="24"/>
              </w:rPr>
              <w:t>，满足《电磁环境控制限值</w:t>
            </w:r>
            <w:r>
              <w:rPr>
                <w:spacing w:val="-1"/>
                <w:sz w:val="24"/>
                <w:szCs w:val="24"/>
              </w:rPr>
              <w:t>》（</w:t>
            </w:r>
            <w:r>
              <w:rPr>
                <w:rFonts w:ascii="Times New Roman" w:hAnsi="Times New Roman" w:eastAsia="Times New Roman" w:cs="Times New Roman"/>
                <w:spacing w:val="-1"/>
                <w:sz w:val="24"/>
                <w:szCs w:val="24"/>
              </w:rPr>
              <w:t>GB8702-2014</w:t>
            </w:r>
            <w:r>
              <w:rPr>
                <w:spacing w:val="-1"/>
                <w:sz w:val="24"/>
                <w:szCs w:val="24"/>
              </w:rPr>
              <w:t>）中工频电场强度公</w:t>
            </w:r>
            <w:r>
              <w:rPr>
                <w:spacing w:val="-3"/>
                <w:sz w:val="24"/>
                <w:szCs w:val="24"/>
              </w:rPr>
              <w:t>众曝露控制限值</w:t>
            </w:r>
            <w:r>
              <w:rPr>
                <w:spacing w:val="-53"/>
                <w:sz w:val="24"/>
                <w:szCs w:val="24"/>
              </w:rPr>
              <w:t xml:space="preserve"> </w:t>
            </w:r>
            <w:r>
              <w:rPr>
                <w:rFonts w:ascii="Times New Roman" w:hAnsi="Times New Roman" w:eastAsia="Times New Roman" w:cs="Times New Roman"/>
                <w:spacing w:val="-3"/>
                <w:sz w:val="24"/>
                <w:szCs w:val="24"/>
              </w:rPr>
              <w:t>4000V/m</w:t>
            </w:r>
            <w:r>
              <w:rPr>
                <w:rFonts w:ascii="Times New Roman" w:hAnsi="Times New Roman" w:eastAsia="Times New Roman" w:cs="Times New Roman"/>
                <w:spacing w:val="-35"/>
                <w:sz w:val="24"/>
                <w:szCs w:val="24"/>
              </w:rPr>
              <w:t xml:space="preserve"> </w:t>
            </w:r>
            <w:r>
              <w:rPr>
                <w:spacing w:val="-3"/>
                <w:sz w:val="24"/>
                <w:szCs w:val="24"/>
              </w:rPr>
              <w:t>、</w:t>
            </w:r>
            <w:r>
              <w:rPr>
                <w:rFonts w:ascii="Times New Roman" w:hAnsi="Times New Roman" w:eastAsia="Times New Roman" w:cs="Times New Roman"/>
                <w:spacing w:val="-3"/>
                <w:sz w:val="24"/>
                <w:szCs w:val="24"/>
              </w:rPr>
              <w:t>100μT</w:t>
            </w:r>
            <w:r>
              <w:rPr>
                <w:rFonts w:ascii="Times New Roman" w:hAnsi="Times New Roman" w:eastAsia="Times New Roman" w:cs="Times New Roman"/>
                <w:spacing w:val="29"/>
                <w:sz w:val="24"/>
                <w:szCs w:val="24"/>
              </w:rPr>
              <w:t xml:space="preserve"> </w:t>
            </w:r>
            <w:r>
              <w:rPr>
                <w:spacing w:val="-3"/>
                <w:sz w:val="24"/>
                <w:szCs w:val="24"/>
              </w:rPr>
              <w:t>的要求；</w:t>
            </w:r>
          </w:p>
          <w:p w14:paraId="5A53F258">
            <w:pPr>
              <w:pStyle w:val="6"/>
              <w:spacing w:before="18" w:line="219" w:lineRule="auto"/>
              <w:ind w:left="582"/>
              <w:rPr>
                <w:sz w:val="24"/>
                <w:szCs w:val="24"/>
              </w:rPr>
            </w:pPr>
            <w:r>
              <w:rPr>
                <w:rFonts w:ascii="Times New Roman" w:hAnsi="Times New Roman" w:eastAsia="Times New Roman" w:cs="Times New Roman"/>
                <w:spacing w:val="-2"/>
                <w:sz w:val="24"/>
                <w:szCs w:val="24"/>
              </w:rPr>
              <w:t xml:space="preserve">c T </w:t>
            </w:r>
            <w:r>
              <w:rPr>
                <w:spacing w:val="-2"/>
                <w:sz w:val="24"/>
                <w:szCs w:val="24"/>
              </w:rPr>
              <w:t>接点、对侧</w:t>
            </w:r>
            <w:r>
              <w:rPr>
                <w:spacing w:val="-55"/>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5"/>
                <w:sz w:val="24"/>
                <w:szCs w:val="24"/>
              </w:rPr>
              <w:t xml:space="preserve"> </w:t>
            </w:r>
            <w:r>
              <w:rPr>
                <w:spacing w:val="-2"/>
                <w:sz w:val="24"/>
                <w:szCs w:val="24"/>
              </w:rPr>
              <w:t>芳华变电站：</w:t>
            </w:r>
            <w:r>
              <w:rPr>
                <w:rFonts w:ascii="Times New Roman" w:hAnsi="Times New Roman" w:eastAsia="Times New Roman" w:cs="Times New Roman"/>
                <w:spacing w:val="-2"/>
                <w:sz w:val="24"/>
                <w:szCs w:val="24"/>
              </w:rPr>
              <w:t xml:space="preserve">T </w:t>
            </w:r>
            <w:r>
              <w:rPr>
                <w:spacing w:val="-2"/>
                <w:sz w:val="24"/>
                <w:szCs w:val="24"/>
              </w:rPr>
              <w:t>接点及对侧</w:t>
            </w:r>
            <w:r>
              <w:rPr>
                <w:spacing w:val="-55"/>
                <w:sz w:val="24"/>
                <w:szCs w:val="24"/>
              </w:rPr>
              <w:t xml:space="preserve"> </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3"/>
                <w:sz w:val="24"/>
                <w:szCs w:val="24"/>
              </w:rPr>
              <w:t>20kV</w:t>
            </w:r>
            <w:r>
              <w:rPr>
                <w:rFonts w:ascii="Times New Roman" w:hAnsi="Times New Roman" w:eastAsia="Times New Roman" w:cs="Times New Roman"/>
                <w:spacing w:val="15"/>
                <w:w w:val="101"/>
                <w:sz w:val="24"/>
                <w:szCs w:val="24"/>
              </w:rPr>
              <w:t xml:space="preserve"> </w:t>
            </w:r>
            <w:r>
              <w:rPr>
                <w:spacing w:val="-3"/>
                <w:sz w:val="24"/>
                <w:szCs w:val="24"/>
              </w:rPr>
              <w:t>芳华变电站接</w:t>
            </w:r>
          </w:p>
        </w:tc>
      </w:tr>
    </w:tbl>
    <w:p w14:paraId="5FCA7A60">
      <w:pPr>
        <w:spacing w:line="213" w:lineRule="exact"/>
        <w:rPr>
          <w:rFonts w:ascii="Arial"/>
          <w:sz w:val="18"/>
        </w:rPr>
      </w:pPr>
    </w:p>
    <w:p w14:paraId="50DA4112">
      <w:pPr>
        <w:spacing w:line="213" w:lineRule="exact"/>
        <w:rPr>
          <w:rFonts w:ascii="Arial" w:hAnsi="Arial" w:eastAsia="Arial" w:cs="Arial"/>
          <w:sz w:val="18"/>
          <w:szCs w:val="18"/>
        </w:rPr>
        <w:sectPr>
          <w:footerReference r:id="rId80" w:type="default"/>
          <w:pgSz w:w="11907" w:h="16840"/>
          <w:pgMar w:top="400" w:right="1682" w:bottom="1240" w:left="1682" w:header="0" w:footer="1077" w:gutter="0"/>
          <w:cols w:space="720" w:num="1"/>
        </w:sectPr>
      </w:pPr>
    </w:p>
    <w:p w14:paraId="3C04BAC7">
      <w:pPr>
        <w:spacing w:before="19"/>
      </w:pPr>
    </w:p>
    <w:p w14:paraId="049A0512">
      <w:pPr>
        <w:spacing w:before="19"/>
      </w:pPr>
    </w:p>
    <w:p w14:paraId="3F76F7A7">
      <w:pPr>
        <w:spacing w:before="18"/>
      </w:pPr>
    </w:p>
    <w:p w14:paraId="05D44B86">
      <w:pPr>
        <w:spacing w:before="18"/>
      </w:pPr>
    </w:p>
    <w:tbl>
      <w:tblPr>
        <w:tblStyle w:val="5"/>
        <w:tblW w:w="852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4"/>
        <w:gridCol w:w="8063"/>
      </w:tblGrid>
      <w:tr w14:paraId="329BB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43" w:hRule="atLeast"/>
        </w:trPr>
        <w:tc>
          <w:tcPr>
            <w:tcW w:w="464" w:type="dxa"/>
            <w:vAlign w:val="top"/>
          </w:tcPr>
          <w:p w14:paraId="60A169ED">
            <w:pPr>
              <w:rPr>
                <w:rFonts w:ascii="Arial"/>
                <w:sz w:val="21"/>
              </w:rPr>
            </w:pPr>
          </w:p>
        </w:tc>
        <w:tc>
          <w:tcPr>
            <w:tcW w:w="8063" w:type="dxa"/>
            <w:vAlign w:val="top"/>
          </w:tcPr>
          <w:p w14:paraId="375AFC94">
            <w:pPr>
              <w:pStyle w:val="6"/>
              <w:spacing w:before="42" w:line="356" w:lineRule="auto"/>
              <w:ind w:left="103" w:right="102"/>
              <w:jc w:val="both"/>
              <w:rPr>
                <w:sz w:val="24"/>
                <w:szCs w:val="24"/>
              </w:rPr>
            </w:pPr>
            <w:r>
              <w:rPr>
                <w:spacing w:val="-3"/>
                <w:sz w:val="24"/>
                <w:szCs w:val="24"/>
              </w:rPr>
              <w:t>入间隔处工频电场强度在</w:t>
            </w:r>
            <w:r>
              <w:rPr>
                <w:spacing w:val="-42"/>
                <w:sz w:val="24"/>
                <w:szCs w:val="24"/>
              </w:rPr>
              <w:t xml:space="preserve"> </w:t>
            </w:r>
            <w:r>
              <w:rPr>
                <w:rFonts w:ascii="Times New Roman" w:hAnsi="Times New Roman" w:eastAsia="Times New Roman" w:cs="Times New Roman"/>
                <w:spacing w:val="-3"/>
                <w:sz w:val="24"/>
                <w:szCs w:val="24"/>
              </w:rPr>
              <w:t xml:space="preserve">0.45~0.47V/m </w:t>
            </w:r>
            <w:r>
              <w:rPr>
                <w:spacing w:val="-3"/>
                <w:sz w:val="24"/>
                <w:szCs w:val="24"/>
              </w:rPr>
              <w:t>之间，最大值为</w:t>
            </w:r>
            <w:r>
              <w:rPr>
                <w:spacing w:val="-52"/>
                <w:sz w:val="24"/>
                <w:szCs w:val="24"/>
              </w:rPr>
              <w:t xml:space="preserve"> </w:t>
            </w:r>
            <w:r>
              <w:rPr>
                <w:rFonts w:ascii="Times New Roman" w:hAnsi="Times New Roman" w:eastAsia="Times New Roman" w:cs="Times New Roman"/>
                <w:spacing w:val="-3"/>
                <w:sz w:val="24"/>
                <w:szCs w:val="24"/>
              </w:rPr>
              <w:t>0.47V/m</w:t>
            </w:r>
            <w:r>
              <w:rPr>
                <w:spacing w:val="-3"/>
                <w:sz w:val="24"/>
                <w:szCs w:val="24"/>
              </w:rPr>
              <w:t>，工频磁感</w:t>
            </w:r>
            <w:r>
              <w:rPr>
                <w:sz w:val="24"/>
                <w:szCs w:val="24"/>
              </w:rPr>
              <w:t>应强度在</w:t>
            </w:r>
            <w:r>
              <w:rPr>
                <w:spacing w:val="-51"/>
                <w:sz w:val="24"/>
                <w:szCs w:val="24"/>
              </w:rPr>
              <w:t xml:space="preserve"> </w:t>
            </w:r>
            <w:r>
              <w:rPr>
                <w:rFonts w:ascii="Times New Roman" w:hAnsi="Times New Roman" w:eastAsia="Times New Roman" w:cs="Times New Roman"/>
                <w:sz w:val="24"/>
                <w:szCs w:val="24"/>
              </w:rPr>
              <w:t>0.025</w:t>
            </w:r>
            <w:r>
              <w:rPr>
                <w:sz w:val="24"/>
                <w:szCs w:val="24"/>
              </w:rPr>
              <w:t>～</w:t>
            </w:r>
            <w:r>
              <w:rPr>
                <w:rFonts w:ascii="Times New Roman" w:hAnsi="Times New Roman" w:eastAsia="Times New Roman" w:cs="Times New Roman"/>
                <w:sz w:val="24"/>
                <w:szCs w:val="24"/>
              </w:rPr>
              <w:t>0.0.0254μT</w:t>
            </w:r>
            <w:r>
              <w:rPr>
                <w:rFonts w:ascii="Times New Roman" w:hAnsi="Times New Roman" w:eastAsia="Times New Roman" w:cs="Times New Roman"/>
                <w:spacing w:val="-1"/>
                <w:sz w:val="24"/>
                <w:szCs w:val="24"/>
              </w:rPr>
              <w:t xml:space="preserve"> </w:t>
            </w:r>
            <w:r>
              <w:rPr>
                <w:spacing w:val="-1"/>
                <w:sz w:val="24"/>
                <w:szCs w:val="24"/>
              </w:rPr>
              <w:t>之间，最大值为</w:t>
            </w:r>
            <w:r>
              <w:rPr>
                <w:spacing w:val="-47"/>
                <w:sz w:val="24"/>
                <w:szCs w:val="24"/>
              </w:rPr>
              <w:t xml:space="preserve"> </w:t>
            </w:r>
            <w:r>
              <w:rPr>
                <w:rFonts w:ascii="Times New Roman" w:hAnsi="Times New Roman" w:eastAsia="Times New Roman" w:cs="Times New Roman"/>
                <w:spacing w:val="-1"/>
                <w:sz w:val="24"/>
                <w:szCs w:val="24"/>
              </w:rPr>
              <w:t>0.0254μT</w:t>
            </w:r>
            <w:r>
              <w:rPr>
                <w:rFonts w:ascii="Times New Roman" w:hAnsi="Times New Roman" w:eastAsia="Times New Roman" w:cs="Times New Roman"/>
                <w:spacing w:val="-28"/>
                <w:sz w:val="24"/>
                <w:szCs w:val="24"/>
              </w:rPr>
              <w:t xml:space="preserve"> </w:t>
            </w:r>
            <w:r>
              <w:rPr>
                <w:spacing w:val="-1"/>
                <w:sz w:val="24"/>
                <w:szCs w:val="24"/>
              </w:rPr>
              <w:t>，满足《电磁环境控</w:t>
            </w:r>
            <w:r>
              <w:rPr>
                <w:spacing w:val="-9"/>
                <w:sz w:val="24"/>
                <w:szCs w:val="24"/>
              </w:rPr>
              <w:t>制限值》（</w:t>
            </w:r>
            <w:r>
              <w:rPr>
                <w:rFonts w:ascii="Times New Roman" w:hAnsi="Times New Roman" w:eastAsia="Times New Roman" w:cs="Times New Roman"/>
                <w:spacing w:val="-9"/>
                <w:sz w:val="24"/>
                <w:szCs w:val="24"/>
              </w:rPr>
              <w:t>GB8702-2014</w:t>
            </w:r>
            <w:r>
              <w:rPr>
                <w:spacing w:val="-9"/>
                <w:sz w:val="24"/>
                <w:szCs w:val="24"/>
              </w:rPr>
              <w:t>）中工频电场强度公众曝露控制</w:t>
            </w:r>
            <w:r>
              <w:rPr>
                <w:spacing w:val="-10"/>
                <w:sz w:val="24"/>
                <w:szCs w:val="24"/>
              </w:rPr>
              <w:t>限值</w:t>
            </w:r>
            <w:r>
              <w:rPr>
                <w:spacing w:val="-56"/>
                <w:sz w:val="24"/>
                <w:szCs w:val="24"/>
              </w:rPr>
              <w:t xml:space="preserve"> </w:t>
            </w:r>
            <w:r>
              <w:rPr>
                <w:rFonts w:ascii="Times New Roman" w:hAnsi="Times New Roman" w:eastAsia="Times New Roman" w:cs="Times New Roman"/>
                <w:spacing w:val="-10"/>
                <w:sz w:val="24"/>
                <w:szCs w:val="24"/>
              </w:rPr>
              <w:t>4000V/m</w:t>
            </w:r>
            <w:r>
              <w:rPr>
                <w:spacing w:val="-10"/>
                <w:sz w:val="24"/>
                <w:szCs w:val="24"/>
              </w:rPr>
              <w:t>、</w:t>
            </w:r>
            <w:r>
              <w:rPr>
                <w:rFonts w:ascii="Times New Roman" w:hAnsi="Times New Roman" w:eastAsia="Times New Roman" w:cs="Times New Roman"/>
                <w:spacing w:val="-10"/>
                <w:sz w:val="24"/>
                <w:szCs w:val="24"/>
              </w:rPr>
              <w:t>100μT</w:t>
            </w:r>
            <w:r>
              <w:rPr>
                <w:spacing w:val="-3"/>
                <w:sz w:val="24"/>
                <w:szCs w:val="24"/>
              </w:rPr>
              <w:t>的要求。</w:t>
            </w:r>
          </w:p>
          <w:p w14:paraId="0B12D9B8">
            <w:pPr>
              <w:pStyle w:val="6"/>
              <w:spacing w:before="13" w:line="359" w:lineRule="auto"/>
              <w:ind w:left="103" w:right="103" w:firstLine="482"/>
              <w:jc w:val="both"/>
              <w:rPr>
                <w:sz w:val="24"/>
                <w:szCs w:val="24"/>
              </w:rPr>
            </w:pPr>
            <w:r>
              <w:rPr>
                <w:spacing w:val="-3"/>
                <w:sz w:val="24"/>
                <w:szCs w:val="24"/>
              </w:rPr>
              <w:t>综上，本工程所在区域的工频电场强度和工频磁感应强度均满足《电磁</w:t>
            </w:r>
            <w:r>
              <w:rPr>
                <w:sz w:val="24"/>
                <w:szCs w:val="24"/>
              </w:rPr>
              <w:t>环境控制限值》（</w:t>
            </w:r>
            <w:r>
              <w:rPr>
                <w:rFonts w:ascii="Times New Roman" w:hAnsi="Times New Roman" w:eastAsia="Times New Roman" w:cs="Times New Roman"/>
                <w:sz w:val="24"/>
                <w:szCs w:val="24"/>
              </w:rPr>
              <w:t>GB8702-2014</w:t>
            </w:r>
            <w:r>
              <w:rPr>
                <w:sz w:val="24"/>
                <w:szCs w:val="24"/>
              </w:rPr>
              <w:t>）中公众曝</w:t>
            </w:r>
            <w:r>
              <w:rPr>
                <w:spacing w:val="-1"/>
                <w:sz w:val="24"/>
                <w:szCs w:val="24"/>
              </w:rPr>
              <w:t>露控制限值要求，拟建线路沿线工频电场强度和工频磁感应强度均为正常本底水平。</w:t>
            </w:r>
          </w:p>
          <w:p w14:paraId="311FBA0A">
            <w:pPr>
              <w:pStyle w:val="6"/>
              <w:spacing w:before="1" w:line="217" w:lineRule="auto"/>
              <w:ind w:left="612"/>
              <w:rPr>
                <w:sz w:val="24"/>
                <w:szCs w:val="24"/>
              </w:rPr>
            </w:pPr>
            <w:r>
              <w:rPr>
                <w:spacing w:val="-2"/>
                <w:sz w:val="24"/>
                <w:szCs w:val="24"/>
              </w:rPr>
              <w:t>电磁环境现状评价详见《电磁环境影响专题评价》。</w:t>
            </w:r>
          </w:p>
          <w:p w14:paraId="5BF9A491">
            <w:pPr>
              <w:pStyle w:val="6"/>
              <w:spacing w:before="185" w:line="219" w:lineRule="auto"/>
              <w:ind w:left="103"/>
              <w:rPr>
                <w:sz w:val="24"/>
                <w:szCs w:val="24"/>
              </w:rPr>
            </w:pPr>
            <w:r>
              <w:rPr>
                <w:rFonts w:ascii="Times New Roman" w:hAnsi="Times New Roman" w:eastAsia="Times New Roman" w:cs="Times New Roman"/>
                <w:b/>
                <w:bCs/>
                <w:spacing w:val="-5"/>
                <w:sz w:val="24"/>
                <w:szCs w:val="24"/>
              </w:rPr>
              <w:t>6</w:t>
            </w:r>
            <w:r>
              <w:rPr>
                <w:rFonts w:ascii="Times New Roman" w:hAnsi="Times New Roman" w:eastAsia="Times New Roman" w:cs="Times New Roman"/>
                <w:b/>
                <w:bCs/>
                <w:spacing w:val="-24"/>
                <w:sz w:val="24"/>
                <w:szCs w:val="24"/>
              </w:rPr>
              <w:t xml:space="preserve"> </w:t>
            </w:r>
            <w:r>
              <w:rPr>
                <w:b/>
                <w:bCs/>
                <w:spacing w:val="-5"/>
                <w:sz w:val="24"/>
                <w:szCs w:val="24"/>
              </w:rPr>
              <w:t>、地下水、土壤环境质量现状</w:t>
            </w:r>
          </w:p>
          <w:p w14:paraId="4DB58B42">
            <w:pPr>
              <w:pStyle w:val="6"/>
              <w:spacing w:before="180" w:line="218" w:lineRule="auto"/>
              <w:ind w:left="583"/>
              <w:rPr>
                <w:sz w:val="24"/>
                <w:szCs w:val="24"/>
              </w:rPr>
            </w:pPr>
            <w:r>
              <w:rPr>
                <w:sz w:val="24"/>
                <w:szCs w:val="24"/>
              </w:rPr>
              <w:t>对照《环境影响评价技术导则 地下水环境》（</w:t>
            </w:r>
            <w:r>
              <w:rPr>
                <w:rFonts w:ascii="Times New Roman" w:hAnsi="Times New Roman" w:eastAsia="Times New Roman" w:cs="Times New Roman"/>
                <w:sz w:val="24"/>
                <w:szCs w:val="24"/>
              </w:rPr>
              <w:t>HJ</w:t>
            </w:r>
            <w:r>
              <w:rPr>
                <w:rFonts w:ascii="Times New Roman" w:hAnsi="Times New Roman" w:eastAsia="Times New Roman" w:cs="Times New Roman"/>
                <w:spacing w:val="-1"/>
                <w:sz w:val="24"/>
                <w:szCs w:val="24"/>
              </w:rPr>
              <w:t>610-2016</w:t>
            </w:r>
            <w:r>
              <w:rPr>
                <w:spacing w:val="-1"/>
                <w:sz w:val="24"/>
                <w:szCs w:val="24"/>
              </w:rPr>
              <w:t>）附录</w:t>
            </w:r>
            <w:r>
              <w:rPr>
                <w:spacing w:val="-58"/>
                <w:sz w:val="24"/>
                <w:szCs w:val="24"/>
              </w:rPr>
              <w:t xml:space="preserve"> </w:t>
            </w:r>
            <w:r>
              <w:rPr>
                <w:rFonts w:ascii="Times New Roman" w:hAnsi="Times New Roman" w:eastAsia="Times New Roman" w:cs="Times New Roman"/>
                <w:spacing w:val="-1"/>
                <w:sz w:val="24"/>
                <w:szCs w:val="24"/>
              </w:rPr>
              <w:t>A</w:t>
            </w:r>
            <w:r>
              <w:rPr>
                <w:spacing w:val="-1"/>
                <w:sz w:val="24"/>
                <w:szCs w:val="24"/>
              </w:rPr>
              <w:t>，</w:t>
            </w:r>
          </w:p>
          <w:p w14:paraId="4F179E1F">
            <w:pPr>
              <w:pStyle w:val="6"/>
              <w:spacing w:before="184" w:line="359" w:lineRule="auto"/>
              <w:ind w:left="100" w:right="103" w:firstLine="4"/>
              <w:jc w:val="both"/>
              <w:rPr>
                <w:sz w:val="24"/>
                <w:szCs w:val="24"/>
              </w:rPr>
            </w:pPr>
            <w:r>
              <w:rPr>
                <w:spacing w:val="-5"/>
                <w:sz w:val="24"/>
                <w:szCs w:val="24"/>
              </w:rPr>
              <w:t>本项目为</w:t>
            </w:r>
            <w:r>
              <w:rPr>
                <w:spacing w:val="-55"/>
                <w:sz w:val="24"/>
                <w:szCs w:val="24"/>
              </w:rPr>
              <w:t xml:space="preserve"> </w:t>
            </w:r>
            <w:r>
              <w:rPr>
                <w:rFonts w:ascii="Times New Roman" w:hAnsi="Times New Roman" w:eastAsia="Times New Roman" w:cs="Times New Roman"/>
                <w:spacing w:val="-5"/>
                <w:sz w:val="24"/>
                <w:szCs w:val="24"/>
              </w:rPr>
              <w:t>E</w:t>
            </w:r>
            <w:r>
              <w:rPr>
                <w:rFonts w:ascii="Times New Roman" w:hAnsi="Times New Roman" w:eastAsia="Times New Roman" w:cs="Times New Roman"/>
                <w:spacing w:val="35"/>
                <w:w w:val="101"/>
                <w:sz w:val="24"/>
                <w:szCs w:val="24"/>
              </w:rPr>
              <w:t xml:space="preserve"> </w:t>
            </w:r>
            <w:r>
              <w:rPr>
                <w:spacing w:val="-5"/>
                <w:sz w:val="24"/>
                <w:szCs w:val="24"/>
              </w:rPr>
              <w:t>电力</w:t>
            </w:r>
            <w:r>
              <w:rPr>
                <w:spacing w:val="-50"/>
                <w:sz w:val="24"/>
                <w:szCs w:val="24"/>
              </w:rPr>
              <w:t xml:space="preserve"> </w:t>
            </w:r>
            <w:r>
              <w:rPr>
                <w:rFonts w:ascii="Times New Roman" w:hAnsi="Times New Roman" w:eastAsia="Times New Roman" w:cs="Times New Roman"/>
                <w:spacing w:val="-5"/>
                <w:sz w:val="24"/>
                <w:szCs w:val="24"/>
              </w:rPr>
              <w:t xml:space="preserve">35 </w:t>
            </w:r>
            <w:r>
              <w:rPr>
                <w:spacing w:val="-5"/>
                <w:sz w:val="24"/>
                <w:szCs w:val="24"/>
              </w:rPr>
              <w:t>送（输）变电工程中的其他（不含</w:t>
            </w:r>
            <w:r>
              <w:rPr>
                <w:spacing w:val="-32"/>
                <w:sz w:val="24"/>
                <w:szCs w:val="24"/>
              </w:rPr>
              <w:t xml:space="preserve"> </w:t>
            </w:r>
            <w:r>
              <w:rPr>
                <w:rFonts w:ascii="Times New Roman" w:hAnsi="Times New Roman" w:eastAsia="Times New Roman" w:cs="Times New Roman"/>
                <w:spacing w:val="-5"/>
                <w:sz w:val="24"/>
                <w:szCs w:val="24"/>
              </w:rPr>
              <w:t>100kV</w:t>
            </w:r>
            <w:r>
              <w:rPr>
                <w:rFonts w:ascii="Times New Roman" w:hAnsi="Times New Roman" w:eastAsia="Times New Roman" w:cs="Times New Roman"/>
                <w:spacing w:val="38"/>
                <w:sz w:val="24"/>
                <w:szCs w:val="24"/>
              </w:rPr>
              <w:t xml:space="preserve"> </w:t>
            </w:r>
            <w:r>
              <w:rPr>
                <w:spacing w:val="-5"/>
                <w:sz w:val="24"/>
                <w:szCs w:val="24"/>
              </w:rPr>
              <w:t>以下</w:t>
            </w:r>
            <w:r>
              <w:rPr>
                <w:spacing w:val="6"/>
                <w:sz w:val="24"/>
                <w:szCs w:val="24"/>
              </w:rPr>
              <w:t>），</w:t>
            </w:r>
            <w:r>
              <w:rPr>
                <w:spacing w:val="-5"/>
                <w:sz w:val="24"/>
                <w:szCs w:val="24"/>
              </w:rPr>
              <w:t>属于</w:t>
            </w:r>
            <w:r>
              <w:rPr>
                <w:rFonts w:ascii="Times New Roman" w:hAnsi="Times New Roman" w:eastAsia="Times New Roman" w:cs="Times New Roman"/>
                <w:sz w:val="24"/>
                <w:szCs w:val="24"/>
              </w:rPr>
              <w:t xml:space="preserve">IV </w:t>
            </w:r>
            <w:r>
              <w:rPr>
                <w:sz w:val="24"/>
                <w:szCs w:val="24"/>
              </w:rPr>
              <w:t>类建设项目，不开展地下水环境影响评价，故本次</w:t>
            </w:r>
            <w:r>
              <w:rPr>
                <w:spacing w:val="-1"/>
                <w:sz w:val="24"/>
                <w:szCs w:val="24"/>
              </w:rPr>
              <w:t>环评未针对项目所在区域地下水情况进行调查。</w:t>
            </w:r>
          </w:p>
          <w:p w14:paraId="66D9A204">
            <w:pPr>
              <w:pStyle w:val="6"/>
              <w:spacing w:before="4" w:line="350" w:lineRule="auto"/>
              <w:ind w:left="102" w:right="102" w:firstLine="480"/>
              <w:jc w:val="both"/>
              <w:rPr>
                <w:sz w:val="24"/>
                <w:szCs w:val="24"/>
              </w:rPr>
            </w:pPr>
            <w:r>
              <w:rPr>
                <w:sz w:val="24"/>
                <w:szCs w:val="24"/>
              </w:rPr>
              <w:t>对照《环境影响评价技术导则 土壤环境（试行）》（</w:t>
            </w:r>
            <w:r>
              <w:rPr>
                <w:rFonts w:ascii="Times New Roman" w:hAnsi="Times New Roman" w:eastAsia="Times New Roman" w:cs="Times New Roman"/>
                <w:sz w:val="24"/>
                <w:szCs w:val="24"/>
              </w:rPr>
              <w:t>H</w:t>
            </w:r>
            <w:r>
              <w:rPr>
                <w:rFonts w:ascii="Times New Roman" w:hAnsi="Times New Roman" w:eastAsia="Times New Roman" w:cs="Times New Roman"/>
                <w:spacing w:val="-1"/>
                <w:sz w:val="24"/>
                <w:szCs w:val="24"/>
              </w:rPr>
              <w:t>J964-2018</w:t>
            </w:r>
            <w:r>
              <w:rPr>
                <w:spacing w:val="-1"/>
                <w:sz w:val="24"/>
                <w:szCs w:val="24"/>
              </w:rPr>
              <w:t>）附</w:t>
            </w:r>
            <w:r>
              <w:rPr>
                <w:spacing w:val="-3"/>
                <w:sz w:val="24"/>
                <w:szCs w:val="24"/>
              </w:rPr>
              <w:t>录</w:t>
            </w:r>
            <w:r>
              <w:rPr>
                <w:spacing w:val="-45"/>
                <w:sz w:val="24"/>
                <w:szCs w:val="24"/>
              </w:rPr>
              <w:t xml:space="preserve"> </w:t>
            </w:r>
            <w:r>
              <w:rPr>
                <w:rFonts w:ascii="Times New Roman" w:hAnsi="Times New Roman" w:eastAsia="Times New Roman" w:cs="Times New Roman"/>
                <w:spacing w:val="-3"/>
                <w:sz w:val="24"/>
                <w:szCs w:val="24"/>
              </w:rPr>
              <w:t>A</w:t>
            </w:r>
            <w:r>
              <w:rPr>
                <w:spacing w:val="-3"/>
                <w:sz w:val="24"/>
                <w:szCs w:val="24"/>
              </w:rPr>
              <w:t>，本项目为电力热力燃气及水生产和供应业中的其他，属于</w:t>
            </w:r>
            <w:r>
              <w:rPr>
                <w:rFonts w:ascii="Times New Roman" w:hAnsi="Times New Roman" w:eastAsia="Times New Roman" w:cs="Times New Roman"/>
                <w:spacing w:val="-3"/>
                <w:sz w:val="24"/>
                <w:szCs w:val="24"/>
              </w:rPr>
              <w:t>Ⅳ</w:t>
            </w:r>
            <w:r>
              <w:rPr>
                <w:spacing w:val="-3"/>
                <w:sz w:val="24"/>
                <w:szCs w:val="24"/>
              </w:rPr>
              <w:t>类建设项</w:t>
            </w:r>
            <w:r>
              <w:rPr>
                <w:spacing w:val="-2"/>
                <w:sz w:val="24"/>
                <w:szCs w:val="24"/>
              </w:rPr>
              <w:t>目，可不开展土壤环境影响评价，故本次环评</w:t>
            </w:r>
            <w:r>
              <w:rPr>
                <w:spacing w:val="-3"/>
                <w:sz w:val="24"/>
                <w:szCs w:val="24"/>
              </w:rPr>
              <w:t>未针对项目所在区域土壤情况</w:t>
            </w:r>
            <w:r>
              <w:rPr>
                <w:spacing w:val="-2"/>
                <w:sz w:val="24"/>
                <w:szCs w:val="24"/>
              </w:rPr>
              <w:t>进行调查。</w:t>
            </w:r>
          </w:p>
        </w:tc>
      </w:tr>
      <w:tr w14:paraId="67917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20" w:hRule="atLeast"/>
        </w:trPr>
        <w:tc>
          <w:tcPr>
            <w:tcW w:w="464" w:type="dxa"/>
            <w:textDirection w:val="tbRlV"/>
            <w:vAlign w:val="top"/>
          </w:tcPr>
          <w:p w14:paraId="284E90F5">
            <w:pPr>
              <w:pStyle w:val="6"/>
              <w:spacing w:before="106" w:line="194" w:lineRule="auto"/>
              <w:ind w:left="39"/>
              <w:rPr>
                <w:sz w:val="24"/>
                <w:szCs w:val="24"/>
              </w:rPr>
            </w:pPr>
            <w:r>
              <w:rPr>
                <w:spacing w:val="24"/>
                <w:w w:val="118"/>
                <w:sz w:val="24"/>
                <w:szCs w:val="24"/>
              </w:rPr>
              <w:t>与项</w:t>
            </w:r>
            <w:r>
              <w:rPr>
                <w:spacing w:val="24"/>
                <w:w w:val="118"/>
                <w:position w:val="2"/>
                <w:sz w:val="24"/>
                <w:szCs w:val="24"/>
              </w:rPr>
              <w:t>目</w:t>
            </w:r>
            <w:r>
              <w:rPr>
                <w:spacing w:val="24"/>
                <w:w w:val="118"/>
                <w:sz w:val="24"/>
                <w:szCs w:val="24"/>
              </w:rPr>
              <w:t>有关的原有环境污染和生态破坏</w:t>
            </w:r>
            <w:r>
              <w:rPr>
                <w:spacing w:val="24"/>
                <w:w w:val="118"/>
                <w:position w:val="1"/>
                <w:sz w:val="24"/>
                <w:szCs w:val="24"/>
              </w:rPr>
              <w:t>问</w:t>
            </w:r>
            <w:r>
              <w:rPr>
                <w:spacing w:val="24"/>
                <w:w w:val="118"/>
                <w:sz w:val="24"/>
                <w:szCs w:val="24"/>
              </w:rPr>
              <w:t>题</w:t>
            </w:r>
          </w:p>
        </w:tc>
        <w:tc>
          <w:tcPr>
            <w:tcW w:w="8063" w:type="dxa"/>
            <w:vAlign w:val="top"/>
          </w:tcPr>
          <w:p w14:paraId="49F2EC8F">
            <w:pPr>
              <w:pStyle w:val="6"/>
              <w:spacing w:before="193" w:line="220" w:lineRule="auto"/>
              <w:ind w:left="110"/>
              <w:rPr>
                <w:sz w:val="24"/>
                <w:szCs w:val="24"/>
              </w:rPr>
            </w:pPr>
            <w:r>
              <w:rPr>
                <w:rFonts w:ascii="Times New Roman" w:hAnsi="Times New Roman" w:eastAsia="Times New Roman" w:cs="Times New Roman"/>
                <w:b/>
                <w:bCs/>
                <w:spacing w:val="-4"/>
                <w:sz w:val="24"/>
                <w:szCs w:val="24"/>
              </w:rPr>
              <w:t>1</w:t>
            </w:r>
            <w:r>
              <w:rPr>
                <w:rFonts w:ascii="Times New Roman" w:hAnsi="Times New Roman" w:eastAsia="Times New Roman" w:cs="Times New Roman"/>
                <w:b/>
                <w:bCs/>
                <w:spacing w:val="-34"/>
                <w:sz w:val="24"/>
                <w:szCs w:val="24"/>
              </w:rPr>
              <w:t xml:space="preserve"> </w:t>
            </w:r>
            <w:r>
              <w:rPr>
                <w:b/>
                <w:bCs/>
                <w:spacing w:val="-4"/>
                <w:sz w:val="24"/>
                <w:szCs w:val="24"/>
              </w:rPr>
              <w:t>、与项目有关的工程环保手续履行情况</w:t>
            </w:r>
          </w:p>
          <w:p w14:paraId="061A46AA">
            <w:pPr>
              <w:pStyle w:val="6"/>
              <w:spacing w:before="177" w:line="360" w:lineRule="auto"/>
              <w:ind w:left="106" w:right="100" w:firstLine="477"/>
              <w:jc w:val="both"/>
              <w:rPr>
                <w:sz w:val="24"/>
                <w:szCs w:val="24"/>
              </w:rPr>
            </w:pPr>
            <w:r>
              <w:rPr>
                <w:spacing w:val="3"/>
                <w:sz w:val="24"/>
                <w:szCs w:val="24"/>
              </w:rPr>
              <w:t>根据项目建设内容，与本项目相关的工程有</w:t>
            </w:r>
            <w:r>
              <w:rPr>
                <w:spacing w:val="-53"/>
                <w:sz w:val="24"/>
                <w:szCs w:val="24"/>
              </w:rPr>
              <w:t xml:space="preserve"> </w:t>
            </w:r>
            <w:r>
              <w:rPr>
                <w:rFonts w:ascii="Times New Roman" w:hAnsi="Times New Roman" w:eastAsia="Times New Roman" w:cs="Times New Roman"/>
                <w:spacing w:val="3"/>
                <w:sz w:val="24"/>
                <w:szCs w:val="24"/>
              </w:rPr>
              <w:t>22</w:t>
            </w:r>
            <w:r>
              <w:rPr>
                <w:rFonts w:ascii="Times New Roman" w:hAnsi="Times New Roman" w:eastAsia="Times New Roman" w:cs="Times New Roman"/>
                <w:spacing w:val="2"/>
                <w:sz w:val="24"/>
                <w:szCs w:val="24"/>
              </w:rPr>
              <w:t>0</w:t>
            </w:r>
            <w:r>
              <w:rPr>
                <w:rFonts w:ascii="Times New Roman" w:hAnsi="Times New Roman" w:eastAsia="Times New Roman" w:cs="Times New Roman"/>
                <w:sz w:val="24"/>
                <w:szCs w:val="24"/>
              </w:rPr>
              <w:t>kV</w:t>
            </w:r>
            <w:r>
              <w:rPr>
                <w:rFonts w:ascii="Times New Roman" w:hAnsi="Times New Roman" w:eastAsia="Times New Roman" w:cs="Times New Roman"/>
                <w:spacing w:val="21"/>
                <w:sz w:val="24"/>
                <w:szCs w:val="24"/>
              </w:rPr>
              <w:t xml:space="preserve"> </w:t>
            </w:r>
            <w:r>
              <w:rPr>
                <w:spacing w:val="2"/>
                <w:sz w:val="24"/>
                <w:szCs w:val="24"/>
              </w:rPr>
              <w:t>芳华变、芳华变出</w:t>
            </w:r>
            <w:r>
              <w:rPr>
                <w:spacing w:val="-4"/>
                <w:sz w:val="24"/>
                <w:szCs w:val="24"/>
              </w:rPr>
              <w:t>线</w:t>
            </w:r>
            <w:r>
              <w:rPr>
                <w:spacing w:val="-42"/>
                <w:sz w:val="24"/>
                <w:szCs w:val="24"/>
              </w:rPr>
              <w:t xml:space="preserve"> </w:t>
            </w:r>
            <w:r>
              <w:rPr>
                <w:spacing w:val="-4"/>
                <w:sz w:val="24"/>
                <w:szCs w:val="24"/>
              </w:rPr>
              <w:t>π接</w:t>
            </w:r>
            <w:r>
              <w:rPr>
                <w:spacing w:val="-22"/>
                <w:sz w:val="24"/>
                <w:szCs w:val="24"/>
              </w:rPr>
              <w:t xml:space="preserve"> </w:t>
            </w:r>
            <w:r>
              <w:rPr>
                <w:rFonts w:ascii="Times New Roman" w:hAnsi="Times New Roman" w:eastAsia="Times New Roman" w:cs="Times New Roman"/>
                <w:spacing w:val="-4"/>
                <w:sz w:val="24"/>
                <w:szCs w:val="24"/>
              </w:rPr>
              <w:t>110kV</w:t>
            </w:r>
            <w:r>
              <w:rPr>
                <w:rFonts w:ascii="Times New Roman" w:hAnsi="Times New Roman" w:eastAsia="Times New Roman" w:cs="Times New Roman"/>
                <w:spacing w:val="29"/>
                <w:sz w:val="24"/>
                <w:szCs w:val="24"/>
              </w:rPr>
              <w:t xml:space="preserve"> </w:t>
            </w:r>
            <w:r>
              <w:rPr>
                <w:spacing w:val="-4"/>
                <w:sz w:val="24"/>
                <w:szCs w:val="24"/>
              </w:rPr>
              <w:t xml:space="preserve">吉中线的 </w:t>
            </w:r>
            <w:r>
              <w:rPr>
                <w:rFonts w:ascii="Times New Roman" w:hAnsi="Times New Roman" w:eastAsia="Times New Roman" w:cs="Times New Roman"/>
                <w:spacing w:val="-4"/>
                <w:sz w:val="24"/>
                <w:szCs w:val="24"/>
              </w:rPr>
              <w:t>110kV</w:t>
            </w:r>
            <w:r>
              <w:rPr>
                <w:rFonts w:ascii="Times New Roman" w:hAnsi="Times New Roman" w:eastAsia="Times New Roman" w:cs="Times New Roman"/>
                <w:spacing w:val="21"/>
                <w:w w:val="101"/>
                <w:sz w:val="24"/>
                <w:szCs w:val="24"/>
              </w:rPr>
              <w:t xml:space="preserve"> </w:t>
            </w:r>
            <w:r>
              <w:rPr>
                <w:spacing w:val="-4"/>
                <w:sz w:val="24"/>
                <w:szCs w:val="24"/>
              </w:rPr>
              <w:t>线路、芳华变出线</w:t>
            </w:r>
            <w:r>
              <w:rPr>
                <w:spacing w:val="-41"/>
                <w:sz w:val="24"/>
                <w:szCs w:val="24"/>
              </w:rPr>
              <w:t xml:space="preserve"> </w:t>
            </w:r>
            <w:r>
              <w:rPr>
                <w:spacing w:val="-4"/>
                <w:sz w:val="24"/>
                <w:szCs w:val="24"/>
              </w:rPr>
              <w:t xml:space="preserve">π接 </w:t>
            </w:r>
            <w:r>
              <w:rPr>
                <w:rFonts w:ascii="Times New Roman" w:hAnsi="Times New Roman" w:eastAsia="Times New Roman" w:cs="Times New Roman"/>
                <w:spacing w:val="-4"/>
                <w:sz w:val="24"/>
                <w:szCs w:val="24"/>
              </w:rPr>
              <w:t>110kV</w:t>
            </w:r>
            <w:r>
              <w:rPr>
                <w:rFonts w:ascii="Times New Roman" w:hAnsi="Times New Roman" w:eastAsia="Times New Roman" w:cs="Times New Roman"/>
                <w:spacing w:val="27"/>
                <w:sz w:val="24"/>
                <w:szCs w:val="24"/>
              </w:rPr>
              <w:t xml:space="preserve"> </w:t>
            </w:r>
            <w:r>
              <w:rPr>
                <w:spacing w:val="-4"/>
                <w:sz w:val="24"/>
                <w:szCs w:val="24"/>
              </w:rPr>
              <w:t>吉中西线的</w:t>
            </w:r>
            <w:r>
              <w:rPr>
                <w:rFonts w:ascii="Times New Roman" w:hAnsi="Times New Roman" w:eastAsia="Times New Roman" w:cs="Times New Roman"/>
                <w:spacing w:val="2"/>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 xml:space="preserve"> </w:t>
            </w:r>
            <w:r>
              <w:rPr>
                <w:spacing w:val="2"/>
                <w:sz w:val="24"/>
                <w:szCs w:val="24"/>
              </w:rPr>
              <w:t>线路，以上涉及变电站及线路属于</w:t>
            </w:r>
            <w:r>
              <w:rPr>
                <w:spacing w:val="-39"/>
                <w:sz w:val="24"/>
                <w:szCs w:val="24"/>
              </w:rPr>
              <w:t xml:space="preserve"> </w:t>
            </w:r>
            <w:r>
              <w:rPr>
                <w:rFonts w:ascii="Times New Roman" w:hAnsi="Times New Roman" w:eastAsia="Times New Roman" w:cs="Times New Roman"/>
                <w:spacing w:val="2"/>
                <w:sz w:val="24"/>
                <w:szCs w:val="24"/>
              </w:rPr>
              <w:t>220</w:t>
            </w:r>
            <w:r>
              <w:rPr>
                <w:rFonts w:ascii="Times New Roman" w:hAnsi="Times New Roman" w:eastAsia="Times New Roman" w:cs="Times New Roman"/>
                <w:sz w:val="24"/>
                <w:szCs w:val="24"/>
              </w:rPr>
              <w:t>kV</w:t>
            </w:r>
            <w:r>
              <w:rPr>
                <w:rFonts w:ascii="Times New Roman" w:hAnsi="Times New Roman" w:eastAsia="Times New Roman" w:cs="Times New Roman"/>
                <w:spacing w:val="23"/>
                <w:sz w:val="24"/>
                <w:szCs w:val="24"/>
              </w:rPr>
              <w:t xml:space="preserve"> </w:t>
            </w:r>
            <w:r>
              <w:rPr>
                <w:spacing w:val="2"/>
                <w:sz w:val="24"/>
                <w:szCs w:val="24"/>
              </w:rPr>
              <w:t>芳华输变电工程中建设内</w:t>
            </w:r>
            <w:r>
              <w:rPr>
                <w:spacing w:val="-7"/>
                <w:sz w:val="24"/>
                <w:szCs w:val="24"/>
              </w:rPr>
              <w:t>容，</w:t>
            </w:r>
            <w:r>
              <w:rPr>
                <w:spacing w:val="-64"/>
                <w:sz w:val="24"/>
                <w:szCs w:val="24"/>
              </w:rPr>
              <w:t xml:space="preserve"> </w:t>
            </w:r>
            <w:r>
              <w:rPr>
                <w:spacing w:val="-7"/>
                <w:sz w:val="24"/>
                <w:szCs w:val="24"/>
              </w:rPr>
              <w:t>目前未开工建设。</w:t>
            </w:r>
          </w:p>
          <w:p w14:paraId="6F2C2C46">
            <w:pPr>
              <w:pStyle w:val="6"/>
              <w:spacing w:before="1" w:line="359" w:lineRule="auto"/>
              <w:ind w:left="103" w:firstLine="479"/>
              <w:jc w:val="both"/>
              <w:rPr>
                <w:sz w:val="24"/>
                <w:szCs w:val="24"/>
              </w:rPr>
            </w:pPr>
            <w:r>
              <w:rPr>
                <w:spacing w:val="-5"/>
                <w:sz w:val="24"/>
                <w:szCs w:val="24"/>
              </w:rPr>
              <w:t>根据调查，</w:t>
            </w:r>
            <w:r>
              <w:rPr>
                <w:rFonts w:ascii="Times New Roman" w:hAnsi="Times New Roman" w:eastAsia="Times New Roman" w:cs="Times New Roman"/>
                <w:spacing w:val="-5"/>
                <w:sz w:val="24"/>
                <w:szCs w:val="24"/>
              </w:rPr>
              <w:t>220kV</w:t>
            </w:r>
            <w:r>
              <w:rPr>
                <w:rFonts w:ascii="Times New Roman" w:hAnsi="Times New Roman" w:eastAsia="Times New Roman" w:cs="Times New Roman"/>
                <w:spacing w:val="20"/>
                <w:sz w:val="24"/>
                <w:szCs w:val="24"/>
              </w:rPr>
              <w:t xml:space="preserve"> </w:t>
            </w:r>
            <w:r>
              <w:rPr>
                <w:spacing w:val="-5"/>
                <w:sz w:val="24"/>
                <w:szCs w:val="24"/>
              </w:rPr>
              <w:t>芳华输变电工程于</w:t>
            </w:r>
            <w:r>
              <w:rPr>
                <w:spacing w:val="-55"/>
                <w:sz w:val="24"/>
                <w:szCs w:val="24"/>
              </w:rPr>
              <w:t xml:space="preserve"> </w:t>
            </w:r>
            <w:r>
              <w:rPr>
                <w:rFonts w:ascii="Times New Roman" w:hAnsi="Times New Roman" w:eastAsia="Times New Roman" w:cs="Times New Roman"/>
                <w:spacing w:val="-5"/>
                <w:sz w:val="24"/>
                <w:szCs w:val="24"/>
              </w:rPr>
              <w:t xml:space="preserve">2025 </w:t>
            </w:r>
            <w:r>
              <w:rPr>
                <w:spacing w:val="-5"/>
                <w:sz w:val="24"/>
                <w:szCs w:val="24"/>
              </w:rPr>
              <w:t>年</w:t>
            </w:r>
            <w:r>
              <w:rPr>
                <w:spacing w:val="-51"/>
                <w:sz w:val="24"/>
                <w:szCs w:val="24"/>
              </w:rPr>
              <w:t xml:space="preserve"> </w:t>
            </w:r>
            <w:r>
              <w:rPr>
                <w:rFonts w:ascii="Times New Roman" w:hAnsi="Times New Roman" w:eastAsia="Times New Roman" w:cs="Times New Roman"/>
                <w:spacing w:val="-5"/>
                <w:sz w:val="24"/>
                <w:szCs w:val="24"/>
              </w:rPr>
              <w:t>7</w:t>
            </w:r>
            <w:r>
              <w:rPr>
                <w:rFonts w:ascii="Times New Roman" w:hAnsi="Times New Roman" w:eastAsia="Times New Roman" w:cs="Times New Roman"/>
                <w:spacing w:val="15"/>
                <w:sz w:val="24"/>
                <w:szCs w:val="24"/>
              </w:rPr>
              <w:t xml:space="preserve"> </w:t>
            </w:r>
            <w:r>
              <w:rPr>
                <w:spacing w:val="-5"/>
                <w:sz w:val="24"/>
                <w:szCs w:val="24"/>
              </w:rPr>
              <w:t>月</w:t>
            </w:r>
            <w:r>
              <w:rPr>
                <w:spacing w:val="-55"/>
                <w:sz w:val="24"/>
                <w:szCs w:val="24"/>
              </w:rPr>
              <w:t xml:space="preserve"> </w:t>
            </w:r>
            <w:r>
              <w:rPr>
                <w:rFonts w:ascii="Times New Roman" w:hAnsi="Times New Roman" w:eastAsia="Times New Roman" w:cs="Times New Roman"/>
                <w:spacing w:val="-5"/>
                <w:sz w:val="24"/>
                <w:szCs w:val="24"/>
              </w:rPr>
              <w:t xml:space="preserve">23  </w:t>
            </w:r>
            <w:r>
              <w:rPr>
                <w:spacing w:val="-5"/>
                <w:sz w:val="24"/>
                <w:szCs w:val="24"/>
              </w:rPr>
              <w:t>日取得了曲靖市生</w:t>
            </w:r>
            <w:r>
              <w:rPr>
                <w:spacing w:val="-1"/>
                <w:sz w:val="24"/>
                <w:szCs w:val="24"/>
              </w:rPr>
              <w:t>态环境局《关于</w:t>
            </w:r>
            <w:r>
              <w:rPr>
                <w:spacing w:val="-55"/>
                <w:sz w:val="24"/>
                <w:szCs w:val="24"/>
              </w:rPr>
              <w:t xml:space="preserve">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15"/>
                <w:w w:val="101"/>
                <w:sz w:val="24"/>
                <w:szCs w:val="24"/>
              </w:rPr>
              <w:t xml:space="preserve"> </w:t>
            </w:r>
            <w:r>
              <w:rPr>
                <w:spacing w:val="-1"/>
                <w:sz w:val="24"/>
                <w:szCs w:val="24"/>
              </w:rPr>
              <w:t>芳华（大马路）</w:t>
            </w:r>
            <w:r>
              <w:rPr>
                <w:spacing w:val="-2"/>
                <w:sz w:val="24"/>
                <w:szCs w:val="24"/>
              </w:rPr>
              <w:t>输变电工程环境影响报告表的批复》</w:t>
            </w:r>
            <w:r>
              <w:rPr>
                <w:sz w:val="24"/>
                <w:szCs w:val="24"/>
              </w:rPr>
              <w:t xml:space="preserve"> </w:t>
            </w:r>
            <w:r>
              <w:rPr>
                <w:spacing w:val="-3"/>
                <w:sz w:val="24"/>
                <w:szCs w:val="24"/>
              </w:rPr>
              <w:t>（曲环审〔</w:t>
            </w:r>
            <w:r>
              <w:rPr>
                <w:rFonts w:ascii="Times New Roman" w:hAnsi="Times New Roman" w:eastAsia="Times New Roman" w:cs="Times New Roman"/>
                <w:spacing w:val="-3"/>
                <w:sz w:val="24"/>
                <w:szCs w:val="24"/>
              </w:rPr>
              <w:t>2025</w:t>
            </w:r>
            <w:r>
              <w:rPr>
                <w:spacing w:val="-3"/>
                <w:sz w:val="24"/>
                <w:szCs w:val="24"/>
              </w:rPr>
              <w:t>〕</w:t>
            </w:r>
            <w:r>
              <w:rPr>
                <w:rFonts w:ascii="Times New Roman" w:hAnsi="Times New Roman" w:eastAsia="Times New Roman" w:cs="Times New Roman"/>
                <w:spacing w:val="-3"/>
                <w:sz w:val="24"/>
                <w:szCs w:val="24"/>
              </w:rPr>
              <w:t>42</w:t>
            </w:r>
            <w:r>
              <w:rPr>
                <w:rFonts w:ascii="Times New Roman" w:hAnsi="Times New Roman" w:eastAsia="Times New Roman" w:cs="Times New Roman"/>
                <w:spacing w:val="29"/>
                <w:sz w:val="24"/>
                <w:szCs w:val="24"/>
              </w:rPr>
              <w:t xml:space="preserve"> </w:t>
            </w:r>
            <w:r>
              <w:rPr>
                <w:spacing w:val="-3"/>
                <w:sz w:val="24"/>
                <w:szCs w:val="24"/>
              </w:rPr>
              <w:t>号，见附件</w:t>
            </w:r>
            <w:r>
              <w:rPr>
                <w:spacing w:val="-55"/>
                <w:sz w:val="24"/>
                <w:szCs w:val="24"/>
              </w:rPr>
              <w:t xml:space="preserve"> </w:t>
            </w:r>
            <w:r>
              <w:rPr>
                <w:rFonts w:ascii="Times New Roman" w:hAnsi="Times New Roman" w:eastAsia="Times New Roman" w:cs="Times New Roman"/>
                <w:spacing w:val="-3"/>
                <w:sz w:val="24"/>
                <w:szCs w:val="24"/>
              </w:rPr>
              <w:t>20</w:t>
            </w:r>
            <w:r>
              <w:rPr>
                <w:spacing w:val="-3"/>
                <w:sz w:val="24"/>
                <w:szCs w:val="24"/>
              </w:rPr>
              <w:t>）。</w:t>
            </w:r>
            <w:r>
              <w:rPr>
                <w:spacing w:val="-65"/>
                <w:sz w:val="24"/>
                <w:szCs w:val="24"/>
              </w:rPr>
              <w:t xml:space="preserve"> </w:t>
            </w:r>
            <w:r>
              <w:rPr>
                <w:spacing w:val="-3"/>
                <w:sz w:val="24"/>
                <w:szCs w:val="24"/>
              </w:rPr>
              <w:t>目前，该工程尚未开工建设。</w:t>
            </w:r>
          </w:p>
          <w:p w14:paraId="3C896F60">
            <w:pPr>
              <w:pStyle w:val="6"/>
              <w:spacing w:line="220" w:lineRule="auto"/>
              <w:ind w:left="100"/>
              <w:rPr>
                <w:sz w:val="24"/>
                <w:szCs w:val="24"/>
              </w:rPr>
            </w:pPr>
            <w:r>
              <w:rPr>
                <w:rFonts w:ascii="Times New Roman" w:hAnsi="Times New Roman" w:eastAsia="Times New Roman" w:cs="Times New Roman"/>
                <w:b/>
                <w:bCs/>
                <w:spacing w:val="-3"/>
                <w:sz w:val="24"/>
                <w:szCs w:val="24"/>
              </w:rPr>
              <w:t>2</w:t>
            </w:r>
            <w:r>
              <w:rPr>
                <w:rFonts w:ascii="Times New Roman" w:hAnsi="Times New Roman" w:eastAsia="Times New Roman" w:cs="Times New Roman"/>
                <w:b/>
                <w:bCs/>
                <w:spacing w:val="-34"/>
                <w:sz w:val="24"/>
                <w:szCs w:val="24"/>
              </w:rPr>
              <w:t xml:space="preserve"> </w:t>
            </w:r>
            <w:r>
              <w:rPr>
                <w:b/>
                <w:bCs/>
                <w:spacing w:val="-3"/>
                <w:sz w:val="24"/>
                <w:szCs w:val="24"/>
              </w:rPr>
              <w:t>、与项目有关工程的原有污染情况及主要环境问题</w:t>
            </w:r>
          </w:p>
          <w:p w14:paraId="5CBFAE04">
            <w:pPr>
              <w:pStyle w:val="6"/>
              <w:spacing w:before="179" w:line="220" w:lineRule="auto"/>
              <w:ind w:left="595"/>
              <w:rPr>
                <w:sz w:val="24"/>
                <w:szCs w:val="24"/>
              </w:rPr>
            </w:pPr>
            <w:r>
              <w:rPr>
                <w:b/>
                <w:bCs/>
                <w:spacing w:val="-3"/>
                <w:sz w:val="24"/>
                <w:szCs w:val="24"/>
              </w:rPr>
              <w:t>（</w:t>
            </w:r>
            <w:r>
              <w:rPr>
                <w:rFonts w:ascii="Times New Roman" w:hAnsi="Times New Roman" w:eastAsia="Times New Roman" w:cs="Times New Roman"/>
                <w:b/>
                <w:bCs/>
                <w:spacing w:val="-3"/>
                <w:sz w:val="24"/>
                <w:szCs w:val="24"/>
              </w:rPr>
              <w:t>1</w:t>
            </w:r>
            <w:r>
              <w:rPr>
                <w:b/>
                <w:bCs/>
                <w:spacing w:val="-3"/>
                <w:sz w:val="24"/>
                <w:szCs w:val="24"/>
              </w:rPr>
              <w:t>）与项目有关工程的原有污染情况</w:t>
            </w:r>
          </w:p>
          <w:p w14:paraId="4672E7CD">
            <w:pPr>
              <w:pStyle w:val="6"/>
              <w:spacing w:before="179" w:line="362" w:lineRule="auto"/>
              <w:ind w:left="103" w:right="100" w:firstLine="480"/>
              <w:rPr>
                <w:sz w:val="24"/>
                <w:szCs w:val="24"/>
              </w:rPr>
            </w:pPr>
            <w:r>
              <w:rPr>
                <w:spacing w:val="5"/>
                <w:sz w:val="24"/>
                <w:szCs w:val="24"/>
              </w:rPr>
              <w:t>根据调查，本项目相关的</w:t>
            </w:r>
            <w:r>
              <w:rPr>
                <w:rFonts w:ascii="Times New Roman" w:hAnsi="Times New Roman" w:eastAsia="Times New Roman" w:cs="Times New Roman"/>
                <w:spacing w:val="5"/>
                <w:sz w:val="24"/>
                <w:szCs w:val="24"/>
              </w:rPr>
              <w:t>220</w:t>
            </w:r>
            <w:r>
              <w:rPr>
                <w:rFonts w:ascii="Times New Roman" w:hAnsi="Times New Roman" w:eastAsia="Times New Roman" w:cs="Times New Roman"/>
                <w:sz w:val="24"/>
                <w:szCs w:val="24"/>
              </w:rPr>
              <w:t>kV</w:t>
            </w:r>
            <w:r>
              <w:rPr>
                <w:rFonts w:ascii="Times New Roman" w:hAnsi="Times New Roman" w:eastAsia="Times New Roman" w:cs="Times New Roman"/>
                <w:spacing w:val="21"/>
                <w:sz w:val="24"/>
                <w:szCs w:val="24"/>
              </w:rPr>
              <w:t xml:space="preserve"> </w:t>
            </w:r>
            <w:r>
              <w:rPr>
                <w:spacing w:val="5"/>
                <w:sz w:val="24"/>
                <w:szCs w:val="24"/>
              </w:rPr>
              <w:t>芳华输变电工程尚未开工建设，</w:t>
            </w:r>
            <w:r>
              <w:rPr>
                <w:spacing w:val="4"/>
                <w:sz w:val="24"/>
                <w:szCs w:val="24"/>
              </w:rPr>
              <w:t>不涉</w:t>
            </w:r>
            <w:r>
              <w:rPr>
                <w:spacing w:val="-3"/>
                <w:sz w:val="24"/>
                <w:szCs w:val="24"/>
              </w:rPr>
              <w:t>及施工期环境影响、运行期电磁环境污染源。引用《</w:t>
            </w: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32"/>
                <w:w w:val="101"/>
                <w:sz w:val="24"/>
                <w:szCs w:val="24"/>
              </w:rPr>
              <w:t xml:space="preserve"> </w:t>
            </w:r>
            <w:r>
              <w:rPr>
                <w:spacing w:val="-3"/>
                <w:sz w:val="24"/>
                <w:szCs w:val="24"/>
              </w:rPr>
              <w:t>芳华输变电工程</w:t>
            </w:r>
          </w:p>
        </w:tc>
      </w:tr>
    </w:tbl>
    <w:p w14:paraId="5C0CA160">
      <w:pPr>
        <w:rPr>
          <w:rFonts w:ascii="Arial"/>
          <w:sz w:val="21"/>
        </w:rPr>
      </w:pPr>
    </w:p>
    <w:p w14:paraId="5B90A567">
      <w:pPr>
        <w:rPr>
          <w:rFonts w:ascii="Arial" w:hAnsi="Arial" w:eastAsia="Arial" w:cs="Arial"/>
          <w:sz w:val="21"/>
          <w:szCs w:val="21"/>
        </w:rPr>
        <w:sectPr>
          <w:footerReference r:id="rId81" w:type="default"/>
          <w:pgSz w:w="11907" w:h="16840"/>
          <w:pgMar w:top="400" w:right="1682" w:bottom="1240" w:left="1682" w:header="0" w:footer="1077" w:gutter="0"/>
          <w:cols w:space="720" w:num="1"/>
        </w:sectPr>
      </w:pPr>
    </w:p>
    <w:p w14:paraId="2039034C">
      <w:pPr>
        <w:spacing w:before="19"/>
      </w:pPr>
    </w:p>
    <w:p w14:paraId="670A6863">
      <w:pPr>
        <w:spacing w:before="19"/>
      </w:pPr>
    </w:p>
    <w:p w14:paraId="30DF5411">
      <w:pPr>
        <w:spacing w:before="18"/>
      </w:pPr>
    </w:p>
    <w:p w14:paraId="79727B81">
      <w:pPr>
        <w:spacing w:before="18"/>
      </w:pPr>
    </w:p>
    <w:tbl>
      <w:tblPr>
        <w:tblStyle w:val="5"/>
        <w:tblW w:w="852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4"/>
        <w:gridCol w:w="8063"/>
      </w:tblGrid>
      <w:tr w14:paraId="4A93A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79" w:hRule="atLeast"/>
        </w:trPr>
        <w:tc>
          <w:tcPr>
            <w:tcW w:w="464" w:type="dxa"/>
            <w:vAlign w:val="top"/>
          </w:tcPr>
          <w:p w14:paraId="696B75AB">
            <w:pPr>
              <w:rPr>
                <w:rFonts w:ascii="Arial"/>
                <w:sz w:val="21"/>
              </w:rPr>
            </w:pPr>
          </w:p>
        </w:tc>
        <w:tc>
          <w:tcPr>
            <w:tcW w:w="8063" w:type="dxa"/>
            <w:vAlign w:val="top"/>
          </w:tcPr>
          <w:p w14:paraId="6E318C2A">
            <w:pPr>
              <w:pStyle w:val="6"/>
              <w:spacing w:before="40" w:line="359" w:lineRule="auto"/>
              <w:ind w:left="104" w:right="102" w:hanging="1"/>
              <w:jc w:val="both"/>
              <w:rPr>
                <w:sz w:val="24"/>
                <w:szCs w:val="24"/>
              </w:rPr>
            </w:pPr>
            <w:r>
              <w:rPr>
                <w:spacing w:val="-2"/>
                <w:sz w:val="24"/>
                <w:szCs w:val="24"/>
              </w:rPr>
              <w:t>环境影响报告表》中相关结论，“项目在设</w:t>
            </w:r>
            <w:r>
              <w:rPr>
                <w:spacing w:val="-3"/>
                <w:sz w:val="24"/>
                <w:szCs w:val="24"/>
              </w:rPr>
              <w:t>计、施工、运行过程中将按照国家相关环境保护要求，采取各项环境保护措施，减轻工程建设产生的环境影</w:t>
            </w:r>
            <w:r>
              <w:rPr>
                <w:spacing w:val="-1"/>
                <w:sz w:val="24"/>
                <w:szCs w:val="24"/>
              </w:rPr>
              <w:t>响，对环境污染和生态破坏的程度可以接受</w:t>
            </w:r>
            <w:r>
              <w:rPr>
                <w:spacing w:val="-79"/>
                <w:sz w:val="24"/>
                <w:szCs w:val="24"/>
              </w:rPr>
              <w:t xml:space="preserve"> </w:t>
            </w:r>
            <w:r>
              <w:rPr>
                <w:spacing w:val="-1"/>
                <w:sz w:val="24"/>
                <w:szCs w:val="24"/>
              </w:rPr>
              <w:t>”。</w:t>
            </w:r>
          </w:p>
          <w:p w14:paraId="1DFA8523">
            <w:pPr>
              <w:pStyle w:val="6"/>
              <w:spacing w:line="220" w:lineRule="auto"/>
              <w:ind w:left="595"/>
              <w:rPr>
                <w:sz w:val="24"/>
                <w:szCs w:val="24"/>
              </w:rPr>
            </w:pPr>
            <w:r>
              <w:rPr>
                <w:b/>
                <w:bCs/>
                <w:spacing w:val="-4"/>
                <w:sz w:val="24"/>
                <w:szCs w:val="24"/>
              </w:rPr>
              <w:t>（</w:t>
            </w:r>
            <w:r>
              <w:rPr>
                <w:rFonts w:ascii="Times New Roman" w:hAnsi="Times New Roman" w:eastAsia="Times New Roman" w:cs="Times New Roman"/>
                <w:b/>
                <w:bCs/>
                <w:spacing w:val="-4"/>
                <w:sz w:val="24"/>
                <w:szCs w:val="24"/>
              </w:rPr>
              <w:t>2</w:t>
            </w:r>
            <w:r>
              <w:rPr>
                <w:b/>
                <w:bCs/>
                <w:spacing w:val="-4"/>
                <w:sz w:val="24"/>
                <w:szCs w:val="24"/>
              </w:rPr>
              <w:t>）与项目有关的主要环境问题</w:t>
            </w:r>
          </w:p>
          <w:p w14:paraId="32045DF1">
            <w:pPr>
              <w:pStyle w:val="6"/>
              <w:spacing w:before="181" w:line="349" w:lineRule="auto"/>
              <w:ind w:left="103" w:right="102" w:firstLine="480"/>
              <w:jc w:val="both"/>
              <w:rPr>
                <w:sz w:val="24"/>
                <w:szCs w:val="24"/>
              </w:rPr>
            </w:pPr>
            <w:r>
              <w:rPr>
                <w:spacing w:val="-3"/>
                <w:sz w:val="24"/>
                <w:szCs w:val="24"/>
              </w:rPr>
              <w:t>本次环境现状监测结果表明，本工程评价范围内的电磁环境和声环境现</w:t>
            </w:r>
            <w:r>
              <w:rPr>
                <w:spacing w:val="-2"/>
                <w:sz w:val="24"/>
                <w:szCs w:val="24"/>
              </w:rPr>
              <w:t>状均满足相应国家标准要求，未发现明显环</w:t>
            </w:r>
            <w:r>
              <w:rPr>
                <w:spacing w:val="-3"/>
                <w:sz w:val="24"/>
                <w:szCs w:val="24"/>
              </w:rPr>
              <w:t>境问题。现状调查期间也未发现</w:t>
            </w:r>
            <w:r>
              <w:rPr>
                <w:spacing w:val="-1"/>
                <w:sz w:val="24"/>
                <w:szCs w:val="24"/>
              </w:rPr>
              <w:t>环境空气、水环境等环境污染问题。</w:t>
            </w:r>
          </w:p>
        </w:tc>
      </w:tr>
      <w:tr w14:paraId="7BE11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92" w:hRule="atLeast"/>
        </w:trPr>
        <w:tc>
          <w:tcPr>
            <w:tcW w:w="464" w:type="dxa"/>
            <w:textDirection w:val="tbRlV"/>
            <w:vAlign w:val="top"/>
          </w:tcPr>
          <w:p w14:paraId="206356B2">
            <w:pPr>
              <w:pStyle w:val="6"/>
              <w:spacing w:before="105" w:line="194" w:lineRule="auto"/>
              <w:ind w:left="3925"/>
              <w:rPr>
                <w:sz w:val="24"/>
                <w:szCs w:val="24"/>
              </w:rPr>
            </w:pPr>
            <w:r>
              <w:rPr>
                <w:spacing w:val="21"/>
                <w:w w:val="117"/>
                <w:sz w:val="24"/>
                <w:szCs w:val="24"/>
              </w:rPr>
              <w:t>生态环境保护</w:t>
            </w:r>
            <w:r>
              <w:rPr>
                <w:spacing w:val="21"/>
                <w:w w:val="117"/>
                <w:position w:val="2"/>
                <w:sz w:val="24"/>
                <w:szCs w:val="24"/>
              </w:rPr>
              <w:t>目</w:t>
            </w:r>
            <w:r>
              <w:rPr>
                <w:spacing w:val="21"/>
                <w:w w:val="117"/>
                <w:sz w:val="24"/>
                <w:szCs w:val="24"/>
              </w:rPr>
              <w:t>标</w:t>
            </w:r>
          </w:p>
        </w:tc>
        <w:tc>
          <w:tcPr>
            <w:tcW w:w="8063" w:type="dxa"/>
            <w:vAlign w:val="top"/>
          </w:tcPr>
          <w:p w14:paraId="75BB5F93">
            <w:pPr>
              <w:pStyle w:val="6"/>
              <w:spacing w:before="35" w:line="218" w:lineRule="auto"/>
              <w:ind w:left="110"/>
              <w:rPr>
                <w:sz w:val="24"/>
                <w:szCs w:val="24"/>
              </w:rPr>
            </w:pPr>
            <w:r>
              <w:rPr>
                <w:rFonts w:ascii="Times New Roman" w:hAnsi="Times New Roman" w:eastAsia="Times New Roman" w:cs="Times New Roman"/>
                <w:b/>
                <w:bCs/>
                <w:spacing w:val="-9"/>
                <w:sz w:val="24"/>
                <w:szCs w:val="24"/>
              </w:rPr>
              <w:t>1</w:t>
            </w:r>
            <w:r>
              <w:rPr>
                <w:rFonts w:ascii="Times New Roman" w:hAnsi="Times New Roman" w:eastAsia="Times New Roman" w:cs="Times New Roman"/>
                <w:b/>
                <w:bCs/>
                <w:spacing w:val="-34"/>
                <w:sz w:val="24"/>
                <w:szCs w:val="24"/>
              </w:rPr>
              <w:t xml:space="preserve"> </w:t>
            </w:r>
            <w:r>
              <w:rPr>
                <w:b/>
                <w:bCs/>
                <w:spacing w:val="-9"/>
                <w:sz w:val="24"/>
                <w:szCs w:val="24"/>
              </w:rPr>
              <w:t>、评价范围</w:t>
            </w:r>
          </w:p>
          <w:p w14:paraId="2CD9007B">
            <w:pPr>
              <w:pStyle w:val="6"/>
              <w:spacing w:before="182" w:line="220" w:lineRule="auto"/>
              <w:ind w:left="590"/>
              <w:rPr>
                <w:sz w:val="24"/>
                <w:szCs w:val="24"/>
              </w:rPr>
            </w:pPr>
            <w:r>
              <w:rPr>
                <w:rFonts w:ascii="Times New Roman" w:hAnsi="Times New Roman" w:eastAsia="Times New Roman" w:cs="Times New Roman"/>
                <w:b/>
                <w:bCs/>
                <w:spacing w:val="-9"/>
                <w:sz w:val="24"/>
                <w:szCs w:val="24"/>
              </w:rPr>
              <w:t>1.1</w:t>
            </w:r>
            <w:r>
              <w:rPr>
                <w:rFonts w:ascii="Times New Roman" w:hAnsi="Times New Roman" w:eastAsia="Times New Roman" w:cs="Times New Roman"/>
                <w:b/>
                <w:bCs/>
                <w:spacing w:val="38"/>
                <w:sz w:val="24"/>
                <w:szCs w:val="24"/>
              </w:rPr>
              <w:t xml:space="preserve"> </w:t>
            </w:r>
            <w:r>
              <w:rPr>
                <w:b/>
                <w:bCs/>
                <w:spacing w:val="-9"/>
                <w:sz w:val="24"/>
                <w:szCs w:val="24"/>
              </w:rPr>
              <w:t>电磁环境</w:t>
            </w:r>
          </w:p>
          <w:p w14:paraId="6330B5B5">
            <w:pPr>
              <w:pStyle w:val="6"/>
              <w:spacing w:before="179" w:line="360" w:lineRule="auto"/>
              <w:ind w:left="104" w:right="102" w:firstLine="480"/>
              <w:rPr>
                <w:sz w:val="24"/>
                <w:szCs w:val="24"/>
              </w:rPr>
            </w:pPr>
            <w:r>
              <w:rPr>
                <w:spacing w:val="-2"/>
                <w:sz w:val="24"/>
                <w:szCs w:val="24"/>
              </w:rPr>
              <w:t>依据《环境影响评价技术导则 输变电》（</w:t>
            </w:r>
            <w:r>
              <w:rPr>
                <w:rFonts w:ascii="Times New Roman" w:hAnsi="Times New Roman" w:eastAsia="Times New Roman" w:cs="Times New Roman"/>
                <w:spacing w:val="-2"/>
                <w:sz w:val="24"/>
                <w:szCs w:val="24"/>
              </w:rPr>
              <w:t>HJ24-2020</w:t>
            </w:r>
            <w:r>
              <w:rPr>
                <w:spacing w:val="-1"/>
                <w:sz w:val="24"/>
                <w:szCs w:val="24"/>
              </w:rPr>
              <w:t>），</w:t>
            </w:r>
            <w:r>
              <w:rPr>
                <w:spacing w:val="-2"/>
                <w:sz w:val="24"/>
                <w:szCs w:val="24"/>
              </w:rPr>
              <w:t>本工程电磁环境影响评价范围为：</w:t>
            </w:r>
          </w:p>
          <w:p w14:paraId="250044D1">
            <w:pPr>
              <w:pStyle w:val="6"/>
              <w:spacing w:before="2" w:line="358" w:lineRule="auto"/>
              <w:ind w:left="103" w:right="22" w:firstLine="491"/>
              <w:rPr>
                <w:sz w:val="24"/>
                <w:szCs w:val="24"/>
              </w:rPr>
            </w:pPr>
            <w:r>
              <w:rPr>
                <w:spacing w:val="-3"/>
                <w:sz w:val="24"/>
                <w:szCs w:val="24"/>
              </w:rPr>
              <w:t>（</w:t>
            </w:r>
            <w:r>
              <w:rPr>
                <w:rFonts w:ascii="Times New Roman" w:hAnsi="Times New Roman" w:eastAsia="Times New Roman" w:cs="Times New Roman"/>
                <w:spacing w:val="-3"/>
                <w:sz w:val="24"/>
                <w:szCs w:val="24"/>
              </w:rPr>
              <w:t>1</w:t>
            </w:r>
            <w:r>
              <w:rPr>
                <w:spacing w:val="-3"/>
                <w:sz w:val="24"/>
                <w:szCs w:val="24"/>
              </w:rPr>
              <w:t>）变电站：</w:t>
            </w: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17"/>
                <w:w w:val="101"/>
                <w:sz w:val="24"/>
                <w:szCs w:val="24"/>
              </w:rPr>
              <w:t xml:space="preserve"> </w:t>
            </w:r>
            <w:r>
              <w:rPr>
                <w:spacing w:val="-3"/>
                <w:sz w:val="24"/>
                <w:szCs w:val="24"/>
              </w:rPr>
              <w:t>芳华变电站站界外</w:t>
            </w:r>
            <w:r>
              <w:rPr>
                <w:spacing w:val="-56"/>
                <w:sz w:val="24"/>
                <w:szCs w:val="24"/>
              </w:rPr>
              <w:t xml:space="preserve"> </w:t>
            </w:r>
            <w:r>
              <w:rPr>
                <w:rFonts w:ascii="Times New Roman" w:hAnsi="Times New Roman" w:eastAsia="Times New Roman" w:cs="Times New Roman"/>
                <w:spacing w:val="-3"/>
                <w:sz w:val="24"/>
                <w:szCs w:val="24"/>
              </w:rPr>
              <w:t>4</w:t>
            </w:r>
            <w:r>
              <w:rPr>
                <w:rFonts w:ascii="Times New Roman" w:hAnsi="Times New Roman" w:eastAsia="Times New Roman" w:cs="Times New Roman"/>
                <w:spacing w:val="-4"/>
                <w:sz w:val="24"/>
                <w:szCs w:val="24"/>
              </w:rPr>
              <w:t xml:space="preserve">0m </w:t>
            </w:r>
            <w:r>
              <w:rPr>
                <w:spacing w:val="-4"/>
                <w:sz w:val="24"/>
                <w:szCs w:val="24"/>
              </w:rPr>
              <w:t>范围内（本期</w:t>
            </w:r>
            <w:r>
              <w:rPr>
                <w:spacing w:val="-55"/>
                <w:sz w:val="24"/>
                <w:szCs w:val="24"/>
              </w:rPr>
              <w:t xml:space="preserve"> </w:t>
            </w:r>
            <w:r>
              <w:rPr>
                <w:rFonts w:ascii="Times New Roman" w:hAnsi="Times New Roman" w:eastAsia="Times New Roman" w:cs="Times New Roman"/>
                <w:spacing w:val="-4"/>
                <w:sz w:val="24"/>
                <w:szCs w:val="24"/>
              </w:rPr>
              <w:t>220kV</w:t>
            </w:r>
            <w:r>
              <w:rPr>
                <w:rFonts w:ascii="Times New Roman" w:hAnsi="Times New Roman" w:eastAsia="Times New Roman" w:cs="Times New Roman"/>
                <w:spacing w:val="15"/>
                <w:w w:val="101"/>
                <w:sz w:val="24"/>
                <w:szCs w:val="24"/>
              </w:rPr>
              <w:t xml:space="preserve"> </w:t>
            </w:r>
            <w:r>
              <w:rPr>
                <w:spacing w:val="-4"/>
                <w:sz w:val="24"/>
                <w:szCs w:val="24"/>
              </w:rPr>
              <w:t>芳华</w:t>
            </w:r>
            <w:r>
              <w:rPr>
                <w:spacing w:val="-7"/>
                <w:sz w:val="24"/>
                <w:szCs w:val="24"/>
              </w:rPr>
              <w:t>变电站扩建</w:t>
            </w:r>
            <w:r>
              <w:rPr>
                <w:spacing w:val="-24"/>
                <w:sz w:val="24"/>
                <w:szCs w:val="24"/>
              </w:rPr>
              <w:t xml:space="preserve"> </w:t>
            </w:r>
            <w:r>
              <w:rPr>
                <w:rFonts w:ascii="Times New Roman" w:hAnsi="Times New Roman" w:eastAsia="Times New Roman" w:cs="Times New Roman"/>
                <w:spacing w:val="-7"/>
                <w:sz w:val="24"/>
                <w:szCs w:val="24"/>
              </w:rPr>
              <w:t>1</w:t>
            </w:r>
            <w:r>
              <w:rPr>
                <w:rFonts w:ascii="Times New Roman" w:hAnsi="Times New Roman" w:eastAsia="Times New Roman" w:cs="Times New Roman"/>
                <w:spacing w:val="33"/>
                <w:w w:val="101"/>
                <w:sz w:val="24"/>
                <w:szCs w:val="24"/>
              </w:rPr>
              <w:t xml:space="preserve"> </w:t>
            </w:r>
            <w:r>
              <w:rPr>
                <w:spacing w:val="-7"/>
                <w:sz w:val="24"/>
                <w:szCs w:val="24"/>
              </w:rPr>
              <w:t>回</w:t>
            </w:r>
            <w:r>
              <w:rPr>
                <w:spacing w:val="-32"/>
                <w:sz w:val="24"/>
                <w:szCs w:val="24"/>
              </w:rPr>
              <w:t xml:space="preserve"> </w:t>
            </w:r>
            <w:r>
              <w:rPr>
                <w:rFonts w:ascii="Times New Roman" w:hAnsi="Times New Roman" w:eastAsia="Times New Roman" w:cs="Times New Roman"/>
                <w:spacing w:val="-7"/>
                <w:sz w:val="24"/>
                <w:szCs w:val="24"/>
              </w:rPr>
              <w:t>110kV</w:t>
            </w:r>
            <w:r>
              <w:rPr>
                <w:rFonts w:ascii="Times New Roman" w:hAnsi="Times New Roman" w:eastAsia="Times New Roman" w:cs="Times New Roman"/>
                <w:spacing w:val="29"/>
                <w:w w:val="101"/>
                <w:sz w:val="24"/>
                <w:szCs w:val="24"/>
              </w:rPr>
              <w:t xml:space="preserve"> </w:t>
            </w:r>
            <w:r>
              <w:rPr>
                <w:spacing w:val="-7"/>
                <w:sz w:val="24"/>
                <w:szCs w:val="24"/>
              </w:rPr>
              <w:t>出线间隔，变电站主体电压等级为</w:t>
            </w:r>
            <w:r>
              <w:rPr>
                <w:spacing w:val="-55"/>
                <w:sz w:val="24"/>
                <w:szCs w:val="24"/>
              </w:rPr>
              <w:t xml:space="preserve"> </w:t>
            </w:r>
            <w:r>
              <w:rPr>
                <w:rFonts w:ascii="Times New Roman" w:hAnsi="Times New Roman" w:eastAsia="Times New Roman" w:cs="Times New Roman"/>
                <w:spacing w:val="-7"/>
                <w:sz w:val="24"/>
                <w:szCs w:val="24"/>
              </w:rPr>
              <w:t>220kV</w:t>
            </w:r>
            <w:r>
              <w:rPr>
                <w:spacing w:val="-7"/>
                <w:sz w:val="24"/>
                <w:szCs w:val="24"/>
              </w:rPr>
              <w:t>，评价范围</w:t>
            </w:r>
            <w:r>
              <w:rPr>
                <w:spacing w:val="-3"/>
                <w:sz w:val="24"/>
                <w:szCs w:val="24"/>
              </w:rPr>
              <w:t>按照芳华变电站的电压等级确定</w:t>
            </w:r>
            <w:r>
              <w:rPr>
                <w:spacing w:val="14"/>
                <w:sz w:val="24"/>
                <w:szCs w:val="24"/>
              </w:rPr>
              <w:t>）；</w:t>
            </w:r>
            <w:r>
              <w:rPr>
                <w:rFonts w:ascii="Times New Roman" w:hAnsi="Times New Roman" w:eastAsia="Times New Roman" w:cs="Times New Roman"/>
                <w:spacing w:val="-3"/>
                <w:sz w:val="24"/>
                <w:szCs w:val="24"/>
              </w:rPr>
              <w:t xml:space="preserve">110kV </w:t>
            </w:r>
            <w:r>
              <w:rPr>
                <w:spacing w:val="-3"/>
                <w:sz w:val="24"/>
                <w:szCs w:val="24"/>
              </w:rPr>
              <w:t>松山变电站站</w:t>
            </w:r>
            <w:r>
              <w:rPr>
                <w:spacing w:val="-4"/>
                <w:sz w:val="24"/>
                <w:szCs w:val="24"/>
              </w:rPr>
              <w:t>界外</w:t>
            </w:r>
            <w:r>
              <w:rPr>
                <w:spacing w:val="-50"/>
                <w:sz w:val="24"/>
                <w:szCs w:val="24"/>
              </w:rPr>
              <w:t xml:space="preserve"> </w:t>
            </w:r>
            <w:r>
              <w:rPr>
                <w:rFonts w:ascii="Times New Roman" w:hAnsi="Times New Roman" w:eastAsia="Times New Roman" w:cs="Times New Roman"/>
                <w:spacing w:val="-4"/>
                <w:sz w:val="24"/>
                <w:szCs w:val="24"/>
              </w:rPr>
              <w:t>30m</w:t>
            </w:r>
            <w:r>
              <w:rPr>
                <w:rFonts w:ascii="Times New Roman" w:hAnsi="Times New Roman" w:eastAsia="Times New Roman" w:cs="Times New Roman"/>
                <w:spacing w:val="16"/>
                <w:sz w:val="24"/>
                <w:szCs w:val="24"/>
              </w:rPr>
              <w:t xml:space="preserve"> </w:t>
            </w:r>
            <w:r>
              <w:rPr>
                <w:spacing w:val="-4"/>
                <w:sz w:val="24"/>
                <w:szCs w:val="24"/>
              </w:rPr>
              <w:t>范围内。</w:t>
            </w:r>
          </w:p>
          <w:p w14:paraId="3042E31B">
            <w:pPr>
              <w:pStyle w:val="6"/>
              <w:spacing w:line="219" w:lineRule="auto"/>
              <w:jc w:val="right"/>
              <w:rPr>
                <w:sz w:val="24"/>
                <w:szCs w:val="24"/>
              </w:rPr>
            </w:pPr>
            <w:r>
              <w:rPr>
                <w:spacing w:val="-6"/>
                <w:sz w:val="24"/>
                <w:szCs w:val="24"/>
              </w:rPr>
              <w:t>（</w:t>
            </w:r>
            <w:r>
              <w:rPr>
                <w:rFonts w:ascii="Times New Roman" w:hAnsi="Times New Roman" w:eastAsia="Times New Roman" w:cs="Times New Roman"/>
                <w:spacing w:val="-6"/>
                <w:sz w:val="24"/>
                <w:szCs w:val="24"/>
              </w:rPr>
              <w:t>2</w:t>
            </w:r>
            <w:r>
              <w:rPr>
                <w:spacing w:val="-6"/>
                <w:sz w:val="24"/>
                <w:szCs w:val="24"/>
              </w:rPr>
              <w:t>）输电线路：</w:t>
            </w:r>
            <w:r>
              <w:rPr>
                <w:rFonts w:ascii="Times New Roman" w:hAnsi="Times New Roman" w:eastAsia="Times New Roman" w:cs="Times New Roman"/>
                <w:spacing w:val="-6"/>
                <w:sz w:val="24"/>
                <w:szCs w:val="24"/>
              </w:rPr>
              <w:t xml:space="preserve">110kV </w:t>
            </w:r>
            <w:r>
              <w:rPr>
                <w:spacing w:val="-6"/>
                <w:sz w:val="24"/>
                <w:szCs w:val="24"/>
              </w:rPr>
              <w:t>输电线路边导线地面投影外两侧各</w:t>
            </w:r>
            <w:r>
              <w:rPr>
                <w:spacing w:val="-51"/>
                <w:sz w:val="24"/>
                <w:szCs w:val="24"/>
              </w:rPr>
              <w:t xml:space="preserve"> </w:t>
            </w:r>
            <w:r>
              <w:rPr>
                <w:rFonts w:ascii="Times New Roman" w:hAnsi="Times New Roman" w:eastAsia="Times New Roman" w:cs="Times New Roman"/>
                <w:spacing w:val="-6"/>
                <w:sz w:val="24"/>
                <w:szCs w:val="24"/>
              </w:rPr>
              <w:t>30m</w:t>
            </w:r>
            <w:r>
              <w:rPr>
                <w:rFonts w:ascii="Times New Roman" w:hAnsi="Times New Roman" w:eastAsia="Times New Roman" w:cs="Times New Roman"/>
                <w:spacing w:val="15"/>
                <w:w w:val="101"/>
                <w:sz w:val="24"/>
                <w:szCs w:val="24"/>
              </w:rPr>
              <w:t xml:space="preserve"> </w:t>
            </w:r>
            <w:r>
              <w:rPr>
                <w:spacing w:val="-6"/>
                <w:sz w:val="24"/>
                <w:szCs w:val="24"/>
              </w:rPr>
              <w:t>范围内。</w:t>
            </w:r>
          </w:p>
          <w:p w14:paraId="61CA9DA8">
            <w:pPr>
              <w:pStyle w:val="6"/>
              <w:spacing w:before="183" w:line="220" w:lineRule="auto"/>
              <w:ind w:left="590"/>
              <w:rPr>
                <w:sz w:val="24"/>
                <w:szCs w:val="24"/>
              </w:rPr>
            </w:pPr>
            <w:r>
              <w:rPr>
                <w:rFonts w:ascii="Times New Roman" w:hAnsi="Times New Roman" w:eastAsia="Times New Roman" w:cs="Times New Roman"/>
                <w:b/>
                <w:bCs/>
                <w:spacing w:val="-6"/>
                <w:sz w:val="24"/>
                <w:szCs w:val="24"/>
              </w:rPr>
              <w:t>1.2</w:t>
            </w:r>
            <w:r>
              <w:rPr>
                <w:rFonts w:ascii="Times New Roman" w:hAnsi="Times New Roman" w:eastAsia="Times New Roman" w:cs="Times New Roman"/>
                <w:b/>
                <w:bCs/>
                <w:spacing w:val="14"/>
                <w:sz w:val="24"/>
                <w:szCs w:val="24"/>
              </w:rPr>
              <w:t xml:space="preserve"> </w:t>
            </w:r>
            <w:r>
              <w:rPr>
                <w:b/>
                <w:bCs/>
                <w:spacing w:val="-6"/>
                <w:sz w:val="24"/>
                <w:szCs w:val="24"/>
              </w:rPr>
              <w:t>声环境</w:t>
            </w:r>
          </w:p>
          <w:p w14:paraId="7C9ECDD0">
            <w:pPr>
              <w:pStyle w:val="6"/>
              <w:spacing w:before="180" w:line="359" w:lineRule="auto"/>
              <w:ind w:left="106" w:right="100" w:firstLine="477"/>
              <w:jc w:val="both"/>
              <w:rPr>
                <w:sz w:val="24"/>
                <w:szCs w:val="24"/>
              </w:rPr>
            </w:pPr>
            <w:r>
              <w:rPr>
                <w:spacing w:val="-2"/>
                <w:sz w:val="24"/>
                <w:szCs w:val="24"/>
              </w:rPr>
              <w:t>根据《环境影响评价技术导则 输变电》（</w:t>
            </w:r>
            <w:r>
              <w:rPr>
                <w:rFonts w:ascii="Times New Roman" w:hAnsi="Times New Roman" w:eastAsia="Times New Roman" w:cs="Times New Roman"/>
                <w:spacing w:val="-2"/>
                <w:sz w:val="24"/>
                <w:szCs w:val="24"/>
              </w:rPr>
              <w:t>HJ24-2020</w:t>
            </w:r>
            <w:r>
              <w:rPr>
                <w:sz w:val="24"/>
                <w:szCs w:val="24"/>
              </w:rPr>
              <w:t>），</w:t>
            </w:r>
            <w:r>
              <w:rPr>
                <w:spacing w:val="-2"/>
                <w:sz w:val="24"/>
                <w:szCs w:val="24"/>
              </w:rPr>
              <w:t>架空输电线路</w:t>
            </w:r>
            <w:r>
              <w:rPr>
                <w:spacing w:val="5"/>
                <w:sz w:val="24"/>
                <w:szCs w:val="24"/>
              </w:rPr>
              <w:t>工程的声环境影响评价范围参照输变电工程电磁环境影响评价范围中相应</w:t>
            </w:r>
            <w:r>
              <w:rPr>
                <w:spacing w:val="-3"/>
                <w:sz w:val="24"/>
                <w:szCs w:val="24"/>
              </w:rPr>
              <w:t>电压等级线路的评价范围，因此声环境影响评价范围为架空线路边导线地面投影外两侧各</w:t>
            </w:r>
            <w:r>
              <w:rPr>
                <w:spacing w:val="-44"/>
                <w:sz w:val="24"/>
                <w:szCs w:val="24"/>
              </w:rPr>
              <w:t xml:space="preserve"> </w:t>
            </w:r>
            <w:r>
              <w:rPr>
                <w:rFonts w:ascii="Times New Roman" w:hAnsi="Times New Roman" w:eastAsia="Times New Roman" w:cs="Times New Roman"/>
                <w:spacing w:val="-3"/>
                <w:sz w:val="24"/>
                <w:szCs w:val="24"/>
              </w:rPr>
              <w:t>30m</w:t>
            </w:r>
            <w:r>
              <w:rPr>
                <w:spacing w:val="-3"/>
                <w:sz w:val="24"/>
                <w:szCs w:val="24"/>
              </w:rPr>
              <w:t>。</w:t>
            </w:r>
          </w:p>
          <w:p w14:paraId="7A273A2F">
            <w:pPr>
              <w:pStyle w:val="6"/>
              <w:spacing w:line="359" w:lineRule="auto"/>
              <w:ind w:left="107" w:right="90" w:firstLine="476"/>
              <w:jc w:val="both"/>
              <w:rPr>
                <w:sz w:val="24"/>
                <w:szCs w:val="24"/>
              </w:rPr>
            </w:pPr>
            <w:r>
              <w:rPr>
                <w:spacing w:val="-3"/>
                <w:sz w:val="24"/>
                <w:szCs w:val="24"/>
              </w:rPr>
              <w:t>根据《环境影响评价技术导则 声环境》（</w:t>
            </w:r>
            <w:r>
              <w:rPr>
                <w:rFonts w:ascii="Times New Roman" w:hAnsi="Times New Roman" w:eastAsia="Times New Roman" w:cs="Times New Roman"/>
                <w:spacing w:val="-3"/>
                <w:sz w:val="24"/>
                <w:szCs w:val="24"/>
              </w:rPr>
              <w:t>HJ2.4-2021</w:t>
            </w:r>
            <w:r>
              <w:rPr>
                <w:spacing w:val="-11"/>
                <w:sz w:val="24"/>
                <w:szCs w:val="24"/>
              </w:rPr>
              <w:t>），</w:t>
            </w:r>
            <w:r>
              <w:rPr>
                <w:spacing w:val="-3"/>
                <w:sz w:val="24"/>
                <w:szCs w:val="24"/>
              </w:rPr>
              <w:t>声环境影响一</w:t>
            </w:r>
            <w:r>
              <w:rPr>
                <w:sz w:val="24"/>
                <w:szCs w:val="24"/>
              </w:rPr>
              <w:t>级评价范围一般为厂界外</w:t>
            </w:r>
            <w:r>
              <w:rPr>
                <w:spacing w:val="-55"/>
                <w:sz w:val="24"/>
                <w:szCs w:val="24"/>
              </w:rPr>
              <w:t xml:space="preserve"> </w:t>
            </w:r>
            <w:r>
              <w:rPr>
                <w:rFonts w:ascii="Times New Roman" w:hAnsi="Times New Roman" w:eastAsia="Times New Roman" w:cs="Times New Roman"/>
                <w:sz w:val="24"/>
                <w:szCs w:val="24"/>
              </w:rPr>
              <w:t>200m</w:t>
            </w:r>
            <w:r>
              <w:rPr>
                <w:rFonts w:ascii="Times New Roman" w:hAnsi="Times New Roman" w:eastAsia="Times New Roman" w:cs="Times New Roman"/>
                <w:spacing w:val="-28"/>
                <w:sz w:val="24"/>
                <w:szCs w:val="24"/>
              </w:rPr>
              <w:t xml:space="preserve"> </w:t>
            </w:r>
            <w:r>
              <w:rPr>
                <w:sz w:val="24"/>
                <w:szCs w:val="24"/>
              </w:rPr>
              <w:t>，二、三级评价范围可根</w:t>
            </w:r>
            <w:r>
              <w:rPr>
                <w:spacing w:val="-1"/>
                <w:sz w:val="24"/>
                <w:szCs w:val="24"/>
              </w:rPr>
              <w:t>据项目区域及相邻</w:t>
            </w:r>
            <w:r>
              <w:rPr>
                <w:spacing w:val="13"/>
                <w:sz w:val="24"/>
                <w:szCs w:val="24"/>
              </w:rPr>
              <w:t>区域的声环境功能类别及声环境保护目标等实际情况适</w:t>
            </w:r>
            <w:r>
              <w:rPr>
                <w:spacing w:val="12"/>
                <w:sz w:val="24"/>
                <w:szCs w:val="24"/>
              </w:rPr>
              <w:t>当缩小；本工程</w:t>
            </w:r>
            <w:r>
              <w:rPr>
                <w:rFonts w:ascii="Times New Roman" w:hAnsi="Times New Roman" w:eastAsia="Times New Roman" w:cs="Times New Roman"/>
                <w:spacing w:val="-1"/>
                <w:sz w:val="24"/>
                <w:szCs w:val="24"/>
              </w:rPr>
              <w:t xml:space="preserve">110kV </w:t>
            </w:r>
            <w:r>
              <w:rPr>
                <w:spacing w:val="-1"/>
                <w:sz w:val="24"/>
                <w:szCs w:val="24"/>
              </w:rPr>
              <w:t>松山变电站和</w:t>
            </w:r>
            <w:r>
              <w:rPr>
                <w:spacing w:val="-46"/>
                <w:sz w:val="24"/>
                <w:szCs w:val="24"/>
              </w:rPr>
              <w:t xml:space="preserve">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15"/>
                <w:w w:val="101"/>
                <w:sz w:val="24"/>
                <w:szCs w:val="24"/>
              </w:rPr>
              <w:t xml:space="preserve"> </w:t>
            </w:r>
            <w:r>
              <w:rPr>
                <w:spacing w:val="-1"/>
                <w:sz w:val="24"/>
                <w:szCs w:val="24"/>
              </w:rPr>
              <w:t>芳华变的声环境以厂界外</w:t>
            </w:r>
            <w:r>
              <w:rPr>
                <w:spacing w:val="-55"/>
                <w:sz w:val="24"/>
                <w:szCs w:val="24"/>
              </w:rPr>
              <w:t xml:space="preserve"> </w:t>
            </w:r>
            <w:r>
              <w:rPr>
                <w:rFonts w:ascii="Times New Roman" w:hAnsi="Times New Roman" w:eastAsia="Times New Roman" w:cs="Times New Roman"/>
                <w:spacing w:val="-1"/>
                <w:sz w:val="24"/>
                <w:szCs w:val="24"/>
              </w:rPr>
              <w:t>200m</w:t>
            </w:r>
            <w:r>
              <w:rPr>
                <w:spacing w:val="-1"/>
                <w:sz w:val="24"/>
                <w:szCs w:val="24"/>
              </w:rPr>
              <w:t>作为评价范围。</w:t>
            </w:r>
          </w:p>
          <w:p w14:paraId="22981EC8">
            <w:pPr>
              <w:pStyle w:val="6"/>
              <w:spacing w:before="1" w:line="220" w:lineRule="auto"/>
              <w:ind w:left="590"/>
              <w:rPr>
                <w:sz w:val="24"/>
                <w:szCs w:val="24"/>
              </w:rPr>
            </w:pPr>
            <w:r>
              <w:rPr>
                <w:rFonts w:ascii="Times New Roman" w:hAnsi="Times New Roman" w:eastAsia="Times New Roman" w:cs="Times New Roman"/>
                <w:b/>
                <w:bCs/>
                <w:spacing w:val="-5"/>
                <w:sz w:val="24"/>
                <w:szCs w:val="24"/>
              </w:rPr>
              <w:t>1.3</w:t>
            </w:r>
            <w:r>
              <w:rPr>
                <w:rFonts w:ascii="Times New Roman" w:hAnsi="Times New Roman" w:eastAsia="Times New Roman" w:cs="Times New Roman"/>
                <w:b/>
                <w:bCs/>
                <w:spacing w:val="11"/>
                <w:sz w:val="24"/>
                <w:szCs w:val="24"/>
              </w:rPr>
              <w:t xml:space="preserve"> </w:t>
            </w:r>
            <w:r>
              <w:rPr>
                <w:b/>
                <w:bCs/>
                <w:spacing w:val="-5"/>
                <w:sz w:val="24"/>
                <w:szCs w:val="24"/>
              </w:rPr>
              <w:t>生态环境</w:t>
            </w:r>
          </w:p>
          <w:p w14:paraId="75851659">
            <w:pPr>
              <w:pStyle w:val="6"/>
              <w:spacing w:before="180" w:line="355" w:lineRule="auto"/>
              <w:ind w:left="104" w:right="100" w:firstLine="479"/>
              <w:jc w:val="both"/>
              <w:rPr>
                <w:sz w:val="24"/>
                <w:szCs w:val="24"/>
              </w:rPr>
            </w:pPr>
            <w:r>
              <w:rPr>
                <w:spacing w:val="-3"/>
                <w:sz w:val="24"/>
                <w:szCs w:val="24"/>
              </w:rPr>
              <w:t>根据《环境影响评价技术导则 输变电》（</w:t>
            </w:r>
            <w:r>
              <w:rPr>
                <w:rFonts w:ascii="Times New Roman" w:hAnsi="Times New Roman" w:eastAsia="Times New Roman" w:cs="Times New Roman"/>
                <w:spacing w:val="-3"/>
                <w:sz w:val="24"/>
                <w:szCs w:val="24"/>
              </w:rPr>
              <w:t>HJ 24-2020</w:t>
            </w:r>
            <w:r>
              <w:rPr>
                <w:spacing w:val="-11"/>
                <w:sz w:val="24"/>
                <w:szCs w:val="24"/>
              </w:rPr>
              <w:t>），</w:t>
            </w:r>
            <w:r>
              <w:rPr>
                <w:spacing w:val="-3"/>
                <w:sz w:val="24"/>
                <w:szCs w:val="24"/>
              </w:rPr>
              <w:t>变电站、换流</w:t>
            </w:r>
            <w:r>
              <w:rPr>
                <w:spacing w:val="5"/>
                <w:sz w:val="24"/>
                <w:szCs w:val="24"/>
              </w:rPr>
              <w:t>站、开关站、串补站、接地极生态环境影响评价范围为站场边界或围墙外</w:t>
            </w:r>
            <w:r>
              <w:rPr>
                <w:rFonts w:ascii="Times New Roman" w:hAnsi="Times New Roman" w:eastAsia="Times New Roman" w:cs="Times New Roman"/>
                <w:sz w:val="24"/>
                <w:szCs w:val="24"/>
              </w:rPr>
              <w:t>500m</w:t>
            </w:r>
            <w:r>
              <w:rPr>
                <w:rFonts w:ascii="Times New Roman" w:hAnsi="Times New Roman" w:eastAsia="Times New Roman" w:cs="Times New Roman"/>
                <w:spacing w:val="39"/>
                <w:sz w:val="24"/>
                <w:szCs w:val="24"/>
              </w:rPr>
              <w:t xml:space="preserve"> </w:t>
            </w:r>
            <w:r>
              <w:rPr>
                <w:sz w:val="24"/>
                <w:szCs w:val="24"/>
              </w:rPr>
              <w:t>内；进入生态敏感区的输电线路段或接地极线路段生</w:t>
            </w:r>
            <w:r>
              <w:rPr>
                <w:spacing w:val="-1"/>
                <w:sz w:val="24"/>
                <w:szCs w:val="24"/>
              </w:rPr>
              <w:t>态环境影响评价</w:t>
            </w:r>
            <w:r>
              <w:rPr>
                <w:spacing w:val="1"/>
                <w:sz w:val="24"/>
                <w:szCs w:val="24"/>
              </w:rPr>
              <w:t>范围为线路边导线地面投影外两侧各</w:t>
            </w:r>
            <w:r>
              <w:rPr>
                <w:spacing w:val="-32"/>
                <w:sz w:val="24"/>
                <w:szCs w:val="24"/>
              </w:rPr>
              <w:t xml:space="preserve"> </w:t>
            </w:r>
            <w:r>
              <w:rPr>
                <w:rFonts w:ascii="Times New Roman" w:hAnsi="Times New Roman" w:eastAsia="Times New Roman" w:cs="Times New Roman"/>
                <w:spacing w:val="1"/>
                <w:sz w:val="24"/>
                <w:szCs w:val="24"/>
              </w:rPr>
              <w:t>1000</w:t>
            </w:r>
            <w:r>
              <w:rPr>
                <w:rFonts w:ascii="Times New Roman" w:hAnsi="Times New Roman" w:eastAsia="Times New Roman" w:cs="Times New Roman"/>
                <w:sz w:val="24"/>
                <w:szCs w:val="24"/>
              </w:rPr>
              <w:t>m</w:t>
            </w:r>
            <w:r>
              <w:rPr>
                <w:rFonts w:ascii="Times New Roman" w:hAnsi="Times New Roman" w:eastAsia="Times New Roman" w:cs="Times New Roman"/>
                <w:spacing w:val="44"/>
                <w:sz w:val="24"/>
                <w:szCs w:val="24"/>
              </w:rPr>
              <w:t xml:space="preserve"> </w:t>
            </w:r>
            <w:r>
              <w:rPr>
                <w:sz w:val="24"/>
                <w:szCs w:val="24"/>
              </w:rPr>
              <w:t>内的带状区域，其余输电线路</w:t>
            </w:r>
          </w:p>
        </w:tc>
      </w:tr>
    </w:tbl>
    <w:p w14:paraId="4FB464B0">
      <w:pPr>
        <w:rPr>
          <w:rFonts w:ascii="Arial"/>
          <w:sz w:val="21"/>
        </w:rPr>
      </w:pPr>
    </w:p>
    <w:p w14:paraId="1FB8FDC7">
      <w:pPr>
        <w:rPr>
          <w:rFonts w:ascii="Arial" w:hAnsi="Arial" w:eastAsia="Arial" w:cs="Arial"/>
          <w:sz w:val="21"/>
          <w:szCs w:val="21"/>
        </w:rPr>
        <w:sectPr>
          <w:footerReference r:id="rId82" w:type="default"/>
          <w:pgSz w:w="11907" w:h="16840"/>
          <w:pgMar w:top="400" w:right="1682" w:bottom="1240" w:left="1682" w:header="0" w:footer="1077" w:gutter="0"/>
          <w:cols w:space="720" w:num="1"/>
        </w:sectPr>
      </w:pPr>
    </w:p>
    <w:p w14:paraId="4126FF33">
      <w:pPr>
        <w:spacing w:before="19"/>
      </w:pPr>
    </w:p>
    <w:p w14:paraId="5E174C32">
      <w:pPr>
        <w:spacing w:before="19"/>
      </w:pPr>
    </w:p>
    <w:p w14:paraId="5803B897">
      <w:pPr>
        <w:spacing w:before="18"/>
      </w:pPr>
    </w:p>
    <w:p w14:paraId="77B1D058">
      <w:pPr>
        <w:spacing w:before="18"/>
      </w:pPr>
    </w:p>
    <w:tbl>
      <w:tblPr>
        <w:tblStyle w:val="5"/>
        <w:tblW w:w="852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4"/>
        <w:gridCol w:w="8063"/>
      </w:tblGrid>
      <w:tr w14:paraId="2E3C9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06" w:hRule="atLeast"/>
        </w:trPr>
        <w:tc>
          <w:tcPr>
            <w:tcW w:w="464" w:type="dxa"/>
            <w:vAlign w:val="top"/>
          </w:tcPr>
          <w:p w14:paraId="72803DDD">
            <w:pPr>
              <w:rPr>
                <w:rFonts w:ascii="Arial"/>
                <w:sz w:val="21"/>
              </w:rPr>
            </w:pPr>
          </w:p>
        </w:tc>
        <w:tc>
          <w:tcPr>
            <w:tcW w:w="8063" w:type="dxa"/>
            <w:vAlign w:val="top"/>
          </w:tcPr>
          <w:p w14:paraId="10C94DEE">
            <w:pPr>
              <w:pStyle w:val="6"/>
              <w:spacing w:before="41" w:line="358" w:lineRule="auto"/>
              <w:ind w:left="104" w:right="103"/>
              <w:rPr>
                <w:sz w:val="24"/>
                <w:szCs w:val="24"/>
              </w:rPr>
            </w:pPr>
            <w:r>
              <w:rPr>
                <w:spacing w:val="5"/>
                <w:sz w:val="24"/>
                <w:szCs w:val="24"/>
              </w:rPr>
              <w:t>段或接地极线路段生态环境影响评价范围为线路边导线地面投影外两侧各</w:t>
            </w:r>
            <w:r>
              <w:rPr>
                <w:rFonts w:ascii="Times New Roman" w:hAnsi="Times New Roman" w:eastAsia="Times New Roman" w:cs="Times New Roman"/>
                <w:spacing w:val="-5"/>
                <w:sz w:val="24"/>
                <w:szCs w:val="24"/>
              </w:rPr>
              <w:t>300m</w:t>
            </w:r>
            <w:r>
              <w:rPr>
                <w:rFonts w:ascii="Times New Roman" w:hAnsi="Times New Roman" w:eastAsia="Times New Roman" w:cs="Times New Roman"/>
                <w:spacing w:val="42"/>
                <w:sz w:val="24"/>
                <w:szCs w:val="24"/>
              </w:rPr>
              <w:t xml:space="preserve"> </w:t>
            </w:r>
            <w:r>
              <w:rPr>
                <w:spacing w:val="-5"/>
                <w:sz w:val="24"/>
                <w:szCs w:val="24"/>
              </w:rPr>
              <w:t>内的带状区域。</w:t>
            </w:r>
          </w:p>
          <w:p w14:paraId="67478EB9">
            <w:pPr>
              <w:pStyle w:val="6"/>
              <w:spacing w:before="1" w:line="359" w:lineRule="auto"/>
              <w:ind w:left="104" w:right="102" w:firstLine="480"/>
              <w:jc w:val="both"/>
              <w:rPr>
                <w:sz w:val="24"/>
                <w:szCs w:val="24"/>
              </w:rPr>
            </w:pPr>
            <w:r>
              <w:rPr>
                <w:spacing w:val="-5"/>
                <w:sz w:val="24"/>
                <w:szCs w:val="24"/>
              </w:rPr>
              <w:t>本工程站址周围及线路沿线不涉及生态敏感区，故</w:t>
            </w:r>
            <w:r>
              <w:rPr>
                <w:spacing w:val="-25"/>
                <w:sz w:val="24"/>
                <w:szCs w:val="24"/>
              </w:rPr>
              <w:t xml:space="preserve"> </w:t>
            </w:r>
            <w:r>
              <w:rPr>
                <w:rFonts w:ascii="Times New Roman" w:hAnsi="Times New Roman" w:eastAsia="Times New Roman" w:cs="Times New Roman"/>
                <w:spacing w:val="-5"/>
                <w:sz w:val="24"/>
                <w:szCs w:val="24"/>
              </w:rPr>
              <w:t xml:space="preserve">110kV </w:t>
            </w:r>
            <w:r>
              <w:rPr>
                <w:spacing w:val="-5"/>
                <w:sz w:val="24"/>
                <w:szCs w:val="24"/>
              </w:rPr>
              <w:t>松山变电站的</w:t>
            </w:r>
            <w:r>
              <w:rPr>
                <w:spacing w:val="-1"/>
                <w:sz w:val="24"/>
                <w:szCs w:val="24"/>
              </w:rPr>
              <w:t>生态环境评价范围为站址围墙外</w:t>
            </w:r>
            <w:r>
              <w:rPr>
                <w:spacing w:val="-43"/>
                <w:sz w:val="24"/>
                <w:szCs w:val="24"/>
              </w:rPr>
              <w:t xml:space="preserve"> </w:t>
            </w:r>
            <w:r>
              <w:rPr>
                <w:rFonts w:ascii="Times New Roman" w:hAnsi="Times New Roman" w:eastAsia="Times New Roman" w:cs="Times New Roman"/>
                <w:spacing w:val="-1"/>
                <w:sz w:val="24"/>
                <w:szCs w:val="24"/>
              </w:rPr>
              <w:t xml:space="preserve">500m </w:t>
            </w:r>
            <w:r>
              <w:rPr>
                <w:spacing w:val="-1"/>
                <w:sz w:val="24"/>
                <w:szCs w:val="24"/>
              </w:rPr>
              <w:t>范围内，</w:t>
            </w:r>
            <w:r>
              <w:rPr>
                <w:rFonts w:ascii="Times New Roman" w:hAnsi="Times New Roman" w:eastAsia="Times New Roman" w:cs="Times New Roman"/>
                <w:spacing w:val="-1"/>
                <w:sz w:val="24"/>
                <w:szCs w:val="24"/>
              </w:rPr>
              <w:t xml:space="preserve">110kV </w:t>
            </w:r>
            <w:r>
              <w:rPr>
                <w:spacing w:val="-1"/>
                <w:sz w:val="24"/>
                <w:szCs w:val="24"/>
              </w:rPr>
              <w:t>输电线路生态环境评价范围为线路边导线地面投影边缘外两侧</w:t>
            </w:r>
            <w:r>
              <w:rPr>
                <w:spacing w:val="-47"/>
                <w:sz w:val="24"/>
                <w:szCs w:val="24"/>
              </w:rPr>
              <w:t xml:space="preserve"> </w:t>
            </w:r>
            <w:r>
              <w:rPr>
                <w:rFonts w:ascii="Times New Roman" w:hAnsi="Times New Roman" w:eastAsia="Times New Roman" w:cs="Times New Roman"/>
                <w:spacing w:val="-1"/>
                <w:sz w:val="24"/>
                <w:szCs w:val="24"/>
              </w:rPr>
              <w:t xml:space="preserve">300m </w:t>
            </w:r>
            <w:r>
              <w:rPr>
                <w:spacing w:val="-1"/>
                <w:sz w:val="24"/>
                <w:szCs w:val="24"/>
              </w:rPr>
              <w:t>范围内。</w:t>
            </w:r>
          </w:p>
          <w:p w14:paraId="2DDCAAE1">
            <w:pPr>
              <w:pStyle w:val="6"/>
              <w:spacing w:line="220" w:lineRule="auto"/>
              <w:ind w:left="100"/>
              <w:rPr>
                <w:sz w:val="24"/>
                <w:szCs w:val="24"/>
              </w:rPr>
            </w:pPr>
            <w:r>
              <w:rPr>
                <w:rFonts w:ascii="Times New Roman" w:hAnsi="Times New Roman" w:eastAsia="Times New Roman" w:cs="Times New Roman"/>
                <w:b/>
                <w:bCs/>
                <w:spacing w:val="-6"/>
                <w:sz w:val="24"/>
                <w:szCs w:val="24"/>
              </w:rPr>
              <w:t>2</w:t>
            </w:r>
            <w:r>
              <w:rPr>
                <w:rFonts w:ascii="Times New Roman" w:hAnsi="Times New Roman" w:eastAsia="Times New Roman" w:cs="Times New Roman"/>
                <w:b/>
                <w:bCs/>
                <w:spacing w:val="-32"/>
                <w:sz w:val="24"/>
                <w:szCs w:val="24"/>
              </w:rPr>
              <w:t xml:space="preserve"> </w:t>
            </w:r>
            <w:r>
              <w:rPr>
                <w:b/>
                <w:bCs/>
                <w:spacing w:val="-6"/>
                <w:sz w:val="24"/>
                <w:szCs w:val="24"/>
              </w:rPr>
              <w:t>、环境保护目标</w:t>
            </w:r>
          </w:p>
          <w:p w14:paraId="590A4F0F">
            <w:pPr>
              <w:pStyle w:val="6"/>
              <w:spacing w:before="182" w:line="220" w:lineRule="auto"/>
              <w:ind w:left="580"/>
              <w:rPr>
                <w:sz w:val="24"/>
                <w:szCs w:val="24"/>
              </w:rPr>
            </w:pPr>
            <w:r>
              <w:rPr>
                <w:rFonts w:ascii="Times New Roman" w:hAnsi="Times New Roman" w:eastAsia="Times New Roman" w:cs="Times New Roman"/>
                <w:b/>
                <w:bCs/>
                <w:spacing w:val="-2"/>
                <w:sz w:val="24"/>
                <w:szCs w:val="24"/>
              </w:rPr>
              <w:t xml:space="preserve">2.1 </w:t>
            </w:r>
            <w:r>
              <w:rPr>
                <w:b/>
                <w:bCs/>
                <w:spacing w:val="-2"/>
                <w:sz w:val="24"/>
                <w:szCs w:val="24"/>
              </w:rPr>
              <w:t>生态保护目标</w:t>
            </w:r>
          </w:p>
          <w:p w14:paraId="14F2DA3C">
            <w:pPr>
              <w:pStyle w:val="6"/>
              <w:spacing w:before="176" w:line="359" w:lineRule="auto"/>
              <w:ind w:left="103" w:right="73" w:firstLine="480"/>
              <w:jc w:val="both"/>
              <w:rPr>
                <w:sz w:val="24"/>
                <w:szCs w:val="24"/>
              </w:rPr>
            </w:pPr>
            <w:r>
              <w:rPr>
                <w:spacing w:val="-4"/>
                <w:sz w:val="24"/>
                <w:szCs w:val="24"/>
              </w:rPr>
              <w:t>根据《环境影响评价技术导则 生态影响》（</w:t>
            </w:r>
            <w:r>
              <w:rPr>
                <w:rFonts w:ascii="Times New Roman" w:hAnsi="Times New Roman" w:eastAsia="Times New Roman" w:cs="Times New Roman"/>
                <w:spacing w:val="-4"/>
                <w:sz w:val="24"/>
                <w:szCs w:val="24"/>
              </w:rPr>
              <w:t>HJ</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4"/>
                <w:sz w:val="24"/>
                <w:szCs w:val="24"/>
              </w:rPr>
              <w:t>19-2022</w:t>
            </w:r>
            <w:r>
              <w:rPr>
                <w:spacing w:val="-10"/>
                <w:sz w:val="24"/>
                <w:szCs w:val="24"/>
              </w:rPr>
              <w:t>），</w:t>
            </w:r>
            <w:r>
              <w:rPr>
                <w:spacing w:val="-4"/>
                <w:sz w:val="24"/>
                <w:szCs w:val="24"/>
              </w:rPr>
              <w:t>生态保护目</w:t>
            </w:r>
            <w:r>
              <w:rPr>
                <w:spacing w:val="-2"/>
                <w:sz w:val="24"/>
                <w:szCs w:val="24"/>
              </w:rPr>
              <w:t>标主要为重要物种，国家公园，自然保护区</w:t>
            </w:r>
            <w:r>
              <w:rPr>
                <w:spacing w:val="-3"/>
                <w:sz w:val="24"/>
                <w:szCs w:val="24"/>
              </w:rPr>
              <w:t>，自然公园，世界自然遗产，生</w:t>
            </w:r>
            <w:r>
              <w:rPr>
                <w:spacing w:val="-2"/>
                <w:sz w:val="24"/>
                <w:szCs w:val="24"/>
              </w:rPr>
              <w:t>态保护红线，重要生境，其他具有重要生态</w:t>
            </w:r>
            <w:r>
              <w:rPr>
                <w:spacing w:val="-3"/>
                <w:sz w:val="24"/>
                <w:szCs w:val="24"/>
              </w:rPr>
              <w:t>功能、对保护生物多样性具有重要意义的区域。本工程生态评价范围内不涉及生态保护红线、</w:t>
            </w:r>
            <w:r>
              <w:rPr>
                <w:spacing w:val="-72"/>
                <w:sz w:val="24"/>
                <w:szCs w:val="24"/>
              </w:rPr>
              <w:t xml:space="preserve"> </w:t>
            </w:r>
            <w:r>
              <w:rPr>
                <w:spacing w:val="-3"/>
                <w:sz w:val="24"/>
                <w:szCs w:val="24"/>
              </w:rPr>
              <w:t>自然保护区、</w:t>
            </w:r>
            <w:r>
              <w:rPr>
                <w:spacing w:val="-1"/>
                <w:sz w:val="24"/>
                <w:szCs w:val="24"/>
              </w:rPr>
              <w:t>风景名胜区、公益林。生态环境保护目标一览表详见下表。</w:t>
            </w:r>
          </w:p>
          <w:p w14:paraId="5BFC936A">
            <w:pPr>
              <w:pStyle w:val="6"/>
              <w:spacing w:before="1" w:line="222" w:lineRule="auto"/>
              <w:ind w:left="2437"/>
            </w:pPr>
            <w:r>
              <w:rPr>
                <w:b/>
                <w:bCs/>
                <w:spacing w:val="5"/>
              </w:rPr>
              <w:t>表</w:t>
            </w:r>
            <w:r>
              <w:rPr>
                <w:spacing w:val="-30"/>
              </w:rPr>
              <w:t xml:space="preserve"> </w:t>
            </w:r>
            <w:r>
              <w:rPr>
                <w:rFonts w:ascii="Times New Roman" w:hAnsi="Times New Roman" w:eastAsia="Times New Roman" w:cs="Times New Roman"/>
                <w:b/>
                <w:bCs/>
                <w:spacing w:val="5"/>
              </w:rPr>
              <w:t xml:space="preserve">3-6      </w:t>
            </w:r>
            <w:r>
              <w:rPr>
                <w:b/>
                <w:bCs/>
                <w:spacing w:val="5"/>
              </w:rPr>
              <w:t>生态环境保护目标一览表</w:t>
            </w:r>
          </w:p>
          <w:tbl>
            <w:tblPr>
              <w:tblStyle w:val="5"/>
              <w:tblW w:w="7766" w:type="dxa"/>
              <w:tblInd w:w="1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2"/>
              <w:gridCol w:w="1252"/>
              <w:gridCol w:w="1728"/>
              <w:gridCol w:w="2095"/>
              <w:gridCol w:w="1989"/>
            </w:tblGrid>
            <w:tr w14:paraId="102FD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702" w:type="dxa"/>
                  <w:vAlign w:val="top"/>
                </w:tcPr>
                <w:p w14:paraId="55533DE0">
                  <w:pPr>
                    <w:pStyle w:val="6"/>
                    <w:spacing w:before="33" w:line="219" w:lineRule="auto"/>
                    <w:ind w:left="145"/>
                  </w:pPr>
                  <w:r>
                    <w:rPr>
                      <w:b/>
                      <w:bCs/>
                      <w:spacing w:val="4"/>
                    </w:rPr>
                    <w:t>序号</w:t>
                  </w:r>
                </w:p>
              </w:tc>
              <w:tc>
                <w:tcPr>
                  <w:tcW w:w="1252" w:type="dxa"/>
                  <w:vAlign w:val="top"/>
                </w:tcPr>
                <w:p w14:paraId="33566650">
                  <w:pPr>
                    <w:pStyle w:val="6"/>
                    <w:spacing w:before="33" w:line="219" w:lineRule="auto"/>
                    <w:ind w:left="210"/>
                  </w:pPr>
                  <w:r>
                    <w:rPr>
                      <w:b/>
                      <w:bCs/>
                      <w:spacing w:val="6"/>
                    </w:rPr>
                    <w:t>保护目标</w:t>
                  </w:r>
                </w:p>
              </w:tc>
              <w:tc>
                <w:tcPr>
                  <w:tcW w:w="1728" w:type="dxa"/>
                  <w:vAlign w:val="top"/>
                </w:tcPr>
                <w:p w14:paraId="0D34DCFB">
                  <w:pPr>
                    <w:pStyle w:val="6"/>
                    <w:spacing w:before="33" w:line="219" w:lineRule="auto"/>
                    <w:ind w:left="238"/>
                  </w:pPr>
                  <w:r>
                    <w:rPr>
                      <w:b/>
                      <w:bCs/>
                      <w:spacing w:val="6"/>
                    </w:rPr>
                    <w:t>主要保护内容</w:t>
                  </w:r>
                </w:p>
              </w:tc>
              <w:tc>
                <w:tcPr>
                  <w:tcW w:w="2095" w:type="dxa"/>
                  <w:vAlign w:val="top"/>
                </w:tcPr>
                <w:p w14:paraId="53989F2F">
                  <w:pPr>
                    <w:pStyle w:val="6"/>
                    <w:spacing w:before="33" w:line="219" w:lineRule="auto"/>
                    <w:ind w:left="630"/>
                  </w:pPr>
                  <w:r>
                    <w:rPr>
                      <w:b/>
                      <w:bCs/>
                      <w:spacing w:val="6"/>
                    </w:rPr>
                    <w:t>位置关系</w:t>
                  </w:r>
                </w:p>
              </w:tc>
              <w:tc>
                <w:tcPr>
                  <w:tcW w:w="1989" w:type="dxa"/>
                  <w:vAlign w:val="top"/>
                </w:tcPr>
                <w:p w14:paraId="1006273A">
                  <w:pPr>
                    <w:pStyle w:val="6"/>
                    <w:spacing w:before="33" w:line="219" w:lineRule="auto"/>
                    <w:ind w:left="578"/>
                  </w:pPr>
                  <w:r>
                    <w:rPr>
                      <w:b/>
                      <w:bCs/>
                      <w:spacing w:val="6"/>
                    </w:rPr>
                    <w:t>影响因素</w:t>
                  </w:r>
                </w:p>
              </w:tc>
            </w:tr>
            <w:tr w14:paraId="46CE3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702" w:type="dxa"/>
                  <w:vAlign w:val="top"/>
                </w:tcPr>
                <w:p w14:paraId="360EEC69">
                  <w:pPr>
                    <w:spacing w:before="204" w:line="195" w:lineRule="auto"/>
                    <w:ind w:left="321"/>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252" w:type="dxa"/>
                  <w:vAlign w:val="top"/>
                </w:tcPr>
                <w:p w14:paraId="57A59588">
                  <w:pPr>
                    <w:pStyle w:val="6"/>
                    <w:spacing w:before="168" w:line="228" w:lineRule="auto"/>
                    <w:ind w:left="211"/>
                  </w:pPr>
                  <w:r>
                    <w:rPr>
                      <w:spacing w:val="6"/>
                    </w:rPr>
                    <w:t>生态环境</w:t>
                  </w:r>
                </w:p>
              </w:tc>
              <w:tc>
                <w:tcPr>
                  <w:tcW w:w="1728" w:type="dxa"/>
                  <w:vAlign w:val="top"/>
                </w:tcPr>
                <w:p w14:paraId="5350FE40">
                  <w:pPr>
                    <w:pStyle w:val="6"/>
                    <w:spacing w:before="167" w:line="228" w:lineRule="auto"/>
                    <w:ind w:left="554"/>
                  </w:pPr>
                  <w:r>
                    <w:rPr>
                      <w:spacing w:val="6"/>
                    </w:rPr>
                    <w:t>动植物</w:t>
                  </w:r>
                </w:p>
              </w:tc>
              <w:tc>
                <w:tcPr>
                  <w:tcW w:w="2095" w:type="dxa"/>
                  <w:vAlign w:val="top"/>
                </w:tcPr>
                <w:p w14:paraId="07748A56">
                  <w:pPr>
                    <w:pStyle w:val="6"/>
                    <w:spacing w:before="168" w:line="226" w:lineRule="auto"/>
                    <w:ind w:left="533"/>
                  </w:pPr>
                  <w:r>
                    <w:rPr>
                      <w:spacing w:val="7"/>
                    </w:rPr>
                    <w:t>项目评价区</w:t>
                  </w:r>
                </w:p>
              </w:tc>
              <w:tc>
                <w:tcPr>
                  <w:tcW w:w="1989" w:type="dxa"/>
                  <w:vAlign w:val="top"/>
                </w:tcPr>
                <w:p w14:paraId="46F8F3F2">
                  <w:pPr>
                    <w:pStyle w:val="6"/>
                    <w:spacing w:before="30" w:line="234" w:lineRule="auto"/>
                    <w:ind w:left="263" w:right="153" w:hanging="104"/>
                  </w:pPr>
                  <w:r>
                    <w:rPr>
                      <w:spacing w:val="8"/>
                    </w:rPr>
                    <w:t>施工活动干扰对植</w:t>
                  </w:r>
                  <w:r>
                    <w:rPr>
                      <w:spacing w:val="7"/>
                    </w:rPr>
                    <w:t>被的间接影响。</w:t>
                  </w:r>
                </w:p>
              </w:tc>
            </w:tr>
            <w:tr w14:paraId="44158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702" w:type="dxa"/>
                  <w:vAlign w:val="top"/>
                </w:tcPr>
                <w:p w14:paraId="2C0B57D3">
                  <w:pPr>
                    <w:spacing w:line="283" w:lineRule="auto"/>
                    <w:rPr>
                      <w:rFonts w:ascii="Arial"/>
                      <w:sz w:val="21"/>
                    </w:rPr>
                  </w:pPr>
                </w:p>
                <w:p w14:paraId="0F231DFD">
                  <w:pPr>
                    <w:spacing w:before="57" w:line="195" w:lineRule="auto"/>
                    <w:ind w:left="300"/>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252" w:type="dxa"/>
                  <w:vAlign w:val="top"/>
                </w:tcPr>
                <w:p w14:paraId="3A2E4B51">
                  <w:pPr>
                    <w:pStyle w:val="6"/>
                    <w:spacing w:before="169" w:line="253" w:lineRule="auto"/>
                    <w:ind w:left="418" w:right="207" w:hanging="207"/>
                  </w:pPr>
                  <w:r>
                    <w:rPr>
                      <w:spacing w:val="6"/>
                    </w:rPr>
                    <w:t>永久基本</w:t>
                  </w:r>
                  <w:r>
                    <w:rPr>
                      <w:spacing w:val="4"/>
                    </w:rPr>
                    <w:t>农田</w:t>
                  </w:r>
                </w:p>
              </w:tc>
              <w:tc>
                <w:tcPr>
                  <w:tcW w:w="1728" w:type="dxa"/>
                  <w:vAlign w:val="top"/>
                </w:tcPr>
                <w:p w14:paraId="3E2B3CA4">
                  <w:pPr>
                    <w:pStyle w:val="6"/>
                    <w:spacing w:before="306" w:line="227" w:lineRule="auto"/>
                    <w:ind w:left="239"/>
                  </w:pPr>
                  <w:r>
                    <w:rPr>
                      <w:spacing w:val="8"/>
                    </w:rPr>
                    <w:t>耕地及农作物</w:t>
                  </w:r>
                </w:p>
              </w:tc>
              <w:tc>
                <w:tcPr>
                  <w:tcW w:w="2095" w:type="dxa"/>
                  <w:vAlign w:val="top"/>
                </w:tcPr>
                <w:p w14:paraId="109407AE">
                  <w:pPr>
                    <w:pStyle w:val="6"/>
                    <w:spacing w:before="32" w:line="228" w:lineRule="auto"/>
                    <w:ind w:left="117"/>
                  </w:pPr>
                  <w:r>
                    <w:rPr>
                      <w:spacing w:val="6"/>
                    </w:rPr>
                    <w:t>工程用地范围</w:t>
                  </w:r>
                  <w:r>
                    <w:rPr>
                      <w:spacing w:val="-44"/>
                    </w:rPr>
                    <w:t xml:space="preserve"> </w:t>
                  </w:r>
                  <w:r>
                    <w:rPr>
                      <w:rFonts w:ascii="Times New Roman" w:hAnsi="Times New Roman" w:eastAsia="Times New Roman" w:cs="Times New Roman"/>
                      <w:spacing w:val="6"/>
                    </w:rPr>
                    <w:t xml:space="preserve">9 </w:t>
                  </w:r>
                  <w:r>
                    <w:rPr>
                      <w:spacing w:val="6"/>
                    </w:rPr>
                    <w:t>个塔</w:t>
                  </w:r>
                </w:p>
                <w:p w14:paraId="08006CB5">
                  <w:pPr>
                    <w:pStyle w:val="6"/>
                    <w:spacing w:before="26" w:line="227" w:lineRule="auto"/>
                    <w:ind w:left="213"/>
                  </w:pPr>
                  <w:r>
                    <w:rPr>
                      <w:spacing w:val="9"/>
                    </w:rPr>
                    <w:t>基占用永久基本农</w:t>
                  </w:r>
                </w:p>
                <w:p w14:paraId="2DA8783C">
                  <w:pPr>
                    <w:pStyle w:val="6"/>
                    <w:spacing w:before="25" w:line="218" w:lineRule="auto"/>
                    <w:ind w:left="975"/>
                  </w:pPr>
                  <w:r>
                    <w:t>田</w:t>
                  </w:r>
                </w:p>
              </w:tc>
              <w:tc>
                <w:tcPr>
                  <w:tcW w:w="1989" w:type="dxa"/>
                  <w:vAlign w:val="top"/>
                </w:tcPr>
                <w:p w14:paraId="3DF13C39">
                  <w:pPr>
                    <w:pStyle w:val="6"/>
                    <w:spacing w:before="169" w:line="252" w:lineRule="auto"/>
                    <w:ind w:left="683" w:right="153" w:hanging="524"/>
                  </w:pPr>
                  <w:r>
                    <w:rPr>
                      <w:spacing w:val="8"/>
                    </w:rPr>
                    <w:t>施工、运营人为干</w:t>
                  </w:r>
                  <w:r>
                    <w:rPr>
                      <w:spacing w:val="6"/>
                    </w:rPr>
                    <w:t>扰影响</w:t>
                  </w:r>
                </w:p>
              </w:tc>
            </w:tr>
          </w:tbl>
          <w:p w14:paraId="3009B34C">
            <w:pPr>
              <w:pStyle w:val="6"/>
              <w:spacing w:before="36" w:line="219" w:lineRule="auto"/>
              <w:ind w:left="580"/>
              <w:rPr>
                <w:sz w:val="24"/>
                <w:szCs w:val="24"/>
              </w:rPr>
            </w:pPr>
            <w:r>
              <w:rPr>
                <w:rFonts w:ascii="Times New Roman" w:hAnsi="Times New Roman" w:eastAsia="Times New Roman" w:cs="Times New Roman"/>
                <w:b/>
                <w:bCs/>
                <w:spacing w:val="-2"/>
                <w:sz w:val="24"/>
                <w:szCs w:val="24"/>
              </w:rPr>
              <w:t xml:space="preserve">2.2 </w:t>
            </w:r>
            <w:r>
              <w:rPr>
                <w:b/>
                <w:bCs/>
                <w:spacing w:val="-2"/>
                <w:sz w:val="24"/>
                <w:szCs w:val="24"/>
              </w:rPr>
              <w:t>地表水环境保护目标</w:t>
            </w:r>
          </w:p>
          <w:p w14:paraId="2C68CDBC">
            <w:pPr>
              <w:pStyle w:val="6"/>
              <w:spacing w:before="176" w:line="224" w:lineRule="auto"/>
              <w:ind w:left="2384"/>
            </w:pPr>
            <w:r>
              <w:rPr>
                <w:b/>
                <w:bCs/>
                <w:spacing w:val="6"/>
              </w:rPr>
              <w:t>表</w:t>
            </w:r>
            <w:r>
              <w:rPr>
                <w:spacing w:val="-42"/>
              </w:rPr>
              <w:t xml:space="preserve"> </w:t>
            </w:r>
            <w:r>
              <w:rPr>
                <w:rFonts w:ascii="Times New Roman" w:hAnsi="Times New Roman" w:eastAsia="Times New Roman" w:cs="Times New Roman"/>
                <w:b/>
                <w:bCs/>
                <w:spacing w:val="6"/>
              </w:rPr>
              <w:t xml:space="preserve">3-7    </w:t>
            </w:r>
            <w:r>
              <w:rPr>
                <w:b/>
                <w:bCs/>
                <w:spacing w:val="6"/>
              </w:rPr>
              <w:t>本工程地表水环境保护目标</w:t>
            </w:r>
          </w:p>
          <w:tbl>
            <w:tblPr>
              <w:tblStyle w:val="5"/>
              <w:tblW w:w="7843" w:type="dxa"/>
              <w:tblInd w:w="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6"/>
              <w:gridCol w:w="1314"/>
              <w:gridCol w:w="1058"/>
              <w:gridCol w:w="677"/>
              <w:gridCol w:w="2239"/>
              <w:gridCol w:w="1829"/>
            </w:tblGrid>
            <w:tr w14:paraId="7E3C85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726" w:type="dxa"/>
                  <w:vAlign w:val="top"/>
                </w:tcPr>
                <w:p w14:paraId="20EBFF10">
                  <w:pPr>
                    <w:pStyle w:val="6"/>
                    <w:spacing w:before="36" w:line="228" w:lineRule="auto"/>
                    <w:ind w:left="157"/>
                  </w:pPr>
                  <w:r>
                    <w:rPr>
                      <w:b/>
                      <w:bCs/>
                      <w:spacing w:val="3"/>
                    </w:rPr>
                    <w:t>环境</w:t>
                  </w:r>
                </w:p>
                <w:p w14:paraId="5A8A9276">
                  <w:pPr>
                    <w:pStyle w:val="6"/>
                    <w:spacing w:before="25" w:line="216" w:lineRule="auto"/>
                    <w:ind w:left="158"/>
                  </w:pPr>
                  <w:r>
                    <w:rPr>
                      <w:b/>
                      <w:bCs/>
                      <w:spacing w:val="3"/>
                    </w:rPr>
                    <w:t>要素</w:t>
                  </w:r>
                </w:p>
              </w:tc>
              <w:tc>
                <w:tcPr>
                  <w:tcW w:w="1314" w:type="dxa"/>
                  <w:vAlign w:val="top"/>
                </w:tcPr>
                <w:p w14:paraId="75DE635A">
                  <w:pPr>
                    <w:pStyle w:val="6"/>
                    <w:spacing w:before="35" w:line="234" w:lineRule="auto"/>
                    <w:ind w:left="553" w:right="131" w:hanging="418"/>
                  </w:pPr>
                  <w:r>
                    <w:rPr>
                      <w:b/>
                      <w:bCs/>
                      <w:spacing w:val="6"/>
                    </w:rPr>
                    <w:t>保护目标名</w:t>
                  </w:r>
                  <w:r>
                    <w:rPr>
                      <w:b/>
                      <w:bCs/>
                      <w:spacing w:val="-1"/>
                    </w:rPr>
                    <w:t>称</w:t>
                  </w:r>
                </w:p>
              </w:tc>
              <w:tc>
                <w:tcPr>
                  <w:tcW w:w="1058" w:type="dxa"/>
                  <w:vAlign w:val="top"/>
                </w:tcPr>
                <w:p w14:paraId="0CA1E0EA">
                  <w:pPr>
                    <w:pStyle w:val="6"/>
                    <w:spacing w:before="172" w:line="229" w:lineRule="auto"/>
                    <w:ind w:left="326"/>
                  </w:pPr>
                  <w:r>
                    <w:rPr>
                      <w:b/>
                      <w:bCs/>
                      <w:spacing w:val="2"/>
                    </w:rPr>
                    <w:t>功能</w:t>
                  </w:r>
                </w:p>
              </w:tc>
              <w:tc>
                <w:tcPr>
                  <w:tcW w:w="677" w:type="dxa"/>
                  <w:vAlign w:val="top"/>
                </w:tcPr>
                <w:p w14:paraId="1C73ADB8">
                  <w:pPr>
                    <w:pStyle w:val="6"/>
                    <w:spacing w:before="36" w:line="228" w:lineRule="auto"/>
                    <w:ind w:left="134"/>
                  </w:pPr>
                  <w:r>
                    <w:rPr>
                      <w:b/>
                      <w:bCs/>
                      <w:spacing w:val="3"/>
                    </w:rPr>
                    <w:t>保护</w:t>
                  </w:r>
                </w:p>
                <w:p w14:paraId="20F707BD">
                  <w:pPr>
                    <w:pStyle w:val="6"/>
                    <w:spacing w:before="25" w:line="216" w:lineRule="auto"/>
                    <w:ind w:left="159"/>
                  </w:pPr>
                  <w:r>
                    <w:rPr>
                      <w:b/>
                      <w:bCs/>
                      <w:spacing w:val="-9"/>
                    </w:rPr>
                    <w:t>内容</w:t>
                  </w:r>
                </w:p>
              </w:tc>
              <w:tc>
                <w:tcPr>
                  <w:tcW w:w="2239" w:type="dxa"/>
                  <w:vAlign w:val="top"/>
                </w:tcPr>
                <w:p w14:paraId="09FF96EC">
                  <w:pPr>
                    <w:pStyle w:val="6"/>
                    <w:spacing w:before="172" w:line="228" w:lineRule="auto"/>
                    <w:ind w:left="176"/>
                  </w:pPr>
                  <w:r>
                    <w:rPr>
                      <w:b/>
                      <w:bCs/>
                      <w:spacing w:val="7"/>
                    </w:rPr>
                    <w:t>位置关系和水平距离</w:t>
                  </w:r>
                </w:p>
              </w:tc>
              <w:tc>
                <w:tcPr>
                  <w:tcW w:w="1829" w:type="dxa"/>
                  <w:vAlign w:val="top"/>
                </w:tcPr>
                <w:p w14:paraId="0563DCD6">
                  <w:pPr>
                    <w:pStyle w:val="6"/>
                    <w:spacing w:before="172" w:line="228" w:lineRule="auto"/>
                    <w:ind w:left="498"/>
                  </w:pPr>
                  <w:r>
                    <w:rPr>
                      <w:b/>
                      <w:bCs/>
                      <w:spacing w:val="6"/>
                    </w:rPr>
                    <w:t>执行标准</w:t>
                  </w:r>
                </w:p>
              </w:tc>
            </w:tr>
            <w:tr w14:paraId="01D41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726" w:type="dxa"/>
                  <w:vMerge w:val="restart"/>
                  <w:tcBorders>
                    <w:bottom w:val="nil"/>
                  </w:tcBorders>
                  <w:vAlign w:val="top"/>
                </w:tcPr>
                <w:p w14:paraId="74C067E9">
                  <w:pPr>
                    <w:pStyle w:val="6"/>
                    <w:spacing w:before="171" w:line="229" w:lineRule="auto"/>
                    <w:ind w:left="159"/>
                  </w:pPr>
                  <w:r>
                    <w:rPr>
                      <w:spacing w:val="4"/>
                    </w:rPr>
                    <w:t>地表</w:t>
                  </w:r>
                </w:p>
                <w:p w14:paraId="02A0127E">
                  <w:pPr>
                    <w:pStyle w:val="6"/>
                    <w:spacing w:before="25" w:line="252" w:lineRule="auto"/>
                    <w:ind w:left="263" w:right="151" w:hanging="101"/>
                  </w:pPr>
                  <w:r>
                    <w:rPr>
                      <w:spacing w:val="3"/>
                    </w:rPr>
                    <w:t>水环</w:t>
                  </w:r>
                  <w:r>
                    <w:t>境</w:t>
                  </w:r>
                </w:p>
              </w:tc>
              <w:tc>
                <w:tcPr>
                  <w:tcW w:w="1314" w:type="dxa"/>
                  <w:vAlign w:val="top"/>
                </w:tcPr>
                <w:p w14:paraId="089B7FB7">
                  <w:pPr>
                    <w:pStyle w:val="6"/>
                    <w:spacing w:before="166" w:line="227" w:lineRule="auto"/>
                    <w:ind w:left="140"/>
                  </w:pPr>
                  <w:r>
                    <w:rPr>
                      <w:spacing w:val="7"/>
                    </w:rPr>
                    <w:t>黑龙村水库</w:t>
                  </w:r>
                </w:p>
              </w:tc>
              <w:tc>
                <w:tcPr>
                  <w:tcW w:w="1058" w:type="dxa"/>
                  <w:vMerge w:val="restart"/>
                  <w:tcBorders>
                    <w:bottom w:val="nil"/>
                  </w:tcBorders>
                  <w:vAlign w:val="top"/>
                </w:tcPr>
                <w:p w14:paraId="2BFE0B79">
                  <w:pPr>
                    <w:pStyle w:val="6"/>
                    <w:spacing w:before="170" w:line="228" w:lineRule="auto"/>
                    <w:ind w:left="116"/>
                  </w:pPr>
                  <w:r>
                    <w:rPr>
                      <w:rFonts w:ascii="Times New Roman" w:hAnsi="Times New Roman" w:eastAsia="Times New Roman" w:cs="Times New Roman"/>
                      <w:spacing w:val="7"/>
                    </w:rPr>
                    <w:t>Ⅲ</w:t>
                  </w:r>
                  <w:r>
                    <w:rPr>
                      <w:spacing w:val="7"/>
                    </w:rPr>
                    <w:t>类水体</w:t>
                  </w:r>
                </w:p>
                <w:p w14:paraId="194915FE">
                  <w:pPr>
                    <w:pStyle w:val="6"/>
                    <w:spacing w:before="26" w:line="230" w:lineRule="auto"/>
                    <w:ind w:left="104"/>
                  </w:pPr>
                  <w:r>
                    <w:rPr>
                      <w:rFonts w:ascii="Times New Roman" w:hAnsi="Times New Roman" w:eastAsia="Times New Roman" w:cs="Times New Roman"/>
                      <w:spacing w:val="-3"/>
                    </w:rPr>
                    <w:t>/</w:t>
                  </w:r>
                  <w:r>
                    <w:rPr>
                      <w:spacing w:val="-3"/>
                    </w:rPr>
                    <w:t>工业、农</w:t>
                  </w:r>
                </w:p>
                <w:p w14:paraId="3BD439F2">
                  <w:pPr>
                    <w:pStyle w:val="6"/>
                    <w:spacing w:before="22"/>
                    <w:ind w:left="427"/>
                  </w:pPr>
                  <w:r>
                    <w:rPr>
                      <w:spacing w:val="1"/>
                    </w:rPr>
                    <w:t>业</w:t>
                  </w:r>
                </w:p>
              </w:tc>
              <w:tc>
                <w:tcPr>
                  <w:tcW w:w="677" w:type="dxa"/>
                  <w:vMerge w:val="restart"/>
                  <w:tcBorders>
                    <w:bottom w:val="nil"/>
                  </w:tcBorders>
                  <w:vAlign w:val="top"/>
                </w:tcPr>
                <w:p w14:paraId="2BBD01B2">
                  <w:pPr>
                    <w:spacing w:line="243" w:lineRule="auto"/>
                    <w:rPr>
                      <w:rFonts w:ascii="Arial"/>
                      <w:sz w:val="21"/>
                    </w:rPr>
                  </w:pPr>
                </w:p>
                <w:p w14:paraId="7D58530E">
                  <w:pPr>
                    <w:pStyle w:val="6"/>
                    <w:spacing w:before="65" w:line="252" w:lineRule="auto"/>
                    <w:ind w:left="135" w:right="128" w:hanging="2"/>
                  </w:pPr>
                  <w:r>
                    <w:rPr>
                      <w:spacing w:val="4"/>
                    </w:rPr>
                    <w:t>地表</w:t>
                  </w:r>
                  <w:r>
                    <w:rPr>
                      <w:spacing w:val="3"/>
                    </w:rPr>
                    <w:t>水体</w:t>
                  </w:r>
                </w:p>
              </w:tc>
              <w:tc>
                <w:tcPr>
                  <w:tcW w:w="2239" w:type="dxa"/>
                  <w:vAlign w:val="top"/>
                </w:tcPr>
                <w:p w14:paraId="3ADA22F2">
                  <w:pPr>
                    <w:pStyle w:val="6"/>
                    <w:spacing w:before="30" w:line="234" w:lineRule="auto"/>
                    <w:ind w:left="495" w:right="133" w:hanging="352"/>
                    <w:rPr>
                      <w:rFonts w:ascii="Times New Roman" w:hAnsi="Times New Roman" w:eastAsia="Times New Roman" w:cs="Times New Roman"/>
                    </w:rPr>
                  </w:pPr>
                  <w:r>
                    <w:rPr>
                      <w:spacing w:val="7"/>
                    </w:rPr>
                    <w:t>线路</w:t>
                  </w:r>
                  <w:r>
                    <w:rPr>
                      <w:spacing w:val="-42"/>
                    </w:rPr>
                    <w:t xml:space="preserve"> </w:t>
                  </w:r>
                  <w:r>
                    <w:rPr>
                      <w:rFonts w:ascii="Times New Roman" w:hAnsi="Times New Roman" w:eastAsia="Times New Roman" w:cs="Times New Roman"/>
                    </w:rPr>
                    <w:t>BJ</w:t>
                  </w:r>
                  <w:r>
                    <w:rPr>
                      <w:rFonts w:ascii="Times New Roman" w:hAnsi="Times New Roman" w:eastAsia="Times New Roman" w:cs="Times New Roman"/>
                      <w:spacing w:val="7"/>
                    </w:rPr>
                    <w:t>4G-</w:t>
                  </w:r>
                  <w:r>
                    <w:rPr>
                      <w:rFonts w:ascii="Times New Roman" w:hAnsi="Times New Roman" w:eastAsia="Times New Roman" w:cs="Times New Roman"/>
                    </w:rPr>
                    <w:t>BJ</w:t>
                  </w:r>
                  <w:r>
                    <w:rPr>
                      <w:rFonts w:ascii="Times New Roman" w:hAnsi="Times New Roman" w:eastAsia="Times New Roman" w:cs="Times New Roman"/>
                      <w:spacing w:val="7"/>
                    </w:rPr>
                    <w:t xml:space="preserve">9G </w:t>
                  </w:r>
                  <w:r>
                    <w:rPr>
                      <w:spacing w:val="7"/>
                    </w:rPr>
                    <w:t>边导</w:t>
                  </w:r>
                  <w:r>
                    <w:rPr>
                      <w:spacing w:val="5"/>
                    </w:rPr>
                    <w:t>线南侧约</w:t>
                  </w:r>
                  <w:r>
                    <w:rPr>
                      <w:spacing w:val="-36"/>
                    </w:rPr>
                    <w:t xml:space="preserve"> </w:t>
                  </w:r>
                  <w:r>
                    <w:rPr>
                      <w:rFonts w:ascii="Times New Roman" w:hAnsi="Times New Roman" w:eastAsia="Times New Roman" w:cs="Times New Roman"/>
                      <w:spacing w:val="5"/>
                    </w:rPr>
                    <w:t>40m</w:t>
                  </w:r>
                </w:p>
              </w:tc>
              <w:tc>
                <w:tcPr>
                  <w:tcW w:w="1829" w:type="dxa"/>
                  <w:vMerge w:val="restart"/>
                  <w:tcBorders>
                    <w:bottom w:val="nil"/>
                  </w:tcBorders>
                  <w:vAlign w:val="top"/>
                </w:tcPr>
                <w:p w14:paraId="44E588A8">
                  <w:pPr>
                    <w:pStyle w:val="6"/>
                    <w:spacing w:before="36" w:line="228" w:lineRule="auto"/>
                    <w:ind w:left="501"/>
                  </w:pPr>
                  <w:r>
                    <w:rPr>
                      <w:spacing w:val="7"/>
                    </w:rPr>
                    <w:t>水质执行</w:t>
                  </w:r>
                </w:p>
                <w:p w14:paraId="18819525">
                  <w:pPr>
                    <w:pStyle w:val="6"/>
                    <w:spacing w:before="24" w:line="237" w:lineRule="auto"/>
                    <w:ind w:left="113"/>
                  </w:pPr>
                  <w:r>
                    <w:rPr>
                      <w:rFonts w:ascii="Times New Roman" w:hAnsi="Times New Roman" w:eastAsia="Times New Roman" w:cs="Times New Roman"/>
                    </w:rPr>
                    <w:t>GB</w:t>
                  </w:r>
                  <w:r>
                    <w:rPr>
                      <w:rFonts w:ascii="Times New Roman" w:hAnsi="Times New Roman" w:eastAsia="Times New Roman" w:cs="Times New Roman"/>
                      <w:spacing w:val="5"/>
                    </w:rPr>
                    <w:t>3838-2002</w:t>
                  </w:r>
                  <w:r>
                    <w:rPr>
                      <w:spacing w:val="5"/>
                    </w:rPr>
                    <w:t>《地</w:t>
                  </w:r>
                </w:p>
                <w:p w14:paraId="6C757A1E">
                  <w:pPr>
                    <w:pStyle w:val="6"/>
                    <w:spacing w:before="14" w:line="228" w:lineRule="auto"/>
                    <w:ind w:left="183"/>
                  </w:pPr>
                  <w:r>
                    <w:rPr>
                      <w:spacing w:val="8"/>
                    </w:rPr>
                    <w:t>表水环境质量标</w:t>
                  </w:r>
                </w:p>
                <w:p w14:paraId="6863F915">
                  <w:pPr>
                    <w:pStyle w:val="6"/>
                    <w:spacing w:before="26" w:line="224" w:lineRule="auto"/>
                    <w:ind w:left="296"/>
                  </w:pPr>
                  <w:r>
                    <w:rPr>
                      <w:spacing w:val="8"/>
                    </w:rPr>
                    <w:t>准》</w:t>
                  </w:r>
                  <w:r>
                    <w:rPr>
                      <w:rFonts w:ascii="Times New Roman" w:hAnsi="Times New Roman" w:eastAsia="Times New Roman" w:cs="Times New Roman"/>
                      <w:spacing w:val="8"/>
                    </w:rPr>
                    <w:t>Ⅲ</w:t>
                  </w:r>
                  <w:r>
                    <w:rPr>
                      <w:spacing w:val="8"/>
                    </w:rPr>
                    <w:t>类标准</w:t>
                  </w:r>
                </w:p>
              </w:tc>
            </w:tr>
            <w:tr w14:paraId="30FAA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726" w:type="dxa"/>
                  <w:vMerge w:val="continue"/>
                  <w:tcBorders>
                    <w:top w:val="nil"/>
                  </w:tcBorders>
                  <w:vAlign w:val="top"/>
                </w:tcPr>
                <w:p w14:paraId="7162515F">
                  <w:pPr>
                    <w:rPr>
                      <w:rFonts w:ascii="Arial"/>
                      <w:sz w:val="21"/>
                    </w:rPr>
                  </w:pPr>
                </w:p>
              </w:tc>
              <w:tc>
                <w:tcPr>
                  <w:tcW w:w="1314" w:type="dxa"/>
                  <w:vAlign w:val="top"/>
                </w:tcPr>
                <w:p w14:paraId="05501567">
                  <w:pPr>
                    <w:pStyle w:val="6"/>
                    <w:spacing w:before="170" w:line="228" w:lineRule="auto"/>
                    <w:ind w:left="345"/>
                  </w:pPr>
                  <w:r>
                    <w:rPr>
                      <w:spacing w:val="7"/>
                    </w:rPr>
                    <w:t>尖石沟</w:t>
                  </w:r>
                </w:p>
              </w:tc>
              <w:tc>
                <w:tcPr>
                  <w:tcW w:w="1058" w:type="dxa"/>
                  <w:vMerge w:val="continue"/>
                  <w:tcBorders>
                    <w:top w:val="nil"/>
                  </w:tcBorders>
                  <w:vAlign w:val="top"/>
                </w:tcPr>
                <w:p w14:paraId="66EE4FBC">
                  <w:pPr>
                    <w:rPr>
                      <w:rFonts w:ascii="Arial"/>
                      <w:sz w:val="21"/>
                    </w:rPr>
                  </w:pPr>
                </w:p>
              </w:tc>
              <w:tc>
                <w:tcPr>
                  <w:tcW w:w="677" w:type="dxa"/>
                  <w:vMerge w:val="continue"/>
                  <w:tcBorders>
                    <w:top w:val="nil"/>
                  </w:tcBorders>
                  <w:vAlign w:val="top"/>
                </w:tcPr>
                <w:p w14:paraId="5822B4F4">
                  <w:pPr>
                    <w:rPr>
                      <w:rFonts w:ascii="Arial"/>
                      <w:sz w:val="21"/>
                    </w:rPr>
                  </w:pPr>
                </w:p>
              </w:tc>
              <w:tc>
                <w:tcPr>
                  <w:tcW w:w="2239" w:type="dxa"/>
                  <w:vAlign w:val="top"/>
                </w:tcPr>
                <w:p w14:paraId="26FD6169">
                  <w:pPr>
                    <w:pStyle w:val="6"/>
                    <w:spacing w:before="32" w:line="235" w:lineRule="auto"/>
                    <w:ind w:left="828" w:right="149" w:hanging="668"/>
                  </w:pPr>
                  <w:r>
                    <w:rPr>
                      <w:spacing w:val="7"/>
                    </w:rPr>
                    <w:t>线路</w:t>
                  </w:r>
                  <w:r>
                    <w:rPr>
                      <w:spacing w:val="-42"/>
                    </w:rPr>
                    <w:t xml:space="preserve"> </w:t>
                  </w:r>
                  <w:r>
                    <w:rPr>
                      <w:rFonts w:ascii="Times New Roman" w:hAnsi="Times New Roman" w:eastAsia="Times New Roman" w:cs="Times New Roman"/>
                    </w:rPr>
                    <w:t>AZ</w:t>
                  </w:r>
                  <w:r>
                    <w:rPr>
                      <w:rFonts w:ascii="Times New Roman" w:hAnsi="Times New Roman" w:eastAsia="Times New Roman" w:cs="Times New Roman"/>
                      <w:spacing w:val="7"/>
                    </w:rPr>
                    <w:t>14G-</w:t>
                  </w:r>
                  <w:r>
                    <w:rPr>
                      <w:rFonts w:ascii="Times New Roman" w:hAnsi="Times New Roman" w:eastAsia="Times New Roman" w:cs="Times New Roman"/>
                    </w:rPr>
                    <w:t>AJ</w:t>
                  </w:r>
                  <w:r>
                    <w:rPr>
                      <w:rFonts w:ascii="Times New Roman" w:hAnsi="Times New Roman" w:eastAsia="Times New Roman" w:cs="Times New Roman"/>
                      <w:spacing w:val="7"/>
                    </w:rPr>
                    <w:t xml:space="preserve">6G </w:t>
                  </w:r>
                  <w:r>
                    <w:rPr>
                      <w:spacing w:val="7"/>
                    </w:rPr>
                    <w:t>之</w:t>
                  </w:r>
                  <w:r>
                    <w:rPr>
                      <w:spacing w:val="1"/>
                    </w:rPr>
                    <w:t>间跨越</w:t>
                  </w:r>
                </w:p>
              </w:tc>
              <w:tc>
                <w:tcPr>
                  <w:tcW w:w="1829" w:type="dxa"/>
                  <w:vMerge w:val="continue"/>
                  <w:tcBorders>
                    <w:top w:val="nil"/>
                  </w:tcBorders>
                  <w:vAlign w:val="top"/>
                </w:tcPr>
                <w:p w14:paraId="109E859A">
                  <w:pPr>
                    <w:rPr>
                      <w:rFonts w:ascii="Arial"/>
                      <w:sz w:val="21"/>
                    </w:rPr>
                  </w:pPr>
                </w:p>
              </w:tc>
            </w:tr>
          </w:tbl>
          <w:p w14:paraId="1CDE448E">
            <w:pPr>
              <w:pStyle w:val="6"/>
              <w:spacing w:before="37" w:line="220" w:lineRule="auto"/>
              <w:ind w:left="580"/>
              <w:rPr>
                <w:sz w:val="24"/>
                <w:szCs w:val="24"/>
              </w:rPr>
            </w:pPr>
            <w:r>
              <w:rPr>
                <w:rFonts w:ascii="Times New Roman" w:hAnsi="Times New Roman" w:eastAsia="Times New Roman" w:cs="Times New Roman"/>
                <w:b/>
                <w:bCs/>
                <w:spacing w:val="-5"/>
                <w:sz w:val="24"/>
                <w:szCs w:val="24"/>
              </w:rPr>
              <w:t>2.3</w:t>
            </w:r>
            <w:r>
              <w:rPr>
                <w:rFonts w:ascii="Times New Roman" w:hAnsi="Times New Roman" w:eastAsia="Times New Roman" w:cs="Times New Roman"/>
                <w:b/>
                <w:bCs/>
                <w:spacing w:val="45"/>
                <w:sz w:val="24"/>
                <w:szCs w:val="24"/>
              </w:rPr>
              <w:t xml:space="preserve"> </w:t>
            </w:r>
            <w:r>
              <w:rPr>
                <w:b/>
                <w:bCs/>
                <w:spacing w:val="-5"/>
                <w:sz w:val="24"/>
                <w:szCs w:val="24"/>
              </w:rPr>
              <w:t>电磁环境、声环境保护目标</w:t>
            </w:r>
          </w:p>
          <w:p w14:paraId="07C4687F">
            <w:pPr>
              <w:pStyle w:val="6"/>
              <w:spacing w:before="181" w:line="351" w:lineRule="auto"/>
              <w:ind w:left="104" w:right="103" w:firstLine="480"/>
              <w:jc w:val="both"/>
              <w:rPr>
                <w:sz w:val="24"/>
                <w:szCs w:val="24"/>
              </w:rPr>
            </w:pPr>
            <w:r>
              <w:rPr>
                <w:spacing w:val="-2"/>
                <w:sz w:val="24"/>
                <w:szCs w:val="24"/>
              </w:rPr>
              <w:t>本项目</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5"/>
                <w:sz w:val="24"/>
                <w:szCs w:val="24"/>
              </w:rPr>
              <w:t xml:space="preserve"> </w:t>
            </w:r>
            <w:r>
              <w:rPr>
                <w:spacing w:val="-2"/>
                <w:sz w:val="24"/>
                <w:szCs w:val="24"/>
              </w:rPr>
              <w:t>芳华变电站不涉及电磁环境、声环境保</w:t>
            </w:r>
            <w:r>
              <w:rPr>
                <w:spacing w:val="-3"/>
                <w:sz w:val="24"/>
                <w:szCs w:val="24"/>
              </w:rPr>
              <w:t>护目标；</w:t>
            </w:r>
            <w:r>
              <w:rPr>
                <w:rFonts w:ascii="Times New Roman" w:hAnsi="Times New Roman" w:eastAsia="Times New Roman" w:cs="Times New Roman"/>
                <w:spacing w:val="-3"/>
                <w:sz w:val="24"/>
                <w:szCs w:val="24"/>
              </w:rPr>
              <w:t xml:space="preserve">110kV </w:t>
            </w:r>
            <w:r>
              <w:rPr>
                <w:spacing w:val="-3"/>
                <w:sz w:val="24"/>
                <w:szCs w:val="24"/>
              </w:rPr>
              <w:t>松</w:t>
            </w:r>
            <w:r>
              <w:rPr>
                <w:spacing w:val="4"/>
                <w:sz w:val="24"/>
                <w:szCs w:val="24"/>
              </w:rPr>
              <w:t>山变电站不涉及电磁环境保护目标，但评价范围内涉及</w:t>
            </w:r>
            <w:r>
              <w:rPr>
                <w:spacing w:val="-33"/>
                <w:sz w:val="24"/>
                <w:szCs w:val="24"/>
              </w:rPr>
              <w:t xml:space="preserve"> </w:t>
            </w:r>
            <w:r>
              <w:rPr>
                <w:rFonts w:ascii="Times New Roman" w:hAnsi="Times New Roman" w:eastAsia="Times New Roman" w:cs="Times New Roman"/>
                <w:spacing w:val="4"/>
                <w:sz w:val="24"/>
                <w:szCs w:val="24"/>
              </w:rPr>
              <w:t xml:space="preserve">7 </w:t>
            </w:r>
            <w:r>
              <w:rPr>
                <w:spacing w:val="4"/>
                <w:sz w:val="24"/>
                <w:szCs w:val="24"/>
              </w:rPr>
              <w:t>个声环境保护目</w:t>
            </w:r>
            <w:r>
              <w:rPr>
                <w:spacing w:val="-3"/>
                <w:sz w:val="24"/>
                <w:szCs w:val="24"/>
              </w:rPr>
              <w:t>标；本期</w:t>
            </w:r>
            <w:r>
              <w:rPr>
                <w:spacing w:val="-53"/>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33"/>
                <w:sz w:val="24"/>
                <w:szCs w:val="24"/>
              </w:rPr>
              <w:t xml:space="preserve"> </w:t>
            </w:r>
            <w:r>
              <w:rPr>
                <w:spacing w:val="-3"/>
                <w:sz w:val="24"/>
                <w:szCs w:val="24"/>
              </w:rPr>
              <w:t>回</w:t>
            </w:r>
            <w:r>
              <w:rPr>
                <w:spacing w:val="-32"/>
                <w:sz w:val="24"/>
                <w:szCs w:val="24"/>
              </w:rPr>
              <w:t xml:space="preserve"> </w:t>
            </w:r>
            <w:r>
              <w:rPr>
                <w:rFonts w:ascii="Times New Roman" w:hAnsi="Times New Roman" w:eastAsia="Times New Roman" w:cs="Times New Roman"/>
                <w:spacing w:val="-3"/>
                <w:sz w:val="24"/>
                <w:szCs w:val="24"/>
              </w:rPr>
              <w:t xml:space="preserve">110kV </w:t>
            </w:r>
            <w:r>
              <w:rPr>
                <w:spacing w:val="-3"/>
                <w:sz w:val="24"/>
                <w:szCs w:val="24"/>
              </w:rPr>
              <w:t>线路沿线涉及</w:t>
            </w:r>
            <w:r>
              <w:rPr>
                <w:spacing w:val="-32"/>
                <w:sz w:val="24"/>
                <w:szCs w:val="24"/>
              </w:rPr>
              <w:t xml:space="preserve"> </w:t>
            </w:r>
            <w:r>
              <w:rPr>
                <w:rFonts w:ascii="Times New Roman" w:hAnsi="Times New Roman" w:eastAsia="Times New Roman" w:cs="Times New Roman"/>
                <w:spacing w:val="-3"/>
                <w:sz w:val="24"/>
                <w:szCs w:val="24"/>
              </w:rPr>
              <w:t xml:space="preserve">17 </w:t>
            </w:r>
            <w:r>
              <w:rPr>
                <w:spacing w:val="-3"/>
                <w:sz w:val="24"/>
                <w:szCs w:val="24"/>
              </w:rPr>
              <w:t>个电磁环境、声环境保护目标；详见</w:t>
            </w:r>
            <w:r>
              <w:rPr>
                <w:spacing w:val="-4"/>
                <w:sz w:val="24"/>
                <w:szCs w:val="24"/>
              </w:rPr>
              <w:t>下表。</w:t>
            </w:r>
          </w:p>
        </w:tc>
      </w:tr>
    </w:tbl>
    <w:p w14:paraId="1475EBA2">
      <w:pPr>
        <w:rPr>
          <w:rFonts w:ascii="Arial"/>
          <w:sz w:val="21"/>
        </w:rPr>
      </w:pPr>
    </w:p>
    <w:p w14:paraId="7461B7B4">
      <w:pPr>
        <w:rPr>
          <w:rFonts w:ascii="Arial" w:hAnsi="Arial" w:eastAsia="Arial" w:cs="Arial"/>
          <w:sz w:val="21"/>
          <w:szCs w:val="21"/>
        </w:rPr>
        <w:sectPr>
          <w:footerReference r:id="rId83" w:type="default"/>
          <w:pgSz w:w="11907" w:h="16840"/>
          <w:pgMar w:top="400" w:right="1682" w:bottom="1240" w:left="1682" w:header="0" w:footer="1077" w:gutter="0"/>
          <w:cols w:space="720" w:num="1"/>
        </w:sectPr>
      </w:pPr>
    </w:p>
    <w:p w14:paraId="40C65ABD">
      <w:pPr>
        <w:spacing w:line="343" w:lineRule="auto"/>
        <w:rPr>
          <w:rFonts w:ascii="Arial"/>
          <w:sz w:val="21"/>
        </w:rPr>
      </w:pPr>
    </w:p>
    <w:p w14:paraId="48ED734F">
      <w:pPr>
        <w:spacing w:line="344" w:lineRule="auto"/>
        <w:rPr>
          <w:rFonts w:ascii="Arial"/>
          <w:sz w:val="21"/>
        </w:rPr>
      </w:pPr>
    </w:p>
    <w:p w14:paraId="48B81878">
      <w:pPr>
        <w:pStyle w:val="2"/>
        <w:spacing w:before="78" w:line="212" w:lineRule="auto"/>
        <w:ind w:left="4827"/>
        <w:rPr>
          <w:sz w:val="24"/>
          <w:szCs w:val="24"/>
        </w:rPr>
      </w:pPr>
      <w:r>
        <w:rPr>
          <w:b/>
          <w:bCs/>
          <w:spacing w:val="-2"/>
          <w:sz w:val="24"/>
          <w:szCs w:val="24"/>
        </w:rPr>
        <w:t>表</w:t>
      </w:r>
      <w:r>
        <w:rPr>
          <w:spacing w:val="-49"/>
          <w:sz w:val="24"/>
          <w:szCs w:val="24"/>
        </w:rPr>
        <w:t xml:space="preserve"> </w:t>
      </w:r>
      <w:r>
        <w:rPr>
          <w:rFonts w:ascii="Times New Roman" w:hAnsi="Times New Roman" w:eastAsia="Times New Roman" w:cs="Times New Roman"/>
          <w:b/>
          <w:bCs/>
          <w:spacing w:val="-2"/>
          <w:sz w:val="24"/>
          <w:szCs w:val="24"/>
        </w:rPr>
        <w:t xml:space="preserve">3-8    </w:t>
      </w:r>
      <w:r>
        <w:rPr>
          <w:b/>
          <w:bCs/>
          <w:spacing w:val="-2"/>
          <w:sz w:val="24"/>
          <w:szCs w:val="24"/>
        </w:rPr>
        <w:t>工程项目电磁和声环境保护目标一览表</w:t>
      </w:r>
    </w:p>
    <w:tbl>
      <w:tblPr>
        <w:tblStyle w:val="5"/>
        <w:tblW w:w="1402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8"/>
        <w:gridCol w:w="1180"/>
        <w:gridCol w:w="715"/>
        <w:gridCol w:w="667"/>
        <w:gridCol w:w="882"/>
        <w:gridCol w:w="1424"/>
        <w:gridCol w:w="1416"/>
        <w:gridCol w:w="1136"/>
        <w:gridCol w:w="646"/>
        <w:gridCol w:w="3953"/>
        <w:gridCol w:w="1155"/>
      </w:tblGrid>
      <w:tr w14:paraId="5F25D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848" w:type="dxa"/>
            <w:tcBorders>
              <w:right w:val="single" w:color="000000" w:sz="2" w:space="0"/>
            </w:tcBorders>
            <w:shd w:val="clear" w:color="auto" w:fill="BEBEBE"/>
            <w:vAlign w:val="top"/>
          </w:tcPr>
          <w:p w14:paraId="64E5E1DB">
            <w:pPr>
              <w:spacing w:line="377" w:lineRule="auto"/>
              <w:rPr>
                <w:rFonts w:ascii="Arial"/>
                <w:sz w:val="21"/>
              </w:rPr>
            </w:pPr>
          </w:p>
          <w:p w14:paraId="18916F1F">
            <w:pPr>
              <w:pStyle w:val="6"/>
              <w:spacing w:before="65" w:line="228" w:lineRule="auto"/>
              <w:ind w:left="216"/>
            </w:pPr>
            <w:r>
              <w:rPr>
                <w:b/>
                <w:bCs/>
                <w:spacing w:val="2"/>
              </w:rPr>
              <w:t>分区</w:t>
            </w:r>
          </w:p>
        </w:tc>
        <w:tc>
          <w:tcPr>
            <w:tcW w:w="1180" w:type="dxa"/>
            <w:tcBorders>
              <w:left w:val="single" w:color="000000" w:sz="2" w:space="0"/>
            </w:tcBorders>
            <w:shd w:val="clear" w:color="auto" w:fill="BEBEBE"/>
            <w:vAlign w:val="top"/>
          </w:tcPr>
          <w:p w14:paraId="56B2F125">
            <w:pPr>
              <w:spacing w:line="241" w:lineRule="auto"/>
              <w:rPr>
                <w:rFonts w:ascii="Arial"/>
                <w:sz w:val="21"/>
              </w:rPr>
            </w:pPr>
          </w:p>
          <w:p w14:paraId="7A34633F">
            <w:pPr>
              <w:pStyle w:val="6"/>
              <w:spacing w:before="65" w:line="252" w:lineRule="auto"/>
              <w:ind w:left="418" w:right="381" w:hanging="39"/>
            </w:pPr>
            <w:r>
              <w:rPr>
                <w:b/>
                <w:bCs/>
                <w:spacing w:val="3"/>
              </w:rPr>
              <w:t>保护</w:t>
            </w:r>
            <w:r>
              <w:rPr>
                <w:b/>
                <w:bCs/>
                <w:spacing w:val="-17"/>
              </w:rPr>
              <w:t>目标</w:t>
            </w:r>
          </w:p>
        </w:tc>
        <w:tc>
          <w:tcPr>
            <w:tcW w:w="715" w:type="dxa"/>
            <w:shd w:val="clear" w:color="auto" w:fill="BEBEBE"/>
            <w:vAlign w:val="top"/>
          </w:tcPr>
          <w:p w14:paraId="3043D083">
            <w:pPr>
              <w:spacing w:line="377" w:lineRule="auto"/>
              <w:rPr>
                <w:rFonts w:ascii="Arial"/>
                <w:sz w:val="21"/>
              </w:rPr>
            </w:pPr>
          </w:p>
          <w:p w14:paraId="55DC6C2B">
            <w:pPr>
              <w:pStyle w:val="6"/>
              <w:spacing w:before="65" w:line="229" w:lineRule="auto"/>
              <w:ind w:left="150"/>
            </w:pPr>
            <w:r>
              <w:rPr>
                <w:b/>
                <w:bCs/>
                <w:spacing w:val="2"/>
              </w:rPr>
              <w:t>功能</w:t>
            </w:r>
          </w:p>
        </w:tc>
        <w:tc>
          <w:tcPr>
            <w:tcW w:w="667" w:type="dxa"/>
            <w:shd w:val="clear" w:color="auto" w:fill="BEBEBE"/>
            <w:vAlign w:val="top"/>
          </w:tcPr>
          <w:p w14:paraId="1DEB934B">
            <w:pPr>
              <w:spacing w:line="377" w:lineRule="auto"/>
              <w:rPr>
                <w:rFonts w:ascii="Arial"/>
                <w:sz w:val="21"/>
              </w:rPr>
            </w:pPr>
          </w:p>
          <w:p w14:paraId="0072DE8D">
            <w:pPr>
              <w:pStyle w:val="6"/>
              <w:spacing w:before="65" w:line="228" w:lineRule="auto"/>
              <w:ind w:left="123"/>
            </w:pPr>
            <w:r>
              <w:rPr>
                <w:b/>
                <w:bCs/>
                <w:spacing w:val="3"/>
              </w:rPr>
              <w:t>规模</w:t>
            </w:r>
          </w:p>
        </w:tc>
        <w:tc>
          <w:tcPr>
            <w:tcW w:w="882" w:type="dxa"/>
            <w:shd w:val="clear" w:color="auto" w:fill="BEBEBE"/>
            <w:vAlign w:val="top"/>
          </w:tcPr>
          <w:p w14:paraId="5AAD8466">
            <w:pPr>
              <w:pStyle w:val="6"/>
              <w:spacing w:before="171" w:line="228" w:lineRule="auto"/>
              <w:ind w:left="128"/>
            </w:pPr>
            <w:r>
              <w:rPr>
                <w:b/>
                <w:bCs/>
                <w:spacing w:val="4"/>
              </w:rPr>
              <w:t>建筑物</w:t>
            </w:r>
          </w:p>
          <w:p w14:paraId="4C8EDB8B">
            <w:pPr>
              <w:pStyle w:val="6"/>
              <w:spacing w:before="24" w:line="228" w:lineRule="auto"/>
              <w:ind w:left="130"/>
            </w:pPr>
            <w:r>
              <w:rPr>
                <w:b/>
                <w:bCs/>
                <w:spacing w:val="3"/>
              </w:rPr>
              <w:t>结构及</w:t>
            </w:r>
          </w:p>
          <w:p w14:paraId="3EC8AD2B">
            <w:pPr>
              <w:pStyle w:val="6"/>
              <w:spacing w:before="25" w:line="228" w:lineRule="auto"/>
              <w:ind w:left="236"/>
            </w:pPr>
            <w:r>
              <w:rPr>
                <w:b/>
                <w:bCs/>
                <w:spacing w:val="1"/>
              </w:rPr>
              <w:t>高度</w:t>
            </w:r>
          </w:p>
        </w:tc>
        <w:tc>
          <w:tcPr>
            <w:tcW w:w="1424" w:type="dxa"/>
            <w:shd w:val="clear" w:color="auto" w:fill="BEBEBE"/>
            <w:vAlign w:val="top"/>
          </w:tcPr>
          <w:p w14:paraId="3E08587A">
            <w:pPr>
              <w:spacing w:line="377" w:lineRule="auto"/>
              <w:rPr>
                <w:rFonts w:ascii="Arial"/>
                <w:sz w:val="21"/>
              </w:rPr>
            </w:pPr>
          </w:p>
          <w:p w14:paraId="6C383A1C">
            <w:pPr>
              <w:pStyle w:val="6"/>
              <w:spacing w:before="65" w:line="228" w:lineRule="auto"/>
              <w:ind w:left="261"/>
            </w:pPr>
            <w:r>
              <w:rPr>
                <w:b/>
                <w:bCs/>
                <w:spacing w:val="5"/>
              </w:rPr>
              <w:t>方位</w:t>
            </w:r>
            <w:r>
              <w:rPr>
                <w:rFonts w:ascii="Times New Roman" w:hAnsi="Times New Roman" w:eastAsia="Times New Roman" w:cs="Times New Roman"/>
                <w:b/>
                <w:bCs/>
                <w:spacing w:val="5"/>
              </w:rPr>
              <w:t>/</w:t>
            </w:r>
            <w:r>
              <w:rPr>
                <w:b/>
                <w:bCs/>
                <w:spacing w:val="5"/>
              </w:rPr>
              <w:t>距离</w:t>
            </w:r>
          </w:p>
        </w:tc>
        <w:tc>
          <w:tcPr>
            <w:tcW w:w="1416" w:type="dxa"/>
            <w:tcBorders>
              <w:right w:val="single" w:color="000000" w:sz="2" w:space="0"/>
            </w:tcBorders>
            <w:shd w:val="clear" w:color="auto" w:fill="BEBEBE"/>
            <w:vAlign w:val="top"/>
          </w:tcPr>
          <w:p w14:paraId="1D5EA17F">
            <w:pPr>
              <w:pStyle w:val="6"/>
              <w:spacing w:before="36" w:line="229" w:lineRule="auto"/>
              <w:ind w:left="293"/>
            </w:pPr>
            <w:r>
              <w:rPr>
                <w:b/>
                <w:bCs/>
                <w:spacing w:val="5"/>
              </w:rPr>
              <w:t>与变电站</w:t>
            </w:r>
          </w:p>
          <w:p w14:paraId="17FBE618">
            <w:pPr>
              <w:pStyle w:val="6"/>
              <w:spacing w:before="22" w:line="228" w:lineRule="auto"/>
              <w:ind w:left="291"/>
            </w:pPr>
            <w:r>
              <w:rPr>
                <w:b/>
                <w:bCs/>
                <w:spacing w:val="5"/>
              </w:rPr>
              <w:t>或线路边</w:t>
            </w:r>
          </w:p>
          <w:p w14:paraId="6CD57934">
            <w:pPr>
              <w:pStyle w:val="6"/>
              <w:spacing w:before="24" w:line="228" w:lineRule="auto"/>
              <w:ind w:left="294"/>
            </w:pPr>
            <w:r>
              <w:rPr>
                <w:b/>
                <w:bCs/>
                <w:spacing w:val="5"/>
              </w:rPr>
              <w:t>导线投影</w:t>
            </w:r>
          </w:p>
          <w:p w14:paraId="1C4F0634">
            <w:pPr>
              <w:pStyle w:val="6"/>
              <w:spacing w:before="26" w:line="220" w:lineRule="auto"/>
              <w:ind w:left="291"/>
            </w:pPr>
            <w:r>
              <w:rPr>
                <w:b/>
                <w:bCs/>
                <w:spacing w:val="5"/>
              </w:rPr>
              <w:t>水平距离</w:t>
            </w:r>
          </w:p>
        </w:tc>
        <w:tc>
          <w:tcPr>
            <w:tcW w:w="1136" w:type="dxa"/>
            <w:tcBorders>
              <w:left w:val="single" w:color="000000" w:sz="2" w:space="0"/>
              <w:right w:val="single" w:color="000000" w:sz="2" w:space="0"/>
            </w:tcBorders>
            <w:shd w:val="clear" w:color="auto" w:fill="BEBEBE"/>
            <w:vAlign w:val="top"/>
          </w:tcPr>
          <w:p w14:paraId="567C79EA">
            <w:pPr>
              <w:pStyle w:val="6"/>
              <w:spacing w:before="170" w:line="228" w:lineRule="auto"/>
              <w:ind w:left="156"/>
            </w:pPr>
            <w:r>
              <w:rPr>
                <w:b/>
                <w:bCs/>
                <w:spacing w:val="5"/>
              </w:rPr>
              <w:t>与线路中</w:t>
            </w:r>
          </w:p>
          <w:p w14:paraId="53416218">
            <w:pPr>
              <w:pStyle w:val="6"/>
              <w:spacing w:before="24" w:line="228" w:lineRule="auto"/>
              <w:ind w:left="159"/>
            </w:pPr>
            <w:r>
              <w:rPr>
                <w:b/>
                <w:bCs/>
                <w:spacing w:val="4"/>
              </w:rPr>
              <w:t>心最近直</w:t>
            </w:r>
          </w:p>
          <w:p w14:paraId="1066A8B2">
            <w:pPr>
              <w:pStyle w:val="6"/>
              <w:spacing w:before="27" w:line="228" w:lineRule="auto"/>
              <w:ind w:left="260"/>
            </w:pPr>
            <w:r>
              <w:rPr>
                <w:b/>
                <w:bCs/>
                <w:spacing w:val="4"/>
              </w:rPr>
              <w:t>线距离</w:t>
            </w:r>
          </w:p>
        </w:tc>
        <w:tc>
          <w:tcPr>
            <w:tcW w:w="646" w:type="dxa"/>
            <w:tcBorders>
              <w:left w:val="single" w:color="000000" w:sz="2" w:space="0"/>
            </w:tcBorders>
            <w:shd w:val="clear" w:color="auto" w:fill="BEBEBE"/>
            <w:vAlign w:val="top"/>
          </w:tcPr>
          <w:p w14:paraId="4BF09FDE">
            <w:pPr>
              <w:pStyle w:val="6"/>
              <w:spacing w:before="171" w:line="228" w:lineRule="auto"/>
              <w:ind w:left="123"/>
            </w:pPr>
            <w:r>
              <w:rPr>
                <w:b/>
                <w:bCs/>
                <w:spacing w:val="1"/>
              </w:rPr>
              <w:t>导线</w:t>
            </w:r>
          </w:p>
          <w:p w14:paraId="5AFA47AD">
            <w:pPr>
              <w:pStyle w:val="6"/>
              <w:spacing w:before="23" w:line="229" w:lineRule="auto"/>
              <w:ind w:left="117"/>
            </w:pPr>
            <w:r>
              <w:rPr>
                <w:b/>
                <w:bCs/>
                <w:spacing w:val="4"/>
              </w:rPr>
              <w:t>对地</w:t>
            </w:r>
          </w:p>
          <w:p w14:paraId="72E32AE9">
            <w:pPr>
              <w:pStyle w:val="6"/>
              <w:spacing w:before="25" w:line="228" w:lineRule="auto"/>
              <w:ind w:left="123"/>
            </w:pPr>
            <w:r>
              <w:rPr>
                <w:b/>
                <w:bCs/>
                <w:spacing w:val="1"/>
              </w:rPr>
              <w:t>高度</w:t>
            </w:r>
          </w:p>
        </w:tc>
        <w:tc>
          <w:tcPr>
            <w:tcW w:w="3953" w:type="dxa"/>
            <w:shd w:val="clear" w:color="auto" w:fill="BEBEBE"/>
            <w:vAlign w:val="top"/>
          </w:tcPr>
          <w:p w14:paraId="0435DD07">
            <w:pPr>
              <w:spacing w:line="377" w:lineRule="auto"/>
              <w:rPr>
                <w:rFonts w:ascii="Arial"/>
                <w:sz w:val="21"/>
              </w:rPr>
            </w:pPr>
          </w:p>
          <w:p w14:paraId="5E542C10">
            <w:pPr>
              <w:pStyle w:val="6"/>
              <w:spacing w:before="65" w:line="228" w:lineRule="auto"/>
              <w:ind w:left="1561"/>
            </w:pPr>
            <w:r>
              <w:rPr>
                <w:b/>
                <w:bCs/>
                <w:spacing w:val="6"/>
              </w:rPr>
              <w:t>现状照片</w:t>
            </w:r>
          </w:p>
        </w:tc>
        <w:tc>
          <w:tcPr>
            <w:tcW w:w="1155" w:type="dxa"/>
            <w:shd w:val="clear" w:color="auto" w:fill="BEBEBE"/>
            <w:vAlign w:val="top"/>
          </w:tcPr>
          <w:p w14:paraId="5BB48634">
            <w:pPr>
              <w:spacing w:line="377" w:lineRule="auto"/>
              <w:rPr>
                <w:rFonts w:ascii="Arial"/>
                <w:sz w:val="21"/>
              </w:rPr>
            </w:pPr>
          </w:p>
          <w:p w14:paraId="4088EE37">
            <w:pPr>
              <w:pStyle w:val="6"/>
              <w:spacing w:before="65" w:line="228" w:lineRule="auto"/>
              <w:ind w:left="161"/>
            </w:pPr>
            <w:r>
              <w:rPr>
                <w:b/>
                <w:bCs/>
                <w:spacing w:val="6"/>
              </w:rPr>
              <w:t>保护级别</w:t>
            </w:r>
          </w:p>
        </w:tc>
      </w:tr>
      <w:tr w14:paraId="5094D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3" w:hRule="atLeast"/>
        </w:trPr>
        <w:tc>
          <w:tcPr>
            <w:tcW w:w="848" w:type="dxa"/>
            <w:vMerge w:val="restart"/>
            <w:tcBorders>
              <w:bottom w:val="nil"/>
              <w:right w:val="single" w:color="000000" w:sz="2" w:space="0"/>
            </w:tcBorders>
            <w:vAlign w:val="top"/>
          </w:tcPr>
          <w:p w14:paraId="38EE8B77">
            <w:pPr>
              <w:rPr>
                <w:rFonts w:ascii="Arial"/>
                <w:sz w:val="21"/>
              </w:rPr>
            </w:pPr>
          </w:p>
          <w:p w14:paraId="0EB3B93F">
            <w:pPr>
              <w:rPr>
                <w:rFonts w:ascii="Arial"/>
                <w:sz w:val="21"/>
              </w:rPr>
            </w:pPr>
          </w:p>
          <w:p w14:paraId="1F5D84E8">
            <w:pPr>
              <w:rPr>
                <w:rFonts w:ascii="Arial"/>
                <w:sz w:val="21"/>
              </w:rPr>
            </w:pPr>
          </w:p>
          <w:p w14:paraId="0F00858D">
            <w:pPr>
              <w:rPr>
                <w:rFonts w:ascii="Arial"/>
                <w:sz w:val="21"/>
              </w:rPr>
            </w:pPr>
          </w:p>
          <w:p w14:paraId="0F264C08">
            <w:pPr>
              <w:rPr>
                <w:rFonts w:ascii="Arial"/>
                <w:sz w:val="21"/>
              </w:rPr>
            </w:pPr>
          </w:p>
          <w:p w14:paraId="623596B0">
            <w:pPr>
              <w:rPr>
                <w:rFonts w:ascii="Arial"/>
                <w:sz w:val="21"/>
              </w:rPr>
            </w:pPr>
          </w:p>
          <w:p w14:paraId="02CE971E">
            <w:pPr>
              <w:rPr>
                <w:rFonts w:ascii="Arial"/>
                <w:sz w:val="21"/>
              </w:rPr>
            </w:pPr>
          </w:p>
          <w:p w14:paraId="5238E0D8">
            <w:pPr>
              <w:rPr>
                <w:rFonts w:ascii="Arial"/>
                <w:sz w:val="21"/>
              </w:rPr>
            </w:pPr>
          </w:p>
          <w:p w14:paraId="15F17167">
            <w:pPr>
              <w:rPr>
                <w:rFonts w:ascii="Arial"/>
                <w:sz w:val="21"/>
              </w:rPr>
            </w:pPr>
          </w:p>
          <w:p w14:paraId="4DF3F93F">
            <w:pPr>
              <w:rPr>
                <w:rFonts w:ascii="Arial"/>
                <w:sz w:val="21"/>
              </w:rPr>
            </w:pPr>
          </w:p>
          <w:p w14:paraId="792A31F2">
            <w:pPr>
              <w:rPr>
                <w:rFonts w:ascii="Arial"/>
                <w:sz w:val="21"/>
              </w:rPr>
            </w:pPr>
          </w:p>
          <w:p w14:paraId="5B1ED514">
            <w:pPr>
              <w:rPr>
                <w:rFonts w:ascii="Arial"/>
                <w:sz w:val="21"/>
              </w:rPr>
            </w:pPr>
          </w:p>
          <w:p w14:paraId="10F3DCD0">
            <w:pPr>
              <w:rPr>
                <w:rFonts w:ascii="Arial"/>
                <w:sz w:val="21"/>
              </w:rPr>
            </w:pPr>
          </w:p>
          <w:p w14:paraId="39F52B42">
            <w:pPr>
              <w:rPr>
                <w:rFonts w:ascii="Arial"/>
                <w:sz w:val="21"/>
              </w:rPr>
            </w:pPr>
          </w:p>
          <w:p w14:paraId="2042B218">
            <w:pPr>
              <w:spacing w:line="241" w:lineRule="auto"/>
              <w:rPr>
                <w:rFonts w:ascii="Arial"/>
                <w:sz w:val="21"/>
              </w:rPr>
            </w:pPr>
          </w:p>
          <w:p w14:paraId="603EAB5C">
            <w:pPr>
              <w:pStyle w:val="6"/>
              <w:spacing w:before="65" w:line="253" w:lineRule="auto"/>
              <w:ind w:left="216" w:right="214"/>
              <w:jc w:val="both"/>
            </w:pPr>
            <w:r>
              <w:rPr>
                <w:spacing w:val="4"/>
              </w:rPr>
              <w:t>松山变电</w:t>
            </w:r>
            <w:r>
              <w:rPr>
                <w:spacing w:val="34"/>
                <w:w w:val="135"/>
              </w:rPr>
              <w:t>站</w:t>
            </w:r>
          </w:p>
        </w:tc>
        <w:tc>
          <w:tcPr>
            <w:tcW w:w="1180" w:type="dxa"/>
            <w:tcBorders>
              <w:left w:val="single" w:color="000000" w:sz="2" w:space="0"/>
            </w:tcBorders>
            <w:vAlign w:val="top"/>
          </w:tcPr>
          <w:p w14:paraId="60F16B3E">
            <w:pPr>
              <w:spacing w:line="302" w:lineRule="auto"/>
              <w:rPr>
                <w:rFonts w:ascii="Arial"/>
                <w:sz w:val="21"/>
              </w:rPr>
            </w:pPr>
          </w:p>
          <w:p w14:paraId="59EF501E">
            <w:pPr>
              <w:spacing w:line="303" w:lineRule="auto"/>
              <w:rPr>
                <w:rFonts w:ascii="Arial"/>
                <w:sz w:val="21"/>
              </w:rPr>
            </w:pPr>
          </w:p>
          <w:p w14:paraId="39CA811B">
            <w:pPr>
              <w:spacing w:line="303" w:lineRule="auto"/>
              <w:rPr>
                <w:rFonts w:ascii="Arial"/>
                <w:sz w:val="21"/>
              </w:rPr>
            </w:pPr>
          </w:p>
          <w:p w14:paraId="2A4D77CE">
            <w:pPr>
              <w:pStyle w:val="6"/>
              <w:spacing w:before="65" w:line="253" w:lineRule="auto"/>
              <w:ind w:left="186" w:right="170" w:hanging="17"/>
              <w:jc w:val="both"/>
            </w:pPr>
            <w:r>
              <w:rPr>
                <w:spacing w:val="8"/>
              </w:rPr>
              <w:t>①松山变</w:t>
            </w:r>
            <w:r>
              <w:rPr>
                <w:spacing w:val="3"/>
              </w:rPr>
              <w:t>电站周围</w:t>
            </w:r>
            <w:r>
              <w:rPr>
                <w:rFonts w:ascii="Times New Roman" w:hAnsi="Times New Roman" w:eastAsia="Times New Roman" w:cs="Times New Roman"/>
                <w:spacing w:val="3"/>
              </w:rPr>
              <w:t>1#</w:t>
            </w:r>
            <w:r>
              <w:rPr>
                <w:spacing w:val="3"/>
              </w:rPr>
              <w:t>居民点</w:t>
            </w:r>
          </w:p>
        </w:tc>
        <w:tc>
          <w:tcPr>
            <w:tcW w:w="715" w:type="dxa"/>
            <w:vAlign w:val="top"/>
          </w:tcPr>
          <w:p w14:paraId="69CA2B4A">
            <w:pPr>
              <w:spacing w:line="295" w:lineRule="auto"/>
              <w:rPr>
                <w:rFonts w:ascii="Arial"/>
                <w:sz w:val="21"/>
              </w:rPr>
            </w:pPr>
          </w:p>
          <w:p w14:paraId="1ABA0A6F">
            <w:pPr>
              <w:spacing w:line="295" w:lineRule="auto"/>
              <w:rPr>
                <w:rFonts w:ascii="Arial"/>
                <w:sz w:val="21"/>
              </w:rPr>
            </w:pPr>
          </w:p>
          <w:p w14:paraId="22E03884">
            <w:pPr>
              <w:spacing w:line="295" w:lineRule="auto"/>
              <w:rPr>
                <w:rFonts w:ascii="Arial"/>
                <w:sz w:val="21"/>
              </w:rPr>
            </w:pPr>
          </w:p>
          <w:p w14:paraId="709F9B23">
            <w:pPr>
              <w:spacing w:line="296" w:lineRule="auto"/>
              <w:rPr>
                <w:rFonts w:ascii="Arial"/>
                <w:sz w:val="21"/>
              </w:rPr>
            </w:pPr>
          </w:p>
          <w:p w14:paraId="74FE884D">
            <w:pPr>
              <w:pStyle w:val="6"/>
              <w:spacing w:before="65" w:line="228" w:lineRule="auto"/>
              <w:ind w:left="148"/>
            </w:pPr>
            <w:r>
              <w:rPr>
                <w:spacing w:val="3"/>
              </w:rPr>
              <w:t>居住</w:t>
            </w:r>
          </w:p>
        </w:tc>
        <w:tc>
          <w:tcPr>
            <w:tcW w:w="667" w:type="dxa"/>
            <w:vAlign w:val="top"/>
          </w:tcPr>
          <w:p w14:paraId="72F71E3C">
            <w:pPr>
              <w:spacing w:line="261" w:lineRule="auto"/>
              <w:rPr>
                <w:rFonts w:ascii="Arial"/>
                <w:sz w:val="21"/>
              </w:rPr>
            </w:pPr>
          </w:p>
          <w:p w14:paraId="58BD1CD3">
            <w:pPr>
              <w:spacing w:line="261" w:lineRule="auto"/>
              <w:rPr>
                <w:rFonts w:ascii="Arial"/>
                <w:sz w:val="21"/>
              </w:rPr>
            </w:pPr>
          </w:p>
          <w:p w14:paraId="67849658">
            <w:pPr>
              <w:spacing w:line="261" w:lineRule="auto"/>
              <w:rPr>
                <w:rFonts w:ascii="Arial"/>
                <w:sz w:val="21"/>
              </w:rPr>
            </w:pPr>
          </w:p>
          <w:p w14:paraId="3E182842">
            <w:pPr>
              <w:spacing w:line="262" w:lineRule="auto"/>
              <w:rPr>
                <w:rFonts w:ascii="Arial"/>
                <w:sz w:val="21"/>
              </w:rPr>
            </w:pPr>
          </w:p>
          <w:p w14:paraId="0174D887">
            <w:pPr>
              <w:pStyle w:val="6"/>
              <w:spacing w:before="65" w:line="253" w:lineRule="auto"/>
              <w:ind w:left="144" w:right="150" w:firstLine="21"/>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rPr>
              <w:t>4</w:t>
            </w:r>
            <w:r>
              <w:rPr>
                <w:rFonts w:ascii="Times New Roman" w:hAnsi="Times New Roman" w:eastAsia="Times New Roman" w:cs="Times New Roman"/>
                <w:spacing w:val="11"/>
              </w:rPr>
              <w:t xml:space="preserve"> </w:t>
            </w:r>
            <w:r>
              <w:t>人</w:t>
            </w:r>
          </w:p>
        </w:tc>
        <w:tc>
          <w:tcPr>
            <w:tcW w:w="882" w:type="dxa"/>
            <w:vAlign w:val="top"/>
          </w:tcPr>
          <w:p w14:paraId="0E709A66">
            <w:pPr>
              <w:spacing w:line="257" w:lineRule="auto"/>
              <w:rPr>
                <w:rFonts w:ascii="Arial"/>
                <w:sz w:val="21"/>
              </w:rPr>
            </w:pPr>
          </w:p>
          <w:p w14:paraId="670A47A6">
            <w:pPr>
              <w:spacing w:line="257" w:lineRule="auto"/>
              <w:rPr>
                <w:rFonts w:ascii="Arial"/>
                <w:sz w:val="21"/>
              </w:rPr>
            </w:pPr>
          </w:p>
          <w:p w14:paraId="0081BBF8">
            <w:pPr>
              <w:spacing w:line="257" w:lineRule="auto"/>
              <w:rPr>
                <w:rFonts w:ascii="Arial"/>
                <w:sz w:val="21"/>
              </w:rPr>
            </w:pPr>
          </w:p>
          <w:p w14:paraId="6A0B85BE">
            <w:pPr>
              <w:pStyle w:val="6"/>
              <w:spacing w:before="65" w:line="253" w:lineRule="auto"/>
              <w:ind w:left="125" w:right="125"/>
              <w:jc w:val="both"/>
            </w:pPr>
            <w:r>
              <w:rPr>
                <w:spacing w:val="6"/>
              </w:rPr>
              <w:t>砖混结</w:t>
            </w:r>
            <w:r>
              <w:rPr>
                <w:spacing w:val="23"/>
              </w:rPr>
              <w:t>构，</w:t>
            </w:r>
            <w:r>
              <w:rPr>
                <w:rFonts w:ascii="Times New Roman" w:hAnsi="Times New Roman" w:eastAsia="Times New Roman" w:cs="Times New Roman"/>
                <w:spacing w:val="23"/>
              </w:rPr>
              <w:t>2</w:t>
            </w:r>
            <w:r>
              <w:rPr>
                <w:spacing w:val="6"/>
              </w:rPr>
              <w:t>层（平</w:t>
            </w:r>
            <w:r>
              <w:rPr>
                <w:spacing w:val="37"/>
                <w:w w:val="108"/>
              </w:rPr>
              <w:t>顶）</w:t>
            </w:r>
          </w:p>
        </w:tc>
        <w:tc>
          <w:tcPr>
            <w:tcW w:w="1424" w:type="dxa"/>
            <w:vAlign w:val="top"/>
          </w:tcPr>
          <w:p w14:paraId="53F9ACE5">
            <w:pPr>
              <w:spacing w:line="295" w:lineRule="auto"/>
              <w:rPr>
                <w:rFonts w:ascii="Arial"/>
                <w:sz w:val="21"/>
              </w:rPr>
            </w:pPr>
          </w:p>
          <w:p w14:paraId="304EC774">
            <w:pPr>
              <w:spacing w:line="295" w:lineRule="auto"/>
              <w:rPr>
                <w:rFonts w:ascii="Arial"/>
                <w:sz w:val="21"/>
              </w:rPr>
            </w:pPr>
          </w:p>
          <w:p w14:paraId="20D54101">
            <w:pPr>
              <w:spacing w:line="295" w:lineRule="auto"/>
              <w:rPr>
                <w:rFonts w:ascii="Arial"/>
                <w:sz w:val="21"/>
              </w:rPr>
            </w:pPr>
          </w:p>
          <w:p w14:paraId="661BDC1A">
            <w:pPr>
              <w:spacing w:line="296" w:lineRule="auto"/>
              <w:rPr>
                <w:rFonts w:ascii="Arial"/>
                <w:sz w:val="21"/>
              </w:rPr>
            </w:pPr>
          </w:p>
          <w:p w14:paraId="392F47C8">
            <w:pPr>
              <w:pStyle w:val="6"/>
              <w:spacing w:before="65" w:line="228" w:lineRule="auto"/>
              <w:ind w:left="189"/>
            </w:pPr>
            <w:r>
              <w:rPr>
                <w:spacing w:val="8"/>
              </w:rPr>
              <w:t>变电站北侧</w:t>
            </w:r>
          </w:p>
        </w:tc>
        <w:tc>
          <w:tcPr>
            <w:tcW w:w="1416" w:type="dxa"/>
            <w:tcBorders>
              <w:right w:val="single" w:color="000000" w:sz="2" w:space="0"/>
            </w:tcBorders>
            <w:vAlign w:val="top"/>
          </w:tcPr>
          <w:p w14:paraId="6C68871E">
            <w:pPr>
              <w:spacing w:line="308" w:lineRule="auto"/>
              <w:rPr>
                <w:rFonts w:ascii="Arial"/>
                <w:sz w:val="21"/>
              </w:rPr>
            </w:pPr>
          </w:p>
          <w:p w14:paraId="6922C664">
            <w:pPr>
              <w:spacing w:line="308" w:lineRule="auto"/>
              <w:rPr>
                <w:rFonts w:ascii="Arial"/>
                <w:sz w:val="21"/>
              </w:rPr>
            </w:pPr>
          </w:p>
          <w:p w14:paraId="4FEDDE67">
            <w:pPr>
              <w:spacing w:line="309" w:lineRule="auto"/>
              <w:rPr>
                <w:rFonts w:ascii="Arial"/>
                <w:sz w:val="21"/>
              </w:rPr>
            </w:pPr>
          </w:p>
          <w:p w14:paraId="35B7D93F">
            <w:pPr>
              <w:pStyle w:val="6"/>
              <w:spacing w:before="65" w:line="228" w:lineRule="auto"/>
              <w:ind w:left="185"/>
            </w:pPr>
            <w:r>
              <w:rPr>
                <w:spacing w:val="8"/>
              </w:rPr>
              <w:t>距松山变电</w:t>
            </w:r>
          </w:p>
          <w:p w14:paraId="6594C862">
            <w:pPr>
              <w:pStyle w:val="6"/>
              <w:spacing w:before="24" w:line="228" w:lineRule="auto"/>
              <w:ind w:left="186"/>
            </w:pPr>
            <w:r>
              <w:rPr>
                <w:spacing w:val="8"/>
              </w:rPr>
              <w:t>站北侧厂界</w:t>
            </w:r>
          </w:p>
          <w:p w14:paraId="30DAC0B1">
            <w:pPr>
              <w:spacing w:before="46" w:line="195" w:lineRule="auto"/>
              <w:ind w:left="48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124m</w:t>
            </w:r>
          </w:p>
        </w:tc>
        <w:tc>
          <w:tcPr>
            <w:tcW w:w="1136" w:type="dxa"/>
            <w:tcBorders>
              <w:left w:val="single" w:color="000000" w:sz="2" w:space="0"/>
              <w:right w:val="single" w:color="000000" w:sz="2" w:space="0"/>
            </w:tcBorders>
            <w:vAlign w:val="top"/>
          </w:tcPr>
          <w:p w14:paraId="6B893063">
            <w:pPr>
              <w:spacing w:line="244" w:lineRule="auto"/>
              <w:rPr>
                <w:rFonts w:ascii="Arial"/>
                <w:sz w:val="21"/>
              </w:rPr>
            </w:pPr>
          </w:p>
          <w:p w14:paraId="04ABA042">
            <w:pPr>
              <w:spacing w:line="244" w:lineRule="auto"/>
              <w:rPr>
                <w:rFonts w:ascii="Arial"/>
                <w:sz w:val="21"/>
              </w:rPr>
            </w:pPr>
          </w:p>
          <w:p w14:paraId="05EC2AD6">
            <w:pPr>
              <w:spacing w:line="244" w:lineRule="auto"/>
              <w:rPr>
                <w:rFonts w:ascii="Arial"/>
                <w:sz w:val="21"/>
              </w:rPr>
            </w:pPr>
          </w:p>
          <w:p w14:paraId="1914F6E9">
            <w:pPr>
              <w:spacing w:line="244" w:lineRule="auto"/>
              <w:rPr>
                <w:rFonts w:ascii="Arial"/>
                <w:sz w:val="21"/>
              </w:rPr>
            </w:pPr>
          </w:p>
          <w:p w14:paraId="226C08C1">
            <w:pPr>
              <w:spacing w:line="244" w:lineRule="auto"/>
              <w:rPr>
                <w:rFonts w:ascii="Arial"/>
                <w:sz w:val="21"/>
              </w:rPr>
            </w:pPr>
          </w:p>
          <w:p w14:paraId="7D283E90">
            <w:pPr>
              <w:spacing w:before="58" w:line="199" w:lineRule="auto"/>
              <w:ind w:left="5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46" w:type="dxa"/>
            <w:tcBorders>
              <w:left w:val="single" w:color="000000" w:sz="2" w:space="0"/>
            </w:tcBorders>
            <w:vAlign w:val="top"/>
          </w:tcPr>
          <w:p w14:paraId="40ED30E2">
            <w:pPr>
              <w:spacing w:line="244" w:lineRule="auto"/>
              <w:rPr>
                <w:rFonts w:ascii="Arial"/>
                <w:sz w:val="21"/>
              </w:rPr>
            </w:pPr>
          </w:p>
          <w:p w14:paraId="319ED14C">
            <w:pPr>
              <w:spacing w:line="244" w:lineRule="auto"/>
              <w:rPr>
                <w:rFonts w:ascii="Arial"/>
                <w:sz w:val="21"/>
              </w:rPr>
            </w:pPr>
          </w:p>
          <w:p w14:paraId="4A6C5B94">
            <w:pPr>
              <w:spacing w:line="244" w:lineRule="auto"/>
              <w:rPr>
                <w:rFonts w:ascii="Arial"/>
                <w:sz w:val="21"/>
              </w:rPr>
            </w:pPr>
          </w:p>
          <w:p w14:paraId="1782FB48">
            <w:pPr>
              <w:spacing w:line="244" w:lineRule="auto"/>
              <w:rPr>
                <w:rFonts w:ascii="Arial"/>
                <w:sz w:val="21"/>
              </w:rPr>
            </w:pPr>
          </w:p>
          <w:p w14:paraId="456E3E49">
            <w:pPr>
              <w:spacing w:line="244" w:lineRule="auto"/>
              <w:rPr>
                <w:rFonts w:ascii="Arial"/>
                <w:sz w:val="21"/>
              </w:rPr>
            </w:pPr>
          </w:p>
          <w:p w14:paraId="778831BF">
            <w:pPr>
              <w:spacing w:before="58" w:line="199"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953" w:type="dxa"/>
            <w:vAlign w:val="top"/>
          </w:tcPr>
          <w:p w14:paraId="72038247">
            <w:pPr>
              <w:spacing w:line="2712" w:lineRule="exact"/>
              <w:ind w:firstLine="176"/>
            </w:pPr>
            <w:r>
              <w:rPr>
                <w:position w:val="-54"/>
              </w:rPr>
              <w:drawing>
                <wp:inline distT="0" distB="0" distL="0" distR="0">
                  <wp:extent cx="2282825" cy="1722120"/>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237"/>
                          <a:stretch>
                            <a:fillRect/>
                          </a:stretch>
                        </pic:blipFill>
                        <pic:spPr>
                          <a:xfrm>
                            <a:off x="0" y="0"/>
                            <a:ext cx="2282952" cy="1722754"/>
                          </a:xfrm>
                          <a:prstGeom prst="rect">
                            <a:avLst/>
                          </a:prstGeom>
                        </pic:spPr>
                      </pic:pic>
                    </a:graphicData>
                  </a:graphic>
                </wp:inline>
              </w:drawing>
            </w:r>
          </w:p>
        </w:tc>
        <w:tc>
          <w:tcPr>
            <w:tcW w:w="1155" w:type="dxa"/>
            <w:vMerge w:val="restart"/>
            <w:tcBorders>
              <w:bottom w:val="nil"/>
            </w:tcBorders>
            <w:vAlign w:val="top"/>
          </w:tcPr>
          <w:p w14:paraId="294682EC">
            <w:pPr>
              <w:spacing w:line="264" w:lineRule="auto"/>
              <w:rPr>
                <w:rFonts w:ascii="Arial"/>
                <w:sz w:val="21"/>
              </w:rPr>
            </w:pPr>
          </w:p>
          <w:p w14:paraId="2B1F96A3">
            <w:pPr>
              <w:spacing w:line="265" w:lineRule="auto"/>
              <w:rPr>
                <w:rFonts w:ascii="Arial"/>
                <w:sz w:val="21"/>
              </w:rPr>
            </w:pPr>
          </w:p>
          <w:p w14:paraId="759BD661">
            <w:pPr>
              <w:spacing w:line="265" w:lineRule="auto"/>
              <w:rPr>
                <w:rFonts w:ascii="Arial"/>
                <w:sz w:val="21"/>
              </w:rPr>
            </w:pPr>
          </w:p>
          <w:p w14:paraId="61FA48BE">
            <w:pPr>
              <w:spacing w:line="265" w:lineRule="auto"/>
              <w:rPr>
                <w:rFonts w:ascii="Arial"/>
                <w:sz w:val="21"/>
              </w:rPr>
            </w:pPr>
          </w:p>
          <w:p w14:paraId="61B8016F">
            <w:pPr>
              <w:spacing w:line="265" w:lineRule="auto"/>
              <w:rPr>
                <w:rFonts w:ascii="Arial"/>
                <w:sz w:val="21"/>
              </w:rPr>
            </w:pPr>
          </w:p>
          <w:p w14:paraId="45D82C76">
            <w:pPr>
              <w:spacing w:line="265" w:lineRule="auto"/>
              <w:rPr>
                <w:rFonts w:ascii="Arial"/>
                <w:sz w:val="21"/>
              </w:rPr>
            </w:pPr>
          </w:p>
          <w:p w14:paraId="46924B9D">
            <w:pPr>
              <w:spacing w:line="265" w:lineRule="auto"/>
              <w:rPr>
                <w:rFonts w:ascii="Arial"/>
                <w:sz w:val="21"/>
              </w:rPr>
            </w:pPr>
          </w:p>
          <w:p w14:paraId="00B334CA">
            <w:pPr>
              <w:spacing w:line="265" w:lineRule="auto"/>
              <w:rPr>
                <w:rFonts w:ascii="Arial"/>
                <w:sz w:val="21"/>
              </w:rPr>
            </w:pPr>
          </w:p>
          <w:p w14:paraId="0B37D8DD">
            <w:pPr>
              <w:spacing w:line="265" w:lineRule="auto"/>
              <w:rPr>
                <w:rFonts w:ascii="Arial"/>
                <w:sz w:val="21"/>
              </w:rPr>
            </w:pPr>
          </w:p>
          <w:p w14:paraId="68F658AF">
            <w:pPr>
              <w:pStyle w:val="6"/>
              <w:spacing w:before="65" w:line="251" w:lineRule="auto"/>
              <w:ind w:left="115" w:right="105" w:firstLine="3"/>
              <w:jc w:val="both"/>
              <w:rPr>
                <w:rFonts w:ascii="Times New Roman" w:hAnsi="Times New Roman" w:eastAsia="Times New Roman" w:cs="Times New Roman"/>
              </w:rPr>
            </w:pPr>
            <w:r>
              <w:rPr>
                <w:spacing w:val="29"/>
              </w:rPr>
              <w:t>声环境满</w:t>
            </w:r>
            <w:r>
              <w:rPr>
                <w:spacing w:val="14"/>
              </w:rPr>
              <w:t>足《</w:t>
            </w:r>
            <w:r>
              <w:rPr>
                <w:spacing w:val="-34"/>
              </w:rPr>
              <w:t xml:space="preserve"> </w:t>
            </w:r>
            <w:r>
              <w:rPr>
                <w:spacing w:val="14"/>
              </w:rPr>
              <w:t>声环</w:t>
            </w:r>
            <w:r>
              <w:rPr>
                <w:spacing w:val="30"/>
              </w:rPr>
              <w:t>境质量标</w:t>
            </w:r>
            <w:r>
              <w:rPr>
                <w:spacing w:val="-5"/>
              </w:rPr>
              <w:t>准</w:t>
            </w:r>
            <w:r>
              <w:rPr>
                <w:spacing w:val="6"/>
              </w:rPr>
              <w:t xml:space="preserve">     </w:t>
            </w:r>
            <w:r>
              <w:rPr>
                <w:spacing w:val="-5"/>
              </w:rPr>
              <w:t>》</w:t>
            </w:r>
            <w:r>
              <w:rPr>
                <w:spacing w:val="2"/>
              </w:rPr>
              <w:t xml:space="preserve"> </w:t>
            </w:r>
            <w:r>
              <w:rPr>
                <w:spacing w:val="9"/>
              </w:rPr>
              <w:t>（</w:t>
            </w:r>
            <w:r>
              <w:rPr>
                <w:rFonts w:ascii="Times New Roman" w:hAnsi="Times New Roman" w:eastAsia="Times New Roman" w:cs="Times New Roman"/>
              </w:rPr>
              <w:t>GB</w:t>
            </w:r>
            <w:r>
              <w:rPr>
                <w:rFonts w:ascii="Times New Roman" w:hAnsi="Times New Roman" w:eastAsia="Times New Roman" w:cs="Times New Roman"/>
                <w:spacing w:val="9"/>
              </w:rPr>
              <w:t>3096</w:t>
            </w:r>
          </w:p>
          <w:p w14:paraId="4F431222">
            <w:pPr>
              <w:pStyle w:val="6"/>
              <w:spacing w:before="5" w:line="251" w:lineRule="auto"/>
              <w:ind w:left="110" w:firstLine="4"/>
              <w:jc w:val="both"/>
            </w:pPr>
            <w:r>
              <w:rPr>
                <w:rFonts w:ascii="Times New Roman" w:hAnsi="Times New Roman" w:eastAsia="Times New Roman" w:cs="Times New Roman"/>
                <w:spacing w:val="-10"/>
              </w:rPr>
              <w:t>-2008</w:t>
            </w:r>
            <w:r>
              <w:rPr>
                <w:rFonts w:ascii="Times New Roman" w:hAnsi="Times New Roman" w:eastAsia="Times New Roman" w:cs="Times New Roman"/>
                <w:spacing w:val="44"/>
              </w:rPr>
              <w:t xml:space="preserve"> </w:t>
            </w:r>
            <w:r>
              <w:rPr>
                <w:spacing w:val="-10"/>
              </w:rPr>
              <w:t>）</w:t>
            </w:r>
            <w:r>
              <w:rPr>
                <w:spacing w:val="-17"/>
              </w:rPr>
              <w:t xml:space="preserve"> </w:t>
            </w:r>
            <w:r>
              <w:rPr>
                <w:rFonts w:ascii="Times New Roman" w:hAnsi="Times New Roman" w:eastAsia="Times New Roman" w:cs="Times New Roman"/>
                <w:spacing w:val="-10"/>
              </w:rPr>
              <w:t>1</w:t>
            </w:r>
            <w:r>
              <w:rPr>
                <w:spacing w:val="19"/>
              </w:rPr>
              <w:t>类标准要</w:t>
            </w:r>
            <w:r>
              <w:rPr>
                <w:spacing w:val="-15"/>
              </w:rPr>
              <w:t>求</w:t>
            </w:r>
            <w:r>
              <w:rPr>
                <w:spacing w:val="-46"/>
              </w:rPr>
              <w:t xml:space="preserve"> </w:t>
            </w:r>
            <w:r>
              <w:rPr>
                <w:spacing w:val="-28"/>
              </w:rPr>
              <w:t>，</w:t>
            </w:r>
            <w:r>
              <w:rPr>
                <w:spacing w:val="-71"/>
              </w:rPr>
              <w:t xml:space="preserve"> </w:t>
            </w:r>
            <w:r>
              <w:rPr>
                <w:spacing w:val="-28"/>
              </w:rPr>
              <w:t>（</w:t>
            </w:r>
            <w:r>
              <w:rPr>
                <w:spacing w:val="-19"/>
              </w:rPr>
              <w:t xml:space="preserve"> </w:t>
            </w:r>
            <w:r>
              <w:rPr>
                <w:spacing w:val="-15"/>
              </w:rPr>
              <w:t>即</w:t>
            </w:r>
            <w:r>
              <w:rPr>
                <w:spacing w:val="-18"/>
              </w:rPr>
              <w:t>昼</w:t>
            </w:r>
            <w:r>
              <w:rPr>
                <w:spacing w:val="68"/>
              </w:rPr>
              <w:t xml:space="preserve"> </w:t>
            </w:r>
            <w:r>
              <w:rPr>
                <w:spacing w:val="-18"/>
              </w:rPr>
              <w:t>间</w:t>
            </w:r>
            <w:r>
              <w:rPr>
                <w:spacing w:val="64"/>
              </w:rPr>
              <w:t xml:space="preserve"> </w:t>
            </w:r>
            <w:r>
              <w:rPr>
                <w:spacing w:val="-18"/>
              </w:rPr>
              <w:t>≤</w:t>
            </w:r>
            <w:r>
              <w:t xml:space="preserve"> </w:t>
            </w:r>
            <w:r>
              <w:rPr>
                <w:rFonts w:ascii="Times New Roman" w:hAnsi="Times New Roman" w:eastAsia="Times New Roman" w:cs="Times New Roman"/>
                <w:spacing w:val="-18"/>
              </w:rPr>
              <w:t>55dB</w:t>
            </w:r>
            <w:r>
              <w:rPr>
                <w:spacing w:val="-18"/>
              </w:rPr>
              <w:t>（</w:t>
            </w:r>
            <w:r>
              <w:rPr>
                <w:rFonts w:ascii="Times New Roman" w:hAnsi="Times New Roman" w:eastAsia="Times New Roman" w:cs="Times New Roman"/>
                <w:spacing w:val="-18"/>
              </w:rPr>
              <w:t>A</w:t>
            </w:r>
            <w:r>
              <w:rPr>
                <w:spacing w:val="-18"/>
              </w:rPr>
              <w:t>）、夜</w:t>
            </w:r>
            <w:r>
              <w:rPr>
                <w:spacing w:val="68"/>
              </w:rPr>
              <w:t xml:space="preserve"> </w:t>
            </w:r>
            <w:r>
              <w:rPr>
                <w:spacing w:val="-18"/>
              </w:rPr>
              <w:t>间</w:t>
            </w:r>
            <w:r>
              <w:rPr>
                <w:spacing w:val="64"/>
              </w:rPr>
              <w:t xml:space="preserve"> </w:t>
            </w:r>
            <w:r>
              <w:rPr>
                <w:spacing w:val="-18"/>
              </w:rPr>
              <w:t>≤</w:t>
            </w:r>
            <w:r>
              <w:t xml:space="preserve"> </w:t>
            </w:r>
            <w:r>
              <w:rPr>
                <w:rFonts w:ascii="Times New Roman" w:hAnsi="Times New Roman" w:eastAsia="Times New Roman" w:cs="Times New Roman"/>
                <w:spacing w:val="-18"/>
                <w:w w:val="99"/>
              </w:rPr>
              <w:t>45dB</w:t>
            </w:r>
            <w:r>
              <w:rPr>
                <w:spacing w:val="-18"/>
                <w:w w:val="99"/>
              </w:rPr>
              <w:t>（</w:t>
            </w:r>
            <w:r>
              <w:rPr>
                <w:rFonts w:ascii="Times New Roman" w:hAnsi="Times New Roman" w:eastAsia="Times New Roman" w:cs="Times New Roman"/>
                <w:spacing w:val="-18"/>
                <w:w w:val="99"/>
              </w:rPr>
              <w:t>A</w:t>
            </w:r>
            <w:r>
              <w:rPr>
                <w:spacing w:val="-45"/>
                <w:w w:val="82"/>
              </w:rPr>
              <w:t>））；</w:t>
            </w:r>
          </w:p>
        </w:tc>
      </w:tr>
      <w:tr w14:paraId="6193C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3" w:hRule="atLeast"/>
        </w:trPr>
        <w:tc>
          <w:tcPr>
            <w:tcW w:w="848" w:type="dxa"/>
            <w:vMerge w:val="continue"/>
            <w:tcBorders>
              <w:top w:val="nil"/>
              <w:bottom w:val="nil"/>
              <w:right w:val="single" w:color="000000" w:sz="2" w:space="0"/>
            </w:tcBorders>
            <w:vAlign w:val="top"/>
          </w:tcPr>
          <w:p w14:paraId="158CECC0">
            <w:pPr>
              <w:rPr>
                <w:rFonts w:ascii="Arial"/>
                <w:sz w:val="21"/>
              </w:rPr>
            </w:pPr>
          </w:p>
        </w:tc>
        <w:tc>
          <w:tcPr>
            <w:tcW w:w="1180" w:type="dxa"/>
            <w:tcBorders>
              <w:left w:val="single" w:color="000000" w:sz="2" w:space="0"/>
            </w:tcBorders>
            <w:vAlign w:val="top"/>
          </w:tcPr>
          <w:p w14:paraId="77E82580">
            <w:pPr>
              <w:spacing w:line="303" w:lineRule="auto"/>
              <w:rPr>
                <w:rFonts w:ascii="Arial"/>
                <w:sz w:val="21"/>
              </w:rPr>
            </w:pPr>
          </w:p>
          <w:p w14:paraId="01D5BD85">
            <w:pPr>
              <w:spacing w:line="304" w:lineRule="auto"/>
              <w:rPr>
                <w:rFonts w:ascii="Arial"/>
                <w:sz w:val="21"/>
              </w:rPr>
            </w:pPr>
          </w:p>
          <w:p w14:paraId="1B3658F9">
            <w:pPr>
              <w:spacing w:line="304" w:lineRule="auto"/>
              <w:rPr>
                <w:rFonts w:ascii="Arial"/>
                <w:sz w:val="21"/>
              </w:rPr>
            </w:pPr>
          </w:p>
          <w:p w14:paraId="62F32F3E">
            <w:pPr>
              <w:pStyle w:val="6"/>
              <w:spacing w:before="65" w:line="253" w:lineRule="auto"/>
              <w:ind w:left="166" w:right="170" w:firstLine="2"/>
              <w:jc w:val="both"/>
            </w:pPr>
            <w:r>
              <w:rPr>
                <w:spacing w:val="8"/>
              </w:rPr>
              <w:t>②松山变电站周围</w:t>
            </w:r>
            <w:r>
              <w:rPr>
                <w:rFonts w:ascii="Times New Roman" w:hAnsi="Times New Roman" w:eastAsia="Times New Roman" w:cs="Times New Roman"/>
                <w:spacing w:val="7"/>
              </w:rPr>
              <w:t>2#</w:t>
            </w:r>
            <w:r>
              <w:rPr>
                <w:spacing w:val="7"/>
              </w:rPr>
              <w:t>居民点</w:t>
            </w:r>
          </w:p>
        </w:tc>
        <w:tc>
          <w:tcPr>
            <w:tcW w:w="715" w:type="dxa"/>
            <w:vAlign w:val="top"/>
          </w:tcPr>
          <w:p w14:paraId="2AFE03CF">
            <w:pPr>
              <w:spacing w:line="322" w:lineRule="auto"/>
              <w:rPr>
                <w:rFonts w:ascii="Arial"/>
                <w:sz w:val="21"/>
              </w:rPr>
            </w:pPr>
          </w:p>
          <w:p w14:paraId="139A7399">
            <w:pPr>
              <w:spacing w:line="323" w:lineRule="auto"/>
              <w:rPr>
                <w:rFonts w:ascii="Arial"/>
                <w:sz w:val="21"/>
              </w:rPr>
            </w:pPr>
          </w:p>
          <w:p w14:paraId="36E364B0">
            <w:pPr>
              <w:pStyle w:val="6"/>
              <w:spacing w:before="65" w:line="251" w:lineRule="auto"/>
              <w:ind w:left="145" w:right="148" w:firstLine="2"/>
              <w:jc w:val="both"/>
            </w:pPr>
            <w:r>
              <w:rPr>
                <w:spacing w:val="3"/>
              </w:rPr>
              <w:t>居住</w:t>
            </w:r>
            <w:r>
              <w:rPr>
                <w:spacing w:val="5"/>
              </w:rPr>
              <w:t>及农用物资仓</w:t>
            </w:r>
            <w:r>
              <w:rPr>
                <w:spacing w:val="35"/>
                <w:w w:val="136"/>
              </w:rPr>
              <w:t>库</w:t>
            </w:r>
          </w:p>
        </w:tc>
        <w:tc>
          <w:tcPr>
            <w:tcW w:w="667" w:type="dxa"/>
            <w:vAlign w:val="top"/>
          </w:tcPr>
          <w:p w14:paraId="22A29F41">
            <w:pPr>
              <w:spacing w:line="296" w:lineRule="auto"/>
              <w:rPr>
                <w:rFonts w:ascii="Arial"/>
                <w:sz w:val="21"/>
              </w:rPr>
            </w:pPr>
          </w:p>
          <w:p w14:paraId="454B26AD">
            <w:pPr>
              <w:spacing w:line="296" w:lineRule="auto"/>
              <w:rPr>
                <w:rFonts w:ascii="Arial"/>
                <w:sz w:val="21"/>
              </w:rPr>
            </w:pPr>
          </w:p>
          <w:p w14:paraId="4A31C1D4">
            <w:pPr>
              <w:spacing w:line="296" w:lineRule="auto"/>
              <w:rPr>
                <w:rFonts w:ascii="Arial"/>
                <w:sz w:val="21"/>
              </w:rPr>
            </w:pPr>
          </w:p>
          <w:p w14:paraId="15A5D73F">
            <w:pPr>
              <w:spacing w:line="296" w:lineRule="auto"/>
              <w:rPr>
                <w:rFonts w:ascii="Arial"/>
                <w:sz w:val="21"/>
              </w:rPr>
            </w:pPr>
          </w:p>
          <w:p w14:paraId="39EE55E8">
            <w:pPr>
              <w:pStyle w:val="6"/>
              <w:spacing w:before="65" w:line="231" w:lineRule="auto"/>
              <w:ind w:left="145"/>
            </w:pPr>
            <w:r>
              <w:rPr>
                <w:rFonts w:ascii="Times New Roman" w:hAnsi="Times New Roman" w:eastAsia="Times New Roman" w:cs="Times New Roman"/>
              </w:rPr>
              <w:t>2</w:t>
            </w:r>
            <w:r>
              <w:rPr>
                <w:rFonts w:ascii="Times New Roman" w:hAnsi="Times New Roman" w:eastAsia="Times New Roman" w:cs="Times New Roman"/>
                <w:spacing w:val="11"/>
              </w:rPr>
              <w:t xml:space="preserve"> </w:t>
            </w:r>
            <w:r>
              <w:t>人</w:t>
            </w:r>
          </w:p>
        </w:tc>
        <w:tc>
          <w:tcPr>
            <w:tcW w:w="882" w:type="dxa"/>
            <w:vAlign w:val="top"/>
          </w:tcPr>
          <w:p w14:paraId="27EA0662">
            <w:pPr>
              <w:spacing w:line="258" w:lineRule="auto"/>
              <w:rPr>
                <w:rFonts w:ascii="Arial"/>
                <w:sz w:val="21"/>
              </w:rPr>
            </w:pPr>
          </w:p>
          <w:p w14:paraId="1D20A175">
            <w:pPr>
              <w:spacing w:line="258" w:lineRule="auto"/>
              <w:rPr>
                <w:rFonts w:ascii="Arial"/>
                <w:sz w:val="21"/>
              </w:rPr>
            </w:pPr>
          </w:p>
          <w:p w14:paraId="7619B05E">
            <w:pPr>
              <w:spacing w:line="258" w:lineRule="auto"/>
              <w:rPr>
                <w:rFonts w:ascii="Arial"/>
                <w:sz w:val="21"/>
              </w:rPr>
            </w:pPr>
          </w:p>
          <w:p w14:paraId="0693B2C4">
            <w:pPr>
              <w:pStyle w:val="6"/>
              <w:spacing w:before="65" w:line="253" w:lineRule="auto"/>
              <w:ind w:left="125" w:right="125"/>
              <w:jc w:val="both"/>
            </w:pPr>
            <w:r>
              <w:rPr>
                <w:spacing w:val="6"/>
              </w:rPr>
              <w:t>砖混结</w:t>
            </w:r>
            <w:r>
              <w:rPr>
                <w:spacing w:val="23"/>
              </w:rPr>
              <w:t>构，</w:t>
            </w:r>
            <w:r>
              <w:rPr>
                <w:rFonts w:ascii="Times New Roman" w:hAnsi="Times New Roman" w:eastAsia="Times New Roman" w:cs="Times New Roman"/>
                <w:spacing w:val="23"/>
              </w:rPr>
              <w:t>2</w:t>
            </w:r>
            <w:r>
              <w:rPr>
                <w:spacing w:val="6"/>
              </w:rPr>
              <w:t>层（斜</w:t>
            </w:r>
            <w:r>
              <w:rPr>
                <w:spacing w:val="37"/>
                <w:w w:val="108"/>
              </w:rPr>
              <w:t>顶）</w:t>
            </w:r>
          </w:p>
        </w:tc>
        <w:tc>
          <w:tcPr>
            <w:tcW w:w="1424" w:type="dxa"/>
            <w:vAlign w:val="top"/>
          </w:tcPr>
          <w:p w14:paraId="53290861">
            <w:pPr>
              <w:spacing w:line="296" w:lineRule="auto"/>
              <w:rPr>
                <w:rFonts w:ascii="Arial"/>
                <w:sz w:val="21"/>
              </w:rPr>
            </w:pPr>
          </w:p>
          <w:p w14:paraId="739A19DA">
            <w:pPr>
              <w:spacing w:line="296" w:lineRule="auto"/>
              <w:rPr>
                <w:rFonts w:ascii="Arial"/>
                <w:sz w:val="21"/>
              </w:rPr>
            </w:pPr>
          </w:p>
          <w:p w14:paraId="3F155CA5">
            <w:pPr>
              <w:spacing w:line="296" w:lineRule="auto"/>
              <w:rPr>
                <w:rFonts w:ascii="Arial"/>
                <w:sz w:val="21"/>
              </w:rPr>
            </w:pPr>
          </w:p>
          <w:p w14:paraId="0F0567B0">
            <w:pPr>
              <w:spacing w:line="296" w:lineRule="auto"/>
              <w:rPr>
                <w:rFonts w:ascii="Arial"/>
                <w:sz w:val="21"/>
              </w:rPr>
            </w:pPr>
          </w:p>
          <w:p w14:paraId="172D0116">
            <w:pPr>
              <w:pStyle w:val="6"/>
              <w:spacing w:before="65" w:line="228" w:lineRule="auto"/>
              <w:ind w:left="189"/>
            </w:pPr>
            <w:r>
              <w:rPr>
                <w:spacing w:val="8"/>
              </w:rPr>
              <w:t>变电站北侧</w:t>
            </w:r>
          </w:p>
        </w:tc>
        <w:tc>
          <w:tcPr>
            <w:tcW w:w="1416" w:type="dxa"/>
            <w:tcBorders>
              <w:right w:val="single" w:color="000000" w:sz="2" w:space="0"/>
            </w:tcBorders>
            <w:vAlign w:val="top"/>
          </w:tcPr>
          <w:p w14:paraId="0FA23F66">
            <w:pPr>
              <w:spacing w:line="309" w:lineRule="auto"/>
              <w:rPr>
                <w:rFonts w:ascii="Arial"/>
                <w:sz w:val="21"/>
              </w:rPr>
            </w:pPr>
          </w:p>
          <w:p w14:paraId="2C169810">
            <w:pPr>
              <w:spacing w:line="309" w:lineRule="auto"/>
              <w:rPr>
                <w:rFonts w:ascii="Arial"/>
                <w:sz w:val="21"/>
              </w:rPr>
            </w:pPr>
          </w:p>
          <w:p w14:paraId="1E264AA8">
            <w:pPr>
              <w:spacing w:line="310" w:lineRule="auto"/>
              <w:rPr>
                <w:rFonts w:ascii="Arial"/>
                <w:sz w:val="21"/>
              </w:rPr>
            </w:pPr>
          </w:p>
          <w:p w14:paraId="5BF00619">
            <w:pPr>
              <w:pStyle w:val="6"/>
              <w:spacing w:before="65" w:line="228" w:lineRule="auto"/>
              <w:ind w:left="185"/>
            </w:pPr>
            <w:r>
              <w:rPr>
                <w:spacing w:val="8"/>
              </w:rPr>
              <w:t>距松山变电</w:t>
            </w:r>
          </w:p>
          <w:p w14:paraId="33DF2F1B">
            <w:pPr>
              <w:pStyle w:val="6"/>
              <w:spacing w:before="24" w:line="228" w:lineRule="auto"/>
              <w:ind w:left="186"/>
            </w:pPr>
            <w:r>
              <w:rPr>
                <w:spacing w:val="8"/>
              </w:rPr>
              <w:t>站北侧厂界</w:t>
            </w:r>
          </w:p>
          <w:p w14:paraId="4770FF64">
            <w:pPr>
              <w:spacing w:before="46" w:line="195" w:lineRule="auto"/>
              <w:ind w:left="52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87m</w:t>
            </w:r>
          </w:p>
        </w:tc>
        <w:tc>
          <w:tcPr>
            <w:tcW w:w="1136" w:type="dxa"/>
            <w:tcBorders>
              <w:left w:val="single" w:color="000000" w:sz="2" w:space="0"/>
              <w:right w:val="single" w:color="000000" w:sz="2" w:space="0"/>
            </w:tcBorders>
            <w:vAlign w:val="top"/>
          </w:tcPr>
          <w:p w14:paraId="4BA1C36B">
            <w:pPr>
              <w:spacing w:line="244" w:lineRule="auto"/>
              <w:rPr>
                <w:rFonts w:ascii="Arial"/>
                <w:sz w:val="21"/>
              </w:rPr>
            </w:pPr>
          </w:p>
          <w:p w14:paraId="5C92F9CB">
            <w:pPr>
              <w:spacing w:line="244" w:lineRule="auto"/>
              <w:rPr>
                <w:rFonts w:ascii="Arial"/>
                <w:sz w:val="21"/>
              </w:rPr>
            </w:pPr>
          </w:p>
          <w:p w14:paraId="12C19389">
            <w:pPr>
              <w:spacing w:line="245" w:lineRule="auto"/>
              <w:rPr>
                <w:rFonts w:ascii="Arial"/>
                <w:sz w:val="21"/>
              </w:rPr>
            </w:pPr>
          </w:p>
          <w:p w14:paraId="40693022">
            <w:pPr>
              <w:spacing w:line="245" w:lineRule="auto"/>
              <w:rPr>
                <w:rFonts w:ascii="Arial"/>
                <w:sz w:val="21"/>
              </w:rPr>
            </w:pPr>
          </w:p>
          <w:p w14:paraId="75DD7972">
            <w:pPr>
              <w:spacing w:line="245" w:lineRule="auto"/>
              <w:rPr>
                <w:rFonts w:ascii="Arial"/>
                <w:sz w:val="21"/>
              </w:rPr>
            </w:pPr>
          </w:p>
          <w:p w14:paraId="5C313F90">
            <w:pPr>
              <w:spacing w:before="58" w:line="199" w:lineRule="auto"/>
              <w:ind w:left="5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46" w:type="dxa"/>
            <w:tcBorders>
              <w:left w:val="single" w:color="000000" w:sz="2" w:space="0"/>
            </w:tcBorders>
            <w:vAlign w:val="top"/>
          </w:tcPr>
          <w:p w14:paraId="29FDB798">
            <w:pPr>
              <w:spacing w:line="244" w:lineRule="auto"/>
              <w:rPr>
                <w:rFonts w:ascii="Arial"/>
                <w:sz w:val="21"/>
              </w:rPr>
            </w:pPr>
          </w:p>
          <w:p w14:paraId="2E45219F">
            <w:pPr>
              <w:spacing w:line="244" w:lineRule="auto"/>
              <w:rPr>
                <w:rFonts w:ascii="Arial"/>
                <w:sz w:val="21"/>
              </w:rPr>
            </w:pPr>
          </w:p>
          <w:p w14:paraId="6285FA52">
            <w:pPr>
              <w:spacing w:line="245" w:lineRule="auto"/>
              <w:rPr>
                <w:rFonts w:ascii="Arial"/>
                <w:sz w:val="21"/>
              </w:rPr>
            </w:pPr>
          </w:p>
          <w:p w14:paraId="2CA73674">
            <w:pPr>
              <w:spacing w:line="245" w:lineRule="auto"/>
              <w:rPr>
                <w:rFonts w:ascii="Arial"/>
                <w:sz w:val="21"/>
              </w:rPr>
            </w:pPr>
          </w:p>
          <w:p w14:paraId="762F4B49">
            <w:pPr>
              <w:spacing w:line="245" w:lineRule="auto"/>
              <w:rPr>
                <w:rFonts w:ascii="Arial"/>
                <w:sz w:val="21"/>
              </w:rPr>
            </w:pPr>
          </w:p>
          <w:p w14:paraId="44506D08">
            <w:pPr>
              <w:spacing w:before="58" w:line="199"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953" w:type="dxa"/>
            <w:vAlign w:val="top"/>
          </w:tcPr>
          <w:p w14:paraId="3E4855E3">
            <w:pPr>
              <w:spacing w:line="2712" w:lineRule="exact"/>
              <w:ind w:firstLine="291"/>
            </w:pPr>
            <w:r>
              <w:rPr>
                <w:position w:val="-54"/>
              </w:rPr>
              <w:drawing>
                <wp:inline distT="0" distB="0" distL="0" distR="0">
                  <wp:extent cx="2138045" cy="1722120"/>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238"/>
                          <a:stretch>
                            <a:fillRect/>
                          </a:stretch>
                        </pic:blipFill>
                        <pic:spPr>
                          <a:xfrm>
                            <a:off x="0" y="0"/>
                            <a:ext cx="2138171" cy="1722627"/>
                          </a:xfrm>
                          <a:prstGeom prst="rect">
                            <a:avLst/>
                          </a:prstGeom>
                        </pic:spPr>
                      </pic:pic>
                    </a:graphicData>
                  </a:graphic>
                </wp:inline>
              </w:drawing>
            </w:r>
          </w:p>
        </w:tc>
        <w:tc>
          <w:tcPr>
            <w:tcW w:w="1155" w:type="dxa"/>
            <w:vMerge w:val="continue"/>
            <w:tcBorders>
              <w:top w:val="nil"/>
              <w:bottom w:val="nil"/>
            </w:tcBorders>
            <w:vAlign w:val="top"/>
          </w:tcPr>
          <w:p w14:paraId="31E2697B">
            <w:pPr>
              <w:rPr>
                <w:rFonts w:ascii="Arial"/>
                <w:sz w:val="21"/>
              </w:rPr>
            </w:pPr>
          </w:p>
        </w:tc>
      </w:tr>
      <w:tr w14:paraId="04171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4" w:hRule="atLeast"/>
        </w:trPr>
        <w:tc>
          <w:tcPr>
            <w:tcW w:w="848" w:type="dxa"/>
            <w:vMerge w:val="continue"/>
            <w:tcBorders>
              <w:top w:val="nil"/>
              <w:bottom w:val="nil"/>
              <w:right w:val="single" w:color="000000" w:sz="2" w:space="0"/>
            </w:tcBorders>
            <w:vAlign w:val="top"/>
          </w:tcPr>
          <w:p w14:paraId="629D5173">
            <w:pPr>
              <w:rPr>
                <w:rFonts w:ascii="Arial"/>
                <w:sz w:val="21"/>
              </w:rPr>
            </w:pPr>
          </w:p>
        </w:tc>
        <w:tc>
          <w:tcPr>
            <w:tcW w:w="1180" w:type="dxa"/>
            <w:tcBorders>
              <w:left w:val="single" w:color="000000" w:sz="2" w:space="0"/>
            </w:tcBorders>
            <w:vAlign w:val="top"/>
          </w:tcPr>
          <w:p w14:paraId="2317FB5A">
            <w:pPr>
              <w:pStyle w:val="6"/>
              <w:spacing w:before="170" w:line="225" w:lineRule="auto"/>
              <w:ind w:left="168"/>
            </w:pPr>
            <w:r>
              <w:rPr>
                <w:spacing w:val="8"/>
              </w:rPr>
              <w:t>③松山变</w:t>
            </w:r>
          </w:p>
          <w:p w14:paraId="3DBA852C">
            <w:pPr>
              <w:pStyle w:val="6"/>
              <w:spacing w:before="27" w:line="228" w:lineRule="auto"/>
              <w:ind w:left="194"/>
            </w:pPr>
            <w:r>
              <w:rPr>
                <w:spacing w:val="1"/>
              </w:rPr>
              <w:t>电站周围</w:t>
            </w:r>
          </w:p>
          <w:p w14:paraId="29CFF496">
            <w:pPr>
              <w:pStyle w:val="6"/>
              <w:spacing w:before="25" w:line="228" w:lineRule="auto"/>
              <w:ind w:left="170"/>
            </w:pPr>
            <w:r>
              <w:rPr>
                <w:rFonts w:ascii="Times New Roman" w:hAnsi="Times New Roman" w:eastAsia="Times New Roman" w:cs="Times New Roman"/>
                <w:spacing w:val="6"/>
              </w:rPr>
              <w:t>3#</w:t>
            </w:r>
            <w:r>
              <w:rPr>
                <w:spacing w:val="6"/>
              </w:rPr>
              <w:t>临时看</w:t>
            </w:r>
          </w:p>
          <w:p w14:paraId="0F25A6B3">
            <w:pPr>
              <w:pStyle w:val="6"/>
              <w:spacing w:before="24" w:line="228" w:lineRule="auto"/>
              <w:ind w:left="382"/>
            </w:pPr>
            <w:r>
              <w:rPr>
                <w:spacing w:val="4"/>
              </w:rPr>
              <w:t>护房</w:t>
            </w:r>
          </w:p>
        </w:tc>
        <w:tc>
          <w:tcPr>
            <w:tcW w:w="715" w:type="dxa"/>
            <w:vAlign w:val="top"/>
          </w:tcPr>
          <w:p w14:paraId="3626BEEF">
            <w:pPr>
              <w:pStyle w:val="6"/>
              <w:spacing w:before="36" w:line="228" w:lineRule="auto"/>
              <w:ind w:left="148"/>
            </w:pPr>
            <w:r>
              <w:rPr>
                <w:spacing w:val="3"/>
              </w:rPr>
              <w:t>居住</w:t>
            </w:r>
          </w:p>
          <w:p w14:paraId="1A550A3C">
            <w:pPr>
              <w:pStyle w:val="6"/>
              <w:spacing w:before="23" w:line="230" w:lineRule="auto"/>
              <w:ind w:left="145"/>
            </w:pPr>
            <w:r>
              <w:rPr>
                <w:spacing w:val="5"/>
              </w:rPr>
              <w:t>及农</w:t>
            </w:r>
          </w:p>
          <w:p w14:paraId="45E16E83">
            <w:pPr>
              <w:pStyle w:val="6"/>
              <w:spacing w:before="22" w:line="229" w:lineRule="auto"/>
              <w:ind w:left="148"/>
            </w:pPr>
            <w:r>
              <w:rPr>
                <w:spacing w:val="3"/>
              </w:rPr>
              <w:t>用物</w:t>
            </w:r>
          </w:p>
          <w:p w14:paraId="2DF851C6">
            <w:pPr>
              <w:pStyle w:val="6"/>
              <w:spacing w:before="24" w:line="232" w:lineRule="auto"/>
              <w:ind w:left="252" w:right="148" w:hanging="97"/>
            </w:pPr>
            <w:r>
              <w:t>资仓库</w:t>
            </w:r>
          </w:p>
        </w:tc>
        <w:tc>
          <w:tcPr>
            <w:tcW w:w="667" w:type="dxa"/>
            <w:vAlign w:val="top"/>
          </w:tcPr>
          <w:p w14:paraId="4514C7C6">
            <w:pPr>
              <w:spacing w:line="254" w:lineRule="auto"/>
              <w:rPr>
                <w:rFonts w:ascii="Arial"/>
                <w:sz w:val="21"/>
              </w:rPr>
            </w:pPr>
          </w:p>
          <w:p w14:paraId="77A2FC09">
            <w:pPr>
              <w:spacing w:line="255" w:lineRule="auto"/>
              <w:rPr>
                <w:rFonts w:ascii="Arial"/>
                <w:sz w:val="21"/>
              </w:rPr>
            </w:pPr>
          </w:p>
          <w:p w14:paraId="0D9DF292">
            <w:pPr>
              <w:pStyle w:val="6"/>
              <w:spacing w:before="65" w:line="231" w:lineRule="auto"/>
              <w:ind w:left="145"/>
            </w:pPr>
            <w:r>
              <w:rPr>
                <w:rFonts w:ascii="Times New Roman" w:hAnsi="Times New Roman" w:eastAsia="Times New Roman" w:cs="Times New Roman"/>
              </w:rPr>
              <w:t>2</w:t>
            </w:r>
            <w:r>
              <w:rPr>
                <w:rFonts w:ascii="Times New Roman" w:hAnsi="Times New Roman" w:eastAsia="Times New Roman" w:cs="Times New Roman"/>
                <w:spacing w:val="11"/>
              </w:rPr>
              <w:t xml:space="preserve"> </w:t>
            </w:r>
            <w:r>
              <w:t>人</w:t>
            </w:r>
          </w:p>
        </w:tc>
        <w:tc>
          <w:tcPr>
            <w:tcW w:w="882" w:type="dxa"/>
            <w:vAlign w:val="top"/>
          </w:tcPr>
          <w:p w14:paraId="4243BF7D">
            <w:pPr>
              <w:pStyle w:val="6"/>
              <w:spacing w:before="170" w:line="229" w:lineRule="auto"/>
              <w:ind w:left="125"/>
            </w:pPr>
            <w:r>
              <w:rPr>
                <w:spacing w:val="6"/>
              </w:rPr>
              <w:t>砖混结</w:t>
            </w:r>
          </w:p>
          <w:p w14:paraId="1E71A2DA">
            <w:pPr>
              <w:pStyle w:val="6"/>
              <w:spacing w:before="23" w:line="228" w:lineRule="auto"/>
              <w:ind w:left="180"/>
              <w:rPr>
                <w:rFonts w:ascii="Times New Roman" w:hAnsi="Times New Roman" w:eastAsia="Times New Roman" w:cs="Times New Roman"/>
              </w:rPr>
            </w:pPr>
            <w:r>
              <w:rPr>
                <w:spacing w:val="11"/>
              </w:rPr>
              <w:t>构，</w:t>
            </w:r>
            <w:r>
              <w:rPr>
                <w:rFonts w:ascii="Times New Roman" w:hAnsi="Times New Roman" w:eastAsia="Times New Roman" w:cs="Times New Roman"/>
                <w:spacing w:val="11"/>
              </w:rPr>
              <w:t>1</w:t>
            </w:r>
          </w:p>
          <w:p w14:paraId="10BBA00C">
            <w:pPr>
              <w:pStyle w:val="6"/>
              <w:spacing w:before="25" w:line="252" w:lineRule="auto"/>
              <w:ind w:left="230" w:right="125" w:hanging="105"/>
            </w:pPr>
            <w:r>
              <w:rPr>
                <w:spacing w:val="6"/>
              </w:rPr>
              <w:t>层（斜</w:t>
            </w:r>
            <w:r>
              <w:t>顶）</w:t>
            </w:r>
          </w:p>
        </w:tc>
        <w:tc>
          <w:tcPr>
            <w:tcW w:w="1424" w:type="dxa"/>
            <w:vAlign w:val="top"/>
          </w:tcPr>
          <w:p w14:paraId="3B51981C">
            <w:pPr>
              <w:spacing w:line="375" w:lineRule="auto"/>
              <w:rPr>
                <w:rFonts w:ascii="Arial"/>
                <w:sz w:val="21"/>
              </w:rPr>
            </w:pPr>
          </w:p>
          <w:p w14:paraId="0CCB9DCE">
            <w:pPr>
              <w:pStyle w:val="6"/>
              <w:spacing w:before="65" w:line="252" w:lineRule="auto"/>
              <w:ind w:left="607" w:right="184" w:hanging="418"/>
            </w:pPr>
            <w:r>
              <w:rPr>
                <w:spacing w:val="8"/>
              </w:rPr>
              <w:t>变电站东北</w:t>
            </w:r>
            <w:r>
              <w:rPr>
                <w:spacing w:val="2"/>
              </w:rPr>
              <w:t>侧</w:t>
            </w:r>
          </w:p>
        </w:tc>
        <w:tc>
          <w:tcPr>
            <w:tcW w:w="1416" w:type="dxa"/>
            <w:tcBorders>
              <w:right w:val="single" w:color="000000" w:sz="2" w:space="0"/>
            </w:tcBorders>
            <w:vAlign w:val="top"/>
          </w:tcPr>
          <w:p w14:paraId="4051CCCC">
            <w:pPr>
              <w:rPr>
                <w:rFonts w:ascii="Arial"/>
                <w:sz w:val="21"/>
              </w:rPr>
            </w:pPr>
          </w:p>
          <w:p w14:paraId="36554C08">
            <w:pPr>
              <w:pStyle w:val="6"/>
              <w:spacing w:before="65" w:line="228" w:lineRule="auto"/>
              <w:ind w:left="185"/>
            </w:pPr>
            <w:r>
              <w:rPr>
                <w:spacing w:val="8"/>
              </w:rPr>
              <w:t>距松山变电</w:t>
            </w:r>
          </w:p>
          <w:p w14:paraId="563C4F37">
            <w:pPr>
              <w:pStyle w:val="6"/>
              <w:spacing w:before="24" w:line="228" w:lineRule="auto"/>
              <w:ind w:left="186"/>
            </w:pPr>
            <w:r>
              <w:rPr>
                <w:spacing w:val="7"/>
              </w:rPr>
              <w:t>站东北侧厂</w:t>
            </w:r>
          </w:p>
          <w:p w14:paraId="3E56C918">
            <w:pPr>
              <w:pStyle w:val="6"/>
              <w:spacing w:before="24" w:line="229" w:lineRule="auto"/>
              <w:ind w:left="397"/>
              <w:rPr>
                <w:rFonts w:ascii="Times New Roman" w:hAnsi="Times New Roman" w:eastAsia="Times New Roman" w:cs="Times New Roman"/>
              </w:rPr>
            </w:pPr>
            <w:r>
              <w:rPr>
                <w:spacing w:val="1"/>
              </w:rPr>
              <w:t>界</w:t>
            </w:r>
            <w:r>
              <w:rPr>
                <w:spacing w:val="-39"/>
              </w:rPr>
              <w:t xml:space="preserve"> </w:t>
            </w:r>
            <w:r>
              <w:rPr>
                <w:rFonts w:ascii="Times New Roman" w:hAnsi="Times New Roman" w:eastAsia="Times New Roman" w:cs="Times New Roman"/>
                <w:spacing w:val="1"/>
              </w:rPr>
              <w:t>76m</w:t>
            </w:r>
          </w:p>
        </w:tc>
        <w:tc>
          <w:tcPr>
            <w:tcW w:w="1136" w:type="dxa"/>
            <w:tcBorders>
              <w:left w:val="single" w:color="000000" w:sz="2" w:space="0"/>
              <w:right w:val="single" w:color="000000" w:sz="2" w:space="0"/>
            </w:tcBorders>
            <w:vAlign w:val="top"/>
          </w:tcPr>
          <w:p w14:paraId="611A245B">
            <w:pPr>
              <w:spacing w:line="274" w:lineRule="auto"/>
              <w:rPr>
                <w:rFonts w:ascii="Arial"/>
                <w:sz w:val="21"/>
              </w:rPr>
            </w:pPr>
          </w:p>
          <w:p w14:paraId="5CFEDEE9">
            <w:pPr>
              <w:spacing w:line="275" w:lineRule="auto"/>
              <w:rPr>
                <w:rFonts w:ascii="Arial"/>
                <w:sz w:val="21"/>
              </w:rPr>
            </w:pPr>
          </w:p>
          <w:p w14:paraId="6BDC7837">
            <w:pPr>
              <w:spacing w:before="57" w:line="199" w:lineRule="auto"/>
              <w:ind w:left="5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46" w:type="dxa"/>
            <w:tcBorders>
              <w:left w:val="single" w:color="000000" w:sz="2" w:space="0"/>
            </w:tcBorders>
            <w:vAlign w:val="top"/>
          </w:tcPr>
          <w:p w14:paraId="3E0BA905">
            <w:pPr>
              <w:spacing w:line="274" w:lineRule="auto"/>
              <w:rPr>
                <w:rFonts w:ascii="Arial"/>
                <w:sz w:val="21"/>
              </w:rPr>
            </w:pPr>
          </w:p>
          <w:p w14:paraId="493EA3A9">
            <w:pPr>
              <w:spacing w:line="275" w:lineRule="auto"/>
              <w:rPr>
                <w:rFonts w:ascii="Arial"/>
                <w:sz w:val="21"/>
              </w:rPr>
            </w:pPr>
          </w:p>
          <w:p w14:paraId="08BD9E77">
            <w:pPr>
              <w:spacing w:before="57" w:line="199"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953" w:type="dxa"/>
            <w:vMerge w:val="restart"/>
            <w:tcBorders>
              <w:bottom w:val="nil"/>
            </w:tcBorders>
            <w:vAlign w:val="top"/>
          </w:tcPr>
          <w:p w14:paraId="1D67EB7E">
            <w:pPr>
              <w:spacing w:before="3" w:line="2658" w:lineRule="exact"/>
              <w:ind w:firstLine="267"/>
            </w:pPr>
            <w:r>
              <w:rPr>
                <w:position w:val="-53"/>
              </w:rPr>
              <w:drawing>
                <wp:inline distT="0" distB="0" distL="0" distR="0">
                  <wp:extent cx="2168525" cy="1687195"/>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239"/>
                          <a:stretch>
                            <a:fillRect/>
                          </a:stretch>
                        </pic:blipFill>
                        <pic:spPr>
                          <a:xfrm>
                            <a:off x="0" y="0"/>
                            <a:ext cx="2168652" cy="1687703"/>
                          </a:xfrm>
                          <a:prstGeom prst="rect">
                            <a:avLst/>
                          </a:prstGeom>
                        </pic:spPr>
                      </pic:pic>
                    </a:graphicData>
                  </a:graphic>
                </wp:inline>
              </w:drawing>
            </w:r>
          </w:p>
        </w:tc>
        <w:tc>
          <w:tcPr>
            <w:tcW w:w="1155" w:type="dxa"/>
            <w:vMerge w:val="continue"/>
            <w:tcBorders>
              <w:top w:val="nil"/>
              <w:bottom w:val="nil"/>
            </w:tcBorders>
            <w:vAlign w:val="top"/>
          </w:tcPr>
          <w:p w14:paraId="69237305">
            <w:pPr>
              <w:rPr>
                <w:rFonts w:ascii="Arial"/>
                <w:sz w:val="21"/>
              </w:rPr>
            </w:pPr>
          </w:p>
        </w:tc>
      </w:tr>
      <w:tr w14:paraId="6E22E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7" w:hRule="atLeast"/>
        </w:trPr>
        <w:tc>
          <w:tcPr>
            <w:tcW w:w="848" w:type="dxa"/>
            <w:vMerge w:val="continue"/>
            <w:tcBorders>
              <w:top w:val="nil"/>
              <w:right w:val="single" w:color="000000" w:sz="2" w:space="0"/>
            </w:tcBorders>
            <w:vAlign w:val="top"/>
          </w:tcPr>
          <w:p w14:paraId="7573DE01">
            <w:pPr>
              <w:rPr>
                <w:rFonts w:ascii="Arial"/>
                <w:sz w:val="21"/>
              </w:rPr>
            </w:pPr>
          </w:p>
        </w:tc>
        <w:tc>
          <w:tcPr>
            <w:tcW w:w="1180" w:type="dxa"/>
            <w:tcBorders>
              <w:left w:val="single" w:color="000000" w:sz="2" w:space="0"/>
            </w:tcBorders>
            <w:vAlign w:val="top"/>
          </w:tcPr>
          <w:p w14:paraId="0CDD033E">
            <w:pPr>
              <w:pStyle w:val="6"/>
              <w:spacing w:before="135" w:line="225" w:lineRule="auto"/>
              <w:ind w:left="168"/>
            </w:pPr>
            <w:r>
              <w:rPr>
                <w:spacing w:val="8"/>
              </w:rPr>
              <w:t>④松山变</w:t>
            </w:r>
          </w:p>
          <w:p w14:paraId="7F317498">
            <w:pPr>
              <w:pStyle w:val="6"/>
              <w:spacing w:before="29" w:line="228" w:lineRule="auto"/>
              <w:ind w:left="194"/>
            </w:pPr>
            <w:r>
              <w:rPr>
                <w:spacing w:val="1"/>
              </w:rPr>
              <w:t>电站周围</w:t>
            </w:r>
          </w:p>
          <w:p w14:paraId="6ECCDBD0">
            <w:pPr>
              <w:pStyle w:val="6"/>
              <w:spacing w:before="23" w:line="228" w:lineRule="auto"/>
              <w:ind w:left="165"/>
            </w:pPr>
            <w:r>
              <w:rPr>
                <w:rFonts w:ascii="Times New Roman" w:hAnsi="Times New Roman" w:eastAsia="Times New Roman" w:cs="Times New Roman"/>
                <w:spacing w:val="7"/>
              </w:rPr>
              <w:t>4#</w:t>
            </w:r>
            <w:r>
              <w:rPr>
                <w:spacing w:val="7"/>
              </w:rPr>
              <w:t>临时看</w:t>
            </w:r>
          </w:p>
          <w:p w14:paraId="0A383309">
            <w:pPr>
              <w:pStyle w:val="6"/>
              <w:spacing w:before="27" w:line="228" w:lineRule="auto"/>
              <w:ind w:left="382"/>
            </w:pPr>
            <w:r>
              <w:rPr>
                <w:spacing w:val="4"/>
              </w:rPr>
              <w:t>护房</w:t>
            </w:r>
          </w:p>
        </w:tc>
        <w:tc>
          <w:tcPr>
            <w:tcW w:w="715" w:type="dxa"/>
            <w:vAlign w:val="top"/>
          </w:tcPr>
          <w:p w14:paraId="2D504641">
            <w:pPr>
              <w:pStyle w:val="6"/>
              <w:spacing w:before="135" w:line="228" w:lineRule="auto"/>
              <w:ind w:left="148"/>
            </w:pPr>
            <w:r>
              <w:rPr>
                <w:spacing w:val="3"/>
              </w:rPr>
              <w:t>居住</w:t>
            </w:r>
          </w:p>
          <w:p w14:paraId="522773A0">
            <w:pPr>
              <w:pStyle w:val="6"/>
              <w:spacing w:before="25" w:line="230" w:lineRule="auto"/>
              <w:ind w:left="145"/>
            </w:pPr>
            <w:r>
              <w:rPr>
                <w:spacing w:val="5"/>
              </w:rPr>
              <w:t>及农</w:t>
            </w:r>
          </w:p>
          <w:p w14:paraId="72F367AE">
            <w:pPr>
              <w:pStyle w:val="6"/>
              <w:spacing w:before="22" w:line="229" w:lineRule="auto"/>
              <w:ind w:left="148"/>
            </w:pPr>
            <w:r>
              <w:rPr>
                <w:spacing w:val="3"/>
              </w:rPr>
              <w:t>用物</w:t>
            </w:r>
          </w:p>
          <w:p w14:paraId="11B5021A">
            <w:pPr>
              <w:pStyle w:val="6"/>
              <w:spacing w:before="25" w:line="229" w:lineRule="auto"/>
              <w:ind w:left="155"/>
            </w:pPr>
            <w:r>
              <w:t>资仓</w:t>
            </w:r>
          </w:p>
        </w:tc>
        <w:tc>
          <w:tcPr>
            <w:tcW w:w="667" w:type="dxa"/>
            <w:vAlign w:val="top"/>
          </w:tcPr>
          <w:p w14:paraId="325A2735">
            <w:pPr>
              <w:spacing w:line="477" w:lineRule="auto"/>
              <w:rPr>
                <w:rFonts w:ascii="Arial"/>
                <w:sz w:val="21"/>
              </w:rPr>
            </w:pPr>
          </w:p>
          <w:p w14:paraId="2A16C4AF">
            <w:pPr>
              <w:pStyle w:val="6"/>
              <w:spacing w:before="65" w:line="231" w:lineRule="auto"/>
              <w:ind w:left="145"/>
            </w:pPr>
            <w:r>
              <w:rPr>
                <w:rFonts w:ascii="Times New Roman" w:hAnsi="Times New Roman" w:eastAsia="Times New Roman" w:cs="Times New Roman"/>
              </w:rPr>
              <w:t>2</w:t>
            </w:r>
            <w:r>
              <w:rPr>
                <w:rFonts w:ascii="Times New Roman" w:hAnsi="Times New Roman" w:eastAsia="Times New Roman" w:cs="Times New Roman"/>
                <w:spacing w:val="11"/>
              </w:rPr>
              <w:t xml:space="preserve"> </w:t>
            </w:r>
            <w:r>
              <w:t>人</w:t>
            </w:r>
          </w:p>
        </w:tc>
        <w:tc>
          <w:tcPr>
            <w:tcW w:w="882" w:type="dxa"/>
            <w:vAlign w:val="top"/>
          </w:tcPr>
          <w:p w14:paraId="0940CAF7">
            <w:pPr>
              <w:pStyle w:val="6"/>
              <w:spacing w:before="135" w:line="229" w:lineRule="auto"/>
              <w:ind w:left="125"/>
            </w:pPr>
            <w:r>
              <w:rPr>
                <w:spacing w:val="6"/>
              </w:rPr>
              <w:t>砖混结</w:t>
            </w:r>
          </w:p>
          <w:p w14:paraId="66A3E543">
            <w:pPr>
              <w:pStyle w:val="6"/>
              <w:spacing w:before="25" w:line="228" w:lineRule="auto"/>
              <w:ind w:left="180"/>
              <w:rPr>
                <w:rFonts w:ascii="Times New Roman" w:hAnsi="Times New Roman" w:eastAsia="Times New Roman" w:cs="Times New Roman"/>
              </w:rPr>
            </w:pPr>
            <w:r>
              <w:rPr>
                <w:spacing w:val="11"/>
              </w:rPr>
              <w:t>构，</w:t>
            </w:r>
            <w:r>
              <w:rPr>
                <w:rFonts w:ascii="Times New Roman" w:hAnsi="Times New Roman" w:eastAsia="Times New Roman" w:cs="Times New Roman"/>
                <w:spacing w:val="11"/>
              </w:rPr>
              <w:t>1</w:t>
            </w:r>
          </w:p>
          <w:p w14:paraId="32A7942B">
            <w:pPr>
              <w:pStyle w:val="6"/>
              <w:spacing w:before="23" w:line="254" w:lineRule="auto"/>
              <w:ind w:left="230" w:right="125" w:hanging="105"/>
            </w:pPr>
            <w:r>
              <w:rPr>
                <w:spacing w:val="6"/>
              </w:rPr>
              <w:t>层（斜</w:t>
            </w:r>
            <w:r>
              <w:t>顶）</w:t>
            </w:r>
          </w:p>
        </w:tc>
        <w:tc>
          <w:tcPr>
            <w:tcW w:w="1424" w:type="dxa"/>
            <w:vAlign w:val="top"/>
          </w:tcPr>
          <w:p w14:paraId="7D111CEF">
            <w:pPr>
              <w:spacing w:line="341" w:lineRule="auto"/>
              <w:rPr>
                <w:rFonts w:ascii="Arial"/>
                <w:sz w:val="21"/>
              </w:rPr>
            </w:pPr>
          </w:p>
          <w:p w14:paraId="430AEE2F">
            <w:pPr>
              <w:pStyle w:val="6"/>
              <w:spacing w:before="65" w:line="252" w:lineRule="auto"/>
              <w:ind w:left="607" w:right="184" w:hanging="418"/>
            </w:pPr>
            <w:r>
              <w:rPr>
                <w:spacing w:val="8"/>
              </w:rPr>
              <w:t>变电站东北</w:t>
            </w:r>
            <w:r>
              <w:rPr>
                <w:spacing w:val="2"/>
              </w:rPr>
              <w:t>侧</w:t>
            </w:r>
          </w:p>
        </w:tc>
        <w:tc>
          <w:tcPr>
            <w:tcW w:w="1416" w:type="dxa"/>
            <w:tcBorders>
              <w:right w:val="single" w:color="000000" w:sz="2" w:space="0"/>
            </w:tcBorders>
            <w:vAlign w:val="top"/>
          </w:tcPr>
          <w:p w14:paraId="5C04BA9A">
            <w:pPr>
              <w:pStyle w:val="6"/>
              <w:spacing w:before="271" w:line="228" w:lineRule="auto"/>
              <w:ind w:left="185"/>
            </w:pPr>
            <w:r>
              <w:rPr>
                <w:spacing w:val="8"/>
              </w:rPr>
              <w:t>距松山变电</w:t>
            </w:r>
          </w:p>
          <w:p w14:paraId="7B74CEEB">
            <w:pPr>
              <w:pStyle w:val="6"/>
              <w:spacing w:before="24" w:line="228" w:lineRule="auto"/>
              <w:ind w:left="186"/>
            </w:pPr>
            <w:r>
              <w:rPr>
                <w:spacing w:val="7"/>
              </w:rPr>
              <w:t>站东北侧厂</w:t>
            </w:r>
          </w:p>
          <w:p w14:paraId="2022665D">
            <w:pPr>
              <w:pStyle w:val="6"/>
              <w:spacing w:before="27" w:line="229" w:lineRule="auto"/>
              <w:ind w:left="397"/>
              <w:rPr>
                <w:rFonts w:ascii="Times New Roman" w:hAnsi="Times New Roman" w:eastAsia="Times New Roman" w:cs="Times New Roman"/>
              </w:rPr>
            </w:pPr>
            <w:r>
              <w:rPr>
                <w:spacing w:val="1"/>
              </w:rPr>
              <w:t>界</w:t>
            </w:r>
            <w:r>
              <w:rPr>
                <w:spacing w:val="-39"/>
              </w:rPr>
              <w:t xml:space="preserve"> </w:t>
            </w:r>
            <w:r>
              <w:rPr>
                <w:rFonts w:ascii="Times New Roman" w:hAnsi="Times New Roman" w:eastAsia="Times New Roman" w:cs="Times New Roman"/>
                <w:spacing w:val="1"/>
              </w:rPr>
              <w:t>61m</w:t>
            </w:r>
          </w:p>
        </w:tc>
        <w:tc>
          <w:tcPr>
            <w:tcW w:w="1136" w:type="dxa"/>
            <w:tcBorders>
              <w:left w:val="single" w:color="000000" w:sz="2" w:space="0"/>
              <w:right w:val="single" w:color="000000" w:sz="2" w:space="0"/>
            </w:tcBorders>
            <w:vAlign w:val="top"/>
          </w:tcPr>
          <w:p w14:paraId="4043F36D">
            <w:pPr>
              <w:spacing w:line="258" w:lineRule="auto"/>
              <w:rPr>
                <w:rFonts w:ascii="Arial"/>
                <w:sz w:val="21"/>
              </w:rPr>
            </w:pPr>
          </w:p>
          <w:p w14:paraId="232235B6">
            <w:pPr>
              <w:spacing w:line="259" w:lineRule="auto"/>
              <w:rPr>
                <w:rFonts w:ascii="Arial"/>
                <w:sz w:val="21"/>
              </w:rPr>
            </w:pPr>
          </w:p>
          <w:p w14:paraId="544FA9F1">
            <w:pPr>
              <w:spacing w:before="57" w:line="199" w:lineRule="auto"/>
              <w:ind w:left="5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46" w:type="dxa"/>
            <w:tcBorders>
              <w:left w:val="single" w:color="000000" w:sz="2" w:space="0"/>
            </w:tcBorders>
            <w:vAlign w:val="top"/>
          </w:tcPr>
          <w:p w14:paraId="59781C59">
            <w:pPr>
              <w:spacing w:line="258" w:lineRule="auto"/>
              <w:rPr>
                <w:rFonts w:ascii="Arial"/>
                <w:sz w:val="21"/>
              </w:rPr>
            </w:pPr>
          </w:p>
          <w:p w14:paraId="514159FC">
            <w:pPr>
              <w:spacing w:line="259" w:lineRule="auto"/>
              <w:rPr>
                <w:rFonts w:ascii="Arial"/>
                <w:sz w:val="21"/>
              </w:rPr>
            </w:pPr>
          </w:p>
          <w:p w14:paraId="61443B83">
            <w:pPr>
              <w:spacing w:before="57" w:line="199"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953" w:type="dxa"/>
            <w:vMerge w:val="continue"/>
            <w:tcBorders>
              <w:top w:val="nil"/>
            </w:tcBorders>
            <w:vAlign w:val="top"/>
          </w:tcPr>
          <w:p w14:paraId="792EAD35">
            <w:pPr>
              <w:rPr>
                <w:rFonts w:ascii="Arial"/>
                <w:sz w:val="21"/>
              </w:rPr>
            </w:pPr>
          </w:p>
        </w:tc>
        <w:tc>
          <w:tcPr>
            <w:tcW w:w="1155" w:type="dxa"/>
            <w:vMerge w:val="continue"/>
            <w:tcBorders>
              <w:top w:val="nil"/>
            </w:tcBorders>
            <w:vAlign w:val="top"/>
          </w:tcPr>
          <w:p w14:paraId="649725FA">
            <w:pPr>
              <w:rPr>
                <w:rFonts w:ascii="Arial"/>
                <w:sz w:val="21"/>
              </w:rPr>
            </w:pPr>
          </w:p>
        </w:tc>
      </w:tr>
    </w:tbl>
    <w:p w14:paraId="0D62ABB2">
      <w:pPr>
        <w:spacing w:line="170" w:lineRule="exact"/>
        <w:rPr>
          <w:rFonts w:ascii="Arial"/>
          <w:sz w:val="14"/>
        </w:rPr>
      </w:pPr>
    </w:p>
    <w:p w14:paraId="2F215383">
      <w:pPr>
        <w:spacing w:line="170" w:lineRule="exact"/>
        <w:rPr>
          <w:rFonts w:ascii="Arial" w:hAnsi="Arial" w:eastAsia="Arial" w:cs="Arial"/>
          <w:sz w:val="14"/>
          <w:szCs w:val="14"/>
        </w:rPr>
        <w:sectPr>
          <w:footerReference r:id="rId84" w:type="default"/>
          <w:pgSz w:w="16840" w:h="11907"/>
          <w:pgMar w:top="400" w:right="1441" w:bottom="1013" w:left="1365" w:header="0" w:footer="851" w:gutter="0"/>
          <w:cols w:space="720" w:num="1"/>
        </w:sectPr>
      </w:pPr>
    </w:p>
    <w:p w14:paraId="3504020F">
      <w:pPr>
        <w:spacing w:before="3"/>
      </w:pPr>
    </w:p>
    <w:p w14:paraId="0A809262">
      <w:pPr>
        <w:spacing w:before="3"/>
      </w:pPr>
    </w:p>
    <w:p w14:paraId="301B575C">
      <w:pPr>
        <w:spacing w:before="3"/>
      </w:pPr>
    </w:p>
    <w:tbl>
      <w:tblPr>
        <w:tblStyle w:val="5"/>
        <w:tblW w:w="1402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8"/>
        <w:gridCol w:w="1180"/>
        <w:gridCol w:w="715"/>
        <w:gridCol w:w="667"/>
        <w:gridCol w:w="882"/>
        <w:gridCol w:w="1424"/>
        <w:gridCol w:w="1416"/>
        <w:gridCol w:w="1136"/>
        <w:gridCol w:w="646"/>
        <w:gridCol w:w="3953"/>
        <w:gridCol w:w="1155"/>
      </w:tblGrid>
      <w:tr w14:paraId="28438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848" w:type="dxa"/>
            <w:tcBorders>
              <w:right w:val="single" w:color="000000" w:sz="2" w:space="0"/>
            </w:tcBorders>
            <w:shd w:val="clear" w:color="auto" w:fill="BEBEBE"/>
            <w:vAlign w:val="top"/>
          </w:tcPr>
          <w:p w14:paraId="0577584E">
            <w:pPr>
              <w:spacing w:line="376" w:lineRule="auto"/>
              <w:rPr>
                <w:rFonts w:ascii="Arial"/>
                <w:sz w:val="21"/>
              </w:rPr>
            </w:pPr>
          </w:p>
          <w:p w14:paraId="7FF6326F">
            <w:pPr>
              <w:pStyle w:val="6"/>
              <w:spacing w:before="65" w:line="228" w:lineRule="auto"/>
              <w:ind w:left="216"/>
            </w:pPr>
            <w:r>
              <w:rPr>
                <w:b/>
                <w:bCs/>
                <w:spacing w:val="2"/>
              </w:rPr>
              <w:t>分区</w:t>
            </w:r>
          </w:p>
        </w:tc>
        <w:tc>
          <w:tcPr>
            <w:tcW w:w="1180" w:type="dxa"/>
            <w:tcBorders>
              <w:left w:val="single" w:color="000000" w:sz="2" w:space="0"/>
            </w:tcBorders>
            <w:shd w:val="clear" w:color="auto" w:fill="BEBEBE"/>
            <w:vAlign w:val="top"/>
          </w:tcPr>
          <w:p w14:paraId="3351D791">
            <w:pPr>
              <w:spacing w:line="243" w:lineRule="auto"/>
              <w:rPr>
                <w:rFonts w:ascii="Arial"/>
                <w:sz w:val="21"/>
              </w:rPr>
            </w:pPr>
          </w:p>
          <w:p w14:paraId="297C3AAB">
            <w:pPr>
              <w:pStyle w:val="6"/>
              <w:spacing w:before="65" w:line="252" w:lineRule="auto"/>
              <w:ind w:left="418" w:right="381" w:hanging="39"/>
            </w:pPr>
            <w:r>
              <w:rPr>
                <w:b/>
                <w:bCs/>
                <w:spacing w:val="3"/>
              </w:rPr>
              <w:t>保护</w:t>
            </w:r>
            <w:r>
              <w:rPr>
                <w:b/>
                <w:bCs/>
                <w:spacing w:val="-17"/>
              </w:rPr>
              <w:t>目标</w:t>
            </w:r>
          </w:p>
        </w:tc>
        <w:tc>
          <w:tcPr>
            <w:tcW w:w="715" w:type="dxa"/>
            <w:shd w:val="clear" w:color="auto" w:fill="BEBEBE"/>
            <w:vAlign w:val="top"/>
          </w:tcPr>
          <w:p w14:paraId="113ABBBF">
            <w:pPr>
              <w:spacing w:line="376" w:lineRule="auto"/>
              <w:rPr>
                <w:rFonts w:ascii="Arial"/>
                <w:sz w:val="21"/>
              </w:rPr>
            </w:pPr>
          </w:p>
          <w:p w14:paraId="6118D7AE">
            <w:pPr>
              <w:pStyle w:val="6"/>
              <w:spacing w:before="65" w:line="229" w:lineRule="auto"/>
              <w:ind w:left="150"/>
            </w:pPr>
            <w:r>
              <w:rPr>
                <w:b/>
                <w:bCs/>
                <w:spacing w:val="2"/>
              </w:rPr>
              <w:t>功能</w:t>
            </w:r>
          </w:p>
        </w:tc>
        <w:tc>
          <w:tcPr>
            <w:tcW w:w="667" w:type="dxa"/>
            <w:shd w:val="clear" w:color="auto" w:fill="BEBEBE"/>
            <w:vAlign w:val="top"/>
          </w:tcPr>
          <w:p w14:paraId="6CDE6E50">
            <w:pPr>
              <w:spacing w:line="376" w:lineRule="auto"/>
              <w:rPr>
                <w:rFonts w:ascii="Arial"/>
                <w:sz w:val="21"/>
              </w:rPr>
            </w:pPr>
          </w:p>
          <w:p w14:paraId="6BEB0BF3">
            <w:pPr>
              <w:pStyle w:val="6"/>
              <w:spacing w:before="65" w:line="228" w:lineRule="auto"/>
              <w:ind w:left="123"/>
            </w:pPr>
            <w:r>
              <w:rPr>
                <w:b/>
                <w:bCs/>
                <w:spacing w:val="3"/>
              </w:rPr>
              <w:t>规模</w:t>
            </w:r>
          </w:p>
        </w:tc>
        <w:tc>
          <w:tcPr>
            <w:tcW w:w="882" w:type="dxa"/>
            <w:shd w:val="clear" w:color="auto" w:fill="BEBEBE"/>
            <w:vAlign w:val="top"/>
          </w:tcPr>
          <w:p w14:paraId="67BB6D2D">
            <w:pPr>
              <w:pStyle w:val="6"/>
              <w:spacing w:before="170" w:line="228" w:lineRule="auto"/>
              <w:ind w:left="128"/>
            </w:pPr>
            <w:r>
              <w:rPr>
                <w:b/>
                <w:bCs/>
                <w:spacing w:val="4"/>
              </w:rPr>
              <w:t>建筑物</w:t>
            </w:r>
          </w:p>
          <w:p w14:paraId="191DF5E1">
            <w:pPr>
              <w:pStyle w:val="6"/>
              <w:spacing w:before="26" w:line="228" w:lineRule="auto"/>
              <w:ind w:left="130"/>
            </w:pPr>
            <w:r>
              <w:rPr>
                <w:b/>
                <w:bCs/>
                <w:spacing w:val="3"/>
              </w:rPr>
              <w:t>结构及</w:t>
            </w:r>
          </w:p>
          <w:p w14:paraId="7B5A303F">
            <w:pPr>
              <w:pStyle w:val="6"/>
              <w:spacing w:before="23" w:line="228" w:lineRule="auto"/>
              <w:ind w:left="236"/>
            </w:pPr>
            <w:r>
              <w:rPr>
                <w:b/>
                <w:bCs/>
                <w:spacing w:val="1"/>
              </w:rPr>
              <w:t>高度</w:t>
            </w:r>
          </w:p>
        </w:tc>
        <w:tc>
          <w:tcPr>
            <w:tcW w:w="1424" w:type="dxa"/>
            <w:shd w:val="clear" w:color="auto" w:fill="BEBEBE"/>
            <w:vAlign w:val="top"/>
          </w:tcPr>
          <w:p w14:paraId="69BBD988">
            <w:pPr>
              <w:spacing w:line="376" w:lineRule="auto"/>
              <w:rPr>
                <w:rFonts w:ascii="Arial"/>
                <w:sz w:val="21"/>
              </w:rPr>
            </w:pPr>
          </w:p>
          <w:p w14:paraId="244A90A8">
            <w:pPr>
              <w:pStyle w:val="6"/>
              <w:spacing w:before="65" w:line="228" w:lineRule="auto"/>
              <w:ind w:left="261"/>
            </w:pPr>
            <w:r>
              <w:rPr>
                <w:b/>
                <w:bCs/>
                <w:spacing w:val="5"/>
              </w:rPr>
              <w:t>方位</w:t>
            </w:r>
            <w:r>
              <w:rPr>
                <w:rFonts w:ascii="Times New Roman" w:hAnsi="Times New Roman" w:eastAsia="Times New Roman" w:cs="Times New Roman"/>
                <w:b/>
                <w:bCs/>
                <w:spacing w:val="5"/>
              </w:rPr>
              <w:t>/</w:t>
            </w:r>
            <w:r>
              <w:rPr>
                <w:b/>
                <w:bCs/>
                <w:spacing w:val="5"/>
              </w:rPr>
              <w:t>距离</w:t>
            </w:r>
          </w:p>
        </w:tc>
        <w:tc>
          <w:tcPr>
            <w:tcW w:w="1416" w:type="dxa"/>
            <w:tcBorders>
              <w:right w:val="single" w:color="000000" w:sz="2" w:space="0"/>
            </w:tcBorders>
            <w:shd w:val="clear" w:color="auto" w:fill="BEBEBE"/>
            <w:vAlign w:val="top"/>
          </w:tcPr>
          <w:p w14:paraId="27BDC926">
            <w:pPr>
              <w:pStyle w:val="6"/>
              <w:spacing w:before="35" w:line="229" w:lineRule="auto"/>
              <w:ind w:left="293"/>
            </w:pPr>
            <w:r>
              <w:rPr>
                <w:b/>
                <w:bCs/>
                <w:spacing w:val="5"/>
              </w:rPr>
              <w:t>与变电站</w:t>
            </w:r>
          </w:p>
          <w:p w14:paraId="365EFBF6">
            <w:pPr>
              <w:pStyle w:val="6"/>
              <w:spacing w:before="25" w:line="228" w:lineRule="auto"/>
              <w:ind w:left="291"/>
            </w:pPr>
            <w:r>
              <w:rPr>
                <w:b/>
                <w:bCs/>
                <w:spacing w:val="5"/>
              </w:rPr>
              <w:t>或线路边</w:t>
            </w:r>
          </w:p>
          <w:p w14:paraId="02D956A3">
            <w:pPr>
              <w:pStyle w:val="6"/>
              <w:spacing w:before="24" w:line="228" w:lineRule="auto"/>
              <w:ind w:left="294"/>
            </w:pPr>
            <w:r>
              <w:rPr>
                <w:b/>
                <w:bCs/>
                <w:spacing w:val="5"/>
              </w:rPr>
              <w:t>导线投影</w:t>
            </w:r>
          </w:p>
          <w:p w14:paraId="52337622">
            <w:pPr>
              <w:pStyle w:val="6"/>
              <w:spacing w:before="25" w:line="218" w:lineRule="auto"/>
              <w:ind w:left="291"/>
            </w:pPr>
            <w:r>
              <w:rPr>
                <w:b/>
                <w:bCs/>
                <w:spacing w:val="5"/>
              </w:rPr>
              <w:t>水平距离</w:t>
            </w:r>
          </w:p>
        </w:tc>
        <w:tc>
          <w:tcPr>
            <w:tcW w:w="1136" w:type="dxa"/>
            <w:tcBorders>
              <w:left w:val="single" w:color="000000" w:sz="2" w:space="0"/>
              <w:right w:val="single" w:color="000000" w:sz="2" w:space="0"/>
            </w:tcBorders>
            <w:shd w:val="clear" w:color="auto" w:fill="BEBEBE"/>
            <w:vAlign w:val="top"/>
          </w:tcPr>
          <w:p w14:paraId="67B2E1AC">
            <w:pPr>
              <w:pStyle w:val="6"/>
              <w:spacing w:before="169" w:line="228" w:lineRule="auto"/>
              <w:ind w:left="156"/>
            </w:pPr>
            <w:r>
              <w:rPr>
                <w:b/>
                <w:bCs/>
                <w:spacing w:val="5"/>
              </w:rPr>
              <w:t>与线路中</w:t>
            </w:r>
          </w:p>
          <w:p w14:paraId="771A4F50">
            <w:pPr>
              <w:pStyle w:val="6"/>
              <w:spacing w:before="26" w:line="228" w:lineRule="auto"/>
              <w:ind w:left="159"/>
            </w:pPr>
            <w:r>
              <w:rPr>
                <w:b/>
                <w:bCs/>
                <w:spacing w:val="4"/>
              </w:rPr>
              <w:t>心最近直</w:t>
            </w:r>
          </w:p>
          <w:p w14:paraId="5D478CB6">
            <w:pPr>
              <w:pStyle w:val="6"/>
              <w:spacing w:before="24" w:line="228" w:lineRule="auto"/>
              <w:ind w:left="260"/>
            </w:pPr>
            <w:r>
              <w:rPr>
                <w:b/>
                <w:bCs/>
                <w:spacing w:val="4"/>
              </w:rPr>
              <w:t>线距离</w:t>
            </w:r>
          </w:p>
        </w:tc>
        <w:tc>
          <w:tcPr>
            <w:tcW w:w="646" w:type="dxa"/>
            <w:tcBorders>
              <w:left w:val="single" w:color="000000" w:sz="2" w:space="0"/>
            </w:tcBorders>
            <w:shd w:val="clear" w:color="auto" w:fill="BEBEBE"/>
            <w:vAlign w:val="top"/>
          </w:tcPr>
          <w:p w14:paraId="49EDC89F">
            <w:pPr>
              <w:pStyle w:val="6"/>
              <w:spacing w:before="170" w:line="228" w:lineRule="auto"/>
              <w:ind w:left="123"/>
            </w:pPr>
            <w:r>
              <w:rPr>
                <w:b/>
                <w:bCs/>
                <w:spacing w:val="1"/>
              </w:rPr>
              <w:t>导线</w:t>
            </w:r>
          </w:p>
          <w:p w14:paraId="6DBD733C">
            <w:pPr>
              <w:pStyle w:val="6"/>
              <w:spacing w:before="26" w:line="229" w:lineRule="auto"/>
              <w:ind w:left="117"/>
            </w:pPr>
            <w:r>
              <w:rPr>
                <w:b/>
                <w:bCs/>
                <w:spacing w:val="4"/>
              </w:rPr>
              <w:t>对地</w:t>
            </w:r>
          </w:p>
          <w:p w14:paraId="3007DD2C">
            <w:pPr>
              <w:pStyle w:val="6"/>
              <w:spacing w:before="22" w:line="228" w:lineRule="auto"/>
              <w:ind w:left="123"/>
            </w:pPr>
            <w:r>
              <w:rPr>
                <w:b/>
                <w:bCs/>
                <w:spacing w:val="1"/>
              </w:rPr>
              <w:t>高度</w:t>
            </w:r>
          </w:p>
        </w:tc>
        <w:tc>
          <w:tcPr>
            <w:tcW w:w="3953" w:type="dxa"/>
            <w:shd w:val="clear" w:color="auto" w:fill="BEBEBE"/>
            <w:vAlign w:val="top"/>
          </w:tcPr>
          <w:p w14:paraId="449DB77F">
            <w:pPr>
              <w:spacing w:line="376" w:lineRule="auto"/>
              <w:rPr>
                <w:rFonts w:ascii="Arial"/>
                <w:sz w:val="21"/>
              </w:rPr>
            </w:pPr>
          </w:p>
          <w:p w14:paraId="6D57A338">
            <w:pPr>
              <w:pStyle w:val="6"/>
              <w:spacing w:before="65" w:line="228" w:lineRule="auto"/>
              <w:ind w:left="1561"/>
            </w:pPr>
            <w:r>
              <w:rPr>
                <w:b/>
                <w:bCs/>
                <w:spacing w:val="6"/>
              </w:rPr>
              <w:t>现状照片</w:t>
            </w:r>
          </w:p>
        </w:tc>
        <w:tc>
          <w:tcPr>
            <w:tcW w:w="1155" w:type="dxa"/>
            <w:shd w:val="clear" w:color="auto" w:fill="BEBEBE"/>
            <w:vAlign w:val="top"/>
          </w:tcPr>
          <w:p w14:paraId="6EB49C97">
            <w:pPr>
              <w:spacing w:line="376" w:lineRule="auto"/>
              <w:rPr>
                <w:rFonts w:ascii="Arial"/>
                <w:sz w:val="21"/>
              </w:rPr>
            </w:pPr>
          </w:p>
          <w:p w14:paraId="11FE9F76">
            <w:pPr>
              <w:pStyle w:val="6"/>
              <w:spacing w:before="65" w:line="228" w:lineRule="auto"/>
              <w:ind w:left="161"/>
            </w:pPr>
            <w:r>
              <w:rPr>
                <w:b/>
                <w:bCs/>
                <w:spacing w:val="6"/>
              </w:rPr>
              <w:t>保护级别</w:t>
            </w:r>
          </w:p>
        </w:tc>
      </w:tr>
      <w:tr w14:paraId="00C7F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848" w:type="dxa"/>
            <w:vMerge w:val="restart"/>
            <w:tcBorders>
              <w:bottom w:val="nil"/>
              <w:right w:val="single" w:color="000000" w:sz="2" w:space="0"/>
            </w:tcBorders>
            <w:vAlign w:val="top"/>
          </w:tcPr>
          <w:p w14:paraId="56D71809">
            <w:pPr>
              <w:rPr>
                <w:rFonts w:ascii="Arial"/>
                <w:sz w:val="21"/>
              </w:rPr>
            </w:pPr>
          </w:p>
        </w:tc>
        <w:tc>
          <w:tcPr>
            <w:tcW w:w="1180" w:type="dxa"/>
            <w:tcBorders>
              <w:left w:val="single" w:color="000000" w:sz="2" w:space="0"/>
            </w:tcBorders>
            <w:vAlign w:val="top"/>
          </w:tcPr>
          <w:p w14:paraId="09B3E80B">
            <w:pPr>
              <w:rPr>
                <w:rFonts w:ascii="Arial"/>
                <w:sz w:val="21"/>
              </w:rPr>
            </w:pPr>
          </w:p>
        </w:tc>
        <w:tc>
          <w:tcPr>
            <w:tcW w:w="715" w:type="dxa"/>
            <w:vAlign w:val="top"/>
          </w:tcPr>
          <w:p w14:paraId="654D996B">
            <w:pPr>
              <w:pStyle w:val="6"/>
              <w:spacing w:before="29" w:line="220" w:lineRule="auto"/>
              <w:ind w:left="253"/>
            </w:pPr>
            <w:r>
              <w:t>库</w:t>
            </w:r>
          </w:p>
        </w:tc>
        <w:tc>
          <w:tcPr>
            <w:tcW w:w="667" w:type="dxa"/>
            <w:vAlign w:val="top"/>
          </w:tcPr>
          <w:p w14:paraId="00CEB2C5">
            <w:pPr>
              <w:rPr>
                <w:rFonts w:ascii="Arial"/>
                <w:sz w:val="21"/>
              </w:rPr>
            </w:pPr>
          </w:p>
        </w:tc>
        <w:tc>
          <w:tcPr>
            <w:tcW w:w="882" w:type="dxa"/>
            <w:vAlign w:val="top"/>
          </w:tcPr>
          <w:p w14:paraId="5F40F086">
            <w:pPr>
              <w:rPr>
                <w:rFonts w:ascii="Arial"/>
                <w:sz w:val="21"/>
              </w:rPr>
            </w:pPr>
          </w:p>
        </w:tc>
        <w:tc>
          <w:tcPr>
            <w:tcW w:w="1424" w:type="dxa"/>
            <w:vAlign w:val="top"/>
          </w:tcPr>
          <w:p w14:paraId="015CD34C">
            <w:pPr>
              <w:rPr>
                <w:rFonts w:ascii="Arial"/>
                <w:sz w:val="21"/>
              </w:rPr>
            </w:pPr>
          </w:p>
        </w:tc>
        <w:tc>
          <w:tcPr>
            <w:tcW w:w="1416" w:type="dxa"/>
            <w:tcBorders>
              <w:right w:val="single" w:color="000000" w:sz="2" w:space="0"/>
            </w:tcBorders>
            <w:vAlign w:val="top"/>
          </w:tcPr>
          <w:p w14:paraId="379F5F1A">
            <w:pPr>
              <w:rPr>
                <w:rFonts w:ascii="Arial"/>
                <w:sz w:val="21"/>
              </w:rPr>
            </w:pPr>
          </w:p>
        </w:tc>
        <w:tc>
          <w:tcPr>
            <w:tcW w:w="1136" w:type="dxa"/>
            <w:tcBorders>
              <w:left w:val="single" w:color="000000" w:sz="2" w:space="0"/>
              <w:right w:val="single" w:color="000000" w:sz="2" w:space="0"/>
            </w:tcBorders>
            <w:vAlign w:val="top"/>
          </w:tcPr>
          <w:p w14:paraId="1C3FAAB8">
            <w:pPr>
              <w:rPr>
                <w:rFonts w:ascii="Arial"/>
                <w:sz w:val="21"/>
              </w:rPr>
            </w:pPr>
          </w:p>
        </w:tc>
        <w:tc>
          <w:tcPr>
            <w:tcW w:w="646" w:type="dxa"/>
            <w:tcBorders>
              <w:left w:val="single" w:color="000000" w:sz="2" w:space="0"/>
            </w:tcBorders>
            <w:vAlign w:val="top"/>
          </w:tcPr>
          <w:p w14:paraId="084C2158">
            <w:pPr>
              <w:rPr>
                <w:rFonts w:ascii="Arial"/>
                <w:sz w:val="21"/>
              </w:rPr>
            </w:pPr>
          </w:p>
        </w:tc>
        <w:tc>
          <w:tcPr>
            <w:tcW w:w="3953" w:type="dxa"/>
            <w:vAlign w:val="top"/>
          </w:tcPr>
          <w:p w14:paraId="461F05FC">
            <w:pPr>
              <w:rPr>
                <w:rFonts w:ascii="Arial"/>
                <w:sz w:val="21"/>
              </w:rPr>
            </w:pPr>
          </w:p>
        </w:tc>
        <w:tc>
          <w:tcPr>
            <w:tcW w:w="1155" w:type="dxa"/>
            <w:vMerge w:val="restart"/>
            <w:tcBorders>
              <w:bottom w:val="nil"/>
            </w:tcBorders>
            <w:vAlign w:val="top"/>
          </w:tcPr>
          <w:p w14:paraId="446B011A">
            <w:pPr>
              <w:rPr>
                <w:rFonts w:ascii="Arial"/>
                <w:sz w:val="21"/>
              </w:rPr>
            </w:pPr>
          </w:p>
        </w:tc>
      </w:tr>
      <w:tr w14:paraId="48EEF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0" w:hRule="atLeast"/>
        </w:trPr>
        <w:tc>
          <w:tcPr>
            <w:tcW w:w="848" w:type="dxa"/>
            <w:vMerge w:val="continue"/>
            <w:tcBorders>
              <w:top w:val="nil"/>
              <w:bottom w:val="nil"/>
              <w:right w:val="single" w:color="000000" w:sz="2" w:space="0"/>
            </w:tcBorders>
            <w:vAlign w:val="top"/>
          </w:tcPr>
          <w:p w14:paraId="11C7210B">
            <w:pPr>
              <w:rPr>
                <w:rFonts w:ascii="Arial"/>
                <w:sz w:val="21"/>
              </w:rPr>
            </w:pPr>
          </w:p>
        </w:tc>
        <w:tc>
          <w:tcPr>
            <w:tcW w:w="1180" w:type="dxa"/>
            <w:tcBorders>
              <w:left w:val="single" w:color="000000" w:sz="2" w:space="0"/>
            </w:tcBorders>
            <w:vAlign w:val="top"/>
          </w:tcPr>
          <w:p w14:paraId="6B475BD7">
            <w:pPr>
              <w:spacing w:line="267" w:lineRule="auto"/>
              <w:rPr>
                <w:rFonts w:ascii="Arial"/>
                <w:sz w:val="21"/>
              </w:rPr>
            </w:pPr>
          </w:p>
          <w:p w14:paraId="2A1DDF1E">
            <w:pPr>
              <w:spacing w:line="267" w:lineRule="auto"/>
              <w:rPr>
                <w:rFonts w:ascii="Arial"/>
                <w:sz w:val="21"/>
              </w:rPr>
            </w:pPr>
          </w:p>
          <w:p w14:paraId="074E4B10">
            <w:pPr>
              <w:spacing w:line="268" w:lineRule="auto"/>
              <w:rPr>
                <w:rFonts w:ascii="Arial"/>
                <w:sz w:val="21"/>
              </w:rPr>
            </w:pPr>
          </w:p>
          <w:p w14:paraId="1C0A7308">
            <w:pPr>
              <w:pStyle w:val="6"/>
              <w:spacing w:before="65" w:line="225" w:lineRule="auto"/>
              <w:ind w:left="168"/>
            </w:pPr>
            <w:r>
              <w:rPr>
                <w:spacing w:val="8"/>
              </w:rPr>
              <w:t>⑤松山变</w:t>
            </w:r>
          </w:p>
          <w:p w14:paraId="3CD63AAF">
            <w:pPr>
              <w:pStyle w:val="6"/>
              <w:spacing w:before="29" w:line="228" w:lineRule="auto"/>
              <w:ind w:left="194"/>
            </w:pPr>
            <w:r>
              <w:rPr>
                <w:spacing w:val="1"/>
              </w:rPr>
              <w:t>电站周围</w:t>
            </w:r>
          </w:p>
          <w:p w14:paraId="58B6115D">
            <w:pPr>
              <w:pStyle w:val="6"/>
              <w:spacing w:before="23" w:line="228" w:lineRule="auto"/>
              <w:ind w:left="171"/>
            </w:pPr>
            <w:r>
              <w:rPr>
                <w:rFonts w:ascii="Times New Roman" w:hAnsi="Times New Roman" w:eastAsia="Times New Roman" w:cs="Times New Roman"/>
                <w:spacing w:val="6"/>
              </w:rPr>
              <w:t>5#</w:t>
            </w:r>
            <w:r>
              <w:rPr>
                <w:spacing w:val="6"/>
              </w:rPr>
              <w:t>临时看</w:t>
            </w:r>
          </w:p>
          <w:p w14:paraId="22F4D60F">
            <w:pPr>
              <w:pStyle w:val="6"/>
              <w:spacing w:before="27" w:line="228" w:lineRule="auto"/>
              <w:ind w:left="382"/>
            </w:pPr>
            <w:r>
              <w:rPr>
                <w:spacing w:val="4"/>
              </w:rPr>
              <w:t>护房</w:t>
            </w:r>
          </w:p>
        </w:tc>
        <w:tc>
          <w:tcPr>
            <w:tcW w:w="715" w:type="dxa"/>
            <w:vAlign w:val="top"/>
          </w:tcPr>
          <w:p w14:paraId="115D529A">
            <w:pPr>
              <w:spacing w:line="313" w:lineRule="auto"/>
              <w:rPr>
                <w:rFonts w:ascii="Arial"/>
                <w:sz w:val="21"/>
              </w:rPr>
            </w:pPr>
          </w:p>
          <w:p w14:paraId="1709A082">
            <w:pPr>
              <w:spacing w:line="313" w:lineRule="auto"/>
              <w:rPr>
                <w:rFonts w:ascii="Arial"/>
                <w:sz w:val="21"/>
              </w:rPr>
            </w:pPr>
          </w:p>
          <w:p w14:paraId="4D5B5FC7">
            <w:pPr>
              <w:spacing w:line="313" w:lineRule="auto"/>
              <w:rPr>
                <w:rFonts w:ascii="Arial"/>
                <w:sz w:val="21"/>
              </w:rPr>
            </w:pPr>
          </w:p>
          <w:p w14:paraId="1F942A53">
            <w:pPr>
              <w:pStyle w:val="6"/>
              <w:spacing w:before="65" w:line="252" w:lineRule="auto"/>
              <w:ind w:left="145" w:right="148"/>
              <w:jc w:val="both"/>
            </w:pPr>
            <w:r>
              <w:rPr>
                <w:spacing w:val="4"/>
              </w:rPr>
              <w:t>农用</w:t>
            </w:r>
            <w:r>
              <w:rPr>
                <w:spacing w:val="5"/>
              </w:rPr>
              <w:t>物资仓库</w:t>
            </w:r>
          </w:p>
        </w:tc>
        <w:tc>
          <w:tcPr>
            <w:tcW w:w="667" w:type="dxa"/>
            <w:vAlign w:val="top"/>
          </w:tcPr>
          <w:p w14:paraId="4156D5B6">
            <w:pPr>
              <w:spacing w:line="241" w:lineRule="auto"/>
              <w:rPr>
                <w:rFonts w:ascii="Arial"/>
                <w:sz w:val="21"/>
              </w:rPr>
            </w:pPr>
          </w:p>
          <w:p w14:paraId="5C695FC3">
            <w:pPr>
              <w:spacing w:line="241" w:lineRule="auto"/>
              <w:rPr>
                <w:rFonts w:ascii="Arial"/>
                <w:sz w:val="21"/>
              </w:rPr>
            </w:pPr>
          </w:p>
          <w:p w14:paraId="3012C9F0">
            <w:pPr>
              <w:spacing w:line="241" w:lineRule="auto"/>
              <w:rPr>
                <w:rFonts w:ascii="Arial"/>
                <w:sz w:val="21"/>
              </w:rPr>
            </w:pPr>
          </w:p>
          <w:p w14:paraId="38E13D7E">
            <w:pPr>
              <w:spacing w:line="242" w:lineRule="auto"/>
              <w:rPr>
                <w:rFonts w:ascii="Arial"/>
                <w:sz w:val="21"/>
              </w:rPr>
            </w:pPr>
          </w:p>
          <w:p w14:paraId="347DF657">
            <w:pPr>
              <w:spacing w:line="242" w:lineRule="auto"/>
              <w:rPr>
                <w:rFonts w:ascii="Arial"/>
                <w:sz w:val="21"/>
              </w:rPr>
            </w:pPr>
          </w:p>
          <w:p w14:paraId="42C17FD4">
            <w:pPr>
              <w:pStyle w:val="6"/>
              <w:spacing w:before="65" w:line="231" w:lineRule="auto"/>
              <w:ind w:left="145"/>
            </w:pPr>
            <w:r>
              <w:rPr>
                <w:rFonts w:ascii="Times New Roman" w:hAnsi="Times New Roman" w:eastAsia="Times New Roman" w:cs="Times New Roman"/>
              </w:rPr>
              <w:t>2</w:t>
            </w:r>
            <w:r>
              <w:rPr>
                <w:rFonts w:ascii="Times New Roman" w:hAnsi="Times New Roman" w:eastAsia="Times New Roman" w:cs="Times New Roman"/>
                <w:spacing w:val="11"/>
              </w:rPr>
              <w:t xml:space="preserve"> </w:t>
            </w:r>
            <w:r>
              <w:t>人</w:t>
            </w:r>
          </w:p>
        </w:tc>
        <w:tc>
          <w:tcPr>
            <w:tcW w:w="882" w:type="dxa"/>
            <w:vAlign w:val="top"/>
          </w:tcPr>
          <w:p w14:paraId="5CC8FC22">
            <w:pPr>
              <w:spacing w:line="266" w:lineRule="auto"/>
              <w:rPr>
                <w:rFonts w:ascii="Arial"/>
                <w:sz w:val="21"/>
              </w:rPr>
            </w:pPr>
          </w:p>
          <w:p w14:paraId="1873ECD8">
            <w:pPr>
              <w:spacing w:line="267" w:lineRule="auto"/>
              <w:rPr>
                <w:rFonts w:ascii="Arial"/>
                <w:sz w:val="21"/>
              </w:rPr>
            </w:pPr>
          </w:p>
          <w:p w14:paraId="56DFDBD2">
            <w:pPr>
              <w:spacing w:line="267" w:lineRule="auto"/>
              <w:rPr>
                <w:rFonts w:ascii="Arial"/>
                <w:sz w:val="21"/>
              </w:rPr>
            </w:pPr>
          </w:p>
          <w:p w14:paraId="5CC309F7">
            <w:pPr>
              <w:pStyle w:val="6"/>
              <w:spacing w:before="65" w:line="253" w:lineRule="auto"/>
              <w:ind w:left="125" w:right="125"/>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24" w:type="dxa"/>
            <w:vAlign w:val="top"/>
          </w:tcPr>
          <w:p w14:paraId="52964FE3">
            <w:pPr>
              <w:spacing w:line="241" w:lineRule="auto"/>
              <w:rPr>
                <w:rFonts w:ascii="Arial"/>
                <w:sz w:val="21"/>
              </w:rPr>
            </w:pPr>
          </w:p>
          <w:p w14:paraId="47BFE4EC">
            <w:pPr>
              <w:spacing w:line="241" w:lineRule="auto"/>
              <w:rPr>
                <w:rFonts w:ascii="Arial"/>
                <w:sz w:val="21"/>
              </w:rPr>
            </w:pPr>
          </w:p>
          <w:p w14:paraId="3E257DE6">
            <w:pPr>
              <w:spacing w:line="241" w:lineRule="auto"/>
              <w:rPr>
                <w:rFonts w:ascii="Arial"/>
                <w:sz w:val="21"/>
              </w:rPr>
            </w:pPr>
          </w:p>
          <w:p w14:paraId="4192F2B5">
            <w:pPr>
              <w:spacing w:line="242" w:lineRule="auto"/>
              <w:rPr>
                <w:rFonts w:ascii="Arial"/>
                <w:sz w:val="21"/>
              </w:rPr>
            </w:pPr>
          </w:p>
          <w:p w14:paraId="1317CF74">
            <w:pPr>
              <w:spacing w:line="242" w:lineRule="auto"/>
              <w:rPr>
                <w:rFonts w:ascii="Arial"/>
                <w:sz w:val="21"/>
              </w:rPr>
            </w:pPr>
          </w:p>
          <w:p w14:paraId="50A9B505">
            <w:pPr>
              <w:pStyle w:val="6"/>
              <w:spacing w:before="65" w:line="228" w:lineRule="auto"/>
              <w:ind w:left="189"/>
            </w:pPr>
            <w:r>
              <w:rPr>
                <w:spacing w:val="8"/>
              </w:rPr>
              <w:t>变电站东侧</w:t>
            </w:r>
          </w:p>
        </w:tc>
        <w:tc>
          <w:tcPr>
            <w:tcW w:w="1416" w:type="dxa"/>
            <w:tcBorders>
              <w:right w:val="single" w:color="000000" w:sz="2" w:space="0"/>
            </w:tcBorders>
            <w:vAlign w:val="top"/>
          </w:tcPr>
          <w:p w14:paraId="78300967">
            <w:pPr>
              <w:spacing w:line="317" w:lineRule="auto"/>
              <w:rPr>
                <w:rFonts w:ascii="Arial"/>
                <w:sz w:val="21"/>
              </w:rPr>
            </w:pPr>
          </w:p>
          <w:p w14:paraId="73E17146">
            <w:pPr>
              <w:spacing w:line="317" w:lineRule="auto"/>
              <w:rPr>
                <w:rFonts w:ascii="Arial"/>
                <w:sz w:val="21"/>
              </w:rPr>
            </w:pPr>
          </w:p>
          <w:p w14:paraId="542C311E">
            <w:pPr>
              <w:spacing w:line="318" w:lineRule="auto"/>
              <w:rPr>
                <w:rFonts w:ascii="Arial"/>
                <w:sz w:val="21"/>
              </w:rPr>
            </w:pPr>
          </w:p>
          <w:p w14:paraId="4637ED44">
            <w:pPr>
              <w:pStyle w:val="6"/>
              <w:spacing w:before="65" w:line="228" w:lineRule="auto"/>
              <w:ind w:left="185"/>
            </w:pPr>
            <w:r>
              <w:rPr>
                <w:spacing w:val="8"/>
              </w:rPr>
              <w:t>距松山变电</w:t>
            </w:r>
          </w:p>
          <w:p w14:paraId="7F4C6DF7">
            <w:pPr>
              <w:pStyle w:val="6"/>
              <w:spacing w:before="26" w:line="228" w:lineRule="auto"/>
              <w:ind w:left="186"/>
            </w:pPr>
            <w:r>
              <w:rPr>
                <w:spacing w:val="8"/>
              </w:rPr>
              <w:t>站东侧厂界</w:t>
            </w:r>
          </w:p>
          <w:p w14:paraId="70ADD9B8">
            <w:pPr>
              <w:spacing w:before="46" w:line="195" w:lineRule="auto"/>
              <w:ind w:left="52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39m</w:t>
            </w:r>
          </w:p>
        </w:tc>
        <w:tc>
          <w:tcPr>
            <w:tcW w:w="1136" w:type="dxa"/>
            <w:tcBorders>
              <w:left w:val="single" w:color="000000" w:sz="2" w:space="0"/>
              <w:right w:val="single" w:color="000000" w:sz="2" w:space="0"/>
            </w:tcBorders>
            <w:vAlign w:val="top"/>
          </w:tcPr>
          <w:p w14:paraId="13D7E345">
            <w:pPr>
              <w:spacing w:line="249" w:lineRule="auto"/>
              <w:rPr>
                <w:rFonts w:ascii="Arial"/>
                <w:sz w:val="21"/>
              </w:rPr>
            </w:pPr>
          </w:p>
          <w:p w14:paraId="73A416B6">
            <w:pPr>
              <w:spacing w:line="250" w:lineRule="auto"/>
              <w:rPr>
                <w:rFonts w:ascii="Arial"/>
                <w:sz w:val="21"/>
              </w:rPr>
            </w:pPr>
          </w:p>
          <w:p w14:paraId="6682F86F">
            <w:pPr>
              <w:spacing w:line="250" w:lineRule="auto"/>
              <w:rPr>
                <w:rFonts w:ascii="Arial"/>
                <w:sz w:val="21"/>
              </w:rPr>
            </w:pPr>
          </w:p>
          <w:p w14:paraId="703C62C5">
            <w:pPr>
              <w:spacing w:line="250" w:lineRule="auto"/>
              <w:rPr>
                <w:rFonts w:ascii="Arial"/>
                <w:sz w:val="21"/>
              </w:rPr>
            </w:pPr>
          </w:p>
          <w:p w14:paraId="05B4E939">
            <w:pPr>
              <w:spacing w:line="250" w:lineRule="auto"/>
              <w:rPr>
                <w:rFonts w:ascii="Arial"/>
                <w:sz w:val="21"/>
              </w:rPr>
            </w:pPr>
          </w:p>
          <w:p w14:paraId="55577A68">
            <w:pPr>
              <w:spacing w:before="58" w:line="199" w:lineRule="auto"/>
              <w:ind w:left="5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46" w:type="dxa"/>
            <w:tcBorders>
              <w:left w:val="single" w:color="000000" w:sz="2" w:space="0"/>
            </w:tcBorders>
            <w:vAlign w:val="top"/>
          </w:tcPr>
          <w:p w14:paraId="25AADA0D">
            <w:pPr>
              <w:spacing w:line="249" w:lineRule="auto"/>
              <w:rPr>
                <w:rFonts w:ascii="Arial"/>
                <w:sz w:val="21"/>
              </w:rPr>
            </w:pPr>
          </w:p>
          <w:p w14:paraId="6D7FC344">
            <w:pPr>
              <w:spacing w:line="250" w:lineRule="auto"/>
              <w:rPr>
                <w:rFonts w:ascii="Arial"/>
                <w:sz w:val="21"/>
              </w:rPr>
            </w:pPr>
          </w:p>
          <w:p w14:paraId="5E4F37B9">
            <w:pPr>
              <w:spacing w:line="250" w:lineRule="auto"/>
              <w:rPr>
                <w:rFonts w:ascii="Arial"/>
                <w:sz w:val="21"/>
              </w:rPr>
            </w:pPr>
          </w:p>
          <w:p w14:paraId="179E2E48">
            <w:pPr>
              <w:spacing w:line="250" w:lineRule="auto"/>
              <w:rPr>
                <w:rFonts w:ascii="Arial"/>
                <w:sz w:val="21"/>
              </w:rPr>
            </w:pPr>
          </w:p>
          <w:p w14:paraId="06AD2C1A">
            <w:pPr>
              <w:spacing w:line="250" w:lineRule="auto"/>
              <w:rPr>
                <w:rFonts w:ascii="Arial"/>
                <w:sz w:val="21"/>
              </w:rPr>
            </w:pPr>
          </w:p>
          <w:p w14:paraId="6466D7F5">
            <w:pPr>
              <w:spacing w:before="58" w:line="199"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953" w:type="dxa"/>
            <w:vAlign w:val="top"/>
          </w:tcPr>
          <w:p w14:paraId="517CD72A">
            <w:pPr>
              <w:spacing w:line="2770" w:lineRule="exact"/>
              <w:ind w:firstLine="414"/>
            </w:pPr>
            <w:r>
              <w:rPr>
                <w:position w:val="-55"/>
              </w:rPr>
              <w:drawing>
                <wp:inline distT="0" distB="0" distL="0" distR="0">
                  <wp:extent cx="1979295" cy="1758950"/>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240"/>
                          <a:stretch>
                            <a:fillRect/>
                          </a:stretch>
                        </pic:blipFill>
                        <pic:spPr>
                          <a:xfrm>
                            <a:off x="0" y="0"/>
                            <a:ext cx="1979676" cy="1758950"/>
                          </a:xfrm>
                          <a:prstGeom prst="rect">
                            <a:avLst/>
                          </a:prstGeom>
                        </pic:spPr>
                      </pic:pic>
                    </a:graphicData>
                  </a:graphic>
                </wp:inline>
              </w:drawing>
            </w:r>
          </w:p>
        </w:tc>
        <w:tc>
          <w:tcPr>
            <w:tcW w:w="1155" w:type="dxa"/>
            <w:vMerge w:val="continue"/>
            <w:tcBorders>
              <w:top w:val="nil"/>
              <w:bottom w:val="nil"/>
            </w:tcBorders>
            <w:vAlign w:val="top"/>
          </w:tcPr>
          <w:p w14:paraId="5DC82484">
            <w:pPr>
              <w:rPr>
                <w:rFonts w:ascii="Arial"/>
                <w:sz w:val="21"/>
              </w:rPr>
            </w:pPr>
          </w:p>
        </w:tc>
      </w:tr>
      <w:tr w14:paraId="1DEB4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6" w:hRule="atLeast"/>
        </w:trPr>
        <w:tc>
          <w:tcPr>
            <w:tcW w:w="848" w:type="dxa"/>
            <w:vMerge w:val="continue"/>
            <w:tcBorders>
              <w:top w:val="nil"/>
              <w:bottom w:val="nil"/>
              <w:right w:val="single" w:color="000000" w:sz="2" w:space="0"/>
            </w:tcBorders>
            <w:vAlign w:val="top"/>
          </w:tcPr>
          <w:p w14:paraId="02DAE413">
            <w:pPr>
              <w:rPr>
                <w:rFonts w:ascii="Arial"/>
                <w:sz w:val="21"/>
              </w:rPr>
            </w:pPr>
          </w:p>
        </w:tc>
        <w:tc>
          <w:tcPr>
            <w:tcW w:w="1180" w:type="dxa"/>
            <w:tcBorders>
              <w:left w:val="single" w:color="000000" w:sz="2" w:space="0"/>
            </w:tcBorders>
            <w:vAlign w:val="top"/>
          </w:tcPr>
          <w:p w14:paraId="6C8A58B6">
            <w:pPr>
              <w:spacing w:line="332" w:lineRule="auto"/>
              <w:rPr>
                <w:rFonts w:ascii="Arial"/>
                <w:sz w:val="21"/>
              </w:rPr>
            </w:pPr>
          </w:p>
          <w:p w14:paraId="5D61C1B2">
            <w:pPr>
              <w:spacing w:line="333" w:lineRule="auto"/>
              <w:rPr>
                <w:rFonts w:ascii="Arial"/>
                <w:sz w:val="21"/>
              </w:rPr>
            </w:pPr>
          </w:p>
          <w:p w14:paraId="1EE64516">
            <w:pPr>
              <w:pStyle w:val="6"/>
              <w:spacing w:before="65" w:line="225" w:lineRule="auto"/>
              <w:ind w:left="168"/>
            </w:pPr>
            <w:r>
              <w:rPr>
                <w:spacing w:val="8"/>
              </w:rPr>
              <w:t>⑥松山变</w:t>
            </w:r>
          </w:p>
          <w:p w14:paraId="695759C1">
            <w:pPr>
              <w:pStyle w:val="6"/>
              <w:spacing w:before="27" w:line="228" w:lineRule="auto"/>
              <w:ind w:left="194"/>
            </w:pPr>
            <w:r>
              <w:rPr>
                <w:spacing w:val="1"/>
              </w:rPr>
              <w:t>电站周围</w:t>
            </w:r>
          </w:p>
          <w:p w14:paraId="36D7AD9E">
            <w:pPr>
              <w:pStyle w:val="6"/>
              <w:spacing w:before="25" w:line="228" w:lineRule="auto"/>
              <w:ind w:left="170"/>
            </w:pPr>
            <w:r>
              <w:rPr>
                <w:rFonts w:ascii="Times New Roman" w:hAnsi="Times New Roman" w:eastAsia="Times New Roman" w:cs="Times New Roman"/>
                <w:spacing w:val="6"/>
              </w:rPr>
              <w:t>6#</w:t>
            </w:r>
            <w:r>
              <w:rPr>
                <w:spacing w:val="6"/>
              </w:rPr>
              <w:t>临时看</w:t>
            </w:r>
          </w:p>
          <w:p w14:paraId="5A9A098B">
            <w:pPr>
              <w:pStyle w:val="6"/>
              <w:spacing w:before="24" w:line="228" w:lineRule="auto"/>
              <w:ind w:left="382"/>
            </w:pPr>
            <w:r>
              <w:rPr>
                <w:spacing w:val="4"/>
              </w:rPr>
              <w:t>护房</w:t>
            </w:r>
          </w:p>
        </w:tc>
        <w:tc>
          <w:tcPr>
            <w:tcW w:w="715" w:type="dxa"/>
            <w:vAlign w:val="top"/>
          </w:tcPr>
          <w:p w14:paraId="658249D4">
            <w:pPr>
              <w:spacing w:line="267" w:lineRule="auto"/>
              <w:rPr>
                <w:rFonts w:ascii="Arial"/>
                <w:sz w:val="21"/>
              </w:rPr>
            </w:pPr>
          </w:p>
          <w:p w14:paraId="27043548">
            <w:pPr>
              <w:spacing w:line="267" w:lineRule="auto"/>
              <w:rPr>
                <w:rFonts w:ascii="Arial"/>
                <w:sz w:val="21"/>
              </w:rPr>
            </w:pPr>
          </w:p>
          <w:p w14:paraId="501D3A0B">
            <w:pPr>
              <w:spacing w:line="267" w:lineRule="auto"/>
              <w:rPr>
                <w:rFonts w:ascii="Arial"/>
                <w:sz w:val="21"/>
              </w:rPr>
            </w:pPr>
          </w:p>
          <w:p w14:paraId="2E815903">
            <w:pPr>
              <w:pStyle w:val="6"/>
              <w:spacing w:before="65" w:line="251" w:lineRule="auto"/>
              <w:ind w:left="145" w:right="148"/>
              <w:jc w:val="both"/>
            </w:pPr>
            <w:r>
              <w:rPr>
                <w:spacing w:val="4"/>
              </w:rPr>
              <w:t>农用</w:t>
            </w:r>
            <w:r>
              <w:rPr>
                <w:spacing w:val="5"/>
              </w:rPr>
              <w:t>物资仓库</w:t>
            </w:r>
          </w:p>
        </w:tc>
        <w:tc>
          <w:tcPr>
            <w:tcW w:w="667" w:type="dxa"/>
            <w:vAlign w:val="top"/>
          </w:tcPr>
          <w:p w14:paraId="2FCE3F53">
            <w:pPr>
              <w:spacing w:line="267" w:lineRule="auto"/>
              <w:rPr>
                <w:rFonts w:ascii="Arial"/>
                <w:sz w:val="21"/>
              </w:rPr>
            </w:pPr>
          </w:p>
          <w:p w14:paraId="47C0BE0E">
            <w:pPr>
              <w:spacing w:line="267" w:lineRule="auto"/>
              <w:rPr>
                <w:rFonts w:ascii="Arial"/>
                <w:sz w:val="21"/>
              </w:rPr>
            </w:pPr>
          </w:p>
          <w:p w14:paraId="72339F78">
            <w:pPr>
              <w:spacing w:line="268" w:lineRule="auto"/>
              <w:rPr>
                <w:rFonts w:ascii="Arial"/>
                <w:sz w:val="21"/>
              </w:rPr>
            </w:pPr>
          </w:p>
          <w:p w14:paraId="0D3BCC9A">
            <w:pPr>
              <w:spacing w:line="268" w:lineRule="auto"/>
              <w:rPr>
                <w:rFonts w:ascii="Arial"/>
                <w:sz w:val="21"/>
              </w:rPr>
            </w:pPr>
          </w:p>
          <w:p w14:paraId="15A5B48F">
            <w:pPr>
              <w:pStyle w:val="6"/>
              <w:spacing w:before="65" w:line="231" w:lineRule="auto"/>
              <w:ind w:left="145"/>
            </w:pPr>
            <w:r>
              <w:rPr>
                <w:rFonts w:ascii="Times New Roman" w:hAnsi="Times New Roman" w:eastAsia="Times New Roman" w:cs="Times New Roman"/>
              </w:rPr>
              <w:t>2</w:t>
            </w:r>
            <w:r>
              <w:rPr>
                <w:rFonts w:ascii="Times New Roman" w:hAnsi="Times New Roman" w:eastAsia="Times New Roman" w:cs="Times New Roman"/>
                <w:spacing w:val="11"/>
              </w:rPr>
              <w:t xml:space="preserve"> </w:t>
            </w:r>
            <w:r>
              <w:t>人</w:t>
            </w:r>
          </w:p>
        </w:tc>
        <w:tc>
          <w:tcPr>
            <w:tcW w:w="882" w:type="dxa"/>
            <w:vAlign w:val="top"/>
          </w:tcPr>
          <w:p w14:paraId="625AA4BC">
            <w:pPr>
              <w:spacing w:line="332" w:lineRule="auto"/>
              <w:rPr>
                <w:rFonts w:ascii="Arial"/>
                <w:sz w:val="21"/>
              </w:rPr>
            </w:pPr>
          </w:p>
          <w:p w14:paraId="692E128D">
            <w:pPr>
              <w:spacing w:line="332" w:lineRule="auto"/>
              <w:rPr>
                <w:rFonts w:ascii="Arial"/>
                <w:sz w:val="21"/>
              </w:rPr>
            </w:pPr>
          </w:p>
          <w:p w14:paraId="7C82940E">
            <w:pPr>
              <w:pStyle w:val="6"/>
              <w:spacing w:before="65" w:line="252" w:lineRule="auto"/>
              <w:ind w:left="125" w:right="125"/>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24" w:type="dxa"/>
            <w:vAlign w:val="top"/>
          </w:tcPr>
          <w:p w14:paraId="22D53368">
            <w:pPr>
              <w:spacing w:line="311" w:lineRule="auto"/>
              <w:rPr>
                <w:rFonts w:ascii="Arial"/>
                <w:sz w:val="21"/>
              </w:rPr>
            </w:pPr>
          </w:p>
          <w:p w14:paraId="3F157E0F">
            <w:pPr>
              <w:spacing w:line="311" w:lineRule="auto"/>
              <w:rPr>
                <w:rFonts w:ascii="Arial"/>
                <w:sz w:val="21"/>
              </w:rPr>
            </w:pPr>
          </w:p>
          <w:p w14:paraId="3C9661E1">
            <w:pPr>
              <w:spacing w:line="312" w:lineRule="auto"/>
              <w:rPr>
                <w:rFonts w:ascii="Arial"/>
                <w:sz w:val="21"/>
              </w:rPr>
            </w:pPr>
          </w:p>
          <w:p w14:paraId="50CD77B3">
            <w:pPr>
              <w:pStyle w:val="6"/>
              <w:spacing w:before="65" w:line="254" w:lineRule="auto"/>
              <w:ind w:left="607" w:right="184" w:hanging="418"/>
            </w:pPr>
            <w:r>
              <w:rPr>
                <w:spacing w:val="8"/>
              </w:rPr>
              <w:t>变电站西南</w:t>
            </w:r>
            <w:r>
              <w:rPr>
                <w:spacing w:val="2"/>
              </w:rPr>
              <w:t>侧</w:t>
            </w:r>
          </w:p>
        </w:tc>
        <w:tc>
          <w:tcPr>
            <w:tcW w:w="1416" w:type="dxa"/>
            <w:tcBorders>
              <w:right w:val="single" w:color="000000" w:sz="2" w:space="0"/>
            </w:tcBorders>
            <w:vAlign w:val="top"/>
          </w:tcPr>
          <w:p w14:paraId="7D555A2E">
            <w:pPr>
              <w:spacing w:line="266" w:lineRule="auto"/>
              <w:rPr>
                <w:rFonts w:ascii="Arial"/>
                <w:sz w:val="21"/>
              </w:rPr>
            </w:pPr>
          </w:p>
          <w:p w14:paraId="6728C5A9">
            <w:pPr>
              <w:spacing w:line="267" w:lineRule="auto"/>
              <w:rPr>
                <w:rFonts w:ascii="Arial"/>
                <w:sz w:val="21"/>
              </w:rPr>
            </w:pPr>
          </w:p>
          <w:p w14:paraId="05F25525">
            <w:pPr>
              <w:spacing w:line="267" w:lineRule="auto"/>
              <w:rPr>
                <w:rFonts w:ascii="Arial"/>
                <w:sz w:val="21"/>
              </w:rPr>
            </w:pPr>
          </w:p>
          <w:p w14:paraId="1FBF37F1">
            <w:pPr>
              <w:pStyle w:val="6"/>
              <w:spacing w:before="65" w:line="228" w:lineRule="auto"/>
              <w:ind w:left="185"/>
            </w:pPr>
            <w:r>
              <w:rPr>
                <w:spacing w:val="8"/>
              </w:rPr>
              <w:t>距松山变电</w:t>
            </w:r>
          </w:p>
          <w:p w14:paraId="09E63C45">
            <w:pPr>
              <w:pStyle w:val="6"/>
              <w:spacing w:before="24" w:line="228" w:lineRule="auto"/>
              <w:ind w:left="186"/>
            </w:pPr>
            <w:r>
              <w:rPr>
                <w:spacing w:val="7"/>
              </w:rPr>
              <w:t>站西南侧厂</w:t>
            </w:r>
          </w:p>
          <w:p w14:paraId="0ACE45BF">
            <w:pPr>
              <w:pStyle w:val="6"/>
              <w:spacing w:before="24" w:line="229" w:lineRule="auto"/>
              <w:ind w:left="344"/>
              <w:rPr>
                <w:rFonts w:ascii="Times New Roman" w:hAnsi="Times New Roman" w:eastAsia="Times New Roman" w:cs="Times New Roman"/>
              </w:rPr>
            </w:pPr>
            <w:r>
              <w:rPr>
                <w:spacing w:val="-2"/>
              </w:rPr>
              <w:t>界</w:t>
            </w:r>
            <w:r>
              <w:rPr>
                <w:spacing w:val="-19"/>
              </w:rPr>
              <w:t xml:space="preserve"> </w:t>
            </w:r>
            <w:r>
              <w:rPr>
                <w:rFonts w:ascii="Times New Roman" w:hAnsi="Times New Roman" w:eastAsia="Times New Roman" w:cs="Times New Roman"/>
                <w:spacing w:val="-2"/>
              </w:rPr>
              <w:t>167m</w:t>
            </w:r>
          </w:p>
        </w:tc>
        <w:tc>
          <w:tcPr>
            <w:tcW w:w="1136" w:type="dxa"/>
            <w:tcBorders>
              <w:left w:val="single" w:color="000000" w:sz="2" w:space="0"/>
              <w:right w:val="single" w:color="000000" w:sz="2" w:space="0"/>
            </w:tcBorders>
            <w:vAlign w:val="top"/>
          </w:tcPr>
          <w:p w14:paraId="331151E2">
            <w:pPr>
              <w:spacing w:line="277" w:lineRule="auto"/>
              <w:rPr>
                <w:rFonts w:ascii="Arial"/>
                <w:sz w:val="21"/>
              </w:rPr>
            </w:pPr>
          </w:p>
          <w:p w14:paraId="06057DA2">
            <w:pPr>
              <w:spacing w:line="277" w:lineRule="auto"/>
              <w:rPr>
                <w:rFonts w:ascii="Arial"/>
                <w:sz w:val="21"/>
              </w:rPr>
            </w:pPr>
          </w:p>
          <w:p w14:paraId="60431AF7">
            <w:pPr>
              <w:spacing w:line="278" w:lineRule="auto"/>
              <w:rPr>
                <w:rFonts w:ascii="Arial"/>
                <w:sz w:val="21"/>
              </w:rPr>
            </w:pPr>
          </w:p>
          <w:p w14:paraId="52EE65EF">
            <w:pPr>
              <w:spacing w:line="278" w:lineRule="auto"/>
              <w:rPr>
                <w:rFonts w:ascii="Arial"/>
                <w:sz w:val="21"/>
              </w:rPr>
            </w:pPr>
          </w:p>
          <w:p w14:paraId="42516E97">
            <w:pPr>
              <w:spacing w:before="57" w:line="199" w:lineRule="auto"/>
              <w:ind w:left="5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46" w:type="dxa"/>
            <w:tcBorders>
              <w:left w:val="single" w:color="000000" w:sz="2" w:space="0"/>
            </w:tcBorders>
            <w:vAlign w:val="top"/>
          </w:tcPr>
          <w:p w14:paraId="49D3870C">
            <w:pPr>
              <w:spacing w:line="277" w:lineRule="auto"/>
              <w:rPr>
                <w:rFonts w:ascii="Arial"/>
                <w:sz w:val="21"/>
              </w:rPr>
            </w:pPr>
          </w:p>
          <w:p w14:paraId="3BF3552C">
            <w:pPr>
              <w:spacing w:line="277" w:lineRule="auto"/>
              <w:rPr>
                <w:rFonts w:ascii="Arial"/>
                <w:sz w:val="21"/>
              </w:rPr>
            </w:pPr>
          </w:p>
          <w:p w14:paraId="3D135F41">
            <w:pPr>
              <w:spacing w:line="278" w:lineRule="auto"/>
              <w:rPr>
                <w:rFonts w:ascii="Arial"/>
                <w:sz w:val="21"/>
              </w:rPr>
            </w:pPr>
          </w:p>
          <w:p w14:paraId="0312E5A6">
            <w:pPr>
              <w:spacing w:line="278" w:lineRule="auto"/>
              <w:rPr>
                <w:rFonts w:ascii="Arial"/>
                <w:sz w:val="21"/>
              </w:rPr>
            </w:pPr>
          </w:p>
          <w:p w14:paraId="1772CAB5">
            <w:pPr>
              <w:spacing w:before="57" w:line="199"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953" w:type="dxa"/>
            <w:vAlign w:val="top"/>
          </w:tcPr>
          <w:p w14:paraId="138C3DD0">
            <w:pPr>
              <w:spacing w:line="2486" w:lineRule="exact"/>
              <w:ind w:firstLine="282"/>
            </w:pPr>
            <w:r>
              <w:rPr>
                <w:position w:val="-49"/>
              </w:rPr>
              <w:drawing>
                <wp:inline distT="0" distB="0" distL="0" distR="0">
                  <wp:extent cx="2150110" cy="1577975"/>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241"/>
                          <a:stretch>
                            <a:fillRect/>
                          </a:stretch>
                        </pic:blipFill>
                        <pic:spPr>
                          <a:xfrm>
                            <a:off x="0" y="0"/>
                            <a:ext cx="2150364" cy="1578102"/>
                          </a:xfrm>
                          <a:prstGeom prst="rect">
                            <a:avLst/>
                          </a:prstGeom>
                        </pic:spPr>
                      </pic:pic>
                    </a:graphicData>
                  </a:graphic>
                </wp:inline>
              </w:drawing>
            </w:r>
          </w:p>
        </w:tc>
        <w:tc>
          <w:tcPr>
            <w:tcW w:w="1155" w:type="dxa"/>
            <w:vMerge w:val="continue"/>
            <w:tcBorders>
              <w:top w:val="nil"/>
              <w:bottom w:val="nil"/>
            </w:tcBorders>
            <w:vAlign w:val="top"/>
          </w:tcPr>
          <w:p w14:paraId="0F2B8450">
            <w:pPr>
              <w:rPr>
                <w:rFonts w:ascii="Arial"/>
                <w:sz w:val="21"/>
              </w:rPr>
            </w:pPr>
          </w:p>
        </w:tc>
      </w:tr>
      <w:tr w14:paraId="62A7E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2" w:hRule="atLeast"/>
        </w:trPr>
        <w:tc>
          <w:tcPr>
            <w:tcW w:w="848" w:type="dxa"/>
            <w:vMerge w:val="continue"/>
            <w:tcBorders>
              <w:top w:val="nil"/>
              <w:right w:val="single" w:color="000000" w:sz="2" w:space="0"/>
            </w:tcBorders>
            <w:vAlign w:val="top"/>
          </w:tcPr>
          <w:p w14:paraId="7959134A">
            <w:pPr>
              <w:rPr>
                <w:rFonts w:ascii="Arial"/>
                <w:sz w:val="21"/>
              </w:rPr>
            </w:pPr>
          </w:p>
        </w:tc>
        <w:tc>
          <w:tcPr>
            <w:tcW w:w="1180" w:type="dxa"/>
            <w:tcBorders>
              <w:left w:val="single" w:color="000000" w:sz="2" w:space="0"/>
            </w:tcBorders>
            <w:vAlign w:val="top"/>
          </w:tcPr>
          <w:p w14:paraId="333EC5AA">
            <w:pPr>
              <w:spacing w:line="296" w:lineRule="auto"/>
              <w:rPr>
                <w:rFonts w:ascii="Arial"/>
                <w:sz w:val="21"/>
              </w:rPr>
            </w:pPr>
          </w:p>
          <w:p w14:paraId="2078AF73">
            <w:pPr>
              <w:spacing w:line="297" w:lineRule="auto"/>
              <w:rPr>
                <w:rFonts w:ascii="Arial"/>
                <w:sz w:val="21"/>
              </w:rPr>
            </w:pPr>
          </w:p>
          <w:p w14:paraId="04B9A87D">
            <w:pPr>
              <w:spacing w:line="297" w:lineRule="auto"/>
              <w:rPr>
                <w:rFonts w:ascii="Arial"/>
                <w:sz w:val="21"/>
              </w:rPr>
            </w:pPr>
          </w:p>
          <w:p w14:paraId="3C0F37B4">
            <w:pPr>
              <w:pStyle w:val="6"/>
              <w:spacing w:before="65" w:line="251" w:lineRule="auto"/>
              <w:ind w:left="169" w:right="170" w:hanging="1"/>
              <w:jc w:val="both"/>
            </w:pPr>
            <w:r>
              <w:rPr>
                <w:spacing w:val="8"/>
              </w:rPr>
              <w:t>⑦松山变</w:t>
            </w:r>
            <w:r>
              <w:rPr>
                <w:spacing w:val="7"/>
              </w:rPr>
              <w:t>电站周围</w:t>
            </w:r>
            <w:r>
              <w:rPr>
                <w:rFonts w:ascii="Times New Roman" w:hAnsi="Times New Roman" w:eastAsia="Times New Roman" w:cs="Times New Roman"/>
                <w:spacing w:val="6"/>
              </w:rPr>
              <w:t>7#</w:t>
            </w:r>
            <w:r>
              <w:rPr>
                <w:spacing w:val="6"/>
              </w:rPr>
              <w:t>居民点</w:t>
            </w:r>
          </w:p>
        </w:tc>
        <w:tc>
          <w:tcPr>
            <w:tcW w:w="715" w:type="dxa"/>
            <w:vAlign w:val="top"/>
          </w:tcPr>
          <w:p w14:paraId="782E929E">
            <w:pPr>
              <w:spacing w:line="289" w:lineRule="auto"/>
              <w:rPr>
                <w:rFonts w:ascii="Arial"/>
                <w:sz w:val="21"/>
              </w:rPr>
            </w:pPr>
          </w:p>
          <w:p w14:paraId="0CF93F24">
            <w:pPr>
              <w:spacing w:line="289" w:lineRule="auto"/>
              <w:rPr>
                <w:rFonts w:ascii="Arial"/>
                <w:sz w:val="21"/>
              </w:rPr>
            </w:pPr>
          </w:p>
          <w:p w14:paraId="6BE695D3">
            <w:pPr>
              <w:spacing w:line="290" w:lineRule="auto"/>
              <w:rPr>
                <w:rFonts w:ascii="Arial"/>
                <w:sz w:val="21"/>
              </w:rPr>
            </w:pPr>
          </w:p>
          <w:p w14:paraId="094A4F49">
            <w:pPr>
              <w:spacing w:line="290" w:lineRule="auto"/>
              <w:rPr>
                <w:rFonts w:ascii="Arial"/>
                <w:sz w:val="21"/>
              </w:rPr>
            </w:pPr>
          </w:p>
          <w:p w14:paraId="76051CA7">
            <w:pPr>
              <w:pStyle w:val="6"/>
              <w:spacing w:before="65" w:line="228" w:lineRule="auto"/>
              <w:ind w:left="148"/>
            </w:pPr>
            <w:r>
              <w:rPr>
                <w:spacing w:val="3"/>
              </w:rPr>
              <w:t>居住</w:t>
            </w:r>
          </w:p>
        </w:tc>
        <w:tc>
          <w:tcPr>
            <w:tcW w:w="667" w:type="dxa"/>
            <w:vAlign w:val="top"/>
          </w:tcPr>
          <w:p w14:paraId="0C55FB58">
            <w:pPr>
              <w:spacing w:line="256" w:lineRule="auto"/>
              <w:rPr>
                <w:rFonts w:ascii="Arial"/>
                <w:sz w:val="21"/>
              </w:rPr>
            </w:pPr>
          </w:p>
          <w:p w14:paraId="7AB2054D">
            <w:pPr>
              <w:spacing w:line="256" w:lineRule="auto"/>
              <w:rPr>
                <w:rFonts w:ascii="Arial"/>
                <w:sz w:val="21"/>
              </w:rPr>
            </w:pPr>
          </w:p>
          <w:p w14:paraId="2C6B1B3A">
            <w:pPr>
              <w:spacing w:line="256" w:lineRule="auto"/>
              <w:rPr>
                <w:rFonts w:ascii="Arial"/>
                <w:sz w:val="21"/>
              </w:rPr>
            </w:pPr>
          </w:p>
          <w:p w14:paraId="31744693">
            <w:pPr>
              <w:spacing w:line="257" w:lineRule="auto"/>
              <w:rPr>
                <w:rFonts w:ascii="Arial"/>
                <w:sz w:val="21"/>
              </w:rPr>
            </w:pPr>
          </w:p>
          <w:p w14:paraId="294C7577">
            <w:pPr>
              <w:pStyle w:val="6"/>
              <w:spacing w:before="65" w:line="253" w:lineRule="auto"/>
              <w:ind w:left="144" w:right="150" w:firstLine="21"/>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rPr>
              <w:t>4</w:t>
            </w:r>
            <w:r>
              <w:rPr>
                <w:rFonts w:ascii="Times New Roman" w:hAnsi="Times New Roman" w:eastAsia="Times New Roman" w:cs="Times New Roman"/>
                <w:spacing w:val="11"/>
              </w:rPr>
              <w:t xml:space="preserve"> </w:t>
            </w:r>
            <w:r>
              <w:t>人</w:t>
            </w:r>
          </w:p>
        </w:tc>
        <w:tc>
          <w:tcPr>
            <w:tcW w:w="882" w:type="dxa"/>
            <w:vAlign w:val="top"/>
          </w:tcPr>
          <w:p w14:paraId="0DD94305">
            <w:pPr>
              <w:spacing w:line="250" w:lineRule="auto"/>
              <w:rPr>
                <w:rFonts w:ascii="Arial"/>
                <w:sz w:val="21"/>
              </w:rPr>
            </w:pPr>
          </w:p>
          <w:p w14:paraId="4632ABF9">
            <w:pPr>
              <w:spacing w:line="251" w:lineRule="auto"/>
              <w:rPr>
                <w:rFonts w:ascii="Arial"/>
                <w:sz w:val="21"/>
              </w:rPr>
            </w:pPr>
          </w:p>
          <w:p w14:paraId="03AE21DE">
            <w:pPr>
              <w:spacing w:line="251" w:lineRule="auto"/>
              <w:rPr>
                <w:rFonts w:ascii="Arial"/>
                <w:sz w:val="21"/>
              </w:rPr>
            </w:pPr>
          </w:p>
          <w:p w14:paraId="426F35D4">
            <w:pPr>
              <w:pStyle w:val="6"/>
              <w:spacing w:before="65" w:line="252" w:lineRule="auto"/>
              <w:ind w:left="125" w:right="125"/>
              <w:jc w:val="both"/>
            </w:pPr>
            <w:r>
              <w:rPr>
                <w:spacing w:val="6"/>
              </w:rPr>
              <w:t>砖混结</w:t>
            </w:r>
            <w:r>
              <w:rPr>
                <w:spacing w:val="23"/>
              </w:rPr>
              <w:t>构，</w:t>
            </w:r>
            <w:r>
              <w:rPr>
                <w:rFonts w:ascii="Times New Roman" w:hAnsi="Times New Roman" w:eastAsia="Times New Roman" w:cs="Times New Roman"/>
                <w:spacing w:val="23"/>
              </w:rPr>
              <w:t>1</w:t>
            </w:r>
            <w:r>
              <w:rPr>
                <w:spacing w:val="6"/>
              </w:rPr>
              <w:t>层（平</w:t>
            </w:r>
            <w:r>
              <w:rPr>
                <w:spacing w:val="37"/>
                <w:w w:val="108"/>
              </w:rPr>
              <w:t>顶）</w:t>
            </w:r>
          </w:p>
        </w:tc>
        <w:tc>
          <w:tcPr>
            <w:tcW w:w="1424" w:type="dxa"/>
            <w:vAlign w:val="top"/>
          </w:tcPr>
          <w:p w14:paraId="0BD64A01">
            <w:pPr>
              <w:spacing w:line="256" w:lineRule="auto"/>
              <w:rPr>
                <w:rFonts w:ascii="Arial"/>
                <w:sz w:val="21"/>
              </w:rPr>
            </w:pPr>
          </w:p>
          <w:p w14:paraId="1AA9F08E">
            <w:pPr>
              <w:spacing w:line="256" w:lineRule="auto"/>
              <w:rPr>
                <w:rFonts w:ascii="Arial"/>
                <w:sz w:val="21"/>
              </w:rPr>
            </w:pPr>
          </w:p>
          <w:p w14:paraId="6F9D790A">
            <w:pPr>
              <w:spacing w:line="256" w:lineRule="auto"/>
              <w:rPr>
                <w:rFonts w:ascii="Arial"/>
                <w:sz w:val="21"/>
              </w:rPr>
            </w:pPr>
          </w:p>
          <w:p w14:paraId="41523651">
            <w:pPr>
              <w:spacing w:line="256" w:lineRule="auto"/>
              <w:rPr>
                <w:rFonts w:ascii="Arial"/>
                <w:sz w:val="21"/>
              </w:rPr>
            </w:pPr>
          </w:p>
          <w:p w14:paraId="799FE4B8">
            <w:pPr>
              <w:pStyle w:val="6"/>
              <w:spacing w:before="65" w:line="252" w:lineRule="auto"/>
              <w:ind w:left="607" w:right="184" w:hanging="418"/>
            </w:pPr>
            <w:r>
              <w:rPr>
                <w:spacing w:val="8"/>
              </w:rPr>
              <w:t>变电站西北</w:t>
            </w:r>
            <w:r>
              <w:rPr>
                <w:spacing w:val="2"/>
              </w:rPr>
              <w:t>侧</w:t>
            </w:r>
          </w:p>
        </w:tc>
        <w:tc>
          <w:tcPr>
            <w:tcW w:w="1416" w:type="dxa"/>
            <w:tcBorders>
              <w:right w:val="single" w:color="000000" w:sz="2" w:space="0"/>
            </w:tcBorders>
            <w:vAlign w:val="top"/>
          </w:tcPr>
          <w:p w14:paraId="0DF9848C">
            <w:pPr>
              <w:spacing w:line="296" w:lineRule="auto"/>
              <w:rPr>
                <w:rFonts w:ascii="Arial"/>
                <w:sz w:val="21"/>
              </w:rPr>
            </w:pPr>
          </w:p>
          <w:p w14:paraId="3A6C4623">
            <w:pPr>
              <w:spacing w:line="296" w:lineRule="auto"/>
              <w:rPr>
                <w:rFonts w:ascii="Arial"/>
                <w:sz w:val="21"/>
              </w:rPr>
            </w:pPr>
          </w:p>
          <w:p w14:paraId="2ED5F8BD">
            <w:pPr>
              <w:spacing w:line="296" w:lineRule="auto"/>
              <w:rPr>
                <w:rFonts w:ascii="Arial"/>
                <w:sz w:val="21"/>
              </w:rPr>
            </w:pPr>
          </w:p>
          <w:p w14:paraId="289F13FF">
            <w:pPr>
              <w:pStyle w:val="6"/>
              <w:spacing w:before="65" w:line="228" w:lineRule="auto"/>
              <w:ind w:left="185"/>
            </w:pPr>
            <w:r>
              <w:rPr>
                <w:spacing w:val="8"/>
              </w:rPr>
              <w:t>距松山变电</w:t>
            </w:r>
          </w:p>
          <w:p w14:paraId="26DC0198">
            <w:pPr>
              <w:pStyle w:val="6"/>
              <w:spacing w:before="24" w:line="228" w:lineRule="auto"/>
              <w:ind w:left="186"/>
            </w:pPr>
            <w:r>
              <w:rPr>
                <w:spacing w:val="7"/>
              </w:rPr>
              <w:t>站西北侧厂</w:t>
            </w:r>
          </w:p>
          <w:p w14:paraId="0427726A">
            <w:pPr>
              <w:pStyle w:val="6"/>
              <w:spacing w:before="24" w:line="229" w:lineRule="auto"/>
              <w:ind w:left="344"/>
              <w:rPr>
                <w:rFonts w:ascii="Times New Roman" w:hAnsi="Times New Roman" w:eastAsia="Times New Roman" w:cs="Times New Roman"/>
              </w:rPr>
            </w:pPr>
            <w:r>
              <w:rPr>
                <w:spacing w:val="-2"/>
              </w:rPr>
              <w:t>界</w:t>
            </w:r>
            <w:r>
              <w:rPr>
                <w:spacing w:val="-19"/>
              </w:rPr>
              <w:t xml:space="preserve"> </w:t>
            </w:r>
            <w:r>
              <w:rPr>
                <w:rFonts w:ascii="Times New Roman" w:hAnsi="Times New Roman" w:eastAsia="Times New Roman" w:cs="Times New Roman"/>
                <w:spacing w:val="-2"/>
              </w:rPr>
              <w:t>195m</w:t>
            </w:r>
          </w:p>
        </w:tc>
        <w:tc>
          <w:tcPr>
            <w:tcW w:w="1136" w:type="dxa"/>
            <w:tcBorders>
              <w:left w:val="single" w:color="000000" w:sz="2" w:space="0"/>
              <w:right w:val="single" w:color="000000" w:sz="2" w:space="0"/>
            </w:tcBorders>
            <w:vAlign w:val="top"/>
          </w:tcPr>
          <w:p w14:paraId="7A09C131">
            <w:pPr>
              <w:spacing w:line="299" w:lineRule="auto"/>
              <w:rPr>
                <w:rFonts w:ascii="Arial"/>
                <w:sz w:val="21"/>
              </w:rPr>
            </w:pPr>
          </w:p>
          <w:p w14:paraId="18C32D61">
            <w:pPr>
              <w:spacing w:line="299" w:lineRule="auto"/>
              <w:rPr>
                <w:rFonts w:ascii="Arial"/>
                <w:sz w:val="21"/>
              </w:rPr>
            </w:pPr>
          </w:p>
          <w:p w14:paraId="728AC253">
            <w:pPr>
              <w:spacing w:line="299" w:lineRule="auto"/>
              <w:rPr>
                <w:rFonts w:ascii="Arial"/>
                <w:sz w:val="21"/>
              </w:rPr>
            </w:pPr>
          </w:p>
          <w:p w14:paraId="508D2BFA">
            <w:pPr>
              <w:spacing w:line="300" w:lineRule="auto"/>
              <w:rPr>
                <w:rFonts w:ascii="Arial"/>
                <w:sz w:val="21"/>
              </w:rPr>
            </w:pPr>
          </w:p>
          <w:p w14:paraId="284D279F">
            <w:pPr>
              <w:spacing w:before="58" w:line="199" w:lineRule="auto"/>
              <w:ind w:left="5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646" w:type="dxa"/>
            <w:tcBorders>
              <w:left w:val="single" w:color="000000" w:sz="2" w:space="0"/>
            </w:tcBorders>
            <w:vAlign w:val="top"/>
          </w:tcPr>
          <w:p w14:paraId="6C41E12D">
            <w:pPr>
              <w:spacing w:line="299" w:lineRule="auto"/>
              <w:rPr>
                <w:rFonts w:ascii="Arial"/>
                <w:sz w:val="21"/>
              </w:rPr>
            </w:pPr>
          </w:p>
          <w:p w14:paraId="4336D4E8">
            <w:pPr>
              <w:spacing w:line="299" w:lineRule="auto"/>
              <w:rPr>
                <w:rFonts w:ascii="Arial"/>
                <w:sz w:val="21"/>
              </w:rPr>
            </w:pPr>
          </w:p>
          <w:p w14:paraId="5ED6F01F">
            <w:pPr>
              <w:spacing w:line="299" w:lineRule="auto"/>
              <w:rPr>
                <w:rFonts w:ascii="Arial"/>
                <w:sz w:val="21"/>
              </w:rPr>
            </w:pPr>
          </w:p>
          <w:p w14:paraId="3930F175">
            <w:pPr>
              <w:spacing w:line="300" w:lineRule="auto"/>
              <w:rPr>
                <w:rFonts w:ascii="Arial"/>
                <w:sz w:val="21"/>
              </w:rPr>
            </w:pPr>
          </w:p>
          <w:p w14:paraId="0449D98A">
            <w:pPr>
              <w:spacing w:before="58" w:line="199" w:lineRule="auto"/>
              <w:ind w:left="29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953" w:type="dxa"/>
            <w:vAlign w:val="top"/>
          </w:tcPr>
          <w:p w14:paraId="25DABC10">
            <w:pPr>
              <w:spacing w:before="5" w:line="2657" w:lineRule="exact"/>
              <w:ind w:firstLine="299"/>
            </w:pPr>
            <w:r>
              <w:rPr>
                <w:position w:val="-53"/>
              </w:rPr>
              <w:drawing>
                <wp:inline distT="0" distB="0" distL="0" distR="0">
                  <wp:extent cx="2127250" cy="1686560"/>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242"/>
                          <a:stretch>
                            <a:fillRect/>
                          </a:stretch>
                        </pic:blipFill>
                        <pic:spPr>
                          <a:xfrm>
                            <a:off x="0" y="0"/>
                            <a:ext cx="2127504" cy="1687068"/>
                          </a:xfrm>
                          <a:prstGeom prst="rect">
                            <a:avLst/>
                          </a:prstGeom>
                        </pic:spPr>
                      </pic:pic>
                    </a:graphicData>
                  </a:graphic>
                </wp:inline>
              </w:drawing>
            </w:r>
          </w:p>
        </w:tc>
        <w:tc>
          <w:tcPr>
            <w:tcW w:w="1155" w:type="dxa"/>
            <w:vMerge w:val="continue"/>
            <w:tcBorders>
              <w:top w:val="nil"/>
            </w:tcBorders>
            <w:vAlign w:val="top"/>
          </w:tcPr>
          <w:p w14:paraId="718FD1FF">
            <w:pPr>
              <w:rPr>
                <w:rFonts w:ascii="Arial"/>
                <w:sz w:val="21"/>
              </w:rPr>
            </w:pPr>
          </w:p>
        </w:tc>
      </w:tr>
    </w:tbl>
    <w:p w14:paraId="35E42E52">
      <w:pPr>
        <w:rPr>
          <w:rFonts w:ascii="Arial"/>
          <w:sz w:val="21"/>
        </w:rPr>
      </w:pPr>
    </w:p>
    <w:p w14:paraId="1D57C4C4">
      <w:pPr>
        <w:rPr>
          <w:rFonts w:ascii="Arial" w:hAnsi="Arial" w:eastAsia="Arial" w:cs="Arial"/>
          <w:sz w:val="21"/>
          <w:szCs w:val="21"/>
        </w:rPr>
        <w:sectPr>
          <w:footerReference r:id="rId85" w:type="default"/>
          <w:pgSz w:w="16840" w:h="11907"/>
          <w:pgMar w:top="400" w:right="1441" w:bottom="1013" w:left="1365" w:header="0" w:footer="851" w:gutter="0"/>
          <w:cols w:space="720" w:num="1"/>
        </w:sectPr>
      </w:pPr>
    </w:p>
    <w:p w14:paraId="25547C73">
      <w:pPr>
        <w:spacing w:before="3"/>
      </w:pPr>
    </w:p>
    <w:p w14:paraId="13D6D739">
      <w:pPr>
        <w:spacing w:before="3"/>
      </w:pPr>
    </w:p>
    <w:p w14:paraId="5CAAFDF7">
      <w:pPr>
        <w:spacing w:before="3"/>
      </w:pPr>
    </w:p>
    <w:tbl>
      <w:tblPr>
        <w:tblStyle w:val="5"/>
        <w:tblW w:w="1402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8"/>
        <w:gridCol w:w="1180"/>
        <w:gridCol w:w="715"/>
        <w:gridCol w:w="667"/>
        <w:gridCol w:w="882"/>
        <w:gridCol w:w="1424"/>
        <w:gridCol w:w="1416"/>
        <w:gridCol w:w="1136"/>
        <w:gridCol w:w="646"/>
        <w:gridCol w:w="3953"/>
        <w:gridCol w:w="1155"/>
      </w:tblGrid>
      <w:tr w14:paraId="25290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848" w:type="dxa"/>
            <w:tcBorders>
              <w:right w:val="single" w:color="000000" w:sz="2" w:space="0"/>
            </w:tcBorders>
            <w:shd w:val="clear" w:color="auto" w:fill="BEBEBE"/>
            <w:vAlign w:val="top"/>
          </w:tcPr>
          <w:p w14:paraId="1DCD364C">
            <w:pPr>
              <w:spacing w:line="376" w:lineRule="auto"/>
              <w:rPr>
                <w:rFonts w:ascii="Arial"/>
                <w:sz w:val="21"/>
              </w:rPr>
            </w:pPr>
          </w:p>
          <w:p w14:paraId="35A30038">
            <w:pPr>
              <w:pStyle w:val="6"/>
              <w:spacing w:before="65" w:line="228" w:lineRule="auto"/>
              <w:ind w:left="216"/>
            </w:pPr>
            <w:r>
              <w:rPr>
                <w:b/>
                <w:bCs/>
                <w:spacing w:val="2"/>
              </w:rPr>
              <w:t>分区</w:t>
            </w:r>
          </w:p>
        </w:tc>
        <w:tc>
          <w:tcPr>
            <w:tcW w:w="1180" w:type="dxa"/>
            <w:tcBorders>
              <w:left w:val="single" w:color="000000" w:sz="2" w:space="0"/>
            </w:tcBorders>
            <w:shd w:val="clear" w:color="auto" w:fill="BEBEBE"/>
            <w:vAlign w:val="top"/>
          </w:tcPr>
          <w:p w14:paraId="78C67BEC">
            <w:pPr>
              <w:spacing w:line="243" w:lineRule="auto"/>
              <w:rPr>
                <w:rFonts w:ascii="Arial"/>
                <w:sz w:val="21"/>
              </w:rPr>
            </w:pPr>
          </w:p>
          <w:p w14:paraId="09765979">
            <w:pPr>
              <w:pStyle w:val="6"/>
              <w:spacing w:before="65" w:line="252" w:lineRule="auto"/>
              <w:ind w:left="418" w:right="381" w:hanging="39"/>
            </w:pPr>
            <w:r>
              <w:rPr>
                <w:b/>
                <w:bCs/>
                <w:spacing w:val="3"/>
              </w:rPr>
              <w:t>保护</w:t>
            </w:r>
            <w:r>
              <w:rPr>
                <w:b/>
                <w:bCs/>
                <w:spacing w:val="-17"/>
              </w:rPr>
              <w:t>目标</w:t>
            </w:r>
          </w:p>
        </w:tc>
        <w:tc>
          <w:tcPr>
            <w:tcW w:w="715" w:type="dxa"/>
            <w:shd w:val="clear" w:color="auto" w:fill="BEBEBE"/>
            <w:vAlign w:val="top"/>
          </w:tcPr>
          <w:p w14:paraId="388872E3">
            <w:pPr>
              <w:spacing w:line="376" w:lineRule="auto"/>
              <w:rPr>
                <w:rFonts w:ascii="Arial"/>
                <w:sz w:val="21"/>
              </w:rPr>
            </w:pPr>
          </w:p>
          <w:p w14:paraId="7E6C6EC1">
            <w:pPr>
              <w:pStyle w:val="6"/>
              <w:spacing w:before="65" w:line="229" w:lineRule="auto"/>
              <w:ind w:left="150"/>
            </w:pPr>
            <w:r>
              <w:rPr>
                <w:b/>
                <w:bCs/>
                <w:spacing w:val="2"/>
              </w:rPr>
              <w:t>功能</w:t>
            </w:r>
          </w:p>
        </w:tc>
        <w:tc>
          <w:tcPr>
            <w:tcW w:w="667" w:type="dxa"/>
            <w:shd w:val="clear" w:color="auto" w:fill="BEBEBE"/>
            <w:vAlign w:val="top"/>
          </w:tcPr>
          <w:p w14:paraId="775D2ABF">
            <w:pPr>
              <w:spacing w:line="376" w:lineRule="auto"/>
              <w:rPr>
                <w:rFonts w:ascii="Arial"/>
                <w:sz w:val="21"/>
              </w:rPr>
            </w:pPr>
          </w:p>
          <w:p w14:paraId="1BAA4C4C">
            <w:pPr>
              <w:pStyle w:val="6"/>
              <w:spacing w:before="65" w:line="228" w:lineRule="auto"/>
              <w:ind w:left="123"/>
            </w:pPr>
            <w:r>
              <w:rPr>
                <w:b/>
                <w:bCs/>
                <w:spacing w:val="3"/>
              </w:rPr>
              <w:t>规模</w:t>
            </w:r>
          </w:p>
        </w:tc>
        <w:tc>
          <w:tcPr>
            <w:tcW w:w="882" w:type="dxa"/>
            <w:shd w:val="clear" w:color="auto" w:fill="BEBEBE"/>
            <w:vAlign w:val="top"/>
          </w:tcPr>
          <w:p w14:paraId="54089264">
            <w:pPr>
              <w:pStyle w:val="6"/>
              <w:spacing w:before="170" w:line="228" w:lineRule="auto"/>
              <w:ind w:left="128"/>
            </w:pPr>
            <w:r>
              <w:rPr>
                <w:b/>
                <w:bCs/>
                <w:spacing w:val="4"/>
              </w:rPr>
              <w:t>建筑物</w:t>
            </w:r>
          </w:p>
          <w:p w14:paraId="6D63EB5B">
            <w:pPr>
              <w:pStyle w:val="6"/>
              <w:spacing w:before="26" w:line="228" w:lineRule="auto"/>
              <w:ind w:left="130"/>
            </w:pPr>
            <w:r>
              <w:rPr>
                <w:b/>
                <w:bCs/>
                <w:spacing w:val="3"/>
              </w:rPr>
              <w:t>结构及</w:t>
            </w:r>
          </w:p>
          <w:p w14:paraId="6B761622">
            <w:pPr>
              <w:pStyle w:val="6"/>
              <w:spacing w:before="23" w:line="228" w:lineRule="auto"/>
              <w:ind w:left="236"/>
            </w:pPr>
            <w:r>
              <w:rPr>
                <w:b/>
                <w:bCs/>
                <w:spacing w:val="1"/>
              </w:rPr>
              <w:t>高度</w:t>
            </w:r>
          </w:p>
        </w:tc>
        <w:tc>
          <w:tcPr>
            <w:tcW w:w="1424" w:type="dxa"/>
            <w:shd w:val="clear" w:color="auto" w:fill="BEBEBE"/>
            <w:vAlign w:val="top"/>
          </w:tcPr>
          <w:p w14:paraId="560BB8D1">
            <w:pPr>
              <w:spacing w:line="376" w:lineRule="auto"/>
              <w:rPr>
                <w:rFonts w:ascii="Arial"/>
                <w:sz w:val="21"/>
              </w:rPr>
            </w:pPr>
          </w:p>
          <w:p w14:paraId="78BCF424">
            <w:pPr>
              <w:pStyle w:val="6"/>
              <w:spacing w:before="65" w:line="228" w:lineRule="auto"/>
              <w:ind w:left="261"/>
            </w:pPr>
            <w:r>
              <w:rPr>
                <w:b/>
                <w:bCs/>
                <w:spacing w:val="5"/>
              </w:rPr>
              <w:t>方位</w:t>
            </w:r>
            <w:r>
              <w:rPr>
                <w:rFonts w:ascii="Times New Roman" w:hAnsi="Times New Roman" w:eastAsia="Times New Roman" w:cs="Times New Roman"/>
                <w:b/>
                <w:bCs/>
                <w:spacing w:val="5"/>
              </w:rPr>
              <w:t>/</w:t>
            </w:r>
            <w:r>
              <w:rPr>
                <w:b/>
                <w:bCs/>
                <w:spacing w:val="5"/>
              </w:rPr>
              <w:t>距离</w:t>
            </w:r>
          </w:p>
        </w:tc>
        <w:tc>
          <w:tcPr>
            <w:tcW w:w="1416" w:type="dxa"/>
            <w:tcBorders>
              <w:right w:val="single" w:color="000000" w:sz="2" w:space="0"/>
            </w:tcBorders>
            <w:shd w:val="clear" w:color="auto" w:fill="BEBEBE"/>
            <w:vAlign w:val="top"/>
          </w:tcPr>
          <w:p w14:paraId="4BE4173E">
            <w:pPr>
              <w:pStyle w:val="6"/>
              <w:spacing w:before="35" w:line="229" w:lineRule="auto"/>
              <w:ind w:left="293"/>
            </w:pPr>
            <w:r>
              <w:rPr>
                <w:b/>
                <w:bCs/>
                <w:spacing w:val="5"/>
              </w:rPr>
              <w:t>与变电站</w:t>
            </w:r>
          </w:p>
          <w:p w14:paraId="1A5AE296">
            <w:pPr>
              <w:pStyle w:val="6"/>
              <w:spacing w:before="25" w:line="228" w:lineRule="auto"/>
              <w:ind w:left="291"/>
            </w:pPr>
            <w:r>
              <w:rPr>
                <w:b/>
                <w:bCs/>
                <w:spacing w:val="5"/>
              </w:rPr>
              <w:t>或线路边</w:t>
            </w:r>
          </w:p>
          <w:p w14:paraId="0BD9E12C">
            <w:pPr>
              <w:pStyle w:val="6"/>
              <w:spacing w:before="24" w:line="228" w:lineRule="auto"/>
              <w:ind w:left="294"/>
            </w:pPr>
            <w:r>
              <w:rPr>
                <w:b/>
                <w:bCs/>
                <w:spacing w:val="5"/>
              </w:rPr>
              <w:t>导线投影</w:t>
            </w:r>
          </w:p>
          <w:p w14:paraId="01B2E90C">
            <w:pPr>
              <w:pStyle w:val="6"/>
              <w:spacing w:before="25" w:line="218" w:lineRule="auto"/>
              <w:ind w:left="291"/>
            </w:pPr>
            <w:r>
              <w:rPr>
                <w:b/>
                <w:bCs/>
                <w:spacing w:val="5"/>
              </w:rPr>
              <w:t>水平距离</w:t>
            </w:r>
          </w:p>
        </w:tc>
        <w:tc>
          <w:tcPr>
            <w:tcW w:w="1136" w:type="dxa"/>
            <w:tcBorders>
              <w:left w:val="single" w:color="000000" w:sz="2" w:space="0"/>
              <w:right w:val="single" w:color="000000" w:sz="2" w:space="0"/>
            </w:tcBorders>
            <w:shd w:val="clear" w:color="auto" w:fill="BEBEBE"/>
            <w:vAlign w:val="top"/>
          </w:tcPr>
          <w:p w14:paraId="29E12CEE">
            <w:pPr>
              <w:pStyle w:val="6"/>
              <w:spacing w:before="169" w:line="228" w:lineRule="auto"/>
              <w:ind w:left="156"/>
            </w:pPr>
            <w:r>
              <w:rPr>
                <w:b/>
                <w:bCs/>
                <w:spacing w:val="5"/>
              </w:rPr>
              <w:t>与线路中</w:t>
            </w:r>
          </w:p>
          <w:p w14:paraId="6141BF68">
            <w:pPr>
              <w:pStyle w:val="6"/>
              <w:spacing w:before="26" w:line="228" w:lineRule="auto"/>
              <w:ind w:left="159"/>
            </w:pPr>
            <w:r>
              <w:rPr>
                <w:b/>
                <w:bCs/>
                <w:spacing w:val="4"/>
              </w:rPr>
              <w:t>心最近直</w:t>
            </w:r>
          </w:p>
          <w:p w14:paraId="0779D652">
            <w:pPr>
              <w:pStyle w:val="6"/>
              <w:spacing w:before="24" w:line="228" w:lineRule="auto"/>
              <w:ind w:left="260"/>
            </w:pPr>
            <w:r>
              <w:rPr>
                <w:b/>
                <w:bCs/>
                <w:spacing w:val="4"/>
              </w:rPr>
              <w:t>线距离</w:t>
            </w:r>
          </w:p>
        </w:tc>
        <w:tc>
          <w:tcPr>
            <w:tcW w:w="646" w:type="dxa"/>
            <w:tcBorders>
              <w:left w:val="single" w:color="000000" w:sz="2" w:space="0"/>
            </w:tcBorders>
            <w:shd w:val="clear" w:color="auto" w:fill="BEBEBE"/>
            <w:vAlign w:val="top"/>
          </w:tcPr>
          <w:p w14:paraId="35E8B5A9">
            <w:pPr>
              <w:pStyle w:val="6"/>
              <w:spacing w:before="170" w:line="228" w:lineRule="auto"/>
              <w:ind w:left="123"/>
            </w:pPr>
            <w:r>
              <w:rPr>
                <w:b/>
                <w:bCs/>
                <w:spacing w:val="1"/>
              </w:rPr>
              <w:t>导线</w:t>
            </w:r>
          </w:p>
          <w:p w14:paraId="292BB951">
            <w:pPr>
              <w:pStyle w:val="6"/>
              <w:spacing w:before="26" w:line="229" w:lineRule="auto"/>
              <w:ind w:left="117"/>
            </w:pPr>
            <w:r>
              <w:rPr>
                <w:b/>
                <w:bCs/>
                <w:spacing w:val="4"/>
              </w:rPr>
              <w:t>对地</w:t>
            </w:r>
          </w:p>
          <w:p w14:paraId="6298860C">
            <w:pPr>
              <w:pStyle w:val="6"/>
              <w:spacing w:before="22" w:line="228" w:lineRule="auto"/>
              <w:ind w:left="123"/>
            </w:pPr>
            <w:r>
              <w:rPr>
                <w:b/>
                <w:bCs/>
                <w:spacing w:val="1"/>
              </w:rPr>
              <w:t>高度</w:t>
            </w:r>
          </w:p>
        </w:tc>
        <w:tc>
          <w:tcPr>
            <w:tcW w:w="3953" w:type="dxa"/>
            <w:shd w:val="clear" w:color="auto" w:fill="BEBEBE"/>
            <w:vAlign w:val="top"/>
          </w:tcPr>
          <w:p w14:paraId="5BC2D2AC">
            <w:pPr>
              <w:spacing w:line="376" w:lineRule="auto"/>
              <w:rPr>
                <w:rFonts w:ascii="Arial"/>
                <w:sz w:val="21"/>
              </w:rPr>
            </w:pPr>
          </w:p>
          <w:p w14:paraId="104320AF">
            <w:pPr>
              <w:pStyle w:val="6"/>
              <w:spacing w:before="65" w:line="228" w:lineRule="auto"/>
              <w:ind w:left="1561"/>
            </w:pPr>
            <w:r>
              <w:rPr>
                <w:b/>
                <w:bCs/>
                <w:spacing w:val="6"/>
              </w:rPr>
              <w:t>现状照片</w:t>
            </w:r>
          </w:p>
        </w:tc>
        <w:tc>
          <w:tcPr>
            <w:tcW w:w="1155" w:type="dxa"/>
            <w:shd w:val="clear" w:color="auto" w:fill="BEBEBE"/>
            <w:vAlign w:val="top"/>
          </w:tcPr>
          <w:p w14:paraId="28403A6A">
            <w:pPr>
              <w:spacing w:line="376" w:lineRule="auto"/>
              <w:rPr>
                <w:rFonts w:ascii="Arial"/>
                <w:sz w:val="21"/>
              </w:rPr>
            </w:pPr>
          </w:p>
          <w:p w14:paraId="087732E4">
            <w:pPr>
              <w:pStyle w:val="6"/>
              <w:spacing w:before="65" w:line="228" w:lineRule="auto"/>
              <w:ind w:left="161"/>
            </w:pPr>
            <w:r>
              <w:rPr>
                <w:b/>
                <w:bCs/>
                <w:spacing w:val="6"/>
              </w:rPr>
              <w:t>保护级别</w:t>
            </w:r>
          </w:p>
        </w:tc>
      </w:tr>
      <w:tr w14:paraId="60CFC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7" w:hRule="atLeast"/>
        </w:trPr>
        <w:tc>
          <w:tcPr>
            <w:tcW w:w="848" w:type="dxa"/>
            <w:vMerge w:val="restart"/>
            <w:tcBorders>
              <w:bottom w:val="nil"/>
              <w:right w:val="single" w:color="000000" w:sz="2" w:space="0"/>
            </w:tcBorders>
            <w:vAlign w:val="top"/>
          </w:tcPr>
          <w:p w14:paraId="5F0C4923">
            <w:pPr>
              <w:spacing w:line="255" w:lineRule="auto"/>
              <w:rPr>
                <w:rFonts w:ascii="Arial"/>
                <w:sz w:val="21"/>
              </w:rPr>
            </w:pPr>
          </w:p>
          <w:p w14:paraId="0D01BEDE">
            <w:pPr>
              <w:spacing w:line="255" w:lineRule="auto"/>
              <w:rPr>
                <w:rFonts w:ascii="Arial"/>
                <w:sz w:val="21"/>
              </w:rPr>
            </w:pPr>
          </w:p>
          <w:p w14:paraId="78B6BF72">
            <w:pPr>
              <w:spacing w:line="255" w:lineRule="auto"/>
              <w:rPr>
                <w:rFonts w:ascii="Arial"/>
                <w:sz w:val="21"/>
              </w:rPr>
            </w:pPr>
          </w:p>
          <w:p w14:paraId="35883553">
            <w:pPr>
              <w:spacing w:line="255" w:lineRule="auto"/>
              <w:rPr>
                <w:rFonts w:ascii="Arial"/>
                <w:sz w:val="21"/>
              </w:rPr>
            </w:pPr>
          </w:p>
          <w:p w14:paraId="4BF8C1F7">
            <w:pPr>
              <w:spacing w:line="255" w:lineRule="auto"/>
              <w:rPr>
                <w:rFonts w:ascii="Arial"/>
                <w:sz w:val="21"/>
              </w:rPr>
            </w:pPr>
          </w:p>
          <w:p w14:paraId="4CEC6CC4">
            <w:pPr>
              <w:spacing w:line="255" w:lineRule="auto"/>
              <w:rPr>
                <w:rFonts w:ascii="Arial"/>
                <w:sz w:val="21"/>
              </w:rPr>
            </w:pPr>
          </w:p>
          <w:p w14:paraId="0F2235D5">
            <w:pPr>
              <w:spacing w:line="255" w:lineRule="auto"/>
              <w:rPr>
                <w:rFonts w:ascii="Arial"/>
                <w:sz w:val="21"/>
              </w:rPr>
            </w:pPr>
          </w:p>
          <w:p w14:paraId="3FDCB4B8">
            <w:pPr>
              <w:spacing w:line="255" w:lineRule="auto"/>
              <w:rPr>
                <w:rFonts w:ascii="Arial"/>
                <w:sz w:val="21"/>
              </w:rPr>
            </w:pPr>
          </w:p>
          <w:p w14:paraId="710A8EC9">
            <w:pPr>
              <w:spacing w:line="256" w:lineRule="auto"/>
              <w:rPr>
                <w:rFonts w:ascii="Arial"/>
                <w:sz w:val="21"/>
              </w:rPr>
            </w:pPr>
          </w:p>
          <w:p w14:paraId="5425C87A">
            <w:pPr>
              <w:spacing w:line="256" w:lineRule="auto"/>
              <w:rPr>
                <w:rFonts w:ascii="Arial"/>
                <w:sz w:val="21"/>
              </w:rPr>
            </w:pPr>
          </w:p>
          <w:p w14:paraId="32AF027D">
            <w:pPr>
              <w:spacing w:line="256" w:lineRule="auto"/>
              <w:rPr>
                <w:rFonts w:ascii="Arial"/>
                <w:sz w:val="21"/>
              </w:rPr>
            </w:pPr>
          </w:p>
          <w:p w14:paraId="4F8812D3">
            <w:pPr>
              <w:spacing w:line="256" w:lineRule="auto"/>
              <w:rPr>
                <w:rFonts w:ascii="Arial"/>
                <w:sz w:val="21"/>
              </w:rPr>
            </w:pPr>
          </w:p>
          <w:p w14:paraId="60FB1D27">
            <w:pPr>
              <w:pStyle w:val="6"/>
              <w:spacing w:before="65" w:line="251" w:lineRule="auto"/>
              <w:ind w:left="135" w:right="138" w:firstLine="185"/>
            </w:pPr>
            <w:r>
              <w:rPr>
                <w:spacing w:val="-1"/>
              </w:rPr>
              <w:t>至</w:t>
            </w:r>
            <w:r>
              <w:t xml:space="preserve"> </w:t>
            </w:r>
            <w:r>
              <w:rPr>
                <w:rFonts w:ascii="Times New Roman" w:hAnsi="Times New Roman" w:eastAsia="Times New Roman" w:cs="Times New Roman"/>
                <w:spacing w:val="7"/>
              </w:rPr>
              <w:t>220</w:t>
            </w:r>
            <w:r>
              <w:rPr>
                <w:rFonts w:ascii="Times New Roman" w:hAnsi="Times New Roman" w:eastAsia="Times New Roman" w:cs="Times New Roman"/>
              </w:rPr>
              <w:t>kV</w:t>
            </w:r>
            <w:r>
              <w:rPr>
                <w:spacing w:val="45"/>
              </w:rPr>
              <w:t>芳华</w:t>
            </w:r>
          </w:p>
          <w:p w14:paraId="40448F38">
            <w:pPr>
              <w:pStyle w:val="6"/>
              <w:spacing w:line="229" w:lineRule="auto"/>
              <w:ind w:left="319"/>
            </w:pPr>
            <w:r>
              <w:t>变</w:t>
            </w:r>
          </w:p>
          <w:p w14:paraId="31EDCDF1">
            <w:pPr>
              <w:pStyle w:val="6"/>
              <w:spacing w:before="41" w:line="248" w:lineRule="auto"/>
              <w:ind w:left="123" w:right="111" w:firstLine="37"/>
            </w:pPr>
            <w:r>
              <w:rPr>
                <w:rFonts w:ascii="Times New Roman" w:hAnsi="Times New Roman" w:eastAsia="Times New Roman" w:cs="Times New Roman"/>
                <w:spacing w:val="-2"/>
              </w:rPr>
              <w:t>110kV</w:t>
            </w:r>
            <w:r>
              <w:rPr>
                <w:spacing w:val="19"/>
                <w:w w:val="116"/>
              </w:rPr>
              <w:t>线路</w:t>
            </w:r>
            <w:r>
              <w:rPr>
                <w:spacing w:val="-7"/>
              </w:rPr>
              <w:t>（</w:t>
            </w:r>
            <w:r>
              <w:rPr>
                <w:rFonts w:ascii="Times New Roman" w:hAnsi="Times New Roman" w:eastAsia="Times New Roman" w:cs="Times New Roman"/>
                <w:spacing w:val="-7"/>
              </w:rPr>
              <w:t>A</w:t>
            </w:r>
            <w:r>
              <w:rPr>
                <w:rFonts w:ascii="Times New Roman" w:hAnsi="Times New Roman" w:eastAsia="Times New Roman" w:cs="Times New Roman"/>
                <w:spacing w:val="31"/>
                <w:w w:val="101"/>
              </w:rPr>
              <w:t xml:space="preserve"> </w:t>
            </w:r>
            <w:r>
              <w:rPr>
                <w:spacing w:val="-7"/>
              </w:rPr>
              <w:t>回</w:t>
            </w:r>
            <w:r>
              <w:rPr>
                <w:spacing w:val="46"/>
              </w:rPr>
              <w:t>线）</w:t>
            </w:r>
          </w:p>
        </w:tc>
        <w:tc>
          <w:tcPr>
            <w:tcW w:w="1180" w:type="dxa"/>
            <w:tcBorders>
              <w:left w:val="single" w:color="000000" w:sz="2" w:space="0"/>
            </w:tcBorders>
            <w:vAlign w:val="top"/>
          </w:tcPr>
          <w:p w14:paraId="5CDF9540">
            <w:pPr>
              <w:spacing w:line="267" w:lineRule="auto"/>
              <w:rPr>
                <w:rFonts w:ascii="Arial"/>
                <w:sz w:val="21"/>
              </w:rPr>
            </w:pPr>
          </w:p>
          <w:p w14:paraId="4EA27B7D">
            <w:pPr>
              <w:spacing w:line="267" w:lineRule="auto"/>
              <w:rPr>
                <w:rFonts w:ascii="Arial"/>
                <w:sz w:val="21"/>
              </w:rPr>
            </w:pPr>
          </w:p>
          <w:p w14:paraId="19945162">
            <w:pPr>
              <w:spacing w:line="267" w:lineRule="auto"/>
              <w:rPr>
                <w:rFonts w:ascii="Arial"/>
                <w:sz w:val="21"/>
              </w:rPr>
            </w:pPr>
          </w:p>
          <w:p w14:paraId="17AA2887">
            <w:pPr>
              <w:spacing w:line="268" w:lineRule="auto"/>
              <w:rPr>
                <w:rFonts w:ascii="Arial"/>
                <w:sz w:val="21"/>
              </w:rPr>
            </w:pPr>
          </w:p>
          <w:p w14:paraId="7AF3FC7F">
            <w:pPr>
              <w:pStyle w:val="6"/>
              <w:spacing w:before="65" w:line="252" w:lineRule="auto"/>
              <w:ind w:left="276" w:right="170" w:hanging="107"/>
            </w:pPr>
            <w:r>
              <w:rPr>
                <w:spacing w:val="8"/>
              </w:rPr>
              <w:t>①菜地看</w:t>
            </w:r>
            <w:r>
              <w:rPr>
                <w:spacing w:val="6"/>
              </w:rPr>
              <w:t>护用房</w:t>
            </w:r>
          </w:p>
        </w:tc>
        <w:tc>
          <w:tcPr>
            <w:tcW w:w="715" w:type="dxa"/>
            <w:vAlign w:val="top"/>
          </w:tcPr>
          <w:p w14:paraId="5C9582EB">
            <w:pPr>
              <w:spacing w:line="330" w:lineRule="auto"/>
              <w:rPr>
                <w:rFonts w:ascii="Arial"/>
                <w:sz w:val="21"/>
              </w:rPr>
            </w:pPr>
          </w:p>
          <w:p w14:paraId="66494323">
            <w:pPr>
              <w:spacing w:line="331" w:lineRule="auto"/>
              <w:rPr>
                <w:rFonts w:ascii="Arial"/>
                <w:sz w:val="21"/>
              </w:rPr>
            </w:pPr>
          </w:p>
          <w:p w14:paraId="2CAB15D5">
            <w:pPr>
              <w:pStyle w:val="6"/>
              <w:spacing w:before="65" w:line="252" w:lineRule="auto"/>
              <w:ind w:left="145" w:right="148" w:firstLine="2"/>
              <w:jc w:val="both"/>
            </w:pPr>
            <w:r>
              <w:rPr>
                <w:spacing w:val="3"/>
              </w:rPr>
              <w:t>居住</w:t>
            </w:r>
            <w:r>
              <w:rPr>
                <w:spacing w:val="5"/>
              </w:rPr>
              <w:t>及农用物资仓</w:t>
            </w:r>
            <w:r>
              <w:rPr>
                <w:spacing w:val="35"/>
                <w:w w:val="136"/>
              </w:rPr>
              <w:t>库</w:t>
            </w:r>
          </w:p>
        </w:tc>
        <w:tc>
          <w:tcPr>
            <w:tcW w:w="667" w:type="dxa"/>
            <w:vAlign w:val="top"/>
          </w:tcPr>
          <w:p w14:paraId="7BC5632B">
            <w:pPr>
              <w:spacing w:line="267" w:lineRule="auto"/>
              <w:rPr>
                <w:rFonts w:ascii="Arial"/>
                <w:sz w:val="21"/>
              </w:rPr>
            </w:pPr>
          </w:p>
          <w:p w14:paraId="53866541">
            <w:pPr>
              <w:spacing w:line="267" w:lineRule="auto"/>
              <w:rPr>
                <w:rFonts w:ascii="Arial"/>
                <w:sz w:val="21"/>
              </w:rPr>
            </w:pPr>
          </w:p>
          <w:p w14:paraId="69A496C7">
            <w:pPr>
              <w:spacing w:line="267" w:lineRule="auto"/>
              <w:rPr>
                <w:rFonts w:ascii="Arial"/>
                <w:sz w:val="21"/>
              </w:rPr>
            </w:pPr>
          </w:p>
          <w:p w14:paraId="4513B01D">
            <w:pPr>
              <w:spacing w:line="268" w:lineRule="auto"/>
              <w:rPr>
                <w:rFonts w:ascii="Arial"/>
                <w:sz w:val="21"/>
              </w:rPr>
            </w:pPr>
          </w:p>
          <w:p w14:paraId="3045B37A">
            <w:pPr>
              <w:pStyle w:val="6"/>
              <w:spacing w:before="65" w:line="253" w:lineRule="auto"/>
              <w:ind w:left="145" w:right="150"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882" w:type="dxa"/>
            <w:vAlign w:val="top"/>
          </w:tcPr>
          <w:p w14:paraId="0E1C8094">
            <w:pPr>
              <w:spacing w:line="265" w:lineRule="auto"/>
              <w:rPr>
                <w:rFonts w:ascii="Arial"/>
                <w:sz w:val="21"/>
              </w:rPr>
            </w:pPr>
          </w:p>
          <w:p w14:paraId="169748EE">
            <w:pPr>
              <w:spacing w:line="265" w:lineRule="auto"/>
              <w:rPr>
                <w:rFonts w:ascii="Arial"/>
                <w:sz w:val="21"/>
              </w:rPr>
            </w:pPr>
          </w:p>
          <w:p w14:paraId="43F035CA">
            <w:pPr>
              <w:spacing w:line="266" w:lineRule="auto"/>
              <w:rPr>
                <w:rFonts w:ascii="Arial"/>
                <w:sz w:val="21"/>
              </w:rPr>
            </w:pPr>
          </w:p>
          <w:p w14:paraId="1CDA4152">
            <w:pPr>
              <w:pStyle w:val="6"/>
              <w:spacing w:before="65" w:line="252" w:lineRule="auto"/>
              <w:ind w:left="125" w:right="125"/>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24" w:type="dxa"/>
            <w:vAlign w:val="top"/>
          </w:tcPr>
          <w:p w14:paraId="188D0D0F">
            <w:pPr>
              <w:spacing w:line="311" w:lineRule="auto"/>
              <w:rPr>
                <w:rFonts w:ascii="Arial"/>
                <w:sz w:val="21"/>
              </w:rPr>
            </w:pPr>
          </w:p>
          <w:p w14:paraId="25AA8CA6">
            <w:pPr>
              <w:spacing w:line="311" w:lineRule="auto"/>
              <w:rPr>
                <w:rFonts w:ascii="Arial"/>
                <w:sz w:val="21"/>
              </w:rPr>
            </w:pPr>
          </w:p>
          <w:p w14:paraId="55E29BF6">
            <w:pPr>
              <w:spacing w:line="312" w:lineRule="auto"/>
              <w:rPr>
                <w:rFonts w:ascii="Arial"/>
                <w:sz w:val="21"/>
              </w:rPr>
            </w:pPr>
          </w:p>
          <w:p w14:paraId="12A8C975">
            <w:pPr>
              <w:pStyle w:val="6"/>
              <w:spacing w:before="65" w:line="251" w:lineRule="auto"/>
              <w:ind w:left="108" w:right="104" w:firstLine="82"/>
              <w:jc w:val="both"/>
              <w:rPr>
                <w:rFonts w:ascii="Times New Roman" w:hAnsi="Times New Roman" w:eastAsia="Times New Roman" w:cs="Times New Roman"/>
              </w:rPr>
            </w:pPr>
            <w:r>
              <w:rPr>
                <w:spacing w:val="7"/>
              </w:rPr>
              <w:t>单回线路北</w:t>
            </w:r>
            <w:r>
              <w:rPr>
                <w:spacing w:val="-3"/>
              </w:rPr>
              <w:t>侧，</w:t>
            </w:r>
            <w:r>
              <w:rPr>
                <w:rFonts w:ascii="Times New Roman" w:hAnsi="Times New Roman" w:eastAsia="Times New Roman" w:cs="Times New Roman"/>
                <w:spacing w:val="-3"/>
              </w:rPr>
              <w:t>AZ1-</w:t>
            </w:r>
            <w:r>
              <w:rPr>
                <w:rFonts w:ascii="Times New Roman" w:hAnsi="Times New Roman" w:eastAsia="Times New Roman" w:cs="Times New Roman"/>
                <w:spacing w:val="-22"/>
              </w:rPr>
              <w:t xml:space="preserve"> </w:t>
            </w:r>
            <w:r>
              <w:rPr>
                <w:rFonts w:ascii="Times New Roman" w:hAnsi="Times New Roman" w:eastAsia="Times New Roman" w:cs="Times New Roman"/>
                <w:spacing w:val="-3"/>
              </w:rPr>
              <w:t>1</w:t>
            </w:r>
            <w:r>
              <w:rPr>
                <w:rFonts w:ascii="Times New Roman" w:hAnsi="Times New Roman" w:eastAsia="Times New Roman" w:cs="Times New Roman"/>
                <w:spacing w:val="12"/>
                <w:w w:val="101"/>
              </w:rPr>
              <w:t xml:space="preserve"> </w:t>
            </w:r>
            <w:r>
              <w:rPr>
                <w:spacing w:val="-3"/>
              </w:rPr>
              <w:t>塔</w:t>
            </w:r>
            <w:r>
              <w:rPr>
                <w:spacing w:val="17"/>
              </w:rPr>
              <w:t>基西侧</w:t>
            </w:r>
            <w:r>
              <w:rPr>
                <w:spacing w:val="-34"/>
              </w:rPr>
              <w:t xml:space="preserve"> </w:t>
            </w:r>
            <w:r>
              <w:rPr>
                <w:rFonts w:ascii="Times New Roman" w:hAnsi="Times New Roman" w:eastAsia="Times New Roman" w:cs="Times New Roman"/>
                <w:spacing w:val="17"/>
              </w:rPr>
              <w:t>60m</w:t>
            </w:r>
          </w:p>
        </w:tc>
        <w:tc>
          <w:tcPr>
            <w:tcW w:w="1416" w:type="dxa"/>
            <w:tcBorders>
              <w:right w:val="single" w:color="000000" w:sz="2" w:space="0"/>
            </w:tcBorders>
            <w:vAlign w:val="top"/>
          </w:tcPr>
          <w:p w14:paraId="2B944114">
            <w:pPr>
              <w:spacing w:line="311" w:lineRule="auto"/>
              <w:rPr>
                <w:rFonts w:ascii="Arial"/>
                <w:sz w:val="21"/>
              </w:rPr>
            </w:pPr>
          </w:p>
          <w:p w14:paraId="16DD72CA">
            <w:pPr>
              <w:spacing w:line="311" w:lineRule="auto"/>
              <w:rPr>
                <w:rFonts w:ascii="Arial"/>
                <w:sz w:val="21"/>
              </w:rPr>
            </w:pPr>
          </w:p>
          <w:p w14:paraId="1BDE00F2">
            <w:pPr>
              <w:spacing w:line="312" w:lineRule="auto"/>
              <w:rPr>
                <w:rFonts w:ascii="Arial"/>
                <w:sz w:val="21"/>
              </w:rPr>
            </w:pPr>
          </w:p>
          <w:p w14:paraId="43FA98D3">
            <w:pPr>
              <w:pStyle w:val="6"/>
              <w:spacing w:before="65" w:line="251" w:lineRule="auto"/>
              <w:ind w:left="133" w:right="127" w:firstLine="28"/>
              <w:jc w:val="both"/>
              <w:rPr>
                <w:rFonts w:ascii="Times New Roman" w:hAnsi="Times New Roman" w:eastAsia="Times New Roman" w:cs="Times New Roman"/>
              </w:rPr>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r>
              <w:rPr>
                <w:spacing w:val="18"/>
              </w:rPr>
              <w:t>边导线地面</w:t>
            </w:r>
            <w:r>
              <w:rPr>
                <w:spacing w:val="5"/>
              </w:rPr>
              <w:t>投影北侧</w:t>
            </w:r>
            <w:r>
              <w:rPr>
                <w:spacing w:val="-39"/>
              </w:rPr>
              <w:t xml:space="preserve"> </w:t>
            </w:r>
            <w:r>
              <w:rPr>
                <w:rFonts w:ascii="Times New Roman" w:hAnsi="Times New Roman" w:eastAsia="Times New Roman" w:cs="Times New Roman"/>
                <w:spacing w:val="5"/>
              </w:rPr>
              <w:t>6m</w:t>
            </w:r>
          </w:p>
        </w:tc>
        <w:tc>
          <w:tcPr>
            <w:tcW w:w="1136" w:type="dxa"/>
            <w:tcBorders>
              <w:left w:val="single" w:color="000000" w:sz="2" w:space="0"/>
              <w:right w:val="single" w:color="000000" w:sz="2" w:space="0"/>
            </w:tcBorders>
            <w:vAlign w:val="top"/>
          </w:tcPr>
          <w:p w14:paraId="690A22F8">
            <w:pPr>
              <w:spacing w:line="249" w:lineRule="auto"/>
              <w:rPr>
                <w:rFonts w:ascii="Arial"/>
                <w:sz w:val="21"/>
              </w:rPr>
            </w:pPr>
          </w:p>
          <w:p w14:paraId="1B84EE2E">
            <w:pPr>
              <w:spacing w:line="249" w:lineRule="auto"/>
              <w:rPr>
                <w:rFonts w:ascii="Arial"/>
                <w:sz w:val="21"/>
              </w:rPr>
            </w:pPr>
          </w:p>
          <w:p w14:paraId="33845C1F">
            <w:pPr>
              <w:spacing w:line="249" w:lineRule="auto"/>
              <w:rPr>
                <w:rFonts w:ascii="Arial"/>
                <w:sz w:val="21"/>
              </w:rPr>
            </w:pPr>
          </w:p>
          <w:p w14:paraId="3AA2E886">
            <w:pPr>
              <w:spacing w:line="249" w:lineRule="auto"/>
              <w:rPr>
                <w:rFonts w:ascii="Arial"/>
                <w:sz w:val="21"/>
              </w:rPr>
            </w:pPr>
          </w:p>
          <w:p w14:paraId="192B2FA5">
            <w:pPr>
              <w:spacing w:line="250" w:lineRule="auto"/>
              <w:rPr>
                <w:rFonts w:ascii="Arial"/>
                <w:sz w:val="21"/>
              </w:rPr>
            </w:pPr>
          </w:p>
          <w:p w14:paraId="58B0BD45">
            <w:pPr>
              <w:spacing w:before="57"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11m</w:t>
            </w:r>
          </w:p>
        </w:tc>
        <w:tc>
          <w:tcPr>
            <w:tcW w:w="646" w:type="dxa"/>
            <w:tcBorders>
              <w:left w:val="single" w:color="000000" w:sz="2" w:space="0"/>
            </w:tcBorders>
            <w:vAlign w:val="top"/>
          </w:tcPr>
          <w:p w14:paraId="19ACE036">
            <w:pPr>
              <w:spacing w:line="249" w:lineRule="auto"/>
              <w:rPr>
                <w:rFonts w:ascii="Arial"/>
                <w:sz w:val="21"/>
              </w:rPr>
            </w:pPr>
          </w:p>
          <w:p w14:paraId="19A3C5D4">
            <w:pPr>
              <w:spacing w:line="250" w:lineRule="auto"/>
              <w:rPr>
                <w:rFonts w:ascii="Arial"/>
                <w:sz w:val="21"/>
              </w:rPr>
            </w:pPr>
          </w:p>
          <w:p w14:paraId="3A62149A">
            <w:pPr>
              <w:spacing w:line="250" w:lineRule="auto"/>
              <w:rPr>
                <w:rFonts w:ascii="Arial"/>
                <w:sz w:val="21"/>
              </w:rPr>
            </w:pPr>
          </w:p>
          <w:p w14:paraId="06724847">
            <w:pPr>
              <w:spacing w:line="250" w:lineRule="auto"/>
              <w:rPr>
                <w:rFonts w:ascii="Arial"/>
                <w:sz w:val="21"/>
              </w:rPr>
            </w:pPr>
          </w:p>
          <w:p w14:paraId="7F077360">
            <w:pPr>
              <w:spacing w:line="250" w:lineRule="auto"/>
              <w:rPr>
                <w:rFonts w:ascii="Arial"/>
                <w:sz w:val="21"/>
              </w:rPr>
            </w:pPr>
          </w:p>
          <w:p w14:paraId="1FAB0429">
            <w:pPr>
              <w:spacing w:before="57" w:line="192"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3953" w:type="dxa"/>
            <w:vAlign w:val="top"/>
          </w:tcPr>
          <w:p w14:paraId="5C9C9AFD">
            <w:pPr>
              <w:spacing w:line="2757" w:lineRule="exact"/>
              <w:ind w:firstLine="130"/>
            </w:pPr>
            <w:r>
              <w:rPr>
                <w:position w:val="-55"/>
              </w:rPr>
              <w:drawing>
                <wp:inline distT="0" distB="0" distL="0" distR="0">
                  <wp:extent cx="2340610" cy="1750695"/>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243"/>
                          <a:stretch>
                            <a:fillRect/>
                          </a:stretch>
                        </pic:blipFill>
                        <pic:spPr>
                          <a:xfrm>
                            <a:off x="0" y="0"/>
                            <a:ext cx="2340864" cy="1750695"/>
                          </a:xfrm>
                          <a:prstGeom prst="rect">
                            <a:avLst/>
                          </a:prstGeom>
                        </pic:spPr>
                      </pic:pic>
                    </a:graphicData>
                  </a:graphic>
                </wp:inline>
              </w:drawing>
            </w:r>
          </w:p>
        </w:tc>
        <w:tc>
          <w:tcPr>
            <w:tcW w:w="1155" w:type="dxa"/>
            <w:vMerge w:val="restart"/>
            <w:tcBorders>
              <w:bottom w:val="nil"/>
            </w:tcBorders>
            <w:vAlign w:val="top"/>
          </w:tcPr>
          <w:p w14:paraId="0B3C2061">
            <w:pPr>
              <w:spacing w:line="249" w:lineRule="auto"/>
              <w:rPr>
                <w:rFonts w:ascii="Arial"/>
                <w:sz w:val="21"/>
              </w:rPr>
            </w:pPr>
          </w:p>
          <w:p w14:paraId="4EFEB8A5">
            <w:pPr>
              <w:spacing w:line="249" w:lineRule="auto"/>
              <w:rPr>
                <w:rFonts w:ascii="Arial"/>
                <w:sz w:val="21"/>
              </w:rPr>
            </w:pPr>
          </w:p>
          <w:p w14:paraId="25A47E22">
            <w:pPr>
              <w:spacing w:line="249" w:lineRule="auto"/>
              <w:rPr>
                <w:rFonts w:ascii="Arial"/>
                <w:sz w:val="21"/>
              </w:rPr>
            </w:pPr>
          </w:p>
          <w:p w14:paraId="32878110">
            <w:pPr>
              <w:pStyle w:val="6"/>
              <w:spacing w:before="65" w:line="251" w:lineRule="auto"/>
              <w:ind w:left="165" w:right="152" w:hanging="6"/>
              <w:jc w:val="both"/>
            </w:pPr>
            <w:r>
              <w:rPr>
                <w:spacing w:val="8"/>
              </w:rPr>
              <w:t>①电磁环</w:t>
            </w:r>
            <w:r>
              <w:rPr>
                <w:spacing w:val="40"/>
              </w:rPr>
              <w:t>境满足</w:t>
            </w:r>
            <w:r>
              <w:rPr>
                <w:spacing w:val="6"/>
              </w:rPr>
              <w:t>《电磁环</w:t>
            </w:r>
          </w:p>
          <w:p w14:paraId="6EEB05D7">
            <w:pPr>
              <w:pStyle w:val="6"/>
              <w:spacing w:line="251" w:lineRule="auto"/>
              <w:ind w:left="371" w:right="154" w:hanging="210"/>
            </w:pPr>
            <w:r>
              <w:rPr>
                <w:spacing w:val="7"/>
              </w:rPr>
              <w:t>境控制限</w:t>
            </w:r>
            <w:r>
              <w:t>值》</w:t>
            </w:r>
          </w:p>
          <w:p w14:paraId="656927A1">
            <w:pPr>
              <w:pStyle w:val="6"/>
              <w:spacing w:line="251" w:lineRule="auto"/>
              <w:ind w:left="127" w:right="110" w:firstLine="2"/>
              <w:jc w:val="both"/>
            </w:pPr>
            <w:r>
              <w:rPr>
                <w:spacing w:val="5"/>
              </w:rPr>
              <w:t>（</w:t>
            </w:r>
            <w:r>
              <w:rPr>
                <w:rFonts w:ascii="Times New Roman" w:hAnsi="Times New Roman" w:eastAsia="Times New Roman" w:cs="Times New Roman"/>
              </w:rPr>
              <w:t>GB</w:t>
            </w:r>
            <w:r>
              <w:rPr>
                <w:rFonts w:ascii="Times New Roman" w:hAnsi="Times New Roman" w:eastAsia="Times New Roman" w:cs="Times New Roman"/>
                <w:spacing w:val="5"/>
              </w:rPr>
              <w:t>8702</w:t>
            </w:r>
            <w:r>
              <w:rPr>
                <w:rFonts w:ascii="Times New Roman" w:hAnsi="Times New Roman" w:eastAsia="Times New Roman" w:cs="Times New Roman"/>
              </w:rPr>
              <w:t xml:space="preserve"> </w:t>
            </w:r>
            <w:r>
              <w:rPr>
                <w:rFonts w:ascii="Times New Roman" w:hAnsi="Times New Roman" w:eastAsia="Times New Roman" w:cs="Times New Roman"/>
                <w:spacing w:val="4"/>
              </w:rPr>
              <w:t>-2014</w:t>
            </w:r>
            <w:r>
              <w:rPr>
                <w:spacing w:val="4"/>
              </w:rPr>
              <w:t>）中</w:t>
            </w:r>
            <w:r>
              <w:rPr>
                <w:spacing w:val="15"/>
              </w:rPr>
              <w:t>公众暴露</w:t>
            </w:r>
          </w:p>
          <w:p w14:paraId="4CB79097">
            <w:pPr>
              <w:pStyle w:val="6"/>
              <w:spacing w:line="227" w:lineRule="auto"/>
              <w:ind w:left="159"/>
            </w:pPr>
            <w:r>
              <w:rPr>
                <w:spacing w:val="8"/>
              </w:rPr>
              <w:t>控制限值</w:t>
            </w:r>
          </w:p>
          <w:p w14:paraId="7D43A43C">
            <w:pPr>
              <w:spacing w:before="45" w:line="199"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4000V/m</w:t>
            </w:r>
          </w:p>
          <w:p w14:paraId="021F4138">
            <w:pPr>
              <w:pStyle w:val="6"/>
              <w:spacing w:before="31" w:line="221" w:lineRule="auto"/>
              <w:ind w:left="173"/>
              <w:rPr>
                <w:rFonts w:ascii="Times New Roman" w:hAnsi="Times New Roman" w:eastAsia="Times New Roman" w:cs="Times New Roman"/>
              </w:rPr>
            </w:pPr>
            <w:r>
              <w:t>和</w:t>
            </w:r>
            <w:r>
              <w:rPr>
                <w:spacing w:val="-23"/>
              </w:rPr>
              <w:t xml:space="preserve"> </w:t>
            </w:r>
            <w:r>
              <w:rPr>
                <w:rFonts w:ascii="Times New Roman" w:hAnsi="Times New Roman" w:eastAsia="Times New Roman" w:cs="Times New Roman"/>
              </w:rPr>
              <w:t>100μT</w:t>
            </w:r>
          </w:p>
          <w:p w14:paraId="31602F6D">
            <w:pPr>
              <w:pStyle w:val="6"/>
              <w:spacing w:before="34" w:line="228" w:lineRule="auto"/>
              <w:ind w:left="177"/>
            </w:pPr>
            <w:r>
              <w:rPr>
                <w:spacing w:val="3"/>
              </w:rPr>
              <w:t>的限值要</w:t>
            </w:r>
          </w:p>
          <w:p w14:paraId="54389E83">
            <w:pPr>
              <w:pStyle w:val="6"/>
              <w:spacing w:before="25" w:line="229" w:lineRule="auto"/>
              <w:ind w:left="373"/>
            </w:pPr>
            <w:r>
              <w:rPr>
                <w:spacing w:val="-1"/>
              </w:rPr>
              <w:t>求；</w:t>
            </w:r>
          </w:p>
          <w:p w14:paraId="329DDE45">
            <w:pPr>
              <w:pStyle w:val="6"/>
              <w:spacing w:before="26" w:line="225" w:lineRule="auto"/>
              <w:ind w:left="158"/>
            </w:pPr>
            <w:r>
              <w:rPr>
                <w:spacing w:val="8"/>
              </w:rPr>
              <w:t>②声环境</w:t>
            </w:r>
          </w:p>
          <w:p w14:paraId="736B5CBE">
            <w:pPr>
              <w:pStyle w:val="6"/>
              <w:spacing w:before="26" w:line="228" w:lineRule="auto"/>
              <w:ind w:left="160"/>
            </w:pPr>
            <w:r>
              <w:rPr>
                <w:spacing w:val="7"/>
              </w:rPr>
              <w:t>满足《声</w:t>
            </w:r>
          </w:p>
          <w:p w14:paraId="069A7EFA">
            <w:pPr>
              <w:pStyle w:val="6"/>
              <w:spacing w:before="28" w:line="251" w:lineRule="auto"/>
              <w:ind w:left="266" w:right="154" w:hanging="106"/>
            </w:pPr>
            <w:r>
              <w:rPr>
                <w:spacing w:val="7"/>
              </w:rPr>
              <w:t>环境质量</w:t>
            </w:r>
            <w:r>
              <w:rPr>
                <w:spacing w:val="2"/>
              </w:rPr>
              <w:t>标准》</w:t>
            </w:r>
          </w:p>
          <w:p w14:paraId="097081A6">
            <w:pPr>
              <w:pStyle w:val="6"/>
              <w:spacing w:before="1"/>
              <w:ind w:left="129"/>
              <w:rPr>
                <w:rFonts w:ascii="Times New Roman" w:hAnsi="Times New Roman" w:eastAsia="Times New Roman" w:cs="Times New Roman"/>
              </w:rPr>
            </w:pPr>
            <w:r>
              <w:rPr>
                <w:spacing w:val="5"/>
              </w:rPr>
              <w:t>（</w:t>
            </w:r>
            <w:r>
              <w:rPr>
                <w:rFonts w:ascii="Times New Roman" w:hAnsi="Times New Roman" w:eastAsia="Times New Roman" w:cs="Times New Roman"/>
              </w:rPr>
              <w:t>GB</w:t>
            </w:r>
            <w:r>
              <w:rPr>
                <w:rFonts w:ascii="Times New Roman" w:hAnsi="Times New Roman" w:eastAsia="Times New Roman" w:cs="Times New Roman"/>
                <w:spacing w:val="5"/>
              </w:rPr>
              <w:t>3096</w:t>
            </w:r>
          </w:p>
          <w:p w14:paraId="22F442A8">
            <w:pPr>
              <w:pStyle w:val="6"/>
              <w:spacing w:before="12" w:line="251" w:lineRule="auto"/>
              <w:ind w:left="160" w:right="154" w:firstLine="19"/>
            </w:pPr>
            <w:r>
              <w:rPr>
                <w:rFonts w:ascii="Times New Roman" w:hAnsi="Times New Roman" w:eastAsia="Times New Roman" w:cs="Times New Roman"/>
                <w:spacing w:val="3"/>
              </w:rPr>
              <w:t>-2008</w:t>
            </w:r>
            <w:r>
              <w:rPr>
                <w:spacing w:val="3"/>
              </w:rPr>
              <w:t>）</w:t>
            </w:r>
            <w:r>
              <w:rPr>
                <w:rFonts w:ascii="Times New Roman" w:hAnsi="Times New Roman" w:eastAsia="Times New Roman" w:cs="Times New Roman"/>
                <w:spacing w:val="3"/>
              </w:rPr>
              <w:t>1</w:t>
            </w:r>
            <w:r>
              <w:rPr>
                <w:spacing w:val="7"/>
              </w:rPr>
              <w:t>类标准要</w:t>
            </w:r>
          </w:p>
          <w:p w14:paraId="06BD0C3E">
            <w:pPr>
              <w:pStyle w:val="6"/>
              <w:spacing w:line="228" w:lineRule="auto"/>
              <w:ind w:left="162"/>
            </w:pPr>
            <w:r>
              <w:rPr>
                <w:spacing w:val="31"/>
              </w:rPr>
              <w:t>求</w:t>
            </w:r>
            <w:r>
              <w:rPr>
                <w:spacing w:val="-18"/>
              </w:rPr>
              <w:t>，（</w:t>
            </w:r>
            <w:r>
              <w:rPr>
                <w:spacing w:val="31"/>
              </w:rPr>
              <w:t>即</w:t>
            </w:r>
          </w:p>
          <w:p w14:paraId="688CA3CE">
            <w:pPr>
              <w:pStyle w:val="6"/>
              <w:spacing w:before="26" w:line="231" w:lineRule="auto"/>
              <w:ind w:left="265"/>
            </w:pPr>
            <w:r>
              <w:rPr>
                <w:spacing w:val="7"/>
              </w:rPr>
              <w:t>昼间≤</w:t>
            </w:r>
          </w:p>
          <w:p w14:paraId="4629AF83">
            <w:pPr>
              <w:pStyle w:val="6"/>
              <w:spacing w:before="21"/>
              <w:jc w:val="right"/>
            </w:pPr>
            <w:r>
              <w:rPr>
                <w:rFonts w:ascii="Times New Roman" w:hAnsi="Times New Roman" w:eastAsia="Times New Roman" w:cs="Times New Roman"/>
                <w:spacing w:val="-19"/>
              </w:rPr>
              <w:t>55dB</w:t>
            </w:r>
            <w:r>
              <w:rPr>
                <w:spacing w:val="-19"/>
              </w:rPr>
              <w:t>（</w:t>
            </w:r>
            <w:r>
              <w:rPr>
                <w:rFonts w:ascii="Times New Roman" w:hAnsi="Times New Roman" w:eastAsia="Times New Roman" w:cs="Times New Roman"/>
                <w:spacing w:val="-19"/>
              </w:rPr>
              <w:t>A</w:t>
            </w:r>
            <w:r>
              <w:rPr>
                <w:spacing w:val="-19"/>
              </w:rPr>
              <w:t>）、</w:t>
            </w:r>
          </w:p>
          <w:p w14:paraId="3B85073E">
            <w:pPr>
              <w:pStyle w:val="6"/>
              <w:spacing w:before="13" w:line="228" w:lineRule="auto"/>
              <w:ind w:left="269"/>
            </w:pPr>
            <w:r>
              <w:rPr>
                <w:spacing w:val="5"/>
              </w:rPr>
              <w:t>夜间≤</w:t>
            </w:r>
          </w:p>
          <w:p w14:paraId="35C24FCF">
            <w:pPr>
              <w:pStyle w:val="6"/>
              <w:spacing w:before="25" w:line="230" w:lineRule="auto"/>
              <w:jc w:val="right"/>
            </w:pPr>
            <w:r>
              <w:rPr>
                <w:rFonts w:ascii="Times New Roman" w:hAnsi="Times New Roman" w:eastAsia="Times New Roman" w:cs="Times New Roman"/>
                <w:spacing w:val="-17"/>
              </w:rPr>
              <w:t>45dB</w:t>
            </w:r>
            <w:r>
              <w:rPr>
                <w:spacing w:val="-17"/>
              </w:rPr>
              <w:t>（</w:t>
            </w:r>
            <w:r>
              <w:rPr>
                <w:rFonts w:ascii="Times New Roman" w:hAnsi="Times New Roman" w:eastAsia="Times New Roman" w:cs="Times New Roman"/>
                <w:spacing w:val="-17"/>
              </w:rPr>
              <w:t>A</w:t>
            </w:r>
            <w:r>
              <w:rPr>
                <w:spacing w:val="-45"/>
                <w:w w:val="82"/>
              </w:rPr>
              <w:t>））；</w:t>
            </w:r>
          </w:p>
        </w:tc>
      </w:tr>
      <w:tr w14:paraId="5047E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3" w:hRule="atLeast"/>
        </w:trPr>
        <w:tc>
          <w:tcPr>
            <w:tcW w:w="848" w:type="dxa"/>
            <w:vMerge w:val="continue"/>
            <w:tcBorders>
              <w:top w:val="nil"/>
              <w:bottom w:val="nil"/>
              <w:right w:val="single" w:color="000000" w:sz="2" w:space="0"/>
            </w:tcBorders>
            <w:vAlign w:val="top"/>
          </w:tcPr>
          <w:p w14:paraId="120D912E">
            <w:pPr>
              <w:rPr>
                <w:rFonts w:ascii="Arial"/>
                <w:sz w:val="21"/>
              </w:rPr>
            </w:pPr>
          </w:p>
        </w:tc>
        <w:tc>
          <w:tcPr>
            <w:tcW w:w="1180" w:type="dxa"/>
            <w:tcBorders>
              <w:left w:val="single" w:color="000000" w:sz="2" w:space="0"/>
            </w:tcBorders>
            <w:vAlign w:val="top"/>
          </w:tcPr>
          <w:p w14:paraId="71357024">
            <w:pPr>
              <w:spacing w:line="259" w:lineRule="auto"/>
              <w:rPr>
                <w:rFonts w:ascii="Arial"/>
                <w:sz w:val="21"/>
              </w:rPr>
            </w:pPr>
          </w:p>
          <w:p w14:paraId="6F3DAEFC">
            <w:pPr>
              <w:spacing w:line="259" w:lineRule="auto"/>
              <w:rPr>
                <w:rFonts w:ascii="Arial"/>
                <w:sz w:val="21"/>
              </w:rPr>
            </w:pPr>
          </w:p>
          <w:p w14:paraId="03BC019F">
            <w:pPr>
              <w:spacing w:line="260" w:lineRule="auto"/>
              <w:rPr>
                <w:rFonts w:ascii="Arial"/>
                <w:sz w:val="21"/>
              </w:rPr>
            </w:pPr>
          </w:p>
          <w:p w14:paraId="251BC262">
            <w:pPr>
              <w:pStyle w:val="6"/>
              <w:spacing w:before="65" w:line="225" w:lineRule="auto"/>
              <w:ind w:left="168"/>
            </w:pPr>
            <w:r>
              <w:rPr>
                <w:spacing w:val="8"/>
              </w:rPr>
              <w:t>②菜地看</w:t>
            </w:r>
          </w:p>
          <w:p w14:paraId="4847B61A">
            <w:pPr>
              <w:pStyle w:val="6"/>
              <w:spacing w:before="27" w:line="228" w:lineRule="auto"/>
              <w:ind w:left="108"/>
            </w:pPr>
            <w:r>
              <w:rPr>
                <w:spacing w:val="-9"/>
              </w:rPr>
              <w:t>护用房（卢</w:t>
            </w:r>
          </w:p>
          <w:p w14:paraId="0C97D4D6">
            <w:pPr>
              <w:pStyle w:val="6"/>
              <w:spacing w:before="26" w:line="228" w:lineRule="auto"/>
              <w:ind w:left="169"/>
            </w:pPr>
            <w:r>
              <w:rPr>
                <w:spacing w:val="7"/>
              </w:rPr>
              <w:t>旗堡居民</w:t>
            </w:r>
          </w:p>
          <w:p w14:paraId="76D73B2B">
            <w:pPr>
              <w:pStyle w:val="6"/>
              <w:spacing w:before="25" w:line="228" w:lineRule="auto"/>
              <w:ind w:left="380"/>
            </w:pPr>
            <w:r>
              <w:t>楼）</w:t>
            </w:r>
          </w:p>
        </w:tc>
        <w:tc>
          <w:tcPr>
            <w:tcW w:w="715" w:type="dxa"/>
            <w:vAlign w:val="top"/>
          </w:tcPr>
          <w:p w14:paraId="6614D9F9">
            <w:pPr>
              <w:spacing w:line="321" w:lineRule="auto"/>
              <w:rPr>
                <w:rFonts w:ascii="Arial"/>
                <w:sz w:val="21"/>
              </w:rPr>
            </w:pPr>
          </w:p>
          <w:p w14:paraId="682F06CD">
            <w:pPr>
              <w:spacing w:line="321" w:lineRule="auto"/>
              <w:rPr>
                <w:rFonts w:ascii="Arial"/>
                <w:sz w:val="21"/>
              </w:rPr>
            </w:pPr>
          </w:p>
          <w:p w14:paraId="0FB4DFED">
            <w:pPr>
              <w:pStyle w:val="6"/>
              <w:spacing w:before="65" w:line="252" w:lineRule="auto"/>
              <w:ind w:left="145" w:right="148" w:firstLine="2"/>
              <w:jc w:val="both"/>
            </w:pPr>
            <w:r>
              <w:rPr>
                <w:spacing w:val="3"/>
              </w:rPr>
              <w:t>居住</w:t>
            </w:r>
            <w:r>
              <w:rPr>
                <w:spacing w:val="5"/>
              </w:rPr>
              <w:t>及农用物资仓</w:t>
            </w:r>
            <w:r>
              <w:rPr>
                <w:spacing w:val="35"/>
                <w:w w:val="136"/>
              </w:rPr>
              <w:t>库</w:t>
            </w:r>
          </w:p>
        </w:tc>
        <w:tc>
          <w:tcPr>
            <w:tcW w:w="667" w:type="dxa"/>
            <w:vAlign w:val="top"/>
          </w:tcPr>
          <w:p w14:paraId="49AC10E2">
            <w:pPr>
              <w:spacing w:line="262" w:lineRule="auto"/>
              <w:rPr>
                <w:rFonts w:ascii="Arial"/>
                <w:sz w:val="21"/>
              </w:rPr>
            </w:pPr>
          </w:p>
          <w:p w14:paraId="39413D4B">
            <w:pPr>
              <w:spacing w:line="262" w:lineRule="auto"/>
              <w:rPr>
                <w:rFonts w:ascii="Arial"/>
                <w:sz w:val="21"/>
              </w:rPr>
            </w:pPr>
          </w:p>
          <w:p w14:paraId="33370277">
            <w:pPr>
              <w:spacing w:line="263" w:lineRule="auto"/>
              <w:rPr>
                <w:rFonts w:ascii="Arial"/>
                <w:sz w:val="21"/>
              </w:rPr>
            </w:pPr>
          </w:p>
          <w:p w14:paraId="584C817A">
            <w:pPr>
              <w:spacing w:line="263" w:lineRule="auto"/>
              <w:rPr>
                <w:rFonts w:ascii="Arial"/>
                <w:sz w:val="21"/>
              </w:rPr>
            </w:pPr>
          </w:p>
          <w:p w14:paraId="785A20D8">
            <w:pPr>
              <w:pStyle w:val="6"/>
              <w:spacing w:before="65" w:line="253" w:lineRule="auto"/>
              <w:ind w:left="145" w:right="150"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882" w:type="dxa"/>
            <w:vAlign w:val="top"/>
          </w:tcPr>
          <w:p w14:paraId="08EBB580">
            <w:pPr>
              <w:spacing w:line="258" w:lineRule="auto"/>
              <w:rPr>
                <w:rFonts w:ascii="Arial"/>
                <w:sz w:val="21"/>
              </w:rPr>
            </w:pPr>
          </w:p>
          <w:p w14:paraId="7558FC43">
            <w:pPr>
              <w:spacing w:line="259" w:lineRule="auto"/>
              <w:rPr>
                <w:rFonts w:ascii="Arial"/>
                <w:sz w:val="21"/>
              </w:rPr>
            </w:pPr>
          </w:p>
          <w:p w14:paraId="2A0C9750">
            <w:pPr>
              <w:spacing w:line="259" w:lineRule="auto"/>
              <w:rPr>
                <w:rFonts w:ascii="Arial"/>
                <w:sz w:val="21"/>
              </w:rPr>
            </w:pPr>
          </w:p>
          <w:p w14:paraId="738406BF">
            <w:pPr>
              <w:pStyle w:val="6"/>
              <w:spacing w:before="65" w:line="253" w:lineRule="auto"/>
              <w:ind w:left="125" w:right="125"/>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24" w:type="dxa"/>
            <w:vAlign w:val="top"/>
          </w:tcPr>
          <w:p w14:paraId="4F480096">
            <w:pPr>
              <w:spacing w:line="264" w:lineRule="auto"/>
              <w:rPr>
                <w:rFonts w:ascii="Arial"/>
                <w:sz w:val="21"/>
              </w:rPr>
            </w:pPr>
          </w:p>
          <w:p w14:paraId="4B450750">
            <w:pPr>
              <w:spacing w:line="265" w:lineRule="auto"/>
              <w:rPr>
                <w:rFonts w:ascii="Arial"/>
                <w:sz w:val="21"/>
              </w:rPr>
            </w:pPr>
          </w:p>
          <w:p w14:paraId="28A6CECD">
            <w:pPr>
              <w:spacing w:line="265" w:lineRule="auto"/>
              <w:rPr>
                <w:rFonts w:ascii="Arial"/>
                <w:sz w:val="21"/>
              </w:rPr>
            </w:pPr>
          </w:p>
          <w:p w14:paraId="4533A242">
            <w:pPr>
              <w:pStyle w:val="6"/>
              <w:spacing w:before="65" w:line="228" w:lineRule="auto"/>
              <w:ind w:left="190"/>
            </w:pPr>
            <w:r>
              <w:rPr>
                <w:spacing w:val="7"/>
              </w:rPr>
              <w:t>单回线路西</w:t>
            </w:r>
          </w:p>
          <w:p w14:paraId="78C0E8D7">
            <w:pPr>
              <w:pStyle w:val="6"/>
              <w:spacing w:before="24" w:line="228" w:lineRule="auto"/>
              <w:ind w:left="197"/>
              <w:rPr>
                <w:rFonts w:ascii="Times New Roman" w:hAnsi="Times New Roman" w:eastAsia="Times New Roman" w:cs="Times New Roman"/>
              </w:rPr>
            </w:pPr>
            <w:r>
              <w:rPr>
                <w:spacing w:val="8"/>
              </w:rPr>
              <w:t>侧，</w:t>
            </w:r>
            <w:r>
              <w:rPr>
                <w:rFonts w:ascii="Times New Roman" w:hAnsi="Times New Roman" w:eastAsia="Times New Roman" w:cs="Times New Roman"/>
              </w:rPr>
              <w:t>AZ</w:t>
            </w:r>
            <w:r>
              <w:rPr>
                <w:rFonts w:ascii="Times New Roman" w:hAnsi="Times New Roman" w:eastAsia="Times New Roman" w:cs="Times New Roman"/>
                <w:spacing w:val="8"/>
              </w:rPr>
              <w:t>1+1</w:t>
            </w:r>
          </w:p>
          <w:p w14:paraId="576BF57F">
            <w:pPr>
              <w:pStyle w:val="6"/>
              <w:spacing w:before="24" w:line="228" w:lineRule="auto"/>
              <w:ind w:left="189"/>
            </w:pPr>
            <w:r>
              <w:rPr>
                <w:spacing w:val="8"/>
              </w:rPr>
              <w:t>塔基西南侧</w:t>
            </w:r>
          </w:p>
          <w:p w14:paraId="4AACB94E">
            <w:pPr>
              <w:spacing w:before="48" w:line="195" w:lineRule="auto"/>
              <w:ind w:left="52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62m</w:t>
            </w:r>
          </w:p>
        </w:tc>
        <w:tc>
          <w:tcPr>
            <w:tcW w:w="1416" w:type="dxa"/>
            <w:tcBorders>
              <w:right w:val="single" w:color="000000" w:sz="2" w:space="0"/>
            </w:tcBorders>
            <w:vAlign w:val="top"/>
          </w:tcPr>
          <w:p w14:paraId="6E1176E6">
            <w:pPr>
              <w:spacing w:line="265" w:lineRule="auto"/>
              <w:rPr>
                <w:rFonts w:ascii="Arial"/>
                <w:sz w:val="21"/>
              </w:rPr>
            </w:pPr>
          </w:p>
          <w:p w14:paraId="2DF459D2">
            <w:pPr>
              <w:spacing w:line="265" w:lineRule="auto"/>
              <w:rPr>
                <w:rFonts w:ascii="Arial"/>
                <w:sz w:val="21"/>
              </w:rPr>
            </w:pPr>
          </w:p>
          <w:p w14:paraId="35D43664">
            <w:pPr>
              <w:spacing w:line="265" w:lineRule="auto"/>
              <w:rPr>
                <w:rFonts w:ascii="Arial"/>
                <w:sz w:val="21"/>
              </w:rPr>
            </w:pPr>
          </w:p>
          <w:p w14:paraId="6CDF9D40">
            <w:pPr>
              <w:pStyle w:val="6"/>
              <w:spacing w:before="65" w:line="228" w:lineRule="auto"/>
              <w:ind w:left="161"/>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p>
          <w:p w14:paraId="58ED2351">
            <w:pPr>
              <w:pStyle w:val="6"/>
              <w:spacing w:before="24" w:line="228" w:lineRule="auto"/>
              <w:ind w:left="185"/>
            </w:pPr>
            <w:r>
              <w:rPr>
                <w:spacing w:val="8"/>
              </w:rPr>
              <w:t>边导线地面</w:t>
            </w:r>
          </w:p>
          <w:p w14:paraId="7F3C194D">
            <w:pPr>
              <w:pStyle w:val="6"/>
              <w:spacing w:before="23" w:line="228" w:lineRule="auto"/>
              <w:ind w:left="188"/>
            </w:pPr>
            <w:r>
              <w:rPr>
                <w:spacing w:val="7"/>
              </w:rPr>
              <w:t>投影西南侧</w:t>
            </w:r>
          </w:p>
          <w:p w14:paraId="645C78E3">
            <w:pPr>
              <w:spacing w:before="51" w:line="192" w:lineRule="auto"/>
              <w:ind w:left="57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5m</w:t>
            </w:r>
          </w:p>
        </w:tc>
        <w:tc>
          <w:tcPr>
            <w:tcW w:w="1136" w:type="dxa"/>
            <w:tcBorders>
              <w:left w:val="single" w:color="000000" w:sz="2" w:space="0"/>
              <w:right w:val="single" w:color="000000" w:sz="2" w:space="0"/>
            </w:tcBorders>
            <w:vAlign w:val="top"/>
          </w:tcPr>
          <w:p w14:paraId="246416E0">
            <w:pPr>
              <w:spacing w:line="245" w:lineRule="auto"/>
              <w:rPr>
                <w:rFonts w:ascii="Arial"/>
                <w:sz w:val="21"/>
              </w:rPr>
            </w:pPr>
          </w:p>
          <w:p w14:paraId="75AD6A34">
            <w:pPr>
              <w:spacing w:line="246" w:lineRule="auto"/>
              <w:rPr>
                <w:rFonts w:ascii="Arial"/>
                <w:sz w:val="21"/>
              </w:rPr>
            </w:pPr>
          </w:p>
          <w:p w14:paraId="379C6FA7">
            <w:pPr>
              <w:spacing w:line="246" w:lineRule="auto"/>
              <w:rPr>
                <w:rFonts w:ascii="Arial"/>
                <w:sz w:val="21"/>
              </w:rPr>
            </w:pPr>
          </w:p>
          <w:p w14:paraId="1D413D00">
            <w:pPr>
              <w:spacing w:line="246" w:lineRule="auto"/>
              <w:rPr>
                <w:rFonts w:ascii="Arial"/>
                <w:sz w:val="21"/>
              </w:rPr>
            </w:pPr>
          </w:p>
          <w:p w14:paraId="1A910C3E">
            <w:pPr>
              <w:spacing w:line="246" w:lineRule="auto"/>
              <w:rPr>
                <w:rFonts w:ascii="Arial"/>
                <w:sz w:val="21"/>
              </w:rPr>
            </w:pPr>
          </w:p>
          <w:p w14:paraId="64C48CCE">
            <w:pPr>
              <w:spacing w:before="57" w:line="195" w:lineRule="auto"/>
              <w:ind w:left="40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10m</w:t>
            </w:r>
          </w:p>
        </w:tc>
        <w:tc>
          <w:tcPr>
            <w:tcW w:w="646" w:type="dxa"/>
            <w:tcBorders>
              <w:left w:val="single" w:color="000000" w:sz="2" w:space="0"/>
            </w:tcBorders>
            <w:vAlign w:val="top"/>
          </w:tcPr>
          <w:p w14:paraId="40DA43EF">
            <w:pPr>
              <w:spacing w:line="246" w:lineRule="auto"/>
              <w:rPr>
                <w:rFonts w:ascii="Arial"/>
                <w:sz w:val="21"/>
              </w:rPr>
            </w:pPr>
          </w:p>
          <w:p w14:paraId="0ED5749A">
            <w:pPr>
              <w:spacing w:line="246" w:lineRule="auto"/>
              <w:rPr>
                <w:rFonts w:ascii="Arial"/>
                <w:sz w:val="21"/>
              </w:rPr>
            </w:pPr>
          </w:p>
          <w:p w14:paraId="5A05B9C3">
            <w:pPr>
              <w:spacing w:line="246" w:lineRule="auto"/>
              <w:rPr>
                <w:rFonts w:ascii="Arial"/>
                <w:sz w:val="21"/>
              </w:rPr>
            </w:pPr>
          </w:p>
          <w:p w14:paraId="451210FD">
            <w:pPr>
              <w:spacing w:line="247" w:lineRule="auto"/>
              <w:rPr>
                <w:rFonts w:ascii="Arial"/>
                <w:sz w:val="21"/>
              </w:rPr>
            </w:pPr>
          </w:p>
          <w:p w14:paraId="3F684A73">
            <w:pPr>
              <w:spacing w:line="247" w:lineRule="auto"/>
              <w:rPr>
                <w:rFonts w:ascii="Arial"/>
                <w:sz w:val="21"/>
              </w:rPr>
            </w:pPr>
          </w:p>
          <w:p w14:paraId="21DB0B99">
            <w:pPr>
              <w:spacing w:before="57" w:line="192"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3953" w:type="dxa"/>
            <w:vAlign w:val="top"/>
          </w:tcPr>
          <w:p w14:paraId="561473E9">
            <w:pPr>
              <w:spacing w:before="1" w:line="2711" w:lineRule="exact"/>
              <w:ind w:firstLine="159"/>
            </w:pPr>
            <w:r>
              <w:rPr>
                <w:position w:val="-54"/>
              </w:rPr>
              <w:drawing>
                <wp:inline distT="0" distB="0" distL="0" distR="0">
                  <wp:extent cx="2302510" cy="1721485"/>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244"/>
                          <a:stretch>
                            <a:fillRect/>
                          </a:stretch>
                        </pic:blipFill>
                        <pic:spPr>
                          <a:xfrm>
                            <a:off x="0" y="0"/>
                            <a:ext cx="2302764" cy="1721611"/>
                          </a:xfrm>
                          <a:prstGeom prst="rect">
                            <a:avLst/>
                          </a:prstGeom>
                        </pic:spPr>
                      </pic:pic>
                    </a:graphicData>
                  </a:graphic>
                </wp:inline>
              </w:drawing>
            </w:r>
          </w:p>
        </w:tc>
        <w:tc>
          <w:tcPr>
            <w:tcW w:w="1155" w:type="dxa"/>
            <w:vMerge w:val="continue"/>
            <w:tcBorders>
              <w:top w:val="nil"/>
              <w:bottom w:val="nil"/>
            </w:tcBorders>
            <w:vAlign w:val="top"/>
          </w:tcPr>
          <w:p w14:paraId="5283830B">
            <w:pPr>
              <w:rPr>
                <w:rFonts w:ascii="Arial"/>
                <w:sz w:val="21"/>
              </w:rPr>
            </w:pPr>
          </w:p>
        </w:tc>
      </w:tr>
      <w:tr w14:paraId="2FB86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2" w:hRule="atLeast"/>
        </w:trPr>
        <w:tc>
          <w:tcPr>
            <w:tcW w:w="848" w:type="dxa"/>
            <w:vMerge w:val="continue"/>
            <w:tcBorders>
              <w:top w:val="nil"/>
              <w:right w:val="single" w:color="000000" w:sz="2" w:space="0"/>
            </w:tcBorders>
            <w:vAlign w:val="top"/>
          </w:tcPr>
          <w:p w14:paraId="1965C5A8">
            <w:pPr>
              <w:rPr>
                <w:rFonts w:ascii="Arial"/>
                <w:sz w:val="21"/>
              </w:rPr>
            </w:pPr>
          </w:p>
        </w:tc>
        <w:tc>
          <w:tcPr>
            <w:tcW w:w="1180" w:type="dxa"/>
            <w:tcBorders>
              <w:left w:val="single" w:color="000000" w:sz="2" w:space="0"/>
            </w:tcBorders>
            <w:vAlign w:val="top"/>
          </w:tcPr>
          <w:p w14:paraId="710F3EAA">
            <w:pPr>
              <w:spacing w:line="277" w:lineRule="auto"/>
              <w:rPr>
                <w:rFonts w:ascii="Arial"/>
                <w:sz w:val="21"/>
              </w:rPr>
            </w:pPr>
          </w:p>
          <w:p w14:paraId="5E9CD868">
            <w:pPr>
              <w:spacing w:line="277" w:lineRule="auto"/>
              <w:rPr>
                <w:rFonts w:ascii="Arial"/>
                <w:sz w:val="21"/>
              </w:rPr>
            </w:pPr>
          </w:p>
          <w:p w14:paraId="528DED22">
            <w:pPr>
              <w:spacing w:line="278" w:lineRule="auto"/>
              <w:rPr>
                <w:rFonts w:ascii="Arial"/>
                <w:sz w:val="21"/>
              </w:rPr>
            </w:pPr>
          </w:p>
          <w:p w14:paraId="387FB752">
            <w:pPr>
              <w:spacing w:line="278" w:lineRule="auto"/>
              <w:rPr>
                <w:rFonts w:ascii="Arial"/>
                <w:sz w:val="21"/>
              </w:rPr>
            </w:pPr>
          </w:p>
          <w:p w14:paraId="152080AE">
            <w:pPr>
              <w:pStyle w:val="6"/>
              <w:spacing w:before="65" w:line="252" w:lineRule="auto"/>
              <w:ind w:left="276" w:right="170" w:hanging="108"/>
            </w:pPr>
            <w:r>
              <w:rPr>
                <w:spacing w:val="8"/>
              </w:rPr>
              <w:t>③菜地看</w:t>
            </w:r>
            <w:r>
              <w:rPr>
                <w:spacing w:val="6"/>
              </w:rPr>
              <w:t>护用房</w:t>
            </w:r>
          </w:p>
        </w:tc>
        <w:tc>
          <w:tcPr>
            <w:tcW w:w="715" w:type="dxa"/>
            <w:vAlign w:val="top"/>
          </w:tcPr>
          <w:p w14:paraId="436C4C25">
            <w:pPr>
              <w:spacing w:line="351" w:lineRule="auto"/>
              <w:rPr>
                <w:rFonts w:ascii="Arial"/>
                <w:sz w:val="21"/>
              </w:rPr>
            </w:pPr>
          </w:p>
          <w:p w14:paraId="32D83799">
            <w:pPr>
              <w:spacing w:line="351" w:lineRule="auto"/>
              <w:rPr>
                <w:rFonts w:ascii="Arial"/>
                <w:sz w:val="21"/>
              </w:rPr>
            </w:pPr>
          </w:p>
          <w:p w14:paraId="40A90CBE">
            <w:pPr>
              <w:pStyle w:val="6"/>
              <w:spacing w:before="65" w:line="252" w:lineRule="auto"/>
              <w:ind w:left="145" w:right="148" w:firstLine="2"/>
              <w:jc w:val="both"/>
            </w:pPr>
            <w:r>
              <w:rPr>
                <w:spacing w:val="3"/>
              </w:rPr>
              <w:t>居住</w:t>
            </w:r>
            <w:r>
              <w:rPr>
                <w:spacing w:val="5"/>
              </w:rPr>
              <w:t>及农用物资仓</w:t>
            </w:r>
            <w:r>
              <w:rPr>
                <w:spacing w:val="35"/>
                <w:w w:val="136"/>
              </w:rPr>
              <w:t>库</w:t>
            </w:r>
          </w:p>
        </w:tc>
        <w:tc>
          <w:tcPr>
            <w:tcW w:w="667" w:type="dxa"/>
            <w:vAlign w:val="top"/>
          </w:tcPr>
          <w:p w14:paraId="5416B0D6">
            <w:pPr>
              <w:spacing w:line="277" w:lineRule="auto"/>
              <w:rPr>
                <w:rFonts w:ascii="Arial"/>
                <w:sz w:val="21"/>
              </w:rPr>
            </w:pPr>
          </w:p>
          <w:p w14:paraId="3B495921">
            <w:pPr>
              <w:spacing w:line="277" w:lineRule="auto"/>
              <w:rPr>
                <w:rFonts w:ascii="Arial"/>
                <w:sz w:val="21"/>
              </w:rPr>
            </w:pPr>
          </w:p>
          <w:p w14:paraId="5EC6B25D">
            <w:pPr>
              <w:spacing w:line="278" w:lineRule="auto"/>
              <w:rPr>
                <w:rFonts w:ascii="Arial"/>
                <w:sz w:val="21"/>
              </w:rPr>
            </w:pPr>
          </w:p>
          <w:p w14:paraId="774401D0">
            <w:pPr>
              <w:spacing w:line="278" w:lineRule="auto"/>
              <w:rPr>
                <w:rFonts w:ascii="Arial"/>
                <w:sz w:val="21"/>
              </w:rPr>
            </w:pPr>
          </w:p>
          <w:p w14:paraId="316FE0C4">
            <w:pPr>
              <w:pStyle w:val="6"/>
              <w:spacing w:before="65" w:line="253" w:lineRule="auto"/>
              <w:ind w:left="145" w:right="150"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882" w:type="dxa"/>
            <w:vAlign w:val="top"/>
          </w:tcPr>
          <w:p w14:paraId="5C140C45">
            <w:pPr>
              <w:spacing w:line="279" w:lineRule="auto"/>
              <w:rPr>
                <w:rFonts w:ascii="Arial"/>
                <w:sz w:val="21"/>
              </w:rPr>
            </w:pPr>
          </w:p>
          <w:p w14:paraId="3DC9AF95">
            <w:pPr>
              <w:spacing w:line="279" w:lineRule="auto"/>
              <w:rPr>
                <w:rFonts w:ascii="Arial"/>
                <w:sz w:val="21"/>
              </w:rPr>
            </w:pPr>
          </w:p>
          <w:p w14:paraId="4D964D26">
            <w:pPr>
              <w:spacing w:line="279" w:lineRule="auto"/>
              <w:rPr>
                <w:rFonts w:ascii="Arial"/>
                <w:sz w:val="21"/>
              </w:rPr>
            </w:pPr>
          </w:p>
          <w:p w14:paraId="00D0E680">
            <w:pPr>
              <w:pStyle w:val="6"/>
              <w:spacing w:before="65" w:line="252" w:lineRule="auto"/>
              <w:ind w:left="125" w:right="125"/>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24" w:type="dxa"/>
            <w:vAlign w:val="top"/>
          </w:tcPr>
          <w:p w14:paraId="3AFD82A3">
            <w:pPr>
              <w:spacing w:line="431" w:lineRule="auto"/>
              <w:rPr>
                <w:rFonts w:ascii="Arial"/>
                <w:sz w:val="21"/>
              </w:rPr>
            </w:pPr>
          </w:p>
          <w:p w14:paraId="09388250">
            <w:pPr>
              <w:pStyle w:val="6"/>
              <w:spacing w:before="65" w:line="252" w:lineRule="auto"/>
              <w:ind w:left="103" w:right="104" w:firstLine="6"/>
              <w:jc w:val="both"/>
            </w:pPr>
            <w:r>
              <w:rPr>
                <w:spacing w:val="6"/>
              </w:rPr>
              <w:t>位于本项目</w:t>
            </w:r>
            <w:r>
              <w:rPr>
                <w:spacing w:val="-40"/>
              </w:rPr>
              <w:t xml:space="preserve"> </w:t>
            </w:r>
            <w:r>
              <w:rPr>
                <w:rFonts w:ascii="Times New Roman" w:hAnsi="Times New Roman" w:eastAsia="Times New Roman" w:cs="Times New Roman"/>
                <w:spacing w:val="6"/>
              </w:rPr>
              <w:t>2</w:t>
            </w:r>
            <w:r>
              <w:rPr>
                <w:spacing w:val="11"/>
              </w:rPr>
              <w:t>回</w:t>
            </w:r>
            <w:r>
              <w:rPr>
                <w:spacing w:val="-21"/>
              </w:rPr>
              <w:t xml:space="preserve"> </w:t>
            </w:r>
            <w:r>
              <w:rPr>
                <w:rFonts w:ascii="Times New Roman" w:hAnsi="Times New Roman" w:eastAsia="Times New Roman" w:cs="Times New Roman"/>
                <w:spacing w:val="11"/>
              </w:rPr>
              <w:t>110</w:t>
            </w:r>
            <w:r>
              <w:rPr>
                <w:rFonts w:ascii="Times New Roman" w:hAnsi="Times New Roman" w:eastAsia="Times New Roman" w:cs="Times New Roman"/>
              </w:rPr>
              <w:t>kV</w:t>
            </w:r>
            <w:r>
              <w:rPr>
                <w:rFonts w:ascii="Times New Roman" w:hAnsi="Times New Roman" w:eastAsia="Times New Roman" w:cs="Times New Roman"/>
                <w:spacing w:val="16"/>
              </w:rPr>
              <w:t xml:space="preserve"> </w:t>
            </w:r>
            <w:r>
              <w:rPr>
                <w:spacing w:val="11"/>
              </w:rPr>
              <w:t>线</w:t>
            </w:r>
            <w:r>
              <w:t>路中间，位于</w:t>
            </w:r>
            <w:r>
              <w:rPr>
                <w:rFonts w:ascii="Times New Roman" w:hAnsi="Times New Roman" w:eastAsia="Times New Roman" w:cs="Times New Roman"/>
                <w:spacing w:val="-4"/>
              </w:rPr>
              <w:t>A</w:t>
            </w:r>
            <w:r>
              <w:rPr>
                <w:rFonts w:ascii="Times New Roman" w:hAnsi="Times New Roman" w:eastAsia="Times New Roman" w:cs="Times New Roman"/>
                <w:spacing w:val="34"/>
              </w:rPr>
              <w:t xml:space="preserve"> </w:t>
            </w:r>
            <w:r>
              <w:rPr>
                <w:spacing w:val="-4"/>
              </w:rPr>
              <w:t>回线路（单</w:t>
            </w:r>
            <w:r>
              <w:t>回）东南侧，</w:t>
            </w:r>
            <w:r>
              <w:rPr>
                <w:spacing w:val="4"/>
              </w:rPr>
              <w:t xml:space="preserve"> </w:t>
            </w:r>
            <w:r>
              <w:rPr>
                <w:rFonts w:ascii="Times New Roman" w:hAnsi="Times New Roman" w:eastAsia="Times New Roman" w:cs="Times New Roman"/>
              </w:rPr>
              <w:t>AZ</w:t>
            </w:r>
            <w:r>
              <w:rPr>
                <w:rFonts w:ascii="Times New Roman" w:hAnsi="Times New Roman" w:eastAsia="Times New Roman" w:cs="Times New Roman"/>
                <w:spacing w:val="23"/>
              </w:rPr>
              <w:t xml:space="preserve">5 </w:t>
            </w:r>
            <w:r>
              <w:rPr>
                <w:spacing w:val="23"/>
              </w:rPr>
              <w:t>塔基西</w:t>
            </w:r>
            <w:r>
              <w:rPr>
                <w:spacing w:val="5"/>
              </w:rPr>
              <w:t>南侧</w:t>
            </w:r>
            <w:r>
              <w:rPr>
                <w:spacing w:val="-20"/>
              </w:rPr>
              <w:t xml:space="preserve"> </w:t>
            </w:r>
            <w:r>
              <w:rPr>
                <w:rFonts w:ascii="Times New Roman" w:hAnsi="Times New Roman" w:eastAsia="Times New Roman" w:cs="Times New Roman"/>
                <w:spacing w:val="5"/>
              </w:rPr>
              <w:t>140m</w:t>
            </w:r>
            <w:r>
              <w:rPr>
                <w:spacing w:val="5"/>
              </w:rPr>
              <w:t>；</w:t>
            </w:r>
          </w:p>
        </w:tc>
        <w:tc>
          <w:tcPr>
            <w:tcW w:w="1416" w:type="dxa"/>
            <w:tcBorders>
              <w:right w:val="single" w:color="000000" w:sz="2" w:space="0"/>
            </w:tcBorders>
            <w:vAlign w:val="top"/>
          </w:tcPr>
          <w:p w14:paraId="0E705A96">
            <w:pPr>
              <w:spacing w:line="433" w:lineRule="auto"/>
              <w:rPr>
                <w:rFonts w:ascii="Arial"/>
                <w:sz w:val="21"/>
              </w:rPr>
            </w:pPr>
          </w:p>
          <w:p w14:paraId="1DE92DE0">
            <w:pPr>
              <w:pStyle w:val="6"/>
              <w:spacing w:before="65" w:line="228" w:lineRule="auto"/>
              <w:ind w:left="161"/>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p>
          <w:p w14:paraId="66CBAB97">
            <w:pPr>
              <w:pStyle w:val="6"/>
              <w:spacing w:before="24" w:line="228" w:lineRule="auto"/>
              <w:ind w:left="185"/>
            </w:pPr>
            <w:r>
              <w:rPr>
                <w:spacing w:val="8"/>
              </w:rPr>
              <w:t>边导线地面</w:t>
            </w:r>
          </w:p>
          <w:p w14:paraId="04973BE0">
            <w:pPr>
              <w:pStyle w:val="6"/>
              <w:spacing w:before="25" w:line="228" w:lineRule="auto"/>
              <w:ind w:left="291"/>
            </w:pPr>
            <w:r>
              <w:rPr>
                <w:spacing w:val="7"/>
              </w:rPr>
              <w:t>投影东侧</w:t>
            </w:r>
          </w:p>
          <w:p w14:paraId="4C4BF7F7">
            <w:pPr>
              <w:pStyle w:val="6"/>
              <w:spacing w:before="24" w:line="230" w:lineRule="auto"/>
              <w:ind w:left="125"/>
            </w:pPr>
            <w:r>
              <w:rPr>
                <w:rFonts w:ascii="Times New Roman" w:hAnsi="Times New Roman" w:eastAsia="Times New Roman" w:cs="Times New Roman"/>
                <w:spacing w:val="-5"/>
              </w:rPr>
              <w:t>12m</w:t>
            </w:r>
            <w:r>
              <w:rPr>
                <w:spacing w:val="-5"/>
              </w:rPr>
              <w:t>；与</w:t>
            </w:r>
            <w:r>
              <w:rPr>
                <w:spacing w:val="-42"/>
              </w:rPr>
              <w:t xml:space="preserve"> </w:t>
            </w:r>
            <w:r>
              <w:rPr>
                <w:rFonts w:ascii="Times New Roman" w:hAnsi="Times New Roman" w:eastAsia="Times New Roman" w:cs="Times New Roman"/>
                <w:spacing w:val="-5"/>
              </w:rPr>
              <w:t>B</w:t>
            </w:r>
            <w:r>
              <w:rPr>
                <w:rFonts w:ascii="Times New Roman" w:hAnsi="Times New Roman" w:eastAsia="Times New Roman" w:cs="Times New Roman"/>
                <w:spacing w:val="32"/>
              </w:rPr>
              <w:t xml:space="preserve"> </w:t>
            </w:r>
            <w:r>
              <w:rPr>
                <w:spacing w:val="-5"/>
              </w:rPr>
              <w:t>回</w:t>
            </w:r>
          </w:p>
          <w:p w14:paraId="38AFD6B1">
            <w:pPr>
              <w:pStyle w:val="6"/>
              <w:spacing w:before="25" w:line="228" w:lineRule="auto"/>
              <w:ind w:left="188"/>
            </w:pPr>
            <w:r>
              <w:rPr>
                <w:spacing w:val="7"/>
              </w:rPr>
              <w:t>线边导线投</w:t>
            </w:r>
          </w:p>
          <w:p w14:paraId="3BB00CAE">
            <w:pPr>
              <w:pStyle w:val="6"/>
              <w:spacing w:before="23" w:line="228" w:lineRule="auto"/>
              <w:ind w:left="185"/>
            </w:pPr>
            <w:r>
              <w:rPr>
                <w:spacing w:val="8"/>
              </w:rPr>
              <w:t>影最近距离</w:t>
            </w:r>
          </w:p>
          <w:p w14:paraId="5CB52EA4">
            <w:pPr>
              <w:pStyle w:val="6"/>
              <w:spacing w:before="27" w:line="230" w:lineRule="auto"/>
              <w:ind w:left="418"/>
            </w:pPr>
            <w:r>
              <w:rPr>
                <w:rFonts w:ascii="Times New Roman" w:hAnsi="Times New Roman" w:eastAsia="Times New Roman" w:cs="Times New Roman"/>
                <w:spacing w:val="2"/>
              </w:rPr>
              <w:t>98m</w:t>
            </w:r>
            <w:r>
              <w:rPr>
                <w:spacing w:val="2"/>
              </w:rPr>
              <w:t>；</w:t>
            </w:r>
          </w:p>
        </w:tc>
        <w:tc>
          <w:tcPr>
            <w:tcW w:w="1136" w:type="dxa"/>
            <w:tcBorders>
              <w:left w:val="single" w:color="000000" w:sz="2" w:space="0"/>
              <w:right w:val="single" w:color="000000" w:sz="2" w:space="0"/>
            </w:tcBorders>
            <w:vAlign w:val="top"/>
          </w:tcPr>
          <w:p w14:paraId="4DE79097">
            <w:pPr>
              <w:spacing w:line="257" w:lineRule="auto"/>
              <w:rPr>
                <w:rFonts w:ascii="Arial"/>
                <w:sz w:val="21"/>
              </w:rPr>
            </w:pPr>
          </w:p>
          <w:p w14:paraId="2588A2C9">
            <w:pPr>
              <w:spacing w:line="257" w:lineRule="auto"/>
              <w:rPr>
                <w:rFonts w:ascii="Arial"/>
                <w:sz w:val="21"/>
              </w:rPr>
            </w:pPr>
          </w:p>
          <w:p w14:paraId="2945736D">
            <w:pPr>
              <w:spacing w:line="257" w:lineRule="auto"/>
              <w:rPr>
                <w:rFonts w:ascii="Arial"/>
                <w:sz w:val="21"/>
              </w:rPr>
            </w:pPr>
          </w:p>
          <w:p w14:paraId="303DF069">
            <w:pPr>
              <w:spacing w:line="258" w:lineRule="auto"/>
              <w:rPr>
                <w:rFonts w:ascii="Arial"/>
                <w:sz w:val="21"/>
              </w:rPr>
            </w:pPr>
          </w:p>
          <w:p w14:paraId="50C71377">
            <w:pPr>
              <w:spacing w:line="258" w:lineRule="auto"/>
              <w:rPr>
                <w:rFonts w:ascii="Arial"/>
                <w:sz w:val="21"/>
              </w:rPr>
            </w:pPr>
          </w:p>
          <w:p w14:paraId="2BDADF59">
            <w:pPr>
              <w:spacing w:before="57" w:line="195" w:lineRule="auto"/>
              <w:ind w:left="40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17m</w:t>
            </w:r>
          </w:p>
        </w:tc>
        <w:tc>
          <w:tcPr>
            <w:tcW w:w="646" w:type="dxa"/>
            <w:tcBorders>
              <w:left w:val="single" w:color="000000" w:sz="2" w:space="0"/>
            </w:tcBorders>
            <w:vAlign w:val="top"/>
          </w:tcPr>
          <w:p w14:paraId="66B879A1">
            <w:pPr>
              <w:spacing w:line="257" w:lineRule="auto"/>
              <w:rPr>
                <w:rFonts w:ascii="Arial"/>
                <w:sz w:val="21"/>
              </w:rPr>
            </w:pPr>
          </w:p>
          <w:p w14:paraId="79EA4D92">
            <w:pPr>
              <w:spacing w:line="258" w:lineRule="auto"/>
              <w:rPr>
                <w:rFonts w:ascii="Arial"/>
                <w:sz w:val="21"/>
              </w:rPr>
            </w:pPr>
          </w:p>
          <w:p w14:paraId="7FC12FA8">
            <w:pPr>
              <w:spacing w:line="258" w:lineRule="auto"/>
              <w:rPr>
                <w:rFonts w:ascii="Arial"/>
                <w:sz w:val="21"/>
              </w:rPr>
            </w:pPr>
          </w:p>
          <w:p w14:paraId="0A67026F">
            <w:pPr>
              <w:spacing w:line="258" w:lineRule="auto"/>
              <w:rPr>
                <w:rFonts w:ascii="Arial"/>
                <w:sz w:val="21"/>
              </w:rPr>
            </w:pPr>
          </w:p>
          <w:p w14:paraId="4ABAA8ED">
            <w:pPr>
              <w:spacing w:line="258" w:lineRule="auto"/>
              <w:rPr>
                <w:rFonts w:ascii="Arial"/>
                <w:sz w:val="21"/>
              </w:rPr>
            </w:pPr>
          </w:p>
          <w:p w14:paraId="5829B215">
            <w:pPr>
              <w:spacing w:before="58" w:line="192"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3953" w:type="dxa"/>
            <w:vAlign w:val="top"/>
          </w:tcPr>
          <w:p w14:paraId="6FDFD5AA">
            <w:pPr>
              <w:spacing w:before="4" w:line="2828" w:lineRule="exact"/>
              <w:ind w:firstLine="104"/>
            </w:pPr>
            <w:r>
              <w:rPr>
                <w:position w:val="-56"/>
              </w:rPr>
              <w:drawing>
                <wp:inline distT="0" distB="0" distL="0" distR="0">
                  <wp:extent cx="2395220" cy="1795145"/>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245"/>
                          <a:stretch>
                            <a:fillRect/>
                          </a:stretch>
                        </pic:blipFill>
                        <pic:spPr>
                          <a:xfrm>
                            <a:off x="0" y="0"/>
                            <a:ext cx="2395728" cy="1795272"/>
                          </a:xfrm>
                          <a:prstGeom prst="rect">
                            <a:avLst/>
                          </a:prstGeom>
                        </pic:spPr>
                      </pic:pic>
                    </a:graphicData>
                  </a:graphic>
                </wp:inline>
              </w:drawing>
            </w:r>
          </w:p>
        </w:tc>
        <w:tc>
          <w:tcPr>
            <w:tcW w:w="1155" w:type="dxa"/>
            <w:vMerge w:val="continue"/>
            <w:tcBorders>
              <w:top w:val="nil"/>
              <w:bottom w:val="single" w:color="000000" w:sz="2" w:space="0"/>
            </w:tcBorders>
            <w:vAlign w:val="top"/>
          </w:tcPr>
          <w:p w14:paraId="06EA2EB3">
            <w:pPr>
              <w:rPr>
                <w:rFonts w:ascii="Arial"/>
                <w:sz w:val="21"/>
              </w:rPr>
            </w:pPr>
          </w:p>
        </w:tc>
      </w:tr>
    </w:tbl>
    <w:p w14:paraId="4BA0D0DF">
      <w:pPr>
        <w:rPr>
          <w:rFonts w:ascii="Arial"/>
          <w:sz w:val="21"/>
        </w:rPr>
      </w:pPr>
    </w:p>
    <w:p w14:paraId="3A5E4159">
      <w:pPr>
        <w:rPr>
          <w:rFonts w:ascii="Arial" w:hAnsi="Arial" w:eastAsia="Arial" w:cs="Arial"/>
          <w:sz w:val="21"/>
          <w:szCs w:val="21"/>
        </w:rPr>
        <w:sectPr>
          <w:footerReference r:id="rId86" w:type="default"/>
          <w:pgSz w:w="16840" w:h="11907"/>
          <w:pgMar w:top="400" w:right="1441" w:bottom="1013" w:left="1365" w:header="0" w:footer="851" w:gutter="0"/>
          <w:cols w:space="720" w:num="1"/>
        </w:sectPr>
      </w:pPr>
    </w:p>
    <w:p w14:paraId="660C4C88">
      <w:pPr>
        <w:spacing w:before="3"/>
      </w:pPr>
    </w:p>
    <w:p w14:paraId="09670BC4">
      <w:pPr>
        <w:spacing w:before="3"/>
      </w:pPr>
    </w:p>
    <w:p w14:paraId="0C2AED0F">
      <w:pPr>
        <w:spacing w:before="3"/>
      </w:pPr>
    </w:p>
    <w:tbl>
      <w:tblPr>
        <w:tblStyle w:val="5"/>
        <w:tblW w:w="1402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8"/>
        <w:gridCol w:w="1180"/>
        <w:gridCol w:w="715"/>
        <w:gridCol w:w="667"/>
        <w:gridCol w:w="882"/>
        <w:gridCol w:w="1424"/>
        <w:gridCol w:w="1416"/>
        <w:gridCol w:w="1136"/>
        <w:gridCol w:w="646"/>
        <w:gridCol w:w="3953"/>
        <w:gridCol w:w="1155"/>
      </w:tblGrid>
      <w:tr w14:paraId="3B459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848" w:type="dxa"/>
            <w:tcBorders>
              <w:right w:val="single" w:color="000000" w:sz="2" w:space="0"/>
            </w:tcBorders>
            <w:shd w:val="clear" w:color="auto" w:fill="BEBEBE"/>
            <w:vAlign w:val="top"/>
          </w:tcPr>
          <w:p w14:paraId="0ECC0451">
            <w:pPr>
              <w:spacing w:line="376" w:lineRule="auto"/>
              <w:rPr>
                <w:rFonts w:ascii="Arial"/>
                <w:sz w:val="21"/>
              </w:rPr>
            </w:pPr>
          </w:p>
          <w:p w14:paraId="326E3A02">
            <w:pPr>
              <w:pStyle w:val="6"/>
              <w:spacing w:before="65" w:line="228" w:lineRule="auto"/>
              <w:ind w:left="216"/>
            </w:pPr>
            <w:r>
              <w:rPr>
                <w:b/>
                <w:bCs/>
                <w:spacing w:val="2"/>
              </w:rPr>
              <w:t>分区</w:t>
            </w:r>
          </w:p>
        </w:tc>
        <w:tc>
          <w:tcPr>
            <w:tcW w:w="1180" w:type="dxa"/>
            <w:tcBorders>
              <w:left w:val="single" w:color="000000" w:sz="2" w:space="0"/>
            </w:tcBorders>
            <w:shd w:val="clear" w:color="auto" w:fill="BEBEBE"/>
            <w:vAlign w:val="top"/>
          </w:tcPr>
          <w:p w14:paraId="4A34E4F8">
            <w:pPr>
              <w:spacing w:line="243" w:lineRule="auto"/>
              <w:rPr>
                <w:rFonts w:ascii="Arial"/>
                <w:sz w:val="21"/>
              </w:rPr>
            </w:pPr>
          </w:p>
          <w:p w14:paraId="64940E6B">
            <w:pPr>
              <w:pStyle w:val="6"/>
              <w:spacing w:before="65" w:line="252" w:lineRule="auto"/>
              <w:ind w:left="418" w:right="381" w:hanging="39"/>
            </w:pPr>
            <w:r>
              <w:rPr>
                <w:b/>
                <w:bCs/>
                <w:spacing w:val="3"/>
              </w:rPr>
              <w:t>保护</w:t>
            </w:r>
            <w:r>
              <w:rPr>
                <w:b/>
                <w:bCs/>
                <w:spacing w:val="-17"/>
              </w:rPr>
              <w:t>目标</w:t>
            </w:r>
          </w:p>
        </w:tc>
        <w:tc>
          <w:tcPr>
            <w:tcW w:w="715" w:type="dxa"/>
            <w:shd w:val="clear" w:color="auto" w:fill="BEBEBE"/>
            <w:vAlign w:val="top"/>
          </w:tcPr>
          <w:p w14:paraId="1630E8FD">
            <w:pPr>
              <w:spacing w:line="376" w:lineRule="auto"/>
              <w:rPr>
                <w:rFonts w:ascii="Arial"/>
                <w:sz w:val="21"/>
              </w:rPr>
            </w:pPr>
          </w:p>
          <w:p w14:paraId="4C8657C4">
            <w:pPr>
              <w:pStyle w:val="6"/>
              <w:spacing w:before="65" w:line="229" w:lineRule="auto"/>
              <w:ind w:left="150"/>
            </w:pPr>
            <w:r>
              <w:rPr>
                <w:b/>
                <w:bCs/>
                <w:spacing w:val="2"/>
              </w:rPr>
              <w:t>功能</w:t>
            </w:r>
          </w:p>
        </w:tc>
        <w:tc>
          <w:tcPr>
            <w:tcW w:w="667" w:type="dxa"/>
            <w:shd w:val="clear" w:color="auto" w:fill="BEBEBE"/>
            <w:vAlign w:val="top"/>
          </w:tcPr>
          <w:p w14:paraId="468A798A">
            <w:pPr>
              <w:spacing w:line="376" w:lineRule="auto"/>
              <w:rPr>
                <w:rFonts w:ascii="Arial"/>
                <w:sz w:val="21"/>
              </w:rPr>
            </w:pPr>
          </w:p>
          <w:p w14:paraId="43C87225">
            <w:pPr>
              <w:pStyle w:val="6"/>
              <w:spacing w:before="65" w:line="228" w:lineRule="auto"/>
              <w:ind w:left="123"/>
            </w:pPr>
            <w:r>
              <w:rPr>
                <w:b/>
                <w:bCs/>
                <w:spacing w:val="3"/>
              </w:rPr>
              <w:t>规模</w:t>
            </w:r>
          </w:p>
        </w:tc>
        <w:tc>
          <w:tcPr>
            <w:tcW w:w="882" w:type="dxa"/>
            <w:shd w:val="clear" w:color="auto" w:fill="BEBEBE"/>
            <w:vAlign w:val="top"/>
          </w:tcPr>
          <w:p w14:paraId="2823BD8A">
            <w:pPr>
              <w:pStyle w:val="6"/>
              <w:spacing w:before="170" w:line="228" w:lineRule="auto"/>
              <w:ind w:left="128"/>
            </w:pPr>
            <w:r>
              <w:rPr>
                <w:b/>
                <w:bCs/>
                <w:spacing w:val="4"/>
              </w:rPr>
              <w:t>建筑物</w:t>
            </w:r>
          </w:p>
          <w:p w14:paraId="49D4FEAE">
            <w:pPr>
              <w:pStyle w:val="6"/>
              <w:spacing w:before="26" w:line="228" w:lineRule="auto"/>
              <w:ind w:left="130"/>
            </w:pPr>
            <w:r>
              <w:rPr>
                <w:b/>
                <w:bCs/>
                <w:spacing w:val="3"/>
              </w:rPr>
              <w:t>结构及</w:t>
            </w:r>
          </w:p>
          <w:p w14:paraId="59756A4F">
            <w:pPr>
              <w:pStyle w:val="6"/>
              <w:spacing w:before="23" w:line="228" w:lineRule="auto"/>
              <w:ind w:left="236"/>
            </w:pPr>
            <w:r>
              <w:rPr>
                <w:b/>
                <w:bCs/>
                <w:spacing w:val="1"/>
              </w:rPr>
              <w:t>高度</w:t>
            </w:r>
          </w:p>
        </w:tc>
        <w:tc>
          <w:tcPr>
            <w:tcW w:w="1424" w:type="dxa"/>
            <w:shd w:val="clear" w:color="auto" w:fill="BEBEBE"/>
            <w:vAlign w:val="top"/>
          </w:tcPr>
          <w:p w14:paraId="7078594E">
            <w:pPr>
              <w:spacing w:line="376" w:lineRule="auto"/>
              <w:rPr>
                <w:rFonts w:ascii="Arial"/>
                <w:sz w:val="21"/>
              </w:rPr>
            </w:pPr>
          </w:p>
          <w:p w14:paraId="2D12B5ED">
            <w:pPr>
              <w:pStyle w:val="6"/>
              <w:spacing w:before="65" w:line="228" w:lineRule="auto"/>
              <w:ind w:left="261"/>
            </w:pPr>
            <w:r>
              <w:rPr>
                <w:b/>
                <w:bCs/>
                <w:spacing w:val="5"/>
              </w:rPr>
              <w:t>方位</w:t>
            </w:r>
            <w:r>
              <w:rPr>
                <w:rFonts w:ascii="Times New Roman" w:hAnsi="Times New Roman" w:eastAsia="Times New Roman" w:cs="Times New Roman"/>
                <w:b/>
                <w:bCs/>
                <w:spacing w:val="5"/>
              </w:rPr>
              <w:t>/</w:t>
            </w:r>
            <w:r>
              <w:rPr>
                <w:b/>
                <w:bCs/>
                <w:spacing w:val="5"/>
              </w:rPr>
              <w:t>距离</w:t>
            </w:r>
          </w:p>
        </w:tc>
        <w:tc>
          <w:tcPr>
            <w:tcW w:w="1416" w:type="dxa"/>
            <w:tcBorders>
              <w:right w:val="single" w:color="000000" w:sz="2" w:space="0"/>
            </w:tcBorders>
            <w:shd w:val="clear" w:color="auto" w:fill="BEBEBE"/>
            <w:vAlign w:val="top"/>
          </w:tcPr>
          <w:p w14:paraId="4F32CE22">
            <w:pPr>
              <w:pStyle w:val="6"/>
              <w:spacing w:before="35" w:line="229" w:lineRule="auto"/>
              <w:ind w:left="293"/>
            </w:pPr>
            <w:r>
              <w:rPr>
                <w:b/>
                <w:bCs/>
                <w:spacing w:val="5"/>
              </w:rPr>
              <w:t>与变电站</w:t>
            </w:r>
          </w:p>
          <w:p w14:paraId="16807BB5">
            <w:pPr>
              <w:pStyle w:val="6"/>
              <w:spacing w:before="25" w:line="228" w:lineRule="auto"/>
              <w:ind w:left="291"/>
            </w:pPr>
            <w:r>
              <w:rPr>
                <w:b/>
                <w:bCs/>
                <w:spacing w:val="5"/>
              </w:rPr>
              <w:t>或线路边</w:t>
            </w:r>
          </w:p>
          <w:p w14:paraId="2642BA4F">
            <w:pPr>
              <w:pStyle w:val="6"/>
              <w:spacing w:before="24" w:line="228" w:lineRule="auto"/>
              <w:ind w:left="294"/>
            </w:pPr>
            <w:r>
              <w:rPr>
                <w:b/>
                <w:bCs/>
                <w:spacing w:val="5"/>
              </w:rPr>
              <w:t>导线投影</w:t>
            </w:r>
          </w:p>
          <w:p w14:paraId="3D7637B8">
            <w:pPr>
              <w:pStyle w:val="6"/>
              <w:spacing w:before="25" w:line="218" w:lineRule="auto"/>
              <w:ind w:left="291"/>
            </w:pPr>
            <w:r>
              <w:rPr>
                <w:b/>
                <w:bCs/>
                <w:spacing w:val="5"/>
              </w:rPr>
              <w:t>水平距离</w:t>
            </w:r>
          </w:p>
        </w:tc>
        <w:tc>
          <w:tcPr>
            <w:tcW w:w="1136" w:type="dxa"/>
            <w:tcBorders>
              <w:left w:val="single" w:color="000000" w:sz="2" w:space="0"/>
              <w:right w:val="single" w:color="000000" w:sz="2" w:space="0"/>
            </w:tcBorders>
            <w:shd w:val="clear" w:color="auto" w:fill="BEBEBE"/>
            <w:vAlign w:val="top"/>
          </w:tcPr>
          <w:p w14:paraId="1CBA0F19">
            <w:pPr>
              <w:pStyle w:val="6"/>
              <w:spacing w:before="169" w:line="228" w:lineRule="auto"/>
              <w:ind w:left="156"/>
            </w:pPr>
            <w:r>
              <w:rPr>
                <w:b/>
                <w:bCs/>
                <w:spacing w:val="5"/>
              </w:rPr>
              <w:t>与线路中</w:t>
            </w:r>
          </w:p>
          <w:p w14:paraId="38916036">
            <w:pPr>
              <w:pStyle w:val="6"/>
              <w:spacing w:before="26" w:line="228" w:lineRule="auto"/>
              <w:ind w:left="159"/>
            </w:pPr>
            <w:r>
              <w:rPr>
                <w:b/>
                <w:bCs/>
                <w:spacing w:val="4"/>
              </w:rPr>
              <w:t>心最近直</w:t>
            </w:r>
          </w:p>
          <w:p w14:paraId="5F162C19">
            <w:pPr>
              <w:pStyle w:val="6"/>
              <w:spacing w:before="24" w:line="228" w:lineRule="auto"/>
              <w:ind w:left="260"/>
            </w:pPr>
            <w:r>
              <w:rPr>
                <w:b/>
                <w:bCs/>
                <w:spacing w:val="4"/>
              </w:rPr>
              <w:t>线距离</w:t>
            </w:r>
          </w:p>
        </w:tc>
        <w:tc>
          <w:tcPr>
            <w:tcW w:w="646" w:type="dxa"/>
            <w:tcBorders>
              <w:left w:val="single" w:color="000000" w:sz="2" w:space="0"/>
            </w:tcBorders>
            <w:shd w:val="clear" w:color="auto" w:fill="BEBEBE"/>
            <w:vAlign w:val="top"/>
          </w:tcPr>
          <w:p w14:paraId="69EA6217">
            <w:pPr>
              <w:pStyle w:val="6"/>
              <w:spacing w:before="170" w:line="228" w:lineRule="auto"/>
              <w:ind w:left="123"/>
            </w:pPr>
            <w:r>
              <w:rPr>
                <w:b/>
                <w:bCs/>
                <w:spacing w:val="1"/>
              </w:rPr>
              <w:t>导线</w:t>
            </w:r>
          </w:p>
          <w:p w14:paraId="01D581F9">
            <w:pPr>
              <w:pStyle w:val="6"/>
              <w:spacing w:before="26" w:line="229" w:lineRule="auto"/>
              <w:ind w:left="117"/>
            </w:pPr>
            <w:r>
              <w:rPr>
                <w:b/>
                <w:bCs/>
                <w:spacing w:val="4"/>
              </w:rPr>
              <w:t>对地</w:t>
            </w:r>
          </w:p>
          <w:p w14:paraId="18458D6D">
            <w:pPr>
              <w:pStyle w:val="6"/>
              <w:spacing w:before="22" w:line="228" w:lineRule="auto"/>
              <w:ind w:left="123"/>
            </w:pPr>
            <w:r>
              <w:rPr>
                <w:b/>
                <w:bCs/>
                <w:spacing w:val="1"/>
              </w:rPr>
              <w:t>高度</w:t>
            </w:r>
          </w:p>
        </w:tc>
        <w:tc>
          <w:tcPr>
            <w:tcW w:w="3953" w:type="dxa"/>
            <w:shd w:val="clear" w:color="auto" w:fill="BEBEBE"/>
            <w:vAlign w:val="top"/>
          </w:tcPr>
          <w:p w14:paraId="68F99E05">
            <w:pPr>
              <w:spacing w:line="376" w:lineRule="auto"/>
              <w:rPr>
                <w:rFonts w:ascii="Arial"/>
                <w:sz w:val="21"/>
              </w:rPr>
            </w:pPr>
          </w:p>
          <w:p w14:paraId="1C0A66AB">
            <w:pPr>
              <w:pStyle w:val="6"/>
              <w:spacing w:before="65" w:line="228" w:lineRule="auto"/>
              <w:ind w:left="1561"/>
            </w:pPr>
            <w:r>
              <w:rPr>
                <w:b/>
                <w:bCs/>
                <w:spacing w:val="6"/>
              </w:rPr>
              <w:t>现状照片</w:t>
            </w:r>
          </w:p>
        </w:tc>
        <w:tc>
          <w:tcPr>
            <w:tcW w:w="1155" w:type="dxa"/>
            <w:shd w:val="clear" w:color="auto" w:fill="BEBEBE"/>
            <w:vAlign w:val="top"/>
          </w:tcPr>
          <w:p w14:paraId="145BAEC9">
            <w:pPr>
              <w:spacing w:line="376" w:lineRule="auto"/>
              <w:rPr>
                <w:rFonts w:ascii="Arial"/>
                <w:sz w:val="21"/>
              </w:rPr>
            </w:pPr>
          </w:p>
          <w:p w14:paraId="403DF7DB">
            <w:pPr>
              <w:pStyle w:val="6"/>
              <w:spacing w:before="65" w:line="228" w:lineRule="auto"/>
              <w:ind w:left="161"/>
            </w:pPr>
            <w:r>
              <w:rPr>
                <w:b/>
                <w:bCs/>
                <w:spacing w:val="6"/>
              </w:rPr>
              <w:t>保护级别</w:t>
            </w:r>
          </w:p>
        </w:tc>
      </w:tr>
      <w:tr w14:paraId="25BA3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7" w:hRule="atLeast"/>
        </w:trPr>
        <w:tc>
          <w:tcPr>
            <w:tcW w:w="848" w:type="dxa"/>
            <w:vMerge w:val="restart"/>
            <w:tcBorders>
              <w:bottom w:val="nil"/>
              <w:right w:val="single" w:color="000000" w:sz="2" w:space="0"/>
            </w:tcBorders>
            <w:vAlign w:val="top"/>
          </w:tcPr>
          <w:p w14:paraId="701823B1">
            <w:pPr>
              <w:rPr>
                <w:rFonts w:ascii="Arial"/>
                <w:sz w:val="21"/>
              </w:rPr>
            </w:pPr>
          </w:p>
        </w:tc>
        <w:tc>
          <w:tcPr>
            <w:tcW w:w="1180" w:type="dxa"/>
            <w:tcBorders>
              <w:left w:val="single" w:color="000000" w:sz="2" w:space="0"/>
            </w:tcBorders>
            <w:vAlign w:val="top"/>
          </w:tcPr>
          <w:p w14:paraId="589FAE3C">
            <w:pPr>
              <w:spacing w:line="275" w:lineRule="auto"/>
              <w:rPr>
                <w:rFonts w:ascii="Arial"/>
                <w:sz w:val="21"/>
              </w:rPr>
            </w:pPr>
          </w:p>
          <w:p w14:paraId="669ED57B">
            <w:pPr>
              <w:spacing w:line="276" w:lineRule="auto"/>
              <w:rPr>
                <w:rFonts w:ascii="Arial"/>
                <w:sz w:val="21"/>
              </w:rPr>
            </w:pPr>
          </w:p>
          <w:p w14:paraId="50AE64EA">
            <w:pPr>
              <w:spacing w:line="276" w:lineRule="auto"/>
              <w:rPr>
                <w:rFonts w:ascii="Arial"/>
                <w:sz w:val="21"/>
              </w:rPr>
            </w:pPr>
          </w:p>
          <w:p w14:paraId="7CC2BBFF">
            <w:pPr>
              <w:spacing w:line="276" w:lineRule="auto"/>
              <w:rPr>
                <w:rFonts w:ascii="Arial"/>
                <w:sz w:val="21"/>
              </w:rPr>
            </w:pPr>
          </w:p>
          <w:p w14:paraId="5907BABF">
            <w:pPr>
              <w:pStyle w:val="6"/>
              <w:spacing w:before="65" w:line="254" w:lineRule="auto"/>
              <w:ind w:left="276" w:right="170" w:hanging="108"/>
            </w:pPr>
            <w:r>
              <w:rPr>
                <w:spacing w:val="8"/>
              </w:rPr>
              <w:t>④菜地看</w:t>
            </w:r>
            <w:r>
              <w:rPr>
                <w:spacing w:val="6"/>
              </w:rPr>
              <w:t>护用房</w:t>
            </w:r>
          </w:p>
        </w:tc>
        <w:tc>
          <w:tcPr>
            <w:tcW w:w="715" w:type="dxa"/>
            <w:vAlign w:val="top"/>
          </w:tcPr>
          <w:p w14:paraId="05AFF583">
            <w:pPr>
              <w:spacing w:line="242" w:lineRule="auto"/>
              <w:rPr>
                <w:rFonts w:ascii="Arial"/>
                <w:sz w:val="21"/>
              </w:rPr>
            </w:pPr>
          </w:p>
          <w:p w14:paraId="4C2E900D">
            <w:pPr>
              <w:spacing w:line="242" w:lineRule="auto"/>
              <w:rPr>
                <w:rFonts w:ascii="Arial"/>
                <w:sz w:val="21"/>
              </w:rPr>
            </w:pPr>
          </w:p>
          <w:p w14:paraId="7DE7DCB7">
            <w:pPr>
              <w:spacing w:line="242" w:lineRule="auto"/>
              <w:rPr>
                <w:rFonts w:ascii="Arial"/>
                <w:sz w:val="21"/>
              </w:rPr>
            </w:pPr>
          </w:p>
          <w:p w14:paraId="4202EF7F">
            <w:pPr>
              <w:spacing w:line="242" w:lineRule="auto"/>
              <w:rPr>
                <w:rFonts w:ascii="Arial"/>
                <w:sz w:val="21"/>
              </w:rPr>
            </w:pPr>
          </w:p>
          <w:p w14:paraId="38E84602">
            <w:pPr>
              <w:pStyle w:val="6"/>
              <w:spacing w:before="65" w:line="252" w:lineRule="auto"/>
              <w:ind w:left="145" w:right="148"/>
              <w:jc w:val="both"/>
            </w:pPr>
            <w:r>
              <w:rPr>
                <w:spacing w:val="4"/>
              </w:rPr>
              <w:t>农用</w:t>
            </w:r>
            <w:r>
              <w:rPr>
                <w:spacing w:val="5"/>
              </w:rPr>
              <w:t>物资仓库</w:t>
            </w:r>
          </w:p>
        </w:tc>
        <w:tc>
          <w:tcPr>
            <w:tcW w:w="667" w:type="dxa"/>
            <w:vAlign w:val="top"/>
          </w:tcPr>
          <w:p w14:paraId="49E2881C">
            <w:pPr>
              <w:spacing w:line="275" w:lineRule="auto"/>
              <w:rPr>
                <w:rFonts w:ascii="Arial"/>
                <w:sz w:val="21"/>
              </w:rPr>
            </w:pPr>
          </w:p>
          <w:p w14:paraId="4055D82D">
            <w:pPr>
              <w:spacing w:line="276" w:lineRule="auto"/>
              <w:rPr>
                <w:rFonts w:ascii="Arial"/>
                <w:sz w:val="21"/>
              </w:rPr>
            </w:pPr>
          </w:p>
          <w:p w14:paraId="40884D71">
            <w:pPr>
              <w:spacing w:line="276" w:lineRule="auto"/>
              <w:rPr>
                <w:rFonts w:ascii="Arial"/>
                <w:sz w:val="21"/>
              </w:rPr>
            </w:pPr>
          </w:p>
          <w:p w14:paraId="3EA22BD1">
            <w:pPr>
              <w:spacing w:line="276" w:lineRule="auto"/>
              <w:rPr>
                <w:rFonts w:ascii="Arial"/>
                <w:sz w:val="21"/>
              </w:rPr>
            </w:pPr>
          </w:p>
          <w:p w14:paraId="5E0D1340">
            <w:pPr>
              <w:pStyle w:val="6"/>
              <w:spacing w:before="65" w:line="255" w:lineRule="auto"/>
              <w:ind w:left="145" w:right="150"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882" w:type="dxa"/>
            <w:vAlign w:val="top"/>
          </w:tcPr>
          <w:p w14:paraId="2CC4C791">
            <w:pPr>
              <w:spacing w:line="277" w:lineRule="auto"/>
              <w:rPr>
                <w:rFonts w:ascii="Arial"/>
                <w:sz w:val="21"/>
              </w:rPr>
            </w:pPr>
          </w:p>
          <w:p w14:paraId="65E54667">
            <w:pPr>
              <w:spacing w:line="277" w:lineRule="auto"/>
              <w:rPr>
                <w:rFonts w:ascii="Arial"/>
                <w:sz w:val="21"/>
              </w:rPr>
            </w:pPr>
          </w:p>
          <w:p w14:paraId="275C08A6">
            <w:pPr>
              <w:spacing w:line="278" w:lineRule="auto"/>
              <w:rPr>
                <w:rFonts w:ascii="Arial"/>
                <w:sz w:val="21"/>
              </w:rPr>
            </w:pPr>
          </w:p>
          <w:p w14:paraId="2953E59E">
            <w:pPr>
              <w:pStyle w:val="6"/>
              <w:spacing w:before="65" w:line="252" w:lineRule="auto"/>
              <w:ind w:left="125" w:right="125"/>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24" w:type="dxa"/>
            <w:vAlign w:val="top"/>
          </w:tcPr>
          <w:p w14:paraId="5B9FD731">
            <w:pPr>
              <w:spacing w:line="277" w:lineRule="auto"/>
              <w:rPr>
                <w:rFonts w:ascii="Arial"/>
                <w:sz w:val="21"/>
              </w:rPr>
            </w:pPr>
          </w:p>
          <w:p w14:paraId="2627A491">
            <w:pPr>
              <w:spacing w:line="277" w:lineRule="auto"/>
              <w:rPr>
                <w:rFonts w:ascii="Arial"/>
                <w:sz w:val="21"/>
              </w:rPr>
            </w:pPr>
          </w:p>
          <w:p w14:paraId="7D2BC881">
            <w:pPr>
              <w:spacing w:line="278" w:lineRule="auto"/>
              <w:rPr>
                <w:rFonts w:ascii="Arial"/>
                <w:sz w:val="21"/>
              </w:rPr>
            </w:pPr>
          </w:p>
          <w:p w14:paraId="043B8318">
            <w:pPr>
              <w:pStyle w:val="6"/>
              <w:spacing w:before="65" w:line="252" w:lineRule="auto"/>
              <w:ind w:left="108" w:right="104" w:firstLine="1"/>
              <w:jc w:val="both"/>
              <w:rPr>
                <w:rFonts w:ascii="Times New Roman" w:hAnsi="Times New Roman" w:eastAsia="Times New Roman" w:cs="Times New Roman"/>
              </w:rPr>
            </w:pPr>
            <w:r>
              <w:rPr>
                <w:spacing w:val="-1"/>
              </w:rPr>
              <w:t>双回线路（单</w:t>
            </w:r>
            <w:r>
              <w:rPr>
                <w:spacing w:val="24"/>
              </w:rPr>
              <w:t>边挂线）北</w:t>
            </w:r>
            <w:r>
              <w:rPr>
                <w:spacing w:val="-5"/>
              </w:rPr>
              <w:t>侧，</w:t>
            </w:r>
            <w:r>
              <w:rPr>
                <w:rFonts w:ascii="Times New Roman" w:hAnsi="Times New Roman" w:eastAsia="Times New Roman" w:cs="Times New Roman"/>
                <w:spacing w:val="-5"/>
              </w:rPr>
              <w:t>AZ7</w:t>
            </w:r>
            <w:r>
              <w:rPr>
                <w:rFonts w:ascii="Times New Roman" w:hAnsi="Times New Roman" w:eastAsia="Times New Roman" w:cs="Times New Roman"/>
                <w:spacing w:val="15"/>
                <w:w w:val="101"/>
              </w:rPr>
              <w:t xml:space="preserve"> </w:t>
            </w:r>
            <w:r>
              <w:rPr>
                <w:spacing w:val="-5"/>
              </w:rPr>
              <w:t>塔基</w:t>
            </w:r>
            <w:r>
              <w:rPr>
                <w:spacing w:val="5"/>
              </w:rPr>
              <w:t>西北侧</w:t>
            </w:r>
            <w:r>
              <w:rPr>
                <w:spacing w:val="-19"/>
              </w:rPr>
              <w:t xml:space="preserve"> </w:t>
            </w:r>
            <w:r>
              <w:rPr>
                <w:rFonts w:ascii="Times New Roman" w:hAnsi="Times New Roman" w:eastAsia="Times New Roman" w:cs="Times New Roman"/>
                <w:spacing w:val="5"/>
              </w:rPr>
              <w:t>110m</w:t>
            </w:r>
          </w:p>
        </w:tc>
        <w:tc>
          <w:tcPr>
            <w:tcW w:w="1416" w:type="dxa"/>
            <w:tcBorders>
              <w:right w:val="single" w:color="000000" w:sz="2" w:space="0"/>
            </w:tcBorders>
            <w:vAlign w:val="top"/>
          </w:tcPr>
          <w:p w14:paraId="4E6D8C43">
            <w:pPr>
              <w:spacing w:line="282" w:lineRule="auto"/>
              <w:rPr>
                <w:rFonts w:ascii="Arial"/>
                <w:sz w:val="21"/>
              </w:rPr>
            </w:pPr>
          </w:p>
          <w:p w14:paraId="26536B61">
            <w:pPr>
              <w:spacing w:line="283" w:lineRule="auto"/>
              <w:rPr>
                <w:rFonts w:ascii="Arial"/>
                <w:sz w:val="21"/>
              </w:rPr>
            </w:pPr>
          </w:p>
          <w:p w14:paraId="36861A56">
            <w:pPr>
              <w:spacing w:line="283" w:lineRule="auto"/>
              <w:rPr>
                <w:rFonts w:ascii="Arial"/>
                <w:sz w:val="21"/>
              </w:rPr>
            </w:pPr>
          </w:p>
          <w:p w14:paraId="3D8169DE">
            <w:pPr>
              <w:pStyle w:val="6"/>
              <w:spacing w:before="65" w:line="228" w:lineRule="auto"/>
              <w:ind w:left="161"/>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p>
          <w:p w14:paraId="315F36D1">
            <w:pPr>
              <w:pStyle w:val="6"/>
              <w:spacing w:before="26" w:line="228" w:lineRule="auto"/>
              <w:ind w:left="185"/>
            </w:pPr>
            <w:r>
              <w:rPr>
                <w:spacing w:val="8"/>
              </w:rPr>
              <w:t>边导线地面</w:t>
            </w:r>
          </w:p>
          <w:p w14:paraId="126B15E6">
            <w:pPr>
              <w:pStyle w:val="6"/>
              <w:spacing w:before="23" w:line="228" w:lineRule="auto"/>
              <w:ind w:left="291"/>
            </w:pPr>
            <w:r>
              <w:rPr>
                <w:spacing w:val="7"/>
              </w:rPr>
              <w:t>投影北侧</w:t>
            </w:r>
          </w:p>
          <w:p w14:paraId="2A6E1903">
            <w:pPr>
              <w:spacing w:before="46" w:line="195" w:lineRule="auto"/>
              <w:ind w:left="5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25m</w:t>
            </w:r>
          </w:p>
        </w:tc>
        <w:tc>
          <w:tcPr>
            <w:tcW w:w="1136" w:type="dxa"/>
            <w:tcBorders>
              <w:left w:val="single" w:color="000000" w:sz="2" w:space="0"/>
              <w:right w:val="single" w:color="000000" w:sz="2" w:space="0"/>
            </w:tcBorders>
            <w:vAlign w:val="top"/>
          </w:tcPr>
          <w:p w14:paraId="17BB8268">
            <w:pPr>
              <w:spacing w:line="256" w:lineRule="auto"/>
              <w:rPr>
                <w:rFonts w:ascii="Arial"/>
                <w:sz w:val="21"/>
              </w:rPr>
            </w:pPr>
          </w:p>
          <w:p w14:paraId="27CBF0B4">
            <w:pPr>
              <w:spacing w:line="256" w:lineRule="auto"/>
              <w:rPr>
                <w:rFonts w:ascii="Arial"/>
                <w:sz w:val="21"/>
              </w:rPr>
            </w:pPr>
          </w:p>
          <w:p w14:paraId="1D6C9223">
            <w:pPr>
              <w:spacing w:line="256" w:lineRule="auto"/>
              <w:rPr>
                <w:rFonts w:ascii="Arial"/>
                <w:sz w:val="21"/>
              </w:rPr>
            </w:pPr>
          </w:p>
          <w:p w14:paraId="754E37CF">
            <w:pPr>
              <w:spacing w:line="256" w:lineRule="auto"/>
              <w:rPr>
                <w:rFonts w:ascii="Arial"/>
                <w:sz w:val="21"/>
              </w:rPr>
            </w:pPr>
          </w:p>
          <w:p w14:paraId="0D91082B">
            <w:pPr>
              <w:spacing w:line="257" w:lineRule="auto"/>
              <w:rPr>
                <w:rFonts w:ascii="Arial"/>
                <w:sz w:val="21"/>
              </w:rPr>
            </w:pPr>
          </w:p>
          <w:p w14:paraId="18038256">
            <w:pPr>
              <w:spacing w:before="58" w:line="195" w:lineRule="auto"/>
              <w:ind w:left="38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30m</w:t>
            </w:r>
          </w:p>
        </w:tc>
        <w:tc>
          <w:tcPr>
            <w:tcW w:w="646" w:type="dxa"/>
            <w:tcBorders>
              <w:left w:val="single" w:color="000000" w:sz="2" w:space="0"/>
            </w:tcBorders>
            <w:vAlign w:val="top"/>
          </w:tcPr>
          <w:p w14:paraId="4FDE053D">
            <w:pPr>
              <w:spacing w:line="256" w:lineRule="auto"/>
              <w:rPr>
                <w:rFonts w:ascii="Arial"/>
                <w:sz w:val="21"/>
              </w:rPr>
            </w:pPr>
          </w:p>
          <w:p w14:paraId="47D6BA13">
            <w:pPr>
              <w:spacing w:line="257" w:lineRule="auto"/>
              <w:rPr>
                <w:rFonts w:ascii="Arial"/>
                <w:sz w:val="21"/>
              </w:rPr>
            </w:pPr>
          </w:p>
          <w:p w14:paraId="289F5E25">
            <w:pPr>
              <w:spacing w:line="257" w:lineRule="auto"/>
              <w:rPr>
                <w:rFonts w:ascii="Arial"/>
                <w:sz w:val="21"/>
              </w:rPr>
            </w:pPr>
          </w:p>
          <w:p w14:paraId="7773AA45">
            <w:pPr>
              <w:spacing w:line="257" w:lineRule="auto"/>
              <w:rPr>
                <w:rFonts w:ascii="Arial"/>
                <w:sz w:val="21"/>
              </w:rPr>
            </w:pPr>
          </w:p>
          <w:p w14:paraId="2E4A1B11">
            <w:pPr>
              <w:spacing w:line="257" w:lineRule="auto"/>
              <w:rPr>
                <w:rFonts w:ascii="Arial"/>
                <w:sz w:val="21"/>
              </w:rPr>
            </w:pPr>
          </w:p>
          <w:p w14:paraId="237D6EFB">
            <w:pPr>
              <w:spacing w:before="58" w:line="192"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3953" w:type="dxa"/>
            <w:vAlign w:val="top"/>
          </w:tcPr>
          <w:p w14:paraId="0F8EB40E">
            <w:pPr>
              <w:spacing w:line="2827" w:lineRule="exact"/>
              <w:ind w:firstLine="104"/>
            </w:pPr>
            <w:r>
              <w:rPr>
                <w:position w:val="-56"/>
              </w:rPr>
              <w:drawing>
                <wp:inline distT="0" distB="0" distL="0" distR="0">
                  <wp:extent cx="2400300" cy="1795145"/>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246"/>
                          <a:stretch>
                            <a:fillRect/>
                          </a:stretch>
                        </pic:blipFill>
                        <pic:spPr>
                          <a:xfrm>
                            <a:off x="0" y="0"/>
                            <a:ext cx="2400300" cy="1795145"/>
                          </a:xfrm>
                          <a:prstGeom prst="rect">
                            <a:avLst/>
                          </a:prstGeom>
                        </pic:spPr>
                      </pic:pic>
                    </a:graphicData>
                  </a:graphic>
                </wp:inline>
              </w:drawing>
            </w:r>
          </w:p>
        </w:tc>
        <w:tc>
          <w:tcPr>
            <w:tcW w:w="1155" w:type="dxa"/>
            <w:vMerge w:val="restart"/>
            <w:tcBorders>
              <w:bottom w:val="nil"/>
            </w:tcBorders>
            <w:vAlign w:val="top"/>
          </w:tcPr>
          <w:p w14:paraId="26837852">
            <w:pPr>
              <w:rPr>
                <w:rFonts w:ascii="Arial"/>
                <w:sz w:val="21"/>
              </w:rPr>
            </w:pPr>
          </w:p>
        </w:tc>
      </w:tr>
      <w:tr w14:paraId="6D6C2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3" w:hRule="atLeast"/>
        </w:trPr>
        <w:tc>
          <w:tcPr>
            <w:tcW w:w="848" w:type="dxa"/>
            <w:vMerge w:val="continue"/>
            <w:tcBorders>
              <w:top w:val="nil"/>
              <w:bottom w:val="nil"/>
              <w:right w:val="single" w:color="000000" w:sz="2" w:space="0"/>
            </w:tcBorders>
            <w:vAlign w:val="top"/>
          </w:tcPr>
          <w:p w14:paraId="44721443">
            <w:pPr>
              <w:rPr>
                <w:rFonts w:ascii="Arial"/>
                <w:sz w:val="21"/>
              </w:rPr>
            </w:pPr>
          </w:p>
        </w:tc>
        <w:tc>
          <w:tcPr>
            <w:tcW w:w="1180" w:type="dxa"/>
            <w:tcBorders>
              <w:left w:val="single" w:color="000000" w:sz="2" w:space="0"/>
            </w:tcBorders>
            <w:vAlign w:val="top"/>
          </w:tcPr>
          <w:p w14:paraId="136E7232">
            <w:pPr>
              <w:spacing w:line="262" w:lineRule="auto"/>
              <w:rPr>
                <w:rFonts w:ascii="Arial"/>
                <w:sz w:val="21"/>
              </w:rPr>
            </w:pPr>
          </w:p>
          <w:p w14:paraId="1FC5CD0A">
            <w:pPr>
              <w:spacing w:line="262" w:lineRule="auto"/>
              <w:rPr>
                <w:rFonts w:ascii="Arial"/>
                <w:sz w:val="21"/>
              </w:rPr>
            </w:pPr>
          </w:p>
          <w:p w14:paraId="430CFAA7">
            <w:pPr>
              <w:spacing w:line="262" w:lineRule="auto"/>
              <w:rPr>
                <w:rFonts w:ascii="Arial"/>
                <w:sz w:val="21"/>
              </w:rPr>
            </w:pPr>
          </w:p>
          <w:p w14:paraId="022FA31D">
            <w:pPr>
              <w:spacing w:line="263" w:lineRule="auto"/>
              <w:rPr>
                <w:rFonts w:ascii="Arial"/>
                <w:sz w:val="21"/>
              </w:rPr>
            </w:pPr>
          </w:p>
          <w:p w14:paraId="2BF15245">
            <w:pPr>
              <w:pStyle w:val="6"/>
              <w:spacing w:before="65" w:line="252" w:lineRule="auto"/>
              <w:ind w:left="276" w:right="170" w:hanging="108"/>
            </w:pPr>
            <w:r>
              <w:rPr>
                <w:spacing w:val="8"/>
              </w:rPr>
              <w:t>⑤菜地看</w:t>
            </w:r>
            <w:r>
              <w:rPr>
                <w:spacing w:val="6"/>
              </w:rPr>
              <w:t>护用房</w:t>
            </w:r>
          </w:p>
        </w:tc>
        <w:tc>
          <w:tcPr>
            <w:tcW w:w="715" w:type="dxa"/>
            <w:vAlign w:val="top"/>
          </w:tcPr>
          <w:p w14:paraId="02789D00">
            <w:pPr>
              <w:spacing w:line="323" w:lineRule="auto"/>
              <w:rPr>
                <w:rFonts w:ascii="Arial"/>
                <w:sz w:val="21"/>
              </w:rPr>
            </w:pPr>
          </w:p>
          <w:p w14:paraId="0BAE3E1A">
            <w:pPr>
              <w:spacing w:line="323" w:lineRule="auto"/>
              <w:rPr>
                <w:rFonts w:ascii="Arial"/>
                <w:sz w:val="21"/>
              </w:rPr>
            </w:pPr>
          </w:p>
          <w:p w14:paraId="7511C76C">
            <w:pPr>
              <w:pStyle w:val="6"/>
              <w:spacing w:before="65" w:line="251" w:lineRule="auto"/>
              <w:ind w:left="145" w:right="148" w:firstLine="2"/>
              <w:jc w:val="both"/>
            </w:pPr>
            <w:r>
              <w:rPr>
                <w:spacing w:val="3"/>
              </w:rPr>
              <w:t>居住</w:t>
            </w:r>
            <w:r>
              <w:rPr>
                <w:spacing w:val="5"/>
              </w:rPr>
              <w:t>及农用物资仓</w:t>
            </w:r>
            <w:r>
              <w:rPr>
                <w:spacing w:val="35"/>
                <w:w w:val="136"/>
              </w:rPr>
              <w:t>库</w:t>
            </w:r>
          </w:p>
        </w:tc>
        <w:tc>
          <w:tcPr>
            <w:tcW w:w="667" w:type="dxa"/>
            <w:vAlign w:val="top"/>
          </w:tcPr>
          <w:p w14:paraId="29E7CB54">
            <w:pPr>
              <w:spacing w:line="262" w:lineRule="auto"/>
              <w:rPr>
                <w:rFonts w:ascii="Arial"/>
                <w:sz w:val="21"/>
              </w:rPr>
            </w:pPr>
          </w:p>
          <w:p w14:paraId="6EF25346">
            <w:pPr>
              <w:spacing w:line="262" w:lineRule="auto"/>
              <w:rPr>
                <w:rFonts w:ascii="Arial"/>
                <w:sz w:val="21"/>
              </w:rPr>
            </w:pPr>
          </w:p>
          <w:p w14:paraId="7FDB69C3">
            <w:pPr>
              <w:spacing w:line="263" w:lineRule="auto"/>
              <w:rPr>
                <w:rFonts w:ascii="Arial"/>
                <w:sz w:val="21"/>
              </w:rPr>
            </w:pPr>
          </w:p>
          <w:p w14:paraId="2D79F027">
            <w:pPr>
              <w:spacing w:line="263" w:lineRule="auto"/>
              <w:rPr>
                <w:rFonts w:ascii="Arial"/>
                <w:sz w:val="21"/>
              </w:rPr>
            </w:pPr>
          </w:p>
          <w:p w14:paraId="361F1985">
            <w:pPr>
              <w:pStyle w:val="6"/>
              <w:spacing w:before="65" w:line="253" w:lineRule="auto"/>
              <w:ind w:left="145" w:right="150"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882" w:type="dxa"/>
            <w:vAlign w:val="top"/>
          </w:tcPr>
          <w:p w14:paraId="077604B0">
            <w:pPr>
              <w:spacing w:line="258" w:lineRule="auto"/>
              <w:rPr>
                <w:rFonts w:ascii="Arial"/>
                <w:sz w:val="21"/>
              </w:rPr>
            </w:pPr>
          </w:p>
          <w:p w14:paraId="749DE286">
            <w:pPr>
              <w:spacing w:line="258" w:lineRule="auto"/>
              <w:rPr>
                <w:rFonts w:ascii="Arial"/>
                <w:sz w:val="21"/>
              </w:rPr>
            </w:pPr>
          </w:p>
          <w:p w14:paraId="0C1EB2A8">
            <w:pPr>
              <w:spacing w:line="259" w:lineRule="auto"/>
              <w:rPr>
                <w:rFonts w:ascii="Arial"/>
                <w:sz w:val="21"/>
              </w:rPr>
            </w:pPr>
          </w:p>
          <w:p w14:paraId="69450BE4">
            <w:pPr>
              <w:pStyle w:val="6"/>
              <w:spacing w:before="65" w:line="253" w:lineRule="auto"/>
              <w:ind w:left="125" w:right="125"/>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24" w:type="dxa"/>
            <w:vAlign w:val="top"/>
          </w:tcPr>
          <w:p w14:paraId="67104C54">
            <w:pPr>
              <w:spacing w:line="258" w:lineRule="auto"/>
              <w:rPr>
                <w:rFonts w:ascii="Arial"/>
                <w:sz w:val="21"/>
              </w:rPr>
            </w:pPr>
          </w:p>
          <w:p w14:paraId="7BD7FE4C">
            <w:pPr>
              <w:spacing w:line="258" w:lineRule="auto"/>
              <w:rPr>
                <w:rFonts w:ascii="Arial"/>
                <w:sz w:val="21"/>
              </w:rPr>
            </w:pPr>
          </w:p>
          <w:p w14:paraId="37AD1C2D">
            <w:pPr>
              <w:spacing w:line="259" w:lineRule="auto"/>
              <w:rPr>
                <w:rFonts w:ascii="Arial"/>
                <w:sz w:val="21"/>
              </w:rPr>
            </w:pPr>
          </w:p>
          <w:p w14:paraId="76B53ACB">
            <w:pPr>
              <w:pStyle w:val="6"/>
              <w:spacing w:before="65" w:line="253" w:lineRule="auto"/>
              <w:ind w:left="108" w:right="104" w:firstLine="1"/>
              <w:jc w:val="both"/>
              <w:rPr>
                <w:rFonts w:ascii="Times New Roman" w:hAnsi="Times New Roman" w:eastAsia="Times New Roman" w:cs="Times New Roman"/>
              </w:rPr>
            </w:pPr>
            <w:r>
              <w:rPr>
                <w:spacing w:val="-1"/>
              </w:rPr>
              <w:t>双回线路（单</w:t>
            </w:r>
            <w:r>
              <w:rPr>
                <w:spacing w:val="24"/>
              </w:rPr>
              <w:t>边挂线）南</w:t>
            </w:r>
            <w:r>
              <w:rPr>
                <w:spacing w:val="4"/>
              </w:rPr>
              <w:t>侧，</w:t>
            </w:r>
            <w:r>
              <w:rPr>
                <w:rFonts w:ascii="Times New Roman" w:hAnsi="Times New Roman" w:eastAsia="Times New Roman" w:cs="Times New Roman"/>
              </w:rPr>
              <w:t>AJ</w:t>
            </w:r>
            <w:r>
              <w:rPr>
                <w:rFonts w:ascii="Times New Roman" w:hAnsi="Times New Roman" w:eastAsia="Times New Roman" w:cs="Times New Roman"/>
                <w:spacing w:val="4"/>
              </w:rPr>
              <w:t xml:space="preserve">5 </w:t>
            </w:r>
            <w:r>
              <w:rPr>
                <w:spacing w:val="4"/>
              </w:rPr>
              <w:t>塔基</w:t>
            </w:r>
            <w:r>
              <w:rPr>
                <w:spacing w:val="17"/>
              </w:rPr>
              <w:t>西南侧</w:t>
            </w:r>
            <w:r>
              <w:rPr>
                <w:spacing w:val="-34"/>
              </w:rPr>
              <w:t xml:space="preserve"> </w:t>
            </w:r>
            <w:r>
              <w:rPr>
                <w:rFonts w:ascii="Times New Roman" w:hAnsi="Times New Roman" w:eastAsia="Times New Roman" w:cs="Times New Roman"/>
                <w:spacing w:val="17"/>
              </w:rPr>
              <w:t>75m</w:t>
            </w:r>
          </w:p>
        </w:tc>
        <w:tc>
          <w:tcPr>
            <w:tcW w:w="1416" w:type="dxa"/>
            <w:tcBorders>
              <w:right w:val="single" w:color="000000" w:sz="2" w:space="0"/>
            </w:tcBorders>
            <w:vAlign w:val="top"/>
          </w:tcPr>
          <w:p w14:paraId="4C1ED721">
            <w:pPr>
              <w:spacing w:line="264" w:lineRule="auto"/>
              <w:rPr>
                <w:rFonts w:ascii="Arial"/>
                <w:sz w:val="21"/>
              </w:rPr>
            </w:pPr>
          </w:p>
          <w:p w14:paraId="5D4BAF55">
            <w:pPr>
              <w:spacing w:line="265" w:lineRule="auto"/>
              <w:rPr>
                <w:rFonts w:ascii="Arial"/>
                <w:sz w:val="21"/>
              </w:rPr>
            </w:pPr>
          </w:p>
          <w:p w14:paraId="307EC3E3">
            <w:pPr>
              <w:spacing w:line="265" w:lineRule="auto"/>
              <w:rPr>
                <w:rFonts w:ascii="Arial"/>
                <w:sz w:val="21"/>
              </w:rPr>
            </w:pPr>
          </w:p>
          <w:p w14:paraId="7FE31E1E">
            <w:pPr>
              <w:pStyle w:val="6"/>
              <w:spacing w:before="65" w:line="228" w:lineRule="auto"/>
              <w:ind w:left="161"/>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p>
          <w:p w14:paraId="3EEB216D">
            <w:pPr>
              <w:pStyle w:val="6"/>
              <w:spacing w:before="24" w:line="228" w:lineRule="auto"/>
              <w:ind w:left="185"/>
            </w:pPr>
            <w:r>
              <w:rPr>
                <w:spacing w:val="8"/>
              </w:rPr>
              <w:t>边导线地面</w:t>
            </w:r>
          </w:p>
          <w:p w14:paraId="06240CC4">
            <w:pPr>
              <w:pStyle w:val="6"/>
              <w:spacing w:before="25" w:line="228" w:lineRule="auto"/>
              <w:ind w:left="291"/>
            </w:pPr>
            <w:r>
              <w:rPr>
                <w:spacing w:val="7"/>
              </w:rPr>
              <w:t>投影南侧</w:t>
            </w:r>
          </w:p>
          <w:p w14:paraId="3D75E089">
            <w:pPr>
              <w:spacing w:before="46" w:line="195" w:lineRule="auto"/>
              <w:ind w:left="5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30m</w:t>
            </w:r>
          </w:p>
        </w:tc>
        <w:tc>
          <w:tcPr>
            <w:tcW w:w="1136" w:type="dxa"/>
            <w:tcBorders>
              <w:left w:val="single" w:color="000000" w:sz="2" w:space="0"/>
              <w:right w:val="single" w:color="000000" w:sz="2" w:space="0"/>
            </w:tcBorders>
            <w:vAlign w:val="top"/>
          </w:tcPr>
          <w:p w14:paraId="4B915734">
            <w:pPr>
              <w:spacing w:line="245" w:lineRule="auto"/>
              <w:rPr>
                <w:rFonts w:ascii="Arial"/>
                <w:sz w:val="21"/>
              </w:rPr>
            </w:pPr>
          </w:p>
          <w:p w14:paraId="3D1DF154">
            <w:pPr>
              <w:spacing w:line="245" w:lineRule="auto"/>
              <w:rPr>
                <w:rFonts w:ascii="Arial"/>
                <w:sz w:val="21"/>
              </w:rPr>
            </w:pPr>
          </w:p>
          <w:p w14:paraId="6FA4716D">
            <w:pPr>
              <w:spacing w:line="246" w:lineRule="auto"/>
              <w:rPr>
                <w:rFonts w:ascii="Arial"/>
                <w:sz w:val="21"/>
              </w:rPr>
            </w:pPr>
          </w:p>
          <w:p w14:paraId="7EB13ABD">
            <w:pPr>
              <w:spacing w:line="246" w:lineRule="auto"/>
              <w:rPr>
                <w:rFonts w:ascii="Arial"/>
                <w:sz w:val="21"/>
              </w:rPr>
            </w:pPr>
          </w:p>
          <w:p w14:paraId="58A10D0D">
            <w:pPr>
              <w:spacing w:line="246" w:lineRule="auto"/>
              <w:rPr>
                <w:rFonts w:ascii="Arial"/>
                <w:sz w:val="21"/>
              </w:rPr>
            </w:pPr>
          </w:p>
          <w:p w14:paraId="242296B9">
            <w:pPr>
              <w:spacing w:before="58" w:line="195" w:lineRule="auto"/>
              <w:ind w:left="38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35m</w:t>
            </w:r>
          </w:p>
        </w:tc>
        <w:tc>
          <w:tcPr>
            <w:tcW w:w="646" w:type="dxa"/>
            <w:tcBorders>
              <w:left w:val="single" w:color="000000" w:sz="2" w:space="0"/>
            </w:tcBorders>
            <w:vAlign w:val="top"/>
          </w:tcPr>
          <w:p w14:paraId="7C1C51C5">
            <w:pPr>
              <w:spacing w:line="246" w:lineRule="auto"/>
              <w:rPr>
                <w:rFonts w:ascii="Arial"/>
                <w:sz w:val="21"/>
              </w:rPr>
            </w:pPr>
          </w:p>
          <w:p w14:paraId="0FB08AF3">
            <w:pPr>
              <w:spacing w:line="246" w:lineRule="auto"/>
              <w:rPr>
                <w:rFonts w:ascii="Arial"/>
                <w:sz w:val="21"/>
              </w:rPr>
            </w:pPr>
          </w:p>
          <w:p w14:paraId="0EB3CC44">
            <w:pPr>
              <w:spacing w:line="246" w:lineRule="auto"/>
              <w:rPr>
                <w:rFonts w:ascii="Arial"/>
                <w:sz w:val="21"/>
              </w:rPr>
            </w:pPr>
          </w:p>
          <w:p w14:paraId="2BAE6B77">
            <w:pPr>
              <w:spacing w:line="246" w:lineRule="auto"/>
              <w:rPr>
                <w:rFonts w:ascii="Arial"/>
                <w:sz w:val="21"/>
              </w:rPr>
            </w:pPr>
          </w:p>
          <w:p w14:paraId="4D788B7C">
            <w:pPr>
              <w:spacing w:line="247" w:lineRule="auto"/>
              <w:rPr>
                <w:rFonts w:ascii="Arial"/>
                <w:sz w:val="21"/>
              </w:rPr>
            </w:pPr>
          </w:p>
          <w:p w14:paraId="546693BE">
            <w:pPr>
              <w:spacing w:before="58" w:line="192"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3953" w:type="dxa"/>
            <w:vAlign w:val="top"/>
          </w:tcPr>
          <w:p w14:paraId="50C5C3FE">
            <w:pPr>
              <w:spacing w:before="1" w:line="2711" w:lineRule="exact"/>
              <w:ind w:firstLine="159"/>
            </w:pPr>
            <w:r>
              <w:rPr>
                <w:position w:val="-54"/>
              </w:rPr>
              <w:drawing>
                <wp:inline distT="0" distB="0" distL="0" distR="0">
                  <wp:extent cx="2303780" cy="1721485"/>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247"/>
                          <a:stretch>
                            <a:fillRect/>
                          </a:stretch>
                        </pic:blipFill>
                        <pic:spPr>
                          <a:xfrm>
                            <a:off x="0" y="0"/>
                            <a:ext cx="2304288" cy="1721866"/>
                          </a:xfrm>
                          <a:prstGeom prst="rect">
                            <a:avLst/>
                          </a:prstGeom>
                        </pic:spPr>
                      </pic:pic>
                    </a:graphicData>
                  </a:graphic>
                </wp:inline>
              </w:drawing>
            </w:r>
          </w:p>
        </w:tc>
        <w:tc>
          <w:tcPr>
            <w:tcW w:w="1155" w:type="dxa"/>
            <w:vMerge w:val="continue"/>
            <w:tcBorders>
              <w:top w:val="nil"/>
              <w:bottom w:val="nil"/>
            </w:tcBorders>
            <w:vAlign w:val="top"/>
          </w:tcPr>
          <w:p w14:paraId="503A745E">
            <w:pPr>
              <w:rPr>
                <w:rFonts w:ascii="Arial"/>
                <w:sz w:val="21"/>
              </w:rPr>
            </w:pPr>
          </w:p>
        </w:tc>
      </w:tr>
      <w:tr w14:paraId="1C6FF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8" w:hRule="atLeast"/>
        </w:trPr>
        <w:tc>
          <w:tcPr>
            <w:tcW w:w="848" w:type="dxa"/>
            <w:vMerge w:val="continue"/>
            <w:tcBorders>
              <w:top w:val="nil"/>
              <w:right w:val="single" w:color="000000" w:sz="2" w:space="0"/>
            </w:tcBorders>
            <w:vAlign w:val="top"/>
          </w:tcPr>
          <w:p w14:paraId="7F497A7D">
            <w:pPr>
              <w:rPr>
                <w:rFonts w:ascii="Arial"/>
                <w:sz w:val="21"/>
              </w:rPr>
            </w:pPr>
          </w:p>
        </w:tc>
        <w:tc>
          <w:tcPr>
            <w:tcW w:w="1180" w:type="dxa"/>
            <w:tcBorders>
              <w:left w:val="single" w:color="000000" w:sz="2" w:space="0"/>
            </w:tcBorders>
            <w:vAlign w:val="top"/>
          </w:tcPr>
          <w:p w14:paraId="363E187D">
            <w:pPr>
              <w:spacing w:line="263" w:lineRule="auto"/>
              <w:rPr>
                <w:rFonts w:ascii="Arial"/>
                <w:sz w:val="21"/>
              </w:rPr>
            </w:pPr>
          </w:p>
          <w:p w14:paraId="0227C3EF">
            <w:pPr>
              <w:spacing w:line="263" w:lineRule="auto"/>
              <w:rPr>
                <w:rFonts w:ascii="Arial"/>
                <w:sz w:val="21"/>
              </w:rPr>
            </w:pPr>
          </w:p>
          <w:p w14:paraId="45D8A2BA">
            <w:pPr>
              <w:spacing w:line="263" w:lineRule="auto"/>
              <w:rPr>
                <w:rFonts w:ascii="Arial"/>
                <w:sz w:val="21"/>
              </w:rPr>
            </w:pPr>
          </w:p>
          <w:p w14:paraId="19B69DCB">
            <w:pPr>
              <w:spacing w:line="263" w:lineRule="auto"/>
              <w:rPr>
                <w:rFonts w:ascii="Arial"/>
                <w:sz w:val="21"/>
              </w:rPr>
            </w:pPr>
          </w:p>
          <w:p w14:paraId="58570D8E">
            <w:pPr>
              <w:pStyle w:val="6"/>
              <w:spacing w:before="65" w:line="252" w:lineRule="auto"/>
              <w:ind w:left="276" w:right="170" w:hanging="108"/>
            </w:pPr>
            <w:r>
              <w:rPr>
                <w:spacing w:val="8"/>
              </w:rPr>
              <w:t>⑥菜地看</w:t>
            </w:r>
            <w:r>
              <w:rPr>
                <w:spacing w:val="6"/>
              </w:rPr>
              <w:t>护用房</w:t>
            </w:r>
          </w:p>
        </w:tc>
        <w:tc>
          <w:tcPr>
            <w:tcW w:w="715" w:type="dxa"/>
            <w:vAlign w:val="top"/>
          </w:tcPr>
          <w:p w14:paraId="30AAB4CA">
            <w:pPr>
              <w:spacing w:line="306" w:lineRule="auto"/>
              <w:rPr>
                <w:rFonts w:ascii="Arial"/>
                <w:sz w:val="21"/>
              </w:rPr>
            </w:pPr>
          </w:p>
          <w:p w14:paraId="29BF6300">
            <w:pPr>
              <w:spacing w:line="306" w:lineRule="auto"/>
              <w:rPr>
                <w:rFonts w:ascii="Arial"/>
                <w:sz w:val="21"/>
              </w:rPr>
            </w:pPr>
          </w:p>
          <w:p w14:paraId="58F63078">
            <w:pPr>
              <w:spacing w:line="306" w:lineRule="auto"/>
              <w:rPr>
                <w:rFonts w:ascii="Arial"/>
                <w:sz w:val="21"/>
              </w:rPr>
            </w:pPr>
          </w:p>
          <w:p w14:paraId="78ACE1B6">
            <w:pPr>
              <w:pStyle w:val="6"/>
              <w:spacing w:before="65" w:line="252" w:lineRule="auto"/>
              <w:ind w:left="145" w:right="148"/>
              <w:jc w:val="both"/>
            </w:pPr>
            <w:r>
              <w:rPr>
                <w:spacing w:val="4"/>
              </w:rPr>
              <w:t>农用</w:t>
            </w:r>
            <w:r>
              <w:rPr>
                <w:spacing w:val="5"/>
              </w:rPr>
              <w:t>物资仓库</w:t>
            </w:r>
          </w:p>
        </w:tc>
        <w:tc>
          <w:tcPr>
            <w:tcW w:w="667" w:type="dxa"/>
            <w:vAlign w:val="top"/>
          </w:tcPr>
          <w:p w14:paraId="73A7D004">
            <w:pPr>
              <w:spacing w:line="263" w:lineRule="auto"/>
              <w:rPr>
                <w:rFonts w:ascii="Arial"/>
                <w:sz w:val="21"/>
              </w:rPr>
            </w:pPr>
          </w:p>
          <w:p w14:paraId="077DAAE0">
            <w:pPr>
              <w:spacing w:line="263" w:lineRule="auto"/>
              <w:rPr>
                <w:rFonts w:ascii="Arial"/>
                <w:sz w:val="21"/>
              </w:rPr>
            </w:pPr>
          </w:p>
          <w:p w14:paraId="25256A83">
            <w:pPr>
              <w:spacing w:line="263" w:lineRule="auto"/>
              <w:rPr>
                <w:rFonts w:ascii="Arial"/>
                <w:sz w:val="21"/>
              </w:rPr>
            </w:pPr>
          </w:p>
          <w:p w14:paraId="62CB29B0">
            <w:pPr>
              <w:spacing w:line="264" w:lineRule="auto"/>
              <w:rPr>
                <w:rFonts w:ascii="Arial"/>
                <w:sz w:val="21"/>
              </w:rPr>
            </w:pPr>
          </w:p>
          <w:p w14:paraId="51DC82F2">
            <w:pPr>
              <w:pStyle w:val="6"/>
              <w:spacing w:before="65" w:line="253" w:lineRule="auto"/>
              <w:ind w:left="145" w:right="150"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882" w:type="dxa"/>
            <w:vAlign w:val="top"/>
          </w:tcPr>
          <w:p w14:paraId="1C17F3C5">
            <w:pPr>
              <w:spacing w:line="259" w:lineRule="auto"/>
              <w:rPr>
                <w:rFonts w:ascii="Arial"/>
                <w:sz w:val="21"/>
              </w:rPr>
            </w:pPr>
          </w:p>
          <w:p w14:paraId="3411AA2B">
            <w:pPr>
              <w:spacing w:line="259" w:lineRule="auto"/>
              <w:rPr>
                <w:rFonts w:ascii="Arial"/>
                <w:sz w:val="21"/>
              </w:rPr>
            </w:pPr>
          </w:p>
          <w:p w14:paraId="1B3A6E03">
            <w:pPr>
              <w:spacing w:line="260" w:lineRule="auto"/>
              <w:rPr>
                <w:rFonts w:ascii="Arial"/>
                <w:sz w:val="21"/>
              </w:rPr>
            </w:pPr>
          </w:p>
          <w:p w14:paraId="15EC8589">
            <w:pPr>
              <w:pStyle w:val="6"/>
              <w:spacing w:before="65" w:line="253" w:lineRule="auto"/>
              <w:ind w:left="125" w:right="125"/>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24" w:type="dxa"/>
            <w:vAlign w:val="top"/>
          </w:tcPr>
          <w:p w14:paraId="302087A1">
            <w:pPr>
              <w:spacing w:line="259" w:lineRule="auto"/>
              <w:rPr>
                <w:rFonts w:ascii="Arial"/>
                <w:sz w:val="21"/>
              </w:rPr>
            </w:pPr>
          </w:p>
          <w:p w14:paraId="72B867C1">
            <w:pPr>
              <w:spacing w:line="259" w:lineRule="auto"/>
              <w:rPr>
                <w:rFonts w:ascii="Arial"/>
                <w:sz w:val="21"/>
              </w:rPr>
            </w:pPr>
          </w:p>
          <w:p w14:paraId="3758FB61">
            <w:pPr>
              <w:spacing w:line="260" w:lineRule="auto"/>
              <w:rPr>
                <w:rFonts w:ascii="Arial"/>
                <w:sz w:val="21"/>
              </w:rPr>
            </w:pPr>
          </w:p>
          <w:p w14:paraId="752003E9">
            <w:pPr>
              <w:pStyle w:val="6"/>
              <w:spacing w:before="65" w:line="253" w:lineRule="auto"/>
              <w:ind w:left="124" w:right="104" w:hanging="15"/>
              <w:jc w:val="both"/>
              <w:rPr>
                <w:rFonts w:ascii="Times New Roman" w:hAnsi="Times New Roman" w:eastAsia="Times New Roman" w:cs="Times New Roman"/>
              </w:rPr>
            </w:pPr>
            <w:r>
              <w:rPr>
                <w:spacing w:val="-1"/>
              </w:rPr>
              <w:t>双回线路（单</w:t>
            </w:r>
            <w:r>
              <w:rPr>
                <w:spacing w:val="20"/>
              </w:rPr>
              <w:t>边挂线）北</w:t>
            </w:r>
            <w:r>
              <w:rPr>
                <w:spacing w:val="7"/>
              </w:rPr>
              <w:t>侧，</w:t>
            </w:r>
            <w:r>
              <w:rPr>
                <w:rFonts w:ascii="Times New Roman" w:hAnsi="Times New Roman" w:eastAsia="Times New Roman" w:cs="Times New Roman"/>
              </w:rPr>
              <w:t>AZ</w:t>
            </w:r>
            <w:r>
              <w:rPr>
                <w:rFonts w:ascii="Times New Roman" w:hAnsi="Times New Roman" w:eastAsia="Times New Roman" w:cs="Times New Roman"/>
                <w:spacing w:val="7"/>
              </w:rPr>
              <w:t>12</w:t>
            </w:r>
            <w:r>
              <w:rPr>
                <w:rFonts w:ascii="Times New Roman" w:hAnsi="Times New Roman" w:eastAsia="Times New Roman" w:cs="Times New Roman"/>
                <w:spacing w:val="12"/>
              </w:rPr>
              <w:t xml:space="preserve"> </w:t>
            </w:r>
            <w:r>
              <w:rPr>
                <w:spacing w:val="7"/>
              </w:rPr>
              <w:t>塔</w:t>
            </w:r>
            <w:r>
              <w:rPr>
                <w:spacing w:val="14"/>
              </w:rPr>
              <w:t>基西侧</w:t>
            </w:r>
            <w:r>
              <w:rPr>
                <w:spacing w:val="-32"/>
              </w:rPr>
              <w:t xml:space="preserve"> </w:t>
            </w:r>
            <w:r>
              <w:rPr>
                <w:rFonts w:ascii="Times New Roman" w:hAnsi="Times New Roman" w:eastAsia="Times New Roman" w:cs="Times New Roman"/>
                <w:spacing w:val="14"/>
              </w:rPr>
              <w:t>60m</w:t>
            </w:r>
          </w:p>
        </w:tc>
        <w:tc>
          <w:tcPr>
            <w:tcW w:w="1416" w:type="dxa"/>
            <w:tcBorders>
              <w:right w:val="single" w:color="000000" w:sz="2" w:space="0"/>
            </w:tcBorders>
            <w:vAlign w:val="top"/>
          </w:tcPr>
          <w:p w14:paraId="6CC69CB5">
            <w:pPr>
              <w:spacing w:line="306" w:lineRule="auto"/>
              <w:rPr>
                <w:rFonts w:ascii="Arial"/>
                <w:sz w:val="21"/>
              </w:rPr>
            </w:pPr>
          </w:p>
          <w:p w14:paraId="033B71D2">
            <w:pPr>
              <w:spacing w:line="306" w:lineRule="auto"/>
              <w:rPr>
                <w:rFonts w:ascii="Arial"/>
                <w:sz w:val="21"/>
              </w:rPr>
            </w:pPr>
          </w:p>
          <w:p w14:paraId="0256CBFC">
            <w:pPr>
              <w:spacing w:line="306" w:lineRule="auto"/>
              <w:rPr>
                <w:rFonts w:ascii="Arial"/>
                <w:sz w:val="21"/>
              </w:rPr>
            </w:pPr>
          </w:p>
          <w:p w14:paraId="11584599">
            <w:pPr>
              <w:pStyle w:val="6"/>
              <w:spacing w:before="65" w:line="252" w:lineRule="auto"/>
              <w:ind w:left="133" w:right="127" w:firstLine="28"/>
              <w:jc w:val="both"/>
              <w:rPr>
                <w:rFonts w:ascii="Times New Roman" w:hAnsi="Times New Roman" w:eastAsia="Times New Roman" w:cs="Times New Roman"/>
              </w:rPr>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r>
              <w:rPr>
                <w:spacing w:val="18"/>
              </w:rPr>
              <w:t>边导线地面</w:t>
            </w:r>
            <w:r>
              <w:rPr>
                <w:spacing w:val="4"/>
              </w:rPr>
              <w:t>投影北侧</w:t>
            </w:r>
            <w:r>
              <w:rPr>
                <w:spacing w:val="-33"/>
              </w:rPr>
              <w:t xml:space="preserve"> </w:t>
            </w:r>
            <w:r>
              <w:rPr>
                <w:rFonts w:ascii="Times New Roman" w:hAnsi="Times New Roman" w:eastAsia="Times New Roman" w:cs="Times New Roman"/>
                <w:spacing w:val="4"/>
              </w:rPr>
              <w:t>5m</w:t>
            </w:r>
          </w:p>
        </w:tc>
        <w:tc>
          <w:tcPr>
            <w:tcW w:w="1136" w:type="dxa"/>
            <w:tcBorders>
              <w:left w:val="single" w:color="000000" w:sz="2" w:space="0"/>
              <w:right w:val="single" w:color="000000" w:sz="2" w:space="0"/>
            </w:tcBorders>
            <w:vAlign w:val="top"/>
          </w:tcPr>
          <w:p w14:paraId="2D2CB992">
            <w:pPr>
              <w:spacing w:line="246" w:lineRule="auto"/>
              <w:rPr>
                <w:rFonts w:ascii="Arial"/>
                <w:sz w:val="21"/>
              </w:rPr>
            </w:pPr>
          </w:p>
          <w:p w14:paraId="14150B81">
            <w:pPr>
              <w:spacing w:line="246" w:lineRule="auto"/>
              <w:rPr>
                <w:rFonts w:ascii="Arial"/>
                <w:sz w:val="21"/>
              </w:rPr>
            </w:pPr>
          </w:p>
          <w:p w14:paraId="23CA1A35">
            <w:pPr>
              <w:spacing w:line="246" w:lineRule="auto"/>
              <w:rPr>
                <w:rFonts w:ascii="Arial"/>
                <w:sz w:val="21"/>
              </w:rPr>
            </w:pPr>
          </w:p>
          <w:p w14:paraId="41AFAB3E">
            <w:pPr>
              <w:spacing w:line="246" w:lineRule="auto"/>
              <w:rPr>
                <w:rFonts w:ascii="Arial"/>
                <w:sz w:val="21"/>
              </w:rPr>
            </w:pPr>
          </w:p>
          <w:p w14:paraId="04A51D43">
            <w:pPr>
              <w:spacing w:line="247" w:lineRule="auto"/>
              <w:rPr>
                <w:rFonts w:ascii="Arial"/>
                <w:sz w:val="21"/>
              </w:rPr>
            </w:pPr>
          </w:p>
          <w:p w14:paraId="363776A1">
            <w:pPr>
              <w:spacing w:before="58" w:line="195" w:lineRule="auto"/>
              <w:ind w:left="40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10m</w:t>
            </w:r>
          </w:p>
        </w:tc>
        <w:tc>
          <w:tcPr>
            <w:tcW w:w="646" w:type="dxa"/>
            <w:tcBorders>
              <w:left w:val="single" w:color="000000" w:sz="2" w:space="0"/>
            </w:tcBorders>
            <w:vAlign w:val="top"/>
          </w:tcPr>
          <w:p w14:paraId="2AACA2B1">
            <w:pPr>
              <w:spacing w:line="246" w:lineRule="auto"/>
              <w:rPr>
                <w:rFonts w:ascii="Arial"/>
                <w:sz w:val="21"/>
              </w:rPr>
            </w:pPr>
          </w:p>
          <w:p w14:paraId="232938B8">
            <w:pPr>
              <w:spacing w:line="247" w:lineRule="auto"/>
              <w:rPr>
                <w:rFonts w:ascii="Arial"/>
                <w:sz w:val="21"/>
              </w:rPr>
            </w:pPr>
          </w:p>
          <w:p w14:paraId="4CD06DFB">
            <w:pPr>
              <w:spacing w:line="247" w:lineRule="auto"/>
              <w:rPr>
                <w:rFonts w:ascii="Arial"/>
                <w:sz w:val="21"/>
              </w:rPr>
            </w:pPr>
          </w:p>
          <w:p w14:paraId="197E642B">
            <w:pPr>
              <w:spacing w:line="247" w:lineRule="auto"/>
              <w:rPr>
                <w:rFonts w:ascii="Arial"/>
                <w:sz w:val="21"/>
              </w:rPr>
            </w:pPr>
          </w:p>
          <w:p w14:paraId="42475919">
            <w:pPr>
              <w:spacing w:line="247" w:lineRule="auto"/>
              <w:rPr>
                <w:rFonts w:ascii="Arial"/>
                <w:sz w:val="21"/>
              </w:rPr>
            </w:pPr>
          </w:p>
          <w:p w14:paraId="509EA832">
            <w:pPr>
              <w:spacing w:before="58" w:line="192"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3953" w:type="dxa"/>
            <w:vAlign w:val="top"/>
          </w:tcPr>
          <w:p w14:paraId="615ABA6E">
            <w:pPr>
              <w:spacing w:before="4" w:line="2713" w:lineRule="exact"/>
              <w:ind w:firstLine="104"/>
            </w:pPr>
            <w:r>
              <w:rPr>
                <w:position w:val="-54"/>
              </w:rPr>
              <w:drawing>
                <wp:inline distT="0" distB="0" distL="0" distR="0">
                  <wp:extent cx="2374265" cy="1722755"/>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248"/>
                          <a:stretch>
                            <a:fillRect/>
                          </a:stretch>
                        </pic:blipFill>
                        <pic:spPr>
                          <a:xfrm>
                            <a:off x="0" y="0"/>
                            <a:ext cx="2374392" cy="1723136"/>
                          </a:xfrm>
                          <a:prstGeom prst="rect">
                            <a:avLst/>
                          </a:prstGeom>
                        </pic:spPr>
                      </pic:pic>
                    </a:graphicData>
                  </a:graphic>
                </wp:inline>
              </w:drawing>
            </w:r>
          </w:p>
        </w:tc>
        <w:tc>
          <w:tcPr>
            <w:tcW w:w="1155" w:type="dxa"/>
            <w:vMerge w:val="continue"/>
            <w:tcBorders>
              <w:top w:val="nil"/>
              <w:bottom w:val="single" w:color="000000" w:sz="2" w:space="0"/>
            </w:tcBorders>
            <w:vAlign w:val="top"/>
          </w:tcPr>
          <w:p w14:paraId="40CA20A7">
            <w:pPr>
              <w:rPr>
                <w:rFonts w:ascii="Arial"/>
                <w:sz w:val="21"/>
              </w:rPr>
            </w:pPr>
          </w:p>
        </w:tc>
      </w:tr>
    </w:tbl>
    <w:p w14:paraId="449F6F29">
      <w:pPr>
        <w:rPr>
          <w:rFonts w:ascii="Arial"/>
          <w:sz w:val="21"/>
        </w:rPr>
      </w:pPr>
    </w:p>
    <w:p w14:paraId="2A3CA8A9">
      <w:pPr>
        <w:rPr>
          <w:rFonts w:ascii="Arial" w:hAnsi="Arial" w:eastAsia="Arial" w:cs="Arial"/>
          <w:sz w:val="21"/>
          <w:szCs w:val="21"/>
        </w:rPr>
        <w:sectPr>
          <w:footerReference r:id="rId87" w:type="default"/>
          <w:pgSz w:w="16840" w:h="11907"/>
          <w:pgMar w:top="400" w:right="1441" w:bottom="1010" w:left="1365" w:header="0" w:footer="851" w:gutter="0"/>
          <w:cols w:space="720" w:num="1"/>
        </w:sectPr>
      </w:pPr>
    </w:p>
    <w:p w14:paraId="18F6697F">
      <w:pPr>
        <w:spacing w:before="3"/>
      </w:pPr>
    </w:p>
    <w:p w14:paraId="661E3CD5">
      <w:pPr>
        <w:spacing w:before="3"/>
      </w:pPr>
    </w:p>
    <w:p w14:paraId="43063632">
      <w:pPr>
        <w:spacing w:before="3"/>
      </w:pPr>
    </w:p>
    <w:tbl>
      <w:tblPr>
        <w:tblStyle w:val="5"/>
        <w:tblW w:w="1402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8"/>
        <w:gridCol w:w="1180"/>
        <w:gridCol w:w="715"/>
        <w:gridCol w:w="667"/>
        <w:gridCol w:w="882"/>
        <w:gridCol w:w="1424"/>
        <w:gridCol w:w="1416"/>
        <w:gridCol w:w="1136"/>
        <w:gridCol w:w="646"/>
        <w:gridCol w:w="3953"/>
        <w:gridCol w:w="1155"/>
      </w:tblGrid>
      <w:tr w14:paraId="5506D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848" w:type="dxa"/>
            <w:tcBorders>
              <w:right w:val="single" w:color="000000" w:sz="2" w:space="0"/>
            </w:tcBorders>
            <w:shd w:val="clear" w:color="auto" w:fill="BEBEBE"/>
            <w:vAlign w:val="top"/>
          </w:tcPr>
          <w:p w14:paraId="2A3DDBED">
            <w:pPr>
              <w:spacing w:line="376" w:lineRule="auto"/>
              <w:rPr>
                <w:rFonts w:ascii="Arial"/>
                <w:sz w:val="21"/>
              </w:rPr>
            </w:pPr>
          </w:p>
          <w:p w14:paraId="58BFA83F">
            <w:pPr>
              <w:pStyle w:val="6"/>
              <w:spacing w:before="65" w:line="228" w:lineRule="auto"/>
              <w:ind w:left="216"/>
            </w:pPr>
            <w:r>
              <w:rPr>
                <w:b/>
                <w:bCs/>
                <w:spacing w:val="2"/>
              </w:rPr>
              <w:t>分区</w:t>
            </w:r>
          </w:p>
        </w:tc>
        <w:tc>
          <w:tcPr>
            <w:tcW w:w="1180" w:type="dxa"/>
            <w:tcBorders>
              <w:left w:val="single" w:color="000000" w:sz="2" w:space="0"/>
            </w:tcBorders>
            <w:shd w:val="clear" w:color="auto" w:fill="BEBEBE"/>
            <w:vAlign w:val="top"/>
          </w:tcPr>
          <w:p w14:paraId="272B062A">
            <w:pPr>
              <w:spacing w:line="243" w:lineRule="auto"/>
              <w:rPr>
                <w:rFonts w:ascii="Arial"/>
                <w:sz w:val="21"/>
              </w:rPr>
            </w:pPr>
          </w:p>
          <w:p w14:paraId="78A9C9DD">
            <w:pPr>
              <w:pStyle w:val="6"/>
              <w:spacing w:before="65" w:line="252" w:lineRule="auto"/>
              <w:ind w:left="418" w:right="381" w:hanging="39"/>
            </w:pPr>
            <w:r>
              <w:rPr>
                <w:b/>
                <w:bCs/>
                <w:spacing w:val="3"/>
              </w:rPr>
              <w:t>保护</w:t>
            </w:r>
            <w:r>
              <w:rPr>
                <w:b/>
                <w:bCs/>
                <w:spacing w:val="-17"/>
              </w:rPr>
              <w:t>目标</w:t>
            </w:r>
          </w:p>
        </w:tc>
        <w:tc>
          <w:tcPr>
            <w:tcW w:w="715" w:type="dxa"/>
            <w:shd w:val="clear" w:color="auto" w:fill="BEBEBE"/>
            <w:vAlign w:val="top"/>
          </w:tcPr>
          <w:p w14:paraId="207D895C">
            <w:pPr>
              <w:spacing w:line="376" w:lineRule="auto"/>
              <w:rPr>
                <w:rFonts w:ascii="Arial"/>
                <w:sz w:val="21"/>
              </w:rPr>
            </w:pPr>
          </w:p>
          <w:p w14:paraId="49EDC655">
            <w:pPr>
              <w:pStyle w:val="6"/>
              <w:spacing w:before="65" w:line="229" w:lineRule="auto"/>
              <w:ind w:left="150"/>
            </w:pPr>
            <w:r>
              <w:rPr>
                <w:b/>
                <w:bCs/>
                <w:spacing w:val="2"/>
              </w:rPr>
              <w:t>功能</w:t>
            </w:r>
          </w:p>
        </w:tc>
        <w:tc>
          <w:tcPr>
            <w:tcW w:w="667" w:type="dxa"/>
            <w:shd w:val="clear" w:color="auto" w:fill="BEBEBE"/>
            <w:vAlign w:val="top"/>
          </w:tcPr>
          <w:p w14:paraId="7192495A">
            <w:pPr>
              <w:spacing w:line="376" w:lineRule="auto"/>
              <w:rPr>
                <w:rFonts w:ascii="Arial"/>
                <w:sz w:val="21"/>
              </w:rPr>
            </w:pPr>
          </w:p>
          <w:p w14:paraId="06EB0A7B">
            <w:pPr>
              <w:pStyle w:val="6"/>
              <w:spacing w:before="65" w:line="228" w:lineRule="auto"/>
              <w:ind w:left="123"/>
            </w:pPr>
            <w:r>
              <w:rPr>
                <w:b/>
                <w:bCs/>
                <w:spacing w:val="3"/>
              </w:rPr>
              <w:t>规模</w:t>
            </w:r>
          </w:p>
        </w:tc>
        <w:tc>
          <w:tcPr>
            <w:tcW w:w="882" w:type="dxa"/>
            <w:shd w:val="clear" w:color="auto" w:fill="BEBEBE"/>
            <w:vAlign w:val="top"/>
          </w:tcPr>
          <w:p w14:paraId="3723B86D">
            <w:pPr>
              <w:pStyle w:val="6"/>
              <w:spacing w:before="170" w:line="228" w:lineRule="auto"/>
              <w:ind w:left="128"/>
            </w:pPr>
            <w:r>
              <w:rPr>
                <w:b/>
                <w:bCs/>
                <w:spacing w:val="4"/>
              </w:rPr>
              <w:t>建筑物</w:t>
            </w:r>
          </w:p>
          <w:p w14:paraId="26E07ABB">
            <w:pPr>
              <w:pStyle w:val="6"/>
              <w:spacing w:before="26" w:line="228" w:lineRule="auto"/>
              <w:ind w:left="130"/>
            </w:pPr>
            <w:r>
              <w:rPr>
                <w:b/>
                <w:bCs/>
                <w:spacing w:val="3"/>
              </w:rPr>
              <w:t>结构及</w:t>
            </w:r>
          </w:p>
          <w:p w14:paraId="650A9D23">
            <w:pPr>
              <w:pStyle w:val="6"/>
              <w:spacing w:before="23" w:line="228" w:lineRule="auto"/>
              <w:ind w:left="236"/>
            </w:pPr>
            <w:r>
              <w:rPr>
                <w:b/>
                <w:bCs/>
                <w:spacing w:val="1"/>
              </w:rPr>
              <w:t>高度</w:t>
            </w:r>
          </w:p>
        </w:tc>
        <w:tc>
          <w:tcPr>
            <w:tcW w:w="1424" w:type="dxa"/>
            <w:shd w:val="clear" w:color="auto" w:fill="BEBEBE"/>
            <w:vAlign w:val="top"/>
          </w:tcPr>
          <w:p w14:paraId="26B29A16">
            <w:pPr>
              <w:spacing w:line="376" w:lineRule="auto"/>
              <w:rPr>
                <w:rFonts w:ascii="Arial"/>
                <w:sz w:val="21"/>
              </w:rPr>
            </w:pPr>
          </w:p>
          <w:p w14:paraId="4480660B">
            <w:pPr>
              <w:pStyle w:val="6"/>
              <w:spacing w:before="65" w:line="228" w:lineRule="auto"/>
              <w:ind w:left="261"/>
            </w:pPr>
            <w:r>
              <w:rPr>
                <w:b/>
                <w:bCs/>
                <w:spacing w:val="5"/>
              </w:rPr>
              <w:t>方位</w:t>
            </w:r>
            <w:r>
              <w:rPr>
                <w:rFonts w:ascii="Times New Roman" w:hAnsi="Times New Roman" w:eastAsia="Times New Roman" w:cs="Times New Roman"/>
                <w:b/>
                <w:bCs/>
                <w:spacing w:val="5"/>
              </w:rPr>
              <w:t>/</w:t>
            </w:r>
            <w:r>
              <w:rPr>
                <w:b/>
                <w:bCs/>
                <w:spacing w:val="5"/>
              </w:rPr>
              <w:t>距离</w:t>
            </w:r>
          </w:p>
        </w:tc>
        <w:tc>
          <w:tcPr>
            <w:tcW w:w="1416" w:type="dxa"/>
            <w:tcBorders>
              <w:right w:val="single" w:color="000000" w:sz="2" w:space="0"/>
            </w:tcBorders>
            <w:shd w:val="clear" w:color="auto" w:fill="BEBEBE"/>
            <w:vAlign w:val="top"/>
          </w:tcPr>
          <w:p w14:paraId="22250013">
            <w:pPr>
              <w:pStyle w:val="6"/>
              <w:spacing w:before="35" w:line="229" w:lineRule="auto"/>
              <w:ind w:left="293"/>
            </w:pPr>
            <w:r>
              <w:rPr>
                <w:b/>
                <w:bCs/>
                <w:spacing w:val="5"/>
              </w:rPr>
              <w:t>与变电站</w:t>
            </w:r>
          </w:p>
          <w:p w14:paraId="4CCB87D3">
            <w:pPr>
              <w:pStyle w:val="6"/>
              <w:spacing w:before="25" w:line="228" w:lineRule="auto"/>
              <w:ind w:left="291"/>
            </w:pPr>
            <w:r>
              <w:rPr>
                <w:b/>
                <w:bCs/>
                <w:spacing w:val="5"/>
              </w:rPr>
              <w:t>或线路边</w:t>
            </w:r>
          </w:p>
          <w:p w14:paraId="2F034389">
            <w:pPr>
              <w:pStyle w:val="6"/>
              <w:spacing w:before="24" w:line="228" w:lineRule="auto"/>
              <w:ind w:left="294"/>
            </w:pPr>
            <w:r>
              <w:rPr>
                <w:b/>
                <w:bCs/>
                <w:spacing w:val="5"/>
              </w:rPr>
              <w:t>导线投影</w:t>
            </w:r>
          </w:p>
          <w:p w14:paraId="599F0CBA">
            <w:pPr>
              <w:pStyle w:val="6"/>
              <w:spacing w:before="25" w:line="218" w:lineRule="auto"/>
              <w:ind w:left="291"/>
            </w:pPr>
            <w:r>
              <w:rPr>
                <w:b/>
                <w:bCs/>
                <w:spacing w:val="5"/>
              </w:rPr>
              <w:t>水平距离</w:t>
            </w:r>
          </w:p>
        </w:tc>
        <w:tc>
          <w:tcPr>
            <w:tcW w:w="1136" w:type="dxa"/>
            <w:tcBorders>
              <w:left w:val="single" w:color="000000" w:sz="2" w:space="0"/>
              <w:right w:val="single" w:color="000000" w:sz="2" w:space="0"/>
            </w:tcBorders>
            <w:shd w:val="clear" w:color="auto" w:fill="BEBEBE"/>
            <w:vAlign w:val="top"/>
          </w:tcPr>
          <w:p w14:paraId="105810C4">
            <w:pPr>
              <w:pStyle w:val="6"/>
              <w:spacing w:before="169" w:line="228" w:lineRule="auto"/>
              <w:ind w:left="156"/>
            </w:pPr>
            <w:r>
              <w:rPr>
                <w:b/>
                <w:bCs/>
                <w:spacing w:val="5"/>
              </w:rPr>
              <w:t>与线路中</w:t>
            </w:r>
          </w:p>
          <w:p w14:paraId="4017A647">
            <w:pPr>
              <w:pStyle w:val="6"/>
              <w:spacing w:before="26" w:line="228" w:lineRule="auto"/>
              <w:ind w:left="159"/>
            </w:pPr>
            <w:r>
              <w:rPr>
                <w:b/>
                <w:bCs/>
                <w:spacing w:val="4"/>
              </w:rPr>
              <w:t>心最近直</w:t>
            </w:r>
          </w:p>
          <w:p w14:paraId="27A0D5BD">
            <w:pPr>
              <w:pStyle w:val="6"/>
              <w:spacing w:before="24" w:line="228" w:lineRule="auto"/>
              <w:ind w:left="260"/>
            </w:pPr>
            <w:r>
              <w:rPr>
                <w:b/>
                <w:bCs/>
                <w:spacing w:val="4"/>
              </w:rPr>
              <w:t>线距离</w:t>
            </w:r>
          </w:p>
        </w:tc>
        <w:tc>
          <w:tcPr>
            <w:tcW w:w="646" w:type="dxa"/>
            <w:tcBorders>
              <w:left w:val="single" w:color="000000" w:sz="2" w:space="0"/>
            </w:tcBorders>
            <w:shd w:val="clear" w:color="auto" w:fill="BEBEBE"/>
            <w:vAlign w:val="top"/>
          </w:tcPr>
          <w:p w14:paraId="5AC853C9">
            <w:pPr>
              <w:pStyle w:val="6"/>
              <w:spacing w:before="170" w:line="228" w:lineRule="auto"/>
              <w:ind w:left="123"/>
            </w:pPr>
            <w:r>
              <w:rPr>
                <w:b/>
                <w:bCs/>
                <w:spacing w:val="1"/>
              </w:rPr>
              <w:t>导线</w:t>
            </w:r>
          </w:p>
          <w:p w14:paraId="72C7645A">
            <w:pPr>
              <w:pStyle w:val="6"/>
              <w:spacing w:before="26" w:line="229" w:lineRule="auto"/>
              <w:ind w:left="117"/>
            </w:pPr>
            <w:r>
              <w:rPr>
                <w:b/>
                <w:bCs/>
                <w:spacing w:val="4"/>
              </w:rPr>
              <w:t>对地</w:t>
            </w:r>
          </w:p>
          <w:p w14:paraId="52826C58">
            <w:pPr>
              <w:pStyle w:val="6"/>
              <w:spacing w:before="22" w:line="228" w:lineRule="auto"/>
              <w:ind w:left="123"/>
            </w:pPr>
            <w:r>
              <w:rPr>
                <w:b/>
                <w:bCs/>
                <w:spacing w:val="1"/>
              </w:rPr>
              <w:t>高度</w:t>
            </w:r>
          </w:p>
        </w:tc>
        <w:tc>
          <w:tcPr>
            <w:tcW w:w="3953" w:type="dxa"/>
            <w:shd w:val="clear" w:color="auto" w:fill="BEBEBE"/>
            <w:vAlign w:val="top"/>
          </w:tcPr>
          <w:p w14:paraId="6757425C">
            <w:pPr>
              <w:spacing w:line="376" w:lineRule="auto"/>
              <w:rPr>
                <w:rFonts w:ascii="Arial"/>
                <w:sz w:val="21"/>
              </w:rPr>
            </w:pPr>
          </w:p>
          <w:p w14:paraId="78EFD8C8">
            <w:pPr>
              <w:pStyle w:val="6"/>
              <w:spacing w:before="65" w:line="228" w:lineRule="auto"/>
              <w:ind w:left="1561"/>
            </w:pPr>
            <w:r>
              <w:rPr>
                <w:b/>
                <w:bCs/>
                <w:spacing w:val="6"/>
              </w:rPr>
              <w:t>现状照片</w:t>
            </w:r>
          </w:p>
        </w:tc>
        <w:tc>
          <w:tcPr>
            <w:tcW w:w="1155" w:type="dxa"/>
            <w:shd w:val="clear" w:color="auto" w:fill="BEBEBE"/>
            <w:vAlign w:val="top"/>
          </w:tcPr>
          <w:p w14:paraId="23CF74D2">
            <w:pPr>
              <w:spacing w:line="376" w:lineRule="auto"/>
              <w:rPr>
                <w:rFonts w:ascii="Arial"/>
                <w:sz w:val="21"/>
              </w:rPr>
            </w:pPr>
          </w:p>
          <w:p w14:paraId="6D810F94">
            <w:pPr>
              <w:pStyle w:val="6"/>
              <w:spacing w:before="65" w:line="228" w:lineRule="auto"/>
              <w:ind w:left="161"/>
            </w:pPr>
            <w:r>
              <w:rPr>
                <w:b/>
                <w:bCs/>
                <w:spacing w:val="6"/>
              </w:rPr>
              <w:t>保护级别</w:t>
            </w:r>
          </w:p>
        </w:tc>
      </w:tr>
      <w:tr w14:paraId="6EBCC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7" w:hRule="atLeast"/>
        </w:trPr>
        <w:tc>
          <w:tcPr>
            <w:tcW w:w="848" w:type="dxa"/>
            <w:vMerge w:val="restart"/>
            <w:tcBorders>
              <w:bottom w:val="nil"/>
              <w:right w:val="single" w:color="000000" w:sz="2" w:space="0"/>
            </w:tcBorders>
            <w:vAlign w:val="top"/>
          </w:tcPr>
          <w:p w14:paraId="1A51615D">
            <w:pPr>
              <w:rPr>
                <w:rFonts w:ascii="Arial"/>
                <w:sz w:val="21"/>
              </w:rPr>
            </w:pPr>
          </w:p>
        </w:tc>
        <w:tc>
          <w:tcPr>
            <w:tcW w:w="1180" w:type="dxa"/>
            <w:tcBorders>
              <w:left w:val="single" w:color="000000" w:sz="2" w:space="0"/>
            </w:tcBorders>
            <w:vAlign w:val="top"/>
          </w:tcPr>
          <w:p w14:paraId="5EE555B4">
            <w:pPr>
              <w:spacing w:line="275" w:lineRule="auto"/>
              <w:rPr>
                <w:rFonts w:ascii="Arial"/>
                <w:sz w:val="21"/>
              </w:rPr>
            </w:pPr>
          </w:p>
          <w:p w14:paraId="04D7F131">
            <w:pPr>
              <w:spacing w:line="276" w:lineRule="auto"/>
              <w:rPr>
                <w:rFonts w:ascii="Arial"/>
                <w:sz w:val="21"/>
              </w:rPr>
            </w:pPr>
          </w:p>
          <w:p w14:paraId="5176BCA7">
            <w:pPr>
              <w:spacing w:line="276" w:lineRule="auto"/>
              <w:rPr>
                <w:rFonts w:ascii="Arial"/>
                <w:sz w:val="21"/>
              </w:rPr>
            </w:pPr>
          </w:p>
          <w:p w14:paraId="614E8A1B">
            <w:pPr>
              <w:spacing w:line="276" w:lineRule="auto"/>
              <w:rPr>
                <w:rFonts w:ascii="Arial"/>
                <w:sz w:val="21"/>
              </w:rPr>
            </w:pPr>
          </w:p>
          <w:p w14:paraId="5838827A">
            <w:pPr>
              <w:pStyle w:val="6"/>
              <w:spacing w:before="65" w:line="254" w:lineRule="auto"/>
              <w:ind w:left="276" w:right="170" w:hanging="108"/>
            </w:pPr>
            <w:r>
              <w:rPr>
                <w:spacing w:val="8"/>
              </w:rPr>
              <w:t>⑦菜地看</w:t>
            </w:r>
            <w:r>
              <w:rPr>
                <w:spacing w:val="6"/>
              </w:rPr>
              <w:t>护用房</w:t>
            </w:r>
          </w:p>
        </w:tc>
        <w:tc>
          <w:tcPr>
            <w:tcW w:w="715" w:type="dxa"/>
            <w:vAlign w:val="top"/>
          </w:tcPr>
          <w:p w14:paraId="7F6E5136">
            <w:pPr>
              <w:spacing w:line="348" w:lineRule="auto"/>
              <w:rPr>
                <w:rFonts w:ascii="Arial"/>
                <w:sz w:val="21"/>
              </w:rPr>
            </w:pPr>
          </w:p>
          <w:p w14:paraId="2814F47E">
            <w:pPr>
              <w:spacing w:line="349" w:lineRule="auto"/>
              <w:rPr>
                <w:rFonts w:ascii="Arial"/>
                <w:sz w:val="21"/>
              </w:rPr>
            </w:pPr>
          </w:p>
          <w:p w14:paraId="25E53538">
            <w:pPr>
              <w:pStyle w:val="6"/>
              <w:spacing w:before="65" w:line="252" w:lineRule="auto"/>
              <w:ind w:left="145" w:right="148" w:firstLine="2"/>
              <w:jc w:val="both"/>
            </w:pPr>
            <w:r>
              <w:rPr>
                <w:spacing w:val="3"/>
              </w:rPr>
              <w:t>居住</w:t>
            </w:r>
            <w:r>
              <w:rPr>
                <w:spacing w:val="5"/>
              </w:rPr>
              <w:t>及农用物资仓</w:t>
            </w:r>
            <w:r>
              <w:rPr>
                <w:spacing w:val="35"/>
                <w:w w:val="136"/>
              </w:rPr>
              <w:t>库</w:t>
            </w:r>
          </w:p>
        </w:tc>
        <w:tc>
          <w:tcPr>
            <w:tcW w:w="667" w:type="dxa"/>
            <w:vAlign w:val="top"/>
          </w:tcPr>
          <w:p w14:paraId="052DB6F5">
            <w:pPr>
              <w:spacing w:line="275" w:lineRule="auto"/>
              <w:rPr>
                <w:rFonts w:ascii="Arial"/>
                <w:sz w:val="21"/>
              </w:rPr>
            </w:pPr>
          </w:p>
          <w:p w14:paraId="4C16E138">
            <w:pPr>
              <w:spacing w:line="276" w:lineRule="auto"/>
              <w:rPr>
                <w:rFonts w:ascii="Arial"/>
                <w:sz w:val="21"/>
              </w:rPr>
            </w:pPr>
          </w:p>
          <w:p w14:paraId="21A0963A">
            <w:pPr>
              <w:spacing w:line="276" w:lineRule="auto"/>
              <w:rPr>
                <w:rFonts w:ascii="Arial"/>
                <w:sz w:val="21"/>
              </w:rPr>
            </w:pPr>
          </w:p>
          <w:p w14:paraId="5E3E5EB7">
            <w:pPr>
              <w:spacing w:line="276" w:lineRule="auto"/>
              <w:rPr>
                <w:rFonts w:ascii="Arial"/>
                <w:sz w:val="21"/>
              </w:rPr>
            </w:pPr>
          </w:p>
          <w:p w14:paraId="5A6C9002">
            <w:pPr>
              <w:pStyle w:val="6"/>
              <w:spacing w:before="65" w:line="255" w:lineRule="auto"/>
              <w:ind w:left="145" w:right="150"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882" w:type="dxa"/>
            <w:vAlign w:val="top"/>
          </w:tcPr>
          <w:p w14:paraId="2D71F37E">
            <w:pPr>
              <w:spacing w:line="277" w:lineRule="auto"/>
              <w:rPr>
                <w:rFonts w:ascii="Arial"/>
                <w:sz w:val="21"/>
              </w:rPr>
            </w:pPr>
          </w:p>
          <w:p w14:paraId="31DB6FD9">
            <w:pPr>
              <w:spacing w:line="277" w:lineRule="auto"/>
              <w:rPr>
                <w:rFonts w:ascii="Arial"/>
                <w:sz w:val="21"/>
              </w:rPr>
            </w:pPr>
          </w:p>
          <w:p w14:paraId="26F6FB96">
            <w:pPr>
              <w:spacing w:line="278" w:lineRule="auto"/>
              <w:rPr>
                <w:rFonts w:ascii="Arial"/>
                <w:sz w:val="21"/>
              </w:rPr>
            </w:pPr>
          </w:p>
          <w:p w14:paraId="45A40F48">
            <w:pPr>
              <w:pStyle w:val="6"/>
              <w:spacing w:before="65" w:line="252" w:lineRule="auto"/>
              <w:ind w:left="125" w:right="125"/>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24" w:type="dxa"/>
            <w:vAlign w:val="top"/>
          </w:tcPr>
          <w:p w14:paraId="27F8C85F">
            <w:pPr>
              <w:spacing w:line="356" w:lineRule="auto"/>
              <w:rPr>
                <w:rFonts w:ascii="Arial"/>
                <w:sz w:val="21"/>
              </w:rPr>
            </w:pPr>
          </w:p>
          <w:p w14:paraId="6BFC8ACF">
            <w:pPr>
              <w:spacing w:line="357" w:lineRule="auto"/>
              <w:rPr>
                <w:rFonts w:ascii="Arial"/>
                <w:sz w:val="21"/>
              </w:rPr>
            </w:pPr>
          </w:p>
          <w:p w14:paraId="6CB47F60">
            <w:pPr>
              <w:pStyle w:val="6"/>
              <w:spacing w:before="65" w:line="228" w:lineRule="auto"/>
              <w:ind w:left="109"/>
            </w:pPr>
            <w:r>
              <w:rPr>
                <w:spacing w:val="-1"/>
              </w:rPr>
              <w:t>双回线路（单</w:t>
            </w:r>
          </w:p>
          <w:p w14:paraId="717AA67F">
            <w:pPr>
              <w:pStyle w:val="6"/>
              <w:spacing w:before="24" w:line="228" w:lineRule="auto"/>
              <w:ind w:left="188"/>
            </w:pPr>
            <w:r>
              <w:rPr>
                <w:spacing w:val="8"/>
              </w:rPr>
              <w:t>边挂线）南</w:t>
            </w:r>
          </w:p>
          <w:p w14:paraId="4B6D3EA9">
            <w:pPr>
              <w:pStyle w:val="6"/>
              <w:spacing w:before="23" w:line="228" w:lineRule="auto"/>
              <w:ind w:left="180"/>
              <w:rPr>
                <w:rFonts w:ascii="Times New Roman" w:hAnsi="Times New Roman" w:eastAsia="Times New Roman" w:cs="Times New Roman"/>
              </w:rPr>
            </w:pPr>
            <w:r>
              <w:rPr>
                <w:spacing w:val="8"/>
              </w:rPr>
              <w:t>侧，</w:t>
            </w:r>
            <w:r>
              <w:rPr>
                <w:rFonts w:ascii="Times New Roman" w:hAnsi="Times New Roman" w:eastAsia="Times New Roman" w:cs="Times New Roman"/>
              </w:rPr>
              <w:t>AZ</w:t>
            </w:r>
            <w:r>
              <w:rPr>
                <w:rFonts w:ascii="Times New Roman" w:hAnsi="Times New Roman" w:eastAsia="Times New Roman" w:cs="Times New Roman"/>
                <w:spacing w:val="8"/>
              </w:rPr>
              <w:t>13G</w:t>
            </w:r>
          </w:p>
          <w:p w14:paraId="4EEF1C8E">
            <w:pPr>
              <w:pStyle w:val="6"/>
              <w:spacing w:before="26" w:line="228" w:lineRule="auto"/>
              <w:ind w:left="292"/>
            </w:pPr>
            <w:r>
              <w:rPr>
                <w:spacing w:val="8"/>
              </w:rPr>
              <w:t>塔基西侧</w:t>
            </w:r>
          </w:p>
          <w:p w14:paraId="0D6F29F0">
            <w:pPr>
              <w:spacing w:before="46" w:line="195" w:lineRule="auto"/>
              <w:ind w:left="49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150m</w:t>
            </w:r>
          </w:p>
        </w:tc>
        <w:tc>
          <w:tcPr>
            <w:tcW w:w="1416" w:type="dxa"/>
            <w:tcBorders>
              <w:right w:val="single" w:color="000000" w:sz="2" w:space="0"/>
            </w:tcBorders>
            <w:vAlign w:val="top"/>
          </w:tcPr>
          <w:p w14:paraId="4F0500B2">
            <w:pPr>
              <w:spacing w:line="282" w:lineRule="auto"/>
              <w:rPr>
                <w:rFonts w:ascii="Arial"/>
                <w:sz w:val="21"/>
              </w:rPr>
            </w:pPr>
          </w:p>
          <w:p w14:paraId="67FE856E">
            <w:pPr>
              <w:spacing w:line="283" w:lineRule="auto"/>
              <w:rPr>
                <w:rFonts w:ascii="Arial"/>
                <w:sz w:val="21"/>
              </w:rPr>
            </w:pPr>
          </w:p>
          <w:p w14:paraId="748ECAE2">
            <w:pPr>
              <w:spacing w:line="283" w:lineRule="auto"/>
              <w:rPr>
                <w:rFonts w:ascii="Arial"/>
                <w:sz w:val="21"/>
              </w:rPr>
            </w:pPr>
          </w:p>
          <w:p w14:paraId="7CD89A50">
            <w:pPr>
              <w:pStyle w:val="6"/>
              <w:spacing w:before="65" w:line="228" w:lineRule="auto"/>
              <w:ind w:left="161"/>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p>
          <w:p w14:paraId="028E53D2">
            <w:pPr>
              <w:pStyle w:val="6"/>
              <w:spacing w:before="26" w:line="228" w:lineRule="auto"/>
              <w:ind w:left="185"/>
            </w:pPr>
            <w:r>
              <w:rPr>
                <w:spacing w:val="8"/>
              </w:rPr>
              <w:t>边导线地面</w:t>
            </w:r>
          </w:p>
          <w:p w14:paraId="39914709">
            <w:pPr>
              <w:pStyle w:val="6"/>
              <w:spacing w:before="23" w:line="228" w:lineRule="auto"/>
              <w:ind w:left="291"/>
            </w:pPr>
            <w:r>
              <w:rPr>
                <w:spacing w:val="7"/>
              </w:rPr>
              <w:t>投影南侧</w:t>
            </w:r>
          </w:p>
          <w:p w14:paraId="19735B4E">
            <w:pPr>
              <w:spacing w:before="46" w:line="195"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11m</w:t>
            </w:r>
          </w:p>
        </w:tc>
        <w:tc>
          <w:tcPr>
            <w:tcW w:w="1136" w:type="dxa"/>
            <w:tcBorders>
              <w:left w:val="single" w:color="000000" w:sz="2" w:space="0"/>
              <w:right w:val="single" w:color="000000" w:sz="2" w:space="0"/>
            </w:tcBorders>
            <w:vAlign w:val="top"/>
          </w:tcPr>
          <w:p w14:paraId="0651186B">
            <w:pPr>
              <w:spacing w:line="256" w:lineRule="auto"/>
              <w:rPr>
                <w:rFonts w:ascii="Arial"/>
                <w:sz w:val="21"/>
              </w:rPr>
            </w:pPr>
          </w:p>
          <w:p w14:paraId="0A02BFB4">
            <w:pPr>
              <w:spacing w:line="256" w:lineRule="auto"/>
              <w:rPr>
                <w:rFonts w:ascii="Arial"/>
                <w:sz w:val="21"/>
              </w:rPr>
            </w:pPr>
          </w:p>
          <w:p w14:paraId="5DD730E6">
            <w:pPr>
              <w:spacing w:line="256" w:lineRule="auto"/>
              <w:rPr>
                <w:rFonts w:ascii="Arial"/>
                <w:sz w:val="21"/>
              </w:rPr>
            </w:pPr>
          </w:p>
          <w:p w14:paraId="5E0E1643">
            <w:pPr>
              <w:spacing w:line="256" w:lineRule="auto"/>
              <w:rPr>
                <w:rFonts w:ascii="Arial"/>
                <w:sz w:val="21"/>
              </w:rPr>
            </w:pPr>
          </w:p>
          <w:p w14:paraId="6CF46D2D">
            <w:pPr>
              <w:spacing w:line="257" w:lineRule="auto"/>
              <w:rPr>
                <w:rFonts w:ascii="Arial"/>
                <w:sz w:val="21"/>
              </w:rPr>
            </w:pPr>
          </w:p>
          <w:p w14:paraId="0FA30501">
            <w:pPr>
              <w:spacing w:before="58" w:line="195" w:lineRule="auto"/>
              <w:ind w:left="40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16m</w:t>
            </w:r>
          </w:p>
        </w:tc>
        <w:tc>
          <w:tcPr>
            <w:tcW w:w="646" w:type="dxa"/>
            <w:tcBorders>
              <w:left w:val="single" w:color="000000" w:sz="2" w:space="0"/>
            </w:tcBorders>
            <w:vAlign w:val="top"/>
          </w:tcPr>
          <w:p w14:paraId="5B7F0446">
            <w:pPr>
              <w:spacing w:line="256" w:lineRule="auto"/>
              <w:rPr>
                <w:rFonts w:ascii="Arial"/>
                <w:sz w:val="21"/>
              </w:rPr>
            </w:pPr>
          </w:p>
          <w:p w14:paraId="30EFD52E">
            <w:pPr>
              <w:spacing w:line="257" w:lineRule="auto"/>
              <w:rPr>
                <w:rFonts w:ascii="Arial"/>
                <w:sz w:val="21"/>
              </w:rPr>
            </w:pPr>
          </w:p>
          <w:p w14:paraId="5E1AAD2B">
            <w:pPr>
              <w:spacing w:line="257" w:lineRule="auto"/>
              <w:rPr>
                <w:rFonts w:ascii="Arial"/>
                <w:sz w:val="21"/>
              </w:rPr>
            </w:pPr>
          </w:p>
          <w:p w14:paraId="2C10C922">
            <w:pPr>
              <w:spacing w:line="257" w:lineRule="auto"/>
              <w:rPr>
                <w:rFonts w:ascii="Arial"/>
                <w:sz w:val="21"/>
              </w:rPr>
            </w:pPr>
          </w:p>
          <w:p w14:paraId="76F297D3">
            <w:pPr>
              <w:spacing w:line="257" w:lineRule="auto"/>
              <w:rPr>
                <w:rFonts w:ascii="Arial"/>
                <w:sz w:val="21"/>
              </w:rPr>
            </w:pPr>
          </w:p>
          <w:p w14:paraId="1B3B4C55">
            <w:pPr>
              <w:spacing w:before="58" w:line="192"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3953" w:type="dxa"/>
            <w:vAlign w:val="top"/>
          </w:tcPr>
          <w:p w14:paraId="5BF0F5B3">
            <w:pPr>
              <w:spacing w:line="2827" w:lineRule="exact"/>
              <w:ind w:firstLine="104"/>
            </w:pPr>
            <w:r>
              <w:rPr>
                <w:position w:val="-56"/>
              </w:rPr>
              <w:drawing>
                <wp:inline distT="0" distB="0" distL="0" distR="0">
                  <wp:extent cx="2400300" cy="1795145"/>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249"/>
                          <a:stretch>
                            <a:fillRect/>
                          </a:stretch>
                        </pic:blipFill>
                        <pic:spPr>
                          <a:xfrm>
                            <a:off x="0" y="0"/>
                            <a:ext cx="2400300" cy="1795145"/>
                          </a:xfrm>
                          <a:prstGeom prst="rect">
                            <a:avLst/>
                          </a:prstGeom>
                        </pic:spPr>
                      </pic:pic>
                    </a:graphicData>
                  </a:graphic>
                </wp:inline>
              </w:drawing>
            </w:r>
          </w:p>
        </w:tc>
        <w:tc>
          <w:tcPr>
            <w:tcW w:w="1155" w:type="dxa"/>
            <w:vMerge w:val="restart"/>
            <w:tcBorders>
              <w:bottom w:val="nil"/>
            </w:tcBorders>
            <w:vAlign w:val="top"/>
          </w:tcPr>
          <w:p w14:paraId="40C36596">
            <w:pPr>
              <w:rPr>
                <w:rFonts w:ascii="Arial"/>
                <w:sz w:val="21"/>
              </w:rPr>
            </w:pPr>
          </w:p>
        </w:tc>
      </w:tr>
      <w:tr w14:paraId="33524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7" w:hRule="atLeast"/>
        </w:trPr>
        <w:tc>
          <w:tcPr>
            <w:tcW w:w="848" w:type="dxa"/>
            <w:vMerge w:val="continue"/>
            <w:tcBorders>
              <w:top w:val="nil"/>
              <w:bottom w:val="nil"/>
              <w:right w:val="single" w:color="000000" w:sz="2" w:space="0"/>
            </w:tcBorders>
            <w:vAlign w:val="top"/>
          </w:tcPr>
          <w:p w14:paraId="1E4F0232">
            <w:pPr>
              <w:rPr>
                <w:rFonts w:ascii="Arial"/>
                <w:sz w:val="21"/>
              </w:rPr>
            </w:pPr>
          </w:p>
        </w:tc>
        <w:tc>
          <w:tcPr>
            <w:tcW w:w="1180" w:type="dxa"/>
            <w:tcBorders>
              <w:left w:val="single" w:color="000000" w:sz="2" w:space="0"/>
            </w:tcBorders>
            <w:vAlign w:val="top"/>
          </w:tcPr>
          <w:p w14:paraId="568FE03B">
            <w:pPr>
              <w:spacing w:line="276" w:lineRule="auto"/>
              <w:rPr>
                <w:rFonts w:ascii="Arial"/>
                <w:sz w:val="21"/>
              </w:rPr>
            </w:pPr>
          </w:p>
          <w:p w14:paraId="59FDC85E">
            <w:pPr>
              <w:spacing w:line="277" w:lineRule="auto"/>
              <w:rPr>
                <w:rFonts w:ascii="Arial"/>
                <w:sz w:val="21"/>
              </w:rPr>
            </w:pPr>
          </w:p>
          <w:p w14:paraId="144F013C">
            <w:pPr>
              <w:spacing w:line="277" w:lineRule="auto"/>
              <w:rPr>
                <w:rFonts w:ascii="Arial"/>
                <w:sz w:val="21"/>
              </w:rPr>
            </w:pPr>
          </w:p>
          <w:p w14:paraId="3B32589B">
            <w:pPr>
              <w:spacing w:line="277" w:lineRule="auto"/>
              <w:rPr>
                <w:rFonts w:ascii="Arial"/>
                <w:sz w:val="21"/>
              </w:rPr>
            </w:pPr>
          </w:p>
          <w:p w14:paraId="1A9ED6EA">
            <w:pPr>
              <w:pStyle w:val="6"/>
              <w:spacing w:before="65" w:line="252" w:lineRule="auto"/>
              <w:ind w:left="276" w:right="170" w:hanging="108"/>
            </w:pPr>
            <w:r>
              <w:rPr>
                <w:spacing w:val="8"/>
              </w:rPr>
              <w:t>⑧菜地看</w:t>
            </w:r>
            <w:r>
              <w:rPr>
                <w:spacing w:val="6"/>
              </w:rPr>
              <w:t>护用房</w:t>
            </w:r>
          </w:p>
        </w:tc>
        <w:tc>
          <w:tcPr>
            <w:tcW w:w="715" w:type="dxa"/>
            <w:vAlign w:val="top"/>
          </w:tcPr>
          <w:p w14:paraId="3E017E4D">
            <w:pPr>
              <w:spacing w:line="242" w:lineRule="auto"/>
              <w:rPr>
                <w:rFonts w:ascii="Arial"/>
                <w:sz w:val="21"/>
              </w:rPr>
            </w:pPr>
          </w:p>
          <w:p w14:paraId="2C8DE259">
            <w:pPr>
              <w:spacing w:line="243" w:lineRule="auto"/>
              <w:rPr>
                <w:rFonts w:ascii="Arial"/>
                <w:sz w:val="21"/>
              </w:rPr>
            </w:pPr>
          </w:p>
          <w:p w14:paraId="42BA4F05">
            <w:pPr>
              <w:spacing w:line="243" w:lineRule="auto"/>
              <w:rPr>
                <w:rFonts w:ascii="Arial"/>
                <w:sz w:val="21"/>
              </w:rPr>
            </w:pPr>
          </w:p>
          <w:p w14:paraId="37F308F6">
            <w:pPr>
              <w:spacing w:line="243" w:lineRule="auto"/>
              <w:rPr>
                <w:rFonts w:ascii="Arial"/>
                <w:sz w:val="21"/>
              </w:rPr>
            </w:pPr>
          </w:p>
          <w:p w14:paraId="2ACD7D53">
            <w:pPr>
              <w:pStyle w:val="6"/>
              <w:spacing w:before="65" w:line="251" w:lineRule="auto"/>
              <w:ind w:left="145" w:right="148"/>
              <w:jc w:val="both"/>
            </w:pPr>
            <w:r>
              <w:rPr>
                <w:spacing w:val="4"/>
              </w:rPr>
              <w:t>农用</w:t>
            </w:r>
            <w:r>
              <w:rPr>
                <w:spacing w:val="5"/>
              </w:rPr>
              <w:t>物资仓库</w:t>
            </w:r>
          </w:p>
        </w:tc>
        <w:tc>
          <w:tcPr>
            <w:tcW w:w="667" w:type="dxa"/>
            <w:vAlign w:val="top"/>
          </w:tcPr>
          <w:p w14:paraId="56289DBB">
            <w:pPr>
              <w:spacing w:line="276" w:lineRule="auto"/>
              <w:rPr>
                <w:rFonts w:ascii="Arial"/>
                <w:sz w:val="21"/>
              </w:rPr>
            </w:pPr>
          </w:p>
          <w:p w14:paraId="38CB08C6">
            <w:pPr>
              <w:spacing w:line="277" w:lineRule="auto"/>
              <w:rPr>
                <w:rFonts w:ascii="Arial"/>
                <w:sz w:val="21"/>
              </w:rPr>
            </w:pPr>
          </w:p>
          <w:p w14:paraId="3DD10298">
            <w:pPr>
              <w:spacing w:line="277" w:lineRule="auto"/>
              <w:rPr>
                <w:rFonts w:ascii="Arial"/>
                <w:sz w:val="21"/>
              </w:rPr>
            </w:pPr>
          </w:p>
          <w:p w14:paraId="0A69CA7B">
            <w:pPr>
              <w:spacing w:line="277" w:lineRule="auto"/>
              <w:rPr>
                <w:rFonts w:ascii="Arial"/>
                <w:sz w:val="21"/>
              </w:rPr>
            </w:pPr>
          </w:p>
          <w:p w14:paraId="50F42AF0">
            <w:pPr>
              <w:pStyle w:val="6"/>
              <w:spacing w:before="65" w:line="253" w:lineRule="auto"/>
              <w:ind w:left="145" w:right="150"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882" w:type="dxa"/>
            <w:vAlign w:val="top"/>
          </w:tcPr>
          <w:p w14:paraId="42A37F4E">
            <w:pPr>
              <w:spacing w:line="278" w:lineRule="auto"/>
              <w:rPr>
                <w:rFonts w:ascii="Arial"/>
                <w:sz w:val="21"/>
              </w:rPr>
            </w:pPr>
          </w:p>
          <w:p w14:paraId="262E9712">
            <w:pPr>
              <w:spacing w:line="278" w:lineRule="auto"/>
              <w:rPr>
                <w:rFonts w:ascii="Arial"/>
                <w:sz w:val="21"/>
              </w:rPr>
            </w:pPr>
          </w:p>
          <w:p w14:paraId="465F0DC8">
            <w:pPr>
              <w:spacing w:line="278" w:lineRule="auto"/>
              <w:rPr>
                <w:rFonts w:ascii="Arial"/>
                <w:sz w:val="21"/>
              </w:rPr>
            </w:pPr>
          </w:p>
          <w:p w14:paraId="78418FC2">
            <w:pPr>
              <w:pStyle w:val="6"/>
              <w:spacing w:before="65" w:line="252" w:lineRule="auto"/>
              <w:ind w:left="125" w:right="125"/>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24" w:type="dxa"/>
            <w:vAlign w:val="top"/>
          </w:tcPr>
          <w:p w14:paraId="1F89FC97">
            <w:pPr>
              <w:spacing w:line="357" w:lineRule="auto"/>
              <w:rPr>
                <w:rFonts w:ascii="Arial"/>
                <w:sz w:val="21"/>
              </w:rPr>
            </w:pPr>
          </w:p>
          <w:p w14:paraId="687AE430">
            <w:pPr>
              <w:spacing w:line="358" w:lineRule="auto"/>
              <w:rPr>
                <w:rFonts w:ascii="Arial"/>
                <w:sz w:val="21"/>
              </w:rPr>
            </w:pPr>
          </w:p>
          <w:p w14:paraId="399C0423">
            <w:pPr>
              <w:pStyle w:val="6"/>
              <w:spacing w:before="65" w:line="228" w:lineRule="auto"/>
              <w:ind w:left="109"/>
            </w:pPr>
            <w:r>
              <w:rPr>
                <w:spacing w:val="-1"/>
              </w:rPr>
              <w:t>双回线路（单</w:t>
            </w:r>
          </w:p>
          <w:p w14:paraId="3067718D">
            <w:pPr>
              <w:pStyle w:val="6"/>
              <w:spacing w:before="24" w:line="228" w:lineRule="auto"/>
              <w:ind w:left="188"/>
            </w:pPr>
            <w:r>
              <w:rPr>
                <w:spacing w:val="8"/>
              </w:rPr>
              <w:t>边挂线）北</w:t>
            </w:r>
          </w:p>
          <w:p w14:paraId="5E799FAE">
            <w:pPr>
              <w:pStyle w:val="6"/>
              <w:spacing w:before="25" w:line="228" w:lineRule="auto"/>
              <w:ind w:left="180"/>
              <w:rPr>
                <w:rFonts w:ascii="Times New Roman" w:hAnsi="Times New Roman" w:eastAsia="Times New Roman" w:cs="Times New Roman"/>
              </w:rPr>
            </w:pPr>
            <w:r>
              <w:rPr>
                <w:spacing w:val="8"/>
              </w:rPr>
              <w:t>侧，</w:t>
            </w:r>
            <w:r>
              <w:rPr>
                <w:rFonts w:ascii="Times New Roman" w:hAnsi="Times New Roman" w:eastAsia="Times New Roman" w:cs="Times New Roman"/>
              </w:rPr>
              <w:t>AZ</w:t>
            </w:r>
            <w:r>
              <w:rPr>
                <w:rFonts w:ascii="Times New Roman" w:hAnsi="Times New Roman" w:eastAsia="Times New Roman" w:cs="Times New Roman"/>
                <w:spacing w:val="8"/>
              </w:rPr>
              <w:t>14G</w:t>
            </w:r>
          </w:p>
          <w:p w14:paraId="753D97D9">
            <w:pPr>
              <w:pStyle w:val="6"/>
              <w:spacing w:before="24" w:line="228" w:lineRule="auto"/>
              <w:ind w:left="292"/>
            </w:pPr>
            <w:r>
              <w:rPr>
                <w:spacing w:val="8"/>
              </w:rPr>
              <w:t>塔基东侧</w:t>
            </w:r>
          </w:p>
          <w:p w14:paraId="3B4B89D8">
            <w:pPr>
              <w:spacing w:before="48" w:line="195" w:lineRule="auto"/>
              <w:ind w:left="49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120m</w:t>
            </w:r>
          </w:p>
        </w:tc>
        <w:tc>
          <w:tcPr>
            <w:tcW w:w="1416" w:type="dxa"/>
            <w:tcBorders>
              <w:right w:val="single" w:color="000000" w:sz="2" w:space="0"/>
            </w:tcBorders>
            <w:vAlign w:val="top"/>
          </w:tcPr>
          <w:p w14:paraId="1F32CE9C">
            <w:pPr>
              <w:spacing w:line="284" w:lineRule="auto"/>
              <w:rPr>
                <w:rFonts w:ascii="Arial"/>
                <w:sz w:val="21"/>
              </w:rPr>
            </w:pPr>
          </w:p>
          <w:p w14:paraId="04E4DF54">
            <w:pPr>
              <w:spacing w:line="284" w:lineRule="auto"/>
              <w:rPr>
                <w:rFonts w:ascii="Arial"/>
                <w:sz w:val="21"/>
              </w:rPr>
            </w:pPr>
          </w:p>
          <w:p w14:paraId="68D4B785">
            <w:pPr>
              <w:spacing w:line="284" w:lineRule="auto"/>
              <w:rPr>
                <w:rFonts w:ascii="Arial"/>
                <w:sz w:val="21"/>
              </w:rPr>
            </w:pPr>
          </w:p>
          <w:p w14:paraId="1AD62212">
            <w:pPr>
              <w:pStyle w:val="6"/>
              <w:spacing w:before="65" w:line="228" w:lineRule="auto"/>
              <w:ind w:left="161"/>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p>
          <w:p w14:paraId="103946F7">
            <w:pPr>
              <w:pStyle w:val="6"/>
              <w:spacing w:before="24" w:line="228" w:lineRule="auto"/>
              <w:ind w:left="185"/>
            </w:pPr>
            <w:r>
              <w:rPr>
                <w:spacing w:val="8"/>
              </w:rPr>
              <w:t>边导线地面</w:t>
            </w:r>
          </w:p>
          <w:p w14:paraId="235ED23A">
            <w:pPr>
              <w:pStyle w:val="6"/>
              <w:spacing w:before="23" w:line="228" w:lineRule="auto"/>
              <w:ind w:left="291"/>
            </w:pPr>
            <w:r>
              <w:rPr>
                <w:spacing w:val="7"/>
              </w:rPr>
              <w:t>投影北侧</w:t>
            </w:r>
          </w:p>
          <w:p w14:paraId="53005AE8">
            <w:pPr>
              <w:spacing w:before="48" w:line="195" w:lineRule="auto"/>
              <w:ind w:left="5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29m</w:t>
            </w:r>
          </w:p>
        </w:tc>
        <w:tc>
          <w:tcPr>
            <w:tcW w:w="1136" w:type="dxa"/>
            <w:tcBorders>
              <w:left w:val="single" w:color="000000" w:sz="2" w:space="0"/>
              <w:right w:val="single" w:color="000000" w:sz="2" w:space="0"/>
            </w:tcBorders>
            <w:vAlign w:val="top"/>
          </w:tcPr>
          <w:p w14:paraId="5752CF5A">
            <w:pPr>
              <w:spacing w:line="256" w:lineRule="auto"/>
              <w:rPr>
                <w:rFonts w:ascii="Arial"/>
                <w:sz w:val="21"/>
              </w:rPr>
            </w:pPr>
          </w:p>
          <w:p w14:paraId="276580C5">
            <w:pPr>
              <w:spacing w:line="256" w:lineRule="auto"/>
              <w:rPr>
                <w:rFonts w:ascii="Arial"/>
                <w:sz w:val="21"/>
              </w:rPr>
            </w:pPr>
          </w:p>
          <w:p w14:paraId="06C97CB0">
            <w:pPr>
              <w:spacing w:line="257" w:lineRule="auto"/>
              <w:rPr>
                <w:rFonts w:ascii="Arial"/>
                <w:sz w:val="21"/>
              </w:rPr>
            </w:pPr>
          </w:p>
          <w:p w14:paraId="4554E200">
            <w:pPr>
              <w:spacing w:line="257" w:lineRule="auto"/>
              <w:rPr>
                <w:rFonts w:ascii="Arial"/>
                <w:sz w:val="21"/>
              </w:rPr>
            </w:pPr>
          </w:p>
          <w:p w14:paraId="3281CE1C">
            <w:pPr>
              <w:spacing w:line="257" w:lineRule="auto"/>
              <w:rPr>
                <w:rFonts w:ascii="Arial"/>
                <w:sz w:val="21"/>
              </w:rPr>
            </w:pPr>
          </w:p>
          <w:p w14:paraId="2C2B6FA5">
            <w:pPr>
              <w:spacing w:before="58" w:line="195" w:lineRule="auto"/>
              <w:ind w:left="38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34m</w:t>
            </w:r>
          </w:p>
        </w:tc>
        <w:tc>
          <w:tcPr>
            <w:tcW w:w="646" w:type="dxa"/>
            <w:tcBorders>
              <w:left w:val="single" w:color="000000" w:sz="2" w:space="0"/>
            </w:tcBorders>
            <w:vAlign w:val="top"/>
          </w:tcPr>
          <w:p w14:paraId="27F7CF19">
            <w:pPr>
              <w:spacing w:line="257" w:lineRule="auto"/>
              <w:rPr>
                <w:rFonts w:ascii="Arial"/>
                <w:sz w:val="21"/>
              </w:rPr>
            </w:pPr>
          </w:p>
          <w:p w14:paraId="013F46E0">
            <w:pPr>
              <w:spacing w:line="257" w:lineRule="auto"/>
              <w:rPr>
                <w:rFonts w:ascii="Arial"/>
                <w:sz w:val="21"/>
              </w:rPr>
            </w:pPr>
          </w:p>
          <w:p w14:paraId="087220E5">
            <w:pPr>
              <w:spacing w:line="257" w:lineRule="auto"/>
              <w:rPr>
                <w:rFonts w:ascii="Arial"/>
                <w:sz w:val="21"/>
              </w:rPr>
            </w:pPr>
          </w:p>
          <w:p w14:paraId="6375AB34">
            <w:pPr>
              <w:spacing w:line="257" w:lineRule="auto"/>
              <w:rPr>
                <w:rFonts w:ascii="Arial"/>
                <w:sz w:val="21"/>
              </w:rPr>
            </w:pPr>
          </w:p>
          <w:p w14:paraId="067A4217">
            <w:pPr>
              <w:spacing w:line="258" w:lineRule="auto"/>
              <w:rPr>
                <w:rFonts w:ascii="Arial"/>
                <w:sz w:val="21"/>
              </w:rPr>
            </w:pPr>
          </w:p>
          <w:p w14:paraId="4728BEF6">
            <w:pPr>
              <w:spacing w:before="58" w:line="192"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3953" w:type="dxa"/>
            <w:vAlign w:val="top"/>
          </w:tcPr>
          <w:p w14:paraId="6A0D7F91">
            <w:pPr>
              <w:spacing w:before="1" w:line="2826" w:lineRule="exact"/>
              <w:ind w:firstLine="104"/>
            </w:pPr>
            <w:r>
              <w:rPr>
                <w:position w:val="-56"/>
              </w:rPr>
              <w:drawing>
                <wp:inline distT="0" distB="0" distL="0" distR="0">
                  <wp:extent cx="2400300" cy="1793875"/>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250"/>
                          <a:stretch>
                            <a:fillRect/>
                          </a:stretch>
                        </pic:blipFill>
                        <pic:spPr>
                          <a:xfrm>
                            <a:off x="0" y="0"/>
                            <a:ext cx="2400300" cy="1794256"/>
                          </a:xfrm>
                          <a:prstGeom prst="rect">
                            <a:avLst/>
                          </a:prstGeom>
                        </pic:spPr>
                      </pic:pic>
                    </a:graphicData>
                  </a:graphic>
                </wp:inline>
              </w:drawing>
            </w:r>
          </w:p>
        </w:tc>
        <w:tc>
          <w:tcPr>
            <w:tcW w:w="1155" w:type="dxa"/>
            <w:vMerge w:val="continue"/>
            <w:tcBorders>
              <w:top w:val="nil"/>
              <w:bottom w:val="nil"/>
            </w:tcBorders>
            <w:vAlign w:val="top"/>
          </w:tcPr>
          <w:p w14:paraId="77F7E451">
            <w:pPr>
              <w:rPr>
                <w:rFonts w:ascii="Arial"/>
                <w:sz w:val="21"/>
              </w:rPr>
            </w:pPr>
          </w:p>
        </w:tc>
      </w:tr>
      <w:tr w14:paraId="57CBF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8" w:hRule="atLeast"/>
        </w:trPr>
        <w:tc>
          <w:tcPr>
            <w:tcW w:w="848" w:type="dxa"/>
            <w:vMerge w:val="continue"/>
            <w:tcBorders>
              <w:top w:val="nil"/>
              <w:right w:val="single" w:color="000000" w:sz="2" w:space="0"/>
            </w:tcBorders>
            <w:vAlign w:val="top"/>
          </w:tcPr>
          <w:p w14:paraId="4D6701A5">
            <w:pPr>
              <w:rPr>
                <w:rFonts w:ascii="Arial"/>
                <w:sz w:val="21"/>
              </w:rPr>
            </w:pPr>
          </w:p>
        </w:tc>
        <w:tc>
          <w:tcPr>
            <w:tcW w:w="1180" w:type="dxa"/>
            <w:tcBorders>
              <w:left w:val="single" w:color="000000" w:sz="2" w:space="0"/>
            </w:tcBorders>
            <w:vAlign w:val="top"/>
          </w:tcPr>
          <w:p w14:paraId="3F978F8A">
            <w:pPr>
              <w:spacing w:line="263" w:lineRule="auto"/>
              <w:rPr>
                <w:rFonts w:ascii="Arial"/>
                <w:sz w:val="21"/>
              </w:rPr>
            </w:pPr>
          </w:p>
          <w:p w14:paraId="38BB6551">
            <w:pPr>
              <w:spacing w:line="263" w:lineRule="auto"/>
              <w:rPr>
                <w:rFonts w:ascii="Arial"/>
                <w:sz w:val="21"/>
              </w:rPr>
            </w:pPr>
          </w:p>
          <w:p w14:paraId="1C91FCE4">
            <w:pPr>
              <w:spacing w:line="264" w:lineRule="auto"/>
              <w:rPr>
                <w:rFonts w:ascii="Arial"/>
                <w:sz w:val="21"/>
              </w:rPr>
            </w:pPr>
          </w:p>
          <w:p w14:paraId="2536CD92">
            <w:pPr>
              <w:spacing w:line="264" w:lineRule="auto"/>
              <w:rPr>
                <w:rFonts w:ascii="Arial"/>
                <w:sz w:val="21"/>
              </w:rPr>
            </w:pPr>
          </w:p>
          <w:p w14:paraId="371626C6">
            <w:pPr>
              <w:pStyle w:val="6"/>
              <w:spacing w:before="65" w:line="252" w:lineRule="auto"/>
              <w:ind w:left="276" w:right="170" w:hanging="108"/>
            </w:pPr>
            <w:r>
              <w:rPr>
                <w:spacing w:val="8"/>
              </w:rPr>
              <w:t>⑨菜地看</w:t>
            </w:r>
            <w:r>
              <w:rPr>
                <w:spacing w:val="6"/>
              </w:rPr>
              <w:t>护用房</w:t>
            </w:r>
          </w:p>
        </w:tc>
        <w:tc>
          <w:tcPr>
            <w:tcW w:w="715" w:type="dxa"/>
            <w:vAlign w:val="top"/>
          </w:tcPr>
          <w:p w14:paraId="6BD2E655">
            <w:pPr>
              <w:spacing w:line="323" w:lineRule="auto"/>
              <w:rPr>
                <w:rFonts w:ascii="Arial"/>
                <w:sz w:val="21"/>
              </w:rPr>
            </w:pPr>
          </w:p>
          <w:p w14:paraId="7C5F1691">
            <w:pPr>
              <w:spacing w:line="323" w:lineRule="auto"/>
              <w:rPr>
                <w:rFonts w:ascii="Arial"/>
                <w:sz w:val="21"/>
              </w:rPr>
            </w:pPr>
          </w:p>
          <w:p w14:paraId="6A85D41B">
            <w:pPr>
              <w:pStyle w:val="6"/>
              <w:spacing w:before="65" w:line="252" w:lineRule="auto"/>
              <w:ind w:left="145" w:right="148" w:firstLine="2"/>
              <w:jc w:val="both"/>
            </w:pPr>
            <w:r>
              <w:rPr>
                <w:spacing w:val="3"/>
              </w:rPr>
              <w:t>居住</w:t>
            </w:r>
            <w:r>
              <w:rPr>
                <w:spacing w:val="5"/>
              </w:rPr>
              <w:t>及农用物资仓</w:t>
            </w:r>
            <w:r>
              <w:rPr>
                <w:spacing w:val="35"/>
                <w:w w:val="136"/>
              </w:rPr>
              <w:t>库</w:t>
            </w:r>
          </w:p>
        </w:tc>
        <w:tc>
          <w:tcPr>
            <w:tcW w:w="667" w:type="dxa"/>
            <w:vAlign w:val="top"/>
          </w:tcPr>
          <w:p w14:paraId="0207AACF">
            <w:pPr>
              <w:spacing w:line="263" w:lineRule="auto"/>
              <w:rPr>
                <w:rFonts w:ascii="Arial"/>
                <w:sz w:val="21"/>
              </w:rPr>
            </w:pPr>
          </w:p>
          <w:p w14:paraId="7E563B81">
            <w:pPr>
              <w:spacing w:line="263" w:lineRule="auto"/>
              <w:rPr>
                <w:rFonts w:ascii="Arial"/>
                <w:sz w:val="21"/>
              </w:rPr>
            </w:pPr>
          </w:p>
          <w:p w14:paraId="2588A86B">
            <w:pPr>
              <w:spacing w:line="264" w:lineRule="auto"/>
              <w:rPr>
                <w:rFonts w:ascii="Arial"/>
                <w:sz w:val="21"/>
              </w:rPr>
            </w:pPr>
          </w:p>
          <w:p w14:paraId="4C856370">
            <w:pPr>
              <w:spacing w:line="264" w:lineRule="auto"/>
              <w:rPr>
                <w:rFonts w:ascii="Arial"/>
                <w:sz w:val="21"/>
              </w:rPr>
            </w:pPr>
          </w:p>
          <w:p w14:paraId="3B468902">
            <w:pPr>
              <w:pStyle w:val="6"/>
              <w:spacing w:before="65" w:line="253" w:lineRule="auto"/>
              <w:ind w:left="145" w:right="150"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882" w:type="dxa"/>
            <w:vAlign w:val="top"/>
          </w:tcPr>
          <w:p w14:paraId="7BC5A71C">
            <w:pPr>
              <w:spacing w:line="260" w:lineRule="auto"/>
              <w:rPr>
                <w:rFonts w:ascii="Arial"/>
                <w:sz w:val="21"/>
              </w:rPr>
            </w:pPr>
          </w:p>
          <w:p w14:paraId="6EDE9070">
            <w:pPr>
              <w:spacing w:line="260" w:lineRule="auto"/>
              <w:rPr>
                <w:rFonts w:ascii="Arial"/>
                <w:sz w:val="21"/>
              </w:rPr>
            </w:pPr>
          </w:p>
          <w:p w14:paraId="763B9403">
            <w:pPr>
              <w:spacing w:line="261" w:lineRule="auto"/>
              <w:rPr>
                <w:rFonts w:ascii="Arial"/>
                <w:sz w:val="21"/>
              </w:rPr>
            </w:pPr>
          </w:p>
          <w:p w14:paraId="04F01C86">
            <w:pPr>
              <w:pStyle w:val="6"/>
              <w:spacing w:before="65" w:line="252" w:lineRule="auto"/>
              <w:ind w:left="125" w:right="125"/>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24" w:type="dxa"/>
            <w:vAlign w:val="top"/>
          </w:tcPr>
          <w:p w14:paraId="306C4BCB">
            <w:pPr>
              <w:spacing w:line="331" w:lineRule="auto"/>
              <w:rPr>
                <w:rFonts w:ascii="Arial"/>
                <w:sz w:val="21"/>
              </w:rPr>
            </w:pPr>
          </w:p>
          <w:p w14:paraId="07F019EB">
            <w:pPr>
              <w:spacing w:line="331" w:lineRule="auto"/>
              <w:rPr>
                <w:rFonts w:ascii="Arial"/>
                <w:sz w:val="21"/>
              </w:rPr>
            </w:pPr>
          </w:p>
          <w:p w14:paraId="2A291DCB">
            <w:pPr>
              <w:pStyle w:val="6"/>
              <w:spacing w:before="65" w:line="228" w:lineRule="auto"/>
              <w:ind w:left="109"/>
            </w:pPr>
            <w:r>
              <w:rPr>
                <w:spacing w:val="-1"/>
              </w:rPr>
              <w:t>双回线路（单</w:t>
            </w:r>
          </w:p>
          <w:p w14:paraId="19EDA1A0">
            <w:pPr>
              <w:pStyle w:val="6"/>
              <w:spacing w:before="25" w:line="228" w:lineRule="auto"/>
              <w:ind w:left="188"/>
            </w:pPr>
            <w:r>
              <w:rPr>
                <w:spacing w:val="8"/>
              </w:rPr>
              <w:t>边挂线）南</w:t>
            </w:r>
          </w:p>
          <w:p w14:paraId="4AA1D01E">
            <w:pPr>
              <w:pStyle w:val="6"/>
              <w:spacing w:before="23" w:line="228" w:lineRule="auto"/>
              <w:ind w:left="180"/>
              <w:rPr>
                <w:rFonts w:ascii="Times New Roman" w:hAnsi="Times New Roman" w:eastAsia="Times New Roman" w:cs="Times New Roman"/>
              </w:rPr>
            </w:pPr>
            <w:r>
              <w:rPr>
                <w:spacing w:val="8"/>
              </w:rPr>
              <w:t>侧，</w:t>
            </w:r>
            <w:r>
              <w:rPr>
                <w:rFonts w:ascii="Times New Roman" w:hAnsi="Times New Roman" w:eastAsia="Times New Roman" w:cs="Times New Roman"/>
              </w:rPr>
              <w:t>AZ</w:t>
            </w:r>
            <w:r>
              <w:rPr>
                <w:rFonts w:ascii="Times New Roman" w:hAnsi="Times New Roman" w:eastAsia="Times New Roman" w:cs="Times New Roman"/>
                <w:spacing w:val="8"/>
              </w:rPr>
              <w:t>14G</w:t>
            </w:r>
          </w:p>
          <w:p w14:paraId="4638F40D">
            <w:pPr>
              <w:pStyle w:val="6"/>
              <w:spacing w:before="26" w:line="228" w:lineRule="auto"/>
              <w:ind w:left="292"/>
            </w:pPr>
            <w:r>
              <w:rPr>
                <w:spacing w:val="8"/>
              </w:rPr>
              <w:t>塔基西侧</w:t>
            </w:r>
          </w:p>
          <w:p w14:paraId="411DD5E5">
            <w:pPr>
              <w:spacing w:before="46" w:line="195" w:lineRule="auto"/>
              <w:ind w:left="52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25m</w:t>
            </w:r>
          </w:p>
        </w:tc>
        <w:tc>
          <w:tcPr>
            <w:tcW w:w="1416" w:type="dxa"/>
            <w:tcBorders>
              <w:right w:val="single" w:color="000000" w:sz="2" w:space="0"/>
            </w:tcBorders>
            <w:vAlign w:val="top"/>
          </w:tcPr>
          <w:p w14:paraId="439B6ABB">
            <w:pPr>
              <w:spacing w:line="265" w:lineRule="auto"/>
              <w:rPr>
                <w:rFonts w:ascii="Arial"/>
                <w:sz w:val="21"/>
              </w:rPr>
            </w:pPr>
          </w:p>
          <w:p w14:paraId="503F9C85">
            <w:pPr>
              <w:spacing w:line="265" w:lineRule="auto"/>
              <w:rPr>
                <w:rFonts w:ascii="Arial"/>
                <w:sz w:val="21"/>
              </w:rPr>
            </w:pPr>
          </w:p>
          <w:p w14:paraId="2D1295EE">
            <w:pPr>
              <w:spacing w:line="266" w:lineRule="auto"/>
              <w:rPr>
                <w:rFonts w:ascii="Arial"/>
                <w:sz w:val="21"/>
              </w:rPr>
            </w:pPr>
          </w:p>
          <w:p w14:paraId="5F357503">
            <w:pPr>
              <w:pStyle w:val="6"/>
              <w:spacing w:before="65" w:line="228" w:lineRule="auto"/>
              <w:ind w:left="161"/>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p>
          <w:p w14:paraId="7CD3DA35">
            <w:pPr>
              <w:pStyle w:val="6"/>
              <w:spacing w:before="26" w:line="228" w:lineRule="auto"/>
              <w:ind w:left="185"/>
            </w:pPr>
            <w:r>
              <w:rPr>
                <w:spacing w:val="8"/>
              </w:rPr>
              <w:t>边导线地面</w:t>
            </w:r>
          </w:p>
          <w:p w14:paraId="0568A586">
            <w:pPr>
              <w:pStyle w:val="6"/>
              <w:spacing w:before="23" w:line="228" w:lineRule="auto"/>
              <w:ind w:left="291"/>
            </w:pPr>
            <w:r>
              <w:rPr>
                <w:spacing w:val="7"/>
              </w:rPr>
              <w:t>投影南侧</w:t>
            </w:r>
          </w:p>
          <w:p w14:paraId="53A4CAA3">
            <w:pPr>
              <w:spacing w:before="48" w:line="195"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11m</w:t>
            </w:r>
          </w:p>
        </w:tc>
        <w:tc>
          <w:tcPr>
            <w:tcW w:w="1136" w:type="dxa"/>
            <w:tcBorders>
              <w:left w:val="single" w:color="000000" w:sz="2" w:space="0"/>
              <w:right w:val="single" w:color="000000" w:sz="2" w:space="0"/>
            </w:tcBorders>
            <w:vAlign w:val="top"/>
          </w:tcPr>
          <w:p w14:paraId="30789277">
            <w:pPr>
              <w:spacing w:line="246" w:lineRule="auto"/>
              <w:rPr>
                <w:rFonts w:ascii="Arial"/>
                <w:sz w:val="21"/>
              </w:rPr>
            </w:pPr>
          </w:p>
          <w:p w14:paraId="40517214">
            <w:pPr>
              <w:spacing w:line="246" w:lineRule="auto"/>
              <w:rPr>
                <w:rFonts w:ascii="Arial"/>
                <w:sz w:val="21"/>
              </w:rPr>
            </w:pPr>
          </w:p>
          <w:p w14:paraId="581103B8">
            <w:pPr>
              <w:spacing w:line="246" w:lineRule="auto"/>
              <w:rPr>
                <w:rFonts w:ascii="Arial"/>
                <w:sz w:val="21"/>
              </w:rPr>
            </w:pPr>
          </w:p>
          <w:p w14:paraId="569C6849">
            <w:pPr>
              <w:spacing w:line="246" w:lineRule="auto"/>
              <w:rPr>
                <w:rFonts w:ascii="Arial"/>
                <w:sz w:val="21"/>
              </w:rPr>
            </w:pPr>
          </w:p>
          <w:p w14:paraId="70F28BE6">
            <w:pPr>
              <w:spacing w:line="246" w:lineRule="auto"/>
              <w:rPr>
                <w:rFonts w:ascii="Arial"/>
                <w:sz w:val="21"/>
              </w:rPr>
            </w:pPr>
          </w:p>
          <w:p w14:paraId="3A53A108">
            <w:pPr>
              <w:spacing w:before="58" w:line="195" w:lineRule="auto"/>
              <w:ind w:left="40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16m</w:t>
            </w:r>
          </w:p>
        </w:tc>
        <w:tc>
          <w:tcPr>
            <w:tcW w:w="646" w:type="dxa"/>
            <w:tcBorders>
              <w:left w:val="single" w:color="000000" w:sz="2" w:space="0"/>
            </w:tcBorders>
            <w:vAlign w:val="top"/>
          </w:tcPr>
          <w:p w14:paraId="3A288722">
            <w:pPr>
              <w:spacing w:line="246" w:lineRule="auto"/>
              <w:rPr>
                <w:rFonts w:ascii="Arial"/>
                <w:sz w:val="21"/>
              </w:rPr>
            </w:pPr>
          </w:p>
          <w:p w14:paraId="4286339F">
            <w:pPr>
              <w:spacing w:line="246" w:lineRule="auto"/>
              <w:rPr>
                <w:rFonts w:ascii="Arial"/>
                <w:sz w:val="21"/>
              </w:rPr>
            </w:pPr>
          </w:p>
          <w:p w14:paraId="4088E760">
            <w:pPr>
              <w:spacing w:line="247" w:lineRule="auto"/>
              <w:rPr>
                <w:rFonts w:ascii="Arial"/>
                <w:sz w:val="21"/>
              </w:rPr>
            </w:pPr>
          </w:p>
          <w:p w14:paraId="1A18ED86">
            <w:pPr>
              <w:spacing w:line="247" w:lineRule="auto"/>
              <w:rPr>
                <w:rFonts w:ascii="Arial"/>
                <w:sz w:val="21"/>
              </w:rPr>
            </w:pPr>
          </w:p>
          <w:p w14:paraId="0E630794">
            <w:pPr>
              <w:spacing w:line="247" w:lineRule="auto"/>
              <w:rPr>
                <w:rFonts w:ascii="Arial"/>
                <w:sz w:val="21"/>
              </w:rPr>
            </w:pPr>
          </w:p>
          <w:p w14:paraId="41A700CA">
            <w:pPr>
              <w:spacing w:before="58" w:line="192"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3953" w:type="dxa"/>
            <w:vAlign w:val="top"/>
          </w:tcPr>
          <w:p w14:paraId="717BE1C2">
            <w:pPr>
              <w:spacing w:before="5" w:line="2712" w:lineRule="exact"/>
              <w:ind w:firstLine="159"/>
            </w:pPr>
            <w:r>
              <w:rPr>
                <w:position w:val="-54"/>
              </w:rPr>
              <w:drawing>
                <wp:inline distT="0" distB="0" distL="0" distR="0">
                  <wp:extent cx="2303780" cy="1722120"/>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251"/>
                          <a:stretch>
                            <a:fillRect/>
                          </a:stretch>
                        </pic:blipFill>
                        <pic:spPr>
                          <a:xfrm>
                            <a:off x="0" y="0"/>
                            <a:ext cx="2304288" cy="1722374"/>
                          </a:xfrm>
                          <a:prstGeom prst="rect">
                            <a:avLst/>
                          </a:prstGeom>
                        </pic:spPr>
                      </pic:pic>
                    </a:graphicData>
                  </a:graphic>
                </wp:inline>
              </w:drawing>
            </w:r>
          </w:p>
        </w:tc>
        <w:tc>
          <w:tcPr>
            <w:tcW w:w="1155" w:type="dxa"/>
            <w:vMerge w:val="continue"/>
            <w:tcBorders>
              <w:top w:val="nil"/>
              <w:bottom w:val="single" w:color="000000" w:sz="2" w:space="0"/>
            </w:tcBorders>
            <w:vAlign w:val="top"/>
          </w:tcPr>
          <w:p w14:paraId="322A1FC6">
            <w:pPr>
              <w:rPr>
                <w:rFonts w:ascii="Arial"/>
                <w:sz w:val="21"/>
              </w:rPr>
            </w:pPr>
          </w:p>
        </w:tc>
      </w:tr>
    </w:tbl>
    <w:p w14:paraId="2B2F22C0">
      <w:pPr>
        <w:spacing w:line="197" w:lineRule="exact"/>
        <w:rPr>
          <w:rFonts w:ascii="Arial"/>
          <w:sz w:val="17"/>
        </w:rPr>
      </w:pPr>
    </w:p>
    <w:p w14:paraId="2966D63C">
      <w:pPr>
        <w:spacing w:line="197" w:lineRule="exact"/>
        <w:rPr>
          <w:rFonts w:ascii="Arial" w:hAnsi="Arial" w:eastAsia="Arial" w:cs="Arial"/>
          <w:sz w:val="17"/>
          <w:szCs w:val="17"/>
        </w:rPr>
        <w:sectPr>
          <w:footerReference r:id="rId88" w:type="default"/>
          <w:pgSz w:w="16840" w:h="11907"/>
          <w:pgMar w:top="400" w:right="1441" w:bottom="1013" w:left="1365" w:header="0" w:footer="851" w:gutter="0"/>
          <w:cols w:space="720" w:num="1"/>
        </w:sectPr>
      </w:pPr>
    </w:p>
    <w:p w14:paraId="66520F35">
      <w:pPr>
        <w:spacing w:before="3"/>
      </w:pPr>
    </w:p>
    <w:p w14:paraId="6E31434A">
      <w:pPr>
        <w:spacing w:before="3"/>
      </w:pPr>
    </w:p>
    <w:p w14:paraId="5E3A7192">
      <w:pPr>
        <w:spacing w:before="3"/>
      </w:pPr>
    </w:p>
    <w:tbl>
      <w:tblPr>
        <w:tblStyle w:val="5"/>
        <w:tblW w:w="1402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8"/>
        <w:gridCol w:w="1180"/>
        <w:gridCol w:w="715"/>
        <w:gridCol w:w="667"/>
        <w:gridCol w:w="882"/>
        <w:gridCol w:w="1424"/>
        <w:gridCol w:w="1416"/>
        <w:gridCol w:w="1136"/>
        <w:gridCol w:w="646"/>
        <w:gridCol w:w="3953"/>
        <w:gridCol w:w="1155"/>
      </w:tblGrid>
      <w:tr w14:paraId="66C2C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848" w:type="dxa"/>
            <w:tcBorders>
              <w:right w:val="single" w:color="000000" w:sz="2" w:space="0"/>
            </w:tcBorders>
            <w:shd w:val="clear" w:color="auto" w:fill="BEBEBE"/>
            <w:vAlign w:val="top"/>
          </w:tcPr>
          <w:p w14:paraId="6AD90201">
            <w:pPr>
              <w:spacing w:line="376" w:lineRule="auto"/>
              <w:rPr>
                <w:rFonts w:ascii="Arial"/>
                <w:sz w:val="21"/>
              </w:rPr>
            </w:pPr>
          </w:p>
          <w:p w14:paraId="0F6D5215">
            <w:pPr>
              <w:pStyle w:val="6"/>
              <w:spacing w:before="65" w:line="228" w:lineRule="auto"/>
              <w:ind w:left="216"/>
            </w:pPr>
            <w:r>
              <w:rPr>
                <w:b/>
                <w:bCs/>
                <w:spacing w:val="2"/>
              </w:rPr>
              <w:t>分区</w:t>
            </w:r>
          </w:p>
        </w:tc>
        <w:tc>
          <w:tcPr>
            <w:tcW w:w="1180" w:type="dxa"/>
            <w:tcBorders>
              <w:left w:val="single" w:color="000000" w:sz="2" w:space="0"/>
            </w:tcBorders>
            <w:shd w:val="clear" w:color="auto" w:fill="BEBEBE"/>
            <w:vAlign w:val="top"/>
          </w:tcPr>
          <w:p w14:paraId="4CEC25D0">
            <w:pPr>
              <w:spacing w:line="243" w:lineRule="auto"/>
              <w:rPr>
                <w:rFonts w:ascii="Arial"/>
                <w:sz w:val="21"/>
              </w:rPr>
            </w:pPr>
          </w:p>
          <w:p w14:paraId="3E833CC3">
            <w:pPr>
              <w:pStyle w:val="6"/>
              <w:spacing w:before="65" w:line="252" w:lineRule="auto"/>
              <w:ind w:left="418" w:right="381" w:hanging="39"/>
            </w:pPr>
            <w:r>
              <w:rPr>
                <w:b/>
                <w:bCs/>
                <w:spacing w:val="3"/>
              </w:rPr>
              <w:t>保护</w:t>
            </w:r>
            <w:r>
              <w:rPr>
                <w:b/>
                <w:bCs/>
                <w:spacing w:val="-17"/>
              </w:rPr>
              <w:t>目标</w:t>
            </w:r>
          </w:p>
        </w:tc>
        <w:tc>
          <w:tcPr>
            <w:tcW w:w="715" w:type="dxa"/>
            <w:shd w:val="clear" w:color="auto" w:fill="BEBEBE"/>
            <w:vAlign w:val="top"/>
          </w:tcPr>
          <w:p w14:paraId="6AB0F82D">
            <w:pPr>
              <w:spacing w:line="376" w:lineRule="auto"/>
              <w:rPr>
                <w:rFonts w:ascii="Arial"/>
                <w:sz w:val="21"/>
              </w:rPr>
            </w:pPr>
          </w:p>
          <w:p w14:paraId="3D983721">
            <w:pPr>
              <w:pStyle w:val="6"/>
              <w:spacing w:before="65" w:line="229" w:lineRule="auto"/>
              <w:ind w:left="150"/>
            </w:pPr>
            <w:r>
              <w:rPr>
                <w:b/>
                <w:bCs/>
                <w:spacing w:val="2"/>
              </w:rPr>
              <w:t>功能</w:t>
            </w:r>
          </w:p>
        </w:tc>
        <w:tc>
          <w:tcPr>
            <w:tcW w:w="667" w:type="dxa"/>
            <w:shd w:val="clear" w:color="auto" w:fill="BEBEBE"/>
            <w:vAlign w:val="top"/>
          </w:tcPr>
          <w:p w14:paraId="17AF28FE">
            <w:pPr>
              <w:spacing w:line="376" w:lineRule="auto"/>
              <w:rPr>
                <w:rFonts w:ascii="Arial"/>
                <w:sz w:val="21"/>
              </w:rPr>
            </w:pPr>
          </w:p>
          <w:p w14:paraId="5DF9207B">
            <w:pPr>
              <w:pStyle w:val="6"/>
              <w:spacing w:before="65" w:line="228" w:lineRule="auto"/>
              <w:ind w:left="123"/>
            </w:pPr>
            <w:r>
              <w:rPr>
                <w:b/>
                <w:bCs/>
                <w:spacing w:val="3"/>
              </w:rPr>
              <w:t>规模</w:t>
            </w:r>
          </w:p>
        </w:tc>
        <w:tc>
          <w:tcPr>
            <w:tcW w:w="882" w:type="dxa"/>
            <w:shd w:val="clear" w:color="auto" w:fill="BEBEBE"/>
            <w:vAlign w:val="top"/>
          </w:tcPr>
          <w:p w14:paraId="1FC892CB">
            <w:pPr>
              <w:pStyle w:val="6"/>
              <w:spacing w:before="170" w:line="228" w:lineRule="auto"/>
              <w:ind w:left="128"/>
            </w:pPr>
            <w:r>
              <w:rPr>
                <w:b/>
                <w:bCs/>
                <w:spacing w:val="4"/>
              </w:rPr>
              <w:t>建筑物</w:t>
            </w:r>
          </w:p>
          <w:p w14:paraId="3B23C85B">
            <w:pPr>
              <w:pStyle w:val="6"/>
              <w:spacing w:before="26" w:line="228" w:lineRule="auto"/>
              <w:ind w:left="130"/>
            </w:pPr>
            <w:r>
              <w:rPr>
                <w:b/>
                <w:bCs/>
                <w:spacing w:val="3"/>
              </w:rPr>
              <w:t>结构及</w:t>
            </w:r>
          </w:p>
          <w:p w14:paraId="5C1E1AF4">
            <w:pPr>
              <w:pStyle w:val="6"/>
              <w:spacing w:before="23" w:line="228" w:lineRule="auto"/>
              <w:ind w:left="236"/>
            </w:pPr>
            <w:r>
              <w:rPr>
                <w:b/>
                <w:bCs/>
                <w:spacing w:val="1"/>
              </w:rPr>
              <w:t>高度</w:t>
            </w:r>
          </w:p>
        </w:tc>
        <w:tc>
          <w:tcPr>
            <w:tcW w:w="1424" w:type="dxa"/>
            <w:shd w:val="clear" w:color="auto" w:fill="BEBEBE"/>
            <w:vAlign w:val="top"/>
          </w:tcPr>
          <w:p w14:paraId="68F814FB">
            <w:pPr>
              <w:spacing w:line="376" w:lineRule="auto"/>
              <w:rPr>
                <w:rFonts w:ascii="Arial"/>
                <w:sz w:val="21"/>
              </w:rPr>
            </w:pPr>
          </w:p>
          <w:p w14:paraId="33441D3B">
            <w:pPr>
              <w:pStyle w:val="6"/>
              <w:spacing w:before="65" w:line="228" w:lineRule="auto"/>
              <w:ind w:left="261"/>
            </w:pPr>
            <w:r>
              <w:rPr>
                <w:b/>
                <w:bCs/>
                <w:spacing w:val="5"/>
              </w:rPr>
              <w:t>方位</w:t>
            </w:r>
            <w:r>
              <w:rPr>
                <w:rFonts w:ascii="Times New Roman" w:hAnsi="Times New Roman" w:eastAsia="Times New Roman" w:cs="Times New Roman"/>
                <w:b/>
                <w:bCs/>
                <w:spacing w:val="5"/>
              </w:rPr>
              <w:t>/</w:t>
            </w:r>
            <w:r>
              <w:rPr>
                <w:b/>
                <w:bCs/>
                <w:spacing w:val="5"/>
              </w:rPr>
              <w:t>距离</w:t>
            </w:r>
          </w:p>
        </w:tc>
        <w:tc>
          <w:tcPr>
            <w:tcW w:w="1416" w:type="dxa"/>
            <w:tcBorders>
              <w:right w:val="single" w:color="000000" w:sz="2" w:space="0"/>
            </w:tcBorders>
            <w:shd w:val="clear" w:color="auto" w:fill="BEBEBE"/>
            <w:vAlign w:val="top"/>
          </w:tcPr>
          <w:p w14:paraId="496FFCAF">
            <w:pPr>
              <w:pStyle w:val="6"/>
              <w:spacing w:before="35" w:line="229" w:lineRule="auto"/>
              <w:ind w:left="293"/>
            </w:pPr>
            <w:r>
              <w:rPr>
                <w:b/>
                <w:bCs/>
                <w:spacing w:val="5"/>
              </w:rPr>
              <w:t>与变电站</w:t>
            </w:r>
          </w:p>
          <w:p w14:paraId="7622C4AA">
            <w:pPr>
              <w:pStyle w:val="6"/>
              <w:spacing w:before="25" w:line="228" w:lineRule="auto"/>
              <w:ind w:left="291"/>
            </w:pPr>
            <w:r>
              <w:rPr>
                <w:b/>
                <w:bCs/>
                <w:spacing w:val="5"/>
              </w:rPr>
              <w:t>或线路边</w:t>
            </w:r>
          </w:p>
          <w:p w14:paraId="2519B6B1">
            <w:pPr>
              <w:pStyle w:val="6"/>
              <w:spacing w:before="24" w:line="228" w:lineRule="auto"/>
              <w:ind w:left="294"/>
            </w:pPr>
            <w:r>
              <w:rPr>
                <w:b/>
                <w:bCs/>
                <w:spacing w:val="5"/>
              </w:rPr>
              <w:t>导线投影</w:t>
            </w:r>
          </w:p>
          <w:p w14:paraId="2718488F">
            <w:pPr>
              <w:pStyle w:val="6"/>
              <w:spacing w:before="25" w:line="218" w:lineRule="auto"/>
              <w:ind w:left="291"/>
            </w:pPr>
            <w:r>
              <w:rPr>
                <w:b/>
                <w:bCs/>
                <w:spacing w:val="5"/>
              </w:rPr>
              <w:t>水平距离</w:t>
            </w:r>
          </w:p>
        </w:tc>
        <w:tc>
          <w:tcPr>
            <w:tcW w:w="1136" w:type="dxa"/>
            <w:tcBorders>
              <w:left w:val="single" w:color="000000" w:sz="2" w:space="0"/>
              <w:right w:val="single" w:color="000000" w:sz="2" w:space="0"/>
            </w:tcBorders>
            <w:shd w:val="clear" w:color="auto" w:fill="BEBEBE"/>
            <w:vAlign w:val="top"/>
          </w:tcPr>
          <w:p w14:paraId="3619329E">
            <w:pPr>
              <w:pStyle w:val="6"/>
              <w:spacing w:before="169" w:line="228" w:lineRule="auto"/>
              <w:ind w:left="156"/>
            </w:pPr>
            <w:r>
              <w:rPr>
                <w:b/>
                <w:bCs/>
                <w:spacing w:val="5"/>
              </w:rPr>
              <w:t>与线路中</w:t>
            </w:r>
          </w:p>
          <w:p w14:paraId="291D1631">
            <w:pPr>
              <w:pStyle w:val="6"/>
              <w:spacing w:before="26" w:line="228" w:lineRule="auto"/>
              <w:ind w:left="159"/>
            </w:pPr>
            <w:r>
              <w:rPr>
                <w:b/>
                <w:bCs/>
                <w:spacing w:val="4"/>
              </w:rPr>
              <w:t>心最近直</w:t>
            </w:r>
          </w:p>
          <w:p w14:paraId="3BD0B8E4">
            <w:pPr>
              <w:pStyle w:val="6"/>
              <w:spacing w:before="24" w:line="228" w:lineRule="auto"/>
              <w:ind w:left="260"/>
            </w:pPr>
            <w:r>
              <w:rPr>
                <w:b/>
                <w:bCs/>
                <w:spacing w:val="4"/>
              </w:rPr>
              <w:t>线距离</w:t>
            </w:r>
          </w:p>
        </w:tc>
        <w:tc>
          <w:tcPr>
            <w:tcW w:w="646" w:type="dxa"/>
            <w:tcBorders>
              <w:left w:val="single" w:color="000000" w:sz="2" w:space="0"/>
            </w:tcBorders>
            <w:shd w:val="clear" w:color="auto" w:fill="BEBEBE"/>
            <w:vAlign w:val="top"/>
          </w:tcPr>
          <w:p w14:paraId="3B81D5DF">
            <w:pPr>
              <w:pStyle w:val="6"/>
              <w:spacing w:before="170" w:line="228" w:lineRule="auto"/>
              <w:ind w:left="123"/>
            </w:pPr>
            <w:r>
              <w:rPr>
                <w:b/>
                <w:bCs/>
                <w:spacing w:val="1"/>
              </w:rPr>
              <w:t>导线</w:t>
            </w:r>
          </w:p>
          <w:p w14:paraId="70D84F43">
            <w:pPr>
              <w:pStyle w:val="6"/>
              <w:spacing w:before="26" w:line="229" w:lineRule="auto"/>
              <w:ind w:left="117"/>
            </w:pPr>
            <w:r>
              <w:rPr>
                <w:b/>
                <w:bCs/>
                <w:spacing w:val="4"/>
              </w:rPr>
              <w:t>对地</w:t>
            </w:r>
          </w:p>
          <w:p w14:paraId="7E87C1DF">
            <w:pPr>
              <w:pStyle w:val="6"/>
              <w:spacing w:before="22" w:line="228" w:lineRule="auto"/>
              <w:ind w:left="123"/>
            </w:pPr>
            <w:r>
              <w:rPr>
                <w:b/>
                <w:bCs/>
                <w:spacing w:val="1"/>
              </w:rPr>
              <w:t>高度</w:t>
            </w:r>
          </w:p>
        </w:tc>
        <w:tc>
          <w:tcPr>
            <w:tcW w:w="3953" w:type="dxa"/>
            <w:shd w:val="clear" w:color="auto" w:fill="BEBEBE"/>
            <w:vAlign w:val="top"/>
          </w:tcPr>
          <w:p w14:paraId="2F9F57B9">
            <w:pPr>
              <w:spacing w:line="376" w:lineRule="auto"/>
              <w:rPr>
                <w:rFonts w:ascii="Arial"/>
                <w:sz w:val="21"/>
              </w:rPr>
            </w:pPr>
          </w:p>
          <w:p w14:paraId="3B927B26">
            <w:pPr>
              <w:pStyle w:val="6"/>
              <w:spacing w:before="65" w:line="228" w:lineRule="auto"/>
              <w:ind w:left="1561"/>
            </w:pPr>
            <w:r>
              <w:rPr>
                <w:b/>
                <w:bCs/>
                <w:spacing w:val="6"/>
              </w:rPr>
              <w:t>现状照片</w:t>
            </w:r>
          </w:p>
        </w:tc>
        <w:tc>
          <w:tcPr>
            <w:tcW w:w="1155" w:type="dxa"/>
            <w:shd w:val="clear" w:color="auto" w:fill="BEBEBE"/>
            <w:vAlign w:val="top"/>
          </w:tcPr>
          <w:p w14:paraId="1C3C340F">
            <w:pPr>
              <w:spacing w:line="376" w:lineRule="auto"/>
              <w:rPr>
                <w:rFonts w:ascii="Arial"/>
                <w:sz w:val="21"/>
              </w:rPr>
            </w:pPr>
          </w:p>
          <w:p w14:paraId="201FB858">
            <w:pPr>
              <w:pStyle w:val="6"/>
              <w:spacing w:before="65" w:line="228" w:lineRule="auto"/>
              <w:ind w:left="161"/>
            </w:pPr>
            <w:r>
              <w:rPr>
                <w:b/>
                <w:bCs/>
                <w:spacing w:val="6"/>
              </w:rPr>
              <w:t>保护级别</w:t>
            </w:r>
          </w:p>
        </w:tc>
      </w:tr>
      <w:tr w14:paraId="05E92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3" w:hRule="atLeast"/>
        </w:trPr>
        <w:tc>
          <w:tcPr>
            <w:tcW w:w="848" w:type="dxa"/>
            <w:vMerge w:val="restart"/>
            <w:tcBorders>
              <w:bottom w:val="nil"/>
              <w:right w:val="single" w:color="000000" w:sz="2" w:space="0"/>
            </w:tcBorders>
            <w:vAlign w:val="top"/>
          </w:tcPr>
          <w:p w14:paraId="281FC9AF">
            <w:pPr>
              <w:rPr>
                <w:rFonts w:ascii="Arial"/>
                <w:sz w:val="21"/>
              </w:rPr>
            </w:pPr>
          </w:p>
        </w:tc>
        <w:tc>
          <w:tcPr>
            <w:tcW w:w="1180" w:type="dxa"/>
            <w:tcBorders>
              <w:left w:val="single" w:color="000000" w:sz="2" w:space="0"/>
            </w:tcBorders>
            <w:vAlign w:val="top"/>
          </w:tcPr>
          <w:p w14:paraId="3A4334C8">
            <w:pPr>
              <w:spacing w:line="262" w:lineRule="auto"/>
              <w:rPr>
                <w:rFonts w:ascii="Arial"/>
                <w:sz w:val="21"/>
              </w:rPr>
            </w:pPr>
          </w:p>
          <w:p w14:paraId="2683416F">
            <w:pPr>
              <w:spacing w:line="262" w:lineRule="auto"/>
              <w:rPr>
                <w:rFonts w:ascii="Arial"/>
                <w:sz w:val="21"/>
              </w:rPr>
            </w:pPr>
          </w:p>
          <w:p w14:paraId="1F5DA15D">
            <w:pPr>
              <w:spacing w:line="262" w:lineRule="auto"/>
              <w:rPr>
                <w:rFonts w:ascii="Arial"/>
                <w:sz w:val="21"/>
              </w:rPr>
            </w:pPr>
          </w:p>
          <w:p w14:paraId="5AEB3533">
            <w:pPr>
              <w:spacing w:line="262" w:lineRule="auto"/>
              <w:rPr>
                <w:rFonts w:ascii="Arial"/>
                <w:sz w:val="21"/>
              </w:rPr>
            </w:pPr>
          </w:p>
          <w:p w14:paraId="4A8DB154">
            <w:pPr>
              <w:pStyle w:val="6"/>
              <w:spacing w:before="65" w:line="252" w:lineRule="auto"/>
              <w:ind w:left="276" w:right="170" w:hanging="108"/>
            </w:pPr>
            <w:r>
              <w:rPr>
                <w:spacing w:val="8"/>
              </w:rPr>
              <w:t>⑩新华村</w:t>
            </w:r>
            <w:r>
              <w:rPr>
                <w:spacing w:val="6"/>
              </w:rPr>
              <w:t>居民点</w:t>
            </w:r>
          </w:p>
        </w:tc>
        <w:tc>
          <w:tcPr>
            <w:tcW w:w="715" w:type="dxa"/>
            <w:vAlign w:val="top"/>
          </w:tcPr>
          <w:p w14:paraId="7C144D1D">
            <w:pPr>
              <w:spacing w:line="295" w:lineRule="auto"/>
              <w:rPr>
                <w:rFonts w:ascii="Arial"/>
                <w:sz w:val="21"/>
              </w:rPr>
            </w:pPr>
          </w:p>
          <w:p w14:paraId="6B59E456">
            <w:pPr>
              <w:spacing w:line="295" w:lineRule="auto"/>
              <w:rPr>
                <w:rFonts w:ascii="Arial"/>
                <w:sz w:val="21"/>
              </w:rPr>
            </w:pPr>
          </w:p>
          <w:p w14:paraId="1E8235D9">
            <w:pPr>
              <w:spacing w:line="295" w:lineRule="auto"/>
              <w:rPr>
                <w:rFonts w:ascii="Arial"/>
                <w:sz w:val="21"/>
              </w:rPr>
            </w:pPr>
          </w:p>
          <w:p w14:paraId="1ED14E66">
            <w:pPr>
              <w:spacing w:line="296" w:lineRule="auto"/>
              <w:rPr>
                <w:rFonts w:ascii="Arial"/>
                <w:sz w:val="21"/>
              </w:rPr>
            </w:pPr>
          </w:p>
          <w:p w14:paraId="768DE409">
            <w:pPr>
              <w:pStyle w:val="6"/>
              <w:spacing w:before="65" w:line="228" w:lineRule="auto"/>
              <w:ind w:left="148"/>
            </w:pPr>
            <w:r>
              <w:rPr>
                <w:spacing w:val="3"/>
              </w:rPr>
              <w:t>居住</w:t>
            </w:r>
          </w:p>
        </w:tc>
        <w:tc>
          <w:tcPr>
            <w:tcW w:w="667" w:type="dxa"/>
            <w:vAlign w:val="top"/>
          </w:tcPr>
          <w:p w14:paraId="3C3356B1">
            <w:pPr>
              <w:spacing w:line="262" w:lineRule="auto"/>
              <w:rPr>
                <w:rFonts w:ascii="Arial"/>
                <w:sz w:val="21"/>
              </w:rPr>
            </w:pPr>
          </w:p>
          <w:p w14:paraId="79EA92DE">
            <w:pPr>
              <w:spacing w:line="262" w:lineRule="auto"/>
              <w:rPr>
                <w:rFonts w:ascii="Arial"/>
                <w:sz w:val="21"/>
              </w:rPr>
            </w:pPr>
          </w:p>
          <w:p w14:paraId="7AC25DA4">
            <w:pPr>
              <w:spacing w:line="262" w:lineRule="auto"/>
              <w:rPr>
                <w:rFonts w:ascii="Arial"/>
                <w:sz w:val="21"/>
              </w:rPr>
            </w:pPr>
          </w:p>
          <w:p w14:paraId="79315A89">
            <w:pPr>
              <w:spacing w:line="262" w:lineRule="auto"/>
              <w:rPr>
                <w:rFonts w:ascii="Arial"/>
                <w:sz w:val="21"/>
              </w:rPr>
            </w:pPr>
          </w:p>
          <w:p w14:paraId="5EBCA1CA">
            <w:pPr>
              <w:pStyle w:val="6"/>
              <w:spacing w:before="65" w:line="253" w:lineRule="auto"/>
              <w:ind w:left="144" w:right="150" w:firstLine="21"/>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rPr>
              <w:t>4</w:t>
            </w:r>
            <w:r>
              <w:rPr>
                <w:rFonts w:ascii="Times New Roman" w:hAnsi="Times New Roman" w:eastAsia="Times New Roman" w:cs="Times New Roman"/>
                <w:spacing w:val="11"/>
              </w:rPr>
              <w:t xml:space="preserve"> </w:t>
            </w:r>
            <w:r>
              <w:t>人</w:t>
            </w:r>
          </w:p>
        </w:tc>
        <w:tc>
          <w:tcPr>
            <w:tcW w:w="882" w:type="dxa"/>
            <w:vAlign w:val="top"/>
          </w:tcPr>
          <w:p w14:paraId="265640D3">
            <w:pPr>
              <w:spacing w:line="258" w:lineRule="auto"/>
              <w:rPr>
                <w:rFonts w:ascii="Arial"/>
                <w:sz w:val="21"/>
              </w:rPr>
            </w:pPr>
          </w:p>
          <w:p w14:paraId="28DA31CE">
            <w:pPr>
              <w:spacing w:line="258" w:lineRule="auto"/>
              <w:rPr>
                <w:rFonts w:ascii="Arial"/>
                <w:sz w:val="21"/>
              </w:rPr>
            </w:pPr>
          </w:p>
          <w:p w14:paraId="48938BA9">
            <w:pPr>
              <w:spacing w:line="259" w:lineRule="auto"/>
              <w:rPr>
                <w:rFonts w:ascii="Arial"/>
                <w:sz w:val="21"/>
              </w:rPr>
            </w:pPr>
          </w:p>
          <w:p w14:paraId="5E013D41">
            <w:pPr>
              <w:pStyle w:val="6"/>
              <w:spacing w:before="65" w:line="252" w:lineRule="auto"/>
              <w:ind w:left="125" w:right="125"/>
              <w:jc w:val="both"/>
            </w:pPr>
            <w:r>
              <w:rPr>
                <w:spacing w:val="6"/>
              </w:rPr>
              <w:t>砖混结</w:t>
            </w:r>
            <w:r>
              <w:rPr>
                <w:spacing w:val="23"/>
              </w:rPr>
              <w:t>构，</w:t>
            </w:r>
            <w:r>
              <w:rPr>
                <w:rFonts w:ascii="Times New Roman" w:hAnsi="Times New Roman" w:eastAsia="Times New Roman" w:cs="Times New Roman"/>
                <w:spacing w:val="23"/>
              </w:rPr>
              <w:t>3</w:t>
            </w:r>
            <w:r>
              <w:rPr>
                <w:spacing w:val="6"/>
              </w:rPr>
              <w:t>层（斜</w:t>
            </w:r>
            <w:r>
              <w:rPr>
                <w:spacing w:val="37"/>
                <w:w w:val="108"/>
              </w:rPr>
              <w:t>顶）</w:t>
            </w:r>
          </w:p>
        </w:tc>
        <w:tc>
          <w:tcPr>
            <w:tcW w:w="1424" w:type="dxa"/>
            <w:vAlign w:val="top"/>
          </w:tcPr>
          <w:p w14:paraId="4BC9AD32">
            <w:pPr>
              <w:spacing w:line="328" w:lineRule="auto"/>
              <w:rPr>
                <w:rFonts w:ascii="Arial"/>
                <w:sz w:val="21"/>
              </w:rPr>
            </w:pPr>
          </w:p>
          <w:p w14:paraId="43199ABA">
            <w:pPr>
              <w:spacing w:line="328" w:lineRule="auto"/>
              <w:rPr>
                <w:rFonts w:ascii="Arial"/>
                <w:sz w:val="21"/>
              </w:rPr>
            </w:pPr>
          </w:p>
          <w:p w14:paraId="432B71F6">
            <w:pPr>
              <w:pStyle w:val="6"/>
              <w:spacing w:before="65" w:line="228" w:lineRule="auto"/>
              <w:ind w:left="109"/>
            </w:pPr>
            <w:r>
              <w:rPr>
                <w:spacing w:val="-1"/>
              </w:rPr>
              <w:t>双回线路（单</w:t>
            </w:r>
          </w:p>
          <w:p w14:paraId="786C09FC">
            <w:pPr>
              <w:pStyle w:val="6"/>
              <w:spacing w:before="24" w:line="228" w:lineRule="auto"/>
              <w:ind w:left="188"/>
            </w:pPr>
            <w:r>
              <w:rPr>
                <w:spacing w:val="9"/>
              </w:rPr>
              <w:t>边挂线）东</w:t>
            </w:r>
          </w:p>
          <w:p w14:paraId="59E43C63">
            <w:pPr>
              <w:pStyle w:val="6"/>
              <w:spacing w:before="24" w:line="228" w:lineRule="auto"/>
              <w:ind w:left="108"/>
              <w:rPr>
                <w:rFonts w:ascii="Times New Roman" w:hAnsi="Times New Roman" w:eastAsia="Times New Roman" w:cs="Times New Roman"/>
              </w:rPr>
            </w:pPr>
            <w:r>
              <w:rPr>
                <w:spacing w:val="11"/>
              </w:rPr>
              <w:t>侧，</w:t>
            </w:r>
            <w:r>
              <w:rPr>
                <w:rFonts w:ascii="Times New Roman" w:hAnsi="Times New Roman" w:eastAsia="Times New Roman" w:cs="Times New Roman"/>
              </w:rPr>
              <w:t>AZ</w:t>
            </w:r>
            <w:r>
              <w:rPr>
                <w:rFonts w:ascii="Times New Roman" w:hAnsi="Times New Roman" w:eastAsia="Times New Roman" w:cs="Times New Roman"/>
                <w:spacing w:val="11"/>
              </w:rPr>
              <w:t>15</w:t>
            </w:r>
            <w:r>
              <w:rPr>
                <w:rFonts w:ascii="Times New Roman" w:hAnsi="Times New Roman" w:eastAsia="Times New Roman" w:cs="Times New Roman"/>
              </w:rPr>
              <w:t>GG</w:t>
            </w:r>
          </w:p>
          <w:p w14:paraId="68FB97E9">
            <w:pPr>
              <w:pStyle w:val="6"/>
              <w:spacing w:before="26" w:line="228" w:lineRule="auto"/>
              <w:ind w:left="189"/>
            </w:pPr>
            <w:r>
              <w:rPr>
                <w:spacing w:val="8"/>
              </w:rPr>
              <w:t>塔基东南侧</w:t>
            </w:r>
          </w:p>
          <w:p w14:paraId="728AFE00">
            <w:pPr>
              <w:spacing w:before="46" w:line="195" w:lineRule="auto"/>
              <w:ind w:left="49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120m</w:t>
            </w:r>
          </w:p>
        </w:tc>
        <w:tc>
          <w:tcPr>
            <w:tcW w:w="1416" w:type="dxa"/>
            <w:tcBorders>
              <w:right w:val="single" w:color="000000" w:sz="2" w:space="0"/>
            </w:tcBorders>
            <w:vAlign w:val="top"/>
          </w:tcPr>
          <w:p w14:paraId="2E151EFD">
            <w:pPr>
              <w:spacing w:line="263" w:lineRule="auto"/>
              <w:rPr>
                <w:rFonts w:ascii="Arial"/>
                <w:sz w:val="21"/>
              </w:rPr>
            </w:pPr>
          </w:p>
          <w:p w14:paraId="025654AD">
            <w:pPr>
              <w:spacing w:line="263" w:lineRule="auto"/>
              <w:rPr>
                <w:rFonts w:ascii="Arial"/>
                <w:sz w:val="21"/>
              </w:rPr>
            </w:pPr>
          </w:p>
          <w:p w14:paraId="5C107FF1">
            <w:pPr>
              <w:spacing w:line="264" w:lineRule="auto"/>
              <w:rPr>
                <w:rFonts w:ascii="Arial"/>
                <w:sz w:val="21"/>
              </w:rPr>
            </w:pPr>
          </w:p>
          <w:p w14:paraId="246EC38D">
            <w:pPr>
              <w:pStyle w:val="6"/>
              <w:spacing w:before="65" w:line="228" w:lineRule="auto"/>
              <w:ind w:left="161"/>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p>
          <w:p w14:paraId="1FC56070">
            <w:pPr>
              <w:pStyle w:val="6"/>
              <w:spacing w:before="26" w:line="228" w:lineRule="auto"/>
              <w:ind w:left="185"/>
            </w:pPr>
            <w:r>
              <w:rPr>
                <w:spacing w:val="8"/>
              </w:rPr>
              <w:t>边导线地面</w:t>
            </w:r>
          </w:p>
          <w:p w14:paraId="01375627">
            <w:pPr>
              <w:pStyle w:val="6"/>
              <w:spacing w:before="23" w:line="228" w:lineRule="auto"/>
              <w:ind w:left="291"/>
            </w:pPr>
            <w:r>
              <w:rPr>
                <w:spacing w:val="7"/>
              </w:rPr>
              <w:t>投影东侧</w:t>
            </w:r>
          </w:p>
          <w:p w14:paraId="671A1659">
            <w:pPr>
              <w:spacing w:before="48" w:line="195" w:lineRule="auto"/>
              <w:ind w:left="5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29m</w:t>
            </w:r>
          </w:p>
        </w:tc>
        <w:tc>
          <w:tcPr>
            <w:tcW w:w="1136" w:type="dxa"/>
            <w:tcBorders>
              <w:left w:val="single" w:color="000000" w:sz="2" w:space="0"/>
              <w:right w:val="single" w:color="000000" w:sz="2" w:space="0"/>
            </w:tcBorders>
            <w:vAlign w:val="top"/>
          </w:tcPr>
          <w:p w14:paraId="18CBE5AE">
            <w:pPr>
              <w:spacing w:line="244" w:lineRule="auto"/>
              <w:rPr>
                <w:rFonts w:ascii="Arial"/>
                <w:sz w:val="21"/>
              </w:rPr>
            </w:pPr>
          </w:p>
          <w:p w14:paraId="63FEB65E">
            <w:pPr>
              <w:spacing w:line="245" w:lineRule="auto"/>
              <w:rPr>
                <w:rFonts w:ascii="Arial"/>
                <w:sz w:val="21"/>
              </w:rPr>
            </w:pPr>
          </w:p>
          <w:p w14:paraId="52622D70">
            <w:pPr>
              <w:spacing w:line="245" w:lineRule="auto"/>
              <w:rPr>
                <w:rFonts w:ascii="Arial"/>
                <w:sz w:val="21"/>
              </w:rPr>
            </w:pPr>
          </w:p>
          <w:p w14:paraId="27EB51C1">
            <w:pPr>
              <w:spacing w:line="245" w:lineRule="auto"/>
              <w:rPr>
                <w:rFonts w:ascii="Arial"/>
                <w:sz w:val="21"/>
              </w:rPr>
            </w:pPr>
          </w:p>
          <w:p w14:paraId="51A06D57">
            <w:pPr>
              <w:spacing w:line="245" w:lineRule="auto"/>
              <w:rPr>
                <w:rFonts w:ascii="Arial"/>
                <w:sz w:val="21"/>
              </w:rPr>
            </w:pPr>
          </w:p>
          <w:p w14:paraId="74CD98FE">
            <w:pPr>
              <w:spacing w:before="58" w:line="195" w:lineRule="auto"/>
              <w:ind w:left="38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34m</w:t>
            </w:r>
          </w:p>
        </w:tc>
        <w:tc>
          <w:tcPr>
            <w:tcW w:w="646" w:type="dxa"/>
            <w:tcBorders>
              <w:left w:val="single" w:color="000000" w:sz="2" w:space="0"/>
            </w:tcBorders>
            <w:vAlign w:val="top"/>
          </w:tcPr>
          <w:p w14:paraId="102FC68B">
            <w:pPr>
              <w:spacing w:line="245" w:lineRule="auto"/>
              <w:rPr>
                <w:rFonts w:ascii="Arial"/>
                <w:sz w:val="21"/>
              </w:rPr>
            </w:pPr>
          </w:p>
          <w:p w14:paraId="6C0EB7B3">
            <w:pPr>
              <w:spacing w:line="245" w:lineRule="auto"/>
              <w:rPr>
                <w:rFonts w:ascii="Arial"/>
                <w:sz w:val="21"/>
              </w:rPr>
            </w:pPr>
          </w:p>
          <w:p w14:paraId="00B07B27">
            <w:pPr>
              <w:spacing w:line="245" w:lineRule="auto"/>
              <w:rPr>
                <w:rFonts w:ascii="Arial"/>
                <w:sz w:val="21"/>
              </w:rPr>
            </w:pPr>
          </w:p>
          <w:p w14:paraId="0BDAADE4">
            <w:pPr>
              <w:spacing w:line="246" w:lineRule="auto"/>
              <w:rPr>
                <w:rFonts w:ascii="Arial"/>
                <w:sz w:val="21"/>
              </w:rPr>
            </w:pPr>
          </w:p>
          <w:p w14:paraId="25C00307">
            <w:pPr>
              <w:spacing w:line="246" w:lineRule="auto"/>
              <w:rPr>
                <w:rFonts w:ascii="Arial"/>
                <w:sz w:val="21"/>
              </w:rPr>
            </w:pPr>
          </w:p>
          <w:p w14:paraId="13954C23">
            <w:pPr>
              <w:spacing w:before="58" w:line="192"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3953" w:type="dxa"/>
            <w:vAlign w:val="top"/>
          </w:tcPr>
          <w:p w14:paraId="06B2D834">
            <w:pPr>
              <w:spacing w:line="2712" w:lineRule="exact"/>
              <w:ind w:firstLine="159"/>
            </w:pPr>
            <w:r>
              <w:rPr>
                <w:position w:val="-54"/>
              </w:rPr>
              <w:drawing>
                <wp:inline distT="0" distB="0" distL="0" distR="0">
                  <wp:extent cx="2303780" cy="1722120"/>
                  <wp:effectExtent l="0" t="0" r="0" b="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252"/>
                          <a:stretch>
                            <a:fillRect/>
                          </a:stretch>
                        </pic:blipFill>
                        <pic:spPr>
                          <a:xfrm>
                            <a:off x="0" y="0"/>
                            <a:ext cx="2304288" cy="1722754"/>
                          </a:xfrm>
                          <a:prstGeom prst="rect">
                            <a:avLst/>
                          </a:prstGeom>
                        </pic:spPr>
                      </pic:pic>
                    </a:graphicData>
                  </a:graphic>
                </wp:inline>
              </w:drawing>
            </w:r>
          </w:p>
        </w:tc>
        <w:tc>
          <w:tcPr>
            <w:tcW w:w="1155" w:type="dxa"/>
            <w:vMerge w:val="restart"/>
            <w:tcBorders>
              <w:bottom w:val="nil"/>
            </w:tcBorders>
            <w:vAlign w:val="top"/>
          </w:tcPr>
          <w:p w14:paraId="64BC90A0">
            <w:pPr>
              <w:rPr>
                <w:rFonts w:ascii="Arial"/>
                <w:sz w:val="21"/>
              </w:rPr>
            </w:pPr>
          </w:p>
        </w:tc>
      </w:tr>
      <w:tr w14:paraId="64B37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3" w:hRule="atLeast"/>
        </w:trPr>
        <w:tc>
          <w:tcPr>
            <w:tcW w:w="848" w:type="dxa"/>
            <w:vMerge w:val="continue"/>
            <w:tcBorders>
              <w:top w:val="nil"/>
              <w:bottom w:val="nil"/>
              <w:right w:val="single" w:color="000000" w:sz="2" w:space="0"/>
            </w:tcBorders>
            <w:vAlign w:val="top"/>
          </w:tcPr>
          <w:p w14:paraId="63A1A0F6">
            <w:pPr>
              <w:rPr>
                <w:rFonts w:ascii="Arial"/>
                <w:sz w:val="21"/>
              </w:rPr>
            </w:pPr>
          </w:p>
        </w:tc>
        <w:tc>
          <w:tcPr>
            <w:tcW w:w="1180" w:type="dxa"/>
            <w:tcBorders>
              <w:left w:val="single" w:color="000000" w:sz="2" w:space="0"/>
            </w:tcBorders>
            <w:vAlign w:val="top"/>
          </w:tcPr>
          <w:p w14:paraId="3CDEAD4A">
            <w:pPr>
              <w:spacing w:line="262" w:lineRule="auto"/>
              <w:rPr>
                <w:rFonts w:ascii="Arial"/>
                <w:sz w:val="21"/>
              </w:rPr>
            </w:pPr>
          </w:p>
          <w:p w14:paraId="196E91C7">
            <w:pPr>
              <w:spacing w:line="263" w:lineRule="auto"/>
              <w:rPr>
                <w:rFonts w:ascii="Arial"/>
                <w:sz w:val="21"/>
              </w:rPr>
            </w:pPr>
          </w:p>
          <w:p w14:paraId="24918110">
            <w:pPr>
              <w:spacing w:line="263" w:lineRule="auto"/>
              <w:rPr>
                <w:rFonts w:ascii="Arial"/>
                <w:sz w:val="21"/>
              </w:rPr>
            </w:pPr>
          </w:p>
          <w:p w14:paraId="1C800C08">
            <w:pPr>
              <w:spacing w:line="263" w:lineRule="auto"/>
              <w:rPr>
                <w:rFonts w:ascii="Arial"/>
                <w:sz w:val="21"/>
              </w:rPr>
            </w:pPr>
          </w:p>
          <w:p w14:paraId="0A33A962">
            <w:pPr>
              <w:pStyle w:val="6"/>
              <w:spacing w:before="65" w:line="252" w:lineRule="auto"/>
              <w:ind w:left="275" w:right="170" w:hanging="109"/>
            </w:pPr>
            <w:r>
              <w:rPr>
                <w:rFonts w:ascii="MS PGothic" w:hAnsi="MS PGothic" w:eastAsia="MS PGothic" w:cs="MS PGothic"/>
                <w:spacing w:val="8"/>
              </w:rPr>
              <w:t>①</w:t>
            </w:r>
            <w:r>
              <w:rPr>
                <w:spacing w:val="8"/>
              </w:rPr>
              <w:t>菜地看</w:t>
            </w:r>
            <w:r>
              <w:rPr>
                <w:spacing w:val="6"/>
              </w:rPr>
              <w:t>护用房</w:t>
            </w:r>
          </w:p>
        </w:tc>
        <w:tc>
          <w:tcPr>
            <w:tcW w:w="715" w:type="dxa"/>
            <w:vAlign w:val="top"/>
          </w:tcPr>
          <w:p w14:paraId="7C540300">
            <w:pPr>
              <w:spacing w:line="321" w:lineRule="auto"/>
              <w:rPr>
                <w:rFonts w:ascii="Arial"/>
                <w:sz w:val="21"/>
              </w:rPr>
            </w:pPr>
          </w:p>
          <w:p w14:paraId="459AE325">
            <w:pPr>
              <w:spacing w:line="322" w:lineRule="auto"/>
              <w:rPr>
                <w:rFonts w:ascii="Arial"/>
                <w:sz w:val="21"/>
              </w:rPr>
            </w:pPr>
          </w:p>
          <w:p w14:paraId="41BF2206">
            <w:pPr>
              <w:pStyle w:val="6"/>
              <w:spacing w:before="65" w:line="252" w:lineRule="auto"/>
              <w:ind w:left="145" w:right="148" w:firstLine="2"/>
              <w:jc w:val="both"/>
            </w:pPr>
            <w:r>
              <w:rPr>
                <w:spacing w:val="3"/>
              </w:rPr>
              <w:t>居住</w:t>
            </w:r>
            <w:r>
              <w:rPr>
                <w:spacing w:val="5"/>
              </w:rPr>
              <w:t>及农用物资仓</w:t>
            </w:r>
            <w:r>
              <w:rPr>
                <w:spacing w:val="35"/>
                <w:w w:val="136"/>
              </w:rPr>
              <w:t>库</w:t>
            </w:r>
          </w:p>
        </w:tc>
        <w:tc>
          <w:tcPr>
            <w:tcW w:w="667" w:type="dxa"/>
            <w:vAlign w:val="top"/>
          </w:tcPr>
          <w:p w14:paraId="7D7F3CB7">
            <w:pPr>
              <w:spacing w:line="262" w:lineRule="auto"/>
              <w:rPr>
                <w:rFonts w:ascii="Arial"/>
                <w:sz w:val="21"/>
              </w:rPr>
            </w:pPr>
          </w:p>
          <w:p w14:paraId="6CC615E4">
            <w:pPr>
              <w:spacing w:line="263" w:lineRule="auto"/>
              <w:rPr>
                <w:rFonts w:ascii="Arial"/>
                <w:sz w:val="21"/>
              </w:rPr>
            </w:pPr>
          </w:p>
          <w:p w14:paraId="5EAFD7DE">
            <w:pPr>
              <w:spacing w:line="263" w:lineRule="auto"/>
              <w:rPr>
                <w:rFonts w:ascii="Arial"/>
                <w:sz w:val="21"/>
              </w:rPr>
            </w:pPr>
          </w:p>
          <w:p w14:paraId="79F10ED7">
            <w:pPr>
              <w:spacing w:line="263" w:lineRule="auto"/>
              <w:rPr>
                <w:rFonts w:ascii="Arial"/>
                <w:sz w:val="21"/>
              </w:rPr>
            </w:pPr>
          </w:p>
          <w:p w14:paraId="00ECF2DD">
            <w:pPr>
              <w:pStyle w:val="6"/>
              <w:spacing w:before="65" w:line="253" w:lineRule="auto"/>
              <w:ind w:left="145" w:right="150"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882" w:type="dxa"/>
            <w:vAlign w:val="top"/>
          </w:tcPr>
          <w:p w14:paraId="59ECAF03">
            <w:pPr>
              <w:spacing w:line="259" w:lineRule="auto"/>
              <w:rPr>
                <w:rFonts w:ascii="Arial"/>
                <w:sz w:val="21"/>
              </w:rPr>
            </w:pPr>
          </w:p>
          <w:p w14:paraId="3285E3AD">
            <w:pPr>
              <w:spacing w:line="259" w:lineRule="auto"/>
              <w:rPr>
                <w:rFonts w:ascii="Arial"/>
                <w:sz w:val="21"/>
              </w:rPr>
            </w:pPr>
          </w:p>
          <w:p w14:paraId="3F83FAD7">
            <w:pPr>
              <w:spacing w:line="260" w:lineRule="auto"/>
              <w:rPr>
                <w:rFonts w:ascii="Arial"/>
                <w:sz w:val="21"/>
              </w:rPr>
            </w:pPr>
          </w:p>
          <w:p w14:paraId="021918A5">
            <w:pPr>
              <w:pStyle w:val="6"/>
              <w:spacing w:before="65" w:line="252" w:lineRule="auto"/>
              <w:ind w:left="125" w:right="125"/>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24" w:type="dxa"/>
            <w:vAlign w:val="top"/>
          </w:tcPr>
          <w:p w14:paraId="078C1F20">
            <w:pPr>
              <w:spacing w:line="259" w:lineRule="auto"/>
              <w:rPr>
                <w:rFonts w:ascii="Arial"/>
                <w:sz w:val="21"/>
              </w:rPr>
            </w:pPr>
          </w:p>
          <w:p w14:paraId="57FE8266">
            <w:pPr>
              <w:spacing w:line="259" w:lineRule="auto"/>
              <w:rPr>
                <w:rFonts w:ascii="Arial"/>
                <w:sz w:val="21"/>
              </w:rPr>
            </w:pPr>
          </w:p>
          <w:p w14:paraId="294DBAA5">
            <w:pPr>
              <w:spacing w:line="260" w:lineRule="auto"/>
              <w:rPr>
                <w:rFonts w:ascii="Arial"/>
                <w:sz w:val="21"/>
              </w:rPr>
            </w:pPr>
          </w:p>
          <w:p w14:paraId="53907414">
            <w:pPr>
              <w:pStyle w:val="6"/>
              <w:spacing w:before="65" w:line="228" w:lineRule="auto"/>
              <w:ind w:left="109"/>
            </w:pPr>
            <w:r>
              <w:rPr>
                <w:spacing w:val="-1"/>
              </w:rPr>
              <w:t>双回线路（单</w:t>
            </w:r>
          </w:p>
          <w:p w14:paraId="3E3499B7">
            <w:pPr>
              <w:pStyle w:val="6"/>
              <w:spacing w:before="24" w:line="228" w:lineRule="auto"/>
              <w:ind w:left="188"/>
            </w:pPr>
            <w:r>
              <w:rPr>
                <w:spacing w:val="9"/>
              </w:rPr>
              <w:t>边挂线）西</w:t>
            </w:r>
          </w:p>
          <w:p w14:paraId="50591236">
            <w:pPr>
              <w:pStyle w:val="6"/>
              <w:spacing w:before="23" w:line="228" w:lineRule="auto"/>
              <w:ind w:left="108"/>
            </w:pPr>
            <w:r>
              <w:rPr>
                <w:spacing w:val="4"/>
              </w:rPr>
              <w:t>侧，</w:t>
            </w:r>
            <w:r>
              <w:rPr>
                <w:rFonts w:ascii="Times New Roman" w:hAnsi="Times New Roman" w:eastAsia="Times New Roman" w:cs="Times New Roman"/>
              </w:rPr>
              <w:t>AJ</w:t>
            </w:r>
            <w:r>
              <w:rPr>
                <w:rFonts w:ascii="Times New Roman" w:hAnsi="Times New Roman" w:eastAsia="Times New Roman" w:cs="Times New Roman"/>
                <w:spacing w:val="4"/>
              </w:rPr>
              <w:t xml:space="preserve">8 </w:t>
            </w:r>
            <w:r>
              <w:rPr>
                <w:spacing w:val="4"/>
              </w:rPr>
              <w:t>塔基</w:t>
            </w:r>
          </w:p>
          <w:p w14:paraId="05467AA5">
            <w:pPr>
              <w:pStyle w:val="6"/>
              <w:spacing w:before="26" w:line="228" w:lineRule="auto"/>
              <w:ind w:left="294"/>
              <w:rPr>
                <w:rFonts w:ascii="Times New Roman" w:hAnsi="Times New Roman" w:eastAsia="Times New Roman" w:cs="Times New Roman"/>
              </w:rPr>
            </w:pPr>
            <w:r>
              <w:rPr>
                <w:spacing w:val="2"/>
              </w:rPr>
              <w:t>西侧</w:t>
            </w:r>
            <w:r>
              <w:rPr>
                <w:spacing w:val="-34"/>
              </w:rPr>
              <w:t xml:space="preserve"> </w:t>
            </w:r>
            <w:r>
              <w:rPr>
                <w:rFonts w:ascii="Times New Roman" w:hAnsi="Times New Roman" w:eastAsia="Times New Roman" w:cs="Times New Roman"/>
                <w:spacing w:val="2"/>
              </w:rPr>
              <w:t>30m</w:t>
            </w:r>
          </w:p>
        </w:tc>
        <w:tc>
          <w:tcPr>
            <w:tcW w:w="1416" w:type="dxa"/>
            <w:tcBorders>
              <w:right w:val="single" w:color="000000" w:sz="2" w:space="0"/>
            </w:tcBorders>
            <w:vAlign w:val="top"/>
          </w:tcPr>
          <w:p w14:paraId="19E9D3E0">
            <w:pPr>
              <w:spacing w:line="264" w:lineRule="auto"/>
              <w:rPr>
                <w:rFonts w:ascii="Arial"/>
                <w:sz w:val="21"/>
              </w:rPr>
            </w:pPr>
          </w:p>
          <w:p w14:paraId="6AD6B635">
            <w:pPr>
              <w:spacing w:line="264" w:lineRule="auto"/>
              <w:rPr>
                <w:rFonts w:ascii="Arial"/>
                <w:sz w:val="21"/>
              </w:rPr>
            </w:pPr>
          </w:p>
          <w:p w14:paraId="5BA720F0">
            <w:pPr>
              <w:spacing w:line="265" w:lineRule="auto"/>
              <w:rPr>
                <w:rFonts w:ascii="Arial"/>
                <w:sz w:val="21"/>
              </w:rPr>
            </w:pPr>
          </w:p>
          <w:p w14:paraId="78ED00E6">
            <w:pPr>
              <w:pStyle w:val="6"/>
              <w:spacing w:before="65" w:line="228" w:lineRule="auto"/>
              <w:ind w:left="161"/>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p>
          <w:p w14:paraId="36D4AE1D">
            <w:pPr>
              <w:pStyle w:val="6"/>
              <w:spacing w:before="26" w:line="228" w:lineRule="auto"/>
              <w:ind w:left="185"/>
            </w:pPr>
            <w:r>
              <w:rPr>
                <w:spacing w:val="8"/>
              </w:rPr>
              <w:t>边导线地面</w:t>
            </w:r>
          </w:p>
          <w:p w14:paraId="34033C81">
            <w:pPr>
              <w:pStyle w:val="6"/>
              <w:spacing w:before="23" w:line="228" w:lineRule="auto"/>
              <w:ind w:left="291"/>
            </w:pPr>
            <w:r>
              <w:rPr>
                <w:spacing w:val="7"/>
              </w:rPr>
              <w:t>投影西侧</w:t>
            </w:r>
          </w:p>
          <w:p w14:paraId="2261260F">
            <w:pPr>
              <w:spacing w:before="48" w:line="195"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11m</w:t>
            </w:r>
          </w:p>
        </w:tc>
        <w:tc>
          <w:tcPr>
            <w:tcW w:w="1136" w:type="dxa"/>
            <w:tcBorders>
              <w:left w:val="single" w:color="000000" w:sz="2" w:space="0"/>
              <w:right w:val="single" w:color="000000" w:sz="2" w:space="0"/>
            </w:tcBorders>
            <w:vAlign w:val="top"/>
          </w:tcPr>
          <w:p w14:paraId="15018865">
            <w:pPr>
              <w:spacing w:line="245" w:lineRule="auto"/>
              <w:rPr>
                <w:rFonts w:ascii="Arial"/>
                <w:sz w:val="21"/>
              </w:rPr>
            </w:pPr>
          </w:p>
          <w:p w14:paraId="4CAB929B">
            <w:pPr>
              <w:spacing w:line="245" w:lineRule="auto"/>
              <w:rPr>
                <w:rFonts w:ascii="Arial"/>
                <w:sz w:val="21"/>
              </w:rPr>
            </w:pPr>
          </w:p>
          <w:p w14:paraId="50BCFCA7">
            <w:pPr>
              <w:spacing w:line="245" w:lineRule="auto"/>
              <w:rPr>
                <w:rFonts w:ascii="Arial"/>
                <w:sz w:val="21"/>
              </w:rPr>
            </w:pPr>
          </w:p>
          <w:p w14:paraId="07E46DF9">
            <w:pPr>
              <w:spacing w:line="246" w:lineRule="auto"/>
              <w:rPr>
                <w:rFonts w:ascii="Arial"/>
                <w:sz w:val="21"/>
              </w:rPr>
            </w:pPr>
          </w:p>
          <w:p w14:paraId="39D82EB8">
            <w:pPr>
              <w:spacing w:line="246" w:lineRule="auto"/>
              <w:rPr>
                <w:rFonts w:ascii="Arial"/>
                <w:sz w:val="21"/>
              </w:rPr>
            </w:pPr>
          </w:p>
          <w:p w14:paraId="27679908">
            <w:pPr>
              <w:spacing w:before="58" w:line="195" w:lineRule="auto"/>
              <w:ind w:left="40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16m</w:t>
            </w:r>
          </w:p>
        </w:tc>
        <w:tc>
          <w:tcPr>
            <w:tcW w:w="646" w:type="dxa"/>
            <w:tcBorders>
              <w:left w:val="single" w:color="000000" w:sz="2" w:space="0"/>
            </w:tcBorders>
            <w:vAlign w:val="top"/>
          </w:tcPr>
          <w:p w14:paraId="3A9219FD">
            <w:pPr>
              <w:spacing w:line="246" w:lineRule="auto"/>
              <w:rPr>
                <w:rFonts w:ascii="Arial"/>
                <w:sz w:val="21"/>
              </w:rPr>
            </w:pPr>
          </w:p>
          <w:p w14:paraId="73BA2F72">
            <w:pPr>
              <w:spacing w:line="246" w:lineRule="auto"/>
              <w:rPr>
                <w:rFonts w:ascii="Arial"/>
                <w:sz w:val="21"/>
              </w:rPr>
            </w:pPr>
          </w:p>
          <w:p w14:paraId="4B1DDEDA">
            <w:pPr>
              <w:spacing w:line="246" w:lineRule="auto"/>
              <w:rPr>
                <w:rFonts w:ascii="Arial"/>
                <w:sz w:val="21"/>
              </w:rPr>
            </w:pPr>
          </w:p>
          <w:p w14:paraId="3261E5CB">
            <w:pPr>
              <w:spacing w:line="246" w:lineRule="auto"/>
              <w:rPr>
                <w:rFonts w:ascii="Arial"/>
                <w:sz w:val="21"/>
              </w:rPr>
            </w:pPr>
          </w:p>
          <w:p w14:paraId="0D21940F">
            <w:pPr>
              <w:spacing w:line="246" w:lineRule="auto"/>
              <w:rPr>
                <w:rFonts w:ascii="Arial"/>
                <w:sz w:val="21"/>
              </w:rPr>
            </w:pPr>
          </w:p>
          <w:p w14:paraId="3EC07981">
            <w:pPr>
              <w:spacing w:before="58" w:line="192"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3953" w:type="dxa"/>
            <w:vAlign w:val="top"/>
          </w:tcPr>
          <w:p w14:paraId="6468FCBA">
            <w:pPr>
              <w:spacing w:before="2" w:line="2710" w:lineRule="exact"/>
              <w:ind w:firstLine="188"/>
            </w:pPr>
            <w:r>
              <w:rPr>
                <w:position w:val="-54"/>
              </w:rPr>
              <w:drawing>
                <wp:inline distT="0" distB="0" distL="0" distR="0">
                  <wp:extent cx="2267585" cy="1720850"/>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253"/>
                          <a:stretch>
                            <a:fillRect/>
                          </a:stretch>
                        </pic:blipFill>
                        <pic:spPr>
                          <a:xfrm>
                            <a:off x="0" y="0"/>
                            <a:ext cx="2267711" cy="1721104"/>
                          </a:xfrm>
                          <a:prstGeom prst="rect">
                            <a:avLst/>
                          </a:prstGeom>
                        </pic:spPr>
                      </pic:pic>
                    </a:graphicData>
                  </a:graphic>
                </wp:inline>
              </w:drawing>
            </w:r>
          </w:p>
        </w:tc>
        <w:tc>
          <w:tcPr>
            <w:tcW w:w="1155" w:type="dxa"/>
            <w:vMerge w:val="continue"/>
            <w:tcBorders>
              <w:top w:val="nil"/>
              <w:bottom w:val="nil"/>
            </w:tcBorders>
            <w:vAlign w:val="top"/>
          </w:tcPr>
          <w:p w14:paraId="2F60DFFD">
            <w:pPr>
              <w:rPr>
                <w:rFonts w:ascii="Arial"/>
                <w:sz w:val="21"/>
              </w:rPr>
            </w:pPr>
          </w:p>
        </w:tc>
      </w:tr>
      <w:tr w14:paraId="52936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2" w:hRule="atLeast"/>
        </w:trPr>
        <w:tc>
          <w:tcPr>
            <w:tcW w:w="848" w:type="dxa"/>
            <w:vMerge w:val="continue"/>
            <w:tcBorders>
              <w:top w:val="nil"/>
              <w:right w:val="single" w:color="000000" w:sz="2" w:space="0"/>
            </w:tcBorders>
            <w:vAlign w:val="top"/>
          </w:tcPr>
          <w:p w14:paraId="3461BB58">
            <w:pPr>
              <w:rPr>
                <w:rFonts w:ascii="Arial"/>
                <w:sz w:val="21"/>
              </w:rPr>
            </w:pPr>
          </w:p>
        </w:tc>
        <w:tc>
          <w:tcPr>
            <w:tcW w:w="1180" w:type="dxa"/>
            <w:tcBorders>
              <w:left w:val="single" w:color="000000" w:sz="2" w:space="0"/>
            </w:tcBorders>
            <w:vAlign w:val="top"/>
          </w:tcPr>
          <w:p w14:paraId="37680B92">
            <w:pPr>
              <w:spacing w:line="277" w:lineRule="auto"/>
              <w:rPr>
                <w:rFonts w:ascii="Arial"/>
                <w:sz w:val="21"/>
              </w:rPr>
            </w:pPr>
          </w:p>
          <w:p w14:paraId="2D7DE286">
            <w:pPr>
              <w:spacing w:line="277" w:lineRule="auto"/>
              <w:rPr>
                <w:rFonts w:ascii="Arial"/>
                <w:sz w:val="21"/>
              </w:rPr>
            </w:pPr>
          </w:p>
          <w:p w14:paraId="60709929">
            <w:pPr>
              <w:spacing w:line="277" w:lineRule="auto"/>
              <w:rPr>
                <w:rFonts w:ascii="Arial"/>
                <w:sz w:val="21"/>
              </w:rPr>
            </w:pPr>
          </w:p>
          <w:p w14:paraId="4C16EAD0">
            <w:pPr>
              <w:spacing w:line="278" w:lineRule="auto"/>
              <w:rPr>
                <w:rFonts w:ascii="Arial"/>
                <w:sz w:val="21"/>
              </w:rPr>
            </w:pPr>
          </w:p>
          <w:p w14:paraId="1023FD6C">
            <w:pPr>
              <w:pStyle w:val="6"/>
              <w:spacing w:before="65" w:line="254" w:lineRule="auto"/>
              <w:ind w:left="275" w:right="170" w:hanging="109"/>
            </w:pPr>
            <w:r>
              <w:rPr>
                <w:rFonts w:ascii="MS PGothic" w:hAnsi="MS PGothic" w:eastAsia="MS PGothic" w:cs="MS PGothic"/>
                <w:spacing w:val="8"/>
              </w:rPr>
              <w:t>⑩</w:t>
            </w:r>
            <w:r>
              <w:rPr>
                <w:spacing w:val="8"/>
              </w:rPr>
              <w:t>菜地看</w:t>
            </w:r>
            <w:r>
              <w:rPr>
                <w:spacing w:val="6"/>
              </w:rPr>
              <w:t>护用房</w:t>
            </w:r>
          </w:p>
        </w:tc>
        <w:tc>
          <w:tcPr>
            <w:tcW w:w="715" w:type="dxa"/>
            <w:vAlign w:val="top"/>
          </w:tcPr>
          <w:p w14:paraId="2AB61C77">
            <w:pPr>
              <w:spacing w:line="351" w:lineRule="auto"/>
              <w:rPr>
                <w:rFonts w:ascii="Arial"/>
                <w:sz w:val="21"/>
              </w:rPr>
            </w:pPr>
          </w:p>
          <w:p w14:paraId="1F2EF0EF">
            <w:pPr>
              <w:spacing w:line="352" w:lineRule="auto"/>
              <w:rPr>
                <w:rFonts w:ascii="Arial"/>
                <w:sz w:val="21"/>
              </w:rPr>
            </w:pPr>
          </w:p>
          <w:p w14:paraId="6C616150">
            <w:pPr>
              <w:pStyle w:val="6"/>
              <w:spacing w:before="65" w:line="252" w:lineRule="auto"/>
              <w:ind w:left="145" w:right="148" w:firstLine="2"/>
              <w:jc w:val="both"/>
            </w:pPr>
            <w:r>
              <w:rPr>
                <w:spacing w:val="3"/>
              </w:rPr>
              <w:t>居住</w:t>
            </w:r>
            <w:r>
              <w:rPr>
                <w:spacing w:val="5"/>
              </w:rPr>
              <w:t>及农用物资仓</w:t>
            </w:r>
            <w:r>
              <w:rPr>
                <w:spacing w:val="35"/>
                <w:w w:val="136"/>
              </w:rPr>
              <w:t>库</w:t>
            </w:r>
          </w:p>
        </w:tc>
        <w:tc>
          <w:tcPr>
            <w:tcW w:w="667" w:type="dxa"/>
            <w:vAlign w:val="top"/>
          </w:tcPr>
          <w:p w14:paraId="74E46E95">
            <w:pPr>
              <w:spacing w:line="277" w:lineRule="auto"/>
              <w:rPr>
                <w:rFonts w:ascii="Arial"/>
                <w:sz w:val="21"/>
              </w:rPr>
            </w:pPr>
          </w:p>
          <w:p w14:paraId="628B5590">
            <w:pPr>
              <w:spacing w:line="277" w:lineRule="auto"/>
              <w:rPr>
                <w:rFonts w:ascii="Arial"/>
                <w:sz w:val="21"/>
              </w:rPr>
            </w:pPr>
          </w:p>
          <w:p w14:paraId="6A058757">
            <w:pPr>
              <w:spacing w:line="277" w:lineRule="auto"/>
              <w:rPr>
                <w:rFonts w:ascii="Arial"/>
                <w:sz w:val="21"/>
              </w:rPr>
            </w:pPr>
          </w:p>
          <w:p w14:paraId="22E3AFBF">
            <w:pPr>
              <w:spacing w:line="278" w:lineRule="auto"/>
              <w:rPr>
                <w:rFonts w:ascii="Arial"/>
                <w:sz w:val="21"/>
              </w:rPr>
            </w:pPr>
          </w:p>
          <w:p w14:paraId="40EF84DE">
            <w:pPr>
              <w:pStyle w:val="6"/>
              <w:spacing w:before="65" w:line="255" w:lineRule="auto"/>
              <w:ind w:left="145" w:right="150"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882" w:type="dxa"/>
            <w:vAlign w:val="top"/>
          </w:tcPr>
          <w:p w14:paraId="4D0E5DAF">
            <w:pPr>
              <w:spacing w:line="279" w:lineRule="auto"/>
              <w:rPr>
                <w:rFonts w:ascii="Arial"/>
                <w:sz w:val="21"/>
              </w:rPr>
            </w:pPr>
          </w:p>
          <w:p w14:paraId="294C0736">
            <w:pPr>
              <w:spacing w:line="279" w:lineRule="auto"/>
              <w:rPr>
                <w:rFonts w:ascii="Arial"/>
                <w:sz w:val="21"/>
              </w:rPr>
            </w:pPr>
          </w:p>
          <w:p w14:paraId="70EBDADA">
            <w:pPr>
              <w:spacing w:line="280" w:lineRule="auto"/>
              <w:rPr>
                <w:rFonts w:ascii="Arial"/>
                <w:sz w:val="21"/>
              </w:rPr>
            </w:pPr>
          </w:p>
          <w:p w14:paraId="53B32A58">
            <w:pPr>
              <w:pStyle w:val="6"/>
              <w:spacing w:before="65" w:line="252" w:lineRule="auto"/>
              <w:ind w:left="125" w:right="125"/>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24" w:type="dxa"/>
            <w:vAlign w:val="top"/>
          </w:tcPr>
          <w:p w14:paraId="46E2C7C5">
            <w:pPr>
              <w:spacing w:line="279" w:lineRule="auto"/>
              <w:rPr>
                <w:rFonts w:ascii="Arial"/>
                <w:sz w:val="21"/>
              </w:rPr>
            </w:pPr>
          </w:p>
          <w:p w14:paraId="12AF3C6E">
            <w:pPr>
              <w:spacing w:line="279" w:lineRule="auto"/>
              <w:rPr>
                <w:rFonts w:ascii="Arial"/>
                <w:sz w:val="21"/>
              </w:rPr>
            </w:pPr>
          </w:p>
          <w:p w14:paraId="39F7C7BF">
            <w:pPr>
              <w:spacing w:line="280" w:lineRule="auto"/>
              <w:rPr>
                <w:rFonts w:ascii="Arial"/>
                <w:sz w:val="21"/>
              </w:rPr>
            </w:pPr>
          </w:p>
          <w:p w14:paraId="14A452FA">
            <w:pPr>
              <w:pStyle w:val="6"/>
              <w:spacing w:before="65" w:line="252" w:lineRule="auto"/>
              <w:ind w:left="108" w:right="104" w:firstLine="1"/>
              <w:jc w:val="both"/>
              <w:rPr>
                <w:rFonts w:ascii="Times New Roman" w:hAnsi="Times New Roman" w:eastAsia="Times New Roman" w:cs="Times New Roman"/>
              </w:rPr>
            </w:pPr>
            <w:r>
              <w:rPr>
                <w:spacing w:val="-1"/>
              </w:rPr>
              <w:t>双回线路（单</w:t>
            </w:r>
            <w:r>
              <w:rPr>
                <w:spacing w:val="24"/>
              </w:rPr>
              <w:t>边挂线）西</w:t>
            </w:r>
            <w:r>
              <w:rPr>
                <w:spacing w:val="-5"/>
              </w:rPr>
              <w:t>侧，</w:t>
            </w:r>
            <w:r>
              <w:rPr>
                <w:rFonts w:ascii="Times New Roman" w:hAnsi="Times New Roman" w:eastAsia="Times New Roman" w:cs="Times New Roman"/>
                <w:spacing w:val="-5"/>
              </w:rPr>
              <w:t>AZ5</w:t>
            </w:r>
            <w:r>
              <w:rPr>
                <w:rFonts w:ascii="Times New Roman" w:hAnsi="Times New Roman" w:eastAsia="Times New Roman" w:cs="Times New Roman"/>
                <w:spacing w:val="15"/>
                <w:w w:val="101"/>
              </w:rPr>
              <w:t xml:space="preserve"> </w:t>
            </w:r>
            <w:r>
              <w:rPr>
                <w:spacing w:val="-5"/>
              </w:rPr>
              <w:t>塔基</w:t>
            </w:r>
            <w:r>
              <w:rPr>
                <w:spacing w:val="6"/>
              </w:rPr>
              <w:t>西南侧</w:t>
            </w:r>
            <w:r>
              <w:rPr>
                <w:spacing w:val="-21"/>
              </w:rPr>
              <w:t xml:space="preserve"> </w:t>
            </w:r>
            <w:r>
              <w:rPr>
                <w:rFonts w:ascii="Times New Roman" w:hAnsi="Times New Roman" w:eastAsia="Times New Roman" w:cs="Times New Roman"/>
                <w:spacing w:val="6"/>
              </w:rPr>
              <w:t>128m</w:t>
            </w:r>
          </w:p>
        </w:tc>
        <w:tc>
          <w:tcPr>
            <w:tcW w:w="1416" w:type="dxa"/>
            <w:tcBorders>
              <w:right w:val="single" w:color="000000" w:sz="2" w:space="0"/>
            </w:tcBorders>
            <w:vAlign w:val="top"/>
          </w:tcPr>
          <w:p w14:paraId="4ECB5246">
            <w:pPr>
              <w:spacing w:line="284" w:lineRule="auto"/>
              <w:rPr>
                <w:rFonts w:ascii="Arial"/>
                <w:sz w:val="21"/>
              </w:rPr>
            </w:pPr>
          </w:p>
          <w:p w14:paraId="104023B4">
            <w:pPr>
              <w:spacing w:line="284" w:lineRule="auto"/>
              <w:rPr>
                <w:rFonts w:ascii="Arial"/>
                <w:sz w:val="21"/>
              </w:rPr>
            </w:pPr>
          </w:p>
          <w:p w14:paraId="52B0EECD">
            <w:pPr>
              <w:spacing w:line="285" w:lineRule="auto"/>
              <w:rPr>
                <w:rFonts w:ascii="Arial"/>
                <w:sz w:val="21"/>
              </w:rPr>
            </w:pPr>
          </w:p>
          <w:p w14:paraId="292EC9ED">
            <w:pPr>
              <w:pStyle w:val="6"/>
              <w:spacing w:before="65" w:line="228" w:lineRule="auto"/>
              <w:ind w:left="161"/>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p>
          <w:p w14:paraId="2B7D7264">
            <w:pPr>
              <w:pStyle w:val="6"/>
              <w:spacing w:before="26" w:line="228" w:lineRule="auto"/>
              <w:ind w:left="185"/>
            </w:pPr>
            <w:r>
              <w:rPr>
                <w:spacing w:val="8"/>
              </w:rPr>
              <w:t>边导线地面</w:t>
            </w:r>
          </w:p>
          <w:p w14:paraId="034DB94F">
            <w:pPr>
              <w:pStyle w:val="6"/>
              <w:spacing w:before="23" w:line="228" w:lineRule="auto"/>
              <w:ind w:left="291"/>
            </w:pPr>
            <w:r>
              <w:rPr>
                <w:spacing w:val="7"/>
              </w:rPr>
              <w:t>投影西侧</w:t>
            </w:r>
          </w:p>
          <w:p w14:paraId="3539D4AD">
            <w:pPr>
              <w:spacing w:before="46" w:line="195" w:lineRule="auto"/>
              <w:ind w:left="54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17m</w:t>
            </w:r>
          </w:p>
        </w:tc>
        <w:tc>
          <w:tcPr>
            <w:tcW w:w="1136" w:type="dxa"/>
            <w:tcBorders>
              <w:left w:val="single" w:color="000000" w:sz="2" w:space="0"/>
              <w:right w:val="single" w:color="000000" w:sz="2" w:space="0"/>
            </w:tcBorders>
            <w:vAlign w:val="top"/>
          </w:tcPr>
          <w:p w14:paraId="32BF0237">
            <w:pPr>
              <w:spacing w:line="257" w:lineRule="auto"/>
              <w:rPr>
                <w:rFonts w:ascii="Arial"/>
                <w:sz w:val="21"/>
              </w:rPr>
            </w:pPr>
          </w:p>
          <w:p w14:paraId="2B88FD43">
            <w:pPr>
              <w:spacing w:line="257" w:lineRule="auto"/>
              <w:rPr>
                <w:rFonts w:ascii="Arial"/>
                <w:sz w:val="21"/>
              </w:rPr>
            </w:pPr>
          </w:p>
          <w:p w14:paraId="6375A8E5">
            <w:pPr>
              <w:spacing w:line="257" w:lineRule="auto"/>
              <w:rPr>
                <w:rFonts w:ascii="Arial"/>
                <w:sz w:val="21"/>
              </w:rPr>
            </w:pPr>
          </w:p>
          <w:p w14:paraId="728D996E">
            <w:pPr>
              <w:spacing w:line="258" w:lineRule="auto"/>
              <w:rPr>
                <w:rFonts w:ascii="Arial"/>
                <w:sz w:val="21"/>
              </w:rPr>
            </w:pPr>
          </w:p>
          <w:p w14:paraId="60CC645B">
            <w:pPr>
              <w:spacing w:line="258" w:lineRule="auto"/>
              <w:rPr>
                <w:rFonts w:ascii="Arial"/>
                <w:sz w:val="21"/>
              </w:rPr>
            </w:pPr>
          </w:p>
          <w:p w14:paraId="6402F842">
            <w:pPr>
              <w:spacing w:before="58" w:line="195" w:lineRule="auto"/>
              <w:ind w:left="38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22m</w:t>
            </w:r>
          </w:p>
        </w:tc>
        <w:tc>
          <w:tcPr>
            <w:tcW w:w="646" w:type="dxa"/>
            <w:tcBorders>
              <w:left w:val="single" w:color="000000" w:sz="2" w:space="0"/>
            </w:tcBorders>
            <w:vAlign w:val="top"/>
          </w:tcPr>
          <w:p w14:paraId="774B3B19">
            <w:pPr>
              <w:spacing w:line="258" w:lineRule="auto"/>
              <w:rPr>
                <w:rFonts w:ascii="Arial"/>
                <w:sz w:val="21"/>
              </w:rPr>
            </w:pPr>
          </w:p>
          <w:p w14:paraId="44F57D75">
            <w:pPr>
              <w:spacing w:line="258" w:lineRule="auto"/>
              <w:rPr>
                <w:rFonts w:ascii="Arial"/>
                <w:sz w:val="21"/>
              </w:rPr>
            </w:pPr>
          </w:p>
          <w:p w14:paraId="70DC59DB">
            <w:pPr>
              <w:spacing w:line="258" w:lineRule="auto"/>
              <w:rPr>
                <w:rFonts w:ascii="Arial"/>
                <w:sz w:val="21"/>
              </w:rPr>
            </w:pPr>
          </w:p>
          <w:p w14:paraId="636E518E">
            <w:pPr>
              <w:spacing w:line="258" w:lineRule="auto"/>
              <w:rPr>
                <w:rFonts w:ascii="Arial"/>
                <w:sz w:val="21"/>
              </w:rPr>
            </w:pPr>
          </w:p>
          <w:p w14:paraId="705573B1">
            <w:pPr>
              <w:spacing w:line="258" w:lineRule="auto"/>
              <w:rPr>
                <w:rFonts w:ascii="Arial"/>
                <w:sz w:val="21"/>
              </w:rPr>
            </w:pPr>
          </w:p>
          <w:p w14:paraId="26E19F15">
            <w:pPr>
              <w:spacing w:before="58" w:line="192"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3953" w:type="dxa"/>
            <w:vAlign w:val="top"/>
          </w:tcPr>
          <w:p w14:paraId="47FAAE85">
            <w:pPr>
              <w:spacing w:before="5" w:line="2827" w:lineRule="exact"/>
              <w:ind w:firstLine="104"/>
            </w:pPr>
            <w:r>
              <w:rPr>
                <w:position w:val="-56"/>
              </w:rPr>
              <w:drawing>
                <wp:inline distT="0" distB="0" distL="0" distR="0">
                  <wp:extent cx="2400300" cy="1794510"/>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254"/>
                          <a:stretch>
                            <a:fillRect/>
                          </a:stretch>
                        </pic:blipFill>
                        <pic:spPr>
                          <a:xfrm>
                            <a:off x="0" y="0"/>
                            <a:ext cx="2400300" cy="1794764"/>
                          </a:xfrm>
                          <a:prstGeom prst="rect">
                            <a:avLst/>
                          </a:prstGeom>
                        </pic:spPr>
                      </pic:pic>
                    </a:graphicData>
                  </a:graphic>
                </wp:inline>
              </w:drawing>
            </w:r>
          </w:p>
        </w:tc>
        <w:tc>
          <w:tcPr>
            <w:tcW w:w="1155" w:type="dxa"/>
            <w:vMerge w:val="continue"/>
            <w:tcBorders>
              <w:top w:val="nil"/>
              <w:bottom w:val="single" w:color="000000" w:sz="2" w:space="0"/>
            </w:tcBorders>
            <w:vAlign w:val="top"/>
          </w:tcPr>
          <w:p w14:paraId="5B527AF4">
            <w:pPr>
              <w:rPr>
                <w:rFonts w:ascii="Arial"/>
                <w:sz w:val="21"/>
              </w:rPr>
            </w:pPr>
          </w:p>
        </w:tc>
      </w:tr>
    </w:tbl>
    <w:p w14:paraId="70CED341">
      <w:pPr>
        <w:rPr>
          <w:rFonts w:ascii="Arial"/>
          <w:sz w:val="21"/>
        </w:rPr>
      </w:pPr>
    </w:p>
    <w:p w14:paraId="408ADFE3">
      <w:pPr>
        <w:rPr>
          <w:rFonts w:ascii="Arial" w:hAnsi="Arial" w:eastAsia="Arial" w:cs="Arial"/>
          <w:sz w:val="21"/>
          <w:szCs w:val="21"/>
        </w:rPr>
        <w:sectPr>
          <w:footerReference r:id="rId89" w:type="default"/>
          <w:pgSz w:w="16840" w:h="11907"/>
          <w:pgMar w:top="400" w:right="1441" w:bottom="1010" w:left="1365" w:header="0" w:footer="851" w:gutter="0"/>
          <w:cols w:space="720" w:num="1"/>
        </w:sectPr>
      </w:pPr>
    </w:p>
    <w:p w14:paraId="535DDBF5">
      <w:pPr>
        <w:spacing w:before="3"/>
      </w:pPr>
    </w:p>
    <w:p w14:paraId="6D316D2E">
      <w:pPr>
        <w:spacing w:before="3"/>
      </w:pPr>
    </w:p>
    <w:p w14:paraId="5EBEE08D">
      <w:pPr>
        <w:spacing w:before="3"/>
      </w:pPr>
    </w:p>
    <w:tbl>
      <w:tblPr>
        <w:tblStyle w:val="5"/>
        <w:tblW w:w="1402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8"/>
        <w:gridCol w:w="1180"/>
        <w:gridCol w:w="715"/>
        <w:gridCol w:w="667"/>
        <w:gridCol w:w="882"/>
        <w:gridCol w:w="1424"/>
        <w:gridCol w:w="1416"/>
        <w:gridCol w:w="1136"/>
        <w:gridCol w:w="646"/>
        <w:gridCol w:w="3953"/>
        <w:gridCol w:w="1155"/>
      </w:tblGrid>
      <w:tr w14:paraId="42DFD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848" w:type="dxa"/>
            <w:tcBorders>
              <w:right w:val="single" w:color="000000" w:sz="2" w:space="0"/>
            </w:tcBorders>
            <w:shd w:val="clear" w:color="auto" w:fill="BEBEBE"/>
            <w:vAlign w:val="top"/>
          </w:tcPr>
          <w:p w14:paraId="5DD9EDDB">
            <w:pPr>
              <w:spacing w:line="376" w:lineRule="auto"/>
              <w:rPr>
                <w:rFonts w:ascii="Arial"/>
                <w:sz w:val="21"/>
              </w:rPr>
            </w:pPr>
          </w:p>
          <w:p w14:paraId="39DB9E12">
            <w:pPr>
              <w:pStyle w:val="6"/>
              <w:spacing w:before="65" w:line="228" w:lineRule="auto"/>
              <w:ind w:left="216"/>
            </w:pPr>
            <w:r>
              <w:rPr>
                <w:b/>
                <w:bCs/>
                <w:spacing w:val="2"/>
              </w:rPr>
              <w:t>分区</w:t>
            </w:r>
          </w:p>
        </w:tc>
        <w:tc>
          <w:tcPr>
            <w:tcW w:w="1180" w:type="dxa"/>
            <w:tcBorders>
              <w:left w:val="single" w:color="000000" w:sz="2" w:space="0"/>
            </w:tcBorders>
            <w:shd w:val="clear" w:color="auto" w:fill="BEBEBE"/>
            <w:vAlign w:val="top"/>
          </w:tcPr>
          <w:p w14:paraId="0D29CB39">
            <w:pPr>
              <w:spacing w:line="243" w:lineRule="auto"/>
              <w:rPr>
                <w:rFonts w:ascii="Arial"/>
                <w:sz w:val="21"/>
              </w:rPr>
            </w:pPr>
          </w:p>
          <w:p w14:paraId="07D7597C">
            <w:pPr>
              <w:pStyle w:val="6"/>
              <w:spacing w:before="65" w:line="252" w:lineRule="auto"/>
              <w:ind w:left="418" w:right="381" w:hanging="39"/>
            </w:pPr>
            <w:r>
              <w:rPr>
                <w:b/>
                <w:bCs/>
                <w:spacing w:val="3"/>
              </w:rPr>
              <w:t>保护</w:t>
            </w:r>
            <w:r>
              <w:rPr>
                <w:b/>
                <w:bCs/>
                <w:spacing w:val="-17"/>
              </w:rPr>
              <w:t>目标</w:t>
            </w:r>
          </w:p>
        </w:tc>
        <w:tc>
          <w:tcPr>
            <w:tcW w:w="715" w:type="dxa"/>
            <w:shd w:val="clear" w:color="auto" w:fill="BEBEBE"/>
            <w:vAlign w:val="top"/>
          </w:tcPr>
          <w:p w14:paraId="38291A4E">
            <w:pPr>
              <w:spacing w:line="376" w:lineRule="auto"/>
              <w:rPr>
                <w:rFonts w:ascii="Arial"/>
                <w:sz w:val="21"/>
              </w:rPr>
            </w:pPr>
          </w:p>
          <w:p w14:paraId="1855DAEE">
            <w:pPr>
              <w:pStyle w:val="6"/>
              <w:spacing w:before="65" w:line="229" w:lineRule="auto"/>
              <w:ind w:left="150"/>
            </w:pPr>
            <w:r>
              <w:rPr>
                <w:b/>
                <w:bCs/>
                <w:spacing w:val="2"/>
              </w:rPr>
              <w:t>功能</w:t>
            </w:r>
          </w:p>
        </w:tc>
        <w:tc>
          <w:tcPr>
            <w:tcW w:w="667" w:type="dxa"/>
            <w:shd w:val="clear" w:color="auto" w:fill="BEBEBE"/>
            <w:vAlign w:val="top"/>
          </w:tcPr>
          <w:p w14:paraId="022258CB">
            <w:pPr>
              <w:spacing w:line="376" w:lineRule="auto"/>
              <w:rPr>
                <w:rFonts w:ascii="Arial"/>
                <w:sz w:val="21"/>
              </w:rPr>
            </w:pPr>
          </w:p>
          <w:p w14:paraId="292E6DEF">
            <w:pPr>
              <w:pStyle w:val="6"/>
              <w:spacing w:before="65" w:line="228" w:lineRule="auto"/>
              <w:ind w:left="123"/>
            </w:pPr>
            <w:r>
              <w:rPr>
                <w:b/>
                <w:bCs/>
                <w:spacing w:val="3"/>
              </w:rPr>
              <w:t>规模</w:t>
            </w:r>
          </w:p>
        </w:tc>
        <w:tc>
          <w:tcPr>
            <w:tcW w:w="882" w:type="dxa"/>
            <w:shd w:val="clear" w:color="auto" w:fill="BEBEBE"/>
            <w:vAlign w:val="top"/>
          </w:tcPr>
          <w:p w14:paraId="16F6A7D9">
            <w:pPr>
              <w:pStyle w:val="6"/>
              <w:spacing w:before="170" w:line="228" w:lineRule="auto"/>
              <w:ind w:left="128"/>
            </w:pPr>
            <w:r>
              <w:rPr>
                <w:b/>
                <w:bCs/>
                <w:spacing w:val="4"/>
              </w:rPr>
              <w:t>建筑物</w:t>
            </w:r>
          </w:p>
          <w:p w14:paraId="27888B88">
            <w:pPr>
              <w:pStyle w:val="6"/>
              <w:spacing w:before="26" w:line="228" w:lineRule="auto"/>
              <w:ind w:left="130"/>
            </w:pPr>
            <w:r>
              <w:rPr>
                <w:b/>
                <w:bCs/>
                <w:spacing w:val="3"/>
              </w:rPr>
              <w:t>结构及</w:t>
            </w:r>
          </w:p>
          <w:p w14:paraId="2BC048CB">
            <w:pPr>
              <w:pStyle w:val="6"/>
              <w:spacing w:before="23" w:line="228" w:lineRule="auto"/>
              <w:ind w:left="236"/>
            </w:pPr>
            <w:r>
              <w:rPr>
                <w:b/>
                <w:bCs/>
                <w:spacing w:val="1"/>
              </w:rPr>
              <w:t>高度</w:t>
            </w:r>
          </w:p>
        </w:tc>
        <w:tc>
          <w:tcPr>
            <w:tcW w:w="1424" w:type="dxa"/>
            <w:shd w:val="clear" w:color="auto" w:fill="BEBEBE"/>
            <w:vAlign w:val="top"/>
          </w:tcPr>
          <w:p w14:paraId="5A7CD1F0">
            <w:pPr>
              <w:spacing w:line="376" w:lineRule="auto"/>
              <w:rPr>
                <w:rFonts w:ascii="Arial"/>
                <w:sz w:val="21"/>
              </w:rPr>
            </w:pPr>
          </w:p>
          <w:p w14:paraId="79DB25D9">
            <w:pPr>
              <w:pStyle w:val="6"/>
              <w:spacing w:before="65" w:line="228" w:lineRule="auto"/>
              <w:ind w:left="261"/>
            </w:pPr>
            <w:r>
              <w:rPr>
                <w:b/>
                <w:bCs/>
                <w:spacing w:val="5"/>
              </w:rPr>
              <w:t>方位</w:t>
            </w:r>
            <w:r>
              <w:rPr>
                <w:rFonts w:ascii="Times New Roman" w:hAnsi="Times New Roman" w:eastAsia="Times New Roman" w:cs="Times New Roman"/>
                <w:b/>
                <w:bCs/>
                <w:spacing w:val="5"/>
              </w:rPr>
              <w:t>/</w:t>
            </w:r>
            <w:r>
              <w:rPr>
                <w:b/>
                <w:bCs/>
                <w:spacing w:val="5"/>
              </w:rPr>
              <w:t>距离</w:t>
            </w:r>
          </w:p>
        </w:tc>
        <w:tc>
          <w:tcPr>
            <w:tcW w:w="1416" w:type="dxa"/>
            <w:tcBorders>
              <w:right w:val="single" w:color="000000" w:sz="2" w:space="0"/>
            </w:tcBorders>
            <w:shd w:val="clear" w:color="auto" w:fill="BEBEBE"/>
            <w:vAlign w:val="top"/>
          </w:tcPr>
          <w:p w14:paraId="5D7F84B5">
            <w:pPr>
              <w:pStyle w:val="6"/>
              <w:spacing w:before="35" w:line="229" w:lineRule="auto"/>
              <w:ind w:left="293"/>
            </w:pPr>
            <w:r>
              <w:rPr>
                <w:b/>
                <w:bCs/>
                <w:spacing w:val="5"/>
              </w:rPr>
              <w:t>与变电站</w:t>
            </w:r>
          </w:p>
          <w:p w14:paraId="590DC4BE">
            <w:pPr>
              <w:pStyle w:val="6"/>
              <w:spacing w:before="25" w:line="228" w:lineRule="auto"/>
              <w:ind w:left="291"/>
            </w:pPr>
            <w:r>
              <w:rPr>
                <w:b/>
                <w:bCs/>
                <w:spacing w:val="5"/>
              </w:rPr>
              <w:t>或线路边</w:t>
            </w:r>
          </w:p>
          <w:p w14:paraId="05EC5C1B">
            <w:pPr>
              <w:pStyle w:val="6"/>
              <w:spacing w:before="24" w:line="228" w:lineRule="auto"/>
              <w:ind w:left="294"/>
            </w:pPr>
            <w:r>
              <w:rPr>
                <w:b/>
                <w:bCs/>
                <w:spacing w:val="5"/>
              </w:rPr>
              <w:t>导线投影</w:t>
            </w:r>
          </w:p>
          <w:p w14:paraId="7917BD07">
            <w:pPr>
              <w:pStyle w:val="6"/>
              <w:spacing w:before="25" w:line="218" w:lineRule="auto"/>
              <w:ind w:left="291"/>
            </w:pPr>
            <w:r>
              <w:rPr>
                <w:b/>
                <w:bCs/>
                <w:spacing w:val="5"/>
              </w:rPr>
              <w:t>水平距离</w:t>
            </w:r>
          </w:p>
        </w:tc>
        <w:tc>
          <w:tcPr>
            <w:tcW w:w="1136" w:type="dxa"/>
            <w:tcBorders>
              <w:left w:val="single" w:color="000000" w:sz="2" w:space="0"/>
              <w:right w:val="single" w:color="000000" w:sz="2" w:space="0"/>
            </w:tcBorders>
            <w:shd w:val="clear" w:color="auto" w:fill="BEBEBE"/>
            <w:vAlign w:val="top"/>
          </w:tcPr>
          <w:p w14:paraId="48EFE5AD">
            <w:pPr>
              <w:pStyle w:val="6"/>
              <w:spacing w:before="169" w:line="228" w:lineRule="auto"/>
              <w:ind w:left="156"/>
            </w:pPr>
            <w:r>
              <w:rPr>
                <w:b/>
                <w:bCs/>
                <w:spacing w:val="5"/>
              </w:rPr>
              <w:t>与线路中</w:t>
            </w:r>
          </w:p>
          <w:p w14:paraId="62F602CC">
            <w:pPr>
              <w:pStyle w:val="6"/>
              <w:spacing w:before="26" w:line="228" w:lineRule="auto"/>
              <w:ind w:left="159"/>
            </w:pPr>
            <w:r>
              <w:rPr>
                <w:b/>
                <w:bCs/>
                <w:spacing w:val="4"/>
              </w:rPr>
              <w:t>心最近直</w:t>
            </w:r>
          </w:p>
          <w:p w14:paraId="17BF1BF8">
            <w:pPr>
              <w:pStyle w:val="6"/>
              <w:spacing w:before="24" w:line="228" w:lineRule="auto"/>
              <w:ind w:left="260"/>
            </w:pPr>
            <w:r>
              <w:rPr>
                <w:b/>
                <w:bCs/>
                <w:spacing w:val="4"/>
              </w:rPr>
              <w:t>线距离</w:t>
            </w:r>
          </w:p>
        </w:tc>
        <w:tc>
          <w:tcPr>
            <w:tcW w:w="646" w:type="dxa"/>
            <w:tcBorders>
              <w:left w:val="single" w:color="000000" w:sz="2" w:space="0"/>
            </w:tcBorders>
            <w:shd w:val="clear" w:color="auto" w:fill="BEBEBE"/>
            <w:vAlign w:val="top"/>
          </w:tcPr>
          <w:p w14:paraId="7994C28E">
            <w:pPr>
              <w:pStyle w:val="6"/>
              <w:spacing w:before="170" w:line="228" w:lineRule="auto"/>
              <w:ind w:left="123"/>
            </w:pPr>
            <w:r>
              <w:rPr>
                <w:b/>
                <w:bCs/>
                <w:spacing w:val="1"/>
              </w:rPr>
              <w:t>导线</w:t>
            </w:r>
          </w:p>
          <w:p w14:paraId="1760685E">
            <w:pPr>
              <w:pStyle w:val="6"/>
              <w:spacing w:before="26" w:line="229" w:lineRule="auto"/>
              <w:ind w:left="117"/>
            </w:pPr>
            <w:r>
              <w:rPr>
                <w:b/>
                <w:bCs/>
                <w:spacing w:val="4"/>
              </w:rPr>
              <w:t>对地</w:t>
            </w:r>
          </w:p>
          <w:p w14:paraId="675E512B">
            <w:pPr>
              <w:pStyle w:val="6"/>
              <w:spacing w:before="22" w:line="228" w:lineRule="auto"/>
              <w:ind w:left="123"/>
            </w:pPr>
            <w:r>
              <w:rPr>
                <w:b/>
                <w:bCs/>
                <w:spacing w:val="1"/>
              </w:rPr>
              <w:t>高度</w:t>
            </w:r>
          </w:p>
        </w:tc>
        <w:tc>
          <w:tcPr>
            <w:tcW w:w="3953" w:type="dxa"/>
            <w:shd w:val="clear" w:color="auto" w:fill="BEBEBE"/>
            <w:vAlign w:val="top"/>
          </w:tcPr>
          <w:p w14:paraId="2DA27296">
            <w:pPr>
              <w:spacing w:line="376" w:lineRule="auto"/>
              <w:rPr>
                <w:rFonts w:ascii="Arial"/>
                <w:sz w:val="21"/>
              </w:rPr>
            </w:pPr>
          </w:p>
          <w:p w14:paraId="55DACAF6">
            <w:pPr>
              <w:pStyle w:val="6"/>
              <w:spacing w:before="65" w:line="228" w:lineRule="auto"/>
              <w:ind w:left="1561"/>
            </w:pPr>
            <w:r>
              <w:rPr>
                <w:b/>
                <w:bCs/>
                <w:spacing w:val="6"/>
              </w:rPr>
              <w:t>现状照片</w:t>
            </w:r>
          </w:p>
        </w:tc>
        <w:tc>
          <w:tcPr>
            <w:tcW w:w="1155" w:type="dxa"/>
            <w:shd w:val="clear" w:color="auto" w:fill="BEBEBE"/>
            <w:vAlign w:val="top"/>
          </w:tcPr>
          <w:p w14:paraId="6AAE0571">
            <w:pPr>
              <w:spacing w:line="376" w:lineRule="auto"/>
              <w:rPr>
                <w:rFonts w:ascii="Arial"/>
                <w:sz w:val="21"/>
              </w:rPr>
            </w:pPr>
          </w:p>
          <w:p w14:paraId="19978601">
            <w:pPr>
              <w:pStyle w:val="6"/>
              <w:spacing w:before="65" w:line="228" w:lineRule="auto"/>
              <w:ind w:left="161"/>
            </w:pPr>
            <w:r>
              <w:rPr>
                <w:b/>
                <w:bCs/>
                <w:spacing w:val="6"/>
              </w:rPr>
              <w:t>保护级别</w:t>
            </w:r>
          </w:p>
        </w:tc>
      </w:tr>
      <w:tr w14:paraId="54316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3" w:hRule="atLeast"/>
        </w:trPr>
        <w:tc>
          <w:tcPr>
            <w:tcW w:w="848" w:type="dxa"/>
            <w:tcBorders>
              <w:right w:val="single" w:color="000000" w:sz="2" w:space="0"/>
            </w:tcBorders>
            <w:vAlign w:val="top"/>
          </w:tcPr>
          <w:p w14:paraId="2B026C0E">
            <w:pPr>
              <w:rPr>
                <w:rFonts w:ascii="Arial"/>
                <w:sz w:val="21"/>
              </w:rPr>
            </w:pPr>
          </w:p>
        </w:tc>
        <w:tc>
          <w:tcPr>
            <w:tcW w:w="1180" w:type="dxa"/>
            <w:tcBorders>
              <w:left w:val="single" w:color="000000" w:sz="2" w:space="0"/>
            </w:tcBorders>
            <w:vAlign w:val="top"/>
          </w:tcPr>
          <w:p w14:paraId="054DBC04">
            <w:pPr>
              <w:spacing w:line="262" w:lineRule="auto"/>
              <w:rPr>
                <w:rFonts w:ascii="Arial"/>
                <w:sz w:val="21"/>
              </w:rPr>
            </w:pPr>
          </w:p>
          <w:p w14:paraId="422A8127">
            <w:pPr>
              <w:spacing w:line="262" w:lineRule="auto"/>
              <w:rPr>
                <w:rFonts w:ascii="Arial"/>
                <w:sz w:val="21"/>
              </w:rPr>
            </w:pPr>
          </w:p>
          <w:p w14:paraId="5166CE32">
            <w:pPr>
              <w:spacing w:line="262" w:lineRule="auto"/>
              <w:rPr>
                <w:rFonts w:ascii="Arial"/>
                <w:sz w:val="21"/>
              </w:rPr>
            </w:pPr>
          </w:p>
          <w:p w14:paraId="4734A20A">
            <w:pPr>
              <w:spacing w:line="262" w:lineRule="auto"/>
              <w:rPr>
                <w:rFonts w:ascii="Arial"/>
                <w:sz w:val="21"/>
              </w:rPr>
            </w:pPr>
          </w:p>
          <w:p w14:paraId="118BC85B">
            <w:pPr>
              <w:pStyle w:val="6"/>
              <w:spacing w:before="65" w:line="252" w:lineRule="auto"/>
              <w:ind w:left="275" w:right="170" w:hanging="109"/>
            </w:pPr>
            <w:r>
              <w:rPr>
                <w:rFonts w:ascii="MS PGothic" w:hAnsi="MS PGothic" w:eastAsia="MS PGothic" w:cs="MS PGothic"/>
                <w:spacing w:val="8"/>
              </w:rPr>
              <w:t>⑬</w:t>
            </w:r>
            <w:r>
              <w:rPr>
                <w:spacing w:val="8"/>
              </w:rPr>
              <w:t>菜地看</w:t>
            </w:r>
            <w:r>
              <w:rPr>
                <w:spacing w:val="6"/>
              </w:rPr>
              <w:t>护用房</w:t>
            </w:r>
          </w:p>
        </w:tc>
        <w:tc>
          <w:tcPr>
            <w:tcW w:w="715" w:type="dxa"/>
            <w:vAlign w:val="top"/>
          </w:tcPr>
          <w:p w14:paraId="4EA2C568">
            <w:pPr>
              <w:spacing w:line="320" w:lineRule="auto"/>
              <w:rPr>
                <w:rFonts w:ascii="Arial"/>
                <w:sz w:val="21"/>
              </w:rPr>
            </w:pPr>
          </w:p>
          <w:p w14:paraId="16C55354">
            <w:pPr>
              <w:spacing w:line="320" w:lineRule="auto"/>
              <w:rPr>
                <w:rFonts w:ascii="Arial"/>
                <w:sz w:val="21"/>
              </w:rPr>
            </w:pPr>
          </w:p>
          <w:p w14:paraId="54AB5977">
            <w:pPr>
              <w:pStyle w:val="6"/>
              <w:spacing w:before="65" w:line="252" w:lineRule="auto"/>
              <w:ind w:left="145" w:right="148" w:firstLine="2"/>
              <w:jc w:val="both"/>
            </w:pPr>
            <w:r>
              <w:rPr>
                <w:spacing w:val="3"/>
              </w:rPr>
              <w:t>居住</w:t>
            </w:r>
            <w:r>
              <w:rPr>
                <w:spacing w:val="5"/>
              </w:rPr>
              <w:t>及农用物资仓</w:t>
            </w:r>
            <w:r>
              <w:rPr>
                <w:spacing w:val="35"/>
                <w:w w:val="136"/>
              </w:rPr>
              <w:t>库</w:t>
            </w:r>
          </w:p>
        </w:tc>
        <w:tc>
          <w:tcPr>
            <w:tcW w:w="667" w:type="dxa"/>
            <w:vAlign w:val="top"/>
          </w:tcPr>
          <w:p w14:paraId="51A2AF6C">
            <w:pPr>
              <w:spacing w:line="262" w:lineRule="auto"/>
              <w:rPr>
                <w:rFonts w:ascii="Arial"/>
                <w:sz w:val="21"/>
              </w:rPr>
            </w:pPr>
          </w:p>
          <w:p w14:paraId="50634B5A">
            <w:pPr>
              <w:spacing w:line="262" w:lineRule="auto"/>
              <w:rPr>
                <w:rFonts w:ascii="Arial"/>
                <w:sz w:val="21"/>
              </w:rPr>
            </w:pPr>
          </w:p>
          <w:p w14:paraId="60776519">
            <w:pPr>
              <w:spacing w:line="262" w:lineRule="auto"/>
              <w:rPr>
                <w:rFonts w:ascii="Arial"/>
                <w:sz w:val="21"/>
              </w:rPr>
            </w:pPr>
          </w:p>
          <w:p w14:paraId="49299BBE">
            <w:pPr>
              <w:spacing w:line="262" w:lineRule="auto"/>
              <w:rPr>
                <w:rFonts w:ascii="Arial"/>
                <w:sz w:val="21"/>
              </w:rPr>
            </w:pPr>
          </w:p>
          <w:p w14:paraId="56FA26D8">
            <w:pPr>
              <w:pStyle w:val="6"/>
              <w:spacing w:before="65" w:line="253" w:lineRule="auto"/>
              <w:ind w:left="145" w:right="150"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882" w:type="dxa"/>
            <w:vAlign w:val="top"/>
          </w:tcPr>
          <w:p w14:paraId="18AF81F3">
            <w:pPr>
              <w:spacing w:line="258" w:lineRule="auto"/>
              <w:rPr>
                <w:rFonts w:ascii="Arial"/>
                <w:sz w:val="21"/>
              </w:rPr>
            </w:pPr>
          </w:p>
          <w:p w14:paraId="2032E1FB">
            <w:pPr>
              <w:spacing w:line="258" w:lineRule="auto"/>
              <w:rPr>
                <w:rFonts w:ascii="Arial"/>
                <w:sz w:val="21"/>
              </w:rPr>
            </w:pPr>
          </w:p>
          <w:p w14:paraId="4FC6B4FF">
            <w:pPr>
              <w:spacing w:line="259" w:lineRule="auto"/>
              <w:rPr>
                <w:rFonts w:ascii="Arial"/>
                <w:sz w:val="21"/>
              </w:rPr>
            </w:pPr>
          </w:p>
          <w:p w14:paraId="565D5A2E">
            <w:pPr>
              <w:pStyle w:val="6"/>
              <w:spacing w:before="65" w:line="252" w:lineRule="auto"/>
              <w:ind w:left="125" w:right="125"/>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24" w:type="dxa"/>
            <w:vAlign w:val="top"/>
          </w:tcPr>
          <w:p w14:paraId="508A9C06">
            <w:pPr>
              <w:spacing w:line="328" w:lineRule="auto"/>
              <w:rPr>
                <w:rFonts w:ascii="Arial"/>
                <w:sz w:val="21"/>
              </w:rPr>
            </w:pPr>
          </w:p>
          <w:p w14:paraId="5B611DEB">
            <w:pPr>
              <w:spacing w:line="328" w:lineRule="auto"/>
              <w:rPr>
                <w:rFonts w:ascii="Arial"/>
                <w:sz w:val="21"/>
              </w:rPr>
            </w:pPr>
          </w:p>
          <w:p w14:paraId="622055FA">
            <w:pPr>
              <w:pStyle w:val="6"/>
              <w:spacing w:before="65" w:line="228" w:lineRule="auto"/>
              <w:ind w:left="109"/>
            </w:pPr>
            <w:r>
              <w:rPr>
                <w:spacing w:val="-1"/>
              </w:rPr>
              <w:t>双回线路（单</w:t>
            </w:r>
          </w:p>
          <w:p w14:paraId="2201BE17">
            <w:pPr>
              <w:pStyle w:val="6"/>
              <w:spacing w:before="24" w:line="228" w:lineRule="auto"/>
              <w:ind w:left="188"/>
            </w:pPr>
            <w:r>
              <w:rPr>
                <w:spacing w:val="8"/>
              </w:rPr>
              <w:t>边挂线）北</w:t>
            </w:r>
          </w:p>
          <w:p w14:paraId="2F6944E8">
            <w:pPr>
              <w:pStyle w:val="6"/>
              <w:spacing w:before="23" w:line="228" w:lineRule="auto"/>
              <w:ind w:left="197"/>
              <w:rPr>
                <w:rFonts w:ascii="Times New Roman" w:hAnsi="Times New Roman" w:eastAsia="Times New Roman" w:cs="Times New Roman"/>
              </w:rPr>
            </w:pPr>
            <w:r>
              <w:rPr>
                <w:spacing w:val="8"/>
              </w:rPr>
              <w:t>侧，</w:t>
            </w:r>
            <w:r>
              <w:rPr>
                <w:rFonts w:ascii="Times New Roman" w:hAnsi="Times New Roman" w:eastAsia="Times New Roman" w:cs="Times New Roman"/>
              </w:rPr>
              <w:t>AZ</w:t>
            </w:r>
            <w:r>
              <w:rPr>
                <w:rFonts w:ascii="Times New Roman" w:hAnsi="Times New Roman" w:eastAsia="Times New Roman" w:cs="Times New Roman"/>
                <w:spacing w:val="8"/>
              </w:rPr>
              <w:t>7+1</w:t>
            </w:r>
          </w:p>
          <w:p w14:paraId="3A874073">
            <w:pPr>
              <w:pStyle w:val="6"/>
              <w:spacing w:before="26" w:line="228" w:lineRule="auto"/>
              <w:ind w:left="189"/>
            </w:pPr>
            <w:r>
              <w:rPr>
                <w:spacing w:val="8"/>
              </w:rPr>
              <w:t>塔基东南侧</w:t>
            </w:r>
          </w:p>
          <w:p w14:paraId="43E0F592">
            <w:pPr>
              <w:spacing w:before="46" w:line="195" w:lineRule="auto"/>
              <w:ind w:left="49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140m</w:t>
            </w:r>
          </w:p>
        </w:tc>
        <w:tc>
          <w:tcPr>
            <w:tcW w:w="1416" w:type="dxa"/>
            <w:tcBorders>
              <w:right w:val="single" w:color="000000" w:sz="2" w:space="0"/>
            </w:tcBorders>
            <w:vAlign w:val="top"/>
          </w:tcPr>
          <w:p w14:paraId="4834A93A">
            <w:pPr>
              <w:spacing w:line="263" w:lineRule="auto"/>
              <w:rPr>
                <w:rFonts w:ascii="Arial"/>
                <w:sz w:val="21"/>
              </w:rPr>
            </w:pPr>
          </w:p>
          <w:p w14:paraId="713DBE07">
            <w:pPr>
              <w:spacing w:line="263" w:lineRule="auto"/>
              <w:rPr>
                <w:rFonts w:ascii="Arial"/>
                <w:sz w:val="21"/>
              </w:rPr>
            </w:pPr>
          </w:p>
          <w:p w14:paraId="54B4AEFF">
            <w:pPr>
              <w:spacing w:line="264" w:lineRule="auto"/>
              <w:rPr>
                <w:rFonts w:ascii="Arial"/>
                <w:sz w:val="21"/>
              </w:rPr>
            </w:pPr>
          </w:p>
          <w:p w14:paraId="4148A824">
            <w:pPr>
              <w:pStyle w:val="6"/>
              <w:spacing w:before="65" w:line="228" w:lineRule="auto"/>
              <w:ind w:left="161"/>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p>
          <w:p w14:paraId="07B89B79">
            <w:pPr>
              <w:pStyle w:val="6"/>
              <w:spacing w:before="26" w:line="228" w:lineRule="auto"/>
              <w:ind w:left="185"/>
            </w:pPr>
            <w:r>
              <w:rPr>
                <w:spacing w:val="8"/>
              </w:rPr>
              <w:t>边导线地面</w:t>
            </w:r>
          </w:p>
          <w:p w14:paraId="4FF94188">
            <w:pPr>
              <w:pStyle w:val="6"/>
              <w:spacing w:before="23" w:line="228" w:lineRule="auto"/>
              <w:ind w:left="291"/>
            </w:pPr>
            <w:r>
              <w:rPr>
                <w:spacing w:val="7"/>
              </w:rPr>
              <w:t>投影北侧</w:t>
            </w:r>
          </w:p>
          <w:p w14:paraId="3E2B7A78">
            <w:pPr>
              <w:spacing w:before="48" w:line="195" w:lineRule="auto"/>
              <w:ind w:left="54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11m</w:t>
            </w:r>
          </w:p>
        </w:tc>
        <w:tc>
          <w:tcPr>
            <w:tcW w:w="1136" w:type="dxa"/>
            <w:tcBorders>
              <w:left w:val="single" w:color="000000" w:sz="2" w:space="0"/>
              <w:right w:val="single" w:color="000000" w:sz="2" w:space="0"/>
            </w:tcBorders>
            <w:vAlign w:val="top"/>
          </w:tcPr>
          <w:p w14:paraId="4A864BD3">
            <w:pPr>
              <w:spacing w:line="244" w:lineRule="auto"/>
              <w:rPr>
                <w:rFonts w:ascii="Arial"/>
                <w:sz w:val="21"/>
              </w:rPr>
            </w:pPr>
          </w:p>
          <w:p w14:paraId="0CF410C8">
            <w:pPr>
              <w:spacing w:line="245" w:lineRule="auto"/>
              <w:rPr>
                <w:rFonts w:ascii="Arial"/>
                <w:sz w:val="21"/>
              </w:rPr>
            </w:pPr>
          </w:p>
          <w:p w14:paraId="701541F2">
            <w:pPr>
              <w:spacing w:line="245" w:lineRule="auto"/>
              <w:rPr>
                <w:rFonts w:ascii="Arial"/>
                <w:sz w:val="21"/>
              </w:rPr>
            </w:pPr>
          </w:p>
          <w:p w14:paraId="3C21C531">
            <w:pPr>
              <w:spacing w:line="245" w:lineRule="auto"/>
              <w:rPr>
                <w:rFonts w:ascii="Arial"/>
                <w:sz w:val="21"/>
              </w:rPr>
            </w:pPr>
          </w:p>
          <w:p w14:paraId="5CCBAF96">
            <w:pPr>
              <w:spacing w:line="245" w:lineRule="auto"/>
              <w:rPr>
                <w:rFonts w:ascii="Arial"/>
                <w:sz w:val="21"/>
              </w:rPr>
            </w:pPr>
          </w:p>
          <w:p w14:paraId="3DF5C7E7">
            <w:pPr>
              <w:spacing w:before="58" w:line="195" w:lineRule="auto"/>
              <w:ind w:left="40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16m</w:t>
            </w:r>
          </w:p>
        </w:tc>
        <w:tc>
          <w:tcPr>
            <w:tcW w:w="646" w:type="dxa"/>
            <w:tcBorders>
              <w:left w:val="single" w:color="000000" w:sz="2" w:space="0"/>
            </w:tcBorders>
            <w:vAlign w:val="top"/>
          </w:tcPr>
          <w:p w14:paraId="2E10851C">
            <w:pPr>
              <w:spacing w:line="245" w:lineRule="auto"/>
              <w:rPr>
                <w:rFonts w:ascii="Arial"/>
                <w:sz w:val="21"/>
              </w:rPr>
            </w:pPr>
          </w:p>
          <w:p w14:paraId="2F3113F4">
            <w:pPr>
              <w:spacing w:line="245" w:lineRule="auto"/>
              <w:rPr>
                <w:rFonts w:ascii="Arial"/>
                <w:sz w:val="21"/>
              </w:rPr>
            </w:pPr>
          </w:p>
          <w:p w14:paraId="7B4F1E4A">
            <w:pPr>
              <w:spacing w:line="245" w:lineRule="auto"/>
              <w:rPr>
                <w:rFonts w:ascii="Arial"/>
                <w:sz w:val="21"/>
              </w:rPr>
            </w:pPr>
          </w:p>
          <w:p w14:paraId="51590366">
            <w:pPr>
              <w:spacing w:line="246" w:lineRule="auto"/>
              <w:rPr>
                <w:rFonts w:ascii="Arial"/>
                <w:sz w:val="21"/>
              </w:rPr>
            </w:pPr>
          </w:p>
          <w:p w14:paraId="4AC19721">
            <w:pPr>
              <w:spacing w:line="246" w:lineRule="auto"/>
              <w:rPr>
                <w:rFonts w:ascii="Arial"/>
                <w:sz w:val="21"/>
              </w:rPr>
            </w:pPr>
          </w:p>
          <w:p w14:paraId="19C2D3C0">
            <w:pPr>
              <w:spacing w:before="58" w:line="192"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3953" w:type="dxa"/>
            <w:vAlign w:val="top"/>
          </w:tcPr>
          <w:p w14:paraId="44832586">
            <w:pPr>
              <w:spacing w:line="2712" w:lineRule="exact"/>
              <w:ind w:firstLine="111"/>
            </w:pPr>
            <w:r>
              <w:rPr>
                <w:position w:val="-54"/>
              </w:rPr>
              <w:drawing>
                <wp:inline distT="0" distB="0" distL="0" distR="0">
                  <wp:extent cx="2364740" cy="1722120"/>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255"/>
                          <a:stretch>
                            <a:fillRect/>
                          </a:stretch>
                        </pic:blipFill>
                        <pic:spPr>
                          <a:xfrm>
                            <a:off x="0" y="0"/>
                            <a:ext cx="2365247" cy="1722754"/>
                          </a:xfrm>
                          <a:prstGeom prst="rect">
                            <a:avLst/>
                          </a:prstGeom>
                        </pic:spPr>
                      </pic:pic>
                    </a:graphicData>
                  </a:graphic>
                </wp:inline>
              </w:drawing>
            </w:r>
          </w:p>
        </w:tc>
        <w:tc>
          <w:tcPr>
            <w:tcW w:w="1155" w:type="dxa"/>
            <w:vMerge w:val="restart"/>
            <w:tcBorders>
              <w:bottom w:val="nil"/>
            </w:tcBorders>
            <w:vAlign w:val="top"/>
          </w:tcPr>
          <w:p w14:paraId="5575F724">
            <w:pPr>
              <w:rPr>
                <w:rFonts w:ascii="Arial"/>
                <w:sz w:val="21"/>
              </w:rPr>
            </w:pPr>
          </w:p>
        </w:tc>
      </w:tr>
      <w:tr w14:paraId="12852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7" w:hRule="atLeast"/>
        </w:trPr>
        <w:tc>
          <w:tcPr>
            <w:tcW w:w="848" w:type="dxa"/>
            <w:vMerge w:val="restart"/>
            <w:tcBorders>
              <w:bottom w:val="nil"/>
              <w:right w:val="single" w:color="000000" w:sz="2" w:space="0"/>
            </w:tcBorders>
            <w:vAlign w:val="top"/>
          </w:tcPr>
          <w:p w14:paraId="542CA4DD">
            <w:pPr>
              <w:rPr>
                <w:rFonts w:ascii="Arial"/>
                <w:sz w:val="21"/>
              </w:rPr>
            </w:pPr>
          </w:p>
          <w:p w14:paraId="1F72F641">
            <w:pPr>
              <w:rPr>
                <w:rFonts w:ascii="Arial"/>
                <w:sz w:val="21"/>
              </w:rPr>
            </w:pPr>
          </w:p>
          <w:p w14:paraId="3B272148">
            <w:pPr>
              <w:rPr>
                <w:rFonts w:ascii="Arial"/>
                <w:sz w:val="21"/>
              </w:rPr>
            </w:pPr>
          </w:p>
          <w:p w14:paraId="445992E8">
            <w:pPr>
              <w:rPr>
                <w:rFonts w:ascii="Arial"/>
                <w:sz w:val="21"/>
              </w:rPr>
            </w:pPr>
          </w:p>
          <w:p w14:paraId="5F2B3984">
            <w:pPr>
              <w:spacing w:line="241" w:lineRule="auto"/>
              <w:rPr>
                <w:rFonts w:ascii="Arial"/>
                <w:sz w:val="21"/>
              </w:rPr>
            </w:pPr>
          </w:p>
          <w:p w14:paraId="0777E5D7">
            <w:pPr>
              <w:spacing w:line="241" w:lineRule="auto"/>
              <w:rPr>
                <w:rFonts w:ascii="Arial"/>
                <w:sz w:val="21"/>
              </w:rPr>
            </w:pPr>
          </w:p>
          <w:p w14:paraId="22AC9AEC">
            <w:pPr>
              <w:pStyle w:val="6"/>
              <w:spacing w:before="65" w:line="228" w:lineRule="auto"/>
              <w:ind w:left="123"/>
            </w:pPr>
            <w:r>
              <w:rPr>
                <w:rFonts w:ascii="Times New Roman" w:hAnsi="Times New Roman" w:eastAsia="Times New Roman" w:cs="Times New Roman"/>
                <w:spacing w:val="3"/>
              </w:rPr>
              <w:t>T</w:t>
            </w:r>
            <w:r>
              <w:rPr>
                <w:rFonts w:ascii="Times New Roman" w:hAnsi="Times New Roman" w:eastAsia="Times New Roman" w:cs="Times New Roman"/>
                <w:spacing w:val="9"/>
              </w:rPr>
              <w:t xml:space="preserve"> </w:t>
            </w:r>
            <w:r>
              <w:rPr>
                <w:spacing w:val="3"/>
              </w:rPr>
              <w:t>接芳</w:t>
            </w:r>
          </w:p>
          <w:p w14:paraId="78D4FF0A">
            <w:pPr>
              <w:pStyle w:val="6"/>
              <w:spacing w:before="24" w:line="228" w:lineRule="auto"/>
              <w:ind w:left="320"/>
            </w:pPr>
            <w:r>
              <w:t>华</w:t>
            </w:r>
          </w:p>
          <w:p w14:paraId="2C9EBE75">
            <w:pPr>
              <w:pStyle w:val="6"/>
              <w:spacing w:before="26" w:line="229" w:lineRule="auto"/>
              <w:ind w:left="216"/>
            </w:pPr>
            <w:r>
              <w:rPr>
                <w:spacing w:val="14"/>
                <w:w w:val="121"/>
              </w:rPr>
              <w:t>变~</w:t>
            </w:r>
          </w:p>
          <w:p w14:paraId="142EA9D9">
            <w:pPr>
              <w:pStyle w:val="6"/>
              <w:spacing w:before="25" w:line="229" w:lineRule="auto"/>
              <w:ind w:left="223"/>
            </w:pPr>
            <w:r>
              <w:rPr>
                <w:spacing w:val="1"/>
              </w:rPr>
              <w:t>吉冲</w:t>
            </w:r>
          </w:p>
          <w:p w14:paraId="6DEA1C98">
            <w:pPr>
              <w:pStyle w:val="6"/>
              <w:spacing w:before="23" w:line="229" w:lineRule="auto"/>
              <w:ind w:left="319"/>
            </w:pPr>
            <w:r>
              <w:t>变</w:t>
            </w:r>
          </w:p>
          <w:p w14:paraId="772350AC">
            <w:pPr>
              <w:spacing w:before="40" w:line="199" w:lineRule="auto"/>
              <w:ind w:left="16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110kV</w:t>
            </w:r>
          </w:p>
          <w:p w14:paraId="61A091DC">
            <w:pPr>
              <w:pStyle w:val="6"/>
              <w:spacing w:before="34" w:line="228" w:lineRule="auto"/>
              <w:ind w:left="143"/>
            </w:pPr>
            <w:r>
              <w:rPr>
                <w:rFonts w:ascii="Times New Roman" w:hAnsi="Times New Roman" w:eastAsia="Times New Roman" w:cs="Times New Roman"/>
                <w:spacing w:val="5"/>
              </w:rPr>
              <w:t>Ⅱ</w:t>
            </w:r>
            <w:r>
              <w:rPr>
                <w:spacing w:val="5"/>
              </w:rPr>
              <w:t>回线</w:t>
            </w:r>
          </w:p>
          <w:p w14:paraId="03CF26F1">
            <w:pPr>
              <w:pStyle w:val="6"/>
              <w:spacing w:before="24" w:line="228" w:lineRule="auto"/>
              <w:ind w:left="146"/>
              <w:rPr>
                <w:rFonts w:ascii="Times New Roman" w:hAnsi="Times New Roman" w:eastAsia="Times New Roman" w:cs="Times New Roman"/>
              </w:rPr>
            </w:pPr>
            <w:r>
              <w:rPr>
                <w:spacing w:val="5"/>
              </w:rPr>
              <w:t>路（</w:t>
            </w:r>
            <w:r>
              <w:rPr>
                <w:rFonts w:ascii="Times New Roman" w:hAnsi="Times New Roman" w:eastAsia="Times New Roman" w:cs="Times New Roman"/>
                <w:spacing w:val="5"/>
              </w:rPr>
              <w:t>B</w:t>
            </w:r>
          </w:p>
          <w:p w14:paraId="573DFDE7">
            <w:pPr>
              <w:pStyle w:val="6"/>
              <w:spacing w:before="27" w:line="228" w:lineRule="auto"/>
              <w:ind w:left="133"/>
            </w:pPr>
            <w:r>
              <w:rPr>
                <w:spacing w:val="-4"/>
              </w:rPr>
              <w:t>回线）</w:t>
            </w:r>
          </w:p>
        </w:tc>
        <w:tc>
          <w:tcPr>
            <w:tcW w:w="1180" w:type="dxa"/>
            <w:tcBorders>
              <w:left w:val="single" w:color="000000" w:sz="2" w:space="0"/>
            </w:tcBorders>
            <w:vAlign w:val="top"/>
          </w:tcPr>
          <w:p w14:paraId="015E84A6">
            <w:pPr>
              <w:spacing w:line="268" w:lineRule="auto"/>
              <w:rPr>
                <w:rFonts w:ascii="Arial"/>
                <w:sz w:val="21"/>
              </w:rPr>
            </w:pPr>
          </w:p>
          <w:p w14:paraId="7FCE5C5A">
            <w:pPr>
              <w:spacing w:line="268" w:lineRule="auto"/>
              <w:rPr>
                <w:rFonts w:ascii="Arial"/>
                <w:sz w:val="21"/>
              </w:rPr>
            </w:pPr>
          </w:p>
          <w:p w14:paraId="095D6741">
            <w:pPr>
              <w:spacing w:line="268" w:lineRule="auto"/>
              <w:rPr>
                <w:rFonts w:ascii="Arial"/>
                <w:sz w:val="21"/>
              </w:rPr>
            </w:pPr>
          </w:p>
          <w:p w14:paraId="3ACF8063">
            <w:pPr>
              <w:spacing w:line="268" w:lineRule="auto"/>
              <w:rPr>
                <w:rFonts w:ascii="Arial"/>
                <w:sz w:val="21"/>
              </w:rPr>
            </w:pPr>
          </w:p>
          <w:p w14:paraId="38CC0B25">
            <w:pPr>
              <w:pStyle w:val="6"/>
              <w:spacing w:before="65" w:line="252" w:lineRule="auto"/>
              <w:ind w:left="275" w:right="170" w:hanging="109"/>
            </w:pPr>
            <w:r>
              <w:rPr>
                <w:rFonts w:ascii="MS PGothic" w:hAnsi="MS PGothic" w:eastAsia="MS PGothic" w:cs="MS PGothic"/>
                <w:spacing w:val="8"/>
              </w:rPr>
              <w:t>⑩</w:t>
            </w:r>
            <w:r>
              <w:rPr>
                <w:spacing w:val="8"/>
              </w:rPr>
              <w:t>菜地看</w:t>
            </w:r>
            <w:r>
              <w:rPr>
                <w:spacing w:val="6"/>
              </w:rPr>
              <w:t>护用房</w:t>
            </w:r>
          </w:p>
        </w:tc>
        <w:tc>
          <w:tcPr>
            <w:tcW w:w="715" w:type="dxa"/>
            <w:vAlign w:val="top"/>
          </w:tcPr>
          <w:p w14:paraId="32558407">
            <w:pPr>
              <w:spacing w:line="312" w:lineRule="auto"/>
              <w:rPr>
                <w:rFonts w:ascii="Arial"/>
                <w:sz w:val="21"/>
              </w:rPr>
            </w:pPr>
          </w:p>
          <w:p w14:paraId="601B0521">
            <w:pPr>
              <w:spacing w:line="312" w:lineRule="auto"/>
              <w:rPr>
                <w:rFonts w:ascii="Arial"/>
                <w:sz w:val="21"/>
              </w:rPr>
            </w:pPr>
          </w:p>
          <w:p w14:paraId="6A0E77DC">
            <w:pPr>
              <w:spacing w:line="313" w:lineRule="auto"/>
              <w:rPr>
                <w:rFonts w:ascii="Arial"/>
                <w:sz w:val="21"/>
              </w:rPr>
            </w:pPr>
          </w:p>
          <w:p w14:paraId="23B455F6">
            <w:pPr>
              <w:pStyle w:val="6"/>
              <w:spacing w:before="65" w:line="251" w:lineRule="auto"/>
              <w:ind w:left="145" w:right="148"/>
              <w:jc w:val="both"/>
            </w:pPr>
            <w:r>
              <w:rPr>
                <w:spacing w:val="4"/>
              </w:rPr>
              <w:t>农用</w:t>
            </w:r>
            <w:r>
              <w:rPr>
                <w:spacing w:val="5"/>
              </w:rPr>
              <w:t>物资仓库</w:t>
            </w:r>
          </w:p>
        </w:tc>
        <w:tc>
          <w:tcPr>
            <w:tcW w:w="667" w:type="dxa"/>
            <w:vAlign w:val="top"/>
          </w:tcPr>
          <w:p w14:paraId="6BD841D2">
            <w:pPr>
              <w:spacing w:line="268" w:lineRule="auto"/>
              <w:rPr>
                <w:rFonts w:ascii="Arial"/>
                <w:sz w:val="21"/>
              </w:rPr>
            </w:pPr>
          </w:p>
          <w:p w14:paraId="2619E952">
            <w:pPr>
              <w:spacing w:line="268" w:lineRule="auto"/>
              <w:rPr>
                <w:rFonts w:ascii="Arial"/>
                <w:sz w:val="21"/>
              </w:rPr>
            </w:pPr>
          </w:p>
          <w:p w14:paraId="6B69EFD3">
            <w:pPr>
              <w:spacing w:line="268" w:lineRule="auto"/>
              <w:rPr>
                <w:rFonts w:ascii="Arial"/>
                <w:sz w:val="21"/>
              </w:rPr>
            </w:pPr>
          </w:p>
          <w:p w14:paraId="729DE91F">
            <w:pPr>
              <w:spacing w:line="268" w:lineRule="auto"/>
              <w:rPr>
                <w:rFonts w:ascii="Arial"/>
                <w:sz w:val="21"/>
              </w:rPr>
            </w:pPr>
          </w:p>
          <w:p w14:paraId="118A39EB">
            <w:pPr>
              <w:pStyle w:val="6"/>
              <w:spacing w:before="65" w:line="253" w:lineRule="auto"/>
              <w:ind w:left="145" w:right="150"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882" w:type="dxa"/>
            <w:vAlign w:val="top"/>
          </w:tcPr>
          <w:p w14:paraId="0CE62919">
            <w:pPr>
              <w:spacing w:line="266" w:lineRule="auto"/>
              <w:rPr>
                <w:rFonts w:ascii="Arial"/>
                <w:sz w:val="21"/>
              </w:rPr>
            </w:pPr>
          </w:p>
          <w:p w14:paraId="0381D6E7">
            <w:pPr>
              <w:spacing w:line="266" w:lineRule="auto"/>
              <w:rPr>
                <w:rFonts w:ascii="Arial"/>
                <w:sz w:val="21"/>
              </w:rPr>
            </w:pPr>
          </w:p>
          <w:p w14:paraId="442E42DD">
            <w:pPr>
              <w:spacing w:line="267" w:lineRule="auto"/>
              <w:rPr>
                <w:rFonts w:ascii="Arial"/>
                <w:sz w:val="21"/>
              </w:rPr>
            </w:pPr>
          </w:p>
          <w:p w14:paraId="5E8A0495">
            <w:pPr>
              <w:pStyle w:val="6"/>
              <w:spacing w:before="65" w:line="252" w:lineRule="auto"/>
              <w:ind w:left="125" w:right="125"/>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24" w:type="dxa"/>
            <w:vAlign w:val="top"/>
          </w:tcPr>
          <w:p w14:paraId="0CEDED34">
            <w:pPr>
              <w:spacing w:line="258" w:lineRule="auto"/>
              <w:rPr>
                <w:rFonts w:ascii="Arial"/>
                <w:sz w:val="21"/>
              </w:rPr>
            </w:pPr>
          </w:p>
          <w:p w14:paraId="483197FD">
            <w:pPr>
              <w:pStyle w:val="6"/>
              <w:spacing w:before="65" w:line="252" w:lineRule="auto"/>
              <w:ind w:left="111" w:right="104" w:hanging="2"/>
              <w:jc w:val="both"/>
            </w:pPr>
            <w:r>
              <w:rPr>
                <w:spacing w:val="-3"/>
              </w:rPr>
              <w:t>位于</w:t>
            </w:r>
            <w:r>
              <w:rPr>
                <w:spacing w:val="-44"/>
              </w:rPr>
              <w:t xml:space="preserve"> </w:t>
            </w:r>
            <w:r>
              <w:rPr>
                <w:rFonts w:ascii="Times New Roman" w:hAnsi="Times New Roman" w:eastAsia="Times New Roman" w:cs="Times New Roman"/>
                <w:spacing w:val="-3"/>
              </w:rPr>
              <w:t>A</w:t>
            </w:r>
            <w:r>
              <w:rPr>
                <w:spacing w:val="-3"/>
              </w:rPr>
              <w:t>、</w:t>
            </w:r>
            <w:r>
              <w:rPr>
                <w:rFonts w:ascii="Times New Roman" w:hAnsi="Times New Roman" w:eastAsia="Times New Roman" w:cs="Times New Roman"/>
                <w:spacing w:val="-3"/>
              </w:rPr>
              <w:t>B</w:t>
            </w:r>
            <w:r>
              <w:rPr>
                <w:rFonts w:ascii="Times New Roman" w:hAnsi="Times New Roman" w:eastAsia="Times New Roman" w:cs="Times New Roman"/>
                <w:spacing w:val="32"/>
              </w:rPr>
              <w:t xml:space="preserve"> </w:t>
            </w:r>
            <w:r>
              <w:rPr>
                <w:spacing w:val="-3"/>
              </w:rPr>
              <w:t>回</w:t>
            </w:r>
            <w:r>
              <w:rPr>
                <w:spacing w:val="-1"/>
              </w:rPr>
              <w:t>线路中间；菜</w:t>
            </w:r>
            <w:r>
              <w:rPr>
                <w:spacing w:val="23"/>
              </w:rPr>
              <w:t>地看护用房</w:t>
            </w:r>
          </w:p>
          <w:p w14:paraId="3B129D5A">
            <w:pPr>
              <w:pStyle w:val="6"/>
              <w:spacing w:line="228" w:lineRule="auto"/>
              <w:ind w:left="206"/>
            </w:pPr>
            <w:r>
              <w:rPr>
                <w:spacing w:val="4"/>
              </w:rPr>
              <w:t>的居住区与</w:t>
            </w:r>
          </w:p>
          <w:p w14:paraId="43E6F567">
            <w:pPr>
              <w:pStyle w:val="6"/>
              <w:spacing w:before="24" w:line="228" w:lineRule="auto"/>
              <w:ind w:left="191"/>
            </w:pPr>
            <w:r>
              <w:rPr>
                <w:rFonts w:ascii="Times New Roman" w:hAnsi="Times New Roman" w:eastAsia="Times New Roman" w:cs="Times New Roman"/>
                <w:spacing w:val="2"/>
              </w:rPr>
              <w:t>B</w:t>
            </w:r>
            <w:r>
              <w:rPr>
                <w:rFonts w:ascii="Times New Roman" w:hAnsi="Times New Roman" w:eastAsia="Times New Roman" w:cs="Times New Roman"/>
                <w:spacing w:val="34"/>
              </w:rPr>
              <w:t xml:space="preserve"> </w:t>
            </w:r>
            <w:r>
              <w:rPr>
                <w:spacing w:val="2"/>
              </w:rPr>
              <w:t>回线（单</w:t>
            </w:r>
          </w:p>
          <w:p w14:paraId="4E7BFE95">
            <w:pPr>
              <w:pStyle w:val="6"/>
              <w:spacing w:before="23" w:line="228" w:lineRule="auto"/>
              <w:ind w:left="209"/>
            </w:pPr>
            <w:r>
              <w:rPr>
                <w:spacing w:val="1"/>
              </w:rPr>
              <w:t>回）南侧，</w:t>
            </w:r>
          </w:p>
          <w:p w14:paraId="0BF481BD">
            <w:pPr>
              <w:pStyle w:val="6"/>
              <w:spacing w:before="26" w:line="230" w:lineRule="auto"/>
              <w:ind w:left="105"/>
            </w:pPr>
            <w:r>
              <w:rPr>
                <w:rFonts w:ascii="Times New Roman" w:hAnsi="Times New Roman" w:eastAsia="Times New Roman" w:cs="Times New Roman"/>
              </w:rPr>
              <w:t>BZ</w:t>
            </w:r>
            <w:r>
              <w:rPr>
                <w:rFonts w:ascii="Times New Roman" w:hAnsi="Times New Roman" w:eastAsia="Times New Roman" w:cs="Times New Roman"/>
                <w:spacing w:val="2"/>
              </w:rPr>
              <w:t>1-</w:t>
            </w:r>
            <w:r>
              <w:rPr>
                <w:rFonts w:ascii="Times New Roman" w:hAnsi="Times New Roman" w:eastAsia="Times New Roman" w:cs="Times New Roman"/>
                <w:spacing w:val="-22"/>
              </w:rPr>
              <w:t xml:space="preserve"> </w:t>
            </w:r>
            <w:r>
              <w:rPr>
                <w:rFonts w:ascii="Times New Roman" w:hAnsi="Times New Roman" w:eastAsia="Times New Roman" w:cs="Times New Roman"/>
                <w:spacing w:val="2"/>
              </w:rPr>
              <w:t>1</w:t>
            </w:r>
            <w:r>
              <w:rPr>
                <w:rFonts w:ascii="Times New Roman" w:hAnsi="Times New Roman" w:eastAsia="Times New Roman" w:cs="Times New Roman"/>
                <w:spacing w:val="-10"/>
              </w:rPr>
              <w:t xml:space="preserve"> </w:t>
            </w:r>
            <w:r>
              <w:rPr>
                <w:spacing w:val="2"/>
              </w:rPr>
              <w:t>塔基西</w:t>
            </w:r>
          </w:p>
          <w:p w14:paraId="5FB8EE92">
            <w:pPr>
              <w:pStyle w:val="6"/>
              <w:spacing w:before="22" w:line="228" w:lineRule="auto"/>
              <w:ind w:left="288"/>
            </w:pPr>
            <w:r>
              <w:rPr>
                <w:spacing w:val="2"/>
              </w:rPr>
              <w:t>侧</w:t>
            </w:r>
            <w:r>
              <w:rPr>
                <w:spacing w:val="-38"/>
              </w:rPr>
              <w:t xml:space="preserve"> </w:t>
            </w:r>
            <w:r>
              <w:rPr>
                <w:rFonts w:ascii="Times New Roman" w:hAnsi="Times New Roman" w:eastAsia="Times New Roman" w:cs="Times New Roman"/>
                <w:spacing w:val="2"/>
              </w:rPr>
              <w:t>35m</w:t>
            </w:r>
            <w:r>
              <w:rPr>
                <w:spacing w:val="2"/>
              </w:rPr>
              <w:t>；</w:t>
            </w:r>
          </w:p>
        </w:tc>
        <w:tc>
          <w:tcPr>
            <w:tcW w:w="1416" w:type="dxa"/>
            <w:tcBorders>
              <w:right w:val="single" w:color="000000" w:sz="2" w:space="0"/>
            </w:tcBorders>
            <w:vAlign w:val="top"/>
          </w:tcPr>
          <w:p w14:paraId="3184BB40">
            <w:pPr>
              <w:spacing w:line="393" w:lineRule="auto"/>
              <w:rPr>
                <w:rFonts w:ascii="Arial"/>
                <w:sz w:val="21"/>
              </w:rPr>
            </w:pPr>
          </w:p>
          <w:p w14:paraId="27A2D203">
            <w:pPr>
              <w:pStyle w:val="6"/>
              <w:spacing w:before="65" w:line="252" w:lineRule="auto"/>
              <w:ind w:left="154" w:right="155" w:firstLine="14"/>
              <w:jc w:val="both"/>
            </w:pPr>
            <w:r>
              <w:t>位于</w:t>
            </w:r>
            <w:r>
              <w:rPr>
                <w:spacing w:val="-44"/>
              </w:rPr>
              <w:t xml:space="preserve"> </w:t>
            </w:r>
            <w:r>
              <w:rPr>
                <w:rFonts w:ascii="Times New Roman" w:hAnsi="Times New Roman" w:eastAsia="Times New Roman" w:cs="Times New Roman"/>
              </w:rPr>
              <w:t>B</w:t>
            </w:r>
            <w:r>
              <w:rPr>
                <w:rFonts w:ascii="Times New Roman" w:hAnsi="Times New Roman" w:eastAsia="Times New Roman" w:cs="Times New Roman"/>
                <w:spacing w:val="34"/>
              </w:rPr>
              <w:t xml:space="preserve"> </w:t>
            </w:r>
            <w:r>
              <w:t>回线</w:t>
            </w:r>
            <w:r>
              <w:rPr>
                <w:spacing w:val="13"/>
              </w:rPr>
              <w:t>路边导线地</w:t>
            </w:r>
            <w:r>
              <w:rPr>
                <w:spacing w:val="14"/>
              </w:rPr>
              <w:t>面投影西侧</w:t>
            </w:r>
            <w:r>
              <w:rPr>
                <w:rFonts w:ascii="Times New Roman" w:hAnsi="Times New Roman" w:eastAsia="Times New Roman" w:cs="Times New Roman"/>
                <w:spacing w:val="6"/>
              </w:rPr>
              <w:t>4m</w:t>
            </w:r>
            <w:r>
              <w:rPr>
                <w:spacing w:val="6"/>
              </w:rPr>
              <w:t>；位于</w:t>
            </w:r>
            <w:r>
              <w:rPr>
                <w:spacing w:val="-40"/>
              </w:rPr>
              <w:t xml:space="preserve"> </w:t>
            </w:r>
            <w:r>
              <w:rPr>
                <w:rFonts w:ascii="Times New Roman" w:hAnsi="Times New Roman" w:eastAsia="Times New Roman" w:cs="Times New Roman"/>
                <w:spacing w:val="6"/>
              </w:rPr>
              <w:t>A</w:t>
            </w:r>
            <w:r>
              <w:rPr>
                <w:spacing w:val="13"/>
              </w:rPr>
              <w:t>回线路边导</w:t>
            </w:r>
            <w:r>
              <w:rPr>
                <w:spacing w:val="14"/>
              </w:rPr>
              <w:t>线地面投影</w:t>
            </w:r>
            <w:r>
              <w:rPr>
                <w:spacing w:val="8"/>
              </w:rPr>
              <w:t>南侧</w:t>
            </w:r>
            <w:r>
              <w:rPr>
                <w:spacing w:val="-40"/>
              </w:rPr>
              <w:t xml:space="preserve"> </w:t>
            </w:r>
            <w:r>
              <w:rPr>
                <w:rFonts w:ascii="Times New Roman" w:hAnsi="Times New Roman" w:eastAsia="Times New Roman" w:cs="Times New Roman"/>
                <w:spacing w:val="8"/>
              </w:rPr>
              <w:t>70m</w:t>
            </w:r>
            <w:r>
              <w:rPr>
                <w:spacing w:val="8"/>
              </w:rPr>
              <w:t>；</w:t>
            </w:r>
          </w:p>
        </w:tc>
        <w:tc>
          <w:tcPr>
            <w:tcW w:w="1136" w:type="dxa"/>
            <w:tcBorders>
              <w:left w:val="single" w:color="000000" w:sz="2" w:space="0"/>
              <w:right w:val="single" w:color="000000" w:sz="2" w:space="0"/>
            </w:tcBorders>
            <w:vAlign w:val="top"/>
          </w:tcPr>
          <w:p w14:paraId="6541FEF3">
            <w:pPr>
              <w:spacing w:line="249" w:lineRule="auto"/>
              <w:rPr>
                <w:rFonts w:ascii="Arial"/>
                <w:sz w:val="21"/>
              </w:rPr>
            </w:pPr>
          </w:p>
          <w:p w14:paraId="0BA74C72">
            <w:pPr>
              <w:spacing w:line="250" w:lineRule="auto"/>
              <w:rPr>
                <w:rFonts w:ascii="Arial"/>
                <w:sz w:val="21"/>
              </w:rPr>
            </w:pPr>
          </w:p>
          <w:p w14:paraId="630BF5F0">
            <w:pPr>
              <w:spacing w:line="250" w:lineRule="auto"/>
              <w:rPr>
                <w:rFonts w:ascii="Arial"/>
                <w:sz w:val="21"/>
              </w:rPr>
            </w:pPr>
          </w:p>
          <w:p w14:paraId="061F7CD5">
            <w:pPr>
              <w:spacing w:line="250" w:lineRule="auto"/>
              <w:rPr>
                <w:rFonts w:ascii="Arial"/>
                <w:sz w:val="21"/>
              </w:rPr>
            </w:pPr>
          </w:p>
          <w:p w14:paraId="53FD0540">
            <w:pPr>
              <w:spacing w:line="250" w:lineRule="auto"/>
              <w:rPr>
                <w:rFonts w:ascii="Arial"/>
                <w:sz w:val="21"/>
              </w:rPr>
            </w:pPr>
          </w:p>
          <w:p w14:paraId="002341C8">
            <w:pPr>
              <w:spacing w:before="57" w:line="195" w:lineRule="auto"/>
              <w:ind w:left="440"/>
              <w:rPr>
                <w:rFonts w:ascii="Times New Roman" w:hAnsi="Times New Roman" w:eastAsia="Times New Roman" w:cs="Times New Roman"/>
                <w:sz w:val="20"/>
                <w:szCs w:val="20"/>
              </w:rPr>
            </w:pPr>
            <w:r>
              <w:rPr>
                <w:rFonts w:ascii="Times New Roman" w:hAnsi="Times New Roman" w:eastAsia="Times New Roman" w:cs="Times New Roman"/>
                <w:sz w:val="20"/>
                <w:szCs w:val="20"/>
              </w:rPr>
              <w:t>9m</w:t>
            </w:r>
          </w:p>
        </w:tc>
        <w:tc>
          <w:tcPr>
            <w:tcW w:w="646" w:type="dxa"/>
            <w:tcBorders>
              <w:left w:val="single" w:color="000000" w:sz="2" w:space="0"/>
            </w:tcBorders>
            <w:vAlign w:val="top"/>
          </w:tcPr>
          <w:p w14:paraId="7438843E">
            <w:pPr>
              <w:spacing w:line="250" w:lineRule="auto"/>
              <w:rPr>
                <w:rFonts w:ascii="Arial"/>
                <w:sz w:val="21"/>
              </w:rPr>
            </w:pPr>
          </w:p>
          <w:p w14:paraId="0D9C9FCA">
            <w:pPr>
              <w:spacing w:line="250" w:lineRule="auto"/>
              <w:rPr>
                <w:rFonts w:ascii="Arial"/>
                <w:sz w:val="21"/>
              </w:rPr>
            </w:pPr>
          </w:p>
          <w:p w14:paraId="5A371A73">
            <w:pPr>
              <w:spacing w:line="250" w:lineRule="auto"/>
              <w:rPr>
                <w:rFonts w:ascii="Arial"/>
                <w:sz w:val="21"/>
              </w:rPr>
            </w:pPr>
          </w:p>
          <w:p w14:paraId="2CA6154A">
            <w:pPr>
              <w:spacing w:line="251" w:lineRule="auto"/>
              <w:rPr>
                <w:rFonts w:ascii="Arial"/>
                <w:sz w:val="21"/>
              </w:rPr>
            </w:pPr>
          </w:p>
          <w:p w14:paraId="18781D77">
            <w:pPr>
              <w:spacing w:line="251" w:lineRule="auto"/>
              <w:rPr>
                <w:rFonts w:ascii="Arial"/>
                <w:sz w:val="21"/>
              </w:rPr>
            </w:pPr>
          </w:p>
          <w:p w14:paraId="3F47FB58">
            <w:pPr>
              <w:spacing w:before="57" w:line="192"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3953" w:type="dxa"/>
            <w:vAlign w:val="top"/>
          </w:tcPr>
          <w:p w14:paraId="2D53C247">
            <w:pPr>
              <w:spacing w:before="2" w:line="2755" w:lineRule="exact"/>
              <w:ind w:firstLine="130"/>
            </w:pPr>
            <w:r>
              <w:rPr>
                <w:position w:val="-55"/>
              </w:rPr>
              <w:drawing>
                <wp:inline distT="0" distB="0" distL="0" distR="0">
                  <wp:extent cx="2340610" cy="1748790"/>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256"/>
                          <a:stretch>
                            <a:fillRect/>
                          </a:stretch>
                        </pic:blipFill>
                        <pic:spPr>
                          <a:xfrm>
                            <a:off x="0" y="0"/>
                            <a:ext cx="2340864" cy="1749044"/>
                          </a:xfrm>
                          <a:prstGeom prst="rect">
                            <a:avLst/>
                          </a:prstGeom>
                        </pic:spPr>
                      </pic:pic>
                    </a:graphicData>
                  </a:graphic>
                </wp:inline>
              </w:drawing>
            </w:r>
          </w:p>
        </w:tc>
        <w:tc>
          <w:tcPr>
            <w:tcW w:w="1155" w:type="dxa"/>
            <w:vMerge w:val="continue"/>
            <w:tcBorders>
              <w:top w:val="nil"/>
              <w:bottom w:val="nil"/>
            </w:tcBorders>
            <w:vAlign w:val="top"/>
          </w:tcPr>
          <w:p w14:paraId="1BD20739">
            <w:pPr>
              <w:rPr>
                <w:rFonts w:ascii="Arial"/>
                <w:sz w:val="21"/>
              </w:rPr>
            </w:pPr>
          </w:p>
        </w:tc>
      </w:tr>
      <w:tr w14:paraId="6EDD2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5" w:hRule="atLeast"/>
        </w:trPr>
        <w:tc>
          <w:tcPr>
            <w:tcW w:w="848" w:type="dxa"/>
            <w:vMerge w:val="continue"/>
            <w:tcBorders>
              <w:top w:val="nil"/>
              <w:right w:val="single" w:color="000000" w:sz="2" w:space="0"/>
            </w:tcBorders>
            <w:vAlign w:val="top"/>
          </w:tcPr>
          <w:p w14:paraId="0C3B240E">
            <w:pPr>
              <w:rPr>
                <w:rFonts w:ascii="Arial"/>
                <w:sz w:val="21"/>
              </w:rPr>
            </w:pPr>
          </w:p>
        </w:tc>
        <w:tc>
          <w:tcPr>
            <w:tcW w:w="1180" w:type="dxa"/>
            <w:tcBorders>
              <w:left w:val="single" w:color="000000" w:sz="2" w:space="0"/>
            </w:tcBorders>
            <w:vAlign w:val="top"/>
          </w:tcPr>
          <w:p w14:paraId="3176F0EC">
            <w:pPr>
              <w:spacing w:line="249" w:lineRule="auto"/>
              <w:rPr>
                <w:rFonts w:ascii="Arial"/>
                <w:sz w:val="21"/>
              </w:rPr>
            </w:pPr>
          </w:p>
          <w:p w14:paraId="0851A552">
            <w:pPr>
              <w:spacing w:line="249" w:lineRule="auto"/>
              <w:rPr>
                <w:rFonts w:ascii="Arial"/>
                <w:sz w:val="21"/>
              </w:rPr>
            </w:pPr>
          </w:p>
          <w:p w14:paraId="68B72A7E">
            <w:pPr>
              <w:spacing w:line="249" w:lineRule="auto"/>
              <w:rPr>
                <w:rFonts w:ascii="Arial"/>
                <w:sz w:val="21"/>
              </w:rPr>
            </w:pPr>
          </w:p>
          <w:p w14:paraId="0DE60174">
            <w:pPr>
              <w:spacing w:line="249" w:lineRule="auto"/>
              <w:rPr>
                <w:rFonts w:ascii="Arial"/>
                <w:sz w:val="21"/>
              </w:rPr>
            </w:pPr>
          </w:p>
          <w:p w14:paraId="020F5F0E">
            <w:pPr>
              <w:pStyle w:val="6"/>
              <w:spacing w:before="65" w:line="252" w:lineRule="auto"/>
              <w:ind w:left="275" w:right="170" w:hanging="109"/>
            </w:pPr>
            <w:r>
              <w:rPr>
                <w:rFonts w:ascii="MS PGothic" w:hAnsi="MS PGothic" w:eastAsia="MS PGothic" w:cs="MS PGothic"/>
                <w:spacing w:val="8"/>
              </w:rPr>
              <w:t>⑩</w:t>
            </w:r>
            <w:r>
              <w:rPr>
                <w:spacing w:val="8"/>
              </w:rPr>
              <w:t>菜地看</w:t>
            </w:r>
            <w:r>
              <w:rPr>
                <w:spacing w:val="6"/>
              </w:rPr>
              <w:t>护用房</w:t>
            </w:r>
          </w:p>
        </w:tc>
        <w:tc>
          <w:tcPr>
            <w:tcW w:w="715" w:type="dxa"/>
            <w:vAlign w:val="top"/>
          </w:tcPr>
          <w:p w14:paraId="01DE1A7B">
            <w:pPr>
              <w:spacing w:line="295" w:lineRule="auto"/>
              <w:rPr>
                <w:rFonts w:ascii="Arial"/>
                <w:sz w:val="21"/>
              </w:rPr>
            </w:pPr>
          </w:p>
          <w:p w14:paraId="53CC0ACC">
            <w:pPr>
              <w:spacing w:line="295" w:lineRule="auto"/>
              <w:rPr>
                <w:rFonts w:ascii="Arial"/>
                <w:sz w:val="21"/>
              </w:rPr>
            </w:pPr>
          </w:p>
          <w:p w14:paraId="38118DDD">
            <w:pPr>
              <w:pStyle w:val="6"/>
              <w:spacing w:before="65" w:line="252" w:lineRule="auto"/>
              <w:ind w:left="145" w:right="148" w:firstLine="2"/>
              <w:jc w:val="both"/>
            </w:pPr>
            <w:r>
              <w:rPr>
                <w:spacing w:val="3"/>
              </w:rPr>
              <w:t>居住</w:t>
            </w:r>
            <w:r>
              <w:rPr>
                <w:spacing w:val="5"/>
              </w:rPr>
              <w:t>及农用物资仓</w:t>
            </w:r>
            <w:r>
              <w:rPr>
                <w:spacing w:val="35"/>
                <w:w w:val="136"/>
              </w:rPr>
              <w:t>库</w:t>
            </w:r>
          </w:p>
        </w:tc>
        <w:tc>
          <w:tcPr>
            <w:tcW w:w="667" w:type="dxa"/>
            <w:vAlign w:val="top"/>
          </w:tcPr>
          <w:p w14:paraId="4D85673B">
            <w:pPr>
              <w:spacing w:line="249" w:lineRule="auto"/>
              <w:rPr>
                <w:rFonts w:ascii="Arial"/>
                <w:sz w:val="21"/>
              </w:rPr>
            </w:pPr>
          </w:p>
          <w:p w14:paraId="3474D2B4">
            <w:pPr>
              <w:spacing w:line="249" w:lineRule="auto"/>
              <w:rPr>
                <w:rFonts w:ascii="Arial"/>
                <w:sz w:val="21"/>
              </w:rPr>
            </w:pPr>
          </w:p>
          <w:p w14:paraId="18B1D212">
            <w:pPr>
              <w:spacing w:line="249" w:lineRule="auto"/>
              <w:rPr>
                <w:rFonts w:ascii="Arial"/>
                <w:sz w:val="21"/>
              </w:rPr>
            </w:pPr>
          </w:p>
          <w:p w14:paraId="4B699AA0">
            <w:pPr>
              <w:spacing w:line="249" w:lineRule="auto"/>
              <w:rPr>
                <w:rFonts w:ascii="Arial"/>
                <w:sz w:val="21"/>
              </w:rPr>
            </w:pPr>
          </w:p>
          <w:p w14:paraId="48B6282A">
            <w:pPr>
              <w:pStyle w:val="6"/>
              <w:spacing w:before="65" w:line="253" w:lineRule="auto"/>
              <w:ind w:left="145" w:right="150"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882" w:type="dxa"/>
            <w:vAlign w:val="top"/>
          </w:tcPr>
          <w:p w14:paraId="1A7C3175">
            <w:pPr>
              <w:spacing w:line="241" w:lineRule="auto"/>
              <w:rPr>
                <w:rFonts w:ascii="Arial"/>
                <w:sz w:val="21"/>
              </w:rPr>
            </w:pPr>
          </w:p>
          <w:p w14:paraId="573A748F">
            <w:pPr>
              <w:spacing w:line="242" w:lineRule="auto"/>
              <w:rPr>
                <w:rFonts w:ascii="Arial"/>
                <w:sz w:val="21"/>
              </w:rPr>
            </w:pPr>
          </w:p>
          <w:p w14:paraId="527652ED">
            <w:pPr>
              <w:spacing w:line="242" w:lineRule="auto"/>
              <w:rPr>
                <w:rFonts w:ascii="Arial"/>
                <w:sz w:val="21"/>
              </w:rPr>
            </w:pPr>
          </w:p>
          <w:p w14:paraId="10E9A5F8">
            <w:pPr>
              <w:pStyle w:val="6"/>
              <w:spacing w:before="65" w:line="252" w:lineRule="auto"/>
              <w:ind w:left="125" w:right="125"/>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24" w:type="dxa"/>
            <w:vAlign w:val="top"/>
          </w:tcPr>
          <w:p w14:paraId="28C73203">
            <w:pPr>
              <w:spacing w:line="241" w:lineRule="auto"/>
              <w:rPr>
                <w:rFonts w:ascii="Arial"/>
                <w:sz w:val="21"/>
              </w:rPr>
            </w:pPr>
          </w:p>
          <w:p w14:paraId="753AB19E">
            <w:pPr>
              <w:spacing w:line="242" w:lineRule="auto"/>
              <w:rPr>
                <w:rFonts w:ascii="Arial"/>
                <w:sz w:val="21"/>
              </w:rPr>
            </w:pPr>
          </w:p>
          <w:p w14:paraId="1C0B0C0D">
            <w:pPr>
              <w:spacing w:line="242" w:lineRule="auto"/>
              <w:rPr>
                <w:rFonts w:ascii="Arial"/>
                <w:sz w:val="21"/>
              </w:rPr>
            </w:pPr>
          </w:p>
          <w:p w14:paraId="7BD8F01F">
            <w:pPr>
              <w:pStyle w:val="6"/>
              <w:spacing w:before="65" w:line="228" w:lineRule="auto"/>
              <w:ind w:left="190"/>
            </w:pPr>
            <w:r>
              <w:rPr>
                <w:spacing w:val="7"/>
              </w:rPr>
              <w:t>单回线路西</w:t>
            </w:r>
          </w:p>
          <w:p w14:paraId="06C04445">
            <w:pPr>
              <w:pStyle w:val="6"/>
              <w:spacing w:before="24" w:line="228" w:lineRule="auto"/>
              <w:ind w:left="108"/>
            </w:pPr>
            <w:r>
              <w:rPr>
                <w:spacing w:val="8"/>
              </w:rPr>
              <w:t>侧，</w:t>
            </w:r>
            <w:r>
              <w:rPr>
                <w:rFonts w:ascii="Times New Roman" w:hAnsi="Times New Roman" w:eastAsia="Times New Roman" w:cs="Times New Roman"/>
              </w:rPr>
              <w:t>BZ</w:t>
            </w:r>
            <w:r>
              <w:rPr>
                <w:rFonts w:ascii="Times New Roman" w:hAnsi="Times New Roman" w:eastAsia="Times New Roman" w:cs="Times New Roman"/>
                <w:spacing w:val="8"/>
              </w:rPr>
              <w:t xml:space="preserve">2G </w:t>
            </w:r>
            <w:r>
              <w:rPr>
                <w:spacing w:val="8"/>
              </w:rPr>
              <w:t>塔</w:t>
            </w:r>
          </w:p>
          <w:p w14:paraId="4211057F">
            <w:pPr>
              <w:pStyle w:val="6"/>
              <w:spacing w:before="24" w:line="228" w:lineRule="auto"/>
              <w:ind w:left="292"/>
            </w:pPr>
            <w:r>
              <w:rPr>
                <w:spacing w:val="8"/>
              </w:rPr>
              <w:t>基西南侧</w:t>
            </w:r>
          </w:p>
          <w:p w14:paraId="4C15D8F4">
            <w:pPr>
              <w:pStyle w:val="6"/>
              <w:spacing w:before="26" w:line="230" w:lineRule="auto"/>
              <w:ind w:left="385"/>
            </w:pPr>
            <w:r>
              <w:rPr>
                <w:rFonts w:ascii="Times New Roman" w:hAnsi="Times New Roman" w:eastAsia="Times New Roman" w:cs="Times New Roman"/>
                <w:spacing w:val="-1"/>
              </w:rPr>
              <w:t>160m</w:t>
            </w:r>
            <w:r>
              <w:rPr>
                <w:spacing w:val="-1"/>
              </w:rPr>
              <w:t>；</w:t>
            </w:r>
          </w:p>
        </w:tc>
        <w:tc>
          <w:tcPr>
            <w:tcW w:w="1416" w:type="dxa"/>
            <w:tcBorders>
              <w:right w:val="single" w:color="000000" w:sz="2" w:space="0"/>
            </w:tcBorders>
            <w:vAlign w:val="top"/>
          </w:tcPr>
          <w:p w14:paraId="59808D68">
            <w:pPr>
              <w:spacing w:line="287" w:lineRule="auto"/>
              <w:rPr>
                <w:rFonts w:ascii="Arial"/>
                <w:sz w:val="21"/>
              </w:rPr>
            </w:pPr>
          </w:p>
          <w:p w14:paraId="1DD33F6E">
            <w:pPr>
              <w:spacing w:line="287" w:lineRule="auto"/>
              <w:rPr>
                <w:rFonts w:ascii="Arial"/>
                <w:sz w:val="21"/>
              </w:rPr>
            </w:pPr>
          </w:p>
          <w:p w14:paraId="17557A36">
            <w:pPr>
              <w:spacing w:line="287" w:lineRule="auto"/>
              <w:rPr>
                <w:rFonts w:ascii="Arial"/>
                <w:sz w:val="21"/>
              </w:rPr>
            </w:pPr>
          </w:p>
          <w:p w14:paraId="724C5F0F">
            <w:pPr>
              <w:pStyle w:val="6"/>
              <w:spacing w:before="65" w:line="252" w:lineRule="auto"/>
              <w:ind w:left="133" w:right="127" w:firstLine="35"/>
              <w:jc w:val="both"/>
              <w:rPr>
                <w:rFonts w:ascii="Times New Roman" w:hAnsi="Times New Roman" w:eastAsia="Times New Roman" w:cs="Times New Roman"/>
              </w:rPr>
            </w:pPr>
            <w:r>
              <w:t>位于</w:t>
            </w:r>
            <w:r>
              <w:rPr>
                <w:spacing w:val="-44"/>
              </w:rPr>
              <w:t xml:space="preserve"> </w:t>
            </w:r>
            <w:r>
              <w:rPr>
                <w:rFonts w:ascii="Times New Roman" w:hAnsi="Times New Roman" w:eastAsia="Times New Roman" w:cs="Times New Roman"/>
              </w:rPr>
              <w:t>B</w:t>
            </w:r>
            <w:r>
              <w:rPr>
                <w:rFonts w:ascii="Times New Roman" w:hAnsi="Times New Roman" w:eastAsia="Times New Roman" w:cs="Times New Roman"/>
                <w:spacing w:val="34"/>
              </w:rPr>
              <w:t xml:space="preserve"> </w:t>
            </w:r>
            <w:r>
              <w:t>回线</w:t>
            </w:r>
            <w:r>
              <w:rPr>
                <w:spacing w:val="18"/>
              </w:rPr>
              <w:t>边导线地面</w:t>
            </w:r>
            <w:r>
              <w:rPr>
                <w:spacing w:val="5"/>
              </w:rPr>
              <w:t>投影西侧</w:t>
            </w:r>
            <w:r>
              <w:rPr>
                <w:spacing w:val="-39"/>
              </w:rPr>
              <w:t xml:space="preserve"> </w:t>
            </w:r>
            <w:r>
              <w:rPr>
                <w:rFonts w:ascii="Times New Roman" w:hAnsi="Times New Roman" w:eastAsia="Times New Roman" w:cs="Times New Roman"/>
                <w:spacing w:val="5"/>
              </w:rPr>
              <w:t>6m</w:t>
            </w:r>
          </w:p>
        </w:tc>
        <w:tc>
          <w:tcPr>
            <w:tcW w:w="1136" w:type="dxa"/>
            <w:tcBorders>
              <w:left w:val="single" w:color="000000" w:sz="2" w:space="0"/>
              <w:right w:val="single" w:color="000000" w:sz="2" w:space="0"/>
            </w:tcBorders>
            <w:vAlign w:val="top"/>
          </w:tcPr>
          <w:p w14:paraId="6A8710FF">
            <w:pPr>
              <w:spacing w:line="293" w:lineRule="auto"/>
              <w:rPr>
                <w:rFonts w:ascii="Arial"/>
                <w:sz w:val="21"/>
              </w:rPr>
            </w:pPr>
          </w:p>
          <w:p w14:paraId="14EE2D1A">
            <w:pPr>
              <w:spacing w:line="294" w:lineRule="auto"/>
              <w:rPr>
                <w:rFonts w:ascii="Arial"/>
                <w:sz w:val="21"/>
              </w:rPr>
            </w:pPr>
          </w:p>
          <w:p w14:paraId="22E4A767">
            <w:pPr>
              <w:spacing w:line="294" w:lineRule="auto"/>
              <w:rPr>
                <w:rFonts w:ascii="Arial"/>
                <w:sz w:val="21"/>
              </w:rPr>
            </w:pPr>
          </w:p>
          <w:p w14:paraId="4F5717E3">
            <w:pPr>
              <w:spacing w:line="294" w:lineRule="auto"/>
              <w:rPr>
                <w:rFonts w:ascii="Arial"/>
                <w:sz w:val="21"/>
              </w:rPr>
            </w:pPr>
          </w:p>
          <w:p w14:paraId="7A029C29">
            <w:pPr>
              <w:spacing w:before="57"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11m</w:t>
            </w:r>
          </w:p>
        </w:tc>
        <w:tc>
          <w:tcPr>
            <w:tcW w:w="646" w:type="dxa"/>
            <w:tcBorders>
              <w:left w:val="single" w:color="000000" w:sz="2" w:space="0"/>
            </w:tcBorders>
            <w:vAlign w:val="top"/>
          </w:tcPr>
          <w:p w14:paraId="587644DD">
            <w:pPr>
              <w:spacing w:line="294" w:lineRule="auto"/>
              <w:rPr>
                <w:rFonts w:ascii="Arial"/>
                <w:sz w:val="21"/>
              </w:rPr>
            </w:pPr>
          </w:p>
          <w:p w14:paraId="29F0A8E7">
            <w:pPr>
              <w:spacing w:line="294" w:lineRule="auto"/>
              <w:rPr>
                <w:rFonts w:ascii="Arial"/>
                <w:sz w:val="21"/>
              </w:rPr>
            </w:pPr>
          </w:p>
          <w:p w14:paraId="7F9C65DD">
            <w:pPr>
              <w:spacing w:line="294" w:lineRule="auto"/>
              <w:rPr>
                <w:rFonts w:ascii="Arial"/>
                <w:sz w:val="21"/>
              </w:rPr>
            </w:pPr>
          </w:p>
          <w:p w14:paraId="1F2EB1B4">
            <w:pPr>
              <w:spacing w:line="295" w:lineRule="auto"/>
              <w:rPr>
                <w:rFonts w:ascii="Arial"/>
                <w:sz w:val="21"/>
              </w:rPr>
            </w:pPr>
          </w:p>
          <w:p w14:paraId="66313BE1">
            <w:pPr>
              <w:spacing w:before="58" w:line="192"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3953" w:type="dxa"/>
            <w:vAlign w:val="top"/>
          </w:tcPr>
          <w:p w14:paraId="118574ED">
            <w:pPr>
              <w:spacing w:before="4" w:line="2601" w:lineRule="exact"/>
              <w:ind w:firstLine="234"/>
            </w:pPr>
            <w:r>
              <w:rPr>
                <w:position w:val="-52"/>
              </w:rPr>
              <w:drawing>
                <wp:inline distT="0" distB="0" distL="0" distR="0">
                  <wp:extent cx="2207895" cy="1651000"/>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257"/>
                          <a:stretch>
                            <a:fillRect/>
                          </a:stretch>
                        </pic:blipFill>
                        <pic:spPr>
                          <a:xfrm>
                            <a:off x="0" y="0"/>
                            <a:ext cx="2208276" cy="1651126"/>
                          </a:xfrm>
                          <a:prstGeom prst="rect">
                            <a:avLst/>
                          </a:prstGeom>
                        </pic:spPr>
                      </pic:pic>
                    </a:graphicData>
                  </a:graphic>
                </wp:inline>
              </w:drawing>
            </w:r>
          </w:p>
        </w:tc>
        <w:tc>
          <w:tcPr>
            <w:tcW w:w="1155" w:type="dxa"/>
            <w:vMerge w:val="continue"/>
            <w:tcBorders>
              <w:top w:val="nil"/>
              <w:bottom w:val="single" w:color="000000" w:sz="2" w:space="0"/>
            </w:tcBorders>
            <w:vAlign w:val="top"/>
          </w:tcPr>
          <w:p w14:paraId="591A163F">
            <w:pPr>
              <w:rPr>
                <w:rFonts w:ascii="Arial"/>
                <w:sz w:val="21"/>
              </w:rPr>
            </w:pPr>
          </w:p>
        </w:tc>
      </w:tr>
    </w:tbl>
    <w:p w14:paraId="523A94EB">
      <w:pPr>
        <w:rPr>
          <w:rFonts w:ascii="Arial"/>
          <w:sz w:val="21"/>
        </w:rPr>
      </w:pPr>
    </w:p>
    <w:p w14:paraId="58AF7E0D">
      <w:pPr>
        <w:rPr>
          <w:rFonts w:ascii="Arial" w:hAnsi="Arial" w:eastAsia="Arial" w:cs="Arial"/>
          <w:sz w:val="21"/>
          <w:szCs w:val="21"/>
        </w:rPr>
        <w:sectPr>
          <w:footerReference r:id="rId90" w:type="default"/>
          <w:pgSz w:w="16840" w:h="11907"/>
          <w:pgMar w:top="400" w:right="1441" w:bottom="1013" w:left="1365" w:header="0" w:footer="851" w:gutter="0"/>
          <w:cols w:space="720" w:num="1"/>
        </w:sectPr>
      </w:pPr>
    </w:p>
    <w:p w14:paraId="60C9FC8F">
      <w:pPr>
        <w:spacing w:before="3"/>
      </w:pPr>
    </w:p>
    <w:p w14:paraId="3CE6976C">
      <w:pPr>
        <w:spacing w:before="3"/>
      </w:pPr>
    </w:p>
    <w:p w14:paraId="42583899">
      <w:pPr>
        <w:spacing w:before="3"/>
      </w:pPr>
    </w:p>
    <w:tbl>
      <w:tblPr>
        <w:tblStyle w:val="5"/>
        <w:tblW w:w="1409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8"/>
        <w:gridCol w:w="1180"/>
        <w:gridCol w:w="715"/>
        <w:gridCol w:w="667"/>
        <w:gridCol w:w="882"/>
        <w:gridCol w:w="1424"/>
        <w:gridCol w:w="1416"/>
        <w:gridCol w:w="1136"/>
        <w:gridCol w:w="646"/>
        <w:gridCol w:w="3953"/>
        <w:gridCol w:w="1231"/>
      </w:tblGrid>
      <w:tr w14:paraId="4375C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848" w:type="dxa"/>
            <w:tcBorders>
              <w:right w:val="single" w:color="000000" w:sz="2" w:space="0"/>
            </w:tcBorders>
            <w:shd w:val="clear" w:color="auto" w:fill="BEBEBE"/>
            <w:vAlign w:val="top"/>
          </w:tcPr>
          <w:p w14:paraId="04D18187">
            <w:pPr>
              <w:spacing w:line="376" w:lineRule="auto"/>
              <w:rPr>
                <w:rFonts w:ascii="Arial"/>
                <w:sz w:val="21"/>
              </w:rPr>
            </w:pPr>
          </w:p>
          <w:p w14:paraId="185EB717">
            <w:pPr>
              <w:pStyle w:val="6"/>
              <w:spacing w:before="65" w:line="228" w:lineRule="auto"/>
              <w:ind w:left="216"/>
            </w:pPr>
            <w:r>
              <w:rPr>
                <w:b/>
                <w:bCs/>
                <w:spacing w:val="2"/>
              </w:rPr>
              <w:t>分区</w:t>
            </w:r>
          </w:p>
        </w:tc>
        <w:tc>
          <w:tcPr>
            <w:tcW w:w="1180" w:type="dxa"/>
            <w:tcBorders>
              <w:left w:val="single" w:color="000000" w:sz="2" w:space="0"/>
            </w:tcBorders>
            <w:shd w:val="clear" w:color="auto" w:fill="BEBEBE"/>
            <w:vAlign w:val="top"/>
          </w:tcPr>
          <w:p w14:paraId="22CC787F">
            <w:pPr>
              <w:spacing w:line="243" w:lineRule="auto"/>
              <w:rPr>
                <w:rFonts w:ascii="Arial"/>
                <w:sz w:val="21"/>
              </w:rPr>
            </w:pPr>
          </w:p>
          <w:p w14:paraId="77CC0F7E">
            <w:pPr>
              <w:pStyle w:val="6"/>
              <w:spacing w:before="65" w:line="252" w:lineRule="auto"/>
              <w:ind w:left="418" w:right="381" w:hanging="39"/>
            </w:pPr>
            <w:r>
              <w:rPr>
                <w:b/>
                <w:bCs/>
                <w:spacing w:val="3"/>
              </w:rPr>
              <w:t>保护</w:t>
            </w:r>
            <w:r>
              <w:rPr>
                <w:b/>
                <w:bCs/>
                <w:spacing w:val="-17"/>
              </w:rPr>
              <w:t>目标</w:t>
            </w:r>
          </w:p>
        </w:tc>
        <w:tc>
          <w:tcPr>
            <w:tcW w:w="715" w:type="dxa"/>
            <w:shd w:val="clear" w:color="auto" w:fill="BEBEBE"/>
            <w:vAlign w:val="top"/>
          </w:tcPr>
          <w:p w14:paraId="0D0A42DD">
            <w:pPr>
              <w:spacing w:line="376" w:lineRule="auto"/>
              <w:rPr>
                <w:rFonts w:ascii="Arial"/>
                <w:sz w:val="21"/>
              </w:rPr>
            </w:pPr>
          </w:p>
          <w:p w14:paraId="14A21F4E">
            <w:pPr>
              <w:pStyle w:val="6"/>
              <w:spacing w:before="65" w:line="229" w:lineRule="auto"/>
              <w:ind w:left="150"/>
            </w:pPr>
            <w:r>
              <w:rPr>
                <w:b/>
                <w:bCs/>
                <w:spacing w:val="2"/>
              </w:rPr>
              <w:t>功能</w:t>
            </w:r>
          </w:p>
        </w:tc>
        <w:tc>
          <w:tcPr>
            <w:tcW w:w="667" w:type="dxa"/>
            <w:shd w:val="clear" w:color="auto" w:fill="BEBEBE"/>
            <w:vAlign w:val="top"/>
          </w:tcPr>
          <w:p w14:paraId="4DCBEBBF">
            <w:pPr>
              <w:spacing w:line="376" w:lineRule="auto"/>
              <w:rPr>
                <w:rFonts w:ascii="Arial"/>
                <w:sz w:val="21"/>
              </w:rPr>
            </w:pPr>
          </w:p>
          <w:p w14:paraId="6ECD520D">
            <w:pPr>
              <w:pStyle w:val="6"/>
              <w:spacing w:before="65" w:line="228" w:lineRule="auto"/>
              <w:ind w:left="123"/>
            </w:pPr>
            <w:r>
              <w:rPr>
                <w:b/>
                <w:bCs/>
                <w:spacing w:val="3"/>
              </w:rPr>
              <w:t>规模</w:t>
            </w:r>
          </w:p>
        </w:tc>
        <w:tc>
          <w:tcPr>
            <w:tcW w:w="882" w:type="dxa"/>
            <w:shd w:val="clear" w:color="auto" w:fill="BEBEBE"/>
            <w:vAlign w:val="top"/>
          </w:tcPr>
          <w:p w14:paraId="1D2B6109">
            <w:pPr>
              <w:pStyle w:val="6"/>
              <w:spacing w:before="170" w:line="228" w:lineRule="auto"/>
              <w:ind w:left="128"/>
            </w:pPr>
            <w:r>
              <w:rPr>
                <w:b/>
                <w:bCs/>
                <w:spacing w:val="4"/>
              </w:rPr>
              <w:t>建筑物</w:t>
            </w:r>
          </w:p>
          <w:p w14:paraId="478F0892">
            <w:pPr>
              <w:pStyle w:val="6"/>
              <w:spacing w:before="26" w:line="228" w:lineRule="auto"/>
              <w:ind w:left="130"/>
            </w:pPr>
            <w:r>
              <w:rPr>
                <w:b/>
                <w:bCs/>
                <w:spacing w:val="3"/>
              </w:rPr>
              <w:t>结构及</w:t>
            </w:r>
          </w:p>
          <w:p w14:paraId="1E451341">
            <w:pPr>
              <w:pStyle w:val="6"/>
              <w:spacing w:before="23" w:line="228" w:lineRule="auto"/>
              <w:ind w:left="236"/>
            </w:pPr>
            <w:r>
              <w:rPr>
                <w:b/>
                <w:bCs/>
                <w:spacing w:val="1"/>
              </w:rPr>
              <w:t>高度</w:t>
            </w:r>
          </w:p>
        </w:tc>
        <w:tc>
          <w:tcPr>
            <w:tcW w:w="1424" w:type="dxa"/>
            <w:shd w:val="clear" w:color="auto" w:fill="BEBEBE"/>
            <w:vAlign w:val="top"/>
          </w:tcPr>
          <w:p w14:paraId="17EF216D">
            <w:pPr>
              <w:spacing w:line="376" w:lineRule="auto"/>
              <w:rPr>
                <w:rFonts w:ascii="Arial"/>
                <w:sz w:val="21"/>
              </w:rPr>
            </w:pPr>
          </w:p>
          <w:p w14:paraId="4FA9FFED">
            <w:pPr>
              <w:pStyle w:val="6"/>
              <w:spacing w:before="65" w:line="228" w:lineRule="auto"/>
              <w:ind w:left="261"/>
            </w:pPr>
            <w:r>
              <w:rPr>
                <w:b/>
                <w:bCs/>
                <w:spacing w:val="5"/>
              </w:rPr>
              <w:t>方位</w:t>
            </w:r>
            <w:r>
              <w:rPr>
                <w:rFonts w:ascii="Times New Roman" w:hAnsi="Times New Roman" w:eastAsia="Times New Roman" w:cs="Times New Roman"/>
                <w:b/>
                <w:bCs/>
                <w:spacing w:val="5"/>
              </w:rPr>
              <w:t>/</w:t>
            </w:r>
            <w:r>
              <w:rPr>
                <w:b/>
                <w:bCs/>
                <w:spacing w:val="5"/>
              </w:rPr>
              <w:t>距离</w:t>
            </w:r>
          </w:p>
        </w:tc>
        <w:tc>
          <w:tcPr>
            <w:tcW w:w="1416" w:type="dxa"/>
            <w:tcBorders>
              <w:right w:val="single" w:color="000000" w:sz="2" w:space="0"/>
            </w:tcBorders>
            <w:shd w:val="clear" w:color="auto" w:fill="BEBEBE"/>
            <w:vAlign w:val="top"/>
          </w:tcPr>
          <w:p w14:paraId="03E35252">
            <w:pPr>
              <w:pStyle w:val="6"/>
              <w:spacing w:before="35" w:line="229" w:lineRule="auto"/>
              <w:ind w:left="293"/>
            </w:pPr>
            <w:r>
              <w:rPr>
                <w:b/>
                <w:bCs/>
                <w:spacing w:val="5"/>
              </w:rPr>
              <w:t>与变电站</w:t>
            </w:r>
          </w:p>
          <w:p w14:paraId="64C294A9">
            <w:pPr>
              <w:pStyle w:val="6"/>
              <w:spacing w:before="25" w:line="228" w:lineRule="auto"/>
              <w:ind w:left="291"/>
            </w:pPr>
            <w:r>
              <w:rPr>
                <w:b/>
                <w:bCs/>
                <w:spacing w:val="5"/>
              </w:rPr>
              <w:t>或线路边</w:t>
            </w:r>
          </w:p>
          <w:p w14:paraId="582AEB7D">
            <w:pPr>
              <w:pStyle w:val="6"/>
              <w:spacing w:before="24" w:line="228" w:lineRule="auto"/>
              <w:ind w:left="294"/>
            </w:pPr>
            <w:r>
              <w:rPr>
                <w:b/>
                <w:bCs/>
                <w:spacing w:val="5"/>
              </w:rPr>
              <w:t>导线投影</w:t>
            </w:r>
          </w:p>
          <w:p w14:paraId="1E838B65">
            <w:pPr>
              <w:pStyle w:val="6"/>
              <w:spacing w:before="25" w:line="218" w:lineRule="auto"/>
              <w:ind w:left="291"/>
            </w:pPr>
            <w:r>
              <w:rPr>
                <w:b/>
                <w:bCs/>
                <w:spacing w:val="5"/>
              </w:rPr>
              <w:t>水平距离</w:t>
            </w:r>
          </w:p>
        </w:tc>
        <w:tc>
          <w:tcPr>
            <w:tcW w:w="1136" w:type="dxa"/>
            <w:tcBorders>
              <w:left w:val="single" w:color="000000" w:sz="2" w:space="0"/>
              <w:right w:val="single" w:color="000000" w:sz="2" w:space="0"/>
            </w:tcBorders>
            <w:shd w:val="clear" w:color="auto" w:fill="BEBEBE"/>
            <w:vAlign w:val="top"/>
          </w:tcPr>
          <w:p w14:paraId="150A9049">
            <w:pPr>
              <w:pStyle w:val="6"/>
              <w:spacing w:before="169" w:line="228" w:lineRule="auto"/>
              <w:ind w:left="156"/>
            </w:pPr>
            <w:r>
              <w:rPr>
                <w:b/>
                <w:bCs/>
                <w:spacing w:val="5"/>
              </w:rPr>
              <w:t>与线路中</w:t>
            </w:r>
          </w:p>
          <w:p w14:paraId="377589A5">
            <w:pPr>
              <w:pStyle w:val="6"/>
              <w:spacing w:before="26" w:line="228" w:lineRule="auto"/>
              <w:ind w:left="159"/>
            </w:pPr>
            <w:r>
              <w:rPr>
                <w:b/>
                <w:bCs/>
                <w:spacing w:val="4"/>
              </w:rPr>
              <w:t>心最近直</w:t>
            </w:r>
          </w:p>
          <w:p w14:paraId="42A91864">
            <w:pPr>
              <w:pStyle w:val="6"/>
              <w:spacing w:before="24" w:line="228" w:lineRule="auto"/>
              <w:ind w:left="260"/>
            </w:pPr>
            <w:r>
              <w:rPr>
                <w:b/>
                <w:bCs/>
                <w:spacing w:val="4"/>
              </w:rPr>
              <w:t>线距离</w:t>
            </w:r>
          </w:p>
        </w:tc>
        <w:tc>
          <w:tcPr>
            <w:tcW w:w="646" w:type="dxa"/>
            <w:tcBorders>
              <w:left w:val="single" w:color="000000" w:sz="2" w:space="0"/>
            </w:tcBorders>
            <w:shd w:val="clear" w:color="auto" w:fill="BEBEBE"/>
            <w:vAlign w:val="top"/>
          </w:tcPr>
          <w:p w14:paraId="621564B6">
            <w:pPr>
              <w:pStyle w:val="6"/>
              <w:spacing w:before="170" w:line="228" w:lineRule="auto"/>
              <w:ind w:left="123"/>
            </w:pPr>
            <w:r>
              <w:rPr>
                <w:b/>
                <w:bCs/>
                <w:spacing w:val="1"/>
              </w:rPr>
              <w:t>导线</w:t>
            </w:r>
          </w:p>
          <w:p w14:paraId="768357EC">
            <w:pPr>
              <w:pStyle w:val="6"/>
              <w:spacing w:before="26" w:line="229" w:lineRule="auto"/>
              <w:ind w:left="117"/>
            </w:pPr>
            <w:r>
              <w:rPr>
                <w:b/>
                <w:bCs/>
                <w:spacing w:val="4"/>
              </w:rPr>
              <w:t>对地</w:t>
            </w:r>
          </w:p>
          <w:p w14:paraId="533AF3C9">
            <w:pPr>
              <w:pStyle w:val="6"/>
              <w:spacing w:before="22" w:line="228" w:lineRule="auto"/>
              <w:ind w:left="123"/>
            </w:pPr>
            <w:r>
              <w:rPr>
                <w:b/>
                <w:bCs/>
                <w:spacing w:val="1"/>
              </w:rPr>
              <w:t>高度</w:t>
            </w:r>
          </w:p>
        </w:tc>
        <w:tc>
          <w:tcPr>
            <w:tcW w:w="3953" w:type="dxa"/>
            <w:shd w:val="clear" w:color="auto" w:fill="BEBEBE"/>
            <w:vAlign w:val="top"/>
          </w:tcPr>
          <w:p w14:paraId="117DA5D7">
            <w:pPr>
              <w:spacing w:line="376" w:lineRule="auto"/>
              <w:rPr>
                <w:rFonts w:ascii="Arial"/>
                <w:sz w:val="21"/>
              </w:rPr>
            </w:pPr>
          </w:p>
          <w:p w14:paraId="04855BF2">
            <w:pPr>
              <w:pStyle w:val="6"/>
              <w:spacing w:before="65" w:line="228" w:lineRule="auto"/>
              <w:ind w:left="1561"/>
            </w:pPr>
            <w:r>
              <w:rPr>
                <w:b/>
                <w:bCs/>
                <w:spacing w:val="6"/>
              </w:rPr>
              <w:t>现状照片</w:t>
            </w:r>
          </w:p>
        </w:tc>
        <w:tc>
          <w:tcPr>
            <w:tcW w:w="1231" w:type="dxa"/>
            <w:shd w:val="clear" w:color="auto" w:fill="BEBEBE"/>
            <w:vAlign w:val="top"/>
          </w:tcPr>
          <w:p w14:paraId="7A3C8A47">
            <w:pPr>
              <w:spacing w:line="376" w:lineRule="auto"/>
              <w:rPr>
                <w:rFonts w:ascii="Arial"/>
                <w:sz w:val="21"/>
              </w:rPr>
            </w:pPr>
          </w:p>
          <w:p w14:paraId="19C73825">
            <w:pPr>
              <w:pStyle w:val="6"/>
              <w:spacing w:before="65" w:line="228" w:lineRule="auto"/>
              <w:ind w:left="161"/>
            </w:pPr>
            <w:r>
              <w:rPr>
                <w:b/>
                <w:bCs/>
                <w:spacing w:val="6"/>
              </w:rPr>
              <w:t>保护级别</w:t>
            </w:r>
          </w:p>
        </w:tc>
      </w:tr>
      <w:tr w14:paraId="5AE15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9" w:hRule="atLeast"/>
        </w:trPr>
        <w:tc>
          <w:tcPr>
            <w:tcW w:w="848" w:type="dxa"/>
            <w:vMerge w:val="restart"/>
            <w:tcBorders>
              <w:bottom w:val="nil"/>
              <w:right w:val="single" w:color="000000" w:sz="2" w:space="0"/>
            </w:tcBorders>
            <w:vAlign w:val="top"/>
          </w:tcPr>
          <w:p w14:paraId="6B483E4C">
            <w:pPr>
              <w:rPr>
                <w:rFonts w:ascii="Arial"/>
                <w:sz w:val="21"/>
              </w:rPr>
            </w:pPr>
          </w:p>
        </w:tc>
        <w:tc>
          <w:tcPr>
            <w:tcW w:w="1180" w:type="dxa"/>
            <w:tcBorders>
              <w:left w:val="single" w:color="000000" w:sz="2" w:space="0"/>
            </w:tcBorders>
            <w:vAlign w:val="top"/>
          </w:tcPr>
          <w:p w14:paraId="27577BE5">
            <w:pPr>
              <w:spacing w:line="247" w:lineRule="auto"/>
              <w:rPr>
                <w:rFonts w:ascii="Arial"/>
                <w:sz w:val="21"/>
              </w:rPr>
            </w:pPr>
          </w:p>
          <w:p w14:paraId="590F494A">
            <w:pPr>
              <w:spacing w:line="247" w:lineRule="auto"/>
              <w:rPr>
                <w:rFonts w:ascii="Arial"/>
                <w:sz w:val="21"/>
              </w:rPr>
            </w:pPr>
          </w:p>
          <w:p w14:paraId="3B9EB926">
            <w:pPr>
              <w:spacing w:line="248" w:lineRule="auto"/>
              <w:rPr>
                <w:rFonts w:ascii="Arial"/>
                <w:sz w:val="21"/>
              </w:rPr>
            </w:pPr>
          </w:p>
          <w:p w14:paraId="312E1FFF">
            <w:pPr>
              <w:spacing w:line="248" w:lineRule="auto"/>
              <w:rPr>
                <w:rFonts w:ascii="Arial"/>
                <w:sz w:val="21"/>
              </w:rPr>
            </w:pPr>
          </w:p>
          <w:p w14:paraId="54798A37">
            <w:pPr>
              <w:pStyle w:val="6"/>
              <w:spacing w:before="65" w:line="252" w:lineRule="auto"/>
              <w:ind w:left="275" w:right="170" w:hanging="109"/>
            </w:pPr>
            <w:r>
              <w:rPr>
                <w:rFonts w:ascii="MS PGothic" w:hAnsi="MS PGothic" w:eastAsia="MS PGothic" w:cs="MS PGothic"/>
                <w:spacing w:val="8"/>
              </w:rPr>
              <w:t>⑩</w:t>
            </w:r>
            <w:r>
              <w:rPr>
                <w:spacing w:val="8"/>
              </w:rPr>
              <w:t>菜地看</w:t>
            </w:r>
            <w:r>
              <w:rPr>
                <w:spacing w:val="6"/>
              </w:rPr>
              <w:t>护用房</w:t>
            </w:r>
          </w:p>
        </w:tc>
        <w:tc>
          <w:tcPr>
            <w:tcW w:w="715" w:type="dxa"/>
            <w:vAlign w:val="top"/>
          </w:tcPr>
          <w:p w14:paraId="6854F9DB">
            <w:pPr>
              <w:spacing w:line="292" w:lineRule="auto"/>
              <w:rPr>
                <w:rFonts w:ascii="Arial"/>
                <w:sz w:val="21"/>
              </w:rPr>
            </w:pPr>
          </w:p>
          <w:p w14:paraId="7D009A76">
            <w:pPr>
              <w:spacing w:line="293" w:lineRule="auto"/>
              <w:rPr>
                <w:rFonts w:ascii="Arial"/>
                <w:sz w:val="21"/>
              </w:rPr>
            </w:pPr>
          </w:p>
          <w:p w14:paraId="4B4EB22C">
            <w:pPr>
              <w:pStyle w:val="6"/>
              <w:spacing w:before="65" w:line="252" w:lineRule="auto"/>
              <w:ind w:left="145" w:right="148" w:firstLine="2"/>
              <w:jc w:val="both"/>
            </w:pPr>
            <w:r>
              <w:rPr>
                <w:spacing w:val="3"/>
              </w:rPr>
              <w:t>居住</w:t>
            </w:r>
            <w:r>
              <w:rPr>
                <w:spacing w:val="5"/>
              </w:rPr>
              <w:t>及农用物资仓</w:t>
            </w:r>
            <w:r>
              <w:rPr>
                <w:spacing w:val="35"/>
                <w:w w:val="136"/>
              </w:rPr>
              <w:t>库</w:t>
            </w:r>
          </w:p>
        </w:tc>
        <w:tc>
          <w:tcPr>
            <w:tcW w:w="667" w:type="dxa"/>
            <w:vAlign w:val="top"/>
          </w:tcPr>
          <w:p w14:paraId="4D514E4D">
            <w:pPr>
              <w:spacing w:line="247" w:lineRule="auto"/>
              <w:rPr>
                <w:rFonts w:ascii="Arial"/>
                <w:sz w:val="21"/>
              </w:rPr>
            </w:pPr>
          </w:p>
          <w:p w14:paraId="6A6C2C36">
            <w:pPr>
              <w:spacing w:line="248" w:lineRule="auto"/>
              <w:rPr>
                <w:rFonts w:ascii="Arial"/>
                <w:sz w:val="21"/>
              </w:rPr>
            </w:pPr>
          </w:p>
          <w:p w14:paraId="1CDD108C">
            <w:pPr>
              <w:spacing w:line="248" w:lineRule="auto"/>
              <w:rPr>
                <w:rFonts w:ascii="Arial"/>
                <w:sz w:val="21"/>
              </w:rPr>
            </w:pPr>
          </w:p>
          <w:p w14:paraId="3FA6E98E">
            <w:pPr>
              <w:spacing w:line="248" w:lineRule="auto"/>
              <w:rPr>
                <w:rFonts w:ascii="Arial"/>
                <w:sz w:val="21"/>
              </w:rPr>
            </w:pPr>
          </w:p>
          <w:p w14:paraId="4AE6B29A">
            <w:pPr>
              <w:pStyle w:val="6"/>
              <w:spacing w:before="65" w:line="253" w:lineRule="auto"/>
              <w:ind w:left="145" w:right="150"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882" w:type="dxa"/>
            <w:vAlign w:val="top"/>
          </w:tcPr>
          <w:p w14:paraId="509C9F97">
            <w:pPr>
              <w:spacing w:line="358" w:lineRule="auto"/>
              <w:rPr>
                <w:rFonts w:ascii="Arial"/>
                <w:sz w:val="21"/>
              </w:rPr>
            </w:pPr>
          </w:p>
          <w:p w14:paraId="4F36727E">
            <w:pPr>
              <w:spacing w:line="358" w:lineRule="auto"/>
              <w:rPr>
                <w:rFonts w:ascii="Arial"/>
                <w:sz w:val="21"/>
              </w:rPr>
            </w:pPr>
          </w:p>
          <w:p w14:paraId="749761D9">
            <w:pPr>
              <w:pStyle w:val="6"/>
              <w:spacing w:before="65" w:line="253" w:lineRule="auto"/>
              <w:ind w:left="125" w:right="125"/>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24" w:type="dxa"/>
            <w:vAlign w:val="top"/>
          </w:tcPr>
          <w:p w14:paraId="66524A6D">
            <w:pPr>
              <w:spacing w:line="245" w:lineRule="auto"/>
              <w:rPr>
                <w:rFonts w:ascii="Arial"/>
                <w:sz w:val="21"/>
              </w:rPr>
            </w:pPr>
          </w:p>
          <w:p w14:paraId="5DE2A8A0">
            <w:pPr>
              <w:spacing w:line="245" w:lineRule="auto"/>
              <w:rPr>
                <w:rFonts w:ascii="Arial"/>
                <w:sz w:val="21"/>
              </w:rPr>
            </w:pPr>
          </w:p>
          <w:p w14:paraId="72F4C7CD">
            <w:pPr>
              <w:spacing w:line="245" w:lineRule="auto"/>
              <w:rPr>
                <w:rFonts w:ascii="Arial"/>
                <w:sz w:val="21"/>
              </w:rPr>
            </w:pPr>
          </w:p>
          <w:p w14:paraId="08CC7C12">
            <w:pPr>
              <w:pStyle w:val="6"/>
              <w:spacing w:before="65" w:line="228" w:lineRule="auto"/>
              <w:ind w:left="190"/>
            </w:pPr>
            <w:r>
              <w:rPr>
                <w:spacing w:val="7"/>
              </w:rPr>
              <w:t>单回线路东</w:t>
            </w:r>
          </w:p>
          <w:p w14:paraId="0B508B1F">
            <w:pPr>
              <w:pStyle w:val="6"/>
              <w:spacing w:before="24" w:line="228" w:lineRule="auto"/>
              <w:ind w:left="108"/>
              <w:rPr>
                <w:rFonts w:ascii="Times New Roman" w:hAnsi="Times New Roman" w:eastAsia="Times New Roman" w:cs="Times New Roman"/>
              </w:rPr>
            </w:pPr>
            <w:r>
              <w:rPr>
                <w:spacing w:val="16"/>
              </w:rPr>
              <w:t>侧，</w:t>
            </w:r>
            <w:r>
              <w:rPr>
                <w:rFonts w:ascii="Times New Roman" w:hAnsi="Times New Roman" w:eastAsia="Times New Roman" w:cs="Times New Roman"/>
              </w:rPr>
              <w:t>BJ</w:t>
            </w:r>
            <w:r>
              <w:rPr>
                <w:rFonts w:ascii="Times New Roman" w:hAnsi="Times New Roman" w:eastAsia="Times New Roman" w:cs="Times New Roman"/>
                <w:spacing w:val="16"/>
              </w:rPr>
              <w:t>6</w:t>
            </w:r>
            <w:r>
              <w:rPr>
                <w:rFonts w:ascii="Times New Roman" w:hAnsi="Times New Roman" w:eastAsia="Times New Roman" w:cs="Times New Roman"/>
              </w:rPr>
              <w:t>GGG</w:t>
            </w:r>
          </w:p>
          <w:p w14:paraId="32DAACC0">
            <w:pPr>
              <w:pStyle w:val="6"/>
              <w:spacing w:before="24" w:line="228" w:lineRule="auto"/>
              <w:ind w:left="189"/>
            </w:pPr>
            <w:r>
              <w:rPr>
                <w:spacing w:val="8"/>
              </w:rPr>
              <w:t>塔基西南侧</w:t>
            </w:r>
          </w:p>
          <w:p w14:paraId="2AC01F89">
            <w:pPr>
              <w:spacing w:before="48" w:line="195" w:lineRule="auto"/>
              <w:ind w:left="49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100m</w:t>
            </w:r>
          </w:p>
        </w:tc>
        <w:tc>
          <w:tcPr>
            <w:tcW w:w="1416" w:type="dxa"/>
            <w:tcBorders>
              <w:right w:val="single" w:color="000000" w:sz="2" w:space="0"/>
            </w:tcBorders>
            <w:vAlign w:val="top"/>
          </w:tcPr>
          <w:p w14:paraId="76DDD494">
            <w:pPr>
              <w:spacing w:line="285" w:lineRule="auto"/>
              <w:rPr>
                <w:rFonts w:ascii="Arial"/>
                <w:sz w:val="21"/>
              </w:rPr>
            </w:pPr>
          </w:p>
          <w:p w14:paraId="06443D2F">
            <w:pPr>
              <w:spacing w:line="285" w:lineRule="auto"/>
              <w:rPr>
                <w:rFonts w:ascii="Arial"/>
                <w:sz w:val="21"/>
              </w:rPr>
            </w:pPr>
          </w:p>
          <w:p w14:paraId="56665A11">
            <w:pPr>
              <w:spacing w:line="286" w:lineRule="auto"/>
              <w:rPr>
                <w:rFonts w:ascii="Arial"/>
                <w:sz w:val="21"/>
              </w:rPr>
            </w:pPr>
          </w:p>
          <w:p w14:paraId="7A922B5E">
            <w:pPr>
              <w:pStyle w:val="6"/>
              <w:spacing w:before="65" w:line="252" w:lineRule="auto"/>
              <w:ind w:left="133" w:right="127" w:firstLine="35"/>
              <w:jc w:val="both"/>
              <w:rPr>
                <w:rFonts w:ascii="Times New Roman" w:hAnsi="Times New Roman" w:eastAsia="Times New Roman" w:cs="Times New Roman"/>
              </w:rPr>
            </w:pPr>
            <w:r>
              <w:t>位于</w:t>
            </w:r>
            <w:r>
              <w:rPr>
                <w:spacing w:val="-44"/>
              </w:rPr>
              <w:t xml:space="preserve"> </w:t>
            </w:r>
            <w:r>
              <w:rPr>
                <w:rFonts w:ascii="Times New Roman" w:hAnsi="Times New Roman" w:eastAsia="Times New Roman" w:cs="Times New Roman"/>
              </w:rPr>
              <w:t>B</w:t>
            </w:r>
            <w:r>
              <w:rPr>
                <w:rFonts w:ascii="Times New Roman" w:hAnsi="Times New Roman" w:eastAsia="Times New Roman" w:cs="Times New Roman"/>
                <w:spacing w:val="34"/>
              </w:rPr>
              <w:t xml:space="preserve"> </w:t>
            </w:r>
            <w:r>
              <w:t>回线</w:t>
            </w:r>
            <w:r>
              <w:rPr>
                <w:spacing w:val="18"/>
              </w:rPr>
              <w:t>边导线地面</w:t>
            </w:r>
            <w:r>
              <w:rPr>
                <w:spacing w:val="4"/>
              </w:rPr>
              <w:t>投影东侧</w:t>
            </w:r>
            <w:r>
              <w:rPr>
                <w:spacing w:val="-33"/>
              </w:rPr>
              <w:t xml:space="preserve"> </w:t>
            </w:r>
            <w:r>
              <w:rPr>
                <w:rFonts w:ascii="Times New Roman" w:hAnsi="Times New Roman" w:eastAsia="Times New Roman" w:cs="Times New Roman"/>
                <w:spacing w:val="4"/>
              </w:rPr>
              <w:t>5m</w:t>
            </w:r>
          </w:p>
        </w:tc>
        <w:tc>
          <w:tcPr>
            <w:tcW w:w="1136" w:type="dxa"/>
            <w:tcBorders>
              <w:left w:val="single" w:color="000000" w:sz="2" w:space="0"/>
              <w:right w:val="single" w:color="000000" w:sz="2" w:space="0"/>
            </w:tcBorders>
            <w:vAlign w:val="top"/>
          </w:tcPr>
          <w:p w14:paraId="3F575F18">
            <w:pPr>
              <w:spacing w:line="292" w:lineRule="auto"/>
              <w:rPr>
                <w:rFonts w:ascii="Arial"/>
                <w:sz w:val="21"/>
              </w:rPr>
            </w:pPr>
          </w:p>
          <w:p w14:paraId="0A627996">
            <w:pPr>
              <w:spacing w:line="292" w:lineRule="auto"/>
              <w:rPr>
                <w:rFonts w:ascii="Arial"/>
                <w:sz w:val="21"/>
              </w:rPr>
            </w:pPr>
          </w:p>
          <w:p w14:paraId="758A9270">
            <w:pPr>
              <w:spacing w:line="292" w:lineRule="auto"/>
              <w:rPr>
                <w:rFonts w:ascii="Arial"/>
                <w:sz w:val="21"/>
              </w:rPr>
            </w:pPr>
          </w:p>
          <w:p w14:paraId="2E4FAD61">
            <w:pPr>
              <w:spacing w:line="293" w:lineRule="auto"/>
              <w:rPr>
                <w:rFonts w:ascii="Arial"/>
                <w:sz w:val="21"/>
              </w:rPr>
            </w:pPr>
          </w:p>
          <w:p w14:paraId="036A3B09">
            <w:pPr>
              <w:spacing w:before="58" w:line="195" w:lineRule="auto"/>
              <w:ind w:left="40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10m</w:t>
            </w:r>
          </w:p>
        </w:tc>
        <w:tc>
          <w:tcPr>
            <w:tcW w:w="646" w:type="dxa"/>
            <w:tcBorders>
              <w:left w:val="single" w:color="000000" w:sz="2" w:space="0"/>
            </w:tcBorders>
            <w:vAlign w:val="top"/>
          </w:tcPr>
          <w:p w14:paraId="5E1BE99E">
            <w:pPr>
              <w:spacing w:line="293" w:lineRule="auto"/>
              <w:rPr>
                <w:rFonts w:ascii="Arial"/>
                <w:sz w:val="21"/>
              </w:rPr>
            </w:pPr>
          </w:p>
          <w:p w14:paraId="15A073F5">
            <w:pPr>
              <w:spacing w:line="293" w:lineRule="auto"/>
              <w:rPr>
                <w:rFonts w:ascii="Arial"/>
                <w:sz w:val="21"/>
              </w:rPr>
            </w:pPr>
          </w:p>
          <w:p w14:paraId="0C35042C">
            <w:pPr>
              <w:spacing w:line="293" w:lineRule="auto"/>
              <w:rPr>
                <w:rFonts w:ascii="Arial"/>
                <w:sz w:val="21"/>
              </w:rPr>
            </w:pPr>
          </w:p>
          <w:p w14:paraId="1A40BAC8">
            <w:pPr>
              <w:spacing w:line="293" w:lineRule="auto"/>
              <w:rPr>
                <w:rFonts w:ascii="Arial"/>
                <w:sz w:val="21"/>
              </w:rPr>
            </w:pPr>
          </w:p>
          <w:p w14:paraId="152A722F">
            <w:pPr>
              <w:spacing w:before="58" w:line="192"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3953" w:type="dxa"/>
            <w:vAlign w:val="top"/>
          </w:tcPr>
          <w:p w14:paraId="51733F00">
            <w:pPr>
              <w:spacing w:line="2599" w:lineRule="exact"/>
              <w:ind w:firstLine="234"/>
            </w:pPr>
            <w:r>
              <w:rPr>
                <w:position w:val="-51"/>
              </w:rPr>
              <w:drawing>
                <wp:inline distT="0" distB="0" distL="0" distR="0">
                  <wp:extent cx="2207895" cy="1650365"/>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258"/>
                          <a:stretch>
                            <a:fillRect/>
                          </a:stretch>
                        </pic:blipFill>
                        <pic:spPr>
                          <a:xfrm>
                            <a:off x="0" y="0"/>
                            <a:ext cx="2208276" cy="1650365"/>
                          </a:xfrm>
                          <a:prstGeom prst="rect">
                            <a:avLst/>
                          </a:prstGeom>
                        </pic:spPr>
                      </pic:pic>
                    </a:graphicData>
                  </a:graphic>
                </wp:inline>
              </w:drawing>
            </w:r>
          </w:p>
        </w:tc>
        <w:tc>
          <w:tcPr>
            <w:tcW w:w="1231" w:type="dxa"/>
            <w:vMerge w:val="restart"/>
            <w:tcBorders>
              <w:bottom w:val="nil"/>
            </w:tcBorders>
            <w:vAlign w:val="top"/>
          </w:tcPr>
          <w:p w14:paraId="023BB4FF">
            <w:pPr>
              <w:rPr>
                <w:rFonts w:ascii="Arial"/>
                <w:sz w:val="21"/>
              </w:rPr>
            </w:pPr>
          </w:p>
        </w:tc>
      </w:tr>
      <w:tr w14:paraId="0DED1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9" w:hRule="atLeast"/>
        </w:trPr>
        <w:tc>
          <w:tcPr>
            <w:tcW w:w="848" w:type="dxa"/>
            <w:vMerge w:val="continue"/>
            <w:tcBorders>
              <w:top w:val="nil"/>
              <w:right w:val="single" w:color="000000" w:sz="2" w:space="0"/>
            </w:tcBorders>
            <w:vAlign w:val="top"/>
          </w:tcPr>
          <w:p w14:paraId="7B622939">
            <w:pPr>
              <w:rPr>
                <w:rFonts w:ascii="Arial"/>
                <w:sz w:val="21"/>
              </w:rPr>
            </w:pPr>
          </w:p>
        </w:tc>
        <w:tc>
          <w:tcPr>
            <w:tcW w:w="1180" w:type="dxa"/>
            <w:tcBorders>
              <w:left w:val="single" w:color="000000" w:sz="2" w:space="0"/>
            </w:tcBorders>
            <w:vAlign w:val="top"/>
          </w:tcPr>
          <w:p w14:paraId="51F2CC7A">
            <w:pPr>
              <w:spacing w:line="248" w:lineRule="auto"/>
              <w:rPr>
                <w:rFonts w:ascii="Arial"/>
                <w:sz w:val="21"/>
              </w:rPr>
            </w:pPr>
          </w:p>
          <w:p w14:paraId="299784C7">
            <w:pPr>
              <w:spacing w:line="249" w:lineRule="auto"/>
              <w:rPr>
                <w:rFonts w:ascii="Arial"/>
                <w:sz w:val="21"/>
              </w:rPr>
            </w:pPr>
          </w:p>
          <w:p w14:paraId="5BF43EC8">
            <w:pPr>
              <w:spacing w:line="249" w:lineRule="auto"/>
              <w:rPr>
                <w:rFonts w:ascii="Arial"/>
                <w:sz w:val="21"/>
              </w:rPr>
            </w:pPr>
          </w:p>
          <w:p w14:paraId="28FA7E1E">
            <w:pPr>
              <w:spacing w:line="249" w:lineRule="auto"/>
              <w:rPr>
                <w:rFonts w:ascii="Arial"/>
                <w:sz w:val="21"/>
              </w:rPr>
            </w:pPr>
          </w:p>
          <w:p w14:paraId="3BDF4646">
            <w:pPr>
              <w:pStyle w:val="6"/>
              <w:spacing w:before="65" w:line="252" w:lineRule="auto"/>
              <w:ind w:left="275" w:right="170" w:hanging="109"/>
            </w:pPr>
            <w:r>
              <w:rPr>
                <w:rFonts w:ascii="MS PGothic" w:hAnsi="MS PGothic" w:eastAsia="MS PGothic" w:cs="MS PGothic"/>
                <w:spacing w:val="8"/>
              </w:rPr>
              <w:t>⑰</w:t>
            </w:r>
            <w:r>
              <w:rPr>
                <w:spacing w:val="8"/>
              </w:rPr>
              <w:t>菜地看</w:t>
            </w:r>
            <w:r>
              <w:rPr>
                <w:spacing w:val="6"/>
              </w:rPr>
              <w:t>护用房</w:t>
            </w:r>
          </w:p>
        </w:tc>
        <w:tc>
          <w:tcPr>
            <w:tcW w:w="715" w:type="dxa"/>
            <w:vAlign w:val="top"/>
          </w:tcPr>
          <w:p w14:paraId="3BF77335">
            <w:pPr>
              <w:spacing w:line="295" w:lineRule="auto"/>
              <w:rPr>
                <w:rFonts w:ascii="Arial"/>
                <w:sz w:val="21"/>
              </w:rPr>
            </w:pPr>
          </w:p>
          <w:p w14:paraId="07C7AD52">
            <w:pPr>
              <w:spacing w:line="296" w:lineRule="auto"/>
              <w:rPr>
                <w:rFonts w:ascii="Arial"/>
                <w:sz w:val="21"/>
              </w:rPr>
            </w:pPr>
          </w:p>
          <w:p w14:paraId="5A61C5DE">
            <w:pPr>
              <w:pStyle w:val="6"/>
              <w:spacing w:before="65" w:line="251" w:lineRule="auto"/>
              <w:ind w:left="145" w:right="148" w:firstLine="2"/>
              <w:jc w:val="both"/>
            </w:pPr>
            <w:r>
              <w:rPr>
                <w:spacing w:val="3"/>
              </w:rPr>
              <w:t>居住</w:t>
            </w:r>
            <w:r>
              <w:rPr>
                <w:spacing w:val="5"/>
              </w:rPr>
              <w:t>及农用物资仓</w:t>
            </w:r>
            <w:r>
              <w:rPr>
                <w:spacing w:val="35"/>
                <w:w w:val="136"/>
              </w:rPr>
              <w:t>库</w:t>
            </w:r>
          </w:p>
        </w:tc>
        <w:tc>
          <w:tcPr>
            <w:tcW w:w="667" w:type="dxa"/>
            <w:vAlign w:val="top"/>
          </w:tcPr>
          <w:p w14:paraId="6B34EEDD">
            <w:pPr>
              <w:spacing w:line="248" w:lineRule="auto"/>
              <w:rPr>
                <w:rFonts w:ascii="Arial"/>
                <w:sz w:val="21"/>
              </w:rPr>
            </w:pPr>
          </w:p>
          <w:p w14:paraId="7E9592EE">
            <w:pPr>
              <w:spacing w:line="249" w:lineRule="auto"/>
              <w:rPr>
                <w:rFonts w:ascii="Arial"/>
                <w:sz w:val="21"/>
              </w:rPr>
            </w:pPr>
          </w:p>
          <w:p w14:paraId="44F35EC6">
            <w:pPr>
              <w:spacing w:line="249" w:lineRule="auto"/>
              <w:rPr>
                <w:rFonts w:ascii="Arial"/>
                <w:sz w:val="21"/>
              </w:rPr>
            </w:pPr>
          </w:p>
          <w:p w14:paraId="6D4EEB1D">
            <w:pPr>
              <w:spacing w:line="249" w:lineRule="auto"/>
              <w:rPr>
                <w:rFonts w:ascii="Arial"/>
                <w:sz w:val="21"/>
              </w:rPr>
            </w:pPr>
          </w:p>
          <w:p w14:paraId="66AE3430">
            <w:pPr>
              <w:pStyle w:val="6"/>
              <w:spacing w:before="65" w:line="253" w:lineRule="auto"/>
              <w:ind w:left="145" w:right="150"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882" w:type="dxa"/>
            <w:vAlign w:val="top"/>
          </w:tcPr>
          <w:p w14:paraId="5FCFAB57">
            <w:pPr>
              <w:rPr>
                <w:rFonts w:ascii="Arial"/>
                <w:sz w:val="21"/>
              </w:rPr>
            </w:pPr>
          </w:p>
          <w:p w14:paraId="576460EA">
            <w:pPr>
              <w:rPr>
                <w:rFonts w:ascii="Arial"/>
                <w:sz w:val="21"/>
              </w:rPr>
            </w:pPr>
          </w:p>
          <w:p w14:paraId="5F31D27E">
            <w:pPr>
              <w:rPr>
                <w:rFonts w:ascii="Arial"/>
                <w:sz w:val="21"/>
              </w:rPr>
            </w:pPr>
          </w:p>
          <w:p w14:paraId="18D32BBF">
            <w:pPr>
              <w:pStyle w:val="6"/>
              <w:spacing w:before="65" w:line="253" w:lineRule="auto"/>
              <w:ind w:left="125" w:right="125"/>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24" w:type="dxa"/>
            <w:vAlign w:val="top"/>
          </w:tcPr>
          <w:p w14:paraId="611DAEB4">
            <w:pPr>
              <w:spacing w:line="246" w:lineRule="auto"/>
              <w:rPr>
                <w:rFonts w:ascii="Arial"/>
                <w:sz w:val="21"/>
              </w:rPr>
            </w:pPr>
          </w:p>
          <w:p w14:paraId="3EFE21D1">
            <w:pPr>
              <w:spacing w:line="246" w:lineRule="auto"/>
              <w:rPr>
                <w:rFonts w:ascii="Arial"/>
                <w:sz w:val="21"/>
              </w:rPr>
            </w:pPr>
          </w:p>
          <w:p w14:paraId="792726ED">
            <w:pPr>
              <w:spacing w:line="247" w:lineRule="auto"/>
              <w:rPr>
                <w:rFonts w:ascii="Arial"/>
                <w:sz w:val="21"/>
              </w:rPr>
            </w:pPr>
          </w:p>
          <w:p w14:paraId="58F70AA3">
            <w:pPr>
              <w:pStyle w:val="6"/>
              <w:spacing w:before="65" w:line="228" w:lineRule="auto"/>
              <w:ind w:left="190"/>
            </w:pPr>
            <w:r>
              <w:rPr>
                <w:spacing w:val="7"/>
              </w:rPr>
              <w:t>单回线路西</w:t>
            </w:r>
          </w:p>
          <w:p w14:paraId="26BB2C06">
            <w:pPr>
              <w:pStyle w:val="6"/>
              <w:spacing w:before="24" w:line="228" w:lineRule="auto"/>
              <w:ind w:left="108"/>
            </w:pPr>
            <w:r>
              <w:rPr>
                <w:spacing w:val="8"/>
              </w:rPr>
              <w:t>侧，</w:t>
            </w:r>
            <w:r>
              <w:rPr>
                <w:rFonts w:ascii="Times New Roman" w:hAnsi="Times New Roman" w:eastAsia="Times New Roman" w:cs="Times New Roman"/>
              </w:rPr>
              <w:t>BZ</w:t>
            </w:r>
            <w:r>
              <w:rPr>
                <w:rFonts w:ascii="Times New Roman" w:hAnsi="Times New Roman" w:eastAsia="Times New Roman" w:cs="Times New Roman"/>
                <w:spacing w:val="8"/>
              </w:rPr>
              <w:t xml:space="preserve">7G </w:t>
            </w:r>
            <w:r>
              <w:rPr>
                <w:spacing w:val="8"/>
              </w:rPr>
              <w:t>塔</w:t>
            </w:r>
          </w:p>
          <w:p w14:paraId="5C829833">
            <w:pPr>
              <w:pStyle w:val="6"/>
              <w:spacing w:before="24" w:line="228" w:lineRule="auto"/>
              <w:ind w:left="292"/>
            </w:pPr>
            <w:r>
              <w:rPr>
                <w:spacing w:val="8"/>
              </w:rPr>
              <w:t>基西南侧</w:t>
            </w:r>
          </w:p>
          <w:p w14:paraId="2172A09B">
            <w:pPr>
              <w:spacing w:before="48" w:line="195" w:lineRule="auto"/>
              <w:ind w:left="52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50m</w:t>
            </w:r>
          </w:p>
        </w:tc>
        <w:tc>
          <w:tcPr>
            <w:tcW w:w="1416" w:type="dxa"/>
            <w:tcBorders>
              <w:right w:val="single" w:color="000000" w:sz="2" w:space="0"/>
            </w:tcBorders>
            <w:vAlign w:val="top"/>
          </w:tcPr>
          <w:p w14:paraId="5F5BACD2">
            <w:pPr>
              <w:spacing w:line="246" w:lineRule="auto"/>
              <w:rPr>
                <w:rFonts w:ascii="Arial"/>
                <w:sz w:val="21"/>
              </w:rPr>
            </w:pPr>
          </w:p>
          <w:p w14:paraId="403691AC">
            <w:pPr>
              <w:spacing w:line="247" w:lineRule="auto"/>
              <w:rPr>
                <w:rFonts w:ascii="Arial"/>
                <w:sz w:val="21"/>
              </w:rPr>
            </w:pPr>
          </w:p>
          <w:p w14:paraId="7A4CE303">
            <w:pPr>
              <w:spacing w:line="247" w:lineRule="auto"/>
              <w:rPr>
                <w:rFonts w:ascii="Arial"/>
                <w:sz w:val="21"/>
              </w:rPr>
            </w:pPr>
          </w:p>
          <w:p w14:paraId="2044A475">
            <w:pPr>
              <w:pStyle w:val="6"/>
              <w:spacing w:before="65" w:line="228" w:lineRule="auto"/>
              <w:ind w:left="169"/>
            </w:pPr>
            <w:r>
              <w:t>位于</w:t>
            </w:r>
            <w:r>
              <w:rPr>
                <w:spacing w:val="-44"/>
              </w:rPr>
              <w:t xml:space="preserve"> </w:t>
            </w:r>
            <w:r>
              <w:rPr>
                <w:rFonts w:ascii="Times New Roman" w:hAnsi="Times New Roman" w:eastAsia="Times New Roman" w:cs="Times New Roman"/>
              </w:rPr>
              <w:t>B</w:t>
            </w:r>
            <w:r>
              <w:rPr>
                <w:rFonts w:ascii="Times New Roman" w:hAnsi="Times New Roman" w:eastAsia="Times New Roman" w:cs="Times New Roman"/>
                <w:spacing w:val="34"/>
              </w:rPr>
              <w:t xml:space="preserve"> </w:t>
            </w:r>
            <w:r>
              <w:t>回线</w:t>
            </w:r>
          </w:p>
          <w:p w14:paraId="1815BA66">
            <w:pPr>
              <w:pStyle w:val="6"/>
              <w:spacing w:before="24" w:line="228" w:lineRule="auto"/>
              <w:ind w:left="185"/>
            </w:pPr>
            <w:r>
              <w:rPr>
                <w:spacing w:val="8"/>
              </w:rPr>
              <w:t>边导线地面</w:t>
            </w:r>
          </w:p>
          <w:p w14:paraId="2DE97068">
            <w:pPr>
              <w:pStyle w:val="6"/>
              <w:spacing w:before="23" w:line="228" w:lineRule="auto"/>
              <w:ind w:left="291"/>
            </w:pPr>
            <w:r>
              <w:rPr>
                <w:spacing w:val="7"/>
              </w:rPr>
              <w:t>投影西侧</w:t>
            </w:r>
          </w:p>
          <w:p w14:paraId="4F2060DA">
            <w:pPr>
              <w:spacing w:before="48" w:line="195" w:lineRule="auto"/>
              <w:ind w:left="54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15m</w:t>
            </w:r>
          </w:p>
        </w:tc>
        <w:tc>
          <w:tcPr>
            <w:tcW w:w="1136" w:type="dxa"/>
            <w:tcBorders>
              <w:left w:val="single" w:color="000000" w:sz="2" w:space="0"/>
              <w:right w:val="single" w:color="000000" w:sz="2" w:space="0"/>
            </w:tcBorders>
            <w:vAlign w:val="top"/>
          </w:tcPr>
          <w:p w14:paraId="78AB375F">
            <w:pPr>
              <w:spacing w:line="293" w:lineRule="auto"/>
              <w:rPr>
                <w:rFonts w:ascii="Arial"/>
                <w:sz w:val="21"/>
              </w:rPr>
            </w:pPr>
          </w:p>
          <w:p w14:paraId="7E3F8401">
            <w:pPr>
              <w:spacing w:line="293" w:lineRule="auto"/>
              <w:rPr>
                <w:rFonts w:ascii="Arial"/>
                <w:sz w:val="21"/>
              </w:rPr>
            </w:pPr>
          </w:p>
          <w:p w14:paraId="65499B0C">
            <w:pPr>
              <w:spacing w:line="294" w:lineRule="auto"/>
              <w:rPr>
                <w:rFonts w:ascii="Arial"/>
                <w:sz w:val="21"/>
              </w:rPr>
            </w:pPr>
          </w:p>
          <w:p w14:paraId="622371FD">
            <w:pPr>
              <w:spacing w:line="294" w:lineRule="auto"/>
              <w:rPr>
                <w:rFonts w:ascii="Arial"/>
                <w:sz w:val="21"/>
              </w:rPr>
            </w:pPr>
          </w:p>
          <w:p w14:paraId="2127CC86">
            <w:pPr>
              <w:spacing w:before="57" w:line="195" w:lineRule="auto"/>
              <w:ind w:left="38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20m</w:t>
            </w:r>
          </w:p>
        </w:tc>
        <w:tc>
          <w:tcPr>
            <w:tcW w:w="646" w:type="dxa"/>
            <w:tcBorders>
              <w:left w:val="single" w:color="000000" w:sz="2" w:space="0"/>
            </w:tcBorders>
            <w:vAlign w:val="top"/>
          </w:tcPr>
          <w:p w14:paraId="7EA9316C">
            <w:pPr>
              <w:spacing w:line="294" w:lineRule="auto"/>
              <w:rPr>
                <w:rFonts w:ascii="Arial"/>
                <w:sz w:val="21"/>
              </w:rPr>
            </w:pPr>
          </w:p>
          <w:p w14:paraId="403B076E">
            <w:pPr>
              <w:spacing w:line="294" w:lineRule="auto"/>
              <w:rPr>
                <w:rFonts w:ascii="Arial"/>
                <w:sz w:val="21"/>
              </w:rPr>
            </w:pPr>
          </w:p>
          <w:p w14:paraId="2EBDABD4">
            <w:pPr>
              <w:spacing w:line="294" w:lineRule="auto"/>
              <w:rPr>
                <w:rFonts w:ascii="Arial"/>
                <w:sz w:val="21"/>
              </w:rPr>
            </w:pPr>
          </w:p>
          <w:p w14:paraId="1B43FC5B">
            <w:pPr>
              <w:spacing w:line="294" w:lineRule="auto"/>
              <w:rPr>
                <w:rFonts w:ascii="Arial"/>
                <w:sz w:val="21"/>
              </w:rPr>
            </w:pPr>
          </w:p>
          <w:p w14:paraId="58440AD3">
            <w:pPr>
              <w:spacing w:before="58" w:line="192"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3953" w:type="dxa"/>
            <w:vAlign w:val="top"/>
          </w:tcPr>
          <w:p w14:paraId="6A190543">
            <w:pPr>
              <w:spacing w:before="3" w:line="2596" w:lineRule="exact"/>
              <w:ind w:firstLine="205"/>
            </w:pPr>
            <w:r>
              <w:rPr>
                <w:position w:val="-51"/>
              </w:rPr>
              <w:drawing>
                <wp:inline distT="0" distB="0" distL="0" distR="0">
                  <wp:extent cx="2244725" cy="1647825"/>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259"/>
                          <a:stretch>
                            <a:fillRect/>
                          </a:stretch>
                        </pic:blipFill>
                        <pic:spPr>
                          <a:xfrm>
                            <a:off x="0" y="0"/>
                            <a:ext cx="2244852" cy="1647951"/>
                          </a:xfrm>
                          <a:prstGeom prst="rect">
                            <a:avLst/>
                          </a:prstGeom>
                        </pic:spPr>
                      </pic:pic>
                    </a:graphicData>
                  </a:graphic>
                </wp:inline>
              </w:drawing>
            </w:r>
          </w:p>
        </w:tc>
        <w:tc>
          <w:tcPr>
            <w:tcW w:w="1231" w:type="dxa"/>
            <w:vMerge w:val="continue"/>
            <w:tcBorders>
              <w:top w:val="nil"/>
            </w:tcBorders>
            <w:vAlign w:val="top"/>
          </w:tcPr>
          <w:p w14:paraId="3DF9C913">
            <w:pPr>
              <w:rPr>
                <w:rFonts w:ascii="Arial"/>
                <w:sz w:val="21"/>
              </w:rPr>
            </w:pPr>
          </w:p>
        </w:tc>
      </w:tr>
      <w:tr w14:paraId="14311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4098" w:type="dxa"/>
            <w:gridSpan w:val="11"/>
            <w:vAlign w:val="top"/>
          </w:tcPr>
          <w:p w14:paraId="2C6A57BB">
            <w:pPr>
              <w:pStyle w:val="6"/>
              <w:spacing w:before="39" w:line="234" w:lineRule="auto"/>
              <w:ind w:left="115" w:right="53" w:hanging="2"/>
            </w:pPr>
            <w:r>
              <w:rPr>
                <w:spacing w:val="9"/>
              </w:rPr>
              <w:t>注：环境保护目标离线路中心及离边导线的距离，按照本项目最长水平相距离的塔型（</w:t>
            </w:r>
            <w:r>
              <w:rPr>
                <w:rFonts w:ascii="Times New Roman" w:hAnsi="Times New Roman" w:eastAsia="Times New Roman" w:cs="Times New Roman"/>
                <w:spacing w:val="9"/>
              </w:rPr>
              <w:t>1C2X1-</w:t>
            </w:r>
            <w:r>
              <w:rPr>
                <w:rFonts w:ascii="Times New Roman" w:hAnsi="Times New Roman" w:eastAsia="Times New Roman" w:cs="Times New Roman"/>
              </w:rPr>
              <w:t>JD</w:t>
            </w:r>
            <w:r>
              <w:rPr>
                <w:rFonts w:ascii="Times New Roman" w:hAnsi="Times New Roman" w:eastAsia="Times New Roman" w:cs="Times New Roman"/>
                <w:spacing w:val="9"/>
              </w:rPr>
              <w:t xml:space="preserve"> </w:t>
            </w:r>
            <w:r>
              <w:rPr>
                <w:spacing w:val="9"/>
              </w:rPr>
              <w:t>双回塔、</w:t>
            </w:r>
            <w:r>
              <w:rPr>
                <w:rFonts w:ascii="Times New Roman" w:hAnsi="Times New Roman" w:eastAsia="Times New Roman" w:cs="Times New Roman"/>
                <w:spacing w:val="9"/>
              </w:rPr>
              <w:t>1C1X4-</w:t>
            </w:r>
            <w:r>
              <w:rPr>
                <w:rFonts w:ascii="Times New Roman" w:hAnsi="Times New Roman" w:eastAsia="Times New Roman" w:cs="Times New Roman"/>
                <w:spacing w:val="8"/>
              </w:rPr>
              <w:t>J4</w:t>
            </w:r>
            <w:r>
              <w:rPr>
                <w:rFonts w:ascii="Times New Roman" w:hAnsi="Times New Roman" w:eastAsia="Times New Roman" w:cs="Times New Roman"/>
                <w:spacing w:val="16"/>
                <w:w w:val="101"/>
              </w:rPr>
              <w:t xml:space="preserve"> </w:t>
            </w:r>
            <w:r>
              <w:rPr>
                <w:spacing w:val="8"/>
              </w:rPr>
              <w:t>单回塔）考虑，即最长水平相距离</w:t>
            </w:r>
            <w:r>
              <w:rPr>
                <w:spacing w:val="7"/>
              </w:rPr>
              <w:t>取</w:t>
            </w:r>
            <w:r>
              <w:rPr>
                <w:spacing w:val="-34"/>
              </w:rPr>
              <w:t xml:space="preserve"> </w:t>
            </w:r>
            <w:r>
              <w:rPr>
                <w:rFonts w:ascii="Times New Roman" w:hAnsi="Times New Roman" w:eastAsia="Times New Roman" w:cs="Times New Roman"/>
                <w:spacing w:val="7"/>
              </w:rPr>
              <w:t>8.35m</w:t>
            </w:r>
            <w:r>
              <w:rPr>
                <w:rFonts w:ascii="Times New Roman" w:hAnsi="Times New Roman" w:eastAsia="Times New Roman" w:cs="Times New Roman"/>
                <w:spacing w:val="-29"/>
              </w:rPr>
              <w:t xml:space="preserve"> </w:t>
            </w:r>
            <w:r>
              <w:rPr>
                <w:spacing w:val="7"/>
              </w:rPr>
              <w:t>、</w:t>
            </w:r>
            <w:r>
              <w:rPr>
                <w:rFonts w:ascii="Times New Roman" w:hAnsi="Times New Roman" w:eastAsia="Times New Roman" w:cs="Times New Roman"/>
                <w:spacing w:val="7"/>
              </w:rPr>
              <w:t>8.2m</w:t>
            </w:r>
            <w:r>
              <w:rPr>
                <w:rFonts w:ascii="Times New Roman" w:hAnsi="Times New Roman" w:eastAsia="Times New Roman" w:cs="Times New Roman"/>
                <w:spacing w:val="-24"/>
              </w:rPr>
              <w:t xml:space="preserve"> </w:t>
            </w:r>
            <w:r>
              <w:rPr>
                <w:spacing w:val="7"/>
              </w:rPr>
              <w:t>，即线路中心距离边导线水平距离最长为</w:t>
            </w:r>
            <w:r>
              <w:rPr>
                <w:spacing w:val="-44"/>
              </w:rPr>
              <w:t xml:space="preserve"> </w:t>
            </w:r>
            <w:r>
              <w:rPr>
                <w:rFonts w:ascii="Times New Roman" w:hAnsi="Times New Roman" w:eastAsia="Times New Roman" w:cs="Times New Roman"/>
                <w:spacing w:val="7"/>
              </w:rPr>
              <w:t>4.2m</w:t>
            </w:r>
            <w:r>
              <w:rPr>
                <w:rFonts w:ascii="Times New Roman" w:hAnsi="Times New Roman" w:eastAsia="Times New Roman" w:cs="Times New Roman"/>
                <w:spacing w:val="-24"/>
              </w:rPr>
              <w:t xml:space="preserve"> </w:t>
            </w:r>
            <w:r>
              <w:rPr>
                <w:spacing w:val="7"/>
              </w:rPr>
              <w:t>，本次评价按最大电磁环境评价范围</w:t>
            </w:r>
            <w:r>
              <w:rPr>
                <w:spacing w:val="6"/>
              </w:rPr>
              <w:t>考虑，塔基线路中心距离边导线水平距离保守取</w:t>
            </w:r>
            <w:r>
              <w:rPr>
                <w:spacing w:val="-37"/>
              </w:rPr>
              <w:t xml:space="preserve"> </w:t>
            </w:r>
            <w:r>
              <w:rPr>
                <w:rFonts w:ascii="Times New Roman" w:hAnsi="Times New Roman" w:eastAsia="Times New Roman" w:cs="Times New Roman"/>
                <w:spacing w:val="6"/>
              </w:rPr>
              <w:t>5m</w:t>
            </w:r>
            <w:r>
              <w:rPr>
                <w:spacing w:val="6"/>
              </w:rPr>
              <w:t>；</w:t>
            </w:r>
          </w:p>
        </w:tc>
      </w:tr>
    </w:tbl>
    <w:p w14:paraId="4BFAC63A">
      <w:pPr>
        <w:rPr>
          <w:rFonts w:ascii="Arial"/>
          <w:sz w:val="21"/>
        </w:rPr>
      </w:pPr>
    </w:p>
    <w:p w14:paraId="10CDD941">
      <w:pPr>
        <w:rPr>
          <w:rFonts w:ascii="Arial" w:hAnsi="Arial" w:eastAsia="Arial" w:cs="Arial"/>
          <w:sz w:val="21"/>
          <w:szCs w:val="21"/>
        </w:rPr>
        <w:sectPr>
          <w:footerReference r:id="rId91" w:type="default"/>
          <w:pgSz w:w="16840" w:h="11907"/>
          <w:pgMar w:top="400" w:right="1365" w:bottom="1013" w:left="1365" w:header="0" w:footer="851" w:gutter="0"/>
          <w:cols w:space="720" w:num="1"/>
        </w:sectPr>
      </w:pPr>
    </w:p>
    <w:p w14:paraId="7E219659">
      <w:pPr>
        <w:spacing w:before="13"/>
      </w:pPr>
    </w:p>
    <w:p w14:paraId="1B244393">
      <w:pPr>
        <w:spacing w:before="13"/>
      </w:pPr>
    </w:p>
    <w:p w14:paraId="57D213D6">
      <w:pPr>
        <w:spacing w:before="13"/>
      </w:pPr>
    </w:p>
    <w:p w14:paraId="6FC21F81">
      <w:pPr>
        <w:spacing w:before="12"/>
      </w:pPr>
    </w:p>
    <w:tbl>
      <w:tblPr>
        <w:tblStyle w:val="5"/>
        <w:tblW w:w="90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4"/>
        <w:gridCol w:w="122"/>
        <w:gridCol w:w="1061"/>
        <w:gridCol w:w="265"/>
        <w:gridCol w:w="1437"/>
        <w:gridCol w:w="802"/>
        <w:gridCol w:w="968"/>
        <w:gridCol w:w="1093"/>
        <w:gridCol w:w="414"/>
        <w:gridCol w:w="2282"/>
        <w:gridCol w:w="128"/>
      </w:tblGrid>
      <w:tr w14:paraId="53F6EB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0" w:hRule="atLeast"/>
        </w:trPr>
        <w:tc>
          <w:tcPr>
            <w:tcW w:w="494" w:type="dxa"/>
            <w:vMerge w:val="restart"/>
            <w:tcBorders>
              <w:bottom w:val="nil"/>
            </w:tcBorders>
            <w:textDirection w:val="tbRlV"/>
            <w:vAlign w:val="top"/>
          </w:tcPr>
          <w:p w14:paraId="3F20BB49">
            <w:pPr>
              <w:pStyle w:val="6"/>
              <w:spacing w:before="124" w:line="207" w:lineRule="auto"/>
              <w:ind w:left="6304"/>
              <w:rPr>
                <w:sz w:val="24"/>
                <w:szCs w:val="24"/>
              </w:rPr>
            </w:pPr>
            <w:r>
              <w:rPr>
                <w:spacing w:val="53"/>
                <w:sz w:val="24"/>
                <w:szCs w:val="24"/>
              </w:rPr>
              <w:t>评价标准</w:t>
            </w:r>
          </w:p>
        </w:tc>
        <w:tc>
          <w:tcPr>
            <w:tcW w:w="8572" w:type="dxa"/>
            <w:gridSpan w:val="10"/>
            <w:tcBorders>
              <w:bottom w:val="single" w:color="000000" w:sz="4" w:space="0"/>
            </w:tcBorders>
            <w:vAlign w:val="top"/>
          </w:tcPr>
          <w:p w14:paraId="48F0A95F">
            <w:pPr>
              <w:pStyle w:val="6"/>
              <w:spacing w:before="40" w:line="220" w:lineRule="auto"/>
              <w:ind w:left="116"/>
              <w:rPr>
                <w:sz w:val="24"/>
                <w:szCs w:val="24"/>
              </w:rPr>
            </w:pPr>
            <w:r>
              <w:rPr>
                <w:b/>
                <w:bCs/>
                <w:spacing w:val="-4"/>
                <w:sz w:val="24"/>
                <w:szCs w:val="24"/>
              </w:rPr>
              <w:t>一、环境质量标准</w:t>
            </w:r>
          </w:p>
          <w:p w14:paraId="3E45CD23">
            <w:pPr>
              <w:pStyle w:val="6"/>
              <w:spacing w:before="179" w:line="220" w:lineRule="auto"/>
              <w:ind w:left="599"/>
              <w:rPr>
                <w:sz w:val="24"/>
                <w:szCs w:val="24"/>
              </w:rPr>
            </w:pPr>
            <w:r>
              <w:rPr>
                <w:rFonts w:ascii="Times New Roman" w:hAnsi="Times New Roman" w:eastAsia="Times New Roman" w:cs="Times New Roman"/>
                <w:b/>
                <w:bCs/>
                <w:spacing w:val="-6"/>
                <w:sz w:val="24"/>
                <w:szCs w:val="24"/>
              </w:rPr>
              <w:t>1</w:t>
            </w:r>
            <w:r>
              <w:rPr>
                <w:rFonts w:ascii="Times New Roman" w:hAnsi="Times New Roman" w:eastAsia="Times New Roman" w:cs="Times New Roman"/>
                <w:b/>
                <w:bCs/>
                <w:spacing w:val="-33"/>
                <w:sz w:val="24"/>
                <w:szCs w:val="24"/>
              </w:rPr>
              <w:t xml:space="preserve"> </w:t>
            </w:r>
            <w:r>
              <w:rPr>
                <w:b/>
                <w:bCs/>
                <w:spacing w:val="-6"/>
                <w:sz w:val="24"/>
                <w:szCs w:val="24"/>
              </w:rPr>
              <w:t>、环境空气质量标准</w:t>
            </w:r>
          </w:p>
          <w:p w14:paraId="6E46402E">
            <w:pPr>
              <w:pStyle w:val="6"/>
              <w:spacing w:before="182" w:line="359" w:lineRule="auto"/>
              <w:ind w:left="113" w:right="26" w:firstLine="482"/>
              <w:rPr>
                <w:sz w:val="24"/>
                <w:szCs w:val="24"/>
              </w:rPr>
            </w:pPr>
            <w:r>
              <w:rPr>
                <w:spacing w:val="-2"/>
                <w:sz w:val="24"/>
                <w:szCs w:val="24"/>
              </w:rPr>
              <w:t>项目位于陆良县一般区域，项目所在区域为环境空气质量二类区，环境空气</w:t>
            </w:r>
            <w:r>
              <w:rPr>
                <w:spacing w:val="-4"/>
                <w:sz w:val="24"/>
                <w:szCs w:val="24"/>
              </w:rPr>
              <w:t>质量执行《环境空气质量标准》（</w:t>
            </w:r>
            <w:r>
              <w:rPr>
                <w:rFonts w:ascii="Times New Roman" w:hAnsi="Times New Roman" w:eastAsia="Times New Roman" w:cs="Times New Roman"/>
                <w:spacing w:val="-4"/>
                <w:sz w:val="24"/>
                <w:szCs w:val="24"/>
              </w:rPr>
              <w:t>GB3095-2012</w:t>
            </w:r>
            <w:r>
              <w:rPr>
                <w:spacing w:val="-4"/>
                <w:sz w:val="24"/>
                <w:szCs w:val="24"/>
              </w:rPr>
              <w:t>）二级标准。标准限值详见下表。</w:t>
            </w:r>
          </w:p>
          <w:p w14:paraId="395E67E0">
            <w:pPr>
              <w:pStyle w:val="6"/>
              <w:spacing w:line="209" w:lineRule="auto"/>
              <w:ind w:left="2082"/>
              <w:rPr>
                <w:rFonts w:ascii="Times New Roman" w:hAnsi="Times New Roman" w:eastAsia="Times New Roman" w:cs="Times New Roman"/>
                <w:sz w:val="15"/>
                <w:szCs w:val="15"/>
              </w:rPr>
            </w:pPr>
            <w:r>
              <w:rPr>
                <w:b/>
                <w:bCs/>
                <w:spacing w:val="-1"/>
                <w:sz w:val="24"/>
                <w:szCs w:val="24"/>
              </w:rPr>
              <w:t>表</w:t>
            </w:r>
            <w:r>
              <w:rPr>
                <w:spacing w:val="-56"/>
                <w:sz w:val="24"/>
                <w:szCs w:val="24"/>
              </w:rPr>
              <w:t xml:space="preserve"> </w:t>
            </w:r>
            <w:r>
              <w:rPr>
                <w:rFonts w:ascii="Times New Roman" w:hAnsi="Times New Roman" w:eastAsia="Times New Roman" w:cs="Times New Roman"/>
                <w:b/>
                <w:bCs/>
                <w:spacing w:val="-1"/>
                <w:sz w:val="24"/>
                <w:szCs w:val="24"/>
              </w:rPr>
              <w:t xml:space="preserve">3-9    </w:t>
            </w:r>
            <w:r>
              <w:rPr>
                <w:b/>
                <w:bCs/>
                <w:spacing w:val="-1"/>
                <w:sz w:val="24"/>
                <w:szCs w:val="24"/>
              </w:rPr>
              <w:t>环境空气质量标准</w:t>
            </w:r>
            <w:r>
              <w:rPr>
                <w:spacing w:val="-1"/>
                <w:sz w:val="24"/>
                <w:szCs w:val="24"/>
              </w:rPr>
              <w:t xml:space="preserve">  </w:t>
            </w:r>
            <w:r>
              <w:rPr>
                <w:b/>
                <w:bCs/>
                <w:spacing w:val="-1"/>
                <w:sz w:val="24"/>
                <w:szCs w:val="24"/>
              </w:rPr>
              <w:t>单位：</w:t>
            </w:r>
            <w:r>
              <w:rPr>
                <w:rFonts w:ascii="Times New Roman" w:hAnsi="Times New Roman" w:eastAsia="Times New Roman" w:cs="Times New Roman"/>
                <w:b/>
                <w:bCs/>
                <w:spacing w:val="-2"/>
                <w:sz w:val="24"/>
                <w:szCs w:val="24"/>
              </w:rPr>
              <w:t>mg/m</w:t>
            </w:r>
            <w:r>
              <w:rPr>
                <w:rFonts w:ascii="Times New Roman" w:hAnsi="Times New Roman" w:eastAsia="Times New Roman" w:cs="Times New Roman"/>
                <w:b/>
                <w:bCs/>
                <w:spacing w:val="-2"/>
                <w:position w:val="8"/>
                <w:sz w:val="15"/>
                <w:szCs w:val="15"/>
              </w:rPr>
              <w:t>3</w:t>
            </w:r>
          </w:p>
        </w:tc>
      </w:tr>
      <w:tr w14:paraId="6778A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 w:hRule="atLeast"/>
        </w:trPr>
        <w:tc>
          <w:tcPr>
            <w:tcW w:w="494" w:type="dxa"/>
            <w:vMerge w:val="continue"/>
            <w:tcBorders>
              <w:top w:val="nil"/>
              <w:bottom w:val="nil"/>
            </w:tcBorders>
            <w:textDirection w:val="tbRlV"/>
            <w:vAlign w:val="top"/>
          </w:tcPr>
          <w:p w14:paraId="247A2E1B">
            <w:pPr>
              <w:rPr>
                <w:rFonts w:ascii="Arial"/>
                <w:sz w:val="21"/>
              </w:rPr>
            </w:pPr>
          </w:p>
        </w:tc>
        <w:tc>
          <w:tcPr>
            <w:tcW w:w="122" w:type="dxa"/>
            <w:tcBorders>
              <w:top w:val="nil"/>
              <w:bottom w:val="nil"/>
              <w:right w:val="single" w:color="000000" w:sz="4" w:space="0"/>
            </w:tcBorders>
            <w:vAlign w:val="top"/>
          </w:tcPr>
          <w:p w14:paraId="6F30B083">
            <w:pPr>
              <w:rPr>
                <w:rFonts w:ascii="Arial"/>
                <w:sz w:val="21"/>
              </w:rPr>
            </w:pPr>
          </w:p>
        </w:tc>
        <w:tc>
          <w:tcPr>
            <w:tcW w:w="1326" w:type="dxa"/>
            <w:gridSpan w:val="2"/>
            <w:vMerge w:val="restart"/>
            <w:tcBorders>
              <w:top w:val="single" w:color="000000" w:sz="4" w:space="0"/>
              <w:left w:val="single" w:color="000000" w:sz="4" w:space="0"/>
              <w:bottom w:val="nil"/>
              <w:right w:val="single" w:color="000000" w:sz="4" w:space="0"/>
            </w:tcBorders>
            <w:vAlign w:val="top"/>
          </w:tcPr>
          <w:p w14:paraId="50F298E6">
            <w:pPr>
              <w:pStyle w:val="6"/>
              <w:spacing w:before="169" w:line="228" w:lineRule="auto"/>
              <w:ind w:left="144"/>
            </w:pPr>
            <w:r>
              <w:rPr>
                <w:spacing w:val="7"/>
              </w:rPr>
              <w:t>污染物名称</w:t>
            </w:r>
          </w:p>
        </w:tc>
        <w:tc>
          <w:tcPr>
            <w:tcW w:w="1437" w:type="dxa"/>
            <w:vMerge w:val="restart"/>
            <w:tcBorders>
              <w:top w:val="single" w:color="000000" w:sz="4" w:space="0"/>
              <w:left w:val="single" w:color="000000" w:sz="4" w:space="0"/>
              <w:bottom w:val="nil"/>
              <w:right w:val="single" w:color="000000" w:sz="4" w:space="0"/>
            </w:tcBorders>
            <w:vAlign w:val="top"/>
          </w:tcPr>
          <w:p w14:paraId="1929891D">
            <w:pPr>
              <w:pStyle w:val="6"/>
              <w:spacing w:before="169" w:line="228" w:lineRule="auto"/>
              <w:ind w:left="304"/>
            </w:pPr>
            <w:r>
              <w:rPr>
                <w:spacing w:val="7"/>
              </w:rPr>
              <w:t>平均时间</w:t>
            </w:r>
          </w:p>
        </w:tc>
        <w:tc>
          <w:tcPr>
            <w:tcW w:w="3277" w:type="dxa"/>
            <w:gridSpan w:val="4"/>
            <w:tcBorders>
              <w:top w:val="single" w:color="000000" w:sz="4" w:space="0"/>
              <w:left w:val="single" w:color="000000" w:sz="4" w:space="0"/>
              <w:right w:val="single" w:color="000000" w:sz="4" w:space="0"/>
            </w:tcBorders>
            <w:vAlign w:val="top"/>
          </w:tcPr>
          <w:p w14:paraId="5B3A4B4E">
            <w:pPr>
              <w:pStyle w:val="6"/>
              <w:spacing w:before="29" w:line="199" w:lineRule="auto"/>
              <w:ind w:left="1225"/>
            </w:pPr>
            <w:r>
              <w:rPr>
                <w:spacing w:val="7"/>
              </w:rPr>
              <w:t>标准限值</w:t>
            </w:r>
          </w:p>
        </w:tc>
        <w:tc>
          <w:tcPr>
            <w:tcW w:w="2282" w:type="dxa"/>
            <w:vMerge w:val="restart"/>
            <w:tcBorders>
              <w:top w:val="single" w:color="000000" w:sz="4" w:space="0"/>
              <w:left w:val="single" w:color="000000" w:sz="4" w:space="0"/>
              <w:bottom w:val="nil"/>
              <w:right w:val="single" w:color="000000" w:sz="4" w:space="0"/>
            </w:tcBorders>
            <w:vAlign w:val="top"/>
          </w:tcPr>
          <w:p w14:paraId="14A075FB">
            <w:pPr>
              <w:pStyle w:val="6"/>
              <w:spacing w:before="168" w:line="228" w:lineRule="auto"/>
              <w:ind w:left="727"/>
            </w:pPr>
            <w:r>
              <w:rPr>
                <w:spacing w:val="7"/>
              </w:rPr>
              <w:t>标准来源</w:t>
            </w:r>
          </w:p>
        </w:tc>
        <w:tc>
          <w:tcPr>
            <w:tcW w:w="128" w:type="dxa"/>
            <w:tcBorders>
              <w:top w:val="nil"/>
              <w:left w:val="single" w:color="000000" w:sz="4" w:space="0"/>
              <w:bottom w:val="nil"/>
            </w:tcBorders>
            <w:vAlign w:val="top"/>
          </w:tcPr>
          <w:p w14:paraId="06F30ED9">
            <w:pPr>
              <w:rPr>
                <w:rFonts w:ascii="Arial"/>
                <w:sz w:val="21"/>
              </w:rPr>
            </w:pPr>
          </w:p>
        </w:tc>
      </w:tr>
      <w:tr w14:paraId="6F796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 w:hRule="atLeast"/>
        </w:trPr>
        <w:tc>
          <w:tcPr>
            <w:tcW w:w="494" w:type="dxa"/>
            <w:vMerge w:val="continue"/>
            <w:tcBorders>
              <w:top w:val="nil"/>
              <w:bottom w:val="nil"/>
            </w:tcBorders>
            <w:textDirection w:val="tbRlV"/>
            <w:vAlign w:val="top"/>
          </w:tcPr>
          <w:p w14:paraId="2F693CF9">
            <w:pPr>
              <w:rPr>
                <w:rFonts w:ascii="Arial"/>
                <w:sz w:val="21"/>
              </w:rPr>
            </w:pPr>
          </w:p>
        </w:tc>
        <w:tc>
          <w:tcPr>
            <w:tcW w:w="122" w:type="dxa"/>
            <w:tcBorders>
              <w:top w:val="nil"/>
              <w:bottom w:val="nil"/>
              <w:right w:val="single" w:color="000000" w:sz="4" w:space="0"/>
            </w:tcBorders>
            <w:vAlign w:val="top"/>
          </w:tcPr>
          <w:p w14:paraId="04209D41">
            <w:pPr>
              <w:rPr>
                <w:rFonts w:ascii="Arial"/>
                <w:sz w:val="21"/>
              </w:rPr>
            </w:pPr>
          </w:p>
        </w:tc>
        <w:tc>
          <w:tcPr>
            <w:tcW w:w="1326" w:type="dxa"/>
            <w:gridSpan w:val="2"/>
            <w:vMerge w:val="continue"/>
            <w:tcBorders>
              <w:top w:val="nil"/>
              <w:left w:val="single" w:color="000000" w:sz="4" w:space="0"/>
              <w:right w:val="single" w:color="000000" w:sz="4" w:space="0"/>
            </w:tcBorders>
            <w:vAlign w:val="top"/>
          </w:tcPr>
          <w:p w14:paraId="0DA735D5">
            <w:pPr>
              <w:rPr>
                <w:rFonts w:ascii="Arial"/>
                <w:sz w:val="21"/>
              </w:rPr>
            </w:pPr>
          </w:p>
        </w:tc>
        <w:tc>
          <w:tcPr>
            <w:tcW w:w="1437" w:type="dxa"/>
            <w:vMerge w:val="continue"/>
            <w:tcBorders>
              <w:top w:val="nil"/>
              <w:left w:val="single" w:color="000000" w:sz="4" w:space="0"/>
              <w:right w:val="single" w:color="000000" w:sz="4" w:space="0"/>
            </w:tcBorders>
            <w:vAlign w:val="top"/>
          </w:tcPr>
          <w:p w14:paraId="1FBEBD49">
            <w:pPr>
              <w:rPr>
                <w:rFonts w:ascii="Arial"/>
                <w:sz w:val="21"/>
              </w:rPr>
            </w:pPr>
          </w:p>
        </w:tc>
        <w:tc>
          <w:tcPr>
            <w:tcW w:w="1770" w:type="dxa"/>
            <w:gridSpan w:val="2"/>
            <w:tcBorders>
              <w:left w:val="single" w:color="000000" w:sz="4" w:space="0"/>
              <w:right w:val="single" w:color="000000" w:sz="4" w:space="0"/>
            </w:tcBorders>
            <w:vAlign w:val="top"/>
          </w:tcPr>
          <w:p w14:paraId="010C792C">
            <w:pPr>
              <w:pStyle w:val="6"/>
              <w:spacing w:before="53" w:line="215" w:lineRule="auto"/>
              <w:ind w:left="474"/>
            </w:pPr>
            <w:r>
              <w:rPr>
                <w:spacing w:val="6"/>
              </w:rPr>
              <w:t>一级标准</w:t>
            </w:r>
          </w:p>
        </w:tc>
        <w:tc>
          <w:tcPr>
            <w:tcW w:w="1507" w:type="dxa"/>
            <w:gridSpan w:val="2"/>
            <w:tcBorders>
              <w:left w:val="single" w:color="000000" w:sz="4" w:space="0"/>
              <w:right w:val="single" w:color="000000" w:sz="4" w:space="0"/>
            </w:tcBorders>
            <w:vAlign w:val="top"/>
          </w:tcPr>
          <w:p w14:paraId="5B809138">
            <w:pPr>
              <w:pStyle w:val="6"/>
              <w:spacing w:before="53" w:line="215" w:lineRule="auto"/>
              <w:ind w:left="343"/>
            </w:pPr>
            <w:r>
              <w:rPr>
                <w:spacing w:val="6"/>
              </w:rPr>
              <w:t>二级标准</w:t>
            </w:r>
          </w:p>
        </w:tc>
        <w:tc>
          <w:tcPr>
            <w:tcW w:w="2282" w:type="dxa"/>
            <w:vMerge w:val="continue"/>
            <w:tcBorders>
              <w:top w:val="nil"/>
              <w:left w:val="single" w:color="000000" w:sz="4" w:space="0"/>
              <w:right w:val="single" w:color="000000" w:sz="4" w:space="0"/>
            </w:tcBorders>
            <w:vAlign w:val="top"/>
          </w:tcPr>
          <w:p w14:paraId="7E6D7714">
            <w:pPr>
              <w:rPr>
                <w:rFonts w:ascii="Arial"/>
                <w:sz w:val="21"/>
              </w:rPr>
            </w:pPr>
          </w:p>
        </w:tc>
        <w:tc>
          <w:tcPr>
            <w:tcW w:w="128" w:type="dxa"/>
            <w:tcBorders>
              <w:top w:val="nil"/>
              <w:left w:val="single" w:color="000000" w:sz="4" w:space="0"/>
              <w:bottom w:val="nil"/>
            </w:tcBorders>
            <w:vAlign w:val="top"/>
          </w:tcPr>
          <w:p w14:paraId="6DB9D382">
            <w:pPr>
              <w:rPr>
                <w:rFonts w:ascii="Arial"/>
                <w:sz w:val="21"/>
              </w:rPr>
            </w:pPr>
          </w:p>
        </w:tc>
      </w:tr>
      <w:tr w14:paraId="79B52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trPr>
        <w:tc>
          <w:tcPr>
            <w:tcW w:w="494" w:type="dxa"/>
            <w:vMerge w:val="continue"/>
            <w:tcBorders>
              <w:top w:val="nil"/>
              <w:bottom w:val="nil"/>
            </w:tcBorders>
            <w:textDirection w:val="tbRlV"/>
            <w:vAlign w:val="top"/>
          </w:tcPr>
          <w:p w14:paraId="5F96BF1C">
            <w:pPr>
              <w:rPr>
                <w:rFonts w:ascii="Arial"/>
                <w:sz w:val="21"/>
              </w:rPr>
            </w:pPr>
          </w:p>
        </w:tc>
        <w:tc>
          <w:tcPr>
            <w:tcW w:w="122" w:type="dxa"/>
            <w:tcBorders>
              <w:top w:val="nil"/>
              <w:bottom w:val="nil"/>
              <w:right w:val="single" w:color="000000" w:sz="4" w:space="0"/>
            </w:tcBorders>
            <w:vAlign w:val="top"/>
          </w:tcPr>
          <w:p w14:paraId="098F582F">
            <w:pPr>
              <w:rPr>
                <w:rFonts w:ascii="Arial"/>
                <w:sz w:val="21"/>
              </w:rPr>
            </w:pPr>
          </w:p>
        </w:tc>
        <w:tc>
          <w:tcPr>
            <w:tcW w:w="1326" w:type="dxa"/>
            <w:gridSpan w:val="2"/>
            <w:vMerge w:val="restart"/>
            <w:tcBorders>
              <w:left w:val="single" w:color="000000" w:sz="4" w:space="0"/>
              <w:bottom w:val="nil"/>
              <w:right w:val="single" w:color="000000" w:sz="4" w:space="0"/>
            </w:tcBorders>
            <w:vAlign w:val="top"/>
          </w:tcPr>
          <w:p w14:paraId="789CD847">
            <w:pPr>
              <w:spacing w:line="292" w:lineRule="auto"/>
              <w:rPr>
                <w:rFonts w:ascii="Arial"/>
                <w:sz w:val="21"/>
              </w:rPr>
            </w:pPr>
          </w:p>
          <w:p w14:paraId="087BD162">
            <w:pPr>
              <w:spacing w:before="58" w:line="202" w:lineRule="auto"/>
              <w:ind w:left="503"/>
              <w:rPr>
                <w:rFonts w:ascii="Times New Roman" w:hAnsi="Times New Roman" w:eastAsia="Times New Roman" w:cs="Times New Roman"/>
                <w:sz w:val="13"/>
                <w:szCs w:val="13"/>
              </w:rPr>
            </w:pPr>
            <w:r>
              <w:rPr>
                <w:rFonts w:ascii="Times New Roman" w:hAnsi="Times New Roman" w:eastAsia="Times New Roman" w:cs="Times New Roman"/>
                <w:sz w:val="20"/>
                <w:szCs w:val="20"/>
              </w:rPr>
              <w:t>SO</w:t>
            </w:r>
            <w:r>
              <w:rPr>
                <w:rFonts w:ascii="Times New Roman" w:hAnsi="Times New Roman" w:eastAsia="Times New Roman" w:cs="Times New Roman"/>
                <w:spacing w:val="3"/>
                <w:position w:val="-1"/>
                <w:sz w:val="13"/>
                <w:szCs w:val="13"/>
              </w:rPr>
              <w:t>2</w:t>
            </w:r>
          </w:p>
        </w:tc>
        <w:tc>
          <w:tcPr>
            <w:tcW w:w="1437" w:type="dxa"/>
            <w:tcBorders>
              <w:left w:val="single" w:color="000000" w:sz="4" w:space="0"/>
              <w:right w:val="single" w:color="000000" w:sz="4" w:space="0"/>
            </w:tcBorders>
            <w:vAlign w:val="top"/>
          </w:tcPr>
          <w:p w14:paraId="6D4ABA00">
            <w:pPr>
              <w:pStyle w:val="6"/>
              <w:spacing w:before="32" w:line="199" w:lineRule="auto"/>
              <w:ind w:left="409"/>
            </w:pPr>
            <w:r>
              <w:rPr>
                <w:spacing w:val="6"/>
              </w:rPr>
              <w:t>年平均</w:t>
            </w:r>
          </w:p>
        </w:tc>
        <w:tc>
          <w:tcPr>
            <w:tcW w:w="1770" w:type="dxa"/>
            <w:gridSpan w:val="2"/>
            <w:tcBorders>
              <w:left w:val="single" w:color="000000" w:sz="4" w:space="0"/>
              <w:right w:val="single" w:color="000000" w:sz="4" w:space="0"/>
            </w:tcBorders>
            <w:vAlign w:val="top"/>
          </w:tcPr>
          <w:p w14:paraId="55604884">
            <w:pPr>
              <w:spacing w:before="68" w:line="187" w:lineRule="auto"/>
              <w:ind w:left="7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0.02</w:t>
            </w:r>
          </w:p>
        </w:tc>
        <w:tc>
          <w:tcPr>
            <w:tcW w:w="1507" w:type="dxa"/>
            <w:gridSpan w:val="2"/>
            <w:tcBorders>
              <w:left w:val="single" w:color="000000" w:sz="4" w:space="0"/>
              <w:right w:val="single" w:color="000000" w:sz="4" w:space="0"/>
            </w:tcBorders>
            <w:vAlign w:val="top"/>
          </w:tcPr>
          <w:p w14:paraId="72F01E94">
            <w:pPr>
              <w:spacing w:before="68" w:line="187" w:lineRule="auto"/>
              <w:ind w:left="5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0.06</w:t>
            </w:r>
          </w:p>
        </w:tc>
        <w:tc>
          <w:tcPr>
            <w:tcW w:w="2282" w:type="dxa"/>
            <w:vMerge w:val="restart"/>
            <w:tcBorders>
              <w:left w:val="single" w:color="000000" w:sz="4" w:space="0"/>
              <w:bottom w:val="nil"/>
              <w:right w:val="single" w:color="000000" w:sz="4" w:space="0"/>
            </w:tcBorders>
            <w:vAlign w:val="top"/>
          </w:tcPr>
          <w:p w14:paraId="28CE68EB">
            <w:pPr>
              <w:spacing w:line="249" w:lineRule="auto"/>
              <w:rPr>
                <w:rFonts w:ascii="Arial"/>
                <w:sz w:val="21"/>
              </w:rPr>
            </w:pPr>
          </w:p>
          <w:p w14:paraId="426B4FF3">
            <w:pPr>
              <w:spacing w:line="250" w:lineRule="auto"/>
              <w:rPr>
                <w:rFonts w:ascii="Arial"/>
                <w:sz w:val="21"/>
              </w:rPr>
            </w:pPr>
          </w:p>
          <w:p w14:paraId="5884DA40">
            <w:pPr>
              <w:spacing w:line="250" w:lineRule="auto"/>
              <w:rPr>
                <w:rFonts w:ascii="Arial"/>
                <w:sz w:val="21"/>
              </w:rPr>
            </w:pPr>
          </w:p>
          <w:p w14:paraId="52CE1DAF">
            <w:pPr>
              <w:spacing w:line="250" w:lineRule="auto"/>
              <w:rPr>
                <w:rFonts w:ascii="Arial"/>
                <w:sz w:val="21"/>
              </w:rPr>
            </w:pPr>
          </w:p>
          <w:p w14:paraId="19A45AA7">
            <w:pPr>
              <w:spacing w:line="250" w:lineRule="auto"/>
              <w:rPr>
                <w:rFonts w:ascii="Arial"/>
                <w:sz w:val="21"/>
              </w:rPr>
            </w:pPr>
          </w:p>
          <w:p w14:paraId="3AFE7CAF">
            <w:pPr>
              <w:spacing w:line="250" w:lineRule="auto"/>
              <w:rPr>
                <w:rFonts w:ascii="Arial"/>
                <w:sz w:val="21"/>
              </w:rPr>
            </w:pPr>
          </w:p>
          <w:p w14:paraId="48D41AC4">
            <w:pPr>
              <w:spacing w:line="250" w:lineRule="auto"/>
              <w:rPr>
                <w:rFonts w:ascii="Arial"/>
                <w:sz w:val="21"/>
              </w:rPr>
            </w:pPr>
          </w:p>
          <w:p w14:paraId="6247E6B2">
            <w:pPr>
              <w:spacing w:line="250" w:lineRule="auto"/>
              <w:rPr>
                <w:rFonts w:ascii="Arial"/>
                <w:sz w:val="21"/>
              </w:rPr>
            </w:pPr>
          </w:p>
          <w:p w14:paraId="6E942434">
            <w:pPr>
              <w:spacing w:line="250" w:lineRule="auto"/>
              <w:rPr>
                <w:rFonts w:ascii="Arial"/>
                <w:sz w:val="21"/>
              </w:rPr>
            </w:pPr>
          </w:p>
          <w:p w14:paraId="6FFD4E42">
            <w:pPr>
              <w:spacing w:line="250" w:lineRule="auto"/>
              <w:rPr>
                <w:rFonts w:ascii="Arial"/>
                <w:sz w:val="21"/>
              </w:rPr>
            </w:pPr>
          </w:p>
          <w:p w14:paraId="216D5F0C">
            <w:pPr>
              <w:pStyle w:val="6"/>
              <w:spacing w:before="65" w:line="228" w:lineRule="auto"/>
              <w:ind w:left="48"/>
            </w:pPr>
            <w:r>
              <w:rPr>
                <w:spacing w:val="7"/>
              </w:rPr>
              <w:t>《环境空气质量标准》</w:t>
            </w:r>
          </w:p>
          <w:p w14:paraId="47BB32FE">
            <w:pPr>
              <w:pStyle w:val="6"/>
              <w:spacing w:before="23"/>
            </w:pPr>
            <w:r>
              <w:rPr>
                <w:spacing w:val="1"/>
              </w:rPr>
              <w:t>（</w:t>
            </w:r>
            <w:r>
              <w:rPr>
                <w:rFonts w:ascii="Times New Roman" w:hAnsi="Times New Roman" w:eastAsia="Times New Roman" w:cs="Times New Roman"/>
              </w:rPr>
              <w:t>GB</w:t>
            </w:r>
            <w:r>
              <w:rPr>
                <w:rFonts w:ascii="Times New Roman" w:hAnsi="Times New Roman" w:eastAsia="Times New Roman" w:cs="Times New Roman"/>
                <w:spacing w:val="1"/>
              </w:rPr>
              <w:t xml:space="preserve">  3095-2012</w:t>
            </w:r>
            <w:r>
              <w:rPr>
                <w:spacing w:val="1"/>
              </w:rPr>
              <w:t>）一、二</w:t>
            </w:r>
          </w:p>
          <w:p w14:paraId="3165072C">
            <w:pPr>
              <w:pStyle w:val="6"/>
              <w:spacing w:before="11" w:line="228" w:lineRule="auto"/>
              <w:ind w:left="833"/>
            </w:pPr>
            <w:r>
              <w:rPr>
                <w:spacing w:val="5"/>
              </w:rPr>
              <w:t>级标准</w:t>
            </w:r>
          </w:p>
        </w:tc>
        <w:tc>
          <w:tcPr>
            <w:tcW w:w="128" w:type="dxa"/>
            <w:tcBorders>
              <w:top w:val="nil"/>
              <w:left w:val="single" w:color="000000" w:sz="4" w:space="0"/>
              <w:bottom w:val="nil"/>
            </w:tcBorders>
            <w:vAlign w:val="top"/>
          </w:tcPr>
          <w:p w14:paraId="51CAC8EF">
            <w:pPr>
              <w:rPr>
                <w:rFonts w:ascii="Arial"/>
                <w:sz w:val="21"/>
              </w:rPr>
            </w:pPr>
          </w:p>
        </w:tc>
      </w:tr>
      <w:tr w14:paraId="2E98B4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494" w:type="dxa"/>
            <w:vMerge w:val="continue"/>
            <w:tcBorders>
              <w:top w:val="nil"/>
              <w:bottom w:val="nil"/>
            </w:tcBorders>
            <w:textDirection w:val="tbRlV"/>
            <w:vAlign w:val="top"/>
          </w:tcPr>
          <w:p w14:paraId="4C845574">
            <w:pPr>
              <w:rPr>
                <w:rFonts w:ascii="Arial"/>
                <w:sz w:val="21"/>
              </w:rPr>
            </w:pPr>
          </w:p>
        </w:tc>
        <w:tc>
          <w:tcPr>
            <w:tcW w:w="122" w:type="dxa"/>
            <w:tcBorders>
              <w:top w:val="nil"/>
              <w:bottom w:val="nil"/>
              <w:right w:val="single" w:color="000000" w:sz="4" w:space="0"/>
            </w:tcBorders>
            <w:vAlign w:val="top"/>
          </w:tcPr>
          <w:p w14:paraId="7519BF03">
            <w:pPr>
              <w:rPr>
                <w:rFonts w:ascii="Arial"/>
                <w:sz w:val="21"/>
              </w:rPr>
            </w:pPr>
          </w:p>
        </w:tc>
        <w:tc>
          <w:tcPr>
            <w:tcW w:w="1326" w:type="dxa"/>
            <w:gridSpan w:val="2"/>
            <w:vMerge w:val="continue"/>
            <w:tcBorders>
              <w:top w:val="nil"/>
              <w:left w:val="single" w:color="000000" w:sz="4" w:space="0"/>
              <w:bottom w:val="nil"/>
              <w:right w:val="single" w:color="000000" w:sz="4" w:space="0"/>
            </w:tcBorders>
            <w:vAlign w:val="top"/>
          </w:tcPr>
          <w:p w14:paraId="771956FD">
            <w:pPr>
              <w:rPr>
                <w:rFonts w:ascii="Arial"/>
                <w:sz w:val="21"/>
              </w:rPr>
            </w:pPr>
          </w:p>
        </w:tc>
        <w:tc>
          <w:tcPr>
            <w:tcW w:w="1437" w:type="dxa"/>
            <w:tcBorders>
              <w:left w:val="single" w:color="000000" w:sz="4" w:space="0"/>
              <w:right w:val="single" w:color="000000" w:sz="4" w:space="0"/>
            </w:tcBorders>
            <w:vAlign w:val="top"/>
          </w:tcPr>
          <w:p w14:paraId="42ACEC34">
            <w:pPr>
              <w:pStyle w:val="6"/>
              <w:spacing w:before="53" w:line="210" w:lineRule="auto"/>
              <w:ind w:left="444"/>
            </w:pPr>
            <w:r>
              <w:rPr>
                <w:spacing w:val="-6"/>
              </w:rPr>
              <w:t>日平均</w:t>
            </w:r>
          </w:p>
        </w:tc>
        <w:tc>
          <w:tcPr>
            <w:tcW w:w="1770" w:type="dxa"/>
            <w:gridSpan w:val="2"/>
            <w:tcBorders>
              <w:left w:val="single" w:color="000000" w:sz="4" w:space="0"/>
              <w:right w:val="single" w:color="000000" w:sz="4" w:space="0"/>
            </w:tcBorders>
            <w:vAlign w:val="top"/>
          </w:tcPr>
          <w:p w14:paraId="09248AED">
            <w:pPr>
              <w:spacing w:before="88" w:line="195" w:lineRule="auto"/>
              <w:ind w:left="7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c>
          <w:tcPr>
            <w:tcW w:w="1507" w:type="dxa"/>
            <w:gridSpan w:val="2"/>
            <w:tcBorders>
              <w:left w:val="single" w:color="000000" w:sz="4" w:space="0"/>
              <w:right w:val="single" w:color="000000" w:sz="4" w:space="0"/>
            </w:tcBorders>
            <w:vAlign w:val="top"/>
          </w:tcPr>
          <w:p w14:paraId="182B099A">
            <w:pPr>
              <w:spacing w:before="88" w:line="195" w:lineRule="auto"/>
              <w:ind w:left="5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0.15</w:t>
            </w:r>
          </w:p>
        </w:tc>
        <w:tc>
          <w:tcPr>
            <w:tcW w:w="2282" w:type="dxa"/>
            <w:vMerge w:val="continue"/>
            <w:tcBorders>
              <w:top w:val="nil"/>
              <w:left w:val="single" w:color="000000" w:sz="4" w:space="0"/>
              <w:bottom w:val="nil"/>
              <w:right w:val="single" w:color="000000" w:sz="4" w:space="0"/>
            </w:tcBorders>
            <w:vAlign w:val="top"/>
          </w:tcPr>
          <w:p w14:paraId="55E36024">
            <w:pPr>
              <w:rPr>
                <w:rFonts w:ascii="Arial"/>
                <w:sz w:val="21"/>
              </w:rPr>
            </w:pPr>
          </w:p>
        </w:tc>
        <w:tc>
          <w:tcPr>
            <w:tcW w:w="128" w:type="dxa"/>
            <w:tcBorders>
              <w:top w:val="nil"/>
              <w:left w:val="single" w:color="000000" w:sz="4" w:space="0"/>
              <w:bottom w:val="nil"/>
            </w:tcBorders>
            <w:vAlign w:val="top"/>
          </w:tcPr>
          <w:p w14:paraId="13EDC7D0">
            <w:pPr>
              <w:rPr>
                <w:rFonts w:ascii="Arial"/>
                <w:sz w:val="21"/>
              </w:rPr>
            </w:pPr>
          </w:p>
        </w:tc>
      </w:tr>
      <w:tr w14:paraId="6CDB8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494" w:type="dxa"/>
            <w:vMerge w:val="continue"/>
            <w:tcBorders>
              <w:top w:val="nil"/>
              <w:bottom w:val="nil"/>
            </w:tcBorders>
            <w:textDirection w:val="tbRlV"/>
            <w:vAlign w:val="top"/>
          </w:tcPr>
          <w:p w14:paraId="2DE8A9AF">
            <w:pPr>
              <w:rPr>
                <w:rFonts w:ascii="Arial"/>
                <w:sz w:val="21"/>
              </w:rPr>
            </w:pPr>
          </w:p>
        </w:tc>
        <w:tc>
          <w:tcPr>
            <w:tcW w:w="122" w:type="dxa"/>
            <w:tcBorders>
              <w:top w:val="nil"/>
              <w:bottom w:val="nil"/>
              <w:right w:val="single" w:color="000000" w:sz="4" w:space="0"/>
            </w:tcBorders>
            <w:vAlign w:val="top"/>
          </w:tcPr>
          <w:p w14:paraId="2B7E5B64">
            <w:pPr>
              <w:rPr>
                <w:rFonts w:ascii="Arial"/>
                <w:sz w:val="21"/>
              </w:rPr>
            </w:pPr>
          </w:p>
        </w:tc>
        <w:tc>
          <w:tcPr>
            <w:tcW w:w="1326" w:type="dxa"/>
            <w:gridSpan w:val="2"/>
            <w:vMerge w:val="continue"/>
            <w:tcBorders>
              <w:top w:val="nil"/>
              <w:left w:val="single" w:color="000000" w:sz="4" w:space="0"/>
              <w:right w:val="single" w:color="000000" w:sz="4" w:space="0"/>
            </w:tcBorders>
            <w:vAlign w:val="top"/>
          </w:tcPr>
          <w:p w14:paraId="6EFFC13A">
            <w:pPr>
              <w:rPr>
                <w:rFonts w:ascii="Arial"/>
                <w:sz w:val="21"/>
              </w:rPr>
            </w:pPr>
          </w:p>
        </w:tc>
        <w:tc>
          <w:tcPr>
            <w:tcW w:w="1437" w:type="dxa"/>
            <w:tcBorders>
              <w:left w:val="single" w:color="000000" w:sz="4" w:space="0"/>
              <w:right w:val="single" w:color="000000" w:sz="4" w:space="0"/>
            </w:tcBorders>
            <w:vAlign w:val="top"/>
          </w:tcPr>
          <w:p w14:paraId="62885770">
            <w:pPr>
              <w:pStyle w:val="6"/>
              <w:spacing w:before="39" w:line="207" w:lineRule="auto"/>
              <w:ind w:left="310"/>
            </w:pPr>
            <w:r>
              <w:rPr>
                <w:spacing w:val="5"/>
              </w:rPr>
              <w:t>小时平均</w:t>
            </w:r>
          </w:p>
        </w:tc>
        <w:tc>
          <w:tcPr>
            <w:tcW w:w="1770" w:type="dxa"/>
            <w:gridSpan w:val="2"/>
            <w:tcBorders>
              <w:left w:val="single" w:color="000000" w:sz="4" w:space="0"/>
              <w:right w:val="single" w:color="000000" w:sz="4" w:space="0"/>
            </w:tcBorders>
            <w:vAlign w:val="top"/>
          </w:tcPr>
          <w:p w14:paraId="72609532">
            <w:pPr>
              <w:spacing w:before="76" w:line="195" w:lineRule="auto"/>
              <w:ind w:left="7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0.15</w:t>
            </w:r>
          </w:p>
        </w:tc>
        <w:tc>
          <w:tcPr>
            <w:tcW w:w="1507" w:type="dxa"/>
            <w:gridSpan w:val="2"/>
            <w:tcBorders>
              <w:left w:val="single" w:color="000000" w:sz="4" w:space="0"/>
              <w:right w:val="single" w:color="000000" w:sz="4" w:space="0"/>
            </w:tcBorders>
            <w:vAlign w:val="top"/>
          </w:tcPr>
          <w:p w14:paraId="35D3B043">
            <w:pPr>
              <w:spacing w:before="76" w:line="195" w:lineRule="auto"/>
              <w:ind w:left="5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0.50</w:t>
            </w:r>
          </w:p>
        </w:tc>
        <w:tc>
          <w:tcPr>
            <w:tcW w:w="2282" w:type="dxa"/>
            <w:vMerge w:val="continue"/>
            <w:tcBorders>
              <w:top w:val="nil"/>
              <w:left w:val="single" w:color="000000" w:sz="4" w:space="0"/>
              <w:bottom w:val="nil"/>
              <w:right w:val="single" w:color="000000" w:sz="4" w:space="0"/>
            </w:tcBorders>
            <w:vAlign w:val="top"/>
          </w:tcPr>
          <w:p w14:paraId="1056B8B7">
            <w:pPr>
              <w:rPr>
                <w:rFonts w:ascii="Arial"/>
                <w:sz w:val="21"/>
              </w:rPr>
            </w:pPr>
          </w:p>
        </w:tc>
        <w:tc>
          <w:tcPr>
            <w:tcW w:w="128" w:type="dxa"/>
            <w:tcBorders>
              <w:top w:val="nil"/>
              <w:left w:val="single" w:color="000000" w:sz="4" w:space="0"/>
              <w:bottom w:val="nil"/>
            </w:tcBorders>
            <w:vAlign w:val="top"/>
          </w:tcPr>
          <w:p w14:paraId="2132E3C2">
            <w:pPr>
              <w:rPr>
                <w:rFonts w:ascii="Arial"/>
                <w:sz w:val="21"/>
              </w:rPr>
            </w:pPr>
          </w:p>
        </w:tc>
      </w:tr>
      <w:tr w14:paraId="43901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494" w:type="dxa"/>
            <w:vMerge w:val="continue"/>
            <w:tcBorders>
              <w:top w:val="nil"/>
              <w:bottom w:val="nil"/>
            </w:tcBorders>
            <w:textDirection w:val="tbRlV"/>
            <w:vAlign w:val="top"/>
          </w:tcPr>
          <w:p w14:paraId="4B161A7B">
            <w:pPr>
              <w:rPr>
                <w:rFonts w:ascii="Arial"/>
                <w:sz w:val="21"/>
              </w:rPr>
            </w:pPr>
          </w:p>
        </w:tc>
        <w:tc>
          <w:tcPr>
            <w:tcW w:w="122" w:type="dxa"/>
            <w:tcBorders>
              <w:top w:val="nil"/>
              <w:bottom w:val="nil"/>
              <w:right w:val="single" w:color="000000" w:sz="4" w:space="0"/>
            </w:tcBorders>
            <w:vAlign w:val="top"/>
          </w:tcPr>
          <w:p w14:paraId="5D367603">
            <w:pPr>
              <w:rPr>
                <w:rFonts w:ascii="Arial"/>
                <w:sz w:val="21"/>
              </w:rPr>
            </w:pPr>
          </w:p>
        </w:tc>
        <w:tc>
          <w:tcPr>
            <w:tcW w:w="1326" w:type="dxa"/>
            <w:gridSpan w:val="2"/>
            <w:vMerge w:val="restart"/>
            <w:tcBorders>
              <w:left w:val="single" w:color="000000" w:sz="4" w:space="0"/>
              <w:bottom w:val="nil"/>
              <w:right w:val="single" w:color="000000" w:sz="4" w:space="0"/>
            </w:tcBorders>
            <w:vAlign w:val="top"/>
          </w:tcPr>
          <w:p w14:paraId="00C2BEF7">
            <w:pPr>
              <w:spacing w:line="301" w:lineRule="auto"/>
              <w:rPr>
                <w:rFonts w:ascii="Arial"/>
                <w:sz w:val="21"/>
              </w:rPr>
            </w:pPr>
          </w:p>
          <w:p w14:paraId="289E8638">
            <w:pPr>
              <w:spacing w:before="58" w:line="202" w:lineRule="auto"/>
              <w:ind w:left="470"/>
              <w:rPr>
                <w:rFonts w:ascii="Times New Roman" w:hAnsi="Times New Roman" w:eastAsia="Times New Roman" w:cs="Times New Roman"/>
                <w:sz w:val="13"/>
                <w:szCs w:val="13"/>
              </w:rPr>
            </w:pPr>
            <w:r>
              <w:rPr>
                <w:rFonts w:ascii="Times New Roman" w:hAnsi="Times New Roman" w:eastAsia="Times New Roman" w:cs="Times New Roman"/>
                <w:spacing w:val="7"/>
                <w:sz w:val="20"/>
                <w:szCs w:val="20"/>
              </w:rPr>
              <w:t>NO</w:t>
            </w:r>
            <w:r>
              <w:rPr>
                <w:rFonts w:ascii="Times New Roman" w:hAnsi="Times New Roman" w:eastAsia="Times New Roman" w:cs="Times New Roman"/>
                <w:spacing w:val="7"/>
                <w:position w:val="-1"/>
                <w:sz w:val="13"/>
                <w:szCs w:val="13"/>
              </w:rPr>
              <w:t>2</w:t>
            </w:r>
          </w:p>
        </w:tc>
        <w:tc>
          <w:tcPr>
            <w:tcW w:w="1437" w:type="dxa"/>
            <w:tcBorders>
              <w:left w:val="single" w:color="000000" w:sz="4" w:space="0"/>
              <w:right w:val="single" w:color="000000" w:sz="4" w:space="0"/>
            </w:tcBorders>
            <w:vAlign w:val="top"/>
          </w:tcPr>
          <w:p w14:paraId="69B001F5">
            <w:pPr>
              <w:pStyle w:val="6"/>
              <w:spacing w:before="42" w:line="209" w:lineRule="auto"/>
              <w:ind w:left="409"/>
            </w:pPr>
            <w:r>
              <w:rPr>
                <w:spacing w:val="6"/>
              </w:rPr>
              <w:t>年平均</w:t>
            </w:r>
          </w:p>
        </w:tc>
        <w:tc>
          <w:tcPr>
            <w:tcW w:w="1770" w:type="dxa"/>
            <w:gridSpan w:val="2"/>
            <w:tcBorders>
              <w:left w:val="single" w:color="000000" w:sz="4" w:space="0"/>
              <w:right w:val="single" w:color="000000" w:sz="4" w:space="0"/>
            </w:tcBorders>
            <w:vAlign w:val="top"/>
          </w:tcPr>
          <w:p w14:paraId="27AB4231">
            <w:pPr>
              <w:spacing w:before="77" w:line="195" w:lineRule="auto"/>
              <w:ind w:left="7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507" w:type="dxa"/>
            <w:gridSpan w:val="2"/>
            <w:tcBorders>
              <w:left w:val="single" w:color="000000" w:sz="4" w:space="0"/>
              <w:right w:val="single" w:color="000000" w:sz="4" w:space="0"/>
            </w:tcBorders>
            <w:vAlign w:val="top"/>
          </w:tcPr>
          <w:p w14:paraId="046E56F7">
            <w:pPr>
              <w:spacing w:before="77" w:line="195" w:lineRule="auto"/>
              <w:ind w:left="5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2282" w:type="dxa"/>
            <w:vMerge w:val="continue"/>
            <w:tcBorders>
              <w:top w:val="nil"/>
              <w:left w:val="single" w:color="000000" w:sz="4" w:space="0"/>
              <w:bottom w:val="nil"/>
              <w:right w:val="single" w:color="000000" w:sz="4" w:space="0"/>
            </w:tcBorders>
            <w:vAlign w:val="top"/>
          </w:tcPr>
          <w:p w14:paraId="10762B2C">
            <w:pPr>
              <w:rPr>
                <w:rFonts w:ascii="Arial"/>
                <w:sz w:val="21"/>
              </w:rPr>
            </w:pPr>
          </w:p>
        </w:tc>
        <w:tc>
          <w:tcPr>
            <w:tcW w:w="128" w:type="dxa"/>
            <w:tcBorders>
              <w:top w:val="nil"/>
              <w:left w:val="single" w:color="000000" w:sz="4" w:space="0"/>
              <w:bottom w:val="nil"/>
            </w:tcBorders>
            <w:vAlign w:val="top"/>
          </w:tcPr>
          <w:p w14:paraId="16E58196">
            <w:pPr>
              <w:rPr>
                <w:rFonts w:ascii="Arial"/>
                <w:sz w:val="21"/>
              </w:rPr>
            </w:pPr>
          </w:p>
        </w:tc>
      </w:tr>
      <w:tr w14:paraId="5DFE6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494" w:type="dxa"/>
            <w:vMerge w:val="continue"/>
            <w:tcBorders>
              <w:top w:val="nil"/>
              <w:bottom w:val="nil"/>
            </w:tcBorders>
            <w:textDirection w:val="tbRlV"/>
            <w:vAlign w:val="top"/>
          </w:tcPr>
          <w:p w14:paraId="43565AE4">
            <w:pPr>
              <w:rPr>
                <w:rFonts w:ascii="Arial"/>
                <w:sz w:val="21"/>
              </w:rPr>
            </w:pPr>
          </w:p>
        </w:tc>
        <w:tc>
          <w:tcPr>
            <w:tcW w:w="122" w:type="dxa"/>
            <w:tcBorders>
              <w:top w:val="nil"/>
              <w:bottom w:val="nil"/>
              <w:right w:val="single" w:color="000000" w:sz="4" w:space="0"/>
            </w:tcBorders>
            <w:vAlign w:val="top"/>
          </w:tcPr>
          <w:p w14:paraId="61DE792B">
            <w:pPr>
              <w:rPr>
                <w:rFonts w:ascii="Arial"/>
                <w:sz w:val="21"/>
              </w:rPr>
            </w:pPr>
          </w:p>
        </w:tc>
        <w:tc>
          <w:tcPr>
            <w:tcW w:w="1326" w:type="dxa"/>
            <w:gridSpan w:val="2"/>
            <w:vMerge w:val="continue"/>
            <w:tcBorders>
              <w:top w:val="nil"/>
              <w:left w:val="single" w:color="000000" w:sz="4" w:space="0"/>
              <w:bottom w:val="nil"/>
              <w:right w:val="single" w:color="000000" w:sz="4" w:space="0"/>
            </w:tcBorders>
            <w:vAlign w:val="top"/>
          </w:tcPr>
          <w:p w14:paraId="69F46B68">
            <w:pPr>
              <w:rPr>
                <w:rFonts w:ascii="Arial"/>
                <w:sz w:val="21"/>
              </w:rPr>
            </w:pPr>
          </w:p>
        </w:tc>
        <w:tc>
          <w:tcPr>
            <w:tcW w:w="1437" w:type="dxa"/>
            <w:tcBorders>
              <w:left w:val="single" w:color="000000" w:sz="4" w:space="0"/>
              <w:right w:val="single" w:color="000000" w:sz="4" w:space="0"/>
            </w:tcBorders>
            <w:vAlign w:val="top"/>
          </w:tcPr>
          <w:p w14:paraId="38D9EADF">
            <w:pPr>
              <w:pStyle w:val="6"/>
              <w:spacing w:before="41" w:line="192" w:lineRule="auto"/>
              <w:ind w:left="444"/>
            </w:pPr>
            <w:r>
              <w:rPr>
                <w:spacing w:val="-6"/>
              </w:rPr>
              <w:t>日平均</w:t>
            </w:r>
          </w:p>
        </w:tc>
        <w:tc>
          <w:tcPr>
            <w:tcW w:w="1770" w:type="dxa"/>
            <w:gridSpan w:val="2"/>
            <w:tcBorders>
              <w:left w:val="single" w:color="000000" w:sz="4" w:space="0"/>
              <w:right w:val="single" w:color="000000" w:sz="4" w:space="0"/>
            </w:tcBorders>
            <w:vAlign w:val="top"/>
          </w:tcPr>
          <w:p w14:paraId="5D915BFA">
            <w:pPr>
              <w:spacing w:before="77" w:line="179" w:lineRule="auto"/>
              <w:ind w:left="7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0.08</w:t>
            </w:r>
          </w:p>
        </w:tc>
        <w:tc>
          <w:tcPr>
            <w:tcW w:w="1507" w:type="dxa"/>
            <w:gridSpan w:val="2"/>
            <w:tcBorders>
              <w:left w:val="single" w:color="000000" w:sz="4" w:space="0"/>
              <w:right w:val="single" w:color="000000" w:sz="4" w:space="0"/>
            </w:tcBorders>
            <w:vAlign w:val="top"/>
          </w:tcPr>
          <w:p w14:paraId="454EBEAA">
            <w:pPr>
              <w:spacing w:before="77" w:line="179" w:lineRule="auto"/>
              <w:ind w:left="5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0.08</w:t>
            </w:r>
          </w:p>
        </w:tc>
        <w:tc>
          <w:tcPr>
            <w:tcW w:w="2282" w:type="dxa"/>
            <w:vMerge w:val="continue"/>
            <w:tcBorders>
              <w:top w:val="nil"/>
              <w:left w:val="single" w:color="000000" w:sz="4" w:space="0"/>
              <w:bottom w:val="nil"/>
              <w:right w:val="single" w:color="000000" w:sz="4" w:space="0"/>
            </w:tcBorders>
            <w:vAlign w:val="top"/>
          </w:tcPr>
          <w:p w14:paraId="16A6D5FA">
            <w:pPr>
              <w:rPr>
                <w:rFonts w:ascii="Arial"/>
                <w:sz w:val="21"/>
              </w:rPr>
            </w:pPr>
          </w:p>
        </w:tc>
        <w:tc>
          <w:tcPr>
            <w:tcW w:w="128" w:type="dxa"/>
            <w:tcBorders>
              <w:top w:val="nil"/>
              <w:left w:val="single" w:color="000000" w:sz="4" w:space="0"/>
              <w:bottom w:val="nil"/>
            </w:tcBorders>
            <w:vAlign w:val="top"/>
          </w:tcPr>
          <w:p w14:paraId="147AF4E3">
            <w:pPr>
              <w:rPr>
                <w:rFonts w:ascii="Arial"/>
                <w:sz w:val="21"/>
              </w:rPr>
            </w:pPr>
          </w:p>
        </w:tc>
      </w:tr>
      <w:tr w14:paraId="6D05E8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494" w:type="dxa"/>
            <w:vMerge w:val="continue"/>
            <w:tcBorders>
              <w:top w:val="nil"/>
              <w:bottom w:val="nil"/>
            </w:tcBorders>
            <w:textDirection w:val="tbRlV"/>
            <w:vAlign w:val="top"/>
          </w:tcPr>
          <w:p w14:paraId="767B9D9B">
            <w:pPr>
              <w:rPr>
                <w:rFonts w:ascii="Arial"/>
                <w:sz w:val="21"/>
              </w:rPr>
            </w:pPr>
          </w:p>
        </w:tc>
        <w:tc>
          <w:tcPr>
            <w:tcW w:w="122" w:type="dxa"/>
            <w:tcBorders>
              <w:top w:val="nil"/>
              <w:bottom w:val="nil"/>
              <w:right w:val="single" w:color="000000" w:sz="4" w:space="0"/>
            </w:tcBorders>
            <w:vAlign w:val="top"/>
          </w:tcPr>
          <w:p w14:paraId="545C2B5F">
            <w:pPr>
              <w:rPr>
                <w:rFonts w:ascii="Arial"/>
                <w:sz w:val="21"/>
              </w:rPr>
            </w:pPr>
          </w:p>
        </w:tc>
        <w:tc>
          <w:tcPr>
            <w:tcW w:w="1326" w:type="dxa"/>
            <w:gridSpan w:val="2"/>
            <w:vMerge w:val="continue"/>
            <w:tcBorders>
              <w:top w:val="nil"/>
              <w:left w:val="single" w:color="000000" w:sz="4" w:space="0"/>
              <w:right w:val="single" w:color="000000" w:sz="4" w:space="0"/>
            </w:tcBorders>
            <w:vAlign w:val="top"/>
          </w:tcPr>
          <w:p w14:paraId="0ACBF0D2">
            <w:pPr>
              <w:rPr>
                <w:rFonts w:ascii="Arial"/>
                <w:sz w:val="21"/>
              </w:rPr>
            </w:pPr>
          </w:p>
        </w:tc>
        <w:tc>
          <w:tcPr>
            <w:tcW w:w="1437" w:type="dxa"/>
            <w:tcBorders>
              <w:left w:val="single" w:color="000000" w:sz="4" w:space="0"/>
              <w:right w:val="single" w:color="000000" w:sz="4" w:space="0"/>
            </w:tcBorders>
            <w:vAlign w:val="top"/>
          </w:tcPr>
          <w:p w14:paraId="5E72C824">
            <w:pPr>
              <w:pStyle w:val="6"/>
              <w:spacing w:before="60" w:line="210" w:lineRule="auto"/>
              <w:ind w:left="310"/>
            </w:pPr>
            <w:r>
              <w:rPr>
                <w:spacing w:val="5"/>
              </w:rPr>
              <w:t>小时平均</w:t>
            </w:r>
          </w:p>
        </w:tc>
        <w:tc>
          <w:tcPr>
            <w:tcW w:w="1770" w:type="dxa"/>
            <w:gridSpan w:val="2"/>
            <w:tcBorders>
              <w:left w:val="single" w:color="000000" w:sz="4" w:space="0"/>
              <w:right w:val="single" w:color="000000" w:sz="4" w:space="0"/>
            </w:tcBorders>
            <w:vAlign w:val="top"/>
          </w:tcPr>
          <w:p w14:paraId="6F8BB7FB">
            <w:pPr>
              <w:spacing w:before="96" w:line="195" w:lineRule="auto"/>
              <w:ind w:left="7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0.20</w:t>
            </w:r>
          </w:p>
        </w:tc>
        <w:tc>
          <w:tcPr>
            <w:tcW w:w="1507" w:type="dxa"/>
            <w:gridSpan w:val="2"/>
            <w:tcBorders>
              <w:left w:val="single" w:color="000000" w:sz="4" w:space="0"/>
              <w:right w:val="single" w:color="000000" w:sz="4" w:space="0"/>
            </w:tcBorders>
            <w:vAlign w:val="top"/>
          </w:tcPr>
          <w:p w14:paraId="4A6AA148">
            <w:pPr>
              <w:spacing w:before="96" w:line="195" w:lineRule="auto"/>
              <w:ind w:left="5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0.20</w:t>
            </w:r>
          </w:p>
        </w:tc>
        <w:tc>
          <w:tcPr>
            <w:tcW w:w="2282" w:type="dxa"/>
            <w:vMerge w:val="continue"/>
            <w:tcBorders>
              <w:top w:val="nil"/>
              <w:left w:val="single" w:color="000000" w:sz="4" w:space="0"/>
              <w:bottom w:val="nil"/>
              <w:right w:val="single" w:color="000000" w:sz="4" w:space="0"/>
            </w:tcBorders>
            <w:vAlign w:val="top"/>
          </w:tcPr>
          <w:p w14:paraId="55622117">
            <w:pPr>
              <w:rPr>
                <w:rFonts w:ascii="Arial"/>
                <w:sz w:val="21"/>
              </w:rPr>
            </w:pPr>
          </w:p>
        </w:tc>
        <w:tc>
          <w:tcPr>
            <w:tcW w:w="128" w:type="dxa"/>
            <w:tcBorders>
              <w:top w:val="nil"/>
              <w:left w:val="single" w:color="000000" w:sz="4" w:space="0"/>
              <w:bottom w:val="nil"/>
            </w:tcBorders>
            <w:vAlign w:val="top"/>
          </w:tcPr>
          <w:p w14:paraId="05F99B3B">
            <w:pPr>
              <w:rPr>
                <w:rFonts w:ascii="Arial"/>
                <w:sz w:val="21"/>
              </w:rPr>
            </w:pPr>
          </w:p>
        </w:tc>
      </w:tr>
      <w:tr w14:paraId="41893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494" w:type="dxa"/>
            <w:vMerge w:val="continue"/>
            <w:tcBorders>
              <w:top w:val="nil"/>
              <w:bottom w:val="nil"/>
            </w:tcBorders>
            <w:textDirection w:val="tbRlV"/>
            <w:vAlign w:val="top"/>
          </w:tcPr>
          <w:p w14:paraId="0AE607EB">
            <w:pPr>
              <w:rPr>
                <w:rFonts w:ascii="Arial"/>
                <w:sz w:val="21"/>
              </w:rPr>
            </w:pPr>
          </w:p>
        </w:tc>
        <w:tc>
          <w:tcPr>
            <w:tcW w:w="122" w:type="dxa"/>
            <w:tcBorders>
              <w:top w:val="nil"/>
              <w:bottom w:val="nil"/>
              <w:right w:val="single" w:color="000000" w:sz="4" w:space="0"/>
            </w:tcBorders>
            <w:vAlign w:val="top"/>
          </w:tcPr>
          <w:p w14:paraId="0D61BC84">
            <w:pPr>
              <w:rPr>
                <w:rFonts w:ascii="Arial"/>
                <w:sz w:val="21"/>
              </w:rPr>
            </w:pPr>
          </w:p>
        </w:tc>
        <w:tc>
          <w:tcPr>
            <w:tcW w:w="1326" w:type="dxa"/>
            <w:gridSpan w:val="2"/>
            <w:vMerge w:val="restart"/>
            <w:tcBorders>
              <w:left w:val="single" w:color="000000" w:sz="4" w:space="0"/>
              <w:bottom w:val="nil"/>
              <w:right w:val="single" w:color="000000" w:sz="4" w:space="0"/>
            </w:tcBorders>
            <w:vAlign w:val="top"/>
          </w:tcPr>
          <w:p w14:paraId="5A70B9A7">
            <w:pPr>
              <w:spacing w:line="301" w:lineRule="auto"/>
              <w:rPr>
                <w:rFonts w:ascii="Arial"/>
                <w:sz w:val="21"/>
              </w:rPr>
            </w:pPr>
          </w:p>
          <w:p w14:paraId="6B6D7CEE">
            <w:pPr>
              <w:spacing w:before="57" w:line="199" w:lineRule="auto"/>
              <w:ind w:left="443"/>
              <w:rPr>
                <w:rFonts w:ascii="Times New Roman" w:hAnsi="Times New Roman" w:eastAsia="Times New Roman" w:cs="Times New Roman"/>
                <w:sz w:val="13"/>
                <w:szCs w:val="13"/>
              </w:rPr>
            </w:pPr>
            <w:r>
              <w:rPr>
                <w:rFonts w:ascii="Times New Roman" w:hAnsi="Times New Roman" w:eastAsia="Times New Roman" w:cs="Times New Roman"/>
                <w:sz w:val="20"/>
                <w:szCs w:val="20"/>
              </w:rPr>
              <w:t>PM</w:t>
            </w:r>
            <w:r>
              <w:rPr>
                <w:rFonts w:ascii="Times New Roman" w:hAnsi="Times New Roman" w:eastAsia="Times New Roman" w:cs="Times New Roman"/>
                <w:spacing w:val="8"/>
                <w:position w:val="-1"/>
                <w:sz w:val="13"/>
                <w:szCs w:val="13"/>
              </w:rPr>
              <w:t>10</w:t>
            </w:r>
          </w:p>
        </w:tc>
        <w:tc>
          <w:tcPr>
            <w:tcW w:w="1437" w:type="dxa"/>
            <w:tcBorders>
              <w:left w:val="single" w:color="000000" w:sz="4" w:space="0"/>
              <w:right w:val="single" w:color="000000" w:sz="4" w:space="0"/>
            </w:tcBorders>
            <w:vAlign w:val="top"/>
          </w:tcPr>
          <w:p w14:paraId="67557702">
            <w:pPr>
              <w:pStyle w:val="6"/>
              <w:spacing w:before="38" w:line="188" w:lineRule="auto"/>
              <w:ind w:left="409"/>
            </w:pPr>
            <w:r>
              <w:rPr>
                <w:spacing w:val="6"/>
              </w:rPr>
              <w:t>年平均</w:t>
            </w:r>
          </w:p>
        </w:tc>
        <w:tc>
          <w:tcPr>
            <w:tcW w:w="1770" w:type="dxa"/>
            <w:gridSpan w:val="2"/>
            <w:tcBorders>
              <w:left w:val="single" w:color="000000" w:sz="4" w:space="0"/>
              <w:right w:val="single" w:color="000000" w:sz="4" w:space="0"/>
            </w:tcBorders>
            <w:vAlign w:val="top"/>
          </w:tcPr>
          <w:p w14:paraId="66ACE93E">
            <w:pPr>
              <w:spacing w:before="74" w:line="175" w:lineRule="auto"/>
              <w:ind w:left="7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0.04</w:t>
            </w:r>
          </w:p>
        </w:tc>
        <w:tc>
          <w:tcPr>
            <w:tcW w:w="1507" w:type="dxa"/>
            <w:gridSpan w:val="2"/>
            <w:tcBorders>
              <w:left w:val="single" w:color="000000" w:sz="4" w:space="0"/>
              <w:right w:val="single" w:color="000000" w:sz="4" w:space="0"/>
            </w:tcBorders>
            <w:vAlign w:val="top"/>
          </w:tcPr>
          <w:p w14:paraId="5486D522">
            <w:pPr>
              <w:spacing w:before="74" w:line="175" w:lineRule="auto"/>
              <w:ind w:left="5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w:t>
            </w:r>
          </w:p>
        </w:tc>
        <w:tc>
          <w:tcPr>
            <w:tcW w:w="2282" w:type="dxa"/>
            <w:vMerge w:val="continue"/>
            <w:tcBorders>
              <w:top w:val="nil"/>
              <w:left w:val="single" w:color="000000" w:sz="4" w:space="0"/>
              <w:bottom w:val="nil"/>
              <w:right w:val="single" w:color="000000" w:sz="4" w:space="0"/>
            </w:tcBorders>
            <w:vAlign w:val="top"/>
          </w:tcPr>
          <w:p w14:paraId="52FF4115">
            <w:pPr>
              <w:rPr>
                <w:rFonts w:ascii="Arial"/>
                <w:sz w:val="21"/>
              </w:rPr>
            </w:pPr>
          </w:p>
        </w:tc>
        <w:tc>
          <w:tcPr>
            <w:tcW w:w="128" w:type="dxa"/>
            <w:tcBorders>
              <w:top w:val="nil"/>
              <w:left w:val="single" w:color="000000" w:sz="4" w:space="0"/>
              <w:bottom w:val="nil"/>
            </w:tcBorders>
            <w:vAlign w:val="top"/>
          </w:tcPr>
          <w:p w14:paraId="4A8506ED">
            <w:pPr>
              <w:rPr>
                <w:rFonts w:ascii="Arial"/>
                <w:sz w:val="21"/>
              </w:rPr>
            </w:pPr>
          </w:p>
        </w:tc>
      </w:tr>
      <w:tr w14:paraId="272FF8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494" w:type="dxa"/>
            <w:vMerge w:val="continue"/>
            <w:tcBorders>
              <w:top w:val="nil"/>
              <w:bottom w:val="nil"/>
            </w:tcBorders>
            <w:textDirection w:val="tbRlV"/>
            <w:vAlign w:val="top"/>
          </w:tcPr>
          <w:p w14:paraId="5B822CD2">
            <w:pPr>
              <w:rPr>
                <w:rFonts w:ascii="Arial"/>
                <w:sz w:val="21"/>
              </w:rPr>
            </w:pPr>
          </w:p>
        </w:tc>
        <w:tc>
          <w:tcPr>
            <w:tcW w:w="122" w:type="dxa"/>
            <w:tcBorders>
              <w:top w:val="nil"/>
              <w:bottom w:val="nil"/>
              <w:right w:val="single" w:color="000000" w:sz="4" w:space="0"/>
            </w:tcBorders>
            <w:vAlign w:val="top"/>
          </w:tcPr>
          <w:p w14:paraId="50139A03">
            <w:pPr>
              <w:rPr>
                <w:rFonts w:ascii="Arial"/>
                <w:sz w:val="21"/>
              </w:rPr>
            </w:pPr>
          </w:p>
        </w:tc>
        <w:tc>
          <w:tcPr>
            <w:tcW w:w="1326" w:type="dxa"/>
            <w:gridSpan w:val="2"/>
            <w:vMerge w:val="continue"/>
            <w:tcBorders>
              <w:top w:val="nil"/>
              <w:left w:val="single" w:color="000000" w:sz="4" w:space="0"/>
              <w:bottom w:val="nil"/>
              <w:right w:val="single" w:color="000000" w:sz="4" w:space="0"/>
            </w:tcBorders>
            <w:vAlign w:val="top"/>
          </w:tcPr>
          <w:p w14:paraId="260623E3">
            <w:pPr>
              <w:rPr>
                <w:rFonts w:ascii="Arial"/>
                <w:sz w:val="21"/>
              </w:rPr>
            </w:pPr>
          </w:p>
        </w:tc>
        <w:tc>
          <w:tcPr>
            <w:tcW w:w="1437" w:type="dxa"/>
            <w:tcBorders>
              <w:left w:val="single" w:color="000000" w:sz="4" w:space="0"/>
              <w:right w:val="single" w:color="000000" w:sz="4" w:space="0"/>
            </w:tcBorders>
            <w:vAlign w:val="top"/>
          </w:tcPr>
          <w:p w14:paraId="5282EF2D">
            <w:pPr>
              <w:pStyle w:val="6"/>
              <w:spacing w:before="64" w:line="200" w:lineRule="auto"/>
              <w:ind w:left="444"/>
            </w:pPr>
            <w:r>
              <w:rPr>
                <w:spacing w:val="-6"/>
              </w:rPr>
              <w:t>日平均</w:t>
            </w:r>
          </w:p>
        </w:tc>
        <w:tc>
          <w:tcPr>
            <w:tcW w:w="1770" w:type="dxa"/>
            <w:gridSpan w:val="2"/>
            <w:tcBorders>
              <w:left w:val="single" w:color="000000" w:sz="4" w:space="0"/>
              <w:right w:val="single" w:color="000000" w:sz="4" w:space="0"/>
            </w:tcBorders>
            <w:vAlign w:val="top"/>
          </w:tcPr>
          <w:p w14:paraId="593D9892">
            <w:pPr>
              <w:spacing w:before="100" w:line="188" w:lineRule="auto"/>
              <w:ind w:left="7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w:t>
            </w:r>
          </w:p>
        </w:tc>
        <w:tc>
          <w:tcPr>
            <w:tcW w:w="1507" w:type="dxa"/>
            <w:gridSpan w:val="2"/>
            <w:tcBorders>
              <w:left w:val="single" w:color="000000" w:sz="4" w:space="0"/>
              <w:right w:val="single" w:color="000000" w:sz="4" w:space="0"/>
            </w:tcBorders>
            <w:vAlign w:val="top"/>
          </w:tcPr>
          <w:p w14:paraId="4FE030B3">
            <w:pPr>
              <w:spacing w:before="100" w:line="188" w:lineRule="auto"/>
              <w:ind w:left="5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0.15</w:t>
            </w:r>
          </w:p>
        </w:tc>
        <w:tc>
          <w:tcPr>
            <w:tcW w:w="2282" w:type="dxa"/>
            <w:vMerge w:val="continue"/>
            <w:tcBorders>
              <w:top w:val="nil"/>
              <w:left w:val="single" w:color="000000" w:sz="4" w:space="0"/>
              <w:bottom w:val="nil"/>
              <w:right w:val="single" w:color="000000" w:sz="4" w:space="0"/>
            </w:tcBorders>
            <w:vAlign w:val="top"/>
          </w:tcPr>
          <w:p w14:paraId="4A6817EF">
            <w:pPr>
              <w:rPr>
                <w:rFonts w:ascii="Arial"/>
                <w:sz w:val="21"/>
              </w:rPr>
            </w:pPr>
          </w:p>
        </w:tc>
        <w:tc>
          <w:tcPr>
            <w:tcW w:w="128" w:type="dxa"/>
            <w:tcBorders>
              <w:top w:val="nil"/>
              <w:left w:val="single" w:color="000000" w:sz="4" w:space="0"/>
              <w:bottom w:val="nil"/>
            </w:tcBorders>
            <w:vAlign w:val="top"/>
          </w:tcPr>
          <w:p w14:paraId="62433475">
            <w:pPr>
              <w:rPr>
                <w:rFonts w:ascii="Arial"/>
                <w:sz w:val="21"/>
              </w:rPr>
            </w:pPr>
          </w:p>
        </w:tc>
      </w:tr>
      <w:tr w14:paraId="67AA9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494" w:type="dxa"/>
            <w:vMerge w:val="continue"/>
            <w:tcBorders>
              <w:top w:val="nil"/>
              <w:bottom w:val="nil"/>
            </w:tcBorders>
            <w:textDirection w:val="tbRlV"/>
            <w:vAlign w:val="top"/>
          </w:tcPr>
          <w:p w14:paraId="5BF31C03">
            <w:pPr>
              <w:rPr>
                <w:rFonts w:ascii="Arial"/>
                <w:sz w:val="21"/>
              </w:rPr>
            </w:pPr>
          </w:p>
        </w:tc>
        <w:tc>
          <w:tcPr>
            <w:tcW w:w="122" w:type="dxa"/>
            <w:tcBorders>
              <w:top w:val="nil"/>
              <w:bottom w:val="nil"/>
              <w:right w:val="single" w:color="000000" w:sz="4" w:space="0"/>
            </w:tcBorders>
            <w:vAlign w:val="top"/>
          </w:tcPr>
          <w:p w14:paraId="6C7D57B0">
            <w:pPr>
              <w:rPr>
                <w:rFonts w:ascii="Arial"/>
                <w:sz w:val="21"/>
              </w:rPr>
            </w:pPr>
          </w:p>
        </w:tc>
        <w:tc>
          <w:tcPr>
            <w:tcW w:w="1326" w:type="dxa"/>
            <w:gridSpan w:val="2"/>
            <w:vMerge w:val="continue"/>
            <w:tcBorders>
              <w:top w:val="nil"/>
              <w:left w:val="single" w:color="000000" w:sz="4" w:space="0"/>
              <w:right w:val="single" w:color="000000" w:sz="4" w:space="0"/>
            </w:tcBorders>
            <w:vAlign w:val="top"/>
          </w:tcPr>
          <w:p w14:paraId="4E799D34">
            <w:pPr>
              <w:rPr>
                <w:rFonts w:ascii="Arial"/>
                <w:sz w:val="21"/>
              </w:rPr>
            </w:pPr>
          </w:p>
        </w:tc>
        <w:tc>
          <w:tcPr>
            <w:tcW w:w="1437" w:type="dxa"/>
            <w:tcBorders>
              <w:left w:val="single" w:color="000000" w:sz="4" w:space="0"/>
              <w:right w:val="single" w:color="000000" w:sz="4" w:space="0"/>
            </w:tcBorders>
            <w:vAlign w:val="top"/>
          </w:tcPr>
          <w:p w14:paraId="775F44A4">
            <w:pPr>
              <w:pStyle w:val="6"/>
              <w:spacing w:before="48" w:line="216" w:lineRule="auto"/>
              <w:ind w:left="310"/>
            </w:pPr>
            <w:r>
              <w:rPr>
                <w:spacing w:val="5"/>
              </w:rPr>
              <w:t>小时平均</w:t>
            </w:r>
          </w:p>
        </w:tc>
        <w:tc>
          <w:tcPr>
            <w:tcW w:w="1770" w:type="dxa"/>
            <w:gridSpan w:val="2"/>
            <w:tcBorders>
              <w:left w:val="single" w:color="000000" w:sz="4" w:space="0"/>
              <w:right w:val="single" w:color="000000" w:sz="4" w:space="0"/>
            </w:tcBorders>
            <w:vAlign w:val="top"/>
          </w:tcPr>
          <w:p w14:paraId="6DAB9C5F">
            <w:pPr>
              <w:spacing w:before="173" w:line="97" w:lineRule="exact"/>
              <w:ind w:left="855"/>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w:t>
            </w:r>
          </w:p>
        </w:tc>
        <w:tc>
          <w:tcPr>
            <w:tcW w:w="1507" w:type="dxa"/>
            <w:gridSpan w:val="2"/>
            <w:tcBorders>
              <w:left w:val="single" w:color="000000" w:sz="4" w:space="0"/>
              <w:right w:val="single" w:color="000000" w:sz="4" w:space="0"/>
            </w:tcBorders>
            <w:vAlign w:val="top"/>
          </w:tcPr>
          <w:p w14:paraId="6667C9A9">
            <w:pPr>
              <w:spacing w:before="173" w:line="97" w:lineRule="exact"/>
              <w:ind w:left="72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w:t>
            </w:r>
          </w:p>
        </w:tc>
        <w:tc>
          <w:tcPr>
            <w:tcW w:w="2282" w:type="dxa"/>
            <w:vMerge w:val="continue"/>
            <w:tcBorders>
              <w:top w:val="nil"/>
              <w:left w:val="single" w:color="000000" w:sz="4" w:space="0"/>
              <w:bottom w:val="nil"/>
              <w:right w:val="single" w:color="000000" w:sz="4" w:space="0"/>
            </w:tcBorders>
            <w:vAlign w:val="top"/>
          </w:tcPr>
          <w:p w14:paraId="79EE1354">
            <w:pPr>
              <w:rPr>
                <w:rFonts w:ascii="Arial"/>
                <w:sz w:val="21"/>
              </w:rPr>
            </w:pPr>
          </w:p>
        </w:tc>
        <w:tc>
          <w:tcPr>
            <w:tcW w:w="128" w:type="dxa"/>
            <w:tcBorders>
              <w:top w:val="nil"/>
              <w:left w:val="single" w:color="000000" w:sz="4" w:space="0"/>
              <w:bottom w:val="nil"/>
            </w:tcBorders>
            <w:vAlign w:val="top"/>
          </w:tcPr>
          <w:p w14:paraId="0A106D40">
            <w:pPr>
              <w:rPr>
                <w:rFonts w:ascii="Arial"/>
                <w:sz w:val="21"/>
              </w:rPr>
            </w:pPr>
          </w:p>
        </w:tc>
      </w:tr>
      <w:tr w14:paraId="4F47E9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494" w:type="dxa"/>
            <w:vMerge w:val="continue"/>
            <w:tcBorders>
              <w:top w:val="nil"/>
              <w:bottom w:val="nil"/>
            </w:tcBorders>
            <w:textDirection w:val="tbRlV"/>
            <w:vAlign w:val="top"/>
          </w:tcPr>
          <w:p w14:paraId="6D26AB92">
            <w:pPr>
              <w:rPr>
                <w:rFonts w:ascii="Arial"/>
                <w:sz w:val="21"/>
              </w:rPr>
            </w:pPr>
          </w:p>
        </w:tc>
        <w:tc>
          <w:tcPr>
            <w:tcW w:w="122" w:type="dxa"/>
            <w:tcBorders>
              <w:top w:val="nil"/>
              <w:bottom w:val="nil"/>
              <w:right w:val="single" w:color="000000" w:sz="4" w:space="0"/>
            </w:tcBorders>
            <w:vAlign w:val="top"/>
          </w:tcPr>
          <w:p w14:paraId="49695592">
            <w:pPr>
              <w:rPr>
                <w:rFonts w:ascii="Arial"/>
                <w:sz w:val="21"/>
              </w:rPr>
            </w:pPr>
          </w:p>
        </w:tc>
        <w:tc>
          <w:tcPr>
            <w:tcW w:w="1326" w:type="dxa"/>
            <w:gridSpan w:val="2"/>
            <w:vMerge w:val="restart"/>
            <w:tcBorders>
              <w:left w:val="single" w:color="000000" w:sz="4" w:space="0"/>
              <w:bottom w:val="nil"/>
              <w:right w:val="single" w:color="000000" w:sz="4" w:space="0"/>
            </w:tcBorders>
            <w:vAlign w:val="top"/>
          </w:tcPr>
          <w:p w14:paraId="2030CBA2">
            <w:pPr>
              <w:spacing w:line="295" w:lineRule="auto"/>
              <w:rPr>
                <w:rFonts w:ascii="Arial"/>
                <w:sz w:val="21"/>
              </w:rPr>
            </w:pPr>
          </w:p>
          <w:p w14:paraId="16AB3BAE">
            <w:pPr>
              <w:spacing w:before="57" w:line="201" w:lineRule="auto"/>
              <w:ind w:left="426"/>
              <w:rPr>
                <w:rFonts w:ascii="Times New Roman" w:hAnsi="Times New Roman" w:eastAsia="Times New Roman" w:cs="Times New Roman"/>
                <w:sz w:val="13"/>
                <w:szCs w:val="13"/>
              </w:rPr>
            </w:pPr>
            <w:r>
              <w:rPr>
                <w:rFonts w:ascii="Times New Roman" w:hAnsi="Times New Roman" w:eastAsia="Times New Roman" w:cs="Times New Roman"/>
                <w:sz w:val="20"/>
                <w:szCs w:val="20"/>
              </w:rPr>
              <w:t>PM</w:t>
            </w:r>
            <w:r>
              <w:rPr>
                <w:rFonts w:ascii="Times New Roman" w:hAnsi="Times New Roman" w:eastAsia="Times New Roman" w:cs="Times New Roman"/>
                <w:spacing w:val="6"/>
                <w:position w:val="-1"/>
                <w:sz w:val="13"/>
                <w:szCs w:val="13"/>
              </w:rPr>
              <w:t>2.5</w:t>
            </w:r>
          </w:p>
        </w:tc>
        <w:tc>
          <w:tcPr>
            <w:tcW w:w="1437" w:type="dxa"/>
            <w:tcBorders>
              <w:left w:val="single" w:color="000000" w:sz="4" w:space="0"/>
              <w:right w:val="single" w:color="000000" w:sz="4" w:space="0"/>
            </w:tcBorders>
            <w:vAlign w:val="top"/>
          </w:tcPr>
          <w:p w14:paraId="73B1F1CD">
            <w:pPr>
              <w:pStyle w:val="6"/>
              <w:spacing w:before="34" w:line="196" w:lineRule="auto"/>
              <w:ind w:left="409"/>
            </w:pPr>
            <w:r>
              <w:rPr>
                <w:spacing w:val="6"/>
              </w:rPr>
              <w:t>年平均</w:t>
            </w:r>
          </w:p>
        </w:tc>
        <w:tc>
          <w:tcPr>
            <w:tcW w:w="1770" w:type="dxa"/>
            <w:gridSpan w:val="2"/>
            <w:tcBorders>
              <w:left w:val="single" w:color="000000" w:sz="4" w:space="0"/>
              <w:right w:val="single" w:color="000000" w:sz="4" w:space="0"/>
            </w:tcBorders>
            <w:vAlign w:val="top"/>
          </w:tcPr>
          <w:p w14:paraId="0E48204C">
            <w:pPr>
              <w:spacing w:before="70" w:line="184" w:lineRule="auto"/>
              <w:ind w:left="65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0.015</w:t>
            </w:r>
          </w:p>
        </w:tc>
        <w:tc>
          <w:tcPr>
            <w:tcW w:w="1507" w:type="dxa"/>
            <w:gridSpan w:val="2"/>
            <w:tcBorders>
              <w:left w:val="single" w:color="000000" w:sz="4" w:space="0"/>
              <w:right w:val="single" w:color="000000" w:sz="4" w:space="0"/>
            </w:tcBorders>
            <w:vAlign w:val="top"/>
          </w:tcPr>
          <w:p w14:paraId="7F5E7349">
            <w:pPr>
              <w:spacing w:before="70" w:line="184" w:lineRule="auto"/>
              <w:ind w:left="5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0.035</w:t>
            </w:r>
          </w:p>
        </w:tc>
        <w:tc>
          <w:tcPr>
            <w:tcW w:w="2282" w:type="dxa"/>
            <w:vMerge w:val="continue"/>
            <w:tcBorders>
              <w:top w:val="nil"/>
              <w:left w:val="single" w:color="000000" w:sz="4" w:space="0"/>
              <w:bottom w:val="nil"/>
              <w:right w:val="single" w:color="000000" w:sz="4" w:space="0"/>
            </w:tcBorders>
            <w:vAlign w:val="top"/>
          </w:tcPr>
          <w:p w14:paraId="7C18079A">
            <w:pPr>
              <w:rPr>
                <w:rFonts w:ascii="Arial"/>
                <w:sz w:val="21"/>
              </w:rPr>
            </w:pPr>
          </w:p>
        </w:tc>
        <w:tc>
          <w:tcPr>
            <w:tcW w:w="128" w:type="dxa"/>
            <w:tcBorders>
              <w:top w:val="nil"/>
              <w:left w:val="single" w:color="000000" w:sz="4" w:space="0"/>
              <w:bottom w:val="nil"/>
            </w:tcBorders>
            <w:vAlign w:val="top"/>
          </w:tcPr>
          <w:p w14:paraId="24D6B2FE">
            <w:pPr>
              <w:rPr>
                <w:rFonts w:ascii="Arial"/>
                <w:sz w:val="21"/>
              </w:rPr>
            </w:pPr>
          </w:p>
        </w:tc>
      </w:tr>
      <w:tr w14:paraId="17FA2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494" w:type="dxa"/>
            <w:vMerge w:val="continue"/>
            <w:tcBorders>
              <w:top w:val="nil"/>
              <w:bottom w:val="nil"/>
            </w:tcBorders>
            <w:textDirection w:val="tbRlV"/>
            <w:vAlign w:val="top"/>
          </w:tcPr>
          <w:p w14:paraId="418B51CD">
            <w:pPr>
              <w:rPr>
                <w:rFonts w:ascii="Arial"/>
                <w:sz w:val="21"/>
              </w:rPr>
            </w:pPr>
          </w:p>
        </w:tc>
        <w:tc>
          <w:tcPr>
            <w:tcW w:w="122" w:type="dxa"/>
            <w:tcBorders>
              <w:top w:val="nil"/>
              <w:bottom w:val="nil"/>
              <w:right w:val="single" w:color="000000" w:sz="4" w:space="0"/>
            </w:tcBorders>
            <w:vAlign w:val="top"/>
          </w:tcPr>
          <w:p w14:paraId="55D1F149">
            <w:pPr>
              <w:rPr>
                <w:rFonts w:ascii="Arial"/>
                <w:sz w:val="21"/>
              </w:rPr>
            </w:pPr>
          </w:p>
        </w:tc>
        <w:tc>
          <w:tcPr>
            <w:tcW w:w="1326" w:type="dxa"/>
            <w:gridSpan w:val="2"/>
            <w:vMerge w:val="continue"/>
            <w:tcBorders>
              <w:top w:val="nil"/>
              <w:left w:val="single" w:color="000000" w:sz="4" w:space="0"/>
              <w:bottom w:val="nil"/>
              <w:right w:val="single" w:color="000000" w:sz="4" w:space="0"/>
            </w:tcBorders>
            <w:vAlign w:val="top"/>
          </w:tcPr>
          <w:p w14:paraId="61EED24D">
            <w:pPr>
              <w:rPr>
                <w:rFonts w:ascii="Arial"/>
                <w:sz w:val="21"/>
              </w:rPr>
            </w:pPr>
          </w:p>
        </w:tc>
        <w:tc>
          <w:tcPr>
            <w:tcW w:w="1437" w:type="dxa"/>
            <w:tcBorders>
              <w:left w:val="single" w:color="000000" w:sz="4" w:space="0"/>
              <w:right w:val="single" w:color="000000" w:sz="4" w:space="0"/>
            </w:tcBorders>
            <w:vAlign w:val="top"/>
          </w:tcPr>
          <w:p w14:paraId="2EF97F13">
            <w:pPr>
              <w:pStyle w:val="6"/>
              <w:spacing w:before="53" w:line="210" w:lineRule="auto"/>
              <w:ind w:left="444"/>
            </w:pPr>
            <w:r>
              <w:rPr>
                <w:spacing w:val="-6"/>
              </w:rPr>
              <w:t>日平均</w:t>
            </w:r>
          </w:p>
        </w:tc>
        <w:tc>
          <w:tcPr>
            <w:tcW w:w="1770" w:type="dxa"/>
            <w:gridSpan w:val="2"/>
            <w:tcBorders>
              <w:left w:val="single" w:color="000000" w:sz="4" w:space="0"/>
              <w:right w:val="single" w:color="000000" w:sz="4" w:space="0"/>
            </w:tcBorders>
            <w:vAlign w:val="top"/>
          </w:tcPr>
          <w:p w14:paraId="25743D35">
            <w:pPr>
              <w:spacing w:before="89" w:line="195" w:lineRule="auto"/>
              <w:ind w:left="65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0.035</w:t>
            </w:r>
          </w:p>
        </w:tc>
        <w:tc>
          <w:tcPr>
            <w:tcW w:w="1507" w:type="dxa"/>
            <w:gridSpan w:val="2"/>
            <w:tcBorders>
              <w:left w:val="single" w:color="000000" w:sz="4" w:space="0"/>
              <w:right w:val="single" w:color="000000" w:sz="4" w:space="0"/>
            </w:tcBorders>
            <w:vAlign w:val="top"/>
          </w:tcPr>
          <w:p w14:paraId="218F5C93">
            <w:pPr>
              <w:spacing w:before="89" w:line="195" w:lineRule="auto"/>
              <w:ind w:left="5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0.075</w:t>
            </w:r>
          </w:p>
        </w:tc>
        <w:tc>
          <w:tcPr>
            <w:tcW w:w="2282" w:type="dxa"/>
            <w:vMerge w:val="continue"/>
            <w:tcBorders>
              <w:top w:val="nil"/>
              <w:left w:val="single" w:color="000000" w:sz="4" w:space="0"/>
              <w:bottom w:val="nil"/>
              <w:right w:val="single" w:color="000000" w:sz="4" w:space="0"/>
            </w:tcBorders>
            <w:vAlign w:val="top"/>
          </w:tcPr>
          <w:p w14:paraId="351893B7">
            <w:pPr>
              <w:rPr>
                <w:rFonts w:ascii="Arial"/>
                <w:sz w:val="21"/>
              </w:rPr>
            </w:pPr>
          </w:p>
        </w:tc>
        <w:tc>
          <w:tcPr>
            <w:tcW w:w="128" w:type="dxa"/>
            <w:tcBorders>
              <w:top w:val="nil"/>
              <w:left w:val="single" w:color="000000" w:sz="4" w:space="0"/>
              <w:bottom w:val="nil"/>
            </w:tcBorders>
            <w:vAlign w:val="top"/>
          </w:tcPr>
          <w:p w14:paraId="3FB78C21">
            <w:pPr>
              <w:rPr>
                <w:rFonts w:ascii="Arial"/>
                <w:sz w:val="21"/>
              </w:rPr>
            </w:pPr>
          </w:p>
        </w:tc>
      </w:tr>
      <w:tr w14:paraId="35668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94" w:type="dxa"/>
            <w:vMerge w:val="continue"/>
            <w:tcBorders>
              <w:top w:val="nil"/>
              <w:bottom w:val="nil"/>
            </w:tcBorders>
            <w:textDirection w:val="tbRlV"/>
            <w:vAlign w:val="top"/>
          </w:tcPr>
          <w:p w14:paraId="13FF050D">
            <w:pPr>
              <w:rPr>
                <w:rFonts w:ascii="Arial"/>
                <w:sz w:val="21"/>
              </w:rPr>
            </w:pPr>
          </w:p>
        </w:tc>
        <w:tc>
          <w:tcPr>
            <w:tcW w:w="122" w:type="dxa"/>
            <w:tcBorders>
              <w:top w:val="nil"/>
              <w:bottom w:val="nil"/>
              <w:right w:val="single" w:color="000000" w:sz="4" w:space="0"/>
            </w:tcBorders>
            <w:vAlign w:val="top"/>
          </w:tcPr>
          <w:p w14:paraId="6EDD8A89">
            <w:pPr>
              <w:rPr>
                <w:rFonts w:ascii="Arial"/>
                <w:sz w:val="21"/>
              </w:rPr>
            </w:pPr>
          </w:p>
        </w:tc>
        <w:tc>
          <w:tcPr>
            <w:tcW w:w="1326" w:type="dxa"/>
            <w:gridSpan w:val="2"/>
            <w:vMerge w:val="continue"/>
            <w:tcBorders>
              <w:top w:val="nil"/>
              <w:left w:val="single" w:color="000000" w:sz="4" w:space="0"/>
              <w:right w:val="single" w:color="000000" w:sz="4" w:space="0"/>
            </w:tcBorders>
            <w:vAlign w:val="top"/>
          </w:tcPr>
          <w:p w14:paraId="0B32169B">
            <w:pPr>
              <w:rPr>
                <w:rFonts w:ascii="Arial"/>
                <w:sz w:val="21"/>
              </w:rPr>
            </w:pPr>
          </w:p>
        </w:tc>
        <w:tc>
          <w:tcPr>
            <w:tcW w:w="1437" w:type="dxa"/>
            <w:tcBorders>
              <w:left w:val="single" w:color="000000" w:sz="4" w:space="0"/>
              <w:right w:val="single" w:color="000000" w:sz="4" w:space="0"/>
            </w:tcBorders>
            <w:vAlign w:val="top"/>
          </w:tcPr>
          <w:p w14:paraId="3908F5B2">
            <w:pPr>
              <w:pStyle w:val="6"/>
              <w:spacing w:before="40" w:line="207" w:lineRule="auto"/>
              <w:ind w:left="310"/>
            </w:pPr>
            <w:r>
              <w:rPr>
                <w:spacing w:val="5"/>
              </w:rPr>
              <w:t>小时平均</w:t>
            </w:r>
          </w:p>
        </w:tc>
        <w:tc>
          <w:tcPr>
            <w:tcW w:w="1770" w:type="dxa"/>
            <w:gridSpan w:val="2"/>
            <w:tcBorders>
              <w:left w:val="single" w:color="000000" w:sz="4" w:space="0"/>
              <w:right w:val="single" w:color="000000" w:sz="4" w:space="0"/>
            </w:tcBorders>
            <w:vAlign w:val="top"/>
          </w:tcPr>
          <w:p w14:paraId="6EE353D5">
            <w:pPr>
              <w:spacing w:before="72" w:line="199" w:lineRule="auto"/>
              <w:ind w:left="85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507" w:type="dxa"/>
            <w:gridSpan w:val="2"/>
            <w:tcBorders>
              <w:left w:val="single" w:color="000000" w:sz="4" w:space="0"/>
              <w:right w:val="single" w:color="000000" w:sz="4" w:space="0"/>
            </w:tcBorders>
            <w:vAlign w:val="top"/>
          </w:tcPr>
          <w:p w14:paraId="03CE41DC">
            <w:pPr>
              <w:spacing w:before="72" w:line="199" w:lineRule="auto"/>
              <w:ind w:left="7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282" w:type="dxa"/>
            <w:vMerge w:val="continue"/>
            <w:tcBorders>
              <w:top w:val="nil"/>
              <w:left w:val="single" w:color="000000" w:sz="4" w:space="0"/>
              <w:bottom w:val="nil"/>
              <w:right w:val="single" w:color="000000" w:sz="4" w:space="0"/>
            </w:tcBorders>
            <w:vAlign w:val="top"/>
          </w:tcPr>
          <w:p w14:paraId="4A8E30DC">
            <w:pPr>
              <w:rPr>
                <w:rFonts w:ascii="Arial"/>
                <w:sz w:val="21"/>
              </w:rPr>
            </w:pPr>
          </w:p>
        </w:tc>
        <w:tc>
          <w:tcPr>
            <w:tcW w:w="128" w:type="dxa"/>
            <w:tcBorders>
              <w:top w:val="nil"/>
              <w:left w:val="single" w:color="000000" w:sz="4" w:space="0"/>
              <w:bottom w:val="nil"/>
            </w:tcBorders>
            <w:vAlign w:val="top"/>
          </w:tcPr>
          <w:p w14:paraId="4AE5A8B3">
            <w:pPr>
              <w:rPr>
                <w:rFonts w:ascii="Arial"/>
                <w:sz w:val="21"/>
              </w:rPr>
            </w:pPr>
          </w:p>
        </w:tc>
      </w:tr>
      <w:tr w14:paraId="7A877F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94" w:type="dxa"/>
            <w:vMerge w:val="continue"/>
            <w:tcBorders>
              <w:top w:val="nil"/>
              <w:bottom w:val="nil"/>
            </w:tcBorders>
            <w:textDirection w:val="tbRlV"/>
            <w:vAlign w:val="top"/>
          </w:tcPr>
          <w:p w14:paraId="2653B728">
            <w:pPr>
              <w:rPr>
                <w:rFonts w:ascii="Arial"/>
                <w:sz w:val="21"/>
              </w:rPr>
            </w:pPr>
          </w:p>
        </w:tc>
        <w:tc>
          <w:tcPr>
            <w:tcW w:w="122" w:type="dxa"/>
            <w:tcBorders>
              <w:top w:val="nil"/>
              <w:bottom w:val="nil"/>
              <w:right w:val="single" w:color="000000" w:sz="4" w:space="0"/>
            </w:tcBorders>
            <w:vAlign w:val="top"/>
          </w:tcPr>
          <w:p w14:paraId="59DCCF80">
            <w:pPr>
              <w:rPr>
                <w:rFonts w:ascii="Arial"/>
                <w:sz w:val="21"/>
              </w:rPr>
            </w:pPr>
          </w:p>
        </w:tc>
        <w:tc>
          <w:tcPr>
            <w:tcW w:w="1326" w:type="dxa"/>
            <w:gridSpan w:val="2"/>
            <w:vMerge w:val="restart"/>
            <w:tcBorders>
              <w:left w:val="single" w:color="000000" w:sz="4" w:space="0"/>
              <w:bottom w:val="nil"/>
              <w:right w:val="single" w:color="000000" w:sz="4" w:space="0"/>
            </w:tcBorders>
            <w:vAlign w:val="top"/>
          </w:tcPr>
          <w:p w14:paraId="14077BDF">
            <w:pPr>
              <w:spacing w:line="300" w:lineRule="auto"/>
              <w:rPr>
                <w:rFonts w:ascii="Arial"/>
                <w:sz w:val="21"/>
              </w:rPr>
            </w:pPr>
          </w:p>
          <w:p w14:paraId="0FC6EEF3">
            <w:pPr>
              <w:spacing w:before="58" w:line="195" w:lineRule="auto"/>
              <w:ind w:left="52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CO</w:t>
            </w:r>
          </w:p>
        </w:tc>
        <w:tc>
          <w:tcPr>
            <w:tcW w:w="1437" w:type="dxa"/>
            <w:tcBorders>
              <w:left w:val="single" w:color="000000" w:sz="4" w:space="0"/>
              <w:right w:val="single" w:color="000000" w:sz="4" w:space="0"/>
            </w:tcBorders>
            <w:vAlign w:val="top"/>
          </w:tcPr>
          <w:p w14:paraId="55CC1762">
            <w:pPr>
              <w:pStyle w:val="6"/>
              <w:spacing w:before="43" w:line="207" w:lineRule="auto"/>
              <w:ind w:left="409"/>
            </w:pPr>
            <w:r>
              <w:rPr>
                <w:spacing w:val="6"/>
              </w:rPr>
              <w:t>年平均</w:t>
            </w:r>
          </w:p>
        </w:tc>
        <w:tc>
          <w:tcPr>
            <w:tcW w:w="1770" w:type="dxa"/>
            <w:gridSpan w:val="2"/>
            <w:tcBorders>
              <w:left w:val="single" w:color="000000" w:sz="4" w:space="0"/>
              <w:right w:val="single" w:color="000000" w:sz="4" w:space="0"/>
            </w:tcBorders>
            <w:vAlign w:val="top"/>
          </w:tcPr>
          <w:p w14:paraId="08D890E2">
            <w:pPr>
              <w:spacing w:before="75" w:line="199" w:lineRule="auto"/>
              <w:ind w:left="85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507" w:type="dxa"/>
            <w:gridSpan w:val="2"/>
            <w:tcBorders>
              <w:left w:val="single" w:color="000000" w:sz="4" w:space="0"/>
              <w:right w:val="single" w:color="000000" w:sz="4" w:space="0"/>
            </w:tcBorders>
            <w:vAlign w:val="top"/>
          </w:tcPr>
          <w:p w14:paraId="5605C5AA">
            <w:pPr>
              <w:spacing w:before="75" w:line="199" w:lineRule="auto"/>
              <w:ind w:left="7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282" w:type="dxa"/>
            <w:vMerge w:val="continue"/>
            <w:tcBorders>
              <w:top w:val="nil"/>
              <w:left w:val="single" w:color="000000" w:sz="4" w:space="0"/>
              <w:bottom w:val="nil"/>
              <w:right w:val="single" w:color="000000" w:sz="4" w:space="0"/>
            </w:tcBorders>
            <w:vAlign w:val="top"/>
          </w:tcPr>
          <w:p w14:paraId="5F1EB006">
            <w:pPr>
              <w:rPr>
                <w:rFonts w:ascii="Arial"/>
                <w:sz w:val="21"/>
              </w:rPr>
            </w:pPr>
          </w:p>
        </w:tc>
        <w:tc>
          <w:tcPr>
            <w:tcW w:w="128" w:type="dxa"/>
            <w:tcBorders>
              <w:top w:val="nil"/>
              <w:left w:val="single" w:color="000000" w:sz="4" w:space="0"/>
              <w:bottom w:val="nil"/>
            </w:tcBorders>
            <w:vAlign w:val="top"/>
          </w:tcPr>
          <w:p w14:paraId="04B9A110">
            <w:pPr>
              <w:rPr>
                <w:rFonts w:ascii="Arial"/>
                <w:sz w:val="21"/>
              </w:rPr>
            </w:pPr>
          </w:p>
        </w:tc>
      </w:tr>
      <w:tr w14:paraId="70563A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494" w:type="dxa"/>
            <w:vMerge w:val="continue"/>
            <w:tcBorders>
              <w:top w:val="nil"/>
              <w:bottom w:val="nil"/>
            </w:tcBorders>
            <w:textDirection w:val="tbRlV"/>
            <w:vAlign w:val="top"/>
          </w:tcPr>
          <w:p w14:paraId="6787E704">
            <w:pPr>
              <w:rPr>
                <w:rFonts w:ascii="Arial"/>
                <w:sz w:val="21"/>
              </w:rPr>
            </w:pPr>
          </w:p>
        </w:tc>
        <w:tc>
          <w:tcPr>
            <w:tcW w:w="122" w:type="dxa"/>
            <w:tcBorders>
              <w:top w:val="nil"/>
              <w:bottom w:val="nil"/>
              <w:right w:val="single" w:color="000000" w:sz="4" w:space="0"/>
            </w:tcBorders>
            <w:vAlign w:val="top"/>
          </w:tcPr>
          <w:p w14:paraId="5793F8C8">
            <w:pPr>
              <w:rPr>
                <w:rFonts w:ascii="Arial"/>
                <w:sz w:val="21"/>
              </w:rPr>
            </w:pPr>
          </w:p>
        </w:tc>
        <w:tc>
          <w:tcPr>
            <w:tcW w:w="1326" w:type="dxa"/>
            <w:gridSpan w:val="2"/>
            <w:vMerge w:val="continue"/>
            <w:tcBorders>
              <w:top w:val="nil"/>
              <w:left w:val="single" w:color="000000" w:sz="4" w:space="0"/>
              <w:bottom w:val="nil"/>
              <w:right w:val="single" w:color="000000" w:sz="4" w:space="0"/>
            </w:tcBorders>
            <w:vAlign w:val="top"/>
          </w:tcPr>
          <w:p w14:paraId="0D67BC7F">
            <w:pPr>
              <w:rPr>
                <w:rFonts w:ascii="Arial"/>
                <w:sz w:val="21"/>
              </w:rPr>
            </w:pPr>
          </w:p>
        </w:tc>
        <w:tc>
          <w:tcPr>
            <w:tcW w:w="1437" w:type="dxa"/>
            <w:tcBorders>
              <w:left w:val="single" w:color="000000" w:sz="4" w:space="0"/>
              <w:right w:val="single" w:color="000000" w:sz="4" w:space="0"/>
            </w:tcBorders>
            <w:vAlign w:val="top"/>
          </w:tcPr>
          <w:p w14:paraId="2EC42D0F">
            <w:pPr>
              <w:pStyle w:val="6"/>
              <w:spacing w:before="41" w:line="192" w:lineRule="auto"/>
              <w:ind w:left="444"/>
            </w:pPr>
            <w:r>
              <w:rPr>
                <w:spacing w:val="-6"/>
              </w:rPr>
              <w:t>日平均</w:t>
            </w:r>
          </w:p>
        </w:tc>
        <w:tc>
          <w:tcPr>
            <w:tcW w:w="1770" w:type="dxa"/>
            <w:gridSpan w:val="2"/>
            <w:tcBorders>
              <w:left w:val="single" w:color="000000" w:sz="4" w:space="0"/>
              <w:right w:val="single" w:color="000000" w:sz="4" w:space="0"/>
            </w:tcBorders>
            <w:vAlign w:val="top"/>
          </w:tcPr>
          <w:p w14:paraId="5B497980">
            <w:pPr>
              <w:spacing w:before="77" w:line="179" w:lineRule="auto"/>
              <w:ind w:left="83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507" w:type="dxa"/>
            <w:gridSpan w:val="2"/>
            <w:tcBorders>
              <w:left w:val="single" w:color="000000" w:sz="4" w:space="0"/>
              <w:right w:val="single" w:color="000000" w:sz="4" w:space="0"/>
            </w:tcBorders>
            <w:vAlign w:val="top"/>
          </w:tcPr>
          <w:p w14:paraId="6193CB3D">
            <w:pPr>
              <w:spacing w:before="77" w:line="179" w:lineRule="auto"/>
              <w:ind w:left="70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282" w:type="dxa"/>
            <w:vMerge w:val="continue"/>
            <w:tcBorders>
              <w:top w:val="nil"/>
              <w:left w:val="single" w:color="000000" w:sz="4" w:space="0"/>
              <w:bottom w:val="nil"/>
              <w:right w:val="single" w:color="000000" w:sz="4" w:space="0"/>
            </w:tcBorders>
            <w:vAlign w:val="top"/>
          </w:tcPr>
          <w:p w14:paraId="06B50AEB">
            <w:pPr>
              <w:rPr>
                <w:rFonts w:ascii="Arial"/>
                <w:sz w:val="21"/>
              </w:rPr>
            </w:pPr>
          </w:p>
        </w:tc>
        <w:tc>
          <w:tcPr>
            <w:tcW w:w="128" w:type="dxa"/>
            <w:tcBorders>
              <w:top w:val="nil"/>
              <w:left w:val="single" w:color="000000" w:sz="4" w:space="0"/>
              <w:bottom w:val="nil"/>
            </w:tcBorders>
            <w:vAlign w:val="top"/>
          </w:tcPr>
          <w:p w14:paraId="508EB450">
            <w:pPr>
              <w:rPr>
                <w:rFonts w:ascii="Arial"/>
                <w:sz w:val="21"/>
              </w:rPr>
            </w:pPr>
          </w:p>
        </w:tc>
      </w:tr>
      <w:tr w14:paraId="2A15D6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494" w:type="dxa"/>
            <w:vMerge w:val="continue"/>
            <w:tcBorders>
              <w:top w:val="nil"/>
              <w:bottom w:val="nil"/>
            </w:tcBorders>
            <w:textDirection w:val="tbRlV"/>
            <w:vAlign w:val="top"/>
          </w:tcPr>
          <w:p w14:paraId="30BA6AB7">
            <w:pPr>
              <w:rPr>
                <w:rFonts w:ascii="Arial"/>
                <w:sz w:val="21"/>
              </w:rPr>
            </w:pPr>
          </w:p>
        </w:tc>
        <w:tc>
          <w:tcPr>
            <w:tcW w:w="122" w:type="dxa"/>
            <w:tcBorders>
              <w:top w:val="nil"/>
              <w:bottom w:val="nil"/>
              <w:right w:val="single" w:color="000000" w:sz="4" w:space="0"/>
            </w:tcBorders>
            <w:vAlign w:val="top"/>
          </w:tcPr>
          <w:p w14:paraId="35F8057F">
            <w:pPr>
              <w:rPr>
                <w:rFonts w:ascii="Arial"/>
                <w:sz w:val="21"/>
              </w:rPr>
            </w:pPr>
          </w:p>
        </w:tc>
        <w:tc>
          <w:tcPr>
            <w:tcW w:w="1326" w:type="dxa"/>
            <w:gridSpan w:val="2"/>
            <w:vMerge w:val="continue"/>
            <w:tcBorders>
              <w:top w:val="nil"/>
              <w:left w:val="single" w:color="000000" w:sz="4" w:space="0"/>
              <w:right w:val="single" w:color="000000" w:sz="4" w:space="0"/>
            </w:tcBorders>
            <w:vAlign w:val="top"/>
          </w:tcPr>
          <w:p w14:paraId="7ADE9947">
            <w:pPr>
              <w:rPr>
                <w:rFonts w:ascii="Arial"/>
                <w:sz w:val="21"/>
              </w:rPr>
            </w:pPr>
          </w:p>
        </w:tc>
        <w:tc>
          <w:tcPr>
            <w:tcW w:w="1437" w:type="dxa"/>
            <w:tcBorders>
              <w:left w:val="single" w:color="000000" w:sz="4" w:space="0"/>
              <w:right w:val="single" w:color="000000" w:sz="4" w:space="0"/>
            </w:tcBorders>
            <w:vAlign w:val="top"/>
          </w:tcPr>
          <w:p w14:paraId="53D938BF">
            <w:pPr>
              <w:pStyle w:val="6"/>
              <w:spacing w:before="60" w:line="211" w:lineRule="auto"/>
              <w:ind w:left="310"/>
            </w:pPr>
            <w:r>
              <w:rPr>
                <w:spacing w:val="5"/>
              </w:rPr>
              <w:t>小时平均</w:t>
            </w:r>
          </w:p>
        </w:tc>
        <w:tc>
          <w:tcPr>
            <w:tcW w:w="1770" w:type="dxa"/>
            <w:gridSpan w:val="2"/>
            <w:tcBorders>
              <w:left w:val="single" w:color="000000" w:sz="4" w:space="0"/>
              <w:right w:val="single" w:color="000000" w:sz="4" w:space="0"/>
            </w:tcBorders>
            <w:vAlign w:val="top"/>
          </w:tcPr>
          <w:p w14:paraId="7988D990">
            <w:pPr>
              <w:spacing w:before="96" w:line="195" w:lineRule="auto"/>
              <w:ind w:left="80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507" w:type="dxa"/>
            <w:gridSpan w:val="2"/>
            <w:tcBorders>
              <w:left w:val="single" w:color="000000" w:sz="4" w:space="0"/>
              <w:right w:val="single" w:color="000000" w:sz="4" w:space="0"/>
            </w:tcBorders>
            <w:vAlign w:val="top"/>
          </w:tcPr>
          <w:p w14:paraId="4AE886E2">
            <w:pPr>
              <w:spacing w:before="96" w:line="195" w:lineRule="auto"/>
              <w:ind w:left="67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2282" w:type="dxa"/>
            <w:vMerge w:val="continue"/>
            <w:tcBorders>
              <w:top w:val="nil"/>
              <w:left w:val="single" w:color="000000" w:sz="4" w:space="0"/>
              <w:bottom w:val="nil"/>
              <w:right w:val="single" w:color="000000" w:sz="4" w:space="0"/>
            </w:tcBorders>
            <w:vAlign w:val="top"/>
          </w:tcPr>
          <w:p w14:paraId="431ED18E">
            <w:pPr>
              <w:rPr>
                <w:rFonts w:ascii="Arial"/>
                <w:sz w:val="21"/>
              </w:rPr>
            </w:pPr>
          </w:p>
        </w:tc>
        <w:tc>
          <w:tcPr>
            <w:tcW w:w="128" w:type="dxa"/>
            <w:tcBorders>
              <w:top w:val="nil"/>
              <w:left w:val="single" w:color="000000" w:sz="4" w:space="0"/>
              <w:bottom w:val="nil"/>
            </w:tcBorders>
            <w:vAlign w:val="top"/>
          </w:tcPr>
          <w:p w14:paraId="763AAFEC">
            <w:pPr>
              <w:rPr>
                <w:rFonts w:ascii="Arial"/>
                <w:sz w:val="21"/>
              </w:rPr>
            </w:pPr>
          </w:p>
        </w:tc>
      </w:tr>
      <w:tr w14:paraId="54591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94" w:type="dxa"/>
            <w:vMerge w:val="continue"/>
            <w:tcBorders>
              <w:top w:val="nil"/>
              <w:bottom w:val="nil"/>
            </w:tcBorders>
            <w:textDirection w:val="tbRlV"/>
            <w:vAlign w:val="top"/>
          </w:tcPr>
          <w:p w14:paraId="2DA16D91">
            <w:pPr>
              <w:rPr>
                <w:rFonts w:ascii="Arial"/>
                <w:sz w:val="21"/>
              </w:rPr>
            </w:pPr>
          </w:p>
        </w:tc>
        <w:tc>
          <w:tcPr>
            <w:tcW w:w="122" w:type="dxa"/>
            <w:tcBorders>
              <w:top w:val="nil"/>
              <w:bottom w:val="nil"/>
              <w:right w:val="single" w:color="000000" w:sz="4" w:space="0"/>
            </w:tcBorders>
            <w:vAlign w:val="top"/>
          </w:tcPr>
          <w:p w14:paraId="06CDF1BB">
            <w:pPr>
              <w:rPr>
                <w:rFonts w:ascii="Arial"/>
                <w:sz w:val="21"/>
              </w:rPr>
            </w:pPr>
          </w:p>
        </w:tc>
        <w:tc>
          <w:tcPr>
            <w:tcW w:w="1326" w:type="dxa"/>
            <w:gridSpan w:val="2"/>
            <w:vMerge w:val="restart"/>
            <w:tcBorders>
              <w:left w:val="single" w:color="000000" w:sz="4" w:space="0"/>
              <w:bottom w:val="nil"/>
              <w:right w:val="single" w:color="000000" w:sz="4" w:space="0"/>
            </w:tcBorders>
            <w:vAlign w:val="top"/>
          </w:tcPr>
          <w:p w14:paraId="3C3A6952">
            <w:pPr>
              <w:spacing w:line="433" w:lineRule="auto"/>
              <w:rPr>
                <w:rFonts w:ascii="Arial"/>
                <w:sz w:val="21"/>
              </w:rPr>
            </w:pPr>
          </w:p>
          <w:p w14:paraId="63C4F418">
            <w:pPr>
              <w:spacing w:before="57" w:line="202" w:lineRule="auto"/>
              <w:ind w:left="557"/>
              <w:rPr>
                <w:rFonts w:ascii="Times New Roman" w:hAnsi="Times New Roman" w:eastAsia="Times New Roman" w:cs="Times New Roman"/>
                <w:sz w:val="13"/>
                <w:szCs w:val="13"/>
              </w:rPr>
            </w:pPr>
            <w:r>
              <w:rPr>
                <w:rFonts w:ascii="Times New Roman" w:hAnsi="Times New Roman" w:eastAsia="Times New Roman" w:cs="Times New Roman"/>
                <w:spacing w:val="1"/>
                <w:sz w:val="20"/>
                <w:szCs w:val="20"/>
              </w:rPr>
              <w:t>O</w:t>
            </w:r>
            <w:r>
              <w:rPr>
                <w:rFonts w:ascii="Times New Roman" w:hAnsi="Times New Roman" w:eastAsia="Times New Roman" w:cs="Times New Roman"/>
                <w:spacing w:val="1"/>
                <w:position w:val="-1"/>
                <w:sz w:val="13"/>
                <w:szCs w:val="13"/>
              </w:rPr>
              <w:t>3</w:t>
            </w:r>
          </w:p>
        </w:tc>
        <w:tc>
          <w:tcPr>
            <w:tcW w:w="1437" w:type="dxa"/>
            <w:tcBorders>
              <w:left w:val="single" w:color="000000" w:sz="4" w:space="0"/>
              <w:right w:val="single" w:color="000000" w:sz="4" w:space="0"/>
            </w:tcBorders>
            <w:vAlign w:val="top"/>
          </w:tcPr>
          <w:p w14:paraId="1D23E7B0">
            <w:pPr>
              <w:pStyle w:val="6"/>
              <w:spacing w:before="40" w:line="214" w:lineRule="auto"/>
              <w:ind w:left="409"/>
            </w:pPr>
            <w:r>
              <w:rPr>
                <w:spacing w:val="6"/>
              </w:rPr>
              <w:t>年平均</w:t>
            </w:r>
          </w:p>
        </w:tc>
        <w:tc>
          <w:tcPr>
            <w:tcW w:w="1770" w:type="dxa"/>
            <w:gridSpan w:val="2"/>
            <w:tcBorders>
              <w:left w:val="single" w:color="000000" w:sz="4" w:space="0"/>
              <w:right w:val="single" w:color="000000" w:sz="4" w:space="0"/>
            </w:tcBorders>
            <w:vAlign w:val="top"/>
          </w:tcPr>
          <w:p w14:paraId="67FE7F4A">
            <w:pPr>
              <w:spacing w:before="71" w:line="199" w:lineRule="auto"/>
              <w:ind w:left="85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507" w:type="dxa"/>
            <w:gridSpan w:val="2"/>
            <w:tcBorders>
              <w:left w:val="single" w:color="000000" w:sz="4" w:space="0"/>
              <w:right w:val="single" w:color="000000" w:sz="4" w:space="0"/>
            </w:tcBorders>
            <w:vAlign w:val="top"/>
          </w:tcPr>
          <w:p w14:paraId="0E735396">
            <w:pPr>
              <w:spacing w:before="71" w:line="199" w:lineRule="auto"/>
              <w:ind w:left="7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282" w:type="dxa"/>
            <w:vMerge w:val="continue"/>
            <w:tcBorders>
              <w:top w:val="nil"/>
              <w:left w:val="single" w:color="000000" w:sz="4" w:space="0"/>
              <w:bottom w:val="nil"/>
              <w:right w:val="single" w:color="000000" w:sz="4" w:space="0"/>
            </w:tcBorders>
            <w:vAlign w:val="top"/>
          </w:tcPr>
          <w:p w14:paraId="666B0C13">
            <w:pPr>
              <w:rPr>
                <w:rFonts w:ascii="Arial"/>
                <w:sz w:val="21"/>
              </w:rPr>
            </w:pPr>
          </w:p>
        </w:tc>
        <w:tc>
          <w:tcPr>
            <w:tcW w:w="128" w:type="dxa"/>
            <w:tcBorders>
              <w:top w:val="nil"/>
              <w:left w:val="single" w:color="000000" w:sz="4" w:space="0"/>
              <w:bottom w:val="nil"/>
            </w:tcBorders>
            <w:vAlign w:val="top"/>
          </w:tcPr>
          <w:p w14:paraId="0503D413">
            <w:pPr>
              <w:rPr>
                <w:rFonts w:ascii="Arial"/>
                <w:sz w:val="21"/>
              </w:rPr>
            </w:pPr>
          </w:p>
        </w:tc>
      </w:tr>
      <w:tr w14:paraId="6B8EFF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94" w:type="dxa"/>
            <w:vMerge w:val="continue"/>
            <w:tcBorders>
              <w:top w:val="nil"/>
              <w:bottom w:val="nil"/>
            </w:tcBorders>
            <w:textDirection w:val="tbRlV"/>
            <w:vAlign w:val="top"/>
          </w:tcPr>
          <w:p w14:paraId="2A0E1D71">
            <w:pPr>
              <w:rPr>
                <w:rFonts w:ascii="Arial"/>
                <w:sz w:val="21"/>
              </w:rPr>
            </w:pPr>
          </w:p>
        </w:tc>
        <w:tc>
          <w:tcPr>
            <w:tcW w:w="122" w:type="dxa"/>
            <w:tcBorders>
              <w:top w:val="nil"/>
              <w:bottom w:val="nil"/>
              <w:right w:val="single" w:color="000000" w:sz="4" w:space="0"/>
            </w:tcBorders>
            <w:vAlign w:val="top"/>
          </w:tcPr>
          <w:p w14:paraId="3FCDB4B9">
            <w:pPr>
              <w:rPr>
                <w:rFonts w:ascii="Arial"/>
                <w:sz w:val="21"/>
              </w:rPr>
            </w:pPr>
          </w:p>
        </w:tc>
        <w:tc>
          <w:tcPr>
            <w:tcW w:w="1326" w:type="dxa"/>
            <w:gridSpan w:val="2"/>
            <w:vMerge w:val="continue"/>
            <w:tcBorders>
              <w:top w:val="nil"/>
              <w:left w:val="single" w:color="000000" w:sz="4" w:space="0"/>
              <w:bottom w:val="nil"/>
              <w:right w:val="single" w:color="000000" w:sz="4" w:space="0"/>
            </w:tcBorders>
            <w:vAlign w:val="top"/>
          </w:tcPr>
          <w:p w14:paraId="61F9A7F0">
            <w:pPr>
              <w:rPr>
                <w:rFonts w:ascii="Arial"/>
                <w:sz w:val="21"/>
              </w:rPr>
            </w:pPr>
          </w:p>
        </w:tc>
        <w:tc>
          <w:tcPr>
            <w:tcW w:w="1437" w:type="dxa"/>
            <w:tcBorders>
              <w:left w:val="single" w:color="000000" w:sz="4" w:space="0"/>
              <w:right w:val="single" w:color="000000" w:sz="4" w:space="0"/>
            </w:tcBorders>
            <w:vAlign w:val="top"/>
          </w:tcPr>
          <w:p w14:paraId="79CB1657">
            <w:pPr>
              <w:pStyle w:val="6"/>
              <w:spacing w:before="170" w:line="228" w:lineRule="auto"/>
              <w:ind w:left="444"/>
            </w:pPr>
            <w:r>
              <w:rPr>
                <w:spacing w:val="-6"/>
              </w:rPr>
              <w:t>日平均</w:t>
            </w:r>
          </w:p>
        </w:tc>
        <w:tc>
          <w:tcPr>
            <w:tcW w:w="1770" w:type="dxa"/>
            <w:gridSpan w:val="2"/>
            <w:tcBorders>
              <w:left w:val="single" w:color="000000" w:sz="4" w:space="0"/>
              <w:right w:val="single" w:color="000000" w:sz="4" w:space="0"/>
            </w:tcBorders>
            <w:vAlign w:val="top"/>
          </w:tcPr>
          <w:p w14:paraId="26984D1B">
            <w:pPr>
              <w:spacing w:before="206" w:line="195" w:lineRule="auto"/>
              <w:ind w:left="7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0.10</w:t>
            </w:r>
          </w:p>
        </w:tc>
        <w:tc>
          <w:tcPr>
            <w:tcW w:w="1507" w:type="dxa"/>
            <w:gridSpan w:val="2"/>
            <w:tcBorders>
              <w:left w:val="single" w:color="000000" w:sz="4" w:space="0"/>
              <w:right w:val="single" w:color="000000" w:sz="4" w:space="0"/>
            </w:tcBorders>
            <w:vAlign w:val="top"/>
          </w:tcPr>
          <w:p w14:paraId="1E3E59F5">
            <w:pPr>
              <w:pStyle w:val="6"/>
              <w:spacing w:before="33" w:line="228" w:lineRule="auto"/>
              <w:ind w:left="51"/>
            </w:pPr>
            <w:r>
              <w:rPr>
                <w:rFonts w:ascii="Times New Roman" w:hAnsi="Times New Roman" w:eastAsia="Times New Roman" w:cs="Times New Roman"/>
                <w:spacing w:val="3"/>
              </w:rPr>
              <w:t>0.16</w:t>
            </w:r>
            <w:r>
              <w:rPr>
                <w:spacing w:val="3"/>
              </w:rPr>
              <w:t>（最大</w:t>
            </w:r>
            <w:r>
              <w:rPr>
                <w:spacing w:val="-33"/>
              </w:rPr>
              <w:t xml:space="preserve"> </w:t>
            </w:r>
            <w:r>
              <w:rPr>
                <w:rFonts w:ascii="Times New Roman" w:hAnsi="Times New Roman" w:eastAsia="Times New Roman" w:cs="Times New Roman"/>
                <w:spacing w:val="3"/>
              </w:rPr>
              <w:t>8</w:t>
            </w:r>
            <w:r>
              <w:rPr>
                <w:rFonts w:ascii="Times New Roman" w:hAnsi="Times New Roman" w:eastAsia="Times New Roman" w:cs="Times New Roman"/>
                <w:spacing w:val="18"/>
              </w:rPr>
              <w:t xml:space="preserve"> </w:t>
            </w:r>
            <w:r>
              <w:rPr>
                <w:spacing w:val="3"/>
              </w:rPr>
              <w:t>小</w:t>
            </w:r>
          </w:p>
          <w:p w14:paraId="1BB0DDE5">
            <w:pPr>
              <w:pStyle w:val="6"/>
              <w:spacing w:before="26" w:line="214" w:lineRule="auto"/>
              <w:ind w:left="561"/>
            </w:pPr>
            <w:r>
              <w:rPr>
                <w:spacing w:val="-5"/>
              </w:rPr>
              <w:t>时）</w:t>
            </w:r>
          </w:p>
        </w:tc>
        <w:tc>
          <w:tcPr>
            <w:tcW w:w="2282" w:type="dxa"/>
            <w:vMerge w:val="continue"/>
            <w:tcBorders>
              <w:top w:val="nil"/>
              <w:left w:val="single" w:color="000000" w:sz="4" w:space="0"/>
              <w:bottom w:val="nil"/>
              <w:right w:val="single" w:color="000000" w:sz="4" w:space="0"/>
            </w:tcBorders>
            <w:vAlign w:val="top"/>
          </w:tcPr>
          <w:p w14:paraId="48D87576">
            <w:pPr>
              <w:rPr>
                <w:rFonts w:ascii="Arial"/>
                <w:sz w:val="21"/>
              </w:rPr>
            </w:pPr>
          </w:p>
        </w:tc>
        <w:tc>
          <w:tcPr>
            <w:tcW w:w="128" w:type="dxa"/>
            <w:tcBorders>
              <w:top w:val="nil"/>
              <w:left w:val="single" w:color="000000" w:sz="4" w:space="0"/>
              <w:bottom w:val="nil"/>
            </w:tcBorders>
            <w:vAlign w:val="top"/>
          </w:tcPr>
          <w:p w14:paraId="64FABC11">
            <w:pPr>
              <w:rPr>
                <w:rFonts w:ascii="Arial"/>
                <w:sz w:val="21"/>
              </w:rPr>
            </w:pPr>
          </w:p>
        </w:tc>
      </w:tr>
      <w:tr w14:paraId="7008B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494" w:type="dxa"/>
            <w:vMerge w:val="continue"/>
            <w:tcBorders>
              <w:top w:val="nil"/>
              <w:bottom w:val="nil"/>
            </w:tcBorders>
            <w:textDirection w:val="tbRlV"/>
            <w:vAlign w:val="top"/>
          </w:tcPr>
          <w:p w14:paraId="41F58EF8">
            <w:pPr>
              <w:rPr>
                <w:rFonts w:ascii="Arial"/>
                <w:sz w:val="21"/>
              </w:rPr>
            </w:pPr>
          </w:p>
        </w:tc>
        <w:tc>
          <w:tcPr>
            <w:tcW w:w="122" w:type="dxa"/>
            <w:tcBorders>
              <w:top w:val="nil"/>
              <w:bottom w:val="nil"/>
              <w:right w:val="single" w:color="000000" w:sz="4" w:space="0"/>
            </w:tcBorders>
            <w:vAlign w:val="top"/>
          </w:tcPr>
          <w:p w14:paraId="33218743">
            <w:pPr>
              <w:rPr>
                <w:rFonts w:ascii="Arial"/>
                <w:sz w:val="21"/>
              </w:rPr>
            </w:pPr>
          </w:p>
        </w:tc>
        <w:tc>
          <w:tcPr>
            <w:tcW w:w="1326" w:type="dxa"/>
            <w:gridSpan w:val="2"/>
            <w:vMerge w:val="continue"/>
            <w:tcBorders>
              <w:top w:val="nil"/>
              <w:left w:val="single" w:color="000000" w:sz="4" w:space="0"/>
              <w:right w:val="single" w:color="000000" w:sz="4" w:space="0"/>
            </w:tcBorders>
            <w:vAlign w:val="top"/>
          </w:tcPr>
          <w:p w14:paraId="19D6F445">
            <w:pPr>
              <w:rPr>
                <w:rFonts w:ascii="Arial"/>
                <w:sz w:val="21"/>
              </w:rPr>
            </w:pPr>
          </w:p>
        </w:tc>
        <w:tc>
          <w:tcPr>
            <w:tcW w:w="1437" w:type="dxa"/>
            <w:tcBorders>
              <w:left w:val="single" w:color="000000" w:sz="4" w:space="0"/>
              <w:right w:val="single" w:color="000000" w:sz="4" w:space="0"/>
            </w:tcBorders>
            <w:vAlign w:val="top"/>
          </w:tcPr>
          <w:p w14:paraId="08950D3D">
            <w:pPr>
              <w:pStyle w:val="6"/>
              <w:spacing w:before="36" w:line="206" w:lineRule="auto"/>
              <w:ind w:left="310"/>
            </w:pPr>
            <w:r>
              <w:rPr>
                <w:spacing w:val="5"/>
              </w:rPr>
              <w:t>小时平均</w:t>
            </w:r>
          </w:p>
        </w:tc>
        <w:tc>
          <w:tcPr>
            <w:tcW w:w="1770" w:type="dxa"/>
            <w:gridSpan w:val="2"/>
            <w:tcBorders>
              <w:left w:val="single" w:color="000000" w:sz="4" w:space="0"/>
              <w:right w:val="single" w:color="000000" w:sz="4" w:space="0"/>
            </w:tcBorders>
            <w:vAlign w:val="top"/>
          </w:tcPr>
          <w:p w14:paraId="015A45AA">
            <w:pPr>
              <w:spacing w:before="72" w:line="195" w:lineRule="auto"/>
              <w:ind w:left="7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0.16</w:t>
            </w:r>
          </w:p>
        </w:tc>
        <w:tc>
          <w:tcPr>
            <w:tcW w:w="1507" w:type="dxa"/>
            <w:gridSpan w:val="2"/>
            <w:tcBorders>
              <w:left w:val="single" w:color="000000" w:sz="4" w:space="0"/>
              <w:right w:val="single" w:color="000000" w:sz="4" w:space="0"/>
            </w:tcBorders>
            <w:vAlign w:val="top"/>
          </w:tcPr>
          <w:p w14:paraId="3DF3792B">
            <w:pPr>
              <w:spacing w:before="72" w:line="195" w:lineRule="auto"/>
              <w:ind w:left="62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2282" w:type="dxa"/>
            <w:vMerge w:val="continue"/>
            <w:tcBorders>
              <w:top w:val="nil"/>
              <w:left w:val="single" w:color="000000" w:sz="4" w:space="0"/>
              <w:bottom w:val="nil"/>
              <w:right w:val="single" w:color="000000" w:sz="4" w:space="0"/>
            </w:tcBorders>
            <w:vAlign w:val="top"/>
          </w:tcPr>
          <w:p w14:paraId="436FD168">
            <w:pPr>
              <w:rPr>
                <w:rFonts w:ascii="Arial"/>
                <w:sz w:val="21"/>
              </w:rPr>
            </w:pPr>
          </w:p>
        </w:tc>
        <w:tc>
          <w:tcPr>
            <w:tcW w:w="128" w:type="dxa"/>
            <w:tcBorders>
              <w:top w:val="nil"/>
              <w:left w:val="single" w:color="000000" w:sz="4" w:space="0"/>
              <w:bottom w:val="nil"/>
            </w:tcBorders>
            <w:vAlign w:val="top"/>
          </w:tcPr>
          <w:p w14:paraId="01602C8F">
            <w:pPr>
              <w:rPr>
                <w:rFonts w:ascii="Arial"/>
                <w:sz w:val="21"/>
              </w:rPr>
            </w:pPr>
          </w:p>
        </w:tc>
      </w:tr>
      <w:tr w14:paraId="4FF22E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94" w:type="dxa"/>
            <w:vMerge w:val="continue"/>
            <w:tcBorders>
              <w:top w:val="nil"/>
              <w:bottom w:val="nil"/>
            </w:tcBorders>
            <w:textDirection w:val="tbRlV"/>
            <w:vAlign w:val="top"/>
          </w:tcPr>
          <w:p w14:paraId="5464771C">
            <w:pPr>
              <w:rPr>
                <w:rFonts w:ascii="Arial"/>
                <w:sz w:val="21"/>
              </w:rPr>
            </w:pPr>
          </w:p>
        </w:tc>
        <w:tc>
          <w:tcPr>
            <w:tcW w:w="122" w:type="dxa"/>
            <w:tcBorders>
              <w:top w:val="nil"/>
              <w:bottom w:val="nil"/>
              <w:right w:val="single" w:color="000000" w:sz="4" w:space="0"/>
            </w:tcBorders>
            <w:vAlign w:val="top"/>
          </w:tcPr>
          <w:p w14:paraId="5DDA7646">
            <w:pPr>
              <w:rPr>
                <w:rFonts w:ascii="Arial"/>
                <w:sz w:val="21"/>
              </w:rPr>
            </w:pPr>
          </w:p>
        </w:tc>
        <w:tc>
          <w:tcPr>
            <w:tcW w:w="1326" w:type="dxa"/>
            <w:gridSpan w:val="2"/>
            <w:vMerge w:val="restart"/>
            <w:tcBorders>
              <w:left w:val="single" w:color="000000" w:sz="4" w:space="0"/>
              <w:bottom w:val="nil"/>
              <w:right w:val="single" w:color="000000" w:sz="4" w:space="0"/>
            </w:tcBorders>
            <w:vAlign w:val="top"/>
          </w:tcPr>
          <w:p w14:paraId="52D4E2D6">
            <w:pPr>
              <w:pStyle w:val="6"/>
              <w:spacing w:before="47" w:line="228" w:lineRule="auto"/>
              <w:ind w:left="43"/>
            </w:pPr>
            <w:r>
              <w:rPr>
                <w:spacing w:val="7"/>
              </w:rPr>
              <w:t>总悬浮颗粒物</w:t>
            </w:r>
          </w:p>
          <w:p w14:paraId="74AA24D0">
            <w:pPr>
              <w:pStyle w:val="6"/>
              <w:spacing w:before="23" w:line="223" w:lineRule="auto"/>
              <w:ind w:left="234"/>
            </w:pPr>
            <w:r>
              <w:rPr>
                <w:spacing w:val="3"/>
              </w:rPr>
              <w:t>（</w:t>
            </w:r>
            <w:r>
              <w:rPr>
                <w:rFonts w:ascii="Times New Roman" w:hAnsi="Times New Roman" w:eastAsia="Times New Roman" w:cs="Times New Roman"/>
              </w:rPr>
              <w:t>TSP</w:t>
            </w:r>
            <w:r>
              <w:rPr>
                <w:spacing w:val="3"/>
              </w:rPr>
              <w:t>）</w:t>
            </w:r>
          </w:p>
        </w:tc>
        <w:tc>
          <w:tcPr>
            <w:tcW w:w="1437" w:type="dxa"/>
            <w:tcBorders>
              <w:left w:val="single" w:color="000000" w:sz="4" w:space="0"/>
              <w:right w:val="single" w:color="000000" w:sz="4" w:space="0"/>
            </w:tcBorders>
            <w:vAlign w:val="top"/>
          </w:tcPr>
          <w:p w14:paraId="7A931CFD">
            <w:pPr>
              <w:pStyle w:val="6"/>
              <w:spacing w:before="42" w:line="210" w:lineRule="auto"/>
              <w:ind w:left="409"/>
            </w:pPr>
            <w:r>
              <w:rPr>
                <w:spacing w:val="6"/>
              </w:rPr>
              <w:t>年平均</w:t>
            </w:r>
          </w:p>
        </w:tc>
        <w:tc>
          <w:tcPr>
            <w:tcW w:w="1770" w:type="dxa"/>
            <w:gridSpan w:val="2"/>
            <w:tcBorders>
              <w:left w:val="single" w:color="000000" w:sz="4" w:space="0"/>
              <w:right w:val="single" w:color="000000" w:sz="4" w:space="0"/>
            </w:tcBorders>
            <w:vAlign w:val="top"/>
          </w:tcPr>
          <w:p w14:paraId="041D62A9">
            <w:pPr>
              <w:spacing w:before="78" w:line="195" w:lineRule="auto"/>
              <w:ind w:left="79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80</w:t>
            </w:r>
          </w:p>
        </w:tc>
        <w:tc>
          <w:tcPr>
            <w:tcW w:w="1507" w:type="dxa"/>
            <w:gridSpan w:val="2"/>
            <w:tcBorders>
              <w:left w:val="single" w:color="000000" w:sz="4" w:space="0"/>
              <w:right w:val="single" w:color="000000" w:sz="4" w:space="0"/>
            </w:tcBorders>
            <w:vAlign w:val="top"/>
          </w:tcPr>
          <w:p w14:paraId="587F5905">
            <w:pPr>
              <w:spacing w:before="78" w:line="195" w:lineRule="auto"/>
              <w:ind w:left="60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w:t>
            </w:r>
          </w:p>
        </w:tc>
        <w:tc>
          <w:tcPr>
            <w:tcW w:w="2282" w:type="dxa"/>
            <w:vMerge w:val="continue"/>
            <w:tcBorders>
              <w:top w:val="nil"/>
              <w:left w:val="single" w:color="000000" w:sz="4" w:space="0"/>
              <w:bottom w:val="nil"/>
              <w:right w:val="single" w:color="000000" w:sz="4" w:space="0"/>
            </w:tcBorders>
            <w:vAlign w:val="top"/>
          </w:tcPr>
          <w:p w14:paraId="52690FC8">
            <w:pPr>
              <w:rPr>
                <w:rFonts w:ascii="Arial"/>
                <w:sz w:val="21"/>
              </w:rPr>
            </w:pPr>
          </w:p>
        </w:tc>
        <w:tc>
          <w:tcPr>
            <w:tcW w:w="128" w:type="dxa"/>
            <w:tcBorders>
              <w:top w:val="nil"/>
              <w:left w:val="single" w:color="000000" w:sz="4" w:space="0"/>
              <w:bottom w:val="nil"/>
            </w:tcBorders>
            <w:vAlign w:val="top"/>
          </w:tcPr>
          <w:p w14:paraId="349810C5">
            <w:pPr>
              <w:rPr>
                <w:rFonts w:ascii="Arial"/>
                <w:sz w:val="21"/>
              </w:rPr>
            </w:pPr>
          </w:p>
        </w:tc>
      </w:tr>
      <w:tr w14:paraId="012E47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94" w:type="dxa"/>
            <w:vMerge w:val="continue"/>
            <w:tcBorders>
              <w:top w:val="nil"/>
              <w:bottom w:val="nil"/>
            </w:tcBorders>
            <w:textDirection w:val="tbRlV"/>
            <w:vAlign w:val="top"/>
          </w:tcPr>
          <w:p w14:paraId="3D976076">
            <w:pPr>
              <w:rPr>
                <w:rFonts w:ascii="Arial"/>
                <w:sz w:val="21"/>
              </w:rPr>
            </w:pPr>
          </w:p>
        </w:tc>
        <w:tc>
          <w:tcPr>
            <w:tcW w:w="122" w:type="dxa"/>
            <w:tcBorders>
              <w:top w:val="nil"/>
              <w:bottom w:val="nil"/>
              <w:right w:val="single" w:color="000000" w:sz="4" w:space="0"/>
            </w:tcBorders>
            <w:vAlign w:val="top"/>
          </w:tcPr>
          <w:p w14:paraId="7A8F12B6">
            <w:pPr>
              <w:rPr>
                <w:rFonts w:ascii="Arial"/>
                <w:sz w:val="21"/>
              </w:rPr>
            </w:pPr>
          </w:p>
        </w:tc>
        <w:tc>
          <w:tcPr>
            <w:tcW w:w="1326" w:type="dxa"/>
            <w:gridSpan w:val="2"/>
            <w:vMerge w:val="continue"/>
            <w:tcBorders>
              <w:top w:val="nil"/>
              <w:left w:val="single" w:color="000000" w:sz="4" w:space="0"/>
              <w:bottom w:val="single" w:color="000000" w:sz="4" w:space="0"/>
              <w:right w:val="single" w:color="000000" w:sz="4" w:space="0"/>
            </w:tcBorders>
            <w:vAlign w:val="top"/>
          </w:tcPr>
          <w:p w14:paraId="27767790">
            <w:pPr>
              <w:rPr>
                <w:rFonts w:ascii="Arial"/>
                <w:sz w:val="21"/>
              </w:rPr>
            </w:pPr>
          </w:p>
        </w:tc>
        <w:tc>
          <w:tcPr>
            <w:tcW w:w="1437" w:type="dxa"/>
            <w:tcBorders>
              <w:left w:val="single" w:color="000000" w:sz="4" w:space="0"/>
              <w:bottom w:val="single" w:color="000000" w:sz="4" w:space="0"/>
              <w:right w:val="single" w:color="000000" w:sz="4" w:space="0"/>
            </w:tcBorders>
            <w:vAlign w:val="top"/>
          </w:tcPr>
          <w:p w14:paraId="0D5792EA">
            <w:pPr>
              <w:pStyle w:val="6"/>
              <w:spacing w:before="41" w:line="216" w:lineRule="auto"/>
              <w:ind w:left="444"/>
            </w:pPr>
            <w:r>
              <w:rPr>
                <w:spacing w:val="-6"/>
              </w:rPr>
              <w:t>日平均</w:t>
            </w:r>
          </w:p>
        </w:tc>
        <w:tc>
          <w:tcPr>
            <w:tcW w:w="1770" w:type="dxa"/>
            <w:gridSpan w:val="2"/>
            <w:tcBorders>
              <w:left w:val="single" w:color="000000" w:sz="4" w:space="0"/>
              <w:bottom w:val="single" w:color="000000" w:sz="4" w:space="0"/>
              <w:right w:val="single" w:color="000000" w:sz="4" w:space="0"/>
            </w:tcBorders>
            <w:vAlign w:val="top"/>
          </w:tcPr>
          <w:p w14:paraId="03FA1B91">
            <w:pPr>
              <w:spacing w:before="76" w:line="195" w:lineRule="auto"/>
              <w:ind w:left="75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120</w:t>
            </w:r>
          </w:p>
        </w:tc>
        <w:tc>
          <w:tcPr>
            <w:tcW w:w="1507" w:type="dxa"/>
            <w:gridSpan w:val="2"/>
            <w:tcBorders>
              <w:left w:val="single" w:color="000000" w:sz="4" w:space="0"/>
              <w:bottom w:val="single" w:color="000000" w:sz="4" w:space="0"/>
              <w:right w:val="single" w:color="000000" w:sz="4" w:space="0"/>
            </w:tcBorders>
            <w:vAlign w:val="top"/>
          </w:tcPr>
          <w:p w14:paraId="22E1BC8D">
            <w:pPr>
              <w:spacing w:before="76" w:line="195" w:lineRule="auto"/>
              <w:ind w:left="60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300</w:t>
            </w:r>
          </w:p>
        </w:tc>
        <w:tc>
          <w:tcPr>
            <w:tcW w:w="2282" w:type="dxa"/>
            <w:vMerge w:val="continue"/>
            <w:tcBorders>
              <w:top w:val="nil"/>
              <w:left w:val="single" w:color="000000" w:sz="4" w:space="0"/>
              <w:bottom w:val="single" w:color="000000" w:sz="4" w:space="0"/>
              <w:right w:val="single" w:color="000000" w:sz="4" w:space="0"/>
            </w:tcBorders>
            <w:vAlign w:val="top"/>
          </w:tcPr>
          <w:p w14:paraId="65B0D39A">
            <w:pPr>
              <w:rPr>
                <w:rFonts w:ascii="Arial"/>
                <w:sz w:val="21"/>
              </w:rPr>
            </w:pPr>
          </w:p>
        </w:tc>
        <w:tc>
          <w:tcPr>
            <w:tcW w:w="128" w:type="dxa"/>
            <w:tcBorders>
              <w:top w:val="nil"/>
              <w:left w:val="single" w:color="000000" w:sz="4" w:space="0"/>
              <w:bottom w:val="nil"/>
            </w:tcBorders>
            <w:vAlign w:val="top"/>
          </w:tcPr>
          <w:p w14:paraId="5D9050B0">
            <w:pPr>
              <w:rPr>
                <w:rFonts w:ascii="Arial"/>
                <w:sz w:val="21"/>
              </w:rPr>
            </w:pPr>
          </w:p>
        </w:tc>
      </w:tr>
      <w:tr w14:paraId="5BADF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7" w:hRule="atLeast"/>
        </w:trPr>
        <w:tc>
          <w:tcPr>
            <w:tcW w:w="494" w:type="dxa"/>
            <w:vMerge w:val="continue"/>
            <w:tcBorders>
              <w:top w:val="nil"/>
              <w:bottom w:val="nil"/>
            </w:tcBorders>
            <w:textDirection w:val="tbRlV"/>
            <w:vAlign w:val="top"/>
          </w:tcPr>
          <w:p w14:paraId="2B4F64B8">
            <w:pPr>
              <w:rPr>
                <w:rFonts w:ascii="Arial"/>
                <w:sz w:val="21"/>
              </w:rPr>
            </w:pPr>
          </w:p>
        </w:tc>
        <w:tc>
          <w:tcPr>
            <w:tcW w:w="8572" w:type="dxa"/>
            <w:gridSpan w:val="10"/>
            <w:tcBorders>
              <w:top w:val="single" w:color="000000" w:sz="4" w:space="0"/>
            </w:tcBorders>
            <w:vAlign w:val="top"/>
          </w:tcPr>
          <w:p w14:paraId="38D07BD5">
            <w:pPr>
              <w:pStyle w:val="6"/>
              <w:spacing w:before="36" w:line="219" w:lineRule="auto"/>
              <w:ind w:left="589"/>
              <w:rPr>
                <w:sz w:val="24"/>
                <w:szCs w:val="24"/>
              </w:rPr>
            </w:pPr>
            <w:r>
              <w:rPr>
                <w:rFonts w:ascii="Times New Roman" w:hAnsi="Times New Roman" w:eastAsia="Times New Roman" w:cs="Times New Roman"/>
                <w:b/>
                <w:bCs/>
                <w:spacing w:val="-5"/>
                <w:sz w:val="24"/>
                <w:szCs w:val="24"/>
              </w:rPr>
              <w:t>2</w:t>
            </w:r>
            <w:r>
              <w:rPr>
                <w:rFonts w:ascii="Times New Roman" w:hAnsi="Times New Roman" w:eastAsia="Times New Roman" w:cs="Times New Roman"/>
                <w:b/>
                <w:bCs/>
                <w:spacing w:val="-28"/>
                <w:sz w:val="24"/>
                <w:szCs w:val="24"/>
              </w:rPr>
              <w:t xml:space="preserve"> </w:t>
            </w:r>
            <w:r>
              <w:rPr>
                <w:b/>
                <w:bCs/>
                <w:spacing w:val="-5"/>
                <w:sz w:val="24"/>
                <w:szCs w:val="24"/>
              </w:rPr>
              <w:t>、地表水环境质量标准</w:t>
            </w:r>
          </w:p>
          <w:p w14:paraId="258D3763">
            <w:pPr>
              <w:pStyle w:val="6"/>
              <w:spacing w:before="183" w:line="359" w:lineRule="auto"/>
              <w:ind w:left="112" w:right="45" w:firstLine="480"/>
              <w:rPr>
                <w:sz w:val="24"/>
                <w:szCs w:val="24"/>
              </w:rPr>
            </w:pPr>
            <w:r>
              <w:rPr>
                <w:spacing w:val="-2"/>
                <w:sz w:val="24"/>
                <w:szCs w:val="24"/>
              </w:rPr>
              <w:t>本项目不占用水域，项目沿线地表水体主要有黑龙村水库，尖石沟，最终均</w:t>
            </w:r>
            <w:r>
              <w:rPr>
                <w:spacing w:val="-7"/>
                <w:sz w:val="24"/>
                <w:szCs w:val="24"/>
              </w:rPr>
              <w:t>汇入南盘江。根据《云南省水功能区划（</w:t>
            </w:r>
            <w:r>
              <w:rPr>
                <w:rFonts w:ascii="Times New Roman" w:hAnsi="Times New Roman" w:eastAsia="Times New Roman" w:cs="Times New Roman"/>
                <w:spacing w:val="-7"/>
                <w:sz w:val="24"/>
                <w:szCs w:val="24"/>
              </w:rPr>
              <w:t>2</w:t>
            </w:r>
            <w:r>
              <w:rPr>
                <w:rFonts w:ascii="Times New Roman" w:hAnsi="Times New Roman" w:eastAsia="Times New Roman" w:cs="Times New Roman"/>
                <w:spacing w:val="-8"/>
                <w:sz w:val="24"/>
                <w:szCs w:val="24"/>
              </w:rPr>
              <w:t xml:space="preserve">014 </w:t>
            </w:r>
            <w:r>
              <w:rPr>
                <w:spacing w:val="-8"/>
                <w:sz w:val="24"/>
                <w:szCs w:val="24"/>
              </w:rPr>
              <w:t>年）》和（环办函〔</w:t>
            </w:r>
            <w:r>
              <w:rPr>
                <w:rFonts w:ascii="Times New Roman" w:hAnsi="Times New Roman" w:eastAsia="Times New Roman" w:cs="Times New Roman"/>
                <w:spacing w:val="-8"/>
                <w:sz w:val="24"/>
                <w:szCs w:val="24"/>
              </w:rPr>
              <w:t>2003</w:t>
            </w:r>
            <w:r>
              <w:rPr>
                <w:spacing w:val="-8"/>
                <w:sz w:val="24"/>
                <w:szCs w:val="24"/>
              </w:rPr>
              <w:t>〕</w:t>
            </w:r>
            <w:r>
              <w:rPr>
                <w:rFonts w:ascii="Times New Roman" w:hAnsi="Times New Roman" w:eastAsia="Times New Roman" w:cs="Times New Roman"/>
                <w:spacing w:val="-8"/>
                <w:sz w:val="24"/>
                <w:szCs w:val="24"/>
              </w:rPr>
              <w:t>436</w:t>
            </w:r>
            <w:r>
              <w:rPr>
                <w:rFonts w:ascii="Times New Roman" w:hAnsi="Times New Roman" w:eastAsia="Times New Roman" w:cs="Times New Roman"/>
                <w:spacing w:val="19"/>
                <w:w w:val="101"/>
                <w:sz w:val="24"/>
                <w:szCs w:val="24"/>
              </w:rPr>
              <w:t xml:space="preserve"> </w:t>
            </w:r>
            <w:r>
              <w:rPr>
                <w:spacing w:val="-8"/>
                <w:sz w:val="24"/>
                <w:szCs w:val="24"/>
              </w:rPr>
              <w:t>号</w:t>
            </w:r>
            <w:r>
              <w:rPr>
                <w:spacing w:val="-53"/>
                <w:w w:val="84"/>
                <w:sz w:val="24"/>
                <w:szCs w:val="24"/>
              </w:rPr>
              <w:t>），</w:t>
            </w:r>
            <w:r>
              <w:rPr>
                <w:spacing w:val="1"/>
                <w:sz w:val="24"/>
                <w:szCs w:val="24"/>
              </w:rPr>
              <w:t>黑龙村水库，尖石沟执行《地表水环境质量标准》（</w:t>
            </w:r>
            <w:r>
              <w:rPr>
                <w:rFonts w:ascii="Times New Roman" w:hAnsi="Times New Roman" w:eastAsia="Times New Roman" w:cs="Times New Roman"/>
                <w:sz w:val="24"/>
                <w:szCs w:val="24"/>
              </w:rPr>
              <w:t>GB</w:t>
            </w:r>
            <w:r>
              <w:rPr>
                <w:rFonts w:ascii="Times New Roman" w:hAnsi="Times New Roman" w:eastAsia="Times New Roman" w:cs="Times New Roman"/>
                <w:spacing w:val="1"/>
                <w:sz w:val="24"/>
                <w:szCs w:val="24"/>
              </w:rPr>
              <w:t>3838-2002</w:t>
            </w:r>
            <w:r>
              <w:rPr>
                <w:spacing w:val="1"/>
                <w:sz w:val="24"/>
                <w:szCs w:val="24"/>
              </w:rPr>
              <w:t>）</w:t>
            </w:r>
            <w:r>
              <w:rPr>
                <w:rFonts w:ascii="Times New Roman" w:hAnsi="Times New Roman" w:eastAsia="Times New Roman" w:cs="Times New Roman"/>
                <w:spacing w:val="1"/>
                <w:sz w:val="24"/>
                <w:szCs w:val="24"/>
              </w:rPr>
              <w:t>Ⅲ</w:t>
            </w:r>
            <w:r>
              <w:rPr>
                <w:spacing w:val="1"/>
                <w:sz w:val="24"/>
                <w:szCs w:val="24"/>
              </w:rPr>
              <w:t>类标准。</w:t>
            </w:r>
            <w:r>
              <w:rPr>
                <w:spacing w:val="-2"/>
                <w:sz w:val="24"/>
                <w:szCs w:val="24"/>
              </w:rPr>
              <w:t>标准限值见下表。</w:t>
            </w:r>
          </w:p>
          <w:p w14:paraId="50D64CF4">
            <w:pPr>
              <w:pStyle w:val="6"/>
              <w:spacing w:line="204" w:lineRule="auto"/>
              <w:ind w:left="2915"/>
              <w:rPr>
                <w:sz w:val="24"/>
                <w:szCs w:val="24"/>
              </w:rPr>
            </w:pPr>
            <w:r>
              <w:rPr>
                <w:b/>
                <w:bCs/>
                <w:spacing w:val="-2"/>
                <w:sz w:val="24"/>
                <w:szCs w:val="24"/>
              </w:rPr>
              <w:t>表</w:t>
            </w:r>
            <w:r>
              <w:rPr>
                <w:spacing w:val="-50"/>
                <w:sz w:val="24"/>
                <w:szCs w:val="24"/>
              </w:rPr>
              <w:t xml:space="preserve"> </w:t>
            </w:r>
            <w:r>
              <w:rPr>
                <w:rFonts w:ascii="Times New Roman" w:hAnsi="Times New Roman" w:eastAsia="Times New Roman" w:cs="Times New Roman"/>
                <w:b/>
                <w:bCs/>
                <w:spacing w:val="-2"/>
                <w:sz w:val="24"/>
                <w:szCs w:val="24"/>
              </w:rPr>
              <w:t xml:space="preserve">3-10    </w:t>
            </w:r>
            <w:r>
              <w:rPr>
                <w:b/>
                <w:bCs/>
                <w:spacing w:val="-2"/>
                <w:sz w:val="24"/>
                <w:szCs w:val="24"/>
              </w:rPr>
              <w:t>地表水环境质量标准</w:t>
            </w:r>
          </w:p>
        </w:tc>
      </w:tr>
      <w:tr w14:paraId="695D6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94" w:type="dxa"/>
            <w:vMerge w:val="continue"/>
            <w:tcBorders>
              <w:top w:val="nil"/>
              <w:bottom w:val="nil"/>
            </w:tcBorders>
            <w:textDirection w:val="tbRlV"/>
            <w:vAlign w:val="top"/>
          </w:tcPr>
          <w:p w14:paraId="617EF966">
            <w:pPr>
              <w:rPr>
                <w:rFonts w:ascii="Arial"/>
                <w:sz w:val="21"/>
              </w:rPr>
            </w:pPr>
          </w:p>
        </w:tc>
        <w:tc>
          <w:tcPr>
            <w:tcW w:w="122" w:type="dxa"/>
            <w:tcBorders>
              <w:top w:val="nil"/>
              <w:bottom w:val="nil"/>
            </w:tcBorders>
            <w:vAlign w:val="top"/>
          </w:tcPr>
          <w:p w14:paraId="5F63A59E">
            <w:pPr>
              <w:rPr>
                <w:rFonts w:ascii="Arial"/>
                <w:sz w:val="21"/>
              </w:rPr>
            </w:pPr>
          </w:p>
        </w:tc>
        <w:tc>
          <w:tcPr>
            <w:tcW w:w="1061" w:type="dxa"/>
            <w:vAlign w:val="top"/>
          </w:tcPr>
          <w:p w14:paraId="6F420A4B">
            <w:pPr>
              <w:pStyle w:val="6"/>
              <w:spacing w:before="36" w:line="214" w:lineRule="auto"/>
              <w:ind w:left="315"/>
            </w:pPr>
            <w:r>
              <w:rPr>
                <w:spacing w:val="5"/>
              </w:rPr>
              <w:t>序号</w:t>
            </w:r>
          </w:p>
        </w:tc>
        <w:tc>
          <w:tcPr>
            <w:tcW w:w="2504" w:type="dxa"/>
            <w:gridSpan w:val="3"/>
            <w:vAlign w:val="top"/>
          </w:tcPr>
          <w:p w14:paraId="79593829">
            <w:pPr>
              <w:pStyle w:val="6"/>
              <w:spacing w:before="36" w:line="214" w:lineRule="auto"/>
              <w:ind w:left="1039"/>
            </w:pPr>
            <w:r>
              <w:rPr>
                <w:spacing w:val="3"/>
              </w:rPr>
              <w:t>参数</w:t>
            </w:r>
          </w:p>
        </w:tc>
        <w:tc>
          <w:tcPr>
            <w:tcW w:w="2061" w:type="dxa"/>
            <w:gridSpan w:val="2"/>
            <w:vAlign w:val="top"/>
          </w:tcPr>
          <w:p w14:paraId="56AF62C6">
            <w:pPr>
              <w:pStyle w:val="6"/>
              <w:spacing w:before="36" w:line="214" w:lineRule="auto"/>
              <w:ind w:left="504"/>
            </w:pPr>
            <w:r>
              <w:rPr>
                <w:rFonts w:ascii="Times New Roman" w:hAnsi="Times New Roman" w:eastAsia="Times New Roman" w:cs="Times New Roman"/>
                <w:spacing w:val="8"/>
              </w:rPr>
              <w:t>Ⅲ</w:t>
            </w:r>
            <w:r>
              <w:rPr>
                <w:spacing w:val="8"/>
              </w:rPr>
              <w:t>类标准值</w:t>
            </w:r>
          </w:p>
        </w:tc>
        <w:tc>
          <w:tcPr>
            <w:tcW w:w="2696" w:type="dxa"/>
            <w:gridSpan w:val="2"/>
            <w:vAlign w:val="top"/>
          </w:tcPr>
          <w:p w14:paraId="41005A3D">
            <w:pPr>
              <w:pStyle w:val="6"/>
              <w:spacing w:before="36" w:line="214" w:lineRule="auto"/>
              <w:ind w:left="935"/>
            </w:pPr>
            <w:r>
              <w:rPr>
                <w:spacing w:val="7"/>
              </w:rPr>
              <w:t>标准来源</w:t>
            </w:r>
          </w:p>
        </w:tc>
        <w:tc>
          <w:tcPr>
            <w:tcW w:w="128" w:type="dxa"/>
            <w:tcBorders>
              <w:top w:val="nil"/>
              <w:bottom w:val="nil"/>
            </w:tcBorders>
            <w:vAlign w:val="top"/>
          </w:tcPr>
          <w:p w14:paraId="515C35B1">
            <w:pPr>
              <w:rPr>
                <w:rFonts w:ascii="Arial"/>
                <w:sz w:val="21"/>
              </w:rPr>
            </w:pPr>
          </w:p>
        </w:tc>
      </w:tr>
      <w:tr w14:paraId="019912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494" w:type="dxa"/>
            <w:vMerge w:val="continue"/>
            <w:tcBorders>
              <w:top w:val="nil"/>
              <w:bottom w:val="nil"/>
            </w:tcBorders>
            <w:textDirection w:val="tbRlV"/>
            <w:vAlign w:val="top"/>
          </w:tcPr>
          <w:p w14:paraId="63009351">
            <w:pPr>
              <w:rPr>
                <w:rFonts w:ascii="Arial"/>
                <w:sz w:val="21"/>
              </w:rPr>
            </w:pPr>
          </w:p>
        </w:tc>
        <w:tc>
          <w:tcPr>
            <w:tcW w:w="122" w:type="dxa"/>
            <w:tcBorders>
              <w:top w:val="nil"/>
              <w:bottom w:val="nil"/>
            </w:tcBorders>
            <w:vAlign w:val="top"/>
          </w:tcPr>
          <w:p w14:paraId="4E048050">
            <w:pPr>
              <w:spacing w:line="225" w:lineRule="exact"/>
              <w:rPr>
                <w:rFonts w:ascii="Arial"/>
                <w:sz w:val="19"/>
              </w:rPr>
            </w:pPr>
          </w:p>
        </w:tc>
        <w:tc>
          <w:tcPr>
            <w:tcW w:w="1061" w:type="dxa"/>
            <w:vAlign w:val="top"/>
          </w:tcPr>
          <w:p w14:paraId="592A0995">
            <w:pPr>
              <w:spacing w:before="55" w:line="177" w:lineRule="auto"/>
              <w:ind w:left="48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504" w:type="dxa"/>
            <w:gridSpan w:val="3"/>
            <w:vAlign w:val="top"/>
          </w:tcPr>
          <w:p w14:paraId="1EF01098">
            <w:pPr>
              <w:spacing w:before="58" w:line="174" w:lineRule="auto"/>
              <w:ind w:left="111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pH</w:t>
            </w:r>
          </w:p>
        </w:tc>
        <w:tc>
          <w:tcPr>
            <w:tcW w:w="2061" w:type="dxa"/>
            <w:gridSpan w:val="2"/>
            <w:vAlign w:val="top"/>
          </w:tcPr>
          <w:p w14:paraId="48E2546D">
            <w:pPr>
              <w:spacing w:before="55" w:line="177" w:lineRule="auto"/>
              <w:ind w:left="86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6~9</w:t>
            </w:r>
          </w:p>
        </w:tc>
        <w:tc>
          <w:tcPr>
            <w:tcW w:w="2696" w:type="dxa"/>
            <w:gridSpan w:val="2"/>
            <w:vMerge w:val="restart"/>
            <w:tcBorders>
              <w:bottom w:val="nil"/>
            </w:tcBorders>
            <w:vAlign w:val="top"/>
          </w:tcPr>
          <w:p w14:paraId="60A5362A">
            <w:pPr>
              <w:spacing w:line="316" w:lineRule="auto"/>
              <w:rPr>
                <w:rFonts w:ascii="Arial"/>
                <w:sz w:val="21"/>
              </w:rPr>
            </w:pPr>
          </w:p>
          <w:p w14:paraId="028B8933">
            <w:pPr>
              <w:spacing w:line="317" w:lineRule="auto"/>
              <w:rPr>
                <w:rFonts w:ascii="Arial"/>
                <w:sz w:val="21"/>
              </w:rPr>
            </w:pPr>
          </w:p>
          <w:p w14:paraId="07FB7D06">
            <w:pPr>
              <w:pStyle w:val="6"/>
              <w:spacing w:before="65" w:line="253" w:lineRule="auto"/>
              <w:ind w:left="107" w:right="93" w:firstLine="4"/>
              <w:jc w:val="both"/>
            </w:pPr>
            <w:r>
              <w:rPr>
                <w:spacing w:val="24"/>
              </w:rPr>
              <w:t>《地表水环境质量标准》</w:t>
            </w:r>
            <w:r>
              <w:rPr>
                <w:spacing w:val="5"/>
              </w:rPr>
              <w:t xml:space="preserve"> </w:t>
            </w:r>
            <w:r>
              <w:rPr>
                <w:spacing w:val="6"/>
              </w:rPr>
              <w:t>（</w:t>
            </w:r>
            <w:r>
              <w:rPr>
                <w:rFonts w:ascii="Times New Roman" w:hAnsi="Times New Roman" w:eastAsia="Times New Roman" w:cs="Times New Roman"/>
              </w:rPr>
              <w:t>GB</w:t>
            </w:r>
            <w:r>
              <w:rPr>
                <w:rFonts w:ascii="Times New Roman" w:hAnsi="Times New Roman" w:eastAsia="Times New Roman" w:cs="Times New Roman"/>
                <w:spacing w:val="6"/>
              </w:rPr>
              <w:t>3838-2002</w:t>
            </w:r>
            <w:r>
              <w:rPr>
                <w:spacing w:val="6"/>
              </w:rPr>
              <w:t>）</w:t>
            </w:r>
            <w:r>
              <w:rPr>
                <w:spacing w:val="-38"/>
              </w:rPr>
              <w:t xml:space="preserve"> </w:t>
            </w:r>
            <w:r>
              <w:rPr>
                <w:spacing w:val="6"/>
              </w:rPr>
              <w:t>中</w:t>
            </w:r>
            <w:r>
              <w:rPr>
                <w:rFonts w:ascii="Times New Roman" w:hAnsi="Times New Roman" w:eastAsia="Times New Roman" w:cs="Times New Roman"/>
                <w:spacing w:val="6"/>
              </w:rPr>
              <w:t>Ⅲ</w:t>
            </w:r>
            <w:r>
              <w:rPr>
                <w:spacing w:val="6"/>
              </w:rPr>
              <w:t>类水质标准</w:t>
            </w:r>
          </w:p>
        </w:tc>
        <w:tc>
          <w:tcPr>
            <w:tcW w:w="128" w:type="dxa"/>
            <w:tcBorders>
              <w:top w:val="nil"/>
              <w:bottom w:val="nil"/>
            </w:tcBorders>
            <w:vAlign w:val="top"/>
          </w:tcPr>
          <w:p w14:paraId="3A857A11">
            <w:pPr>
              <w:spacing w:line="225" w:lineRule="exact"/>
              <w:rPr>
                <w:rFonts w:ascii="Arial"/>
                <w:sz w:val="19"/>
              </w:rPr>
            </w:pPr>
          </w:p>
        </w:tc>
      </w:tr>
      <w:tr w14:paraId="2F9B7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94" w:type="dxa"/>
            <w:vMerge w:val="continue"/>
            <w:tcBorders>
              <w:top w:val="nil"/>
              <w:bottom w:val="nil"/>
            </w:tcBorders>
            <w:textDirection w:val="tbRlV"/>
            <w:vAlign w:val="top"/>
          </w:tcPr>
          <w:p w14:paraId="0A372FE5">
            <w:pPr>
              <w:rPr>
                <w:rFonts w:ascii="Arial"/>
                <w:sz w:val="21"/>
              </w:rPr>
            </w:pPr>
          </w:p>
        </w:tc>
        <w:tc>
          <w:tcPr>
            <w:tcW w:w="122" w:type="dxa"/>
            <w:tcBorders>
              <w:top w:val="nil"/>
              <w:bottom w:val="nil"/>
            </w:tcBorders>
            <w:vAlign w:val="top"/>
          </w:tcPr>
          <w:p w14:paraId="5EBC346A">
            <w:pPr>
              <w:rPr>
                <w:rFonts w:ascii="Arial"/>
                <w:sz w:val="21"/>
              </w:rPr>
            </w:pPr>
          </w:p>
        </w:tc>
        <w:tc>
          <w:tcPr>
            <w:tcW w:w="1061" w:type="dxa"/>
            <w:vAlign w:val="top"/>
          </w:tcPr>
          <w:p w14:paraId="0605AD77">
            <w:pPr>
              <w:spacing w:before="84" w:line="195" w:lineRule="auto"/>
              <w:ind w:left="46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504" w:type="dxa"/>
            <w:gridSpan w:val="3"/>
            <w:vAlign w:val="top"/>
          </w:tcPr>
          <w:p w14:paraId="4EC98B92">
            <w:pPr>
              <w:pStyle w:val="6"/>
              <w:spacing w:before="47" w:line="208" w:lineRule="auto"/>
              <w:ind w:left="935"/>
            </w:pPr>
            <w:r>
              <w:rPr>
                <w:spacing w:val="6"/>
              </w:rPr>
              <w:t>溶解氧</w:t>
            </w:r>
          </w:p>
        </w:tc>
        <w:tc>
          <w:tcPr>
            <w:tcW w:w="2061" w:type="dxa"/>
            <w:gridSpan w:val="2"/>
            <w:vAlign w:val="top"/>
          </w:tcPr>
          <w:p w14:paraId="5EE9F5B3">
            <w:pPr>
              <w:spacing w:before="87" w:line="192" w:lineRule="auto"/>
              <w:ind w:left="91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w:t>
            </w:r>
          </w:p>
        </w:tc>
        <w:tc>
          <w:tcPr>
            <w:tcW w:w="2696" w:type="dxa"/>
            <w:gridSpan w:val="2"/>
            <w:vMerge w:val="continue"/>
            <w:tcBorders>
              <w:top w:val="nil"/>
              <w:bottom w:val="nil"/>
            </w:tcBorders>
            <w:vAlign w:val="top"/>
          </w:tcPr>
          <w:p w14:paraId="6851124E">
            <w:pPr>
              <w:rPr>
                <w:rFonts w:ascii="Arial"/>
                <w:sz w:val="21"/>
              </w:rPr>
            </w:pPr>
          </w:p>
        </w:tc>
        <w:tc>
          <w:tcPr>
            <w:tcW w:w="128" w:type="dxa"/>
            <w:tcBorders>
              <w:top w:val="nil"/>
              <w:bottom w:val="nil"/>
            </w:tcBorders>
            <w:vAlign w:val="top"/>
          </w:tcPr>
          <w:p w14:paraId="4CD25C9D">
            <w:pPr>
              <w:rPr>
                <w:rFonts w:ascii="Arial"/>
                <w:sz w:val="21"/>
              </w:rPr>
            </w:pPr>
          </w:p>
        </w:tc>
      </w:tr>
      <w:tr w14:paraId="23EFBC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494" w:type="dxa"/>
            <w:vMerge w:val="continue"/>
            <w:tcBorders>
              <w:top w:val="nil"/>
              <w:bottom w:val="nil"/>
            </w:tcBorders>
            <w:textDirection w:val="tbRlV"/>
            <w:vAlign w:val="top"/>
          </w:tcPr>
          <w:p w14:paraId="5DB6D206">
            <w:pPr>
              <w:rPr>
                <w:rFonts w:ascii="Arial"/>
                <w:sz w:val="21"/>
              </w:rPr>
            </w:pPr>
          </w:p>
        </w:tc>
        <w:tc>
          <w:tcPr>
            <w:tcW w:w="122" w:type="dxa"/>
            <w:tcBorders>
              <w:top w:val="nil"/>
              <w:bottom w:val="nil"/>
            </w:tcBorders>
            <w:vAlign w:val="top"/>
          </w:tcPr>
          <w:p w14:paraId="07C270FF">
            <w:pPr>
              <w:spacing w:line="232" w:lineRule="exact"/>
              <w:rPr>
                <w:rFonts w:ascii="Arial"/>
                <w:sz w:val="20"/>
              </w:rPr>
            </w:pPr>
          </w:p>
        </w:tc>
        <w:tc>
          <w:tcPr>
            <w:tcW w:w="1061" w:type="dxa"/>
            <w:vAlign w:val="top"/>
          </w:tcPr>
          <w:p w14:paraId="04C94481">
            <w:pPr>
              <w:spacing w:before="62" w:line="178" w:lineRule="auto"/>
              <w:ind w:left="472"/>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504" w:type="dxa"/>
            <w:gridSpan w:val="3"/>
            <w:vAlign w:val="top"/>
          </w:tcPr>
          <w:p w14:paraId="20D56283">
            <w:pPr>
              <w:spacing w:before="62" w:line="178" w:lineRule="auto"/>
              <w:ind w:left="10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COD</w:t>
            </w:r>
          </w:p>
        </w:tc>
        <w:tc>
          <w:tcPr>
            <w:tcW w:w="2061" w:type="dxa"/>
            <w:gridSpan w:val="2"/>
            <w:vAlign w:val="top"/>
          </w:tcPr>
          <w:p w14:paraId="306495A0">
            <w:pPr>
              <w:spacing w:before="62" w:line="178" w:lineRule="auto"/>
              <w:ind w:left="86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w:t>
            </w:r>
          </w:p>
        </w:tc>
        <w:tc>
          <w:tcPr>
            <w:tcW w:w="2696" w:type="dxa"/>
            <w:gridSpan w:val="2"/>
            <w:vMerge w:val="continue"/>
            <w:tcBorders>
              <w:top w:val="nil"/>
              <w:bottom w:val="nil"/>
            </w:tcBorders>
            <w:vAlign w:val="top"/>
          </w:tcPr>
          <w:p w14:paraId="5B2ED6FA">
            <w:pPr>
              <w:rPr>
                <w:rFonts w:ascii="Arial"/>
                <w:sz w:val="21"/>
              </w:rPr>
            </w:pPr>
          </w:p>
        </w:tc>
        <w:tc>
          <w:tcPr>
            <w:tcW w:w="128" w:type="dxa"/>
            <w:tcBorders>
              <w:top w:val="nil"/>
              <w:bottom w:val="nil"/>
            </w:tcBorders>
            <w:vAlign w:val="top"/>
          </w:tcPr>
          <w:p w14:paraId="03B0225A">
            <w:pPr>
              <w:spacing w:line="232" w:lineRule="exact"/>
              <w:rPr>
                <w:rFonts w:ascii="Arial"/>
                <w:sz w:val="20"/>
              </w:rPr>
            </w:pPr>
          </w:p>
        </w:tc>
      </w:tr>
      <w:tr w14:paraId="3C702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494" w:type="dxa"/>
            <w:vMerge w:val="continue"/>
            <w:tcBorders>
              <w:top w:val="nil"/>
              <w:bottom w:val="nil"/>
            </w:tcBorders>
            <w:textDirection w:val="tbRlV"/>
            <w:vAlign w:val="top"/>
          </w:tcPr>
          <w:p w14:paraId="63C402B7">
            <w:pPr>
              <w:rPr>
                <w:rFonts w:ascii="Arial"/>
                <w:sz w:val="21"/>
              </w:rPr>
            </w:pPr>
          </w:p>
        </w:tc>
        <w:tc>
          <w:tcPr>
            <w:tcW w:w="122" w:type="dxa"/>
            <w:tcBorders>
              <w:top w:val="nil"/>
              <w:bottom w:val="nil"/>
            </w:tcBorders>
            <w:vAlign w:val="top"/>
          </w:tcPr>
          <w:p w14:paraId="19622339">
            <w:pPr>
              <w:spacing w:line="232" w:lineRule="exact"/>
              <w:rPr>
                <w:rFonts w:ascii="Arial"/>
                <w:sz w:val="20"/>
              </w:rPr>
            </w:pPr>
          </w:p>
        </w:tc>
        <w:tc>
          <w:tcPr>
            <w:tcW w:w="1061" w:type="dxa"/>
            <w:vAlign w:val="top"/>
          </w:tcPr>
          <w:p w14:paraId="2297AAF1">
            <w:pPr>
              <w:spacing w:before="66" w:line="173" w:lineRule="auto"/>
              <w:ind w:left="46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504" w:type="dxa"/>
            <w:gridSpan w:val="3"/>
            <w:vAlign w:val="top"/>
          </w:tcPr>
          <w:p w14:paraId="50B00EBB">
            <w:pPr>
              <w:spacing w:before="66" w:line="173" w:lineRule="auto"/>
              <w:ind w:left="987"/>
              <w:rPr>
                <w:rFonts w:ascii="Times New Roman" w:hAnsi="Times New Roman" w:eastAsia="Times New Roman" w:cs="Times New Roman"/>
                <w:sz w:val="13"/>
                <w:szCs w:val="13"/>
              </w:rPr>
            </w:pPr>
            <w:r>
              <w:rPr>
                <w:rFonts w:ascii="Times New Roman" w:hAnsi="Times New Roman" w:eastAsia="Times New Roman" w:cs="Times New Roman"/>
                <w:spacing w:val="5"/>
                <w:sz w:val="20"/>
                <w:szCs w:val="20"/>
              </w:rPr>
              <w:t>BOD</w:t>
            </w:r>
            <w:r>
              <w:rPr>
                <w:rFonts w:ascii="Times New Roman" w:hAnsi="Times New Roman" w:eastAsia="Times New Roman" w:cs="Times New Roman"/>
                <w:spacing w:val="5"/>
                <w:position w:val="-1"/>
                <w:sz w:val="13"/>
                <w:szCs w:val="13"/>
              </w:rPr>
              <w:t>5</w:t>
            </w:r>
          </w:p>
        </w:tc>
        <w:tc>
          <w:tcPr>
            <w:tcW w:w="2061" w:type="dxa"/>
            <w:gridSpan w:val="2"/>
            <w:vAlign w:val="top"/>
          </w:tcPr>
          <w:p w14:paraId="12C1CF3D">
            <w:pPr>
              <w:spacing w:before="66" w:line="173" w:lineRule="auto"/>
              <w:ind w:left="91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w:t>
            </w:r>
          </w:p>
        </w:tc>
        <w:tc>
          <w:tcPr>
            <w:tcW w:w="2696" w:type="dxa"/>
            <w:gridSpan w:val="2"/>
            <w:vMerge w:val="continue"/>
            <w:tcBorders>
              <w:top w:val="nil"/>
              <w:bottom w:val="nil"/>
            </w:tcBorders>
            <w:vAlign w:val="top"/>
          </w:tcPr>
          <w:p w14:paraId="700A27D7">
            <w:pPr>
              <w:rPr>
                <w:rFonts w:ascii="Arial"/>
                <w:sz w:val="21"/>
              </w:rPr>
            </w:pPr>
          </w:p>
        </w:tc>
        <w:tc>
          <w:tcPr>
            <w:tcW w:w="128" w:type="dxa"/>
            <w:tcBorders>
              <w:top w:val="nil"/>
              <w:bottom w:val="nil"/>
            </w:tcBorders>
            <w:vAlign w:val="top"/>
          </w:tcPr>
          <w:p w14:paraId="2E6C11C0">
            <w:pPr>
              <w:spacing w:line="232" w:lineRule="exact"/>
              <w:rPr>
                <w:rFonts w:ascii="Arial"/>
                <w:sz w:val="20"/>
              </w:rPr>
            </w:pPr>
          </w:p>
        </w:tc>
      </w:tr>
      <w:tr w14:paraId="5306A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494" w:type="dxa"/>
            <w:vMerge w:val="continue"/>
            <w:tcBorders>
              <w:top w:val="nil"/>
              <w:bottom w:val="nil"/>
            </w:tcBorders>
            <w:textDirection w:val="tbRlV"/>
            <w:vAlign w:val="top"/>
          </w:tcPr>
          <w:p w14:paraId="06525223">
            <w:pPr>
              <w:rPr>
                <w:rFonts w:ascii="Arial"/>
                <w:sz w:val="21"/>
              </w:rPr>
            </w:pPr>
          </w:p>
        </w:tc>
        <w:tc>
          <w:tcPr>
            <w:tcW w:w="122" w:type="dxa"/>
            <w:tcBorders>
              <w:top w:val="nil"/>
              <w:bottom w:val="nil"/>
            </w:tcBorders>
            <w:vAlign w:val="top"/>
          </w:tcPr>
          <w:p w14:paraId="727FC017">
            <w:pPr>
              <w:rPr>
                <w:rFonts w:ascii="Arial"/>
                <w:sz w:val="21"/>
              </w:rPr>
            </w:pPr>
          </w:p>
        </w:tc>
        <w:tc>
          <w:tcPr>
            <w:tcW w:w="1061" w:type="dxa"/>
            <w:vAlign w:val="top"/>
          </w:tcPr>
          <w:p w14:paraId="6F3DDD38">
            <w:pPr>
              <w:spacing w:before="88" w:line="192" w:lineRule="auto"/>
              <w:ind w:left="473"/>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2504" w:type="dxa"/>
            <w:gridSpan w:val="3"/>
            <w:vAlign w:val="top"/>
          </w:tcPr>
          <w:p w14:paraId="20D1DF0E">
            <w:pPr>
              <w:pStyle w:val="6"/>
              <w:spacing w:before="49" w:line="207" w:lineRule="auto"/>
              <w:ind w:left="1043"/>
            </w:pPr>
            <w:r>
              <w:rPr>
                <w:spacing w:val="2"/>
              </w:rPr>
              <w:t>总磷</w:t>
            </w:r>
          </w:p>
        </w:tc>
        <w:tc>
          <w:tcPr>
            <w:tcW w:w="2061" w:type="dxa"/>
            <w:gridSpan w:val="2"/>
            <w:vAlign w:val="top"/>
          </w:tcPr>
          <w:p w14:paraId="2BB67F08">
            <w:pPr>
              <w:spacing w:before="86" w:line="195" w:lineRule="auto"/>
              <w:ind w:left="8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w:t>
            </w:r>
          </w:p>
        </w:tc>
        <w:tc>
          <w:tcPr>
            <w:tcW w:w="2696" w:type="dxa"/>
            <w:gridSpan w:val="2"/>
            <w:vMerge w:val="continue"/>
            <w:tcBorders>
              <w:top w:val="nil"/>
              <w:bottom w:val="nil"/>
            </w:tcBorders>
            <w:vAlign w:val="top"/>
          </w:tcPr>
          <w:p w14:paraId="00292740">
            <w:pPr>
              <w:rPr>
                <w:rFonts w:ascii="Arial"/>
                <w:sz w:val="21"/>
              </w:rPr>
            </w:pPr>
          </w:p>
        </w:tc>
        <w:tc>
          <w:tcPr>
            <w:tcW w:w="128" w:type="dxa"/>
            <w:tcBorders>
              <w:top w:val="nil"/>
              <w:bottom w:val="nil"/>
            </w:tcBorders>
            <w:vAlign w:val="top"/>
          </w:tcPr>
          <w:p w14:paraId="327C0006">
            <w:pPr>
              <w:rPr>
                <w:rFonts w:ascii="Arial"/>
                <w:sz w:val="21"/>
              </w:rPr>
            </w:pPr>
          </w:p>
        </w:tc>
      </w:tr>
      <w:tr w14:paraId="19FDCF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94" w:type="dxa"/>
            <w:vMerge w:val="continue"/>
            <w:tcBorders>
              <w:top w:val="nil"/>
              <w:bottom w:val="nil"/>
            </w:tcBorders>
            <w:textDirection w:val="tbRlV"/>
            <w:vAlign w:val="top"/>
          </w:tcPr>
          <w:p w14:paraId="149D4626">
            <w:pPr>
              <w:rPr>
                <w:rFonts w:ascii="Arial"/>
                <w:sz w:val="21"/>
              </w:rPr>
            </w:pPr>
          </w:p>
        </w:tc>
        <w:tc>
          <w:tcPr>
            <w:tcW w:w="122" w:type="dxa"/>
            <w:tcBorders>
              <w:top w:val="nil"/>
              <w:bottom w:val="nil"/>
            </w:tcBorders>
            <w:vAlign w:val="top"/>
          </w:tcPr>
          <w:p w14:paraId="01C763B9">
            <w:pPr>
              <w:rPr>
                <w:rFonts w:ascii="Arial"/>
                <w:sz w:val="21"/>
              </w:rPr>
            </w:pPr>
          </w:p>
        </w:tc>
        <w:tc>
          <w:tcPr>
            <w:tcW w:w="1061" w:type="dxa"/>
            <w:vAlign w:val="top"/>
          </w:tcPr>
          <w:p w14:paraId="5EFBB09D">
            <w:pPr>
              <w:spacing w:before="77" w:line="195" w:lineRule="auto"/>
              <w:ind w:left="472"/>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2504" w:type="dxa"/>
            <w:gridSpan w:val="3"/>
            <w:vAlign w:val="top"/>
          </w:tcPr>
          <w:p w14:paraId="486B9496">
            <w:pPr>
              <w:pStyle w:val="6"/>
              <w:spacing w:before="41" w:line="214" w:lineRule="auto"/>
              <w:ind w:left="1038"/>
            </w:pPr>
            <w:r>
              <w:rPr>
                <w:spacing w:val="4"/>
              </w:rPr>
              <w:t>氨氮</w:t>
            </w:r>
          </w:p>
        </w:tc>
        <w:tc>
          <w:tcPr>
            <w:tcW w:w="2061" w:type="dxa"/>
            <w:gridSpan w:val="2"/>
            <w:vAlign w:val="top"/>
          </w:tcPr>
          <w:p w14:paraId="2DA6B9E5">
            <w:pPr>
              <w:spacing w:before="78" w:line="195" w:lineRule="auto"/>
              <w:ind w:left="8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w:t>
            </w:r>
          </w:p>
        </w:tc>
        <w:tc>
          <w:tcPr>
            <w:tcW w:w="2696" w:type="dxa"/>
            <w:gridSpan w:val="2"/>
            <w:vMerge w:val="continue"/>
            <w:tcBorders>
              <w:top w:val="nil"/>
              <w:bottom w:val="nil"/>
            </w:tcBorders>
            <w:vAlign w:val="top"/>
          </w:tcPr>
          <w:p w14:paraId="0F328743">
            <w:pPr>
              <w:rPr>
                <w:rFonts w:ascii="Arial"/>
                <w:sz w:val="21"/>
              </w:rPr>
            </w:pPr>
          </w:p>
        </w:tc>
        <w:tc>
          <w:tcPr>
            <w:tcW w:w="128" w:type="dxa"/>
            <w:tcBorders>
              <w:top w:val="nil"/>
              <w:bottom w:val="nil"/>
            </w:tcBorders>
            <w:vAlign w:val="top"/>
          </w:tcPr>
          <w:p w14:paraId="58DBAF50">
            <w:pPr>
              <w:rPr>
                <w:rFonts w:ascii="Arial"/>
                <w:sz w:val="21"/>
              </w:rPr>
            </w:pPr>
          </w:p>
        </w:tc>
      </w:tr>
      <w:tr w14:paraId="753C2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494" w:type="dxa"/>
            <w:vMerge w:val="continue"/>
            <w:tcBorders>
              <w:top w:val="nil"/>
              <w:bottom w:val="nil"/>
            </w:tcBorders>
            <w:textDirection w:val="tbRlV"/>
            <w:vAlign w:val="top"/>
          </w:tcPr>
          <w:p w14:paraId="1A38BA18">
            <w:pPr>
              <w:rPr>
                <w:rFonts w:ascii="Arial"/>
                <w:sz w:val="21"/>
              </w:rPr>
            </w:pPr>
          </w:p>
        </w:tc>
        <w:tc>
          <w:tcPr>
            <w:tcW w:w="122" w:type="dxa"/>
            <w:tcBorders>
              <w:top w:val="nil"/>
              <w:bottom w:val="nil"/>
            </w:tcBorders>
            <w:vAlign w:val="top"/>
          </w:tcPr>
          <w:p w14:paraId="4444FABB">
            <w:pPr>
              <w:rPr>
                <w:rFonts w:ascii="Arial"/>
                <w:sz w:val="21"/>
              </w:rPr>
            </w:pPr>
          </w:p>
        </w:tc>
        <w:tc>
          <w:tcPr>
            <w:tcW w:w="1061" w:type="dxa"/>
            <w:vAlign w:val="top"/>
          </w:tcPr>
          <w:p w14:paraId="64200ED0">
            <w:pPr>
              <w:spacing w:before="75" w:line="191" w:lineRule="auto"/>
              <w:ind w:left="471"/>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2504" w:type="dxa"/>
            <w:gridSpan w:val="3"/>
            <w:vAlign w:val="top"/>
          </w:tcPr>
          <w:p w14:paraId="4A4703F1">
            <w:pPr>
              <w:pStyle w:val="6"/>
              <w:spacing w:before="36" w:line="205" w:lineRule="auto"/>
              <w:ind w:left="623"/>
            </w:pPr>
            <w:r>
              <w:rPr>
                <w:spacing w:val="7"/>
              </w:rPr>
              <w:t>高锰酸盐指数</w:t>
            </w:r>
          </w:p>
        </w:tc>
        <w:tc>
          <w:tcPr>
            <w:tcW w:w="2061" w:type="dxa"/>
            <w:gridSpan w:val="2"/>
            <w:vAlign w:val="top"/>
          </w:tcPr>
          <w:p w14:paraId="60FBEFE4">
            <w:pPr>
              <w:spacing w:before="73" w:line="194" w:lineRule="auto"/>
              <w:ind w:left="91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w:t>
            </w:r>
          </w:p>
        </w:tc>
        <w:tc>
          <w:tcPr>
            <w:tcW w:w="2696" w:type="dxa"/>
            <w:gridSpan w:val="2"/>
            <w:vMerge w:val="continue"/>
            <w:tcBorders>
              <w:top w:val="nil"/>
              <w:bottom w:val="nil"/>
            </w:tcBorders>
            <w:vAlign w:val="top"/>
          </w:tcPr>
          <w:p w14:paraId="6E22963B">
            <w:pPr>
              <w:rPr>
                <w:rFonts w:ascii="Arial"/>
                <w:sz w:val="21"/>
              </w:rPr>
            </w:pPr>
          </w:p>
        </w:tc>
        <w:tc>
          <w:tcPr>
            <w:tcW w:w="128" w:type="dxa"/>
            <w:tcBorders>
              <w:top w:val="nil"/>
              <w:bottom w:val="nil"/>
            </w:tcBorders>
            <w:vAlign w:val="top"/>
          </w:tcPr>
          <w:p w14:paraId="5D1A5E09">
            <w:pPr>
              <w:rPr>
                <w:rFonts w:ascii="Arial"/>
                <w:sz w:val="21"/>
              </w:rPr>
            </w:pPr>
          </w:p>
        </w:tc>
      </w:tr>
      <w:tr w14:paraId="15811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494" w:type="dxa"/>
            <w:vMerge w:val="continue"/>
            <w:tcBorders>
              <w:top w:val="nil"/>
            </w:tcBorders>
            <w:textDirection w:val="tbRlV"/>
            <w:vAlign w:val="top"/>
          </w:tcPr>
          <w:p w14:paraId="38C2A290">
            <w:pPr>
              <w:rPr>
                <w:rFonts w:ascii="Arial"/>
                <w:sz w:val="21"/>
              </w:rPr>
            </w:pPr>
          </w:p>
        </w:tc>
        <w:tc>
          <w:tcPr>
            <w:tcW w:w="122" w:type="dxa"/>
            <w:tcBorders>
              <w:top w:val="nil"/>
            </w:tcBorders>
            <w:vAlign w:val="top"/>
          </w:tcPr>
          <w:p w14:paraId="648CFC8D">
            <w:pPr>
              <w:rPr>
                <w:rFonts w:ascii="Arial"/>
                <w:sz w:val="21"/>
              </w:rPr>
            </w:pPr>
          </w:p>
        </w:tc>
        <w:tc>
          <w:tcPr>
            <w:tcW w:w="1061" w:type="dxa"/>
            <w:vAlign w:val="top"/>
          </w:tcPr>
          <w:p w14:paraId="78CEF9CF">
            <w:pPr>
              <w:spacing w:before="81" w:line="195" w:lineRule="auto"/>
              <w:ind w:left="476"/>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2504" w:type="dxa"/>
            <w:gridSpan w:val="3"/>
            <w:vAlign w:val="top"/>
          </w:tcPr>
          <w:p w14:paraId="1C89FE1A">
            <w:pPr>
              <w:pStyle w:val="6"/>
              <w:spacing w:before="46" w:line="215" w:lineRule="auto"/>
              <w:ind w:left="933"/>
            </w:pPr>
            <w:r>
              <w:rPr>
                <w:spacing w:val="6"/>
              </w:rPr>
              <w:t>石油类</w:t>
            </w:r>
          </w:p>
        </w:tc>
        <w:tc>
          <w:tcPr>
            <w:tcW w:w="2061" w:type="dxa"/>
            <w:gridSpan w:val="2"/>
            <w:vAlign w:val="top"/>
          </w:tcPr>
          <w:p w14:paraId="3541EB98">
            <w:pPr>
              <w:spacing w:before="82" w:line="195" w:lineRule="auto"/>
              <w:ind w:left="78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w:t>
            </w:r>
          </w:p>
        </w:tc>
        <w:tc>
          <w:tcPr>
            <w:tcW w:w="2696" w:type="dxa"/>
            <w:gridSpan w:val="2"/>
            <w:vMerge w:val="continue"/>
            <w:tcBorders>
              <w:top w:val="nil"/>
            </w:tcBorders>
            <w:vAlign w:val="top"/>
          </w:tcPr>
          <w:p w14:paraId="439B43BF">
            <w:pPr>
              <w:rPr>
                <w:rFonts w:ascii="Arial"/>
                <w:sz w:val="21"/>
              </w:rPr>
            </w:pPr>
          </w:p>
        </w:tc>
        <w:tc>
          <w:tcPr>
            <w:tcW w:w="128" w:type="dxa"/>
            <w:tcBorders>
              <w:top w:val="nil"/>
            </w:tcBorders>
            <w:vAlign w:val="top"/>
          </w:tcPr>
          <w:p w14:paraId="753E83C2">
            <w:pPr>
              <w:rPr>
                <w:rFonts w:ascii="Arial"/>
                <w:sz w:val="21"/>
              </w:rPr>
            </w:pPr>
          </w:p>
        </w:tc>
      </w:tr>
    </w:tbl>
    <w:p w14:paraId="32A8990E">
      <w:pPr>
        <w:rPr>
          <w:rFonts w:ascii="Arial"/>
          <w:sz w:val="21"/>
        </w:rPr>
      </w:pPr>
    </w:p>
    <w:p w14:paraId="04BF8C99">
      <w:pPr>
        <w:rPr>
          <w:rFonts w:ascii="Arial" w:hAnsi="Arial" w:eastAsia="Arial" w:cs="Arial"/>
          <w:sz w:val="21"/>
          <w:szCs w:val="21"/>
        </w:rPr>
        <w:sectPr>
          <w:footerReference r:id="rId92" w:type="default"/>
          <w:pgSz w:w="11907" w:h="16840"/>
          <w:pgMar w:top="400" w:right="1304" w:bottom="1240" w:left="1531" w:header="0" w:footer="1077" w:gutter="0"/>
          <w:cols w:space="720" w:num="1"/>
        </w:sectPr>
      </w:pPr>
    </w:p>
    <w:p w14:paraId="1AC853D7">
      <w:pPr>
        <w:spacing w:before="13"/>
      </w:pPr>
    </w:p>
    <w:p w14:paraId="6E0ED475">
      <w:pPr>
        <w:spacing w:before="13"/>
      </w:pPr>
    </w:p>
    <w:p w14:paraId="2E1F6178">
      <w:pPr>
        <w:spacing w:before="13"/>
      </w:pPr>
    </w:p>
    <w:p w14:paraId="05AAE223">
      <w:pPr>
        <w:spacing w:before="12"/>
      </w:pPr>
    </w:p>
    <w:tbl>
      <w:tblPr>
        <w:tblStyle w:val="5"/>
        <w:tblW w:w="90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3"/>
        <w:gridCol w:w="114"/>
        <w:gridCol w:w="1061"/>
        <w:gridCol w:w="515"/>
        <w:gridCol w:w="1989"/>
        <w:gridCol w:w="1742"/>
        <w:gridCol w:w="320"/>
        <w:gridCol w:w="2713"/>
        <w:gridCol w:w="119"/>
      </w:tblGrid>
      <w:tr w14:paraId="79488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493" w:type="dxa"/>
            <w:vMerge w:val="restart"/>
            <w:tcBorders>
              <w:bottom w:val="nil"/>
            </w:tcBorders>
            <w:vAlign w:val="top"/>
          </w:tcPr>
          <w:p w14:paraId="0359C463">
            <w:pPr>
              <w:rPr>
                <w:rFonts w:ascii="Arial"/>
                <w:sz w:val="21"/>
              </w:rPr>
            </w:pPr>
          </w:p>
        </w:tc>
        <w:tc>
          <w:tcPr>
            <w:tcW w:w="114" w:type="dxa"/>
            <w:tcBorders>
              <w:bottom w:val="nil"/>
            </w:tcBorders>
            <w:vAlign w:val="top"/>
          </w:tcPr>
          <w:p w14:paraId="4ADA7C70">
            <w:pPr>
              <w:rPr>
                <w:rFonts w:ascii="Arial"/>
                <w:sz w:val="21"/>
              </w:rPr>
            </w:pPr>
          </w:p>
        </w:tc>
        <w:tc>
          <w:tcPr>
            <w:tcW w:w="1061" w:type="dxa"/>
            <w:vAlign w:val="top"/>
          </w:tcPr>
          <w:p w14:paraId="0AED1903">
            <w:pPr>
              <w:spacing w:before="81" w:line="195" w:lineRule="auto"/>
              <w:ind w:left="481"/>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2504" w:type="dxa"/>
            <w:gridSpan w:val="2"/>
            <w:vAlign w:val="top"/>
          </w:tcPr>
          <w:p w14:paraId="471AD664">
            <w:pPr>
              <w:pStyle w:val="6"/>
              <w:spacing w:before="45" w:line="218" w:lineRule="auto"/>
              <w:ind w:left="734"/>
            </w:pPr>
            <w:r>
              <w:rPr>
                <w:spacing w:val="7"/>
              </w:rPr>
              <w:t>粪大肠菌群</w:t>
            </w:r>
          </w:p>
        </w:tc>
        <w:tc>
          <w:tcPr>
            <w:tcW w:w="2062" w:type="dxa"/>
            <w:gridSpan w:val="2"/>
            <w:vAlign w:val="top"/>
          </w:tcPr>
          <w:p w14:paraId="0B61B77A">
            <w:pPr>
              <w:spacing w:before="82" w:line="195" w:lineRule="auto"/>
              <w:ind w:left="71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≤10000</w:t>
            </w:r>
          </w:p>
        </w:tc>
        <w:tc>
          <w:tcPr>
            <w:tcW w:w="2713" w:type="dxa"/>
            <w:vAlign w:val="top"/>
          </w:tcPr>
          <w:p w14:paraId="29E2431F">
            <w:pPr>
              <w:rPr>
                <w:rFonts w:ascii="Arial"/>
                <w:sz w:val="21"/>
              </w:rPr>
            </w:pPr>
          </w:p>
        </w:tc>
        <w:tc>
          <w:tcPr>
            <w:tcW w:w="119" w:type="dxa"/>
            <w:tcBorders>
              <w:bottom w:val="nil"/>
            </w:tcBorders>
            <w:vAlign w:val="top"/>
          </w:tcPr>
          <w:p w14:paraId="7258BD2D">
            <w:pPr>
              <w:rPr>
                <w:rFonts w:ascii="Arial"/>
                <w:sz w:val="21"/>
              </w:rPr>
            </w:pPr>
          </w:p>
        </w:tc>
      </w:tr>
      <w:tr w14:paraId="765193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64" w:hRule="atLeast"/>
        </w:trPr>
        <w:tc>
          <w:tcPr>
            <w:tcW w:w="493" w:type="dxa"/>
            <w:vMerge w:val="continue"/>
            <w:tcBorders>
              <w:top w:val="nil"/>
              <w:bottom w:val="nil"/>
            </w:tcBorders>
            <w:vAlign w:val="top"/>
          </w:tcPr>
          <w:p w14:paraId="7098AD2E">
            <w:pPr>
              <w:rPr>
                <w:rFonts w:ascii="Arial"/>
                <w:sz w:val="21"/>
              </w:rPr>
            </w:pPr>
          </w:p>
        </w:tc>
        <w:tc>
          <w:tcPr>
            <w:tcW w:w="8573" w:type="dxa"/>
            <w:gridSpan w:val="8"/>
            <w:vAlign w:val="top"/>
          </w:tcPr>
          <w:p w14:paraId="204EC214">
            <w:pPr>
              <w:pStyle w:val="6"/>
              <w:spacing w:before="36" w:line="220" w:lineRule="auto"/>
              <w:ind w:left="588"/>
              <w:rPr>
                <w:sz w:val="24"/>
                <w:szCs w:val="24"/>
              </w:rPr>
            </w:pPr>
            <w:r>
              <w:rPr>
                <w:rFonts w:ascii="Times New Roman" w:hAnsi="Times New Roman" w:eastAsia="Times New Roman" w:cs="Times New Roman"/>
                <w:b/>
                <w:bCs/>
                <w:spacing w:val="-5"/>
                <w:sz w:val="24"/>
                <w:szCs w:val="24"/>
              </w:rPr>
              <w:t>3</w:t>
            </w:r>
            <w:r>
              <w:rPr>
                <w:rFonts w:ascii="Times New Roman" w:hAnsi="Times New Roman" w:eastAsia="Times New Roman" w:cs="Times New Roman"/>
                <w:b/>
                <w:bCs/>
                <w:spacing w:val="-33"/>
                <w:sz w:val="24"/>
                <w:szCs w:val="24"/>
              </w:rPr>
              <w:t xml:space="preserve"> </w:t>
            </w:r>
            <w:r>
              <w:rPr>
                <w:b/>
                <w:bCs/>
                <w:spacing w:val="-5"/>
                <w:sz w:val="24"/>
                <w:szCs w:val="24"/>
              </w:rPr>
              <w:t>、声环境质量标准</w:t>
            </w:r>
          </w:p>
          <w:p w14:paraId="48121D5E">
            <w:pPr>
              <w:pStyle w:val="6"/>
              <w:spacing w:before="181" w:line="359" w:lineRule="auto"/>
              <w:ind w:left="112" w:right="106" w:firstLine="484"/>
              <w:jc w:val="both"/>
              <w:rPr>
                <w:sz w:val="24"/>
                <w:szCs w:val="24"/>
              </w:rPr>
            </w:pPr>
            <w:r>
              <w:rPr>
                <w:sz w:val="24"/>
                <w:szCs w:val="24"/>
              </w:rPr>
              <w:t>项目评价标准为《声环境质量标准》（</w:t>
            </w:r>
            <w:r>
              <w:rPr>
                <w:rFonts w:ascii="Times New Roman" w:hAnsi="Times New Roman" w:eastAsia="Times New Roman" w:cs="Times New Roman"/>
                <w:sz w:val="24"/>
                <w:szCs w:val="24"/>
              </w:rPr>
              <w:t>GB3096-2008</w:t>
            </w:r>
            <w:r>
              <w:rPr>
                <w:spacing w:val="7"/>
                <w:sz w:val="24"/>
                <w:szCs w:val="24"/>
              </w:rPr>
              <w:t>），</w:t>
            </w:r>
            <w:r>
              <w:rPr>
                <w:spacing w:val="-1"/>
                <w:sz w:val="24"/>
                <w:szCs w:val="24"/>
              </w:rPr>
              <w:t>部分输电线路沿线</w:t>
            </w:r>
            <w:r>
              <w:rPr>
                <w:spacing w:val="-4"/>
                <w:sz w:val="24"/>
                <w:szCs w:val="24"/>
              </w:rPr>
              <w:t>及环境保护目标、</w:t>
            </w:r>
            <w:r>
              <w:rPr>
                <w:rFonts w:ascii="Times New Roman" w:hAnsi="Times New Roman" w:eastAsia="Times New Roman" w:cs="Times New Roman"/>
                <w:spacing w:val="-4"/>
                <w:sz w:val="24"/>
                <w:szCs w:val="24"/>
              </w:rPr>
              <w:t xml:space="preserve">110kV </w:t>
            </w:r>
            <w:r>
              <w:rPr>
                <w:spacing w:val="-4"/>
                <w:sz w:val="24"/>
                <w:szCs w:val="24"/>
              </w:rPr>
              <w:t>松山变电站执行</w:t>
            </w:r>
            <w:r>
              <w:rPr>
                <w:spacing w:val="-20"/>
                <w:sz w:val="24"/>
                <w:szCs w:val="24"/>
              </w:rPr>
              <w:t xml:space="preserve"> </w:t>
            </w:r>
            <w:r>
              <w:rPr>
                <w:rFonts w:ascii="Times New Roman" w:hAnsi="Times New Roman" w:eastAsia="Times New Roman" w:cs="Times New Roman"/>
                <w:spacing w:val="-4"/>
                <w:sz w:val="24"/>
                <w:szCs w:val="24"/>
              </w:rPr>
              <w:t xml:space="preserve">1 </w:t>
            </w:r>
            <w:r>
              <w:rPr>
                <w:spacing w:val="-4"/>
                <w:sz w:val="24"/>
                <w:szCs w:val="24"/>
              </w:rPr>
              <w:t>类标准；部分</w:t>
            </w:r>
            <w:r>
              <w:rPr>
                <w:spacing w:val="-32"/>
                <w:sz w:val="24"/>
                <w:szCs w:val="24"/>
              </w:rPr>
              <w:t xml:space="preserve"> </w:t>
            </w:r>
            <w:r>
              <w:rPr>
                <w:rFonts w:ascii="Times New Roman" w:hAnsi="Times New Roman" w:eastAsia="Times New Roman" w:cs="Times New Roman"/>
                <w:spacing w:val="-4"/>
                <w:sz w:val="24"/>
                <w:szCs w:val="24"/>
              </w:rPr>
              <w:t xml:space="preserve">110kV </w:t>
            </w:r>
            <w:r>
              <w:rPr>
                <w:spacing w:val="-4"/>
                <w:sz w:val="24"/>
                <w:szCs w:val="24"/>
              </w:rPr>
              <w:t>线路部分跨越滇</w:t>
            </w:r>
            <w:r>
              <w:rPr>
                <w:spacing w:val="-2"/>
                <w:sz w:val="24"/>
                <w:szCs w:val="24"/>
              </w:rPr>
              <w:t>中环线高速、国道</w:t>
            </w:r>
            <w:r>
              <w:rPr>
                <w:spacing w:val="-55"/>
                <w:sz w:val="24"/>
                <w:szCs w:val="24"/>
              </w:rPr>
              <w:t xml:space="preserve"> </w:t>
            </w:r>
            <w:r>
              <w:rPr>
                <w:rFonts w:ascii="Times New Roman" w:hAnsi="Times New Roman" w:eastAsia="Times New Roman" w:cs="Times New Roman"/>
                <w:spacing w:val="-2"/>
                <w:sz w:val="24"/>
                <w:szCs w:val="24"/>
              </w:rPr>
              <w:t xml:space="preserve">248 </w:t>
            </w:r>
            <w:r>
              <w:rPr>
                <w:spacing w:val="-2"/>
                <w:sz w:val="24"/>
                <w:szCs w:val="24"/>
              </w:rPr>
              <w:t>两侧，根据《</w:t>
            </w:r>
            <w:r>
              <w:rPr>
                <w:rFonts w:ascii="Times New Roman" w:hAnsi="Times New Roman" w:eastAsia="Times New Roman" w:cs="Times New Roman"/>
                <w:spacing w:val="-2"/>
                <w:sz w:val="24"/>
                <w:szCs w:val="24"/>
              </w:rPr>
              <w:t>GB</w:t>
            </w:r>
            <w:r>
              <w:rPr>
                <w:rFonts w:ascii="Times New Roman" w:hAnsi="Times New Roman" w:eastAsia="Times New Roman" w:cs="Times New Roman"/>
                <w:spacing w:val="-3"/>
                <w:sz w:val="24"/>
                <w:szCs w:val="24"/>
              </w:rPr>
              <w:t>/T15190-2014</w:t>
            </w:r>
            <w:r>
              <w:rPr>
                <w:spacing w:val="-3"/>
                <w:sz w:val="24"/>
                <w:szCs w:val="24"/>
              </w:rPr>
              <w:t>》，相邻区域为</w:t>
            </w:r>
            <w:r>
              <w:rPr>
                <w:spacing w:val="-30"/>
                <w:sz w:val="24"/>
                <w:szCs w:val="24"/>
              </w:rPr>
              <w:t xml:space="preserve"> </w:t>
            </w:r>
            <w:r>
              <w:rPr>
                <w:rFonts w:ascii="Times New Roman" w:hAnsi="Times New Roman" w:eastAsia="Times New Roman" w:cs="Times New Roman"/>
                <w:spacing w:val="-3"/>
                <w:sz w:val="24"/>
                <w:szCs w:val="24"/>
              </w:rPr>
              <w:t xml:space="preserve">1 </w:t>
            </w:r>
            <w:r>
              <w:rPr>
                <w:spacing w:val="-3"/>
                <w:sz w:val="24"/>
                <w:szCs w:val="24"/>
              </w:rPr>
              <w:t>类声环境</w:t>
            </w:r>
            <w:r>
              <w:rPr>
                <w:spacing w:val="1"/>
                <w:sz w:val="24"/>
                <w:szCs w:val="24"/>
              </w:rPr>
              <w:t>功能区，距离为</w:t>
            </w:r>
            <w:r>
              <w:rPr>
                <w:spacing w:val="-49"/>
                <w:sz w:val="24"/>
                <w:szCs w:val="24"/>
              </w:rPr>
              <w:t xml:space="preserve"> </w:t>
            </w:r>
            <w:r>
              <w:rPr>
                <w:rFonts w:ascii="Times New Roman" w:hAnsi="Times New Roman" w:eastAsia="Times New Roman" w:cs="Times New Roman"/>
                <w:spacing w:val="1"/>
                <w:sz w:val="24"/>
                <w:szCs w:val="24"/>
              </w:rPr>
              <w:t>50m±5m</w:t>
            </w:r>
            <w:r>
              <w:rPr>
                <w:rFonts w:ascii="Times New Roman" w:hAnsi="Times New Roman" w:eastAsia="Times New Roman" w:cs="Times New Roman"/>
                <w:spacing w:val="28"/>
                <w:sz w:val="24"/>
                <w:szCs w:val="24"/>
              </w:rPr>
              <w:t xml:space="preserve"> </w:t>
            </w:r>
            <w:r>
              <w:rPr>
                <w:spacing w:val="1"/>
                <w:sz w:val="24"/>
                <w:szCs w:val="24"/>
              </w:rPr>
              <w:t>区域划分为</w:t>
            </w:r>
            <w:r>
              <w:rPr>
                <w:spacing w:val="-56"/>
                <w:sz w:val="24"/>
                <w:szCs w:val="24"/>
              </w:rPr>
              <w:t xml:space="preserve"> </w:t>
            </w:r>
            <w:r>
              <w:rPr>
                <w:rFonts w:ascii="Times New Roman" w:hAnsi="Times New Roman" w:eastAsia="Times New Roman" w:cs="Times New Roman"/>
                <w:spacing w:val="1"/>
                <w:sz w:val="24"/>
                <w:szCs w:val="24"/>
              </w:rPr>
              <w:t>4a</w:t>
            </w:r>
            <w:r>
              <w:rPr>
                <w:spacing w:val="1"/>
                <w:sz w:val="24"/>
                <w:szCs w:val="24"/>
              </w:rPr>
              <w:t>类声</w:t>
            </w:r>
            <w:r>
              <w:rPr>
                <w:sz w:val="24"/>
                <w:szCs w:val="24"/>
              </w:rPr>
              <w:t>环境功能区，执行</w:t>
            </w:r>
            <w:r>
              <w:rPr>
                <w:spacing w:val="-56"/>
                <w:sz w:val="24"/>
                <w:szCs w:val="24"/>
              </w:rPr>
              <w:t xml:space="preserve"> </w:t>
            </w:r>
            <w:r>
              <w:rPr>
                <w:rFonts w:ascii="Times New Roman" w:hAnsi="Times New Roman" w:eastAsia="Times New Roman" w:cs="Times New Roman"/>
                <w:sz w:val="24"/>
                <w:szCs w:val="24"/>
              </w:rPr>
              <w:t>4a</w:t>
            </w:r>
            <w:r>
              <w:rPr>
                <w:sz w:val="24"/>
                <w:szCs w:val="24"/>
              </w:rPr>
              <w:t>类标准，限值</w:t>
            </w:r>
            <w:r>
              <w:rPr>
                <w:spacing w:val="-3"/>
                <w:sz w:val="24"/>
                <w:szCs w:val="24"/>
              </w:rPr>
              <w:t>见下表。</w:t>
            </w:r>
          </w:p>
          <w:p w14:paraId="3B7CC057">
            <w:pPr>
              <w:pStyle w:val="6"/>
              <w:spacing w:before="1" w:line="211" w:lineRule="auto"/>
              <w:ind w:left="2006"/>
              <w:rPr>
                <w:sz w:val="24"/>
                <w:szCs w:val="24"/>
              </w:rPr>
            </w:pPr>
            <w:r>
              <w:rPr>
                <w:b/>
                <w:bCs/>
                <w:spacing w:val="-2"/>
                <w:sz w:val="24"/>
                <w:szCs w:val="24"/>
              </w:rPr>
              <w:t>表</w:t>
            </w:r>
            <w:r>
              <w:rPr>
                <w:spacing w:val="-52"/>
                <w:sz w:val="24"/>
                <w:szCs w:val="24"/>
              </w:rPr>
              <w:t xml:space="preserve"> </w:t>
            </w:r>
            <w:r>
              <w:rPr>
                <w:rFonts w:ascii="Times New Roman" w:hAnsi="Times New Roman" w:eastAsia="Times New Roman" w:cs="Times New Roman"/>
                <w:b/>
                <w:bCs/>
                <w:spacing w:val="-2"/>
                <w:sz w:val="24"/>
                <w:szCs w:val="24"/>
              </w:rPr>
              <w:t xml:space="preserve">3-11    </w:t>
            </w:r>
            <w:r>
              <w:rPr>
                <w:b/>
                <w:bCs/>
                <w:spacing w:val="-2"/>
                <w:sz w:val="24"/>
                <w:szCs w:val="24"/>
              </w:rPr>
              <w:t>声环境质量标准</w:t>
            </w:r>
            <w:r>
              <w:rPr>
                <w:spacing w:val="-2"/>
                <w:sz w:val="24"/>
                <w:szCs w:val="24"/>
              </w:rPr>
              <w:t xml:space="preserve">  </w:t>
            </w:r>
            <w:r>
              <w:rPr>
                <w:b/>
                <w:bCs/>
                <w:spacing w:val="-2"/>
                <w:sz w:val="24"/>
                <w:szCs w:val="24"/>
              </w:rPr>
              <w:t>单位：</w:t>
            </w:r>
            <w:r>
              <w:rPr>
                <w:rFonts w:ascii="Times New Roman" w:hAnsi="Times New Roman" w:eastAsia="Times New Roman" w:cs="Times New Roman"/>
                <w:b/>
                <w:bCs/>
                <w:spacing w:val="-2"/>
                <w:sz w:val="24"/>
                <w:szCs w:val="24"/>
              </w:rPr>
              <w:t>dB</w:t>
            </w:r>
            <w:r>
              <w:rPr>
                <w:b/>
                <w:bCs/>
                <w:spacing w:val="-2"/>
                <w:sz w:val="24"/>
                <w:szCs w:val="24"/>
              </w:rPr>
              <w:t>（</w:t>
            </w:r>
            <w:r>
              <w:rPr>
                <w:rFonts w:ascii="Times New Roman" w:hAnsi="Times New Roman" w:eastAsia="Times New Roman" w:cs="Times New Roman"/>
                <w:b/>
                <w:bCs/>
                <w:spacing w:val="-2"/>
                <w:sz w:val="24"/>
                <w:szCs w:val="24"/>
              </w:rPr>
              <w:t>A</w:t>
            </w:r>
            <w:r>
              <w:rPr>
                <w:b/>
                <w:bCs/>
                <w:spacing w:val="-2"/>
                <w:sz w:val="24"/>
                <w:szCs w:val="24"/>
              </w:rPr>
              <w:t>）</w:t>
            </w:r>
          </w:p>
          <w:tbl>
            <w:tblPr>
              <w:tblStyle w:val="5"/>
              <w:tblW w:w="8351" w:type="dxa"/>
              <w:tblInd w:w="1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95"/>
              <w:gridCol w:w="679"/>
              <w:gridCol w:w="1405"/>
              <w:gridCol w:w="1372"/>
            </w:tblGrid>
            <w:tr w14:paraId="41735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895" w:type="dxa"/>
                  <w:vMerge w:val="restart"/>
                  <w:tcBorders>
                    <w:bottom w:val="nil"/>
                  </w:tcBorders>
                  <w:vAlign w:val="top"/>
                </w:tcPr>
                <w:p w14:paraId="52562A47">
                  <w:pPr>
                    <w:pStyle w:val="6"/>
                    <w:spacing w:before="176" w:line="228" w:lineRule="auto"/>
                    <w:ind w:left="2033"/>
                  </w:pPr>
                  <w:r>
                    <w:rPr>
                      <w:spacing w:val="7"/>
                    </w:rPr>
                    <w:t>适用区域</w:t>
                  </w:r>
                </w:p>
              </w:tc>
              <w:tc>
                <w:tcPr>
                  <w:tcW w:w="679" w:type="dxa"/>
                  <w:vMerge w:val="restart"/>
                  <w:tcBorders>
                    <w:bottom w:val="nil"/>
                  </w:tcBorders>
                  <w:vAlign w:val="top"/>
                </w:tcPr>
                <w:p w14:paraId="2EAC7A89">
                  <w:pPr>
                    <w:pStyle w:val="6"/>
                    <w:spacing w:before="175" w:line="228" w:lineRule="auto"/>
                    <w:ind w:left="136"/>
                  </w:pPr>
                  <w:r>
                    <w:rPr>
                      <w:spacing w:val="4"/>
                    </w:rPr>
                    <w:t>类别</w:t>
                  </w:r>
                </w:p>
              </w:tc>
              <w:tc>
                <w:tcPr>
                  <w:tcW w:w="2777" w:type="dxa"/>
                  <w:gridSpan w:val="2"/>
                  <w:vAlign w:val="top"/>
                </w:tcPr>
                <w:p w14:paraId="5C63A1E1">
                  <w:pPr>
                    <w:pStyle w:val="6"/>
                    <w:spacing w:before="36" w:line="216" w:lineRule="auto"/>
                    <w:ind w:left="984"/>
                  </w:pPr>
                  <w:r>
                    <w:rPr>
                      <w:spacing w:val="4"/>
                    </w:rPr>
                    <w:t>噪声限值</w:t>
                  </w:r>
                </w:p>
              </w:tc>
            </w:tr>
            <w:tr w14:paraId="5BEB5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895" w:type="dxa"/>
                  <w:vMerge w:val="continue"/>
                  <w:tcBorders>
                    <w:top w:val="nil"/>
                  </w:tcBorders>
                  <w:vAlign w:val="top"/>
                </w:tcPr>
                <w:p w14:paraId="24909BA2">
                  <w:pPr>
                    <w:rPr>
                      <w:rFonts w:ascii="Arial"/>
                      <w:sz w:val="21"/>
                    </w:rPr>
                  </w:pPr>
                </w:p>
              </w:tc>
              <w:tc>
                <w:tcPr>
                  <w:tcW w:w="679" w:type="dxa"/>
                  <w:vMerge w:val="continue"/>
                  <w:tcBorders>
                    <w:top w:val="nil"/>
                  </w:tcBorders>
                  <w:vAlign w:val="top"/>
                </w:tcPr>
                <w:p w14:paraId="1C3369CA">
                  <w:pPr>
                    <w:rPr>
                      <w:rFonts w:ascii="Arial"/>
                      <w:sz w:val="21"/>
                    </w:rPr>
                  </w:pPr>
                </w:p>
              </w:tc>
              <w:tc>
                <w:tcPr>
                  <w:tcW w:w="1405" w:type="dxa"/>
                  <w:vAlign w:val="top"/>
                </w:tcPr>
                <w:p w14:paraId="57708A4E">
                  <w:pPr>
                    <w:pStyle w:val="6"/>
                    <w:spacing w:before="31" w:line="217" w:lineRule="auto"/>
                    <w:ind w:left="498"/>
                  </w:pPr>
                  <w:r>
                    <w:rPr>
                      <w:spacing w:val="5"/>
                    </w:rPr>
                    <w:t>昼间</w:t>
                  </w:r>
                </w:p>
              </w:tc>
              <w:tc>
                <w:tcPr>
                  <w:tcW w:w="1372" w:type="dxa"/>
                  <w:vAlign w:val="top"/>
                </w:tcPr>
                <w:p w14:paraId="7CBBF463">
                  <w:pPr>
                    <w:pStyle w:val="6"/>
                    <w:spacing w:before="31" w:line="217" w:lineRule="auto"/>
                    <w:ind w:left="484"/>
                  </w:pPr>
                  <w:r>
                    <w:rPr>
                      <w:spacing w:val="3"/>
                    </w:rPr>
                    <w:t>夜间</w:t>
                  </w:r>
                </w:p>
              </w:tc>
            </w:tr>
            <w:tr w14:paraId="08C70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895" w:type="dxa"/>
                  <w:vAlign w:val="top"/>
                </w:tcPr>
                <w:p w14:paraId="0C91516F">
                  <w:pPr>
                    <w:pStyle w:val="6"/>
                    <w:spacing w:before="33" w:line="215" w:lineRule="auto"/>
                    <w:ind w:left="562"/>
                  </w:pPr>
                  <w:r>
                    <w:rPr>
                      <w:spacing w:val="9"/>
                    </w:rPr>
                    <w:t>变电站、线路沿线评价范围内环境敏感点</w:t>
                  </w:r>
                </w:p>
              </w:tc>
              <w:tc>
                <w:tcPr>
                  <w:tcW w:w="679" w:type="dxa"/>
                  <w:vAlign w:val="top"/>
                </w:tcPr>
                <w:p w14:paraId="7414416D">
                  <w:pPr>
                    <w:pStyle w:val="6"/>
                    <w:spacing w:before="33" w:line="215" w:lineRule="auto"/>
                    <w:ind w:left="203"/>
                  </w:pPr>
                  <w:r>
                    <w:rPr>
                      <w:rFonts w:ascii="Times New Roman" w:hAnsi="Times New Roman" w:eastAsia="Times New Roman" w:cs="Times New Roman"/>
                      <w:spacing w:val="-5"/>
                    </w:rPr>
                    <w:t>1</w:t>
                  </w:r>
                  <w:r>
                    <w:rPr>
                      <w:spacing w:val="-5"/>
                    </w:rPr>
                    <w:t>类</w:t>
                  </w:r>
                </w:p>
              </w:tc>
              <w:tc>
                <w:tcPr>
                  <w:tcW w:w="1405" w:type="dxa"/>
                  <w:vAlign w:val="top"/>
                </w:tcPr>
                <w:p w14:paraId="0E17BFDE">
                  <w:pPr>
                    <w:spacing w:before="72" w:line="192" w:lineRule="auto"/>
                    <w:ind w:left="606"/>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1372" w:type="dxa"/>
                  <w:vAlign w:val="top"/>
                </w:tcPr>
                <w:p w14:paraId="4D8C123A">
                  <w:pPr>
                    <w:spacing w:before="69" w:line="195" w:lineRule="auto"/>
                    <w:ind w:left="58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r>
            <w:tr w14:paraId="07969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895" w:type="dxa"/>
                  <w:vAlign w:val="top"/>
                </w:tcPr>
                <w:p w14:paraId="200041D1">
                  <w:pPr>
                    <w:pStyle w:val="6"/>
                    <w:spacing w:before="32" w:line="219" w:lineRule="auto"/>
                    <w:ind w:left="447"/>
                  </w:pPr>
                  <w:r>
                    <w:rPr>
                      <w:spacing w:val="8"/>
                    </w:rPr>
                    <w:t>滇中环线高速、国道</w:t>
                  </w:r>
                  <w:r>
                    <w:rPr>
                      <w:rFonts w:ascii="Times New Roman" w:hAnsi="Times New Roman" w:eastAsia="Times New Roman" w:cs="Times New Roman"/>
                      <w:spacing w:val="8"/>
                    </w:rPr>
                    <w:t>248</w:t>
                  </w:r>
                  <w:r>
                    <w:rPr>
                      <w:spacing w:val="8"/>
                    </w:rPr>
                    <w:t>两侧</w:t>
                  </w:r>
                  <w:r>
                    <w:rPr>
                      <w:rFonts w:ascii="Times New Roman" w:hAnsi="Times New Roman" w:eastAsia="Times New Roman" w:cs="Times New Roman"/>
                      <w:spacing w:val="8"/>
                    </w:rPr>
                    <w:t>50m±5</w:t>
                  </w:r>
                  <w:r>
                    <w:rPr>
                      <w:rFonts w:ascii="Times New Roman" w:hAnsi="Times New Roman" w:eastAsia="Times New Roman" w:cs="Times New Roman"/>
                      <w:spacing w:val="7"/>
                    </w:rPr>
                    <w:t>m</w:t>
                  </w:r>
                  <w:r>
                    <w:rPr>
                      <w:spacing w:val="7"/>
                    </w:rPr>
                    <w:t>距离内</w:t>
                  </w:r>
                </w:p>
              </w:tc>
              <w:tc>
                <w:tcPr>
                  <w:tcW w:w="679" w:type="dxa"/>
                  <w:vAlign w:val="top"/>
                </w:tcPr>
                <w:p w14:paraId="1A6B7D9B">
                  <w:pPr>
                    <w:pStyle w:val="6"/>
                    <w:spacing w:before="32" w:line="219" w:lineRule="auto"/>
                    <w:ind w:left="136"/>
                  </w:pPr>
                  <w:r>
                    <w:rPr>
                      <w:rFonts w:ascii="Times New Roman" w:hAnsi="Times New Roman" w:eastAsia="Times New Roman" w:cs="Times New Roman"/>
                      <w:spacing w:val="5"/>
                    </w:rPr>
                    <w:t>4a</w:t>
                  </w:r>
                  <w:r>
                    <w:rPr>
                      <w:spacing w:val="5"/>
                    </w:rPr>
                    <w:t>类</w:t>
                  </w:r>
                </w:p>
              </w:tc>
              <w:tc>
                <w:tcPr>
                  <w:tcW w:w="1405" w:type="dxa"/>
                  <w:vAlign w:val="top"/>
                </w:tcPr>
                <w:p w14:paraId="24F73C97">
                  <w:pPr>
                    <w:spacing w:before="69" w:line="195" w:lineRule="auto"/>
                    <w:ind w:left="60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1372" w:type="dxa"/>
                  <w:vAlign w:val="top"/>
                </w:tcPr>
                <w:p w14:paraId="334D5097">
                  <w:pPr>
                    <w:spacing w:before="72" w:line="192" w:lineRule="auto"/>
                    <w:ind w:left="588"/>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r>
          </w:tbl>
          <w:p w14:paraId="5984E1B4">
            <w:pPr>
              <w:pStyle w:val="6"/>
              <w:spacing w:before="35" w:line="220" w:lineRule="auto"/>
              <w:ind w:left="590"/>
              <w:rPr>
                <w:sz w:val="24"/>
                <w:szCs w:val="24"/>
              </w:rPr>
            </w:pPr>
            <w:r>
              <w:rPr>
                <w:rFonts w:ascii="Times New Roman" w:hAnsi="Times New Roman" w:eastAsia="Times New Roman" w:cs="Times New Roman"/>
                <w:b/>
                <w:bCs/>
                <w:spacing w:val="-7"/>
                <w:sz w:val="24"/>
                <w:szCs w:val="24"/>
              </w:rPr>
              <w:t>4</w:t>
            </w:r>
            <w:r>
              <w:rPr>
                <w:rFonts w:ascii="Times New Roman" w:hAnsi="Times New Roman" w:eastAsia="Times New Roman" w:cs="Times New Roman"/>
                <w:b/>
                <w:bCs/>
                <w:spacing w:val="-33"/>
                <w:sz w:val="24"/>
                <w:szCs w:val="24"/>
              </w:rPr>
              <w:t xml:space="preserve"> </w:t>
            </w:r>
            <w:r>
              <w:rPr>
                <w:b/>
                <w:bCs/>
                <w:spacing w:val="-7"/>
                <w:sz w:val="24"/>
                <w:szCs w:val="24"/>
              </w:rPr>
              <w:t>、电磁环境</w:t>
            </w:r>
          </w:p>
          <w:p w14:paraId="176A5D2F">
            <w:pPr>
              <w:pStyle w:val="6"/>
              <w:spacing w:before="182" w:line="359" w:lineRule="auto"/>
              <w:ind w:left="112" w:right="106" w:firstLine="482"/>
              <w:rPr>
                <w:sz w:val="24"/>
                <w:szCs w:val="24"/>
              </w:rPr>
            </w:pPr>
            <w:r>
              <w:rPr>
                <w:spacing w:val="-1"/>
                <w:sz w:val="24"/>
                <w:szCs w:val="24"/>
              </w:rPr>
              <w:t>按照《电磁环境控制限值》（</w:t>
            </w:r>
            <w:r>
              <w:rPr>
                <w:rFonts w:ascii="Times New Roman" w:hAnsi="Times New Roman" w:eastAsia="Times New Roman" w:cs="Times New Roman"/>
                <w:spacing w:val="-1"/>
                <w:sz w:val="24"/>
                <w:szCs w:val="24"/>
              </w:rPr>
              <w:t>GB 8702-2014</w:t>
            </w:r>
            <w:r>
              <w:rPr>
                <w:spacing w:val="-1"/>
                <w:sz w:val="24"/>
                <w:szCs w:val="24"/>
              </w:rPr>
              <w:t>）的限值</w:t>
            </w:r>
            <w:r>
              <w:rPr>
                <w:spacing w:val="-2"/>
                <w:sz w:val="24"/>
                <w:szCs w:val="24"/>
              </w:rPr>
              <w:t>要求。本项目电磁环境</w:t>
            </w:r>
            <w:r>
              <w:rPr>
                <w:spacing w:val="-5"/>
                <w:sz w:val="24"/>
                <w:szCs w:val="24"/>
              </w:rPr>
              <w:t>控制限值见表</w:t>
            </w:r>
            <w:r>
              <w:rPr>
                <w:spacing w:val="-43"/>
                <w:sz w:val="24"/>
                <w:szCs w:val="24"/>
              </w:rPr>
              <w:t xml:space="preserve"> </w:t>
            </w:r>
            <w:r>
              <w:rPr>
                <w:rFonts w:ascii="Times New Roman" w:hAnsi="Times New Roman" w:eastAsia="Times New Roman" w:cs="Times New Roman"/>
                <w:spacing w:val="-5"/>
                <w:sz w:val="24"/>
                <w:szCs w:val="24"/>
              </w:rPr>
              <w:t>3-</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5"/>
                <w:sz w:val="24"/>
                <w:szCs w:val="24"/>
              </w:rPr>
              <w:t>12</w:t>
            </w:r>
            <w:r>
              <w:rPr>
                <w:spacing w:val="-5"/>
                <w:sz w:val="24"/>
                <w:szCs w:val="24"/>
              </w:rPr>
              <w:t>。</w:t>
            </w:r>
          </w:p>
          <w:p w14:paraId="28453E3B">
            <w:pPr>
              <w:pStyle w:val="6"/>
              <w:spacing w:before="1" w:line="211" w:lineRule="auto"/>
              <w:ind w:left="2474"/>
              <w:rPr>
                <w:sz w:val="24"/>
                <w:szCs w:val="24"/>
              </w:rPr>
            </w:pPr>
            <w:r>
              <w:rPr>
                <w:b/>
                <w:bCs/>
                <w:spacing w:val="-5"/>
                <w:sz w:val="24"/>
                <w:szCs w:val="24"/>
              </w:rPr>
              <w:t>表</w:t>
            </w:r>
            <w:r>
              <w:rPr>
                <w:spacing w:val="-46"/>
                <w:sz w:val="24"/>
                <w:szCs w:val="24"/>
              </w:rPr>
              <w:t xml:space="preserve"> </w:t>
            </w:r>
            <w:r>
              <w:rPr>
                <w:rFonts w:ascii="Times New Roman" w:hAnsi="Times New Roman" w:eastAsia="Times New Roman" w:cs="Times New Roman"/>
                <w:b/>
                <w:bCs/>
                <w:spacing w:val="-5"/>
                <w:sz w:val="24"/>
                <w:szCs w:val="24"/>
              </w:rPr>
              <w:t>3-12</w:t>
            </w:r>
            <w:r>
              <w:rPr>
                <w:rFonts w:ascii="Times New Roman" w:hAnsi="Times New Roman" w:eastAsia="Times New Roman" w:cs="Times New Roman"/>
                <w:b/>
                <w:bCs/>
                <w:spacing w:val="4"/>
                <w:sz w:val="24"/>
                <w:szCs w:val="24"/>
              </w:rPr>
              <w:t xml:space="preserve">        </w:t>
            </w:r>
            <w:r>
              <w:rPr>
                <w:b/>
                <w:bCs/>
                <w:spacing w:val="-5"/>
                <w:sz w:val="24"/>
                <w:szCs w:val="24"/>
              </w:rPr>
              <w:t>电磁环境公众曝露控制限值</w:t>
            </w:r>
          </w:p>
          <w:tbl>
            <w:tblPr>
              <w:tblStyle w:val="5"/>
              <w:tblW w:w="8348" w:type="dxa"/>
              <w:tblInd w:w="1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59"/>
              <w:gridCol w:w="2199"/>
              <w:gridCol w:w="2790"/>
            </w:tblGrid>
            <w:tr w14:paraId="0DD50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3359" w:type="dxa"/>
                  <w:vAlign w:val="top"/>
                </w:tcPr>
                <w:p w14:paraId="3DCCEFBA">
                  <w:pPr>
                    <w:pStyle w:val="6"/>
                    <w:spacing w:before="69" w:line="228" w:lineRule="auto"/>
                    <w:ind w:left="1265"/>
                  </w:pPr>
                  <w:r>
                    <w:rPr>
                      <w:spacing w:val="7"/>
                    </w:rPr>
                    <w:t>频率范围</w:t>
                  </w:r>
                </w:p>
              </w:tc>
              <w:tc>
                <w:tcPr>
                  <w:tcW w:w="2199" w:type="dxa"/>
                  <w:vAlign w:val="top"/>
                </w:tcPr>
                <w:p w14:paraId="6BF1A9E0">
                  <w:pPr>
                    <w:pStyle w:val="6"/>
                    <w:spacing w:before="70" w:line="228" w:lineRule="auto"/>
                    <w:ind w:left="248"/>
                  </w:pPr>
                  <w:r>
                    <w:rPr>
                      <w:spacing w:val="3"/>
                    </w:rPr>
                    <w:t>电场强度</w:t>
                  </w:r>
                  <w:r>
                    <w:rPr>
                      <w:rFonts w:ascii="Times New Roman" w:hAnsi="Times New Roman" w:eastAsia="Times New Roman" w:cs="Times New Roman"/>
                      <w:spacing w:val="3"/>
                    </w:rPr>
                    <w:t>E</w:t>
                  </w:r>
                  <w:r>
                    <w:rPr>
                      <w:spacing w:val="3"/>
                    </w:rPr>
                    <w:t>（</w:t>
                  </w:r>
                  <w:r>
                    <w:rPr>
                      <w:rFonts w:ascii="Times New Roman" w:hAnsi="Times New Roman" w:eastAsia="Times New Roman" w:cs="Times New Roman"/>
                      <w:spacing w:val="3"/>
                    </w:rPr>
                    <w:t>V/m</w:t>
                  </w:r>
                  <w:r>
                    <w:rPr>
                      <w:spacing w:val="3"/>
                    </w:rPr>
                    <w:t>）</w:t>
                  </w:r>
                </w:p>
              </w:tc>
              <w:tc>
                <w:tcPr>
                  <w:tcW w:w="2790" w:type="dxa"/>
                  <w:vAlign w:val="top"/>
                </w:tcPr>
                <w:p w14:paraId="4EEE2610">
                  <w:pPr>
                    <w:pStyle w:val="6"/>
                    <w:spacing w:before="70" w:line="221" w:lineRule="auto"/>
                    <w:ind w:left="475"/>
                  </w:pPr>
                  <w:r>
                    <w:rPr>
                      <w:spacing w:val="5"/>
                    </w:rPr>
                    <w:t>磁感应强度</w:t>
                  </w:r>
                  <w:r>
                    <w:rPr>
                      <w:rFonts w:ascii="Times New Roman" w:hAnsi="Times New Roman" w:eastAsia="Times New Roman" w:cs="Times New Roman"/>
                      <w:spacing w:val="5"/>
                    </w:rPr>
                    <w:t xml:space="preserve">B  </w:t>
                  </w:r>
                  <w:r>
                    <w:rPr>
                      <w:spacing w:val="5"/>
                    </w:rPr>
                    <w:t>(</w:t>
                  </w:r>
                  <w:r>
                    <w:rPr>
                      <w:rFonts w:ascii="Times New Roman" w:hAnsi="Times New Roman" w:eastAsia="Times New Roman" w:cs="Times New Roman"/>
                      <w:spacing w:val="5"/>
                    </w:rPr>
                    <w:t>μT</w:t>
                  </w:r>
                  <w:r>
                    <w:rPr>
                      <w:spacing w:val="5"/>
                    </w:rPr>
                    <w:t>）</w:t>
                  </w:r>
                </w:p>
              </w:tc>
            </w:tr>
            <w:tr w14:paraId="1D91A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3359" w:type="dxa"/>
                  <w:vAlign w:val="top"/>
                </w:tcPr>
                <w:p w14:paraId="330F5898">
                  <w:pPr>
                    <w:spacing w:before="98" w:line="199" w:lineRule="auto"/>
                    <w:ind w:left="911"/>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0.025</w:t>
                  </w:r>
                  <w:r>
                    <w:rPr>
                      <w:rFonts w:ascii="Times New Roman" w:hAnsi="Times New Roman" w:eastAsia="Times New Roman" w:cs="Times New Roman"/>
                      <w:sz w:val="20"/>
                      <w:szCs w:val="20"/>
                    </w:rPr>
                    <w:t>kHz</w:t>
                  </w:r>
                  <w:r>
                    <w:rPr>
                      <w:rFonts w:ascii="Times New Roman" w:hAnsi="Times New Roman" w:eastAsia="Times New Roman" w:cs="Times New Roman"/>
                      <w:spacing w:val="7"/>
                      <w:sz w:val="20"/>
                      <w:szCs w:val="20"/>
                    </w:rPr>
                    <w:t>~1.2</w:t>
                  </w:r>
                  <w:r>
                    <w:rPr>
                      <w:rFonts w:ascii="Times New Roman" w:hAnsi="Times New Roman" w:eastAsia="Times New Roman" w:cs="Times New Roman"/>
                      <w:sz w:val="20"/>
                      <w:szCs w:val="20"/>
                    </w:rPr>
                    <w:t>kHz</w:t>
                  </w:r>
                </w:p>
              </w:tc>
              <w:tc>
                <w:tcPr>
                  <w:tcW w:w="2199" w:type="dxa"/>
                  <w:vAlign w:val="top"/>
                </w:tcPr>
                <w:p w14:paraId="5FC3A373">
                  <w:pPr>
                    <w:spacing w:before="98" w:line="199" w:lineRule="auto"/>
                    <w:ind w:left="880"/>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200/f</w:t>
                  </w:r>
                </w:p>
              </w:tc>
              <w:tc>
                <w:tcPr>
                  <w:tcW w:w="2790" w:type="dxa"/>
                  <w:vAlign w:val="top"/>
                </w:tcPr>
                <w:p w14:paraId="23352879">
                  <w:pPr>
                    <w:spacing w:before="98" w:line="199" w:lineRule="auto"/>
                    <w:ind w:left="1286"/>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5/f</w:t>
                  </w:r>
                </w:p>
              </w:tc>
            </w:tr>
            <w:tr w14:paraId="6C9F55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3359" w:type="dxa"/>
                  <w:vAlign w:val="top"/>
                </w:tcPr>
                <w:p w14:paraId="24EB0AD5">
                  <w:pPr>
                    <w:pStyle w:val="6"/>
                    <w:spacing w:before="65" w:line="228" w:lineRule="auto"/>
                    <w:ind w:left="665"/>
                  </w:pPr>
                  <w:r>
                    <w:rPr>
                      <w:spacing w:val="6"/>
                    </w:rPr>
                    <w:t>工作频率</w:t>
                  </w:r>
                  <w:r>
                    <w:rPr>
                      <w:rFonts w:ascii="Times New Roman" w:hAnsi="Times New Roman" w:eastAsia="Times New Roman" w:cs="Times New Roman"/>
                      <w:spacing w:val="6"/>
                    </w:rPr>
                    <w:t>f</w:t>
                  </w:r>
                  <w:r>
                    <w:rPr>
                      <w:spacing w:val="6"/>
                    </w:rPr>
                    <w:t>（</w:t>
                  </w:r>
                  <w:r>
                    <w:rPr>
                      <w:rFonts w:ascii="Times New Roman" w:hAnsi="Times New Roman" w:eastAsia="Times New Roman" w:cs="Times New Roman"/>
                      <w:spacing w:val="6"/>
                    </w:rPr>
                    <w:t>0.05</w:t>
                  </w:r>
                  <w:r>
                    <w:rPr>
                      <w:rFonts w:ascii="Times New Roman" w:hAnsi="Times New Roman" w:eastAsia="Times New Roman" w:cs="Times New Roman"/>
                    </w:rPr>
                    <w:t>kHz</w:t>
                  </w:r>
                  <w:r>
                    <w:rPr>
                      <w:spacing w:val="6"/>
                    </w:rPr>
                    <w:t>）</w:t>
                  </w:r>
                </w:p>
              </w:tc>
              <w:tc>
                <w:tcPr>
                  <w:tcW w:w="2199" w:type="dxa"/>
                  <w:vAlign w:val="top"/>
                </w:tcPr>
                <w:p w14:paraId="67191318">
                  <w:pPr>
                    <w:pStyle w:val="6"/>
                    <w:spacing w:before="65"/>
                    <w:ind w:left="202"/>
                  </w:pPr>
                  <w:r>
                    <w:rPr>
                      <w:rFonts w:ascii="Times New Roman" w:hAnsi="Times New Roman" w:eastAsia="Times New Roman" w:cs="Times New Roman"/>
                      <w:spacing w:val="5"/>
                    </w:rPr>
                    <w:t>4000V/m</w:t>
                  </w:r>
                  <w:r>
                    <w:rPr>
                      <w:spacing w:val="5"/>
                    </w:rPr>
                    <w:t>（</w:t>
                  </w:r>
                  <w:r>
                    <w:rPr>
                      <w:rFonts w:ascii="Times New Roman" w:hAnsi="Times New Roman" w:eastAsia="Times New Roman" w:cs="Times New Roman"/>
                      <w:spacing w:val="5"/>
                    </w:rPr>
                    <w:t>4</w:t>
                  </w:r>
                  <w:r>
                    <w:rPr>
                      <w:rFonts w:ascii="Times New Roman" w:hAnsi="Times New Roman" w:eastAsia="Times New Roman" w:cs="Times New Roman"/>
                    </w:rPr>
                    <w:t>kV</w:t>
                  </w:r>
                  <w:r>
                    <w:rPr>
                      <w:rFonts w:ascii="Times New Roman" w:hAnsi="Times New Roman" w:eastAsia="Times New Roman" w:cs="Times New Roman"/>
                      <w:spacing w:val="5"/>
                    </w:rPr>
                    <w:t>/m</w:t>
                  </w:r>
                  <w:r>
                    <w:rPr>
                      <w:spacing w:val="5"/>
                    </w:rPr>
                    <w:t>）</w:t>
                  </w:r>
                </w:p>
              </w:tc>
              <w:tc>
                <w:tcPr>
                  <w:tcW w:w="2790" w:type="dxa"/>
                  <w:vAlign w:val="top"/>
                </w:tcPr>
                <w:p w14:paraId="453EBDD2">
                  <w:pPr>
                    <w:pStyle w:val="6"/>
                    <w:spacing w:before="65" w:line="221" w:lineRule="auto"/>
                    <w:ind w:left="650"/>
                  </w:pPr>
                  <w:r>
                    <w:rPr>
                      <w:rFonts w:ascii="Times New Roman" w:hAnsi="Times New Roman" w:eastAsia="Times New Roman" w:cs="Times New Roman"/>
                      <w:spacing w:val="1"/>
                    </w:rPr>
                    <w:t>100μT</w:t>
                  </w:r>
                  <w:r>
                    <w:rPr>
                      <w:spacing w:val="1"/>
                    </w:rPr>
                    <w:t>（</w:t>
                  </w:r>
                  <w:r>
                    <w:rPr>
                      <w:rFonts w:ascii="Times New Roman" w:hAnsi="Times New Roman" w:eastAsia="Times New Roman" w:cs="Times New Roman"/>
                      <w:spacing w:val="1"/>
                    </w:rPr>
                    <w:t>0.</w:t>
                  </w:r>
                  <w:r>
                    <w:rPr>
                      <w:rFonts w:ascii="Times New Roman" w:hAnsi="Times New Roman" w:eastAsia="Times New Roman" w:cs="Times New Roman"/>
                      <w:spacing w:val="-25"/>
                    </w:rPr>
                    <w:t xml:space="preserve"> </w:t>
                  </w:r>
                  <w:r>
                    <w:rPr>
                      <w:rFonts w:ascii="Times New Roman" w:hAnsi="Times New Roman" w:eastAsia="Times New Roman" w:cs="Times New Roman"/>
                      <w:spacing w:val="1"/>
                    </w:rPr>
                    <w:t>1</w:t>
                  </w:r>
                  <w:r>
                    <w:rPr>
                      <w:rFonts w:ascii="Times New Roman" w:hAnsi="Times New Roman" w:eastAsia="Times New Roman" w:cs="Times New Roman"/>
                    </w:rPr>
                    <w:t>mT</w:t>
                  </w:r>
                  <w:r>
                    <w:rPr>
                      <w:spacing w:val="1"/>
                    </w:rPr>
                    <w:t>）</w:t>
                  </w:r>
                </w:p>
              </w:tc>
            </w:tr>
            <w:tr w14:paraId="3722F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8348" w:type="dxa"/>
                  <w:gridSpan w:val="3"/>
                  <w:vAlign w:val="top"/>
                </w:tcPr>
                <w:p w14:paraId="5E1B6982">
                  <w:pPr>
                    <w:pStyle w:val="6"/>
                    <w:spacing w:before="33" w:line="228" w:lineRule="auto"/>
                    <w:ind w:left="12"/>
                  </w:pPr>
                  <w:r>
                    <w:rPr>
                      <w:spacing w:val="6"/>
                    </w:rPr>
                    <w:t>注：</w:t>
                  </w:r>
                  <w:r>
                    <w:rPr>
                      <w:rFonts w:ascii="Times New Roman" w:hAnsi="Times New Roman" w:eastAsia="Times New Roman" w:cs="Times New Roman"/>
                      <w:spacing w:val="6"/>
                    </w:rPr>
                    <w:t>1</w:t>
                  </w:r>
                  <w:r>
                    <w:rPr>
                      <w:rFonts w:ascii="Times New Roman" w:hAnsi="Times New Roman" w:eastAsia="Times New Roman" w:cs="Times New Roman"/>
                      <w:spacing w:val="-25"/>
                    </w:rPr>
                    <w:t xml:space="preserve"> </w:t>
                  </w:r>
                  <w:r>
                    <w:rPr>
                      <w:spacing w:val="6"/>
                    </w:rPr>
                    <w:t>、频率</w:t>
                  </w:r>
                  <w:r>
                    <w:rPr>
                      <w:rFonts w:ascii="Times New Roman" w:hAnsi="Times New Roman" w:eastAsia="Times New Roman" w:cs="Times New Roman"/>
                      <w:spacing w:val="6"/>
                    </w:rPr>
                    <w:t>f</w:t>
                  </w:r>
                  <w:r>
                    <w:rPr>
                      <w:spacing w:val="6"/>
                    </w:rPr>
                    <w:t>的取值为</w:t>
                  </w:r>
                  <w:r>
                    <w:rPr>
                      <w:rFonts w:ascii="Times New Roman" w:hAnsi="Times New Roman" w:eastAsia="Times New Roman" w:cs="Times New Roman"/>
                      <w:spacing w:val="6"/>
                    </w:rPr>
                    <w:t>0.05</w:t>
                  </w:r>
                  <w:r>
                    <w:rPr>
                      <w:rFonts w:ascii="Times New Roman" w:hAnsi="Times New Roman" w:eastAsia="Times New Roman" w:cs="Times New Roman"/>
                    </w:rPr>
                    <w:t>kHz</w:t>
                  </w:r>
                  <w:r>
                    <w:rPr>
                      <w:spacing w:val="6"/>
                    </w:rPr>
                    <w:t>。</w:t>
                  </w:r>
                </w:p>
                <w:p w14:paraId="30A3F5CB">
                  <w:pPr>
                    <w:pStyle w:val="6"/>
                    <w:spacing w:before="26" w:line="234" w:lineRule="auto"/>
                    <w:ind w:left="12" w:right="57" w:firstLine="415"/>
                  </w:pPr>
                  <w:r>
                    <w:rPr>
                      <w:rFonts w:ascii="Times New Roman" w:hAnsi="Times New Roman" w:eastAsia="Times New Roman" w:cs="Times New Roman"/>
                      <w:spacing w:val="9"/>
                    </w:rPr>
                    <w:t>2</w:t>
                  </w:r>
                  <w:r>
                    <w:rPr>
                      <w:rFonts w:ascii="Times New Roman" w:hAnsi="Times New Roman" w:eastAsia="Times New Roman" w:cs="Times New Roman"/>
                      <w:spacing w:val="-26"/>
                    </w:rPr>
                    <w:t xml:space="preserve"> </w:t>
                  </w:r>
                  <w:r>
                    <w:rPr>
                      <w:spacing w:val="9"/>
                    </w:rPr>
                    <w:t>、架空输电线路线下的耕地、园地、牧草地、畜禽饲养地、养</w:t>
                  </w:r>
                  <w:r>
                    <w:rPr>
                      <w:spacing w:val="8"/>
                    </w:rPr>
                    <w:t>殖水面、道路等场所，其频率</w:t>
                  </w:r>
                  <w:r>
                    <w:rPr>
                      <w:rFonts w:ascii="Times New Roman" w:hAnsi="Times New Roman" w:eastAsia="Times New Roman" w:cs="Times New Roman"/>
                      <w:spacing w:val="8"/>
                    </w:rPr>
                    <w:t>50</w:t>
                  </w:r>
                  <w:r>
                    <w:rPr>
                      <w:rFonts w:ascii="Times New Roman" w:hAnsi="Times New Roman" w:eastAsia="Times New Roman" w:cs="Times New Roman"/>
                    </w:rPr>
                    <w:t>Hz</w:t>
                  </w:r>
                  <w:r>
                    <w:rPr>
                      <w:spacing w:val="8"/>
                    </w:rPr>
                    <w:t>的电场强度控制限值为</w:t>
                  </w:r>
                  <w:r>
                    <w:rPr>
                      <w:rFonts w:ascii="Times New Roman" w:hAnsi="Times New Roman" w:eastAsia="Times New Roman" w:cs="Times New Roman"/>
                      <w:spacing w:val="8"/>
                    </w:rPr>
                    <w:t>10</w:t>
                  </w:r>
                  <w:r>
                    <w:rPr>
                      <w:rFonts w:ascii="Times New Roman" w:hAnsi="Times New Roman" w:eastAsia="Times New Roman" w:cs="Times New Roman"/>
                    </w:rPr>
                    <w:t>kV</w:t>
                  </w:r>
                  <w:r>
                    <w:rPr>
                      <w:rFonts w:ascii="Times New Roman" w:hAnsi="Times New Roman" w:eastAsia="Times New Roman" w:cs="Times New Roman"/>
                      <w:spacing w:val="8"/>
                    </w:rPr>
                    <w:t>/m</w:t>
                  </w:r>
                  <w:r>
                    <w:rPr>
                      <w:rFonts w:ascii="Times New Roman" w:hAnsi="Times New Roman" w:eastAsia="Times New Roman" w:cs="Times New Roman"/>
                      <w:spacing w:val="-10"/>
                    </w:rPr>
                    <w:t xml:space="preserve"> </w:t>
                  </w:r>
                  <w:r>
                    <w:rPr>
                      <w:spacing w:val="8"/>
                    </w:rPr>
                    <w:t>，且应给出警示和防护指示标志。</w:t>
                  </w:r>
                </w:p>
              </w:tc>
            </w:tr>
          </w:tbl>
          <w:p w14:paraId="39CE0A22">
            <w:pPr>
              <w:pStyle w:val="6"/>
              <w:spacing w:before="35" w:line="359" w:lineRule="auto"/>
              <w:ind w:left="114" w:right="106" w:firstLine="497"/>
              <w:rPr>
                <w:sz w:val="24"/>
                <w:szCs w:val="24"/>
              </w:rPr>
            </w:pPr>
            <w:r>
              <w:rPr>
                <w:rFonts w:ascii="Times New Roman" w:hAnsi="Times New Roman" w:eastAsia="Times New Roman" w:cs="Times New Roman"/>
                <w:spacing w:val="1"/>
                <w:sz w:val="24"/>
                <w:szCs w:val="24"/>
              </w:rPr>
              <w:t>1</w:t>
            </w:r>
            <w:r>
              <w:rPr>
                <w:spacing w:val="1"/>
                <w:sz w:val="24"/>
                <w:szCs w:val="24"/>
              </w:rPr>
              <w:t>）工频电场强度限值：以</w:t>
            </w:r>
            <w:r>
              <w:rPr>
                <w:spacing w:val="-55"/>
                <w:sz w:val="24"/>
                <w:szCs w:val="24"/>
              </w:rPr>
              <w:t xml:space="preserve"> </w:t>
            </w:r>
            <w:r>
              <w:rPr>
                <w:rFonts w:ascii="Times New Roman" w:hAnsi="Times New Roman" w:eastAsia="Times New Roman" w:cs="Times New Roman"/>
                <w:spacing w:val="1"/>
                <w:sz w:val="24"/>
                <w:szCs w:val="24"/>
              </w:rPr>
              <w:t>4000V/m</w:t>
            </w:r>
            <w:r>
              <w:rPr>
                <w:spacing w:val="1"/>
                <w:sz w:val="24"/>
                <w:szCs w:val="24"/>
              </w:rPr>
              <w:t>作为工频电场强度评价标准；架空输电</w:t>
            </w:r>
            <w:r>
              <w:rPr>
                <w:spacing w:val="-2"/>
                <w:sz w:val="24"/>
                <w:szCs w:val="24"/>
              </w:rPr>
              <w:t>线路下的耕地、园地、牧草地、畜禽饲养地、养殖水面、道路等场所电场强度控</w:t>
            </w:r>
            <w:r>
              <w:rPr>
                <w:spacing w:val="-4"/>
                <w:sz w:val="24"/>
                <w:szCs w:val="24"/>
              </w:rPr>
              <w:t>制限值小于</w:t>
            </w:r>
            <w:r>
              <w:rPr>
                <w:spacing w:val="-24"/>
                <w:sz w:val="24"/>
                <w:szCs w:val="24"/>
              </w:rPr>
              <w:t xml:space="preserve"> </w:t>
            </w:r>
            <w:r>
              <w:rPr>
                <w:rFonts w:ascii="Times New Roman" w:hAnsi="Times New Roman" w:eastAsia="Times New Roman" w:cs="Times New Roman"/>
                <w:spacing w:val="-4"/>
                <w:sz w:val="24"/>
                <w:szCs w:val="24"/>
              </w:rPr>
              <w:t>10kV/m</w:t>
            </w:r>
            <w:r>
              <w:rPr>
                <w:spacing w:val="-4"/>
                <w:sz w:val="24"/>
                <w:szCs w:val="24"/>
              </w:rPr>
              <w:t>；</w:t>
            </w:r>
          </w:p>
          <w:p w14:paraId="674059D7">
            <w:pPr>
              <w:pStyle w:val="6"/>
              <w:spacing w:line="212" w:lineRule="auto"/>
              <w:ind w:left="589"/>
              <w:rPr>
                <w:sz w:val="24"/>
                <w:szCs w:val="24"/>
              </w:rPr>
            </w:pPr>
            <w:r>
              <w:rPr>
                <w:rFonts w:ascii="Times New Roman" w:hAnsi="Times New Roman" w:eastAsia="Times New Roman" w:cs="Times New Roman"/>
                <w:spacing w:val="-1"/>
                <w:sz w:val="24"/>
                <w:szCs w:val="24"/>
              </w:rPr>
              <w:t>2</w:t>
            </w:r>
            <w:r>
              <w:rPr>
                <w:spacing w:val="-1"/>
                <w:sz w:val="24"/>
                <w:szCs w:val="24"/>
              </w:rPr>
              <w:t>）工频磁感应强度限值：以</w:t>
            </w:r>
            <w:r>
              <w:rPr>
                <w:spacing w:val="-32"/>
                <w:sz w:val="24"/>
                <w:szCs w:val="24"/>
              </w:rPr>
              <w:t xml:space="preserve"> </w:t>
            </w:r>
            <w:r>
              <w:rPr>
                <w:rFonts w:ascii="Times New Roman" w:hAnsi="Times New Roman" w:eastAsia="Times New Roman" w:cs="Times New Roman"/>
                <w:spacing w:val="-1"/>
                <w:sz w:val="24"/>
                <w:szCs w:val="24"/>
              </w:rPr>
              <w:t xml:space="preserve">100μT </w:t>
            </w:r>
            <w:r>
              <w:rPr>
                <w:spacing w:val="-1"/>
                <w:sz w:val="24"/>
                <w:szCs w:val="24"/>
              </w:rPr>
              <w:t>作为工频磁感应强度评价</w:t>
            </w:r>
            <w:r>
              <w:rPr>
                <w:spacing w:val="-2"/>
                <w:sz w:val="24"/>
                <w:szCs w:val="24"/>
              </w:rPr>
              <w:t>标准。</w:t>
            </w:r>
          </w:p>
          <w:p w14:paraId="5AEE3733">
            <w:pPr>
              <w:pStyle w:val="6"/>
              <w:spacing w:before="192" w:line="220" w:lineRule="auto"/>
              <w:ind w:left="117"/>
              <w:rPr>
                <w:sz w:val="24"/>
                <w:szCs w:val="24"/>
              </w:rPr>
            </w:pPr>
            <w:r>
              <w:rPr>
                <w:b/>
                <w:bCs/>
                <w:spacing w:val="-4"/>
                <w:sz w:val="24"/>
                <w:szCs w:val="24"/>
              </w:rPr>
              <w:t>二、污染物排放标准</w:t>
            </w:r>
          </w:p>
          <w:p w14:paraId="0EF6DFDB">
            <w:pPr>
              <w:pStyle w:val="6"/>
              <w:spacing w:before="180" w:line="220" w:lineRule="auto"/>
              <w:ind w:left="600"/>
              <w:rPr>
                <w:sz w:val="24"/>
                <w:szCs w:val="24"/>
              </w:rPr>
            </w:pPr>
            <w:r>
              <w:rPr>
                <w:rFonts w:ascii="Times New Roman" w:hAnsi="Times New Roman" w:eastAsia="Times New Roman" w:cs="Times New Roman"/>
                <w:b/>
                <w:bCs/>
                <w:spacing w:val="-6"/>
                <w:sz w:val="24"/>
                <w:szCs w:val="24"/>
              </w:rPr>
              <w:t>1</w:t>
            </w:r>
            <w:r>
              <w:rPr>
                <w:rFonts w:ascii="Times New Roman" w:hAnsi="Times New Roman" w:eastAsia="Times New Roman" w:cs="Times New Roman"/>
                <w:b/>
                <w:bCs/>
                <w:spacing w:val="-27"/>
                <w:sz w:val="24"/>
                <w:szCs w:val="24"/>
              </w:rPr>
              <w:t xml:space="preserve"> </w:t>
            </w:r>
            <w:r>
              <w:rPr>
                <w:b/>
                <w:bCs/>
                <w:spacing w:val="-6"/>
                <w:sz w:val="24"/>
                <w:szCs w:val="24"/>
              </w:rPr>
              <w:t>、大气污染物排放标准</w:t>
            </w:r>
          </w:p>
          <w:p w14:paraId="4F13092D">
            <w:pPr>
              <w:pStyle w:val="6"/>
              <w:spacing w:before="183" w:line="359" w:lineRule="auto"/>
              <w:ind w:left="112" w:right="26" w:firstLine="484"/>
              <w:jc w:val="both"/>
              <w:rPr>
                <w:sz w:val="24"/>
                <w:szCs w:val="24"/>
              </w:rPr>
            </w:pPr>
            <w:r>
              <w:rPr>
                <w:spacing w:val="-1"/>
                <w:sz w:val="24"/>
                <w:szCs w:val="24"/>
              </w:rPr>
              <w:t>项目施工期颗粒物排放执行《大气污染物综合</w:t>
            </w:r>
            <w:r>
              <w:rPr>
                <w:spacing w:val="-2"/>
                <w:sz w:val="24"/>
                <w:szCs w:val="24"/>
              </w:rPr>
              <w:t>排放标准》（</w:t>
            </w:r>
            <w:r>
              <w:rPr>
                <w:rFonts w:ascii="Times New Roman" w:hAnsi="Times New Roman" w:eastAsia="Times New Roman" w:cs="Times New Roman"/>
                <w:spacing w:val="-2"/>
                <w:sz w:val="24"/>
                <w:szCs w:val="24"/>
              </w:rPr>
              <w:t>GB16297-</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
                <w:sz w:val="24"/>
                <w:szCs w:val="24"/>
              </w:rPr>
              <w:t>1996</w:t>
            </w:r>
            <w:r>
              <w:rPr>
                <w:spacing w:val="-2"/>
                <w:sz w:val="24"/>
                <w:szCs w:val="24"/>
              </w:rPr>
              <w:t>）</w:t>
            </w:r>
            <w:r>
              <w:rPr>
                <w:spacing w:val="-7"/>
                <w:sz w:val="24"/>
                <w:szCs w:val="24"/>
              </w:rPr>
              <w:t>表</w:t>
            </w:r>
            <w:r>
              <w:rPr>
                <w:spacing w:val="-53"/>
                <w:sz w:val="24"/>
                <w:szCs w:val="24"/>
              </w:rPr>
              <w:t xml:space="preserve"> </w:t>
            </w:r>
            <w:r>
              <w:rPr>
                <w:rFonts w:ascii="Times New Roman" w:hAnsi="Times New Roman" w:eastAsia="Times New Roman" w:cs="Times New Roman"/>
                <w:spacing w:val="-7"/>
                <w:sz w:val="24"/>
                <w:szCs w:val="24"/>
              </w:rPr>
              <w:t>2</w:t>
            </w:r>
            <w:r>
              <w:rPr>
                <w:rFonts w:ascii="Times New Roman" w:hAnsi="Times New Roman" w:eastAsia="Times New Roman" w:cs="Times New Roman"/>
                <w:spacing w:val="32"/>
                <w:sz w:val="24"/>
                <w:szCs w:val="24"/>
              </w:rPr>
              <w:t xml:space="preserve"> </w:t>
            </w:r>
            <w:r>
              <w:rPr>
                <w:spacing w:val="-7"/>
                <w:sz w:val="24"/>
                <w:szCs w:val="24"/>
              </w:rPr>
              <w:t>中无组织排放监控浓度限值。运行期无大气污染物排放，不设废气排放标准。</w:t>
            </w:r>
            <w:r>
              <w:rPr>
                <w:spacing w:val="-1"/>
                <w:sz w:val="24"/>
                <w:szCs w:val="24"/>
              </w:rPr>
              <w:t>具体排放指标见下表。</w:t>
            </w:r>
          </w:p>
          <w:p w14:paraId="5794720B">
            <w:pPr>
              <w:pStyle w:val="6"/>
              <w:spacing w:before="1" w:line="203" w:lineRule="auto"/>
              <w:ind w:left="2474"/>
              <w:rPr>
                <w:sz w:val="24"/>
                <w:szCs w:val="24"/>
              </w:rPr>
            </w:pPr>
            <w:r>
              <w:rPr>
                <w:b/>
                <w:bCs/>
                <w:spacing w:val="-2"/>
                <w:sz w:val="24"/>
                <w:szCs w:val="24"/>
              </w:rPr>
              <w:t>表</w:t>
            </w:r>
            <w:r>
              <w:rPr>
                <w:spacing w:val="-51"/>
                <w:sz w:val="24"/>
                <w:szCs w:val="24"/>
              </w:rPr>
              <w:t xml:space="preserve"> </w:t>
            </w:r>
            <w:r>
              <w:rPr>
                <w:rFonts w:ascii="Times New Roman" w:hAnsi="Times New Roman" w:eastAsia="Times New Roman" w:cs="Times New Roman"/>
                <w:b/>
                <w:bCs/>
                <w:spacing w:val="-2"/>
                <w:sz w:val="24"/>
                <w:szCs w:val="24"/>
              </w:rPr>
              <w:t xml:space="preserve">3-13    </w:t>
            </w:r>
            <w:r>
              <w:rPr>
                <w:b/>
                <w:bCs/>
                <w:spacing w:val="-2"/>
                <w:sz w:val="24"/>
                <w:szCs w:val="24"/>
              </w:rPr>
              <w:t>大气污染物排放标准限值</w:t>
            </w:r>
          </w:p>
        </w:tc>
      </w:tr>
      <w:tr w14:paraId="46B97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493" w:type="dxa"/>
            <w:vMerge w:val="continue"/>
            <w:tcBorders>
              <w:top w:val="nil"/>
              <w:bottom w:val="nil"/>
            </w:tcBorders>
            <w:vAlign w:val="top"/>
          </w:tcPr>
          <w:p w14:paraId="3AA43AE6">
            <w:pPr>
              <w:rPr>
                <w:rFonts w:ascii="Arial"/>
                <w:sz w:val="21"/>
              </w:rPr>
            </w:pPr>
          </w:p>
        </w:tc>
        <w:tc>
          <w:tcPr>
            <w:tcW w:w="114" w:type="dxa"/>
            <w:tcBorders>
              <w:top w:val="nil"/>
              <w:bottom w:val="nil"/>
            </w:tcBorders>
            <w:vAlign w:val="top"/>
          </w:tcPr>
          <w:p w14:paraId="2D7D5CEF">
            <w:pPr>
              <w:rPr>
                <w:rFonts w:ascii="Arial"/>
                <w:sz w:val="21"/>
              </w:rPr>
            </w:pPr>
          </w:p>
        </w:tc>
        <w:tc>
          <w:tcPr>
            <w:tcW w:w="1576" w:type="dxa"/>
            <w:gridSpan w:val="2"/>
            <w:vMerge w:val="restart"/>
            <w:tcBorders>
              <w:bottom w:val="nil"/>
            </w:tcBorders>
            <w:vAlign w:val="top"/>
          </w:tcPr>
          <w:p w14:paraId="49781F02">
            <w:pPr>
              <w:pStyle w:val="6"/>
              <w:spacing w:before="244" w:line="228" w:lineRule="auto"/>
              <w:ind w:left="477"/>
            </w:pPr>
            <w:r>
              <w:rPr>
                <w:spacing w:val="6"/>
              </w:rPr>
              <w:t>污染源</w:t>
            </w:r>
          </w:p>
        </w:tc>
        <w:tc>
          <w:tcPr>
            <w:tcW w:w="6764" w:type="dxa"/>
            <w:gridSpan w:val="4"/>
            <w:vAlign w:val="top"/>
          </w:tcPr>
          <w:p w14:paraId="082D990F">
            <w:pPr>
              <w:pStyle w:val="6"/>
              <w:spacing w:before="68" w:line="228" w:lineRule="auto"/>
              <w:ind w:left="2446"/>
            </w:pPr>
            <w:r>
              <w:rPr>
                <w:spacing w:val="8"/>
              </w:rPr>
              <w:t>无组织排放浓度限值</w:t>
            </w:r>
          </w:p>
        </w:tc>
        <w:tc>
          <w:tcPr>
            <w:tcW w:w="119" w:type="dxa"/>
            <w:tcBorders>
              <w:top w:val="nil"/>
              <w:bottom w:val="nil"/>
            </w:tcBorders>
            <w:vAlign w:val="top"/>
          </w:tcPr>
          <w:p w14:paraId="5CAAB121">
            <w:pPr>
              <w:rPr>
                <w:rFonts w:ascii="Arial"/>
                <w:sz w:val="21"/>
              </w:rPr>
            </w:pPr>
          </w:p>
        </w:tc>
      </w:tr>
      <w:tr w14:paraId="3BC9D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493" w:type="dxa"/>
            <w:vMerge w:val="continue"/>
            <w:tcBorders>
              <w:top w:val="nil"/>
              <w:bottom w:val="nil"/>
            </w:tcBorders>
            <w:vAlign w:val="top"/>
          </w:tcPr>
          <w:p w14:paraId="075A8804">
            <w:pPr>
              <w:rPr>
                <w:rFonts w:ascii="Arial"/>
                <w:sz w:val="21"/>
              </w:rPr>
            </w:pPr>
          </w:p>
        </w:tc>
        <w:tc>
          <w:tcPr>
            <w:tcW w:w="114" w:type="dxa"/>
            <w:tcBorders>
              <w:top w:val="nil"/>
              <w:bottom w:val="nil"/>
            </w:tcBorders>
            <w:vAlign w:val="top"/>
          </w:tcPr>
          <w:p w14:paraId="73FEAC39">
            <w:pPr>
              <w:rPr>
                <w:rFonts w:ascii="Arial"/>
                <w:sz w:val="21"/>
              </w:rPr>
            </w:pPr>
          </w:p>
        </w:tc>
        <w:tc>
          <w:tcPr>
            <w:tcW w:w="1576" w:type="dxa"/>
            <w:gridSpan w:val="2"/>
            <w:vMerge w:val="continue"/>
            <w:tcBorders>
              <w:top w:val="nil"/>
            </w:tcBorders>
            <w:vAlign w:val="top"/>
          </w:tcPr>
          <w:p w14:paraId="0F5412FE">
            <w:pPr>
              <w:rPr>
                <w:rFonts w:ascii="Arial"/>
                <w:sz w:val="21"/>
              </w:rPr>
            </w:pPr>
          </w:p>
        </w:tc>
        <w:tc>
          <w:tcPr>
            <w:tcW w:w="3731" w:type="dxa"/>
            <w:gridSpan w:val="2"/>
            <w:vAlign w:val="top"/>
          </w:tcPr>
          <w:p w14:paraId="433215F7">
            <w:pPr>
              <w:pStyle w:val="6"/>
              <w:spacing w:before="73" w:line="228" w:lineRule="auto"/>
              <w:ind w:left="1557"/>
            </w:pPr>
            <w:r>
              <w:rPr>
                <w:spacing w:val="6"/>
              </w:rPr>
              <w:t>监控点</w:t>
            </w:r>
          </w:p>
        </w:tc>
        <w:tc>
          <w:tcPr>
            <w:tcW w:w="3033" w:type="dxa"/>
            <w:gridSpan w:val="2"/>
            <w:vAlign w:val="top"/>
          </w:tcPr>
          <w:p w14:paraId="3339B485">
            <w:pPr>
              <w:pStyle w:val="6"/>
              <w:spacing w:before="73" w:line="228" w:lineRule="auto"/>
              <w:ind w:left="1313"/>
            </w:pPr>
            <w:r>
              <w:rPr>
                <w:spacing w:val="4"/>
              </w:rPr>
              <w:t>浓度</w:t>
            </w:r>
          </w:p>
        </w:tc>
        <w:tc>
          <w:tcPr>
            <w:tcW w:w="119" w:type="dxa"/>
            <w:tcBorders>
              <w:top w:val="nil"/>
              <w:bottom w:val="nil"/>
            </w:tcBorders>
            <w:vAlign w:val="top"/>
          </w:tcPr>
          <w:p w14:paraId="54967C55">
            <w:pPr>
              <w:rPr>
                <w:rFonts w:ascii="Arial"/>
                <w:sz w:val="21"/>
              </w:rPr>
            </w:pPr>
          </w:p>
        </w:tc>
      </w:tr>
      <w:tr w14:paraId="573C3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493" w:type="dxa"/>
            <w:vMerge w:val="continue"/>
            <w:tcBorders>
              <w:top w:val="nil"/>
            </w:tcBorders>
            <w:vAlign w:val="top"/>
          </w:tcPr>
          <w:p w14:paraId="0BFE8671">
            <w:pPr>
              <w:rPr>
                <w:rFonts w:ascii="Arial"/>
                <w:sz w:val="21"/>
              </w:rPr>
            </w:pPr>
          </w:p>
        </w:tc>
        <w:tc>
          <w:tcPr>
            <w:tcW w:w="114" w:type="dxa"/>
            <w:tcBorders>
              <w:top w:val="nil"/>
            </w:tcBorders>
            <w:vAlign w:val="top"/>
          </w:tcPr>
          <w:p w14:paraId="4E2412A2">
            <w:pPr>
              <w:rPr>
                <w:rFonts w:ascii="Arial"/>
                <w:sz w:val="21"/>
              </w:rPr>
            </w:pPr>
          </w:p>
        </w:tc>
        <w:tc>
          <w:tcPr>
            <w:tcW w:w="1576" w:type="dxa"/>
            <w:gridSpan w:val="2"/>
            <w:vAlign w:val="top"/>
          </w:tcPr>
          <w:p w14:paraId="4FEC86EF">
            <w:pPr>
              <w:pStyle w:val="6"/>
              <w:spacing w:before="70" w:line="228" w:lineRule="auto"/>
              <w:ind w:left="475"/>
            </w:pPr>
            <w:r>
              <w:rPr>
                <w:spacing w:val="7"/>
              </w:rPr>
              <w:t>颗粒物</w:t>
            </w:r>
          </w:p>
        </w:tc>
        <w:tc>
          <w:tcPr>
            <w:tcW w:w="3731" w:type="dxa"/>
            <w:gridSpan w:val="2"/>
            <w:vAlign w:val="top"/>
          </w:tcPr>
          <w:p w14:paraId="43107709">
            <w:pPr>
              <w:pStyle w:val="6"/>
              <w:spacing w:before="70" w:line="228" w:lineRule="auto"/>
              <w:ind w:left="1032"/>
            </w:pPr>
            <w:r>
              <w:rPr>
                <w:spacing w:val="8"/>
              </w:rPr>
              <w:t>周界外浓度最高点</w:t>
            </w:r>
          </w:p>
        </w:tc>
        <w:tc>
          <w:tcPr>
            <w:tcW w:w="3033" w:type="dxa"/>
            <w:gridSpan w:val="2"/>
            <w:vAlign w:val="top"/>
          </w:tcPr>
          <w:p w14:paraId="7111DD4E">
            <w:pPr>
              <w:spacing w:before="89" w:line="215" w:lineRule="auto"/>
              <w:ind w:left="1130"/>
              <w:rPr>
                <w:rFonts w:ascii="Times New Roman" w:hAnsi="Times New Roman" w:eastAsia="Times New Roman" w:cs="Times New Roman"/>
                <w:sz w:val="13"/>
                <w:szCs w:val="13"/>
              </w:rPr>
            </w:pPr>
            <w:r>
              <w:rPr>
                <w:rFonts w:ascii="Times New Roman" w:hAnsi="Times New Roman" w:eastAsia="Times New Roman" w:cs="Times New Roman"/>
                <w:spacing w:val="2"/>
                <w:sz w:val="20"/>
                <w:szCs w:val="20"/>
              </w:rPr>
              <w:t>1.0</w:t>
            </w:r>
            <w:r>
              <w:rPr>
                <w:rFonts w:ascii="Times New Roman" w:hAnsi="Times New Roman" w:eastAsia="Times New Roman" w:cs="Times New Roman"/>
                <w:sz w:val="20"/>
                <w:szCs w:val="20"/>
              </w:rPr>
              <w:t>mg</w:t>
            </w:r>
            <w:r>
              <w:rPr>
                <w:rFonts w:ascii="Times New Roman" w:hAnsi="Times New Roman" w:eastAsia="Times New Roman" w:cs="Times New Roman"/>
                <w:spacing w:val="2"/>
                <w:sz w:val="20"/>
                <w:szCs w:val="20"/>
              </w:rPr>
              <w:t>/m</w:t>
            </w:r>
            <w:r>
              <w:rPr>
                <w:rFonts w:ascii="Times New Roman" w:hAnsi="Times New Roman" w:eastAsia="Times New Roman" w:cs="Times New Roman"/>
                <w:spacing w:val="2"/>
                <w:position w:val="6"/>
                <w:sz w:val="13"/>
                <w:szCs w:val="13"/>
              </w:rPr>
              <w:t>3</w:t>
            </w:r>
          </w:p>
        </w:tc>
        <w:tc>
          <w:tcPr>
            <w:tcW w:w="119" w:type="dxa"/>
            <w:tcBorders>
              <w:top w:val="nil"/>
            </w:tcBorders>
            <w:vAlign w:val="top"/>
          </w:tcPr>
          <w:p w14:paraId="607A3A7D">
            <w:pPr>
              <w:rPr>
                <w:rFonts w:ascii="Arial"/>
                <w:sz w:val="21"/>
              </w:rPr>
            </w:pPr>
          </w:p>
        </w:tc>
      </w:tr>
    </w:tbl>
    <w:p w14:paraId="1952A580">
      <w:pPr>
        <w:rPr>
          <w:rFonts w:ascii="Arial"/>
          <w:sz w:val="21"/>
        </w:rPr>
      </w:pPr>
    </w:p>
    <w:p w14:paraId="222C6F7D">
      <w:pPr>
        <w:rPr>
          <w:rFonts w:ascii="Arial" w:hAnsi="Arial" w:eastAsia="Arial" w:cs="Arial"/>
          <w:sz w:val="21"/>
          <w:szCs w:val="21"/>
        </w:rPr>
        <w:sectPr>
          <w:footerReference r:id="rId93" w:type="default"/>
          <w:pgSz w:w="11907" w:h="16840"/>
          <w:pgMar w:top="400" w:right="1304" w:bottom="1240" w:left="1531" w:header="0" w:footer="1077" w:gutter="0"/>
          <w:cols w:space="720" w:num="1"/>
        </w:sectPr>
      </w:pPr>
    </w:p>
    <w:p w14:paraId="44F0DFB5">
      <w:pPr>
        <w:spacing w:before="13"/>
      </w:pPr>
    </w:p>
    <w:p w14:paraId="1C454FF8">
      <w:pPr>
        <w:spacing w:before="13"/>
      </w:pPr>
    </w:p>
    <w:p w14:paraId="11DC7D10">
      <w:pPr>
        <w:spacing w:before="13"/>
      </w:pPr>
    </w:p>
    <w:p w14:paraId="41893056">
      <w:pPr>
        <w:spacing w:before="12"/>
      </w:pPr>
    </w:p>
    <w:tbl>
      <w:tblPr>
        <w:tblStyle w:val="5"/>
        <w:tblW w:w="90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3"/>
        <w:gridCol w:w="8573"/>
      </w:tblGrid>
      <w:tr w14:paraId="594EB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76" w:hRule="atLeast"/>
        </w:trPr>
        <w:tc>
          <w:tcPr>
            <w:tcW w:w="493" w:type="dxa"/>
            <w:vAlign w:val="top"/>
          </w:tcPr>
          <w:p w14:paraId="3B7D8367">
            <w:pPr>
              <w:rPr>
                <w:rFonts w:ascii="Arial"/>
                <w:sz w:val="21"/>
              </w:rPr>
            </w:pPr>
          </w:p>
        </w:tc>
        <w:tc>
          <w:tcPr>
            <w:tcW w:w="8573" w:type="dxa"/>
            <w:vAlign w:val="top"/>
          </w:tcPr>
          <w:p w14:paraId="35E79390">
            <w:pPr>
              <w:pStyle w:val="6"/>
              <w:spacing w:before="41" w:line="219" w:lineRule="auto"/>
              <w:ind w:left="590"/>
              <w:rPr>
                <w:sz w:val="24"/>
                <w:szCs w:val="24"/>
              </w:rPr>
            </w:pPr>
            <w:r>
              <w:rPr>
                <w:rFonts w:ascii="Times New Roman" w:hAnsi="Times New Roman" w:eastAsia="Times New Roman" w:cs="Times New Roman"/>
                <w:b/>
                <w:bCs/>
                <w:spacing w:val="-6"/>
                <w:sz w:val="24"/>
                <w:szCs w:val="24"/>
              </w:rPr>
              <w:t>2</w:t>
            </w:r>
            <w:r>
              <w:rPr>
                <w:rFonts w:ascii="Times New Roman" w:hAnsi="Times New Roman" w:eastAsia="Times New Roman" w:cs="Times New Roman"/>
                <w:b/>
                <w:bCs/>
                <w:spacing w:val="-32"/>
                <w:sz w:val="24"/>
                <w:szCs w:val="24"/>
              </w:rPr>
              <w:t xml:space="preserve"> </w:t>
            </w:r>
            <w:r>
              <w:rPr>
                <w:b/>
                <w:bCs/>
                <w:spacing w:val="-6"/>
                <w:sz w:val="24"/>
                <w:szCs w:val="24"/>
              </w:rPr>
              <w:t>、废水排放标准</w:t>
            </w:r>
          </w:p>
          <w:p w14:paraId="5904FC51">
            <w:pPr>
              <w:pStyle w:val="6"/>
              <w:spacing w:before="182" w:line="359" w:lineRule="auto"/>
              <w:ind w:left="112" w:right="45" w:firstLine="480"/>
              <w:jc w:val="both"/>
              <w:rPr>
                <w:sz w:val="24"/>
                <w:szCs w:val="24"/>
              </w:rPr>
            </w:pPr>
            <w:r>
              <w:rPr>
                <w:spacing w:val="-2"/>
                <w:sz w:val="24"/>
                <w:szCs w:val="24"/>
              </w:rPr>
              <w:t>施工期废水经临时沉淀池处理后回用或洒水降尘；施工期生活污水依托原有污水处置设施（公厕、所租民房的化粪池）或变电站设置的旱厕收集处置，不外</w:t>
            </w:r>
            <w:r>
              <w:rPr>
                <w:spacing w:val="-6"/>
                <w:sz w:val="24"/>
                <w:szCs w:val="24"/>
              </w:rPr>
              <w:t>排。项目运营期变电站内产生的生活污水，经</w:t>
            </w:r>
            <w:r>
              <w:rPr>
                <w:spacing w:val="-7"/>
                <w:sz w:val="24"/>
                <w:szCs w:val="24"/>
              </w:rPr>
              <w:t>化粪池、一体化污水处理设施处理，</w:t>
            </w:r>
            <w:r>
              <w:rPr>
                <w:spacing w:val="1"/>
                <w:sz w:val="24"/>
                <w:szCs w:val="24"/>
              </w:rPr>
              <w:t>达到《城市污水再生利用城市 杂用水水质》（</w:t>
            </w:r>
            <w:r>
              <w:rPr>
                <w:rFonts w:ascii="Times New Roman" w:hAnsi="Times New Roman" w:eastAsia="Times New Roman" w:cs="Times New Roman"/>
                <w:sz w:val="24"/>
                <w:szCs w:val="24"/>
              </w:rPr>
              <w:t>GB</w:t>
            </w:r>
            <w:r>
              <w:rPr>
                <w:rFonts w:ascii="Times New Roman" w:hAnsi="Times New Roman" w:eastAsia="Times New Roman" w:cs="Times New Roman"/>
                <w:spacing w:val="1"/>
                <w:sz w:val="24"/>
                <w:szCs w:val="24"/>
              </w:rPr>
              <w:t>/T18920-2020</w:t>
            </w:r>
            <w:r>
              <w:rPr>
                <w:spacing w:val="1"/>
                <w:sz w:val="24"/>
                <w:szCs w:val="24"/>
              </w:rPr>
              <w:t>）中城市绿</w:t>
            </w:r>
            <w:r>
              <w:rPr>
                <w:sz w:val="24"/>
                <w:szCs w:val="24"/>
              </w:rPr>
              <w:t>化用</w:t>
            </w:r>
            <w:r>
              <w:rPr>
                <w:spacing w:val="-1"/>
                <w:sz w:val="24"/>
                <w:szCs w:val="24"/>
              </w:rPr>
              <w:t>水标准后，全部回用，不外排。</w:t>
            </w:r>
          </w:p>
          <w:p w14:paraId="278F82B7">
            <w:pPr>
              <w:pStyle w:val="6"/>
              <w:spacing w:line="220" w:lineRule="auto"/>
              <w:ind w:left="588"/>
              <w:rPr>
                <w:sz w:val="24"/>
                <w:szCs w:val="24"/>
              </w:rPr>
            </w:pPr>
            <w:r>
              <w:rPr>
                <w:rFonts w:ascii="Times New Roman" w:hAnsi="Times New Roman" w:eastAsia="Times New Roman" w:cs="Times New Roman"/>
                <w:b/>
                <w:bCs/>
                <w:spacing w:val="-6"/>
                <w:sz w:val="24"/>
                <w:szCs w:val="24"/>
              </w:rPr>
              <w:t>3</w:t>
            </w:r>
            <w:r>
              <w:rPr>
                <w:rFonts w:ascii="Times New Roman" w:hAnsi="Times New Roman" w:eastAsia="Times New Roman" w:cs="Times New Roman"/>
                <w:b/>
                <w:bCs/>
                <w:spacing w:val="-30"/>
                <w:sz w:val="24"/>
                <w:szCs w:val="24"/>
              </w:rPr>
              <w:t xml:space="preserve"> </w:t>
            </w:r>
            <w:r>
              <w:rPr>
                <w:b/>
                <w:bCs/>
                <w:spacing w:val="-6"/>
                <w:sz w:val="24"/>
                <w:szCs w:val="24"/>
              </w:rPr>
              <w:t>、噪声排放标准</w:t>
            </w:r>
          </w:p>
          <w:p w14:paraId="284D226E">
            <w:pPr>
              <w:pStyle w:val="6"/>
              <w:spacing w:before="182" w:line="217" w:lineRule="auto"/>
              <w:ind w:left="592"/>
              <w:rPr>
                <w:sz w:val="24"/>
                <w:szCs w:val="24"/>
              </w:rPr>
            </w:pPr>
            <w:r>
              <w:rPr>
                <w:spacing w:val="-3"/>
                <w:sz w:val="24"/>
                <w:szCs w:val="24"/>
              </w:rPr>
              <w:t>①施工期</w:t>
            </w:r>
          </w:p>
          <w:p w14:paraId="15BE763F">
            <w:pPr>
              <w:pStyle w:val="6"/>
              <w:spacing w:before="184" w:line="357" w:lineRule="auto"/>
              <w:ind w:left="115" w:right="106" w:firstLine="481"/>
              <w:rPr>
                <w:sz w:val="24"/>
                <w:szCs w:val="24"/>
              </w:rPr>
            </w:pPr>
            <w:r>
              <w:rPr>
                <w:spacing w:val="-2"/>
                <w:sz w:val="24"/>
                <w:szCs w:val="24"/>
              </w:rPr>
              <w:t>项目施工期噪声执行《建筑施工噪声排放标准》（</w:t>
            </w:r>
            <w:r>
              <w:rPr>
                <w:rFonts w:ascii="Times New Roman" w:hAnsi="Times New Roman" w:eastAsia="Times New Roman" w:cs="Times New Roman"/>
                <w:spacing w:val="-3"/>
                <w:sz w:val="24"/>
                <w:szCs w:val="24"/>
              </w:rPr>
              <w:t>GB12523-2025</w:t>
            </w:r>
            <w:r>
              <w:rPr>
                <w:spacing w:val="-11"/>
                <w:sz w:val="24"/>
                <w:szCs w:val="24"/>
              </w:rPr>
              <w:t>），</w:t>
            </w:r>
            <w:r>
              <w:rPr>
                <w:spacing w:val="-3"/>
                <w:sz w:val="24"/>
                <w:szCs w:val="24"/>
              </w:rPr>
              <w:t>具体标</w:t>
            </w:r>
            <w:r>
              <w:rPr>
                <w:spacing w:val="-2"/>
                <w:sz w:val="24"/>
                <w:szCs w:val="24"/>
              </w:rPr>
              <w:t>准值见下表。</w:t>
            </w:r>
          </w:p>
          <w:p w14:paraId="52E6C3F6">
            <w:pPr>
              <w:pStyle w:val="6"/>
              <w:spacing w:line="223" w:lineRule="auto"/>
              <w:ind w:left="2806"/>
            </w:pPr>
            <w:r>
              <w:rPr>
                <w:b/>
                <w:bCs/>
                <w:spacing w:val="5"/>
              </w:rPr>
              <w:t>表</w:t>
            </w:r>
            <w:r>
              <w:rPr>
                <w:spacing w:val="-29"/>
              </w:rPr>
              <w:t xml:space="preserve"> </w:t>
            </w:r>
            <w:r>
              <w:rPr>
                <w:rFonts w:ascii="Times New Roman" w:hAnsi="Times New Roman" w:eastAsia="Times New Roman" w:cs="Times New Roman"/>
                <w:b/>
                <w:bCs/>
                <w:spacing w:val="5"/>
              </w:rPr>
              <w:t xml:space="preserve">3-14    </w:t>
            </w:r>
            <w:r>
              <w:rPr>
                <w:b/>
                <w:bCs/>
                <w:spacing w:val="5"/>
              </w:rPr>
              <w:t>建筑施工噪声排放标准</w:t>
            </w:r>
          </w:p>
          <w:tbl>
            <w:tblPr>
              <w:tblStyle w:val="5"/>
              <w:tblW w:w="8348" w:type="dxa"/>
              <w:tblInd w:w="10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84"/>
              <w:gridCol w:w="2779"/>
              <w:gridCol w:w="2785"/>
            </w:tblGrid>
            <w:tr w14:paraId="6A6BC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2784" w:type="dxa"/>
                  <w:vAlign w:val="top"/>
                </w:tcPr>
                <w:p w14:paraId="7BE52B31">
                  <w:pPr>
                    <w:pStyle w:val="6"/>
                    <w:spacing w:before="70" w:line="229" w:lineRule="auto"/>
                    <w:ind w:left="1198"/>
                  </w:pPr>
                  <w:r>
                    <w:rPr>
                      <w:spacing w:val="-1"/>
                    </w:rPr>
                    <w:t>时段</w:t>
                  </w:r>
                </w:p>
              </w:tc>
              <w:tc>
                <w:tcPr>
                  <w:tcW w:w="2779" w:type="dxa"/>
                  <w:vAlign w:val="top"/>
                </w:tcPr>
                <w:p w14:paraId="77561E30">
                  <w:pPr>
                    <w:pStyle w:val="6"/>
                    <w:spacing w:before="69" w:line="231" w:lineRule="auto"/>
                    <w:ind w:left="1183"/>
                  </w:pPr>
                  <w:r>
                    <w:rPr>
                      <w:spacing w:val="5"/>
                    </w:rPr>
                    <w:t>昼间</w:t>
                  </w:r>
                </w:p>
              </w:tc>
              <w:tc>
                <w:tcPr>
                  <w:tcW w:w="2785" w:type="dxa"/>
                  <w:vAlign w:val="top"/>
                </w:tcPr>
                <w:p w14:paraId="69D04797">
                  <w:pPr>
                    <w:pStyle w:val="6"/>
                    <w:spacing w:before="69" w:line="228" w:lineRule="auto"/>
                    <w:ind w:left="1192"/>
                  </w:pPr>
                  <w:r>
                    <w:rPr>
                      <w:spacing w:val="3"/>
                    </w:rPr>
                    <w:t>夜间</w:t>
                  </w:r>
                </w:p>
              </w:tc>
            </w:tr>
            <w:tr w14:paraId="56B53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2784" w:type="dxa"/>
                  <w:vAlign w:val="top"/>
                </w:tcPr>
                <w:p w14:paraId="22AADE7D">
                  <w:pPr>
                    <w:pStyle w:val="6"/>
                    <w:spacing w:before="68" w:line="228" w:lineRule="auto"/>
                    <w:ind w:left="370"/>
                  </w:pPr>
                  <w:r>
                    <w:rPr>
                      <w:spacing w:val="8"/>
                    </w:rPr>
                    <w:t>噪声限值（</w:t>
                  </w:r>
                  <w:r>
                    <w:rPr>
                      <w:rFonts w:ascii="Times New Roman" w:hAnsi="Times New Roman" w:eastAsia="Times New Roman" w:cs="Times New Roman"/>
                    </w:rPr>
                    <w:t>dB</w:t>
                  </w:r>
                  <w:r>
                    <w:rPr>
                      <w:spacing w:val="8"/>
                    </w:rPr>
                    <w:t>（</w:t>
                  </w:r>
                  <w:r>
                    <w:rPr>
                      <w:rFonts w:ascii="Times New Roman" w:hAnsi="Times New Roman" w:eastAsia="Times New Roman" w:cs="Times New Roman"/>
                      <w:spacing w:val="8"/>
                    </w:rPr>
                    <w:t>A</w:t>
                  </w:r>
                  <w:r>
                    <w:rPr>
                      <w:spacing w:val="1"/>
                    </w:rPr>
                    <w:t>））</w:t>
                  </w:r>
                </w:p>
              </w:tc>
              <w:tc>
                <w:tcPr>
                  <w:tcW w:w="2779" w:type="dxa"/>
                  <w:vAlign w:val="top"/>
                </w:tcPr>
                <w:p w14:paraId="068A707D">
                  <w:pPr>
                    <w:spacing w:before="104" w:line="195" w:lineRule="auto"/>
                    <w:ind w:left="128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2785" w:type="dxa"/>
                  <w:vAlign w:val="top"/>
                </w:tcPr>
                <w:p w14:paraId="33526BB0">
                  <w:pPr>
                    <w:spacing w:before="107" w:line="192" w:lineRule="auto"/>
                    <w:ind w:left="1294"/>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r>
          </w:tbl>
          <w:p w14:paraId="4F610207">
            <w:pPr>
              <w:pStyle w:val="6"/>
              <w:spacing w:before="37" w:line="217" w:lineRule="auto"/>
              <w:ind w:left="591"/>
              <w:rPr>
                <w:sz w:val="24"/>
                <w:szCs w:val="24"/>
              </w:rPr>
            </w:pPr>
            <w:r>
              <w:rPr>
                <w:spacing w:val="-2"/>
                <w:sz w:val="24"/>
                <w:szCs w:val="24"/>
              </w:rPr>
              <w:t>②运营期</w:t>
            </w:r>
          </w:p>
          <w:p w14:paraId="7489910E">
            <w:pPr>
              <w:pStyle w:val="6"/>
              <w:spacing w:before="180" w:line="359" w:lineRule="auto"/>
              <w:ind w:left="125" w:right="77" w:firstLine="467"/>
              <w:rPr>
                <w:sz w:val="24"/>
                <w:szCs w:val="24"/>
              </w:rPr>
            </w:pPr>
            <w:r>
              <w:rPr>
                <w:spacing w:val="-1"/>
                <w:sz w:val="24"/>
                <w:szCs w:val="24"/>
              </w:rPr>
              <w:t>输电线路无相应噪声排放标准，运行期沿线噪声应满足《声环境质量标准》</w:t>
            </w:r>
            <w:r>
              <w:rPr>
                <w:spacing w:val="9"/>
                <w:sz w:val="24"/>
                <w:szCs w:val="24"/>
              </w:rPr>
              <w:t xml:space="preserve"> </w:t>
            </w:r>
            <w:r>
              <w:rPr>
                <w:sz w:val="24"/>
                <w:szCs w:val="24"/>
              </w:rPr>
              <w:t>（</w:t>
            </w:r>
            <w:r>
              <w:rPr>
                <w:rFonts w:ascii="Times New Roman" w:hAnsi="Times New Roman" w:eastAsia="Times New Roman" w:cs="Times New Roman"/>
                <w:sz w:val="24"/>
                <w:szCs w:val="24"/>
              </w:rPr>
              <w:t>GB3096-2008</w:t>
            </w:r>
            <w:r>
              <w:rPr>
                <w:sz w:val="24"/>
                <w:szCs w:val="24"/>
              </w:rPr>
              <w:t>）</w:t>
            </w:r>
            <w:r>
              <w:rPr>
                <w:rFonts w:ascii="Times New Roman" w:hAnsi="Times New Roman" w:eastAsia="Times New Roman" w:cs="Times New Roman"/>
                <w:sz w:val="24"/>
                <w:szCs w:val="24"/>
              </w:rPr>
              <w:t xml:space="preserve">1 </w:t>
            </w:r>
            <w:r>
              <w:rPr>
                <w:sz w:val="24"/>
                <w:szCs w:val="24"/>
              </w:rPr>
              <w:t>类标准；部分</w:t>
            </w:r>
            <w:r>
              <w:rPr>
                <w:spacing w:val="-31"/>
                <w:sz w:val="24"/>
                <w:szCs w:val="24"/>
              </w:rPr>
              <w:t xml:space="preserve"> </w:t>
            </w:r>
            <w:r>
              <w:rPr>
                <w:rFonts w:ascii="Times New Roman" w:hAnsi="Times New Roman" w:eastAsia="Times New Roman" w:cs="Times New Roman"/>
                <w:sz w:val="24"/>
                <w:szCs w:val="24"/>
              </w:rPr>
              <w:t xml:space="preserve">110kV </w:t>
            </w:r>
            <w:r>
              <w:rPr>
                <w:sz w:val="24"/>
                <w:szCs w:val="24"/>
              </w:rPr>
              <w:t>线路跨越滇中环线高速、国道</w:t>
            </w:r>
            <w:r>
              <w:rPr>
                <w:spacing w:val="-52"/>
                <w:sz w:val="24"/>
                <w:szCs w:val="24"/>
              </w:rPr>
              <w:t xml:space="preserve"> </w:t>
            </w:r>
            <w:r>
              <w:rPr>
                <w:rFonts w:ascii="Times New Roman" w:hAnsi="Times New Roman" w:eastAsia="Times New Roman" w:cs="Times New Roman"/>
                <w:sz w:val="24"/>
                <w:szCs w:val="24"/>
              </w:rPr>
              <w:t xml:space="preserve">248 </w:t>
            </w:r>
            <w:r>
              <w:rPr>
                <w:sz w:val="24"/>
                <w:szCs w:val="24"/>
              </w:rPr>
              <w:t>段，</w:t>
            </w:r>
            <w:r>
              <w:rPr>
                <w:spacing w:val="6"/>
                <w:sz w:val="24"/>
                <w:szCs w:val="24"/>
              </w:rPr>
              <w:t>以滇中环线高速、国道</w:t>
            </w:r>
            <w:r>
              <w:rPr>
                <w:spacing w:val="-40"/>
                <w:sz w:val="24"/>
                <w:szCs w:val="24"/>
              </w:rPr>
              <w:t xml:space="preserve"> </w:t>
            </w:r>
            <w:r>
              <w:rPr>
                <w:rFonts w:ascii="Times New Roman" w:hAnsi="Times New Roman" w:eastAsia="Times New Roman" w:cs="Times New Roman"/>
                <w:spacing w:val="6"/>
                <w:sz w:val="24"/>
                <w:szCs w:val="24"/>
              </w:rPr>
              <w:t>248</w:t>
            </w:r>
            <w:r>
              <w:rPr>
                <w:rFonts w:ascii="Times New Roman" w:hAnsi="Times New Roman" w:eastAsia="Times New Roman" w:cs="Times New Roman"/>
                <w:spacing w:val="28"/>
                <w:sz w:val="24"/>
                <w:szCs w:val="24"/>
              </w:rPr>
              <w:t xml:space="preserve"> </w:t>
            </w:r>
            <w:r>
              <w:rPr>
                <w:spacing w:val="6"/>
                <w:sz w:val="24"/>
                <w:szCs w:val="24"/>
              </w:rPr>
              <w:t>红线外延伸</w:t>
            </w:r>
            <w:r>
              <w:rPr>
                <w:spacing w:val="-37"/>
                <w:sz w:val="24"/>
                <w:szCs w:val="24"/>
              </w:rPr>
              <w:t xml:space="preserve"> </w:t>
            </w:r>
            <w:r>
              <w:rPr>
                <w:rFonts w:ascii="Times New Roman" w:hAnsi="Times New Roman" w:eastAsia="Times New Roman" w:cs="Times New Roman"/>
                <w:spacing w:val="6"/>
                <w:sz w:val="24"/>
                <w:szCs w:val="24"/>
              </w:rPr>
              <w:t>50±5m</w:t>
            </w:r>
            <w:r>
              <w:rPr>
                <w:rFonts w:ascii="Times New Roman" w:hAnsi="Times New Roman" w:eastAsia="Times New Roman" w:cs="Times New Roman"/>
                <w:spacing w:val="40"/>
                <w:sz w:val="24"/>
                <w:szCs w:val="24"/>
              </w:rPr>
              <w:t xml:space="preserve"> </w:t>
            </w:r>
            <w:r>
              <w:rPr>
                <w:spacing w:val="6"/>
                <w:sz w:val="24"/>
                <w:szCs w:val="24"/>
              </w:rPr>
              <w:t>区域执行《声环境质量标准》</w:t>
            </w:r>
            <w:r>
              <w:rPr>
                <w:sz w:val="24"/>
                <w:szCs w:val="24"/>
              </w:rPr>
              <w:t xml:space="preserve"> </w:t>
            </w:r>
            <w:r>
              <w:rPr>
                <w:spacing w:val="-1"/>
                <w:sz w:val="24"/>
                <w:szCs w:val="24"/>
              </w:rPr>
              <w:t>（</w:t>
            </w:r>
            <w:r>
              <w:rPr>
                <w:rFonts w:ascii="Times New Roman" w:hAnsi="Times New Roman" w:eastAsia="Times New Roman" w:cs="Times New Roman"/>
                <w:spacing w:val="-1"/>
                <w:sz w:val="24"/>
                <w:szCs w:val="24"/>
              </w:rPr>
              <w:t>GB3096-2008</w:t>
            </w:r>
            <w:r>
              <w:rPr>
                <w:spacing w:val="-1"/>
                <w:sz w:val="24"/>
                <w:szCs w:val="24"/>
              </w:rPr>
              <w:t>）</w:t>
            </w:r>
            <w:r>
              <w:rPr>
                <w:rFonts w:ascii="Times New Roman" w:hAnsi="Times New Roman" w:eastAsia="Times New Roman" w:cs="Times New Roman"/>
                <w:spacing w:val="-1"/>
                <w:sz w:val="24"/>
                <w:szCs w:val="24"/>
              </w:rPr>
              <w:t xml:space="preserve">4a </w:t>
            </w:r>
            <w:r>
              <w:rPr>
                <w:spacing w:val="-1"/>
                <w:sz w:val="24"/>
                <w:szCs w:val="24"/>
              </w:rPr>
              <w:t>类标准，</w:t>
            </w:r>
            <w:r>
              <w:rPr>
                <w:rFonts w:ascii="Times New Roman" w:hAnsi="Times New Roman" w:eastAsia="Times New Roman" w:cs="Times New Roman"/>
                <w:spacing w:val="-1"/>
                <w:sz w:val="24"/>
                <w:szCs w:val="24"/>
              </w:rPr>
              <w:t xml:space="preserve">110kV </w:t>
            </w:r>
            <w:r>
              <w:rPr>
                <w:spacing w:val="-1"/>
                <w:sz w:val="24"/>
                <w:szCs w:val="24"/>
              </w:rPr>
              <w:t>松山变电站围墙外执行《工业企业厂界环境噪声排放标准》（</w:t>
            </w:r>
            <w:r>
              <w:rPr>
                <w:rFonts w:ascii="Times New Roman" w:hAnsi="Times New Roman" w:eastAsia="Times New Roman" w:cs="Times New Roman"/>
                <w:spacing w:val="-1"/>
                <w:sz w:val="24"/>
                <w:szCs w:val="24"/>
              </w:rPr>
              <w:t>GB12348-2008</w:t>
            </w:r>
            <w:r>
              <w:rPr>
                <w:spacing w:val="-1"/>
                <w:sz w:val="24"/>
                <w:szCs w:val="24"/>
              </w:rPr>
              <w:t>）</w:t>
            </w:r>
            <w:r>
              <w:rPr>
                <w:rFonts w:ascii="Times New Roman" w:hAnsi="Times New Roman" w:eastAsia="Times New Roman" w:cs="Times New Roman"/>
                <w:spacing w:val="-1"/>
                <w:sz w:val="24"/>
                <w:szCs w:val="24"/>
              </w:rPr>
              <w:t xml:space="preserve">1 </w:t>
            </w:r>
            <w:r>
              <w:rPr>
                <w:spacing w:val="-1"/>
                <w:sz w:val="24"/>
                <w:szCs w:val="24"/>
              </w:rPr>
              <w:t>类标准。限值见下表。</w:t>
            </w:r>
          </w:p>
          <w:p w14:paraId="3CB8AD87">
            <w:pPr>
              <w:pStyle w:val="6"/>
              <w:spacing w:line="222" w:lineRule="auto"/>
              <w:ind w:left="2286"/>
            </w:pPr>
            <w:r>
              <w:rPr>
                <w:b/>
                <w:bCs/>
                <w:spacing w:val="6"/>
              </w:rPr>
              <w:t>表</w:t>
            </w:r>
            <w:r>
              <w:rPr>
                <w:spacing w:val="-42"/>
              </w:rPr>
              <w:t xml:space="preserve"> </w:t>
            </w:r>
            <w:r>
              <w:rPr>
                <w:rFonts w:ascii="Times New Roman" w:hAnsi="Times New Roman" w:eastAsia="Times New Roman" w:cs="Times New Roman"/>
                <w:b/>
                <w:bCs/>
                <w:spacing w:val="6"/>
              </w:rPr>
              <w:t xml:space="preserve">3-15    </w:t>
            </w:r>
            <w:r>
              <w:rPr>
                <w:b/>
                <w:bCs/>
                <w:spacing w:val="6"/>
              </w:rPr>
              <w:t>声环境质量标准</w:t>
            </w:r>
            <w:r>
              <w:rPr>
                <w:spacing w:val="6"/>
              </w:rPr>
              <w:t xml:space="preserve">  </w:t>
            </w:r>
            <w:r>
              <w:rPr>
                <w:b/>
                <w:bCs/>
                <w:spacing w:val="6"/>
              </w:rPr>
              <w:t>单位：</w:t>
            </w:r>
            <w:r>
              <w:rPr>
                <w:rFonts w:ascii="Times New Roman" w:hAnsi="Times New Roman" w:eastAsia="Times New Roman" w:cs="Times New Roman"/>
                <w:b/>
                <w:bCs/>
              </w:rPr>
              <w:t>dB</w:t>
            </w:r>
            <w:r>
              <w:rPr>
                <w:b/>
                <w:bCs/>
                <w:spacing w:val="6"/>
              </w:rPr>
              <w:t>（</w:t>
            </w:r>
            <w:r>
              <w:rPr>
                <w:rFonts w:ascii="Times New Roman" w:hAnsi="Times New Roman" w:eastAsia="Times New Roman" w:cs="Times New Roman"/>
                <w:b/>
                <w:bCs/>
                <w:spacing w:val="6"/>
              </w:rPr>
              <w:t>A</w:t>
            </w:r>
            <w:r>
              <w:rPr>
                <w:b/>
                <w:bCs/>
                <w:spacing w:val="6"/>
              </w:rPr>
              <w:t>）</w:t>
            </w:r>
          </w:p>
          <w:tbl>
            <w:tblPr>
              <w:tblStyle w:val="5"/>
              <w:tblW w:w="8351" w:type="dxa"/>
              <w:tblInd w:w="1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95"/>
              <w:gridCol w:w="679"/>
              <w:gridCol w:w="1405"/>
              <w:gridCol w:w="1372"/>
            </w:tblGrid>
            <w:tr w14:paraId="7255B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895" w:type="dxa"/>
                  <w:vMerge w:val="restart"/>
                  <w:tcBorders>
                    <w:bottom w:val="nil"/>
                  </w:tcBorders>
                  <w:vAlign w:val="top"/>
                </w:tcPr>
                <w:p w14:paraId="1A6F507F">
                  <w:pPr>
                    <w:pStyle w:val="6"/>
                    <w:spacing w:before="176" w:line="228" w:lineRule="auto"/>
                    <w:ind w:left="2033"/>
                  </w:pPr>
                  <w:r>
                    <w:rPr>
                      <w:spacing w:val="7"/>
                    </w:rPr>
                    <w:t>适用区域</w:t>
                  </w:r>
                </w:p>
              </w:tc>
              <w:tc>
                <w:tcPr>
                  <w:tcW w:w="679" w:type="dxa"/>
                  <w:vMerge w:val="restart"/>
                  <w:tcBorders>
                    <w:bottom w:val="nil"/>
                  </w:tcBorders>
                  <w:vAlign w:val="top"/>
                </w:tcPr>
                <w:p w14:paraId="0F5EAFA4">
                  <w:pPr>
                    <w:pStyle w:val="6"/>
                    <w:spacing w:before="176" w:line="228" w:lineRule="auto"/>
                    <w:ind w:left="136"/>
                  </w:pPr>
                  <w:r>
                    <w:rPr>
                      <w:spacing w:val="4"/>
                    </w:rPr>
                    <w:t>类别</w:t>
                  </w:r>
                </w:p>
              </w:tc>
              <w:tc>
                <w:tcPr>
                  <w:tcW w:w="2777" w:type="dxa"/>
                  <w:gridSpan w:val="2"/>
                  <w:vAlign w:val="top"/>
                </w:tcPr>
                <w:p w14:paraId="2EF8DA84">
                  <w:pPr>
                    <w:pStyle w:val="6"/>
                    <w:spacing w:before="34" w:line="217" w:lineRule="auto"/>
                    <w:ind w:left="984"/>
                  </w:pPr>
                  <w:r>
                    <w:rPr>
                      <w:spacing w:val="4"/>
                    </w:rPr>
                    <w:t>噪声限值</w:t>
                  </w:r>
                </w:p>
              </w:tc>
            </w:tr>
            <w:tr w14:paraId="758159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895" w:type="dxa"/>
                  <w:vMerge w:val="continue"/>
                  <w:tcBorders>
                    <w:top w:val="nil"/>
                  </w:tcBorders>
                  <w:vAlign w:val="top"/>
                </w:tcPr>
                <w:p w14:paraId="3B104696">
                  <w:pPr>
                    <w:rPr>
                      <w:rFonts w:ascii="Arial"/>
                      <w:sz w:val="21"/>
                    </w:rPr>
                  </w:pPr>
                </w:p>
              </w:tc>
              <w:tc>
                <w:tcPr>
                  <w:tcW w:w="679" w:type="dxa"/>
                  <w:vMerge w:val="continue"/>
                  <w:tcBorders>
                    <w:top w:val="nil"/>
                  </w:tcBorders>
                  <w:vAlign w:val="top"/>
                </w:tcPr>
                <w:p w14:paraId="313B6807">
                  <w:pPr>
                    <w:rPr>
                      <w:rFonts w:ascii="Arial"/>
                      <w:sz w:val="21"/>
                    </w:rPr>
                  </w:pPr>
                </w:p>
              </w:tc>
              <w:tc>
                <w:tcPr>
                  <w:tcW w:w="1405" w:type="dxa"/>
                  <w:vAlign w:val="top"/>
                </w:tcPr>
                <w:p w14:paraId="2E9107C6">
                  <w:pPr>
                    <w:pStyle w:val="6"/>
                    <w:spacing w:before="33" w:line="215" w:lineRule="auto"/>
                    <w:ind w:left="498"/>
                  </w:pPr>
                  <w:r>
                    <w:rPr>
                      <w:spacing w:val="5"/>
                    </w:rPr>
                    <w:t>昼间</w:t>
                  </w:r>
                </w:p>
              </w:tc>
              <w:tc>
                <w:tcPr>
                  <w:tcW w:w="1372" w:type="dxa"/>
                  <w:vAlign w:val="top"/>
                </w:tcPr>
                <w:p w14:paraId="32E0DBF7">
                  <w:pPr>
                    <w:pStyle w:val="6"/>
                    <w:spacing w:before="33" w:line="215" w:lineRule="auto"/>
                    <w:ind w:left="484"/>
                  </w:pPr>
                  <w:r>
                    <w:rPr>
                      <w:spacing w:val="3"/>
                    </w:rPr>
                    <w:t>夜间</w:t>
                  </w:r>
                </w:p>
              </w:tc>
            </w:tr>
            <w:tr w14:paraId="6A153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895" w:type="dxa"/>
                  <w:vAlign w:val="top"/>
                </w:tcPr>
                <w:p w14:paraId="3AC72029">
                  <w:pPr>
                    <w:pStyle w:val="6"/>
                    <w:spacing w:before="35" w:line="214" w:lineRule="auto"/>
                    <w:ind w:left="985"/>
                  </w:pPr>
                  <w:r>
                    <w:rPr>
                      <w:spacing w:val="9"/>
                    </w:rPr>
                    <w:t>线路沿线评价范围内环境敏感点</w:t>
                  </w:r>
                </w:p>
              </w:tc>
              <w:tc>
                <w:tcPr>
                  <w:tcW w:w="679" w:type="dxa"/>
                  <w:vAlign w:val="top"/>
                </w:tcPr>
                <w:p w14:paraId="331DDEE3">
                  <w:pPr>
                    <w:pStyle w:val="6"/>
                    <w:spacing w:before="35" w:line="214" w:lineRule="auto"/>
                    <w:ind w:left="203"/>
                  </w:pPr>
                  <w:r>
                    <w:rPr>
                      <w:rFonts w:ascii="Times New Roman" w:hAnsi="Times New Roman" w:eastAsia="Times New Roman" w:cs="Times New Roman"/>
                      <w:spacing w:val="-5"/>
                    </w:rPr>
                    <w:t>1</w:t>
                  </w:r>
                  <w:r>
                    <w:rPr>
                      <w:spacing w:val="-5"/>
                    </w:rPr>
                    <w:t>类</w:t>
                  </w:r>
                </w:p>
              </w:tc>
              <w:tc>
                <w:tcPr>
                  <w:tcW w:w="1405" w:type="dxa"/>
                  <w:vAlign w:val="top"/>
                </w:tcPr>
                <w:p w14:paraId="44629635">
                  <w:pPr>
                    <w:spacing w:before="74" w:line="192" w:lineRule="auto"/>
                    <w:ind w:left="606"/>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1372" w:type="dxa"/>
                  <w:vAlign w:val="top"/>
                </w:tcPr>
                <w:p w14:paraId="76BBB4F4">
                  <w:pPr>
                    <w:spacing w:before="71" w:line="195" w:lineRule="auto"/>
                    <w:ind w:left="58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r>
            <w:tr w14:paraId="5A68A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895" w:type="dxa"/>
                  <w:vAlign w:val="top"/>
                </w:tcPr>
                <w:p w14:paraId="2C5B4A83">
                  <w:pPr>
                    <w:pStyle w:val="6"/>
                    <w:spacing w:before="33" w:line="218" w:lineRule="auto"/>
                    <w:ind w:left="447"/>
                  </w:pPr>
                  <w:r>
                    <w:rPr>
                      <w:spacing w:val="8"/>
                    </w:rPr>
                    <w:t>滇中环线高速、国道</w:t>
                  </w:r>
                  <w:r>
                    <w:rPr>
                      <w:rFonts w:ascii="Times New Roman" w:hAnsi="Times New Roman" w:eastAsia="Times New Roman" w:cs="Times New Roman"/>
                      <w:spacing w:val="8"/>
                    </w:rPr>
                    <w:t>248</w:t>
                  </w:r>
                  <w:r>
                    <w:rPr>
                      <w:spacing w:val="8"/>
                    </w:rPr>
                    <w:t>两侧</w:t>
                  </w:r>
                  <w:r>
                    <w:rPr>
                      <w:rFonts w:ascii="Times New Roman" w:hAnsi="Times New Roman" w:eastAsia="Times New Roman" w:cs="Times New Roman"/>
                      <w:spacing w:val="8"/>
                    </w:rPr>
                    <w:t>50m±5</w:t>
                  </w:r>
                  <w:r>
                    <w:rPr>
                      <w:rFonts w:ascii="Times New Roman" w:hAnsi="Times New Roman" w:eastAsia="Times New Roman" w:cs="Times New Roman"/>
                      <w:spacing w:val="7"/>
                    </w:rPr>
                    <w:t>m</w:t>
                  </w:r>
                  <w:r>
                    <w:rPr>
                      <w:spacing w:val="7"/>
                    </w:rPr>
                    <w:t>距离内</w:t>
                  </w:r>
                </w:p>
              </w:tc>
              <w:tc>
                <w:tcPr>
                  <w:tcW w:w="679" w:type="dxa"/>
                  <w:vAlign w:val="top"/>
                </w:tcPr>
                <w:p w14:paraId="2304F149">
                  <w:pPr>
                    <w:pStyle w:val="6"/>
                    <w:spacing w:before="33" w:line="218" w:lineRule="auto"/>
                    <w:ind w:left="136"/>
                  </w:pPr>
                  <w:r>
                    <w:rPr>
                      <w:rFonts w:ascii="Times New Roman" w:hAnsi="Times New Roman" w:eastAsia="Times New Roman" w:cs="Times New Roman"/>
                      <w:spacing w:val="5"/>
                    </w:rPr>
                    <w:t>4a</w:t>
                  </w:r>
                  <w:r>
                    <w:rPr>
                      <w:spacing w:val="5"/>
                    </w:rPr>
                    <w:t>类</w:t>
                  </w:r>
                </w:p>
              </w:tc>
              <w:tc>
                <w:tcPr>
                  <w:tcW w:w="1405" w:type="dxa"/>
                  <w:vAlign w:val="top"/>
                </w:tcPr>
                <w:p w14:paraId="23A87918">
                  <w:pPr>
                    <w:spacing w:before="69" w:line="195" w:lineRule="auto"/>
                    <w:ind w:left="60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1372" w:type="dxa"/>
                  <w:vAlign w:val="top"/>
                </w:tcPr>
                <w:p w14:paraId="2777791A">
                  <w:pPr>
                    <w:spacing w:before="72" w:line="192" w:lineRule="auto"/>
                    <w:ind w:left="588"/>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r>
          </w:tbl>
          <w:p w14:paraId="21340243">
            <w:pPr>
              <w:pStyle w:val="6"/>
              <w:spacing w:before="271" w:line="224" w:lineRule="auto"/>
              <w:ind w:left="1546"/>
            </w:pPr>
            <w:r>
              <w:rPr>
                <w:b/>
                <w:bCs/>
                <w:spacing w:val="7"/>
              </w:rPr>
              <w:t>表</w:t>
            </w:r>
            <w:r>
              <w:rPr>
                <w:spacing w:val="-41"/>
              </w:rPr>
              <w:t xml:space="preserve"> </w:t>
            </w:r>
            <w:r>
              <w:rPr>
                <w:rFonts w:ascii="Times New Roman" w:hAnsi="Times New Roman" w:eastAsia="Times New Roman" w:cs="Times New Roman"/>
                <w:b/>
                <w:bCs/>
                <w:spacing w:val="7"/>
              </w:rPr>
              <w:t xml:space="preserve">3-16    </w:t>
            </w:r>
            <w:r>
              <w:rPr>
                <w:b/>
                <w:bCs/>
                <w:spacing w:val="7"/>
              </w:rPr>
              <w:t>工业企业厂界环境噪声</w:t>
            </w:r>
            <w:r>
              <w:rPr>
                <w:b/>
                <w:bCs/>
                <w:spacing w:val="6"/>
              </w:rPr>
              <w:t>排放标准</w:t>
            </w:r>
            <w:r>
              <w:rPr>
                <w:spacing w:val="6"/>
              </w:rPr>
              <w:t xml:space="preserve">  </w:t>
            </w:r>
            <w:r>
              <w:rPr>
                <w:b/>
                <w:bCs/>
                <w:spacing w:val="6"/>
              </w:rPr>
              <w:t>单位：</w:t>
            </w:r>
            <w:r>
              <w:rPr>
                <w:rFonts w:ascii="Times New Roman" w:hAnsi="Times New Roman" w:eastAsia="Times New Roman" w:cs="Times New Roman"/>
                <w:b/>
                <w:bCs/>
              </w:rPr>
              <w:t>dB</w:t>
            </w:r>
            <w:r>
              <w:rPr>
                <w:b/>
                <w:bCs/>
                <w:spacing w:val="6"/>
              </w:rPr>
              <w:t>（</w:t>
            </w:r>
            <w:r>
              <w:rPr>
                <w:rFonts w:ascii="Times New Roman" w:hAnsi="Times New Roman" w:eastAsia="Times New Roman" w:cs="Times New Roman"/>
                <w:b/>
                <w:bCs/>
                <w:spacing w:val="6"/>
              </w:rPr>
              <w:t>A</w:t>
            </w:r>
            <w:r>
              <w:rPr>
                <w:b/>
                <w:bCs/>
                <w:spacing w:val="6"/>
              </w:rPr>
              <w:t>）</w:t>
            </w:r>
          </w:p>
          <w:tbl>
            <w:tblPr>
              <w:tblStyle w:val="5"/>
              <w:tblW w:w="8351" w:type="dxa"/>
              <w:tblInd w:w="1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95"/>
              <w:gridCol w:w="679"/>
              <w:gridCol w:w="1405"/>
              <w:gridCol w:w="1372"/>
            </w:tblGrid>
            <w:tr w14:paraId="7B9FE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895" w:type="dxa"/>
                  <w:vMerge w:val="restart"/>
                  <w:tcBorders>
                    <w:bottom w:val="nil"/>
                  </w:tcBorders>
                  <w:vAlign w:val="top"/>
                </w:tcPr>
                <w:p w14:paraId="566A6E66">
                  <w:pPr>
                    <w:pStyle w:val="6"/>
                    <w:spacing w:before="175" w:line="228" w:lineRule="auto"/>
                    <w:ind w:left="2033"/>
                  </w:pPr>
                  <w:r>
                    <w:rPr>
                      <w:spacing w:val="7"/>
                    </w:rPr>
                    <w:t>适用区域</w:t>
                  </w:r>
                </w:p>
              </w:tc>
              <w:tc>
                <w:tcPr>
                  <w:tcW w:w="679" w:type="dxa"/>
                  <w:vMerge w:val="restart"/>
                  <w:tcBorders>
                    <w:bottom w:val="nil"/>
                  </w:tcBorders>
                  <w:vAlign w:val="top"/>
                </w:tcPr>
                <w:p w14:paraId="27804A30">
                  <w:pPr>
                    <w:pStyle w:val="6"/>
                    <w:spacing w:before="174" w:line="228" w:lineRule="auto"/>
                    <w:ind w:left="136"/>
                  </w:pPr>
                  <w:r>
                    <w:rPr>
                      <w:spacing w:val="4"/>
                    </w:rPr>
                    <w:t>类别</w:t>
                  </w:r>
                </w:p>
              </w:tc>
              <w:tc>
                <w:tcPr>
                  <w:tcW w:w="2777" w:type="dxa"/>
                  <w:gridSpan w:val="2"/>
                  <w:vAlign w:val="top"/>
                </w:tcPr>
                <w:p w14:paraId="60FEC61A">
                  <w:pPr>
                    <w:pStyle w:val="6"/>
                    <w:spacing w:before="36" w:line="216" w:lineRule="auto"/>
                    <w:ind w:left="984"/>
                  </w:pPr>
                  <w:r>
                    <w:rPr>
                      <w:spacing w:val="4"/>
                    </w:rPr>
                    <w:t>噪声限值</w:t>
                  </w:r>
                </w:p>
              </w:tc>
            </w:tr>
            <w:tr w14:paraId="6B7337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895" w:type="dxa"/>
                  <w:vMerge w:val="continue"/>
                  <w:tcBorders>
                    <w:top w:val="nil"/>
                  </w:tcBorders>
                  <w:vAlign w:val="top"/>
                </w:tcPr>
                <w:p w14:paraId="7B7A4287">
                  <w:pPr>
                    <w:rPr>
                      <w:rFonts w:ascii="Arial"/>
                      <w:sz w:val="21"/>
                    </w:rPr>
                  </w:pPr>
                </w:p>
              </w:tc>
              <w:tc>
                <w:tcPr>
                  <w:tcW w:w="679" w:type="dxa"/>
                  <w:vMerge w:val="continue"/>
                  <w:tcBorders>
                    <w:top w:val="nil"/>
                  </w:tcBorders>
                  <w:vAlign w:val="top"/>
                </w:tcPr>
                <w:p w14:paraId="0BFAC87B">
                  <w:pPr>
                    <w:rPr>
                      <w:rFonts w:ascii="Arial"/>
                      <w:sz w:val="21"/>
                    </w:rPr>
                  </w:pPr>
                </w:p>
              </w:tc>
              <w:tc>
                <w:tcPr>
                  <w:tcW w:w="1405" w:type="dxa"/>
                  <w:vAlign w:val="top"/>
                </w:tcPr>
                <w:p w14:paraId="33ED6669">
                  <w:pPr>
                    <w:pStyle w:val="6"/>
                    <w:spacing w:before="34" w:line="214" w:lineRule="auto"/>
                    <w:ind w:left="498"/>
                  </w:pPr>
                  <w:r>
                    <w:rPr>
                      <w:spacing w:val="5"/>
                    </w:rPr>
                    <w:t>昼间</w:t>
                  </w:r>
                </w:p>
              </w:tc>
              <w:tc>
                <w:tcPr>
                  <w:tcW w:w="1372" w:type="dxa"/>
                  <w:vAlign w:val="top"/>
                </w:tcPr>
                <w:p w14:paraId="0852BE7F">
                  <w:pPr>
                    <w:pStyle w:val="6"/>
                    <w:spacing w:before="34" w:line="214" w:lineRule="auto"/>
                    <w:ind w:left="484"/>
                  </w:pPr>
                  <w:r>
                    <w:rPr>
                      <w:spacing w:val="3"/>
                    </w:rPr>
                    <w:t>夜间</w:t>
                  </w:r>
                </w:p>
              </w:tc>
            </w:tr>
            <w:tr w14:paraId="4AF4B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895" w:type="dxa"/>
                  <w:vAlign w:val="top"/>
                </w:tcPr>
                <w:p w14:paraId="5550D349">
                  <w:pPr>
                    <w:pStyle w:val="6"/>
                    <w:spacing w:before="33" w:line="218" w:lineRule="auto"/>
                    <w:ind w:left="2139"/>
                  </w:pPr>
                  <w:r>
                    <w:rPr>
                      <w:spacing w:val="6"/>
                    </w:rPr>
                    <w:t>变电站</w:t>
                  </w:r>
                </w:p>
              </w:tc>
              <w:tc>
                <w:tcPr>
                  <w:tcW w:w="679" w:type="dxa"/>
                  <w:vAlign w:val="top"/>
                </w:tcPr>
                <w:p w14:paraId="09CE9DDF">
                  <w:pPr>
                    <w:pStyle w:val="6"/>
                    <w:spacing w:before="33" w:line="218" w:lineRule="auto"/>
                    <w:ind w:left="203"/>
                  </w:pPr>
                  <w:r>
                    <w:rPr>
                      <w:rFonts w:ascii="Times New Roman" w:hAnsi="Times New Roman" w:eastAsia="Times New Roman" w:cs="Times New Roman"/>
                      <w:spacing w:val="-5"/>
                    </w:rPr>
                    <w:t>1</w:t>
                  </w:r>
                  <w:r>
                    <w:rPr>
                      <w:spacing w:val="-5"/>
                    </w:rPr>
                    <w:t>类</w:t>
                  </w:r>
                </w:p>
              </w:tc>
              <w:tc>
                <w:tcPr>
                  <w:tcW w:w="1405" w:type="dxa"/>
                  <w:vAlign w:val="top"/>
                </w:tcPr>
                <w:p w14:paraId="1ABA4149">
                  <w:pPr>
                    <w:spacing w:before="72" w:line="192" w:lineRule="auto"/>
                    <w:ind w:left="606"/>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1372" w:type="dxa"/>
                  <w:vAlign w:val="top"/>
                </w:tcPr>
                <w:p w14:paraId="464D5EB0">
                  <w:pPr>
                    <w:spacing w:before="69" w:line="195" w:lineRule="auto"/>
                    <w:ind w:left="58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r>
          </w:tbl>
          <w:p w14:paraId="61C2A0BD">
            <w:pPr>
              <w:pStyle w:val="6"/>
              <w:spacing w:before="36" w:line="220" w:lineRule="auto"/>
              <w:ind w:left="590"/>
              <w:rPr>
                <w:sz w:val="24"/>
                <w:szCs w:val="24"/>
              </w:rPr>
            </w:pPr>
            <w:r>
              <w:rPr>
                <w:rFonts w:ascii="Times New Roman" w:hAnsi="Times New Roman" w:eastAsia="Times New Roman" w:cs="Times New Roman"/>
                <w:b/>
                <w:bCs/>
                <w:spacing w:val="-7"/>
                <w:sz w:val="24"/>
                <w:szCs w:val="24"/>
              </w:rPr>
              <w:t>4</w:t>
            </w:r>
            <w:r>
              <w:rPr>
                <w:rFonts w:ascii="Times New Roman" w:hAnsi="Times New Roman" w:eastAsia="Times New Roman" w:cs="Times New Roman"/>
                <w:b/>
                <w:bCs/>
                <w:spacing w:val="-33"/>
                <w:sz w:val="24"/>
                <w:szCs w:val="24"/>
              </w:rPr>
              <w:t xml:space="preserve"> </w:t>
            </w:r>
            <w:r>
              <w:rPr>
                <w:b/>
                <w:bCs/>
                <w:spacing w:val="-7"/>
                <w:sz w:val="24"/>
                <w:szCs w:val="24"/>
              </w:rPr>
              <w:t>、固体废物</w:t>
            </w:r>
          </w:p>
          <w:p w14:paraId="135520BD">
            <w:pPr>
              <w:pStyle w:val="6"/>
              <w:spacing w:before="181" w:line="359" w:lineRule="auto"/>
              <w:ind w:left="114" w:right="106" w:firstLine="482"/>
              <w:jc w:val="both"/>
              <w:rPr>
                <w:sz w:val="24"/>
                <w:szCs w:val="24"/>
              </w:rPr>
            </w:pPr>
            <w:r>
              <w:rPr>
                <w:spacing w:val="27"/>
                <w:sz w:val="24"/>
                <w:szCs w:val="24"/>
              </w:rPr>
              <w:t>一般固体废物执行《</w:t>
            </w:r>
            <w:r>
              <w:rPr>
                <w:spacing w:val="-50"/>
                <w:sz w:val="24"/>
                <w:szCs w:val="24"/>
              </w:rPr>
              <w:t xml:space="preserve"> </w:t>
            </w:r>
            <w:r>
              <w:rPr>
                <w:spacing w:val="27"/>
                <w:sz w:val="24"/>
                <w:szCs w:val="24"/>
              </w:rPr>
              <w:t>一般工业固体废物贮存和填埋</w:t>
            </w:r>
            <w:r>
              <w:rPr>
                <w:spacing w:val="26"/>
                <w:sz w:val="24"/>
                <w:szCs w:val="24"/>
              </w:rPr>
              <w:t>污染控制标准</w:t>
            </w:r>
            <w:r>
              <w:rPr>
                <w:spacing w:val="-64"/>
                <w:sz w:val="24"/>
                <w:szCs w:val="24"/>
              </w:rPr>
              <w:t xml:space="preserve"> </w:t>
            </w:r>
            <w:r>
              <w:rPr>
                <w:spacing w:val="26"/>
                <w:sz w:val="24"/>
                <w:szCs w:val="24"/>
              </w:rPr>
              <w:t>》</w:t>
            </w:r>
            <w:r>
              <w:rPr>
                <w:sz w:val="24"/>
                <w:szCs w:val="24"/>
              </w:rPr>
              <w:t xml:space="preserve"> </w:t>
            </w:r>
            <w:r>
              <w:rPr>
                <w:spacing w:val="-1"/>
                <w:sz w:val="24"/>
                <w:szCs w:val="24"/>
              </w:rPr>
              <w:t>（</w:t>
            </w:r>
            <w:r>
              <w:rPr>
                <w:rFonts w:ascii="Times New Roman" w:hAnsi="Times New Roman" w:eastAsia="Times New Roman" w:cs="Times New Roman"/>
                <w:spacing w:val="-1"/>
                <w:sz w:val="24"/>
                <w:szCs w:val="24"/>
              </w:rPr>
              <w:t>GB18599-2020</w:t>
            </w:r>
            <w:r>
              <w:rPr>
                <w:spacing w:val="-25"/>
                <w:sz w:val="24"/>
                <w:szCs w:val="24"/>
              </w:rPr>
              <w:t>）；</w:t>
            </w:r>
            <w:r>
              <w:rPr>
                <w:spacing w:val="-1"/>
                <w:sz w:val="24"/>
                <w:szCs w:val="24"/>
              </w:rPr>
              <w:t>项目产生的危</w:t>
            </w:r>
            <w:r>
              <w:rPr>
                <w:spacing w:val="-2"/>
                <w:sz w:val="24"/>
                <w:szCs w:val="24"/>
              </w:rPr>
              <w:t>险固废储存处置执行《危险废物贮存污染控制</w:t>
            </w:r>
            <w:r>
              <w:rPr>
                <w:spacing w:val="-1"/>
                <w:sz w:val="24"/>
                <w:szCs w:val="24"/>
              </w:rPr>
              <w:t>标准》（</w:t>
            </w:r>
            <w:r>
              <w:rPr>
                <w:rFonts w:ascii="Times New Roman" w:hAnsi="Times New Roman" w:eastAsia="Times New Roman" w:cs="Times New Roman"/>
                <w:spacing w:val="-1"/>
                <w:sz w:val="24"/>
                <w:szCs w:val="24"/>
              </w:rPr>
              <w:t>GB18597-2023</w:t>
            </w:r>
            <w:r>
              <w:rPr>
                <w:spacing w:val="-1"/>
                <w:sz w:val="24"/>
                <w:szCs w:val="24"/>
              </w:rPr>
              <w:t>）。</w:t>
            </w:r>
          </w:p>
          <w:p w14:paraId="47E83CBE">
            <w:pPr>
              <w:pStyle w:val="6"/>
              <w:spacing w:line="220" w:lineRule="auto"/>
              <w:ind w:left="592"/>
              <w:rPr>
                <w:sz w:val="24"/>
                <w:szCs w:val="24"/>
              </w:rPr>
            </w:pPr>
            <w:r>
              <w:rPr>
                <w:rFonts w:ascii="Times New Roman" w:hAnsi="Times New Roman" w:eastAsia="Times New Roman" w:cs="Times New Roman"/>
                <w:b/>
                <w:bCs/>
                <w:spacing w:val="-8"/>
                <w:sz w:val="24"/>
                <w:szCs w:val="24"/>
              </w:rPr>
              <w:t>5</w:t>
            </w:r>
            <w:r>
              <w:rPr>
                <w:rFonts w:ascii="Times New Roman" w:hAnsi="Times New Roman" w:eastAsia="Times New Roman" w:cs="Times New Roman"/>
                <w:b/>
                <w:bCs/>
                <w:spacing w:val="-29"/>
                <w:sz w:val="24"/>
                <w:szCs w:val="24"/>
              </w:rPr>
              <w:t xml:space="preserve"> </w:t>
            </w:r>
            <w:r>
              <w:rPr>
                <w:b/>
                <w:bCs/>
                <w:spacing w:val="-8"/>
                <w:sz w:val="24"/>
                <w:szCs w:val="24"/>
              </w:rPr>
              <w:t>、电磁环境</w:t>
            </w:r>
          </w:p>
        </w:tc>
      </w:tr>
    </w:tbl>
    <w:p w14:paraId="0C6DF219">
      <w:pPr>
        <w:rPr>
          <w:rFonts w:ascii="Arial"/>
          <w:sz w:val="21"/>
        </w:rPr>
      </w:pPr>
    </w:p>
    <w:p w14:paraId="3BF90021">
      <w:pPr>
        <w:rPr>
          <w:rFonts w:ascii="Arial" w:hAnsi="Arial" w:eastAsia="Arial" w:cs="Arial"/>
          <w:sz w:val="21"/>
          <w:szCs w:val="21"/>
        </w:rPr>
        <w:sectPr>
          <w:footerReference r:id="rId94" w:type="default"/>
          <w:pgSz w:w="11907" w:h="16840"/>
          <w:pgMar w:top="400" w:right="1304" w:bottom="1240" w:left="1531" w:header="0" w:footer="1077" w:gutter="0"/>
          <w:cols w:space="720" w:num="1"/>
        </w:sectPr>
      </w:pPr>
    </w:p>
    <w:p w14:paraId="7CF36726">
      <w:pPr>
        <w:spacing w:before="13"/>
      </w:pPr>
    </w:p>
    <w:p w14:paraId="405AC53D">
      <w:pPr>
        <w:spacing w:before="13"/>
      </w:pPr>
    </w:p>
    <w:p w14:paraId="150CBE99">
      <w:pPr>
        <w:spacing w:before="13"/>
      </w:pPr>
    </w:p>
    <w:p w14:paraId="7FE0B6EE">
      <w:pPr>
        <w:spacing w:before="12"/>
      </w:pPr>
    </w:p>
    <w:tbl>
      <w:tblPr>
        <w:tblStyle w:val="5"/>
        <w:tblW w:w="90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3"/>
        <w:gridCol w:w="8573"/>
      </w:tblGrid>
      <w:tr w14:paraId="000135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9" w:hRule="atLeast"/>
        </w:trPr>
        <w:tc>
          <w:tcPr>
            <w:tcW w:w="493" w:type="dxa"/>
            <w:vAlign w:val="top"/>
          </w:tcPr>
          <w:p w14:paraId="52978128">
            <w:pPr>
              <w:rPr>
                <w:rFonts w:ascii="Arial"/>
                <w:sz w:val="21"/>
              </w:rPr>
            </w:pPr>
          </w:p>
        </w:tc>
        <w:tc>
          <w:tcPr>
            <w:tcW w:w="8573" w:type="dxa"/>
            <w:vAlign w:val="top"/>
          </w:tcPr>
          <w:p w14:paraId="75E9F546">
            <w:pPr>
              <w:pStyle w:val="6"/>
              <w:spacing w:before="41" w:line="357" w:lineRule="auto"/>
              <w:ind w:left="112" w:right="106" w:firstLine="482"/>
              <w:rPr>
                <w:sz w:val="24"/>
                <w:szCs w:val="24"/>
              </w:rPr>
            </w:pPr>
            <w:r>
              <w:rPr>
                <w:spacing w:val="-1"/>
                <w:sz w:val="24"/>
                <w:szCs w:val="24"/>
              </w:rPr>
              <w:t>按照《电磁环境控制限值》（</w:t>
            </w:r>
            <w:r>
              <w:rPr>
                <w:rFonts w:ascii="Times New Roman" w:hAnsi="Times New Roman" w:eastAsia="Times New Roman" w:cs="Times New Roman"/>
                <w:spacing w:val="-1"/>
                <w:sz w:val="24"/>
                <w:szCs w:val="24"/>
              </w:rPr>
              <w:t>GB 8702-2014</w:t>
            </w:r>
            <w:r>
              <w:rPr>
                <w:spacing w:val="-1"/>
                <w:sz w:val="24"/>
                <w:szCs w:val="24"/>
              </w:rPr>
              <w:t>）的限值</w:t>
            </w:r>
            <w:r>
              <w:rPr>
                <w:spacing w:val="-2"/>
                <w:sz w:val="24"/>
                <w:szCs w:val="24"/>
              </w:rPr>
              <w:t>要求。本项目电磁环境</w:t>
            </w:r>
            <w:r>
              <w:rPr>
                <w:spacing w:val="-5"/>
                <w:sz w:val="24"/>
                <w:szCs w:val="24"/>
              </w:rPr>
              <w:t>控制限值见表</w:t>
            </w:r>
            <w:r>
              <w:rPr>
                <w:spacing w:val="-43"/>
                <w:sz w:val="24"/>
                <w:szCs w:val="24"/>
              </w:rPr>
              <w:t xml:space="preserve"> </w:t>
            </w:r>
            <w:r>
              <w:rPr>
                <w:rFonts w:ascii="Times New Roman" w:hAnsi="Times New Roman" w:eastAsia="Times New Roman" w:cs="Times New Roman"/>
                <w:spacing w:val="-5"/>
                <w:sz w:val="24"/>
                <w:szCs w:val="24"/>
              </w:rPr>
              <w:t>3-</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5"/>
                <w:sz w:val="24"/>
                <w:szCs w:val="24"/>
              </w:rPr>
              <w:t>17</w:t>
            </w:r>
            <w:r>
              <w:rPr>
                <w:spacing w:val="-5"/>
                <w:sz w:val="24"/>
                <w:szCs w:val="24"/>
              </w:rPr>
              <w:t>。</w:t>
            </w:r>
          </w:p>
          <w:p w14:paraId="7CA330E1">
            <w:pPr>
              <w:pStyle w:val="6"/>
              <w:spacing w:line="222" w:lineRule="auto"/>
              <w:ind w:left="2698"/>
            </w:pPr>
            <w:r>
              <w:rPr>
                <w:b/>
                <w:bCs/>
                <w:spacing w:val="4"/>
              </w:rPr>
              <w:t>表</w:t>
            </w:r>
            <w:r>
              <w:rPr>
                <w:spacing w:val="-27"/>
              </w:rPr>
              <w:t xml:space="preserve"> </w:t>
            </w:r>
            <w:r>
              <w:rPr>
                <w:rFonts w:ascii="Times New Roman" w:hAnsi="Times New Roman" w:eastAsia="Times New Roman" w:cs="Times New Roman"/>
                <w:b/>
                <w:bCs/>
                <w:spacing w:val="4"/>
              </w:rPr>
              <w:t>3-17</w:t>
            </w:r>
            <w:r>
              <w:rPr>
                <w:rFonts w:ascii="Times New Roman" w:hAnsi="Times New Roman" w:eastAsia="Times New Roman" w:cs="Times New Roman"/>
                <w:b/>
                <w:bCs/>
              </w:rPr>
              <w:t xml:space="preserve">         </w:t>
            </w:r>
            <w:r>
              <w:rPr>
                <w:b/>
                <w:bCs/>
                <w:spacing w:val="4"/>
              </w:rPr>
              <w:t>电磁环境公众曝露控制限值</w:t>
            </w:r>
          </w:p>
          <w:tbl>
            <w:tblPr>
              <w:tblStyle w:val="5"/>
              <w:tblW w:w="8348" w:type="dxa"/>
              <w:tblInd w:w="1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59"/>
              <w:gridCol w:w="2199"/>
              <w:gridCol w:w="2790"/>
            </w:tblGrid>
            <w:tr w14:paraId="05E14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3359" w:type="dxa"/>
                  <w:vAlign w:val="top"/>
                </w:tcPr>
                <w:p w14:paraId="2F0A029C">
                  <w:pPr>
                    <w:pStyle w:val="6"/>
                    <w:spacing w:before="67" w:line="228" w:lineRule="auto"/>
                    <w:ind w:left="1265"/>
                  </w:pPr>
                  <w:r>
                    <w:rPr>
                      <w:spacing w:val="7"/>
                    </w:rPr>
                    <w:t>频率范围</w:t>
                  </w:r>
                </w:p>
              </w:tc>
              <w:tc>
                <w:tcPr>
                  <w:tcW w:w="2199" w:type="dxa"/>
                  <w:vAlign w:val="top"/>
                </w:tcPr>
                <w:p w14:paraId="7EE18374">
                  <w:pPr>
                    <w:pStyle w:val="6"/>
                    <w:spacing w:before="68" w:line="228" w:lineRule="auto"/>
                    <w:ind w:left="248"/>
                  </w:pPr>
                  <w:r>
                    <w:rPr>
                      <w:spacing w:val="3"/>
                    </w:rPr>
                    <w:t>电场强度</w:t>
                  </w:r>
                  <w:r>
                    <w:rPr>
                      <w:rFonts w:ascii="Times New Roman" w:hAnsi="Times New Roman" w:eastAsia="Times New Roman" w:cs="Times New Roman"/>
                      <w:spacing w:val="3"/>
                    </w:rPr>
                    <w:t>E</w:t>
                  </w:r>
                  <w:r>
                    <w:rPr>
                      <w:spacing w:val="3"/>
                    </w:rPr>
                    <w:t>（</w:t>
                  </w:r>
                  <w:r>
                    <w:rPr>
                      <w:rFonts w:ascii="Times New Roman" w:hAnsi="Times New Roman" w:eastAsia="Times New Roman" w:cs="Times New Roman"/>
                      <w:spacing w:val="3"/>
                    </w:rPr>
                    <w:t>V/m</w:t>
                  </w:r>
                  <w:r>
                    <w:rPr>
                      <w:spacing w:val="3"/>
                    </w:rPr>
                    <w:t>）</w:t>
                  </w:r>
                </w:p>
              </w:tc>
              <w:tc>
                <w:tcPr>
                  <w:tcW w:w="2790" w:type="dxa"/>
                  <w:vAlign w:val="top"/>
                </w:tcPr>
                <w:p w14:paraId="06785BF3">
                  <w:pPr>
                    <w:pStyle w:val="6"/>
                    <w:spacing w:before="68" w:line="221" w:lineRule="auto"/>
                    <w:ind w:left="475"/>
                  </w:pPr>
                  <w:r>
                    <w:rPr>
                      <w:spacing w:val="5"/>
                    </w:rPr>
                    <w:t>磁感应强度</w:t>
                  </w:r>
                  <w:r>
                    <w:rPr>
                      <w:rFonts w:ascii="Times New Roman" w:hAnsi="Times New Roman" w:eastAsia="Times New Roman" w:cs="Times New Roman"/>
                      <w:spacing w:val="5"/>
                    </w:rPr>
                    <w:t xml:space="preserve">B  </w:t>
                  </w:r>
                  <w:r>
                    <w:rPr>
                      <w:spacing w:val="5"/>
                    </w:rPr>
                    <w:t>(</w:t>
                  </w:r>
                  <w:r>
                    <w:rPr>
                      <w:rFonts w:ascii="Times New Roman" w:hAnsi="Times New Roman" w:eastAsia="Times New Roman" w:cs="Times New Roman"/>
                      <w:spacing w:val="5"/>
                    </w:rPr>
                    <w:t>μT</w:t>
                  </w:r>
                  <w:r>
                    <w:rPr>
                      <w:spacing w:val="5"/>
                    </w:rPr>
                    <w:t>）</w:t>
                  </w:r>
                </w:p>
              </w:tc>
            </w:tr>
            <w:tr w14:paraId="40440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3359" w:type="dxa"/>
                  <w:vAlign w:val="top"/>
                </w:tcPr>
                <w:p w14:paraId="398E48AD">
                  <w:pPr>
                    <w:spacing w:before="99" w:line="199" w:lineRule="auto"/>
                    <w:ind w:left="911"/>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0.025</w:t>
                  </w:r>
                  <w:r>
                    <w:rPr>
                      <w:rFonts w:ascii="Times New Roman" w:hAnsi="Times New Roman" w:eastAsia="Times New Roman" w:cs="Times New Roman"/>
                      <w:sz w:val="20"/>
                      <w:szCs w:val="20"/>
                    </w:rPr>
                    <w:t>kHz</w:t>
                  </w:r>
                  <w:r>
                    <w:rPr>
                      <w:rFonts w:ascii="Times New Roman" w:hAnsi="Times New Roman" w:eastAsia="Times New Roman" w:cs="Times New Roman"/>
                      <w:spacing w:val="7"/>
                      <w:sz w:val="20"/>
                      <w:szCs w:val="20"/>
                    </w:rPr>
                    <w:t>~1.2</w:t>
                  </w:r>
                  <w:r>
                    <w:rPr>
                      <w:rFonts w:ascii="Times New Roman" w:hAnsi="Times New Roman" w:eastAsia="Times New Roman" w:cs="Times New Roman"/>
                      <w:sz w:val="20"/>
                      <w:szCs w:val="20"/>
                    </w:rPr>
                    <w:t>kHz</w:t>
                  </w:r>
                </w:p>
              </w:tc>
              <w:tc>
                <w:tcPr>
                  <w:tcW w:w="2199" w:type="dxa"/>
                  <w:vAlign w:val="top"/>
                </w:tcPr>
                <w:p w14:paraId="63E6F6F1">
                  <w:pPr>
                    <w:spacing w:before="99" w:line="199" w:lineRule="auto"/>
                    <w:ind w:left="880"/>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200/f</w:t>
                  </w:r>
                </w:p>
              </w:tc>
              <w:tc>
                <w:tcPr>
                  <w:tcW w:w="2790" w:type="dxa"/>
                  <w:vAlign w:val="top"/>
                </w:tcPr>
                <w:p w14:paraId="56D579CC">
                  <w:pPr>
                    <w:spacing w:before="99" w:line="199" w:lineRule="auto"/>
                    <w:ind w:left="1286"/>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5/f</w:t>
                  </w:r>
                </w:p>
              </w:tc>
            </w:tr>
            <w:tr w14:paraId="44C27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3359" w:type="dxa"/>
                  <w:vAlign w:val="top"/>
                </w:tcPr>
                <w:p w14:paraId="64C5125D">
                  <w:pPr>
                    <w:pStyle w:val="6"/>
                    <w:spacing w:before="65" w:line="228" w:lineRule="auto"/>
                    <w:ind w:left="665"/>
                  </w:pPr>
                  <w:r>
                    <w:rPr>
                      <w:spacing w:val="6"/>
                    </w:rPr>
                    <w:t>工作频率</w:t>
                  </w:r>
                  <w:r>
                    <w:rPr>
                      <w:rFonts w:ascii="Times New Roman" w:hAnsi="Times New Roman" w:eastAsia="Times New Roman" w:cs="Times New Roman"/>
                      <w:spacing w:val="6"/>
                    </w:rPr>
                    <w:t>f</w:t>
                  </w:r>
                  <w:r>
                    <w:rPr>
                      <w:spacing w:val="6"/>
                    </w:rPr>
                    <w:t>（</w:t>
                  </w:r>
                  <w:r>
                    <w:rPr>
                      <w:rFonts w:ascii="Times New Roman" w:hAnsi="Times New Roman" w:eastAsia="Times New Roman" w:cs="Times New Roman"/>
                      <w:spacing w:val="6"/>
                    </w:rPr>
                    <w:t>0.05</w:t>
                  </w:r>
                  <w:r>
                    <w:rPr>
                      <w:rFonts w:ascii="Times New Roman" w:hAnsi="Times New Roman" w:eastAsia="Times New Roman" w:cs="Times New Roman"/>
                    </w:rPr>
                    <w:t>kHz</w:t>
                  </w:r>
                  <w:r>
                    <w:rPr>
                      <w:spacing w:val="6"/>
                    </w:rPr>
                    <w:t>）</w:t>
                  </w:r>
                </w:p>
              </w:tc>
              <w:tc>
                <w:tcPr>
                  <w:tcW w:w="2199" w:type="dxa"/>
                  <w:vAlign w:val="top"/>
                </w:tcPr>
                <w:p w14:paraId="4B545A91">
                  <w:pPr>
                    <w:pStyle w:val="6"/>
                    <w:spacing w:before="65"/>
                    <w:ind w:left="202"/>
                  </w:pPr>
                  <w:r>
                    <w:rPr>
                      <w:rFonts w:ascii="Times New Roman" w:hAnsi="Times New Roman" w:eastAsia="Times New Roman" w:cs="Times New Roman"/>
                      <w:spacing w:val="5"/>
                    </w:rPr>
                    <w:t>4000V/m</w:t>
                  </w:r>
                  <w:r>
                    <w:rPr>
                      <w:spacing w:val="5"/>
                    </w:rPr>
                    <w:t>（</w:t>
                  </w:r>
                  <w:r>
                    <w:rPr>
                      <w:rFonts w:ascii="Times New Roman" w:hAnsi="Times New Roman" w:eastAsia="Times New Roman" w:cs="Times New Roman"/>
                      <w:spacing w:val="5"/>
                    </w:rPr>
                    <w:t>4</w:t>
                  </w:r>
                  <w:r>
                    <w:rPr>
                      <w:rFonts w:ascii="Times New Roman" w:hAnsi="Times New Roman" w:eastAsia="Times New Roman" w:cs="Times New Roman"/>
                    </w:rPr>
                    <w:t>kV</w:t>
                  </w:r>
                  <w:r>
                    <w:rPr>
                      <w:rFonts w:ascii="Times New Roman" w:hAnsi="Times New Roman" w:eastAsia="Times New Roman" w:cs="Times New Roman"/>
                      <w:spacing w:val="5"/>
                    </w:rPr>
                    <w:t>/m</w:t>
                  </w:r>
                  <w:r>
                    <w:rPr>
                      <w:spacing w:val="5"/>
                    </w:rPr>
                    <w:t>）</w:t>
                  </w:r>
                </w:p>
              </w:tc>
              <w:tc>
                <w:tcPr>
                  <w:tcW w:w="2790" w:type="dxa"/>
                  <w:vAlign w:val="top"/>
                </w:tcPr>
                <w:p w14:paraId="1FEC2B89">
                  <w:pPr>
                    <w:pStyle w:val="6"/>
                    <w:spacing w:before="66" w:line="221" w:lineRule="auto"/>
                    <w:ind w:left="650"/>
                  </w:pPr>
                  <w:r>
                    <w:rPr>
                      <w:rFonts w:ascii="Times New Roman" w:hAnsi="Times New Roman" w:eastAsia="Times New Roman" w:cs="Times New Roman"/>
                      <w:spacing w:val="1"/>
                    </w:rPr>
                    <w:t>100μT</w:t>
                  </w:r>
                  <w:r>
                    <w:rPr>
                      <w:spacing w:val="1"/>
                    </w:rPr>
                    <w:t>（</w:t>
                  </w:r>
                  <w:r>
                    <w:rPr>
                      <w:rFonts w:ascii="Times New Roman" w:hAnsi="Times New Roman" w:eastAsia="Times New Roman" w:cs="Times New Roman"/>
                      <w:spacing w:val="1"/>
                    </w:rPr>
                    <w:t>0.</w:t>
                  </w:r>
                  <w:r>
                    <w:rPr>
                      <w:rFonts w:ascii="Times New Roman" w:hAnsi="Times New Roman" w:eastAsia="Times New Roman" w:cs="Times New Roman"/>
                      <w:spacing w:val="-25"/>
                    </w:rPr>
                    <w:t xml:space="preserve"> </w:t>
                  </w:r>
                  <w:r>
                    <w:rPr>
                      <w:rFonts w:ascii="Times New Roman" w:hAnsi="Times New Roman" w:eastAsia="Times New Roman" w:cs="Times New Roman"/>
                      <w:spacing w:val="1"/>
                    </w:rPr>
                    <w:t>1</w:t>
                  </w:r>
                  <w:r>
                    <w:rPr>
                      <w:rFonts w:ascii="Times New Roman" w:hAnsi="Times New Roman" w:eastAsia="Times New Roman" w:cs="Times New Roman"/>
                    </w:rPr>
                    <w:t>mT</w:t>
                  </w:r>
                  <w:r>
                    <w:rPr>
                      <w:spacing w:val="1"/>
                    </w:rPr>
                    <w:t>）</w:t>
                  </w:r>
                </w:p>
              </w:tc>
            </w:tr>
            <w:tr w14:paraId="1F3C0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8348" w:type="dxa"/>
                  <w:gridSpan w:val="3"/>
                  <w:vAlign w:val="top"/>
                </w:tcPr>
                <w:p w14:paraId="6D173E6C">
                  <w:pPr>
                    <w:pStyle w:val="6"/>
                    <w:spacing w:before="33" w:line="228" w:lineRule="auto"/>
                    <w:ind w:left="12"/>
                  </w:pPr>
                  <w:r>
                    <w:rPr>
                      <w:spacing w:val="6"/>
                    </w:rPr>
                    <w:t>注：</w:t>
                  </w:r>
                  <w:r>
                    <w:rPr>
                      <w:rFonts w:ascii="Times New Roman" w:hAnsi="Times New Roman" w:eastAsia="Times New Roman" w:cs="Times New Roman"/>
                      <w:spacing w:val="6"/>
                    </w:rPr>
                    <w:t>1</w:t>
                  </w:r>
                  <w:r>
                    <w:rPr>
                      <w:rFonts w:ascii="Times New Roman" w:hAnsi="Times New Roman" w:eastAsia="Times New Roman" w:cs="Times New Roman"/>
                      <w:spacing w:val="-25"/>
                    </w:rPr>
                    <w:t xml:space="preserve"> </w:t>
                  </w:r>
                  <w:r>
                    <w:rPr>
                      <w:spacing w:val="6"/>
                    </w:rPr>
                    <w:t>、频率</w:t>
                  </w:r>
                  <w:r>
                    <w:rPr>
                      <w:rFonts w:ascii="Times New Roman" w:hAnsi="Times New Roman" w:eastAsia="Times New Roman" w:cs="Times New Roman"/>
                      <w:spacing w:val="6"/>
                    </w:rPr>
                    <w:t>f</w:t>
                  </w:r>
                  <w:r>
                    <w:rPr>
                      <w:spacing w:val="6"/>
                    </w:rPr>
                    <w:t>的取值为</w:t>
                  </w:r>
                  <w:r>
                    <w:rPr>
                      <w:rFonts w:ascii="Times New Roman" w:hAnsi="Times New Roman" w:eastAsia="Times New Roman" w:cs="Times New Roman"/>
                      <w:spacing w:val="6"/>
                    </w:rPr>
                    <w:t>0.05</w:t>
                  </w:r>
                  <w:r>
                    <w:rPr>
                      <w:rFonts w:ascii="Times New Roman" w:hAnsi="Times New Roman" w:eastAsia="Times New Roman" w:cs="Times New Roman"/>
                    </w:rPr>
                    <w:t>kHz</w:t>
                  </w:r>
                  <w:r>
                    <w:rPr>
                      <w:spacing w:val="6"/>
                    </w:rPr>
                    <w:t>。</w:t>
                  </w:r>
                </w:p>
                <w:p w14:paraId="79A5B5FF">
                  <w:pPr>
                    <w:pStyle w:val="6"/>
                    <w:spacing w:before="26" w:line="234" w:lineRule="auto"/>
                    <w:ind w:left="12" w:right="57" w:firstLine="415"/>
                  </w:pPr>
                  <w:r>
                    <w:rPr>
                      <w:rFonts w:ascii="Times New Roman" w:hAnsi="Times New Roman" w:eastAsia="Times New Roman" w:cs="Times New Roman"/>
                      <w:spacing w:val="9"/>
                    </w:rPr>
                    <w:t>2</w:t>
                  </w:r>
                  <w:r>
                    <w:rPr>
                      <w:rFonts w:ascii="Times New Roman" w:hAnsi="Times New Roman" w:eastAsia="Times New Roman" w:cs="Times New Roman"/>
                      <w:spacing w:val="-26"/>
                    </w:rPr>
                    <w:t xml:space="preserve"> </w:t>
                  </w:r>
                  <w:r>
                    <w:rPr>
                      <w:spacing w:val="9"/>
                    </w:rPr>
                    <w:t>、架空输电线路线下的耕地、园地、牧草地、畜禽饲养地、养</w:t>
                  </w:r>
                  <w:r>
                    <w:rPr>
                      <w:spacing w:val="8"/>
                    </w:rPr>
                    <w:t>殖水面、道路等场所，其频率</w:t>
                  </w:r>
                  <w:r>
                    <w:rPr>
                      <w:rFonts w:ascii="Times New Roman" w:hAnsi="Times New Roman" w:eastAsia="Times New Roman" w:cs="Times New Roman"/>
                      <w:spacing w:val="8"/>
                    </w:rPr>
                    <w:t>50</w:t>
                  </w:r>
                  <w:r>
                    <w:rPr>
                      <w:rFonts w:ascii="Times New Roman" w:hAnsi="Times New Roman" w:eastAsia="Times New Roman" w:cs="Times New Roman"/>
                    </w:rPr>
                    <w:t>Hz</w:t>
                  </w:r>
                  <w:r>
                    <w:rPr>
                      <w:spacing w:val="8"/>
                    </w:rPr>
                    <w:t>的电场强度控制限值为</w:t>
                  </w:r>
                  <w:r>
                    <w:rPr>
                      <w:rFonts w:ascii="Times New Roman" w:hAnsi="Times New Roman" w:eastAsia="Times New Roman" w:cs="Times New Roman"/>
                      <w:spacing w:val="8"/>
                    </w:rPr>
                    <w:t>10</w:t>
                  </w:r>
                  <w:r>
                    <w:rPr>
                      <w:rFonts w:ascii="Times New Roman" w:hAnsi="Times New Roman" w:eastAsia="Times New Roman" w:cs="Times New Roman"/>
                    </w:rPr>
                    <w:t>kV</w:t>
                  </w:r>
                  <w:r>
                    <w:rPr>
                      <w:rFonts w:ascii="Times New Roman" w:hAnsi="Times New Roman" w:eastAsia="Times New Roman" w:cs="Times New Roman"/>
                      <w:spacing w:val="8"/>
                    </w:rPr>
                    <w:t>/m</w:t>
                  </w:r>
                  <w:r>
                    <w:rPr>
                      <w:rFonts w:ascii="Times New Roman" w:hAnsi="Times New Roman" w:eastAsia="Times New Roman" w:cs="Times New Roman"/>
                      <w:spacing w:val="-10"/>
                    </w:rPr>
                    <w:t xml:space="preserve"> </w:t>
                  </w:r>
                  <w:r>
                    <w:rPr>
                      <w:spacing w:val="8"/>
                    </w:rPr>
                    <w:t>，且应给出警示和防护指示标志。</w:t>
                  </w:r>
                </w:p>
              </w:tc>
            </w:tr>
          </w:tbl>
          <w:p w14:paraId="47BB31F2">
            <w:pPr>
              <w:pStyle w:val="6"/>
              <w:spacing w:before="35" w:line="359" w:lineRule="auto"/>
              <w:ind w:left="114" w:right="106" w:firstLine="497"/>
              <w:rPr>
                <w:sz w:val="24"/>
                <w:szCs w:val="24"/>
              </w:rPr>
            </w:pPr>
            <w:r>
              <w:rPr>
                <w:rFonts w:ascii="Times New Roman" w:hAnsi="Times New Roman" w:eastAsia="Times New Roman" w:cs="Times New Roman"/>
                <w:spacing w:val="1"/>
                <w:sz w:val="24"/>
                <w:szCs w:val="24"/>
              </w:rPr>
              <w:t>1</w:t>
            </w:r>
            <w:r>
              <w:rPr>
                <w:spacing w:val="1"/>
                <w:sz w:val="24"/>
                <w:szCs w:val="24"/>
              </w:rPr>
              <w:t>）工频电场强度限值：以</w:t>
            </w:r>
            <w:r>
              <w:rPr>
                <w:spacing w:val="-55"/>
                <w:sz w:val="24"/>
                <w:szCs w:val="24"/>
              </w:rPr>
              <w:t xml:space="preserve"> </w:t>
            </w:r>
            <w:r>
              <w:rPr>
                <w:rFonts w:ascii="Times New Roman" w:hAnsi="Times New Roman" w:eastAsia="Times New Roman" w:cs="Times New Roman"/>
                <w:spacing w:val="1"/>
                <w:sz w:val="24"/>
                <w:szCs w:val="24"/>
              </w:rPr>
              <w:t>4000V/m</w:t>
            </w:r>
            <w:r>
              <w:rPr>
                <w:spacing w:val="1"/>
                <w:sz w:val="24"/>
                <w:szCs w:val="24"/>
              </w:rPr>
              <w:t>作为工频电场强度评价标准；架空输电</w:t>
            </w:r>
            <w:r>
              <w:rPr>
                <w:spacing w:val="-2"/>
                <w:sz w:val="24"/>
                <w:szCs w:val="24"/>
              </w:rPr>
              <w:t>线路下的耕地、园地、牧草地、畜禽饲养地、养殖水面、道路等场所电场强度控</w:t>
            </w:r>
            <w:r>
              <w:rPr>
                <w:spacing w:val="-4"/>
                <w:sz w:val="24"/>
                <w:szCs w:val="24"/>
              </w:rPr>
              <w:t>制限值小于</w:t>
            </w:r>
            <w:r>
              <w:rPr>
                <w:spacing w:val="-24"/>
                <w:sz w:val="24"/>
                <w:szCs w:val="24"/>
              </w:rPr>
              <w:t xml:space="preserve"> </w:t>
            </w:r>
            <w:r>
              <w:rPr>
                <w:rFonts w:ascii="Times New Roman" w:hAnsi="Times New Roman" w:eastAsia="Times New Roman" w:cs="Times New Roman"/>
                <w:spacing w:val="-4"/>
                <w:sz w:val="24"/>
                <w:szCs w:val="24"/>
              </w:rPr>
              <w:t>10kV/m</w:t>
            </w:r>
            <w:r>
              <w:rPr>
                <w:spacing w:val="-4"/>
                <w:sz w:val="24"/>
                <w:szCs w:val="24"/>
              </w:rPr>
              <w:t>；</w:t>
            </w:r>
          </w:p>
          <w:p w14:paraId="3AD4B4F3">
            <w:pPr>
              <w:pStyle w:val="6"/>
              <w:spacing w:line="212" w:lineRule="auto"/>
              <w:ind w:left="589"/>
              <w:rPr>
                <w:sz w:val="24"/>
                <w:szCs w:val="24"/>
              </w:rPr>
            </w:pPr>
            <w:r>
              <w:rPr>
                <w:rFonts w:ascii="Times New Roman" w:hAnsi="Times New Roman" w:eastAsia="Times New Roman" w:cs="Times New Roman"/>
                <w:spacing w:val="-1"/>
                <w:sz w:val="24"/>
                <w:szCs w:val="24"/>
              </w:rPr>
              <w:t>2</w:t>
            </w:r>
            <w:r>
              <w:rPr>
                <w:spacing w:val="-1"/>
                <w:sz w:val="24"/>
                <w:szCs w:val="24"/>
              </w:rPr>
              <w:t>）工频磁感应强度限值：以</w:t>
            </w:r>
            <w:r>
              <w:rPr>
                <w:spacing w:val="-32"/>
                <w:sz w:val="24"/>
                <w:szCs w:val="24"/>
              </w:rPr>
              <w:t xml:space="preserve"> </w:t>
            </w:r>
            <w:r>
              <w:rPr>
                <w:rFonts w:ascii="Times New Roman" w:hAnsi="Times New Roman" w:eastAsia="Times New Roman" w:cs="Times New Roman"/>
                <w:spacing w:val="-1"/>
                <w:sz w:val="24"/>
                <w:szCs w:val="24"/>
              </w:rPr>
              <w:t xml:space="preserve">100μT </w:t>
            </w:r>
            <w:r>
              <w:rPr>
                <w:spacing w:val="-1"/>
                <w:sz w:val="24"/>
                <w:szCs w:val="24"/>
              </w:rPr>
              <w:t>作为工频磁感应强度评价</w:t>
            </w:r>
            <w:r>
              <w:rPr>
                <w:spacing w:val="-2"/>
                <w:sz w:val="24"/>
                <w:szCs w:val="24"/>
              </w:rPr>
              <w:t>标准。</w:t>
            </w:r>
          </w:p>
        </w:tc>
      </w:tr>
      <w:tr w14:paraId="24164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39" w:hRule="atLeast"/>
        </w:trPr>
        <w:tc>
          <w:tcPr>
            <w:tcW w:w="493" w:type="dxa"/>
            <w:textDirection w:val="tbRlV"/>
            <w:vAlign w:val="top"/>
          </w:tcPr>
          <w:p w14:paraId="0254C9D2">
            <w:pPr>
              <w:pStyle w:val="6"/>
              <w:spacing w:before="122" w:line="209" w:lineRule="auto"/>
              <w:ind w:left="3692"/>
              <w:rPr>
                <w:sz w:val="24"/>
                <w:szCs w:val="24"/>
              </w:rPr>
            </w:pPr>
            <w:r>
              <w:rPr>
                <w:spacing w:val="34"/>
                <w:sz w:val="24"/>
                <w:szCs w:val="24"/>
              </w:rPr>
              <w:t>其他</w:t>
            </w:r>
          </w:p>
        </w:tc>
        <w:tc>
          <w:tcPr>
            <w:tcW w:w="8573" w:type="dxa"/>
            <w:vAlign w:val="top"/>
          </w:tcPr>
          <w:p w14:paraId="3A7760E5">
            <w:pPr>
              <w:pStyle w:val="6"/>
              <w:spacing w:before="37" w:line="220" w:lineRule="auto"/>
              <w:ind w:left="125"/>
              <w:rPr>
                <w:sz w:val="24"/>
                <w:szCs w:val="24"/>
              </w:rPr>
            </w:pPr>
            <w:r>
              <w:rPr>
                <w:b/>
                <w:bCs/>
                <w:spacing w:val="-5"/>
                <w:sz w:val="24"/>
                <w:szCs w:val="24"/>
              </w:rPr>
              <w:t>（</w:t>
            </w:r>
            <w:r>
              <w:rPr>
                <w:rFonts w:ascii="Times New Roman" w:hAnsi="Times New Roman" w:eastAsia="Times New Roman" w:cs="Times New Roman"/>
                <w:b/>
                <w:bCs/>
                <w:spacing w:val="-5"/>
                <w:sz w:val="24"/>
                <w:szCs w:val="24"/>
              </w:rPr>
              <w:t>1</w:t>
            </w:r>
            <w:r>
              <w:rPr>
                <w:b/>
                <w:bCs/>
                <w:spacing w:val="-5"/>
                <w:sz w:val="24"/>
                <w:szCs w:val="24"/>
              </w:rPr>
              <w:t>）总量控制指标</w:t>
            </w:r>
          </w:p>
          <w:p w14:paraId="60CAD909">
            <w:pPr>
              <w:pStyle w:val="6"/>
              <w:spacing w:before="181" w:line="359" w:lineRule="auto"/>
              <w:ind w:left="133" w:right="106" w:firstLine="461"/>
              <w:jc w:val="both"/>
              <w:rPr>
                <w:sz w:val="24"/>
                <w:szCs w:val="24"/>
              </w:rPr>
            </w:pPr>
            <w:r>
              <w:rPr>
                <w:spacing w:val="-4"/>
                <w:sz w:val="24"/>
                <w:szCs w:val="24"/>
              </w:rPr>
              <w:t>本项目</w:t>
            </w:r>
            <w:r>
              <w:rPr>
                <w:spacing w:val="-27"/>
                <w:sz w:val="24"/>
                <w:szCs w:val="24"/>
              </w:rPr>
              <w:t xml:space="preserve"> </w:t>
            </w:r>
            <w:r>
              <w:rPr>
                <w:rFonts w:ascii="Times New Roman" w:hAnsi="Times New Roman" w:eastAsia="Times New Roman" w:cs="Times New Roman"/>
                <w:spacing w:val="-4"/>
                <w:sz w:val="24"/>
                <w:szCs w:val="24"/>
              </w:rPr>
              <w:t xml:space="preserve">110kV </w:t>
            </w:r>
            <w:r>
              <w:rPr>
                <w:spacing w:val="-4"/>
                <w:sz w:val="24"/>
                <w:szCs w:val="24"/>
              </w:rPr>
              <w:t>输变电线路新建工程，项目运行期间主要环境影响因子为工频</w:t>
            </w:r>
            <w:r>
              <w:rPr>
                <w:spacing w:val="-2"/>
                <w:sz w:val="24"/>
                <w:szCs w:val="24"/>
              </w:rPr>
              <w:t>电磁场和噪声，均不属于国家相关环境保护法律法规规定纳入总量控制</w:t>
            </w:r>
            <w:r>
              <w:rPr>
                <w:spacing w:val="-3"/>
                <w:sz w:val="24"/>
                <w:szCs w:val="24"/>
              </w:rPr>
              <w:t>计划管理</w:t>
            </w:r>
            <w:r>
              <w:rPr>
                <w:spacing w:val="-6"/>
                <w:sz w:val="24"/>
                <w:szCs w:val="24"/>
              </w:rPr>
              <w:t>的污染物。</w:t>
            </w:r>
          </w:p>
          <w:p w14:paraId="39CE55D6">
            <w:pPr>
              <w:pStyle w:val="6"/>
              <w:spacing w:line="219" w:lineRule="auto"/>
              <w:ind w:left="125"/>
              <w:rPr>
                <w:sz w:val="24"/>
                <w:szCs w:val="24"/>
              </w:rPr>
            </w:pPr>
            <w:r>
              <w:rPr>
                <w:b/>
                <w:bCs/>
                <w:spacing w:val="-5"/>
                <w:sz w:val="24"/>
                <w:szCs w:val="24"/>
              </w:rPr>
              <w:t>（</w:t>
            </w:r>
            <w:r>
              <w:rPr>
                <w:rFonts w:ascii="Times New Roman" w:hAnsi="Times New Roman" w:eastAsia="Times New Roman" w:cs="Times New Roman"/>
                <w:b/>
                <w:bCs/>
                <w:spacing w:val="-5"/>
                <w:sz w:val="24"/>
                <w:szCs w:val="24"/>
              </w:rPr>
              <w:t>2</w:t>
            </w:r>
            <w:r>
              <w:rPr>
                <w:b/>
                <w:bCs/>
                <w:spacing w:val="-5"/>
                <w:sz w:val="24"/>
                <w:szCs w:val="24"/>
              </w:rPr>
              <w:t>）排污许可申请</w:t>
            </w:r>
          </w:p>
          <w:p w14:paraId="3244FC15">
            <w:pPr>
              <w:pStyle w:val="6"/>
              <w:spacing w:before="179" w:line="360" w:lineRule="auto"/>
              <w:ind w:left="112" w:right="106" w:firstLine="480"/>
              <w:jc w:val="both"/>
              <w:rPr>
                <w:sz w:val="24"/>
                <w:szCs w:val="24"/>
              </w:rPr>
            </w:pPr>
            <w:r>
              <w:rPr>
                <w:spacing w:val="-6"/>
                <w:sz w:val="24"/>
                <w:szCs w:val="24"/>
              </w:rPr>
              <w:t>根据《建设项目环境影响评价分类管理目录》的类别划分，输电线路属于</w:t>
            </w:r>
            <w:r>
              <w:rPr>
                <w:rFonts w:ascii="Times New Roman" w:hAnsi="Times New Roman" w:eastAsia="Times New Roman" w:cs="Times New Roman"/>
                <w:spacing w:val="-6"/>
                <w:sz w:val="24"/>
                <w:szCs w:val="24"/>
              </w:rPr>
              <w:t>“</w:t>
            </w:r>
            <w:r>
              <w:rPr>
                <w:rFonts w:ascii="Times New Roman" w:hAnsi="Times New Roman" w:eastAsia="Times New Roman" w:cs="Times New Roman"/>
                <w:spacing w:val="-17"/>
                <w:sz w:val="24"/>
                <w:szCs w:val="24"/>
              </w:rPr>
              <w:t xml:space="preserve"> </w:t>
            </w:r>
            <w:r>
              <w:rPr>
                <w:spacing w:val="-6"/>
                <w:sz w:val="24"/>
                <w:szCs w:val="24"/>
              </w:rPr>
              <w:t>四</w:t>
            </w:r>
            <w:r>
              <w:rPr>
                <w:spacing w:val="-2"/>
                <w:sz w:val="24"/>
                <w:szCs w:val="24"/>
              </w:rPr>
              <w:t>五十五、核与辐射</w:t>
            </w:r>
            <w:r>
              <w:rPr>
                <w:spacing w:val="-32"/>
                <w:sz w:val="24"/>
                <w:szCs w:val="24"/>
              </w:rPr>
              <w:t xml:space="preserve"> </w:t>
            </w:r>
            <w:r>
              <w:rPr>
                <w:rFonts w:ascii="Times New Roman" w:hAnsi="Times New Roman" w:eastAsia="Times New Roman" w:cs="Times New Roman"/>
                <w:spacing w:val="-2"/>
                <w:sz w:val="24"/>
                <w:szCs w:val="24"/>
              </w:rPr>
              <w:t xml:space="preserve">161 </w:t>
            </w:r>
            <w:r>
              <w:rPr>
                <w:spacing w:val="-2"/>
                <w:sz w:val="24"/>
                <w:szCs w:val="24"/>
              </w:rPr>
              <w:t xml:space="preserve">输变电工程 </w:t>
            </w:r>
            <w:r>
              <w:rPr>
                <w:rFonts w:ascii="Times New Roman" w:hAnsi="Times New Roman" w:eastAsia="Times New Roman" w:cs="Times New Roman"/>
                <w:spacing w:val="-2"/>
                <w:sz w:val="24"/>
                <w:szCs w:val="24"/>
              </w:rPr>
              <w:t>”</w:t>
            </w:r>
            <w:r>
              <w:rPr>
                <w:rFonts w:ascii="Times New Roman" w:hAnsi="Times New Roman" w:eastAsia="Times New Roman" w:cs="Times New Roman"/>
                <w:spacing w:val="-35"/>
                <w:sz w:val="24"/>
                <w:szCs w:val="24"/>
              </w:rPr>
              <w:t xml:space="preserve"> </w:t>
            </w:r>
            <w:r>
              <w:rPr>
                <w:spacing w:val="-2"/>
                <w:sz w:val="24"/>
                <w:szCs w:val="24"/>
              </w:rPr>
              <w:t>。根</w:t>
            </w:r>
            <w:r>
              <w:rPr>
                <w:spacing w:val="-3"/>
                <w:sz w:val="24"/>
                <w:szCs w:val="24"/>
              </w:rPr>
              <w:t>据《固定污染源排污许可分类管理名录（</w:t>
            </w:r>
            <w:r>
              <w:rPr>
                <w:rFonts w:ascii="Times New Roman" w:hAnsi="Times New Roman" w:eastAsia="Times New Roman" w:cs="Times New Roman"/>
                <w:spacing w:val="-3"/>
                <w:sz w:val="24"/>
                <w:szCs w:val="24"/>
              </w:rPr>
              <w:t xml:space="preserve">2019 </w:t>
            </w:r>
            <w:r>
              <w:rPr>
                <w:spacing w:val="-3"/>
                <w:sz w:val="24"/>
                <w:szCs w:val="24"/>
              </w:rPr>
              <w:t>版）》规定，本项目属于本名录未作规定的排污单位，且本项目无水、大</w:t>
            </w:r>
            <w:r>
              <w:rPr>
                <w:spacing w:val="-2"/>
                <w:sz w:val="24"/>
                <w:szCs w:val="24"/>
              </w:rPr>
              <w:t>气污染物排放总量。因此，本项目不需要申请取得排污许可证和实施排污许可登</w:t>
            </w:r>
            <w:r>
              <w:rPr>
                <w:spacing w:val="-3"/>
                <w:sz w:val="24"/>
                <w:szCs w:val="24"/>
              </w:rPr>
              <w:t>记管理。</w:t>
            </w:r>
          </w:p>
        </w:tc>
      </w:tr>
    </w:tbl>
    <w:p w14:paraId="0CD3E8D4">
      <w:pPr>
        <w:rPr>
          <w:rFonts w:ascii="Arial"/>
          <w:sz w:val="21"/>
        </w:rPr>
      </w:pPr>
    </w:p>
    <w:p w14:paraId="3B1567B6">
      <w:pPr>
        <w:rPr>
          <w:rFonts w:ascii="Arial" w:hAnsi="Arial" w:eastAsia="Arial" w:cs="Arial"/>
          <w:sz w:val="21"/>
          <w:szCs w:val="21"/>
        </w:rPr>
        <w:sectPr>
          <w:footerReference r:id="rId95" w:type="default"/>
          <w:pgSz w:w="11907" w:h="16840"/>
          <w:pgMar w:top="400" w:right="1304" w:bottom="1240" w:left="1531" w:header="0" w:footer="1077" w:gutter="0"/>
          <w:cols w:space="720" w:num="1"/>
        </w:sectPr>
      </w:pPr>
    </w:p>
    <w:p w14:paraId="2E93C7AE">
      <w:pPr>
        <w:spacing w:line="319" w:lineRule="auto"/>
        <w:rPr>
          <w:rFonts w:ascii="Arial"/>
          <w:sz w:val="21"/>
        </w:rPr>
      </w:pPr>
    </w:p>
    <w:p w14:paraId="41D64C7B">
      <w:pPr>
        <w:spacing w:line="319" w:lineRule="auto"/>
        <w:rPr>
          <w:rFonts w:ascii="Arial"/>
          <w:sz w:val="21"/>
        </w:rPr>
      </w:pPr>
    </w:p>
    <w:p w14:paraId="4EC95EAB">
      <w:pPr>
        <w:spacing w:line="320" w:lineRule="auto"/>
        <w:rPr>
          <w:rFonts w:ascii="Arial"/>
          <w:sz w:val="21"/>
        </w:rPr>
      </w:pPr>
    </w:p>
    <w:p w14:paraId="32F346B4">
      <w:pPr>
        <w:pStyle w:val="2"/>
        <w:spacing w:before="97" w:line="220" w:lineRule="auto"/>
        <w:ind w:left="3194"/>
        <w:rPr>
          <w:sz w:val="30"/>
          <w:szCs w:val="30"/>
        </w:rPr>
      </w:pPr>
      <w:r>
        <w:rPr>
          <w:b/>
          <w:bCs/>
          <w:spacing w:val="-7"/>
          <w:sz w:val="30"/>
          <w:szCs w:val="30"/>
        </w:rPr>
        <w:t>四、生态环境影响分析</w:t>
      </w:r>
    </w:p>
    <w:p w14:paraId="53F346C8">
      <w:pPr>
        <w:spacing w:before="25"/>
      </w:pPr>
    </w:p>
    <w:tbl>
      <w:tblPr>
        <w:tblStyle w:val="5"/>
        <w:tblW w:w="93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30"/>
      </w:tblGrid>
      <w:tr w14:paraId="4349D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42" w:hRule="atLeast"/>
        </w:trPr>
        <w:tc>
          <w:tcPr>
            <w:tcW w:w="478" w:type="dxa"/>
            <w:tcBorders>
              <w:right w:val="single" w:color="000000" w:sz="2" w:space="0"/>
            </w:tcBorders>
            <w:textDirection w:val="tbRlV"/>
            <w:vAlign w:val="top"/>
          </w:tcPr>
          <w:p w14:paraId="7BBBFD9B">
            <w:pPr>
              <w:pStyle w:val="6"/>
              <w:spacing w:before="119" w:line="209" w:lineRule="auto"/>
              <w:ind w:left="4745"/>
              <w:rPr>
                <w:sz w:val="24"/>
                <w:szCs w:val="24"/>
              </w:rPr>
            </w:pPr>
            <w:r>
              <w:rPr>
                <w:spacing w:val="-1"/>
                <w:sz w:val="24"/>
                <w:szCs w:val="24"/>
              </w:rPr>
              <w:t>施</w:t>
            </w:r>
            <w:r>
              <w:rPr>
                <w:spacing w:val="-41"/>
                <w:sz w:val="24"/>
                <w:szCs w:val="24"/>
              </w:rPr>
              <w:t xml:space="preserve"> </w:t>
            </w:r>
            <w:r>
              <w:rPr>
                <w:spacing w:val="-1"/>
                <w:sz w:val="24"/>
                <w:szCs w:val="24"/>
              </w:rPr>
              <w:t>工</w:t>
            </w:r>
            <w:r>
              <w:rPr>
                <w:spacing w:val="-50"/>
                <w:sz w:val="24"/>
                <w:szCs w:val="24"/>
              </w:rPr>
              <w:t xml:space="preserve"> </w:t>
            </w:r>
            <w:r>
              <w:rPr>
                <w:spacing w:val="-1"/>
                <w:sz w:val="24"/>
                <w:szCs w:val="24"/>
              </w:rPr>
              <w:t>期</w:t>
            </w:r>
            <w:r>
              <w:rPr>
                <w:spacing w:val="-48"/>
                <w:sz w:val="24"/>
                <w:szCs w:val="24"/>
              </w:rPr>
              <w:t xml:space="preserve"> </w:t>
            </w:r>
            <w:r>
              <w:rPr>
                <w:spacing w:val="-1"/>
                <w:sz w:val="24"/>
                <w:szCs w:val="24"/>
              </w:rPr>
              <w:t>生</w:t>
            </w:r>
            <w:r>
              <w:rPr>
                <w:spacing w:val="-47"/>
                <w:sz w:val="24"/>
                <w:szCs w:val="24"/>
              </w:rPr>
              <w:t xml:space="preserve"> </w:t>
            </w:r>
            <w:r>
              <w:rPr>
                <w:spacing w:val="-1"/>
                <w:sz w:val="24"/>
                <w:szCs w:val="24"/>
              </w:rPr>
              <w:t>态</w:t>
            </w:r>
            <w:r>
              <w:rPr>
                <w:spacing w:val="-48"/>
                <w:sz w:val="24"/>
                <w:szCs w:val="24"/>
              </w:rPr>
              <w:t xml:space="preserve"> </w:t>
            </w:r>
            <w:r>
              <w:rPr>
                <w:spacing w:val="-1"/>
                <w:sz w:val="24"/>
                <w:szCs w:val="24"/>
              </w:rPr>
              <w:t>环</w:t>
            </w:r>
            <w:r>
              <w:rPr>
                <w:spacing w:val="-50"/>
                <w:sz w:val="24"/>
                <w:szCs w:val="24"/>
              </w:rPr>
              <w:t xml:space="preserve"> </w:t>
            </w:r>
            <w:r>
              <w:rPr>
                <w:spacing w:val="-1"/>
                <w:sz w:val="24"/>
                <w:szCs w:val="24"/>
              </w:rPr>
              <w:t>境</w:t>
            </w:r>
            <w:r>
              <w:rPr>
                <w:spacing w:val="-48"/>
                <w:sz w:val="24"/>
                <w:szCs w:val="24"/>
              </w:rPr>
              <w:t xml:space="preserve"> </w:t>
            </w:r>
            <w:r>
              <w:rPr>
                <w:spacing w:val="-1"/>
                <w:sz w:val="24"/>
                <w:szCs w:val="24"/>
              </w:rPr>
              <w:t>影</w:t>
            </w:r>
            <w:r>
              <w:rPr>
                <w:spacing w:val="-48"/>
                <w:sz w:val="24"/>
                <w:szCs w:val="24"/>
              </w:rPr>
              <w:t xml:space="preserve"> </w:t>
            </w:r>
            <w:r>
              <w:rPr>
                <w:spacing w:val="-1"/>
                <w:sz w:val="24"/>
                <w:szCs w:val="24"/>
              </w:rPr>
              <w:t>响</w:t>
            </w:r>
            <w:r>
              <w:rPr>
                <w:spacing w:val="-50"/>
                <w:sz w:val="24"/>
                <w:szCs w:val="24"/>
              </w:rPr>
              <w:t xml:space="preserve"> </w:t>
            </w:r>
            <w:r>
              <w:rPr>
                <w:spacing w:val="-1"/>
                <w:sz w:val="24"/>
                <w:szCs w:val="24"/>
              </w:rPr>
              <w:t>分</w:t>
            </w:r>
            <w:r>
              <w:rPr>
                <w:spacing w:val="-48"/>
                <w:sz w:val="24"/>
                <w:szCs w:val="24"/>
              </w:rPr>
              <w:t xml:space="preserve"> </w:t>
            </w:r>
            <w:r>
              <w:rPr>
                <w:spacing w:val="-1"/>
                <w:sz w:val="24"/>
                <w:szCs w:val="24"/>
              </w:rPr>
              <w:t>析</w:t>
            </w:r>
          </w:p>
        </w:tc>
        <w:tc>
          <w:tcPr>
            <w:tcW w:w="8830" w:type="dxa"/>
            <w:tcBorders>
              <w:left w:val="single" w:color="000000" w:sz="2" w:space="0"/>
            </w:tcBorders>
            <w:vAlign w:val="top"/>
          </w:tcPr>
          <w:p w14:paraId="198E0975">
            <w:pPr>
              <w:pStyle w:val="6"/>
              <w:spacing w:before="41" w:line="219" w:lineRule="auto"/>
              <w:ind w:left="111"/>
              <w:rPr>
                <w:sz w:val="24"/>
                <w:szCs w:val="24"/>
              </w:rPr>
            </w:pPr>
            <w:r>
              <w:rPr>
                <w:b/>
                <w:bCs/>
                <w:spacing w:val="-3"/>
                <w:sz w:val="24"/>
                <w:szCs w:val="24"/>
              </w:rPr>
              <w:t>一、施工期环境影响因素分析</w:t>
            </w:r>
          </w:p>
          <w:p w14:paraId="2FEAFDAE">
            <w:pPr>
              <w:pStyle w:val="6"/>
              <w:spacing w:before="180" w:line="219" w:lineRule="auto"/>
              <w:ind w:left="594"/>
              <w:rPr>
                <w:sz w:val="24"/>
                <w:szCs w:val="24"/>
              </w:rPr>
            </w:pPr>
            <w:r>
              <w:rPr>
                <w:rFonts w:ascii="Times New Roman" w:hAnsi="Times New Roman" w:eastAsia="Times New Roman" w:cs="Times New Roman"/>
                <w:b/>
                <w:bCs/>
                <w:spacing w:val="-7"/>
                <w:sz w:val="24"/>
                <w:szCs w:val="24"/>
              </w:rPr>
              <w:t>1</w:t>
            </w:r>
            <w:r>
              <w:rPr>
                <w:rFonts w:ascii="Times New Roman" w:hAnsi="Times New Roman" w:eastAsia="Times New Roman" w:cs="Times New Roman"/>
                <w:b/>
                <w:bCs/>
                <w:spacing w:val="-34"/>
                <w:sz w:val="24"/>
                <w:szCs w:val="24"/>
              </w:rPr>
              <w:t xml:space="preserve"> </w:t>
            </w:r>
            <w:r>
              <w:rPr>
                <w:b/>
                <w:bCs/>
                <w:spacing w:val="-7"/>
                <w:sz w:val="24"/>
                <w:szCs w:val="24"/>
              </w:rPr>
              <w:t>、产污环节分析</w:t>
            </w:r>
          </w:p>
          <w:p w14:paraId="67EC801A">
            <w:pPr>
              <w:pStyle w:val="6"/>
              <w:spacing w:before="183" w:line="219" w:lineRule="auto"/>
              <w:ind w:left="586"/>
              <w:rPr>
                <w:sz w:val="24"/>
                <w:szCs w:val="24"/>
              </w:rPr>
            </w:pPr>
            <w:r>
              <w:rPr>
                <w:spacing w:val="-1"/>
                <w:sz w:val="24"/>
                <w:szCs w:val="24"/>
              </w:rPr>
              <w:t>施工期工艺流程及产污节点图如下所示：</w:t>
            </w:r>
          </w:p>
          <w:p w14:paraId="686A15DC">
            <w:pPr>
              <w:spacing w:before="145" w:line="2323" w:lineRule="exact"/>
              <w:ind w:firstLine="405"/>
            </w:pPr>
            <w:r>
              <w:rPr>
                <w:position w:val="-46"/>
              </w:rPr>
              <w:drawing>
                <wp:inline distT="0" distB="0" distL="0" distR="0">
                  <wp:extent cx="5083810" cy="1475105"/>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260"/>
                          <a:stretch>
                            <a:fillRect/>
                          </a:stretch>
                        </pic:blipFill>
                        <pic:spPr>
                          <a:xfrm>
                            <a:off x="0" y="0"/>
                            <a:ext cx="5084063" cy="1475231"/>
                          </a:xfrm>
                          <a:prstGeom prst="rect">
                            <a:avLst/>
                          </a:prstGeom>
                        </pic:spPr>
                      </pic:pic>
                    </a:graphicData>
                  </a:graphic>
                </wp:inline>
              </w:drawing>
            </w:r>
          </w:p>
          <w:p w14:paraId="79F64183">
            <w:pPr>
              <w:pStyle w:val="6"/>
              <w:spacing w:before="215" w:line="228" w:lineRule="auto"/>
              <w:ind w:left="2832"/>
            </w:pPr>
            <w:r>
              <w:rPr>
                <w:b/>
                <w:bCs/>
                <w:spacing w:val="5"/>
              </w:rPr>
              <w:t>图</w:t>
            </w:r>
            <w:r>
              <w:rPr>
                <w:spacing w:val="-42"/>
              </w:rPr>
              <w:t xml:space="preserve"> </w:t>
            </w:r>
            <w:r>
              <w:rPr>
                <w:rFonts w:ascii="Times New Roman" w:hAnsi="Times New Roman" w:eastAsia="Times New Roman" w:cs="Times New Roman"/>
                <w:b/>
                <w:bCs/>
                <w:spacing w:val="5"/>
              </w:rPr>
              <w:t xml:space="preserve">4-1      </w:t>
            </w:r>
            <w:r>
              <w:rPr>
                <w:b/>
                <w:bCs/>
                <w:spacing w:val="5"/>
              </w:rPr>
              <w:t>变电站施工工艺流程及产污节点</w:t>
            </w:r>
          </w:p>
          <w:p w14:paraId="5D7AC7AD">
            <w:pPr>
              <w:spacing w:before="34" w:line="1527" w:lineRule="exact"/>
              <w:ind w:firstLine="455"/>
            </w:pPr>
            <w:r>
              <w:rPr>
                <w:position w:val="-30"/>
              </w:rPr>
              <w:drawing>
                <wp:inline distT="0" distB="0" distL="0" distR="0">
                  <wp:extent cx="5071745" cy="969010"/>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261"/>
                          <a:stretch>
                            <a:fillRect/>
                          </a:stretch>
                        </pic:blipFill>
                        <pic:spPr>
                          <a:xfrm>
                            <a:off x="0" y="0"/>
                            <a:ext cx="5071991" cy="969587"/>
                          </a:xfrm>
                          <a:prstGeom prst="rect">
                            <a:avLst/>
                          </a:prstGeom>
                        </pic:spPr>
                      </pic:pic>
                    </a:graphicData>
                  </a:graphic>
                </wp:inline>
              </w:drawing>
            </w:r>
          </w:p>
          <w:p w14:paraId="76E545AE">
            <w:pPr>
              <w:pStyle w:val="6"/>
              <w:spacing w:before="194" w:line="359" w:lineRule="auto"/>
              <w:ind w:left="584" w:right="2056" w:firstLine="1498"/>
              <w:rPr>
                <w:sz w:val="24"/>
                <w:szCs w:val="24"/>
              </w:rPr>
            </w:pPr>
            <w:r>
              <w:rPr>
                <w:b/>
                <w:bCs/>
                <w:spacing w:val="-3"/>
                <w:sz w:val="24"/>
                <w:szCs w:val="24"/>
              </w:rPr>
              <w:t>图</w:t>
            </w:r>
            <w:r>
              <w:rPr>
                <w:spacing w:val="-52"/>
                <w:sz w:val="24"/>
                <w:szCs w:val="24"/>
              </w:rPr>
              <w:t xml:space="preserve"> </w:t>
            </w:r>
            <w:r>
              <w:rPr>
                <w:rFonts w:ascii="Times New Roman" w:hAnsi="Times New Roman" w:eastAsia="Times New Roman" w:cs="Times New Roman"/>
                <w:b/>
                <w:bCs/>
                <w:spacing w:val="-3"/>
                <w:sz w:val="24"/>
                <w:szCs w:val="24"/>
              </w:rPr>
              <w:t xml:space="preserve">4-2    </w:t>
            </w:r>
            <w:r>
              <w:rPr>
                <w:b/>
                <w:bCs/>
                <w:spacing w:val="-3"/>
                <w:sz w:val="24"/>
                <w:szCs w:val="24"/>
              </w:rPr>
              <w:t>项目施工工艺流程及产污节点示意图</w:t>
            </w:r>
            <w:r>
              <w:rPr>
                <w:rFonts w:ascii="Times New Roman" w:hAnsi="Times New Roman" w:eastAsia="Times New Roman" w:cs="Times New Roman"/>
                <w:b/>
                <w:bCs/>
                <w:spacing w:val="-6"/>
                <w:sz w:val="24"/>
                <w:szCs w:val="24"/>
              </w:rPr>
              <w:t>2</w:t>
            </w:r>
            <w:r>
              <w:rPr>
                <w:rFonts w:ascii="Times New Roman" w:hAnsi="Times New Roman" w:eastAsia="Times New Roman" w:cs="Times New Roman"/>
                <w:b/>
                <w:bCs/>
                <w:spacing w:val="-32"/>
                <w:sz w:val="24"/>
                <w:szCs w:val="24"/>
              </w:rPr>
              <w:t xml:space="preserve"> </w:t>
            </w:r>
            <w:r>
              <w:rPr>
                <w:b/>
                <w:bCs/>
                <w:spacing w:val="-6"/>
                <w:sz w:val="24"/>
                <w:szCs w:val="24"/>
              </w:rPr>
              <w:t>、环境影响因素</w:t>
            </w:r>
          </w:p>
          <w:p w14:paraId="6C91D62B">
            <w:pPr>
              <w:pStyle w:val="6"/>
              <w:spacing w:line="219" w:lineRule="auto"/>
              <w:ind w:left="591"/>
              <w:rPr>
                <w:sz w:val="24"/>
                <w:szCs w:val="24"/>
              </w:rPr>
            </w:pPr>
            <w:r>
              <w:rPr>
                <w:spacing w:val="-3"/>
                <w:sz w:val="24"/>
                <w:szCs w:val="24"/>
              </w:rPr>
              <w:t>项目施工期的主要污染工序见表</w:t>
            </w:r>
            <w:r>
              <w:rPr>
                <w:spacing w:val="-49"/>
                <w:sz w:val="24"/>
                <w:szCs w:val="24"/>
              </w:rPr>
              <w:t xml:space="preserve"> </w:t>
            </w:r>
            <w:r>
              <w:rPr>
                <w:rFonts w:ascii="Times New Roman" w:hAnsi="Times New Roman" w:eastAsia="Times New Roman" w:cs="Times New Roman"/>
                <w:spacing w:val="-3"/>
                <w:sz w:val="24"/>
                <w:szCs w:val="24"/>
              </w:rPr>
              <w:t>4-</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w:t>
            </w:r>
            <w:r>
              <w:rPr>
                <w:spacing w:val="-3"/>
                <w:sz w:val="24"/>
                <w:szCs w:val="24"/>
              </w:rPr>
              <w:t>。</w:t>
            </w:r>
          </w:p>
          <w:p w14:paraId="297984EE">
            <w:pPr>
              <w:pStyle w:val="6"/>
              <w:spacing w:before="179" w:line="223" w:lineRule="auto"/>
              <w:ind w:left="2563"/>
            </w:pPr>
            <w:r>
              <w:rPr>
                <w:b/>
                <w:bCs/>
                <w:spacing w:val="6"/>
              </w:rPr>
              <w:t>表</w:t>
            </w:r>
            <w:r>
              <w:rPr>
                <w:spacing w:val="-38"/>
              </w:rPr>
              <w:t xml:space="preserve"> </w:t>
            </w:r>
            <w:r>
              <w:rPr>
                <w:rFonts w:ascii="Times New Roman" w:hAnsi="Times New Roman" w:eastAsia="Times New Roman" w:cs="Times New Roman"/>
                <w:b/>
                <w:bCs/>
                <w:spacing w:val="6"/>
              </w:rPr>
              <w:t xml:space="preserve">4-1    </w:t>
            </w:r>
            <w:r>
              <w:rPr>
                <w:b/>
                <w:bCs/>
                <w:spacing w:val="6"/>
              </w:rPr>
              <w:t>项目施工期主要污染工序一览表</w:t>
            </w:r>
          </w:p>
          <w:tbl>
            <w:tblPr>
              <w:tblStyle w:val="5"/>
              <w:tblW w:w="8611" w:type="dxa"/>
              <w:tblInd w:w="10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53"/>
              <w:gridCol w:w="3213"/>
              <w:gridCol w:w="3145"/>
            </w:tblGrid>
            <w:tr w14:paraId="3F2D1A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2253" w:type="dxa"/>
                  <w:vAlign w:val="top"/>
                </w:tcPr>
                <w:p w14:paraId="486E3359">
                  <w:pPr>
                    <w:pStyle w:val="6"/>
                    <w:spacing w:before="35" w:line="217" w:lineRule="auto"/>
                    <w:ind w:left="715"/>
                  </w:pPr>
                  <w:r>
                    <w:rPr>
                      <w:spacing w:val="6"/>
                    </w:rPr>
                    <w:t>污染类别</w:t>
                  </w:r>
                </w:p>
              </w:tc>
              <w:tc>
                <w:tcPr>
                  <w:tcW w:w="3213" w:type="dxa"/>
                  <w:vAlign w:val="top"/>
                </w:tcPr>
                <w:p w14:paraId="1E92309E">
                  <w:pPr>
                    <w:pStyle w:val="6"/>
                    <w:spacing w:before="35" w:line="217" w:lineRule="auto"/>
                    <w:ind w:left="1298"/>
                  </w:pPr>
                  <w:r>
                    <w:rPr>
                      <w:spacing w:val="6"/>
                    </w:rPr>
                    <w:t>污染源</w:t>
                  </w:r>
                </w:p>
              </w:tc>
              <w:tc>
                <w:tcPr>
                  <w:tcW w:w="3145" w:type="dxa"/>
                  <w:vAlign w:val="top"/>
                </w:tcPr>
                <w:p w14:paraId="7FD3C01E">
                  <w:pPr>
                    <w:pStyle w:val="6"/>
                    <w:spacing w:before="35" w:line="217" w:lineRule="auto"/>
                    <w:ind w:left="949"/>
                  </w:pPr>
                  <w:r>
                    <w:rPr>
                      <w:spacing w:val="7"/>
                    </w:rPr>
                    <w:t>主要污染因子</w:t>
                  </w:r>
                </w:p>
              </w:tc>
            </w:tr>
            <w:tr w14:paraId="1C7B5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253" w:type="dxa"/>
                  <w:vMerge w:val="restart"/>
                  <w:tcBorders>
                    <w:bottom w:val="nil"/>
                  </w:tcBorders>
                  <w:vAlign w:val="top"/>
                </w:tcPr>
                <w:p w14:paraId="15FFBD42">
                  <w:pPr>
                    <w:pStyle w:val="6"/>
                    <w:spacing w:before="173" w:line="228" w:lineRule="auto"/>
                    <w:ind w:left="921"/>
                  </w:pPr>
                  <w:r>
                    <w:rPr>
                      <w:spacing w:val="5"/>
                    </w:rPr>
                    <w:t>废气</w:t>
                  </w:r>
                </w:p>
              </w:tc>
              <w:tc>
                <w:tcPr>
                  <w:tcW w:w="3213" w:type="dxa"/>
                  <w:vAlign w:val="top"/>
                </w:tcPr>
                <w:p w14:paraId="011FEA8F">
                  <w:pPr>
                    <w:pStyle w:val="6"/>
                    <w:spacing w:before="33" w:line="216" w:lineRule="auto"/>
                    <w:ind w:left="1190"/>
                  </w:pPr>
                  <w:r>
                    <w:rPr>
                      <w:spacing w:val="7"/>
                    </w:rPr>
                    <w:t>施工作业</w:t>
                  </w:r>
                </w:p>
              </w:tc>
              <w:tc>
                <w:tcPr>
                  <w:tcW w:w="3145" w:type="dxa"/>
                  <w:vAlign w:val="top"/>
                </w:tcPr>
                <w:p w14:paraId="6D127DEE">
                  <w:pPr>
                    <w:pStyle w:val="6"/>
                    <w:spacing w:before="33" w:line="216" w:lineRule="auto"/>
                    <w:ind w:left="1366"/>
                  </w:pPr>
                  <w:r>
                    <w:rPr>
                      <w:spacing w:val="5"/>
                    </w:rPr>
                    <w:t>扬尘</w:t>
                  </w:r>
                </w:p>
              </w:tc>
            </w:tr>
            <w:tr w14:paraId="00EF1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2253" w:type="dxa"/>
                  <w:vMerge w:val="continue"/>
                  <w:tcBorders>
                    <w:top w:val="nil"/>
                  </w:tcBorders>
                  <w:vAlign w:val="top"/>
                </w:tcPr>
                <w:p w14:paraId="49A17F9D">
                  <w:pPr>
                    <w:rPr>
                      <w:rFonts w:ascii="Arial"/>
                      <w:sz w:val="21"/>
                    </w:rPr>
                  </w:pPr>
                </w:p>
              </w:tc>
              <w:tc>
                <w:tcPr>
                  <w:tcW w:w="3213" w:type="dxa"/>
                  <w:vAlign w:val="top"/>
                </w:tcPr>
                <w:p w14:paraId="30A87D82">
                  <w:pPr>
                    <w:pStyle w:val="6"/>
                    <w:spacing w:before="31" w:line="216" w:lineRule="auto"/>
                    <w:ind w:left="665"/>
                  </w:pPr>
                  <w:r>
                    <w:rPr>
                      <w:spacing w:val="9"/>
                    </w:rPr>
                    <w:t>施工机械及运输车辆</w:t>
                  </w:r>
                </w:p>
              </w:tc>
              <w:tc>
                <w:tcPr>
                  <w:tcW w:w="3145" w:type="dxa"/>
                  <w:vAlign w:val="top"/>
                </w:tcPr>
                <w:p w14:paraId="7D9A6913">
                  <w:pPr>
                    <w:pStyle w:val="6"/>
                    <w:spacing w:before="31" w:line="216" w:lineRule="auto"/>
                    <w:ind w:left="691"/>
                  </w:pPr>
                  <w:r>
                    <w:rPr>
                      <w:rFonts w:ascii="Times New Roman" w:hAnsi="Times New Roman" w:eastAsia="Times New Roman" w:cs="Times New Roman"/>
                    </w:rPr>
                    <w:t>NOx</w:t>
                  </w:r>
                  <w:r>
                    <w:rPr>
                      <w:rFonts w:ascii="Times New Roman" w:hAnsi="Times New Roman" w:eastAsia="Times New Roman" w:cs="Times New Roman"/>
                      <w:spacing w:val="-26"/>
                    </w:rPr>
                    <w:t xml:space="preserve"> </w:t>
                  </w:r>
                  <w:r>
                    <w:rPr>
                      <w:spacing w:val="7"/>
                    </w:rPr>
                    <w:t>、</w:t>
                  </w:r>
                  <w:r>
                    <w:rPr>
                      <w:rFonts w:ascii="Times New Roman" w:hAnsi="Times New Roman" w:eastAsia="Times New Roman" w:cs="Times New Roman"/>
                    </w:rPr>
                    <w:t>CO</w:t>
                  </w:r>
                  <w:r>
                    <w:rPr>
                      <w:rFonts w:ascii="Times New Roman" w:hAnsi="Times New Roman" w:eastAsia="Times New Roman" w:cs="Times New Roman"/>
                      <w:spacing w:val="-27"/>
                    </w:rPr>
                    <w:t xml:space="preserve"> </w:t>
                  </w:r>
                  <w:r>
                    <w:rPr>
                      <w:spacing w:val="7"/>
                    </w:rPr>
                    <w:t>、烃类等</w:t>
                  </w:r>
                </w:p>
              </w:tc>
            </w:tr>
            <w:tr w14:paraId="32869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253" w:type="dxa"/>
                  <w:vMerge w:val="restart"/>
                  <w:tcBorders>
                    <w:bottom w:val="nil"/>
                  </w:tcBorders>
                  <w:vAlign w:val="top"/>
                </w:tcPr>
                <w:p w14:paraId="02176B46">
                  <w:pPr>
                    <w:spacing w:line="248" w:lineRule="auto"/>
                    <w:rPr>
                      <w:rFonts w:ascii="Arial"/>
                      <w:sz w:val="21"/>
                    </w:rPr>
                  </w:pPr>
                </w:p>
                <w:p w14:paraId="4269877C">
                  <w:pPr>
                    <w:pStyle w:val="6"/>
                    <w:spacing w:before="65" w:line="228" w:lineRule="auto"/>
                    <w:ind w:left="921"/>
                  </w:pPr>
                  <w:r>
                    <w:rPr>
                      <w:spacing w:val="5"/>
                    </w:rPr>
                    <w:t>废水</w:t>
                  </w:r>
                </w:p>
              </w:tc>
              <w:tc>
                <w:tcPr>
                  <w:tcW w:w="3213" w:type="dxa"/>
                  <w:vAlign w:val="top"/>
                </w:tcPr>
                <w:p w14:paraId="1E29C959">
                  <w:pPr>
                    <w:pStyle w:val="6"/>
                    <w:spacing w:before="34" w:line="215" w:lineRule="auto"/>
                    <w:ind w:left="1190"/>
                  </w:pPr>
                  <w:r>
                    <w:rPr>
                      <w:spacing w:val="7"/>
                    </w:rPr>
                    <w:t>施工废水</w:t>
                  </w:r>
                </w:p>
              </w:tc>
              <w:tc>
                <w:tcPr>
                  <w:tcW w:w="3145" w:type="dxa"/>
                  <w:vAlign w:val="top"/>
                </w:tcPr>
                <w:p w14:paraId="1B65E7B5">
                  <w:pPr>
                    <w:spacing w:before="70" w:line="195" w:lineRule="auto"/>
                    <w:ind w:left="14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SS</w:t>
                  </w:r>
                </w:p>
              </w:tc>
            </w:tr>
            <w:tr w14:paraId="0D7E6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253" w:type="dxa"/>
                  <w:vMerge w:val="continue"/>
                  <w:tcBorders>
                    <w:top w:val="nil"/>
                    <w:bottom w:val="nil"/>
                  </w:tcBorders>
                  <w:vAlign w:val="top"/>
                </w:tcPr>
                <w:p w14:paraId="7B26418C">
                  <w:pPr>
                    <w:rPr>
                      <w:rFonts w:ascii="Arial"/>
                      <w:sz w:val="21"/>
                    </w:rPr>
                  </w:pPr>
                </w:p>
              </w:tc>
              <w:tc>
                <w:tcPr>
                  <w:tcW w:w="3213" w:type="dxa"/>
                  <w:vAlign w:val="top"/>
                </w:tcPr>
                <w:p w14:paraId="17285A9E">
                  <w:pPr>
                    <w:pStyle w:val="6"/>
                    <w:spacing w:before="33" w:line="216" w:lineRule="auto"/>
                    <w:ind w:left="981"/>
                  </w:pPr>
                  <w:r>
                    <w:rPr>
                      <w:spacing w:val="8"/>
                    </w:rPr>
                    <w:t>施工生活污水</w:t>
                  </w:r>
                </w:p>
              </w:tc>
              <w:tc>
                <w:tcPr>
                  <w:tcW w:w="3145" w:type="dxa"/>
                  <w:vAlign w:val="top"/>
                </w:tcPr>
                <w:p w14:paraId="15F129CA">
                  <w:pPr>
                    <w:pStyle w:val="6"/>
                    <w:spacing w:before="33" w:line="216" w:lineRule="auto"/>
                    <w:ind w:left="601"/>
                  </w:pPr>
                  <w:r>
                    <w:rPr>
                      <w:rFonts w:ascii="Times New Roman" w:hAnsi="Times New Roman" w:eastAsia="Times New Roman" w:cs="Times New Roman"/>
                    </w:rPr>
                    <w:t>COD</w:t>
                  </w:r>
                  <w:r>
                    <w:rPr>
                      <w:rFonts w:ascii="Times New Roman" w:hAnsi="Times New Roman" w:eastAsia="Times New Roman" w:cs="Times New Roman"/>
                      <w:spacing w:val="-24"/>
                    </w:rPr>
                    <w:t xml:space="preserve"> </w:t>
                  </w:r>
                  <w:r>
                    <w:rPr>
                      <w:spacing w:val="3"/>
                    </w:rPr>
                    <w:t>、</w:t>
                  </w:r>
                  <w:r>
                    <w:rPr>
                      <w:rFonts w:ascii="Times New Roman" w:hAnsi="Times New Roman" w:eastAsia="Times New Roman" w:cs="Times New Roman"/>
                    </w:rPr>
                    <w:t>NH</w:t>
                  </w:r>
                  <w:r>
                    <w:rPr>
                      <w:rFonts w:ascii="Times New Roman" w:hAnsi="Times New Roman" w:eastAsia="Times New Roman" w:cs="Times New Roman"/>
                      <w:spacing w:val="3"/>
                      <w:position w:val="-1"/>
                      <w:sz w:val="13"/>
                      <w:szCs w:val="13"/>
                    </w:rPr>
                    <w:t>3</w:t>
                  </w:r>
                  <w:r>
                    <w:rPr>
                      <w:rFonts w:ascii="Times New Roman" w:hAnsi="Times New Roman" w:eastAsia="Times New Roman" w:cs="Times New Roman"/>
                      <w:spacing w:val="3"/>
                    </w:rPr>
                    <w:t>-N</w:t>
                  </w:r>
                  <w:r>
                    <w:rPr>
                      <w:rFonts w:ascii="Times New Roman" w:hAnsi="Times New Roman" w:eastAsia="Times New Roman" w:cs="Times New Roman"/>
                      <w:spacing w:val="-24"/>
                    </w:rPr>
                    <w:t xml:space="preserve"> </w:t>
                  </w:r>
                  <w:r>
                    <w:rPr>
                      <w:spacing w:val="3"/>
                    </w:rPr>
                    <w:t>、</w:t>
                  </w:r>
                  <w:r>
                    <w:rPr>
                      <w:rFonts w:ascii="Times New Roman" w:hAnsi="Times New Roman" w:eastAsia="Times New Roman" w:cs="Times New Roman"/>
                    </w:rPr>
                    <w:t>SS</w:t>
                  </w:r>
                  <w:r>
                    <w:rPr>
                      <w:rFonts w:ascii="Times New Roman" w:hAnsi="Times New Roman" w:eastAsia="Times New Roman" w:cs="Times New Roman"/>
                      <w:spacing w:val="14"/>
                    </w:rPr>
                    <w:t xml:space="preserve"> </w:t>
                  </w:r>
                  <w:r>
                    <w:rPr>
                      <w:spacing w:val="3"/>
                    </w:rPr>
                    <w:t>等</w:t>
                  </w:r>
                </w:p>
              </w:tc>
            </w:tr>
            <w:tr w14:paraId="61372C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253" w:type="dxa"/>
                  <w:vMerge w:val="continue"/>
                  <w:tcBorders>
                    <w:top w:val="nil"/>
                  </w:tcBorders>
                  <w:vAlign w:val="top"/>
                </w:tcPr>
                <w:p w14:paraId="7AC44E3F">
                  <w:pPr>
                    <w:rPr>
                      <w:rFonts w:ascii="Arial"/>
                      <w:sz w:val="21"/>
                    </w:rPr>
                  </w:pPr>
                </w:p>
              </w:tc>
              <w:tc>
                <w:tcPr>
                  <w:tcW w:w="3213" w:type="dxa"/>
                  <w:vAlign w:val="top"/>
                </w:tcPr>
                <w:p w14:paraId="55BDEF9D">
                  <w:pPr>
                    <w:pStyle w:val="6"/>
                    <w:spacing w:before="34" w:line="215" w:lineRule="auto"/>
                    <w:ind w:left="990"/>
                  </w:pPr>
                  <w:r>
                    <w:rPr>
                      <w:spacing w:val="6"/>
                    </w:rPr>
                    <w:t>雨季地表径流</w:t>
                  </w:r>
                </w:p>
              </w:tc>
              <w:tc>
                <w:tcPr>
                  <w:tcW w:w="3145" w:type="dxa"/>
                  <w:vAlign w:val="top"/>
                </w:tcPr>
                <w:p w14:paraId="322DD745">
                  <w:pPr>
                    <w:pStyle w:val="6"/>
                    <w:spacing w:before="34" w:line="215" w:lineRule="auto"/>
                    <w:ind w:left="1333"/>
                  </w:pPr>
                  <w:r>
                    <w:rPr>
                      <w:rFonts w:ascii="Times New Roman" w:hAnsi="Times New Roman" w:eastAsia="Times New Roman" w:cs="Times New Roman"/>
                      <w:spacing w:val="-2"/>
                    </w:rPr>
                    <w:t>SS</w:t>
                  </w:r>
                  <w:r>
                    <w:rPr>
                      <w:rFonts w:ascii="Times New Roman" w:hAnsi="Times New Roman" w:eastAsia="Times New Roman" w:cs="Times New Roman"/>
                      <w:spacing w:val="17"/>
                    </w:rPr>
                    <w:t xml:space="preserve"> </w:t>
                  </w:r>
                  <w:r>
                    <w:rPr>
                      <w:spacing w:val="-2"/>
                    </w:rPr>
                    <w:t>等</w:t>
                  </w:r>
                </w:p>
              </w:tc>
            </w:tr>
            <w:tr w14:paraId="69B3C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253" w:type="dxa"/>
                  <w:vMerge w:val="restart"/>
                  <w:tcBorders>
                    <w:bottom w:val="nil"/>
                  </w:tcBorders>
                  <w:vAlign w:val="top"/>
                </w:tcPr>
                <w:p w14:paraId="6D9685F9">
                  <w:pPr>
                    <w:pStyle w:val="6"/>
                    <w:spacing w:before="175" w:line="228" w:lineRule="auto"/>
                    <w:ind w:left="931"/>
                  </w:pPr>
                  <w:r>
                    <w:rPr>
                      <w:spacing w:val="-1"/>
                    </w:rPr>
                    <w:t>噪声</w:t>
                  </w:r>
                </w:p>
              </w:tc>
              <w:tc>
                <w:tcPr>
                  <w:tcW w:w="3213" w:type="dxa"/>
                  <w:vAlign w:val="top"/>
                </w:tcPr>
                <w:p w14:paraId="7F49D171">
                  <w:pPr>
                    <w:pStyle w:val="6"/>
                    <w:spacing w:before="33" w:line="216" w:lineRule="auto"/>
                    <w:ind w:left="1190"/>
                  </w:pPr>
                  <w:r>
                    <w:rPr>
                      <w:spacing w:val="7"/>
                    </w:rPr>
                    <w:t>施工机械</w:t>
                  </w:r>
                </w:p>
              </w:tc>
              <w:tc>
                <w:tcPr>
                  <w:tcW w:w="3145" w:type="dxa"/>
                  <w:vAlign w:val="top"/>
                </w:tcPr>
                <w:p w14:paraId="0B9535EC">
                  <w:pPr>
                    <w:pStyle w:val="6"/>
                    <w:spacing w:before="33" w:line="216" w:lineRule="auto"/>
                    <w:ind w:left="1157"/>
                  </w:pPr>
                  <w:r>
                    <w:rPr>
                      <w:spacing w:val="7"/>
                    </w:rPr>
                    <w:t>机械噪声</w:t>
                  </w:r>
                </w:p>
              </w:tc>
            </w:tr>
            <w:tr w14:paraId="27829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253" w:type="dxa"/>
                  <w:vMerge w:val="continue"/>
                  <w:tcBorders>
                    <w:top w:val="nil"/>
                  </w:tcBorders>
                  <w:vAlign w:val="top"/>
                </w:tcPr>
                <w:p w14:paraId="3DFA4244">
                  <w:pPr>
                    <w:rPr>
                      <w:rFonts w:ascii="Arial"/>
                      <w:sz w:val="21"/>
                    </w:rPr>
                  </w:pPr>
                </w:p>
              </w:tc>
              <w:tc>
                <w:tcPr>
                  <w:tcW w:w="3213" w:type="dxa"/>
                  <w:vAlign w:val="top"/>
                </w:tcPr>
                <w:p w14:paraId="6C6A8760">
                  <w:pPr>
                    <w:pStyle w:val="6"/>
                    <w:spacing w:before="34" w:line="215" w:lineRule="auto"/>
                    <w:ind w:left="1191"/>
                  </w:pPr>
                  <w:r>
                    <w:rPr>
                      <w:spacing w:val="7"/>
                    </w:rPr>
                    <w:t>运输车辆</w:t>
                  </w:r>
                </w:p>
              </w:tc>
              <w:tc>
                <w:tcPr>
                  <w:tcW w:w="3145" w:type="dxa"/>
                  <w:vAlign w:val="top"/>
                </w:tcPr>
                <w:p w14:paraId="68B02185">
                  <w:pPr>
                    <w:pStyle w:val="6"/>
                    <w:spacing w:before="34" w:line="215" w:lineRule="auto"/>
                    <w:ind w:left="1162"/>
                  </w:pPr>
                  <w:r>
                    <w:rPr>
                      <w:spacing w:val="6"/>
                    </w:rPr>
                    <w:t>交通噪声</w:t>
                  </w:r>
                </w:p>
              </w:tc>
            </w:tr>
            <w:tr w14:paraId="3E548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253" w:type="dxa"/>
                  <w:vMerge w:val="restart"/>
                  <w:tcBorders>
                    <w:bottom w:val="nil"/>
                  </w:tcBorders>
                  <w:vAlign w:val="top"/>
                </w:tcPr>
                <w:p w14:paraId="381C53F4">
                  <w:pPr>
                    <w:pStyle w:val="6"/>
                    <w:spacing w:before="175" w:line="228" w:lineRule="auto"/>
                    <w:ind w:left="940"/>
                  </w:pPr>
                  <w:r>
                    <w:rPr>
                      <w:spacing w:val="-5"/>
                    </w:rPr>
                    <w:t>固废</w:t>
                  </w:r>
                </w:p>
              </w:tc>
              <w:tc>
                <w:tcPr>
                  <w:tcW w:w="3213" w:type="dxa"/>
                  <w:vAlign w:val="top"/>
                </w:tcPr>
                <w:p w14:paraId="63E3204C">
                  <w:pPr>
                    <w:pStyle w:val="6"/>
                    <w:spacing w:before="35" w:line="214" w:lineRule="auto"/>
                    <w:ind w:left="1194"/>
                  </w:pPr>
                  <w:r>
                    <w:rPr>
                      <w:spacing w:val="6"/>
                    </w:rPr>
                    <w:t>工程施工</w:t>
                  </w:r>
                </w:p>
              </w:tc>
              <w:tc>
                <w:tcPr>
                  <w:tcW w:w="3145" w:type="dxa"/>
                  <w:vAlign w:val="top"/>
                </w:tcPr>
                <w:p w14:paraId="2AF51A26">
                  <w:pPr>
                    <w:pStyle w:val="6"/>
                    <w:spacing w:before="35" w:line="214" w:lineRule="auto"/>
                    <w:ind w:left="739"/>
                  </w:pPr>
                  <w:r>
                    <w:rPr>
                      <w:spacing w:val="8"/>
                    </w:rPr>
                    <w:t>土石方、建筑垃圾</w:t>
                  </w:r>
                </w:p>
              </w:tc>
            </w:tr>
            <w:tr w14:paraId="74D4C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253" w:type="dxa"/>
                  <w:vMerge w:val="continue"/>
                  <w:tcBorders>
                    <w:top w:val="nil"/>
                  </w:tcBorders>
                  <w:vAlign w:val="top"/>
                </w:tcPr>
                <w:p w14:paraId="068AF161">
                  <w:pPr>
                    <w:rPr>
                      <w:rFonts w:ascii="Arial"/>
                      <w:sz w:val="21"/>
                    </w:rPr>
                  </w:pPr>
                </w:p>
              </w:tc>
              <w:tc>
                <w:tcPr>
                  <w:tcW w:w="3213" w:type="dxa"/>
                  <w:vAlign w:val="top"/>
                </w:tcPr>
                <w:p w14:paraId="701DD976">
                  <w:pPr>
                    <w:pStyle w:val="6"/>
                    <w:spacing w:before="37" w:line="212" w:lineRule="auto"/>
                    <w:ind w:left="1190"/>
                  </w:pPr>
                  <w:r>
                    <w:rPr>
                      <w:spacing w:val="7"/>
                    </w:rPr>
                    <w:t>施工人员</w:t>
                  </w:r>
                </w:p>
              </w:tc>
              <w:tc>
                <w:tcPr>
                  <w:tcW w:w="3145" w:type="dxa"/>
                  <w:vAlign w:val="top"/>
                </w:tcPr>
                <w:p w14:paraId="0D7BD586">
                  <w:pPr>
                    <w:pStyle w:val="6"/>
                    <w:spacing w:before="37" w:line="212" w:lineRule="auto"/>
                    <w:ind w:left="1160"/>
                  </w:pPr>
                  <w:r>
                    <w:rPr>
                      <w:spacing w:val="6"/>
                    </w:rPr>
                    <w:t>生活垃圾</w:t>
                  </w:r>
                </w:p>
              </w:tc>
            </w:tr>
            <w:tr w14:paraId="16748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2253" w:type="dxa"/>
                  <w:vAlign w:val="top"/>
                </w:tcPr>
                <w:p w14:paraId="29F1E279">
                  <w:pPr>
                    <w:pStyle w:val="6"/>
                    <w:spacing w:before="172" w:line="233" w:lineRule="auto"/>
                    <w:ind w:left="923"/>
                  </w:pPr>
                  <w:r>
                    <w:rPr>
                      <w:spacing w:val="3"/>
                    </w:rPr>
                    <w:t>生态</w:t>
                  </w:r>
                </w:p>
              </w:tc>
              <w:tc>
                <w:tcPr>
                  <w:tcW w:w="6358" w:type="dxa"/>
                  <w:gridSpan w:val="2"/>
                  <w:vAlign w:val="top"/>
                </w:tcPr>
                <w:p w14:paraId="66FA3887">
                  <w:pPr>
                    <w:pStyle w:val="6"/>
                    <w:spacing w:before="35" w:line="228" w:lineRule="auto"/>
                    <w:ind w:left="137"/>
                  </w:pPr>
                  <w:r>
                    <w:rPr>
                      <w:spacing w:val="9"/>
                    </w:rPr>
                    <w:t>对土地利用、植被、植物资源、动物、景观与生态系统造成影响；</w:t>
                  </w:r>
                </w:p>
                <w:p w14:paraId="6FE97FEF">
                  <w:pPr>
                    <w:pStyle w:val="6"/>
                    <w:spacing w:before="26" w:line="217" w:lineRule="auto"/>
                    <w:ind w:left="1715"/>
                  </w:pPr>
                  <w:r>
                    <w:rPr>
                      <w:spacing w:val="8"/>
                    </w:rPr>
                    <w:t>项目占用基本农田的影响分析；</w:t>
                  </w:r>
                </w:p>
              </w:tc>
            </w:tr>
          </w:tbl>
          <w:p w14:paraId="1F4490CC">
            <w:pPr>
              <w:pStyle w:val="6"/>
              <w:spacing w:before="35" w:line="220" w:lineRule="auto"/>
              <w:ind w:left="111"/>
              <w:rPr>
                <w:sz w:val="24"/>
                <w:szCs w:val="24"/>
              </w:rPr>
            </w:pPr>
            <w:r>
              <w:rPr>
                <w:b/>
                <w:bCs/>
                <w:spacing w:val="-4"/>
                <w:sz w:val="24"/>
                <w:szCs w:val="24"/>
              </w:rPr>
              <w:t>二、施工期环境影响分析</w:t>
            </w:r>
          </w:p>
          <w:p w14:paraId="48AC07BA">
            <w:pPr>
              <w:pStyle w:val="6"/>
              <w:spacing w:before="182" w:line="220" w:lineRule="auto"/>
              <w:ind w:left="114"/>
              <w:rPr>
                <w:sz w:val="24"/>
                <w:szCs w:val="24"/>
              </w:rPr>
            </w:pPr>
            <w:r>
              <w:rPr>
                <w:rFonts w:ascii="Times New Roman" w:hAnsi="Times New Roman" w:eastAsia="Times New Roman" w:cs="Times New Roman"/>
                <w:b/>
                <w:bCs/>
                <w:spacing w:val="-5"/>
                <w:sz w:val="24"/>
                <w:szCs w:val="24"/>
              </w:rPr>
              <w:t>1</w:t>
            </w:r>
            <w:r>
              <w:rPr>
                <w:rFonts w:ascii="Times New Roman" w:hAnsi="Times New Roman" w:eastAsia="Times New Roman" w:cs="Times New Roman"/>
                <w:b/>
                <w:bCs/>
                <w:spacing w:val="-33"/>
                <w:sz w:val="24"/>
                <w:szCs w:val="24"/>
              </w:rPr>
              <w:t xml:space="preserve"> </w:t>
            </w:r>
            <w:r>
              <w:rPr>
                <w:b/>
                <w:bCs/>
                <w:spacing w:val="-5"/>
                <w:sz w:val="24"/>
                <w:szCs w:val="24"/>
              </w:rPr>
              <w:t>、施工期生态环境影响分析</w:t>
            </w:r>
          </w:p>
          <w:p w14:paraId="0B4CB5BD">
            <w:pPr>
              <w:pStyle w:val="6"/>
              <w:spacing w:before="179" w:line="220" w:lineRule="auto"/>
              <w:ind w:left="599"/>
              <w:rPr>
                <w:sz w:val="24"/>
                <w:szCs w:val="24"/>
              </w:rPr>
            </w:pPr>
            <w:r>
              <w:rPr>
                <w:b/>
                <w:bCs/>
                <w:spacing w:val="-4"/>
                <w:sz w:val="24"/>
                <w:szCs w:val="24"/>
              </w:rPr>
              <w:t>（</w:t>
            </w:r>
            <w:r>
              <w:rPr>
                <w:rFonts w:ascii="Times New Roman" w:hAnsi="Times New Roman" w:eastAsia="Times New Roman" w:cs="Times New Roman"/>
                <w:b/>
                <w:bCs/>
                <w:spacing w:val="-4"/>
                <w:sz w:val="24"/>
                <w:szCs w:val="24"/>
              </w:rPr>
              <w:t>1</w:t>
            </w:r>
            <w:r>
              <w:rPr>
                <w:b/>
                <w:bCs/>
                <w:spacing w:val="-4"/>
                <w:sz w:val="24"/>
                <w:szCs w:val="24"/>
              </w:rPr>
              <w:t>）对土地利用的影响分析</w:t>
            </w:r>
          </w:p>
          <w:p w14:paraId="50742ED2">
            <w:pPr>
              <w:pStyle w:val="6"/>
              <w:spacing w:before="182" w:line="219" w:lineRule="auto"/>
              <w:ind w:left="588"/>
              <w:rPr>
                <w:sz w:val="24"/>
                <w:szCs w:val="24"/>
              </w:rPr>
            </w:pPr>
            <w:r>
              <w:rPr>
                <w:spacing w:val="-3"/>
                <w:sz w:val="24"/>
                <w:szCs w:val="24"/>
              </w:rPr>
              <w:t>本工程总占地面积为</w:t>
            </w:r>
            <w:r>
              <w:rPr>
                <w:spacing w:val="-32"/>
                <w:sz w:val="24"/>
                <w:szCs w:val="24"/>
              </w:rPr>
              <w:t xml:space="preserve"> </w:t>
            </w:r>
            <w:r>
              <w:rPr>
                <w:rFonts w:ascii="Times New Roman" w:hAnsi="Times New Roman" w:eastAsia="Times New Roman" w:cs="Times New Roman"/>
                <w:spacing w:val="-3"/>
                <w:sz w:val="24"/>
                <w:szCs w:val="24"/>
              </w:rPr>
              <w:t>1.962hm</w:t>
            </w:r>
            <w:r>
              <w:rPr>
                <w:rFonts w:ascii="Times New Roman" w:hAnsi="Times New Roman" w:eastAsia="Times New Roman" w:cs="Times New Roman"/>
                <w:spacing w:val="-3"/>
                <w:position w:val="8"/>
                <w:sz w:val="15"/>
                <w:szCs w:val="15"/>
              </w:rPr>
              <w:t>2</w:t>
            </w:r>
            <w:r>
              <w:rPr>
                <w:spacing w:val="-3"/>
                <w:sz w:val="24"/>
                <w:szCs w:val="24"/>
              </w:rPr>
              <w:t>，其中永久占地面积为</w:t>
            </w:r>
            <w:r>
              <w:rPr>
                <w:spacing w:val="-32"/>
                <w:sz w:val="24"/>
                <w:szCs w:val="24"/>
              </w:rPr>
              <w:t xml:space="preserve"> </w:t>
            </w:r>
            <w:r>
              <w:rPr>
                <w:rFonts w:ascii="Times New Roman" w:hAnsi="Times New Roman" w:eastAsia="Times New Roman" w:cs="Times New Roman"/>
                <w:spacing w:val="-3"/>
                <w:sz w:val="24"/>
                <w:szCs w:val="24"/>
              </w:rPr>
              <w:t>1.447hm</w:t>
            </w:r>
            <w:r>
              <w:rPr>
                <w:rFonts w:ascii="Times New Roman" w:hAnsi="Times New Roman" w:eastAsia="Times New Roman" w:cs="Times New Roman"/>
                <w:spacing w:val="-3"/>
                <w:position w:val="8"/>
                <w:sz w:val="15"/>
                <w:szCs w:val="15"/>
              </w:rPr>
              <w:t>2</w:t>
            </w:r>
            <w:r>
              <w:rPr>
                <w:spacing w:val="-4"/>
                <w:sz w:val="24"/>
                <w:szCs w:val="24"/>
              </w:rPr>
              <w:t>（其中塔基永久</w:t>
            </w:r>
          </w:p>
        </w:tc>
      </w:tr>
    </w:tbl>
    <w:p w14:paraId="4A7F8EA0">
      <w:pPr>
        <w:rPr>
          <w:rFonts w:ascii="Arial"/>
          <w:sz w:val="21"/>
        </w:rPr>
      </w:pPr>
    </w:p>
    <w:p w14:paraId="38610B6C">
      <w:pPr>
        <w:rPr>
          <w:rFonts w:ascii="Arial" w:hAnsi="Arial" w:eastAsia="Arial" w:cs="Arial"/>
          <w:sz w:val="21"/>
          <w:szCs w:val="21"/>
        </w:rPr>
        <w:sectPr>
          <w:footerReference r:id="rId96" w:type="default"/>
          <w:pgSz w:w="11907" w:h="16840"/>
          <w:pgMar w:top="400" w:right="1178" w:bottom="1240" w:left="1405" w:header="0" w:footer="1077" w:gutter="0"/>
          <w:cols w:space="720" w:num="1"/>
        </w:sectPr>
      </w:pPr>
    </w:p>
    <w:p w14:paraId="5C3F07AB">
      <w:pPr>
        <w:spacing w:before="13"/>
      </w:pPr>
    </w:p>
    <w:p w14:paraId="775D7957">
      <w:pPr>
        <w:spacing w:before="13"/>
      </w:pPr>
    </w:p>
    <w:p w14:paraId="79F5CE69">
      <w:pPr>
        <w:spacing w:before="13"/>
      </w:pPr>
    </w:p>
    <w:p w14:paraId="48477EA0">
      <w:pPr>
        <w:spacing w:before="12"/>
      </w:pPr>
    </w:p>
    <w:tbl>
      <w:tblPr>
        <w:tblStyle w:val="5"/>
        <w:tblW w:w="93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30"/>
      </w:tblGrid>
      <w:tr w14:paraId="46B65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46" w:hRule="atLeast"/>
        </w:trPr>
        <w:tc>
          <w:tcPr>
            <w:tcW w:w="478" w:type="dxa"/>
            <w:tcBorders>
              <w:right w:val="single" w:color="000000" w:sz="2" w:space="0"/>
            </w:tcBorders>
            <w:vAlign w:val="top"/>
          </w:tcPr>
          <w:p w14:paraId="3B1CC850">
            <w:pPr>
              <w:rPr>
                <w:rFonts w:ascii="Arial"/>
                <w:sz w:val="21"/>
              </w:rPr>
            </w:pPr>
          </w:p>
        </w:tc>
        <w:tc>
          <w:tcPr>
            <w:tcW w:w="8830" w:type="dxa"/>
            <w:tcBorders>
              <w:left w:val="single" w:color="000000" w:sz="2" w:space="0"/>
            </w:tcBorders>
            <w:vAlign w:val="top"/>
          </w:tcPr>
          <w:p w14:paraId="075A8E4F">
            <w:pPr>
              <w:pStyle w:val="6"/>
              <w:spacing w:before="41" w:line="355" w:lineRule="auto"/>
              <w:ind w:left="107" w:right="103" w:firstLine="40"/>
              <w:rPr>
                <w:sz w:val="24"/>
                <w:szCs w:val="24"/>
              </w:rPr>
            </w:pPr>
            <w:r>
              <w:rPr>
                <w:spacing w:val="7"/>
                <w:sz w:val="24"/>
                <w:szCs w:val="24"/>
              </w:rPr>
              <w:t>占地</w:t>
            </w:r>
            <w:r>
              <w:rPr>
                <w:spacing w:val="-32"/>
                <w:sz w:val="24"/>
                <w:szCs w:val="24"/>
              </w:rPr>
              <w:t xml:space="preserve"> </w:t>
            </w:r>
            <w:r>
              <w:rPr>
                <w:rFonts w:ascii="Times New Roman" w:hAnsi="Times New Roman" w:eastAsia="Times New Roman" w:cs="Times New Roman"/>
                <w:spacing w:val="7"/>
                <w:sz w:val="24"/>
                <w:szCs w:val="24"/>
              </w:rPr>
              <w:t>0.36</w:t>
            </w:r>
            <w:r>
              <w:rPr>
                <w:rFonts w:ascii="Times New Roman" w:hAnsi="Times New Roman" w:eastAsia="Times New Roman" w:cs="Times New Roman"/>
                <w:sz w:val="24"/>
                <w:szCs w:val="24"/>
              </w:rPr>
              <w:t>hm</w:t>
            </w:r>
            <w:r>
              <w:rPr>
                <w:rFonts w:ascii="Times New Roman" w:hAnsi="Times New Roman" w:eastAsia="Times New Roman" w:cs="Times New Roman"/>
                <w:spacing w:val="7"/>
                <w:position w:val="8"/>
                <w:sz w:val="15"/>
                <w:szCs w:val="15"/>
              </w:rPr>
              <w:t>2</w:t>
            </w:r>
            <w:r>
              <w:rPr>
                <w:rFonts w:ascii="Times New Roman" w:hAnsi="Times New Roman" w:eastAsia="Times New Roman" w:cs="Times New Roman"/>
                <w:spacing w:val="12"/>
                <w:w w:val="101"/>
                <w:position w:val="8"/>
                <w:sz w:val="15"/>
                <w:szCs w:val="15"/>
              </w:rPr>
              <w:t xml:space="preserve"> </w:t>
            </w:r>
            <w:r>
              <w:rPr>
                <w:spacing w:val="7"/>
                <w:sz w:val="24"/>
                <w:szCs w:val="24"/>
              </w:rPr>
              <w:t xml:space="preserve">，变电站、进站道路及站外排水沟 </w:t>
            </w:r>
            <w:r>
              <w:rPr>
                <w:rFonts w:ascii="Times New Roman" w:hAnsi="Times New Roman" w:eastAsia="Times New Roman" w:cs="Times New Roman"/>
                <w:spacing w:val="7"/>
                <w:sz w:val="24"/>
                <w:szCs w:val="24"/>
              </w:rPr>
              <w:t>1.087</w:t>
            </w:r>
            <w:r>
              <w:rPr>
                <w:rFonts w:ascii="Times New Roman" w:hAnsi="Times New Roman" w:eastAsia="Times New Roman" w:cs="Times New Roman"/>
                <w:sz w:val="24"/>
                <w:szCs w:val="24"/>
              </w:rPr>
              <w:t>hm</w:t>
            </w:r>
            <w:r>
              <w:rPr>
                <w:rFonts w:ascii="Times New Roman" w:hAnsi="Times New Roman" w:eastAsia="Times New Roman" w:cs="Times New Roman"/>
                <w:spacing w:val="7"/>
                <w:position w:val="1"/>
                <w:sz w:val="15"/>
                <w:szCs w:val="15"/>
              </w:rPr>
              <w:t>2</w:t>
            </w:r>
            <w:r>
              <w:rPr>
                <w:rFonts w:ascii="Times New Roman" w:hAnsi="Times New Roman" w:eastAsia="Times New Roman" w:cs="Times New Roman"/>
                <w:spacing w:val="17"/>
                <w:w w:val="102"/>
                <w:position w:val="1"/>
                <w:sz w:val="15"/>
                <w:szCs w:val="15"/>
              </w:rPr>
              <w:t xml:space="preserve"> </w:t>
            </w:r>
            <w:r>
              <w:rPr>
                <w:spacing w:val="-4"/>
                <w:position w:val="1"/>
                <w:sz w:val="24"/>
                <w:szCs w:val="24"/>
              </w:rPr>
              <w:t>）</w:t>
            </w:r>
            <w:r>
              <w:rPr>
                <w:spacing w:val="-72"/>
                <w:position w:val="1"/>
                <w:sz w:val="24"/>
                <w:szCs w:val="24"/>
              </w:rPr>
              <w:t xml:space="preserve"> </w:t>
            </w:r>
            <w:r>
              <w:rPr>
                <w:spacing w:val="-4"/>
                <w:sz w:val="24"/>
                <w:szCs w:val="24"/>
              </w:rPr>
              <w:t>，</w:t>
            </w:r>
            <w:r>
              <w:rPr>
                <w:spacing w:val="7"/>
                <w:sz w:val="24"/>
                <w:szCs w:val="24"/>
              </w:rPr>
              <w:t>临时占地面积为</w:t>
            </w:r>
            <w:r>
              <w:rPr>
                <w:rFonts w:ascii="Times New Roman" w:hAnsi="Times New Roman" w:eastAsia="Times New Roman" w:cs="Times New Roman"/>
                <w:spacing w:val="-3"/>
                <w:sz w:val="24"/>
                <w:szCs w:val="24"/>
              </w:rPr>
              <w:t>0.515hm</w:t>
            </w:r>
            <w:r>
              <w:rPr>
                <w:rFonts w:ascii="Times New Roman" w:hAnsi="Times New Roman" w:eastAsia="Times New Roman" w:cs="Times New Roman"/>
                <w:spacing w:val="-3"/>
                <w:position w:val="7"/>
                <w:sz w:val="15"/>
                <w:szCs w:val="15"/>
              </w:rPr>
              <w:t xml:space="preserve">2 </w:t>
            </w:r>
            <w:r>
              <w:rPr>
                <w:spacing w:val="-3"/>
                <w:sz w:val="24"/>
                <w:szCs w:val="24"/>
              </w:rPr>
              <w:t>。本次工程占用旱地</w:t>
            </w:r>
            <w:r>
              <w:rPr>
                <w:spacing w:val="-23"/>
                <w:sz w:val="24"/>
                <w:szCs w:val="24"/>
              </w:rPr>
              <w:t xml:space="preserve"> </w:t>
            </w:r>
            <w:r>
              <w:rPr>
                <w:rFonts w:ascii="Times New Roman" w:hAnsi="Times New Roman" w:eastAsia="Times New Roman" w:cs="Times New Roman"/>
                <w:spacing w:val="-3"/>
                <w:sz w:val="24"/>
                <w:szCs w:val="24"/>
              </w:rPr>
              <w:t>1.742hm</w:t>
            </w:r>
            <w:r>
              <w:rPr>
                <w:rFonts w:ascii="Times New Roman" w:hAnsi="Times New Roman" w:eastAsia="Times New Roman" w:cs="Times New Roman"/>
                <w:spacing w:val="-3"/>
                <w:position w:val="7"/>
                <w:sz w:val="15"/>
                <w:szCs w:val="15"/>
              </w:rPr>
              <w:t>2</w:t>
            </w:r>
            <w:r>
              <w:rPr>
                <w:rFonts w:ascii="Times New Roman" w:hAnsi="Times New Roman" w:eastAsia="Times New Roman" w:cs="Times New Roman"/>
                <w:spacing w:val="-10"/>
                <w:position w:val="7"/>
                <w:sz w:val="15"/>
                <w:szCs w:val="15"/>
              </w:rPr>
              <w:t xml:space="preserve"> </w:t>
            </w:r>
            <w:r>
              <w:rPr>
                <w:spacing w:val="-3"/>
                <w:sz w:val="24"/>
                <w:szCs w:val="24"/>
              </w:rPr>
              <w:t>、荒草地</w:t>
            </w:r>
            <w:r>
              <w:rPr>
                <w:spacing w:val="-51"/>
                <w:sz w:val="24"/>
                <w:szCs w:val="24"/>
              </w:rPr>
              <w:t xml:space="preserve"> </w:t>
            </w:r>
            <w:r>
              <w:rPr>
                <w:rFonts w:ascii="Times New Roman" w:hAnsi="Times New Roman" w:eastAsia="Times New Roman" w:cs="Times New Roman"/>
                <w:spacing w:val="-3"/>
                <w:sz w:val="24"/>
                <w:szCs w:val="24"/>
              </w:rPr>
              <w:t>0.08hm</w:t>
            </w:r>
            <w:r>
              <w:rPr>
                <w:rFonts w:ascii="Times New Roman" w:hAnsi="Times New Roman" w:eastAsia="Times New Roman" w:cs="Times New Roman"/>
                <w:spacing w:val="-3"/>
                <w:position w:val="7"/>
                <w:sz w:val="15"/>
                <w:szCs w:val="15"/>
              </w:rPr>
              <w:t>2</w:t>
            </w:r>
            <w:r>
              <w:rPr>
                <w:rFonts w:ascii="Times New Roman" w:hAnsi="Times New Roman" w:eastAsia="Times New Roman" w:cs="Times New Roman"/>
                <w:spacing w:val="-13"/>
                <w:position w:val="7"/>
                <w:sz w:val="15"/>
                <w:szCs w:val="15"/>
              </w:rPr>
              <w:t xml:space="preserve"> </w:t>
            </w:r>
            <w:r>
              <w:rPr>
                <w:spacing w:val="-3"/>
                <w:sz w:val="24"/>
                <w:szCs w:val="24"/>
              </w:rPr>
              <w:t>、园地</w:t>
            </w:r>
            <w:r>
              <w:rPr>
                <w:spacing w:val="-51"/>
                <w:sz w:val="24"/>
                <w:szCs w:val="24"/>
              </w:rPr>
              <w:t xml:space="preserve"> </w:t>
            </w:r>
            <w:r>
              <w:rPr>
                <w:rFonts w:ascii="Times New Roman" w:hAnsi="Times New Roman" w:eastAsia="Times New Roman" w:cs="Times New Roman"/>
                <w:spacing w:val="-3"/>
                <w:sz w:val="24"/>
                <w:szCs w:val="24"/>
              </w:rPr>
              <w:t>0.22hm</w:t>
            </w:r>
            <w:r>
              <w:rPr>
                <w:rFonts w:ascii="Times New Roman" w:hAnsi="Times New Roman" w:eastAsia="Times New Roman" w:cs="Times New Roman"/>
                <w:spacing w:val="-3"/>
                <w:position w:val="7"/>
                <w:sz w:val="15"/>
                <w:szCs w:val="15"/>
              </w:rPr>
              <w:t>2</w:t>
            </w:r>
            <w:r>
              <w:rPr>
                <w:spacing w:val="-3"/>
                <w:sz w:val="24"/>
                <w:szCs w:val="24"/>
              </w:rPr>
              <w:t>。</w:t>
            </w:r>
          </w:p>
          <w:p w14:paraId="231AEDAE">
            <w:pPr>
              <w:pStyle w:val="6"/>
              <w:spacing w:line="359" w:lineRule="auto"/>
              <w:ind w:left="110" w:right="103" w:firstLine="480"/>
              <w:rPr>
                <w:sz w:val="24"/>
                <w:szCs w:val="24"/>
              </w:rPr>
            </w:pPr>
            <w:r>
              <w:rPr>
                <w:spacing w:val="-1"/>
                <w:sz w:val="24"/>
                <w:szCs w:val="24"/>
              </w:rPr>
              <w:t>项目永久占地包括塔基及变电站占地，占地类型包括旱地和园地。工程占</w:t>
            </w:r>
            <w:r>
              <w:rPr>
                <w:spacing w:val="-2"/>
                <w:sz w:val="24"/>
                <w:szCs w:val="24"/>
              </w:rPr>
              <w:t>地以</w:t>
            </w:r>
            <w:r>
              <w:rPr>
                <w:spacing w:val="-6"/>
                <w:sz w:val="24"/>
                <w:szCs w:val="24"/>
              </w:rPr>
              <w:t>旱地为主，</w:t>
            </w:r>
            <w:r>
              <w:rPr>
                <w:spacing w:val="-55"/>
                <w:sz w:val="24"/>
                <w:szCs w:val="24"/>
              </w:rPr>
              <w:t xml:space="preserve"> </w:t>
            </w:r>
            <w:r>
              <w:rPr>
                <w:spacing w:val="-6"/>
                <w:sz w:val="24"/>
                <w:szCs w:val="24"/>
              </w:rPr>
              <w:t>占地面积为</w:t>
            </w:r>
            <w:r>
              <w:rPr>
                <w:spacing w:val="-32"/>
                <w:sz w:val="24"/>
                <w:szCs w:val="24"/>
              </w:rPr>
              <w:t xml:space="preserve"> </w:t>
            </w:r>
            <w:r>
              <w:rPr>
                <w:rFonts w:ascii="Times New Roman" w:hAnsi="Times New Roman" w:eastAsia="Times New Roman" w:cs="Times New Roman"/>
                <w:spacing w:val="-6"/>
                <w:sz w:val="24"/>
                <w:szCs w:val="24"/>
              </w:rPr>
              <w:t>1.742hm</w:t>
            </w:r>
            <w:r>
              <w:rPr>
                <w:rFonts w:ascii="Times New Roman" w:hAnsi="Times New Roman" w:eastAsia="Times New Roman" w:cs="Times New Roman"/>
                <w:spacing w:val="-6"/>
                <w:position w:val="7"/>
                <w:sz w:val="15"/>
                <w:szCs w:val="15"/>
              </w:rPr>
              <w:t>2</w:t>
            </w:r>
            <w:r>
              <w:rPr>
                <w:rFonts w:ascii="Times New Roman" w:hAnsi="Times New Roman" w:eastAsia="Times New Roman" w:cs="Times New Roman"/>
                <w:spacing w:val="-7"/>
                <w:position w:val="7"/>
                <w:sz w:val="15"/>
                <w:szCs w:val="15"/>
              </w:rPr>
              <w:t xml:space="preserve"> </w:t>
            </w:r>
            <w:r>
              <w:rPr>
                <w:spacing w:val="-6"/>
                <w:sz w:val="24"/>
                <w:szCs w:val="24"/>
              </w:rPr>
              <w:t>，</w:t>
            </w:r>
            <w:r>
              <w:rPr>
                <w:spacing w:val="-72"/>
                <w:sz w:val="24"/>
                <w:szCs w:val="24"/>
              </w:rPr>
              <w:t xml:space="preserve"> </w:t>
            </w:r>
            <w:r>
              <w:rPr>
                <w:spacing w:val="-6"/>
                <w:sz w:val="24"/>
                <w:szCs w:val="24"/>
              </w:rPr>
              <w:t>占评价区总面积的</w:t>
            </w:r>
            <w:r>
              <w:rPr>
                <w:spacing w:val="-45"/>
                <w:sz w:val="24"/>
                <w:szCs w:val="24"/>
              </w:rPr>
              <w:t xml:space="preserve"> </w:t>
            </w:r>
            <w:r>
              <w:rPr>
                <w:rFonts w:ascii="Times New Roman" w:hAnsi="Times New Roman" w:eastAsia="Times New Roman" w:cs="Times New Roman"/>
                <w:spacing w:val="-6"/>
                <w:sz w:val="24"/>
                <w:szCs w:val="24"/>
              </w:rPr>
              <w:t>88.8%</w:t>
            </w:r>
            <w:r>
              <w:rPr>
                <w:spacing w:val="-6"/>
                <w:sz w:val="24"/>
                <w:szCs w:val="24"/>
              </w:rPr>
              <w:t>。</w:t>
            </w:r>
          </w:p>
          <w:p w14:paraId="19508AD1">
            <w:pPr>
              <w:pStyle w:val="6"/>
              <w:spacing w:line="359" w:lineRule="auto"/>
              <w:ind w:left="107" w:right="103" w:firstLine="483"/>
              <w:jc w:val="both"/>
              <w:rPr>
                <w:sz w:val="24"/>
                <w:szCs w:val="24"/>
              </w:rPr>
            </w:pPr>
            <w:r>
              <w:rPr>
                <w:spacing w:val="-1"/>
                <w:sz w:val="24"/>
                <w:szCs w:val="24"/>
              </w:rPr>
              <w:t>项目永久占地将使评价区被占用的土地利用性质和功能发生改变，被占用</w:t>
            </w:r>
            <w:r>
              <w:rPr>
                <w:spacing w:val="-2"/>
                <w:sz w:val="24"/>
                <w:szCs w:val="24"/>
              </w:rPr>
              <w:t>的土</w:t>
            </w:r>
            <w:r>
              <w:rPr>
                <w:spacing w:val="-1"/>
                <w:sz w:val="24"/>
                <w:szCs w:val="24"/>
              </w:rPr>
              <w:t>地利用性质将改变为建设用地，这种改变是永久性的。但塔基占地为点状式占地，占地较为分散，且实际占地仅限于其</w:t>
            </w:r>
            <w:r>
              <w:rPr>
                <w:spacing w:val="-55"/>
                <w:sz w:val="24"/>
                <w:szCs w:val="24"/>
              </w:rPr>
              <w:t xml:space="preserve"> </w:t>
            </w:r>
            <w:r>
              <w:rPr>
                <w:rFonts w:ascii="Times New Roman" w:hAnsi="Times New Roman" w:eastAsia="Times New Roman" w:cs="Times New Roman"/>
                <w:spacing w:val="-1"/>
                <w:sz w:val="24"/>
                <w:szCs w:val="24"/>
              </w:rPr>
              <w:t xml:space="preserve">4 </w:t>
            </w:r>
            <w:r>
              <w:rPr>
                <w:spacing w:val="-1"/>
                <w:sz w:val="24"/>
                <w:szCs w:val="24"/>
              </w:rPr>
              <w:t>个支撑脚。工程永久占用各类土地占评价区</w:t>
            </w:r>
            <w:r>
              <w:rPr>
                <w:sz w:val="24"/>
                <w:szCs w:val="24"/>
              </w:rPr>
              <w:t>各地类的面积及其比例较小，不会对评价区土地利用</w:t>
            </w:r>
            <w:r>
              <w:rPr>
                <w:spacing w:val="-1"/>
                <w:sz w:val="24"/>
                <w:szCs w:val="24"/>
              </w:rPr>
              <w:t>格局产生大的不利影响。</w:t>
            </w:r>
          </w:p>
          <w:p w14:paraId="670691B7">
            <w:pPr>
              <w:pStyle w:val="6"/>
              <w:spacing w:before="1" w:line="359" w:lineRule="auto"/>
              <w:ind w:left="106" w:right="103" w:firstLine="485"/>
              <w:rPr>
                <w:sz w:val="24"/>
                <w:szCs w:val="24"/>
              </w:rPr>
            </w:pPr>
            <w:r>
              <w:rPr>
                <w:spacing w:val="-1"/>
                <w:sz w:val="24"/>
                <w:szCs w:val="24"/>
              </w:rPr>
              <w:t>项目临时占地为施工平台、牵张场占地，占地类型包括园地及旱地，占用</w:t>
            </w:r>
            <w:r>
              <w:rPr>
                <w:spacing w:val="-2"/>
                <w:sz w:val="24"/>
                <w:szCs w:val="24"/>
              </w:rPr>
              <w:t>无法</w:t>
            </w:r>
            <w:r>
              <w:rPr>
                <w:spacing w:val="-1"/>
                <w:sz w:val="24"/>
                <w:szCs w:val="24"/>
              </w:rPr>
              <w:t>避免，因为本工程的机械、相关仪器和工具等需要堆放。这些实际需求都不可避免占用到一些土地。但项目临时场地为点状分布，塔基等施工为点状作业，单塔施工时间短，尽量在非耕种、生长季节施工，利用植被稀疏的土地，以减少植被破坏。并在施工结束后及时进行相应的覆土植被及复耕措施后基本可以</w:t>
            </w:r>
            <w:r>
              <w:rPr>
                <w:spacing w:val="-2"/>
                <w:sz w:val="24"/>
                <w:szCs w:val="24"/>
              </w:rPr>
              <w:t>恢复到原有功能。</w:t>
            </w:r>
          </w:p>
          <w:p w14:paraId="74B38D31">
            <w:pPr>
              <w:pStyle w:val="6"/>
              <w:spacing w:line="219" w:lineRule="auto"/>
              <w:ind w:left="599"/>
              <w:rPr>
                <w:sz w:val="24"/>
                <w:szCs w:val="24"/>
              </w:rPr>
            </w:pPr>
            <w:r>
              <w:rPr>
                <w:b/>
                <w:bCs/>
                <w:spacing w:val="-4"/>
                <w:sz w:val="24"/>
                <w:szCs w:val="24"/>
              </w:rPr>
              <w:t>（</w:t>
            </w:r>
            <w:r>
              <w:rPr>
                <w:rFonts w:ascii="Times New Roman" w:hAnsi="Times New Roman" w:eastAsia="Times New Roman" w:cs="Times New Roman"/>
                <w:b/>
                <w:bCs/>
                <w:spacing w:val="-4"/>
                <w:sz w:val="24"/>
                <w:szCs w:val="24"/>
              </w:rPr>
              <w:t>2</w:t>
            </w:r>
            <w:r>
              <w:rPr>
                <w:b/>
                <w:bCs/>
                <w:spacing w:val="-4"/>
                <w:sz w:val="24"/>
                <w:szCs w:val="24"/>
              </w:rPr>
              <w:t>）对植被的影响分析</w:t>
            </w:r>
          </w:p>
          <w:p w14:paraId="67B30EA8">
            <w:pPr>
              <w:pStyle w:val="6"/>
              <w:spacing w:before="182" w:line="359" w:lineRule="auto"/>
              <w:ind w:left="107" w:right="103" w:firstLine="483"/>
              <w:jc w:val="both"/>
              <w:rPr>
                <w:sz w:val="24"/>
                <w:szCs w:val="24"/>
              </w:rPr>
            </w:pPr>
            <w:r>
              <w:rPr>
                <w:spacing w:val="-1"/>
                <w:sz w:val="24"/>
                <w:szCs w:val="24"/>
              </w:rPr>
              <w:t>项目占地包括永久占地和临时占地，将导致陆生植物分布面积的减少。工</w:t>
            </w:r>
            <w:r>
              <w:rPr>
                <w:spacing w:val="-2"/>
                <w:sz w:val="24"/>
                <w:szCs w:val="24"/>
              </w:rPr>
              <w:t>程占</w:t>
            </w:r>
            <w:r>
              <w:rPr>
                <w:spacing w:val="-1"/>
                <w:sz w:val="24"/>
                <w:szCs w:val="24"/>
              </w:rPr>
              <w:t>地基本不占用自然植被，主要为人工植被，包括人工桉树林、桑树以及其他农田作物，对自然植被的影响较小。旱地及园地占用面积占评价区同类型植被面积比例均较小，尽量在非耕种、生长季节施工，利用植被稀疏的土地，对评价区人工植被的</w:t>
            </w:r>
            <w:r>
              <w:rPr>
                <w:spacing w:val="-2"/>
                <w:sz w:val="24"/>
                <w:szCs w:val="24"/>
              </w:rPr>
              <w:t>影响轻微。</w:t>
            </w:r>
          </w:p>
          <w:p w14:paraId="6400A376">
            <w:pPr>
              <w:pStyle w:val="6"/>
              <w:spacing w:before="1" w:line="359" w:lineRule="auto"/>
              <w:ind w:left="106" w:right="103" w:firstLine="483"/>
              <w:rPr>
                <w:sz w:val="24"/>
                <w:szCs w:val="24"/>
              </w:rPr>
            </w:pPr>
            <w:r>
              <w:rPr>
                <w:spacing w:val="-1"/>
                <w:sz w:val="24"/>
                <w:szCs w:val="24"/>
              </w:rPr>
              <w:t>工程施工平台、牵张场占地为临时占地，临时占地对植被的破坏主要为施工平台、牵张场用地地表植被清理，以及施工人员对植被的践踏，但项目为点状作业，单塔施工时间短，且施工平台布设在塔基四周，牵张场地仅设置三处，故临时占地对植被的破坏是短暂的，施工结束后，临时占用的植被类型可采取覆土恢复植被、复垦等措施进行恢复，其影响会逐渐减少乃至消除。</w:t>
            </w:r>
          </w:p>
          <w:p w14:paraId="3B98DB52">
            <w:pPr>
              <w:pStyle w:val="6"/>
              <w:spacing w:before="3" w:line="358" w:lineRule="auto"/>
              <w:ind w:left="111" w:right="41" w:firstLine="494"/>
              <w:jc w:val="both"/>
              <w:rPr>
                <w:sz w:val="24"/>
                <w:szCs w:val="24"/>
              </w:rPr>
            </w:pPr>
            <w:r>
              <w:rPr>
                <w:spacing w:val="-7"/>
                <w:sz w:val="24"/>
                <w:szCs w:val="24"/>
              </w:rPr>
              <w:t>因此，从整体来看，项目占地不会造成其中一种或多种植被在该区域内的消失，</w:t>
            </w:r>
            <w:r>
              <w:rPr>
                <w:spacing w:val="-1"/>
                <w:sz w:val="24"/>
                <w:szCs w:val="24"/>
              </w:rPr>
              <w:t>不会导致评价区内植被类型的减少、植被构成格局的明显变化及生态系统的结构性改变，对评价区域内的植被影响较小。</w:t>
            </w:r>
          </w:p>
          <w:p w14:paraId="19AB7AE4">
            <w:pPr>
              <w:pStyle w:val="6"/>
              <w:spacing w:before="1" w:line="219" w:lineRule="auto"/>
              <w:ind w:left="599"/>
              <w:rPr>
                <w:sz w:val="24"/>
                <w:szCs w:val="24"/>
              </w:rPr>
            </w:pPr>
            <w:r>
              <w:rPr>
                <w:b/>
                <w:bCs/>
                <w:spacing w:val="-4"/>
                <w:sz w:val="24"/>
                <w:szCs w:val="24"/>
              </w:rPr>
              <w:t>（</w:t>
            </w:r>
            <w:r>
              <w:rPr>
                <w:rFonts w:ascii="Times New Roman" w:hAnsi="Times New Roman" w:eastAsia="Times New Roman" w:cs="Times New Roman"/>
                <w:b/>
                <w:bCs/>
                <w:spacing w:val="-4"/>
                <w:sz w:val="24"/>
                <w:szCs w:val="24"/>
              </w:rPr>
              <w:t>3</w:t>
            </w:r>
            <w:r>
              <w:rPr>
                <w:b/>
                <w:bCs/>
                <w:spacing w:val="-4"/>
                <w:sz w:val="24"/>
                <w:szCs w:val="24"/>
              </w:rPr>
              <w:t>）对植物的影响分析</w:t>
            </w:r>
          </w:p>
          <w:p w14:paraId="712AEEC9">
            <w:pPr>
              <w:pStyle w:val="6"/>
              <w:spacing w:before="182" w:line="219" w:lineRule="auto"/>
              <w:ind w:left="591"/>
              <w:rPr>
                <w:sz w:val="24"/>
                <w:szCs w:val="24"/>
              </w:rPr>
            </w:pPr>
            <w:r>
              <w:rPr>
                <w:spacing w:val="-1"/>
                <w:sz w:val="24"/>
                <w:szCs w:val="24"/>
              </w:rPr>
              <w:t>项目占地区分布的植物是分布较为普遍的植物，均为区域植被中常见的种</w:t>
            </w:r>
            <w:r>
              <w:rPr>
                <w:spacing w:val="-2"/>
                <w:sz w:val="24"/>
                <w:szCs w:val="24"/>
              </w:rPr>
              <w:t>类和</w:t>
            </w:r>
          </w:p>
        </w:tc>
      </w:tr>
    </w:tbl>
    <w:p w14:paraId="65B4832B">
      <w:pPr>
        <w:rPr>
          <w:rFonts w:ascii="Arial"/>
          <w:sz w:val="21"/>
        </w:rPr>
      </w:pPr>
    </w:p>
    <w:p w14:paraId="54D9D459">
      <w:pPr>
        <w:rPr>
          <w:rFonts w:ascii="Arial" w:hAnsi="Arial" w:eastAsia="Arial" w:cs="Arial"/>
          <w:sz w:val="21"/>
          <w:szCs w:val="21"/>
        </w:rPr>
        <w:sectPr>
          <w:footerReference r:id="rId97" w:type="default"/>
          <w:pgSz w:w="11907" w:h="16840"/>
          <w:pgMar w:top="400" w:right="1178" w:bottom="1240" w:left="1405" w:header="0" w:footer="1077" w:gutter="0"/>
          <w:cols w:space="720" w:num="1"/>
        </w:sectPr>
      </w:pPr>
    </w:p>
    <w:p w14:paraId="548ACACC">
      <w:pPr>
        <w:spacing w:before="13"/>
      </w:pPr>
    </w:p>
    <w:p w14:paraId="077221D0">
      <w:pPr>
        <w:spacing w:before="13"/>
      </w:pPr>
    </w:p>
    <w:p w14:paraId="56D3E3C8">
      <w:pPr>
        <w:spacing w:before="13"/>
      </w:pPr>
    </w:p>
    <w:p w14:paraId="5D939B52">
      <w:pPr>
        <w:spacing w:before="12"/>
      </w:pPr>
    </w:p>
    <w:tbl>
      <w:tblPr>
        <w:tblStyle w:val="5"/>
        <w:tblW w:w="93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30"/>
      </w:tblGrid>
      <w:tr w14:paraId="5C91B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67" w:hRule="atLeast"/>
        </w:trPr>
        <w:tc>
          <w:tcPr>
            <w:tcW w:w="478" w:type="dxa"/>
            <w:tcBorders>
              <w:right w:val="single" w:color="000000" w:sz="2" w:space="0"/>
            </w:tcBorders>
            <w:vAlign w:val="top"/>
          </w:tcPr>
          <w:p w14:paraId="5D243EB7">
            <w:pPr>
              <w:rPr>
                <w:rFonts w:ascii="Arial"/>
                <w:sz w:val="21"/>
              </w:rPr>
            </w:pPr>
          </w:p>
        </w:tc>
        <w:tc>
          <w:tcPr>
            <w:tcW w:w="8830" w:type="dxa"/>
            <w:tcBorders>
              <w:left w:val="single" w:color="000000" w:sz="2" w:space="0"/>
            </w:tcBorders>
            <w:vAlign w:val="top"/>
          </w:tcPr>
          <w:p w14:paraId="6AC7AA63">
            <w:pPr>
              <w:pStyle w:val="6"/>
              <w:spacing w:before="40" w:line="359" w:lineRule="auto"/>
              <w:ind w:left="106" w:right="103"/>
              <w:jc w:val="both"/>
              <w:rPr>
                <w:sz w:val="24"/>
                <w:szCs w:val="24"/>
              </w:rPr>
            </w:pPr>
            <w:r>
              <w:rPr>
                <w:spacing w:val="-1"/>
                <w:sz w:val="24"/>
                <w:szCs w:val="24"/>
              </w:rPr>
              <w:t>优势种，它们在评价区分布广泛、资源丰富，具有较明显的次生性。且本工程采伐林木均为人工植被，对植物资源的影响只是一些数量上的减少，不会对它们的生存和繁衍造成威胁，也不会降低区域植物物种的多样性。因此工程建设对区域植物资</w:t>
            </w:r>
            <w:r>
              <w:rPr>
                <w:spacing w:val="-2"/>
                <w:sz w:val="24"/>
                <w:szCs w:val="24"/>
              </w:rPr>
              <w:t>源的影响较小。</w:t>
            </w:r>
          </w:p>
          <w:p w14:paraId="314ADB50">
            <w:pPr>
              <w:pStyle w:val="6"/>
              <w:spacing w:line="359" w:lineRule="auto"/>
              <w:ind w:left="106" w:right="22" w:firstLine="480"/>
              <w:rPr>
                <w:sz w:val="24"/>
                <w:szCs w:val="24"/>
              </w:rPr>
            </w:pPr>
            <w:r>
              <w:rPr>
                <w:spacing w:val="1"/>
                <w:sz w:val="24"/>
                <w:szCs w:val="24"/>
              </w:rPr>
              <w:t>评价区未发现重点保护野生植物分布，未见受威胁物</w:t>
            </w:r>
            <w:r>
              <w:rPr>
                <w:sz w:val="24"/>
                <w:szCs w:val="24"/>
              </w:rPr>
              <w:t>种及极小种群物种分布。</w:t>
            </w:r>
            <w:r>
              <w:rPr>
                <w:spacing w:val="-5"/>
                <w:sz w:val="24"/>
                <w:szCs w:val="24"/>
              </w:rPr>
              <w:t>评价区内植被均为广布种和常见种，未发现区内特有种分布，未发现古</w:t>
            </w:r>
            <w:r>
              <w:rPr>
                <w:spacing w:val="-6"/>
                <w:sz w:val="24"/>
                <w:szCs w:val="24"/>
              </w:rPr>
              <w:t>树名木分布。</w:t>
            </w:r>
          </w:p>
          <w:p w14:paraId="7E4E7BE7">
            <w:pPr>
              <w:pStyle w:val="6"/>
              <w:spacing w:line="220" w:lineRule="auto"/>
              <w:ind w:left="599"/>
              <w:rPr>
                <w:sz w:val="24"/>
                <w:szCs w:val="24"/>
              </w:rPr>
            </w:pPr>
            <w:r>
              <w:rPr>
                <w:b/>
                <w:bCs/>
                <w:spacing w:val="-4"/>
                <w:sz w:val="24"/>
                <w:szCs w:val="24"/>
              </w:rPr>
              <w:t>（</w:t>
            </w:r>
            <w:r>
              <w:rPr>
                <w:rFonts w:ascii="Times New Roman" w:hAnsi="Times New Roman" w:eastAsia="Times New Roman" w:cs="Times New Roman"/>
                <w:b/>
                <w:bCs/>
                <w:spacing w:val="-4"/>
                <w:sz w:val="24"/>
                <w:szCs w:val="24"/>
              </w:rPr>
              <w:t>4</w:t>
            </w:r>
            <w:r>
              <w:rPr>
                <w:b/>
                <w:bCs/>
                <w:spacing w:val="-4"/>
                <w:sz w:val="24"/>
                <w:szCs w:val="24"/>
              </w:rPr>
              <w:t>）对动物影响分析</w:t>
            </w:r>
          </w:p>
          <w:p w14:paraId="1F5D7FC3">
            <w:pPr>
              <w:pStyle w:val="6"/>
              <w:spacing w:before="181" w:line="359" w:lineRule="auto"/>
              <w:ind w:left="106" w:right="103" w:firstLine="484"/>
              <w:jc w:val="both"/>
              <w:rPr>
                <w:sz w:val="24"/>
                <w:szCs w:val="24"/>
              </w:rPr>
            </w:pPr>
            <w:r>
              <w:rPr>
                <w:spacing w:val="6"/>
                <w:sz w:val="24"/>
                <w:szCs w:val="24"/>
              </w:rPr>
              <w:t>项目区域动物资源的调查结果表明，变电站附近及线路沿线人类生产活动频</w:t>
            </w:r>
            <w:r>
              <w:rPr>
                <w:spacing w:val="-1"/>
                <w:sz w:val="24"/>
                <w:szCs w:val="24"/>
              </w:rPr>
              <w:t>繁，分布在该区域的野生动物较少。根据输变电工程的特点，对野生动物的影响主要发生在施工期。随着工程的开工，施工机械、施工人员的进场，土、石料堆积场及施工场地的布置，施工中产生的噪声可能干扰现有野生动物的生存环境，导致野生动物栖息环境的改变。</w:t>
            </w:r>
          </w:p>
          <w:p w14:paraId="042297CF">
            <w:pPr>
              <w:pStyle w:val="6"/>
              <w:spacing w:before="2" w:line="359" w:lineRule="auto"/>
              <w:ind w:left="107" w:right="103" w:firstLine="479"/>
              <w:jc w:val="both"/>
              <w:rPr>
                <w:sz w:val="24"/>
                <w:szCs w:val="24"/>
              </w:rPr>
            </w:pPr>
            <w:r>
              <w:rPr>
                <w:spacing w:val="-1"/>
                <w:sz w:val="24"/>
                <w:szCs w:val="24"/>
              </w:rPr>
              <w:t>输变电项目建设基本属于点线型，仅在变电站和塔基附近造成小范围的点状改变，且项目施工对野生动物的影响为间断性、暂时性的。施工完成后，部分野生动物仍可以回到原栖息地附近区域栖息。因此，项目施工对当地的动物不会产生明显</w:t>
            </w:r>
            <w:r>
              <w:rPr>
                <w:spacing w:val="-4"/>
                <w:sz w:val="24"/>
                <w:szCs w:val="24"/>
              </w:rPr>
              <w:t>影响。</w:t>
            </w:r>
          </w:p>
          <w:p w14:paraId="30E724BC">
            <w:pPr>
              <w:pStyle w:val="6"/>
              <w:spacing w:line="219" w:lineRule="auto"/>
              <w:ind w:left="599"/>
              <w:rPr>
                <w:sz w:val="24"/>
                <w:szCs w:val="24"/>
              </w:rPr>
            </w:pPr>
            <w:r>
              <w:rPr>
                <w:b/>
                <w:bCs/>
                <w:spacing w:val="-4"/>
                <w:sz w:val="24"/>
                <w:szCs w:val="24"/>
              </w:rPr>
              <w:t>（</w:t>
            </w:r>
            <w:r>
              <w:rPr>
                <w:rFonts w:ascii="Times New Roman" w:hAnsi="Times New Roman" w:eastAsia="Times New Roman" w:cs="Times New Roman"/>
                <w:b/>
                <w:bCs/>
                <w:spacing w:val="-4"/>
                <w:sz w:val="24"/>
                <w:szCs w:val="24"/>
              </w:rPr>
              <w:t>5</w:t>
            </w:r>
            <w:r>
              <w:rPr>
                <w:b/>
                <w:bCs/>
                <w:spacing w:val="-4"/>
                <w:sz w:val="24"/>
                <w:szCs w:val="24"/>
              </w:rPr>
              <w:t>）对鸟类及鸟类迁徙影响</w:t>
            </w:r>
          </w:p>
          <w:p w14:paraId="533EBEBD">
            <w:pPr>
              <w:pStyle w:val="6"/>
              <w:spacing w:before="182" w:line="359" w:lineRule="auto"/>
              <w:ind w:left="112" w:right="41" w:firstLine="474"/>
              <w:jc w:val="both"/>
              <w:rPr>
                <w:sz w:val="24"/>
                <w:szCs w:val="24"/>
              </w:rPr>
            </w:pPr>
            <w:r>
              <w:rPr>
                <w:spacing w:val="-6"/>
                <w:sz w:val="24"/>
                <w:szCs w:val="24"/>
              </w:rPr>
              <w:t>评价区分布的鸟类主要有普通夜鹰、家燕、喜鹊、小嘴乌鸦、山麻雀、斑鸠等，</w:t>
            </w:r>
            <w:r>
              <w:rPr>
                <w:spacing w:val="-1"/>
                <w:sz w:val="24"/>
                <w:szCs w:val="24"/>
              </w:rPr>
              <w:t>鸟类的栖息地生境类型主要为森林、灌丛和农田等地带。项目施工期对项目区鸟类</w:t>
            </w:r>
            <w:r>
              <w:rPr>
                <w:spacing w:val="-2"/>
                <w:sz w:val="24"/>
                <w:szCs w:val="24"/>
              </w:rPr>
              <w:t>的影响主要有以下几个方面：</w:t>
            </w:r>
          </w:p>
          <w:p w14:paraId="19DB21D8">
            <w:pPr>
              <w:pStyle w:val="6"/>
              <w:spacing w:before="3" w:line="358" w:lineRule="auto"/>
              <w:ind w:left="110" w:right="22" w:firstLine="469"/>
              <w:rPr>
                <w:sz w:val="24"/>
                <w:szCs w:val="24"/>
              </w:rPr>
            </w:pPr>
            <w:r>
              <w:rPr>
                <w:rFonts w:ascii="Times New Roman" w:hAnsi="Times New Roman" w:eastAsia="Times New Roman" w:cs="Times New Roman"/>
                <w:spacing w:val="-3"/>
                <w:sz w:val="24"/>
                <w:szCs w:val="24"/>
              </w:rPr>
              <w:t>A</w:t>
            </w:r>
            <w:r>
              <w:rPr>
                <w:spacing w:val="-3"/>
                <w:sz w:val="24"/>
                <w:szCs w:val="24"/>
              </w:rPr>
              <w:t>、施工作业及施工人员的活动对鸟类栖息地生境</w:t>
            </w:r>
            <w:r>
              <w:rPr>
                <w:spacing w:val="-4"/>
                <w:sz w:val="24"/>
                <w:szCs w:val="24"/>
              </w:rPr>
              <w:t>的干扰和破坏，如塔基开挖、</w:t>
            </w:r>
            <w:r>
              <w:rPr>
                <w:spacing w:val="-1"/>
                <w:sz w:val="24"/>
                <w:szCs w:val="24"/>
              </w:rPr>
              <w:t>线路架设、项目永久性占地和施工临时占地等均有可能破坏原本用于栖息、觅食和繁殖的树木、草丛等生态环境被改变或破坏。</w:t>
            </w:r>
          </w:p>
          <w:p w14:paraId="438BBC74">
            <w:pPr>
              <w:pStyle w:val="6"/>
              <w:spacing w:before="1" w:line="218" w:lineRule="auto"/>
              <w:ind w:left="582"/>
              <w:rPr>
                <w:sz w:val="24"/>
                <w:szCs w:val="24"/>
              </w:rPr>
            </w:pPr>
            <w:r>
              <w:rPr>
                <w:rFonts w:ascii="Times New Roman" w:hAnsi="Times New Roman" w:eastAsia="Times New Roman" w:cs="Times New Roman"/>
                <w:spacing w:val="-1"/>
                <w:sz w:val="24"/>
                <w:szCs w:val="24"/>
              </w:rPr>
              <w:t>B</w:t>
            </w:r>
            <w:r>
              <w:rPr>
                <w:rFonts w:ascii="Times New Roman" w:hAnsi="Times New Roman" w:eastAsia="Times New Roman" w:cs="Times New Roman"/>
                <w:spacing w:val="-33"/>
                <w:sz w:val="24"/>
                <w:szCs w:val="24"/>
              </w:rPr>
              <w:t xml:space="preserve"> </w:t>
            </w:r>
            <w:r>
              <w:rPr>
                <w:spacing w:val="-1"/>
                <w:sz w:val="24"/>
                <w:szCs w:val="24"/>
              </w:rPr>
              <w:t>、施工机械噪声对鸟类栖息地声环境的破坏和机械噪声对鸟类的驱赶。</w:t>
            </w:r>
          </w:p>
          <w:p w14:paraId="5C13A4B3">
            <w:pPr>
              <w:pStyle w:val="6"/>
              <w:spacing w:before="185" w:line="360" w:lineRule="auto"/>
              <w:ind w:left="108" w:right="103" w:firstLine="478"/>
              <w:rPr>
                <w:sz w:val="24"/>
                <w:szCs w:val="24"/>
              </w:rPr>
            </w:pPr>
            <w:r>
              <w:rPr>
                <w:rFonts w:ascii="Times New Roman" w:hAnsi="Times New Roman" w:eastAsia="Times New Roman" w:cs="Times New Roman"/>
                <w:spacing w:val="-1"/>
                <w:sz w:val="24"/>
                <w:szCs w:val="24"/>
              </w:rPr>
              <w:t>C</w:t>
            </w:r>
            <w:r>
              <w:rPr>
                <w:rFonts w:ascii="Times New Roman" w:hAnsi="Times New Roman" w:eastAsia="Times New Roman" w:cs="Times New Roman"/>
                <w:spacing w:val="-32"/>
                <w:sz w:val="24"/>
                <w:szCs w:val="24"/>
              </w:rPr>
              <w:t xml:space="preserve"> </w:t>
            </w:r>
            <w:r>
              <w:rPr>
                <w:spacing w:val="-1"/>
                <w:sz w:val="24"/>
                <w:szCs w:val="24"/>
              </w:rPr>
              <w:t>、施工中临时占地对鸟类巢穴的破坏，施工人员对鸟类的捕捉。上述</w:t>
            </w:r>
            <w:r>
              <w:rPr>
                <w:spacing w:val="-2"/>
                <w:sz w:val="24"/>
                <w:szCs w:val="24"/>
              </w:rPr>
              <w:t>施工活</w:t>
            </w:r>
            <w:r>
              <w:rPr>
                <w:spacing w:val="-1"/>
                <w:sz w:val="24"/>
                <w:szCs w:val="24"/>
              </w:rPr>
              <w:t>动干扰将使得大部分鸟类迁移他处，远离施工区范围；小部分鸟类地栖和灌木林栖鸟类会由于栖息地的丧失而从工程区迁至他处。</w:t>
            </w:r>
          </w:p>
          <w:p w14:paraId="3AEBD045">
            <w:pPr>
              <w:pStyle w:val="6"/>
              <w:spacing w:before="10" w:line="337" w:lineRule="auto"/>
              <w:ind w:left="108" w:right="103" w:firstLine="479"/>
              <w:rPr>
                <w:sz w:val="24"/>
                <w:szCs w:val="24"/>
              </w:rPr>
            </w:pPr>
            <w:r>
              <w:rPr>
                <w:spacing w:val="1"/>
                <w:sz w:val="24"/>
                <w:szCs w:val="24"/>
              </w:rPr>
              <w:t>根据云南省</w:t>
            </w:r>
            <w:r>
              <w:rPr>
                <w:rFonts w:ascii="Segoe UI" w:hAnsi="Segoe UI" w:eastAsia="Segoe UI" w:cs="Segoe UI"/>
                <w:spacing w:val="1"/>
                <w:sz w:val="24"/>
                <w:szCs w:val="24"/>
              </w:rPr>
              <w:t>“</w:t>
            </w:r>
            <w:r>
              <w:rPr>
                <w:spacing w:val="1"/>
                <w:sz w:val="24"/>
                <w:szCs w:val="24"/>
              </w:rPr>
              <w:t>打雀点</w:t>
            </w:r>
            <w:r>
              <w:rPr>
                <w:rFonts w:ascii="Segoe UI" w:hAnsi="Segoe UI" w:eastAsia="Segoe UI" w:cs="Segoe UI"/>
                <w:spacing w:val="1"/>
                <w:sz w:val="24"/>
                <w:szCs w:val="24"/>
              </w:rPr>
              <w:t>”</w:t>
            </w:r>
            <w:r>
              <w:rPr>
                <w:spacing w:val="1"/>
                <w:sz w:val="24"/>
                <w:szCs w:val="24"/>
              </w:rPr>
              <w:t>分布以及候鸟迁徙研究的资料综合分析</w:t>
            </w:r>
            <w:r>
              <w:rPr>
                <w:sz w:val="24"/>
                <w:szCs w:val="24"/>
              </w:rPr>
              <w:t>，结合查询云南省</w:t>
            </w:r>
            <w:r>
              <w:rPr>
                <w:spacing w:val="-1"/>
                <w:sz w:val="24"/>
                <w:szCs w:val="24"/>
              </w:rPr>
              <w:t>林业和草原局公告（2023</w:t>
            </w:r>
            <w:r>
              <w:rPr>
                <w:spacing w:val="-40"/>
                <w:sz w:val="24"/>
                <w:szCs w:val="24"/>
              </w:rPr>
              <w:t xml:space="preserve"> </w:t>
            </w:r>
            <w:r>
              <w:rPr>
                <w:spacing w:val="-1"/>
                <w:sz w:val="24"/>
                <w:szCs w:val="24"/>
              </w:rPr>
              <w:t>年第</w:t>
            </w:r>
            <w:r>
              <w:rPr>
                <w:spacing w:val="-31"/>
                <w:sz w:val="24"/>
                <w:szCs w:val="24"/>
              </w:rPr>
              <w:t xml:space="preserve"> </w:t>
            </w:r>
            <w:r>
              <w:rPr>
                <w:spacing w:val="-1"/>
                <w:sz w:val="24"/>
                <w:szCs w:val="24"/>
              </w:rPr>
              <w:t>10</w:t>
            </w:r>
            <w:r>
              <w:rPr>
                <w:spacing w:val="-45"/>
                <w:sz w:val="24"/>
                <w:szCs w:val="24"/>
              </w:rPr>
              <w:t xml:space="preserve"> </w:t>
            </w:r>
            <w:r>
              <w:rPr>
                <w:spacing w:val="-1"/>
                <w:sz w:val="24"/>
                <w:szCs w:val="24"/>
              </w:rPr>
              <w:t>号）《云南省候鸟迁徙通道重点区域范围（第一</w:t>
            </w:r>
          </w:p>
        </w:tc>
      </w:tr>
    </w:tbl>
    <w:p w14:paraId="501C0075">
      <w:pPr>
        <w:rPr>
          <w:rFonts w:ascii="Arial"/>
          <w:sz w:val="21"/>
        </w:rPr>
      </w:pPr>
    </w:p>
    <w:p w14:paraId="6379B8C1">
      <w:pPr>
        <w:rPr>
          <w:rFonts w:ascii="Arial" w:hAnsi="Arial" w:eastAsia="Arial" w:cs="Arial"/>
          <w:sz w:val="21"/>
          <w:szCs w:val="21"/>
        </w:rPr>
        <w:sectPr>
          <w:footerReference r:id="rId98" w:type="default"/>
          <w:pgSz w:w="11907" w:h="16840"/>
          <w:pgMar w:top="400" w:right="1178" w:bottom="1240" w:left="1405" w:header="0" w:footer="1077" w:gutter="0"/>
          <w:cols w:space="720" w:num="1"/>
        </w:sectPr>
      </w:pPr>
    </w:p>
    <w:p w14:paraId="1234A96D">
      <w:pPr>
        <w:spacing w:before="13"/>
      </w:pPr>
    </w:p>
    <w:p w14:paraId="4870A38B">
      <w:pPr>
        <w:spacing w:before="13"/>
      </w:pPr>
    </w:p>
    <w:p w14:paraId="0CF2AFEB">
      <w:pPr>
        <w:spacing w:before="13"/>
      </w:pPr>
    </w:p>
    <w:p w14:paraId="0B6B82E0">
      <w:pPr>
        <w:spacing w:before="12"/>
      </w:pPr>
    </w:p>
    <w:tbl>
      <w:tblPr>
        <w:tblStyle w:val="5"/>
        <w:tblW w:w="93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30"/>
      </w:tblGrid>
      <w:tr w14:paraId="79D32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46" w:hRule="atLeast"/>
        </w:trPr>
        <w:tc>
          <w:tcPr>
            <w:tcW w:w="478" w:type="dxa"/>
            <w:tcBorders>
              <w:right w:val="single" w:color="000000" w:sz="2" w:space="0"/>
            </w:tcBorders>
            <w:vAlign w:val="top"/>
          </w:tcPr>
          <w:p w14:paraId="29B9AD86">
            <w:pPr>
              <w:rPr>
                <w:rFonts w:ascii="Arial"/>
                <w:sz w:val="21"/>
              </w:rPr>
            </w:pPr>
          </w:p>
        </w:tc>
        <w:tc>
          <w:tcPr>
            <w:tcW w:w="8830" w:type="dxa"/>
            <w:tcBorders>
              <w:left w:val="single" w:color="000000" w:sz="2" w:space="0"/>
            </w:tcBorders>
            <w:vAlign w:val="top"/>
          </w:tcPr>
          <w:p w14:paraId="2BFC5950">
            <w:pPr>
              <w:pStyle w:val="6"/>
              <w:spacing w:before="42" w:line="359" w:lineRule="auto"/>
              <w:ind w:left="107" w:right="103" w:hanging="1"/>
              <w:jc w:val="both"/>
              <w:rPr>
                <w:sz w:val="24"/>
                <w:szCs w:val="24"/>
              </w:rPr>
            </w:pPr>
            <w:r>
              <w:rPr>
                <w:spacing w:val="-1"/>
                <w:sz w:val="24"/>
                <w:szCs w:val="24"/>
              </w:rPr>
              <w:t>批）》，本项目占地区及外围生态评价区不涉及已公布的候鸟迁徙通道重点区域，本项目输电线路并未处于已知的主要候鸟迁徙通道之上。其路径的选取未与云南候鸟的迁徙通道重合，不在鸟类迁徙通道的范畴内。项目单个塔基施工的影响范围较小，且总体施工时长较短，待建设完工人员撤离现场后，施工活动带来的影响也随之消除，因此项目的建设运行对鸟类及候鸟的迁徙影响不大。</w:t>
            </w:r>
          </w:p>
          <w:p w14:paraId="204FA459">
            <w:pPr>
              <w:pStyle w:val="6"/>
              <w:spacing w:line="220" w:lineRule="auto"/>
              <w:ind w:left="599"/>
              <w:rPr>
                <w:sz w:val="24"/>
                <w:szCs w:val="24"/>
              </w:rPr>
            </w:pPr>
            <w:r>
              <w:rPr>
                <w:b/>
                <w:bCs/>
                <w:spacing w:val="-4"/>
                <w:sz w:val="24"/>
                <w:szCs w:val="24"/>
              </w:rPr>
              <w:t>（</w:t>
            </w:r>
            <w:r>
              <w:rPr>
                <w:rFonts w:ascii="Times New Roman" w:hAnsi="Times New Roman" w:eastAsia="Times New Roman" w:cs="Times New Roman"/>
                <w:b/>
                <w:bCs/>
                <w:spacing w:val="-4"/>
                <w:sz w:val="24"/>
                <w:szCs w:val="24"/>
              </w:rPr>
              <w:t>5</w:t>
            </w:r>
            <w:r>
              <w:rPr>
                <w:b/>
                <w:bCs/>
                <w:spacing w:val="-4"/>
                <w:sz w:val="24"/>
                <w:szCs w:val="24"/>
              </w:rPr>
              <w:t>）对重要动物物种的影响</w:t>
            </w:r>
          </w:p>
          <w:p w14:paraId="37AEA1EE">
            <w:pPr>
              <w:pStyle w:val="6"/>
              <w:spacing w:before="181" w:line="359" w:lineRule="auto"/>
              <w:ind w:left="108" w:right="103" w:firstLine="480"/>
              <w:jc w:val="both"/>
              <w:rPr>
                <w:sz w:val="24"/>
                <w:szCs w:val="24"/>
              </w:rPr>
            </w:pPr>
            <w:r>
              <w:rPr>
                <w:spacing w:val="-1"/>
                <w:sz w:val="24"/>
                <w:szCs w:val="24"/>
              </w:rPr>
              <w:t>经调查项目周围环境，项目区为农作物种植区，开发较早、农业经济发达，垦殖率较高，无野生动物生存条件；因此，项目评价区无国家、云南省重点保护野生动物分布，无国家和云南省政府列入拯救保护的极小种群物种。</w:t>
            </w:r>
          </w:p>
          <w:p w14:paraId="09A41BCE">
            <w:pPr>
              <w:pStyle w:val="6"/>
              <w:spacing w:line="218" w:lineRule="auto"/>
              <w:ind w:left="599"/>
              <w:rPr>
                <w:sz w:val="24"/>
                <w:szCs w:val="24"/>
              </w:rPr>
            </w:pPr>
            <w:r>
              <w:rPr>
                <w:b/>
                <w:bCs/>
                <w:spacing w:val="-4"/>
                <w:sz w:val="24"/>
                <w:szCs w:val="24"/>
              </w:rPr>
              <w:t>（</w:t>
            </w:r>
            <w:r>
              <w:rPr>
                <w:rFonts w:ascii="Times New Roman" w:hAnsi="Times New Roman" w:eastAsia="Times New Roman" w:cs="Times New Roman"/>
                <w:b/>
                <w:bCs/>
                <w:spacing w:val="-4"/>
                <w:sz w:val="24"/>
                <w:szCs w:val="24"/>
              </w:rPr>
              <w:t>6</w:t>
            </w:r>
            <w:r>
              <w:rPr>
                <w:b/>
                <w:bCs/>
                <w:spacing w:val="-4"/>
                <w:sz w:val="24"/>
                <w:szCs w:val="24"/>
              </w:rPr>
              <w:t>）对永久基本农田的影响分析</w:t>
            </w:r>
          </w:p>
          <w:p w14:paraId="7FB5A5B6">
            <w:pPr>
              <w:pStyle w:val="6"/>
              <w:spacing w:before="183" w:line="359" w:lineRule="auto"/>
              <w:ind w:left="107" w:right="103" w:firstLine="480"/>
              <w:jc w:val="both"/>
              <w:rPr>
                <w:sz w:val="24"/>
                <w:szCs w:val="24"/>
              </w:rPr>
            </w:pPr>
            <w:r>
              <w:rPr>
                <w:spacing w:val="-3"/>
                <w:sz w:val="24"/>
                <w:szCs w:val="24"/>
              </w:rPr>
              <w:t>本工程</w:t>
            </w:r>
            <w:r>
              <w:rPr>
                <w:spacing w:val="-27"/>
                <w:sz w:val="24"/>
                <w:szCs w:val="24"/>
              </w:rPr>
              <w:t xml:space="preserve"> </w:t>
            </w:r>
            <w:r>
              <w:rPr>
                <w:rFonts w:ascii="Times New Roman" w:hAnsi="Times New Roman" w:eastAsia="Times New Roman" w:cs="Times New Roman"/>
                <w:spacing w:val="-3"/>
                <w:sz w:val="24"/>
                <w:szCs w:val="24"/>
              </w:rPr>
              <w:t xml:space="preserve">110kV </w:t>
            </w:r>
            <w:r>
              <w:rPr>
                <w:spacing w:val="-3"/>
                <w:sz w:val="24"/>
                <w:szCs w:val="24"/>
              </w:rPr>
              <w:t>松山变电站不涉及占用永久基本农田；</w:t>
            </w:r>
            <w:r>
              <w:rPr>
                <w:rFonts w:ascii="Times New Roman" w:hAnsi="Times New Roman" w:eastAsia="Times New Roman" w:cs="Times New Roman"/>
                <w:spacing w:val="-3"/>
                <w:sz w:val="24"/>
                <w:szCs w:val="24"/>
              </w:rPr>
              <w:t xml:space="preserve">110kV </w:t>
            </w:r>
            <w:r>
              <w:rPr>
                <w:spacing w:val="-3"/>
                <w:sz w:val="24"/>
                <w:szCs w:val="24"/>
              </w:rPr>
              <w:t>线路塔基涉及</w:t>
            </w:r>
            <w:r>
              <w:rPr>
                <w:spacing w:val="-50"/>
                <w:sz w:val="24"/>
                <w:szCs w:val="24"/>
              </w:rPr>
              <w:t xml:space="preserve"> </w:t>
            </w:r>
            <w:r>
              <w:rPr>
                <w:rFonts w:ascii="Times New Roman" w:hAnsi="Times New Roman" w:eastAsia="Times New Roman" w:cs="Times New Roman"/>
                <w:spacing w:val="-3"/>
                <w:sz w:val="24"/>
                <w:szCs w:val="24"/>
              </w:rPr>
              <w:t xml:space="preserve">9 </w:t>
            </w:r>
            <w:r>
              <w:rPr>
                <w:spacing w:val="-3"/>
                <w:sz w:val="24"/>
                <w:szCs w:val="24"/>
              </w:rPr>
              <w:t>基</w:t>
            </w:r>
            <w:r>
              <w:rPr>
                <w:spacing w:val="-2"/>
                <w:sz w:val="24"/>
                <w:szCs w:val="24"/>
              </w:rPr>
              <w:t>塔永久占用永久基本农田，</w:t>
            </w:r>
            <w:r>
              <w:rPr>
                <w:rFonts w:ascii="Times New Roman" w:hAnsi="Times New Roman" w:eastAsia="Times New Roman" w:cs="Times New Roman"/>
                <w:spacing w:val="-2"/>
                <w:sz w:val="24"/>
                <w:szCs w:val="24"/>
              </w:rPr>
              <w:t xml:space="preserve">9 </w:t>
            </w:r>
            <w:r>
              <w:rPr>
                <w:spacing w:val="-2"/>
                <w:sz w:val="24"/>
                <w:szCs w:val="24"/>
              </w:rPr>
              <w:t>基铁塔施工临时占地涉及占用永久基本农田。</w:t>
            </w:r>
            <w:r>
              <w:rPr>
                <w:spacing w:val="-57"/>
                <w:sz w:val="24"/>
                <w:szCs w:val="24"/>
              </w:rPr>
              <w:t xml:space="preserve"> </w:t>
            </w:r>
            <w:r>
              <w:rPr>
                <w:spacing w:val="-2"/>
                <w:sz w:val="24"/>
                <w:szCs w:val="24"/>
              </w:rPr>
              <w:t>占用基</w:t>
            </w:r>
            <w:r>
              <w:rPr>
                <w:spacing w:val="-4"/>
                <w:sz w:val="24"/>
                <w:szCs w:val="24"/>
              </w:rPr>
              <w:t>本农田总面积为</w:t>
            </w:r>
            <w:r>
              <w:rPr>
                <w:spacing w:val="-32"/>
                <w:sz w:val="24"/>
                <w:szCs w:val="24"/>
              </w:rPr>
              <w:t xml:space="preserve"> </w:t>
            </w:r>
            <w:r>
              <w:rPr>
                <w:rFonts w:ascii="Times New Roman" w:hAnsi="Times New Roman" w:eastAsia="Times New Roman" w:cs="Times New Roman"/>
                <w:spacing w:val="-4"/>
                <w:sz w:val="24"/>
                <w:szCs w:val="24"/>
              </w:rPr>
              <w:t>1218m</w:t>
            </w:r>
            <w:r>
              <w:rPr>
                <w:rFonts w:ascii="Times New Roman" w:hAnsi="Times New Roman" w:eastAsia="Times New Roman" w:cs="Times New Roman"/>
                <w:spacing w:val="-4"/>
                <w:position w:val="7"/>
                <w:sz w:val="15"/>
                <w:szCs w:val="15"/>
              </w:rPr>
              <w:t>2</w:t>
            </w:r>
            <w:r>
              <w:rPr>
                <w:rFonts w:ascii="Times New Roman" w:hAnsi="Times New Roman" w:eastAsia="Times New Roman" w:cs="Times New Roman"/>
                <w:spacing w:val="-7"/>
                <w:position w:val="7"/>
                <w:sz w:val="15"/>
                <w:szCs w:val="15"/>
              </w:rPr>
              <w:t xml:space="preserve"> </w:t>
            </w:r>
            <w:r>
              <w:rPr>
                <w:spacing w:val="-4"/>
                <w:sz w:val="24"/>
                <w:szCs w:val="24"/>
              </w:rPr>
              <w:t>，其中永久占用</w:t>
            </w:r>
            <w:r>
              <w:rPr>
                <w:spacing w:val="-50"/>
                <w:sz w:val="24"/>
                <w:szCs w:val="24"/>
              </w:rPr>
              <w:t xml:space="preserve"> </w:t>
            </w:r>
            <w:r>
              <w:rPr>
                <w:rFonts w:ascii="Times New Roman" w:hAnsi="Times New Roman" w:eastAsia="Times New Roman" w:cs="Times New Roman"/>
                <w:spacing w:val="-4"/>
                <w:sz w:val="24"/>
                <w:szCs w:val="24"/>
              </w:rPr>
              <w:t>678m</w:t>
            </w:r>
            <w:r>
              <w:rPr>
                <w:rFonts w:ascii="Times New Roman" w:hAnsi="Times New Roman" w:eastAsia="Times New Roman" w:cs="Times New Roman"/>
                <w:spacing w:val="-4"/>
                <w:position w:val="7"/>
                <w:sz w:val="15"/>
                <w:szCs w:val="15"/>
              </w:rPr>
              <w:t>2</w:t>
            </w:r>
            <w:r>
              <w:rPr>
                <w:rFonts w:ascii="Times New Roman" w:hAnsi="Times New Roman" w:eastAsia="Times New Roman" w:cs="Times New Roman"/>
                <w:spacing w:val="-10"/>
                <w:position w:val="7"/>
                <w:sz w:val="15"/>
                <w:szCs w:val="15"/>
              </w:rPr>
              <w:t xml:space="preserve"> </w:t>
            </w:r>
            <w:r>
              <w:rPr>
                <w:spacing w:val="-4"/>
                <w:sz w:val="24"/>
                <w:szCs w:val="24"/>
              </w:rPr>
              <w:t>，临时占用</w:t>
            </w:r>
            <w:r>
              <w:rPr>
                <w:spacing w:val="-48"/>
                <w:sz w:val="24"/>
                <w:szCs w:val="24"/>
              </w:rPr>
              <w:t xml:space="preserve"> </w:t>
            </w:r>
            <w:r>
              <w:rPr>
                <w:rFonts w:ascii="Times New Roman" w:hAnsi="Times New Roman" w:eastAsia="Times New Roman" w:cs="Times New Roman"/>
                <w:spacing w:val="-4"/>
                <w:sz w:val="24"/>
                <w:szCs w:val="24"/>
              </w:rPr>
              <w:t>540m</w:t>
            </w:r>
            <w:r>
              <w:rPr>
                <w:rFonts w:ascii="Times New Roman" w:hAnsi="Times New Roman" w:eastAsia="Times New Roman" w:cs="Times New Roman"/>
                <w:spacing w:val="-4"/>
                <w:position w:val="7"/>
                <w:sz w:val="15"/>
                <w:szCs w:val="15"/>
              </w:rPr>
              <w:t xml:space="preserve">2 </w:t>
            </w:r>
            <w:r>
              <w:rPr>
                <w:spacing w:val="-4"/>
                <w:sz w:val="24"/>
                <w:szCs w:val="24"/>
              </w:rPr>
              <w:t>。</w:t>
            </w:r>
            <w:r>
              <w:rPr>
                <w:spacing w:val="-5"/>
                <w:sz w:val="24"/>
                <w:szCs w:val="24"/>
              </w:rPr>
              <w:t>本项目线路塔基</w:t>
            </w:r>
            <w:r>
              <w:rPr>
                <w:spacing w:val="-1"/>
                <w:sz w:val="24"/>
                <w:szCs w:val="24"/>
              </w:rPr>
              <w:t>占用永久基本农田符合《永久基本农田保护红线管理办法》（自然资源部、农业农</w:t>
            </w:r>
            <w:r>
              <w:rPr>
                <w:spacing w:val="-6"/>
                <w:sz w:val="24"/>
                <w:szCs w:val="24"/>
              </w:rPr>
              <w:t>村部令 第</w:t>
            </w:r>
            <w:r>
              <w:rPr>
                <w:spacing w:val="-26"/>
                <w:sz w:val="24"/>
                <w:szCs w:val="24"/>
              </w:rPr>
              <w:t xml:space="preserve"> </w:t>
            </w:r>
            <w:r>
              <w:rPr>
                <w:rFonts w:ascii="Times New Roman" w:hAnsi="Times New Roman" w:eastAsia="Times New Roman" w:cs="Times New Roman"/>
                <w:spacing w:val="-6"/>
                <w:sz w:val="24"/>
                <w:szCs w:val="24"/>
              </w:rPr>
              <w:t>17</w:t>
            </w:r>
            <w:r>
              <w:rPr>
                <w:rFonts w:ascii="Times New Roman" w:hAnsi="Times New Roman" w:eastAsia="Times New Roman" w:cs="Times New Roman"/>
                <w:spacing w:val="15"/>
                <w:w w:val="101"/>
                <w:sz w:val="24"/>
                <w:szCs w:val="24"/>
              </w:rPr>
              <w:t xml:space="preserve"> </w:t>
            </w:r>
            <w:r>
              <w:rPr>
                <w:spacing w:val="-6"/>
                <w:sz w:val="24"/>
                <w:szCs w:val="24"/>
              </w:rPr>
              <w:t>号）。</w:t>
            </w:r>
          </w:p>
          <w:p w14:paraId="604E11C9">
            <w:pPr>
              <w:pStyle w:val="6"/>
              <w:spacing w:before="1" w:line="359" w:lineRule="auto"/>
              <w:ind w:left="106" w:right="103" w:firstLine="482"/>
              <w:rPr>
                <w:sz w:val="24"/>
                <w:szCs w:val="24"/>
              </w:rPr>
            </w:pPr>
            <w:r>
              <w:rPr>
                <w:spacing w:val="-2"/>
                <w:sz w:val="24"/>
                <w:szCs w:val="24"/>
              </w:rPr>
              <w:t>本项目</w:t>
            </w:r>
            <w:r>
              <w:rPr>
                <w:spacing w:val="-30"/>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线路自松山变出线后，至</w:t>
            </w:r>
            <w:r>
              <w:rPr>
                <w:spacing w:val="-55"/>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6"/>
                <w:sz w:val="24"/>
                <w:szCs w:val="24"/>
              </w:rPr>
              <w:t xml:space="preserve"> </w:t>
            </w:r>
            <w:r>
              <w:rPr>
                <w:spacing w:val="-2"/>
                <w:sz w:val="24"/>
                <w:szCs w:val="24"/>
              </w:rPr>
              <w:t>芳华变侧线路沿线及至</w:t>
            </w:r>
            <w:r>
              <w:rPr>
                <w:spacing w:val="-53"/>
                <w:sz w:val="24"/>
                <w:szCs w:val="24"/>
              </w:rPr>
              <w:t xml:space="preserve"> </w:t>
            </w:r>
            <w:r>
              <w:rPr>
                <w:rFonts w:ascii="Times New Roman" w:hAnsi="Times New Roman" w:eastAsia="Times New Roman" w:cs="Times New Roman"/>
                <w:spacing w:val="-2"/>
                <w:sz w:val="24"/>
                <w:szCs w:val="24"/>
              </w:rPr>
              <w:t xml:space="preserve">T </w:t>
            </w:r>
            <w:r>
              <w:rPr>
                <w:spacing w:val="-2"/>
                <w:sz w:val="24"/>
                <w:szCs w:val="24"/>
              </w:rPr>
              <w:t>接点</w:t>
            </w:r>
            <w:r>
              <w:rPr>
                <w:spacing w:val="-3"/>
                <w:sz w:val="24"/>
                <w:szCs w:val="24"/>
              </w:rPr>
              <w:t>线路沿线分布有大片的基本农田，且</w:t>
            </w:r>
            <w:r>
              <w:rPr>
                <w:spacing w:val="-48"/>
                <w:sz w:val="24"/>
                <w:szCs w:val="24"/>
              </w:rPr>
              <w:t xml:space="preserve"> </w:t>
            </w: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18"/>
                <w:w w:val="101"/>
                <w:sz w:val="24"/>
                <w:szCs w:val="24"/>
              </w:rPr>
              <w:t xml:space="preserve"> </w:t>
            </w:r>
            <w:r>
              <w:rPr>
                <w:spacing w:val="-3"/>
                <w:sz w:val="24"/>
                <w:szCs w:val="24"/>
              </w:rPr>
              <w:t>芳华变基本被基本农田包围，线路沿线</w:t>
            </w:r>
            <w:r>
              <w:rPr>
                <w:spacing w:val="-1"/>
                <w:sz w:val="24"/>
                <w:szCs w:val="24"/>
              </w:rPr>
              <w:t>避让高速公路、沿线居民聚集区后，线路路径无法完全避让基本农田；线路沿线尽量利用永久基本农田空隙布置塔基位置，无法避让区域将塔基尽可能沿田间道路、沟渠、田坎架设，不妨碍机械化耕作。</w:t>
            </w:r>
          </w:p>
          <w:p w14:paraId="4B11D30E">
            <w:pPr>
              <w:pStyle w:val="6"/>
              <w:spacing w:before="8" w:line="358" w:lineRule="auto"/>
              <w:ind w:left="107" w:right="103" w:firstLine="479"/>
              <w:jc w:val="both"/>
              <w:rPr>
                <w:sz w:val="24"/>
                <w:szCs w:val="24"/>
              </w:rPr>
            </w:pPr>
            <w:r>
              <w:rPr>
                <w:spacing w:val="6"/>
                <w:sz w:val="24"/>
                <w:szCs w:val="24"/>
              </w:rPr>
              <w:t>在塔基施工期间临时占用的基本农田边施工边及时复垦，施工结束后即可恢</w:t>
            </w:r>
            <w:r>
              <w:rPr>
                <w:spacing w:val="-1"/>
                <w:sz w:val="24"/>
                <w:szCs w:val="24"/>
              </w:rPr>
              <w:t>复。工程在施工期将严格控制占地面积，优化施工工艺，减少土石方量、减少水土流失、减轻对人工植被的破坏，不损坏农田水利设施，施工结束后及时复耕，同时建设单位应按基本农田保护和管理的相关要求向主管部门履行手续，落实基本农田补偿和保护工作，做好群众工作后方可动工建设，可最大限度减少工程建设对基本农田的影响。在做好各项环境保护措施的情况下，工程施工期较短，对该区域基本</w:t>
            </w:r>
            <w:r>
              <w:rPr>
                <w:spacing w:val="-2"/>
                <w:sz w:val="24"/>
                <w:szCs w:val="24"/>
              </w:rPr>
              <w:t>农田的影响较小。</w:t>
            </w:r>
          </w:p>
          <w:p w14:paraId="0CD07BCA">
            <w:pPr>
              <w:pStyle w:val="6"/>
              <w:spacing w:line="219" w:lineRule="auto"/>
              <w:ind w:left="104"/>
              <w:rPr>
                <w:sz w:val="24"/>
                <w:szCs w:val="24"/>
              </w:rPr>
            </w:pPr>
            <w:r>
              <w:rPr>
                <w:rFonts w:ascii="Times New Roman" w:hAnsi="Times New Roman" w:eastAsia="Times New Roman" w:cs="Times New Roman"/>
                <w:b/>
                <w:bCs/>
                <w:spacing w:val="-5"/>
                <w:sz w:val="24"/>
                <w:szCs w:val="24"/>
              </w:rPr>
              <w:t>2</w:t>
            </w:r>
            <w:r>
              <w:rPr>
                <w:rFonts w:ascii="Times New Roman" w:hAnsi="Times New Roman" w:eastAsia="Times New Roman" w:cs="Times New Roman"/>
                <w:b/>
                <w:bCs/>
                <w:spacing w:val="-25"/>
                <w:sz w:val="24"/>
                <w:szCs w:val="24"/>
              </w:rPr>
              <w:t xml:space="preserve"> </w:t>
            </w:r>
            <w:r>
              <w:rPr>
                <w:b/>
                <w:bCs/>
                <w:spacing w:val="-5"/>
                <w:sz w:val="24"/>
                <w:szCs w:val="24"/>
              </w:rPr>
              <w:t>、施工期水环境影响分析</w:t>
            </w:r>
          </w:p>
          <w:p w14:paraId="77DA21D4">
            <w:pPr>
              <w:pStyle w:val="6"/>
              <w:spacing w:before="184" w:line="219" w:lineRule="auto"/>
              <w:ind w:left="599"/>
              <w:rPr>
                <w:sz w:val="24"/>
                <w:szCs w:val="24"/>
              </w:rPr>
            </w:pPr>
            <w:r>
              <w:rPr>
                <w:spacing w:val="-3"/>
                <w:sz w:val="24"/>
                <w:szCs w:val="24"/>
              </w:rPr>
              <w:t>（</w:t>
            </w:r>
            <w:r>
              <w:rPr>
                <w:rFonts w:ascii="Times New Roman" w:hAnsi="Times New Roman" w:eastAsia="Times New Roman" w:cs="Times New Roman"/>
                <w:spacing w:val="-3"/>
                <w:sz w:val="24"/>
                <w:szCs w:val="24"/>
              </w:rPr>
              <w:t>1</w:t>
            </w:r>
            <w:r>
              <w:rPr>
                <w:spacing w:val="-3"/>
                <w:sz w:val="24"/>
                <w:szCs w:val="24"/>
              </w:rPr>
              <w:t>）输电线路</w:t>
            </w:r>
          </w:p>
        </w:tc>
      </w:tr>
    </w:tbl>
    <w:p w14:paraId="003ACB43">
      <w:pPr>
        <w:rPr>
          <w:rFonts w:ascii="Arial"/>
          <w:sz w:val="21"/>
        </w:rPr>
      </w:pPr>
    </w:p>
    <w:p w14:paraId="25E477B1">
      <w:pPr>
        <w:rPr>
          <w:rFonts w:ascii="Arial" w:hAnsi="Arial" w:eastAsia="Arial" w:cs="Arial"/>
          <w:sz w:val="21"/>
          <w:szCs w:val="21"/>
        </w:rPr>
        <w:sectPr>
          <w:footerReference r:id="rId99" w:type="default"/>
          <w:pgSz w:w="11907" w:h="16840"/>
          <w:pgMar w:top="400" w:right="1178" w:bottom="1240" w:left="1405" w:header="0" w:footer="1077" w:gutter="0"/>
          <w:cols w:space="720" w:num="1"/>
        </w:sectPr>
      </w:pPr>
    </w:p>
    <w:p w14:paraId="7DBFE28C">
      <w:pPr>
        <w:spacing w:before="13"/>
      </w:pPr>
    </w:p>
    <w:p w14:paraId="12F95795">
      <w:pPr>
        <w:spacing w:before="13"/>
      </w:pPr>
    </w:p>
    <w:p w14:paraId="13E073AF">
      <w:pPr>
        <w:spacing w:before="13"/>
      </w:pPr>
    </w:p>
    <w:p w14:paraId="6B582A39">
      <w:pPr>
        <w:spacing w:before="12"/>
      </w:pPr>
    </w:p>
    <w:tbl>
      <w:tblPr>
        <w:tblStyle w:val="5"/>
        <w:tblW w:w="93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30"/>
      </w:tblGrid>
      <w:tr w14:paraId="0783E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46" w:hRule="atLeast"/>
        </w:trPr>
        <w:tc>
          <w:tcPr>
            <w:tcW w:w="478" w:type="dxa"/>
            <w:tcBorders>
              <w:right w:val="single" w:color="000000" w:sz="2" w:space="0"/>
            </w:tcBorders>
            <w:vAlign w:val="top"/>
          </w:tcPr>
          <w:p w14:paraId="0E2028B3">
            <w:pPr>
              <w:rPr>
                <w:rFonts w:ascii="Arial"/>
                <w:sz w:val="21"/>
              </w:rPr>
            </w:pPr>
          </w:p>
        </w:tc>
        <w:tc>
          <w:tcPr>
            <w:tcW w:w="8830" w:type="dxa"/>
            <w:tcBorders>
              <w:left w:val="single" w:color="000000" w:sz="2" w:space="0"/>
            </w:tcBorders>
            <w:vAlign w:val="top"/>
          </w:tcPr>
          <w:p w14:paraId="605FF791">
            <w:pPr>
              <w:pStyle w:val="6"/>
              <w:spacing w:before="38" w:line="358" w:lineRule="auto"/>
              <w:ind w:left="106" w:right="41" w:firstLine="480"/>
              <w:jc w:val="both"/>
              <w:rPr>
                <w:sz w:val="24"/>
                <w:szCs w:val="24"/>
              </w:rPr>
            </w:pPr>
            <w:r>
              <w:rPr>
                <w:spacing w:val="-4"/>
                <w:sz w:val="24"/>
                <w:szCs w:val="24"/>
              </w:rPr>
              <w:t>施工废水主要来源于混凝土搅拌、养护及洗手废水等，主要污染物均为</w:t>
            </w:r>
            <w:r>
              <w:rPr>
                <w:spacing w:val="-38"/>
                <w:sz w:val="24"/>
                <w:szCs w:val="24"/>
              </w:rPr>
              <w:t xml:space="preserve"> </w:t>
            </w:r>
            <w:r>
              <w:rPr>
                <w:rFonts w:ascii="Times New Roman" w:hAnsi="Times New Roman" w:eastAsia="Times New Roman" w:cs="Times New Roman"/>
                <w:spacing w:val="-4"/>
                <w:sz w:val="24"/>
                <w:szCs w:val="24"/>
              </w:rPr>
              <w:t>SS</w:t>
            </w:r>
            <w:r>
              <w:rPr>
                <w:spacing w:val="-4"/>
                <w:sz w:val="24"/>
                <w:szCs w:val="24"/>
              </w:rPr>
              <w:t>，输</w:t>
            </w:r>
            <w:r>
              <w:rPr>
                <w:spacing w:val="-6"/>
                <w:sz w:val="24"/>
                <w:szCs w:val="24"/>
              </w:rPr>
              <w:t>电线路塔基施工比较分散，施工废水主要来源于塔基混凝土拌合，根据同类型项目，</w:t>
            </w:r>
            <w:r>
              <w:rPr>
                <w:spacing w:val="1"/>
                <w:sz w:val="24"/>
                <w:szCs w:val="24"/>
              </w:rPr>
              <w:t>施工期输电线路塔基施工产生废水量约</w:t>
            </w:r>
            <w:r>
              <w:rPr>
                <w:spacing w:val="-44"/>
                <w:sz w:val="24"/>
                <w:szCs w:val="24"/>
              </w:rPr>
              <w:t xml:space="preserve"> </w:t>
            </w:r>
            <w:r>
              <w:rPr>
                <w:rFonts w:ascii="Times New Roman" w:hAnsi="Times New Roman" w:eastAsia="Times New Roman" w:cs="Times New Roman"/>
                <w:spacing w:val="1"/>
                <w:sz w:val="24"/>
                <w:szCs w:val="24"/>
              </w:rPr>
              <w:t>0.52m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4"/>
                <w:szCs w:val="24"/>
              </w:rPr>
              <w:t>/</w:t>
            </w:r>
            <w:r>
              <w:rPr>
                <w:spacing w:val="1"/>
                <w:sz w:val="24"/>
                <w:szCs w:val="24"/>
              </w:rPr>
              <w:t>基，本项目输电线路共新建塔基</w:t>
            </w:r>
            <w:r>
              <w:rPr>
                <w:spacing w:val="-56"/>
                <w:sz w:val="24"/>
                <w:szCs w:val="24"/>
              </w:rPr>
              <w:t xml:space="preserve"> </w:t>
            </w:r>
            <w:r>
              <w:rPr>
                <w:rFonts w:ascii="Times New Roman" w:hAnsi="Times New Roman" w:eastAsia="Times New Roman" w:cs="Times New Roman"/>
                <w:spacing w:val="1"/>
                <w:sz w:val="24"/>
                <w:szCs w:val="24"/>
              </w:rPr>
              <w:t>45</w:t>
            </w:r>
            <w:r>
              <w:rPr>
                <w:spacing w:val="-1"/>
                <w:sz w:val="24"/>
                <w:szCs w:val="24"/>
              </w:rPr>
              <w:t>基，整个施工期塔基施工废水产生量为</w:t>
            </w:r>
            <w:r>
              <w:rPr>
                <w:spacing w:val="-55"/>
                <w:sz w:val="24"/>
                <w:szCs w:val="24"/>
              </w:rPr>
              <w:t xml:space="preserve"> </w:t>
            </w:r>
            <w:r>
              <w:rPr>
                <w:rFonts w:ascii="Times New Roman" w:hAnsi="Times New Roman" w:eastAsia="Times New Roman" w:cs="Times New Roman"/>
                <w:spacing w:val="-1"/>
                <w:sz w:val="24"/>
                <w:szCs w:val="24"/>
              </w:rPr>
              <w:t>23.</w:t>
            </w:r>
            <w:r>
              <w:rPr>
                <w:rFonts w:ascii="Times New Roman" w:hAnsi="Times New Roman" w:eastAsia="Times New Roman" w:cs="Times New Roman"/>
                <w:spacing w:val="-2"/>
                <w:sz w:val="24"/>
                <w:szCs w:val="24"/>
              </w:rPr>
              <w:t>4m</w:t>
            </w:r>
            <w:r>
              <w:rPr>
                <w:rFonts w:ascii="Times New Roman" w:hAnsi="Times New Roman" w:eastAsia="Times New Roman" w:cs="Times New Roman"/>
                <w:spacing w:val="-2"/>
                <w:position w:val="7"/>
                <w:sz w:val="15"/>
                <w:szCs w:val="15"/>
              </w:rPr>
              <w:t>3</w:t>
            </w:r>
            <w:r>
              <w:rPr>
                <w:spacing w:val="-2"/>
                <w:sz w:val="24"/>
                <w:szCs w:val="24"/>
              </w:rPr>
              <w:t>。输电线路每个塔基产生建筑施工废</w:t>
            </w:r>
            <w:r>
              <w:rPr>
                <w:spacing w:val="-1"/>
                <w:sz w:val="24"/>
                <w:szCs w:val="24"/>
              </w:rPr>
              <w:t>水量较少，经临时沉砂桶（</w:t>
            </w:r>
            <w:r>
              <w:rPr>
                <w:rFonts w:ascii="Times New Roman" w:hAnsi="Times New Roman" w:eastAsia="Times New Roman" w:cs="Times New Roman"/>
                <w:spacing w:val="-1"/>
                <w:sz w:val="24"/>
                <w:szCs w:val="24"/>
              </w:rPr>
              <w:t>0.6m</w:t>
            </w:r>
            <w:r>
              <w:rPr>
                <w:rFonts w:ascii="Times New Roman" w:hAnsi="Times New Roman" w:eastAsia="Times New Roman" w:cs="Times New Roman"/>
                <w:spacing w:val="-1"/>
                <w:position w:val="1"/>
                <w:sz w:val="15"/>
                <w:szCs w:val="15"/>
              </w:rPr>
              <w:t>3</w:t>
            </w:r>
            <w:r>
              <w:rPr>
                <w:spacing w:val="-1"/>
                <w:position w:val="1"/>
                <w:sz w:val="24"/>
                <w:szCs w:val="24"/>
              </w:rPr>
              <w:t>）</w:t>
            </w:r>
            <w:r>
              <w:rPr>
                <w:spacing w:val="-1"/>
                <w:sz w:val="24"/>
                <w:szCs w:val="24"/>
              </w:rPr>
              <w:t>沉淀后就近回用于</w:t>
            </w:r>
            <w:r>
              <w:rPr>
                <w:spacing w:val="-2"/>
                <w:sz w:val="24"/>
                <w:szCs w:val="24"/>
              </w:rPr>
              <w:t>塔基施工作业和洒水降尘等，</w:t>
            </w:r>
            <w:r>
              <w:rPr>
                <w:spacing w:val="-3"/>
                <w:sz w:val="24"/>
                <w:szCs w:val="24"/>
              </w:rPr>
              <w:t>不外排。</w:t>
            </w:r>
          </w:p>
          <w:p w14:paraId="59DB53F2">
            <w:pPr>
              <w:pStyle w:val="6"/>
              <w:spacing w:line="359" w:lineRule="auto"/>
              <w:ind w:left="102" w:right="103" w:firstLine="484"/>
              <w:jc w:val="both"/>
              <w:rPr>
                <w:sz w:val="24"/>
                <w:szCs w:val="24"/>
              </w:rPr>
            </w:pPr>
            <w:r>
              <w:rPr>
                <w:spacing w:val="2"/>
                <w:sz w:val="24"/>
                <w:szCs w:val="24"/>
              </w:rPr>
              <w:t>输电线路平均每天施工人员约</w:t>
            </w:r>
            <w:r>
              <w:rPr>
                <w:spacing w:val="-42"/>
                <w:sz w:val="24"/>
                <w:szCs w:val="24"/>
              </w:rPr>
              <w:t xml:space="preserve"> </w:t>
            </w:r>
            <w:r>
              <w:rPr>
                <w:rFonts w:ascii="Times New Roman" w:hAnsi="Times New Roman" w:eastAsia="Times New Roman" w:cs="Times New Roman"/>
                <w:spacing w:val="2"/>
                <w:sz w:val="24"/>
                <w:szCs w:val="24"/>
              </w:rPr>
              <w:t xml:space="preserve">30 </w:t>
            </w:r>
            <w:r>
              <w:rPr>
                <w:spacing w:val="2"/>
                <w:sz w:val="24"/>
                <w:szCs w:val="24"/>
              </w:rPr>
              <w:t>人，施工人员现场用水主要为洗手用水，人</w:t>
            </w:r>
            <w:r>
              <w:rPr>
                <w:spacing w:val="1"/>
                <w:sz w:val="24"/>
                <w:szCs w:val="24"/>
              </w:rPr>
              <w:t>均用水量取</w:t>
            </w:r>
            <w:r>
              <w:rPr>
                <w:spacing w:val="-27"/>
                <w:sz w:val="24"/>
                <w:szCs w:val="24"/>
              </w:rPr>
              <w:t xml:space="preserve"> </w:t>
            </w:r>
            <w:r>
              <w:rPr>
                <w:rFonts w:ascii="Times New Roman" w:hAnsi="Times New Roman" w:eastAsia="Times New Roman" w:cs="Times New Roman"/>
                <w:spacing w:val="1"/>
                <w:sz w:val="24"/>
                <w:szCs w:val="24"/>
              </w:rPr>
              <w:t>10L/d</w:t>
            </w:r>
            <w:r>
              <w:rPr>
                <w:rFonts w:ascii="Times New Roman" w:hAnsi="Times New Roman" w:eastAsia="Times New Roman" w:cs="Times New Roman"/>
                <w:spacing w:val="-27"/>
                <w:sz w:val="24"/>
                <w:szCs w:val="24"/>
              </w:rPr>
              <w:t xml:space="preserve"> </w:t>
            </w:r>
            <w:r>
              <w:rPr>
                <w:spacing w:val="1"/>
                <w:sz w:val="24"/>
                <w:szCs w:val="24"/>
              </w:rPr>
              <w:t>，产生系数按</w:t>
            </w:r>
            <w:r>
              <w:rPr>
                <w:spacing w:val="-46"/>
                <w:sz w:val="24"/>
                <w:szCs w:val="24"/>
              </w:rPr>
              <w:t xml:space="preserve"> </w:t>
            </w:r>
            <w:r>
              <w:rPr>
                <w:rFonts w:ascii="Times New Roman" w:hAnsi="Times New Roman" w:eastAsia="Times New Roman" w:cs="Times New Roman"/>
                <w:spacing w:val="1"/>
                <w:sz w:val="24"/>
                <w:szCs w:val="24"/>
              </w:rPr>
              <w:t xml:space="preserve">0.9 </w:t>
            </w:r>
            <w:r>
              <w:rPr>
                <w:spacing w:val="1"/>
                <w:sz w:val="24"/>
                <w:szCs w:val="24"/>
              </w:rPr>
              <w:t>计算，预计输电线路施工期生活污水产生量为</w:t>
            </w:r>
            <w:r>
              <w:rPr>
                <w:rFonts w:ascii="Times New Roman" w:hAnsi="Times New Roman" w:eastAsia="Times New Roman" w:cs="Times New Roman"/>
                <w:sz w:val="24"/>
                <w:szCs w:val="24"/>
              </w:rPr>
              <w:t>0.27m</w:t>
            </w:r>
            <w:r>
              <w:rPr>
                <w:rFonts w:ascii="Times New Roman" w:hAnsi="Times New Roman" w:eastAsia="Times New Roman" w:cs="Times New Roman"/>
                <w:position w:val="7"/>
                <w:sz w:val="15"/>
                <w:szCs w:val="15"/>
              </w:rPr>
              <w:t>3</w:t>
            </w:r>
            <w:r>
              <w:rPr>
                <w:rFonts w:ascii="Times New Roman" w:hAnsi="Times New Roman" w:eastAsia="Times New Roman" w:cs="Times New Roman"/>
                <w:sz w:val="24"/>
                <w:szCs w:val="24"/>
              </w:rPr>
              <w:t>/d</w:t>
            </w:r>
            <w:r>
              <w:rPr>
                <w:rFonts w:ascii="Times New Roman" w:hAnsi="Times New Roman" w:eastAsia="Times New Roman" w:cs="Times New Roman"/>
                <w:spacing w:val="-30"/>
                <w:sz w:val="24"/>
                <w:szCs w:val="24"/>
              </w:rPr>
              <w:t xml:space="preserve"> </w:t>
            </w:r>
            <w:r>
              <w:rPr>
                <w:sz w:val="24"/>
                <w:szCs w:val="24"/>
              </w:rPr>
              <w:t>，施工期为</w:t>
            </w:r>
            <w:r>
              <w:rPr>
                <w:spacing w:val="-48"/>
                <w:sz w:val="24"/>
                <w:szCs w:val="24"/>
              </w:rPr>
              <w:t xml:space="preserve"> </w:t>
            </w:r>
            <w:r>
              <w:rPr>
                <w:rFonts w:ascii="Times New Roman" w:hAnsi="Times New Roman" w:eastAsia="Times New Roman" w:cs="Times New Roman"/>
                <w:sz w:val="24"/>
                <w:szCs w:val="24"/>
              </w:rPr>
              <w:t xml:space="preserve">6 </w:t>
            </w:r>
            <w:r>
              <w:rPr>
                <w:sz w:val="24"/>
                <w:szCs w:val="24"/>
              </w:rPr>
              <w:t>个月（按</w:t>
            </w:r>
            <w:r>
              <w:rPr>
                <w:spacing w:val="-45"/>
                <w:sz w:val="24"/>
                <w:szCs w:val="24"/>
              </w:rPr>
              <w:t xml:space="preserve"> </w:t>
            </w:r>
            <w:r>
              <w:rPr>
                <w:rFonts w:ascii="Times New Roman" w:hAnsi="Times New Roman" w:eastAsia="Times New Roman" w:cs="Times New Roman"/>
                <w:sz w:val="24"/>
                <w:szCs w:val="24"/>
              </w:rPr>
              <w:t>30d/</w:t>
            </w:r>
            <w:r>
              <w:rPr>
                <w:sz w:val="24"/>
                <w:szCs w:val="24"/>
              </w:rPr>
              <w:t>月计</w:t>
            </w:r>
            <w:r>
              <w:rPr>
                <w:spacing w:val="6"/>
                <w:sz w:val="24"/>
                <w:szCs w:val="24"/>
              </w:rPr>
              <w:t>），</w:t>
            </w:r>
            <w:r>
              <w:rPr>
                <w:sz w:val="24"/>
                <w:szCs w:val="24"/>
              </w:rPr>
              <w:t>输电线路施</w:t>
            </w:r>
            <w:r>
              <w:rPr>
                <w:spacing w:val="-1"/>
                <w:sz w:val="24"/>
                <w:szCs w:val="24"/>
              </w:rPr>
              <w:t>工期生活污水产生总量约</w:t>
            </w:r>
            <w:r>
              <w:rPr>
                <w:rFonts w:ascii="Times New Roman" w:hAnsi="Times New Roman" w:eastAsia="Times New Roman" w:cs="Times New Roman"/>
                <w:spacing w:val="-2"/>
                <w:sz w:val="24"/>
                <w:szCs w:val="24"/>
              </w:rPr>
              <w:t>48.62m</w:t>
            </w:r>
            <w:r>
              <w:rPr>
                <w:rFonts w:ascii="Times New Roman" w:hAnsi="Times New Roman" w:eastAsia="Times New Roman" w:cs="Times New Roman"/>
                <w:spacing w:val="-16"/>
                <w:sz w:val="24"/>
                <w:szCs w:val="24"/>
              </w:rPr>
              <w:t xml:space="preserve"> </w:t>
            </w:r>
            <w:r>
              <w:rPr>
                <w:spacing w:val="-2"/>
                <w:sz w:val="24"/>
                <w:szCs w:val="24"/>
              </w:rPr>
              <w:t>。施工人员租用当地民房，生活污水依托原有污水处置设施（公厕、所租民</w:t>
            </w:r>
            <w:r>
              <w:rPr>
                <w:spacing w:val="-1"/>
                <w:sz w:val="24"/>
                <w:szCs w:val="24"/>
              </w:rPr>
              <w:t>房的化粪池）或变电站设置的旱厕收集处置，不外排。采取以上环保措施后，对地表水影响较小。</w:t>
            </w:r>
          </w:p>
          <w:p w14:paraId="4FA2B5F1">
            <w:pPr>
              <w:pStyle w:val="6"/>
              <w:spacing w:line="220" w:lineRule="auto"/>
              <w:ind w:left="599"/>
              <w:rPr>
                <w:sz w:val="24"/>
                <w:szCs w:val="24"/>
              </w:rPr>
            </w:pPr>
            <w:r>
              <w:rPr>
                <w:b/>
                <w:bCs/>
                <w:spacing w:val="-5"/>
                <w:sz w:val="24"/>
                <w:szCs w:val="24"/>
              </w:rPr>
              <w:t>（</w:t>
            </w:r>
            <w:r>
              <w:rPr>
                <w:rFonts w:ascii="Times New Roman" w:hAnsi="Times New Roman" w:eastAsia="Times New Roman" w:cs="Times New Roman"/>
                <w:b/>
                <w:bCs/>
                <w:spacing w:val="-5"/>
                <w:sz w:val="24"/>
                <w:szCs w:val="24"/>
              </w:rPr>
              <w:t>2</w:t>
            </w:r>
            <w:r>
              <w:rPr>
                <w:b/>
                <w:bCs/>
                <w:spacing w:val="-5"/>
                <w:sz w:val="24"/>
                <w:szCs w:val="24"/>
              </w:rPr>
              <w:t>）变电站工程</w:t>
            </w:r>
          </w:p>
          <w:p w14:paraId="674B5D38">
            <w:pPr>
              <w:pStyle w:val="6"/>
              <w:spacing w:before="182" w:line="357" w:lineRule="auto"/>
              <w:ind w:left="108" w:right="41" w:firstLine="479"/>
              <w:jc w:val="both"/>
              <w:rPr>
                <w:sz w:val="24"/>
                <w:szCs w:val="24"/>
              </w:rPr>
            </w:pPr>
            <w:r>
              <w:rPr>
                <w:spacing w:val="-1"/>
                <w:sz w:val="24"/>
                <w:szCs w:val="24"/>
              </w:rPr>
              <w:t>变电站施工废水主要来源于混凝土拌合、养护，根据同类型项目以及建设单位</w:t>
            </w:r>
            <w:r>
              <w:rPr>
                <w:spacing w:val="-2"/>
                <w:sz w:val="24"/>
                <w:szCs w:val="24"/>
              </w:rPr>
              <w:t>经验数据，变电站施工工期约</w:t>
            </w:r>
            <w:r>
              <w:rPr>
                <w:spacing w:val="-32"/>
                <w:sz w:val="24"/>
                <w:szCs w:val="24"/>
              </w:rPr>
              <w:t xml:space="preserve"> </w:t>
            </w:r>
            <w:r>
              <w:rPr>
                <w:rFonts w:ascii="Times New Roman" w:hAnsi="Times New Roman" w:eastAsia="Times New Roman" w:cs="Times New Roman"/>
                <w:spacing w:val="-2"/>
                <w:sz w:val="24"/>
                <w:szCs w:val="24"/>
              </w:rPr>
              <w:t xml:space="preserve">12 </w:t>
            </w:r>
            <w:r>
              <w:rPr>
                <w:spacing w:val="-2"/>
                <w:sz w:val="24"/>
                <w:szCs w:val="24"/>
              </w:rPr>
              <w:t>个月，废水产生量约</w:t>
            </w:r>
            <w:r>
              <w:rPr>
                <w:spacing w:val="-32"/>
                <w:sz w:val="24"/>
                <w:szCs w:val="24"/>
              </w:rPr>
              <w:t xml:space="preserve"> </w:t>
            </w:r>
            <w:r>
              <w:rPr>
                <w:rFonts w:ascii="Times New Roman" w:hAnsi="Times New Roman" w:eastAsia="Times New Roman" w:cs="Times New Roman"/>
                <w:spacing w:val="-2"/>
                <w:sz w:val="24"/>
                <w:szCs w:val="24"/>
              </w:rPr>
              <w:t>1.0m</w:t>
            </w:r>
            <w:r>
              <w:rPr>
                <w:rFonts w:ascii="Times New Roman" w:hAnsi="Times New Roman" w:eastAsia="Times New Roman" w:cs="Times New Roman"/>
                <w:spacing w:val="-2"/>
                <w:position w:val="7"/>
                <w:sz w:val="15"/>
                <w:szCs w:val="15"/>
              </w:rPr>
              <w:t>3</w:t>
            </w:r>
            <w:r>
              <w:rPr>
                <w:rFonts w:ascii="Times New Roman" w:hAnsi="Times New Roman" w:eastAsia="Times New Roman" w:cs="Times New Roman"/>
                <w:spacing w:val="-3"/>
                <w:sz w:val="24"/>
                <w:szCs w:val="24"/>
              </w:rPr>
              <w:t>/d</w:t>
            </w:r>
            <w:r>
              <w:rPr>
                <w:rFonts w:ascii="Times New Roman" w:hAnsi="Times New Roman" w:eastAsia="Times New Roman" w:cs="Times New Roman"/>
                <w:spacing w:val="-34"/>
                <w:sz w:val="24"/>
                <w:szCs w:val="24"/>
              </w:rPr>
              <w:t xml:space="preserve"> </w:t>
            </w:r>
            <w:r>
              <w:rPr>
                <w:spacing w:val="-3"/>
                <w:sz w:val="24"/>
                <w:szCs w:val="24"/>
              </w:rPr>
              <w:t>，施工废水产生量为</w:t>
            </w:r>
            <w:r>
              <w:rPr>
                <w:rFonts w:ascii="Times New Roman" w:hAnsi="Times New Roman" w:eastAsia="Times New Roman" w:cs="Times New Roman"/>
                <w:spacing w:val="-5"/>
                <w:sz w:val="24"/>
                <w:szCs w:val="24"/>
              </w:rPr>
              <w:t>360m</w:t>
            </w:r>
            <w:r>
              <w:rPr>
                <w:rFonts w:ascii="Times New Roman" w:hAnsi="Times New Roman" w:eastAsia="Times New Roman" w:cs="Times New Roman"/>
                <w:spacing w:val="-5"/>
                <w:position w:val="8"/>
                <w:sz w:val="15"/>
                <w:szCs w:val="15"/>
              </w:rPr>
              <w:t>3</w:t>
            </w:r>
            <w:r>
              <w:rPr>
                <w:spacing w:val="-5"/>
                <w:sz w:val="24"/>
                <w:szCs w:val="24"/>
              </w:rPr>
              <w:t>，施工废水经临时沉砂桶（</w:t>
            </w:r>
            <w:r>
              <w:rPr>
                <w:rFonts w:ascii="Times New Roman" w:hAnsi="Times New Roman" w:eastAsia="Times New Roman" w:cs="Times New Roman"/>
                <w:spacing w:val="-5"/>
                <w:sz w:val="24"/>
                <w:szCs w:val="24"/>
              </w:rPr>
              <w:t>1.0m</w:t>
            </w:r>
            <w:r>
              <w:rPr>
                <w:rFonts w:ascii="Times New Roman" w:hAnsi="Times New Roman" w:eastAsia="Times New Roman" w:cs="Times New Roman"/>
                <w:spacing w:val="-5"/>
                <w:position w:val="1"/>
                <w:sz w:val="15"/>
                <w:szCs w:val="15"/>
              </w:rPr>
              <w:t>3</w:t>
            </w:r>
            <w:r>
              <w:rPr>
                <w:spacing w:val="-5"/>
                <w:position w:val="1"/>
                <w:sz w:val="24"/>
                <w:szCs w:val="24"/>
              </w:rPr>
              <w:t>）</w:t>
            </w:r>
            <w:r>
              <w:rPr>
                <w:spacing w:val="-5"/>
                <w:sz w:val="24"/>
                <w:szCs w:val="24"/>
              </w:rPr>
              <w:t>沉淀后回用于场地混凝土搅拌和洒水降尘，</w:t>
            </w:r>
            <w:r>
              <w:rPr>
                <w:spacing w:val="-3"/>
                <w:sz w:val="24"/>
                <w:szCs w:val="24"/>
              </w:rPr>
              <w:t>不外排。</w:t>
            </w:r>
          </w:p>
          <w:p w14:paraId="5C30FBA3">
            <w:pPr>
              <w:pStyle w:val="6"/>
              <w:spacing w:line="359" w:lineRule="auto"/>
              <w:ind w:left="107" w:right="103" w:firstLine="480"/>
              <w:jc w:val="both"/>
              <w:rPr>
                <w:sz w:val="24"/>
                <w:szCs w:val="24"/>
              </w:rPr>
            </w:pPr>
            <w:r>
              <w:rPr>
                <w:sz w:val="24"/>
                <w:szCs w:val="24"/>
              </w:rPr>
              <w:t>变电站平均每天施工人员约</w:t>
            </w:r>
            <w:r>
              <w:rPr>
                <w:rFonts w:ascii="Times New Roman" w:hAnsi="Times New Roman" w:eastAsia="Times New Roman" w:cs="Times New Roman"/>
                <w:sz w:val="24"/>
                <w:szCs w:val="24"/>
              </w:rPr>
              <w:t xml:space="preserve">30 </w:t>
            </w:r>
            <w:r>
              <w:rPr>
                <w:sz w:val="24"/>
                <w:szCs w:val="24"/>
              </w:rPr>
              <w:t>人，施工人员</w:t>
            </w:r>
            <w:r>
              <w:rPr>
                <w:spacing w:val="-1"/>
                <w:sz w:val="24"/>
                <w:szCs w:val="24"/>
              </w:rPr>
              <w:t>现场用水量取</w:t>
            </w:r>
            <w:r>
              <w:rPr>
                <w:spacing w:val="-49"/>
                <w:sz w:val="24"/>
                <w:szCs w:val="24"/>
              </w:rPr>
              <w:t xml:space="preserve"> </w:t>
            </w:r>
            <w:r>
              <w:rPr>
                <w:rFonts w:ascii="Times New Roman" w:hAnsi="Times New Roman" w:eastAsia="Times New Roman" w:cs="Times New Roman"/>
                <w:spacing w:val="-1"/>
                <w:sz w:val="24"/>
                <w:szCs w:val="24"/>
              </w:rPr>
              <w:t>50L/d</w:t>
            </w:r>
            <w:r>
              <w:rPr>
                <w:spacing w:val="-1"/>
                <w:sz w:val="24"/>
                <w:szCs w:val="24"/>
              </w:rPr>
              <w:t>，产生系数按</w:t>
            </w:r>
            <w:r>
              <w:rPr>
                <w:rFonts w:ascii="Times New Roman" w:hAnsi="Times New Roman" w:eastAsia="Times New Roman" w:cs="Times New Roman"/>
                <w:spacing w:val="-6"/>
                <w:sz w:val="24"/>
                <w:szCs w:val="24"/>
              </w:rPr>
              <w:t xml:space="preserve">0.9 </w:t>
            </w:r>
            <w:r>
              <w:rPr>
                <w:spacing w:val="-6"/>
                <w:sz w:val="24"/>
                <w:szCs w:val="24"/>
              </w:rPr>
              <w:t>计算，预计变电站施工期每天生活</w:t>
            </w:r>
            <w:r>
              <w:rPr>
                <w:spacing w:val="-7"/>
                <w:sz w:val="24"/>
                <w:szCs w:val="24"/>
              </w:rPr>
              <w:t>污水产生量为</w:t>
            </w:r>
            <w:r>
              <w:rPr>
                <w:spacing w:val="-32"/>
                <w:sz w:val="24"/>
                <w:szCs w:val="24"/>
              </w:rPr>
              <w:t xml:space="preserve"> </w:t>
            </w:r>
            <w:r>
              <w:rPr>
                <w:rFonts w:ascii="Times New Roman" w:hAnsi="Times New Roman" w:eastAsia="Times New Roman" w:cs="Times New Roman"/>
                <w:spacing w:val="-7"/>
                <w:sz w:val="24"/>
                <w:szCs w:val="24"/>
              </w:rPr>
              <w:t>1.35m</w:t>
            </w:r>
            <w:r>
              <w:rPr>
                <w:rFonts w:ascii="Times New Roman" w:hAnsi="Times New Roman" w:eastAsia="Times New Roman" w:cs="Times New Roman"/>
                <w:spacing w:val="-7"/>
                <w:position w:val="7"/>
                <w:sz w:val="15"/>
                <w:szCs w:val="15"/>
              </w:rPr>
              <w:t>3</w:t>
            </w:r>
            <w:r>
              <w:rPr>
                <w:rFonts w:ascii="Times New Roman" w:hAnsi="Times New Roman" w:eastAsia="Times New Roman" w:cs="Times New Roman"/>
                <w:spacing w:val="-7"/>
                <w:sz w:val="24"/>
                <w:szCs w:val="24"/>
              </w:rPr>
              <w:t>/d</w:t>
            </w:r>
            <w:r>
              <w:rPr>
                <w:spacing w:val="-7"/>
                <w:sz w:val="24"/>
                <w:szCs w:val="24"/>
              </w:rPr>
              <w:t>，施工期为</w:t>
            </w:r>
            <w:r>
              <w:rPr>
                <w:spacing w:val="-32"/>
                <w:sz w:val="24"/>
                <w:szCs w:val="24"/>
              </w:rPr>
              <w:t xml:space="preserve"> </w:t>
            </w:r>
            <w:r>
              <w:rPr>
                <w:rFonts w:ascii="Times New Roman" w:hAnsi="Times New Roman" w:eastAsia="Times New Roman" w:cs="Times New Roman"/>
                <w:spacing w:val="-7"/>
                <w:sz w:val="24"/>
                <w:szCs w:val="24"/>
              </w:rPr>
              <w:t xml:space="preserve">12 </w:t>
            </w:r>
            <w:r>
              <w:rPr>
                <w:spacing w:val="-7"/>
                <w:sz w:val="24"/>
                <w:szCs w:val="24"/>
              </w:rPr>
              <w:t>个月（按</w:t>
            </w:r>
            <w:r>
              <w:rPr>
                <w:rFonts w:ascii="Times New Roman" w:hAnsi="Times New Roman" w:eastAsia="Times New Roman" w:cs="Times New Roman"/>
                <w:sz w:val="24"/>
                <w:szCs w:val="24"/>
              </w:rPr>
              <w:t>30d/</w:t>
            </w:r>
            <w:r>
              <w:rPr>
                <w:sz w:val="24"/>
                <w:szCs w:val="24"/>
              </w:rPr>
              <w:t>月计</w:t>
            </w:r>
            <w:r>
              <w:rPr>
                <w:spacing w:val="10"/>
                <w:sz w:val="24"/>
                <w:szCs w:val="24"/>
              </w:rPr>
              <w:t>），</w:t>
            </w:r>
            <w:r>
              <w:rPr>
                <w:sz w:val="24"/>
                <w:szCs w:val="24"/>
              </w:rPr>
              <w:t>则变电站施工期生活污水产生总量约</w:t>
            </w:r>
            <w:r>
              <w:rPr>
                <w:spacing w:val="-53"/>
                <w:sz w:val="24"/>
                <w:szCs w:val="24"/>
              </w:rPr>
              <w:t xml:space="preserve"> </w:t>
            </w:r>
            <w:r>
              <w:rPr>
                <w:rFonts w:ascii="Times New Roman" w:hAnsi="Times New Roman" w:eastAsia="Times New Roman" w:cs="Times New Roman"/>
                <w:sz w:val="24"/>
                <w:szCs w:val="24"/>
              </w:rPr>
              <w:t>486m</w:t>
            </w:r>
            <w:r>
              <w:rPr>
                <w:rFonts w:ascii="Times New Roman" w:hAnsi="Times New Roman" w:eastAsia="Times New Roman" w:cs="Times New Roman"/>
                <w:position w:val="8"/>
                <w:sz w:val="15"/>
                <w:szCs w:val="15"/>
              </w:rPr>
              <w:t xml:space="preserve">3 </w:t>
            </w:r>
            <w:r>
              <w:rPr>
                <w:sz w:val="24"/>
                <w:szCs w:val="24"/>
              </w:rPr>
              <w:t>。施工人员生</w:t>
            </w:r>
            <w:r>
              <w:rPr>
                <w:spacing w:val="-1"/>
                <w:sz w:val="24"/>
                <w:szCs w:val="24"/>
              </w:rPr>
              <w:t>活污水设置</w:t>
            </w:r>
            <w:r>
              <w:rPr>
                <w:sz w:val="24"/>
                <w:szCs w:val="24"/>
              </w:rPr>
              <w:t>临时旱厕收集后委托环卫部门清运，不外排，对周边</w:t>
            </w:r>
            <w:r>
              <w:rPr>
                <w:spacing w:val="-1"/>
                <w:sz w:val="24"/>
                <w:szCs w:val="24"/>
              </w:rPr>
              <w:t>地表水体的影响很小。</w:t>
            </w:r>
          </w:p>
          <w:p w14:paraId="5376C8D4">
            <w:pPr>
              <w:pStyle w:val="6"/>
              <w:spacing w:before="1" w:line="219" w:lineRule="auto"/>
              <w:ind w:left="599"/>
              <w:rPr>
                <w:sz w:val="24"/>
                <w:szCs w:val="24"/>
              </w:rPr>
            </w:pPr>
            <w:r>
              <w:rPr>
                <w:b/>
                <w:bCs/>
                <w:spacing w:val="-4"/>
                <w:sz w:val="24"/>
                <w:szCs w:val="24"/>
              </w:rPr>
              <w:t>（</w:t>
            </w:r>
            <w:r>
              <w:rPr>
                <w:rFonts w:ascii="Times New Roman" w:hAnsi="Times New Roman" w:eastAsia="Times New Roman" w:cs="Times New Roman"/>
                <w:b/>
                <w:bCs/>
                <w:spacing w:val="-4"/>
                <w:sz w:val="24"/>
                <w:szCs w:val="24"/>
              </w:rPr>
              <w:t>3</w:t>
            </w:r>
            <w:r>
              <w:rPr>
                <w:b/>
                <w:bCs/>
                <w:spacing w:val="-4"/>
                <w:sz w:val="24"/>
                <w:szCs w:val="24"/>
              </w:rPr>
              <w:t>）施工期地表水环境影响分析</w:t>
            </w:r>
          </w:p>
          <w:p w14:paraId="384586FA">
            <w:pPr>
              <w:pStyle w:val="6"/>
              <w:spacing w:before="185" w:line="354" w:lineRule="auto"/>
              <w:ind w:left="102" w:right="103" w:firstLine="486"/>
              <w:jc w:val="both"/>
              <w:rPr>
                <w:sz w:val="24"/>
                <w:szCs w:val="24"/>
              </w:rPr>
            </w:pPr>
            <w:r>
              <w:rPr>
                <w:spacing w:val="-5"/>
                <w:sz w:val="24"/>
                <w:szCs w:val="24"/>
              </w:rPr>
              <w:t>本项目</w:t>
            </w:r>
            <w:r>
              <w:rPr>
                <w:spacing w:val="-32"/>
                <w:sz w:val="24"/>
                <w:szCs w:val="24"/>
              </w:rPr>
              <w:t xml:space="preserve"> </w:t>
            </w:r>
            <w:r>
              <w:rPr>
                <w:rFonts w:ascii="Times New Roman" w:hAnsi="Times New Roman" w:eastAsia="Times New Roman" w:cs="Times New Roman"/>
                <w:spacing w:val="-5"/>
                <w:sz w:val="24"/>
                <w:szCs w:val="24"/>
              </w:rPr>
              <w:t xml:space="preserve">110kV </w:t>
            </w:r>
            <w:r>
              <w:rPr>
                <w:spacing w:val="-5"/>
                <w:sz w:val="24"/>
                <w:szCs w:val="24"/>
              </w:rPr>
              <w:t>松山变“</w:t>
            </w:r>
            <w:r>
              <w:rPr>
                <w:rFonts w:ascii="Times New Roman" w:hAnsi="Times New Roman" w:eastAsia="Times New Roman" w:cs="Times New Roman"/>
                <w:spacing w:val="-5"/>
                <w:sz w:val="24"/>
                <w:szCs w:val="24"/>
              </w:rPr>
              <w:t>T</w:t>
            </w:r>
            <w:r>
              <w:rPr>
                <w:rFonts w:ascii="Times New Roman" w:hAnsi="Times New Roman" w:eastAsia="Times New Roman" w:cs="Times New Roman"/>
                <w:spacing w:val="-26"/>
                <w:sz w:val="24"/>
                <w:szCs w:val="24"/>
              </w:rPr>
              <w:t xml:space="preserve"> </w:t>
            </w:r>
            <w:r>
              <w:rPr>
                <w:spacing w:val="-5"/>
                <w:sz w:val="24"/>
                <w:szCs w:val="24"/>
              </w:rPr>
              <w:t>”接芳华变</w:t>
            </w:r>
            <w:r>
              <w:rPr>
                <w:spacing w:val="-6"/>
                <w:sz w:val="24"/>
                <w:szCs w:val="24"/>
              </w:rPr>
              <w:t>出线π接</w:t>
            </w:r>
            <w:r>
              <w:rPr>
                <w:spacing w:val="-32"/>
                <w:sz w:val="24"/>
                <w:szCs w:val="24"/>
              </w:rPr>
              <w:t xml:space="preserve"> </w:t>
            </w:r>
            <w:r>
              <w:rPr>
                <w:rFonts w:ascii="Times New Roman" w:hAnsi="Times New Roman" w:eastAsia="Times New Roman" w:cs="Times New Roman"/>
                <w:spacing w:val="-6"/>
                <w:sz w:val="24"/>
                <w:szCs w:val="24"/>
              </w:rPr>
              <w:t>110kV</w:t>
            </w:r>
            <w:r>
              <w:rPr>
                <w:rFonts w:ascii="Times New Roman" w:hAnsi="Times New Roman" w:eastAsia="Times New Roman" w:cs="Times New Roman"/>
                <w:spacing w:val="15"/>
                <w:sz w:val="24"/>
                <w:szCs w:val="24"/>
              </w:rPr>
              <w:t xml:space="preserve"> </w:t>
            </w:r>
            <w:r>
              <w:rPr>
                <w:spacing w:val="-6"/>
                <w:sz w:val="24"/>
                <w:szCs w:val="24"/>
              </w:rPr>
              <w:t>吉中线的</w:t>
            </w:r>
            <w:r>
              <w:rPr>
                <w:spacing w:val="-32"/>
                <w:sz w:val="24"/>
                <w:szCs w:val="24"/>
              </w:rPr>
              <w:t xml:space="preserve"> </w:t>
            </w:r>
            <w:r>
              <w:rPr>
                <w:rFonts w:ascii="Times New Roman" w:hAnsi="Times New Roman" w:eastAsia="Times New Roman" w:cs="Times New Roman"/>
                <w:spacing w:val="-6"/>
                <w:sz w:val="24"/>
                <w:szCs w:val="24"/>
              </w:rPr>
              <w:t xml:space="preserve">110kV </w:t>
            </w:r>
            <w:r>
              <w:rPr>
                <w:spacing w:val="-6"/>
                <w:sz w:val="24"/>
                <w:szCs w:val="24"/>
              </w:rPr>
              <w:t>线路塔基</w:t>
            </w:r>
            <w:r>
              <w:rPr>
                <w:rFonts w:ascii="Times New Roman" w:hAnsi="Times New Roman" w:eastAsia="Times New Roman" w:cs="Times New Roman"/>
                <w:sz w:val="24"/>
                <w:szCs w:val="24"/>
              </w:rPr>
              <w:t>BJ</w:t>
            </w:r>
            <w:r>
              <w:rPr>
                <w:rFonts w:ascii="Times New Roman" w:hAnsi="Times New Roman" w:eastAsia="Times New Roman" w:cs="Times New Roman"/>
                <w:spacing w:val="1"/>
                <w:sz w:val="24"/>
                <w:szCs w:val="24"/>
              </w:rPr>
              <w:t>4G-</w:t>
            </w:r>
            <w:r>
              <w:rPr>
                <w:rFonts w:ascii="Times New Roman" w:hAnsi="Times New Roman" w:eastAsia="Times New Roman" w:cs="Times New Roman"/>
                <w:sz w:val="24"/>
                <w:szCs w:val="24"/>
              </w:rPr>
              <w:t>BJ</w:t>
            </w:r>
            <w:r>
              <w:rPr>
                <w:rFonts w:ascii="Times New Roman" w:hAnsi="Times New Roman" w:eastAsia="Times New Roman" w:cs="Times New Roman"/>
                <w:spacing w:val="1"/>
                <w:sz w:val="24"/>
                <w:szCs w:val="24"/>
              </w:rPr>
              <w:t xml:space="preserve">9G </w:t>
            </w:r>
            <w:r>
              <w:rPr>
                <w:spacing w:val="1"/>
                <w:sz w:val="24"/>
                <w:szCs w:val="24"/>
              </w:rPr>
              <w:t>边导线南侧约</w:t>
            </w:r>
            <w:r>
              <w:rPr>
                <w:spacing w:val="-53"/>
                <w:sz w:val="24"/>
                <w:szCs w:val="24"/>
              </w:rPr>
              <w:t xml:space="preserve"> </w:t>
            </w:r>
            <w:r>
              <w:rPr>
                <w:rFonts w:ascii="Times New Roman" w:hAnsi="Times New Roman" w:eastAsia="Times New Roman" w:cs="Times New Roman"/>
                <w:spacing w:val="1"/>
                <w:sz w:val="24"/>
                <w:szCs w:val="24"/>
              </w:rPr>
              <w:t>40m</w:t>
            </w:r>
            <w:r>
              <w:rPr>
                <w:rFonts w:ascii="Times New Roman" w:hAnsi="Times New Roman" w:eastAsia="Times New Roman" w:cs="Times New Roman"/>
                <w:spacing w:val="17"/>
                <w:sz w:val="24"/>
                <w:szCs w:val="24"/>
              </w:rPr>
              <w:t xml:space="preserve"> </w:t>
            </w:r>
            <w:r>
              <w:rPr>
                <w:spacing w:val="1"/>
                <w:sz w:val="24"/>
                <w:szCs w:val="24"/>
              </w:rPr>
              <w:t>处为黑龙村水库，线路</w:t>
            </w:r>
            <w:r>
              <w:rPr>
                <w:spacing w:val="-56"/>
                <w:sz w:val="24"/>
                <w:szCs w:val="24"/>
              </w:rPr>
              <w:t xml:space="preserve"> </w:t>
            </w:r>
            <w:r>
              <w:rPr>
                <w:rFonts w:ascii="Times New Roman" w:hAnsi="Times New Roman" w:eastAsia="Times New Roman" w:cs="Times New Roman"/>
                <w:sz w:val="24"/>
                <w:szCs w:val="24"/>
              </w:rPr>
              <w:t>AZ</w:t>
            </w:r>
            <w:r>
              <w:rPr>
                <w:rFonts w:ascii="Times New Roman" w:hAnsi="Times New Roman" w:eastAsia="Times New Roman" w:cs="Times New Roman"/>
                <w:spacing w:val="1"/>
                <w:sz w:val="24"/>
                <w:szCs w:val="24"/>
              </w:rPr>
              <w:t>14G-</w:t>
            </w:r>
            <w:r>
              <w:rPr>
                <w:rFonts w:ascii="Times New Roman" w:hAnsi="Times New Roman" w:eastAsia="Times New Roman" w:cs="Times New Roman"/>
                <w:sz w:val="24"/>
                <w:szCs w:val="24"/>
              </w:rPr>
              <w:t>AJ</w:t>
            </w:r>
            <w:r>
              <w:rPr>
                <w:rFonts w:ascii="Times New Roman" w:hAnsi="Times New Roman" w:eastAsia="Times New Roman" w:cs="Times New Roman"/>
                <w:spacing w:val="1"/>
                <w:sz w:val="24"/>
                <w:szCs w:val="24"/>
              </w:rPr>
              <w:t>6G</w:t>
            </w:r>
            <w:r>
              <w:rPr>
                <w:rFonts w:ascii="Times New Roman" w:hAnsi="Times New Roman" w:eastAsia="Times New Roman" w:cs="Times New Roman"/>
                <w:sz w:val="24"/>
                <w:szCs w:val="24"/>
              </w:rPr>
              <w:t xml:space="preserve"> </w:t>
            </w:r>
            <w:r>
              <w:rPr>
                <w:sz w:val="24"/>
                <w:szCs w:val="24"/>
              </w:rPr>
              <w:t>之间跨越尖石</w:t>
            </w:r>
            <w:r>
              <w:rPr>
                <w:spacing w:val="-1"/>
                <w:sz w:val="24"/>
                <w:szCs w:val="24"/>
              </w:rPr>
              <w:t>沟。在该处塔基施工时，不设置施工营地，施工时应避开雨季施工；塔基施工产生的施工废水（如混凝土搅拌废水、洗手废水）经废水收集桶收集沉淀后回用于洒水降尘、施工搅拌；线路施工场地尽量布置于远离水体处，严格控制施工范围；在施工区域朝向水体的一侧，适当设置临时沟槽、水池等措施，减少下雨时施工区域的地表径流进入水体，收集的雨水可用于塔基基础养护或植被恢复。施工中注意维护</w:t>
            </w:r>
          </w:p>
        </w:tc>
      </w:tr>
    </w:tbl>
    <w:p w14:paraId="1B06FBB5">
      <w:pPr>
        <w:rPr>
          <w:rFonts w:ascii="Arial"/>
          <w:sz w:val="21"/>
        </w:rPr>
      </w:pPr>
    </w:p>
    <w:p w14:paraId="57383A63">
      <w:pPr>
        <w:rPr>
          <w:rFonts w:ascii="Arial" w:hAnsi="Arial" w:eastAsia="Arial" w:cs="Arial"/>
          <w:sz w:val="21"/>
          <w:szCs w:val="21"/>
        </w:rPr>
        <w:sectPr>
          <w:footerReference r:id="rId100" w:type="default"/>
          <w:pgSz w:w="11907" w:h="16840"/>
          <w:pgMar w:top="400" w:right="1178" w:bottom="1240" w:left="1405" w:header="0" w:footer="1077" w:gutter="0"/>
          <w:cols w:space="720" w:num="1"/>
        </w:sectPr>
      </w:pPr>
    </w:p>
    <w:p w14:paraId="28640ED8">
      <w:pPr>
        <w:spacing w:before="13"/>
      </w:pPr>
    </w:p>
    <w:p w14:paraId="2AE3F12D">
      <w:pPr>
        <w:spacing w:before="13"/>
      </w:pPr>
    </w:p>
    <w:p w14:paraId="1E27429C">
      <w:pPr>
        <w:spacing w:before="13"/>
      </w:pPr>
    </w:p>
    <w:p w14:paraId="5238BBC0">
      <w:pPr>
        <w:spacing w:before="12"/>
      </w:pPr>
    </w:p>
    <w:tbl>
      <w:tblPr>
        <w:tblStyle w:val="5"/>
        <w:tblW w:w="93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30"/>
      </w:tblGrid>
      <w:tr w14:paraId="155CB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46" w:hRule="atLeast"/>
        </w:trPr>
        <w:tc>
          <w:tcPr>
            <w:tcW w:w="478" w:type="dxa"/>
            <w:tcBorders>
              <w:right w:val="single" w:color="000000" w:sz="2" w:space="0"/>
            </w:tcBorders>
            <w:vAlign w:val="top"/>
          </w:tcPr>
          <w:p w14:paraId="5FC59671">
            <w:pPr>
              <w:rPr>
                <w:rFonts w:ascii="Arial"/>
                <w:sz w:val="21"/>
              </w:rPr>
            </w:pPr>
          </w:p>
        </w:tc>
        <w:tc>
          <w:tcPr>
            <w:tcW w:w="8830" w:type="dxa"/>
            <w:tcBorders>
              <w:left w:val="single" w:color="000000" w:sz="2" w:space="0"/>
            </w:tcBorders>
            <w:vAlign w:val="top"/>
          </w:tcPr>
          <w:p w14:paraId="0546E109">
            <w:pPr>
              <w:pStyle w:val="6"/>
              <w:spacing w:before="40" w:line="359" w:lineRule="auto"/>
              <w:ind w:left="106" w:right="22"/>
              <w:rPr>
                <w:sz w:val="24"/>
                <w:szCs w:val="24"/>
              </w:rPr>
            </w:pPr>
            <w:r>
              <w:rPr>
                <w:spacing w:val="-5"/>
                <w:sz w:val="24"/>
                <w:szCs w:val="24"/>
              </w:rPr>
              <w:t>施工机械的正常运行，避免发生施工机械漏油并进入河流的事故，禁止</w:t>
            </w:r>
            <w:r>
              <w:rPr>
                <w:spacing w:val="-6"/>
                <w:sz w:val="24"/>
                <w:szCs w:val="24"/>
              </w:rPr>
              <w:t>向水体排放、</w:t>
            </w:r>
            <w:r>
              <w:rPr>
                <w:sz w:val="24"/>
                <w:szCs w:val="24"/>
              </w:rPr>
              <w:t>倾倒废水、垃圾等。通过采取以上措施，项目施工</w:t>
            </w:r>
            <w:r>
              <w:rPr>
                <w:spacing w:val="-1"/>
                <w:sz w:val="24"/>
                <w:szCs w:val="24"/>
              </w:rPr>
              <w:t>对地表水环境影响较小。</w:t>
            </w:r>
          </w:p>
          <w:p w14:paraId="357FD0A1">
            <w:pPr>
              <w:pStyle w:val="6"/>
              <w:spacing w:line="220" w:lineRule="auto"/>
              <w:ind w:left="102"/>
              <w:rPr>
                <w:sz w:val="24"/>
                <w:szCs w:val="24"/>
              </w:rPr>
            </w:pPr>
            <w:r>
              <w:rPr>
                <w:rFonts w:ascii="Times New Roman" w:hAnsi="Times New Roman" w:eastAsia="Times New Roman" w:cs="Times New Roman"/>
                <w:b/>
                <w:bCs/>
                <w:spacing w:val="-4"/>
                <w:sz w:val="24"/>
                <w:szCs w:val="24"/>
              </w:rPr>
              <w:t>3</w:t>
            </w:r>
            <w:r>
              <w:rPr>
                <w:rFonts w:ascii="Times New Roman" w:hAnsi="Times New Roman" w:eastAsia="Times New Roman" w:cs="Times New Roman"/>
                <w:b/>
                <w:bCs/>
                <w:spacing w:val="-34"/>
                <w:sz w:val="24"/>
                <w:szCs w:val="24"/>
              </w:rPr>
              <w:t xml:space="preserve"> </w:t>
            </w:r>
            <w:r>
              <w:rPr>
                <w:b/>
                <w:bCs/>
                <w:spacing w:val="-4"/>
                <w:sz w:val="24"/>
                <w:szCs w:val="24"/>
              </w:rPr>
              <w:t>、施工期大气环境影响分析</w:t>
            </w:r>
          </w:p>
          <w:p w14:paraId="141ED5F2">
            <w:pPr>
              <w:pStyle w:val="6"/>
              <w:spacing w:before="177" w:line="360" w:lineRule="auto"/>
              <w:ind w:left="106" w:right="103" w:firstLine="481"/>
              <w:jc w:val="both"/>
              <w:rPr>
                <w:sz w:val="24"/>
                <w:szCs w:val="24"/>
              </w:rPr>
            </w:pPr>
            <w:r>
              <w:rPr>
                <w:spacing w:val="-1"/>
                <w:sz w:val="24"/>
                <w:szCs w:val="24"/>
              </w:rPr>
              <w:t>本项目施工人员均不在场内食宿，施工过程中产生的废气为施工过程中产生的扬尘，包括输电线路塔基、变电站以及间隔工程在施工中的土方挖掘扬尘、车辆运输扬尘、物料堆场产生的扬尘、物料装卸等起尘，以及运输车辆、施工机械产生的</w:t>
            </w:r>
            <w:r>
              <w:rPr>
                <w:spacing w:val="-3"/>
                <w:sz w:val="24"/>
                <w:szCs w:val="24"/>
              </w:rPr>
              <w:t>废气。</w:t>
            </w:r>
          </w:p>
          <w:p w14:paraId="4B3DA0B5">
            <w:pPr>
              <w:pStyle w:val="6"/>
              <w:spacing w:line="221" w:lineRule="auto"/>
              <w:ind w:left="599"/>
              <w:rPr>
                <w:sz w:val="24"/>
                <w:szCs w:val="24"/>
              </w:rPr>
            </w:pPr>
            <w:r>
              <w:rPr>
                <w:b/>
                <w:bCs/>
                <w:spacing w:val="-5"/>
                <w:sz w:val="24"/>
                <w:szCs w:val="24"/>
              </w:rPr>
              <w:t>（</w:t>
            </w:r>
            <w:r>
              <w:rPr>
                <w:rFonts w:ascii="Times New Roman" w:hAnsi="Times New Roman" w:eastAsia="Times New Roman" w:cs="Times New Roman"/>
                <w:b/>
                <w:bCs/>
                <w:spacing w:val="-5"/>
                <w:sz w:val="24"/>
                <w:szCs w:val="24"/>
              </w:rPr>
              <w:t>1</w:t>
            </w:r>
            <w:r>
              <w:rPr>
                <w:b/>
                <w:bCs/>
                <w:spacing w:val="-5"/>
                <w:sz w:val="24"/>
                <w:szCs w:val="24"/>
              </w:rPr>
              <w:t>）施工扬尘</w:t>
            </w:r>
          </w:p>
          <w:p w14:paraId="4C7E0CF1">
            <w:pPr>
              <w:pStyle w:val="6"/>
              <w:spacing w:before="179" w:line="359" w:lineRule="auto"/>
              <w:ind w:left="107" w:right="103" w:firstLine="479"/>
              <w:jc w:val="both"/>
              <w:rPr>
                <w:sz w:val="24"/>
                <w:szCs w:val="24"/>
              </w:rPr>
            </w:pPr>
            <w:r>
              <w:rPr>
                <w:spacing w:val="-1"/>
                <w:sz w:val="24"/>
                <w:szCs w:val="24"/>
              </w:rPr>
              <w:t>施工扬尘主要来自输电线路塔基、变电站以及间隔工程在施工中的土方挖掘扬尘、车辆运输扬尘、物料堆场、线路塔基施工设置的移动拌合站产生的扬尘、物料</w:t>
            </w:r>
            <w:r>
              <w:rPr>
                <w:spacing w:val="-2"/>
                <w:sz w:val="24"/>
                <w:szCs w:val="24"/>
              </w:rPr>
              <w:t>装卸等扬尘，其主要污染物为</w:t>
            </w:r>
            <w:r>
              <w:rPr>
                <w:spacing w:val="-40"/>
                <w:sz w:val="24"/>
                <w:szCs w:val="24"/>
              </w:rPr>
              <w:t xml:space="preserve"> </w:t>
            </w:r>
            <w:r>
              <w:rPr>
                <w:rFonts w:ascii="Times New Roman" w:hAnsi="Times New Roman" w:eastAsia="Times New Roman" w:cs="Times New Roman"/>
                <w:spacing w:val="-2"/>
                <w:sz w:val="24"/>
                <w:szCs w:val="24"/>
              </w:rPr>
              <w:t>TSP</w:t>
            </w:r>
            <w:r>
              <w:rPr>
                <w:rFonts w:ascii="Times New Roman" w:hAnsi="Times New Roman" w:eastAsia="Times New Roman" w:cs="Times New Roman"/>
                <w:spacing w:val="-32"/>
                <w:sz w:val="24"/>
                <w:szCs w:val="24"/>
              </w:rPr>
              <w:t xml:space="preserve"> </w:t>
            </w:r>
            <w:r>
              <w:rPr>
                <w:spacing w:val="-2"/>
                <w:sz w:val="24"/>
                <w:szCs w:val="24"/>
              </w:rPr>
              <w:t>，不含有毒有害的特殊污染物质，对周边环境有</w:t>
            </w:r>
            <w:r>
              <w:rPr>
                <w:spacing w:val="-1"/>
                <w:sz w:val="24"/>
                <w:szCs w:val="24"/>
              </w:rPr>
              <w:t>一定的污染。扬尘产生量取决于施工强度、地面扬尘量和气象条件等因素，影响区域主要集中在施工区域周围</w:t>
            </w:r>
            <w:r>
              <w:rPr>
                <w:spacing w:val="-39"/>
                <w:sz w:val="24"/>
                <w:szCs w:val="24"/>
              </w:rPr>
              <w:t xml:space="preserve"> </w:t>
            </w:r>
            <w:r>
              <w:rPr>
                <w:rFonts w:ascii="Times New Roman" w:hAnsi="Times New Roman" w:eastAsia="Times New Roman" w:cs="Times New Roman"/>
                <w:spacing w:val="-1"/>
                <w:sz w:val="24"/>
                <w:szCs w:val="24"/>
              </w:rPr>
              <w:t xml:space="preserve">200m </w:t>
            </w:r>
            <w:r>
              <w:rPr>
                <w:spacing w:val="-1"/>
                <w:sz w:val="24"/>
                <w:szCs w:val="24"/>
              </w:rPr>
              <w:t>范围内，影响程度下风向大于上风向。</w:t>
            </w:r>
          </w:p>
          <w:p w14:paraId="784D0D19">
            <w:pPr>
              <w:pStyle w:val="6"/>
              <w:spacing w:before="5" w:line="358" w:lineRule="auto"/>
              <w:ind w:left="106" w:right="103" w:firstLine="483"/>
              <w:jc w:val="both"/>
              <w:rPr>
                <w:sz w:val="24"/>
                <w:szCs w:val="24"/>
              </w:rPr>
            </w:pPr>
            <w:r>
              <w:rPr>
                <w:spacing w:val="-1"/>
                <w:sz w:val="24"/>
                <w:szCs w:val="24"/>
              </w:rPr>
              <w:t>线路工程材料进场、杆塔基础开挖土石方、移动拌合站拌合过程中产生的扬尘对线路周围及途经道路局部空气质量造成影响，线路塔基施工扬尘影响主要集中在塔基施工区，但由于线路施工时间较短，塔基施工点较为分散且土石方开挖量小，通过拦挡、苫盖、洒水等施工管理措施可以有效减小线路施工产生的扬尘影响，施</w:t>
            </w:r>
            <w:r>
              <w:rPr>
                <w:sz w:val="24"/>
                <w:szCs w:val="24"/>
              </w:rPr>
              <w:t>工扬尘对周围大气环境影响不大，且随着施工的结束，</w:t>
            </w:r>
            <w:r>
              <w:rPr>
                <w:spacing w:val="-1"/>
                <w:sz w:val="24"/>
                <w:szCs w:val="24"/>
              </w:rPr>
              <w:t>施工扬尘也随之消失。</w:t>
            </w:r>
          </w:p>
          <w:p w14:paraId="7ABDAE60">
            <w:pPr>
              <w:pStyle w:val="6"/>
              <w:spacing w:before="3" w:line="359" w:lineRule="auto"/>
              <w:ind w:left="108" w:right="41" w:firstLine="479"/>
              <w:jc w:val="both"/>
              <w:rPr>
                <w:sz w:val="24"/>
                <w:szCs w:val="24"/>
              </w:rPr>
            </w:pPr>
            <w:r>
              <w:rPr>
                <w:spacing w:val="-6"/>
                <w:sz w:val="24"/>
                <w:szCs w:val="24"/>
              </w:rPr>
              <w:t>变电站新建工程施工时，由于土石方的开挖造成土地裸露，产生局部二次扬尘，</w:t>
            </w:r>
            <w:r>
              <w:rPr>
                <w:spacing w:val="-4"/>
                <w:sz w:val="24"/>
                <w:szCs w:val="24"/>
              </w:rPr>
              <w:t>可能对周围</w:t>
            </w:r>
            <w:r>
              <w:rPr>
                <w:spacing w:val="-47"/>
                <w:sz w:val="24"/>
                <w:szCs w:val="24"/>
              </w:rPr>
              <w:t xml:space="preserve"> </w:t>
            </w:r>
            <w:r>
              <w:rPr>
                <w:rFonts w:ascii="Times New Roman" w:hAnsi="Times New Roman" w:eastAsia="Times New Roman" w:cs="Times New Roman"/>
                <w:spacing w:val="-4"/>
                <w:sz w:val="24"/>
                <w:szCs w:val="24"/>
              </w:rPr>
              <w:t>50m</w:t>
            </w:r>
            <w:r>
              <w:rPr>
                <w:rFonts w:ascii="Times New Roman" w:hAnsi="Times New Roman" w:eastAsia="Times New Roman" w:cs="Times New Roman"/>
                <w:spacing w:val="35"/>
                <w:sz w:val="24"/>
                <w:szCs w:val="24"/>
              </w:rPr>
              <w:t xml:space="preserve"> </w:t>
            </w:r>
            <w:r>
              <w:rPr>
                <w:spacing w:val="-4"/>
                <w:sz w:val="24"/>
                <w:szCs w:val="24"/>
              </w:rPr>
              <w:t>以内的局部地区产生暂时影响，但施工扬尘的影响是短时间的，在</w:t>
            </w:r>
            <w:r>
              <w:rPr>
                <w:sz w:val="24"/>
                <w:szCs w:val="24"/>
              </w:rPr>
              <w:t>土建工程结束后即可恢复。此外，在建设期间，大件设备及其他设备材料的运输，</w:t>
            </w:r>
            <w:r>
              <w:rPr>
                <w:spacing w:val="-1"/>
                <w:sz w:val="24"/>
                <w:szCs w:val="24"/>
              </w:rPr>
              <w:t>可能会使所经道路产生扬尘问题，但该扬尘问题只是暂时的和流动的，当建设期结束，此问题亦会消失。在采取覆盖、洒水降尘等环境保护措施后，施工扬尘对周围</w:t>
            </w:r>
            <w:r>
              <w:rPr>
                <w:spacing w:val="-2"/>
                <w:sz w:val="24"/>
                <w:szCs w:val="24"/>
              </w:rPr>
              <w:t>大气环境的影响很小。</w:t>
            </w:r>
          </w:p>
          <w:p w14:paraId="0C3ACE94">
            <w:pPr>
              <w:pStyle w:val="6"/>
              <w:spacing w:before="2" w:line="352" w:lineRule="auto"/>
              <w:ind w:left="107" w:right="103" w:firstLine="480"/>
              <w:jc w:val="both"/>
              <w:rPr>
                <w:sz w:val="24"/>
                <w:szCs w:val="24"/>
              </w:rPr>
            </w:pPr>
            <w:r>
              <w:rPr>
                <w:spacing w:val="-1"/>
                <w:sz w:val="24"/>
                <w:szCs w:val="24"/>
              </w:rPr>
              <w:t>根据变电站及线路外环境关系图可知，</w:t>
            </w:r>
            <w:r>
              <w:rPr>
                <w:rFonts w:ascii="Times New Roman" w:hAnsi="Times New Roman" w:eastAsia="Times New Roman" w:cs="Times New Roman"/>
                <w:spacing w:val="-1"/>
                <w:sz w:val="24"/>
                <w:szCs w:val="24"/>
              </w:rPr>
              <w:t xml:space="preserve">110kV </w:t>
            </w:r>
            <w:r>
              <w:rPr>
                <w:spacing w:val="-1"/>
                <w:sz w:val="24"/>
                <w:szCs w:val="24"/>
              </w:rPr>
              <w:t>松山变电站周围分布有居民点，</w:t>
            </w:r>
            <w:r>
              <w:rPr>
                <w:spacing w:val="3"/>
                <w:sz w:val="24"/>
                <w:szCs w:val="24"/>
              </w:rPr>
              <w:t>其中最近的居民点为变电站东侧约</w:t>
            </w:r>
            <w:r>
              <w:rPr>
                <w:spacing w:val="-45"/>
                <w:sz w:val="24"/>
                <w:szCs w:val="24"/>
              </w:rPr>
              <w:t xml:space="preserve"> </w:t>
            </w:r>
            <w:r>
              <w:rPr>
                <w:rFonts w:ascii="Times New Roman" w:hAnsi="Times New Roman" w:eastAsia="Times New Roman" w:cs="Times New Roman"/>
                <w:spacing w:val="3"/>
                <w:sz w:val="24"/>
                <w:szCs w:val="24"/>
              </w:rPr>
              <w:t>39m</w:t>
            </w:r>
            <w:r>
              <w:rPr>
                <w:rFonts w:ascii="Times New Roman" w:hAnsi="Times New Roman" w:eastAsia="Times New Roman" w:cs="Times New Roman"/>
                <w:spacing w:val="32"/>
                <w:sz w:val="24"/>
                <w:szCs w:val="24"/>
              </w:rPr>
              <w:t xml:space="preserve"> </w:t>
            </w:r>
            <w:r>
              <w:rPr>
                <w:spacing w:val="3"/>
                <w:sz w:val="24"/>
                <w:szCs w:val="24"/>
              </w:rPr>
              <w:t>的临时看</w:t>
            </w:r>
            <w:r>
              <w:rPr>
                <w:spacing w:val="2"/>
                <w:sz w:val="24"/>
                <w:szCs w:val="24"/>
              </w:rPr>
              <w:t>护房，位于变电站主导风向下风</w:t>
            </w:r>
            <w:r>
              <w:rPr>
                <w:sz w:val="24"/>
                <w:szCs w:val="24"/>
              </w:rPr>
              <w:t>向</w:t>
            </w:r>
            <w:r>
              <w:rPr>
                <w:sz w:val="19"/>
                <w:szCs w:val="19"/>
              </w:rPr>
              <w:t>，</w:t>
            </w:r>
            <w:r>
              <w:rPr>
                <w:sz w:val="24"/>
                <w:szCs w:val="24"/>
              </w:rPr>
              <w:t>变电站施工时的扬尘可能会对其产生影响。本项目变电站施工设置围墙进行围</w:t>
            </w:r>
            <w:r>
              <w:rPr>
                <w:spacing w:val="-1"/>
                <w:sz w:val="24"/>
                <w:szCs w:val="24"/>
              </w:rPr>
              <w:t>挡，施工场地及进站道路区域增加洒水降尘措施的频率，对粉状物料采用防尘网临时遮盖、物料封闭运输和及时清除渣土等措施减少扬尘的产生，从而减轻对周围居</w:t>
            </w:r>
          </w:p>
        </w:tc>
      </w:tr>
    </w:tbl>
    <w:p w14:paraId="37EF1811">
      <w:pPr>
        <w:rPr>
          <w:rFonts w:ascii="Arial"/>
          <w:sz w:val="21"/>
        </w:rPr>
      </w:pPr>
    </w:p>
    <w:p w14:paraId="0C3493CD">
      <w:pPr>
        <w:rPr>
          <w:rFonts w:ascii="Arial" w:hAnsi="Arial" w:eastAsia="Arial" w:cs="Arial"/>
          <w:sz w:val="21"/>
          <w:szCs w:val="21"/>
        </w:rPr>
        <w:sectPr>
          <w:footerReference r:id="rId101" w:type="default"/>
          <w:pgSz w:w="11907" w:h="16840"/>
          <w:pgMar w:top="400" w:right="1178" w:bottom="1240" w:left="1405" w:header="0" w:footer="1077" w:gutter="0"/>
          <w:cols w:space="720" w:num="1"/>
        </w:sectPr>
      </w:pPr>
    </w:p>
    <w:p w14:paraId="08BE3D92">
      <w:pPr>
        <w:spacing w:before="13"/>
      </w:pPr>
    </w:p>
    <w:p w14:paraId="7006BFF1">
      <w:pPr>
        <w:spacing w:before="13"/>
      </w:pPr>
    </w:p>
    <w:p w14:paraId="13B29AA7">
      <w:pPr>
        <w:spacing w:before="13"/>
      </w:pPr>
    </w:p>
    <w:p w14:paraId="786963AB">
      <w:pPr>
        <w:spacing w:before="12"/>
      </w:pPr>
    </w:p>
    <w:tbl>
      <w:tblPr>
        <w:tblStyle w:val="5"/>
        <w:tblW w:w="93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30"/>
      </w:tblGrid>
      <w:tr w14:paraId="51A25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84" w:hRule="atLeast"/>
        </w:trPr>
        <w:tc>
          <w:tcPr>
            <w:tcW w:w="478" w:type="dxa"/>
            <w:tcBorders>
              <w:right w:val="single" w:color="000000" w:sz="2" w:space="0"/>
            </w:tcBorders>
            <w:vAlign w:val="top"/>
          </w:tcPr>
          <w:p w14:paraId="4E1DBE80">
            <w:pPr>
              <w:rPr>
                <w:rFonts w:ascii="Arial"/>
                <w:sz w:val="21"/>
              </w:rPr>
            </w:pPr>
          </w:p>
        </w:tc>
        <w:tc>
          <w:tcPr>
            <w:tcW w:w="8830" w:type="dxa"/>
            <w:tcBorders>
              <w:left w:val="single" w:color="000000" w:sz="2" w:space="0"/>
            </w:tcBorders>
            <w:vAlign w:val="top"/>
          </w:tcPr>
          <w:p w14:paraId="54D04F49">
            <w:pPr>
              <w:pStyle w:val="6"/>
              <w:spacing w:before="40" w:line="221" w:lineRule="auto"/>
              <w:ind w:left="131"/>
              <w:rPr>
                <w:sz w:val="24"/>
                <w:szCs w:val="24"/>
              </w:rPr>
            </w:pPr>
            <w:r>
              <w:rPr>
                <w:spacing w:val="-6"/>
                <w:sz w:val="24"/>
                <w:szCs w:val="24"/>
              </w:rPr>
              <w:t>民点的影响。</w:t>
            </w:r>
          </w:p>
          <w:p w14:paraId="3A0B5927">
            <w:pPr>
              <w:pStyle w:val="6"/>
              <w:spacing w:before="176" w:line="360" w:lineRule="auto"/>
              <w:ind w:left="106" w:right="41" w:firstLine="480"/>
              <w:jc w:val="both"/>
              <w:rPr>
                <w:sz w:val="24"/>
                <w:szCs w:val="24"/>
              </w:rPr>
            </w:pPr>
            <w:r>
              <w:rPr>
                <w:spacing w:val="-1"/>
                <w:sz w:val="24"/>
                <w:szCs w:val="24"/>
              </w:rPr>
              <w:t>根据线路外环境关系图可知，项目沿线分布有居民点，施工中若不采取扬尘防治措施，将对其产生扬尘影响，因此项目施工时应对场地进行洒水降尘，堆场进行</w:t>
            </w:r>
            <w:r>
              <w:rPr>
                <w:spacing w:val="-6"/>
                <w:sz w:val="24"/>
                <w:szCs w:val="24"/>
              </w:rPr>
              <w:t>遮盖，由于施工作业面呈点状分布，不会造成大面积地表裸露，且工程开挖量很小，</w:t>
            </w:r>
            <w:r>
              <w:rPr>
                <w:sz w:val="24"/>
                <w:szCs w:val="24"/>
              </w:rPr>
              <w:t>单个塔基施工期很短，经采取上述措施后，施工扬尘</w:t>
            </w:r>
            <w:r>
              <w:rPr>
                <w:spacing w:val="-1"/>
                <w:sz w:val="24"/>
                <w:szCs w:val="24"/>
              </w:rPr>
              <w:t>对周围居民影响不大。</w:t>
            </w:r>
          </w:p>
          <w:p w14:paraId="1C407C9F">
            <w:pPr>
              <w:pStyle w:val="6"/>
              <w:spacing w:before="3" w:line="358" w:lineRule="auto"/>
              <w:ind w:left="106" w:right="41" w:firstLine="476"/>
              <w:jc w:val="both"/>
              <w:rPr>
                <w:sz w:val="24"/>
                <w:szCs w:val="24"/>
              </w:rPr>
            </w:pPr>
            <w:r>
              <w:rPr>
                <w:rFonts w:ascii="Times New Roman" w:hAnsi="Times New Roman" w:eastAsia="Times New Roman" w:cs="Times New Roman"/>
                <w:sz w:val="24"/>
                <w:szCs w:val="24"/>
              </w:rPr>
              <w:t>220kV</w:t>
            </w:r>
            <w:r>
              <w:rPr>
                <w:rFonts w:ascii="Times New Roman" w:hAnsi="Times New Roman" w:eastAsia="Times New Roman" w:cs="Times New Roman"/>
                <w:spacing w:val="22"/>
                <w:sz w:val="24"/>
                <w:szCs w:val="24"/>
              </w:rPr>
              <w:t xml:space="preserve"> </w:t>
            </w:r>
            <w:r>
              <w:rPr>
                <w:sz w:val="24"/>
                <w:szCs w:val="24"/>
              </w:rPr>
              <w:t>芳华变电站间隔扩建在变电站围墙内进行，包含基础及电缆支沟施工，</w:t>
            </w:r>
            <w:r>
              <w:rPr>
                <w:spacing w:val="-6"/>
                <w:sz w:val="24"/>
                <w:szCs w:val="24"/>
              </w:rPr>
              <w:t>支架、户外电气设备安装，涉及的施工面积不大，施工扰动范围和扰动强度均较低，</w:t>
            </w:r>
            <w:r>
              <w:rPr>
                <w:sz w:val="24"/>
                <w:szCs w:val="24"/>
              </w:rPr>
              <w:t>在采取洒水降尘等环境保护措施后，施工扬尘对周围</w:t>
            </w:r>
            <w:r>
              <w:rPr>
                <w:spacing w:val="-1"/>
                <w:sz w:val="24"/>
                <w:szCs w:val="24"/>
              </w:rPr>
              <w:t>大气环境的影响很小。</w:t>
            </w:r>
          </w:p>
          <w:p w14:paraId="6DFBB9BC">
            <w:pPr>
              <w:pStyle w:val="6"/>
              <w:spacing w:line="218" w:lineRule="auto"/>
              <w:ind w:left="599"/>
              <w:rPr>
                <w:sz w:val="24"/>
                <w:szCs w:val="24"/>
              </w:rPr>
            </w:pPr>
            <w:r>
              <w:rPr>
                <w:b/>
                <w:bCs/>
                <w:spacing w:val="-3"/>
                <w:sz w:val="24"/>
                <w:szCs w:val="24"/>
              </w:rPr>
              <w:t>（</w:t>
            </w:r>
            <w:r>
              <w:rPr>
                <w:rFonts w:ascii="Times New Roman" w:hAnsi="Times New Roman" w:eastAsia="Times New Roman" w:cs="Times New Roman"/>
                <w:b/>
                <w:bCs/>
                <w:spacing w:val="-3"/>
                <w:sz w:val="24"/>
                <w:szCs w:val="24"/>
              </w:rPr>
              <w:t>2</w:t>
            </w:r>
            <w:r>
              <w:rPr>
                <w:b/>
                <w:bCs/>
                <w:spacing w:val="-3"/>
                <w:sz w:val="24"/>
                <w:szCs w:val="24"/>
              </w:rPr>
              <w:t>）运输车辆、施工机械产生的废气</w:t>
            </w:r>
          </w:p>
          <w:p w14:paraId="7C4E1A8B">
            <w:pPr>
              <w:pStyle w:val="6"/>
              <w:spacing w:before="184" w:line="359" w:lineRule="auto"/>
              <w:ind w:left="108" w:right="22" w:firstLine="479"/>
              <w:jc w:val="both"/>
              <w:rPr>
                <w:sz w:val="24"/>
                <w:szCs w:val="24"/>
              </w:rPr>
            </w:pPr>
            <w:r>
              <w:rPr>
                <w:spacing w:val="-3"/>
                <w:sz w:val="24"/>
                <w:szCs w:val="24"/>
              </w:rPr>
              <w:t>运输汽车、施工机械动力源主要为柴油，燃烧尾气的主要污</w:t>
            </w:r>
            <w:r>
              <w:rPr>
                <w:spacing w:val="-4"/>
                <w:sz w:val="24"/>
                <w:szCs w:val="24"/>
              </w:rPr>
              <w:t>染物为</w:t>
            </w:r>
            <w:r>
              <w:rPr>
                <w:spacing w:val="-63"/>
                <w:sz w:val="24"/>
                <w:szCs w:val="24"/>
              </w:rPr>
              <w:t xml:space="preserve"> </w:t>
            </w:r>
            <w:r>
              <w:rPr>
                <w:rFonts w:ascii="Times New Roman" w:hAnsi="Times New Roman" w:eastAsia="Times New Roman" w:cs="Times New Roman"/>
                <w:spacing w:val="-4"/>
                <w:sz w:val="24"/>
                <w:szCs w:val="24"/>
              </w:rPr>
              <w:t>NOx</w:t>
            </w:r>
            <w:r>
              <w:rPr>
                <w:rFonts w:ascii="Times New Roman" w:hAnsi="Times New Roman" w:eastAsia="Times New Roman" w:cs="Times New Roman"/>
                <w:spacing w:val="-31"/>
                <w:sz w:val="24"/>
                <w:szCs w:val="24"/>
              </w:rPr>
              <w:t xml:space="preserve"> </w:t>
            </w:r>
            <w:r>
              <w:rPr>
                <w:spacing w:val="-4"/>
                <w:sz w:val="24"/>
                <w:szCs w:val="24"/>
              </w:rPr>
              <w:t>、</w:t>
            </w:r>
            <w:r>
              <w:rPr>
                <w:rFonts w:ascii="Times New Roman" w:hAnsi="Times New Roman" w:eastAsia="Times New Roman" w:cs="Times New Roman"/>
                <w:spacing w:val="-4"/>
                <w:sz w:val="24"/>
                <w:szCs w:val="24"/>
              </w:rPr>
              <w:t>CO</w:t>
            </w:r>
            <w:r>
              <w:rPr>
                <w:spacing w:val="-4"/>
                <w:sz w:val="24"/>
                <w:szCs w:val="24"/>
              </w:rPr>
              <w:t>、</w:t>
            </w:r>
            <w:r>
              <w:rPr>
                <w:spacing w:val="-1"/>
                <w:sz w:val="24"/>
                <w:szCs w:val="24"/>
              </w:rPr>
              <w:t>烃类等，会对周围环境空气质量造成一定程度的影响。其特点是排放量小，且属间断性无组织排放。项目涉及汽车均为环保检测合格车辆，合理规划运输路线，运输</w:t>
            </w:r>
            <w:r>
              <w:rPr>
                <w:sz w:val="24"/>
                <w:szCs w:val="24"/>
              </w:rPr>
              <w:t>车辆、施工机械产生的废气经大气稀释后对</w:t>
            </w:r>
            <w:r>
              <w:rPr>
                <w:spacing w:val="-1"/>
                <w:sz w:val="24"/>
                <w:szCs w:val="24"/>
              </w:rPr>
              <w:t>周围环境产生的影响较小。</w:t>
            </w:r>
          </w:p>
          <w:p w14:paraId="750E1270">
            <w:pPr>
              <w:pStyle w:val="6"/>
              <w:spacing w:line="220" w:lineRule="auto"/>
              <w:ind w:left="104"/>
              <w:rPr>
                <w:sz w:val="24"/>
                <w:szCs w:val="24"/>
              </w:rPr>
            </w:pPr>
            <w:r>
              <w:rPr>
                <w:rFonts w:ascii="Times New Roman" w:hAnsi="Times New Roman" w:eastAsia="Times New Roman" w:cs="Times New Roman"/>
                <w:b/>
                <w:bCs/>
                <w:spacing w:val="-5"/>
                <w:sz w:val="24"/>
                <w:szCs w:val="24"/>
              </w:rPr>
              <w:t>4</w:t>
            </w:r>
            <w:r>
              <w:rPr>
                <w:rFonts w:ascii="Times New Roman" w:hAnsi="Times New Roman" w:eastAsia="Times New Roman" w:cs="Times New Roman"/>
                <w:b/>
                <w:bCs/>
                <w:spacing w:val="-26"/>
                <w:sz w:val="24"/>
                <w:szCs w:val="24"/>
              </w:rPr>
              <w:t xml:space="preserve"> </w:t>
            </w:r>
            <w:r>
              <w:rPr>
                <w:b/>
                <w:bCs/>
                <w:spacing w:val="-5"/>
                <w:sz w:val="24"/>
                <w:szCs w:val="24"/>
              </w:rPr>
              <w:t>、施工期声环境影响分析</w:t>
            </w:r>
          </w:p>
          <w:p w14:paraId="66A0EB6F">
            <w:pPr>
              <w:pStyle w:val="6"/>
              <w:spacing w:before="179" w:line="219" w:lineRule="auto"/>
              <w:ind w:left="599"/>
              <w:rPr>
                <w:sz w:val="24"/>
                <w:szCs w:val="24"/>
              </w:rPr>
            </w:pPr>
            <w:r>
              <w:rPr>
                <w:b/>
                <w:bCs/>
                <w:spacing w:val="-3"/>
                <w:sz w:val="24"/>
                <w:szCs w:val="24"/>
              </w:rPr>
              <w:t>（</w:t>
            </w:r>
            <w:r>
              <w:rPr>
                <w:rFonts w:ascii="Times New Roman" w:hAnsi="Times New Roman" w:eastAsia="Times New Roman" w:cs="Times New Roman"/>
                <w:b/>
                <w:bCs/>
                <w:spacing w:val="-3"/>
                <w:sz w:val="24"/>
                <w:szCs w:val="24"/>
              </w:rPr>
              <w:t>1</w:t>
            </w:r>
            <w:r>
              <w:rPr>
                <w:b/>
                <w:bCs/>
                <w:spacing w:val="-3"/>
                <w:sz w:val="24"/>
                <w:szCs w:val="24"/>
              </w:rPr>
              <w:t>）</w:t>
            </w:r>
            <w:r>
              <w:rPr>
                <w:rFonts w:ascii="Times New Roman" w:hAnsi="Times New Roman" w:eastAsia="Times New Roman" w:cs="Times New Roman"/>
                <w:b/>
                <w:bCs/>
                <w:spacing w:val="-3"/>
                <w:sz w:val="24"/>
                <w:szCs w:val="24"/>
              </w:rPr>
              <w:t xml:space="preserve">110kV </w:t>
            </w:r>
            <w:r>
              <w:rPr>
                <w:b/>
                <w:bCs/>
                <w:spacing w:val="-3"/>
                <w:sz w:val="24"/>
                <w:szCs w:val="24"/>
              </w:rPr>
              <w:t>松山变电站声环境影响分析</w:t>
            </w:r>
          </w:p>
          <w:p w14:paraId="64AE4B00">
            <w:pPr>
              <w:pStyle w:val="6"/>
              <w:spacing w:before="183" w:line="220" w:lineRule="auto"/>
              <w:ind w:left="606"/>
              <w:rPr>
                <w:sz w:val="24"/>
                <w:szCs w:val="24"/>
              </w:rPr>
            </w:pPr>
            <w:r>
              <w:rPr>
                <w:rFonts w:ascii="Times New Roman" w:hAnsi="Times New Roman" w:eastAsia="Times New Roman" w:cs="Times New Roman"/>
                <w:spacing w:val="-8"/>
                <w:sz w:val="24"/>
                <w:szCs w:val="24"/>
              </w:rPr>
              <w:t>1</w:t>
            </w:r>
            <w:r>
              <w:rPr>
                <w:spacing w:val="-8"/>
                <w:sz w:val="24"/>
                <w:szCs w:val="24"/>
              </w:rPr>
              <w:t>）声源</w:t>
            </w:r>
          </w:p>
          <w:p w14:paraId="3E547F17">
            <w:pPr>
              <w:pStyle w:val="6"/>
              <w:spacing w:before="181" w:line="359" w:lineRule="auto"/>
              <w:ind w:left="106" w:right="22" w:firstLine="480"/>
              <w:rPr>
                <w:sz w:val="24"/>
                <w:szCs w:val="24"/>
              </w:rPr>
            </w:pPr>
            <w:r>
              <w:rPr>
                <w:spacing w:val="-5"/>
                <w:sz w:val="24"/>
                <w:szCs w:val="24"/>
              </w:rPr>
              <w:t>施工期主要噪声源为压路机、铲土机、挖掘</w:t>
            </w:r>
            <w:r>
              <w:rPr>
                <w:spacing w:val="-6"/>
                <w:sz w:val="24"/>
                <w:szCs w:val="24"/>
              </w:rPr>
              <w:t>机、移动式发电机、卡车、电焊机、</w:t>
            </w:r>
            <w:r>
              <w:rPr>
                <w:spacing w:val="1"/>
                <w:sz w:val="24"/>
                <w:szCs w:val="24"/>
              </w:rPr>
              <w:t>切割机、钻孔机等施工机械产生设备产生的机械噪声，其声级值在</w:t>
            </w:r>
            <w:r>
              <w:rPr>
                <w:spacing w:val="-49"/>
                <w:sz w:val="24"/>
                <w:szCs w:val="24"/>
              </w:rPr>
              <w:t xml:space="preserve"> </w:t>
            </w:r>
            <w:r>
              <w:rPr>
                <w:rFonts w:ascii="Times New Roman" w:hAnsi="Times New Roman" w:eastAsia="Times New Roman" w:cs="Times New Roman"/>
                <w:spacing w:val="1"/>
                <w:sz w:val="24"/>
                <w:szCs w:val="24"/>
              </w:rPr>
              <w:t>73~</w:t>
            </w:r>
            <w:r>
              <w:rPr>
                <w:rFonts w:ascii="Times New Roman" w:hAnsi="Times New Roman" w:eastAsia="Times New Roman" w:cs="Times New Roman"/>
                <w:sz w:val="24"/>
                <w:szCs w:val="24"/>
              </w:rPr>
              <w:t>95dB</w:t>
            </w:r>
            <w:r>
              <w:rPr>
                <w:sz w:val="24"/>
                <w:szCs w:val="24"/>
              </w:rPr>
              <w:t>（</w:t>
            </w:r>
            <w:r>
              <w:rPr>
                <w:rFonts w:ascii="Times New Roman" w:hAnsi="Times New Roman" w:eastAsia="Times New Roman" w:cs="Times New Roman"/>
                <w:sz w:val="24"/>
                <w:szCs w:val="24"/>
              </w:rPr>
              <w:t>A</w:t>
            </w:r>
            <w:r>
              <w:rPr>
                <w:sz w:val="24"/>
                <w:szCs w:val="24"/>
              </w:rPr>
              <w:t>）</w:t>
            </w:r>
            <w:r>
              <w:rPr>
                <w:spacing w:val="-3"/>
                <w:sz w:val="24"/>
                <w:szCs w:val="24"/>
              </w:rPr>
              <w:t>之间。</w:t>
            </w:r>
          </w:p>
          <w:p w14:paraId="5449BEC1">
            <w:pPr>
              <w:pStyle w:val="6"/>
              <w:spacing w:line="220" w:lineRule="auto"/>
              <w:ind w:left="583"/>
              <w:rPr>
                <w:sz w:val="24"/>
                <w:szCs w:val="24"/>
              </w:rPr>
            </w:pPr>
            <w:r>
              <w:rPr>
                <w:rFonts w:ascii="Times New Roman" w:hAnsi="Times New Roman" w:eastAsia="Times New Roman" w:cs="Times New Roman"/>
                <w:spacing w:val="-1"/>
                <w:sz w:val="24"/>
                <w:szCs w:val="24"/>
              </w:rPr>
              <w:t>2</w:t>
            </w:r>
            <w:r>
              <w:rPr>
                <w:spacing w:val="-1"/>
                <w:sz w:val="24"/>
                <w:szCs w:val="24"/>
              </w:rPr>
              <w:t>）固定噪声预测</w:t>
            </w:r>
          </w:p>
          <w:p w14:paraId="1B78DECC">
            <w:pPr>
              <w:pStyle w:val="6"/>
              <w:spacing w:before="180" w:line="353" w:lineRule="auto"/>
              <w:ind w:left="106" w:right="103" w:firstLine="484"/>
              <w:rPr>
                <w:sz w:val="24"/>
                <w:szCs w:val="24"/>
              </w:rPr>
            </w:pPr>
            <w:r>
              <w:rPr>
                <w:spacing w:val="-1"/>
                <w:sz w:val="24"/>
                <w:szCs w:val="24"/>
              </w:rPr>
              <w:t>项目施工中大多数机械设备噪声均属于中低频噪声，预测其影响程度、范</w:t>
            </w:r>
            <w:r>
              <w:rPr>
                <w:spacing w:val="-2"/>
                <w:sz w:val="24"/>
                <w:szCs w:val="24"/>
              </w:rPr>
              <w:t>围时</w:t>
            </w:r>
            <w:r>
              <w:rPr>
                <w:spacing w:val="-1"/>
                <w:sz w:val="24"/>
                <w:szCs w:val="24"/>
              </w:rPr>
              <w:t>只考虑其距离传播衰减，不考虑障碍物如树木引起的噪声衰减量。根据《环境影响评价技术导则 声环境》（</w:t>
            </w:r>
            <w:r>
              <w:rPr>
                <w:rFonts w:ascii="Times New Roman" w:hAnsi="Times New Roman" w:eastAsia="Times New Roman" w:cs="Times New Roman"/>
                <w:spacing w:val="-1"/>
                <w:sz w:val="24"/>
                <w:szCs w:val="24"/>
              </w:rPr>
              <w:t>HJ2.4-2021</w:t>
            </w:r>
            <w:r>
              <w:rPr>
                <w:spacing w:val="11"/>
                <w:sz w:val="24"/>
                <w:szCs w:val="24"/>
              </w:rPr>
              <w:t>），</w:t>
            </w:r>
            <w:r>
              <w:rPr>
                <w:spacing w:val="-1"/>
                <w:sz w:val="24"/>
                <w:szCs w:val="24"/>
              </w:rPr>
              <w:t>噪声预测值计算模式如下：</w:t>
            </w:r>
          </w:p>
          <w:p w14:paraId="39009106">
            <w:pPr>
              <w:pStyle w:val="6"/>
              <w:spacing w:line="361" w:lineRule="exact"/>
              <w:ind w:left="3249"/>
              <w:rPr>
                <w:rFonts w:ascii="Times New Roman" w:hAnsi="Times New Roman" w:eastAsia="Times New Roman" w:cs="Times New Roman"/>
                <w:sz w:val="16"/>
                <w:szCs w:val="16"/>
              </w:rPr>
            </w:pPr>
            <w:r>
              <w:rPr>
                <w:rFonts w:ascii="Times New Roman" w:hAnsi="Times New Roman" w:eastAsia="Times New Roman" w:cs="Times New Roman"/>
                <w:position w:val="3"/>
                <w:sz w:val="24"/>
                <w:szCs w:val="24"/>
              </w:rPr>
              <w:t>L</w:t>
            </w:r>
            <w:r>
              <w:rPr>
                <w:rFonts w:ascii="Times New Roman" w:hAnsi="Times New Roman" w:eastAsia="Times New Roman" w:cs="Times New Roman"/>
                <w:sz w:val="16"/>
                <w:szCs w:val="16"/>
              </w:rPr>
              <w:t>A</w:t>
            </w:r>
            <w:r>
              <w:rPr>
                <w:rFonts w:ascii="Times New Roman" w:hAnsi="Times New Roman" w:eastAsia="Times New Roman" w:cs="Times New Roman"/>
                <w:spacing w:val="41"/>
                <w:sz w:val="16"/>
                <w:szCs w:val="16"/>
              </w:rPr>
              <w:t xml:space="preserve"> </w:t>
            </w:r>
            <w:r>
              <w:rPr>
                <w:spacing w:val="1"/>
                <w:position w:val="4"/>
                <w:sz w:val="24"/>
                <w:szCs w:val="24"/>
              </w:rPr>
              <w:t>（</w:t>
            </w:r>
            <w:r>
              <w:rPr>
                <w:rFonts w:ascii="Times New Roman" w:hAnsi="Times New Roman" w:eastAsia="Times New Roman" w:cs="Times New Roman"/>
                <w:spacing w:val="1"/>
                <w:position w:val="4"/>
                <w:sz w:val="24"/>
                <w:szCs w:val="24"/>
              </w:rPr>
              <w:t>r</w:t>
            </w:r>
            <w:r>
              <w:rPr>
                <w:spacing w:val="1"/>
                <w:position w:val="4"/>
                <w:sz w:val="24"/>
                <w:szCs w:val="24"/>
              </w:rPr>
              <w:t xml:space="preserve">） </w:t>
            </w:r>
            <w:r>
              <w:rPr>
                <w:rFonts w:ascii="Times New Roman" w:hAnsi="Times New Roman" w:eastAsia="Times New Roman" w:cs="Times New Roman"/>
                <w:spacing w:val="1"/>
                <w:position w:val="3"/>
                <w:sz w:val="24"/>
                <w:szCs w:val="24"/>
              </w:rPr>
              <w:t xml:space="preserve">= </w:t>
            </w:r>
            <w:r>
              <w:rPr>
                <w:rFonts w:ascii="Times New Roman" w:hAnsi="Times New Roman" w:eastAsia="Times New Roman" w:cs="Times New Roman"/>
                <w:position w:val="3"/>
                <w:sz w:val="24"/>
                <w:szCs w:val="24"/>
              </w:rPr>
              <w:t>L</w:t>
            </w:r>
            <w:r>
              <w:rPr>
                <w:rFonts w:ascii="Times New Roman" w:hAnsi="Times New Roman" w:eastAsia="Times New Roman" w:cs="Times New Roman"/>
                <w:sz w:val="16"/>
                <w:szCs w:val="16"/>
              </w:rPr>
              <w:t>A</w:t>
            </w:r>
            <w:r>
              <w:rPr>
                <w:rFonts w:ascii="Times New Roman" w:hAnsi="Times New Roman" w:eastAsia="Times New Roman" w:cs="Times New Roman"/>
                <w:spacing w:val="1"/>
                <w:sz w:val="16"/>
                <w:szCs w:val="16"/>
              </w:rPr>
              <w:t xml:space="preserve">  </w:t>
            </w:r>
            <w:r>
              <w:rPr>
                <w:spacing w:val="1"/>
                <w:position w:val="4"/>
                <w:sz w:val="24"/>
                <w:szCs w:val="24"/>
              </w:rPr>
              <w:t>（</w:t>
            </w:r>
            <w:r>
              <w:rPr>
                <w:rFonts w:ascii="Times New Roman" w:hAnsi="Times New Roman" w:eastAsia="Times New Roman" w:cs="Times New Roman"/>
                <w:spacing w:val="1"/>
                <w:position w:val="4"/>
                <w:sz w:val="24"/>
                <w:szCs w:val="24"/>
              </w:rPr>
              <w:t>r</w:t>
            </w:r>
            <w:r>
              <w:rPr>
                <w:rFonts w:ascii="Times New Roman" w:hAnsi="Times New Roman" w:eastAsia="Times New Roman" w:cs="Times New Roman"/>
                <w:spacing w:val="1"/>
                <w:position w:val="3"/>
                <w:sz w:val="16"/>
                <w:szCs w:val="16"/>
              </w:rPr>
              <w:t>0</w:t>
            </w:r>
            <w:r>
              <w:rPr>
                <w:spacing w:val="1"/>
                <w:position w:val="3"/>
                <w:sz w:val="24"/>
                <w:szCs w:val="24"/>
              </w:rPr>
              <w:t xml:space="preserve">） </w:t>
            </w:r>
            <w:r>
              <w:rPr>
                <w:rFonts w:ascii="Times New Roman" w:hAnsi="Times New Roman" w:eastAsia="Times New Roman" w:cs="Times New Roman"/>
                <w:spacing w:val="1"/>
                <w:position w:val="3"/>
                <w:sz w:val="24"/>
                <w:szCs w:val="24"/>
              </w:rPr>
              <w:t>-</w:t>
            </w:r>
            <w:r>
              <w:rPr>
                <w:rFonts w:ascii="Times New Roman" w:hAnsi="Times New Roman" w:eastAsia="Times New Roman" w:cs="Times New Roman"/>
                <w:spacing w:val="-11"/>
                <w:position w:val="3"/>
                <w:sz w:val="24"/>
                <w:szCs w:val="24"/>
              </w:rPr>
              <w:t xml:space="preserve"> </w:t>
            </w:r>
            <w:r>
              <w:rPr>
                <w:rFonts w:ascii="Times New Roman" w:hAnsi="Times New Roman" w:eastAsia="Times New Roman" w:cs="Times New Roman"/>
                <w:position w:val="3"/>
                <w:sz w:val="24"/>
                <w:szCs w:val="24"/>
              </w:rPr>
              <w:t>A</w:t>
            </w:r>
            <w:r>
              <w:rPr>
                <w:rFonts w:ascii="Times New Roman" w:hAnsi="Times New Roman" w:eastAsia="Times New Roman" w:cs="Times New Roman"/>
                <w:sz w:val="16"/>
                <w:szCs w:val="16"/>
              </w:rPr>
              <w:t>div</w:t>
            </w:r>
          </w:p>
          <w:p w14:paraId="4BE36956">
            <w:pPr>
              <w:pStyle w:val="6"/>
              <w:spacing w:before="146" w:line="323" w:lineRule="exact"/>
              <w:ind w:left="3429"/>
              <w:rPr>
                <w:sz w:val="24"/>
                <w:szCs w:val="24"/>
              </w:rPr>
            </w:pPr>
            <w:r>
              <w:rPr>
                <w:rFonts w:ascii="Times New Roman" w:hAnsi="Times New Roman" w:eastAsia="Times New Roman" w:cs="Times New Roman"/>
                <w:position w:val="3"/>
                <w:sz w:val="24"/>
                <w:szCs w:val="24"/>
              </w:rPr>
              <w:t>A</w:t>
            </w:r>
            <w:r>
              <w:rPr>
                <w:rFonts w:ascii="Times New Roman" w:hAnsi="Times New Roman" w:eastAsia="Times New Roman" w:cs="Times New Roman"/>
                <w:sz w:val="16"/>
                <w:szCs w:val="16"/>
              </w:rPr>
              <w:t>div</w:t>
            </w:r>
            <w:r>
              <w:rPr>
                <w:rFonts w:ascii="Times New Roman" w:hAnsi="Times New Roman" w:eastAsia="Times New Roman" w:cs="Times New Roman"/>
                <w:spacing w:val="1"/>
                <w:sz w:val="16"/>
                <w:szCs w:val="16"/>
              </w:rPr>
              <w:t xml:space="preserve">    </w:t>
            </w:r>
            <w:r>
              <w:rPr>
                <w:rFonts w:ascii="Times New Roman" w:hAnsi="Times New Roman" w:eastAsia="Times New Roman" w:cs="Times New Roman"/>
                <w:spacing w:val="1"/>
                <w:position w:val="3"/>
                <w:sz w:val="24"/>
                <w:szCs w:val="24"/>
              </w:rPr>
              <w:t>= 20</w:t>
            </w:r>
            <w:r>
              <w:rPr>
                <w:rFonts w:ascii="Times New Roman" w:hAnsi="Times New Roman" w:eastAsia="Times New Roman" w:cs="Times New Roman"/>
                <w:position w:val="3"/>
                <w:sz w:val="24"/>
                <w:szCs w:val="24"/>
              </w:rPr>
              <w:t>lg</w:t>
            </w:r>
            <w:r>
              <w:rPr>
                <w:spacing w:val="1"/>
                <w:position w:val="3"/>
                <w:sz w:val="24"/>
                <w:szCs w:val="24"/>
              </w:rPr>
              <w:t>（</w:t>
            </w:r>
            <w:r>
              <w:rPr>
                <w:rFonts w:ascii="Times New Roman" w:hAnsi="Times New Roman" w:eastAsia="Times New Roman" w:cs="Times New Roman"/>
                <w:spacing w:val="1"/>
                <w:position w:val="3"/>
                <w:sz w:val="24"/>
                <w:szCs w:val="24"/>
              </w:rPr>
              <w:t>r/r</w:t>
            </w:r>
            <w:r>
              <w:rPr>
                <w:rFonts w:ascii="Times New Roman" w:hAnsi="Times New Roman" w:eastAsia="Times New Roman" w:cs="Times New Roman"/>
                <w:spacing w:val="1"/>
                <w:position w:val="3"/>
                <w:sz w:val="16"/>
                <w:szCs w:val="16"/>
              </w:rPr>
              <w:t>0</w:t>
            </w:r>
            <w:r>
              <w:rPr>
                <w:spacing w:val="1"/>
                <w:position w:val="3"/>
                <w:sz w:val="24"/>
                <w:szCs w:val="24"/>
              </w:rPr>
              <w:t>）</w:t>
            </w:r>
          </w:p>
          <w:p w14:paraId="623818BF">
            <w:pPr>
              <w:pStyle w:val="6"/>
              <w:spacing w:before="205" w:line="220" w:lineRule="auto"/>
              <w:ind w:left="710"/>
              <w:rPr>
                <w:sz w:val="24"/>
                <w:szCs w:val="24"/>
              </w:rPr>
            </w:pPr>
            <w:r>
              <w:rPr>
                <w:spacing w:val="-5"/>
                <w:sz w:val="24"/>
                <w:szCs w:val="24"/>
              </w:rPr>
              <w:t>式中：</w:t>
            </w:r>
          </w:p>
          <w:p w14:paraId="6B82535D">
            <w:pPr>
              <w:pStyle w:val="6"/>
              <w:spacing w:before="227" w:line="220" w:lineRule="auto"/>
              <w:ind w:left="1147"/>
              <w:rPr>
                <w:sz w:val="24"/>
                <w:szCs w:val="24"/>
              </w:rPr>
            </w:pPr>
            <w:r>
              <w:rPr>
                <w:rFonts w:ascii="Times New Roman" w:hAnsi="Times New Roman" w:eastAsia="Times New Roman" w:cs="Times New Roman"/>
                <w:i/>
                <w:iCs/>
                <w:spacing w:val="-1"/>
                <w:sz w:val="24"/>
                <w:szCs w:val="24"/>
              </w:rPr>
              <w:t>L</w:t>
            </w:r>
            <w:r>
              <w:rPr>
                <w:rFonts w:ascii="Times New Roman" w:hAnsi="Times New Roman" w:eastAsia="Times New Roman" w:cs="Times New Roman"/>
                <w:spacing w:val="-1"/>
                <w:sz w:val="16"/>
                <w:szCs w:val="16"/>
              </w:rPr>
              <w:t>A</w:t>
            </w:r>
            <w:r>
              <w:rPr>
                <w:spacing w:val="-1"/>
                <w:sz w:val="24"/>
                <w:szCs w:val="24"/>
              </w:rPr>
              <w:t>（</w:t>
            </w:r>
            <w:r>
              <w:rPr>
                <w:rFonts w:ascii="Times New Roman" w:hAnsi="Times New Roman" w:eastAsia="Times New Roman" w:cs="Times New Roman"/>
                <w:i/>
                <w:iCs/>
                <w:spacing w:val="-1"/>
                <w:sz w:val="24"/>
                <w:szCs w:val="24"/>
              </w:rPr>
              <w:t>r</w:t>
            </w:r>
            <w:r>
              <w:rPr>
                <w:spacing w:val="-1"/>
                <w:sz w:val="24"/>
                <w:szCs w:val="24"/>
              </w:rPr>
              <w:t>）</w:t>
            </w:r>
            <w:r>
              <w:rPr>
                <w:rFonts w:ascii="Times New Roman" w:hAnsi="Times New Roman" w:eastAsia="Times New Roman" w:cs="Times New Roman"/>
                <w:spacing w:val="-1"/>
                <w:sz w:val="24"/>
                <w:szCs w:val="24"/>
              </w:rPr>
              <w:t>——</w:t>
            </w:r>
            <w:r>
              <w:rPr>
                <w:spacing w:val="-1"/>
                <w:sz w:val="24"/>
                <w:szCs w:val="24"/>
              </w:rPr>
              <w:t xml:space="preserve">距声源 </w:t>
            </w:r>
            <w:r>
              <w:rPr>
                <w:rFonts w:ascii="Times New Roman" w:hAnsi="Times New Roman" w:eastAsia="Times New Roman" w:cs="Times New Roman"/>
                <w:i/>
                <w:iCs/>
                <w:spacing w:val="-1"/>
                <w:sz w:val="24"/>
                <w:szCs w:val="24"/>
              </w:rPr>
              <w:t xml:space="preserve">r  </w:t>
            </w:r>
            <w:r>
              <w:rPr>
                <w:spacing w:val="-1"/>
                <w:sz w:val="24"/>
                <w:szCs w:val="24"/>
              </w:rPr>
              <w:t xml:space="preserve">处的 </w:t>
            </w:r>
            <w:r>
              <w:rPr>
                <w:rFonts w:ascii="Times New Roman" w:hAnsi="Times New Roman" w:eastAsia="Times New Roman" w:cs="Times New Roman"/>
                <w:spacing w:val="-1"/>
                <w:sz w:val="24"/>
                <w:szCs w:val="24"/>
              </w:rPr>
              <w:t xml:space="preserve">A  </w:t>
            </w:r>
            <w:r>
              <w:rPr>
                <w:spacing w:val="-1"/>
                <w:sz w:val="24"/>
                <w:szCs w:val="24"/>
              </w:rPr>
              <w:t>声级，</w:t>
            </w:r>
            <w:r>
              <w:rPr>
                <w:rFonts w:ascii="Times New Roman" w:hAnsi="Times New Roman" w:eastAsia="Times New Roman" w:cs="Times New Roman"/>
                <w:spacing w:val="-1"/>
                <w:sz w:val="24"/>
                <w:szCs w:val="24"/>
              </w:rPr>
              <w:t>dB</w:t>
            </w:r>
            <w:r>
              <w:rPr>
                <w:spacing w:val="-1"/>
                <w:sz w:val="24"/>
                <w:szCs w:val="24"/>
              </w:rPr>
              <w:t>（</w:t>
            </w:r>
            <w:r>
              <w:rPr>
                <w:rFonts w:ascii="Times New Roman" w:hAnsi="Times New Roman" w:eastAsia="Times New Roman" w:cs="Times New Roman"/>
                <w:spacing w:val="-1"/>
                <w:sz w:val="24"/>
                <w:szCs w:val="24"/>
              </w:rPr>
              <w:t>A</w:t>
            </w:r>
            <w:r>
              <w:rPr>
                <w:spacing w:val="2"/>
                <w:sz w:val="24"/>
                <w:szCs w:val="24"/>
              </w:rPr>
              <w:t>）；</w:t>
            </w:r>
          </w:p>
          <w:p w14:paraId="045450F9">
            <w:pPr>
              <w:pStyle w:val="6"/>
              <w:spacing w:before="219" w:line="219" w:lineRule="auto"/>
              <w:ind w:left="1147"/>
              <w:rPr>
                <w:sz w:val="24"/>
                <w:szCs w:val="24"/>
              </w:rPr>
            </w:pPr>
            <w:r>
              <w:rPr>
                <w:rFonts w:ascii="Times New Roman" w:hAnsi="Times New Roman" w:eastAsia="Times New Roman" w:cs="Times New Roman"/>
                <w:i/>
                <w:iCs/>
                <w:spacing w:val="-1"/>
                <w:sz w:val="24"/>
                <w:szCs w:val="24"/>
              </w:rPr>
              <w:t>L</w:t>
            </w:r>
            <w:r>
              <w:rPr>
                <w:rFonts w:ascii="Times New Roman" w:hAnsi="Times New Roman" w:eastAsia="Times New Roman" w:cs="Times New Roman"/>
                <w:spacing w:val="-1"/>
                <w:sz w:val="16"/>
                <w:szCs w:val="16"/>
              </w:rPr>
              <w:t>A</w:t>
            </w:r>
            <w:r>
              <w:rPr>
                <w:spacing w:val="-1"/>
                <w:sz w:val="24"/>
                <w:szCs w:val="24"/>
              </w:rPr>
              <w:t>（</w:t>
            </w:r>
            <w:r>
              <w:rPr>
                <w:rFonts w:ascii="Times New Roman" w:hAnsi="Times New Roman" w:eastAsia="Times New Roman" w:cs="Times New Roman"/>
                <w:i/>
                <w:iCs/>
                <w:spacing w:val="-1"/>
                <w:sz w:val="24"/>
                <w:szCs w:val="24"/>
              </w:rPr>
              <w:t>r</w:t>
            </w:r>
            <w:r>
              <w:rPr>
                <w:rFonts w:ascii="Times New Roman" w:hAnsi="Times New Roman" w:eastAsia="Times New Roman" w:cs="Times New Roman"/>
                <w:spacing w:val="-1"/>
                <w:sz w:val="16"/>
                <w:szCs w:val="16"/>
              </w:rPr>
              <w:t>0</w:t>
            </w:r>
            <w:r>
              <w:rPr>
                <w:spacing w:val="-1"/>
                <w:sz w:val="24"/>
                <w:szCs w:val="24"/>
              </w:rPr>
              <w:t>）</w:t>
            </w:r>
            <w:r>
              <w:rPr>
                <w:rFonts w:ascii="Times New Roman" w:hAnsi="Times New Roman" w:eastAsia="Times New Roman" w:cs="Times New Roman"/>
                <w:spacing w:val="-1"/>
                <w:sz w:val="24"/>
                <w:szCs w:val="24"/>
              </w:rPr>
              <w:t>——</w:t>
            </w:r>
            <w:r>
              <w:rPr>
                <w:spacing w:val="-1"/>
                <w:sz w:val="24"/>
                <w:szCs w:val="24"/>
              </w:rPr>
              <w:t xml:space="preserve">参考位置 </w:t>
            </w:r>
            <w:r>
              <w:rPr>
                <w:rFonts w:ascii="Times New Roman" w:hAnsi="Times New Roman" w:eastAsia="Times New Roman" w:cs="Times New Roman"/>
                <w:i/>
                <w:iCs/>
                <w:spacing w:val="-1"/>
                <w:sz w:val="24"/>
                <w:szCs w:val="24"/>
              </w:rPr>
              <w:t>r</w:t>
            </w:r>
            <w:r>
              <w:rPr>
                <w:rFonts w:ascii="Times New Roman" w:hAnsi="Times New Roman" w:eastAsia="Times New Roman" w:cs="Times New Roman"/>
                <w:spacing w:val="-1"/>
                <w:sz w:val="16"/>
                <w:szCs w:val="16"/>
              </w:rPr>
              <w:t xml:space="preserve">0  </w:t>
            </w:r>
            <w:r>
              <w:rPr>
                <w:spacing w:val="-1"/>
                <w:sz w:val="24"/>
                <w:szCs w:val="24"/>
              </w:rPr>
              <w:t xml:space="preserve">处的 </w:t>
            </w:r>
            <w:r>
              <w:rPr>
                <w:rFonts w:ascii="Times New Roman" w:hAnsi="Times New Roman" w:eastAsia="Times New Roman" w:cs="Times New Roman"/>
                <w:spacing w:val="-1"/>
                <w:sz w:val="24"/>
                <w:szCs w:val="24"/>
              </w:rPr>
              <w:t xml:space="preserve">A  </w:t>
            </w:r>
            <w:r>
              <w:rPr>
                <w:spacing w:val="-1"/>
                <w:sz w:val="24"/>
                <w:szCs w:val="24"/>
              </w:rPr>
              <w:t>声级，</w:t>
            </w:r>
            <w:r>
              <w:rPr>
                <w:rFonts w:ascii="Times New Roman" w:hAnsi="Times New Roman" w:eastAsia="Times New Roman" w:cs="Times New Roman"/>
                <w:spacing w:val="-1"/>
                <w:sz w:val="24"/>
                <w:szCs w:val="24"/>
              </w:rPr>
              <w:t>dB</w:t>
            </w:r>
            <w:r>
              <w:rPr>
                <w:spacing w:val="-1"/>
                <w:sz w:val="24"/>
                <w:szCs w:val="24"/>
              </w:rPr>
              <w:t>（</w:t>
            </w:r>
            <w:r>
              <w:rPr>
                <w:rFonts w:ascii="Times New Roman" w:hAnsi="Times New Roman" w:eastAsia="Times New Roman" w:cs="Times New Roman"/>
                <w:spacing w:val="-1"/>
                <w:sz w:val="24"/>
                <w:szCs w:val="24"/>
              </w:rPr>
              <w:t>A</w:t>
            </w:r>
            <w:r>
              <w:rPr>
                <w:spacing w:val="4"/>
                <w:sz w:val="24"/>
                <w:szCs w:val="24"/>
              </w:rPr>
              <w:t>）；</w:t>
            </w:r>
          </w:p>
          <w:p w14:paraId="273B8AE3">
            <w:pPr>
              <w:pStyle w:val="6"/>
              <w:spacing w:before="216" w:line="205" w:lineRule="auto"/>
              <w:ind w:left="1138"/>
              <w:rPr>
                <w:sz w:val="24"/>
                <w:szCs w:val="24"/>
              </w:rPr>
            </w:pPr>
            <w:r>
              <w:rPr>
                <w:rFonts w:ascii="Times New Roman" w:hAnsi="Times New Roman" w:eastAsia="Times New Roman" w:cs="Times New Roman"/>
                <w:i/>
                <w:iCs/>
                <w:sz w:val="24"/>
                <w:szCs w:val="24"/>
              </w:rPr>
              <w:t>A</w:t>
            </w:r>
            <w:r>
              <w:rPr>
                <w:rFonts w:ascii="Times New Roman" w:hAnsi="Times New Roman" w:eastAsia="Times New Roman" w:cs="Times New Roman"/>
                <w:sz w:val="16"/>
                <w:szCs w:val="16"/>
              </w:rPr>
              <w:t xml:space="preserve">div </w:t>
            </w:r>
            <w:r>
              <w:rPr>
                <w:rFonts w:ascii="Times New Roman" w:hAnsi="Times New Roman" w:eastAsia="Times New Roman" w:cs="Times New Roman"/>
                <w:sz w:val="24"/>
                <w:szCs w:val="24"/>
              </w:rPr>
              <w:t>——</w:t>
            </w:r>
            <w:r>
              <w:rPr>
                <w:sz w:val="24"/>
                <w:szCs w:val="24"/>
              </w:rPr>
              <w:t>几何发散引起的衰减，</w:t>
            </w:r>
            <w:r>
              <w:rPr>
                <w:rFonts w:ascii="Times New Roman" w:hAnsi="Times New Roman" w:eastAsia="Times New Roman" w:cs="Times New Roman"/>
                <w:sz w:val="24"/>
                <w:szCs w:val="24"/>
              </w:rPr>
              <w:t>dB</w:t>
            </w:r>
            <w:r>
              <w:rPr>
                <w:sz w:val="24"/>
                <w:szCs w:val="24"/>
              </w:rPr>
              <w:t>；</w:t>
            </w:r>
          </w:p>
        </w:tc>
      </w:tr>
    </w:tbl>
    <w:p w14:paraId="0F0FA482">
      <w:pPr>
        <w:rPr>
          <w:rFonts w:ascii="Arial"/>
          <w:sz w:val="21"/>
        </w:rPr>
      </w:pPr>
    </w:p>
    <w:p w14:paraId="6A3233C4">
      <w:pPr>
        <w:rPr>
          <w:rFonts w:ascii="Arial" w:hAnsi="Arial" w:eastAsia="Arial" w:cs="Arial"/>
          <w:sz w:val="21"/>
          <w:szCs w:val="21"/>
        </w:rPr>
        <w:sectPr>
          <w:footerReference r:id="rId102" w:type="default"/>
          <w:pgSz w:w="11907" w:h="16840"/>
          <w:pgMar w:top="400" w:right="1178" w:bottom="1240" w:left="1405" w:header="0" w:footer="1077" w:gutter="0"/>
          <w:cols w:space="720" w:num="1"/>
        </w:sectPr>
      </w:pPr>
    </w:p>
    <w:p w14:paraId="6293F0D3">
      <w:pPr>
        <w:spacing w:before="13"/>
      </w:pPr>
    </w:p>
    <w:p w14:paraId="19943D95">
      <w:pPr>
        <w:spacing w:before="13"/>
      </w:pPr>
    </w:p>
    <w:p w14:paraId="484CB2F2">
      <w:pPr>
        <w:spacing w:before="13"/>
      </w:pPr>
    </w:p>
    <w:p w14:paraId="483597BE">
      <w:pPr>
        <w:spacing w:before="12"/>
      </w:pPr>
    </w:p>
    <w:tbl>
      <w:tblPr>
        <w:tblStyle w:val="5"/>
        <w:tblW w:w="93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30"/>
      </w:tblGrid>
      <w:tr w14:paraId="6882A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757" w:hRule="atLeast"/>
        </w:trPr>
        <w:tc>
          <w:tcPr>
            <w:tcW w:w="478" w:type="dxa"/>
            <w:tcBorders>
              <w:right w:val="single" w:color="000000" w:sz="2" w:space="0"/>
            </w:tcBorders>
            <w:vAlign w:val="top"/>
          </w:tcPr>
          <w:p w14:paraId="160C6285">
            <w:pPr>
              <w:rPr>
                <w:rFonts w:ascii="Arial"/>
                <w:sz w:val="21"/>
              </w:rPr>
            </w:pPr>
          </w:p>
        </w:tc>
        <w:tc>
          <w:tcPr>
            <w:tcW w:w="8830" w:type="dxa"/>
            <w:tcBorders>
              <w:left w:val="single" w:color="000000" w:sz="2" w:space="0"/>
            </w:tcBorders>
            <w:vAlign w:val="top"/>
          </w:tcPr>
          <w:p w14:paraId="2980331C">
            <w:pPr>
              <w:pStyle w:val="6"/>
              <w:spacing w:before="232" w:line="220" w:lineRule="auto"/>
              <w:ind w:left="1171"/>
              <w:rPr>
                <w:sz w:val="24"/>
                <w:szCs w:val="24"/>
              </w:rPr>
            </w:pPr>
            <w:r>
              <w:rPr>
                <w:rFonts w:ascii="Times New Roman" w:hAnsi="Times New Roman" w:eastAsia="Times New Roman" w:cs="Times New Roman"/>
                <w:i/>
                <w:iCs/>
                <w:spacing w:val="-1"/>
                <w:sz w:val="24"/>
                <w:szCs w:val="24"/>
              </w:rPr>
              <w:t xml:space="preserve">r </w:t>
            </w:r>
            <w:r>
              <w:rPr>
                <w:rFonts w:ascii="Times New Roman" w:hAnsi="Times New Roman" w:eastAsia="Times New Roman" w:cs="Times New Roman"/>
                <w:spacing w:val="-1"/>
                <w:sz w:val="24"/>
                <w:szCs w:val="24"/>
              </w:rPr>
              <w:t>——</w:t>
            </w:r>
            <w:r>
              <w:rPr>
                <w:spacing w:val="-1"/>
                <w:sz w:val="24"/>
                <w:szCs w:val="24"/>
              </w:rPr>
              <w:t>预测点距声源的距离；</w:t>
            </w:r>
          </w:p>
          <w:p w14:paraId="106A99A7">
            <w:pPr>
              <w:pStyle w:val="6"/>
              <w:spacing w:before="218" w:line="219" w:lineRule="auto"/>
              <w:ind w:left="1171"/>
              <w:rPr>
                <w:sz w:val="24"/>
                <w:szCs w:val="24"/>
              </w:rPr>
            </w:pPr>
            <w:r>
              <w:rPr>
                <w:rFonts w:ascii="Times New Roman" w:hAnsi="Times New Roman" w:eastAsia="Times New Roman" w:cs="Times New Roman"/>
                <w:i/>
                <w:iCs/>
                <w:spacing w:val="-1"/>
                <w:sz w:val="24"/>
                <w:szCs w:val="24"/>
              </w:rPr>
              <w:t>r</w:t>
            </w:r>
            <w:r>
              <w:rPr>
                <w:rFonts w:ascii="Times New Roman" w:hAnsi="Times New Roman" w:eastAsia="Times New Roman" w:cs="Times New Roman"/>
                <w:spacing w:val="-1"/>
                <w:sz w:val="16"/>
                <w:szCs w:val="16"/>
              </w:rPr>
              <w:t xml:space="preserve">0 </w:t>
            </w:r>
            <w:r>
              <w:rPr>
                <w:rFonts w:ascii="Times New Roman" w:hAnsi="Times New Roman" w:eastAsia="Times New Roman" w:cs="Times New Roman"/>
                <w:spacing w:val="-1"/>
                <w:sz w:val="24"/>
                <w:szCs w:val="24"/>
              </w:rPr>
              <w:t>——</w:t>
            </w:r>
            <w:r>
              <w:rPr>
                <w:spacing w:val="-1"/>
                <w:sz w:val="24"/>
                <w:szCs w:val="24"/>
              </w:rPr>
              <w:t>参考位置距声源的距离。</w:t>
            </w:r>
          </w:p>
          <w:p w14:paraId="1BBFBA57">
            <w:pPr>
              <w:pStyle w:val="6"/>
              <w:spacing w:before="200" w:line="219" w:lineRule="auto"/>
              <w:ind w:left="702"/>
              <w:rPr>
                <w:sz w:val="24"/>
                <w:szCs w:val="24"/>
              </w:rPr>
            </w:pPr>
            <w:r>
              <w:rPr>
                <w:spacing w:val="-2"/>
                <w:sz w:val="24"/>
                <w:szCs w:val="24"/>
              </w:rPr>
              <w:t>预测结果见下表。</w:t>
            </w:r>
          </w:p>
          <w:p w14:paraId="6659BFC7">
            <w:pPr>
              <w:pStyle w:val="6"/>
              <w:spacing w:before="80" w:line="220" w:lineRule="auto"/>
              <w:ind w:left="1248"/>
            </w:pPr>
            <w:r>
              <w:rPr>
                <w:b/>
                <w:bCs/>
                <w:spacing w:val="6"/>
              </w:rPr>
              <w:t>表</w:t>
            </w:r>
            <w:r>
              <w:rPr>
                <w:spacing w:val="-25"/>
              </w:rPr>
              <w:t xml:space="preserve"> </w:t>
            </w:r>
            <w:r>
              <w:rPr>
                <w:rFonts w:ascii="Times New Roman" w:hAnsi="Times New Roman" w:eastAsia="Times New Roman" w:cs="Times New Roman"/>
                <w:b/>
                <w:bCs/>
                <w:spacing w:val="6"/>
              </w:rPr>
              <w:t xml:space="preserve">4-2        </w:t>
            </w:r>
            <w:r>
              <w:rPr>
                <w:b/>
                <w:bCs/>
                <w:spacing w:val="6"/>
              </w:rPr>
              <w:t>施工设备噪声对不同距离接受点的影响值</w:t>
            </w:r>
            <w:r>
              <w:rPr>
                <w:spacing w:val="6"/>
              </w:rPr>
              <w:t xml:space="preserve">  </w:t>
            </w:r>
            <w:r>
              <w:rPr>
                <w:b/>
                <w:bCs/>
                <w:spacing w:val="6"/>
              </w:rPr>
              <w:t>单位：</w:t>
            </w:r>
            <w:r>
              <w:rPr>
                <w:rFonts w:ascii="Times New Roman" w:hAnsi="Times New Roman" w:eastAsia="Times New Roman" w:cs="Times New Roman"/>
                <w:b/>
                <w:bCs/>
              </w:rPr>
              <w:t>dB</w:t>
            </w:r>
            <w:r>
              <w:rPr>
                <w:b/>
                <w:bCs/>
                <w:spacing w:val="6"/>
              </w:rPr>
              <w:t>（</w:t>
            </w:r>
            <w:r>
              <w:rPr>
                <w:rFonts w:ascii="Times New Roman" w:hAnsi="Times New Roman" w:eastAsia="Times New Roman" w:cs="Times New Roman"/>
                <w:b/>
                <w:bCs/>
                <w:spacing w:val="6"/>
              </w:rPr>
              <w:t>A</w:t>
            </w:r>
            <w:r>
              <w:rPr>
                <w:b/>
                <w:bCs/>
                <w:spacing w:val="6"/>
              </w:rPr>
              <w:t>）</w:t>
            </w:r>
          </w:p>
          <w:tbl>
            <w:tblPr>
              <w:tblStyle w:val="5"/>
              <w:tblW w:w="8595" w:type="dxa"/>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80"/>
              <w:gridCol w:w="1011"/>
              <w:gridCol w:w="668"/>
              <w:gridCol w:w="699"/>
              <w:gridCol w:w="685"/>
              <w:gridCol w:w="749"/>
              <w:gridCol w:w="742"/>
              <w:gridCol w:w="770"/>
              <w:gridCol w:w="779"/>
              <w:gridCol w:w="812"/>
            </w:tblGrid>
            <w:tr w14:paraId="3C3D6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680" w:type="dxa"/>
                  <w:vAlign w:val="top"/>
                </w:tcPr>
                <w:p w14:paraId="731D3B8A">
                  <w:pPr>
                    <w:pStyle w:val="6"/>
                    <w:spacing w:before="171" w:line="229" w:lineRule="auto"/>
                    <w:ind w:left="117"/>
                  </w:pPr>
                  <w:r>
                    <w:rPr>
                      <w:b/>
                      <w:bCs/>
                      <w:spacing w:val="5"/>
                    </w:rPr>
                    <w:t>设备名称</w:t>
                  </w:r>
                </w:p>
              </w:tc>
              <w:tc>
                <w:tcPr>
                  <w:tcW w:w="1011" w:type="dxa"/>
                  <w:vAlign w:val="top"/>
                </w:tcPr>
                <w:p w14:paraId="780DF46D">
                  <w:pPr>
                    <w:pStyle w:val="6"/>
                    <w:spacing w:before="35" w:line="235" w:lineRule="auto"/>
                    <w:ind w:left="164" w:right="174" w:firstLine="130"/>
                  </w:pPr>
                  <w:r>
                    <w:rPr>
                      <w:b/>
                      <w:bCs/>
                      <w:spacing w:val="4"/>
                    </w:rPr>
                    <w:t>源强</w:t>
                  </w:r>
                  <w:r>
                    <w:rPr>
                      <w:b/>
                      <w:bCs/>
                      <w:spacing w:val="-3"/>
                    </w:rPr>
                    <w:t>（</w:t>
                  </w:r>
                  <w:r>
                    <w:rPr>
                      <w:rFonts w:ascii="Times New Roman" w:hAnsi="Times New Roman" w:eastAsia="Times New Roman" w:cs="Times New Roman"/>
                      <w:b/>
                      <w:bCs/>
                      <w:spacing w:val="-3"/>
                    </w:rPr>
                    <w:t>1m</w:t>
                  </w:r>
                  <w:r>
                    <w:rPr>
                      <w:b/>
                      <w:bCs/>
                      <w:spacing w:val="-3"/>
                    </w:rPr>
                    <w:t>）</w:t>
                  </w:r>
                </w:p>
              </w:tc>
              <w:tc>
                <w:tcPr>
                  <w:tcW w:w="668" w:type="dxa"/>
                  <w:tcBorders>
                    <w:right w:val="single" w:color="000000" w:sz="6" w:space="0"/>
                  </w:tcBorders>
                  <w:vAlign w:val="top"/>
                </w:tcPr>
                <w:p w14:paraId="08C9D888">
                  <w:pPr>
                    <w:spacing w:before="210" w:line="192" w:lineRule="auto"/>
                    <w:ind w:left="193"/>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5m</w:t>
                  </w:r>
                </w:p>
              </w:tc>
              <w:tc>
                <w:tcPr>
                  <w:tcW w:w="699" w:type="dxa"/>
                  <w:tcBorders>
                    <w:left w:val="single" w:color="000000" w:sz="6" w:space="0"/>
                  </w:tcBorders>
                  <w:vAlign w:val="top"/>
                </w:tcPr>
                <w:p w14:paraId="107AAF2C">
                  <w:pPr>
                    <w:spacing w:before="207" w:line="195" w:lineRule="auto"/>
                    <w:ind w:left="163"/>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10m</w:t>
                  </w:r>
                </w:p>
              </w:tc>
              <w:tc>
                <w:tcPr>
                  <w:tcW w:w="685" w:type="dxa"/>
                  <w:vAlign w:val="top"/>
                </w:tcPr>
                <w:p w14:paraId="3FC1A7F7">
                  <w:pPr>
                    <w:spacing w:before="207" w:line="195" w:lineRule="auto"/>
                    <w:ind w:left="158"/>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15m</w:t>
                  </w:r>
                </w:p>
              </w:tc>
              <w:tc>
                <w:tcPr>
                  <w:tcW w:w="749" w:type="dxa"/>
                  <w:vAlign w:val="top"/>
                </w:tcPr>
                <w:p w14:paraId="361DC389">
                  <w:pPr>
                    <w:spacing w:before="207" w:line="195" w:lineRule="auto"/>
                    <w:ind w:left="182"/>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23m</w:t>
                  </w:r>
                </w:p>
              </w:tc>
              <w:tc>
                <w:tcPr>
                  <w:tcW w:w="742" w:type="dxa"/>
                  <w:vAlign w:val="top"/>
                </w:tcPr>
                <w:p w14:paraId="73F056C6">
                  <w:pPr>
                    <w:spacing w:before="207" w:line="195" w:lineRule="auto"/>
                    <w:ind w:left="180"/>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38m</w:t>
                  </w:r>
                </w:p>
              </w:tc>
              <w:tc>
                <w:tcPr>
                  <w:tcW w:w="770" w:type="dxa"/>
                  <w:vAlign w:val="top"/>
                </w:tcPr>
                <w:p w14:paraId="2CB5C4C7">
                  <w:pPr>
                    <w:spacing w:before="207" w:line="195" w:lineRule="auto"/>
                    <w:ind w:left="198"/>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60m</w:t>
                  </w:r>
                </w:p>
              </w:tc>
              <w:tc>
                <w:tcPr>
                  <w:tcW w:w="779" w:type="dxa"/>
                  <w:vAlign w:val="top"/>
                </w:tcPr>
                <w:p w14:paraId="62CE7C3E">
                  <w:pPr>
                    <w:spacing w:before="207" w:line="195" w:lineRule="auto"/>
                    <w:ind w:left="156"/>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120m</w:t>
                  </w:r>
                </w:p>
              </w:tc>
              <w:tc>
                <w:tcPr>
                  <w:tcW w:w="812" w:type="dxa"/>
                  <w:vAlign w:val="top"/>
                </w:tcPr>
                <w:p w14:paraId="216A33B1">
                  <w:pPr>
                    <w:spacing w:before="207" w:line="195" w:lineRule="auto"/>
                    <w:ind w:left="161"/>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200m</w:t>
                  </w:r>
                </w:p>
              </w:tc>
            </w:tr>
            <w:tr w14:paraId="397C4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680" w:type="dxa"/>
                  <w:vAlign w:val="top"/>
                </w:tcPr>
                <w:p w14:paraId="2157E1E5">
                  <w:pPr>
                    <w:pStyle w:val="6"/>
                    <w:spacing w:before="62" w:line="227" w:lineRule="auto"/>
                    <w:ind w:left="525"/>
                  </w:pPr>
                  <w:r>
                    <w:rPr>
                      <w:spacing w:val="7"/>
                    </w:rPr>
                    <w:t>挖掘机</w:t>
                  </w:r>
                </w:p>
              </w:tc>
              <w:tc>
                <w:tcPr>
                  <w:tcW w:w="1011" w:type="dxa"/>
                  <w:vAlign w:val="top"/>
                </w:tcPr>
                <w:p w14:paraId="3FB0DBBA">
                  <w:pPr>
                    <w:spacing w:before="100"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86</w:t>
                  </w:r>
                </w:p>
              </w:tc>
              <w:tc>
                <w:tcPr>
                  <w:tcW w:w="668" w:type="dxa"/>
                  <w:tcBorders>
                    <w:right w:val="single" w:color="000000" w:sz="6" w:space="0"/>
                  </w:tcBorders>
                  <w:vAlign w:val="top"/>
                </w:tcPr>
                <w:p w14:paraId="72B50CBD">
                  <w:pPr>
                    <w:spacing w:before="100" w:line="195" w:lineRule="auto"/>
                    <w:ind w:left="15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70.4</w:t>
                  </w:r>
                </w:p>
              </w:tc>
              <w:tc>
                <w:tcPr>
                  <w:tcW w:w="699" w:type="dxa"/>
                  <w:tcBorders>
                    <w:left w:val="single" w:color="000000" w:sz="6" w:space="0"/>
                  </w:tcBorders>
                  <w:vAlign w:val="top"/>
                </w:tcPr>
                <w:p w14:paraId="5F1CD908">
                  <w:pPr>
                    <w:spacing w:before="100"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65.2</w:t>
                  </w:r>
                </w:p>
              </w:tc>
              <w:tc>
                <w:tcPr>
                  <w:tcW w:w="685" w:type="dxa"/>
                  <w:vAlign w:val="top"/>
                </w:tcPr>
                <w:p w14:paraId="6C5EBBBA">
                  <w:pPr>
                    <w:spacing w:before="100" w:line="195" w:lineRule="auto"/>
                    <w:ind w:left="16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61.9</w:t>
                  </w:r>
                </w:p>
              </w:tc>
              <w:tc>
                <w:tcPr>
                  <w:tcW w:w="749" w:type="dxa"/>
                  <w:vAlign w:val="top"/>
                </w:tcPr>
                <w:p w14:paraId="457B8720">
                  <w:pPr>
                    <w:spacing w:before="100" w:line="195"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58.4</w:t>
                  </w:r>
                </w:p>
              </w:tc>
              <w:tc>
                <w:tcPr>
                  <w:tcW w:w="742" w:type="dxa"/>
                  <w:vAlign w:val="top"/>
                </w:tcPr>
                <w:p w14:paraId="50C5C82C">
                  <w:pPr>
                    <w:spacing w:before="100" w:line="195"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44.7</w:t>
                  </w:r>
                </w:p>
              </w:tc>
              <w:tc>
                <w:tcPr>
                  <w:tcW w:w="770" w:type="dxa"/>
                  <w:vAlign w:val="top"/>
                </w:tcPr>
                <w:p w14:paraId="1D92DD06">
                  <w:pPr>
                    <w:spacing w:before="100"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40.8</w:t>
                  </w:r>
                </w:p>
              </w:tc>
              <w:tc>
                <w:tcPr>
                  <w:tcW w:w="779" w:type="dxa"/>
                  <w:vAlign w:val="top"/>
                </w:tcPr>
                <w:p w14:paraId="4C33BF77">
                  <w:pPr>
                    <w:spacing w:before="100" w:line="195" w:lineRule="auto"/>
                    <w:ind w:left="2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44.3</w:t>
                  </w:r>
                </w:p>
              </w:tc>
              <w:tc>
                <w:tcPr>
                  <w:tcW w:w="812" w:type="dxa"/>
                  <w:vAlign w:val="top"/>
                </w:tcPr>
                <w:p w14:paraId="0F2564A6">
                  <w:pPr>
                    <w:spacing w:before="100"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39.9</w:t>
                  </w:r>
                </w:p>
              </w:tc>
            </w:tr>
            <w:tr w14:paraId="37C6F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680" w:type="dxa"/>
                  <w:vAlign w:val="top"/>
                </w:tcPr>
                <w:p w14:paraId="11DE2C1F">
                  <w:pPr>
                    <w:pStyle w:val="6"/>
                    <w:spacing w:before="63" w:line="227" w:lineRule="auto"/>
                    <w:ind w:left="526"/>
                  </w:pPr>
                  <w:r>
                    <w:rPr>
                      <w:spacing w:val="6"/>
                    </w:rPr>
                    <w:t>推土机</w:t>
                  </w:r>
                </w:p>
              </w:tc>
              <w:tc>
                <w:tcPr>
                  <w:tcW w:w="1011" w:type="dxa"/>
                  <w:vAlign w:val="top"/>
                </w:tcPr>
                <w:p w14:paraId="4DF95810">
                  <w:pPr>
                    <w:spacing w:before="101"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85</w:t>
                  </w:r>
                </w:p>
              </w:tc>
              <w:tc>
                <w:tcPr>
                  <w:tcW w:w="668" w:type="dxa"/>
                  <w:tcBorders>
                    <w:right w:val="single" w:color="000000" w:sz="6" w:space="0"/>
                  </w:tcBorders>
                  <w:vAlign w:val="top"/>
                </w:tcPr>
                <w:p w14:paraId="3134320B">
                  <w:pPr>
                    <w:spacing w:before="101" w:line="195" w:lineRule="auto"/>
                    <w:ind w:left="14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47.9</w:t>
                  </w:r>
                </w:p>
              </w:tc>
              <w:tc>
                <w:tcPr>
                  <w:tcW w:w="699" w:type="dxa"/>
                  <w:tcBorders>
                    <w:left w:val="single" w:color="000000" w:sz="6" w:space="0"/>
                  </w:tcBorders>
                  <w:vAlign w:val="top"/>
                </w:tcPr>
                <w:p w14:paraId="5186CBB0">
                  <w:pPr>
                    <w:spacing w:before="10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64.2</w:t>
                  </w:r>
                </w:p>
              </w:tc>
              <w:tc>
                <w:tcPr>
                  <w:tcW w:w="685" w:type="dxa"/>
                  <w:vAlign w:val="top"/>
                </w:tcPr>
                <w:p w14:paraId="2959597F">
                  <w:pPr>
                    <w:spacing w:before="10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49.0</w:t>
                  </w:r>
                </w:p>
              </w:tc>
              <w:tc>
                <w:tcPr>
                  <w:tcW w:w="749" w:type="dxa"/>
                  <w:vAlign w:val="top"/>
                </w:tcPr>
                <w:p w14:paraId="33BF5F6E">
                  <w:pPr>
                    <w:spacing w:before="101"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49.5</w:t>
                  </w:r>
                </w:p>
              </w:tc>
              <w:tc>
                <w:tcPr>
                  <w:tcW w:w="742" w:type="dxa"/>
                  <w:vAlign w:val="top"/>
                </w:tcPr>
                <w:p w14:paraId="1B892C6E">
                  <w:pPr>
                    <w:spacing w:before="101" w:line="195"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41.2</w:t>
                  </w:r>
                </w:p>
              </w:tc>
              <w:tc>
                <w:tcPr>
                  <w:tcW w:w="770" w:type="dxa"/>
                  <w:vAlign w:val="top"/>
                </w:tcPr>
                <w:p w14:paraId="06DB3394">
                  <w:pPr>
                    <w:spacing w:before="101" w:line="195" w:lineRule="auto"/>
                    <w:ind w:left="20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37.3</w:t>
                  </w:r>
                </w:p>
              </w:tc>
              <w:tc>
                <w:tcPr>
                  <w:tcW w:w="779" w:type="dxa"/>
                  <w:vAlign w:val="top"/>
                </w:tcPr>
                <w:p w14:paraId="68AC53D7">
                  <w:pPr>
                    <w:spacing w:before="101"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51.9</w:t>
                  </w:r>
                </w:p>
              </w:tc>
              <w:tc>
                <w:tcPr>
                  <w:tcW w:w="812" w:type="dxa"/>
                  <w:vAlign w:val="top"/>
                </w:tcPr>
                <w:p w14:paraId="448F4F9F">
                  <w:pPr>
                    <w:spacing w:before="101" w:line="195" w:lineRule="auto"/>
                    <w:ind w:left="22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52.8</w:t>
                  </w:r>
                </w:p>
              </w:tc>
            </w:tr>
            <w:tr w14:paraId="573D2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680" w:type="dxa"/>
                  <w:vAlign w:val="top"/>
                </w:tcPr>
                <w:p w14:paraId="358DC0CC">
                  <w:pPr>
                    <w:pStyle w:val="6"/>
                    <w:spacing w:before="65" w:line="228" w:lineRule="auto"/>
                    <w:ind w:left="526"/>
                  </w:pPr>
                  <w:r>
                    <w:rPr>
                      <w:spacing w:val="6"/>
                    </w:rPr>
                    <w:t>手风钻</w:t>
                  </w:r>
                </w:p>
              </w:tc>
              <w:tc>
                <w:tcPr>
                  <w:tcW w:w="1011" w:type="dxa"/>
                  <w:vAlign w:val="top"/>
                </w:tcPr>
                <w:p w14:paraId="2F57235C">
                  <w:pPr>
                    <w:spacing w:before="102" w:line="195" w:lineRule="auto"/>
                    <w:ind w:left="401"/>
                    <w:rPr>
                      <w:rFonts w:ascii="Times New Roman" w:hAnsi="Times New Roman" w:eastAsia="Times New Roman" w:cs="Times New Roman"/>
                      <w:sz w:val="20"/>
                      <w:szCs w:val="20"/>
                    </w:rPr>
                  </w:pPr>
                  <w:r>
                    <w:rPr>
                      <w:rFonts w:ascii="Times New Roman" w:hAnsi="Times New Roman" w:eastAsia="Times New Roman" w:cs="Times New Roman"/>
                      <w:sz w:val="20"/>
                      <w:szCs w:val="20"/>
                    </w:rPr>
                    <w:t>90</w:t>
                  </w:r>
                </w:p>
              </w:tc>
              <w:tc>
                <w:tcPr>
                  <w:tcW w:w="668" w:type="dxa"/>
                  <w:tcBorders>
                    <w:right w:val="single" w:color="000000" w:sz="6" w:space="0"/>
                  </w:tcBorders>
                  <w:vAlign w:val="top"/>
                </w:tcPr>
                <w:p w14:paraId="10BC1846">
                  <w:pPr>
                    <w:spacing w:before="102" w:line="195" w:lineRule="auto"/>
                    <w:ind w:left="1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56.2</w:t>
                  </w:r>
                </w:p>
              </w:tc>
              <w:tc>
                <w:tcPr>
                  <w:tcW w:w="699" w:type="dxa"/>
                  <w:tcBorders>
                    <w:left w:val="single" w:color="000000" w:sz="6" w:space="0"/>
                  </w:tcBorders>
                  <w:vAlign w:val="top"/>
                </w:tcPr>
                <w:p w14:paraId="64EF15B1">
                  <w:pPr>
                    <w:spacing w:before="102"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69.2</w:t>
                  </w:r>
                </w:p>
              </w:tc>
              <w:tc>
                <w:tcPr>
                  <w:tcW w:w="685" w:type="dxa"/>
                  <w:vAlign w:val="top"/>
                </w:tcPr>
                <w:p w14:paraId="3941BAA5">
                  <w:pPr>
                    <w:spacing w:before="102"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56.0</w:t>
                  </w:r>
                </w:p>
              </w:tc>
              <w:tc>
                <w:tcPr>
                  <w:tcW w:w="749" w:type="dxa"/>
                  <w:vAlign w:val="top"/>
                </w:tcPr>
                <w:p w14:paraId="3ACB962C">
                  <w:pPr>
                    <w:spacing w:before="102" w:line="195" w:lineRule="auto"/>
                    <w:ind w:left="1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55.9</w:t>
                  </w:r>
                </w:p>
              </w:tc>
              <w:tc>
                <w:tcPr>
                  <w:tcW w:w="742" w:type="dxa"/>
                  <w:vAlign w:val="top"/>
                </w:tcPr>
                <w:p w14:paraId="58A88303">
                  <w:pPr>
                    <w:spacing w:before="102" w:line="195"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50.7</w:t>
                  </w:r>
                </w:p>
              </w:tc>
              <w:tc>
                <w:tcPr>
                  <w:tcW w:w="770" w:type="dxa"/>
                  <w:vAlign w:val="top"/>
                </w:tcPr>
                <w:p w14:paraId="34358036">
                  <w:pPr>
                    <w:spacing w:before="102"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46.8</w:t>
                  </w:r>
                </w:p>
              </w:tc>
              <w:tc>
                <w:tcPr>
                  <w:tcW w:w="779" w:type="dxa"/>
                  <w:vAlign w:val="top"/>
                </w:tcPr>
                <w:p w14:paraId="2468FBAD">
                  <w:pPr>
                    <w:spacing w:before="105" w:line="192"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55.5</w:t>
                  </w:r>
                </w:p>
              </w:tc>
              <w:tc>
                <w:tcPr>
                  <w:tcW w:w="812" w:type="dxa"/>
                  <w:vAlign w:val="top"/>
                </w:tcPr>
                <w:p w14:paraId="020E1E01">
                  <w:pPr>
                    <w:spacing w:before="102" w:line="195" w:lineRule="auto"/>
                    <w:ind w:left="22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55.4</w:t>
                  </w:r>
                </w:p>
              </w:tc>
            </w:tr>
            <w:tr w14:paraId="015B7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680" w:type="dxa"/>
                  <w:vAlign w:val="top"/>
                </w:tcPr>
                <w:p w14:paraId="58718E7A">
                  <w:pPr>
                    <w:pStyle w:val="6"/>
                    <w:spacing w:before="65" w:line="227" w:lineRule="auto"/>
                    <w:ind w:left="214"/>
                  </w:pPr>
                  <w:r>
                    <w:rPr>
                      <w:spacing w:val="8"/>
                    </w:rPr>
                    <w:t>混凝土振捣机</w:t>
                  </w:r>
                </w:p>
              </w:tc>
              <w:tc>
                <w:tcPr>
                  <w:tcW w:w="1011" w:type="dxa"/>
                  <w:vAlign w:val="top"/>
                </w:tcPr>
                <w:p w14:paraId="6DB85A76">
                  <w:pPr>
                    <w:spacing w:before="104"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83</w:t>
                  </w:r>
                </w:p>
              </w:tc>
              <w:tc>
                <w:tcPr>
                  <w:tcW w:w="668" w:type="dxa"/>
                  <w:tcBorders>
                    <w:right w:val="single" w:color="000000" w:sz="6" w:space="0"/>
                  </w:tcBorders>
                  <w:vAlign w:val="top"/>
                </w:tcPr>
                <w:p w14:paraId="61BA11A7">
                  <w:pPr>
                    <w:spacing w:before="104" w:line="195" w:lineRule="auto"/>
                    <w:ind w:left="14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47.9</w:t>
                  </w:r>
                </w:p>
              </w:tc>
              <w:tc>
                <w:tcPr>
                  <w:tcW w:w="699" w:type="dxa"/>
                  <w:tcBorders>
                    <w:left w:val="single" w:color="000000" w:sz="6" w:space="0"/>
                  </w:tcBorders>
                  <w:vAlign w:val="top"/>
                </w:tcPr>
                <w:p w14:paraId="35CC87BD">
                  <w:pPr>
                    <w:spacing w:before="104"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62.2</w:t>
                  </w:r>
                </w:p>
              </w:tc>
              <w:tc>
                <w:tcPr>
                  <w:tcW w:w="685" w:type="dxa"/>
                  <w:vAlign w:val="top"/>
                </w:tcPr>
                <w:p w14:paraId="08C1057E">
                  <w:pPr>
                    <w:spacing w:before="104"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47.9</w:t>
                  </w:r>
                </w:p>
              </w:tc>
              <w:tc>
                <w:tcPr>
                  <w:tcW w:w="749" w:type="dxa"/>
                  <w:vAlign w:val="top"/>
                </w:tcPr>
                <w:p w14:paraId="2C8AAB3F">
                  <w:pPr>
                    <w:spacing w:before="104"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47.9</w:t>
                  </w:r>
                </w:p>
              </w:tc>
              <w:tc>
                <w:tcPr>
                  <w:tcW w:w="742" w:type="dxa"/>
                  <w:vAlign w:val="top"/>
                </w:tcPr>
                <w:p w14:paraId="73E753EB">
                  <w:pPr>
                    <w:spacing w:before="104" w:line="195"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49.7</w:t>
                  </w:r>
                </w:p>
              </w:tc>
              <w:tc>
                <w:tcPr>
                  <w:tcW w:w="770" w:type="dxa"/>
                  <w:vAlign w:val="top"/>
                </w:tcPr>
                <w:p w14:paraId="37C8381A">
                  <w:pPr>
                    <w:spacing w:before="104"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45.8</w:t>
                  </w:r>
                </w:p>
              </w:tc>
              <w:tc>
                <w:tcPr>
                  <w:tcW w:w="779" w:type="dxa"/>
                  <w:vAlign w:val="top"/>
                </w:tcPr>
                <w:p w14:paraId="5839BE9A">
                  <w:pPr>
                    <w:spacing w:before="104" w:line="195" w:lineRule="auto"/>
                    <w:ind w:left="2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48.0</w:t>
                  </w:r>
                </w:p>
              </w:tc>
              <w:tc>
                <w:tcPr>
                  <w:tcW w:w="812" w:type="dxa"/>
                  <w:vAlign w:val="top"/>
                </w:tcPr>
                <w:p w14:paraId="6972656B">
                  <w:pPr>
                    <w:spacing w:before="104" w:line="195" w:lineRule="auto"/>
                    <w:ind w:left="22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48.0</w:t>
                  </w:r>
                </w:p>
              </w:tc>
            </w:tr>
            <w:tr w14:paraId="29214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1680" w:type="dxa"/>
                  <w:vAlign w:val="top"/>
                </w:tcPr>
                <w:p w14:paraId="2B227520">
                  <w:pPr>
                    <w:pStyle w:val="6"/>
                    <w:spacing w:before="66" w:line="228" w:lineRule="auto"/>
                    <w:ind w:left="246"/>
                  </w:pPr>
                  <w:r>
                    <w:rPr>
                      <w:spacing w:val="2"/>
                    </w:rPr>
                    <w:t>自卸式运输车</w:t>
                  </w:r>
                </w:p>
              </w:tc>
              <w:tc>
                <w:tcPr>
                  <w:tcW w:w="1011" w:type="dxa"/>
                  <w:vAlign w:val="top"/>
                </w:tcPr>
                <w:p w14:paraId="6E21C567">
                  <w:pPr>
                    <w:spacing w:before="105"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80</w:t>
                  </w:r>
                </w:p>
              </w:tc>
              <w:tc>
                <w:tcPr>
                  <w:tcW w:w="668" w:type="dxa"/>
                  <w:tcBorders>
                    <w:right w:val="single" w:color="000000" w:sz="6" w:space="0"/>
                  </w:tcBorders>
                  <w:vAlign w:val="top"/>
                </w:tcPr>
                <w:p w14:paraId="4F195068">
                  <w:pPr>
                    <w:spacing w:before="105" w:line="195" w:lineRule="auto"/>
                    <w:ind w:left="14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46.2</w:t>
                  </w:r>
                </w:p>
              </w:tc>
              <w:tc>
                <w:tcPr>
                  <w:tcW w:w="699" w:type="dxa"/>
                  <w:tcBorders>
                    <w:left w:val="single" w:color="000000" w:sz="6" w:space="0"/>
                  </w:tcBorders>
                  <w:vAlign w:val="top"/>
                </w:tcPr>
                <w:p w14:paraId="1D81DAFB">
                  <w:pPr>
                    <w:spacing w:before="105"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59.2</w:t>
                  </w:r>
                </w:p>
              </w:tc>
              <w:tc>
                <w:tcPr>
                  <w:tcW w:w="685" w:type="dxa"/>
                  <w:vAlign w:val="top"/>
                </w:tcPr>
                <w:p w14:paraId="22D0B4F6">
                  <w:pPr>
                    <w:spacing w:before="105"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46.2</w:t>
                  </w:r>
                </w:p>
              </w:tc>
              <w:tc>
                <w:tcPr>
                  <w:tcW w:w="749" w:type="dxa"/>
                  <w:vAlign w:val="top"/>
                </w:tcPr>
                <w:p w14:paraId="584DD1F4">
                  <w:pPr>
                    <w:spacing w:before="105"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46.2</w:t>
                  </w:r>
                </w:p>
              </w:tc>
              <w:tc>
                <w:tcPr>
                  <w:tcW w:w="742" w:type="dxa"/>
                  <w:vAlign w:val="top"/>
                </w:tcPr>
                <w:p w14:paraId="04ED1E6D">
                  <w:pPr>
                    <w:spacing w:before="105" w:line="195"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41.7</w:t>
                  </w:r>
                </w:p>
              </w:tc>
              <w:tc>
                <w:tcPr>
                  <w:tcW w:w="770" w:type="dxa"/>
                  <w:vAlign w:val="top"/>
                </w:tcPr>
                <w:p w14:paraId="3333E269">
                  <w:pPr>
                    <w:spacing w:before="105" w:line="195" w:lineRule="auto"/>
                    <w:ind w:left="20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37.8</w:t>
                  </w:r>
                </w:p>
              </w:tc>
              <w:tc>
                <w:tcPr>
                  <w:tcW w:w="779" w:type="dxa"/>
                  <w:vAlign w:val="top"/>
                </w:tcPr>
                <w:p w14:paraId="5D432B94">
                  <w:pPr>
                    <w:spacing w:before="105" w:line="195" w:lineRule="auto"/>
                    <w:ind w:left="2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46.2</w:t>
                  </w:r>
                </w:p>
              </w:tc>
              <w:tc>
                <w:tcPr>
                  <w:tcW w:w="812" w:type="dxa"/>
                  <w:vAlign w:val="top"/>
                </w:tcPr>
                <w:p w14:paraId="08441759">
                  <w:pPr>
                    <w:spacing w:before="105" w:line="195" w:lineRule="auto"/>
                    <w:ind w:left="22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46.2</w:t>
                  </w:r>
                </w:p>
              </w:tc>
            </w:tr>
            <w:tr w14:paraId="35C1F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680" w:type="dxa"/>
                  <w:tcBorders>
                    <w:right w:val="single" w:color="000000" w:sz="2" w:space="0"/>
                  </w:tcBorders>
                  <w:vAlign w:val="top"/>
                </w:tcPr>
                <w:p w14:paraId="731873ED">
                  <w:pPr>
                    <w:pStyle w:val="6"/>
                    <w:spacing w:before="68" w:line="228" w:lineRule="auto"/>
                    <w:ind w:left="221"/>
                  </w:pPr>
                  <w:r>
                    <w:rPr>
                      <w:spacing w:val="6"/>
                    </w:rPr>
                    <w:t>多声源叠加值</w:t>
                  </w:r>
                </w:p>
              </w:tc>
              <w:tc>
                <w:tcPr>
                  <w:tcW w:w="1011" w:type="dxa"/>
                  <w:tcBorders>
                    <w:left w:val="single" w:color="000000" w:sz="2" w:space="0"/>
                  </w:tcBorders>
                  <w:vAlign w:val="top"/>
                </w:tcPr>
                <w:p w14:paraId="6CE8FDEF">
                  <w:pPr>
                    <w:spacing w:before="105" w:line="195"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93.0</w:t>
                  </w:r>
                </w:p>
              </w:tc>
              <w:tc>
                <w:tcPr>
                  <w:tcW w:w="668" w:type="dxa"/>
                  <w:tcBorders>
                    <w:right w:val="single" w:color="000000" w:sz="6" w:space="0"/>
                  </w:tcBorders>
                  <w:vAlign w:val="top"/>
                </w:tcPr>
                <w:p w14:paraId="2919C34A">
                  <w:pPr>
                    <w:spacing w:before="105" w:line="195" w:lineRule="auto"/>
                    <w:ind w:left="15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70.7</w:t>
                  </w:r>
                </w:p>
              </w:tc>
              <w:tc>
                <w:tcPr>
                  <w:tcW w:w="699" w:type="dxa"/>
                  <w:tcBorders>
                    <w:left w:val="single" w:color="000000" w:sz="6" w:space="0"/>
                  </w:tcBorders>
                  <w:vAlign w:val="top"/>
                </w:tcPr>
                <w:p w14:paraId="59D90282">
                  <w:pPr>
                    <w:spacing w:before="105" w:line="195" w:lineRule="auto"/>
                    <w:ind w:left="1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72.2</w:t>
                  </w:r>
                </w:p>
              </w:tc>
              <w:tc>
                <w:tcPr>
                  <w:tcW w:w="685" w:type="dxa"/>
                  <w:vAlign w:val="top"/>
                </w:tcPr>
                <w:p w14:paraId="79775F4D">
                  <w:pPr>
                    <w:spacing w:before="105" w:line="195" w:lineRule="auto"/>
                    <w:ind w:left="16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63.3</w:t>
                  </w:r>
                </w:p>
              </w:tc>
              <w:tc>
                <w:tcPr>
                  <w:tcW w:w="749" w:type="dxa"/>
                  <w:vAlign w:val="top"/>
                </w:tcPr>
                <w:p w14:paraId="1AAE2CC6">
                  <w:pPr>
                    <w:spacing w:before="105" w:line="195" w:lineRule="auto"/>
                    <w:ind w:left="19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w:t>
                  </w:r>
                </w:p>
              </w:tc>
              <w:tc>
                <w:tcPr>
                  <w:tcW w:w="742" w:type="dxa"/>
                  <w:vAlign w:val="top"/>
                </w:tcPr>
                <w:p w14:paraId="1F005401">
                  <w:pPr>
                    <w:spacing w:before="105" w:line="195"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54.3</w:t>
                  </w:r>
                </w:p>
              </w:tc>
              <w:tc>
                <w:tcPr>
                  <w:tcW w:w="770" w:type="dxa"/>
                  <w:vAlign w:val="top"/>
                </w:tcPr>
                <w:p w14:paraId="76FE6E40">
                  <w:pPr>
                    <w:spacing w:before="105" w:line="195" w:lineRule="auto"/>
                    <w:ind w:left="20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50.4</w:t>
                  </w:r>
                </w:p>
              </w:tc>
              <w:tc>
                <w:tcPr>
                  <w:tcW w:w="779" w:type="dxa"/>
                  <w:vAlign w:val="top"/>
                </w:tcPr>
                <w:p w14:paraId="3057444E">
                  <w:pPr>
                    <w:spacing w:before="105" w:line="195" w:lineRule="auto"/>
                    <w:ind w:left="215"/>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z w:val="20"/>
                      <w:szCs w:val="20"/>
                    </w:rPr>
                    <w:t>1</w:t>
                  </w:r>
                </w:p>
              </w:tc>
              <w:tc>
                <w:tcPr>
                  <w:tcW w:w="812" w:type="dxa"/>
                  <w:vAlign w:val="top"/>
                </w:tcPr>
                <w:p w14:paraId="313A9AD2">
                  <w:pPr>
                    <w:spacing w:before="105" w:line="195" w:lineRule="auto"/>
                    <w:ind w:left="228"/>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z w:val="20"/>
                      <w:szCs w:val="20"/>
                    </w:rPr>
                    <w:t>1</w:t>
                  </w:r>
                </w:p>
              </w:tc>
            </w:tr>
            <w:tr w14:paraId="161FD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trPr>
              <w:tc>
                <w:tcPr>
                  <w:tcW w:w="8595" w:type="dxa"/>
                  <w:gridSpan w:val="10"/>
                  <w:vAlign w:val="top"/>
                </w:tcPr>
                <w:p w14:paraId="3F9D85F2">
                  <w:pPr>
                    <w:pStyle w:val="6"/>
                    <w:spacing w:before="70" w:line="228" w:lineRule="auto"/>
                    <w:ind w:left="113"/>
                  </w:pPr>
                  <w:r>
                    <w:rPr>
                      <w:spacing w:val="4"/>
                    </w:rPr>
                    <w:t>注：</w:t>
                  </w:r>
                  <w:r>
                    <w:rPr>
                      <w:spacing w:val="-45"/>
                    </w:rPr>
                    <w:t xml:space="preserve"> </w:t>
                  </w:r>
                  <w:r>
                    <w:rPr>
                      <w:spacing w:val="4"/>
                    </w:rPr>
                    <w:t>以上声源距围墙最近直线距离</w:t>
                  </w:r>
                  <w:r>
                    <w:rPr>
                      <w:spacing w:val="-23"/>
                    </w:rPr>
                    <w:t xml:space="preserve"> </w:t>
                  </w:r>
                  <w:r>
                    <w:rPr>
                      <w:rFonts w:ascii="Times New Roman" w:hAnsi="Times New Roman" w:eastAsia="Times New Roman" w:cs="Times New Roman"/>
                      <w:spacing w:val="4"/>
                    </w:rPr>
                    <w:t>1m</w:t>
                  </w:r>
                  <w:r>
                    <w:rPr>
                      <w:spacing w:val="4"/>
                    </w:rPr>
                    <w:t>。</w:t>
                  </w:r>
                </w:p>
              </w:tc>
            </w:tr>
          </w:tbl>
          <w:p w14:paraId="4CE1CD46">
            <w:pPr>
              <w:pStyle w:val="6"/>
              <w:spacing w:before="36" w:line="359" w:lineRule="auto"/>
              <w:ind w:left="109" w:right="103" w:firstLine="507"/>
              <w:jc w:val="both"/>
              <w:rPr>
                <w:sz w:val="24"/>
                <w:szCs w:val="24"/>
              </w:rPr>
            </w:pPr>
            <w:r>
              <w:rPr>
                <w:spacing w:val="-2"/>
                <w:sz w:val="24"/>
                <w:szCs w:val="24"/>
              </w:rPr>
              <w:t>由于本项目施工期在夜间不涉及施工和材料运输，仅需考虑项目建设对区域昼</w:t>
            </w:r>
            <w:r>
              <w:rPr>
                <w:spacing w:val="-1"/>
                <w:sz w:val="24"/>
                <w:szCs w:val="24"/>
              </w:rPr>
              <w:t>间声环境产生的噪声影响进行分析，施工期由于施工设备种类繁多，不同的设备产生的噪声不同。在多台机械设备同时作业时，产生的噪声还会叠加。</w:t>
            </w:r>
          </w:p>
          <w:p w14:paraId="6A506B29">
            <w:pPr>
              <w:pStyle w:val="6"/>
              <w:spacing w:before="1" w:line="359" w:lineRule="auto"/>
              <w:ind w:left="119" w:right="103" w:firstLine="468"/>
              <w:jc w:val="both"/>
              <w:rPr>
                <w:sz w:val="24"/>
                <w:szCs w:val="24"/>
              </w:rPr>
            </w:pPr>
            <w:r>
              <w:rPr>
                <w:spacing w:val="-2"/>
                <w:sz w:val="24"/>
                <w:szCs w:val="24"/>
              </w:rPr>
              <w:t>根据预测结果，多台机械设备同时作业时，昼间在距施工场地和运输道路</w:t>
            </w:r>
            <w:r>
              <w:rPr>
                <w:spacing w:val="-30"/>
                <w:sz w:val="24"/>
                <w:szCs w:val="24"/>
              </w:rPr>
              <w:t xml:space="preserve"> </w:t>
            </w:r>
            <w:r>
              <w:rPr>
                <w:rFonts w:ascii="Times New Roman" w:hAnsi="Times New Roman" w:eastAsia="Times New Roman" w:cs="Times New Roman"/>
                <w:spacing w:val="-2"/>
                <w:sz w:val="24"/>
                <w:szCs w:val="24"/>
              </w:rPr>
              <w:t>15m</w:t>
            </w:r>
            <w:r>
              <w:rPr>
                <w:spacing w:val="-11"/>
                <w:sz w:val="24"/>
                <w:szCs w:val="24"/>
              </w:rPr>
              <w:t>以外的区域可达到《建筑施工噪声排放标准》（</w:t>
            </w:r>
            <w:r>
              <w:rPr>
                <w:rFonts w:ascii="Times New Roman" w:hAnsi="Times New Roman" w:eastAsia="Times New Roman" w:cs="Times New Roman"/>
                <w:spacing w:val="-11"/>
                <w:sz w:val="24"/>
                <w:szCs w:val="24"/>
              </w:rPr>
              <w:t>GB12523-2025</w:t>
            </w:r>
            <w:r>
              <w:rPr>
                <w:spacing w:val="-11"/>
                <w:sz w:val="24"/>
                <w:szCs w:val="24"/>
              </w:rPr>
              <w:t>）的要求，即昼间</w:t>
            </w:r>
            <w:r>
              <w:rPr>
                <w:rFonts w:ascii="Times New Roman" w:hAnsi="Times New Roman" w:eastAsia="Times New Roman" w:cs="Times New Roman"/>
                <w:spacing w:val="-11"/>
                <w:sz w:val="24"/>
                <w:szCs w:val="24"/>
              </w:rPr>
              <w:t>≤</w:t>
            </w:r>
            <w:r>
              <w:rPr>
                <w:rFonts w:ascii="Times New Roman" w:hAnsi="Times New Roman" w:eastAsia="Times New Roman" w:cs="Times New Roman"/>
                <w:spacing w:val="-12"/>
                <w:sz w:val="24"/>
                <w:szCs w:val="24"/>
              </w:rPr>
              <w:t>70dB</w:t>
            </w:r>
            <w:r>
              <w:rPr>
                <w:rFonts w:ascii="Times New Roman" w:hAnsi="Times New Roman" w:eastAsia="Times New Roman" w:cs="Times New Roman"/>
                <w:sz w:val="24"/>
                <w:szCs w:val="24"/>
              </w:rPr>
              <w:t xml:space="preserve"> </w:t>
            </w:r>
            <w:r>
              <w:rPr>
                <w:spacing w:val="-6"/>
                <w:sz w:val="24"/>
                <w:szCs w:val="24"/>
              </w:rPr>
              <w:t>（</w:t>
            </w:r>
            <w:r>
              <w:rPr>
                <w:rFonts w:ascii="Times New Roman" w:hAnsi="Times New Roman" w:eastAsia="Times New Roman" w:cs="Times New Roman"/>
                <w:spacing w:val="-6"/>
                <w:sz w:val="24"/>
                <w:szCs w:val="24"/>
              </w:rPr>
              <w:t>A</w:t>
            </w:r>
            <w:r>
              <w:rPr>
                <w:spacing w:val="-6"/>
                <w:sz w:val="24"/>
                <w:szCs w:val="24"/>
              </w:rPr>
              <w:t>）。</w:t>
            </w:r>
          </w:p>
          <w:p w14:paraId="209D2D19">
            <w:pPr>
              <w:pStyle w:val="6"/>
              <w:spacing w:before="3" w:line="358" w:lineRule="auto"/>
              <w:ind w:left="106" w:right="103" w:firstLine="481"/>
              <w:jc w:val="both"/>
              <w:rPr>
                <w:sz w:val="24"/>
                <w:szCs w:val="24"/>
              </w:rPr>
            </w:pPr>
            <w:r>
              <w:rPr>
                <w:sz w:val="24"/>
                <w:szCs w:val="24"/>
              </w:rPr>
              <w:t>本项目变电站周围</w:t>
            </w:r>
            <w:r>
              <w:rPr>
                <w:spacing w:val="-55"/>
                <w:sz w:val="24"/>
                <w:szCs w:val="24"/>
              </w:rPr>
              <w:t xml:space="preserve"> </w:t>
            </w:r>
            <w:r>
              <w:rPr>
                <w:rFonts w:ascii="Times New Roman" w:hAnsi="Times New Roman" w:eastAsia="Times New Roman" w:cs="Times New Roman"/>
                <w:sz w:val="24"/>
                <w:szCs w:val="24"/>
              </w:rPr>
              <w:t>200m</w:t>
            </w:r>
            <w:r>
              <w:rPr>
                <w:rFonts w:ascii="Times New Roman" w:hAnsi="Times New Roman" w:eastAsia="Times New Roman" w:cs="Times New Roman"/>
                <w:spacing w:val="15"/>
                <w:w w:val="101"/>
                <w:sz w:val="24"/>
                <w:szCs w:val="24"/>
              </w:rPr>
              <w:t xml:space="preserve"> </w:t>
            </w:r>
            <w:r>
              <w:rPr>
                <w:sz w:val="24"/>
                <w:szCs w:val="24"/>
              </w:rPr>
              <w:t>范围内分布有蔬菜临时看护房、居民点，为减轻噪声</w:t>
            </w:r>
            <w:r>
              <w:rPr>
                <w:spacing w:val="-1"/>
                <w:sz w:val="24"/>
                <w:szCs w:val="24"/>
              </w:rPr>
              <w:t>影响，变电站施工时，应采用永久挡墙进行围挡，噪声经距离衰减及墙体隔绝后，对施工的蔬菜临时看护房噪声影响将减小。</w:t>
            </w:r>
          </w:p>
          <w:p w14:paraId="7C540322">
            <w:pPr>
              <w:pStyle w:val="6"/>
              <w:spacing w:before="2" w:line="359" w:lineRule="auto"/>
              <w:ind w:left="107" w:right="103" w:firstLine="483"/>
              <w:rPr>
                <w:sz w:val="24"/>
                <w:szCs w:val="24"/>
              </w:rPr>
            </w:pPr>
            <w:r>
              <w:rPr>
                <w:spacing w:val="-1"/>
                <w:sz w:val="24"/>
                <w:szCs w:val="24"/>
              </w:rPr>
              <w:t>项目施工单位应采用噪声水平满足国家相应标准的施工机械设备，并在施</w:t>
            </w:r>
            <w:r>
              <w:rPr>
                <w:spacing w:val="-2"/>
                <w:sz w:val="24"/>
                <w:szCs w:val="24"/>
              </w:rPr>
              <w:t>工场</w:t>
            </w:r>
            <w:r>
              <w:rPr>
                <w:spacing w:val="-1"/>
                <w:sz w:val="24"/>
                <w:szCs w:val="24"/>
              </w:rPr>
              <w:t>地周围设置围挡；运输车辆经过村庄、学校等保护目标时应减速慢行，禁止鸣笛；</w:t>
            </w:r>
            <w:r>
              <w:rPr>
                <w:sz w:val="24"/>
                <w:szCs w:val="24"/>
              </w:rPr>
              <w:t>合理安排施工机械作业时间和施工工序，缩短高噪</w:t>
            </w:r>
            <w:r>
              <w:rPr>
                <w:spacing w:val="-1"/>
                <w:sz w:val="24"/>
                <w:szCs w:val="24"/>
              </w:rPr>
              <w:t>声作业时间，禁止在午休</w:t>
            </w:r>
          </w:p>
          <w:p w14:paraId="7837DF27">
            <w:pPr>
              <w:pStyle w:val="6"/>
              <w:spacing w:line="359" w:lineRule="auto"/>
              <w:ind w:left="108" w:right="103" w:firstLine="10"/>
              <w:rPr>
                <w:sz w:val="24"/>
                <w:szCs w:val="24"/>
              </w:rPr>
            </w:pPr>
            <w:r>
              <w:rPr>
                <w:spacing w:val="-1"/>
                <w:sz w:val="24"/>
                <w:szCs w:val="24"/>
              </w:rPr>
              <w:t>（</w:t>
            </w:r>
            <w:r>
              <w:rPr>
                <w:rFonts w:ascii="Times New Roman" w:hAnsi="Times New Roman" w:eastAsia="Times New Roman" w:cs="Times New Roman"/>
                <w:spacing w:val="-1"/>
                <w:sz w:val="24"/>
                <w:szCs w:val="24"/>
              </w:rPr>
              <w:t>12:00~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1"/>
                <w:sz w:val="24"/>
                <w:szCs w:val="24"/>
              </w:rPr>
              <w:t>14:00</w:t>
            </w:r>
            <w:r>
              <w:rPr>
                <w:spacing w:val="-1"/>
                <w:sz w:val="24"/>
                <w:szCs w:val="24"/>
              </w:rPr>
              <w:t>）及夜间（</w:t>
            </w:r>
            <w:r>
              <w:rPr>
                <w:rFonts w:ascii="Times New Roman" w:hAnsi="Times New Roman" w:eastAsia="Times New Roman" w:cs="Times New Roman"/>
                <w:spacing w:val="-1"/>
                <w:sz w:val="24"/>
                <w:szCs w:val="24"/>
              </w:rPr>
              <w:t>22:00~</w:t>
            </w:r>
            <w:r>
              <w:rPr>
                <w:spacing w:val="-1"/>
                <w:sz w:val="24"/>
                <w:szCs w:val="24"/>
              </w:rPr>
              <w:t>次日</w:t>
            </w:r>
            <w:r>
              <w:rPr>
                <w:spacing w:val="-49"/>
                <w:sz w:val="24"/>
                <w:szCs w:val="24"/>
              </w:rPr>
              <w:t xml:space="preserve"> </w:t>
            </w:r>
            <w:r>
              <w:rPr>
                <w:rFonts w:ascii="Times New Roman" w:hAnsi="Times New Roman" w:eastAsia="Times New Roman" w:cs="Times New Roman"/>
                <w:spacing w:val="-2"/>
                <w:sz w:val="24"/>
                <w:szCs w:val="24"/>
              </w:rPr>
              <w:t>6:00</w:t>
            </w:r>
            <w:r>
              <w:rPr>
                <w:spacing w:val="-2"/>
                <w:sz w:val="24"/>
                <w:szCs w:val="24"/>
              </w:rPr>
              <w:t>）进行产生环境噪声污染的施工作业。通</w:t>
            </w:r>
            <w:r>
              <w:rPr>
                <w:spacing w:val="-1"/>
                <w:sz w:val="24"/>
                <w:szCs w:val="24"/>
              </w:rPr>
              <w:t>过采取以上措施，变电站施工对周围环境影响较小。</w:t>
            </w:r>
          </w:p>
          <w:p w14:paraId="74B83A7C">
            <w:pPr>
              <w:pStyle w:val="6"/>
              <w:spacing w:line="218" w:lineRule="auto"/>
              <w:ind w:left="582"/>
              <w:rPr>
                <w:sz w:val="24"/>
                <w:szCs w:val="24"/>
              </w:rPr>
            </w:pPr>
            <w:r>
              <w:rPr>
                <w:rFonts w:ascii="Times New Roman" w:hAnsi="Times New Roman" w:eastAsia="Times New Roman" w:cs="Times New Roman"/>
                <w:spacing w:val="-1"/>
                <w:sz w:val="24"/>
                <w:szCs w:val="24"/>
              </w:rPr>
              <w:t>4</w:t>
            </w:r>
            <w:r>
              <w:rPr>
                <w:spacing w:val="-1"/>
                <w:sz w:val="24"/>
                <w:szCs w:val="24"/>
              </w:rPr>
              <w:t>）材料运输对周边居民点的声环境影响分析</w:t>
            </w:r>
          </w:p>
          <w:p w14:paraId="3EF72E41">
            <w:pPr>
              <w:pStyle w:val="6"/>
              <w:spacing w:before="181" w:line="351" w:lineRule="auto"/>
              <w:ind w:left="106" w:right="103" w:firstLine="481"/>
              <w:rPr>
                <w:sz w:val="24"/>
                <w:szCs w:val="24"/>
              </w:rPr>
            </w:pPr>
            <w:r>
              <w:rPr>
                <w:spacing w:val="6"/>
                <w:sz w:val="24"/>
                <w:szCs w:val="24"/>
              </w:rPr>
              <w:t>本项目施工期材料均为直接外购运输进场，运输进场部分路段距离居民点较</w:t>
            </w:r>
            <w:r>
              <w:rPr>
                <w:spacing w:val="-1"/>
                <w:sz w:val="24"/>
                <w:szCs w:val="24"/>
              </w:rPr>
              <w:t>近，而道路运输车辆噪声一般都具有高噪、无规则等特点，如不对这些噪声源加以控制、防护，将会对沿线附近的村庄等产生较大的噪声污染。运输车辆经过居民点附近时，在采取减速行驶、禁鸣等措施后，可以减小噪声对所经过居民点的声环境</w:t>
            </w:r>
          </w:p>
        </w:tc>
      </w:tr>
    </w:tbl>
    <w:p w14:paraId="0F2D1132">
      <w:pPr>
        <w:rPr>
          <w:rFonts w:ascii="Arial"/>
          <w:sz w:val="21"/>
        </w:rPr>
      </w:pPr>
    </w:p>
    <w:p w14:paraId="35BD4A01">
      <w:pPr>
        <w:rPr>
          <w:rFonts w:ascii="Arial" w:hAnsi="Arial" w:eastAsia="Arial" w:cs="Arial"/>
          <w:sz w:val="21"/>
          <w:szCs w:val="21"/>
        </w:rPr>
        <w:sectPr>
          <w:footerReference r:id="rId103" w:type="default"/>
          <w:pgSz w:w="11907" w:h="16840"/>
          <w:pgMar w:top="400" w:right="1178" w:bottom="1240" w:left="1405" w:header="0" w:footer="1077" w:gutter="0"/>
          <w:cols w:space="720" w:num="1"/>
        </w:sectPr>
      </w:pPr>
    </w:p>
    <w:p w14:paraId="43E19AEF">
      <w:pPr>
        <w:spacing w:before="13"/>
      </w:pPr>
    </w:p>
    <w:p w14:paraId="2607270D">
      <w:pPr>
        <w:spacing w:before="13"/>
      </w:pPr>
    </w:p>
    <w:p w14:paraId="0B2F710F">
      <w:pPr>
        <w:spacing w:before="13"/>
      </w:pPr>
    </w:p>
    <w:p w14:paraId="03F2151B">
      <w:pPr>
        <w:spacing w:before="12"/>
      </w:pPr>
    </w:p>
    <w:tbl>
      <w:tblPr>
        <w:tblStyle w:val="5"/>
        <w:tblW w:w="93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30"/>
      </w:tblGrid>
      <w:tr w14:paraId="31C77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784" w:hRule="atLeast"/>
        </w:trPr>
        <w:tc>
          <w:tcPr>
            <w:tcW w:w="478" w:type="dxa"/>
            <w:tcBorders>
              <w:right w:val="single" w:color="000000" w:sz="2" w:space="0"/>
            </w:tcBorders>
            <w:vAlign w:val="top"/>
          </w:tcPr>
          <w:p w14:paraId="7E3E750D">
            <w:pPr>
              <w:rPr>
                <w:rFonts w:ascii="Arial"/>
                <w:sz w:val="21"/>
              </w:rPr>
            </w:pPr>
          </w:p>
        </w:tc>
        <w:tc>
          <w:tcPr>
            <w:tcW w:w="8830" w:type="dxa"/>
            <w:tcBorders>
              <w:left w:val="single" w:color="000000" w:sz="2" w:space="0"/>
            </w:tcBorders>
            <w:vAlign w:val="top"/>
          </w:tcPr>
          <w:p w14:paraId="27723545">
            <w:pPr>
              <w:pStyle w:val="6"/>
              <w:spacing w:before="39" w:line="359" w:lineRule="auto"/>
              <w:ind w:left="110" w:right="103" w:hanging="3"/>
              <w:jc w:val="both"/>
              <w:rPr>
                <w:sz w:val="24"/>
                <w:szCs w:val="24"/>
              </w:rPr>
            </w:pPr>
            <w:r>
              <w:rPr>
                <w:spacing w:val="-1"/>
                <w:sz w:val="24"/>
                <w:szCs w:val="24"/>
              </w:rPr>
              <w:t>影响。项目施工噪声影响是暂时的，随着施工结束这些影响也将消失，对项目周边声环境影响较小。由于工程仅昼间施工，运输车辆经过附近村庄时，只要采取减速行驶、禁鸣等措施后，对周边环境影响较小。</w:t>
            </w:r>
          </w:p>
          <w:p w14:paraId="2776B975">
            <w:pPr>
              <w:pStyle w:val="6"/>
              <w:spacing w:line="219" w:lineRule="auto"/>
              <w:ind w:left="599"/>
              <w:rPr>
                <w:sz w:val="24"/>
                <w:szCs w:val="24"/>
              </w:rPr>
            </w:pPr>
            <w:r>
              <w:rPr>
                <w:b/>
                <w:bCs/>
                <w:spacing w:val="-5"/>
                <w:sz w:val="24"/>
                <w:szCs w:val="24"/>
              </w:rPr>
              <w:t>（</w:t>
            </w:r>
            <w:r>
              <w:rPr>
                <w:rFonts w:ascii="Times New Roman" w:hAnsi="Times New Roman" w:eastAsia="Times New Roman" w:cs="Times New Roman"/>
                <w:b/>
                <w:bCs/>
                <w:spacing w:val="-5"/>
                <w:sz w:val="24"/>
                <w:szCs w:val="24"/>
              </w:rPr>
              <w:t>2</w:t>
            </w:r>
            <w:r>
              <w:rPr>
                <w:b/>
                <w:bCs/>
                <w:spacing w:val="-5"/>
                <w:sz w:val="24"/>
                <w:szCs w:val="24"/>
              </w:rPr>
              <w:t>）输电线路</w:t>
            </w:r>
          </w:p>
          <w:p w14:paraId="4C8388E9">
            <w:pPr>
              <w:pStyle w:val="6"/>
              <w:spacing w:before="185" w:line="360" w:lineRule="auto"/>
              <w:ind w:left="107" w:right="103" w:firstLine="480"/>
              <w:jc w:val="both"/>
              <w:rPr>
                <w:sz w:val="24"/>
                <w:szCs w:val="24"/>
              </w:rPr>
            </w:pPr>
            <w:r>
              <w:rPr>
                <w:spacing w:val="-2"/>
                <w:sz w:val="24"/>
                <w:szCs w:val="24"/>
              </w:rPr>
              <w:t>根据《环境影响评价技术导则 声环境》（</w:t>
            </w:r>
            <w:r>
              <w:rPr>
                <w:rFonts w:ascii="Times New Roman" w:hAnsi="Times New Roman" w:eastAsia="Times New Roman" w:cs="Times New Roman"/>
                <w:spacing w:val="-2"/>
                <w:sz w:val="24"/>
                <w:szCs w:val="24"/>
              </w:rPr>
              <w:t>HJ2.4-2021</w:t>
            </w:r>
            <w:r>
              <w:rPr>
                <w:spacing w:val="-2"/>
                <w:sz w:val="24"/>
                <w:szCs w:val="24"/>
              </w:rPr>
              <w:t>），预测过程仅考虑声波</w:t>
            </w:r>
            <w:r>
              <w:rPr>
                <w:spacing w:val="-1"/>
                <w:sz w:val="24"/>
                <w:szCs w:val="24"/>
              </w:rPr>
              <w:t>几何发散引起的衰减，不考虑空气吸收衰减、地面效应及其他多方面效应引起的衰减。利用点声源的几何发散衰减公式预测施工机械噪声不同距离处的噪声值，预测公式与变电站施工声环境预测公式一致，预测结果见下表。</w:t>
            </w:r>
          </w:p>
          <w:p w14:paraId="701983A1">
            <w:pPr>
              <w:pStyle w:val="6"/>
              <w:spacing w:before="53" w:line="221" w:lineRule="auto"/>
              <w:ind w:left="1248"/>
            </w:pPr>
            <w:r>
              <w:rPr>
                <w:b/>
                <w:bCs/>
                <w:spacing w:val="6"/>
              </w:rPr>
              <w:t>表</w:t>
            </w:r>
            <w:r>
              <w:rPr>
                <w:spacing w:val="-25"/>
              </w:rPr>
              <w:t xml:space="preserve"> </w:t>
            </w:r>
            <w:r>
              <w:rPr>
                <w:rFonts w:ascii="Times New Roman" w:hAnsi="Times New Roman" w:eastAsia="Times New Roman" w:cs="Times New Roman"/>
                <w:b/>
                <w:bCs/>
                <w:spacing w:val="6"/>
              </w:rPr>
              <w:t xml:space="preserve">4-3        </w:t>
            </w:r>
            <w:r>
              <w:rPr>
                <w:b/>
                <w:bCs/>
                <w:spacing w:val="6"/>
              </w:rPr>
              <w:t>施工设备噪声对不同距离接受点的影响值</w:t>
            </w:r>
            <w:r>
              <w:rPr>
                <w:spacing w:val="6"/>
              </w:rPr>
              <w:t xml:space="preserve">  </w:t>
            </w:r>
            <w:r>
              <w:rPr>
                <w:b/>
                <w:bCs/>
                <w:spacing w:val="6"/>
              </w:rPr>
              <w:t>单位：</w:t>
            </w:r>
            <w:r>
              <w:rPr>
                <w:rFonts w:ascii="Times New Roman" w:hAnsi="Times New Roman" w:eastAsia="Times New Roman" w:cs="Times New Roman"/>
                <w:b/>
                <w:bCs/>
              </w:rPr>
              <w:t>dB</w:t>
            </w:r>
            <w:r>
              <w:rPr>
                <w:b/>
                <w:bCs/>
                <w:spacing w:val="6"/>
              </w:rPr>
              <w:t>（</w:t>
            </w:r>
            <w:r>
              <w:rPr>
                <w:rFonts w:ascii="Times New Roman" w:hAnsi="Times New Roman" w:eastAsia="Times New Roman" w:cs="Times New Roman"/>
                <w:b/>
                <w:bCs/>
                <w:spacing w:val="6"/>
              </w:rPr>
              <w:t>A</w:t>
            </w:r>
            <w:r>
              <w:rPr>
                <w:b/>
                <w:bCs/>
                <w:spacing w:val="6"/>
              </w:rPr>
              <w:t>）</w:t>
            </w:r>
          </w:p>
          <w:tbl>
            <w:tblPr>
              <w:tblStyle w:val="5"/>
              <w:tblW w:w="85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4"/>
              <w:gridCol w:w="949"/>
              <w:gridCol w:w="622"/>
              <w:gridCol w:w="627"/>
              <w:gridCol w:w="656"/>
              <w:gridCol w:w="674"/>
              <w:gridCol w:w="665"/>
              <w:gridCol w:w="693"/>
              <w:gridCol w:w="699"/>
              <w:gridCol w:w="730"/>
              <w:gridCol w:w="759"/>
            </w:tblGrid>
            <w:tr w14:paraId="6686A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524" w:type="dxa"/>
                  <w:vAlign w:val="top"/>
                </w:tcPr>
                <w:p w14:paraId="649C3709">
                  <w:pPr>
                    <w:pStyle w:val="6"/>
                    <w:spacing w:before="170" w:line="229" w:lineRule="auto"/>
                    <w:ind w:left="116"/>
                  </w:pPr>
                  <w:r>
                    <w:rPr>
                      <w:b/>
                      <w:bCs/>
                      <w:spacing w:val="5"/>
                    </w:rPr>
                    <w:t>设备名称</w:t>
                  </w:r>
                </w:p>
              </w:tc>
              <w:tc>
                <w:tcPr>
                  <w:tcW w:w="949" w:type="dxa"/>
                  <w:vAlign w:val="top"/>
                </w:tcPr>
                <w:p w14:paraId="35AD2E72">
                  <w:pPr>
                    <w:pStyle w:val="6"/>
                    <w:spacing w:before="34" w:line="235" w:lineRule="auto"/>
                    <w:ind w:left="133" w:right="143" w:firstLine="128"/>
                  </w:pPr>
                  <w:r>
                    <w:rPr>
                      <w:b/>
                      <w:bCs/>
                      <w:spacing w:val="4"/>
                    </w:rPr>
                    <w:t>源强</w:t>
                  </w:r>
                  <w:r>
                    <w:rPr>
                      <w:b/>
                      <w:bCs/>
                      <w:spacing w:val="-3"/>
                    </w:rPr>
                    <w:t>（</w:t>
                  </w:r>
                  <w:r>
                    <w:rPr>
                      <w:rFonts w:ascii="Times New Roman" w:hAnsi="Times New Roman" w:eastAsia="Times New Roman" w:cs="Times New Roman"/>
                      <w:b/>
                      <w:bCs/>
                      <w:spacing w:val="-3"/>
                    </w:rPr>
                    <w:t>1m</w:t>
                  </w:r>
                  <w:r>
                    <w:rPr>
                      <w:b/>
                      <w:bCs/>
                      <w:spacing w:val="-3"/>
                    </w:rPr>
                    <w:t>）</w:t>
                  </w:r>
                </w:p>
              </w:tc>
              <w:tc>
                <w:tcPr>
                  <w:tcW w:w="622" w:type="dxa"/>
                  <w:tcBorders>
                    <w:right w:val="single" w:color="000000" w:sz="6" w:space="0"/>
                  </w:tcBorders>
                  <w:vAlign w:val="top"/>
                </w:tcPr>
                <w:p w14:paraId="176F20A2">
                  <w:pPr>
                    <w:spacing w:before="208" w:line="195" w:lineRule="auto"/>
                    <w:ind w:left="125"/>
                    <w:rPr>
                      <w:rFonts w:ascii="Times New Roman" w:hAnsi="Times New Roman" w:eastAsia="Times New Roman" w:cs="Times New Roman"/>
                      <w:sz w:val="20"/>
                      <w:szCs w:val="20"/>
                    </w:rPr>
                  </w:pPr>
                  <w:r>
                    <w:rPr>
                      <w:rFonts w:ascii="Times New Roman" w:hAnsi="Times New Roman" w:eastAsia="Times New Roman" w:cs="Times New Roman"/>
                      <w:b/>
                      <w:bCs/>
                      <w:sz w:val="20"/>
                      <w:szCs w:val="20"/>
                    </w:rPr>
                    <w:t>10m</w:t>
                  </w:r>
                </w:p>
              </w:tc>
              <w:tc>
                <w:tcPr>
                  <w:tcW w:w="627" w:type="dxa"/>
                  <w:tcBorders>
                    <w:left w:val="single" w:color="000000" w:sz="6" w:space="0"/>
                  </w:tcBorders>
                  <w:vAlign w:val="top"/>
                </w:tcPr>
                <w:p w14:paraId="6A046F19">
                  <w:pPr>
                    <w:spacing w:before="208" w:line="195" w:lineRule="auto"/>
                    <w:ind w:left="115"/>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20m</w:t>
                  </w:r>
                </w:p>
              </w:tc>
              <w:tc>
                <w:tcPr>
                  <w:tcW w:w="656" w:type="dxa"/>
                  <w:vAlign w:val="top"/>
                </w:tcPr>
                <w:p w14:paraId="2DFCAAF8">
                  <w:pPr>
                    <w:spacing w:before="208" w:line="195" w:lineRule="auto"/>
                    <w:ind w:left="132"/>
                    <w:rPr>
                      <w:rFonts w:ascii="Times New Roman" w:hAnsi="Times New Roman" w:eastAsia="Times New Roman" w:cs="Times New Roman"/>
                      <w:sz w:val="20"/>
                      <w:szCs w:val="20"/>
                    </w:rPr>
                  </w:pPr>
                  <w:r>
                    <w:rPr>
                      <w:rFonts w:ascii="Times New Roman" w:hAnsi="Times New Roman" w:eastAsia="Times New Roman" w:cs="Times New Roman"/>
                      <w:b/>
                      <w:bCs/>
                      <w:spacing w:val="5"/>
                      <w:sz w:val="20"/>
                      <w:szCs w:val="20"/>
                    </w:rPr>
                    <w:t>30m</w:t>
                  </w:r>
                </w:p>
              </w:tc>
              <w:tc>
                <w:tcPr>
                  <w:tcW w:w="674" w:type="dxa"/>
                  <w:vAlign w:val="top"/>
                </w:tcPr>
                <w:p w14:paraId="70C5925D">
                  <w:pPr>
                    <w:spacing w:before="208" w:line="195" w:lineRule="auto"/>
                    <w:ind w:left="146"/>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40m</w:t>
                  </w:r>
                </w:p>
              </w:tc>
              <w:tc>
                <w:tcPr>
                  <w:tcW w:w="665" w:type="dxa"/>
                  <w:vAlign w:val="top"/>
                </w:tcPr>
                <w:p w14:paraId="380FEB9D">
                  <w:pPr>
                    <w:spacing w:before="208" w:line="195" w:lineRule="auto"/>
                    <w:ind w:left="143"/>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50m</w:t>
                  </w:r>
                </w:p>
              </w:tc>
              <w:tc>
                <w:tcPr>
                  <w:tcW w:w="693" w:type="dxa"/>
                  <w:vAlign w:val="top"/>
                </w:tcPr>
                <w:p w14:paraId="200BF3C9">
                  <w:pPr>
                    <w:spacing w:before="208" w:line="195" w:lineRule="auto"/>
                    <w:ind w:left="157"/>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70m</w:t>
                  </w:r>
                </w:p>
              </w:tc>
              <w:tc>
                <w:tcPr>
                  <w:tcW w:w="699" w:type="dxa"/>
                  <w:vAlign w:val="top"/>
                </w:tcPr>
                <w:p w14:paraId="40384894">
                  <w:pPr>
                    <w:spacing w:before="208" w:line="195" w:lineRule="auto"/>
                    <w:ind w:left="163"/>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80m</w:t>
                  </w:r>
                </w:p>
              </w:tc>
              <w:tc>
                <w:tcPr>
                  <w:tcW w:w="730" w:type="dxa"/>
                  <w:vAlign w:val="top"/>
                </w:tcPr>
                <w:p w14:paraId="6F054C14">
                  <w:pPr>
                    <w:spacing w:before="208" w:line="195" w:lineRule="auto"/>
                    <w:ind w:left="133"/>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120m</w:t>
                  </w:r>
                </w:p>
              </w:tc>
              <w:tc>
                <w:tcPr>
                  <w:tcW w:w="759" w:type="dxa"/>
                  <w:vAlign w:val="top"/>
                </w:tcPr>
                <w:p w14:paraId="6E87CAC6">
                  <w:pPr>
                    <w:spacing w:before="208" w:line="195" w:lineRule="auto"/>
                    <w:ind w:left="144"/>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180m</w:t>
                  </w:r>
                </w:p>
              </w:tc>
            </w:tr>
            <w:tr w14:paraId="187D2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1524" w:type="dxa"/>
                  <w:vAlign w:val="top"/>
                </w:tcPr>
                <w:p w14:paraId="72ABFDF9">
                  <w:pPr>
                    <w:pStyle w:val="6"/>
                    <w:spacing w:before="64" w:line="227" w:lineRule="auto"/>
                    <w:ind w:left="451"/>
                  </w:pPr>
                  <w:r>
                    <w:rPr>
                      <w:spacing w:val="6"/>
                    </w:rPr>
                    <w:t>牵张机</w:t>
                  </w:r>
                </w:p>
              </w:tc>
              <w:tc>
                <w:tcPr>
                  <w:tcW w:w="949" w:type="dxa"/>
                  <w:vAlign w:val="top"/>
                </w:tcPr>
                <w:p w14:paraId="4FFBEEF7">
                  <w:pPr>
                    <w:spacing w:before="100"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90</w:t>
                  </w:r>
                </w:p>
              </w:tc>
              <w:tc>
                <w:tcPr>
                  <w:tcW w:w="622" w:type="dxa"/>
                  <w:tcBorders>
                    <w:right w:val="single" w:color="000000" w:sz="6" w:space="0"/>
                  </w:tcBorders>
                  <w:vAlign w:val="top"/>
                </w:tcPr>
                <w:p w14:paraId="7821CF54">
                  <w:pPr>
                    <w:spacing w:before="100" w:line="195" w:lineRule="auto"/>
                    <w:ind w:left="20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627" w:type="dxa"/>
                  <w:tcBorders>
                    <w:left w:val="single" w:color="000000" w:sz="6" w:space="0"/>
                  </w:tcBorders>
                  <w:vAlign w:val="top"/>
                </w:tcPr>
                <w:p w14:paraId="051B020F">
                  <w:pPr>
                    <w:spacing w:before="100" w:line="195" w:lineRule="auto"/>
                    <w:ind w:left="208"/>
                    <w:rPr>
                      <w:rFonts w:ascii="Times New Roman" w:hAnsi="Times New Roman" w:eastAsia="Times New Roman" w:cs="Times New Roman"/>
                      <w:sz w:val="20"/>
                      <w:szCs w:val="20"/>
                    </w:rPr>
                  </w:pPr>
                  <w:r>
                    <w:rPr>
                      <w:rFonts w:ascii="Times New Roman" w:hAnsi="Times New Roman" w:eastAsia="Times New Roman" w:cs="Times New Roman"/>
                      <w:sz w:val="20"/>
                      <w:szCs w:val="20"/>
                    </w:rPr>
                    <w:t>64</w:t>
                  </w:r>
                </w:p>
              </w:tc>
              <w:tc>
                <w:tcPr>
                  <w:tcW w:w="656" w:type="dxa"/>
                  <w:vAlign w:val="top"/>
                </w:tcPr>
                <w:p w14:paraId="49C7985A">
                  <w:pPr>
                    <w:spacing w:before="100" w:line="195" w:lineRule="auto"/>
                    <w:ind w:left="224"/>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674" w:type="dxa"/>
                  <w:vAlign w:val="top"/>
                </w:tcPr>
                <w:p w14:paraId="5A61E9B4">
                  <w:pPr>
                    <w:spacing w:before="100" w:line="195" w:lineRule="auto"/>
                    <w:ind w:left="237"/>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c>
                <w:tcPr>
                  <w:tcW w:w="665" w:type="dxa"/>
                  <w:vAlign w:val="top"/>
                </w:tcPr>
                <w:p w14:paraId="5A07C951">
                  <w:pPr>
                    <w:spacing w:before="100" w:line="195" w:lineRule="auto"/>
                    <w:ind w:left="235"/>
                    <w:rPr>
                      <w:rFonts w:ascii="Times New Roman" w:hAnsi="Times New Roman" w:eastAsia="Times New Roman" w:cs="Times New Roman"/>
                      <w:sz w:val="20"/>
                      <w:szCs w:val="20"/>
                    </w:rPr>
                  </w:pPr>
                  <w:r>
                    <w:rPr>
                      <w:rFonts w:ascii="Times New Roman" w:hAnsi="Times New Roman" w:eastAsia="Times New Roman" w:cs="Times New Roman"/>
                      <w:sz w:val="20"/>
                      <w:szCs w:val="20"/>
                    </w:rPr>
                    <w:t>56</w:t>
                  </w:r>
                </w:p>
              </w:tc>
              <w:tc>
                <w:tcPr>
                  <w:tcW w:w="693" w:type="dxa"/>
                  <w:vAlign w:val="top"/>
                </w:tcPr>
                <w:p w14:paraId="7B0E2B57">
                  <w:pPr>
                    <w:spacing w:before="100" w:line="195" w:lineRule="auto"/>
                    <w:ind w:left="249"/>
                    <w:rPr>
                      <w:rFonts w:ascii="Times New Roman" w:hAnsi="Times New Roman" w:eastAsia="Times New Roman" w:cs="Times New Roman"/>
                      <w:sz w:val="20"/>
                      <w:szCs w:val="20"/>
                    </w:rPr>
                  </w:pPr>
                  <w:r>
                    <w:rPr>
                      <w:rFonts w:ascii="Times New Roman" w:hAnsi="Times New Roman" w:eastAsia="Times New Roman" w:cs="Times New Roman"/>
                      <w:sz w:val="20"/>
                      <w:szCs w:val="20"/>
                    </w:rPr>
                    <w:t>53</w:t>
                  </w:r>
                </w:p>
              </w:tc>
              <w:tc>
                <w:tcPr>
                  <w:tcW w:w="699" w:type="dxa"/>
                  <w:vAlign w:val="top"/>
                </w:tcPr>
                <w:p w14:paraId="6169D3CF">
                  <w:pPr>
                    <w:spacing w:before="100" w:line="195" w:lineRule="auto"/>
                    <w:ind w:left="252"/>
                    <w:rPr>
                      <w:rFonts w:ascii="Times New Roman" w:hAnsi="Times New Roman" w:eastAsia="Times New Roman" w:cs="Times New Roman"/>
                      <w:sz w:val="20"/>
                      <w:szCs w:val="20"/>
                    </w:rPr>
                  </w:pPr>
                  <w:r>
                    <w:rPr>
                      <w:rFonts w:ascii="Times New Roman" w:hAnsi="Times New Roman" w:eastAsia="Times New Roman" w:cs="Times New Roman"/>
                      <w:sz w:val="20"/>
                      <w:szCs w:val="20"/>
                    </w:rPr>
                    <w:t>52</w:t>
                  </w:r>
                </w:p>
              </w:tc>
              <w:tc>
                <w:tcPr>
                  <w:tcW w:w="730" w:type="dxa"/>
                  <w:vAlign w:val="top"/>
                </w:tcPr>
                <w:p w14:paraId="4753A7B9">
                  <w:pPr>
                    <w:spacing w:before="100" w:line="195" w:lineRule="auto"/>
                    <w:ind w:left="26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w:t>
                  </w:r>
                </w:p>
              </w:tc>
              <w:tc>
                <w:tcPr>
                  <w:tcW w:w="759" w:type="dxa"/>
                  <w:vAlign w:val="top"/>
                </w:tcPr>
                <w:p w14:paraId="43664619">
                  <w:pPr>
                    <w:spacing w:before="100"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r>
            <w:tr w14:paraId="04F9F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1524" w:type="dxa"/>
                  <w:vAlign w:val="top"/>
                </w:tcPr>
                <w:p w14:paraId="63529D5C">
                  <w:pPr>
                    <w:pStyle w:val="6"/>
                    <w:spacing w:before="66" w:line="227" w:lineRule="auto"/>
                    <w:ind w:left="448"/>
                  </w:pPr>
                  <w:r>
                    <w:rPr>
                      <w:spacing w:val="7"/>
                    </w:rPr>
                    <w:t>振捣机</w:t>
                  </w:r>
                </w:p>
              </w:tc>
              <w:tc>
                <w:tcPr>
                  <w:tcW w:w="949" w:type="dxa"/>
                  <w:vAlign w:val="top"/>
                </w:tcPr>
                <w:p w14:paraId="31F80DFA">
                  <w:pPr>
                    <w:spacing w:before="102" w:line="195" w:lineRule="auto"/>
                    <w:ind w:left="33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c>
                <w:tcPr>
                  <w:tcW w:w="622" w:type="dxa"/>
                  <w:tcBorders>
                    <w:right w:val="single" w:color="000000" w:sz="6" w:space="0"/>
                  </w:tcBorders>
                  <w:vAlign w:val="top"/>
                </w:tcPr>
                <w:p w14:paraId="22587758">
                  <w:pPr>
                    <w:spacing w:before="102" w:line="195" w:lineRule="auto"/>
                    <w:ind w:left="2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80</w:t>
                  </w:r>
                </w:p>
              </w:tc>
              <w:tc>
                <w:tcPr>
                  <w:tcW w:w="627" w:type="dxa"/>
                  <w:tcBorders>
                    <w:left w:val="single" w:color="000000" w:sz="6" w:space="0"/>
                  </w:tcBorders>
                  <w:vAlign w:val="top"/>
                </w:tcPr>
                <w:p w14:paraId="64D39B2C">
                  <w:pPr>
                    <w:spacing w:before="102" w:line="195" w:lineRule="auto"/>
                    <w:ind w:left="20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74</w:t>
                  </w:r>
                </w:p>
              </w:tc>
              <w:tc>
                <w:tcPr>
                  <w:tcW w:w="656" w:type="dxa"/>
                  <w:vAlign w:val="top"/>
                </w:tcPr>
                <w:p w14:paraId="78F653D9">
                  <w:pPr>
                    <w:spacing w:before="102"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674" w:type="dxa"/>
                  <w:vAlign w:val="top"/>
                </w:tcPr>
                <w:p w14:paraId="10B85E7B">
                  <w:pPr>
                    <w:spacing w:before="102" w:line="195" w:lineRule="auto"/>
                    <w:ind w:left="236"/>
                    <w:rPr>
                      <w:rFonts w:ascii="Times New Roman" w:hAnsi="Times New Roman" w:eastAsia="Times New Roman" w:cs="Times New Roman"/>
                      <w:sz w:val="20"/>
                      <w:szCs w:val="20"/>
                    </w:rPr>
                  </w:pPr>
                  <w:r>
                    <w:rPr>
                      <w:rFonts w:ascii="Times New Roman" w:hAnsi="Times New Roman" w:eastAsia="Times New Roman" w:cs="Times New Roman"/>
                      <w:sz w:val="20"/>
                      <w:szCs w:val="20"/>
                    </w:rPr>
                    <w:t>68</w:t>
                  </w:r>
                </w:p>
              </w:tc>
              <w:tc>
                <w:tcPr>
                  <w:tcW w:w="665" w:type="dxa"/>
                  <w:vAlign w:val="top"/>
                </w:tcPr>
                <w:p w14:paraId="064E4EF3">
                  <w:pPr>
                    <w:spacing w:before="102" w:line="195" w:lineRule="auto"/>
                    <w:ind w:left="234"/>
                    <w:rPr>
                      <w:rFonts w:ascii="Times New Roman" w:hAnsi="Times New Roman" w:eastAsia="Times New Roman" w:cs="Times New Roman"/>
                      <w:sz w:val="20"/>
                      <w:szCs w:val="20"/>
                    </w:rPr>
                  </w:pPr>
                  <w:r>
                    <w:rPr>
                      <w:rFonts w:ascii="Times New Roman" w:hAnsi="Times New Roman" w:eastAsia="Times New Roman" w:cs="Times New Roman"/>
                      <w:sz w:val="20"/>
                      <w:szCs w:val="20"/>
                    </w:rPr>
                    <w:t>66</w:t>
                  </w:r>
                </w:p>
              </w:tc>
              <w:tc>
                <w:tcPr>
                  <w:tcW w:w="693" w:type="dxa"/>
                  <w:vAlign w:val="top"/>
                </w:tcPr>
                <w:p w14:paraId="14D135FA">
                  <w:pPr>
                    <w:spacing w:before="102" w:line="195" w:lineRule="auto"/>
                    <w:ind w:left="248"/>
                    <w:rPr>
                      <w:rFonts w:ascii="Times New Roman" w:hAnsi="Times New Roman" w:eastAsia="Times New Roman" w:cs="Times New Roman"/>
                      <w:sz w:val="20"/>
                      <w:szCs w:val="20"/>
                    </w:rPr>
                  </w:pPr>
                  <w:r>
                    <w:rPr>
                      <w:rFonts w:ascii="Times New Roman" w:hAnsi="Times New Roman" w:eastAsia="Times New Roman" w:cs="Times New Roman"/>
                      <w:sz w:val="20"/>
                      <w:szCs w:val="20"/>
                    </w:rPr>
                    <w:t>63</w:t>
                  </w:r>
                </w:p>
              </w:tc>
              <w:tc>
                <w:tcPr>
                  <w:tcW w:w="699" w:type="dxa"/>
                  <w:vAlign w:val="top"/>
                </w:tcPr>
                <w:p w14:paraId="1931B509">
                  <w:pPr>
                    <w:spacing w:before="102" w:line="195" w:lineRule="auto"/>
                    <w:ind w:left="251"/>
                    <w:rPr>
                      <w:rFonts w:ascii="Times New Roman" w:hAnsi="Times New Roman" w:eastAsia="Times New Roman" w:cs="Times New Roman"/>
                      <w:sz w:val="20"/>
                      <w:szCs w:val="20"/>
                    </w:rPr>
                  </w:pPr>
                  <w:r>
                    <w:rPr>
                      <w:rFonts w:ascii="Times New Roman" w:hAnsi="Times New Roman" w:eastAsia="Times New Roman" w:cs="Times New Roman"/>
                      <w:sz w:val="20"/>
                      <w:szCs w:val="20"/>
                    </w:rPr>
                    <w:t>62</w:t>
                  </w:r>
                </w:p>
              </w:tc>
              <w:tc>
                <w:tcPr>
                  <w:tcW w:w="730" w:type="dxa"/>
                  <w:vAlign w:val="top"/>
                </w:tcPr>
                <w:p w14:paraId="158069BE">
                  <w:pPr>
                    <w:spacing w:before="102" w:line="195" w:lineRule="auto"/>
                    <w:ind w:left="268"/>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c>
                <w:tcPr>
                  <w:tcW w:w="759" w:type="dxa"/>
                  <w:vAlign w:val="top"/>
                </w:tcPr>
                <w:p w14:paraId="0B3424DE">
                  <w:pPr>
                    <w:spacing w:before="105" w:line="192" w:lineRule="auto"/>
                    <w:ind w:left="280"/>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r>
            <w:tr w14:paraId="42144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524" w:type="dxa"/>
                  <w:vAlign w:val="top"/>
                </w:tcPr>
                <w:p w14:paraId="5024A7C0">
                  <w:pPr>
                    <w:pStyle w:val="6"/>
                    <w:spacing w:before="68" w:line="227" w:lineRule="auto"/>
                    <w:ind w:left="369"/>
                  </w:pPr>
                  <w:r>
                    <w:rPr>
                      <w:spacing w:val="1"/>
                    </w:rPr>
                    <w:t>吊装机械</w:t>
                  </w:r>
                </w:p>
              </w:tc>
              <w:tc>
                <w:tcPr>
                  <w:tcW w:w="949" w:type="dxa"/>
                  <w:vAlign w:val="top"/>
                </w:tcPr>
                <w:p w14:paraId="4EB04765">
                  <w:pPr>
                    <w:spacing w:before="104"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90</w:t>
                  </w:r>
                </w:p>
              </w:tc>
              <w:tc>
                <w:tcPr>
                  <w:tcW w:w="622" w:type="dxa"/>
                  <w:tcBorders>
                    <w:right w:val="single" w:color="000000" w:sz="6" w:space="0"/>
                  </w:tcBorders>
                  <w:vAlign w:val="top"/>
                </w:tcPr>
                <w:p w14:paraId="17717001">
                  <w:pPr>
                    <w:spacing w:before="104" w:line="195" w:lineRule="auto"/>
                    <w:ind w:left="20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627" w:type="dxa"/>
                  <w:tcBorders>
                    <w:left w:val="single" w:color="000000" w:sz="6" w:space="0"/>
                  </w:tcBorders>
                  <w:vAlign w:val="top"/>
                </w:tcPr>
                <w:p w14:paraId="6222B527">
                  <w:pPr>
                    <w:spacing w:before="104" w:line="195" w:lineRule="auto"/>
                    <w:ind w:left="208"/>
                    <w:rPr>
                      <w:rFonts w:ascii="Times New Roman" w:hAnsi="Times New Roman" w:eastAsia="Times New Roman" w:cs="Times New Roman"/>
                      <w:sz w:val="20"/>
                      <w:szCs w:val="20"/>
                    </w:rPr>
                  </w:pPr>
                  <w:r>
                    <w:rPr>
                      <w:rFonts w:ascii="Times New Roman" w:hAnsi="Times New Roman" w:eastAsia="Times New Roman" w:cs="Times New Roman"/>
                      <w:sz w:val="20"/>
                      <w:szCs w:val="20"/>
                    </w:rPr>
                    <w:t>64</w:t>
                  </w:r>
                </w:p>
              </w:tc>
              <w:tc>
                <w:tcPr>
                  <w:tcW w:w="656" w:type="dxa"/>
                  <w:vAlign w:val="top"/>
                </w:tcPr>
                <w:p w14:paraId="5D329EC5">
                  <w:pPr>
                    <w:spacing w:before="104" w:line="195" w:lineRule="auto"/>
                    <w:ind w:left="224"/>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674" w:type="dxa"/>
                  <w:vAlign w:val="top"/>
                </w:tcPr>
                <w:p w14:paraId="23C9FF0D">
                  <w:pPr>
                    <w:spacing w:before="104" w:line="195" w:lineRule="auto"/>
                    <w:ind w:left="237"/>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c>
                <w:tcPr>
                  <w:tcW w:w="665" w:type="dxa"/>
                  <w:vAlign w:val="top"/>
                </w:tcPr>
                <w:p w14:paraId="43D168AD">
                  <w:pPr>
                    <w:spacing w:before="104" w:line="195" w:lineRule="auto"/>
                    <w:ind w:left="235"/>
                    <w:rPr>
                      <w:rFonts w:ascii="Times New Roman" w:hAnsi="Times New Roman" w:eastAsia="Times New Roman" w:cs="Times New Roman"/>
                      <w:sz w:val="20"/>
                      <w:szCs w:val="20"/>
                    </w:rPr>
                  </w:pPr>
                  <w:r>
                    <w:rPr>
                      <w:rFonts w:ascii="Times New Roman" w:hAnsi="Times New Roman" w:eastAsia="Times New Roman" w:cs="Times New Roman"/>
                      <w:sz w:val="20"/>
                      <w:szCs w:val="20"/>
                    </w:rPr>
                    <w:t>56</w:t>
                  </w:r>
                </w:p>
              </w:tc>
              <w:tc>
                <w:tcPr>
                  <w:tcW w:w="693" w:type="dxa"/>
                  <w:vAlign w:val="top"/>
                </w:tcPr>
                <w:p w14:paraId="367E6DF6">
                  <w:pPr>
                    <w:spacing w:before="104" w:line="195" w:lineRule="auto"/>
                    <w:ind w:left="249"/>
                    <w:rPr>
                      <w:rFonts w:ascii="Times New Roman" w:hAnsi="Times New Roman" w:eastAsia="Times New Roman" w:cs="Times New Roman"/>
                      <w:sz w:val="20"/>
                      <w:szCs w:val="20"/>
                    </w:rPr>
                  </w:pPr>
                  <w:r>
                    <w:rPr>
                      <w:rFonts w:ascii="Times New Roman" w:hAnsi="Times New Roman" w:eastAsia="Times New Roman" w:cs="Times New Roman"/>
                      <w:sz w:val="20"/>
                      <w:szCs w:val="20"/>
                    </w:rPr>
                    <w:t>53</w:t>
                  </w:r>
                </w:p>
              </w:tc>
              <w:tc>
                <w:tcPr>
                  <w:tcW w:w="699" w:type="dxa"/>
                  <w:vAlign w:val="top"/>
                </w:tcPr>
                <w:p w14:paraId="4F73417C">
                  <w:pPr>
                    <w:spacing w:before="104" w:line="195" w:lineRule="auto"/>
                    <w:ind w:left="252"/>
                    <w:rPr>
                      <w:rFonts w:ascii="Times New Roman" w:hAnsi="Times New Roman" w:eastAsia="Times New Roman" w:cs="Times New Roman"/>
                      <w:sz w:val="20"/>
                      <w:szCs w:val="20"/>
                    </w:rPr>
                  </w:pPr>
                  <w:r>
                    <w:rPr>
                      <w:rFonts w:ascii="Times New Roman" w:hAnsi="Times New Roman" w:eastAsia="Times New Roman" w:cs="Times New Roman"/>
                      <w:sz w:val="20"/>
                      <w:szCs w:val="20"/>
                    </w:rPr>
                    <w:t>52</w:t>
                  </w:r>
                </w:p>
              </w:tc>
              <w:tc>
                <w:tcPr>
                  <w:tcW w:w="730" w:type="dxa"/>
                  <w:vAlign w:val="top"/>
                </w:tcPr>
                <w:p w14:paraId="5D664D5C">
                  <w:pPr>
                    <w:spacing w:before="104" w:line="195" w:lineRule="auto"/>
                    <w:ind w:left="26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w:t>
                  </w:r>
                </w:p>
              </w:tc>
              <w:tc>
                <w:tcPr>
                  <w:tcW w:w="759" w:type="dxa"/>
                  <w:vAlign w:val="top"/>
                </w:tcPr>
                <w:p w14:paraId="271ED80E">
                  <w:pPr>
                    <w:spacing w:before="104"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r>
            <w:tr w14:paraId="573D2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524" w:type="dxa"/>
                  <w:vAlign w:val="top"/>
                </w:tcPr>
                <w:p w14:paraId="7F95E65A">
                  <w:pPr>
                    <w:pStyle w:val="6"/>
                    <w:spacing w:before="69" w:line="228" w:lineRule="auto"/>
                    <w:ind w:left="169"/>
                  </w:pPr>
                  <w:r>
                    <w:rPr>
                      <w:spacing w:val="2"/>
                    </w:rPr>
                    <w:t>自卸式运输车</w:t>
                  </w:r>
                </w:p>
              </w:tc>
              <w:tc>
                <w:tcPr>
                  <w:tcW w:w="949" w:type="dxa"/>
                  <w:vAlign w:val="top"/>
                </w:tcPr>
                <w:p w14:paraId="132E1896">
                  <w:pPr>
                    <w:spacing w:before="105"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90</w:t>
                  </w:r>
                </w:p>
              </w:tc>
              <w:tc>
                <w:tcPr>
                  <w:tcW w:w="622" w:type="dxa"/>
                  <w:tcBorders>
                    <w:right w:val="single" w:color="000000" w:sz="6" w:space="0"/>
                  </w:tcBorders>
                  <w:vAlign w:val="top"/>
                </w:tcPr>
                <w:p w14:paraId="6EB38F41">
                  <w:pPr>
                    <w:spacing w:before="105" w:line="195" w:lineRule="auto"/>
                    <w:ind w:left="20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627" w:type="dxa"/>
                  <w:tcBorders>
                    <w:left w:val="single" w:color="000000" w:sz="6" w:space="0"/>
                  </w:tcBorders>
                  <w:vAlign w:val="top"/>
                </w:tcPr>
                <w:p w14:paraId="1E06373D">
                  <w:pPr>
                    <w:spacing w:before="105" w:line="195" w:lineRule="auto"/>
                    <w:ind w:left="208"/>
                    <w:rPr>
                      <w:rFonts w:ascii="Times New Roman" w:hAnsi="Times New Roman" w:eastAsia="Times New Roman" w:cs="Times New Roman"/>
                      <w:sz w:val="20"/>
                      <w:szCs w:val="20"/>
                    </w:rPr>
                  </w:pPr>
                  <w:r>
                    <w:rPr>
                      <w:rFonts w:ascii="Times New Roman" w:hAnsi="Times New Roman" w:eastAsia="Times New Roman" w:cs="Times New Roman"/>
                      <w:sz w:val="20"/>
                      <w:szCs w:val="20"/>
                    </w:rPr>
                    <w:t>64</w:t>
                  </w:r>
                </w:p>
              </w:tc>
              <w:tc>
                <w:tcPr>
                  <w:tcW w:w="656" w:type="dxa"/>
                  <w:vAlign w:val="top"/>
                </w:tcPr>
                <w:p w14:paraId="0760A185">
                  <w:pPr>
                    <w:spacing w:before="105" w:line="195" w:lineRule="auto"/>
                    <w:ind w:left="224"/>
                    <w:rPr>
                      <w:rFonts w:ascii="Times New Roman" w:hAnsi="Times New Roman" w:eastAsia="Times New Roman" w:cs="Times New Roman"/>
                      <w:sz w:val="20"/>
                      <w:szCs w:val="20"/>
                    </w:rPr>
                  </w:pPr>
                  <w:r>
                    <w:rPr>
                      <w:rFonts w:ascii="Times New Roman" w:hAnsi="Times New Roman" w:eastAsia="Times New Roman" w:cs="Times New Roman"/>
                      <w:sz w:val="20"/>
                      <w:szCs w:val="20"/>
                    </w:rPr>
                    <w:t>60</w:t>
                  </w:r>
                </w:p>
              </w:tc>
              <w:tc>
                <w:tcPr>
                  <w:tcW w:w="674" w:type="dxa"/>
                  <w:vAlign w:val="top"/>
                </w:tcPr>
                <w:p w14:paraId="6C5D8E28">
                  <w:pPr>
                    <w:spacing w:before="105" w:line="195" w:lineRule="auto"/>
                    <w:ind w:left="237"/>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c>
                <w:tcPr>
                  <w:tcW w:w="665" w:type="dxa"/>
                  <w:vAlign w:val="top"/>
                </w:tcPr>
                <w:p w14:paraId="724BE874">
                  <w:pPr>
                    <w:spacing w:before="105" w:line="195" w:lineRule="auto"/>
                    <w:ind w:left="235"/>
                    <w:rPr>
                      <w:rFonts w:ascii="Times New Roman" w:hAnsi="Times New Roman" w:eastAsia="Times New Roman" w:cs="Times New Roman"/>
                      <w:sz w:val="20"/>
                      <w:szCs w:val="20"/>
                    </w:rPr>
                  </w:pPr>
                  <w:r>
                    <w:rPr>
                      <w:rFonts w:ascii="Times New Roman" w:hAnsi="Times New Roman" w:eastAsia="Times New Roman" w:cs="Times New Roman"/>
                      <w:sz w:val="20"/>
                      <w:szCs w:val="20"/>
                    </w:rPr>
                    <w:t>56</w:t>
                  </w:r>
                </w:p>
              </w:tc>
              <w:tc>
                <w:tcPr>
                  <w:tcW w:w="693" w:type="dxa"/>
                  <w:vAlign w:val="top"/>
                </w:tcPr>
                <w:p w14:paraId="7789487E">
                  <w:pPr>
                    <w:spacing w:before="105" w:line="195" w:lineRule="auto"/>
                    <w:ind w:left="249"/>
                    <w:rPr>
                      <w:rFonts w:ascii="Times New Roman" w:hAnsi="Times New Roman" w:eastAsia="Times New Roman" w:cs="Times New Roman"/>
                      <w:sz w:val="20"/>
                      <w:szCs w:val="20"/>
                    </w:rPr>
                  </w:pPr>
                  <w:r>
                    <w:rPr>
                      <w:rFonts w:ascii="Times New Roman" w:hAnsi="Times New Roman" w:eastAsia="Times New Roman" w:cs="Times New Roman"/>
                      <w:sz w:val="20"/>
                      <w:szCs w:val="20"/>
                    </w:rPr>
                    <w:t>53</w:t>
                  </w:r>
                </w:p>
              </w:tc>
              <w:tc>
                <w:tcPr>
                  <w:tcW w:w="699" w:type="dxa"/>
                  <w:vAlign w:val="top"/>
                </w:tcPr>
                <w:p w14:paraId="059237B2">
                  <w:pPr>
                    <w:spacing w:before="105" w:line="195" w:lineRule="auto"/>
                    <w:ind w:left="252"/>
                    <w:rPr>
                      <w:rFonts w:ascii="Times New Roman" w:hAnsi="Times New Roman" w:eastAsia="Times New Roman" w:cs="Times New Roman"/>
                      <w:sz w:val="20"/>
                      <w:szCs w:val="20"/>
                    </w:rPr>
                  </w:pPr>
                  <w:r>
                    <w:rPr>
                      <w:rFonts w:ascii="Times New Roman" w:hAnsi="Times New Roman" w:eastAsia="Times New Roman" w:cs="Times New Roman"/>
                      <w:sz w:val="20"/>
                      <w:szCs w:val="20"/>
                    </w:rPr>
                    <w:t>52</w:t>
                  </w:r>
                </w:p>
              </w:tc>
              <w:tc>
                <w:tcPr>
                  <w:tcW w:w="730" w:type="dxa"/>
                  <w:vAlign w:val="top"/>
                </w:tcPr>
                <w:p w14:paraId="5D4D6B04">
                  <w:pPr>
                    <w:spacing w:before="105" w:line="195" w:lineRule="auto"/>
                    <w:ind w:left="26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w:t>
                  </w:r>
                </w:p>
              </w:tc>
              <w:tc>
                <w:tcPr>
                  <w:tcW w:w="759" w:type="dxa"/>
                  <w:vAlign w:val="top"/>
                </w:tcPr>
                <w:p w14:paraId="632D24CC">
                  <w:pPr>
                    <w:spacing w:before="105"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r>
            <w:tr w14:paraId="40121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524" w:type="dxa"/>
                  <w:tcBorders>
                    <w:right w:val="single" w:color="000000" w:sz="2" w:space="0"/>
                  </w:tcBorders>
                  <w:vAlign w:val="top"/>
                </w:tcPr>
                <w:p w14:paraId="30EFB8F8">
                  <w:pPr>
                    <w:pStyle w:val="6"/>
                    <w:spacing w:before="70" w:line="228" w:lineRule="auto"/>
                    <w:ind w:left="144"/>
                  </w:pPr>
                  <w:r>
                    <w:rPr>
                      <w:spacing w:val="6"/>
                    </w:rPr>
                    <w:t>多声源叠加值</w:t>
                  </w:r>
                </w:p>
              </w:tc>
              <w:tc>
                <w:tcPr>
                  <w:tcW w:w="949" w:type="dxa"/>
                  <w:tcBorders>
                    <w:left w:val="single" w:color="000000" w:sz="2" w:space="0"/>
                  </w:tcBorders>
                  <w:vAlign w:val="top"/>
                </w:tcPr>
                <w:p w14:paraId="4A36758E">
                  <w:pPr>
                    <w:spacing w:before="107" w:line="195" w:lineRule="auto"/>
                    <w:ind w:left="33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101</w:t>
                  </w:r>
                </w:p>
              </w:tc>
              <w:tc>
                <w:tcPr>
                  <w:tcW w:w="622" w:type="dxa"/>
                  <w:tcBorders>
                    <w:right w:val="single" w:color="000000" w:sz="6" w:space="0"/>
                  </w:tcBorders>
                  <w:vAlign w:val="top"/>
                </w:tcPr>
                <w:p w14:paraId="6CC796AC">
                  <w:pPr>
                    <w:spacing w:before="107" w:line="195" w:lineRule="auto"/>
                    <w:ind w:left="21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81</w:t>
                  </w:r>
                </w:p>
              </w:tc>
              <w:tc>
                <w:tcPr>
                  <w:tcW w:w="627" w:type="dxa"/>
                  <w:tcBorders>
                    <w:left w:val="single" w:color="000000" w:sz="6" w:space="0"/>
                  </w:tcBorders>
                  <w:vAlign w:val="top"/>
                </w:tcPr>
                <w:p w14:paraId="1D29BDEF">
                  <w:pPr>
                    <w:spacing w:before="110" w:line="192" w:lineRule="auto"/>
                    <w:ind w:left="20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75</w:t>
                  </w:r>
                </w:p>
              </w:tc>
              <w:tc>
                <w:tcPr>
                  <w:tcW w:w="656" w:type="dxa"/>
                  <w:vAlign w:val="top"/>
                </w:tcPr>
                <w:p w14:paraId="6167A4CB">
                  <w:pPr>
                    <w:spacing w:before="107"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71</w:t>
                  </w:r>
                </w:p>
              </w:tc>
              <w:tc>
                <w:tcPr>
                  <w:tcW w:w="674" w:type="dxa"/>
                  <w:vAlign w:val="top"/>
                </w:tcPr>
                <w:p w14:paraId="1DED3AD1">
                  <w:pPr>
                    <w:spacing w:before="107" w:line="195" w:lineRule="auto"/>
                    <w:ind w:left="236"/>
                    <w:rPr>
                      <w:rFonts w:ascii="Times New Roman" w:hAnsi="Times New Roman" w:eastAsia="Times New Roman" w:cs="Times New Roman"/>
                      <w:sz w:val="20"/>
                      <w:szCs w:val="20"/>
                    </w:rPr>
                  </w:pPr>
                  <w:r>
                    <w:rPr>
                      <w:rFonts w:ascii="Times New Roman" w:hAnsi="Times New Roman" w:eastAsia="Times New Roman" w:cs="Times New Roman"/>
                      <w:sz w:val="20"/>
                      <w:szCs w:val="20"/>
                    </w:rPr>
                    <w:t>69</w:t>
                  </w:r>
                </w:p>
              </w:tc>
              <w:tc>
                <w:tcPr>
                  <w:tcW w:w="665" w:type="dxa"/>
                  <w:vAlign w:val="top"/>
                </w:tcPr>
                <w:p w14:paraId="40ADA639">
                  <w:pPr>
                    <w:spacing w:before="107" w:line="195" w:lineRule="auto"/>
                    <w:ind w:left="234"/>
                    <w:rPr>
                      <w:rFonts w:ascii="Times New Roman" w:hAnsi="Times New Roman" w:eastAsia="Times New Roman" w:cs="Times New Roman"/>
                      <w:sz w:val="20"/>
                      <w:szCs w:val="20"/>
                    </w:rPr>
                  </w:pPr>
                  <w:r>
                    <w:rPr>
                      <w:rFonts w:ascii="Times New Roman" w:hAnsi="Times New Roman" w:eastAsia="Times New Roman" w:cs="Times New Roman"/>
                      <w:sz w:val="20"/>
                      <w:szCs w:val="20"/>
                    </w:rPr>
                    <w:t>67</w:t>
                  </w:r>
                </w:p>
              </w:tc>
              <w:tc>
                <w:tcPr>
                  <w:tcW w:w="693" w:type="dxa"/>
                  <w:vAlign w:val="top"/>
                </w:tcPr>
                <w:p w14:paraId="0046ACCD">
                  <w:pPr>
                    <w:spacing w:before="107" w:line="195" w:lineRule="auto"/>
                    <w:ind w:left="248"/>
                    <w:rPr>
                      <w:rFonts w:ascii="Times New Roman" w:hAnsi="Times New Roman" w:eastAsia="Times New Roman" w:cs="Times New Roman"/>
                      <w:sz w:val="20"/>
                      <w:szCs w:val="20"/>
                    </w:rPr>
                  </w:pPr>
                  <w:r>
                    <w:rPr>
                      <w:rFonts w:ascii="Times New Roman" w:hAnsi="Times New Roman" w:eastAsia="Times New Roman" w:cs="Times New Roman"/>
                      <w:sz w:val="20"/>
                      <w:szCs w:val="20"/>
                    </w:rPr>
                    <w:t>64</w:t>
                  </w:r>
                </w:p>
              </w:tc>
              <w:tc>
                <w:tcPr>
                  <w:tcW w:w="699" w:type="dxa"/>
                  <w:vAlign w:val="top"/>
                </w:tcPr>
                <w:p w14:paraId="3C6FFCDD">
                  <w:pPr>
                    <w:spacing w:before="107" w:line="195" w:lineRule="auto"/>
                    <w:ind w:left="251"/>
                    <w:rPr>
                      <w:rFonts w:ascii="Times New Roman" w:hAnsi="Times New Roman" w:eastAsia="Times New Roman" w:cs="Times New Roman"/>
                      <w:sz w:val="20"/>
                      <w:szCs w:val="20"/>
                    </w:rPr>
                  </w:pPr>
                  <w:r>
                    <w:rPr>
                      <w:rFonts w:ascii="Times New Roman" w:hAnsi="Times New Roman" w:eastAsia="Times New Roman" w:cs="Times New Roman"/>
                      <w:sz w:val="20"/>
                      <w:szCs w:val="20"/>
                    </w:rPr>
                    <w:t>63</w:t>
                  </w:r>
                </w:p>
              </w:tc>
              <w:tc>
                <w:tcPr>
                  <w:tcW w:w="730" w:type="dxa"/>
                  <w:vAlign w:val="top"/>
                </w:tcPr>
                <w:p w14:paraId="195E8CB7">
                  <w:pPr>
                    <w:spacing w:before="107" w:line="195" w:lineRule="auto"/>
                    <w:ind w:left="268"/>
                    <w:rPr>
                      <w:rFonts w:ascii="Times New Roman" w:hAnsi="Times New Roman" w:eastAsia="Times New Roman" w:cs="Times New Roman"/>
                      <w:sz w:val="20"/>
                      <w:szCs w:val="20"/>
                    </w:rPr>
                  </w:pPr>
                  <w:r>
                    <w:rPr>
                      <w:rFonts w:ascii="Times New Roman" w:hAnsi="Times New Roman" w:eastAsia="Times New Roman" w:cs="Times New Roman"/>
                      <w:sz w:val="20"/>
                      <w:szCs w:val="20"/>
                    </w:rPr>
                    <w:t>59</w:t>
                  </w:r>
                </w:p>
              </w:tc>
              <w:tc>
                <w:tcPr>
                  <w:tcW w:w="759" w:type="dxa"/>
                  <w:vAlign w:val="top"/>
                </w:tcPr>
                <w:p w14:paraId="63DFDA90">
                  <w:pPr>
                    <w:spacing w:before="107" w:line="195" w:lineRule="auto"/>
                    <w:ind w:left="280"/>
                    <w:rPr>
                      <w:rFonts w:ascii="Times New Roman" w:hAnsi="Times New Roman" w:eastAsia="Times New Roman" w:cs="Times New Roman"/>
                      <w:sz w:val="20"/>
                      <w:szCs w:val="20"/>
                    </w:rPr>
                  </w:pPr>
                  <w:r>
                    <w:rPr>
                      <w:rFonts w:ascii="Times New Roman" w:hAnsi="Times New Roman" w:eastAsia="Times New Roman" w:cs="Times New Roman"/>
                      <w:sz w:val="20"/>
                      <w:szCs w:val="20"/>
                    </w:rPr>
                    <w:t>56</w:t>
                  </w:r>
                </w:p>
              </w:tc>
            </w:tr>
            <w:tr w14:paraId="4A4F2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trPr>
              <w:tc>
                <w:tcPr>
                  <w:tcW w:w="8598" w:type="dxa"/>
                  <w:gridSpan w:val="11"/>
                  <w:vAlign w:val="top"/>
                </w:tcPr>
                <w:p w14:paraId="5B2DDD32">
                  <w:pPr>
                    <w:pStyle w:val="6"/>
                    <w:spacing w:before="72" w:line="228" w:lineRule="auto"/>
                    <w:ind w:left="113"/>
                  </w:pPr>
                  <w:r>
                    <w:rPr>
                      <w:spacing w:val="4"/>
                    </w:rPr>
                    <w:t>注：</w:t>
                  </w:r>
                  <w:r>
                    <w:rPr>
                      <w:spacing w:val="-45"/>
                    </w:rPr>
                    <w:t xml:space="preserve"> </w:t>
                  </w:r>
                  <w:r>
                    <w:rPr>
                      <w:spacing w:val="4"/>
                    </w:rPr>
                    <w:t>以上声源距围墙最近直线距离</w:t>
                  </w:r>
                  <w:r>
                    <w:rPr>
                      <w:spacing w:val="-23"/>
                    </w:rPr>
                    <w:t xml:space="preserve"> </w:t>
                  </w:r>
                  <w:r>
                    <w:rPr>
                      <w:rFonts w:ascii="Times New Roman" w:hAnsi="Times New Roman" w:eastAsia="Times New Roman" w:cs="Times New Roman"/>
                      <w:spacing w:val="4"/>
                    </w:rPr>
                    <w:t>1m</w:t>
                  </w:r>
                  <w:r>
                    <w:rPr>
                      <w:spacing w:val="4"/>
                    </w:rPr>
                    <w:t>。</w:t>
                  </w:r>
                </w:p>
              </w:tc>
            </w:tr>
          </w:tbl>
          <w:p w14:paraId="580410B9">
            <w:pPr>
              <w:pStyle w:val="6"/>
              <w:spacing w:before="38" w:line="359" w:lineRule="auto"/>
              <w:ind w:left="106" w:right="103" w:firstLine="482"/>
              <w:jc w:val="both"/>
              <w:rPr>
                <w:sz w:val="24"/>
                <w:szCs w:val="24"/>
              </w:rPr>
            </w:pPr>
            <w:r>
              <w:rPr>
                <w:spacing w:val="-1"/>
                <w:sz w:val="24"/>
                <w:szCs w:val="24"/>
              </w:rPr>
              <w:t>经上表可知，输电线路工程杆塔基础施工、杆塔组立和架线活动过程中，在不</w:t>
            </w:r>
            <w:r>
              <w:rPr>
                <w:spacing w:val="3"/>
                <w:sz w:val="24"/>
                <w:szCs w:val="24"/>
              </w:rPr>
              <w:t>采取噪声防治措施情况下，需在</w:t>
            </w:r>
            <w:r>
              <w:rPr>
                <w:spacing w:val="-52"/>
                <w:sz w:val="24"/>
                <w:szCs w:val="24"/>
              </w:rPr>
              <w:t xml:space="preserve"> </w:t>
            </w:r>
            <w:r>
              <w:rPr>
                <w:rFonts w:ascii="Times New Roman" w:hAnsi="Times New Roman" w:eastAsia="Times New Roman" w:cs="Times New Roman"/>
                <w:spacing w:val="3"/>
                <w:sz w:val="24"/>
                <w:szCs w:val="24"/>
              </w:rPr>
              <w:t>40m</w:t>
            </w:r>
            <w:r>
              <w:rPr>
                <w:rFonts w:ascii="Times New Roman" w:hAnsi="Times New Roman" w:eastAsia="Times New Roman" w:cs="Times New Roman"/>
                <w:spacing w:val="18"/>
                <w:w w:val="101"/>
                <w:sz w:val="24"/>
                <w:szCs w:val="24"/>
              </w:rPr>
              <w:t xml:space="preserve"> </w:t>
            </w:r>
            <w:r>
              <w:rPr>
                <w:spacing w:val="3"/>
                <w:sz w:val="24"/>
                <w:szCs w:val="24"/>
              </w:rPr>
              <w:t>范围外方可满足《建筑施工噪声排放标</w:t>
            </w:r>
            <w:r>
              <w:rPr>
                <w:spacing w:val="2"/>
                <w:sz w:val="24"/>
                <w:szCs w:val="24"/>
              </w:rPr>
              <w:t>准》</w:t>
            </w:r>
            <w:r>
              <w:rPr>
                <w:sz w:val="24"/>
                <w:szCs w:val="24"/>
              </w:rPr>
              <w:t xml:space="preserve"> </w:t>
            </w:r>
            <w:r>
              <w:rPr>
                <w:spacing w:val="2"/>
                <w:sz w:val="24"/>
                <w:szCs w:val="24"/>
              </w:rPr>
              <w:t>（</w:t>
            </w:r>
            <w:r>
              <w:rPr>
                <w:rFonts w:ascii="Times New Roman" w:hAnsi="Times New Roman" w:eastAsia="Times New Roman" w:cs="Times New Roman"/>
                <w:sz w:val="24"/>
                <w:szCs w:val="24"/>
              </w:rPr>
              <w:t>GB</w:t>
            </w:r>
            <w:r>
              <w:rPr>
                <w:rFonts w:ascii="Times New Roman" w:hAnsi="Times New Roman" w:eastAsia="Times New Roman" w:cs="Times New Roman"/>
                <w:spacing w:val="2"/>
                <w:sz w:val="24"/>
                <w:szCs w:val="24"/>
              </w:rPr>
              <w:t>12523-2025</w:t>
            </w:r>
            <w:r>
              <w:rPr>
                <w:spacing w:val="2"/>
                <w:sz w:val="24"/>
                <w:szCs w:val="24"/>
              </w:rPr>
              <w:t>）标准要求，由于本项目沿线</w:t>
            </w:r>
            <w:r>
              <w:rPr>
                <w:spacing w:val="-54"/>
                <w:sz w:val="24"/>
                <w:szCs w:val="24"/>
              </w:rPr>
              <w:t xml:space="preserve"> </w:t>
            </w:r>
            <w:r>
              <w:rPr>
                <w:rFonts w:ascii="Times New Roman" w:hAnsi="Times New Roman" w:eastAsia="Times New Roman" w:cs="Times New Roman"/>
                <w:spacing w:val="1"/>
                <w:sz w:val="24"/>
                <w:szCs w:val="24"/>
              </w:rPr>
              <w:t>40m</w:t>
            </w:r>
            <w:r>
              <w:rPr>
                <w:rFonts w:ascii="Times New Roman" w:hAnsi="Times New Roman" w:eastAsia="Times New Roman" w:cs="Times New Roman"/>
                <w:spacing w:val="18"/>
                <w:w w:val="101"/>
                <w:sz w:val="24"/>
                <w:szCs w:val="24"/>
              </w:rPr>
              <w:t xml:space="preserve"> </w:t>
            </w:r>
            <w:r>
              <w:rPr>
                <w:spacing w:val="1"/>
                <w:sz w:val="24"/>
                <w:szCs w:val="24"/>
              </w:rPr>
              <w:t>范围内村庄较多，且距离塔基</w:t>
            </w:r>
            <w:r>
              <w:rPr>
                <w:spacing w:val="-2"/>
                <w:sz w:val="24"/>
                <w:szCs w:val="24"/>
              </w:rPr>
              <w:t>最近居民点距离在</w:t>
            </w:r>
            <w:r>
              <w:rPr>
                <w:spacing w:val="-55"/>
                <w:sz w:val="24"/>
                <w:szCs w:val="24"/>
              </w:rPr>
              <w:t xml:space="preserve"> </w:t>
            </w:r>
            <w:r>
              <w:rPr>
                <w:rFonts w:ascii="Times New Roman" w:hAnsi="Times New Roman" w:eastAsia="Times New Roman" w:cs="Times New Roman"/>
                <w:spacing w:val="-2"/>
                <w:sz w:val="24"/>
                <w:szCs w:val="24"/>
              </w:rPr>
              <w:t>25~</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2"/>
                <w:sz w:val="24"/>
                <w:szCs w:val="24"/>
              </w:rPr>
              <w:t xml:space="preserve">160m </w:t>
            </w:r>
            <w:r>
              <w:rPr>
                <w:spacing w:val="-2"/>
                <w:sz w:val="24"/>
                <w:szCs w:val="24"/>
              </w:rPr>
              <w:t>之间（牵张场和跨越</w:t>
            </w:r>
            <w:r>
              <w:rPr>
                <w:spacing w:val="-3"/>
                <w:sz w:val="24"/>
                <w:szCs w:val="24"/>
              </w:rPr>
              <w:t>施工场地远离居民区</w:t>
            </w:r>
            <w:r>
              <w:rPr>
                <w:spacing w:val="-26"/>
                <w:sz w:val="24"/>
                <w:szCs w:val="24"/>
              </w:rPr>
              <w:t>），</w:t>
            </w:r>
            <w:r>
              <w:rPr>
                <w:spacing w:val="-3"/>
                <w:sz w:val="24"/>
                <w:szCs w:val="24"/>
              </w:rPr>
              <w:t>故要求施</w:t>
            </w:r>
            <w:r>
              <w:rPr>
                <w:spacing w:val="-1"/>
                <w:sz w:val="24"/>
                <w:szCs w:val="24"/>
              </w:rPr>
              <w:t>工单位在</w:t>
            </w:r>
            <w:r>
              <w:rPr>
                <w:spacing w:val="-58"/>
                <w:sz w:val="24"/>
                <w:szCs w:val="24"/>
              </w:rPr>
              <w:t xml:space="preserve"> </w:t>
            </w:r>
            <w:r>
              <w:rPr>
                <w:rFonts w:ascii="Times New Roman" w:hAnsi="Times New Roman" w:eastAsia="Times New Roman" w:cs="Times New Roman"/>
                <w:spacing w:val="-1"/>
                <w:sz w:val="24"/>
                <w:szCs w:val="24"/>
              </w:rPr>
              <w:t xml:space="preserve">AZ14G </w:t>
            </w:r>
            <w:r>
              <w:rPr>
                <w:spacing w:val="-1"/>
                <w:sz w:val="24"/>
                <w:szCs w:val="24"/>
              </w:rPr>
              <w:t>塔、</w:t>
            </w:r>
            <w:r>
              <w:rPr>
                <w:rFonts w:ascii="Times New Roman" w:hAnsi="Times New Roman" w:eastAsia="Times New Roman" w:cs="Times New Roman"/>
                <w:spacing w:val="-1"/>
                <w:sz w:val="24"/>
                <w:szCs w:val="24"/>
              </w:rPr>
              <w:t xml:space="preserve">AJ8 </w:t>
            </w:r>
            <w:r>
              <w:rPr>
                <w:spacing w:val="-1"/>
                <w:sz w:val="24"/>
                <w:szCs w:val="24"/>
              </w:rPr>
              <w:t>塔、</w:t>
            </w:r>
            <w:r>
              <w:rPr>
                <w:rFonts w:ascii="Times New Roman" w:hAnsi="Times New Roman" w:eastAsia="Times New Roman" w:cs="Times New Roman"/>
                <w:spacing w:val="-1"/>
                <w:sz w:val="24"/>
                <w:szCs w:val="24"/>
              </w:rPr>
              <w:t>BZ1-</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1"/>
                <w:sz w:val="24"/>
                <w:szCs w:val="24"/>
              </w:rPr>
              <w:t xml:space="preserve">1 </w:t>
            </w:r>
            <w:r>
              <w:rPr>
                <w:spacing w:val="-1"/>
                <w:sz w:val="24"/>
                <w:szCs w:val="24"/>
              </w:rPr>
              <w:t>塔</w:t>
            </w:r>
            <w:r>
              <w:rPr>
                <w:spacing w:val="-2"/>
                <w:sz w:val="24"/>
                <w:szCs w:val="24"/>
              </w:rPr>
              <w:t>、</w:t>
            </w:r>
            <w:r>
              <w:rPr>
                <w:rFonts w:ascii="Times New Roman" w:hAnsi="Times New Roman" w:eastAsia="Times New Roman" w:cs="Times New Roman"/>
                <w:spacing w:val="-2"/>
                <w:sz w:val="24"/>
                <w:szCs w:val="24"/>
              </w:rPr>
              <w:t xml:space="preserve">BZ7G </w:t>
            </w:r>
            <w:r>
              <w:rPr>
                <w:spacing w:val="-2"/>
                <w:sz w:val="24"/>
                <w:szCs w:val="24"/>
              </w:rPr>
              <w:t>塔侧施工时，应设置围挡措施，围</w:t>
            </w:r>
            <w:r>
              <w:rPr>
                <w:spacing w:val="-3"/>
                <w:sz w:val="24"/>
                <w:szCs w:val="24"/>
              </w:rPr>
              <w:t>挡措施降噪约</w:t>
            </w:r>
            <w:r>
              <w:rPr>
                <w:spacing w:val="-31"/>
                <w:sz w:val="24"/>
                <w:szCs w:val="24"/>
              </w:rPr>
              <w:t xml:space="preserve"> </w:t>
            </w:r>
            <w:r>
              <w:rPr>
                <w:rFonts w:ascii="Times New Roman" w:hAnsi="Times New Roman" w:eastAsia="Times New Roman" w:cs="Times New Roman"/>
                <w:spacing w:val="-3"/>
                <w:sz w:val="24"/>
                <w:szCs w:val="24"/>
              </w:rPr>
              <w:t>15dB</w:t>
            </w:r>
            <w:r>
              <w:rPr>
                <w:spacing w:val="-3"/>
                <w:sz w:val="24"/>
                <w:szCs w:val="24"/>
              </w:rPr>
              <w:t>（</w:t>
            </w:r>
            <w:r>
              <w:rPr>
                <w:rFonts w:ascii="Times New Roman" w:hAnsi="Times New Roman" w:eastAsia="Times New Roman" w:cs="Times New Roman"/>
                <w:spacing w:val="-3"/>
                <w:sz w:val="24"/>
                <w:szCs w:val="24"/>
              </w:rPr>
              <w:t>A</w:t>
            </w:r>
            <w:r>
              <w:rPr>
                <w:spacing w:val="7"/>
                <w:sz w:val="24"/>
                <w:szCs w:val="24"/>
              </w:rPr>
              <w:t>），</w:t>
            </w:r>
            <w:r>
              <w:rPr>
                <w:spacing w:val="-3"/>
                <w:sz w:val="24"/>
                <w:szCs w:val="24"/>
              </w:rPr>
              <w:t>在采取隔声措施以及合理安排时间、禁止夜间施工后，</w:t>
            </w:r>
            <w:r>
              <w:rPr>
                <w:spacing w:val="-2"/>
                <w:sz w:val="24"/>
                <w:szCs w:val="24"/>
              </w:rPr>
              <w:t>施工场界噪声可满足《建筑施工噪声排放标准》（</w:t>
            </w:r>
            <w:r>
              <w:rPr>
                <w:rFonts w:ascii="Times New Roman" w:hAnsi="Times New Roman" w:eastAsia="Times New Roman" w:cs="Times New Roman"/>
                <w:spacing w:val="-2"/>
                <w:sz w:val="24"/>
                <w:szCs w:val="24"/>
              </w:rPr>
              <w:t>GB12523-2025</w:t>
            </w:r>
            <w:r>
              <w:rPr>
                <w:spacing w:val="-2"/>
                <w:sz w:val="24"/>
                <w:szCs w:val="24"/>
              </w:rPr>
              <w:t>）标准要求，施工</w:t>
            </w:r>
            <w:r>
              <w:rPr>
                <w:spacing w:val="-1"/>
                <w:sz w:val="24"/>
                <w:szCs w:val="24"/>
              </w:rPr>
              <w:t>噪声对周围环境影响可以接受。</w:t>
            </w:r>
          </w:p>
          <w:p w14:paraId="3186C22C">
            <w:pPr>
              <w:pStyle w:val="6"/>
              <w:spacing w:line="220" w:lineRule="auto"/>
              <w:ind w:left="599"/>
              <w:rPr>
                <w:sz w:val="24"/>
                <w:szCs w:val="24"/>
              </w:rPr>
            </w:pPr>
            <w:r>
              <w:rPr>
                <w:b/>
                <w:bCs/>
                <w:spacing w:val="-3"/>
                <w:sz w:val="24"/>
                <w:szCs w:val="24"/>
              </w:rPr>
              <w:t>（</w:t>
            </w:r>
            <w:r>
              <w:rPr>
                <w:rFonts w:ascii="Times New Roman" w:hAnsi="Times New Roman" w:eastAsia="Times New Roman" w:cs="Times New Roman"/>
                <w:b/>
                <w:bCs/>
                <w:spacing w:val="-3"/>
                <w:sz w:val="24"/>
                <w:szCs w:val="24"/>
              </w:rPr>
              <w:t>3</w:t>
            </w:r>
            <w:r>
              <w:rPr>
                <w:b/>
                <w:bCs/>
                <w:spacing w:val="-3"/>
                <w:sz w:val="24"/>
                <w:szCs w:val="24"/>
              </w:rPr>
              <w:t>）</w:t>
            </w:r>
            <w:r>
              <w:rPr>
                <w:rFonts w:ascii="Times New Roman" w:hAnsi="Times New Roman" w:eastAsia="Times New Roman" w:cs="Times New Roman"/>
                <w:b/>
                <w:bCs/>
                <w:spacing w:val="-3"/>
                <w:sz w:val="24"/>
                <w:szCs w:val="24"/>
              </w:rPr>
              <w:t>220kV</w:t>
            </w:r>
            <w:r>
              <w:rPr>
                <w:rFonts w:ascii="Times New Roman" w:hAnsi="Times New Roman" w:eastAsia="Times New Roman" w:cs="Times New Roman"/>
                <w:b/>
                <w:bCs/>
                <w:spacing w:val="15"/>
                <w:w w:val="101"/>
                <w:sz w:val="24"/>
                <w:szCs w:val="24"/>
              </w:rPr>
              <w:t xml:space="preserve"> </w:t>
            </w:r>
            <w:r>
              <w:rPr>
                <w:b/>
                <w:bCs/>
                <w:spacing w:val="-3"/>
                <w:sz w:val="24"/>
                <w:szCs w:val="24"/>
              </w:rPr>
              <w:t>芳华变电站间隔扩建噪声影响</w:t>
            </w:r>
          </w:p>
          <w:p w14:paraId="450501DF">
            <w:pPr>
              <w:pStyle w:val="6"/>
              <w:spacing w:before="176" w:line="354" w:lineRule="auto"/>
              <w:ind w:left="103" w:right="103" w:firstLine="480"/>
              <w:jc w:val="both"/>
              <w:rPr>
                <w:sz w:val="24"/>
                <w:szCs w:val="24"/>
              </w:rPr>
            </w:pPr>
            <w:r>
              <w:rPr>
                <w:rFonts w:ascii="Times New Roman" w:hAnsi="Times New Roman" w:eastAsia="Times New Roman" w:cs="Times New Roman"/>
                <w:spacing w:val="6"/>
                <w:sz w:val="24"/>
                <w:szCs w:val="24"/>
              </w:rPr>
              <w:t>220</w:t>
            </w:r>
            <w:r>
              <w:rPr>
                <w:rFonts w:ascii="Times New Roman" w:hAnsi="Times New Roman" w:eastAsia="Times New Roman" w:cs="Times New Roman"/>
                <w:sz w:val="24"/>
                <w:szCs w:val="24"/>
              </w:rPr>
              <w:t>kV</w:t>
            </w:r>
            <w:r>
              <w:rPr>
                <w:rFonts w:ascii="Times New Roman" w:hAnsi="Times New Roman" w:eastAsia="Times New Roman" w:cs="Times New Roman"/>
                <w:spacing w:val="23"/>
                <w:sz w:val="24"/>
                <w:szCs w:val="24"/>
              </w:rPr>
              <w:t xml:space="preserve"> </w:t>
            </w:r>
            <w:r>
              <w:rPr>
                <w:spacing w:val="6"/>
                <w:sz w:val="24"/>
                <w:szCs w:val="24"/>
              </w:rPr>
              <w:t>芳华变电站间隔扩建施工均集中在现有变电站内进行，四周建设</w:t>
            </w:r>
            <w:r>
              <w:rPr>
                <w:spacing w:val="5"/>
                <w:sz w:val="24"/>
                <w:szCs w:val="24"/>
              </w:rPr>
              <w:t>有高</w:t>
            </w:r>
            <w:r>
              <w:rPr>
                <w:rFonts w:ascii="Times New Roman" w:hAnsi="Times New Roman" w:eastAsia="Times New Roman" w:cs="Times New Roman"/>
                <w:spacing w:val="-2"/>
                <w:sz w:val="24"/>
                <w:szCs w:val="24"/>
              </w:rPr>
              <w:t xml:space="preserve">2.5m </w:t>
            </w:r>
            <w:r>
              <w:rPr>
                <w:spacing w:val="-2"/>
                <w:sz w:val="24"/>
                <w:szCs w:val="24"/>
              </w:rPr>
              <w:t>实体围墙；施工点分布在设备基础位置</w:t>
            </w:r>
            <w:r>
              <w:rPr>
                <w:spacing w:val="-3"/>
                <w:sz w:val="24"/>
                <w:szCs w:val="24"/>
              </w:rPr>
              <w:t>，单个点位的施工工程量小，施工时间</w:t>
            </w:r>
            <w:r>
              <w:rPr>
                <w:spacing w:val="-1"/>
                <w:sz w:val="24"/>
                <w:szCs w:val="24"/>
              </w:rPr>
              <w:t>短。施工噪声源主要有装载机、钢筋切割机、吊车、运输车辆等。由于变电站间隔扩建施工工程量较小，施工周期短，其中噪声影响较大的基础构筑施工阶段施工时间很短，通过合理安排施工时间（即夜间不施工</w:t>
            </w:r>
            <w:r>
              <w:rPr>
                <w:spacing w:val="3"/>
                <w:sz w:val="24"/>
                <w:szCs w:val="24"/>
              </w:rPr>
              <w:t>），</w:t>
            </w:r>
            <w:r>
              <w:rPr>
                <w:spacing w:val="-1"/>
                <w:sz w:val="24"/>
                <w:szCs w:val="24"/>
              </w:rPr>
              <w:t>将施工机具尽量布置在远离围</w:t>
            </w:r>
            <w:r>
              <w:rPr>
                <w:sz w:val="24"/>
                <w:szCs w:val="24"/>
              </w:rPr>
              <w:t>墙一侧等措施，可进一步减轻施工噪声的对周</w:t>
            </w:r>
            <w:r>
              <w:rPr>
                <w:spacing w:val="-1"/>
                <w:sz w:val="24"/>
                <w:szCs w:val="24"/>
              </w:rPr>
              <w:t>边环境的影响。</w:t>
            </w:r>
          </w:p>
        </w:tc>
      </w:tr>
    </w:tbl>
    <w:p w14:paraId="700B66C9">
      <w:pPr>
        <w:rPr>
          <w:rFonts w:ascii="Arial"/>
          <w:sz w:val="21"/>
        </w:rPr>
      </w:pPr>
    </w:p>
    <w:p w14:paraId="1DD5FA1A">
      <w:pPr>
        <w:rPr>
          <w:rFonts w:ascii="Arial" w:hAnsi="Arial" w:eastAsia="Arial" w:cs="Arial"/>
          <w:sz w:val="21"/>
          <w:szCs w:val="21"/>
        </w:rPr>
        <w:sectPr>
          <w:footerReference r:id="rId104" w:type="default"/>
          <w:pgSz w:w="11907" w:h="16840"/>
          <w:pgMar w:top="400" w:right="1178" w:bottom="1240" w:left="1405" w:header="0" w:footer="1077" w:gutter="0"/>
          <w:cols w:space="720" w:num="1"/>
        </w:sectPr>
      </w:pPr>
    </w:p>
    <w:p w14:paraId="329D12A7">
      <w:pPr>
        <w:spacing w:before="13"/>
      </w:pPr>
    </w:p>
    <w:p w14:paraId="4728BB13">
      <w:pPr>
        <w:spacing w:before="13"/>
      </w:pPr>
    </w:p>
    <w:p w14:paraId="4A02EA6A">
      <w:pPr>
        <w:spacing w:before="13"/>
      </w:pPr>
    </w:p>
    <w:p w14:paraId="77F148C6">
      <w:pPr>
        <w:spacing w:before="12"/>
      </w:pPr>
    </w:p>
    <w:tbl>
      <w:tblPr>
        <w:tblStyle w:val="5"/>
        <w:tblW w:w="93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30"/>
      </w:tblGrid>
      <w:tr w14:paraId="3A10B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46" w:hRule="atLeast"/>
        </w:trPr>
        <w:tc>
          <w:tcPr>
            <w:tcW w:w="478" w:type="dxa"/>
            <w:tcBorders>
              <w:right w:val="single" w:color="000000" w:sz="2" w:space="0"/>
            </w:tcBorders>
            <w:vAlign w:val="top"/>
          </w:tcPr>
          <w:p w14:paraId="78D3FA41">
            <w:pPr>
              <w:rPr>
                <w:rFonts w:ascii="Arial"/>
                <w:sz w:val="21"/>
              </w:rPr>
            </w:pPr>
          </w:p>
        </w:tc>
        <w:tc>
          <w:tcPr>
            <w:tcW w:w="8830" w:type="dxa"/>
            <w:tcBorders>
              <w:left w:val="single" w:color="000000" w:sz="2" w:space="0"/>
            </w:tcBorders>
            <w:vAlign w:val="top"/>
          </w:tcPr>
          <w:p w14:paraId="072D1100">
            <w:pPr>
              <w:pStyle w:val="6"/>
              <w:spacing w:before="40" w:line="220" w:lineRule="auto"/>
              <w:ind w:left="106"/>
              <w:rPr>
                <w:sz w:val="24"/>
                <w:szCs w:val="24"/>
              </w:rPr>
            </w:pPr>
            <w:r>
              <w:rPr>
                <w:rFonts w:ascii="Times New Roman" w:hAnsi="Times New Roman" w:eastAsia="Times New Roman" w:cs="Times New Roman"/>
                <w:b/>
                <w:bCs/>
                <w:spacing w:val="-8"/>
                <w:sz w:val="24"/>
                <w:szCs w:val="24"/>
              </w:rPr>
              <w:t>5</w:t>
            </w:r>
            <w:r>
              <w:rPr>
                <w:rFonts w:ascii="Times New Roman" w:hAnsi="Times New Roman" w:eastAsia="Times New Roman" w:cs="Times New Roman"/>
                <w:b/>
                <w:bCs/>
                <w:spacing w:val="-29"/>
                <w:sz w:val="24"/>
                <w:szCs w:val="24"/>
              </w:rPr>
              <w:t xml:space="preserve"> </w:t>
            </w:r>
            <w:r>
              <w:rPr>
                <w:b/>
                <w:bCs/>
                <w:spacing w:val="-8"/>
                <w:sz w:val="24"/>
                <w:szCs w:val="24"/>
              </w:rPr>
              <w:t>、固体废物</w:t>
            </w:r>
          </w:p>
          <w:p w14:paraId="2D56CC04">
            <w:pPr>
              <w:pStyle w:val="6"/>
              <w:spacing w:before="179" w:line="359" w:lineRule="auto"/>
              <w:ind w:left="111" w:right="103" w:firstLine="480"/>
              <w:rPr>
                <w:sz w:val="24"/>
                <w:szCs w:val="24"/>
              </w:rPr>
            </w:pPr>
            <w:r>
              <w:rPr>
                <w:spacing w:val="-1"/>
                <w:sz w:val="24"/>
                <w:szCs w:val="24"/>
              </w:rPr>
              <w:t>项目施工期固体废物主要为土石方、建筑垃圾、施工人员生活垃圾及施工</w:t>
            </w:r>
            <w:r>
              <w:rPr>
                <w:spacing w:val="-2"/>
                <w:sz w:val="24"/>
                <w:szCs w:val="24"/>
              </w:rPr>
              <w:t>机械设备的维护和运行。</w:t>
            </w:r>
          </w:p>
          <w:p w14:paraId="7DC7F339">
            <w:pPr>
              <w:pStyle w:val="6"/>
              <w:spacing w:before="1" w:line="220" w:lineRule="auto"/>
              <w:ind w:left="599"/>
              <w:rPr>
                <w:sz w:val="24"/>
                <w:szCs w:val="24"/>
              </w:rPr>
            </w:pPr>
            <w:r>
              <w:rPr>
                <w:spacing w:val="-4"/>
                <w:sz w:val="24"/>
                <w:szCs w:val="24"/>
              </w:rPr>
              <w:t>（</w:t>
            </w:r>
            <w:r>
              <w:rPr>
                <w:rFonts w:ascii="Times New Roman" w:hAnsi="Times New Roman" w:eastAsia="Times New Roman" w:cs="Times New Roman"/>
                <w:spacing w:val="-4"/>
                <w:sz w:val="24"/>
                <w:szCs w:val="24"/>
              </w:rPr>
              <w:t>1</w:t>
            </w:r>
            <w:r>
              <w:rPr>
                <w:spacing w:val="-4"/>
                <w:sz w:val="24"/>
                <w:szCs w:val="24"/>
              </w:rPr>
              <w:t>）土石方</w:t>
            </w:r>
          </w:p>
          <w:p w14:paraId="5BB470AF">
            <w:pPr>
              <w:pStyle w:val="6"/>
              <w:spacing w:before="181" w:line="359" w:lineRule="auto"/>
              <w:ind w:left="108" w:right="158" w:firstLine="479"/>
              <w:rPr>
                <w:sz w:val="24"/>
                <w:szCs w:val="24"/>
              </w:rPr>
            </w:pPr>
            <w:r>
              <w:rPr>
                <w:spacing w:val="-1"/>
                <w:sz w:val="24"/>
                <w:szCs w:val="24"/>
              </w:rPr>
              <w:t>根据《</w:t>
            </w:r>
            <w:r>
              <w:rPr>
                <w:rFonts w:ascii="Times New Roman" w:hAnsi="Times New Roman" w:eastAsia="Times New Roman" w:cs="Times New Roman"/>
                <w:spacing w:val="-1"/>
                <w:sz w:val="24"/>
                <w:szCs w:val="24"/>
              </w:rPr>
              <w:t>110kV</w:t>
            </w:r>
            <w:r>
              <w:rPr>
                <w:spacing w:val="-1"/>
                <w:sz w:val="24"/>
                <w:szCs w:val="24"/>
              </w:rPr>
              <w:t>松山输变电工程水土保持方案报告表》，本工程站址及线路塔基</w:t>
            </w:r>
            <w:r>
              <w:rPr>
                <w:spacing w:val="-2"/>
                <w:sz w:val="24"/>
                <w:szCs w:val="24"/>
              </w:rPr>
              <w:t>土石方开挖总量为</w:t>
            </w:r>
            <w:r>
              <w:rPr>
                <w:rFonts w:ascii="Times New Roman" w:hAnsi="Times New Roman" w:eastAsia="Times New Roman" w:cs="Times New Roman"/>
                <w:spacing w:val="-2"/>
                <w:sz w:val="24"/>
                <w:szCs w:val="24"/>
              </w:rPr>
              <w:t>15500m</w:t>
            </w:r>
            <w:r>
              <w:rPr>
                <w:rFonts w:ascii="Times New Roman" w:hAnsi="Times New Roman" w:eastAsia="Times New Roman" w:cs="Times New Roman"/>
                <w:spacing w:val="-2"/>
                <w:position w:val="7"/>
                <w:sz w:val="15"/>
                <w:szCs w:val="15"/>
              </w:rPr>
              <w:t>3</w:t>
            </w:r>
            <w:r>
              <w:rPr>
                <w:rFonts w:ascii="Times New Roman" w:hAnsi="Times New Roman" w:eastAsia="Times New Roman" w:cs="Times New Roman"/>
                <w:spacing w:val="-1"/>
                <w:position w:val="7"/>
                <w:sz w:val="15"/>
                <w:szCs w:val="15"/>
              </w:rPr>
              <w:t xml:space="preserve"> </w:t>
            </w:r>
            <w:r>
              <w:rPr>
                <w:spacing w:val="-2"/>
                <w:sz w:val="24"/>
                <w:szCs w:val="24"/>
              </w:rPr>
              <w:t>，站址及塔基回填</w:t>
            </w:r>
            <w:r>
              <w:rPr>
                <w:rFonts w:ascii="Times New Roman" w:hAnsi="Times New Roman" w:eastAsia="Times New Roman" w:cs="Times New Roman"/>
                <w:spacing w:val="-2"/>
                <w:sz w:val="24"/>
                <w:szCs w:val="24"/>
              </w:rPr>
              <w:t>15500m</w:t>
            </w:r>
            <w:r>
              <w:rPr>
                <w:rFonts w:ascii="Times New Roman" w:hAnsi="Times New Roman" w:eastAsia="Times New Roman" w:cs="Times New Roman"/>
                <w:spacing w:val="-2"/>
                <w:position w:val="7"/>
                <w:sz w:val="15"/>
                <w:szCs w:val="15"/>
              </w:rPr>
              <w:t>3</w:t>
            </w:r>
            <w:r>
              <w:rPr>
                <w:rFonts w:ascii="Times New Roman" w:hAnsi="Times New Roman" w:eastAsia="Times New Roman" w:cs="Times New Roman"/>
                <w:spacing w:val="-7"/>
                <w:position w:val="7"/>
                <w:sz w:val="15"/>
                <w:szCs w:val="15"/>
              </w:rPr>
              <w:t xml:space="preserve"> </w:t>
            </w:r>
            <w:r>
              <w:rPr>
                <w:spacing w:val="-2"/>
                <w:sz w:val="24"/>
                <w:szCs w:val="24"/>
              </w:rPr>
              <w:t>，无弃土产生。</w:t>
            </w:r>
          </w:p>
          <w:p w14:paraId="66AC29FB">
            <w:pPr>
              <w:pStyle w:val="6"/>
              <w:spacing w:line="220" w:lineRule="auto"/>
              <w:ind w:left="539"/>
              <w:rPr>
                <w:sz w:val="24"/>
                <w:szCs w:val="24"/>
              </w:rPr>
            </w:pPr>
            <w:r>
              <w:rPr>
                <w:spacing w:val="-3"/>
                <w:sz w:val="24"/>
                <w:szCs w:val="24"/>
              </w:rPr>
              <w:t>（</w:t>
            </w:r>
            <w:r>
              <w:rPr>
                <w:rFonts w:ascii="Times New Roman" w:hAnsi="Times New Roman" w:eastAsia="Times New Roman" w:cs="Times New Roman"/>
                <w:spacing w:val="-3"/>
                <w:sz w:val="24"/>
                <w:szCs w:val="24"/>
              </w:rPr>
              <w:t>2</w:t>
            </w:r>
            <w:r>
              <w:rPr>
                <w:spacing w:val="-3"/>
                <w:sz w:val="24"/>
                <w:szCs w:val="24"/>
              </w:rPr>
              <w:t>）建筑垃圾</w:t>
            </w:r>
          </w:p>
          <w:p w14:paraId="40CE9FEA">
            <w:pPr>
              <w:pStyle w:val="6"/>
              <w:spacing w:before="181" w:line="359" w:lineRule="auto"/>
              <w:ind w:left="108" w:right="103" w:firstLine="479"/>
              <w:rPr>
                <w:sz w:val="24"/>
                <w:szCs w:val="24"/>
              </w:rPr>
            </w:pPr>
            <w:r>
              <w:rPr>
                <w:spacing w:val="-1"/>
                <w:sz w:val="24"/>
                <w:szCs w:val="24"/>
              </w:rPr>
              <w:t>变电站、输电线路及间隔扩建施工期产生少量的建筑垃圾包括水泥、砖块、砂石、废弃铁质零件或导线以及零部件包装材料等，可回收利用的部分回收利用，不可回收部分清运至相关部门指定堆放点集中处理。</w:t>
            </w:r>
          </w:p>
          <w:p w14:paraId="7D5D355E">
            <w:pPr>
              <w:pStyle w:val="6"/>
              <w:spacing w:line="220" w:lineRule="auto"/>
              <w:ind w:left="539"/>
              <w:rPr>
                <w:sz w:val="24"/>
                <w:szCs w:val="24"/>
              </w:rPr>
            </w:pPr>
            <w:r>
              <w:rPr>
                <w:spacing w:val="-3"/>
                <w:sz w:val="24"/>
                <w:szCs w:val="24"/>
              </w:rPr>
              <w:t>（</w:t>
            </w:r>
            <w:r>
              <w:rPr>
                <w:rFonts w:ascii="Times New Roman" w:hAnsi="Times New Roman" w:eastAsia="Times New Roman" w:cs="Times New Roman"/>
                <w:spacing w:val="-3"/>
                <w:sz w:val="24"/>
                <w:szCs w:val="24"/>
              </w:rPr>
              <w:t>3</w:t>
            </w:r>
            <w:r>
              <w:rPr>
                <w:spacing w:val="-3"/>
                <w:sz w:val="24"/>
                <w:szCs w:val="24"/>
              </w:rPr>
              <w:t>）生活垃圾</w:t>
            </w:r>
          </w:p>
          <w:p w14:paraId="72DC4ECD">
            <w:pPr>
              <w:pStyle w:val="6"/>
              <w:spacing w:before="180" w:line="355" w:lineRule="auto"/>
              <w:ind w:left="107" w:right="44" w:firstLine="481"/>
              <w:rPr>
                <w:sz w:val="24"/>
                <w:szCs w:val="24"/>
              </w:rPr>
            </w:pPr>
            <w:r>
              <w:rPr>
                <w:sz w:val="24"/>
                <w:szCs w:val="24"/>
              </w:rPr>
              <w:t>生活垃圾产生量按</w:t>
            </w:r>
            <w:r>
              <w:rPr>
                <w:spacing w:val="-51"/>
                <w:sz w:val="24"/>
                <w:szCs w:val="24"/>
              </w:rPr>
              <w:t xml:space="preserve"> </w:t>
            </w:r>
            <w:r>
              <w:rPr>
                <w:rFonts w:ascii="Times New Roman" w:hAnsi="Times New Roman" w:eastAsia="Times New Roman" w:cs="Times New Roman"/>
                <w:sz w:val="24"/>
                <w:szCs w:val="24"/>
              </w:rPr>
              <w:t>0.5kg/</w:t>
            </w:r>
            <w:r>
              <w:rPr>
                <w:sz w:val="24"/>
                <w:szCs w:val="24"/>
              </w:rPr>
              <w:t>（人</w:t>
            </w:r>
            <w:r>
              <w:rPr>
                <w:rFonts w:ascii="Times New Roman" w:hAnsi="Times New Roman" w:eastAsia="Times New Roman" w:cs="Times New Roman"/>
                <w:sz w:val="24"/>
                <w:szCs w:val="24"/>
              </w:rPr>
              <w:t>·d</w:t>
            </w:r>
            <w:r>
              <w:rPr>
                <w:sz w:val="24"/>
                <w:szCs w:val="24"/>
              </w:rPr>
              <w:t>）计；变电站平均每天施工</w:t>
            </w:r>
            <w:r>
              <w:rPr>
                <w:spacing w:val="-1"/>
                <w:sz w:val="24"/>
                <w:szCs w:val="24"/>
              </w:rPr>
              <w:t>人员约</w:t>
            </w:r>
            <w:r>
              <w:rPr>
                <w:rFonts w:ascii="Times New Roman" w:hAnsi="Times New Roman" w:eastAsia="Times New Roman" w:cs="Times New Roman"/>
                <w:spacing w:val="-1"/>
                <w:sz w:val="24"/>
                <w:szCs w:val="24"/>
              </w:rPr>
              <w:t xml:space="preserve">30 </w:t>
            </w:r>
            <w:r>
              <w:rPr>
                <w:spacing w:val="-1"/>
                <w:sz w:val="24"/>
                <w:szCs w:val="24"/>
              </w:rPr>
              <w:t>人，施工</w:t>
            </w:r>
            <w:r>
              <w:rPr>
                <w:spacing w:val="-3"/>
                <w:sz w:val="24"/>
                <w:szCs w:val="24"/>
              </w:rPr>
              <w:t>期</w:t>
            </w:r>
            <w:r>
              <w:rPr>
                <w:spacing w:val="-31"/>
                <w:sz w:val="24"/>
                <w:szCs w:val="24"/>
              </w:rPr>
              <w:t xml:space="preserve"> </w:t>
            </w:r>
            <w:r>
              <w:rPr>
                <w:rFonts w:ascii="Times New Roman" w:hAnsi="Times New Roman" w:eastAsia="Times New Roman" w:cs="Times New Roman"/>
                <w:spacing w:val="-3"/>
                <w:sz w:val="24"/>
                <w:szCs w:val="24"/>
              </w:rPr>
              <w:t xml:space="preserve">1 </w:t>
            </w:r>
            <w:r>
              <w:rPr>
                <w:spacing w:val="-3"/>
                <w:sz w:val="24"/>
                <w:szCs w:val="24"/>
              </w:rPr>
              <w:t>年，生活垃圾排放量约</w:t>
            </w:r>
            <w:r>
              <w:rPr>
                <w:spacing w:val="-32"/>
                <w:sz w:val="24"/>
                <w:szCs w:val="24"/>
              </w:rPr>
              <w:t xml:space="preserve"> </w:t>
            </w:r>
            <w:r>
              <w:rPr>
                <w:rFonts w:ascii="Times New Roman" w:hAnsi="Times New Roman" w:eastAsia="Times New Roman" w:cs="Times New Roman"/>
                <w:spacing w:val="-3"/>
                <w:sz w:val="24"/>
                <w:szCs w:val="24"/>
              </w:rPr>
              <w:t>15kg/d</w:t>
            </w:r>
            <w:r>
              <w:rPr>
                <w:spacing w:val="-3"/>
                <w:sz w:val="24"/>
                <w:szCs w:val="24"/>
              </w:rPr>
              <w:t>（</w:t>
            </w:r>
            <w:r>
              <w:rPr>
                <w:rFonts w:ascii="Times New Roman" w:hAnsi="Times New Roman" w:eastAsia="Times New Roman" w:cs="Times New Roman"/>
                <w:spacing w:val="-3"/>
                <w:sz w:val="24"/>
                <w:szCs w:val="24"/>
              </w:rPr>
              <w:t>5.4t/a</w:t>
            </w:r>
            <w:r>
              <w:rPr>
                <w:spacing w:val="-15"/>
                <w:sz w:val="24"/>
                <w:szCs w:val="24"/>
              </w:rPr>
              <w:t>）；</w:t>
            </w:r>
            <w:r>
              <w:rPr>
                <w:spacing w:val="-3"/>
                <w:sz w:val="24"/>
                <w:szCs w:val="24"/>
              </w:rPr>
              <w:t>输电线路施工期平均每天配置人员约</w:t>
            </w:r>
            <w:r>
              <w:rPr>
                <w:rFonts w:ascii="Times New Roman" w:hAnsi="Times New Roman" w:eastAsia="Times New Roman" w:cs="Times New Roman"/>
                <w:spacing w:val="-6"/>
                <w:sz w:val="24"/>
                <w:szCs w:val="24"/>
              </w:rPr>
              <w:t xml:space="preserve">30 </w:t>
            </w:r>
            <w:r>
              <w:rPr>
                <w:spacing w:val="-6"/>
                <w:sz w:val="24"/>
                <w:szCs w:val="24"/>
              </w:rPr>
              <w:t>人，施工期</w:t>
            </w:r>
            <w:r>
              <w:rPr>
                <w:spacing w:val="-50"/>
                <w:sz w:val="24"/>
                <w:szCs w:val="24"/>
              </w:rPr>
              <w:t xml:space="preserve"> </w:t>
            </w:r>
            <w:r>
              <w:rPr>
                <w:rFonts w:ascii="Times New Roman" w:hAnsi="Times New Roman" w:eastAsia="Times New Roman" w:cs="Times New Roman"/>
                <w:spacing w:val="-6"/>
                <w:sz w:val="24"/>
                <w:szCs w:val="24"/>
              </w:rPr>
              <w:t xml:space="preserve">6 </w:t>
            </w:r>
            <w:r>
              <w:rPr>
                <w:spacing w:val="-6"/>
                <w:sz w:val="24"/>
                <w:szCs w:val="24"/>
              </w:rPr>
              <w:t>个月，生活垃圾排放量约</w:t>
            </w:r>
            <w:r>
              <w:rPr>
                <w:spacing w:val="-32"/>
                <w:sz w:val="24"/>
                <w:szCs w:val="24"/>
              </w:rPr>
              <w:t xml:space="preserve"> </w:t>
            </w:r>
            <w:r>
              <w:rPr>
                <w:rFonts w:ascii="Times New Roman" w:hAnsi="Times New Roman" w:eastAsia="Times New Roman" w:cs="Times New Roman"/>
                <w:spacing w:val="-6"/>
                <w:sz w:val="24"/>
                <w:szCs w:val="24"/>
              </w:rPr>
              <w:t>15kg/d</w:t>
            </w:r>
            <w:r>
              <w:rPr>
                <w:spacing w:val="-6"/>
                <w:sz w:val="24"/>
                <w:szCs w:val="24"/>
              </w:rPr>
              <w:t>，线路施工期共产生生活垃圾</w:t>
            </w:r>
            <w:r>
              <w:rPr>
                <w:spacing w:val="-55"/>
                <w:sz w:val="24"/>
                <w:szCs w:val="24"/>
              </w:rPr>
              <w:t xml:space="preserve"> </w:t>
            </w:r>
            <w:r>
              <w:rPr>
                <w:rFonts w:ascii="Times New Roman" w:hAnsi="Times New Roman" w:eastAsia="Times New Roman" w:cs="Times New Roman"/>
                <w:spacing w:val="-6"/>
                <w:sz w:val="24"/>
                <w:szCs w:val="24"/>
              </w:rPr>
              <w:t>2.7t</w:t>
            </w:r>
            <w:r>
              <w:rPr>
                <w:spacing w:val="-6"/>
                <w:sz w:val="24"/>
                <w:szCs w:val="24"/>
              </w:rPr>
              <w:t>；</w:t>
            </w:r>
            <w:r>
              <w:rPr>
                <w:spacing w:val="-3"/>
                <w:sz w:val="24"/>
                <w:szCs w:val="24"/>
              </w:rPr>
              <w:t>变电站和线路整个施工期共产生生活垃圾</w:t>
            </w:r>
            <w:r>
              <w:rPr>
                <w:spacing w:val="-30"/>
                <w:sz w:val="24"/>
                <w:szCs w:val="24"/>
              </w:rPr>
              <w:t xml:space="preserve"> </w:t>
            </w:r>
            <w:r>
              <w:rPr>
                <w:rFonts w:ascii="Times New Roman" w:hAnsi="Times New Roman" w:eastAsia="Times New Roman" w:cs="Times New Roman"/>
                <w:spacing w:val="-3"/>
                <w:sz w:val="24"/>
                <w:szCs w:val="24"/>
              </w:rPr>
              <w:t>8.</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1t</w:t>
            </w:r>
            <w:r>
              <w:rPr>
                <w:spacing w:val="-3"/>
                <w:sz w:val="24"/>
                <w:szCs w:val="24"/>
              </w:rPr>
              <w:t>。</w:t>
            </w:r>
          </w:p>
          <w:p w14:paraId="4A005204">
            <w:pPr>
              <w:pStyle w:val="6"/>
              <w:spacing w:before="21" w:line="359" w:lineRule="auto"/>
              <w:ind w:left="108" w:right="41" w:firstLine="478"/>
              <w:jc w:val="both"/>
              <w:rPr>
                <w:sz w:val="24"/>
                <w:szCs w:val="24"/>
              </w:rPr>
            </w:pPr>
            <w:r>
              <w:rPr>
                <w:spacing w:val="-6"/>
                <w:sz w:val="24"/>
                <w:szCs w:val="24"/>
              </w:rPr>
              <w:t>输电线路、变电站施工不在施工区设置工棚食宿，施工人员租用沿线居民房屋，</w:t>
            </w:r>
            <w:r>
              <w:rPr>
                <w:spacing w:val="-1"/>
                <w:sz w:val="24"/>
                <w:szCs w:val="24"/>
              </w:rPr>
              <w:t>生活垃圾依托村镇居民房屋现有卫生设施处理。塔基施工场地内产生的零星生活垃圾收集后带回居住村镇一起处理。</w:t>
            </w:r>
          </w:p>
          <w:p w14:paraId="6494A1BD">
            <w:pPr>
              <w:pStyle w:val="6"/>
              <w:spacing w:before="1" w:line="219" w:lineRule="auto"/>
              <w:ind w:left="539"/>
              <w:rPr>
                <w:sz w:val="24"/>
                <w:szCs w:val="24"/>
              </w:rPr>
            </w:pPr>
            <w:r>
              <w:rPr>
                <w:spacing w:val="-3"/>
                <w:sz w:val="24"/>
                <w:szCs w:val="24"/>
              </w:rPr>
              <w:t>（</w:t>
            </w:r>
            <w:r>
              <w:rPr>
                <w:rFonts w:ascii="Times New Roman" w:hAnsi="Times New Roman" w:eastAsia="Times New Roman" w:cs="Times New Roman"/>
                <w:spacing w:val="-3"/>
                <w:sz w:val="24"/>
                <w:szCs w:val="24"/>
              </w:rPr>
              <w:t>4</w:t>
            </w:r>
            <w:r>
              <w:rPr>
                <w:spacing w:val="-3"/>
                <w:sz w:val="24"/>
                <w:szCs w:val="24"/>
              </w:rPr>
              <w:t>）含油固体废物</w:t>
            </w:r>
          </w:p>
          <w:p w14:paraId="289CF9CF">
            <w:pPr>
              <w:pStyle w:val="6"/>
              <w:spacing w:before="183" w:line="359" w:lineRule="auto"/>
              <w:ind w:left="106" w:right="103" w:firstLine="484"/>
              <w:rPr>
                <w:sz w:val="24"/>
                <w:szCs w:val="24"/>
              </w:rPr>
            </w:pPr>
            <w:r>
              <w:rPr>
                <w:spacing w:val="-1"/>
                <w:sz w:val="24"/>
                <w:szCs w:val="24"/>
              </w:rPr>
              <w:t>项目施工机械设备的维护和运行可能会产生含油固体废物，如变电站施工</w:t>
            </w:r>
            <w:r>
              <w:rPr>
                <w:spacing w:val="-2"/>
                <w:sz w:val="24"/>
                <w:szCs w:val="24"/>
              </w:rPr>
              <w:t>使用</w:t>
            </w:r>
            <w:r>
              <w:rPr>
                <w:spacing w:val="-1"/>
                <w:sz w:val="24"/>
                <w:szCs w:val="24"/>
              </w:rPr>
              <w:t>的推土机、挖掘机、起重机等重型设备需定期更换机油、液压油和润滑油，设备在运行或运输过程中可能发生油料泄漏。这些含油固废属于危险废物，渗透土壤后，会降低土壤肥力，或雨水冲刷或渗滤作用可能将油分带入地表水或地下水，影响人类健康。项目施工机械设备的维护在附近机械修理厂解决，不在施工区域进行涉油</w:t>
            </w:r>
            <w:r>
              <w:rPr>
                <w:sz w:val="24"/>
                <w:szCs w:val="24"/>
              </w:rPr>
              <w:t>维修，并加强和规范设备日常维护，避免油</w:t>
            </w:r>
            <w:r>
              <w:rPr>
                <w:spacing w:val="-1"/>
                <w:sz w:val="24"/>
                <w:szCs w:val="24"/>
              </w:rPr>
              <w:t>泄漏和废弃油料产生。</w:t>
            </w:r>
          </w:p>
          <w:p w14:paraId="3FDC0E04">
            <w:pPr>
              <w:pStyle w:val="6"/>
              <w:spacing w:line="220" w:lineRule="auto"/>
              <w:ind w:left="107"/>
              <w:rPr>
                <w:sz w:val="24"/>
                <w:szCs w:val="24"/>
              </w:rPr>
            </w:pPr>
            <w:r>
              <w:rPr>
                <w:rFonts w:ascii="Times New Roman" w:hAnsi="Times New Roman" w:eastAsia="Times New Roman" w:cs="Times New Roman"/>
                <w:b/>
                <w:bCs/>
                <w:spacing w:val="-5"/>
                <w:sz w:val="24"/>
                <w:szCs w:val="24"/>
              </w:rPr>
              <w:t>6</w:t>
            </w:r>
            <w:r>
              <w:rPr>
                <w:rFonts w:ascii="Times New Roman" w:hAnsi="Times New Roman" w:eastAsia="Times New Roman" w:cs="Times New Roman"/>
                <w:b/>
                <w:bCs/>
                <w:spacing w:val="-26"/>
                <w:sz w:val="24"/>
                <w:szCs w:val="24"/>
              </w:rPr>
              <w:t xml:space="preserve"> </w:t>
            </w:r>
            <w:r>
              <w:rPr>
                <w:b/>
                <w:bCs/>
                <w:spacing w:val="-5"/>
                <w:sz w:val="24"/>
                <w:szCs w:val="24"/>
              </w:rPr>
              <w:t>、施工期环境影响分析小结</w:t>
            </w:r>
          </w:p>
          <w:p w14:paraId="5B0D6568">
            <w:pPr>
              <w:pStyle w:val="6"/>
              <w:spacing w:before="181" w:line="348" w:lineRule="auto"/>
              <w:ind w:left="108" w:right="103" w:firstLine="481"/>
              <w:jc w:val="both"/>
              <w:rPr>
                <w:sz w:val="24"/>
                <w:szCs w:val="24"/>
              </w:rPr>
            </w:pPr>
            <w:r>
              <w:rPr>
                <w:spacing w:val="-1"/>
                <w:sz w:val="24"/>
                <w:szCs w:val="24"/>
              </w:rPr>
              <w:t>综上所述，项目工程量不大，作业点较分散，施工时间较短，施工期的环境影响是短暂的，随着施工期的结束而消失，在采取相关环境保护措施后，施工期间对周围环境的影响可以接受。在认真落实生态保护措施以及施工噪声、施工扬尘、施</w:t>
            </w:r>
          </w:p>
        </w:tc>
      </w:tr>
    </w:tbl>
    <w:p w14:paraId="6BFFD91B">
      <w:pPr>
        <w:rPr>
          <w:rFonts w:ascii="Arial"/>
          <w:sz w:val="21"/>
        </w:rPr>
      </w:pPr>
    </w:p>
    <w:p w14:paraId="3C81FC74">
      <w:pPr>
        <w:rPr>
          <w:rFonts w:ascii="Arial" w:hAnsi="Arial" w:eastAsia="Arial" w:cs="Arial"/>
          <w:sz w:val="21"/>
          <w:szCs w:val="21"/>
        </w:rPr>
        <w:sectPr>
          <w:footerReference r:id="rId105" w:type="default"/>
          <w:pgSz w:w="11907" w:h="16840"/>
          <w:pgMar w:top="400" w:right="1178" w:bottom="1240" w:left="1405" w:header="0" w:footer="1077" w:gutter="0"/>
          <w:cols w:space="720" w:num="1"/>
        </w:sectPr>
      </w:pPr>
    </w:p>
    <w:p w14:paraId="1C778175">
      <w:pPr>
        <w:spacing w:before="13"/>
      </w:pPr>
    </w:p>
    <w:p w14:paraId="322132B6">
      <w:pPr>
        <w:spacing w:before="13"/>
      </w:pPr>
    </w:p>
    <w:p w14:paraId="658610FF">
      <w:pPr>
        <w:spacing w:before="13"/>
      </w:pPr>
    </w:p>
    <w:p w14:paraId="232D8B06">
      <w:pPr>
        <w:spacing w:before="12"/>
      </w:pPr>
    </w:p>
    <w:tbl>
      <w:tblPr>
        <w:tblStyle w:val="5"/>
        <w:tblW w:w="93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30"/>
      </w:tblGrid>
      <w:tr w14:paraId="1F0CB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3" w:hRule="atLeast"/>
        </w:trPr>
        <w:tc>
          <w:tcPr>
            <w:tcW w:w="478" w:type="dxa"/>
            <w:tcBorders>
              <w:bottom w:val="single" w:color="000000" w:sz="2" w:space="0"/>
              <w:right w:val="single" w:color="000000" w:sz="2" w:space="0"/>
            </w:tcBorders>
            <w:vAlign w:val="top"/>
          </w:tcPr>
          <w:p w14:paraId="5CF8A824">
            <w:pPr>
              <w:rPr>
                <w:rFonts w:ascii="Arial"/>
                <w:sz w:val="21"/>
              </w:rPr>
            </w:pPr>
          </w:p>
        </w:tc>
        <w:tc>
          <w:tcPr>
            <w:tcW w:w="8830" w:type="dxa"/>
            <w:tcBorders>
              <w:left w:val="single" w:color="000000" w:sz="2" w:space="0"/>
              <w:bottom w:val="single" w:color="000000" w:sz="2" w:space="0"/>
            </w:tcBorders>
            <w:vAlign w:val="top"/>
          </w:tcPr>
          <w:p w14:paraId="7651106F">
            <w:pPr>
              <w:pStyle w:val="6"/>
              <w:spacing w:before="41" w:line="343" w:lineRule="auto"/>
              <w:ind w:left="108" w:right="103" w:firstLine="1"/>
              <w:rPr>
                <w:sz w:val="24"/>
                <w:szCs w:val="24"/>
              </w:rPr>
            </w:pPr>
            <w:r>
              <w:rPr>
                <w:spacing w:val="-1"/>
                <w:sz w:val="24"/>
                <w:szCs w:val="24"/>
              </w:rPr>
              <w:t>工废水、施工固体废物等的污染防治措施，并加强监管后，项目施工期间对周围环境的影响将降低到最小。</w:t>
            </w:r>
          </w:p>
        </w:tc>
      </w:tr>
      <w:tr w14:paraId="7D9EB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70" w:hRule="atLeast"/>
        </w:trPr>
        <w:tc>
          <w:tcPr>
            <w:tcW w:w="478" w:type="dxa"/>
            <w:tcBorders>
              <w:top w:val="single" w:color="000000" w:sz="2" w:space="0"/>
              <w:right w:val="single" w:color="000000" w:sz="2" w:space="0"/>
            </w:tcBorders>
            <w:textDirection w:val="tbRlV"/>
            <w:vAlign w:val="top"/>
          </w:tcPr>
          <w:p w14:paraId="5FBD93EB">
            <w:pPr>
              <w:pStyle w:val="6"/>
              <w:spacing w:before="118" w:line="209" w:lineRule="auto"/>
              <w:ind w:left="4646"/>
              <w:rPr>
                <w:sz w:val="24"/>
                <w:szCs w:val="24"/>
              </w:rPr>
            </w:pPr>
            <w:r>
              <w:rPr>
                <w:spacing w:val="-1"/>
                <w:sz w:val="24"/>
                <w:szCs w:val="24"/>
              </w:rPr>
              <w:t>运</w:t>
            </w:r>
            <w:r>
              <w:rPr>
                <w:spacing w:val="-41"/>
                <w:sz w:val="24"/>
                <w:szCs w:val="24"/>
              </w:rPr>
              <w:t xml:space="preserve"> </w:t>
            </w:r>
            <w:r>
              <w:rPr>
                <w:spacing w:val="-1"/>
                <w:sz w:val="24"/>
                <w:szCs w:val="24"/>
              </w:rPr>
              <w:t>营</w:t>
            </w:r>
            <w:r>
              <w:rPr>
                <w:spacing w:val="-50"/>
                <w:sz w:val="24"/>
                <w:szCs w:val="24"/>
              </w:rPr>
              <w:t xml:space="preserve"> </w:t>
            </w:r>
            <w:r>
              <w:rPr>
                <w:spacing w:val="-1"/>
                <w:sz w:val="24"/>
                <w:szCs w:val="24"/>
              </w:rPr>
              <w:t>期</w:t>
            </w:r>
            <w:r>
              <w:rPr>
                <w:spacing w:val="-48"/>
                <w:sz w:val="24"/>
                <w:szCs w:val="24"/>
              </w:rPr>
              <w:t xml:space="preserve"> </w:t>
            </w:r>
            <w:r>
              <w:rPr>
                <w:spacing w:val="-1"/>
                <w:sz w:val="24"/>
                <w:szCs w:val="24"/>
              </w:rPr>
              <w:t>生</w:t>
            </w:r>
            <w:r>
              <w:rPr>
                <w:spacing w:val="-47"/>
                <w:sz w:val="24"/>
                <w:szCs w:val="24"/>
              </w:rPr>
              <w:t xml:space="preserve"> </w:t>
            </w:r>
            <w:r>
              <w:rPr>
                <w:spacing w:val="-1"/>
                <w:sz w:val="24"/>
                <w:szCs w:val="24"/>
              </w:rPr>
              <w:t>态</w:t>
            </w:r>
            <w:r>
              <w:rPr>
                <w:spacing w:val="-48"/>
                <w:sz w:val="24"/>
                <w:szCs w:val="24"/>
              </w:rPr>
              <w:t xml:space="preserve"> </w:t>
            </w:r>
            <w:r>
              <w:rPr>
                <w:spacing w:val="-1"/>
                <w:sz w:val="24"/>
                <w:szCs w:val="24"/>
              </w:rPr>
              <w:t>环</w:t>
            </w:r>
            <w:r>
              <w:rPr>
                <w:spacing w:val="-50"/>
                <w:sz w:val="24"/>
                <w:szCs w:val="24"/>
              </w:rPr>
              <w:t xml:space="preserve"> </w:t>
            </w:r>
            <w:r>
              <w:rPr>
                <w:spacing w:val="-1"/>
                <w:sz w:val="24"/>
                <w:szCs w:val="24"/>
              </w:rPr>
              <w:t>境</w:t>
            </w:r>
            <w:r>
              <w:rPr>
                <w:spacing w:val="-48"/>
                <w:sz w:val="24"/>
                <w:szCs w:val="24"/>
              </w:rPr>
              <w:t xml:space="preserve"> </w:t>
            </w:r>
            <w:r>
              <w:rPr>
                <w:spacing w:val="-1"/>
                <w:sz w:val="24"/>
                <w:szCs w:val="24"/>
              </w:rPr>
              <w:t>影</w:t>
            </w:r>
            <w:r>
              <w:rPr>
                <w:spacing w:val="-48"/>
                <w:sz w:val="24"/>
                <w:szCs w:val="24"/>
              </w:rPr>
              <w:t xml:space="preserve"> </w:t>
            </w:r>
            <w:r>
              <w:rPr>
                <w:spacing w:val="-1"/>
                <w:sz w:val="24"/>
                <w:szCs w:val="24"/>
              </w:rPr>
              <w:t>响</w:t>
            </w:r>
            <w:r>
              <w:rPr>
                <w:spacing w:val="-50"/>
                <w:sz w:val="24"/>
                <w:szCs w:val="24"/>
              </w:rPr>
              <w:t xml:space="preserve"> </w:t>
            </w:r>
            <w:r>
              <w:rPr>
                <w:spacing w:val="-1"/>
                <w:sz w:val="24"/>
                <w:szCs w:val="24"/>
              </w:rPr>
              <w:t>分</w:t>
            </w:r>
            <w:r>
              <w:rPr>
                <w:spacing w:val="-48"/>
                <w:sz w:val="24"/>
                <w:szCs w:val="24"/>
              </w:rPr>
              <w:t xml:space="preserve"> </w:t>
            </w:r>
            <w:r>
              <w:rPr>
                <w:spacing w:val="-1"/>
                <w:sz w:val="24"/>
                <w:szCs w:val="24"/>
              </w:rPr>
              <w:t>析</w:t>
            </w:r>
          </w:p>
        </w:tc>
        <w:tc>
          <w:tcPr>
            <w:tcW w:w="8830" w:type="dxa"/>
            <w:tcBorders>
              <w:top w:val="single" w:color="000000" w:sz="2" w:space="0"/>
              <w:left w:val="single" w:color="000000" w:sz="2" w:space="0"/>
            </w:tcBorders>
            <w:vAlign w:val="top"/>
          </w:tcPr>
          <w:p w14:paraId="5787FEF4">
            <w:pPr>
              <w:pStyle w:val="6"/>
              <w:spacing w:before="36" w:line="219" w:lineRule="auto"/>
              <w:ind w:left="111"/>
              <w:rPr>
                <w:sz w:val="24"/>
                <w:szCs w:val="24"/>
              </w:rPr>
            </w:pPr>
            <w:r>
              <w:rPr>
                <w:b/>
                <w:bCs/>
                <w:spacing w:val="-4"/>
                <w:sz w:val="24"/>
                <w:szCs w:val="24"/>
              </w:rPr>
              <w:t>一、运营期产污环节分析</w:t>
            </w:r>
          </w:p>
          <w:p w14:paraId="61DAAED3">
            <w:pPr>
              <w:pStyle w:val="6"/>
              <w:spacing w:before="182" w:line="360" w:lineRule="auto"/>
              <w:ind w:left="107" w:right="103" w:firstLine="482"/>
              <w:jc w:val="both"/>
              <w:rPr>
                <w:sz w:val="24"/>
                <w:szCs w:val="24"/>
              </w:rPr>
            </w:pPr>
            <w:r>
              <w:rPr>
                <w:spacing w:val="-1"/>
                <w:sz w:val="24"/>
                <w:szCs w:val="24"/>
              </w:rPr>
              <w:t>工程运营期的主要功能是利用架空输电线路输送电能，送电的过程中存在电流的传输现象，无其他生产生活活动存在，运行期的环境影响主要有工频电场、工频磁场和噪声。项目运营期工艺流程及产污节点图详见下图。</w:t>
            </w:r>
          </w:p>
          <w:p w14:paraId="60D8FAC4">
            <w:pPr>
              <w:spacing w:line="27" w:lineRule="auto"/>
              <w:rPr>
                <w:rFonts w:ascii="Arial"/>
                <w:sz w:val="2"/>
              </w:rPr>
            </w:pPr>
          </w:p>
          <w:tbl>
            <w:tblPr>
              <w:tblStyle w:val="5"/>
              <w:tblW w:w="8358" w:type="dxa"/>
              <w:tblInd w:w="224"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358"/>
            </w:tblGrid>
            <w:tr w14:paraId="0DFBE097">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5231" w:hRule="atLeast"/>
              </w:trPr>
              <w:tc>
                <w:tcPr>
                  <w:tcW w:w="8358" w:type="dxa"/>
                  <w:vAlign w:val="top"/>
                </w:tcPr>
                <w:p w14:paraId="73A4CB94">
                  <w:pPr>
                    <w:pStyle w:val="6"/>
                    <w:spacing w:before="76" w:line="229" w:lineRule="auto"/>
                    <w:ind w:left="1383"/>
                    <w:rPr>
                      <w:sz w:val="17"/>
                      <w:szCs w:val="17"/>
                    </w:rPr>
                  </w:pPr>
                  <w:r>
                    <w:pict>
                      <v:shape id="_x0000_s1045" o:spid="_x0000_s1045" style="position:absolute;left:0pt;margin-left:85.65pt;margin-top:30.4pt;height:0pt;width:4.3pt;mso-position-horizontal-relative:page;mso-position-vertical-relative:page;z-index:251693056;mso-width-relative:page;mso-height-relative:page;" filled="f" stroked="t" coordsize="86,0" path="m85,0l0,0e">
                        <v:fill on="f" focussize="0,0"/>
                        <v:stroke weight="0pt" color="#000000" miterlimit="0" endcap="round"/>
                        <v:imagedata o:title=""/>
                        <o:lock v:ext="edit"/>
                      </v:shape>
                    </w:pict>
                  </w:r>
                  <w:r>
                    <w:pict>
                      <v:shape id="_x0000_s1046" o:spid="_x0000_s1046" style="position:absolute;left:0pt;margin-left:87.05pt;margin-top:34.7pt;height:0pt;width:2.85pt;mso-position-horizontal-relative:page;mso-position-vertical-relative:page;z-index:251694080;mso-width-relative:page;mso-height-relative:page;" filled="f" stroked="t" coordsize="56,0" path="m56,0l0,0e">
                        <v:fill on="f" focussize="0,0"/>
                        <v:stroke weight="0pt" color="#000000" miterlimit="0" endcap="round"/>
                        <v:imagedata o:title=""/>
                        <o:lock v:ext="edit"/>
                      </v:shape>
                    </w:pict>
                  </w:r>
                  <w:r>
                    <w:pict>
                      <v:shape id="_x0000_s1047" o:spid="_x0000_s1047" style="position:absolute;left:0pt;margin-left:85.65pt;margin-top:38.95pt;height:0pt;width:4.3pt;mso-position-horizontal-relative:page;mso-position-vertical-relative:page;z-index:251695104;mso-width-relative:page;mso-height-relative:page;" filled="f" stroked="t" coordsize="86,0" path="m0,0l85,0e">
                        <v:fill on="f" focussize="0,0"/>
                        <v:stroke weight="0pt" color="#000000" miterlimit="0" endcap="round"/>
                        <v:imagedata o:title=""/>
                        <o:lock v:ext="edit"/>
                      </v:shape>
                    </w:pict>
                  </w:r>
                  <w:r>
                    <w:pict>
                      <v:shape id="_x0000_s1048" o:spid="_x0000_s1048" style="position:absolute;left:0pt;margin-left:216.95pt;margin-top:136.3pt;height:0pt;width:127.45pt;mso-position-horizontal-relative:page;mso-position-vertical-relative:page;z-index:251696128;mso-width-relative:page;mso-height-relative:page;" filled="f" stroked="t" coordsize="2548,0" path="m0,0l2548,0e">
                        <v:fill on="f" focussize="0,0"/>
                        <v:stroke weight="0pt" color="#000000" miterlimit="0" endcap="round"/>
                        <v:imagedata o:title=""/>
                        <o:lock v:ext="edit"/>
                      </v:shape>
                    </w:pict>
                  </w:r>
                  <w:r>
                    <w:pict>
                      <v:shape id="_x0000_s1049" o:spid="_x0000_s1049" style="position:absolute;left:0pt;margin-left:64.9pt;margin-top:30.4pt;height:4.3pt;width:5.7pt;mso-position-horizontal-relative:page;mso-position-vertical-relative:page;z-index:251689984;mso-width-relative:page;mso-height-relative:page;" filled="f" stroked="t" coordsize="113,86" path="m0,0l113,0m0,85l56,85e">
                        <v:fill on="f" focussize="0,0"/>
                        <v:stroke weight="0pt" color="#000000" miterlimit="0" endcap="round"/>
                        <v:imagedata o:title=""/>
                        <o:lock v:ext="edit"/>
                      </v:shape>
                    </w:pict>
                  </w:r>
                  <w:r>
                    <w:pict>
                      <v:shape id="_x0000_s1050" o:spid="_x0000_s1050" style="position:absolute;left:0pt;margin-left:91.35pt;margin-top:31.85pt;height:5.7pt;width:0pt;mso-position-horizontal-relative:page;mso-position-vertical-relative:page;z-index:251692032;mso-width-relative:page;mso-height-relative:page;" filled="f" stroked="t" coordsize="0,113" path="m0,113l0,85m0,28l0,0e">
                        <v:fill on="f" focussize="0,0"/>
                        <v:stroke weight="0pt" color="#000000" miterlimit="0" endcap="round"/>
                        <v:imagedata o:title=""/>
                        <o:lock v:ext="edit"/>
                      </v:shape>
                    </w:pict>
                  </w:r>
                  <w:r>
                    <w:pict>
                      <v:shape id="_x0000_s1051" o:spid="_x0000_s1051" o:spt="202" type="#_x0000_t202" style="position:absolute;left:0pt;margin-left:47.6pt;margin-top:23pt;height:22.7pt;width:91.4pt;mso-position-horizontal-relative:page;mso-position-vertical-relative:page;z-index:251708416;mso-width-relative:page;mso-height-relative:page;" filled="f" stroked="f" coordsize="21600,21600">
                        <v:path/>
                        <v:fill on="f" focussize="0,0"/>
                        <v:stroke on="f"/>
                        <v:imagedata o:title=""/>
                        <o:lock v:ext="edit" aspectratio="f"/>
                        <v:textbox inset="0mm,0mm,0mm,0mm">
                          <w:txbxContent>
                            <w:p w14:paraId="56EC2BD7">
                              <w:pPr>
                                <w:spacing w:line="20" w:lineRule="exact"/>
                              </w:pPr>
                            </w:p>
                            <w:tbl>
                              <w:tblPr>
                                <w:tblStyle w:val="5"/>
                                <w:tblW w:w="1782" w:type="dxa"/>
                                <w:tblInd w:w="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9"/>
                                <w:gridCol w:w="460"/>
                                <w:gridCol w:w="328"/>
                                <w:gridCol w:w="118"/>
                                <w:gridCol w:w="537"/>
                              </w:tblGrid>
                              <w:tr w14:paraId="01B77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339" w:type="dxa"/>
                                    <w:tcBorders>
                                      <w:right w:val="nil"/>
                                    </w:tcBorders>
                                    <w:vAlign w:val="top"/>
                                  </w:tcPr>
                                  <w:p w14:paraId="466A1B47">
                                    <w:pPr>
                                      <w:rPr>
                                        <w:rFonts w:ascii="Arial"/>
                                        <w:sz w:val="21"/>
                                      </w:rPr>
                                    </w:pPr>
                                  </w:p>
                                </w:tc>
                                <w:tc>
                                  <w:tcPr>
                                    <w:tcW w:w="460" w:type="dxa"/>
                                    <w:tcBorders>
                                      <w:left w:val="nil"/>
                                      <w:right w:val="nil"/>
                                    </w:tcBorders>
                                    <w:vAlign w:val="top"/>
                                  </w:tcPr>
                                  <w:p w14:paraId="58FABF5B">
                                    <w:pPr>
                                      <w:pStyle w:val="6"/>
                                      <w:tabs>
                                        <w:tab w:val="left" w:pos="108"/>
                                      </w:tabs>
                                      <w:spacing w:before="243" w:line="95" w:lineRule="auto"/>
                                      <w:rPr>
                                        <w:sz w:val="23"/>
                                        <w:szCs w:val="23"/>
                                      </w:rPr>
                                    </w:pPr>
                                    <w:r>
                                      <w:rPr>
                                        <w:sz w:val="23"/>
                                        <w:szCs w:val="23"/>
                                        <w:u w:val="single" w:color="auto"/>
                                      </w:rPr>
                                      <w:tab/>
                                    </w:r>
                                    <w:r>
                                      <w:rPr>
                                        <w:spacing w:val="-61"/>
                                        <w:sz w:val="23"/>
                                        <w:szCs w:val="23"/>
                                      </w:rPr>
                                      <w:t xml:space="preserve"> </w:t>
                                    </w:r>
                                    <w:r>
                                      <w:rPr>
                                        <w:sz w:val="23"/>
                                        <w:szCs w:val="23"/>
                                      </w:rPr>
                                      <w:t>、</w:t>
                                    </w:r>
                                  </w:p>
                                </w:tc>
                                <w:tc>
                                  <w:tcPr>
                                    <w:tcW w:w="328" w:type="dxa"/>
                                    <w:tcBorders>
                                      <w:left w:val="nil"/>
                                      <w:right w:val="nil"/>
                                    </w:tcBorders>
                                    <w:vAlign w:val="top"/>
                                  </w:tcPr>
                                  <w:p w14:paraId="2769CDB9">
                                    <w:pPr>
                                      <w:pStyle w:val="6"/>
                                      <w:spacing w:before="242" w:line="119" w:lineRule="exact"/>
                                      <w:jc w:val="right"/>
                                      <w:rPr>
                                        <w:sz w:val="23"/>
                                        <w:szCs w:val="23"/>
                                      </w:rPr>
                                    </w:pPr>
                                    <w:r>
                                      <w:rPr>
                                        <w:spacing w:val="-47"/>
                                        <w:w w:val="95"/>
                                        <w:position w:val="1"/>
                                        <w:sz w:val="23"/>
                                        <w:szCs w:val="23"/>
                                      </w:rPr>
                                      <w:t>、</w:t>
                                    </w:r>
                                  </w:p>
                                </w:tc>
                                <w:tc>
                                  <w:tcPr>
                                    <w:tcW w:w="118" w:type="dxa"/>
                                    <w:tcBorders>
                                      <w:left w:val="nil"/>
                                      <w:right w:val="nil"/>
                                    </w:tcBorders>
                                    <w:vAlign w:val="top"/>
                                  </w:tcPr>
                                  <w:p w14:paraId="29895ECB">
                                    <w:pPr>
                                      <w:rPr>
                                        <w:rFonts w:ascii="Arial"/>
                                        <w:sz w:val="21"/>
                                      </w:rPr>
                                    </w:pPr>
                                  </w:p>
                                </w:tc>
                                <w:tc>
                                  <w:tcPr>
                                    <w:tcW w:w="537" w:type="dxa"/>
                                    <w:tcBorders>
                                      <w:left w:val="nil"/>
                                    </w:tcBorders>
                                    <w:vAlign w:val="top"/>
                                  </w:tcPr>
                                  <w:p w14:paraId="40254A44">
                                    <w:pPr>
                                      <w:rPr>
                                        <w:rFonts w:ascii="Arial"/>
                                        <w:sz w:val="21"/>
                                      </w:rPr>
                                    </w:pPr>
                                  </w:p>
                                </w:tc>
                              </w:tr>
                            </w:tbl>
                            <w:p w14:paraId="7411E66C">
                              <w:pPr>
                                <w:rPr>
                                  <w:rFonts w:ascii="Arial"/>
                                  <w:sz w:val="21"/>
                                </w:rPr>
                              </w:pPr>
                            </w:p>
                          </w:txbxContent>
                        </v:textbox>
                      </v:shape>
                    </w:pict>
                  </w:r>
                  <w:r>
                    <w:pict>
                      <v:shape id="_x0000_s1052" o:spid="_x0000_s1052" o:spt="202" type="#_x0000_t202" style="position:absolute;left:0pt;margin-left:361.7pt;margin-top:28.2pt;height:23.25pt;width:28.25pt;mso-position-horizontal-relative:page;mso-position-vertical-relative:page;z-index:251703296;mso-width-relative:page;mso-height-relative:page;" filled="f" stroked="f" coordsize="21600,21600">
                        <v:path/>
                        <v:fill on="f" focussize="0,0"/>
                        <v:stroke on="f"/>
                        <v:imagedata o:title=""/>
                        <o:lock v:ext="edit" aspectratio="f"/>
                        <v:textbox inset="0mm,0mm,0mm,0mm">
                          <w:txbxContent>
                            <w:p w14:paraId="2A92C595">
                              <w:pPr>
                                <w:pStyle w:val="6"/>
                                <w:spacing w:before="20" w:line="249" w:lineRule="auto"/>
                                <w:ind w:left="20" w:right="20"/>
                                <w:rPr>
                                  <w:sz w:val="17"/>
                                  <w:szCs w:val="17"/>
                                </w:rPr>
                              </w:pPr>
                              <w:r>
                                <w:rPr>
                                  <w:rFonts w:ascii="Times New Roman" w:hAnsi="Times New Roman" w:eastAsia="Times New Roman" w:cs="Times New Roman"/>
                                  <w:spacing w:val="4"/>
                                  <w:sz w:val="18"/>
                                  <w:szCs w:val="18"/>
                                </w:rPr>
                                <w:t>220</w:t>
                              </w:r>
                              <w:r>
                                <w:rPr>
                                  <w:rFonts w:ascii="Times New Roman" w:hAnsi="Times New Roman" w:eastAsia="Times New Roman" w:cs="Times New Roman"/>
                                  <w:sz w:val="18"/>
                                  <w:szCs w:val="18"/>
                                </w:rPr>
                                <w:t>kV</w:t>
                              </w:r>
                              <w:r>
                                <w:rPr>
                                  <w:spacing w:val="4"/>
                                  <w:sz w:val="17"/>
                                  <w:szCs w:val="17"/>
                                </w:rPr>
                                <w:t>芳华变</w:t>
                              </w:r>
                            </w:p>
                          </w:txbxContent>
                        </v:textbox>
                      </v:shape>
                    </w:pict>
                  </w:r>
                  <w:r>
                    <w:pict>
                      <v:shape id="_x0000_s1053" o:spid="_x0000_s1053" style="position:absolute;left:0pt;margin-left:123.75pt;margin-top:65.45pt;height:57.4pt;width:42pt;mso-position-horizontal-relative:page;mso-position-vertical-relative:page;z-index:251677696;mso-width-relative:page;mso-height-relative:page;" filled="f" stroked="t" coordsize="840,1148" path="m0,0l0,1147,839,1147,839,0,0,0e">
                        <v:fill on="f" focussize="0,0"/>
                        <v:stroke weight="0.25pt" color="#000000" miterlimit="0" joinstyle="miter"/>
                        <v:imagedata o:title=""/>
                        <o:lock v:ext="edit"/>
                      </v:shape>
                    </w:pict>
                  </w:r>
                  <w:r>
                    <w:pict>
                      <v:shape id="_x0000_s1054" o:spid="_x0000_s1054" style="position:absolute;left:0pt;margin-left:24.65pt;margin-top:65.9pt;height:57.1pt;width:46.55pt;mso-position-horizontal-relative:page;mso-position-vertical-relative:page;z-index:251705344;mso-width-relative:page;mso-height-relative:page;" filled="f" stroked="t" coordsize="930,1141" path="m0,0l0,1141,930,1141,930,0,0,0e">
                        <v:fill on="f" focussize="0,0"/>
                        <v:stroke weight="0.25pt" color="#000000" miterlimit="0" joinstyle="miter"/>
                        <v:imagedata o:title=""/>
                        <o:lock v:ext="edit"/>
                      </v:shape>
                    </w:pict>
                  </w:r>
                  <w:r>
                    <w:pict>
                      <v:shape id="_x0000_s1055" o:spid="_x0000_s1055" style="position:absolute;left:0pt;margin-left:79.1pt;margin-top:65.9pt;height:56.95pt;width:31.55pt;mso-position-horizontal-relative:page;mso-position-vertical-relative:page;z-index:251678720;mso-width-relative:page;mso-height-relative:page;" filled="f" stroked="t" coordsize="630,1139" path="m0,0l0,1138,630,1138,630,0,0,0e">
                        <v:fill on="f" focussize="0,0"/>
                        <v:stroke weight="0.25pt" color="#000000" miterlimit="0" joinstyle="miter"/>
                        <v:imagedata o:title=""/>
                        <o:lock v:ext="edit"/>
                      </v:shape>
                    </w:pict>
                  </w:r>
                  <w:r>
                    <w:pict>
                      <v:shape id="_x0000_s1056" o:spid="_x0000_s1056" o:spt="202" type="#_x0000_t202" style="position:absolute;left:0pt;margin-left:372.75pt;margin-top:88.3pt;height:55.35pt;width:43.5pt;mso-position-horizontal-relative:page;mso-position-vertical-relative:page;z-index:251702272;mso-width-relative:page;mso-height-relative:page;" filled="f" stroked="f" coordsize="21600,21600">
                        <v:path/>
                        <v:fill on="f" focussize="0,0"/>
                        <v:stroke on="f"/>
                        <v:imagedata o:title=""/>
                        <o:lock v:ext="edit" aspectratio="f"/>
                        <v:textbox inset="0mm,0mm,0mm,0mm">
                          <w:txbxContent>
                            <w:p w14:paraId="2D24F9EF">
                              <w:pPr>
                                <w:pStyle w:val="6"/>
                                <w:spacing w:before="19" w:line="235" w:lineRule="auto"/>
                                <w:ind w:left="20"/>
                                <w:rPr>
                                  <w:sz w:val="11"/>
                                  <w:szCs w:val="11"/>
                                </w:rPr>
                              </w:pPr>
                              <w:r>
                                <w:rPr>
                                  <w:spacing w:val="8"/>
                                  <w:sz w:val="11"/>
                                  <w:szCs w:val="11"/>
                                </w:rPr>
                                <w:t>双回线路长</w:t>
                              </w:r>
                            </w:p>
                            <w:p w14:paraId="1F159089">
                              <w:pPr>
                                <w:pStyle w:val="6"/>
                                <w:spacing w:before="17" w:line="265" w:lineRule="auto"/>
                                <w:ind w:left="20" w:right="20"/>
                                <w:rPr>
                                  <w:sz w:val="11"/>
                                  <w:szCs w:val="11"/>
                                </w:rPr>
                              </w:pPr>
                              <w:r>
                                <w:rPr>
                                  <w:spacing w:val="7"/>
                                  <w:sz w:val="11"/>
                                  <w:szCs w:val="11"/>
                                </w:rPr>
                                <w:t>6.36</w:t>
                              </w:r>
                              <w:r>
                                <w:rPr>
                                  <w:sz w:val="11"/>
                                  <w:szCs w:val="11"/>
                                </w:rPr>
                                <w:t>km</w:t>
                              </w:r>
                              <w:r>
                                <w:rPr>
                                  <w:spacing w:val="7"/>
                                  <w:sz w:val="11"/>
                                  <w:szCs w:val="11"/>
                                </w:rPr>
                                <w:t>（单边挂</w:t>
                              </w:r>
                              <w:r>
                                <w:rPr>
                                  <w:spacing w:val="1"/>
                                  <w:sz w:val="11"/>
                                  <w:szCs w:val="11"/>
                                </w:rPr>
                                <w:t>线）</w:t>
                              </w:r>
                            </w:p>
                            <w:p w14:paraId="7CF9A850">
                              <w:pPr>
                                <w:spacing w:line="314" w:lineRule="auto"/>
                                <w:rPr>
                                  <w:rFonts w:ascii="Arial"/>
                                  <w:sz w:val="21"/>
                                </w:rPr>
                              </w:pPr>
                            </w:p>
                            <w:p w14:paraId="2F7F8FD8">
                              <w:pPr>
                                <w:spacing w:before="28" w:line="224" w:lineRule="auto"/>
                                <w:ind w:left="400" w:right="302" w:firstLine="113"/>
                                <w:rPr>
                                  <w:rFonts w:ascii="Arial" w:hAnsi="Arial" w:eastAsia="Arial" w:cs="Arial"/>
                                  <w:sz w:val="15"/>
                                  <w:szCs w:val="15"/>
                                </w:rPr>
                              </w:pPr>
                              <w:r>
                                <w:rPr>
                                  <w:rFonts w:ascii="Arial" w:hAnsi="Arial" w:eastAsia="Arial" w:cs="Arial"/>
                                  <w:spacing w:val="14"/>
                                  <w:w w:val="140"/>
                                  <w:sz w:val="10"/>
                                  <w:szCs w:val="10"/>
                                </w:rPr>
                                <w:t>/</w:t>
                              </w:r>
                              <w:r>
                                <w:rPr>
                                  <w:rFonts w:ascii="Arial" w:hAnsi="Arial" w:eastAsia="Arial" w:cs="Arial"/>
                                  <w:sz w:val="10"/>
                                  <w:szCs w:val="10"/>
                                </w:rPr>
                                <w:t xml:space="preserve"> </w:t>
                              </w:r>
                              <w:r>
                                <w:rPr>
                                  <w:rFonts w:ascii="Arial" w:hAnsi="Arial" w:eastAsia="Arial" w:cs="Arial"/>
                                  <w:spacing w:val="20"/>
                                  <w:w w:val="134"/>
                                  <w:sz w:val="15"/>
                                  <w:szCs w:val="15"/>
                                </w:rPr>
                                <w:t>/</w:t>
                              </w:r>
                            </w:p>
                          </w:txbxContent>
                        </v:textbox>
                      </v:shape>
                    </w:pict>
                  </w:r>
                  <w:r>
                    <w:pict>
                      <v:shape id="_x0000_s1057" o:spid="_x0000_s1057" o:spt="202" type="#_x0000_t202" style="position:absolute;left:0pt;margin-left:222.55pt;margin-top:98.9pt;height:10.15pt;width:125.05pt;mso-position-horizontal-relative:page;mso-position-vertical-relative:page;z-index:251701248;mso-width-relative:page;mso-height-relative:page;" filled="f" stroked="f" coordsize="21600,21600">
                        <v:path/>
                        <v:fill on="f" focussize="0,0"/>
                        <v:stroke on="f"/>
                        <v:imagedata o:title=""/>
                        <o:lock v:ext="edit" aspectratio="f"/>
                        <v:textbox inset="0mm,0mm,0mm,0mm">
                          <w:txbxContent>
                            <w:p w14:paraId="21C554BA">
                              <w:pPr>
                                <w:pStyle w:val="6"/>
                                <w:spacing w:before="20" w:line="230" w:lineRule="auto"/>
                                <w:ind w:left="20"/>
                                <w:rPr>
                                  <w:sz w:val="13"/>
                                  <w:szCs w:val="13"/>
                                </w:rPr>
                              </w:pPr>
                              <w:r>
                                <w:rPr>
                                  <w:spacing w:val="5"/>
                                  <w:sz w:val="13"/>
                                  <w:szCs w:val="13"/>
                                </w:rPr>
                                <w:t>单、双回混合架设，全长2×6.36+3.89</w:t>
                              </w:r>
                              <w:r>
                                <w:rPr>
                                  <w:sz w:val="13"/>
                                  <w:szCs w:val="13"/>
                                </w:rPr>
                                <w:t>km</w:t>
                              </w:r>
                            </w:p>
                          </w:txbxContent>
                        </v:textbox>
                      </v:shape>
                    </w:pict>
                  </w:r>
                  <w:r>
                    <w:pict>
                      <v:shape id="_x0000_s1058" o:spid="_x0000_s1058" o:spt="202" type="#_x0000_t202" style="position:absolute;left:0pt;margin-left:228.4pt;margin-top:138.65pt;height:10.1pt;width:70.25pt;mso-position-horizontal-relative:page;mso-position-vertical-relative:page;z-index:251700224;mso-width-relative:page;mso-height-relative:page;" filled="f" stroked="f" coordsize="21600,21600">
                        <v:path/>
                        <v:fill on="f" focussize="0,0"/>
                        <v:stroke on="f"/>
                        <v:imagedata o:title=""/>
                        <o:lock v:ext="edit" aspectratio="f"/>
                        <v:textbox inset="0mm,0mm,0mm,0mm">
                          <w:txbxContent>
                            <w:p w14:paraId="6C1B9C49">
                              <w:pPr>
                                <w:pStyle w:val="6"/>
                                <w:spacing w:before="19" w:line="230" w:lineRule="auto"/>
                                <w:ind w:left="20"/>
                                <w:rPr>
                                  <w:sz w:val="13"/>
                                  <w:szCs w:val="13"/>
                                </w:rPr>
                              </w:pPr>
                              <w:r>
                                <w:rPr>
                                  <w:spacing w:val="5"/>
                                  <w:sz w:val="13"/>
                                  <w:szCs w:val="13"/>
                                </w:rPr>
                                <w:t>单回路架设，长5.78</w:t>
                              </w:r>
                              <w:r>
                                <w:rPr>
                                  <w:sz w:val="13"/>
                                  <w:szCs w:val="13"/>
                                </w:rPr>
                                <w:t>km</w:t>
                              </w:r>
                            </w:p>
                          </w:txbxContent>
                        </v:textbox>
                      </v:shape>
                    </w:pict>
                  </w:r>
                  <w:r>
                    <w:pict>
                      <v:shape id="_x0000_s1059" o:spid="_x0000_s1059" o:spt="202" type="#_x0000_t202" style="position:absolute;left:0pt;margin-left:367.15pt;margin-top:144.4pt;height:37.05pt;width:27pt;mso-position-horizontal-relative:page;mso-position-vertical-relative:page;z-index:251699200;mso-width-relative:page;mso-height-relative:page;" filled="f" stroked="f" coordsize="21600,21600">
                        <v:path/>
                        <v:fill on="f" focussize="0,0"/>
                        <v:stroke on="f"/>
                        <v:imagedata o:title=""/>
                        <o:lock v:ext="edit" aspectratio="f"/>
                        <v:textbox inset="0mm,0mm,0mm,0mm">
                          <w:txbxContent>
                            <w:p w14:paraId="2C64ED3D">
                              <w:pPr>
                                <w:spacing w:before="19" w:line="222" w:lineRule="auto"/>
                                <w:ind w:left="284" w:right="65" w:firstLine="113"/>
                                <w:rPr>
                                  <w:rFonts w:ascii="Arial" w:hAnsi="Arial" w:eastAsia="Arial" w:cs="Arial"/>
                                  <w:sz w:val="15"/>
                                  <w:szCs w:val="15"/>
                                </w:rPr>
                              </w:pPr>
                              <w:r>
                                <w:rPr>
                                  <w:rFonts w:ascii="Arial" w:hAnsi="Arial" w:eastAsia="Arial" w:cs="Arial"/>
                                  <w:spacing w:val="20"/>
                                  <w:w w:val="133"/>
                                  <w:sz w:val="15"/>
                                  <w:szCs w:val="15"/>
                                </w:rPr>
                                <w:t>/</w:t>
                              </w:r>
                              <w:r>
                                <w:rPr>
                                  <w:rFonts w:ascii="Arial" w:hAnsi="Arial" w:eastAsia="Arial" w:cs="Arial"/>
                                  <w:sz w:val="15"/>
                                  <w:szCs w:val="15"/>
                                </w:rPr>
                                <w:t xml:space="preserve"> </w:t>
                              </w:r>
                              <w:r>
                                <w:rPr>
                                  <w:rFonts w:ascii="Arial" w:hAnsi="Arial" w:eastAsia="Arial" w:cs="Arial"/>
                                  <w:spacing w:val="20"/>
                                  <w:w w:val="133"/>
                                  <w:sz w:val="15"/>
                                  <w:szCs w:val="15"/>
                                </w:rPr>
                                <w:t>/</w:t>
                              </w:r>
                            </w:p>
                            <w:p w14:paraId="0C015196">
                              <w:pPr>
                                <w:pStyle w:val="6"/>
                                <w:spacing w:before="205" w:line="177" w:lineRule="exact"/>
                                <w:ind w:left="20"/>
                                <w:rPr>
                                  <w:sz w:val="14"/>
                                  <w:szCs w:val="14"/>
                                </w:rPr>
                              </w:pPr>
                              <w:r>
                                <w:rPr>
                                  <w:rFonts w:ascii="Arial" w:hAnsi="Arial" w:eastAsia="Arial" w:cs="Arial"/>
                                  <w:spacing w:val="12"/>
                                  <w:position w:val="2"/>
                                </w:rPr>
                                <w:t>/</w:t>
                              </w:r>
                              <w:r>
                                <w:rPr>
                                  <w:rFonts w:ascii="Arial" w:hAnsi="Arial" w:eastAsia="Arial" w:cs="Arial"/>
                                  <w:spacing w:val="-11"/>
                                  <w:position w:val="2"/>
                                </w:rPr>
                                <w:t xml:space="preserve"> </w:t>
                              </w:r>
                              <w:r>
                                <w:rPr>
                                  <w:spacing w:val="12"/>
                                  <w:position w:val="-2"/>
                                  <w:sz w:val="14"/>
                                  <w:szCs w:val="14"/>
                                </w:rPr>
                                <w:t>T接点</w:t>
                              </w:r>
                            </w:p>
                          </w:txbxContent>
                        </v:textbox>
                      </v:shape>
                    </w:pict>
                  </w:r>
                  <w:r>
                    <w:pict>
                      <v:group id="_x0000_s1060" o:spid="_x0000_s1060" o:spt="203" style="position:absolute;left:0pt;margin-left:233.15pt;margin-top:177.65pt;height:18.65pt;width:80.45pt;mso-position-horizontal-relative:page;mso-position-vertical-relative:page;z-index:251710464;mso-width-relative:page;mso-height-relative:page;" coordsize="1608,372">
                        <o:lock v:ext="edit"/>
                        <v:group id="_x0000_s1061" o:spid="_x0000_s1061" o:spt="203" style="position:absolute;left:0;top:0;height:372;width:1608;" coordsize="1608,372">
                          <o:lock v:ext="edit"/>
                          <v:shape id="_x0000_s1062" o:spid="_x0000_s1062" style="position:absolute;left:0;top:0;height:372;width:1608;" filled="f" stroked="t" coordsize="1608,372" path="m1,1l1607,1,1607,371,1,371,1,1xe">
                            <v:fill on="f" focussize="0,0"/>
                            <v:stroke weight="0.12pt" color="#000000" miterlimit="2" endcap="round"/>
                            <v:imagedata o:title=""/>
                            <o:lock v:ext="edit"/>
                          </v:shape>
                          <v:shape id="_x0000_s1063" o:spid="_x0000_s1063" style="position:absolute;left:402;top:101;height:153;width:850;" filled="f" stroked="t" coordsize="850,153" path="m0,153l0,0,102,0m0,76l51,76m0,153l102,153m373,153l450,153,475,128,475,102,450,76,399,76m450,76l475,51,475,25,450,0,373,0m399,0l399,153m746,153l746,0m849,153l849,0e">
                            <v:fill on="f" focussize="0,0"/>
                            <v:stroke weight="0pt" color="#000000" miterlimit="0" endcap="round"/>
                            <v:imagedata o:title=""/>
                            <o:lock v:ext="edit"/>
                          </v:shape>
                        </v:group>
                        <v:shape id="_x0000_s1064" o:spid="_x0000_s1064" o:spt="202" type="#_x0000_t202" style="position:absolute;left:-20;top:-20;height:470;width:1648;" filled="f" stroked="f" coordsize="21600,21600">
                          <v:path/>
                          <v:fill on="f" focussize="0,0"/>
                          <v:stroke on="f"/>
                          <v:imagedata o:title=""/>
                          <o:lock v:ext="edit" aspectratio="f"/>
                          <v:textbox inset="0mm,0mm,0mm,0mm">
                            <w:txbxContent>
                              <w:p w14:paraId="3D497684">
                                <w:pPr>
                                  <w:pStyle w:val="6"/>
                                  <w:spacing w:before="228" w:line="108" w:lineRule="exact"/>
                                  <w:ind w:left="599"/>
                                  <w:rPr>
                                    <w:sz w:val="21"/>
                                    <w:szCs w:val="21"/>
                                  </w:rPr>
                                </w:pPr>
                                <w:r>
                                  <w:rPr>
                                    <w:spacing w:val="-11"/>
                                    <w:position w:val="1"/>
                                    <w:sz w:val="21"/>
                                    <w:szCs w:val="21"/>
                                  </w:rPr>
                                  <w:t>、</w:t>
                                </w:r>
                                <w:r>
                                  <w:rPr>
                                    <w:spacing w:val="57"/>
                                    <w:position w:val="1"/>
                                    <w:sz w:val="21"/>
                                    <w:szCs w:val="21"/>
                                  </w:rPr>
                                  <w:t xml:space="preserve"> </w:t>
                                </w:r>
                                <w:r>
                                  <w:rPr>
                                    <w:spacing w:val="-11"/>
                                    <w:position w:val="1"/>
                                    <w:sz w:val="21"/>
                                    <w:szCs w:val="21"/>
                                  </w:rPr>
                                  <w:t>、</w:t>
                                </w:r>
                              </w:p>
                            </w:txbxContent>
                          </v:textbox>
                        </v:shape>
                      </v:group>
                    </w:pict>
                  </w:r>
                  <w:r>
                    <w:pict>
                      <v:shape id="_x0000_s1065" o:spid="_x0000_s1065" o:spt="202" type="#_x0000_t202" style="position:absolute;left:0pt;margin-left:354.3pt;margin-top:186.4pt;height:7.3pt;width:6.3pt;mso-position-horizontal-relative:page;mso-position-vertical-relative:page;z-index:251698176;mso-width-relative:page;mso-height-relative:page;" filled="f" stroked="f" coordsize="21600,21600">
                        <v:path/>
                        <v:fill on="f" focussize="0,0"/>
                        <v:stroke on="f"/>
                        <v:imagedata o:title=""/>
                        <o:lock v:ext="edit" aspectratio="f"/>
                        <v:textbox inset="0mm,0mm,0mm,0mm">
                          <w:txbxContent>
                            <w:p w14:paraId="0E6AD90F">
                              <w:pPr>
                                <w:spacing w:before="19" w:line="157" w:lineRule="auto"/>
                                <w:ind w:left="20"/>
                                <w:rPr>
                                  <w:rFonts w:ascii="Arial" w:hAnsi="Arial" w:eastAsia="Arial" w:cs="Arial"/>
                                  <w:sz w:val="14"/>
                                  <w:szCs w:val="14"/>
                                </w:rPr>
                              </w:pPr>
                              <w:r>
                                <w:rPr>
                                  <w:rFonts w:ascii="Arial" w:hAnsi="Arial" w:eastAsia="Arial" w:cs="Arial"/>
                                  <w:spacing w:val="27"/>
                                  <w:w w:val="150"/>
                                  <w:sz w:val="14"/>
                                  <w:szCs w:val="14"/>
                                </w:rPr>
                                <w:t>/</w:t>
                              </w:r>
                            </w:p>
                          </w:txbxContent>
                        </v:textbox>
                      </v:shape>
                    </w:pict>
                  </w:r>
                  <w:r>
                    <w:pict>
                      <v:shape id="_x0000_s1066" o:spid="_x0000_s1066" o:spt="202" type="#_x0000_t202" style="position:absolute;left:0pt;margin-left:329.95pt;margin-top:194.3pt;height:16.3pt;width:72.3pt;mso-position-horizontal-relative:page;mso-position-vertical-relative:page;z-index:251697152;mso-width-relative:page;mso-height-relative:page;" filled="f" stroked="f" coordsize="21600,21600">
                        <v:path/>
                        <v:fill on="f" focussize="0,0"/>
                        <v:stroke on="f"/>
                        <v:imagedata o:title=""/>
                        <o:lock v:ext="edit" aspectratio="f"/>
                        <v:textbox inset="0mm,0mm,0mm,0mm">
                          <w:txbxContent>
                            <w:p w14:paraId="642519C5">
                              <w:pPr>
                                <w:spacing w:before="20" w:line="166" w:lineRule="auto"/>
                                <w:ind w:left="418"/>
                                <w:rPr>
                                  <w:rFonts w:ascii="Arial" w:hAnsi="Arial" w:eastAsia="Arial" w:cs="Arial"/>
                                  <w:sz w:val="7"/>
                                  <w:szCs w:val="7"/>
                                </w:rPr>
                              </w:pPr>
                              <w:r>
                                <w:rPr>
                                  <w:rFonts w:ascii="Arial" w:hAnsi="Arial" w:eastAsia="Arial" w:cs="Arial"/>
                                  <w:spacing w:val="15"/>
                                  <w:w w:val="157"/>
                                  <w:sz w:val="7"/>
                                  <w:szCs w:val="7"/>
                                </w:rPr>
                                <w:t>/</w:t>
                              </w:r>
                            </w:p>
                            <w:p w14:paraId="23E67548">
                              <w:pPr>
                                <w:pStyle w:val="6"/>
                                <w:spacing w:before="54" w:line="231" w:lineRule="auto"/>
                                <w:ind w:left="20"/>
                                <w:rPr>
                                  <w:sz w:val="14"/>
                                  <w:szCs w:val="14"/>
                                </w:rPr>
                              </w:pPr>
                              <w:r>
                                <w:rPr>
                                  <w:spacing w:val="7"/>
                                  <w:sz w:val="14"/>
                                  <w:szCs w:val="14"/>
                                </w:rPr>
                                <w:t>芳华至吉冲110</w:t>
                              </w:r>
                              <w:r>
                                <w:rPr>
                                  <w:sz w:val="14"/>
                                  <w:szCs w:val="14"/>
                                </w:rPr>
                                <w:t>kV</w:t>
                              </w:r>
                              <w:r>
                                <w:rPr>
                                  <w:spacing w:val="7"/>
                                  <w:sz w:val="14"/>
                                  <w:szCs w:val="14"/>
                                </w:rPr>
                                <w:t>线路</w:t>
                              </w:r>
                            </w:p>
                          </w:txbxContent>
                        </v:textbox>
                      </v:shape>
                    </w:pict>
                  </w:r>
                  <w:r>
                    <w:pict>
                      <v:shape id="_x0000_s1067" o:spid="_x0000_s1067" style="position:absolute;left:0pt;margin-left:367.65pt;margin-top:67.25pt;height:9.8pt;width:18.5pt;mso-position-horizontal-relative:page;mso-position-vertical-relative:page;z-index:251713536;mso-width-relative:page;mso-height-relative:page;" filled="f" stroked="t" coordsize="370,196" path="m369,0l369,68m369,68l218,68m150,68l0,68,0,0m131,115l221,164m121,146l211,195e">
                        <v:fill on="f" focussize="0,0"/>
                        <v:stroke weight="0pt" color="#000000" miterlimit="0" endcap="round"/>
                        <v:imagedata o:title=""/>
                        <o:lock v:ext="edit"/>
                      </v:shape>
                    </w:pict>
                  </w:r>
                  <w:r>
                    <w:pict>
                      <v:shape id="_x0000_s1068" o:spid="_x0000_s1068" style="position:absolute;left:0pt;margin-left:216.95pt;margin-top:108.4pt;height:4.05pt;width:150.2pt;mso-position-horizontal-relative:page;mso-position-vertical-relative:page;z-index:251714560;mso-width-relative:page;mso-height-relative:page;" filled="f" stroked="t" coordsize="3003,81" path="m0,75l2926,75m2913,0l3003,49m2902,30l2993,80e">
                        <v:fill on="f" focussize="0,0"/>
                        <v:stroke weight="0pt" color="#000000" miterlimit="0" endcap="round"/>
                        <v:imagedata o:title=""/>
                        <o:lock v:ext="edit"/>
                      </v:shape>
                    </w:pict>
                  </w:r>
                  <w:r>
                    <w:pict>
                      <v:group id="_x0000_s1069" o:spid="_x0000_s1069" o:spt="203" style="position:absolute;left:0pt;margin-left:269.2pt;margin-top:111.85pt;height:64.45pt;width:2.85pt;mso-position-horizontal-relative:page;mso-position-vertical-relative:page;z-index:251711488;mso-width-relative:page;mso-height-relative:page;" coordsize="56,1288">
                        <o:lock v:ext="edit"/>
                        <v:shape id="_x0000_s1070" o:spid="_x0000_s1070" style="position:absolute;left:1;top:1106;height:181;width:55;" filled="f" stroked="t" coordsize="55,181" path="m28,0l28,180,0,0m0,0l28,0,54,0,28,180m28,180l28,0e">
                          <v:fill on="f" focussize="0,0"/>
                          <v:stroke weight="0pt" color="#000000" miterlimit="0" endcap="round"/>
                          <v:imagedata o:title=""/>
                          <o:lock v:ext="edit"/>
                        </v:shape>
                        <v:shape id="_x0000_s1071" o:spid="_x0000_s1071" style="position:absolute;left:1;top:1106;height:181;width:55;" fillcolor="#000000" filled="t" stroked="f" coordsize="55,181" path="m0,0l28,0,0,0em28,0l54,0,28,0em28,0l54,0,28,180,28,0em54,0l28,180,54,0em0,0l28,0,28,180,0,0em28,0l28,180,28,0e">
                          <v:fill on="t" focussize="0,0"/>
                          <v:stroke on="f"/>
                          <v:imagedata o:title=""/>
                          <o:lock v:ext="edit"/>
                        </v:shape>
                        <v:shape id="_x0000_s1072" o:spid="_x0000_s1072" style="position:absolute;left:0;top:1105;height:182;width:56;" filled="f" stroked="t" coordsize="56,182" path="m1,1l29,1,29,181,1,1m29,181l29,1,55,1,29,181e">
                          <v:fill on="f" focussize="0,0"/>
                          <v:stroke weight="0.12pt" color="#000000" miterlimit="2" endcap="round"/>
                          <v:imagedata o:title=""/>
                          <o:lock v:ext="edit"/>
                        </v:shape>
                        <v:shape id="_x0000_s1073" o:spid="_x0000_s1073" style="position:absolute;left:1;top:0;height:1288;width:55;" filled="f" stroked="t" coordsize="55,1288" path="m54,1106l28,1287m0,1106l28,1287m24,0l22,1125e">
                          <v:fill on="f" focussize="0,0"/>
                          <v:stroke weight="0pt" color="#000000" miterlimit="0" endcap="round"/>
                          <v:imagedata o:title=""/>
                          <o:lock v:ext="edit"/>
                        </v:shape>
                      </v:group>
                    </w:pict>
                  </w:r>
                  <w:r>
                    <w:pict>
                      <v:shape id="_x0000_s1074" o:spid="_x0000_s1074" style="position:absolute;left:0pt;margin-left:363.3pt;margin-top:70.65pt;height:41.75pt;width:15.3pt;mso-position-horizontal-relative:page;mso-position-vertical-relative:page;z-index:251712512;mso-width-relative:page;mso-height-relative:page;" filled="f" stroked="t" coordsize="306,835" path="m0,830l272,0m305,0l33,834e">
                        <v:fill on="f" focussize="0,0"/>
                        <v:stroke weight="0pt" color="#000000" miterlimit="0" endcap="round"/>
                        <v:imagedata o:title=""/>
                        <o:lock v:ext="edit"/>
                      </v:shape>
                    </w:pict>
                  </w:r>
                  <w:r>
                    <w:pict>
                      <v:shape id="_x0000_s1075" o:spid="_x0000_s1075" style="position:absolute;left:0pt;margin-left:344.35pt;margin-top:136.3pt;height:29.9pt;width:32.55pt;mso-position-horizontal-relative:page;mso-position-vertical-relative:page;z-index:-251639808;mso-width-relative:page;mso-height-relative:page;" filled="f" stroked="t" coordsize="650,597" path="m0,0l650,597e">
                        <v:fill on="f" focussize="0,0"/>
                        <v:stroke weight="0pt" color="#000000" miterlimit="0" endcap="round"/>
                        <v:imagedata o:title=""/>
                        <o:lock v:ext="edit"/>
                      </v:shape>
                    </w:pict>
                  </w:r>
                  <w:r>
                    <w:pict>
                      <v:shape id="_x0000_s1076" o:spid="_x0000_s1076" style="position:absolute;left:0pt;margin-left:367.65pt;margin-top:50.25pt;height:13.6pt;width:18.5pt;mso-position-horizontal-relative:page;mso-position-vertical-relative:page;z-index:251682816;mso-width-relative:page;mso-height-relative:page;" filled="f" stroked="t" coordsize="370,272" path="m369,0l369,68m369,136l369,271m0,271l0,136m0,68l0,0m0,0l150,0m218,0l369,0e">
                        <v:fill on="f" focussize="0,0"/>
                        <v:stroke weight="0pt" color="#000000" miterlimit="0" endcap="round"/>
                        <v:imagedata o:title=""/>
                        <o:lock v:ext="edit"/>
                      </v:shape>
                    </w:pict>
                  </w:r>
                  <w:r>
                    <w:pict>
                      <v:shape id="_x0000_s1077" o:spid="_x0000_s1077" style="position:absolute;left:0pt;margin-left:361.7pt;margin-top:179.5pt;height:5.25pt;width:4.3pt;mso-position-horizontal-relative:page;mso-position-vertical-relative:page;z-index:251691008;mso-width-relative:page;mso-height-relative:page;" filled="f" stroked="t" coordsize="86,105" path="m0,104l85,0e">
                        <v:fill on="f" focussize="0,0"/>
                        <v:stroke weight="0pt" color="#000000" miterlimit="0" endcap="round"/>
                        <v:imagedata o:title=""/>
                        <o:lock v:ext="edit"/>
                      </v:shape>
                    </w:pict>
                  </w:r>
                  <w:r>
                    <w:pict>
                      <v:shape id="_x0000_s1078" o:spid="_x0000_s1078" style="position:absolute;left:0pt;margin-left:290.6pt;margin-top:182.7pt;height:7.7pt;width:5.15pt;mso-position-horizontal-relative:page;mso-position-vertical-relative:page;z-index:251687936;mso-width-relative:page;mso-height-relative:page;" filled="f" stroked="t" coordsize="103,153" path="m0,0l102,153e">
                        <v:fill on="f" focussize="0,0"/>
                        <v:stroke weight="0pt" color="#000000" miterlimit="0" endcap="round"/>
                        <v:imagedata o:title=""/>
                        <o:lock v:ext="edit"/>
                      </v:shape>
                    </w:pict>
                  </w:r>
                  <w:r>
                    <w:pict>
                      <v:group id="_x0000_s1079" o:spid="_x0000_s1079" o:spt="203" style="position:absolute;left:0pt;margin-left:374.6pt;margin-top:162.3pt;height:6.75pt;width:4.95pt;mso-position-horizontal-relative:page;mso-position-vertical-relative:page;z-index:251688960;mso-width-relative:page;mso-height-relative:page;" coordsize="98,135">
                        <o:lock v:ext="edit"/>
                        <v:shape id="_x0000_s1080" o:spid="_x0000_s1080" style="position:absolute;left:0;top:0;height:135;width:98;" filled="f" stroked="t" coordsize="98,135" path="m0,134l0,134,45,78m45,78l98,0e">
                          <v:fill on="f" focussize="0,0"/>
                          <v:stroke weight="0pt" color="#000000" miterlimit="0" endcap="round"/>
                          <v:imagedata o:title=""/>
                          <o:lock v:ext="edit"/>
                        </v:shape>
                        <v:shape id="_x0000_s1081" o:spid="_x0000_s1081" style="position:absolute;left:8;top:37;height:88;width:88;" fillcolor="#000000" filled="t" stroked="f" coordsize="88,88" path="m40,0l47,0,40,0em40,0l47,0,31,1,40,0em47,0l31,1,56,1,47,0em31,1l56,1,24,4,31,1em56,1l24,4,63,4,56,1em24,4l63,4,17,8,24,4em63,4l17,8,70,8,63,4em17,8l70,8,11,14,17,8em70,8l11,14,76,14,70,8em11,14l76,14,6,20,11,14em76,14l6,20,81,20,76,14em6,20l81,20,3,27,6,20em81,20l3,27,84,27,81,20em3,27l84,27,0,35,3,27em84,27l0,35,87,35,84,27em0,35l87,35,0,43,0,35em87,35l0,43,88,43,87,35em0,43l88,43,0,51,0,43em88,43l0,51,87,51,88,43em0,51l87,51,3,59,0,51em87,51l3,59,84,59,87,51em3,59l84,59,6,67,3,59em84,59l6,67,81,67,84,59em6,67l81,67,11,73,6,67em81,67l11,73,76,73,81,67em11,73l76,73,17,78,11,73em76,73l17,78,70,78,76,73em17,78l70,78,24,82,17,78em70,78l24,82,63,82,70,78em24,82l63,82,31,86,24,82em63,82l31,86,56,86,63,82em40,87l47,87,40,87em31,86l56,86,40,87,31,86em56,86l40,87,47,87,56,86e">
                          <v:fill on="t" focussize="0,0"/>
                          <v:stroke on="f"/>
                          <v:imagedata o:title=""/>
                          <o:lock v:ext="edit"/>
                        </v:shape>
                        <v:shape id="_x0000_s1082" o:spid="_x0000_s1082" style="position:absolute;left:6;top:36;height:91;width:91;" filled="f" stroked="t" coordsize="91,91" path="m1,45l1,53,4,61,7,68,12,74,18,80,25,84,33,87,41,89,49,89,57,87,64,84,71,80,77,74,82,68,86,61,88,53,89,45,88,37,86,29,82,22,77,15,71,10,64,5,57,3,49,1,41,1,33,3,25,5,18,10,12,15,7,22,4,29,1,37,1,45m88,45l88,38,86,32,84,26,81,21,78,16,73,12,69,8,63,5,57,3,51,1,45,1,39,1,32,3,26,5,21,8,16,12,12,16,8,21,5,26,3,32,1,38,1,45,1,51,3,57,5,63,8,68,12,74,16,78,21,82,26,85,32,87,39,88,45,89,51,88,57,87,63,85,69,82,73,78,78,74,81,68,84,63,86,57,88,51,88,45e">
                          <v:fill on="f" focussize="0,0"/>
                          <v:stroke weight="0.12pt" color="#000000" miterlimit="2" endcap="round"/>
                          <v:imagedata o:title=""/>
                          <o:lock v:ext="edit"/>
                        </v:shape>
                      </v:group>
                    </w:pict>
                  </w:r>
                  <w:r>
                    <w:rPr>
                      <w:rFonts w:ascii="Times New Roman" w:hAnsi="Times New Roman" w:eastAsia="Times New Roman" w:cs="Times New Roman"/>
                      <w:spacing w:val="5"/>
                      <w:sz w:val="18"/>
                      <w:szCs w:val="18"/>
                    </w:rPr>
                    <w:t>110</w:t>
                  </w:r>
                  <w:r>
                    <w:rPr>
                      <w:rFonts w:ascii="Times New Roman" w:hAnsi="Times New Roman" w:eastAsia="Times New Roman" w:cs="Times New Roman"/>
                      <w:sz w:val="18"/>
                      <w:szCs w:val="18"/>
                    </w:rPr>
                    <w:t>kV</w:t>
                  </w:r>
                  <w:r>
                    <w:rPr>
                      <w:spacing w:val="5"/>
                      <w:sz w:val="17"/>
                      <w:szCs w:val="17"/>
                    </w:rPr>
                    <w:t>松山变电站</w:t>
                  </w:r>
                </w:p>
                <w:p w14:paraId="55039B54">
                  <w:pPr>
                    <w:spacing w:line="22" w:lineRule="exact"/>
                  </w:pPr>
                </w:p>
                <w:tbl>
                  <w:tblPr>
                    <w:tblStyle w:val="5"/>
                    <w:tblW w:w="4225" w:type="dxa"/>
                    <w:tblInd w:w="125"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4225"/>
                  </w:tblGrid>
                  <w:tr w14:paraId="4E164AD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463" w:hRule="atLeast"/>
                    </w:trPr>
                    <w:tc>
                      <w:tcPr>
                        <w:tcW w:w="4225" w:type="dxa"/>
                        <w:vAlign w:val="top"/>
                      </w:tcPr>
                      <w:p w14:paraId="3EDD9847">
                        <w:pPr>
                          <w:spacing w:line="326" w:lineRule="auto"/>
                          <w:rPr>
                            <w:rFonts w:ascii="Arial"/>
                            <w:sz w:val="21"/>
                          </w:rPr>
                        </w:pPr>
                        <w:r>
                          <w:pict>
                            <v:shape id="_x0000_s1083" o:spid="_x0000_s1083" style="position:absolute;left:0pt;margin-left:100pt;margin-top:14.7pt;height:8.6pt;width:5.7pt;mso-position-horizontal-relative:page;mso-position-vertical-relative:page;z-index:251686912;mso-width-relative:page;mso-height-relative:page;" filled="f" stroked="t" coordsize="113,172" path="m0,0l113,171e">
                              <v:fill on="f" focussize="0,0"/>
                              <v:stroke weight="0pt" color="#000000" miterlimit="0" endcap="round"/>
                              <v:imagedata o:title=""/>
                              <o:lock v:ext="edit"/>
                            </v:shape>
                          </w:pict>
                        </w:r>
                        <w:r>
                          <w:pict>
                            <v:shape id="_x0000_s1084" o:spid="_x0000_s1084" o:spt="202" type="#_x0000_t202" style="position:absolute;left:0pt;margin-left:78.45pt;margin-top:31.1pt;height:76.35pt;width:15.85pt;mso-position-horizontal-relative:page;mso-position-vertical-relative:page;z-index:251716608;mso-width-relative:page;mso-height-relative:page;" filled="f" stroked="f" coordsize="21600,21600">
                              <v:path/>
                              <v:fill on="f" focussize="0,0"/>
                              <v:stroke on="f"/>
                              <v:imagedata o:title=""/>
                              <o:lock v:ext="edit" aspectratio="f"/>
                              <v:textbox inset="0mm,0mm,0mm,0mm" style="layout-flow:vertical-ideographic;">
                                <w:txbxContent>
                                  <w:p w14:paraId="1E998BA3">
                                    <w:pPr>
                                      <w:pStyle w:val="6"/>
                                      <w:spacing w:before="19" w:line="216" w:lineRule="auto"/>
                                      <w:ind w:left="20"/>
                                      <w:rPr>
                                        <w:sz w:val="23"/>
                                        <w:szCs w:val="23"/>
                                      </w:rPr>
                                    </w:pPr>
                                    <w:r>
                                      <w:rPr>
                                        <w:position w:val="5"/>
                                        <w:sz w:val="23"/>
                                        <w:szCs w:val="23"/>
                                      </w:rPr>
                                      <w:drawing>
                                        <wp:inline distT="0" distB="0" distL="0" distR="0">
                                          <wp:extent cx="33655" cy="219075"/>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262"/>
                                                  <a:stretch>
                                                    <a:fillRect/>
                                                  </a:stretch>
                                                </pic:blipFill>
                                                <pic:spPr>
                                                  <a:xfrm>
                                                    <a:off x="0" y="0"/>
                                                    <a:ext cx="34137" cy="219696"/>
                                                  </a:xfrm>
                                                  <a:prstGeom prst="rect">
                                                    <a:avLst/>
                                                  </a:prstGeom>
                                                </pic:spPr>
                                              </pic:pic>
                                            </a:graphicData>
                                          </a:graphic>
                                        </wp:inline>
                                      </w:drawing>
                                    </w:r>
                                    <w:r>
                                      <w:rPr>
                                        <w:spacing w:val="-77"/>
                                        <w:sz w:val="23"/>
                                        <w:szCs w:val="23"/>
                                      </w:rPr>
                                      <w:t xml:space="preserve"> </w:t>
                                    </w:r>
                                    <w:r>
                                      <w:rPr>
                                        <w:spacing w:val="19"/>
                                        <w:sz w:val="23"/>
                                        <w:szCs w:val="23"/>
                                      </w:rPr>
                                      <w:t>主</w:t>
                                    </w:r>
                                    <w:r>
                                      <w:rPr>
                                        <w:spacing w:val="-59"/>
                                        <w:sz w:val="23"/>
                                        <w:szCs w:val="23"/>
                                      </w:rPr>
                                      <w:t xml:space="preserve"> </w:t>
                                    </w:r>
                                    <w:r>
                                      <w:rPr>
                                        <w:spacing w:val="19"/>
                                        <w:sz w:val="23"/>
                                        <w:szCs w:val="23"/>
                                      </w:rPr>
                                      <w:t>变</w:t>
                                    </w:r>
                                    <w:r>
                                      <w:rPr>
                                        <w:spacing w:val="-66"/>
                                        <w:sz w:val="23"/>
                                        <w:szCs w:val="23"/>
                                      </w:rPr>
                                      <w:t xml:space="preserve"> </w:t>
                                    </w:r>
                                    <w:r>
                                      <w:rPr>
                                        <w:spacing w:val="19"/>
                                        <w:sz w:val="23"/>
                                        <w:szCs w:val="23"/>
                                      </w:rPr>
                                      <w:t>压器</w:t>
                                    </w:r>
                                  </w:p>
                                </w:txbxContent>
                              </v:textbox>
                            </v:shape>
                          </w:pict>
                        </w:r>
                        <w:r>
                          <w:pict>
                            <v:shape id="_x0000_s1085" o:spid="_x0000_s1085" style="position:absolute;left:0pt;margin-left:6.55pt;margin-top:116.85pt;height:14.85pt;width:42pt;mso-position-horizontal-relative:page;mso-position-vertical-relative:page;z-index:251679744;mso-width-relative:page;mso-height-relative:page;" filled="f" stroked="t" coordsize="840,297" path="m1,1l838,1,838,294,1,294,1,1xe">
                              <v:fill on="f" focussize="0,0"/>
                              <v:stroke weight="0.12pt" color="#000000" miterlimit="2" endcap="round"/>
                              <v:imagedata o:title=""/>
                              <o:lock v:ext="edit"/>
                            </v:shape>
                          </w:pict>
                        </w:r>
                        <w:r>
                          <w:pict>
                            <v:shape id="_x0000_s1086" o:spid="_x0000_s1086" style="position:absolute;left:0pt;margin-left:5pt;margin-top:152.3pt;height:14.85pt;width:41.6pt;mso-position-horizontal-relative:page;mso-position-vertical-relative:page;z-index:251715584;mso-width-relative:page;mso-height-relative:page;" filled="f" stroked="t" coordsize="831,297" path="m1,1l830,1,830,294,1,294,1,1xe">
                              <v:fill on="f" focussize="0,0"/>
                              <v:stroke weight="0.12pt" color="#000000" miterlimit="2" endcap="round"/>
                              <v:imagedata o:title=""/>
                              <o:lock v:ext="edit"/>
                            </v:shape>
                          </w:pict>
                        </w:r>
                        <w:r>
                          <w:pict>
                            <v:group id="_x0000_s1087" o:spid="_x0000_s1087" o:spt="203" style="position:absolute;left:0pt;margin-left:105.7pt;margin-top:158.45pt;height:2.3pt;width:23.25pt;mso-position-horizontal-relative:page;mso-position-vertical-relative:page;z-index:251685888;mso-width-relative:page;mso-height-relative:page;" coordsize="465,45">
                              <o:lock v:ext="edit"/>
                              <v:shape id="_x0000_s1088" o:spid="_x0000_s1088" style="position:absolute;left:319;top:1;height:44;width:145;" filled="f" stroked="t" coordsize="145,44" path="m0,0l144,22m0,43l144,22m0,0l0,43m0,22l144,22,0,0m0,0l0,22,0,43,144,22m144,22l0,22e">
                                <v:fill on="f" focussize="0,0"/>
                                <v:stroke weight="0pt" color="#000000" miterlimit="0" endcap="round"/>
                                <v:imagedata o:title=""/>
                                <o:lock v:ext="edit"/>
                              </v:shape>
                              <v:shape id="_x0000_s1089" o:spid="_x0000_s1089" style="position:absolute;left:319;top:1;height:44;width:145;" fillcolor="#000000" filled="t" stroked="f" coordsize="145,44" path="m0,0l0,0,0,22,0,0em0,0l0,22,144,22,0,0em144,22l144,22,0,22,144,22em144,22l0,22,143,22,144,22em0,22l144,22,0,22em144,22l0,22,144,22em0,22l143,22,0,43,0,22em143,22l0,43,143,22e">
                                <v:fill on="t" focussize="0,0"/>
                                <v:stroke on="f"/>
                                <v:imagedata o:title=""/>
                                <o:lock v:ext="edit"/>
                              </v:shape>
                              <v:shape id="_x0000_s1090" o:spid="_x0000_s1090" style="position:absolute;left:317;top:0;height:45;width:146;" filled="f" stroked="t" coordsize="146,45" path="m1,1l1,23,145,23,1,1m145,23l1,23,1,44,145,23e">
                                <v:fill on="f" focussize="0,0"/>
                                <v:stroke weight="0.12pt" color="#000000" miterlimit="2" endcap="round"/>
                                <v:imagedata o:title=""/>
                                <o:lock v:ext="edit"/>
                              </v:shape>
                              <v:shape id="_x0000_s1091" o:spid="_x0000_s1091" style="position:absolute;left:0;top:23;height:1;width:464;" filled="f" stroked="t" coordsize="464,1" path="m0,0l463,0e">
                                <v:fill on="f" focussize="0,0"/>
                                <v:stroke weight="0pt" color="#000000" miterlimit="0" endcap="round"/>
                                <v:imagedata o:title=""/>
                                <o:lock v:ext="edit"/>
                              </v:shape>
                            </v:group>
                          </w:pict>
                        </w:r>
                        <w:r>
                          <w:pict>
                            <v:shape id="_x0000_s1092" o:spid="_x0000_s1092" style="position:absolute;left:0pt;margin-left:46.2pt;margin-top:166.9pt;height:21.55pt;width:22.8pt;mso-position-horizontal-relative:page;mso-position-vertical-relative:page;z-index:251681792;mso-width-relative:page;mso-height-relative:page;" filled="f" stroked="t" coordsize="455,430" path="m331,354l455,430m358,321l455,430m0,0l455,430e">
                              <v:fill on="f" focussize="0,0"/>
                              <v:stroke weight="0pt" color="#000000" miterlimit="0" endcap="round"/>
                              <v:imagedata o:title=""/>
                              <o:lock v:ext="edit"/>
                            </v:shape>
                          </w:pict>
                        </w:r>
                        <w:r>
                          <w:pict>
                            <v:group id="_x0000_s1093" o:spid="_x0000_s1093" o:spt="203" style="position:absolute;left:0pt;margin-left:62.7pt;margin-top:182.9pt;height:5.6pt;width:6.35pt;mso-position-horizontal-relative:page;mso-position-vertical-relative:page;z-index:251680768;mso-width-relative:page;mso-height-relative:page;" coordsize="126,111">
                              <o:lock v:ext="edit"/>
                              <v:shape id="_x0000_s1094" o:spid="_x0000_s1094" style="position:absolute;left:1;top:1;height:110;width:123;" filled="f" stroked="t" coordsize="123,110" path="m13,17l123,109,27,0m27,0l13,17,0,33,123,109m123,109l13,17e">
                                <v:fill on="f" focussize="0,0"/>
                                <v:stroke weight="0pt" color="#000000" miterlimit="0" endcap="round"/>
                                <v:imagedata o:title=""/>
                                <o:lock v:ext="edit"/>
                              </v:shape>
                              <v:shape id="_x0000_s1095" o:spid="_x0000_s1095" style="position:absolute;left:1;top:1;height:110;width:123;" fillcolor="#000000" filled="t" stroked="f" coordsize="123,110" path="m27,0l13,17,42,17,27,0em13,17l42,17,31,33,13,17em42,17l31,33,56,33,42,17em13,17l0,33,31,33,13,17em31,33l56,33,123,109,31,33em56,33l123,109,56,33em0,33l31,33,123,109,0,33em31,33l123,109,31,33e">
                                <v:fill on="t" focussize="0,0"/>
                                <v:stroke on="f"/>
                                <v:imagedata o:title=""/>
                                <o:lock v:ext="edit"/>
                              </v:shape>
                              <v:shape id="_x0000_s1096" o:spid="_x0000_s1096" style="position:absolute;left:0;top:0;height:111;width:126;" filled="f" stroked="t" coordsize="126,111" path="m28,1l14,18,125,110,28,1m125,110l14,18,1,34,125,110e">
                                <v:fill on="f" focussize="0,0"/>
                                <v:stroke weight="0.12pt" color="#000000" miterlimit="2" endcap="round"/>
                                <v:imagedata o:title=""/>
                                <o:lock v:ext="edit"/>
                              </v:shape>
                              <v:shape id="_x0000_s1097" o:spid="_x0000_s1097" style="position:absolute;left:1;top:1;height:34;width:27;" filled="f" stroked="t" coordsize="27,34" path="m27,0l0,33e">
                                <v:fill on="f" focussize="0,0"/>
                                <v:stroke weight="0pt" color="#000000" miterlimit="0" endcap="round"/>
                                <v:imagedata o:title=""/>
                                <o:lock v:ext="edit"/>
                              </v:shape>
                            </v:group>
                          </w:pict>
                        </w:r>
                        <w:r>
                          <w:pict>
                            <v:group id="_x0000_s1098" o:spid="_x0000_s1098" o:spt="203" style="position:absolute;left:0pt;margin-left:50.65pt;margin-top:210.4pt;height:3.65pt;width:39.45pt;mso-position-horizontal-relative:page;mso-position-vertical-relative:page;z-index:251684864;mso-width-relative:page;mso-height-relative:page;" coordsize="789,73">
                              <o:lock v:ext="edit"/>
                              <v:shape id="_x0000_s1099" o:spid="_x0000_s1099" style="position:absolute;left:0;top:1;height:70;width:788;" filled="f" stroked="t" coordsize="788,70" path="m0,37l787,36m552,0l787,36m552,70l787,36m552,0l552,70m552,36l787,36,552,0m552,0l552,36,552,70,787,36m787,36l552,36e">
                                <v:fill on="f" focussize="0,0"/>
                                <v:stroke weight="0pt" color="#000000" miterlimit="0" endcap="round"/>
                                <v:imagedata o:title=""/>
                                <o:lock v:ext="edit"/>
                              </v:shape>
                              <v:shape id="_x0000_s1100" o:spid="_x0000_s1100" style="position:absolute;left:552;top:1;height:70;width:235;" fillcolor="#000000" filled="t" stroked="f" coordsize="235,70" path="m0,0l0,0,0,36,0,0em0,0l0,36,234,36,0,0em234,36l234,36,0,36,234,36em234,36l0,36,232,36,234,36em0,36l234,36,0,36em234,36l0,36,234,36em0,36l232,36,0,70,0,36em232,36l0,70,232,36e">
                                <v:fill on="t" focussize="0,0"/>
                                <v:stroke on="f"/>
                                <v:imagedata o:title=""/>
                                <o:lock v:ext="edit"/>
                              </v:shape>
                              <v:shape id="_x0000_s1101" o:spid="_x0000_s1101" style="position:absolute;left:551;top:0;height:73;width:237;" filled="f" stroked="t" coordsize="237,73" path="m1,1l1,37,235,37,1,1m235,37l1,37,1,71,235,37e">
                                <v:fill on="f" focussize="0,0"/>
                                <v:stroke weight="0.12pt" color="#000000" miterlimit="2" endcap="round"/>
                                <v:imagedata o:title=""/>
                                <o:lock v:ext="edit"/>
                              </v:shape>
                            </v:group>
                          </w:pict>
                        </w:r>
                        <w:r>
                          <w:pict>
                            <v:group id="_x0000_s1102" o:spid="_x0000_s1102" o:spt="203" style="position:absolute;left:0pt;margin-left:123.4pt;margin-top:33.25pt;height:16.45pt;width:11.2pt;mso-position-horizontal-relative:page;mso-position-vertical-relative:page;z-index:251683840;mso-width-relative:page;mso-height-relative:page;" coordsize="223,329">
                              <o:lock v:ext="edit"/>
                              <v:shape id="_x0000_s1103" o:spid="_x0000_s1103" style="position:absolute;left:1;top:1;height:327;width:222;" filled="f" stroked="t" coordsize="222,327" path="m222,326l0,0m74,166l0,0m120,136l0,0m74,166l120,136m98,150l0,0,74,166m74,166l98,150,120,136,0,0m0,0l98,150e">
                                <v:fill on="f" focussize="0,0"/>
                                <v:stroke weight="0pt" color="#000000" miterlimit="0" endcap="round"/>
                                <v:imagedata o:title=""/>
                                <o:lock v:ext="edit"/>
                              </v:shape>
                              <v:shape id="_x0000_s1104" o:spid="_x0000_s1104" style="position:absolute;left:1;top:1;height:167;width:121;" fillcolor="#000000" filled="t" stroked="f" coordsize="121,167" path="m0,0l89,136,120,136,0,0em0,0l61,136,89,136,0,0em89,136l120,136,98,150,89,136em120,136l98,150,120,136em61,136l89,136,67,150,61,136em89,136l67,150,98,150,89,136em67,150l98,150,74,166,67,150em98,150l74,166,98,150e">
                                <v:fill on="t" focussize="0,0"/>
                                <v:stroke on="f"/>
                                <v:imagedata o:title=""/>
                                <o:lock v:ext="edit"/>
                              </v:shape>
                              <v:shape id="_x0000_s1105" o:spid="_x0000_s1105" style="position:absolute;left:0;top:0;height:168;width:123;" filled="f" stroked="t" coordsize="123,168" path="m76,167l99,151,1,1,76,167m1,1l99,151,121,137,1,1e">
                                <v:fill on="f" focussize="0,0"/>
                                <v:stroke weight="0.12pt" color="#000000" miterlimit="2" endcap="round"/>
                                <v:imagedata o:title=""/>
                                <o:lock v:ext="edit"/>
                              </v:shape>
                            </v:group>
                          </w:pict>
                        </w:r>
                      </w:p>
                      <w:p w14:paraId="08B58847">
                        <w:pPr>
                          <w:spacing w:line="326" w:lineRule="auto"/>
                          <w:rPr>
                            <w:rFonts w:ascii="Arial"/>
                            <w:sz w:val="21"/>
                          </w:rPr>
                        </w:pPr>
                      </w:p>
                      <w:p w14:paraId="01E71418">
                        <w:pPr>
                          <w:spacing w:line="346" w:lineRule="exact"/>
                          <w:ind w:firstLine="934"/>
                        </w:pPr>
                        <w:r>
                          <w:rPr>
                            <w:position w:val="-6"/>
                          </w:rPr>
                          <w:pict>
                            <v:group id="_x0000_s1106" o:spid="_x0000_s1106" o:spt="203" style="height:17.35pt;width:11.15pt;" coordsize="222,347">
                              <o:lock v:ext="edit"/>
                              <v:shape id="_x0000_s1107" o:spid="_x0000_s1107" style="position:absolute;left:100;top:1;height:166;width:121;" filled="f" stroked="t" coordsize="121,166" path="m23,151l120,0,0,136m0,136l23,151,45,165,120,0m120,0l23,151e">
                                <v:fill on="f" focussize="0,0"/>
                                <v:stroke weight="0pt" color="#000000" miterlimit="0" endcap="round"/>
                                <v:imagedata o:title=""/>
                                <o:lock v:ext="edit"/>
                              </v:shape>
                              <v:shape id="_x0000_s1108" o:spid="_x0000_s1108" style="position:absolute;left:100;top:1;height:166;width:121;" fillcolor="#000000" filled="t" stroked="f" coordsize="121,166" path="m120,0l33,136,58,136,120,0em120,0l0,136,33,136,120,0em33,136l58,136,23,151,33,136em58,136l23,151,51,151,58,136em0,136l33,136,23,151,0,136em33,136l23,151,33,136em23,151l51,151,45,165,23,151em51,151l45,165,51,151e">
                                <v:fill on="t" focussize="0,0"/>
                                <v:stroke on="f"/>
                                <v:imagedata o:title=""/>
                                <o:lock v:ext="edit"/>
                              </v:shape>
                              <v:shape id="_x0000_s1109" o:spid="_x0000_s1109" style="position:absolute;left:99;top:0;height:167;width:123;" filled="f" stroked="t" coordsize="123,167" path="m1,137l24,152,122,1,1,137m122,1l24,152,46,166,122,1e">
                                <v:fill on="f" focussize="0,0"/>
                                <v:stroke weight="0.12pt" color="#000000" miterlimit="2" endcap="round"/>
                                <v:imagedata o:title=""/>
                                <o:lock v:ext="edit"/>
                              </v:shape>
                              <v:shape id="_x0000_s1110" o:spid="_x0000_s1110" style="position:absolute;left:0;top:1;height:345;width:222;" filled="f" stroked="t" coordsize="222,345" path="m100,136l146,165m146,165l221,0m100,136l221,0m0,345l221,0e">
                                <v:fill on="f" focussize="0,0"/>
                                <v:stroke weight="0pt" color="#000000" miterlimit="0" endcap="round"/>
                                <v:imagedata o:title=""/>
                                <o:lock v:ext="edit"/>
                              </v:shape>
                              <w10:wrap type="none"/>
                              <w10:anchorlock/>
                            </v:group>
                          </w:pict>
                        </w:r>
                      </w:p>
                      <w:p w14:paraId="3A25E545">
                        <w:pPr>
                          <w:pStyle w:val="6"/>
                          <w:spacing w:before="165" w:line="194" w:lineRule="auto"/>
                          <w:ind w:left="413"/>
                        </w:pPr>
                        <w:r>
                          <w:pict>
                            <v:shape id="_x0000_s1111" o:spid="_x0000_s1111" o:spt="202" type="#_x0000_t202" style="position:absolute;left:0pt;margin-left:120.75pt;margin-top:5.25pt;height:43.8pt;width:37.3pt;z-index:251709440;mso-width-relative:page;mso-height-relative:page;" filled="f" stroked="f" coordsize="21600,21600">
                              <v:path/>
                              <v:fill on="f" focussize="0,0"/>
                              <v:stroke on="f"/>
                              <v:imagedata o:title=""/>
                              <o:lock v:ext="edit" aspectratio="f"/>
                              <v:textbox inset="0mm,0mm,0mm,0mm">
                                <w:txbxContent>
                                  <w:p w14:paraId="4EDE952F">
                                    <w:pPr>
                                      <w:pStyle w:val="6"/>
                                      <w:spacing w:before="20" w:line="231" w:lineRule="auto"/>
                                      <w:ind w:left="20" w:right="84"/>
                                      <w:rPr>
                                        <w:sz w:val="23"/>
                                        <w:szCs w:val="23"/>
                                      </w:rPr>
                                    </w:pPr>
                                    <w:r>
                                      <w:rPr>
                                        <w:rFonts w:ascii="Times New Roman" w:hAnsi="Times New Roman" w:eastAsia="Times New Roman" w:cs="Times New Roman"/>
                                        <w:spacing w:val="-3"/>
                                        <w:sz w:val="24"/>
                                        <w:szCs w:val="24"/>
                                      </w:rPr>
                                      <w:t>110kV</w:t>
                                    </w:r>
                                    <w:r>
                                      <w:rPr>
                                        <w:spacing w:val="3"/>
                                        <w:sz w:val="23"/>
                                        <w:szCs w:val="23"/>
                                      </w:rPr>
                                      <w:t>配电</w:t>
                                    </w:r>
                                  </w:p>
                                  <w:p w14:paraId="35F94BB0">
                                    <w:pPr>
                                      <w:pStyle w:val="6"/>
                                      <w:spacing w:line="226" w:lineRule="auto"/>
                                      <w:ind w:left="20"/>
                                      <w:rPr>
                                        <w:sz w:val="23"/>
                                        <w:szCs w:val="23"/>
                                      </w:rPr>
                                    </w:pPr>
                                    <w:r>
                                      <w:rPr>
                                        <w:spacing w:val="5"/>
                                        <w:sz w:val="23"/>
                                        <w:szCs w:val="23"/>
                                      </w:rPr>
                                      <w:t>装置区</w:t>
                                    </w:r>
                                  </w:p>
                                </w:txbxContent>
                              </v:textbox>
                            </v:shape>
                          </w:pict>
                        </w:r>
                        <w:r>
                          <w:rPr>
                            <w:rFonts w:ascii="Times New Roman" w:hAnsi="Times New Roman" w:eastAsia="Times New Roman" w:cs="Times New Roman"/>
                            <w:spacing w:val="1"/>
                            <w:sz w:val="21"/>
                            <w:szCs w:val="21"/>
                          </w:rPr>
                          <w:t>35</w:t>
                        </w:r>
                        <w:r>
                          <w:rPr>
                            <w:rFonts w:ascii="Times New Roman" w:hAnsi="Times New Roman" w:eastAsia="Times New Roman" w:cs="Times New Roman"/>
                            <w:sz w:val="21"/>
                            <w:szCs w:val="21"/>
                          </w:rPr>
                          <w:t>kV</w:t>
                        </w:r>
                        <w:r>
                          <w:rPr>
                            <w:spacing w:val="1"/>
                          </w:rPr>
                          <w:t>、</w:t>
                        </w:r>
                      </w:p>
                      <w:p w14:paraId="718D7C68">
                        <w:pPr>
                          <w:spacing w:before="42" w:line="196" w:lineRule="auto"/>
                          <w:ind w:left="412"/>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10kV</w:t>
                        </w:r>
                      </w:p>
                      <w:p w14:paraId="27B5DAF4">
                        <w:pPr>
                          <w:pStyle w:val="6"/>
                          <w:spacing w:before="50" w:line="228" w:lineRule="auto"/>
                          <w:ind w:left="413"/>
                        </w:pPr>
                        <w:r>
                          <w:rPr>
                            <w:spacing w:val="6"/>
                          </w:rPr>
                          <w:t>配电装置</w:t>
                        </w:r>
                      </w:p>
                      <w:p w14:paraId="69233F35">
                        <w:pPr>
                          <w:spacing w:line="266" w:lineRule="auto"/>
                          <w:rPr>
                            <w:rFonts w:ascii="Arial"/>
                            <w:sz w:val="21"/>
                          </w:rPr>
                        </w:pPr>
                      </w:p>
                      <w:p w14:paraId="48F9FFC7">
                        <w:pPr>
                          <w:pStyle w:val="6"/>
                          <w:spacing w:before="46" w:line="227" w:lineRule="auto"/>
                          <w:ind w:left="1417" w:right="138" w:firstLine="1030"/>
                          <w:rPr>
                            <w:sz w:val="14"/>
                            <w:szCs w:val="14"/>
                          </w:rPr>
                        </w:pPr>
                        <w:r>
                          <w:pict>
                            <v:shape id="_x0000_s1112" o:spid="_x0000_s1112" o:spt="202" type="#_x0000_t202" style="position:absolute;left:0pt;margin-left:8.5pt;margin-top:8.85pt;height:12.6pt;width:62pt;z-index:251707392;mso-width-relative:page;mso-height-relative:page;" filled="f" stroked="f" coordsize="21600,21600">
                              <v:path/>
                              <v:fill on="f" focussize="0,0"/>
                              <v:stroke on="f"/>
                              <v:imagedata o:title=""/>
                              <o:lock v:ext="edit" aspectratio="f"/>
                              <v:textbox inset="0mm,0mm,0mm,0mm">
                                <w:txbxContent>
                                  <w:p w14:paraId="21B18395">
                                    <w:pPr>
                                      <w:pStyle w:val="6"/>
                                      <w:spacing w:before="20" w:line="229" w:lineRule="auto"/>
                                      <w:ind w:left="20"/>
                                      <w:rPr>
                                        <w:sz w:val="17"/>
                                        <w:szCs w:val="17"/>
                                      </w:rPr>
                                    </w:pPr>
                                    <w:r>
                                      <w:rPr>
                                        <w:spacing w:val="6"/>
                                        <w:sz w:val="17"/>
                                        <w:szCs w:val="17"/>
                                      </w:rPr>
                                      <w:t>事故油池</w:t>
                                    </w:r>
                                    <w:r>
                                      <w:rPr>
                                        <w:spacing w:val="-16"/>
                                        <w:sz w:val="17"/>
                                        <w:szCs w:val="17"/>
                                      </w:rPr>
                                      <w:t xml:space="preserve"> </w:t>
                                    </w:r>
                                    <w:r>
                                      <w:rPr>
                                        <w:position w:val="3"/>
                                        <w:sz w:val="17"/>
                                        <w:szCs w:val="17"/>
                                      </w:rPr>
                                      <w:drawing>
                                        <wp:inline distT="0" distB="0" distL="0" distR="0">
                                          <wp:extent cx="268605" cy="23495"/>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263"/>
                                                  <a:stretch>
                                                    <a:fillRect/>
                                                  </a:stretch>
                                                </pic:blipFill>
                                                <pic:spPr>
                                                  <a:xfrm>
                                                    <a:off x="0" y="0"/>
                                                    <a:ext cx="268960" cy="23990"/>
                                                  </a:xfrm>
                                                  <a:prstGeom prst="rect">
                                                    <a:avLst/>
                                                  </a:prstGeom>
                                                </pic:spPr>
                                              </pic:pic>
                                            </a:graphicData>
                                          </a:graphic>
                                        </wp:inline>
                                      </w:drawing>
                                    </w:r>
                                    <w:r>
                                      <w:rPr>
                                        <w:strike/>
                                        <w:sz w:val="17"/>
                                        <w:szCs w:val="17"/>
                                      </w:rPr>
                                      <w:t xml:space="preserve"> </w:t>
                                    </w:r>
                                  </w:p>
                                </w:txbxContent>
                              </v:textbox>
                            </v:shape>
                          </w:pict>
                        </w:r>
                        <w:r>
                          <w:rPr>
                            <w:spacing w:val="8"/>
                            <w:sz w:val="14"/>
                            <w:szCs w:val="14"/>
                          </w:rPr>
                          <w:t>油水分离后，不可回用的</w:t>
                        </w:r>
                        <w:r>
                          <w:rPr>
                            <w:spacing w:val="8"/>
                            <w:position w:val="1"/>
                            <w:sz w:val="16"/>
                            <w:szCs w:val="16"/>
                          </w:rPr>
                          <w:t>事故油</w:t>
                        </w:r>
                        <w:r>
                          <w:rPr>
                            <w:spacing w:val="-60"/>
                            <w:position w:val="1"/>
                            <w:sz w:val="16"/>
                            <w:szCs w:val="16"/>
                          </w:rPr>
                          <w:t xml:space="preserve"> </w:t>
                        </w:r>
                        <w:r>
                          <w:rPr>
                            <w:position w:val="4"/>
                            <w:sz w:val="16"/>
                            <w:szCs w:val="16"/>
                          </w:rPr>
                          <w:drawing>
                            <wp:inline distT="0" distB="0" distL="0" distR="0">
                              <wp:extent cx="323850" cy="23495"/>
                              <wp:effectExtent l="0" t="0" r="0" b="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264"/>
                                      <a:stretch>
                                        <a:fillRect/>
                                      </a:stretch>
                                    </pic:blipFill>
                                    <pic:spPr>
                                      <a:xfrm>
                                        <a:off x="0" y="0"/>
                                        <a:ext cx="324383" cy="24002"/>
                                      </a:xfrm>
                                      <a:prstGeom prst="rect">
                                        <a:avLst/>
                                      </a:prstGeom>
                                    </pic:spPr>
                                  </pic:pic>
                                </a:graphicData>
                              </a:graphic>
                            </wp:inline>
                          </w:drawing>
                        </w:r>
                        <w:r>
                          <w:rPr>
                            <w:spacing w:val="8"/>
                            <w:sz w:val="14"/>
                            <w:szCs w:val="14"/>
                          </w:rPr>
                          <w:t>废油交有危废处置资质的</w:t>
                        </w:r>
                      </w:p>
                      <w:p w14:paraId="35A0263F">
                        <w:pPr>
                          <w:pStyle w:val="6"/>
                          <w:spacing w:before="21" w:line="232" w:lineRule="auto"/>
                          <w:ind w:left="2447"/>
                          <w:rPr>
                            <w:sz w:val="14"/>
                            <w:szCs w:val="14"/>
                          </w:rPr>
                        </w:pPr>
                        <w:r>
                          <w:rPr>
                            <w:spacing w:val="7"/>
                            <w:sz w:val="14"/>
                            <w:szCs w:val="14"/>
                          </w:rPr>
                          <w:t>单位处置</w:t>
                        </w:r>
                      </w:p>
                      <w:p w14:paraId="4091B18F">
                        <w:pPr>
                          <w:pStyle w:val="6"/>
                          <w:spacing w:before="117" w:line="231" w:lineRule="auto"/>
                          <w:ind w:left="2589"/>
                          <w:rPr>
                            <w:sz w:val="14"/>
                            <w:szCs w:val="14"/>
                          </w:rPr>
                        </w:pPr>
                        <w:r>
                          <w:rPr>
                            <w:spacing w:val="8"/>
                            <w:sz w:val="14"/>
                            <w:szCs w:val="14"/>
                          </w:rPr>
                          <w:t>化粪池、污水处理设施</w:t>
                        </w:r>
                      </w:p>
                      <w:p w14:paraId="4A2809E0">
                        <w:pPr>
                          <w:pStyle w:val="6"/>
                          <w:spacing w:before="21" w:line="261" w:lineRule="auto"/>
                          <w:ind w:left="2589" w:right="151"/>
                          <w:rPr>
                            <w:sz w:val="14"/>
                            <w:szCs w:val="14"/>
                          </w:rPr>
                        </w:pPr>
                        <w:r>
                          <w:pict>
                            <v:shape id="_x0000_s1113" o:spid="_x0000_s1113" o:spt="202" type="#_x0000_t202" style="position:absolute;left:0pt;margin-left:9.7pt;margin-top:-1.25pt;height:13pt;width:96.45pt;z-index:251706368;mso-width-relative:page;mso-height-relative:page;" filled="f" stroked="f" coordsize="21600,21600">
                              <v:path/>
                              <v:fill on="f" focussize="0,0"/>
                              <v:stroke on="f"/>
                              <v:imagedata o:title=""/>
                              <o:lock v:ext="edit" aspectratio="f"/>
                              <v:textbox inset="0mm,0mm,0mm,0mm">
                                <w:txbxContent>
                                  <w:p w14:paraId="49C425AF">
                                    <w:pPr>
                                      <w:pStyle w:val="6"/>
                                      <w:spacing w:before="19" w:line="239" w:lineRule="auto"/>
                                      <w:ind w:left="20"/>
                                      <w:rPr>
                                        <w:sz w:val="17"/>
                                        <w:szCs w:val="17"/>
                                      </w:rPr>
                                    </w:pPr>
                                    <w:r>
                                      <w:rPr>
                                        <w:spacing w:val="7"/>
                                        <w:sz w:val="17"/>
                                        <w:szCs w:val="17"/>
                                      </w:rPr>
                                      <w:t xml:space="preserve">值班室  </w:t>
                                    </w:r>
                                    <w:r>
                                      <w:rPr>
                                        <w:position w:val="3"/>
                                        <w:sz w:val="17"/>
                                        <w:szCs w:val="17"/>
                                      </w:rPr>
                                      <w:drawing>
                                        <wp:inline distT="0" distB="0" distL="0" distR="0">
                                          <wp:extent cx="294005" cy="27305"/>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265"/>
                                                  <a:stretch>
                                                    <a:fillRect/>
                                                  </a:stretch>
                                                </pic:blipFill>
                                                <pic:spPr>
                                                  <a:xfrm>
                                                    <a:off x="0" y="0"/>
                                                    <a:ext cx="294195" cy="27457"/>
                                                  </a:xfrm>
                                                  <a:prstGeom prst="rect">
                                                    <a:avLst/>
                                                  </a:prstGeom>
                                                </pic:spPr>
                                              </pic:pic>
                                            </a:graphicData>
                                          </a:graphic>
                                        </wp:inline>
                                      </w:drawing>
                                    </w:r>
                                    <w:r>
                                      <w:rPr>
                                        <w:spacing w:val="7"/>
                                        <w:sz w:val="17"/>
                                        <w:szCs w:val="17"/>
                                      </w:rPr>
                                      <w:t>生活污水</w:t>
                                    </w:r>
                                  </w:p>
                                </w:txbxContent>
                              </v:textbox>
                            </v:shape>
                          </w:pict>
                        </w:r>
                        <w:r>
                          <w:rPr>
                            <w:spacing w:val="7"/>
                            <w:sz w:val="14"/>
                            <w:szCs w:val="14"/>
                          </w:rPr>
                          <w:t>收集处理后，用于站内绿化，不外排</w:t>
                        </w:r>
                      </w:p>
                      <w:p w14:paraId="39B0ABE0">
                        <w:pPr>
                          <w:pStyle w:val="6"/>
                          <w:spacing w:before="47" w:line="209" w:lineRule="auto"/>
                          <w:ind w:left="1390" w:right="147" w:firstLine="1198"/>
                          <w:rPr>
                            <w:sz w:val="14"/>
                            <w:szCs w:val="14"/>
                          </w:rPr>
                        </w:pPr>
                        <w:r>
                          <w:rPr>
                            <w:spacing w:val="7"/>
                            <w:sz w:val="14"/>
                            <w:szCs w:val="14"/>
                          </w:rPr>
                          <w:t>收集后交至当地生活垃</w:t>
                        </w:r>
                        <w:r>
                          <w:rPr>
                            <w:spacing w:val="5"/>
                            <w:position w:val="2"/>
                            <w:sz w:val="17"/>
                            <w:szCs w:val="17"/>
                          </w:rPr>
                          <w:t>生活垃圾</w:t>
                        </w:r>
                        <w:r>
                          <w:rPr>
                            <w:spacing w:val="-49"/>
                            <w:position w:val="2"/>
                            <w:sz w:val="17"/>
                            <w:szCs w:val="17"/>
                          </w:rPr>
                          <w:t xml:space="preserve"> </w:t>
                        </w:r>
                        <w:r>
                          <w:rPr>
                            <w:position w:val="5"/>
                            <w:sz w:val="17"/>
                            <w:szCs w:val="17"/>
                          </w:rPr>
                          <w:drawing>
                            <wp:inline distT="0" distB="0" distL="0" distR="0">
                              <wp:extent cx="294005" cy="27305"/>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266"/>
                                      <a:stretch>
                                        <a:fillRect/>
                                      </a:stretch>
                                    </pic:blipFill>
                                    <pic:spPr>
                                      <a:xfrm>
                                        <a:off x="0" y="0"/>
                                        <a:ext cx="294449" cy="27470"/>
                                      </a:xfrm>
                                      <a:prstGeom prst="rect">
                                        <a:avLst/>
                                      </a:prstGeom>
                                    </pic:spPr>
                                  </pic:pic>
                                </a:graphicData>
                              </a:graphic>
                            </wp:inline>
                          </w:drawing>
                        </w:r>
                        <w:r>
                          <w:rPr>
                            <w:spacing w:val="5"/>
                            <w:position w:val="-1"/>
                            <w:sz w:val="14"/>
                            <w:szCs w:val="14"/>
                          </w:rPr>
                          <w:t>圾转运点，</w:t>
                        </w:r>
                        <w:r>
                          <w:rPr>
                            <w:spacing w:val="-39"/>
                            <w:position w:val="-1"/>
                            <w:sz w:val="14"/>
                            <w:szCs w:val="14"/>
                          </w:rPr>
                          <w:t xml:space="preserve"> </w:t>
                        </w:r>
                        <w:r>
                          <w:rPr>
                            <w:spacing w:val="5"/>
                            <w:position w:val="-1"/>
                            <w:sz w:val="14"/>
                            <w:szCs w:val="14"/>
                          </w:rPr>
                          <w:t>由环卫部门</w:t>
                        </w:r>
                      </w:p>
                      <w:p w14:paraId="728515C2">
                        <w:pPr>
                          <w:pStyle w:val="6"/>
                          <w:spacing w:before="21" w:line="233" w:lineRule="auto"/>
                          <w:ind w:left="2589"/>
                          <w:rPr>
                            <w:sz w:val="14"/>
                            <w:szCs w:val="14"/>
                          </w:rPr>
                        </w:pPr>
                        <w:r>
                          <w:rPr>
                            <w:spacing w:val="7"/>
                            <w:sz w:val="14"/>
                            <w:szCs w:val="14"/>
                          </w:rPr>
                          <w:t>妥善处理</w:t>
                        </w:r>
                      </w:p>
                      <w:p w14:paraId="76DCC28C">
                        <w:pPr>
                          <w:pStyle w:val="6"/>
                          <w:spacing w:before="15" w:line="232" w:lineRule="auto"/>
                          <w:ind w:left="1840"/>
                          <w:rPr>
                            <w:sz w:val="14"/>
                            <w:szCs w:val="14"/>
                          </w:rPr>
                        </w:pPr>
                        <w:r>
                          <w:pict>
                            <v:shape id="_x0000_s1114" o:spid="_x0000_s1114" o:spt="202" type="#_x0000_t202" style="position:absolute;left:0pt;margin-left:3pt;margin-top:-0.3pt;height:12.55pt;width:46.4pt;z-index:251704320;mso-width-relative:page;mso-height-relative:page;" filled="f" stroked="f" coordsize="21600,21600">
                              <v:path/>
                              <v:fill on="f" focussize="0,0"/>
                              <v:stroke on="f"/>
                              <v:imagedata o:title=""/>
                              <o:lock v:ext="edit" aspectratio="f"/>
                              <v:textbox inset="0mm,0mm,0mm,0mm">
                                <w:txbxContent>
                                  <w:p w14:paraId="649CF232">
                                    <w:pPr>
                                      <w:pStyle w:val="6"/>
                                      <w:spacing w:before="19" w:line="229" w:lineRule="auto"/>
                                      <w:ind w:left="20"/>
                                      <w:rPr>
                                        <w:sz w:val="17"/>
                                        <w:szCs w:val="17"/>
                                      </w:rPr>
                                    </w:pPr>
                                    <w:r>
                                      <w:rPr>
                                        <w:spacing w:val="7"/>
                                        <w:sz w:val="17"/>
                                        <w:szCs w:val="17"/>
                                      </w:rPr>
                                      <w:t>废旧蓄电池</w:t>
                                    </w:r>
                                  </w:p>
                                </w:txbxContent>
                              </v:textbox>
                            </v:shape>
                          </w:pict>
                        </w:r>
                        <w:r>
                          <w:rPr>
                            <w:spacing w:val="8"/>
                            <w:sz w:val="14"/>
                            <w:szCs w:val="14"/>
                          </w:rPr>
                          <w:t>交有危废处置资质的单位处置</w:t>
                        </w:r>
                      </w:p>
                    </w:tc>
                  </w:tr>
                </w:tbl>
                <w:p w14:paraId="5C246270">
                  <w:pPr>
                    <w:spacing w:before="193" w:line="231" w:lineRule="auto"/>
                    <w:ind w:left="142"/>
                    <w:rPr>
                      <w:rFonts w:ascii="黑体" w:hAnsi="黑体" w:eastAsia="黑体" w:cs="黑体"/>
                      <w:sz w:val="15"/>
                      <w:szCs w:val="15"/>
                    </w:rPr>
                  </w:pPr>
                  <w:r>
                    <w:rPr>
                      <w:rFonts w:ascii="黑体" w:hAnsi="黑体" w:eastAsia="黑体" w:cs="黑体"/>
                      <w:spacing w:val="6"/>
                      <w:sz w:val="15"/>
                      <w:szCs w:val="15"/>
                    </w:rPr>
                    <w:t>注：</w:t>
                  </w:r>
                  <w:r>
                    <w:rPr>
                      <w:rFonts w:ascii="Times New Roman" w:hAnsi="Times New Roman" w:eastAsia="Times New Roman" w:cs="Times New Roman"/>
                      <w:spacing w:val="6"/>
                      <w:sz w:val="16"/>
                      <w:szCs w:val="16"/>
                    </w:rPr>
                    <w:t>E</w:t>
                  </w:r>
                  <w:r>
                    <w:rPr>
                      <w:rFonts w:ascii="黑体" w:hAnsi="黑体" w:eastAsia="黑体" w:cs="黑体"/>
                      <w:spacing w:val="6"/>
                      <w:sz w:val="15"/>
                      <w:szCs w:val="15"/>
                    </w:rPr>
                    <w:t>－工频电场强度、</w:t>
                  </w:r>
                  <w:r>
                    <w:rPr>
                      <w:rFonts w:ascii="黑体" w:hAnsi="黑体" w:eastAsia="黑体" w:cs="黑体"/>
                      <w:spacing w:val="-27"/>
                      <w:sz w:val="15"/>
                      <w:szCs w:val="15"/>
                    </w:rPr>
                    <w:t xml:space="preserve"> </w:t>
                  </w:r>
                  <w:r>
                    <w:rPr>
                      <w:rFonts w:ascii="Times New Roman" w:hAnsi="Times New Roman" w:eastAsia="Times New Roman" w:cs="Times New Roman"/>
                      <w:spacing w:val="6"/>
                      <w:sz w:val="16"/>
                      <w:szCs w:val="16"/>
                    </w:rPr>
                    <w:t>B</w:t>
                  </w:r>
                  <w:r>
                    <w:rPr>
                      <w:rFonts w:ascii="黑体" w:hAnsi="黑体" w:eastAsia="黑体" w:cs="黑体"/>
                      <w:spacing w:val="6"/>
                      <w:sz w:val="15"/>
                      <w:szCs w:val="15"/>
                    </w:rPr>
                    <w:t>－工频磁感应强度、</w:t>
                  </w:r>
                  <w:r>
                    <w:rPr>
                      <w:rFonts w:ascii="黑体" w:hAnsi="黑体" w:eastAsia="黑体" w:cs="黑体"/>
                      <w:spacing w:val="-37"/>
                      <w:sz w:val="15"/>
                      <w:szCs w:val="15"/>
                    </w:rPr>
                    <w:t xml:space="preserve"> </w:t>
                  </w:r>
                  <w:r>
                    <w:rPr>
                      <w:rFonts w:ascii="Times New Roman" w:hAnsi="Times New Roman" w:eastAsia="Times New Roman" w:cs="Times New Roman"/>
                      <w:spacing w:val="6"/>
                      <w:sz w:val="16"/>
                      <w:szCs w:val="16"/>
                    </w:rPr>
                    <w:t>N</w:t>
                  </w:r>
                  <w:r>
                    <w:rPr>
                      <w:rFonts w:ascii="黑体" w:hAnsi="黑体" w:eastAsia="黑体" w:cs="黑体"/>
                      <w:spacing w:val="6"/>
                      <w:sz w:val="15"/>
                      <w:szCs w:val="15"/>
                    </w:rPr>
                    <w:t>－噪声</w:t>
                  </w:r>
                </w:p>
              </w:tc>
            </w:tr>
          </w:tbl>
          <w:p w14:paraId="7DE4865F">
            <w:pPr>
              <w:pStyle w:val="6"/>
              <w:spacing w:before="84" w:line="219" w:lineRule="auto"/>
              <w:ind w:left="2202"/>
              <w:rPr>
                <w:sz w:val="24"/>
                <w:szCs w:val="24"/>
              </w:rPr>
            </w:pPr>
            <w:r>
              <w:rPr>
                <w:b/>
                <w:bCs/>
                <w:spacing w:val="-3"/>
                <w:sz w:val="24"/>
                <w:szCs w:val="24"/>
              </w:rPr>
              <w:t>图</w:t>
            </w:r>
            <w:r>
              <w:rPr>
                <w:spacing w:val="-52"/>
                <w:sz w:val="24"/>
                <w:szCs w:val="24"/>
              </w:rPr>
              <w:t xml:space="preserve"> </w:t>
            </w:r>
            <w:r>
              <w:rPr>
                <w:rFonts w:ascii="Times New Roman" w:hAnsi="Times New Roman" w:eastAsia="Times New Roman" w:cs="Times New Roman"/>
                <w:b/>
                <w:bCs/>
                <w:spacing w:val="-3"/>
                <w:sz w:val="24"/>
                <w:szCs w:val="24"/>
              </w:rPr>
              <w:t xml:space="preserve">4-3    </w:t>
            </w:r>
            <w:r>
              <w:rPr>
                <w:b/>
                <w:bCs/>
                <w:spacing w:val="-3"/>
                <w:sz w:val="24"/>
                <w:szCs w:val="24"/>
              </w:rPr>
              <w:t>项目运营期工艺流程及产污节点图</w:t>
            </w:r>
          </w:p>
          <w:p w14:paraId="70A51628">
            <w:pPr>
              <w:pStyle w:val="6"/>
              <w:spacing w:before="26" w:line="220" w:lineRule="auto"/>
              <w:ind w:left="111"/>
              <w:rPr>
                <w:sz w:val="24"/>
                <w:szCs w:val="24"/>
              </w:rPr>
            </w:pPr>
            <w:r>
              <w:rPr>
                <w:b/>
                <w:bCs/>
                <w:spacing w:val="-4"/>
                <w:sz w:val="24"/>
                <w:szCs w:val="24"/>
              </w:rPr>
              <w:t>二、运营期环境影响分析</w:t>
            </w:r>
          </w:p>
          <w:p w14:paraId="7C8E1EBD">
            <w:pPr>
              <w:pStyle w:val="6"/>
              <w:spacing w:before="179" w:line="220" w:lineRule="auto"/>
              <w:ind w:left="594"/>
              <w:rPr>
                <w:sz w:val="24"/>
                <w:szCs w:val="24"/>
              </w:rPr>
            </w:pPr>
            <w:r>
              <w:rPr>
                <w:rFonts w:ascii="Times New Roman" w:hAnsi="Times New Roman" w:eastAsia="Times New Roman" w:cs="Times New Roman"/>
                <w:b/>
                <w:bCs/>
                <w:spacing w:val="-6"/>
                <w:sz w:val="24"/>
                <w:szCs w:val="24"/>
              </w:rPr>
              <w:t>1</w:t>
            </w:r>
            <w:r>
              <w:rPr>
                <w:rFonts w:ascii="Times New Roman" w:hAnsi="Times New Roman" w:eastAsia="Times New Roman" w:cs="Times New Roman"/>
                <w:b/>
                <w:bCs/>
                <w:spacing w:val="-33"/>
                <w:sz w:val="24"/>
                <w:szCs w:val="24"/>
              </w:rPr>
              <w:t xml:space="preserve"> </w:t>
            </w:r>
            <w:r>
              <w:rPr>
                <w:b/>
                <w:bCs/>
                <w:spacing w:val="-6"/>
                <w:sz w:val="24"/>
                <w:szCs w:val="24"/>
              </w:rPr>
              <w:t>、生态环境影响分析</w:t>
            </w:r>
          </w:p>
          <w:p w14:paraId="1E3A87AB">
            <w:pPr>
              <w:pStyle w:val="6"/>
              <w:spacing w:before="183" w:line="359" w:lineRule="auto"/>
              <w:ind w:left="107" w:right="41" w:firstLine="483"/>
              <w:rPr>
                <w:sz w:val="24"/>
                <w:szCs w:val="24"/>
              </w:rPr>
            </w:pPr>
            <w:r>
              <w:rPr>
                <w:spacing w:val="-1"/>
                <w:sz w:val="24"/>
                <w:szCs w:val="24"/>
              </w:rPr>
              <w:t>项目进入运营期后，变电站运行维护活动主要在站内，不影响变电站周边</w:t>
            </w:r>
            <w:r>
              <w:rPr>
                <w:spacing w:val="-2"/>
                <w:sz w:val="24"/>
                <w:szCs w:val="24"/>
              </w:rPr>
              <w:t>生态</w:t>
            </w:r>
            <w:r>
              <w:rPr>
                <w:spacing w:val="-1"/>
                <w:sz w:val="24"/>
                <w:szCs w:val="24"/>
              </w:rPr>
              <w:t>环境。项目地非鸟类迁徏聚集地，根据对云南省目前已投入运行的输电线路附近生</w:t>
            </w:r>
            <w:r>
              <w:rPr>
                <w:spacing w:val="1"/>
                <w:sz w:val="24"/>
                <w:szCs w:val="24"/>
              </w:rPr>
              <w:t>态环境现状调查结果显示，未发现输电线路投运后</w:t>
            </w:r>
            <w:r>
              <w:rPr>
                <w:sz w:val="24"/>
                <w:szCs w:val="24"/>
              </w:rPr>
              <w:t>对周围生态环境产生明显影响。</w:t>
            </w:r>
            <w:r>
              <w:rPr>
                <w:spacing w:val="-6"/>
                <w:sz w:val="24"/>
                <w:szCs w:val="24"/>
              </w:rPr>
              <w:t>因此可以预测，项目运营期也不会对周围的生态环境造成不良影响。工程运行期间，</w:t>
            </w:r>
            <w:r>
              <w:rPr>
                <w:spacing w:val="-3"/>
                <w:sz w:val="24"/>
                <w:szCs w:val="24"/>
              </w:rPr>
              <w:t>根据相关规定，要对导线下方与树木垂直距离小于</w:t>
            </w:r>
            <w:r>
              <w:rPr>
                <w:spacing w:val="-41"/>
                <w:sz w:val="24"/>
                <w:szCs w:val="24"/>
              </w:rPr>
              <w:t xml:space="preserve"> </w:t>
            </w:r>
            <w:r>
              <w:rPr>
                <w:rFonts w:ascii="Times New Roman" w:hAnsi="Times New Roman" w:eastAsia="Times New Roman" w:cs="Times New Roman"/>
                <w:spacing w:val="-3"/>
                <w:sz w:val="24"/>
                <w:szCs w:val="24"/>
              </w:rPr>
              <w:t xml:space="preserve">4.5m </w:t>
            </w:r>
            <w:r>
              <w:rPr>
                <w:spacing w:val="-3"/>
                <w:sz w:val="24"/>
                <w:szCs w:val="24"/>
              </w:rPr>
              <w:t>树木的树冠进行定期修剪，</w:t>
            </w:r>
            <w:r>
              <w:rPr>
                <w:sz w:val="24"/>
                <w:szCs w:val="24"/>
              </w:rPr>
              <w:t>保证输电导线与林区树木之间的垂直距离足够大，以满</w:t>
            </w:r>
            <w:r>
              <w:rPr>
                <w:spacing w:val="-1"/>
                <w:sz w:val="24"/>
                <w:szCs w:val="24"/>
              </w:rPr>
              <w:t>足输电线路正常运行的需</w:t>
            </w:r>
          </w:p>
          <w:p w14:paraId="4B8C7A69">
            <w:pPr>
              <w:pStyle w:val="6"/>
              <w:spacing w:before="1" w:line="353" w:lineRule="auto"/>
              <w:ind w:left="107" w:right="103"/>
              <w:rPr>
                <w:sz w:val="24"/>
                <w:szCs w:val="24"/>
              </w:rPr>
            </w:pPr>
            <w:r>
              <w:rPr>
                <w:spacing w:val="-1"/>
                <w:sz w:val="24"/>
                <w:szCs w:val="24"/>
              </w:rPr>
              <w:t>要。草地、耕地植被植株矮小，与输电线路相距甚远，工程在运行期内，对草地、耕地植被及植物资源没有影响。因此，运行期需砍伐树木的量很少，多为局部修冠砍伐，运营期对评价区内植被及植被多样性产生影响程度较小。</w:t>
            </w:r>
          </w:p>
        </w:tc>
      </w:tr>
    </w:tbl>
    <w:p w14:paraId="79FEC333">
      <w:pPr>
        <w:rPr>
          <w:rFonts w:ascii="Arial"/>
          <w:sz w:val="21"/>
        </w:rPr>
      </w:pPr>
    </w:p>
    <w:p w14:paraId="188333EF">
      <w:pPr>
        <w:rPr>
          <w:rFonts w:ascii="Arial" w:hAnsi="Arial" w:eastAsia="Arial" w:cs="Arial"/>
          <w:sz w:val="21"/>
          <w:szCs w:val="21"/>
        </w:rPr>
        <w:sectPr>
          <w:footerReference r:id="rId106" w:type="default"/>
          <w:pgSz w:w="11907" w:h="16840"/>
          <w:pgMar w:top="400" w:right="1178" w:bottom="1240" w:left="1405" w:header="0" w:footer="1077" w:gutter="0"/>
          <w:cols w:space="720" w:num="1"/>
        </w:sectPr>
      </w:pPr>
    </w:p>
    <w:p w14:paraId="4769EE37">
      <w:pPr>
        <w:spacing w:before="13"/>
      </w:pPr>
    </w:p>
    <w:p w14:paraId="72EFD531">
      <w:pPr>
        <w:spacing w:before="13"/>
      </w:pPr>
    </w:p>
    <w:p w14:paraId="48C49C90">
      <w:pPr>
        <w:spacing w:before="13"/>
      </w:pPr>
    </w:p>
    <w:p w14:paraId="34B8EE03">
      <w:pPr>
        <w:spacing w:before="12"/>
      </w:pPr>
    </w:p>
    <w:tbl>
      <w:tblPr>
        <w:tblStyle w:val="5"/>
        <w:tblW w:w="93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30"/>
      </w:tblGrid>
      <w:tr w14:paraId="54B78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56" w:hRule="atLeast"/>
        </w:trPr>
        <w:tc>
          <w:tcPr>
            <w:tcW w:w="478" w:type="dxa"/>
            <w:tcBorders>
              <w:right w:val="single" w:color="000000" w:sz="2" w:space="0"/>
            </w:tcBorders>
            <w:vAlign w:val="top"/>
          </w:tcPr>
          <w:p w14:paraId="6FFA101E">
            <w:pPr>
              <w:rPr>
                <w:rFonts w:ascii="Arial"/>
                <w:sz w:val="21"/>
              </w:rPr>
            </w:pPr>
          </w:p>
        </w:tc>
        <w:tc>
          <w:tcPr>
            <w:tcW w:w="8830" w:type="dxa"/>
            <w:tcBorders>
              <w:left w:val="single" w:color="000000" w:sz="2" w:space="0"/>
            </w:tcBorders>
            <w:vAlign w:val="top"/>
          </w:tcPr>
          <w:p w14:paraId="48267E8D">
            <w:pPr>
              <w:pStyle w:val="6"/>
              <w:spacing w:before="30" w:line="220" w:lineRule="auto"/>
              <w:ind w:left="584"/>
              <w:rPr>
                <w:sz w:val="24"/>
                <w:szCs w:val="24"/>
              </w:rPr>
            </w:pPr>
            <w:r>
              <w:rPr>
                <w:rFonts w:ascii="Times New Roman" w:hAnsi="Times New Roman" w:eastAsia="Times New Roman" w:cs="Times New Roman"/>
                <w:b/>
                <w:bCs/>
                <w:spacing w:val="-5"/>
                <w:sz w:val="24"/>
                <w:szCs w:val="24"/>
              </w:rPr>
              <w:t>2</w:t>
            </w:r>
            <w:r>
              <w:rPr>
                <w:rFonts w:ascii="Times New Roman" w:hAnsi="Times New Roman" w:eastAsia="Times New Roman" w:cs="Times New Roman"/>
                <w:b/>
                <w:bCs/>
                <w:spacing w:val="-23"/>
                <w:sz w:val="24"/>
                <w:szCs w:val="24"/>
              </w:rPr>
              <w:t xml:space="preserve"> </w:t>
            </w:r>
            <w:r>
              <w:rPr>
                <w:b/>
                <w:bCs/>
                <w:spacing w:val="-5"/>
                <w:sz w:val="24"/>
                <w:szCs w:val="24"/>
              </w:rPr>
              <w:t>、运营期电磁环境影响分析</w:t>
            </w:r>
          </w:p>
          <w:p w14:paraId="563D7F97">
            <w:pPr>
              <w:pStyle w:val="6"/>
              <w:spacing w:before="179" w:line="359" w:lineRule="auto"/>
              <w:ind w:left="120" w:right="103" w:firstLine="467"/>
              <w:rPr>
                <w:sz w:val="24"/>
                <w:szCs w:val="24"/>
              </w:rPr>
            </w:pPr>
            <w:r>
              <w:rPr>
                <w:spacing w:val="-1"/>
                <w:sz w:val="24"/>
                <w:szCs w:val="24"/>
              </w:rPr>
              <w:t>根据</w:t>
            </w:r>
            <w:r>
              <w:rPr>
                <w:rFonts w:ascii="Times New Roman" w:hAnsi="Times New Roman" w:eastAsia="Times New Roman" w:cs="Times New Roman"/>
                <w:spacing w:val="-1"/>
                <w:sz w:val="24"/>
                <w:szCs w:val="24"/>
              </w:rPr>
              <w:t>“</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pacing w:val="-1"/>
                <w:sz w:val="24"/>
                <w:szCs w:val="24"/>
              </w:rPr>
              <w:t xml:space="preserve">110kV </w:t>
            </w:r>
            <w:r>
              <w:rPr>
                <w:spacing w:val="-1"/>
                <w:sz w:val="24"/>
                <w:szCs w:val="24"/>
              </w:rPr>
              <w:t>松山输变电工程电磁环</w:t>
            </w:r>
            <w:r>
              <w:rPr>
                <w:spacing w:val="-2"/>
                <w:sz w:val="24"/>
                <w:szCs w:val="24"/>
              </w:rPr>
              <w:t>境影响专项评价</w:t>
            </w:r>
            <w:r>
              <w:rPr>
                <w:rFonts w:ascii="Times New Roman" w:hAnsi="Times New Roman" w:eastAsia="Times New Roman" w:cs="Times New Roman"/>
                <w:spacing w:val="-2"/>
                <w:sz w:val="24"/>
                <w:szCs w:val="24"/>
              </w:rPr>
              <w:t>”</w:t>
            </w:r>
            <w:r>
              <w:rPr>
                <w:rFonts w:ascii="Times New Roman" w:hAnsi="Times New Roman" w:eastAsia="Times New Roman" w:cs="Times New Roman"/>
                <w:spacing w:val="-32"/>
                <w:sz w:val="24"/>
                <w:szCs w:val="24"/>
              </w:rPr>
              <w:t xml:space="preserve"> </w:t>
            </w:r>
            <w:r>
              <w:rPr>
                <w:spacing w:val="-2"/>
                <w:sz w:val="24"/>
                <w:szCs w:val="24"/>
              </w:rPr>
              <w:t>，项目运营期电磁环境影</w:t>
            </w:r>
            <w:r>
              <w:rPr>
                <w:spacing w:val="-3"/>
                <w:sz w:val="24"/>
                <w:szCs w:val="24"/>
              </w:rPr>
              <w:t>响分析结论如下：</w:t>
            </w:r>
          </w:p>
          <w:p w14:paraId="63FA2568">
            <w:pPr>
              <w:pStyle w:val="6"/>
              <w:spacing w:line="219" w:lineRule="auto"/>
              <w:ind w:left="587"/>
              <w:rPr>
                <w:sz w:val="24"/>
                <w:szCs w:val="24"/>
              </w:rPr>
            </w:pPr>
            <w:r>
              <w:rPr>
                <w:b/>
                <w:bCs/>
                <w:spacing w:val="-3"/>
                <w:sz w:val="24"/>
                <w:szCs w:val="24"/>
              </w:rPr>
              <w:t>变电站类比预测结论：</w:t>
            </w:r>
          </w:p>
          <w:p w14:paraId="0D9EDE15">
            <w:pPr>
              <w:pStyle w:val="6"/>
              <w:spacing w:before="179" w:line="358" w:lineRule="auto"/>
              <w:ind w:left="107" w:right="102" w:firstLine="480"/>
              <w:jc w:val="both"/>
              <w:rPr>
                <w:sz w:val="24"/>
                <w:szCs w:val="24"/>
              </w:rPr>
            </w:pPr>
            <w:r>
              <w:rPr>
                <w:spacing w:val="-3"/>
                <w:sz w:val="24"/>
                <w:szCs w:val="24"/>
              </w:rPr>
              <w:t>根据类比</w:t>
            </w:r>
            <w:r>
              <w:rPr>
                <w:spacing w:val="-19"/>
                <w:sz w:val="24"/>
                <w:szCs w:val="24"/>
              </w:rPr>
              <w:t xml:space="preserve"> </w:t>
            </w:r>
            <w:r>
              <w:rPr>
                <w:rFonts w:ascii="Times New Roman" w:hAnsi="Times New Roman" w:eastAsia="Times New Roman" w:cs="Times New Roman"/>
                <w:spacing w:val="-3"/>
                <w:sz w:val="24"/>
                <w:szCs w:val="24"/>
              </w:rPr>
              <w:t xml:space="preserve">110kV </w:t>
            </w:r>
            <w:r>
              <w:rPr>
                <w:spacing w:val="-3"/>
                <w:sz w:val="24"/>
                <w:szCs w:val="24"/>
              </w:rPr>
              <w:t>城南变电站运行期电磁环境监测数据，</w:t>
            </w:r>
            <w:r>
              <w:rPr>
                <w:rFonts w:ascii="Times New Roman" w:hAnsi="Times New Roman" w:eastAsia="Times New Roman" w:cs="Times New Roman"/>
                <w:spacing w:val="-3"/>
                <w:sz w:val="24"/>
                <w:szCs w:val="24"/>
              </w:rPr>
              <w:t xml:space="preserve">110kV </w:t>
            </w:r>
            <w:r>
              <w:rPr>
                <w:spacing w:val="-3"/>
                <w:sz w:val="24"/>
                <w:szCs w:val="24"/>
              </w:rPr>
              <w:t>城南变电站厂界</w:t>
            </w:r>
            <w:r>
              <w:rPr>
                <w:spacing w:val="-2"/>
                <w:sz w:val="24"/>
                <w:szCs w:val="24"/>
              </w:rPr>
              <w:t>四周测得的工频电场强度在</w:t>
            </w:r>
            <w:r>
              <w:rPr>
                <w:spacing w:val="-52"/>
                <w:sz w:val="24"/>
                <w:szCs w:val="24"/>
              </w:rPr>
              <w:t xml:space="preserve"> </w:t>
            </w:r>
            <w:r>
              <w:rPr>
                <w:rFonts w:ascii="Times New Roman" w:hAnsi="Times New Roman" w:eastAsia="Times New Roman" w:cs="Times New Roman"/>
                <w:spacing w:val="-2"/>
                <w:sz w:val="24"/>
                <w:szCs w:val="24"/>
              </w:rPr>
              <w:t xml:space="preserve">0.42~270.3V/m </w:t>
            </w:r>
            <w:r>
              <w:rPr>
                <w:spacing w:val="-2"/>
                <w:sz w:val="24"/>
                <w:szCs w:val="24"/>
              </w:rPr>
              <w:t>之间，工频磁感应强度在</w:t>
            </w:r>
            <w:r>
              <w:rPr>
                <w:spacing w:val="-51"/>
                <w:sz w:val="24"/>
                <w:szCs w:val="24"/>
              </w:rPr>
              <w:t xml:space="preserve"> </w:t>
            </w:r>
            <w:r>
              <w:rPr>
                <w:rFonts w:ascii="Times New Roman" w:hAnsi="Times New Roman" w:eastAsia="Times New Roman" w:cs="Times New Roman"/>
                <w:spacing w:val="-2"/>
                <w:sz w:val="24"/>
                <w:szCs w:val="24"/>
              </w:rPr>
              <w:t>0.</w:t>
            </w:r>
            <w:r>
              <w:rPr>
                <w:rFonts w:ascii="Times New Roman" w:hAnsi="Times New Roman" w:eastAsia="Times New Roman" w:cs="Times New Roman"/>
                <w:spacing w:val="-3"/>
                <w:sz w:val="24"/>
                <w:szCs w:val="24"/>
              </w:rPr>
              <w:t>157~0.453μT</w:t>
            </w:r>
            <w:r>
              <w:rPr>
                <w:sz w:val="24"/>
                <w:szCs w:val="24"/>
              </w:rPr>
              <w:t>之间；电磁环境衰减断面监测数据工频电场强度在</w:t>
            </w:r>
            <w:r>
              <w:rPr>
                <w:spacing w:val="-49"/>
                <w:sz w:val="24"/>
                <w:szCs w:val="24"/>
              </w:rPr>
              <w:t xml:space="preserve"> </w:t>
            </w:r>
            <w:r>
              <w:rPr>
                <w:rFonts w:ascii="Times New Roman" w:hAnsi="Times New Roman" w:eastAsia="Times New Roman" w:cs="Times New Roman"/>
                <w:sz w:val="24"/>
                <w:szCs w:val="24"/>
              </w:rPr>
              <w:t xml:space="preserve">0.71~270.3V/m </w:t>
            </w:r>
            <w:r>
              <w:rPr>
                <w:sz w:val="24"/>
                <w:szCs w:val="24"/>
              </w:rPr>
              <w:t>之间，工频磁感</w:t>
            </w:r>
            <w:r>
              <w:rPr>
                <w:spacing w:val="-3"/>
                <w:sz w:val="24"/>
                <w:szCs w:val="24"/>
              </w:rPr>
              <w:t>应强度在</w:t>
            </w:r>
            <w:r>
              <w:rPr>
                <w:spacing w:val="-44"/>
                <w:sz w:val="24"/>
                <w:szCs w:val="24"/>
              </w:rPr>
              <w:t xml:space="preserve"> </w:t>
            </w:r>
            <w:r>
              <w:rPr>
                <w:rFonts w:ascii="Times New Roman" w:hAnsi="Times New Roman" w:eastAsia="Times New Roman" w:cs="Times New Roman"/>
                <w:spacing w:val="-3"/>
                <w:sz w:val="24"/>
                <w:szCs w:val="24"/>
              </w:rPr>
              <w:t xml:space="preserve">0.117~0.453μT </w:t>
            </w:r>
            <w:r>
              <w:rPr>
                <w:spacing w:val="-3"/>
                <w:sz w:val="24"/>
                <w:szCs w:val="24"/>
              </w:rPr>
              <w:t>之间；满足《电磁环境控制限值》（</w:t>
            </w:r>
            <w:r>
              <w:rPr>
                <w:rFonts w:ascii="Times New Roman" w:hAnsi="Times New Roman" w:eastAsia="Times New Roman" w:cs="Times New Roman"/>
                <w:spacing w:val="-3"/>
                <w:sz w:val="24"/>
                <w:szCs w:val="24"/>
              </w:rPr>
              <w:t>GB8702-2014</w:t>
            </w:r>
            <w:r>
              <w:rPr>
                <w:spacing w:val="-3"/>
                <w:sz w:val="24"/>
                <w:szCs w:val="24"/>
              </w:rPr>
              <w:t>）中工频电场强度</w:t>
            </w:r>
            <w:r>
              <w:rPr>
                <w:spacing w:val="-52"/>
                <w:sz w:val="24"/>
                <w:szCs w:val="24"/>
              </w:rPr>
              <w:t xml:space="preserve"> </w:t>
            </w:r>
            <w:r>
              <w:rPr>
                <w:rFonts w:ascii="Times New Roman" w:hAnsi="Times New Roman" w:eastAsia="Times New Roman" w:cs="Times New Roman"/>
                <w:spacing w:val="-3"/>
                <w:sz w:val="24"/>
                <w:szCs w:val="24"/>
              </w:rPr>
              <w:t>4000V/m</w:t>
            </w:r>
            <w:r>
              <w:rPr>
                <w:rFonts w:ascii="Times New Roman" w:hAnsi="Times New Roman" w:eastAsia="Times New Roman" w:cs="Times New Roman"/>
                <w:spacing w:val="28"/>
                <w:sz w:val="24"/>
                <w:szCs w:val="24"/>
              </w:rPr>
              <w:t xml:space="preserve"> </w:t>
            </w:r>
            <w:r>
              <w:rPr>
                <w:spacing w:val="-3"/>
                <w:sz w:val="24"/>
                <w:szCs w:val="24"/>
              </w:rPr>
              <w:t>的限值要求和工频磁感应强度</w:t>
            </w:r>
            <w:r>
              <w:rPr>
                <w:spacing w:val="-32"/>
                <w:sz w:val="24"/>
                <w:szCs w:val="24"/>
              </w:rPr>
              <w:t xml:space="preserve"> </w:t>
            </w:r>
            <w:r>
              <w:rPr>
                <w:rFonts w:ascii="Times New Roman" w:hAnsi="Times New Roman" w:eastAsia="Times New Roman" w:cs="Times New Roman"/>
                <w:spacing w:val="-3"/>
                <w:sz w:val="24"/>
                <w:szCs w:val="24"/>
              </w:rPr>
              <w:t>100μT</w:t>
            </w:r>
            <w:r>
              <w:rPr>
                <w:rFonts w:ascii="Times New Roman" w:hAnsi="Times New Roman" w:eastAsia="Times New Roman" w:cs="Times New Roman"/>
                <w:spacing w:val="29"/>
                <w:sz w:val="24"/>
                <w:szCs w:val="24"/>
              </w:rPr>
              <w:t xml:space="preserve"> </w:t>
            </w:r>
            <w:r>
              <w:rPr>
                <w:spacing w:val="-3"/>
                <w:sz w:val="24"/>
                <w:szCs w:val="24"/>
              </w:rPr>
              <w:t>的限值要求。</w:t>
            </w:r>
          </w:p>
          <w:p w14:paraId="6AADC266">
            <w:pPr>
              <w:pStyle w:val="6"/>
              <w:spacing w:before="10" w:line="219" w:lineRule="auto"/>
              <w:ind w:left="586"/>
              <w:rPr>
                <w:sz w:val="24"/>
                <w:szCs w:val="24"/>
              </w:rPr>
            </w:pPr>
            <w:r>
              <w:rPr>
                <w:b/>
                <w:bCs/>
                <w:spacing w:val="-3"/>
                <w:sz w:val="24"/>
                <w:szCs w:val="24"/>
              </w:rPr>
              <w:t>输电线路模式预测结论：</w:t>
            </w:r>
          </w:p>
          <w:p w14:paraId="2B846473">
            <w:pPr>
              <w:pStyle w:val="6"/>
              <w:spacing w:before="185" w:line="358" w:lineRule="auto"/>
              <w:ind w:left="101" w:right="22" w:firstLine="487"/>
              <w:jc w:val="both"/>
              <w:rPr>
                <w:sz w:val="24"/>
                <w:szCs w:val="24"/>
              </w:rPr>
            </w:pPr>
            <w:r>
              <w:rPr>
                <w:spacing w:val="-1"/>
                <w:sz w:val="24"/>
                <w:szCs w:val="24"/>
              </w:rPr>
              <w:t>本项目</w:t>
            </w:r>
            <w:r>
              <w:rPr>
                <w:spacing w:val="-27"/>
                <w:sz w:val="24"/>
                <w:szCs w:val="24"/>
              </w:rPr>
              <w:t xml:space="preserve"> </w:t>
            </w:r>
            <w:r>
              <w:rPr>
                <w:rFonts w:ascii="Times New Roman" w:hAnsi="Times New Roman" w:eastAsia="Times New Roman" w:cs="Times New Roman"/>
                <w:spacing w:val="-1"/>
                <w:sz w:val="24"/>
                <w:szCs w:val="24"/>
              </w:rPr>
              <w:t>110kV</w:t>
            </w:r>
            <w:r>
              <w:rPr>
                <w:rFonts w:ascii="Times New Roman" w:hAnsi="Times New Roman" w:eastAsia="Times New Roman" w:cs="Times New Roman"/>
                <w:spacing w:val="16"/>
                <w:sz w:val="24"/>
                <w:szCs w:val="24"/>
              </w:rPr>
              <w:t xml:space="preserve"> </w:t>
            </w:r>
            <w:r>
              <w:rPr>
                <w:spacing w:val="-1"/>
                <w:sz w:val="24"/>
                <w:szCs w:val="24"/>
              </w:rPr>
              <w:t>单回三角排列线路在采用最不利塔型</w:t>
            </w:r>
            <w:r>
              <w:rPr>
                <w:spacing w:val="-30"/>
                <w:sz w:val="24"/>
                <w:szCs w:val="24"/>
              </w:rPr>
              <w:t xml:space="preserve"> </w:t>
            </w:r>
            <w:r>
              <w:rPr>
                <w:rFonts w:ascii="Times New Roman" w:hAnsi="Times New Roman" w:eastAsia="Times New Roman" w:cs="Times New Roman"/>
                <w:spacing w:val="-1"/>
                <w:sz w:val="24"/>
                <w:szCs w:val="24"/>
              </w:rPr>
              <w:t>1B1X4-J4</w:t>
            </w:r>
            <w:r>
              <w:rPr>
                <w:rFonts w:ascii="Times New Roman" w:hAnsi="Times New Roman" w:eastAsia="Times New Roman" w:cs="Times New Roman"/>
                <w:spacing w:val="-29"/>
                <w:sz w:val="24"/>
                <w:szCs w:val="24"/>
              </w:rPr>
              <w:t xml:space="preserve"> </w:t>
            </w:r>
            <w:r>
              <w:rPr>
                <w:spacing w:val="-1"/>
                <w:sz w:val="24"/>
                <w:szCs w:val="24"/>
              </w:rPr>
              <w:t>，导</w:t>
            </w:r>
            <w:r>
              <w:rPr>
                <w:spacing w:val="-2"/>
                <w:sz w:val="24"/>
                <w:szCs w:val="24"/>
              </w:rPr>
              <w:t>线对地面距</w:t>
            </w:r>
            <w:r>
              <w:rPr>
                <w:spacing w:val="-4"/>
                <w:sz w:val="24"/>
                <w:szCs w:val="24"/>
              </w:rPr>
              <w:t>离为</w:t>
            </w:r>
            <w:r>
              <w:rPr>
                <w:spacing w:val="-49"/>
                <w:sz w:val="24"/>
                <w:szCs w:val="24"/>
              </w:rPr>
              <w:t xml:space="preserve"> </w:t>
            </w:r>
            <w:r>
              <w:rPr>
                <w:rFonts w:ascii="Times New Roman" w:hAnsi="Times New Roman" w:eastAsia="Times New Roman" w:cs="Times New Roman"/>
                <w:spacing w:val="-4"/>
                <w:sz w:val="24"/>
                <w:szCs w:val="24"/>
              </w:rPr>
              <w:t>6.0m</w:t>
            </w:r>
            <w:r>
              <w:rPr>
                <w:rFonts w:ascii="Times New Roman" w:hAnsi="Times New Roman" w:eastAsia="Times New Roman" w:cs="Times New Roman"/>
                <w:spacing w:val="19"/>
                <w:sz w:val="24"/>
                <w:szCs w:val="24"/>
              </w:rPr>
              <w:t xml:space="preserve"> </w:t>
            </w:r>
            <w:r>
              <w:rPr>
                <w:spacing w:val="-4"/>
                <w:sz w:val="24"/>
                <w:szCs w:val="24"/>
              </w:rPr>
              <w:t>时，地面</w:t>
            </w:r>
            <w:r>
              <w:rPr>
                <w:spacing w:val="-32"/>
                <w:sz w:val="24"/>
                <w:szCs w:val="24"/>
              </w:rPr>
              <w:t xml:space="preserve"> </w:t>
            </w:r>
            <w:r>
              <w:rPr>
                <w:rFonts w:ascii="Times New Roman" w:hAnsi="Times New Roman" w:eastAsia="Times New Roman" w:cs="Times New Roman"/>
                <w:spacing w:val="-4"/>
                <w:sz w:val="24"/>
                <w:szCs w:val="24"/>
              </w:rPr>
              <w:t>1.5m</w:t>
            </w:r>
            <w:r>
              <w:rPr>
                <w:rFonts w:ascii="Times New Roman" w:hAnsi="Times New Roman" w:eastAsia="Times New Roman" w:cs="Times New Roman"/>
                <w:spacing w:val="14"/>
                <w:sz w:val="24"/>
                <w:szCs w:val="24"/>
              </w:rPr>
              <w:t xml:space="preserve"> </w:t>
            </w:r>
            <w:r>
              <w:rPr>
                <w:spacing w:val="-4"/>
                <w:sz w:val="24"/>
                <w:szCs w:val="24"/>
              </w:rPr>
              <w:t>高处的工频电场强度最大值为</w:t>
            </w:r>
            <w:r>
              <w:rPr>
                <w:spacing w:val="-55"/>
                <w:sz w:val="24"/>
                <w:szCs w:val="24"/>
              </w:rPr>
              <w:t xml:space="preserve"> </w:t>
            </w:r>
            <w:r>
              <w:rPr>
                <w:rFonts w:ascii="Times New Roman" w:hAnsi="Times New Roman" w:eastAsia="Times New Roman" w:cs="Times New Roman"/>
                <w:spacing w:val="-4"/>
                <w:sz w:val="24"/>
                <w:szCs w:val="24"/>
              </w:rPr>
              <w:t>2.4295kV/m</w:t>
            </w:r>
            <w:r>
              <w:rPr>
                <w:spacing w:val="-5"/>
                <w:sz w:val="24"/>
                <w:szCs w:val="24"/>
              </w:rPr>
              <w:t>，工频磁感应强</w:t>
            </w:r>
            <w:r>
              <w:rPr>
                <w:spacing w:val="-6"/>
                <w:sz w:val="24"/>
                <w:szCs w:val="24"/>
              </w:rPr>
              <w:t>度最大值为</w:t>
            </w:r>
            <w:r>
              <w:rPr>
                <w:spacing w:val="-52"/>
                <w:sz w:val="24"/>
                <w:szCs w:val="24"/>
              </w:rPr>
              <w:t xml:space="preserve"> </w:t>
            </w:r>
            <w:r>
              <w:rPr>
                <w:rFonts w:ascii="Times New Roman" w:hAnsi="Times New Roman" w:eastAsia="Times New Roman" w:cs="Times New Roman"/>
                <w:spacing w:val="-6"/>
                <w:sz w:val="24"/>
                <w:szCs w:val="24"/>
              </w:rPr>
              <w:t>26.2672μT</w:t>
            </w:r>
            <w:r>
              <w:rPr>
                <w:spacing w:val="-6"/>
                <w:sz w:val="24"/>
                <w:szCs w:val="24"/>
              </w:rPr>
              <w:t>，满足《电磁环境控制限值》（</w:t>
            </w:r>
            <w:r>
              <w:rPr>
                <w:rFonts w:ascii="Times New Roman" w:hAnsi="Times New Roman" w:eastAsia="Times New Roman" w:cs="Times New Roman"/>
                <w:spacing w:val="-6"/>
                <w:sz w:val="24"/>
                <w:szCs w:val="24"/>
              </w:rPr>
              <w:t>GB8702-2014</w:t>
            </w:r>
            <w:r>
              <w:rPr>
                <w:spacing w:val="-6"/>
                <w:sz w:val="24"/>
                <w:szCs w:val="24"/>
              </w:rPr>
              <w:t>）中耕地、园地、</w:t>
            </w:r>
            <w:r>
              <w:rPr>
                <w:sz w:val="24"/>
                <w:szCs w:val="24"/>
              </w:rPr>
              <w:t>牧草地、畜禽饲养地、养殖水面、道路等场所处</w:t>
            </w:r>
            <w:r>
              <w:rPr>
                <w:spacing w:val="-9"/>
                <w:sz w:val="24"/>
                <w:szCs w:val="24"/>
              </w:rPr>
              <w:t xml:space="preserve"> </w:t>
            </w:r>
            <w:r>
              <w:rPr>
                <w:rFonts w:ascii="Times New Roman" w:hAnsi="Times New Roman" w:eastAsia="Times New Roman" w:cs="Times New Roman"/>
                <w:sz w:val="24"/>
                <w:szCs w:val="24"/>
              </w:rPr>
              <w:t>10kV/m</w:t>
            </w:r>
            <w:r>
              <w:rPr>
                <w:rFonts w:ascii="Times New Roman" w:hAnsi="Times New Roman" w:eastAsia="Times New Roman" w:cs="Times New Roman"/>
                <w:spacing w:val="-30"/>
                <w:sz w:val="24"/>
                <w:szCs w:val="24"/>
              </w:rPr>
              <w:t xml:space="preserve"> </w:t>
            </w:r>
            <w:r>
              <w:rPr>
                <w:sz w:val="24"/>
                <w:szCs w:val="24"/>
              </w:rPr>
              <w:t>、</w:t>
            </w:r>
            <w:r>
              <w:rPr>
                <w:rFonts w:ascii="Times New Roman" w:hAnsi="Times New Roman" w:eastAsia="Times New Roman" w:cs="Times New Roman"/>
                <w:sz w:val="24"/>
                <w:szCs w:val="24"/>
              </w:rPr>
              <w:t>100μT</w:t>
            </w:r>
            <w:r>
              <w:rPr>
                <w:rFonts w:ascii="Times New Roman" w:hAnsi="Times New Roman" w:eastAsia="Times New Roman" w:cs="Times New Roman"/>
                <w:spacing w:val="31"/>
                <w:sz w:val="24"/>
                <w:szCs w:val="24"/>
              </w:rPr>
              <w:t xml:space="preserve"> </w:t>
            </w:r>
            <w:r>
              <w:rPr>
                <w:sz w:val="24"/>
                <w:szCs w:val="24"/>
              </w:rPr>
              <w:t>的限值要求；导</w:t>
            </w:r>
            <w:r>
              <w:rPr>
                <w:spacing w:val="-5"/>
                <w:sz w:val="24"/>
                <w:szCs w:val="24"/>
              </w:rPr>
              <w:t>线对地面距离为</w:t>
            </w:r>
            <w:r>
              <w:rPr>
                <w:spacing w:val="-35"/>
                <w:sz w:val="24"/>
                <w:szCs w:val="24"/>
              </w:rPr>
              <w:t xml:space="preserve"> </w:t>
            </w:r>
            <w:r>
              <w:rPr>
                <w:rFonts w:ascii="Times New Roman" w:hAnsi="Times New Roman" w:eastAsia="Times New Roman" w:cs="Times New Roman"/>
                <w:spacing w:val="-5"/>
                <w:sz w:val="24"/>
                <w:szCs w:val="24"/>
              </w:rPr>
              <w:t>7.0m</w:t>
            </w:r>
            <w:r>
              <w:rPr>
                <w:rFonts w:ascii="Times New Roman" w:hAnsi="Times New Roman" w:eastAsia="Times New Roman" w:cs="Times New Roman"/>
                <w:spacing w:val="19"/>
                <w:sz w:val="24"/>
                <w:szCs w:val="24"/>
              </w:rPr>
              <w:t xml:space="preserve"> </w:t>
            </w:r>
            <w:r>
              <w:rPr>
                <w:spacing w:val="-5"/>
                <w:sz w:val="24"/>
                <w:szCs w:val="24"/>
              </w:rPr>
              <w:t>时，地面</w:t>
            </w:r>
            <w:r>
              <w:rPr>
                <w:spacing w:val="-32"/>
                <w:sz w:val="24"/>
                <w:szCs w:val="24"/>
              </w:rPr>
              <w:t xml:space="preserve"> </w:t>
            </w:r>
            <w:r>
              <w:rPr>
                <w:rFonts w:ascii="Times New Roman" w:hAnsi="Times New Roman" w:eastAsia="Times New Roman" w:cs="Times New Roman"/>
                <w:spacing w:val="-5"/>
                <w:sz w:val="24"/>
                <w:szCs w:val="24"/>
              </w:rPr>
              <w:t>1.5m</w:t>
            </w:r>
            <w:r>
              <w:rPr>
                <w:rFonts w:ascii="Times New Roman" w:hAnsi="Times New Roman" w:eastAsia="Times New Roman" w:cs="Times New Roman"/>
                <w:spacing w:val="14"/>
                <w:sz w:val="24"/>
                <w:szCs w:val="24"/>
              </w:rPr>
              <w:t xml:space="preserve"> </w:t>
            </w:r>
            <w:r>
              <w:rPr>
                <w:spacing w:val="-5"/>
                <w:sz w:val="24"/>
                <w:szCs w:val="24"/>
              </w:rPr>
              <w:t>高处的工频电场强度最大值为</w:t>
            </w:r>
            <w:r>
              <w:rPr>
                <w:spacing w:val="-32"/>
                <w:sz w:val="24"/>
                <w:szCs w:val="24"/>
              </w:rPr>
              <w:t xml:space="preserve"> </w:t>
            </w:r>
            <w:r>
              <w:rPr>
                <w:rFonts w:ascii="Times New Roman" w:hAnsi="Times New Roman" w:eastAsia="Times New Roman" w:cs="Times New Roman"/>
                <w:spacing w:val="-5"/>
                <w:sz w:val="24"/>
                <w:szCs w:val="24"/>
              </w:rPr>
              <w:t>1.8378kV/m</w:t>
            </w:r>
            <w:r>
              <w:rPr>
                <w:spacing w:val="-5"/>
                <w:sz w:val="24"/>
                <w:szCs w:val="24"/>
              </w:rPr>
              <w:t>，工</w:t>
            </w:r>
            <w:r>
              <w:rPr>
                <w:spacing w:val="-1"/>
                <w:sz w:val="24"/>
                <w:szCs w:val="24"/>
              </w:rPr>
              <w:t>频磁感应强度最大值为</w:t>
            </w:r>
            <w:r>
              <w:rPr>
                <w:spacing w:val="-54"/>
                <w:sz w:val="24"/>
                <w:szCs w:val="24"/>
              </w:rPr>
              <w:t xml:space="preserve"> </w:t>
            </w:r>
            <w:r>
              <w:rPr>
                <w:rFonts w:ascii="Times New Roman" w:hAnsi="Times New Roman" w:eastAsia="Times New Roman" w:cs="Times New Roman"/>
                <w:spacing w:val="-1"/>
                <w:sz w:val="24"/>
                <w:szCs w:val="24"/>
              </w:rPr>
              <w:t>20.6741μT</w:t>
            </w:r>
            <w:r>
              <w:rPr>
                <w:rFonts w:ascii="Times New Roman" w:hAnsi="Times New Roman" w:eastAsia="Times New Roman" w:cs="Times New Roman"/>
                <w:spacing w:val="-28"/>
                <w:sz w:val="24"/>
                <w:szCs w:val="24"/>
              </w:rPr>
              <w:t xml:space="preserve"> </w:t>
            </w:r>
            <w:r>
              <w:rPr>
                <w:spacing w:val="-1"/>
                <w:sz w:val="24"/>
                <w:szCs w:val="24"/>
              </w:rPr>
              <w:t>，满足《电磁环境控制限值》（</w:t>
            </w:r>
            <w:r>
              <w:rPr>
                <w:rFonts w:ascii="Times New Roman" w:hAnsi="Times New Roman" w:eastAsia="Times New Roman" w:cs="Times New Roman"/>
                <w:spacing w:val="-1"/>
                <w:sz w:val="24"/>
                <w:szCs w:val="24"/>
              </w:rPr>
              <w:t>GB8702-2014</w:t>
            </w:r>
            <w:r>
              <w:rPr>
                <w:spacing w:val="-14"/>
                <w:sz w:val="24"/>
                <w:szCs w:val="24"/>
              </w:rPr>
              <w:t>）：</w:t>
            </w:r>
            <w:r>
              <w:rPr>
                <w:spacing w:val="17"/>
                <w:sz w:val="24"/>
                <w:szCs w:val="24"/>
              </w:rPr>
              <w:t>工频磁感应强度公众曝露控制限值</w:t>
            </w:r>
            <w:r>
              <w:rPr>
                <w:rFonts w:ascii="Times New Roman" w:hAnsi="Times New Roman" w:eastAsia="Times New Roman" w:cs="Times New Roman"/>
                <w:spacing w:val="17"/>
                <w:sz w:val="24"/>
                <w:szCs w:val="24"/>
              </w:rPr>
              <w:t>≤100μ</w:t>
            </w:r>
            <w:r>
              <w:rPr>
                <w:rFonts w:ascii="Times New Roman" w:hAnsi="Times New Roman" w:eastAsia="Times New Roman" w:cs="Times New Roman"/>
                <w:spacing w:val="16"/>
                <w:sz w:val="24"/>
                <w:szCs w:val="24"/>
              </w:rPr>
              <w:t>T</w:t>
            </w:r>
            <w:r>
              <w:rPr>
                <w:rFonts w:ascii="Times New Roman" w:hAnsi="Times New Roman" w:eastAsia="Times New Roman" w:cs="Times New Roman"/>
                <w:spacing w:val="-9"/>
                <w:sz w:val="24"/>
                <w:szCs w:val="24"/>
              </w:rPr>
              <w:t xml:space="preserve"> </w:t>
            </w:r>
            <w:r>
              <w:rPr>
                <w:spacing w:val="16"/>
                <w:sz w:val="24"/>
                <w:szCs w:val="24"/>
              </w:rPr>
              <w:t>，工频电场强度公众曝露控制限值</w:t>
            </w:r>
            <w:r>
              <w:rPr>
                <w:rFonts w:ascii="Times New Roman" w:hAnsi="Times New Roman" w:eastAsia="Times New Roman" w:cs="Times New Roman"/>
                <w:spacing w:val="-4"/>
                <w:sz w:val="24"/>
                <w:szCs w:val="24"/>
              </w:rPr>
              <w:t>≤4kV/m</w:t>
            </w:r>
            <w:r>
              <w:rPr>
                <w:rFonts w:ascii="Times New Roman" w:hAnsi="Times New Roman" w:eastAsia="Times New Roman" w:cs="Times New Roman"/>
                <w:spacing w:val="34"/>
                <w:sz w:val="24"/>
                <w:szCs w:val="24"/>
              </w:rPr>
              <w:t xml:space="preserve"> </w:t>
            </w:r>
            <w:r>
              <w:rPr>
                <w:spacing w:val="-4"/>
                <w:sz w:val="24"/>
                <w:szCs w:val="24"/>
              </w:rPr>
              <w:t>的要求。</w:t>
            </w:r>
          </w:p>
          <w:p w14:paraId="10665EC6">
            <w:pPr>
              <w:pStyle w:val="6"/>
              <w:spacing w:before="9" w:line="358" w:lineRule="auto"/>
              <w:ind w:left="110" w:right="13" w:firstLine="478"/>
              <w:jc w:val="both"/>
              <w:rPr>
                <w:sz w:val="24"/>
                <w:szCs w:val="24"/>
              </w:rPr>
            </w:pPr>
            <w:r>
              <w:rPr>
                <w:spacing w:val="-1"/>
                <w:sz w:val="24"/>
                <w:szCs w:val="24"/>
              </w:rPr>
              <w:t>本项目</w:t>
            </w:r>
            <w:r>
              <w:rPr>
                <w:spacing w:val="-32"/>
                <w:sz w:val="24"/>
                <w:szCs w:val="24"/>
              </w:rPr>
              <w:t xml:space="preserve"> </w:t>
            </w:r>
            <w:r>
              <w:rPr>
                <w:rFonts w:ascii="Times New Roman" w:hAnsi="Times New Roman" w:eastAsia="Times New Roman" w:cs="Times New Roman"/>
                <w:spacing w:val="-1"/>
                <w:sz w:val="24"/>
                <w:szCs w:val="24"/>
              </w:rPr>
              <w:t xml:space="preserve">110kV </w:t>
            </w:r>
            <w:r>
              <w:rPr>
                <w:spacing w:val="-1"/>
                <w:sz w:val="24"/>
                <w:szCs w:val="24"/>
              </w:rPr>
              <w:t>双回垂直排列线路（单边挂线）在采用最不利塔型</w:t>
            </w:r>
            <w:r>
              <w:rPr>
                <w:spacing w:val="-32"/>
                <w:sz w:val="24"/>
                <w:szCs w:val="24"/>
              </w:rPr>
              <w:t xml:space="preserve"> </w:t>
            </w:r>
            <w:r>
              <w:rPr>
                <w:rFonts w:ascii="Times New Roman" w:hAnsi="Times New Roman" w:eastAsia="Times New Roman" w:cs="Times New Roman"/>
                <w:spacing w:val="-1"/>
                <w:sz w:val="24"/>
                <w:szCs w:val="24"/>
              </w:rPr>
              <w:t>1C2X1-J</w:t>
            </w:r>
            <w:r>
              <w:rPr>
                <w:rFonts w:ascii="Times New Roman" w:hAnsi="Times New Roman" w:eastAsia="Times New Roman" w:cs="Times New Roman"/>
                <w:spacing w:val="-2"/>
                <w:sz w:val="24"/>
                <w:szCs w:val="24"/>
              </w:rPr>
              <w:t>D</w:t>
            </w:r>
            <w:r>
              <w:rPr>
                <w:rFonts w:ascii="Times New Roman" w:hAnsi="Times New Roman" w:eastAsia="Times New Roman" w:cs="Times New Roman"/>
                <w:spacing w:val="-32"/>
                <w:sz w:val="24"/>
                <w:szCs w:val="24"/>
              </w:rPr>
              <w:t xml:space="preserve"> </w:t>
            </w:r>
            <w:r>
              <w:rPr>
                <w:spacing w:val="-2"/>
                <w:sz w:val="24"/>
                <w:szCs w:val="24"/>
              </w:rPr>
              <w:t>，导线对地面距离为</w:t>
            </w:r>
            <w:r>
              <w:rPr>
                <w:spacing w:val="-49"/>
                <w:sz w:val="24"/>
                <w:szCs w:val="24"/>
              </w:rPr>
              <w:t xml:space="preserve"> </w:t>
            </w:r>
            <w:r>
              <w:rPr>
                <w:rFonts w:ascii="Times New Roman" w:hAnsi="Times New Roman" w:eastAsia="Times New Roman" w:cs="Times New Roman"/>
                <w:spacing w:val="-2"/>
                <w:sz w:val="24"/>
                <w:szCs w:val="24"/>
              </w:rPr>
              <w:t>6.0m</w:t>
            </w:r>
            <w:r>
              <w:rPr>
                <w:rFonts w:ascii="Times New Roman" w:hAnsi="Times New Roman" w:eastAsia="Times New Roman" w:cs="Times New Roman"/>
                <w:spacing w:val="19"/>
                <w:sz w:val="24"/>
                <w:szCs w:val="24"/>
              </w:rPr>
              <w:t xml:space="preserve"> </w:t>
            </w:r>
            <w:r>
              <w:rPr>
                <w:spacing w:val="-2"/>
                <w:sz w:val="24"/>
                <w:szCs w:val="24"/>
              </w:rPr>
              <w:t>时，地面</w:t>
            </w:r>
            <w:r>
              <w:rPr>
                <w:spacing w:val="-32"/>
                <w:sz w:val="24"/>
                <w:szCs w:val="24"/>
              </w:rPr>
              <w:t xml:space="preserve"> </w:t>
            </w:r>
            <w:r>
              <w:rPr>
                <w:rFonts w:ascii="Times New Roman" w:hAnsi="Times New Roman" w:eastAsia="Times New Roman" w:cs="Times New Roman"/>
                <w:spacing w:val="-2"/>
                <w:sz w:val="24"/>
                <w:szCs w:val="24"/>
              </w:rPr>
              <w:t>1.5m</w:t>
            </w:r>
            <w:r>
              <w:rPr>
                <w:rFonts w:ascii="Times New Roman" w:hAnsi="Times New Roman" w:eastAsia="Times New Roman" w:cs="Times New Roman"/>
                <w:spacing w:val="16"/>
                <w:w w:val="101"/>
                <w:sz w:val="24"/>
                <w:szCs w:val="24"/>
              </w:rPr>
              <w:t xml:space="preserve"> </w:t>
            </w:r>
            <w:r>
              <w:rPr>
                <w:spacing w:val="-2"/>
                <w:sz w:val="24"/>
                <w:szCs w:val="24"/>
              </w:rPr>
              <w:t>高处的工频电场</w:t>
            </w:r>
            <w:r>
              <w:rPr>
                <w:spacing w:val="-3"/>
                <w:sz w:val="24"/>
                <w:szCs w:val="24"/>
              </w:rPr>
              <w:t>强度最大值为</w:t>
            </w:r>
            <w:r>
              <w:rPr>
                <w:spacing w:val="-55"/>
                <w:sz w:val="24"/>
                <w:szCs w:val="24"/>
              </w:rPr>
              <w:t xml:space="preserve"> </w:t>
            </w:r>
            <w:r>
              <w:rPr>
                <w:rFonts w:ascii="Times New Roman" w:hAnsi="Times New Roman" w:eastAsia="Times New Roman" w:cs="Times New Roman"/>
                <w:spacing w:val="-3"/>
                <w:sz w:val="24"/>
                <w:szCs w:val="24"/>
              </w:rPr>
              <w:t>2.3257kV/m</w:t>
            </w:r>
            <w:r>
              <w:rPr>
                <w:spacing w:val="-3"/>
                <w:sz w:val="24"/>
                <w:szCs w:val="24"/>
              </w:rPr>
              <w:t>，</w:t>
            </w:r>
            <w:r>
              <w:rPr>
                <w:spacing w:val="-2"/>
                <w:sz w:val="24"/>
                <w:szCs w:val="24"/>
              </w:rPr>
              <w:t>工频磁感应强度最大值为</w:t>
            </w:r>
            <w:r>
              <w:rPr>
                <w:spacing w:val="-32"/>
                <w:sz w:val="24"/>
                <w:szCs w:val="24"/>
              </w:rPr>
              <w:t xml:space="preserve"> </w:t>
            </w:r>
            <w:r>
              <w:rPr>
                <w:rFonts w:ascii="Times New Roman" w:hAnsi="Times New Roman" w:eastAsia="Times New Roman" w:cs="Times New Roman"/>
                <w:spacing w:val="-2"/>
                <w:sz w:val="24"/>
                <w:szCs w:val="24"/>
              </w:rPr>
              <w:t>17.8995μT</w:t>
            </w:r>
            <w:r>
              <w:rPr>
                <w:rFonts w:ascii="Times New Roman" w:hAnsi="Times New Roman" w:eastAsia="Times New Roman" w:cs="Times New Roman"/>
                <w:spacing w:val="-28"/>
                <w:sz w:val="24"/>
                <w:szCs w:val="24"/>
              </w:rPr>
              <w:t xml:space="preserve"> </w:t>
            </w:r>
            <w:r>
              <w:rPr>
                <w:spacing w:val="-2"/>
                <w:sz w:val="24"/>
                <w:szCs w:val="24"/>
              </w:rPr>
              <w:t>，满足《电磁环境控制限值》（</w:t>
            </w:r>
            <w:r>
              <w:rPr>
                <w:rFonts w:ascii="Times New Roman" w:hAnsi="Times New Roman" w:eastAsia="Times New Roman" w:cs="Times New Roman"/>
                <w:spacing w:val="-2"/>
                <w:sz w:val="24"/>
                <w:szCs w:val="24"/>
              </w:rPr>
              <w:t>GB8702-201</w:t>
            </w:r>
            <w:r>
              <w:rPr>
                <w:rFonts w:ascii="Times New Roman" w:hAnsi="Times New Roman" w:eastAsia="Times New Roman" w:cs="Times New Roman"/>
                <w:spacing w:val="-3"/>
                <w:sz w:val="24"/>
                <w:szCs w:val="24"/>
              </w:rPr>
              <w:t>4</w:t>
            </w:r>
            <w:r>
              <w:rPr>
                <w:spacing w:val="-3"/>
                <w:sz w:val="24"/>
                <w:szCs w:val="24"/>
              </w:rPr>
              <w:t>）</w:t>
            </w:r>
            <w:r>
              <w:rPr>
                <w:spacing w:val="3"/>
                <w:sz w:val="24"/>
                <w:szCs w:val="24"/>
              </w:rPr>
              <w:t>中耕地、园地、牧草地、畜禽饲养地、养殖水</w:t>
            </w:r>
            <w:r>
              <w:rPr>
                <w:spacing w:val="2"/>
                <w:sz w:val="24"/>
                <w:szCs w:val="24"/>
              </w:rPr>
              <w:t>面、道路等场所处</w:t>
            </w:r>
            <w:r>
              <w:rPr>
                <w:spacing w:val="-25"/>
                <w:sz w:val="24"/>
                <w:szCs w:val="24"/>
              </w:rPr>
              <w:t xml:space="preserve"> </w:t>
            </w:r>
            <w:r>
              <w:rPr>
                <w:rFonts w:ascii="Times New Roman" w:hAnsi="Times New Roman" w:eastAsia="Times New Roman" w:cs="Times New Roman"/>
                <w:spacing w:val="2"/>
                <w:sz w:val="24"/>
                <w:szCs w:val="24"/>
              </w:rPr>
              <w:t>10</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/m</w:t>
            </w:r>
            <w:r>
              <w:rPr>
                <w:rFonts w:ascii="Times New Roman" w:hAnsi="Times New Roman" w:eastAsia="Times New Roman" w:cs="Times New Roman"/>
                <w:spacing w:val="-28"/>
                <w:sz w:val="24"/>
                <w:szCs w:val="24"/>
              </w:rPr>
              <w:t xml:space="preserve"> </w:t>
            </w:r>
            <w:r>
              <w:rPr>
                <w:spacing w:val="2"/>
                <w:sz w:val="24"/>
                <w:szCs w:val="24"/>
              </w:rPr>
              <w:t>、</w:t>
            </w:r>
            <w:r>
              <w:rPr>
                <w:rFonts w:ascii="Times New Roman" w:hAnsi="Times New Roman" w:eastAsia="Times New Roman" w:cs="Times New Roman"/>
                <w:spacing w:val="2"/>
                <w:sz w:val="24"/>
                <w:szCs w:val="24"/>
              </w:rPr>
              <w:t>100μT</w:t>
            </w:r>
            <w:r>
              <w:rPr>
                <w:spacing w:val="-3"/>
                <w:sz w:val="24"/>
                <w:szCs w:val="24"/>
              </w:rPr>
              <w:t>的限值要求；导线对地面距离为</w:t>
            </w:r>
            <w:r>
              <w:rPr>
                <w:spacing w:val="-51"/>
                <w:sz w:val="24"/>
                <w:szCs w:val="24"/>
              </w:rPr>
              <w:t xml:space="preserve"> </w:t>
            </w:r>
            <w:r>
              <w:rPr>
                <w:rFonts w:ascii="Times New Roman" w:hAnsi="Times New Roman" w:eastAsia="Times New Roman" w:cs="Times New Roman"/>
                <w:spacing w:val="-3"/>
                <w:sz w:val="24"/>
                <w:szCs w:val="24"/>
              </w:rPr>
              <w:t>7.0m</w:t>
            </w:r>
            <w:r>
              <w:rPr>
                <w:rFonts w:ascii="Times New Roman" w:hAnsi="Times New Roman" w:eastAsia="Times New Roman" w:cs="Times New Roman"/>
                <w:spacing w:val="22"/>
                <w:sz w:val="24"/>
                <w:szCs w:val="24"/>
              </w:rPr>
              <w:t xml:space="preserve"> </w:t>
            </w:r>
            <w:r>
              <w:rPr>
                <w:spacing w:val="-3"/>
                <w:sz w:val="24"/>
                <w:szCs w:val="24"/>
              </w:rPr>
              <w:t>时，地面</w:t>
            </w:r>
            <w:r>
              <w:rPr>
                <w:spacing w:val="-32"/>
                <w:sz w:val="24"/>
                <w:szCs w:val="24"/>
              </w:rPr>
              <w:t xml:space="preserve"> </w:t>
            </w:r>
            <w:r>
              <w:rPr>
                <w:rFonts w:ascii="Times New Roman" w:hAnsi="Times New Roman" w:eastAsia="Times New Roman" w:cs="Times New Roman"/>
                <w:spacing w:val="-3"/>
                <w:sz w:val="24"/>
                <w:szCs w:val="24"/>
              </w:rPr>
              <w:t>1.5m</w:t>
            </w:r>
            <w:r>
              <w:rPr>
                <w:rFonts w:ascii="Times New Roman" w:hAnsi="Times New Roman" w:eastAsia="Times New Roman" w:cs="Times New Roman"/>
                <w:spacing w:val="16"/>
                <w:w w:val="101"/>
                <w:sz w:val="24"/>
                <w:szCs w:val="24"/>
              </w:rPr>
              <w:t xml:space="preserve"> </w:t>
            </w:r>
            <w:r>
              <w:rPr>
                <w:spacing w:val="-3"/>
                <w:sz w:val="24"/>
                <w:szCs w:val="24"/>
              </w:rPr>
              <w:t>高处的工频电</w:t>
            </w:r>
            <w:r>
              <w:rPr>
                <w:spacing w:val="-4"/>
                <w:sz w:val="24"/>
                <w:szCs w:val="24"/>
              </w:rPr>
              <w:t>场强度最大值为</w:t>
            </w:r>
            <w:r>
              <w:rPr>
                <w:rFonts w:ascii="Times New Roman" w:hAnsi="Times New Roman" w:eastAsia="Times New Roman" w:cs="Times New Roman"/>
                <w:spacing w:val="3"/>
                <w:sz w:val="24"/>
                <w:szCs w:val="24"/>
              </w:rPr>
              <w:t>1.8003</w:t>
            </w:r>
            <w:r>
              <w:rPr>
                <w:rFonts w:ascii="Times New Roman" w:hAnsi="Times New Roman" w:eastAsia="Times New Roman" w:cs="Times New Roman"/>
                <w:sz w:val="24"/>
                <w:szCs w:val="24"/>
              </w:rPr>
              <w:t>kV</w:t>
            </w:r>
            <w:r>
              <w:rPr>
                <w:rFonts w:ascii="Times New Roman" w:hAnsi="Times New Roman" w:eastAsia="Times New Roman" w:cs="Times New Roman"/>
                <w:spacing w:val="3"/>
                <w:sz w:val="24"/>
                <w:szCs w:val="24"/>
              </w:rPr>
              <w:t>/m</w:t>
            </w:r>
            <w:r>
              <w:rPr>
                <w:rFonts w:ascii="Times New Roman" w:hAnsi="Times New Roman" w:eastAsia="Times New Roman" w:cs="Times New Roman"/>
                <w:spacing w:val="-17"/>
                <w:sz w:val="24"/>
                <w:szCs w:val="24"/>
              </w:rPr>
              <w:t xml:space="preserve"> </w:t>
            </w:r>
            <w:r>
              <w:rPr>
                <w:spacing w:val="3"/>
                <w:sz w:val="24"/>
                <w:szCs w:val="24"/>
              </w:rPr>
              <w:t xml:space="preserve">，工频磁感应强度最大值为 </w:t>
            </w:r>
            <w:r>
              <w:rPr>
                <w:rFonts w:ascii="Times New Roman" w:hAnsi="Times New Roman" w:eastAsia="Times New Roman" w:cs="Times New Roman"/>
                <w:spacing w:val="3"/>
                <w:sz w:val="24"/>
                <w:szCs w:val="24"/>
              </w:rPr>
              <w:t>13.5182μT</w:t>
            </w:r>
            <w:r>
              <w:rPr>
                <w:rFonts w:ascii="Times New Roman" w:hAnsi="Times New Roman" w:eastAsia="Times New Roman" w:cs="Times New Roman"/>
                <w:spacing w:val="-19"/>
                <w:sz w:val="24"/>
                <w:szCs w:val="24"/>
              </w:rPr>
              <w:t xml:space="preserve"> </w:t>
            </w:r>
            <w:r>
              <w:rPr>
                <w:spacing w:val="3"/>
                <w:sz w:val="24"/>
                <w:szCs w:val="24"/>
              </w:rPr>
              <w:t>，满足《电磁环境控制限值》</w:t>
            </w:r>
            <w:r>
              <w:rPr>
                <w:sz w:val="24"/>
                <w:szCs w:val="24"/>
              </w:rPr>
              <w:t xml:space="preserve"> </w:t>
            </w:r>
            <w:r>
              <w:rPr>
                <w:spacing w:val="-1"/>
                <w:sz w:val="24"/>
                <w:szCs w:val="24"/>
              </w:rPr>
              <w:t>（</w:t>
            </w:r>
            <w:r>
              <w:rPr>
                <w:rFonts w:ascii="Times New Roman" w:hAnsi="Times New Roman" w:eastAsia="Times New Roman" w:cs="Times New Roman"/>
                <w:spacing w:val="-1"/>
                <w:sz w:val="24"/>
                <w:szCs w:val="24"/>
              </w:rPr>
              <w:t>GB8702-2014</w:t>
            </w:r>
            <w:r>
              <w:rPr>
                <w:spacing w:val="6"/>
                <w:sz w:val="24"/>
                <w:szCs w:val="24"/>
              </w:rPr>
              <w:t>）：</w:t>
            </w:r>
            <w:r>
              <w:rPr>
                <w:spacing w:val="-1"/>
                <w:sz w:val="24"/>
                <w:szCs w:val="24"/>
              </w:rPr>
              <w:t>工频磁感应强度公众曝露控制限值</w:t>
            </w:r>
            <w:r>
              <w:rPr>
                <w:rFonts w:ascii="Times New Roman" w:hAnsi="Times New Roman" w:eastAsia="Times New Roman" w:cs="Times New Roman"/>
                <w:spacing w:val="-2"/>
                <w:sz w:val="24"/>
                <w:szCs w:val="24"/>
              </w:rPr>
              <w:t>≤100μT</w:t>
            </w:r>
            <w:r>
              <w:rPr>
                <w:rFonts w:ascii="Times New Roman" w:hAnsi="Times New Roman" w:eastAsia="Times New Roman" w:cs="Times New Roman"/>
                <w:spacing w:val="-31"/>
                <w:sz w:val="24"/>
                <w:szCs w:val="24"/>
              </w:rPr>
              <w:t xml:space="preserve"> </w:t>
            </w:r>
            <w:r>
              <w:rPr>
                <w:spacing w:val="-2"/>
                <w:sz w:val="24"/>
                <w:szCs w:val="24"/>
              </w:rPr>
              <w:t>，工频电场强度公众</w:t>
            </w:r>
            <w:r>
              <w:rPr>
                <w:spacing w:val="-3"/>
                <w:sz w:val="24"/>
                <w:szCs w:val="24"/>
              </w:rPr>
              <w:t>曝露控制限值</w:t>
            </w:r>
            <w:r>
              <w:rPr>
                <w:rFonts w:ascii="Times New Roman" w:hAnsi="Times New Roman" w:eastAsia="Times New Roman" w:cs="Times New Roman"/>
                <w:spacing w:val="-3"/>
                <w:sz w:val="24"/>
                <w:szCs w:val="24"/>
              </w:rPr>
              <w:t>≤4kV/m</w:t>
            </w:r>
            <w:r>
              <w:rPr>
                <w:rFonts w:ascii="Times New Roman" w:hAnsi="Times New Roman" w:eastAsia="Times New Roman" w:cs="Times New Roman"/>
                <w:spacing w:val="33"/>
                <w:sz w:val="24"/>
                <w:szCs w:val="24"/>
              </w:rPr>
              <w:t xml:space="preserve"> </w:t>
            </w:r>
            <w:r>
              <w:rPr>
                <w:spacing w:val="-3"/>
                <w:sz w:val="24"/>
                <w:szCs w:val="24"/>
              </w:rPr>
              <w:t>的要求。</w:t>
            </w:r>
          </w:p>
          <w:p w14:paraId="1946E591">
            <w:pPr>
              <w:pStyle w:val="6"/>
              <w:spacing w:before="11" w:line="220" w:lineRule="auto"/>
              <w:ind w:left="616"/>
              <w:rPr>
                <w:sz w:val="24"/>
                <w:szCs w:val="24"/>
              </w:rPr>
            </w:pPr>
            <w:r>
              <w:rPr>
                <w:b/>
                <w:bCs/>
                <w:spacing w:val="-5"/>
                <w:sz w:val="24"/>
                <w:szCs w:val="24"/>
              </w:rPr>
              <w:t>电磁环境保护目标预测结论：</w:t>
            </w:r>
          </w:p>
          <w:p w14:paraId="184F201B">
            <w:pPr>
              <w:pStyle w:val="6"/>
              <w:spacing w:before="182" w:line="350" w:lineRule="auto"/>
              <w:ind w:left="113" w:right="103" w:firstLine="473"/>
              <w:rPr>
                <w:sz w:val="24"/>
                <w:szCs w:val="24"/>
              </w:rPr>
            </w:pPr>
            <w:r>
              <w:rPr>
                <w:spacing w:val="-4"/>
                <w:sz w:val="24"/>
                <w:szCs w:val="24"/>
              </w:rPr>
              <w:t>输电线路附近环境保护目标的电磁环境影响都满足《电磁环境控制限值》（</w:t>
            </w:r>
            <w:r>
              <w:rPr>
                <w:rFonts w:ascii="Times New Roman" w:hAnsi="Times New Roman" w:eastAsia="Times New Roman" w:cs="Times New Roman"/>
                <w:spacing w:val="-4"/>
                <w:sz w:val="24"/>
                <w:szCs w:val="24"/>
              </w:rPr>
              <w:t>GB</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pacing w:val="1"/>
                <w:sz w:val="24"/>
                <w:szCs w:val="24"/>
              </w:rPr>
              <w:t>8702-2014</w:t>
            </w:r>
            <w:r>
              <w:rPr>
                <w:spacing w:val="1"/>
                <w:sz w:val="24"/>
                <w:szCs w:val="24"/>
              </w:rPr>
              <w:t>）工频磁感应强度公众曝露控制限值</w:t>
            </w:r>
            <w:r>
              <w:rPr>
                <w:rFonts w:ascii="Times New Roman" w:hAnsi="Times New Roman" w:eastAsia="Times New Roman" w:cs="Times New Roman"/>
                <w:spacing w:val="1"/>
                <w:sz w:val="24"/>
                <w:szCs w:val="24"/>
              </w:rPr>
              <w:t>≤100μT</w:t>
            </w:r>
            <w:r>
              <w:rPr>
                <w:rFonts w:ascii="Times New Roman" w:hAnsi="Times New Roman" w:eastAsia="Times New Roman" w:cs="Times New Roman"/>
                <w:spacing w:val="-26"/>
                <w:sz w:val="24"/>
                <w:szCs w:val="24"/>
              </w:rPr>
              <w:t xml:space="preserve"> </w:t>
            </w:r>
            <w:r>
              <w:rPr>
                <w:spacing w:val="1"/>
                <w:sz w:val="24"/>
                <w:szCs w:val="24"/>
              </w:rPr>
              <w:t>，工频电场强度公众曝</w:t>
            </w:r>
            <w:r>
              <w:rPr>
                <w:sz w:val="24"/>
                <w:szCs w:val="24"/>
              </w:rPr>
              <w:t>露控</w:t>
            </w:r>
          </w:p>
        </w:tc>
      </w:tr>
    </w:tbl>
    <w:p w14:paraId="6E4792E1">
      <w:pPr>
        <w:rPr>
          <w:rFonts w:ascii="Arial"/>
          <w:sz w:val="21"/>
        </w:rPr>
      </w:pPr>
    </w:p>
    <w:p w14:paraId="79F79EA9">
      <w:pPr>
        <w:rPr>
          <w:rFonts w:ascii="Arial" w:hAnsi="Arial" w:eastAsia="Arial" w:cs="Arial"/>
          <w:sz w:val="21"/>
          <w:szCs w:val="21"/>
        </w:rPr>
        <w:sectPr>
          <w:footerReference r:id="rId107" w:type="default"/>
          <w:pgSz w:w="11907" w:h="16840"/>
          <w:pgMar w:top="400" w:right="1178" w:bottom="1240" w:left="1405" w:header="0" w:footer="1077" w:gutter="0"/>
          <w:cols w:space="720" w:num="1"/>
        </w:sectPr>
      </w:pPr>
    </w:p>
    <w:p w14:paraId="4F0DF374">
      <w:pPr>
        <w:spacing w:before="13"/>
      </w:pPr>
    </w:p>
    <w:p w14:paraId="72797C77">
      <w:pPr>
        <w:spacing w:before="13"/>
      </w:pPr>
    </w:p>
    <w:p w14:paraId="7C17C127">
      <w:pPr>
        <w:spacing w:before="13"/>
      </w:pPr>
    </w:p>
    <w:p w14:paraId="74F89393">
      <w:pPr>
        <w:spacing w:before="12"/>
      </w:pPr>
    </w:p>
    <w:tbl>
      <w:tblPr>
        <w:tblStyle w:val="5"/>
        <w:tblW w:w="93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30"/>
      </w:tblGrid>
      <w:tr w14:paraId="69B71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706" w:hRule="atLeast"/>
        </w:trPr>
        <w:tc>
          <w:tcPr>
            <w:tcW w:w="478" w:type="dxa"/>
            <w:tcBorders>
              <w:right w:val="single" w:color="000000" w:sz="2" w:space="0"/>
            </w:tcBorders>
            <w:vAlign w:val="top"/>
          </w:tcPr>
          <w:p w14:paraId="298C0397">
            <w:pPr>
              <w:rPr>
                <w:rFonts w:ascii="Arial"/>
                <w:sz w:val="21"/>
              </w:rPr>
            </w:pPr>
          </w:p>
        </w:tc>
        <w:tc>
          <w:tcPr>
            <w:tcW w:w="8830" w:type="dxa"/>
            <w:tcBorders>
              <w:left w:val="single" w:color="000000" w:sz="2" w:space="0"/>
            </w:tcBorders>
            <w:vAlign w:val="top"/>
          </w:tcPr>
          <w:p w14:paraId="570B30B7">
            <w:pPr>
              <w:pStyle w:val="6"/>
              <w:spacing w:before="29" w:line="359" w:lineRule="auto"/>
              <w:ind w:left="107" w:right="100"/>
              <w:jc w:val="both"/>
              <w:rPr>
                <w:sz w:val="24"/>
                <w:szCs w:val="24"/>
              </w:rPr>
            </w:pPr>
            <w:r>
              <w:rPr>
                <w:spacing w:val="1"/>
                <w:sz w:val="24"/>
                <w:szCs w:val="24"/>
              </w:rPr>
              <w:t>制限值</w:t>
            </w:r>
            <w:r>
              <w:rPr>
                <w:rFonts w:ascii="Times New Roman" w:hAnsi="Times New Roman" w:eastAsia="Times New Roman" w:cs="Times New Roman"/>
                <w:spacing w:val="1"/>
                <w:sz w:val="24"/>
                <w:szCs w:val="24"/>
              </w:rPr>
              <w:t>≤4</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35"/>
                <w:sz w:val="24"/>
                <w:szCs w:val="24"/>
              </w:rPr>
              <w:t xml:space="preserve"> </w:t>
            </w:r>
            <w:r>
              <w:rPr>
                <w:spacing w:val="1"/>
                <w:sz w:val="24"/>
                <w:szCs w:val="24"/>
              </w:rPr>
              <w:t>的要求，工程运营期对电磁环境保护目标的影响可接受。经预测，</w:t>
            </w:r>
            <w:r>
              <w:rPr>
                <w:spacing w:val="3"/>
                <w:sz w:val="24"/>
                <w:szCs w:val="24"/>
              </w:rPr>
              <w:t>本期拟建的</w:t>
            </w:r>
            <w:r>
              <w:rPr>
                <w:spacing w:val="-11"/>
                <w:sz w:val="24"/>
                <w:szCs w:val="24"/>
              </w:rPr>
              <w:t xml:space="preserve"> </w:t>
            </w:r>
            <w:r>
              <w:rPr>
                <w:rFonts w:ascii="Times New Roman" w:hAnsi="Times New Roman" w:eastAsia="Times New Roman" w:cs="Times New Roman"/>
                <w:spacing w:val="3"/>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3"/>
                <w:sz w:val="24"/>
                <w:szCs w:val="24"/>
              </w:rPr>
              <w:t xml:space="preserve"> </w:t>
            </w:r>
            <w:r>
              <w:rPr>
                <w:spacing w:val="3"/>
                <w:sz w:val="24"/>
                <w:szCs w:val="24"/>
              </w:rPr>
              <w:t>变电站和线路电磁环境评价范围内涉及的电磁环境保护目标工</w:t>
            </w:r>
            <w:r>
              <w:rPr>
                <w:spacing w:val="1"/>
                <w:sz w:val="24"/>
                <w:szCs w:val="24"/>
              </w:rPr>
              <w:t>频电场强度、工频磁感应强度均满足《电磁环境控制限值》（</w:t>
            </w:r>
            <w:r>
              <w:rPr>
                <w:rFonts w:ascii="Times New Roman" w:hAnsi="Times New Roman" w:eastAsia="Times New Roman" w:cs="Times New Roman"/>
                <w:sz w:val="24"/>
                <w:szCs w:val="24"/>
              </w:rPr>
              <w:t>GB</w:t>
            </w:r>
            <w:r>
              <w:rPr>
                <w:rFonts w:ascii="Times New Roman" w:hAnsi="Times New Roman" w:eastAsia="Times New Roman" w:cs="Times New Roman"/>
                <w:spacing w:val="1"/>
                <w:sz w:val="24"/>
                <w:szCs w:val="24"/>
              </w:rPr>
              <w:t>8702-20</w:t>
            </w:r>
            <w:r>
              <w:rPr>
                <w:rFonts w:ascii="Times New Roman" w:hAnsi="Times New Roman" w:eastAsia="Times New Roman" w:cs="Times New Roman"/>
                <w:sz w:val="24"/>
                <w:szCs w:val="24"/>
              </w:rPr>
              <w:t>14</w:t>
            </w:r>
            <w:r>
              <w:rPr>
                <w:sz w:val="24"/>
                <w:szCs w:val="24"/>
              </w:rPr>
              <w:t>）规定</w:t>
            </w:r>
            <w:r>
              <w:rPr>
                <w:spacing w:val="1"/>
                <w:sz w:val="24"/>
                <w:szCs w:val="24"/>
              </w:rPr>
              <w:t>的工频电场强度</w:t>
            </w:r>
            <w:r>
              <w:rPr>
                <w:spacing w:val="-54"/>
                <w:sz w:val="24"/>
                <w:szCs w:val="24"/>
              </w:rPr>
              <w:t xml:space="preserve"> </w:t>
            </w:r>
            <w:r>
              <w:rPr>
                <w:rFonts w:ascii="Times New Roman" w:hAnsi="Times New Roman" w:eastAsia="Times New Roman" w:cs="Times New Roman"/>
                <w:spacing w:val="1"/>
                <w:sz w:val="24"/>
                <w:szCs w:val="24"/>
              </w:rPr>
              <w:t>4</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/m </w:t>
            </w:r>
            <w:r>
              <w:rPr>
                <w:spacing w:val="1"/>
                <w:sz w:val="24"/>
                <w:szCs w:val="24"/>
              </w:rPr>
              <w:t>和工频磁感应强度</w:t>
            </w:r>
            <w:r>
              <w:rPr>
                <w:spacing w:val="-25"/>
                <w:sz w:val="24"/>
                <w:szCs w:val="24"/>
              </w:rPr>
              <w:t xml:space="preserve"> </w:t>
            </w:r>
            <w:r>
              <w:rPr>
                <w:rFonts w:ascii="Times New Roman" w:hAnsi="Times New Roman" w:eastAsia="Times New Roman" w:cs="Times New Roman"/>
                <w:spacing w:val="1"/>
                <w:sz w:val="24"/>
                <w:szCs w:val="24"/>
              </w:rPr>
              <w:t>100μT</w:t>
            </w:r>
            <w:r>
              <w:rPr>
                <w:rFonts w:ascii="Times New Roman" w:hAnsi="Times New Roman" w:eastAsia="Times New Roman" w:cs="Times New Roman"/>
                <w:spacing w:val="34"/>
                <w:sz w:val="24"/>
                <w:szCs w:val="24"/>
              </w:rPr>
              <w:t xml:space="preserve"> </w:t>
            </w:r>
            <w:r>
              <w:rPr>
                <w:spacing w:val="1"/>
                <w:sz w:val="24"/>
                <w:szCs w:val="24"/>
              </w:rPr>
              <w:t>的限值要求，工程运</w:t>
            </w:r>
            <w:r>
              <w:rPr>
                <w:sz w:val="24"/>
                <w:szCs w:val="24"/>
              </w:rPr>
              <w:t>营期对电磁</w:t>
            </w:r>
            <w:r>
              <w:rPr>
                <w:spacing w:val="-1"/>
                <w:sz w:val="24"/>
                <w:szCs w:val="24"/>
              </w:rPr>
              <w:t>环境保护目标的影响可接受。</w:t>
            </w:r>
          </w:p>
          <w:p w14:paraId="63D552FC">
            <w:pPr>
              <w:pStyle w:val="6"/>
              <w:spacing w:line="220" w:lineRule="auto"/>
              <w:ind w:left="102"/>
              <w:rPr>
                <w:sz w:val="24"/>
                <w:szCs w:val="24"/>
              </w:rPr>
            </w:pPr>
            <w:r>
              <w:rPr>
                <w:rFonts w:ascii="Times New Roman" w:hAnsi="Times New Roman" w:eastAsia="Times New Roman" w:cs="Times New Roman"/>
                <w:b/>
                <w:bCs/>
                <w:spacing w:val="-5"/>
                <w:sz w:val="24"/>
                <w:szCs w:val="24"/>
              </w:rPr>
              <w:t>3</w:t>
            </w:r>
            <w:r>
              <w:rPr>
                <w:rFonts w:ascii="Times New Roman" w:hAnsi="Times New Roman" w:eastAsia="Times New Roman" w:cs="Times New Roman"/>
                <w:b/>
                <w:bCs/>
                <w:spacing w:val="-23"/>
                <w:sz w:val="24"/>
                <w:szCs w:val="24"/>
              </w:rPr>
              <w:t xml:space="preserve"> </w:t>
            </w:r>
            <w:r>
              <w:rPr>
                <w:b/>
                <w:bCs/>
                <w:spacing w:val="-5"/>
                <w:sz w:val="24"/>
                <w:szCs w:val="24"/>
              </w:rPr>
              <w:t>、运营期声环境影响分析</w:t>
            </w:r>
          </w:p>
          <w:p w14:paraId="5C074AB4">
            <w:pPr>
              <w:pStyle w:val="6"/>
              <w:spacing w:before="181" w:line="221" w:lineRule="auto"/>
              <w:ind w:left="599"/>
              <w:rPr>
                <w:sz w:val="24"/>
                <w:szCs w:val="24"/>
              </w:rPr>
            </w:pPr>
            <w:r>
              <w:rPr>
                <w:b/>
                <w:bCs/>
                <w:spacing w:val="-6"/>
                <w:sz w:val="24"/>
                <w:szCs w:val="24"/>
              </w:rPr>
              <w:t>（</w:t>
            </w:r>
            <w:r>
              <w:rPr>
                <w:rFonts w:ascii="Times New Roman" w:hAnsi="Times New Roman" w:eastAsia="Times New Roman" w:cs="Times New Roman"/>
                <w:b/>
                <w:bCs/>
                <w:spacing w:val="-6"/>
                <w:sz w:val="24"/>
                <w:szCs w:val="24"/>
              </w:rPr>
              <w:t>1</w:t>
            </w:r>
            <w:r>
              <w:rPr>
                <w:b/>
                <w:bCs/>
                <w:spacing w:val="-6"/>
                <w:sz w:val="24"/>
                <w:szCs w:val="24"/>
              </w:rPr>
              <w:t>）变电站</w:t>
            </w:r>
          </w:p>
          <w:p w14:paraId="287B9581">
            <w:pPr>
              <w:pStyle w:val="6"/>
              <w:spacing w:before="180" w:line="218" w:lineRule="auto"/>
              <w:ind w:left="588"/>
              <w:rPr>
                <w:sz w:val="24"/>
                <w:szCs w:val="24"/>
              </w:rPr>
            </w:pPr>
            <w:r>
              <w:rPr>
                <w:spacing w:val="-1"/>
                <w:sz w:val="24"/>
                <w:szCs w:val="24"/>
              </w:rPr>
              <w:t>新建</w:t>
            </w:r>
            <w:r>
              <w:rPr>
                <w:spacing w:val="-32"/>
                <w:sz w:val="24"/>
                <w:szCs w:val="24"/>
              </w:rPr>
              <w:t xml:space="preserve"> </w:t>
            </w:r>
            <w:r>
              <w:rPr>
                <w:rFonts w:ascii="Times New Roman" w:hAnsi="Times New Roman" w:eastAsia="Times New Roman" w:cs="Times New Roman"/>
                <w:spacing w:val="-1"/>
                <w:sz w:val="24"/>
                <w:szCs w:val="24"/>
              </w:rPr>
              <w:t xml:space="preserve">110kV </w:t>
            </w:r>
            <w:r>
              <w:rPr>
                <w:spacing w:val="-1"/>
                <w:sz w:val="24"/>
                <w:szCs w:val="24"/>
              </w:rPr>
              <w:t>松山变电站工程声环境影响采用模式预测的方</w:t>
            </w:r>
            <w:r>
              <w:rPr>
                <w:spacing w:val="-2"/>
                <w:sz w:val="24"/>
                <w:szCs w:val="24"/>
              </w:rPr>
              <w:t>法进行评价。</w:t>
            </w:r>
          </w:p>
          <w:p w14:paraId="2CF346D0">
            <w:pPr>
              <w:pStyle w:val="6"/>
              <w:spacing w:before="183" w:line="219" w:lineRule="auto"/>
              <w:ind w:left="580"/>
              <w:rPr>
                <w:sz w:val="24"/>
                <w:szCs w:val="24"/>
              </w:rPr>
            </w:pPr>
            <w:r>
              <w:rPr>
                <w:rFonts w:ascii="Times New Roman" w:hAnsi="Times New Roman" w:eastAsia="Times New Roman" w:cs="Times New Roman"/>
                <w:spacing w:val="-1"/>
                <w:sz w:val="24"/>
                <w:szCs w:val="24"/>
              </w:rPr>
              <w:t>A.</w:t>
            </w:r>
            <w:r>
              <w:rPr>
                <w:spacing w:val="-1"/>
                <w:sz w:val="24"/>
                <w:szCs w:val="24"/>
              </w:rPr>
              <w:t>预测模型</w:t>
            </w:r>
          </w:p>
          <w:p w14:paraId="4FA5589B">
            <w:pPr>
              <w:pStyle w:val="6"/>
              <w:spacing w:before="182" w:line="359" w:lineRule="auto"/>
              <w:ind w:left="108" w:right="41" w:firstLine="479"/>
              <w:rPr>
                <w:sz w:val="24"/>
                <w:szCs w:val="24"/>
              </w:rPr>
            </w:pPr>
            <w:r>
              <w:rPr>
                <w:spacing w:val="-3"/>
                <w:sz w:val="24"/>
                <w:szCs w:val="24"/>
              </w:rPr>
              <w:t>根据项目建设内容及《环境影响评价技术导则声环</w:t>
            </w:r>
            <w:r>
              <w:rPr>
                <w:spacing w:val="-4"/>
                <w:sz w:val="24"/>
                <w:szCs w:val="24"/>
              </w:rPr>
              <w:t>境》（</w:t>
            </w:r>
            <w:r>
              <w:rPr>
                <w:rFonts w:ascii="Times New Roman" w:hAnsi="Times New Roman" w:eastAsia="Times New Roman" w:cs="Times New Roman"/>
                <w:spacing w:val="-4"/>
                <w:sz w:val="24"/>
                <w:szCs w:val="24"/>
              </w:rPr>
              <w:t>HJ2.4-2021</w:t>
            </w:r>
            <w:r>
              <w:rPr>
                <w:spacing w:val="-4"/>
                <w:sz w:val="24"/>
                <w:szCs w:val="24"/>
              </w:rPr>
              <w:t>）的要求，</w:t>
            </w:r>
            <w:r>
              <w:rPr>
                <w:spacing w:val="2"/>
                <w:sz w:val="24"/>
                <w:szCs w:val="24"/>
              </w:rPr>
              <w:t>项目环评采用的模型为《环境影响评价技术导则声环境》（</w:t>
            </w:r>
            <w:r>
              <w:rPr>
                <w:rFonts w:ascii="Times New Roman" w:hAnsi="Times New Roman" w:eastAsia="Times New Roman" w:cs="Times New Roman"/>
                <w:sz w:val="24"/>
                <w:szCs w:val="24"/>
              </w:rPr>
              <w:t>HJ</w:t>
            </w:r>
            <w:r>
              <w:rPr>
                <w:rFonts w:ascii="Times New Roman" w:hAnsi="Times New Roman" w:eastAsia="Times New Roman" w:cs="Times New Roman"/>
                <w:spacing w:val="2"/>
                <w:sz w:val="24"/>
                <w:szCs w:val="24"/>
              </w:rPr>
              <w:t>2.4-</w:t>
            </w:r>
            <w:r>
              <w:rPr>
                <w:rFonts w:ascii="Times New Roman" w:hAnsi="Times New Roman" w:eastAsia="Times New Roman" w:cs="Times New Roman"/>
                <w:spacing w:val="1"/>
                <w:sz w:val="24"/>
                <w:szCs w:val="24"/>
              </w:rPr>
              <w:t>2021</w:t>
            </w:r>
            <w:r>
              <w:rPr>
                <w:spacing w:val="1"/>
                <w:sz w:val="24"/>
                <w:szCs w:val="24"/>
              </w:rPr>
              <w:t>）中规定，</w:t>
            </w:r>
            <w:r>
              <w:rPr>
                <w:spacing w:val="-1"/>
                <w:sz w:val="24"/>
                <w:szCs w:val="24"/>
              </w:rPr>
              <w:t>本项目选用导则中附录</w:t>
            </w:r>
            <w:r>
              <w:rPr>
                <w:spacing w:val="-55"/>
                <w:sz w:val="24"/>
                <w:szCs w:val="24"/>
              </w:rPr>
              <w:t xml:space="preserve"> </w:t>
            </w:r>
            <w:r>
              <w:rPr>
                <w:rFonts w:ascii="Times New Roman" w:hAnsi="Times New Roman" w:eastAsia="Times New Roman" w:cs="Times New Roman"/>
                <w:spacing w:val="-1"/>
                <w:sz w:val="24"/>
                <w:szCs w:val="24"/>
              </w:rPr>
              <w:t>A</w:t>
            </w:r>
            <w:r>
              <w:rPr>
                <w:rFonts w:ascii="Times New Roman" w:hAnsi="Times New Roman" w:eastAsia="Times New Roman" w:cs="Times New Roman"/>
                <w:spacing w:val="-32"/>
                <w:sz w:val="24"/>
                <w:szCs w:val="24"/>
              </w:rPr>
              <w:t xml:space="preserve"> </w:t>
            </w:r>
            <w:r>
              <w:rPr>
                <w:spacing w:val="-1"/>
                <w:sz w:val="24"/>
                <w:szCs w:val="24"/>
              </w:rPr>
              <w:t>、</w:t>
            </w:r>
            <w:r>
              <w:rPr>
                <w:rFonts w:ascii="Times New Roman" w:hAnsi="Times New Roman" w:eastAsia="Times New Roman" w:cs="Times New Roman"/>
                <w:spacing w:val="-1"/>
                <w:sz w:val="24"/>
                <w:szCs w:val="24"/>
              </w:rPr>
              <w:t xml:space="preserve">B </w:t>
            </w:r>
            <w:r>
              <w:rPr>
                <w:spacing w:val="-1"/>
                <w:sz w:val="24"/>
                <w:szCs w:val="24"/>
              </w:rPr>
              <w:t>给定的噪声预测模型，在不能取得声源倍频带声功率</w:t>
            </w:r>
            <w:r>
              <w:rPr>
                <w:spacing w:val="1"/>
                <w:sz w:val="24"/>
                <w:szCs w:val="24"/>
              </w:rPr>
              <w:t>级或声源倍频带声压级，只能获得</w:t>
            </w:r>
            <w:r>
              <w:rPr>
                <w:spacing w:val="-39"/>
                <w:sz w:val="24"/>
                <w:szCs w:val="24"/>
              </w:rPr>
              <w:t xml:space="preserve"> </w:t>
            </w:r>
            <w:r>
              <w:rPr>
                <w:rFonts w:ascii="Times New Roman" w:hAnsi="Times New Roman" w:eastAsia="Times New Roman" w:cs="Times New Roman"/>
                <w:spacing w:val="1"/>
                <w:sz w:val="24"/>
                <w:szCs w:val="24"/>
              </w:rPr>
              <w:t>A</w:t>
            </w:r>
            <w:r>
              <w:rPr>
                <w:rFonts w:ascii="Times New Roman" w:hAnsi="Times New Roman" w:eastAsia="Times New Roman" w:cs="Times New Roman"/>
                <w:spacing w:val="16"/>
                <w:w w:val="101"/>
                <w:sz w:val="24"/>
                <w:szCs w:val="24"/>
              </w:rPr>
              <w:t xml:space="preserve"> </w:t>
            </w:r>
            <w:r>
              <w:rPr>
                <w:spacing w:val="1"/>
                <w:sz w:val="24"/>
                <w:szCs w:val="24"/>
              </w:rPr>
              <w:t>声功率级或某点的</w:t>
            </w:r>
            <w:r>
              <w:rPr>
                <w:spacing w:val="-58"/>
                <w:sz w:val="24"/>
                <w:szCs w:val="24"/>
              </w:rPr>
              <w:t xml:space="preserve"> </w:t>
            </w:r>
            <w:r>
              <w:rPr>
                <w:rFonts w:ascii="Times New Roman" w:hAnsi="Times New Roman" w:eastAsia="Times New Roman" w:cs="Times New Roman"/>
                <w:spacing w:val="1"/>
                <w:sz w:val="24"/>
                <w:szCs w:val="24"/>
              </w:rPr>
              <w:t>A</w:t>
            </w:r>
            <w:r>
              <w:rPr>
                <w:rFonts w:ascii="Times New Roman" w:hAnsi="Times New Roman" w:eastAsia="Times New Roman" w:cs="Times New Roman"/>
                <w:spacing w:val="16"/>
                <w:sz w:val="24"/>
                <w:szCs w:val="24"/>
              </w:rPr>
              <w:t xml:space="preserve"> </w:t>
            </w:r>
            <w:r>
              <w:rPr>
                <w:spacing w:val="1"/>
                <w:sz w:val="24"/>
                <w:szCs w:val="24"/>
              </w:rPr>
              <w:t>声级时，可用</w:t>
            </w:r>
            <w:r>
              <w:rPr>
                <w:rFonts w:ascii="Times New Roman" w:hAnsi="Times New Roman" w:eastAsia="Times New Roman" w:cs="Times New Roman"/>
                <w:spacing w:val="1"/>
                <w:sz w:val="24"/>
                <w:szCs w:val="24"/>
              </w:rPr>
              <w:t>A</w:t>
            </w:r>
            <w:r>
              <w:rPr>
                <w:rFonts w:ascii="Times New Roman" w:hAnsi="Times New Roman" w:eastAsia="Times New Roman" w:cs="Times New Roman"/>
                <w:spacing w:val="16"/>
                <w:sz w:val="24"/>
                <w:szCs w:val="24"/>
              </w:rPr>
              <w:t xml:space="preserve"> </w:t>
            </w:r>
            <w:r>
              <w:rPr>
                <w:spacing w:val="1"/>
                <w:sz w:val="24"/>
                <w:szCs w:val="24"/>
              </w:rPr>
              <w:t>声功率</w:t>
            </w:r>
            <w:r>
              <w:rPr>
                <w:spacing w:val="-2"/>
                <w:sz w:val="24"/>
                <w:szCs w:val="24"/>
              </w:rPr>
              <w:t>级或某点的</w:t>
            </w:r>
            <w:r>
              <w:rPr>
                <w:spacing w:val="-48"/>
                <w:sz w:val="24"/>
                <w:szCs w:val="24"/>
              </w:rPr>
              <w:t xml:space="preserve"> </w:t>
            </w:r>
            <w:r>
              <w:rPr>
                <w:rFonts w:ascii="Times New Roman" w:hAnsi="Times New Roman" w:eastAsia="Times New Roman" w:cs="Times New Roman"/>
                <w:spacing w:val="-2"/>
                <w:sz w:val="24"/>
                <w:szCs w:val="24"/>
              </w:rPr>
              <w:t xml:space="preserve">A </w:t>
            </w:r>
            <w:r>
              <w:rPr>
                <w:spacing w:val="-2"/>
                <w:sz w:val="24"/>
                <w:szCs w:val="24"/>
              </w:rPr>
              <w:t>声级计算。</w:t>
            </w:r>
          </w:p>
          <w:p w14:paraId="69F83368">
            <w:pPr>
              <w:pStyle w:val="6"/>
              <w:spacing w:before="1" w:line="218" w:lineRule="auto"/>
              <w:ind w:left="587"/>
              <w:rPr>
                <w:sz w:val="24"/>
                <w:szCs w:val="24"/>
              </w:rPr>
            </w:pPr>
            <w:r>
              <w:rPr>
                <w:b/>
                <w:bCs/>
                <w:spacing w:val="-5"/>
                <w:sz w:val="24"/>
                <w:szCs w:val="24"/>
              </w:rPr>
              <w:t>基本公式</w:t>
            </w:r>
          </w:p>
          <w:p w14:paraId="4D7736EB">
            <w:pPr>
              <w:pStyle w:val="6"/>
              <w:spacing w:before="184" w:line="227" w:lineRule="auto"/>
              <w:ind w:left="571"/>
              <w:rPr>
                <w:sz w:val="24"/>
                <w:szCs w:val="24"/>
              </w:rPr>
            </w:pPr>
            <w:r>
              <w:rPr>
                <w:rFonts w:ascii="Times New Roman" w:hAnsi="Times New Roman" w:eastAsia="Times New Roman" w:cs="Times New Roman"/>
                <w:i/>
                <w:iCs/>
                <w:sz w:val="24"/>
                <w:szCs w:val="24"/>
              </w:rPr>
              <w:t>Lp</w:t>
            </w:r>
            <w:r>
              <w:rPr>
                <w:spacing w:val="4"/>
                <w:sz w:val="24"/>
                <w:szCs w:val="24"/>
              </w:rPr>
              <w:t>（</w:t>
            </w:r>
            <w:r>
              <w:rPr>
                <w:rFonts w:ascii="Times New Roman" w:hAnsi="Times New Roman" w:eastAsia="Times New Roman" w:cs="Times New Roman"/>
                <w:i/>
                <w:iCs/>
                <w:spacing w:val="4"/>
                <w:sz w:val="24"/>
                <w:szCs w:val="24"/>
              </w:rPr>
              <w:t>r</w:t>
            </w:r>
            <w:r>
              <w:rPr>
                <w:spacing w:val="-11"/>
                <w:sz w:val="24"/>
                <w:szCs w:val="24"/>
              </w:rPr>
              <w:t>）＝</w:t>
            </w:r>
            <w:r>
              <w:rPr>
                <w:rFonts w:ascii="Times New Roman" w:hAnsi="Times New Roman" w:eastAsia="Times New Roman" w:cs="Times New Roman"/>
                <w:i/>
                <w:iCs/>
                <w:sz w:val="24"/>
                <w:szCs w:val="24"/>
              </w:rPr>
              <w:t>Lp</w:t>
            </w:r>
            <w:r>
              <w:rPr>
                <w:spacing w:val="4"/>
                <w:sz w:val="24"/>
                <w:szCs w:val="24"/>
              </w:rPr>
              <w:t>（</w:t>
            </w:r>
            <w:r>
              <w:rPr>
                <w:rFonts w:ascii="Times New Roman" w:hAnsi="Times New Roman" w:eastAsia="Times New Roman" w:cs="Times New Roman"/>
                <w:i/>
                <w:iCs/>
                <w:spacing w:val="4"/>
                <w:sz w:val="24"/>
                <w:szCs w:val="24"/>
              </w:rPr>
              <w:t>r</w:t>
            </w:r>
            <w:r>
              <w:rPr>
                <w:rFonts w:ascii="Times New Roman" w:hAnsi="Times New Roman" w:eastAsia="Times New Roman" w:cs="Times New Roman"/>
                <w:spacing w:val="4"/>
                <w:sz w:val="24"/>
                <w:szCs w:val="24"/>
              </w:rPr>
              <w:t>0</w:t>
            </w:r>
            <w:r>
              <w:rPr>
                <w:spacing w:val="4"/>
                <w:sz w:val="24"/>
                <w:szCs w:val="24"/>
              </w:rPr>
              <w:t>）</w:t>
            </w:r>
            <w:r>
              <w:rPr>
                <w:rFonts w:ascii="Times New Roman" w:hAnsi="Times New Roman" w:eastAsia="Times New Roman" w:cs="Times New Roman"/>
                <w:spacing w:val="4"/>
                <w:sz w:val="24"/>
                <w:szCs w:val="24"/>
              </w:rPr>
              <w:t>+</w:t>
            </w:r>
            <w:r>
              <w:rPr>
                <w:rFonts w:ascii="Times New Roman" w:hAnsi="Times New Roman" w:eastAsia="Times New Roman" w:cs="Times New Roman"/>
                <w:i/>
                <w:iCs/>
                <w:sz w:val="24"/>
                <w:szCs w:val="24"/>
              </w:rPr>
              <w:t>D</w:t>
            </w:r>
            <w:r>
              <w:rPr>
                <w:rFonts w:ascii="Times New Roman" w:hAnsi="Times New Roman" w:eastAsia="Times New Roman" w:cs="Times New Roman"/>
                <w:sz w:val="24"/>
                <w:szCs w:val="24"/>
              </w:rPr>
              <w:t>C</w:t>
            </w:r>
            <w:r>
              <w:rPr>
                <w:spacing w:val="-11"/>
                <w:sz w:val="24"/>
                <w:szCs w:val="24"/>
              </w:rPr>
              <w:t>－（</w:t>
            </w:r>
            <w:r>
              <w:rPr>
                <w:rFonts w:ascii="Times New Roman" w:hAnsi="Times New Roman" w:eastAsia="Times New Roman" w:cs="Times New Roman"/>
                <w:i/>
                <w:iCs/>
                <w:sz w:val="24"/>
                <w:szCs w:val="24"/>
              </w:rPr>
              <w:t>A</w:t>
            </w:r>
            <w:r>
              <w:rPr>
                <w:rFonts w:ascii="Times New Roman" w:hAnsi="Times New Roman" w:eastAsia="Times New Roman" w:cs="Times New Roman"/>
                <w:sz w:val="24"/>
                <w:szCs w:val="24"/>
              </w:rPr>
              <w:t>div</w:t>
            </w:r>
            <w:r>
              <w:rPr>
                <w:spacing w:val="4"/>
                <w:sz w:val="24"/>
                <w:szCs w:val="24"/>
              </w:rPr>
              <w:t>＋</w:t>
            </w:r>
            <w:r>
              <w:rPr>
                <w:rFonts w:ascii="Times New Roman" w:hAnsi="Times New Roman" w:eastAsia="Times New Roman" w:cs="Times New Roman"/>
                <w:i/>
                <w:iCs/>
                <w:sz w:val="24"/>
                <w:szCs w:val="24"/>
              </w:rPr>
              <w:t>A</w:t>
            </w:r>
            <w:r>
              <w:rPr>
                <w:rFonts w:ascii="Times New Roman" w:hAnsi="Times New Roman" w:eastAsia="Times New Roman" w:cs="Times New Roman"/>
                <w:sz w:val="24"/>
                <w:szCs w:val="24"/>
              </w:rPr>
              <w:t>atm</w:t>
            </w:r>
            <w:r>
              <w:rPr>
                <w:spacing w:val="4"/>
                <w:sz w:val="24"/>
                <w:szCs w:val="24"/>
              </w:rPr>
              <w:t>＋</w:t>
            </w:r>
            <w:r>
              <w:rPr>
                <w:rFonts w:ascii="Times New Roman" w:hAnsi="Times New Roman" w:eastAsia="Times New Roman" w:cs="Times New Roman"/>
                <w:i/>
                <w:iCs/>
                <w:sz w:val="24"/>
                <w:szCs w:val="24"/>
              </w:rPr>
              <w:t>A</w:t>
            </w:r>
            <w:r>
              <w:rPr>
                <w:rFonts w:ascii="Times New Roman" w:hAnsi="Times New Roman" w:eastAsia="Times New Roman" w:cs="Times New Roman"/>
                <w:sz w:val="24"/>
                <w:szCs w:val="24"/>
              </w:rPr>
              <w:t>gr</w:t>
            </w:r>
            <w:r>
              <w:rPr>
                <w:spacing w:val="4"/>
                <w:sz w:val="24"/>
                <w:szCs w:val="24"/>
              </w:rPr>
              <w:t>＋</w:t>
            </w:r>
            <w:r>
              <w:rPr>
                <w:rFonts w:ascii="Times New Roman" w:hAnsi="Times New Roman" w:eastAsia="Times New Roman" w:cs="Times New Roman"/>
                <w:i/>
                <w:iCs/>
                <w:sz w:val="24"/>
                <w:szCs w:val="24"/>
              </w:rPr>
              <w:t>A</w:t>
            </w:r>
            <w:r>
              <w:rPr>
                <w:rFonts w:ascii="Times New Roman" w:hAnsi="Times New Roman" w:eastAsia="Times New Roman" w:cs="Times New Roman"/>
                <w:sz w:val="24"/>
                <w:szCs w:val="24"/>
              </w:rPr>
              <w:t>bar</w:t>
            </w:r>
            <w:r>
              <w:rPr>
                <w:spacing w:val="4"/>
                <w:sz w:val="24"/>
                <w:szCs w:val="24"/>
              </w:rPr>
              <w:t>＋</w:t>
            </w:r>
            <w:r>
              <w:rPr>
                <w:rFonts w:ascii="Times New Roman" w:hAnsi="Times New Roman" w:eastAsia="Times New Roman" w:cs="Times New Roman"/>
                <w:i/>
                <w:iCs/>
                <w:sz w:val="24"/>
                <w:szCs w:val="24"/>
              </w:rPr>
              <w:t>A</w:t>
            </w:r>
            <w:r>
              <w:rPr>
                <w:rFonts w:ascii="Times New Roman" w:hAnsi="Times New Roman" w:eastAsia="Times New Roman" w:cs="Times New Roman"/>
                <w:sz w:val="24"/>
                <w:szCs w:val="24"/>
              </w:rPr>
              <w:t>misc</w:t>
            </w:r>
            <w:r>
              <w:rPr>
                <w:spacing w:val="4"/>
                <w:sz w:val="24"/>
                <w:szCs w:val="24"/>
              </w:rPr>
              <w:t>）</w:t>
            </w:r>
          </w:p>
          <w:p w14:paraId="43719F77">
            <w:pPr>
              <w:pStyle w:val="6"/>
              <w:spacing w:before="192" w:line="219" w:lineRule="auto"/>
              <w:ind w:left="592"/>
              <w:rPr>
                <w:sz w:val="24"/>
                <w:szCs w:val="24"/>
              </w:rPr>
            </w:pPr>
            <w:r>
              <w:rPr>
                <w:spacing w:val="-1"/>
                <w:sz w:val="24"/>
                <w:szCs w:val="24"/>
              </w:rPr>
              <w:t>式中：</w:t>
            </w:r>
            <w:r>
              <w:rPr>
                <w:rFonts w:ascii="Times New Roman" w:hAnsi="Times New Roman" w:eastAsia="Times New Roman" w:cs="Times New Roman"/>
                <w:i/>
                <w:iCs/>
                <w:spacing w:val="-1"/>
                <w:sz w:val="24"/>
                <w:szCs w:val="24"/>
              </w:rPr>
              <w:t>L</w:t>
            </w:r>
            <w:r>
              <w:rPr>
                <w:rFonts w:ascii="Times New Roman" w:hAnsi="Times New Roman" w:eastAsia="Times New Roman" w:cs="Times New Roman"/>
                <w:i/>
                <w:iCs/>
                <w:spacing w:val="-1"/>
                <w:position w:val="-2"/>
                <w:sz w:val="24"/>
                <w:szCs w:val="24"/>
              </w:rPr>
              <w:t>p</w:t>
            </w:r>
            <w:r>
              <w:rPr>
                <w:spacing w:val="-1"/>
                <w:sz w:val="24"/>
                <w:szCs w:val="24"/>
              </w:rPr>
              <w:t>（</w:t>
            </w:r>
            <w:r>
              <w:rPr>
                <w:rFonts w:ascii="Times New Roman" w:hAnsi="Times New Roman" w:eastAsia="Times New Roman" w:cs="Times New Roman"/>
                <w:i/>
                <w:iCs/>
                <w:spacing w:val="-1"/>
                <w:sz w:val="24"/>
                <w:szCs w:val="24"/>
              </w:rPr>
              <w:t>r</w:t>
            </w:r>
            <w:r>
              <w:rPr>
                <w:spacing w:val="-1"/>
                <w:sz w:val="24"/>
                <w:szCs w:val="24"/>
              </w:rPr>
              <w:t xml:space="preserve">） </w:t>
            </w:r>
            <w:r>
              <w:rPr>
                <w:rFonts w:ascii="Times New Roman" w:hAnsi="Times New Roman" w:eastAsia="Times New Roman" w:cs="Times New Roman"/>
                <w:spacing w:val="-1"/>
                <w:sz w:val="24"/>
                <w:szCs w:val="24"/>
              </w:rPr>
              <w:t>——</w:t>
            </w:r>
            <w:r>
              <w:rPr>
                <w:spacing w:val="-1"/>
                <w:sz w:val="24"/>
                <w:szCs w:val="24"/>
              </w:rPr>
              <w:t>预测点处声压级，</w:t>
            </w:r>
            <w:r>
              <w:rPr>
                <w:rFonts w:ascii="Times New Roman" w:hAnsi="Times New Roman" w:eastAsia="Times New Roman" w:cs="Times New Roman"/>
                <w:spacing w:val="-1"/>
                <w:sz w:val="24"/>
                <w:szCs w:val="24"/>
              </w:rPr>
              <w:t>dB</w:t>
            </w:r>
            <w:r>
              <w:rPr>
                <w:spacing w:val="-1"/>
                <w:sz w:val="24"/>
                <w:szCs w:val="24"/>
              </w:rPr>
              <w:t>；</w:t>
            </w:r>
          </w:p>
          <w:p w14:paraId="663AC63D">
            <w:pPr>
              <w:pStyle w:val="6"/>
              <w:spacing w:before="190" w:line="227" w:lineRule="auto"/>
              <w:ind w:left="571"/>
              <w:rPr>
                <w:sz w:val="24"/>
                <w:szCs w:val="24"/>
              </w:rPr>
            </w:pPr>
            <w:r>
              <w:rPr>
                <w:rFonts w:ascii="Times New Roman" w:hAnsi="Times New Roman" w:eastAsia="Times New Roman" w:cs="Times New Roman"/>
                <w:i/>
                <w:iCs/>
                <w:sz w:val="24"/>
                <w:szCs w:val="24"/>
              </w:rPr>
              <w:t>Lp</w:t>
            </w:r>
            <w:r>
              <w:rPr>
                <w:sz w:val="24"/>
                <w:szCs w:val="24"/>
              </w:rPr>
              <w:t>（</w:t>
            </w:r>
            <w:r>
              <w:rPr>
                <w:rFonts w:ascii="Times New Roman" w:hAnsi="Times New Roman" w:eastAsia="Times New Roman" w:cs="Times New Roman"/>
                <w:i/>
                <w:iCs/>
                <w:sz w:val="24"/>
                <w:szCs w:val="24"/>
              </w:rPr>
              <w:t>r</w:t>
            </w:r>
            <w:r>
              <w:rPr>
                <w:rFonts w:ascii="Times New Roman" w:hAnsi="Times New Roman" w:eastAsia="Times New Roman" w:cs="Times New Roman"/>
                <w:sz w:val="24"/>
                <w:szCs w:val="24"/>
              </w:rPr>
              <w:t>0</w:t>
            </w:r>
            <w:r>
              <w:rPr>
                <w:sz w:val="24"/>
                <w:szCs w:val="24"/>
              </w:rPr>
              <w:t xml:space="preserve">） </w:t>
            </w:r>
            <w:r>
              <w:rPr>
                <w:rFonts w:ascii="Times New Roman" w:hAnsi="Times New Roman" w:eastAsia="Times New Roman" w:cs="Times New Roman"/>
                <w:sz w:val="24"/>
                <w:szCs w:val="24"/>
              </w:rPr>
              <w:t>——</w:t>
            </w:r>
            <w:r>
              <w:rPr>
                <w:sz w:val="24"/>
                <w:szCs w:val="24"/>
              </w:rPr>
              <w:t>参考位置</w:t>
            </w:r>
            <w:r>
              <w:rPr>
                <w:spacing w:val="-55"/>
                <w:sz w:val="24"/>
                <w:szCs w:val="24"/>
              </w:rPr>
              <w:t xml:space="preserve"> </w:t>
            </w:r>
            <w:r>
              <w:rPr>
                <w:rFonts w:ascii="Times New Roman" w:hAnsi="Times New Roman" w:eastAsia="Times New Roman" w:cs="Times New Roman"/>
                <w:i/>
                <w:iCs/>
                <w:sz w:val="24"/>
                <w:szCs w:val="24"/>
              </w:rPr>
              <w:t>r</w:t>
            </w:r>
            <w:r>
              <w:rPr>
                <w:rFonts w:ascii="Times New Roman" w:hAnsi="Times New Roman" w:eastAsia="Times New Roman" w:cs="Times New Roman"/>
                <w:sz w:val="24"/>
                <w:szCs w:val="24"/>
              </w:rPr>
              <w:t xml:space="preserve">0 </w:t>
            </w:r>
            <w:r>
              <w:rPr>
                <w:sz w:val="24"/>
                <w:szCs w:val="24"/>
              </w:rPr>
              <w:t>处的声压级，</w:t>
            </w:r>
            <w:r>
              <w:rPr>
                <w:rFonts w:ascii="Times New Roman" w:hAnsi="Times New Roman" w:eastAsia="Times New Roman" w:cs="Times New Roman"/>
                <w:sz w:val="24"/>
                <w:szCs w:val="24"/>
              </w:rPr>
              <w:t>dB</w:t>
            </w:r>
            <w:r>
              <w:rPr>
                <w:sz w:val="24"/>
                <w:szCs w:val="24"/>
              </w:rPr>
              <w:t>；</w:t>
            </w:r>
          </w:p>
          <w:p w14:paraId="35F1E16D">
            <w:pPr>
              <w:pStyle w:val="6"/>
              <w:spacing w:before="176" w:line="360" w:lineRule="auto"/>
              <w:ind w:left="107" w:right="103" w:firstLine="463"/>
              <w:rPr>
                <w:sz w:val="24"/>
                <w:szCs w:val="24"/>
              </w:rPr>
            </w:pPr>
            <w:r>
              <w:rPr>
                <w:rFonts w:ascii="Times New Roman" w:hAnsi="Times New Roman" w:eastAsia="Times New Roman" w:cs="Times New Roman"/>
                <w:i/>
                <w:iCs/>
                <w:spacing w:val="-3"/>
                <w:sz w:val="24"/>
                <w:szCs w:val="24"/>
              </w:rPr>
              <w:t>D</w:t>
            </w:r>
            <w:r>
              <w:rPr>
                <w:rFonts w:ascii="Times New Roman" w:hAnsi="Times New Roman" w:eastAsia="Times New Roman" w:cs="Times New Roman"/>
                <w:spacing w:val="-3"/>
                <w:sz w:val="24"/>
                <w:szCs w:val="24"/>
              </w:rPr>
              <w:t>C    ——</w:t>
            </w:r>
            <w:r>
              <w:rPr>
                <w:spacing w:val="-3"/>
                <w:sz w:val="24"/>
                <w:szCs w:val="24"/>
              </w:rPr>
              <w:t>指向性校正，它描述点声源的等效连续声</w:t>
            </w:r>
            <w:r>
              <w:rPr>
                <w:spacing w:val="-4"/>
                <w:sz w:val="24"/>
                <w:szCs w:val="24"/>
              </w:rPr>
              <w:t>压级与产生声功率级</w:t>
            </w:r>
            <w:r>
              <w:rPr>
                <w:spacing w:val="-67"/>
                <w:sz w:val="24"/>
                <w:szCs w:val="24"/>
              </w:rPr>
              <w:t xml:space="preserve"> </w:t>
            </w:r>
            <w:r>
              <w:rPr>
                <w:rFonts w:ascii="Times New Roman" w:hAnsi="Times New Roman" w:eastAsia="Times New Roman" w:cs="Times New Roman"/>
                <w:i/>
                <w:iCs/>
                <w:spacing w:val="-4"/>
                <w:sz w:val="24"/>
                <w:szCs w:val="24"/>
              </w:rPr>
              <w:t>Lw</w:t>
            </w:r>
            <w:r>
              <w:rPr>
                <w:rFonts w:ascii="Times New Roman" w:hAnsi="Times New Roman" w:eastAsia="Times New Roman" w:cs="Times New Roman"/>
                <w:i/>
                <w:iCs/>
                <w:spacing w:val="15"/>
                <w:sz w:val="24"/>
                <w:szCs w:val="24"/>
              </w:rPr>
              <w:t xml:space="preserve">  </w:t>
            </w:r>
            <w:r>
              <w:rPr>
                <w:spacing w:val="-4"/>
                <w:sz w:val="24"/>
                <w:szCs w:val="24"/>
              </w:rPr>
              <w:t>的</w:t>
            </w:r>
            <w:r>
              <w:rPr>
                <w:spacing w:val="-2"/>
                <w:sz w:val="24"/>
                <w:szCs w:val="24"/>
              </w:rPr>
              <w:t>全向点声源在规定方</w:t>
            </w:r>
            <w:r>
              <w:rPr>
                <w:spacing w:val="33"/>
                <w:sz w:val="24"/>
                <w:szCs w:val="24"/>
              </w:rPr>
              <w:t xml:space="preserve"> </w:t>
            </w:r>
            <w:r>
              <w:rPr>
                <w:spacing w:val="-2"/>
                <w:sz w:val="24"/>
                <w:szCs w:val="24"/>
              </w:rPr>
              <w:t>向的声级的偏差程度，</w:t>
            </w:r>
            <w:r>
              <w:rPr>
                <w:rFonts w:ascii="Times New Roman" w:hAnsi="Times New Roman" w:eastAsia="Times New Roman" w:cs="Times New Roman"/>
                <w:spacing w:val="-2"/>
                <w:sz w:val="24"/>
                <w:szCs w:val="24"/>
              </w:rPr>
              <w:t>dB</w:t>
            </w:r>
            <w:r>
              <w:rPr>
                <w:spacing w:val="-2"/>
                <w:sz w:val="24"/>
                <w:szCs w:val="24"/>
              </w:rPr>
              <w:t>；</w:t>
            </w:r>
          </w:p>
          <w:p w14:paraId="2A6B0CD4">
            <w:pPr>
              <w:pStyle w:val="6"/>
              <w:spacing w:before="1" w:line="218" w:lineRule="auto"/>
              <w:ind w:left="567"/>
              <w:rPr>
                <w:sz w:val="24"/>
                <w:szCs w:val="24"/>
              </w:rPr>
            </w:pPr>
            <w:r>
              <w:rPr>
                <w:rFonts w:ascii="Times New Roman" w:hAnsi="Times New Roman" w:eastAsia="Times New Roman" w:cs="Times New Roman"/>
                <w:i/>
                <w:iCs/>
                <w:position w:val="-1"/>
                <w:sz w:val="24"/>
                <w:szCs w:val="24"/>
              </w:rPr>
              <w:t>A</w:t>
            </w:r>
            <w:r>
              <w:rPr>
                <w:rFonts w:ascii="Times New Roman" w:hAnsi="Times New Roman" w:eastAsia="Times New Roman" w:cs="Times New Roman"/>
                <w:position w:val="-1"/>
                <w:sz w:val="24"/>
                <w:szCs w:val="24"/>
              </w:rPr>
              <w:t>div</w:t>
            </w:r>
            <w:r>
              <w:rPr>
                <w:rFonts w:ascii="Times New Roman" w:hAnsi="Times New Roman" w:eastAsia="Times New Roman" w:cs="Times New Roman"/>
                <w:spacing w:val="19"/>
                <w:position w:val="-1"/>
                <w:sz w:val="24"/>
                <w:szCs w:val="24"/>
              </w:rPr>
              <w:t xml:space="preserve">   </w:t>
            </w:r>
            <w:r>
              <w:rPr>
                <w:rFonts w:ascii="Times New Roman" w:hAnsi="Times New Roman" w:eastAsia="Times New Roman" w:cs="Times New Roman"/>
                <w:spacing w:val="1"/>
                <w:sz w:val="24"/>
                <w:szCs w:val="24"/>
              </w:rPr>
              <w:t>——</w:t>
            </w:r>
            <w:r>
              <w:rPr>
                <w:spacing w:val="1"/>
                <w:sz w:val="24"/>
                <w:szCs w:val="24"/>
              </w:rPr>
              <w:t>几何发散引起的衰减，</w:t>
            </w:r>
            <w:r>
              <w:rPr>
                <w:rFonts w:ascii="Times New Roman" w:hAnsi="Times New Roman" w:eastAsia="Times New Roman" w:cs="Times New Roman"/>
                <w:sz w:val="24"/>
                <w:szCs w:val="24"/>
              </w:rPr>
              <w:t>dB</w:t>
            </w:r>
            <w:r>
              <w:rPr>
                <w:spacing w:val="1"/>
                <w:sz w:val="24"/>
                <w:szCs w:val="24"/>
              </w:rPr>
              <w:t>；</w:t>
            </w:r>
          </w:p>
          <w:p w14:paraId="67B433EC">
            <w:pPr>
              <w:pStyle w:val="6"/>
              <w:spacing w:before="186" w:line="219" w:lineRule="auto"/>
              <w:ind w:left="567"/>
              <w:rPr>
                <w:sz w:val="24"/>
                <w:szCs w:val="24"/>
              </w:rPr>
            </w:pPr>
            <w:r>
              <w:rPr>
                <w:rFonts w:ascii="Times New Roman" w:hAnsi="Times New Roman" w:eastAsia="Times New Roman" w:cs="Times New Roman"/>
                <w:i/>
                <w:iCs/>
                <w:position w:val="-1"/>
                <w:sz w:val="24"/>
                <w:szCs w:val="24"/>
              </w:rPr>
              <w:t>A</w:t>
            </w:r>
            <w:r>
              <w:rPr>
                <w:rFonts w:ascii="Times New Roman" w:hAnsi="Times New Roman" w:eastAsia="Times New Roman" w:cs="Times New Roman"/>
                <w:position w:val="-1"/>
                <w:sz w:val="24"/>
                <w:szCs w:val="24"/>
              </w:rPr>
              <w:t>atm</w:t>
            </w:r>
            <w:r>
              <w:rPr>
                <w:rFonts w:ascii="Times New Roman" w:hAnsi="Times New Roman" w:eastAsia="Times New Roman" w:cs="Times New Roman"/>
                <w:spacing w:val="23"/>
                <w:position w:val="-1"/>
                <w:sz w:val="24"/>
                <w:szCs w:val="24"/>
              </w:rPr>
              <w:t xml:space="preserve">   </w:t>
            </w:r>
            <w:r>
              <w:rPr>
                <w:rFonts w:ascii="Times New Roman" w:hAnsi="Times New Roman" w:eastAsia="Times New Roman" w:cs="Times New Roman"/>
                <w:sz w:val="24"/>
                <w:szCs w:val="24"/>
              </w:rPr>
              <w:t>——</w:t>
            </w:r>
            <w:r>
              <w:rPr>
                <w:sz w:val="24"/>
                <w:szCs w:val="24"/>
              </w:rPr>
              <w:t>大气吸收引起的衰减，</w:t>
            </w:r>
            <w:r>
              <w:rPr>
                <w:rFonts w:ascii="Times New Roman" w:hAnsi="Times New Roman" w:eastAsia="Times New Roman" w:cs="Times New Roman"/>
                <w:sz w:val="24"/>
                <w:szCs w:val="24"/>
              </w:rPr>
              <w:t>dB</w:t>
            </w:r>
            <w:r>
              <w:rPr>
                <w:sz w:val="24"/>
                <w:szCs w:val="24"/>
              </w:rPr>
              <w:t>；</w:t>
            </w:r>
          </w:p>
          <w:p w14:paraId="7E7C4FBB">
            <w:pPr>
              <w:pStyle w:val="6"/>
              <w:spacing w:before="183" w:line="219" w:lineRule="auto"/>
              <w:ind w:left="567"/>
              <w:rPr>
                <w:sz w:val="24"/>
                <w:szCs w:val="24"/>
              </w:rPr>
            </w:pPr>
            <w:r>
              <w:rPr>
                <w:rFonts w:ascii="Times New Roman" w:hAnsi="Times New Roman" w:eastAsia="Times New Roman" w:cs="Times New Roman"/>
                <w:i/>
                <w:iCs/>
                <w:position w:val="-1"/>
                <w:sz w:val="24"/>
                <w:szCs w:val="24"/>
              </w:rPr>
              <w:t>A</w:t>
            </w:r>
            <w:r>
              <w:rPr>
                <w:rFonts w:ascii="Times New Roman" w:hAnsi="Times New Roman" w:eastAsia="Times New Roman" w:cs="Times New Roman"/>
                <w:position w:val="-1"/>
                <w:sz w:val="24"/>
                <w:szCs w:val="24"/>
              </w:rPr>
              <w:t>gr</w:t>
            </w:r>
            <w:r>
              <w:rPr>
                <w:rFonts w:ascii="Times New Roman" w:hAnsi="Times New Roman" w:eastAsia="Times New Roman" w:cs="Times New Roman"/>
                <w:spacing w:val="23"/>
                <w:position w:val="-1"/>
                <w:sz w:val="24"/>
                <w:szCs w:val="24"/>
              </w:rPr>
              <w:t xml:space="preserve">   </w:t>
            </w:r>
            <w:r>
              <w:rPr>
                <w:rFonts w:ascii="Times New Roman" w:hAnsi="Times New Roman" w:eastAsia="Times New Roman" w:cs="Times New Roman"/>
                <w:sz w:val="24"/>
                <w:szCs w:val="24"/>
              </w:rPr>
              <w:t>——</w:t>
            </w:r>
            <w:r>
              <w:rPr>
                <w:sz w:val="24"/>
                <w:szCs w:val="24"/>
              </w:rPr>
              <w:t>地面效应引起的衰减，</w:t>
            </w:r>
            <w:r>
              <w:rPr>
                <w:rFonts w:ascii="Times New Roman" w:hAnsi="Times New Roman" w:eastAsia="Times New Roman" w:cs="Times New Roman"/>
                <w:sz w:val="24"/>
                <w:szCs w:val="24"/>
              </w:rPr>
              <w:t>dB</w:t>
            </w:r>
            <w:r>
              <w:rPr>
                <w:sz w:val="24"/>
                <w:szCs w:val="24"/>
              </w:rPr>
              <w:t>；</w:t>
            </w:r>
          </w:p>
          <w:p w14:paraId="6C20F6A4">
            <w:pPr>
              <w:pStyle w:val="6"/>
              <w:spacing w:before="186" w:line="219" w:lineRule="auto"/>
              <w:ind w:left="567"/>
              <w:rPr>
                <w:sz w:val="24"/>
                <w:szCs w:val="24"/>
              </w:rPr>
            </w:pPr>
            <w:r>
              <w:rPr>
                <w:rFonts w:ascii="Times New Roman" w:hAnsi="Times New Roman" w:eastAsia="Times New Roman" w:cs="Times New Roman"/>
                <w:i/>
                <w:iCs/>
                <w:position w:val="-1"/>
                <w:sz w:val="24"/>
                <w:szCs w:val="24"/>
              </w:rPr>
              <w:t>A</w:t>
            </w:r>
            <w:r>
              <w:rPr>
                <w:rFonts w:ascii="Times New Roman" w:hAnsi="Times New Roman" w:eastAsia="Times New Roman" w:cs="Times New Roman"/>
                <w:position w:val="-1"/>
                <w:sz w:val="24"/>
                <w:szCs w:val="24"/>
              </w:rPr>
              <w:t>bar</w:t>
            </w:r>
            <w:r>
              <w:rPr>
                <w:rFonts w:ascii="Times New Roman" w:hAnsi="Times New Roman" w:eastAsia="Times New Roman" w:cs="Times New Roman"/>
                <w:spacing w:val="23"/>
                <w:w w:val="101"/>
                <w:position w:val="-1"/>
                <w:sz w:val="24"/>
                <w:szCs w:val="24"/>
              </w:rPr>
              <w:t xml:space="preserve">   </w:t>
            </w:r>
            <w:r>
              <w:rPr>
                <w:rFonts w:ascii="Times New Roman" w:hAnsi="Times New Roman" w:eastAsia="Times New Roman" w:cs="Times New Roman"/>
                <w:sz w:val="24"/>
                <w:szCs w:val="24"/>
              </w:rPr>
              <w:t>——</w:t>
            </w:r>
            <w:r>
              <w:rPr>
                <w:sz w:val="24"/>
                <w:szCs w:val="24"/>
              </w:rPr>
              <w:t>障碍物屏蔽引起的衰减，</w:t>
            </w:r>
            <w:r>
              <w:rPr>
                <w:rFonts w:ascii="Times New Roman" w:hAnsi="Times New Roman" w:eastAsia="Times New Roman" w:cs="Times New Roman"/>
                <w:sz w:val="24"/>
                <w:szCs w:val="24"/>
              </w:rPr>
              <w:t>dB</w:t>
            </w:r>
            <w:r>
              <w:rPr>
                <w:sz w:val="24"/>
                <w:szCs w:val="24"/>
              </w:rPr>
              <w:t>；</w:t>
            </w:r>
          </w:p>
          <w:p w14:paraId="1642DBA2">
            <w:pPr>
              <w:pStyle w:val="6"/>
              <w:spacing w:before="183" w:line="220" w:lineRule="auto"/>
              <w:ind w:left="567"/>
              <w:rPr>
                <w:sz w:val="24"/>
                <w:szCs w:val="24"/>
              </w:rPr>
            </w:pPr>
            <w:r>
              <w:rPr>
                <w:rFonts w:ascii="Times New Roman" w:hAnsi="Times New Roman" w:eastAsia="Times New Roman" w:cs="Times New Roman"/>
                <w:i/>
                <w:iCs/>
                <w:position w:val="-1"/>
                <w:sz w:val="24"/>
                <w:szCs w:val="24"/>
              </w:rPr>
              <w:t>A</w:t>
            </w:r>
            <w:r>
              <w:rPr>
                <w:rFonts w:ascii="Times New Roman" w:hAnsi="Times New Roman" w:eastAsia="Times New Roman" w:cs="Times New Roman"/>
                <w:position w:val="-1"/>
                <w:sz w:val="24"/>
                <w:szCs w:val="24"/>
              </w:rPr>
              <w:t>misc</w:t>
            </w:r>
            <w:r>
              <w:rPr>
                <w:rFonts w:ascii="Times New Roman" w:hAnsi="Times New Roman" w:eastAsia="Times New Roman" w:cs="Times New Roman"/>
                <w:spacing w:val="24"/>
                <w:position w:val="-1"/>
                <w:sz w:val="24"/>
                <w:szCs w:val="24"/>
              </w:rPr>
              <w:t xml:space="preserve">   </w:t>
            </w:r>
            <w:r>
              <w:rPr>
                <w:rFonts w:ascii="Times New Roman" w:hAnsi="Times New Roman" w:eastAsia="Times New Roman" w:cs="Times New Roman"/>
                <w:sz w:val="24"/>
                <w:szCs w:val="24"/>
              </w:rPr>
              <w:t>——</w:t>
            </w:r>
            <w:r>
              <w:rPr>
                <w:sz w:val="24"/>
                <w:szCs w:val="24"/>
              </w:rPr>
              <w:t>其他多方面效应引起的衰减，</w:t>
            </w:r>
            <w:r>
              <w:rPr>
                <w:rFonts w:ascii="Times New Roman" w:hAnsi="Times New Roman" w:eastAsia="Times New Roman" w:cs="Times New Roman"/>
                <w:sz w:val="24"/>
                <w:szCs w:val="24"/>
              </w:rPr>
              <w:t>dB</w:t>
            </w:r>
            <w:r>
              <w:rPr>
                <w:sz w:val="24"/>
                <w:szCs w:val="24"/>
              </w:rPr>
              <w:t>。</w:t>
            </w:r>
          </w:p>
          <w:p w14:paraId="1D2BF178">
            <w:pPr>
              <w:spacing w:before="254" w:line="221" w:lineRule="auto"/>
              <w:ind w:left="586"/>
              <w:rPr>
                <w:rFonts w:ascii="黑体" w:hAnsi="黑体" w:eastAsia="黑体" w:cs="黑体"/>
                <w:sz w:val="24"/>
                <w:szCs w:val="24"/>
              </w:rPr>
            </w:pPr>
            <w:r>
              <w:rPr>
                <w:rFonts w:ascii="黑体" w:hAnsi="黑体" w:eastAsia="黑体" w:cs="黑体"/>
                <w:spacing w:val="-1"/>
                <w:sz w:val="24"/>
                <w:szCs w:val="24"/>
              </w:rPr>
              <w:t>几何发散引起的衰减（</w:t>
            </w:r>
            <w:r>
              <w:rPr>
                <w:rFonts w:ascii="Times New Roman" w:hAnsi="Times New Roman" w:eastAsia="Times New Roman" w:cs="Times New Roman"/>
                <w:i/>
                <w:iCs/>
                <w:spacing w:val="-1"/>
                <w:sz w:val="24"/>
                <w:szCs w:val="24"/>
              </w:rPr>
              <w:t>A</w:t>
            </w:r>
            <w:r>
              <w:rPr>
                <w:rFonts w:ascii="Times New Roman" w:hAnsi="Times New Roman" w:eastAsia="Times New Roman" w:cs="Times New Roman"/>
                <w:spacing w:val="-1"/>
                <w:sz w:val="24"/>
                <w:szCs w:val="24"/>
              </w:rPr>
              <w:t>div</w:t>
            </w:r>
            <w:r>
              <w:rPr>
                <w:rFonts w:ascii="黑体" w:hAnsi="黑体" w:eastAsia="黑体" w:cs="黑体"/>
                <w:spacing w:val="-1"/>
                <w:sz w:val="24"/>
                <w:szCs w:val="24"/>
              </w:rPr>
              <w:t>）</w:t>
            </w:r>
          </w:p>
          <w:p w14:paraId="5EC90CB2">
            <w:pPr>
              <w:spacing w:before="181" w:line="221" w:lineRule="auto"/>
              <w:ind w:left="580"/>
              <w:rPr>
                <w:rFonts w:ascii="黑体" w:hAnsi="黑体" w:eastAsia="黑体" w:cs="黑体"/>
                <w:sz w:val="24"/>
                <w:szCs w:val="24"/>
              </w:rPr>
            </w:pPr>
            <w:r>
              <w:rPr>
                <w:rFonts w:ascii="Times New Roman" w:hAnsi="Times New Roman" w:eastAsia="Times New Roman" w:cs="Times New Roman"/>
                <w:spacing w:val="-1"/>
                <w:sz w:val="24"/>
                <w:szCs w:val="24"/>
              </w:rPr>
              <w:t xml:space="preserve">A.3.1.1    </w:t>
            </w:r>
            <w:r>
              <w:rPr>
                <w:rFonts w:ascii="黑体" w:hAnsi="黑体" w:eastAsia="黑体" w:cs="黑体"/>
                <w:spacing w:val="-1"/>
                <w:sz w:val="24"/>
                <w:szCs w:val="24"/>
              </w:rPr>
              <w:t>点声源的几何发散衰减</w:t>
            </w:r>
          </w:p>
          <w:p w14:paraId="3E97E555">
            <w:pPr>
              <w:pStyle w:val="6"/>
              <w:spacing w:before="180" w:line="219" w:lineRule="auto"/>
              <w:ind w:left="532"/>
              <w:rPr>
                <w:sz w:val="24"/>
                <w:szCs w:val="24"/>
              </w:rPr>
            </w:pPr>
            <w:r>
              <w:rPr>
                <w:rFonts w:ascii="Times New Roman" w:hAnsi="Times New Roman" w:eastAsia="Times New Roman" w:cs="Times New Roman"/>
                <w:spacing w:val="-1"/>
                <w:sz w:val="24"/>
                <w:szCs w:val="24"/>
              </w:rPr>
              <w:t>a</w:t>
            </w:r>
            <w:r>
              <w:rPr>
                <w:spacing w:val="-1"/>
                <w:sz w:val="24"/>
                <w:szCs w:val="24"/>
              </w:rPr>
              <w:t>） 无指向性点声源几何发散衰减</w:t>
            </w:r>
          </w:p>
          <w:p w14:paraId="501B7FAF">
            <w:pPr>
              <w:pStyle w:val="6"/>
              <w:spacing w:before="133" w:line="351" w:lineRule="exact"/>
              <w:jc w:val="right"/>
              <w:rPr>
                <w:sz w:val="24"/>
                <w:szCs w:val="24"/>
              </w:rPr>
            </w:pPr>
            <w:r>
              <w:rPr>
                <w:spacing w:val="-5"/>
                <w:position w:val="5"/>
                <w:sz w:val="24"/>
                <w:szCs w:val="24"/>
              </w:rPr>
              <w:t>无指向性点声源几何发散衰减的基本公式是：</w:t>
            </w:r>
            <w:r>
              <w:rPr>
                <w:rFonts w:ascii="Times New Roman" w:hAnsi="Times New Roman" w:eastAsia="Times New Roman" w:cs="Times New Roman"/>
                <w:i/>
                <w:iCs/>
                <w:spacing w:val="-5"/>
                <w:position w:val="6"/>
                <w:sz w:val="24"/>
                <w:szCs w:val="24"/>
              </w:rPr>
              <w:t>L</w:t>
            </w:r>
            <w:r>
              <w:rPr>
                <w:rFonts w:ascii="Times New Roman" w:hAnsi="Times New Roman" w:eastAsia="Times New Roman" w:cs="Times New Roman"/>
                <w:i/>
                <w:iCs/>
                <w:spacing w:val="-5"/>
                <w:position w:val="2"/>
                <w:sz w:val="24"/>
                <w:szCs w:val="24"/>
              </w:rPr>
              <w:t>p</w:t>
            </w:r>
            <w:r>
              <w:rPr>
                <w:spacing w:val="-5"/>
                <w:position w:val="5"/>
                <w:sz w:val="24"/>
                <w:szCs w:val="24"/>
              </w:rPr>
              <w:t>（</w:t>
            </w:r>
            <w:r>
              <w:rPr>
                <w:rFonts w:ascii="Times New Roman" w:hAnsi="Times New Roman" w:eastAsia="Times New Roman" w:cs="Times New Roman"/>
                <w:i/>
                <w:iCs/>
                <w:spacing w:val="-5"/>
                <w:position w:val="5"/>
                <w:sz w:val="24"/>
                <w:szCs w:val="24"/>
              </w:rPr>
              <w:t>r</w:t>
            </w:r>
            <w:r>
              <w:rPr>
                <w:spacing w:val="-5"/>
                <w:position w:val="5"/>
                <w:sz w:val="24"/>
                <w:szCs w:val="24"/>
              </w:rPr>
              <w:t>）</w:t>
            </w:r>
            <w:r>
              <w:rPr>
                <w:rFonts w:ascii="Times New Roman" w:hAnsi="Times New Roman" w:eastAsia="Times New Roman" w:cs="Times New Roman"/>
                <w:spacing w:val="-5"/>
                <w:position w:val="6"/>
                <w:sz w:val="24"/>
                <w:szCs w:val="24"/>
              </w:rPr>
              <w:t xml:space="preserve">= </w:t>
            </w:r>
            <w:r>
              <w:rPr>
                <w:rFonts w:ascii="Times New Roman" w:hAnsi="Times New Roman" w:eastAsia="Times New Roman" w:cs="Times New Roman"/>
                <w:i/>
                <w:iCs/>
                <w:spacing w:val="-5"/>
                <w:position w:val="6"/>
                <w:sz w:val="24"/>
                <w:szCs w:val="24"/>
              </w:rPr>
              <w:t>L</w:t>
            </w:r>
            <w:r>
              <w:rPr>
                <w:rFonts w:ascii="Times New Roman" w:hAnsi="Times New Roman" w:eastAsia="Times New Roman" w:cs="Times New Roman"/>
                <w:i/>
                <w:iCs/>
                <w:spacing w:val="-5"/>
                <w:position w:val="2"/>
                <w:sz w:val="24"/>
                <w:szCs w:val="24"/>
              </w:rPr>
              <w:t>p</w:t>
            </w:r>
            <w:r>
              <w:rPr>
                <w:rFonts w:ascii="Times New Roman" w:hAnsi="Times New Roman" w:eastAsia="Times New Roman" w:cs="Times New Roman"/>
                <w:i/>
                <w:iCs/>
                <w:spacing w:val="-14"/>
                <w:position w:val="2"/>
                <w:sz w:val="24"/>
                <w:szCs w:val="24"/>
              </w:rPr>
              <w:t xml:space="preserve"> </w:t>
            </w:r>
            <w:r>
              <w:rPr>
                <w:spacing w:val="-5"/>
                <w:position w:val="5"/>
                <w:sz w:val="24"/>
                <w:szCs w:val="24"/>
              </w:rPr>
              <w:t>（</w:t>
            </w:r>
            <w:r>
              <w:rPr>
                <w:rFonts w:ascii="Times New Roman" w:hAnsi="Times New Roman" w:eastAsia="Times New Roman" w:cs="Times New Roman"/>
                <w:i/>
                <w:iCs/>
                <w:spacing w:val="-5"/>
                <w:position w:val="5"/>
                <w:sz w:val="24"/>
                <w:szCs w:val="24"/>
              </w:rPr>
              <w:t>r</w:t>
            </w:r>
            <w:r>
              <w:rPr>
                <w:rFonts w:ascii="Times New Roman" w:hAnsi="Times New Roman" w:eastAsia="Times New Roman" w:cs="Times New Roman"/>
                <w:spacing w:val="-5"/>
                <w:position w:val="5"/>
                <w:sz w:val="24"/>
                <w:szCs w:val="24"/>
              </w:rPr>
              <w:t xml:space="preserve">0  </w:t>
            </w:r>
            <w:r>
              <w:rPr>
                <w:spacing w:val="-5"/>
                <w:position w:val="5"/>
                <w:sz w:val="24"/>
                <w:szCs w:val="24"/>
              </w:rPr>
              <w:t>）</w:t>
            </w:r>
            <w:r>
              <w:rPr>
                <w:rFonts w:ascii="Times New Roman" w:hAnsi="Times New Roman" w:eastAsia="Times New Roman" w:cs="Times New Roman"/>
                <w:spacing w:val="-5"/>
                <w:position w:val="5"/>
                <w:sz w:val="24"/>
                <w:szCs w:val="24"/>
              </w:rPr>
              <w:t>- 20lg</w:t>
            </w:r>
            <w:r>
              <w:rPr>
                <w:rFonts w:ascii="Times New Roman" w:hAnsi="Times New Roman" w:eastAsia="Times New Roman" w:cs="Times New Roman"/>
                <w:spacing w:val="-22"/>
                <w:position w:val="5"/>
                <w:sz w:val="24"/>
                <w:szCs w:val="24"/>
              </w:rPr>
              <w:t xml:space="preserve"> </w:t>
            </w:r>
            <w:r>
              <w:rPr>
                <w:spacing w:val="-5"/>
                <w:position w:val="5"/>
                <w:sz w:val="24"/>
                <w:szCs w:val="24"/>
              </w:rPr>
              <w:t>（</w:t>
            </w:r>
            <w:r>
              <w:rPr>
                <w:rFonts w:ascii="Times New Roman" w:hAnsi="Times New Roman" w:eastAsia="Times New Roman" w:cs="Times New Roman"/>
                <w:i/>
                <w:iCs/>
                <w:spacing w:val="-5"/>
                <w:position w:val="5"/>
                <w:sz w:val="24"/>
                <w:szCs w:val="24"/>
              </w:rPr>
              <w:t>r</w:t>
            </w:r>
            <w:r>
              <w:rPr>
                <w:position w:val="1"/>
                <w:sz w:val="24"/>
                <w:szCs w:val="24"/>
              </w:rPr>
              <w:drawing>
                <wp:inline distT="0" distB="0" distL="0" distR="0">
                  <wp:extent cx="44450" cy="152400"/>
                  <wp:effectExtent l="0" t="0" r="0" b="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267"/>
                          <a:stretch>
                            <a:fillRect/>
                          </a:stretch>
                        </pic:blipFill>
                        <pic:spPr>
                          <a:xfrm>
                            <a:off x="0" y="0"/>
                            <a:ext cx="44958" cy="152400"/>
                          </a:xfrm>
                          <a:prstGeom prst="rect">
                            <a:avLst/>
                          </a:prstGeom>
                        </pic:spPr>
                      </pic:pic>
                    </a:graphicData>
                  </a:graphic>
                </wp:inline>
              </w:drawing>
            </w:r>
            <w:r>
              <w:rPr>
                <w:rFonts w:ascii="Times New Roman" w:hAnsi="Times New Roman" w:eastAsia="Times New Roman" w:cs="Times New Roman"/>
                <w:i/>
                <w:iCs/>
                <w:spacing w:val="-5"/>
                <w:position w:val="3"/>
                <w:sz w:val="24"/>
                <w:szCs w:val="24"/>
              </w:rPr>
              <w:t>r</w:t>
            </w:r>
            <w:r>
              <w:rPr>
                <w:rFonts w:ascii="Times New Roman" w:hAnsi="Times New Roman" w:eastAsia="Times New Roman" w:cs="Times New Roman"/>
                <w:spacing w:val="-5"/>
                <w:position w:val="3"/>
                <w:sz w:val="24"/>
                <w:szCs w:val="24"/>
              </w:rPr>
              <w:t xml:space="preserve">0  </w:t>
            </w:r>
            <w:r>
              <w:rPr>
                <w:spacing w:val="-5"/>
                <w:position w:val="5"/>
                <w:sz w:val="24"/>
                <w:szCs w:val="24"/>
              </w:rPr>
              <w:t>）</w:t>
            </w:r>
          </w:p>
        </w:tc>
      </w:tr>
    </w:tbl>
    <w:p w14:paraId="7C2D1D1A">
      <w:pPr>
        <w:rPr>
          <w:rFonts w:ascii="Arial"/>
          <w:sz w:val="21"/>
        </w:rPr>
      </w:pPr>
    </w:p>
    <w:p w14:paraId="7E8A18B8">
      <w:pPr>
        <w:rPr>
          <w:rFonts w:ascii="Arial" w:hAnsi="Arial" w:eastAsia="Arial" w:cs="Arial"/>
          <w:sz w:val="21"/>
          <w:szCs w:val="21"/>
        </w:rPr>
        <w:sectPr>
          <w:footerReference r:id="rId108" w:type="default"/>
          <w:pgSz w:w="11907" w:h="16840"/>
          <w:pgMar w:top="400" w:right="1178" w:bottom="1240" w:left="1405" w:header="0" w:footer="1077" w:gutter="0"/>
          <w:cols w:space="720" w:num="1"/>
        </w:sectPr>
      </w:pPr>
    </w:p>
    <w:p w14:paraId="034B3F12">
      <w:pPr>
        <w:spacing w:before="13"/>
      </w:pPr>
    </w:p>
    <w:p w14:paraId="73BF4A42">
      <w:pPr>
        <w:spacing w:before="13"/>
      </w:pPr>
    </w:p>
    <w:p w14:paraId="73D93948">
      <w:pPr>
        <w:spacing w:before="13"/>
      </w:pPr>
    </w:p>
    <w:p w14:paraId="28200958">
      <w:pPr>
        <w:spacing w:before="12"/>
      </w:pPr>
    </w:p>
    <w:tbl>
      <w:tblPr>
        <w:tblStyle w:val="5"/>
        <w:tblW w:w="93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30"/>
      </w:tblGrid>
      <w:tr w14:paraId="36D75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81" w:hRule="atLeast"/>
        </w:trPr>
        <w:tc>
          <w:tcPr>
            <w:tcW w:w="478" w:type="dxa"/>
            <w:tcBorders>
              <w:right w:val="single" w:color="000000" w:sz="2" w:space="0"/>
            </w:tcBorders>
            <w:vAlign w:val="top"/>
          </w:tcPr>
          <w:p w14:paraId="59C4EC2E">
            <w:pPr>
              <w:rPr>
                <w:rFonts w:ascii="Arial"/>
                <w:sz w:val="21"/>
              </w:rPr>
            </w:pPr>
          </w:p>
        </w:tc>
        <w:tc>
          <w:tcPr>
            <w:tcW w:w="8830" w:type="dxa"/>
            <w:tcBorders>
              <w:left w:val="single" w:color="000000" w:sz="2" w:space="0"/>
            </w:tcBorders>
            <w:vAlign w:val="top"/>
          </w:tcPr>
          <w:p w14:paraId="436075BE">
            <w:pPr>
              <w:pStyle w:val="6"/>
              <w:spacing w:before="121" w:line="219" w:lineRule="auto"/>
              <w:ind w:left="602"/>
              <w:rPr>
                <w:sz w:val="24"/>
                <w:szCs w:val="24"/>
              </w:rPr>
            </w:pPr>
            <w:r>
              <w:rPr>
                <w:spacing w:val="-1"/>
                <w:sz w:val="24"/>
                <w:szCs w:val="24"/>
              </w:rPr>
              <w:t>式中：</w:t>
            </w:r>
            <w:r>
              <w:rPr>
                <w:rFonts w:ascii="Times New Roman" w:hAnsi="Times New Roman" w:eastAsia="Times New Roman" w:cs="Times New Roman"/>
                <w:i/>
                <w:iCs/>
                <w:spacing w:val="-1"/>
                <w:sz w:val="24"/>
                <w:szCs w:val="24"/>
              </w:rPr>
              <w:t>L</w:t>
            </w:r>
            <w:r>
              <w:rPr>
                <w:rFonts w:ascii="Times New Roman" w:hAnsi="Times New Roman" w:eastAsia="Times New Roman" w:cs="Times New Roman"/>
                <w:i/>
                <w:iCs/>
                <w:spacing w:val="-1"/>
                <w:position w:val="-2"/>
                <w:sz w:val="24"/>
                <w:szCs w:val="24"/>
              </w:rPr>
              <w:t>p</w:t>
            </w:r>
            <w:r>
              <w:rPr>
                <w:spacing w:val="-1"/>
                <w:sz w:val="24"/>
                <w:szCs w:val="24"/>
              </w:rPr>
              <w:t>（</w:t>
            </w:r>
            <w:r>
              <w:rPr>
                <w:rFonts w:ascii="Times New Roman" w:hAnsi="Times New Roman" w:eastAsia="Times New Roman" w:cs="Times New Roman"/>
                <w:i/>
                <w:iCs/>
                <w:spacing w:val="-1"/>
                <w:sz w:val="24"/>
                <w:szCs w:val="24"/>
              </w:rPr>
              <w:t>r</w:t>
            </w:r>
            <w:r>
              <w:rPr>
                <w:spacing w:val="-1"/>
                <w:sz w:val="24"/>
                <w:szCs w:val="24"/>
              </w:rPr>
              <w:t xml:space="preserve">） </w:t>
            </w:r>
            <w:r>
              <w:rPr>
                <w:rFonts w:ascii="Times New Roman" w:hAnsi="Times New Roman" w:eastAsia="Times New Roman" w:cs="Times New Roman"/>
                <w:spacing w:val="-1"/>
                <w:sz w:val="24"/>
                <w:szCs w:val="24"/>
              </w:rPr>
              <w:t>——</w:t>
            </w:r>
            <w:r>
              <w:rPr>
                <w:spacing w:val="-1"/>
                <w:sz w:val="24"/>
                <w:szCs w:val="24"/>
              </w:rPr>
              <w:t>预测点处声压级，</w:t>
            </w:r>
            <w:r>
              <w:rPr>
                <w:rFonts w:ascii="Times New Roman" w:hAnsi="Times New Roman" w:eastAsia="Times New Roman" w:cs="Times New Roman"/>
                <w:spacing w:val="-1"/>
                <w:sz w:val="24"/>
                <w:szCs w:val="24"/>
              </w:rPr>
              <w:t>dB</w:t>
            </w:r>
            <w:r>
              <w:rPr>
                <w:spacing w:val="-1"/>
                <w:sz w:val="24"/>
                <w:szCs w:val="24"/>
              </w:rPr>
              <w:t>；</w:t>
            </w:r>
          </w:p>
          <w:p w14:paraId="4FFD0D69">
            <w:pPr>
              <w:pStyle w:val="6"/>
              <w:spacing w:before="193" w:line="204" w:lineRule="auto"/>
              <w:ind w:left="571"/>
              <w:rPr>
                <w:sz w:val="24"/>
                <w:szCs w:val="24"/>
              </w:rPr>
            </w:pPr>
            <w:r>
              <w:rPr>
                <w:rFonts w:ascii="Times New Roman" w:hAnsi="Times New Roman" w:eastAsia="Times New Roman" w:cs="Times New Roman"/>
                <w:i/>
                <w:iCs/>
                <w:sz w:val="24"/>
                <w:szCs w:val="24"/>
              </w:rPr>
              <w:t>Lp</w:t>
            </w:r>
            <w:r>
              <w:rPr>
                <w:i/>
                <w:iCs/>
                <w:spacing w:val="1"/>
                <w:sz w:val="25"/>
                <w:szCs w:val="25"/>
              </w:rPr>
              <w:t>（</w:t>
            </w:r>
            <w:r>
              <w:rPr>
                <w:rFonts w:ascii="Times New Roman" w:hAnsi="Times New Roman" w:eastAsia="Times New Roman" w:cs="Times New Roman"/>
                <w:i/>
                <w:iCs/>
                <w:spacing w:val="1"/>
                <w:sz w:val="24"/>
                <w:szCs w:val="24"/>
              </w:rPr>
              <w:t>r0</w:t>
            </w:r>
            <w:r>
              <w:rPr>
                <w:i/>
                <w:iCs/>
                <w:spacing w:val="1"/>
                <w:sz w:val="25"/>
                <w:szCs w:val="25"/>
              </w:rPr>
              <w:t>）</w:t>
            </w:r>
            <w:r>
              <w:rPr>
                <w:spacing w:val="1"/>
                <w:sz w:val="25"/>
                <w:szCs w:val="25"/>
              </w:rPr>
              <w:t xml:space="preserve"> </w:t>
            </w:r>
            <w:r>
              <w:rPr>
                <w:rFonts w:ascii="Times New Roman" w:hAnsi="Times New Roman" w:eastAsia="Times New Roman" w:cs="Times New Roman"/>
                <w:spacing w:val="1"/>
                <w:sz w:val="24"/>
                <w:szCs w:val="24"/>
              </w:rPr>
              <w:t>——</w:t>
            </w:r>
            <w:r>
              <w:rPr>
                <w:spacing w:val="1"/>
                <w:sz w:val="24"/>
                <w:szCs w:val="24"/>
              </w:rPr>
              <w:t>参考位置</w:t>
            </w:r>
            <w:r>
              <w:rPr>
                <w:rFonts w:ascii="Times New Roman" w:hAnsi="Times New Roman" w:eastAsia="Times New Roman" w:cs="Times New Roman"/>
                <w:spacing w:val="1"/>
                <w:sz w:val="24"/>
                <w:szCs w:val="24"/>
              </w:rPr>
              <w:t xml:space="preserve">r0 </w:t>
            </w:r>
            <w:r>
              <w:rPr>
                <w:spacing w:val="1"/>
                <w:sz w:val="24"/>
                <w:szCs w:val="24"/>
              </w:rPr>
              <w:t>处的声压级，</w:t>
            </w:r>
            <w:r>
              <w:rPr>
                <w:rFonts w:ascii="Times New Roman" w:hAnsi="Times New Roman" w:eastAsia="Times New Roman" w:cs="Times New Roman"/>
                <w:sz w:val="24"/>
                <w:szCs w:val="24"/>
              </w:rPr>
              <w:t>dB</w:t>
            </w:r>
            <w:r>
              <w:rPr>
                <w:spacing w:val="1"/>
                <w:sz w:val="24"/>
                <w:szCs w:val="24"/>
              </w:rPr>
              <w:t>；</w:t>
            </w:r>
          </w:p>
          <w:p w14:paraId="5D018DE1">
            <w:pPr>
              <w:pStyle w:val="6"/>
              <w:spacing w:before="189" w:line="220" w:lineRule="auto"/>
              <w:ind w:left="700"/>
              <w:rPr>
                <w:sz w:val="24"/>
                <w:szCs w:val="24"/>
              </w:rPr>
            </w:pPr>
            <w:r>
              <w:rPr>
                <w:rFonts w:ascii="Times New Roman" w:hAnsi="Times New Roman" w:eastAsia="Times New Roman" w:cs="Times New Roman"/>
                <w:spacing w:val="-1"/>
                <w:sz w:val="24"/>
                <w:szCs w:val="24"/>
              </w:rPr>
              <w:t>r ——</w:t>
            </w:r>
            <w:r>
              <w:rPr>
                <w:spacing w:val="-1"/>
                <w:sz w:val="24"/>
                <w:szCs w:val="24"/>
              </w:rPr>
              <w:t>预测点距声源的距离；</w:t>
            </w:r>
          </w:p>
          <w:p w14:paraId="41CCD2DB">
            <w:pPr>
              <w:pStyle w:val="6"/>
              <w:spacing w:before="189" w:line="219" w:lineRule="auto"/>
              <w:ind w:left="737"/>
              <w:rPr>
                <w:sz w:val="24"/>
                <w:szCs w:val="24"/>
              </w:rPr>
            </w:pPr>
            <w:r>
              <w:rPr>
                <w:rFonts w:ascii="Times New Roman" w:hAnsi="Times New Roman" w:eastAsia="Times New Roman" w:cs="Times New Roman"/>
                <w:i/>
                <w:iCs/>
                <w:spacing w:val="-1"/>
                <w:sz w:val="24"/>
                <w:szCs w:val="24"/>
              </w:rPr>
              <w:t>r</w:t>
            </w:r>
            <w:r>
              <w:rPr>
                <w:rFonts w:ascii="Times New Roman" w:hAnsi="Times New Roman" w:eastAsia="Times New Roman" w:cs="Times New Roman"/>
                <w:spacing w:val="-1"/>
                <w:sz w:val="24"/>
                <w:szCs w:val="24"/>
              </w:rPr>
              <w:t>0——</w:t>
            </w:r>
            <w:r>
              <w:rPr>
                <w:spacing w:val="-1"/>
                <w:sz w:val="24"/>
                <w:szCs w:val="24"/>
              </w:rPr>
              <w:t>参考位置距声源的距离。</w:t>
            </w:r>
          </w:p>
          <w:p w14:paraId="6467F824">
            <w:pPr>
              <w:pStyle w:val="6"/>
              <w:spacing w:before="163" w:line="353" w:lineRule="exact"/>
              <w:ind w:left="542"/>
              <w:rPr>
                <w:sz w:val="24"/>
                <w:szCs w:val="24"/>
              </w:rPr>
            </w:pPr>
            <w:r>
              <w:rPr>
                <w:spacing w:val="-1"/>
                <w:position w:val="3"/>
                <w:sz w:val="24"/>
                <w:szCs w:val="24"/>
              </w:rPr>
              <w:t>式（</w:t>
            </w:r>
            <w:r>
              <w:rPr>
                <w:rFonts w:ascii="Times New Roman" w:hAnsi="Times New Roman" w:eastAsia="Times New Roman" w:cs="Times New Roman"/>
                <w:spacing w:val="-1"/>
                <w:position w:val="3"/>
                <w:sz w:val="24"/>
                <w:szCs w:val="24"/>
              </w:rPr>
              <w:t>A.5</w:t>
            </w:r>
            <w:r>
              <w:rPr>
                <w:spacing w:val="-1"/>
                <w:position w:val="3"/>
                <w:sz w:val="24"/>
                <w:szCs w:val="24"/>
              </w:rPr>
              <w:t>）中第二项表示了点声源的几何发</w:t>
            </w:r>
            <w:r>
              <w:rPr>
                <w:spacing w:val="-2"/>
                <w:position w:val="3"/>
                <w:sz w:val="24"/>
                <w:szCs w:val="24"/>
              </w:rPr>
              <w:t>散衰减：</w:t>
            </w:r>
            <w:r>
              <w:rPr>
                <w:rFonts w:ascii="Times New Roman" w:hAnsi="Times New Roman" w:eastAsia="Times New Roman" w:cs="Times New Roman"/>
                <w:i/>
                <w:iCs/>
                <w:spacing w:val="-2"/>
                <w:position w:val="1"/>
                <w:sz w:val="24"/>
                <w:szCs w:val="24"/>
              </w:rPr>
              <w:t>A</w:t>
            </w:r>
            <w:r>
              <w:rPr>
                <w:rFonts w:ascii="Times New Roman" w:hAnsi="Times New Roman" w:eastAsia="Times New Roman" w:cs="Times New Roman"/>
                <w:spacing w:val="-2"/>
                <w:position w:val="1"/>
                <w:sz w:val="24"/>
                <w:szCs w:val="24"/>
              </w:rPr>
              <w:t xml:space="preserve">div    </w:t>
            </w:r>
            <w:r>
              <w:rPr>
                <w:rFonts w:ascii="Times New Roman" w:hAnsi="Times New Roman" w:eastAsia="Times New Roman" w:cs="Times New Roman"/>
                <w:spacing w:val="-2"/>
                <w:position w:val="3"/>
                <w:sz w:val="24"/>
                <w:szCs w:val="24"/>
              </w:rPr>
              <w:t xml:space="preserve">= 20lg  </w:t>
            </w:r>
            <w:r>
              <w:rPr>
                <w:spacing w:val="-2"/>
                <w:position w:val="3"/>
                <w:sz w:val="24"/>
                <w:szCs w:val="24"/>
              </w:rPr>
              <w:t>（</w:t>
            </w:r>
            <w:r>
              <w:rPr>
                <w:rFonts w:ascii="Times New Roman" w:hAnsi="Times New Roman" w:eastAsia="Times New Roman" w:cs="Times New Roman"/>
                <w:i/>
                <w:iCs/>
                <w:spacing w:val="-2"/>
                <w:position w:val="3"/>
                <w:sz w:val="24"/>
                <w:szCs w:val="24"/>
              </w:rPr>
              <w:t xml:space="preserve">r </w:t>
            </w:r>
            <w:r>
              <w:rPr>
                <w:rFonts w:ascii="Times New Roman" w:hAnsi="Times New Roman" w:eastAsia="Times New Roman" w:cs="Times New Roman"/>
                <w:i/>
                <w:iCs/>
                <w:spacing w:val="-2"/>
                <w:sz w:val="24"/>
                <w:szCs w:val="24"/>
              </w:rPr>
              <w:t>r</w:t>
            </w:r>
            <w:r>
              <w:rPr>
                <w:rFonts w:ascii="Times New Roman" w:hAnsi="Times New Roman" w:eastAsia="Times New Roman" w:cs="Times New Roman"/>
                <w:spacing w:val="-2"/>
                <w:sz w:val="24"/>
                <w:szCs w:val="24"/>
              </w:rPr>
              <w:t xml:space="preserve">0  </w:t>
            </w:r>
            <w:r>
              <w:rPr>
                <w:spacing w:val="-2"/>
                <w:position w:val="3"/>
                <w:sz w:val="24"/>
                <w:szCs w:val="24"/>
              </w:rPr>
              <w:t>）</w:t>
            </w:r>
          </w:p>
          <w:p w14:paraId="16D73A76">
            <w:pPr>
              <w:pStyle w:val="6"/>
              <w:spacing w:before="189" w:line="219" w:lineRule="auto"/>
              <w:ind w:left="592"/>
              <w:rPr>
                <w:sz w:val="24"/>
                <w:szCs w:val="24"/>
              </w:rPr>
            </w:pPr>
            <w:r>
              <w:rPr>
                <w:spacing w:val="-1"/>
                <w:sz w:val="24"/>
                <w:szCs w:val="24"/>
              </w:rPr>
              <w:t>式中：</w:t>
            </w:r>
            <w:r>
              <w:rPr>
                <w:rFonts w:ascii="Times New Roman" w:hAnsi="Times New Roman" w:eastAsia="Times New Roman" w:cs="Times New Roman"/>
                <w:spacing w:val="-1"/>
                <w:sz w:val="24"/>
                <w:szCs w:val="24"/>
              </w:rPr>
              <w:t>Adiv ——</w:t>
            </w:r>
            <w:r>
              <w:rPr>
                <w:spacing w:val="-1"/>
                <w:sz w:val="24"/>
                <w:szCs w:val="24"/>
              </w:rPr>
              <w:t>几何发散引起的衰减，</w:t>
            </w:r>
            <w:r>
              <w:rPr>
                <w:rFonts w:ascii="Times New Roman" w:hAnsi="Times New Roman" w:eastAsia="Times New Roman" w:cs="Times New Roman"/>
                <w:spacing w:val="-1"/>
                <w:sz w:val="24"/>
                <w:szCs w:val="24"/>
              </w:rPr>
              <w:t>dB</w:t>
            </w:r>
            <w:r>
              <w:rPr>
                <w:spacing w:val="-1"/>
                <w:sz w:val="24"/>
                <w:szCs w:val="24"/>
              </w:rPr>
              <w:t>；</w:t>
            </w:r>
          </w:p>
          <w:p w14:paraId="6D8F1CF1">
            <w:pPr>
              <w:pStyle w:val="6"/>
              <w:spacing w:before="182" w:line="220" w:lineRule="auto"/>
              <w:ind w:left="1300"/>
              <w:rPr>
                <w:sz w:val="24"/>
                <w:szCs w:val="24"/>
              </w:rPr>
            </w:pPr>
            <w:r>
              <w:rPr>
                <w:rFonts w:ascii="Times New Roman" w:hAnsi="Times New Roman" w:eastAsia="Times New Roman" w:cs="Times New Roman"/>
                <w:spacing w:val="-1"/>
                <w:sz w:val="24"/>
                <w:szCs w:val="24"/>
              </w:rPr>
              <w:t>r ——</w:t>
            </w:r>
            <w:r>
              <w:rPr>
                <w:spacing w:val="-1"/>
                <w:sz w:val="24"/>
                <w:szCs w:val="24"/>
              </w:rPr>
              <w:t>预测点距声源的距离；</w:t>
            </w:r>
          </w:p>
          <w:p w14:paraId="620F7AE6">
            <w:pPr>
              <w:pStyle w:val="6"/>
              <w:spacing w:before="187" w:line="219" w:lineRule="auto"/>
              <w:ind w:left="1303"/>
              <w:rPr>
                <w:sz w:val="24"/>
                <w:szCs w:val="24"/>
              </w:rPr>
            </w:pPr>
            <w:r>
              <w:rPr>
                <w:rFonts w:ascii="Times New Roman" w:hAnsi="Times New Roman" w:eastAsia="Times New Roman" w:cs="Times New Roman"/>
                <w:i/>
                <w:iCs/>
                <w:spacing w:val="-1"/>
                <w:sz w:val="24"/>
                <w:szCs w:val="24"/>
              </w:rPr>
              <w:t>r</w:t>
            </w:r>
            <w:r>
              <w:rPr>
                <w:rFonts w:ascii="Times New Roman" w:hAnsi="Times New Roman" w:eastAsia="Times New Roman" w:cs="Times New Roman"/>
                <w:spacing w:val="-1"/>
                <w:sz w:val="24"/>
                <w:szCs w:val="24"/>
              </w:rPr>
              <w:t>0——</w:t>
            </w:r>
            <w:r>
              <w:rPr>
                <w:spacing w:val="-1"/>
                <w:sz w:val="24"/>
                <w:szCs w:val="24"/>
              </w:rPr>
              <w:t>参考位置距声源的距离。</w:t>
            </w:r>
          </w:p>
          <w:p w14:paraId="075AD45B">
            <w:pPr>
              <w:spacing w:before="195" w:line="221" w:lineRule="auto"/>
              <w:ind w:left="580"/>
              <w:rPr>
                <w:rFonts w:ascii="黑体" w:hAnsi="黑体" w:eastAsia="黑体" w:cs="黑体"/>
                <w:sz w:val="24"/>
                <w:szCs w:val="24"/>
              </w:rPr>
            </w:pPr>
            <w:r>
              <w:rPr>
                <w:rFonts w:ascii="Times New Roman" w:hAnsi="Times New Roman" w:eastAsia="Times New Roman" w:cs="Times New Roman"/>
                <w:spacing w:val="-1"/>
                <w:sz w:val="24"/>
                <w:szCs w:val="24"/>
              </w:rPr>
              <w:t xml:space="preserve">A.3.1.3    </w:t>
            </w:r>
            <w:r>
              <w:rPr>
                <w:rFonts w:ascii="黑体" w:hAnsi="黑体" w:eastAsia="黑体" w:cs="黑体"/>
                <w:spacing w:val="-1"/>
                <w:sz w:val="24"/>
                <w:szCs w:val="24"/>
              </w:rPr>
              <w:t>面声源的几何发散衰减</w:t>
            </w:r>
          </w:p>
          <w:p w14:paraId="77BDEF62">
            <w:pPr>
              <w:pStyle w:val="6"/>
              <w:spacing w:before="182" w:line="359" w:lineRule="auto"/>
              <w:ind w:left="113" w:right="210" w:firstLine="430"/>
              <w:rPr>
                <w:sz w:val="24"/>
                <w:szCs w:val="24"/>
              </w:rPr>
            </w:pPr>
            <w:r>
              <w:rPr>
                <w:spacing w:val="-3"/>
                <w:sz w:val="24"/>
                <w:szCs w:val="24"/>
              </w:rPr>
              <w:t>一个大型机器设备的振动表面，车间透声的墙壁，均可以认为是面声源。如果</w:t>
            </w:r>
            <w:r>
              <w:rPr>
                <w:spacing w:val="-4"/>
                <w:sz w:val="24"/>
                <w:szCs w:val="24"/>
              </w:rPr>
              <w:t>已知面声源单位面 积的声功率为</w:t>
            </w:r>
            <w:r>
              <w:rPr>
                <w:spacing w:val="38"/>
                <w:sz w:val="24"/>
                <w:szCs w:val="24"/>
              </w:rPr>
              <w:t xml:space="preserve"> </w:t>
            </w:r>
            <w:r>
              <w:rPr>
                <w:rFonts w:ascii="Times New Roman" w:hAnsi="Times New Roman" w:eastAsia="Times New Roman" w:cs="Times New Roman"/>
                <w:i/>
                <w:iCs/>
                <w:spacing w:val="-4"/>
                <w:sz w:val="24"/>
                <w:szCs w:val="24"/>
              </w:rPr>
              <w:t>W</w:t>
            </w:r>
            <w:r>
              <w:rPr>
                <w:spacing w:val="-4"/>
                <w:sz w:val="24"/>
                <w:szCs w:val="24"/>
              </w:rPr>
              <w:t>，各面积元噪声的位相是随机的，面声源可看</w:t>
            </w:r>
            <w:r>
              <w:rPr>
                <w:sz w:val="24"/>
                <w:szCs w:val="24"/>
              </w:rPr>
              <w:t>作由无数点声源连续分布组合而成，其合成</w:t>
            </w:r>
            <w:r>
              <w:rPr>
                <w:spacing w:val="-1"/>
                <w:sz w:val="24"/>
                <w:szCs w:val="24"/>
              </w:rPr>
              <w:t>声级可按能量叠加法求出。</w:t>
            </w:r>
          </w:p>
          <w:p w14:paraId="40D1CF0E">
            <w:pPr>
              <w:pStyle w:val="6"/>
              <w:spacing w:before="17" w:line="367" w:lineRule="auto"/>
              <w:ind w:left="107" w:right="211" w:firstLine="468"/>
              <w:jc w:val="both"/>
              <w:rPr>
                <w:sz w:val="24"/>
                <w:szCs w:val="24"/>
              </w:rPr>
            </w:pPr>
            <w:r>
              <w:rPr>
                <w:sz w:val="24"/>
                <w:szCs w:val="24"/>
              </w:rPr>
              <w:t xml:space="preserve">图 </w:t>
            </w:r>
            <w:r>
              <w:rPr>
                <w:rFonts w:ascii="Times New Roman" w:hAnsi="Times New Roman" w:eastAsia="Times New Roman" w:cs="Times New Roman"/>
                <w:sz w:val="24"/>
                <w:szCs w:val="24"/>
              </w:rPr>
              <w:t xml:space="preserve">A.3  </w:t>
            </w:r>
            <w:r>
              <w:rPr>
                <w:sz w:val="24"/>
                <w:szCs w:val="24"/>
              </w:rPr>
              <w:t>给出了长方形面声源中心轴线上的声衰减曲线。当预测点和面声源中</w:t>
            </w:r>
            <w:r>
              <w:rPr>
                <w:spacing w:val="-5"/>
                <w:sz w:val="24"/>
                <w:szCs w:val="24"/>
              </w:rPr>
              <w:t xml:space="preserve">心距离 </w:t>
            </w:r>
            <w:r>
              <w:rPr>
                <w:rFonts w:ascii="Times New Roman" w:hAnsi="Times New Roman" w:eastAsia="Times New Roman" w:cs="Times New Roman"/>
                <w:i/>
                <w:iCs/>
                <w:spacing w:val="-5"/>
                <w:sz w:val="24"/>
                <w:szCs w:val="24"/>
              </w:rPr>
              <w:t xml:space="preserve">r  </w:t>
            </w:r>
            <w:r>
              <w:rPr>
                <w:spacing w:val="-5"/>
                <w:sz w:val="24"/>
                <w:szCs w:val="24"/>
              </w:rPr>
              <w:t>处于以下条件时，可按下述方法近似</w:t>
            </w:r>
            <w:r>
              <w:rPr>
                <w:spacing w:val="-6"/>
                <w:sz w:val="24"/>
                <w:szCs w:val="24"/>
              </w:rPr>
              <w:t>计算：</w:t>
            </w:r>
            <w:r>
              <w:rPr>
                <w:rFonts w:ascii="Times New Roman" w:hAnsi="Times New Roman" w:eastAsia="Times New Roman" w:cs="Times New Roman"/>
                <w:i/>
                <w:iCs/>
                <w:spacing w:val="-6"/>
                <w:sz w:val="24"/>
                <w:szCs w:val="24"/>
              </w:rPr>
              <w:t>r</w:t>
            </w:r>
            <w:r>
              <w:rPr>
                <w:spacing w:val="-6"/>
                <w:sz w:val="24"/>
                <w:szCs w:val="24"/>
              </w:rPr>
              <w:t>＜</w:t>
            </w:r>
            <w:r>
              <w:rPr>
                <w:rFonts w:ascii="Times New Roman" w:hAnsi="Times New Roman" w:eastAsia="Times New Roman" w:cs="Times New Roman"/>
                <w:i/>
                <w:iCs/>
                <w:spacing w:val="-6"/>
                <w:sz w:val="24"/>
                <w:szCs w:val="24"/>
              </w:rPr>
              <w:t>a</w:t>
            </w:r>
            <w:r>
              <w:rPr>
                <w:rFonts w:ascii="Times New Roman" w:hAnsi="Times New Roman" w:eastAsia="Times New Roman" w:cs="Times New Roman"/>
                <w:spacing w:val="-6"/>
                <w:sz w:val="24"/>
                <w:szCs w:val="24"/>
              </w:rPr>
              <w:t xml:space="preserve">/π  </w:t>
            </w:r>
            <w:r>
              <w:rPr>
                <w:spacing w:val="-6"/>
                <w:sz w:val="24"/>
                <w:szCs w:val="24"/>
              </w:rPr>
              <w:t>时，几乎不衰减</w:t>
            </w:r>
            <w:r>
              <w:rPr>
                <w:spacing w:val="-6"/>
                <w:position w:val="-2"/>
                <w:sz w:val="24"/>
                <w:szCs w:val="24"/>
              </w:rPr>
              <w:t>（</w:t>
            </w:r>
            <w:r>
              <w:rPr>
                <w:rFonts w:ascii="Times New Roman" w:hAnsi="Times New Roman" w:eastAsia="Times New Roman" w:cs="Times New Roman"/>
                <w:i/>
                <w:iCs/>
                <w:spacing w:val="-6"/>
                <w:position w:val="-2"/>
                <w:sz w:val="24"/>
                <w:szCs w:val="24"/>
              </w:rPr>
              <w:t>A</w:t>
            </w:r>
            <w:r>
              <w:rPr>
                <w:rFonts w:ascii="Times New Roman" w:hAnsi="Times New Roman" w:eastAsia="Times New Roman" w:cs="Times New Roman"/>
                <w:spacing w:val="-6"/>
                <w:position w:val="-2"/>
                <w:sz w:val="24"/>
                <w:szCs w:val="24"/>
              </w:rPr>
              <w:t>div</w:t>
            </w:r>
            <w:r>
              <w:rPr>
                <w:rFonts w:ascii="Times New Roman" w:hAnsi="Times New Roman" w:eastAsia="Times New Roman" w:cs="Times New Roman"/>
                <w:position w:val="-2"/>
                <w:sz w:val="24"/>
                <w:szCs w:val="24"/>
              </w:rPr>
              <w:t xml:space="preserve"> </w:t>
            </w:r>
            <w:r>
              <w:rPr>
                <w:rFonts w:ascii="Times New Roman" w:hAnsi="Times New Roman" w:eastAsia="Times New Roman" w:cs="Times New Roman"/>
                <w:sz w:val="24"/>
                <w:szCs w:val="24"/>
              </w:rPr>
              <w:t>≈0</w:t>
            </w:r>
            <w:r>
              <w:rPr>
                <w:spacing w:val="-50"/>
                <w:sz w:val="24"/>
                <w:szCs w:val="24"/>
              </w:rPr>
              <w:t>）；</w:t>
            </w:r>
            <w:r>
              <w:rPr>
                <w:sz w:val="24"/>
                <w:szCs w:val="24"/>
              </w:rPr>
              <w:t xml:space="preserve">当 </w:t>
            </w:r>
            <w:r>
              <w:rPr>
                <w:rFonts w:ascii="Times New Roman" w:hAnsi="Times New Roman" w:eastAsia="Times New Roman" w:cs="Times New Roman"/>
                <w:i/>
                <w:iCs/>
                <w:sz w:val="24"/>
                <w:szCs w:val="24"/>
              </w:rPr>
              <w:t>a</w:t>
            </w:r>
            <w:r>
              <w:rPr>
                <w:rFonts w:ascii="Times New Roman" w:hAnsi="Times New Roman" w:eastAsia="Times New Roman" w:cs="Times New Roman"/>
                <w:sz w:val="24"/>
                <w:szCs w:val="24"/>
              </w:rPr>
              <w:t>/π</w:t>
            </w:r>
            <w:r>
              <w:rPr>
                <w:sz w:val="24"/>
                <w:szCs w:val="24"/>
              </w:rPr>
              <w:t>&lt;</w:t>
            </w:r>
            <w:r>
              <w:rPr>
                <w:rFonts w:ascii="Times New Roman" w:hAnsi="Times New Roman" w:eastAsia="Times New Roman" w:cs="Times New Roman"/>
                <w:i/>
                <w:iCs/>
                <w:sz w:val="24"/>
                <w:szCs w:val="24"/>
              </w:rPr>
              <w:t>r</w:t>
            </w:r>
            <w:r>
              <w:rPr>
                <w:sz w:val="24"/>
                <w:szCs w:val="24"/>
              </w:rPr>
              <w:t>＜</w:t>
            </w:r>
            <w:r>
              <w:rPr>
                <w:rFonts w:ascii="Times New Roman" w:hAnsi="Times New Roman" w:eastAsia="Times New Roman" w:cs="Times New Roman"/>
                <w:i/>
                <w:iCs/>
                <w:sz w:val="24"/>
                <w:szCs w:val="24"/>
              </w:rPr>
              <w:t>b</w:t>
            </w:r>
            <w:r>
              <w:rPr>
                <w:rFonts w:ascii="Times New Roman" w:hAnsi="Times New Roman" w:eastAsia="Times New Roman" w:cs="Times New Roman"/>
                <w:sz w:val="24"/>
                <w:szCs w:val="24"/>
              </w:rPr>
              <w:t>/π</w:t>
            </w:r>
            <w:r>
              <w:rPr>
                <w:rFonts w:ascii="Times New Roman" w:hAnsi="Times New Roman" w:eastAsia="Times New Roman" w:cs="Times New Roman"/>
                <w:spacing w:val="-32"/>
                <w:sz w:val="24"/>
                <w:szCs w:val="24"/>
              </w:rPr>
              <w:t xml:space="preserve"> </w:t>
            </w:r>
            <w:r>
              <w:rPr>
                <w:sz w:val="24"/>
                <w:szCs w:val="24"/>
              </w:rPr>
              <w:t xml:space="preserve">,  距离加倍衰减 </w:t>
            </w:r>
            <w:r>
              <w:rPr>
                <w:rFonts w:ascii="Times New Roman" w:hAnsi="Times New Roman" w:eastAsia="Times New Roman" w:cs="Times New Roman"/>
                <w:sz w:val="24"/>
                <w:szCs w:val="24"/>
              </w:rPr>
              <w:t xml:space="preserve">3 dB </w:t>
            </w:r>
            <w:r>
              <w:rPr>
                <w:sz w:val="24"/>
                <w:szCs w:val="24"/>
              </w:rPr>
              <w:t>左右，类似线声源衰减特性</w:t>
            </w:r>
            <w:r>
              <w:rPr>
                <w:rFonts w:ascii="Times New Roman" w:hAnsi="Times New Roman" w:eastAsia="Times New Roman" w:cs="Times New Roman"/>
                <w:position w:val="-1"/>
                <w:sz w:val="24"/>
                <w:szCs w:val="24"/>
              </w:rPr>
              <w:t>[</w:t>
            </w:r>
            <w:r>
              <w:rPr>
                <w:rFonts w:ascii="Times New Roman" w:hAnsi="Times New Roman" w:eastAsia="Times New Roman" w:cs="Times New Roman"/>
                <w:i/>
                <w:iCs/>
                <w:position w:val="-1"/>
                <w:sz w:val="24"/>
                <w:szCs w:val="24"/>
              </w:rPr>
              <w:t>A</w:t>
            </w:r>
            <w:r>
              <w:rPr>
                <w:rFonts w:ascii="Times New Roman" w:hAnsi="Times New Roman" w:eastAsia="Times New Roman" w:cs="Times New Roman"/>
                <w:position w:val="-1"/>
                <w:sz w:val="24"/>
                <w:szCs w:val="24"/>
              </w:rPr>
              <w:t>div≈</w:t>
            </w:r>
            <w:r>
              <w:rPr>
                <w:rFonts w:ascii="Times New Roman" w:hAnsi="Times New Roman" w:eastAsia="Times New Roman" w:cs="Times New Roman"/>
                <w:position w:val="1"/>
                <w:sz w:val="24"/>
                <w:szCs w:val="24"/>
              </w:rPr>
              <w:t xml:space="preserve">10lg </w:t>
            </w:r>
            <w:r>
              <w:rPr>
                <w:spacing w:val="-5"/>
                <w:position w:val="1"/>
                <w:sz w:val="24"/>
                <w:szCs w:val="24"/>
              </w:rPr>
              <w:t>（</w:t>
            </w:r>
            <w:r>
              <w:rPr>
                <w:rFonts w:ascii="Times New Roman" w:hAnsi="Times New Roman" w:eastAsia="Times New Roman" w:cs="Times New Roman"/>
                <w:i/>
                <w:iCs/>
                <w:spacing w:val="-5"/>
                <w:position w:val="1"/>
                <w:sz w:val="24"/>
                <w:szCs w:val="24"/>
              </w:rPr>
              <w:t xml:space="preserve">r </w:t>
            </w:r>
            <w:r>
              <w:rPr>
                <w:rFonts w:ascii="Times New Roman" w:hAnsi="Times New Roman" w:eastAsia="Times New Roman" w:cs="Times New Roman"/>
                <w:spacing w:val="-5"/>
                <w:position w:val="1"/>
                <w:sz w:val="24"/>
                <w:szCs w:val="24"/>
              </w:rPr>
              <w:t>/</w:t>
            </w:r>
            <w:r>
              <w:rPr>
                <w:rFonts w:ascii="Times New Roman" w:hAnsi="Times New Roman" w:eastAsia="Times New Roman" w:cs="Times New Roman"/>
                <w:i/>
                <w:iCs/>
                <w:spacing w:val="-5"/>
                <w:position w:val="-2"/>
                <w:sz w:val="24"/>
                <w:szCs w:val="24"/>
              </w:rPr>
              <w:t>r</w:t>
            </w:r>
            <w:r>
              <w:rPr>
                <w:rFonts w:ascii="Times New Roman" w:hAnsi="Times New Roman" w:eastAsia="Times New Roman" w:cs="Times New Roman"/>
                <w:spacing w:val="-5"/>
                <w:position w:val="-2"/>
                <w:sz w:val="24"/>
                <w:szCs w:val="24"/>
              </w:rPr>
              <w:t xml:space="preserve">0  </w:t>
            </w:r>
            <w:r>
              <w:rPr>
                <w:spacing w:val="-5"/>
                <w:position w:val="1"/>
                <w:sz w:val="24"/>
                <w:szCs w:val="24"/>
              </w:rPr>
              <w:t>）</w:t>
            </w:r>
            <w:r>
              <w:rPr>
                <w:rFonts w:ascii="Times New Roman" w:hAnsi="Times New Roman" w:eastAsia="Times New Roman" w:cs="Times New Roman"/>
                <w:spacing w:val="-5"/>
                <w:sz w:val="24"/>
                <w:szCs w:val="24"/>
              </w:rPr>
              <w:t>]</w:t>
            </w:r>
            <w:r>
              <w:rPr>
                <w:spacing w:val="-5"/>
                <w:sz w:val="24"/>
                <w:szCs w:val="24"/>
              </w:rPr>
              <w:t xml:space="preserve">；当 </w:t>
            </w:r>
            <w:r>
              <w:rPr>
                <w:rFonts w:ascii="Times New Roman" w:hAnsi="Times New Roman" w:eastAsia="Times New Roman" w:cs="Times New Roman"/>
                <w:i/>
                <w:iCs/>
                <w:spacing w:val="-5"/>
                <w:sz w:val="24"/>
                <w:szCs w:val="24"/>
              </w:rPr>
              <w:t>r</w:t>
            </w:r>
            <w:r>
              <w:rPr>
                <w:spacing w:val="-5"/>
                <w:sz w:val="24"/>
                <w:szCs w:val="24"/>
              </w:rPr>
              <w:t>＞</w:t>
            </w:r>
            <w:r>
              <w:rPr>
                <w:rFonts w:ascii="Times New Roman" w:hAnsi="Times New Roman" w:eastAsia="Times New Roman" w:cs="Times New Roman"/>
                <w:i/>
                <w:iCs/>
                <w:spacing w:val="-5"/>
                <w:sz w:val="24"/>
                <w:szCs w:val="24"/>
              </w:rPr>
              <w:t>b</w:t>
            </w:r>
            <w:r>
              <w:rPr>
                <w:rFonts w:ascii="Times New Roman" w:hAnsi="Times New Roman" w:eastAsia="Times New Roman" w:cs="Times New Roman"/>
                <w:spacing w:val="-5"/>
                <w:sz w:val="24"/>
                <w:szCs w:val="24"/>
              </w:rPr>
              <w:t xml:space="preserve">/π  </w:t>
            </w:r>
            <w:r>
              <w:rPr>
                <w:spacing w:val="-5"/>
                <w:sz w:val="24"/>
                <w:szCs w:val="24"/>
              </w:rPr>
              <w:t xml:space="preserve">时，距离加倍衰减趋近于 </w:t>
            </w:r>
            <w:r>
              <w:rPr>
                <w:rFonts w:ascii="Times New Roman" w:hAnsi="Times New Roman" w:eastAsia="Times New Roman" w:cs="Times New Roman"/>
                <w:spacing w:val="-5"/>
                <w:sz w:val="24"/>
                <w:szCs w:val="24"/>
              </w:rPr>
              <w:t>6</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5"/>
                <w:sz w:val="24"/>
                <w:szCs w:val="24"/>
              </w:rPr>
              <w:t>dB</w:t>
            </w:r>
            <w:r>
              <w:rPr>
                <w:spacing w:val="-5"/>
                <w:sz w:val="24"/>
                <w:szCs w:val="24"/>
              </w:rPr>
              <w:t>，类似点声源 衰减特性</w:t>
            </w:r>
            <w:r>
              <w:rPr>
                <w:rFonts w:ascii="Times New Roman" w:hAnsi="Times New Roman" w:eastAsia="Times New Roman" w:cs="Times New Roman"/>
                <w:spacing w:val="-5"/>
                <w:position w:val="-1"/>
                <w:sz w:val="24"/>
                <w:szCs w:val="24"/>
              </w:rPr>
              <w:t>[</w:t>
            </w:r>
            <w:r>
              <w:rPr>
                <w:rFonts w:ascii="Times New Roman" w:hAnsi="Times New Roman" w:eastAsia="Times New Roman" w:cs="Times New Roman"/>
                <w:i/>
                <w:iCs/>
                <w:spacing w:val="-5"/>
                <w:position w:val="-1"/>
                <w:sz w:val="24"/>
                <w:szCs w:val="24"/>
              </w:rPr>
              <w:t>A</w:t>
            </w:r>
            <w:r>
              <w:rPr>
                <w:rFonts w:ascii="Times New Roman" w:hAnsi="Times New Roman" w:eastAsia="Times New Roman" w:cs="Times New Roman"/>
                <w:spacing w:val="-5"/>
                <w:position w:val="-1"/>
                <w:sz w:val="24"/>
                <w:szCs w:val="24"/>
              </w:rPr>
              <w:t>div</w:t>
            </w:r>
            <w:r>
              <w:rPr>
                <w:rFonts w:ascii="Times New Roman" w:hAnsi="Times New Roman" w:eastAsia="Times New Roman" w:cs="Times New Roman"/>
                <w:position w:val="-1"/>
                <w:sz w:val="24"/>
                <w:szCs w:val="24"/>
              </w:rPr>
              <w:t xml:space="preserve"> </w:t>
            </w:r>
            <w:r>
              <w:rPr>
                <w:rFonts w:ascii="Times New Roman" w:hAnsi="Times New Roman" w:eastAsia="Times New Roman" w:cs="Times New Roman"/>
                <w:spacing w:val="-4"/>
                <w:sz w:val="24"/>
                <w:szCs w:val="24"/>
              </w:rPr>
              <w:t>≈20lg</w:t>
            </w:r>
            <w:r>
              <w:rPr>
                <w:spacing w:val="-4"/>
                <w:sz w:val="24"/>
                <w:szCs w:val="24"/>
              </w:rPr>
              <w:t>（</w:t>
            </w:r>
            <w:r>
              <w:rPr>
                <w:rFonts w:ascii="Times New Roman" w:hAnsi="Times New Roman" w:eastAsia="Times New Roman" w:cs="Times New Roman"/>
                <w:i/>
                <w:iCs/>
                <w:spacing w:val="-4"/>
                <w:sz w:val="24"/>
                <w:szCs w:val="24"/>
              </w:rPr>
              <w:t xml:space="preserve">r </w:t>
            </w:r>
            <w:r>
              <w:rPr>
                <w:rFonts w:ascii="Times New Roman" w:hAnsi="Times New Roman" w:eastAsia="Times New Roman" w:cs="Times New Roman"/>
                <w:spacing w:val="-4"/>
                <w:sz w:val="24"/>
                <w:szCs w:val="24"/>
              </w:rPr>
              <w:t>/</w:t>
            </w:r>
            <w:r>
              <w:rPr>
                <w:rFonts w:ascii="Times New Roman" w:hAnsi="Times New Roman" w:eastAsia="Times New Roman" w:cs="Times New Roman"/>
                <w:i/>
                <w:iCs/>
                <w:spacing w:val="-4"/>
                <w:position w:val="-2"/>
                <w:sz w:val="24"/>
                <w:szCs w:val="24"/>
              </w:rPr>
              <w:t>r</w:t>
            </w:r>
            <w:r>
              <w:rPr>
                <w:rFonts w:ascii="Times New Roman" w:hAnsi="Times New Roman" w:eastAsia="Times New Roman" w:cs="Times New Roman"/>
                <w:spacing w:val="-4"/>
                <w:position w:val="-2"/>
                <w:sz w:val="24"/>
                <w:szCs w:val="24"/>
              </w:rPr>
              <w:t>0</w:t>
            </w:r>
            <w:r>
              <w:rPr>
                <w:rFonts w:ascii="Times New Roman" w:hAnsi="Times New Roman" w:eastAsia="Times New Roman" w:cs="Times New Roman"/>
                <w:spacing w:val="21"/>
                <w:position w:val="-2"/>
                <w:sz w:val="24"/>
                <w:szCs w:val="24"/>
              </w:rPr>
              <w:t xml:space="preserve">  </w:t>
            </w:r>
            <w:r>
              <w:rPr>
                <w:spacing w:val="-4"/>
                <w:sz w:val="24"/>
                <w:szCs w:val="24"/>
              </w:rPr>
              <w:t>）</w:t>
            </w:r>
            <w:r>
              <w:rPr>
                <w:rFonts w:ascii="Times New Roman" w:hAnsi="Times New Roman" w:eastAsia="Times New Roman" w:cs="Times New Roman"/>
                <w:spacing w:val="-4"/>
                <w:sz w:val="24"/>
                <w:szCs w:val="24"/>
              </w:rPr>
              <w:t>]</w:t>
            </w:r>
            <w:r>
              <w:rPr>
                <w:rFonts w:ascii="Times New Roman" w:hAnsi="Times New Roman" w:eastAsia="Times New Roman" w:cs="Times New Roman"/>
                <w:spacing w:val="-28"/>
                <w:sz w:val="24"/>
                <w:szCs w:val="24"/>
              </w:rPr>
              <w:t xml:space="preserve"> </w:t>
            </w:r>
            <w:r>
              <w:rPr>
                <w:spacing w:val="-4"/>
                <w:sz w:val="24"/>
                <w:szCs w:val="24"/>
              </w:rPr>
              <w:t xml:space="preserve">。其中面声源的 </w:t>
            </w:r>
            <w:r>
              <w:rPr>
                <w:rFonts w:ascii="Times New Roman" w:hAnsi="Times New Roman" w:eastAsia="Times New Roman" w:cs="Times New Roman"/>
                <w:i/>
                <w:iCs/>
                <w:spacing w:val="-4"/>
                <w:sz w:val="24"/>
                <w:szCs w:val="24"/>
              </w:rPr>
              <w:t>b</w:t>
            </w:r>
            <w:r>
              <w:rPr>
                <w:spacing w:val="-4"/>
                <w:sz w:val="24"/>
                <w:szCs w:val="24"/>
              </w:rPr>
              <w:t>＞</w:t>
            </w:r>
            <w:r>
              <w:rPr>
                <w:rFonts w:ascii="Times New Roman" w:hAnsi="Times New Roman" w:eastAsia="Times New Roman" w:cs="Times New Roman"/>
                <w:i/>
                <w:iCs/>
                <w:spacing w:val="-4"/>
                <w:sz w:val="24"/>
                <w:szCs w:val="24"/>
              </w:rPr>
              <w:t>a</w:t>
            </w:r>
            <w:r>
              <w:rPr>
                <w:rFonts w:ascii="Times New Roman" w:hAnsi="Times New Roman" w:eastAsia="Times New Roman" w:cs="Times New Roman"/>
                <w:i/>
                <w:iCs/>
                <w:spacing w:val="-27"/>
                <w:sz w:val="24"/>
                <w:szCs w:val="24"/>
              </w:rPr>
              <w:t xml:space="preserve"> </w:t>
            </w:r>
            <w:r>
              <w:rPr>
                <w:spacing w:val="-4"/>
                <w:sz w:val="24"/>
                <w:szCs w:val="24"/>
              </w:rPr>
              <w:t xml:space="preserve">。图 </w:t>
            </w:r>
            <w:r>
              <w:rPr>
                <w:rFonts w:ascii="Times New Roman" w:hAnsi="Times New Roman" w:eastAsia="Times New Roman" w:cs="Times New Roman"/>
                <w:spacing w:val="-4"/>
                <w:sz w:val="24"/>
                <w:szCs w:val="24"/>
              </w:rPr>
              <w:t>A.3</w:t>
            </w:r>
            <w:r>
              <w:rPr>
                <w:rFonts w:ascii="Times New Roman" w:hAnsi="Times New Roman" w:eastAsia="Times New Roman" w:cs="Times New Roman"/>
                <w:spacing w:val="17"/>
                <w:sz w:val="24"/>
                <w:szCs w:val="24"/>
              </w:rPr>
              <w:t xml:space="preserve">  </w:t>
            </w:r>
            <w:r>
              <w:rPr>
                <w:spacing w:val="-4"/>
                <w:sz w:val="24"/>
                <w:szCs w:val="24"/>
              </w:rPr>
              <w:t>中虚线为实际衰减量。</w:t>
            </w:r>
          </w:p>
          <w:p w14:paraId="16F3F5DB">
            <w:pPr>
              <w:spacing w:line="4423" w:lineRule="exact"/>
              <w:ind w:firstLine="1495"/>
            </w:pPr>
            <w:r>
              <w:rPr>
                <w:position w:val="-88"/>
              </w:rPr>
              <w:drawing>
                <wp:inline distT="0" distB="0" distL="0" distR="0">
                  <wp:extent cx="3698240" cy="2808605"/>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268"/>
                          <a:stretch>
                            <a:fillRect/>
                          </a:stretch>
                        </pic:blipFill>
                        <pic:spPr>
                          <a:xfrm>
                            <a:off x="0" y="0"/>
                            <a:ext cx="3698747" cy="2808732"/>
                          </a:xfrm>
                          <a:prstGeom prst="rect">
                            <a:avLst/>
                          </a:prstGeom>
                        </pic:spPr>
                      </pic:pic>
                    </a:graphicData>
                  </a:graphic>
                </wp:inline>
              </w:drawing>
            </w:r>
          </w:p>
          <w:p w14:paraId="338492DC">
            <w:pPr>
              <w:spacing w:before="36" w:line="239" w:lineRule="auto"/>
              <w:ind w:left="100" w:right="2022" w:firstLine="1941"/>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A.3    </w:t>
            </w:r>
            <w:r>
              <w:rPr>
                <w:rFonts w:ascii="黑体" w:hAnsi="黑体" w:eastAsia="黑体" w:cs="黑体"/>
                <w:spacing w:val="-2"/>
                <w:sz w:val="24"/>
                <w:szCs w:val="24"/>
              </w:rPr>
              <w:t>长方形面声源中心轴线上的衰减特性</w:t>
            </w:r>
            <w:r>
              <w:rPr>
                <w:rFonts w:ascii="Times New Roman" w:hAnsi="Times New Roman" w:eastAsia="Times New Roman" w:cs="Times New Roman"/>
                <w:sz w:val="24"/>
                <w:szCs w:val="24"/>
              </w:rPr>
              <w:t xml:space="preserve">A.3.4  </w:t>
            </w:r>
            <w:r>
              <w:rPr>
                <w:rFonts w:ascii="黑体" w:hAnsi="黑体" w:eastAsia="黑体" w:cs="黑体"/>
                <w:sz w:val="24"/>
                <w:szCs w:val="24"/>
              </w:rPr>
              <w:t>障碍物屏蔽引起的衰减（</w:t>
            </w:r>
            <w:r>
              <w:rPr>
                <w:rFonts w:ascii="Times New Roman" w:hAnsi="Times New Roman" w:eastAsia="Times New Roman" w:cs="Times New Roman"/>
                <w:i/>
                <w:iCs/>
                <w:sz w:val="24"/>
                <w:szCs w:val="24"/>
              </w:rPr>
              <w:t>A</w:t>
            </w:r>
            <w:r>
              <w:rPr>
                <w:rFonts w:ascii="Times New Roman" w:hAnsi="Times New Roman" w:eastAsia="Times New Roman" w:cs="Times New Roman"/>
                <w:sz w:val="15"/>
                <w:szCs w:val="15"/>
              </w:rPr>
              <w:t>bar</w:t>
            </w:r>
            <w:r>
              <w:rPr>
                <w:rFonts w:ascii="黑体" w:hAnsi="黑体" w:eastAsia="黑体" w:cs="黑体"/>
                <w:sz w:val="24"/>
                <w:szCs w:val="24"/>
              </w:rPr>
              <w:t>）</w:t>
            </w:r>
          </w:p>
        </w:tc>
      </w:tr>
    </w:tbl>
    <w:p w14:paraId="00ACAE69">
      <w:pPr>
        <w:rPr>
          <w:rFonts w:ascii="Arial"/>
          <w:sz w:val="21"/>
        </w:rPr>
      </w:pPr>
    </w:p>
    <w:p w14:paraId="14035BEC">
      <w:pPr>
        <w:rPr>
          <w:rFonts w:ascii="Arial" w:hAnsi="Arial" w:eastAsia="Arial" w:cs="Arial"/>
          <w:sz w:val="21"/>
          <w:szCs w:val="21"/>
        </w:rPr>
        <w:sectPr>
          <w:footerReference r:id="rId109" w:type="default"/>
          <w:pgSz w:w="11907" w:h="16840"/>
          <w:pgMar w:top="400" w:right="1178" w:bottom="1240" w:left="1405" w:header="0" w:footer="1077" w:gutter="0"/>
          <w:cols w:space="720" w:num="1"/>
        </w:sectPr>
      </w:pPr>
    </w:p>
    <w:p w14:paraId="4AF14831">
      <w:pPr>
        <w:spacing w:before="13"/>
      </w:pPr>
    </w:p>
    <w:p w14:paraId="3838092F">
      <w:pPr>
        <w:spacing w:before="13"/>
      </w:pPr>
    </w:p>
    <w:p w14:paraId="781C07AA">
      <w:pPr>
        <w:spacing w:before="13"/>
      </w:pPr>
    </w:p>
    <w:p w14:paraId="175B1AE2">
      <w:pPr>
        <w:spacing w:before="12"/>
      </w:pPr>
    </w:p>
    <w:tbl>
      <w:tblPr>
        <w:tblStyle w:val="5"/>
        <w:tblW w:w="93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30"/>
      </w:tblGrid>
      <w:tr w14:paraId="306F2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9" w:hRule="atLeast"/>
        </w:trPr>
        <w:tc>
          <w:tcPr>
            <w:tcW w:w="478" w:type="dxa"/>
            <w:tcBorders>
              <w:right w:val="single" w:color="000000" w:sz="2" w:space="0"/>
            </w:tcBorders>
            <w:vAlign w:val="top"/>
          </w:tcPr>
          <w:p w14:paraId="2283BF77">
            <w:pPr>
              <w:rPr>
                <w:rFonts w:ascii="Arial"/>
                <w:sz w:val="21"/>
              </w:rPr>
            </w:pPr>
          </w:p>
        </w:tc>
        <w:tc>
          <w:tcPr>
            <w:tcW w:w="8830" w:type="dxa"/>
            <w:tcBorders>
              <w:left w:val="single" w:color="000000" w:sz="2" w:space="0"/>
            </w:tcBorders>
            <w:vAlign w:val="top"/>
          </w:tcPr>
          <w:p w14:paraId="735E23D8">
            <w:pPr>
              <w:pStyle w:val="6"/>
              <w:spacing w:before="29" w:line="359" w:lineRule="auto"/>
              <w:ind w:left="108" w:right="22" w:firstLine="480"/>
              <w:jc w:val="both"/>
              <w:rPr>
                <w:sz w:val="24"/>
                <w:szCs w:val="24"/>
              </w:rPr>
            </w:pPr>
            <w:r>
              <w:rPr>
                <w:spacing w:val="-6"/>
                <w:sz w:val="24"/>
                <w:szCs w:val="24"/>
              </w:rPr>
              <w:t>本项目厂界设围墙，根据导则，位于声源和预测点之间的实体障碍物，如围墙、</w:t>
            </w:r>
            <w:r>
              <w:rPr>
                <w:spacing w:val="-1"/>
                <w:sz w:val="24"/>
                <w:szCs w:val="24"/>
              </w:rPr>
              <w:t>建筑物、土坡或地堑等起声屏障作用，从而引起声能量的较大衰减。在环境影响评价中，可将各种形式的屏障简化为具有一定高度的薄屏障。</w:t>
            </w:r>
          </w:p>
          <w:p w14:paraId="398B30FA">
            <w:pPr>
              <w:pStyle w:val="6"/>
              <w:spacing w:line="213" w:lineRule="auto"/>
              <w:ind w:left="591"/>
              <w:rPr>
                <w:sz w:val="24"/>
                <w:szCs w:val="24"/>
              </w:rPr>
            </w:pPr>
            <w:r>
              <w:rPr>
                <w:spacing w:val="-2"/>
                <w:sz w:val="24"/>
                <w:szCs w:val="24"/>
              </w:rPr>
              <w:t xml:space="preserve">如图 </w:t>
            </w:r>
            <w:r>
              <w:rPr>
                <w:rFonts w:ascii="Times New Roman" w:hAnsi="Times New Roman" w:eastAsia="Times New Roman" w:cs="Times New Roman"/>
                <w:spacing w:val="-2"/>
                <w:sz w:val="24"/>
                <w:szCs w:val="24"/>
              </w:rPr>
              <w:t xml:space="preserve">A.5  </w:t>
            </w:r>
            <w:r>
              <w:rPr>
                <w:spacing w:val="-2"/>
                <w:sz w:val="24"/>
                <w:szCs w:val="24"/>
              </w:rPr>
              <w:t>所示，</w:t>
            </w:r>
            <w:r>
              <w:rPr>
                <w:rFonts w:ascii="Times New Roman" w:hAnsi="Times New Roman" w:eastAsia="Times New Roman" w:cs="Times New Roman"/>
                <w:spacing w:val="-2"/>
                <w:sz w:val="24"/>
                <w:szCs w:val="24"/>
              </w:rPr>
              <w:t>S</w:t>
            </w:r>
            <w:r>
              <w:rPr>
                <w:rFonts w:ascii="Times New Roman" w:hAnsi="Times New Roman" w:eastAsia="Times New Roman" w:cs="Times New Roman"/>
                <w:spacing w:val="-35"/>
                <w:sz w:val="24"/>
                <w:szCs w:val="24"/>
              </w:rPr>
              <w:t xml:space="preserve"> </w:t>
            </w:r>
            <w:r>
              <w:rPr>
                <w:spacing w:val="-2"/>
                <w:sz w:val="24"/>
                <w:szCs w:val="24"/>
              </w:rPr>
              <w:t>、</w:t>
            </w:r>
            <w:r>
              <w:rPr>
                <w:rFonts w:ascii="Times New Roman" w:hAnsi="Times New Roman" w:eastAsia="Times New Roman" w:cs="Times New Roman"/>
                <w:spacing w:val="-2"/>
                <w:sz w:val="24"/>
                <w:szCs w:val="24"/>
              </w:rPr>
              <w:t>O</w:t>
            </w:r>
            <w:r>
              <w:rPr>
                <w:rFonts w:ascii="Times New Roman" w:hAnsi="Times New Roman" w:eastAsia="Times New Roman" w:cs="Times New Roman"/>
                <w:spacing w:val="-32"/>
                <w:sz w:val="24"/>
                <w:szCs w:val="24"/>
              </w:rPr>
              <w:t xml:space="preserve"> </w:t>
            </w:r>
            <w:r>
              <w:rPr>
                <w:spacing w:val="-2"/>
                <w:sz w:val="24"/>
                <w:szCs w:val="24"/>
              </w:rPr>
              <w:t>、</w:t>
            </w:r>
            <w:r>
              <w:rPr>
                <w:rFonts w:ascii="Times New Roman" w:hAnsi="Times New Roman" w:eastAsia="Times New Roman" w:cs="Times New Roman"/>
                <w:spacing w:val="-2"/>
                <w:sz w:val="24"/>
                <w:szCs w:val="24"/>
              </w:rPr>
              <w:t xml:space="preserve">P  </w:t>
            </w:r>
            <w:r>
              <w:rPr>
                <w:spacing w:val="-2"/>
                <w:sz w:val="24"/>
                <w:szCs w:val="24"/>
              </w:rPr>
              <w:t>三点在同一平面内且垂直于</w:t>
            </w:r>
            <w:r>
              <w:rPr>
                <w:spacing w:val="-3"/>
                <w:sz w:val="24"/>
                <w:szCs w:val="24"/>
              </w:rPr>
              <w:t>地面。</w:t>
            </w:r>
          </w:p>
          <w:p w14:paraId="72C65831">
            <w:pPr>
              <w:spacing w:line="2605" w:lineRule="exact"/>
              <w:ind w:firstLine="2477"/>
            </w:pPr>
            <w:r>
              <w:rPr>
                <w:position w:val="-52"/>
              </w:rPr>
              <w:drawing>
                <wp:inline distT="0" distB="0" distL="0" distR="0">
                  <wp:extent cx="2451735" cy="1654175"/>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269"/>
                          <a:stretch>
                            <a:fillRect/>
                          </a:stretch>
                        </pic:blipFill>
                        <pic:spPr>
                          <a:xfrm>
                            <a:off x="0" y="0"/>
                            <a:ext cx="2452116" cy="1654390"/>
                          </a:xfrm>
                          <a:prstGeom prst="rect">
                            <a:avLst/>
                          </a:prstGeom>
                        </pic:spPr>
                      </pic:pic>
                    </a:graphicData>
                  </a:graphic>
                </wp:inline>
              </w:drawing>
            </w:r>
          </w:p>
          <w:p w14:paraId="5223507A">
            <w:pPr>
              <w:pStyle w:val="6"/>
              <w:spacing w:before="2" w:line="350" w:lineRule="auto"/>
              <w:ind w:left="586" w:right="22" w:firstLine="6"/>
              <w:rPr>
                <w:sz w:val="24"/>
                <w:szCs w:val="24"/>
              </w:rPr>
            </w:pPr>
            <w:r>
              <w:rPr>
                <w:sz w:val="24"/>
                <w:szCs w:val="24"/>
              </w:rPr>
              <w:t xml:space="preserve">定义 </w:t>
            </w:r>
            <w:r>
              <w:rPr>
                <w:rFonts w:ascii="Times New Roman" w:hAnsi="Times New Roman" w:eastAsia="Times New Roman" w:cs="Times New Roman"/>
                <w:i/>
                <w:iCs/>
                <w:sz w:val="24"/>
                <w:szCs w:val="24"/>
              </w:rPr>
              <w:t>δ</w:t>
            </w:r>
            <w:r>
              <w:rPr>
                <w:rFonts w:ascii="Times New Roman" w:hAnsi="Times New Roman" w:eastAsia="Times New Roman" w:cs="Times New Roman"/>
                <w:i/>
                <w:iCs/>
                <w:spacing w:val="-28"/>
                <w:sz w:val="24"/>
                <w:szCs w:val="24"/>
              </w:rPr>
              <w:t xml:space="preserve"> </w:t>
            </w:r>
            <w:r>
              <w:rPr>
                <w:sz w:val="24"/>
                <w:szCs w:val="24"/>
              </w:rPr>
              <w:t>=</w:t>
            </w:r>
            <w:r>
              <w:rPr>
                <w:rFonts w:ascii="Times New Roman" w:hAnsi="Times New Roman" w:eastAsia="Times New Roman" w:cs="Times New Roman"/>
                <w:sz w:val="24"/>
                <w:szCs w:val="24"/>
              </w:rPr>
              <w:t>SO</w:t>
            </w:r>
            <w:r>
              <w:rPr>
                <w:sz w:val="24"/>
                <w:szCs w:val="24"/>
              </w:rPr>
              <w:t>＋</w:t>
            </w:r>
            <w:r>
              <w:rPr>
                <w:rFonts w:ascii="Times New Roman" w:hAnsi="Times New Roman" w:eastAsia="Times New Roman" w:cs="Times New Roman"/>
                <w:sz w:val="24"/>
                <w:szCs w:val="24"/>
              </w:rPr>
              <w:t>OP</w:t>
            </w:r>
            <w:r>
              <w:rPr>
                <w:sz w:val="24"/>
                <w:szCs w:val="24"/>
              </w:rPr>
              <w:t>－</w:t>
            </w:r>
            <w:r>
              <w:rPr>
                <w:rFonts w:ascii="Times New Roman" w:hAnsi="Times New Roman" w:eastAsia="Times New Roman" w:cs="Times New Roman"/>
                <w:sz w:val="24"/>
                <w:szCs w:val="24"/>
              </w:rPr>
              <w:t xml:space="preserve">SP  </w:t>
            </w:r>
            <w:r>
              <w:rPr>
                <w:sz w:val="24"/>
                <w:szCs w:val="24"/>
              </w:rPr>
              <w:t>为声程差</w:t>
            </w:r>
            <w:r>
              <w:rPr>
                <w:spacing w:val="-1"/>
                <w:sz w:val="24"/>
                <w:szCs w:val="24"/>
              </w:rPr>
              <w:t>，</w:t>
            </w:r>
            <w:r>
              <w:rPr>
                <w:rFonts w:ascii="Times New Roman" w:hAnsi="Times New Roman" w:eastAsia="Times New Roman" w:cs="Times New Roman"/>
                <w:i/>
                <w:iCs/>
                <w:spacing w:val="-1"/>
                <w:sz w:val="24"/>
                <w:szCs w:val="24"/>
              </w:rPr>
              <w:t>N</w:t>
            </w:r>
            <w:r>
              <w:rPr>
                <w:spacing w:val="-1"/>
                <w:sz w:val="24"/>
                <w:szCs w:val="24"/>
              </w:rPr>
              <w:t>＝</w:t>
            </w:r>
            <w:r>
              <w:rPr>
                <w:rFonts w:ascii="Times New Roman" w:hAnsi="Times New Roman" w:eastAsia="Times New Roman" w:cs="Times New Roman"/>
                <w:spacing w:val="-1"/>
                <w:sz w:val="24"/>
                <w:szCs w:val="24"/>
              </w:rPr>
              <w:t xml:space="preserve">2 </w:t>
            </w:r>
            <w:r>
              <w:rPr>
                <w:rFonts w:ascii="Times New Roman" w:hAnsi="Times New Roman" w:eastAsia="Times New Roman" w:cs="Times New Roman"/>
                <w:i/>
                <w:iCs/>
                <w:spacing w:val="-1"/>
                <w:sz w:val="24"/>
                <w:szCs w:val="24"/>
              </w:rPr>
              <w:t>δ</w:t>
            </w:r>
            <w:r>
              <w:rPr>
                <w:rFonts w:ascii="Times New Roman" w:hAnsi="Times New Roman" w:eastAsia="Times New Roman" w:cs="Times New Roman"/>
                <w:spacing w:val="-1"/>
                <w:sz w:val="24"/>
                <w:szCs w:val="24"/>
              </w:rPr>
              <w:t>/</w:t>
            </w:r>
            <w:r>
              <w:rPr>
                <w:rFonts w:ascii="Times New Roman" w:hAnsi="Times New Roman" w:eastAsia="Times New Roman" w:cs="Times New Roman"/>
                <w:i/>
                <w:iCs/>
                <w:spacing w:val="-1"/>
                <w:sz w:val="24"/>
                <w:szCs w:val="24"/>
              </w:rPr>
              <w:t xml:space="preserve">λ  </w:t>
            </w:r>
            <w:r>
              <w:rPr>
                <w:spacing w:val="-1"/>
                <w:sz w:val="24"/>
                <w:szCs w:val="24"/>
              </w:rPr>
              <w:t xml:space="preserve">为菲涅尔数，其中 </w:t>
            </w:r>
            <w:r>
              <w:rPr>
                <w:rFonts w:ascii="Times New Roman" w:hAnsi="Times New Roman" w:eastAsia="Times New Roman" w:cs="Times New Roman"/>
                <w:i/>
                <w:iCs/>
                <w:spacing w:val="-1"/>
                <w:sz w:val="24"/>
                <w:szCs w:val="24"/>
              </w:rPr>
              <w:t xml:space="preserve">λ  </w:t>
            </w:r>
            <w:r>
              <w:rPr>
                <w:spacing w:val="-1"/>
                <w:sz w:val="24"/>
                <w:szCs w:val="24"/>
              </w:rPr>
              <w:t>为声波波长。</w:t>
            </w:r>
            <w:r>
              <w:rPr>
                <w:sz w:val="24"/>
                <w:szCs w:val="24"/>
              </w:rPr>
              <w:t>在噪声预测中，声屏障插入损失的计算方法需要根据</w:t>
            </w:r>
            <w:r>
              <w:rPr>
                <w:spacing w:val="-1"/>
                <w:sz w:val="24"/>
                <w:szCs w:val="24"/>
              </w:rPr>
              <w:t>实际情况做简化处理。</w:t>
            </w:r>
          </w:p>
          <w:p w14:paraId="343F3B38">
            <w:pPr>
              <w:pStyle w:val="6"/>
              <w:spacing w:before="59" w:line="359" w:lineRule="auto"/>
              <w:ind w:left="119" w:right="129" w:hanging="10"/>
              <w:rPr>
                <w:sz w:val="24"/>
                <w:szCs w:val="24"/>
              </w:rPr>
            </w:pPr>
            <w:r>
              <w:rPr>
                <w:spacing w:val="4"/>
                <w:sz w:val="24"/>
                <w:szCs w:val="24"/>
              </w:rPr>
              <w:t>屏障衰减</w:t>
            </w:r>
            <w:r>
              <w:rPr>
                <w:spacing w:val="-72"/>
                <w:sz w:val="24"/>
                <w:szCs w:val="24"/>
              </w:rPr>
              <w:t xml:space="preserve"> </w:t>
            </w:r>
            <w:r>
              <w:rPr>
                <w:rFonts w:ascii="Times New Roman" w:hAnsi="Times New Roman" w:eastAsia="Times New Roman" w:cs="Times New Roman"/>
                <w:i/>
                <w:iCs/>
                <w:sz w:val="24"/>
                <w:szCs w:val="24"/>
              </w:rPr>
              <w:t>A</w:t>
            </w:r>
            <w:r>
              <w:rPr>
                <w:rFonts w:ascii="Times New Roman" w:hAnsi="Times New Roman" w:eastAsia="Times New Roman" w:cs="Times New Roman"/>
                <w:sz w:val="24"/>
                <w:szCs w:val="24"/>
              </w:rPr>
              <w:t>bar</w:t>
            </w:r>
            <w:r>
              <w:rPr>
                <w:spacing w:val="4"/>
                <w:sz w:val="24"/>
                <w:szCs w:val="24"/>
              </w:rPr>
              <w:t>在单绕射（即薄屏障）情况，衰减</w:t>
            </w:r>
            <w:r>
              <w:rPr>
                <w:spacing w:val="3"/>
                <w:sz w:val="24"/>
                <w:szCs w:val="24"/>
              </w:rPr>
              <w:t>最大取</w:t>
            </w:r>
            <w:r>
              <w:rPr>
                <w:rFonts w:ascii="Times New Roman" w:hAnsi="Times New Roman" w:eastAsia="Times New Roman" w:cs="Times New Roman"/>
                <w:spacing w:val="3"/>
                <w:sz w:val="24"/>
                <w:szCs w:val="24"/>
              </w:rPr>
              <w:t>20</w:t>
            </w:r>
            <w:r>
              <w:rPr>
                <w:rFonts w:ascii="Times New Roman" w:hAnsi="Times New Roman" w:eastAsia="Times New Roman" w:cs="Times New Roman"/>
                <w:sz w:val="24"/>
                <w:szCs w:val="24"/>
              </w:rPr>
              <w:t>dB</w:t>
            </w:r>
            <w:r>
              <w:rPr>
                <w:spacing w:val="3"/>
                <w:sz w:val="24"/>
                <w:szCs w:val="24"/>
              </w:rPr>
              <w:t>；在双绕射（即厚屏</w:t>
            </w:r>
            <w:r>
              <w:rPr>
                <w:spacing w:val="-2"/>
                <w:sz w:val="24"/>
                <w:szCs w:val="24"/>
              </w:rPr>
              <w:t>障）情况，衰减最大取</w:t>
            </w:r>
            <w:r>
              <w:rPr>
                <w:spacing w:val="-53"/>
                <w:sz w:val="24"/>
                <w:szCs w:val="24"/>
              </w:rPr>
              <w:t xml:space="preserve"> </w:t>
            </w:r>
            <w:r>
              <w:rPr>
                <w:rFonts w:ascii="Times New Roman" w:hAnsi="Times New Roman" w:eastAsia="Times New Roman" w:cs="Times New Roman"/>
                <w:spacing w:val="-2"/>
                <w:sz w:val="24"/>
                <w:szCs w:val="24"/>
              </w:rPr>
              <w:t>25dB</w:t>
            </w:r>
            <w:r>
              <w:rPr>
                <w:spacing w:val="-2"/>
                <w:sz w:val="24"/>
                <w:szCs w:val="24"/>
              </w:rPr>
              <w:t>。</w:t>
            </w:r>
          </w:p>
          <w:p w14:paraId="448FA15E">
            <w:pPr>
              <w:pStyle w:val="6"/>
              <w:spacing w:before="2" w:line="355" w:lineRule="auto"/>
              <w:ind w:left="110" w:right="103" w:firstLine="480"/>
              <w:jc w:val="both"/>
              <w:rPr>
                <w:sz w:val="24"/>
                <w:szCs w:val="24"/>
              </w:rPr>
            </w:pPr>
            <w:r>
              <w:rPr>
                <w:spacing w:val="-1"/>
                <w:sz w:val="24"/>
                <w:szCs w:val="24"/>
              </w:rPr>
              <w:t>设第</w:t>
            </w:r>
            <w:r>
              <w:rPr>
                <w:spacing w:val="-50"/>
                <w:sz w:val="24"/>
                <w:szCs w:val="24"/>
              </w:rPr>
              <w:t xml:space="preserve"> </w:t>
            </w:r>
            <w:r>
              <w:rPr>
                <w:rFonts w:ascii="Times New Roman" w:hAnsi="Times New Roman" w:eastAsia="Times New Roman" w:cs="Times New Roman"/>
                <w:spacing w:val="-1"/>
                <w:sz w:val="24"/>
                <w:szCs w:val="24"/>
              </w:rPr>
              <w:t xml:space="preserve">i </w:t>
            </w:r>
            <w:r>
              <w:rPr>
                <w:spacing w:val="-1"/>
                <w:sz w:val="24"/>
                <w:szCs w:val="24"/>
              </w:rPr>
              <w:t>个室外声源在预测点产生的</w:t>
            </w:r>
            <w:r>
              <w:rPr>
                <w:spacing w:val="-56"/>
                <w:sz w:val="24"/>
                <w:szCs w:val="24"/>
              </w:rPr>
              <w:t xml:space="preserve"> </w:t>
            </w:r>
            <w:r>
              <w:rPr>
                <w:rFonts w:ascii="Times New Roman" w:hAnsi="Times New Roman" w:eastAsia="Times New Roman" w:cs="Times New Roman"/>
                <w:spacing w:val="-1"/>
                <w:sz w:val="24"/>
                <w:szCs w:val="24"/>
              </w:rPr>
              <w:t>A</w:t>
            </w:r>
            <w:r>
              <w:rPr>
                <w:rFonts w:ascii="Times New Roman" w:hAnsi="Times New Roman" w:eastAsia="Times New Roman" w:cs="Times New Roman"/>
                <w:spacing w:val="18"/>
                <w:w w:val="101"/>
                <w:sz w:val="24"/>
                <w:szCs w:val="24"/>
              </w:rPr>
              <w:t xml:space="preserve"> </w:t>
            </w:r>
            <w:r>
              <w:rPr>
                <w:spacing w:val="-1"/>
                <w:sz w:val="24"/>
                <w:szCs w:val="24"/>
              </w:rPr>
              <w:t>声级为</w:t>
            </w:r>
            <w:r>
              <w:rPr>
                <w:spacing w:val="-55"/>
                <w:sz w:val="24"/>
                <w:szCs w:val="24"/>
              </w:rPr>
              <w:t xml:space="preserve"> </w:t>
            </w:r>
            <w:r>
              <w:rPr>
                <w:rFonts w:ascii="Times New Roman" w:hAnsi="Times New Roman" w:eastAsia="Times New Roman" w:cs="Times New Roman"/>
                <w:spacing w:val="-1"/>
                <w:sz w:val="24"/>
                <w:szCs w:val="24"/>
              </w:rPr>
              <w:t>L</w:t>
            </w:r>
            <w:r>
              <w:rPr>
                <w:rFonts w:ascii="Times New Roman" w:hAnsi="Times New Roman" w:eastAsia="Times New Roman" w:cs="Times New Roman"/>
                <w:spacing w:val="-1"/>
                <w:position w:val="-1"/>
                <w:sz w:val="15"/>
                <w:szCs w:val="15"/>
              </w:rPr>
              <w:t xml:space="preserve">Ai </w:t>
            </w:r>
            <w:r>
              <w:rPr>
                <w:spacing w:val="-1"/>
                <w:sz w:val="24"/>
                <w:szCs w:val="24"/>
              </w:rPr>
              <w:t>，在</w:t>
            </w:r>
            <w:r>
              <w:rPr>
                <w:spacing w:val="-51"/>
                <w:sz w:val="24"/>
                <w:szCs w:val="24"/>
              </w:rPr>
              <w:t xml:space="preserve"> </w:t>
            </w:r>
            <w:r>
              <w:rPr>
                <w:rFonts w:ascii="Times New Roman" w:hAnsi="Times New Roman" w:eastAsia="Times New Roman" w:cs="Times New Roman"/>
                <w:spacing w:val="-1"/>
                <w:sz w:val="24"/>
                <w:szCs w:val="24"/>
              </w:rPr>
              <w:t>T</w:t>
            </w:r>
            <w:r>
              <w:rPr>
                <w:rFonts w:ascii="Times New Roman" w:hAnsi="Times New Roman" w:eastAsia="Times New Roman" w:cs="Times New Roman"/>
                <w:spacing w:val="23"/>
                <w:w w:val="101"/>
                <w:sz w:val="24"/>
                <w:szCs w:val="24"/>
              </w:rPr>
              <w:t xml:space="preserve"> </w:t>
            </w:r>
            <w:r>
              <w:rPr>
                <w:spacing w:val="-2"/>
                <w:sz w:val="24"/>
                <w:szCs w:val="24"/>
              </w:rPr>
              <w:t>时间内该声源工作时间为</w:t>
            </w:r>
            <w:r>
              <w:rPr>
                <w:spacing w:val="-58"/>
                <w:sz w:val="24"/>
                <w:szCs w:val="24"/>
              </w:rPr>
              <w:t xml:space="preserve"> </w:t>
            </w:r>
            <w:r>
              <w:rPr>
                <w:rFonts w:ascii="Times New Roman" w:hAnsi="Times New Roman" w:eastAsia="Times New Roman" w:cs="Times New Roman"/>
                <w:spacing w:val="-2"/>
                <w:sz w:val="24"/>
                <w:szCs w:val="24"/>
              </w:rPr>
              <w:t>t</w:t>
            </w:r>
            <w:r>
              <w:rPr>
                <w:rFonts w:ascii="Times New Roman" w:hAnsi="Times New Roman" w:eastAsia="Times New Roman" w:cs="Times New Roman"/>
                <w:spacing w:val="-2"/>
                <w:position w:val="-1"/>
                <w:sz w:val="15"/>
                <w:szCs w:val="15"/>
              </w:rPr>
              <w:t>i</w:t>
            </w:r>
            <w:r>
              <w:rPr>
                <w:spacing w:val="-2"/>
                <w:sz w:val="24"/>
                <w:szCs w:val="24"/>
              </w:rPr>
              <w:t>；第</w:t>
            </w:r>
            <w:r>
              <w:rPr>
                <w:rFonts w:ascii="Times New Roman" w:hAnsi="Times New Roman" w:eastAsia="Times New Roman" w:cs="Times New Roman"/>
                <w:spacing w:val="-2"/>
                <w:sz w:val="24"/>
                <w:szCs w:val="24"/>
              </w:rPr>
              <w:t xml:space="preserve">j </w:t>
            </w:r>
            <w:r>
              <w:rPr>
                <w:spacing w:val="-2"/>
                <w:sz w:val="24"/>
                <w:szCs w:val="24"/>
              </w:rPr>
              <w:t>个等效室外声源在预测点产生</w:t>
            </w:r>
            <w:r>
              <w:rPr>
                <w:spacing w:val="-3"/>
                <w:sz w:val="24"/>
                <w:szCs w:val="24"/>
              </w:rPr>
              <w:t>的</w:t>
            </w:r>
            <w:r>
              <w:rPr>
                <w:spacing w:val="-58"/>
                <w:sz w:val="24"/>
                <w:szCs w:val="24"/>
              </w:rPr>
              <w:t xml:space="preserve"> </w:t>
            </w:r>
            <w:r>
              <w:rPr>
                <w:rFonts w:ascii="Times New Roman" w:hAnsi="Times New Roman" w:eastAsia="Times New Roman" w:cs="Times New Roman"/>
                <w:spacing w:val="-3"/>
                <w:sz w:val="24"/>
                <w:szCs w:val="24"/>
              </w:rPr>
              <w:t>A</w:t>
            </w:r>
            <w:r>
              <w:rPr>
                <w:rFonts w:ascii="Times New Roman" w:hAnsi="Times New Roman" w:eastAsia="Times New Roman" w:cs="Times New Roman"/>
                <w:spacing w:val="16"/>
                <w:w w:val="101"/>
                <w:sz w:val="24"/>
                <w:szCs w:val="24"/>
              </w:rPr>
              <w:t xml:space="preserve"> </w:t>
            </w:r>
            <w:r>
              <w:rPr>
                <w:spacing w:val="-3"/>
                <w:sz w:val="24"/>
                <w:szCs w:val="24"/>
              </w:rPr>
              <w:t>声级为</w:t>
            </w:r>
            <w:r>
              <w:rPr>
                <w:spacing w:val="-55"/>
                <w:sz w:val="24"/>
                <w:szCs w:val="24"/>
              </w:rPr>
              <w:t xml:space="preserve"> </w:t>
            </w:r>
            <w:r>
              <w:rPr>
                <w:rFonts w:ascii="Times New Roman" w:hAnsi="Times New Roman" w:eastAsia="Times New Roman" w:cs="Times New Roman"/>
                <w:spacing w:val="-3"/>
                <w:sz w:val="24"/>
                <w:szCs w:val="24"/>
              </w:rPr>
              <w:t>L</w:t>
            </w:r>
            <w:r>
              <w:rPr>
                <w:rFonts w:ascii="Times New Roman" w:hAnsi="Times New Roman" w:eastAsia="Times New Roman" w:cs="Times New Roman"/>
                <w:spacing w:val="-3"/>
                <w:position w:val="-1"/>
                <w:sz w:val="15"/>
                <w:szCs w:val="15"/>
              </w:rPr>
              <w:t>Aj</w:t>
            </w:r>
            <w:r>
              <w:rPr>
                <w:spacing w:val="-3"/>
                <w:sz w:val="24"/>
                <w:szCs w:val="24"/>
              </w:rPr>
              <w:t>，在</w:t>
            </w:r>
            <w:r>
              <w:rPr>
                <w:spacing w:val="-53"/>
                <w:sz w:val="24"/>
                <w:szCs w:val="24"/>
              </w:rPr>
              <w:t xml:space="preserve"> </w:t>
            </w:r>
            <w:r>
              <w:rPr>
                <w:rFonts w:ascii="Times New Roman" w:hAnsi="Times New Roman" w:eastAsia="Times New Roman" w:cs="Times New Roman"/>
                <w:spacing w:val="-3"/>
                <w:sz w:val="24"/>
                <w:szCs w:val="24"/>
              </w:rPr>
              <w:t>T</w:t>
            </w:r>
            <w:r>
              <w:rPr>
                <w:rFonts w:ascii="Times New Roman" w:hAnsi="Times New Roman" w:eastAsia="Times New Roman" w:cs="Times New Roman"/>
                <w:spacing w:val="21"/>
                <w:sz w:val="24"/>
                <w:szCs w:val="24"/>
              </w:rPr>
              <w:t xml:space="preserve"> </w:t>
            </w:r>
            <w:r>
              <w:rPr>
                <w:spacing w:val="-3"/>
                <w:sz w:val="24"/>
                <w:szCs w:val="24"/>
              </w:rPr>
              <w:t>时间内该声源工作时</w:t>
            </w:r>
            <w:r>
              <w:rPr>
                <w:spacing w:val="-2"/>
                <w:sz w:val="24"/>
                <w:szCs w:val="24"/>
              </w:rPr>
              <w:t>间为</w:t>
            </w:r>
            <w:r>
              <w:rPr>
                <w:spacing w:val="-42"/>
                <w:sz w:val="24"/>
                <w:szCs w:val="24"/>
              </w:rPr>
              <w:t xml:space="preserve"> </w:t>
            </w:r>
            <w:r>
              <w:rPr>
                <w:rFonts w:ascii="Times New Roman" w:hAnsi="Times New Roman" w:eastAsia="Times New Roman" w:cs="Times New Roman"/>
                <w:spacing w:val="-2"/>
                <w:sz w:val="24"/>
                <w:szCs w:val="24"/>
              </w:rPr>
              <w:t>t</w:t>
            </w:r>
            <w:r>
              <w:rPr>
                <w:rFonts w:ascii="Times New Roman" w:hAnsi="Times New Roman" w:eastAsia="Times New Roman" w:cs="Times New Roman"/>
                <w:spacing w:val="-2"/>
                <w:position w:val="-1"/>
                <w:sz w:val="15"/>
                <w:szCs w:val="15"/>
              </w:rPr>
              <w:t>j</w:t>
            </w:r>
            <w:r>
              <w:rPr>
                <w:rFonts w:ascii="Times New Roman" w:hAnsi="Times New Roman" w:eastAsia="Times New Roman" w:cs="Times New Roman"/>
                <w:spacing w:val="-8"/>
                <w:position w:val="-1"/>
                <w:sz w:val="15"/>
                <w:szCs w:val="15"/>
              </w:rPr>
              <w:t xml:space="preserve"> </w:t>
            </w:r>
            <w:r>
              <w:rPr>
                <w:spacing w:val="-2"/>
                <w:sz w:val="24"/>
                <w:szCs w:val="24"/>
              </w:rPr>
              <w:t>，则拟建工程声源对预测点产生的贡献值（</w:t>
            </w:r>
            <w:r>
              <w:rPr>
                <w:rFonts w:ascii="Times New Roman" w:hAnsi="Times New Roman" w:eastAsia="Times New Roman" w:cs="Times New Roman"/>
                <w:spacing w:val="-2"/>
                <w:sz w:val="24"/>
                <w:szCs w:val="24"/>
              </w:rPr>
              <w:t>Leqg</w:t>
            </w:r>
            <w:r>
              <w:rPr>
                <w:spacing w:val="-2"/>
                <w:sz w:val="24"/>
                <w:szCs w:val="24"/>
              </w:rPr>
              <w:t>）为：</w:t>
            </w:r>
          </w:p>
          <w:p w14:paraId="37F51D5B">
            <w:pPr>
              <w:spacing w:line="772" w:lineRule="exact"/>
              <w:ind w:left="1396"/>
            </w:pPr>
            <w:r>
              <w:rPr>
                <w:position w:val="-15"/>
              </w:rPr>
              <w:drawing>
                <wp:inline distT="0" distB="0" distL="0" distR="0">
                  <wp:extent cx="2549525" cy="489585"/>
                  <wp:effectExtent l="0" t="0" r="0" b="0"/>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270"/>
                          <a:stretch>
                            <a:fillRect/>
                          </a:stretch>
                        </pic:blipFill>
                        <pic:spPr>
                          <a:xfrm>
                            <a:off x="0" y="0"/>
                            <a:ext cx="2549807" cy="489845"/>
                          </a:xfrm>
                          <a:prstGeom prst="rect">
                            <a:avLst/>
                          </a:prstGeom>
                        </pic:spPr>
                      </pic:pic>
                    </a:graphicData>
                  </a:graphic>
                </wp:inline>
              </w:drawing>
            </w:r>
          </w:p>
          <w:p w14:paraId="3EAD08AF">
            <w:pPr>
              <w:pStyle w:val="6"/>
              <w:spacing w:before="179" w:line="212" w:lineRule="auto"/>
              <w:ind w:left="592"/>
              <w:rPr>
                <w:sz w:val="24"/>
                <w:szCs w:val="24"/>
              </w:rPr>
            </w:pPr>
            <w:r>
              <w:rPr>
                <w:spacing w:val="-1"/>
                <w:sz w:val="24"/>
                <w:szCs w:val="24"/>
              </w:rPr>
              <w:t xml:space="preserve">式中：  </w:t>
            </w:r>
            <w:r>
              <w:rPr>
                <w:rFonts w:ascii="Times New Roman" w:hAnsi="Times New Roman" w:eastAsia="Times New Roman" w:cs="Times New Roman"/>
                <w:spacing w:val="-1"/>
                <w:sz w:val="24"/>
                <w:szCs w:val="24"/>
              </w:rPr>
              <w:t>Leqg</w:t>
            </w:r>
            <w:r>
              <w:rPr>
                <w:spacing w:val="-1"/>
                <w:sz w:val="24"/>
                <w:szCs w:val="24"/>
              </w:rPr>
              <w:t>：项目声源在预测点的等效声级贡献值，</w:t>
            </w:r>
            <w:r>
              <w:rPr>
                <w:rFonts w:ascii="Times New Roman" w:hAnsi="Times New Roman" w:eastAsia="Times New Roman" w:cs="Times New Roman"/>
                <w:spacing w:val="-1"/>
                <w:sz w:val="24"/>
                <w:szCs w:val="24"/>
              </w:rPr>
              <w:t>dB</w:t>
            </w:r>
            <w:r>
              <w:rPr>
                <w:spacing w:val="-1"/>
                <w:sz w:val="24"/>
                <w:szCs w:val="24"/>
              </w:rPr>
              <w:t>（</w:t>
            </w:r>
            <w:r>
              <w:rPr>
                <w:rFonts w:ascii="Times New Roman" w:hAnsi="Times New Roman" w:eastAsia="Times New Roman" w:cs="Times New Roman"/>
                <w:spacing w:val="-1"/>
                <w:sz w:val="24"/>
                <w:szCs w:val="24"/>
              </w:rPr>
              <w:t>A</w:t>
            </w:r>
            <w:r>
              <w:rPr>
                <w:spacing w:val="7"/>
                <w:sz w:val="24"/>
                <w:szCs w:val="24"/>
              </w:rPr>
              <w:t>）；</w:t>
            </w:r>
          </w:p>
          <w:p w14:paraId="7B9E9D9C">
            <w:pPr>
              <w:pStyle w:val="6"/>
              <w:spacing w:before="193" w:line="219" w:lineRule="auto"/>
              <w:ind w:left="1545"/>
              <w:rPr>
                <w:sz w:val="24"/>
                <w:szCs w:val="24"/>
              </w:rPr>
            </w:pPr>
            <w:r>
              <w:rPr>
                <w:rFonts w:ascii="Times New Roman" w:hAnsi="Times New Roman" w:eastAsia="Times New Roman" w:cs="Times New Roman"/>
                <w:spacing w:val="-1"/>
                <w:sz w:val="24"/>
                <w:szCs w:val="24"/>
              </w:rPr>
              <w:t>T</w:t>
            </w:r>
            <w:r>
              <w:rPr>
                <w:spacing w:val="-1"/>
                <w:sz w:val="24"/>
                <w:szCs w:val="24"/>
              </w:rPr>
              <w:t>：用于计算等效声级的时间，</w:t>
            </w:r>
            <w:r>
              <w:rPr>
                <w:rFonts w:ascii="Times New Roman" w:hAnsi="Times New Roman" w:eastAsia="Times New Roman" w:cs="Times New Roman"/>
                <w:spacing w:val="-1"/>
                <w:sz w:val="24"/>
                <w:szCs w:val="24"/>
              </w:rPr>
              <w:t>s</w:t>
            </w:r>
            <w:r>
              <w:rPr>
                <w:spacing w:val="-1"/>
                <w:sz w:val="24"/>
                <w:szCs w:val="24"/>
              </w:rPr>
              <w:t>；</w:t>
            </w:r>
          </w:p>
          <w:p w14:paraId="3B563406">
            <w:pPr>
              <w:pStyle w:val="6"/>
              <w:spacing w:before="181" w:line="219" w:lineRule="auto"/>
              <w:ind w:left="1535"/>
              <w:rPr>
                <w:sz w:val="24"/>
                <w:szCs w:val="24"/>
              </w:rPr>
            </w:pPr>
            <w:r>
              <w:rPr>
                <w:rFonts w:ascii="Times New Roman" w:hAnsi="Times New Roman" w:eastAsia="Times New Roman" w:cs="Times New Roman"/>
                <w:sz w:val="24"/>
                <w:szCs w:val="24"/>
              </w:rPr>
              <w:t>N</w:t>
            </w:r>
            <w:r>
              <w:rPr>
                <w:sz w:val="24"/>
                <w:szCs w:val="24"/>
              </w:rPr>
              <w:t>：室外声源个数；</w:t>
            </w:r>
          </w:p>
          <w:p w14:paraId="62ED0FED">
            <w:pPr>
              <w:pStyle w:val="6"/>
              <w:spacing w:before="183" w:line="219" w:lineRule="auto"/>
              <w:ind w:left="1541"/>
              <w:rPr>
                <w:sz w:val="24"/>
                <w:szCs w:val="24"/>
              </w:rPr>
            </w:pPr>
            <w:r>
              <w:rPr>
                <w:rFonts w:ascii="Times New Roman" w:hAnsi="Times New Roman" w:eastAsia="Times New Roman" w:cs="Times New Roman"/>
                <w:spacing w:val="-3"/>
                <w:sz w:val="24"/>
                <w:szCs w:val="24"/>
              </w:rPr>
              <w:t>t</w:t>
            </w:r>
            <w:r>
              <w:rPr>
                <w:rFonts w:ascii="Times New Roman" w:hAnsi="Times New Roman" w:eastAsia="Times New Roman" w:cs="Times New Roman"/>
                <w:spacing w:val="-3"/>
                <w:position w:val="-1"/>
                <w:sz w:val="15"/>
                <w:szCs w:val="15"/>
              </w:rPr>
              <w:t>i</w:t>
            </w:r>
            <w:r>
              <w:rPr>
                <w:spacing w:val="-3"/>
                <w:sz w:val="24"/>
                <w:szCs w:val="24"/>
              </w:rPr>
              <w:t>：在</w:t>
            </w:r>
            <w:r>
              <w:rPr>
                <w:spacing w:val="-52"/>
                <w:sz w:val="24"/>
                <w:szCs w:val="24"/>
              </w:rPr>
              <w:t xml:space="preserve"> </w:t>
            </w:r>
            <w:r>
              <w:rPr>
                <w:rFonts w:ascii="Times New Roman" w:hAnsi="Times New Roman" w:eastAsia="Times New Roman" w:cs="Times New Roman"/>
                <w:spacing w:val="-3"/>
                <w:sz w:val="24"/>
                <w:szCs w:val="24"/>
              </w:rPr>
              <w:t>T</w:t>
            </w:r>
            <w:r>
              <w:rPr>
                <w:rFonts w:ascii="Times New Roman" w:hAnsi="Times New Roman" w:eastAsia="Times New Roman" w:cs="Times New Roman"/>
                <w:spacing w:val="23"/>
                <w:sz w:val="24"/>
                <w:szCs w:val="24"/>
              </w:rPr>
              <w:t xml:space="preserve"> </w:t>
            </w:r>
            <w:r>
              <w:rPr>
                <w:spacing w:val="-3"/>
                <w:sz w:val="24"/>
                <w:szCs w:val="24"/>
              </w:rPr>
              <w:t>时间内</w:t>
            </w:r>
            <w:r>
              <w:rPr>
                <w:spacing w:val="-53"/>
                <w:sz w:val="24"/>
                <w:szCs w:val="24"/>
              </w:rPr>
              <w:t xml:space="preserve"> </w:t>
            </w:r>
            <w:r>
              <w:rPr>
                <w:rFonts w:ascii="Times New Roman" w:hAnsi="Times New Roman" w:eastAsia="Times New Roman" w:cs="Times New Roman"/>
                <w:spacing w:val="-3"/>
                <w:sz w:val="24"/>
                <w:szCs w:val="24"/>
              </w:rPr>
              <w:t>i</w:t>
            </w:r>
            <w:r>
              <w:rPr>
                <w:rFonts w:ascii="Times New Roman" w:hAnsi="Times New Roman" w:eastAsia="Times New Roman" w:cs="Times New Roman"/>
                <w:spacing w:val="14"/>
                <w:sz w:val="24"/>
                <w:szCs w:val="24"/>
              </w:rPr>
              <w:t xml:space="preserve"> </w:t>
            </w:r>
            <w:r>
              <w:rPr>
                <w:spacing w:val="-3"/>
                <w:sz w:val="24"/>
                <w:szCs w:val="24"/>
              </w:rPr>
              <w:t>声源工作时间，</w:t>
            </w:r>
            <w:r>
              <w:rPr>
                <w:rFonts w:ascii="Times New Roman" w:hAnsi="Times New Roman" w:eastAsia="Times New Roman" w:cs="Times New Roman"/>
                <w:spacing w:val="-3"/>
                <w:sz w:val="24"/>
                <w:szCs w:val="24"/>
              </w:rPr>
              <w:t>s</w:t>
            </w:r>
            <w:r>
              <w:rPr>
                <w:spacing w:val="-3"/>
                <w:sz w:val="24"/>
                <w:szCs w:val="24"/>
              </w:rPr>
              <w:t>；</w:t>
            </w:r>
          </w:p>
          <w:p w14:paraId="466A6731">
            <w:pPr>
              <w:pStyle w:val="6"/>
              <w:spacing w:before="181" w:line="219" w:lineRule="auto"/>
              <w:ind w:left="1542"/>
              <w:rPr>
                <w:sz w:val="24"/>
                <w:szCs w:val="24"/>
              </w:rPr>
            </w:pPr>
            <w:r>
              <w:rPr>
                <w:rFonts w:ascii="Times New Roman" w:hAnsi="Times New Roman" w:eastAsia="Times New Roman" w:cs="Times New Roman"/>
                <w:spacing w:val="-1"/>
                <w:sz w:val="24"/>
                <w:szCs w:val="24"/>
              </w:rPr>
              <w:t>M</w:t>
            </w:r>
            <w:r>
              <w:rPr>
                <w:spacing w:val="-1"/>
                <w:sz w:val="24"/>
                <w:szCs w:val="24"/>
              </w:rPr>
              <w:t>：等效室外声源个数；</w:t>
            </w:r>
          </w:p>
          <w:p w14:paraId="5DBC0CC4">
            <w:pPr>
              <w:pStyle w:val="6"/>
              <w:spacing w:before="183" w:line="212" w:lineRule="auto"/>
              <w:ind w:left="1541"/>
              <w:rPr>
                <w:sz w:val="24"/>
                <w:szCs w:val="24"/>
              </w:rPr>
            </w:pPr>
            <w:r>
              <w:rPr>
                <w:rFonts w:ascii="Times New Roman" w:hAnsi="Times New Roman" w:eastAsia="Times New Roman" w:cs="Times New Roman"/>
                <w:sz w:val="24"/>
                <w:szCs w:val="24"/>
              </w:rPr>
              <w:t>t</w:t>
            </w:r>
            <w:r>
              <w:rPr>
                <w:rFonts w:ascii="Times New Roman" w:hAnsi="Times New Roman" w:eastAsia="Times New Roman" w:cs="Times New Roman"/>
                <w:position w:val="-1"/>
                <w:sz w:val="15"/>
                <w:szCs w:val="15"/>
              </w:rPr>
              <w:t>j</w:t>
            </w:r>
            <w:r>
              <w:rPr>
                <w:spacing w:val="1"/>
                <w:sz w:val="24"/>
                <w:szCs w:val="24"/>
              </w:rPr>
              <w:t>：在</w:t>
            </w:r>
            <w:r>
              <w:rPr>
                <w:spacing w:val="-42"/>
                <w:sz w:val="24"/>
                <w:szCs w:val="24"/>
              </w:rPr>
              <w:t xml:space="preserve"> </w:t>
            </w:r>
            <w:r>
              <w:rPr>
                <w:rFonts w:ascii="Times New Roman" w:hAnsi="Times New Roman" w:eastAsia="Times New Roman" w:cs="Times New Roman"/>
                <w:spacing w:val="1"/>
                <w:sz w:val="24"/>
                <w:szCs w:val="24"/>
              </w:rPr>
              <w:t>T</w:t>
            </w:r>
            <w:r>
              <w:rPr>
                <w:rFonts w:ascii="Times New Roman" w:hAnsi="Times New Roman" w:eastAsia="Times New Roman" w:cs="Times New Roman"/>
                <w:spacing w:val="23"/>
                <w:w w:val="101"/>
                <w:sz w:val="24"/>
                <w:szCs w:val="24"/>
              </w:rPr>
              <w:t xml:space="preserve"> </w:t>
            </w:r>
            <w:r>
              <w:rPr>
                <w:spacing w:val="1"/>
                <w:sz w:val="24"/>
                <w:szCs w:val="24"/>
              </w:rPr>
              <w:t>时间内</w:t>
            </w:r>
            <w:r>
              <w:rPr>
                <w:rFonts w:ascii="Times New Roman" w:hAnsi="Times New Roman" w:eastAsia="Times New Roman" w:cs="Times New Roman"/>
                <w:spacing w:val="1"/>
                <w:sz w:val="24"/>
                <w:szCs w:val="24"/>
              </w:rPr>
              <w:t xml:space="preserve">j </w:t>
            </w:r>
            <w:r>
              <w:rPr>
                <w:spacing w:val="1"/>
                <w:sz w:val="24"/>
                <w:szCs w:val="24"/>
              </w:rPr>
              <w:t>声源工作时间，</w:t>
            </w:r>
            <w:r>
              <w:rPr>
                <w:rFonts w:ascii="Times New Roman" w:hAnsi="Times New Roman" w:eastAsia="Times New Roman" w:cs="Times New Roman"/>
                <w:spacing w:val="1"/>
                <w:sz w:val="24"/>
                <w:szCs w:val="24"/>
              </w:rPr>
              <w:t>s</w:t>
            </w:r>
            <w:r>
              <w:rPr>
                <w:spacing w:val="1"/>
                <w:sz w:val="24"/>
                <w:szCs w:val="24"/>
              </w:rPr>
              <w:t>。</w:t>
            </w:r>
          </w:p>
          <w:p w14:paraId="6E0DAF3A">
            <w:pPr>
              <w:pStyle w:val="6"/>
              <w:spacing w:before="190" w:line="359" w:lineRule="auto"/>
              <w:ind w:left="106" w:right="41" w:firstLine="480"/>
              <w:jc w:val="both"/>
              <w:rPr>
                <w:sz w:val="24"/>
                <w:szCs w:val="24"/>
              </w:rPr>
            </w:pPr>
            <w:r>
              <w:rPr>
                <w:spacing w:val="1"/>
                <w:sz w:val="24"/>
                <w:szCs w:val="24"/>
              </w:rPr>
              <w:t>根据《环境影响评价技术导则声环境》（</w:t>
            </w:r>
            <w:r>
              <w:rPr>
                <w:rFonts w:ascii="Times New Roman" w:hAnsi="Times New Roman" w:eastAsia="Times New Roman" w:cs="Times New Roman"/>
                <w:sz w:val="24"/>
                <w:szCs w:val="24"/>
              </w:rPr>
              <w:t>HJ</w:t>
            </w:r>
            <w:r>
              <w:rPr>
                <w:rFonts w:ascii="Times New Roman" w:hAnsi="Times New Roman" w:eastAsia="Times New Roman" w:cs="Times New Roman"/>
                <w:spacing w:val="1"/>
                <w:sz w:val="24"/>
                <w:szCs w:val="24"/>
              </w:rPr>
              <w:t>2.4-2021</w:t>
            </w:r>
            <w:r>
              <w:rPr>
                <w:spacing w:val="1"/>
                <w:sz w:val="24"/>
                <w:szCs w:val="24"/>
              </w:rPr>
              <w:t>）中规定的工业噪声预测</w:t>
            </w:r>
            <w:r>
              <w:rPr>
                <w:spacing w:val="-1"/>
                <w:sz w:val="24"/>
                <w:szCs w:val="24"/>
              </w:rPr>
              <w:t>模式，根据主要噪声设备的源强，并考虑各声源离地面的不同高度，根据声源特性</w:t>
            </w:r>
            <w:r>
              <w:rPr>
                <w:spacing w:val="-6"/>
                <w:sz w:val="24"/>
                <w:szCs w:val="24"/>
              </w:rPr>
              <w:t>和传播距离，考虑几何发散衰减、空气吸收衰减，不考虑地面效应引起的附加衰减，</w:t>
            </w:r>
            <w:r>
              <w:rPr>
                <w:spacing w:val="-1"/>
                <w:sz w:val="24"/>
                <w:szCs w:val="24"/>
              </w:rPr>
              <w:t>计算预测点的噪声级，然后与环境标准对比进行评价。</w:t>
            </w:r>
          </w:p>
          <w:p w14:paraId="005FFC63">
            <w:pPr>
              <w:spacing w:before="1" w:line="221" w:lineRule="auto"/>
              <w:ind w:left="100"/>
              <w:rPr>
                <w:rFonts w:ascii="黑体" w:hAnsi="黑体" w:eastAsia="黑体" w:cs="黑体"/>
                <w:sz w:val="24"/>
                <w:szCs w:val="24"/>
              </w:rPr>
            </w:pPr>
            <w:r>
              <w:rPr>
                <w:rFonts w:ascii="Times New Roman" w:hAnsi="Times New Roman" w:eastAsia="Times New Roman" w:cs="Times New Roman"/>
                <w:spacing w:val="-1"/>
                <w:sz w:val="24"/>
                <w:szCs w:val="24"/>
              </w:rPr>
              <w:t xml:space="preserve">A.3.5  </w:t>
            </w:r>
            <w:r>
              <w:rPr>
                <w:rFonts w:ascii="黑体" w:hAnsi="黑体" w:eastAsia="黑体" w:cs="黑体"/>
                <w:spacing w:val="-1"/>
                <w:sz w:val="24"/>
                <w:szCs w:val="24"/>
              </w:rPr>
              <w:t>声环境保护目标的噪声预测值</w:t>
            </w:r>
          </w:p>
        </w:tc>
      </w:tr>
    </w:tbl>
    <w:p w14:paraId="4D54C26F">
      <w:pPr>
        <w:rPr>
          <w:rFonts w:ascii="Arial"/>
          <w:sz w:val="21"/>
        </w:rPr>
      </w:pPr>
    </w:p>
    <w:p w14:paraId="766D930F">
      <w:pPr>
        <w:rPr>
          <w:rFonts w:ascii="Arial" w:hAnsi="Arial" w:eastAsia="Arial" w:cs="Arial"/>
          <w:sz w:val="21"/>
          <w:szCs w:val="21"/>
        </w:rPr>
        <w:sectPr>
          <w:footerReference r:id="rId110" w:type="default"/>
          <w:pgSz w:w="11907" w:h="16840"/>
          <w:pgMar w:top="400" w:right="1178" w:bottom="1240" w:left="1405" w:header="0" w:footer="1077" w:gutter="0"/>
          <w:cols w:space="720" w:num="1"/>
        </w:sectPr>
      </w:pPr>
    </w:p>
    <w:p w14:paraId="6EFBF92D">
      <w:pPr>
        <w:spacing w:before="13"/>
      </w:pPr>
    </w:p>
    <w:p w14:paraId="1F487B75">
      <w:pPr>
        <w:spacing w:before="13"/>
      </w:pPr>
    </w:p>
    <w:p w14:paraId="2DB03EC1">
      <w:pPr>
        <w:spacing w:before="13"/>
      </w:pPr>
    </w:p>
    <w:p w14:paraId="6447B8D7">
      <w:pPr>
        <w:spacing w:before="12"/>
      </w:pPr>
    </w:p>
    <w:tbl>
      <w:tblPr>
        <w:tblStyle w:val="5"/>
        <w:tblW w:w="9308"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8"/>
        <w:gridCol w:w="113"/>
        <w:gridCol w:w="623"/>
        <w:gridCol w:w="1703"/>
        <w:gridCol w:w="735"/>
        <w:gridCol w:w="815"/>
        <w:gridCol w:w="554"/>
        <w:gridCol w:w="1611"/>
        <w:gridCol w:w="519"/>
        <w:gridCol w:w="778"/>
        <w:gridCol w:w="1258"/>
        <w:gridCol w:w="121"/>
      </w:tblGrid>
      <w:tr w14:paraId="31BE9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1" w:hRule="atLeast"/>
        </w:trPr>
        <w:tc>
          <w:tcPr>
            <w:tcW w:w="478" w:type="dxa"/>
            <w:vMerge w:val="restart"/>
            <w:tcBorders>
              <w:top w:val="single" w:color="000000" w:sz="6" w:space="0"/>
              <w:left w:val="single" w:color="000000" w:sz="6" w:space="0"/>
              <w:bottom w:val="nil"/>
            </w:tcBorders>
            <w:vAlign w:val="top"/>
          </w:tcPr>
          <w:p w14:paraId="57C3D12C">
            <w:pPr>
              <w:rPr>
                <w:rFonts w:ascii="Arial"/>
                <w:sz w:val="21"/>
              </w:rPr>
            </w:pPr>
          </w:p>
        </w:tc>
        <w:tc>
          <w:tcPr>
            <w:tcW w:w="8830" w:type="dxa"/>
            <w:gridSpan w:val="11"/>
            <w:tcBorders>
              <w:top w:val="single" w:color="000000" w:sz="6" w:space="0"/>
              <w:right w:val="single" w:color="000000" w:sz="6" w:space="0"/>
            </w:tcBorders>
            <w:vAlign w:val="top"/>
          </w:tcPr>
          <w:p w14:paraId="0AAEF652">
            <w:pPr>
              <w:pStyle w:val="6"/>
              <w:spacing w:before="31" w:line="219" w:lineRule="auto"/>
              <w:ind w:left="592"/>
              <w:rPr>
                <w:sz w:val="24"/>
                <w:szCs w:val="24"/>
              </w:rPr>
            </w:pPr>
            <w:r>
              <w:rPr>
                <w:spacing w:val="-1"/>
                <w:sz w:val="24"/>
                <w:szCs w:val="24"/>
              </w:rPr>
              <w:t>声环境保护目标的预测值由贡献值和背景值按能量叠加方法计算得到。</w:t>
            </w:r>
          </w:p>
          <w:p w14:paraId="007AFA4C">
            <w:pPr>
              <w:pStyle w:val="6"/>
              <w:spacing w:before="179" w:line="210" w:lineRule="auto"/>
              <w:ind w:left="589"/>
              <w:rPr>
                <w:sz w:val="24"/>
                <w:szCs w:val="24"/>
              </w:rPr>
            </w:pPr>
            <w:r>
              <w:rPr>
                <w:spacing w:val="-1"/>
                <w:sz w:val="24"/>
                <w:szCs w:val="24"/>
              </w:rPr>
              <w:t>预测值（</w:t>
            </w:r>
            <w:r>
              <w:rPr>
                <w:rFonts w:ascii="Times New Roman" w:hAnsi="Times New Roman" w:eastAsia="Times New Roman" w:cs="Times New Roman"/>
                <w:spacing w:val="-1"/>
                <w:sz w:val="24"/>
                <w:szCs w:val="24"/>
              </w:rPr>
              <w:t>Leq</w:t>
            </w:r>
            <w:r>
              <w:rPr>
                <w:spacing w:val="-1"/>
                <w:sz w:val="24"/>
                <w:szCs w:val="24"/>
              </w:rPr>
              <w:t>）计算公式为：</w:t>
            </w:r>
          </w:p>
          <w:p w14:paraId="40B24B04">
            <w:pPr>
              <w:spacing w:line="531" w:lineRule="exact"/>
              <w:ind w:left="1636"/>
            </w:pPr>
            <w:r>
              <w:rPr>
                <w:position w:val="-11"/>
              </w:rPr>
              <w:drawing>
                <wp:inline distT="0" distB="0" distL="0" distR="0">
                  <wp:extent cx="1686560" cy="337185"/>
                  <wp:effectExtent l="0" t="0" r="0" b="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271"/>
                          <a:stretch>
                            <a:fillRect/>
                          </a:stretch>
                        </pic:blipFill>
                        <pic:spPr>
                          <a:xfrm>
                            <a:off x="0" y="0"/>
                            <a:ext cx="1687034" cy="337804"/>
                          </a:xfrm>
                          <a:prstGeom prst="rect">
                            <a:avLst/>
                          </a:prstGeom>
                        </pic:spPr>
                      </pic:pic>
                    </a:graphicData>
                  </a:graphic>
                </wp:inline>
              </w:drawing>
            </w:r>
          </w:p>
          <w:p w14:paraId="5D9B6B45">
            <w:pPr>
              <w:pStyle w:val="6"/>
              <w:spacing w:before="220" w:line="218" w:lineRule="auto"/>
              <w:ind w:left="592"/>
              <w:rPr>
                <w:sz w:val="24"/>
                <w:szCs w:val="24"/>
              </w:rPr>
            </w:pPr>
            <w:r>
              <w:rPr>
                <w:spacing w:val="-1"/>
                <w:sz w:val="24"/>
                <w:szCs w:val="24"/>
              </w:rPr>
              <w:t>式中：</w:t>
            </w:r>
            <w:r>
              <w:rPr>
                <w:rFonts w:ascii="Times New Roman" w:hAnsi="Times New Roman" w:eastAsia="Times New Roman" w:cs="Times New Roman"/>
                <w:i/>
                <w:iCs/>
                <w:spacing w:val="-1"/>
                <w:sz w:val="24"/>
                <w:szCs w:val="24"/>
              </w:rPr>
              <w:t>L</w:t>
            </w:r>
            <w:r>
              <w:rPr>
                <w:rFonts w:ascii="Times New Roman" w:hAnsi="Times New Roman" w:eastAsia="Times New Roman" w:cs="Times New Roman"/>
                <w:i/>
                <w:iCs/>
                <w:spacing w:val="-1"/>
                <w:position w:val="-1"/>
                <w:sz w:val="15"/>
                <w:szCs w:val="15"/>
              </w:rPr>
              <w:t>eq</w:t>
            </w:r>
            <w:r>
              <w:rPr>
                <w:spacing w:val="-1"/>
                <w:sz w:val="24"/>
                <w:szCs w:val="24"/>
              </w:rPr>
              <w:t>：声环境保护目标处的噪声预测值，</w:t>
            </w:r>
            <w:r>
              <w:rPr>
                <w:rFonts w:ascii="Times New Roman" w:hAnsi="Times New Roman" w:eastAsia="Times New Roman" w:cs="Times New Roman"/>
                <w:spacing w:val="-1"/>
                <w:sz w:val="24"/>
                <w:szCs w:val="24"/>
              </w:rPr>
              <w:t>dB</w:t>
            </w:r>
            <w:r>
              <w:rPr>
                <w:spacing w:val="-1"/>
                <w:sz w:val="24"/>
                <w:szCs w:val="24"/>
              </w:rPr>
              <w:t>（</w:t>
            </w:r>
            <w:r>
              <w:rPr>
                <w:rFonts w:ascii="Times New Roman" w:hAnsi="Times New Roman" w:eastAsia="Times New Roman" w:cs="Times New Roman"/>
                <w:spacing w:val="-1"/>
                <w:sz w:val="24"/>
                <w:szCs w:val="24"/>
              </w:rPr>
              <w:t>A</w:t>
            </w:r>
            <w:r>
              <w:rPr>
                <w:spacing w:val="7"/>
                <w:sz w:val="24"/>
                <w:szCs w:val="24"/>
              </w:rPr>
              <w:t>）；</w:t>
            </w:r>
          </w:p>
          <w:p w14:paraId="69839035">
            <w:pPr>
              <w:pStyle w:val="6"/>
              <w:spacing w:before="185" w:line="218" w:lineRule="auto"/>
              <w:ind w:left="1531"/>
              <w:rPr>
                <w:sz w:val="24"/>
                <w:szCs w:val="24"/>
              </w:rPr>
            </w:pPr>
            <w:r>
              <w:rPr>
                <w:rFonts w:ascii="Times New Roman" w:hAnsi="Times New Roman" w:eastAsia="Times New Roman" w:cs="Times New Roman"/>
                <w:i/>
                <w:iCs/>
                <w:sz w:val="24"/>
                <w:szCs w:val="24"/>
              </w:rPr>
              <w:t>L</w:t>
            </w:r>
            <w:r>
              <w:rPr>
                <w:rFonts w:ascii="Times New Roman" w:hAnsi="Times New Roman" w:eastAsia="Times New Roman" w:cs="Times New Roman"/>
                <w:i/>
                <w:iCs/>
                <w:position w:val="-1"/>
                <w:sz w:val="15"/>
                <w:szCs w:val="15"/>
              </w:rPr>
              <w:t>eqg</w:t>
            </w:r>
            <w:r>
              <w:rPr>
                <w:sz w:val="24"/>
                <w:szCs w:val="24"/>
              </w:rPr>
              <w:t>：声环境保护目标处的噪声贡献值，</w:t>
            </w:r>
            <w:r>
              <w:rPr>
                <w:rFonts w:ascii="Times New Roman" w:hAnsi="Times New Roman" w:eastAsia="Times New Roman" w:cs="Times New Roman"/>
                <w:sz w:val="24"/>
                <w:szCs w:val="24"/>
              </w:rPr>
              <w:t>dB</w:t>
            </w:r>
            <w:r>
              <w:rPr>
                <w:sz w:val="24"/>
                <w:szCs w:val="24"/>
              </w:rPr>
              <w:t>（</w:t>
            </w:r>
            <w:r>
              <w:rPr>
                <w:rFonts w:ascii="Times New Roman" w:hAnsi="Times New Roman" w:eastAsia="Times New Roman" w:cs="Times New Roman"/>
                <w:sz w:val="24"/>
                <w:szCs w:val="24"/>
              </w:rPr>
              <w:t>A</w:t>
            </w:r>
            <w:r>
              <w:rPr>
                <w:spacing w:val="5"/>
                <w:sz w:val="24"/>
                <w:szCs w:val="24"/>
              </w:rPr>
              <w:t>）；</w:t>
            </w:r>
          </w:p>
          <w:p w14:paraId="3C2EEDA9">
            <w:pPr>
              <w:pStyle w:val="6"/>
              <w:spacing w:before="181" w:line="230" w:lineRule="auto"/>
              <w:ind w:left="1531"/>
              <w:rPr>
                <w:sz w:val="24"/>
                <w:szCs w:val="24"/>
              </w:rPr>
            </w:pPr>
            <w:r>
              <w:rPr>
                <w:rFonts w:ascii="Times New Roman" w:hAnsi="Times New Roman" w:eastAsia="Times New Roman" w:cs="Times New Roman"/>
                <w:i/>
                <w:iCs/>
                <w:sz w:val="24"/>
                <w:szCs w:val="24"/>
              </w:rPr>
              <w:t>L</w:t>
            </w:r>
            <w:r>
              <w:rPr>
                <w:rFonts w:ascii="Times New Roman" w:hAnsi="Times New Roman" w:eastAsia="Times New Roman" w:cs="Times New Roman"/>
                <w:i/>
                <w:iCs/>
                <w:position w:val="-1"/>
                <w:sz w:val="15"/>
                <w:szCs w:val="15"/>
              </w:rPr>
              <w:t>eqb</w:t>
            </w:r>
            <w:r>
              <w:rPr>
                <w:sz w:val="24"/>
                <w:szCs w:val="24"/>
              </w:rPr>
              <w:t>：声环境保护目标处的噪声背景值，</w:t>
            </w:r>
            <w:r>
              <w:rPr>
                <w:rFonts w:ascii="Times New Roman" w:hAnsi="Times New Roman" w:eastAsia="Times New Roman" w:cs="Times New Roman"/>
                <w:sz w:val="24"/>
                <w:szCs w:val="24"/>
              </w:rPr>
              <w:t>dB</w:t>
            </w:r>
            <w:r>
              <w:rPr>
                <w:sz w:val="24"/>
                <w:szCs w:val="24"/>
              </w:rPr>
              <w:t>（</w:t>
            </w:r>
            <w:r>
              <w:rPr>
                <w:rFonts w:ascii="Times New Roman" w:hAnsi="Times New Roman" w:eastAsia="Times New Roman" w:cs="Times New Roman"/>
                <w:sz w:val="24"/>
                <w:szCs w:val="24"/>
              </w:rPr>
              <w:t>A</w:t>
            </w:r>
            <w:r>
              <w:rPr>
                <w:spacing w:val="5"/>
                <w:sz w:val="24"/>
                <w:szCs w:val="24"/>
              </w:rPr>
              <w:t>）；</w:t>
            </w:r>
          </w:p>
          <w:p w14:paraId="23D7AD7B">
            <w:pPr>
              <w:pStyle w:val="6"/>
              <w:spacing w:before="170" w:line="219" w:lineRule="auto"/>
              <w:ind w:left="582"/>
              <w:rPr>
                <w:sz w:val="24"/>
                <w:szCs w:val="24"/>
              </w:rPr>
            </w:pPr>
            <w:r>
              <w:rPr>
                <w:rFonts w:ascii="Times New Roman" w:hAnsi="Times New Roman" w:eastAsia="Times New Roman" w:cs="Times New Roman"/>
                <w:spacing w:val="-1"/>
                <w:sz w:val="24"/>
                <w:szCs w:val="24"/>
              </w:rPr>
              <w:t>B.</w:t>
            </w:r>
            <w:r>
              <w:rPr>
                <w:spacing w:val="-1"/>
                <w:sz w:val="24"/>
                <w:szCs w:val="24"/>
              </w:rPr>
              <w:t>预测参数</w:t>
            </w:r>
          </w:p>
          <w:p w14:paraId="24AEF44D">
            <w:pPr>
              <w:pStyle w:val="6"/>
              <w:spacing w:before="182" w:line="359" w:lineRule="auto"/>
              <w:ind w:left="107" w:right="103" w:firstLine="483"/>
              <w:rPr>
                <w:sz w:val="24"/>
                <w:szCs w:val="24"/>
              </w:rPr>
            </w:pPr>
            <w:r>
              <w:rPr>
                <w:spacing w:val="6"/>
                <w:sz w:val="24"/>
                <w:szCs w:val="24"/>
              </w:rPr>
              <w:t>项目运行期间的噪声主要来自变压器和配电装置等电气设备所产生的电磁噪</w:t>
            </w:r>
            <w:r>
              <w:rPr>
                <w:spacing w:val="-3"/>
                <w:sz w:val="24"/>
                <w:szCs w:val="24"/>
              </w:rPr>
              <w:t>声及机械噪声。本项目</w:t>
            </w:r>
            <w:r>
              <w:rPr>
                <w:spacing w:val="-29"/>
                <w:sz w:val="24"/>
                <w:szCs w:val="24"/>
              </w:rPr>
              <w:t xml:space="preserve"> </w:t>
            </w:r>
            <w:r>
              <w:rPr>
                <w:rFonts w:ascii="Times New Roman" w:hAnsi="Times New Roman" w:eastAsia="Times New Roman" w:cs="Times New Roman"/>
                <w:spacing w:val="-3"/>
                <w:sz w:val="24"/>
                <w:szCs w:val="24"/>
              </w:rPr>
              <w:t xml:space="preserve">110kV </w:t>
            </w:r>
            <w:r>
              <w:rPr>
                <w:spacing w:val="-3"/>
                <w:sz w:val="24"/>
                <w:szCs w:val="24"/>
              </w:rPr>
              <w:t>配电装置采用户外软母线普通中型瓷柱式断路器双列布置，向西架空出线，共设</w:t>
            </w:r>
            <w:r>
              <w:rPr>
                <w:spacing w:val="-49"/>
                <w:sz w:val="24"/>
                <w:szCs w:val="24"/>
              </w:rPr>
              <w:t xml:space="preserve"> </w:t>
            </w:r>
            <w:r>
              <w:rPr>
                <w:rFonts w:ascii="Times New Roman" w:hAnsi="Times New Roman" w:eastAsia="Times New Roman" w:cs="Times New Roman"/>
                <w:spacing w:val="-3"/>
                <w:sz w:val="24"/>
                <w:szCs w:val="24"/>
              </w:rPr>
              <w:t xml:space="preserve">5 </w:t>
            </w:r>
            <w:r>
              <w:rPr>
                <w:spacing w:val="-3"/>
                <w:sz w:val="24"/>
                <w:szCs w:val="24"/>
              </w:rPr>
              <w:t>个出线间隔，出线</w:t>
            </w:r>
            <w:r>
              <w:rPr>
                <w:spacing w:val="-4"/>
                <w:sz w:val="24"/>
                <w:szCs w:val="24"/>
              </w:rPr>
              <w:t>构架间隔宽度</w:t>
            </w:r>
            <w:r>
              <w:rPr>
                <w:spacing w:val="-45"/>
                <w:sz w:val="24"/>
                <w:szCs w:val="24"/>
              </w:rPr>
              <w:t xml:space="preserve"> </w:t>
            </w:r>
            <w:r>
              <w:rPr>
                <w:rFonts w:ascii="Times New Roman" w:hAnsi="Times New Roman" w:eastAsia="Times New Roman" w:cs="Times New Roman"/>
                <w:spacing w:val="-4"/>
                <w:sz w:val="24"/>
                <w:szCs w:val="24"/>
              </w:rPr>
              <w:t>8m</w:t>
            </w:r>
            <w:r>
              <w:rPr>
                <w:spacing w:val="-4"/>
                <w:sz w:val="24"/>
                <w:szCs w:val="24"/>
              </w:rPr>
              <w:t>。本期主变规模</w:t>
            </w:r>
            <w:r>
              <w:rPr>
                <w:spacing w:val="-55"/>
                <w:sz w:val="24"/>
                <w:szCs w:val="24"/>
              </w:rPr>
              <w:t xml:space="preserve"> </w:t>
            </w:r>
            <w:r>
              <w:rPr>
                <w:rFonts w:ascii="Times New Roman" w:hAnsi="Times New Roman" w:eastAsia="Times New Roman" w:cs="Times New Roman"/>
                <w:spacing w:val="-4"/>
                <w:sz w:val="24"/>
                <w:szCs w:val="24"/>
              </w:rPr>
              <w:t>2</w:t>
            </w:r>
            <w:r>
              <w:rPr>
                <w:rFonts w:ascii="Times New Roman" w:hAnsi="Times New Roman" w:eastAsia="Times New Roman" w:cs="Times New Roman"/>
                <w:sz w:val="24"/>
                <w:szCs w:val="24"/>
              </w:rPr>
              <w:t xml:space="preserve"> </w:t>
            </w:r>
            <w:r>
              <w:rPr>
                <w:spacing w:val="-2"/>
                <w:sz w:val="24"/>
                <w:szCs w:val="24"/>
              </w:rPr>
              <w:t>×</w:t>
            </w:r>
            <w:r>
              <w:rPr>
                <w:rFonts w:ascii="Times New Roman" w:hAnsi="Times New Roman" w:eastAsia="Times New Roman" w:cs="Times New Roman"/>
                <w:spacing w:val="-2"/>
                <w:sz w:val="24"/>
                <w:szCs w:val="24"/>
              </w:rPr>
              <w:t>50MVA</w:t>
            </w:r>
            <w:r>
              <w:rPr>
                <w:rFonts w:ascii="Times New Roman" w:hAnsi="Times New Roman" w:eastAsia="Times New Roman" w:cs="Times New Roman"/>
                <w:spacing w:val="-28"/>
                <w:sz w:val="24"/>
                <w:szCs w:val="24"/>
              </w:rPr>
              <w:t xml:space="preserve"> </w:t>
            </w:r>
            <w:r>
              <w:rPr>
                <w:spacing w:val="-2"/>
                <w:sz w:val="24"/>
                <w:szCs w:val="24"/>
              </w:rPr>
              <w:t>，布置于室外，主要噪声源为</w:t>
            </w:r>
            <w:r>
              <w:rPr>
                <w:spacing w:val="-53"/>
                <w:sz w:val="24"/>
                <w:szCs w:val="24"/>
              </w:rPr>
              <w:t xml:space="preserve"> </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29"/>
                <w:sz w:val="24"/>
                <w:szCs w:val="24"/>
              </w:rPr>
              <w:t xml:space="preserve"> </w:t>
            </w:r>
            <w:r>
              <w:rPr>
                <w:spacing w:val="-2"/>
                <w:sz w:val="24"/>
                <w:szCs w:val="24"/>
              </w:rPr>
              <w:t>台</w:t>
            </w:r>
            <w:r>
              <w:rPr>
                <w:spacing w:val="-30"/>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主变压器、</w:t>
            </w:r>
            <w:r>
              <w:rPr>
                <w:rFonts w:ascii="Times New Roman" w:hAnsi="Times New Roman" w:eastAsia="Times New Roman" w:cs="Times New Roman"/>
                <w:spacing w:val="-2"/>
                <w:sz w:val="24"/>
                <w:szCs w:val="24"/>
              </w:rPr>
              <w:t xml:space="preserve">SVG </w:t>
            </w:r>
            <w:r>
              <w:rPr>
                <w:spacing w:val="-2"/>
                <w:sz w:val="24"/>
                <w:szCs w:val="24"/>
              </w:rPr>
              <w:t>无功补偿风扇</w:t>
            </w:r>
            <w:r>
              <w:rPr>
                <w:spacing w:val="-4"/>
                <w:sz w:val="24"/>
                <w:szCs w:val="24"/>
              </w:rPr>
              <w:t>噪声。</w:t>
            </w:r>
          </w:p>
          <w:p w14:paraId="67215BA9">
            <w:pPr>
              <w:pStyle w:val="6"/>
              <w:spacing w:before="2" w:line="359" w:lineRule="auto"/>
              <w:ind w:left="106" w:right="103" w:firstLine="480"/>
              <w:jc w:val="both"/>
              <w:rPr>
                <w:sz w:val="24"/>
                <w:szCs w:val="24"/>
              </w:rPr>
            </w:pPr>
            <w:r>
              <w:rPr>
                <w:spacing w:val="1"/>
                <w:sz w:val="24"/>
                <w:szCs w:val="24"/>
              </w:rPr>
              <w:t>根据《变电站噪声控制技术导则》（</w:t>
            </w:r>
            <w:r>
              <w:rPr>
                <w:rFonts w:ascii="Times New Roman" w:hAnsi="Times New Roman" w:eastAsia="Times New Roman" w:cs="Times New Roman"/>
                <w:sz w:val="24"/>
                <w:szCs w:val="24"/>
              </w:rPr>
              <w:t>DL</w:t>
            </w:r>
            <w:r>
              <w:rPr>
                <w:rFonts w:ascii="Times New Roman" w:hAnsi="Times New Roman" w:eastAsia="Times New Roman" w:cs="Times New Roman"/>
                <w:spacing w:val="1"/>
                <w:sz w:val="24"/>
                <w:szCs w:val="24"/>
              </w:rPr>
              <w:t>/T1518-2016</w:t>
            </w:r>
            <w:r>
              <w:rPr>
                <w:spacing w:val="22"/>
                <w:sz w:val="24"/>
                <w:szCs w:val="24"/>
              </w:rPr>
              <w:t>），</w:t>
            </w:r>
            <w:r>
              <w:rPr>
                <w:rFonts w:ascii="Times New Roman" w:hAnsi="Times New Roman" w:eastAsia="Times New Roman" w:cs="Times New Roman"/>
                <w:spacing w:val="1"/>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主变压器噪声</w:t>
            </w:r>
            <w:r>
              <w:rPr>
                <w:spacing w:val="-1"/>
                <w:sz w:val="24"/>
                <w:szCs w:val="24"/>
              </w:rPr>
              <w:t>源强为距离设备</w:t>
            </w:r>
            <w:r>
              <w:rPr>
                <w:spacing w:val="-31"/>
                <w:sz w:val="24"/>
                <w:szCs w:val="24"/>
              </w:rPr>
              <w:t xml:space="preserve"> </w:t>
            </w:r>
            <w:r>
              <w:rPr>
                <w:rFonts w:ascii="Times New Roman" w:hAnsi="Times New Roman" w:eastAsia="Times New Roman" w:cs="Times New Roman"/>
                <w:spacing w:val="-1"/>
                <w:sz w:val="24"/>
                <w:szCs w:val="24"/>
              </w:rPr>
              <w:t>1m</w:t>
            </w:r>
            <w:r>
              <w:rPr>
                <w:rFonts w:ascii="Times New Roman" w:hAnsi="Times New Roman" w:eastAsia="Times New Roman" w:cs="Times New Roman"/>
                <w:spacing w:val="18"/>
                <w:sz w:val="24"/>
                <w:szCs w:val="24"/>
              </w:rPr>
              <w:t xml:space="preserve"> </w:t>
            </w:r>
            <w:r>
              <w:rPr>
                <w:spacing w:val="-1"/>
                <w:sz w:val="24"/>
                <w:szCs w:val="24"/>
              </w:rPr>
              <w:t>处声压级</w:t>
            </w:r>
            <w:r>
              <w:rPr>
                <w:spacing w:val="-48"/>
                <w:sz w:val="24"/>
                <w:szCs w:val="24"/>
              </w:rPr>
              <w:t xml:space="preserve"> </w:t>
            </w:r>
            <w:r>
              <w:rPr>
                <w:rFonts w:ascii="Times New Roman" w:hAnsi="Times New Roman" w:eastAsia="Times New Roman" w:cs="Times New Roman"/>
                <w:spacing w:val="-1"/>
                <w:sz w:val="24"/>
                <w:szCs w:val="24"/>
              </w:rPr>
              <w:t>63.7dB</w:t>
            </w:r>
            <w:r>
              <w:rPr>
                <w:spacing w:val="-1"/>
                <w:sz w:val="24"/>
                <w:szCs w:val="24"/>
              </w:rPr>
              <w:t>（</w:t>
            </w:r>
            <w:r>
              <w:rPr>
                <w:rFonts w:ascii="Times New Roman" w:hAnsi="Times New Roman" w:eastAsia="Times New Roman" w:cs="Times New Roman"/>
                <w:spacing w:val="-1"/>
                <w:sz w:val="24"/>
                <w:szCs w:val="24"/>
              </w:rPr>
              <w:t>A</w:t>
            </w:r>
            <w:r>
              <w:rPr>
                <w:spacing w:val="13"/>
                <w:sz w:val="24"/>
                <w:szCs w:val="24"/>
              </w:rPr>
              <w:t>），</w:t>
            </w:r>
            <w:r>
              <w:rPr>
                <w:spacing w:val="-1"/>
                <w:sz w:val="24"/>
                <w:szCs w:val="24"/>
              </w:rPr>
              <w:t>主变压器按一个组合面声源考虑，以</w:t>
            </w:r>
            <w:r>
              <w:rPr>
                <w:sz w:val="24"/>
                <w:szCs w:val="24"/>
              </w:rPr>
              <w:t>变电站本期规模建成后产生的厂界噪声贡献值作</w:t>
            </w:r>
            <w:r>
              <w:rPr>
                <w:spacing w:val="-1"/>
                <w:sz w:val="24"/>
                <w:szCs w:val="24"/>
              </w:rPr>
              <w:t>为厂界噪声的评价量。</w:t>
            </w:r>
          </w:p>
          <w:p w14:paraId="21DCC2A5">
            <w:pPr>
              <w:pStyle w:val="6"/>
              <w:spacing w:before="1" w:line="357" w:lineRule="auto"/>
              <w:ind w:left="130" w:right="103" w:firstLine="457"/>
              <w:rPr>
                <w:sz w:val="24"/>
                <w:szCs w:val="24"/>
              </w:rPr>
            </w:pPr>
            <w:r>
              <w:rPr>
                <w:spacing w:val="-3"/>
                <w:sz w:val="24"/>
                <w:szCs w:val="24"/>
              </w:rPr>
              <w:t>变电站运营期间的噪声源主要为主变压器、</w:t>
            </w:r>
            <w:r>
              <w:rPr>
                <w:rFonts w:ascii="Times New Roman" w:hAnsi="Times New Roman" w:eastAsia="Times New Roman" w:cs="Times New Roman"/>
                <w:spacing w:val="-3"/>
                <w:sz w:val="24"/>
                <w:szCs w:val="24"/>
              </w:rPr>
              <w:t xml:space="preserve">SVG </w:t>
            </w:r>
            <w:r>
              <w:rPr>
                <w:spacing w:val="-3"/>
                <w:sz w:val="24"/>
                <w:szCs w:val="24"/>
              </w:rPr>
              <w:t>无功补偿风扇噪声，其噪声以</w:t>
            </w:r>
            <w:r>
              <w:rPr>
                <w:spacing w:val="-2"/>
                <w:sz w:val="24"/>
                <w:szCs w:val="24"/>
              </w:rPr>
              <w:t>中低频为主，变电站噪声源强，见下表。</w:t>
            </w:r>
          </w:p>
          <w:p w14:paraId="7B9CF199">
            <w:pPr>
              <w:pStyle w:val="6"/>
              <w:spacing w:line="209" w:lineRule="auto"/>
              <w:ind w:left="2035"/>
            </w:pPr>
            <w:r>
              <w:rPr>
                <w:b/>
                <w:bCs/>
                <w:spacing w:val="6"/>
              </w:rPr>
              <w:t>表</w:t>
            </w:r>
            <w:r>
              <w:rPr>
                <w:spacing w:val="-34"/>
              </w:rPr>
              <w:t xml:space="preserve"> </w:t>
            </w:r>
            <w:r>
              <w:rPr>
                <w:rFonts w:ascii="Times New Roman" w:hAnsi="Times New Roman" w:eastAsia="Times New Roman" w:cs="Times New Roman"/>
                <w:b/>
                <w:bCs/>
                <w:spacing w:val="6"/>
              </w:rPr>
              <w:t xml:space="preserve">4-4    </w:t>
            </w:r>
            <w:r>
              <w:rPr>
                <w:b/>
                <w:bCs/>
                <w:spacing w:val="6"/>
              </w:rPr>
              <w:t>松山变电站噪声源强调查清单（室外声源）</w:t>
            </w:r>
          </w:p>
        </w:tc>
      </w:tr>
      <w:tr w14:paraId="6026A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478" w:type="dxa"/>
            <w:vMerge w:val="continue"/>
            <w:tcBorders>
              <w:top w:val="nil"/>
              <w:left w:val="single" w:color="000000" w:sz="6" w:space="0"/>
              <w:bottom w:val="nil"/>
            </w:tcBorders>
            <w:vAlign w:val="top"/>
          </w:tcPr>
          <w:p w14:paraId="1D6D411A">
            <w:pPr>
              <w:rPr>
                <w:rFonts w:ascii="Arial"/>
                <w:sz w:val="21"/>
              </w:rPr>
            </w:pPr>
          </w:p>
        </w:tc>
        <w:tc>
          <w:tcPr>
            <w:tcW w:w="113" w:type="dxa"/>
            <w:tcBorders>
              <w:top w:val="nil"/>
              <w:bottom w:val="nil"/>
            </w:tcBorders>
            <w:vAlign w:val="top"/>
          </w:tcPr>
          <w:p w14:paraId="59DF3488">
            <w:pPr>
              <w:rPr>
                <w:rFonts w:ascii="Arial"/>
                <w:sz w:val="21"/>
              </w:rPr>
            </w:pPr>
          </w:p>
        </w:tc>
        <w:tc>
          <w:tcPr>
            <w:tcW w:w="623" w:type="dxa"/>
            <w:vMerge w:val="restart"/>
            <w:tcBorders>
              <w:bottom w:val="nil"/>
            </w:tcBorders>
            <w:textDirection w:val="tbRlV"/>
            <w:vAlign w:val="top"/>
          </w:tcPr>
          <w:p w14:paraId="5B9D8BA7">
            <w:pPr>
              <w:pStyle w:val="6"/>
              <w:spacing w:before="211" w:line="218" w:lineRule="auto"/>
              <w:ind w:left="437"/>
            </w:pPr>
            <w:r>
              <w:rPr>
                <w:b/>
                <w:bCs/>
                <w:spacing w:val="6"/>
              </w:rPr>
              <w:t>序</w:t>
            </w:r>
            <w:r>
              <w:rPr>
                <w:spacing w:val="-38"/>
              </w:rPr>
              <w:t xml:space="preserve"> </w:t>
            </w:r>
            <w:r>
              <w:rPr>
                <w:b/>
                <w:bCs/>
                <w:spacing w:val="6"/>
              </w:rPr>
              <w:t>号</w:t>
            </w:r>
          </w:p>
        </w:tc>
        <w:tc>
          <w:tcPr>
            <w:tcW w:w="1703" w:type="dxa"/>
            <w:vMerge w:val="restart"/>
            <w:tcBorders>
              <w:bottom w:val="nil"/>
            </w:tcBorders>
            <w:vAlign w:val="top"/>
          </w:tcPr>
          <w:p w14:paraId="77FE62B6">
            <w:pPr>
              <w:spacing w:line="253" w:lineRule="auto"/>
              <w:rPr>
                <w:rFonts w:ascii="Arial"/>
                <w:sz w:val="21"/>
              </w:rPr>
            </w:pPr>
          </w:p>
          <w:p w14:paraId="58675445">
            <w:pPr>
              <w:spacing w:line="253" w:lineRule="auto"/>
              <w:rPr>
                <w:rFonts w:ascii="Arial"/>
                <w:sz w:val="21"/>
              </w:rPr>
            </w:pPr>
          </w:p>
          <w:p w14:paraId="375B5751">
            <w:pPr>
              <w:pStyle w:val="6"/>
              <w:spacing w:before="65" w:line="228" w:lineRule="auto"/>
              <w:ind w:left="435"/>
            </w:pPr>
            <w:r>
              <w:rPr>
                <w:b/>
                <w:bCs/>
                <w:spacing w:val="5"/>
              </w:rPr>
              <w:t>声源名称</w:t>
            </w:r>
          </w:p>
        </w:tc>
        <w:tc>
          <w:tcPr>
            <w:tcW w:w="2104" w:type="dxa"/>
            <w:gridSpan w:val="3"/>
            <w:vAlign w:val="top"/>
          </w:tcPr>
          <w:p w14:paraId="699545E7">
            <w:pPr>
              <w:pStyle w:val="6"/>
              <w:spacing w:before="40" w:line="222" w:lineRule="auto"/>
              <w:ind w:left="711" w:right="421" w:hanging="282"/>
              <w:rPr>
                <w:rFonts w:ascii="Times New Roman" w:hAnsi="Times New Roman" w:eastAsia="Times New Roman" w:cs="Times New Roman"/>
              </w:rPr>
            </w:pPr>
            <w:r>
              <w:rPr>
                <w:b/>
                <w:bCs/>
                <w:spacing w:val="5"/>
              </w:rPr>
              <w:t>空间相对位置</w:t>
            </w:r>
            <w:r>
              <w:rPr>
                <w:rFonts w:ascii="Times New Roman" w:hAnsi="Times New Roman" w:eastAsia="Times New Roman" w:cs="Times New Roman"/>
                <w:b/>
                <w:bCs/>
              </w:rPr>
              <w:t>XYZ</w:t>
            </w:r>
            <w:r>
              <w:rPr>
                <w:rFonts w:ascii="Times New Roman" w:hAnsi="Times New Roman" w:eastAsia="Times New Roman" w:cs="Times New Roman"/>
                <w:b/>
                <w:bCs/>
                <w:spacing w:val="13"/>
              </w:rPr>
              <w:t>/m</w:t>
            </w:r>
          </w:p>
        </w:tc>
        <w:tc>
          <w:tcPr>
            <w:tcW w:w="1611" w:type="dxa"/>
            <w:vAlign w:val="top"/>
          </w:tcPr>
          <w:p w14:paraId="19C64C2F">
            <w:pPr>
              <w:pStyle w:val="6"/>
              <w:spacing w:before="161" w:line="228" w:lineRule="auto"/>
              <w:ind w:left="399"/>
            </w:pPr>
            <w:r>
              <w:rPr>
                <w:b/>
                <w:bCs/>
                <w:spacing w:val="4"/>
              </w:rPr>
              <w:t>噪声源强</w:t>
            </w:r>
          </w:p>
        </w:tc>
        <w:tc>
          <w:tcPr>
            <w:tcW w:w="1297" w:type="dxa"/>
            <w:gridSpan w:val="2"/>
            <w:vAlign w:val="top"/>
          </w:tcPr>
          <w:p w14:paraId="71791C59">
            <w:pPr>
              <w:pStyle w:val="6"/>
              <w:spacing w:before="161" w:line="228" w:lineRule="auto"/>
              <w:ind w:left="152"/>
              <w:rPr>
                <w:rFonts w:ascii="Times New Roman" w:hAnsi="Times New Roman" w:eastAsia="Times New Roman" w:cs="Times New Roman"/>
              </w:rPr>
            </w:pPr>
            <w:r>
              <w:rPr>
                <w:b/>
                <w:bCs/>
                <w:spacing w:val="5"/>
              </w:rPr>
              <w:t>持续时间</w:t>
            </w:r>
            <w:r>
              <w:rPr>
                <w:rFonts w:ascii="Times New Roman" w:hAnsi="Times New Roman" w:eastAsia="Times New Roman" w:cs="Times New Roman"/>
                <w:b/>
                <w:bCs/>
                <w:spacing w:val="5"/>
              </w:rPr>
              <w:t>/h</w:t>
            </w:r>
          </w:p>
        </w:tc>
        <w:tc>
          <w:tcPr>
            <w:tcW w:w="1258" w:type="dxa"/>
            <w:vMerge w:val="restart"/>
            <w:tcBorders>
              <w:bottom w:val="nil"/>
            </w:tcBorders>
            <w:vAlign w:val="top"/>
          </w:tcPr>
          <w:p w14:paraId="5989C711">
            <w:pPr>
              <w:spacing w:line="252" w:lineRule="auto"/>
              <w:rPr>
                <w:rFonts w:ascii="Arial"/>
                <w:sz w:val="21"/>
              </w:rPr>
            </w:pPr>
          </w:p>
          <w:p w14:paraId="5D16DC65">
            <w:pPr>
              <w:spacing w:line="253" w:lineRule="auto"/>
              <w:rPr>
                <w:rFonts w:ascii="Arial"/>
                <w:sz w:val="21"/>
              </w:rPr>
            </w:pPr>
          </w:p>
          <w:p w14:paraId="36BF57B1">
            <w:pPr>
              <w:pStyle w:val="6"/>
              <w:spacing w:before="65" w:line="228" w:lineRule="auto"/>
              <w:ind w:left="222"/>
            </w:pPr>
            <w:r>
              <w:rPr>
                <w:b/>
                <w:bCs/>
                <w:spacing w:val="5"/>
              </w:rPr>
              <w:t>声源类型</w:t>
            </w:r>
          </w:p>
        </w:tc>
        <w:tc>
          <w:tcPr>
            <w:tcW w:w="121" w:type="dxa"/>
            <w:tcBorders>
              <w:top w:val="nil"/>
              <w:bottom w:val="nil"/>
              <w:right w:val="single" w:color="000000" w:sz="6" w:space="0"/>
            </w:tcBorders>
            <w:vAlign w:val="top"/>
          </w:tcPr>
          <w:p w14:paraId="7F1D0F38">
            <w:pPr>
              <w:rPr>
                <w:rFonts w:ascii="Arial"/>
                <w:sz w:val="21"/>
              </w:rPr>
            </w:pPr>
          </w:p>
        </w:tc>
      </w:tr>
      <w:tr w14:paraId="3C27A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478" w:type="dxa"/>
            <w:vMerge w:val="continue"/>
            <w:tcBorders>
              <w:top w:val="nil"/>
              <w:left w:val="single" w:color="000000" w:sz="6" w:space="0"/>
              <w:bottom w:val="nil"/>
            </w:tcBorders>
            <w:vAlign w:val="top"/>
          </w:tcPr>
          <w:p w14:paraId="490BC6CC">
            <w:pPr>
              <w:rPr>
                <w:rFonts w:ascii="Arial"/>
                <w:sz w:val="21"/>
              </w:rPr>
            </w:pPr>
          </w:p>
        </w:tc>
        <w:tc>
          <w:tcPr>
            <w:tcW w:w="113" w:type="dxa"/>
            <w:tcBorders>
              <w:top w:val="nil"/>
              <w:bottom w:val="nil"/>
            </w:tcBorders>
            <w:vAlign w:val="top"/>
          </w:tcPr>
          <w:p w14:paraId="48757359">
            <w:pPr>
              <w:rPr>
                <w:rFonts w:ascii="Arial"/>
                <w:sz w:val="21"/>
              </w:rPr>
            </w:pPr>
          </w:p>
        </w:tc>
        <w:tc>
          <w:tcPr>
            <w:tcW w:w="623" w:type="dxa"/>
            <w:vMerge w:val="continue"/>
            <w:tcBorders>
              <w:top w:val="nil"/>
            </w:tcBorders>
            <w:textDirection w:val="tbRlV"/>
            <w:vAlign w:val="top"/>
          </w:tcPr>
          <w:p w14:paraId="751CD5ED">
            <w:pPr>
              <w:rPr>
                <w:rFonts w:ascii="Arial"/>
                <w:sz w:val="21"/>
              </w:rPr>
            </w:pPr>
          </w:p>
        </w:tc>
        <w:tc>
          <w:tcPr>
            <w:tcW w:w="1703" w:type="dxa"/>
            <w:vMerge w:val="continue"/>
            <w:tcBorders>
              <w:top w:val="nil"/>
            </w:tcBorders>
            <w:vAlign w:val="top"/>
          </w:tcPr>
          <w:p w14:paraId="31BD2CF1">
            <w:pPr>
              <w:rPr>
                <w:rFonts w:ascii="Arial"/>
                <w:sz w:val="21"/>
              </w:rPr>
            </w:pPr>
          </w:p>
        </w:tc>
        <w:tc>
          <w:tcPr>
            <w:tcW w:w="735" w:type="dxa"/>
            <w:vAlign w:val="top"/>
          </w:tcPr>
          <w:p w14:paraId="599378EC">
            <w:pPr>
              <w:spacing w:line="306" w:lineRule="auto"/>
              <w:rPr>
                <w:rFonts w:ascii="Arial"/>
                <w:sz w:val="21"/>
              </w:rPr>
            </w:pPr>
          </w:p>
          <w:p w14:paraId="1CF12702">
            <w:pPr>
              <w:spacing w:before="57" w:line="192" w:lineRule="auto"/>
              <w:ind w:left="289"/>
              <w:rPr>
                <w:rFonts w:ascii="Times New Roman" w:hAnsi="Times New Roman" w:eastAsia="Times New Roman" w:cs="Times New Roman"/>
                <w:sz w:val="20"/>
                <w:szCs w:val="20"/>
              </w:rPr>
            </w:pPr>
            <w:r>
              <w:rPr>
                <w:rFonts w:ascii="Times New Roman" w:hAnsi="Times New Roman" w:eastAsia="Times New Roman" w:cs="Times New Roman"/>
                <w:b/>
                <w:bCs/>
                <w:spacing w:val="5"/>
                <w:sz w:val="20"/>
                <w:szCs w:val="20"/>
              </w:rPr>
              <w:t>X</w:t>
            </w:r>
          </w:p>
        </w:tc>
        <w:tc>
          <w:tcPr>
            <w:tcW w:w="815" w:type="dxa"/>
            <w:vAlign w:val="top"/>
          </w:tcPr>
          <w:p w14:paraId="37788F89">
            <w:pPr>
              <w:spacing w:line="306" w:lineRule="auto"/>
              <w:rPr>
                <w:rFonts w:ascii="Arial"/>
                <w:sz w:val="21"/>
              </w:rPr>
            </w:pPr>
          </w:p>
          <w:p w14:paraId="6B369C38">
            <w:pPr>
              <w:spacing w:before="57" w:line="192" w:lineRule="auto"/>
              <w:ind w:left="329"/>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Y</w:t>
            </w:r>
          </w:p>
        </w:tc>
        <w:tc>
          <w:tcPr>
            <w:tcW w:w="554" w:type="dxa"/>
            <w:vAlign w:val="top"/>
          </w:tcPr>
          <w:p w14:paraId="714E5D77">
            <w:pPr>
              <w:spacing w:line="306" w:lineRule="auto"/>
              <w:rPr>
                <w:rFonts w:ascii="Arial"/>
                <w:sz w:val="21"/>
              </w:rPr>
            </w:pPr>
          </w:p>
          <w:p w14:paraId="4617E043">
            <w:pPr>
              <w:spacing w:before="57" w:line="192" w:lineRule="auto"/>
              <w:ind w:left="207"/>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Z</w:t>
            </w:r>
          </w:p>
        </w:tc>
        <w:tc>
          <w:tcPr>
            <w:tcW w:w="1611" w:type="dxa"/>
            <w:vAlign w:val="top"/>
          </w:tcPr>
          <w:p w14:paraId="47F53548">
            <w:pPr>
              <w:pStyle w:val="6"/>
              <w:spacing w:before="55" w:line="237" w:lineRule="auto"/>
              <w:ind w:left="127" w:right="120" w:firstLine="32"/>
              <w:jc w:val="both"/>
            </w:pPr>
            <w:r>
              <w:rPr>
                <w:b/>
                <w:bCs/>
                <w:spacing w:val="5"/>
              </w:rPr>
              <w:t>（声压级</w:t>
            </w:r>
            <w:r>
              <w:rPr>
                <w:rFonts w:ascii="Times New Roman" w:hAnsi="Times New Roman" w:eastAsia="Times New Roman" w:cs="Times New Roman"/>
                <w:b/>
                <w:bCs/>
                <w:spacing w:val="5"/>
              </w:rPr>
              <w:t>/</w:t>
            </w:r>
            <w:r>
              <w:rPr>
                <w:b/>
                <w:bCs/>
                <w:spacing w:val="5"/>
              </w:rPr>
              <w:t>距声</w:t>
            </w:r>
            <w:r>
              <w:rPr>
                <w:b/>
                <w:bCs/>
                <w:spacing w:val="7"/>
              </w:rPr>
              <w:t>源距离）</w:t>
            </w:r>
            <w:r>
              <w:rPr>
                <w:rFonts w:ascii="Times New Roman" w:hAnsi="Times New Roman" w:eastAsia="Times New Roman" w:cs="Times New Roman"/>
                <w:b/>
                <w:bCs/>
                <w:spacing w:val="7"/>
              </w:rPr>
              <w:t>/</w:t>
            </w:r>
            <w:r>
              <w:rPr>
                <w:b/>
                <w:bCs/>
                <w:spacing w:val="7"/>
              </w:rPr>
              <w:t>（</w:t>
            </w:r>
            <w:r>
              <w:rPr>
                <w:rFonts w:ascii="Times New Roman" w:hAnsi="Times New Roman" w:eastAsia="Times New Roman" w:cs="Times New Roman"/>
                <w:b/>
                <w:bCs/>
              </w:rPr>
              <w:t>dB</w:t>
            </w:r>
            <w:r>
              <w:rPr>
                <w:rFonts w:ascii="Times New Roman" w:hAnsi="Times New Roman" w:eastAsia="Times New Roman" w:cs="Times New Roman"/>
                <w:b/>
                <w:bCs/>
                <w:spacing w:val="4"/>
              </w:rPr>
              <w:t xml:space="preserve"> </w:t>
            </w:r>
            <w:r>
              <w:rPr>
                <w:b/>
                <w:bCs/>
                <w:spacing w:val="33"/>
              </w:rPr>
              <w:t>（</w:t>
            </w:r>
            <w:r>
              <w:rPr>
                <w:rFonts w:ascii="Times New Roman" w:hAnsi="Times New Roman" w:eastAsia="Times New Roman" w:cs="Times New Roman"/>
                <w:b/>
                <w:bCs/>
                <w:spacing w:val="33"/>
              </w:rPr>
              <w:t>A</w:t>
            </w:r>
            <w:r>
              <w:rPr>
                <w:b/>
                <w:bCs/>
                <w:spacing w:val="33"/>
              </w:rPr>
              <w:t>）</w:t>
            </w:r>
            <w:r>
              <w:rPr>
                <w:rFonts w:ascii="Times New Roman" w:hAnsi="Times New Roman" w:eastAsia="Times New Roman" w:cs="Times New Roman"/>
                <w:b/>
                <w:bCs/>
                <w:spacing w:val="33"/>
              </w:rPr>
              <w:t>/m</w:t>
            </w:r>
            <w:r>
              <w:rPr>
                <w:b/>
                <w:bCs/>
                <w:spacing w:val="33"/>
              </w:rPr>
              <w:t>）</w:t>
            </w:r>
          </w:p>
        </w:tc>
        <w:tc>
          <w:tcPr>
            <w:tcW w:w="519" w:type="dxa"/>
            <w:textDirection w:val="tbRlV"/>
            <w:vAlign w:val="top"/>
          </w:tcPr>
          <w:p w14:paraId="78AF31FA">
            <w:pPr>
              <w:pStyle w:val="6"/>
              <w:spacing w:before="151" w:line="219" w:lineRule="auto"/>
              <w:ind w:left="192"/>
            </w:pPr>
            <w:r>
              <w:rPr>
                <w:b/>
                <w:bCs/>
                <w:spacing w:val="6"/>
              </w:rPr>
              <w:t>昼</w:t>
            </w:r>
            <w:r>
              <w:rPr>
                <w:spacing w:val="-38"/>
              </w:rPr>
              <w:t xml:space="preserve"> </w:t>
            </w:r>
            <w:r>
              <w:rPr>
                <w:b/>
                <w:bCs/>
                <w:spacing w:val="6"/>
              </w:rPr>
              <w:t>间</w:t>
            </w:r>
          </w:p>
        </w:tc>
        <w:tc>
          <w:tcPr>
            <w:tcW w:w="778" w:type="dxa"/>
            <w:textDirection w:val="tbRlV"/>
            <w:vAlign w:val="top"/>
          </w:tcPr>
          <w:p w14:paraId="63C0B699">
            <w:pPr>
              <w:pStyle w:val="6"/>
              <w:spacing w:before="278" w:line="213" w:lineRule="auto"/>
              <w:ind w:left="192"/>
            </w:pPr>
            <w:r>
              <w:rPr>
                <w:b/>
                <w:bCs/>
                <w:spacing w:val="6"/>
              </w:rPr>
              <w:t>夜</w:t>
            </w:r>
            <w:r>
              <w:rPr>
                <w:spacing w:val="-38"/>
              </w:rPr>
              <w:t xml:space="preserve"> </w:t>
            </w:r>
            <w:r>
              <w:rPr>
                <w:b/>
                <w:bCs/>
                <w:spacing w:val="6"/>
              </w:rPr>
              <w:t>间</w:t>
            </w:r>
          </w:p>
        </w:tc>
        <w:tc>
          <w:tcPr>
            <w:tcW w:w="1258" w:type="dxa"/>
            <w:vMerge w:val="continue"/>
            <w:tcBorders>
              <w:top w:val="nil"/>
            </w:tcBorders>
            <w:vAlign w:val="top"/>
          </w:tcPr>
          <w:p w14:paraId="70397CFF">
            <w:pPr>
              <w:rPr>
                <w:rFonts w:ascii="Arial"/>
                <w:sz w:val="21"/>
              </w:rPr>
            </w:pPr>
          </w:p>
        </w:tc>
        <w:tc>
          <w:tcPr>
            <w:tcW w:w="121" w:type="dxa"/>
            <w:tcBorders>
              <w:top w:val="nil"/>
              <w:bottom w:val="nil"/>
              <w:right w:val="single" w:color="000000" w:sz="6" w:space="0"/>
            </w:tcBorders>
            <w:vAlign w:val="top"/>
          </w:tcPr>
          <w:p w14:paraId="1AFE96D0">
            <w:pPr>
              <w:rPr>
                <w:rFonts w:ascii="Arial"/>
                <w:sz w:val="21"/>
              </w:rPr>
            </w:pPr>
          </w:p>
        </w:tc>
      </w:tr>
      <w:tr w14:paraId="7E3FB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78" w:type="dxa"/>
            <w:vMerge w:val="continue"/>
            <w:tcBorders>
              <w:top w:val="nil"/>
              <w:left w:val="single" w:color="000000" w:sz="6" w:space="0"/>
              <w:bottom w:val="nil"/>
            </w:tcBorders>
            <w:vAlign w:val="top"/>
          </w:tcPr>
          <w:p w14:paraId="0EB4BCCD">
            <w:pPr>
              <w:rPr>
                <w:rFonts w:ascii="Arial"/>
                <w:sz w:val="21"/>
              </w:rPr>
            </w:pPr>
          </w:p>
        </w:tc>
        <w:tc>
          <w:tcPr>
            <w:tcW w:w="113" w:type="dxa"/>
            <w:tcBorders>
              <w:top w:val="nil"/>
              <w:bottom w:val="nil"/>
            </w:tcBorders>
            <w:vAlign w:val="top"/>
          </w:tcPr>
          <w:p w14:paraId="0E10F476">
            <w:pPr>
              <w:rPr>
                <w:rFonts w:ascii="Arial"/>
                <w:sz w:val="21"/>
              </w:rPr>
            </w:pPr>
          </w:p>
        </w:tc>
        <w:tc>
          <w:tcPr>
            <w:tcW w:w="623" w:type="dxa"/>
            <w:vAlign w:val="top"/>
          </w:tcPr>
          <w:p w14:paraId="44BE12E0">
            <w:pPr>
              <w:spacing w:before="213" w:line="195" w:lineRule="auto"/>
              <w:ind w:left="274"/>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703" w:type="dxa"/>
            <w:vAlign w:val="top"/>
          </w:tcPr>
          <w:p w14:paraId="550292B9">
            <w:pPr>
              <w:pStyle w:val="6"/>
              <w:spacing w:before="40" w:line="230" w:lineRule="auto"/>
              <w:ind w:left="106" w:right="288" w:firstLine="17"/>
            </w:pPr>
            <w:r>
              <w:rPr>
                <w:rFonts w:ascii="Times New Roman" w:hAnsi="Times New Roman" w:eastAsia="Times New Roman" w:cs="Times New Roman"/>
                <w:spacing w:val="4"/>
              </w:rPr>
              <w:t>1#</w:t>
            </w:r>
            <w:r>
              <w:rPr>
                <w:rFonts w:ascii="Times New Roman" w:hAnsi="Times New Roman" w:eastAsia="Times New Roman" w:cs="Times New Roman"/>
              </w:rPr>
              <w:t>SVG</w:t>
            </w:r>
            <w:r>
              <w:rPr>
                <w:rFonts w:ascii="Times New Roman" w:hAnsi="Times New Roman" w:eastAsia="Times New Roman" w:cs="Times New Roman"/>
                <w:spacing w:val="15"/>
              </w:rPr>
              <w:t xml:space="preserve"> </w:t>
            </w:r>
            <w:r>
              <w:rPr>
                <w:spacing w:val="4"/>
              </w:rPr>
              <w:t>无功补</w:t>
            </w:r>
            <w:r>
              <w:rPr>
                <w:spacing w:val="8"/>
              </w:rPr>
              <w:t>偿电容器组</w:t>
            </w:r>
          </w:p>
        </w:tc>
        <w:tc>
          <w:tcPr>
            <w:tcW w:w="735" w:type="dxa"/>
            <w:vAlign w:val="top"/>
          </w:tcPr>
          <w:p w14:paraId="2556AC55">
            <w:pPr>
              <w:spacing w:before="212" w:line="195"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94.8</w:t>
            </w:r>
          </w:p>
        </w:tc>
        <w:tc>
          <w:tcPr>
            <w:tcW w:w="815" w:type="dxa"/>
            <w:vAlign w:val="top"/>
          </w:tcPr>
          <w:p w14:paraId="75A40AE3">
            <w:pPr>
              <w:spacing w:before="212"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47.7</w:t>
            </w:r>
          </w:p>
        </w:tc>
        <w:tc>
          <w:tcPr>
            <w:tcW w:w="554" w:type="dxa"/>
            <w:vAlign w:val="top"/>
          </w:tcPr>
          <w:p w14:paraId="5B4910C1">
            <w:pPr>
              <w:spacing w:before="213" w:line="195" w:lineRule="auto"/>
              <w:ind w:left="245"/>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611" w:type="dxa"/>
            <w:vAlign w:val="top"/>
          </w:tcPr>
          <w:p w14:paraId="3B6ED6A0">
            <w:pPr>
              <w:spacing w:before="209" w:line="199" w:lineRule="auto"/>
              <w:ind w:left="6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60/1</w:t>
            </w:r>
          </w:p>
        </w:tc>
        <w:tc>
          <w:tcPr>
            <w:tcW w:w="519" w:type="dxa"/>
            <w:vAlign w:val="top"/>
          </w:tcPr>
          <w:p w14:paraId="08382D61">
            <w:pPr>
              <w:spacing w:before="212" w:line="195" w:lineRule="auto"/>
              <w:ind w:left="18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778" w:type="dxa"/>
            <w:vAlign w:val="top"/>
          </w:tcPr>
          <w:p w14:paraId="5112B833">
            <w:pPr>
              <w:spacing w:before="212" w:line="195" w:lineRule="auto"/>
              <w:ind w:left="350"/>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258" w:type="dxa"/>
            <w:vAlign w:val="top"/>
          </w:tcPr>
          <w:p w14:paraId="7B87F585">
            <w:pPr>
              <w:pStyle w:val="6"/>
              <w:spacing w:before="177" w:line="228" w:lineRule="auto"/>
              <w:ind w:left="336"/>
            </w:pPr>
            <w:r>
              <w:rPr>
                <w:spacing w:val="3"/>
              </w:rPr>
              <w:t>点声源</w:t>
            </w:r>
          </w:p>
        </w:tc>
        <w:tc>
          <w:tcPr>
            <w:tcW w:w="121" w:type="dxa"/>
            <w:tcBorders>
              <w:top w:val="nil"/>
              <w:bottom w:val="nil"/>
              <w:right w:val="single" w:color="000000" w:sz="6" w:space="0"/>
            </w:tcBorders>
            <w:vAlign w:val="top"/>
          </w:tcPr>
          <w:p w14:paraId="6695F252">
            <w:pPr>
              <w:rPr>
                <w:rFonts w:ascii="Arial"/>
                <w:sz w:val="21"/>
              </w:rPr>
            </w:pPr>
          </w:p>
        </w:tc>
      </w:tr>
      <w:tr w14:paraId="259FC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78" w:type="dxa"/>
            <w:vMerge w:val="continue"/>
            <w:tcBorders>
              <w:top w:val="nil"/>
              <w:left w:val="single" w:color="000000" w:sz="6" w:space="0"/>
              <w:bottom w:val="nil"/>
            </w:tcBorders>
            <w:vAlign w:val="top"/>
          </w:tcPr>
          <w:p w14:paraId="5BA35786">
            <w:pPr>
              <w:rPr>
                <w:rFonts w:ascii="Arial"/>
                <w:sz w:val="21"/>
              </w:rPr>
            </w:pPr>
          </w:p>
        </w:tc>
        <w:tc>
          <w:tcPr>
            <w:tcW w:w="113" w:type="dxa"/>
            <w:tcBorders>
              <w:top w:val="nil"/>
              <w:bottom w:val="nil"/>
            </w:tcBorders>
            <w:vAlign w:val="top"/>
          </w:tcPr>
          <w:p w14:paraId="7F12F45D">
            <w:pPr>
              <w:rPr>
                <w:rFonts w:ascii="Arial"/>
                <w:sz w:val="21"/>
              </w:rPr>
            </w:pPr>
          </w:p>
        </w:tc>
        <w:tc>
          <w:tcPr>
            <w:tcW w:w="623" w:type="dxa"/>
            <w:vAlign w:val="top"/>
          </w:tcPr>
          <w:p w14:paraId="3AC78D1E">
            <w:pPr>
              <w:spacing w:before="213" w:line="195" w:lineRule="auto"/>
              <w:ind w:left="253"/>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703" w:type="dxa"/>
            <w:vAlign w:val="top"/>
          </w:tcPr>
          <w:p w14:paraId="0CCBC5EA">
            <w:pPr>
              <w:pStyle w:val="6"/>
              <w:spacing w:before="40" w:line="230" w:lineRule="auto"/>
              <w:ind w:left="105" w:right="288" w:hanging="2"/>
            </w:pPr>
            <w:r>
              <w:rPr>
                <w:rFonts w:ascii="Times New Roman" w:hAnsi="Times New Roman" w:eastAsia="Times New Roman" w:cs="Times New Roman"/>
                <w:spacing w:val="9"/>
              </w:rPr>
              <w:t>2#</w:t>
            </w:r>
            <w:r>
              <w:rPr>
                <w:rFonts w:ascii="Times New Roman" w:hAnsi="Times New Roman" w:eastAsia="Times New Roman" w:cs="Times New Roman"/>
              </w:rPr>
              <w:t>SVG</w:t>
            </w:r>
            <w:r>
              <w:rPr>
                <w:rFonts w:ascii="Times New Roman" w:hAnsi="Times New Roman" w:eastAsia="Times New Roman" w:cs="Times New Roman"/>
                <w:spacing w:val="9"/>
              </w:rPr>
              <w:t xml:space="preserve"> </w:t>
            </w:r>
            <w:r>
              <w:rPr>
                <w:spacing w:val="9"/>
              </w:rPr>
              <w:t>无功补</w:t>
            </w:r>
            <w:r>
              <w:rPr>
                <w:spacing w:val="8"/>
              </w:rPr>
              <w:t>偿电容器组</w:t>
            </w:r>
          </w:p>
        </w:tc>
        <w:tc>
          <w:tcPr>
            <w:tcW w:w="735" w:type="dxa"/>
            <w:vAlign w:val="top"/>
          </w:tcPr>
          <w:p w14:paraId="46C4F75C">
            <w:pPr>
              <w:spacing w:before="213" w:line="195"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94.8</w:t>
            </w:r>
          </w:p>
        </w:tc>
        <w:tc>
          <w:tcPr>
            <w:tcW w:w="815" w:type="dxa"/>
            <w:vAlign w:val="top"/>
          </w:tcPr>
          <w:p w14:paraId="67BC0AD2">
            <w:pPr>
              <w:spacing w:before="213" w:line="195" w:lineRule="auto"/>
              <w:ind w:left="22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55.2</w:t>
            </w:r>
          </w:p>
        </w:tc>
        <w:tc>
          <w:tcPr>
            <w:tcW w:w="554" w:type="dxa"/>
            <w:vAlign w:val="top"/>
          </w:tcPr>
          <w:p w14:paraId="4FAAC566">
            <w:pPr>
              <w:spacing w:before="213" w:line="195" w:lineRule="auto"/>
              <w:ind w:left="245"/>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611" w:type="dxa"/>
            <w:vAlign w:val="top"/>
          </w:tcPr>
          <w:p w14:paraId="23D74A32">
            <w:pPr>
              <w:spacing w:before="209" w:line="199" w:lineRule="auto"/>
              <w:ind w:left="6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60/1</w:t>
            </w:r>
          </w:p>
        </w:tc>
        <w:tc>
          <w:tcPr>
            <w:tcW w:w="519" w:type="dxa"/>
            <w:vAlign w:val="top"/>
          </w:tcPr>
          <w:p w14:paraId="174520EE">
            <w:pPr>
              <w:spacing w:before="213" w:line="195" w:lineRule="auto"/>
              <w:ind w:left="18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778" w:type="dxa"/>
            <w:vAlign w:val="top"/>
          </w:tcPr>
          <w:p w14:paraId="3709AA99">
            <w:pPr>
              <w:spacing w:before="213" w:line="195" w:lineRule="auto"/>
              <w:ind w:left="350"/>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258" w:type="dxa"/>
            <w:vAlign w:val="top"/>
          </w:tcPr>
          <w:p w14:paraId="514A9D07">
            <w:pPr>
              <w:pStyle w:val="6"/>
              <w:spacing w:before="177" w:line="228" w:lineRule="auto"/>
              <w:ind w:left="336"/>
            </w:pPr>
            <w:r>
              <w:rPr>
                <w:spacing w:val="3"/>
              </w:rPr>
              <w:t>点声源</w:t>
            </w:r>
          </w:p>
        </w:tc>
        <w:tc>
          <w:tcPr>
            <w:tcW w:w="121" w:type="dxa"/>
            <w:tcBorders>
              <w:top w:val="nil"/>
              <w:bottom w:val="nil"/>
              <w:right w:val="single" w:color="000000" w:sz="6" w:space="0"/>
            </w:tcBorders>
            <w:vAlign w:val="top"/>
          </w:tcPr>
          <w:p w14:paraId="2E9FFBBA">
            <w:pPr>
              <w:rPr>
                <w:rFonts w:ascii="Arial"/>
                <w:sz w:val="21"/>
              </w:rPr>
            </w:pPr>
          </w:p>
        </w:tc>
      </w:tr>
      <w:tr w14:paraId="047C6C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478" w:type="dxa"/>
            <w:vMerge w:val="continue"/>
            <w:tcBorders>
              <w:top w:val="nil"/>
              <w:left w:val="single" w:color="000000" w:sz="6" w:space="0"/>
              <w:bottom w:val="nil"/>
            </w:tcBorders>
            <w:vAlign w:val="top"/>
          </w:tcPr>
          <w:p w14:paraId="7A987825">
            <w:pPr>
              <w:rPr>
                <w:rFonts w:ascii="Arial"/>
                <w:sz w:val="21"/>
              </w:rPr>
            </w:pPr>
          </w:p>
        </w:tc>
        <w:tc>
          <w:tcPr>
            <w:tcW w:w="113" w:type="dxa"/>
            <w:tcBorders>
              <w:top w:val="nil"/>
              <w:bottom w:val="nil"/>
            </w:tcBorders>
            <w:vAlign w:val="top"/>
          </w:tcPr>
          <w:p w14:paraId="5B34A401">
            <w:pPr>
              <w:rPr>
                <w:rFonts w:ascii="Arial"/>
                <w:sz w:val="21"/>
              </w:rPr>
            </w:pPr>
          </w:p>
        </w:tc>
        <w:tc>
          <w:tcPr>
            <w:tcW w:w="623" w:type="dxa"/>
            <w:vAlign w:val="top"/>
          </w:tcPr>
          <w:p w14:paraId="67F61704">
            <w:pPr>
              <w:spacing w:before="213" w:line="195" w:lineRule="auto"/>
              <w:ind w:left="258"/>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703" w:type="dxa"/>
            <w:vAlign w:val="top"/>
          </w:tcPr>
          <w:p w14:paraId="13D27002">
            <w:pPr>
              <w:pStyle w:val="6"/>
              <w:spacing w:before="43" w:line="228" w:lineRule="auto"/>
              <w:ind w:left="106" w:right="288" w:firstLine="1"/>
            </w:pPr>
            <w:r>
              <w:rPr>
                <w:rFonts w:ascii="Times New Roman" w:hAnsi="Times New Roman" w:eastAsia="Times New Roman" w:cs="Times New Roman"/>
                <w:spacing w:val="7"/>
              </w:rPr>
              <w:t>3#</w:t>
            </w:r>
            <w:r>
              <w:rPr>
                <w:rFonts w:ascii="Times New Roman" w:hAnsi="Times New Roman" w:eastAsia="Times New Roman" w:cs="Times New Roman"/>
              </w:rPr>
              <w:t>SVG</w:t>
            </w:r>
            <w:r>
              <w:rPr>
                <w:rFonts w:ascii="Times New Roman" w:hAnsi="Times New Roman" w:eastAsia="Times New Roman" w:cs="Times New Roman"/>
                <w:spacing w:val="15"/>
                <w:w w:val="101"/>
              </w:rPr>
              <w:t xml:space="preserve"> </w:t>
            </w:r>
            <w:r>
              <w:rPr>
                <w:spacing w:val="7"/>
              </w:rPr>
              <w:t>无功补</w:t>
            </w:r>
            <w:r>
              <w:rPr>
                <w:spacing w:val="8"/>
              </w:rPr>
              <w:t>偿电容器组</w:t>
            </w:r>
          </w:p>
        </w:tc>
        <w:tc>
          <w:tcPr>
            <w:tcW w:w="735" w:type="dxa"/>
            <w:vAlign w:val="top"/>
          </w:tcPr>
          <w:p w14:paraId="55A85298">
            <w:pPr>
              <w:spacing w:before="213" w:line="195"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94.8</w:t>
            </w:r>
          </w:p>
        </w:tc>
        <w:tc>
          <w:tcPr>
            <w:tcW w:w="815" w:type="dxa"/>
            <w:vAlign w:val="top"/>
          </w:tcPr>
          <w:p w14:paraId="76524CC1">
            <w:pPr>
              <w:spacing w:before="213" w:line="195" w:lineRule="auto"/>
              <w:ind w:left="22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62.7</w:t>
            </w:r>
          </w:p>
        </w:tc>
        <w:tc>
          <w:tcPr>
            <w:tcW w:w="554" w:type="dxa"/>
            <w:vAlign w:val="top"/>
          </w:tcPr>
          <w:p w14:paraId="17487A8A">
            <w:pPr>
              <w:spacing w:before="213" w:line="195" w:lineRule="auto"/>
              <w:ind w:left="245"/>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611" w:type="dxa"/>
            <w:vAlign w:val="top"/>
          </w:tcPr>
          <w:p w14:paraId="5F188A48">
            <w:pPr>
              <w:spacing w:before="209" w:line="199" w:lineRule="auto"/>
              <w:ind w:left="6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60/1</w:t>
            </w:r>
          </w:p>
        </w:tc>
        <w:tc>
          <w:tcPr>
            <w:tcW w:w="519" w:type="dxa"/>
            <w:vAlign w:val="top"/>
          </w:tcPr>
          <w:p w14:paraId="00BB5B28">
            <w:pPr>
              <w:spacing w:before="213" w:line="195" w:lineRule="auto"/>
              <w:ind w:left="18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778" w:type="dxa"/>
            <w:vAlign w:val="top"/>
          </w:tcPr>
          <w:p w14:paraId="6512F854">
            <w:pPr>
              <w:spacing w:before="213" w:line="195" w:lineRule="auto"/>
              <w:ind w:left="350"/>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258" w:type="dxa"/>
            <w:vAlign w:val="top"/>
          </w:tcPr>
          <w:p w14:paraId="3C43C509">
            <w:pPr>
              <w:pStyle w:val="6"/>
              <w:spacing w:before="178" w:line="228" w:lineRule="auto"/>
              <w:ind w:left="336"/>
            </w:pPr>
            <w:r>
              <w:rPr>
                <w:spacing w:val="3"/>
              </w:rPr>
              <w:t>点声源</w:t>
            </w:r>
          </w:p>
        </w:tc>
        <w:tc>
          <w:tcPr>
            <w:tcW w:w="121" w:type="dxa"/>
            <w:tcBorders>
              <w:top w:val="nil"/>
              <w:bottom w:val="nil"/>
              <w:right w:val="single" w:color="000000" w:sz="6" w:space="0"/>
            </w:tcBorders>
            <w:vAlign w:val="top"/>
          </w:tcPr>
          <w:p w14:paraId="710F9B44">
            <w:pPr>
              <w:rPr>
                <w:rFonts w:ascii="Arial"/>
                <w:sz w:val="21"/>
              </w:rPr>
            </w:pPr>
          </w:p>
        </w:tc>
      </w:tr>
      <w:tr w14:paraId="7695EA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78" w:type="dxa"/>
            <w:vMerge w:val="continue"/>
            <w:tcBorders>
              <w:top w:val="nil"/>
              <w:left w:val="single" w:color="000000" w:sz="6" w:space="0"/>
              <w:bottom w:val="nil"/>
            </w:tcBorders>
            <w:vAlign w:val="top"/>
          </w:tcPr>
          <w:p w14:paraId="75B3DBD4">
            <w:pPr>
              <w:rPr>
                <w:rFonts w:ascii="Arial"/>
                <w:sz w:val="21"/>
              </w:rPr>
            </w:pPr>
          </w:p>
        </w:tc>
        <w:tc>
          <w:tcPr>
            <w:tcW w:w="113" w:type="dxa"/>
            <w:tcBorders>
              <w:top w:val="nil"/>
              <w:bottom w:val="nil"/>
            </w:tcBorders>
            <w:vAlign w:val="top"/>
          </w:tcPr>
          <w:p w14:paraId="3A05F4DC">
            <w:pPr>
              <w:rPr>
                <w:rFonts w:ascii="Arial"/>
                <w:sz w:val="21"/>
              </w:rPr>
            </w:pPr>
          </w:p>
        </w:tc>
        <w:tc>
          <w:tcPr>
            <w:tcW w:w="623" w:type="dxa"/>
            <w:vAlign w:val="top"/>
          </w:tcPr>
          <w:p w14:paraId="706FAB27">
            <w:pPr>
              <w:spacing w:before="215" w:line="195" w:lineRule="auto"/>
              <w:ind w:left="25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703" w:type="dxa"/>
            <w:vAlign w:val="top"/>
          </w:tcPr>
          <w:p w14:paraId="25534C44">
            <w:pPr>
              <w:pStyle w:val="6"/>
              <w:spacing w:before="44" w:line="228" w:lineRule="auto"/>
              <w:ind w:left="105" w:right="288" w:hanging="3"/>
            </w:pPr>
            <w:r>
              <w:rPr>
                <w:rFonts w:ascii="Times New Roman" w:hAnsi="Times New Roman" w:eastAsia="Times New Roman" w:cs="Times New Roman"/>
                <w:spacing w:val="9"/>
              </w:rPr>
              <w:t>4#</w:t>
            </w:r>
            <w:r>
              <w:rPr>
                <w:rFonts w:ascii="Times New Roman" w:hAnsi="Times New Roman" w:eastAsia="Times New Roman" w:cs="Times New Roman"/>
              </w:rPr>
              <w:t>SVG</w:t>
            </w:r>
            <w:r>
              <w:rPr>
                <w:rFonts w:ascii="Times New Roman" w:hAnsi="Times New Roman" w:eastAsia="Times New Roman" w:cs="Times New Roman"/>
                <w:spacing w:val="9"/>
              </w:rPr>
              <w:t xml:space="preserve"> </w:t>
            </w:r>
            <w:r>
              <w:rPr>
                <w:spacing w:val="9"/>
              </w:rPr>
              <w:t>无功补</w:t>
            </w:r>
            <w:r>
              <w:rPr>
                <w:spacing w:val="8"/>
              </w:rPr>
              <w:t>偿电容器组</w:t>
            </w:r>
          </w:p>
        </w:tc>
        <w:tc>
          <w:tcPr>
            <w:tcW w:w="735" w:type="dxa"/>
            <w:vAlign w:val="top"/>
          </w:tcPr>
          <w:p w14:paraId="34545A5B">
            <w:pPr>
              <w:spacing w:before="215" w:line="195"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94.8</w:t>
            </w:r>
          </w:p>
        </w:tc>
        <w:tc>
          <w:tcPr>
            <w:tcW w:w="815" w:type="dxa"/>
            <w:vAlign w:val="top"/>
          </w:tcPr>
          <w:p w14:paraId="7E19523C">
            <w:pPr>
              <w:spacing w:before="215"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70.3</w:t>
            </w:r>
          </w:p>
        </w:tc>
        <w:tc>
          <w:tcPr>
            <w:tcW w:w="554" w:type="dxa"/>
            <w:vAlign w:val="top"/>
          </w:tcPr>
          <w:p w14:paraId="5295596D">
            <w:pPr>
              <w:spacing w:before="215" w:line="195" w:lineRule="auto"/>
              <w:ind w:left="245"/>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611" w:type="dxa"/>
            <w:vAlign w:val="top"/>
          </w:tcPr>
          <w:p w14:paraId="1CB8AEE2">
            <w:pPr>
              <w:spacing w:before="211" w:line="199" w:lineRule="auto"/>
              <w:ind w:left="6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60/1</w:t>
            </w:r>
          </w:p>
        </w:tc>
        <w:tc>
          <w:tcPr>
            <w:tcW w:w="519" w:type="dxa"/>
            <w:vAlign w:val="top"/>
          </w:tcPr>
          <w:p w14:paraId="50DDFDC0">
            <w:pPr>
              <w:spacing w:before="215" w:line="195" w:lineRule="auto"/>
              <w:ind w:left="18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778" w:type="dxa"/>
            <w:vAlign w:val="top"/>
          </w:tcPr>
          <w:p w14:paraId="3095E02A">
            <w:pPr>
              <w:spacing w:before="215" w:line="195" w:lineRule="auto"/>
              <w:ind w:left="350"/>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258" w:type="dxa"/>
            <w:vAlign w:val="top"/>
          </w:tcPr>
          <w:p w14:paraId="6BC8EB85">
            <w:pPr>
              <w:pStyle w:val="6"/>
              <w:spacing w:before="179" w:line="228" w:lineRule="auto"/>
              <w:ind w:left="336"/>
            </w:pPr>
            <w:r>
              <w:rPr>
                <w:spacing w:val="3"/>
              </w:rPr>
              <w:t>点声源</w:t>
            </w:r>
          </w:p>
        </w:tc>
        <w:tc>
          <w:tcPr>
            <w:tcW w:w="121" w:type="dxa"/>
            <w:tcBorders>
              <w:top w:val="nil"/>
              <w:bottom w:val="nil"/>
              <w:right w:val="single" w:color="000000" w:sz="6" w:space="0"/>
            </w:tcBorders>
            <w:vAlign w:val="top"/>
          </w:tcPr>
          <w:p w14:paraId="1FC35433">
            <w:pPr>
              <w:rPr>
                <w:rFonts w:ascii="Arial"/>
                <w:sz w:val="21"/>
              </w:rPr>
            </w:pPr>
          </w:p>
        </w:tc>
      </w:tr>
      <w:tr w14:paraId="27DD58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78" w:type="dxa"/>
            <w:vMerge w:val="continue"/>
            <w:tcBorders>
              <w:top w:val="nil"/>
              <w:left w:val="single" w:color="000000" w:sz="6" w:space="0"/>
              <w:bottom w:val="nil"/>
            </w:tcBorders>
            <w:vAlign w:val="top"/>
          </w:tcPr>
          <w:p w14:paraId="3D8D7BAE">
            <w:pPr>
              <w:rPr>
                <w:rFonts w:ascii="Arial"/>
                <w:sz w:val="21"/>
              </w:rPr>
            </w:pPr>
          </w:p>
        </w:tc>
        <w:tc>
          <w:tcPr>
            <w:tcW w:w="113" w:type="dxa"/>
            <w:tcBorders>
              <w:top w:val="nil"/>
              <w:bottom w:val="nil"/>
            </w:tcBorders>
            <w:vAlign w:val="top"/>
          </w:tcPr>
          <w:p w14:paraId="0D70BBC6">
            <w:pPr>
              <w:rPr>
                <w:rFonts w:ascii="Arial"/>
                <w:sz w:val="21"/>
              </w:rPr>
            </w:pPr>
          </w:p>
        </w:tc>
        <w:tc>
          <w:tcPr>
            <w:tcW w:w="623" w:type="dxa"/>
            <w:vAlign w:val="top"/>
          </w:tcPr>
          <w:p w14:paraId="5150261D">
            <w:pPr>
              <w:spacing w:before="218" w:line="192" w:lineRule="auto"/>
              <w:ind w:left="259"/>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703" w:type="dxa"/>
            <w:vAlign w:val="top"/>
          </w:tcPr>
          <w:p w14:paraId="308ED9F0">
            <w:pPr>
              <w:pStyle w:val="6"/>
              <w:spacing w:before="179" w:line="228" w:lineRule="auto"/>
              <w:ind w:left="103"/>
            </w:pPr>
            <w:r>
              <w:rPr>
                <w:rFonts w:ascii="Times New Roman" w:hAnsi="Times New Roman" w:eastAsia="Times New Roman" w:cs="Times New Roman"/>
                <w:spacing w:val="7"/>
              </w:rPr>
              <w:t>2#</w:t>
            </w:r>
            <w:r>
              <w:rPr>
                <w:spacing w:val="7"/>
              </w:rPr>
              <w:t>主变顶面</w:t>
            </w:r>
          </w:p>
        </w:tc>
        <w:tc>
          <w:tcPr>
            <w:tcW w:w="735" w:type="dxa"/>
            <w:vAlign w:val="top"/>
          </w:tcPr>
          <w:p w14:paraId="3FE0856C">
            <w:pPr>
              <w:spacing w:before="215" w:line="195" w:lineRule="auto"/>
              <w:ind w:left="18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60.0</w:t>
            </w:r>
          </w:p>
        </w:tc>
        <w:tc>
          <w:tcPr>
            <w:tcW w:w="815" w:type="dxa"/>
            <w:vAlign w:val="top"/>
          </w:tcPr>
          <w:p w14:paraId="394C695D">
            <w:pPr>
              <w:spacing w:before="215"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46.2</w:t>
            </w:r>
          </w:p>
        </w:tc>
        <w:tc>
          <w:tcPr>
            <w:tcW w:w="554" w:type="dxa"/>
            <w:vAlign w:val="top"/>
          </w:tcPr>
          <w:p w14:paraId="21680B89">
            <w:pPr>
              <w:spacing w:before="215" w:line="195" w:lineRule="auto"/>
              <w:ind w:left="15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611" w:type="dxa"/>
            <w:vAlign w:val="top"/>
          </w:tcPr>
          <w:p w14:paraId="281295C6">
            <w:pPr>
              <w:spacing w:before="211" w:line="199" w:lineRule="auto"/>
              <w:ind w:left="5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63.7/1</w:t>
            </w:r>
          </w:p>
        </w:tc>
        <w:tc>
          <w:tcPr>
            <w:tcW w:w="519" w:type="dxa"/>
            <w:vAlign w:val="top"/>
          </w:tcPr>
          <w:p w14:paraId="1638B294">
            <w:pPr>
              <w:spacing w:before="215" w:line="195" w:lineRule="auto"/>
              <w:ind w:left="18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778" w:type="dxa"/>
            <w:vAlign w:val="top"/>
          </w:tcPr>
          <w:p w14:paraId="73A514B2">
            <w:pPr>
              <w:spacing w:before="215" w:line="195" w:lineRule="auto"/>
              <w:ind w:left="350"/>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258" w:type="dxa"/>
            <w:vAlign w:val="top"/>
          </w:tcPr>
          <w:p w14:paraId="67C30217">
            <w:pPr>
              <w:pStyle w:val="6"/>
              <w:spacing w:before="44" w:line="228" w:lineRule="auto"/>
              <w:ind w:left="534" w:right="202" w:hanging="311"/>
            </w:pPr>
            <w:r>
              <w:rPr>
                <w:spacing w:val="6"/>
              </w:rPr>
              <w:t>水平面声</w:t>
            </w:r>
            <w:r>
              <w:rPr>
                <w:spacing w:val="1"/>
              </w:rPr>
              <w:t>源</w:t>
            </w:r>
          </w:p>
        </w:tc>
        <w:tc>
          <w:tcPr>
            <w:tcW w:w="121" w:type="dxa"/>
            <w:tcBorders>
              <w:top w:val="nil"/>
              <w:bottom w:val="nil"/>
              <w:right w:val="single" w:color="000000" w:sz="6" w:space="0"/>
            </w:tcBorders>
            <w:vAlign w:val="top"/>
          </w:tcPr>
          <w:p w14:paraId="2A3B9EA4">
            <w:pPr>
              <w:rPr>
                <w:rFonts w:ascii="Arial"/>
                <w:sz w:val="21"/>
              </w:rPr>
            </w:pPr>
          </w:p>
        </w:tc>
      </w:tr>
      <w:tr w14:paraId="40809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78" w:type="dxa"/>
            <w:vMerge w:val="continue"/>
            <w:tcBorders>
              <w:top w:val="nil"/>
              <w:left w:val="single" w:color="000000" w:sz="6" w:space="0"/>
              <w:bottom w:val="nil"/>
            </w:tcBorders>
            <w:vAlign w:val="top"/>
          </w:tcPr>
          <w:p w14:paraId="33D51B30">
            <w:pPr>
              <w:rPr>
                <w:rFonts w:ascii="Arial"/>
                <w:sz w:val="21"/>
              </w:rPr>
            </w:pPr>
          </w:p>
        </w:tc>
        <w:tc>
          <w:tcPr>
            <w:tcW w:w="113" w:type="dxa"/>
            <w:tcBorders>
              <w:top w:val="nil"/>
              <w:bottom w:val="nil"/>
            </w:tcBorders>
            <w:vAlign w:val="top"/>
          </w:tcPr>
          <w:p w14:paraId="5ED504B6">
            <w:pPr>
              <w:rPr>
                <w:rFonts w:ascii="Arial"/>
                <w:sz w:val="21"/>
              </w:rPr>
            </w:pPr>
          </w:p>
        </w:tc>
        <w:tc>
          <w:tcPr>
            <w:tcW w:w="623" w:type="dxa"/>
            <w:vAlign w:val="top"/>
          </w:tcPr>
          <w:p w14:paraId="5BB85350">
            <w:pPr>
              <w:spacing w:before="218" w:line="195" w:lineRule="auto"/>
              <w:ind w:left="258"/>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703" w:type="dxa"/>
            <w:vAlign w:val="top"/>
          </w:tcPr>
          <w:p w14:paraId="341F69D6">
            <w:pPr>
              <w:pStyle w:val="6"/>
              <w:spacing w:before="179" w:line="228" w:lineRule="auto"/>
              <w:ind w:left="103"/>
            </w:pPr>
            <w:r>
              <w:rPr>
                <w:rFonts w:ascii="Times New Roman" w:hAnsi="Times New Roman" w:eastAsia="Times New Roman" w:cs="Times New Roman"/>
                <w:spacing w:val="7"/>
              </w:rPr>
              <w:t>2#</w:t>
            </w:r>
            <w:r>
              <w:rPr>
                <w:spacing w:val="7"/>
              </w:rPr>
              <w:t>主变顶面</w:t>
            </w:r>
          </w:p>
        </w:tc>
        <w:tc>
          <w:tcPr>
            <w:tcW w:w="735" w:type="dxa"/>
            <w:vAlign w:val="top"/>
          </w:tcPr>
          <w:p w14:paraId="6B0B2909">
            <w:pPr>
              <w:spacing w:before="218" w:line="195" w:lineRule="auto"/>
              <w:ind w:left="18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45.9</w:t>
            </w:r>
          </w:p>
        </w:tc>
        <w:tc>
          <w:tcPr>
            <w:tcW w:w="815" w:type="dxa"/>
            <w:vAlign w:val="top"/>
          </w:tcPr>
          <w:p w14:paraId="5BBD1FBF">
            <w:pPr>
              <w:spacing w:before="218"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46.</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2"/>
                <w:sz w:val="20"/>
                <w:szCs w:val="20"/>
              </w:rPr>
              <w:t>1</w:t>
            </w:r>
          </w:p>
        </w:tc>
        <w:tc>
          <w:tcPr>
            <w:tcW w:w="554" w:type="dxa"/>
            <w:vAlign w:val="top"/>
          </w:tcPr>
          <w:p w14:paraId="42BE97B1">
            <w:pPr>
              <w:spacing w:before="218" w:line="195" w:lineRule="auto"/>
              <w:ind w:left="15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611" w:type="dxa"/>
            <w:vAlign w:val="top"/>
          </w:tcPr>
          <w:p w14:paraId="13F68335">
            <w:pPr>
              <w:spacing w:before="214" w:line="199" w:lineRule="auto"/>
              <w:ind w:left="5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63.7/1</w:t>
            </w:r>
          </w:p>
        </w:tc>
        <w:tc>
          <w:tcPr>
            <w:tcW w:w="519" w:type="dxa"/>
            <w:vAlign w:val="top"/>
          </w:tcPr>
          <w:p w14:paraId="3F9A63F4">
            <w:pPr>
              <w:spacing w:before="218" w:line="195" w:lineRule="auto"/>
              <w:ind w:left="18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778" w:type="dxa"/>
            <w:vAlign w:val="top"/>
          </w:tcPr>
          <w:p w14:paraId="507917C1">
            <w:pPr>
              <w:spacing w:before="218" w:line="195" w:lineRule="auto"/>
              <w:ind w:left="350"/>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258" w:type="dxa"/>
            <w:vAlign w:val="top"/>
          </w:tcPr>
          <w:p w14:paraId="6F8DB729">
            <w:pPr>
              <w:pStyle w:val="6"/>
              <w:spacing w:before="44" w:line="228" w:lineRule="auto"/>
              <w:ind w:left="534" w:right="202" w:hanging="311"/>
            </w:pPr>
            <w:r>
              <w:rPr>
                <w:spacing w:val="6"/>
              </w:rPr>
              <w:t>水平面声</w:t>
            </w:r>
            <w:r>
              <w:rPr>
                <w:spacing w:val="1"/>
              </w:rPr>
              <w:t>源</w:t>
            </w:r>
          </w:p>
        </w:tc>
        <w:tc>
          <w:tcPr>
            <w:tcW w:w="121" w:type="dxa"/>
            <w:tcBorders>
              <w:top w:val="nil"/>
              <w:bottom w:val="nil"/>
              <w:right w:val="single" w:color="000000" w:sz="6" w:space="0"/>
            </w:tcBorders>
            <w:vAlign w:val="top"/>
          </w:tcPr>
          <w:p w14:paraId="23A971E5">
            <w:pPr>
              <w:rPr>
                <w:rFonts w:ascii="Arial"/>
                <w:sz w:val="21"/>
              </w:rPr>
            </w:pPr>
          </w:p>
        </w:tc>
      </w:tr>
      <w:tr w14:paraId="657D37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78" w:type="dxa"/>
            <w:vMerge w:val="continue"/>
            <w:tcBorders>
              <w:top w:val="nil"/>
              <w:left w:val="single" w:color="000000" w:sz="6" w:space="0"/>
              <w:bottom w:val="single" w:color="000000" w:sz="6" w:space="0"/>
            </w:tcBorders>
            <w:vAlign w:val="top"/>
          </w:tcPr>
          <w:p w14:paraId="7C8B8A7B">
            <w:pPr>
              <w:rPr>
                <w:rFonts w:ascii="Arial"/>
                <w:sz w:val="21"/>
              </w:rPr>
            </w:pPr>
          </w:p>
        </w:tc>
        <w:tc>
          <w:tcPr>
            <w:tcW w:w="113" w:type="dxa"/>
            <w:tcBorders>
              <w:top w:val="nil"/>
              <w:bottom w:val="single" w:color="000000" w:sz="6" w:space="0"/>
            </w:tcBorders>
            <w:vAlign w:val="top"/>
          </w:tcPr>
          <w:p w14:paraId="674876EC">
            <w:pPr>
              <w:rPr>
                <w:rFonts w:ascii="Arial"/>
                <w:sz w:val="21"/>
              </w:rPr>
            </w:pPr>
          </w:p>
        </w:tc>
        <w:tc>
          <w:tcPr>
            <w:tcW w:w="623" w:type="dxa"/>
            <w:tcBorders>
              <w:bottom w:val="single" w:color="000000" w:sz="6" w:space="0"/>
            </w:tcBorders>
            <w:vAlign w:val="top"/>
          </w:tcPr>
          <w:p w14:paraId="598ECA7E">
            <w:pPr>
              <w:spacing w:before="173" w:line="192" w:lineRule="auto"/>
              <w:ind w:left="257"/>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703" w:type="dxa"/>
            <w:tcBorders>
              <w:bottom w:val="single" w:color="000000" w:sz="6" w:space="0"/>
            </w:tcBorders>
            <w:vAlign w:val="top"/>
          </w:tcPr>
          <w:p w14:paraId="6909D25E">
            <w:pPr>
              <w:pStyle w:val="6"/>
              <w:spacing w:before="134" w:line="229" w:lineRule="auto"/>
              <w:ind w:left="123"/>
              <w:rPr>
                <w:rFonts w:ascii="Times New Roman" w:hAnsi="Times New Roman" w:eastAsia="Times New Roman" w:cs="Times New Roman"/>
              </w:rPr>
            </w:pPr>
            <w:r>
              <w:rPr>
                <w:rFonts w:ascii="Times New Roman" w:hAnsi="Times New Roman" w:eastAsia="Times New Roman" w:cs="Times New Roman"/>
                <w:spacing w:val="3"/>
              </w:rPr>
              <w:t>1#</w:t>
            </w:r>
            <w:r>
              <w:rPr>
                <w:spacing w:val="3"/>
              </w:rPr>
              <w:t>主变立面</w:t>
            </w:r>
            <w:r>
              <w:rPr>
                <w:spacing w:val="-21"/>
              </w:rPr>
              <w:t xml:space="preserve"> </w:t>
            </w:r>
            <w:r>
              <w:rPr>
                <w:rFonts w:ascii="Times New Roman" w:hAnsi="Times New Roman" w:eastAsia="Times New Roman" w:cs="Times New Roman"/>
                <w:spacing w:val="3"/>
              </w:rPr>
              <w:t>1</w:t>
            </w:r>
          </w:p>
        </w:tc>
        <w:tc>
          <w:tcPr>
            <w:tcW w:w="735" w:type="dxa"/>
            <w:tcBorders>
              <w:bottom w:val="single" w:color="000000" w:sz="6" w:space="0"/>
            </w:tcBorders>
            <w:vAlign w:val="top"/>
          </w:tcPr>
          <w:p w14:paraId="33CB79AB">
            <w:pPr>
              <w:spacing w:before="170" w:line="195" w:lineRule="auto"/>
              <w:ind w:left="18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60.0</w:t>
            </w:r>
          </w:p>
        </w:tc>
        <w:tc>
          <w:tcPr>
            <w:tcW w:w="815" w:type="dxa"/>
            <w:tcBorders>
              <w:bottom w:val="single" w:color="000000" w:sz="6" w:space="0"/>
            </w:tcBorders>
            <w:vAlign w:val="top"/>
          </w:tcPr>
          <w:p w14:paraId="73D751F1">
            <w:pPr>
              <w:spacing w:before="170"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46.2</w:t>
            </w:r>
          </w:p>
        </w:tc>
        <w:tc>
          <w:tcPr>
            <w:tcW w:w="554" w:type="dxa"/>
            <w:tcBorders>
              <w:bottom w:val="single" w:color="000000" w:sz="6" w:space="0"/>
            </w:tcBorders>
            <w:vAlign w:val="top"/>
          </w:tcPr>
          <w:p w14:paraId="2F691F7D">
            <w:pPr>
              <w:spacing w:before="170" w:line="195" w:lineRule="auto"/>
              <w:ind w:left="15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611" w:type="dxa"/>
            <w:tcBorders>
              <w:bottom w:val="single" w:color="000000" w:sz="6" w:space="0"/>
            </w:tcBorders>
            <w:vAlign w:val="top"/>
          </w:tcPr>
          <w:p w14:paraId="38C5D4D8">
            <w:pPr>
              <w:spacing w:before="166" w:line="199" w:lineRule="auto"/>
              <w:ind w:left="5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63.7/1</w:t>
            </w:r>
          </w:p>
        </w:tc>
        <w:tc>
          <w:tcPr>
            <w:tcW w:w="519" w:type="dxa"/>
            <w:tcBorders>
              <w:bottom w:val="single" w:color="000000" w:sz="6" w:space="0"/>
            </w:tcBorders>
            <w:vAlign w:val="top"/>
          </w:tcPr>
          <w:p w14:paraId="275024F9">
            <w:pPr>
              <w:spacing w:before="170" w:line="195" w:lineRule="auto"/>
              <w:ind w:left="180"/>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778" w:type="dxa"/>
            <w:tcBorders>
              <w:bottom w:val="single" w:color="000000" w:sz="6" w:space="0"/>
            </w:tcBorders>
            <w:vAlign w:val="top"/>
          </w:tcPr>
          <w:p w14:paraId="4226ACFB">
            <w:pPr>
              <w:spacing w:before="170" w:line="195" w:lineRule="auto"/>
              <w:ind w:left="350"/>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258" w:type="dxa"/>
            <w:tcBorders>
              <w:bottom w:val="single" w:color="000000" w:sz="6" w:space="0"/>
            </w:tcBorders>
            <w:vAlign w:val="top"/>
          </w:tcPr>
          <w:p w14:paraId="70E8DEA8">
            <w:pPr>
              <w:pStyle w:val="6"/>
              <w:spacing w:before="134" w:line="229" w:lineRule="auto"/>
              <w:ind w:left="326"/>
            </w:pPr>
            <w:r>
              <w:rPr>
                <w:spacing w:val="6"/>
              </w:rPr>
              <w:t>立面源</w:t>
            </w:r>
          </w:p>
        </w:tc>
        <w:tc>
          <w:tcPr>
            <w:tcW w:w="121" w:type="dxa"/>
            <w:tcBorders>
              <w:top w:val="nil"/>
              <w:bottom w:val="single" w:color="000000" w:sz="6" w:space="0"/>
              <w:right w:val="single" w:color="000000" w:sz="6" w:space="0"/>
            </w:tcBorders>
            <w:vAlign w:val="top"/>
          </w:tcPr>
          <w:p w14:paraId="18A03041">
            <w:pPr>
              <w:rPr>
                <w:rFonts w:ascii="Arial"/>
                <w:sz w:val="21"/>
              </w:rPr>
            </w:pPr>
          </w:p>
        </w:tc>
      </w:tr>
    </w:tbl>
    <w:p w14:paraId="14F208EF">
      <w:pPr>
        <w:rPr>
          <w:rFonts w:ascii="Arial"/>
          <w:sz w:val="21"/>
        </w:rPr>
      </w:pPr>
    </w:p>
    <w:p w14:paraId="4308BD69">
      <w:pPr>
        <w:rPr>
          <w:rFonts w:ascii="Arial" w:hAnsi="Arial" w:eastAsia="Arial" w:cs="Arial"/>
          <w:sz w:val="21"/>
          <w:szCs w:val="21"/>
        </w:rPr>
        <w:sectPr>
          <w:footerReference r:id="rId111" w:type="default"/>
          <w:pgSz w:w="11907" w:h="16840"/>
          <w:pgMar w:top="400" w:right="1178" w:bottom="1240" w:left="1405" w:header="0" w:footer="1077" w:gutter="0"/>
          <w:cols w:space="720" w:num="1"/>
        </w:sectPr>
      </w:pPr>
    </w:p>
    <w:p w14:paraId="7F51F068">
      <w:pPr>
        <w:spacing w:before="13"/>
      </w:pPr>
      <w:r>
        <w:pict>
          <v:shape id="_x0000_s1115" o:spid="_x0000_s1115" style="position:absolute;left:0pt;margin-left:99.6pt;margin-top:749.4pt;height:0.5pt;width:430.85pt;mso-position-horizontal-relative:page;mso-position-vertical-relative:page;z-index:251718656;mso-width-relative:page;mso-height-relative:page;" filled="f" stroked="t" coordsize="8617,10" o:allowincell="f" path="m0,4l8616,4e">
            <v:fill on="f" focussize="0,0"/>
            <v:stroke weight="0.48pt" color="#000000" miterlimit="2" joinstyle="bevel"/>
            <v:imagedata o:title=""/>
            <o:lock v:ext="edit"/>
          </v:shape>
        </w:pict>
      </w:r>
      <w:r>
        <w:pict>
          <v:group id="_x0000_s1116" o:spid="_x0000_s1116" o:spt="203" style="position:absolute;left:0pt;margin-left:105.6pt;margin-top:148.6pt;height:359.1pt;width:418.95pt;mso-position-horizontal-relative:page;mso-position-vertical-relative:page;z-index:251717632;mso-width-relative:page;mso-height-relative:page;" coordsize="8379,7182" o:allowincell="f">
            <o:lock v:ext="edit"/>
            <v:shape id="_x0000_s1117" o:spid="_x0000_s1117" o:spt="75" type="#_x0000_t75" style="position:absolute;left:0;top:1683;height:5499;width:8379;" filled="f" stroked="f" coordsize="21600,21600">
              <v:path/>
              <v:fill on="f" focussize="0,0"/>
              <v:stroke on="f"/>
              <v:imagedata r:id="rId272" o:title=""/>
              <o:lock v:ext="edit" aspectratio="t"/>
            </v:shape>
            <v:shape id="_x0000_s1118" o:spid="_x0000_s1118" o:spt="202" type="#_x0000_t202" style="position:absolute;left:1701;top:-20;height:1606;width:141;" filled="f" stroked="f" coordsize="21600,21600">
              <v:path/>
              <v:fill on="f" focussize="0,0"/>
              <v:stroke on="f"/>
              <v:imagedata o:title=""/>
              <o:lock v:ext="edit" aspectratio="f"/>
              <v:textbox inset="0mm,0mm,0mm,0mm">
                <w:txbxContent>
                  <w:p w14:paraId="0A7C8AA2">
                    <w:pPr>
                      <w:spacing w:before="19" w:line="195"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p w14:paraId="76DFC60E">
                    <w:pPr>
                      <w:spacing w:before="273" w:line="195" w:lineRule="auto"/>
                      <w:ind w:left="21"/>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p w14:paraId="227E1C99">
                    <w:pPr>
                      <w:spacing w:before="273" w:line="195" w:lineRule="auto"/>
                      <w:ind w:left="25"/>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p w14:paraId="7B9B056E">
                    <w:pPr>
                      <w:spacing w:before="272" w:line="195" w:lineRule="auto"/>
                      <w:ind w:left="2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xbxContent>
              </v:textbox>
            </v:shape>
          </v:group>
        </w:pict>
      </w:r>
    </w:p>
    <w:p w14:paraId="77B727D8">
      <w:pPr>
        <w:spacing w:before="13"/>
      </w:pPr>
    </w:p>
    <w:p w14:paraId="042BDCAC">
      <w:pPr>
        <w:spacing w:before="13"/>
      </w:pPr>
    </w:p>
    <w:p w14:paraId="76C40C10">
      <w:pPr>
        <w:spacing w:before="12"/>
      </w:pPr>
    </w:p>
    <w:tbl>
      <w:tblPr>
        <w:tblStyle w:val="5"/>
        <w:tblW w:w="9308"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8"/>
        <w:gridCol w:w="113"/>
        <w:gridCol w:w="484"/>
        <w:gridCol w:w="139"/>
        <w:gridCol w:w="1438"/>
        <w:gridCol w:w="265"/>
        <w:gridCol w:w="735"/>
        <w:gridCol w:w="815"/>
        <w:gridCol w:w="371"/>
        <w:gridCol w:w="183"/>
        <w:gridCol w:w="775"/>
        <w:gridCol w:w="837"/>
        <w:gridCol w:w="121"/>
        <w:gridCol w:w="398"/>
        <w:gridCol w:w="559"/>
        <w:gridCol w:w="218"/>
        <w:gridCol w:w="518"/>
        <w:gridCol w:w="720"/>
        <w:gridCol w:w="20"/>
        <w:gridCol w:w="121"/>
      </w:tblGrid>
      <w:tr w14:paraId="02FA58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78" w:type="dxa"/>
            <w:vMerge w:val="restart"/>
            <w:tcBorders>
              <w:top w:val="single" w:color="000000" w:sz="6" w:space="0"/>
              <w:left w:val="single" w:color="000000" w:sz="6" w:space="0"/>
              <w:bottom w:val="nil"/>
            </w:tcBorders>
            <w:vAlign w:val="top"/>
          </w:tcPr>
          <w:p w14:paraId="6CB92BD5">
            <w:pPr>
              <w:rPr>
                <w:rFonts w:ascii="Arial"/>
                <w:sz w:val="21"/>
              </w:rPr>
            </w:pPr>
          </w:p>
        </w:tc>
        <w:tc>
          <w:tcPr>
            <w:tcW w:w="113" w:type="dxa"/>
            <w:tcBorders>
              <w:top w:val="single" w:color="000000" w:sz="6" w:space="0"/>
              <w:bottom w:val="nil"/>
            </w:tcBorders>
            <w:vAlign w:val="top"/>
          </w:tcPr>
          <w:p w14:paraId="05DF201E">
            <w:pPr>
              <w:rPr>
                <w:rFonts w:ascii="Arial"/>
                <w:sz w:val="21"/>
              </w:rPr>
            </w:pPr>
          </w:p>
        </w:tc>
        <w:tc>
          <w:tcPr>
            <w:tcW w:w="623" w:type="dxa"/>
            <w:gridSpan w:val="2"/>
            <w:tcBorders>
              <w:top w:val="single" w:color="000000" w:sz="6" w:space="0"/>
            </w:tcBorders>
            <w:vAlign w:val="top"/>
          </w:tcPr>
          <w:p w14:paraId="02850419">
            <w:pPr>
              <w:spacing w:before="160" w:line="195" w:lineRule="auto"/>
              <w:ind w:left="262"/>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703" w:type="dxa"/>
            <w:gridSpan w:val="2"/>
            <w:tcBorders>
              <w:top w:val="single" w:color="000000" w:sz="6" w:space="0"/>
            </w:tcBorders>
            <w:vAlign w:val="top"/>
          </w:tcPr>
          <w:p w14:paraId="5FADA51E">
            <w:pPr>
              <w:pStyle w:val="6"/>
              <w:spacing w:before="124" w:line="229" w:lineRule="auto"/>
              <w:ind w:left="123"/>
              <w:rPr>
                <w:rFonts w:ascii="Times New Roman" w:hAnsi="Times New Roman" w:eastAsia="Times New Roman" w:cs="Times New Roman"/>
              </w:rPr>
            </w:pPr>
            <w:r>
              <w:rPr>
                <w:rFonts w:ascii="Times New Roman" w:hAnsi="Times New Roman" w:eastAsia="Times New Roman" w:cs="Times New Roman"/>
                <w:spacing w:val="3"/>
              </w:rPr>
              <w:t>1#</w:t>
            </w:r>
            <w:r>
              <w:rPr>
                <w:spacing w:val="3"/>
              </w:rPr>
              <w:t>主变立面</w:t>
            </w:r>
            <w:r>
              <w:rPr>
                <w:spacing w:val="-41"/>
              </w:rPr>
              <w:t xml:space="preserve"> </w:t>
            </w:r>
            <w:r>
              <w:rPr>
                <w:rFonts w:ascii="Times New Roman" w:hAnsi="Times New Roman" w:eastAsia="Times New Roman" w:cs="Times New Roman"/>
                <w:spacing w:val="3"/>
              </w:rPr>
              <w:t>2</w:t>
            </w:r>
          </w:p>
        </w:tc>
        <w:tc>
          <w:tcPr>
            <w:tcW w:w="735" w:type="dxa"/>
            <w:tcBorders>
              <w:top w:val="single" w:color="000000" w:sz="6" w:space="0"/>
            </w:tcBorders>
            <w:vAlign w:val="top"/>
          </w:tcPr>
          <w:p w14:paraId="531AF51F">
            <w:pPr>
              <w:spacing w:before="160" w:line="195"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70.4</w:t>
            </w:r>
          </w:p>
        </w:tc>
        <w:tc>
          <w:tcPr>
            <w:tcW w:w="815" w:type="dxa"/>
            <w:tcBorders>
              <w:top w:val="single" w:color="000000" w:sz="6" w:space="0"/>
            </w:tcBorders>
            <w:vAlign w:val="top"/>
          </w:tcPr>
          <w:p w14:paraId="4B69CFAC">
            <w:pPr>
              <w:spacing w:before="160"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46.</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2"/>
                <w:sz w:val="20"/>
                <w:szCs w:val="20"/>
              </w:rPr>
              <w:t>1</w:t>
            </w:r>
          </w:p>
        </w:tc>
        <w:tc>
          <w:tcPr>
            <w:tcW w:w="554" w:type="dxa"/>
            <w:gridSpan w:val="2"/>
            <w:tcBorders>
              <w:top w:val="single" w:color="000000" w:sz="6" w:space="0"/>
            </w:tcBorders>
            <w:vAlign w:val="top"/>
          </w:tcPr>
          <w:p w14:paraId="32ECA02C">
            <w:pPr>
              <w:spacing w:before="160" w:line="195" w:lineRule="auto"/>
              <w:ind w:left="15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612" w:type="dxa"/>
            <w:gridSpan w:val="2"/>
            <w:tcBorders>
              <w:top w:val="single" w:color="000000" w:sz="6" w:space="0"/>
            </w:tcBorders>
            <w:vAlign w:val="top"/>
          </w:tcPr>
          <w:p w14:paraId="7FCB2811">
            <w:pPr>
              <w:spacing w:before="156" w:line="199" w:lineRule="auto"/>
              <w:ind w:left="5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63.7/1</w:t>
            </w:r>
          </w:p>
        </w:tc>
        <w:tc>
          <w:tcPr>
            <w:tcW w:w="519" w:type="dxa"/>
            <w:gridSpan w:val="2"/>
            <w:tcBorders>
              <w:top w:val="single" w:color="000000" w:sz="6" w:space="0"/>
            </w:tcBorders>
            <w:vAlign w:val="top"/>
          </w:tcPr>
          <w:p w14:paraId="22CC25C8">
            <w:pPr>
              <w:spacing w:before="160" w:line="195"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777" w:type="dxa"/>
            <w:gridSpan w:val="2"/>
            <w:tcBorders>
              <w:top w:val="single" w:color="000000" w:sz="6" w:space="0"/>
            </w:tcBorders>
            <w:vAlign w:val="top"/>
          </w:tcPr>
          <w:p w14:paraId="6E9406C3">
            <w:pPr>
              <w:spacing w:before="160" w:line="195" w:lineRule="auto"/>
              <w:ind w:left="349"/>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258" w:type="dxa"/>
            <w:gridSpan w:val="3"/>
            <w:tcBorders>
              <w:top w:val="single" w:color="000000" w:sz="6" w:space="0"/>
            </w:tcBorders>
            <w:vAlign w:val="top"/>
          </w:tcPr>
          <w:p w14:paraId="50EBDC30">
            <w:pPr>
              <w:pStyle w:val="6"/>
              <w:spacing w:before="124" w:line="229" w:lineRule="auto"/>
              <w:ind w:left="326"/>
            </w:pPr>
            <w:r>
              <w:rPr>
                <w:spacing w:val="6"/>
              </w:rPr>
              <w:t>立面源</w:t>
            </w:r>
          </w:p>
        </w:tc>
        <w:tc>
          <w:tcPr>
            <w:tcW w:w="121" w:type="dxa"/>
            <w:tcBorders>
              <w:top w:val="single" w:color="000000" w:sz="6" w:space="0"/>
              <w:bottom w:val="nil"/>
              <w:right w:val="single" w:color="000000" w:sz="6" w:space="0"/>
            </w:tcBorders>
            <w:vAlign w:val="top"/>
          </w:tcPr>
          <w:p w14:paraId="35C50036">
            <w:pPr>
              <w:rPr>
                <w:rFonts w:ascii="Arial"/>
                <w:sz w:val="21"/>
              </w:rPr>
            </w:pPr>
          </w:p>
        </w:tc>
      </w:tr>
      <w:tr w14:paraId="487EC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78" w:type="dxa"/>
            <w:vMerge w:val="continue"/>
            <w:tcBorders>
              <w:top w:val="nil"/>
              <w:left w:val="single" w:color="000000" w:sz="6" w:space="0"/>
              <w:bottom w:val="nil"/>
            </w:tcBorders>
            <w:vAlign w:val="top"/>
          </w:tcPr>
          <w:p w14:paraId="3AA2A74B">
            <w:pPr>
              <w:rPr>
                <w:rFonts w:ascii="Arial"/>
                <w:sz w:val="21"/>
              </w:rPr>
            </w:pPr>
          </w:p>
        </w:tc>
        <w:tc>
          <w:tcPr>
            <w:tcW w:w="113" w:type="dxa"/>
            <w:tcBorders>
              <w:top w:val="nil"/>
              <w:bottom w:val="nil"/>
            </w:tcBorders>
            <w:vAlign w:val="top"/>
          </w:tcPr>
          <w:p w14:paraId="29E1C41E">
            <w:pPr>
              <w:rPr>
                <w:rFonts w:ascii="Arial"/>
                <w:sz w:val="21"/>
              </w:rPr>
            </w:pPr>
          </w:p>
        </w:tc>
        <w:tc>
          <w:tcPr>
            <w:tcW w:w="623" w:type="dxa"/>
            <w:gridSpan w:val="2"/>
            <w:vAlign w:val="top"/>
          </w:tcPr>
          <w:p w14:paraId="24E6E210">
            <w:pPr>
              <w:spacing w:before="157" w:line="195" w:lineRule="auto"/>
              <w:ind w:left="257"/>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703" w:type="dxa"/>
            <w:gridSpan w:val="2"/>
            <w:vAlign w:val="top"/>
          </w:tcPr>
          <w:p w14:paraId="32EE11A8">
            <w:pPr>
              <w:pStyle w:val="6"/>
              <w:spacing w:before="121" w:line="229" w:lineRule="auto"/>
              <w:ind w:left="123"/>
              <w:rPr>
                <w:rFonts w:ascii="Times New Roman" w:hAnsi="Times New Roman" w:eastAsia="Times New Roman" w:cs="Times New Roman"/>
              </w:rPr>
            </w:pPr>
            <w:r>
              <w:rPr>
                <w:rFonts w:ascii="Times New Roman" w:hAnsi="Times New Roman" w:eastAsia="Times New Roman" w:cs="Times New Roman"/>
                <w:spacing w:val="3"/>
              </w:rPr>
              <w:t>1#</w:t>
            </w:r>
            <w:r>
              <w:rPr>
                <w:spacing w:val="3"/>
              </w:rPr>
              <w:t>主变立面</w:t>
            </w:r>
            <w:r>
              <w:rPr>
                <w:spacing w:val="-37"/>
              </w:rPr>
              <w:t xml:space="preserve"> </w:t>
            </w:r>
            <w:r>
              <w:rPr>
                <w:rFonts w:ascii="Times New Roman" w:hAnsi="Times New Roman" w:eastAsia="Times New Roman" w:cs="Times New Roman"/>
                <w:spacing w:val="3"/>
              </w:rPr>
              <w:t>3</w:t>
            </w:r>
          </w:p>
        </w:tc>
        <w:tc>
          <w:tcPr>
            <w:tcW w:w="735" w:type="dxa"/>
            <w:vAlign w:val="top"/>
          </w:tcPr>
          <w:p w14:paraId="1DCBD243">
            <w:pPr>
              <w:spacing w:before="157" w:line="195" w:lineRule="auto"/>
              <w:ind w:left="1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70.4</w:t>
            </w:r>
          </w:p>
        </w:tc>
        <w:tc>
          <w:tcPr>
            <w:tcW w:w="815" w:type="dxa"/>
            <w:vAlign w:val="top"/>
          </w:tcPr>
          <w:p w14:paraId="7ED75BFB">
            <w:pPr>
              <w:spacing w:before="157" w:line="195" w:lineRule="auto"/>
              <w:ind w:left="22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38.6</w:t>
            </w:r>
          </w:p>
        </w:tc>
        <w:tc>
          <w:tcPr>
            <w:tcW w:w="554" w:type="dxa"/>
            <w:gridSpan w:val="2"/>
            <w:vAlign w:val="top"/>
          </w:tcPr>
          <w:p w14:paraId="46F85B7E">
            <w:pPr>
              <w:spacing w:before="157" w:line="195" w:lineRule="auto"/>
              <w:ind w:left="15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612" w:type="dxa"/>
            <w:gridSpan w:val="2"/>
            <w:vAlign w:val="top"/>
          </w:tcPr>
          <w:p w14:paraId="14FF667A">
            <w:pPr>
              <w:spacing w:before="153" w:line="199" w:lineRule="auto"/>
              <w:ind w:left="5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63.7/1</w:t>
            </w:r>
          </w:p>
        </w:tc>
        <w:tc>
          <w:tcPr>
            <w:tcW w:w="519" w:type="dxa"/>
            <w:gridSpan w:val="2"/>
            <w:vAlign w:val="top"/>
          </w:tcPr>
          <w:p w14:paraId="23AD89CB">
            <w:pPr>
              <w:spacing w:before="157" w:line="195"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777" w:type="dxa"/>
            <w:gridSpan w:val="2"/>
            <w:vAlign w:val="top"/>
          </w:tcPr>
          <w:p w14:paraId="6F08EA11">
            <w:pPr>
              <w:spacing w:before="157" w:line="195" w:lineRule="auto"/>
              <w:ind w:left="349"/>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258" w:type="dxa"/>
            <w:gridSpan w:val="3"/>
            <w:vAlign w:val="top"/>
          </w:tcPr>
          <w:p w14:paraId="7FAB5A01">
            <w:pPr>
              <w:pStyle w:val="6"/>
              <w:spacing w:before="121" w:line="229" w:lineRule="auto"/>
              <w:ind w:left="326"/>
            </w:pPr>
            <w:r>
              <w:rPr>
                <w:spacing w:val="6"/>
              </w:rPr>
              <w:t>立面源</w:t>
            </w:r>
          </w:p>
        </w:tc>
        <w:tc>
          <w:tcPr>
            <w:tcW w:w="121" w:type="dxa"/>
            <w:tcBorders>
              <w:top w:val="nil"/>
              <w:bottom w:val="nil"/>
              <w:right w:val="single" w:color="000000" w:sz="6" w:space="0"/>
            </w:tcBorders>
            <w:vAlign w:val="top"/>
          </w:tcPr>
          <w:p w14:paraId="35D2C134">
            <w:pPr>
              <w:rPr>
                <w:rFonts w:ascii="Arial"/>
                <w:sz w:val="21"/>
              </w:rPr>
            </w:pPr>
          </w:p>
        </w:tc>
      </w:tr>
      <w:tr w14:paraId="56F9F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78" w:type="dxa"/>
            <w:vMerge w:val="continue"/>
            <w:tcBorders>
              <w:top w:val="nil"/>
              <w:left w:val="single" w:color="000000" w:sz="6" w:space="0"/>
              <w:bottom w:val="nil"/>
            </w:tcBorders>
            <w:vAlign w:val="top"/>
          </w:tcPr>
          <w:p w14:paraId="0311A2A6">
            <w:pPr>
              <w:rPr>
                <w:rFonts w:ascii="Arial"/>
                <w:sz w:val="21"/>
              </w:rPr>
            </w:pPr>
          </w:p>
        </w:tc>
        <w:tc>
          <w:tcPr>
            <w:tcW w:w="113" w:type="dxa"/>
            <w:tcBorders>
              <w:top w:val="nil"/>
              <w:bottom w:val="nil"/>
            </w:tcBorders>
            <w:vAlign w:val="top"/>
          </w:tcPr>
          <w:p w14:paraId="4EA0F811">
            <w:pPr>
              <w:rPr>
                <w:rFonts w:ascii="Arial"/>
                <w:sz w:val="21"/>
              </w:rPr>
            </w:pPr>
          </w:p>
        </w:tc>
        <w:tc>
          <w:tcPr>
            <w:tcW w:w="623" w:type="dxa"/>
            <w:gridSpan w:val="2"/>
            <w:vAlign w:val="top"/>
          </w:tcPr>
          <w:p w14:paraId="078EBEF6">
            <w:pPr>
              <w:spacing w:before="159" w:line="195" w:lineRule="auto"/>
              <w:ind w:left="22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703" w:type="dxa"/>
            <w:gridSpan w:val="2"/>
            <w:vAlign w:val="top"/>
          </w:tcPr>
          <w:p w14:paraId="08A424B8">
            <w:pPr>
              <w:pStyle w:val="6"/>
              <w:spacing w:before="120" w:line="229" w:lineRule="auto"/>
              <w:ind w:left="123"/>
              <w:rPr>
                <w:rFonts w:ascii="Times New Roman" w:hAnsi="Times New Roman" w:eastAsia="Times New Roman" w:cs="Times New Roman"/>
              </w:rPr>
            </w:pPr>
            <w:r>
              <w:rPr>
                <w:rFonts w:ascii="Times New Roman" w:hAnsi="Times New Roman" w:eastAsia="Times New Roman" w:cs="Times New Roman"/>
                <w:spacing w:val="3"/>
              </w:rPr>
              <w:t>1#</w:t>
            </w:r>
            <w:r>
              <w:rPr>
                <w:spacing w:val="3"/>
              </w:rPr>
              <w:t>主变立面</w:t>
            </w:r>
            <w:r>
              <w:rPr>
                <w:spacing w:val="-41"/>
              </w:rPr>
              <w:t xml:space="preserve"> </w:t>
            </w:r>
            <w:r>
              <w:rPr>
                <w:rFonts w:ascii="Times New Roman" w:hAnsi="Times New Roman" w:eastAsia="Times New Roman" w:cs="Times New Roman"/>
                <w:spacing w:val="3"/>
              </w:rPr>
              <w:t>4</w:t>
            </w:r>
          </w:p>
        </w:tc>
        <w:tc>
          <w:tcPr>
            <w:tcW w:w="735" w:type="dxa"/>
            <w:vAlign w:val="top"/>
          </w:tcPr>
          <w:p w14:paraId="39F728DD">
            <w:pPr>
              <w:spacing w:before="159" w:line="195" w:lineRule="auto"/>
              <w:ind w:left="18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60.1</w:t>
            </w:r>
          </w:p>
        </w:tc>
        <w:tc>
          <w:tcPr>
            <w:tcW w:w="815" w:type="dxa"/>
            <w:vAlign w:val="top"/>
          </w:tcPr>
          <w:p w14:paraId="23C0E139">
            <w:pPr>
              <w:spacing w:before="159" w:line="195" w:lineRule="auto"/>
              <w:ind w:left="22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38.8</w:t>
            </w:r>
          </w:p>
        </w:tc>
        <w:tc>
          <w:tcPr>
            <w:tcW w:w="554" w:type="dxa"/>
            <w:gridSpan w:val="2"/>
            <w:vAlign w:val="top"/>
          </w:tcPr>
          <w:p w14:paraId="6571D167">
            <w:pPr>
              <w:spacing w:before="159" w:line="195" w:lineRule="auto"/>
              <w:ind w:left="15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612" w:type="dxa"/>
            <w:gridSpan w:val="2"/>
            <w:vAlign w:val="top"/>
          </w:tcPr>
          <w:p w14:paraId="6D968E81">
            <w:pPr>
              <w:spacing w:before="155" w:line="199" w:lineRule="auto"/>
              <w:ind w:left="5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63.7/1</w:t>
            </w:r>
          </w:p>
        </w:tc>
        <w:tc>
          <w:tcPr>
            <w:tcW w:w="519" w:type="dxa"/>
            <w:gridSpan w:val="2"/>
            <w:vAlign w:val="top"/>
          </w:tcPr>
          <w:p w14:paraId="36E2A1FF">
            <w:pPr>
              <w:spacing w:before="159" w:line="195"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777" w:type="dxa"/>
            <w:gridSpan w:val="2"/>
            <w:vAlign w:val="top"/>
          </w:tcPr>
          <w:p w14:paraId="64F7E6A0">
            <w:pPr>
              <w:spacing w:before="159" w:line="195" w:lineRule="auto"/>
              <w:ind w:left="349"/>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258" w:type="dxa"/>
            <w:gridSpan w:val="3"/>
            <w:vAlign w:val="top"/>
          </w:tcPr>
          <w:p w14:paraId="71FA5B09">
            <w:pPr>
              <w:pStyle w:val="6"/>
              <w:spacing w:before="120" w:line="229" w:lineRule="auto"/>
              <w:ind w:left="326"/>
            </w:pPr>
            <w:r>
              <w:rPr>
                <w:spacing w:val="6"/>
              </w:rPr>
              <w:t>立面源</w:t>
            </w:r>
          </w:p>
        </w:tc>
        <w:tc>
          <w:tcPr>
            <w:tcW w:w="121" w:type="dxa"/>
            <w:tcBorders>
              <w:top w:val="nil"/>
              <w:bottom w:val="nil"/>
              <w:right w:val="single" w:color="000000" w:sz="6" w:space="0"/>
            </w:tcBorders>
            <w:vAlign w:val="top"/>
          </w:tcPr>
          <w:p w14:paraId="5EBF58E9">
            <w:pPr>
              <w:rPr>
                <w:rFonts w:ascii="Arial"/>
                <w:sz w:val="21"/>
              </w:rPr>
            </w:pPr>
          </w:p>
        </w:tc>
      </w:tr>
      <w:tr w14:paraId="65FB25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78" w:type="dxa"/>
            <w:vMerge w:val="continue"/>
            <w:tcBorders>
              <w:top w:val="nil"/>
              <w:left w:val="single" w:color="000000" w:sz="6" w:space="0"/>
              <w:bottom w:val="nil"/>
            </w:tcBorders>
            <w:vAlign w:val="top"/>
          </w:tcPr>
          <w:p w14:paraId="07D10AAC">
            <w:pPr>
              <w:rPr>
                <w:rFonts w:ascii="Arial"/>
                <w:sz w:val="21"/>
              </w:rPr>
            </w:pPr>
          </w:p>
        </w:tc>
        <w:tc>
          <w:tcPr>
            <w:tcW w:w="113" w:type="dxa"/>
            <w:tcBorders>
              <w:top w:val="nil"/>
              <w:bottom w:val="nil"/>
            </w:tcBorders>
            <w:vAlign w:val="top"/>
          </w:tcPr>
          <w:p w14:paraId="711E21A9">
            <w:pPr>
              <w:rPr>
                <w:rFonts w:ascii="Arial"/>
                <w:sz w:val="21"/>
              </w:rPr>
            </w:pPr>
          </w:p>
        </w:tc>
        <w:tc>
          <w:tcPr>
            <w:tcW w:w="623" w:type="dxa"/>
            <w:gridSpan w:val="2"/>
            <w:vAlign w:val="top"/>
          </w:tcPr>
          <w:p w14:paraId="25AF323E">
            <w:pPr>
              <w:spacing w:before="158" w:line="195" w:lineRule="auto"/>
              <w:ind w:left="22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11</w:t>
            </w:r>
          </w:p>
        </w:tc>
        <w:tc>
          <w:tcPr>
            <w:tcW w:w="1703" w:type="dxa"/>
            <w:gridSpan w:val="2"/>
            <w:vAlign w:val="top"/>
          </w:tcPr>
          <w:p w14:paraId="422C95F1">
            <w:pPr>
              <w:pStyle w:val="6"/>
              <w:spacing w:before="122" w:line="229" w:lineRule="auto"/>
              <w:ind w:left="103"/>
            </w:pPr>
            <w:r>
              <w:rPr>
                <w:rFonts w:ascii="Times New Roman" w:hAnsi="Times New Roman" w:eastAsia="Times New Roman" w:cs="Times New Roman"/>
                <w:spacing w:val="7"/>
              </w:rPr>
              <w:t>2#</w:t>
            </w:r>
            <w:r>
              <w:rPr>
                <w:spacing w:val="7"/>
              </w:rPr>
              <w:t>主变立面</w:t>
            </w:r>
          </w:p>
        </w:tc>
        <w:tc>
          <w:tcPr>
            <w:tcW w:w="735" w:type="dxa"/>
            <w:vAlign w:val="top"/>
          </w:tcPr>
          <w:p w14:paraId="55DEA70A">
            <w:pPr>
              <w:spacing w:before="158" w:line="195" w:lineRule="auto"/>
              <w:ind w:left="18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45.9</w:t>
            </w:r>
          </w:p>
        </w:tc>
        <w:tc>
          <w:tcPr>
            <w:tcW w:w="815" w:type="dxa"/>
            <w:vAlign w:val="top"/>
          </w:tcPr>
          <w:p w14:paraId="1BA436DC">
            <w:pPr>
              <w:spacing w:before="158"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46.2</w:t>
            </w:r>
          </w:p>
        </w:tc>
        <w:tc>
          <w:tcPr>
            <w:tcW w:w="554" w:type="dxa"/>
            <w:gridSpan w:val="2"/>
            <w:vAlign w:val="top"/>
          </w:tcPr>
          <w:p w14:paraId="44AFC6A7">
            <w:pPr>
              <w:spacing w:before="158" w:line="195" w:lineRule="auto"/>
              <w:ind w:left="15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612" w:type="dxa"/>
            <w:gridSpan w:val="2"/>
            <w:vAlign w:val="top"/>
          </w:tcPr>
          <w:p w14:paraId="70030BE1">
            <w:pPr>
              <w:spacing w:before="154" w:line="199" w:lineRule="auto"/>
              <w:ind w:left="5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63.7/1</w:t>
            </w:r>
          </w:p>
        </w:tc>
        <w:tc>
          <w:tcPr>
            <w:tcW w:w="519" w:type="dxa"/>
            <w:gridSpan w:val="2"/>
            <w:vAlign w:val="top"/>
          </w:tcPr>
          <w:p w14:paraId="169B58B6">
            <w:pPr>
              <w:spacing w:before="158" w:line="195"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777" w:type="dxa"/>
            <w:gridSpan w:val="2"/>
            <w:vAlign w:val="top"/>
          </w:tcPr>
          <w:p w14:paraId="6CF8BF87">
            <w:pPr>
              <w:spacing w:before="158" w:line="195" w:lineRule="auto"/>
              <w:ind w:left="349"/>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258" w:type="dxa"/>
            <w:gridSpan w:val="3"/>
            <w:vAlign w:val="top"/>
          </w:tcPr>
          <w:p w14:paraId="74D1C91A">
            <w:pPr>
              <w:pStyle w:val="6"/>
              <w:spacing w:before="122" w:line="229" w:lineRule="auto"/>
              <w:ind w:left="326"/>
            </w:pPr>
            <w:r>
              <w:rPr>
                <w:spacing w:val="6"/>
              </w:rPr>
              <w:t>立面源</w:t>
            </w:r>
          </w:p>
        </w:tc>
        <w:tc>
          <w:tcPr>
            <w:tcW w:w="121" w:type="dxa"/>
            <w:tcBorders>
              <w:top w:val="nil"/>
              <w:bottom w:val="nil"/>
              <w:right w:val="single" w:color="000000" w:sz="6" w:space="0"/>
            </w:tcBorders>
            <w:vAlign w:val="top"/>
          </w:tcPr>
          <w:p w14:paraId="21860A53">
            <w:pPr>
              <w:rPr>
                <w:rFonts w:ascii="Arial"/>
                <w:sz w:val="21"/>
              </w:rPr>
            </w:pPr>
          </w:p>
        </w:tc>
      </w:tr>
      <w:tr w14:paraId="50A1F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478" w:type="dxa"/>
            <w:vMerge w:val="continue"/>
            <w:tcBorders>
              <w:top w:val="nil"/>
              <w:left w:val="single" w:color="000000" w:sz="6" w:space="0"/>
              <w:bottom w:val="nil"/>
            </w:tcBorders>
            <w:vAlign w:val="top"/>
          </w:tcPr>
          <w:p w14:paraId="309AB403">
            <w:pPr>
              <w:rPr>
                <w:rFonts w:ascii="Arial"/>
                <w:sz w:val="21"/>
              </w:rPr>
            </w:pPr>
          </w:p>
        </w:tc>
        <w:tc>
          <w:tcPr>
            <w:tcW w:w="113" w:type="dxa"/>
            <w:tcBorders>
              <w:top w:val="nil"/>
              <w:bottom w:val="nil"/>
            </w:tcBorders>
            <w:vAlign w:val="top"/>
          </w:tcPr>
          <w:p w14:paraId="44EA2051">
            <w:pPr>
              <w:rPr>
                <w:rFonts w:ascii="Arial"/>
                <w:sz w:val="21"/>
              </w:rPr>
            </w:pPr>
          </w:p>
        </w:tc>
        <w:tc>
          <w:tcPr>
            <w:tcW w:w="623" w:type="dxa"/>
            <w:gridSpan w:val="2"/>
            <w:vAlign w:val="top"/>
          </w:tcPr>
          <w:p w14:paraId="657D6248">
            <w:pPr>
              <w:spacing w:before="160" w:line="195" w:lineRule="auto"/>
              <w:ind w:left="22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1703" w:type="dxa"/>
            <w:gridSpan w:val="2"/>
            <w:vAlign w:val="top"/>
          </w:tcPr>
          <w:p w14:paraId="18097D40">
            <w:pPr>
              <w:pStyle w:val="6"/>
              <w:spacing w:before="124" w:line="229" w:lineRule="auto"/>
              <w:ind w:left="103"/>
            </w:pPr>
            <w:r>
              <w:rPr>
                <w:rFonts w:ascii="Times New Roman" w:hAnsi="Times New Roman" w:eastAsia="Times New Roman" w:cs="Times New Roman"/>
                <w:spacing w:val="7"/>
              </w:rPr>
              <w:t>2#</w:t>
            </w:r>
            <w:r>
              <w:rPr>
                <w:spacing w:val="7"/>
              </w:rPr>
              <w:t>主变立面</w:t>
            </w:r>
          </w:p>
        </w:tc>
        <w:tc>
          <w:tcPr>
            <w:tcW w:w="735" w:type="dxa"/>
            <w:vAlign w:val="top"/>
          </w:tcPr>
          <w:p w14:paraId="3208A0C4">
            <w:pPr>
              <w:spacing w:before="160"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56.1</w:t>
            </w:r>
          </w:p>
        </w:tc>
        <w:tc>
          <w:tcPr>
            <w:tcW w:w="815" w:type="dxa"/>
            <w:vAlign w:val="top"/>
          </w:tcPr>
          <w:p w14:paraId="30259523">
            <w:pPr>
              <w:spacing w:before="160" w:line="195" w:lineRule="auto"/>
              <w:ind w:left="2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46.2</w:t>
            </w:r>
          </w:p>
        </w:tc>
        <w:tc>
          <w:tcPr>
            <w:tcW w:w="554" w:type="dxa"/>
            <w:gridSpan w:val="2"/>
            <w:vAlign w:val="top"/>
          </w:tcPr>
          <w:p w14:paraId="150C683F">
            <w:pPr>
              <w:spacing w:before="160" w:line="195" w:lineRule="auto"/>
              <w:ind w:left="15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612" w:type="dxa"/>
            <w:gridSpan w:val="2"/>
            <w:vAlign w:val="top"/>
          </w:tcPr>
          <w:p w14:paraId="6861BBCF">
            <w:pPr>
              <w:spacing w:before="156" w:line="199" w:lineRule="auto"/>
              <w:ind w:left="5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63.7/1</w:t>
            </w:r>
          </w:p>
        </w:tc>
        <w:tc>
          <w:tcPr>
            <w:tcW w:w="519" w:type="dxa"/>
            <w:gridSpan w:val="2"/>
            <w:vAlign w:val="top"/>
          </w:tcPr>
          <w:p w14:paraId="1BDFB304">
            <w:pPr>
              <w:spacing w:before="160" w:line="195"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777" w:type="dxa"/>
            <w:gridSpan w:val="2"/>
            <w:vAlign w:val="top"/>
          </w:tcPr>
          <w:p w14:paraId="775387B0">
            <w:pPr>
              <w:spacing w:before="160" w:line="195" w:lineRule="auto"/>
              <w:ind w:left="349"/>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258" w:type="dxa"/>
            <w:gridSpan w:val="3"/>
            <w:vAlign w:val="top"/>
          </w:tcPr>
          <w:p w14:paraId="7605EA51">
            <w:pPr>
              <w:pStyle w:val="6"/>
              <w:spacing w:before="124" w:line="229" w:lineRule="auto"/>
              <w:ind w:left="326"/>
            </w:pPr>
            <w:r>
              <w:rPr>
                <w:spacing w:val="6"/>
              </w:rPr>
              <w:t>立面源</w:t>
            </w:r>
          </w:p>
        </w:tc>
        <w:tc>
          <w:tcPr>
            <w:tcW w:w="121" w:type="dxa"/>
            <w:tcBorders>
              <w:top w:val="nil"/>
              <w:bottom w:val="nil"/>
              <w:right w:val="single" w:color="000000" w:sz="6" w:space="0"/>
            </w:tcBorders>
            <w:vAlign w:val="top"/>
          </w:tcPr>
          <w:p w14:paraId="3EFA1012">
            <w:pPr>
              <w:rPr>
                <w:rFonts w:ascii="Arial"/>
                <w:sz w:val="21"/>
              </w:rPr>
            </w:pPr>
          </w:p>
        </w:tc>
      </w:tr>
      <w:tr w14:paraId="640A6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478" w:type="dxa"/>
            <w:vMerge w:val="continue"/>
            <w:tcBorders>
              <w:top w:val="nil"/>
              <w:left w:val="single" w:color="000000" w:sz="6" w:space="0"/>
              <w:bottom w:val="nil"/>
            </w:tcBorders>
            <w:vAlign w:val="top"/>
          </w:tcPr>
          <w:p w14:paraId="14B497DE">
            <w:pPr>
              <w:rPr>
                <w:rFonts w:ascii="Arial"/>
                <w:sz w:val="21"/>
              </w:rPr>
            </w:pPr>
          </w:p>
        </w:tc>
        <w:tc>
          <w:tcPr>
            <w:tcW w:w="113" w:type="dxa"/>
            <w:tcBorders>
              <w:top w:val="nil"/>
              <w:bottom w:val="nil"/>
            </w:tcBorders>
            <w:vAlign w:val="top"/>
          </w:tcPr>
          <w:p w14:paraId="48C2C54B">
            <w:pPr>
              <w:rPr>
                <w:rFonts w:ascii="Arial"/>
                <w:sz w:val="21"/>
              </w:rPr>
            </w:pPr>
          </w:p>
        </w:tc>
        <w:tc>
          <w:tcPr>
            <w:tcW w:w="623" w:type="dxa"/>
            <w:gridSpan w:val="2"/>
            <w:vAlign w:val="top"/>
          </w:tcPr>
          <w:p w14:paraId="2970FAC1">
            <w:pPr>
              <w:spacing w:before="161" w:line="195" w:lineRule="auto"/>
              <w:ind w:left="22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13</w:t>
            </w:r>
          </w:p>
        </w:tc>
        <w:tc>
          <w:tcPr>
            <w:tcW w:w="1703" w:type="dxa"/>
            <w:gridSpan w:val="2"/>
            <w:vAlign w:val="top"/>
          </w:tcPr>
          <w:p w14:paraId="658B9395">
            <w:pPr>
              <w:pStyle w:val="6"/>
              <w:spacing w:before="122" w:line="229" w:lineRule="auto"/>
              <w:ind w:left="103"/>
            </w:pPr>
            <w:r>
              <w:rPr>
                <w:rFonts w:ascii="Times New Roman" w:hAnsi="Times New Roman" w:eastAsia="Times New Roman" w:cs="Times New Roman"/>
                <w:spacing w:val="7"/>
              </w:rPr>
              <w:t>2#</w:t>
            </w:r>
            <w:r>
              <w:rPr>
                <w:spacing w:val="7"/>
              </w:rPr>
              <w:t>主变立面</w:t>
            </w:r>
          </w:p>
        </w:tc>
        <w:tc>
          <w:tcPr>
            <w:tcW w:w="735" w:type="dxa"/>
            <w:vAlign w:val="top"/>
          </w:tcPr>
          <w:p w14:paraId="00187BC0">
            <w:pPr>
              <w:spacing w:before="161" w:line="195"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56.1</w:t>
            </w:r>
          </w:p>
        </w:tc>
        <w:tc>
          <w:tcPr>
            <w:tcW w:w="815" w:type="dxa"/>
            <w:vAlign w:val="top"/>
          </w:tcPr>
          <w:p w14:paraId="72A18F0A">
            <w:pPr>
              <w:spacing w:before="161" w:line="195" w:lineRule="auto"/>
              <w:ind w:left="22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38.7</w:t>
            </w:r>
          </w:p>
        </w:tc>
        <w:tc>
          <w:tcPr>
            <w:tcW w:w="554" w:type="dxa"/>
            <w:gridSpan w:val="2"/>
            <w:vAlign w:val="top"/>
          </w:tcPr>
          <w:p w14:paraId="7F830EEA">
            <w:pPr>
              <w:spacing w:before="161" w:line="195" w:lineRule="auto"/>
              <w:ind w:left="15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612" w:type="dxa"/>
            <w:gridSpan w:val="2"/>
            <w:vAlign w:val="top"/>
          </w:tcPr>
          <w:p w14:paraId="4DF3625F">
            <w:pPr>
              <w:spacing w:before="157" w:line="199" w:lineRule="auto"/>
              <w:ind w:left="5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63.7/1</w:t>
            </w:r>
          </w:p>
        </w:tc>
        <w:tc>
          <w:tcPr>
            <w:tcW w:w="519" w:type="dxa"/>
            <w:gridSpan w:val="2"/>
            <w:vAlign w:val="top"/>
          </w:tcPr>
          <w:p w14:paraId="5F019B95">
            <w:pPr>
              <w:spacing w:before="161" w:line="195"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777" w:type="dxa"/>
            <w:gridSpan w:val="2"/>
            <w:vAlign w:val="top"/>
          </w:tcPr>
          <w:p w14:paraId="5C280DF9">
            <w:pPr>
              <w:spacing w:before="161" w:line="195" w:lineRule="auto"/>
              <w:ind w:left="349"/>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258" w:type="dxa"/>
            <w:gridSpan w:val="3"/>
            <w:vAlign w:val="top"/>
          </w:tcPr>
          <w:p w14:paraId="71212C3B">
            <w:pPr>
              <w:pStyle w:val="6"/>
              <w:spacing w:before="122" w:line="229" w:lineRule="auto"/>
              <w:ind w:left="326"/>
            </w:pPr>
            <w:r>
              <w:rPr>
                <w:spacing w:val="6"/>
              </w:rPr>
              <w:t>立面源</w:t>
            </w:r>
          </w:p>
        </w:tc>
        <w:tc>
          <w:tcPr>
            <w:tcW w:w="121" w:type="dxa"/>
            <w:tcBorders>
              <w:top w:val="nil"/>
              <w:bottom w:val="nil"/>
              <w:right w:val="single" w:color="000000" w:sz="6" w:space="0"/>
            </w:tcBorders>
            <w:vAlign w:val="top"/>
          </w:tcPr>
          <w:p w14:paraId="70DFDDF1">
            <w:pPr>
              <w:rPr>
                <w:rFonts w:ascii="Arial"/>
                <w:sz w:val="21"/>
              </w:rPr>
            </w:pPr>
          </w:p>
        </w:tc>
      </w:tr>
      <w:tr w14:paraId="7CBE7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478" w:type="dxa"/>
            <w:vMerge w:val="continue"/>
            <w:tcBorders>
              <w:top w:val="nil"/>
              <w:left w:val="single" w:color="000000" w:sz="6" w:space="0"/>
              <w:bottom w:val="nil"/>
            </w:tcBorders>
            <w:vAlign w:val="top"/>
          </w:tcPr>
          <w:p w14:paraId="687FA46E">
            <w:pPr>
              <w:rPr>
                <w:rFonts w:ascii="Arial"/>
                <w:sz w:val="21"/>
              </w:rPr>
            </w:pPr>
          </w:p>
        </w:tc>
        <w:tc>
          <w:tcPr>
            <w:tcW w:w="113" w:type="dxa"/>
            <w:tcBorders>
              <w:top w:val="nil"/>
              <w:bottom w:val="nil"/>
            </w:tcBorders>
            <w:vAlign w:val="top"/>
          </w:tcPr>
          <w:p w14:paraId="7C90BE9A">
            <w:pPr>
              <w:rPr>
                <w:rFonts w:ascii="Arial"/>
                <w:sz w:val="21"/>
              </w:rPr>
            </w:pPr>
          </w:p>
        </w:tc>
        <w:tc>
          <w:tcPr>
            <w:tcW w:w="623" w:type="dxa"/>
            <w:gridSpan w:val="2"/>
            <w:vAlign w:val="top"/>
          </w:tcPr>
          <w:p w14:paraId="67677F55">
            <w:pPr>
              <w:spacing w:before="159" w:line="195" w:lineRule="auto"/>
              <w:ind w:left="22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14</w:t>
            </w:r>
          </w:p>
        </w:tc>
        <w:tc>
          <w:tcPr>
            <w:tcW w:w="1703" w:type="dxa"/>
            <w:gridSpan w:val="2"/>
            <w:vAlign w:val="top"/>
          </w:tcPr>
          <w:p w14:paraId="61EA3B3A">
            <w:pPr>
              <w:pStyle w:val="6"/>
              <w:spacing w:before="123" w:line="229" w:lineRule="auto"/>
              <w:ind w:left="103"/>
            </w:pPr>
            <w:r>
              <w:rPr>
                <w:rFonts w:ascii="Times New Roman" w:hAnsi="Times New Roman" w:eastAsia="Times New Roman" w:cs="Times New Roman"/>
                <w:spacing w:val="7"/>
              </w:rPr>
              <w:t>2#</w:t>
            </w:r>
            <w:r>
              <w:rPr>
                <w:spacing w:val="7"/>
              </w:rPr>
              <w:t>主变立面</w:t>
            </w:r>
          </w:p>
        </w:tc>
        <w:tc>
          <w:tcPr>
            <w:tcW w:w="735" w:type="dxa"/>
            <w:vAlign w:val="top"/>
          </w:tcPr>
          <w:p w14:paraId="44E9FFFF">
            <w:pPr>
              <w:spacing w:before="159" w:line="195" w:lineRule="auto"/>
              <w:ind w:left="18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46.0</w:t>
            </w:r>
          </w:p>
        </w:tc>
        <w:tc>
          <w:tcPr>
            <w:tcW w:w="815" w:type="dxa"/>
            <w:vAlign w:val="top"/>
          </w:tcPr>
          <w:p w14:paraId="42F8598C">
            <w:pPr>
              <w:spacing w:before="159" w:line="195" w:lineRule="auto"/>
              <w:ind w:left="22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38.7</w:t>
            </w:r>
          </w:p>
        </w:tc>
        <w:tc>
          <w:tcPr>
            <w:tcW w:w="554" w:type="dxa"/>
            <w:gridSpan w:val="2"/>
            <w:vAlign w:val="top"/>
          </w:tcPr>
          <w:p w14:paraId="01934408">
            <w:pPr>
              <w:spacing w:before="159" w:line="195" w:lineRule="auto"/>
              <w:ind w:left="15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612" w:type="dxa"/>
            <w:gridSpan w:val="2"/>
            <w:vAlign w:val="top"/>
          </w:tcPr>
          <w:p w14:paraId="68BDE53E">
            <w:pPr>
              <w:spacing w:before="155" w:line="199" w:lineRule="auto"/>
              <w:ind w:left="5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63.7/1</w:t>
            </w:r>
          </w:p>
        </w:tc>
        <w:tc>
          <w:tcPr>
            <w:tcW w:w="519" w:type="dxa"/>
            <w:gridSpan w:val="2"/>
            <w:vAlign w:val="top"/>
          </w:tcPr>
          <w:p w14:paraId="7A4BB97D">
            <w:pPr>
              <w:spacing w:before="159" w:line="195"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777" w:type="dxa"/>
            <w:gridSpan w:val="2"/>
            <w:vAlign w:val="top"/>
          </w:tcPr>
          <w:p w14:paraId="5C1723B7">
            <w:pPr>
              <w:spacing w:before="159" w:line="195" w:lineRule="auto"/>
              <w:ind w:left="349"/>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258" w:type="dxa"/>
            <w:gridSpan w:val="3"/>
            <w:vAlign w:val="top"/>
          </w:tcPr>
          <w:p w14:paraId="250AA4B1">
            <w:pPr>
              <w:pStyle w:val="6"/>
              <w:spacing w:before="123" w:line="229" w:lineRule="auto"/>
              <w:ind w:left="326"/>
            </w:pPr>
            <w:r>
              <w:rPr>
                <w:spacing w:val="6"/>
              </w:rPr>
              <w:t>立面源</w:t>
            </w:r>
          </w:p>
        </w:tc>
        <w:tc>
          <w:tcPr>
            <w:tcW w:w="121" w:type="dxa"/>
            <w:tcBorders>
              <w:top w:val="nil"/>
              <w:bottom w:val="nil"/>
              <w:right w:val="single" w:color="000000" w:sz="6" w:space="0"/>
            </w:tcBorders>
            <w:vAlign w:val="top"/>
          </w:tcPr>
          <w:p w14:paraId="6FC049F9">
            <w:pPr>
              <w:rPr>
                <w:rFonts w:ascii="Arial"/>
                <w:sz w:val="21"/>
              </w:rPr>
            </w:pPr>
          </w:p>
        </w:tc>
      </w:tr>
      <w:tr w14:paraId="131DD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8" w:hRule="atLeast"/>
        </w:trPr>
        <w:tc>
          <w:tcPr>
            <w:tcW w:w="478" w:type="dxa"/>
            <w:vMerge w:val="continue"/>
            <w:tcBorders>
              <w:top w:val="nil"/>
              <w:left w:val="single" w:color="000000" w:sz="6" w:space="0"/>
              <w:bottom w:val="nil"/>
            </w:tcBorders>
            <w:vAlign w:val="top"/>
          </w:tcPr>
          <w:p w14:paraId="4E0AC0B9">
            <w:pPr>
              <w:rPr>
                <w:rFonts w:ascii="Arial"/>
                <w:sz w:val="21"/>
              </w:rPr>
            </w:pPr>
          </w:p>
        </w:tc>
        <w:tc>
          <w:tcPr>
            <w:tcW w:w="8830" w:type="dxa"/>
            <w:gridSpan w:val="19"/>
            <w:tcBorders>
              <w:right w:val="single" w:color="000000" w:sz="6" w:space="0"/>
            </w:tcBorders>
            <w:vAlign w:val="top"/>
          </w:tcPr>
          <w:p w14:paraId="66D049D0">
            <w:pPr>
              <w:spacing w:line="246" w:lineRule="auto"/>
              <w:rPr>
                <w:rFonts w:ascii="Arial"/>
                <w:sz w:val="21"/>
              </w:rPr>
            </w:pPr>
          </w:p>
          <w:p w14:paraId="4926941A">
            <w:pPr>
              <w:spacing w:line="246" w:lineRule="auto"/>
              <w:rPr>
                <w:rFonts w:ascii="Arial"/>
                <w:sz w:val="21"/>
              </w:rPr>
            </w:pPr>
          </w:p>
          <w:p w14:paraId="6A6E4A5C">
            <w:pPr>
              <w:spacing w:line="246" w:lineRule="auto"/>
              <w:rPr>
                <w:rFonts w:ascii="Arial"/>
                <w:sz w:val="21"/>
              </w:rPr>
            </w:pPr>
          </w:p>
          <w:p w14:paraId="06B65BBC">
            <w:pPr>
              <w:spacing w:line="246" w:lineRule="auto"/>
              <w:rPr>
                <w:rFonts w:ascii="Arial"/>
                <w:sz w:val="21"/>
              </w:rPr>
            </w:pPr>
          </w:p>
          <w:p w14:paraId="77A68837">
            <w:pPr>
              <w:spacing w:line="246" w:lineRule="auto"/>
              <w:rPr>
                <w:rFonts w:ascii="Arial"/>
                <w:sz w:val="21"/>
              </w:rPr>
            </w:pPr>
          </w:p>
          <w:p w14:paraId="77E68DE5">
            <w:pPr>
              <w:spacing w:line="246" w:lineRule="auto"/>
              <w:rPr>
                <w:rFonts w:ascii="Arial"/>
                <w:sz w:val="21"/>
              </w:rPr>
            </w:pPr>
          </w:p>
          <w:p w14:paraId="2826DE5D">
            <w:pPr>
              <w:spacing w:line="246" w:lineRule="auto"/>
              <w:rPr>
                <w:rFonts w:ascii="Arial"/>
                <w:sz w:val="21"/>
              </w:rPr>
            </w:pPr>
          </w:p>
          <w:p w14:paraId="365D4F8E">
            <w:pPr>
              <w:spacing w:line="246" w:lineRule="auto"/>
              <w:rPr>
                <w:rFonts w:ascii="Arial"/>
                <w:sz w:val="21"/>
              </w:rPr>
            </w:pPr>
          </w:p>
          <w:p w14:paraId="1F33B1BB">
            <w:pPr>
              <w:spacing w:line="247" w:lineRule="auto"/>
              <w:rPr>
                <w:rFonts w:ascii="Arial"/>
                <w:sz w:val="21"/>
              </w:rPr>
            </w:pPr>
          </w:p>
          <w:p w14:paraId="7D0D8629">
            <w:pPr>
              <w:spacing w:line="247" w:lineRule="auto"/>
              <w:rPr>
                <w:rFonts w:ascii="Arial"/>
                <w:sz w:val="21"/>
              </w:rPr>
            </w:pPr>
          </w:p>
          <w:p w14:paraId="4478B475">
            <w:pPr>
              <w:spacing w:line="247" w:lineRule="auto"/>
              <w:rPr>
                <w:rFonts w:ascii="Arial"/>
                <w:sz w:val="21"/>
              </w:rPr>
            </w:pPr>
          </w:p>
          <w:p w14:paraId="05A2DF83">
            <w:pPr>
              <w:spacing w:line="247" w:lineRule="auto"/>
              <w:rPr>
                <w:rFonts w:ascii="Arial"/>
                <w:sz w:val="21"/>
              </w:rPr>
            </w:pPr>
          </w:p>
          <w:p w14:paraId="69BBCB19">
            <w:pPr>
              <w:spacing w:line="247" w:lineRule="auto"/>
              <w:rPr>
                <w:rFonts w:ascii="Arial"/>
                <w:sz w:val="21"/>
              </w:rPr>
            </w:pPr>
          </w:p>
          <w:p w14:paraId="02E4589F">
            <w:pPr>
              <w:spacing w:line="247" w:lineRule="auto"/>
              <w:rPr>
                <w:rFonts w:ascii="Arial"/>
                <w:sz w:val="21"/>
              </w:rPr>
            </w:pPr>
          </w:p>
          <w:p w14:paraId="48AD6C61">
            <w:pPr>
              <w:spacing w:line="247" w:lineRule="auto"/>
              <w:rPr>
                <w:rFonts w:ascii="Arial"/>
                <w:sz w:val="21"/>
              </w:rPr>
            </w:pPr>
          </w:p>
          <w:p w14:paraId="16F753E0">
            <w:pPr>
              <w:spacing w:line="247" w:lineRule="auto"/>
              <w:rPr>
                <w:rFonts w:ascii="Arial"/>
                <w:sz w:val="21"/>
              </w:rPr>
            </w:pPr>
          </w:p>
          <w:p w14:paraId="6C33EE37">
            <w:pPr>
              <w:spacing w:line="247" w:lineRule="auto"/>
              <w:rPr>
                <w:rFonts w:ascii="Arial"/>
                <w:sz w:val="21"/>
              </w:rPr>
            </w:pPr>
          </w:p>
          <w:p w14:paraId="438BC3A7">
            <w:pPr>
              <w:spacing w:line="247" w:lineRule="auto"/>
              <w:rPr>
                <w:rFonts w:ascii="Arial"/>
                <w:sz w:val="21"/>
              </w:rPr>
            </w:pPr>
          </w:p>
          <w:p w14:paraId="28EEFD8B">
            <w:pPr>
              <w:spacing w:line="247" w:lineRule="auto"/>
              <w:rPr>
                <w:rFonts w:ascii="Arial"/>
                <w:sz w:val="21"/>
              </w:rPr>
            </w:pPr>
          </w:p>
          <w:p w14:paraId="38F7A439">
            <w:pPr>
              <w:spacing w:line="247" w:lineRule="auto"/>
              <w:rPr>
                <w:rFonts w:ascii="Arial"/>
                <w:sz w:val="21"/>
              </w:rPr>
            </w:pPr>
          </w:p>
          <w:p w14:paraId="4D742A5D">
            <w:pPr>
              <w:spacing w:line="247" w:lineRule="auto"/>
              <w:rPr>
                <w:rFonts w:ascii="Arial"/>
                <w:sz w:val="21"/>
              </w:rPr>
            </w:pPr>
          </w:p>
          <w:p w14:paraId="2601B8DD">
            <w:pPr>
              <w:spacing w:line="247" w:lineRule="auto"/>
              <w:rPr>
                <w:rFonts w:ascii="Arial"/>
                <w:sz w:val="21"/>
              </w:rPr>
            </w:pPr>
          </w:p>
          <w:p w14:paraId="26A085CA">
            <w:pPr>
              <w:pStyle w:val="6"/>
              <w:spacing w:before="78" w:line="219" w:lineRule="auto"/>
              <w:ind w:left="2922"/>
              <w:rPr>
                <w:sz w:val="24"/>
                <w:szCs w:val="24"/>
              </w:rPr>
            </w:pPr>
            <w:r>
              <w:rPr>
                <w:b/>
                <w:bCs/>
                <w:spacing w:val="-5"/>
                <w:sz w:val="24"/>
                <w:szCs w:val="24"/>
              </w:rPr>
              <w:t>图</w:t>
            </w:r>
            <w:r>
              <w:rPr>
                <w:spacing w:val="-38"/>
                <w:sz w:val="24"/>
                <w:szCs w:val="24"/>
              </w:rPr>
              <w:t xml:space="preserve"> </w:t>
            </w:r>
            <w:r>
              <w:rPr>
                <w:b/>
                <w:bCs/>
                <w:spacing w:val="-5"/>
                <w:sz w:val="24"/>
                <w:szCs w:val="24"/>
              </w:rPr>
              <w:t>4-4</w:t>
            </w:r>
            <w:r>
              <w:rPr>
                <w:spacing w:val="-5"/>
                <w:sz w:val="24"/>
                <w:szCs w:val="24"/>
              </w:rPr>
              <w:t xml:space="preserve"> </w:t>
            </w:r>
            <w:r>
              <w:rPr>
                <w:b/>
                <w:bCs/>
                <w:spacing w:val="-5"/>
                <w:sz w:val="24"/>
                <w:szCs w:val="24"/>
              </w:rPr>
              <w:t>本项目主要噪声源分布图</w:t>
            </w:r>
          </w:p>
          <w:p w14:paraId="02877289">
            <w:pPr>
              <w:spacing w:line="351" w:lineRule="auto"/>
              <w:rPr>
                <w:rFonts w:ascii="Arial"/>
                <w:sz w:val="21"/>
              </w:rPr>
            </w:pPr>
          </w:p>
          <w:p w14:paraId="319A32CF">
            <w:pPr>
              <w:pStyle w:val="6"/>
              <w:spacing w:before="65" w:line="209" w:lineRule="auto"/>
              <w:ind w:left="3393"/>
            </w:pPr>
            <w:r>
              <w:rPr>
                <w:b/>
                <w:bCs/>
                <w:spacing w:val="5"/>
              </w:rPr>
              <w:t>表</w:t>
            </w:r>
            <w:r>
              <w:rPr>
                <w:spacing w:val="-36"/>
              </w:rPr>
              <w:t xml:space="preserve"> </w:t>
            </w:r>
            <w:r>
              <w:rPr>
                <w:rFonts w:ascii="Times New Roman" w:hAnsi="Times New Roman" w:eastAsia="Times New Roman" w:cs="Times New Roman"/>
                <w:b/>
                <w:bCs/>
                <w:spacing w:val="5"/>
              </w:rPr>
              <w:t xml:space="preserve">4-5    </w:t>
            </w:r>
            <w:r>
              <w:rPr>
                <w:b/>
                <w:bCs/>
                <w:spacing w:val="5"/>
              </w:rPr>
              <w:t>预测建筑物参数表</w:t>
            </w:r>
          </w:p>
        </w:tc>
      </w:tr>
      <w:tr w14:paraId="24B3D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78" w:type="dxa"/>
            <w:vMerge w:val="continue"/>
            <w:tcBorders>
              <w:top w:val="nil"/>
              <w:left w:val="single" w:color="000000" w:sz="6" w:space="0"/>
              <w:bottom w:val="nil"/>
            </w:tcBorders>
            <w:vAlign w:val="top"/>
          </w:tcPr>
          <w:p w14:paraId="50DE9444">
            <w:pPr>
              <w:rPr>
                <w:rFonts w:ascii="Arial"/>
                <w:sz w:val="21"/>
              </w:rPr>
            </w:pPr>
          </w:p>
        </w:tc>
        <w:tc>
          <w:tcPr>
            <w:tcW w:w="113" w:type="dxa"/>
            <w:tcBorders>
              <w:top w:val="nil"/>
              <w:bottom w:val="nil"/>
            </w:tcBorders>
            <w:vAlign w:val="top"/>
          </w:tcPr>
          <w:p w14:paraId="1E44BA04">
            <w:pPr>
              <w:rPr>
                <w:rFonts w:ascii="Arial"/>
                <w:sz w:val="21"/>
              </w:rPr>
            </w:pPr>
          </w:p>
        </w:tc>
        <w:tc>
          <w:tcPr>
            <w:tcW w:w="484" w:type="dxa"/>
            <w:textDirection w:val="tbRlV"/>
            <w:vAlign w:val="top"/>
          </w:tcPr>
          <w:p w14:paraId="707036FF">
            <w:pPr>
              <w:pStyle w:val="6"/>
              <w:spacing w:before="142" w:line="218" w:lineRule="auto"/>
              <w:ind w:left="176"/>
            </w:pPr>
            <w:r>
              <w:rPr>
                <w:b/>
                <w:bCs/>
                <w:spacing w:val="6"/>
              </w:rPr>
              <w:t>序</w:t>
            </w:r>
            <w:r>
              <w:rPr>
                <w:spacing w:val="-35"/>
              </w:rPr>
              <w:t xml:space="preserve"> </w:t>
            </w:r>
            <w:r>
              <w:rPr>
                <w:b/>
                <w:bCs/>
                <w:spacing w:val="6"/>
              </w:rPr>
              <w:t>号</w:t>
            </w:r>
          </w:p>
        </w:tc>
        <w:tc>
          <w:tcPr>
            <w:tcW w:w="1577" w:type="dxa"/>
            <w:gridSpan w:val="2"/>
            <w:vAlign w:val="top"/>
          </w:tcPr>
          <w:p w14:paraId="611E2AD3">
            <w:pPr>
              <w:spacing w:line="247" w:lineRule="auto"/>
              <w:rPr>
                <w:rFonts w:ascii="Arial"/>
                <w:sz w:val="21"/>
              </w:rPr>
            </w:pPr>
          </w:p>
          <w:p w14:paraId="3ACA3D39">
            <w:pPr>
              <w:pStyle w:val="6"/>
              <w:spacing w:before="65" w:line="228" w:lineRule="auto"/>
              <w:ind w:left="263"/>
            </w:pPr>
            <w:r>
              <w:rPr>
                <w:b/>
                <w:bCs/>
                <w:spacing w:val="6"/>
              </w:rPr>
              <w:t>建筑物名称</w:t>
            </w:r>
          </w:p>
        </w:tc>
        <w:tc>
          <w:tcPr>
            <w:tcW w:w="2186" w:type="dxa"/>
            <w:gridSpan w:val="4"/>
            <w:vAlign w:val="top"/>
          </w:tcPr>
          <w:p w14:paraId="2AF31764">
            <w:pPr>
              <w:spacing w:line="247" w:lineRule="auto"/>
              <w:rPr>
                <w:rFonts w:ascii="Arial"/>
                <w:sz w:val="21"/>
              </w:rPr>
            </w:pPr>
          </w:p>
          <w:p w14:paraId="13A2AF1C">
            <w:pPr>
              <w:pStyle w:val="6"/>
              <w:spacing w:before="65" w:line="229" w:lineRule="auto"/>
              <w:ind w:left="171"/>
            </w:pPr>
            <w:r>
              <w:rPr>
                <w:b/>
                <w:bCs/>
                <w:spacing w:val="5"/>
              </w:rPr>
              <w:t>空间相对位置（</w:t>
            </w:r>
            <w:r>
              <w:rPr>
                <w:rFonts w:ascii="Times New Roman" w:hAnsi="Times New Roman" w:eastAsia="Times New Roman" w:cs="Times New Roman"/>
                <w:b/>
                <w:bCs/>
                <w:spacing w:val="5"/>
              </w:rPr>
              <w:t>m</w:t>
            </w:r>
            <w:r>
              <w:rPr>
                <w:b/>
                <w:bCs/>
                <w:spacing w:val="5"/>
              </w:rPr>
              <w:t>）</w:t>
            </w:r>
          </w:p>
        </w:tc>
        <w:tc>
          <w:tcPr>
            <w:tcW w:w="958" w:type="dxa"/>
            <w:gridSpan w:val="2"/>
            <w:vAlign w:val="top"/>
          </w:tcPr>
          <w:p w14:paraId="30E5CA4F">
            <w:pPr>
              <w:pStyle w:val="6"/>
              <w:spacing w:before="40" w:line="237" w:lineRule="auto"/>
              <w:ind w:left="196" w:right="162" w:hanging="26"/>
              <w:jc w:val="both"/>
            </w:pPr>
            <w:r>
              <w:rPr>
                <w:b/>
                <w:bCs/>
                <w:spacing w:val="4"/>
              </w:rPr>
              <w:t>建筑物</w:t>
            </w:r>
            <w:r>
              <w:rPr>
                <w:b/>
                <w:bCs/>
                <w:spacing w:val="42"/>
              </w:rPr>
              <w:t>尺寸</w:t>
            </w:r>
            <w:r>
              <w:rPr>
                <w:b/>
                <w:bCs/>
                <w:spacing w:val="-3"/>
              </w:rPr>
              <w:t>（</w:t>
            </w:r>
            <w:r>
              <w:rPr>
                <w:rFonts w:ascii="Times New Roman" w:hAnsi="Times New Roman" w:eastAsia="Times New Roman" w:cs="Times New Roman"/>
                <w:b/>
                <w:bCs/>
                <w:spacing w:val="-3"/>
              </w:rPr>
              <w:t>m</w:t>
            </w:r>
            <w:r>
              <w:rPr>
                <w:b/>
                <w:bCs/>
                <w:spacing w:val="-3"/>
              </w:rPr>
              <w:t>）</w:t>
            </w:r>
          </w:p>
        </w:tc>
        <w:tc>
          <w:tcPr>
            <w:tcW w:w="958" w:type="dxa"/>
            <w:gridSpan w:val="2"/>
            <w:vAlign w:val="top"/>
          </w:tcPr>
          <w:p w14:paraId="0216C4FE">
            <w:pPr>
              <w:pStyle w:val="6"/>
              <w:spacing w:before="40" w:line="237" w:lineRule="auto"/>
              <w:ind w:left="198" w:right="160" w:hanging="26"/>
              <w:jc w:val="both"/>
            </w:pPr>
            <w:r>
              <w:rPr>
                <w:b/>
                <w:bCs/>
                <w:spacing w:val="4"/>
              </w:rPr>
              <w:t>建筑物</w:t>
            </w:r>
            <w:r>
              <w:rPr>
                <w:b/>
                <w:bCs/>
                <w:spacing w:val="42"/>
              </w:rPr>
              <w:t>尺寸</w:t>
            </w:r>
            <w:r>
              <w:rPr>
                <w:b/>
                <w:bCs/>
                <w:spacing w:val="-3"/>
              </w:rPr>
              <w:t>（</w:t>
            </w:r>
            <w:r>
              <w:rPr>
                <w:rFonts w:ascii="Times New Roman" w:hAnsi="Times New Roman" w:eastAsia="Times New Roman" w:cs="Times New Roman"/>
                <w:b/>
                <w:bCs/>
                <w:spacing w:val="-3"/>
              </w:rPr>
              <w:t>m</w:t>
            </w:r>
            <w:r>
              <w:rPr>
                <w:b/>
                <w:bCs/>
                <w:spacing w:val="-3"/>
              </w:rPr>
              <w:t>）</w:t>
            </w:r>
          </w:p>
        </w:tc>
        <w:tc>
          <w:tcPr>
            <w:tcW w:w="957" w:type="dxa"/>
            <w:gridSpan w:val="2"/>
            <w:vAlign w:val="top"/>
          </w:tcPr>
          <w:p w14:paraId="464144BC">
            <w:pPr>
              <w:pStyle w:val="6"/>
              <w:spacing w:before="40" w:line="237" w:lineRule="auto"/>
              <w:ind w:left="198" w:right="157" w:hanging="24"/>
              <w:jc w:val="both"/>
            </w:pPr>
            <w:r>
              <w:rPr>
                <w:b/>
                <w:bCs/>
                <w:spacing w:val="4"/>
              </w:rPr>
              <w:t>建筑物</w:t>
            </w:r>
            <w:r>
              <w:rPr>
                <w:b/>
                <w:bCs/>
                <w:spacing w:val="42"/>
              </w:rPr>
              <w:t>尺寸</w:t>
            </w:r>
            <w:r>
              <w:rPr>
                <w:b/>
                <w:bCs/>
                <w:spacing w:val="-2"/>
              </w:rPr>
              <w:t>（</w:t>
            </w:r>
            <w:r>
              <w:rPr>
                <w:rFonts w:ascii="Times New Roman" w:hAnsi="Times New Roman" w:eastAsia="Times New Roman" w:cs="Times New Roman"/>
                <w:b/>
                <w:bCs/>
                <w:spacing w:val="-2"/>
              </w:rPr>
              <w:t>m</w:t>
            </w:r>
            <w:r>
              <w:rPr>
                <w:b/>
                <w:bCs/>
                <w:spacing w:val="-2"/>
              </w:rPr>
              <w:t>）</w:t>
            </w:r>
          </w:p>
        </w:tc>
        <w:tc>
          <w:tcPr>
            <w:tcW w:w="736" w:type="dxa"/>
            <w:gridSpan w:val="2"/>
            <w:vAlign w:val="top"/>
          </w:tcPr>
          <w:p w14:paraId="77BD3A7F">
            <w:pPr>
              <w:pStyle w:val="6"/>
              <w:spacing w:before="41" w:line="228" w:lineRule="auto"/>
              <w:ind w:left="170"/>
            </w:pPr>
            <w:r>
              <w:rPr>
                <w:b/>
                <w:bCs/>
                <w:spacing w:val="2"/>
              </w:rPr>
              <w:t>室内</w:t>
            </w:r>
          </w:p>
          <w:p w14:paraId="345A0869">
            <w:pPr>
              <w:pStyle w:val="6"/>
              <w:spacing w:before="24" w:line="228" w:lineRule="auto"/>
              <w:ind w:left="175"/>
            </w:pPr>
            <w:r>
              <w:rPr>
                <w:b/>
                <w:bCs/>
                <w:spacing w:val="-1"/>
              </w:rPr>
              <w:t>吸声</w:t>
            </w:r>
          </w:p>
          <w:p w14:paraId="7FB389DD">
            <w:pPr>
              <w:pStyle w:val="6"/>
              <w:spacing w:before="23" w:line="209" w:lineRule="auto"/>
              <w:ind w:left="171"/>
            </w:pPr>
            <w:r>
              <w:rPr>
                <w:b/>
                <w:bCs/>
                <w:spacing w:val="1"/>
              </w:rPr>
              <w:t>系数</w:t>
            </w:r>
          </w:p>
        </w:tc>
        <w:tc>
          <w:tcPr>
            <w:tcW w:w="720" w:type="dxa"/>
            <w:vAlign w:val="top"/>
          </w:tcPr>
          <w:p w14:paraId="50DBD5C6">
            <w:pPr>
              <w:pStyle w:val="6"/>
              <w:spacing w:before="42" w:line="229" w:lineRule="auto"/>
              <w:ind w:left="170"/>
            </w:pPr>
            <w:r>
              <w:rPr>
                <w:b/>
                <w:bCs/>
                <w:spacing w:val="3"/>
              </w:rPr>
              <w:t>墙体</w:t>
            </w:r>
          </w:p>
          <w:p w14:paraId="7400BE8F">
            <w:pPr>
              <w:pStyle w:val="6"/>
              <w:spacing w:before="22" w:line="230" w:lineRule="auto"/>
              <w:ind w:left="272" w:right="132" w:hanging="90"/>
            </w:pPr>
            <w:r>
              <w:rPr>
                <w:b/>
                <w:bCs/>
                <w:spacing w:val="-3"/>
              </w:rPr>
              <w:t>隔声</w:t>
            </w:r>
            <w:r>
              <w:rPr>
                <w:b/>
                <w:bCs/>
                <w:spacing w:val="-2"/>
              </w:rPr>
              <w:t>量</w:t>
            </w:r>
          </w:p>
        </w:tc>
        <w:tc>
          <w:tcPr>
            <w:tcW w:w="141" w:type="dxa"/>
            <w:gridSpan w:val="2"/>
            <w:vMerge w:val="restart"/>
            <w:tcBorders>
              <w:top w:val="nil"/>
              <w:bottom w:val="nil"/>
              <w:right w:val="single" w:color="000000" w:sz="6" w:space="0"/>
            </w:tcBorders>
            <w:vAlign w:val="top"/>
          </w:tcPr>
          <w:p w14:paraId="61A66D80">
            <w:pPr>
              <w:rPr>
                <w:rFonts w:ascii="Arial"/>
                <w:sz w:val="21"/>
              </w:rPr>
            </w:pPr>
          </w:p>
        </w:tc>
      </w:tr>
      <w:tr w14:paraId="43C1E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478" w:type="dxa"/>
            <w:vMerge w:val="continue"/>
            <w:tcBorders>
              <w:top w:val="nil"/>
              <w:left w:val="single" w:color="000000" w:sz="6" w:space="0"/>
              <w:bottom w:val="nil"/>
            </w:tcBorders>
            <w:vAlign w:val="top"/>
          </w:tcPr>
          <w:p w14:paraId="62CA787D">
            <w:pPr>
              <w:rPr>
                <w:rFonts w:ascii="Arial"/>
                <w:sz w:val="21"/>
              </w:rPr>
            </w:pPr>
          </w:p>
        </w:tc>
        <w:tc>
          <w:tcPr>
            <w:tcW w:w="113" w:type="dxa"/>
            <w:tcBorders>
              <w:top w:val="nil"/>
              <w:bottom w:val="nil"/>
            </w:tcBorders>
            <w:vAlign w:val="top"/>
          </w:tcPr>
          <w:p w14:paraId="5BECFCB8">
            <w:pPr>
              <w:rPr>
                <w:rFonts w:ascii="Arial"/>
                <w:sz w:val="21"/>
              </w:rPr>
            </w:pPr>
          </w:p>
        </w:tc>
        <w:tc>
          <w:tcPr>
            <w:tcW w:w="484" w:type="dxa"/>
            <w:textDirection w:val="tbRlV"/>
            <w:vAlign w:val="top"/>
          </w:tcPr>
          <w:p w14:paraId="4A407A20">
            <w:pPr>
              <w:pStyle w:val="6"/>
              <w:spacing w:before="142" w:line="218" w:lineRule="auto"/>
              <w:ind w:left="178"/>
            </w:pPr>
            <w:r>
              <w:rPr>
                <w:spacing w:val="8"/>
              </w:rPr>
              <w:t>序</w:t>
            </w:r>
            <w:r>
              <w:rPr>
                <w:spacing w:val="-38"/>
              </w:rPr>
              <w:t xml:space="preserve"> </w:t>
            </w:r>
            <w:r>
              <w:rPr>
                <w:spacing w:val="8"/>
              </w:rPr>
              <w:t>号</w:t>
            </w:r>
          </w:p>
        </w:tc>
        <w:tc>
          <w:tcPr>
            <w:tcW w:w="1577" w:type="dxa"/>
            <w:gridSpan w:val="2"/>
            <w:vAlign w:val="top"/>
          </w:tcPr>
          <w:p w14:paraId="513C041F">
            <w:pPr>
              <w:spacing w:line="249" w:lineRule="auto"/>
              <w:rPr>
                <w:rFonts w:ascii="Arial"/>
                <w:sz w:val="21"/>
              </w:rPr>
            </w:pPr>
          </w:p>
          <w:p w14:paraId="2A2DD94E">
            <w:pPr>
              <w:pStyle w:val="6"/>
              <w:spacing w:before="65" w:line="228" w:lineRule="auto"/>
              <w:ind w:left="265"/>
            </w:pPr>
            <w:r>
              <w:rPr>
                <w:spacing w:val="7"/>
              </w:rPr>
              <w:t>建筑物名称</w:t>
            </w:r>
          </w:p>
        </w:tc>
        <w:tc>
          <w:tcPr>
            <w:tcW w:w="2186" w:type="dxa"/>
            <w:gridSpan w:val="4"/>
            <w:vAlign w:val="top"/>
          </w:tcPr>
          <w:p w14:paraId="258044F0">
            <w:pPr>
              <w:spacing w:line="249" w:lineRule="auto"/>
              <w:rPr>
                <w:rFonts w:ascii="Arial"/>
                <w:sz w:val="21"/>
              </w:rPr>
            </w:pPr>
          </w:p>
          <w:p w14:paraId="2F86089A">
            <w:pPr>
              <w:pStyle w:val="6"/>
              <w:spacing w:before="65" w:line="229" w:lineRule="auto"/>
              <w:ind w:left="180"/>
            </w:pPr>
            <w:r>
              <w:rPr>
                <w:spacing w:val="7"/>
              </w:rPr>
              <w:t>空间相对位置（</w:t>
            </w:r>
            <w:r>
              <w:rPr>
                <w:rFonts w:ascii="Times New Roman" w:hAnsi="Times New Roman" w:eastAsia="Times New Roman" w:cs="Times New Roman"/>
                <w:spacing w:val="7"/>
              </w:rPr>
              <w:t>m</w:t>
            </w:r>
            <w:r>
              <w:rPr>
                <w:spacing w:val="7"/>
              </w:rPr>
              <w:t>）</w:t>
            </w:r>
          </w:p>
        </w:tc>
        <w:tc>
          <w:tcPr>
            <w:tcW w:w="958" w:type="dxa"/>
            <w:gridSpan w:val="2"/>
            <w:vAlign w:val="top"/>
          </w:tcPr>
          <w:p w14:paraId="3A9B9C26">
            <w:pPr>
              <w:spacing w:line="249" w:lineRule="auto"/>
              <w:rPr>
                <w:rFonts w:ascii="Arial"/>
                <w:sz w:val="21"/>
              </w:rPr>
            </w:pPr>
          </w:p>
          <w:p w14:paraId="655F4615">
            <w:pPr>
              <w:pStyle w:val="6"/>
              <w:spacing w:before="65" w:line="231" w:lineRule="auto"/>
              <w:ind w:left="379"/>
            </w:pPr>
            <w:r>
              <w:t>长</w:t>
            </w:r>
          </w:p>
        </w:tc>
        <w:tc>
          <w:tcPr>
            <w:tcW w:w="958" w:type="dxa"/>
            <w:gridSpan w:val="2"/>
            <w:vAlign w:val="top"/>
          </w:tcPr>
          <w:p w14:paraId="438158CF">
            <w:pPr>
              <w:spacing w:line="249" w:lineRule="auto"/>
              <w:rPr>
                <w:rFonts w:ascii="Arial"/>
                <w:sz w:val="21"/>
              </w:rPr>
            </w:pPr>
          </w:p>
          <w:p w14:paraId="08813FEF">
            <w:pPr>
              <w:pStyle w:val="6"/>
              <w:spacing w:before="65" w:line="228" w:lineRule="auto"/>
              <w:ind w:left="391"/>
            </w:pPr>
            <w:r>
              <w:t>宽</w:t>
            </w:r>
          </w:p>
        </w:tc>
        <w:tc>
          <w:tcPr>
            <w:tcW w:w="957" w:type="dxa"/>
            <w:gridSpan w:val="2"/>
            <w:vAlign w:val="top"/>
          </w:tcPr>
          <w:p w14:paraId="677D2C0E">
            <w:pPr>
              <w:spacing w:line="248" w:lineRule="auto"/>
              <w:rPr>
                <w:rFonts w:ascii="Arial"/>
                <w:sz w:val="21"/>
              </w:rPr>
            </w:pPr>
          </w:p>
          <w:p w14:paraId="25C5098E">
            <w:pPr>
              <w:pStyle w:val="6"/>
              <w:spacing w:before="65" w:line="228" w:lineRule="auto"/>
              <w:ind w:left="388"/>
            </w:pPr>
            <w:r>
              <w:t>高</w:t>
            </w:r>
          </w:p>
        </w:tc>
        <w:tc>
          <w:tcPr>
            <w:tcW w:w="736" w:type="dxa"/>
            <w:gridSpan w:val="2"/>
            <w:vAlign w:val="top"/>
          </w:tcPr>
          <w:p w14:paraId="50373182">
            <w:pPr>
              <w:pStyle w:val="6"/>
              <w:spacing w:before="41" w:line="228" w:lineRule="auto"/>
              <w:ind w:left="173"/>
            </w:pPr>
            <w:r>
              <w:rPr>
                <w:spacing w:val="3"/>
              </w:rPr>
              <w:t>室内</w:t>
            </w:r>
          </w:p>
          <w:p w14:paraId="0F01BE4C">
            <w:pPr>
              <w:pStyle w:val="6"/>
              <w:spacing w:before="27" w:line="228" w:lineRule="auto"/>
              <w:ind w:left="177"/>
            </w:pPr>
            <w:r>
              <w:t>吸声</w:t>
            </w:r>
          </w:p>
          <w:p w14:paraId="219A6FC6">
            <w:pPr>
              <w:pStyle w:val="6"/>
              <w:spacing w:before="23" w:line="207" w:lineRule="auto"/>
              <w:ind w:left="173"/>
            </w:pPr>
            <w:r>
              <w:rPr>
                <w:spacing w:val="2"/>
              </w:rPr>
              <w:t>系数</w:t>
            </w:r>
          </w:p>
        </w:tc>
        <w:tc>
          <w:tcPr>
            <w:tcW w:w="720" w:type="dxa"/>
            <w:vAlign w:val="top"/>
          </w:tcPr>
          <w:p w14:paraId="565BEFBD">
            <w:pPr>
              <w:pStyle w:val="6"/>
              <w:spacing w:before="41" w:line="229" w:lineRule="auto"/>
              <w:ind w:left="170"/>
            </w:pPr>
            <w:r>
              <w:rPr>
                <w:spacing w:val="4"/>
              </w:rPr>
              <w:t>墙体</w:t>
            </w:r>
          </w:p>
          <w:p w14:paraId="374E6305">
            <w:pPr>
              <w:pStyle w:val="6"/>
              <w:spacing w:before="24" w:line="229" w:lineRule="auto"/>
              <w:ind w:left="275" w:right="134" w:hanging="93"/>
            </w:pPr>
            <w:r>
              <w:rPr>
                <w:spacing w:val="-2"/>
              </w:rPr>
              <w:t>隔声</w:t>
            </w:r>
            <w:r>
              <w:t>量</w:t>
            </w:r>
          </w:p>
        </w:tc>
        <w:tc>
          <w:tcPr>
            <w:tcW w:w="141" w:type="dxa"/>
            <w:gridSpan w:val="2"/>
            <w:vMerge w:val="continue"/>
            <w:tcBorders>
              <w:top w:val="nil"/>
              <w:bottom w:val="nil"/>
              <w:right w:val="single" w:color="000000" w:sz="6" w:space="0"/>
            </w:tcBorders>
            <w:vAlign w:val="top"/>
          </w:tcPr>
          <w:p w14:paraId="70B9C0AA">
            <w:pPr>
              <w:rPr>
                <w:rFonts w:ascii="Arial"/>
                <w:sz w:val="21"/>
              </w:rPr>
            </w:pPr>
          </w:p>
        </w:tc>
      </w:tr>
      <w:tr w14:paraId="39918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478" w:type="dxa"/>
            <w:vMerge w:val="continue"/>
            <w:tcBorders>
              <w:top w:val="nil"/>
              <w:left w:val="single" w:color="000000" w:sz="6" w:space="0"/>
              <w:bottom w:val="nil"/>
            </w:tcBorders>
            <w:vAlign w:val="top"/>
          </w:tcPr>
          <w:p w14:paraId="7B3CC7B6">
            <w:pPr>
              <w:rPr>
                <w:rFonts w:ascii="Arial"/>
                <w:sz w:val="21"/>
              </w:rPr>
            </w:pPr>
          </w:p>
        </w:tc>
        <w:tc>
          <w:tcPr>
            <w:tcW w:w="113" w:type="dxa"/>
            <w:tcBorders>
              <w:top w:val="nil"/>
              <w:bottom w:val="nil"/>
            </w:tcBorders>
            <w:vAlign w:val="top"/>
          </w:tcPr>
          <w:p w14:paraId="4653D39B">
            <w:pPr>
              <w:rPr>
                <w:rFonts w:ascii="Arial"/>
                <w:sz w:val="21"/>
              </w:rPr>
            </w:pPr>
          </w:p>
        </w:tc>
        <w:tc>
          <w:tcPr>
            <w:tcW w:w="484" w:type="dxa"/>
            <w:vAlign w:val="top"/>
          </w:tcPr>
          <w:p w14:paraId="3234BDF4">
            <w:pPr>
              <w:spacing w:line="427" w:lineRule="auto"/>
              <w:rPr>
                <w:rFonts w:ascii="Arial"/>
                <w:sz w:val="21"/>
              </w:rPr>
            </w:pPr>
          </w:p>
          <w:p w14:paraId="2EC8A4E0">
            <w:pPr>
              <w:spacing w:before="58" w:line="195" w:lineRule="auto"/>
              <w:ind w:left="204"/>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577" w:type="dxa"/>
            <w:gridSpan w:val="2"/>
            <w:vAlign w:val="top"/>
          </w:tcPr>
          <w:p w14:paraId="2C2669A7">
            <w:pPr>
              <w:spacing w:line="247" w:lineRule="auto"/>
              <w:rPr>
                <w:rFonts w:ascii="Arial"/>
                <w:sz w:val="21"/>
              </w:rPr>
            </w:pPr>
          </w:p>
          <w:p w14:paraId="45E74B8C">
            <w:pPr>
              <w:pStyle w:val="6"/>
              <w:spacing w:before="65" w:line="252" w:lineRule="auto"/>
              <w:ind w:left="682" w:right="164" w:hanging="523"/>
            </w:pPr>
            <w:r>
              <w:rPr>
                <w:spacing w:val="7"/>
              </w:rPr>
              <w:t>主控配电综合</w:t>
            </w:r>
            <w:r>
              <w:rPr>
                <w:spacing w:val="1"/>
              </w:rPr>
              <w:t>楼</w:t>
            </w:r>
          </w:p>
        </w:tc>
        <w:tc>
          <w:tcPr>
            <w:tcW w:w="2186" w:type="dxa"/>
            <w:gridSpan w:val="4"/>
            <w:vAlign w:val="top"/>
          </w:tcPr>
          <w:p w14:paraId="25FABFD1">
            <w:pPr>
              <w:pStyle w:val="6"/>
              <w:spacing w:before="44" w:line="250" w:lineRule="auto"/>
              <w:ind w:left="119" w:right="19"/>
            </w:pPr>
            <w:r>
              <w:rPr>
                <w:spacing w:val="-1"/>
              </w:rPr>
              <w:t>（</w:t>
            </w:r>
            <w:r>
              <w:rPr>
                <w:rFonts w:ascii="Times New Roman" w:hAnsi="Times New Roman" w:eastAsia="Times New Roman" w:cs="Times New Roman"/>
                <w:spacing w:val="-1"/>
              </w:rPr>
              <w:t>28.118</w:t>
            </w:r>
            <w:r>
              <w:rPr>
                <w:rFonts w:ascii="Times New Roman" w:hAnsi="Times New Roman" w:eastAsia="Times New Roman" w:cs="Times New Roman"/>
                <w:spacing w:val="-21"/>
              </w:rPr>
              <w:t xml:space="preserve"> </w:t>
            </w:r>
            <w:r>
              <w:rPr>
                <w:spacing w:val="-1"/>
              </w:rPr>
              <w:t>，</w:t>
            </w:r>
            <w:r>
              <w:rPr>
                <w:rFonts w:ascii="Times New Roman" w:hAnsi="Times New Roman" w:eastAsia="Times New Roman" w:cs="Times New Roman"/>
                <w:spacing w:val="-1"/>
              </w:rPr>
              <w:t>31.</w:t>
            </w:r>
            <w:r>
              <w:rPr>
                <w:rFonts w:ascii="Times New Roman" w:hAnsi="Times New Roman" w:eastAsia="Times New Roman" w:cs="Times New Roman"/>
                <w:spacing w:val="-25"/>
              </w:rPr>
              <w:t xml:space="preserve"> </w:t>
            </w:r>
            <w:r>
              <w:rPr>
                <w:rFonts w:ascii="Times New Roman" w:hAnsi="Times New Roman" w:eastAsia="Times New Roman" w:cs="Times New Roman"/>
                <w:spacing w:val="-1"/>
              </w:rPr>
              <w:t>14</w:t>
            </w:r>
            <w:r>
              <w:rPr>
                <w:rFonts w:ascii="Times New Roman" w:hAnsi="Times New Roman" w:eastAsia="Times New Roman" w:cs="Times New Roman"/>
                <w:spacing w:val="-23"/>
              </w:rPr>
              <w:t xml:space="preserve"> </w:t>
            </w:r>
            <w:r>
              <w:rPr>
                <w:spacing w:val="-1"/>
              </w:rPr>
              <w:t>，</w:t>
            </w:r>
            <w:r>
              <w:rPr>
                <w:rFonts w:ascii="Times New Roman" w:hAnsi="Times New Roman" w:eastAsia="Times New Roman" w:cs="Times New Roman"/>
                <w:spacing w:val="-1"/>
              </w:rPr>
              <w:t>0</w:t>
            </w:r>
            <w:r>
              <w:rPr>
                <w:spacing w:val="-1"/>
              </w:rPr>
              <w:t>）</w:t>
            </w:r>
            <w:r>
              <w:t xml:space="preserve"> </w:t>
            </w:r>
            <w:r>
              <w:rPr>
                <w:spacing w:val="-1"/>
              </w:rPr>
              <w:t>（</w:t>
            </w:r>
            <w:r>
              <w:rPr>
                <w:rFonts w:ascii="Times New Roman" w:hAnsi="Times New Roman" w:eastAsia="Times New Roman" w:cs="Times New Roman"/>
                <w:spacing w:val="-1"/>
              </w:rPr>
              <w:t>76.448</w:t>
            </w:r>
            <w:r>
              <w:rPr>
                <w:rFonts w:ascii="Times New Roman" w:hAnsi="Times New Roman" w:eastAsia="Times New Roman" w:cs="Times New Roman"/>
                <w:spacing w:val="-19"/>
              </w:rPr>
              <w:t xml:space="preserve"> </w:t>
            </w:r>
            <w:r>
              <w:rPr>
                <w:spacing w:val="-1"/>
              </w:rPr>
              <w:t>，</w:t>
            </w:r>
            <w:r>
              <w:rPr>
                <w:rFonts w:ascii="Times New Roman" w:hAnsi="Times New Roman" w:eastAsia="Times New Roman" w:cs="Times New Roman"/>
                <w:spacing w:val="-1"/>
              </w:rPr>
              <w:t>30.934</w:t>
            </w:r>
            <w:r>
              <w:rPr>
                <w:rFonts w:ascii="Times New Roman" w:hAnsi="Times New Roman" w:eastAsia="Times New Roman" w:cs="Times New Roman"/>
                <w:spacing w:val="-23"/>
              </w:rPr>
              <w:t xml:space="preserve"> </w:t>
            </w:r>
            <w:r>
              <w:rPr>
                <w:spacing w:val="-1"/>
              </w:rPr>
              <w:t>，</w:t>
            </w:r>
            <w:r>
              <w:rPr>
                <w:rFonts w:ascii="Times New Roman" w:hAnsi="Times New Roman" w:eastAsia="Times New Roman" w:cs="Times New Roman"/>
                <w:spacing w:val="-1"/>
              </w:rPr>
              <w:t>0</w:t>
            </w:r>
            <w:r>
              <w:rPr>
                <w:spacing w:val="-1"/>
              </w:rPr>
              <w:t>）</w:t>
            </w:r>
          </w:p>
          <w:p w14:paraId="09ED6BAC">
            <w:pPr>
              <w:pStyle w:val="6"/>
              <w:spacing w:line="239" w:lineRule="auto"/>
              <w:ind w:right="11"/>
              <w:jc w:val="right"/>
            </w:pPr>
            <w:r>
              <w:rPr>
                <w:spacing w:val="-1"/>
              </w:rPr>
              <w:t>（</w:t>
            </w:r>
            <w:r>
              <w:rPr>
                <w:rFonts w:ascii="Times New Roman" w:hAnsi="Times New Roman" w:eastAsia="Times New Roman" w:cs="Times New Roman"/>
                <w:spacing w:val="-1"/>
              </w:rPr>
              <w:t>76.242</w:t>
            </w:r>
            <w:r>
              <w:rPr>
                <w:rFonts w:ascii="Times New Roman" w:hAnsi="Times New Roman" w:eastAsia="Times New Roman" w:cs="Times New Roman"/>
                <w:spacing w:val="-11"/>
              </w:rPr>
              <w:t xml:space="preserve"> </w:t>
            </w:r>
            <w:r>
              <w:rPr>
                <w:spacing w:val="-1"/>
              </w:rPr>
              <w:t>，</w:t>
            </w:r>
            <w:r>
              <w:rPr>
                <w:rFonts w:ascii="Times New Roman" w:hAnsi="Times New Roman" w:eastAsia="Times New Roman" w:cs="Times New Roman"/>
                <w:spacing w:val="-1"/>
              </w:rPr>
              <w:t>21.269</w:t>
            </w:r>
            <w:r>
              <w:rPr>
                <w:rFonts w:ascii="Times New Roman" w:hAnsi="Times New Roman" w:eastAsia="Times New Roman" w:cs="Times New Roman"/>
                <w:spacing w:val="-23"/>
              </w:rPr>
              <w:t xml:space="preserve"> </w:t>
            </w:r>
            <w:r>
              <w:rPr>
                <w:spacing w:val="-1"/>
              </w:rPr>
              <w:t>，</w:t>
            </w:r>
            <w:r>
              <w:rPr>
                <w:rFonts w:ascii="Times New Roman" w:hAnsi="Times New Roman" w:eastAsia="Times New Roman" w:cs="Times New Roman"/>
                <w:spacing w:val="-1"/>
              </w:rPr>
              <w:t>0</w:t>
            </w:r>
            <w:r>
              <w:rPr>
                <w:spacing w:val="-1"/>
              </w:rPr>
              <w:t>）</w:t>
            </w:r>
          </w:p>
          <w:p w14:paraId="17EA22F8">
            <w:pPr>
              <w:pStyle w:val="6"/>
              <w:spacing w:before="14" w:line="206" w:lineRule="auto"/>
              <w:ind w:right="11"/>
              <w:jc w:val="right"/>
            </w:pPr>
            <w:r>
              <w:rPr>
                <w:spacing w:val="-1"/>
              </w:rPr>
              <w:t>（</w:t>
            </w:r>
            <w:r>
              <w:rPr>
                <w:rFonts w:ascii="Times New Roman" w:hAnsi="Times New Roman" w:eastAsia="Times New Roman" w:cs="Times New Roman"/>
                <w:spacing w:val="-1"/>
              </w:rPr>
              <w:t>28.118</w:t>
            </w:r>
            <w:r>
              <w:rPr>
                <w:rFonts w:ascii="Times New Roman" w:hAnsi="Times New Roman" w:eastAsia="Times New Roman" w:cs="Times New Roman"/>
                <w:spacing w:val="-11"/>
              </w:rPr>
              <w:t xml:space="preserve"> </w:t>
            </w:r>
            <w:r>
              <w:rPr>
                <w:spacing w:val="-1"/>
              </w:rPr>
              <w:t>，</w:t>
            </w:r>
            <w:r>
              <w:rPr>
                <w:rFonts w:ascii="Times New Roman" w:hAnsi="Times New Roman" w:eastAsia="Times New Roman" w:cs="Times New Roman"/>
                <w:spacing w:val="-1"/>
              </w:rPr>
              <w:t>21.474</w:t>
            </w:r>
            <w:r>
              <w:rPr>
                <w:rFonts w:ascii="Times New Roman" w:hAnsi="Times New Roman" w:eastAsia="Times New Roman" w:cs="Times New Roman"/>
                <w:spacing w:val="-23"/>
              </w:rPr>
              <w:t xml:space="preserve"> </w:t>
            </w:r>
            <w:r>
              <w:rPr>
                <w:spacing w:val="-1"/>
              </w:rPr>
              <w:t>，</w:t>
            </w:r>
            <w:r>
              <w:rPr>
                <w:rFonts w:ascii="Times New Roman" w:hAnsi="Times New Roman" w:eastAsia="Times New Roman" w:cs="Times New Roman"/>
                <w:spacing w:val="-1"/>
              </w:rPr>
              <w:t>0</w:t>
            </w:r>
            <w:r>
              <w:rPr>
                <w:spacing w:val="-1"/>
              </w:rPr>
              <w:t>）</w:t>
            </w:r>
          </w:p>
        </w:tc>
        <w:tc>
          <w:tcPr>
            <w:tcW w:w="958" w:type="dxa"/>
            <w:gridSpan w:val="2"/>
            <w:vAlign w:val="top"/>
          </w:tcPr>
          <w:p w14:paraId="297E0112">
            <w:pPr>
              <w:spacing w:line="427" w:lineRule="auto"/>
              <w:rPr>
                <w:rFonts w:ascii="Arial"/>
                <w:sz w:val="21"/>
              </w:rPr>
            </w:pPr>
          </w:p>
          <w:p w14:paraId="4D8CC3AB">
            <w:pPr>
              <w:spacing w:before="58" w:line="195" w:lineRule="auto"/>
              <w:ind w:left="29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48.3</w:t>
            </w:r>
          </w:p>
        </w:tc>
        <w:tc>
          <w:tcPr>
            <w:tcW w:w="958" w:type="dxa"/>
            <w:gridSpan w:val="2"/>
            <w:vAlign w:val="top"/>
          </w:tcPr>
          <w:p w14:paraId="3EACE821">
            <w:pPr>
              <w:spacing w:line="427" w:lineRule="auto"/>
              <w:rPr>
                <w:rFonts w:ascii="Arial"/>
                <w:sz w:val="21"/>
              </w:rPr>
            </w:pPr>
          </w:p>
          <w:p w14:paraId="36CCDF97">
            <w:pPr>
              <w:spacing w:before="58" w:line="195" w:lineRule="auto"/>
              <w:ind w:left="35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9.7</w:t>
            </w:r>
          </w:p>
        </w:tc>
        <w:tc>
          <w:tcPr>
            <w:tcW w:w="957" w:type="dxa"/>
            <w:gridSpan w:val="2"/>
            <w:vAlign w:val="top"/>
          </w:tcPr>
          <w:p w14:paraId="634EF09D">
            <w:pPr>
              <w:spacing w:line="430" w:lineRule="auto"/>
              <w:rPr>
                <w:rFonts w:ascii="Arial"/>
                <w:sz w:val="21"/>
              </w:rPr>
            </w:pPr>
          </w:p>
          <w:p w14:paraId="43DF6980">
            <w:pPr>
              <w:spacing w:before="57" w:line="192" w:lineRule="auto"/>
              <w:ind w:left="437"/>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736" w:type="dxa"/>
            <w:gridSpan w:val="2"/>
            <w:vAlign w:val="top"/>
          </w:tcPr>
          <w:p w14:paraId="5E9E44A1">
            <w:pPr>
              <w:spacing w:line="427" w:lineRule="auto"/>
              <w:rPr>
                <w:rFonts w:ascii="Arial"/>
                <w:sz w:val="21"/>
              </w:rPr>
            </w:pPr>
          </w:p>
          <w:p w14:paraId="17F47B61">
            <w:pPr>
              <w:spacing w:before="58" w:line="195" w:lineRule="auto"/>
              <w:ind w:left="24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720" w:type="dxa"/>
            <w:vAlign w:val="top"/>
          </w:tcPr>
          <w:p w14:paraId="2030EC79">
            <w:pPr>
              <w:spacing w:line="427" w:lineRule="auto"/>
              <w:rPr>
                <w:rFonts w:ascii="Arial"/>
                <w:sz w:val="21"/>
              </w:rPr>
            </w:pPr>
          </w:p>
          <w:p w14:paraId="2B789CAB">
            <w:pPr>
              <w:spacing w:before="58" w:line="195"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141" w:type="dxa"/>
            <w:gridSpan w:val="2"/>
            <w:vMerge w:val="continue"/>
            <w:tcBorders>
              <w:top w:val="nil"/>
              <w:bottom w:val="nil"/>
              <w:right w:val="single" w:color="000000" w:sz="6" w:space="0"/>
            </w:tcBorders>
            <w:vAlign w:val="top"/>
          </w:tcPr>
          <w:p w14:paraId="1B495442">
            <w:pPr>
              <w:rPr>
                <w:rFonts w:ascii="Arial"/>
                <w:sz w:val="21"/>
              </w:rPr>
            </w:pPr>
          </w:p>
        </w:tc>
      </w:tr>
      <w:tr w14:paraId="075C9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6" w:hRule="atLeast"/>
        </w:trPr>
        <w:tc>
          <w:tcPr>
            <w:tcW w:w="478" w:type="dxa"/>
            <w:vMerge w:val="continue"/>
            <w:tcBorders>
              <w:top w:val="nil"/>
              <w:left w:val="single" w:color="000000" w:sz="6" w:space="0"/>
              <w:bottom w:val="single" w:color="000000" w:sz="6" w:space="0"/>
            </w:tcBorders>
            <w:vAlign w:val="top"/>
          </w:tcPr>
          <w:p w14:paraId="7130B817">
            <w:pPr>
              <w:rPr>
                <w:rFonts w:ascii="Arial"/>
                <w:sz w:val="21"/>
              </w:rPr>
            </w:pPr>
          </w:p>
        </w:tc>
        <w:tc>
          <w:tcPr>
            <w:tcW w:w="113" w:type="dxa"/>
            <w:tcBorders>
              <w:top w:val="nil"/>
              <w:bottom w:val="single" w:color="000000" w:sz="6" w:space="0"/>
            </w:tcBorders>
            <w:vAlign w:val="top"/>
          </w:tcPr>
          <w:p w14:paraId="41C9C59E">
            <w:pPr>
              <w:rPr>
                <w:rFonts w:ascii="Arial"/>
                <w:sz w:val="21"/>
              </w:rPr>
            </w:pPr>
          </w:p>
        </w:tc>
        <w:tc>
          <w:tcPr>
            <w:tcW w:w="484" w:type="dxa"/>
            <w:tcBorders>
              <w:bottom w:val="single" w:color="000000" w:sz="6" w:space="0"/>
            </w:tcBorders>
            <w:vAlign w:val="top"/>
          </w:tcPr>
          <w:p w14:paraId="29D9567E">
            <w:pPr>
              <w:spacing w:line="428" w:lineRule="auto"/>
              <w:rPr>
                <w:rFonts w:ascii="Arial"/>
                <w:sz w:val="21"/>
              </w:rPr>
            </w:pPr>
          </w:p>
          <w:p w14:paraId="68E99489">
            <w:pPr>
              <w:spacing w:before="58" w:line="195" w:lineRule="auto"/>
              <w:ind w:left="184"/>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577" w:type="dxa"/>
            <w:gridSpan w:val="2"/>
            <w:tcBorders>
              <w:bottom w:val="single" w:color="000000" w:sz="6" w:space="0"/>
            </w:tcBorders>
            <w:vAlign w:val="top"/>
          </w:tcPr>
          <w:p w14:paraId="09347306">
            <w:pPr>
              <w:spacing w:line="385" w:lineRule="auto"/>
              <w:rPr>
                <w:rFonts w:ascii="Arial"/>
                <w:sz w:val="21"/>
              </w:rPr>
            </w:pPr>
          </w:p>
          <w:p w14:paraId="2BF61959">
            <w:pPr>
              <w:pStyle w:val="6"/>
              <w:spacing w:before="65" w:line="227" w:lineRule="auto"/>
              <w:ind w:left="477"/>
            </w:pPr>
            <w:r>
              <w:rPr>
                <w:spacing w:val="5"/>
              </w:rPr>
              <w:t>警传室</w:t>
            </w:r>
          </w:p>
        </w:tc>
        <w:tc>
          <w:tcPr>
            <w:tcW w:w="2186" w:type="dxa"/>
            <w:gridSpan w:val="4"/>
            <w:tcBorders>
              <w:bottom w:val="single" w:color="000000" w:sz="6" w:space="0"/>
            </w:tcBorders>
            <w:vAlign w:val="top"/>
          </w:tcPr>
          <w:p w14:paraId="01F5F432">
            <w:pPr>
              <w:pStyle w:val="6"/>
              <w:spacing w:before="45" w:line="239" w:lineRule="auto"/>
              <w:ind w:left="119"/>
            </w:pPr>
            <w:r>
              <w:t>（</w:t>
            </w:r>
            <w:r>
              <w:rPr>
                <w:rFonts w:ascii="Times New Roman" w:hAnsi="Times New Roman" w:eastAsia="Times New Roman" w:cs="Times New Roman"/>
              </w:rPr>
              <w:t>18.041</w:t>
            </w:r>
            <w:r>
              <w:rPr>
                <w:rFonts w:ascii="Times New Roman" w:hAnsi="Times New Roman" w:eastAsia="Times New Roman" w:cs="Times New Roman"/>
                <w:spacing w:val="-12"/>
              </w:rPr>
              <w:t xml:space="preserve"> </w:t>
            </w:r>
            <w:r>
              <w:t>，</w:t>
            </w:r>
            <w:r>
              <w:rPr>
                <w:rFonts w:ascii="Times New Roman" w:hAnsi="Times New Roman" w:eastAsia="Times New Roman" w:cs="Times New Roman"/>
              </w:rPr>
              <w:t>8.106</w:t>
            </w:r>
            <w:r>
              <w:rPr>
                <w:rFonts w:ascii="Times New Roman" w:hAnsi="Times New Roman" w:eastAsia="Times New Roman" w:cs="Times New Roman"/>
                <w:spacing w:val="-23"/>
              </w:rPr>
              <w:t xml:space="preserve"> </w:t>
            </w:r>
            <w:r>
              <w:t>，</w:t>
            </w:r>
            <w:r>
              <w:rPr>
                <w:rFonts w:ascii="Times New Roman" w:hAnsi="Times New Roman" w:eastAsia="Times New Roman" w:cs="Times New Roman"/>
              </w:rPr>
              <w:t>0</w:t>
            </w:r>
            <w:r>
              <w:t>）</w:t>
            </w:r>
          </w:p>
          <w:p w14:paraId="03AF8AE0">
            <w:pPr>
              <w:pStyle w:val="6"/>
              <w:spacing w:before="12" w:line="239" w:lineRule="auto"/>
              <w:ind w:left="119"/>
            </w:pPr>
            <w:r>
              <w:t>（</w:t>
            </w:r>
            <w:r>
              <w:rPr>
                <w:rFonts w:ascii="Times New Roman" w:hAnsi="Times New Roman" w:eastAsia="Times New Roman" w:cs="Times New Roman"/>
              </w:rPr>
              <w:t>33.877</w:t>
            </w:r>
            <w:r>
              <w:rPr>
                <w:rFonts w:ascii="Times New Roman" w:hAnsi="Times New Roman" w:eastAsia="Times New Roman" w:cs="Times New Roman"/>
                <w:spacing w:val="-12"/>
              </w:rPr>
              <w:t xml:space="preserve"> </w:t>
            </w:r>
            <w:r>
              <w:t>，</w:t>
            </w:r>
            <w:r>
              <w:rPr>
                <w:rFonts w:ascii="Times New Roman" w:hAnsi="Times New Roman" w:eastAsia="Times New Roman" w:cs="Times New Roman"/>
              </w:rPr>
              <w:t>8.312</w:t>
            </w:r>
            <w:r>
              <w:rPr>
                <w:rFonts w:ascii="Times New Roman" w:hAnsi="Times New Roman" w:eastAsia="Times New Roman" w:cs="Times New Roman"/>
                <w:spacing w:val="-23"/>
              </w:rPr>
              <w:t xml:space="preserve"> </w:t>
            </w:r>
            <w:r>
              <w:t>，</w:t>
            </w:r>
            <w:r>
              <w:rPr>
                <w:rFonts w:ascii="Times New Roman" w:hAnsi="Times New Roman" w:eastAsia="Times New Roman" w:cs="Times New Roman"/>
              </w:rPr>
              <w:t>0</w:t>
            </w:r>
            <w:r>
              <w:t>）</w:t>
            </w:r>
          </w:p>
          <w:p w14:paraId="259EE135">
            <w:pPr>
              <w:pStyle w:val="6"/>
              <w:spacing w:before="14" w:line="239" w:lineRule="auto"/>
              <w:ind w:left="119"/>
            </w:pPr>
            <w:r>
              <w:t>（</w:t>
            </w:r>
            <w:r>
              <w:rPr>
                <w:rFonts w:ascii="Times New Roman" w:hAnsi="Times New Roman" w:eastAsia="Times New Roman" w:cs="Times New Roman"/>
              </w:rPr>
              <w:t>33.466</w:t>
            </w:r>
            <w:r>
              <w:rPr>
                <w:rFonts w:ascii="Times New Roman" w:hAnsi="Times New Roman" w:eastAsia="Times New Roman" w:cs="Times New Roman"/>
                <w:spacing w:val="-12"/>
              </w:rPr>
              <w:t xml:space="preserve"> </w:t>
            </w:r>
            <w:r>
              <w:t>，</w:t>
            </w:r>
            <w:r>
              <w:rPr>
                <w:rFonts w:ascii="Times New Roman" w:hAnsi="Times New Roman" w:eastAsia="Times New Roman" w:cs="Times New Roman"/>
              </w:rPr>
              <w:t>2.554</w:t>
            </w:r>
            <w:r>
              <w:rPr>
                <w:rFonts w:ascii="Times New Roman" w:hAnsi="Times New Roman" w:eastAsia="Times New Roman" w:cs="Times New Roman"/>
                <w:spacing w:val="-23"/>
              </w:rPr>
              <w:t xml:space="preserve"> </w:t>
            </w:r>
            <w:r>
              <w:t>，</w:t>
            </w:r>
            <w:r>
              <w:rPr>
                <w:rFonts w:ascii="Times New Roman" w:hAnsi="Times New Roman" w:eastAsia="Times New Roman" w:cs="Times New Roman"/>
              </w:rPr>
              <w:t>0</w:t>
            </w:r>
            <w:r>
              <w:t>）</w:t>
            </w:r>
          </w:p>
          <w:p w14:paraId="79B76F59">
            <w:pPr>
              <w:pStyle w:val="6"/>
              <w:spacing w:before="14" w:line="233" w:lineRule="auto"/>
              <w:ind w:left="119"/>
            </w:pPr>
            <w:r>
              <w:t>（</w:t>
            </w:r>
            <w:r>
              <w:rPr>
                <w:rFonts w:ascii="Times New Roman" w:hAnsi="Times New Roman" w:eastAsia="Times New Roman" w:cs="Times New Roman"/>
              </w:rPr>
              <w:t>18.247</w:t>
            </w:r>
            <w:r>
              <w:rPr>
                <w:rFonts w:ascii="Times New Roman" w:hAnsi="Times New Roman" w:eastAsia="Times New Roman" w:cs="Times New Roman"/>
                <w:spacing w:val="-12"/>
              </w:rPr>
              <w:t xml:space="preserve"> </w:t>
            </w:r>
            <w:r>
              <w:t>，</w:t>
            </w:r>
            <w:r>
              <w:rPr>
                <w:rFonts w:ascii="Times New Roman" w:hAnsi="Times New Roman" w:eastAsia="Times New Roman" w:cs="Times New Roman"/>
              </w:rPr>
              <w:t>3.171</w:t>
            </w:r>
            <w:r>
              <w:rPr>
                <w:rFonts w:ascii="Times New Roman" w:hAnsi="Times New Roman" w:eastAsia="Times New Roman" w:cs="Times New Roman"/>
                <w:spacing w:val="-23"/>
              </w:rPr>
              <w:t xml:space="preserve"> </w:t>
            </w:r>
            <w:r>
              <w:t>，</w:t>
            </w:r>
            <w:r>
              <w:rPr>
                <w:rFonts w:ascii="Times New Roman" w:hAnsi="Times New Roman" w:eastAsia="Times New Roman" w:cs="Times New Roman"/>
              </w:rPr>
              <w:t>0</w:t>
            </w:r>
            <w:r>
              <w:t>）</w:t>
            </w:r>
          </w:p>
        </w:tc>
        <w:tc>
          <w:tcPr>
            <w:tcW w:w="958" w:type="dxa"/>
            <w:gridSpan w:val="2"/>
            <w:tcBorders>
              <w:bottom w:val="single" w:color="000000" w:sz="6" w:space="0"/>
            </w:tcBorders>
            <w:vAlign w:val="top"/>
          </w:tcPr>
          <w:p w14:paraId="23230944">
            <w:pPr>
              <w:spacing w:line="428" w:lineRule="auto"/>
              <w:rPr>
                <w:rFonts w:ascii="Arial"/>
                <w:sz w:val="21"/>
              </w:rPr>
            </w:pPr>
          </w:p>
          <w:p w14:paraId="5EDE1235">
            <w:pPr>
              <w:spacing w:before="58" w:line="195" w:lineRule="auto"/>
              <w:ind w:left="31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15.8</w:t>
            </w:r>
          </w:p>
        </w:tc>
        <w:tc>
          <w:tcPr>
            <w:tcW w:w="958" w:type="dxa"/>
            <w:gridSpan w:val="2"/>
            <w:tcBorders>
              <w:bottom w:val="single" w:color="000000" w:sz="6" w:space="0"/>
            </w:tcBorders>
            <w:vAlign w:val="top"/>
          </w:tcPr>
          <w:p w14:paraId="04EAEA9B">
            <w:pPr>
              <w:spacing w:line="428" w:lineRule="auto"/>
              <w:rPr>
                <w:rFonts w:ascii="Arial"/>
                <w:sz w:val="21"/>
              </w:rPr>
            </w:pPr>
          </w:p>
          <w:p w14:paraId="5EB33D63">
            <w:pPr>
              <w:spacing w:before="58" w:line="195" w:lineRule="auto"/>
              <w:ind w:left="356"/>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c>
          <w:tcPr>
            <w:tcW w:w="957" w:type="dxa"/>
            <w:gridSpan w:val="2"/>
            <w:tcBorders>
              <w:bottom w:val="single" w:color="000000" w:sz="6" w:space="0"/>
            </w:tcBorders>
            <w:vAlign w:val="top"/>
          </w:tcPr>
          <w:p w14:paraId="2810D8CA">
            <w:pPr>
              <w:spacing w:line="428" w:lineRule="auto"/>
              <w:rPr>
                <w:rFonts w:ascii="Arial"/>
                <w:sz w:val="21"/>
              </w:rPr>
            </w:pPr>
          </w:p>
          <w:p w14:paraId="64B5A62D">
            <w:pPr>
              <w:spacing w:before="58" w:line="195" w:lineRule="auto"/>
              <w:ind w:left="35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736" w:type="dxa"/>
            <w:gridSpan w:val="2"/>
            <w:tcBorders>
              <w:bottom w:val="single" w:color="000000" w:sz="6" w:space="0"/>
            </w:tcBorders>
            <w:vAlign w:val="top"/>
          </w:tcPr>
          <w:p w14:paraId="24F85D26">
            <w:pPr>
              <w:spacing w:line="428" w:lineRule="auto"/>
              <w:rPr>
                <w:rFonts w:ascii="Arial"/>
                <w:sz w:val="21"/>
              </w:rPr>
            </w:pPr>
          </w:p>
          <w:p w14:paraId="78BBAD35">
            <w:pPr>
              <w:spacing w:before="58" w:line="195" w:lineRule="auto"/>
              <w:ind w:left="24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720" w:type="dxa"/>
            <w:tcBorders>
              <w:bottom w:val="single" w:color="000000" w:sz="6" w:space="0"/>
            </w:tcBorders>
            <w:vAlign w:val="top"/>
          </w:tcPr>
          <w:p w14:paraId="73E3A767">
            <w:pPr>
              <w:spacing w:line="428" w:lineRule="auto"/>
              <w:rPr>
                <w:rFonts w:ascii="Arial"/>
                <w:sz w:val="21"/>
              </w:rPr>
            </w:pPr>
          </w:p>
          <w:p w14:paraId="378C3637">
            <w:pPr>
              <w:spacing w:before="58" w:line="195" w:lineRule="auto"/>
              <w:ind w:left="27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141" w:type="dxa"/>
            <w:gridSpan w:val="2"/>
            <w:vMerge w:val="continue"/>
            <w:tcBorders>
              <w:top w:val="nil"/>
              <w:bottom w:val="single" w:color="000000" w:sz="6" w:space="0"/>
              <w:right w:val="single" w:color="000000" w:sz="6" w:space="0"/>
            </w:tcBorders>
            <w:vAlign w:val="top"/>
          </w:tcPr>
          <w:p w14:paraId="0C8CCFF5">
            <w:pPr>
              <w:rPr>
                <w:rFonts w:ascii="Arial"/>
                <w:sz w:val="21"/>
              </w:rPr>
            </w:pPr>
          </w:p>
        </w:tc>
      </w:tr>
    </w:tbl>
    <w:p w14:paraId="75571814">
      <w:pPr>
        <w:rPr>
          <w:rFonts w:ascii="Arial"/>
          <w:sz w:val="21"/>
        </w:rPr>
      </w:pPr>
    </w:p>
    <w:p w14:paraId="4FD9B1D0">
      <w:pPr>
        <w:rPr>
          <w:rFonts w:ascii="Arial" w:hAnsi="Arial" w:eastAsia="Arial" w:cs="Arial"/>
          <w:sz w:val="21"/>
          <w:szCs w:val="21"/>
        </w:rPr>
        <w:sectPr>
          <w:footerReference r:id="rId112" w:type="default"/>
          <w:pgSz w:w="11907" w:h="16840"/>
          <w:pgMar w:top="400" w:right="1178" w:bottom="1240" w:left="1405" w:header="0" w:footer="1077" w:gutter="0"/>
          <w:cols w:space="720" w:num="1"/>
        </w:sectPr>
      </w:pPr>
    </w:p>
    <w:p w14:paraId="1D82D372">
      <w:pPr>
        <w:spacing w:before="13"/>
      </w:pPr>
    </w:p>
    <w:p w14:paraId="4C8A3AF5">
      <w:pPr>
        <w:spacing w:before="13"/>
      </w:pPr>
    </w:p>
    <w:p w14:paraId="05F9DA6A">
      <w:pPr>
        <w:spacing w:before="13"/>
      </w:pPr>
    </w:p>
    <w:p w14:paraId="24CB33D1">
      <w:pPr>
        <w:spacing w:before="12"/>
      </w:pPr>
    </w:p>
    <w:tbl>
      <w:tblPr>
        <w:tblStyle w:val="5"/>
        <w:tblW w:w="9308"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8"/>
        <w:gridCol w:w="110"/>
        <w:gridCol w:w="484"/>
        <w:gridCol w:w="185"/>
        <w:gridCol w:w="1392"/>
        <w:gridCol w:w="1058"/>
        <w:gridCol w:w="1128"/>
        <w:gridCol w:w="115"/>
        <w:gridCol w:w="392"/>
        <w:gridCol w:w="450"/>
        <w:gridCol w:w="637"/>
        <w:gridCol w:w="321"/>
        <w:gridCol w:w="930"/>
        <w:gridCol w:w="738"/>
        <w:gridCol w:w="336"/>
        <w:gridCol w:w="426"/>
        <w:gridCol w:w="128"/>
      </w:tblGrid>
      <w:tr w14:paraId="5F6AEF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7" w:hRule="atLeast"/>
        </w:trPr>
        <w:tc>
          <w:tcPr>
            <w:tcW w:w="478" w:type="dxa"/>
            <w:vMerge w:val="restart"/>
            <w:tcBorders>
              <w:top w:val="single" w:color="000000" w:sz="6" w:space="0"/>
              <w:left w:val="single" w:color="000000" w:sz="6" w:space="0"/>
              <w:bottom w:val="nil"/>
            </w:tcBorders>
            <w:vAlign w:val="top"/>
          </w:tcPr>
          <w:p w14:paraId="0D41BFBE">
            <w:pPr>
              <w:rPr>
                <w:rFonts w:ascii="Arial"/>
                <w:sz w:val="21"/>
              </w:rPr>
            </w:pPr>
          </w:p>
        </w:tc>
        <w:tc>
          <w:tcPr>
            <w:tcW w:w="110" w:type="dxa"/>
            <w:tcBorders>
              <w:top w:val="single" w:color="000000" w:sz="6" w:space="0"/>
              <w:bottom w:val="nil"/>
            </w:tcBorders>
            <w:vAlign w:val="top"/>
          </w:tcPr>
          <w:p w14:paraId="4C8A9896">
            <w:pPr>
              <w:rPr>
                <w:rFonts w:ascii="Arial"/>
                <w:sz w:val="21"/>
              </w:rPr>
            </w:pPr>
          </w:p>
        </w:tc>
        <w:tc>
          <w:tcPr>
            <w:tcW w:w="484" w:type="dxa"/>
            <w:tcBorders>
              <w:top w:val="single" w:color="000000" w:sz="6" w:space="0"/>
            </w:tcBorders>
            <w:vAlign w:val="top"/>
          </w:tcPr>
          <w:p w14:paraId="17F6F6EC">
            <w:pPr>
              <w:spacing w:line="419" w:lineRule="auto"/>
              <w:rPr>
                <w:rFonts w:ascii="Arial"/>
                <w:sz w:val="21"/>
              </w:rPr>
            </w:pPr>
          </w:p>
          <w:p w14:paraId="5EED82D9">
            <w:pPr>
              <w:spacing w:before="58" w:line="195" w:lineRule="auto"/>
              <w:ind w:left="191"/>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577" w:type="dxa"/>
            <w:gridSpan w:val="2"/>
            <w:tcBorders>
              <w:top w:val="single" w:color="000000" w:sz="6" w:space="0"/>
            </w:tcBorders>
            <w:vAlign w:val="top"/>
          </w:tcPr>
          <w:p w14:paraId="5D7F6454">
            <w:pPr>
              <w:spacing w:line="376" w:lineRule="auto"/>
              <w:rPr>
                <w:rFonts w:ascii="Arial"/>
                <w:sz w:val="21"/>
              </w:rPr>
            </w:pPr>
          </w:p>
          <w:p w14:paraId="7A41D509">
            <w:pPr>
              <w:pStyle w:val="6"/>
              <w:spacing w:before="65" w:line="228" w:lineRule="auto"/>
              <w:ind w:left="480"/>
            </w:pPr>
            <w:r>
              <w:rPr>
                <w:spacing w:val="6"/>
              </w:rPr>
              <w:t>水泵房</w:t>
            </w:r>
          </w:p>
        </w:tc>
        <w:tc>
          <w:tcPr>
            <w:tcW w:w="2186" w:type="dxa"/>
            <w:gridSpan w:val="2"/>
            <w:tcBorders>
              <w:top w:val="single" w:color="000000" w:sz="6" w:space="0"/>
            </w:tcBorders>
            <w:vAlign w:val="top"/>
          </w:tcPr>
          <w:p w14:paraId="3EE53A53">
            <w:pPr>
              <w:pStyle w:val="6"/>
              <w:spacing w:before="36" w:line="239" w:lineRule="auto"/>
              <w:ind w:right="8"/>
              <w:jc w:val="right"/>
            </w:pPr>
            <w:r>
              <w:rPr>
                <w:spacing w:val="-1"/>
              </w:rPr>
              <w:t>（</w:t>
            </w:r>
            <w:r>
              <w:rPr>
                <w:rFonts w:ascii="Times New Roman" w:hAnsi="Times New Roman" w:eastAsia="Times New Roman" w:cs="Times New Roman"/>
                <w:spacing w:val="-1"/>
              </w:rPr>
              <w:t>83.744</w:t>
            </w:r>
            <w:r>
              <w:rPr>
                <w:rFonts w:ascii="Times New Roman" w:hAnsi="Times New Roman" w:eastAsia="Times New Roman" w:cs="Times New Roman"/>
                <w:spacing w:val="-11"/>
              </w:rPr>
              <w:t xml:space="preserve"> </w:t>
            </w:r>
            <w:r>
              <w:rPr>
                <w:spacing w:val="-1"/>
              </w:rPr>
              <w:t>，</w:t>
            </w:r>
            <w:r>
              <w:rPr>
                <w:rFonts w:ascii="Times New Roman" w:hAnsi="Times New Roman" w:eastAsia="Times New Roman" w:cs="Times New Roman"/>
                <w:spacing w:val="-1"/>
              </w:rPr>
              <w:t>87.732</w:t>
            </w:r>
            <w:r>
              <w:rPr>
                <w:rFonts w:ascii="Times New Roman" w:hAnsi="Times New Roman" w:eastAsia="Times New Roman" w:cs="Times New Roman"/>
                <w:spacing w:val="-23"/>
              </w:rPr>
              <w:t xml:space="preserve"> </w:t>
            </w:r>
            <w:r>
              <w:rPr>
                <w:spacing w:val="-1"/>
              </w:rPr>
              <w:t>，</w:t>
            </w:r>
            <w:r>
              <w:rPr>
                <w:rFonts w:ascii="Times New Roman" w:hAnsi="Times New Roman" w:eastAsia="Times New Roman" w:cs="Times New Roman"/>
                <w:spacing w:val="-1"/>
              </w:rPr>
              <w:t>0</w:t>
            </w:r>
            <w:r>
              <w:rPr>
                <w:spacing w:val="-1"/>
              </w:rPr>
              <w:t>）</w:t>
            </w:r>
          </w:p>
          <w:p w14:paraId="743EC62B">
            <w:pPr>
              <w:pStyle w:val="6"/>
              <w:spacing w:before="14" w:line="239" w:lineRule="auto"/>
              <w:ind w:right="8"/>
              <w:jc w:val="right"/>
            </w:pPr>
            <w:r>
              <w:rPr>
                <w:spacing w:val="-1"/>
              </w:rPr>
              <w:t>（</w:t>
            </w:r>
            <w:r>
              <w:rPr>
                <w:rFonts w:ascii="Times New Roman" w:hAnsi="Times New Roman" w:eastAsia="Times New Roman" w:cs="Times New Roman"/>
                <w:spacing w:val="-1"/>
              </w:rPr>
              <w:t>88.136</w:t>
            </w:r>
            <w:r>
              <w:rPr>
                <w:rFonts w:ascii="Times New Roman" w:hAnsi="Times New Roman" w:eastAsia="Times New Roman" w:cs="Times New Roman"/>
                <w:spacing w:val="-11"/>
              </w:rPr>
              <w:t xml:space="preserve"> </w:t>
            </w:r>
            <w:r>
              <w:rPr>
                <w:spacing w:val="-1"/>
              </w:rPr>
              <w:t>，</w:t>
            </w:r>
            <w:r>
              <w:rPr>
                <w:rFonts w:ascii="Times New Roman" w:hAnsi="Times New Roman" w:eastAsia="Times New Roman" w:cs="Times New Roman"/>
                <w:spacing w:val="-1"/>
              </w:rPr>
              <w:t>87.732</w:t>
            </w:r>
            <w:r>
              <w:rPr>
                <w:rFonts w:ascii="Times New Roman" w:hAnsi="Times New Roman" w:eastAsia="Times New Roman" w:cs="Times New Roman"/>
                <w:spacing w:val="-23"/>
              </w:rPr>
              <w:t xml:space="preserve"> </w:t>
            </w:r>
            <w:r>
              <w:rPr>
                <w:spacing w:val="-1"/>
              </w:rPr>
              <w:t>，</w:t>
            </w:r>
            <w:r>
              <w:rPr>
                <w:rFonts w:ascii="Times New Roman" w:hAnsi="Times New Roman" w:eastAsia="Times New Roman" w:cs="Times New Roman"/>
                <w:spacing w:val="-1"/>
              </w:rPr>
              <w:t>0</w:t>
            </w:r>
            <w:r>
              <w:rPr>
                <w:spacing w:val="-1"/>
              </w:rPr>
              <w:t>）</w:t>
            </w:r>
          </w:p>
          <w:p w14:paraId="0CE17AA8">
            <w:pPr>
              <w:pStyle w:val="6"/>
              <w:spacing w:before="12" w:line="239" w:lineRule="auto"/>
              <w:ind w:right="8"/>
              <w:jc w:val="right"/>
            </w:pPr>
            <w:r>
              <w:rPr>
                <w:spacing w:val="-1"/>
              </w:rPr>
              <w:t>（</w:t>
            </w:r>
            <w:r>
              <w:rPr>
                <w:rFonts w:ascii="Times New Roman" w:hAnsi="Times New Roman" w:eastAsia="Times New Roman" w:cs="Times New Roman"/>
                <w:spacing w:val="-1"/>
              </w:rPr>
              <w:t>88.136</w:t>
            </w:r>
            <w:r>
              <w:rPr>
                <w:rFonts w:ascii="Times New Roman" w:hAnsi="Times New Roman" w:eastAsia="Times New Roman" w:cs="Times New Roman"/>
                <w:spacing w:val="-11"/>
              </w:rPr>
              <w:t xml:space="preserve"> </w:t>
            </w:r>
            <w:r>
              <w:rPr>
                <w:spacing w:val="-1"/>
              </w:rPr>
              <w:t>，</w:t>
            </w:r>
            <w:r>
              <w:rPr>
                <w:rFonts w:ascii="Times New Roman" w:hAnsi="Times New Roman" w:eastAsia="Times New Roman" w:cs="Times New Roman"/>
                <w:spacing w:val="-1"/>
              </w:rPr>
              <w:t>80.266</w:t>
            </w:r>
            <w:r>
              <w:rPr>
                <w:rFonts w:ascii="Times New Roman" w:hAnsi="Times New Roman" w:eastAsia="Times New Roman" w:cs="Times New Roman"/>
                <w:spacing w:val="-23"/>
              </w:rPr>
              <w:t xml:space="preserve"> </w:t>
            </w:r>
            <w:r>
              <w:rPr>
                <w:spacing w:val="-1"/>
              </w:rPr>
              <w:t>，</w:t>
            </w:r>
            <w:r>
              <w:rPr>
                <w:rFonts w:ascii="Times New Roman" w:hAnsi="Times New Roman" w:eastAsia="Times New Roman" w:cs="Times New Roman"/>
                <w:spacing w:val="-1"/>
              </w:rPr>
              <w:t>0</w:t>
            </w:r>
            <w:r>
              <w:rPr>
                <w:spacing w:val="-1"/>
              </w:rPr>
              <w:t>）</w:t>
            </w:r>
          </w:p>
          <w:p w14:paraId="1A60813F">
            <w:pPr>
              <w:pStyle w:val="6"/>
              <w:spacing w:before="14" w:line="215" w:lineRule="auto"/>
              <w:ind w:right="8"/>
              <w:jc w:val="right"/>
            </w:pPr>
            <w:r>
              <w:rPr>
                <w:spacing w:val="-1"/>
              </w:rPr>
              <w:t>（</w:t>
            </w:r>
            <w:r>
              <w:rPr>
                <w:rFonts w:ascii="Times New Roman" w:hAnsi="Times New Roman" w:eastAsia="Times New Roman" w:cs="Times New Roman"/>
                <w:spacing w:val="-1"/>
              </w:rPr>
              <w:t>83.964</w:t>
            </w:r>
            <w:r>
              <w:rPr>
                <w:rFonts w:ascii="Times New Roman" w:hAnsi="Times New Roman" w:eastAsia="Times New Roman" w:cs="Times New Roman"/>
                <w:spacing w:val="-11"/>
              </w:rPr>
              <w:t xml:space="preserve"> </w:t>
            </w:r>
            <w:r>
              <w:rPr>
                <w:spacing w:val="-1"/>
              </w:rPr>
              <w:t>，</w:t>
            </w:r>
            <w:r>
              <w:rPr>
                <w:rFonts w:ascii="Times New Roman" w:hAnsi="Times New Roman" w:eastAsia="Times New Roman" w:cs="Times New Roman"/>
                <w:spacing w:val="-1"/>
              </w:rPr>
              <w:t>81.364</w:t>
            </w:r>
            <w:r>
              <w:rPr>
                <w:rFonts w:ascii="Times New Roman" w:hAnsi="Times New Roman" w:eastAsia="Times New Roman" w:cs="Times New Roman"/>
                <w:spacing w:val="-23"/>
              </w:rPr>
              <w:t xml:space="preserve"> </w:t>
            </w:r>
            <w:r>
              <w:rPr>
                <w:spacing w:val="-1"/>
              </w:rPr>
              <w:t>，</w:t>
            </w:r>
            <w:r>
              <w:rPr>
                <w:rFonts w:ascii="Times New Roman" w:hAnsi="Times New Roman" w:eastAsia="Times New Roman" w:cs="Times New Roman"/>
                <w:spacing w:val="-1"/>
              </w:rPr>
              <w:t>0</w:t>
            </w:r>
            <w:r>
              <w:rPr>
                <w:spacing w:val="-1"/>
              </w:rPr>
              <w:t>）</w:t>
            </w:r>
          </w:p>
        </w:tc>
        <w:tc>
          <w:tcPr>
            <w:tcW w:w="957" w:type="dxa"/>
            <w:gridSpan w:val="3"/>
            <w:tcBorders>
              <w:top w:val="single" w:color="000000" w:sz="6" w:space="0"/>
            </w:tcBorders>
            <w:vAlign w:val="top"/>
          </w:tcPr>
          <w:p w14:paraId="49D44B0A">
            <w:pPr>
              <w:spacing w:line="422" w:lineRule="auto"/>
              <w:rPr>
                <w:rFonts w:ascii="Arial"/>
                <w:sz w:val="21"/>
              </w:rPr>
            </w:pPr>
          </w:p>
          <w:p w14:paraId="5F604327">
            <w:pPr>
              <w:spacing w:before="58" w:line="192" w:lineRule="auto"/>
              <w:ind w:left="35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7.5</w:t>
            </w:r>
          </w:p>
        </w:tc>
        <w:tc>
          <w:tcPr>
            <w:tcW w:w="958" w:type="dxa"/>
            <w:gridSpan w:val="2"/>
            <w:tcBorders>
              <w:top w:val="single" w:color="000000" w:sz="6" w:space="0"/>
            </w:tcBorders>
            <w:vAlign w:val="top"/>
          </w:tcPr>
          <w:p w14:paraId="7C08E68A">
            <w:pPr>
              <w:spacing w:line="419" w:lineRule="auto"/>
              <w:rPr>
                <w:rFonts w:ascii="Arial"/>
                <w:sz w:val="21"/>
              </w:rPr>
            </w:pPr>
          </w:p>
          <w:p w14:paraId="53B07A82">
            <w:pPr>
              <w:spacing w:before="58"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w:t>
            </w:r>
          </w:p>
        </w:tc>
        <w:tc>
          <w:tcPr>
            <w:tcW w:w="930" w:type="dxa"/>
            <w:tcBorders>
              <w:top w:val="single" w:color="000000" w:sz="6" w:space="0"/>
            </w:tcBorders>
            <w:vAlign w:val="top"/>
          </w:tcPr>
          <w:p w14:paraId="38E63650">
            <w:pPr>
              <w:spacing w:line="419" w:lineRule="auto"/>
              <w:rPr>
                <w:rFonts w:ascii="Arial"/>
                <w:sz w:val="21"/>
              </w:rPr>
            </w:pPr>
          </w:p>
          <w:p w14:paraId="2744D02E">
            <w:pPr>
              <w:spacing w:before="58" w:line="195" w:lineRule="auto"/>
              <w:ind w:left="439"/>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738" w:type="dxa"/>
            <w:tcBorders>
              <w:top w:val="single" w:color="000000" w:sz="6" w:space="0"/>
            </w:tcBorders>
            <w:vAlign w:val="top"/>
          </w:tcPr>
          <w:p w14:paraId="1EB73FE4">
            <w:pPr>
              <w:spacing w:line="419" w:lineRule="auto"/>
              <w:rPr>
                <w:rFonts w:ascii="Arial"/>
                <w:sz w:val="21"/>
              </w:rPr>
            </w:pPr>
          </w:p>
          <w:p w14:paraId="36A0414C">
            <w:pPr>
              <w:spacing w:before="58"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762" w:type="dxa"/>
            <w:gridSpan w:val="2"/>
            <w:tcBorders>
              <w:top w:val="single" w:color="000000" w:sz="6" w:space="0"/>
            </w:tcBorders>
            <w:vAlign w:val="top"/>
          </w:tcPr>
          <w:p w14:paraId="0F93E4F4">
            <w:pPr>
              <w:spacing w:line="419" w:lineRule="auto"/>
              <w:rPr>
                <w:rFonts w:ascii="Arial"/>
                <w:sz w:val="21"/>
              </w:rPr>
            </w:pPr>
          </w:p>
          <w:p w14:paraId="56049FA0">
            <w:pPr>
              <w:spacing w:before="58" w:line="195" w:lineRule="auto"/>
              <w:ind w:left="30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tc>
        <w:tc>
          <w:tcPr>
            <w:tcW w:w="128" w:type="dxa"/>
            <w:tcBorders>
              <w:top w:val="single" w:color="000000" w:sz="6" w:space="0"/>
              <w:bottom w:val="nil"/>
              <w:right w:val="single" w:color="000000" w:sz="6" w:space="0"/>
            </w:tcBorders>
            <w:vAlign w:val="top"/>
          </w:tcPr>
          <w:p w14:paraId="4C44ECFA">
            <w:pPr>
              <w:rPr>
                <w:rFonts w:ascii="Arial"/>
                <w:sz w:val="21"/>
              </w:rPr>
            </w:pPr>
          </w:p>
        </w:tc>
      </w:tr>
      <w:tr w14:paraId="173CC3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2" w:hRule="atLeast"/>
        </w:trPr>
        <w:tc>
          <w:tcPr>
            <w:tcW w:w="478" w:type="dxa"/>
            <w:vMerge w:val="continue"/>
            <w:tcBorders>
              <w:top w:val="nil"/>
              <w:left w:val="single" w:color="000000" w:sz="6" w:space="0"/>
              <w:bottom w:val="nil"/>
            </w:tcBorders>
            <w:vAlign w:val="top"/>
          </w:tcPr>
          <w:p w14:paraId="6C97E9CD">
            <w:pPr>
              <w:rPr>
                <w:rFonts w:ascii="Arial"/>
                <w:sz w:val="21"/>
              </w:rPr>
            </w:pPr>
          </w:p>
        </w:tc>
        <w:tc>
          <w:tcPr>
            <w:tcW w:w="8830" w:type="dxa"/>
            <w:gridSpan w:val="16"/>
            <w:tcBorders>
              <w:right w:val="single" w:color="000000" w:sz="6" w:space="0"/>
            </w:tcBorders>
            <w:vAlign w:val="top"/>
          </w:tcPr>
          <w:p w14:paraId="135E1CE7">
            <w:pPr>
              <w:pStyle w:val="6"/>
              <w:spacing w:before="277" w:line="219" w:lineRule="auto"/>
              <w:ind w:left="588"/>
              <w:rPr>
                <w:sz w:val="24"/>
                <w:szCs w:val="24"/>
              </w:rPr>
            </w:pPr>
            <w:r>
              <w:rPr>
                <w:spacing w:val="-1"/>
                <w:sz w:val="24"/>
                <w:szCs w:val="24"/>
              </w:rPr>
              <w:t>本项目噪声预测参数详见下表：</w:t>
            </w:r>
          </w:p>
          <w:p w14:paraId="5F0B0AD0">
            <w:pPr>
              <w:pStyle w:val="6"/>
              <w:spacing w:before="179" w:line="213" w:lineRule="auto"/>
              <w:ind w:left="2930"/>
            </w:pPr>
            <w:r>
              <w:rPr>
                <w:b/>
                <w:bCs/>
                <w:spacing w:val="5"/>
              </w:rPr>
              <w:t>表</w:t>
            </w:r>
            <w:r>
              <w:rPr>
                <w:spacing w:val="-32"/>
              </w:rPr>
              <w:t xml:space="preserve"> </w:t>
            </w:r>
            <w:r>
              <w:rPr>
                <w:rFonts w:ascii="Times New Roman" w:hAnsi="Times New Roman" w:eastAsia="Times New Roman" w:cs="Times New Roman"/>
                <w:b/>
                <w:bCs/>
                <w:spacing w:val="5"/>
              </w:rPr>
              <w:t xml:space="preserve">4-6      </w:t>
            </w:r>
            <w:r>
              <w:rPr>
                <w:b/>
                <w:bCs/>
                <w:spacing w:val="5"/>
              </w:rPr>
              <w:t>本期工程噪声预测参数</w:t>
            </w:r>
          </w:p>
        </w:tc>
      </w:tr>
      <w:tr w14:paraId="736F0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478" w:type="dxa"/>
            <w:vMerge w:val="continue"/>
            <w:tcBorders>
              <w:top w:val="nil"/>
              <w:left w:val="single" w:color="000000" w:sz="6" w:space="0"/>
              <w:bottom w:val="nil"/>
            </w:tcBorders>
            <w:vAlign w:val="top"/>
          </w:tcPr>
          <w:p w14:paraId="448F1174">
            <w:pPr>
              <w:rPr>
                <w:rFonts w:ascii="Arial"/>
                <w:sz w:val="21"/>
              </w:rPr>
            </w:pPr>
          </w:p>
        </w:tc>
        <w:tc>
          <w:tcPr>
            <w:tcW w:w="110" w:type="dxa"/>
            <w:tcBorders>
              <w:top w:val="nil"/>
              <w:bottom w:val="nil"/>
            </w:tcBorders>
            <w:vAlign w:val="top"/>
          </w:tcPr>
          <w:p w14:paraId="1B79773C">
            <w:pPr>
              <w:rPr>
                <w:rFonts w:ascii="Arial"/>
                <w:sz w:val="21"/>
              </w:rPr>
            </w:pPr>
          </w:p>
        </w:tc>
        <w:tc>
          <w:tcPr>
            <w:tcW w:w="4754" w:type="dxa"/>
            <w:gridSpan w:val="7"/>
            <w:vAlign w:val="top"/>
          </w:tcPr>
          <w:p w14:paraId="24397BDD">
            <w:pPr>
              <w:pStyle w:val="6"/>
              <w:spacing w:before="44" w:line="222" w:lineRule="auto"/>
              <w:ind w:left="1645"/>
            </w:pPr>
            <w:r>
              <w:rPr>
                <w:spacing w:val="8"/>
              </w:rPr>
              <w:t>变电站布置形式</w:t>
            </w:r>
          </w:p>
        </w:tc>
        <w:tc>
          <w:tcPr>
            <w:tcW w:w="3412" w:type="dxa"/>
            <w:gridSpan w:val="6"/>
            <w:vAlign w:val="top"/>
          </w:tcPr>
          <w:p w14:paraId="05E2C3A0">
            <w:pPr>
              <w:pStyle w:val="6"/>
              <w:spacing w:before="44" w:line="222" w:lineRule="auto"/>
              <w:ind w:left="1505"/>
            </w:pPr>
            <w:r>
              <w:rPr>
                <w:spacing w:val="4"/>
              </w:rPr>
              <w:t>户外</w:t>
            </w:r>
          </w:p>
        </w:tc>
        <w:tc>
          <w:tcPr>
            <w:tcW w:w="554" w:type="dxa"/>
            <w:gridSpan w:val="2"/>
            <w:vMerge w:val="restart"/>
            <w:tcBorders>
              <w:top w:val="nil"/>
              <w:bottom w:val="nil"/>
              <w:right w:val="single" w:color="000000" w:sz="6" w:space="0"/>
            </w:tcBorders>
            <w:vAlign w:val="top"/>
          </w:tcPr>
          <w:p w14:paraId="71942E24">
            <w:pPr>
              <w:rPr>
                <w:rFonts w:ascii="Arial"/>
                <w:sz w:val="21"/>
              </w:rPr>
            </w:pPr>
          </w:p>
        </w:tc>
      </w:tr>
      <w:tr w14:paraId="16642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478" w:type="dxa"/>
            <w:vMerge w:val="continue"/>
            <w:tcBorders>
              <w:top w:val="nil"/>
              <w:left w:val="single" w:color="000000" w:sz="6" w:space="0"/>
              <w:bottom w:val="nil"/>
            </w:tcBorders>
            <w:vAlign w:val="top"/>
          </w:tcPr>
          <w:p w14:paraId="6E2BB15E">
            <w:pPr>
              <w:rPr>
                <w:rFonts w:ascii="Arial"/>
                <w:sz w:val="21"/>
              </w:rPr>
            </w:pPr>
          </w:p>
        </w:tc>
        <w:tc>
          <w:tcPr>
            <w:tcW w:w="110" w:type="dxa"/>
            <w:tcBorders>
              <w:top w:val="nil"/>
              <w:bottom w:val="nil"/>
            </w:tcBorders>
            <w:vAlign w:val="top"/>
          </w:tcPr>
          <w:p w14:paraId="027DA3CA">
            <w:pPr>
              <w:rPr>
                <w:rFonts w:ascii="Arial"/>
                <w:sz w:val="21"/>
              </w:rPr>
            </w:pPr>
          </w:p>
        </w:tc>
        <w:tc>
          <w:tcPr>
            <w:tcW w:w="4754" w:type="dxa"/>
            <w:gridSpan w:val="7"/>
            <w:vAlign w:val="top"/>
          </w:tcPr>
          <w:p w14:paraId="14ADF566">
            <w:pPr>
              <w:pStyle w:val="6"/>
              <w:spacing w:before="41" w:line="221" w:lineRule="auto"/>
              <w:ind w:left="686"/>
            </w:pPr>
            <w:r>
              <w:rPr>
                <w:spacing w:val="7"/>
              </w:rPr>
              <w:t>站区平面尺寸（长（</w:t>
            </w:r>
            <w:r>
              <w:rPr>
                <w:rFonts w:ascii="Times New Roman" w:hAnsi="Times New Roman" w:eastAsia="Times New Roman" w:cs="Times New Roman"/>
                <w:spacing w:val="7"/>
              </w:rPr>
              <w:t>m</w:t>
            </w:r>
            <w:r>
              <w:rPr>
                <w:spacing w:val="7"/>
              </w:rPr>
              <w:t>）</w:t>
            </w:r>
            <w:r>
              <w:rPr>
                <w:spacing w:val="-74"/>
              </w:rPr>
              <w:t xml:space="preserve"> </w:t>
            </w:r>
            <w:r>
              <w:rPr>
                <w:rFonts w:ascii="Times New Roman" w:hAnsi="Times New Roman" w:eastAsia="Times New Roman" w:cs="Times New Roman"/>
                <w:spacing w:val="7"/>
              </w:rPr>
              <w:t>×</w:t>
            </w:r>
            <w:r>
              <w:rPr>
                <w:spacing w:val="7"/>
              </w:rPr>
              <w:t>宽（</w:t>
            </w:r>
            <w:r>
              <w:rPr>
                <w:rFonts w:ascii="Times New Roman" w:hAnsi="Times New Roman" w:eastAsia="Times New Roman" w:cs="Times New Roman"/>
                <w:spacing w:val="7"/>
              </w:rPr>
              <w:t>m</w:t>
            </w:r>
            <w:r>
              <w:t>））</w:t>
            </w:r>
          </w:p>
        </w:tc>
        <w:tc>
          <w:tcPr>
            <w:tcW w:w="3412" w:type="dxa"/>
            <w:gridSpan w:val="6"/>
            <w:vAlign w:val="top"/>
          </w:tcPr>
          <w:p w14:paraId="1D00A8A8">
            <w:pPr>
              <w:spacing w:before="74" w:line="199" w:lineRule="auto"/>
              <w:ind w:left="1415"/>
              <w:rPr>
                <w:rFonts w:ascii="Times New Roman" w:hAnsi="Times New Roman" w:eastAsia="Times New Roman" w:cs="Times New Roman"/>
                <w:sz w:val="20"/>
                <w:szCs w:val="20"/>
              </w:rPr>
            </w:pPr>
            <w:r>
              <w:rPr>
                <w:rFonts w:ascii="Times New Roman" w:hAnsi="Times New Roman" w:eastAsia="Times New Roman" w:cs="Times New Roman"/>
                <w:sz w:val="20"/>
                <w:szCs w:val="20"/>
              </w:rPr>
              <w:t>100*91</w:t>
            </w:r>
          </w:p>
        </w:tc>
        <w:tc>
          <w:tcPr>
            <w:tcW w:w="554" w:type="dxa"/>
            <w:gridSpan w:val="2"/>
            <w:vMerge w:val="continue"/>
            <w:tcBorders>
              <w:top w:val="nil"/>
              <w:bottom w:val="nil"/>
              <w:right w:val="single" w:color="000000" w:sz="6" w:space="0"/>
            </w:tcBorders>
            <w:vAlign w:val="top"/>
          </w:tcPr>
          <w:p w14:paraId="27764ADE">
            <w:pPr>
              <w:rPr>
                <w:rFonts w:ascii="Arial"/>
                <w:sz w:val="21"/>
              </w:rPr>
            </w:pPr>
          </w:p>
        </w:tc>
      </w:tr>
      <w:tr w14:paraId="458794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478" w:type="dxa"/>
            <w:vMerge w:val="continue"/>
            <w:tcBorders>
              <w:top w:val="nil"/>
              <w:left w:val="single" w:color="000000" w:sz="6" w:space="0"/>
              <w:bottom w:val="nil"/>
            </w:tcBorders>
            <w:vAlign w:val="top"/>
          </w:tcPr>
          <w:p w14:paraId="4EDF74E0">
            <w:pPr>
              <w:rPr>
                <w:rFonts w:ascii="Arial"/>
                <w:sz w:val="21"/>
              </w:rPr>
            </w:pPr>
          </w:p>
        </w:tc>
        <w:tc>
          <w:tcPr>
            <w:tcW w:w="110" w:type="dxa"/>
            <w:tcBorders>
              <w:top w:val="nil"/>
              <w:bottom w:val="nil"/>
            </w:tcBorders>
            <w:vAlign w:val="top"/>
          </w:tcPr>
          <w:p w14:paraId="73D3007F">
            <w:pPr>
              <w:rPr>
                <w:rFonts w:ascii="Arial"/>
                <w:sz w:val="21"/>
              </w:rPr>
            </w:pPr>
          </w:p>
        </w:tc>
        <w:tc>
          <w:tcPr>
            <w:tcW w:w="4754" w:type="dxa"/>
            <w:gridSpan w:val="7"/>
            <w:vAlign w:val="top"/>
          </w:tcPr>
          <w:p w14:paraId="519398E0">
            <w:pPr>
              <w:pStyle w:val="6"/>
              <w:spacing w:before="43" w:line="225" w:lineRule="auto"/>
              <w:ind w:left="2172"/>
            </w:pPr>
            <w:r>
              <w:rPr>
                <w:spacing w:val="2"/>
              </w:rPr>
              <w:t>声源</w:t>
            </w:r>
          </w:p>
        </w:tc>
        <w:tc>
          <w:tcPr>
            <w:tcW w:w="3412" w:type="dxa"/>
            <w:gridSpan w:val="6"/>
            <w:vAlign w:val="top"/>
          </w:tcPr>
          <w:p w14:paraId="6D81067E">
            <w:pPr>
              <w:pStyle w:val="6"/>
              <w:spacing w:before="43" w:line="225" w:lineRule="auto"/>
              <w:ind w:left="1297"/>
            </w:pPr>
            <w:r>
              <w:rPr>
                <w:spacing w:val="6"/>
              </w:rPr>
              <w:t>主变压器</w:t>
            </w:r>
          </w:p>
        </w:tc>
        <w:tc>
          <w:tcPr>
            <w:tcW w:w="554" w:type="dxa"/>
            <w:gridSpan w:val="2"/>
            <w:vMerge w:val="continue"/>
            <w:tcBorders>
              <w:top w:val="nil"/>
              <w:bottom w:val="nil"/>
              <w:right w:val="single" w:color="000000" w:sz="6" w:space="0"/>
            </w:tcBorders>
            <w:vAlign w:val="top"/>
          </w:tcPr>
          <w:p w14:paraId="641C94AD">
            <w:pPr>
              <w:rPr>
                <w:rFonts w:ascii="Arial"/>
                <w:sz w:val="21"/>
              </w:rPr>
            </w:pPr>
          </w:p>
        </w:tc>
      </w:tr>
      <w:tr w14:paraId="76D488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478" w:type="dxa"/>
            <w:vMerge w:val="continue"/>
            <w:tcBorders>
              <w:top w:val="nil"/>
              <w:left w:val="single" w:color="000000" w:sz="6" w:space="0"/>
              <w:bottom w:val="nil"/>
            </w:tcBorders>
            <w:vAlign w:val="top"/>
          </w:tcPr>
          <w:p w14:paraId="329D5F6E">
            <w:pPr>
              <w:rPr>
                <w:rFonts w:ascii="Arial"/>
                <w:sz w:val="21"/>
              </w:rPr>
            </w:pPr>
          </w:p>
        </w:tc>
        <w:tc>
          <w:tcPr>
            <w:tcW w:w="110" w:type="dxa"/>
            <w:tcBorders>
              <w:top w:val="nil"/>
              <w:bottom w:val="nil"/>
            </w:tcBorders>
            <w:vAlign w:val="top"/>
          </w:tcPr>
          <w:p w14:paraId="0717974E">
            <w:pPr>
              <w:rPr>
                <w:rFonts w:ascii="Arial"/>
                <w:sz w:val="21"/>
              </w:rPr>
            </w:pPr>
          </w:p>
        </w:tc>
        <w:tc>
          <w:tcPr>
            <w:tcW w:w="4754" w:type="dxa"/>
            <w:gridSpan w:val="7"/>
            <w:vAlign w:val="top"/>
          </w:tcPr>
          <w:p w14:paraId="1DDC6D8E">
            <w:pPr>
              <w:pStyle w:val="6"/>
              <w:spacing w:before="44" w:line="222" w:lineRule="auto"/>
              <w:ind w:left="1964"/>
            </w:pPr>
            <w:r>
              <w:rPr>
                <w:spacing w:val="6"/>
              </w:rPr>
              <w:t>声源类型</w:t>
            </w:r>
          </w:p>
        </w:tc>
        <w:tc>
          <w:tcPr>
            <w:tcW w:w="3412" w:type="dxa"/>
            <w:gridSpan w:val="6"/>
            <w:vAlign w:val="top"/>
          </w:tcPr>
          <w:p w14:paraId="5999CDAE">
            <w:pPr>
              <w:pStyle w:val="6"/>
              <w:spacing w:before="44" w:line="222" w:lineRule="auto"/>
              <w:ind w:left="1399"/>
            </w:pPr>
            <w:r>
              <w:rPr>
                <w:spacing w:val="6"/>
              </w:rPr>
              <w:t>面声源</w:t>
            </w:r>
          </w:p>
        </w:tc>
        <w:tc>
          <w:tcPr>
            <w:tcW w:w="554" w:type="dxa"/>
            <w:gridSpan w:val="2"/>
            <w:vMerge w:val="continue"/>
            <w:tcBorders>
              <w:top w:val="nil"/>
              <w:bottom w:val="nil"/>
              <w:right w:val="single" w:color="000000" w:sz="6" w:space="0"/>
            </w:tcBorders>
            <w:vAlign w:val="top"/>
          </w:tcPr>
          <w:p w14:paraId="361C6495">
            <w:pPr>
              <w:rPr>
                <w:rFonts w:ascii="Arial"/>
                <w:sz w:val="21"/>
              </w:rPr>
            </w:pPr>
          </w:p>
        </w:tc>
      </w:tr>
      <w:tr w14:paraId="74B6D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 w:hRule="atLeast"/>
        </w:trPr>
        <w:tc>
          <w:tcPr>
            <w:tcW w:w="478" w:type="dxa"/>
            <w:vMerge w:val="continue"/>
            <w:tcBorders>
              <w:top w:val="nil"/>
              <w:left w:val="single" w:color="000000" w:sz="6" w:space="0"/>
              <w:bottom w:val="nil"/>
            </w:tcBorders>
            <w:vAlign w:val="top"/>
          </w:tcPr>
          <w:p w14:paraId="6EC0F5CC">
            <w:pPr>
              <w:rPr>
                <w:rFonts w:ascii="Arial"/>
                <w:sz w:val="21"/>
              </w:rPr>
            </w:pPr>
          </w:p>
        </w:tc>
        <w:tc>
          <w:tcPr>
            <w:tcW w:w="110" w:type="dxa"/>
            <w:tcBorders>
              <w:top w:val="nil"/>
              <w:bottom w:val="nil"/>
            </w:tcBorders>
            <w:vAlign w:val="top"/>
          </w:tcPr>
          <w:p w14:paraId="59DB096B">
            <w:pPr>
              <w:rPr>
                <w:rFonts w:ascii="Arial"/>
                <w:sz w:val="21"/>
              </w:rPr>
            </w:pPr>
          </w:p>
        </w:tc>
        <w:tc>
          <w:tcPr>
            <w:tcW w:w="4754" w:type="dxa"/>
            <w:gridSpan w:val="7"/>
            <w:vAlign w:val="top"/>
          </w:tcPr>
          <w:p w14:paraId="1F8F5403">
            <w:pPr>
              <w:pStyle w:val="6"/>
              <w:spacing w:before="44" w:line="223" w:lineRule="auto"/>
              <w:ind w:left="1649"/>
            </w:pPr>
            <w:r>
              <w:rPr>
                <w:spacing w:val="6"/>
              </w:rPr>
              <w:t>声源个数（个）</w:t>
            </w:r>
          </w:p>
        </w:tc>
        <w:tc>
          <w:tcPr>
            <w:tcW w:w="3412" w:type="dxa"/>
            <w:gridSpan w:val="6"/>
            <w:vAlign w:val="top"/>
          </w:tcPr>
          <w:p w14:paraId="50F9A8FB">
            <w:pPr>
              <w:spacing w:before="80" w:line="195" w:lineRule="auto"/>
              <w:ind w:left="165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554" w:type="dxa"/>
            <w:gridSpan w:val="2"/>
            <w:vMerge w:val="continue"/>
            <w:tcBorders>
              <w:top w:val="nil"/>
              <w:bottom w:val="nil"/>
              <w:right w:val="single" w:color="000000" w:sz="6" w:space="0"/>
            </w:tcBorders>
            <w:vAlign w:val="top"/>
          </w:tcPr>
          <w:p w14:paraId="2187AF67">
            <w:pPr>
              <w:rPr>
                <w:rFonts w:ascii="Arial"/>
                <w:sz w:val="21"/>
              </w:rPr>
            </w:pPr>
          </w:p>
        </w:tc>
      </w:tr>
      <w:tr w14:paraId="5E4230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478" w:type="dxa"/>
            <w:vMerge w:val="continue"/>
            <w:tcBorders>
              <w:top w:val="nil"/>
              <w:left w:val="single" w:color="000000" w:sz="6" w:space="0"/>
              <w:bottom w:val="nil"/>
            </w:tcBorders>
            <w:vAlign w:val="top"/>
          </w:tcPr>
          <w:p w14:paraId="592BBDC2">
            <w:pPr>
              <w:rPr>
                <w:rFonts w:ascii="Arial"/>
                <w:sz w:val="21"/>
              </w:rPr>
            </w:pPr>
          </w:p>
        </w:tc>
        <w:tc>
          <w:tcPr>
            <w:tcW w:w="110" w:type="dxa"/>
            <w:tcBorders>
              <w:top w:val="nil"/>
              <w:bottom w:val="nil"/>
            </w:tcBorders>
            <w:vAlign w:val="top"/>
          </w:tcPr>
          <w:p w14:paraId="41005D5A">
            <w:pPr>
              <w:rPr>
                <w:rFonts w:ascii="Arial"/>
                <w:sz w:val="21"/>
              </w:rPr>
            </w:pPr>
          </w:p>
        </w:tc>
        <w:tc>
          <w:tcPr>
            <w:tcW w:w="4754" w:type="dxa"/>
            <w:gridSpan w:val="7"/>
            <w:vAlign w:val="top"/>
          </w:tcPr>
          <w:p w14:paraId="41CE38B0">
            <w:pPr>
              <w:pStyle w:val="6"/>
              <w:spacing w:before="45" w:line="223" w:lineRule="auto"/>
              <w:ind w:left="920"/>
            </w:pPr>
            <w:r>
              <w:rPr>
                <w:spacing w:val="4"/>
              </w:rPr>
              <w:t>主变压器</w:t>
            </w:r>
            <w:r>
              <w:rPr>
                <w:spacing w:val="-15"/>
              </w:rPr>
              <w:t xml:space="preserve"> </w:t>
            </w:r>
            <w:r>
              <w:rPr>
                <w:rFonts w:ascii="Times New Roman" w:hAnsi="Times New Roman" w:eastAsia="Times New Roman" w:cs="Times New Roman"/>
                <w:spacing w:val="4"/>
              </w:rPr>
              <w:t>1m</w:t>
            </w:r>
            <w:r>
              <w:rPr>
                <w:rFonts w:ascii="Times New Roman" w:hAnsi="Times New Roman" w:eastAsia="Times New Roman" w:cs="Times New Roman"/>
                <w:spacing w:val="16"/>
              </w:rPr>
              <w:t xml:space="preserve"> </w:t>
            </w:r>
            <w:r>
              <w:rPr>
                <w:spacing w:val="4"/>
              </w:rPr>
              <w:t>外声压级</w:t>
            </w:r>
            <w:r>
              <w:rPr>
                <w:spacing w:val="-38"/>
              </w:rPr>
              <w:t xml:space="preserve"> </w:t>
            </w:r>
            <w:r>
              <w:rPr>
                <w:rFonts w:ascii="Times New Roman" w:hAnsi="Times New Roman" w:eastAsia="Times New Roman" w:cs="Times New Roman"/>
              </w:rPr>
              <w:t>dB</w:t>
            </w:r>
            <w:r>
              <w:rPr>
                <w:spacing w:val="4"/>
              </w:rPr>
              <w:t>（</w:t>
            </w:r>
            <w:r>
              <w:rPr>
                <w:rFonts w:ascii="Times New Roman" w:hAnsi="Times New Roman" w:eastAsia="Times New Roman" w:cs="Times New Roman"/>
                <w:spacing w:val="4"/>
              </w:rPr>
              <w:t>A</w:t>
            </w:r>
            <w:r>
              <w:rPr>
                <w:spacing w:val="4"/>
              </w:rPr>
              <w:t>）</w:t>
            </w:r>
          </w:p>
        </w:tc>
        <w:tc>
          <w:tcPr>
            <w:tcW w:w="3412" w:type="dxa"/>
            <w:gridSpan w:val="6"/>
            <w:vAlign w:val="top"/>
          </w:tcPr>
          <w:p w14:paraId="360E3368">
            <w:pPr>
              <w:spacing w:before="81" w:line="195" w:lineRule="auto"/>
              <w:ind w:left="153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63.7</w:t>
            </w:r>
          </w:p>
        </w:tc>
        <w:tc>
          <w:tcPr>
            <w:tcW w:w="554" w:type="dxa"/>
            <w:gridSpan w:val="2"/>
            <w:vMerge w:val="continue"/>
            <w:tcBorders>
              <w:top w:val="nil"/>
              <w:bottom w:val="nil"/>
              <w:right w:val="single" w:color="000000" w:sz="6" w:space="0"/>
            </w:tcBorders>
            <w:vAlign w:val="top"/>
          </w:tcPr>
          <w:p w14:paraId="2AD37056">
            <w:pPr>
              <w:rPr>
                <w:rFonts w:ascii="Arial"/>
                <w:sz w:val="21"/>
              </w:rPr>
            </w:pPr>
          </w:p>
        </w:tc>
      </w:tr>
      <w:tr w14:paraId="5DB22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478" w:type="dxa"/>
            <w:vMerge w:val="continue"/>
            <w:tcBorders>
              <w:top w:val="nil"/>
              <w:left w:val="single" w:color="000000" w:sz="6" w:space="0"/>
              <w:bottom w:val="nil"/>
            </w:tcBorders>
            <w:vAlign w:val="top"/>
          </w:tcPr>
          <w:p w14:paraId="73B1CAB3">
            <w:pPr>
              <w:rPr>
                <w:rFonts w:ascii="Arial"/>
                <w:sz w:val="21"/>
              </w:rPr>
            </w:pPr>
          </w:p>
        </w:tc>
        <w:tc>
          <w:tcPr>
            <w:tcW w:w="110" w:type="dxa"/>
            <w:tcBorders>
              <w:top w:val="nil"/>
              <w:bottom w:val="nil"/>
            </w:tcBorders>
            <w:vAlign w:val="top"/>
          </w:tcPr>
          <w:p w14:paraId="6492FA19">
            <w:pPr>
              <w:rPr>
                <w:rFonts w:ascii="Arial"/>
                <w:sz w:val="21"/>
              </w:rPr>
            </w:pPr>
          </w:p>
        </w:tc>
        <w:tc>
          <w:tcPr>
            <w:tcW w:w="4754" w:type="dxa"/>
            <w:gridSpan w:val="7"/>
            <w:vAlign w:val="top"/>
          </w:tcPr>
          <w:p w14:paraId="4A841A06">
            <w:pPr>
              <w:pStyle w:val="6"/>
              <w:spacing w:before="43" w:line="225" w:lineRule="auto"/>
              <w:ind w:left="1668"/>
            </w:pPr>
            <w:r>
              <w:rPr>
                <w:spacing w:val="6"/>
              </w:rPr>
              <w:t>主变高度（</w:t>
            </w:r>
            <w:r>
              <w:rPr>
                <w:rFonts w:ascii="Times New Roman" w:hAnsi="Times New Roman" w:eastAsia="Times New Roman" w:cs="Times New Roman"/>
                <w:spacing w:val="6"/>
              </w:rPr>
              <w:t>m</w:t>
            </w:r>
            <w:r>
              <w:rPr>
                <w:spacing w:val="6"/>
              </w:rPr>
              <w:t>）</w:t>
            </w:r>
          </w:p>
        </w:tc>
        <w:tc>
          <w:tcPr>
            <w:tcW w:w="3412" w:type="dxa"/>
            <w:gridSpan w:val="6"/>
            <w:vAlign w:val="top"/>
          </w:tcPr>
          <w:p w14:paraId="4B23016C">
            <w:pPr>
              <w:spacing w:before="79" w:line="195" w:lineRule="auto"/>
              <w:ind w:left="158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554" w:type="dxa"/>
            <w:gridSpan w:val="2"/>
            <w:vMerge w:val="continue"/>
            <w:tcBorders>
              <w:top w:val="nil"/>
              <w:bottom w:val="nil"/>
              <w:right w:val="single" w:color="000000" w:sz="6" w:space="0"/>
            </w:tcBorders>
            <w:vAlign w:val="top"/>
          </w:tcPr>
          <w:p w14:paraId="63956323">
            <w:pPr>
              <w:rPr>
                <w:rFonts w:ascii="Arial"/>
                <w:sz w:val="21"/>
              </w:rPr>
            </w:pPr>
          </w:p>
        </w:tc>
      </w:tr>
      <w:tr w14:paraId="7A913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478" w:type="dxa"/>
            <w:vMerge w:val="continue"/>
            <w:tcBorders>
              <w:top w:val="nil"/>
              <w:left w:val="single" w:color="000000" w:sz="6" w:space="0"/>
              <w:bottom w:val="nil"/>
            </w:tcBorders>
            <w:vAlign w:val="top"/>
          </w:tcPr>
          <w:p w14:paraId="43C29B39">
            <w:pPr>
              <w:rPr>
                <w:rFonts w:ascii="Arial"/>
                <w:sz w:val="21"/>
              </w:rPr>
            </w:pPr>
          </w:p>
        </w:tc>
        <w:tc>
          <w:tcPr>
            <w:tcW w:w="110" w:type="dxa"/>
            <w:tcBorders>
              <w:top w:val="nil"/>
              <w:bottom w:val="nil"/>
            </w:tcBorders>
            <w:vAlign w:val="top"/>
          </w:tcPr>
          <w:p w14:paraId="47DF0961">
            <w:pPr>
              <w:rPr>
                <w:rFonts w:ascii="Arial"/>
                <w:sz w:val="21"/>
              </w:rPr>
            </w:pPr>
          </w:p>
        </w:tc>
        <w:tc>
          <w:tcPr>
            <w:tcW w:w="4754" w:type="dxa"/>
            <w:gridSpan w:val="7"/>
            <w:vAlign w:val="top"/>
          </w:tcPr>
          <w:p w14:paraId="5EC8331A">
            <w:pPr>
              <w:pStyle w:val="6"/>
              <w:spacing w:before="50" w:line="228" w:lineRule="auto"/>
              <w:ind w:left="1248"/>
            </w:pPr>
            <w:r>
              <w:rPr>
                <w:spacing w:val="8"/>
              </w:rPr>
              <w:t>等声级线计算高度（</w:t>
            </w:r>
            <w:r>
              <w:rPr>
                <w:rFonts w:ascii="Times New Roman" w:hAnsi="Times New Roman" w:eastAsia="Times New Roman" w:cs="Times New Roman"/>
                <w:spacing w:val="8"/>
              </w:rPr>
              <w:t>m</w:t>
            </w:r>
            <w:r>
              <w:rPr>
                <w:spacing w:val="8"/>
              </w:rPr>
              <w:t>）</w:t>
            </w:r>
          </w:p>
        </w:tc>
        <w:tc>
          <w:tcPr>
            <w:tcW w:w="3412" w:type="dxa"/>
            <w:gridSpan w:val="6"/>
            <w:vAlign w:val="top"/>
          </w:tcPr>
          <w:p w14:paraId="52172BF9">
            <w:pPr>
              <w:spacing w:before="86" w:line="195" w:lineRule="auto"/>
              <w:ind w:left="159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554" w:type="dxa"/>
            <w:gridSpan w:val="2"/>
            <w:vMerge w:val="continue"/>
            <w:tcBorders>
              <w:top w:val="nil"/>
              <w:bottom w:val="nil"/>
              <w:right w:val="single" w:color="000000" w:sz="6" w:space="0"/>
            </w:tcBorders>
            <w:vAlign w:val="top"/>
          </w:tcPr>
          <w:p w14:paraId="4332C4CF">
            <w:pPr>
              <w:rPr>
                <w:rFonts w:ascii="Arial"/>
                <w:sz w:val="21"/>
              </w:rPr>
            </w:pPr>
          </w:p>
        </w:tc>
      </w:tr>
      <w:tr w14:paraId="1497B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478" w:type="dxa"/>
            <w:vMerge w:val="continue"/>
            <w:tcBorders>
              <w:top w:val="nil"/>
              <w:left w:val="single" w:color="000000" w:sz="6" w:space="0"/>
              <w:bottom w:val="nil"/>
            </w:tcBorders>
            <w:vAlign w:val="top"/>
          </w:tcPr>
          <w:p w14:paraId="72E1DDD5">
            <w:pPr>
              <w:rPr>
                <w:rFonts w:ascii="Arial"/>
                <w:sz w:val="21"/>
              </w:rPr>
            </w:pPr>
          </w:p>
        </w:tc>
        <w:tc>
          <w:tcPr>
            <w:tcW w:w="110" w:type="dxa"/>
            <w:tcBorders>
              <w:top w:val="nil"/>
              <w:bottom w:val="nil"/>
            </w:tcBorders>
            <w:vAlign w:val="top"/>
          </w:tcPr>
          <w:p w14:paraId="37832385">
            <w:pPr>
              <w:rPr>
                <w:rFonts w:ascii="Arial"/>
                <w:sz w:val="21"/>
              </w:rPr>
            </w:pPr>
          </w:p>
        </w:tc>
        <w:tc>
          <w:tcPr>
            <w:tcW w:w="4754" w:type="dxa"/>
            <w:gridSpan w:val="7"/>
            <w:vAlign w:val="top"/>
          </w:tcPr>
          <w:p w14:paraId="317543AA">
            <w:pPr>
              <w:pStyle w:val="6"/>
              <w:spacing w:before="52" w:line="228" w:lineRule="auto"/>
              <w:ind w:left="1964"/>
            </w:pPr>
            <w:r>
              <w:rPr>
                <w:spacing w:val="6"/>
              </w:rPr>
              <w:t>声源类型</w:t>
            </w:r>
          </w:p>
        </w:tc>
        <w:tc>
          <w:tcPr>
            <w:tcW w:w="3412" w:type="dxa"/>
            <w:gridSpan w:val="6"/>
            <w:vAlign w:val="top"/>
          </w:tcPr>
          <w:p w14:paraId="34357132">
            <w:pPr>
              <w:pStyle w:val="6"/>
              <w:spacing w:before="53" w:line="228" w:lineRule="auto"/>
              <w:ind w:left="569"/>
            </w:pPr>
            <w:r>
              <w:rPr>
                <w:spacing w:val="8"/>
              </w:rPr>
              <w:t>点声源、面声源、立面源</w:t>
            </w:r>
          </w:p>
        </w:tc>
        <w:tc>
          <w:tcPr>
            <w:tcW w:w="554" w:type="dxa"/>
            <w:gridSpan w:val="2"/>
            <w:vMerge w:val="continue"/>
            <w:tcBorders>
              <w:top w:val="nil"/>
              <w:bottom w:val="nil"/>
              <w:right w:val="single" w:color="000000" w:sz="6" w:space="0"/>
            </w:tcBorders>
            <w:vAlign w:val="top"/>
          </w:tcPr>
          <w:p w14:paraId="298CC942">
            <w:pPr>
              <w:rPr>
                <w:rFonts w:ascii="Arial"/>
                <w:sz w:val="21"/>
              </w:rPr>
            </w:pPr>
          </w:p>
        </w:tc>
      </w:tr>
      <w:tr w14:paraId="1D56E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478" w:type="dxa"/>
            <w:vMerge w:val="continue"/>
            <w:tcBorders>
              <w:top w:val="nil"/>
              <w:left w:val="single" w:color="000000" w:sz="6" w:space="0"/>
              <w:bottom w:val="nil"/>
            </w:tcBorders>
            <w:vAlign w:val="top"/>
          </w:tcPr>
          <w:p w14:paraId="443CD984">
            <w:pPr>
              <w:rPr>
                <w:rFonts w:ascii="Arial"/>
                <w:sz w:val="21"/>
              </w:rPr>
            </w:pPr>
          </w:p>
        </w:tc>
        <w:tc>
          <w:tcPr>
            <w:tcW w:w="110" w:type="dxa"/>
            <w:tcBorders>
              <w:top w:val="nil"/>
              <w:bottom w:val="nil"/>
            </w:tcBorders>
            <w:vAlign w:val="top"/>
          </w:tcPr>
          <w:p w14:paraId="54072662">
            <w:pPr>
              <w:rPr>
                <w:rFonts w:ascii="Arial"/>
                <w:sz w:val="21"/>
              </w:rPr>
            </w:pPr>
          </w:p>
        </w:tc>
        <w:tc>
          <w:tcPr>
            <w:tcW w:w="4754" w:type="dxa"/>
            <w:gridSpan w:val="7"/>
            <w:vAlign w:val="top"/>
          </w:tcPr>
          <w:p w14:paraId="2649383C">
            <w:pPr>
              <w:pStyle w:val="6"/>
              <w:spacing w:before="42" w:line="218" w:lineRule="auto"/>
              <w:ind w:left="1649"/>
            </w:pPr>
            <w:r>
              <w:rPr>
                <w:spacing w:val="6"/>
              </w:rPr>
              <w:t>声源个数（个）</w:t>
            </w:r>
          </w:p>
        </w:tc>
        <w:tc>
          <w:tcPr>
            <w:tcW w:w="3412" w:type="dxa"/>
            <w:gridSpan w:val="6"/>
            <w:vAlign w:val="top"/>
          </w:tcPr>
          <w:p w14:paraId="17075BFF">
            <w:pPr>
              <w:spacing w:before="78" w:line="195" w:lineRule="auto"/>
              <w:ind w:left="162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14</w:t>
            </w:r>
          </w:p>
        </w:tc>
        <w:tc>
          <w:tcPr>
            <w:tcW w:w="554" w:type="dxa"/>
            <w:gridSpan w:val="2"/>
            <w:vMerge w:val="continue"/>
            <w:tcBorders>
              <w:top w:val="nil"/>
              <w:bottom w:val="nil"/>
              <w:right w:val="single" w:color="000000" w:sz="6" w:space="0"/>
            </w:tcBorders>
            <w:vAlign w:val="top"/>
          </w:tcPr>
          <w:p w14:paraId="67158256">
            <w:pPr>
              <w:rPr>
                <w:rFonts w:ascii="Arial"/>
                <w:sz w:val="21"/>
              </w:rPr>
            </w:pPr>
          </w:p>
        </w:tc>
      </w:tr>
      <w:tr w14:paraId="081A58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78" w:type="dxa"/>
            <w:vMerge w:val="continue"/>
            <w:tcBorders>
              <w:top w:val="nil"/>
              <w:left w:val="single" w:color="000000" w:sz="6" w:space="0"/>
              <w:bottom w:val="nil"/>
            </w:tcBorders>
            <w:vAlign w:val="top"/>
          </w:tcPr>
          <w:p w14:paraId="5948A858">
            <w:pPr>
              <w:rPr>
                <w:rFonts w:ascii="Arial"/>
                <w:sz w:val="21"/>
              </w:rPr>
            </w:pPr>
          </w:p>
        </w:tc>
        <w:tc>
          <w:tcPr>
            <w:tcW w:w="110" w:type="dxa"/>
            <w:tcBorders>
              <w:top w:val="nil"/>
              <w:bottom w:val="nil"/>
            </w:tcBorders>
            <w:vAlign w:val="top"/>
          </w:tcPr>
          <w:p w14:paraId="58C566EA">
            <w:pPr>
              <w:rPr>
                <w:rFonts w:ascii="Arial"/>
                <w:sz w:val="21"/>
              </w:rPr>
            </w:pPr>
          </w:p>
        </w:tc>
        <w:tc>
          <w:tcPr>
            <w:tcW w:w="4754" w:type="dxa"/>
            <w:gridSpan w:val="7"/>
            <w:vAlign w:val="top"/>
          </w:tcPr>
          <w:p w14:paraId="49F684EA">
            <w:pPr>
              <w:pStyle w:val="6"/>
              <w:spacing w:before="53" w:line="228" w:lineRule="auto"/>
              <w:ind w:left="920"/>
            </w:pPr>
            <w:r>
              <w:rPr>
                <w:spacing w:val="4"/>
              </w:rPr>
              <w:t>主变压器</w:t>
            </w:r>
            <w:r>
              <w:rPr>
                <w:spacing w:val="-15"/>
              </w:rPr>
              <w:t xml:space="preserve"> </w:t>
            </w:r>
            <w:r>
              <w:rPr>
                <w:rFonts w:ascii="Times New Roman" w:hAnsi="Times New Roman" w:eastAsia="Times New Roman" w:cs="Times New Roman"/>
                <w:spacing w:val="4"/>
              </w:rPr>
              <w:t>1m</w:t>
            </w:r>
            <w:r>
              <w:rPr>
                <w:rFonts w:ascii="Times New Roman" w:hAnsi="Times New Roman" w:eastAsia="Times New Roman" w:cs="Times New Roman"/>
                <w:spacing w:val="16"/>
              </w:rPr>
              <w:t xml:space="preserve"> </w:t>
            </w:r>
            <w:r>
              <w:rPr>
                <w:spacing w:val="4"/>
              </w:rPr>
              <w:t>外声压级</w:t>
            </w:r>
            <w:r>
              <w:rPr>
                <w:spacing w:val="-38"/>
              </w:rPr>
              <w:t xml:space="preserve"> </w:t>
            </w:r>
            <w:r>
              <w:rPr>
                <w:rFonts w:ascii="Times New Roman" w:hAnsi="Times New Roman" w:eastAsia="Times New Roman" w:cs="Times New Roman"/>
              </w:rPr>
              <w:t>dB</w:t>
            </w:r>
            <w:r>
              <w:rPr>
                <w:spacing w:val="4"/>
              </w:rPr>
              <w:t>（</w:t>
            </w:r>
            <w:r>
              <w:rPr>
                <w:rFonts w:ascii="Times New Roman" w:hAnsi="Times New Roman" w:eastAsia="Times New Roman" w:cs="Times New Roman"/>
                <w:spacing w:val="4"/>
              </w:rPr>
              <w:t>A</w:t>
            </w:r>
            <w:r>
              <w:rPr>
                <w:spacing w:val="4"/>
              </w:rPr>
              <w:t>）</w:t>
            </w:r>
          </w:p>
        </w:tc>
        <w:tc>
          <w:tcPr>
            <w:tcW w:w="3412" w:type="dxa"/>
            <w:gridSpan w:val="6"/>
            <w:vAlign w:val="top"/>
          </w:tcPr>
          <w:p w14:paraId="0ECC9A6E">
            <w:pPr>
              <w:spacing w:before="89" w:line="195" w:lineRule="auto"/>
              <w:ind w:left="153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63.7</w:t>
            </w:r>
          </w:p>
        </w:tc>
        <w:tc>
          <w:tcPr>
            <w:tcW w:w="554" w:type="dxa"/>
            <w:gridSpan w:val="2"/>
            <w:vMerge w:val="continue"/>
            <w:tcBorders>
              <w:top w:val="nil"/>
              <w:bottom w:val="nil"/>
              <w:right w:val="single" w:color="000000" w:sz="6" w:space="0"/>
            </w:tcBorders>
            <w:vAlign w:val="top"/>
          </w:tcPr>
          <w:p w14:paraId="7331187D">
            <w:pPr>
              <w:rPr>
                <w:rFonts w:ascii="Arial"/>
                <w:sz w:val="21"/>
              </w:rPr>
            </w:pPr>
          </w:p>
        </w:tc>
      </w:tr>
      <w:tr w14:paraId="23126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478" w:type="dxa"/>
            <w:vMerge w:val="continue"/>
            <w:tcBorders>
              <w:top w:val="nil"/>
              <w:left w:val="single" w:color="000000" w:sz="6" w:space="0"/>
              <w:bottom w:val="nil"/>
            </w:tcBorders>
            <w:vAlign w:val="top"/>
          </w:tcPr>
          <w:p w14:paraId="7E14BDD5">
            <w:pPr>
              <w:rPr>
                <w:rFonts w:ascii="Arial"/>
                <w:sz w:val="21"/>
              </w:rPr>
            </w:pPr>
          </w:p>
        </w:tc>
        <w:tc>
          <w:tcPr>
            <w:tcW w:w="110" w:type="dxa"/>
            <w:tcBorders>
              <w:top w:val="nil"/>
              <w:bottom w:val="nil"/>
            </w:tcBorders>
            <w:vAlign w:val="top"/>
          </w:tcPr>
          <w:p w14:paraId="718578C1">
            <w:pPr>
              <w:rPr>
                <w:rFonts w:ascii="Arial"/>
                <w:sz w:val="21"/>
              </w:rPr>
            </w:pPr>
          </w:p>
        </w:tc>
        <w:tc>
          <w:tcPr>
            <w:tcW w:w="4754" w:type="dxa"/>
            <w:gridSpan w:val="7"/>
            <w:vAlign w:val="top"/>
          </w:tcPr>
          <w:p w14:paraId="1FA867AF">
            <w:pPr>
              <w:pStyle w:val="6"/>
              <w:spacing w:before="54" w:line="227" w:lineRule="auto"/>
              <w:ind w:left="1668"/>
            </w:pPr>
            <w:r>
              <w:rPr>
                <w:spacing w:val="6"/>
              </w:rPr>
              <w:t>主变高度（</w:t>
            </w:r>
            <w:r>
              <w:rPr>
                <w:rFonts w:ascii="Times New Roman" w:hAnsi="Times New Roman" w:eastAsia="Times New Roman" w:cs="Times New Roman"/>
                <w:spacing w:val="6"/>
              </w:rPr>
              <w:t>m</w:t>
            </w:r>
            <w:r>
              <w:rPr>
                <w:spacing w:val="6"/>
              </w:rPr>
              <w:t>）</w:t>
            </w:r>
          </w:p>
        </w:tc>
        <w:tc>
          <w:tcPr>
            <w:tcW w:w="3412" w:type="dxa"/>
            <w:gridSpan w:val="6"/>
            <w:vAlign w:val="top"/>
          </w:tcPr>
          <w:p w14:paraId="033D3530">
            <w:pPr>
              <w:spacing w:before="90" w:line="195" w:lineRule="auto"/>
              <w:ind w:left="158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554" w:type="dxa"/>
            <w:gridSpan w:val="2"/>
            <w:vMerge w:val="continue"/>
            <w:tcBorders>
              <w:top w:val="nil"/>
              <w:bottom w:val="nil"/>
              <w:right w:val="single" w:color="000000" w:sz="6" w:space="0"/>
            </w:tcBorders>
            <w:vAlign w:val="top"/>
          </w:tcPr>
          <w:p w14:paraId="4CA2FF7E">
            <w:pPr>
              <w:rPr>
                <w:rFonts w:ascii="Arial"/>
                <w:sz w:val="21"/>
              </w:rPr>
            </w:pPr>
          </w:p>
        </w:tc>
      </w:tr>
      <w:tr w14:paraId="1363B1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78" w:type="dxa"/>
            <w:vMerge w:val="continue"/>
            <w:tcBorders>
              <w:top w:val="nil"/>
              <w:left w:val="single" w:color="000000" w:sz="6" w:space="0"/>
              <w:bottom w:val="nil"/>
            </w:tcBorders>
            <w:vAlign w:val="top"/>
          </w:tcPr>
          <w:p w14:paraId="0BFAFE13">
            <w:pPr>
              <w:rPr>
                <w:rFonts w:ascii="Arial"/>
                <w:sz w:val="21"/>
              </w:rPr>
            </w:pPr>
          </w:p>
        </w:tc>
        <w:tc>
          <w:tcPr>
            <w:tcW w:w="110" w:type="dxa"/>
            <w:tcBorders>
              <w:top w:val="nil"/>
              <w:bottom w:val="nil"/>
            </w:tcBorders>
            <w:vAlign w:val="top"/>
          </w:tcPr>
          <w:p w14:paraId="46201566">
            <w:pPr>
              <w:rPr>
                <w:rFonts w:ascii="Arial"/>
                <w:sz w:val="21"/>
              </w:rPr>
            </w:pPr>
          </w:p>
        </w:tc>
        <w:tc>
          <w:tcPr>
            <w:tcW w:w="4754" w:type="dxa"/>
            <w:gridSpan w:val="7"/>
            <w:vAlign w:val="top"/>
          </w:tcPr>
          <w:p w14:paraId="46F845FF">
            <w:pPr>
              <w:pStyle w:val="6"/>
              <w:spacing w:before="53" w:line="228" w:lineRule="auto"/>
              <w:ind w:left="1248"/>
            </w:pPr>
            <w:r>
              <w:rPr>
                <w:spacing w:val="8"/>
              </w:rPr>
              <w:t>等声级线计算高度（</w:t>
            </w:r>
            <w:r>
              <w:rPr>
                <w:rFonts w:ascii="Times New Roman" w:hAnsi="Times New Roman" w:eastAsia="Times New Roman" w:cs="Times New Roman"/>
                <w:spacing w:val="8"/>
              </w:rPr>
              <w:t>m</w:t>
            </w:r>
            <w:r>
              <w:rPr>
                <w:spacing w:val="8"/>
              </w:rPr>
              <w:t>）</w:t>
            </w:r>
          </w:p>
        </w:tc>
        <w:tc>
          <w:tcPr>
            <w:tcW w:w="3412" w:type="dxa"/>
            <w:gridSpan w:val="6"/>
            <w:vAlign w:val="top"/>
          </w:tcPr>
          <w:p w14:paraId="6A29F0A9">
            <w:pPr>
              <w:spacing w:before="55" w:line="195" w:lineRule="auto"/>
              <w:ind w:left="159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554" w:type="dxa"/>
            <w:gridSpan w:val="2"/>
            <w:vMerge w:val="continue"/>
            <w:tcBorders>
              <w:top w:val="nil"/>
              <w:bottom w:val="nil"/>
              <w:right w:val="single" w:color="000000" w:sz="6" w:space="0"/>
            </w:tcBorders>
            <w:vAlign w:val="top"/>
          </w:tcPr>
          <w:p w14:paraId="2C056120">
            <w:pPr>
              <w:rPr>
                <w:rFonts w:ascii="Arial"/>
                <w:sz w:val="21"/>
              </w:rPr>
            </w:pPr>
          </w:p>
        </w:tc>
      </w:tr>
      <w:tr w14:paraId="59770F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4" w:hRule="atLeast"/>
        </w:trPr>
        <w:tc>
          <w:tcPr>
            <w:tcW w:w="478" w:type="dxa"/>
            <w:vMerge w:val="continue"/>
            <w:tcBorders>
              <w:top w:val="nil"/>
              <w:left w:val="single" w:color="000000" w:sz="6" w:space="0"/>
              <w:bottom w:val="nil"/>
            </w:tcBorders>
            <w:vAlign w:val="top"/>
          </w:tcPr>
          <w:p w14:paraId="3A56BC08">
            <w:pPr>
              <w:rPr>
                <w:rFonts w:ascii="Arial"/>
                <w:sz w:val="21"/>
              </w:rPr>
            </w:pPr>
          </w:p>
        </w:tc>
        <w:tc>
          <w:tcPr>
            <w:tcW w:w="8830" w:type="dxa"/>
            <w:gridSpan w:val="16"/>
            <w:tcBorders>
              <w:right w:val="single" w:color="000000" w:sz="6" w:space="0"/>
            </w:tcBorders>
            <w:vAlign w:val="top"/>
          </w:tcPr>
          <w:p w14:paraId="539AC134">
            <w:pPr>
              <w:pStyle w:val="6"/>
              <w:spacing w:before="39" w:line="220" w:lineRule="auto"/>
              <w:ind w:left="587"/>
              <w:rPr>
                <w:sz w:val="24"/>
                <w:szCs w:val="24"/>
              </w:rPr>
            </w:pPr>
            <w:r>
              <w:rPr>
                <w:rFonts w:ascii="Times New Roman" w:hAnsi="Times New Roman" w:eastAsia="Times New Roman" w:cs="Times New Roman"/>
                <w:spacing w:val="-6"/>
                <w:sz w:val="24"/>
                <w:szCs w:val="24"/>
              </w:rPr>
              <w:t>C</w:t>
            </w:r>
            <w:r>
              <w:rPr>
                <w:rFonts w:ascii="Times New Roman" w:hAnsi="Times New Roman" w:eastAsia="Times New Roman" w:cs="Times New Roman"/>
                <w:spacing w:val="-33"/>
                <w:sz w:val="24"/>
                <w:szCs w:val="24"/>
              </w:rPr>
              <w:t xml:space="preserve"> </w:t>
            </w:r>
            <w:r>
              <w:rPr>
                <w:spacing w:val="-6"/>
                <w:sz w:val="24"/>
                <w:szCs w:val="24"/>
              </w:rPr>
              <w:t>、预测点位</w:t>
            </w:r>
          </w:p>
          <w:p w14:paraId="7A0CB8B1">
            <w:pPr>
              <w:pStyle w:val="6"/>
              <w:spacing w:before="179" w:line="359" w:lineRule="auto"/>
              <w:ind w:left="110" w:right="103" w:firstLine="477"/>
              <w:rPr>
                <w:sz w:val="24"/>
                <w:szCs w:val="24"/>
              </w:rPr>
            </w:pPr>
            <w:r>
              <w:rPr>
                <w:spacing w:val="-2"/>
                <w:sz w:val="24"/>
                <w:szCs w:val="24"/>
              </w:rPr>
              <w:t>变电站围墙高度</w:t>
            </w:r>
            <w:r>
              <w:rPr>
                <w:spacing w:val="-54"/>
                <w:sz w:val="24"/>
                <w:szCs w:val="24"/>
              </w:rPr>
              <w:t xml:space="preserve"> </w:t>
            </w:r>
            <w:r>
              <w:rPr>
                <w:rFonts w:ascii="Times New Roman" w:hAnsi="Times New Roman" w:eastAsia="Times New Roman" w:cs="Times New Roman"/>
                <w:spacing w:val="-2"/>
                <w:sz w:val="24"/>
                <w:szCs w:val="24"/>
              </w:rPr>
              <w:t>2.5m</w:t>
            </w:r>
            <w:r>
              <w:rPr>
                <w:rFonts w:ascii="Times New Roman" w:hAnsi="Times New Roman" w:eastAsia="Times New Roman" w:cs="Times New Roman"/>
                <w:spacing w:val="-31"/>
                <w:sz w:val="24"/>
                <w:szCs w:val="24"/>
              </w:rPr>
              <w:t xml:space="preserve"> </w:t>
            </w:r>
            <w:r>
              <w:rPr>
                <w:spacing w:val="-2"/>
                <w:sz w:val="24"/>
                <w:szCs w:val="24"/>
              </w:rPr>
              <w:t>，以变电站围墙为厂界，预测点位选在围</w:t>
            </w:r>
            <w:r>
              <w:rPr>
                <w:spacing w:val="-3"/>
                <w:sz w:val="24"/>
                <w:szCs w:val="24"/>
              </w:rPr>
              <w:t>墙外</w:t>
            </w:r>
            <w:r>
              <w:rPr>
                <w:spacing w:val="-32"/>
                <w:sz w:val="24"/>
                <w:szCs w:val="24"/>
              </w:rPr>
              <w:t xml:space="preserve"> </w:t>
            </w:r>
            <w:r>
              <w:rPr>
                <w:rFonts w:ascii="Times New Roman" w:hAnsi="Times New Roman" w:eastAsia="Times New Roman" w:cs="Times New Roman"/>
                <w:spacing w:val="-3"/>
                <w:sz w:val="24"/>
                <w:szCs w:val="24"/>
              </w:rPr>
              <w:t>1m</w:t>
            </w:r>
            <w:r>
              <w:rPr>
                <w:rFonts w:ascii="Times New Roman" w:hAnsi="Times New Roman" w:eastAsia="Times New Roman" w:cs="Times New Roman"/>
                <w:spacing w:val="-30"/>
                <w:sz w:val="24"/>
                <w:szCs w:val="24"/>
              </w:rPr>
              <w:t xml:space="preserve"> </w:t>
            </w:r>
            <w:r>
              <w:rPr>
                <w:spacing w:val="-3"/>
                <w:sz w:val="24"/>
                <w:szCs w:val="24"/>
              </w:rPr>
              <w:t>，高度为距离地面</w:t>
            </w:r>
            <w:r>
              <w:rPr>
                <w:spacing w:val="-50"/>
                <w:sz w:val="24"/>
                <w:szCs w:val="24"/>
              </w:rPr>
              <w:t xml:space="preserve"> </w:t>
            </w:r>
            <w:r>
              <w:rPr>
                <w:rFonts w:ascii="Times New Roman" w:hAnsi="Times New Roman" w:eastAsia="Times New Roman" w:cs="Times New Roman"/>
                <w:spacing w:val="-3"/>
                <w:sz w:val="24"/>
                <w:szCs w:val="24"/>
              </w:rPr>
              <w:t>3m</w:t>
            </w:r>
            <w:r>
              <w:rPr>
                <w:spacing w:val="-3"/>
                <w:sz w:val="24"/>
                <w:szCs w:val="24"/>
              </w:rPr>
              <w:t>。</w:t>
            </w:r>
          </w:p>
          <w:p w14:paraId="45133BC8">
            <w:pPr>
              <w:pStyle w:val="6"/>
              <w:spacing w:line="220" w:lineRule="auto"/>
              <w:ind w:left="582"/>
              <w:rPr>
                <w:sz w:val="24"/>
                <w:szCs w:val="24"/>
              </w:rPr>
            </w:pPr>
            <w:r>
              <w:rPr>
                <w:rFonts w:ascii="Times New Roman" w:hAnsi="Times New Roman" w:eastAsia="Times New Roman" w:cs="Times New Roman"/>
                <w:spacing w:val="-6"/>
                <w:sz w:val="24"/>
                <w:szCs w:val="24"/>
              </w:rPr>
              <w:t>D</w:t>
            </w:r>
            <w:r>
              <w:rPr>
                <w:rFonts w:ascii="Times New Roman" w:hAnsi="Times New Roman" w:eastAsia="Times New Roman" w:cs="Times New Roman"/>
                <w:spacing w:val="-30"/>
                <w:sz w:val="24"/>
                <w:szCs w:val="24"/>
              </w:rPr>
              <w:t xml:space="preserve"> </w:t>
            </w:r>
            <w:r>
              <w:rPr>
                <w:spacing w:val="-6"/>
                <w:sz w:val="24"/>
                <w:szCs w:val="24"/>
              </w:rPr>
              <w:t>、预测时段</w:t>
            </w:r>
          </w:p>
          <w:p w14:paraId="03F24D30">
            <w:pPr>
              <w:pStyle w:val="6"/>
              <w:spacing w:before="182" w:line="359" w:lineRule="auto"/>
              <w:ind w:left="107" w:right="103" w:firstLine="480"/>
              <w:rPr>
                <w:sz w:val="24"/>
                <w:szCs w:val="24"/>
              </w:rPr>
            </w:pPr>
            <w:r>
              <w:rPr>
                <w:spacing w:val="2"/>
                <w:sz w:val="24"/>
                <w:szCs w:val="24"/>
              </w:rPr>
              <w:t>变电站为</w:t>
            </w:r>
            <w:r>
              <w:rPr>
                <w:spacing w:val="-53"/>
                <w:sz w:val="24"/>
                <w:szCs w:val="24"/>
              </w:rPr>
              <w:t xml:space="preserve"> </w:t>
            </w:r>
            <w:r>
              <w:rPr>
                <w:rFonts w:ascii="Times New Roman" w:hAnsi="Times New Roman" w:eastAsia="Times New Roman" w:cs="Times New Roman"/>
                <w:spacing w:val="2"/>
                <w:sz w:val="24"/>
                <w:szCs w:val="24"/>
              </w:rPr>
              <w:t>24</w:t>
            </w:r>
            <w:r>
              <w:rPr>
                <w:rFonts w:ascii="Times New Roman" w:hAnsi="Times New Roman" w:eastAsia="Times New Roman" w:cs="Times New Roman"/>
                <w:spacing w:val="18"/>
                <w:w w:val="101"/>
                <w:sz w:val="24"/>
                <w:szCs w:val="24"/>
              </w:rPr>
              <w:t xml:space="preserve"> </w:t>
            </w:r>
            <w:r>
              <w:rPr>
                <w:spacing w:val="2"/>
                <w:sz w:val="24"/>
                <w:szCs w:val="24"/>
              </w:rPr>
              <w:t>小时连续运行，噪声源稳定，昼间和夜间产生的噪</w:t>
            </w:r>
            <w:r>
              <w:rPr>
                <w:spacing w:val="1"/>
                <w:sz w:val="24"/>
                <w:szCs w:val="24"/>
              </w:rPr>
              <w:t>声水平具有一</w:t>
            </w:r>
            <w:r>
              <w:rPr>
                <w:spacing w:val="-1"/>
                <w:sz w:val="24"/>
                <w:szCs w:val="24"/>
              </w:rPr>
              <w:t>致性，其对环境噪声的贡献值昼夜相同。</w:t>
            </w:r>
          </w:p>
          <w:p w14:paraId="1F616265">
            <w:pPr>
              <w:pStyle w:val="6"/>
              <w:spacing w:line="220" w:lineRule="auto"/>
              <w:ind w:left="583"/>
              <w:rPr>
                <w:sz w:val="24"/>
                <w:szCs w:val="24"/>
              </w:rPr>
            </w:pPr>
            <w:r>
              <w:rPr>
                <w:rFonts w:ascii="Times New Roman" w:hAnsi="Times New Roman" w:eastAsia="Times New Roman" w:cs="Times New Roman"/>
                <w:spacing w:val="-6"/>
                <w:sz w:val="24"/>
                <w:szCs w:val="24"/>
              </w:rPr>
              <w:t>E</w:t>
            </w:r>
            <w:r>
              <w:rPr>
                <w:rFonts w:ascii="Times New Roman" w:hAnsi="Times New Roman" w:eastAsia="Times New Roman" w:cs="Times New Roman"/>
                <w:spacing w:val="-31"/>
                <w:sz w:val="24"/>
                <w:szCs w:val="24"/>
              </w:rPr>
              <w:t xml:space="preserve"> </w:t>
            </w:r>
            <w:r>
              <w:rPr>
                <w:spacing w:val="-6"/>
                <w:sz w:val="24"/>
                <w:szCs w:val="24"/>
              </w:rPr>
              <w:t>、预测方案</w:t>
            </w:r>
          </w:p>
          <w:p w14:paraId="4FD275F3">
            <w:pPr>
              <w:pStyle w:val="6"/>
              <w:spacing w:before="182" w:line="358" w:lineRule="auto"/>
              <w:ind w:left="126" w:right="103" w:firstLine="463"/>
              <w:rPr>
                <w:sz w:val="24"/>
                <w:szCs w:val="24"/>
              </w:rPr>
            </w:pPr>
            <w:r>
              <w:rPr>
                <w:spacing w:val="3"/>
                <w:sz w:val="24"/>
                <w:szCs w:val="24"/>
              </w:rPr>
              <w:t>预测项目主要噪声源的厂界噪声贡献值，并按</w:t>
            </w:r>
            <w:r>
              <w:rPr>
                <w:spacing w:val="-25"/>
                <w:sz w:val="24"/>
                <w:szCs w:val="24"/>
              </w:rPr>
              <w:t xml:space="preserve"> </w:t>
            </w:r>
            <w:r>
              <w:rPr>
                <w:rFonts w:ascii="Times New Roman" w:hAnsi="Times New Roman" w:eastAsia="Times New Roman" w:cs="Times New Roman"/>
                <w:spacing w:val="3"/>
                <w:sz w:val="24"/>
                <w:szCs w:val="24"/>
              </w:rPr>
              <w:t>5</w:t>
            </w:r>
            <w:r>
              <w:rPr>
                <w:rFonts w:ascii="Times New Roman" w:hAnsi="Times New Roman" w:eastAsia="Times New Roman" w:cs="Times New Roman"/>
                <w:sz w:val="24"/>
                <w:szCs w:val="24"/>
              </w:rPr>
              <w:t>dB</w:t>
            </w:r>
            <w:r>
              <w:rPr>
                <w:rFonts w:ascii="Times New Roman" w:hAnsi="Times New Roman" w:eastAsia="Times New Roman" w:cs="Times New Roman"/>
                <w:spacing w:val="35"/>
                <w:sz w:val="24"/>
                <w:szCs w:val="24"/>
              </w:rPr>
              <w:t xml:space="preserve"> </w:t>
            </w:r>
            <w:r>
              <w:rPr>
                <w:spacing w:val="3"/>
                <w:sz w:val="24"/>
                <w:szCs w:val="24"/>
              </w:rPr>
              <w:t>的等声级线间隔绘制地面</w:t>
            </w:r>
            <w:r>
              <w:rPr>
                <w:rFonts w:ascii="Times New Roman" w:hAnsi="Times New Roman" w:eastAsia="Times New Roman" w:cs="Times New Roman"/>
                <w:spacing w:val="-2"/>
                <w:sz w:val="24"/>
                <w:szCs w:val="24"/>
              </w:rPr>
              <w:t xml:space="preserve">1.2m </w:t>
            </w:r>
            <w:r>
              <w:rPr>
                <w:spacing w:val="-2"/>
                <w:sz w:val="24"/>
                <w:szCs w:val="24"/>
              </w:rPr>
              <w:t>高度处的等声级线图。</w:t>
            </w:r>
          </w:p>
          <w:p w14:paraId="74A3093F">
            <w:pPr>
              <w:pStyle w:val="6"/>
              <w:spacing w:before="1" w:line="217" w:lineRule="auto"/>
              <w:ind w:left="592"/>
              <w:rPr>
                <w:sz w:val="24"/>
                <w:szCs w:val="24"/>
              </w:rPr>
            </w:pPr>
            <w:r>
              <w:rPr>
                <w:spacing w:val="-1"/>
                <w:sz w:val="24"/>
                <w:szCs w:val="24"/>
              </w:rPr>
              <w:t>声环境敏感目标噪声：本工程变电站评价范围内涉及</w:t>
            </w:r>
            <w:r>
              <w:rPr>
                <w:spacing w:val="-42"/>
                <w:sz w:val="24"/>
                <w:szCs w:val="24"/>
              </w:rPr>
              <w:t xml:space="preserve"> </w:t>
            </w:r>
            <w:r>
              <w:rPr>
                <w:rFonts w:ascii="Times New Roman" w:hAnsi="Times New Roman" w:eastAsia="Times New Roman" w:cs="Times New Roman"/>
                <w:spacing w:val="-1"/>
                <w:sz w:val="24"/>
                <w:szCs w:val="24"/>
              </w:rPr>
              <w:t xml:space="preserve">7 </w:t>
            </w:r>
            <w:r>
              <w:rPr>
                <w:spacing w:val="-1"/>
                <w:sz w:val="24"/>
                <w:szCs w:val="24"/>
              </w:rPr>
              <w:t>个声环境保护目标。</w:t>
            </w:r>
          </w:p>
          <w:p w14:paraId="7FD9004D">
            <w:pPr>
              <w:pStyle w:val="6"/>
              <w:spacing w:before="185" w:line="218" w:lineRule="auto"/>
              <w:ind w:left="582"/>
              <w:rPr>
                <w:sz w:val="24"/>
                <w:szCs w:val="24"/>
              </w:rPr>
            </w:pPr>
            <w:r>
              <w:rPr>
                <w:rFonts w:ascii="Times New Roman" w:hAnsi="Times New Roman" w:eastAsia="Times New Roman" w:cs="Times New Roman"/>
                <w:spacing w:val="-4"/>
                <w:sz w:val="24"/>
                <w:szCs w:val="24"/>
              </w:rPr>
              <w:t>F</w:t>
            </w:r>
            <w:r>
              <w:rPr>
                <w:rFonts w:ascii="Times New Roman" w:hAnsi="Times New Roman" w:eastAsia="Times New Roman" w:cs="Times New Roman"/>
                <w:spacing w:val="-31"/>
                <w:sz w:val="24"/>
                <w:szCs w:val="24"/>
              </w:rPr>
              <w:t xml:space="preserve"> </w:t>
            </w:r>
            <w:r>
              <w:rPr>
                <w:spacing w:val="-4"/>
                <w:sz w:val="24"/>
                <w:szCs w:val="24"/>
              </w:rPr>
              <w:t>、预测结果及评价</w:t>
            </w:r>
          </w:p>
          <w:p w14:paraId="4E9FBD59">
            <w:pPr>
              <w:pStyle w:val="6"/>
              <w:spacing w:before="183" w:line="358" w:lineRule="auto"/>
              <w:ind w:left="106" w:right="103" w:firstLine="480"/>
              <w:rPr>
                <w:sz w:val="24"/>
                <w:szCs w:val="24"/>
              </w:rPr>
            </w:pPr>
            <w:r>
              <w:rPr>
                <w:spacing w:val="-1"/>
                <w:sz w:val="24"/>
                <w:szCs w:val="24"/>
              </w:rPr>
              <w:t>根据变电站的主要声源和总平面布置，预测项目建成投运后的厂界噪声，厂界</w:t>
            </w:r>
            <w:r>
              <w:rPr>
                <w:sz w:val="24"/>
                <w:szCs w:val="24"/>
              </w:rPr>
              <w:t>四周预测点以</w:t>
            </w:r>
            <w:r>
              <w:rPr>
                <w:spacing w:val="-38"/>
                <w:sz w:val="24"/>
                <w:szCs w:val="24"/>
              </w:rPr>
              <w:t xml:space="preserve"> </w:t>
            </w:r>
            <w:r>
              <w:rPr>
                <w:rFonts w:ascii="Times New Roman" w:hAnsi="Times New Roman" w:eastAsia="Times New Roman" w:cs="Times New Roman"/>
                <w:sz w:val="24"/>
                <w:szCs w:val="24"/>
              </w:rPr>
              <w:t xml:space="preserve">5m </w:t>
            </w:r>
            <w:r>
              <w:rPr>
                <w:sz w:val="24"/>
                <w:szCs w:val="24"/>
              </w:rPr>
              <w:t>为步长均匀布置，得出每侧厂界的最大噪声贡献值，预测结果见</w:t>
            </w:r>
            <w:r>
              <w:rPr>
                <w:spacing w:val="-3"/>
                <w:sz w:val="24"/>
                <w:szCs w:val="24"/>
              </w:rPr>
              <w:t>表</w:t>
            </w:r>
            <w:r>
              <w:rPr>
                <w:spacing w:val="-57"/>
                <w:sz w:val="24"/>
                <w:szCs w:val="24"/>
              </w:rPr>
              <w:t xml:space="preserve"> </w:t>
            </w:r>
            <w:r>
              <w:rPr>
                <w:rFonts w:ascii="Times New Roman" w:hAnsi="Times New Roman" w:eastAsia="Times New Roman" w:cs="Times New Roman"/>
                <w:spacing w:val="-3"/>
                <w:sz w:val="24"/>
                <w:szCs w:val="24"/>
              </w:rPr>
              <w:t>4-7</w:t>
            </w:r>
            <w:r>
              <w:rPr>
                <w:rFonts w:ascii="Times New Roman" w:hAnsi="Times New Roman" w:eastAsia="Times New Roman" w:cs="Times New Roman"/>
                <w:spacing w:val="-27"/>
                <w:sz w:val="24"/>
                <w:szCs w:val="24"/>
              </w:rPr>
              <w:t xml:space="preserve"> </w:t>
            </w:r>
            <w:r>
              <w:rPr>
                <w:spacing w:val="-3"/>
                <w:sz w:val="24"/>
                <w:szCs w:val="24"/>
              </w:rPr>
              <w:t>。噪声等值线图见图</w:t>
            </w:r>
            <w:r>
              <w:rPr>
                <w:spacing w:val="-56"/>
                <w:sz w:val="24"/>
                <w:szCs w:val="24"/>
              </w:rPr>
              <w:t xml:space="preserve"> </w:t>
            </w:r>
            <w:r>
              <w:rPr>
                <w:rFonts w:ascii="Times New Roman" w:hAnsi="Times New Roman" w:eastAsia="Times New Roman" w:cs="Times New Roman"/>
                <w:spacing w:val="-3"/>
                <w:sz w:val="24"/>
                <w:szCs w:val="24"/>
              </w:rPr>
              <w:t>4-4</w:t>
            </w:r>
            <w:r>
              <w:rPr>
                <w:spacing w:val="-3"/>
                <w:sz w:val="24"/>
                <w:szCs w:val="24"/>
              </w:rPr>
              <w:t>。</w:t>
            </w:r>
          </w:p>
          <w:p w14:paraId="271FE683">
            <w:pPr>
              <w:pStyle w:val="6"/>
              <w:spacing w:line="206" w:lineRule="auto"/>
              <w:ind w:left="2042"/>
            </w:pPr>
            <w:r>
              <w:rPr>
                <w:b/>
                <w:bCs/>
                <w:spacing w:val="6"/>
              </w:rPr>
              <w:t>表</w:t>
            </w:r>
            <w:r>
              <w:rPr>
                <w:spacing w:val="-40"/>
              </w:rPr>
              <w:t xml:space="preserve"> </w:t>
            </w:r>
            <w:r>
              <w:rPr>
                <w:rFonts w:ascii="Times New Roman" w:hAnsi="Times New Roman" w:eastAsia="Times New Roman" w:cs="Times New Roman"/>
                <w:b/>
                <w:bCs/>
                <w:spacing w:val="6"/>
              </w:rPr>
              <w:t xml:space="preserve">4-7        </w:t>
            </w:r>
            <w:r>
              <w:rPr>
                <w:b/>
                <w:bCs/>
                <w:spacing w:val="6"/>
              </w:rPr>
              <w:t>厂界噪声预测结果一览表单位：</w:t>
            </w:r>
            <w:r>
              <w:rPr>
                <w:rFonts w:ascii="Times New Roman" w:hAnsi="Times New Roman" w:eastAsia="Times New Roman" w:cs="Times New Roman"/>
                <w:b/>
                <w:bCs/>
              </w:rPr>
              <w:t>dB</w:t>
            </w:r>
            <w:r>
              <w:rPr>
                <w:b/>
                <w:bCs/>
                <w:spacing w:val="6"/>
              </w:rPr>
              <w:t>（</w:t>
            </w:r>
            <w:r>
              <w:rPr>
                <w:rFonts w:ascii="Times New Roman" w:hAnsi="Times New Roman" w:eastAsia="Times New Roman" w:cs="Times New Roman"/>
                <w:b/>
                <w:bCs/>
                <w:spacing w:val="6"/>
              </w:rPr>
              <w:t>A</w:t>
            </w:r>
            <w:r>
              <w:rPr>
                <w:b/>
                <w:bCs/>
                <w:spacing w:val="6"/>
              </w:rPr>
              <w:t>）</w:t>
            </w:r>
          </w:p>
        </w:tc>
      </w:tr>
      <w:tr w14:paraId="5BEAE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478" w:type="dxa"/>
            <w:vMerge w:val="continue"/>
            <w:tcBorders>
              <w:top w:val="nil"/>
              <w:left w:val="single" w:color="000000" w:sz="6" w:space="0"/>
              <w:bottom w:val="nil"/>
            </w:tcBorders>
            <w:vAlign w:val="top"/>
          </w:tcPr>
          <w:p w14:paraId="2721D318">
            <w:pPr>
              <w:rPr>
                <w:rFonts w:ascii="Arial"/>
                <w:sz w:val="21"/>
              </w:rPr>
            </w:pPr>
          </w:p>
        </w:tc>
        <w:tc>
          <w:tcPr>
            <w:tcW w:w="110" w:type="dxa"/>
            <w:tcBorders>
              <w:top w:val="nil"/>
              <w:bottom w:val="nil"/>
            </w:tcBorders>
            <w:vAlign w:val="top"/>
          </w:tcPr>
          <w:p w14:paraId="61C9D01E">
            <w:pPr>
              <w:rPr>
                <w:rFonts w:ascii="Arial"/>
                <w:sz w:val="21"/>
              </w:rPr>
            </w:pPr>
          </w:p>
        </w:tc>
        <w:tc>
          <w:tcPr>
            <w:tcW w:w="669" w:type="dxa"/>
            <w:gridSpan w:val="2"/>
            <w:vMerge w:val="restart"/>
            <w:tcBorders>
              <w:bottom w:val="nil"/>
            </w:tcBorders>
            <w:vAlign w:val="top"/>
          </w:tcPr>
          <w:p w14:paraId="7CE3174D">
            <w:pPr>
              <w:pStyle w:val="6"/>
              <w:spacing w:before="44" w:line="229" w:lineRule="auto"/>
              <w:ind w:left="125"/>
            </w:pPr>
            <w:r>
              <w:rPr>
                <w:b/>
                <w:bCs/>
                <w:spacing w:val="4"/>
              </w:rPr>
              <w:t>序号</w:t>
            </w:r>
          </w:p>
        </w:tc>
        <w:tc>
          <w:tcPr>
            <w:tcW w:w="2450" w:type="dxa"/>
            <w:gridSpan w:val="2"/>
            <w:vMerge w:val="restart"/>
            <w:tcBorders>
              <w:bottom w:val="nil"/>
            </w:tcBorders>
            <w:vAlign w:val="top"/>
          </w:tcPr>
          <w:p w14:paraId="65619021">
            <w:pPr>
              <w:pStyle w:val="6"/>
              <w:spacing w:before="45" w:line="228" w:lineRule="auto"/>
              <w:ind w:left="810"/>
            </w:pPr>
            <w:r>
              <w:rPr>
                <w:b/>
                <w:bCs/>
                <w:spacing w:val="6"/>
              </w:rPr>
              <w:t>预测点位</w:t>
            </w:r>
          </w:p>
        </w:tc>
        <w:tc>
          <w:tcPr>
            <w:tcW w:w="2722" w:type="dxa"/>
            <w:gridSpan w:val="5"/>
            <w:vAlign w:val="top"/>
          </w:tcPr>
          <w:p w14:paraId="254697DE">
            <w:pPr>
              <w:pStyle w:val="6"/>
              <w:spacing w:before="44" w:line="228" w:lineRule="auto"/>
              <w:ind w:left="633"/>
            </w:pPr>
            <w:r>
              <w:rPr>
                <w:b/>
                <w:bCs/>
                <w:spacing w:val="6"/>
              </w:rPr>
              <w:t>厂界噪声贡献值</w:t>
            </w:r>
          </w:p>
        </w:tc>
        <w:tc>
          <w:tcPr>
            <w:tcW w:w="1989" w:type="dxa"/>
            <w:gridSpan w:val="3"/>
            <w:vAlign w:val="top"/>
          </w:tcPr>
          <w:p w14:paraId="223ED6B8">
            <w:pPr>
              <w:pStyle w:val="6"/>
              <w:spacing w:before="44" w:line="226" w:lineRule="auto"/>
              <w:ind w:left="577"/>
            </w:pPr>
            <w:r>
              <w:rPr>
                <w:b/>
                <w:bCs/>
                <w:spacing w:val="6"/>
              </w:rPr>
              <w:t>评价标准</w:t>
            </w:r>
          </w:p>
        </w:tc>
        <w:tc>
          <w:tcPr>
            <w:tcW w:w="762" w:type="dxa"/>
            <w:gridSpan w:val="2"/>
            <w:vMerge w:val="restart"/>
            <w:tcBorders>
              <w:bottom w:val="nil"/>
            </w:tcBorders>
            <w:vAlign w:val="top"/>
          </w:tcPr>
          <w:p w14:paraId="0BB655FC">
            <w:pPr>
              <w:pStyle w:val="6"/>
              <w:spacing w:before="44" w:line="252" w:lineRule="auto"/>
              <w:ind w:left="73" w:right="63"/>
            </w:pPr>
            <w:r>
              <w:rPr>
                <w:b/>
                <w:bCs/>
                <w:spacing w:val="4"/>
              </w:rPr>
              <w:t>是否满足标准</w:t>
            </w:r>
          </w:p>
        </w:tc>
        <w:tc>
          <w:tcPr>
            <w:tcW w:w="128" w:type="dxa"/>
            <w:tcBorders>
              <w:top w:val="nil"/>
              <w:bottom w:val="nil"/>
              <w:right w:val="single" w:color="000000" w:sz="6" w:space="0"/>
            </w:tcBorders>
            <w:vAlign w:val="top"/>
          </w:tcPr>
          <w:p w14:paraId="6B8B3D8F">
            <w:pPr>
              <w:rPr>
                <w:rFonts w:ascii="Arial"/>
                <w:sz w:val="21"/>
              </w:rPr>
            </w:pPr>
          </w:p>
        </w:tc>
      </w:tr>
      <w:tr w14:paraId="0925D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478" w:type="dxa"/>
            <w:vMerge w:val="continue"/>
            <w:tcBorders>
              <w:top w:val="nil"/>
              <w:left w:val="single" w:color="000000" w:sz="6" w:space="0"/>
              <w:bottom w:val="single" w:color="000000" w:sz="6" w:space="0"/>
            </w:tcBorders>
            <w:vAlign w:val="top"/>
          </w:tcPr>
          <w:p w14:paraId="7F456056">
            <w:pPr>
              <w:rPr>
                <w:rFonts w:ascii="Arial"/>
                <w:sz w:val="21"/>
              </w:rPr>
            </w:pPr>
          </w:p>
        </w:tc>
        <w:tc>
          <w:tcPr>
            <w:tcW w:w="110" w:type="dxa"/>
            <w:tcBorders>
              <w:top w:val="nil"/>
              <w:bottom w:val="single" w:color="000000" w:sz="6" w:space="0"/>
            </w:tcBorders>
            <w:vAlign w:val="top"/>
          </w:tcPr>
          <w:p w14:paraId="0DE5CC9C">
            <w:pPr>
              <w:rPr>
                <w:rFonts w:ascii="Arial"/>
                <w:sz w:val="21"/>
              </w:rPr>
            </w:pPr>
          </w:p>
        </w:tc>
        <w:tc>
          <w:tcPr>
            <w:tcW w:w="669" w:type="dxa"/>
            <w:gridSpan w:val="2"/>
            <w:vMerge w:val="continue"/>
            <w:tcBorders>
              <w:top w:val="nil"/>
              <w:bottom w:val="single" w:color="000000" w:sz="6" w:space="0"/>
            </w:tcBorders>
            <w:vAlign w:val="top"/>
          </w:tcPr>
          <w:p w14:paraId="3C8C89A2">
            <w:pPr>
              <w:rPr>
                <w:rFonts w:ascii="Arial"/>
                <w:sz w:val="21"/>
              </w:rPr>
            </w:pPr>
          </w:p>
        </w:tc>
        <w:tc>
          <w:tcPr>
            <w:tcW w:w="2450" w:type="dxa"/>
            <w:gridSpan w:val="2"/>
            <w:vMerge w:val="continue"/>
            <w:tcBorders>
              <w:top w:val="nil"/>
              <w:bottom w:val="single" w:color="000000" w:sz="6" w:space="0"/>
            </w:tcBorders>
            <w:vAlign w:val="top"/>
          </w:tcPr>
          <w:p w14:paraId="0A1C7D23">
            <w:pPr>
              <w:rPr>
                <w:rFonts w:ascii="Arial"/>
                <w:sz w:val="21"/>
              </w:rPr>
            </w:pPr>
          </w:p>
        </w:tc>
        <w:tc>
          <w:tcPr>
            <w:tcW w:w="1243" w:type="dxa"/>
            <w:gridSpan w:val="2"/>
            <w:tcBorders>
              <w:bottom w:val="single" w:color="000000" w:sz="6" w:space="0"/>
            </w:tcBorders>
            <w:vAlign w:val="top"/>
          </w:tcPr>
          <w:p w14:paraId="0DCEA87F">
            <w:pPr>
              <w:pStyle w:val="6"/>
              <w:spacing w:before="45" w:line="231" w:lineRule="auto"/>
              <w:ind w:left="416"/>
            </w:pPr>
            <w:r>
              <w:rPr>
                <w:b/>
                <w:bCs/>
                <w:spacing w:val="4"/>
              </w:rPr>
              <w:t>昼间</w:t>
            </w:r>
          </w:p>
        </w:tc>
        <w:tc>
          <w:tcPr>
            <w:tcW w:w="1479" w:type="dxa"/>
            <w:gridSpan w:val="3"/>
            <w:tcBorders>
              <w:bottom w:val="single" w:color="000000" w:sz="6" w:space="0"/>
            </w:tcBorders>
            <w:vAlign w:val="top"/>
          </w:tcPr>
          <w:p w14:paraId="3DD88449">
            <w:pPr>
              <w:pStyle w:val="6"/>
              <w:spacing w:before="46" w:line="228" w:lineRule="auto"/>
              <w:ind w:left="541"/>
            </w:pPr>
            <w:r>
              <w:rPr>
                <w:b/>
                <w:bCs/>
                <w:spacing w:val="2"/>
              </w:rPr>
              <w:t>夜间</w:t>
            </w:r>
          </w:p>
        </w:tc>
        <w:tc>
          <w:tcPr>
            <w:tcW w:w="1251" w:type="dxa"/>
            <w:gridSpan w:val="2"/>
            <w:tcBorders>
              <w:bottom w:val="single" w:color="000000" w:sz="6" w:space="0"/>
            </w:tcBorders>
            <w:vAlign w:val="top"/>
          </w:tcPr>
          <w:p w14:paraId="6C07A210">
            <w:pPr>
              <w:pStyle w:val="6"/>
              <w:spacing w:before="45" w:line="231" w:lineRule="auto"/>
              <w:ind w:left="411"/>
            </w:pPr>
            <w:r>
              <w:rPr>
                <w:b/>
                <w:bCs/>
                <w:spacing w:val="4"/>
              </w:rPr>
              <w:t>昼间</w:t>
            </w:r>
          </w:p>
        </w:tc>
        <w:tc>
          <w:tcPr>
            <w:tcW w:w="738" w:type="dxa"/>
            <w:tcBorders>
              <w:bottom w:val="single" w:color="000000" w:sz="6" w:space="0"/>
            </w:tcBorders>
            <w:vAlign w:val="top"/>
          </w:tcPr>
          <w:p w14:paraId="392C8BEA">
            <w:pPr>
              <w:pStyle w:val="6"/>
              <w:spacing w:before="46" w:line="228" w:lineRule="auto"/>
              <w:ind w:left="153"/>
            </w:pPr>
            <w:r>
              <w:rPr>
                <w:b/>
                <w:bCs/>
                <w:spacing w:val="2"/>
              </w:rPr>
              <w:t>夜间</w:t>
            </w:r>
          </w:p>
        </w:tc>
        <w:tc>
          <w:tcPr>
            <w:tcW w:w="762" w:type="dxa"/>
            <w:gridSpan w:val="2"/>
            <w:vMerge w:val="continue"/>
            <w:tcBorders>
              <w:top w:val="nil"/>
              <w:bottom w:val="single" w:color="000000" w:sz="6" w:space="0"/>
            </w:tcBorders>
            <w:vAlign w:val="top"/>
          </w:tcPr>
          <w:p w14:paraId="65B37C3D">
            <w:pPr>
              <w:rPr>
                <w:rFonts w:ascii="Arial"/>
                <w:sz w:val="21"/>
              </w:rPr>
            </w:pPr>
          </w:p>
        </w:tc>
        <w:tc>
          <w:tcPr>
            <w:tcW w:w="128" w:type="dxa"/>
            <w:tcBorders>
              <w:top w:val="nil"/>
              <w:bottom w:val="single" w:color="000000" w:sz="6" w:space="0"/>
              <w:right w:val="single" w:color="000000" w:sz="6" w:space="0"/>
            </w:tcBorders>
            <w:vAlign w:val="top"/>
          </w:tcPr>
          <w:p w14:paraId="5B5BD01E">
            <w:pPr>
              <w:rPr>
                <w:rFonts w:ascii="Arial"/>
                <w:sz w:val="21"/>
              </w:rPr>
            </w:pPr>
          </w:p>
        </w:tc>
      </w:tr>
    </w:tbl>
    <w:p w14:paraId="1A955F59">
      <w:pPr>
        <w:rPr>
          <w:rFonts w:ascii="Arial"/>
          <w:sz w:val="21"/>
        </w:rPr>
      </w:pPr>
    </w:p>
    <w:p w14:paraId="0DB1C567">
      <w:pPr>
        <w:rPr>
          <w:rFonts w:ascii="Arial" w:hAnsi="Arial" w:eastAsia="Arial" w:cs="Arial"/>
          <w:sz w:val="21"/>
          <w:szCs w:val="21"/>
        </w:rPr>
        <w:sectPr>
          <w:footerReference r:id="rId113" w:type="default"/>
          <w:pgSz w:w="11907" w:h="16840"/>
          <w:pgMar w:top="400" w:right="1178" w:bottom="1240" w:left="1405" w:header="0" w:footer="1077" w:gutter="0"/>
          <w:cols w:space="720" w:num="1"/>
        </w:sectPr>
      </w:pPr>
    </w:p>
    <w:p w14:paraId="7F151363">
      <w:pPr>
        <w:spacing w:before="13"/>
      </w:pPr>
    </w:p>
    <w:p w14:paraId="37EB9A0B">
      <w:pPr>
        <w:spacing w:before="13"/>
      </w:pPr>
    </w:p>
    <w:p w14:paraId="1000E073">
      <w:pPr>
        <w:spacing w:before="13"/>
      </w:pPr>
    </w:p>
    <w:p w14:paraId="17B65D44">
      <w:pPr>
        <w:spacing w:before="12"/>
      </w:pPr>
    </w:p>
    <w:tbl>
      <w:tblPr>
        <w:tblStyle w:val="5"/>
        <w:tblW w:w="9308"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8"/>
        <w:gridCol w:w="113"/>
        <w:gridCol w:w="669"/>
        <w:gridCol w:w="2450"/>
        <w:gridCol w:w="1243"/>
        <w:gridCol w:w="1479"/>
        <w:gridCol w:w="1222"/>
        <w:gridCol w:w="753"/>
        <w:gridCol w:w="775"/>
        <w:gridCol w:w="126"/>
      </w:tblGrid>
      <w:tr w14:paraId="0CB1E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478" w:type="dxa"/>
            <w:vMerge w:val="restart"/>
            <w:tcBorders>
              <w:top w:val="single" w:color="000000" w:sz="6" w:space="0"/>
              <w:left w:val="single" w:color="000000" w:sz="6" w:space="0"/>
              <w:bottom w:val="nil"/>
            </w:tcBorders>
            <w:vAlign w:val="top"/>
          </w:tcPr>
          <w:p w14:paraId="61584A9B">
            <w:pPr>
              <w:rPr>
                <w:rFonts w:ascii="Arial"/>
                <w:sz w:val="21"/>
              </w:rPr>
            </w:pPr>
          </w:p>
        </w:tc>
        <w:tc>
          <w:tcPr>
            <w:tcW w:w="113" w:type="dxa"/>
            <w:tcBorders>
              <w:top w:val="single" w:color="000000" w:sz="6" w:space="0"/>
              <w:bottom w:val="nil"/>
            </w:tcBorders>
            <w:vAlign w:val="top"/>
          </w:tcPr>
          <w:p w14:paraId="2E718474">
            <w:pPr>
              <w:rPr>
                <w:rFonts w:ascii="Arial"/>
                <w:sz w:val="21"/>
              </w:rPr>
            </w:pPr>
          </w:p>
        </w:tc>
        <w:tc>
          <w:tcPr>
            <w:tcW w:w="669" w:type="dxa"/>
            <w:tcBorders>
              <w:top w:val="single" w:color="000000" w:sz="6" w:space="0"/>
            </w:tcBorders>
            <w:vAlign w:val="top"/>
          </w:tcPr>
          <w:p w14:paraId="5A009EF5">
            <w:pPr>
              <w:spacing w:before="57" w:line="195" w:lineRule="auto"/>
              <w:ind w:left="29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450" w:type="dxa"/>
            <w:tcBorders>
              <w:top w:val="single" w:color="000000" w:sz="6" w:space="0"/>
            </w:tcBorders>
            <w:vAlign w:val="top"/>
          </w:tcPr>
          <w:p w14:paraId="008660BE">
            <w:pPr>
              <w:pStyle w:val="6"/>
              <w:spacing w:before="35" w:line="228" w:lineRule="auto"/>
              <w:ind w:left="571"/>
              <w:rPr>
                <w:rFonts w:ascii="Times New Roman" w:hAnsi="Times New Roman" w:eastAsia="Times New Roman" w:cs="Times New Roman"/>
              </w:rPr>
            </w:pPr>
            <w:r>
              <w:rPr>
                <w:spacing w:val="7"/>
              </w:rPr>
              <w:t>北侧围墙外</w:t>
            </w:r>
            <w:r>
              <w:rPr>
                <w:rFonts w:ascii="Times New Roman" w:hAnsi="Times New Roman" w:eastAsia="Times New Roman" w:cs="Times New Roman"/>
                <w:spacing w:val="7"/>
              </w:rPr>
              <w:t>1m</w:t>
            </w:r>
          </w:p>
        </w:tc>
        <w:tc>
          <w:tcPr>
            <w:tcW w:w="1243" w:type="dxa"/>
            <w:tcBorders>
              <w:top w:val="single" w:color="000000" w:sz="6" w:space="0"/>
            </w:tcBorders>
            <w:vAlign w:val="top"/>
          </w:tcPr>
          <w:p w14:paraId="3F18687D">
            <w:pPr>
              <w:spacing w:before="112" w:line="195" w:lineRule="auto"/>
              <w:ind w:left="43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44.9</w:t>
            </w:r>
          </w:p>
        </w:tc>
        <w:tc>
          <w:tcPr>
            <w:tcW w:w="1479" w:type="dxa"/>
            <w:tcBorders>
              <w:top w:val="single" w:color="000000" w:sz="6" w:space="0"/>
            </w:tcBorders>
            <w:vAlign w:val="top"/>
          </w:tcPr>
          <w:p w14:paraId="6D77B74A">
            <w:pPr>
              <w:spacing w:before="112" w:line="195" w:lineRule="auto"/>
              <w:ind w:left="5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44.9</w:t>
            </w:r>
          </w:p>
        </w:tc>
        <w:tc>
          <w:tcPr>
            <w:tcW w:w="1222" w:type="dxa"/>
            <w:tcBorders>
              <w:top w:val="single" w:color="000000" w:sz="6" w:space="0"/>
            </w:tcBorders>
            <w:vAlign w:val="top"/>
          </w:tcPr>
          <w:p w14:paraId="62596D4B">
            <w:pPr>
              <w:spacing w:before="60" w:line="192" w:lineRule="auto"/>
              <w:ind w:left="517"/>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753" w:type="dxa"/>
            <w:tcBorders>
              <w:top w:val="single" w:color="000000" w:sz="6" w:space="0"/>
            </w:tcBorders>
            <w:vAlign w:val="top"/>
          </w:tcPr>
          <w:p w14:paraId="2E034BFA">
            <w:pPr>
              <w:spacing w:before="57"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775" w:type="dxa"/>
            <w:tcBorders>
              <w:top w:val="single" w:color="000000" w:sz="6" w:space="0"/>
            </w:tcBorders>
            <w:vAlign w:val="top"/>
          </w:tcPr>
          <w:p w14:paraId="430A0C34">
            <w:pPr>
              <w:pStyle w:val="6"/>
              <w:spacing w:before="35" w:line="228" w:lineRule="auto"/>
              <w:ind w:left="186"/>
            </w:pPr>
            <w:r>
              <w:rPr>
                <w:spacing w:val="4"/>
              </w:rPr>
              <w:t>满足</w:t>
            </w:r>
          </w:p>
        </w:tc>
        <w:tc>
          <w:tcPr>
            <w:tcW w:w="126" w:type="dxa"/>
            <w:tcBorders>
              <w:top w:val="single" w:color="000000" w:sz="6" w:space="0"/>
              <w:bottom w:val="nil"/>
              <w:right w:val="single" w:color="000000" w:sz="6" w:space="0"/>
            </w:tcBorders>
            <w:vAlign w:val="top"/>
          </w:tcPr>
          <w:p w14:paraId="284AB46C">
            <w:pPr>
              <w:rPr>
                <w:rFonts w:ascii="Arial"/>
                <w:sz w:val="21"/>
              </w:rPr>
            </w:pPr>
          </w:p>
        </w:tc>
      </w:tr>
      <w:tr w14:paraId="41B76D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478" w:type="dxa"/>
            <w:vMerge w:val="continue"/>
            <w:tcBorders>
              <w:top w:val="nil"/>
              <w:left w:val="single" w:color="000000" w:sz="6" w:space="0"/>
              <w:bottom w:val="nil"/>
            </w:tcBorders>
            <w:vAlign w:val="top"/>
          </w:tcPr>
          <w:p w14:paraId="16ADBC52">
            <w:pPr>
              <w:rPr>
                <w:rFonts w:ascii="Arial"/>
                <w:sz w:val="21"/>
              </w:rPr>
            </w:pPr>
          </w:p>
        </w:tc>
        <w:tc>
          <w:tcPr>
            <w:tcW w:w="113" w:type="dxa"/>
            <w:tcBorders>
              <w:top w:val="nil"/>
              <w:bottom w:val="nil"/>
            </w:tcBorders>
            <w:vAlign w:val="top"/>
          </w:tcPr>
          <w:p w14:paraId="03C5DB1D">
            <w:pPr>
              <w:rPr>
                <w:rFonts w:ascii="Arial"/>
                <w:sz w:val="21"/>
              </w:rPr>
            </w:pPr>
          </w:p>
        </w:tc>
        <w:tc>
          <w:tcPr>
            <w:tcW w:w="669" w:type="dxa"/>
            <w:vAlign w:val="top"/>
          </w:tcPr>
          <w:p w14:paraId="4C0FD7EF">
            <w:pPr>
              <w:spacing w:before="50" w:line="195" w:lineRule="auto"/>
              <w:ind w:left="277"/>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450" w:type="dxa"/>
            <w:vAlign w:val="top"/>
          </w:tcPr>
          <w:p w14:paraId="46BE1EEC">
            <w:pPr>
              <w:pStyle w:val="6"/>
              <w:spacing w:before="28" w:line="228" w:lineRule="auto"/>
              <w:ind w:left="572"/>
              <w:rPr>
                <w:rFonts w:ascii="Times New Roman" w:hAnsi="Times New Roman" w:eastAsia="Times New Roman" w:cs="Times New Roman"/>
              </w:rPr>
            </w:pPr>
            <w:r>
              <w:rPr>
                <w:spacing w:val="6"/>
              </w:rPr>
              <w:t>西侧围墙外</w:t>
            </w:r>
            <w:r>
              <w:rPr>
                <w:rFonts w:ascii="Times New Roman" w:hAnsi="Times New Roman" w:eastAsia="Times New Roman" w:cs="Times New Roman"/>
                <w:spacing w:val="6"/>
              </w:rPr>
              <w:t>1m</w:t>
            </w:r>
          </w:p>
        </w:tc>
        <w:tc>
          <w:tcPr>
            <w:tcW w:w="1243" w:type="dxa"/>
            <w:vAlign w:val="top"/>
          </w:tcPr>
          <w:p w14:paraId="35E56F6F">
            <w:pPr>
              <w:spacing w:before="105" w:line="195" w:lineRule="auto"/>
              <w:ind w:left="43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43.</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2"/>
                <w:sz w:val="20"/>
                <w:szCs w:val="20"/>
              </w:rPr>
              <w:t>1</w:t>
            </w:r>
          </w:p>
        </w:tc>
        <w:tc>
          <w:tcPr>
            <w:tcW w:w="1479" w:type="dxa"/>
            <w:vAlign w:val="top"/>
          </w:tcPr>
          <w:p w14:paraId="402E4C4F">
            <w:pPr>
              <w:spacing w:before="105" w:line="195" w:lineRule="auto"/>
              <w:ind w:left="5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43.1</w:t>
            </w:r>
          </w:p>
        </w:tc>
        <w:tc>
          <w:tcPr>
            <w:tcW w:w="1222" w:type="dxa"/>
            <w:vAlign w:val="top"/>
          </w:tcPr>
          <w:p w14:paraId="7F7AA855">
            <w:pPr>
              <w:spacing w:before="53" w:line="192" w:lineRule="auto"/>
              <w:ind w:left="517"/>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753" w:type="dxa"/>
            <w:vAlign w:val="top"/>
          </w:tcPr>
          <w:p w14:paraId="4594FCB2">
            <w:pPr>
              <w:spacing w:before="50"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775" w:type="dxa"/>
            <w:vAlign w:val="top"/>
          </w:tcPr>
          <w:p w14:paraId="548B893D">
            <w:pPr>
              <w:pStyle w:val="6"/>
              <w:spacing w:before="28" w:line="228" w:lineRule="auto"/>
              <w:ind w:left="186"/>
            </w:pPr>
            <w:r>
              <w:rPr>
                <w:spacing w:val="4"/>
              </w:rPr>
              <w:t>满足</w:t>
            </w:r>
          </w:p>
        </w:tc>
        <w:tc>
          <w:tcPr>
            <w:tcW w:w="126" w:type="dxa"/>
            <w:tcBorders>
              <w:top w:val="nil"/>
              <w:bottom w:val="nil"/>
              <w:right w:val="single" w:color="000000" w:sz="6" w:space="0"/>
            </w:tcBorders>
            <w:vAlign w:val="top"/>
          </w:tcPr>
          <w:p w14:paraId="6AC349E6">
            <w:pPr>
              <w:rPr>
                <w:rFonts w:ascii="Arial"/>
                <w:sz w:val="21"/>
              </w:rPr>
            </w:pPr>
          </w:p>
        </w:tc>
      </w:tr>
      <w:tr w14:paraId="4A6E0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478" w:type="dxa"/>
            <w:vMerge w:val="continue"/>
            <w:tcBorders>
              <w:top w:val="nil"/>
              <w:left w:val="single" w:color="000000" w:sz="6" w:space="0"/>
              <w:bottom w:val="nil"/>
            </w:tcBorders>
            <w:vAlign w:val="top"/>
          </w:tcPr>
          <w:p w14:paraId="5328EF80">
            <w:pPr>
              <w:rPr>
                <w:rFonts w:ascii="Arial"/>
                <w:sz w:val="21"/>
              </w:rPr>
            </w:pPr>
          </w:p>
        </w:tc>
        <w:tc>
          <w:tcPr>
            <w:tcW w:w="113" w:type="dxa"/>
            <w:tcBorders>
              <w:top w:val="nil"/>
              <w:bottom w:val="nil"/>
            </w:tcBorders>
            <w:vAlign w:val="top"/>
          </w:tcPr>
          <w:p w14:paraId="0343F82E">
            <w:pPr>
              <w:rPr>
                <w:rFonts w:ascii="Arial"/>
                <w:sz w:val="21"/>
              </w:rPr>
            </w:pPr>
          </w:p>
        </w:tc>
        <w:tc>
          <w:tcPr>
            <w:tcW w:w="669" w:type="dxa"/>
            <w:vAlign w:val="top"/>
          </w:tcPr>
          <w:p w14:paraId="7D7E6E51">
            <w:pPr>
              <w:spacing w:before="50" w:line="195" w:lineRule="auto"/>
              <w:ind w:left="282"/>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450" w:type="dxa"/>
            <w:vAlign w:val="top"/>
          </w:tcPr>
          <w:p w14:paraId="15F1FFFA">
            <w:pPr>
              <w:pStyle w:val="6"/>
              <w:spacing w:before="29" w:line="228" w:lineRule="auto"/>
              <w:ind w:left="575"/>
              <w:rPr>
                <w:rFonts w:ascii="Times New Roman" w:hAnsi="Times New Roman" w:eastAsia="Times New Roman" w:cs="Times New Roman"/>
              </w:rPr>
            </w:pPr>
            <w:r>
              <w:rPr>
                <w:spacing w:val="6"/>
              </w:rPr>
              <w:t>东侧围墙外</w:t>
            </w:r>
            <w:r>
              <w:rPr>
                <w:rFonts w:ascii="Times New Roman" w:hAnsi="Times New Roman" w:eastAsia="Times New Roman" w:cs="Times New Roman"/>
                <w:spacing w:val="6"/>
              </w:rPr>
              <w:t>1m</w:t>
            </w:r>
          </w:p>
        </w:tc>
        <w:tc>
          <w:tcPr>
            <w:tcW w:w="1243" w:type="dxa"/>
            <w:vAlign w:val="top"/>
          </w:tcPr>
          <w:p w14:paraId="218AA46A">
            <w:pPr>
              <w:spacing w:before="98" w:line="195" w:lineRule="auto"/>
              <w:ind w:left="44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35.4</w:t>
            </w:r>
          </w:p>
        </w:tc>
        <w:tc>
          <w:tcPr>
            <w:tcW w:w="1479" w:type="dxa"/>
            <w:vAlign w:val="top"/>
          </w:tcPr>
          <w:p w14:paraId="482EFC1C">
            <w:pPr>
              <w:spacing w:before="98" w:line="195" w:lineRule="auto"/>
              <w:ind w:left="56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35.4</w:t>
            </w:r>
          </w:p>
        </w:tc>
        <w:tc>
          <w:tcPr>
            <w:tcW w:w="1222" w:type="dxa"/>
            <w:vAlign w:val="top"/>
          </w:tcPr>
          <w:p w14:paraId="764DB80B">
            <w:pPr>
              <w:spacing w:before="53" w:line="192" w:lineRule="auto"/>
              <w:ind w:left="517"/>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753" w:type="dxa"/>
            <w:vAlign w:val="top"/>
          </w:tcPr>
          <w:p w14:paraId="61BA780F">
            <w:pPr>
              <w:spacing w:before="50"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775" w:type="dxa"/>
            <w:vAlign w:val="top"/>
          </w:tcPr>
          <w:p w14:paraId="0BED6488">
            <w:pPr>
              <w:pStyle w:val="6"/>
              <w:spacing w:before="29" w:line="228" w:lineRule="auto"/>
              <w:ind w:left="186"/>
            </w:pPr>
            <w:r>
              <w:rPr>
                <w:spacing w:val="4"/>
              </w:rPr>
              <w:t>满足</w:t>
            </w:r>
          </w:p>
        </w:tc>
        <w:tc>
          <w:tcPr>
            <w:tcW w:w="126" w:type="dxa"/>
            <w:tcBorders>
              <w:top w:val="nil"/>
              <w:bottom w:val="nil"/>
              <w:right w:val="single" w:color="000000" w:sz="6" w:space="0"/>
            </w:tcBorders>
            <w:vAlign w:val="top"/>
          </w:tcPr>
          <w:p w14:paraId="3E3A791F">
            <w:pPr>
              <w:rPr>
                <w:rFonts w:ascii="Arial"/>
                <w:sz w:val="21"/>
              </w:rPr>
            </w:pPr>
          </w:p>
        </w:tc>
      </w:tr>
      <w:tr w14:paraId="60B86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478" w:type="dxa"/>
            <w:vMerge w:val="continue"/>
            <w:tcBorders>
              <w:top w:val="nil"/>
              <w:left w:val="single" w:color="000000" w:sz="6" w:space="0"/>
              <w:bottom w:val="nil"/>
            </w:tcBorders>
            <w:vAlign w:val="top"/>
          </w:tcPr>
          <w:p w14:paraId="438D18D4">
            <w:pPr>
              <w:rPr>
                <w:rFonts w:ascii="Arial"/>
                <w:sz w:val="21"/>
              </w:rPr>
            </w:pPr>
          </w:p>
        </w:tc>
        <w:tc>
          <w:tcPr>
            <w:tcW w:w="113" w:type="dxa"/>
            <w:tcBorders>
              <w:top w:val="nil"/>
              <w:bottom w:val="nil"/>
            </w:tcBorders>
            <w:vAlign w:val="top"/>
          </w:tcPr>
          <w:p w14:paraId="5F7AAB43">
            <w:pPr>
              <w:rPr>
                <w:rFonts w:ascii="Arial"/>
                <w:sz w:val="21"/>
              </w:rPr>
            </w:pPr>
          </w:p>
        </w:tc>
        <w:tc>
          <w:tcPr>
            <w:tcW w:w="669" w:type="dxa"/>
            <w:vAlign w:val="top"/>
          </w:tcPr>
          <w:p w14:paraId="567092D1">
            <w:pPr>
              <w:spacing w:before="52"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450" w:type="dxa"/>
            <w:vAlign w:val="top"/>
          </w:tcPr>
          <w:p w14:paraId="2C049245">
            <w:pPr>
              <w:pStyle w:val="6"/>
              <w:spacing w:before="30" w:line="228" w:lineRule="auto"/>
              <w:ind w:left="570"/>
              <w:rPr>
                <w:rFonts w:ascii="Times New Roman" w:hAnsi="Times New Roman" w:eastAsia="Times New Roman" w:cs="Times New Roman"/>
              </w:rPr>
            </w:pPr>
            <w:r>
              <w:rPr>
                <w:spacing w:val="7"/>
              </w:rPr>
              <w:t>南侧围墙外</w:t>
            </w:r>
            <w:r>
              <w:rPr>
                <w:rFonts w:ascii="Times New Roman" w:hAnsi="Times New Roman" w:eastAsia="Times New Roman" w:cs="Times New Roman"/>
                <w:spacing w:val="7"/>
              </w:rPr>
              <w:t>1m</w:t>
            </w:r>
          </w:p>
        </w:tc>
        <w:tc>
          <w:tcPr>
            <w:tcW w:w="1243" w:type="dxa"/>
            <w:vAlign w:val="top"/>
          </w:tcPr>
          <w:p w14:paraId="0B6F0C5C">
            <w:pPr>
              <w:spacing w:before="100" w:line="195" w:lineRule="auto"/>
              <w:ind w:left="43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41.5</w:t>
            </w:r>
          </w:p>
        </w:tc>
        <w:tc>
          <w:tcPr>
            <w:tcW w:w="1479" w:type="dxa"/>
            <w:vAlign w:val="top"/>
          </w:tcPr>
          <w:p w14:paraId="392E62B9">
            <w:pPr>
              <w:spacing w:before="100" w:line="195" w:lineRule="auto"/>
              <w:ind w:left="5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41.5</w:t>
            </w:r>
          </w:p>
        </w:tc>
        <w:tc>
          <w:tcPr>
            <w:tcW w:w="1222" w:type="dxa"/>
            <w:vAlign w:val="top"/>
          </w:tcPr>
          <w:p w14:paraId="52DE2BC4">
            <w:pPr>
              <w:spacing w:before="55" w:line="192" w:lineRule="auto"/>
              <w:ind w:left="517"/>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753" w:type="dxa"/>
            <w:vAlign w:val="top"/>
          </w:tcPr>
          <w:p w14:paraId="419277BF">
            <w:pPr>
              <w:spacing w:before="52"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775" w:type="dxa"/>
            <w:vAlign w:val="top"/>
          </w:tcPr>
          <w:p w14:paraId="1CD331FA">
            <w:pPr>
              <w:pStyle w:val="6"/>
              <w:spacing w:before="30" w:line="228" w:lineRule="auto"/>
              <w:ind w:left="186"/>
            </w:pPr>
            <w:r>
              <w:rPr>
                <w:spacing w:val="4"/>
              </w:rPr>
              <w:t>满足</w:t>
            </w:r>
          </w:p>
        </w:tc>
        <w:tc>
          <w:tcPr>
            <w:tcW w:w="126" w:type="dxa"/>
            <w:tcBorders>
              <w:top w:val="nil"/>
              <w:bottom w:val="nil"/>
              <w:right w:val="single" w:color="000000" w:sz="6" w:space="0"/>
            </w:tcBorders>
            <w:vAlign w:val="top"/>
          </w:tcPr>
          <w:p w14:paraId="60C28F3E">
            <w:pPr>
              <w:rPr>
                <w:rFonts w:ascii="Arial"/>
                <w:sz w:val="21"/>
              </w:rPr>
            </w:pPr>
          </w:p>
        </w:tc>
      </w:tr>
      <w:tr w14:paraId="7AC0E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74" w:hRule="atLeast"/>
        </w:trPr>
        <w:tc>
          <w:tcPr>
            <w:tcW w:w="478" w:type="dxa"/>
            <w:vMerge w:val="continue"/>
            <w:tcBorders>
              <w:top w:val="nil"/>
              <w:left w:val="single" w:color="000000" w:sz="6" w:space="0"/>
              <w:bottom w:val="single" w:color="000000" w:sz="6" w:space="0"/>
            </w:tcBorders>
            <w:vAlign w:val="top"/>
          </w:tcPr>
          <w:p w14:paraId="1A6ED430">
            <w:pPr>
              <w:rPr>
                <w:rFonts w:ascii="Arial"/>
                <w:sz w:val="21"/>
              </w:rPr>
            </w:pPr>
          </w:p>
        </w:tc>
        <w:tc>
          <w:tcPr>
            <w:tcW w:w="8830" w:type="dxa"/>
            <w:gridSpan w:val="9"/>
            <w:tcBorders>
              <w:bottom w:val="single" w:color="000000" w:sz="6" w:space="0"/>
              <w:right w:val="single" w:color="000000" w:sz="6" w:space="0"/>
            </w:tcBorders>
            <w:vAlign w:val="top"/>
          </w:tcPr>
          <w:p w14:paraId="4972CBB5">
            <w:pPr>
              <w:pStyle w:val="6"/>
              <w:spacing w:before="37" w:line="350" w:lineRule="auto"/>
              <w:ind w:left="107" w:right="103" w:firstLine="480"/>
              <w:jc w:val="both"/>
              <w:rPr>
                <w:sz w:val="24"/>
                <w:szCs w:val="24"/>
              </w:rPr>
            </w:pPr>
            <w:r>
              <w:rPr>
                <w:spacing w:val="-3"/>
                <w:sz w:val="24"/>
                <w:szCs w:val="24"/>
              </w:rPr>
              <w:t>根据预测结果，本项目</w:t>
            </w:r>
            <w:r>
              <w:rPr>
                <w:spacing w:val="-32"/>
                <w:sz w:val="24"/>
                <w:szCs w:val="24"/>
              </w:rPr>
              <w:t xml:space="preserve"> </w:t>
            </w:r>
            <w:r>
              <w:rPr>
                <w:rFonts w:ascii="Times New Roman" w:hAnsi="Times New Roman" w:eastAsia="Times New Roman" w:cs="Times New Roman"/>
                <w:spacing w:val="-3"/>
                <w:sz w:val="24"/>
                <w:szCs w:val="24"/>
              </w:rPr>
              <w:t xml:space="preserve">110kV </w:t>
            </w:r>
            <w:r>
              <w:rPr>
                <w:spacing w:val="-3"/>
                <w:sz w:val="24"/>
                <w:szCs w:val="24"/>
              </w:rPr>
              <w:t>松山变电站建成投运后，变电站厂界昼、</w:t>
            </w:r>
            <w:r>
              <w:rPr>
                <w:spacing w:val="-4"/>
                <w:sz w:val="24"/>
                <w:szCs w:val="24"/>
              </w:rPr>
              <w:t>夜间噪</w:t>
            </w:r>
            <w:r>
              <w:rPr>
                <w:spacing w:val="-2"/>
                <w:sz w:val="24"/>
                <w:szCs w:val="24"/>
              </w:rPr>
              <w:t>声贡献值为</w:t>
            </w:r>
            <w:r>
              <w:rPr>
                <w:spacing w:val="-50"/>
                <w:sz w:val="24"/>
                <w:szCs w:val="24"/>
              </w:rPr>
              <w:t xml:space="preserve"> </w:t>
            </w:r>
            <w:r>
              <w:rPr>
                <w:rFonts w:ascii="Times New Roman" w:hAnsi="Times New Roman" w:eastAsia="Times New Roman" w:cs="Times New Roman"/>
                <w:spacing w:val="-2"/>
                <w:sz w:val="24"/>
                <w:szCs w:val="24"/>
              </w:rPr>
              <w:t>35.4~44.9dB</w:t>
            </w:r>
            <w:r>
              <w:rPr>
                <w:spacing w:val="-2"/>
                <w:sz w:val="24"/>
                <w:szCs w:val="24"/>
              </w:rPr>
              <w:t>（</w:t>
            </w:r>
            <w:r>
              <w:rPr>
                <w:rFonts w:ascii="Times New Roman" w:hAnsi="Times New Roman" w:eastAsia="Times New Roman" w:cs="Times New Roman"/>
                <w:spacing w:val="-2"/>
                <w:sz w:val="24"/>
                <w:szCs w:val="24"/>
              </w:rPr>
              <w:t>A</w:t>
            </w:r>
            <w:r>
              <w:rPr>
                <w:spacing w:val="-3"/>
                <w:sz w:val="24"/>
                <w:szCs w:val="24"/>
              </w:rPr>
              <w:t>），</w:t>
            </w:r>
            <w:r>
              <w:rPr>
                <w:spacing w:val="-2"/>
                <w:sz w:val="24"/>
                <w:szCs w:val="24"/>
              </w:rPr>
              <w:t>厂界噪声昼间、夜间贡献值能满足《工业企业厂界</w:t>
            </w:r>
            <w:r>
              <w:rPr>
                <w:spacing w:val="-1"/>
                <w:sz w:val="24"/>
                <w:szCs w:val="24"/>
              </w:rPr>
              <w:t>环境噪声排放标准》（</w:t>
            </w:r>
            <w:r>
              <w:rPr>
                <w:rFonts w:ascii="Times New Roman" w:hAnsi="Times New Roman" w:eastAsia="Times New Roman" w:cs="Times New Roman"/>
                <w:spacing w:val="-1"/>
                <w:sz w:val="24"/>
                <w:szCs w:val="24"/>
              </w:rPr>
              <w:t>GB12348-2008</w:t>
            </w:r>
            <w:r>
              <w:rPr>
                <w:spacing w:val="-1"/>
                <w:sz w:val="24"/>
                <w:szCs w:val="24"/>
              </w:rPr>
              <w:t>）中</w:t>
            </w:r>
            <w:r>
              <w:rPr>
                <w:spacing w:val="-32"/>
                <w:sz w:val="24"/>
                <w:szCs w:val="24"/>
              </w:rPr>
              <w:t xml:space="preserve"> </w:t>
            </w:r>
            <w:r>
              <w:rPr>
                <w:rFonts w:ascii="Times New Roman" w:hAnsi="Times New Roman" w:eastAsia="Times New Roman" w:cs="Times New Roman"/>
                <w:spacing w:val="-1"/>
                <w:sz w:val="24"/>
                <w:szCs w:val="24"/>
              </w:rPr>
              <w:t xml:space="preserve">1 </w:t>
            </w:r>
            <w:r>
              <w:rPr>
                <w:spacing w:val="-1"/>
                <w:sz w:val="24"/>
                <w:szCs w:val="24"/>
              </w:rPr>
              <w:t>类排放</w:t>
            </w:r>
            <w:r>
              <w:rPr>
                <w:spacing w:val="-2"/>
                <w:sz w:val="24"/>
                <w:szCs w:val="24"/>
              </w:rPr>
              <w:t>限值要求。</w:t>
            </w:r>
          </w:p>
          <w:p w14:paraId="4B0A3562">
            <w:pPr>
              <w:spacing w:line="6654" w:lineRule="exact"/>
              <w:ind w:firstLine="98"/>
            </w:pPr>
            <w:r>
              <w:rPr>
                <w:position w:val="-133"/>
              </w:rPr>
              <w:drawing>
                <wp:inline distT="0" distB="0" distL="0" distR="0">
                  <wp:extent cx="5438140" cy="4225290"/>
                  <wp:effectExtent l="0" t="0" r="0" b="0"/>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273"/>
                          <a:stretch>
                            <a:fillRect/>
                          </a:stretch>
                        </pic:blipFill>
                        <pic:spPr>
                          <a:xfrm>
                            <a:off x="0" y="0"/>
                            <a:ext cx="5438394" cy="4225290"/>
                          </a:xfrm>
                          <a:prstGeom prst="rect">
                            <a:avLst/>
                          </a:prstGeom>
                        </pic:spPr>
                      </pic:pic>
                    </a:graphicData>
                  </a:graphic>
                </wp:inline>
              </w:drawing>
            </w:r>
          </w:p>
          <w:p w14:paraId="6DC6DD59">
            <w:pPr>
              <w:pStyle w:val="6"/>
              <w:spacing w:before="37" w:line="208" w:lineRule="auto"/>
              <w:ind w:left="2913"/>
              <w:rPr>
                <w:sz w:val="24"/>
                <w:szCs w:val="24"/>
              </w:rPr>
            </w:pPr>
            <w:r>
              <w:rPr>
                <w:b/>
                <w:bCs/>
                <w:spacing w:val="1"/>
              </w:rPr>
              <w:t>图</w:t>
            </w:r>
            <w:r>
              <w:rPr>
                <w:spacing w:val="-23"/>
              </w:rPr>
              <w:t xml:space="preserve"> </w:t>
            </w:r>
            <w:r>
              <w:rPr>
                <w:rFonts w:ascii="Times New Roman" w:hAnsi="Times New Roman" w:eastAsia="Times New Roman" w:cs="Times New Roman"/>
                <w:b/>
                <w:bCs/>
                <w:spacing w:val="1"/>
              </w:rPr>
              <w:t xml:space="preserve">4-4    </w:t>
            </w:r>
            <w:r>
              <w:rPr>
                <w:b/>
                <w:bCs/>
                <w:spacing w:val="1"/>
              </w:rPr>
              <w:t>变电站噪声贡</w:t>
            </w:r>
            <w:r>
              <w:rPr>
                <w:b/>
                <w:bCs/>
                <w:spacing w:val="1"/>
                <w:sz w:val="24"/>
                <w:szCs w:val="24"/>
              </w:rPr>
              <w:t>献值等值线图</w:t>
            </w:r>
          </w:p>
        </w:tc>
      </w:tr>
    </w:tbl>
    <w:p w14:paraId="05060CD3">
      <w:pPr>
        <w:rPr>
          <w:rFonts w:ascii="Arial"/>
          <w:sz w:val="21"/>
        </w:rPr>
      </w:pPr>
    </w:p>
    <w:p w14:paraId="5EA60F5C">
      <w:pPr>
        <w:rPr>
          <w:rFonts w:ascii="Arial" w:hAnsi="Arial" w:eastAsia="Arial" w:cs="Arial"/>
          <w:sz w:val="21"/>
          <w:szCs w:val="21"/>
        </w:rPr>
        <w:sectPr>
          <w:footerReference r:id="rId114" w:type="default"/>
          <w:pgSz w:w="11907" w:h="16840"/>
          <w:pgMar w:top="400" w:right="1178" w:bottom="1240" w:left="1405" w:header="0" w:footer="1077" w:gutter="0"/>
          <w:cols w:space="720" w:num="1"/>
        </w:sectPr>
      </w:pPr>
    </w:p>
    <w:p w14:paraId="0EA4ED24">
      <w:pPr>
        <w:spacing w:line="242" w:lineRule="auto"/>
        <w:rPr>
          <w:rFonts w:ascii="Arial"/>
          <w:sz w:val="21"/>
        </w:rPr>
      </w:pPr>
    </w:p>
    <w:p w14:paraId="4E78F15F">
      <w:pPr>
        <w:spacing w:line="242" w:lineRule="auto"/>
        <w:rPr>
          <w:rFonts w:ascii="Arial"/>
          <w:sz w:val="21"/>
        </w:rPr>
      </w:pPr>
    </w:p>
    <w:p w14:paraId="27C20ACF">
      <w:pPr>
        <w:spacing w:line="242" w:lineRule="auto"/>
        <w:rPr>
          <w:rFonts w:ascii="Arial"/>
          <w:sz w:val="21"/>
        </w:rPr>
      </w:pPr>
    </w:p>
    <w:p w14:paraId="68A134F4">
      <w:pPr>
        <w:spacing w:line="243" w:lineRule="auto"/>
        <w:rPr>
          <w:rFonts w:ascii="Arial"/>
          <w:sz w:val="21"/>
        </w:rPr>
      </w:pPr>
    </w:p>
    <w:p w14:paraId="6984ADA0">
      <w:pPr>
        <w:pStyle w:val="2"/>
        <w:spacing w:before="78" w:line="218" w:lineRule="auto"/>
        <w:ind w:left="531"/>
        <w:rPr>
          <w:sz w:val="24"/>
          <w:szCs w:val="24"/>
        </w:rPr>
      </w:pPr>
      <w:r>
        <w:rPr>
          <w:spacing w:val="1"/>
          <w:sz w:val="24"/>
          <w:szCs w:val="24"/>
        </w:rPr>
        <w:t>变电站建成投运后，站址声环境评价范围内（厂界外</w:t>
      </w:r>
      <w:r>
        <w:rPr>
          <w:rFonts w:ascii="Times New Roman" w:hAnsi="Times New Roman" w:eastAsia="Times New Roman" w:cs="Times New Roman"/>
          <w:spacing w:val="1"/>
          <w:sz w:val="24"/>
          <w:szCs w:val="24"/>
        </w:rPr>
        <w:t>200m</w:t>
      </w:r>
      <w:r>
        <w:rPr>
          <w:spacing w:val="1"/>
          <w:sz w:val="24"/>
          <w:szCs w:val="24"/>
        </w:rPr>
        <w:t>）涉及的</w:t>
      </w:r>
      <w:r>
        <w:rPr>
          <w:spacing w:val="-51"/>
          <w:sz w:val="24"/>
          <w:szCs w:val="24"/>
        </w:rPr>
        <w:t xml:space="preserve"> </w:t>
      </w:r>
      <w:r>
        <w:rPr>
          <w:rFonts w:ascii="Times New Roman" w:hAnsi="Times New Roman" w:eastAsia="Times New Roman" w:cs="Times New Roman"/>
          <w:spacing w:val="1"/>
          <w:sz w:val="24"/>
          <w:szCs w:val="24"/>
        </w:rPr>
        <w:t xml:space="preserve">7 </w:t>
      </w:r>
      <w:r>
        <w:rPr>
          <w:spacing w:val="1"/>
          <w:sz w:val="24"/>
          <w:szCs w:val="24"/>
        </w:rPr>
        <w:t>个声环境保护目标</w:t>
      </w:r>
      <w:r>
        <w:rPr>
          <w:sz w:val="24"/>
          <w:szCs w:val="24"/>
        </w:rPr>
        <w:t>，其噪声预测结果见下表。</w:t>
      </w:r>
    </w:p>
    <w:p w14:paraId="30D7F877">
      <w:pPr>
        <w:pStyle w:val="2"/>
        <w:spacing w:before="182" w:line="212" w:lineRule="auto"/>
        <w:ind w:left="4020"/>
        <w:rPr>
          <w:sz w:val="24"/>
          <w:szCs w:val="24"/>
        </w:rPr>
      </w:pPr>
      <w:r>
        <w:rPr>
          <w:b/>
          <w:bCs/>
          <w:spacing w:val="-2"/>
          <w:sz w:val="24"/>
          <w:szCs w:val="24"/>
        </w:rPr>
        <w:t>表</w:t>
      </w:r>
      <w:r>
        <w:rPr>
          <w:spacing w:val="-44"/>
          <w:sz w:val="24"/>
          <w:szCs w:val="24"/>
        </w:rPr>
        <w:t xml:space="preserve"> </w:t>
      </w:r>
      <w:r>
        <w:rPr>
          <w:rFonts w:ascii="Times New Roman" w:hAnsi="Times New Roman" w:eastAsia="Times New Roman" w:cs="Times New Roman"/>
          <w:b/>
          <w:bCs/>
          <w:spacing w:val="-2"/>
          <w:sz w:val="24"/>
          <w:szCs w:val="24"/>
        </w:rPr>
        <w:t xml:space="preserve">4-8      </w:t>
      </w:r>
      <w:r>
        <w:rPr>
          <w:b/>
          <w:bCs/>
          <w:spacing w:val="-2"/>
          <w:sz w:val="24"/>
          <w:szCs w:val="24"/>
        </w:rPr>
        <w:t>工业企业声环境保护目标噪声预测结果与达标分析表</w:t>
      </w:r>
    </w:p>
    <w:tbl>
      <w:tblPr>
        <w:tblStyle w:val="5"/>
        <w:tblW w:w="1453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6"/>
        <w:gridCol w:w="768"/>
        <w:gridCol w:w="731"/>
        <w:gridCol w:w="563"/>
        <w:gridCol w:w="618"/>
        <w:gridCol w:w="713"/>
        <w:gridCol w:w="701"/>
        <w:gridCol w:w="741"/>
        <w:gridCol w:w="725"/>
        <w:gridCol w:w="724"/>
        <w:gridCol w:w="782"/>
        <w:gridCol w:w="782"/>
        <w:gridCol w:w="782"/>
        <w:gridCol w:w="782"/>
        <w:gridCol w:w="741"/>
        <w:gridCol w:w="741"/>
        <w:gridCol w:w="670"/>
        <w:gridCol w:w="675"/>
        <w:gridCol w:w="1138"/>
      </w:tblGrid>
      <w:tr w14:paraId="4332C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156" w:type="dxa"/>
            <w:vMerge w:val="restart"/>
            <w:tcBorders>
              <w:bottom w:val="nil"/>
            </w:tcBorders>
            <w:shd w:val="clear" w:color="auto" w:fill="D7D7D7"/>
            <w:vAlign w:val="top"/>
          </w:tcPr>
          <w:p w14:paraId="4ABACA83">
            <w:pPr>
              <w:spacing w:line="249" w:lineRule="auto"/>
              <w:rPr>
                <w:rFonts w:ascii="Arial"/>
                <w:sz w:val="21"/>
              </w:rPr>
            </w:pPr>
          </w:p>
          <w:p w14:paraId="34B35A07">
            <w:pPr>
              <w:pStyle w:val="6"/>
              <w:spacing w:before="65" w:line="228" w:lineRule="auto"/>
              <w:ind w:left="202"/>
            </w:pPr>
            <w:r>
              <w:rPr>
                <w:b/>
                <w:bCs/>
                <w:spacing w:val="-8"/>
              </w:rPr>
              <w:t>敏感目标</w:t>
            </w:r>
          </w:p>
        </w:tc>
        <w:tc>
          <w:tcPr>
            <w:tcW w:w="2062" w:type="dxa"/>
            <w:gridSpan w:val="3"/>
            <w:shd w:val="clear" w:color="auto" w:fill="D7D7D7"/>
            <w:vAlign w:val="top"/>
          </w:tcPr>
          <w:p w14:paraId="1554C1D7">
            <w:pPr>
              <w:pStyle w:val="6"/>
              <w:spacing w:before="172" w:line="229" w:lineRule="auto"/>
              <w:ind w:left="405"/>
            </w:pPr>
            <w:r>
              <w:rPr>
                <w:b/>
                <w:bCs/>
                <w:spacing w:val="5"/>
              </w:rPr>
              <w:t>空间相对位置</w:t>
            </w:r>
          </w:p>
        </w:tc>
        <w:tc>
          <w:tcPr>
            <w:tcW w:w="1331" w:type="dxa"/>
            <w:gridSpan w:val="2"/>
            <w:shd w:val="clear" w:color="auto" w:fill="D7D7D7"/>
            <w:vAlign w:val="top"/>
          </w:tcPr>
          <w:p w14:paraId="3F6670F0">
            <w:pPr>
              <w:pStyle w:val="6"/>
              <w:spacing w:before="52" w:line="241" w:lineRule="auto"/>
              <w:ind w:left="353" w:right="140" w:hanging="207"/>
              <w:rPr>
                <w:rFonts w:ascii="Times New Roman" w:hAnsi="Times New Roman" w:eastAsia="Times New Roman" w:cs="Times New Roman"/>
              </w:rPr>
            </w:pPr>
            <w:r>
              <w:rPr>
                <w:b/>
                <w:bCs/>
                <w:spacing w:val="4"/>
              </w:rPr>
              <w:t>噪声背景值</w:t>
            </w:r>
            <w:r>
              <w:rPr>
                <w:rFonts w:ascii="Times New Roman" w:hAnsi="Times New Roman" w:eastAsia="Times New Roman" w:cs="Times New Roman"/>
                <w:b/>
                <w:bCs/>
                <w:spacing w:val="6"/>
              </w:rPr>
              <w:t>/</w:t>
            </w:r>
            <w:r>
              <w:rPr>
                <w:rFonts w:ascii="Times New Roman" w:hAnsi="Times New Roman" w:eastAsia="Times New Roman" w:cs="Times New Roman"/>
                <w:b/>
                <w:bCs/>
              </w:rPr>
              <w:t>dB</w:t>
            </w:r>
            <w:r>
              <w:rPr>
                <w:rFonts w:ascii="Times New Roman" w:hAnsi="Times New Roman" w:eastAsia="Times New Roman" w:cs="Times New Roman"/>
                <w:b/>
                <w:bCs/>
                <w:spacing w:val="6"/>
              </w:rPr>
              <w:t>(A)</w:t>
            </w:r>
          </w:p>
        </w:tc>
        <w:tc>
          <w:tcPr>
            <w:tcW w:w="1442" w:type="dxa"/>
            <w:gridSpan w:val="2"/>
            <w:shd w:val="clear" w:color="auto" w:fill="D7D7D7"/>
            <w:vAlign w:val="top"/>
          </w:tcPr>
          <w:p w14:paraId="1608F00D">
            <w:pPr>
              <w:pStyle w:val="6"/>
              <w:spacing w:before="52" w:line="241" w:lineRule="auto"/>
              <w:ind w:left="410" w:right="195" w:hanging="207"/>
              <w:rPr>
                <w:rFonts w:ascii="Times New Roman" w:hAnsi="Times New Roman" w:eastAsia="Times New Roman" w:cs="Times New Roman"/>
              </w:rPr>
            </w:pPr>
            <w:r>
              <w:rPr>
                <w:b/>
                <w:bCs/>
                <w:spacing w:val="4"/>
              </w:rPr>
              <w:t>噪声现状值</w:t>
            </w:r>
            <w:r>
              <w:rPr>
                <w:rFonts w:ascii="Times New Roman" w:hAnsi="Times New Roman" w:eastAsia="Times New Roman" w:cs="Times New Roman"/>
                <w:b/>
                <w:bCs/>
                <w:spacing w:val="6"/>
              </w:rPr>
              <w:t>/</w:t>
            </w:r>
            <w:r>
              <w:rPr>
                <w:rFonts w:ascii="Times New Roman" w:hAnsi="Times New Roman" w:eastAsia="Times New Roman" w:cs="Times New Roman"/>
                <w:b/>
                <w:bCs/>
              </w:rPr>
              <w:t>dB</w:t>
            </w:r>
            <w:r>
              <w:rPr>
                <w:rFonts w:ascii="Times New Roman" w:hAnsi="Times New Roman" w:eastAsia="Times New Roman" w:cs="Times New Roman"/>
                <w:b/>
                <w:bCs/>
                <w:spacing w:val="6"/>
              </w:rPr>
              <w:t>(A)</w:t>
            </w:r>
          </w:p>
        </w:tc>
        <w:tc>
          <w:tcPr>
            <w:tcW w:w="1449" w:type="dxa"/>
            <w:gridSpan w:val="2"/>
            <w:shd w:val="clear" w:color="auto" w:fill="D7D7D7"/>
            <w:vAlign w:val="top"/>
          </w:tcPr>
          <w:p w14:paraId="4E9EEA08">
            <w:pPr>
              <w:pStyle w:val="6"/>
              <w:spacing w:before="52" w:line="241" w:lineRule="auto"/>
              <w:ind w:left="412" w:right="300" w:hanging="99"/>
              <w:rPr>
                <w:rFonts w:ascii="Times New Roman" w:hAnsi="Times New Roman" w:eastAsia="Times New Roman" w:cs="Times New Roman"/>
              </w:rPr>
            </w:pPr>
            <w:r>
              <w:rPr>
                <w:b/>
                <w:bCs/>
                <w:spacing w:val="4"/>
              </w:rPr>
              <w:t>噪声标准</w:t>
            </w:r>
            <w:r>
              <w:rPr>
                <w:rFonts w:ascii="Times New Roman" w:hAnsi="Times New Roman" w:eastAsia="Times New Roman" w:cs="Times New Roman"/>
                <w:b/>
                <w:bCs/>
                <w:spacing w:val="6"/>
              </w:rPr>
              <w:t>/</w:t>
            </w:r>
            <w:r>
              <w:rPr>
                <w:rFonts w:ascii="Times New Roman" w:hAnsi="Times New Roman" w:eastAsia="Times New Roman" w:cs="Times New Roman"/>
                <w:b/>
                <w:bCs/>
              </w:rPr>
              <w:t>dB</w:t>
            </w:r>
            <w:r>
              <w:rPr>
                <w:rFonts w:ascii="Times New Roman" w:hAnsi="Times New Roman" w:eastAsia="Times New Roman" w:cs="Times New Roman"/>
                <w:b/>
                <w:bCs/>
                <w:spacing w:val="6"/>
              </w:rPr>
              <w:t>(A)</w:t>
            </w:r>
          </w:p>
        </w:tc>
        <w:tc>
          <w:tcPr>
            <w:tcW w:w="1564" w:type="dxa"/>
            <w:gridSpan w:val="2"/>
            <w:shd w:val="clear" w:color="auto" w:fill="D7D7D7"/>
            <w:vAlign w:val="top"/>
          </w:tcPr>
          <w:p w14:paraId="51DF6B7A">
            <w:pPr>
              <w:pStyle w:val="6"/>
              <w:spacing w:before="52" w:line="241" w:lineRule="auto"/>
              <w:ind w:left="471" w:right="254" w:hanging="205"/>
              <w:rPr>
                <w:rFonts w:ascii="Times New Roman" w:hAnsi="Times New Roman" w:eastAsia="Times New Roman" w:cs="Times New Roman"/>
              </w:rPr>
            </w:pPr>
            <w:r>
              <w:rPr>
                <w:b/>
                <w:bCs/>
                <w:spacing w:val="4"/>
              </w:rPr>
              <w:t>噪声贡献值</w:t>
            </w:r>
            <w:r>
              <w:rPr>
                <w:rFonts w:ascii="Times New Roman" w:hAnsi="Times New Roman" w:eastAsia="Times New Roman" w:cs="Times New Roman"/>
                <w:b/>
                <w:bCs/>
                <w:spacing w:val="6"/>
              </w:rPr>
              <w:t>/</w:t>
            </w:r>
            <w:r>
              <w:rPr>
                <w:rFonts w:ascii="Times New Roman" w:hAnsi="Times New Roman" w:eastAsia="Times New Roman" w:cs="Times New Roman"/>
                <w:b/>
                <w:bCs/>
              </w:rPr>
              <w:t>dB</w:t>
            </w:r>
            <w:r>
              <w:rPr>
                <w:rFonts w:ascii="Times New Roman" w:hAnsi="Times New Roman" w:eastAsia="Times New Roman" w:cs="Times New Roman"/>
                <w:b/>
                <w:bCs/>
                <w:spacing w:val="6"/>
              </w:rPr>
              <w:t>(A)</w:t>
            </w:r>
          </w:p>
        </w:tc>
        <w:tc>
          <w:tcPr>
            <w:tcW w:w="1564" w:type="dxa"/>
            <w:gridSpan w:val="2"/>
            <w:tcBorders>
              <w:bottom w:val="single" w:color="000000" w:sz="2" w:space="0"/>
            </w:tcBorders>
            <w:shd w:val="clear" w:color="auto" w:fill="D7D7D7"/>
            <w:vAlign w:val="top"/>
          </w:tcPr>
          <w:p w14:paraId="56E12B9A">
            <w:pPr>
              <w:pStyle w:val="6"/>
              <w:spacing w:before="35" w:line="228" w:lineRule="auto"/>
              <w:ind w:left="183"/>
              <w:rPr>
                <w:rFonts w:ascii="Times New Roman" w:hAnsi="Times New Roman" w:eastAsia="Times New Roman" w:cs="Times New Roman"/>
              </w:rPr>
            </w:pPr>
            <w:r>
              <w:rPr>
                <w:b/>
                <w:bCs/>
                <w:spacing w:val="-5"/>
              </w:rPr>
              <w:t>噪声预测值</w:t>
            </w:r>
            <w:r>
              <w:rPr>
                <w:rFonts w:ascii="Times New Roman" w:hAnsi="Times New Roman" w:eastAsia="Times New Roman" w:cs="Times New Roman"/>
                <w:b/>
                <w:bCs/>
                <w:spacing w:val="-5"/>
              </w:rPr>
              <w:t>dB</w:t>
            </w:r>
          </w:p>
          <w:p w14:paraId="066455E3">
            <w:pPr>
              <w:pStyle w:val="6"/>
              <w:spacing w:before="26" w:line="218" w:lineRule="auto"/>
              <w:ind w:left="536"/>
            </w:pPr>
            <w:r>
              <w:rPr>
                <w:b/>
                <w:bCs/>
                <w:spacing w:val="-9"/>
              </w:rPr>
              <w:t>（</w:t>
            </w:r>
            <w:r>
              <w:rPr>
                <w:rFonts w:ascii="Times New Roman" w:hAnsi="Times New Roman" w:eastAsia="Times New Roman" w:cs="Times New Roman"/>
                <w:b/>
                <w:bCs/>
                <w:spacing w:val="-9"/>
              </w:rPr>
              <w:t>A</w:t>
            </w:r>
            <w:r>
              <w:rPr>
                <w:b/>
                <w:bCs/>
                <w:spacing w:val="-9"/>
              </w:rPr>
              <w:t>）</w:t>
            </w:r>
          </w:p>
        </w:tc>
        <w:tc>
          <w:tcPr>
            <w:tcW w:w="1482" w:type="dxa"/>
            <w:gridSpan w:val="2"/>
            <w:shd w:val="clear" w:color="auto" w:fill="D7D7D7"/>
            <w:vAlign w:val="top"/>
          </w:tcPr>
          <w:p w14:paraId="53EEC72C">
            <w:pPr>
              <w:pStyle w:val="6"/>
              <w:spacing w:before="52" w:line="241" w:lineRule="auto"/>
              <w:ind w:left="434" w:right="208" w:hanging="215"/>
              <w:rPr>
                <w:rFonts w:ascii="Times New Roman" w:hAnsi="Times New Roman" w:eastAsia="Times New Roman" w:cs="Times New Roman"/>
              </w:rPr>
            </w:pPr>
            <w:r>
              <w:rPr>
                <w:b/>
                <w:bCs/>
                <w:spacing w:val="6"/>
              </w:rPr>
              <w:t>较现状增量</w:t>
            </w:r>
            <w:r>
              <w:rPr>
                <w:rFonts w:ascii="Times New Roman" w:hAnsi="Times New Roman" w:eastAsia="Times New Roman" w:cs="Times New Roman"/>
                <w:b/>
                <w:bCs/>
                <w:spacing w:val="6"/>
              </w:rPr>
              <w:t>/</w:t>
            </w:r>
            <w:r>
              <w:rPr>
                <w:rFonts w:ascii="Times New Roman" w:hAnsi="Times New Roman" w:eastAsia="Times New Roman" w:cs="Times New Roman"/>
                <w:b/>
                <w:bCs/>
              </w:rPr>
              <w:t>dB</w:t>
            </w:r>
            <w:r>
              <w:rPr>
                <w:rFonts w:ascii="Times New Roman" w:hAnsi="Times New Roman" w:eastAsia="Times New Roman" w:cs="Times New Roman"/>
                <w:b/>
                <w:bCs/>
                <w:spacing w:val="6"/>
              </w:rPr>
              <w:t>(A)</w:t>
            </w:r>
          </w:p>
        </w:tc>
        <w:tc>
          <w:tcPr>
            <w:tcW w:w="1345" w:type="dxa"/>
            <w:gridSpan w:val="2"/>
            <w:shd w:val="clear" w:color="auto" w:fill="D7D7D7"/>
            <w:vAlign w:val="top"/>
          </w:tcPr>
          <w:p w14:paraId="34281B22">
            <w:pPr>
              <w:pStyle w:val="6"/>
              <w:spacing w:before="35" w:line="235" w:lineRule="auto"/>
              <w:ind w:left="489" w:right="171" w:hanging="284"/>
            </w:pPr>
            <w:r>
              <w:rPr>
                <w:b/>
                <w:bCs/>
                <w:spacing w:val="-11"/>
              </w:rPr>
              <w:t>超标和达标</w:t>
            </w:r>
            <w:r>
              <w:rPr>
                <w:b/>
                <w:bCs/>
                <w:spacing w:val="-3"/>
              </w:rPr>
              <w:t>情况</w:t>
            </w:r>
          </w:p>
        </w:tc>
        <w:tc>
          <w:tcPr>
            <w:tcW w:w="1138" w:type="dxa"/>
            <w:vMerge w:val="restart"/>
            <w:tcBorders>
              <w:bottom w:val="nil"/>
            </w:tcBorders>
            <w:shd w:val="clear" w:color="auto" w:fill="D7D7D7"/>
            <w:vAlign w:val="top"/>
          </w:tcPr>
          <w:p w14:paraId="3FFE9D25">
            <w:pPr>
              <w:spacing w:line="249" w:lineRule="auto"/>
              <w:rPr>
                <w:rFonts w:ascii="Arial"/>
                <w:sz w:val="21"/>
              </w:rPr>
            </w:pPr>
          </w:p>
          <w:p w14:paraId="749A0AED">
            <w:pPr>
              <w:pStyle w:val="6"/>
              <w:spacing w:before="65" w:line="228" w:lineRule="auto"/>
              <w:ind w:left="361"/>
            </w:pPr>
            <w:r>
              <w:rPr>
                <w:b/>
                <w:bCs/>
                <w:spacing w:val="3"/>
              </w:rPr>
              <w:t>类型</w:t>
            </w:r>
          </w:p>
        </w:tc>
      </w:tr>
      <w:tr w14:paraId="484FD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156" w:type="dxa"/>
            <w:vMerge w:val="continue"/>
            <w:tcBorders>
              <w:top w:val="nil"/>
            </w:tcBorders>
            <w:vAlign w:val="top"/>
          </w:tcPr>
          <w:p w14:paraId="44B83F05">
            <w:pPr>
              <w:rPr>
                <w:rFonts w:ascii="Arial"/>
                <w:sz w:val="21"/>
              </w:rPr>
            </w:pPr>
          </w:p>
        </w:tc>
        <w:tc>
          <w:tcPr>
            <w:tcW w:w="768" w:type="dxa"/>
            <w:shd w:val="clear" w:color="auto" w:fill="D7D7D7"/>
            <w:vAlign w:val="top"/>
          </w:tcPr>
          <w:p w14:paraId="76AD4394">
            <w:pPr>
              <w:spacing w:before="68" w:line="192" w:lineRule="auto"/>
              <w:ind w:left="306"/>
              <w:rPr>
                <w:rFonts w:ascii="Times New Roman" w:hAnsi="Times New Roman" w:eastAsia="Times New Roman" w:cs="Times New Roman"/>
                <w:sz w:val="20"/>
                <w:szCs w:val="20"/>
              </w:rPr>
            </w:pPr>
            <w:r>
              <w:rPr>
                <w:rFonts w:ascii="Times New Roman" w:hAnsi="Times New Roman" w:eastAsia="Times New Roman" w:cs="Times New Roman"/>
                <w:b/>
                <w:bCs/>
                <w:spacing w:val="5"/>
                <w:sz w:val="20"/>
                <w:szCs w:val="20"/>
              </w:rPr>
              <w:t>X</w:t>
            </w:r>
          </w:p>
        </w:tc>
        <w:tc>
          <w:tcPr>
            <w:tcW w:w="731" w:type="dxa"/>
            <w:shd w:val="clear" w:color="auto" w:fill="D7D7D7"/>
            <w:vAlign w:val="top"/>
          </w:tcPr>
          <w:p w14:paraId="69C63361">
            <w:pPr>
              <w:spacing w:before="68" w:line="192" w:lineRule="auto"/>
              <w:ind w:left="289"/>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Y</w:t>
            </w:r>
          </w:p>
        </w:tc>
        <w:tc>
          <w:tcPr>
            <w:tcW w:w="563" w:type="dxa"/>
            <w:shd w:val="clear" w:color="auto" w:fill="D7D7D7"/>
            <w:vAlign w:val="top"/>
          </w:tcPr>
          <w:p w14:paraId="2BC3B461">
            <w:pPr>
              <w:spacing w:before="68" w:line="192" w:lineRule="auto"/>
              <w:ind w:left="212"/>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Z</w:t>
            </w:r>
          </w:p>
        </w:tc>
        <w:tc>
          <w:tcPr>
            <w:tcW w:w="618" w:type="dxa"/>
            <w:shd w:val="clear" w:color="auto" w:fill="D7D7D7"/>
            <w:vAlign w:val="top"/>
          </w:tcPr>
          <w:p w14:paraId="3DA6CC50">
            <w:pPr>
              <w:pStyle w:val="6"/>
              <w:spacing w:before="29" w:line="219" w:lineRule="auto"/>
              <w:ind w:left="119"/>
            </w:pPr>
            <w:r>
              <w:rPr>
                <w:b/>
                <w:bCs/>
                <w:spacing w:val="-2"/>
              </w:rPr>
              <w:t>昼间</w:t>
            </w:r>
          </w:p>
        </w:tc>
        <w:tc>
          <w:tcPr>
            <w:tcW w:w="713" w:type="dxa"/>
            <w:shd w:val="clear" w:color="auto" w:fill="D7D7D7"/>
            <w:vAlign w:val="top"/>
          </w:tcPr>
          <w:p w14:paraId="6B6FC716">
            <w:pPr>
              <w:pStyle w:val="6"/>
              <w:spacing w:before="29" w:line="219" w:lineRule="auto"/>
              <w:ind w:left="170"/>
            </w:pPr>
            <w:r>
              <w:rPr>
                <w:b/>
                <w:bCs/>
                <w:spacing w:val="-4"/>
              </w:rPr>
              <w:t>夜间</w:t>
            </w:r>
          </w:p>
        </w:tc>
        <w:tc>
          <w:tcPr>
            <w:tcW w:w="701" w:type="dxa"/>
            <w:shd w:val="clear" w:color="auto" w:fill="D7D7D7"/>
            <w:vAlign w:val="top"/>
          </w:tcPr>
          <w:p w14:paraId="2D809A6F">
            <w:pPr>
              <w:pStyle w:val="6"/>
              <w:spacing w:before="29" w:line="219" w:lineRule="auto"/>
              <w:ind w:left="161"/>
            </w:pPr>
            <w:r>
              <w:rPr>
                <w:b/>
                <w:bCs/>
                <w:spacing w:val="-2"/>
              </w:rPr>
              <w:t>昼间</w:t>
            </w:r>
          </w:p>
        </w:tc>
        <w:tc>
          <w:tcPr>
            <w:tcW w:w="741" w:type="dxa"/>
            <w:shd w:val="clear" w:color="auto" w:fill="D7D7D7"/>
            <w:vAlign w:val="top"/>
          </w:tcPr>
          <w:p w14:paraId="73DAB7E4">
            <w:pPr>
              <w:pStyle w:val="6"/>
              <w:spacing w:before="29" w:line="219" w:lineRule="auto"/>
              <w:ind w:left="184"/>
            </w:pPr>
            <w:r>
              <w:rPr>
                <w:b/>
                <w:bCs/>
                <w:spacing w:val="-4"/>
              </w:rPr>
              <w:t>夜间</w:t>
            </w:r>
          </w:p>
        </w:tc>
        <w:tc>
          <w:tcPr>
            <w:tcW w:w="725" w:type="dxa"/>
            <w:shd w:val="clear" w:color="auto" w:fill="D7D7D7"/>
            <w:vAlign w:val="top"/>
          </w:tcPr>
          <w:p w14:paraId="3B352BA2">
            <w:pPr>
              <w:pStyle w:val="6"/>
              <w:spacing w:before="29" w:line="219" w:lineRule="auto"/>
              <w:ind w:left="173"/>
            </w:pPr>
            <w:r>
              <w:rPr>
                <w:b/>
                <w:bCs/>
                <w:spacing w:val="-2"/>
              </w:rPr>
              <w:t>昼间</w:t>
            </w:r>
          </w:p>
        </w:tc>
        <w:tc>
          <w:tcPr>
            <w:tcW w:w="724" w:type="dxa"/>
            <w:shd w:val="clear" w:color="auto" w:fill="D7D7D7"/>
            <w:vAlign w:val="top"/>
          </w:tcPr>
          <w:p w14:paraId="0353422A">
            <w:pPr>
              <w:pStyle w:val="6"/>
              <w:spacing w:before="29" w:line="219" w:lineRule="auto"/>
              <w:ind w:left="177"/>
            </w:pPr>
            <w:r>
              <w:rPr>
                <w:b/>
                <w:bCs/>
                <w:spacing w:val="-4"/>
              </w:rPr>
              <w:t>夜间</w:t>
            </w:r>
          </w:p>
        </w:tc>
        <w:tc>
          <w:tcPr>
            <w:tcW w:w="782" w:type="dxa"/>
            <w:shd w:val="clear" w:color="auto" w:fill="D7D7D7"/>
            <w:vAlign w:val="top"/>
          </w:tcPr>
          <w:p w14:paraId="01AD44E0">
            <w:pPr>
              <w:pStyle w:val="6"/>
              <w:spacing w:before="29" w:line="219" w:lineRule="auto"/>
              <w:ind w:left="203"/>
            </w:pPr>
            <w:r>
              <w:rPr>
                <w:b/>
                <w:bCs/>
                <w:spacing w:val="-2"/>
              </w:rPr>
              <w:t>昼间</w:t>
            </w:r>
          </w:p>
        </w:tc>
        <w:tc>
          <w:tcPr>
            <w:tcW w:w="782" w:type="dxa"/>
            <w:shd w:val="clear" w:color="auto" w:fill="D7D7D7"/>
            <w:vAlign w:val="top"/>
          </w:tcPr>
          <w:p w14:paraId="1D59CC2A">
            <w:pPr>
              <w:pStyle w:val="6"/>
              <w:spacing w:before="29" w:line="219" w:lineRule="auto"/>
              <w:ind w:left="207"/>
            </w:pPr>
            <w:r>
              <w:rPr>
                <w:b/>
                <w:bCs/>
                <w:spacing w:val="-4"/>
              </w:rPr>
              <w:t>夜间</w:t>
            </w:r>
          </w:p>
        </w:tc>
        <w:tc>
          <w:tcPr>
            <w:tcW w:w="782" w:type="dxa"/>
            <w:tcBorders>
              <w:top w:val="single" w:color="000000" w:sz="2" w:space="0"/>
              <w:right w:val="single" w:color="000000" w:sz="2" w:space="0"/>
            </w:tcBorders>
            <w:shd w:val="clear" w:color="auto" w:fill="D7D7D7"/>
            <w:vAlign w:val="top"/>
          </w:tcPr>
          <w:p w14:paraId="33221CFB">
            <w:pPr>
              <w:pStyle w:val="6"/>
              <w:spacing w:before="29" w:line="219" w:lineRule="auto"/>
              <w:ind w:left="203"/>
            </w:pPr>
            <w:r>
              <w:rPr>
                <w:b/>
                <w:bCs/>
                <w:spacing w:val="-2"/>
              </w:rPr>
              <w:t>昼间</w:t>
            </w:r>
          </w:p>
        </w:tc>
        <w:tc>
          <w:tcPr>
            <w:tcW w:w="782" w:type="dxa"/>
            <w:tcBorders>
              <w:top w:val="single" w:color="000000" w:sz="2" w:space="0"/>
              <w:left w:val="single" w:color="000000" w:sz="2" w:space="0"/>
            </w:tcBorders>
            <w:shd w:val="clear" w:color="auto" w:fill="D7D7D7"/>
            <w:vAlign w:val="top"/>
          </w:tcPr>
          <w:p w14:paraId="107303E4">
            <w:pPr>
              <w:pStyle w:val="6"/>
              <w:spacing w:before="29" w:line="219" w:lineRule="auto"/>
              <w:ind w:left="210"/>
            </w:pPr>
            <w:r>
              <w:rPr>
                <w:b/>
                <w:bCs/>
                <w:spacing w:val="-4"/>
              </w:rPr>
              <w:t>夜间</w:t>
            </w:r>
          </w:p>
        </w:tc>
        <w:tc>
          <w:tcPr>
            <w:tcW w:w="741" w:type="dxa"/>
            <w:shd w:val="clear" w:color="auto" w:fill="D7D7D7"/>
            <w:vAlign w:val="top"/>
          </w:tcPr>
          <w:p w14:paraId="0305A433">
            <w:pPr>
              <w:pStyle w:val="6"/>
              <w:spacing w:before="29" w:line="219" w:lineRule="auto"/>
              <w:ind w:left="185"/>
            </w:pPr>
            <w:r>
              <w:rPr>
                <w:b/>
                <w:bCs/>
                <w:spacing w:val="-2"/>
              </w:rPr>
              <w:t>昼间</w:t>
            </w:r>
          </w:p>
        </w:tc>
        <w:tc>
          <w:tcPr>
            <w:tcW w:w="741" w:type="dxa"/>
            <w:shd w:val="clear" w:color="auto" w:fill="D7D7D7"/>
            <w:vAlign w:val="top"/>
          </w:tcPr>
          <w:p w14:paraId="6F2ADFD1">
            <w:pPr>
              <w:pStyle w:val="6"/>
              <w:spacing w:before="29" w:line="219" w:lineRule="auto"/>
              <w:ind w:left="192"/>
            </w:pPr>
            <w:r>
              <w:rPr>
                <w:b/>
                <w:bCs/>
                <w:spacing w:val="-4"/>
              </w:rPr>
              <w:t>夜间</w:t>
            </w:r>
          </w:p>
        </w:tc>
        <w:tc>
          <w:tcPr>
            <w:tcW w:w="670" w:type="dxa"/>
            <w:shd w:val="clear" w:color="auto" w:fill="D7D7D7"/>
            <w:vAlign w:val="top"/>
          </w:tcPr>
          <w:p w14:paraId="5E685A4C">
            <w:pPr>
              <w:pStyle w:val="6"/>
              <w:spacing w:before="29" w:line="219" w:lineRule="auto"/>
              <w:ind w:left="153"/>
            </w:pPr>
            <w:r>
              <w:rPr>
                <w:b/>
                <w:bCs/>
                <w:spacing w:val="-2"/>
              </w:rPr>
              <w:t>昼间</w:t>
            </w:r>
          </w:p>
        </w:tc>
        <w:tc>
          <w:tcPr>
            <w:tcW w:w="675" w:type="dxa"/>
            <w:shd w:val="clear" w:color="auto" w:fill="D7D7D7"/>
            <w:vAlign w:val="top"/>
          </w:tcPr>
          <w:p w14:paraId="5F218A26">
            <w:pPr>
              <w:pStyle w:val="6"/>
              <w:spacing w:before="29" w:line="219" w:lineRule="auto"/>
              <w:ind w:left="159"/>
            </w:pPr>
            <w:r>
              <w:rPr>
                <w:b/>
                <w:bCs/>
                <w:spacing w:val="-4"/>
              </w:rPr>
              <w:t>夜间</w:t>
            </w:r>
          </w:p>
        </w:tc>
        <w:tc>
          <w:tcPr>
            <w:tcW w:w="1138" w:type="dxa"/>
            <w:vMerge w:val="continue"/>
            <w:tcBorders>
              <w:top w:val="nil"/>
            </w:tcBorders>
            <w:vAlign w:val="top"/>
          </w:tcPr>
          <w:p w14:paraId="5E91E8AB">
            <w:pPr>
              <w:rPr>
                <w:rFonts w:ascii="Arial"/>
                <w:sz w:val="21"/>
              </w:rPr>
            </w:pPr>
          </w:p>
        </w:tc>
      </w:tr>
      <w:tr w14:paraId="45EC1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1156" w:type="dxa"/>
            <w:vAlign w:val="top"/>
          </w:tcPr>
          <w:p w14:paraId="691A6436">
            <w:pPr>
              <w:pStyle w:val="6"/>
              <w:spacing w:before="31" w:line="225" w:lineRule="auto"/>
              <w:ind w:left="159"/>
            </w:pPr>
            <w:r>
              <w:rPr>
                <w:spacing w:val="7"/>
              </w:rPr>
              <w:t>①松山变</w:t>
            </w:r>
          </w:p>
          <w:p w14:paraId="52AFB80D">
            <w:pPr>
              <w:pStyle w:val="6"/>
              <w:spacing w:before="28" w:line="234" w:lineRule="auto"/>
              <w:ind w:left="177" w:right="155" w:firstLine="8"/>
            </w:pPr>
            <w:r>
              <w:rPr>
                <w:spacing w:val="1"/>
              </w:rPr>
              <w:t>电站周围</w:t>
            </w:r>
            <w:r>
              <w:rPr>
                <w:rFonts w:ascii="Times New Roman" w:hAnsi="Times New Roman" w:eastAsia="Times New Roman" w:cs="Times New Roman"/>
                <w:spacing w:val="2"/>
              </w:rPr>
              <w:t>1#</w:t>
            </w:r>
            <w:r>
              <w:rPr>
                <w:spacing w:val="2"/>
              </w:rPr>
              <w:t>居民点</w:t>
            </w:r>
          </w:p>
        </w:tc>
        <w:tc>
          <w:tcPr>
            <w:tcW w:w="768" w:type="dxa"/>
            <w:vAlign w:val="top"/>
          </w:tcPr>
          <w:p w14:paraId="1150225A">
            <w:pPr>
              <w:spacing w:line="281" w:lineRule="auto"/>
              <w:rPr>
                <w:rFonts w:ascii="Arial"/>
                <w:sz w:val="21"/>
              </w:rPr>
            </w:pPr>
          </w:p>
          <w:p w14:paraId="526E0E0F">
            <w:pPr>
              <w:spacing w:before="57" w:line="195" w:lineRule="auto"/>
              <w:ind w:left="14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79.06</w:t>
            </w:r>
          </w:p>
        </w:tc>
        <w:tc>
          <w:tcPr>
            <w:tcW w:w="731" w:type="dxa"/>
            <w:vAlign w:val="top"/>
          </w:tcPr>
          <w:p w14:paraId="77057168">
            <w:pPr>
              <w:spacing w:line="281" w:lineRule="auto"/>
              <w:rPr>
                <w:rFonts w:ascii="Arial"/>
                <w:sz w:val="21"/>
              </w:rPr>
            </w:pPr>
          </w:p>
          <w:p w14:paraId="35609FB0">
            <w:pPr>
              <w:spacing w:before="57" w:line="195" w:lineRule="auto"/>
              <w:ind w:left="18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93.6</w:t>
            </w:r>
          </w:p>
        </w:tc>
        <w:tc>
          <w:tcPr>
            <w:tcW w:w="563" w:type="dxa"/>
            <w:vAlign w:val="top"/>
          </w:tcPr>
          <w:p w14:paraId="7B49365F">
            <w:pPr>
              <w:spacing w:line="281" w:lineRule="auto"/>
              <w:rPr>
                <w:rFonts w:ascii="Arial"/>
                <w:sz w:val="21"/>
              </w:rPr>
            </w:pPr>
          </w:p>
          <w:p w14:paraId="3EFFCABE">
            <w:pPr>
              <w:spacing w:before="57"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618" w:type="dxa"/>
            <w:vAlign w:val="top"/>
          </w:tcPr>
          <w:p w14:paraId="6A5D813D">
            <w:pPr>
              <w:spacing w:line="281" w:lineRule="auto"/>
              <w:rPr>
                <w:rFonts w:ascii="Arial"/>
                <w:sz w:val="21"/>
              </w:rPr>
            </w:pPr>
          </w:p>
          <w:p w14:paraId="56632A53">
            <w:pPr>
              <w:spacing w:before="57" w:line="195" w:lineRule="auto"/>
              <w:ind w:left="211"/>
              <w:rPr>
                <w:rFonts w:ascii="Times New Roman" w:hAnsi="Times New Roman" w:eastAsia="Times New Roman" w:cs="Times New Roman"/>
                <w:sz w:val="20"/>
                <w:szCs w:val="20"/>
              </w:rPr>
            </w:pPr>
            <w:r>
              <w:rPr>
                <w:rFonts w:ascii="Times New Roman" w:hAnsi="Times New Roman" w:eastAsia="Times New Roman" w:cs="Times New Roman"/>
                <w:sz w:val="20"/>
                <w:szCs w:val="20"/>
              </w:rPr>
              <w:t>42</w:t>
            </w:r>
          </w:p>
        </w:tc>
        <w:tc>
          <w:tcPr>
            <w:tcW w:w="713" w:type="dxa"/>
            <w:vAlign w:val="top"/>
          </w:tcPr>
          <w:p w14:paraId="244E8E88">
            <w:pPr>
              <w:spacing w:line="281" w:lineRule="auto"/>
              <w:rPr>
                <w:rFonts w:ascii="Arial"/>
                <w:sz w:val="21"/>
              </w:rPr>
            </w:pPr>
          </w:p>
          <w:p w14:paraId="3516817A">
            <w:pPr>
              <w:spacing w:before="57" w:line="195" w:lineRule="auto"/>
              <w:ind w:left="2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w:t>
            </w:r>
          </w:p>
        </w:tc>
        <w:tc>
          <w:tcPr>
            <w:tcW w:w="701" w:type="dxa"/>
            <w:vAlign w:val="top"/>
          </w:tcPr>
          <w:p w14:paraId="3D8A454F">
            <w:pPr>
              <w:spacing w:line="281" w:lineRule="auto"/>
              <w:rPr>
                <w:rFonts w:ascii="Arial"/>
                <w:sz w:val="21"/>
              </w:rPr>
            </w:pPr>
          </w:p>
          <w:p w14:paraId="1064699D">
            <w:pPr>
              <w:spacing w:before="57" w:line="195" w:lineRule="auto"/>
              <w:ind w:left="250"/>
              <w:rPr>
                <w:rFonts w:ascii="Times New Roman" w:hAnsi="Times New Roman" w:eastAsia="Times New Roman" w:cs="Times New Roman"/>
                <w:sz w:val="20"/>
                <w:szCs w:val="20"/>
              </w:rPr>
            </w:pPr>
            <w:r>
              <w:rPr>
                <w:rFonts w:ascii="Times New Roman" w:hAnsi="Times New Roman" w:eastAsia="Times New Roman" w:cs="Times New Roman"/>
                <w:sz w:val="20"/>
                <w:szCs w:val="20"/>
              </w:rPr>
              <w:t>42</w:t>
            </w:r>
          </w:p>
        </w:tc>
        <w:tc>
          <w:tcPr>
            <w:tcW w:w="741" w:type="dxa"/>
            <w:vAlign w:val="top"/>
          </w:tcPr>
          <w:p w14:paraId="794FFDDA">
            <w:pPr>
              <w:spacing w:line="281" w:lineRule="auto"/>
              <w:rPr>
                <w:rFonts w:ascii="Arial"/>
                <w:sz w:val="21"/>
              </w:rPr>
            </w:pPr>
          </w:p>
          <w:p w14:paraId="325807C9">
            <w:pPr>
              <w:spacing w:before="57"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w:t>
            </w:r>
          </w:p>
        </w:tc>
        <w:tc>
          <w:tcPr>
            <w:tcW w:w="725" w:type="dxa"/>
            <w:vAlign w:val="top"/>
          </w:tcPr>
          <w:p w14:paraId="41078511">
            <w:pPr>
              <w:spacing w:line="283" w:lineRule="auto"/>
              <w:rPr>
                <w:rFonts w:ascii="Arial"/>
                <w:sz w:val="21"/>
              </w:rPr>
            </w:pPr>
          </w:p>
          <w:p w14:paraId="36FA3DDD">
            <w:pPr>
              <w:spacing w:before="58" w:line="192" w:lineRule="auto"/>
              <w:ind w:left="2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55</w:t>
            </w:r>
          </w:p>
        </w:tc>
        <w:tc>
          <w:tcPr>
            <w:tcW w:w="724" w:type="dxa"/>
            <w:vAlign w:val="top"/>
          </w:tcPr>
          <w:p w14:paraId="549627DD">
            <w:pPr>
              <w:spacing w:line="281" w:lineRule="auto"/>
              <w:rPr>
                <w:rFonts w:ascii="Arial"/>
                <w:sz w:val="21"/>
              </w:rPr>
            </w:pPr>
          </w:p>
          <w:p w14:paraId="1232959D">
            <w:pPr>
              <w:spacing w:before="57" w:line="195" w:lineRule="auto"/>
              <w:ind w:left="265"/>
              <w:rPr>
                <w:rFonts w:ascii="Times New Roman" w:hAnsi="Times New Roman" w:eastAsia="Times New Roman" w:cs="Times New Roman"/>
                <w:sz w:val="20"/>
                <w:szCs w:val="20"/>
              </w:rPr>
            </w:pPr>
            <w:r>
              <w:rPr>
                <w:rFonts w:ascii="Times New Roman" w:hAnsi="Times New Roman" w:eastAsia="Times New Roman" w:cs="Times New Roman"/>
                <w:sz w:val="20"/>
                <w:szCs w:val="20"/>
              </w:rPr>
              <w:t>45</w:t>
            </w:r>
          </w:p>
        </w:tc>
        <w:tc>
          <w:tcPr>
            <w:tcW w:w="782" w:type="dxa"/>
            <w:vAlign w:val="top"/>
          </w:tcPr>
          <w:p w14:paraId="14F46C7B">
            <w:pPr>
              <w:spacing w:line="281" w:lineRule="auto"/>
              <w:rPr>
                <w:rFonts w:ascii="Arial"/>
                <w:sz w:val="21"/>
              </w:rPr>
            </w:pPr>
          </w:p>
          <w:p w14:paraId="66603D59">
            <w:pPr>
              <w:spacing w:before="57" w:line="195" w:lineRule="auto"/>
              <w:ind w:left="17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28.09</w:t>
            </w:r>
          </w:p>
        </w:tc>
        <w:tc>
          <w:tcPr>
            <w:tcW w:w="782" w:type="dxa"/>
            <w:vAlign w:val="top"/>
          </w:tcPr>
          <w:p w14:paraId="6D9E3319">
            <w:pPr>
              <w:spacing w:line="281" w:lineRule="auto"/>
              <w:rPr>
                <w:rFonts w:ascii="Arial"/>
                <w:sz w:val="21"/>
              </w:rPr>
            </w:pPr>
          </w:p>
          <w:p w14:paraId="1015F4D2">
            <w:pPr>
              <w:spacing w:before="57" w:line="195" w:lineRule="auto"/>
              <w:ind w:left="1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28.09</w:t>
            </w:r>
          </w:p>
        </w:tc>
        <w:tc>
          <w:tcPr>
            <w:tcW w:w="782" w:type="dxa"/>
            <w:tcBorders>
              <w:right w:val="single" w:color="000000" w:sz="2" w:space="0"/>
            </w:tcBorders>
            <w:vAlign w:val="top"/>
          </w:tcPr>
          <w:p w14:paraId="61D19AE7">
            <w:pPr>
              <w:spacing w:line="281" w:lineRule="auto"/>
              <w:rPr>
                <w:rFonts w:ascii="Arial"/>
                <w:sz w:val="21"/>
              </w:rPr>
            </w:pPr>
          </w:p>
          <w:p w14:paraId="71A3D5C9">
            <w:pPr>
              <w:spacing w:before="57" w:line="195" w:lineRule="auto"/>
              <w:ind w:left="182"/>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42.17</w:t>
            </w:r>
          </w:p>
        </w:tc>
        <w:tc>
          <w:tcPr>
            <w:tcW w:w="782" w:type="dxa"/>
            <w:tcBorders>
              <w:left w:val="single" w:color="000000" w:sz="2" w:space="0"/>
            </w:tcBorders>
            <w:vAlign w:val="top"/>
          </w:tcPr>
          <w:p w14:paraId="488A2E9C">
            <w:pPr>
              <w:spacing w:line="281" w:lineRule="auto"/>
              <w:rPr>
                <w:rFonts w:ascii="Arial"/>
                <w:sz w:val="21"/>
              </w:rPr>
            </w:pPr>
          </w:p>
          <w:p w14:paraId="375557AA">
            <w:pPr>
              <w:spacing w:before="57" w:line="195" w:lineRule="auto"/>
              <w:ind w:left="183"/>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39.34</w:t>
            </w:r>
          </w:p>
        </w:tc>
        <w:tc>
          <w:tcPr>
            <w:tcW w:w="741" w:type="dxa"/>
            <w:vAlign w:val="top"/>
          </w:tcPr>
          <w:p w14:paraId="4FEAC6EE">
            <w:pPr>
              <w:spacing w:line="281" w:lineRule="auto"/>
              <w:rPr>
                <w:rFonts w:ascii="Arial"/>
                <w:sz w:val="21"/>
              </w:rPr>
            </w:pPr>
          </w:p>
          <w:p w14:paraId="3E136703">
            <w:pPr>
              <w:spacing w:before="57" w:line="195" w:lineRule="auto"/>
              <w:ind w:left="21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0.17</w:t>
            </w:r>
          </w:p>
        </w:tc>
        <w:tc>
          <w:tcPr>
            <w:tcW w:w="741" w:type="dxa"/>
            <w:vAlign w:val="top"/>
          </w:tcPr>
          <w:p w14:paraId="1D6621E4">
            <w:pPr>
              <w:spacing w:line="281" w:lineRule="auto"/>
              <w:rPr>
                <w:rFonts w:ascii="Arial"/>
                <w:sz w:val="21"/>
              </w:rPr>
            </w:pPr>
          </w:p>
          <w:p w14:paraId="6D916D89">
            <w:pPr>
              <w:spacing w:before="57"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0.34</w:t>
            </w:r>
          </w:p>
        </w:tc>
        <w:tc>
          <w:tcPr>
            <w:tcW w:w="670" w:type="dxa"/>
            <w:vAlign w:val="top"/>
          </w:tcPr>
          <w:p w14:paraId="144A9C29">
            <w:pPr>
              <w:pStyle w:val="6"/>
              <w:spacing w:before="304" w:line="228" w:lineRule="auto"/>
              <w:ind w:left="153"/>
            </w:pPr>
            <w:r>
              <w:t>达标</w:t>
            </w:r>
          </w:p>
        </w:tc>
        <w:tc>
          <w:tcPr>
            <w:tcW w:w="675" w:type="dxa"/>
            <w:vAlign w:val="top"/>
          </w:tcPr>
          <w:p w14:paraId="31269FE4">
            <w:pPr>
              <w:pStyle w:val="6"/>
              <w:spacing w:before="304" w:line="228" w:lineRule="auto"/>
              <w:ind w:left="155"/>
            </w:pPr>
            <w:r>
              <w:t>达标</w:t>
            </w:r>
          </w:p>
        </w:tc>
        <w:tc>
          <w:tcPr>
            <w:tcW w:w="1138" w:type="dxa"/>
            <w:vAlign w:val="top"/>
          </w:tcPr>
          <w:p w14:paraId="7A956363">
            <w:pPr>
              <w:pStyle w:val="6"/>
              <w:spacing w:before="167" w:line="252" w:lineRule="auto"/>
              <w:ind w:left="259" w:right="145" w:hanging="102"/>
            </w:pPr>
            <w:r>
              <w:rPr>
                <w:spacing w:val="6"/>
              </w:rPr>
              <w:t>声环境保护目标</w:t>
            </w:r>
          </w:p>
        </w:tc>
      </w:tr>
      <w:tr w14:paraId="1F243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trPr>
        <w:tc>
          <w:tcPr>
            <w:tcW w:w="1156" w:type="dxa"/>
            <w:vAlign w:val="top"/>
          </w:tcPr>
          <w:p w14:paraId="1968CFDE">
            <w:pPr>
              <w:pStyle w:val="6"/>
              <w:spacing w:before="33" w:line="225" w:lineRule="auto"/>
              <w:ind w:left="159"/>
            </w:pPr>
            <w:r>
              <w:rPr>
                <w:spacing w:val="7"/>
              </w:rPr>
              <w:t>②松山变</w:t>
            </w:r>
          </w:p>
          <w:p w14:paraId="29391EAC">
            <w:pPr>
              <w:pStyle w:val="6"/>
              <w:spacing w:before="27" w:line="234" w:lineRule="auto"/>
              <w:ind w:left="156" w:right="155" w:firstLine="28"/>
            </w:pPr>
            <w:r>
              <w:rPr>
                <w:spacing w:val="1"/>
              </w:rPr>
              <w:t>电站周围</w:t>
            </w:r>
            <w:r>
              <w:rPr>
                <w:rFonts w:ascii="Times New Roman" w:hAnsi="Times New Roman" w:eastAsia="Times New Roman" w:cs="Times New Roman"/>
                <w:spacing w:val="6"/>
              </w:rPr>
              <w:t>2#</w:t>
            </w:r>
            <w:r>
              <w:rPr>
                <w:spacing w:val="6"/>
              </w:rPr>
              <w:t>居民点</w:t>
            </w:r>
          </w:p>
        </w:tc>
        <w:tc>
          <w:tcPr>
            <w:tcW w:w="768" w:type="dxa"/>
            <w:vAlign w:val="top"/>
          </w:tcPr>
          <w:p w14:paraId="7C8E7E8E">
            <w:pPr>
              <w:spacing w:line="280" w:lineRule="auto"/>
              <w:rPr>
                <w:rFonts w:ascii="Arial"/>
                <w:sz w:val="21"/>
              </w:rPr>
            </w:pPr>
          </w:p>
          <w:p w14:paraId="0F93E0F3">
            <w:pPr>
              <w:spacing w:before="58" w:line="195" w:lineRule="auto"/>
              <w:ind w:left="14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30.99</w:t>
            </w:r>
          </w:p>
        </w:tc>
        <w:tc>
          <w:tcPr>
            <w:tcW w:w="731" w:type="dxa"/>
            <w:vAlign w:val="top"/>
          </w:tcPr>
          <w:p w14:paraId="57BBD5A5">
            <w:pPr>
              <w:spacing w:line="280" w:lineRule="auto"/>
              <w:rPr>
                <w:rFonts w:ascii="Arial"/>
                <w:sz w:val="21"/>
              </w:rPr>
            </w:pPr>
          </w:p>
          <w:p w14:paraId="75B363A1">
            <w:pPr>
              <w:spacing w:before="58"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72.57</w:t>
            </w:r>
          </w:p>
        </w:tc>
        <w:tc>
          <w:tcPr>
            <w:tcW w:w="563" w:type="dxa"/>
            <w:vAlign w:val="top"/>
          </w:tcPr>
          <w:p w14:paraId="44649FB0">
            <w:pPr>
              <w:spacing w:line="280" w:lineRule="auto"/>
              <w:rPr>
                <w:rFonts w:ascii="Arial"/>
                <w:sz w:val="21"/>
              </w:rPr>
            </w:pPr>
          </w:p>
          <w:p w14:paraId="24FDE5F5">
            <w:pPr>
              <w:spacing w:before="58"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618" w:type="dxa"/>
            <w:vAlign w:val="top"/>
          </w:tcPr>
          <w:p w14:paraId="5546CB29">
            <w:pPr>
              <w:spacing w:line="280" w:lineRule="auto"/>
              <w:rPr>
                <w:rFonts w:ascii="Arial"/>
                <w:sz w:val="21"/>
              </w:rPr>
            </w:pPr>
          </w:p>
          <w:p w14:paraId="52208E03">
            <w:pPr>
              <w:spacing w:before="58" w:line="195" w:lineRule="auto"/>
              <w:ind w:left="211"/>
              <w:rPr>
                <w:rFonts w:ascii="Times New Roman" w:hAnsi="Times New Roman" w:eastAsia="Times New Roman" w:cs="Times New Roman"/>
                <w:sz w:val="20"/>
                <w:szCs w:val="20"/>
              </w:rPr>
            </w:pPr>
            <w:r>
              <w:rPr>
                <w:rFonts w:ascii="Times New Roman" w:hAnsi="Times New Roman" w:eastAsia="Times New Roman" w:cs="Times New Roman"/>
                <w:sz w:val="20"/>
                <w:szCs w:val="20"/>
              </w:rPr>
              <w:t>43</w:t>
            </w:r>
          </w:p>
        </w:tc>
        <w:tc>
          <w:tcPr>
            <w:tcW w:w="713" w:type="dxa"/>
            <w:vAlign w:val="top"/>
          </w:tcPr>
          <w:p w14:paraId="33C8F172">
            <w:pPr>
              <w:spacing w:line="280" w:lineRule="auto"/>
              <w:rPr>
                <w:rFonts w:ascii="Arial"/>
                <w:sz w:val="21"/>
              </w:rPr>
            </w:pPr>
          </w:p>
          <w:p w14:paraId="7A476DC9">
            <w:pPr>
              <w:spacing w:before="58" w:line="195" w:lineRule="auto"/>
              <w:ind w:left="2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38</w:t>
            </w:r>
          </w:p>
        </w:tc>
        <w:tc>
          <w:tcPr>
            <w:tcW w:w="701" w:type="dxa"/>
            <w:vAlign w:val="top"/>
          </w:tcPr>
          <w:p w14:paraId="4FCF6ADB">
            <w:pPr>
              <w:spacing w:line="280" w:lineRule="auto"/>
              <w:rPr>
                <w:rFonts w:ascii="Arial"/>
                <w:sz w:val="21"/>
              </w:rPr>
            </w:pPr>
          </w:p>
          <w:p w14:paraId="43963FC1">
            <w:pPr>
              <w:spacing w:before="58" w:line="195" w:lineRule="auto"/>
              <w:ind w:left="250"/>
              <w:rPr>
                <w:rFonts w:ascii="Times New Roman" w:hAnsi="Times New Roman" w:eastAsia="Times New Roman" w:cs="Times New Roman"/>
                <w:sz w:val="20"/>
                <w:szCs w:val="20"/>
              </w:rPr>
            </w:pPr>
            <w:r>
              <w:rPr>
                <w:rFonts w:ascii="Times New Roman" w:hAnsi="Times New Roman" w:eastAsia="Times New Roman" w:cs="Times New Roman"/>
                <w:sz w:val="20"/>
                <w:szCs w:val="20"/>
              </w:rPr>
              <w:t>43</w:t>
            </w:r>
          </w:p>
        </w:tc>
        <w:tc>
          <w:tcPr>
            <w:tcW w:w="741" w:type="dxa"/>
            <w:vAlign w:val="top"/>
          </w:tcPr>
          <w:p w14:paraId="4AD06719">
            <w:pPr>
              <w:spacing w:line="280" w:lineRule="auto"/>
              <w:rPr>
                <w:rFonts w:ascii="Arial"/>
                <w:sz w:val="21"/>
              </w:rPr>
            </w:pPr>
          </w:p>
          <w:p w14:paraId="4E941BCD">
            <w:pPr>
              <w:spacing w:before="58"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38</w:t>
            </w:r>
          </w:p>
        </w:tc>
        <w:tc>
          <w:tcPr>
            <w:tcW w:w="725" w:type="dxa"/>
            <w:vAlign w:val="top"/>
          </w:tcPr>
          <w:p w14:paraId="6A1F3E25">
            <w:pPr>
              <w:spacing w:line="283" w:lineRule="auto"/>
              <w:rPr>
                <w:rFonts w:ascii="Arial"/>
                <w:sz w:val="21"/>
              </w:rPr>
            </w:pPr>
          </w:p>
          <w:p w14:paraId="422ED952">
            <w:pPr>
              <w:spacing w:before="57" w:line="192" w:lineRule="auto"/>
              <w:ind w:left="2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55</w:t>
            </w:r>
          </w:p>
        </w:tc>
        <w:tc>
          <w:tcPr>
            <w:tcW w:w="724" w:type="dxa"/>
            <w:vAlign w:val="top"/>
          </w:tcPr>
          <w:p w14:paraId="54668A3D">
            <w:pPr>
              <w:spacing w:line="280" w:lineRule="auto"/>
              <w:rPr>
                <w:rFonts w:ascii="Arial"/>
                <w:sz w:val="21"/>
              </w:rPr>
            </w:pPr>
          </w:p>
          <w:p w14:paraId="6B068CEC">
            <w:pPr>
              <w:spacing w:before="58" w:line="195" w:lineRule="auto"/>
              <w:ind w:left="265"/>
              <w:rPr>
                <w:rFonts w:ascii="Times New Roman" w:hAnsi="Times New Roman" w:eastAsia="Times New Roman" w:cs="Times New Roman"/>
                <w:sz w:val="20"/>
                <w:szCs w:val="20"/>
              </w:rPr>
            </w:pPr>
            <w:r>
              <w:rPr>
                <w:rFonts w:ascii="Times New Roman" w:hAnsi="Times New Roman" w:eastAsia="Times New Roman" w:cs="Times New Roman"/>
                <w:sz w:val="20"/>
                <w:szCs w:val="20"/>
              </w:rPr>
              <w:t>45</w:t>
            </w:r>
          </w:p>
        </w:tc>
        <w:tc>
          <w:tcPr>
            <w:tcW w:w="782" w:type="dxa"/>
            <w:vAlign w:val="top"/>
          </w:tcPr>
          <w:p w14:paraId="0E61FA18">
            <w:pPr>
              <w:spacing w:line="280" w:lineRule="auto"/>
              <w:rPr>
                <w:rFonts w:ascii="Arial"/>
                <w:sz w:val="21"/>
              </w:rPr>
            </w:pPr>
          </w:p>
          <w:p w14:paraId="40D7E785">
            <w:pPr>
              <w:spacing w:before="58" w:line="195" w:lineRule="auto"/>
              <w:ind w:left="182"/>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30.91</w:t>
            </w:r>
          </w:p>
        </w:tc>
        <w:tc>
          <w:tcPr>
            <w:tcW w:w="782" w:type="dxa"/>
            <w:vAlign w:val="top"/>
          </w:tcPr>
          <w:p w14:paraId="30C5098C">
            <w:pPr>
              <w:spacing w:line="280" w:lineRule="auto"/>
              <w:rPr>
                <w:rFonts w:ascii="Arial"/>
                <w:sz w:val="21"/>
              </w:rPr>
            </w:pPr>
          </w:p>
          <w:p w14:paraId="77C62779">
            <w:pPr>
              <w:spacing w:before="58" w:line="195" w:lineRule="auto"/>
              <w:ind w:left="18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30.91</w:t>
            </w:r>
          </w:p>
        </w:tc>
        <w:tc>
          <w:tcPr>
            <w:tcW w:w="782" w:type="dxa"/>
            <w:tcBorders>
              <w:right w:val="single" w:color="000000" w:sz="2" w:space="0"/>
            </w:tcBorders>
            <w:vAlign w:val="top"/>
          </w:tcPr>
          <w:p w14:paraId="2E2EA0FC">
            <w:pPr>
              <w:spacing w:line="280" w:lineRule="auto"/>
              <w:rPr>
                <w:rFonts w:ascii="Arial"/>
                <w:sz w:val="21"/>
              </w:rPr>
            </w:pPr>
          </w:p>
          <w:p w14:paraId="1CBFB902">
            <w:pPr>
              <w:spacing w:before="57" w:line="195" w:lineRule="auto"/>
              <w:ind w:left="182"/>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43.26</w:t>
            </w:r>
          </w:p>
        </w:tc>
        <w:tc>
          <w:tcPr>
            <w:tcW w:w="782" w:type="dxa"/>
            <w:tcBorders>
              <w:left w:val="single" w:color="000000" w:sz="2" w:space="0"/>
            </w:tcBorders>
            <w:vAlign w:val="top"/>
          </w:tcPr>
          <w:p w14:paraId="0D29B5EF">
            <w:pPr>
              <w:spacing w:line="280" w:lineRule="auto"/>
              <w:rPr>
                <w:rFonts w:ascii="Arial"/>
                <w:sz w:val="21"/>
              </w:rPr>
            </w:pPr>
          </w:p>
          <w:p w14:paraId="77C9390F">
            <w:pPr>
              <w:spacing w:before="57" w:line="195" w:lineRule="auto"/>
              <w:ind w:left="183"/>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38.77</w:t>
            </w:r>
          </w:p>
        </w:tc>
        <w:tc>
          <w:tcPr>
            <w:tcW w:w="741" w:type="dxa"/>
            <w:tcBorders>
              <w:right w:val="single" w:color="000000" w:sz="2" w:space="0"/>
            </w:tcBorders>
            <w:vAlign w:val="top"/>
          </w:tcPr>
          <w:p w14:paraId="5D952A13">
            <w:pPr>
              <w:spacing w:line="280" w:lineRule="auto"/>
              <w:rPr>
                <w:rFonts w:ascii="Arial"/>
                <w:sz w:val="21"/>
              </w:rPr>
            </w:pPr>
          </w:p>
          <w:p w14:paraId="145E1D22">
            <w:pPr>
              <w:spacing w:before="58" w:line="195" w:lineRule="auto"/>
              <w:ind w:left="21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0.26</w:t>
            </w:r>
          </w:p>
        </w:tc>
        <w:tc>
          <w:tcPr>
            <w:tcW w:w="741" w:type="dxa"/>
            <w:tcBorders>
              <w:left w:val="single" w:color="000000" w:sz="2" w:space="0"/>
              <w:right w:val="single" w:color="000000" w:sz="2" w:space="0"/>
            </w:tcBorders>
            <w:vAlign w:val="top"/>
          </w:tcPr>
          <w:p w14:paraId="341DCC25">
            <w:pPr>
              <w:spacing w:line="280" w:lineRule="auto"/>
              <w:rPr>
                <w:rFonts w:ascii="Arial"/>
                <w:sz w:val="21"/>
              </w:rPr>
            </w:pPr>
          </w:p>
          <w:p w14:paraId="5ED8DA5D">
            <w:pPr>
              <w:spacing w:before="58" w:line="195" w:lineRule="auto"/>
              <w:ind w:left="21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0.77</w:t>
            </w:r>
          </w:p>
        </w:tc>
        <w:tc>
          <w:tcPr>
            <w:tcW w:w="670" w:type="dxa"/>
            <w:tcBorders>
              <w:left w:val="single" w:color="000000" w:sz="2" w:space="0"/>
            </w:tcBorders>
            <w:vAlign w:val="top"/>
          </w:tcPr>
          <w:p w14:paraId="627CBE76">
            <w:pPr>
              <w:pStyle w:val="6"/>
              <w:spacing w:before="304" w:line="228" w:lineRule="auto"/>
              <w:ind w:left="155"/>
            </w:pPr>
            <w:r>
              <w:t>达标</w:t>
            </w:r>
          </w:p>
        </w:tc>
        <w:tc>
          <w:tcPr>
            <w:tcW w:w="675" w:type="dxa"/>
            <w:vAlign w:val="top"/>
          </w:tcPr>
          <w:p w14:paraId="2B78964E">
            <w:pPr>
              <w:pStyle w:val="6"/>
              <w:spacing w:before="304" w:line="228" w:lineRule="auto"/>
              <w:ind w:left="155"/>
            </w:pPr>
            <w:r>
              <w:t>达标</w:t>
            </w:r>
          </w:p>
        </w:tc>
        <w:tc>
          <w:tcPr>
            <w:tcW w:w="1138" w:type="dxa"/>
            <w:vAlign w:val="top"/>
          </w:tcPr>
          <w:p w14:paraId="692B6383">
            <w:pPr>
              <w:pStyle w:val="6"/>
              <w:spacing w:before="169" w:line="252" w:lineRule="auto"/>
              <w:ind w:left="259" w:right="145" w:hanging="102"/>
            </w:pPr>
            <w:r>
              <w:rPr>
                <w:spacing w:val="6"/>
              </w:rPr>
              <w:t>声环境保护目标</w:t>
            </w:r>
          </w:p>
        </w:tc>
      </w:tr>
      <w:tr w14:paraId="4E6C0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3" w:hRule="atLeast"/>
        </w:trPr>
        <w:tc>
          <w:tcPr>
            <w:tcW w:w="1156" w:type="dxa"/>
            <w:vAlign w:val="top"/>
          </w:tcPr>
          <w:p w14:paraId="435CE5B9">
            <w:pPr>
              <w:pStyle w:val="6"/>
              <w:spacing w:before="34" w:line="225" w:lineRule="auto"/>
              <w:ind w:left="159"/>
            </w:pPr>
            <w:r>
              <w:rPr>
                <w:spacing w:val="7"/>
              </w:rPr>
              <w:t>③松山变</w:t>
            </w:r>
          </w:p>
          <w:p w14:paraId="252B4A4B">
            <w:pPr>
              <w:pStyle w:val="6"/>
              <w:spacing w:before="27" w:line="228" w:lineRule="auto"/>
              <w:ind w:left="185"/>
            </w:pPr>
            <w:r>
              <w:rPr>
                <w:spacing w:val="1"/>
              </w:rPr>
              <w:t>电站周围</w:t>
            </w:r>
          </w:p>
          <w:p w14:paraId="6928F246">
            <w:pPr>
              <w:pStyle w:val="6"/>
              <w:spacing w:before="23" w:line="228" w:lineRule="auto"/>
              <w:ind w:left="161"/>
            </w:pPr>
            <w:r>
              <w:rPr>
                <w:rFonts w:ascii="Times New Roman" w:hAnsi="Times New Roman" w:eastAsia="Times New Roman" w:cs="Times New Roman"/>
                <w:spacing w:val="5"/>
              </w:rPr>
              <w:t>3#</w:t>
            </w:r>
            <w:r>
              <w:rPr>
                <w:spacing w:val="5"/>
              </w:rPr>
              <w:t>临时看</w:t>
            </w:r>
          </w:p>
          <w:p w14:paraId="1529C9F2">
            <w:pPr>
              <w:pStyle w:val="6"/>
              <w:spacing w:before="26" w:line="215" w:lineRule="auto"/>
              <w:ind w:left="370"/>
            </w:pPr>
            <w:r>
              <w:rPr>
                <w:spacing w:val="4"/>
              </w:rPr>
              <w:t>护房</w:t>
            </w:r>
          </w:p>
        </w:tc>
        <w:tc>
          <w:tcPr>
            <w:tcW w:w="768" w:type="dxa"/>
            <w:vAlign w:val="top"/>
          </w:tcPr>
          <w:p w14:paraId="636BBCF1">
            <w:pPr>
              <w:spacing w:line="418" w:lineRule="auto"/>
              <w:rPr>
                <w:rFonts w:ascii="Arial"/>
                <w:sz w:val="21"/>
              </w:rPr>
            </w:pPr>
          </w:p>
          <w:p w14:paraId="56BB9496">
            <w:pPr>
              <w:spacing w:before="57" w:line="195" w:lineRule="auto"/>
              <w:ind w:left="1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56.69</w:t>
            </w:r>
          </w:p>
        </w:tc>
        <w:tc>
          <w:tcPr>
            <w:tcW w:w="731" w:type="dxa"/>
            <w:vAlign w:val="top"/>
          </w:tcPr>
          <w:p w14:paraId="6C35369C">
            <w:pPr>
              <w:spacing w:line="418" w:lineRule="auto"/>
              <w:rPr>
                <w:rFonts w:ascii="Arial"/>
                <w:sz w:val="21"/>
              </w:rPr>
            </w:pPr>
          </w:p>
          <w:p w14:paraId="1FB83141">
            <w:pPr>
              <w:spacing w:before="57" w:line="195" w:lineRule="auto"/>
              <w:ind w:left="13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52.48</w:t>
            </w:r>
          </w:p>
        </w:tc>
        <w:tc>
          <w:tcPr>
            <w:tcW w:w="563" w:type="dxa"/>
            <w:vAlign w:val="top"/>
          </w:tcPr>
          <w:p w14:paraId="71E5C929">
            <w:pPr>
              <w:spacing w:line="418" w:lineRule="auto"/>
              <w:rPr>
                <w:rFonts w:ascii="Arial"/>
                <w:sz w:val="21"/>
              </w:rPr>
            </w:pPr>
          </w:p>
          <w:p w14:paraId="62A0B6EF">
            <w:pPr>
              <w:spacing w:before="57"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618" w:type="dxa"/>
            <w:vAlign w:val="top"/>
          </w:tcPr>
          <w:p w14:paraId="310EA4BB">
            <w:pPr>
              <w:spacing w:line="418" w:lineRule="auto"/>
              <w:rPr>
                <w:rFonts w:ascii="Arial"/>
                <w:sz w:val="21"/>
              </w:rPr>
            </w:pPr>
          </w:p>
          <w:p w14:paraId="4E98A8AF">
            <w:pPr>
              <w:spacing w:before="57" w:line="195" w:lineRule="auto"/>
              <w:ind w:left="211"/>
              <w:rPr>
                <w:rFonts w:ascii="Times New Roman" w:hAnsi="Times New Roman" w:eastAsia="Times New Roman" w:cs="Times New Roman"/>
                <w:sz w:val="20"/>
                <w:szCs w:val="20"/>
              </w:rPr>
            </w:pPr>
            <w:r>
              <w:rPr>
                <w:rFonts w:ascii="Times New Roman" w:hAnsi="Times New Roman" w:eastAsia="Times New Roman" w:cs="Times New Roman"/>
                <w:sz w:val="20"/>
                <w:szCs w:val="20"/>
              </w:rPr>
              <w:t>42</w:t>
            </w:r>
          </w:p>
        </w:tc>
        <w:tc>
          <w:tcPr>
            <w:tcW w:w="713" w:type="dxa"/>
            <w:vAlign w:val="top"/>
          </w:tcPr>
          <w:p w14:paraId="71110C1E">
            <w:pPr>
              <w:spacing w:line="418" w:lineRule="auto"/>
              <w:rPr>
                <w:rFonts w:ascii="Arial"/>
                <w:sz w:val="21"/>
              </w:rPr>
            </w:pPr>
          </w:p>
          <w:p w14:paraId="35FEBA6E">
            <w:pPr>
              <w:spacing w:before="57" w:line="195" w:lineRule="auto"/>
              <w:ind w:left="2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38</w:t>
            </w:r>
          </w:p>
        </w:tc>
        <w:tc>
          <w:tcPr>
            <w:tcW w:w="701" w:type="dxa"/>
            <w:vAlign w:val="top"/>
          </w:tcPr>
          <w:p w14:paraId="21FA114B">
            <w:pPr>
              <w:spacing w:line="418" w:lineRule="auto"/>
              <w:rPr>
                <w:rFonts w:ascii="Arial"/>
                <w:sz w:val="21"/>
              </w:rPr>
            </w:pPr>
          </w:p>
          <w:p w14:paraId="48554A1C">
            <w:pPr>
              <w:spacing w:before="57" w:line="195" w:lineRule="auto"/>
              <w:ind w:left="250"/>
              <w:rPr>
                <w:rFonts w:ascii="Times New Roman" w:hAnsi="Times New Roman" w:eastAsia="Times New Roman" w:cs="Times New Roman"/>
                <w:sz w:val="20"/>
                <w:szCs w:val="20"/>
              </w:rPr>
            </w:pPr>
            <w:r>
              <w:rPr>
                <w:rFonts w:ascii="Times New Roman" w:hAnsi="Times New Roman" w:eastAsia="Times New Roman" w:cs="Times New Roman"/>
                <w:sz w:val="20"/>
                <w:szCs w:val="20"/>
              </w:rPr>
              <w:t>42</w:t>
            </w:r>
          </w:p>
        </w:tc>
        <w:tc>
          <w:tcPr>
            <w:tcW w:w="741" w:type="dxa"/>
            <w:vAlign w:val="top"/>
          </w:tcPr>
          <w:p w14:paraId="1ACE14EB">
            <w:pPr>
              <w:spacing w:line="418" w:lineRule="auto"/>
              <w:rPr>
                <w:rFonts w:ascii="Arial"/>
                <w:sz w:val="21"/>
              </w:rPr>
            </w:pPr>
          </w:p>
          <w:p w14:paraId="4E214F24">
            <w:pPr>
              <w:spacing w:before="57"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38</w:t>
            </w:r>
          </w:p>
        </w:tc>
        <w:tc>
          <w:tcPr>
            <w:tcW w:w="725" w:type="dxa"/>
            <w:vAlign w:val="top"/>
          </w:tcPr>
          <w:p w14:paraId="2E39060B">
            <w:pPr>
              <w:spacing w:line="421" w:lineRule="auto"/>
              <w:rPr>
                <w:rFonts w:ascii="Arial"/>
                <w:sz w:val="21"/>
              </w:rPr>
            </w:pPr>
          </w:p>
          <w:p w14:paraId="7D4C1DFE">
            <w:pPr>
              <w:spacing w:before="57" w:line="192" w:lineRule="auto"/>
              <w:ind w:left="2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55</w:t>
            </w:r>
          </w:p>
        </w:tc>
        <w:tc>
          <w:tcPr>
            <w:tcW w:w="724" w:type="dxa"/>
            <w:vAlign w:val="top"/>
          </w:tcPr>
          <w:p w14:paraId="4B419255">
            <w:pPr>
              <w:spacing w:line="418" w:lineRule="auto"/>
              <w:rPr>
                <w:rFonts w:ascii="Arial"/>
                <w:sz w:val="21"/>
              </w:rPr>
            </w:pPr>
          </w:p>
          <w:p w14:paraId="508EFF76">
            <w:pPr>
              <w:spacing w:before="57" w:line="195" w:lineRule="auto"/>
              <w:ind w:left="265"/>
              <w:rPr>
                <w:rFonts w:ascii="Times New Roman" w:hAnsi="Times New Roman" w:eastAsia="Times New Roman" w:cs="Times New Roman"/>
                <w:sz w:val="20"/>
                <w:szCs w:val="20"/>
              </w:rPr>
            </w:pPr>
            <w:r>
              <w:rPr>
                <w:rFonts w:ascii="Times New Roman" w:hAnsi="Times New Roman" w:eastAsia="Times New Roman" w:cs="Times New Roman"/>
                <w:sz w:val="20"/>
                <w:szCs w:val="20"/>
              </w:rPr>
              <w:t>45</w:t>
            </w:r>
          </w:p>
        </w:tc>
        <w:tc>
          <w:tcPr>
            <w:tcW w:w="782" w:type="dxa"/>
            <w:vAlign w:val="top"/>
          </w:tcPr>
          <w:p w14:paraId="5A4302E5">
            <w:pPr>
              <w:spacing w:line="418" w:lineRule="auto"/>
              <w:rPr>
                <w:rFonts w:ascii="Arial"/>
                <w:sz w:val="21"/>
              </w:rPr>
            </w:pPr>
          </w:p>
          <w:p w14:paraId="46695915">
            <w:pPr>
              <w:spacing w:before="57" w:line="195" w:lineRule="auto"/>
              <w:ind w:left="23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30.1</w:t>
            </w:r>
          </w:p>
        </w:tc>
        <w:tc>
          <w:tcPr>
            <w:tcW w:w="782" w:type="dxa"/>
            <w:vAlign w:val="top"/>
          </w:tcPr>
          <w:p w14:paraId="73A07F7C">
            <w:pPr>
              <w:spacing w:line="418" w:lineRule="auto"/>
              <w:rPr>
                <w:rFonts w:ascii="Arial"/>
                <w:sz w:val="21"/>
              </w:rPr>
            </w:pPr>
          </w:p>
          <w:p w14:paraId="48F1E3C7">
            <w:pPr>
              <w:spacing w:before="57" w:line="195" w:lineRule="auto"/>
              <w:ind w:left="23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30.1</w:t>
            </w:r>
          </w:p>
        </w:tc>
        <w:tc>
          <w:tcPr>
            <w:tcW w:w="782" w:type="dxa"/>
            <w:tcBorders>
              <w:right w:val="single" w:color="000000" w:sz="2" w:space="0"/>
            </w:tcBorders>
            <w:vAlign w:val="top"/>
          </w:tcPr>
          <w:p w14:paraId="2B25C06D">
            <w:pPr>
              <w:spacing w:line="418" w:lineRule="auto"/>
              <w:rPr>
                <w:rFonts w:ascii="Arial"/>
                <w:sz w:val="21"/>
              </w:rPr>
            </w:pPr>
          </w:p>
          <w:p w14:paraId="635B9BD3">
            <w:pPr>
              <w:spacing w:before="57" w:line="195" w:lineRule="auto"/>
              <w:ind w:left="182"/>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42.27</w:t>
            </w:r>
          </w:p>
        </w:tc>
        <w:tc>
          <w:tcPr>
            <w:tcW w:w="782" w:type="dxa"/>
            <w:tcBorders>
              <w:left w:val="single" w:color="000000" w:sz="2" w:space="0"/>
            </w:tcBorders>
            <w:vAlign w:val="top"/>
          </w:tcPr>
          <w:p w14:paraId="62A49A1A">
            <w:pPr>
              <w:spacing w:line="418" w:lineRule="auto"/>
              <w:rPr>
                <w:rFonts w:ascii="Arial"/>
                <w:sz w:val="21"/>
              </w:rPr>
            </w:pPr>
          </w:p>
          <w:p w14:paraId="4F22B37A">
            <w:pPr>
              <w:spacing w:before="57" w:line="195" w:lineRule="auto"/>
              <w:ind w:left="183"/>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38.65</w:t>
            </w:r>
          </w:p>
        </w:tc>
        <w:tc>
          <w:tcPr>
            <w:tcW w:w="741" w:type="dxa"/>
            <w:vAlign w:val="top"/>
          </w:tcPr>
          <w:p w14:paraId="1D1B0B05">
            <w:pPr>
              <w:spacing w:line="418" w:lineRule="auto"/>
              <w:rPr>
                <w:rFonts w:ascii="Arial"/>
                <w:sz w:val="21"/>
              </w:rPr>
            </w:pPr>
          </w:p>
          <w:p w14:paraId="40347FAA">
            <w:pPr>
              <w:spacing w:before="57" w:line="195" w:lineRule="auto"/>
              <w:ind w:left="21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0.27</w:t>
            </w:r>
          </w:p>
        </w:tc>
        <w:tc>
          <w:tcPr>
            <w:tcW w:w="741" w:type="dxa"/>
            <w:vAlign w:val="top"/>
          </w:tcPr>
          <w:p w14:paraId="6D0EA734">
            <w:pPr>
              <w:spacing w:line="418" w:lineRule="auto"/>
              <w:rPr>
                <w:rFonts w:ascii="Arial"/>
                <w:sz w:val="21"/>
              </w:rPr>
            </w:pPr>
          </w:p>
          <w:p w14:paraId="70C406DB">
            <w:pPr>
              <w:spacing w:before="57"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0.65</w:t>
            </w:r>
          </w:p>
        </w:tc>
        <w:tc>
          <w:tcPr>
            <w:tcW w:w="670" w:type="dxa"/>
            <w:vAlign w:val="top"/>
          </w:tcPr>
          <w:p w14:paraId="772CB9A2">
            <w:pPr>
              <w:spacing w:line="375" w:lineRule="auto"/>
              <w:rPr>
                <w:rFonts w:ascii="Arial"/>
                <w:sz w:val="21"/>
              </w:rPr>
            </w:pPr>
          </w:p>
          <w:p w14:paraId="1E999A49">
            <w:pPr>
              <w:pStyle w:val="6"/>
              <w:spacing w:before="65" w:line="228" w:lineRule="auto"/>
              <w:ind w:left="153"/>
            </w:pPr>
            <w:r>
              <w:t>达标</w:t>
            </w:r>
          </w:p>
        </w:tc>
        <w:tc>
          <w:tcPr>
            <w:tcW w:w="675" w:type="dxa"/>
            <w:vAlign w:val="top"/>
          </w:tcPr>
          <w:p w14:paraId="00EDBB49">
            <w:pPr>
              <w:spacing w:line="375" w:lineRule="auto"/>
              <w:rPr>
                <w:rFonts w:ascii="Arial"/>
                <w:sz w:val="21"/>
              </w:rPr>
            </w:pPr>
          </w:p>
          <w:p w14:paraId="3F7FB928">
            <w:pPr>
              <w:pStyle w:val="6"/>
              <w:spacing w:before="65" w:line="228" w:lineRule="auto"/>
              <w:ind w:left="155"/>
            </w:pPr>
            <w:r>
              <w:t>达标</w:t>
            </w:r>
          </w:p>
        </w:tc>
        <w:tc>
          <w:tcPr>
            <w:tcW w:w="1138" w:type="dxa"/>
            <w:vAlign w:val="top"/>
          </w:tcPr>
          <w:p w14:paraId="1F3103D8">
            <w:pPr>
              <w:pStyle w:val="6"/>
              <w:spacing w:before="305" w:line="252" w:lineRule="auto"/>
              <w:ind w:left="259" w:right="145" w:hanging="102"/>
            </w:pPr>
            <w:r>
              <w:rPr>
                <w:spacing w:val="6"/>
              </w:rPr>
              <w:t>声环境保护目标</w:t>
            </w:r>
          </w:p>
        </w:tc>
      </w:tr>
      <w:tr w14:paraId="40E4A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3" w:hRule="atLeast"/>
        </w:trPr>
        <w:tc>
          <w:tcPr>
            <w:tcW w:w="1156" w:type="dxa"/>
            <w:vAlign w:val="top"/>
          </w:tcPr>
          <w:p w14:paraId="123688D8">
            <w:pPr>
              <w:pStyle w:val="6"/>
              <w:spacing w:before="35" w:line="225" w:lineRule="auto"/>
              <w:ind w:left="159"/>
            </w:pPr>
            <w:r>
              <w:rPr>
                <w:spacing w:val="7"/>
              </w:rPr>
              <w:t>④松山变</w:t>
            </w:r>
          </w:p>
          <w:p w14:paraId="4A8412CC">
            <w:pPr>
              <w:pStyle w:val="6"/>
              <w:spacing w:before="27" w:line="228" w:lineRule="auto"/>
              <w:ind w:left="185"/>
            </w:pPr>
            <w:r>
              <w:rPr>
                <w:spacing w:val="1"/>
              </w:rPr>
              <w:t>电站周围</w:t>
            </w:r>
          </w:p>
          <w:p w14:paraId="0769CA88">
            <w:pPr>
              <w:pStyle w:val="6"/>
              <w:spacing w:before="23" w:line="228" w:lineRule="auto"/>
              <w:ind w:left="155"/>
            </w:pPr>
            <w:r>
              <w:rPr>
                <w:rFonts w:ascii="Times New Roman" w:hAnsi="Times New Roman" w:eastAsia="Times New Roman" w:cs="Times New Roman"/>
                <w:spacing w:val="6"/>
              </w:rPr>
              <w:t>4#</w:t>
            </w:r>
            <w:r>
              <w:rPr>
                <w:spacing w:val="6"/>
              </w:rPr>
              <w:t>临时看</w:t>
            </w:r>
          </w:p>
          <w:p w14:paraId="59FF754D">
            <w:pPr>
              <w:pStyle w:val="6"/>
              <w:spacing w:before="26" w:line="214" w:lineRule="auto"/>
              <w:ind w:left="370"/>
            </w:pPr>
            <w:r>
              <w:rPr>
                <w:spacing w:val="4"/>
              </w:rPr>
              <w:t>护房</w:t>
            </w:r>
          </w:p>
        </w:tc>
        <w:tc>
          <w:tcPr>
            <w:tcW w:w="768" w:type="dxa"/>
            <w:vAlign w:val="top"/>
          </w:tcPr>
          <w:p w14:paraId="67651336">
            <w:pPr>
              <w:spacing w:line="419" w:lineRule="auto"/>
              <w:rPr>
                <w:rFonts w:ascii="Arial"/>
                <w:sz w:val="21"/>
              </w:rPr>
            </w:pPr>
          </w:p>
          <w:p w14:paraId="1017E64B">
            <w:pPr>
              <w:spacing w:before="57" w:line="195" w:lineRule="auto"/>
              <w:ind w:left="1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51.55</w:t>
            </w:r>
          </w:p>
        </w:tc>
        <w:tc>
          <w:tcPr>
            <w:tcW w:w="731" w:type="dxa"/>
            <w:vAlign w:val="top"/>
          </w:tcPr>
          <w:p w14:paraId="294286F3">
            <w:pPr>
              <w:spacing w:line="419" w:lineRule="auto"/>
              <w:rPr>
                <w:rFonts w:ascii="Arial"/>
                <w:sz w:val="21"/>
              </w:rPr>
            </w:pPr>
          </w:p>
          <w:p w14:paraId="5B3484E4">
            <w:pPr>
              <w:spacing w:before="57" w:line="195" w:lineRule="auto"/>
              <w:ind w:left="12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41.73</w:t>
            </w:r>
          </w:p>
        </w:tc>
        <w:tc>
          <w:tcPr>
            <w:tcW w:w="563" w:type="dxa"/>
            <w:vAlign w:val="top"/>
          </w:tcPr>
          <w:p w14:paraId="47915A45">
            <w:pPr>
              <w:spacing w:line="419" w:lineRule="auto"/>
              <w:rPr>
                <w:rFonts w:ascii="Arial"/>
                <w:sz w:val="21"/>
              </w:rPr>
            </w:pPr>
          </w:p>
          <w:p w14:paraId="55E3FBBF">
            <w:pPr>
              <w:spacing w:before="57"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618" w:type="dxa"/>
            <w:vAlign w:val="top"/>
          </w:tcPr>
          <w:p w14:paraId="09C2441B">
            <w:pPr>
              <w:spacing w:line="419" w:lineRule="auto"/>
              <w:rPr>
                <w:rFonts w:ascii="Arial"/>
                <w:sz w:val="21"/>
              </w:rPr>
            </w:pPr>
          </w:p>
          <w:p w14:paraId="5ABCFC28">
            <w:pPr>
              <w:spacing w:before="57" w:line="195" w:lineRule="auto"/>
              <w:ind w:left="211"/>
              <w:rPr>
                <w:rFonts w:ascii="Times New Roman" w:hAnsi="Times New Roman" w:eastAsia="Times New Roman" w:cs="Times New Roman"/>
                <w:sz w:val="20"/>
                <w:szCs w:val="20"/>
              </w:rPr>
            </w:pPr>
            <w:r>
              <w:rPr>
                <w:rFonts w:ascii="Times New Roman" w:hAnsi="Times New Roman" w:eastAsia="Times New Roman" w:cs="Times New Roman"/>
                <w:sz w:val="20"/>
                <w:szCs w:val="20"/>
              </w:rPr>
              <w:t>41</w:t>
            </w:r>
          </w:p>
        </w:tc>
        <w:tc>
          <w:tcPr>
            <w:tcW w:w="713" w:type="dxa"/>
            <w:vAlign w:val="top"/>
          </w:tcPr>
          <w:p w14:paraId="7465866F">
            <w:pPr>
              <w:spacing w:line="419" w:lineRule="auto"/>
              <w:rPr>
                <w:rFonts w:ascii="Arial"/>
                <w:sz w:val="21"/>
              </w:rPr>
            </w:pPr>
          </w:p>
          <w:p w14:paraId="65090D0E">
            <w:pPr>
              <w:spacing w:before="57" w:line="195" w:lineRule="auto"/>
              <w:ind w:left="2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37</w:t>
            </w:r>
          </w:p>
        </w:tc>
        <w:tc>
          <w:tcPr>
            <w:tcW w:w="701" w:type="dxa"/>
            <w:vAlign w:val="top"/>
          </w:tcPr>
          <w:p w14:paraId="16E3595B">
            <w:pPr>
              <w:spacing w:line="419" w:lineRule="auto"/>
              <w:rPr>
                <w:rFonts w:ascii="Arial"/>
                <w:sz w:val="21"/>
              </w:rPr>
            </w:pPr>
          </w:p>
          <w:p w14:paraId="527DFA5D">
            <w:pPr>
              <w:spacing w:before="57" w:line="195" w:lineRule="auto"/>
              <w:ind w:left="250"/>
              <w:rPr>
                <w:rFonts w:ascii="Times New Roman" w:hAnsi="Times New Roman" w:eastAsia="Times New Roman" w:cs="Times New Roman"/>
                <w:sz w:val="20"/>
                <w:szCs w:val="20"/>
              </w:rPr>
            </w:pPr>
            <w:r>
              <w:rPr>
                <w:rFonts w:ascii="Times New Roman" w:hAnsi="Times New Roman" w:eastAsia="Times New Roman" w:cs="Times New Roman"/>
                <w:sz w:val="20"/>
                <w:szCs w:val="20"/>
              </w:rPr>
              <w:t>41</w:t>
            </w:r>
          </w:p>
        </w:tc>
        <w:tc>
          <w:tcPr>
            <w:tcW w:w="741" w:type="dxa"/>
            <w:vAlign w:val="top"/>
          </w:tcPr>
          <w:p w14:paraId="5B049465">
            <w:pPr>
              <w:spacing w:line="419" w:lineRule="auto"/>
              <w:rPr>
                <w:rFonts w:ascii="Arial"/>
                <w:sz w:val="21"/>
              </w:rPr>
            </w:pPr>
          </w:p>
          <w:p w14:paraId="62C7F4BC">
            <w:pPr>
              <w:spacing w:before="57"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37</w:t>
            </w:r>
          </w:p>
        </w:tc>
        <w:tc>
          <w:tcPr>
            <w:tcW w:w="725" w:type="dxa"/>
            <w:vAlign w:val="top"/>
          </w:tcPr>
          <w:p w14:paraId="44D63E66">
            <w:pPr>
              <w:spacing w:line="422" w:lineRule="auto"/>
              <w:rPr>
                <w:rFonts w:ascii="Arial"/>
                <w:sz w:val="21"/>
              </w:rPr>
            </w:pPr>
          </w:p>
          <w:p w14:paraId="62D984AB">
            <w:pPr>
              <w:spacing w:before="57" w:line="192" w:lineRule="auto"/>
              <w:ind w:left="2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55</w:t>
            </w:r>
          </w:p>
        </w:tc>
        <w:tc>
          <w:tcPr>
            <w:tcW w:w="724" w:type="dxa"/>
            <w:vAlign w:val="top"/>
          </w:tcPr>
          <w:p w14:paraId="42839F5C">
            <w:pPr>
              <w:spacing w:line="419" w:lineRule="auto"/>
              <w:rPr>
                <w:rFonts w:ascii="Arial"/>
                <w:sz w:val="21"/>
              </w:rPr>
            </w:pPr>
          </w:p>
          <w:p w14:paraId="281F2C2B">
            <w:pPr>
              <w:spacing w:before="57" w:line="195" w:lineRule="auto"/>
              <w:ind w:left="265"/>
              <w:rPr>
                <w:rFonts w:ascii="Times New Roman" w:hAnsi="Times New Roman" w:eastAsia="Times New Roman" w:cs="Times New Roman"/>
                <w:sz w:val="20"/>
                <w:szCs w:val="20"/>
              </w:rPr>
            </w:pPr>
            <w:r>
              <w:rPr>
                <w:rFonts w:ascii="Times New Roman" w:hAnsi="Times New Roman" w:eastAsia="Times New Roman" w:cs="Times New Roman"/>
                <w:sz w:val="20"/>
                <w:szCs w:val="20"/>
              </w:rPr>
              <w:t>45</w:t>
            </w:r>
          </w:p>
        </w:tc>
        <w:tc>
          <w:tcPr>
            <w:tcW w:w="782" w:type="dxa"/>
            <w:vAlign w:val="top"/>
          </w:tcPr>
          <w:p w14:paraId="76B1AE3C">
            <w:pPr>
              <w:spacing w:line="419" w:lineRule="auto"/>
              <w:rPr>
                <w:rFonts w:ascii="Arial"/>
                <w:sz w:val="21"/>
              </w:rPr>
            </w:pPr>
          </w:p>
          <w:p w14:paraId="06C62F39">
            <w:pPr>
              <w:spacing w:before="57" w:line="195" w:lineRule="auto"/>
              <w:ind w:left="182"/>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30.53</w:t>
            </w:r>
          </w:p>
        </w:tc>
        <w:tc>
          <w:tcPr>
            <w:tcW w:w="782" w:type="dxa"/>
            <w:vAlign w:val="top"/>
          </w:tcPr>
          <w:p w14:paraId="3D7F8DEF">
            <w:pPr>
              <w:spacing w:line="419" w:lineRule="auto"/>
              <w:rPr>
                <w:rFonts w:ascii="Arial"/>
                <w:sz w:val="21"/>
              </w:rPr>
            </w:pPr>
          </w:p>
          <w:p w14:paraId="67EF88D3">
            <w:pPr>
              <w:spacing w:before="57" w:line="195" w:lineRule="auto"/>
              <w:ind w:left="18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30.53</w:t>
            </w:r>
          </w:p>
        </w:tc>
        <w:tc>
          <w:tcPr>
            <w:tcW w:w="782" w:type="dxa"/>
            <w:tcBorders>
              <w:right w:val="single" w:color="000000" w:sz="2" w:space="0"/>
            </w:tcBorders>
            <w:vAlign w:val="top"/>
          </w:tcPr>
          <w:p w14:paraId="558D2B63">
            <w:pPr>
              <w:spacing w:line="419" w:lineRule="auto"/>
              <w:rPr>
                <w:rFonts w:ascii="Arial"/>
                <w:sz w:val="21"/>
              </w:rPr>
            </w:pPr>
          </w:p>
          <w:p w14:paraId="5C465D5C">
            <w:pPr>
              <w:spacing w:before="57" w:line="195" w:lineRule="auto"/>
              <w:ind w:left="182"/>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41.37</w:t>
            </w:r>
          </w:p>
        </w:tc>
        <w:tc>
          <w:tcPr>
            <w:tcW w:w="782" w:type="dxa"/>
            <w:tcBorders>
              <w:left w:val="single" w:color="000000" w:sz="2" w:space="0"/>
            </w:tcBorders>
            <w:vAlign w:val="top"/>
          </w:tcPr>
          <w:p w14:paraId="59A4970E">
            <w:pPr>
              <w:spacing w:line="419" w:lineRule="auto"/>
              <w:rPr>
                <w:rFonts w:ascii="Arial"/>
                <w:sz w:val="21"/>
              </w:rPr>
            </w:pPr>
          </w:p>
          <w:p w14:paraId="323866EB">
            <w:pPr>
              <w:spacing w:before="57" w:line="195" w:lineRule="auto"/>
              <w:ind w:left="183"/>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37.88</w:t>
            </w:r>
          </w:p>
        </w:tc>
        <w:tc>
          <w:tcPr>
            <w:tcW w:w="741" w:type="dxa"/>
            <w:vAlign w:val="top"/>
          </w:tcPr>
          <w:p w14:paraId="18B9FFC3">
            <w:pPr>
              <w:spacing w:line="419" w:lineRule="auto"/>
              <w:rPr>
                <w:rFonts w:ascii="Arial"/>
                <w:sz w:val="21"/>
              </w:rPr>
            </w:pPr>
          </w:p>
          <w:p w14:paraId="5A747502">
            <w:pPr>
              <w:spacing w:before="57" w:line="195" w:lineRule="auto"/>
              <w:ind w:left="21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0.37</w:t>
            </w:r>
          </w:p>
        </w:tc>
        <w:tc>
          <w:tcPr>
            <w:tcW w:w="741" w:type="dxa"/>
            <w:vAlign w:val="top"/>
          </w:tcPr>
          <w:p w14:paraId="38228427">
            <w:pPr>
              <w:spacing w:line="419" w:lineRule="auto"/>
              <w:rPr>
                <w:rFonts w:ascii="Arial"/>
                <w:sz w:val="21"/>
              </w:rPr>
            </w:pPr>
          </w:p>
          <w:p w14:paraId="6A78A556">
            <w:pPr>
              <w:spacing w:before="57" w:line="195" w:lineRule="auto"/>
              <w:ind w:left="21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0.88</w:t>
            </w:r>
          </w:p>
        </w:tc>
        <w:tc>
          <w:tcPr>
            <w:tcW w:w="670" w:type="dxa"/>
            <w:vAlign w:val="top"/>
          </w:tcPr>
          <w:p w14:paraId="760CDEC4">
            <w:pPr>
              <w:spacing w:line="376" w:lineRule="auto"/>
              <w:rPr>
                <w:rFonts w:ascii="Arial"/>
                <w:sz w:val="21"/>
              </w:rPr>
            </w:pPr>
          </w:p>
          <w:p w14:paraId="72092E20">
            <w:pPr>
              <w:pStyle w:val="6"/>
              <w:spacing w:before="65" w:line="228" w:lineRule="auto"/>
              <w:ind w:left="153"/>
            </w:pPr>
            <w:r>
              <w:t>达标</w:t>
            </w:r>
          </w:p>
        </w:tc>
        <w:tc>
          <w:tcPr>
            <w:tcW w:w="675" w:type="dxa"/>
            <w:vAlign w:val="top"/>
          </w:tcPr>
          <w:p w14:paraId="218488D8">
            <w:pPr>
              <w:spacing w:line="376" w:lineRule="auto"/>
              <w:rPr>
                <w:rFonts w:ascii="Arial"/>
                <w:sz w:val="21"/>
              </w:rPr>
            </w:pPr>
          </w:p>
          <w:p w14:paraId="3A8D3147">
            <w:pPr>
              <w:pStyle w:val="6"/>
              <w:spacing w:before="65" w:line="228" w:lineRule="auto"/>
              <w:ind w:left="155"/>
            </w:pPr>
            <w:r>
              <w:t>达标</w:t>
            </w:r>
          </w:p>
        </w:tc>
        <w:tc>
          <w:tcPr>
            <w:tcW w:w="1138" w:type="dxa"/>
            <w:vAlign w:val="top"/>
          </w:tcPr>
          <w:p w14:paraId="68349195">
            <w:pPr>
              <w:pStyle w:val="6"/>
              <w:spacing w:before="256" w:line="252" w:lineRule="auto"/>
              <w:ind w:left="259" w:right="145" w:hanging="102"/>
            </w:pPr>
            <w:r>
              <w:rPr>
                <w:spacing w:val="6"/>
              </w:rPr>
              <w:t>声环境保护目标</w:t>
            </w:r>
          </w:p>
        </w:tc>
      </w:tr>
      <w:tr w14:paraId="52171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3" w:hRule="atLeast"/>
        </w:trPr>
        <w:tc>
          <w:tcPr>
            <w:tcW w:w="1156" w:type="dxa"/>
            <w:vAlign w:val="top"/>
          </w:tcPr>
          <w:p w14:paraId="7DFD736A">
            <w:pPr>
              <w:pStyle w:val="6"/>
              <w:spacing w:before="36" w:line="225" w:lineRule="auto"/>
              <w:ind w:left="159"/>
            </w:pPr>
            <w:r>
              <w:rPr>
                <w:spacing w:val="7"/>
              </w:rPr>
              <w:t>⑤松山变</w:t>
            </w:r>
          </w:p>
          <w:p w14:paraId="090E4182">
            <w:pPr>
              <w:pStyle w:val="6"/>
              <w:spacing w:before="27" w:line="228" w:lineRule="auto"/>
              <w:ind w:left="185"/>
            </w:pPr>
            <w:r>
              <w:rPr>
                <w:spacing w:val="1"/>
              </w:rPr>
              <w:t>电站周围</w:t>
            </w:r>
          </w:p>
          <w:p w14:paraId="58E2C8A9">
            <w:pPr>
              <w:pStyle w:val="6"/>
              <w:spacing w:before="23" w:line="228" w:lineRule="auto"/>
              <w:ind w:left="162"/>
            </w:pPr>
            <w:r>
              <w:rPr>
                <w:rFonts w:ascii="Times New Roman" w:hAnsi="Times New Roman" w:eastAsia="Times New Roman" w:cs="Times New Roman"/>
                <w:spacing w:val="5"/>
              </w:rPr>
              <w:t>5#</w:t>
            </w:r>
            <w:r>
              <w:rPr>
                <w:spacing w:val="5"/>
              </w:rPr>
              <w:t>临时看</w:t>
            </w:r>
          </w:p>
          <w:p w14:paraId="1B0F9583">
            <w:pPr>
              <w:pStyle w:val="6"/>
              <w:spacing w:before="26" w:line="213" w:lineRule="auto"/>
              <w:ind w:left="370"/>
            </w:pPr>
            <w:r>
              <w:rPr>
                <w:spacing w:val="4"/>
              </w:rPr>
              <w:t>护房</w:t>
            </w:r>
          </w:p>
        </w:tc>
        <w:tc>
          <w:tcPr>
            <w:tcW w:w="768" w:type="dxa"/>
            <w:vAlign w:val="top"/>
          </w:tcPr>
          <w:p w14:paraId="32BC16C1">
            <w:pPr>
              <w:spacing w:line="420" w:lineRule="auto"/>
              <w:rPr>
                <w:rFonts w:ascii="Arial"/>
                <w:sz w:val="21"/>
              </w:rPr>
            </w:pPr>
          </w:p>
          <w:p w14:paraId="5D8B6F4A">
            <w:pPr>
              <w:spacing w:before="57" w:line="195" w:lineRule="auto"/>
              <w:ind w:left="14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38.09</w:t>
            </w:r>
          </w:p>
        </w:tc>
        <w:tc>
          <w:tcPr>
            <w:tcW w:w="731" w:type="dxa"/>
            <w:vAlign w:val="top"/>
          </w:tcPr>
          <w:p w14:paraId="4F496FDC">
            <w:pPr>
              <w:spacing w:line="301" w:lineRule="auto"/>
              <w:rPr>
                <w:rFonts w:ascii="Arial"/>
                <w:sz w:val="21"/>
              </w:rPr>
            </w:pPr>
          </w:p>
          <w:p w14:paraId="26FF9A77">
            <w:pPr>
              <w:spacing w:before="57" w:line="195" w:lineRule="auto"/>
              <w:ind w:left="1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-23.7</w:t>
            </w:r>
          </w:p>
          <w:p w14:paraId="70F66D93">
            <w:pPr>
              <w:spacing w:before="56" w:line="192" w:lineRule="auto"/>
              <w:ind w:left="312"/>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563" w:type="dxa"/>
            <w:vAlign w:val="top"/>
          </w:tcPr>
          <w:p w14:paraId="6F5B7537">
            <w:pPr>
              <w:spacing w:line="420" w:lineRule="auto"/>
              <w:rPr>
                <w:rFonts w:ascii="Arial"/>
                <w:sz w:val="21"/>
              </w:rPr>
            </w:pPr>
          </w:p>
          <w:p w14:paraId="47D46E8C">
            <w:pPr>
              <w:spacing w:before="57"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618" w:type="dxa"/>
            <w:vAlign w:val="top"/>
          </w:tcPr>
          <w:p w14:paraId="77D60EE1">
            <w:pPr>
              <w:spacing w:line="420" w:lineRule="auto"/>
              <w:rPr>
                <w:rFonts w:ascii="Arial"/>
                <w:sz w:val="21"/>
              </w:rPr>
            </w:pPr>
          </w:p>
          <w:p w14:paraId="5E7DF088">
            <w:pPr>
              <w:spacing w:before="57" w:line="195" w:lineRule="auto"/>
              <w:ind w:left="211"/>
              <w:rPr>
                <w:rFonts w:ascii="Times New Roman" w:hAnsi="Times New Roman" w:eastAsia="Times New Roman" w:cs="Times New Roman"/>
                <w:sz w:val="20"/>
                <w:szCs w:val="20"/>
              </w:rPr>
            </w:pPr>
            <w:r>
              <w:rPr>
                <w:rFonts w:ascii="Times New Roman" w:hAnsi="Times New Roman" w:eastAsia="Times New Roman" w:cs="Times New Roman"/>
                <w:sz w:val="20"/>
                <w:szCs w:val="20"/>
              </w:rPr>
              <w:t>43</w:t>
            </w:r>
          </w:p>
        </w:tc>
        <w:tc>
          <w:tcPr>
            <w:tcW w:w="713" w:type="dxa"/>
            <w:vAlign w:val="top"/>
          </w:tcPr>
          <w:p w14:paraId="3772F39E">
            <w:pPr>
              <w:spacing w:line="420" w:lineRule="auto"/>
              <w:rPr>
                <w:rFonts w:ascii="Arial"/>
                <w:sz w:val="21"/>
              </w:rPr>
            </w:pPr>
          </w:p>
          <w:p w14:paraId="11704E92">
            <w:pPr>
              <w:spacing w:before="57" w:line="195" w:lineRule="auto"/>
              <w:ind w:left="2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w:t>
            </w:r>
          </w:p>
        </w:tc>
        <w:tc>
          <w:tcPr>
            <w:tcW w:w="701" w:type="dxa"/>
            <w:vAlign w:val="top"/>
          </w:tcPr>
          <w:p w14:paraId="7652A7C9">
            <w:pPr>
              <w:spacing w:line="420" w:lineRule="auto"/>
              <w:rPr>
                <w:rFonts w:ascii="Arial"/>
                <w:sz w:val="21"/>
              </w:rPr>
            </w:pPr>
          </w:p>
          <w:p w14:paraId="28D86CC2">
            <w:pPr>
              <w:spacing w:before="57" w:line="195" w:lineRule="auto"/>
              <w:ind w:left="250"/>
              <w:rPr>
                <w:rFonts w:ascii="Times New Roman" w:hAnsi="Times New Roman" w:eastAsia="Times New Roman" w:cs="Times New Roman"/>
                <w:sz w:val="20"/>
                <w:szCs w:val="20"/>
              </w:rPr>
            </w:pPr>
            <w:r>
              <w:rPr>
                <w:rFonts w:ascii="Times New Roman" w:hAnsi="Times New Roman" w:eastAsia="Times New Roman" w:cs="Times New Roman"/>
                <w:sz w:val="20"/>
                <w:szCs w:val="20"/>
              </w:rPr>
              <w:t>43</w:t>
            </w:r>
          </w:p>
        </w:tc>
        <w:tc>
          <w:tcPr>
            <w:tcW w:w="741" w:type="dxa"/>
            <w:vAlign w:val="top"/>
          </w:tcPr>
          <w:p w14:paraId="08DAD975">
            <w:pPr>
              <w:spacing w:line="420" w:lineRule="auto"/>
              <w:rPr>
                <w:rFonts w:ascii="Arial"/>
                <w:sz w:val="21"/>
              </w:rPr>
            </w:pPr>
          </w:p>
          <w:p w14:paraId="5DEB44DE">
            <w:pPr>
              <w:spacing w:before="57"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w:t>
            </w:r>
          </w:p>
        </w:tc>
        <w:tc>
          <w:tcPr>
            <w:tcW w:w="725" w:type="dxa"/>
            <w:vAlign w:val="top"/>
          </w:tcPr>
          <w:p w14:paraId="2CC9679D">
            <w:pPr>
              <w:spacing w:line="423" w:lineRule="auto"/>
              <w:rPr>
                <w:rFonts w:ascii="Arial"/>
                <w:sz w:val="21"/>
              </w:rPr>
            </w:pPr>
          </w:p>
          <w:p w14:paraId="4FC5A3CC">
            <w:pPr>
              <w:spacing w:before="57" w:line="192" w:lineRule="auto"/>
              <w:ind w:left="2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55</w:t>
            </w:r>
          </w:p>
        </w:tc>
        <w:tc>
          <w:tcPr>
            <w:tcW w:w="724" w:type="dxa"/>
            <w:vAlign w:val="top"/>
          </w:tcPr>
          <w:p w14:paraId="39141707">
            <w:pPr>
              <w:spacing w:line="420" w:lineRule="auto"/>
              <w:rPr>
                <w:rFonts w:ascii="Arial"/>
                <w:sz w:val="21"/>
              </w:rPr>
            </w:pPr>
          </w:p>
          <w:p w14:paraId="18E13EB9">
            <w:pPr>
              <w:spacing w:before="57" w:line="195" w:lineRule="auto"/>
              <w:ind w:left="265"/>
              <w:rPr>
                <w:rFonts w:ascii="Times New Roman" w:hAnsi="Times New Roman" w:eastAsia="Times New Roman" w:cs="Times New Roman"/>
                <w:sz w:val="20"/>
                <w:szCs w:val="20"/>
              </w:rPr>
            </w:pPr>
            <w:r>
              <w:rPr>
                <w:rFonts w:ascii="Times New Roman" w:hAnsi="Times New Roman" w:eastAsia="Times New Roman" w:cs="Times New Roman"/>
                <w:sz w:val="20"/>
                <w:szCs w:val="20"/>
              </w:rPr>
              <w:t>45</w:t>
            </w:r>
          </w:p>
        </w:tc>
        <w:tc>
          <w:tcPr>
            <w:tcW w:w="782" w:type="dxa"/>
            <w:vAlign w:val="top"/>
          </w:tcPr>
          <w:p w14:paraId="21F2DC89">
            <w:pPr>
              <w:spacing w:line="420" w:lineRule="auto"/>
              <w:rPr>
                <w:rFonts w:ascii="Arial"/>
                <w:sz w:val="21"/>
              </w:rPr>
            </w:pPr>
          </w:p>
          <w:p w14:paraId="2C9F3FE1">
            <w:pPr>
              <w:spacing w:before="57" w:line="195" w:lineRule="auto"/>
              <w:ind w:left="17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29.38</w:t>
            </w:r>
          </w:p>
        </w:tc>
        <w:tc>
          <w:tcPr>
            <w:tcW w:w="782" w:type="dxa"/>
            <w:vAlign w:val="top"/>
          </w:tcPr>
          <w:p w14:paraId="72434DE4">
            <w:pPr>
              <w:spacing w:line="420" w:lineRule="auto"/>
              <w:rPr>
                <w:rFonts w:ascii="Arial"/>
                <w:sz w:val="21"/>
              </w:rPr>
            </w:pPr>
          </w:p>
          <w:p w14:paraId="3AE9D971">
            <w:pPr>
              <w:spacing w:before="57" w:line="195" w:lineRule="auto"/>
              <w:ind w:left="18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29.38</w:t>
            </w:r>
          </w:p>
        </w:tc>
        <w:tc>
          <w:tcPr>
            <w:tcW w:w="782" w:type="dxa"/>
            <w:tcBorders>
              <w:right w:val="single" w:color="000000" w:sz="2" w:space="0"/>
            </w:tcBorders>
            <w:vAlign w:val="top"/>
          </w:tcPr>
          <w:p w14:paraId="342309B0">
            <w:pPr>
              <w:spacing w:line="420" w:lineRule="auto"/>
              <w:rPr>
                <w:rFonts w:ascii="Arial"/>
                <w:sz w:val="21"/>
              </w:rPr>
            </w:pPr>
          </w:p>
          <w:p w14:paraId="0B924EFB">
            <w:pPr>
              <w:spacing w:before="57" w:line="195" w:lineRule="auto"/>
              <w:ind w:left="182"/>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43.18</w:t>
            </w:r>
          </w:p>
        </w:tc>
        <w:tc>
          <w:tcPr>
            <w:tcW w:w="782" w:type="dxa"/>
            <w:tcBorders>
              <w:left w:val="single" w:color="000000" w:sz="2" w:space="0"/>
            </w:tcBorders>
            <w:vAlign w:val="top"/>
          </w:tcPr>
          <w:p w14:paraId="73DB0416">
            <w:pPr>
              <w:spacing w:line="420" w:lineRule="auto"/>
              <w:rPr>
                <w:rFonts w:ascii="Arial"/>
                <w:sz w:val="21"/>
              </w:rPr>
            </w:pPr>
          </w:p>
          <w:p w14:paraId="7429DC97">
            <w:pPr>
              <w:spacing w:before="57" w:line="195" w:lineRule="auto"/>
              <w:ind w:left="183"/>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39.45</w:t>
            </w:r>
          </w:p>
        </w:tc>
        <w:tc>
          <w:tcPr>
            <w:tcW w:w="741" w:type="dxa"/>
            <w:tcBorders>
              <w:right w:val="single" w:color="000000" w:sz="2" w:space="0"/>
            </w:tcBorders>
            <w:vAlign w:val="top"/>
          </w:tcPr>
          <w:p w14:paraId="18C5C647">
            <w:pPr>
              <w:spacing w:line="420" w:lineRule="auto"/>
              <w:rPr>
                <w:rFonts w:ascii="Arial"/>
                <w:sz w:val="21"/>
              </w:rPr>
            </w:pPr>
          </w:p>
          <w:p w14:paraId="4FA1D9D5">
            <w:pPr>
              <w:spacing w:before="57" w:line="195" w:lineRule="auto"/>
              <w:ind w:left="214"/>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0.18</w:t>
            </w:r>
          </w:p>
        </w:tc>
        <w:tc>
          <w:tcPr>
            <w:tcW w:w="741" w:type="dxa"/>
            <w:tcBorders>
              <w:left w:val="single" w:color="000000" w:sz="2" w:space="0"/>
            </w:tcBorders>
            <w:vAlign w:val="top"/>
          </w:tcPr>
          <w:p w14:paraId="024ECF56">
            <w:pPr>
              <w:spacing w:line="420" w:lineRule="auto"/>
              <w:rPr>
                <w:rFonts w:ascii="Arial"/>
                <w:sz w:val="21"/>
              </w:rPr>
            </w:pPr>
          </w:p>
          <w:p w14:paraId="74187FB2">
            <w:pPr>
              <w:spacing w:before="57" w:line="195" w:lineRule="auto"/>
              <w:ind w:left="217"/>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0.45</w:t>
            </w:r>
          </w:p>
        </w:tc>
        <w:tc>
          <w:tcPr>
            <w:tcW w:w="670" w:type="dxa"/>
            <w:vAlign w:val="top"/>
          </w:tcPr>
          <w:p w14:paraId="3D85D17B">
            <w:pPr>
              <w:spacing w:line="377" w:lineRule="auto"/>
              <w:rPr>
                <w:rFonts w:ascii="Arial"/>
                <w:sz w:val="21"/>
              </w:rPr>
            </w:pPr>
          </w:p>
          <w:p w14:paraId="46A76C7D">
            <w:pPr>
              <w:pStyle w:val="6"/>
              <w:spacing w:before="65" w:line="228" w:lineRule="auto"/>
              <w:ind w:left="153"/>
            </w:pPr>
            <w:r>
              <w:t>达标</w:t>
            </w:r>
          </w:p>
        </w:tc>
        <w:tc>
          <w:tcPr>
            <w:tcW w:w="675" w:type="dxa"/>
            <w:vAlign w:val="top"/>
          </w:tcPr>
          <w:p w14:paraId="614AF136">
            <w:pPr>
              <w:spacing w:line="377" w:lineRule="auto"/>
              <w:rPr>
                <w:rFonts w:ascii="Arial"/>
                <w:sz w:val="21"/>
              </w:rPr>
            </w:pPr>
          </w:p>
          <w:p w14:paraId="50352120">
            <w:pPr>
              <w:pStyle w:val="6"/>
              <w:spacing w:before="65" w:line="228" w:lineRule="auto"/>
              <w:ind w:left="155"/>
            </w:pPr>
            <w:r>
              <w:t>达标</w:t>
            </w:r>
          </w:p>
        </w:tc>
        <w:tc>
          <w:tcPr>
            <w:tcW w:w="1138" w:type="dxa"/>
            <w:vAlign w:val="top"/>
          </w:tcPr>
          <w:p w14:paraId="6A796EAA">
            <w:pPr>
              <w:pStyle w:val="6"/>
              <w:spacing w:before="257" w:line="252" w:lineRule="auto"/>
              <w:ind w:left="259" w:right="145" w:hanging="102"/>
            </w:pPr>
            <w:r>
              <w:rPr>
                <w:spacing w:val="6"/>
              </w:rPr>
              <w:t>声环境保护目标</w:t>
            </w:r>
          </w:p>
        </w:tc>
      </w:tr>
      <w:tr w14:paraId="0995E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trPr>
        <w:tc>
          <w:tcPr>
            <w:tcW w:w="1156" w:type="dxa"/>
            <w:vAlign w:val="top"/>
          </w:tcPr>
          <w:p w14:paraId="690CF44B">
            <w:pPr>
              <w:pStyle w:val="6"/>
              <w:spacing w:before="37" w:line="225" w:lineRule="auto"/>
              <w:ind w:left="159"/>
            </w:pPr>
            <w:r>
              <w:rPr>
                <w:spacing w:val="7"/>
              </w:rPr>
              <w:t>⑥松山变</w:t>
            </w:r>
          </w:p>
          <w:p w14:paraId="20AEEB8F">
            <w:pPr>
              <w:pStyle w:val="6"/>
              <w:spacing w:before="27" w:line="228" w:lineRule="auto"/>
              <w:ind w:left="185"/>
            </w:pPr>
            <w:r>
              <w:rPr>
                <w:spacing w:val="1"/>
              </w:rPr>
              <w:t>电站周围</w:t>
            </w:r>
          </w:p>
          <w:p w14:paraId="1F093138">
            <w:pPr>
              <w:pStyle w:val="6"/>
              <w:spacing w:before="25" w:line="228" w:lineRule="auto"/>
              <w:ind w:left="161"/>
            </w:pPr>
            <w:r>
              <w:rPr>
                <w:rFonts w:ascii="Times New Roman" w:hAnsi="Times New Roman" w:eastAsia="Times New Roman" w:cs="Times New Roman"/>
                <w:spacing w:val="5"/>
              </w:rPr>
              <w:t>6#</w:t>
            </w:r>
            <w:r>
              <w:rPr>
                <w:spacing w:val="5"/>
              </w:rPr>
              <w:t>临时看</w:t>
            </w:r>
          </w:p>
          <w:p w14:paraId="408050AE">
            <w:pPr>
              <w:pStyle w:val="6"/>
              <w:spacing w:before="24" w:line="213" w:lineRule="auto"/>
              <w:ind w:left="370"/>
            </w:pPr>
            <w:r>
              <w:rPr>
                <w:spacing w:val="4"/>
              </w:rPr>
              <w:t>护房</w:t>
            </w:r>
          </w:p>
        </w:tc>
        <w:tc>
          <w:tcPr>
            <w:tcW w:w="768" w:type="dxa"/>
            <w:vAlign w:val="top"/>
          </w:tcPr>
          <w:p w14:paraId="1130BEED">
            <w:pPr>
              <w:spacing w:line="421" w:lineRule="auto"/>
              <w:rPr>
                <w:rFonts w:ascii="Arial"/>
                <w:sz w:val="21"/>
              </w:rPr>
            </w:pPr>
          </w:p>
          <w:p w14:paraId="15A0E214">
            <w:pPr>
              <w:spacing w:before="57" w:line="195" w:lineRule="auto"/>
              <w:ind w:left="11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-255.5</w:t>
            </w:r>
          </w:p>
        </w:tc>
        <w:tc>
          <w:tcPr>
            <w:tcW w:w="731" w:type="dxa"/>
            <w:vAlign w:val="top"/>
          </w:tcPr>
          <w:p w14:paraId="244BA9F9">
            <w:pPr>
              <w:spacing w:line="302" w:lineRule="auto"/>
              <w:rPr>
                <w:rFonts w:ascii="Arial"/>
                <w:sz w:val="21"/>
              </w:rPr>
            </w:pPr>
          </w:p>
          <w:p w14:paraId="458E79CC">
            <w:pPr>
              <w:spacing w:before="57" w:line="195" w:lineRule="auto"/>
              <w:ind w:left="14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pacing w:val="-3"/>
                <w:sz w:val="20"/>
                <w:szCs w:val="20"/>
              </w:rPr>
              <w:t>191.</w:t>
            </w:r>
          </w:p>
          <w:p w14:paraId="43F9C031">
            <w:pPr>
              <w:spacing w:before="56" w:line="192" w:lineRule="auto"/>
              <w:ind w:left="25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75</w:t>
            </w:r>
          </w:p>
        </w:tc>
        <w:tc>
          <w:tcPr>
            <w:tcW w:w="563" w:type="dxa"/>
            <w:vAlign w:val="top"/>
          </w:tcPr>
          <w:p w14:paraId="231A8522">
            <w:pPr>
              <w:spacing w:line="421" w:lineRule="auto"/>
              <w:rPr>
                <w:rFonts w:ascii="Arial"/>
                <w:sz w:val="21"/>
              </w:rPr>
            </w:pPr>
          </w:p>
          <w:p w14:paraId="5AEC4C4C">
            <w:pPr>
              <w:spacing w:before="57"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618" w:type="dxa"/>
            <w:vAlign w:val="top"/>
          </w:tcPr>
          <w:p w14:paraId="49BB5F42">
            <w:pPr>
              <w:spacing w:line="421" w:lineRule="auto"/>
              <w:rPr>
                <w:rFonts w:ascii="Arial"/>
                <w:sz w:val="21"/>
              </w:rPr>
            </w:pPr>
          </w:p>
          <w:p w14:paraId="0F8C88FC">
            <w:pPr>
              <w:spacing w:before="57" w:line="195" w:lineRule="auto"/>
              <w:ind w:left="211"/>
              <w:rPr>
                <w:rFonts w:ascii="Times New Roman" w:hAnsi="Times New Roman" w:eastAsia="Times New Roman" w:cs="Times New Roman"/>
                <w:sz w:val="20"/>
                <w:szCs w:val="20"/>
              </w:rPr>
            </w:pPr>
            <w:r>
              <w:rPr>
                <w:rFonts w:ascii="Times New Roman" w:hAnsi="Times New Roman" w:eastAsia="Times New Roman" w:cs="Times New Roman"/>
                <w:sz w:val="20"/>
                <w:szCs w:val="20"/>
              </w:rPr>
              <w:t>42</w:t>
            </w:r>
          </w:p>
        </w:tc>
        <w:tc>
          <w:tcPr>
            <w:tcW w:w="713" w:type="dxa"/>
            <w:vAlign w:val="top"/>
          </w:tcPr>
          <w:p w14:paraId="76C531F7">
            <w:pPr>
              <w:spacing w:line="421" w:lineRule="auto"/>
              <w:rPr>
                <w:rFonts w:ascii="Arial"/>
                <w:sz w:val="21"/>
              </w:rPr>
            </w:pPr>
          </w:p>
          <w:p w14:paraId="3585B92A">
            <w:pPr>
              <w:spacing w:before="57" w:line="195" w:lineRule="auto"/>
              <w:ind w:left="2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37</w:t>
            </w:r>
          </w:p>
        </w:tc>
        <w:tc>
          <w:tcPr>
            <w:tcW w:w="701" w:type="dxa"/>
            <w:vAlign w:val="top"/>
          </w:tcPr>
          <w:p w14:paraId="2AAA9B0D">
            <w:pPr>
              <w:spacing w:line="421" w:lineRule="auto"/>
              <w:rPr>
                <w:rFonts w:ascii="Arial"/>
                <w:sz w:val="21"/>
              </w:rPr>
            </w:pPr>
          </w:p>
          <w:p w14:paraId="0FD82F7F">
            <w:pPr>
              <w:spacing w:before="57" w:line="195" w:lineRule="auto"/>
              <w:ind w:left="250"/>
              <w:rPr>
                <w:rFonts w:ascii="Times New Roman" w:hAnsi="Times New Roman" w:eastAsia="Times New Roman" w:cs="Times New Roman"/>
                <w:sz w:val="20"/>
                <w:szCs w:val="20"/>
              </w:rPr>
            </w:pPr>
            <w:r>
              <w:rPr>
                <w:rFonts w:ascii="Times New Roman" w:hAnsi="Times New Roman" w:eastAsia="Times New Roman" w:cs="Times New Roman"/>
                <w:sz w:val="20"/>
                <w:szCs w:val="20"/>
              </w:rPr>
              <w:t>42</w:t>
            </w:r>
          </w:p>
        </w:tc>
        <w:tc>
          <w:tcPr>
            <w:tcW w:w="741" w:type="dxa"/>
            <w:vAlign w:val="top"/>
          </w:tcPr>
          <w:p w14:paraId="654FE6F5">
            <w:pPr>
              <w:spacing w:line="421" w:lineRule="auto"/>
              <w:rPr>
                <w:rFonts w:ascii="Arial"/>
                <w:sz w:val="21"/>
              </w:rPr>
            </w:pPr>
          </w:p>
          <w:p w14:paraId="67DB8E90">
            <w:pPr>
              <w:spacing w:before="57"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37</w:t>
            </w:r>
          </w:p>
        </w:tc>
        <w:tc>
          <w:tcPr>
            <w:tcW w:w="725" w:type="dxa"/>
            <w:vAlign w:val="top"/>
          </w:tcPr>
          <w:p w14:paraId="4AFE9059">
            <w:pPr>
              <w:spacing w:line="424" w:lineRule="auto"/>
              <w:rPr>
                <w:rFonts w:ascii="Arial"/>
                <w:sz w:val="21"/>
              </w:rPr>
            </w:pPr>
          </w:p>
          <w:p w14:paraId="761DF8E3">
            <w:pPr>
              <w:spacing w:before="57" w:line="192" w:lineRule="auto"/>
              <w:ind w:left="2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55</w:t>
            </w:r>
          </w:p>
        </w:tc>
        <w:tc>
          <w:tcPr>
            <w:tcW w:w="724" w:type="dxa"/>
            <w:vAlign w:val="top"/>
          </w:tcPr>
          <w:p w14:paraId="64AD23C8">
            <w:pPr>
              <w:spacing w:line="421" w:lineRule="auto"/>
              <w:rPr>
                <w:rFonts w:ascii="Arial"/>
                <w:sz w:val="21"/>
              </w:rPr>
            </w:pPr>
          </w:p>
          <w:p w14:paraId="26CAF14C">
            <w:pPr>
              <w:spacing w:before="57" w:line="195" w:lineRule="auto"/>
              <w:ind w:left="265"/>
              <w:rPr>
                <w:rFonts w:ascii="Times New Roman" w:hAnsi="Times New Roman" w:eastAsia="Times New Roman" w:cs="Times New Roman"/>
                <w:sz w:val="20"/>
                <w:szCs w:val="20"/>
              </w:rPr>
            </w:pPr>
            <w:r>
              <w:rPr>
                <w:rFonts w:ascii="Times New Roman" w:hAnsi="Times New Roman" w:eastAsia="Times New Roman" w:cs="Times New Roman"/>
                <w:sz w:val="20"/>
                <w:szCs w:val="20"/>
              </w:rPr>
              <w:t>45</w:t>
            </w:r>
          </w:p>
        </w:tc>
        <w:tc>
          <w:tcPr>
            <w:tcW w:w="782" w:type="dxa"/>
            <w:vAlign w:val="top"/>
          </w:tcPr>
          <w:p w14:paraId="657185FF">
            <w:pPr>
              <w:spacing w:line="421" w:lineRule="auto"/>
              <w:rPr>
                <w:rFonts w:ascii="Arial"/>
                <w:sz w:val="21"/>
              </w:rPr>
            </w:pPr>
          </w:p>
          <w:p w14:paraId="731A411A">
            <w:pPr>
              <w:spacing w:before="57" w:line="195" w:lineRule="auto"/>
              <w:ind w:left="19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11.27</w:t>
            </w:r>
          </w:p>
        </w:tc>
        <w:tc>
          <w:tcPr>
            <w:tcW w:w="782" w:type="dxa"/>
            <w:vAlign w:val="top"/>
          </w:tcPr>
          <w:p w14:paraId="32C5CE5A">
            <w:pPr>
              <w:spacing w:line="421" w:lineRule="auto"/>
              <w:rPr>
                <w:rFonts w:ascii="Arial"/>
                <w:sz w:val="21"/>
              </w:rPr>
            </w:pPr>
          </w:p>
          <w:p w14:paraId="6DECDC30">
            <w:pPr>
              <w:spacing w:before="57"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11.27</w:t>
            </w:r>
          </w:p>
        </w:tc>
        <w:tc>
          <w:tcPr>
            <w:tcW w:w="782" w:type="dxa"/>
            <w:tcBorders>
              <w:right w:val="single" w:color="000000" w:sz="2" w:space="0"/>
            </w:tcBorders>
            <w:vAlign w:val="top"/>
          </w:tcPr>
          <w:p w14:paraId="17D95784">
            <w:pPr>
              <w:spacing w:line="421" w:lineRule="auto"/>
              <w:rPr>
                <w:rFonts w:ascii="Arial"/>
                <w:sz w:val="21"/>
              </w:rPr>
            </w:pPr>
          </w:p>
          <w:p w14:paraId="53F6784C">
            <w:pPr>
              <w:spacing w:before="57" w:line="195" w:lineRule="auto"/>
              <w:ind w:left="297"/>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42</w:t>
            </w:r>
          </w:p>
        </w:tc>
        <w:tc>
          <w:tcPr>
            <w:tcW w:w="782" w:type="dxa"/>
            <w:tcBorders>
              <w:left w:val="single" w:color="000000" w:sz="2" w:space="0"/>
            </w:tcBorders>
            <w:vAlign w:val="top"/>
          </w:tcPr>
          <w:p w14:paraId="3C950515">
            <w:pPr>
              <w:spacing w:line="421" w:lineRule="auto"/>
              <w:rPr>
                <w:rFonts w:ascii="Arial"/>
                <w:sz w:val="21"/>
              </w:rPr>
            </w:pPr>
          </w:p>
          <w:p w14:paraId="549A5DA8">
            <w:pPr>
              <w:spacing w:before="57" w:line="195" w:lineRule="auto"/>
              <w:ind w:left="298"/>
              <w:rPr>
                <w:rFonts w:ascii="Times New Roman" w:hAnsi="Times New Roman" w:eastAsia="Times New Roman" w:cs="Times New Roman"/>
                <w:sz w:val="20"/>
                <w:szCs w:val="20"/>
              </w:rPr>
            </w:pPr>
            <w:r>
              <w:rPr>
                <w:rFonts w:ascii="Times New Roman" w:hAnsi="Times New Roman" w:eastAsia="Times New Roman" w:cs="Times New Roman"/>
                <w:b/>
                <w:bCs/>
                <w:sz w:val="20"/>
                <w:szCs w:val="20"/>
              </w:rPr>
              <w:t>37</w:t>
            </w:r>
          </w:p>
        </w:tc>
        <w:tc>
          <w:tcPr>
            <w:tcW w:w="741" w:type="dxa"/>
            <w:tcBorders>
              <w:right w:val="single" w:color="000000" w:sz="2" w:space="0"/>
            </w:tcBorders>
            <w:vAlign w:val="top"/>
          </w:tcPr>
          <w:p w14:paraId="13DF73AD">
            <w:pPr>
              <w:spacing w:line="421" w:lineRule="auto"/>
              <w:rPr>
                <w:rFonts w:ascii="Arial"/>
                <w:sz w:val="21"/>
              </w:rPr>
            </w:pPr>
          </w:p>
          <w:p w14:paraId="2FDD6B91">
            <w:pPr>
              <w:spacing w:before="57" w:line="195" w:lineRule="auto"/>
              <w:ind w:left="329"/>
              <w:rPr>
                <w:rFonts w:ascii="Times New Roman" w:hAnsi="Times New Roman" w:eastAsia="Times New Roman" w:cs="Times New Roman"/>
                <w:sz w:val="20"/>
                <w:szCs w:val="20"/>
              </w:rPr>
            </w:pPr>
            <w:r>
              <w:rPr>
                <w:rFonts w:ascii="Times New Roman" w:hAnsi="Times New Roman" w:eastAsia="Times New Roman" w:cs="Times New Roman"/>
                <w:b/>
                <w:bCs/>
                <w:sz w:val="20"/>
                <w:szCs w:val="20"/>
              </w:rPr>
              <w:t>0</w:t>
            </w:r>
          </w:p>
        </w:tc>
        <w:tc>
          <w:tcPr>
            <w:tcW w:w="741" w:type="dxa"/>
            <w:tcBorders>
              <w:left w:val="single" w:color="000000" w:sz="2" w:space="0"/>
            </w:tcBorders>
            <w:vAlign w:val="top"/>
          </w:tcPr>
          <w:p w14:paraId="6E6E5BD9">
            <w:pPr>
              <w:spacing w:line="421" w:lineRule="auto"/>
              <w:rPr>
                <w:rFonts w:ascii="Arial"/>
                <w:sz w:val="21"/>
              </w:rPr>
            </w:pPr>
          </w:p>
          <w:p w14:paraId="063D3D4B">
            <w:pPr>
              <w:spacing w:before="57" w:line="195" w:lineRule="auto"/>
              <w:ind w:left="332"/>
              <w:rPr>
                <w:rFonts w:ascii="Times New Roman" w:hAnsi="Times New Roman" w:eastAsia="Times New Roman" w:cs="Times New Roman"/>
                <w:sz w:val="20"/>
                <w:szCs w:val="20"/>
              </w:rPr>
            </w:pPr>
            <w:r>
              <w:rPr>
                <w:rFonts w:ascii="Times New Roman" w:hAnsi="Times New Roman" w:eastAsia="Times New Roman" w:cs="Times New Roman"/>
                <w:b/>
                <w:bCs/>
                <w:sz w:val="20"/>
                <w:szCs w:val="20"/>
              </w:rPr>
              <w:t>0</w:t>
            </w:r>
          </w:p>
        </w:tc>
        <w:tc>
          <w:tcPr>
            <w:tcW w:w="670" w:type="dxa"/>
            <w:vAlign w:val="top"/>
          </w:tcPr>
          <w:p w14:paraId="3DE565AF">
            <w:pPr>
              <w:spacing w:line="378" w:lineRule="auto"/>
              <w:rPr>
                <w:rFonts w:ascii="Arial"/>
                <w:sz w:val="21"/>
              </w:rPr>
            </w:pPr>
          </w:p>
          <w:p w14:paraId="293EF4C4">
            <w:pPr>
              <w:pStyle w:val="6"/>
              <w:spacing w:before="65" w:line="228" w:lineRule="auto"/>
              <w:ind w:left="153"/>
            </w:pPr>
            <w:r>
              <w:t>达标</w:t>
            </w:r>
          </w:p>
        </w:tc>
        <w:tc>
          <w:tcPr>
            <w:tcW w:w="675" w:type="dxa"/>
            <w:vAlign w:val="top"/>
          </w:tcPr>
          <w:p w14:paraId="614965BC">
            <w:pPr>
              <w:spacing w:line="378" w:lineRule="auto"/>
              <w:rPr>
                <w:rFonts w:ascii="Arial"/>
                <w:sz w:val="21"/>
              </w:rPr>
            </w:pPr>
          </w:p>
          <w:p w14:paraId="5C45872B">
            <w:pPr>
              <w:pStyle w:val="6"/>
              <w:spacing w:before="65" w:line="228" w:lineRule="auto"/>
              <w:ind w:left="155"/>
            </w:pPr>
            <w:r>
              <w:t>达标</w:t>
            </w:r>
          </w:p>
        </w:tc>
        <w:tc>
          <w:tcPr>
            <w:tcW w:w="1138" w:type="dxa"/>
            <w:vAlign w:val="top"/>
          </w:tcPr>
          <w:p w14:paraId="4EB40D88">
            <w:pPr>
              <w:pStyle w:val="6"/>
              <w:spacing w:before="258" w:line="254" w:lineRule="auto"/>
              <w:ind w:left="259" w:right="145" w:hanging="102"/>
            </w:pPr>
            <w:r>
              <w:rPr>
                <w:spacing w:val="6"/>
              </w:rPr>
              <w:t>声环境保护目标</w:t>
            </w:r>
          </w:p>
        </w:tc>
      </w:tr>
      <w:tr w14:paraId="250D1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1156" w:type="dxa"/>
            <w:vAlign w:val="top"/>
          </w:tcPr>
          <w:p w14:paraId="22518648">
            <w:pPr>
              <w:pStyle w:val="6"/>
              <w:spacing w:before="37" w:line="225" w:lineRule="auto"/>
              <w:ind w:left="159"/>
            </w:pPr>
            <w:r>
              <w:rPr>
                <w:spacing w:val="7"/>
              </w:rPr>
              <w:t>⑦松山变</w:t>
            </w:r>
          </w:p>
          <w:p w14:paraId="248F3078">
            <w:pPr>
              <w:pStyle w:val="6"/>
              <w:spacing w:before="27" w:line="235" w:lineRule="auto"/>
              <w:ind w:left="160" w:right="155" w:firstLine="24"/>
            </w:pPr>
            <w:r>
              <w:rPr>
                <w:spacing w:val="1"/>
              </w:rPr>
              <w:t>电站周围</w:t>
            </w:r>
            <w:r>
              <w:rPr>
                <w:rFonts w:ascii="Times New Roman" w:hAnsi="Times New Roman" w:eastAsia="Times New Roman" w:cs="Times New Roman"/>
                <w:spacing w:val="6"/>
              </w:rPr>
              <w:t>7#</w:t>
            </w:r>
            <w:r>
              <w:rPr>
                <w:spacing w:val="6"/>
              </w:rPr>
              <w:t>居民点</w:t>
            </w:r>
          </w:p>
        </w:tc>
        <w:tc>
          <w:tcPr>
            <w:tcW w:w="768" w:type="dxa"/>
            <w:vAlign w:val="top"/>
          </w:tcPr>
          <w:p w14:paraId="12BD62E6">
            <w:pPr>
              <w:spacing w:before="224" w:line="195" w:lineRule="auto"/>
              <w:ind w:left="11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-255.4</w:t>
            </w:r>
          </w:p>
          <w:p w14:paraId="27FA92D5">
            <w:pPr>
              <w:spacing w:before="55" w:line="195" w:lineRule="auto"/>
              <w:ind w:left="34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731" w:type="dxa"/>
            <w:vAlign w:val="top"/>
          </w:tcPr>
          <w:p w14:paraId="00554BD5">
            <w:pPr>
              <w:spacing w:before="224" w:line="195" w:lineRule="auto"/>
              <w:ind w:left="14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142.2</w:t>
            </w:r>
          </w:p>
          <w:p w14:paraId="62B852B1">
            <w:pPr>
              <w:spacing w:before="55" w:line="195" w:lineRule="auto"/>
              <w:ind w:left="317"/>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563" w:type="dxa"/>
            <w:vAlign w:val="top"/>
          </w:tcPr>
          <w:p w14:paraId="7839E3FE">
            <w:pPr>
              <w:spacing w:line="285" w:lineRule="auto"/>
              <w:rPr>
                <w:rFonts w:ascii="Arial"/>
                <w:sz w:val="21"/>
              </w:rPr>
            </w:pPr>
          </w:p>
          <w:p w14:paraId="756BE5F4">
            <w:pPr>
              <w:spacing w:before="57"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618" w:type="dxa"/>
            <w:vAlign w:val="top"/>
          </w:tcPr>
          <w:p w14:paraId="3F1CE0C5">
            <w:pPr>
              <w:spacing w:line="285" w:lineRule="auto"/>
              <w:rPr>
                <w:rFonts w:ascii="Arial"/>
                <w:sz w:val="21"/>
              </w:rPr>
            </w:pPr>
          </w:p>
          <w:p w14:paraId="28BB4A30">
            <w:pPr>
              <w:spacing w:before="57" w:line="195" w:lineRule="auto"/>
              <w:ind w:left="211"/>
              <w:rPr>
                <w:rFonts w:ascii="Times New Roman" w:hAnsi="Times New Roman" w:eastAsia="Times New Roman" w:cs="Times New Roman"/>
                <w:sz w:val="20"/>
                <w:szCs w:val="20"/>
              </w:rPr>
            </w:pPr>
            <w:r>
              <w:rPr>
                <w:rFonts w:ascii="Times New Roman" w:hAnsi="Times New Roman" w:eastAsia="Times New Roman" w:cs="Times New Roman"/>
                <w:sz w:val="20"/>
                <w:szCs w:val="20"/>
              </w:rPr>
              <w:t>43</w:t>
            </w:r>
          </w:p>
        </w:tc>
        <w:tc>
          <w:tcPr>
            <w:tcW w:w="713" w:type="dxa"/>
            <w:vAlign w:val="top"/>
          </w:tcPr>
          <w:p w14:paraId="65FA7FAE">
            <w:pPr>
              <w:spacing w:line="285" w:lineRule="auto"/>
              <w:rPr>
                <w:rFonts w:ascii="Arial"/>
                <w:sz w:val="21"/>
              </w:rPr>
            </w:pPr>
          </w:p>
          <w:p w14:paraId="34550C63">
            <w:pPr>
              <w:spacing w:before="57" w:line="195" w:lineRule="auto"/>
              <w:ind w:left="2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w:t>
            </w:r>
          </w:p>
        </w:tc>
        <w:tc>
          <w:tcPr>
            <w:tcW w:w="701" w:type="dxa"/>
            <w:vAlign w:val="top"/>
          </w:tcPr>
          <w:p w14:paraId="274F694E">
            <w:pPr>
              <w:spacing w:line="285" w:lineRule="auto"/>
              <w:rPr>
                <w:rFonts w:ascii="Arial"/>
                <w:sz w:val="21"/>
              </w:rPr>
            </w:pPr>
          </w:p>
          <w:p w14:paraId="4442AD3B">
            <w:pPr>
              <w:spacing w:before="57" w:line="195" w:lineRule="auto"/>
              <w:ind w:left="250"/>
              <w:rPr>
                <w:rFonts w:ascii="Times New Roman" w:hAnsi="Times New Roman" w:eastAsia="Times New Roman" w:cs="Times New Roman"/>
                <w:sz w:val="20"/>
                <w:szCs w:val="20"/>
              </w:rPr>
            </w:pPr>
            <w:r>
              <w:rPr>
                <w:rFonts w:ascii="Times New Roman" w:hAnsi="Times New Roman" w:eastAsia="Times New Roman" w:cs="Times New Roman"/>
                <w:sz w:val="20"/>
                <w:szCs w:val="20"/>
              </w:rPr>
              <w:t>43</w:t>
            </w:r>
          </w:p>
        </w:tc>
        <w:tc>
          <w:tcPr>
            <w:tcW w:w="741" w:type="dxa"/>
            <w:vAlign w:val="top"/>
          </w:tcPr>
          <w:p w14:paraId="19D2A2B9">
            <w:pPr>
              <w:spacing w:line="285" w:lineRule="auto"/>
              <w:rPr>
                <w:rFonts w:ascii="Arial"/>
                <w:sz w:val="21"/>
              </w:rPr>
            </w:pPr>
          </w:p>
          <w:p w14:paraId="1F5BC9DD">
            <w:pPr>
              <w:spacing w:before="57"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w:t>
            </w:r>
          </w:p>
        </w:tc>
        <w:tc>
          <w:tcPr>
            <w:tcW w:w="725" w:type="dxa"/>
            <w:vAlign w:val="top"/>
          </w:tcPr>
          <w:p w14:paraId="36FA004C">
            <w:pPr>
              <w:spacing w:line="288" w:lineRule="auto"/>
              <w:rPr>
                <w:rFonts w:ascii="Arial"/>
                <w:sz w:val="21"/>
              </w:rPr>
            </w:pPr>
          </w:p>
          <w:p w14:paraId="16C2E4E2">
            <w:pPr>
              <w:spacing w:before="57" w:line="192" w:lineRule="auto"/>
              <w:ind w:left="2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55</w:t>
            </w:r>
          </w:p>
        </w:tc>
        <w:tc>
          <w:tcPr>
            <w:tcW w:w="724" w:type="dxa"/>
            <w:vAlign w:val="top"/>
          </w:tcPr>
          <w:p w14:paraId="21EB3921">
            <w:pPr>
              <w:spacing w:line="285" w:lineRule="auto"/>
              <w:rPr>
                <w:rFonts w:ascii="Arial"/>
                <w:sz w:val="21"/>
              </w:rPr>
            </w:pPr>
          </w:p>
          <w:p w14:paraId="759C62D6">
            <w:pPr>
              <w:spacing w:before="57" w:line="195" w:lineRule="auto"/>
              <w:ind w:left="265"/>
              <w:rPr>
                <w:rFonts w:ascii="Times New Roman" w:hAnsi="Times New Roman" w:eastAsia="Times New Roman" w:cs="Times New Roman"/>
                <w:sz w:val="20"/>
                <w:szCs w:val="20"/>
              </w:rPr>
            </w:pPr>
            <w:r>
              <w:rPr>
                <w:rFonts w:ascii="Times New Roman" w:hAnsi="Times New Roman" w:eastAsia="Times New Roman" w:cs="Times New Roman"/>
                <w:sz w:val="20"/>
                <w:szCs w:val="20"/>
              </w:rPr>
              <w:t>45</w:t>
            </w:r>
          </w:p>
        </w:tc>
        <w:tc>
          <w:tcPr>
            <w:tcW w:w="782" w:type="dxa"/>
            <w:vAlign w:val="top"/>
          </w:tcPr>
          <w:p w14:paraId="454FE4A9">
            <w:pPr>
              <w:spacing w:line="285" w:lineRule="auto"/>
              <w:rPr>
                <w:rFonts w:ascii="Arial"/>
                <w:sz w:val="21"/>
              </w:rPr>
            </w:pPr>
          </w:p>
          <w:p w14:paraId="690B4C17">
            <w:pPr>
              <w:spacing w:before="57" w:line="195" w:lineRule="auto"/>
              <w:ind w:left="19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13.13</w:t>
            </w:r>
          </w:p>
        </w:tc>
        <w:tc>
          <w:tcPr>
            <w:tcW w:w="782" w:type="dxa"/>
            <w:vAlign w:val="top"/>
          </w:tcPr>
          <w:p w14:paraId="030FDAF4">
            <w:pPr>
              <w:spacing w:line="285" w:lineRule="auto"/>
              <w:rPr>
                <w:rFonts w:ascii="Arial"/>
                <w:sz w:val="21"/>
              </w:rPr>
            </w:pPr>
          </w:p>
          <w:p w14:paraId="36B3D9F5">
            <w:pPr>
              <w:spacing w:before="57"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13.13</w:t>
            </w:r>
          </w:p>
        </w:tc>
        <w:tc>
          <w:tcPr>
            <w:tcW w:w="782" w:type="dxa"/>
            <w:tcBorders>
              <w:right w:val="single" w:color="000000" w:sz="2" w:space="0"/>
            </w:tcBorders>
            <w:vAlign w:val="top"/>
          </w:tcPr>
          <w:p w14:paraId="1E91A33E">
            <w:pPr>
              <w:spacing w:line="285" w:lineRule="auto"/>
              <w:rPr>
                <w:rFonts w:ascii="Arial"/>
                <w:sz w:val="21"/>
              </w:rPr>
            </w:pPr>
          </w:p>
          <w:p w14:paraId="55F980FF">
            <w:pPr>
              <w:spacing w:before="57" w:line="195" w:lineRule="auto"/>
              <w:ind w:left="297"/>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43</w:t>
            </w:r>
          </w:p>
        </w:tc>
        <w:tc>
          <w:tcPr>
            <w:tcW w:w="782" w:type="dxa"/>
            <w:tcBorders>
              <w:left w:val="single" w:color="000000" w:sz="2" w:space="0"/>
            </w:tcBorders>
            <w:vAlign w:val="top"/>
          </w:tcPr>
          <w:p w14:paraId="2D275BFC">
            <w:pPr>
              <w:spacing w:line="285" w:lineRule="auto"/>
              <w:rPr>
                <w:rFonts w:ascii="Arial"/>
                <w:sz w:val="21"/>
              </w:rPr>
            </w:pPr>
          </w:p>
          <w:p w14:paraId="5BF78F0F">
            <w:pPr>
              <w:spacing w:before="57" w:line="195" w:lineRule="auto"/>
              <w:ind w:left="298"/>
              <w:rPr>
                <w:rFonts w:ascii="Times New Roman" w:hAnsi="Times New Roman" w:eastAsia="Times New Roman" w:cs="Times New Roman"/>
                <w:sz w:val="20"/>
                <w:szCs w:val="20"/>
              </w:rPr>
            </w:pPr>
            <w:r>
              <w:rPr>
                <w:rFonts w:ascii="Times New Roman" w:hAnsi="Times New Roman" w:eastAsia="Times New Roman" w:cs="Times New Roman"/>
                <w:b/>
                <w:bCs/>
                <w:sz w:val="20"/>
                <w:szCs w:val="20"/>
              </w:rPr>
              <w:t>39</w:t>
            </w:r>
          </w:p>
        </w:tc>
        <w:tc>
          <w:tcPr>
            <w:tcW w:w="741" w:type="dxa"/>
            <w:tcBorders>
              <w:right w:val="single" w:color="000000" w:sz="2" w:space="0"/>
            </w:tcBorders>
            <w:vAlign w:val="top"/>
          </w:tcPr>
          <w:p w14:paraId="4E5C670E">
            <w:pPr>
              <w:spacing w:line="285" w:lineRule="auto"/>
              <w:rPr>
                <w:rFonts w:ascii="Arial"/>
                <w:sz w:val="21"/>
              </w:rPr>
            </w:pPr>
          </w:p>
          <w:p w14:paraId="74634F45">
            <w:pPr>
              <w:spacing w:before="57" w:line="195" w:lineRule="auto"/>
              <w:ind w:left="329"/>
              <w:rPr>
                <w:rFonts w:ascii="Times New Roman" w:hAnsi="Times New Roman" w:eastAsia="Times New Roman" w:cs="Times New Roman"/>
                <w:sz w:val="20"/>
                <w:szCs w:val="20"/>
              </w:rPr>
            </w:pPr>
            <w:r>
              <w:rPr>
                <w:rFonts w:ascii="Times New Roman" w:hAnsi="Times New Roman" w:eastAsia="Times New Roman" w:cs="Times New Roman"/>
                <w:b/>
                <w:bCs/>
                <w:sz w:val="20"/>
                <w:szCs w:val="20"/>
              </w:rPr>
              <w:t>0</w:t>
            </w:r>
          </w:p>
        </w:tc>
        <w:tc>
          <w:tcPr>
            <w:tcW w:w="741" w:type="dxa"/>
            <w:tcBorders>
              <w:left w:val="single" w:color="000000" w:sz="2" w:space="0"/>
            </w:tcBorders>
            <w:vAlign w:val="top"/>
          </w:tcPr>
          <w:p w14:paraId="4669D86F">
            <w:pPr>
              <w:spacing w:line="285" w:lineRule="auto"/>
              <w:rPr>
                <w:rFonts w:ascii="Arial"/>
                <w:sz w:val="21"/>
              </w:rPr>
            </w:pPr>
          </w:p>
          <w:p w14:paraId="7496E98B">
            <w:pPr>
              <w:spacing w:before="57" w:line="195" w:lineRule="auto"/>
              <w:ind w:left="332"/>
              <w:rPr>
                <w:rFonts w:ascii="Times New Roman" w:hAnsi="Times New Roman" w:eastAsia="Times New Roman" w:cs="Times New Roman"/>
                <w:sz w:val="20"/>
                <w:szCs w:val="20"/>
              </w:rPr>
            </w:pPr>
            <w:r>
              <w:rPr>
                <w:rFonts w:ascii="Times New Roman" w:hAnsi="Times New Roman" w:eastAsia="Times New Roman" w:cs="Times New Roman"/>
                <w:b/>
                <w:bCs/>
                <w:sz w:val="20"/>
                <w:szCs w:val="20"/>
              </w:rPr>
              <w:t>0</w:t>
            </w:r>
          </w:p>
        </w:tc>
        <w:tc>
          <w:tcPr>
            <w:tcW w:w="670" w:type="dxa"/>
            <w:vAlign w:val="top"/>
          </w:tcPr>
          <w:p w14:paraId="598F048D">
            <w:pPr>
              <w:spacing w:line="242" w:lineRule="auto"/>
              <w:rPr>
                <w:rFonts w:ascii="Arial"/>
                <w:sz w:val="21"/>
              </w:rPr>
            </w:pPr>
          </w:p>
          <w:p w14:paraId="78A84FE3">
            <w:pPr>
              <w:pStyle w:val="6"/>
              <w:spacing w:before="65" w:line="228" w:lineRule="auto"/>
              <w:ind w:left="153"/>
            </w:pPr>
            <w:r>
              <w:t>达标</w:t>
            </w:r>
          </w:p>
        </w:tc>
        <w:tc>
          <w:tcPr>
            <w:tcW w:w="675" w:type="dxa"/>
            <w:vAlign w:val="top"/>
          </w:tcPr>
          <w:p w14:paraId="21BDA4C8">
            <w:pPr>
              <w:spacing w:line="242" w:lineRule="auto"/>
              <w:rPr>
                <w:rFonts w:ascii="Arial"/>
                <w:sz w:val="21"/>
              </w:rPr>
            </w:pPr>
          </w:p>
          <w:p w14:paraId="6CFFE672">
            <w:pPr>
              <w:pStyle w:val="6"/>
              <w:spacing w:before="65" w:line="228" w:lineRule="auto"/>
              <w:ind w:left="155"/>
            </w:pPr>
            <w:r>
              <w:t>达标</w:t>
            </w:r>
          </w:p>
        </w:tc>
        <w:tc>
          <w:tcPr>
            <w:tcW w:w="1138" w:type="dxa"/>
            <w:vAlign w:val="top"/>
          </w:tcPr>
          <w:p w14:paraId="35DFA8A4">
            <w:pPr>
              <w:pStyle w:val="6"/>
              <w:spacing w:before="124" w:line="252" w:lineRule="auto"/>
              <w:ind w:left="259" w:right="145" w:hanging="102"/>
            </w:pPr>
            <w:r>
              <w:rPr>
                <w:spacing w:val="6"/>
              </w:rPr>
              <w:t>声环境保护目标</w:t>
            </w:r>
          </w:p>
        </w:tc>
      </w:tr>
    </w:tbl>
    <w:p w14:paraId="509A775B">
      <w:pPr>
        <w:rPr>
          <w:rFonts w:ascii="Arial"/>
          <w:sz w:val="21"/>
        </w:rPr>
      </w:pPr>
    </w:p>
    <w:p w14:paraId="1DFD01F8">
      <w:pPr>
        <w:rPr>
          <w:rFonts w:ascii="Arial" w:hAnsi="Arial" w:eastAsia="Arial" w:cs="Arial"/>
          <w:sz w:val="21"/>
          <w:szCs w:val="21"/>
        </w:rPr>
        <w:sectPr>
          <w:footerReference r:id="rId115" w:type="default"/>
          <w:pgSz w:w="16840" w:h="11907"/>
          <w:pgMar w:top="400" w:right="1148" w:bottom="1241" w:left="1147" w:header="0" w:footer="1079" w:gutter="0"/>
          <w:cols w:space="720" w:num="1"/>
        </w:sectPr>
      </w:pPr>
    </w:p>
    <w:p w14:paraId="1143BBBB">
      <w:pPr>
        <w:spacing w:line="242" w:lineRule="auto"/>
        <w:rPr>
          <w:rFonts w:ascii="Arial"/>
          <w:sz w:val="21"/>
        </w:rPr>
      </w:pPr>
    </w:p>
    <w:p w14:paraId="1583BAF2">
      <w:pPr>
        <w:spacing w:line="242" w:lineRule="auto"/>
        <w:rPr>
          <w:rFonts w:ascii="Arial"/>
          <w:sz w:val="21"/>
        </w:rPr>
      </w:pPr>
    </w:p>
    <w:p w14:paraId="517F0D3B">
      <w:pPr>
        <w:spacing w:line="242" w:lineRule="auto"/>
        <w:rPr>
          <w:rFonts w:ascii="Arial"/>
          <w:sz w:val="21"/>
        </w:rPr>
      </w:pPr>
    </w:p>
    <w:p w14:paraId="3B32B37F">
      <w:pPr>
        <w:spacing w:line="242" w:lineRule="auto"/>
        <w:rPr>
          <w:rFonts w:ascii="Arial"/>
          <w:sz w:val="21"/>
        </w:rPr>
      </w:pPr>
    </w:p>
    <w:p w14:paraId="3B8D2CA8">
      <w:pPr>
        <w:pStyle w:val="2"/>
        <w:spacing w:before="78" w:line="219" w:lineRule="auto"/>
        <w:ind w:right="19"/>
        <w:jc w:val="right"/>
        <w:rPr>
          <w:sz w:val="24"/>
          <w:szCs w:val="24"/>
        </w:rPr>
      </w:pPr>
      <w:r>
        <w:rPr>
          <w:spacing w:val="-3"/>
          <w:sz w:val="24"/>
          <w:szCs w:val="24"/>
        </w:rPr>
        <w:t>根据理论预测结果，本项目</w:t>
      </w:r>
      <w:r>
        <w:rPr>
          <w:spacing w:val="-44"/>
          <w:sz w:val="24"/>
          <w:szCs w:val="24"/>
        </w:rPr>
        <w:t xml:space="preserve"> </w:t>
      </w:r>
      <w:r>
        <w:rPr>
          <w:rFonts w:ascii="Times New Roman" w:hAnsi="Times New Roman" w:eastAsia="Times New Roman" w:cs="Times New Roman"/>
          <w:spacing w:val="-3"/>
          <w:sz w:val="24"/>
          <w:szCs w:val="24"/>
        </w:rPr>
        <w:t xml:space="preserve">110kV </w:t>
      </w:r>
      <w:r>
        <w:rPr>
          <w:spacing w:val="-3"/>
          <w:sz w:val="24"/>
          <w:szCs w:val="24"/>
        </w:rPr>
        <w:t>松山变电站运行时，站址周围涉及的</w:t>
      </w:r>
      <w:r>
        <w:rPr>
          <w:spacing w:val="-61"/>
          <w:sz w:val="24"/>
          <w:szCs w:val="24"/>
        </w:rPr>
        <w:t xml:space="preserve"> </w:t>
      </w:r>
      <w:r>
        <w:rPr>
          <w:rFonts w:ascii="Times New Roman" w:hAnsi="Times New Roman" w:eastAsia="Times New Roman" w:cs="Times New Roman"/>
          <w:spacing w:val="-3"/>
          <w:sz w:val="24"/>
          <w:szCs w:val="24"/>
        </w:rPr>
        <w:t xml:space="preserve">7 </w:t>
      </w:r>
      <w:r>
        <w:rPr>
          <w:spacing w:val="-3"/>
          <w:sz w:val="24"/>
          <w:szCs w:val="24"/>
        </w:rPr>
        <w:t>个声环境保护目</w:t>
      </w:r>
      <w:r>
        <w:rPr>
          <w:spacing w:val="-4"/>
          <w:sz w:val="24"/>
          <w:szCs w:val="24"/>
        </w:rPr>
        <w:t>标的昼间噪声背景值与贡献值的叠加值在</w:t>
      </w:r>
      <w:r>
        <w:rPr>
          <w:spacing w:val="-68"/>
          <w:sz w:val="24"/>
          <w:szCs w:val="24"/>
        </w:rPr>
        <w:t xml:space="preserve"> </w:t>
      </w:r>
      <w:r>
        <w:rPr>
          <w:rFonts w:ascii="Times New Roman" w:hAnsi="Times New Roman" w:eastAsia="Times New Roman" w:cs="Times New Roman"/>
          <w:spacing w:val="-4"/>
          <w:sz w:val="24"/>
          <w:szCs w:val="24"/>
        </w:rPr>
        <w:t>42</w:t>
      </w:r>
      <w:r>
        <w:rPr>
          <w:spacing w:val="-4"/>
          <w:sz w:val="24"/>
          <w:szCs w:val="24"/>
        </w:rPr>
        <w:t>~</w:t>
      </w:r>
    </w:p>
    <w:p w14:paraId="2893DC5F">
      <w:pPr>
        <w:pStyle w:val="2"/>
        <w:spacing w:before="182" w:line="362" w:lineRule="auto"/>
        <w:ind w:left="6" w:hanging="6"/>
        <w:rPr>
          <w:sz w:val="24"/>
          <w:szCs w:val="24"/>
        </w:rPr>
      </w:pPr>
      <w:r>
        <w:rPr>
          <w:rFonts w:ascii="Times New Roman" w:hAnsi="Times New Roman" w:eastAsia="Times New Roman" w:cs="Times New Roman"/>
          <w:sz w:val="24"/>
          <w:szCs w:val="24"/>
        </w:rPr>
        <w:t>43.26dB</w:t>
      </w:r>
      <w:r>
        <w:rPr>
          <w:sz w:val="24"/>
          <w:szCs w:val="24"/>
        </w:rPr>
        <w:t>（</w:t>
      </w:r>
      <w:r>
        <w:rPr>
          <w:rFonts w:ascii="Times New Roman" w:hAnsi="Times New Roman" w:eastAsia="Times New Roman" w:cs="Times New Roman"/>
          <w:sz w:val="24"/>
          <w:szCs w:val="24"/>
        </w:rPr>
        <w:t>A</w:t>
      </w:r>
      <w:r>
        <w:rPr>
          <w:sz w:val="24"/>
          <w:szCs w:val="24"/>
        </w:rPr>
        <w:t>）之间，昼间噪声背景值与贡献值的叠加值在</w:t>
      </w:r>
      <w:r>
        <w:rPr>
          <w:spacing w:val="-50"/>
          <w:sz w:val="24"/>
          <w:szCs w:val="24"/>
        </w:rPr>
        <w:t xml:space="preserve"> </w:t>
      </w:r>
      <w:r>
        <w:rPr>
          <w:rFonts w:ascii="Times New Roman" w:hAnsi="Times New Roman" w:eastAsia="Times New Roman" w:cs="Times New Roman"/>
          <w:spacing w:val="-1"/>
          <w:sz w:val="24"/>
          <w:szCs w:val="24"/>
        </w:rPr>
        <w:t>37</w:t>
      </w:r>
      <w:r>
        <w:rPr>
          <w:spacing w:val="-1"/>
          <w:sz w:val="24"/>
          <w:szCs w:val="24"/>
        </w:rPr>
        <w:t>～</w:t>
      </w:r>
      <w:r>
        <w:rPr>
          <w:rFonts w:ascii="Times New Roman" w:hAnsi="Times New Roman" w:eastAsia="Times New Roman" w:cs="Times New Roman"/>
          <w:spacing w:val="-1"/>
          <w:sz w:val="24"/>
          <w:szCs w:val="24"/>
        </w:rPr>
        <w:t>39.34dB</w:t>
      </w:r>
      <w:r>
        <w:rPr>
          <w:spacing w:val="-1"/>
          <w:sz w:val="24"/>
          <w:szCs w:val="24"/>
        </w:rPr>
        <w:t>（</w:t>
      </w:r>
      <w:r>
        <w:rPr>
          <w:rFonts w:ascii="Times New Roman" w:hAnsi="Times New Roman" w:eastAsia="Times New Roman" w:cs="Times New Roman"/>
          <w:spacing w:val="-1"/>
          <w:sz w:val="24"/>
          <w:szCs w:val="24"/>
        </w:rPr>
        <w:t>A</w:t>
      </w:r>
      <w:r>
        <w:rPr>
          <w:spacing w:val="-1"/>
          <w:sz w:val="24"/>
          <w:szCs w:val="24"/>
        </w:rPr>
        <w:t>）之间，能满足《声环境质量标准》（</w:t>
      </w:r>
      <w:r>
        <w:rPr>
          <w:rFonts w:ascii="Times New Roman" w:hAnsi="Times New Roman" w:eastAsia="Times New Roman" w:cs="Times New Roman"/>
          <w:spacing w:val="-1"/>
          <w:sz w:val="24"/>
          <w:szCs w:val="24"/>
        </w:rPr>
        <w:t>GB3096-2008</w:t>
      </w:r>
      <w:r>
        <w:rPr>
          <w:spacing w:val="-1"/>
          <w:sz w:val="24"/>
          <w:szCs w:val="24"/>
        </w:rPr>
        <w:t>）中的</w:t>
      </w:r>
      <w:r>
        <w:rPr>
          <w:spacing w:val="-32"/>
          <w:sz w:val="24"/>
          <w:szCs w:val="24"/>
        </w:rPr>
        <w:t xml:space="preserve"> </w:t>
      </w:r>
      <w:r>
        <w:rPr>
          <w:rFonts w:ascii="Times New Roman" w:hAnsi="Times New Roman" w:eastAsia="Times New Roman" w:cs="Times New Roman"/>
          <w:spacing w:val="-1"/>
          <w:sz w:val="24"/>
          <w:szCs w:val="24"/>
        </w:rPr>
        <w:t xml:space="preserve">1 </w:t>
      </w:r>
      <w:r>
        <w:rPr>
          <w:spacing w:val="-1"/>
          <w:sz w:val="24"/>
          <w:szCs w:val="24"/>
        </w:rPr>
        <w:t>类</w:t>
      </w:r>
      <w:r>
        <w:rPr>
          <w:spacing w:val="-4"/>
          <w:sz w:val="24"/>
          <w:szCs w:val="24"/>
        </w:rPr>
        <w:t>标准。</w:t>
      </w:r>
    </w:p>
    <w:p w14:paraId="58A53B1A">
      <w:pPr>
        <w:spacing w:line="362" w:lineRule="auto"/>
        <w:rPr>
          <w:sz w:val="24"/>
          <w:szCs w:val="24"/>
        </w:rPr>
        <w:sectPr>
          <w:footerReference r:id="rId116" w:type="default"/>
          <w:pgSz w:w="16840" w:h="11907"/>
          <w:pgMar w:top="400" w:right="1191" w:bottom="1241" w:left="1194" w:header="0" w:footer="1079" w:gutter="0"/>
          <w:cols w:space="720" w:num="1"/>
        </w:sectPr>
      </w:pPr>
    </w:p>
    <w:p w14:paraId="78EAE1CF">
      <w:pPr>
        <w:spacing w:before="8"/>
      </w:pPr>
    </w:p>
    <w:p w14:paraId="7DE77F69">
      <w:pPr>
        <w:spacing w:before="8"/>
      </w:pPr>
    </w:p>
    <w:p w14:paraId="4882B3DD">
      <w:pPr>
        <w:spacing w:before="7"/>
      </w:pPr>
    </w:p>
    <w:p w14:paraId="77261CAC">
      <w:pPr>
        <w:spacing w:before="7"/>
      </w:pPr>
    </w:p>
    <w:p w14:paraId="210DE65A">
      <w:pPr>
        <w:spacing w:before="7"/>
      </w:pPr>
    </w:p>
    <w:p w14:paraId="05D7D04A">
      <w:pPr>
        <w:spacing w:before="7"/>
      </w:pPr>
    </w:p>
    <w:tbl>
      <w:tblPr>
        <w:tblStyle w:val="5"/>
        <w:tblW w:w="930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8"/>
        <w:gridCol w:w="217"/>
        <w:gridCol w:w="1379"/>
        <w:gridCol w:w="1792"/>
        <w:gridCol w:w="1746"/>
        <w:gridCol w:w="1710"/>
        <w:gridCol w:w="1758"/>
        <w:gridCol w:w="227"/>
      </w:tblGrid>
      <w:tr w14:paraId="24377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39" w:hRule="atLeast"/>
        </w:trPr>
        <w:tc>
          <w:tcPr>
            <w:tcW w:w="478" w:type="dxa"/>
            <w:vMerge w:val="restart"/>
            <w:tcBorders>
              <w:top w:val="single" w:color="000000" w:sz="6" w:space="0"/>
              <w:left w:val="single" w:color="000000" w:sz="6" w:space="0"/>
              <w:bottom w:val="nil"/>
            </w:tcBorders>
            <w:textDirection w:val="tbRlV"/>
            <w:vAlign w:val="top"/>
          </w:tcPr>
          <w:p w14:paraId="391520AA">
            <w:pPr>
              <w:pStyle w:val="6"/>
              <w:spacing w:before="118" w:line="209" w:lineRule="auto"/>
              <w:ind w:left="4719"/>
              <w:rPr>
                <w:sz w:val="24"/>
                <w:szCs w:val="24"/>
              </w:rPr>
            </w:pPr>
            <w:r>
              <w:rPr>
                <w:spacing w:val="23"/>
                <w:w w:val="117"/>
                <w:sz w:val="24"/>
                <w:szCs w:val="24"/>
              </w:rPr>
              <w:t>运营期生态环境影响分析</w:t>
            </w:r>
          </w:p>
        </w:tc>
        <w:tc>
          <w:tcPr>
            <w:tcW w:w="8829" w:type="dxa"/>
            <w:gridSpan w:val="7"/>
            <w:tcBorders>
              <w:top w:val="single" w:color="000000" w:sz="6" w:space="0"/>
              <w:right w:val="single" w:color="000000" w:sz="6" w:space="0"/>
            </w:tcBorders>
            <w:vAlign w:val="top"/>
          </w:tcPr>
          <w:p w14:paraId="2D35D615">
            <w:pPr>
              <w:pStyle w:val="6"/>
              <w:spacing w:before="40" w:line="219" w:lineRule="auto"/>
              <w:ind w:left="599"/>
              <w:rPr>
                <w:sz w:val="24"/>
                <w:szCs w:val="24"/>
              </w:rPr>
            </w:pPr>
            <w:r>
              <w:rPr>
                <w:b/>
                <w:bCs/>
                <w:spacing w:val="-6"/>
                <w:sz w:val="24"/>
                <w:szCs w:val="24"/>
              </w:rPr>
              <w:t>（2）输电线路</w:t>
            </w:r>
          </w:p>
          <w:p w14:paraId="2ADF0675">
            <w:pPr>
              <w:pStyle w:val="6"/>
              <w:spacing w:before="178" w:line="360" w:lineRule="auto"/>
              <w:ind w:left="108" w:right="21" w:firstLine="497"/>
              <w:jc w:val="both"/>
              <w:rPr>
                <w:sz w:val="24"/>
                <w:szCs w:val="24"/>
              </w:rPr>
            </w:pPr>
            <w:r>
              <w:rPr>
                <w:rFonts w:ascii="Times New Roman" w:hAnsi="Times New Roman" w:eastAsia="Times New Roman" w:cs="Times New Roman"/>
                <w:spacing w:val="-1"/>
                <w:sz w:val="24"/>
                <w:szCs w:val="24"/>
              </w:rPr>
              <w:t xml:space="preserve">110kV </w:t>
            </w:r>
            <w:r>
              <w:rPr>
                <w:spacing w:val="-1"/>
                <w:sz w:val="24"/>
                <w:szCs w:val="24"/>
              </w:rPr>
              <w:t>输电线路噪声主要是由导线的电晕发放电过程所产生</w:t>
            </w:r>
            <w:r>
              <w:rPr>
                <w:spacing w:val="-2"/>
                <w:sz w:val="24"/>
                <w:szCs w:val="24"/>
              </w:rPr>
              <w:t>的声音。因此，输</w:t>
            </w:r>
            <w:r>
              <w:rPr>
                <w:spacing w:val="-1"/>
                <w:sz w:val="24"/>
                <w:szCs w:val="24"/>
              </w:rPr>
              <w:t>电线路噪声与气象条件和电力负载有着十分密切的关系，当空气湿度和电力负载较</w:t>
            </w:r>
            <w:r>
              <w:rPr>
                <w:spacing w:val="-8"/>
                <w:sz w:val="24"/>
                <w:szCs w:val="24"/>
              </w:rPr>
              <w:t>大时，发出声音也就越大，反之声音越小，一般在</w:t>
            </w:r>
            <w:r>
              <w:rPr>
                <w:spacing w:val="-33"/>
                <w:sz w:val="24"/>
                <w:szCs w:val="24"/>
              </w:rPr>
              <w:t xml:space="preserve"> </w:t>
            </w:r>
            <w:r>
              <w:rPr>
                <w:rFonts w:ascii="Times New Roman" w:hAnsi="Times New Roman" w:eastAsia="Times New Roman" w:cs="Times New Roman"/>
                <w:spacing w:val="-8"/>
                <w:sz w:val="24"/>
                <w:szCs w:val="24"/>
              </w:rPr>
              <w:t>500kV</w:t>
            </w:r>
            <w:r>
              <w:rPr>
                <w:rFonts w:ascii="Times New Roman" w:hAnsi="Times New Roman" w:eastAsia="Times New Roman" w:cs="Times New Roman"/>
                <w:spacing w:val="38"/>
                <w:w w:val="101"/>
                <w:sz w:val="24"/>
                <w:szCs w:val="24"/>
              </w:rPr>
              <w:t xml:space="preserve"> </w:t>
            </w:r>
            <w:r>
              <w:rPr>
                <w:spacing w:val="-8"/>
                <w:sz w:val="24"/>
                <w:szCs w:val="24"/>
              </w:rPr>
              <w:t>以上的电压等级较为明显。</w:t>
            </w:r>
            <w:r>
              <w:rPr>
                <w:spacing w:val="-1"/>
                <w:sz w:val="24"/>
                <w:szCs w:val="24"/>
              </w:rPr>
              <w:t>本项目输电线路噪声环境影响采用类比验证法进行预测评价。</w:t>
            </w:r>
          </w:p>
          <w:p w14:paraId="55DF59FC">
            <w:pPr>
              <w:pStyle w:val="6"/>
              <w:spacing w:line="219" w:lineRule="auto"/>
              <w:ind w:left="606"/>
              <w:rPr>
                <w:sz w:val="24"/>
                <w:szCs w:val="24"/>
              </w:rPr>
            </w:pPr>
            <w:r>
              <w:rPr>
                <w:rFonts w:ascii="Times New Roman" w:hAnsi="Times New Roman" w:eastAsia="Times New Roman" w:cs="Times New Roman"/>
                <w:spacing w:val="-5"/>
                <w:sz w:val="24"/>
                <w:szCs w:val="24"/>
              </w:rPr>
              <w:t>1</w:t>
            </w:r>
            <w:r>
              <w:rPr>
                <w:spacing w:val="-5"/>
                <w:sz w:val="24"/>
                <w:szCs w:val="24"/>
              </w:rPr>
              <w:t>）类比对象</w:t>
            </w:r>
          </w:p>
          <w:p w14:paraId="38BD5E44">
            <w:pPr>
              <w:pStyle w:val="6"/>
              <w:spacing w:before="181" w:line="359" w:lineRule="auto"/>
              <w:ind w:left="101" w:firstLine="486"/>
              <w:rPr>
                <w:sz w:val="24"/>
                <w:szCs w:val="24"/>
              </w:rPr>
            </w:pPr>
            <w:r>
              <w:rPr>
                <w:spacing w:val="-4"/>
                <w:sz w:val="24"/>
                <w:szCs w:val="24"/>
              </w:rPr>
              <w:t>新建</w:t>
            </w:r>
            <w:r>
              <w:rPr>
                <w:spacing w:val="-32"/>
                <w:sz w:val="24"/>
                <w:szCs w:val="24"/>
              </w:rPr>
              <w:t xml:space="preserve"> </w:t>
            </w:r>
            <w:r>
              <w:rPr>
                <w:rFonts w:ascii="Times New Roman" w:hAnsi="Times New Roman" w:eastAsia="Times New Roman" w:cs="Times New Roman"/>
                <w:spacing w:val="-4"/>
                <w:sz w:val="24"/>
                <w:szCs w:val="24"/>
              </w:rPr>
              <w:t xml:space="preserve">110kV </w:t>
            </w:r>
            <w:r>
              <w:rPr>
                <w:spacing w:val="-4"/>
                <w:sz w:val="24"/>
                <w:szCs w:val="24"/>
              </w:rPr>
              <w:t>单回线路选择《</w:t>
            </w:r>
            <w:r>
              <w:rPr>
                <w:rFonts w:ascii="Times New Roman" w:hAnsi="Times New Roman" w:eastAsia="Times New Roman" w:cs="Times New Roman"/>
                <w:spacing w:val="-4"/>
                <w:sz w:val="24"/>
                <w:szCs w:val="24"/>
              </w:rPr>
              <w:t xml:space="preserve">110kV </w:t>
            </w:r>
            <w:r>
              <w:rPr>
                <w:spacing w:val="-5"/>
                <w:sz w:val="24"/>
                <w:szCs w:val="24"/>
              </w:rPr>
              <w:t>清中东线</w:t>
            </w:r>
            <w:r>
              <w:rPr>
                <w:spacing w:val="-52"/>
                <w:sz w:val="24"/>
                <w:szCs w:val="24"/>
              </w:rPr>
              <w:t xml:space="preserve"> </w:t>
            </w:r>
            <w:r>
              <w:rPr>
                <w:rFonts w:ascii="Times New Roman" w:hAnsi="Times New Roman" w:eastAsia="Times New Roman" w:cs="Times New Roman"/>
                <w:spacing w:val="-5"/>
                <w:sz w:val="24"/>
                <w:szCs w:val="24"/>
              </w:rPr>
              <w:t>038#~039#</w:t>
            </w:r>
            <w:r>
              <w:rPr>
                <w:spacing w:val="-5"/>
                <w:sz w:val="24"/>
                <w:szCs w:val="24"/>
              </w:rPr>
              <w:t>电磁及声环境现状监测》</w:t>
            </w:r>
            <w:r>
              <w:rPr>
                <w:spacing w:val="-3"/>
                <w:sz w:val="24"/>
                <w:szCs w:val="24"/>
              </w:rPr>
              <w:t>中单回线路噪声断面监测值进行类比验证；新建</w:t>
            </w:r>
            <w:r>
              <w:rPr>
                <w:spacing w:val="-31"/>
                <w:sz w:val="24"/>
                <w:szCs w:val="24"/>
              </w:rPr>
              <w:t xml:space="preserve"> </w:t>
            </w:r>
            <w:r>
              <w:rPr>
                <w:rFonts w:ascii="Times New Roman" w:hAnsi="Times New Roman" w:eastAsia="Times New Roman" w:cs="Times New Roman"/>
                <w:spacing w:val="-3"/>
                <w:sz w:val="24"/>
                <w:szCs w:val="24"/>
              </w:rPr>
              <w:t xml:space="preserve">110kV </w:t>
            </w:r>
            <w:r>
              <w:rPr>
                <w:spacing w:val="-3"/>
                <w:sz w:val="24"/>
                <w:szCs w:val="24"/>
              </w:rPr>
              <w:t>双回线路选择《</w:t>
            </w:r>
            <w:r>
              <w:rPr>
                <w:rFonts w:ascii="Times New Roman" w:hAnsi="Times New Roman" w:eastAsia="Times New Roman" w:cs="Times New Roman"/>
                <w:spacing w:val="-3"/>
                <w:sz w:val="24"/>
                <w:szCs w:val="24"/>
              </w:rPr>
              <w:t>110</w:t>
            </w:r>
            <w:r>
              <w:rPr>
                <w:rFonts w:ascii="Times New Roman" w:hAnsi="Times New Roman" w:eastAsia="Times New Roman" w:cs="Times New Roman"/>
                <w:spacing w:val="-4"/>
                <w:sz w:val="24"/>
                <w:szCs w:val="24"/>
              </w:rPr>
              <w:t>kV</w:t>
            </w:r>
            <w:r>
              <w:rPr>
                <w:rFonts w:ascii="Times New Roman" w:hAnsi="Times New Roman" w:eastAsia="Times New Roman" w:cs="Times New Roman"/>
                <w:spacing w:val="22"/>
                <w:sz w:val="24"/>
                <w:szCs w:val="24"/>
              </w:rPr>
              <w:t xml:space="preserve"> </w:t>
            </w:r>
            <w:r>
              <w:rPr>
                <w:spacing w:val="-4"/>
                <w:sz w:val="24"/>
                <w:szCs w:val="24"/>
              </w:rPr>
              <w:t>嵩杨牵线</w:t>
            </w:r>
            <w:r>
              <w:rPr>
                <w:spacing w:val="-32"/>
                <w:sz w:val="24"/>
                <w:szCs w:val="24"/>
              </w:rPr>
              <w:t xml:space="preserve"> </w:t>
            </w:r>
            <w:r>
              <w:rPr>
                <w:rFonts w:ascii="Times New Roman" w:hAnsi="Times New Roman" w:eastAsia="Times New Roman" w:cs="Times New Roman"/>
                <w:spacing w:val="-4"/>
                <w:sz w:val="24"/>
                <w:szCs w:val="24"/>
              </w:rPr>
              <w:t>54#-55#</w:t>
            </w:r>
            <w:r>
              <w:rPr>
                <w:spacing w:val="-4"/>
                <w:sz w:val="24"/>
                <w:szCs w:val="24"/>
              </w:rPr>
              <w:t>和</w:t>
            </w:r>
            <w:r>
              <w:rPr>
                <w:spacing w:val="-32"/>
                <w:sz w:val="24"/>
                <w:szCs w:val="24"/>
              </w:rPr>
              <w:t xml:space="preserve"> </w:t>
            </w:r>
            <w:r>
              <w:rPr>
                <w:rFonts w:ascii="Times New Roman" w:hAnsi="Times New Roman" w:eastAsia="Times New Roman" w:cs="Times New Roman"/>
                <w:spacing w:val="-4"/>
                <w:sz w:val="24"/>
                <w:szCs w:val="24"/>
              </w:rPr>
              <w:t xml:space="preserve">110kV </w:t>
            </w:r>
            <w:r>
              <w:rPr>
                <w:spacing w:val="-4"/>
                <w:sz w:val="24"/>
                <w:szCs w:val="24"/>
              </w:rPr>
              <w:t>杨牵Ⅱ回</w:t>
            </w:r>
            <w:r>
              <w:rPr>
                <w:spacing w:val="-51"/>
                <w:sz w:val="24"/>
                <w:szCs w:val="24"/>
              </w:rPr>
              <w:t xml:space="preserve"> </w:t>
            </w:r>
            <w:r>
              <w:rPr>
                <w:rFonts w:ascii="Times New Roman" w:hAnsi="Times New Roman" w:eastAsia="Times New Roman" w:cs="Times New Roman"/>
                <w:spacing w:val="-4"/>
                <w:sz w:val="24"/>
                <w:szCs w:val="24"/>
              </w:rPr>
              <w:t>004#-003#</w:t>
            </w:r>
            <w:r>
              <w:rPr>
                <w:spacing w:val="-4"/>
                <w:sz w:val="24"/>
                <w:szCs w:val="24"/>
              </w:rPr>
              <w:t>双回线路电磁及声环境现状监测》中双回</w:t>
            </w:r>
            <w:r>
              <w:rPr>
                <w:spacing w:val="-1"/>
                <w:sz w:val="24"/>
                <w:szCs w:val="24"/>
              </w:rPr>
              <w:t>线路噪声断面监测值进行类比验证。类比监测报告，见附件</w:t>
            </w:r>
            <w:r>
              <w:rPr>
                <w:spacing w:val="-17"/>
                <w:sz w:val="24"/>
                <w:szCs w:val="24"/>
              </w:rPr>
              <w:t xml:space="preserve"> </w:t>
            </w:r>
            <w:r>
              <w:rPr>
                <w:rFonts w:ascii="Times New Roman" w:hAnsi="Times New Roman" w:eastAsia="Times New Roman" w:cs="Times New Roman"/>
                <w:spacing w:val="-1"/>
                <w:sz w:val="24"/>
                <w:szCs w:val="24"/>
              </w:rPr>
              <w:t>18-</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15"/>
                <w:sz w:val="24"/>
                <w:szCs w:val="24"/>
              </w:rPr>
              <w:t xml:space="preserve"> </w:t>
            </w:r>
            <w:r>
              <w:rPr>
                <w:spacing w:val="-1"/>
                <w:sz w:val="24"/>
                <w:szCs w:val="24"/>
              </w:rPr>
              <w:t>和附件</w:t>
            </w:r>
            <w:r>
              <w:rPr>
                <w:spacing w:val="-29"/>
                <w:sz w:val="24"/>
                <w:szCs w:val="24"/>
              </w:rPr>
              <w:t xml:space="preserve"> </w:t>
            </w:r>
            <w:r>
              <w:rPr>
                <w:rFonts w:ascii="Times New Roman" w:hAnsi="Times New Roman" w:eastAsia="Times New Roman" w:cs="Times New Roman"/>
                <w:spacing w:val="-1"/>
                <w:sz w:val="24"/>
                <w:szCs w:val="24"/>
              </w:rPr>
              <w:t>18-2</w:t>
            </w:r>
            <w:r>
              <w:rPr>
                <w:rFonts w:ascii="Times New Roman" w:hAnsi="Times New Roman" w:eastAsia="Times New Roman" w:cs="Times New Roman"/>
                <w:spacing w:val="-27"/>
                <w:sz w:val="24"/>
                <w:szCs w:val="24"/>
              </w:rPr>
              <w:t xml:space="preserve"> </w:t>
            </w:r>
            <w:r>
              <w:rPr>
                <w:spacing w:val="-1"/>
                <w:sz w:val="24"/>
                <w:szCs w:val="24"/>
              </w:rPr>
              <w:t>，即</w:t>
            </w:r>
            <w:r>
              <w:rPr>
                <w:spacing w:val="-10"/>
                <w:sz w:val="24"/>
                <w:szCs w:val="24"/>
              </w:rPr>
              <w:t>《</w:t>
            </w:r>
            <w:r>
              <w:rPr>
                <w:spacing w:val="36"/>
                <w:sz w:val="24"/>
                <w:szCs w:val="24"/>
              </w:rPr>
              <w:t xml:space="preserve"> </w:t>
            </w:r>
            <w:r>
              <w:rPr>
                <w:rFonts w:ascii="Times New Roman" w:hAnsi="Times New Roman" w:eastAsia="Times New Roman" w:cs="Times New Roman"/>
                <w:spacing w:val="-10"/>
                <w:sz w:val="24"/>
                <w:szCs w:val="24"/>
              </w:rPr>
              <w:t>110kV</w:t>
            </w:r>
            <w:r>
              <w:rPr>
                <w:rFonts w:ascii="Times New Roman" w:hAnsi="Times New Roman" w:eastAsia="Times New Roman" w:cs="Times New Roman"/>
                <w:spacing w:val="22"/>
                <w:sz w:val="24"/>
                <w:szCs w:val="24"/>
              </w:rPr>
              <w:t xml:space="preserve">  </w:t>
            </w:r>
            <w:r>
              <w:rPr>
                <w:spacing w:val="-10"/>
                <w:sz w:val="24"/>
                <w:szCs w:val="24"/>
              </w:rPr>
              <w:t>清 中 东 线</w:t>
            </w:r>
            <w:r>
              <w:rPr>
                <w:spacing w:val="45"/>
                <w:sz w:val="24"/>
                <w:szCs w:val="24"/>
              </w:rPr>
              <w:t xml:space="preserve"> </w:t>
            </w:r>
            <w:r>
              <w:rPr>
                <w:rFonts w:ascii="Times New Roman" w:hAnsi="Times New Roman" w:eastAsia="Times New Roman" w:cs="Times New Roman"/>
                <w:spacing w:val="-10"/>
                <w:sz w:val="24"/>
                <w:szCs w:val="24"/>
              </w:rPr>
              <w:t xml:space="preserve">038#-039#  </w:t>
            </w:r>
            <w:r>
              <w:rPr>
                <w:spacing w:val="-10"/>
                <w:sz w:val="24"/>
                <w:szCs w:val="24"/>
              </w:rPr>
              <w:t>电 磁 及 声 环 境 现 状 监 测 》 （</w:t>
            </w:r>
            <w:r>
              <w:rPr>
                <w:spacing w:val="22"/>
                <w:sz w:val="24"/>
                <w:szCs w:val="24"/>
              </w:rPr>
              <w:t xml:space="preserve"> </w:t>
            </w:r>
            <w:r>
              <w:rPr>
                <w:spacing w:val="-10"/>
                <w:sz w:val="24"/>
                <w:szCs w:val="24"/>
              </w:rPr>
              <w:t>编 号 ：</w:t>
            </w:r>
            <w:r>
              <w:rPr>
                <w:sz w:val="24"/>
                <w:szCs w:val="24"/>
              </w:rPr>
              <w:t xml:space="preserve"> </w:t>
            </w:r>
            <w:r>
              <w:rPr>
                <w:rFonts w:ascii="Times New Roman" w:hAnsi="Times New Roman" w:eastAsia="Times New Roman" w:cs="Times New Roman"/>
                <w:spacing w:val="-2"/>
                <w:sz w:val="24"/>
                <w:szCs w:val="24"/>
              </w:rPr>
              <w:t>WHAD-WH2023005O-P2201-01</w:t>
            </w:r>
            <w:r>
              <w:rPr>
                <w:spacing w:val="-2"/>
                <w:sz w:val="24"/>
                <w:szCs w:val="24"/>
              </w:rPr>
              <w:t>）、《</w:t>
            </w:r>
            <w:r>
              <w:rPr>
                <w:rFonts w:ascii="Times New Roman" w:hAnsi="Times New Roman" w:eastAsia="Times New Roman" w:cs="Times New Roman"/>
                <w:spacing w:val="-2"/>
                <w:sz w:val="24"/>
                <w:szCs w:val="24"/>
              </w:rPr>
              <w:t>110kV</w:t>
            </w:r>
            <w:r>
              <w:rPr>
                <w:rFonts w:ascii="Times New Roman" w:hAnsi="Times New Roman" w:eastAsia="Times New Roman" w:cs="Times New Roman"/>
                <w:spacing w:val="32"/>
                <w:sz w:val="24"/>
                <w:szCs w:val="24"/>
              </w:rPr>
              <w:t xml:space="preserve"> </w:t>
            </w:r>
            <w:r>
              <w:rPr>
                <w:spacing w:val="-2"/>
                <w:sz w:val="24"/>
                <w:szCs w:val="24"/>
              </w:rPr>
              <w:t>嵩杨牵线</w:t>
            </w:r>
            <w:r>
              <w:rPr>
                <w:spacing w:val="-39"/>
                <w:sz w:val="24"/>
                <w:szCs w:val="24"/>
              </w:rPr>
              <w:t xml:space="preserve"> </w:t>
            </w:r>
            <w:r>
              <w:rPr>
                <w:rFonts w:ascii="Times New Roman" w:hAnsi="Times New Roman" w:eastAsia="Times New Roman" w:cs="Times New Roman"/>
                <w:spacing w:val="-2"/>
                <w:sz w:val="24"/>
                <w:szCs w:val="24"/>
              </w:rPr>
              <w:t>54#-55#</w:t>
            </w:r>
            <w:r>
              <w:rPr>
                <w:spacing w:val="-2"/>
                <w:sz w:val="24"/>
                <w:szCs w:val="24"/>
              </w:rPr>
              <w:t xml:space="preserve">和 </w:t>
            </w:r>
            <w:r>
              <w:rPr>
                <w:rFonts w:ascii="Times New Roman" w:hAnsi="Times New Roman" w:eastAsia="Times New Roman" w:cs="Times New Roman"/>
                <w:spacing w:val="-2"/>
                <w:sz w:val="24"/>
                <w:szCs w:val="24"/>
              </w:rPr>
              <w:t>110kV</w:t>
            </w:r>
            <w:r>
              <w:rPr>
                <w:rFonts w:ascii="Times New Roman" w:hAnsi="Times New Roman" w:eastAsia="Times New Roman" w:cs="Times New Roman"/>
                <w:spacing w:val="20"/>
                <w:w w:val="101"/>
                <w:sz w:val="24"/>
                <w:szCs w:val="24"/>
              </w:rPr>
              <w:t xml:space="preserve"> </w:t>
            </w:r>
            <w:r>
              <w:rPr>
                <w:spacing w:val="-2"/>
                <w:sz w:val="24"/>
                <w:szCs w:val="24"/>
              </w:rPr>
              <w:t>杨牵</w:t>
            </w:r>
            <w:r>
              <w:rPr>
                <w:spacing w:val="-58"/>
                <w:sz w:val="24"/>
                <w:szCs w:val="24"/>
              </w:rPr>
              <w:t xml:space="preserve"> </w:t>
            </w:r>
            <w:r>
              <w:rPr>
                <w:spacing w:val="-3"/>
                <w:sz w:val="24"/>
                <w:szCs w:val="24"/>
              </w:rPr>
              <w:t>Ⅱ</w:t>
            </w:r>
            <w:r>
              <w:rPr>
                <w:spacing w:val="-77"/>
                <w:sz w:val="24"/>
                <w:szCs w:val="24"/>
              </w:rPr>
              <w:t xml:space="preserve"> </w:t>
            </w:r>
            <w:r>
              <w:rPr>
                <w:spacing w:val="-3"/>
                <w:sz w:val="24"/>
                <w:szCs w:val="24"/>
              </w:rPr>
              <w:t>回</w:t>
            </w:r>
            <w:r>
              <w:rPr>
                <w:rFonts w:ascii="Times New Roman" w:hAnsi="Times New Roman" w:eastAsia="Times New Roman" w:cs="Times New Roman"/>
                <w:spacing w:val="-10"/>
                <w:sz w:val="24"/>
                <w:szCs w:val="24"/>
              </w:rPr>
              <w:t>004#-003#</w:t>
            </w:r>
            <w:r>
              <w:rPr>
                <w:rFonts w:ascii="Times New Roman" w:hAnsi="Times New Roman" w:eastAsia="Times New Roman" w:cs="Times New Roman"/>
                <w:spacing w:val="24"/>
                <w:sz w:val="24"/>
                <w:szCs w:val="24"/>
              </w:rPr>
              <w:t xml:space="preserve">  </w:t>
            </w:r>
            <w:r>
              <w:rPr>
                <w:spacing w:val="-10"/>
                <w:sz w:val="24"/>
                <w:szCs w:val="24"/>
              </w:rPr>
              <w:t>双</w:t>
            </w:r>
            <w:r>
              <w:rPr>
                <w:spacing w:val="71"/>
                <w:sz w:val="24"/>
                <w:szCs w:val="24"/>
              </w:rPr>
              <w:t xml:space="preserve"> </w:t>
            </w:r>
            <w:r>
              <w:rPr>
                <w:spacing w:val="-10"/>
                <w:sz w:val="24"/>
                <w:szCs w:val="24"/>
              </w:rPr>
              <w:t>回</w:t>
            </w:r>
            <w:r>
              <w:rPr>
                <w:spacing w:val="50"/>
                <w:sz w:val="24"/>
                <w:szCs w:val="24"/>
              </w:rPr>
              <w:t xml:space="preserve"> </w:t>
            </w:r>
            <w:r>
              <w:rPr>
                <w:spacing w:val="-10"/>
                <w:sz w:val="24"/>
                <w:szCs w:val="24"/>
              </w:rPr>
              <w:t>线</w:t>
            </w:r>
            <w:r>
              <w:rPr>
                <w:spacing w:val="52"/>
                <w:sz w:val="24"/>
                <w:szCs w:val="24"/>
              </w:rPr>
              <w:t xml:space="preserve"> </w:t>
            </w:r>
            <w:r>
              <w:rPr>
                <w:spacing w:val="-10"/>
                <w:sz w:val="24"/>
                <w:szCs w:val="24"/>
              </w:rPr>
              <w:t>路</w:t>
            </w:r>
            <w:r>
              <w:rPr>
                <w:spacing w:val="76"/>
                <w:sz w:val="24"/>
                <w:szCs w:val="24"/>
              </w:rPr>
              <w:t xml:space="preserve"> </w:t>
            </w:r>
            <w:r>
              <w:rPr>
                <w:spacing w:val="-10"/>
                <w:sz w:val="24"/>
                <w:szCs w:val="24"/>
              </w:rPr>
              <w:t>电</w:t>
            </w:r>
            <w:r>
              <w:rPr>
                <w:spacing w:val="48"/>
                <w:sz w:val="24"/>
                <w:szCs w:val="24"/>
              </w:rPr>
              <w:t xml:space="preserve"> </w:t>
            </w:r>
            <w:r>
              <w:rPr>
                <w:spacing w:val="-10"/>
                <w:sz w:val="24"/>
                <w:szCs w:val="24"/>
              </w:rPr>
              <w:t>磁</w:t>
            </w:r>
            <w:r>
              <w:rPr>
                <w:spacing w:val="47"/>
                <w:sz w:val="24"/>
                <w:szCs w:val="24"/>
              </w:rPr>
              <w:t xml:space="preserve"> </w:t>
            </w:r>
            <w:r>
              <w:rPr>
                <w:spacing w:val="-10"/>
                <w:sz w:val="24"/>
                <w:szCs w:val="24"/>
              </w:rPr>
              <w:t>及</w:t>
            </w:r>
            <w:r>
              <w:rPr>
                <w:spacing w:val="52"/>
                <w:sz w:val="24"/>
                <w:szCs w:val="24"/>
              </w:rPr>
              <w:t xml:space="preserve"> </w:t>
            </w:r>
            <w:r>
              <w:rPr>
                <w:spacing w:val="-10"/>
                <w:sz w:val="24"/>
                <w:szCs w:val="24"/>
              </w:rPr>
              <w:t>声</w:t>
            </w:r>
            <w:r>
              <w:rPr>
                <w:spacing w:val="48"/>
                <w:sz w:val="24"/>
                <w:szCs w:val="24"/>
              </w:rPr>
              <w:t xml:space="preserve"> </w:t>
            </w:r>
            <w:r>
              <w:rPr>
                <w:spacing w:val="-10"/>
                <w:sz w:val="24"/>
                <w:szCs w:val="24"/>
              </w:rPr>
              <w:t>环</w:t>
            </w:r>
            <w:r>
              <w:rPr>
                <w:spacing w:val="51"/>
                <w:sz w:val="24"/>
                <w:szCs w:val="24"/>
              </w:rPr>
              <w:t xml:space="preserve"> </w:t>
            </w:r>
            <w:r>
              <w:rPr>
                <w:spacing w:val="-10"/>
                <w:sz w:val="24"/>
                <w:szCs w:val="24"/>
              </w:rPr>
              <w:t>境</w:t>
            </w:r>
            <w:r>
              <w:rPr>
                <w:spacing w:val="49"/>
                <w:sz w:val="24"/>
                <w:szCs w:val="24"/>
              </w:rPr>
              <w:t xml:space="preserve"> </w:t>
            </w:r>
            <w:r>
              <w:rPr>
                <w:spacing w:val="-10"/>
                <w:sz w:val="24"/>
                <w:szCs w:val="24"/>
              </w:rPr>
              <w:t>现</w:t>
            </w:r>
            <w:r>
              <w:rPr>
                <w:spacing w:val="48"/>
                <w:sz w:val="24"/>
                <w:szCs w:val="24"/>
              </w:rPr>
              <w:t xml:space="preserve"> </w:t>
            </w:r>
            <w:r>
              <w:rPr>
                <w:spacing w:val="-10"/>
                <w:sz w:val="24"/>
                <w:szCs w:val="24"/>
              </w:rPr>
              <w:t>状</w:t>
            </w:r>
            <w:r>
              <w:rPr>
                <w:spacing w:val="49"/>
                <w:sz w:val="24"/>
                <w:szCs w:val="24"/>
              </w:rPr>
              <w:t xml:space="preserve"> </w:t>
            </w:r>
            <w:r>
              <w:rPr>
                <w:spacing w:val="-11"/>
                <w:sz w:val="24"/>
                <w:szCs w:val="24"/>
              </w:rPr>
              <w:t>监</w:t>
            </w:r>
            <w:r>
              <w:rPr>
                <w:spacing w:val="51"/>
                <w:sz w:val="24"/>
                <w:szCs w:val="24"/>
              </w:rPr>
              <w:t xml:space="preserve"> </w:t>
            </w:r>
            <w:r>
              <w:rPr>
                <w:spacing w:val="-11"/>
                <w:sz w:val="24"/>
                <w:szCs w:val="24"/>
              </w:rPr>
              <w:t>测</w:t>
            </w:r>
            <w:r>
              <w:rPr>
                <w:spacing w:val="61"/>
                <w:sz w:val="24"/>
                <w:szCs w:val="24"/>
              </w:rPr>
              <w:t xml:space="preserve"> </w:t>
            </w:r>
            <w:r>
              <w:rPr>
                <w:spacing w:val="-11"/>
                <w:sz w:val="24"/>
                <w:szCs w:val="24"/>
              </w:rPr>
              <w:t>》</w:t>
            </w:r>
            <w:r>
              <w:rPr>
                <w:spacing w:val="38"/>
                <w:sz w:val="24"/>
                <w:szCs w:val="24"/>
              </w:rPr>
              <w:t xml:space="preserve"> </w:t>
            </w:r>
            <w:r>
              <w:rPr>
                <w:spacing w:val="-11"/>
                <w:sz w:val="24"/>
                <w:szCs w:val="24"/>
              </w:rPr>
              <w:t>（</w:t>
            </w:r>
            <w:r>
              <w:rPr>
                <w:spacing w:val="84"/>
                <w:sz w:val="24"/>
                <w:szCs w:val="24"/>
              </w:rPr>
              <w:t xml:space="preserve"> </w:t>
            </w:r>
            <w:r>
              <w:rPr>
                <w:spacing w:val="-11"/>
                <w:sz w:val="24"/>
                <w:szCs w:val="24"/>
              </w:rPr>
              <w:t>编</w:t>
            </w:r>
            <w:r>
              <w:rPr>
                <w:spacing w:val="54"/>
                <w:sz w:val="24"/>
                <w:szCs w:val="24"/>
              </w:rPr>
              <w:t xml:space="preserve"> </w:t>
            </w:r>
            <w:r>
              <w:rPr>
                <w:spacing w:val="-11"/>
                <w:sz w:val="24"/>
                <w:szCs w:val="24"/>
              </w:rPr>
              <w:t>号</w:t>
            </w:r>
            <w:r>
              <w:rPr>
                <w:spacing w:val="70"/>
                <w:sz w:val="24"/>
                <w:szCs w:val="24"/>
              </w:rPr>
              <w:t xml:space="preserve"> </w:t>
            </w:r>
            <w:r>
              <w:rPr>
                <w:spacing w:val="-11"/>
                <w:sz w:val="24"/>
                <w:szCs w:val="24"/>
              </w:rPr>
              <w:t>：</w:t>
            </w:r>
            <w:r>
              <w:rPr>
                <w:sz w:val="24"/>
                <w:szCs w:val="24"/>
              </w:rPr>
              <w:t xml:space="preserve"> </w:t>
            </w:r>
            <w:r>
              <w:rPr>
                <w:rFonts w:ascii="Times New Roman" w:hAnsi="Times New Roman" w:eastAsia="Times New Roman" w:cs="Times New Roman"/>
                <w:spacing w:val="-1"/>
                <w:sz w:val="24"/>
                <w:szCs w:val="24"/>
              </w:rPr>
              <w:t>WHAD-WH2023006O-P2201-01</w:t>
            </w:r>
            <w:r>
              <w:rPr>
                <w:spacing w:val="9"/>
                <w:sz w:val="24"/>
                <w:szCs w:val="24"/>
              </w:rPr>
              <w:t>））</w:t>
            </w:r>
            <w:r>
              <w:rPr>
                <w:spacing w:val="-1"/>
                <w:sz w:val="24"/>
                <w:szCs w:val="24"/>
              </w:rPr>
              <w:t>。</w:t>
            </w:r>
          </w:p>
          <w:p w14:paraId="2708541B">
            <w:pPr>
              <w:pStyle w:val="6"/>
              <w:spacing w:line="219" w:lineRule="auto"/>
              <w:ind w:left="583"/>
              <w:rPr>
                <w:sz w:val="24"/>
                <w:szCs w:val="24"/>
              </w:rPr>
            </w:pPr>
            <w:r>
              <w:rPr>
                <w:rFonts w:ascii="Times New Roman" w:hAnsi="Times New Roman" w:eastAsia="Times New Roman" w:cs="Times New Roman"/>
                <w:spacing w:val="-1"/>
                <w:sz w:val="24"/>
                <w:szCs w:val="24"/>
              </w:rPr>
              <w:t>2</w:t>
            </w:r>
            <w:r>
              <w:rPr>
                <w:spacing w:val="-1"/>
                <w:sz w:val="24"/>
                <w:szCs w:val="24"/>
              </w:rPr>
              <w:t>）类比条件分析</w:t>
            </w:r>
          </w:p>
          <w:p w14:paraId="34AEAB44">
            <w:pPr>
              <w:pStyle w:val="6"/>
              <w:spacing w:before="183" w:line="219" w:lineRule="auto"/>
              <w:ind w:left="591"/>
              <w:rPr>
                <w:sz w:val="24"/>
                <w:szCs w:val="24"/>
              </w:rPr>
            </w:pPr>
            <w:r>
              <w:rPr>
                <w:spacing w:val="-1"/>
                <w:sz w:val="24"/>
                <w:szCs w:val="24"/>
              </w:rPr>
              <w:t>项目输电线路与类比线路相关参数的比较见下表。</w:t>
            </w:r>
          </w:p>
          <w:p w14:paraId="1D28A05B">
            <w:pPr>
              <w:pStyle w:val="6"/>
              <w:spacing w:before="177" w:line="206" w:lineRule="auto"/>
              <w:ind w:left="2328"/>
            </w:pPr>
            <w:r>
              <w:rPr>
                <w:b/>
                <w:bCs/>
                <w:spacing w:val="5"/>
              </w:rPr>
              <w:t>表</w:t>
            </w:r>
            <w:r>
              <w:rPr>
                <w:spacing w:val="-24"/>
              </w:rPr>
              <w:t xml:space="preserve"> </w:t>
            </w:r>
            <w:r>
              <w:rPr>
                <w:b/>
                <w:bCs/>
                <w:spacing w:val="5"/>
              </w:rPr>
              <w:t>4-9</w:t>
            </w:r>
            <w:r>
              <w:rPr>
                <w:spacing w:val="5"/>
              </w:rPr>
              <w:t xml:space="preserve">  </w:t>
            </w:r>
            <w:r>
              <w:rPr>
                <w:b/>
                <w:bCs/>
                <w:spacing w:val="5"/>
              </w:rPr>
              <w:t>本项目与</w:t>
            </w:r>
            <w:r>
              <w:rPr>
                <w:spacing w:val="-33"/>
              </w:rPr>
              <w:t xml:space="preserve"> </w:t>
            </w:r>
            <w:r>
              <w:rPr>
                <w:b/>
                <w:bCs/>
                <w:spacing w:val="5"/>
              </w:rPr>
              <w:t>110</w:t>
            </w:r>
            <w:r>
              <w:rPr>
                <w:b/>
                <w:bCs/>
              </w:rPr>
              <w:t>kV</w:t>
            </w:r>
            <w:r>
              <w:rPr>
                <w:spacing w:val="-39"/>
              </w:rPr>
              <w:t xml:space="preserve"> </w:t>
            </w:r>
            <w:r>
              <w:rPr>
                <w:b/>
                <w:bCs/>
                <w:spacing w:val="5"/>
              </w:rPr>
              <w:t>类比线路的类比分析</w:t>
            </w:r>
          </w:p>
        </w:tc>
      </w:tr>
      <w:tr w14:paraId="75C84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6" w:hRule="atLeast"/>
        </w:trPr>
        <w:tc>
          <w:tcPr>
            <w:tcW w:w="478" w:type="dxa"/>
            <w:vMerge w:val="continue"/>
            <w:tcBorders>
              <w:top w:val="nil"/>
              <w:left w:val="single" w:color="000000" w:sz="6" w:space="0"/>
              <w:bottom w:val="nil"/>
            </w:tcBorders>
            <w:textDirection w:val="tbRlV"/>
            <w:vAlign w:val="top"/>
          </w:tcPr>
          <w:p w14:paraId="35407A6E">
            <w:pPr>
              <w:rPr>
                <w:rFonts w:ascii="Arial"/>
                <w:sz w:val="21"/>
              </w:rPr>
            </w:pPr>
          </w:p>
        </w:tc>
        <w:tc>
          <w:tcPr>
            <w:tcW w:w="217" w:type="dxa"/>
            <w:vMerge w:val="restart"/>
            <w:tcBorders>
              <w:top w:val="nil"/>
              <w:bottom w:val="nil"/>
            </w:tcBorders>
            <w:vAlign w:val="top"/>
          </w:tcPr>
          <w:p w14:paraId="15FF971C">
            <w:pPr>
              <w:rPr>
                <w:rFonts w:ascii="Arial"/>
                <w:sz w:val="21"/>
              </w:rPr>
            </w:pPr>
          </w:p>
        </w:tc>
        <w:tc>
          <w:tcPr>
            <w:tcW w:w="1379" w:type="dxa"/>
            <w:vAlign w:val="top"/>
          </w:tcPr>
          <w:p w14:paraId="45A3344D">
            <w:pPr>
              <w:spacing w:line="283" w:lineRule="auto"/>
              <w:rPr>
                <w:rFonts w:ascii="Arial"/>
                <w:sz w:val="21"/>
              </w:rPr>
            </w:pPr>
          </w:p>
          <w:p w14:paraId="3ABED0BF">
            <w:pPr>
              <w:pStyle w:val="6"/>
              <w:spacing w:before="65" w:line="228" w:lineRule="auto"/>
              <w:ind w:left="269"/>
            </w:pPr>
            <w:r>
              <w:rPr>
                <w:b/>
                <w:bCs/>
                <w:spacing w:val="5"/>
              </w:rPr>
              <w:t>项目名称</w:t>
            </w:r>
          </w:p>
        </w:tc>
        <w:tc>
          <w:tcPr>
            <w:tcW w:w="1792" w:type="dxa"/>
            <w:vAlign w:val="top"/>
          </w:tcPr>
          <w:p w14:paraId="793A3586">
            <w:pPr>
              <w:pStyle w:val="6"/>
              <w:spacing w:before="213" w:line="254" w:lineRule="auto"/>
              <w:ind w:left="689" w:right="32" w:hanging="656"/>
            </w:pPr>
            <w:r>
              <w:rPr>
                <w:b/>
                <w:bCs/>
                <w:spacing w:val="8"/>
              </w:rPr>
              <w:t>本项目</w:t>
            </w:r>
            <w:r>
              <w:rPr>
                <w:spacing w:val="-30"/>
              </w:rPr>
              <w:t xml:space="preserve"> </w:t>
            </w:r>
            <w:r>
              <w:rPr>
                <w:b/>
                <w:bCs/>
                <w:spacing w:val="8"/>
              </w:rPr>
              <w:t>110</w:t>
            </w:r>
            <w:r>
              <w:rPr>
                <w:b/>
                <w:bCs/>
              </w:rPr>
              <w:t>kV</w:t>
            </w:r>
            <w:r>
              <w:rPr>
                <w:spacing w:val="-35"/>
              </w:rPr>
              <w:t xml:space="preserve"> </w:t>
            </w:r>
            <w:r>
              <w:rPr>
                <w:b/>
                <w:bCs/>
                <w:spacing w:val="8"/>
              </w:rPr>
              <w:t>单回</w:t>
            </w:r>
            <w:r>
              <w:rPr>
                <w:b/>
                <w:bCs/>
                <w:spacing w:val="2"/>
              </w:rPr>
              <w:t>线路</w:t>
            </w:r>
          </w:p>
        </w:tc>
        <w:tc>
          <w:tcPr>
            <w:tcW w:w="1746" w:type="dxa"/>
            <w:vAlign w:val="top"/>
          </w:tcPr>
          <w:p w14:paraId="00ED3BDF">
            <w:pPr>
              <w:pStyle w:val="6"/>
              <w:spacing w:before="213" w:line="254" w:lineRule="auto"/>
              <w:ind w:left="45" w:right="46" w:firstLine="103"/>
            </w:pPr>
            <w:r>
              <w:rPr>
                <w:b/>
                <w:bCs/>
                <w:spacing w:val="10"/>
              </w:rPr>
              <w:t>110</w:t>
            </w:r>
            <w:r>
              <w:rPr>
                <w:b/>
                <w:bCs/>
              </w:rPr>
              <w:t>kV</w:t>
            </w:r>
            <w:r>
              <w:rPr>
                <w:spacing w:val="-38"/>
              </w:rPr>
              <w:t xml:space="preserve"> </w:t>
            </w:r>
            <w:r>
              <w:rPr>
                <w:b/>
                <w:bCs/>
                <w:spacing w:val="10"/>
              </w:rPr>
              <w:t>清中东线</w:t>
            </w:r>
            <w:r>
              <w:rPr>
                <w:b/>
                <w:bCs/>
                <w:spacing w:val="3"/>
              </w:rPr>
              <w:t>（单回类比线路）</w:t>
            </w:r>
          </w:p>
        </w:tc>
        <w:tc>
          <w:tcPr>
            <w:tcW w:w="1710" w:type="dxa"/>
            <w:vAlign w:val="top"/>
          </w:tcPr>
          <w:p w14:paraId="25E84C52">
            <w:pPr>
              <w:pStyle w:val="6"/>
              <w:spacing w:before="213" w:line="254" w:lineRule="auto"/>
              <w:ind w:left="651" w:hanging="643"/>
            </w:pPr>
            <w:r>
              <w:rPr>
                <w:b/>
                <w:bCs/>
                <w:spacing w:val="15"/>
              </w:rPr>
              <w:t>本项目110</w:t>
            </w:r>
            <w:r>
              <w:rPr>
                <w:b/>
                <w:bCs/>
              </w:rPr>
              <w:t>kV</w:t>
            </w:r>
            <w:r>
              <w:rPr>
                <w:spacing w:val="-46"/>
              </w:rPr>
              <w:t xml:space="preserve"> </w:t>
            </w:r>
            <w:r>
              <w:rPr>
                <w:b/>
                <w:bCs/>
                <w:spacing w:val="15"/>
              </w:rPr>
              <w:t>双回</w:t>
            </w:r>
            <w:r>
              <w:rPr>
                <w:b/>
                <w:bCs/>
                <w:spacing w:val="2"/>
              </w:rPr>
              <w:t>线路</w:t>
            </w:r>
          </w:p>
        </w:tc>
        <w:tc>
          <w:tcPr>
            <w:tcW w:w="1758" w:type="dxa"/>
            <w:vAlign w:val="top"/>
          </w:tcPr>
          <w:p w14:paraId="49AA9DDC">
            <w:pPr>
              <w:pStyle w:val="6"/>
              <w:spacing w:before="76" w:line="227" w:lineRule="auto"/>
              <w:ind w:left="55"/>
            </w:pPr>
            <w:r>
              <w:rPr>
                <w:b/>
                <w:bCs/>
                <w:spacing w:val="8"/>
              </w:rPr>
              <w:t>110</w:t>
            </w:r>
            <w:r>
              <w:rPr>
                <w:b/>
                <w:bCs/>
              </w:rPr>
              <w:t>kV</w:t>
            </w:r>
            <w:r>
              <w:rPr>
                <w:spacing w:val="-22"/>
              </w:rPr>
              <w:t xml:space="preserve"> </w:t>
            </w:r>
            <w:r>
              <w:rPr>
                <w:b/>
                <w:bCs/>
                <w:spacing w:val="8"/>
              </w:rPr>
              <w:t>嵩杨牵线和</w:t>
            </w:r>
          </w:p>
          <w:p w14:paraId="598D8B05">
            <w:pPr>
              <w:pStyle w:val="6"/>
              <w:spacing w:before="27" w:line="227" w:lineRule="auto"/>
              <w:jc w:val="right"/>
            </w:pPr>
            <w:r>
              <w:rPr>
                <w:b/>
                <w:bCs/>
                <w:spacing w:val="-5"/>
              </w:rPr>
              <w:t>110kV</w:t>
            </w:r>
            <w:r>
              <w:rPr>
                <w:spacing w:val="-34"/>
              </w:rPr>
              <w:t xml:space="preserve"> </w:t>
            </w:r>
            <w:r>
              <w:rPr>
                <w:b/>
                <w:bCs/>
                <w:spacing w:val="-5"/>
              </w:rPr>
              <w:t>杨牵聂回（双</w:t>
            </w:r>
          </w:p>
          <w:p w14:paraId="0261A86B">
            <w:pPr>
              <w:pStyle w:val="6"/>
              <w:spacing w:before="24" w:line="228" w:lineRule="auto"/>
              <w:ind w:left="279"/>
            </w:pPr>
            <w:r>
              <w:rPr>
                <w:b/>
                <w:bCs/>
                <w:spacing w:val="1"/>
              </w:rPr>
              <w:t>回类比线路）</w:t>
            </w:r>
          </w:p>
        </w:tc>
        <w:tc>
          <w:tcPr>
            <w:tcW w:w="227" w:type="dxa"/>
            <w:vMerge w:val="restart"/>
            <w:tcBorders>
              <w:top w:val="nil"/>
              <w:bottom w:val="nil"/>
              <w:right w:val="single" w:color="000000" w:sz="6" w:space="0"/>
            </w:tcBorders>
            <w:vAlign w:val="top"/>
          </w:tcPr>
          <w:p w14:paraId="717356F9">
            <w:pPr>
              <w:rPr>
                <w:rFonts w:ascii="Arial"/>
                <w:sz w:val="21"/>
              </w:rPr>
            </w:pPr>
          </w:p>
        </w:tc>
      </w:tr>
      <w:tr w14:paraId="09025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478" w:type="dxa"/>
            <w:vMerge w:val="continue"/>
            <w:tcBorders>
              <w:top w:val="nil"/>
              <w:left w:val="single" w:color="000000" w:sz="6" w:space="0"/>
              <w:bottom w:val="nil"/>
            </w:tcBorders>
            <w:textDirection w:val="tbRlV"/>
            <w:vAlign w:val="top"/>
          </w:tcPr>
          <w:p w14:paraId="704F0826">
            <w:pPr>
              <w:rPr>
                <w:rFonts w:ascii="Arial"/>
                <w:sz w:val="21"/>
              </w:rPr>
            </w:pPr>
          </w:p>
        </w:tc>
        <w:tc>
          <w:tcPr>
            <w:tcW w:w="217" w:type="dxa"/>
            <w:vMerge w:val="continue"/>
            <w:tcBorders>
              <w:top w:val="nil"/>
              <w:bottom w:val="nil"/>
            </w:tcBorders>
            <w:vAlign w:val="top"/>
          </w:tcPr>
          <w:p w14:paraId="73FD9653">
            <w:pPr>
              <w:rPr>
                <w:rFonts w:ascii="Arial"/>
                <w:sz w:val="21"/>
              </w:rPr>
            </w:pPr>
          </w:p>
        </w:tc>
        <w:tc>
          <w:tcPr>
            <w:tcW w:w="1379" w:type="dxa"/>
            <w:vAlign w:val="top"/>
          </w:tcPr>
          <w:p w14:paraId="1EEB66A9">
            <w:pPr>
              <w:pStyle w:val="6"/>
              <w:spacing w:before="56" w:line="220" w:lineRule="auto"/>
              <w:ind w:left="271"/>
            </w:pPr>
            <w:r>
              <w:rPr>
                <w:spacing w:val="6"/>
              </w:rPr>
              <w:t>线路回数</w:t>
            </w:r>
          </w:p>
        </w:tc>
        <w:tc>
          <w:tcPr>
            <w:tcW w:w="1792" w:type="dxa"/>
            <w:vAlign w:val="top"/>
          </w:tcPr>
          <w:p w14:paraId="0846F0DD">
            <w:pPr>
              <w:pStyle w:val="6"/>
              <w:spacing w:before="56" w:line="220" w:lineRule="auto"/>
              <w:ind w:left="730"/>
            </w:pPr>
            <w:r>
              <w:rPr>
                <w:rFonts w:ascii="Times New Roman" w:hAnsi="Times New Roman" w:eastAsia="Times New Roman" w:cs="Times New Roman"/>
                <w:spacing w:val="-10"/>
              </w:rPr>
              <w:t>1</w:t>
            </w:r>
            <w:r>
              <w:rPr>
                <w:rFonts w:ascii="Times New Roman" w:hAnsi="Times New Roman" w:eastAsia="Times New Roman" w:cs="Times New Roman"/>
                <w:spacing w:val="30"/>
              </w:rPr>
              <w:t xml:space="preserve"> </w:t>
            </w:r>
            <w:r>
              <w:rPr>
                <w:spacing w:val="-10"/>
              </w:rPr>
              <w:t>回</w:t>
            </w:r>
          </w:p>
        </w:tc>
        <w:tc>
          <w:tcPr>
            <w:tcW w:w="1746" w:type="dxa"/>
            <w:vAlign w:val="top"/>
          </w:tcPr>
          <w:p w14:paraId="34ECE993">
            <w:pPr>
              <w:pStyle w:val="6"/>
              <w:spacing w:before="56" w:line="220" w:lineRule="auto"/>
              <w:ind w:left="709"/>
            </w:pPr>
            <w:r>
              <w:rPr>
                <w:rFonts w:ascii="Times New Roman" w:hAnsi="Times New Roman" w:eastAsia="Times New Roman" w:cs="Times New Roman"/>
                <w:spacing w:val="-10"/>
              </w:rPr>
              <w:t>1</w:t>
            </w:r>
            <w:r>
              <w:rPr>
                <w:rFonts w:ascii="Times New Roman" w:hAnsi="Times New Roman" w:eastAsia="Times New Roman" w:cs="Times New Roman"/>
                <w:spacing w:val="32"/>
                <w:w w:val="101"/>
              </w:rPr>
              <w:t xml:space="preserve"> </w:t>
            </w:r>
            <w:r>
              <w:rPr>
                <w:spacing w:val="-10"/>
              </w:rPr>
              <w:t>回</w:t>
            </w:r>
          </w:p>
        </w:tc>
        <w:tc>
          <w:tcPr>
            <w:tcW w:w="1710" w:type="dxa"/>
            <w:vAlign w:val="top"/>
          </w:tcPr>
          <w:p w14:paraId="6525ECBA">
            <w:pPr>
              <w:pStyle w:val="6"/>
              <w:spacing w:before="56" w:line="220" w:lineRule="auto"/>
              <w:ind w:left="673"/>
            </w:pPr>
            <w:r>
              <w:rPr>
                <w:rFonts w:ascii="Times New Roman" w:hAnsi="Times New Roman" w:eastAsia="Times New Roman" w:cs="Times New Roman"/>
              </w:rPr>
              <w:t>2</w:t>
            </w:r>
            <w:r>
              <w:rPr>
                <w:rFonts w:ascii="Times New Roman" w:hAnsi="Times New Roman" w:eastAsia="Times New Roman" w:cs="Times New Roman"/>
                <w:spacing w:val="32"/>
                <w:w w:val="101"/>
              </w:rPr>
              <w:t xml:space="preserve"> </w:t>
            </w:r>
            <w:r>
              <w:t>回</w:t>
            </w:r>
          </w:p>
        </w:tc>
        <w:tc>
          <w:tcPr>
            <w:tcW w:w="1758" w:type="dxa"/>
            <w:vAlign w:val="top"/>
          </w:tcPr>
          <w:p w14:paraId="2ECC1973">
            <w:pPr>
              <w:pStyle w:val="6"/>
              <w:spacing w:before="56" w:line="220" w:lineRule="auto"/>
              <w:ind w:left="701"/>
            </w:pPr>
            <w:r>
              <w:rPr>
                <w:rFonts w:ascii="Times New Roman" w:hAnsi="Times New Roman" w:eastAsia="Times New Roman" w:cs="Times New Roman"/>
              </w:rPr>
              <w:t>2</w:t>
            </w:r>
            <w:r>
              <w:rPr>
                <w:rFonts w:ascii="Times New Roman" w:hAnsi="Times New Roman" w:eastAsia="Times New Roman" w:cs="Times New Roman"/>
                <w:spacing w:val="32"/>
                <w:w w:val="101"/>
              </w:rPr>
              <w:t xml:space="preserve"> </w:t>
            </w:r>
            <w:r>
              <w:t>回</w:t>
            </w:r>
          </w:p>
        </w:tc>
        <w:tc>
          <w:tcPr>
            <w:tcW w:w="227" w:type="dxa"/>
            <w:vMerge w:val="continue"/>
            <w:tcBorders>
              <w:top w:val="nil"/>
              <w:bottom w:val="nil"/>
              <w:right w:val="single" w:color="000000" w:sz="6" w:space="0"/>
            </w:tcBorders>
            <w:vAlign w:val="top"/>
          </w:tcPr>
          <w:p w14:paraId="49AF1626">
            <w:pPr>
              <w:rPr>
                <w:rFonts w:ascii="Arial"/>
                <w:sz w:val="21"/>
              </w:rPr>
            </w:pPr>
          </w:p>
        </w:tc>
      </w:tr>
      <w:tr w14:paraId="296769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478" w:type="dxa"/>
            <w:vMerge w:val="continue"/>
            <w:tcBorders>
              <w:top w:val="nil"/>
              <w:left w:val="single" w:color="000000" w:sz="6" w:space="0"/>
              <w:bottom w:val="nil"/>
            </w:tcBorders>
            <w:textDirection w:val="tbRlV"/>
            <w:vAlign w:val="top"/>
          </w:tcPr>
          <w:p w14:paraId="33AFBDCB">
            <w:pPr>
              <w:rPr>
                <w:rFonts w:ascii="Arial"/>
                <w:sz w:val="21"/>
              </w:rPr>
            </w:pPr>
          </w:p>
        </w:tc>
        <w:tc>
          <w:tcPr>
            <w:tcW w:w="217" w:type="dxa"/>
            <w:vMerge w:val="continue"/>
            <w:tcBorders>
              <w:top w:val="nil"/>
              <w:bottom w:val="nil"/>
            </w:tcBorders>
            <w:vAlign w:val="top"/>
          </w:tcPr>
          <w:p w14:paraId="264FE13A">
            <w:pPr>
              <w:rPr>
                <w:rFonts w:ascii="Arial"/>
                <w:sz w:val="21"/>
              </w:rPr>
            </w:pPr>
          </w:p>
        </w:tc>
        <w:tc>
          <w:tcPr>
            <w:tcW w:w="1379" w:type="dxa"/>
            <w:vAlign w:val="top"/>
          </w:tcPr>
          <w:p w14:paraId="668CD2C9">
            <w:pPr>
              <w:pStyle w:val="6"/>
              <w:spacing w:before="202" w:line="228" w:lineRule="auto"/>
              <w:jc w:val="right"/>
            </w:pPr>
            <w:r>
              <w:rPr>
                <w:spacing w:val="-12"/>
              </w:rPr>
              <w:t>电压等级（</w:t>
            </w:r>
            <w:r>
              <w:rPr>
                <w:rFonts w:ascii="Times New Roman" w:hAnsi="Times New Roman" w:eastAsia="Times New Roman" w:cs="Times New Roman"/>
                <w:spacing w:val="-12"/>
              </w:rPr>
              <w:t>kV</w:t>
            </w:r>
            <w:r>
              <w:rPr>
                <w:spacing w:val="-12"/>
              </w:rPr>
              <w:t>）</w:t>
            </w:r>
          </w:p>
        </w:tc>
        <w:tc>
          <w:tcPr>
            <w:tcW w:w="1792" w:type="dxa"/>
            <w:vAlign w:val="top"/>
          </w:tcPr>
          <w:p w14:paraId="0A5E35E0">
            <w:pPr>
              <w:spacing w:before="238" w:line="195" w:lineRule="auto"/>
              <w:ind w:left="76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110</w:t>
            </w:r>
          </w:p>
        </w:tc>
        <w:tc>
          <w:tcPr>
            <w:tcW w:w="1746" w:type="dxa"/>
            <w:vAlign w:val="top"/>
          </w:tcPr>
          <w:p w14:paraId="412758D2">
            <w:pPr>
              <w:spacing w:before="238" w:line="195" w:lineRule="auto"/>
              <w:ind w:left="74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110</w:t>
            </w:r>
          </w:p>
        </w:tc>
        <w:tc>
          <w:tcPr>
            <w:tcW w:w="1710" w:type="dxa"/>
            <w:vAlign w:val="top"/>
          </w:tcPr>
          <w:p w14:paraId="0F0DEFB0">
            <w:pPr>
              <w:spacing w:before="238" w:line="195" w:lineRule="auto"/>
              <w:ind w:left="725"/>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110</w:t>
            </w:r>
          </w:p>
        </w:tc>
        <w:tc>
          <w:tcPr>
            <w:tcW w:w="1758" w:type="dxa"/>
            <w:vAlign w:val="top"/>
          </w:tcPr>
          <w:p w14:paraId="244949FA">
            <w:pPr>
              <w:spacing w:before="238" w:line="195" w:lineRule="auto"/>
              <w:ind w:left="75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110</w:t>
            </w:r>
          </w:p>
        </w:tc>
        <w:tc>
          <w:tcPr>
            <w:tcW w:w="227" w:type="dxa"/>
            <w:vMerge w:val="continue"/>
            <w:tcBorders>
              <w:top w:val="nil"/>
              <w:bottom w:val="nil"/>
              <w:right w:val="single" w:color="000000" w:sz="6" w:space="0"/>
            </w:tcBorders>
            <w:vAlign w:val="top"/>
          </w:tcPr>
          <w:p w14:paraId="19BAEB52">
            <w:pPr>
              <w:rPr>
                <w:rFonts w:ascii="Arial"/>
                <w:sz w:val="21"/>
              </w:rPr>
            </w:pPr>
          </w:p>
        </w:tc>
      </w:tr>
      <w:tr w14:paraId="6B7D6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478" w:type="dxa"/>
            <w:vMerge w:val="continue"/>
            <w:tcBorders>
              <w:top w:val="nil"/>
              <w:left w:val="single" w:color="000000" w:sz="6" w:space="0"/>
              <w:bottom w:val="nil"/>
            </w:tcBorders>
            <w:textDirection w:val="tbRlV"/>
            <w:vAlign w:val="top"/>
          </w:tcPr>
          <w:p w14:paraId="4D9F9160">
            <w:pPr>
              <w:rPr>
                <w:rFonts w:ascii="Arial"/>
                <w:sz w:val="21"/>
              </w:rPr>
            </w:pPr>
          </w:p>
        </w:tc>
        <w:tc>
          <w:tcPr>
            <w:tcW w:w="217" w:type="dxa"/>
            <w:vMerge w:val="continue"/>
            <w:tcBorders>
              <w:top w:val="nil"/>
              <w:bottom w:val="nil"/>
            </w:tcBorders>
            <w:vAlign w:val="top"/>
          </w:tcPr>
          <w:p w14:paraId="241FA351">
            <w:pPr>
              <w:rPr>
                <w:rFonts w:ascii="Arial"/>
                <w:sz w:val="21"/>
              </w:rPr>
            </w:pPr>
          </w:p>
        </w:tc>
        <w:tc>
          <w:tcPr>
            <w:tcW w:w="1379" w:type="dxa"/>
            <w:vAlign w:val="top"/>
          </w:tcPr>
          <w:p w14:paraId="5DC84B14">
            <w:pPr>
              <w:pStyle w:val="6"/>
              <w:spacing w:before="55" w:line="221" w:lineRule="auto"/>
              <w:ind w:left="268"/>
            </w:pPr>
            <w:r>
              <w:rPr>
                <w:spacing w:val="7"/>
              </w:rPr>
              <w:t>排列方式</w:t>
            </w:r>
          </w:p>
        </w:tc>
        <w:tc>
          <w:tcPr>
            <w:tcW w:w="1792" w:type="dxa"/>
            <w:vAlign w:val="top"/>
          </w:tcPr>
          <w:p w14:paraId="41945E95">
            <w:pPr>
              <w:pStyle w:val="6"/>
              <w:spacing w:before="55" w:line="221" w:lineRule="auto"/>
              <w:ind w:left="478"/>
            </w:pPr>
            <w:r>
              <w:rPr>
                <w:spacing w:val="7"/>
              </w:rPr>
              <w:t>三角排列</w:t>
            </w:r>
          </w:p>
        </w:tc>
        <w:tc>
          <w:tcPr>
            <w:tcW w:w="1746" w:type="dxa"/>
            <w:vAlign w:val="top"/>
          </w:tcPr>
          <w:p w14:paraId="73C3632B">
            <w:pPr>
              <w:pStyle w:val="6"/>
              <w:spacing w:before="55" w:line="221" w:lineRule="auto"/>
              <w:ind w:left="457"/>
            </w:pPr>
            <w:r>
              <w:rPr>
                <w:spacing w:val="7"/>
              </w:rPr>
              <w:t>三角排列</w:t>
            </w:r>
          </w:p>
        </w:tc>
        <w:tc>
          <w:tcPr>
            <w:tcW w:w="1710" w:type="dxa"/>
            <w:vAlign w:val="top"/>
          </w:tcPr>
          <w:p w14:paraId="01FAF3C3">
            <w:pPr>
              <w:pStyle w:val="6"/>
              <w:spacing w:before="55" w:line="221" w:lineRule="auto"/>
              <w:ind w:left="443"/>
            </w:pPr>
            <w:r>
              <w:rPr>
                <w:spacing w:val="7"/>
              </w:rPr>
              <w:t>垂直排列</w:t>
            </w:r>
          </w:p>
        </w:tc>
        <w:tc>
          <w:tcPr>
            <w:tcW w:w="1758" w:type="dxa"/>
            <w:vAlign w:val="top"/>
          </w:tcPr>
          <w:p w14:paraId="6307AD6F">
            <w:pPr>
              <w:pStyle w:val="6"/>
              <w:spacing w:before="55" w:line="221" w:lineRule="auto"/>
              <w:ind w:left="470"/>
            </w:pPr>
            <w:r>
              <w:rPr>
                <w:spacing w:val="7"/>
              </w:rPr>
              <w:t>垂直排列</w:t>
            </w:r>
          </w:p>
        </w:tc>
        <w:tc>
          <w:tcPr>
            <w:tcW w:w="227" w:type="dxa"/>
            <w:vMerge w:val="continue"/>
            <w:tcBorders>
              <w:top w:val="nil"/>
              <w:bottom w:val="nil"/>
              <w:right w:val="single" w:color="000000" w:sz="6" w:space="0"/>
            </w:tcBorders>
            <w:vAlign w:val="top"/>
          </w:tcPr>
          <w:p w14:paraId="1C3B78CF">
            <w:pPr>
              <w:rPr>
                <w:rFonts w:ascii="Arial"/>
                <w:sz w:val="21"/>
              </w:rPr>
            </w:pPr>
          </w:p>
        </w:tc>
      </w:tr>
      <w:tr w14:paraId="63416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478" w:type="dxa"/>
            <w:vMerge w:val="continue"/>
            <w:tcBorders>
              <w:top w:val="nil"/>
              <w:left w:val="single" w:color="000000" w:sz="6" w:space="0"/>
              <w:bottom w:val="nil"/>
            </w:tcBorders>
            <w:textDirection w:val="tbRlV"/>
            <w:vAlign w:val="top"/>
          </w:tcPr>
          <w:p w14:paraId="01D00005">
            <w:pPr>
              <w:rPr>
                <w:rFonts w:ascii="Arial"/>
                <w:sz w:val="21"/>
              </w:rPr>
            </w:pPr>
          </w:p>
        </w:tc>
        <w:tc>
          <w:tcPr>
            <w:tcW w:w="217" w:type="dxa"/>
            <w:vMerge w:val="continue"/>
            <w:tcBorders>
              <w:top w:val="nil"/>
              <w:bottom w:val="nil"/>
            </w:tcBorders>
            <w:vAlign w:val="top"/>
          </w:tcPr>
          <w:p w14:paraId="2CBCEABC">
            <w:pPr>
              <w:rPr>
                <w:rFonts w:ascii="Arial"/>
                <w:sz w:val="21"/>
              </w:rPr>
            </w:pPr>
          </w:p>
        </w:tc>
        <w:tc>
          <w:tcPr>
            <w:tcW w:w="1379" w:type="dxa"/>
            <w:vAlign w:val="top"/>
          </w:tcPr>
          <w:p w14:paraId="3B1838FF">
            <w:pPr>
              <w:pStyle w:val="6"/>
              <w:spacing w:before="175" w:line="228" w:lineRule="auto"/>
              <w:ind w:left="269"/>
            </w:pPr>
            <w:r>
              <w:rPr>
                <w:spacing w:val="7"/>
              </w:rPr>
              <w:t>架线形式</w:t>
            </w:r>
          </w:p>
        </w:tc>
        <w:tc>
          <w:tcPr>
            <w:tcW w:w="1792" w:type="dxa"/>
            <w:vAlign w:val="top"/>
          </w:tcPr>
          <w:p w14:paraId="40AD3F9D">
            <w:pPr>
              <w:pStyle w:val="6"/>
              <w:spacing w:before="175" w:line="228" w:lineRule="auto"/>
              <w:ind w:left="374"/>
            </w:pPr>
            <w:r>
              <w:rPr>
                <w:spacing w:val="7"/>
              </w:rPr>
              <w:t>单回路架设</w:t>
            </w:r>
          </w:p>
        </w:tc>
        <w:tc>
          <w:tcPr>
            <w:tcW w:w="1746" w:type="dxa"/>
            <w:vAlign w:val="top"/>
          </w:tcPr>
          <w:p w14:paraId="01FE518C">
            <w:pPr>
              <w:pStyle w:val="6"/>
              <w:spacing w:before="175" w:line="228" w:lineRule="auto"/>
              <w:ind w:left="354"/>
            </w:pPr>
            <w:r>
              <w:rPr>
                <w:spacing w:val="7"/>
              </w:rPr>
              <w:t>单回路架设</w:t>
            </w:r>
          </w:p>
        </w:tc>
        <w:tc>
          <w:tcPr>
            <w:tcW w:w="1710" w:type="dxa"/>
            <w:vAlign w:val="top"/>
          </w:tcPr>
          <w:p w14:paraId="3B74B61A">
            <w:pPr>
              <w:pStyle w:val="6"/>
              <w:spacing w:before="41" w:line="228" w:lineRule="auto"/>
              <w:ind w:left="42"/>
            </w:pPr>
            <w:r>
              <w:rPr>
                <w:spacing w:val="6"/>
              </w:rPr>
              <w:t>同塔双回（单回挂</w:t>
            </w:r>
          </w:p>
          <w:p w14:paraId="706FA78F">
            <w:pPr>
              <w:pStyle w:val="6"/>
              <w:spacing w:before="23" w:line="205" w:lineRule="auto"/>
              <w:ind w:left="656"/>
            </w:pPr>
            <w:r>
              <w:rPr>
                <w:spacing w:val="-1"/>
              </w:rPr>
              <w:t>线）</w:t>
            </w:r>
          </w:p>
        </w:tc>
        <w:tc>
          <w:tcPr>
            <w:tcW w:w="1758" w:type="dxa"/>
            <w:vAlign w:val="top"/>
          </w:tcPr>
          <w:p w14:paraId="766FCDFD">
            <w:pPr>
              <w:pStyle w:val="6"/>
              <w:spacing w:before="175" w:line="228" w:lineRule="auto"/>
              <w:ind w:left="279"/>
            </w:pPr>
            <w:r>
              <w:rPr>
                <w:spacing w:val="4"/>
              </w:rPr>
              <w:t>同塔双回架设</w:t>
            </w:r>
          </w:p>
        </w:tc>
        <w:tc>
          <w:tcPr>
            <w:tcW w:w="227" w:type="dxa"/>
            <w:vMerge w:val="continue"/>
            <w:tcBorders>
              <w:top w:val="nil"/>
              <w:bottom w:val="nil"/>
              <w:right w:val="single" w:color="000000" w:sz="6" w:space="0"/>
            </w:tcBorders>
            <w:vAlign w:val="top"/>
          </w:tcPr>
          <w:p w14:paraId="59EA4813">
            <w:pPr>
              <w:rPr>
                <w:rFonts w:ascii="Arial"/>
                <w:sz w:val="21"/>
              </w:rPr>
            </w:pPr>
          </w:p>
        </w:tc>
      </w:tr>
      <w:tr w14:paraId="1A835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478" w:type="dxa"/>
            <w:vMerge w:val="continue"/>
            <w:tcBorders>
              <w:top w:val="nil"/>
              <w:left w:val="single" w:color="000000" w:sz="6" w:space="0"/>
              <w:bottom w:val="nil"/>
            </w:tcBorders>
            <w:textDirection w:val="tbRlV"/>
            <w:vAlign w:val="top"/>
          </w:tcPr>
          <w:p w14:paraId="54F14380">
            <w:pPr>
              <w:rPr>
                <w:rFonts w:ascii="Arial"/>
                <w:sz w:val="21"/>
              </w:rPr>
            </w:pPr>
          </w:p>
        </w:tc>
        <w:tc>
          <w:tcPr>
            <w:tcW w:w="217" w:type="dxa"/>
            <w:vMerge w:val="continue"/>
            <w:tcBorders>
              <w:top w:val="nil"/>
              <w:bottom w:val="nil"/>
            </w:tcBorders>
            <w:vAlign w:val="top"/>
          </w:tcPr>
          <w:p w14:paraId="692A4753">
            <w:pPr>
              <w:rPr>
                <w:rFonts w:ascii="Arial"/>
                <w:sz w:val="21"/>
              </w:rPr>
            </w:pPr>
          </w:p>
        </w:tc>
        <w:tc>
          <w:tcPr>
            <w:tcW w:w="1379" w:type="dxa"/>
            <w:vAlign w:val="top"/>
          </w:tcPr>
          <w:p w14:paraId="50172A6E">
            <w:pPr>
              <w:spacing w:line="248" w:lineRule="auto"/>
              <w:rPr>
                <w:rFonts w:ascii="Arial"/>
                <w:sz w:val="21"/>
              </w:rPr>
            </w:pPr>
          </w:p>
          <w:p w14:paraId="2AFD9E1F">
            <w:pPr>
              <w:pStyle w:val="6"/>
              <w:spacing w:before="65" w:line="228" w:lineRule="auto"/>
              <w:ind w:left="269"/>
            </w:pPr>
            <w:r>
              <w:rPr>
                <w:spacing w:val="7"/>
              </w:rPr>
              <w:t>架线高度</w:t>
            </w:r>
          </w:p>
        </w:tc>
        <w:tc>
          <w:tcPr>
            <w:tcW w:w="1792" w:type="dxa"/>
            <w:vAlign w:val="top"/>
          </w:tcPr>
          <w:p w14:paraId="68E2FB78">
            <w:pPr>
              <w:pStyle w:val="6"/>
              <w:spacing w:before="41" w:line="227" w:lineRule="auto"/>
              <w:jc w:val="right"/>
              <w:rPr>
                <w:rFonts w:ascii="Times New Roman" w:hAnsi="Times New Roman" w:eastAsia="Times New Roman" w:cs="Times New Roman"/>
              </w:rPr>
            </w:pPr>
            <w:r>
              <w:rPr>
                <w:rFonts w:ascii="Times New Roman" w:hAnsi="Times New Roman" w:eastAsia="Times New Roman" w:cs="Times New Roman"/>
                <w:spacing w:val="2"/>
              </w:rPr>
              <w:t>20.4m</w:t>
            </w:r>
            <w:r>
              <w:rPr>
                <w:spacing w:val="2"/>
              </w:rPr>
              <w:t>（见附图</w:t>
            </w:r>
            <w:r>
              <w:rPr>
                <w:spacing w:val="-39"/>
              </w:rPr>
              <w:t xml:space="preserve"> </w:t>
            </w:r>
            <w:r>
              <w:rPr>
                <w:rFonts w:ascii="Times New Roman" w:hAnsi="Times New Roman" w:eastAsia="Times New Roman" w:cs="Times New Roman"/>
                <w:spacing w:val="2"/>
              </w:rPr>
              <w:t>23-</w:t>
            </w:r>
            <w:r>
              <w:rPr>
                <w:rFonts w:ascii="Times New Roman" w:hAnsi="Times New Roman" w:eastAsia="Times New Roman" w:cs="Times New Roman"/>
                <w:spacing w:val="-28"/>
              </w:rPr>
              <w:t xml:space="preserve"> </w:t>
            </w:r>
            <w:r>
              <w:rPr>
                <w:rFonts w:ascii="Times New Roman" w:hAnsi="Times New Roman" w:eastAsia="Times New Roman" w:cs="Times New Roman"/>
                <w:spacing w:val="2"/>
              </w:rPr>
              <w:t>1</w:t>
            </w:r>
          </w:p>
          <w:p w14:paraId="645F9304">
            <w:pPr>
              <w:pStyle w:val="6"/>
              <w:spacing w:before="27" w:line="227" w:lineRule="auto"/>
              <w:ind w:left="60"/>
            </w:pPr>
            <w:r>
              <w:rPr>
                <w:spacing w:val="8"/>
              </w:rPr>
              <w:t>单回线路平断面布</w:t>
            </w:r>
          </w:p>
          <w:p w14:paraId="7430AE0A">
            <w:pPr>
              <w:pStyle w:val="6"/>
              <w:spacing w:before="24" w:line="203" w:lineRule="auto"/>
              <w:ind w:left="580"/>
            </w:pPr>
            <w:r>
              <w:rPr>
                <w:spacing w:val="3"/>
              </w:rPr>
              <w:t>置图）</w:t>
            </w:r>
          </w:p>
        </w:tc>
        <w:tc>
          <w:tcPr>
            <w:tcW w:w="1746" w:type="dxa"/>
            <w:vAlign w:val="top"/>
          </w:tcPr>
          <w:p w14:paraId="5BDEC282">
            <w:pPr>
              <w:spacing w:line="291" w:lineRule="auto"/>
              <w:rPr>
                <w:rFonts w:ascii="Arial"/>
                <w:sz w:val="21"/>
              </w:rPr>
            </w:pPr>
          </w:p>
          <w:p w14:paraId="5C813516">
            <w:pPr>
              <w:spacing w:before="58" w:line="195" w:lineRule="auto"/>
              <w:ind w:left="627"/>
              <w:rPr>
                <w:rFonts w:ascii="Times New Roman" w:hAnsi="Times New Roman" w:eastAsia="Times New Roman" w:cs="Times New Roman"/>
                <w:sz w:val="20"/>
                <w:szCs w:val="20"/>
              </w:rPr>
            </w:pPr>
            <w:r>
              <w:rPr>
                <w:rFonts w:ascii="Times New Roman" w:hAnsi="Times New Roman" w:eastAsia="Times New Roman" w:cs="Times New Roman"/>
                <w:sz w:val="20"/>
                <w:szCs w:val="20"/>
              </w:rPr>
              <w:t>12.5m</w:t>
            </w:r>
          </w:p>
        </w:tc>
        <w:tc>
          <w:tcPr>
            <w:tcW w:w="1710" w:type="dxa"/>
            <w:vAlign w:val="top"/>
          </w:tcPr>
          <w:p w14:paraId="23DD05B9">
            <w:pPr>
              <w:pStyle w:val="6"/>
              <w:spacing w:before="41" w:line="227" w:lineRule="auto"/>
              <w:jc w:val="right"/>
              <w:rPr>
                <w:rFonts w:ascii="Times New Roman" w:hAnsi="Times New Roman" w:eastAsia="Times New Roman" w:cs="Times New Roman"/>
              </w:rPr>
            </w:pPr>
            <w:r>
              <w:rPr>
                <w:rFonts w:ascii="Times New Roman" w:hAnsi="Times New Roman" w:eastAsia="Times New Roman" w:cs="Times New Roman"/>
                <w:spacing w:val="-4"/>
              </w:rPr>
              <w:t>19.4m</w:t>
            </w:r>
            <w:r>
              <w:rPr>
                <w:spacing w:val="-4"/>
              </w:rPr>
              <w:t>（见附图</w:t>
            </w:r>
            <w:r>
              <w:rPr>
                <w:spacing w:val="-41"/>
              </w:rPr>
              <w:t xml:space="preserve"> </w:t>
            </w:r>
            <w:r>
              <w:rPr>
                <w:rFonts w:ascii="Times New Roman" w:hAnsi="Times New Roman" w:eastAsia="Times New Roman" w:cs="Times New Roman"/>
                <w:spacing w:val="-4"/>
              </w:rPr>
              <w:t>23-2</w:t>
            </w:r>
          </w:p>
          <w:p w14:paraId="44D16DD6">
            <w:pPr>
              <w:pStyle w:val="6"/>
              <w:spacing w:before="27" w:line="227" w:lineRule="auto"/>
              <w:ind w:left="22"/>
            </w:pPr>
            <w:r>
              <w:rPr>
                <w:spacing w:val="8"/>
              </w:rPr>
              <w:t>双回线路平断面布</w:t>
            </w:r>
          </w:p>
          <w:p w14:paraId="2C3DB20B">
            <w:pPr>
              <w:pStyle w:val="6"/>
              <w:spacing w:before="24" w:line="203" w:lineRule="auto"/>
              <w:ind w:left="546"/>
            </w:pPr>
            <w:r>
              <w:rPr>
                <w:spacing w:val="3"/>
              </w:rPr>
              <w:t>置图）</w:t>
            </w:r>
          </w:p>
        </w:tc>
        <w:tc>
          <w:tcPr>
            <w:tcW w:w="1758" w:type="dxa"/>
            <w:vAlign w:val="top"/>
          </w:tcPr>
          <w:p w14:paraId="623909DE">
            <w:pPr>
              <w:spacing w:line="291" w:lineRule="auto"/>
              <w:rPr>
                <w:rFonts w:ascii="Arial"/>
                <w:sz w:val="21"/>
              </w:rPr>
            </w:pPr>
          </w:p>
          <w:p w14:paraId="5C11AD22">
            <w:pPr>
              <w:spacing w:before="58" w:line="195" w:lineRule="auto"/>
              <w:ind w:left="639"/>
              <w:rPr>
                <w:rFonts w:ascii="Times New Roman" w:hAnsi="Times New Roman" w:eastAsia="Times New Roman" w:cs="Times New Roman"/>
                <w:sz w:val="20"/>
                <w:szCs w:val="20"/>
              </w:rPr>
            </w:pPr>
            <w:r>
              <w:rPr>
                <w:rFonts w:ascii="Times New Roman" w:hAnsi="Times New Roman" w:eastAsia="Times New Roman" w:cs="Times New Roman"/>
                <w:sz w:val="20"/>
                <w:szCs w:val="20"/>
              </w:rPr>
              <w:t>18.7m</w:t>
            </w:r>
          </w:p>
        </w:tc>
        <w:tc>
          <w:tcPr>
            <w:tcW w:w="227" w:type="dxa"/>
            <w:vMerge w:val="continue"/>
            <w:tcBorders>
              <w:top w:val="nil"/>
              <w:bottom w:val="nil"/>
              <w:right w:val="single" w:color="000000" w:sz="6" w:space="0"/>
            </w:tcBorders>
            <w:vAlign w:val="top"/>
          </w:tcPr>
          <w:p w14:paraId="00A30670">
            <w:pPr>
              <w:rPr>
                <w:rFonts w:ascii="Arial"/>
                <w:sz w:val="21"/>
              </w:rPr>
            </w:pPr>
          </w:p>
        </w:tc>
      </w:tr>
      <w:tr w14:paraId="7C71A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478" w:type="dxa"/>
            <w:vMerge w:val="continue"/>
            <w:tcBorders>
              <w:top w:val="nil"/>
              <w:left w:val="single" w:color="000000" w:sz="6" w:space="0"/>
              <w:bottom w:val="nil"/>
            </w:tcBorders>
            <w:textDirection w:val="tbRlV"/>
            <w:vAlign w:val="top"/>
          </w:tcPr>
          <w:p w14:paraId="1D959B2B">
            <w:pPr>
              <w:rPr>
                <w:rFonts w:ascii="Arial"/>
                <w:sz w:val="21"/>
              </w:rPr>
            </w:pPr>
          </w:p>
        </w:tc>
        <w:tc>
          <w:tcPr>
            <w:tcW w:w="217" w:type="dxa"/>
            <w:vMerge w:val="continue"/>
            <w:tcBorders>
              <w:top w:val="nil"/>
              <w:bottom w:val="nil"/>
            </w:tcBorders>
            <w:vAlign w:val="top"/>
          </w:tcPr>
          <w:p w14:paraId="4A6E3CD4">
            <w:pPr>
              <w:rPr>
                <w:rFonts w:ascii="Arial"/>
                <w:sz w:val="21"/>
              </w:rPr>
            </w:pPr>
          </w:p>
        </w:tc>
        <w:tc>
          <w:tcPr>
            <w:tcW w:w="1379" w:type="dxa"/>
            <w:vAlign w:val="top"/>
          </w:tcPr>
          <w:p w14:paraId="214E7B1A">
            <w:pPr>
              <w:pStyle w:val="6"/>
              <w:spacing w:before="58" w:line="219" w:lineRule="auto"/>
              <w:ind w:left="268"/>
            </w:pPr>
            <w:r>
              <w:rPr>
                <w:spacing w:val="7"/>
              </w:rPr>
              <w:t>环境条件</w:t>
            </w:r>
          </w:p>
        </w:tc>
        <w:tc>
          <w:tcPr>
            <w:tcW w:w="1792" w:type="dxa"/>
            <w:vAlign w:val="top"/>
          </w:tcPr>
          <w:p w14:paraId="62BC5C02">
            <w:pPr>
              <w:pStyle w:val="6"/>
              <w:spacing w:before="58" w:line="219" w:lineRule="auto"/>
              <w:ind w:left="167"/>
            </w:pPr>
            <w:r>
              <w:rPr>
                <w:spacing w:val="7"/>
              </w:rPr>
              <w:t>高原季风气候区</w:t>
            </w:r>
          </w:p>
        </w:tc>
        <w:tc>
          <w:tcPr>
            <w:tcW w:w="1746" w:type="dxa"/>
            <w:vAlign w:val="top"/>
          </w:tcPr>
          <w:p w14:paraId="0629EA44">
            <w:pPr>
              <w:pStyle w:val="6"/>
              <w:spacing w:before="58" w:line="219" w:lineRule="auto"/>
              <w:ind w:left="149"/>
            </w:pPr>
            <w:r>
              <w:rPr>
                <w:spacing w:val="7"/>
              </w:rPr>
              <w:t>高原季风气候区</w:t>
            </w:r>
          </w:p>
        </w:tc>
        <w:tc>
          <w:tcPr>
            <w:tcW w:w="1710" w:type="dxa"/>
            <w:vAlign w:val="top"/>
          </w:tcPr>
          <w:p w14:paraId="2D4CCB29">
            <w:pPr>
              <w:pStyle w:val="6"/>
              <w:spacing w:before="58" w:line="219" w:lineRule="auto"/>
              <w:ind w:left="133"/>
            </w:pPr>
            <w:r>
              <w:rPr>
                <w:spacing w:val="7"/>
              </w:rPr>
              <w:t>高原季风气候区</w:t>
            </w:r>
          </w:p>
        </w:tc>
        <w:tc>
          <w:tcPr>
            <w:tcW w:w="1758" w:type="dxa"/>
            <w:vAlign w:val="top"/>
          </w:tcPr>
          <w:p w14:paraId="3A4B0100">
            <w:pPr>
              <w:pStyle w:val="6"/>
              <w:spacing w:before="58" w:line="219" w:lineRule="auto"/>
              <w:ind w:left="489"/>
            </w:pPr>
            <w:r>
              <w:rPr>
                <w:spacing w:val="2"/>
              </w:rPr>
              <w:t>中亚热带</w:t>
            </w:r>
          </w:p>
        </w:tc>
        <w:tc>
          <w:tcPr>
            <w:tcW w:w="227" w:type="dxa"/>
            <w:vMerge w:val="continue"/>
            <w:tcBorders>
              <w:top w:val="nil"/>
              <w:bottom w:val="nil"/>
              <w:right w:val="single" w:color="000000" w:sz="6" w:space="0"/>
            </w:tcBorders>
            <w:vAlign w:val="top"/>
          </w:tcPr>
          <w:p w14:paraId="3DC91F9D">
            <w:pPr>
              <w:rPr>
                <w:rFonts w:ascii="Arial"/>
                <w:sz w:val="21"/>
              </w:rPr>
            </w:pPr>
          </w:p>
        </w:tc>
      </w:tr>
      <w:tr w14:paraId="7A5854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478" w:type="dxa"/>
            <w:vMerge w:val="continue"/>
            <w:tcBorders>
              <w:top w:val="nil"/>
              <w:left w:val="single" w:color="000000" w:sz="6" w:space="0"/>
              <w:bottom w:val="nil"/>
            </w:tcBorders>
            <w:textDirection w:val="tbRlV"/>
            <w:vAlign w:val="top"/>
          </w:tcPr>
          <w:p w14:paraId="5D19C607">
            <w:pPr>
              <w:rPr>
                <w:rFonts w:ascii="Arial"/>
                <w:sz w:val="21"/>
              </w:rPr>
            </w:pPr>
          </w:p>
        </w:tc>
        <w:tc>
          <w:tcPr>
            <w:tcW w:w="217" w:type="dxa"/>
            <w:vMerge w:val="continue"/>
            <w:tcBorders>
              <w:top w:val="nil"/>
              <w:bottom w:val="nil"/>
            </w:tcBorders>
            <w:vAlign w:val="top"/>
          </w:tcPr>
          <w:p w14:paraId="1DC87AF6">
            <w:pPr>
              <w:rPr>
                <w:rFonts w:ascii="Arial"/>
                <w:sz w:val="21"/>
              </w:rPr>
            </w:pPr>
          </w:p>
        </w:tc>
        <w:tc>
          <w:tcPr>
            <w:tcW w:w="1379" w:type="dxa"/>
            <w:vAlign w:val="top"/>
          </w:tcPr>
          <w:p w14:paraId="3E0D55D0">
            <w:pPr>
              <w:pStyle w:val="6"/>
              <w:spacing w:before="58" w:line="219" w:lineRule="auto"/>
              <w:ind w:left="272"/>
            </w:pPr>
            <w:r>
              <w:rPr>
                <w:spacing w:val="6"/>
              </w:rPr>
              <w:t>项目区域</w:t>
            </w:r>
          </w:p>
        </w:tc>
        <w:tc>
          <w:tcPr>
            <w:tcW w:w="1792" w:type="dxa"/>
            <w:vAlign w:val="top"/>
          </w:tcPr>
          <w:p w14:paraId="14985476">
            <w:pPr>
              <w:pStyle w:val="6"/>
              <w:spacing w:before="58" w:line="219" w:lineRule="auto"/>
              <w:ind w:left="592"/>
            </w:pPr>
            <w:r>
              <w:rPr>
                <w:spacing w:val="3"/>
              </w:rPr>
              <w:t>陆良县</w:t>
            </w:r>
          </w:p>
        </w:tc>
        <w:tc>
          <w:tcPr>
            <w:tcW w:w="1746" w:type="dxa"/>
            <w:vAlign w:val="top"/>
          </w:tcPr>
          <w:p w14:paraId="241CDA5E">
            <w:pPr>
              <w:pStyle w:val="6"/>
              <w:spacing w:before="58" w:line="219" w:lineRule="auto"/>
              <w:ind w:left="567"/>
            </w:pPr>
            <w:r>
              <w:rPr>
                <w:spacing w:val="5"/>
              </w:rPr>
              <w:t>寻甸县</w:t>
            </w:r>
          </w:p>
        </w:tc>
        <w:tc>
          <w:tcPr>
            <w:tcW w:w="1710" w:type="dxa"/>
            <w:vAlign w:val="top"/>
          </w:tcPr>
          <w:p w14:paraId="2C6389A0">
            <w:pPr>
              <w:pStyle w:val="6"/>
              <w:spacing w:before="58" w:line="219" w:lineRule="auto"/>
              <w:ind w:left="558"/>
            </w:pPr>
            <w:r>
              <w:rPr>
                <w:spacing w:val="3"/>
              </w:rPr>
              <w:t>陆良县</w:t>
            </w:r>
          </w:p>
        </w:tc>
        <w:tc>
          <w:tcPr>
            <w:tcW w:w="1758" w:type="dxa"/>
            <w:vAlign w:val="top"/>
          </w:tcPr>
          <w:p w14:paraId="2F1B904F">
            <w:pPr>
              <w:pStyle w:val="6"/>
              <w:spacing w:before="58" w:line="219" w:lineRule="auto"/>
              <w:ind w:left="587"/>
            </w:pPr>
            <w:r>
              <w:rPr>
                <w:spacing w:val="3"/>
              </w:rPr>
              <w:t>嵩明县</w:t>
            </w:r>
          </w:p>
        </w:tc>
        <w:tc>
          <w:tcPr>
            <w:tcW w:w="227" w:type="dxa"/>
            <w:vMerge w:val="continue"/>
            <w:tcBorders>
              <w:top w:val="nil"/>
              <w:bottom w:val="nil"/>
              <w:right w:val="single" w:color="000000" w:sz="6" w:space="0"/>
            </w:tcBorders>
            <w:vAlign w:val="top"/>
          </w:tcPr>
          <w:p w14:paraId="2F68DD3B">
            <w:pPr>
              <w:rPr>
                <w:rFonts w:ascii="Arial"/>
                <w:sz w:val="21"/>
              </w:rPr>
            </w:pPr>
          </w:p>
        </w:tc>
      </w:tr>
      <w:tr w14:paraId="6F990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478" w:type="dxa"/>
            <w:vMerge w:val="continue"/>
            <w:tcBorders>
              <w:top w:val="nil"/>
              <w:left w:val="single" w:color="000000" w:sz="6" w:space="0"/>
              <w:bottom w:val="nil"/>
            </w:tcBorders>
            <w:textDirection w:val="tbRlV"/>
            <w:vAlign w:val="top"/>
          </w:tcPr>
          <w:p w14:paraId="708D65A2">
            <w:pPr>
              <w:rPr>
                <w:rFonts w:ascii="Arial"/>
                <w:sz w:val="21"/>
              </w:rPr>
            </w:pPr>
          </w:p>
        </w:tc>
        <w:tc>
          <w:tcPr>
            <w:tcW w:w="217" w:type="dxa"/>
            <w:vMerge w:val="continue"/>
            <w:tcBorders>
              <w:top w:val="nil"/>
              <w:bottom w:val="nil"/>
            </w:tcBorders>
            <w:vAlign w:val="top"/>
          </w:tcPr>
          <w:p w14:paraId="0DD000C3">
            <w:pPr>
              <w:rPr>
                <w:rFonts w:ascii="Arial"/>
                <w:sz w:val="21"/>
              </w:rPr>
            </w:pPr>
          </w:p>
        </w:tc>
        <w:tc>
          <w:tcPr>
            <w:tcW w:w="1379" w:type="dxa"/>
            <w:vAlign w:val="top"/>
          </w:tcPr>
          <w:p w14:paraId="498E06D7">
            <w:pPr>
              <w:pStyle w:val="6"/>
              <w:spacing w:before="59" w:line="218" w:lineRule="auto"/>
              <w:ind w:left="268"/>
            </w:pPr>
            <w:r>
              <w:rPr>
                <w:spacing w:val="7"/>
              </w:rPr>
              <w:t>地形条件</w:t>
            </w:r>
          </w:p>
        </w:tc>
        <w:tc>
          <w:tcPr>
            <w:tcW w:w="1792" w:type="dxa"/>
            <w:vAlign w:val="top"/>
          </w:tcPr>
          <w:p w14:paraId="09E75DA7">
            <w:pPr>
              <w:pStyle w:val="6"/>
              <w:spacing w:before="59" w:line="218" w:lineRule="auto"/>
              <w:ind w:left="686"/>
            </w:pPr>
            <w:r>
              <w:rPr>
                <w:spacing w:val="5"/>
              </w:rPr>
              <w:t>平地</w:t>
            </w:r>
          </w:p>
        </w:tc>
        <w:tc>
          <w:tcPr>
            <w:tcW w:w="1746" w:type="dxa"/>
            <w:vAlign w:val="top"/>
          </w:tcPr>
          <w:p w14:paraId="656437DB">
            <w:pPr>
              <w:pStyle w:val="6"/>
              <w:spacing w:before="59" w:line="218" w:lineRule="auto"/>
              <w:ind w:left="371"/>
            </w:pPr>
            <w:r>
              <w:rPr>
                <w:spacing w:val="4"/>
              </w:rPr>
              <w:t>山地、平地</w:t>
            </w:r>
          </w:p>
        </w:tc>
        <w:tc>
          <w:tcPr>
            <w:tcW w:w="1710" w:type="dxa"/>
            <w:vAlign w:val="top"/>
          </w:tcPr>
          <w:p w14:paraId="76460A15">
            <w:pPr>
              <w:pStyle w:val="6"/>
              <w:spacing w:before="59" w:line="218" w:lineRule="auto"/>
              <w:ind w:left="652"/>
            </w:pPr>
            <w:r>
              <w:rPr>
                <w:spacing w:val="5"/>
              </w:rPr>
              <w:t>平地</w:t>
            </w:r>
          </w:p>
        </w:tc>
        <w:tc>
          <w:tcPr>
            <w:tcW w:w="1758" w:type="dxa"/>
            <w:vAlign w:val="top"/>
          </w:tcPr>
          <w:p w14:paraId="72A1AC17">
            <w:pPr>
              <w:pStyle w:val="6"/>
              <w:spacing w:before="59" w:line="218" w:lineRule="auto"/>
              <w:ind w:left="677"/>
            </w:pPr>
            <w:r>
              <w:rPr>
                <w:spacing w:val="5"/>
              </w:rPr>
              <w:t>平地</w:t>
            </w:r>
          </w:p>
        </w:tc>
        <w:tc>
          <w:tcPr>
            <w:tcW w:w="227" w:type="dxa"/>
            <w:vMerge w:val="continue"/>
            <w:tcBorders>
              <w:top w:val="nil"/>
              <w:bottom w:val="nil"/>
              <w:right w:val="single" w:color="000000" w:sz="6" w:space="0"/>
            </w:tcBorders>
            <w:vAlign w:val="top"/>
          </w:tcPr>
          <w:p w14:paraId="0EADB8DE">
            <w:pPr>
              <w:rPr>
                <w:rFonts w:ascii="Arial"/>
                <w:sz w:val="21"/>
              </w:rPr>
            </w:pPr>
          </w:p>
        </w:tc>
      </w:tr>
      <w:tr w14:paraId="31326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478" w:type="dxa"/>
            <w:vMerge w:val="continue"/>
            <w:tcBorders>
              <w:top w:val="nil"/>
              <w:left w:val="single" w:color="000000" w:sz="6" w:space="0"/>
              <w:bottom w:val="single" w:color="000000" w:sz="6" w:space="0"/>
            </w:tcBorders>
            <w:textDirection w:val="tbRlV"/>
            <w:vAlign w:val="top"/>
          </w:tcPr>
          <w:p w14:paraId="2C109B77">
            <w:pPr>
              <w:rPr>
                <w:rFonts w:ascii="Arial"/>
                <w:sz w:val="21"/>
              </w:rPr>
            </w:pPr>
          </w:p>
        </w:tc>
        <w:tc>
          <w:tcPr>
            <w:tcW w:w="217" w:type="dxa"/>
            <w:vMerge w:val="continue"/>
            <w:tcBorders>
              <w:top w:val="nil"/>
              <w:bottom w:val="single" w:color="000000" w:sz="6" w:space="0"/>
            </w:tcBorders>
            <w:vAlign w:val="top"/>
          </w:tcPr>
          <w:p w14:paraId="1CC5400C">
            <w:pPr>
              <w:rPr>
                <w:rFonts w:ascii="Arial"/>
                <w:sz w:val="21"/>
              </w:rPr>
            </w:pPr>
          </w:p>
        </w:tc>
        <w:tc>
          <w:tcPr>
            <w:tcW w:w="1379" w:type="dxa"/>
            <w:tcBorders>
              <w:bottom w:val="single" w:color="000000" w:sz="6" w:space="0"/>
            </w:tcBorders>
            <w:vAlign w:val="top"/>
          </w:tcPr>
          <w:p w14:paraId="5B5DF29A">
            <w:pPr>
              <w:pStyle w:val="6"/>
              <w:spacing w:before="207" w:line="228" w:lineRule="auto"/>
              <w:ind w:left="272"/>
            </w:pPr>
            <w:r>
              <w:rPr>
                <w:spacing w:val="6"/>
              </w:rPr>
              <w:t>背景状况</w:t>
            </w:r>
          </w:p>
        </w:tc>
        <w:tc>
          <w:tcPr>
            <w:tcW w:w="1792" w:type="dxa"/>
            <w:tcBorders>
              <w:bottom w:val="single" w:color="000000" w:sz="6" w:space="0"/>
            </w:tcBorders>
            <w:vAlign w:val="top"/>
          </w:tcPr>
          <w:p w14:paraId="11EED131">
            <w:pPr>
              <w:spacing w:before="239" w:line="199" w:lineRule="auto"/>
              <w:ind w:left="85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746" w:type="dxa"/>
            <w:tcBorders>
              <w:bottom w:val="single" w:color="000000" w:sz="6" w:space="0"/>
            </w:tcBorders>
            <w:vAlign w:val="top"/>
          </w:tcPr>
          <w:p w14:paraId="5FA9391C">
            <w:pPr>
              <w:pStyle w:val="6"/>
              <w:spacing w:before="70" w:line="247" w:lineRule="auto"/>
              <w:ind w:left="771" w:right="33" w:hanging="717"/>
            </w:pPr>
            <w:r>
              <w:rPr>
                <w:spacing w:val="6"/>
              </w:rPr>
              <w:t>附近无其他高噪声</w:t>
            </w:r>
            <w:r>
              <w:rPr>
                <w:spacing w:val="1"/>
              </w:rPr>
              <w:t>源</w:t>
            </w:r>
          </w:p>
        </w:tc>
        <w:tc>
          <w:tcPr>
            <w:tcW w:w="1710" w:type="dxa"/>
            <w:tcBorders>
              <w:bottom w:val="single" w:color="000000" w:sz="6" w:space="0"/>
            </w:tcBorders>
            <w:vAlign w:val="top"/>
          </w:tcPr>
          <w:p w14:paraId="3897BBAF">
            <w:pPr>
              <w:spacing w:before="239" w:line="199" w:lineRule="auto"/>
              <w:ind w:left="8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758" w:type="dxa"/>
            <w:tcBorders>
              <w:bottom w:val="single" w:color="000000" w:sz="6" w:space="0"/>
            </w:tcBorders>
            <w:vAlign w:val="top"/>
          </w:tcPr>
          <w:p w14:paraId="493B0389">
            <w:pPr>
              <w:pStyle w:val="6"/>
              <w:spacing w:before="70" w:line="247" w:lineRule="auto"/>
              <w:ind w:left="783" w:right="33" w:hanging="717"/>
            </w:pPr>
            <w:r>
              <w:rPr>
                <w:spacing w:val="6"/>
              </w:rPr>
              <w:t>附近无其他高噪声</w:t>
            </w:r>
            <w:r>
              <w:rPr>
                <w:spacing w:val="1"/>
              </w:rPr>
              <w:t>源</w:t>
            </w:r>
          </w:p>
        </w:tc>
        <w:tc>
          <w:tcPr>
            <w:tcW w:w="227" w:type="dxa"/>
            <w:vMerge w:val="continue"/>
            <w:tcBorders>
              <w:top w:val="nil"/>
              <w:bottom w:val="single" w:color="000000" w:sz="6" w:space="0"/>
              <w:right w:val="single" w:color="000000" w:sz="6" w:space="0"/>
            </w:tcBorders>
            <w:vAlign w:val="top"/>
          </w:tcPr>
          <w:p w14:paraId="627A2A74">
            <w:pPr>
              <w:rPr>
                <w:rFonts w:ascii="Arial"/>
                <w:sz w:val="21"/>
              </w:rPr>
            </w:pPr>
          </w:p>
        </w:tc>
      </w:tr>
    </w:tbl>
    <w:p w14:paraId="543AEAA7">
      <w:pPr>
        <w:rPr>
          <w:rFonts w:ascii="Arial"/>
          <w:sz w:val="21"/>
        </w:rPr>
      </w:pPr>
    </w:p>
    <w:p w14:paraId="05E519BE">
      <w:pPr>
        <w:rPr>
          <w:rFonts w:ascii="Arial" w:hAnsi="Arial" w:eastAsia="Arial" w:cs="Arial"/>
          <w:sz w:val="21"/>
          <w:szCs w:val="21"/>
        </w:rPr>
        <w:sectPr>
          <w:footerReference r:id="rId117" w:type="default"/>
          <w:pgSz w:w="11907" w:h="16840"/>
          <w:pgMar w:top="400" w:right="1179" w:bottom="1240" w:left="1405" w:header="0" w:footer="1077" w:gutter="0"/>
          <w:cols w:space="720" w:num="1"/>
        </w:sectPr>
      </w:pPr>
    </w:p>
    <w:p w14:paraId="5AE65798">
      <w:pPr>
        <w:spacing w:before="13"/>
      </w:pPr>
    </w:p>
    <w:p w14:paraId="155073D3">
      <w:pPr>
        <w:spacing w:before="13"/>
      </w:pPr>
    </w:p>
    <w:p w14:paraId="5DACCB19">
      <w:pPr>
        <w:spacing w:before="13"/>
      </w:pPr>
    </w:p>
    <w:p w14:paraId="054DA61F">
      <w:pPr>
        <w:spacing w:before="12"/>
      </w:pPr>
    </w:p>
    <w:tbl>
      <w:tblPr>
        <w:tblStyle w:val="5"/>
        <w:tblW w:w="930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2"/>
        <w:gridCol w:w="219"/>
        <w:gridCol w:w="840"/>
        <w:gridCol w:w="552"/>
        <w:gridCol w:w="1220"/>
        <w:gridCol w:w="590"/>
        <w:gridCol w:w="855"/>
        <w:gridCol w:w="908"/>
        <w:gridCol w:w="273"/>
        <w:gridCol w:w="1453"/>
        <w:gridCol w:w="203"/>
        <w:gridCol w:w="1552"/>
        <w:gridCol w:w="20"/>
        <w:gridCol w:w="140"/>
      </w:tblGrid>
      <w:tr w14:paraId="2D24C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482" w:type="dxa"/>
            <w:vMerge w:val="restart"/>
            <w:tcBorders>
              <w:top w:val="single" w:color="000000" w:sz="6" w:space="0"/>
              <w:left w:val="single" w:color="000000" w:sz="6" w:space="0"/>
              <w:bottom w:val="nil"/>
            </w:tcBorders>
            <w:vAlign w:val="top"/>
          </w:tcPr>
          <w:p w14:paraId="7F759D76">
            <w:pPr>
              <w:rPr>
                <w:rFonts w:ascii="Arial"/>
                <w:sz w:val="21"/>
              </w:rPr>
            </w:pPr>
          </w:p>
        </w:tc>
        <w:tc>
          <w:tcPr>
            <w:tcW w:w="219" w:type="dxa"/>
            <w:tcBorders>
              <w:top w:val="single" w:color="000000" w:sz="6" w:space="0"/>
            </w:tcBorders>
            <w:vAlign w:val="top"/>
          </w:tcPr>
          <w:p w14:paraId="08465C84">
            <w:pPr>
              <w:rPr>
                <w:rFonts w:ascii="Arial"/>
                <w:sz w:val="21"/>
              </w:rPr>
            </w:pPr>
          </w:p>
        </w:tc>
        <w:tc>
          <w:tcPr>
            <w:tcW w:w="1392" w:type="dxa"/>
            <w:gridSpan w:val="2"/>
            <w:tcBorders>
              <w:top w:val="single" w:color="000000" w:sz="6" w:space="0"/>
            </w:tcBorders>
            <w:vAlign w:val="top"/>
          </w:tcPr>
          <w:p w14:paraId="2E0D7A33">
            <w:pPr>
              <w:pStyle w:val="6"/>
              <w:spacing w:before="206" w:line="228" w:lineRule="auto"/>
              <w:ind w:left="262"/>
            </w:pPr>
            <w:r>
              <w:rPr>
                <w:spacing w:val="7"/>
              </w:rPr>
              <w:t>运行工况</w:t>
            </w:r>
          </w:p>
        </w:tc>
        <w:tc>
          <w:tcPr>
            <w:tcW w:w="1810" w:type="dxa"/>
            <w:gridSpan w:val="2"/>
            <w:tcBorders>
              <w:top w:val="single" w:color="000000" w:sz="6" w:space="0"/>
            </w:tcBorders>
            <w:vAlign w:val="top"/>
          </w:tcPr>
          <w:p w14:paraId="5191BEB6">
            <w:pPr>
              <w:spacing w:before="240" w:line="199" w:lineRule="auto"/>
              <w:ind w:left="8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763" w:type="dxa"/>
            <w:gridSpan w:val="2"/>
            <w:tcBorders>
              <w:top w:val="single" w:color="000000" w:sz="6" w:space="0"/>
            </w:tcBorders>
            <w:vAlign w:val="top"/>
          </w:tcPr>
          <w:p w14:paraId="3F8375FF">
            <w:pPr>
              <w:pStyle w:val="6"/>
              <w:spacing w:before="72" w:line="247" w:lineRule="auto"/>
              <w:ind w:left="105" w:right="87" w:hanging="105"/>
            </w:pPr>
            <w:r>
              <w:rPr>
                <w:spacing w:val="8"/>
              </w:rPr>
              <w:t>运行电压已达到设计额定电压等级</w:t>
            </w:r>
          </w:p>
        </w:tc>
        <w:tc>
          <w:tcPr>
            <w:tcW w:w="1726" w:type="dxa"/>
            <w:gridSpan w:val="2"/>
            <w:tcBorders>
              <w:top w:val="single" w:color="000000" w:sz="6" w:space="0"/>
            </w:tcBorders>
            <w:vAlign w:val="top"/>
          </w:tcPr>
          <w:p w14:paraId="15341C10">
            <w:pPr>
              <w:spacing w:before="240" w:line="199" w:lineRule="auto"/>
              <w:ind w:left="7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755" w:type="dxa"/>
            <w:gridSpan w:val="2"/>
            <w:tcBorders>
              <w:top w:val="single" w:color="000000" w:sz="6" w:space="0"/>
            </w:tcBorders>
            <w:vAlign w:val="top"/>
          </w:tcPr>
          <w:p w14:paraId="2812F58F">
            <w:pPr>
              <w:pStyle w:val="6"/>
              <w:spacing w:before="72" w:line="247" w:lineRule="auto"/>
              <w:ind w:left="103" w:right="100" w:hanging="104"/>
            </w:pPr>
            <w:r>
              <w:rPr>
                <w:spacing w:val="6"/>
              </w:rPr>
              <w:t>运行电压已达到设计额定电压等级</w:t>
            </w:r>
          </w:p>
        </w:tc>
        <w:tc>
          <w:tcPr>
            <w:tcW w:w="160" w:type="dxa"/>
            <w:gridSpan w:val="2"/>
            <w:tcBorders>
              <w:top w:val="single" w:color="000000" w:sz="6" w:space="0"/>
              <w:bottom w:val="nil"/>
              <w:right w:val="single" w:color="000000" w:sz="6" w:space="0"/>
            </w:tcBorders>
            <w:vAlign w:val="top"/>
          </w:tcPr>
          <w:p w14:paraId="1C70EB73">
            <w:pPr>
              <w:rPr>
                <w:rFonts w:ascii="Arial"/>
                <w:sz w:val="21"/>
              </w:rPr>
            </w:pPr>
          </w:p>
        </w:tc>
      </w:tr>
      <w:tr w14:paraId="7652E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4" w:hRule="atLeast"/>
        </w:trPr>
        <w:tc>
          <w:tcPr>
            <w:tcW w:w="482" w:type="dxa"/>
            <w:vMerge w:val="continue"/>
            <w:tcBorders>
              <w:top w:val="nil"/>
              <w:left w:val="single" w:color="000000" w:sz="6" w:space="0"/>
              <w:bottom w:val="nil"/>
            </w:tcBorders>
            <w:vAlign w:val="top"/>
          </w:tcPr>
          <w:p w14:paraId="6489DCBB">
            <w:pPr>
              <w:rPr>
                <w:rFonts w:ascii="Arial"/>
                <w:sz w:val="21"/>
              </w:rPr>
            </w:pPr>
          </w:p>
        </w:tc>
        <w:tc>
          <w:tcPr>
            <w:tcW w:w="8825" w:type="dxa"/>
            <w:gridSpan w:val="13"/>
            <w:tcBorders>
              <w:right w:val="single" w:color="000000" w:sz="6" w:space="0"/>
            </w:tcBorders>
            <w:vAlign w:val="top"/>
          </w:tcPr>
          <w:p w14:paraId="01FBA323">
            <w:pPr>
              <w:pStyle w:val="6"/>
              <w:spacing w:before="33" w:line="359" w:lineRule="auto"/>
              <w:ind w:left="105" w:right="101" w:firstLine="507"/>
              <w:jc w:val="both"/>
              <w:rPr>
                <w:sz w:val="24"/>
                <w:szCs w:val="24"/>
              </w:rPr>
            </w:pPr>
            <w:r>
              <w:rPr>
                <w:spacing w:val="-4"/>
                <w:sz w:val="24"/>
                <w:szCs w:val="24"/>
              </w:rPr>
              <w:t>由上表可知，本项目</w:t>
            </w:r>
            <w:r>
              <w:rPr>
                <w:spacing w:val="-27"/>
                <w:sz w:val="24"/>
                <w:szCs w:val="24"/>
              </w:rPr>
              <w:t xml:space="preserve"> </w:t>
            </w:r>
            <w:r>
              <w:rPr>
                <w:rFonts w:ascii="Times New Roman" w:hAnsi="Times New Roman" w:eastAsia="Times New Roman" w:cs="Times New Roman"/>
                <w:spacing w:val="-4"/>
                <w:sz w:val="24"/>
                <w:szCs w:val="24"/>
              </w:rPr>
              <w:t xml:space="preserve">110kV </w:t>
            </w:r>
            <w:r>
              <w:rPr>
                <w:spacing w:val="-4"/>
                <w:sz w:val="24"/>
                <w:szCs w:val="24"/>
              </w:rPr>
              <w:t>单回线路和类比线路在建设规模、电压等级、架线</w:t>
            </w:r>
            <w:r>
              <w:rPr>
                <w:spacing w:val="2"/>
                <w:sz w:val="24"/>
                <w:szCs w:val="24"/>
              </w:rPr>
              <w:t>型式、环境条件等方面相近，类比线路导线距地高度（</w:t>
            </w:r>
            <w:r>
              <w:rPr>
                <w:rFonts w:ascii="Times New Roman" w:hAnsi="Times New Roman" w:eastAsia="Times New Roman" w:cs="Times New Roman"/>
                <w:spacing w:val="2"/>
                <w:sz w:val="24"/>
                <w:szCs w:val="24"/>
              </w:rPr>
              <w:t>12.5m</w:t>
            </w:r>
            <w:r>
              <w:rPr>
                <w:spacing w:val="2"/>
                <w:sz w:val="24"/>
                <w:szCs w:val="24"/>
              </w:rPr>
              <w:t>）低于本项目单回线</w:t>
            </w:r>
            <w:r>
              <w:rPr>
                <w:sz w:val="24"/>
                <w:szCs w:val="24"/>
              </w:rPr>
              <w:t>路导线最低架设高度（</w:t>
            </w:r>
            <w:r>
              <w:rPr>
                <w:rFonts w:ascii="Times New Roman" w:hAnsi="Times New Roman" w:eastAsia="Times New Roman" w:cs="Times New Roman"/>
                <w:sz w:val="24"/>
                <w:szCs w:val="24"/>
              </w:rPr>
              <w:t>20.4m</w:t>
            </w:r>
            <w:r>
              <w:rPr>
                <w:spacing w:val="7"/>
                <w:sz w:val="24"/>
                <w:szCs w:val="24"/>
              </w:rPr>
              <w:t>），</w:t>
            </w:r>
            <w:r>
              <w:rPr>
                <w:sz w:val="24"/>
                <w:szCs w:val="24"/>
              </w:rPr>
              <w:t>类比线路</w:t>
            </w:r>
            <w:r>
              <w:rPr>
                <w:spacing w:val="-1"/>
                <w:sz w:val="24"/>
                <w:szCs w:val="24"/>
              </w:rPr>
              <w:t>具有可类比性。因此，本项目</w:t>
            </w:r>
            <w:r>
              <w:rPr>
                <w:spacing w:val="-28"/>
                <w:sz w:val="24"/>
                <w:szCs w:val="24"/>
              </w:rPr>
              <w:t xml:space="preserve"> </w:t>
            </w:r>
            <w:r>
              <w:rPr>
                <w:rFonts w:ascii="Times New Roman" w:hAnsi="Times New Roman" w:eastAsia="Times New Roman" w:cs="Times New Roman"/>
                <w:spacing w:val="-1"/>
                <w:sz w:val="24"/>
                <w:szCs w:val="24"/>
              </w:rPr>
              <w:t xml:space="preserve">110kV </w:t>
            </w:r>
            <w:r>
              <w:rPr>
                <w:spacing w:val="-1"/>
                <w:sz w:val="24"/>
                <w:szCs w:val="24"/>
              </w:rPr>
              <w:t>单</w:t>
            </w:r>
            <w:r>
              <w:rPr>
                <w:spacing w:val="3"/>
                <w:sz w:val="24"/>
                <w:szCs w:val="24"/>
              </w:rPr>
              <w:t>回线路运行期声环境影响选择</w:t>
            </w:r>
            <w:r>
              <w:rPr>
                <w:spacing w:val="-16"/>
                <w:sz w:val="24"/>
                <w:szCs w:val="24"/>
              </w:rPr>
              <w:t xml:space="preserve"> </w:t>
            </w:r>
            <w:r>
              <w:rPr>
                <w:rFonts w:ascii="Times New Roman" w:hAnsi="Times New Roman" w:eastAsia="Times New Roman" w:cs="Times New Roman"/>
                <w:spacing w:val="3"/>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3"/>
                <w:sz w:val="24"/>
                <w:szCs w:val="24"/>
              </w:rPr>
              <w:t xml:space="preserve"> </w:t>
            </w:r>
            <w:r>
              <w:rPr>
                <w:spacing w:val="3"/>
                <w:sz w:val="24"/>
                <w:szCs w:val="24"/>
              </w:rPr>
              <w:t>清中东线噪声监测结果进行类比预测分析是</w:t>
            </w:r>
            <w:r>
              <w:rPr>
                <w:spacing w:val="-3"/>
                <w:sz w:val="24"/>
                <w:szCs w:val="24"/>
              </w:rPr>
              <w:t>可行的。</w:t>
            </w:r>
          </w:p>
          <w:p w14:paraId="791588E7">
            <w:pPr>
              <w:pStyle w:val="6"/>
              <w:spacing w:before="6" w:line="359" w:lineRule="auto"/>
              <w:ind w:left="100" w:right="101" w:firstLine="484"/>
              <w:jc w:val="both"/>
              <w:rPr>
                <w:sz w:val="24"/>
                <w:szCs w:val="24"/>
              </w:rPr>
            </w:pPr>
            <w:r>
              <w:rPr>
                <w:spacing w:val="-5"/>
                <w:sz w:val="24"/>
                <w:szCs w:val="24"/>
              </w:rPr>
              <w:t>本项目</w:t>
            </w:r>
            <w:r>
              <w:rPr>
                <w:spacing w:val="-32"/>
                <w:sz w:val="24"/>
                <w:szCs w:val="24"/>
              </w:rPr>
              <w:t xml:space="preserve"> </w:t>
            </w:r>
            <w:r>
              <w:rPr>
                <w:rFonts w:ascii="Times New Roman" w:hAnsi="Times New Roman" w:eastAsia="Times New Roman" w:cs="Times New Roman"/>
                <w:spacing w:val="-5"/>
                <w:sz w:val="24"/>
                <w:szCs w:val="24"/>
              </w:rPr>
              <w:t xml:space="preserve">110kV </w:t>
            </w:r>
            <w:r>
              <w:rPr>
                <w:spacing w:val="-5"/>
                <w:sz w:val="24"/>
                <w:szCs w:val="24"/>
              </w:rPr>
              <w:t>双回线路（单边挂线）和类比线路</w:t>
            </w:r>
            <w:r>
              <w:rPr>
                <w:spacing w:val="-31"/>
                <w:sz w:val="24"/>
                <w:szCs w:val="24"/>
              </w:rPr>
              <w:t xml:space="preserve"> </w:t>
            </w:r>
            <w:r>
              <w:rPr>
                <w:rFonts w:ascii="Times New Roman" w:hAnsi="Times New Roman" w:eastAsia="Times New Roman" w:cs="Times New Roman"/>
                <w:spacing w:val="-5"/>
                <w:sz w:val="24"/>
                <w:szCs w:val="24"/>
              </w:rPr>
              <w:t>110kV</w:t>
            </w:r>
            <w:r>
              <w:rPr>
                <w:rFonts w:ascii="Times New Roman" w:hAnsi="Times New Roman" w:eastAsia="Times New Roman" w:cs="Times New Roman"/>
                <w:spacing w:val="22"/>
                <w:sz w:val="24"/>
                <w:szCs w:val="24"/>
              </w:rPr>
              <w:t xml:space="preserve"> </w:t>
            </w:r>
            <w:r>
              <w:rPr>
                <w:spacing w:val="-5"/>
                <w:sz w:val="24"/>
                <w:szCs w:val="24"/>
              </w:rPr>
              <w:t>嵩杨牵线、</w:t>
            </w:r>
            <w:r>
              <w:rPr>
                <w:rFonts w:ascii="Times New Roman" w:hAnsi="Times New Roman" w:eastAsia="Times New Roman" w:cs="Times New Roman"/>
                <w:spacing w:val="-5"/>
                <w:sz w:val="24"/>
                <w:szCs w:val="24"/>
              </w:rPr>
              <w:t xml:space="preserve">110kY </w:t>
            </w:r>
            <w:r>
              <w:rPr>
                <w:spacing w:val="-6"/>
                <w:sz w:val="24"/>
                <w:szCs w:val="24"/>
              </w:rPr>
              <w:t>杨牵</w:t>
            </w:r>
            <w:r>
              <w:rPr>
                <w:rFonts w:ascii="Times New Roman" w:hAnsi="Times New Roman" w:eastAsia="Times New Roman" w:cs="Times New Roman"/>
                <w:spacing w:val="-1"/>
                <w:sz w:val="24"/>
                <w:szCs w:val="24"/>
              </w:rPr>
              <w:t>II</w:t>
            </w:r>
            <w:r>
              <w:rPr>
                <w:rFonts w:ascii="Times New Roman" w:hAnsi="Times New Roman" w:eastAsia="Times New Roman" w:cs="Times New Roman"/>
                <w:spacing w:val="35"/>
                <w:sz w:val="24"/>
                <w:szCs w:val="24"/>
              </w:rPr>
              <w:t xml:space="preserve"> </w:t>
            </w:r>
            <w:r>
              <w:rPr>
                <w:spacing w:val="-1"/>
                <w:sz w:val="24"/>
                <w:szCs w:val="24"/>
              </w:rPr>
              <w:t>回线双回线在建设规模电压等级、架线型式、环境条件等方面相</w:t>
            </w:r>
            <w:r>
              <w:rPr>
                <w:spacing w:val="-2"/>
                <w:sz w:val="24"/>
                <w:szCs w:val="24"/>
              </w:rPr>
              <w:t>近，类比线路导</w:t>
            </w:r>
            <w:r>
              <w:rPr>
                <w:spacing w:val="-1"/>
                <w:sz w:val="24"/>
                <w:szCs w:val="24"/>
              </w:rPr>
              <w:t>线距地高度（</w:t>
            </w:r>
            <w:r>
              <w:rPr>
                <w:rFonts w:ascii="Times New Roman" w:hAnsi="Times New Roman" w:eastAsia="Times New Roman" w:cs="Times New Roman"/>
                <w:spacing w:val="-1"/>
                <w:sz w:val="24"/>
                <w:szCs w:val="24"/>
              </w:rPr>
              <w:t>18.7m</w:t>
            </w:r>
            <w:r>
              <w:rPr>
                <w:spacing w:val="-1"/>
                <w:sz w:val="24"/>
                <w:szCs w:val="24"/>
              </w:rPr>
              <w:t>）低于本项目双回线路导线最低架设高度（</w:t>
            </w:r>
            <w:r>
              <w:rPr>
                <w:rFonts w:ascii="Times New Roman" w:hAnsi="Times New Roman" w:eastAsia="Times New Roman" w:cs="Times New Roman"/>
                <w:spacing w:val="-1"/>
                <w:sz w:val="24"/>
                <w:szCs w:val="24"/>
              </w:rPr>
              <w:t>19.4m</w:t>
            </w:r>
            <w:r>
              <w:rPr>
                <w:spacing w:val="-3"/>
                <w:sz w:val="24"/>
                <w:szCs w:val="24"/>
              </w:rPr>
              <w:t>），</w:t>
            </w:r>
            <w:r>
              <w:rPr>
                <w:spacing w:val="-1"/>
                <w:sz w:val="24"/>
                <w:szCs w:val="24"/>
              </w:rPr>
              <w:t>且本项目</w:t>
            </w:r>
            <w:r>
              <w:rPr>
                <w:rFonts w:ascii="Times New Roman" w:hAnsi="Times New Roman" w:eastAsia="Times New Roman" w:cs="Times New Roman"/>
                <w:spacing w:val="-1"/>
                <w:sz w:val="24"/>
                <w:szCs w:val="24"/>
              </w:rPr>
              <w:t xml:space="preserve">110kV </w:t>
            </w:r>
            <w:r>
              <w:rPr>
                <w:spacing w:val="-1"/>
                <w:sz w:val="24"/>
                <w:szCs w:val="24"/>
              </w:rPr>
              <w:t>双回线路（单边挂线）带电导线数量少于实际运行的双回线路，电晕噪声源</w:t>
            </w:r>
            <w:r>
              <w:rPr>
                <w:spacing w:val="6"/>
                <w:sz w:val="24"/>
                <w:szCs w:val="24"/>
              </w:rPr>
              <w:t>强将小于实际运行的双回线路，类比的双回线路噪声值将更保守。因此，本项目</w:t>
            </w:r>
            <w:r>
              <w:rPr>
                <w:rFonts w:ascii="Times New Roman" w:hAnsi="Times New Roman" w:eastAsia="Times New Roman" w:cs="Times New Roman"/>
                <w:spacing w:val="-4"/>
                <w:sz w:val="24"/>
                <w:szCs w:val="24"/>
              </w:rPr>
              <w:t xml:space="preserve">110kV </w:t>
            </w:r>
            <w:r>
              <w:rPr>
                <w:spacing w:val="-4"/>
                <w:sz w:val="24"/>
                <w:szCs w:val="24"/>
              </w:rPr>
              <w:t>双回线路运行期声环境影响选择</w:t>
            </w:r>
            <w:r>
              <w:rPr>
                <w:spacing w:val="-32"/>
                <w:sz w:val="24"/>
                <w:szCs w:val="24"/>
              </w:rPr>
              <w:t xml:space="preserve"> </w:t>
            </w:r>
            <w:r>
              <w:rPr>
                <w:rFonts w:ascii="Times New Roman" w:hAnsi="Times New Roman" w:eastAsia="Times New Roman" w:cs="Times New Roman"/>
                <w:spacing w:val="-4"/>
                <w:sz w:val="24"/>
                <w:szCs w:val="24"/>
              </w:rPr>
              <w:t>110</w:t>
            </w:r>
            <w:r>
              <w:rPr>
                <w:rFonts w:ascii="Times New Roman" w:hAnsi="Times New Roman" w:eastAsia="Times New Roman" w:cs="Times New Roman"/>
                <w:spacing w:val="-5"/>
                <w:sz w:val="24"/>
                <w:szCs w:val="24"/>
              </w:rPr>
              <w:t>kV</w:t>
            </w:r>
            <w:r>
              <w:rPr>
                <w:rFonts w:ascii="Times New Roman" w:hAnsi="Times New Roman" w:eastAsia="Times New Roman" w:cs="Times New Roman"/>
                <w:spacing w:val="22"/>
                <w:w w:val="101"/>
                <w:sz w:val="24"/>
                <w:szCs w:val="24"/>
              </w:rPr>
              <w:t xml:space="preserve"> </w:t>
            </w:r>
            <w:r>
              <w:rPr>
                <w:spacing w:val="-5"/>
                <w:sz w:val="24"/>
                <w:szCs w:val="24"/>
              </w:rPr>
              <w:t>嵩杨牵线、</w:t>
            </w:r>
            <w:r>
              <w:rPr>
                <w:rFonts w:ascii="Times New Roman" w:hAnsi="Times New Roman" w:eastAsia="Times New Roman" w:cs="Times New Roman"/>
                <w:spacing w:val="-5"/>
                <w:sz w:val="24"/>
                <w:szCs w:val="24"/>
              </w:rPr>
              <w:t xml:space="preserve">110kV </w:t>
            </w:r>
            <w:r>
              <w:rPr>
                <w:spacing w:val="-5"/>
                <w:sz w:val="24"/>
                <w:szCs w:val="24"/>
              </w:rPr>
              <w:t>杨牵</w:t>
            </w:r>
            <w:r>
              <w:rPr>
                <w:spacing w:val="-54"/>
                <w:sz w:val="24"/>
                <w:szCs w:val="24"/>
              </w:rPr>
              <w:t xml:space="preserve"> </w:t>
            </w:r>
            <w:r>
              <w:rPr>
                <w:rFonts w:ascii="Times New Roman" w:hAnsi="Times New Roman" w:eastAsia="Times New Roman" w:cs="Times New Roman"/>
                <w:spacing w:val="-5"/>
                <w:sz w:val="24"/>
                <w:szCs w:val="24"/>
              </w:rPr>
              <w:t>II</w:t>
            </w:r>
            <w:r>
              <w:rPr>
                <w:rFonts w:ascii="Times New Roman" w:hAnsi="Times New Roman" w:eastAsia="Times New Roman" w:cs="Times New Roman"/>
                <w:spacing w:val="36"/>
                <w:w w:val="101"/>
                <w:sz w:val="24"/>
                <w:szCs w:val="24"/>
              </w:rPr>
              <w:t xml:space="preserve"> </w:t>
            </w:r>
            <w:r>
              <w:rPr>
                <w:spacing w:val="-5"/>
                <w:sz w:val="24"/>
                <w:szCs w:val="24"/>
              </w:rPr>
              <w:t>回线双回线</w:t>
            </w:r>
            <w:r>
              <w:rPr>
                <w:spacing w:val="-1"/>
                <w:sz w:val="24"/>
                <w:szCs w:val="24"/>
              </w:rPr>
              <w:t>噪声监测结果进行类比预测分析是可行的。</w:t>
            </w:r>
          </w:p>
          <w:p w14:paraId="750CE854">
            <w:pPr>
              <w:pStyle w:val="6"/>
              <w:spacing w:before="8" w:line="219" w:lineRule="auto"/>
              <w:ind w:left="711"/>
              <w:rPr>
                <w:sz w:val="24"/>
                <w:szCs w:val="24"/>
              </w:rPr>
            </w:pPr>
            <w:r>
              <w:rPr>
                <w:rFonts w:ascii="Times New Roman" w:hAnsi="Times New Roman" w:eastAsia="Times New Roman" w:cs="Times New Roman"/>
                <w:spacing w:val="-2"/>
                <w:sz w:val="24"/>
                <w:szCs w:val="24"/>
              </w:rPr>
              <w:t>3</w:t>
            </w:r>
            <w:r>
              <w:rPr>
                <w:spacing w:val="-2"/>
                <w:sz w:val="24"/>
                <w:szCs w:val="24"/>
              </w:rPr>
              <w:t>）类比监测点位</w:t>
            </w:r>
          </w:p>
          <w:p w14:paraId="5E9CE8F0">
            <w:pPr>
              <w:pStyle w:val="6"/>
              <w:spacing w:before="202" w:line="345" w:lineRule="auto"/>
              <w:ind w:left="221" w:right="102" w:firstLine="515"/>
              <w:rPr>
                <w:sz w:val="24"/>
                <w:szCs w:val="24"/>
              </w:rPr>
            </w:pPr>
            <w:r>
              <w:rPr>
                <w:rFonts w:ascii="Times New Roman" w:hAnsi="Times New Roman" w:eastAsia="Times New Roman" w:cs="Times New Roman"/>
                <w:spacing w:val="2"/>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 xml:space="preserve"> </w:t>
            </w:r>
            <w:r>
              <w:rPr>
                <w:spacing w:val="2"/>
                <w:sz w:val="24"/>
                <w:szCs w:val="24"/>
              </w:rPr>
              <w:t>清中东线，从导线弧垂最大处线路中心的地面投影点</w:t>
            </w:r>
            <w:r>
              <w:rPr>
                <w:spacing w:val="1"/>
                <w:sz w:val="24"/>
                <w:szCs w:val="24"/>
              </w:rPr>
              <w:t>开始，然后每隔</w:t>
            </w:r>
            <w:r>
              <w:rPr>
                <w:rFonts w:ascii="Times New Roman" w:hAnsi="Times New Roman" w:eastAsia="Times New Roman" w:cs="Times New Roman"/>
                <w:spacing w:val="-3"/>
                <w:sz w:val="24"/>
                <w:szCs w:val="24"/>
              </w:rPr>
              <w:t xml:space="preserve">5m </w:t>
            </w:r>
            <w:r>
              <w:rPr>
                <w:spacing w:val="-3"/>
                <w:sz w:val="24"/>
                <w:szCs w:val="24"/>
              </w:rPr>
              <w:t>布设</w:t>
            </w:r>
            <w:r>
              <w:rPr>
                <w:spacing w:val="-16"/>
                <w:sz w:val="24"/>
                <w:szCs w:val="24"/>
              </w:rPr>
              <w:t xml:space="preserve"> </w:t>
            </w:r>
            <w:r>
              <w:rPr>
                <w:rFonts w:ascii="Times New Roman" w:hAnsi="Times New Roman" w:eastAsia="Times New Roman" w:cs="Times New Roman"/>
                <w:spacing w:val="-3"/>
                <w:sz w:val="24"/>
                <w:szCs w:val="24"/>
              </w:rPr>
              <w:t xml:space="preserve">1 </w:t>
            </w:r>
            <w:r>
              <w:rPr>
                <w:spacing w:val="-3"/>
                <w:sz w:val="24"/>
                <w:szCs w:val="24"/>
              </w:rPr>
              <w:t>个监测点位，一直测至线路中心外</w:t>
            </w:r>
            <w:r>
              <w:rPr>
                <w:spacing w:val="-50"/>
                <w:sz w:val="24"/>
                <w:szCs w:val="24"/>
              </w:rPr>
              <w:t xml:space="preserve"> </w:t>
            </w:r>
            <w:r>
              <w:rPr>
                <w:rFonts w:ascii="Times New Roman" w:hAnsi="Times New Roman" w:eastAsia="Times New Roman" w:cs="Times New Roman"/>
                <w:spacing w:val="-3"/>
                <w:sz w:val="24"/>
                <w:szCs w:val="24"/>
              </w:rPr>
              <w:t>30m</w:t>
            </w:r>
            <w:r>
              <w:rPr>
                <w:rFonts w:ascii="Times New Roman" w:hAnsi="Times New Roman" w:eastAsia="Times New Roman" w:cs="Times New Roman"/>
                <w:spacing w:val="15"/>
                <w:sz w:val="24"/>
                <w:szCs w:val="24"/>
              </w:rPr>
              <w:t xml:space="preserve"> </w:t>
            </w:r>
            <w:r>
              <w:rPr>
                <w:spacing w:val="-3"/>
                <w:sz w:val="24"/>
                <w:szCs w:val="24"/>
              </w:rPr>
              <w:t>处。</w:t>
            </w:r>
          </w:p>
          <w:p w14:paraId="50325BA2">
            <w:pPr>
              <w:pStyle w:val="6"/>
              <w:spacing w:before="35" w:line="350" w:lineRule="auto"/>
              <w:ind w:left="230" w:right="101" w:firstLine="506"/>
              <w:jc w:val="both"/>
              <w:rPr>
                <w:sz w:val="24"/>
                <w:szCs w:val="24"/>
              </w:rPr>
            </w:pPr>
            <w:r>
              <w:rPr>
                <w:rFonts w:ascii="Times New Roman" w:hAnsi="Times New Roman" w:eastAsia="Times New Roman" w:cs="Times New Roman"/>
                <w:spacing w:val="-3"/>
                <w:sz w:val="24"/>
                <w:szCs w:val="24"/>
              </w:rPr>
              <w:t>110kV</w:t>
            </w:r>
            <w:r>
              <w:rPr>
                <w:rFonts w:ascii="Times New Roman" w:hAnsi="Times New Roman" w:eastAsia="Times New Roman" w:cs="Times New Roman"/>
                <w:spacing w:val="20"/>
                <w:sz w:val="24"/>
                <w:szCs w:val="24"/>
              </w:rPr>
              <w:t xml:space="preserve"> </w:t>
            </w:r>
            <w:r>
              <w:rPr>
                <w:spacing w:val="-3"/>
                <w:sz w:val="24"/>
                <w:szCs w:val="24"/>
              </w:rPr>
              <w:t>嵩杨牵线</w:t>
            </w:r>
            <w:r>
              <w:rPr>
                <w:spacing w:val="-49"/>
                <w:sz w:val="24"/>
                <w:szCs w:val="24"/>
              </w:rPr>
              <w:t xml:space="preserve"> </w:t>
            </w:r>
            <w:r>
              <w:rPr>
                <w:rFonts w:ascii="Times New Roman" w:hAnsi="Times New Roman" w:eastAsia="Times New Roman" w:cs="Times New Roman"/>
                <w:spacing w:val="-3"/>
                <w:sz w:val="24"/>
                <w:szCs w:val="24"/>
              </w:rPr>
              <w:t>54#~55#</w:t>
            </w:r>
            <w:r>
              <w:rPr>
                <w:rFonts w:ascii="Times New Roman" w:hAnsi="Times New Roman" w:eastAsia="Times New Roman" w:cs="Times New Roman"/>
                <w:spacing w:val="-34"/>
                <w:sz w:val="24"/>
                <w:szCs w:val="24"/>
              </w:rPr>
              <w:t xml:space="preserve"> </w:t>
            </w:r>
            <w:r>
              <w:rPr>
                <w:spacing w:val="-3"/>
                <w:sz w:val="24"/>
                <w:szCs w:val="24"/>
              </w:rPr>
              <w:t>、</w:t>
            </w:r>
            <w:r>
              <w:rPr>
                <w:rFonts w:ascii="Times New Roman" w:hAnsi="Times New Roman" w:eastAsia="Times New Roman" w:cs="Times New Roman"/>
                <w:spacing w:val="-3"/>
                <w:sz w:val="24"/>
                <w:szCs w:val="24"/>
              </w:rPr>
              <w:t xml:space="preserve">110kV </w:t>
            </w:r>
            <w:r>
              <w:rPr>
                <w:spacing w:val="-3"/>
                <w:sz w:val="24"/>
                <w:szCs w:val="24"/>
              </w:rPr>
              <w:t>杨牵Ⅱ回线</w:t>
            </w:r>
            <w:r>
              <w:rPr>
                <w:spacing w:val="-51"/>
                <w:sz w:val="24"/>
                <w:szCs w:val="24"/>
              </w:rPr>
              <w:t xml:space="preserve"> </w:t>
            </w:r>
            <w:r>
              <w:rPr>
                <w:rFonts w:ascii="Times New Roman" w:hAnsi="Times New Roman" w:eastAsia="Times New Roman" w:cs="Times New Roman"/>
                <w:spacing w:val="-3"/>
                <w:sz w:val="24"/>
                <w:szCs w:val="24"/>
              </w:rPr>
              <w:t>004#~003#</w:t>
            </w:r>
            <w:r>
              <w:rPr>
                <w:spacing w:val="-3"/>
                <w:sz w:val="24"/>
                <w:szCs w:val="24"/>
              </w:rPr>
              <w:t>双回线路塔段线路从导线弧垂最大处线路中心的地面投影点开始，监测至边导线下，然后每</w:t>
            </w:r>
            <w:r>
              <w:rPr>
                <w:spacing w:val="-4"/>
                <w:sz w:val="24"/>
                <w:szCs w:val="24"/>
              </w:rPr>
              <w:t>隔</w:t>
            </w:r>
            <w:r>
              <w:rPr>
                <w:spacing w:val="-49"/>
                <w:sz w:val="24"/>
                <w:szCs w:val="24"/>
              </w:rPr>
              <w:t xml:space="preserve"> </w:t>
            </w:r>
            <w:r>
              <w:rPr>
                <w:rFonts w:ascii="Times New Roman" w:hAnsi="Times New Roman" w:eastAsia="Times New Roman" w:cs="Times New Roman"/>
                <w:spacing w:val="-4"/>
                <w:sz w:val="24"/>
                <w:szCs w:val="24"/>
              </w:rPr>
              <w:t xml:space="preserve">5m </w:t>
            </w:r>
            <w:r>
              <w:rPr>
                <w:spacing w:val="-4"/>
                <w:sz w:val="24"/>
                <w:szCs w:val="24"/>
              </w:rPr>
              <w:t>布设</w:t>
            </w:r>
            <w:r>
              <w:rPr>
                <w:rFonts w:ascii="Times New Roman" w:hAnsi="Times New Roman" w:eastAsia="Times New Roman" w:cs="Times New Roman"/>
                <w:spacing w:val="-2"/>
                <w:sz w:val="24"/>
                <w:szCs w:val="24"/>
              </w:rPr>
              <w:t xml:space="preserve">1 </w:t>
            </w:r>
            <w:r>
              <w:rPr>
                <w:spacing w:val="-2"/>
                <w:sz w:val="24"/>
                <w:szCs w:val="24"/>
              </w:rPr>
              <w:t>个监测点位，一直测至边导线外</w:t>
            </w:r>
            <w:r>
              <w:rPr>
                <w:spacing w:val="-35"/>
                <w:sz w:val="24"/>
                <w:szCs w:val="24"/>
              </w:rPr>
              <w:t xml:space="preserve"> </w:t>
            </w:r>
            <w:r>
              <w:rPr>
                <w:rFonts w:ascii="Times New Roman" w:hAnsi="Times New Roman" w:eastAsia="Times New Roman" w:cs="Times New Roman"/>
                <w:spacing w:val="-2"/>
                <w:sz w:val="24"/>
                <w:szCs w:val="24"/>
              </w:rPr>
              <w:t xml:space="preserve">30m </w:t>
            </w:r>
            <w:r>
              <w:rPr>
                <w:spacing w:val="-2"/>
                <w:sz w:val="24"/>
                <w:szCs w:val="24"/>
              </w:rPr>
              <w:t>处。</w:t>
            </w:r>
          </w:p>
          <w:p w14:paraId="32B06D91">
            <w:pPr>
              <w:pStyle w:val="6"/>
              <w:spacing w:before="8" w:line="219" w:lineRule="auto"/>
              <w:ind w:left="705"/>
              <w:rPr>
                <w:sz w:val="24"/>
                <w:szCs w:val="24"/>
              </w:rPr>
            </w:pPr>
            <w:r>
              <w:rPr>
                <w:rFonts w:ascii="Times New Roman" w:hAnsi="Times New Roman" w:eastAsia="Times New Roman" w:cs="Times New Roman"/>
                <w:spacing w:val="-1"/>
                <w:sz w:val="24"/>
                <w:szCs w:val="24"/>
              </w:rPr>
              <w:t>4</w:t>
            </w:r>
            <w:r>
              <w:rPr>
                <w:spacing w:val="-1"/>
                <w:sz w:val="24"/>
                <w:szCs w:val="24"/>
              </w:rPr>
              <w:t>）类比监测布点</w:t>
            </w:r>
          </w:p>
          <w:p w14:paraId="051B4012">
            <w:pPr>
              <w:pStyle w:val="6"/>
              <w:spacing w:before="201" w:line="345" w:lineRule="auto"/>
              <w:ind w:left="222" w:right="21" w:firstLine="497"/>
              <w:rPr>
                <w:sz w:val="24"/>
                <w:szCs w:val="24"/>
              </w:rPr>
            </w:pPr>
            <w:r>
              <w:rPr>
                <w:spacing w:val="-3"/>
                <w:sz w:val="24"/>
                <w:szCs w:val="24"/>
              </w:rPr>
              <w:t>噪声断面监测点布设于输电线路下方距离地面</w:t>
            </w:r>
            <w:r>
              <w:rPr>
                <w:spacing w:val="-27"/>
                <w:sz w:val="24"/>
                <w:szCs w:val="24"/>
              </w:rPr>
              <w:t xml:space="preserve"> </w:t>
            </w:r>
            <w:r>
              <w:rPr>
                <w:rFonts w:ascii="Times New Roman" w:hAnsi="Times New Roman" w:eastAsia="Times New Roman" w:cs="Times New Roman"/>
                <w:spacing w:val="-3"/>
                <w:sz w:val="24"/>
                <w:szCs w:val="24"/>
              </w:rPr>
              <w:t>1.2m</w:t>
            </w:r>
            <w:r>
              <w:rPr>
                <w:rFonts w:ascii="Times New Roman" w:hAnsi="Times New Roman" w:eastAsia="Times New Roman" w:cs="Times New Roman"/>
                <w:spacing w:val="17"/>
                <w:sz w:val="24"/>
                <w:szCs w:val="24"/>
              </w:rPr>
              <w:t xml:space="preserve"> </w:t>
            </w:r>
            <w:r>
              <w:rPr>
                <w:spacing w:val="-3"/>
                <w:sz w:val="24"/>
                <w:szCs w:val="24"/>
              </w:rPr>
              <w:t>高度处。环境敏感目标监</w:t>
            </w:r>
            <w:r>
              <w:rPr>
                <w:spacing w:val="-4"/>
                <w:sz w:val="24"/>
                <w:szCs w:val="24"/>
              </w:rPr>
              <w:t>测点布设在靠近线路两侧最近的噪声敏感建筑物户外</w:t>
            </w:r>
            <w:r>
              <w:rPr>
                <w:spacing w:val="-32"/>
                <w:sz w:val="24"/>
                <w:szCs w:val="24"/>
              </w:rPr>
              <w:t xml:space="preserve"> </w:t>
            </w:r>
            <w:r>
              <w:rPr>
                <w:rFonts w:ascii="Times New Roman" w:hAnsi="Times New Roman" w:eastAsia="Times New Roman" w:cs="Times New Roman"/>
                <w:spacing w:val="-4"/>
                <w:sz w:val="24"/>
                <w:szCs w:val="24"/>
              </w:rPr>
              <w:t>1m</w:t>
            </w:r>
            <w:r>
              <w:rPr>
                <w:spacing w:val="-4"/>
                <w:sz w:val="24"/>
                <w:szCs w:val="24"/>
              </w:rPr>
              <w:t>、距离地面</w:t>
            </w:r>
            <w:r>
              <w:rPr>
                <w:spacing w:val="-32"/>
                <w:sz w:val="24"/>
                <w:szCs w:val="24"/>
              </w:rPr>
              <w:t xml:space="preserve"> </w:t>
            </w:r>
            <w:r>
              <w:rPr>
                <w:rFonts w:ascii="Times New Roman" w:hAnsi="Times New Roman" w:eastAsia="Times New Roman" w:cs="Times New Roman"/>
                <w:spacing w:val="-4"/>
                <w:sz w:val="24"/>
                <w:szCs w:val="24"/>
              </w:rPr>
              <w:t>1.2</w:t>
            </w:r>
            <w:r>
              <w:rPr>
                <w:rFonts w:ascii="Times New Roman" w:hAnsi="Times New Roman" w:eastAsia="Times New Roman" w:cs="Times New Roman"/>
                <w:spacing w:val="-5"/>
                <w:sz w:val="24"/>
                <w:szCs w:val="24"/>
              </w:rPr>
              <w:t>m</w:t>
            </w:r>
            <w:r>
              <w:rPr>
                <w:rFonts w:ascii="Times New Roman" w:hAnsi="Times New Roman" w:eastAsia="Times New Roman" w:cs="Times New Roman"/>
                <w:spacing w:val="17"/>
                <w:sz w:val="24"/>
                <w:szCs w:val="24"/>
              </w:rPr>
              <w:t xml:space="preserve"> </w:t>
            </w:r>
            <w:r>
              <w:rPr>
                <w:spacing w:val="-5"/>
                <w:sz w:val="24"/>
                <w:szCs w:val="24"/>
              </w:rPr>
              <w:t>高度处。</w:t>
            </w:r>
          </w:p>
          <w:p w14:paraId="73FD4D4B">
            <w:pPr>
              <w:pStyle w:val="6"/>
              <w:spacing w:line="219" w:lineRule="auto"/>
              <w:ind w:left="586"/>
              <w:rPr>
                <w:sz w:val="24"/>
                <w:szCs w:val="24"/>
              </w:rPr>
            </w:pPr>
            <w:r>
              <w:rPr>
                <w:rFonts w:ascii="Times New Roman" w:hAnsi="Times New Roman" w:eastAsia="Times New Roman" w:cs="Times New Roman"/>
                <w:spacing w:val="-1"/>
                <w:sz w:val="24"/>
                <w:szCs w:val="24"/>
              </w:rPr>
              <w:t>5</w:t>
            </w:r>
            <w:r>
              <w:rPr>
                <w:spacing w:val="-1"/>
                <w:sz w:val="24"/>
                <w:szCs w:val="24"/>
              </w:rPr>
              <w:t>）类比监测内容：等效连续</w:t>
            </w:r>
            <w:r>
              <w:rPr>
                <w:spacing w:val="-56"/>
                <w:sz w:val="24"/>
                <w:szCs w:val="24"/>
              </w:rPr>
              <w:t xml:space="preserve"> </w:t>
            </w:r>
            <w:r>
              <w:rPr>
                <w:rFonts w:ascii="Times New Roman" w:hAnsi="Times New Roman" w:eastAsia="Times New Roman" w:cs="Times New Roman"/>
                <w:spacing w:val="-1"/>
                <w:sz w:val="24"/>
                <w:szCs w:val="24"/>
              </w:rPr>
              <w:t xml:space="preserve">A </w:t>
            </w:r>
            <w:r>
              <w:rPr>
                <w:spacing w:val="-1"/>
                <w:sz w:val="24"/>
                <w:szCs w:val="24"/>
              </w:rPr>
              <w:t>声级。</w:t>
            </w:r>
          </w:p>
          <w:p w14:paraId="5490BFB2">
            <w:pPr>
              <w:pStyle w:val="6"/>
              <w:spacing w:before="183" w:line="220" w:lineRule="auto"/>
              <w:ind w:left="584"/>
              <w:rPr>
                <w:sz w:val="24"/>
                <w:szCs w:val="24"/>
              </w:rPr>
            </w:pPr>
            <w:r>
              <w:rPr>
                <w:rFonts w:ascii="Times New Roman" w:hAnsi="Times New Roman" w:eastAsia="Times New Roman" w:cs="Times New Roman"/>
                <w:spacing w:val="-2"/>
                <w:sz w:val="24"/>
                <w:szCs w:val="24"/>
              </w:rPr>
              <w:t>6</w:t>
            </w:r>
            <w:r>
              <w:rPr>
                <w:spacing w:val="-2"/>
                <w:sz w:val="24"/>
                <w:szCs w:val="24"/>
              </w:rPr>
              <w:t>）监测工况</w:t>
            </w:r>
          </w:p>
          <w:p w14:paraId="225F3338">
            <w:pPr>
              <w:pStyle w:val="6"/>
              <w:spacing w:before="180" w:line="219" w:lineRule="auto"/>
              <w:ind w:left="583"/>
              <w:rPr>
                <w:sz w:val="24"/>
                <w:szCs w:val="24"/>
              </w:rPr>
            </w:pPr>
            <w:r>
              <w:rPr>
                <w:spacing w:val="-1"/>
                <w:sz w:val="24"/>
                <w:szCs w:val="24"/>
              </w:rPr>
              <w:t>类比线路监测时的运行工况，见下表。</w:t>
            </w:r>
          </w:p>
          <w:p w14:paraId="6A0B18F5">
            <w:pPr>
              <w:pStyle w:val="6"/>
              <w:spacing w:before="178" w:line="206" w:lineRule="auto"/>
              <w:ind w:left="1825"/>
            </w:pPr>
            <w:r>
              <w:rPr>
                <w:b/>
                <w:bCs/>
                <w:spacing w:val="6"/>
              </w:rPr>
              <w:t>表</w:t>
            </w:r>
            <w:r>
              <w:rPr>
                <w:spacing w:val="-43"/>
              </w:rPr>
              <w:t xml:space="preserve"> </w:t>
            </w:r>
            <w:r>
              <w:rPr>
                <w:rFonts w:ascii="Times New Roman" w:hAnsi="Times New Roman" w:eastAsia="Times New Roman" w:cs="Times New Roman"/>
                <w:b/>
                <w:bCs/>
                <w:spacing w:val="6"/>
              </w:rPr>
              <w:t>4-10      110</w:t>
            </w:r>
            <w:r>
              <w:rPr>
                <w:rFonts w:ascii="Times New Roman" w:hAnsi="Times New Roman" w:eastAsia="Times New Roman" w:cs="Times New Roman"/>
                <w:b/>
                <w:bCs/>
              </w:rPr>
              <w:t>kV</w:t>
            </w:r>
            <w:r>
              <w:rPr>
                <w:rFonts w:ascii="Times New Roman" w:hAnsi="Times New Roman" w:eastAsia="Times New Roman" w:cs="Times New Roman"/>
                <w:b/>
                <w:bCs/>
                <w:spacing w:val="6"/>
              </w:rPr>
              <w:t xml:space="preserve"> </w:t>
            </w:r>
            <w:r>
              <w:rPr>
                <w:b/>
                <w:bCs/>
                <w:spacing w:val="6"/>
              </w:rPr>
              <w:t>单回、双回线路类比线路监测运行工况</w:t>
            </w:r>
          </w:p>
        </w:tc>
      </w:tr>
      <w:tr w14:paraId="32A9B0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482" w:type="dxa"/>
            <w:vMerge w:val="continue"/>
            <w:tcBorders>
              <w:top w:val="nil"/>
              <w:left w:val="single" w:color="000000" w:sz="6" w:space="0"/>
              <w:bottom w:val="nil"/>
            </w:tcBorders>
            <w:vAlign w:val="top"/>
          </w:tcPr>
          <w:p w14:paraId="33DA6743">
            <w:pPr>
              <w:rPr>
                <w:rFonts w:ascii="Arial"/>
                <w:sz w:val="21"/>
              </w:rPr>
            </w:pPr>
          </w:p>
        </w:tc>
        <w:tc>
          <w:tcPr>
            <w:tcW w:w="8685" w:type="dxa"/>
            <w:gridSpan w:val="12"/>
            <w:vAlign w:val="top"/>
          </w:tcPr>
          <w:p w14:paraId="7AFBA97D">
            <w:pPr>
              <w:pStyle w:val="6"/>
              <w:spacing w:before="143" w:line="228" w:lineRule="auto"/>
              <w:ind w:left="2604"/>
            </w:pPr>
            <w:r>
              <w:rPr>
                <w:rFonts w:ascii="Times New Roman" w:hAnsi="Times New Roman" w:eastAsia="Times New Roman" w:cs="Times New Roman"/>
                <w:b/>
                <w:bCs/>
                <w:spacing w:val="6"/>
              </w:rPr>
              <w:t>110</w:t>
            </w:r>
            <w:r>
              <w:rPr>
                <w:rFonts w:ascii="Times New Roman" w:hAnsi="Times New Roman" w:eastAsia="Times New Roman" w:cs="Times New Roman"/>
                <w:b/>
                <w:bCs/>
              </w:rPr>
              <w:t>kV</w:t>
            </w:r>
            <w:r>
              <w:rPr>
                <w:rFonts w:ascii="Times New Roman" w:hAnsi="Times New Roman" w:eastAsia="Times New Roman" w:cs="Times New Roman"/>
                <w:b/>
                <w:bCs/>
                <w:spacing w:val="6"/>
              </w:rPr>
              <w:t xml:space="preserve">  </w:t>
            </w:r>
            <w:r>
              <w:rPr>
                <w:b/>
                <w:bCs/>
                <w:spacing w:val="6"/>
              </w:rPr>
              <w:t>单回线路类比线路监测运行工况</w:t>
            </w:r>
          </w:p>
        </w:tc>
        <w:tc>
          <w:tcPr>
            <w:tcW w:w="140" w:type="dxa"/>
            <w:tcBorders>
              <w:top w:val="nil"/>
              <w:bottom w:val="nil"/>
              <w:right w:val="single" w:color="000000" w:sz="6" w:space="0"/>
            </w:tcBorders>
            <w:vAlign w:val="top"/>
          </w:tcPr>
          <w:p w14:paraId="087CAE3A">
            <w:pPr>
              <w:rPr>
                <w:rFonts w:ascii="Arial"/>
                <w:sz w:val="21"/>
              </w:rPr>
            </w:pPr>
          </w:p>
        </w:tc>
      </w:tr>
      <w:tr w14:paraId="6993D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482" w:type="dxa"/>
            <w:vMerge w:val="continue"/>
            <w:tcBorders>
              <w:top w:val="nil"/>
              <w:left w:val="single" w:color="000000" w:sz="6" w:space="0"/>
              <w:bottom w:val="nil"/>
            </w:tcBorders>
            <w:vAlign w:val="top"/>
          </w:tcPr>
          <w:p w14:paraId="08609D34">
            <w:pPr>
              <w:rPr>
                <w:rFonts w:ascii="Arial"/>
                <w:sz w:val="21"/>
              </w:rPr>
            </w:pPr>
          </w:p>
        </w:tc>
        <w:tc>
          <w:tcPr>
            <w:tcW w:w="1059" w:type="dxa"/>
            <w:gridSpan w:val="2"/>
            <w:vAlign w:val="top"/>
          </w:tcPr>
          <w:p w14:paraId="6640FA20">
            <w:pPr>
              <w:pStyle w:val="6"/>
              <w:spacing w:before="145" w:line="228" w:lineRule="auto"/>
              <w:ind w:right="8"/>
              <w:jc w:val="right"/>
            </w:pPr>
            <w:r>
              <w:rPr>
                <w:b/>
                <w:bCs/>
                <w:spacing w:val="6"/>
              </w:rPr>
              <w:t>检测时间</w:t>
            </w:r>
          </w:p>
        </w:tc>
        <w:tc>
          <w:tcPr>
            <w:tcW w:w="1772" w:type="dxa"/>
            <w:gridSpan w:val="2"/>
            <w:vAlign w:val="top"/>
          </w:tcPr>
          <w:p w14:paraId="7F533FED">
            <w:pPr>
              <w:pStyle w:val="6"/>
              <w:spacing w:before="146" w:line="228" w:lineRule="auto"/>
              <w:ind w:left="767"/>
            </w:pPr>
            <w:r>
              <w:rPr>
                <w:b/>
                <w:bCs/>
                <w:spacing w:val="2"/>
              </w:rPr>
              <w:t>项目</w:t>
            </w:r>
          </w:p>
        </w:tc>
        <w:tc>
          <w:tcPr>
            <w:tcW w:w="1445" w:type="dxa"/>
            <w:gridSpan w:val="2"/>
            <w:vAlign w:val="top"/>
          </w:tcPr>
          <w:p w14:paraId="0E998BA4">
            <w:pPr>
              <w:pStyle w:val="6"/>
              <w:spacing w:before="145" w:line="231" w:lineRule="auto"/>
              <w:ind w:left="267"/>
            </w:pPr>
            <w:r>
              <w:rPr>
                <w:b/>
                <w:bCs/>
              </w:rPr>
              <w:t>电压（</w:t>
            </w:r>
            <w:r>
              <w:rPr>
                <w:rFonts w:ascii="Times New Roman" w:hAnsi="Times New Roman" w:eastAsia="Times New Roman" w:cs="Times New Roman"/>
                <w:b/>
                <w:bCs/>
              </w:rPr>
              <w:t>kV</w:t>
            </w:r>
            <w:r>
              <w:rPr>
                <w:b/>
                <w:bCs/>
              </w:rPr>
              <w:t>）</w:t>
            </w:r>
          </w:p>
        </w:tc>
        <w:tc>
          <w:tcPr>
            <w:tcW w:w="1181" w:type="dxa"/>
            <w:gridSpan w:val="2"/>
            <w:vAlign w:val="top"/>
          </w:tcPr>
          <w:p w14:paraId="2D6517BB">
            <w:pPr>
              <w:pStyle w:val="6"/>
              <w:spacing w:before="145" w:line="231" w:lineRule="auto"/>
              <w:ind w:left="183"/>
            </w:pPr>
            <w:r>
              <w:rPr>
                <w:b/>
                <w:bCs/>
                <w:spacing w:val="-1"/>
              </w:rPr>
              <w:t>电流（</w:t>
            </w:r>
            <w:r>
              <w:rPr>
                <w:rFonts w:ascii="Times New Roman" w:hAnsi="Times New Roman" w:eastAsia="Times New Roman" w:cs="Times New Roman"/>
                <w:b/>
                <w:bCs/>
                <w:spacing w:val="-1"/>
              </w:rPr>
              <w:t>A</w:t>
            </w:r>
            <w:r>
              <w:rPr>
                <w:b/>
                <w:bCs/>
                <w:spacing w:val="-1"/>
              </w:rPr>
              <w:t>）</w:t>
            </w:r>
          </w:p>
        </w:tc>
        <w:tc>
          <w:tcPr>
            <w:tcW w:w="1656" w:type="dxa"/>
            <w:gridSpan w:val="2"/>
            <w:vAlign w:val="top"/>
          </w:tcPr>
          <w:p w14:paraId="5A97EF20">
            <w:pPr>
              <w:pStyle w:val="6"/>
              <w:spacing w:before="145" w:line="228" w:lineRule="auto"/>
              <w:jc w:val="right"/>
            </w:pPr>
            <w:r>
              <w:rPr>
                <w:b/>
                <w:bCs/>
              </w:rPr>
              <w:t>有功功率（</w:t>
            </w:r>
            <w:r>
              <w:rPr>
                <w:rFonts w:ascii="Times New Roman" w:hAnsi="Times New Roman" w:eastAsia="Times New Roman" w:cs="Times New Roman"/>
                <w:b/>
                <w:bCs/>
              </w:rPr>
              <w:t>MW</w:t>
            </w:r>
            <w:r>
              <w:rPr>
                <w:b/>
                <w:bCs/>
              </w:rPr>
              <w:t>）</w:t>
            </w:r>
          </w:p>
        </w:tc>
        <w:tc>
          <w:tcPr>
            <w:tcW w:w="1572" w:type="dxa"/>
            <w:gridSpan w:val="2"/>
            <w:vAlign w:val="top"/>
          </w:tcPr>
          <w:p w14:paraId="16B5BF88">
            <w:pPr>
              <w:pStyle w:val="6"/>
              <w:spacing w:before="145" w:line="228" w:lineRule="auto"/>
              <w:jc w:val="right"/>
            </w:pPr>
            <w:r>
              <w:rPr>
                <w:b/>
                <w:bCs/>
                <w:spacing w:val="-13"/>
              </w:rPr>
              <w:t>无功功率（</w:t>
            </w:r>
            <w:r>
              <w:rPr>
                <w:rFonts w:ascii="Times New Roman" w:hAnsi="Times New Roman" w:eastAsia="Times New Roman" w:cs="Times New Roman"/>
                <w:b/>
                <w:bCs/>
                <w:spacing w:val="-13"/>
              </w:rPr>
              <w:t>Mvar</w:t>
            </w:r>
            <w:r>
              <w:rPr>
                <w:b/>
                <w:bCs/>
                <w:spacing w:val="-13"/>
              </w:rPr>
              <w:t>）</w:t>
            </w:r>
          </w:p>
        </w:tc>
        <w:tc>
          <w:tcPr>
            <w:tcW w:w="140" w:type="dxa"/>
            <w:tcBorders>
              <w:top w:val="nil"/>
              <w:bottom w:val="nil"/>
              <w:right w:val="single" w:color="000000" w:sz="6" w:space="0"/>
            </w:tcBorders>
            <w:vAlign w:val="top"/>
          </w:tcPr>
          <w:p w14:paraId="75488268">
            <w:pPr>
              <w:rPr>
                <w:rFonts w:ascii="Arial"/>
                <w:sz w:val="21"/>
              </w:rPr>
            </w:pPr>
          </w:p>
        </w:tc>
      </w:tr>
      <w:tr w14:paraId="148CC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82" w:type="dxa"/>
            <w:vMerge w:val="continue"/>
            <w:tcBorders>
              <w:top w:val="nil"/>
              <w:left w:val="single" w:color="000000" w:sz="6" w:space="0"/>
              <w:bottom w:val="nil"/>
            </w:tcBorders>
            <w:vAlign w:val="top"/>
          </w:tcPr>
          <w:p w14:paraId="5CA06C4F">
            <w:pPr>
              <w:rPr>
                <w:rFonts w:ascii="Arial"/>
                <w:sz w:val="21"/>
              </w:rPr>
            </w:pPr>
          </w:p>
        </w:tc>
        <w:tc>
          <w:tcPr>
            <w:tcW w:w="1059" w:type="dxa"/>
            <w:gridSpan w:val="2"/>
            <w:vAlign w:val="top"/>
          </w:tcPr>
          <w:p w14:paraId="7B67A0F0">
            <w:pPr>
              <w:spacing w:before="81" w:line="194" w:lineRule="auto"/>
              <w:ind w:right="10"/>
              <w:jc w:val="right"/>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2023.</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2"/>
                <w:sz w:val="20"/>
                <w:szCs w:val="20"/>
              </w:rPr>
              <w:t>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14</w:t>
            </w:r>
          </w:p>
        </w:tc>
        <w:tc>
          <w:tcPr>
            <w:tcW w:w="1772" w:type="dxa"/>
            <w:gridSpan w:val="2"/>
            <w:vAlign w:val="top"/>
          </w:tcPr>
          <w:p w14:paraId="258746BF">
            <w:pPr>
              <w:pStyle w:val="6"/>
              <w:spacing w:before="44" w:line="205" w:lineRule="auto"/>
              <w:ind w:left="291"/>
            </w:pPr>
            <w:r>
              <w:rPr>
                <w:rFonts w:ascii="Times New Roman" w:hAnsi="Times New Roman" w:eastAsia="Times New Roman" w:cs="Times New Roman"/>
                <w:spacing w:val="4"/>
              </w:rPr>
              <w:t>110</w:t>
            </w:r>
            <w:r>
              <w:rPr>
                <w:rFonts w:ascii="Times New Roman" w:hAnsi="Times New Roman" w:eastAsia="Times New Roman" w:cs="Times New Roman"/>
              </w:rPr>
              <w:t>kV</w:t>
            </w:r>
            <w:r>
              <w:rPr>
                <w:spacing w:val="4"/>
              </w:rPr>
              <w:t>清中东线</w:t>
            </w:r>
          </w:p>
        </w:tc>
        <w:tc>
          <w:tcPr>
            <w:tcW w:w="1445" w:type="dxa"/>
            <w:gridSpan w:val="2"/>
            <w:vAlign w:val="top"/>
          </w:tcPr>
          <w:p w14:paraId="13110CCD">
            <w:pPr>
              <w:spacing w:before="81" w:line="194"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111.64-</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1"/>
                <w:sz w:val="20"/>
                <w:szCs w:val="20"/>
              </w:rPr>
              <w:t>112.29</w:t>
            </w:r>
          </w:p>
        </w:tc>
        <w:tc>
          <w:tcPr>
            <w:tcW w:w="1181" w:type="dxa"/>
            <w:gridSpan w:val="2"/>
            <w:vAlign w:val="top"/>
          </w:tcPr>
          <w:p w14:paraId="662C6E84">
            <w:pPr>
              <w:spacing w:before="81" w:line="194" w:lineRule="auto"/>
              <w:ind w:right="18"/>
              <w:jc w:val="right"/>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82.10-82.96</w:t>
            </w:r>
          </w:p>
        </w:tc>
        <w:tc>
          <w:tcPr>
            <w:tcW w:w="1656" w:type="dxa"/>
            <w:gridSpan w:val="2"/>
            <w:vAlign w:val="top"/>
          </w:tcPr>
          <w:p w14:paraId="7593E983">
            <w:pPr>
              <w:spacing w:before="81" w:line="194" w:lineRule="auto"/>
              <w:ind w:left="48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8.72-9.62</w:t>
            </w:r>
          </w:p>
        </w:tc>
        <w:tc>
          <w:tcPr>
            <w:tcW w:w="1572" w:type="dxa"/>
            <w:gridSpan w:val="2"/>
            <w:vAlign w:val="top"/>
          </w:tcPr>
          <w:p w14:paraId="15AAAD7A">
            <w:pPr>
              <w:spacing w:before="81" w:line="194" w:lineRule="auto"/>
              <w:ind w:left="4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2.02-2.26</w:t>
            </w:r>
          </w:p>
        </w:tc>
        <w:tc>
          <w:tcPr>
            <w:tcW w:w="140" w:type="dxa"/>
            <w:tcBorders>
              <w:top w:val="nil"/>
              <w:bottom w:val="nil"/>
              <w:right w:val="single" w:color="000000" w:sz="6" w:space="0"/>
            </w:tcBorders>
            <w:vAlign w:val="top"/>
          </w:tcPr>
          <w:p w14:paraId="1ED6700B">
            <w:pPr>
              <w:rPr>
                <w:rFonts w:ascii="Arial"/>
                <w:sz w:val="21"/>
              </w:rPr>
            </w:pPr>
          </w:p>
        </w:tc>
      </w:tr>
      <w:tr w14:paraId="40D6B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482" w:type="dxa"/>
            <w:vMerge w:val="continue"/>
            <w:tcBorders>
              <w:top w:val="nil"/>
              <w:left w:val="single" w:color="000000" w:sz="6" w:space="0"/>
              <w:bottom w:val="single" w:color="000000" w:sz="6" w:space="0"/>
            </w:tcBorders>
            <w:vAlign w:val="top"/>
          </w:tcPr>
          <w:p w14:paraId="59C5BE2F">
            <w:pPr>
              <w:rPr>
                <w:rFonts w:ascii="Arial"/>
                <w:sz w:val="21"/>
              </w:rPr>
            </w:pPr>
          </w:p>
        </w:tc>
        <w:tc>
          <w:tcPr>
            <w:tcW w:w="1059" w:type="dxa"/>
            <w:gridSpan w:val="2"/>
            <w:tcBorders>
              <w:bottom w:val="single" w:color="000000" w:sz="6" w:space="0"/>
            </w:tcBorders>
            <w:vAlign w:val="top"/>
          </w:tcPr>
          <w:p w14:paraId="257CEBF5">
            <w:pPr>
              <w:spacing w:before="81" w:line="195" w:lineRule="auto"/>
              <w:ind w:right="10"/>
              <w:jc w:val="right"/>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2023.</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1"/>
                <w:sz w:val="20"/>
                <w:szCs w:val="20"/>
              </w:rPr>
              <w:t>1.15</w:t>
            </w:r>
          </w:p>
        </w:tc>
        <w:tc>
          <w:tcPr>
            <w:tcW w:w="1772" w:type="dxa"/>
            <w:gridSpan w:val="2"/>
            <w:tcBorders>
              <w:bottom w:val="single" w:color="000000" w:sz="6" w:space="0"/>
            </w:tcBorders>
            <w:vAlign w:val="top"/>
          </w:tcPr>
          <w:p w14:paraId="1C878453">
            <w:pPr>
              <w:pStyle w:val="6"/>
              <w:spacing w:before="46" w:line="215" w:lineRule="auto"/>
              <w:ind w:left="291"/>
            </w:pPr>
            <w:r>
              <w:rPr>
                <w:rFonts w:ascii="Times New Roman" w:hAnsi="Times New Roman" w:eastAsia="Times New Roman" w:cs="Times New Roman"/>
                <w:spacing w:val="4"/>
              </w:rPr>
              <w:t>110</w:t>
            </w:r>
            <w:r>
              <w:rPr>
                <w:rFonts w:ascii="Times New Roman" w:hAnsi="Times New Roman" w:eastAsia="Times New Roman" w:cs="Times New Roman"/>
              </w:rPr>
              <w:t>kV</w:t>
            </w:r>
            <w:r>
              <w:rPr>
                <w:spacing w:val="4"/>
              </w:rPr>
              <w:t>清中东线</w:t>
            </w:r>
          </w:p>
        </w:tc>
        <w:tc>
          <w:tcPr>
            <w:tcW w:w="1445" w:type="dxa"/>
            <w:gridSpan w:val="2"/>
            <w:tcBorders>
              <w:bottom w:val="single" w:color="000000" w:sz="6" w:space="0"/>
            </w:tcBorders>
            <w:vAlign w:val="top"/>
          </w:tcPr>
          <w:p w14:paraId="537726F7">
            <w:pPr>
              <w:spacing w:before="81" w:line="195" w:lineRule="auto"/>
              <w:ind w:left="208"/>
              <w:rPr>
                <w:rFonts w:ascii="Times New Roman" w:hAnsi="Times New Roman" w:eastAsia="Times New Roman" w:cs="Times New Roman"/>
                <w:sz w:val="20"/>
                <w:szCs w:val="20"/>
              </w:rPr>
            </w:pPr>
            <w:r>
              <w:rPr>
                <w:rFonts w:ascii="Times New Roman" w:hAnsi="Times New Roman" w:eastAsia="Times New Roman" w:cs="Times New Roman"/>
                <w:sz w:val="20"/>
                <w:szCs w:val="20"/>
              </w:rPr>
              <w:t>112.22-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124.21</w:t>
            </w:r>
          </w:p>
        </w:tc>
        <w:tc>
          <w:tcPr>
            <w:tcW w:w="1181" w:type="dxa"/>
            <w:gridSpan w:val="2"/>
            <w:tcBorders>
              <w:bottom w:val="single" w:color="000000" w:sz="6" w:space="0"/>
            </w:tcBorders>
            <w:vAlign w:val="top"/>
          </w:tcPr>
          <w:p w14:paraId="19CEFE19">
            <w:pPr>
              <w:spacing w:before="81" w:line="195" w:lineRule="auto"/>
              <w:ind w:right="18"/>
              <w:jc w:val="right"/>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80.42-82.10</w:t>
            </w:r>
          </w:p>
        </w:tc>
        <w:tc>
          <w:tcPr>
            <w:tcW w:w="1656" w:type="dxa"/>
            <w:gridSpan w:val="2"/>
            <w:tcBorders>
              <w:bottom w:val="single" w:color="000000" w:sz="6" w:space="0"/>
            </w:tcBorders>
            <w:vAlign w:val="top"/>
          </w:tcPr>
          <w:p w14:paraId="28FC6A24">
            <w:pPr>
              <w:spacing w:before="81" w:line="195" w:lineRule="auto"/>
              <w:ind w:left="39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10.22-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11.21</w:t>
            </w:r>
          </w:p>
        </w:tc>
        <w:tc>
          <w:tcPr>
            <w:tcW w:w="1572" w:type="dxa"/>
            <w:gridSpan w:val="2"/>
            <w:tcBorders>
              <w:bottom w:val="single" w:color="000000" w:sz="6" w:space="0"/>
            </w:tcBorders>
            <w:vAlign w:val="top"/>
          </w:tcPr>
          <w:p w14:paraId="7484C7D6">
            <w:pPr>
              <w:spacing w:before="81" w:line="195" w:lineRule="auto"/>
              <w:ind w:left="41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14-2.62</w:t>
            </w:r>
          </w:p>
        </w:tc>
        <w:tc>
          <w:tcPr>
            <w:tcW w:w="140" w:type="dxa"/>
            <w:tcBorders>
              <w:top w:val="nil"/>
              <w:bottom w:val="single" w:color="000000" w:sz="6" w:space="0"/>
              <w:right w:val="single" w:color="000000" w:sz="6" w:space="0"/>
            </w:tcBorders>
            <w:vAlign w:val="top"/>
          </w:tcPr>
          <w:p w14:paraId="0ED0DF3C">
            <w:pPr>
              <w:rPr>
                <w:rFonts w:ascii="Arial"/>
                <w:sz w:val="21"/>
              </w:rPr>
            </w:pPr>
          </w:p>
        </w:tc>
      </w:tr>
    </w:tbl>
    <w:p w14:paraId="0A27DA90">
      <w:pPr>
        <w:rPr>
          <w:rFonts w:ascii="Arial"/>
          <w:sz w:val="21"/>
        </w:rPr>
      </w:pPr>
    </w:p>
    <w:p w14:paraId="42C74C0B">
      <w:pPr>
        <w:rPr>
          <w:rFonts w:ascii="Arial" w:hAnsi="Arial" w:eastAsia="Arial" w:cs="Arial"/>
          <w:sz w:val="21"/>
          <w:szCs w:val="21"/>
        </w:rPr>
        <w:sectPr>
          <w:footerReference r:id="rId118" w:type="default"/>
          <w:pgSz w:w="11907" w:h="16840"/>
          <w:pgMar w:top="400" w:right="1179" w:bottom="1240" w:left="1405" w:header="0" w:footer="1077" w:gutter="0"/>
          <w:cols w:space="720" w:num="1"/>
        </w:sectPr>
      </w:pPr>
    </w:p>
    <w:p w14:paraId="0C09D9FD">
      <w:pPr>
        <w:spacing w:before="13"/>
      </w:pPr>
    </w:p>
    <w:p w14:paraId="776CE120">
      <w:pPr>
        <w:spacing w:before="13"/>
      </w:pPr>
    </w:p>
    <w:p w14:paraId="68CF692C">
      <w:pPr>
        <w:spacing w:before="13"/>
      </w:pPr>
    </w:p>
    <w:p w14:paraId="2D4F903A">
      <w:pPr>
        <w:spacing w:before="12"/>
      </w:pPr>
    </w:p>
    <w:tbl>
      <w:tblPr>
        <w:tblStyle w:val="5"/>
        <w:tblW w:w="930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8"/>
        <w:gridCol w:w="112"/>
        <w:gridCol w:w="1048"/>
        <w:gridCol w:w="1755"/>
        <w:gridCol w:w="1431"/>
        <w:gridCol w:w="1170"/>
        <w:gridCol w:w="1640"/>
        <w:gridCol w:w="1551"/>
        <w:gridCol w:w="122"/>
      </w:tblGrid>
      <w:tr w14:paraId="37BDB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478" w:type="dxa"/>
            <w:vMerge w:val="restart"/>
            <w:tcBorders>
              <w:top w:val="single" w:color="000000" w:sz="6" w:space="0"/>
              <w:left w:val="single" w:color="000000" w:sz="6" w:space="0"/>
              <w:bottom w:val="nil"/>
            </w:tcBorders>
            <w:vAlign w:val="top"/>
          </w:tcPr>
          <w:p w14:paraId="49658AAE">
            <w:pPr>
              <w:rPr>
                <w:rFonts w:ascii="Arial"/>
                <w:sz w:val="21"/>
              </w:rPr>
            </w:pPr>
          </w:p>
        </w:tc>
        <w:tc>
          <w:tcPr>
            <w:tcW w:w="112" w:type="dxa"/>
            <w:tcBorders>
              <w:top w:val="single" w:color="000000" w:sz="6" w:space="0"/>
              <w:bottom w:val="nil"/>
            </w:tcBorders>
            <w:vAlign w:val="top"/>
          </w:tcPr>
          <w:p w14:paraId="35C618CA">
            <w:pPr>
              <w:rPr>
                <w:rFonts w:ascii="Arial"/>
                <w:sz w:val="21"/>
              </w:rPr>
            </w:pPr>
          </w:p>
        </w:tc>
        <w:tc>
          <w:tcPr>
            <w:tcW w:w="8595" w:type="dxa"/>
            <w:gridSpan w:val="6"/>
            <w:tcBorders>
              <w:top w:val="single" w:color="000000" w:sz="6" w:space="0"/>
            </w:tcBorders>
            <w:vAlign w:val="top"/>
          </w:tcPr>
          <w:p w14:paraId="3AA3B4FA">
            <w:pPr>
              <w:pStyle w:val="6"/>
              <w:spacing w:before="45" w:line="218" w:lineRule="auto"/>
              <w:ind w:left="2546"/>
            </w:pPr>
            <w:r>
              <w:rPr>
                <w:rFonts w:ascii="Times New Roman" w:hAnsi="Times New Roman" w:eastAsia="Times New Roman" w:cs="Times New Roman"/>
                <w:b/>
                <w:bCs/>
                <w:spacing w:val="7"/>
              </w:rPr>
              <w:t>110</w:t>
            </w:r>
            <w:r>
              <w:rPr>
                <w:rFonts w:ascii="Times New Roman" w:hAnsi="Times New Roman" w:eastAsia="Times New Roman" w:cs="Times New Roman"/>
                <w:b/>
                <w:bCs/>
              </w:rPr>
              <w:t>kV</w:t>
            </w:r>
            <w:r>
              <w:rPr>
                <w:b/>
                <w:bCs/>
                <w:spacing w:val="7"/>
              </w:rPr>
              <w:t>双回线路类比线路监测运行工况</w:t>
            </w:r>
          </w:p>
        </w:tc>
        <w:tc>
          <w:tcPr>
            <w:tcW w:w="122" w:type="dxa"/>
            <w:tcBorders>
              <w:top w:val="single" w:color="000000" w:sz="6" w:space="0"/>
              <w:bottom w:val="nil"/>
              <w:right w:val="single" w:color="000000" w:sz="6" w:space="0"/>
            </w:tcBorders>
            <w:vAlign w:val="top"/>
          </w:tcPr>
          <w:p w14:paraId="5C47C967">
            <w:pPr>
              <w:rPr>
                <w:rFonts w:ascii="Arial"/>
                <w:sz w:val="21"/>
              </w:rPr>
            </w:pPr>
          </w:p>
        </w:tc>
      </w:tr>
      <w:tr w14:paraId="7014E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478" w:type="dxa"/>
            <w:vMerge w:val="continue"/>
            <w:tcBorders>
              <w:top w:val="nil"/>
              <w:left w:val="single" w:color="000000" w:sz="6" w:space="0"/>
              <w:bottom w:val="nil"/>
            </w:tcBorders>
            <w:vAlign w:val="top"/>
          </w:tcPr>
          <w:p w14:paraId="2EF08579">
            <w:pPr>
              <w:rPr>
                <w:rFonts w:ascii="Arial"/>
                <w:sz w:val="21"/>
              </w:rPr>
            </w:pPr>
          </w:p>
        </w:tc>
        <w:tc>
          <w:tcPr>
            <w:tcW w:w="112" w:type="dxa"/>
            <w:tcBorders>
              <w:top w:val="nil"/>
              <w:bottom w:val="nil"/>
            </w:tcBorders>
            <w:vAlign w:val="top"/>
          </w:tcPr>
          <w:p w14:paraId="7FB0527B">
            <w:pPr>
              <w:rPr>
                <w:rFonts w:ascii="Arial"/>
                <w:sz w:val="21"/>
              </w:rPr>
            </w:pPr>
          </w:p>
        </w:tc>
        <w:tc>
          <w:tcPr>
            <w:tcW w:w="1048" w:type="dxa"/>
            <w:vAlign w:val="top"/>
          </w:tcPr>
          <w:p w14:paraId="03D24E35">
            <w:pPr>
              <w:pStyle w:val="6"/>
              <w:spacing w:before="165" w:line="228" w:lineRule="auto"/>
              <w:ind w:left="102"/>
            </w:pPr>
            <w:r>
              <w:rPr>
                <w:b/>
                <w:bCs/>
                <w:spacing w:val="6"/>
              </w:rPr>
              <w:t>检测时间</w:t>
            </w:r>
          </w:p>
        </w:tc>
        <w:tc>
          <w:tcPr>
            <w:tcW w:w="1755" w:type="dxa"/>
            <w:vAlign w:val="top"/>
          </w:tcPr>
          <w:p w14:paraId="33DC5431">
            <w:pPr>
              <w:pStyle w:val="6"/>
              <w:spacing w:before="166" w:line="228" w:lineRule="auto"/>
              <w:ind w:left="670"/>
            </w:pPr>
            <w:r>
              <w:rPr>
                <w:b/>
                <w:bCs/>
                <w:spacing w:val="2"/>
              </w:rPr>
              <w:t>项目</w:t>
            </w:r>
          </w:p>
        </w:tc>
        <w:tc>
          <w:tcPr>
            <w:tcW w:w="1431" w:type="dxa"/>
            <w:vAlign w:val="top"/>
          </w:tcPr>
          <w:p w14:paraId="281C9C32">
            <w:pPr>
              <w:pStyle w:val="6"/>
              <w:spacing w:before="166" w:line="231" w:lineRule="auto"/>
              <w:ind w:left="187"/>
            </w:pPr>
            <w:r>
              <w:rPr>
                <w:b/>
                <w:bCs/>
              </w:rPr>
              <w:t>电压（</w:t>
            </w:r>
            <w:r>
              <w:rPr>
                <w:rFonts w:ascii="Times New Roman" w:hAnsi="Times New Roman" w:eastAsia="Times New Roman" w:cs="Times New Roman"/>
                <w:b/>
                <w:bCs/>
              </w:rPr>
              <w:t>kV</w:t>
            </w:r>
            <w:r>
              <w:rPr>
                <w:b/>
                <w:bCs/>
              </w:rPr>
              <w:t>）</w:t>
            </w:r>
          </w:p>
        </w:tc>
        <w:tc>
          <w:tcPr>
            <w:tcW w:w="1170" w:type="dxa"/>
            <w:vAlign w:val="top"/>
          </w:tcPr>
          <w:p w14:paraId="071A113A">
            <w:pPr>
              <w:pStyle w:val="6"/>
              <w:spacing w:before="166" w:line="231" w:lineRule="auto"/>
              <w:ind w:left="117"/>
            </w:pPr>
            <w:r>
              <w:rPr>
                <w:b/>
                <w:bCs/>
                <w:spacing w:val="-1"/>
              </w:rPr>
              <w:t>电流（</w:t>
            </w:r>
            <w:r>
              <w:rPr>
                <w:rFonts w:ascii="Times New Roman" w:hAnsi="Times New Roman" w:eastAsia="Times New Roman" w:cs="Times New Roman"/>
                <w:b/>
                <w:bCs/>
                <w:spacing w:val="-1"/>
              </w:rPr>
              <w:t>A</w:t>
            </w:r>
            <w:r>
              <w:rPr>
                <w:b/>
                <w:bCs/>
                <w:spacing w:val="-1"/>
              </w:rPr>
              <w:t>）</w:t>
            </w:r>
          </w:p>
        </w:tc>
        <w:tc>
          <w:tcPr>
            <w:tcW w:w="1640" w:type="dxa"/>
            <w:vAlign w:val="top"/>
          </w:tcPr>
          <w:p w14:paraId="4E4AC194">
            <w:pPr>
              <w:pStyle w:val="6"/>
              <w:spacing w:before="165" w:line="228" w:lineRule="auto"/>
              <w:jc w:val="right"/>
            </w:pPr>
            <w:r>
              <w:rPr>
                <w:b/>
                <w:bCs/>
                <w:spacing w:val="3"/>
              </w:rPr>
              <w:t>有功功率（</w:t>
            </w:r>
            <w:r>
              <w:rPr>
                <w:rFonts w:ascii="Times New Roman" w:hAnsi="Times New Roman" w:eastAsia="Times New Roman" w:cs="Times New Roman"/>
                <w:b/>
                <w:bCs/>
              </w:rPr>
              <w:t>MW</w:t>
            </w:r>
            <w:r>
              <w:rPr>
                <w:b/>
                <w:bCs/>
                <w:spacing w:val="3"/>
              </w:rPr>
              <w:t>）</w:t>
            </w:r>
          </w:p>
        </w:tc>
        <w:tc>
          <w:tcPr>
            <w:tcW w:w="1551" w:type="dxa"/>
            <w:vAlign w:val="top"/>
          </w:tcPr>
          <w:p w14:paraId="777C43A8">
            <w:pPr>
              <w:pStyle w:val="6"/>
              <w:spacing w:before="31" w:line="228" w:lineRule="auto"/>
              <w:jc w:val="right"/>
              <w:rPr>
                <w:rFonts w:ascii="Times New Roman" w:hAnsi="Times New Roman" w:eastAsia="Times New Roman" w:cs="Times New Roman"/>
              </w:rPr>
            </w:pPr>
            <w:r>
              <w:rPr>
                <w:b/>
                <w:bCs/>
                <w:spacing w:val="7"/>
              </w:rPr>
              <w:t>无功功率（</w:t>
            </w:r>
            <w:r>
              <w:rPr>
                <w:rFonts w:ascii="Times New Roman" w:hAnsi="Times New Roman" w:eastAsia="Times New Roman" w:cs="Times New Roman"/>
                <w:b/>
                <w:bCs/>
              </w:rPr>
              <w:t>Mvar</w:t>
            </w:r>
          </w:p>
          <w:p w14:paraId="7BE9FB10">
            <w:pPr>
              <w:pStyle w:val="6"/>
              <w:spacing w:before="24" w:line="218" w:lineRule="auto"/>
              <w:ind w:left="703"/>
            </w:pPr>
            <w:r>
              <w:rPr>
                <w:b/>
                <w:bCs/>
                <w:spacing w:val="-3"/>
              </w:rPr>
              <w:t>)</w:t>
            </w:r>
          </w:p>
        </w:tc>
        <w:tc>
          <w:tcPr>
            <w:tcW w:w="122" w:type="dxa"/>
            <w:tcBorders>
              <w:top w:val="nil"/>
              <w:bottom w:val="nil"/>
              <w:right w:val="single" w:color="000000" w:sz="6" w:space="0"/>
            </w:tcBorders>
            <w:vAlign w:val="top"/>
          </w:tcPr>
          <w:p w14:paraId="20ECC084">
            <w:pPr>
              <w:rPr>
                <w:rFonts w:ascii="Arial"/>
                <w:sz w:val="21"/>
              </w:rPr>
            </w:pPr>
          </w:p>
        </w:tc>
      </w:tr>
      <w:tr w14:paraId="701E4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478" w:type="dxa"/>
            <w:vMerge w:val="continue"/>
            <w:tcBorders>
              <w:top w:val="nil"/>
              <w:left w:val="single" w:color="000000" w:sz="6" w:space="0"/>
              <w:bottom w:val="nil"/>
            </w:tcBorders>
            <w:vAlign w:val="top"/>
          </w:tcPr>
          <w:p w14:paraId="14238FC0">
            <w:pPr>
              <w:rPr>
                <w:rFonts w:ascii="Arial"/>
                <w:sz w:val="21"/>
              </w:rPr>
            </w:pPr>
          </w:p>
        </w:tc>
        <w:tc>
          <w:tcPr>
            <w:tcW w:w="112" w:type="dxa"/>
            <w:tcBorders>
              <w:top w:val="nil"/>
              <w:bottom w:val="nil"/>
            </w:tcBorders>
            <w:vAlign w:val="top"/>
          </w:tcPr>
          <w:p w14:paraId="1C72D8C0">
            <w:pPr>
              <w:rPr>
                <w:rFonts w:ascii="Arial"/>
                <w:sz w:val="21"/>
              </w:rPr>
            </w:pPr>
          </w:p>
        </w:tc>
        <w:tc>
          <w:tcPr>
            <w:tcW w:w="1048" w:type="dxa"/>
            <w:vMerge w:val="restart"/>
            <w:tcBorders>
              <w:bottom w:val="nil"/>
            </w:tcBorders>
            <w:vAlign w:val="top"/>
          </w:tcPr>
          <w:p w14:paraId="1BC1DD86">
            <w:pPr>
              <w:spacing w:before="209" w:line="195" w:lineRule="auto"/>
              <w:ind w:left="9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2023.</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1"/>
                <w:sz w:val="20"/>
                <w:szCs w:val="20"/>
              </w:rPr>
              <w:t>1.15</w:t>
            </w:r>
          </w:p>
        </w:tc>
        <w:tc>
          <w:tcPr>
            <w:tcW w:w="1755" w:type="dxa"/>
            <w:vAlign w:val="top"/>
          </w:tcPr>
          <w:p w14:paraId="25F67150">
            <w:pPr>
              <w:pStyle w:val="6"/>
              <w:spacing w:before="31" w:line="207" w:lineRule="auto"/>
              <w:ind w:left="194"/>
            </w:pPr>
            <w:r>
              <w:rPr>
                <w:rFonts w:ascii="Times New Roman" w:hAnsi="Times New Roman" w:eastAsia="Times New Roman" w:cs="Times New Roman"/>
                <w:spacing w:val="4"/>
              </w:rPr>
              <w:t>110</w:t>
            </w:r>
            <w:r>
              <w:rPr>
                <w:rFonts w:ascii="Times New Roman" w:hAnsi="Times New Roman" w:eastAsia="Times New Roman" w:cs="Times New Roman"/>
              </w:rPr>
              <w:t>kV</w:t>
            </w:r>
            <w:r>
              <w:rPr>
                <w:spacing w:val="4"/>
              </w:rPr>
              <w:t>嵩杨牵线</w:t>
            </w:r>
          </w:p>
        </w:tc>
        <w:tc>
          <w:tcPr>
            <w:tcW w:w="1431" w:type="dxa"/>
            <w:vAlign w:val="top"/>
          </w:tcPr>
          <w:p w14:paraId="1543D9CA">
            <w:pPr>
              <w:spacing w:before="67"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117.09~</w:t>
            </w:r>
            <w:r>
              <w:rPr>
                <w:rFonts w:ascii="Times New Roman" w:hAnsi="Times New Roman" w:eastAsia="Times New Roman" w:cs="Times New Roman"/>
                <w:spacing w:val="-17"/>
                <w:sz w:val="20"/>
                <w:szCs w:val="20"/>
              </w:rPr>
              <w:t xml:space="preserve"> </w:t>
            </w:r>
            <w:r>
              <w:rPr>
                <w:rFonts w:ascii="Times New Roman" w:hAnsi="Times New Roman" w:eastAsia="Times New Roman" w:cs="Times New Roman"/>
                <w:spacing w:val="-1"/>
                <w:sz w:val="20"/>
                <w:szCs w:val="20"/>
              </w:rPr>
              <w:t>117.21</w:t>
            </w:r>
          </w:p>
        </w:tc>
        <w:tc>
          <w:tcPr>
            <w:tcW w:w="1170" w:type="dxa"/>
            <w:vAlign w:val="top"/>
          </w:tcPr>
          <w:p w14:paraId="0464C9FB">
            <w:pPr>
              <w:spacing w:before="67" w:line="195" w:lineRule="auto"/>
              <w:ind w:left="6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78.72~79.94</w:t>
            </w:r>
          </w:p>
        </w:tc>
        <w:tc>
          <w:tcPr>
            <w:tcW w:w="1640" w:type="dxa"/>
            <w:vAlign w:val="top"/>
          </w:tcPr>
          <w:p w14:paraId="238034BA">
            <w:pPr>
              <w:spacing w:before="67" w:line="195" w:lineRule="auto"/>
              <w:ind w:left="316"/>
              <w:rPr>
                <w:rFonts w:ascii="Times New Roman" w:hAnsi="Times New Roman" w:eastAsia="Times New Roman" w:cs="Times New Roman"/>
                <w:sz w:val="20"/>
                <w:szCs w:val="20"/>
              </w:rPr>
            </w:pPr>
            <w:r>
              <w:rPr>
                <w:rFonts w:ascii="Times New Roman" w:hAnsi="Times New Roman" w:eastAsia="Times New Roman" w:cs="Times New Roman"/>
                <w:sz w:val="20"/>
                <w:szCs w:val="20"/>
              </w:rPr>
              <w:t>12.64~</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16.89</w:t>
            </w:r>
          </w:p>
        </w:tc>
        <w:tc>
          <w:tcPr>
            <w:tcW w:w="1551" w:type="dxa"/>
            <w:vAlign w:val="top"/>
          </w:tcPr>
          <w:p w14:paraId="5E414D5D">
            <w:pPr>
              <w:spacing w:before="67" w:line="195" w:lineRule="auto"/>
              <w:ind w:left="410"/>
              <w:rPr>
                <w:rFonts w:ascii="Times New Roman" w:hAnsi="Times New Roman" w:eastAsia="Times New Roman" w:cs="Times New Roman"/>
                <w:sz w:val="20"/>
                <w:szCs w:val="20"/>
              </w:rPr>
            </w:pPr>
            <w:r>
              <w:rPr>
                <w:rFonts w:ascii="Times New Roman" w:hAnsi="Times New Roman" w:eastAsia="Times New Roman" w:cs="Times New Roman"/>
                <w:sz w:val="20"/>
                <w:szCs w:val="20"/>
              </w:rPr>
              <w:t>2.6~2.</w:t>
            </w:r>
            <w:r>
              <w:rPr>
                <w:rFonts w:ascii="Times New Roman" w:hAnsi="Times New Roman" w:eastAsia="Times New Roman" w:cs="Times New Roman"/>
                <w:spacing w:val="-19"/>
                <w:sz w:val="20"/>
                <w:szCs w:val="20"/>
              </w:rPr>
              <w:t xml:space="preserve"> </w:t>
            </w:r>
            <w:r>
              <w:rPr>
                <w:rFonts w:ascii="Times New Roman" w:hAnsi="Times New Roman" w:eastAsia="Times New Roman" w:cs="Times New Roman"/>
                <w:sz w:val="20"/>
                <w:szCs w:val="20"/>
              </w:rPr>
              <w:t>12</w:t>
            </w:r>
          </w:p>
        </w:tc>
        <w:tc>
          <w:tcPr>
            <w:tcW w:w="122" w:type="dxa"/>
            <w:tcBorders>
              <w:top w:val="nil"/>
              <w:bottom w:val="nil"/>
              <w:right w:val="single" w:color="000000" w:sz="6" w:space="0"/>
            </w:tcBorders>
            <w:vAlign w:val="top"/>
          </w:tcPr>
          <w:p w14:paraId="041237F5">
            <w:pPr>
              <w:rPr>
                <w:rFonts w:ascii="Arial"/>
                <w:sz w:val="21"/>
              </w:rPr>
            </w:pPr>
          </w:p>
        </w:tc>
      </w:tr>
      <w:tr w14:paraId="3679C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478" w:type="dxa"/>
            <w:vMerge w:val="continue"/>
            <w:tcBorders>
              <w:top w:val="nil"/>
              <w:left w:val="single" w:color="000000" w:sz="6" w:space="0"/>
              <w:bottom w:val="nil"/>
            </w:tcBorders>
            <w:vAlign w:val="top"/>
          </w:tcPr>
          <w:p w14:paraId="283C2F7F">
            <w:pPr>
              <w:rPr>
                <w:rFonts w:ascii="Arial"/>
                <w:sz w:val="21"/>
              </w:rPr>
            </w:pPr>
          </w:p>
        </w:tc>
        <w:tc>
          <w:tcPr>
            <w:tcW w:w="112" w:type="dxa"/>
            <w:tcBorders>
              <w:top w:val="nil"/>
              <w:bottom w:val="nil"/>
            </w:tcBorders>
            <w:vAlign w:val="top"/>
          </w:tcPr>
          <w:p w14:paraId="21DA4CBF">
            <w:pPr>
              <w:rPr>
                <w:rFonts w:ascii="Arial"/>
                <w:sz w:val="21"/>
              </w:rPr>
            </w:pPr>
          </w:p>
        </w:tc>
        <w:tc>
          <w:tcPr>
            <w:tcW w:w="1048" w:type="dxa"/>
            <w:vMerge w:val="continue"/>
            <w:tcBorders>
              <w:top w:val="nil"/>
            </w:tcBorders>
            <w:vAlign w:val="top"/>
          </w:tcPr>
          <w:p w14:paraId="7C4AF5C0">
            <w:pPr>
              <w:rPr>
                <w:rFonts w:ascii="Arial"/>
                <w:sz w:val="21"/>
              </w:rPr>
            </w:pPr>
          </w:p>
        </w:tc>
        <w:tc>
          <w:tcPr>
            <w:tcW w:w="1755" w:type="dxa"/>
            <w:vAlign w:val="top"/>
          </w:tcPr>
          <w:p w14:paraId="33D9BC53">
            <w:pPr>
              <w:pStyle w:val="6"/>
              <w:spacing w:before="44" w:line="216" w:lineRule="auto"/>
              <w:ind w:left="88"/>
            </w:pPr>
            <w:r>
              <w:rPr>
                <w:rFonts w:ascii="Times New Roman" w:hAnsi="Times New Roman" w:eastAsia="Times New Roman" w:cs="Times New Roman"/>
                <w:spacing w:val="5"/>
              </w:rPr>
              <w:t>110</w:t>
            </w:r>
            <w:r>
              <w:rPr>
                <w:rFonts w:ascii="Times New Roman" w:hAnsi="Times New Roman" w:eastAsia="Times New Roman" w:cs="Times New Roman"/>
              </w:rPr>
              <w:t>kV</w:t>
            </w:r>
            <w:r>
              <w:rPr>
                <w:spacing w:val="5"/>
              </w:rPr>
              <w:t>杨牵Ⅱ回线</w:t>
            </w:r>
          </w:p>
        </w:tc>
        <w:tc>
          <w:tcPr>
            <w:tcW w:w="1431" w:type="dxa"/>
            <w:vAlign w:val="top"/>
          </w:tcPr>
          <w:p w14:paraId="703CA862">
            <w:pPr>
              <w:spacing w:before="80" w:line="195" w:lineRule="auto"/>
              <w:ind w:left="102"/>
              <w:rPr>
                <w:rFonts w:ascii="Times New Roman" w:hAnsi="Times New Roman" w:eastAsia="Times New Roman" w:cs="Times New Roman"/>
                <w:sz w:val="20"/>
                <w:szCs w:val="20"/>
              </w:rPr>
            </w:pPr>
            <w:r>
              <w:rPr>
                <w:rFonts w:ascii="Times New Roman" w:hAnsi="Times New Roman" w:eastAsia="Times New Roman" w:cs="Times New Roman"/>
                <w:sz w:val="20"/>
                <w:szCs w:val="20"/>
              </w:rPr>
              <w:t>102.94~</w:t>
            </w:r>
            <w:r>
              <w:rPr>
                <w:rFonts w:ascii="Times New Roman" w:hAnsi="Times New Roman" w:eastAsia="Times New Roman" w:cs="Times New Roman"/>
                <w:spacing w:val="-16"/>
                <w:sz w:val="20"/>
                <w:szCs w:val="20"/>
              </w:rPr>
              <w:t xml:space="preserve"> </w:t>
            </w:r>
            <w:r>
              <w:rPr>
                <w:rFonts w:ascii="Times New Roman" w:hAnsi="Times New Roman" w:eastAsia="Times New Roman" w:cs="Times New Roman"/>
                <w:sz w:val="20"/>
                <w:szCs w:val="20"/>
              </w:rPr>
              <w:t>108.22</w:t>
            </w:r>
          </w:p>
        </w:tc>
        <w:tc>
          <w:tcPr>
            <w:tcW w:w="1170" w:type="dxa"/>
            <w:vAlign w:val="top"/>
          </w:tcPr>
          <w:p w14:paraId="14AE6F75">
            <w:pPr>
              <w:spacing w:before="80" w:line="195" w:lineRule="auto"/>
              <w:ind w:left="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81.64~88.62</w:t>
            </w:r>
          </w:p>
        </w:tc>
        <w:tc>
          <w:tcPr>
            <w:tcW w:w="1640" w:type="dxa"/>
            <w:vAlign w:val="top"/>
          </w:tcPr>
          <w:p w14:paraId="66DA0D4C">
            <w:pPr>
              <w:spacing w:before="80" w:line="195" w:lineRule="auto"/>
              <w:ind w:left="36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10.22~</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pacing w:val="-1"/>
                <w:sz w:val="20"/>
                <w:szCs w:val="20"/>
              </w:rPr>
              <w:t>10.6</w:t>
            </w:r>
          </w:p>
        </w:tc>
        <w:tc>
          <w:tcPr>
            <w:tcW w:w="1551" w:type="dxa"/>
            <w:vAlign w:val="top"/>
          </w:tcPr>
          <w:p w14:paraId="07FCF8FE">
            <w:pPr>
              <w:spacing w:before="80"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2.78~4.69</w:t>
            </w:r>
          </w:p>
        </w:tc>
        <w:tc>
          <w:tcPr>
            <w:tcW w:w="122" w:type="dxa"/>
            <w:tcBorders>
              <w:top w:val="nil"/>
              <w:bottom w:val="nil"/>
              <w:right w:val="single" w:color="000000" w:sz="6" w:space="0"/>
            </w:tcBorders>
            <w:vAlign w:val="top"/>
          </w:tcPr>
          <w:p w14:paraId="0C257C45">
            <w:pPr>
              <w:rPr>
                <w:rFonts w:ascii="Arial"/>
                <w:sz w:val="21"/>
              </w:rPr>
            </w:pPr>
          </w:p>
        </w:tc>
      </w:tr>
      <w:tr w14:paraId="23635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trPr>
        <w:tc>
          <w:tcPr>
            <w:tcW w:w="478" w:type="dxa"/>
            <w:vMerge w:val="continue"/>
            <w:tcBorders>
              <w:top w:val="nil"/>
              <w:left w:val="single" w:color="000000" w:sz="6" w:space="0"/>
              <w:bottom w:val="nil"/>
            </w:tcBorders>
            <w:vAlign w:val="top"/>
          </w:tcPr>
          <w:p w14:paraId="152F5BB2">
            <w:pPr>
              <w:rPr>
                <w:rFonts w:ascii="Arial"/>
                <w:sz w:val="21"/>
              </w:rPr>
            </w:pPr>
          </w:p>
        </w:tc>
        <w:tc>
          <w:tcPr>
            <w:tcW w:w="112" w:type="dxa"/>
            <w:tcBorders>
              <w:top w:val="nil"/>
              <w:bottom w:val="nil"/>
            </w:tcBorders>
            <w:vAlign w:val="top"/>
          </w:tcPr>
          <w:p w14:paraId="21469EE9">
            <w:pPr>
              <w:rPr>
                <w:rFonts w:ascii="Arial"/>
                <w:sz w:val="21"/>
              </w:rPr>
            </w:pPr>
          </w:p>
        </w:tc>
        <w:tc>
          <w:tcPr>
            <w:tcW w:w="1048" w:type="dxa"/>
            <w:vMerge w:val="restart"/>
            <w:tcBorders>
              <w:bottom w:val="nil"/>
            </w:tcBorders>
            <w:vAlign w:val="top"/>
          </w:tcPr>
          <w:p w14:paraId="0FFFB9A4">
            <w:pPr>
              <w:spacing w:before="209" w:line="195" w:lineRule="auto"/>
              <w:ind w:left="9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2023.</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1"/>
                <w:sz w:val="20"/>
                <w:szCs w:val="20"/>
              </w:rPr>
              <w:t>1.16</w:t>
            </w:r>
          </w:p>
        </w:tc>
        <w:tc>
          <w:tcPr>
            <w:tcW w:w="1755" w:type="dxa"/>
            <w:vAlign w:val="top"/>
          </w:tcPr>
          <w:p w14:paraId="76C51E68">
            <w:pPr>
              <w:pStyle w:val="6"/>
              <w:spacing w:before="32" w:line="203" w:lineRule="auto"/>
              <w:ind w:left="194"/>
            </w:pPr>
            <w:r>
              <w:rPr>
                <w:rFonts w:ascii="Times New Roman" w:hAnsi="Times New Roman" w:eastAsia="Times New Roman" w:cs="Times New Roman"/>
                <w:spacing w:val="4"/>
              </w:rPr>
              <w:t>110</w:t>
            </w:r>
            <w:r>
              <w:rPr>
                <w:rFonts w:ascii="Times New Roman" w:hAnsi="Times New Roman" w:eastAsia="Times New Roman" w:cs="Times New Roman"/>
              </w:rPr>
              <w:t>kV</w:t>
            </w:r>
            <w:r>
              <w:rPr>
                <w:spacing w:val="4"/>
              </w:rPr>
              <w:t>嵩杨牵线</w:t>
            </w:r>
          </w:p>
        </w:tc>
        <w:tc>
          <w:tcPr>
            <w:tcW w:w="1431" w:type="dxa"/>
            <w:vAlign w:val="top"/>
          </w:tcPr>
          <w:p w14:paraId="19CFFE1D">
            <w:pPr>
              <w:spacing w:before="68" w:line="192"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112.28~</w:t>
            </w:r>
            <w:r>
              <w:rPr>
                <w:rFonts w:ascii="Times New Roman" w:hAnsi="Times New Roman" w:eastAsia="Times New Roman" w:cs="Times New Roman"/>
                <w:spacing w:val="-17"/>
                <w:sz w:val="20"/>
                <w:szCs w:val="20"/>
              </w:rPr>
              <w:t xml:space="preserve"> </w:t>
            </w:r>
            <w:r>
              <w:rPr>
                <w:rFonts w:ascii="Times New Roman" w:hAnsi="Times New Roman" w:eastAsia="Times New Roman" w:cs="Times New Roman"/>
                <w:spacing w:val="-1"/>
                <w:sz w:val="20"/>
                <w:szCs w:val="20"/>
              </w:rPr>
              <w:t>118.62</w:t>
            </w:r>
          </w:p>
        </w:tc>
        <w:tc>
          <w:tcPr>
            <w:tcW w:w="1170" w:type="dxa"/>
            <w:vAlign w:val="top"/>
          </w:tcPr>
          <w:p w14:paraId="3852B3B6">
            <w:pPr>
              <w:spacing w:before="68" w:line="192" w:lineRule="auto"/>
              <w:ind w:left="6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69.72~74.22</w:t>
            </w:r>
          </w:p>
        </w:tc>
        <w:tc>
          <w:tcPr>
            <w:tcW w:w="1640" w:type="dxa"/>
            <w:vAlign w:val="top"/>
          </w:tcPr>
          <w:p w14:paraId="52602F95">
            <w:pPr>
              <w:spacing w:before="68" w:line="192" w:lineRule="auto"/>
              <w:ind w:left="316"/>
              <w:rPr>
                <w:rFonts w:ascii="Times New Roman" w:hAnsi="Times New Roman" w:eastAsia="Times New Roman" w:cs="Times New Roman"/>
                <w:sz w:val="20"/>
                <w:szCs w:val="20"/>
              </w:rPr>
            </w:pPr>
            <w:r>
              <w:rPr>
                <w:rFonts w:ascii="Times New Roman" w:hAnsi="Times New Roman" w:eastAsia="Times New Roman" w:cs="Times New Roman"/>
                <w:sz w:val="20"/>
                <w:szCs w:val="20"/>
              </w:rPr>
              <w:t>17.64~</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18.27</w:t>
            </w:r>
          </w:p>
        </w:tc>
        <w:tc>
          <w:tcPr>
            <w:tcW w:w="1551" w:type="dxa"/>
            <w:vAlign w:val="top"/>
          </w:tcPr>
          <w:p w14:paraId="74D52C60">
            <w:pPr>
              <w:spacing w:before="68" w:line="192"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2.21~4.69</w:t>
            </w:r>
          </w:p>
        </w:tc>
        <w:tc>
          <w:tcPr>
            <w:tcW w:w="122" w:type="dxa"/>
            <w:tcBorders>
              <w:top w:val="nil"/>
              <w:bottom w:val="nil"/>
              <w:right w:val="single" w:color="000000" w:sz="6" w:space="0"/>
            </w:tcBorders>
            <w:vAlign w:val="top"/>
          </w:tcPr>
          <w:p w14:paraId="202B9EEE">
            <w:pPr>
              <w:rPr>
                <w:rFonts w:ascii="Arial"/>
                <w:sz w:val="21"/>
              </w:rPr>
            </w:pPr>
          </w:p>
        </w:tc>
      </w:tr>
      <w:tr w14:paraId="4D8AA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478" w:type="dxa"/>
            <w:vMerge w:val="continue"/>
            <w:tcBorders>
              <w:top w:val="nil"/>
              <w:left w:val="single" w:color="000000" w:sz="6" w:space="0"/>
              <w:bottom w:val="nil"/>
            </w:tcBorders>
            <w:vAlign w:val="top"/>
          </w:tcPr>
          <w:p w14:paraId="55AB444A">
            <w:pPr>
              <w:rPr>
                <w:rFonts w:ascii="Arial"/>
                <w:sz w:val="21"/>
              </w:rPr>
            </w:pPr>
          </w:p>
        </w:tc>
        <w:tc>
          <w:tcPr>
            <w:tcW w:w="112" w:type="dxa"/>
            <w:tcBorders>
              <w:top w:val="nil"/>
              <w:bottom w:val="nil"/>
            </w:tcBorders>
            <w:vAlign w:val="top"/>
          </w:tcPr>
          <w:p w14:paraId="005EE552">
            <w:pPr>
              <w:rPr>
                <w:rFonts w:ascii="Arial"/>
                <w:sz w:val="21"/>
              </w:rPr>
            </w:pPr>
          </w:p>
        </w:tc>
        <w:tc>
          <w:tcPr>
            <w:tcW w:w="1048" w:type="dxa"/>
            <w:vMerge w:val="continue"/>
            <w:tcBorders>
              <w:top w:val="nil"/>
            </w:tcBorders>
            <w:vAlign w:val="top"/>
          </w:tcPr>
          <w:p w14:paraId="0DE8DB91">
            <w:pPr>
              <w:rPr>
                <w:rFonts w:ascii="Arial"/>
                <w:sz w:val="21"/>
              </w:rPr>
            </w:pPr>
          </w:p>
        </w:tc>
        <w:tc>
          <w:tcPr>
            <w:tcW w:w="1755" w:type="dxa"/>
            <w:vAlign w:val="top"/>
          </w:tcPr>
          <w:p w14:paraId="2ED685B9">
            <w:pPr>
              <w:pStyle w:val="6"/>
              <w:spacing w:before="48" w:line="215" w:lineRule="auto"/>
              <w:ind w:left="88"/>
            </w:pPr>
            <w:r>
              <w:rPr>
                <w:rFonts w:ascii="Times New Roman" w:hAnsi="Times New Roman" w:eastAsia="Times New Roman" w:cs="Times New Roman"/>
                <w:spacing w:val="5"/>
              </w:rPr>
              <w:t>110</w:t>
            </w:r>
            <w:r>
              <w:rPr>
                <w:rFonts w:ascii="Times New Roman" w:hAnsi="Times New Roman" w:eastAsia="Times New Roman" w:cs="Times New Roman"/>
              </w:rPr>
              <w:t>kV</w:t>
            </w:r>
            <w:r>
              <w:rPr>
                <w:spacing w:val="5"/>
              </w:rPr>
              <w:t>杨牵Ⅱ回线</w:t>
            </w:r>
          </w:p>
        </w:tc>
        <w:tc>
          <w:tcPr>
            <w:tcW w:w="1431" w:type="dxa"/>
            <w:vAlign w:val="top"/>
          </w:tcPr>
          <w:p w14:paraId="1852668C">
            <w:pPr>
              <w:spacing w:before="84" w:line="195" w:lineRule="auto"/>
              <w:ind w:left="104"/>
              <w:rPr>
                <w:rFonts w:ascii="Times New Roman" w:hAnsi="Times New Roman" w:eastAsia="Times New Roman" w:cs="Times New Roman"/>
                <w:sz w:val="20"/>
                <w:szCs w:val="20"/>
              </w:rPr>
            </w:pPr>
            <w:r>
              <w:rPr>
                <w:rFonts w:ascii="Times New Roman" w:hAnsi="Times New Roman" w:eastAsia="Times New Roman" w:cs="Times New Roman"/>
                <w:sz w:val="20"/>
                <w:szCs w:val="20"/>
              </w:rPr>
              <w:t>108.21~</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z w:val="20"/>
                <w:szCs w:val="20"/>
              </w:rPr>
              <w:t>114.72</w:t>
            </w:r>
          </w:p>
        </w:tc>
        <w:tc>
          <w:tcPr>
            <w:tcW w:w="1170" w:type="dxa"/>
            <w:vAlign w:val="top"/>
          </w:tcPr>
          <w:p w14:paraId="60430F8B">
            <w:pPr>
              <w:spacing w:before="84" w:line="195" w:lineRule="auto"/>
              <w:ind w:left="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84.28~88.77</w:t>
            </w:r>
          </w:p>
        </w:tc>
        <w:tc>
          <w:tcPr>
            <w:tcW w:w="1640" w:type="dxa"/>
            <w:vAlign w:val="top"/>
          </w:tcPr>
          <w:p w14:paraId="6C348D4E">
            <w:pPr>
              <w:spacing w:before="84" w:line="195" w:lineRule="auto"/>
              <w:ind w:left="355"/>
              <w:rPr>
                <w:rFonts w:ascii="Times New Roman" w:hAnsi="Times New Roman" w:eastAsia="Times New Roman" w:cs="Times New Roman"/>
                <w:sz w:val="20"/>
                <w:szCs w:val="20"/>
              </w:rPr>
            </w:pPr>
            <w:r>
              <w:rPr>
                <w:rFonts w:ascii="Times New Roman" w:hAnsi="Times New Roman" w:eastAsia="Times New Roman" w:cs="Times New Roman"/>
                <w:sz w:val="20"/>
                <w:szCs w:val="20"/>
              </w:rPr>
              <w:t>9.66~</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z w:val="20"/>
                <w:szCs w:val="20"/>
              </w:rPr>
              <w:t>11.27</w:t>
            </w:r>
          </w:p>
        </w:tc>
        <w:tc>
          <w:tcPr>
            <w:tcW w:w="1551" w:type="dxa"/>
            <w:vAlign w:val="top"/>
          </w:tcPr>
          <w:p w14:paraId="32BBC202">
            <w:pPr>
              <w:spacing w:before="84"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2.29~2.94</w:t>
            </w:r>
          </w:p>
        </w:tc>
        <w:tc>
          <w:tcPr>
            <w:tcW w:w="122" w:type="dxa"/>
            <w:tcBorders>
              <w:top w:val="nil"/>
              <w:bottom w:val="nil"/>
              <w:right w:val="single" w:color="000000" w:sz="6" w:space="0"/>
            </w:tcBorders>
            <w:vAlign w:val="top"/>
          </w:tcPr>
          <w:p w14:paraId="3E430A4A">
            <w:pPr>
              <w:rPr>
                <w:rFonts w:ascii="Arial"/>
                <w:sz w:val="21"/>
              </w:rPr>
            </w:pPr>
          </w:p>
        </w:tc>
      </w:tr>
      <w:tr w14:paraId="652890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49" w:hRule="atLeast"/>
        </w:trPr>
        <w:tc>
          <w:tcPr>
            <w:tcW w:w="478" w:type="dxa"/>
            <w:vMerge w:val="continue"/>
            <w:tcBorders>
              <w:top w:val="nil"/>
              <w:left w:val="single" w:color="000000" w:sz="6" w:space="0"/>
              <w:bottom w:val="single" w:color="000000" w:sz="6" w:space="0"/>
            </w:tcBorders>
            <w:vAlign w:val="top"/>
          </w:tcPr>
          <w:p w14:paraId="5EF1F854">
            <w:pPr>
              <w:rPr>
                <w:rFonts w:ascii="Arial"/>
                <w:sz w:val="21"/>
              </w:rPr>
            </w:pPr>
          </w:p>
        </w:tc>
        <w:tc>
          <w:tcPr>
            <w:tcW w:w="8829" w:type="dxa"/>
            <w:gridSpan w:val="8"/>
            <w:tcBorders>
              <w:bottom w:val="single" w:color="000000" w:sz="6" w:space="0"/>
              <w:right w:val="single" w:color="000000" w:sz="6" w:space="0"/>
            </w:tcBorders>
            <w:vAlign w:val="top"/>
          </w:tcPr>
          <w:p w14:paraId="77C97FC3">
            <w:pPr>
              <w:pStyle w:val="6"/>
              <w:spacing w:before="38" w:line="219" w:lineRule="auto"/>
              <w:ind w:left="587"/>
              <w:rPr>
                <w:sz w:val="24"/>
                <w:szCs w:val="24"/>
              </w:rPr>
            </w:pPr>
            <w:r>
              <w:rPr>
                <w:rFonts w:ascii="Times New Roman" w:hAnsi="Times New Roman" w:eastAsia="Times New Roman" w:cs="Times New Roman"/>
                <w:spacing w:val="-1"/>
                <w:sz w:val="24"/>
                <w:szCs w:val="24"/>
              </w:rPr>
              <w:t>7</w:t>
            </w:r>
            <w:r>
              <w:rPr>
                <w:spacing w:val="-1"/>
                <w:sz w:val="24"/>
                <w:szCs w:val="24"/>
              </w:rPr>
              <w:t>）类比监测时间、监测环境</w:t>
            </w:r>
          </w:p>
          <w:p w14:paraId="0CCD4F68">
            <w:pPr>
              <w:pStyle w:val="6"/>
              <w:spacing w:before="183" w:line="217" w:lineRule="auto"/>
              <w:ind w:left="586"/>
              <w:rPr>
                <w:sz w:val="24"/>
                <w:szCs w:val="24"/>
              </w:rPr>
            </w:pPr>
            <w:r>
              <w:rPr>
                <w:spacing w:val="-2"/>
                <w:sz w:val="24"/>
                <w:szCs w:val="24"/>
              </w:rPr>
              <w:t>①单回线路</w:t>
            </w:r>
          </w:p>
          <w:p w14:paraId="02BAD27A">
            <w:pPr>
              <w:pStyle w:val="6"/>
              <w:spacing w:before="186" w:line="358" w:lineRule="auto"/>
              <w:ind w:left="588" w:right="21"/>
              <w:rPr>
                <w:sz w:val="24"/>
                <w:szCs w:val="24"/>
              </w:rPr>
            </w:pPr>
            <w:r>
              <w:rPr>
                <w:spacing w:val="-15"/>
                <w:sz w:val="24"/>
                <w:szCs w:val="24"/>
              </w:rPr>
              <w:t>测量时间：</w:t>
            </w:r>
            <w:r>
              <w:rPr>
                <w:rFonts w:ascii="Times New Roman" w:hAnsi="Times New Roman" w:eastAsia="Times New Roman" w:cs="Times New Roman"/>
                <w:spacing w:val="-15"/>
                <w:sz w:val="24"/>
                <w:szCs w:val="24"/>
              </w:rPr>
              <w:t>2023</w:t>
            </w:r>
            <w:r>
              <w:rPr>
                <w:rFonts w:ascii="Times New Roman" w:hAnsi="Times New Roman" w:eastAsia="Times New Roman" w:cs="Times New Roman"/>
                <w:spacing w:val="-16"/>
                <w:sz w:val="24"/>
                <w:szCs w:val="24"/>
              </w:rPr>
              <w:t xml:space="preserve"> </w:t>
            </w:r>
            <w:r>
              <w:rPr>
                <w:spacing w:val="-15"/>
                <w:sz w:val="24"/>
                <w:szCs w:val="24"/>
              </w:rPr>
              <w:t>年</w:t>
            </w:r>
            <w:r>
              <w:rPr>
                <w:rFonts w:ascii="Times New Roman" w:hAnsi="Times New Roman" w:eastAsia="Times New Roman" w:cs="Times New Roman"/>
                <w:spacing w:val="-15"/>
                <w:sz w:val="24"/>
                <w:szCs w:val="24"/>
              </w:rPr>
              <w:t xml:space="preserve">1 </w:t>
            </w:r>
            <w:r>
              <w:rPr>
                <w:spacing w:val="-15"/>
                <w:sz w:val="24"/>
                <w:szCs w:val="24"/>
              </w:rPr>
              <w:t>月</w:t>
            </w:r>
            <w:r>
              <w:rPr>
                <w:spacing w:val="-61"/>
                <w:sz w:val="24"/>
                <w:szCs w:val="24"/>
              </w:rPr>
              <w:t xml:space="preserve"> </w:t>
            </w:r>
            <w:r>
              <w:rPr>
                <w:rFonts w:ascii="Times New Roman" w:hAnsi="Times New Roman" w:eastAsia="Times New Roman" w:cs="Times New Roman"/>
                <w:spacing w:val="-15"/>
                <w:sz w:val="24"/>
                <w:szCs w:val="24"/>
              </w:rPr>
              <w:t>14</w:t>
            </w:r>
            <w:r>
              <w:rPr>
                <w:rFonts w:ascii="Times New Roman" w:hAnsi="Times New Roman" w:eastAsia="Times New Roman" w:cs="Times New Roman"/>
                <w:spacing w:val="27"/>
                <w:sz w:val="24"/>
                <w:szCs w:val="24"/>
              </w:rPr>
              <w:t xml:space="preserve"> </w:t>
            </w:r>
            <w:r>
              <w:rPr>
                <w:spacing w:val="-15"/>
                <w:sz w:val="24"/>
                <w:szCs w:val="24"/>
              </w:rPr>
              <w:t>日</w:t>
            </w:r>
            <w:r>
              <w:rPr>
                <w:rFonts w:ascii="Times New Roman" w:hAnsi="Times New Roman" w:eastAsia="Times New Roman" w:cs="Times New Roman"/>
                <w:spacing w:val="-15"/>
                <w:sz w:val="24"/>
                <w:szCs w:val="24"/>
              </w:rPr>
              <w:t>-2023</w:t>
            </w:r>
            <w:r>
              <w:rPr>
                <w:rFonts w:ascii="Times New Roman" w:hAnsi="Times New Roman" w:eastAsia="Times New Roman" w:cs="Times New Roman"/>
                <w:spacing w:val="-16"/>
                <w:sz w:val="24"/>
                <w:szCs w:val="24"/>
              </w:rPr>
              <w:t xml:space="preserve"> </w:t>
            </w:r>
            <w:r>
              <w:rPr>
                <w:spacing w:val="-15"/>
                <w:sz w:val="24"/>
                <w:szCs w:val="24"/>
              </w:rPr>
              <w:t>年</w:t>
            </w:r>
            <w:r>
              <w:rPr>
                <w:spacing w:val="-58"/>
                <w:sz w:val="24"/>
                <w:szCs w:val="24"/>
              </w:rPr>
              <w:t xml:space="preserve"> </w:t>
            </w:r>
            <w:r>
              <w:rPr>
                <w:rFonts w:ascii="Times New Roman" w:hAnsi="Times New Roman" w:eastAsia="Times New Roman" w:cs="Times New Roman"/>
                <w:spacing w:val="-15"/>
                <w:sz w:val="24"/>
                <w:szCs w:val="24"/>
              </w:rPr>
              <w:t xml:space="preserve">1 </w:t>
            </w:r>
            <w:r>
              <w:rPr>
                <w:spacing w:val="-15"/>
                <w:sz w:val="24"/>
                <w:szCs w:val="24"/>
              </w:rPr>
              <w:t>月</w:t>
            </w:r>
            <w:r>
              <w:rPr>
                <w:spacing w:val="-59"/>
                <w:sz w:val="24"/>
                <w:szCs w:val="24"/>
              </w:rPr>
              <w:t xml:space="preserve"> </w:t>
            </w:r>
            <w:r>
              <w:rPr>
                <w:rFonts w:ascii="Times New Roman" w:hAnsi="Times New Roman" w:eastAsia="Times New Roman" w:cs="Times New Roman"/>
                <w:spacing w:val="-15"/>
                <w:sz w:val="24"/>
                <w:szCs w:val="24"/>
              </w:rPr>
              <w:t>15</w:t>
            </w:r>
            <w:r>
              <w:rPr>
                <w:rFonts w:ascii="Times New Roman" w:hAnsi="Times New Roman" w:eastAsia="Times New Roman" w:cs="Times New Roman"/>
                <w:spacing w:val="22"/>
                <w:w w:val="101"/>
                <w:sz w:val="24"/>
                <w:szCs w:val="24"/>
              </w:rPr>
              <w:t xml:space="preserve"> </w:t>
            </w:r>
            <w:r>
              <w:rPr>
                <w:spacing w:val="-15"/>
                <w:sz w:val="24"/>
                <w:szCs w:val="24"/>
              </w:rPr>
              <w:t>日。气象条件：</w:t>
            </w:r>
            <w:r>
              <w:rPr>
                <w:spacing w:val="-16"/>
                <w:sz w:val="24"/>
                <w:szCs w:val="24"/>
              </w:rPr>
              <w:t>晴，温度</w:t>
            </w:r>
            <w:r>
              <w:rPr>
                <w:rFonts w:ascii="Times New Roman" w:hAnsi="Times New Roman" w:eastAsia="Times New Roman" w:cs="Times New Roman"/>
                <w:spacing w:val="-16"/>
                <w:sz w:val="24"/>
                <w:szCs w:val="24"/>
              </w:rPr>
              <w:t>2.2</w:t>
            </w:r>
            <w:r>
              <w:rPr>
                <w:spacing w:val="-16"/>
                <w:sz w:val="24"/>
                <w:szCs w:val="24"/>
              </w:rPr>
              <w:t>℃</w:t>
            </w:r>
            <w:r>
              <w:rPr>
                <w:rFonts w:ascii="Times New Roman" w:hAnsi="Times New Roman" w:eastAsia="Times New Roman" w:cs="Times New Roman"/>
                <w:spacing w:val="-16"/>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16"/>
                <w:sz w:val="24"/>
                <w:szCs w:val="24"/>
              </w:rPr>
              <w:t>13.7</w:t>
            </w:r>
            <w:r>
              <w:rPr>
                <w:spacing w:val="-16"/>
                <w:sz w:val="24"/>
                <w:szCs w:val="24"/>
              </w:rPr>
              <w:t>℃。</w:t>
            </w:r>
            <w:r>
              <w:rPr>
                <w:spacing w:val="-1"/>
                <w:sz w:val="24"/>
                <w:szCs w:val="24"/>
              </w:rPr>
              <w:t>监测环境：类比线路监测点附近平坦开阔，符合监测技术条件要求。</w:t>
            </w:r>
          </w:p>
          <w:p w14:paraId="5235AF83">
            <w:pPr>
              <w:pStyle w:val="6"/>
              <w:spacing w:line="217" w:lineRule="auto"/>
              <w:ind w:left="586"/>
              <w:rPr>
                <w:sz w:val="24"/>
                <w:szCs w:val="24"/>
              </w:rPr>
            </w:pPr>
            <w:r>
              <w:rPr>
                <w:spacing w:val="-2"/>
                <w:sz w:val="24"/>
                <w:szCs w:val="24"/>
              </w:rPr>
              <w:t>②双回线路</w:t>
            </w:r>
          </w:p>
          <w:p w14:paraId="5B081603">
            <w:pPr>
              <w:pStyle w:val="6"/>
              <w:spacing w:before="186" w:line="219" w:lineRule="auto"/>
              <w:ind w:left="588"/>
              <w:rPr>
                <w:sz w:val="24"/>
                <w:szCs w:val="24"/>
              </w:rPr>
            </w:pPr>
            <w:r>
              <w:rPr>
                <w:spacing w:val="-8"/>
                <w:sz w:val="24"/>
                <w:szCs w:val="24"/>
              </w:rPr>
              <w:t>测量时间：</w:t>
            </w:r>
            <w:r>
              <w:rPr>
                <w:rFonts w:ascii="Times New Roman" w:hAnsi="Times New Roman" w:eastAsia="Times New Roman" w:cs="Times New Roman"/>
                <w:spacing w:val="-8"/>
                <w:sz w:val="24"/>
                <w:szCs w:val="24"/>
              </w:rPr>
              <w:t xml:space="preserve">2023 </w:t>
            </w:r>
            <w:r>
              <w:rPr>
                <w:spacing w:val="-8"/>
                <w:sz w:val="24"/>
                <w:szCs w:val="24"/>
              </w:rPr>
              <w:t>年</w:t>
            </w:r>
            <w:r>
              <w:rPr>
                <w:spacing w:val="-32"/>
                <w:sz w:val="24"/>
                <w:szCs w:val="24"/>
              </w:rPr>
              <w:t xml:space="preserve"> </w:t>
            </w:r>
            <w:r>
              <w:rPr>
                <w:rFonts w:ascii="Times New Roman" w:hAnsi="Times New Roman" w:eastAsia="Times New Roman" w:cs="Times New Roman"/>
                <w:spacing w:val="-8"/>
                <w:sz w:val="24"/>
                <w:szCs w:val="24"/>
              </w:rPr>
              <w:t>1</w:t>
            </w:r>
            <w:r>
              <w:rPr>
                <w:rFonts w:ascii="Times New Roman" w:hAnsi="Times New Roman" w:eastAsia="Times New Roman" w:cs="Times New Roman"/>
                <w:spacing w:val="15"/>
                <w:sz w:val="24"/>
                <w:szCs w:val="24"/>
              </w:rPr>
              <w:t xml:space="preserve"> </w:t>
            </w:r>
            <w:r>
              <w:rPr>
                <w:spacing w:val="-8"/>
                <w:sz w:val="24"/>
                <w:szCs w:val="24"/>
              </w:rPr>
              <w:t>月</w:t>
            </w:r>
            <w:r>
              <w:rPr>
                <w:spacing w:val="-32"/>
                <w:sz w:val="24"/>
                <w:szCs w:val="24"/>
              </w:rPr>
              <w:t xml:space="preserve"> </w:t>
            </w:r>
            <w:r>
              <w:rPr>
                <w:rFonts w:ascii="Times New Roman" w:hAnsi="Times New Roman" w:eastAsia="Times New Roman" w:cs="Times New Roman"/>
                <w:spacing w:val="-8"/>
                <w:sz w:val="24"/>
                <w:szCs w:val="24"/>
              </w:rPr>
              <w:t xml:space="preserve">15  </w:t>
            </w:r>
            <w:r>
              <w:rPr>
                <w:spacing w:val="-8"/>
                <w:sz w:val="24"/>
                <w:szCs w:val="24"/>
              </w:rPr>
              <w:t>日</w:t>
            </w:r>
            <w:r>
              <w:rPr>
                <w:rFonts w:ascii="Times New Roman" w:hAnsi="Times New Roman" w:eastAsia="Times New Roman" w:cs="Times New Roman"/>
                <w:spacing w:val="-8"/>
                <w:sz w:val="24"/>
                <w:szCs w:val="24"/>
              </w:rPr>
              <w:t>-202</w:t>
            </w:r>
            <w:r>
              <w:rPr>
                <w:rFonts w:ascii="Times New Roman" w:hAnsi="Times New Roman" w:eastAsia="Times New Roman" w:cs="Times New Roman"/>
                <w:spacing w:val="-9"/>
                <w:sz w:val="24"/>
                <w:szCs w:val="24"/>
              </w:rPr>
              <w:t xml:space="preserve">3 </w:t>
            </w:r>
            <w:r>
              <w:rPr>
                <w:spacing w:val="-9"/>
                <w:sz w:val="24"/>
                <w:szCs w:val="24"/>
              </w:rPr>
              <w:t>年</w:t>
            </w:r>
            <w:r>
              <w:rPr>
                <w:spacing w:val="-32"/>
                <w:sz w:val="24"/>
                <w:szCs w:val="24"/>
              </w:rPr>
              <w:t xml:space="preserve"> </w:t>
            </w:r>
            <w:r>
              <w:rPr>
                <w:rFonts w:ascii="Times New Roman" w:hAnsi="Times New Roman" w:eastAsia="Times New Roman" w:cs="Times New Roman"/>
                <w:spacing w:val="-9"/>
                <w:sz w:val="24"/>
                <w:szCs w:val="24"/>
              </w:rPr>
              <w:t>1</w:t>
            </w:r>
            <w:r>
              <w:rPr>
                <w:rFonts w:ascii="Times New Roman" w:hAnsi="Times New Roman" w:eastAsia="Times New Roman" w:cs="Times New Roman"/>
                <w:spacing w:val="15"/>
                <w:w w:val="101"/>
                <w:sz w:val="24"/>
                <w:szCs w:val="24"/>
              </w:rPr>
              <w:t xml:space="preserve"> </w:t>
            </w:r>
            <w:r>
              <w:rPr>
                <w:spacing w:val="-9"/>
                <w:sz w:val="24"/>
                <w:szCs w:val="24"/>
              </w:rPr>
              <w:t>月</w:t>
            </w:r>
            <w:r>
              <w:rPr>
                <w:spacing w:val="-32"/>
                <w:sz w:val="24"/>
                <w:szCs w:val="24"/>
              </w:rPr>
              <w:t xml:space="preserve"> </w:t>
            </w:r>
            <w:r>
              <w:rPr>
                <w:rFonts w:ascii="Times New Roman" w:hAnsi="Times New Roman" w:eastAsia="Times New Roman" w:cs="Times New Roman"/>
                <w:spacing w:val="-9"/>
                <w:sz w:val="24"/>
                <w:szCs w:val="24"/>
              </w:rPr>
              <w:t xml:space="preserve">16  </w:t>
            </w:r>
            <w:r>
              <w:rPr>
                <w:spacing w:val="-9"/>
                <w:sz w:val="24"/>
                <w:szCs w:val="24"/>
              </w:rPr>
              <w:t>日。</w:t>
            </w:r>
          </w:p>
          <w:p w14:paraId="5A612FAC">
            <w:pPr>
              <w:pStyle w:val="6"/>
              <w:spacing w:before="183" w:line="216" w:lineRule="auto"/>
              <w:ind w:left="588"/>
              <w:rPr>
                <w:sz w:val="24"/>
                <w:szCs w:val="24"/>
              </w:rPr>
            </w:pPr>
            <w:r>
              <w:rPr>
                <w:spacing w:val="-5"/>
                <w:sz w:val="24"/>
                <w:szCs w:val="24"/>
              </w:rPr>
              <w:t>气象条件：晴，温度</w:t>
            </w:r>
            <w:r>
              <w:rPr>
                <w:spacing w:val="-29"/>
                <w:sz w:val="24"/>
                <w:szCs w:val="24"/>
              </w:rPr>
              <w:t xml:space="preserve"> </w:t>
            </w:r>
            <w:r>
              <w:rPr>
                <w:rFonts w:ascii="Times New Roman" w:hAnsi="Times New Roman" w:eastAsia="Times New Roman" w:cs="Times New Roman"/>
                <w:spacing w:val="-5"/>
                <w:sz w:val="24"/>
                <w:szCs w:val="24"/>
              </w:rPr>
              <w:t>1.2</w:t>
            </w:r>
            <w:r>
              <w:rPr>
                <w:spacing w:val="-5"/>
                <w:sz w:val="24"/>
                <w:szCs w:val="24"/>
              </w:rPr>
              <w:t>℃</w:t>
            </w:r>
            <w:r>
              <w:rPr>
                <w:rFonts w:ascii="Times New Roman" w:hAnsi="Times New Roman" w:eastAsia="Times New Roman" w:cs="Times New Roman"/>
                <w:spacing w:val="-5"/>
                <w:sz w:val="24"/>
                <w:szCs w:val="24"/>
              </w:rPr>
              <w:t>~8.7</w:t>
            </w:r>
            <w:r>
              <w:rPr>
                <w:spacing w:val="-5"/>
                <w:sz w:val="24"/>
                <w:szCs w:val="24"/>
              </w:rPr>
              <w:t>℃</w:t>
            </w:r>
            <w:r>
              <w:rPr>
                <w:spacing w:val="-91"/>
                <w:sz w:val="24"/>
                <w:szCs w:val="24"/>
              </w:rPr>
              <w:t xml:space="preserve"> </w:t>
            </w:r>
            <w:r>
              <w:rPr>
                <w:spacing w:val="-5"/>
                <w:sz w:val="24"/>
                <w:szCs w:val="24"/>
              </w:rPr>
              <w:t>,</w:t>
            </w:r>
            <w:r>
              <w:rPr>
                <w:spacing w:val="63"/>
                <w:sz w:val="24"/>
                <w:szCs w:val="24"/>
              </w:rPr>
              <w:t xml:space="preserve"> </w:t>
            </w:r>
            <w:r>
              <w:rPr>
                <w:spacing w:val="-5"/>
                <w:sz w:val="24"/>
                <w:szCs w:val="24"/>
              </w:rPr>
              <w:t>湿度</w:t>
            </w:r>
            <w:r>
              <w:rPr>
                <w:spacing w:val="-49"/>
                <w:sz w:val="24"/>
                <w:szCs w:val="24"/>
              </w:rPr>
              <w:t xml:space="preserve"> </w:t>
            </w:r>
            <w:r>
              <w:rPr>
                <w:rFonts w:ascii="Times New Roman" w:hAnsi="Times New Roman" w:eastAsia="Times New Roman" w:cs="Times New Roman"/>
                <w:spacing w:val="-5"/>
                <w:sz w:val="24"/>
                <w:szCs w:val="24"/>
              </w:rPr>
              <w:t>53.</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5"/>
                <w:sz w:val="24"/>
                <w:szCs w:val="24"/>
              </w:rPr>
              <w:t>1%</w:t>
            </w:r>
            <w:r>
              <w:rPr>
                <w:spacing w:val="-5"/>
                <w:sz w:val="24"/>
                <w:szCs w:val="24"/>
              </w:rPr>
              <w:t>～</w:t>
            </w:r>
            <w:r>
              <w:rPr>
                <w:rFonts w:ascii="Times New Roman" w:hAnsi="Times New Roman" w:eastAsia="Times New Roman" w:cs="Times New Roman"/>
                <w:spacing w:val="-5"/>
                <w:sz w:val="24"/>
                <w:szCs w:val="24"/>
              </w:rPr>
              <w:t>59.7%RH</w:t>
            </w:r>
            <w:r>
              <w:rPr>
                <w:spacing w:val="-5"/>
                <w:sz w:val="24"/>
                <w:szCs w:val="24"/>
              </w:rPr>
              <w:t>。</w:t>
            </w:r>
          </w:p>
          <w:p w14:paraId="7D74F24E">
            <w:pPr>
              <w:pStyle w:val="6"/>
              <w:spacing w:before="183" w:line="219" w:lineRule="auto"/>
              <w:ind w:left="588"/>
              <w:rPr>
                <w:sz w:val="24"/>
                <w:szCs w:val="24"/>
              </w:rPr>
            </w:pPr>
            <w:r>
              <w:rPr>
                <w:spacing w:val="-1"/>
                <w:sz w:val="24"/>
                <w:szCs w:val="24"/>
              </w:rPr>
              <w:t>监测环境：类比线路监测点附近平坦开阔，符合监测技术条件要求。</w:t>
            </w:r>
          </w:p>
          <w:p w14:paraId="20F44FB2">
            <w:pPr>
              <w:pStyle w:val="6"/>
              <w:spacing w:before="184" w:line="219" w:lineRule="auto"/>
              <w:ind w:left="593"/>
              <w:rPr>
                <w:sz w:val="24"/>
                <w:szCs w:val="24"/>
              </w:rPr>
            </w:pPr>
            <w:r>
              <w:rPr>
                <w:rFonts w:ascii="Times New Roman" w:hAnsi="Times New Roman" w:eastAsia="Times New Roman" w:cs="Times New Roman"/>
                <w:spacing w:val="-2"/>
                <w:sz w:val="24"/>
                <w:szCs w:val="24"/>
              </w:rPr>
              <w:t>8</w:t>
            </w:r>
            <w:r>
              <w:rPr>
                <w:spacing w:val="-2"/>
                <w:sz w:val="24"/>
                <w:szCs w:val="24"/>
              </w:rPr>
              <w:t>）类比监测结果</w:t>
            </w:r>
          </w:p>
          <w:p w14:paraId="021A5F85">
            <w:pPr>
              <w:pStyle w:val="6"/>
              <w:spacing w:before="180" w:line="217" w:lineRule="auto"/>
              <w:ind w:left="586"/>
              <w:rPr>
                <w:sz w:val="24"/>
                <w:szCs w:val="24"/>
              </w:rPr>
            </w:pPr>
            <w:r>
              <w:rPr>
                <w:spacing w:val="-1"/>
                <w:sz w:val="24"/>
                <w:szCs w:val="24"/>
              </w:rPr>
              <w:t>①</w:t>
            </w:r>
            <w:r>
              <w:rPr>
                <w:rFonts w:ascii="Times New Roman" w:hAnsi="Times New Roman" w:eastAsia="Times New Roman" w:cs="Times New Roman"/>
                <w:spacing w:val="-1"/>
                <w:sz w:val="24"/>
                <w:szCs w:val="24"/>
              </w:rPr>
              <w:t xml:space="preserve">110kV </w:t>
            </w:r>
            <w:r>
              <w:rPr>
                <w:spacing w:val="-1"/>
                <w:sz w:val="24"/>
                <w:szCs w:val="24"/>
              </w:rPr>
              <w:t>单回线路噪声监测结果，见下表。</w:t>
            </w:r>
          </w:p>
          <w:p w14:paraId="61E773E5">
            <w:pPr>
              <w:pStyle w:val="6"/>
              <w:spacing w:before="181" w:line="223" w:lineRule="auto"/>
              <w:ind w:left="1154"/>
            </w:pPr>
            <w:r>
              <w:rPr>
                <w:b/>
                <w:bCs/>
                <w:spacing w:val="6"/>
              </w:rPr>
              <w:t>表</w:t>
            </w:r>
            <w:r>
              <w:rPr>
                <w:rFonts w:ascii="Times New Roman" w:hAnsi="Times New Roman" w:eastAsia="Times New Roman" w:cs="Times New Roman"/>
                <w:b/>
                <w:bCs/>
                <w:spacing w:val="6"/>
              </w:rPr>
              <w:t xml:space="preserve">4-11      </w:t>
            </w:r>
            <w:r>
              <w:rPr>
                <w:b/>
                <w:bCs/>
                <w:spacing w:val="6"/>
              </w:rPr>
              <w:t>类比</w:t>
            </w:r>
            <w:r>
              <w:rPr>
                <w:rFonts w:ascii="Times New Roman" w:hAnsi="Times New Roman" w:eastAsia="Times New Roman" w:cs="Times New Roman"/>
                <w:b/>
                <w:bCs/>
                <w:spacing w:val="6"/>
              </w:rPr>
              <w:t>110</w:t>
            </w:r>
            <w:r>
              <w:rPr>
                <w:rFonts w:ascii="Times New Roman" w:hAnsi="Times New Roman" w:eastAsia="Times New Roman" w:cs="Times New Roman"/>
                <w:b/>
                <w:bCs/>
              </w:rPr>
              <w:t>kV</w:t>
            </w:r>
            <w:r>
              <w:rPr>
                <w:b/>
                <w:bCs/>
                <w:spacing w:val="6"/>
              </w:rPr>
              <w:t>清中东线线路噪声类比监测结果</w:t>
            </w:r>
            <w:r>
              <w:rPr>
                <w:spacing w:val="6"/>
              </w:rPr>
              <w:t xml:space="preserve">  </w:t>
            </w:r>
            <w:r>
              <w:rPr>
                <w:b/>
                <w:bCs/>
                <w:spacing w:val="6"/>
              </w:rPr>
              <w:t>单位：</w:t>
            </w:r>
            <w:r>
              <w:rPr>
                <w:rFonts w:ascii="Times New Roman" w:hAnsi="Times New Roman" w:eastAsia="Times New Roman" w:cs="Times New Roman"/>
                <w:b/>
                <w:bCs/>
              </w:rPr>
              <w:t>dB</w:t>
            </w:r>
            <w:r>
              <w:rPr>
                <w:b/>
                <w:bCs/>
                <w:spacing w:val="6"/>
              </w:rPr>
              <w:t>（</w:t>
            </w:r>
            <w:r>
              <w:rPr>
                <w:rFonts w:ascii="Times New Roman" w:hAnsi="Times New Roman" w:eastAsia="Times New Roman" w:cs="Times New Roman"/>
                <w:b/>
                <w:bCs/>
                <w:spacing w:val="6"/>
              </w:rPr>
              <w:t>A</w:t>
            </w:r>
            <w:r>
              <w:rPr>
                <w:b/>
                <w:bCs/>
                <w:spacing w:val="6"/>
              </w:rPr>
              <w:t>）</w:t>
            </w:r>
          </w:p>
          <w:tbl>
            <w:tblPr>
              <w:tblStyle w:val="5"/>
              <w:tblW w:w="8281" w:type="dxa"/>
              <w:tblInd w:w="2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3558"/>
              <w:gridCol w:w="1023"/>
              <w:gridCol w:w="1035"/>
              <w:gridCol w:w="893"/>
              <w:gridCol w:w="830"/>
            </w:tblGrid>
            <w:tr w14:paraId="09E2A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942" w:type="dxa"/>
                  <w:vAlign w:val="top"/>
                </w:tcPr>
                <w:p w14:paraId="737B9896">
                  <w:pPr>
                    <w:pStyle w:val="6"/>
                    <w:spacing w:before="170" w:line="228" w:lineRule="auto"/>
                    <w:ind w:left="54"/>
                  </w:pPr>
                  <w:r>
                    <w:rPr>
                      <w:b/>
                      <w:bCs/>
                      <w:spacing w:val="6"/>
                    </w:rPr>
                    <w:t>测点编号</w:t>
                  </w:r>
                </w:p>
              </w:tc>
              <w:tc>
                <w:tcPr>
                  <w:tcW w:w="3558" w:type="dxa"/>
                  <w:vAlign w:val="top"/>
                </w:tcPr>
                <w:p w14:paraId="7DD0F8E2">
                  <w:pPr>
                    <w:pStyle w:val="6"/>
                    <w:spacing w:before="170" w:line="228" w:lineRule="auto"/>
                    <w:ind w:left="1080"/>
                  </w:pPr>
                  <w:r>
                    <w:rPr>
                      <w:rFonts w:ascii="Times New Roman" w:hAnsi="Times New Roman" w:eastAsia="Times New Roman" w:cs="Times New Roman"/>
                      <w:b/>
                      <w:bCs/>
                      <w:spacing w:val="5"/>
                    </w:rPr>
                    <w:t>110</w:t>
                  </w:r>
                  <w:r>
                    <w:rPr>
                      <w:rFonts w:ascii="Times New Roman" w:hAnsi="Times New Roman" w:eastAsia="Times New Roman" w:cs="Times New Roman"/>
                      <w:b/>
                      <w:bCs/>
                    </w:rPr>
                    <w:t>kV</w:t>
                  </w:r>
                  <w:r>
                    <w:rPr>
                      <w:b/>
                      <w:bCs/>
                      <w:spacing w:val="5"/>
                    </w:rPr>
                    <w:t>清中东线</w:t>
                  </w:r>
                </w:p>
              </w:tc>
              <w:tc>
                <w:tcPr>
                  <w:tcW w:w="1023" w:type="dxa"/>
                  <w:vAlign w:val="top"/>
                </w:tcPr>
                <w:p w14:paraId="69547D9E">
                  <w:pPr>
                    <w:pStyle w:val="6"/>
                    <w:spacing w:before="171" w:line="228" w:lineRule="auto"/>
                    <w:ind w:left="93"/>
                  </w:pPr>
                  <w:r>
                    <w:rPr>
                      <w:b/>
                      <w:bCs/>
                      <w:spacing w:val="6"/>
                    </w:rPr>
                    <w:t>昼间噪声</w:t>
                  </w:r>
                </w:p>
              </w:tc>
              <w:tc>
                <w:tcPr>
                  <w:tcW w:w="1035" w:type="dxa"/>
                  <w:vAlign w:val="top"/>
                </w:tcPr>
                <w:p w14:paraId="76ACCB0D">
                  <w:pPr>
                    <w:pStyle w:val="6"/>
                    <w:spacing w:before="170" w:line="228" w:lineRule="auto"/>
                    <w:ind w:left="104"/>
                  </w:pPr>
                  <w:r>
                    <w:rPr>
                      <w:b/>
                      <w:bCs/>
                      <w:spacing w:val="6"/>
                    </w:rPr>
                    <w:t>标准限值</w:t>
                  </w:r>
                </w:p>
              </w:tc>
              <w:tc>
                <w:tcPr>
                  <w:tcW w:w="893" w:type="dxa"/>
                  <w:vAlign w:val="top"/>
                </w:tcPr>
                <w:p w14:paraId="5952F961">
                  <w:pPr>
                    <w:pStyle w:val="6"/>
                    <w:spacing w:before="170" w:line="228" w:lineRule="auto"/>
                    <w:ind w:left="36"/>
                  </w:pPr>
                  <w:r>
                    <w:rPr>
                      <w:b/>
                      <w:bCs/>
                      <w:spacing w:val="5"/>
                    </w:rPr>
                    <w:t>夜间噪声</w:t>
                  </w:r>
                </w:p>
              </w:tc>
              <w:tc>
                <w:tcPr>
                  <w:tcW w:w="830" w:type="dxa"/>
                  <w:vAlign w:val="top"/>
                </w:tcPr>
                <w:p w14:paraId="38C246D6">
                  <w:pPr>
                    <w:pStyle w:val="6"/>
                    <w:spacing w:before="33" w:line="235" w:lineRule="auto"/>
                    <w:ind w:left="313" w:right="96" w:hanging="207"/>
                  </w:pPr>
                  <w:r>
                    <w:rPr>
                      <w:b/>
                      <w:bCs/>
                      <w:spacing w:val="5"/>
                    </w:rPr>
                    <w:t>标准限</w:t>
                  </w:r>
                  <w:r>
                    <w:rPr>
                      <w:b/>
                      <w:bCs/>
                      <w:spacing w:val="-2"/>
                    </w:rPr>
                    <w:t>值</w:t>
                  </w:r>
                </w:p>
              </w:tc>
            </w:tr>
            <w:tr w14:paraId="555893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942" w:type="dxa"/>
                  <w:vAlign w:val="top"/>
                </w:tcPr>
                <w:p w14:paraId="598E9E9A">
                  <w:pPr>
                    <w:spacing w:before="69" w:line="195" w:lineRule="auto"/>
                    <w:ind w:left="43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3558" w:type="dxa"/>
                  <w:vAlign w:val="top"/>
                </w:tcPr>
                <w:p w14:paraId="6F67763F">
                  <w:pPr>
                    <w:pStyle w:val="6"/>
                    <w:spacing w:before="33" w:line="216" w:lineRule="auto"/>
                    <w:ind w:left="709"/>
                    <w:rPr>
                      <w:rFonts w:ascii="Times New Roman" w:hAnsi="Times New Roman" w:eastAsia="Times New Roman" w:cs="Times New Roman"/>
                    </w:rPr>
                  </w:pPr>
                  <w:r>
                    <w:rPr>
                      <w:spacing w:val="8"/>
                    </w:rPr>
                    <w:t>与线路中心投影距离</w:t>
                  </w:r>
                  <w:r>
                    <w:rPr>
                      <w:rFonts w:ascii="Times New Roman" w:hAnsi="Times New Roman" w:eastAsia="Times New Roman" w:cs="Times New Roman"/>
                      <w:spacing w:val="8"/>
                    </w:rPr>
                    <w:t>0m</w:t>
                  </w:r>
                </w:p>
              </w:tc>
              <w:tc>
                <w:tcPr>
                  <w:tcW w:w="1023" w:type="dxa"/>
                  <w:vAlign w:val="top"/>
                </w:tcPr>
                <w:p w14:paraId="56BAEDCF">
                  <w:pPr>
                    <w:spacing w:before="68" w:line="195" w:lineRule="auto"/>
                    <w:ind w:left="32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41.2</w:t>
                  </w:r>
                </w:p>
              </w:tc>
              <w:tc>
                <w:tcPr>
                  <w:tcW w:w="1035" w:type="dxa"/>
                  <w:vMerge w:val="restart"/>
                  <w:tcBorders>
                    <w:bottom w:val="nil"/>
                  </w:tcBorders>
                  <w:vAlign w:val="top"/>
                </w:tcPr>
                <w:p w14:paraId="7AE534D3">
                  <w:pPr>
                    <w:spacing w:line="248" w:lineRule="auto"/>
                    <w:rPr>
                      <w:rFonts w:ascii="Arial"/>
                      <w:sz w:val="21"/>
                    </w:rPr>
                  </w:pPr>
                </w:p>
                <w:p w14:paraId="25196A56">
                  <w:pPr>
                    <w:spacing w:line="248" w:lineRule="auto"/>
                    <w:rPr>
                      <w:rFonts w:ascii="Arial"/>
                      <w:sz w:val="21"/>
                    </w:rPr>
                  </w:pPr>
                </w:p>
                <w:p w14:paraId="4E19575B">
                  <w:pPr>
                    <w:spacing w:line="249" w:lineRule="auto"/>
                    <w:rPr>
                      <w:rFonts w:ascii="Arial"/>
                      <w:sz w:val="21"/>
                    </w:rPr>
                  </w:pPr>
                </w:p>
                <w:p w14:paraId="582EED57">
                  <w:pPr>
                    <w:spacing w:line="249" w:lineRule="auto"/>
                    <w:rPr>
                      <w:rFonts w:ascii="Arial"/>
                      <w:sz w:val="21"/>
                    </w:rPr>
                  </w:pPr>
                </w:p>
                <w:p w14:paraId="2F1064EA">
                  <w:pPr>
                    <w:spacing w:before="58" w:line="192" w:lineRule="auto"/>
                    <w:ind w:left="422"/>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893" w:type="dxa"/>
                  <w:vAlign w:val="top"/>
                </w:tcPr>
                <w:p w14:paraId="4DA293C4">
                  <w:pPr>
                    <w:spacing w:before="68"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38.6</w:t>
                  </w:r>
                </w:p>
              </w:tc>
              <w:tc>
                <w:tcPr>
                  <w:tcW w:w="830" w:type="dxa"/>
                  <w:vMerge w:val="restart"/>
                  <w:tcBorders>
                    <w:bottom w:val="nil"/>
                  </w:tcBorders>
                  <w:vAlign w:val="top"/>
                </w:tcPr>
                <w:p w14:paraId="4A0FFECB">
                  <w:pPr>
                    <w:spacing w:line="247" w:lineRule="auto"/>
                    <w:rPr>
                      <w:rFonts w:ascii="Arial"/>
                      <w:sz w:val="21"/>
                    </w:rPr>
                  </w:pPr>
                </w:p>
                <w:p w14:paraId="0E5E4B5C">
                  <w:pPr>
                    <w:spacing w:line="248" w:lineRule="auto"/>
                    <w:rPr>
                      <w:rFonts w:ascii="Arial"/>
                      <w:sz w:val="21"/>
                    </w:rPr>
                  </w:pPr>
                </w:p>
                <w:p w14:paraId="431E5635">
                  <w:pPr>
                    <w:spacing w:line="248" w:lineRule="auto"/>
                    <w:rPr>
                      <w:rFonts w:ascii="Arial"/>
                      <w:sz w:val="21"/>
                    </w:rPr>
                  </w:pPr>
                </w:p>
                <w:p w14:paraId="55266CCF">
                  <w:pPr>
                    <w:spacing w:line="248" w:lineRule="auto"/>
                    <w:rPr>
                      <w:rFonts w:ascii="Arial"/>
                      <w:sz w:val="21"/>
                    </w:rPr>
                  </w:pPr>
                </w:p>
                <w:p w14:paraId="50030D42">
                  <w:pPr>
                    <w:spacing w:before="58" w:line="195" w:lineRule="auto"/>
                    <w:ind w:left="31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r>
            <w:tr w14:paraId="5C1B9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942" w:type="dxa"/>
                  <w:vAlign w:val="top"/>
                </w:tcPr>
                <w:p w14:paraId="6316DA16">
                  <w:pPr>
                    <w:spacing w:before="67" w:line="195" w:lineRule="auto"/>
                    <w:ind w:left="41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3558" w:type="dxa"/>
                  <w:vAlign w:val="top"/>
                </w:tcPr>
                <w:p w14:paraId="5521C167">
                  <w:pPr>
                    <w:pStyle w:val="6"/>
                    <w:spacing w:before="31" w:line="217" w:lineRule="auto"/>
                    <w:jc w:val="right"/>
                  </w:pPr>
                  <w:r>
                    <w:rPr>
                      <w:spacing w:val="7"/>
                    </w:rPr>
                    <w:t>与线路中心投影距离</w:t>
                  </w:r>
                  <w:r>
                    <w:rPr>
                      <w:rFonts w:ascii="Times New Roman" w:hAnsi="Times New Roman" w:eastAsia="Times New Roman" w:cs="Times New Roman"/>
                      <w:spacing w:val="7"/>
                    </w:rPr>
                    <w:t>2.5m</w:t>
                  </w:r>
                  <w:r>
                    <w:rPr>
                      <w:spacing w:val="7"/>
                    </w:rPr>
                    <w:t>（边导线下）</w:t>
                  </w:r>
                </w:p>
              </w:tc>
              <w:tc>
                <w:tcPr>
                  <w:tcW w:w="1023" w:type="dxa"/>
                  <w:vAlign w:val="top"/>
                </w:tcPr>
                <w:p w14:paraId="2ABA414E">
                  <w:pPr>
                    <w:spacing w:before="67" w:line="195" w:lineRule="auto"/>
                    <w:ind w:left="32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41.0</w:t>
                  </w:r>
                </w:p>
              </w:tc>
              <w:tc>
                <w:tcPr>
                  <w:tcW w:w="1035" w:type="dxa"/>
                  <w:vMerge w:val="continue"/>
                  <w:tcBorders>
                    <w:top w:val="nil"/>
                    <w:bottom w:val="nil"/>
                  </w:tcBorders>
                  <w:vAlign w:val="top"/>
                </w:tcPr>
                <w:p w14:paraId="3AD6D090">
                  <w:pPr>
                    <w:rPr>
                      <w:rFonts w:ascii="Arial"/>
                      <w:sz w:val="21"/>
                    </w:rPr>
                  </w:pPr>
                </w:p>
              </w:tc>
              <w:tc>
                <w:tcPr>
                  <w:tcW w:w="893" w:type="dxa"/>
                  <w:vAlign w:val="top"/>
                </w:tcPr>
                <w:p w14:paraId="273741BC">
                  <w:pPr>
                    <w:spacing w:before="67"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38.5</w:t>
                  </w:r>
                </w:p>
              </w:tc>
              <w:tc>
                <w:tcPr>
                  <w:tcW w:w="830" w:type="dxa"/>
                  <w:vMerge w:val="continue"/>
                  <w:tcBorders>
                    <w:top w:val="nil"/>
                    <w:bottom w:val="nil"/>
                  </w:tcBorders>
                  <w:vAlign w:val="top"/>
                </w:tcPr>
                <w:p w14:paraId="6A040FD9">
                  <w:pPr>
                    <w:rPr>
                      <w:rFonts w:ascii="Arial"/>
                      <w:sz w:val="21"/>
                    </w:rPr>
                  </w:pPr>
                </w:p>
              </w:tc>
            </w:tr>
            <w:tr w14:paraId="47D18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942" w:type="dxa"/>
                  <w:vAlign w:val="top"/>
                </w:tcPr>
                <w:p w14:paraId="399860E1">
                  <w:pPr>
                    <w:spacing w:before="68" w:line="195" w:lineRule="auto"/>
                    <w:ind w:left="42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3558" w:type="dxa"/>
                  <w:vAlign w:val="top"/>
                </w:tcPr>
                <w:p w14:paraId="37412DF4">
                  <w:pPr>
                    <w:pStyle w:val="6"/>
                    <w:spacing w:before="33" w:line="216" w:lineRule="auto"/>
                    <w:ind w:left="1227"/>
                    <w:rPr>
                      <w:rFonts w:ascii="Times New Roman" w:hAnsi="Times New Roman" w:eastAsia="Times New Roman" w:cs="Times New Roman"/>
                    </w:rPr>
                  </w:pPr>
                  <w:r>
                    <w:rPr>
                      <w:spacing w:val="7"/>
                    </w:rPr>
                    <w:t>边导线外</w:t>
                  </w:r>
                  <w:r>
                    <w:rPr>
                      <w:rFonts w:ascii="Times New Roman" w:hAnsi="Times New Roman" w:eastAsia="Times New Roman" w:cs="Times New Roman"/>
                      <w:spacing w:val="7"/>
                    </w:rPr>
                    <w:t>5m</w:t>
                  </w:r>
                </w:p>
              </w:tc>
              <w:tc>
                <w:tcPr>
                  <w:tcW w:w="1023" w:type="dxa"/>
                  <w:vAlign w:val="top"/>
                </w:tcPr>
                <w:p w14:paraId="269484CE">
                  <w:pPr>
                    <w:spacing w:before="68" w:line="195" w:lineRule="auto"/>
                    <w:ind w:left="32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41.</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2"/>
                      <w:sz w:val="20"/>
                      <w:szCs w:val="20"/>
                    </w:rPr>
                    <w:t>1</w:t>
                  </w:r>
                </w:p>
              </w:tc>
              <w:tc>
                <w:tcPr>
                  <w:tcW w:w="1035" w:type="dxa"/>
                  <w:vMerge w:val="continue"/>
                  <w:tcBorders>
                    <w:top w:val="nil"/>
                    <w:bottom w:val="nil"/>
                  </w:tcBorders>
                  <w:vAlign w:val="top"/>
                </w:tcPr>
                <w:p w14:paraId="06A889BF">
                  <w:pPr>
                    <w:rPr>
                      <w:rFonts w:ascii="Arial"/>
                      <w:sz w:val="21"/>
                    </w:rPr>
                  </w:pPr>
                </w:p>
              </w:tc>
              <w:tc>
                <w:tcPr>
                  <w:tcW w:w="893" w:type="dxa"/>
                  <w:vAlign w:val="top"/>
                </w:tcPr>
                <w:p w14:paraId="78816CDE">
                  <w:pPr>
                    <w:spacing w:before="68"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38.5</w:t>
                  </w:r>
                </w:p>
              </w:tc>
              <w:tc>
                <w:tcPr>
                  <w:tcW w:w="830" w:type="dxa"/>
                  <w:vMerge w:val="continue"/>
                  <w:tcBorders>
                    <w:top w:val="nil"/>
                    <w:bottom w:val="nil"/>
                  </w:tcBorders>
                  <w:vAlign w:val="top"/>
                </w:tcPr>
                <w:p w14:paraId="77986525">
                  <w:pPr>
                    <w:rPr>
                      <w:rFonts w:ascii="Arial"/>
                      <w:sz w:val="21"/>
                    </w:rPr>
                  </w:pPr>
                </w:p>
              </w:tc>
            </w:tr>
            <w:tr w14:paraId="6D79B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942" w:type="dxa"/>
                  <w:vAlign w:val="top"/>
                </w:tcPr>
                <w:p w14:paraId="10E95779">
                  <w:pPr>
                    <w:spacing w:before="70" w:line="195" w:lineRule="auto"/>
                    <w:ind w:left="41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3558" w:type="dxa"/>
                  <w:vAlign w:val="top"/>
                </w:tcPr>
                <w:p w14:paraId="0D449653">
                  <w:pPr>
                    <w:pStyle w:val="6"/>
                    <w:spacing w:before="34" w:line="215" w:lineRule="auto"/>
                    <w:ind w:left="1175"/>
                    <w:rPr>
                      <w:rFonts w:ascii="Times New Roman" w:hAnsi="Times New Roman" w:eastAsia="Times New Roman" w:cs="Times New Roman"/>
                    </w:rPr>
                  </w:pPr>
                  <w:r>
                    <w:rPr>
                      <w:spacing w:val="7"/>
                    </w:rPr>
                    <w:t>边导线外</w:t>
                  </w:r>
                  <w:r>
                    <w:rPr>
                      <w:rFonts w:ascii="Times New Roman" w:hAnsi="Times New Roman" w:eastAsia="Times New Roman" w:cs="Times New Roman"/>
                      <w:spacing w:val="7"/>
                    </w:rPr>
                    <w:t>10m</w:t>
                  </w:r>
                </w:p>
              </w:tc>
              <w:tc>
                <w:tcPr>
                  <w:tcW w:w="1023" w:type="dxa"/>
                  <w:vAlign w:val="top"/>
                </w:tcPr>
                <w:p w14:paraId="521358D4">
                  <w:pPr>
                    <w:spacing w:before="70" w:line="195" w:lineRule="auto"/>
                    <w:ind w:left="32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40.8</w:t>
                  </w:r>
                </w:p>
              </w:tc>
              <w:tc>
                <w:tcPr>
                  <w:tcW w:w="1035" w:type="dxa"/>
                  <w:vMerge w:val="continue"/>
                  <w:tcBorders>
                    <w:top w:val="nil"/>
                    <w:bottom w:val="nil"/>
                  </w:tcBorders>
                  <w:vAlign w:val="top"/>
                </w:tcPr>
                <w:p w14:paraId="53D5618C">
                  <w:pPr>
                    <w:rPr>
                      <w:rFonts w:ascii="Arial"/>
                      <w:sz w:val="21"/>
                    </w:rPr>
                  </w:pPr>
                </w:p>
              </w:tc>
              <w:tc>
                <w:tcPr>
                  <w:tcW w:w="893" w:type="dxa"/>
                  <w:vAlign w:val="top"/>
                </w:tcPr>
                <w:p w14:paraId="56827509">
                  <w:pPr>
                    <w:spacing w:before="70"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38.4</w:t>
                  </w:r>
                </w:p>
              </w:tc>
              <w:tc>
                <w:tcPr>
                  <w:tcW w:w="830" w:type="dxa"/>
                  <w:vMerge w:val="continue"/>
                  <w:tcBorders>
                    <w:top w:val="nil"/>
                    <w:bottom w:val="nil"/>
                  </w:tcBorders>
                  <w:vAlign w:val="top"/>
                </w:tcPr>
                <w:p w14:paraId="7721188A">
                  <w:pPr>
                    <w:rPr>
                      <w:rFonts w:ascii="Arial"/>
                      <w:sz w:val="21"/>
                    </w:rPr>
                  </w:pPr>
                </w:p>
              </w:tc>
            </w:tr>
            <w:tr w14:paraId="7F8C0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942" w:type="dxa"/>
                  <w:vAlign w:val="top"/>
                </w:tcPr>
                <w:p w14:paraId="34FD5B92">
                  <w:pPr>
                    <w:spacing w:before="71" w:line="192" w:lineRule="auto"/>
                    <w:ind w:left="425"/>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3558" w:type="dxa"/>
                  <w:vAlign w:val="top"/>
                </w:tcPr>
                <w:p w14:paraId="161D4EC6">
                  <w:pPr>
                    <w:pStyle w:val="6"/>
                    <w:spacing w:before="33" w:line="216" w:lineRule="auto"/>
                    <w:ind w:left="1175"/>
                    <w:rPr>
                      <w:rFonts w:ascii="Times New Roman" w:hAnsi="Times New Roman" w:eastAsia="Times New Roman" w:cs="Times New Roman"/>
                    </w:rPr>
                  </w:pPr>
                  <w:r>
                    <w:rPr>
                      <w:spacing w:val="7"/>
                    </w:rPr>
                    <w:t>边导线外</w:t>
                  </w:r>
                  <w:r>
                    <w:rPr>
                      <w:rFonts w:ascii="Times New Roman" w:hAnsi="Times New Roman" w:eastAsia="Times New Roman" w:cs="Times New Roman"/>
                      <w:spacing w:val="7"/>
                    </w:rPr>
                    <w:t>15m</w:t>
                  </w:r>
                </w:p>
              </w:tc>
              <w:tc>
                <w:tcPr>
                  <w:tcW w:w="1023" w:type="dxa"/>
                  <w:vAlign w:val="top"/>
                </w:tcPr>
                <w:p w14:paraId="41AFE671">
                  <w:pPr>
                    <w:spacing w:before="68" w:line="195" w:lineRule="auto"/>
                    <w:ind w:left="32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40.8</w:t>
                  </w:r>
                </w:p>
              </w:tc>
              <w:tc>
                <w:tcPr>
                  <w:tcW w:w="1035" w:type="dxa"/>
                  <w:vMerge w:val="continue"/>
                  <w:tcBorders>
                    <w:top w:val="nil"/>
                    <w:bottom w:val="nil"/>
                  </w:tcBorders>
                  <w:vAlign w:val="top"/>
                </w:tcPr>
                <w:p w14:paraId="6A4E0AF8">
                  <w:pPr>
                    <w:rPr>
                      <w:rFonts w:ascii="Arial"/>
                      <w:sz w:val="21"/>
                    </w:rPr>
                  </w:pPr>
                </w:p>
              </w:tc>
              <w:tc>
                <w:tcPr>
                  <w:tcW w:w="893" w:type="dxa"/>
                  <w:vAlign w:val="top"/>
                </w:tcPr>
                <w:p w14:paraId="135263E0">
                  <w:pPr>
                    <w:spacing w:before="68"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38.4</w:t>
                  </w:r>
                </w:p>
              </w:tc>
              <w:tc>
                <w:tcPr>
                  <w:tcW w:w="830" w:type="dxa"/>
                  <w:vMerge w:val="continue"/>
                  <w:tcBorders>
                    <w:top w:val="nil"/>
                    <w:bottom w:val="nil"/>
                  </w:tcBorders>
                  <w:vAlign w:val="top"/>
                </w:tcPr>
                <w:p w14:paraId="68380002">
                  <w:pPr>
                    <w:rPr>
                      <w:rFonts w:ascii="Arial"/>
                      <w:sz w:val="21"/>
                    </w:rPr>
                  </w:pPr>
                </w:p>
              </w:tc>
            </w:tr>
            <w:tr w14:paraId="0C557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942" w:type="dxa"/>
                  <w:vAlign w:val="top"/>
                </w:tcPr>
                <w:p w14:paraId="768CA1C2">
                  <w:pPr>
                    <w:spacing w:before="70" w:line="195" w:lineRule="auto"/>
                    <w:ind w:left="424"/>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3558" w:type="dxa"/>
                  <w:vAlign w:val="top"/>
                </w:tcPr>
                <w:p w14:paraId="1254522C">
                  <w:pPr>
                    <w:pStyle w:val="6"/>
                    <w:spacing w:before="34" w:line="214" w:lineRule="auto"/>
                    <w:ind w:left="1175"/>
                    <w:rPr>
                      <w:rFonts w:ascii="Times New Roman" w:hAnsi="Times New Roman" w:eastAsia="Times New Roman" w:cs="Times New Roman"/>
                    </w:rPr>
                  </w:pPr>
                  <w:r>
                    <w:rPr>
                      <w:spacing w:val="7"/>
                    </w:rPr>
                    <w:t>边导线外</w:t>
                  </w:r>
                  <w:r>
                    <w:rPr>
                      <w:rFonts w:ascii="Times New Roman" w:hAnsi="Times New Roman" w:eastAsia="Times New Roman" w:cs="Times New Roman"/>
                      <w:spacing w:val="7"/>
                    </w:rPr>
                    <w:t>20m</w:t>
                  </w:r>
                </w:p>
              </w:tc>
              <w:tc>
                <w:tcPr>
                  <w:tcW w:w="1023" w:type="dxa"/>
                  <w:vAlign w:val="top"/>
                </w:tcPr>
                <w:p w14:paraId="2C2FF7F1">
                  <w:pPr>
                    <w:spacing w:before="70" w:line="195" w:lineRule="auto"/>
                    <w:ind w:left="32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41.0</w:t>
                  </w:r>
                </w:p>
              </w:tc>
              <w:tc>
                <w:tcPr>
                  <w:tcW w:w="1035" w:type="dxa"/>
                  <w:vMerge w:val="continue"/>
                  <w:tcBorders>
                    <w:top w:val="nil"/>
                    <w:bottom w:val="nil"/>
                  </w:tcBorders>
                  <w:vAlign w:val="top"/>
                </w:tcPr>
                <w:p w14:paraId="18B45AB9">
                  <w:pPr>
                    <w:rPr>
                      <w:rFonts w:ascii="Arial"/>
                      <w:sz w:val="21"/>
                    </w:rPr>
                  </w:pPr>
                </w:p>
              </w:tc>
              <w:tc>
                <w:tcPr>
                  <w:tcW w:w="893" w:type="dxa"/>
                  <w:vAlign w:val="top"/>
                </w:tcPr>
                <w:p w14:paraId="0BE347F6">
                  <w:pPr>
                    <w:spacing w:before="70"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38.6</w:t>
                  </w:r>
                </w:p>
              </w:tc>
              <w:tc>
                <w:tcPr>
                  <w:tcW w:w="830" w:type="dxa"/>
                  <w:vMerge w:val="continue"/>
                  <w:tcBorders>
                    <w:top w:val="nil"/>
                    <w:bottom w:val="nil"/>
                  </w:tcBorders>
                  <w:vAlign w:val="top"/>
                </w:tcPr>
                <w:p w14:paraId="2FB60C5E">
                  <w:pPr>
                    <w:rPr>
                      <w:rFonts w:ascii="Arial"/>
                      <w:sz w:val="21"/>
                    </w:rPr>
                  </w:pPr>
                </w:p>
              </w:tc>
            </w:tr>
            <w:tr w14:paraId="5A050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942" w:type="dxa"/>
                  <w:vAlign w:val="top"/>
                </w:tcPr>
                <w:p w14:paraId="4935B47E">
                  <w:pPr>
                    <w:spacing w:before="75" w:line="192" w:lineRule="auto"/>
                    <w:ind w:left="423"/>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3558" w:type="dxa"/>
                  <w:vAlign w:val="top"/>
                </w:tcPr>
                <w:p w14:paraId="714B2791">
                  <w:pPr>
                    <w:pStyle w:val="6"/>
                    <w:spacing w:before="36" w:line="213" w:lineRule="auto"/>
                    <w:ind w:left="1175"/>
                    <w:rPr>
                      <w:rFonts w:ascii="Times New Roman" w:hAnsi="Times New Roman" w:eastAsia="Times New Roman" w:cs="Times New Roman"/>
                    </w:rPr>
                  </w:pPr>
                  <w:r>
                    <w:rPr>
                      <w:spacing w:val="7"/>
                    </w:rPr>
                    <w:t>边导线外</w:t>
                  </w:r>
                  <w:r>
                    <w:rPr>
                      <w:rFonts w:ascii="Times New Roman" w:hAnsi="Times New Roman" w:eastAsia="Times New Roman" w:cs="Times New Roman"/>
                      <w:spacing w:val="7"/>
                    </w:rPr>
                    <w:t>25m</w:t>
                  </w:r>
                </w:p>
              </w:tc>
              <w:tc>
                <w:tcPr>
                  <w:tcW w:w="1023" w:type="dxa"/>
                  <w:vAlign w:val="top"/>
                </w:tcPr>
                <w:p w14:paraId="4688B3CD">
                  <w:pPr>
                    <w:spacing w:before="72" w:line="195" w:lineRule="auto"/>
                    <w:ind w:left="32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40.9</w:t>
                  </w:r>
                </w:p>
              </w:tc>
              <w:tc>
                <w:tcPr>
                  <w:tcW w:w="1035" w:type="dxa"/>
                  <w:vMerge w:val="continue"/>
                  <w:tcBorders>
                    <w:top w:val="nil"/>
                    <w:bottom w:val="nil"/>
                  </w:tcBorders>
                  <w:vAlign w:val="top"/>
                </w:tcPr>
                <w:p w14:paraId="2762BA4E">
                  <w:pPr>
                    <w:rPr>
                      <w:rFonts w:ascii="Arial"/>
                      <w:sz w:val="21"/>
                    </w:rPr>
                  </w:pPr>
                </w:p>
              </w:tc>
              <w:tc>
                <w:tcPr>
                  <w:tcW w:w="893" w:type="dxa"/>
                  <w:vAlign w:val="top"/>
                </w:tcPr>
                <w:p w14:paraId="7BC71CA6">
                  <w:pPr>
                    <w:spacing w:before="72"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38.5</w:t>
                  </w:r>
                </w:p>
              </w:tc>
              <w:tc>
                <w:tcPr>
                  <w:tcW w:w="830" w:type="dxa"/>
                  <w:vMerge w:val="continue"/>
                  <w:tcBorders>
                    <w:top w:val="nil"/>
                    <w:bottom w:val="nil"/>
                  </w:tcBorders>
                  <w:vAlign w:val="top"/>
                </w:tcPr>
                <w:p w14:paraId="09556817">
                  <w:pPr>
                    <w:rPr>
                      <w:rFonts w:ascii="Arial"/>
                      <w:sz w:val="21"/>
                    </w:rPr>
                  </w:pPr>
                </w:p>
              </w:tc>
            </w:tr>
            <w:tr w14:paraId="42584B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942" w:type="dxa"/>
                  <w:vAlign w:val="top"/>
                </w:tcPr>
                <w:p w14:paraId="3D862A09">
                  <w:pPr>
                    <w:spacing w:before="71" w:line="195" w:lineRule="auto"/>
                    <w:ind w:left="428"/>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3558" w:type="dxa"/>
                  <w:vAlign w:val="top"/>
                </w:tcPr>
                <w:p w14:paraId="673805EC">
                  <w:pPr>
                    <w:pStyle w:val="6"/>
                    <w:spacing w:before="34" w:line="218" w:lineRule="auto"/>
                    <w:ind w:left="1175"/>
                    <w:rPr>
                      <w:rFonts w:ascii="Times New Roman" w:hAnsi="Times New Roman" w:eastAsia="Times New Roman" w:cs="Times New Roman"/>
                    </w:rPr>
                  </w:pPr>
                  <w:r>
                    <w:rPr>
                      <w:spacing w:val="7"/>
                    </w:rPr>
                    <w:t>边导线外</w:t>
                  </w:r>
                  <w:r>
                    <w:rPr>
                      <w:rFonts w:ascii="Times New Roman" w:hAnsi="Times New Roman" w:eastAsia="Times New Roman" w:cs="Times New Roman"/>
                      <w:spacing w:val="7"/>
                    </w:rPr>
                    <w:t>30m</w:t>
                  </w:r>
                </w:p>
              </w:tc>
              <w:tc>
                <w:tcPr>
                  <w:tcW w:w="1023" w:type="dxa"/>
                  <w:vAlign w:val="top"/>
                </w:tcPr>
                <w:p w14:paraId="46F1B62F">
                  <w:pPr>
                    <w:spacing w:before="71" w:line="195" w:lineRule="auto"/>
                    <w:ind w:left="32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40.9</w:t>
                  </w:r>
                </w:p>
              </w:tc>
              <w:tc>
                <w:tcPr>
                  <w:tcW w:w="1035" w:type="dxa"/>
                  <w:vMerge w:val="continue"/>
                  <w:tcBorders>
                    <w:top w:val="nil"/>
                  </w:tcBorders>
                  <w:vAlign w:val="top"/>
                </w:tcPr>
                <w:p w14:paraId="4A85BCDF">
                  <w:pPr>
                    <w:rPr>
                      <w:rFonts w:ascii="Arial"/>
                      <w:sz w:val="21"/>
                    </w:rPr>
                  </w:pPr>
                </w:p>
              </w:tc>
              <w:tc>
                <w:tcPr>
                  <w:tcW w:w="893" w:type="dxa"/>
                  <w:vAlign w:val="top"/>
                </w:tcPr>
                <w:p w14:paraId="1DA34837">
                  <w:pPr>
                    <w:spacing w:before="71"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38.5</w:t>
                  </w:r>
                </w:p>
              </w:tc>
              <w:tc>
                <w:tcPr>
                  <w:tcW w:w="830" w:type="dxa"/>
                  <w:vMerge w:val="continue"/>
                  <w:tcBorders>
                    <w:top w:val="nil"/>
                  </w:tcBorders>
                  <w:vAlign w:val="top"/>
                </w:tcPr>
                <w:p w14:paraId="11026BE5">
                  <w:pPr>
                    <w:rPr>
                      <w:rFonts w:ascii="Arial"/>
                      <w:sz w:val="21"/>
                    </w:rPr>
                  </w:pPr>
                </w:p>
              </w:tc>
            </w:tr>
          </w:tbl>
          <w:p w14:paraId="5CDEF573">
            <w:pPr>
              <w:pStyle w:val="6"/>
              <w:spacing w:before="34" w:line="217" w:lineRule="auto"/>
              <w:ind w:left="586"/>
              <w:rPr>
                <w:sz w:val="24"/>
                <w:szCs w:val="24"/>
              </w:rPr>
            </w:pPr>
            <w:r>
              <w:rPr>
                <w:spacing w:val="-3"/>
                <w:sz w:val="24"/>
                <w:szCs w:val="24"/>
              </w:rPr>
              <w:t>②</w:t>
            </w:r>
            <w:r>
              <w:rPr>
                <w:rFonts w:ascii="Times New Roman" w:hAnsi="Times New Roman" w:eastAsia="Times New Roman" w:cs="Times New Roman"/>
                <w:spacing w:val="-3"/>
                <w:sz w:val="24"/>
                <w:szCs w:val="24"/>
              </w:rPr>
              <w:t>110kV</w:t>
            </w:r>
            <w:r>
              <w:rPr>
                <w:rFonts w:ascii="Times New Roman" w:hAnsi="Times New Roman" w:eastAsia="Times New Roman" w:cs="Times New Roman"/>
                <w:spacing w:val="45"/>
                <w:sz w:val="24"/>
                <w:szCs w:val="24"/>
              </w:rPr>
              <w:t xml:space="preserve"> </w:t>
            </w:r>
            <w:r>
              <w:rPr>
                <w:spacing w:val="-3"/>
                <w:sz w:val="24"/>
                <w:szCs w:val="24"/>
              </w:rPr>
              <w:t>同塔双回线路类比监测结果</w:t>
            </w:r>
          </w:p>
          <w:p w14:paraId="0D70B09F">
            <w:pPr>
              <w:pStyle w:val="6"/>
              <w:spacing w:before="187" w:line="219" w:lineRule="auto"/>
              <w:ind w:left="606"/>
              <w:rPr>
                <w:sz w:val="24"/>
                <w:szCs w:val="24"/>
              </w:rPr>
            </w:pPr>
            <w:r>
              <w:rPr>
                <w:rFonts w:ascii="Times New Roman" w:hAnsi="Times New Roman" w:eastAsia="Times New Roman" w:cs="Times New Roman"/>
                <w:spacing w:val="-3"/>
                <w:sz w:val="24"/>
                <w:szCs w:val="24"/>
              </w:rPr>
              <w:t>110kV</w:t>
            </w:r>
            <w:r>
              <w:rPr>
                <w:rFonts w:ascii="Times New Roman" w:hAnsi="Times New Roman" w:eastAsia="Times New Roman" w:cs="Times New Roman"/>
                <w:spacing w:val="42"/>
                <w:sz w:val="24"/>
                <w:szCs w:val="24"/>
              </w:rPr>
              <w:t xml:space="preserve"> </w:t>
            </w:r>
            <w:r>
              <w:rPr>
                <w:spacing w:val="-3"/>
                <w:sz w:val="24"/>
                <w:szCs w:val="24"/>
              </w:rPr>
              <w:t>同塔双回线路噪声类比监测结果，见下表。</w:t>
            </w:r>
          </w:p>
          <w:p w14:paraId="36528D41">
            <w:pPr>
              <w:pStyle w:val="6"/>
              <w:spacing w:before="178" w:line="222" w:lineRule="auto"/>
              <w:ind w:left="389"/>
            </w:pPr>
            <w:r>
              <w:rPr>
                <w:b/>
                <w:bCs/>
                <w:spacing w:val="7"/>
              </w:rPr>
              <w:t>表</w:t>
            </w:r>
            <w:r>
              <w:rPr>
                <w:rFonts w:ascii="Times New Roman" w:hAnsi="Times New Roman" w:eastAsia="Times New Roman" w:cs="Times New Roman"/>
                <w:b/>
                <w:bCs/>
                <w:spacing w:val="7"/>
              </w:rPr>
              <w:t>4-12    110</w:t>
            </w:r>
            <w:r>
              <w:rPr>
                <w:rFonts w:ascii="Times New Roman" w:hAnsi="Times New Roman" w:eastAsia="Times New Roman" w:cs="Times New Roman"/>
                <w:b/>
                <w:bCs/>
              </w:rPr>
              <w:t>kV</w:t>
            </w:r>
            <w:r>
              <w:rPr>
                <w:b/>
                <w:bCs/>
                <w:spacing w:val="7"/>
              </w:rPr>
              <w:t>嵩杨牵线、</w:t>
            </w:r>
            <w:r>
              <w:rPr>
                <w:rFonts w:ascii="Times New Roman" w:hAnsi="Times New Roman" w:eastAsia="Times New Roman" w:cs="Times New Roman"/>
                <w:b/>
                <w:bCs/>
                <w:spacing w:val="7"/>
              </w:rPr>
              <w:t>110</w:t>
            </w:r>
            <w:r>
              <w:rPr>
                <w:rFonts w:ascii="Times New Roman" w:hAnsi="Times New Roman" w:eastAsia="Times New Roman" w:cs="Times New Roman"/>
                <w:b/>
                <w:bCs/>
              </w:rPr>
              <w:t>kV</w:t>
            </w:r>
            <w:r>
              <w:rPr>
                <w:b/>
                <w:bCs/>
                <w:spacing w:val="7"/>
              </w:rPr>
              <w:t>杨牵Ⅱ回线双回路噪声类比监测结果</w:t>
            </w:r>
            <w:r>
              <w:rPr>
                <w:spacing w:val="7"/>
              </w:rPr>
              <w:t xml:space="preserve">  </w:t>
            </w:r>
            <w:r>
              <w:rPr>
                <w:b/>
                <w:bCs/>
                <w:spacing w:val="7"/>
              </w:rPr>
              <w:t>单位：</w:t>
            </w:r>
            <w:r>
              <w:rPr>
                <w:rFonts w:ascii="Times New Roman" w:hAnsi="Times New Roman" w:eastAsia="Times New Roman" w:cs="Times New Roman"/>
                <w:b/>
                <w:bCs/>
              </w:rPr>
              <w:t>dB</w:t>
            </w:r>
            <w:r>
              <w:rPr>
                <w:b/>
                <w:bCs/>
                <w:spacing w:val="7"/>
              </w:rPr>
              <w:t>（</w:t>
            </w:r>
            <w:r>
              <w:rPr>
                <w:rFonts w:ascii="Times New Roman" w:hAnsi="Times New Roman" w:eastAsia="Times New Roman" w:cs="Times New Roman"/>
                <w:b/>
                <w:bCs/>
                <w:spacing w:val="6"/>
              </w:rPr>
              <w:t>A</w:t>
            </w:r>
            <w:r>
              <w:rPr>
                <w:b/>
                <w:bCs/>
                <w:spacing w:val="6"/>
              </w:rPr>
              <w:t>）</w:t>
            </w:r>
          </w:p>
          <w:tbl>
            <w:tblPr>
              <w:tblStyle w:val="5"/>
              <w:tblW w:w="8260" w:type="dxa"/>
              <w:tblInd w:w="2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4"/>
              <w:gridCol w:w="2336"/>
              <w:gridCol w:w="1382"/>
              <w:gridCol w:w="1049"/>
              <w:gridCol w:w="1528"/>
              <w:gridCol w:w="1021"/>
            </w:tblGrid>
            <w:tr w14:paraId="7B65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944" w:type="dxa"/>
                  <w:vAlign w:val="top"/>
                </w:tcPr>
                <w:p w14:paraId="22BFAF03">
                  <w:pPr>
                    <w:pStyle w:val="6"/>
                    <w:spacing w:before="36" w:line="218" w:lineRule="auto"/>
                    <w:ind w:left="262"/>
                  </w:pPr>
                  <w:r>
                    <w:rPr>
                      <w:b/>
                      <w:bCs/>
                      <w:spacing w:val="4"/>
                    </w:rPr>
                    <w:t>序号</w:t>
                  </w:r>
                </w:p>
              </w:tc>
              <w:tc>
                <w:tcPr>
                  <w:tcW w:w="2336" w:type="dxa"/>
                  <w:vAlign w:val="top"/>
                </w:tcPr>
                <w:p w14:paraId="11719DD4">
                  <w:pPr>
                    <w:pStyle w:val="6"/>
                    <w:spacing w:before="36" w:line="218" w:lineRule="auto"/>
                    <w:ind w:left="537"/>
                  </w:pPr>
                  <w:r>
                    <w:rPr>
                      <w:b/>
                      <w:bCs/>
                      <w:spacing w:val="6"/>
                    </w:rPr>
                    <w:t>监测点位描述</w:t>
                  </w:r>
                </w:p>
              </w:tc>
              <w:tc>
                <w:tcPr>
                  <w:tcW w:w="1382" w:type="dxa"/>
                  <w:vAlign w:val="top"/>
                </w:tcPr>
                <w:p w14:paraId="37576B1A">
                  <w:pPr>
                    <w:pStyle w:val="6"/>
                    <w:spacing w:before="36" w:line="218" w:lineRule="auto"/>
                    <w:ind w:left="270"/>
                  </w:pPr>
                  <w:r>
                    <w:rPr>
                      <w:b/>
                      <w:bCs/>
                      <w:spacing w:val="6"/>
                    </w:rPr>
                    <w:t>昼间噪声</w:t>
                  </w:r>
                </w:p>
              </w:tc>
              <w:tc>
                <w:tcPr>
                  <w:tcW w:w="1049" w:type="dxa"/>
                  <w:vAlign w:val="top"/>
                </w:tcPr>
                <w:p w14:paraId="5A67EFA9">
                  <w:pPr>
                    <w:pStyle w:val="6"/>
                    <w:spacing w:before="36" w:line="218" w:lineRule="auto"/>
                    <w:ind w:left="107"/>
                  </w:pPr>
                  <w:r>
                    <w:rPr>
                      <w:b/>
                      <w:bCs/>
                      <w:spacing w:val="6"/>
                    </w:rPr>
                    <w:t>标准限值</w:t>
                  </w:r>
                </w:p>
              </w:tc>
              <w:tc>
                <w:tcPr>
                  <w:tcW w:w="1528" w:type="dxa"/>
                  <w:vAlign w:val="top"/>
                </w:tcPr>
                <w:p w14:paraId="3AC0A7B4">
                  <w:pPr>
                    <w:pStyle w:val="6"/>
                    <w:spacing w:before="36" w:line="218" w:lineRule="auto"/>
                    <w:ind w:left="351"/>
                  </w:pPr>
                  <w:r>
                    <w:rPr>
                      <w:b/>
                      <w:bCs/>
                      <w:spacing w:val="5"/>
                    </w:rPr>
                    <w:t>夜间噪声</w:t>
                  </w:r>
                </w:p>
              </w:tc>
              <w:tc>
                <w:tcPr>
                  <w:tcW w:w="1021" w:type="dxa"/>
                  <w:vAlign w:val="top"/>
                </w:tcPr>
                <w:p w14:paraId="793E3D45">
                  <w:pPr>
                    <w:pStyle w:val="6"/>
                    <w:spacing w:before="36" w:line="218" w:lineRule="auto"/>
                    <w:ind w:left="93"/>
                  </w:pPr>
                  <w:r>
                    <w:rPr>
                      <w:b/>
                      <w:bCs/>
                      <w:spacing w:val="6"/>
                    </w:rPr>
                    <w:t>标准限值</w:t>
                  </w:r>
                </w:p>
              </w:tc>
            </w:tr>
            <w:tr w14:paraId="342FB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44" w:type="dxa"/>
                  <w:vAlign w:val="top"/>
                </w:tcPr>
                <w:p w14:paraId="50C3D615">
                  <w:pPr>
                    <w:spacing w:before="64" w:line="194" w:lineRule="auto"/>
                    <w:ind w:left="43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336" w:type="dxa"/>
                  <w:vAlign w:val="top"/>
                </w:tcPr>
                <w:p w14:paraId="24562FC6">
                  <w:pPr>
                    <w:pStyle w:val="6"/>
                    <w:spacing w:before="28" w:line="220" w:lineRule="auto"/>
                    <w:ind w:left="67"/>
                    <w:rPr>
                      <w:rFonts w:ascii="Times New Roman" w:hAnsi="Times New Roman" w:eastAsia="Times New Roman" w:cs="Times New Roman"/>
                    </w:rPr>
                  </w:pPr>
                  <w:r>
                    <w:rPr>
                      <w:spacing w:val="7"/>
                    </w:rPr>
                    <w:t>与线路中心投影距离</w:t>
                  </w:r>
                  <w:r>
                    <w:rPr>
                      <w:spacing w:val="-37"/>
                    </w:rPr>
                    <w:t xml:space="preserve"> </w:t>
                  </w:r>
                  <w:r>
                    <w:rPr>
                      <w:rFonts w:ascii="Times New Roman" w:hAnsi="Times New Roman" w:eastAsia="Times New Roman" w:cs="Times New Roman"/>
                      <w:spacing w:val="7"/>
                    </w:rPr>
                    <w:t>0m</w:t>
                  </w:r>
                </w:p>
              </w:tc>
              <w:tc>
                <w:tcPr>
                  <w:tcW w:w="1382" w:type="dxa"/>
                  <w:vAlign w:val="top"/>
                </w:tcPr>
                <w:p w14:paraId="21AD605D">
                  <w:pPr>
                    <w:spacing w:before="64" w:line="194" w:lineRule="auto"/>
                    <w:ind w:left="50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44.8</w:t>
                  </w:r>
                </w:p>
              </w:tc>
              <w:tc>
                <w:tcPr>
                  <w:tcW w:w="1049" w:type="dxa"/>
                  <w:vMerge w:val="restart"/>
                  <w:tcBorders>
                    <w:bottom w:val="nil"/>
                  </w:tcBorders>
                  <w:vAlign w:val="top"/>
                </w:tcPr>
                <w:p w14:paraId="214E2204">
                  <w:pPr>
                    <w:spacing w:line="285" w:lineRule="auto"/>
                    <w:rPr>
                      <w:rFonts w:ascii="Arial"/>
                      <w:sz w:val="21"/>
                    </w:rPr>
                  </w:pPr>
                </w:p>
                <w:p w14:paraId="2F130C54">
                  <w:pPr>
                    <w:spacing w:line="285" w:lineRule="auto"/>
                    <w:rPr>
                      <w:rFonts w:ascii="Arial"/>
                      <w:sz w:val="21"/>
                    </w:rPr>
                  </w:pPr>
                </w:p>
                <w:p w14:paraId="2B1733DD">
                  <w:pPr>
                    <w:spacing w:line="286" w:lineRule="auto"/>
                    <w:rPr>
                      <w:rFonts w:ascii="Arial"/>
                      <w:sz w:val="21"/>
                    </w:rPr>
                  </w:pPr>
                </w:p>
                <w:p w14:paraId="5938C868">
                  <w:pPr>
                    <w:spacing w:line="286" w:lineRule="auto"/>
                    <w:rPr>
                      <w:rFonts w:ascii="Arial"/>
                      <w:sz w:val="21"/>
                    </w:rPr>
                  </w:pPr>
                </w:p>
                <w:p w14:paraId="5EB554E0">
                  <w:pPr>
                    <w:spacing w:before="57" w:line="191" w:lineRule="auto"/>
                    <w:ind w:left="425"/>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1528" w:type="dxa"/>
                  <w:vAlign w:val="top"/>
                </w:tcPr>
                <w:p w14:paraId="08B88CF3">
                  <w:pPr>
                    <w:spacing w:before="64" w:line="194" w:lineRule="auto"/>
                    <w:ind w:left="5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40.2</w:t>
                  </w:r>
                </w:p>
              </w:tc>
              <w:tc>
                <w:tcPr>
                  <w:tcW w:w="1021" w:type="dxa"/>
                  <w:vMerge w:val="restart"/>
                  <w:tcBorders>
                    <w:bottom w:val="nil"/>
                  </w:tcBorders>
                  <w:vAlign w:val="top"/>
                </w:tcPr>
                <w:p w14:paraId="1F2C88A3">
                  <w:pPr>
                    <w:spacing w:line="284" w:lineRule="auto"/>
                    <w:rPr>
                      <w:rFonts w:ascii="Arial"/>
                      <w:sz w:val="21"/>
                    </w:rPr>
                  </w:pPr>
                </w:p>
                <w:p w14:paraId="2A605E1B">
                  <w:pPr>
                    <w:spacing w:line="285" w:lineRule="auto"/>
                    <w:rPr>
                      <w:rFonts w:ascii="Arial"/>
                      <w:sz w:val="21"/>
                    </w:rPr>
                  </w:pPr>
                </w:p>
                <w:p w14:paraId="0202C52A">
                  <w:pPr>
                    <w:spacing w:line="285" w:lineRule="auto"/>
                    <w:rPr>
                      <w:rFonts w:ascii="Arial"/>
                      <w:sz w:val="21"/>
                    </w:rPr>
                  </w:pPr>
                </w:p>
                <w:p w14:paraId="3FC26251">
                  <w:pPr>
                    <w:spacing w:line="285" w:lineRule="auto"/>
                    <w:rPr>
                      <w:rFonts w:ascii="Arial"/>
                      <w:sz w:val="21"/>
                    </w:rPr>
                  </w:pPr>
                </w:p>
                <w:p w14:paraId="00FBCB01">
                  <w:pPr>
                    <w:spacing w:before="57" w:line="194" w:lineRule="auto"/>
                    <w:ind w:left="40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r>
            <w:tr w14:paraId="0421D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944" w:type="dxa"/>
                  <w:vAlign w:val="top"/>
                </w:tcPr>
                <w:p w14:paraId="5AC9B39E">
                  <w:pPr>
                    <w:spacing w:before="201" w:line="194" w:lineRule="auto"/>
                    <w:ind w:left="41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336" w:type="dxa"/>
                  <w:vAlign w:val="top"/>
                </w:tcPr>
                <w:p w14:paraId="33F90DCF">
                  <w:pPr>
                    <w:pStyle w:val="6"/>
                    <w:spacing w:before="27" w:line="235" w:lineRule="auto"/>
                    <w:ind w:left="319" w:right="220" w:hanging="91"/>
                  </w:pPr>
                  <w:r>
                    <w:rPr>
                      <w:spacing w:val="8"/>
                    </w:rPr>
                    <w:t>与线路中心投影距离</w:t>
                  </w:r>
                  <w:r>
                    <w:rPr>
                      <w:rFonts w:ascii="Times New Roman" w:hAnsi="Times New Roman" w:eastAsia="Times New Roman" w:cs="Times New Roman"/>
                      <w:spacing w:val="6"/>
                    </w:rPr>
                    <w:t>4.5m</w:t>
                  </w:r>
                  <w:r>
                    <w:rPr>
                      <w:spacing w:val="6"/>
                    </w:rPr>
                    <w:t>（边导线下）</w:t>
                  </w:r>
                </w:p>
              </w:tc>
              <w:tc>
                <w:tcPr>
                  <w:tcW w:w="1382" w:type="dxa"/>
                  <w:vAlign w:val="top"/>
                </w:tcPr>
                <w:p w14:paraId="511662DF">
                  <w:pPr>
                    <w:spacing w:before="201" w:line="194" w:lineRule="auto"/>
                    <w:ind w:left="50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44.7</w:t>
                  </w:r>
                </w:p>
              </w:tc>
              <w:tc>
                <w:tcPr>
                  <w:tcW w:w="1049" w:type="dxa"/>
                  <w:vMerge w:val="continue"/>
                  <w:tcBorders>
                    <w:top w:val="nil"/>
                    <w:bottom w:val="nil"/>
                  </w:tcBorders>
                  <w:vAlign w:val="top"/>
                </w:tcPr>
                <w:p w14:paraId="738E0290">
                  <w:pPr>
                    <w:rPr>
                      <w:rFonts w:ascii="Arial"/>
                      <w:sz w:val="21"/>
                    </w:rPr>
                  </w:pPr>
                </w:p>
              </w:tc>
              <w:tc>
                <w:tcPr>
                  <w:tcW w:w="1528" w:type="dxa"/>
                  <w:vAlign w:val="top"/>
                </w:tcPr>
                <w:p w14:paraId="3B1E4EEC">
                  <w:pPr>
                    <w:spacing w:before="201" w:line="194" w:lineRule="auto"/>
                    <w:ind w:left="5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40.7</w:t>
                  </w:r>
                </w:p>
              </w:tc>
              <w:tc>
                <w:tcPr>
                  <w:tcW w:w="1021" w:type="dxa"/>
                  <w:vMerge w:val="continue"/>
                  <w:tcBorders>
                    <w:top w:val="nil"/>
                    <w:bottom w:val="nil"/>
                  </w:tcBorders>
                  <w:vAlign w:val="top"/>
                </w:tcPr>
                <w:p w14:paraId="4687FC2A">
                  <w:pPr>
                    <w:rPr>
                      <w:rFonts w:ascii="Arial"/>
                      <w:sz w:val="21"/>
                    </w:rPr>
                  </w:pPr>
                </w:p>
              </w:tc>
            </w:tr>
            <w:tr w14:paraId="44BA9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44" w:type="dxa"/>
                  <w:vAlign w:val="top"/>
                </w:tcPr>
                <w:p w14:paraId="0367CE79">
                  <w:pPr>
                    <w:spacing w:before="65" w:line="194" w:lineRule="auto"/>
                    <w:ind w:left="422"/>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336" w:type="dxa"/>
                  <w:vAlign w:val="top"/>
                </w:tcPr>
                <w:p w14:paraId="43EC3491">
                  <w:pPr>
                    <w:pStyle w:val="6"/>
                    <w:spacing w:before="29" w:line="219" w:lineRule="auto"/>
                    <w:ind w:left="588"/>
                    <w:rPr>
                      <w:rFonts w:ascii="Times New Roman" w:hAnsi="Times New Roman" w:eastAsia="Times New Roman" w:cs="Times New Roman"/>
                    </w:rPr>
                  </w:pPr>
                  <w:r>
                    <w:rPr>
                      <w:spacing w:val="5"/>
                    </w:rPr>
                    <w:t>边导线外</w:t>
                  </w:r>
                  <w:r>
                    <w:rPr>
                      <w:spacing w:val="-36"/>
                    </w:rPr>
                    <w:t xml:space="preserve"> </w:t>
                  </w:r>
                  <w:r>
                    <w:rPr>
                      <w:rFonts w:ascii="Times New Roman" w:hAnsi="Times New Roman" w:eastAsia="Times New Roman" w:cs="Times New Roman"/>
                      <w:spacing w:val="5"/>
                    </w:rPr>
                    <w:t>5m</w:t>
                  </w:r>
                </w:p>
              </w:tc>
              <w:tc>
                <w:tcPr>
                  <w:tcW w:w="1382" w:type="dxa"/>
                  <w:vAlign w:val="top"/>
                </w:tcPr>
                <w:p w14:paraId="319A3C7B">
                  <w:pPr>
                    <w:spacing w:before="65" w:line="194" w:lineRule="auto"/>
                    <w:ind w:left="50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44.9</w:t>
                  </w:r>
                </w:p>
              </w:tc>
              <w:tc>
                <w:tcPr>
                  <w:tcW w:w="1049" w:type="dxa"/>
                  <w:vMerge w:val="continue"/>
                  <w:tcBorders>
                    <w:top w:val="nil"/>
                    <w:bottom w:val="nil"/>
                  </w:tcBorders>
                  <w:vAlign w:val="top"/>
                </w:tcPr>
                <w:p w14:paraId="5DC7690A">
                  <w:pPr>
                    <w:rPr>
                      <w:rFonts w:ascii="Arial"/>
                      <w:sz w:val="21"/>
                    </w:rPr>
                  </w:pPr>
                </w:p>
              </w:tc>
              <w:tc>
                <w:tcPr>
                  <w:tcW w:w="1528" w:type="dxa"/>
                  <w:vAlign w:val="top"/>
                </w:tcPr>
                <w:p w14:paraId="6F1112E0">
                  <w:pPr>
                    <w:spacing w:before="65" w:line="194" w:lineRule="auto"/>
                    <w:ind w:left="5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40.9</w:t>
                  </w:r>
                </w:p>
              </w:tc>
              <w:tc>
                <w:tcPr>
                  <w:tcW w:w="1021" w:type="dxa"/>
                  <w:vMerge w:val="continue"/>
                  <w:tcBorders>
                    <w:top w:val="nil"/>
                    <w:bottom w:val="nil"/>
                  </w:tcBorders>
                  <w:vAlign w:val="top"/>
                </w:tcPr>
                <w:p w14:paraId="051AB430">
                  <w:pPr>
                    <w:rPr>
                      <w:rFonts w:ascii="Arial"/>
                      <w:sz w:val="21"/>
                    </w:rPr>
                  </w:pPr>
                </w:p>
              </w:tc>
            </w:tr>
            <w:tr w14:paraId="5656B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44" w:type="dxa"/>
                  <w:vAlign w:val="top"/>
                </w:tcPr>
                <w:p w14:paraId="2AD12C9D">
                  <w:pPr>
                    <w:spacing w:before="65" w:line="194" w:lineRule="auto"/>
                    <w:ind w:left="41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336" w:type="dxa"/>
                  <w:vAlign w:val="top"/>
                </w:tcPr>
                <w:p w14:paraId="6CE5AF76">
                  <w:pPr>
                    <w:pStyle w:val="6"/>
                    <w:spacing w:before="29" w:line="218" w:lineRule="auto"/>
                    <w:ind w:left="535"/>
                    <w:rPr>
                      <w:rFonts w:ascii="Times New Roman" w:hAnsi="Times New Roman" w:eastAsia="Times New Roman" w:cs="Times New Roman"/>
                    </w:rPr>
                  </w:pPr>
                  <w:r>
                    <w:rPr>
                      <w:spacing w:val="3"/>
                    </w:rPr>
                    <w:t>边导线外</w:t>
                  </w:r>
                  <w:r>
                    <w:rPr>
                      <w:spacing w:val="-21"/>
                    </w:rPr>
                    <w:t xml:space="preserve"> </w:t>
                  </w:r>
                  <w:r>
                    <w:rPr>
                      <w:rFonts w:ascii="Times New Roman" w:hAnsi="Times New Roman" w:eastAsia="Times New Roman" w:cs="Times New Roman"/>
                      <w:spacing w:val="3"/>
                    </w:rPr>
                    <w:t>10m</w:t>
                  </w:r>
                </w:p>
              </w:tc>
              <w:tc>
                <w:tcPr>
                  <w:tcW w:w="1382" w:type="dxa"/>
                  <w:vAlign w:val="top"/>
                </w:tcPr>
                <w:p w14:paraId="0EED2F2F">
                  <w:pPr>
                    <w:spacing w:before="65" w:line="194" w:lineRule="auto"/>
                    <w:ind w:left="50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45.</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2"/>
                      <w:sz w:val="20"/>
                      <w:szCs w:val="20"/>
                    </w:rPr>
                    <w:t>1</w:t>
                  </w:r>
                </w:p>
              </w:tc>
              <w:tc>
                <w:tcPr>
                  <w:tcW w:w="1049" w:type="dxa"/>
                  <w:vMerge w:val="continue"/>
                  <w:tcBorders>
                    <w:top w:val="nil"/>
                    <w:bottom w:val="nil"/>
                  </w:tcBorders>
                  <w:vAlign w:val="top"/>
                </w:tcPr>
                <w:p w14:paraId="67068CEF">
                  <w:pPr>
                    <w:rPr>
                      <w:rFonts w:ascii="Arial"/>
                      <w:sz w:val="21"/>
                    </w:rPr>
                  </w:pPr>
                </w:p>
              </w:tc>
              <w:tc>
                <w:tcPr>
                  <w:tcW w:w="1528" w:type="dxa"/>
                  <w:vAlign w:val="top"/>
                </w:tcPr>
                <w:p w14:paraId="310721F9">
                  <w:pPr>
                    <w:spacing w:before="65" w:line="194" w:lineRule="auto"/>
                    <w:ind w:left="5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40.7</w:t>
                  </w:r>
                </w:p>
              </w:tc>
              <w:tc>
                <w:tcPr>
                  <w:tcW w:w="1021" w:type="dxa"/>
                  <w:vMerge w:val="continue"/>
                  <w:tcBorders>
                    <w:top w:val="nil"/>
                    <w:bottom w:val="nil"/>
                  </w:tcBorders>
                  <w:vAlign w:val="top"/>
                </w:tcPr>
                <w:p w14:paraId="794EC3FB">
                  <w:pPr>
                    <w:rPr>
                      <w:rFonts w:ascii="Arial"/>
                      <w:sz w:val="21"/>
                    </w:rPr>
                  </w:pPr>
                </w:p>
              </w:tc>
            </w:tr>
            <w:tr w14:paraId="19EC3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44" w:type="dxa"/>
                  <w:vAlign w:val="top"/>
                </w:tcPr>
                <w:p w14:paraId="63D3A95B">
                  <w:pPr>
                    <w:spacing w:before="69" w:line="191" w:lineRule="auto"/>
                    <w:ind w:left="423"/>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2336" w:type="dxa"/>
                  <w:vAlign w:val="top"/>
                </w:tcPr>
                <w:p w14:paraId="26489696">
                  <w:pPr>
                    <w:pStyle w:val="6"/>
                    <w:spacing w:before="30" w:line="217" w:lineRule="auto"/>
                    <w:ind w:left="535"/>
                    <w:rPr>
                      <w:rFonts w:ascii="Times New Roman" w:hAnsi="Times New Roman" w:eastAsia="Times New Roman" w:cs="Times New Roman"/>
                    </w:rPr>
                  </w:pPr>
                  <w:r>
                    <w:rPr>
                      <w:spacing w:val="3"/>
                    </w:rPr>
                    <w:t>边导线外</w:t>
                  </w:r>
                  <w:r>
                    <w:rPr>
                      <w:spacing w:val="-21"/>
                    </w:rPr>
                    <w:t xml:space="preserve"> </w:t>
                  </w:r>
                  <w:r>
                    <w:rPr>
                      <w:rFonts w:ascii="Times New Roman" w:hAnsi="Times New Roman" w:eastAsia="Times New Roman" w:cs="Times New Roman"/>
                      <w:spacing w:val="3"/>
                    </w:rPr>
                    <w:t>15m</w:t>
                  </w:r>
                </w:p>
              </w:tc>
              <w:tc>
                <w:tcPr>
                  <w:tcW w:w="1382" w:type="dxa"/>
                  <w:vAlign w:val="top"/>
                </w:tcPr>
                <w:p w14:paraId="7808FDA2">
                  <w:pPr>
                    <w:spacing w:before="66" w:line="194" w:lineRule="auto"/>
                    <w:ind w:left="50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45.3</w:t>
                  </w:r>
                </w:p>
              </w:tc>
              <w:tc>
                <w:tcPr>
                  <w:tcW w:w="1049" w:type="dxa"/>
                  <w:vMerge w:val="continue"/>
                  <w:tcBorders>
                    <w:top w:val="nil"/>
                    <w:bottom w:val="nil"/>
                  </w:tcBorders>
                  <w:vAlign w:val="top"/>
                </w:tcPr>
                <w:p w14:paraId="643E7F96">
                  <w:pPr>
                    <w:rPr>
                      <w:rFonts w:ascii="Arial"/>
                      <w:sz w:val="21"/>
                    </w:rPr>
                  </w:pPr>
                </w:p>
              </w:tc>
              <w:tc>
                <w:tcPr>
                  <w:tcW w:w="1528" w:type="dxa"/>
                  <w:vAlign w:val="top"/>
                </w:tcPr>
                <w:p w14:paraId="785F965A">
                  <w:pPr>
                    <w:spacing w:before="66" w:line="194" w:lineRule="auto"/>
                    <w:ind w:left="5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40.8</w:t>
                  </w:r>
                </w:p>
              </w:tc>
              <w:tc>
                <w:tcPr>
                  <w:tcW w:w="1021" w:type="dxa"/>
                  <w:vMerge w:val="continue"/>
                  <w:tcBorders>
                    <w:top w:val="nil"/>
                    <w:bottom w:val="nil"/>
                  </w:tcBorders>
                  <w:vAlign w:val="top"/>
                </w:tcPr>
                <w:p w14:paraId="16985509">
                  <w:pPr>
                    <w:rPr>
                      <w:rFonts w:ascii="Arial"/>
                      <w:sz w:val="21"/>
                    </w:rPr>
                  </w:pPr>
                </w:p>
              </w:tc>
            </w:tr>
            <w:tr w14:paraId="36BA2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44" w:type="dxa"/>
                  <w:vAlign w:val="top"/>
                </w:tcPr>
                <w:p w14:paraId="74584B6D">
                  <w:pPr>
                    <w:spacing w:before="65" w:line="194" w:lineRule="auto"/>
                    <w:ind w:left="422"/>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2336" w:type="dxa"/>
                  <w:vAlign w:val="top"/>
                </w:tcPr>
                <w:p w14:paraId="3325DA4E">
                  <w:pPr>
                    <w:pStyle w:val="6"/>
                    <w:spacing w:before="29" w:line="219" w:lineRule="auto"/>
                    <w:ind w:left="535"/>
                    <w:rPr>
                      <w:rFonts w:ascii="Times New Roman" w:hAnsi="Times New Roman" w:eastAsia="Times New Roman" w:cs="Times New Roman"/>
                    </w:rPr>
                  </w:pPr>
                  <w:r>
                    <w:rPr>
                      <w:spacing w:val="6"/>
                    </w:rPr>
                    <w:t>边导线外</w:t>
                  </w:r>
                  <w:r>
                    <w:rPr>
                      <w:spacing w:val="-42"/>
                    </w:rPr>
                    <w:t xml:space="preserve"> </w:t>
                  </w:r>
                  <w:r>
                    <w:rPr>
                      <w:rFonts w:ascii="Times New Roman" w:hAnsi="Times New Roman" w:eastAsia="Times New Roman" w:cs="Times New Roman"/>
                      <w:spacing w:val="6"/>
                    </w:rPr>
                    <w:t>20m</w:t>
                  </w:r>
                </w:p>
              </w:tc>
              <w:tc>
                <w:tcPr>
                  <w:tcW w:w="1382" w:type="dxa"/>
                  <w:vAlign w:val="top"/>
                </w:tcPr>
                <w:p w14:paraId="589B7BB5">
                  <w:pPr>
                    <w:spacing w:before="65" w:line="194" w:lineRule="auto"/>
                    <w:ind w:left="50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45.2</w:t>
                  </w:r>
                </w:p>
              </w:tc>
              <w:tc>
                <w:tcPr>
                  <w:tcW w:w="1049" w:type="dxa"/>
                  <w:vMerge w:val="continue"/>
                  <w:tcBorders>
                    <w:top w:val="nil"/>
                    <w:bottom w:val="nil"/>
                  </w:tcBorders>
                  <w:vAlign w:val="top"/>
                </w:tcPr>
                <w:p w14:paraId="7BE2A4D1">
                  <w:pPr>
                    <w:rPr>
                      <w:rFonts w:ascii="Arial"/>
                      <w:sz w:val="21"/>
                    </w:rPr>
                  </w:pPr>
                </w:p>
              </w:tc>
              <w:tc>
                <w:tcPr>
                  <w:tcW w:w="1528" w:type="dxa"/>
                  <w:vAlign w:val="top"/>
                </w:tcPr>
                <w:p w14:paraId="336C2F03">
                  <w:pPr>
                    <w:spacing w:before="65" w:line="194" w:lineRule="auto"/>
                    <w:ind w:left="5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40.6</w:t>
                  </w:r>
                </w:p>
              </w:tc>
              <w:tc>
                <w:tcPr>
                  <w:tcW w:w="1021" w:type="dxa"/>
                  <w:vMerge w:val="continue"/>
                  <w:tcBorders>
                    <w:top w:val="nil"/>
                    <w:bottom w:val="nil"/>
                  </w:tcBorders>
                  <w:vAlign w:val="top"/>
                </w:tcPr>
                <w:p w14:paraId="40D29074">
                  <w:pPr>
                    <w:rPr>
                      <w:rFonts w:ascii="Arial"/>
                      <w:sz w:val="21"/>
                    </w:rPr>
                  </w:pPr>
                </w:p>
              </w:tc>
            </w:tr>
            <w:tr w14:paraId="64796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44" w:type="dxa"/>
                  <w:vAlign w:val="top"/>
                </w:tcPr>
                <w:p w14:paraId="5D9DDDCF">
                  <w:pPr>
                    <w:spacing w:before="68" w:line="191" w:lineRule="auto"/>
                    <w:ind w:left="421"/>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2336" w:type="dxa"/>
                  <w:vAlign w:val="top"/>
                </w:tcPr>
                <w:p w14:paraId="6B46DE74">
                  <w:pPr>
                    <w:pStyle w:val="6"/>
                    <w:spacing w:before="29" w:line="218" w:lineRule="auto"/>
                    <w:ind w:left="535"/>
                    <w:rPr>
                      <w:rFonts w:ascii="Times New Roman" w:hAnsi="Times New Roman" w:eastAsia="Times New Roman" w:cs="Times New Roman"/>
                    </w:rPr>
                  </w:pPr>
                  <w:r>
                    <w:rPr>
                      <w:spacing w:val="6"/>
                    </w:rPr>
                    <w:t>边导线外</w:t>
                  </w:r>
                  <w:r>
                    <w:rPr>
                      <w:spacing w:val="-42"/>
                    </w:rPr>
                    <w:t xml:space="preserve"> </w:t>
                  </w:r>
                  <w:r>
                    <w:rPr>
                      <w:rFonts w:ascii="Times New Roman" w:hAnsi="Times New Roman" w:eastAsia="Times New Roman" w:cs="Times New Roman"/>
                      <w:spacing w:val="6"/>
                    </w:rPr>
                    <w:t>25m</w:t>
                  </w:r>
                </w:p>
              </w:tc>
              <w:tc>
                <w:tcPr>
                  <w:tcW w:w="1382" w:type="dxa"/>
                  <w:vAlign w:val="top"/>
                </w:tcPr>
                <w:p w14:paraId="78F30C8A">
                  <w:pPr>
                    <w:spacing w:before="65" w:line="194" w:lineRule="auto"/>
                    <w:ind w:left="50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45.6</w:t>
                  </w:r>
                </w:p>
              </w:tc>
              <w:tc>
                <w:tcPr>
                  <w:tcW w:w="1049" w:type="dxa"/>
                  <w:vMerge w:val="continue"/>
                  <w:tcBorders>
                    <w:top w:val="nil"/>
                    <w:bottom w:val="nil"/>
                  </w:tcBorders>
                  <w:vAlign w:val="top"/>
                </w:tcPr>
                <w:p w14:paraId="1EB5BE53">
                  <w:pPr>
                    <w:rPr>
                      <w:rFonts w:ascii="Arial"/>
                      <w:sz w:val="21"/>
                    </w:rPr>
                  </w:pPr>
                </w:p>
              </w:tc>
              <w:tc>
                <w:tcPr>
                  <w:tcW w:w="1528" w:type="dxa"/>
                  <w:vAlign w:val="top"/>
                </w:tcPr>
                <w:p w14:paraId="787165E8">
                  <w:pPr>
                    <w:spacing w:before="65" w:line="194" w:lineRule="auto"/>
                    <w:ind w:left="5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40.9</w:t>
                  </w:r>
                </w:p>
              </w:tc>
              <w:tc>
                <w:tcPr>
                  <w:tcW w:w="1021" w:type="dxa"/>
                  <w:vMerge w:val="continue"/>
                  <w:tcBorders>
                    <w:top w:val="nil"/>
                    <w:bottom w:val="nil"/>
                  </w:tcBorders>
                  <w:vAlign w:val="top"/>
                </w:tcPr>
                <w:p w14:paraId="11E2F89B">
                  <w:pPr>
                    <w:rPr>
                      <w:rFonts w:ascii="Arial"/>
                      <w:sz w:val="21"/>
                    </w:rPr>
                  </w:pPr>
                </w:p>
              </w:tc>
            </w:tr>
            <w:tr w14:paraId="04EB7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944" w:type="dxa"/>
                  <w:tcBorders>
                    <w:bottom w:val="nil"/>
                  </w:tcBorders>
                  <w:vAlign w:val="top"/>
                </w:tcPr>
                <w:p w14:paraId="6EDF0889">
                  <w:pPr>
                    <w:spacing w:before="66" w:line="194" w:lineRule="auto"/>
                    <w:ind w:left="426"/>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2336" w:type="dxa"/>
                  <w:tcBorders>
                    <w:bottom w:val="nil"/>
                  </w:tcBorders>
                  <w:vAlign w:val="top"/>
                </w:tcPr>
                <w:p w14:paraId="51C8470A">
                  <w:pPr>
                    <w:pStyle w:val="6"/>
                    <w:spacing w:before="30" w:line="225" w:lineRule="auto"/>
                    <w:ind w:left="535"/>
                    <w:rPr>
                      <w:rFonts w:ascii="Times New Roman" w:hAnsi="Times New Roman" w:eastAsia="Times New Roman" w:cs="Times New Roman"/>
                    </w:rPr>
                  </w:pPr>
                  <w:r>
                    <w:rPr>
                      <w:spacing w:val="5"/>
                    </w:rPr>
                    <w:t>边导线外</w:t>
                  </w:r>
                  <w:r>
                    <w:rPr>
                      <w:spacing w:val="-35"/>
                    </w:rPr>
                    <w:t xml:space="preserve"> </w:t>
                  </w:r>
                  <w:r>
                    <w:rPr>
                      <w:rFonts w:ascii="Times New Roman" w:hAnsi="Times New Roman" w:eastAsia="Times New Roman" w:cs="Times New Roman"/>
                      <w:spacing w:val="5"/>
                    </w:rPr>
                    <w:t>30m</w:t>
                  </w:r>
                </w:p>
              </w:tc>
              <w:tc>
                <w:tcPr>
                  <w:tcW w:w="1382" w:type="dxa"/>
                  <w:tcBorders>
                    <w:bottom w:val="nil"/>
                  </w:tcBorders>
                  <w:vAlign w:val="top"/>
                </w:tcPr>
                <w:p w14:paraId="59C5FA5B">
                  <w:pPr>
                    <w:spacing w:before="66" w:line="194" w:lineRule="auto"/>
                    <w:ind w:left="50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45.4</w:t>
                  </w:r>
                </w:p>
              </w:tc>
              <w:tc>
                <w:tcPr>
                  <w:tcW w:w="1049" w:type="dxa"/>
                  <w:vMerge w:val="continue"/>
                  <w:tcBorders>
                    <w:top w:val="nil"/>
                    <w:bottom w:val="nil"/>
                  </w:tcBorders>
                  <w:vAlign w:val="top"/>
                </w:tcPr>
                <w:p w14:paraId="3D13670E">
                  <w:pPr>
                    <w:rPr>
                      <w:rFonts w:ascii="Arial"/>
                      <w:sz w:val="21"/>
                    </w:rPr>
                  </w:pPr>
                </w:p>
              </w:tc>
              <w:tc>
                <w:tcPr>
                  <w:tcW w:w="1528" w:type="dxa"/>
                  <w:tcBorders>
                    <w:bottom w:val="nil"/>
                  </w:tcBorders>
                  <w:vAlign w:val="top"/>
                </w:tcPr>
                <w:p w14:paraId="2AA7EBB2">
                  <w:pPr>
                    <w:spacing w:before="66" w:line="194" w:lineRule="auto"/>
                    <w:ind w:left="58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40.6</w:t>
                  </w:r>
                </w:p>
              </w:tc>
              <w:tc>
                <w:tcPr>
                  <w:tcW w:w="1021" w:type="dxa"/>
                  <w:vMerge w:val="continue"/>
                  <w:tcBorders>
                    <w:top w:val="nil"/>
                    <w:bottom w:val="nil"/>
                  </w:tcBorders>
                  <w:vAlign w:val="top"/>
                </w:tcPr>
                <w:p w14:paraId="390C6614">
                  <w:pPr>
                    <w:rPr>
                      <w:rFonts w:ascii="Arial"/>
                      <w:sz w:val="21"/>
                    </w:rPr>
                  </w:pPr>
                </w:p>
              </w:tc>
            </w:tr>
          </w:tbl>
          <w:p w14:paraId="2F0D83FA">
            <w:pPr>
              <w:spacing w:line="14" w:lineRule="auto"/>
              <w:rPr>
                <w:rFonts w:ascii="Arial"/>
                <w:sz w:val="2"/>
              </w:rPr>
            </w:pPr>
          </w:p>
        </w:tc>
      </w:tr>
    </w:tbl>
    <w:p w14:paraId="1BEDCF57">
      <w:pPr>
        <w:rPr>
          <w:rFonts w:ascii="Arial"/>
          <w:sz w:val="21"/>
        </w:rPr>
      </w:pPr>
    </w:p>
    <w:p w14:paraId="104361A9">
      <w:pPr>
        <w:rPr>
          <w:rFonts w:ascii="Arial" w:hAnsi="Arial" w:eastAsia="Arial" w:cs="Arial"/>
          <w:sz w:val="21"/>
          <w:szCs w:val="21"/>
        </w:rPr>
        <w:sectPr>
          <w:footerReference r:id="rId119" w:type="default"/>
          <w:pgSz w:w="11907" w:h="16840"/>
          <w:pgMar w:top="400" w:right="1179" w:bottom="1240" w:left="1405" w:header="0" w:footer="1077" w:gutter="0"/>
          <w:cols w:space="720" w:num="1"/>
        </w:sectPr>
      </w:pPr>
    </w:p>
    <w:p w14:paraId="14B11FDF">
      <w:pPr>
        <w:spacing w:before="13"/>
      </w:pPr>
    </w:p>
    <w:p w14:paraId="47BC88CD">
      <w:pPr>
        <w:spacing w:before="13"/>
      </w:pPr>
    </w:p>
    <w:p w14:paraId="5B30E282">
      <w:pPr>
        <w:spacing w:before="13"/>
      </w:pPr>
    </w:p>
    <w:p w14:paraId="58E7D141">
      <w:pPr>
        <w:spacing w:before="12"/>
      </w:pPr>
    </w:p>
    <w:tbl>
      <w:tblPr>
        <w:tblStyle w:val="5"/>
        <w:tblW w:w="930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8"/>
        <w:gridCol w:w="135"/>
        <w:gridCol w:w="515"/>
        <w:gridCol w:w="923"/>
        <w:gridCol w:w="1898"/>
        <w:gridCol w:w="1326"/>
        <w:gridCol w:w="2327"/>
        <w:gridCol w:w="790"/>
        <w:gridCol w:w="771"/>
        <w:gridCol w:w="144"/>
      </w:tblGrid>
      <w:tr w14:paraId="73CD8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2" w:hRule="atLeast"/>
        </w:trPr>
        <w:tc>
          <w:tcPr>
            <w:tcW w:w="478" w:type="dxa"/>
            <w:vMerge w:val="restart"/>
            <w:tcBorders>
              <w:top w:val="single" w:color="000000" w:sz="6" w:space="0"/>
              <w:left w:val="single" w:color="000000" w:sz="6" w:space="0"/>
              <w:bottom w:val="nil"/>
            </w:tcBorders>
            <w:vAlign w:val="top"/>
          </w:tcPr>
          <w:p w14:paraId="79EC4927">
            <w:pPr>
              <w:rPr>
                <w:rFonts w:ascii="Arial"/>
                <w:sz w:val="21"/>
              </w:rPr>
            </w:pPr>
          </w:p>
        </w:tc>
        <w:tc>
          <w:tcPr>
            <w:tcW w:w="8829" w:type="dxa"/>
            <w:gridSpan w:val="9"/>
            <w:tcBorders>
              <w:top w:val="single" w:color="000000" w:sz="6" w:space="0"/>
              <w:right w:val="single" w:color="000000" w:sz="6" w:space="0"/>
            </w:tcBorders>
            <w:vAlign w:val="top"/>
          </w:tcPr>
          <w:p w14:paraId="078CD66E">
            <w:pPr>
              <w:pStyle w:val="6"/>
              <w:spacing w:before="40" w:line="218" w:lineRule="auto"/>
              <w:ind w:left="588"/>
              <w:rPr>
                <w:sz w:val="24"/>
                <w:szCs w:val="24"/>
              </w:rPr>
            </w:pPr>
            <w:r>
              <w:rPr>
                <w:rFonts w:ascii="Times New Roman" w:hAnsi="Times New Roman" w:eastAsia="Times New Roman" w:cs="Times New Roman"/>
                <w:spacing w:val="-1"/>
                <w:sz w:val="24"/>
                <w:szCs w:val="24"/>
              </w:rPr>
              <w:t>9</w:t>
            </w:r>
            <w:r>
              <w:rPr>
                <w:spacing w:val="-1"/>
                <w:sz w:val="24"/>
                <w:szCs w:val="24"/>
              </w:rPr>
              <w:t>）输电线路声环境影响评价</w:t>
            </w:r>
          </w:p>
          <w:p w14:paraId="7D055443">
            <w:pPr>
              <w:pStyle w:val="6"/>
              <w:spacing w:before="182" w:line="217" w:lineRule="auto"/>
              <w:ind w:left="586"/>
              <w:rPr>
                <w:sz w:val="24"/>
                <w:szCs w:val="24"/>
              </w:rPr>
            </w:pPr>
            <w:r>
              <w:rPr>
                <w:spacing w:val="-1"/>
                <w:sz w:val="24"/>
                <w:szCs w:val="24"/>
              </w:rPr>
              <w:t>①</w:t>
            </w:r>
            <w:r>
              <w:rPr>
                <w:rFonts w:ascii="Times New Roman" w:hAnsi="Times New Roman" w:eastAsia="Times New Roman" w:cs="Times New Roman"/>
                <w:spacing w:val="-1"/>
                <w:sz w:val="24"/>
                <w:szCs w:val="24"/>
              </w:rPr>
              <w:t xml:space="preserve">110kV </w:t>
            </w:r>
            <w:r>
              <w:rPr>
                <w:spacing w:val="-1"/>
                <w:sz w:val="24"/>
                <w:szCs w:val="24"/>
              </w:rPr>
              <w:t>单回线路</w:t>
            </w:r>
          </w:p>
          <w:p w14:paraId="13A8383D">
            <w:pPr>
              <w:pStyle w:val="6"/>
              <w:spacing w:before="186" w:line="359" w:lineRule="auto"/>
              <w:ind w:left="106" w:right="102" w:firstLine="480"/>
              <w:jc w:val="both"/>
              <w:rPr>
                <w:sz w:val="24"/>
                <w:szCs w:val="24"/>
              </w:rPr>
            </w:pPr>
            <w:r>
              <w:rPr>
                <w:spacing w:val="-2"/>
                <w:sz w:val="24"/>
                <w:szCs w:val="24"/>
              </w:rPr>
              <w:t>类比单回线路投运后产生的昼间噪声值在</w:t>
            </w:r>
            <w:r>
              <w:rPr>
                <w:spacing w:val="-56"/>
                <w:sz w:val="24"/>
                <w:szCs w:val="24"/>
              </w:rPr>
              <w:t xml:space="preserve"> </w:t>
            </w:r>
            <w:r>
              <w:rPr>
                <w:rFonts w:ascii="Times New Roman" w:hAnsi="Times New Roman" w:eastAsia="Times New Roman" w:cs="Times New Roman"/>
                <w:spacing w:val="-2"/>
                <w:sz w:val="24"/>
                <w:szCs w:val="24"/>
              </w:rPr>
              <w:t>40.8~41.2dB</w:t>
            </w:r>
            <w:r>
              <w:rPr>
                <w:spacing w:val="-2"/>
                <w:sz w:val="24"/>
                <w:szCs w:val="24"/>
              </w:rPr>
              <w:t>（</w:t>
            </w:r>
            <w:r>
              <w:rPr>
                <w:rFonts w:ascii="Times New Roman" w:hAnsi="Times New Roman" w:eastAsia="Times New Roman" w:cs="Times New Roman"/>
                <w:spacing w:val="-2"/>
                <w:sz w:val="24"/>
                <w:szCs w:val="24"/>
              </w:rPr>
              <w:t>A</w:t>
            </w:r>
            <w:r>
              <w:rPr>
                <w:spacing w:val="-2"/>
                <w:sz w:val="24"/>
                <w:szCs w:val="24"/>
              </w:rPr>
              <w:t>）之间，夜间噪声值</w:t>
            </w:r>
            <w:r>
              <w:rPr>
                <w:spacing w:val="-4"/>
                <w:sz w:val="24"/>
                <w:szCs w:val="24"/>
              </w:rPr>
              <w:t>在</w:t>
            </w:r>
            <w:r>
              <w:rPr>
                <w:spacing w:val="-50"/>
                <w:sz w:val="24"/>
                <w:szCs w:val="24"/>
              </w:rPr>
              <w:t xml:space="preserve"> </w:t>
            </w:r>
            <w:r>
              <w:rPr>
                <w:rFonts w:ascii="Times New Roman" w:hAnsi="Times New Roman" w:eastAsia="Times New Roman" w:cs="Times New Roman"/>
                <w:spacing w:val="-4"/>
                <w:sz w:val="24"/>
                <w:szCs w:val="24"/>
              </w:rPr>
              <w:t>38.4~38.6dB</w:t>
            </w:r>
            <w:r>
              <w:rPr>
                <w:spacing w:val="-4"/>
                <w:sz w:val="24"/>
                <w:szCs w:val="24"/>
              </w:rPr>
              <w:t>（</w:t>
            </w:r>
            <w:r>
              <w:rPr>
                <w:rFonts w:ascii="Times New Roman" w:hAnsi="Times New Roman" w:eastAsia="Times New Roman" w:cs="Times New Roman"/>
                <w:spacing w:val="-4"/>
                <w:sz w:val="24"/>
                <w:szCs w:val="24"/>
              </w:rPr>
              <w:t>A</w:t>
            </w:r>
            <w:r>
              <w:rPr>
                <w:spacing w:val="-4"/>
                <w:sz w:val="24"/>
                <w:szCs w:val="24"/>
              </w:rPr>
              <w:t>）之间，且中心线外</w:t>
            </w:r>
            <w:r>
              <w:rPr>
                <w:spacing w:val="-51"/>
                <w:sz w:val="24"/>
                <w:szCs w:val="24"/>
              </w:rPr>
              <w:t xml:space="preserve"> </w:t>
            </w:r>
            <w:r>
              <w:rPr>
                <w:rFonts w:ascii="Times New Roman" w:hAnsi="Times New Roman" w:eastAsia="Times New Roman" w:cs="Times New Roman"/>
                <w:spacing w:val="-4"/>
                <w:sz w:val="24"/>
                <w:szCs w:val="24"/>
              </w:rPr>
              <w:t>0~30m</w:t>
            </w:r>
            <w:r>
              <w:rPr>
                <w:rFonts w:ascii="Times New Roman" w:hAnsi="Times New Roman" w:eastAsia="Times New Roman" w:cs="Times New Roman"/>
                <w:spacing w:val="16"/>
                <w:sz w:val="24"/>
                <w:szCs w:val="24"/>
              </w:rPr>
              <w:t xml:space="preserve"> </w:t>
            </w:r>
            <w:r>
              <w:rPr>
                <w:spacing w:val="-4"/>
                <w:sz w:val="24"/>
                <w:szCs w:val="24"/>
              </w:rPr>
              <w:t>范围内变化趋</w:t>
            </w:r>
            <w:r>
              <w:rPr>
                <w:spacing w:val="-5"/>
                <w:sz w:val="24"/>
                <w:szCs w:val="24"/>
              </w:rPr>
              <w:t>势均不明显，满足《声</w:t>
            </w:r>
            <w:r>
              <w:rPr>
                <w:spacing w:val="-1"/>
                <w:sz w:val="24"/>
                <w:szCs w:val="24"/>
              </w:rPr>
              <w:t>环境质量标准》（</w:t>
            </w:r>
            <w:r>
              <w:rPr>
                <w:rFonts w:ascii="Times New Roman" w:hAnsi="Times New Roman" w:eastAsia="Times New Roman" w:cs="Times New Roman"/>
                <w:spacing w:val="-1"/>
                <w:sz w:val="24"/>
                <w:szCs w:val="24"/>
              </w:rPr>
              <w:t>GB3096-2008</w:t>
            </w:r>
            <w:r>
              <w:rPr>
                <w:spacing w:val="-1"/>
                <w:sz w:val="24"/>
                <w:szCs w:val="24"/>
              </w:rPr>
              <w:t>）</w:t>
            </w:r>
            <w:r>
              <w:rPr>
                <w:rFonts w:ascii="Times New Roman" w:hAnsi="Times New Roman" w:eastAsia="Times New Roman" w:cs="Times New Roman"/>
                <w:spacing w:val="-1"/>
                <w:sz w:val="24"/>
                <w:szCs w:val="24"/>
              </w:rPr>
              <w:t xml:space="preserve">1 </w:t>
            </w:r>
            <w:r>
              <w:rPr>
                <w:spacing w:val="-1"/>
                <w:sz w:val="24"/>
                <w:szCs w:val="24"/>
              </w:rPr>
              <w:t>类评价标准要</w:t>
            </w:r>
            <w:r>
              <w:rPr>
                <w:spacing w:val="-2"/>
                <w:sz w:val="24"/>
                <w:szCs w:val="24"/>
              </w:rPr>
              <w:t>求（昼间</w:t>
            </w:r>
            <w:r>
              <w:rPr>
                <w:spacing w:val="-47"/>
                <w:sz w:val="24"/>
                <w:szCs w:val="24"/>
              </w:rPr>
              <w:t xml:space="preserve"> </w:t>
            </w:r>
            <w:r>
              <w:rPr>
                <w:rFonts w:ascii="Times New Roman" w:hAnsi="Times New Roman" w:eastAsia="Times New Roman" w:cs="Times New Roman"/>
                <w:spacing w:val="-2"/>
                <w:sz w:val="24"/>
                <w:szCs w:val="24"/>
              </w:rPr>
              <w:t>55dB</w:t>
            </w:r>
            <w:r>
              <w:rPr>
                <w:spacing w:val="-2"/>
                <w:sz w:val="24"/>
                <w:szCs w:val="24"/>
              </w:rPr>
              <w:t>（</w:t>
            </w:r>
            <w:r>
              <w:rPr>
                <w:rFonts w:ascii="Times New Roman" w:hAnsi="Times New Roman" w:eastAsia="Times New Roman" w:cs="Times New Roman"/>
                <w:spacing w:val="-2"/>
                <w:sz w:val="24"/>
                <w:szCs w:val="24"/>
              </w:rPr>
              <w:t>A</w:t>
            </w:r>
            <w:r>
              <w:rPr>
                <w:spacing w:val="2"/>
                <w:sz w:val="24"/>
                <w:szCs w:val="24"/>
              </w:rPr>
              <w:t>），</w:t>
            </w:r>
            <w:r>
              <w:rPr>
                <w:spacing w:val="-2"/>
                <w:sz w:val="24"/>
                <w:szCs w:val="24"/>
              </w:rPr>
              <w:t>夜间</w:t>
            </w:r>
            <w:r>
              <w:rPr>
                <w:spacing w:val="-56"/>
                <w:sz w:val="24"/>
                <w:szCs w:val="24"/>
              </w:rPr>
              <w:t xml:space="preserve"> </w:t>
            </w:r>
            <w:r>
              <w:rPr>
                <w:rFonts w:ascii="Times New Roman" w:hAnsi="Times New Roman" w:eastAsia="Times New Roman" w:cs="Times New Roman"/>
                <w:spacing w:val="-2"/>
                <w:sz w:val="24"/>
                <w:szCs w:val="24"/>
              </w:rPr>
              <w:t>45dB</w:t>
            </w:r>
            <w:r>
              <w:rPr>
                <w:rFonts w:ascii="Times New Roman" w:hAnsi="Times New Roman" w:eastAsia="Times New Roman" w:cs="Times New Roman"/>
                <w:sz w:val="24"/>
                <w:szCs w:val="24"/>
              </w:rPr>
              <w:t xml:space="preserve"> </w:t>
            </w:r>
            <w:r>
              <w:rPr>
                <w:spacing w:val="-3"/>
                <w:sz w:val="24"/>
                <w:szCs w:val="24"/>
              </w:rPr>
              <w:t>（</w:t>
            </w:r>
            <w:r>
              <w:rPr>
                <w:rFonts w:ascii="Times New Roman" w:hAnsi="Times New Roman" w:eastAsia="Times New Roman" w:cs="Times New Roman"/>
                <w:spacing w:val="-3"/>
                <w:sz w:val="24"/>
                <w:szCs w:val="24"/>
              </w:rPr>
              <w:t>A</w:t>
            </w:r>
            <w:r>
              <w:rPr>
                <w:spacing w:val="-1"/>
                <w:sz w:val="24"/>
                <w:szCs w:val="24"/>
              </w:rPr>
              <w:t>））</w:t>
            </w:r>
            <w:r>
              <w:rPr>
                <w:spacing w:val="-3"/>
                <w:sz w:val="24"/>
                <w:szCs w:val="24"/>
              </w:rPr>
              <w:t>。</w:t>
            </w:r>
          </w:p>
          <w:p w14:paraId="2C8A07B6">
            <w:pPr>
              <w:pStyle w:val="6"/>
              <w:spacing w:line="217" w:lineRule="auto"/>
              <w:ind w:left="586"/>
              <w:rPr>
                <w:sz w:val="24"/>
                <w:szCs w:val="24"/>
              </w:rPr>
            </w:pPr>
            <w:r>
              <w:rPr>
                <w:spacing w:val="-1"/>
                <w:sz w:val="24"/>
                <w:szCs w:val="24"/>
              </w:rPr>
              <w:t>②</w:t>
            </w:r>
            <w:r>
              <w:rPr>
                <w:rFonts w:ascii="Times New Roman" w:hAnsi="Times New Roman" w:eastAsia="Times New Roman" w:cs="Times New Roman"/>
                <w:spacing w:val="-1"/>
                <w:sz w:val="24"/>
                <w:szCs w:val="24"/>
              </w:rPr>
              <w:t xml:space="preserve">110kV </w:t>
            </w:r>
            <w:r>
              <w:rPr>
                <w:spacing w:val="-1"/>
                <w:sz w:val="24"/>
                <w:szCs w:val="24"/>
              </w:rPr>
              <w:t>双回线路</w:t>
            </w:r>
          </w:p>
          <w:p w14:paraId="642C361B">
            <w:pPr>
              <w:pStyle w:val="6"/>
              <w:spacing w:before="184" w:line="359" w:lineRule="auto"/>
              <w:ind w:left="119" w:firstLine="468"/>
              <w:rPr>
                <w:sz w:val="24"/>
                <w:szCs w:val="24"/>
              </w:rPr>
            </w:pPr>
            <w:r>
              <w:rPr>
                <w:spacing w:val="-5"/>
                <w:sz w:val="24"/>
                <w:szCs w:val="24"/>
              </w:rPr>
              <w:t>类比</w:t>
            </w:r>
            <w:r>
              <w:rPr>
                <w:spacing w:val="-32"/>
                <w:sz w:val="24"/>
                <w:szCs w:val="24"/>
              </w:rPr>
              <w:t xml:space="preserve"> </w:t>
            </w:r>
            <w:r>
              <w:rPr>
                <w:rFonts w:ascii="Times New Roman" w:hAnsi="Times New Roman" w:eastAsia="Times New Roman" w:cs="Times New Roman"/>
                <w:spacing w:val="-5"/>
                <w:sz w:val="24"/>
                <w:szCs w:val="24"/>
              </w:rPr>
              <w:t xml:space="preserve">110kV </w:t>
            </w:r>
            <w:r>
              <w:rPr>
                <w:spacing w:val="-5"/>
                <w:sz w:val="24"/>
                <w:szCs w:val="24"/>
              </w:rPr>
              <w:t>双回线路昼间噪声在</w:t>
            </w:r>
            <w:r>
              <w:rPr>
                <w:spacing w:val="-56"/>
                <w:sz w:val="24"/>
                <w:szCs w:val="24"/>
              </w:rPr>
              <w:t xml:space="preserve"> </w:t>
            </w:r>
            <w:r>
              <w:rPr>
                <w:rFonts w:ascii="Times New Roman" w:hAnsi="Times New Roman" w:eastAsia="Times New Roman" w:cs="Times New Roman"/>
                <w:spacing w:val="-5"/>
                <w:sz w:val="24"/>
                <w:szCs w:val="24"/>
              </w:rPr>
              <w:t>44.7</w:t>
            </w:r>
            <w:r>
              <w:rPr>
                <w:spacing w:val="-5"/>
                <w:sz w:val="24"/>
                <w:szCs w:val="24"/>
              </w:rPr>
              <w:t>～</w:t>
            </w:r>
            <w:r>
              <w:rPr>
                <w:rFonts w:ascii="Times New Roman" w:hAnsi="Times New Roman" w:eastAsia="Times New Roman" w:cs="Times New Roman"/>
                <w:spacing w:val="-5"/>
                <w:sz w:val="24"/>
                <w:szCs w:val="24"/>
              </w:rPr>
              <w:t>45.6dB</w:t>
            </w:r>
            <w:r>
              <w:rPr>
                <w:spacing w:val="-5"/>
                <w:sz w:val="24"/>
                <w:szCs w:val="24"/>
              </w:rPr>
              <w:t>（</w:t>
            </w:r>
            <w:r>
              <w:rPr>
                <w:rFonts w:ascii="Times New Roman" w:hAnsi="Times New Roman" w:eastAsia="Times New Roman" w:cs="Times New Roman"/>
                <w:spacing w:val="-6"/>
                <w:sz w:val="24"/>
                <w:szCs w:val="24"/>
              </w:rPr>
              <w:t>A</w:t>
            </w:r>
            <w:r>
              <w:rPr>
                <w:spacing w:val="-6"/>
                <w:sz w:val="24"/>
                <w:szCs w:val="24"/>
              </w:rPr>
              <w:t>）之间，夜间在</w:t>
            </w:r>
            <w:r>
              <w:rPr>
                <w:spacing w:val="-57"/>
                <w:sz w:val="24"/>
                <w:szCs w:val="24"/>
              </w:rPr>
              <w:t xml:space="preserve"> </w:t>
            </w:r>
            <w:r>
              <w:rPr>
                <w:rFonts w:ascii="Times New Roman" w:hAnsi="Times New Roman" w:eastAsia="Times New Roman" w:cs="Times New Roman"/>
                <w:spacing w:val="-6"/>
                <w:sz w:val="24"/>
                <w:szCs w:val="24"/>
              </w:rPr>
              <w:t>40.2</w:t>
            </w:r>
            <w:r>
              <w:rPr>
                <w:spacing w:val="-6"/>
                <w:sz w:val="24"/>
                <w:szCs w:val="24"/>
              </w:rPr>
              <w:t>～</w:t>
            </w:r>
            <w:r>
              <w:rPr>
                <w:rFonts w:ascii="Times New Roman" w:hAnsi="Times New Roman" w:eastAsia="Times New Roman" w:cs="Times New Roman"/>
                <w:spacing w:val="-6"/>
                <w:sz w:val="24"/>
                <w:szCs w:val="24"/>
              </w:rPr>
              <w:t>40.9dB</w:t>
            </w:r>
            <w:r>
              <w:rPr>
                <w:rFonts w:ascii="Times New Roman" w:hAnsi="Times New Roman" w:eastAsia="Times New Roman" w:cs="Times New Roman"/>
                <w:sz w:val="24"/>
                <w:szCs w:val="24"/>
              </w:rPr>
              <w:t xml:space="preserve"> </w:t>
            </w:r>
            <w:r>
              <w:rPr>
                <w:spacing w:val="-6"/>
                <w:sz w:val="24"/>
                <w:szCs w:val="24"/>
              </w:rPr>
              <w:t>（</w:t>
            </w:r>
            <w:r>
              <w:rPr>
                <w:rFonts w:ascii="Times New Roman" w:hAnsi="Times New Roman" w:eastAsia="Times New Roman" w:cs="Times New Roman"/>
                <w:spacing w:val="-6"/>
                <w:sz w:val="24"/>
                <w:szCs w:val="24"/>
              </w:rPr>
              <w:t>A</w:t>
            </w:r>
            <w:r>
              <w:rPr>
                <w:spacing w:val="-6"/>
                <w:sz w:val="24"/>
                <w:szCs w:val="24"/>
              </w:rPr>
              <w:t>）之间，且中心线外</w:t>
            </w:r>
            <w:r>
              <w:rPr>
                <w:spacing w:val="-34"/>
                <w:sz w:val="24"/>
                <w:szCs w:val="24"/>
              </w:rPr>
              <w:t xml:space="preserve"> </w:t>
            </w:r>
            <w:r>
              <w:rPr>
                <w:rFonts w:ascii="Times New Roman" w:hAnsi="Times New Roman" w:eastAsia="Times New Roman" w:cs="Times New Roman"/>
                <w:spacing w:val="-6"/>
                <w:sz w:val="24"/>
                <w:szCs w:val="24"/>
              </w:rPr>
              <w:t>0~30m</w:t>
            </w:r>
            <w:r>
              <w:rPr>
                <w:rFonts w:ascii="Times New Roman" w:hAnsi="Times New Roman" w:eastAsia="Times New Roman" w:cs="Times New Roman"/>
                <w:spacing w:val="16"/>
                <w:w w:val="101"/>
                <w:sz w:val="24"/>
                <w:szCs w:val="24"/>
              </w:rPr>
              <w:t xml:space="preserve"> </w:t>
            </w:r>
            <w:r>
              <w:rPr>
                <w:spacing w:val="-6"/>
                <w:sz w:val="24"/>
                <w:szCs w:val="24"/>
              </w:rPr>
              <w:t>范围内变化趋势均不明显，满足《声环境质量标准》</w:t>
            </w:r>
            <w:r>
              <w:rPr>
                <w:sz w:val="24"/>
                <w:szCs w:val="24"/>
              </w:rPr>
              <w:t xml:space="preserve"> </w:t>
            </w:r>
            <w:r>
              <w:rPr>
                <w:spacing w:val="-1"/>
                <w:sz w:val="24"/>
                <w:szCs w:val="24"/>
              </w:rPr>
              <w:t>（</w:t>
            </w:r>
            <w:r>
              <w:rPr>
                <w:rFonts w:ascii="Times New Roman" w:hAnsi="Times New Roman" w:eastAsia="Times New Roman" w:cs="Times New Roman"/>
                <w:spacing w:val="-1"/>
                <w:sz w:val="24"/>
                <w:szCs w:val="24"/>
              </w:rPr>
              <w:t>GB3096-2008</w:t>
            </w:r>
            <w:r>
              <w:rPr>
                <w:spacing w:val="-1"/>
                <w:sz w:val="24"/>
                <w:szCs w:val="24"/>
              </w:rPr>
              <w:t>）</w:t>
            </w:r>
            <w:r>
              <w:rPr>
                <w:rFonts w:ascii="Times New Roman" w:hAnsi="Times New Roman" w:eastAsia="Times New Roman" w:cs="Times New Roman"/>
                <w:spacing w:val="-1"/>
                <w:sz w:val="24"/>
                <w:szCs w:val="24"/>
              </w:rPr>
              <w:t xml:space="preserve">1 </w:t>
            </w:r>
            <w:r>
              <w:rPr>
                <w:spacing w:val="-1"/>
                <w:sz w:val="24"/>
                <w:szCs w:val="24"/>
              </w:rPr>
              <w:t>类评价标准要求（昼间</w:t>
            </w:r>
            <w:r>
              <w:rPr>
                <w:spacing w:val="-46"/>
                <w:sz w:val="24"/>
                <w:szCs w:val="24"/>
              </w:rPr>
              <w:t xml:space="preserve"> </w:t>
            </w:r>
            <w:r>
              <w:rPr>
                <w:rFonts w:ascii="Times New Roman" w:hAnsi="Times New Roman" w:eastAsia="Times New Roman" w:cs="Times New Roman"/>
                <w:spacing w:val="-2"/>
                <w:sz w:val="24"/>
                <w:szCs w:val="24"/>
              </w:rPr>
              <w:t>55dB</w:t>
            </w:r>
            <w:r>
              <w:rPr>
                <w:spacing w:val="-2"/>
                <w:sz w:val="24"/>
                <w:szCs w:val="24"/>
              </w:rPr>
              <w:t>（</w:t>
            </w:r>
            <w:r>
              <w:rPr>
                <w:rFonts w:ascii="Times New Roman" w:hAnsi="Times New Roman" w:eastAsia="Times New Roman" w:cs="Times New Roman"/>
                <w:spacing w:val="-2"/>
                <w:sz w:val="24"/>
                <w:szCs w:val="24"/>
              </w:rPr>
              <w:t>A</w:t>
            </w:r>
            <w:r>
              <w:rPr>
                <w:spacing w:val="3"/>
                <w:sz w:val="24"/>
                <w:szCs w:val="24"/>
              </w:rPr>
              <w:t>），</w:t>
            </w:r>
            <w:r>
              <w:rPr>
                <w:spacing w:val="-2"/>
                <w:sz w:val="24"/>
                <w:szCs w:val="24"/>
              </w:rPr>
              <w:t>夜间</w:t>
            </w:r>
            <w:r>
              <w:rPr>
                <w:spacing w:val="-57"/>
                <w:sz w:val="24"/>
                <w:szCs w:val="24"/>
              </w:rPr>
              <w:t xml:space="preserve"> </w:t>
            </w:r>
            <w:r>
              <w:rPr>
                <w:rFonts w:ascii="Times New Roman" w:hAnsi="Times New Roman" w:eastAsia="Times New Roman" w:cs="Times New Roman"/>
                <w:spacing w:val="-2"/>
                <w:sz w:val="24"/>
                <w:szCs w:val="24"/>
              </w:rPr>
              <w:t>45dB</w:t>
            </w:r>
            <w:r>
              <w:rPr>
                <w:spacing w:val="-2"/>
                <w:sz w:val="24"/>
                <w:szCs w:val="24"/>
              </w:rPr>
              <w:t>（</w:t>
            </w:r>
            <w:r>
              <w:rPr>
                <w:rFonts w:ascii="Times New Roman" w:hAnsi="Times New Roman" w:eastAsia="Times New Roman" w:cs="Times New Roman"/>
                <w:spacing w:val="-2"/>
                <w:sz w:val="24"/>
                <w:szCs w:val="24"/>
              </w:rPr>
              <w:t>A</w:t>
            </w:r>
            <w:r>
              <w:rPr>
                <w:spacing w:val="3"/>
                <w:sz w:val="24"/>
                <w:szCs w:val="24"/>
              </w:rPr>
              <w:t>））</w:t>
            </w:r>
            <w:r>
              <w:rPr>
                <w:spacing w:val="-2"/>
                <w:sz w:val="24"/>
                <w:szCs w:val="24"/>
              </w:rPr>
              <w:t>。</w:t>
            </w:r>
          </w:p>
          <w:p w14:paraId="11D85CBD">
            <w:pPr>
              <w:pStyle w:val="6"/>
              <w:spacing w:line="220" w:lineRule="auto"/>
              <w:ind w:left="606"/>
              <w:rPr>
                <w:sz w:val="24"/>
                <w:szCs w:val="24"/>
              </w:rPr>
            </w:pPr>
            <w:r>
              <w:rPr>
                <w:rFonts w:ascii="Times New Roman" w:hAnsi="Times New Roman" w:eastAsia="Times New Roman" w:cs="Times New Roman"/>
                <w:spacing w:val="-2"/>
                <w:sz w:val="24"/>
                <w:szCs w:val="24"/>
              </w:rPr>
              <w:t>10</w:t>
            </w:r>
            <w:r>
              <w:rPr>
                <w:spacing w:val="-2"/>
                <w:sz w:val="24"/>
                <w:szCs w:val="24"/>
              </w:rPr>
              <w:t>）对保护目标声环境的影响分析</w:t>
            </w:r>
          </w:p>
          <w:p w14:paraId="23C94269">
            <w:pPr>
              <w:pStyle w:val="6"/>
              <w:spacing w:before="182" w:line="359" w:lineRule="auto"/>
              <w:ind w:left="107" w:right="40" w:firstLine="480"/>
              <w:rPr>
                <w:sz w:val="24"/>
                <w:szCs w:val="24"/>
              </w:rPr>
            </w:pPr>
            <w:r>
              <w:rPr>
                <w:spacing w:val="-2"/>
                <w:sz w:val="24"/>
                <w:szCs w:val="24"/>
              </w:rPr>
              <w:t>本期</w:t>
            </w:r>
            <w:r>
              <w:rPr>
                <w:spacing w:val="-45"/>
                <w:sz w:val="24"/>
                <w:szCs w:val="24"/>
              </w:rPr>
              <w:t xml:space="preserve"> </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36"/>
                <w:sz w:val="24"/>
                <w:szCs w:val="24"/>
              </w:rPr>
              <w:t xml:space="preserve"> </w:t>
            </w:r>
            <w:r>
              <w:rPr>
                <w:spacing w:val="-2"/>
                <w:sz w:val="24"/>
                <w:szCs w:val="24"/>
              </w:rPr>
              <w:t>回</w:t>
            </w:r>
            <w:r>
              <w:rPr>
                <w:spacing w:val="-32"/>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线路沿线涉及</w:t>
            </w:r>
            <w:r>
              <w:rPr>
                <w:spacing w:val="-30"/>
                <w:sz w:val="24"/>
                <w:szCs w:val="24"/>
              </w:rPr>
              <w:t xml:space="preserve"> </w:t>
            </w:r>
            <w:r>
              <w:rPr>
                <w:rFonts w:ascii="Times New Roman" w:hAnsi="Times New Roman" w:eastAsia="Times New Roman" w:cs="Times New Roman"/>
                <w:spacing w:val="-2"/>
                <w:sz w:val="24"/>
                <w:szCs w:val="24"/>
              </w:rPr>
              <w:t xml:space="preserve">17 </w:t>
            </w:r>
            <w:r>
              <w:rPr>
                <w:spacing w:val="-2"/>
                <w:sz w:val="24"/>
                <w:szCs w:val="24"/>
              </w:rPr>
              <w:t>个声环境保护目标，新建线路采用单回、双</w:t>
            </w:r>
            <w:r>
              <w:rPr>
                <w:spacing w:val="-3"/>
                <w:sz w:val="24"/>
                <w:szCs w:val="24"/>
              </w:rPr>
              <w:t>回路（单边挂线）架空架设，本次</w:t>
            </w:r>
            <w:r>
              <w:rPr>
                <w:spacing w:val="-29"/>
                <w:sz w:val="24"/>
                <w:szCs w:val="24"/>
              </w:rPr>
              <w:t xml:space="preserve"> </w:t>
            </w:r>
            <w:r>
              <w:rPr>
                <w:rFonts w:ascii="Times New Roman" w:hAnsi="Times New Roman" w:eastAsia="Times New Roman" w:cs="Times New Roman"/>
                <w:spacing w:val="-3"/>
                <w:sz w:val="24"/>
                <w:szCs w:val="24"/>
              </w:rPr>
              <w:t xml:space="preserve">110kV </w:t>
            </w:r>
            <w:r>
              <w:rPr>
                <w:spacing w:val="-3"/>
                <w:sz w:val="24"/>
                <w:szCs w:val="24"/>
              </w:rPr>
              <w:t>单回线路段的声环境保护目标的声环境影</w:t>
            </w:r>
            <w:r>
              <w:rPr>
                <w:sz w:val="24"/>
                <w:szCs w:val="24"/>
              </w:rPr>
              <w:t>响采用《</w:t>
            </w:r>
            <w:r>
              <w:rPr>
                <w:rFonts w:ascii="Times New Roman" w:hAnsi="Times New Roman" w:eastAsia="Times New Roman" w:cs="Times New Roman"/>
                <w:sz w:val="24"/>
                <w:szCs w:val="24"/>
              </w:rPr>
              <w:t xml:space="preserve">110kV </w:t>
            </w:r>
            <w:r>
              <w:rPr>
                <w:sz w:val="24"/>
                <w:szCs w:val="24"/>
              </w:rPr>
              <w:t>清中东线</w:t>
            </w:r>
            <w:r>
              <w:rPr>
                <w:spacing w:val="-36"/>
                <w:sz w:val="24"/>
                <w:szCs w:val="24"/>
              </w:rPr>
              <w:t xml:space="preserve"> </w:t>
            </w:r>
            <w:r>
              <w:rPr>
                <w:rFonts w:ascii="Times New Roman" w:hAnsi="Times New Roman" w:eastAsia="Times New Roman" w:cs="Times New Roman"/>
                <w:sz w:val="24"/>
                <w:szCs w:val="24"/>
              </w:rPr>
              <w:t>038#~039#</w:t>
            </w:r>
            <w:r>
              <w:rPr>
                <w:sz w:val="24"/>
                <w:szCs w:val="24"/>
              </w:rPr>
              <w:t>电磁及声环境现状监测》中噪声断面监测值进</w:t>
            </w:r>
            <w:r>
              <w:rPr>
                <w:spacing w:val="-1"/>
                <w:sz w:val="24"/>
                <w:szCs w:val="24"/>
              </w:rPr>
              <w:t>行类比验证；本次</w:t>
            </w:r>
            <w:r>
              <w:rPr>
                <w:spacing w:val="-32"/>
                <w:sz w:val="24"/>
                <w:szCs w:val="24"/>
              </w:rPr>
              <w:t xml:space="preserve"> </w:t>
            </w:r>
            <w:r>
              <w:rPr>
                <w:rFonts w:ascii="Times New Roman" w:hAnsi="Times New Roman" w:eastAsia="Times New Roman" w:cs="Times New Roman"/>
                <w:spacing w:val="-1"/>
                <w:sz w:val="24"/>
                <w:szCs w:val="24"/>
              </w:rPr>
              <w:t xml:space="preserve">110kV </w:t>
            </w:r>
            <w:r>
              <w:rPr>
                <w:spacing w:val="-1"/>
                <w:sz w:val="24"/>
                <w:szCs w:val="24"/>
              </w:rPr>
              <w:t>双回线路段的声环境保护目</w:t>
            </w:r>
            <w:r>
              <w:rPr>
                <w:spacing w:val="-2"/>
                <w:sz w:val="24"/>
                <w:szCs w:val="24"/>
              </w:rPr>
              <w:t>标的声环境影响采用《</w:t>
            </w:r>
            <w:r>
              <w:rPr>
                <w:rFonts w:ascii="Times New Roman" w:hAnsi="Times New Roman" w:eastAsia="Times New Roman" w:cs="Times New Roman"/>
                <w:spacing w:val="-2"/>
                <w:sz w:val="24"/>
                <w:szCs w:val="24"/>
              </w:rPr>
              <w:t>110kV</w:t>
            </w:r>
            <w:r>
              <w:rPr>
                <w:spacing w:val="-4"/>
                <w:sz w:val="24"/>
                <w:szCs w:val="24"/>
              </w:rPr>
              <w:t>嵩杨牵线</w:t>
            </w:r>
            <w:r>
              <w:rPr>
                <w:spacing w:val="-34"/>
                <w:sz w:val="24"/>
                <w:szCs w:val="24"/>
              </w:rPr>
              <w:t xml:space="preserve"> </w:t>
            </w:r>
            <w:r>
              <w:rPr>
                <w:rFonts w:ascii="Times New Roman" w:hAnsi="Times New Roman" w:eastAsia="Times New Roman" w:cs="Times New Roman"/>
                <w:spacing w:val="-4"/>
                <w:sz w:val="24"/>
                <w:szCs w:val="24"/>
              </w:rPr>
              <w:t>54#-55#</w:t>
            </w:r>
            <w:r>
              <w:rPr>
                <w:spacing w:val="-4"/>
                <w:sz w:val="24"/>
                <w:szCs w:val="24"/>
              </w:rPr>
              <w:t>和</w:t>
            </w:r>
            <w:r>
              <w:rPr>
                <w:spacing w:val="-32"/>
                <w:sz w:val="24"/>
                <w:szCs w:val="24"/>
              </w:rPr>
              <w:t xml:space="preserve"> </w:t>
            </w:r>
            <w:r>
              <w:rPr>
                <w:rFonts w:ascii="Times New Roman" w:hAnsi="Times New Roman" w:eastAsia="Times New Roman" w:cs="Times New Roman"/>
                <w:spacing w:val="-4"/>
                <w:sz w:val="24"/>
                <w:szCs w:val="24"/>
              </w:rPr>
              <w:t xml:space="preserve">110kV </w:t>
            </w:r>
            <w:r>
              <w:rPr>
                <w:spacing w:val="-4"/>
                <w:sz w:val="24"/>
                <w:szCs w:val="24"/>
              </w:rPr>
              <w:t>杨牵Ⅱ回</w:t>
            </w:r>
            <w:r>
              <w:rPr>
                <w:spacing w:val="-52"/>
                <w:sz w:val="24"/>
                <w:szCs w:val="24"/>
              </w:rPr>
              <w:t xml:space="preserve"> </w:t>
            </w:r>
            <w:r>
              <w:rPr>
                <w:rFonts w:ascii="Times New Roman" w:hAnsi="Times New Roman" w:eastAsia="Times New Roman" w:cs="Times New Roman"/>
                <w:spacing w:val="-4"/>
                <w:sz w:val="24"/>
                <w:szCs w:val="24"/>
              </w:rPr>
              <w:t>004#-003#</w:t>
            </w:r>
            <w:r>
              <w:rPr>
                <w:spacing w:val="-4"/>
                <w:sz w:val="24"/>
                <w:szCs w:val="24"/>
              </w:rPr>
              <w:t>双回线路电磁及声环境现状监测》中双回线路噪声断面监测值进行类比验证。类比监测报告，见附件</w:t>
            </w:r>
            <w:r>
              <w:rPr>
                <w:spacing w:val="-22"/>
                <w:sz w:val="24"/>
                <w:szCs w:val="24"/>
              </w:rPr>
              <w:t xml:space="preserve"> </w:t>
            </w:r>
            <w:r>
              <w:rPr>
                <w:rFonts w:ascii="Times New Roman" w:hAnsi="Times New Roman" w:eastAsia="Times New Roman" w:cs="Times New Roman"/>
                <w:spacing w:val="-4"/>
                <w:sz w:val="24"/>
                <w:szCs w:val="24"/>
              </w:rPr>
              <w:t>18-</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4"/>
                <w:sz w:val="24"/>
                <w:szCs w:val="24"/>
              </w:rPr>
              <w:t xml:space="preserve">1 </w:t>
            </w:r>
            <w:r>
              <w:rPr>
                <w:spacing w:val="-4"/>
                <w:sz w:val="24"/>
                <w:szCs w:val="24"/>
              </w:rPr>
              <w:t>和附件</w:t>
            </w:r>
            <w:r>
              <w:rPr>
                <w:spacing w:val="-32"/>
                <w:sz w:val="24"/>
                <w:szCs w:val="24"/>
              </w:rPr>
              <w:t xml:space="preserve"> </w:t>
            </w:r>
            <w:r>
              <w:rPr>
                <w:rFonts w:ascii="Times New Roman" w:hAnsi="Times New Roman" w:eastAsia="Times New Roman" w:cs="Times New Roman"/>
                <w:spacing w:val="-4"/>
                <w:sz w:val="24"/>
                <w:szCs w:val="24"/>
              </w:rPr>
              <w:t>18-2</w:t>
            </w:r>
            <w:r>
              <w:rPr>
                <w:spacing w:val="-4"/>
                <w:sz w:val="24"/>
                <w:szCs w:val="24"/>
              </w:rPr>
              <w:t>，</w:t>
            </w:r>
          </w:p>
          <w:p w14:paraId="7A6B66A5">
            <w:pPr>
              <w:pStyle w:val="6"/>
              <w:spacing w:line="359" w:lineRule="auto"/>
              <w:ind w:left="108" w:right="102" w:firstLine="480"/>
              <w:rPr>
                <w:sz w:val="24"/>
                <w:szCs w:val="24"/>
              </w:rPr>
            </w:pPr>
            <w:r>
              <w:rPr>
                <w:sz w:val="24"/>
                <w:szCs w:val="24"/>
              </w:rPr>
              <w:t>本次新建</w:t>
            </w:r>
            <w:r>
              <w:rPr>
                <w:spacing w:val="-20"/>
                <w:sz w:val="24"/>
                <w:szCs w:val="24"/>
              </w:rPr>
              <w:t xml:space="preserve"> </w:t>
            </w:r>
            <w:r>
              <w:rPr>
                <w:rFonts w:ascii="Times New Roman" w:hAnsi="Times New Roman" w:eastAsia="Times New Roman" w:cs="Times New Roman"/>
                <w:sz w:val="24"/>
                <w:szCs w:val="24"/>
              </w:rPr>
              <w:t xml:space="preserve">110kV </w:t>
            </w:r>
            <w:r>
              <w:rPr>
                <w:sz w:val="24"/>
                <w:szCs w:val="24"/>
              </w:rPr>
              <w:t>架空线路声环境保护目标处噪声类比分析结果详见表</w:t>
            </w:r>
            <w:r>
              <w:rPr>
                <w:spacing w:val="-54"/>
                <w:sz w:val="24"/>
                <w:szCs w:val="24"/>
              </w:rPr>
              <w:t xml:space="preserve"> </w:t>
            </w:r>
            <w:r>
              <w:rPr>
                <w:rFonts w:ascii="Times New Roman" w:hAnsi="Times New Roman" w:eastAsia="Times New Roman" w:cs="Times New Roman"/>
                <w:sz w:val="24"/>
                <w:szCs w:val="24"/>
              </w:rPr>
              <w:t>4-</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z w:val="24"/>
                <w:szCs w:val="24"/>
              </w:rPr>
              <w:t xml:space="preserve">13 </w:t>
            </w:r>
            <w:r>
              <w:rPr>
                <w:sz w:val="24"/>
                <w:szCs w:val="24"/>
              </w:rPr>
              <w:t>所</w:t>
            </w:r>
            <w:r>
              <w:rPr>
                <w:spacing w:val="-6"/>
                <w:sz w:val="24"/>
                <w:szCs w:val="24"/>
              </w:rPr>
              <w:t>示：</w:t>
            </w:r>
          </w:p>
          <w:p w14:paraId="382E95AB">
            <w:pPr>
              <w:pStyle w:val="6"/>
              <w:spacing w:before="1" w:line="200" w:lineRule="auto"/>
              <w:ind w:left="1067"/>
              <w:rPr>
                <w:sz w:val="24"/>
                <w:szCs w:val="24"/>
              </w:rPr>
            </w:pPr>
            <w:r>
              <w:rPr>
                <w:b/>
                <w:bCs/>
                <w:spacing w:val="-2"/>
                <w:sz w:val="24"/>
                <w:szCs w:val="24"/>
              </w:rPr>
              <w:t>表</w:t>
            </w:r>
            <w:r>
              <w:rPr>
                <w:spacing w:val="-54"/>
                <w:sz w:val="24"/>
                <w:szCs w:val="24"/>
              </w:rPr>
              <w:t xml:space="preserve"> </w:t>
            </w:r>
            <w:r>
              <w:rPr>
                <w:rFonts w:ascii="Times New Roman" w:hAnsi="Times New Roman" w:eastAsia="Times New Roman" w:cs="Times New Roman"/>
                <w:b/>
                <w:bCs/>
                <w:spacing w:val="-2"/>
                <w:sz w:val="24"/>
                <w:szCs w:val="24"/>
              </w:rPr>
              <w:t xml:space="preserve">4-13    </w:t>
            </w:r>
            <w:r>
              <w:rPr>
                <w:b/>
                <w:bCs/>
                <w:spacing w:val="-2"/>
                <w:sz w:val="24"/>
                <w:szCs w:val="24"/>
              </w:rPr>
              <w:t>新建</w:t>
            </w:r>
            <w:r>
              <w:rPr>
                <w:spacing w:val="-41"/>
                <w:sz w:val="24"/>
                <w:szCs w:val="24"/>
              </w:rPr>
              <w:t xml:space="preserve"> </w:t>
            </w:r>
            <w:r>
              <w:rPr>
                <w:rFonts w:ascii="Times New Roman" w:hAnsi="Times New Roman" w:eastAsia="Times New Roman" w:cs="Times New Roman"/>
                <w:b/>
                <w:bCs/>
                <w:spacing w:val="-2"/>
                <w:sz w:val="24"/>
                <w:szCs w:val="24"/>
              </w:rPr>
              <w:t xml:space="preserve">110kV </w:t>
            </w:r>
            <w:r>
              <w:rPr>
                <w:b/>
                <w:bCs/>
                <w:spacing w:val="-2"/>
                <w:sz w:val="24"/>
                <w:szCs w:val="24"/>
              </w:rPr>
              <w:t>架空线路声</w:t>
            </w:r>
            <w:r>
              <w:rPr>
                <w:b/>
                <w:bCs/>
                <w:spacing w:val="-3"/>
                <w:sz w:val="24"/>
                <w:szCs w:val="24"/>
              </w:rPr>
              <w:t>环境保护目标预测结果一览表</w:t>
            </w:r>
          </w:p>
        </w:tc>
      </w:tr>
      <w:tr w14:paraId="6861EC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478" w:type="dxa"/>
            <w:vMerge w:val="continue"/>
            <w:tcBorders>
              <w:top w:val="nil"/>
              <w:left w:val="single" w:color="000000" w:sz="6" w:space="0"/>
              <w:bottom w:val="nil"/>
            </w:tcBorders>
            <w:vAlign w:val="top"/>
          </w:tcPr>
          <w:p w14:paraId="793B2DBD">
            <w:pPr>
              <w:rPr>
                <w:rFonts w:ascii="Arial"/>
                <w:sz w:val="21"/>
              </w:rPr>
            </w:pPr>
          </w:p>
        </w:tc>
        <w:tc>
          <w:tcPr>
            <w:tcW w:w="135" w:type="dxa"/>
            <w:tcBorders>
              <w:top w:val="nil"/>
              <w:bottom w:val="nil"/>
            </w:tcBorders>
            <w:vAlign w:val="top"/>
          </w:tcPr>
          <w:p w14:paraId="6C7A18D1">
            <w:pPr>
              <w:rPr>
                <w:rFonts w:ascii="Arial"/>
                <w:sz w:val="21"/>
              </w:rPr>
            </w:pPr>
          </w:p>
        </w:tc>
        <w:tc>
          <w:tcPr>
            <w:tcW w:w="515" w:type="dxa"/>
            <w:vMerge w:val="restart"/>
            <w:tcBorders>
              <w:bottom w:val="nil"/>
            </w:tcBorders>
            <w:vAlign w:val="top"/>
          </w:tcPr>
          <w:p w14:paraId="1ADA23A0">
            <w:pPr>
              <w:spacing w:line="250" w:lineRule="auto"/>
              <w:rPr>
                <w:rFonts w:ascii="Arial"/>
                <w:sz w:val="21"/>
              </w:rPr>
            </w:pPr>
          </w:p>
          <w:p w14:paraId="7AFB8996">
            <w:pPr>
              <w:pStyle w:val="6"/>
              <w:spacing w:before="65" w:line="228" w:lineRule="auto"/>
              <w:ind w:left="48"/>
            </w:pPr>
            <w:r>
              <w:rPr>
                <w:b/>
                <w:bCs/>
                <w:spacing w:val="2"/>
              </w:rPr>
              <w:t>分区</w:t>
            </w:r>
          </w:p>
        </w:tc>
        <w:tc>
          <w:tcPr>
            <w:tcW w:w="923" w:type="dxa"/>
            <w:vMerge w:val="restart"/>
            <w:tcBorders>
              <w:bottom w:val="nil"/>
            </w:tcBorders>
            <w:vAlign w:val="top"/>
          </w:tcPr>
          <w:p w14:paraId="125B8528">
            <w:pPr>
              <w:pStyle w:val="6"/>
              <w:spacing w:before="182" w:line="252" w:lineRule="auto"/>
              <w:ind w:left="146" w:right="149"/>
            </w:pPr>
            <w:r>
              <w:rPr>
                <w:b/>
                <w:bCs/>
                <w:spacing w:val="5"/>
              </w:rPr>
              <w:t>保护目标名称</w:t>
            </w:r>
          </w:p>
        </w:tc>
        <w:tc>
          <w:tcPr>
            <w:tcW w:w="1898" w:type="dxa"/>
            <w:vMerge w:val="restart"/>
            <w:tcBorders>
              <w:bottom w:val="nil"/>
            </w:tcBorders>
            <w:vAlign w:val="top"/>
          </w:tcPr>
          <w:p w14:paraId="182EC436">
            <w:pPr>
              <w:spacing w:line="250" w:lineRule="auto"/>
              <w:rPr>
                <w:rFonts w:ascii="Arial"/>
                <w:sz w:val="21"/>
              </w:rPr>
            </w:pPr>
          </w:p>
          <w:p w14:paraId="190122CC">
            <w:pPr>
              <w:pStyle w:val="6"/>
              <w:spacing w:before="65" w:line="228" w:lineRule="auto"/>
              <w:ind w:left="502"/>
            </w:pPr>
            <w:r>
              <w:rPr>
                <w:b/>
                <w:bCs/>
                <w:spacing w:val="4"/>
              </w:rPr>
              <w:t>方位</w:t>
            </w:r>
            <w:r>
              <w:rPr>
                <w:rFonts w:ascii="Times New Roman" w:hAnsi="Times New Roman" w:eastAsia="Times New Roman" w:cs="Times New Roman"/>
                <w:b/>
                <w:bCs/>
                <w:spacing w:val="4"/>
              </w:rPr>
              <w:t>/</w:t>
            </w:r>
            <w:r>
              <w:rPr>
                <w:b/>
                <w:bCs/>
                <w:spacing w:val="4"/>
              </w:rPr>
              <w:t>距离</w:t>
            </w:r>
          </w:p>
        </w:tc>
        <w:tc>
          <w:tcPr>
            <w:tcW w:w="1326" w:type="dxa"/>
            <w:vMerge w:val="restart"/>
            <w:tcBorders>
              <w:bottom w:val="nil"/>
            </w:tcBorders>
            <w:vAlign w:val="top"/>
          </w:tcPr>
          <w:p w14:paraId="33121D42">
            <w:pPr>
              <w:pStyle w:val="6"/>
              <w:spacing w:before="181" w:line="252" w:lineRule="auto"/>
              <w:ind w:left="249" w:right="30" w:hanging="209"/>
            </w:pPr>
            <w:r>
              <w:rPr>
                <w:b/>
                <w:bCs/>
                <w:spacing w:val="6"/>
              </w:rPr>
              <w:t>与线路边导线</w:t>
            </w:r>
            <w:r>
              <w:rPr>
                <w:b/>
                <w:bCs/>
                <w:spacing w:val="5"/>
              </w:rPr>
              <w:t>最近距离</w:t>
            </w:r>
          </w:p>
        </w:tc>
        <w:tc>
          <w:tcPr>
            <w:tcW w:w="2327" w:type="dxa"/>
            <w:vMerge w:val="restart"/>
            <w:tcBorders>
              <w:bottom w:val="nil"/>
            </w:tcBorders>
            <w:vAlign w:val="top"/>
          </w:tcPr>
          <w:p w14:paraId="2AB355E0">
            <w:pPr>
              <w:spacing w:line="249" w:lineRule="auto"/>
              <w:rPr>
                <w:rFonts w:ascii="Arial"/>
                <w:sz w:val="21"/>
              </w:rPr>
            </w:pPr>
          </w:p>
          <w:p w14:paraId="39CF4EE0">
            <w:pPr>
              <w:pStyle w:val="6"/>
              <w:spacing w:before="65" w:line="228" w:lineRule="auto"/>
              <w:ind w:left="539"/>
            </w:pPr>
            <w:r>
              <w:rPr>
                <w:b/>
                <w:bCs/>
                <w:spacing w:val="6"/>
              </w:rPr>
              <w:t>类比监测断面</w:t>
            </w:r>
          </w:p>
        </w:tc>
        <w:tc>
          <w:tcPr>
            <w:tcW w:w="1561" w:type="dxa"/>
            <w:gridSpan w:val="2"/>
            <w:vAlign w:val="top"/>
          </w:tcPr>
          <w:p w14:paraId="1CE5EFA2">
            <w:pPr>
              <w:pStyle w:val="6"/>
              <w:spacing w:before="40" w:line="228" w:lineRule="auto"/>
              <w:ind w:left="475"/>
            </w:pPr>
            <w:r>
              <w:rPr>
                <w:b/>
                <w:bCs/>
                <w:spacing w:val="5"/>
              </w:rPr>
              <w:t>类比值</w:t>
            </w:r>
          </w:p>
          <w:p w14:paraId="70F54EEE">
            <w:pPr>
              <w:pStyle w:val="6"/>
              <w:spacing w:before="24" w:line="195" w:lineRule="auto"/>
              <w:ind w:left="176"/>
            </w:pPr>
            <w:r>
              <w:rPr>
                <w:b/>
                <w:bCs/>
                <w:spacing w:val="5"/>
              </w:rPr>
              <w:t>（</w:t>
            </w:r>
            <w:r>
              <w:rPr>
                <w:rFonts w:ascii="Times New Roman" w:hAnsi="Times New Roman" w:eastAsia="Times New Roman" w:cs="Times New Roman"/>
                <w:b/>
                <w:bCs/>
              </w:rPr>
              <w:t>dB</w:t>
            </w:r>
            <w:r>
              <w:rPr>
                <w:b/>
                <w:bCs/>
                <w:spacing w:val="5"/>
              </w:rPr>
              <w:t>（</w:t>
            </w:r>
            <w:r>
              <w:rPr>
                <w:rFonts w:ascii="Times New Roman" w:hAnsi="Times New Roman" w:eastAsia="Times New Roman" w:cs="Times New Roman"/>
                <w:b/>
                <w:bCs/>
                <w:spacing w:val="5"/>
              </w:rPr>
              <w:t>A</w:t>
            </w:r>
            <w:r>
              <w:rPr>
                <w:b/>
                <w:bCs/>
                <w:spacing w:val="-1"/>
              </w:rPr>
              <w:t>））</w:t>
            </w:r>
          </w:p>
        </w:tc>
        <w:tc>
          <w:tcPr>
            <w:tcW w:w="144" w:type="dxa"/>
            <w:tcBorders>
              <w:top w:val="nil"/>
              <w:bottom w:val="nil"/>
              <w:right w:val="single" w:color="000000" w:sz="6" w:space="0"/>
            </w:tcBorders>
            <w:vAlign w:val="top"/>
          </w:tcPr>
          <w:p w14:paraId="29DFFD06">
            <w:pPr>
              <w:rPr>
                <w:rFonts w:ascii="Arial"/>
                <w:sz w:val="21"/>
              </w:rPr>
            </w:pPr>
          </w:p>
        </w:tc>
      </w:tr>
      <w:tr w14:paraId="1EA62D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478" w:type="dxa"/>
            <w:vMerge w:val="continue"/>
            <w:tcBorders>
              <w:top w:val="nil"/>
              <w:left w:val="single" w:color="000000" w:sz="6" w:space="0"/>
              <w:bottom w:val="nil"/>
            </w:tcBorders>
            <w:vAlign w:val="top"/>
          </w:tcPr>
          <w:p w14:paraId="0DABBDA7">
            <w:pPr>
              <w:rPr>
                <w:rFonts w:ascii="Arial"/>
                <w:sz w:val="21"/>
              </w:rPr>
            </w:pPr>
          </w:p>
        </w:tc>
        <w:tc>
          <w:tcPr>
            <w:tcW w:w="135" w:type="dxa"/>
            <w:tcBorders>
              <w:top w:val="nil"/>
              <w:bottom w:val="nil"/>
            </w:tcBorders>
            <w:vAlign w:val="top"/>
          </w:tcPr>
          <w:p w14:paraId="21E7E5B1">
            <w:pPr>
              <w:rPr>
                <w:rFonts w:ascii="Arial"/>
                <w:sz w:val="21"/>
              </w:rPr>
            </w:pPr>
          </w:p>
        </w:tc>
        <w:tc>
          <w:tcPr>
            <w:tcW w:w="515" w:type="dxa"/>
            <w:vMerge w:val="continue"/>
            <w:tcBorders>
              <w:top w:val="nil"/>
            </w:tcBorders>
            <w:vAlign w:val="top"/>
          </w:tcPr>
          <w:p w14:paraId="2D8236F0">
            <w:pPr>
              <w:rPr>
                <w:rFonts w:ascii="Arial"/>
                <w:sz w:val="21"/>
              </w:rPr>
            </w:pPr>
          </w:p>
        </w:tc>
        <w:tc>
          <w:tcPr>
            <w:tcW w:w="923" w:type="dxa"/>
            <w:vMerge w:val="continue"/>
            <w:tcBorders>
              <w:top w:val="nil"/>
            </w:tcBorders>
            <w:vAlign w:val="top"/>
          </w:tcPr>
          <w:p w14:paraId="11229EDF">
            <w:pPr>
              <w:rPr>
                <w:rFonts w:ascii="Arial"/>
                <w:sz w:val="21"/>
              </w:rPr>
            </w:pPr>
          </w:p>
        </w:tc>
        <w:tc>
          <w:tcPr>
            <w:tcW w:w="1898" w:type="dxa"/>
            <w:vMerge w:val="continue"/>
            <w:tcBorders>
              <w:top w:val="nil"/>
            </w:tcBorders>
            <w:vAlign w:val="top"/>
          </w:tcPr>
          <w:p w14:paraId="757460E1">
            <w:pPr>
              <w:rPr>
                <w:rFonts w:ascii="Arial"/>
                <w:sz w:val="21"/>
              </w:rPr>
            </w:pPr>
          </w:p>
        </w:tc>
        <w:tc>
          <w:tcPr>
            <w:tcW w:w="1326" w:type="dxa"/>
            <w:vMerge w:val="continue"/>
            <w:tcBorders>
              <w:top w:val="nil"/>
            </w:tcBorders>
            <w:vAlign w:val="top"/>
          </w:tcPr>
          <w:p w14:paraId="10656880">
            <w:pPr>
              <w:rPr>
                <w:rFonts w:ascii="Arial"/>
                <w:sz w:val="21"/>
              </w:rPr>
            </w:pPr>
          </w:p>
        </w:tc>
        <w:tc>
          <w:tcPr>
            <w:tcW w:w="2327" w:type="dxa"/>
            <w:vMerge w:val="continue"/>
            <w:tcBorders>
              <w:top w:val="nil"/>
            </w:tcBorders>
            <w:vAlign w:val="top"/>
          </w:tcPr>
          <w:p w14:paraId="7B2C4F4A">
            <w:pPr>
              <w:rPr>
                <w:rFonts w:ascii="Arial"/>
                <w:sz w:val="21"/>
              </w:rPr>
            </w:pPr>
          </w:p>
        </w:tc>
        <w:tc>
          <w:tcPr>
            <w:tcW w:w="790" w:type="dxa"/>
            <w:vAlign w:val="top"/>
          </w:tcPr>
          <w:p w14:paraId="4AD3237F">
            <w:pPr>
              <w:pStyle w:val="6"/>
              <w:spacing w:before="57" w:line="208" w:lineRule="auto"/>
              <w:ind w:left="215"/>
            </w:pPr>
            <w:r>
              <w:rPr>
                <w:b/>
                <w:bCs/>
                <w:spacing w:val="-2"/>
              </w:rPr>
              <w:t>昼间</w:t>
            </w:r>
          </w:p>
        </w:tc>
        <w:tc>
          <w:tcPr>
            <w:tcW w:w="771" w:type="dxa"/>
            <w:vAlign w:val="top"/>
          </w:tcPr>
          <w:p w14:paraId="0B3CC976">
            <w:pPr>
              <w:pStyle w:val="6"/>
              <w:spacing w:before="57" w:line="208" w:lineRule="auto"/>
              <w:ind w:left="212"/>
            </w:pPr>
            <w:r>
              <w:rPr>
                <w:b/>
                <w:bCs/>
                <w:spacing w:val="-4"/>
              </w:rPr>
              <w:t>夜间</w:t>
            </w:r>
          </w:p>
        </w:tc>
        <w:tc>
          <w:tcPr>
            <w:tcW w:w="144" w:type="dxa"/>
            <w:tcBorders>
              <w:top w:val="nil"/>
              <w:bottom w:val="nil"/>
              <w:right w:val="single" w:color="000000" w:sz="6" w:space="0"/>
            </w:tcBorders>
            <w:vAlign w:val="top"/>
          </w:tcPr>
          <w:p w14:paraId="3638F491">
            <w:pPr>
              <w:rPr>
                <w:rFonts w:ascii="Arial"/>
                <w:sz w:val="21"/>
              </w:rPr>
            </w:pPr>
          </w:p>
        </w:tc>
      </w:tr>
      <w:tr w14:paraId="759D25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8" w:hRule="atLeast"/>
        </w:trPr>
        <w:tc>
          <w:tcPr>
            <w:tcW w:w="478" w:type="dxa"/>
            <w:vMerge w:val="continue"/>
            <w:tcBorders>
              <w:top w:val="nil"/>
              <w:left w:val="single" w:color="000000" w:sz="6" w:space="0"/>
              <w:bottom w:val="nil"/>
            </w:tcBorders>
            <w:vAlign w:val="top"/>
          </w:tcPr>
          <w:p w14:paraId="739D7EC5">
            <w:pPr>
              <w:rPr>
                <w:rFonts w:ascii="Arial"/>
                <w:sz w:val="21"/>
              </w:rPr>
            </w:pPr>
          </w:p>
        </w:tc>
        <w:tc>
          <w:tcPr>
            <w:tcW w:w="135" w:type="dxa"/>
            <w:tcBorders>
              <w:top w:val="nil"/>
              <w:bottom w:val="nil"/>
            </w:tcBorders>
            <w:vAlign w:val="top"/>
          </w:tcPr>
          <w:p w14:paraId="64C177A4">
            <w:pPr>
              <w:rPr>
                <w:rFonts w:ascii="Arial"/>
                <w:sz w:val="21"/>
              </w:rPr>
            </w:pPr>
          </w:p>
        </w:tc>
        <w:tc>
          <w:tcPr>
            <w:tcW w:w="515" w:type="dxa"/>
            <w:vMerge w:val="restart"/>
            <w:tcBorders>
              <w:bottom w:val="nil"/>
            </w:tcBorders>
            <w:vAlign w:val="top"/>
          </w:tcPr>
          <w:p w14:paraId="15CC9083">
            <w:pPr>
              <w:spacing w:line="338" w:lineRule="auto"/>
              <w:rPr>
                <w:rFonts w:ascii="Arial"/>
                <w:sz w:val="21"/>
              </w:rPr>
            </w:pPr>
          </w:p>
          <w:p w14:paraId="764E95E9">
            <w:pPr>
              <w:spacing w:line="338" w:lineRule="auto"/>
              <w:rPr>
                <w:rFonts w:ascii="Arial"/>
                <w:sz w:val="21"/>
              </w:rPr>
            </w:pPr>
          </w:p>
          <w:p w14:paraId="0232EE9E">
            <w:pPr>
              <w:pStyle w:val="6"/>
              <w:spacing w:before="65"/>
              <w:ind w:left="179"/>
            </w:pPr>
            <w:r>
              <w:t>至</w:t>
            </w:r>
          </w:p>
          <w:p w14:paraId="0307222A">
            <w:pPr>
              <w:spacing w:before="28" w:line="199" w:lineRule="auto"/>
              <w:ind w:left="4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220k</w:t>
            </w:r>
          </w:p>
          <w:p w14:paraId="4A078017">
            <w:pPr>
              <w:pStyle w:val="6"/>
              <w:spacing w:before="34" w:line="228" w:lineRule="auto"/>
              <w:ind w:left="42"/>
            </w:pPr>
            <w:r>
              <w:rPr>
                <w:rFonts w:ascii="Times New Roman" w:hAnsi="Times New Roman" w:eastAsia="Times New Roman" w:cs="Times New Roman"/>
                <w:spacing w:val="2"/>
              </w:rPr>
              <w:t>V</w:t>
            </w:r>
            <w:r>
              <w:rPr>
                <w:rFonts w:ascii="Times New Roman" w:hAnsi="Times New Roman" w:eastAsia="Times New Roman" w:cs="Times New Roman"/>
                <w:spacing w:val="16"/>
                <w:w w:val="101"/>
              </w:rPr>
              <w:t xml:space="preserve"> </w:t>
            </w:r>
            <w:r>
              <w:rPr>
                <w:spacing w:val="2"/>
              </w:rPr>
              <w:t>芳</w:t>
            </w:r>
          </w:p>
          <w:p w14:paraId="1D970AF9">
            <w:pPr>
              <w:pStyle w:val="6"/>
              <w:spacing w:before="26" w:line="228" w:lineRule="auto"/>
              <w:ind w:left="22"/>
            </w:pPr>
            <w:r>
              <w:rPr>
                <w:spacing w:val="5"/>
              </w:rPr>
              <w:t>华变</w:t>
            </w:r>
          </w:p>
          <w:p w14:paraId="6A3C8A30">
            <w:pPr>
              <w:spacing w:before="41" w:line="199" w:lineRule="auto"/>
              <w:ind w:left="6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110k</w:t>
            </w:r>
          </w:p>
          <w:p w14:paraId="12F13E8A">
            <w:pPr>
              <w:pStyle w:val="6"/>
              <w:spacing w:before="35" w:line="228" w:lineRule="auto"/>
              <w:ind w:left="42"/>
            </w:pPr>
            <w:r>
              <w:rPr>
                <w:rFonts w:ascii="Times New Roman" w:hAnsi="Times New Roman" w:eastAsia="Times New Roman" w:cs="Times New Roman"/>
                <w:spacing w:val="2"/>
              </w:rPr>
              <w:t>V</w:t>
            </w:r>
            <w:r>
              <w:rPr>
                <w:rFonts w:ascii="Times New Roman" w:hAnsi="Times New Roman" w:eastAsia="Times New Roman" w:cs="Times New Roman"/>
                <w:spacing w:val="13"/>
                <w:w w:val="101"/>
              </w:rPr>
              <w:t xml:space="preserve"> </w:t>
            </w:r>
            <w:r>
              <w:rPr>
                <w:spacing w:val="2"/>
              </w:rPr>
              <w:t>线</w:t>
            </w:r>
          </w:p>
          <w:p w14:paraId="5040C81F">
            <w:pPr>
              <w:pStyle w:val="6"/>
              <w:spacing w:before="23" w:line="228" w:lineRule="auto"/>
              <w:ind w:left="23"/>
              <w:rPr>
                <w:rFonts w:ascii="Times New Roman" w:hAnsi="Times New Roman" w:eastAsia="Times New Roman" w:cs="Times New Roman"/>
              </w:rPr>
            </w:pPr>
            <w:r>
              <w:rPr>
                <w:spacing w:val="-24"/>
                <w:w w:val="97"/>
              </w:rPr>
              <w:t>路（</w:t>
            </w:r>
            <w:r>
              <w:rPr>
                <w:rFonts w:ascii="Times New Roman" w:hAnsi="Times New Roman" w:eastAsia="Times New Roman" w:cs="Times New Roman"/>
                <w:spacing w:val="-24"/>
                <w:w w:val="97"/>
              </w:rPr>
              <w:t>A</w:t>
            </w:r>
          </w:p>
          <w:p w14:paraId="4750E0FF">
            <w:pPr>
              <w:pStyle w:val="6"/>
              <w:spacing w:before="27" w:line="231" w:lineRule="auto"/>
              <w:ind w:left="172"/>
            </w:pPr>
            <w:r>
              <w:t>回</w:t>
            </w:r>
          </w:p>
          <w:p w14:paraId="4F8EB6C1">
            <w:pPr>
              <w:pStyle w:val="6"/>
              <w:spacing w:before="22" w:line="228" w:lineRule="auto"/>
              <w:ind w:left="48"/>
            </w:pPr>
            <w:r>
              <w:rPr>
                <w:spacing w:val="-1"/>
              </w:rPr>
              <w:t>线）</w:t>
            </w:r>
          </w:p>
        </w:tc>
        <w:tc>
          <w:tcPr>
            <w:tcW w:w="923" w:type="dxa"/>
            <w:vAlign w:val="top"/>
          </w:tcPr>
          <w:p w14:paraId="0B5F60E5">
            <w:pPr>
              <w:pStyle w:val="6"/>
              <w:spacing w:before="162" w:line="225" w:lineRule="auto"/>
              <w:ind w:left="144"/>
            </w:pPr>
            <w:r>
              <w:rPr>
                <w:spacing w:val="7"/>
              </w:rPr>
              <w:t>①菜地</w:t>
            </w:r>
          </w:p>
          <w:p w14:paraId="1A495E59">
            <w:pPr>
              <w:pStyle w:val="6"/>
              <w:spacing w:before="27" w:line="252" w:lineRule="auto"/>
              <w:ind w:left="357" w:right="151" w:hanging="212"/>
            </w:pPr>
            <w:r>
              <w:rPr>
                <w:spacing w:val="6"/>
              </w:rPr>
              <w:t>看护用</w:t>
            </w:r>
            <w:r>
              <w:t>房</w:t>
            </w:r>
          </w:p>
        </w:tc>
        <w:tc>
          <w:tcPr>
            <w:tcW w:w="1898" w:type="dxa"/>
            <w:vAlign w:val="top"/>
          </w:tcPr>
          <w:p w14:paraId="58A0CBE3">
            <w:pPr>
              <w:pStyle w:val="6"/>
              <w:spacing w:before="176" w:line="228" w:lineRule="auto"/>
              <w:ind w:left="217"/>
            </w:pPr>
            <w:r>
              <w:rPr>
                <w:spacing w:val="6"/>
              </w:rPr>
              <w:t>单回线路北侧，</w:t>
            </w:r>
          </w:p>
          <w:p w14:paraId="7E828797">
            <w:pPr>
              <w:pStyle w:val="6"/>
              <w:spacing w:before="24" w:line="228" w:lineRule="auto"/>
              <w:ind w:left="219"/>
            </w:pPr>
            <w:r>
              <w:rPr>
                <w:rFonts w:ascii="Times New Roman" w:hAnsi="Times New Roman" w:eastAsia="Times New Roman" w:cs="Times New Roman"/>
              </w:rPr>
              <w:t>AZ</w:t>
            </w:r>
            <w:r>
              <w:rPr>
                <w:rFonts w:ascii="Times New Roman" w:hAnsi="Times New Roman" w:eastAsia="Times New Roman" w:cs="Times New Roman"/>
                <w:spacing w:val="5"/>
              </w:rPr>
              <w:t>1-</w:t>
            </w:r>
            <w:r>
              <w:rPr>
                <w:rFonts w:ascii="Times New Roman" w:hAnsi="Times New Roman" w:eastAsia="Times New Roman" w:cs="Times New Roman"/>
                <w:spacing w:val="-26"/>
              </w:rPr>
              <w:t xml:space="preserve"> </w:t>
            </w:r>
            <w:r>
              <w:rPr>
                <w:rFonts w:ascii="Times New Roman" w:hAnsi="Times New Roman" w:eastAsia="Times New Roman" w:cs="Times New Roman"/>
                <w:spacing w:val="5"/>
              </w:rPr>
              <w:t xml:space="preserve">1 </w:t>
            </w:r>
            <w:r>
              <w:rPr>
                <w:spacing w:val="5"/>
              </w:rPr>
              <w:t>塔基西侧</w:t>
            </w:r>
          </w:p>
          <w:p w14:paraId="0CBCDE68">
            <w:pPr>
              <w:spacing w:before="46" w:line="195" w:lineRule="auto"/>
              <w:ind w:left="7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60m</w:t>
            </w:r>
          </w:p>
        </w:tc>
        <w:tc>
          <w:tcPr>
            <w:tcW w:w="1326" w:type="dxa"/>
            <w:vAlign w:val="top"/>
          </w:tcPr>
          <w:p w14:paraId="238E7A35">
            <w:pPr>
              <w:pStyle w:val="6"/>
              <w:spacing w:before="42" w:line="228" w:lineRule="auto"/>
              <w:ind w:left="120"/>
            </w:pPr>
            <w:r>
              <w:t>位于</w:t>
            </w:r>
            <w:r>
              <w:rPr>
                <w:spacing w:val="-44"/>
              </w:rPr>
              <w:t xml:space="preserve"> </w:t>
            </w:r>
            <w:r>
              <w:rPr>
                <w:rFonts w:ascii="Times New Roman" w:hAnsi="Times New Roman" w:eastAsia="Times New Roman" w:cs="Times New Roman"/>
              </w:rPr>
              <w:t>A</w:t>
            </w:r>
            <w:r>
              <w:rPr>
                <w:rFonts w:ascii="Times New Roman" w:hAnsi="Times New Roman" w:eastAsia="Times New Roman" w:cs="Times New Roman"/>
                <w:spacing w:val="32"/>
                <w:w w:val="101"/>
              </w:rPr>
              <w:t xml:space="preserve"> </w:t>
            </w:r>
            <w:r>
              <w:t>回线</w:t>
            </w:r>
          </w:p>
          <w:p w14:paraId="08BA3064">
            <w:pPr>
              <w:pStyle w:val="6"/>
              <w:spacing w:before="24" w:line="228" w:lineRule="auto"/>
              <w:ind w:left="143"/>
            </w:pPr>
            <w:r>
              <w:rPr>
                <w:spacing w:val="8"/>
              </w:rPr>
              <w:t>边导线地面</w:t>
            </w:r>
          </w:p>
          <w:p w14:paraId="2DF8854C">
            <w:pPr>
              <w:pStyle w:val="6"/>
              <w:spacing w:before="23" w:line="228" w:lineRule="auto"/>
              <w:ind w:left="250"/>
            </w:pPr>
            <w:r>
              <w:rPr>
                <w:spacing w:val="7"/>
              </w:rPr>
              <w:t>投影北侧</w:t>
            </w:r>
          </w:p>
          <w:p w14:paraId="2DFD2276">
            <w:pPr>
              <w:spacing w:before="48" w:line="175" w:lineRule="auto"/>
              <w:ind w:left="536"/>
              <w:rPr>
                <w:rFonts w:ascii="Times New Roman" w:hAnsi="Times New Roman" w:eastAsia="Times New Roman" w:cs="Times New Roman"/>
                <w:sz w:val="20"/>
                <w:szCs w:val="20"/>
              </w:rPr>
            </w:pPr>
            <w:r>
              <w:rPr>
                <w:rFonts w:ascii="Times New Roman" w:hAnsi="Times New Roman" w:eastAsia="Times New Roman" w:cs="Times New Roman"/>
                <w:sz w:val="20"/>
                <w:szCs w:val="20"/>
              </w:rPr>
              <w:t>6m</w:t>
            </w:r>
          </w:p>
        </w:tc>
        <w:tc>
          <w:tcPr>
            <w:tcW w:w="2327" w:type="dxa"/>
            <w:vAlign w:val="top"/>
          </w:tcPr>
          <w:p w14:paraId="36C1A085">
            <w:pPr>
              <w:pStyle w:val="6"/>
              <w:spacing w:before="162" w:line="228" w:lineRule="auto"/>
              <w:ind w:left="459"/>
            </w:pP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清中东线</w:t>
            </w:r>
          </w:p>
          <w:p w14:paraId="3CDCDB81">
            <w:pPr>
              <w:pStyle w:val="6"/>
              <w:spacing w:before="24" w:line="228" w:lineRule="auto"/>
              <w:ind w:left="63"/>
            </w:pPr>
            <w:r>
              <w:rPr>
                <w:rFonts w:ascii="Times New Roman" w:hAnsi="Times New Roman" w:eastAsia="Times New Roman" w:cs="Times New Roman"/>
                <w:spacing w:val="6"/>
              </w:rPr>
              <w:t>038#~039#</w:t>
            </w:r>
            <w:r>
              <w:rPr>
                <w:spacing w:val="6"/>
              </w:rPr>
              <w:t>杆塔间线路边</w:t>
            </w:r>
          </w:p>
          <w:p w14:paraId="7D9EF1A1">
            <w:pPr>
              <w:pStyle w:val="6"/>
              <w:spacing w:before="24" w:line="228" w:lineRule="auto"/>
              <w:ind w:left="703"/>
              <w:rPr>
                <w:rFonts w:ascii="Times New Roman" w:hAnsi="Times New Roman" w:eastAsia="Times New Roman" w:cs="Times New Roman"/>
              </w:rPr>
            </w:pPr>
            <w:r>
              <w:rPr>
                <w:spacing w:val="3"/>
              </w:rPr>
              <w:t>导线外</w:t>
            </w:r>
            <w:r>
              <w:rPr>
                <w:spacing w:val="-36"/>
              </w:rPr>
              <w:t xml:space="preserve"> </w:t>
            </w:r>
            <w:r>
              <w:rPr>
                <w:rFonts w:ascii="Times New Roman" w:hAnsi="Times New Roman" w:eastAsia="Times New Roman" w:cs="Times New Roman"/>
                <w:spacing w:val="3"/>
              </w:rPr>
              <w:t>5m</w:t>
            </w:r>
          </w:p>
        </w:tc>
        <w:tc>
          <w:tcPr>
            <w:tcW w:w="790" w:type="dxa"/>
            <w:vAlign w:val="top"/>
          </w:tcPr>
          <w:p w14:paraId="785FE2F6">
            <w:pPr>
              <w:spacing w:line="409" w:lineRule="auto"/>
              <w:rPr>
                <w:rFonts w:ascii="Arial"/>
                <w:sz w:val="21"/>
              </w:rPr>
            </w:pPr>
          </w:p>
          <w:p w14:paraId="790F5689">
            <w:pPr>
              <w:spacing w:before="58"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41.</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2"/>
                <w:sz w:val="20"/>
                <w:szCs w:val="20"/>
              </w:rPr>
              <w:t>1</w:t>
            </w:r>
          </w:p>
        </w:tc>
        <w:tc>
          <w:tcPr>
            <w:tcW w:w="771" w:type="dxa"/>
            <w:vAlign w:val="top"/>
          </w:tcPr>
          <w:p w14:paraId="32565864">
            <w:pPr>
              <w:spacing w:line="409" w:lineRule="auto"/>
              <w:rPr>
                <w:rFonts w:ascii="Arial"/>
                <w:sz w:val="21"/>
              </w:rPr>
            </w:pPr>
          </w:p>
          <w:p w14:paraId="356217B1">
            <w:pPr>
              <w:spacing w:before="58" w:line="195" w:lineRule="auto"/>
              <w:ind w:left="2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38.5</w:t>
            </w:r>
          </w:p>
        </w:tc>
        <w:tc>
          <w:tcPr>
            <w:tcW w:w="144" w:type="dxa"/>
            <w:tcBorders>
              <w:top w:val="nil"/>
              <w:bottom w:val="nil"/>
              <w:right w:val="single" w:color="000000" w:sz="6" w:space="0"/>
            </w:tcBorders>
            <w:vAlign w:val="top"/>
          </w:tcPr>
          <w:p w14:paraId="57AF7960">
            <w:pPr>
              <w:rPr>
                <w:rFonts w:ascii="Arial"/>
                <w:sz w:val="21"/>
              </w:rPr>
            </w:pPr>
          </w:p>
        </w:tc>
      </w:tr>
      <w:tr w14:paraId="29EBB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7" w:hRule="atLeast"/>
        </w:trPr>
        <w:tc>
          <w:tcPr>
            <w:tcW w:w="478" w:type="dxa"/>
            <w:vMerge w:val="continue"/>
            <w:tcBorders>
              <w:top w:val="nil"/>
              <w:left w:val="single" w:color="000000" w:sz="6" w:space="0"/>
              <w:bottom w:val="nil"/>
            </w:tcBorders>
            <w:vAlign w:val="top"/>
          </w:tcPr>
          <w:p w14:paraId="7E85AD9D">
            <w:pPr>
              <w:rPr>
                <w:rFonts w:ascii="Arial"/>
                <w:sz w:val="21"/>
              </w:rPr>
            </w:pPr>
          </w:p>
        </w:tc>
        <w:tc>
          <w:tcPr>
            <w:tcW w:w="135" w:type="dxa"/>
            <w:tcBorders>
              <w:top w:val="nil"/>
              <w:bottom w:val="nil"/>
            </w:tcBorders>
            <w:vAlign w:val="top"/>
          </w:tcPr>
          <w:p w14:paraId="7E913681">
            <w:pPr>
              <w:rPr>
                <w:rFonts w:ascii="Arial"/>
                <w:sz w:val="21"/>
              </w:rPr>
            </w:pPr>
          </w:p>
        </w:tc>
        <w:tc>
          <w:tcPr>
            <w:tcW w:w="515" w:type="dxa"/>
            <w:vMerge w:val="continue"/>
            <w:tcBorders>
              <w:top w:val="nil"/>
              <w:bottom w:val="nil"/>
            </w:tcBorders>
            <w:vAlign w:val="top"/>
          </w:tcPr>
          <w:p w14:paraId="40AE730A">
            <w:pPr>
              <w:rPr>
                <w:rFonts w:ascii="Arial"/>
                <w:sz w:val="21"/>
              </w:rPr>
            </w:pPr>
          </w:p>
        </w:tc>
        <w:tc>
          <w:tcPr>
            <w:tcW w:w="923" w:type="dxa"/>
            <w:vAlign w:val="top"/>
          </w:tcPr>
          <w:p w14:paraId="46006D47">
            <w:pPr>
              <w:pStyle w:val="6"/>
              <w:spacing w:before="47" w:line="225" w:lineRule="auto"/>
              <w:ind w:left="143"/>
            </w:pPr>
            <w:r>
              <w:rPr>
                <w:spacing w:val="7"/>
              </w:rPr>
              <w:t>②菜地</w:t>
            </w:r>
          </w:p>
          <w:p w14:paraId="49E12018">
            <w:pPr>
              <w:pStyle w:val="6"/>
              <w:spacing w:before="26" w:line="228" w:lineRule="auto"/>
              <w:ind w:left="145"/>
            </w:pPr>
            <w:r>
              <w:rPr>
                <w:spacing w:val="6"/>
              </w:rPr>
              <w:t>看护用</w:t>
            </w:r>
          </w:p>
          <w:p w14:paraId="649307D5">
            <w:pPr>
              <w:pStyle w:val="6"/>
              <w:spacing w:before="27" w:line="228" w:lineRule="auto"/>
              <w:ind w:left="146"/>
            </w:pPr>
            <w:r>
              <w:rPr>
                <w:spacing w:val="6"/>
              </w:rPr>
              <w:t>房（卢</w:t>
            </w:r>
          </w:p>
          <w:p w14:paraId="4062AE15">
            <w:pPr>
              <w:pStyle w:val="6"/>
              <w:spacing w:before="24" w:line="228" w:lineRule="auto"/>
              <w:ind w:left="144"/>
            </w:pPr>
            <w:r>
              <w:rPr>
                <w:spacing w:val="7"/>
              </w:rPr>
              <w:t>旗堡居</w:t>
            </w:r>
          </w:p>
          <w:p w14:paraId="72A159D4">
            <w:pPr>
              <w:pStyle w:val="6"/>
              <w:spacing w:before="26" w:line="203" w:lineRule="auto"/>
              <w:ind w:left="166"/>
            </w:pPr>
            <w:r>
              <w:rPr>
                <w:spacing w:val="-4"/>
              </w:rPr>
              <w:t>民楼）</w:t>
            </w:r>
          </w:p>
        </w:tc>
        <w:tc>
          <w:tcPr>
            <w:tcW w:w="1898" w:type="dxa"/>
            <w:vAlign w:val="top"/>
          </w:tcPr>
          <w:p w14:paraId="6A18B620">
            <w:pPr>
              <w:spacing w:line="268" w:lineRule="auto"/>
              <w:rPr>
                <w:rFonts w:ascii="Arial"/>
                <w:sz w:val="21"/>
              </w:rPr>
            </w:pPr>
          </w:p>
          <w:p w14:paraId="4939B0CF">
            <w:pPr>
              <w:pStyle w:val="6"/>
              <w:spacing w:before="65" w:line="228" w:lineRule="auto"/>
              <w:ind w:left="217"/>
            </w:pPr>
            <w:r>
              <w:rPr>
                <w:spacing w:val="6"/>
              </w:rPr>
              <w:t>单回线路西侧，</w:t>
            </w:r>
          </w:p>
          <w:p w14:paraId="3458385F">
            <w:pPr>
              <w:pStyle w:val="6"/>
              <w:spacing w:before="24" w:line="228" w:lineRule="auto"/>
              <w:ind w:left="104"/>
            </w:pPr>
            <w:r>
              <w:rPr>
                <w:rFonts w:ascii="Times New Roman" w:hAnsi="Times New Roman" w:eastAsia="Times New Roman" w:cs="Times New Roman"/>
              </w:rPr>
              <w:t>AZ</w:t>
            </w:r>
            <w:r>
              <w:rPr>
                <w:rFonts w:ascii="Times New Roman" w:hAnsi="Times New Roman" w:eastAsia="Times New Roman" w:cs="Times New Roman"/>
                <w:spacing w:val="8"/>
              </w:rPr>
              <w:t>1+1</w:t>
            </w:r>
            <w:r>
              <w:rPr>
                <w:rFonts w:ascii="Times New Roman" w:hAnsi="Times New Roman" w:eastAsia="Times New Roman" w:cs="Times New Roman"/>
                <w:spacing w:val="-14"/>
              </w:rPr>
              <w:t xml:space="preserve"> </w:t>
            </w:r>
            <w:r>
              <w:rPr>
                <w:spacing w:val="8"/>
              </w:rPr>
              <w:t>塔基西南侧</w:t>
            </w:r>
          </w:p>
          <w:p w14:paraId="41755EF9">
            <w:pPr>
              <w:spacing w:before="46" w:line="195" w:lineRule="auto"/>
              <w:ind w:left="7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62m</w:t>
            </w:r>
          </w:p>
        </w:tc>
        <w:tc>
          <w:tcPr>
            <w:tcW w:w="1326" w:type="dxa"/>
            <w:vAlign w:val="top"/>
          </w:tcPr>
          <w:p w14:paraId="6CA6087F">
            <w:pPr>
              <w:pStyle w:val="6"/>
              <w:spacing w:before="199" w:line="228" w:lineRule="auto"/>
              <w:ind w:left="120"/>
            </w:pPr>
            <w:r>
              <w:t>位于</w:t>
            </w:r>
            <w:r>
              <w:rPr>
                <w:spacing w:val="-44"/>
              </w:rPr>
              <w:t xml:space="preserve"> </w:t>
            </w:r>
            <w:r>
              <w:rPr>
                <w:rFonts w:ascii="Times New Roman" w:hAnsi="Times New Roman" w:eastAsia="Times New Roman" w:cs="Times New Roman"/>
              </w:rPr>
              <w:t>A</w:t>
            </w:r>
            <w:r>
              <w:rPr>
                <w:rFonts w:ascii="Times New Roman" w:hAnsi="Times New Roman" w:eastAsia="Times New Roman" w:cs="Times New Roman"/>
                <w:spacing w:val="32"/>
                <w:w w:val="101"/>
              </w:rPr>
              <w:t xml:space="preserve"> </w:t>
            </w:r>
            <w:r>
              <w:t>回线</w:t>
            </w:r>
          </w:p>
          <w:p w14:paraId="5ADE6CB4">
            <w:pPr>
              <w:pStyle w:val="6"/>
              <w:spacing w:before="24" w:line="228" w:lineRule="auto"/>
              <w:ind w:left="143"/>
            </w:pPr>
            <w:r>
              <w:rPr>
                <w:spacing w:val="8"/>
              </w:rPr>
              <w:t>边导线地面</w:t>
            </w:r>
          </w:p>
          <w:p w14:paraId="201165B0">
            <w:pPr>
              <w:pStyle w:val="6"/>
              <w:spacing w:before="27" w:line="261" w:lineRule="auto"/>
              <w:ind w:left="537" w:right="135" w:hanging="390"/>
              <w:rPr>
                <w:rFonts w:ascii="Times New Roman" w:hAnsi="Times New Roman" w:eastAsia="Times New Roman" w:cs="Times New Roman"/>
              </w:rPr>
            </w:pPr>
            <w:r>
              <w:rPr>
                <w:spacing w:val="7"/>
              </w:rPr>
              <w:t>投影西南侧</w:t>
            </w:r>
            <w:r>
              <w:rPr>
                <w:rFonts w:ascii="Times New Roman" w:hAnsi="Times New Roman" w:eastAsia="Times New Roman" w:cs="Times New Roman"/>
                <w:spacing w:val="-1"/>
              </w:rPr>
              <w:t>5m</w:t>
            </w:r>
          </w:p>
        </w:tc>
        <w:tc>
          <w:tcPr>
            <w:tcW w:w="2327" w:type="dxa"/>
            <w:vAlign w:val="top"/>
          </w:tcPr>
          <w:p w14:paraId="39EFD42A">
            <w:pPr>
              <w:spacing w:line="251" w:lineRule="auto"/>
              <w:rPr>
                <w:rFonts w:ascii="Arial"/>
                <w:sz w:val="21"/>
              </w:rPr>
            </w:pPr>
          </w:p>
          <w:p w14:paraId="4D611DF9">
            <w:pPr>
              <w:pStyle w:val="6"/>
              <w:spacing w:before="65" w:line="228" w:lineRule="auto"/>
              <w:ind w:left="459"/>
            </w:pP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清中东线</w:t>
            </w:r>
          </w:p>
          <w:p w14:paraId="367887B9">
            <w:pPr>
              <w:pStyle w:val="6"/>
              <w:spacing w:before="24" w:line="228" w:lineRule="auto"/>
              <w:ind w:left="63"/>
            </w:pPr>
            <w:r>
              <w:rPr>
                <w:rFonts w:ascii="Times New Roman" w:hAnsi="Times New Roman" w:eastAsia="Times New Roman" w:cs="Times New Roman"/>
                <w:spacing w:val="6"/>
              </w:rPr>
              <w:t>038#~039#</w:t>
            </w:r>
            <w:r>
              <w:rPr>
                <w:spacing w:val="6"/>
              </w:rPr>
              <w:t>杆塔间线路边</w:t>
            </w:r>
          </w:p>
          <w:p w14:paraId="70FBB9C5">
            <w:pPr>
              <w:pStyle w:val="6"/>
              <w:spacing w:before="27" w:line="228" w:lineRule="auto"/>
              <w:ind w:left="703"/>
              <w:rPr>
                <w:rFonts w:ascii="Times New Roman" w:hAnsi="Times New Roman" w:eastAsia="Times New Roman" w:cs="Times New Roman"/>
              </w:rPr>
            </w:pPr>
            <w:r>
              <w:rPr>
                <w:spacing w:val="3"/>
              </w:rPr>
              <w:t>导线外</w:t>
            </w:r>
            <w:r>
              <w:rPr>
                <w:spacing w:val="-36"/>
              </w:rPr>
              <w:t xml:space="preserve"> </w:t>
            </w:r>
            <w:r>
              <w:rPr>
                <w:rFonts w:ascii="Times New Roman" w:hAnsi="Times New Roman" w:eastAsia="Times New Roman" w:cs="Times New Roman"/>
                <w:spacing w:val="3"/>
              </w:rPr>
              <w:t>5m</w:t>
            </w:r>
          </w:p>
        </w:tc>
        <w:tc>
          <w:tcPr>
            <w:tcW w:w="790" w:type="dxa"/>
            <w:vAlign w:val="top"/>
          </w:tcPr>
          <w:p w14:paraId="6EFD99C2">
            <w:pPr>
              <w:spacing w:line="283" w:lineRule="auto"/>
              <w:rPr>
                <w:rFonts w:ascii="Arial"/>
                <w:sz w:val="21"/>
              </w:rPr>
            </w:pPr>
          </w:p>
          <w:p w14:paraId="348F8900">
            <w:pPr>
              <w:spacing w:line="284" w:lineRule="auto"/>
              <w:rPr>
                <w:rFonts w:ascii="Arial"/>
                <w:sz w:val="21"/>
              </w:rPr>
            </w:pPr>
          </w:p>
          <w:p w14:paraId="0D6D96BA">
            <w:pPr>
              <w:spacing w:before="57"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41.</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2"/>
                <w:sz w:val="20"/>
                <w:szCs w:val="20"/>
              </w:rPr>
              <w:t>1</w:t>
            </w:r>
          </w:p>
        </w:tc>
        <w:tc>
          <w:tcPr>
            <w:tcW w:w="771" w:type="dxa"/>
            <w:vAlign w:val="top"/>
          </w:tcPr>
          <w:p w14:paraId="643360F6">
            <w:pPr>
              <w:spacing w:line="283" w:lineRule="auto"/>
              <w:rPr>
                <w:rFonts w:ascii="Arial"/>
                <w:sz w:val="21"/>
              </w:rPr>
            </w:pPr>
          </w:p>
          <w:p w14:paraId="2A37A4EF">
            <w:pPr>
              <w:spacing w:line="284" w:lineRule="auto"/>
              <w:rPr>
                <w:rFonts w:ascii="Arial"/>
                <w:sz w:val="21"/>
              </w:rPr>
            </w:pPr>
          </w:p>
          <w:p w14:paraId="5E87775A">
            <w:pPr>
              <w:spacing w:before="57" w:line="195" w:lineRule="auto"/>
              <w:ind w:left="2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38.5</w:t>
            </w:r>
          </w:p>
        </w:tc>
        <w:tc>
          <w:tcPr>
            <w:tcW w:w="144" w:type="dxa"/>
            <w:tcBorders>
              <w:top w:val="nil"/>
              <w:bottom w:val="nil"/>
              <w:right w:val="single" w:color="000000" w:sz="6" w:space="0"/>
            </w:tcBorders>
            <w:vAlign w:val="top"/>
          </w:tcPr>
          <w:p w14:paraId="5DB536CC">
            <w:pPr>
              <w:rPr>
                <w:rFonts w:ascii="Arial"/>
                <w:sz w:val="21"/>
              </w:rPr>
            </w:pPr>
          </w:p>
        </w:tc>
      </w:tr>
      <w:tr w14:paraId="3ADB1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0" w:hRule="atLeast"/>
        </w:trPr>
        <w:tc>
          <w:tcPr>
            <w:tcW w:w="478" w:type="dxa"/>
            <w:vMerge w:val="continue"/>
            <w:tcBorders>
              <w:top w:val="nil"/>
              <w:left w:val="single" w:color="000000" w:sz="6" w:space="0"/>
              <w:bottom w:val="single" w:color="000000" w:sz="6" w:space="0"/>
            </w:tcBorders>
            <w:vAlign w:val="top"/>
          </w:tcPr>
          <w:p w14:paraId="36C9128D">
            <w:pPr>
              <w:rPr>
                <w:rFonts w:ascii="Arial"/>
                <w:sz w:val="21"/>
              </w:rPr>
            </w:pPr>
          </w:p>
        </w:tc>
        <w:tc>
          <w:tcPr>
            <w:tcW w:w="135" w:type="dxa"/>
            <w:tcBorders>
              <w:top w:val="nil"/>
              <w:bottom w:val="single" w:color="000000" w:sz="6" w:space="0"/>
            </w:tcBorders>
            <w:vAlign w:val="top"/>
          </w:tcPr>
          <w:p w14:paraId="76CE3094">
            <w:pPr>
              <w:rPr>
                <w:rFonts w:ascii="Arial"/>
                <w:sz w:val="21"/>
              </w:rPr>
            </w:pPr>
          </w:p>
        </w:tc>
        <w:tc>
          <w:tcPr>
            <w:tcW w:w="515" w:type="dxa"/>
            <w:vMerge w:val="continue"/>
            <w:tcBorders>
              <w:top w:val="nil"/>
              <w:bottom w:val="single" w:color="000000" w:sz="6" w:space="0"/>
            </w:tcBorders>
            <w:vAlign w:val="top"/>
          </w:tcPr>
          <w:p w14:paraId="60B5BC8A">
            <w:pPr>
              <w:rPr>
                <w:rFonts w:ascii="Arial"/>
                <w:sz w:val="21"/>
              </w:rPr>
            </w:pPr>
          </w:p>
        </w:tc>
        <w:tc>
          <w:tcPr>
            <w:tcW w:w="923" w:type="dxa"/>
            <w:tcBorders>
              <w:bottom w:val="single" w:color="000000" w:sz="6" w:space="0"/>
            </w:tcBorders>
            <w:vAlign w:val="top"/>
          </w:tcPr>
          <w:p w14:paraId="3EDEBD38">
            <w:pPr>
              <w:spacing w:line="253" w:lineRule="auto"/>
              <w:rPr>
                <w:rFonts w:ascii="Arial"/>
                <w:sz w:val="21"/>
              </w:rPr>
            </w:pPr>
          </w:p>
          <w:p w14:paraId="29FFB25A">
            <w:pPr>
              <w:pStyle w:val="6"/>
              <w:spacing w:before="65" w:line="225" w:lineRule="auto"/>
              <w:ind w:left="143"/>
            </w:pPr>
            <w:r>
              <w:rPr>
                <w:spacing w:val="7"/>
              </w:rPr>
              <w:t>③菜地</w:t>
            </w:r>
          </w:p>
          <w:p w14:paraId="4761AFA1">
            <w:pPr>
              <w:pStyle w:val="6"/>
              <w:spacing w:before="26" w:line="228" w:lineRule="auto"/>
              <w:ind w:left="145"/>
            </w:pPr>
            <w:r>
              <w:rPr>
                <w:spacing w:val="6"/>
              </w:rPr>
              <w:t>看护用</w:t>
            </w:r>
          </w:p>
          <w:p w14:paraId="165E7783">
            <w:pPr>
              <w:pStyle w:val="6"/>
              <w:spacing w:before="24" w:line="228" w:lineRule="auto"/>
              <w:ind w:left="357"/>
            </w:pPr>
            <w:r>
              <w:t>房</w:t>
            </w:r>
          </w:p>
        </w:tc>
        <w:tc>
          <w:tcPr>
            <w:tcW w:w="1898" w:type="dxa"/>
            <w:tcBorders>
              <w:bottom w:val="single" w:color="000000" w:sz="6" w:space="0"/>
            </w:tcBorders>
            <w:vAlign w:val="top"/>
          </w:tcPr>
          <w:p w14:paraId="78975A78">
            <w:pPr>
              <w:pStyle w:val="6"/>
              <w:spacing w:before="48" w:line="244" w:lineRule="auto"/>
              <w:ind w:left="110" w:right="55" w:firstLine="105"/>
              <w:jc w:val="both"/>
            </w:pPr>
            <w:r>
              <w:rPr>
                <w:spacing w:val="3"/>
              </w:rPr>
              <w:t>位于本项目</w:t>
            </w:r>
            <w:r>
              <w:rPr>
                <w:spacing w:val="-43"/>
              </w:rPr>
              <w:t xml:space="preserve"> </w:t>
            </w:r>
            <w:r>
              <w:rPr>
                <w:rFonts w:ascii="Times New Roman" w:hAnsi="Times New Roman" w:eastAsia="Times New Roman" w:cs="Times New Roman"/>
                <w:spacing w:val="3"/>
              </w:rPr>
              <w:t>2</w:t>
            </w:r>
            <w:r>
              <w:rPr>
                <w:rFonts w:ascii="Times New Roman" w:hAnsi="Times New Roman" w:eastAsia="Times New Roman" w:cs="Times New Roman"/>
                <w:spacing w:val="32"/>
                <w:w w:val="101"/>
              </w:rPr>
              <w:t xml:space="preserve"> </w:t>
            </w:r>
            <w:r>
              <w:rPr>
                <w:spacing w:val="3"/>
              </w:rPr>
              <w:t>回</w:t>
            </w:r>
            <w:r>
              <w:t xml:space="preserve"> </w:t>
            </w:r>
            <w:r>
              <w:rPr>
                <w:rFonts w:ascii="Times New Roman" w:hAnsi="Times New Roman" w:eastAsia="Times New Roman" w:cs="Times New Roman"/>
                <w:spacing w:val="9"/>
              </w:rPr>
              <w:t>110</w:t>
            </w:r>
            <w:r>
              <w:rPr>
                <w:rFonts w:ascii="Times New Roman" w:hAnsi="Times New Roman" w:eastAsia="Times New Roman" w:cs="Times New Roman"/>
              </w:rPr>
              <w:t>kV</w:t>
            </w:r>
            <w:r>
              <w:rPr>
                <w:rFonts w:ascii="Times New Roman" w:hAnsi="Times New Roman" w:eastAsia="Times New Roman" w:cs="Times New Roman"/>
                <w:spacing w:val="9"/>
              </w:rPr>
              <w:t xml:space="preserve"> </w:t>
            </w:r>
            <w:r>
              <w:rPr>
                <w:spacing w:val="9"/>
              </w:rPr>
              <w:t>线路中间，</w:t>
            </w:r>
            <w:r>
              <w:rPr>
                <w:spacing w:val="-1"/>
              </w:rPr>
              <w:t>位于</w:t>
            </w:r>
            <w:r>
              <w:rPr>
                <w:spacing w:val="-45"/>
              </w:rPr>
              <w:t xml:space="preserve"> </w:t>
            </w:r>
            <w:r>
              <w:rPr>
                <w:rFonts w:ascii="Times New Roman" w:hAnsi="Times New Roman" w:eastAsia="Times New Roman" w:cs="Times New Roman"/>
                <w:spacing w:val="-1"/>
              </w:rPr>
              <w:t>A</w:t>
            </w:r>
            <w:r>
              <w:rPr>
                <w:rFonts w:ascii="Times New Roman" w:hAnsi="Times New Roman" w:eastAsia="Times New Roman" w:cs="Times New Roman"/>
                <w:spacing w:val="32"/>
              </w:rPr>
              <w:t xml:space="preserve"> </w:t>
            </w:r>
            <w:r>
              <w:rPr>
                <w:spacing w:val="-1"/>
              </w:rPr>
              <w:t>回线路（单</w:t>
            </w:r>
            <w:r>
              <w:rPr>
                <w:spacing w:val="9"/>
              </w:rPr>
              <w:t>回）东南侧，</w:t>
            </w:r>
            <w:r>
              <w:rPr>
                <w:rFonts w:ascii="Times New Roman" w:hAnsi="Times New Roman" w:eastAsia="Times New Roman" w:cs="Times New Roman"/>
              </w:rPr>
              <w:t>AZ</w:t>
            </w:r>
            <w:r>
              <w:rPr>
                <w:rFonts w:ascii="Times New Roman" w:hAnsi="Times New Roman" w:eastAsia="Times New Roman" w:cs="Times New Roman"/>
                <w:spacing w:val="9"/>
              </w:rPr>
              <w:t>5</w:t>
            </w:r>
            <w:r>
              <w:rPr>
                <w:spacing w:val="-1"/>
              </w:rPr>
              <w:t>塔基西南侧</w:t>
            </w:r>
            <w:r>
              <w:rPr>
                <w:spacing w:val="-20"/>
              </w:rPr>
              <w:t xml:space="preserve"> </w:t>
            </w:r>
            <w:r>
              <w:rPr>
                <w:rFonts w:ascii="Times New Roman" w:hAnsi="Times New Roman" w:eastAsia="Times New Roman" w:cs="Times New Roman"/>
                <w:spacing w:val="-1"/>
              </w:rPr>
              <w:t>140m</w:t>
            </w:r>
            <w:r>
              <w:rPr>
                <w:spacing w:val="-1"/>
              </w:rPr>
              <w:t>；</w:t>
            </w:r>
          </w:p>
        </w:tc>
        <w:tc>
          <w:tcPr>
            <w:tcW w:w="1326" w:type="dxa"/>
            <w:tcBorders>
              <w:bottom w:val="single" w:color="000000" w:sz="6" w:space="0"/>
            </w:tcBorders>
            <w:vAlign w:val="top"/>
          </w:tcPr>
          <w:p w14:paraId="667372FA">
            <w:pPr>
              <w:pStyle w:val="6"/>
              <w:spacing w:before="48" w:line="228" w:lineRule="auto"/>
              <w:ind w:left="120"/>
            </w:pPr>
            <w:r>
              <w:t>位于</w:t>
            </w:r>
            <w:r>
              <w:rPr>
                <w:spacing w:val="-44"/>
              </w:rPr>
              <w:t xml:space="preserve"> </w:t>
            </w:r>
            <w:r>
              <w:rPr>
                <w:rFonts w:ascii="Times New Roman" w:hAnsi="Times New Roman" w:eastAsia="Times New Roman" w:cs="Times New Roman"/>
              </w:rPr>
              <w:t>A</w:t>
            </w:r>
            <w:r>
              <w:rPr>
                <w:rFonts w:ascii="Times New Roman" w:hAnsi="Times New Roman" w:eastAsia="Times New Roman" w:cs="Times New Roman"/>
                <w:spacing w:val="32"/>
                <w:w w:val="101"/>
              </w:rPr>
              <w:t xml:space="preserve"> </w:t>
            </w:r>
            <w:r>
              <w:t>回线</w:t>
            </w:r>
          </w:p>
          <w:p w14:paraId="661865CB">
            <w:pPr>
              <w:pStyle w:val="6"/>
              <w:spacing w:before="25" w:line="242" w:lineRule="auto"/>
              <w:ind w:left="164" w:right="135" w:hanging="21"/>
              <w:jc w:val="both"/>
            </w:pPr>
            <w:r>
              <w:rPr>
                <w:spacing w:val="8"/>
              </w:rPr>
              <w:t>边导线地面</w:t>
            </w:r>
            <w:r>
              <w:rPr>
                <w:spacing w:val="28"/>
              </w:rPr>
              <w:t>投影东侧</w:t>
            </w:r>
            <w:r>
              <w:t xml:space="preserve"> </w:t>
            </w:r>
            <w:r>
              <w:rPr>
                <w:rFonts w:ascii="Times New Roman" w:hAnsi="Times New Roman" w:eastAsia="Times New Roman" w:cs="Times New Roman"/>
                <w:spacing w:val="6"/>
              </w:rPr>
              <w:t>12m</w:t>
            </w:r>
            <w:r>
              <w:rPr>
                <w:spacing w:val="6"/>
              </w:rPr>
              <w:t>；与</w:t>
            </w:r>
            <w:r>
              <w:rPr>
                <w:spacing w:val="-40"/>
              </w:rPr>
              <w:t xml:space="preserve"> </w:t>
            </w:r>
            <w:r>
              <w:rPr>
                <w:rFonts w:ascii="Times New Roman" w:hAnsi="Times New Roman" w:eastAsia="Times New Roman" w:cs="Times New Roman"/>
                <w:spacing w:val="6"/>
              </w:rPr>
              <w:t>B</w:t>
            </w:r>
            <w:r>
              <w:rPr>
                <w:spacing w:val="4"/>
              </w:rPr>
              <w:t>回线边导线</w:t>
            </w:r>
          </w:p>
        </w:tc>
        <w:tc>
          <w:tcPr>
            <w:tcW w:w="2327" w:type="dxa"/>
            <w:tcBorders>
              <w:bottom w:val="single" w:color="000000" w:sz="6" w:space="0"/>
            </w:tcBorders>
            <w:vAlign w:val="top"/>
          </w:tcPr>
          <w:p w14:paraId="13764823">
            <w:pPr>
              <w:spacing w:line="252" w:lineRule="auto"/>
              <w:rPr>
                <w:rFonts w:ascii="Arial"/>
                <w:sz w:val="21"/>
              </w:rPr>
            </w:pPr>
          </w:p>
          <w:p w14:paraId="73EF47F3">
            <w:pPr>
              <w:pStyle w:val="6"/>
              <w:spacing w:before="65" w:line="228" w:lineRule="auto"/>
              <w:ind w:left="459"/>
            </w:pP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清中东线</w:t>
            </w:r>
          </w:p>
          <w:p w14:paraId="281275A1">
            <w:pPr>
              <w:pStyle w:val="6"/>
              <w:spacing w:before="24" w:line="228" w:lineRule="auto"/>
              <w:ind w:left="63"/>
            </w:pPr>
            <w:r>
              <w:rPr>
                <w:rFonts w:ascii="Times New Roman" w:hAnsi="Times New Roman" w:eastAsia="Times New Roman" w:cs="Times New Roman"/>
                <w:spacing w:val="6"/>
              </w:rPr>
              <w:t>038#~039#</w:t>
            </w:r>
            <w:r>
              <w:rPr>
                <w:spacing w:val="6"/>
              </w:rPr>
              <w:t>杆塔间线路边</w:t>
            </w:r>
          </w:p>
          <w:p w14:paraId="633DD426">
            <w:pPr>
              <w:pStyle w:val="6"/>
              <w:spacing w:before="24" w:line="228" w:lineRule="auto"/>
              <w:ind w:left="648"/>
              <w:rPr>
                <w:rFonts w:ascii="Times New Roman" w:hAnsi="Times New Roman" w:eastAsia="Times New Roman" w:cs="Times New Roman"/>
              </w:rPr>
            </w:pPr>
            <w:r>
              <w:rPr>
                <w:spacing w:val="1"/>
              </w:rPr>
              <w:t>导线外</w:t>
            </w:r>
            <w:r>
              <w:rPr>
                <w:spacing w:val="-19"/>
              </w:rPr>
              <w:t xml:space="preserve"> </w:t>
            </w:r>
            <w:r>
              <w:rPr>
                <w:rFonts w:ascii="Times New Roman" w:hAnsi="Times New Roman" w:eastAsia="Times New Roman" w:cs="Times New Roman"/>
                <w:spacing w:val="1"/>
              </w:rPr>
              <w:t>10m</w:t>
            </w:r>
          </w:p>
        </w:tc>
        <w:tc>
          <w:tcPr>
            <w:tcW w:w="790" w:type="dxa"/>
            <w:tcBorders>
              <w:bottom w:val="single" w:color="000000" w:sz="6" w:space="0"/>
            </w:tcBorders>
            <w:vAlign w:val="top"/>
          </w:tcPr>
          <w:p w14:paraId="10C87C2F">
            <w:pPr>
              <w:spacing w:line="282" w:lineRule="auto"/>
              <w:rPr>
                <w:rFonts w:ascii="Arial"/>
                <w:sz w:val="21"/>
              </w:rPr>
            </w:pPr>
          </w:p>
          <w:p w14:paraId="1324C258">
            <w:pPr>
              <w:spacing w:line="283" w:lineRule="auto"/>
              <w:rPr>
                <w:rFonts w:ascii="Arial"/>
                <w:sz w:val="21"/>
              </w:rPr>
            </w:pPr>
          </w:p>
          <w:p w14:paraId="08367948">
            <w:pPr>
              <w:spacing w:before="58"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40.8</w:t>
            </w:r>
          </w:p>
        </w:tc>
        <w:tc>
          <w:tcPr>
            <w:tcW w:w="771" w:type="dxa"/>
            <w:tcBorders>
              <w:bottom w:val="single" w:color="000000" w:sz="6" w:space="0"/>
            </w:tcBorders>
            <w:vAlign w:val="top"/>
          </w:tcPr>
          <w:p w14:paraId="5E2106C2">
            <w:pPr>
              <w:spacing w:line="282" w:lineRule="auto"/>
              <w:rPr>
                <w:rFonts w:ascii="Arial"/>
                <w:sz w:val="21"/>
              </w:rPr>
            </w:pPr>
          </w:p>
          <w:p w14:paraId="3E7131DD">
            <w:pPr>
              <w:spacing w:line="283" w:lineRule="auto"/>
              <w:rPr>
                <w:rFonts w:ascii="Arial"/>
                <w:sz w:val="21"/>
              </w:rPr>
            </w:pPr>
          </w:p>
          <w:p w14:paraId="0800C3B0">
            <w:pPr>
              <w:spacing w:before="58" w:line="195" w:lineRule="auto"/>
              <w:ind w:left="2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38.4</w:t>
            </w:r>
          </w:p>
        </w:tc>
        <w:tc>
          <w:tcPr>
            <w:tcW w:w="144" w:type="dxa"/>
            <w:tcBorders>
              <w:top w:val="nil"/>
              <w:bottom w:val="single" w:color="000000" w:sz="6" w:space="0"/>
              <w:right w:val="single" w:color="000000" w:sz="6" w:space="0"/>
            </w:tcBorders>
            <w:vAlign w:val="top"/>
          </w:tcPr>
          <w:p w14:paraId="7E80484C">
            <w:pPr>
              <w:rPr>
                <w:rFonts w:ascii="Arial"/>
                <w:sz w:val="21"/>
              </w:rPr>
            </w:pPr>
          </w:p>
        </w:tc>
      </w:tr>
    </w:tbl>
    <w:p w14:paraId="67D565D9">
      <w:pPr>
        <w:rPr>
          <w:rFonts w:ascii="Arial"/>
          <w:sz w:val="21"/>
        </w:rPr>
      </w:pPr>
    </w:p>
    <w:p w14:paraId="5D5D7925">
      <w:pPr>
        <w:rPr>
          <w:rFonts w:ascii="Arial" w:hAnsi="Arial" w:eastAsia="Arial" w:cs="Arial"/>
          <w:sz w:val="21"/>
          <w:szCs w:val="21"/>
        </w:rPr>
        <w:sectPr>
          <w:footerReference r:id="rId120" w:type="default"/>
          <w:pgSz w:w="11907" w:h="16840"/>
          <w:pgMar w:top="400" w:right="1179" w:bottom="1240" w:left="1405" w:header="0" w:footer="1077" w:gutter="0"/>
          <w:cols w:space="720" w:num="1"/>
        </w:sectPr>
      </w:pPr>
    </w:p>
    <w:p w14:paraId="62C78606">
      <w:pPr>
        <w:spacing w:before="13"/>
      </w:pPr>
    </w:p>
    <w:p w14:paraId="4A80E569">
      <w:pPr>
        <w:spacing w:before="13"/>
      </w:pPr>
    </w:p>
    <w:p w14:paraId="1DEED464">
      <w:pPr>
        <w:spacing w:before="13"/>
      </w:pPr>
    </w:p>
    <w:p w14:paraId="22418542">
      <w:pPr>
        <w:spacing w:before="12"/>
      </w:pPr>
    </w:p>
    <w:tbl>
      <w:tblPr>
        <w:tblStyle w:val="5"/>
        <w:tblW w:w="930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8"/>
        <w:gridCol w:w="135"/>
        <w:gridCol w:w="515"/>
        <w:gridCol w:w="923"/>
        <w:gridCol w:w="1898"/>
        <w:gridCol w:w="1326"/>
        <w:gridCol w:w="2327"/>
        <w:gridCol w:w="790"/>
        <w:gridCol w:w="771"/>
        <w:gridCol w:w="144"/>
      </w:tblGrid>
      <w:tr w14:paraId="74279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478" w:type="dxa"/>
            <w:vMerge w:val="restart"/>
            <w:tcBorders>
              <w:top w:val="single" w:color="000000" w:sz="6" w:space="0"/>
              <w:left w:val="single" w:color="000000" w:sz="6" w:space="0"/>
              <w:bottom w:val="nil"/>
            </w:tcBorders>
            <w:vAlign w:val="top"/>
          </w:tcPr>
          <w:p w14:paraId="13853532">
            <w:pPr>
              <w:rPr>
                <w:rFonts w:ascii="Arial"/>
                <w:sz w:val="21"/>
              </w:rPr>
            </w:pPr>
          </w:p>
        </w:tc>
        <w:tc>
          <w:tcPr>
            <w:tcW w:w="135" w:type="dxa"/>
            <w:tcBorders>
              <w:top w:val="single" w:color="000000" w:sz="6" w:space="0"/>
              <w:bottom w:val="nil"/>
            </w:tcBorders>
            <w:vAlign w:val="top"/>
          </w:tcPr>
          <w:p w14:paraId="1A8E9778">
            <w:pPr>
              <w:rPr>
                <w:rFonts w:ascii="Arial"/>
                <w:sz w:val="21"/>
              </w:rPr>
            </w:pPr>
          </w:p>
        </w:tc>
        <w:tc>
          <w:tcPr>
            <w:tcW w:w="515" w:type="dxa"/>
            <w:vMerge w:val="restart"/>
            <w:tcBorders>
              <w:top w:val="single" w:color="000000" w:sz="6" w:space="0"/>
              <w:bottom w:val="nil"/>
            </w:tcBorders>
            <w:vAlign w:val="top"/>
          </w:tcPr>
          <w:p w14:paraId="2AAD84AC">
            <w:pPr>
              <w:rPr>
                <w:rFonts w:ascii="Arial"/>
                <w:sz w:val="21"/>
              </w:rPr>
            </w:pPr>
          </w:p>
        </w:tc>
        <w:tc>
          <w:tcPr>
            <w:tcW w:w="923" w:type="dxa"/>
            <w:tcBorders>
              <w:top w:val="single" w:color="000000" w:sz="6" w:space="0"/>
            </w:tcBorders>
            <w:vAlign w:val="top"/>
          </w:tcPr>
          <w:p w14:paraId="1A7E5321">
            <w:pPr>
              <w:rPr>
                <w:rFonts w:ascii="Arial"/>
                <w:sz w:val="21"/>
              </w:rPr>
            </w:pPr>
          </w:p>
        </w:tc>
        <w:tc>
          <w:tcPr>
            <w:tcW w:w="1898" w:type="dxa"/>
            <w:tcBorders>
              <w:top w:val="single" w:color="000000" w:sz="6" w:space="0"/>
            </w:tcBorders>
            <w:vAlign w:val="top"/>
          </w:tcPr>
          <w:p w14:paraId="229E377A">
            <w:pPr>
              <w:rPr>
                <w:rFonts w:ascii="Arial"/>
                <w:sz w:val="21"/>
              </w:rPr>
            </w:pPr>
          </w:p>
        </w:tc>
        <w:tc>
          <w:tcPr>
            <w:tcW w:w="1326" w:type="dxa"/>
            <w:tcBorders>
              <w:top w:val="single" w:color="000000" w:sz="6" w:space="0"/>
            </w:tcBorders>
            <w:vAlign w:val="top"/>
          </w:tcPr>
          <w:p w14:paraId="69B60568">
            <w:pPr>
              <w:pStyle w:val="6"/>
              <w:spacing w:before="45" w:line="231" w:lineRule="auto"/>
              <w:ind w:left="248" w:right="135" w:hanging="101"/>
            </w:pPr>
            <w:r>
              <w:rPr>
                <w:spacing w:val="7"/>
              </w:rPr>
              <w:t>投影最近距</w:t>
            </w:r>
            <w:r>
              <w:rPr>
                <w:spacing w:val="1"/>
              </w:rPr>
              <w:t>离</w:t>
            </w:r>
            <w:r>
              <w:rPr>
                <w:spacing w:val="-38"/>
              </w:rPr>
              <w:t xml:space="preserve"> </w:t>
            </w:r>
            <w:r>
              <w:rPr>
                <w:rFonts w:ascii="Times New Roman" w:hAnsi="Times New Roman" w:eastAsia="Times New Roman" w:cs="Times New Roman"/>
                <w:spacing w:val="1"/>
              </w:rPr>
              <w:t>98m</w:t>
            </w:r>
            <w:r>
              <w:rPr>
                <w:spacing w:val="1"/>
              </w:rPr>
              <w:t>；</w:t>
            </w:r>
          </w:p>
        </w:tc>
        <w:tc>
          <w:tcPr>
            <w:tcW w:w="2327" w:type="dxa"/>
            <w:tcBorders>
              <w:top w:val="single" w:color="000000" w:sz="6" w:space="0"/>
            </w:tcBorders>
            <w:vAlign w:val="top"/>
          </w:tcPr>
          <w:p w14:paraId="1F2577CF">
            <w:pPr>
              <w:rPr>
                <w:rFonts w:ascii="Arial"/>
                <w:sz w:val="21"/>
              </w:rPr>
            </w:pPr>
          </w:p>
        </w:tc>
        <w:tc>
          <w:tcPr>
            <w:tcW w:w="790" w:type="dxa"/>
            <w:tcBorders>
              <w:top w:val="single" w:color="000000" w:sz="6" w:space="0"/>
            </w:tcBorders>
            <w:vAlign w:val="top"/>
          </w:tcPr>
          <w:p w14:paraId="5FF41A9D">
            <w:pPr>
              <w:rPr>
                <w:rFonts w:ascii="Arial"/>
                <w:sz w:val="21"/>
              </w:rPr>
            </w:pPr>
          </w:p>
        </w:tc>
        <w:tc>
          <w:tcPr>
            <w:tcW w:w="771" w:type="dxa"/>
            <w:tcBorders>
              <w:top w:val="single" w:color="000000" w:sz="6" w:space="0"/>
            </w:tcBorders>
            <w:vAlign w:val="top"/>
          </w:tcPr>
          <w:p w14:paraId="78890BF4">
            <w:pPr>
              <w:rPr>
                <w:rFonts w:ascii="Arial"/>
                <w:sz w:val="21"/>
              </w:rPr>
            </w:pPr>
          </w:p>
        </w:tc>
        <w:tc>
          <w:tcPr>
            <w:tcW w:w="144" w:type="dxa"/>
            <w:vMerge w:val="restart"/>
            <w:tcBorders>
              <w:top w:val="single" w:color="000000" w:sz="6" w:space="0"/>
              <w:bottom w:val="nil"/>
              <w:right w:val="single" w:color="000000" w:sz="6" w:space="0"/>
            </w:tcBorders>
            <w:vAlign w:val="top"/>
          </w:tcPr>
          <w:p w14:paraId="620E4CB1">
            <w:pPr>
              <w:rPr>
                <w:rFonts w:ascii="Arial"/>
                <w:sz w:val="21"/>
              </w:rPr>
            </w:pPr>
          </w:p>
        </w:tc>
      </w:tr>
      <w:tr w14:paraId="462968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478" w:type="dxa"/>
            <w:vMerge w:val="continue"/>
            <w:tcBorders>
              <w:top w:val="nil"/>
              <w:left w:val="single" w:color="000000" w:sz="6" w:space="0"/>
              <w:bottom w:val="nil"/>
            </w:tcBorders>
            <w:vAlign w:val="top"/>
          </w:tcPr>
          <w:p w14:paraId="5AC37603">
            <w:pPr>
              <w:rPr>
                <w:rFonts w:ascii="Arial"/>
                <w:sz w:val="21"/>
              </w:rPr>
            </w:pPr>
          </w:p>
        </w:tc>
        <w:tc>
          <w:tcPr>
            <w:tcW w:w="135" w:type="dxa"/>
            <w:tcBorders>
              <w:top w:val="nil"/>
              <w:bottom w:val="nil"/>
            </w:tcBorders>
            <w:vAlign w:val="top"/>
          </w:tcPr>
          <w:p w14:paraId="4C9A0C58">
            <w:pPr>
              <w:rPr>
                <w:rFonts w:ascii="Arial"/>
                <w:sz w:val="21"/>
              </w:rPr>
            </w:pPr>
          </w:p>
        </w:tc>
        <w:tc>
          <w:tcPr>
            <w:tcW w:w="515" w:type="dxa"/>
            <w:vMerge w:val="continue"/>
            <w:tcBorders>
              <w:top w:val="nil"/>
              <w:bottom w:val="nil"/>
            </w:tcBorders>
            <w:vAlign w:val="top"/>
          </w:tcPr>
          <w:p w14:paraId="14AB066C">
            <w:pPr>
              <w:rPr>
                <w:rFonts w:ascii="Arial"/>
                <w:sz w:val="21"/>
              </w:rPr>
            </w:pPr>
          </w:p>
        </w:tc>
        <w:tc>
          <w:tcPr>
            <w:tcW w:w="923" w:type="dxa"/>
            <w:vAlign w:val="top"/>
          </w:tcPr>
          <w:p w14:paraId="56D132E3">
            <w:pPr>
              <w:spacing w:line="244" w:lineRule="auto"/>
              <w:rPr>
                <w:rFonts w:ascii="Arial"/>
                <w:sz w:val="21"/>
              </w:rPr>
            </w:pPr>
          </w:p>
          <w:p w14:paraId="6245692D">
            <w:pPr>
              <w:pStyle w:val="6"/>
              <w:spacing w:before="65" w:line="225" w:lineRule="auto"/>
              <w:ind w:left="143"/>
            </w:pPr>
            <w:r>
              <w:rPr>
                <w:spacing w:val="7"/>
              </w:rPr>
              <w:t>④菜地</w:t>
            </w:r>
          </w:p>
          <w:p w14:paraId="263E571C">
            <w:pPr>
              <w:pStyle w:val="6"/>
              <w:spacing w:before="26" w:line="228" w:lineRule="auto"/>
              <w:ind w:left="145"/>
            </w:pPr>
            <w:r>
              <w:rPr>
                <w:spacing w:val="6"/>
              </w:rPr>
              <w:t>看护用</w:t>
            </w:r>
          </w:p>
          <w:p w14:paraId="4BF6A1CE">
            <w:pPr>
              <w:pStyle w:val="6"/>
              <w:spacing w:before="27" w:line="228" w:lineRule="auto"/>
              <w:ind w:left="357"/>
            </w:pPr>
            <w:r>
              <w:t>房</w:t>
            </w:r>
          </w:p>
        </w:tc>
        <w:tc>
          <w:tcPr>
            <w:tcW w:w="1898" w:type="dxa"/>
            <w:vAlign w:val="top"/>
          </w:tcPr>
          <w:p w14:paraId="76D8AC18">
            <w:pPr>
              <w:spacing w:line="243" w:lineRule="auto"/>
              <w:rPr>
                <w:rFonts w:ascii="Arial"/>
                <w:sz w:val="21"/>
              </w:rPr>
            </w:pPr>
          </w:p>
          <w:p w14:paraId="3F554E9F">
            <w:pPr>
              <w:pStyle w:val="6"/>
              <w:spacing w:before="65" w:line="228" w:lineRule="auto"/>
              <w:ind w:left="110"/>
            </w:pPr>
            <w:r>
              <w:rPr>
                <w:spacing w:val="8"/>
              </w:rPr>
              <w:t>双回线路（单边挂</w:t>
            </w:r>
          </w:p>
          <w:p w14:paraId="22C45D39">
            <w:pPr>
              <w:pStyle w:val="6"/>
              <w:spacing w:before="24" w:line="228" w:lineRule="auto"/>
              <w:ind w:left="113"/>
            </w:pPr>
            <w:r>
              <w:rPr>
                <w:spacing w:val="6"/>
              </w:rPr>
              <w:t>线）北侧，</w:t>
            </w:r>
            <w:r>
              <w:rPr>
                <w:rFonts w:ascii="Times New Roman" w:hAnsi="Times New Roman" w:eastAsia="Times New Roman" w:cs="Times New Roman"/>
              </w:rPr>
              <w:t>AZ</w:t>
            </w:r>
            <w:r>
              <w:rPr>
                <w:rFonts w:ascii="Times New Roman" w:hAnsi="Times New Roman" w:eastAsia="Times New Roman" w:cs="Times New Roman"/>
                <w:spacing w:val="6"/>
              </w:rPr>
              <w:t xml:space="preserve">7 </w:t>
            </w:r>
            <w:r>
              <w:rPr>
                <w:spacing w:val="6"/>
              </w:rPr>
              <w:t>塔</w:t>
            </w:r>
          </w:p>
          <w:p w14:paraId="3F45E5C8">
            <w:pPr>
              <w:pStyle w:val="6"/>
              <w:spacing w:before="26" w:line="228" w:lineRule="auto"/>
              <w:ind w:left="271"/>
              <w:rPr>
                <w:rFonts w:ascii="Times New Roman" w:hAnsi="Times New Roman" w:eastAsia="Times New Roman" w:cs="Times New Roman"/>
              </w:rPr>
            </w:pPr>
            <w:r>
              <w:rPr>
                <w:spacing w:val="2"/>
              </w:rPr>
              <w:t>基西北侧</w:t>
            </w:r>
            <w:r>
              <w:rPr>
                <w:spacing w:val="-19"/>
              </w:rPr>
              <w:t xml:space="preserve"> </w:t>
            </w:r>
            <w:r>
              <w:rPr>
                <w:rFonts w:ascii="Times New Roman" w:hAnsi="Times New Roman" w:eastAsia="Times New Roman" w:cs="Times New Roman"/>
                <w:spacing w:val="2"/>
              </w:rPr>
              <w:t>110m</w:t>
            </w:r>
          </w:p>
        </w:tc>
        <w:tc>
          <w:tcPr>
            <w:tcW w:w="1326" w:type="dxa"/>
            <w:vAlign w:val="top"/>
          </w:tcPr>
          <w:p w14:paraId="690FC186">
            <w:pPr>
              <w:pStyle w:val="6"/>
              <w:spacing w:before="190" w:line="228" w:lineRule="auto"/>
              <w:ind w:left="120"/>
            </w:pPr>
            <w:r>
              <w:t>位于</w:t>
            </w:r>
            <w:r>
              <w:rPr>
                <w:spacing w:val="-44"/>
              </w:rPr>
              <w:t xml:space="preserve"> </w:t>
            </w:r>
            <w:r>
              <w:rPr>
                <w:rFonts w:ascii="Times New Roman" w:hAnsi="Times New Roman" w:eastAsia="Times New Roman" w:cs="Times New Roman"/>
              </w:rPr>
              <w:t>A</w:t>
            </w:r>
            <w:r>
              <w:rPr>
                <w:rFonts w:ascii="Times New Roman" w:hAnsi="Times New Roman" w:eastAsia="Times New Roman" w:cs="Times New Roman"/>
                <w:spacing w:val="32"/>
                <w:w w:val="101"/>
              </w:rPr>
              <w:t xml:space="preserve"> </w:t>
            </w:r>
            <w:r>
              <w:t>回线</w:t>
            </w:r>
          </w:p>
          <w:p w14:paraId="5605F038">
            <w:pPr>
              <w:pStyle w:val="6"/>
              <w:spacing w:before="24" w:line="228" w:lineRule="auto"/>
              <w:ind w:left="143"/>
            </w:pPr>
            <w:r>
              <w:rPr>
                <w:spacing w:val="8"/>
              </w:rPr>
              <w:t>边导线地面</w:t>
            </w:r>
          </w:p>
          <w:p w14:paraId="23CF057D">
            <w:pPr>
              <w:pStyle w:val="6"/>
              <w:spacing w:before="25" w:line="228" w:lineRule="auto"/>
              <w:ind w:left="250"/>
            </w:pPr>
            <w:r>
              <w:rPr>
                <w:spacing w:val="7"/>
              </w:rPr>
              <w:t>投影北侧</w:t>
            </w:r>
          </w:p>
          <w:p w14:paraId="123059ED">
            <w:pPr>
              <w:spacing w:before="46" w:line="195" w:lineRule="auto"/>
              <w:ind w:left="47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25m</w:t>
            </w:r>
          </w:p>
        </w:tc>
        <w:tc>
          <w:tcPr>
            <w:tcW w:w="2327" w:type="dxa"/>
            <w:vAlign w:val="top"/>
          </w:tcPr>
          <w:p w14:paraId="044E7A64">
            <w:pPr>
              <w:pStyle w:val="6"/>
              <w:spacing w:before="38" w:line="227" w:lineRule="auto"/>
              <w:ind w:left="82"/>
              <w:rPr>
                <w:rFonts w:ascii="Times New Roman" w:hAnsi="Times New Roman" w:eastAsia="Times New Roman" w:cs="Times New Roman"/>
              </w:rPr>
            </w:pPr>
            <w:r>
              <w:rPr>
                <w:rFonts w:ascii="Times New Roman" w:hAnsi="Times New Roman" w:eastAsia="Times New Roman" w:cs="Times New Roman"/>
                <w:spacing w:val="2"/>
              </w:rPr>
              <w:t>110</w:t>
            </w:r>
            <w:r>
              <w:rPr>
                <w:rFonts w:ascii="Times New Roman" w:hAnsi="Times New Roman" w:eastAsia="Times New Roman" w:cs="Times New Roman"/>
              </w:rPr>
              <w:t>kV</w:t>
            </w:r>
            <w:r>
              <w:rPr>
                <w:rFonts w:ascii="Times New Roman" w:hAnsi="Times New Roman" w:eastAsia="Times New Roman" w:cs="Times New Roman"/>
                <w:spacing w:val="29"/>
                <w:w w:val="101"/>
              </w:rPr>
              <w:t xml:space="preserve"> </w:t>
            </w:r>
            <w:r>
              <w:rPr>
                <w:spacing w:val="2"/>
              </w:rPr>
              <w:t>嵩杨牵线</w:t>
            </w:r>
            <w:r>
              <w:rPr>
                <w:spacing w:val="-35"/>
              </w:rPr>
              <w:t xml:space="preserve"> </w:t>
            </w:r>
            <w:r>
              <w:rPr>
                <w:rFonts w:ascii="Times New Roman" w:hAnsi="Times New Roman" w:eastAsia="Times New Roman" w:cs="Times New Roman"/>
                <w:spacing w:val="2"/>
              </w:rPr>
              <w:t>54#-55#</w:t>
            </w:r>
          </w:p>
          <w:p w14:paraId="67612187">
            <w:pPr>
              <w:pStyle w:val="6"/>
              <w:spacing w:before="27" w:line="227" w:lineRule="auto"/>
              <w:ind w:left="350"/>
            </w:pPr>
            <w:r>
              <w:rPr>
                <w:spacing w:val="3"/>
              </w:rPr>
              <w:t>和</w:t>
            </w:r>
            <w:r>
              <w:rPr>
                <w:spacing w:val="-19"/>
              </w:rPr>
              <w:t xml:space="preserve"> </w:t>
            </w:r>
            <w:r>
              <w:rPr>
                <w:rFonts w:ascii="Times New Roman" w:hAnsi="Times New Roman" w:eastAsia="Times New Roman" w:cs="Times New Roman"/>
                <w:spacing w:val="3"/>
              </w:rPr>
              <w:t>110</w:t>
            </w:r>
            <w:r>
              <w:rPr>
                <w:rFonts w:ascii="Times New Roman" w:hAnsi="Times New Roman" w:eastAsia="Times New Roman" w:cs="Times New Roman"/>
              </w:rPr>
              <w:t>kV</w:t>
            </w:r>
            <w:r>
              <w:rPr>
                <w:rFonts w:ascii="Times New Roman" w:hAnsi="Times New Roman" w:eastAsia="Times New Roman" w:cs="Times New Roman"/>
                <w:spacing w:val="3"/>
              </w:rPr>
              <w:t xml:space="preserve"> </w:t>
            </w:r>
            <w:r>
              <w:rPr>
                <w:spacing w:val="3"/>
              </w:rPr>
              <w:t>杨牵</w:t>
            </w:r>
            <w:r>
              <w:rPr>
                <w:rFonts w:ascii="Times New Roman" w:hAnsi="Times New Roman" w:eastAsia="Times New Roman" w:cs="Times New Roman"/>
                <w:spacing w:val="3"/>
              </w:rPr>
              <w:t>Ⅱ</w:t>
            </w:r>
            <w:r>
              <w:rPr>
                <w:spacing w:val="3"/>
              </w:rPr>
              <w:t>回</w:t>
            </w:r>
          </w:p>
          <w:p w14:paraId="48C53BA1">
            <w:pPr>
              <w:pStyle w:val="6"/>
              <w:spacing w:before="25" w:line="230" w:lineRule="auto"/>
              <w:ind w:left="85"/>
            </w:pPr>
            <w:r>
              <w:rPr>
                <w:rFonts w:ascii="Times New Roman" w:hAnsi="Times New Roman" w:eastAsia="Times New Roman" w:cs="Times New Roman"/>
                <w:spacing w:val="6"/>
              </w:rPr>
              <w:t>004#-003#</w:t>
            </w:r>
            <w:r>
              <w:rPr>
                <w:spacing w:val="6"/>
              </w:rPr>
              <w:t>塔间（同塔双</w:t>
            </w:r>
          </w:p>
          <w:p w14:paraId="4DF363CA">
            <w:pPr>
              <w:pStyle w:val="6"/>
              <w:spacing w:before="24" w:line="228" w:lineRule="auto"/>
              <w:ind w:left="51"/>
            </w:pPr>
            <w:r>
              <w:rPr>
                <w:spacing w:val="4"/>
              </w:rPr>
              <w:t>回）线路噪声断面边导线</w:t>
            </w:r>
          </w:p>
          <w:p w14:paraId="7EF0924F">
            <w:pPr>
              <w:pStyle w:val="6"/>
              <w:spacing w:before="24" w:line="207" w:lineRule="auto"/>
              <w:ind w:left="857"/>
              <w:rPr>
                <w:rFonts w:ascii="Times New Roman" w:hAnsi="Times New Roman" w:eastAsia="Times New Roman" w:cs="Times New Roman"/>
              </w:rPr>
            </w:pPr>
            <w:r>
              <w:rPr>
                <w:spacing w:val="2"/>
              </w:rPr>
              <w:t>外</w:t>
            </w:r>
            <w:r>
              <w:rPr>
                <w:spacing w:val="-42"/>
              </w:rPr>
              <w:t xml:space="preserve"> </w:t>
            </w:r>
            <w:r>
              <w:rPr>
                <w:rFonts w:ascii="Times New Roman" w:hAnsi="Times New Roman" w:eastAsia="Times New Roman" w:cs="Times New Roman"/>
                <w:spacing w:val="2"/>
              </w:rPr>
              <w:t>25m</w:t>
            </w:r>
          </w:p>
        </w:tc>
        <w:tc>
          <w:tcPr>
            <w:tcW w:w="790" w:type="dxa"/>
            <w:vAlign w:val="top"/>
          </w:tcPr>
          <w:p w14:paraId="200B46B4">
            <w:pPr>
              <w:spacing w:line="279" w:lineRule="auto"/>
              <w:rPr>
                <w:rFonts w:ascii="Arial"/>
                <w:sz w:val="21"/>
              </w:rPr>
            </w:pPr>
          </w:p>
          <w:p w14:paraId="35CEAC3B">
            <w:pPr>
              <w:spacing w:line="279" w:lineRule="auto"/>
              <w:rPr>
                <w:rFonts w:ascii="Arial"/>
                <w:sz w:val="21"/>
              </w:rPr>
            </w:pPr>
          </w:p>
          <w:p w14:paraId="742AFC47">
            <w:pPr>
              <w:spacing w:before="58"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45.6</w:t>
            </w:r>
          </w:p>
        </w:tc>
        <w:tc>
          <w:tcPr>
            <w:tcW w:w="771" w:type="dxa"/>
            <w:vAlign w:val="top"/>
          </w:tcPr>
          <w:p w14:paraId="3FF856AF">
            <w:pPr>
              <w:spacing w:line="279" w:lineRule="auto"/>
              <w:rPr>
                <w:rFonts w:ascii="Arial"/>
                <w:sz w:val="21"/>
              </w:rPr>
            </w:pPr>
          </w:p>
          <w:p w14:paraId="2E53BBCE">
            <w:pPr>
              <w:spacing w:line="279" w:lineRule="auto"/>
              <w:rPr>
                <w:rFonts w:ascii="Arial"/>
                <w:sz w:val="21"/>
              </w:rPr>
            </w:pPr>
          </w:p>
          <w:p w14:paraId="368BB0A0">
            <w:pPr>
              <w:spacing w:before="58" w:line="195" w:lineRule="auto"/>
              <w:ind w:left="2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40.9</w:t>
            </w:r>
          </w:p>
        </w:tc>
        <w:tc>
          <w:tcPr>
            <w:tcW w:w="144" w:type="dxa"/>
            <w:vMerge w:val="continue"/>
            <w:tcBorders>
              <w:top w:val="nil"/>
              <w:bottom w:val="nil"/>
              <w:right w:val="single" w:color="000000" w:sz="6" w:space="0"/>
            </w:tcBorders>
            <w:vAlign w:val="top"/>
          </w:tcPr>
          <w:p w14:paraId="78E8C500">
            <w:pPr>
              <w:rPr>
                <w:rFonts w:ascii="Arial"/>
                <w:sz w:val="21"/>
              </w:rPr>
            </w:pPr>
          </w:p>
        </w:tc>
      </w:tr>
      <w:tr w14:paraId="23BD3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478" w:type="dxa"/>
            <w:vMerge w:val="continue"/>
            <w:tcBorders>
              <w:top w:val="nil"/>
              <w:left w:val="single" w:color="000000" w:sz="6" w:space="0"/>
              <w:bottom w:val="nil"/>
            </w:tcBorders>
            <w:vAlign w:val="top"/>
          </w:tcPr>
          <w:p w14:paraId="62277D05">
            <w:pPr>
              <w:rPr>
                <w:rFonts w:ascii="Arial"/>
                <w:sz w:val="21"/>
              </w:rPr>
            </w:pPr>
          </w:p>
        </w:tc>
        <w:tc>
          <w:tcPr>
            <w:tcW w:w="135" w:type="dxa"/>
            <w:tcBorders>
              <w:top w:val="nil"/>
              <w:bottom w:val="nil"/>
            </w:tcBorders>
            <w:vAlign w:val="top"/>
          </w:tcPr>
          <w:p w14:paraId="1B846991">
            <w:pPr>
              <w:rPr>
                <w:rFonts w:ascii="Arial"/>
                <w:sz w:val="21"/>
              </w:rPr>
            </w:pPr>
          </w:p>
        </w:tc>
        <w:tc>
          <w:tcPr>
            <w:tcW w:w="515" w:type="dxa"/>
            <w:vMerge w:val="continue"/>
            <w:tcBorders>
              <w:top w:val="nil"/>
              <w:bottom w:val="nil"/>
            </w:tcBorders>
            <w:vAlign w:val="top"/>
          </w:tcPr>
          <w:p w14:paraId="7F96FBF4">
            <w:pPr>
              <w:rPr>
                <w:rFonts w:ascii="Arial"/>
                <w:sz w:val="21"/>
              </w:rPr>
            </w:pPr>
          </w:p>
        </w:tc>
        <w:tc>
          <w:tcPr>
            <w:tcW w:w="923" w:type="dxa"/>
            <w:vAlign w:val="top"/>
          </w:tcPr>
          <w:p w14:paraId="7A0B9A29">
            <w:pPr>
              <w:spacing w:line="248" w:lineRule="auto"/>
              <w:rPr>
                <w:rFonts w:ascii="Arial"/>
                <w:sz w:val="21"/>
              </w:rPr>
            </w:pPr>
          </w:p>
          <w:p w14:paraId="7C0BE6F5">
            <w:pPr>
              <w:pStyle w:val="6"/>
              <w:spacing w:before="65" w:line="225" w:lineRule="auto"/>
              <w:ind w:left="143"/>
            </w:pPr>
            <w:r>
              <w:rPr>
                <w:spacing w:val="7"/>
              </w:rPr>
              <w:t>⑤菜地</w:t>
            </w:r>
          </w:p>
          <w:p w14:paraId="1A5538EB">
            <w:pPr>
              <w:pStyle w:val="6"/>
              <w:spacing w:before="26" w:line="228" w:lineRule="auto"/>
              <w:ind w:left="145"/>
            </w:pPr>
            <w:r>
              <w:rPr>
                <w:spacing w:val="6"/>
              </w:rPr>
              <w:t>看护用</w:t>
            </w:r>
          </w:p>
          <w:p w14:paraId="3DC49712">
            <w:pPr>
              <w:pStyle w:val="6"/>
              <w:spacing w:before="24" w:line="228" w:lineRule="auto"/>
              <w:ind w:left="357"/>
            </w:pPr>
            <w:r>
              <w:t>房</w:t>
            </w:r>
          </w:p>
        </w:tc>
        <w:tc>
          <w:tcPr>
            <w:tcW w:w="1898" w:type="dxa"/>
            <w:vAlign w:val="top"/>
          </w:tcPr>
          <w:p w14:paraId="117042BA">
            <w:pPr>
              <w:spacing w:line="247" w:lineRule="auto"/>
              <w:rPr>
                <w:rFonts w:ascii="Arial"/>
                <w:sz w:val="21"/>
              </w:rPr>
            </w:pPr>
          </w:p>
          <w:p w14:paraId="33ABC6B0">
            <w:pPr>
              <w:pStyle w:val="6"/>
              <w:spacing w:before="65" w:line="228" w:lineRule="auto"/>
              <w:ind w:left="110"/>
            </w:pPr>
            <w:r>
              <w:rPr>
                <w:spacing w:val="8"/>
              </w:rPr>
              <w:t>双回线路（单边挂</w:t>
            </w:r>
          </w:p>
          <w:p w14:paraId="4EBE797B">
            <w:pPr>
              <w:pStyle w:val="6"/>
              <w:spacing w:before="24" w:line="228" w:lineRule="auto"/>
              <w:ind w:left="129"/>
            </w:pPr>
            <w:r>
              <w:rPr>
                <w:spacing w:val="8"/>
              </w:rPr>
              <w:t>线）南侧，</w:t>
            </w:r>
            <w:r>
              <w:rPr>
                <w:rFonts w:ascii="Times New Roman" w:hAnsi="Times New Roman" w:eastAsia="Times New Roman" w:cs="Times New Roman"/>
              </w:rPr>
              <w:t>AJ</w:t>
            </w:r>
            <w:r>
              <w:rPr>
                <w:rFonts w:ascii="Times New Roman" w:hAnsi="Times New Roman" w:eastAsia="Times New Roman" w:cs="Times New Roman"/>
                <w:spacing w:val="8"/>
              </w:rPr>
              <w:t xml:space="preserve">5 </w:t>
            </w:r>
            <w:r>
              <w:rPr>
                <w:spacing w:val="8"/>
              </w:rPr>
              <w:t>塔</w:t>
            </w:r>
          </w:p>
          <w:p w14:paraId="179899BD">
            <w:pPr>
              <w:pStyle w:val="6"/>
              <w:spacing w:before="24" w:line="228" w:lineRule="auto"/>
              <w:ind w:left="319"/>
              <w:rPr>
                <w:rFonts w:ascii="Times New Roman" w:hAnsi="Times New Roman" w:eastAsia="Times New Roman" w:cs="Times New Roman"/>
              </w:rPr>
            </w:pPr>
            <w:r>
              <w:rPr>
                <w:spacing w:val="5"/>
              </w:rPr>
              <w:t>基西南侧</w:t>
            </w:r>
            <w:r>
              <w:rPr>
                <w:spacing w:val="-36"/>
              </w:rPr>
              <w:t xml:space="preserve"> </w:t>
            </w:r>
            <w:r>
              <w:rPr>
                <w:rFonts w:ascii="Times New Roman" w:hAnsi="Times New Roman" w:eastAsia="Times New Roman" w:cs="Times New Roman"/>
                <w:spacing w:val="5"/>
              </w:rPr>
              <w:t>75m</w:t>
            </w:r>
          </w:p>
        </w:tc>
        <w:tc>
          <w:tcPr>
            <w:tcW w:w="1326" w:type="dxa"/>
            <w:vAlign w:val="top"/>
          </w:tcPr>
          <w:p w14:paraId="3F8DE80A">
            <w:pPr>
              <w:pStyle w:val="6"/>
              <w:spacing w:before="195" w:line="228" w:lineRule="auto"/>
              <w:ind w:left="120"/>
            </w:pPr>
            <w:r>
              <w:t>位于</w:t>
            </w:r>
            <w:r>
              <w:rPr>
                <w:spacing w:val="-44"/>
              </w:rPr>
              <w:t xml:space="preserve"> </w:t>
            </w:r>
            <w:r>
              <w:rPr>
                <w:rFonts w:ascii="Times New Roman" w:hAnsi="Times New Roman" w:eastAsia="Times New Roman" w:cs="Times New Roman"/>
              </w:rPr>
              <w:t>A</w:t>
            </w:r>
            <w:r>
              <w:rPr>
                <w:rFonts w:ascii="Times New Roman" w:hAnsi="Times New Roman" w:eastAsia="Times New Roman" w:cs="Times New Roman"/>
                <w:spacing w:val="32"/>
                <w:w w:val="101"/>
              </w:rPr>
              <w:t xml:space="preserve"> </w:t>
            </w:r>
            <w:r>
              <w:t>回线</w:t>
            </w:r>
          </w:p>
          <w:p w14:paraId="6A7F93FE">
            <w:pPr>
              <w:pStyle w:val="6"/>
              <w:spacing w:before="24" w:line="228" w:lineRule="auto"/>
              <w:ind w:left="143"/>
            </w:pPr>
            <w:r>
              <w:rPr>
                <w:spacing w:val="8"/>
              </w:rPr>
              <w:t>边导线地面</w:t>
            </w:r>
          </w:p>
          <w:p w14:paraId="6D2ECCC5">
            <w:pPr>
              <w:pStyle w:val="6"/>
              <w:spacing w:before="23" w:line="228" w:lineRule="auto"/>
              <w:ind w:left="250"/>
            </w:pPr>
            <w:r>
              <w:rPr>
                <w:spacing w:val="7"/>
              </w:rPr>
              <w:t>投影南侧</w:t>
            </w:r>
          </w:p>
          <w:p w14:paraId="1ED707E7">
            <w:pPr>
              <w:spacing w:before="48" w:line="195" w:lineRule="auto"/>
              <w:ind w:left="4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30m</w:t>
            </w:r>
          </w:p>
        </w:tc>
        <w:tc>
          <w:tcPr>
            <w:tcW w:w="2327" w:type="dxa"/>
            <w:vAlign w:val="top"/>
          </w:tcPr>
          <w:p w14:paraId="7345D6DF">
            <w:pPr>
              <w:pStyle w:val="6"/>
              <w:spacing w:before="43" w:line="227" w:lineRule="auto"/>
              <w:ind w:left="82"/>
              <w:rPr>
                <w:rFonts w:ascii="Times New Roman" w:hAnsi="Times New Roman" w:eastAsia="Times New Roman" w:cs="Times New Roman"/>
              </w:rPr>
            </w:pPr>
            <w:r>
              <w:rPr>
                <w:rFonts w:ascii="Times New Roman" w:hAnsi="Times New Roman" w:eastAsia="Times New Roman" w:cs="Times New Roman"/>
                <w:spacing w:val="2"/>
              </w:rPr>
              <w:t>110</w:t>
            </w:r>
            <w:r>
              <w:rPr>
                <w:rFonts w:ascii="Times New Roman" w:hAnsi="Times New Roman" w:eastAsia="Times New Roman" w:cs="Times New Roman"/>
              </w:rPr>
              <w:t>kV</w:t>
            </w:r>
            <w:r>
              <w:rPr>
                <w:rFonts w:ascii="Times New Roman" w:hAnsi="Times New Roman" w:eastAsia="Times New Roman" w:cs="Times New Roman"/>
                <w:spacing w:val="29"/>
                <w:w w:val="101"/>
              </w:rPr>
              <w:t xml:space="preserve"> </w:t>
            </w:r>
            <w:r>
              <w:rPr>
                <w:spacing w:val="2"/>
              </w:rPr>
              <w:t>嵩杨牵线</w:t>
            </w:r>
            <w:r>
              <w:rPr>
                <w:spacing w:val="-35"/>
              </w:rPr>
              <w:t xml:space="preserve"> </w:t>
            </w:r>
            <w:r>
              <w:rPr>
                <w:rFonts w:ascii="Times New Roman" w:hAnsi="Times New Roman" w:eastAsia="Times New Roman" w:cs="Times New Roman"/>
                <w:spacing w:val="2"/>
              </w:rPr>
              <w:t>54#-55#</w:t>
            </w:r>
          </w:p>
          <w:p w14:paraId="288ED73D">
            <w:pPr>
              <w:pStyle w:val="6"/>
              <w:spacing w:before="25" w:line="227" w:lineRule="auto"/>
              <w:ind w:left="350"/>
            </w:pPr>
            <w:r>
              <w:rPr>
                <w:spacing w:val="3"/>
              </w:rPr>
              <w:t>和</w:t>
            </w:r>
            <w:r>
              <w:rPr>
                <w:spacing w:val="-19"/>
              </w:rPr>
              <w:t xml:space="preserve"> </w:t>
            </w:r>
            <w:r>
              <w:rPr>
                <w:rFonts w:ascii="Times New Roman" w:hAnsi="Times New Roman" w:eastAsia="Times New Roman" w:cs="Times New Roman"/>
                <w:spacing w:val="3"/>
              </w:rPr>
              <w:t>110</w:t>
            </w:r>
            <w:r>
              <w:rPr>
                <w:rFonts w:ascii="Times New Roman" w:hAnsi="Times New Roman" w:eastAsia="Times New Roman" w:cs="Times New Roman"/>
              </w:rPr>
              <w:t>kV</w:t>
            </w:r>
            <w:r>
              <w:rPr>
                <w:rFonts w:ascii="Times New Roman" w:hAnsi="Times New Roman" w:eastAsia="Times New Roman" w:cs="Times New Roman"/>
                <w:spacing w:val="3"/>
              </w:rPr>
              <w:t xml:space="preserve"> </w:t>
            </w:r>
            <w:r>
              <w:rPr>
                <w:spacing w:val="3"/>
              </w:rPr>
              <w:t>杨牵</w:t>
            </w:r>
            <w:r>
              <w:rPr>
                <w:rFonts w:ascii="Times New Roman" w:hAnsi="Times New Roman" w:eastAsia="Times New Roman" w:cs="Times New Roman"/>
                <w:spacing w:val="3"/>
              </w:rPr>
              <w:t>Ⅱ</w:t>
            </w:r>
            <w:r>
              <w:rPr>
                <w:spacing w:val="3"/>
              </w:rPr>
              <w:t>回</w:t>
            </w:r>
          </w:p>
          <w:p w14:paraId="12E8E0BF">
            <w:pPr>
              <w:pStyle w:val="6"/>
              <w:spacing w:before="27" w:line="230" w:lineRule="auto"/>
              <w:ind w:left="85"/>
            </w:pPr>
            <w:r>
              <w:rPr>
                <w:rFonts w:ascii="Times New Roman" w:hAnsi="Times New Roman" w:eastAsia="Times New Roman" w:cs="Times New Roman"/>
                <w:spacing w:val="6"/>
              </w:rPr>
              <w:t>004#-003#</w:t>
            </w:r>
            <w:r>
              <w:rPr>
                <w:spacing w:val="6"/>
              </w:rPr>
              <w:t>塔间（同塔双</w:t>
            </w:r>
          </w:p>
          <w:p w14:paraId="1C0CF7D1">
            <w:pPr>
              <w:pStyle w:val="6"/>
              <w:spacing w:before="21" w:line="228" w:lineRule="auto"/>
              <w:ind w:left="51"/>
            </w:pPr>
            <w:r>
              <w:rPr>
                <w:spacing w:val="4"/>
              </w:rPr>
              <w:t>回）线路噪声断面边导线</w:t>
            </w:r>
          </w:p>
          <w:p w14:paraId="11C12D8D">
            <w:pPr>
              <w:pStyle w:val="6"/>
              <w:spacing w:before="27" w:line="203" w:lineRule="auto"/>
              <w:ind w:left="857"/>
              <w:rPr>
                <w:rFonts w:ascii="Times New Roman" w:hAnsi="Times New Roman" w:eastAsia="Times New Roman" w:cs="Times New Roman"/>
              </w:rPr>
            </w:pPr>
            <w:r>
              <w:rPr>
                <w:spacing w:val="1"/>
              </w:rPr>
              <w:t>外</w:t>
            </w:r>
            <w:r>
              <w:rPr>
                <w:spacing w:val="-38"/>
              </w:rPr>
              <w:t xml:space="preserve"> </w:t>
            </w:r>
            <w:r>
              <w:rPr>
                <w:rFonts w:ascii="Times New Roman" w:hAnsi="Times New Roman" w:eastAsia="Times New Roman" w:cs="Times New Roman"/>
                <w:spacing w:val="1"/>
              </w:rPr>
              <w:t>30m</w:t>
            </w:r>
          </w:p>
        </w:tc>
        <w:tc>
          <w:tcPr>
            <w:tcW w:w="790" w:type="dxa"/>
            <w:vAlign w:val="top"/>
          </w:tcPr>
          <w:p w14:paraId="721F718D">
            <w:pPr>
              <w:spacing w:line="281" w:lineRule="auto"/>
              <w:rPr>
                <w:rFonts w:ascii="Arial"/>
                <w:sz w:val="21"/>
              </w:rPr>
            </w:pPr>
          </w:p>
          <w:p w14:paraId="683FC298">
            <w:pPr>
              <w:spacing w:line="282" w:lineRule="auto"/>
              <w:rPr>
                <w:rFonts w:ascii="Arial"/>
                <w:sz w:val="21"/>
              </w:rPr>
            </w:pPr>
          </w:p>
          <w:p w14:paraId="6068FD11">
            <w:pPr>
              <w:spacing w:before="57"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45.4</w:t>
            </w:r>
          </w:p>
        </w:tc>
        <w:tc>
          <w:tcPr>
            <w:tcW w:w="771" w:type="dxa"/>
            <w:vAlign w:val="top"/>
          </w:tcPr>
          <w:p w14:paraId="0586D1DE">
            <w:pPr>
              <w:spacing w:line="281" w:lineRule="auto"/>
              <w:rPr>
                <w:rFonts w:ascii="Arial"/>
                <w:sz w:val="21"/>
              </w:rPr>
            </w:pPr>
          </w:p>
          <w:p w14:paraId="594B031B">
            <w:pPr>
              <w:spacing w:line="282" w:lineRule="auto"/>
              <w:rPr>
                <w:rFonts w:ascii="Arial"/>
                <w:sz w:val="21"/>
              </w:rPr>
            </w:pPr>
          </w:p>
          <w:p w14:paraId="67878FFB">
            <w:pPr>
              <w:spacing w:before="57" w:line="195" w:lineRule="auto"/>
              <w:ind w:left="2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40.6</w:t>
            </w:r>
          </w:p>
        </w:tc>
        <w:tc>
          <w:tcPr>
            <w:tcW w:w="144" w:type="dxa"/>
            <w:vMerge w:val="continue"/>
            <w:tcBorders>
              <w:top w:val="nil"/>
              <w:bottom w:val="nil"/>
              <w:right w:val="single" w:color="000000" w:sz="6" w:space="0"/>
            </w:tcBorders>
            <w:vAlign w:val="top"/>
          </w:tcPr>
          <w:p w14:paraId="18FE041E">
            <w:pPr>
              <w:rPr>
                <w:rFonts w:ascii="Arial"/>
                <w:sz w:val="21"/>
              </w:rPr>
            </w:pPr>
          </w:p>
        </w:tc>
      </w:tr>
      <w:tr w14:paraId="051473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478" w:type="dxa"/>
            <w:vMerge w:val="continue"/>
            <w:tcBorders>
              <w:top w:val="nil"/>
              <w:left w:val="single" w:color="000000" w:sz="6" w:space="0"/>
              <w:bottom w:val="nil"/>
            </w:tcBorders>
            <w:vAlign w:val="top"/>
          </w:tcPr>
          <w:p w14:paraId="1343588F">
            <w:pPr>
              <w:rPr>
                <w:rFonts w:ascii="Arial"/>
                <w:sz w:val="21"/>
              </w:rPr>
            </w:pPr>
          </w:p>
        </w:tc>
        <w:tc>
          <w:tcPr>
            <w:tcW w:w="135" w:type="dxa"/>
            <w:tcBorders>
              <w:top w:val="nil"/>
              <w:bottom w:val="nil"/>
            </w:tcBorders>
            <w:vAlign w:val="top"/>
          </w:tcPr>
          <w:p w14:paraId="47F454CC">
            <w:pPr>
              <w:rPr>
                <w:rFonts w:ascii="Arial"/>
                <w:sz w:val="21"/>
              </w:rPr>
            </w:pPr>
          </w:p>
        </w:tc>
        <w:tc>
          <w:tcPr>
            <w:tcW w:w="515" w:type="dxa"/>
            <w:vMerge w:val="continue"/>
            <w:tcBorders>
              <w:top w:val="nil"/>
              <w:bottom w:val="nil"/>
            </w:tcBorders>
            <w:vAlign w:val="top"/>
          </w:tcPr>
          <w:p w14:paraId="158092D7">
            <w:pPr>
              <w:rPr>
                <w:rFonts w:ascii="Arial"/>
                <w:sz w:val="21"/>
              </w:rPr>
            </w:pPr>
          </w:p>
        </w:tc>
        <w:tc>
          <w:tcPr>
            <w:tcW w:w="923" w:type="dxa"/>
            <w:vAlign w:val="top"/>
          </w:tcPr>
          <w:p w14:paraId="13608A36">
            <w:pPr>
              <w:spacing w:line="251" w:lineRule="auto"/>
              <w:rPr>
                <w:rFonts w:ascii="Arial"/>
                <w:sz w:val="21"/>
              </w:rPr>
            </w:pPr>
          </w:p>
          <w:p w14:paraId="36237E85">
            <w:pPr>
              <w:pStyle w:val="6"/>
              <w:spacing w:before="65" w:line="225" w:lineRule="auto"/>
              <w:ind w:left="143"/>
            </w:pPr>
            <w:r>
              <w:rPr>
                <w:spacing w:val="7"/>
              </w:rPr>
              <w:t>⑥菜地</w:t>
            </w:r>
          </w:p>
          <w:p w14:paraId="2FB03DB4">
            <w:pPr>
              <w:pStyle w:val="6"/>
              <w:spacing w:before="28" w:line="228" w:lineRule="auto"/>
              <w:ind w:left="145"/>
            </w:pPr>
            <w:r>
              <w:rPr>
                <w:spacing w:val="6"/>
              </w:rPr>
              <w:t>看护用</w:t>
            </w:r>
          </w:p>
          <w:p w14:paraId="5F8D2F0F">
            <w:pPr>
              <w:pStyle w:val="6"/>
              <w:spacing w:before="24" w:line="228" w:lineRule="auto"/>
              <w:ind w:left="357"/>
            </w:pPr>
            <w:r>
              <w:t>房</w:t>
            </w:r>
          </w:p>
        </w:tc>
        <w:tc>
          <w:tcPr>
            <w:tcW w:w="1898" w:type="dxa"/>
            <w:vAlign w:val="top"/>
          </w:tcPr>
          <w:p w14:paraId="54BBF020">
            <w:pPr>
              <w:spacing w:line="250" w:lineRule="auto"/>
              <w:rPr>
                <w:rFonts w:ascii="Arial"/>
                <w:sz w:val="21"/>
              </w:rPr>
            </w:pPr>
          </w:p>
          <w:p w14:paraId="7CD515B5">
            <w:pPr>
              <w:pStyle w:val="6"/>
              <w:spacing w:before="65" w:line="228" w:lineRule="auto"/>
              <w:ind w:left="110"/>
            </w:pPr>
            <w:r>
              <w:rPr>
                <w:spacing w:val="8"/>
              </w:rPr>
              <w:t>双回线路（单边挂</w:t>
            </w:r>
          </w:p>
          <w:p w14:paraId="2CD3D342">
            <w:pPr>
              <w:pStyle w:val="6"/>
              <w:spacing w:before="26" w:line="228" w:lineRule="auto"/>
              <w:ind w:left="185"/>
              <w:rPr>
                <w:rFonts w:ascii="Times New Roman" w:hAnsi="Times New Roman" w:eastAsia="Times New Roman" w:cs="Times New Roman"/>
              </w:rPr>
            </w:pPr>
            <w:r>
              <w:rPr>
                <w:spacing w:val="8"/>
              </w:rPr>
              <w:t>线）北侧，</w:t>
            </w:r>
            <w:r>
              <w:rPr>
                <w:rFonts w:ascii="Times New Roman" w:hAnsi="Times New Roman" w:eastAsia="Times New Roman" w:cs="Times New Roman"/>
              </w:rPr>
              <w:t>AZ</w:t>
            </w:r>
            <w:r>
              <w:rPr>
                <w:rFonts w:ascii="Times New Roman" w:hAnsi="Times New Roman" w:eastAsia="Times New Roman" w:cs="Times New Roman"/>
                <w:spacing w:val="8"/>
              </w:rPr>
              <w:t>12</w:t>
            </w:r>
          </w:p>
          <w:p w14:paraId="63097CC6">
            <w:pPr>
              <w:pStyle w:val="6"/>
              <w:spacing w:before="24" w:line="228" w:lineRule="auto"/>
              <w:ind w:left="319"/>
              <w:rPr>
                <w:rFonts w:ascii="Times New Roman" w:hAnsi="Times New Roman" w:eastAsia="Times New Roman" w:cs="Times New Roman"/>
              </w:rPr>
            </w:pPr>
            <w:r>
              <w:rPr>
                <w:spacing w:val="5"/>
              </w:rPr>
              <w:t>塔基西侧</w:t>
            </w:r>
            <w:r>
              <w:rPr>
                <w:spacing w:val="-36"/>
              </w:rPr>
              <w:t xml:space="preserve"> </w:t>
            </w:r>
            <w:r>
              <w:rPr>
                <w:rFonts w:ascii="Times New Roman" w:hAnsi="Times New Roman" w:eastAsia="Times New Roman" w:cs="Times New Roman"/>
                <w:spacing w:val="5"/>
              </w:rPr>
              <w:t>60m</w:t>
            </w:r>
          </w:p>
        </w:tc>
        <w:tc>
          <w:tcPr>
            <w:tcW w:w="1326" w:type="dxa"/>
            <w:vAlign w:val="top"/>
          </w:tcPr>
          <w:p w14:paraId="0DF98CFF">
            <w:pPr>
              <w:pStyle w:val="6"/>
              <w:spacing w:before="197" w:line="228" w:lineRule="auto"/>
              <w:ind w:left="120"/>
            </w:pPr>
            <w:r>
              <w:t>位于</w:t>
            </w:r>
            <w:r>
              <w:rPr>
                <w:spacing w:val="-44"/>
              </w:rPr>
              <w:t xml:space="preserve"> </w:t>
            </w:r>
            <w:r>
              <w:rPr>
                <w:rFonts w:ascii="Times New Roman" w:hAnsi="Times New Roman" w:eastAsia="Times New Roman" w:cs="Times New Roman"/>
              </w:rPr>
              <w:t>A</w:t>
            </w:r>
            <w:r>
              <w:rPr>
                <w:rFonts w:ascii="Times New Roman" w:hAnsi="Times New Roman" w:eastAsia="Times New Roman" w:cs="Times New Roman"/>
                <w:spacing w:val="32"/>
                <w:w w:val="101"/>
              </w:rPr>
              <w:t xml:space="preserve"> </w:t>
            </w:r>
            <w:r>
              <w:t>回线</w:t>
            </w:r>
          </w:p>
          <w:p w14:paraId="10ABFEE1">
            <w:pPr>
              <w:pStyle w:val="6"/>
              <w:spacing w:before="26" w:line="228" w:lineRule="auto"/>
              <w:ind w:left="143"/>
            </w:pPr>
            <w:r>
              <w:rPr>
                <w:spacing w:val="8"/>
              </w:rPr>
              <w:t>边导线地面</w:t>
            </w:r>
          </w:p>
          <w:p w14:paraId="7E3C121C">
            <w:pPr>
              <w:pStyle w:val="6"/>
              <w:spacing w:before="23" w:line="228" w:lineRule="auto"/>
              <w:ind w:left="250"/>
            </w:pPr>
            <w:r>
              <w:rPr>
                <w:spacing w:val="7"/>
              </w:rPr>
              <w:t>投影北侧</w:t>
            </w:r>
          </w:p>
          <w:p w14:paraId="26239444">
            <w:pPr>
              <w:spacing w:before="51" w:line="192" w:lineRule="auto"/>
              <w:ind w:left="53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5m</w:t>
            </w:r>
          </w:p>
        </w:tc>
        <w:tc>
          <w:tcPr>
            <w:tcW w:w="2327" w:type="dxa"/>
            <w:vAlign w:val="top"/>
          </w:tcPr>
          <w:p w14:paraId="3D967784">
            <w:pPr>
              <w:pStyle w:val="6"/>
              <w:spacing w:before="48" w:line="227" w:lineRule="auto"/>
              <w:ind w:left="82"/>
              <w:rPr>
                <w:rFonts w:ascii="Times New Roman" w:hAnsi="Times New Roman" w:eastAsia="Times New Roman" w:cs="Times New Roman"/>
              </w:rPr>
            </w:pPr>
            <w:r>
              <w:rPr>
                <w:rFonts w:ascii="Times New Roman" w:hAnsi="Times New Roman" w:eastAsia="Times New Roman" w:cs="Times New Roman"/>
                <w:spacing w:val="2"/>
              </w:rPr>
              <w:t>110</w:t>
            </w:r>
            <w:r>
              <w:rPr>
                <w:rFonts w:ascii="Times New Roman" w:hAnsi="Times New Roman" w:eastAsia="Times New Roman" w:cs="Times New Roman"/>
              </w:rPr>
              <w:t>kV</w:t>
            </w:r>
            <w:r>
              <w:rPr>
                <w:rFonts w:ascii="Times New Roman" w:hAnsi="Times New Roman" w:eastAsia="Times New Roman" w:cs="Times New Roman"/>
                <w:spacing w:val="29"/>
                <w:w w:val="101"/>
              </w:rPr>
              <w:t xml:space="preserve"> </w:t>
            </w:r>
            <w:r>
              <w:rPr>
                <w:spacing w:val="2"/>
              </w:rPr>
              <w:t>嵩杨牵线</w:t>
            </w:r>
            <w:r>
              <w:rPr>
                <w:spacing w:val="-35"/>
              </w:rPr>
              <w:t xml:space="preserve"> </w:t>
            </w:r>
            <w:r>
              <w:rPr>
                <w:rFonts w:ascii="Times New Roman" w:hAnsi="Times New Roman" w:eastAsia="Times New Roman" w:cs="Times New Roman"/>
                <w:spacing w:val="2"/>
              </w:rPr>
              <w:t>54#-55#</w:t>
            </w:r>
          </w:p>
          <w:p w14:paraId="31D1122D">
            <w:pPr>
              <w:pStyle w:val="6"/>
              <w:spacing w:before="25" w:line="227" w:lineRule="auto"/>
              <w:ind w:left="350"/>
            </w:pPr>
            <w:r>
              <w:rPr>
                <w:spacing w:val="3"/>
              </w:rPr>
              <w:t>和</w:t>
            </w:r>
            <w:r>
              <w:rPr>
                <w:spacing w:val="-19"/>
              </w:rPr>
              <w:t xml:space="preserve"> </w:t>
            </w:r>
            <w:r>
              <w:rPr>
                <w:rFonts w:ascii="Times New Roman" w:hAnsi="Times New Roman" w:eastAsia="Times New Roman" w:cs="Times New Roman"/>
                <w:spacing w:val="3"/>
              </w:rPr>
              <w:t>110</w:t>
            </w:r>
            <w:r>
              <w:rPr>
                <w:rFonts w:ascii="Times New Roman" w:hAnsi="Times New Roman" w:eastAsia="Times New Roman" w:cs="Times New Roman"/>
              </w:rPr>
              <w:t>kV</w:t>
            </w:r>
            <w:r>
              <w:rPr>
                <w:rFonts w:ascii="Times New Roman" w:hAnsi="Times New Roman" w:eastAsia="Times New Roman" w:cs="Times New Roman"/>
                <w:spacing w:val="3"/>
              </w:rPr>
              <w:t xml:space="preserve"> </w:t>
            </w:r>
            <w:r>
              <w:rPr>
                <w:spacing w:val="3"/>
              </w:rPr>
              <w:t>杨牵</w:t>
            </w:r>
            <w:r>
              <w:rPr>
                <w:rFonts w:ascii="Times New Roman" w:hAnsi="Times New Roman" w:eastAsia="Times New Roman" w:cs="Times New Roman"/>
                <w:spacing w:val="3"/>
              </w:rPr>
              <w:t>Ⅱ</w:t>
            </w:r>
            <w:r>
              <w:rPr>
                <w:spacing w:val="3"/>
              </w:rPr>
              <w:t>回</w:t>
            </w:r>
          </w:p>
          <w:p w14:paraId="4E007CB1">
            <w:pPr>
              <w:pStyle w:val="6"/>
              <w:spacing w:before="25" w:line="230" w:lineRule="auto"/>
              <w:ind w:left="85"/>
            </w:pPr>
            <w:r>
              <w:rPr>
                <w:rFonts w:ascii="Times New Roman" w:hAnsi="Times New Roman" w:eastAsia="Times New Roman" w:cs="Times New Roman"/>
                <w:spacing w:val="6"/>
              </w:rPr>
              <w:t>004#-003#</w:t>
            </w:r>
            <w:r>
              <w:rPr>
                <w:spacing w:val="6"/>
              </w:rPr>
              <w:t>塔间（同塔双</w:t>
            </w:r>
          </w:p>
          <w:p w14:paraId="3ABFFA98">
            <w:pPr>
              <w:pStyle w:val="6"/>
              <w:spacing w:before="24" w:line="228" w:lineRule="auto"/>
              <w:ind w:left="51"/>
            </w:pPr>
            <w:r>
              <w:rPr>
                <w:spacing w:val="4"/>
              </w:rPr>
              <w:t>回）线路噪声断面边导线</w:t>
            </w:r>
          </w:p>
          <w:p w14:paraId="1826A883">
            <w:pPr>
              <w:pStyle w:val="6"/>
              <w:spacing w:before="24" w:line="201" w:lineRule="auto"/>
              <w:ind w:left="910"/>
              <w:rPr>
                <w:rFonts w:ascii="Times New Roman" w:hAnsi="Times New Roman" w:eastAsia="Times New Roman" w:cs="Times New Roman"/>
              </w:rPr>
            </w:pPr>
            <w:r>
              <w:rPr>
                <w:spacing w:val="-1"/>
              </w:rPr>
              <w:t>外</w:t>
            </w:r>
            <w:r>
              <w:rPr>
                <w:spacing w:val="-37"/>
              </w:rPr>
              <w:t xml:space="preserve"> </w:t>
            </w:r>
            <w:r>
              <w:rPr>
                <w:rFonts w:ascii="Times New Roman" w:hAnsi="Times New Roman" w:eastAsia="Times New Roman" w:cs="Times New Roman"/>
                <w:spacing w:val="-1"/>
              </w:rPr>
              <w:t>5m</w:t>
            </w:r>
          </w:p>
        </w:tc>
        <w:tc>
          <w:tcPr>
            <w:tcW w:w="790" w:type="dxa"/>
            <w:vAlign w:val="top"/>
          </w:tcPr>
          <w:p w14:paraId="320DC873">
            <w:pPr>
              <w:spacing w:line="282" w:lineRule="auto"/>
              <w:rPr>
                <w:rFonts w:ascii="Arial"/>
                <w:sz w:val="21"/>
              </w:rPr>
            </w:pPr>
          </w:p>
          <w:p w14:paraId="1DFA09EB">
            <w:pPr>
              <w:spacing w:line="283" w:lineRule="auto"/>
              <w:rPr>
                <w:rFonts w:ascii="Arial"/>
                <w:sz w:val="21"/>
              </w:rPr>
            </w:pPr>
          </w:p>
          <w:p w14:paraId="50B5EEB1">
            <w:pPr>
              <w:spacing w:before="58"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44.9</w:t>
            </w:r>
          </w:p>
        </w:tc>
        <w:tc>
          <w:tcPr>
            <w:tcW w:w="771" w:type="dxa"/>
            <w:vAlign w:val="top"/>
          </w:tcPr>
          <w:p w14:paraId="67CDCCF2">
            <w:pPr>
              <w:spacing w:line="282" w:lineRule="auto"/>
              <w:rPr>
                <w:rFonts w:ascii="Arial"/>
                <w:sz w:val="21"/>
              </w:rPr>
            </w:pPr>
          </w:p>
          <w:p w14:paraId="27505DBA">
            <w:pPr>
              <w:spacing w:line="283" w:lineRule="auto"/>
              <w:rPr>
                <w:rFonts w:ascii="Arial"/>
                <w:sz w:val="21"/>
              </w:rPr>
            </w:pPr>
          </w:p>
          <w:p w14:paraId="1219F08F">
            <w:pPr>
              <w:spacing w:before="58" w:line="195" w:lineRule="auto"/>
              <w:ind w:left="2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40.9</w:t>
            </w:r>
          </w:p>
        </w:tc>
        <w:tc>
          <w:tcPr>
            <w:tcW w:w="144" w:type="dxa"/>
            <w:vMerge w:val="continue"/>
            <w:tcBorders>
              <w:top w:val="nil"/>
              <w:bottom w:val="nil"/>
              <w:right w:val="single" w:color="000000" w:sz="6" w:space="0"/>
            </w:tcBorders>
            <w:vAlign w:val="top"/>
          </w:tcPr>
          <w:p w14:paraId="2AFFB55B">
            <w:pPr>
              <w:rPr>
                <w:rFonts w:ascii="Arial"/>
                <w:sz w:val="21"/>
              </w:rPr>
            </w:pPr>
          </w:p>
        </w:tc>
      </w:tr>
      <w:tr w14:paraId="631D8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8" w:hRule="atLeast"/>
        </w:trPr>
        <w:tc>
          <w:tcPr>
            <w:tcW w:w="478" w:type="dxa"/>
            <w:vMerge w:val="continue"/>
            <w:tcBorders>
              <w:top w:val="nil"/>
              <w:left w:val="single" w:color="000000" w:sz="6" w:space="0"/>
              <w:bottom w:val="nil"/>
            </w:tcBorders>
            <w:vAlign w:val="top"/>
          </w:tcPr>
          <w:p w14:paraId="3C3FD48D">
            <w:pPr>
              <w:rPr>
                <w:rFonts w:ascii="Arial"/>
                <w:sz w:val="21"/>
              </w:rPr>
            </w:pPr>
          </w:p>
        </w:tc>
        <w:tc>
          <w:tcPr>
            <w:tcW w:w="135" w:type="dxa"/>
            <w:tcBorders>
              <w:top w:val="nil"/>
              <w:bottom w:val="nil"/>
            </w:tcBorders>
            <w:vAlign w:val="top"/>
          </w:tcPr>
          <w:p w14:paraId="2972465D">
            <w:pPr>
              <w:rPr>
                <w:rFonts w:ascii="Arial"/>
                <w:sz w:val="21"/>
              </w:rPr>
            </w:pPr>
          </w:p>
        </w:tc>
        <w:tc>
          <w:tcPr>
            <w:tcW w:w="515" w:type="dxa"/>
            <w:vMerge w:val="continue"/>
            <w:tcBorders>
              <w:top w:val="nil"/>
              <w:bottom w:val="nil"/>
            </w:tcBorders>
            <w:vAlign w:val="top"/>
          </w:tcPr>
          <w:p w14:paraId="4527A347">
            <w:pPr>
              <w:rPr>
                <w:rFonts w:ascii="Arial"/>
                <w:sz w:val="21"/>
              </w:rPr>
            </w:pPr>
          </w:p>
        </w:tc>
        <w:tc>
          <w:tcPr>
            <w:tcW w:w="923" w:type="dxa"/>
            <w:vAlign w:val="top"/>
          </w:tcPr>
          <w:p w14:paraId="5E895B85">
            <w:pPr>
              <w:spacing w:line="256" w:lineRule="auto"/>
              <w:rPr>
                <w:rFonts w:ascii="Arial"/>
                <w:sz w:val="21"/>
              </w:rPr>
            </w:pPr>
          </w:p>
          <w:p w14:paraId="327FDB49">
            <w:pPr>
              <w:pStyle w:val="6"/>
              <w:spacing w:before="64" w:line="225" w:lineRule="auto"/>
              <w:ind w:left="143"/>
            </w:pPr>
            <w:r>
              <w:rPr>
                <w:spacing w:val="7"/>
              </w:rPr>
              <w:t>⑦菜地</w:t>
            </w:r>
          </w:p>
          <w:p w14:paraId="30DD9E6F">
            <w:pPr>
              <w:pStyle w:val="6"/>
              <w:spacing w:before="26" w:line="228" w:lineRule="auto"/>
              <w:ind w:left="145"/>
            </w:pPr>
            <w:r>
              <w:rPr>
                <w:spacing w:val="6"/>
              </w:rPr>
              <w:t>看护用</w:t>
            </w:r>
          </w:p>
          <w:p w14:paraId="14DBEDDB">
            <w:pPr>
              <w:pStyle w:val="6"/>
              <w:spacing w:before="24" w:line="228" w:lineRule="auto"/>
              <w:ind w:left="357"/>
            </w:pPr>
            <w:r>
              <w:t>房</w:t>
            </w:r>
          </w:p>
        </w:tc>
        <w:tc>
          <w:tcPr>
            <w:tcW w:w="1898" w:type="dxa"/>
            <w:vAlign w:val="top"/>
          </w:tcPr>
          <w:p w14:paraId="13CDCCDF">
            <w:pPr>
              <w:spacing w:line="255" w:lineRule="auto"/>
              <w:rPr>
                <w:rFonts w:ascii="Arial"/>
                <w:sz w:val="21"/>
              </w:rPr>
            </w:pPr>
          </w:p>
          <w:p w14:paraId="41EA10CE">
            <w:pPr>
              <w:pStyle w:val="6"/>
              <w:spacing w:before="65" w:line="228" w:lineRule="auto"/>
              <w:ind w:left="110"/>
            </w:pPr>
            <w:r>
              <w:rPr>
                <w:spacing w:val="8"/>
              </w:rPr>
              <w:t>双回线路（单边挂</w:t>
            </w:r>
          </w:p>
          <w:p w14:paraId="1AE2CEE6">
            <w:pPr>
              <w:pStyle w:val="6"/>
              <w:spacing w:before="24" w:line="228" w:lineRule="auto"/>
              <w:ind w:left="113"/>
              <w:rPr>
                <w:rFonts w:ascii="Times New Roman" w:hAnsi="Times New Roman" w:eastAsia="Times New Roman" w:cs="Times New Roman"/>
              </w:rPr>
            </w:pPr>
            <w:r>
              <w:rPr>
                <w:spacing w:val="7"/>
              </w:rPr>
              <w:t>线）南侧，</w:t>
            </w:r>
            <w:r>
              <w:rPr>
                <w:rFonts w:ascii="Times New Roman" w:hAnsi="Times New Roman" w:eastAsia="Times New Roman" w:cs="Times New Roman"/>
              </w:rPr>
              <w:t>AZ</w:t>
            </w:r>
            <w:r>
              <w:rPr>
                <w:rFonts w:ascii="Times New Roman" w:hAnsi="Times New Roman" w:eastAsia="Times New Roman" w:cs="Times New Roman"/>
                <w:spacing w:val="7"/>
              </w:rPr>
              <w:t>13G</w:t>
            </w:r>
          </w:p>
          <w:p w14:paraId="380AF84D">
            <w:pPr>
              <w:pStyle w:val="6"/>
              <w:spacing w:before="24" w:line="228" w:lineRule="auto"/>
              <w:ind w:left="266"/>
              <w:rPr>
                <w:rFonts w:ascii="Times New Roman" w:hAnsi="Times New Roman" w:eastAsia="Times New Roman" w:cs="Times New Roman"/>
              </w:rPr>
            </w:pPr>
            <w:r>
              <w:rPr>
                <w:spacing w:val="3"/>
              </w:rPr>
              <w:t>塔基西侧</w:t>
            </w:r>
            <w:r>
              <w:rPr>
                <w:spacing w:val="-20"/>
              </w:rPr>
              <w:t xml:space="preserve"> </w:t>
            </w:r>
            <w:r>
              <w:rPr>
                <w:rFonts w:ascii="Times New Roman" w:hAnsi="Times New Roman" w:eastAsia="Times New Roman" w:cs="Times New Roman"/>
                <w:spacing w:val="3"/>
              </w:rPr>
              <w:t>150m</w:t>
            </w:r>
          </w:p>
        </w:tc>
        <w:tc>
          <w:tcPr>
            <w:tcW w:w="1326" w:type="dxa"/>
            <w:vAlign w:val="top"/>
          </w:tcPr>
          <w:p w14:paraId="2563B9A7">
            <w:pPr>
              <w:pStyle w:val="6"/>
              <w:spacing w:before="202" w:line="228" w:lineRule="auto"/>
              <w:ind w:left="120"/>
            </w:pPr>
            <w:r>
              <w:t>位于</w:t>
            </w:r>
            <w:r>
              <w:rPr>
                <w:spacing w:val="-44"/>
              </w:rPr>
              <w:t xml:space="preserve"> </w:t>
            </w:r>
            <w:r>
              <w:rPr>
                <w:rFonts w:ascii="Times New Roman" w:hAnsi="Times New Roman" w:eastAsia="Times New Roman" w:cs="Times New Roman"/>
              </w:rPr>
              <w:t>A</w:t>
            </w:r>
            <w:r>
              <w:rPr>
                <w:rFonts w:ascii="Times New Roman" w:hAnsi="Times New Roman" w:eastAsia="Times New Roman" w:cs="Times New Roman"/>
                <w:spacing w:val="32"/>
                <w:w w:val="101"/>
              </w:rPr>
              <w:t xml:space="preserve"> </w:t>
            </w:r>
            <w:r>
              <w:t>回线</w:t>
            </w:r>
          </w:p>
          <w:p w14:paraId="746D8E88">
            <w:pPr>
              <w:pStyle w:val="6"/>
              <w:spacing w:before="24" w:line="228" w:lineRule="auto"/>
              <w:ind w:left="143"/>
            </w:pPr>
            <w:r>
              <w:rPr>
                <w:spacing w:val="8"/>
              </w:rPr>
              <w:t>边导线地面</w:t>
            </w:r>
          </w:p>
          <w:p w14:paraId="079E66F8">
            <w:pPr>
              <w:pStyle w:val="6"/>
              <w:spacing w:before="23" w:line="228" w:lineRule="auto"/>
              <w:ind w:left="250"/>
            </w:pPr>
            <w:r>
              <w:rPr>
                <w:spacing w:val="7"/>
              </w:rPr>
              <w:t>投影南侧</w:t>
            </w:r>
          </w:p>
          <w:p w14:paraId="6E3B436F">
            <w:pPr>
              <w:spacing w:before="48" w:line="195" w:lineRule="auto"/>
              <w:ind w:left="50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11m</w:t>
            </w:r>
          </w:p>
        </w:tc>
        <w:tc>
          <w:tcPr>
            <w:tcW w:w="2327" w:type="dxa"/>
            <w:vAlign w:val="top"/>
          </w:tcPr>
          <w:p w14:paraId="2057147D">
            <w:pPr>
              <w:pStyle w:val="6"/>
              <w:spacing w:before="50" w:line="227" w:lineRule="auto"/>
              <w:ind w:left="82"/>
              <w:rPr>
                <w:rFonts w:ascii="Times New Roman" w:hAnsi="Times New Roman" w:eastAsia="Times New Roman" w:cs="Times New Roman"/>
              </w:rPr>
            </w:pPr>
            <w:r>
              <w:rPr>
                <w:rFonts w:ascii="Times New Roman" w:hAnsi="Times New Roman" w:eastAsia="Times New Roman" w:cs="Times New Roman"/>
                <w:spacing w:val="2"/>
              </w:rPr>
              <w:t>110</w:t>
            </w:r>
            <w:r>
              <w:rPr>
                <w:rFonts w:ascii="Times New Roman" w:hAnsi="Times New Roman" w:eastAsia="Times New Roman" w:cs="Times New Roman"/>
              </w:rPr>
              <w:t>kV</w:t>
            </w:r>
            <w:r>
              <w:rPr>
                <w:rFonts w:ascii="Times New Roman" w:hAnsi="Times New Roman" w:eastAsia="Times New Roman" w:cs="Times New Roman"/>
                <w:spacing w:val="29"/>
                <w:w w:val="101"/>
              </w:rPr>
              <w:t xml:space="preserve"> </w:t>
            </w:r>
            <w:r>
              <w:rPr>
                <w:spacing w:val="2"/>
              </w:rPr>
              <w:t>嵩杨牵线</w:t>
            </w:r>
            <w:r>
              <w:rPr>
                <w:spacing w:val="-35"/>
              </w:rPr>
              <w:t xml:space="preserve"> </w:t>
            </w:r>
            <w:r>
              <w:rPr>
                <w:rFonts w:ascii="Times New Roman" w:hAnsi="Times New Roman" w:eastAsia="Times New Roman" w:cs="Times New Roman"/>
                <w:spacing w:val="2"/>
              </w:rPr>
              <w:t>54#-55#</w:t>
            </w:r>
          </w:p>
          <w:p w14:paraId="2E7646A4">
            <w:pPr>
              <w:pStyle w:val="6"/>
              <w:spacing w:before="25" w:line="227" w:lineRule="auto"/>
              <w:ind w:left="350"/>
            </w:pPr>
            <w:r>
              <w:rPr>
                <w:spacing w:val="3"/>
              </w:rPr>
              <w:t>和</w:t>
            </w:r>
            <w:r>
              <w:rPr>
                <w:spacing w:val="-19"/>
              </w:rPr>
              <w:t xml:space="preserve"> </w:t>
            </w:r>
            <w:r>
              <w:rPr>
                <w:rFonts w:ascii="Times New Roman" w:hAnsi="Times New Roman" w:eastAsia="Times New Roman" w:cs="Times New Roman"/>
                <w:spacing w:val="3"/>
              </w:rPr>
              <w:t>110</w:t>
            </w:r>
            <w:r>
              <w:rPr>
                <w:rFonts w:ascii="Times New Roman" w:hAnsi="Times New Roman" w:eastAsia="Times New Roman" w:cs="Times New Roman"/>
              </w:rPr>
              <w:t>kV</w:t>
            </w:r>
            <w:r>
              <w:rPr>
                <w:rFonts w:ascii="Times New Roman" w:hAnsi="Times New Roman" w:eastAsia="Times New Roman" w:cs="Times New Roman"/>
                <w:spacing w:val="3"/>
              </w:rPr>
              <w:t xml:space="preserve"> </w:t>
            </w:r>
            <w:r>
              <w:rPr>
                <w:spacing w:val="3"/>
              </w:rPr>
              <w:t>杨牵</w:t>
            </w:r>
            <w:r>
              <w:rPr>
                <w:rFonts w:ascii="Times New Roman" w:hAnsi="Times New Roman" w:eastAsia="Times New Roman" w:cs="Times New Roman"/>
                <w:spacing w:val="3"/>
              </w:rPr>
              <w:t>Ⅱ</w:t>
            </w:r>
            <w:r>
              <w:rPr>
                <w:spacing w:val="3"/>
              </w:rPr>
              <w:t>回</w:t>
            </w:r>
          </w:p>
          <w:p w14:paraId="243A548B">
            <w:pPr>
              <w:pStyle w:val="6"/>
              <w:spacing w:before="25" w:line="230" w:lineRule="auto"/>
              <w:ind w:left="85"/>
            </w:pPr>
            <w:r>
              <w:rPr>
                <w:rFonts w:ascii="Times New Roman" w:hAnsi="Times New Roman" w:eastAsia="Times New Roman" w:cs="Times New Roman"/>
                <w:spacing w:val="6"/>
              </w:rPr>
              <w:t>004#-003#</w:t>
            </w:r>
            <w:r>
              <w:rPr>
                <w:spacing w:val="6"/>
              </w:rPr>
              <w:t>塔间（同塔双</w:t>
            </w:r>
          </w:p>
          <w:p w14:paraId="693862EA">
            <w:pPr>
              <w:pStyle w:val="6"/>
              <w:spacing w:before="24" w:line="228" w:lineRule="auto"/>
              <w:ind w:left="51"/>
            </w:pPr>
            <w:r>
              <w:rPr>
                <w:spacing w:val="4"/>
              </w:rPr>
              <w:t>回）线路噪声断面边导线</w:t>
            </w:r>
          </w:p>
          <w:p w14:paraId="29E8CF08">
            <w:pPr>
              <w:pStyle w:val="6"/>
              <w:spacing w:before="27" w:line="210" w:lineRule="auto"/>
              <w:ind w:left="857"/>
              <w:rPr>
                <w:rFonts w:ascii="Times New Roman" w:hAnsi="Times New Roman" w:eastAsia="Times New Roman" w:cs="Times New Roman"/>
              </w:rPr>
            </w:pPr>
            <w:r>
              <w:rPr>
                <w:spacing w:val="-3"/>
              </w:rPr>
              <w:t>外</w:t>
            </w:r>
            <w:r>
              <w:rPr>
                <w:spacing w:val="-22"/>
              </w:rPr>
              <w:t xml:space="preserve"> </w:t>
            </w:r>
            <w:r>
              <w:rPr>
                <w:rFonts w:ascii="Times New Roman" w:hAnsi="Times New Roman" w:eastAsia="Times New Roman" w:cs="Times New Roman"/>
                <w:spacing w:val="-3"/>
              </w:rPr>
              <w:t>10m</w:t>
            </w:r>
          </w:p>
        </w:tc>
        <w:tc>
          <w:tcPr>
            <w:tcW w:w="790" w:type="dxa"/>
            <w:vAlign w:val="top"/>
          </w:tcPr>
          <w:p w14:paraId="7A299E9A">
            <w:pPr>
              <w:spacing w:line="284" w:lineRule="auto"/>
              <w:rPr>
                <w:rFonts w:ascii="Arial"/>
                <w:sz w:val="21"/>
              </w:rPr>
            </w:pPr>
          </w:p>
          <w:p w14:paraId="6C9CEBE3">
            <w:pPr>
              <w:spacing w:line="284" w:lineRule="auto"/>
              <w:rPr>
                <w:rFonts w:ascii="Arial"/>
                <w:sz w:val="21"/>
              </w:rPr>
            </w:pPr>
          </w:p>
          <w:p w14:paraId="7696561B">
            <w:pPr>
              <w:spacing w:before="57"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45.</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2"/>
                <w:sz w:val="20"/>
                <w:szCs w:val="20"/>
              </w:rPr>
              <w:t>1</w:t>
            </w:r>
          </w:p>
        </w:tc>
        <w:tc>
          <w:tcPr>
            <w:tcW w:w="771" w:type="dxa"/>
            <w:vAlign w:val="top"/>
          </w:tcPr>
          <w:p w14:paraId="6330363B">
            <w:pPr>
              <w:spacing w:line="284" w:lineRule="auto"/>
              <w:rPr>
                <w:rFonts w:ascii="Arial"/>
                <w:sz w:val="21"/>
              </w:rPr>
            </w:pPr>
          </w:p>
          <w:p w14:paraId="2A52A712">
            <w:pPr>
              <w:spacing w:line="284" w:lineRule="auto"/>
              <w:rPr>
                <w:rFonts w:ascii="Arial"/>
                <w:sz w:val="21"/>
              </w:rPr>
            </w:pPr>
          </w:p>
          <w:p w14:paraId="6746A27F">
            <w:pPr>
              <w:spacing w:before="57" w:line="195" w:lineRule="auto"/>
              <w:ind w:left="2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40.7</w:t>
            </w:r>
          </w:p>
        </w:tc>
        <w:tc>
          <w:tcPr>
            <w:tcW w:w="144" w:type="dxa"/>
            <w:vMerge w:val="continue"/>
            <w:tcBorders>
              <w:top w:val="nil"/>
              <w:bottom w:val="nil"/>
              <w:right w:val="single" w:color="000000" w:sz="6" w:space="0"/>
            </w:tcBorders>
            <w:vAlign w:val="top"/>
          </w:tcPr>
          <w:p w14:paraId="04247206">
            <w:pPr>
              <w:rPr>
                <w:rFonts w:ascii="Arial"/>
                <w:sz w:val="21"/>
              </w:rPr>
            </w:pPr>
          </w:p>
        </w:tc>
      </w:tr>
      <w:tr w14:paraId="53125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478" w:type="dxa"/>
            <w:vMerge w:val="continue"/>
            <w:tcBorders>
              <w:top w:val="nil"/>
              <w:left w:val="single" w:color="000000" w:sz="6" w:space="0"/>
              <w:bottom w:val="nil"/>
            </w:tcBorders>
            <w:vAlign w:val="top"/>
          </w:tcPr>
          <w:p w14:paraId="1EA230D2">
            <w:pPr>
              <w:rPr>
                <w:rFonts w:ascii="Arial"/>
                <w:sz w:val="21"/>
              </w:rPr>
            </w:pPr>
          </w:p>
        </w:tc>
        <w:tc>
          <w:tcPr>
            <w:tcW w:w="135" w:type="dxa"/>
            <w:tcBorders>
              <w:top w:val="nil"/>
              <w:bottom w:val="nil"/>
            </w:tcBorders>
            <w:vAlign w:val="top"/>
          </w:tcPr>
          <w:p w14:paraId="6996516A">
            <w:pPr>
              <w:rPr>
                <w:rFonts w:ascii="Arial"/>
                <w:sz w:val="21"/>
              </w:rPr>
            </w:pPr>
          </w:p>
        </w:tc>
        <w:tc>
          <w:tcPr>
            <w:tcW w:w="515" w:type="dxa"/>
            <w:vMerge w:val="continue"/>
            <w:tcBorders>
              <w:top w:val="nil"/>
              <w:bottom w:val="nil"/>
            </w:tcBorders>
            <w:vAlign w:val="top"/>
          </w:tcPr>
          <w:p w14:paraId="081AA4E7">
            <w:pPr>
              <w:rPr>
                <w:rFonts w:ascii="Arial"/>
                <w:sz w:val="21"/>
              </w:rPr>
            </w:pPr>
          </w:p>
        </w:tc>
        <w:tc>
          <w:tcPr>
            <w:tcW w:w="923" w:type="dxa"/>
            <w:vAlign w:val="top"/>
          </w:tcPr>
          <w:p w14:paraId="6027902F">
            <w:pPr>
              <w:spacing w:line="243" w:lineRule="auto"/>
              <w:rPr>
                <w:rFonts w:ascii="Arial"/>
                <w:sz w:val="21"/>
              </w:rPr>
            </w:pPr>
          </w:p>
          <w:p w14:paraId="09067B2E">
            <w:pPr>
              <w:pStyle w:val="6"/>
              <w:spacing w:before="65" w:line="225" w:lineRule="auto"/>
              <w:ind w:left="143"/>
            </w:pPr>
            <w:r>
              <w:rPr>
                <w:spacing w:val="7"/>
              </w:rPr>
              <w:t>⑧菜地</w:t>
            </w:r>
          </w:p>
          <w:p w14:paraId="5A38CB99">
            <w:pPr>
              <w:pStyle w:val="6"/>
              <w:spacing w:before="28" w:line="228" w:lineRule="auto"/>
              <w:ind w:left="145"/>
            </w:pPr>
            <w:r>
              <w:rPr>
                <w:spacing w:val="6"/>
              </w:rPr>
              <w:t>看护用</w:t>
            </w:r>
          </w:p>
          <w:p w14:paraId="104082CC">
            <w:pPr>
              <w:pStyle w:val="6"/>
              <w:spacing w:before="24" w:line="228" w:lineRule="auto"/>
              <w:ind w:left="357"/>
            </w:pPr>
            <w:r>
              <w:t>房</w:t>
            </w:r>
          </w:p>
        </w:tc>
        <w:tc>
          <w:tcPr>
            <w:tcW w:w="1898" w:type="dxa"/>
            <w:vAlign w:val="top"/>
          </w:tcPr>
          <w:p w14:paraId="2190A3FF">
            <w:pPr>
              <w:spacing w:line="242" w:lineRule="auto"/>
              <w:rPr>
                <w:rFonts w:ascii="Arial"/>
                <w:sz w:val="21"/>
              </w:rPr>
            </w:pPr>
          </w:p>
          <w:p w14:paraId="5C2F4564">
            <w:pPr>
              <w:pStyle w:val="6"/>
              <w:spacing w:before="65" w:line="228" w:lineRule="auto"/>
              <w:ind w:left="110"/>
            </w:pPr>
            <w:r>
              <w:rPr>
                <w:spacing w:val="8"/>
              </w:rPr>
              <w:t>双回线路（单边挂</w:t>
            </w:r>
          </w:p>
          <w:p w14:paraId="0993C94C">
            <w:pPr>
              <w:pStyle w:val="6"/>
              <w:spacing w:before="26" w:line="228" w:lineRule="auto"/>
              <w:ind w:left="113"/>
              <w:rPr>
                <w:rFonts w:ascii="Times New Roman" w:hAnsi="Times New Roman" w:eastAsia="Times New Roman" w:cs="Times New Roman"/>
              </w:rPr>
            </w:pPr>
            <w:r>
              <w:rPr>
                <w:spacing w:val="7"/>
              </w:rPr>
              <w:t>线）北侧，</w:t>
            </w:r>
            <w:r>
              <w:rPr>
                <w:rFonts w:ascii="Times New Roman" w:hAnsi="Times New Roman" w:eastAsia="Times New Roman" w:cs="Times New Roman"/>
              </w:rPr>
              <w:t>AZ</w:t>
            </w:r>
            <w:r>
              <w:rPr>
                <w:rFonts w:ascii="Times New Roman" w:hAnsi="Times New Roman" w:eastAsia="Times New Roman" w:cs="Times New Roman"/>
                <w:spacing w:val="7"/>
              </w:rPr>
              <w:t>14G</w:t>
            </w:r>
          </w:p>
          <w:p w14:paraId="4A821FF2">
            <w:pPr>
              <w:pStyle w:val="6"/>
              <w:spacing w:before="24" w:line="228" w:lineRule="auto"/>
              <w:ind w:left="266"/>
              <w:rPr>
                <w:rFonts w:ascii="Times New Roman" w:hAnsi="Times New Roman" w:eastAsia="Times New Roman" w:cs="Times New Roman"/>
              </w:rPr>
            </w:pPr>
            <w:r>
              <w:rPr>
                <w:spacing w:val="3"/>
              </w:rPr>
              <w:t>塔基东侧</w:t>
            </w:r>
            <w:r>
              <w:rPr>
                <w:spacing w:val="-20"/>
              </w:rPr>
              <w:t xml:space="preserve"> </w:t>
            </w:r>
            <w:r>
              <w:rPr>
                <w:rFonts w:ascii="Times New Roman" w:hAnsi="Times New Roman" w:eastAsia="Times New Roman" w:cs="Times New Roman"/>
                <w:spacing w:val="3"/>
              </w:rPr>
              <w:t>120m</w:t>
            </w:r>
          </w:p>
        </w:tc>
        <w:tc>
          <w:tcPr>
            <w:tcW w:w="1326" w:type="dxa"/>
            <w:vAlign w:val="top"/>
          </w:tcPr>
          <w:p w14:paraId="686CBFFD">
            <w:pPr>
              <w:pStyle w:val="6"/>
              <w:spacing w:before="189" w:line="228" w:lineRule="auto"/>
              <w:ind w:left="120"/>
            </w:pPr>
            <w:r>
              <w:t>位于</w:t>
            </w:r>
            <w:r>
              <w:rPr>
                <w:spacing w:val="-44"/>
              </w:rPr>
              <w:t xml:space="preserve"> </w:t>
            </w:r>
            <w:r>
              <w:rPr>
                <w:rFonts w:ascii="Times New Roman" w:hAnsi="Times New Roman" w:eastAsia="Times New Roman" w:cs="Times New Roman"/>
              </w:rPr>
              <w:t>A</w:t>
            </w:r>
            <w:r>
              <w:rPr>
                <w:rFonts w:ascii="Times New Roman" w:hAnsi="Times New Roman" w:eastAsia="Times New Roman" w:cs="Times New Roman"/>
                <w:spacing w:val="32"/>
                <w:w w:val="101"/>
              </w:rPr>
              <w:t xml:space="preserve"> </w:t>
            </w:r>
            <w:r>
              <w:t>回线</w:t>
            </w:r>
          </w:p>
          <w:p w14:paraId="07232816">
            <w:pPr>
              <w:pStyle w:val="6"/>
              <w:spacing w:before="26" w:line="228" w:lineRule="auto"/>
              <w:ind w:left="143"/>
            </w:pPr>
            <w:r>
              <w:rPr>
                <w:spacing w:val="8"/>
              </w:rPr>
              <w:t>边导线地面</w:t>
            </w:r>
          </w:p>
          <w:p w14:paraId="0B089BFB">
            <w:pPr>
              <w:pStyle w:val="6"/>
              <w:spacing w:before="23" w:line="228" w:lineRule="auto"/>
              <w:ind w:left="250"/>
            </w:pPr>
            <w:r>
              <w:rPr>
                <w:spacing w:val="7"/>
              </w:rPr>
              <w:t>投影北侧</w:t>
            </w:r>
          </w:p>
          <w:p w14:paraId="16F6D1C5">
            <w:pPr>
              <w:spacing w:before="48" w:line="195" w:lineRule="auto"/>
              <w:ind w:left="47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29m</w:t>
            </w:r>
          </w:p>
        </w:tc>
        <w:tc>
          <w:tcPr>
            <w:tcW w:w="2327" w:type="dxa"/>
            <w:vAlign w:val="top"/>
          </w:tcPr>
          <w:p w14:paraId="1C05C246">
            <w:pPr>
              <w:pStyle w:val="6"/>
              <w:spacing w:before="38" w:line="227" w:lineRule="auto"/>
              <w:ind w:left="82"/>
              <w:rPr>
                <w:rFonts w:ascii="Times New Roman" w:hAnsi="Times New Roman" w:eastAsia="Times New Roman" w:cs="Times New Roman"/>
              </w:rPr>
            </w:pPr>
            <w:r>
              <w:rPr>
                <w:rFonts w:ascii="Times New Roman" w:hAnsi="Times New Roman" w:eastAsia="Times New Roman" w:cs="Times New Roman"/>
                <w:spacing w:val="2"/>
              </w:rPr>
              <w:t>110</w:t>
            </w:r>
            <w:r>
              <w:rPr>
                <w:rFonts w:ascii="Times New Roman" w:hAnsi="Times New Roman" w:eastAsia="Times New Roman" w:cs="Times New Roman"/>
              </w:rPr>
              <w:t>kV</w:t>
            </w:r>
            <w:r>
              <w:rPr>
                <w:rFonts w:ascii="Times New Roman" w:hAnsi="Times New Roman" w:eastAsia="Times New Roman" w:cs="Times New Roman"/>
                <w:spacing w:val="29"/>
                <w:w w:val="101"/>
              </w:rPr>
              <w:t xml:space="preserve"> </w:t>
            </w:r>
            <w:r>
              <w:rPr>
                <w:spacing w:val="2"/>
              </w:rPr>
              <w:t>嵩杨牵线</w:t>
            </w:r>
            <w:r>
              <w:rPr>
                <w:spacing w:val="-35"/>
              </w:rPr>
              <w:t xml:space="preserve"> </w:t>
            </w:r>
            <w:r>
              <w:rPr>
                <w:rFonts w:ascii="Times New Roman" w:hAnsi="Times New Roman" w:eastAsia="Times New Roman" w:cs="Times New Roman"/>
                <w:spacing w:val="2"/>
              </w:rPr>
              <w:t>54#-55#</w:t>
            </w:r>
          </w:p>
          <w:p w14:paraId="0C3D7156">
            <w:pPr>
              <w:pStyle w:val="6"/>
              <w:spacing w:before="27" w:line="227" w:lineRule="auto"/>
              <w:ind w:left="350"/>
            </w:pPr>
            <w:r>
              <w:rPr>
                <w:spacing w:val="3"/>
              </w:rPr>
              <w:t>和</w:t>
            </w:r>
            <w:r>
              <w:rPr>
                <w:spacing w:val="-19"/>
              </w:rPr>
              <w:t xml:space="preserve"> </w:t>
            </w:r>
            <w:r>
              <w:rPr>
                <w:rFonts w:ascii="Times New Roman" w:hAnsi="Times New Roman" w:eastAsia="Times New Roman" w:cs="Times New Roman"/>
                <w:spacing w:val="3"/>
              </w:rPr>
              <w:t>110</w:t>
            </w:r>
            <w:r>
              <w:rPr>
                <w:rFonts w:ascii="Times New Roman" w:hAnsi="Times New Roman" w:eastAsia="Times New Roman" w:cs="Times New Roman"/>
              </w:rPr>
              <w:t>kV</w:t>
            </w:r>
            <w:r>
              <w:rPr>
                <w:rFonts w:ascii="Times New Roman" w:hAnsi="Times New Roman" w:eastAsia="Times New Roman" w:cs="Times New Roman"/>
                <w:spacing w:val="3"/>
              </w:rPr>
              <w:t xml:space="preserve"> </w:t>
            </w:r>
            <w:r>
              <w:rPr>
                <w:spacing w:val="3"/>
              </w:rPr>
              <w:t>杨牵</w:t>
            </w:r>
            <w:r>
              <w:rPr>
                <w:rFonts w:ascii="Times New Roman" w:hAnsi="Times New Roman" w:eastAsia="Times New Roman" w:cs="Times New Roman"/>
                <w:spacing w:val="3"/>
              </w:rPr>
              <w:t>Ⅱ</w:t>
            </w:r>
            <w:r>
              <w:rPr>
                <w:spacing w:val="3"/>
              </w:rPr>
              <w:t>回</w:t>
            </w:r>
          </w:p>
          <w:p w14:paraId="187F11AC">
            <w:pPr>
              <w:pStyle w:val="6"/>
              <w:spacing w:before="25" w:line="230" w:lineRule="auto"/>
              <w:ind w:left="85"/>
            </w:pPr>
            <w:r>
              <w:rPr>
                <w:rFonts w:ascii="Times New Roman" w:hAnsi="Times New Roman" w:eastAsia="Times New Roman" w:cs="Times New Roman"/>
                <w:spacing w:val="6"/>
              </w:rPr>
              <w:t>004#-003#</w:t>
            </w:r>
            <w:r>
              <w:rPr>
                <w:spacing w:val="6"/>
              </w:rPr>
              <w:t>塔间（同塔双</w:t>
            </w:r>
          </w:p>
          <w:p w14:paraId="776A67F0">
            <w:pPr>
              <w:pStyle w:val="6"/>
              <w:spacing w:before="24" w:line="228" w:lineRule="auto"/>
              <w:ind w:left="51"/>
            </w:pPr>
            <w:r>
              <w:rPr>
                <w:spacing w:val="4"/>
              </w:rPr>
              <w:t>回）线路噪声断面边导线</w:t>
            </w:r>
          </w:p>
          <w:p w14:paraId="51B368CE">
            <w:pPr>
              <w:pStyle w:val="6"/>
              <w:spacing w:before="24" w:line="208" w:lineRule="auto"/>
              <w:ind w:left="857"/>
              <w:rPr>
                <w:rFonts w:ascii="Times New Roman" w:hAnsi="Times New Roman" w:eastAsia="Times New Roman" w:cs="Times New Roman"/>
              </w:rPr>
            </w:pPr>
            <w:r>
              <w:rPr>
                <w:spacing w:val="2"/>
              </w:rPr>
              <w:t>外</w:t>
            </w:r>
            <w:r>
              <w:rPr>
                <w:spacing w:val="-42"/>
              </w:rPr>
              <w:t xml:space="preserve"> </w:t>
            </w:r>
            <w:r>
              <w:rPr>
                <w:rFonts w:ascii="Times New Roman" w:hAnsi="Times New Roman" w:eastAsia="Times New Roman" w:cs="Times New Roman"/>
                <w:spacing w:val="2"/>
              </w:rPr>
              <w:t>25m</w:t>
            </w:r>
          </w:p>
        </w:tc>
        <w:tc>
          <w:tcPr>
            <w:tcW w:w="790" w:type="dxa"/>
            <w:vAlign w:val="top"/>
          </w:tcPr>
          <w:p w14:paraId="0120C418">
            <w:pPr>
              <w:spacing w:line="279" w:lineRule="auto"/>
              <w:rPr>
                <w:rFonts w:ascii="Arial"/>
                <w:sz w:val="21"/>
              </w:rPr>
            </w:pPr>
          </w:p>
          <w:p w14:paraId="5F0CCF46">
            <w:pPr>
              <w:spacing w:line="279" w:lineRule="auto"/>
              <w:rPr>
                <w:rFonts w:ascii="Arial"/>
                <w:sz w:val="21"/>
              </w:rPr>
            </w:pPr>
          </w:p>
          <w:p w14:paraId="1705D9B3">
            <w:pPr>
              <w:spacing w:before="57"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45.6</w:t>
            </w:r>
          </w:p>
        </w:tc>
        <w:tc>
          <w:tcPr>
            <w:tcW w:w="771" w:type="dxa"/>
            <w:vAlign w:val="top"/>
          </w:tcPr>
          <w:p w14:paraId="2BCF55F3">
            <w:pPr>
              <w:spacing w:line="279" w:lineRule="auto"/>
              <w:rPr>
                <w:rFonts w:ascii="Arial"/>
                <w:sz w:val="21"/>
              </w:rPr>
            </w:pPr>
          </w:p>
          <w:p w14:paraId="0CDB7DB1">
            <w:pPr>
              <w:spacing w:line="279" w:lineRule="auto"/>
              <w:rPr>
                <w:rFonts w:ascii="Arial"/>
                <w:sz w:val="21"/>
              </w:rPr>
            </w:pPr>
          </w:p>
          <w:p w14:paraId="1838E888">
            <w:pPr>
              <w:spacing w:before="57" w:line="195" w:lineRule="auto"/>
              <w:ind w:left="2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40.9</w:t>
            </w:r>
          </w:p>
        </w:tc>
        <w:tc>
          <w:tcPr>
            <w:tcW w:w="144" w:type="dxa"/>
            <w:vMerge w:val="continue"/>
            <w:tcBorders>
              <w:top w:val="nil"/>
              <w:bottom w:val="nil"/>
              <w:right w:val="single" w:color="000000" w:sz="6" w:space="0"/>
            </w:tcBorders>
            <w:vAlign w:val="top"/>
          </w:tcPr>
          <w:p w14:paraId="20413CBC">
            <w:pPr>
              <w:rPr>
                <w:rFonts w:ascii="Arial"/>
                <w:sz w:val="21"/>
              </w:rPr>
            </w:pPr>
          </w:p>
        </w:tc>
      </w:tr>
      <w:tr w14:paraId="3D2D2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478" w:type="dxa"/>
            <w:vMerge w:val="continue"/>
            <w:tcBorders>
              <w:top w:val="nil"/>
              <w:left w:val="single" w:color="000000" w:sz="6" w:space="0"/>
              <w:bottom w:val="nil"/>
            </w:tcBorders>
            <w:vAlign w:val="top"/>
          </w:tcPr>
          <w:p w14:paraId="24554AEA">
            <w:pPr>
              <w:rPr>
                <w:rFonts w:ascii="Arial"/>
                <w:sz w:val="21"/>
              </w:rPr>
            </w:pPr>
          </w:p>
        </w:tc>
        <w:tc>
          <w:tcPr>
            <w:tcW w:w="135" w:type="dxa"/>
            <w:tcBorders>
              <w:top w:val="nil"/>
              <w:bottom w:val="nil"/>
            </w:tcBorders>
            <w:vAlign w:val="top"/>
          </w:tcPr>
          <w:p w14:paraId="6CD83BD1">
            <w:pPr>
              <w:rPr>
                <w:rFonts w:ascii="Arial"/>
                <w:sz w:val="21"/>
              </w:rPr>
            </w:pPr>
          </w:p>
        </w:tc>
        <w:tc>
          <w:tcPr>
            <w:tcW w:w="515" w:type="dxa"/>
            <w:vMerge w:val="continue"/>
            <w:tcBorders>
              <w:top w:val="nil"/>
              <w:bottom w:val="nil"/>
            </w:tcBorders>
            <w:vAlign w:val="top"/>
          </w:tcPr>
          <w:p w14:paraId="02DAF65C">
            <w:pPr>
              <w:rPr>
                <w:rFonts w:ascii="Arial"/>
                <w:sz w:val="21"/>
              </w:rPr>
            </w:pPr>
          </w:p>
        </w:tc>
        <w:tc>
          <w:tcPr>
            <w:tcW w:w="923" w:type="dxa"/>
            <w:vAlign w:val="top"/>
          </w:tcPr>
          <w:p w14:paraId="2AD4D3D8">
            <w:pPr>
              <w:spacing w:line="248" w:lineRule="auto"/>
              <w:rPr>
                <w:rFonts w:ascii="Arial"/>
                <w:sz w:val="21"/>
              </w:rPr>
            </w:pPr>
          </w:p>
          <w:p w14:paraId="59FC3DFC">
            <w:pPr>
              <w:pStyle w:val="6"/>
              <w:spacing w:before="65" w:line="225" w:lineRule="auto"/>
              <w:ind w:left="143"/>
            </w:pPr>
            <w:r>
              <w:rPr>
                <w:spacing w:val="7"/>
              </w:rPr>
              <w:t>⑨菜地</w:t>
            </w:r>
          </w:p>
          <w:p w14:paraId="2F92732B">
            <w:pPr>
              <w:pStyle w:val="6"/>
              <w:spacing w:before="26" w:line="228" w:lineRule="auto"/>
              <w:ind w:left="145"/>
            </w:pPr>
            <w:r>
              <w:rPr>
                <w:spacing w:val="6"/>
              </w:rPr>
              <w:t>看护用</w:t>
            </w:r>
          </w:p>
          <w:p w14:paraId="475A89A8">
            <w:pPr>
              <w:pStyle w:val="6"/>
              <w:spacing w:before="27" w:line="228" w:lineRule="auto"/>
              <w:ind w:left="357"/>
            </w:pPr>
            <w:r>
              <w:t>房</w:t>
            </w:r>
          </w:p>
        </w:tc>
        <w:tc>
          <w:tcPr>
            <w:tcW w:w="1898" w:type="dxa"/>
            <w:vAlign w:val="top"/>
          </w:tcPr>
          <w:p w14:paraId="26AAAF1A">
            <w:pPr>
              <w:spacing w:line="247" w:lineRule="auto"/>
              <w:rPr>
                <w:rFonts w:ascii="Arial"/>
                <w:sz w:val="21"/>
              </w:rPr>
            </w:pPr>
          </w:p>
          <w:p w14:paraId="43380D34">
            <w:pPr>
              <w:pStyle w:val="6"/>
              <w:spacing w:before="65" w:line="228" w:lineRule="auto"/>
              <w:ind w:left="110"/>
            </w:pPr>
            <w:r>
              <w:rPr>
                <w:spacing w:val="8"/>
              </w:rPr>
              <w:t>双回线路（单边挂</w:t>
            </w:r>
          </w:p>
          <w:p w14:paraId="7CA65288">
            <w:pPr>
              <w:pStyle w:val="6"/>
              <w:spacing w:before="24" w:line="228" w:lineRule="auto"/>
              <w:ind w:left="113"/>
              <w:rPr>
                <w:rFonts w:ascii="Times New Roman" w:hAnsi="Times New Roman" w:eastAsia="Times New Roman" w:cs="Times New Roman"/>
              </w:rPr>
            </w:pPr>
            <w:r>
              <w:rPr>
                <w:spacing w:val="7"/>
              </w:rPr>
              <w:t>线）南侧，</w:t>
            </w:r>
            <w:r>
              <w:rPr>
                <w:rFonts w:ascii="Times New Roman" w:hAnsi="Times New Roman" w:eastAsia="Times New Roman" w:cs="Times New Roman"/>
              </w:rPr>
              <w:t>AZ</w:t>
            </w:r>
            <w:r>
              <w:rPr>
                <w:rFonts w:ascii="Times New Roman" w:hAnsi="Times New Roman" w:eastAsia="Times New Roman" w:cs="Times New Roman"/>
                <w:spacing w:val="7"/>
              </w:rPr>
              <w:t>14G</w:t>
            </w:r>
          </w:p>
          <w:p w14:paraId="20229B49">
            <w:pPr>
              <w:pStyle w:val="6"/>
              <w:spacing w:before="26" w:line="228" w:lineRule="auto"/>
              <w:ind w:left="319"/>
              <w:rPr>
                <w:rFonts w:ascii="Times New Roman" w:hAnsi="Times New Roman" w:eastAsia="Times New Roman" w:cs="Times New Roman"/>
              </w:rPr>
            </w:pPr>
            <w:r>
              <w:rPr>
                <w:spacing w:val="6"/>
              </w:rPr>
              <w:t>塔基西侧</w:t>
            </w:r>
            <w:r>
              <w:rPr>
                <w:spacing w:val="-43"/>
              </w:rPr>
              <w:t xml:space="preserve"> </w:t>
            </w:r>
            <w:r>
              <w:rPr>
                <w:rFonts w:ascii="Times New Roman" w:hAnsi="Times New Roman" w:eastAsia="Times New Roman" w:cs="Times New Roman"/>
                <w:spacing w:val="6"/>
              </w:rPr>
              <w:t>25m</w:t>
            </w:r>
          </w:p>
        </w:tc>
        <w:tc>
          <w:tcPr>
            <w:tcW w:w="1326" w:type="dxa"/>
            <w:vAlign w:val="top"/>
          </w:tcPr>
          <w:p w14:paraId="2A736E54">
            <w:pPr>
              <w:pStyle w:val="6"/>
              <w:spacing w:before="194" w:line="228" w:lineRule="auto"/>
              <w:ind w:left="120"/>
            </w:pPr>
            <w:r>
              <w:t>位于</w:t>
            </w:r>
            <w:r>
              <w:rPr>
                <w:spacing w:val="-44"/>
              </w:rPr>
              <w:t xml:space="preserve"> </w:t>
            </w:r>
            <w:r>
              <w:rPr>
                <w:rFonts w:ascii="Times New Roman" w:hAnsi="Times New Roman" w:eastAsia="Times New Roman" w:cs="Times New Roman"/>
              </w:rPr>
              <w:t>A</w:t>
            </w:r>
            <w:r>
              <w:rPr>
                <w:rFonts w:ascii="Times New Roman" w:hAnsi="Times New Roman" w:eastAsia="Times New Roman" w:cs="Times New Roman"/>
                <w:spacing w:val="32"/>
                <w:w w:val="101"/>
              </w:rPr>
              <w:t xml:space="preserve"> </w:t>
            </w:r>
            <w:r>
              <w:t>回线</w:t>
            </w:r>
          </w:p>
          <w:p w14:paraId="007C80F7">
            <w:pPr>
              <w:pStyle w:val="6"/>
              <w:spacing w:before="24" w:line="228" w:lineRule="auto"/>
              <w:ind w:left="143"/>
            </w:pPr>
            <w:r>
              <w:rPr>
                <w:spacing w:val="8"/>
              </w:rPr>
              <w:t>边导线地面</w:t>
            </w:r>
          </w:p>
          <w:p w14:paraId="20AA3B34">
            <w:pPr>
              <w:pStyle w:val="6"/>
              <w:spacing w:before="25" w:line="228" w:lineRule="auto"/>
              <w:ind w:left="250"/>
            </w:pPr>
            <w:r>
              <w:rPr>
                <w:spacing w:val="7"/>
              </w:rPr>
              <w:t>投影南侧</w:t>
            </w:r>
          </w:p>
          <w:p w14:paraId="255021F3">
            <w:pPr>
              <w:spacing w:before="46" w:line="195" w:lineRule="auto"/>
              <w:ind w:left="50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11m</w:t>
            </w:r>
          </w:p>
        </w:tc>
        <w:tc>
          <w:tcPr>
            <w:tcW w:w="2327" w:type="dxa"/>
            <w:vAlign w:val="top"/>
          </w:tcPr>
          <w:p w14:paraId="688340AD">
            <w:pPr>
              <w:pStyle w:val="6"/>
              <w:spacing w:before="42" w:line="227" w:lineRule="auto"/>
              <w:ind w:left="82"/>
              <w:rPr>
                <w:rFonts w:ascii="Times New Roman" w:hAnsi="Times New Roman" w:eastAsia="Times New Roman" w:cs="Times New Roman"/>
              </w:rPr>
            </w:pPr>
            <w:r>
              <w:rPr>
                <w:rFonts w:ascii="Times New Roman" w:hAnsi="Times New Roman" w:eastAsia="Times New Roman" w:cs="Times New Roman"/>
                <w:spacing w:val="2"/>
              </w:rPr>
              <w:t>110</w:t>
            </w:r>
            <w:r>
              <w:rPr>
                <w:rFonts w:ascii="Times New Roman" w:hAnsi="Times New Roman" w:eastAsia="Times New Roman" w:cs="Times New Roman"/>
              </w:rPr>
              <w:t>kV</w:t>
            </w:r>
            <w:r>
              <w:rPr>
                <w:rFonts w:ascii="Times New Roman" w:hAnsi="Times New Roman" w:eastAsia="Times New Roman" w:cs="Times New Roman"/>
                <w:spacing w:val="29"/>
                <w:w w:val="101"/>
              </w:rPr>
              <w:t xml:space="preserve"> </w:t>
            </w:r>
            <w:r>
              <w:rPr>
                <w:spacing w:val="2"/>
              </w:rPr>
              <w:t>嵩杨牵线</w:t>
            </w:r>
            <w:r>
              <w:rPr>
                <w:spacing w:val="-35"/>
              </w:rPr>
              <w:t xml:space="preserve"> </w:t>
            </w:r>
            <w:r>
              <w:rPr>
                <w:rFonts w:ascii="Times New Roman" w:hAnsi="Times New Roman" w:eastAsia="Times New Roman" w:cs="Times New Roman"/>
                <w:spacing w:val="2"/>
              </w:rPr>
              <w:t>54#-55#</w:t>
            </w:r>
          </w:p>
          <w:p w14:paraId="6D5E96B6">
            <w:pPr>
              <w:pStyle w:val="6"/>
              <w:spacing w:before="25" w:line="227" w:lineRule="auto"/>
              <w:ind w:left="350"/>
            </w:pPr>
            <w:r>
              <w:rPr>
                <w:spacing w:val="3"/>
              </w:rPr>
              <w:t>和</w:t>
            </w:r>
            <w:r>
              <w:rPr>
                <w:spacing w:val="-19"/>
              </w:rPr>
              <w:t xml:space="preserve"> </w:t>
            </w:r>
            <w:r>
              <w:rPr>
                <w:rFonts w:ascii="Times New Roman" w:hAnsi="Times New Roman" w:eastAsia="Times New Roman" w:cs="Times New Roman"/>
                <w:spacing w:val="3"/>
              </w:rPr>
              <w:t>110</w:t>
            </w:r>
            <w:r>
              <w:rPr>
                <w:rFonts w:ascii="Times New Roman" w:hAnsi="Times New Roman" w:eastAsia="Times New Roman" w:cs="Times New Roman"/>
              </w:rPr>
              <w:t>kV</w:t>
            </w:r>
            <w:r>
              <w:rPr>
                <w:rFonts w:ascii="Times New Roman" w:hAnsi="Times New Roman" w:eastAsia="Times New Roman" w:cs="Times New Roman"/>
                <w:spacing w:val="3"/>
              </w:rPr>
              <w:t xml:space="preserve"> </w:t>
            </w:r>
            <w:r>
              <w:rPr>
                <w:spacing w:val="3"/>
              </w:rPr>
              <w:t>杨牵</w:t>
            </w:r>
            <w:r>
              <w:rPr>
                <w:rFonts w:ascii="Times New Roman" w:hAnsi="Times New Roman" w:eastAsia="Times New Roman" w:cs="Times New Roman"/>
                <w:spacing w:val="3"/>
              </w:rPr>
              <w:t>Ⅱ</w:t>
            </w:r>
            <w:r>
              <w:rPr>
                <w:spacing w:val="3"/>
              </w:rPr>
              <w:t>回</w:t>
            </w:r>
          </w:p>
          <w:p w14:paraId="439348AA">
            <w:pPr>
              <w:pStyle w:val="6"/>
              <w:spacing w:before="27" w:line="230" w:lineRule="auto"/>
              <w:ind w:left="85"/>
            </w:pPr>
            <w:r>
              <w:rPr>
                <w:rFonts w:ascii="Times New Roman" w:hAnsi="Times New Roman" w:eastAsia="Times New Roman" w:cs="Times New Roman"/>
                <w:spacing w:val="6"/>
              </w:rPr>
              <w:t>004#-003#</w:t>
            </w:r>
            <w:r>
              <w:rPr>
                <w:spacing w:val="6"/>
              </w:rPr>
              <w:t>塔间（同塔双</w:t>
            </w:r>
          </w:p>
          <w:p w14:paraId="4676F6D3">
            <w:pPr>
              <w:pStyle w:val="6"/>
              <w:spacing w:before="24" w:line="228" w:lineRule="auto"/>
              <w:ind w:left="51"/>
            </w:pPr>
            <w:r>
              <w:rPr>
                <w:spacing w:val="4"/>
              </w:rPr>
              <w:t>回）线路噪声断面边导线</w:t>
            </w:r>
          </w:p>
          <w:p w14:paraId="4B35BA49">
            <w:pPr>
              <w:pStyle w:val="6"/>
              <w:spacing w:before="25" w:line="203" w:lineRule="auto"/>
              <w:ind w:left="857"/>
              <w:rPr>
                <w:rFonts w:ascii="Times New Roman" w:hAnsi="Times New Roman" w:eastAsia="Times New Roman" w:cs="Times New Roman"/>
              </w:rPr>
            </w:pPr>
            <w:r>
              <w:rPr>
                <w:spacing w:val="-3"/>
              </w:rPr>
              <w:t>外</w:t>
            </w:r>
            <w:r>
              <w:rPr>
                <w:spacing w:val="-22"/>
              </w:rPr>
              <w:t xml:space="preserve"> </w:t>
            </w:r>
            <w:r>
              <w:rPr>
                <w:rFonts w:ascii="Times New Roman" w:hAnsi="Times New Roman" w:eastAsia="Times New Roman" w:cs="Times New Roman"/>
                <w:spacing w:val="-3"/>
              </w:rPr>
              <w:t>10m</w:t>
            </w:r>
          </w:p>
        </w:tc>
        <w:tc>
          <w:tcPr>
            <w:tcW w:w="790" w:type="dxa"/>
            <w:vAlign w:val="top"/>
          </w:tcPr>
          <w:p w14:paraId="768F7001">
            <w:pPr>
              <w:spacing w:line="281" w:lineRule="auto"/>
              <w:rPr>
                <w:rFonts w:ascii="Arial"/>
                <w:sz w:val="21"/>
              </w:rPr>
            </w:pPr>
          </w:p>
          <w:p w14:paraId="38C60ED5">
            <w:pPr>
              <w:spacing w:line="281" w:lineRule="auto"/>
              <w:rPr>
                <w:rFonts w:ascii="Arial"/>
                <w:sz w:val="21"/>
              </w:rPr>
            </w:pPr>
          </w:p>
          <w:p w14:paraId="1E6023A4">
            <w:pPr>
              <w:spacing w:before="58"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45.</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2"/>
                <w:sz w:val="20"/>
                <w:szCs w:val="20"/>
              </w:rPr>
              <w:t>1</w:t>
            </w:r>
          </w:p>
        </w:tc>
        <w:tc>
          <w:tcPr>
            <w:tcW w:w="771" w:type="dxa"/>
            <w:vAlign w:val="top"/>
          </w:tcPr>
          <w:p w14:paraId="0BDC2B07">
            <w:pPr>
              <w:spacing w:line="281" w:lineRule="auto"/>
              <w:rPr>
                <w:rFonts w:ascii="Arial"/>
                <w:sz w:val="21"/>
              </w:rPr>
            </w:pPr>
          </w:p>
          <w:p w14:paraId="5425FCF6">
            <w:pPr>
              <w:spacing w:line="281" w:lineRule="auto"/>
              <w:rPr>
                <w:rFonts w:ascii="Arial"/>
                <w:sz w:val="21"/>
              </w:rPr>
            </w:pPr>
          </w:p>
          <w:p w14:paraId="584D45BD">
            <w:pPr>
              <w:spacing w:before="58" w:line="195" w:lineRule="auto"/>
              <w:ind w:left="2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40.7</w:t>
            </w:r>
          </w:p>
        </w:tc>
        <w:tc>
          <w:tcPr>
            <w:tcW w:w="144" w:type="dxa"/>
            <w:vMerge w:val="continue"/>
            <w:tcBorders>
              <w:top w:val="nil"/>
              <w:bottom w:val="nil"/>
              <w:right w:val="single" w:color="000000" w:sz="6" w:space="0"/>
            </w:tcBorders>
            <w:vAlign w:val="top"/>
          </w:tcPr>
          <w:p w14:paraId="0FE3614F">
            <w:pPr>
              <w:rPr>
                <w:rFonts w:ascii="Arial"/>
                <w:sz w:val="21"/>
              </w:rPr>
            </w:pPr>
          </w:p>
        </w:tc>
      </w:tr>
      <w:tr w14:paraId="645B3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4" w:hRule="atLeast"/>
        </w:trPr>
        <w:tc>
          <w:tcPr>
            <w:tcW w:w="478" w:type="dxa"/>
            <w:vMerge w:val="continue"/>
            <w:tcBorders>
              <w:top w:val="nil"/>
              <w:left w:val="single" w:color="000000" w:sz="6" w:space="0"/>
              <w:bottom w:val="nil"/>
            </w:tcBorders>
            <w:vAlign w:val="top"/>
          </w:tcPr>
          <w:p w14:paraId="62E1F199">
            <w:pPr>
              <w:rPr>
                <w:rFonts w:ascii="Arial"/>
                <w:sz w:val="21"/>
              </w:rPr>
            </w:pPr>
          </w:p>
        </w:tc>
        <w:tc>
          <w:tcPr>
            <w:tcW w:w="135" w:type="dxa"/>
            <w:tcBorders>
              <w:top w:val="nil"/>
              <w:bottom w:val="nil"/>
            </w:tcBorders>
            <w:vAlign w:val="top"/>
          </w:tcPr>
          <w:p w14:paraId="2105AF21">
            <w:pPr>
              <w:rPr>
                <w:rFonts w:ascii="Arial"/>
                <w:sz w:val="21"/>
              </w:rPr>
            </w:pPr>
          </w:p>
        </w:tc>
        <w:tc>
          <w:tcPr>
            <w:tcW w:w="515" w:type="dxa"/>
            <w:vMerge w:val="continue"/>
            <w:tcBorders>
              <w:top w:val="nil"/>
              <w:bottom w:val="nil"/>
            </w:tcBorders>
            <w:vAlign w:val="top"/>
          </w:tcPr>
          <w:p w14:paraId="7F97A7CD">
            <w:pPr>
              <w:rPr>
                <w:rFonts w:ascii="Arial"/>
                <w:sz w:val="21"/>
              </w:rPr>
            </w:pPr>
          </w:p>
        </w:tc>
        <w:tc>
          <w:tcPr>
            <w:tcW w:w="923" w:type="dxa"/>
            <w:vAlign w:val="top"/>
          </w:tcPr>
          <w:p w14:paraId="38E3155C">
            <w:pPr>
              <w:spacing w:line="253" w:lineRule="auto"/>
              <w:rPr>
                <w:rFonts w:ascii="Arial"/>
                <w:sz w:val="21"/>
              </w:rPr>
            </w:pPr>
          </w:p>
          <w:p w14:paraId="7AD78295">
            <w:pPr>
              <w:pStyle w:val="6"/>
              <w:spacing w:before="65" w:line="225" w:lineRule="auto"/>
              <w:ind w:left="143"/>
            </w:pPr>
            <w:r>
              <w:rPr>
                <w:spacing w:val="7"/>
              </w:rPr>
              <w:t>⑩新华</w:t>
            </w:r>
          </w:p>
          <w:p w14:paraId="1520E0B5">
            <w:pPr>
              <w:pStyle w:val="6"/>
              <w:spacing w:before="26" w:line="227" w:lineRule="auto"/>
              <w:ind w:left="146"/>
            </w:pPr>
            <w:r>
              <w:rPr>
                <w:spacing w:val="6"/>
              </w:rPr>
              <w:t>村居民</w:t>
            </w:r>
          </w:p>
          <w:p w14:paraId="23678419">
            <w:pPr>
              <w:pStyle w:val="6"/>
              <w:spacing w:before="25" w:line="232" w:lineRule="auto"/>
              <w:ind w:left="367"/>
            </w:pPr>
            <w:r>
              <w:t>点</w:t>
            </w:r>
          </w:p>
        </w:tc>
        <w:tc>
          <w:tcPr>
            <w:tcW w:w="1898" w:type="dxa"/>
            <w:vAlign w:val="top"/>
          </w:tcPr>
          <w:p w14:paraId="6674B7AD">
            <w:pPr>
              <w:spacing w:line="253" w:lineRule="auto"/>
              <w:rPr>
                <w:rFonts w:ascii="Arial"/>
                <w:sz w:val="21"/>
              </w:rPr>
            </w:pPr>
          </w:p>
          <w:p w14:paraId="4D7F5F35">
            <w:pPr>
              <w:pStyle w:val="6"/>
              <w:spacing w:before="65" w:line="251" w:lineRule="auto"/>
              <w:ind w:left="112" w:right="108" w:hanging="2"/>
              <w:jc w:val="both"/>
              <w:rPr>
                <w:rFonts w:ascii="Times New Roman" w:hAnsi="Times New Roman" w:eastAsia="Times New Roman" w:cs="Times New Roman"/>
              </w:rPr>
            </w:pPr>
            <w:r>
              <w:rPr>
                <w:spacing w:val="8"/>
              </w:rPr>
              <w:t>双回线路（单边挂</w:t>
            </w:r>
            <w:r>
              <w:rPr>
                <w:spacing w:val="-8"/>
              </w:rPr>
              <w:t>线）东侧，</w:t>
            </w:r>
            <w:r>
              <w:rPr>
                <w:rFonts w:ascii="Times New Roman" w:hAnsi="Times New Roman" w:eastAsia="Times New Roman" w:cs="Times New Roman"/>
                <w:spacing w:val="-8"/>
              </w:rPr>
              <w:t>AZ15GG</w:t>
            </w:r>
            <w:r>
              <w:rPr>
                <w:spacing w:val="9"/>
              </w:rPr>
              <w:t>塔基东南侧</w:t>
            </w:r>
            <w:r>
              <w:rPr>
                <w:spacing w:val="-18"/>
              </w:rPr>
              <w:t xml:space="preserve"> </w:t>
            </w:r>
            <w:r>
              <w:rPr>
                <w:rFonts w:ascii="Times New Roman" w:hAnsi="Times New Roman" w:eastAsia="Times New Roman" w:cs="Times New Roman"/>
                <w:spacing w:val="9"/>
              </w:rPr>
              <w:t>120m</w:t>
            </w:r>
          </w:p>
        </w:tc>
        <w:tc>
          <w:tcPr>
            <w:tcW w:w="1326" w:type="dxa"/>
            <w:vAlign w:val="top"/>
          </w:tcPr>
          <w:p w14:paraId="37BEFA04">
            <w:pPr>
              <w:pStyle w:val="6"/>
              <w:spacing w:before="199" w:line="228" w:lineRule="auto"/>
              <w:ind w:left="120"/>
            </w:pPr>
            <w:r>
              <w:t>位于</w:t>
            </w:r>
            <w:r>
              <w:rPr>
                <w:spacing w:val="-44"/>
              </w:rPr>
              <w:t xml:space="preserve"> </w:t>
            </w:r>
            <w:r>
              <w:rPr>
                <w:rFonts w:ascii="Times New Roman" w:hAnsi="Times New Roman" w:eastAsia="Times New Roman" w:cs="Times New Roman"/>
              </w:rPr>
              <w:t>A</w:t>
            </w:r>
            <w:r>
              <w:rPr>
                <w:rFonts w:ascii="Times New Roman" w:hAnsi="Times New Roman" w:eastAsia="Times New Roman" w:cs="Times New Roman"/>
                <w:spacing w:val="32"/>
                <w:w w:val="101"/>
              </w:rPr>
              <w:t xml:space="preserve"> </w:t>
            </w:r>
            <w:r>
              <w:t>回线</w:t>
            </w:r>
          </w:p>
          <w:p w14:paraId="3A4BFE8C">
            <w:pPr>
              <w:pStyle w:val="6"/>
              <w:spacing w:before="24" w:line="228" w:lineRule="auto"/>
              <w:ind w:left="143"/>
            </w:pPr>
            <w:r>
              <w:rPr>
                <w:spacing w:val="8"/>
              </w:rPr>
              <w:t>边导线地面</w:t>
            </w:r>
          </w:p>
          <w:p w14:paraId="31B45235">
            <w:pPr>
              <w:pStyle w:val="6"/>
              <w:spacing w:before="23" w:line="228" w:lineRule="auto"/>
              <w:ind w:left="250"/>
            </w:pPr>
            <w:r>
              <w:rPr>
                <w:spacing w:val="7"/>
              </w:rPr>
              <w:t>投影东侧</w:t>
            </w:r>
          </w:p>
          <w:p w14:paraId="522F00BD">
            <w:pPr>
              <w:spacing w:before="48" w:line="195" w:lineRule="auto"/>
              <w:ind w:left="47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29m</w:t>
            </w:r>
          </w:p>
        </w:tc>
        <w:tc>
          <w:tcPr>
            <w:tcW w:w="2327" w:type="dxa"/>
            <w:vAlign w:val="top"/>
          </w:tcPr>
          <w:p w14:paraId="12059D46">
            <w:pPr>
              <w:pStyle w:val="6"/>
              <w:spacing w:before="47" w:line="227" w:lineRule="auto"/>
              <w:ind w:left="82"/>
              <w:rPr>
                <w:rFonts w:ascii="Times New Roman" w:hAnsi="Times New Roman" w:eastAsia="Times New Roman" w:cs="Times New Roman"/>
              </w:rPr>
            </w:pPr>
            <w:r>
              <w:rPr>
                <w:rFonts w:ascii="Times New Roman" w:hAnsi="Times New Roman" w:eastAsia="Times New Roman" w:cs="Times New Roman"/>
                <w:spacing w:val="2"/>
              </w:rPr>
              <w:t>110</w:t>
            </w:r>
            <w:r>
              <w:rPr>
                <w:rFonts w:ascii="Times New Roman" w:hAnsi="Times New Roman" w:eastAsia="Times New Roman" w:cs="Times New Roman"/>
              </w:rPr>
              <w:t>kV</w:t>
            </w:r>
            <w:r>
              <w:rPr>
                <w:rFonts w:ascii="Times New Roman" w:hAnsi="Times New Roman" w:eastAsia="Times New Roman" w:cs="Times New Roman"/>
                <w:spacing w:val="29"/>
                <w:w w:val="101"/>
              </w:rPr>
              <w:t xml:space="preserve"> </w:t>
            </w:r>
            <w:r>
              <w:rPr>
                <w:spacing w:val="2"/>
              </w:rPr>
              <w:t>嵩杨牵线</w:t>
            </w:r>
            <w:r>
              <w:rPr>
                <w:spacing w:val="-35"/>
              </w:rPr>
              <w:t xml:space="preserve"> </w:t>
            </w:r>
            <w:r>
              <w:rPr>
                <w:rFonts w:ascii="Times New Roman" w:hAnsi="Times New Roman" w:eastAsia="Times New Roman" w:cs="Times New Roman"/>
                <w:spacing w:val="2"/>
              </w:rPr>
              <w:t>54#-55#</w:t>
            </w:r>
          </w:p>
          <w:p w14:paraId="1764CB32">
            <w:pPr>
              <w:pStyle w:val="6"/>
              <w:spacing w:before="25" w:line="227" w:lineRule="auto"/>
              <w:ind w:left="350"/>
            </w:pPr>
            <w:r>
              <w:rPr>
                <w:spacing w:val="3"/>
              </w:rPr>
              <w:t>和</w:t>
            </w:r>
            <w:r>
              <w:rPr>
                <w:spacing w:val="-19"/>
              </w:rPr>
              <w:t xml:space="preserve"> </w:t>
            </w:r>
            <w:r>
              <w:rPr>
                <w:rFonts w:ascii="Times New Roman" w:hAnsi="Times New Roman" w:eastAsia="Times New Roman" w:cs="Times New Roman"/>
                <w:spacing w:val="3"/>
              </w:rPr>
              <w:t>110</w:t>
            </w:r>
            <w:r>
              <w:rPr>
                <w:rFonts w:ascii="Times New Roman" w:hAnsi="Times New Roman" w:eastAsia="Times New Roman" w:cs="Times New Roman"/>
              </w:rPr>
              <w:t>kV</w:t>
            </w:r>
            <w:r>
              <w:rPr>
                <w:rFonts w:ascii="Times New Roman" w:hAnsi="Times New Roman" w:eastAsia="Times New Roman" w:cs="Times New Roman"/>
                <w:spacing w:val="3"/>
              </w:rPr>
              <w:t xml:space="preserve"> </w:t>
            </w:r>
            <w:r>
              <w:rPr>
                <w:spacing w:val="3"/>
              </w:rPr>
              <w:t>杨牵</w:t>
            </w:r>
            <w:r>
              <w:rPr>
                <w:rFonts w:ascii="Times New Roman" w:hAnsi="Times New Roman" w:eastAsia="Times New Roman" w:cs="Times New Roman"/>
                <w:spacing w:val="3"/>
              </w:rPr>
              <w:t>Ⅱ</w:t>
            </w:r>
            <w:r>
              <w:rPr>
                <w:spacing w:val="3"/>
              </w:rPr>
              <w:t>回</w:t>
            </w:r>
          </w:p>
          <w:p w14:paraId="4F34A436">
            <w:pPr>
              <w:pStyle w:val="6"/>
              <w:spacing w:before="25" w:line="230" w:lineRule="auto"/>
              <w:ind w:left="85"/>
            </w:pPr>
            <w:r>
              <w:rPr>
                <w:rFonts w:ascii="Times New Roman" w:hAnsi="Times New Roman" w:eastAsia="Times New Roman" w:cs="Times New Roman"/>
                <w:spacing w:val="6"/>
              </w:rPr>
              <w:t>004#-003#</w:t>
            </w:r>
            <w:r>
              <w:rPr>
                <w:spacing w:val="6"/>
              </w:rPr>
              <w:t>塔间（同塔双</w:t>
            </w:r>
          </w:p>
          <w:p w14:paraId="643D1487">
            <w:pPr>
              <w:pStyle w:val="6"/>
              <w:spacing w:before="24" w:line="228" w:lineRule="auto"/>
              <w:ind w:left="51"/>
            </w:pPr>
            <w:r>
              <w:rPr>
                <w:spacing w:val="4"/>
              </w:rPr>
              <w:t>回）线路噪声断面边导线</w:t>
            </w:r>
          </w:p>
          <w:p w14:paraId="6A53EFA1">
            <w:pPr>
              <w:pStyle w:val="6"/>
              <w:spacing w:before="26" w:line="200" w:lineRule="auto"/>
              <w:ind w:left="857"/>
              <w:rPr>
                <w:rFonts w:ascii="Times New Roman" w:hAnsi="Times New Roman" w:eastAsia="Times New Roman" w:cs="Times New Roman"/>
              </w:rPr>
            </w:pPr>
            <w:r>
              <w:rPr>
                <w:spacing w:val="2"/>
              </w:rPr>
              <w:t>外</w:t>
            </w:r>
            <w:r>
              <w:rPr>
                <w:spacing w:val="-42"/>
              </w:rPr>
              <w:t xml:space="preserve"> </w:t>
            </w:r>
            <w:r>
              <w:rPr>
                <w:rFonts w:ascii="Times New Roman" w:hAnsi="Times New Roman" w:eastAsia="Times New Roman" w:cs="Times New Roman"/>
                <w:spacing w:val="2"/>
              </w:rPr>
              <w:t>25m</w:t>
            </w:r>
          </w:p>
        </w:tc>
        <w:tc>
          <w:tcPr>
            <w:tcW w:w="790" w:type="dxa"/>
            <w:vAlign w:val="top"/>
          </w:tcPr>
          <w:p w14:paraId="0E88DA3B">
            <w:pPr>
              <w:spacing w:line="282" w:lineRule="auto"/>
              <w:rPr>
                <w:rFonts w:ascii="Arial"/>
                <w:sz w:val="21"/>
              </w:rPr>
            </w:pPr>
          </w:p>
          <w:p w14:paraId="044610D5">
            <w:pPr>
              <w:spacing w:line="283" w:lineRule="auto"/>
              <w:rPr>
                <w:rFonts w:ascii="Arial"/>
                <w:sz w:val="21"/>
              </w:rPr>
            </w:pPr>
          </w:p>
          <w:p w14:paraId="20FF1BDD">
            <w:pPr>
              <w:spacing w:before="57"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45.6</w:t>
            </w:r>
          </w:p>
        </w:tc>
        <w:tc>
          <w:tcPr>
            <w:tcW w:w="771" w:type="dxa"/>
            <w:vAlign w:val="top"/>
          </w:tcPr>
          <w:p w14:paraId="1814B3AD">
            <w:pPr>
              <w:spacing w:line="282" w:lineRule="auto"/>
              <w:rPr>
                <w:rFonts w:ascii="Arial"/>
                <w:sz w:val="21"/>
              </w:rPr>
            </w:pPr>
          </w:p>
          <w:p w14:paraId="5CB67D8F">
            <w:pPr>
              <w:spacing w:line="283" w:lineRule="auto"/>
              <w:rPr>
                <w:rFonts w:ascii="Arial"/>
                <w:sz w:val="21"/>
              </w:rPr>
            </w:pPr>
          </w:p>
          <w:p w14:paraId="3E344545">
            <w:pPr>
              <w:spacing w:before="57" w:line="195" w:lineRule="auto"/>
              <w:ind w:left="2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40.9</w:t>
            </w:r>
          </w:p>
        </w:tc>
        <w:tc>
          <w:tcPr>
            <w:tcW w:w="144" w:type="dxa"/>
            <w:vMerge w:val="continue"/>
            <w:tcBorders>
              <w:top w:val="nil"/>
              <w:bottom w:val="nil"/>
              <w:right w:val="single" w:color="000000" w:sz="6" w:space="0"/>
            </w:tcBorders>
            <w:vAlign w:val="top"/>
          </w:tcPr>
          <w:p w14:paraId="4C3F0B04">
            <w:pPr>
              <w:rPr>
                <w:rFonts w:ascii="Arial"/>
                <w:sz w:val="21"/>
              </w:rPr>
            </w:pPr>
          </w:p>
        </w:tc>
      </w:tr>
      <w:tr w14:paraId="25B48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478" w:type="dxa"/>
            <w:vMerge w:val="continue"/>
            <w:tcBorders>
              <w:top w:val="nil"/>
              <w:left w:val="single" w:color="000000" w:sz="6" w:space="0"/>
              <w:bottom w:val="nil"/>
            </w:tcBorders>
            <w:vAlign w:val="top"/>
          </w:tcPr>
          <w:p w14:paraId="26D7AC5A">
            <w:pPr>
              <w:rPr>
                <w:rFonts w:ascii="Arial"/>
                <w:sz w:val="21"/>
              </w:rPr>
            </w:pPr>
          </w:p>
        </w:tc>
        <w:tc>
          <w:tcPr>
            <w:tcW w:w="135" w:type="dxa"/>
            <w:tcBorders>
              <w:top w:val="nil"/>
              <w:bottom w:val="nil"/>
            </w:tcBorders>
            <w:vAlign w:val="top"/>
          </w:tcPr>
          <w:p w14:paraId="543580CC">
            <w:pPr>
              <w:rPr>
                <w:rFonts w:ascii="Arial"/>
                <w:sz w:val="21"/>
              </w:rPr>
            </w:pPr>
          </w:p>
        </w:tc>
        <w:tc>
          <w:tcPr>
            <w:tcW w:w="515" w:type="dxa"/>
            <w:vMerge w:val="continue"/>
            <w:tcBorders>
              <w:top w:val="nil"/>
              <w:bottom w:val="nil"/>
            </w:tcBorders>
            <w:vAlign w:val="top"/>
          </w:tcPr>
          <w:p w14:paraId="771220BB">
            <w:pPr>
              <w:rPr>
                <w:rFonts w:ascii="Arial"/>
                <w:sz w:val="21"/>
              </w:rPr>
            </w:pPr>
          </w:p>
        </w:tc>
        <w:tc>
          <w:tcPr>
            <w:tcW w:w="923" w:type="dxa"/>
            <w:vAlign w:val="top"/>
          </w:tcPr>
          <w:p w14:paraId="3D5B5508">
            <w:pPr>
              <w:spacing w:line="253" w:lineRule="auto"/>
              <w:rPr>
                <w:rFonts w:ascii="Arial"/>
                <w:sz w:val="21"/>
              </w:rPr>
            </w:pPr>
          </w:p>
          <w:p w14:paraId="26969CFE">
            <w:pPr>
              <w:pStyle w:val="6"/>
              <w:spacing w:before="65" w:line="224" w:lineRule="auto"/>
              <w:ind w:left="142"/>
            </w:pPr>
            <w:r>
              <w:rPr>
                <w:rFonts w:ascii="MS PGothic" w:hAnsi="MS PGothic" w:eastAsia="MS PGothic" w:cs="MS PGothic"/>
                <w:spacing w:val="8"/>
              </w:rPr>
              <w:t>⑪</w:t>
            </w:r>
            <w:r>
              <w:rPr>
                <w:spacing w:val="8"/>
              </w:rPr>
              <w:t>菜地</w:t>
            </w:r>
          </w:p>
          <w:p w14:paraId="1C6F12CC">
            <w:pPr>
              <w:pStyle w:val="6"/>
              <w:spacing w:before="28" w:line="228" w:lineRule="auto"/>
              <w:ind w:left="145"/>
            </w:pPr>
            <w:r>
              <w:rPr>
                <w:spacing w:val="6"/>
              </w:rPr>
              <w:t>看护用</w:t>
            </w:r>
          </w:p>
          <w:p w14:paraId="5C672553">
            <w:pPr>
              <w:pStyle w:val="6"/>
              <w:spacing w:before="27" w:line="228" w:lineRule="auto"/>
              <w:ind w:left="357"/>
            </w:pPr>
            <w:r>
              <w:t>房</w:t>
            </w:r>
          </w:p>
        </w:tc>
        <w:tc>
          <w:tcPr>
            <w:tcW w:w="1898" w:type="dxa"/>
            <w:vAlign w:val="top"/>
          </w:tcPr>
          <w:p w14:paraId="2D3F9420">
            <w:pPr>
              <w:spacing w:line="253" w:lineRule="auto"/>
              <w:rPr>
                <w:rFonts w:ascii="Arial"/>
                <w:sz w:val="21"/>
              </w:rPr>
            </w:pPr>
          </w:p>
          <w:p w14:paraId="2CA95089">
            <w:pPr>
              <w:pStyle w:val="6"/>
              <w:spacing w:before="65" w:line="228" w:lineRule="auto"/>
              <w:ind w:left="110"/>
            </w:pPr>
            <w:r>
              <w:rPr>
                <w:spacing w:val="8"/>
              </w:rPr>
              <w:t>双回线路（单边挂</w:t>
            </w:r>
          </w:p>
          <w:p w14:paraId="4E850BA8">
            <w:pPr>
              <w:pStyle w:val="6"/>
              <w:spacing w:before="24" w:line="228" w:lineRule="auto"/>
              <w:ind w:left="129"/>
            </w:pPr>
            <w:r>
              <w:rPr>
                <w:spacing w:val="8"/>
              </w:rPr>
              <w:t>线）西侧，</w:t>
            </w:r>
            <w:r>
              <w:rPr>
                <w:rFonts w:ascii="Times New Roman" w:hAnsi="Times New Roman" w:eastAsia="Times New Roman" w:cs="Times New Roman"/>
              </w:rPr>
              <w:t>AJ</w:t>
            </w:r>
            <w:r>
              <w:rPr>
                <w:rFonts w:ascii="Times New Roman" w:hAnsi="Times New Roman" w:eastAsia="Times New Roman" w:cs="Times New Roman"/>
                <w:spacing w:val="8"/>
              </w:rPr>
              <w:t xml:space="preserve">8 </w:t>
            </w:r>
            <w:r>
              <w:rPr>
                <w:spacing w:val="8"/>
              </w:rPr>
              <w:t>塔</w:t>
            </w:r>
          </w:p>
          <w:p w14:paraId="3B027428">
            <w:pPr>
              <w:pStyle w:val="6"/>
              <w:spacing w:before="26" w:line="228" w:lineRule="auto"/>
              <w:ind w:left="422"/>
              <w:rPr>
                <w:rFonts w:ascii="Times New Roman" w:hAnsi="Times New Roman" w:eastAsia="Times New Roman" w:cs="Times New Roman"/>
              </w:rPr>
            </w:pPr>
            <w:r>
              <w:rPr>
                <w:spacing w:val="5"/>
              </w:rPr>
              <w:t>基西侧</w:t>
            </w:r>
            <w:r>
              <w:rPr>
                <w:spacing w:val="-37"/>
              </w:rPr>
              <w:t xml:space="preserve"> </w:t>
            </w:r>
            <w:r>
              <w:rPr>
                <w:rFonts w:ascii="Times New Roman" w:hAnsi="Times New Roman" w:eastAsia="Times New Roman" w:cs="Times New Roman"/>
                <w:spacing w:val="5"/>
              </w:rPr>
              <w:t>30m</w:t>
            </w:r>
          </w:p>
        </w:tc>
        <w:tc>
          <w:tcPr>
            <w:tcW w:w="1326" w:type="dxa"/>
            <w:vAlign w:val="top"/>
          </w:tcPr>
          <w:p w14:paraId="75964EE8">
            <w:pPr>
              <w:pStyle w:val="6"/>
              <w:spacing w:before="200" w:line="228" w:lineRule="auto"/>
              <w:ind w:left="120"/>
            </w:pPr>
            <w:r>
              <w:t>位于</w:t>
            </w:r>
            <w:r>
              <w:rPr>
                <w:spacing w:val="-44"/>
              </w:rPr>
              <w:t xml:space="preserve"> </w:t>
            </w:r>
            <w:r>
              <w:rPr>
                <w:rFonts w:ascii="Times New Roman" w:hAnsi="Times New Roman" w:eastAsia="Times New Roman" w:cs="Times New Roman"/>
              </w:rPr>
              <w:t>A</w:t>
            </w:r>
            <w:r>
              <w:rPr>
                <w:rFonts w:ascii="Times New Roman" w:hAnsi="Times New Roman" w:eastAsia="Times New Roman" w:cs="Times New Roman"/>
                <w:spacing w:val="32"/>
                <w:w w:val="101"/>
              </w:rPr>
              <w:t xml:space="preserve"> </w:t>
            </w:r>
            <w:r>
              <w:t>回线</w:t>
            </w:r>
          </w:p>
          <w:p w14:paraId="0BA165F2">
            <w:pPr>
              <w:pStyle w:val="6"/>
              <w:spacing w:before="24" w:line="228" w:lineRule="auto"/>
              <w:ind w:left="143"/>
            </w:pPr>
            <w:r>
              <w:rPr>
                <w:spacing w:val="8"/>
              </w:rPr>
              <w:t>边导线地面</w:t>
            </w:r>
          </w:p>
          <w:p w14:paraId="3068181E">
            <w:pPr>
              <w:pStyle w:val="6"/>
              <w:spacing w:before="25" w:line="228" w:lineRule="auto"/>
              <w:ind w:left="250"/>
            </w:pPr>
            <w:r>
              <w:rPr>
                <w:spacing w:val="7"/>
              </w:rPr>
              <w:t>投影西侧</w:t>
            </w:r>
          </w:p>
          <w:p w14:paraId="5926CAD9">
            <w:pPr>
              <w:spacing w:before="46" w:line="195" w:lineRule="auto"/>
              <w:ind w:left="50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11m</w:t>
            </w:r>
          </w:p>
        </w:tc>
        <w:tc>
          <w:tcPr>
            <w:tcW w:w="2327" w:type="dxa"/>
            <w:vAlign w:val="top"/>
          </w:tcPr>
          <w:p w14:paraId="34F5AB33">
            <w:pPr>
              <w:pStyle w:val="6"/>
              <w:spacing w:before="49" w:line="227" w:lineRule="auto"/>
              <w:ind w:left="82"/>
              <w:rPr>
                <w:rFonts w:ascii="Times New Roman" w:hAnsi="Times New Roman" w:eastAsia="Times New Roman" w:cs="Times New Roman"/>
              </w:rPr>
            </w:pPr>
            <w:r>
              <w:rPr>
                <w:rFonts w:ascii="Times New Roman" w:hAnsi="Times New Roman" w:eastAsia="Times New Roman" w:cs="Times New Roman"/>
                <w:spacing w:val="2"/>
              </w:rPr>
              <w:t>110</w:t>
            </w:r>
            <w:r>
              <w:rPr>
                <w:rFonts w:ascii="Times New Roman" w:hAnsi="Times New Roman" w:eastAsia="Times New Roman" w:cs="Times New Roman"/>
              </w:rPr>
              <w:t>kV</w:t>
            </w:r>
            <w:r>
              <w:rPr>
                <w:rFonts w:ascii="Times New Roman" w:hAnsi="Times New Roman" w:eastAsia="Times New Roman" w:cs="Times New Roman"/>
                <w:spacing w:val="29"/>
                <w:w w:val="101"/>
              </w:rPr>
              <w:t xml:space="preserve"> </w:t>
            </w:r>
            <w:r>
              <w:rPr>
                <w:spacing w:val="2"/>
              </w:rPr>
              <w:t>嵩杨牵线</w:t>
            </w:r>
            <w:r>
              <w:rPr>
                <w:spacing w:val="-35"/>
              </w:rPr>
              <w:t xml:space="preserve"> </w:t>
            </w:r>
            <w:r>
              <w:rPr>
                <w:rFonts w:ascii="Times New Roman" w:hAnsi="Times New Roman" w:eastAsia="Times New Roman" w:cs="Times New Roman"/>
                <w:spacing w:val="2"/>
              </w:rPr>
              <w:t>54#-55#</w:t>
            </w:r>
          </w:p>
          <w:p w14:paraId="09175DF5">
            <w:pPr>
              <w:pStyle w:val="6"/>
              <w:spacing w:before="25" w:line="227" w:lineRule="auto"/>
              <w:ind w:left="350"/>
            </w:pPr>
            <w:r>
              <w:rPr>
                <w:spacing w:val="3"/>
              </w:rPr>
              <w:t>和</w:t>
            </w:r>
            <w:r>
              <w:rPr>
                <w:spacing w:val="-19"/>
              </w:rPr>
              <w:t xml:space="preserve"> </w:t>
            </w:r>
            <w:r>
              <w:rPr>
                <w:rFonts w:ascii="Times New Roman" w:hAnsi="Times New Roman" w:eastAsia="Times New Roman" w:cs="Times New Roman"/>
                <w:spacing w:val="3"/>
              </w:rPr>
              <w:t>110</w:t>
            </w:r>
            <w:r>
              <w:rPr>
                <w:rFonts w:ascii="Times New Roman" w:hAnsi="Times New Roman" w:eastAsia="Times New Roman" w:cs="Times New Roman"/>
              </w:rPr>
              <w:t>kV</w:t>
            </w:r>
            <w:r>
              <w:rPr>
                <w:rFonts w:ascii="Times New Roman" w:hAnsi="Times New Roman" w:eastAsia="Times New Roman" w:cs="Times New Roman"/>
                <w:spacing w:val="3"/>
              </w:rPr>
              <w:t xml:space="preserve"> </w:t>
            </w:r>
            <w:r>
              <w:rPr>
                <w:spacing w:val="3"/>
              </w:rPr>
              <w:t>杨牵</w:t>
            </w:r>
            <w:r>
              <w:rPr>
                <w:rFonts w:ascii="Times New Roman" w:hAnsi="Times New Roman" w:eastAsia="Times New Roman" w:cs="Times New Roman"/>
                <w:spacing w:val="3"/>
              </w:rPr>
              <w:t>Ⅱ</w:t>
            </w:r>
            <w:r>
              <w:rPr>
                <w:spacing w:val="3"/>
              </w:rPr>
              <w:t>回</w:t>
            </w:r>
          </w:p>
          <w:p w14:paraId="5C32F297">
            <w:pPr>
              <w:pStyle w:val="6"/>
              <w:spacing w:before="27" w:line="230" w:lineRule="auto"/>
              <w:ind w:left="85"/>
            </w:pPr>
            <w:r>
              <w:rPr>
                <w:rFonts w:ascii="Times New Roman" w:hAnsi="Times New Roman" w:eastAsia="Times New Roman" w:cs="Times New Roman"/>
                <w:spacing w:val="6"/>
              </w:rPr>
              <w:t>004#-003#</w:t>
            </w:r>
            <w:r>
              <w:rPr>
                <w:spacing w:val="6"/>
              </w:rPr>
              <w:t>塔间（同塔双</w:t>
            </w:r>
          </w:p>
          <w:p w14:paraId="50574742">
            <w:pPr>
              <w:pStyle w:val="6"/>
              <w:spacing w:before="21" w:line="228" w:lineRule="auto"/>
              <w:ind w:left="51"/>
            </w:pPr>
            <w:r>
              <w:rPr>
                <w:spacing w:val="4"/>
              </w:rPr>
              <w:t>回）线路噪声断面边导线</w:t>
            </w:r>
          </w:p>
          <w:p w14:paraId="00C8A0CB">
            <w:pPr>
              <w:pStyle w:val="6"/>
              <w:spacing w:before="26" w:line="198" w:lineRule="auto"/>
              <w:ind w:left="857"/>
              <w:rPr>
                <w:rFonts w:ascii="Times New Roman" w:hAnsi="Times New Roman" w:eastAsia="Times New Roman" w:cs="Times New Roman"/>
              </w:rPr>
            </w:pPr>
            <w:r>
              <w:rPr>
                <w:spacing w:val="-3"/>
              </w:rPr>
              <w:t>外</w:t>
            </w:r>
            <w:r>
              <w:rPr>
                <w:spacing w:val="-22"/>
              </w:rPr>
              <w:t xml:space="preserve"> </w:t>
            </w:r>
            <w:r>
              <w:rPr>
                <w:rFonts w:ascii="Times New Roman" w:hAnsi="Times New Roman" w:eastAsia="Times New Roman" w:cs="Times New Roman"/>
                <w:spacing w:val="-3"/>
              </w:rPr>
              <w:t>10m</w:t>
            </w:r>
          </w:p>
        </w:tc>
        <w:tc>
          <w:tcPr>
            <w:tcW w:w="790" w:type="dxa"/>
            <w:vAlign w:val="top"/>
          </w:tcPr>
          <w:p w14:paraId="2F1FB761">
            <w:pPr>
              <w:spacing w:line="284" w:lineRule="auto"/>
              <w:rPr>
                <w:rFonts w:ascii="Arial"/>
                <w:sz w:val="21"/>
              </w:rPr>
            </w:pPr>
          </w:p>
          <w:p w14:paraId="3F25CF35">
            <w:pPr>
              <w:spacing w:line="284" w:lineRule="auto"/>
              <w:rPr>
                <w:rFonts w:ascii="Arial"/>
                <w:sz w:val="21"/>
              </w:rPr>
            </w:pPr>
          </w:p>
          <w:p w14:paraId="65F63985">
            <w:pPr>
              <w:spacing w:before="58"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45.</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2"/>
                <w:sz w:val="20"/>
                <w:szCs w:val="20"/>
              </w:rPr>
              <w:t>1</w:t>
            </w:r>
          </w:p>
        </w:tc>
        <w:tc>
          <w:tcPr>
            <w:tcW w:w="771" w:type="dxa"/>
            <w:vAlign w:val="top"/>
          </w:tcPr>
          <w:p w14:paraId="37D79E96">
            <w:pPr>
              <w:spacing w:line="284" w:lineRule="auto"/>
              <w:rPr>
                <w:rFonts w:ascii="Arial"/>
                <w:sz w:val="21"/>
              </w:rPr>
            </w:pPr>
          </w:p>
          <w:p w14:paraId="3A655524">
            <w:pPr>
              <w:spacing w:line="284" w:lineRule="auto"/>
              <w:rPr>
                <w:rFonts w:ascii="Arial"/>
                <w:sz w:val="21"/>
              </w:rPr>
            </w:pPr>
          </w:p>
          <w:p w14:paraId="01DBA36E">
            <w:pPr>
              <w:spacing w:before="58" w:line="195" w:lineRule="auto"/>
              <w:ind w:left="2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40.7</w:t>
            </w:r>
          </w:p>
        </w:tc>
        <w:tc>
          <w:tcPr>
            <w:tcW w:w="144" w:type="dxa"/>
            <w:vMerge w:val="continue"/>
            <w:tcBorders>
              <w:top w:val="nil"/>
              <w:bottom w:val="nil"/>
              <w:right w:val="single" w:color="000000" w:sz="6" w:space="0"/>
            </w:tcBorders>
            <w:vAlign w:val="top"/>
          </w:tcPr>
          <w:p w14:paraId="6C46A642">
            <w:pPr>
              <w:rPr>
                <w:rFonts w:ascii="Arial"/>
                <w:sz w:val="21"/>
              </w:rPr>
            </w:pPr>
          </w:p>
        </w:tc>
      </w:tr>
      <w:tr w14:paraId="69AC8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4" w:hRule="atLeast"/>
        </w:trPr>
        <w:tc>
          <w:tcPr>
            <w:tcW w:w="478" w:type="dxa"/>
            <w:vMerge w:val="continue"/>
            <w:tcBorders>
              <w:top w:val="nil"/>
              <w:left w:val="single" w:color="000000" w:sz="6" w:space="0"/>
              <w:bottom w:val="nil"/>
            </w:tcBorders>
            <w:vAlign w:val="top"/>
          </w:tcPr>
          <w:p w14:paraId="5AA56CAC">
            <w:pPr>
              <w:rPr>
                <w:rFonts w:ascii="Arial"/>
                <w:sz w:val="21"/>
              </w:rPr>
            </w:pPr>
          </w:p>
        </w:tc>
        <w:tc>
          <w:tcPr>
            <w:tcW w:w="135" w:type="dxa"/>
            <w:tcBorders>
              <w:top w:val="nil"/>
              <w:bottom w:val="nil"/>
            </w:tcBorders>
            <w:vAlign w:val="top"/>
          </w:tcPr>
          <w:p w14:paraId="2E3D38D0">
            <w:pPr>
              <w:rPr>
                <w:rFonts w:ascii="Arial"/>
                <w:sz w:val="21"/>
              </w:rPr>
            </w:pPr>
          </w:p>
        </w:tc>
        <w:tc>
          <w:tcPr>
            <w:tcW w:w="515" w:type="dxa"/>
            <w:vMerge w:val="continue"/>
            <w:tcBorders>
              <w:top w:val="nil"/>
              <w:bottom w:val="nil"/>
            </w:tcBorders>
            <w:vAlign w:val="top"/>
          </w:tcPr>
          <w:p w14:paraId="2C926DB0">
            <w:pPr>
              <w:rPr>
                <w:rFonts w:ascii="Arial"/>
                <w:sz w:val="21"/>
              </w:rPr>
            </w:pPr>
          </w:p>
        </w:tc>
        <w:tc>
          <w:tcPr>
            <w:tcW w:w="923" w:type="dxa"/>
            <w:vAlign w:val="top"/>
          </w:tcPr>
          <w:p w14:paraId="3AAA6934">
            <w:pPr>
              <w:spacing w:line="258" w:lineRule="auto"/>
              <w:rPr>
                <w:rFonts w:ascii="Arial"/>
                <w:sz w:val="21"/>
              </w:rPr>
            </w:pPr>
          </w:p>
          <w:p w14:paraId="1A2E757D">
            <w:pPr>
              <w:pStyle w:val="6"/>
              <w:spacing w:before="65" w:line="224" w:lineRule="auto"/>
              <w:ind w:left="142"/>
            </w:pPr>
            <w:r>
              <w:rPr>
                <w:rFonts w:ascii="MS PGothic" w:hAnsi="MS PGothic" w:eastAsia="MS PGothic" w:cs="MS PGothic"/>
                <w:spacing w:val="8"/>
              </w:rPr>
              <w:t>⑩</w:t>
            </w:r>
            <w:r>
              <w:rPr>
                <w:spacing w:val="8"/>
              </w:rPr>
              <w:t>菜地</w:t>
            </w:r>
          </w:p>
          <w:p w14:paraId="4CFCFD1A">
            <w:pPr>
              <w:pStyle w:val="6"/>
              <w:spacing w:before="28" w:line="228" w:lineRule="auto"/>
              <w:ind w:left="145"/>
            </w:pPr>
            <w:r>
              <w:rPr>
                <w:spacing w:val="6"/>
              </w:rPr>
              <w:t>看护用</w:t>
            </w:r>
          </w:p>
          <w:p w14:paraId="2613EBF0">
            <w:pPr>
              <w:pStyle w:val="6"/>
              <w:spacing w:before="24" w:line="228" w:lineRule="auto"/>
              <w:ind w:left="357"/>
            </w:pPr>
            <w:r>
              <w:t>房</w:t>
            </w:r>
          </w:p>
        </w:tc>
        <w:tc>
          <w:tcPr>
            <w:tcW w:w="1898" w:type="dxa"/>
            <w:vAlign w:val="top"/>
          </w:tcPr>
          <w:p w14:paraId="3062468F">
            <w:pPr>
              <w:spacing w:line="258" w:lineRule="auto"/>
              <w:rPr>
                <w:rFonts w:ascii="Arial"/>
                <w:sz w:val="21"/>
              </w:rPr>
            </w:pPr>
          </w:p>
          <w:p w14:paraId="2F3F7ED0">
            <w:pPr>
              <w:pStyle w:val="6"/>
              <w:spacing w:before="65" w:line="228" w:lineRule="auto"/>
              <w:ind w:left="110"/>
            </w:pPr>
            <w:r>
              <w:rPr>
                <w:spacing w:val="8"/>
              </w:rPr>
              <w:t>双回线路（单边挂</w:t>
            </w:r>
          </w:p>
          <w:p w14:paraId="4894321E">
            <w:pPr>
              <w:pStyle w:val="6"/>
              <w:spacing w:before="24" w:line="228" w:lineRule="auto"/>
              <w:ind w:left="113"/>
            </w:pPr>
            <w:r>
              <w:rPr>
                <w:spacing w:val="6"/>
              </w:rPr>
              <w:t>线）西侧，</w:t>
            </w:r>
            <w:r>
              <w:rPr>
                <w:rFonts w:ascii="Times New Roman" w:hAnsi="Times New Roman" w:eastAsia="Times New Roman" w:cs="Times New Roman"/>
              </w:rPr>
              <w:t>AZ</w:t>
            </w:r>
            <w:r>
              <w:rPr>
                <w:rFonts w:ascii="Times New Roman" w:hAnsi="Times New Roman" w:eastAsia="Times New Roman" w:cs="Times New Roman"/>
                <w:spacing w:val="6"/>
              </w:rPr>
              <w:t xml:space="preserve">5 </w:t>
            </w:r>
            <w:r>
              <w:rPr>
                <w:spacing w:val="6"/>
              </w:rPr>
              <w:t>塔</w:t>
            </w:r>
          </w:p>
          <w:p w14:paraId="3602C190">
            <w:pPr>
              <w:pStyle w:val="6"/>
              <w:spacing w:before="24" w:line="228" w:lineRule="auto"/>
              <w:ind w:left="266"/>
              <w:rPr>
                <w:rFonts w:ascii="Times New Roman" w:hAnsi="Times New Roman" w:eastAsia="Times New Roman" w:cs="Times New Roman"/>
              </w:rPr>
            </w:pPr>
            <w:r>
              <w:rPr>
                <w:spacing w:val="3"/>
              </w:rPr>
              <w:t>基西南侧</w:t>
            </w:r>
            <w:r>
              <w:rPr>
                <w:spacing w:val="-20"/>
              </w:rPr>
              <w:t xml:space="preserve"> </w:t>
            </w:r>
            <w:r>
              <w:rPr>
                <w:rFonts w:ascii="Times New Roman" w:hAnsi="Times New Roman" w:eastAsia="Times New Roman" w:cs="Times New Roman"/>
                <w:spacing w:val="3"/>
              </w:rPr>
              <w:t>128m</w:t>
            </w:r>
          </w:p>
        </w:tc>
        <w:tc>
          <w:tcPr>
            <w:tcW w:w="1326" w:type="dxa"/>
            <w:vAlign w:val="top"/>
          </w:tcPr>
          <w:p w14:paraId="4E33688B">
            <w:pPr>
              <w:pStyle w:val="6"/>
              <w:spacing w:before="205" w:line="228" w:lineRule="auto"/>
              <w:ind w:left="120"/>
            </w:pPr>
            <w:r>
              <w:t>位于</w:t>
            </w:r>
            <w:r>
              <w:rPr>
                <w:spacing w:val="-44"/>
              </w:rPr>
              <w:t xml:space="preserve"> </w:t>
            </w:r>
            <w:r>
              <w:rPr>
                <w:rFonts w:ascii="Times New Roman" w:hAnsi="Times New Roman" w:eastAsia="Times New Roman" w:cs="Times New Roman"/>
              </w:rPr>
              <w:t>A</w:t>
            </w:r>
            <w:r>
              <w:rPr>
                <w:rFonts w:ascii="Times New Roman" w:hAnsi="Times New Roman" w:eastAsia="Times New Roman" w:cs="Times New Roman"/>
                <w:spacing w:val="32"/>
                <w:w w:val="101"/>
              </w:rPr>
              <w:t xml:space="preserve"> </w:t>
            </w:r>
            <w:r>
              <w:t>回线</w:t>
            </w:r>
          </w:p>
          <w:p w14:paraId="63CEEE69">
            <w:pPr>
              <w:pStyle w:val="6"/>
              <w:spacing w:before="24" w:line="228" w:lineRule="auto"/>
              <w:ind w:left="143"/>
            </w:pPr>
            <w:r>
              <w:rPr>
                <w:spacing w:val="8"/>
              </w:rPr>
              <w:t>边导线地面</w:t>
            </w:r>
          </w:p>
          <w:p w14:paraId="0FA27A58">
            <w:pPr>
              <w:pStyle w:val="6"/>
              <w:spacing w:before="23" w:line="228" w:lineRule="auto"/>
              <w:ind w:left="250"/>
            </w:pPr>
            <w:r>
              <w:rPr>
                <w:spacing w:val="7"/>
              </w:rPr>
              <w:t>投影西侧</w:t>
            </w:r>
          </w:p>
          <w:p w14:paraId="33C9D3C2">
            <w:pPr>
              <w:spacing w:before="48" w:line="195" w:lineRule="auto"/>
              <w:ind w:left="49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17m</w:t>
            </w:r>
          </w:p>
        </w:tc>
        <w:tc>
          <w:tcPr>
            <w:tcW w:w="2327" w:type="dxa"/>
            <w:vAlign w:val="top"/>
          </w:tcPr>
          <w:p w14:paraId="71DE1553">
            <w:pPr>
              <w:pStyle w:val="6"/>
              <w:spacing w:before="53" w:line="227" w:lineRule="auto"/>
              <w:ind w:left="82"/>
              <w:rPr>
                <w:rFonts w:ascii="Times New Roman" w:hAnsi="Times New Roman" w:eastAsia="Times New Roman" w:cs="Times New Roman"/>
              </w:rPr>
            </w:pPr>
            <w:r>
              <w:rPr>
                <w:rFonts w:ascii="Times New Roman" w:hAnsi="Times New Roman" w:eastAsia="Times New Roman" w:cs="Times New Roman"/>
                <w:spacing w:val="2"/>
              </w:rPr>
              <w:t>110</w:t>
            </w:r>
            <w:r>
              <w:rPr>
                <w:rFonts w:ascii="Times New Roman" w:hAnsi="Times New Roman" w:eastAsia="Times New Roman" w:cs="Times New Roman"/>
              </w:rPr>
              <w:t>kV</w:t>
            </w:r>
            <w:r>
              <w:rPr>
                <w:rFonts w:ascii="Times New Roman" w:hAnsi="Times New Roman" w:eastAsia="Times New Roman" w:cs="Times New Roman"/>
                <w:spacing w:val="29"/>
                <w:w w:val="101"/>
              </w:rPr>
              <w:t xml:space="preserve"> </w:t>
            </w:r>
            <w:r>
              <w:rPr>
                <w:spacing w:val="2"/>
              </w:rPr>
              <w:t>嵩杨牵线</w:t>
            </w:r>
            <w:r>
              <w:rPr>
                <w:spacing w:val="-35"/>
              </w:rPr>
              <w:t xml:space="preserve"> </w:t>
            </w:r>
            <w:r>
              <w:rPr>
                <w:rFonts w:ascii="Times New Roman" w:hAnsi="Times New Roman" w:eastAsia="Times New Roman" w:cs="Times New Roman"/>
                <w:spacing w:val="2"/>
              </w:rPr>
              <w:t>54#-55#</w:t>
            </w:r>
          </w:p>
          <w:p w14:paraId="0B648C5B">
            <w:pPr>
              <w:pStyle w:val="6"/>
              <w:spacing w:before="25" w:line="227" w:lineRule="auto"/>
              <w:ind w:left="350"/>
            </w:pPr>
            <w:r>
              <w:rPr>
                <w:spacing w:val="3"/>
              </w:rPr>
              <w:t>和</w:t>
            </w:r>
            <w:r>
              <w:rPr>
                <w:spacing w:val="-19"/>
              </w:rPr>
              <w:t xml:space="preserve"> </w:t>
            </w:r>
            <w:r>
              <w:rPr>
                <w:rFonts w:ascii="Times New Roman" w:hAnsi="Times New Roman" w:eastAsia="Times New Roman" w:cs="Times New Roman"/>
                <w:spacing w:val="3"/>
              </w:rPr>
              <w:t>110</w:t>
            </w:r>
            <w:r>
              <w:rPr>
                <w:rFonts w:ascii="Times New Roman" w:hAnsi="Times New Roman" w:eastAsia="Times New Roman" w:cs="Times New Roman"/>
              </w:rPr>
              <w:t>kV</w:t>
            </w:r>
            <w:r>
              <w:rPr>
                <w:rFonts w:ascii="Times New Roman" w:hAnsi="Times New Roman" w:eastAsia="Times New Roman" w:cs="Times New Roman"/>
                <w:spacing w:val="3"/>
              </w:rPr>
              <w:t xml:space="preserve"> </w:t>
            </w:r>
            <w:r>
              <w:rPr>
                <w:spacing w:val="3"/>
              </w:rPr>
              <w:t>杨牵</w:t>
            </w:r>
            <w:r>
              <w:rPr>
                <w:rFonts w:ascii="Times New Roman" w:hAnsi="Times New Roman" w:eastAsia="Times New Roman" w:cs="Times New Roman"/>
                <w:spacing w:val="3"/>
              </w:rPr>
              <w:t>Ⅱ</w:t>
            </w:r>
            <w:r>
              <w:rPr>
                <w:spacing w:val="3"/>
              </w:rPr>
              <w:t>回</w:t>
            </w:r>
          </w:p>
          <w:p w14:paraId="25BDEB2C">
            <w:pPr>
              <w:pStyle w:val="6"/>
              <w:spacing w:before="25" w:line="230" w:lineRule="auto"/>
              <w:ind w:left="85"/>
            </w:pPr>
            <w:r>
              <w:rPr>
                <w:rFonts w:ascii="Times New Roman" w:hAnsi="Times New Roman" w:eastAsia="Times New Roman" w:cs="Times New Roman"/>
                <w:spacing w:val="6"/>
              </w:rPr>
              <w:t>004#-003#</w:t>
            </w:r>
            <w:r>
              <w:rPr>
                <w:spacing w:val="6"/>
              </w:rPr>
              <w:t>塔间（同塔双</w:t>
            </w:r>
          </w:p>
          <w:p w14:paraId="2E9B5AA5">
            <w:pPr>
              <w:pStyle w:val="6"/>
              <w:spacing w:before="24" w:line="228" w:lineRule="auto"/>
              <w:ind w:left="51"/>
            </w:pPr>
            <w:r>
              <w:rPr>
                <w:spacing w:val="4"/>
              </w:rPr>
              <w:t>回）线路噪声断面边导线</w:t>
            </w:r>
          </w:p>
          <w:p w14:paraId="74EB31C4">
            <w:pPr>
              <w:pStyle w:val="6"/>
              <w:spacing w:before="24" w:line="196" w:lineRule="auto"/>
              <w:ind w:left="857"/>
              <w:rPr>
                <w:rFonts w:ascii="Times New Roman" w:hAnsi="Times New Roman" w:eastAsia="Times New Roman" w:cs="Times New Roman"/>
              </w:rPr>
            </w:pPr>
            <w:r>
              <w:rPr>
                <w:spacing w:val="-3"/>
              </w:rPr>
              <w:t>外</w:t>
            </w:r>
            <w:r>
              <w:rPr>
                <w:spacing w:val="-22"/>
              </w:rPr>
              <w:t xml:space="preserve"> </w:t>
            </w:r>
            <w:r>
              <w:rPr>
                <w:rFonts w:ascii="Times New Roman" w:hAnsi="Times New Roman" w:eastAsia="Times New Roman" w:cs="Times New Roman"/>
                <w:spacing w:val="-3"/>
              </w:rPr>
              <w:t>15m</w:t>
            </w:r>
          </w:p>
        </w:tc>
        <w:tc>
          <w:tcPr>
            <w:tcW w:w="790" w:type="dxa"/>
            <w:vAlign w:val="top"/>
          </w:tcPr>
          <w:p w14:paraId="4B422C60">
            <w:pPr>
              <w:spacing w:line="285" w:lineRule="auto"/>
              <w:rPr>
                <w:rFonts w:ascii="Arial"/>
                <w:sz w:val="21"/>
              </w:rPr>
            </w:pPr>
          </w:p>
          <w:p w14:paraId="34D48ADB">
            <w:pPr>
              <w:spacing w:line="286" w:lineRule="auto"/>
              <w:rPr>
                <w:rFonts w:ascii="Arial"/>
                <w:sz w:val="21"/>
              </w:rPr>
            </w:pPr>
          </w:p>
          <w:p w14:paraId="0A808E97">
            <w:pPr>
              <w:spacing w:before="57"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45.3</w:t>
            </w:r>
          </w:p>
        </w:tc>
        <w:tc>
          <w:tcPr>
            <w:tcW w:w="771" w:type="dxa"/>
            <w:vAlign w:val="top"/>
          </w:tcPr>
          <w:p w14:paraId="6ACAA42C">
            <w:pPr>
              <w:spacing w:line="285" w:lineRule="auto"/>
              <w:rPr>
                <w:rFonts w:ascii="Arial"/>
                <w:sz w:val="21"/>
              </w:rPr>
            </w:pPr>
          </w:p>
          <w:p w14:paraId="50D05D51">
            <w:pPr>
              <w:spacing w:line="286" w:lineRule="auto"/>
              <w:rPr>
                <w:rFonts w:ascii="Arial"/>
                <w:sz w:val="21"/>
              </w:rPr>
            </w:pPr>
          </w:p>
          <w:p w14:paraId="06F1C3EE">
            <w:pPr>
              <w:spacing w:before="57" w:line="195" w:lineRule="auto"/>
              <w:ind w:left="2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40.8</w:t>
            </w:r>
          </w:p>
        </w:tc>
        <w:tc>
          <w:tcPr>
            <w:tcW w:w="144" w:type="dxa"/>
            <w:vMerge w:val="continue"/>
            <w:tcBorders>
              <w:top w:val="nil"/>
              <w:bottom w:val="nil"/>
              <w:right w:val="single" w:color="000000" w:sz="6" w:space="0"/>
            </w:tcBorders>
            <w:vAlign w:val="top"/>
          </w:tcPr>
          <w:p w14:paraId="754F9171">
            <w:pPr>
              <w:rPr>
                <w:rFonts w:ascii="Arial"/>
                <w:sz w:val="21"/>
              </w:rPr>
            </w:pPr>
          </w:p>
        </w:tc>
      </w:tr>
      <w:tr w14:paraId="6B6BA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478" w:type="dxa"/>
            <w:vMerge w:val="continue"/>
            <w:tcBorders>
              <w:top w:val="nil"/>
              <w:left w:val="single" w:color="000000" w:sz="6" w:space="0"/>
              <w:bottom w:val="single" w:color="000000" w:sz="6" w:space="0"/>
            </w:tcBorders>
            <w:vAlign w:val="top"/>
          </w:tcPr>
          <w:p w14:paraId="1705AE4B">
            <w:pPr>
              <w:rPr>
                <w:rFonts w:ascii="Arial"/>
                <w:sz w:val="21"/>
              </w:rPr>
            </w:pPr>
          </w:p>
        </w:tc>
        <w:tc>
          <w:tcPr>
            <w:tcW w:w="135" w:type="dxa"/>
            <w:tcBorders>
              <w:top w:val="nil"/>
              <w:bottom w:val="single" w:color="000000" w:sz="6" w:space="0"/>
            </w:tcBorders>
            <w:vAlign w:val="top"/>
          </w:tcPr>
          <w:p w14:paraId="39AB9615">
            <w:pPr>
              <w:rPr>
                <w:rFonts w:ascii="Arial"/>
                <w:sz w:val="21"/>
              </w:rPr>
            </w:pPr>
          </w:p>
        </w:tc>
        <w:tc>
          <w:tcPr>
            <w:tcW w:w="515" w:type="dxa"/>
            <w:vMerge w:val="continue"/>
            <w:tcBorders>
              <w:top w:val="nil"/>
              <w:bottom w:val="single" w:color="000000" w:sz="6" w:space="0"/>
            </w:tcBorders>
            <w:vAlign w:val="top"/>
          </w:tcPr>
          <w:p w14:paraId="0C3AA27C">
            <w:pPr>
              <w:rPr>
                <w:rFonts w:ascii="Arial"/>
                <w:sz w:val="21"/>
              </w:rPr>
            </w:pPr>
          </w:p>
        </w:tc>
        <w:tc>
          <w:tcPr>
            <w:tcW w:w="923" w:type="dxa"/>
            <w:tcBorders>
              <w:bottom w:val="single" w:color="000000" w:sz="6" w:space="0"/>
            </w:tcBorders>
            <w:vAlign w:val="top"/>
          </w:tcPr>
          <w:p w14:paraId="003FB4BD">
            <w:pPr>
              <w:pStyle w:val="6"/>
              <w:spacing w:before="55" w:line="224" w:lineRule="auto"/>
              <w:ind w:left="142"/>
            </w:pPr>
            <w:r>
              <w:rPr>
                <w:rFonts w:ascii="MS PGothic" w:hAnsi="MS PGothic" w:eastAsia="MS PGothic" w:cs="MS PGothic"/>
                <w:spacing w:val="8"/>
              </w:rPr>
              <w:t>⑬</w:t>
            </w:r>
            <w:r>
              <w:rPr>
                <w:spacing w:val="8"/>
              </w:rPr>
              <w:t>菜地</w:t>
            </w:r>
          </w:p>
          <w:p w14:paraId="60364341">
            <w:pPr>
              <w:pStyle w:val="6"/>
              <w:spacing w:before="31" w:line="233" w:lineRule="auto"/>
              <w:ind w:left="357" w:right="151" w:hanging="212"/>
            </w:pPr>
            <w:r>
              <w:rPr>
                <w:spacing w:val="6"/>
              </w:rPr>
              <w:t>看护用</w:t>
            </w:r>
            <w:r>
              <w:t>房</w:t>
            </w:r>
          </w:p>
        </w:tc>
        <w:tc>
          <w:tcPr>
            <w:tcW w:w="1898" w:type="dxa"/>
            <w:tcBorders>
              <w:bottom w:val="single" w:color="000000" w:sz="6" w:space="0"/>
            </w:tcBorders>
            <w:vAlign w:val="top"/>
          </w:tcPr>
          <w:p w14:paraId="40416079">
            <w:pPr>
              <w:pStyle w:val="6"/>
              <w:spacing w:before="54"/>
              <w:ind w:left="112" w:right="112" w:hanging="2"/>
              <w:jc w:val="both"/>
              <w:rPr>
                <w:rFonts w:ascii="Times New Roman" w:hAnsi="Times New Roman" w:eastAsia="Times New Roman" w:cs="Times New Roman"/>
              </w:rPr>
            </w:pPr>
            <w:r>
              <w:rPr>
                <w:spacing w:val="8"/>
              </w:rPr>
              <w:t>双回线路（单边挂线）北侧，</w:t>
            </w:r>
            <w:r>
              <w:rPr>
                <w:rFonts w:ascii="Times New Roman" w:hAnsi="Times New Roman" w:eastAsia="Times New Roman" w:cs="Times New Roman"/>
              </w:rPr>
              <w:t>AZ</w:t>
            </w:r>
            <w:r>
              <w:rPr>
                <w:rFonts w:ascii="Times New Roman" w:hAnsi="Times New Roman" w:eastAsia="Times New Roman" w:cs="Times New Roman"/>
                <w:spacing w:val="8"/>
              </w:rPr>
              <w:t>7+1</w:t>
            </w:r>
            <w:r>
              <w:rPr>
                <w:spacing w:val="9"/>
              </w:rPr>
              <w:t>塔基东南侧</w:t>
            </w:r>
            <w:r>
              <w:rPr>
                <w:spacing w:val="-18"/>
              </w:rPr>
              <w:t xml:space="preserve"> </w:t>
            </w:r>
            <w:r>
              <w:rPr>
                <w:rFonts w:ascii="Times New Roman" w:hAnsi="Times New Roman" w:eastAsia="Times New Roman" w:cs="Times New Roman"/>
                <w:spacing w:val="9"/>
              </w:rPr>
              <w:t>140m</w:t>
            </w:r>
          </w:p>
        </w:tc>
        <w:tc>
          <w:tcPr>
            <w:tcW w:w="1326" w:type="dxa"/>
            <w:tcBorders>
              <w:bottom w:val="single" w:color="000000" w:sz="6" w:space="0"/>
            </w:tcBorders>
            <w:vAlign w:val="top"/>
          </w:tcPr>
          <w:p w14:paraId="623D0EFA">
            <w:pPr>
              <w:pStyle w:val="6"/>
              <w:spacing w:before="55" w:line="228" w:lineRule="auto"/>
              <w:ind w:left="120"/>
            </w:pPr>
            <w:r>
              <w:t>位于</w:t>
            </w:r>
            <w:r>
              <w:rPr>
                <w:spacing w:val="-44"/>
              </w:rPr>
              <w:t xml:space="preserve"> </w:t>
            </w:r>
            <w:r>
              <w:rPr>
                <w:rFonts w:ascii="Times New Roman" w:hAnsi="Times New Roman" w:eastAsia="Times New Roman" w:cs="Times New Roman"/>
              </w:rPr>
              <w:t>A</w:t>
            </w:r>
            <w:r>
              <w:rPr>
                <w:rFonts w:ascii="Times New Roman" w:hAnsi="Times New Roman" w:eastAsia="Times New Roman" w:cs="Times New Roman"/>
                <w:spacing w:val="32"/>
                <w:w w:val="101"/>
              </w:rPr>
              <w:t xml:space="preserve"> </w:t>
            </w:r>
            <w:r>
              <w:t>回线</w:t>
            </w:r>
          </w:p>
          <w:p w14:paraId="28B0D540">
            <w:pPr>
              <w:pStyle w:val="6"/>
              <w:spacing w:before="26" w:line="233" w:lineRule="auto"/>
              <w:ind w:left="249" w:right="135" w:hanging="106"/>
            </w:pPr>
            <w:r>
              <w:rPr>
                <w:spacing w:val="8"/>
              </w:rPr>
              <w:t>边导线地面</w:t>
            </w:r>
            <w:r>
              <w:rPr>
                <w:spacing w:val="7"/>
              </w:rPr>
              <w:t>投影北侧</w:t>
            </w:r>
          </w:p>
        </w:tc>
        <w:tc>
          <w:tcPr>
            <w:tcW w:w="2327" w:type="dxa"/>
            <w:tcBorders>
              <w:bottom w:val="single" w:color="000000" w:sz="6" w:space="0"/>
            </w:tcBorders>
            <w:vAlign w:val="top"/>
          </w:tcPr>
          <w:p w14:paraId="4D6A5F38">
            <w:pPr>
              <w:pStyle w:val="6"/>
              <w:spacing w:before="55" w:line="227" w:lineRule="auto"/>
              <w:ind w:left="82"/>
              <w:rPr>
                <w:rFonts w:ascii="Times New Roman" w:hAnsi="Times New Roman" w:eastAsia="Times New Roman" w:cs="Times New Roman"/>
              </w:rPr>
            </w:pPr>
            <w:r>
              <w:rPr>
                <w:rFonts w:ascii="Times New Roman" w:hAnsi="Times New Roman" w:eastAsia="Times New Roman" w:cs="Times New Roman"/>
                <w:spacing w:val="2"/>
              </w:rPr>
              <w:t>110</w:t>
            </w:r>
            <w:r>
              <w:rPr>
                <w:rFonts w:ascii="Times New Roman" w:hAnsi="Times New Roman" w:eastAsia="Times New Roman" w:cs="Times New Roman"/>
              </w:rPr>
              <w:t>kV</w:t>
            </w:r>
            <w:r>
              <w:rPr>
                <w:rFonts w:ascii="Times New Roman" w:hAnsi="Times New Roman" w:eastAsia="Times New Roman" w:cs="Times New Roman"/>
                <w:spacing w:val="29"/>
                <w:w w:val="101"/>
              </w:rPr>
              <w:t xml:space="preserve"> </w:t>
            </w:r>
            <w:r>
              <w:rPr>
                <w:spacing w:val="2"/>
              </w:rPr>
              <w:t>嵩杨牵线</w:t>
            </w:r>
            <w:r>
              <w:rPr>
                <w:spacing w:val="-35"/>
              </w:rPr>
              <w:t xml:space="preserve"> </w:t>
            </w:r>
            <w:r>
              <w:rPr>
                <w:rFonts w:ascii="Times New Roman" w:hAnsi="Times New Roman" w:eastAsia="Times New Roman" w:cs="Times New Roman"/>
                <w:spacing w:val="2"/>
              </w:rPr>
              <w:t>54#-55#</w:t>
            </w:r>
          </w:p>
          <w:p w14:paraId="7267B3C2">
            <w:pPr>
              <w:pStyle w:val="6"/>
              <w:spacing w:before="27" w:line="227" w:lineRule="auto"/>
              <w:ind w:left="350"/>
            </w:pPr>
            <w:r>
              <w:rPr>
                <w:spacing w:val="3"/>
              </w:rPr>
              <w:t>和</w:t>
            </w:r>
            <w:r>
              <w:rPr>
                <w:spacing w:val="-19"/>
              </w:rPr>
              <w:t xml:space="preserve"> </w:t>
            </w:r>
            <w:r>
              <w:rPr>
                <w:rFonts w:ascii="Times New Roman" w:hAnsi="Times New Roman" w:eastAsia="Times New Roman" w:cs="Times New Roman"/>
                <w:spacing w:val="3"/>
              </w:rPr>
              <w:t>110</w:t>
            </w:r>
            <w:r>
              <w:rPr>
                <w:rFonts w:ascii="Times New Roman" w:hAnsi="Times New Roman" w:eastAsia="Times New Roman" w:cs="Times New Roman"/>
              </w:rPr>
              <w:t>kV</w:t>
            </w:r>
            <w:r>
              <w:rPr>
                <w:rFonts w:ascii="Times New Roman" w:hAnsi="Times New Roman" w:eastAsia="Times New Roman" w:cs="Times New Roman"/>
                <w:spacing w:val="3"/>
              </w:rPr>
              <w:t xml:space="preserve"> </w:t>
            </w:r>
            <w:r>
              <w:rPr>
                <w:spacing w:val="3"/>
              </w:rPr>
              <w:t>杨牵</w:t>
            </w:r>
            <w:r>
              <w:rPr>
                <w:rFonts w:ascii="Times New Roman" w:hAnsi="Times New Roman" w:eastAsia="Times New Roman" w:cs="Times New Roman"/>
                <w:spacing w:val="3"/>
              </w:rPr>
              <w:t>Ⅱ</w:t>
            </w:r>
            <w:r>
              <w:rPr>
                <w:spacing w:val="3"/>
              </w:rPr>
              <w:t>回</w:t>
            </w:r>
          </w:p>
          <w:p w14:paraId="4EC8C7AC">
            <w:pPr>
              <w:pStyle w:val="6"/>
              <w:spacing w:before="25" w:line="216" w:lineRule="auto"/>
              <w:ind w:left="85"/>
            </w:pPr>
            <w:r>
              <w:rPr>
                <w:rFonts w:ascii="Times New Roman" w:hAnsi="Times New Roman" w:eastAsia="Times New Roman" w:cs="Times New Roman"/>
                <w:spacing w:val="6"/>
              </w:rPr>
              <w:t>004#-003#</w:t>
            </w:r>
            <w:r>
              <w:rPr>
                <w:spacing w:val="6"/>
              </w:rPr>
              <w:t>塔间（同塔双</w:t>
            </w:r>
          </w:p>
        </w:tc>
        <w:tc>
          <w:tcPr>
            <w:tcW w:w="790" w:type="dxa"/>
            <w:tcBorders>
              <w:bottom w:val="single" w:color="000000" w:sz="6" w:space="0"/>
            </w:tcBorders>
            <w:vAlign w:val="top"/>
          </w:tcPr>
          <w:p w14:paraId="03847D13">
            <w:pPr>
              <w:spacing w:line="305" w:lineRule="auto"/>
              <w:rPr>
                <w:rFonts w:ascii="Arial"/>
                <w:sz w:val="21"/>
              </w:rPr>
            </w:pPr>
          </w:p>
          <w:p w14:paraId="7E107BB6">
            <w:pPr>
              <w:spacing w:before="58"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45.</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2"/>
                <w:sz w:val="20"/>
                <w:szCs w:val="20"/>
              </w:rPr>
              <w:t>1</w:t>
            </w:r>
          </w:p>
        </w:tc>
        <w:tc>
          <w:tcPr>
            <w:tcW w:w="771" w:type="dxa"/>
            <w:tcBorders>
              <w:bottom w:val="single" w:color="000000" w:sz="6" w:space="0"/>
            </w:tcBorders>
            <w:vAlign w:val="top"/>
          </w:tcPr>
          <w:p w14:paraId="3DF299C9">
            <w:pPr>
              <w:spacing w:line="305" w:lineRule="auto"/>
              <w:rPr>
                <w:rFonts w:ascii="Arial"/>
                <w:sz w:val="21"/>
              </w:rPr>
            </w:pPr>
          </w:p>
          <w:p w14:paraId="5B21B644">
            <w:pPr>
              <w:spacing w:before="58" w:line="195" w:lineRule="auto"/>
              <w:ind w:left="2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40.7</w:t>
            </w:r>
          </w:p>
        </w:tc>
        <w:tc>
          <w:tcPr>
            <w:tcW w:w="144" w:type="dxa"/>
            <w:vMerge w:val="continue"/>
            <w:tcBorders>
              <w:top w:val="nil"/>
              <w:bottom w:val="single" w:color="000000" w:sz="6" w:space="0"/>
              <w:right w:val="single" w:color="000000" w:sz="6" w:space="0"/>
            </w:tcBorders>
            <w:vAlign w:val="top"/>
          </w:tcPr>
          <w:p w14:paraId="7E4E38E1">
            <w:pPr>
              <w:rPr>
                <w:rFonts w:ascii="Arial"/>
                <w:sz w:val="21"/>
              </w:rPr>
            </w:pPr>
          </w:p>
        </w:tc>
      </w:tr>
    </w:tbl>
    <w:p w14:paraId="443CA128">
      <w:pPr>
        <w:rPr>
          <w:rFonts w:ascii="Arial"/>
          <w:sz w:val="21"/>
        </w:rPr>
      </w:pPr>
    </w:p>
    <w:p w14:paraId="642217F7">
      <w:pPr>
        <w:rPr>
          <w:rFonts w:ascii="Arial" w:hAnsi="Arial" w:eastAsia="Arial" w:cs="Arial"/>
          <w:sz w:val="21"/>
          <w:szCs w:val="21"/>
        </w:rPr>
        <w:sectPr>
          <w:footerReference r:id="rId121" w:type="default"/>
          <w:pgSz w:w="11907" w:h="16840"/>
          <w:pgMar w:top="400" w:right="1179" w:bottom="1240" w:left="1405" w:header="0" w:footer="1077" w:gutter="0"/>
          <w:cols w:space="720" w:num="1"/>
        </w:sectPr>
      </w:pPr>
    </w:p>
    <w:p w14:paraId="75152FDB">
      <w:pPr>
        <w:spacing w:before="13"/>
      </w:pPr>
    </w:p>
    <w:p w14:paraId="24FD5C99">
      <w:pPr>
        <w:spacing w:before="13"/>
      </w:pPr>
    </w:p>
    <w:p w14:paraId="069E7E7F">
      <w:pPr>
        <w:spacing w:before="13"/>
      </w:pPr>
    </w:p>
    <w:p w14:paraId="228CFB85">
      <w:pPr>
        <w:spacing w:before="12"/>
      </w:pPr>
    </w:p>
    <w:tbl>
      <w:tblPr>
        <w:tblStyle w:val="5"/>
        <w:tblW w:w="930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8"/>
        <w:gridCol w:w="135"/>
        <w:gridCol w:w="515"/>
        <w:gridCol w:w="923"/>
        <w:gridCol w:w="1898"/>
        <w:gridCol w:w="1326"/>
        <w:gridCol w:w="2327"/>
        <w:gridCol w:w="790"/>
        <w:gridCol w:w="771"/>
        <w:gridCol w:w="144"/>
      </w:tblGrid>
      <w:tr w14:paraId="6AD67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478" w:type="dxa"/>
            <w:vMerge w:val="restart"/>
            <w:tcBorders>
              <w:top w:val="single" w:color="000000" w:sz="6" w:space="0"/>
              <w:left w:val="single" w:color="000000" w:sz="6" w:space="0"/>
              <w:bottom w:val="nil"/>
            </w:tcBorders>
            <w:vAlign w:val="top"/>
          </w:tcPr>
          <w:p w14:paraId="7A009C0E">
            <w:pPr>
              <w:rPr>
                <w:rFonts w:ascii="Arial"/>
                <w:sz w:val="21"/>
              </w:rPr>
            </w:pPr>
          </w:p>
        </w:tc>
        <w:tc>
          <w:tcPr>
            <w:tcW w:w="135" w:type="dxa"/>
            <w:tcBorders>
              <w:top w:val="single" w:color="000000" w:sz="6" w:space="0"/>
              <w:bottom w:val="nil"/>
            </w:tcBorders>
            <w:vAlign w:val="top"/>
          </w:tcPr>
          <w:p w14:paraId="069E8508">
            <w:pPr>
              <w:rPr>
                <w:rFonts w:ascii="Arial"/>
                <w:sz w:val="21"/>
              </w:rPr>
            </w:pPr>
          </w:p>
        </w:tc>
        <w:tc>
          <w:tcPr>
            <w:tcW w:w="515" w:type="dxa"/>
            <w:tcBorders>
              <w:top w:val="single" w:color="000000" w:sz="6" w:space="0"/>
            </w:tcBorders>
            <w:vAlign w:val="top"/>
          </w:tcPr>
          <w:p w14:paraId="1070A6F5">
            <w:pPr>
              <w:rPr>
                <w:rFonts w:ascii="Arial"/>
                <w:sz w:val="21"/>
              </w:rPr>
            </w:pPr>
          </w:p>
        </w:tc>
        <w:tc>
          <w:tcPr>
            <w:tcW w:w="923" w:type="dxa"/>
            <w:tcBorders>
              <w:top w:val="single" w:color="000000" w:sz="6" w:space="0"/>
            </w:tcBorders>
            <w:vAlign w:val="top"/>
          </w:tcPr>
          <w:p w14:paraId="647175DB">
            <w:pPr>
              <w:rPr>
                <w:rFonts w:ascii="Arial"/>
                <w:sz w:val="21"/>
              </w:rPr>
            </w:pPr>
          </w:p>
        </w:tc>
        <w:tc>
          <w:tcPr>
            <w:tcW w:w="1898" w:type="dxa"/>
            <w:tcBorders>
              <w:top w:val="single" w:color="000000" w:sz="6" w:space="0"/>
            </w:tcBorders>
            <w:vAlign w:val="top"/>
          </w:tcPr>
          <w:p w14:paraId="3AF7B78D">
            <w:pPr>
              <w:rPr>
                <w:rFonts w:ascii="Arial"/>
                <w:sz w:val="21"/>
              </w:rPr>
            </w:pPr>
          </w:p>
        </w:tc>
        <w:tc>
          <w:tcPr>
            <w:tcW w:w="1326" w:type="dxa"/>
            <w:tcBorders>
              <w:top w:val="single" w:color="000000" w:sz="6" w:space="0"/>
            </w:tcBorders>
            <w:vAlign w:val="top"/>
          </w:tcPr>
          <w:p w14:paraId="696838DA">
            <w:pPr>
              <w:spacing w:before="67" w:line="195" w:lineRule="auto"/>
              <w:ind w:left="501"/>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11m</w:t>
            </w:r>
          </w:p>
        </w:tc>
        <w:tc>
          <w:tcPr>
            <w:tcW w:w="2327" w:type="dxa"/>
            <w:tcBorders>
              <w:top w:val="single" w:color="000000" w:sz="6" w:space="0"/>
            </w:tcBorders>
            <w:vAlign w:val="top"/>
          </w:tcPr>
          <w:p w14:paraId="376147E7">
            <w:pPr>
              <w:pStyle w:val="6"/>
              <w:spacing w:before="45" w:line="228" w:lineRule="auto"/>
              <w:ind w:left="51"/>
            </w:pPr>
            <w:r>
              <w:rPr>
                <w:spacing w:val="4"/>
              </w:rPr>
              <w:t>回）线路噪声断面边导线</w:t>
            </w:r>
          </w:p>
          <w:p w14:paraId="77024DB8">
            <w:pPr>
              <w:pStyle w:val="6"/>
              <w:spacing w:before="26" w:line="217" w:lineRule="auto"/>
              <w:ind w:left="857"/>
              <w:rPr>
                <w:rFonts w:ascii="Times New Roman" w:hAnsi="Times New Roman" w:eastAsia="Times New Roman" w:cs="Times New Roman"/>
              </w:rPr>
            </w:pPr>
            <w:r>
              <w:rPr>
                <w:spacing w:val="-3"/>
              </w:rPr>
              <w:t>外</w:t>
            </w:r>
            <w:r>
              <w:rPr>
                <w:spacing w:val="-22"/>
              </w:rPr>
              <w:t xml:space="preserve"> </w:t>
            </w:r>
            <w:r>
              <w:rPr>
                <w:rFonts w:ascii="Times New Roman" w:hAnsi="Times New Roman" w:eastAsia="Times New Roman" w:cs="Times New Roman"/>
                <w:spacing w:val="-3"/>
              </w:rPr>
              <w:t>10m</w:t>
            </w:r>
          </w:p>
        </w:tc>
        <w:tc>
          <w:tcPr>
            <w:tcW w:w="790" w:type="dxa"/>
            <w:tcBorders>
              <w:top w:val="single" w:color="000000" w:sz="6" w:space="0"/>
            </w:tcBorders>
            <w:vAlign w:val="top"/>
          </w:tcPr>
          <w:p w14:paraId="5A5F9D02">
            <w:pPr>
              <w:rPr>
                <w:rFonts w:ascii="Arial"/>
                <w:sz w:val="21"/>
              </w:rPr>
            </w:pPr>
          </w:p>
        </w:tc>
        <w:tc>
          <w:tcPr>
            <w:tcW w:w="771" w:type="dxa"/>
            <w:tcBorders>
              <w:top w:val="single" w:color="000000" w:sz="6" w:space="0"/>
            </w:tcBorders>
            <w:vAlign w:val="top"/>
          </w:tcPr>
          <w:p w14:paraId="7EC5DDB6">
            <w:pPr>
              <w:rPr>
                <w:rFonts w:ascii="Arial"/>
                <w:sz w:val="21"/>
              </w:rPr>
            </w:pPr>
          </w:p>
        </w:tc>
        <w:tc>
          <w:tcPr>
            <w:tcW w:w="144" w:type="dxa"/>
            <w:vMerge w:val="restart"/>
            <w:tcBorders>
              <w:top w:val="single" w:color="000000" w:sz="6" w:space="0"/>
              <w:bottom w:val="nil"/>
              <w:right w:val="single" w:color="000000" w:sz="6" w:space="0"/>
            </w:tcBorders>
            <w:vAlign w:val="top"/>
          </w:tcPr>
          <w:p w14:paraId="2FF6A54B">
            <w:pPr>
              <w:rPr>
                <w:rFonts w:ascii="Arial"/>
                <w:sz w:val="21"/>
              </w:rPr>
            </w:pPr>
          </w:p>
        </w:tc>
      </w:tr>
      <w:tr w14:paraId="28904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8" w:hRule="atLeast"/>
        </w:trPr>
        <w:tc>
          <w:tcPr>
            <w:tcW w:w="478" w:type="dxa"/>
            <w:vMerge w:val="continue"/>
            <w:tcBorders>
              <w:top w:val="nil"/>
              <w:left w:val="single" w:color="000000" w:sz="6" w:space="0"/>
              <w:bottom w:val="nil"/>
            </w:tcBorders>
            <w:vAlign w:val="top"/>
          </w:tcPr>
          <w:p w14:paraId="6C4DAEBD">
            <w:pPr>
              <w:rPr>
                <w:rFonts w:ascii="Arial"/>
                <w:sz w:val="21"/>
              </w:rPr>
            </w:pPr>
          </w:p>
        </w:tc>
        <w:tc>
          <w:tcPr>
            <w:tcW w:w="135" w:type="dxa"/>
            <w:tcBorders>
              <w:top w:val="nil"/>
              <w:bottom w:val="nil"/>
            </w:tcBorders>
            <w:vAlign w:val="top"/>
          </w:tcPr>
          <w:p w14:paraId="3662056B">
            <w:pPr>
              <w:rPr>
                <w:rFonts w:ascii="Arial"/>
                <w:sz w:val="21"/>
              </w:rPr>
            </w:pPr>
          </w:p>
        </w:tc>
        <w:tc>
          <w:tcPr>
            <w:tcW w:w="515" w:type="dxa"/>
            <w:vMerge w:val="restart"/>
            <w:tcBorders>
              <w:bottom w:val="nil"/>
            </w:tcBorders>
            <w:vAlign w:val="top"/>
          </w:tcPr>
          <w:p w14:paraId="6F9656A4">
            <w:pPr>
              <w:spacing w:line="262" w:lineRule="auto"/>
              <w:rPr>
                <w:rFonts w:ascii="Arial"/>
                <w:sz w:val="21"/>
              </w:rPr>
            </w:pPr>
          </w:p>
          <w:p w14:paraId="2E01C601">
            <w:pPr>
              <w:spacing w:line="262" w:lineRule="auto"/>
              <w:rPr>
                <w:rFonts w:ascii="Arial"/>
                <w:sz w:val="21"/>
              </w:rPr>
            </w:pPr>
          </w:p>
          <w:p w14:paraId="208D7D13">
            <w:pPr>
              <w:spacing w:line="262" w:lineRule="auto"/>
              <w:rPr>
                <w:rFonts w:ascii="Arial"/>
                <w:sz w:val="21"/>
              </w:rPr>
            </w:pPr>
          </w:p>
          <w:p w14:paraId="0EDB3241">
            <w:pPr>
              <w:spacing w:line="263" w:lineRule="auto"/>
              <w:rPr>
                <w:rFonts w:ascii="Arial"/>
                <w:sz w:val="21"/>
              </w:rPr>
            </w:pPr>
          </w:p>
          <w:p w14:paraId="6C03F41D">
            <w:pPr>
              <w:pStyle w:val="6"/>
              <w:spacing w:before="65" w:line="251" w:lineRule="auto"/>
              <w:ind w:left="46" w:right="54" w:firstLine="12"/>
              <w:jc w:val="right"/>
              <w:rPr>
                <w:rFonts w:ascii="Times New Roman" w:hAnsi="Times New Roman" w:eastAsia="Times New Roman" w:cs="Times New Roman"/>
              </w:rPr>
            </w:pPr>
            <w:r>
              <w:rPr>
                <w:rFonts w:ascii="Times New Roman" w:hAnsi="Times New Roman" w:eastAsia="Times New Roman" w:cs="Times New Roman"/>
              </w:rPr>
              <w:t>T</w:t>
            </w:r>
            <w:r>
              <w:rPr>
                <w:rFonts w:ascii="Times New Roman" w:hAnsi="Times New Roman" w:eastAsia="Times New Roman" w:cs="Times New Roman"/>
                <w:spacing w:val="9"/>
              </w:rPr>
              <w:t xml:space="preserve"> </w:t>
            </w:r>
            <w:r>
              <w:t>接</w:t>
            </w:r>
            <w:r>
              <w:rPr>
                <w:spacing w:val="4"/>
              </w:rPr>
              <w:t>芳华</w:t>
            </w:r>
            <w:r>
              <w:rPr>
                <w:spacing w:val="14"/>
                <w:w w:val="121"/>
              </w:rPr>
              <w:t>变~</w:t>
            </w:r>
            <w:r>
              <w:rPr>
                <w:spacing w:val="4"/>
              </w:rPr>
              <w:t>吉冲</w:t>
            </w:r>
            <w:r>
              <w:rPr>
                <w:spacing w:val="32"/>
                <w:w w:val="150"/>
              </w:rPr>
              <w:t>变</w:t>
            </w:r>
            <w:r>
              <w:rPr>
                <w:rFonts w:ascii="Times New Roman" w:hAnsi="Times New Roman" w:eastAsia="Times New Roman" w:cs="Times New Roman"/>
                <w:spacing w:val="-3"/>
              </w:rPr>
              <w:t>110k</w:t>
            </w:r>
          </w:p>
          <w:p w14:paraId="708D3EBF">
            <w:pPr>
              <w:spacing w:before="24" w:line="192" w:lineRule="auto"/>
              <w:ind w:left="10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VⅡ</w:t>
            </w:r>
          </w:p>
          <w:p w14:paraId="7F0FD204">
            <w:pPr>
              <w:pStyle w:val="6"/>
              <w:spacing w:before="34" w:line="228" w:lineRule="auto"/>
              <w:ind w:left="66"/>
            </w:pPr>
            <w:r>
              <w:rPr>
                <w:spacing w:val="-6"/>
              </w:rPr>
              <w:t>回线</w:t>
            </w:r>
          </w:p>
          <w:p w14:paraId="37910BDB">
            <w:pPr>
              <w:pStyle w:val="6"/>
              <w:spacing w:before="25" w:line="228" w:lineRule="auto"/>
              <w:ind w:left="23"/>
              <w:rPr>
                <w:rFonts w:ascii="Times New Roman" w:hAnsi="Times New Roman" w:eastAsia="Times New Roman" w:cs="Times New Roman"/>
              </w:rPr>
            </w:pPr>
            <w:r>
              <w:rPr>
                <w:spacing w:val="-26"/>
              </w:rPr>
              <w:t>路（</w:t>
            </w:r>
            <w:r>
              <w:rPr>
                <w:rFonts w:ascii="Times New Roman" w:hAnsi="Times New Roman" w:eastAsia="Times New Roman" w:cs="Times New Roman"/>
                <w:spacing w:val="-26"/>
              </w:rPr>
              <w:t>B</w:t>
            </w:r>
          </w:p>
          <w:p w14:paraId="1EE12EDB">
            <w:pPr>
              <w:pStyle w:val="6"/>
              <w:spacing w:before="25" w:line="231" w:lineRule="auto"/>
              <w:ind w:left="172"/>
            </w:pPr>
            <w:r>
              <w:t>回</w:t>
            </w:r>
          </w:p>
          <w:p w14:paraId="5E753161">
            <w:pPr>
              <w:pStyle w:val="6"/>
              <w:spacing w:before="21" w:line="228" w:lineRule="auto"/>
              <w:ind w:left="48"/>
            </w:pPr>
            <w:r>
              <w:rPr>
                <w:spacing w:val="-1"/>
              </w:rPr>
              <w:t>线）</w:t>
            </w:r>
          </w:p>
        </w:tc>
        <w:tc>
          <w:tcPr>
            <w:tcW w:w="923" w:type="dxa"/>
            <w:vAlign w:val="top"/>
          </w:tcPr>
          <w:p w14:paraId="1C4E7759">
            <w:pPr>
              <w:spacing w:line="253" w:lineRule="auto"/>
              <w:rPr>
                <w:rFonts w:ascii="Arial"/>
                <w:sz w:val="21"/>
              </w:rPr>
            </w:pPr>
          </w:p>
          <w:p w14:paraId="5910BCCD">
            <w:pPr>
              <w:spacing w:line="254" w:lineRule="auto"/>
              <w:rPr>
                <w:rFonts w:ascii="Arial"/>
                <w:sz w:val="21"/>
              </w:rPr>
            </w:pPr>
          </w:p>
          <w:p w14:paraId="02D86B81">
            <w:pPr>
              <w:pStyle w:val="6"/>
              <w:spacing w:before="65" w:line="224" w:lineRule="auto"/>
              <w:ind w:left="142"/>
            </w:pPr>
            <w:r>
              <w:rPr>
                <w:rFonts w:ascii="MS PGothic" w:hAnsi="MS PGothic" w:eastAsia="MS PGothic" w:cs="MS PGothic"/>
                <w:spacing w:val="8"/>
              </w:rPr>
              <w:t>⑩</w:t>
            </w:r>
            <w:r>
              <w:rPr>
                <w:spacing w:val="8"/>
              </w:rPr>
              <w:t>菜地</w:t>
            </w:r>
          </w:p>
          <w:p w14:paraId="23AC4CD2">
            <w:pPr>
              <w:pStyle w:val="6"/>
              <w:spacing w:before="28" w:line="228" w:lineRule="auto"/>
              <w:ind w:left="145"/>
            </w:pPr>
            <w:r>
              <w:rPr>
                <w:spacing w:val="6"/>
              </w:rPr>
              <w:t>看护用</w:t>
            </w:r>
          </w:p>
          <w:p w14:paraId="7D69C416">
            <w:pPr>
              <w:pStyle w:val="6"/>
              <w:spacing w:before="27" w:line="228" w:lineRule="auto"/>
              <w:ind w:left="357"/>
            </w:pPr>
            <w:r>
              <w:t>房</w:t>
            </w:r>
          </w:p>
        </w:tc>
        <w:tc>
          <w:tcPr>
            <w:tcW w:w="1898" w:type="dxa"/>
            <w:vAlign w:val="top"/>
          </w:tcPr>
          <w:p w14:paraId="6DADA628">
            <w:pPr>
              <w:pStyle w:val="6"/>
              <w:spacing w:before="164" w:line="228" w:lineRule="auto"/>
              <w:ind w:left="122"/>
            </w:pPr>
            <w:r>
              <w:rPr>
                <w:spacing w:val="1"/>
              </w:rPr>
              <w:t>位于</w:t>
            </w:r>
            <w:r>
              <w:rPr>
                <w:spacing w:val="-44"/>
              </w:rPr>
              <w:t xml:space="preserve"> </w:t>
            </w:r>
            <w:r>
              <w:rPr>
                <w:rFonts w:ascii="Times New Roman" w:hAnsi="Times New Roman" w:eastAsia="Times New Roman" w:cs="Times New Roman"/>
                <w:spacing w:val="1"/>
              </w:rPr>
              <w:t>A</w:t>
            </w:r>
            <w:r>
              <w:rPr>
                <w:rFonts w:ascii="Times New Roman" w:hAnsi="Times New Roman" w:eastAsia="Times New Roman" w:cs="Times New Roman"/>
                <w:spacing w:val="-27"/>
              </w:rPr>
              <w:t xml:space="preserve"> </w:t>
            </w:r>
            <w:r>
              <w:rPr>
                <w:spacing w:val="1"/>
              </w:rPr>
              <w:t>、</w:t>
            </w:r>
            <w:r>
              <w:rPr>
                <w:rFonts w:ascii="Times New Roman" w:hAnsi="Times New Roman" w:eastAsia="Times New Roman" w:cs="Times New Roman"/>
                <w:spacing w:val="1"/>
              </w:rPr>
              <w:t>B</w:t>
            </w:r>
            <w:r>
              <w:rPr>
                <w:rFonts w:ascii="Times New Roman" w:hAnsi="Times New Roman" w:eastAsia="Times New Roman" w:cs="Times New Roman"/>
                <w:spacing w:val="32"/>
              </w:rPr>
              <w:t xml:space="preserve"> </w:t>
            </w:r>
            <w:r>
              <w:rPr>
                <w:spacing w:val="1"/>
              </w:rPr>
              <w:t>回线路</w:t>
            </w:r>
          </w:p>
          <w:p w14:paraId="5374F302">
            <w:pPr>
              <w:pStyle w:val="6"/>
              <w:spacing w:before="26" w:line="228" w:lineRule="auto"/>
              <w:ind w:left="130"/>
            </w:pPr>
            <w:r>
              <w:rPr>
                <w:spacing w:val="6"/>
              </w:rPr>
              <w:t>中间；菜地看护用</w:t>
            </w:r>
          </w:p>
          <w:p w14:paraId="47118776">
            <w:pPr>
              <w:pStyle w:val="6"/>
              <w:spacing w:before="24" w:line="228" w:lineRule="auto"/>
              <w:ind w:left="111"/>
            </w:pPr>
            <w:r>
              <w:rPr>
                <w:spacing w:val="11"/>
              </w:rPr>
              <w:t>房的居住区与</w:t>
            </w:r>
            <w:r>
              <w:rPr>
                <w:rFonts w:ascii="Times New Roman" w:hAnsi="Times New Roman" w:eastAsia="Times New Roman" w:cs="Times New Roman"/>
                <w:spacing w:val="11"/>
              </w:rPr>
              <w:t>B</w:t>
            </w:r>
            <w:r>
              <w:rPr>
                <w:rFonts w:ascii="Times New Roman" w:hAnsi="Times New Roman" w:eastAsia="Times New Roman" w:cs="Times New Roman"/>
                <w:spacing w:val="20"/>
                <w:w w:val="101"/>
              </w:rPr>
              <w:t xml:space="preserve"> </w:t>
            </w:r>
            <w:r>
              <w:rPr>
                <w:spacing w:val="11"/>
              </w:rPr>
              <w:t>回</w:t>
            </w:r>
          </w:p>
          <w:p w14:paraId="44520B98">
            <w:pPr>
              <w:pStyle w:val="6"/>
              <w:spacing w:before="26" w:line="228" w:lineRule="auto"/>
              <w:ind w:left="113"/>
            </w:pPr>
            <w:r>
              <w:rPr>
                <w:spacing w:val="7"/>
              </w:rPr>
              <w:t>线（单回）南侧，</w:t>
            </w:r>
          </w:p>
          <w:p w14:paraId="5C13A1AC">
            <w:pPr>
              <w:pStyle w:val="6"/>
              <w:spacing w:before="24" w:line="228" w:lineRule="auto"/>
              <w:ind w:left="225"/>
            </w:pPr>
            <w:r>
              <w:rPr>
                <w:rFonts w:ascii="Times New Roman" w:hAnsi="Times New Roman" w:eastAsia="Times New Roman" w:cs="Times New Roman"/>
              </w:rPr>
              <w:t>BZ</w:t>
            </w:r>
            <w:r>
              <w:rPr>
                <w:rFonts w:ascii="Times New Roman" w:hAnsi="Times New Roman" w:eastAsia="Times New Roman" w:cs="Times New Roman"/>
                <w:spacing w:val="5"/>
              </w:rPr>
              <w:t>1-</w:t>
            </w:r>
            <w:r>
              <w:rPr>
                <w:rFonts w:ascii="Times New Roman" w:hAnsi="Times New Roman" w:eastAsia="Times New Roman" w:cs="Times New Roman"/>
                <w:spacing w:val="-26"/>
              </w:rPr>
              <w:t xml:space="preserve"> </w:t>
            </w:r>
            <w:r>
              <w:rPr>
                <w:rFonts w:ascii="Times New Roman" w:hAnsi="Times New Roman" w:eastAsia="Times New Roman" w:cs="Times New Roman"/>
                <w:spacing w:val="5"/>
              </w:rPr>
              <w:t xml:space="preserve">1 </w:t>
            </w:r>
            <w:r>
              <w:rPr>
                <w:spacing w:val="5"/>
              </w:rPr>
              <w:t>塔基西侧</w:t>
            </w:r>
          </w:p>
          <w:p w14:paraId="54BAC973">
            <w:pPr>
              <w:pStyle w:val="6"/>
              <w:spacing w:before="27" w:line="230" w:lineRule="auto"/>
              <w:ind w:left="660"/>
            </w:pPr>
            <w:r>
              <w:rPr>
                <w:rFonts w:ascii="Times New Roman" w:hAnsi="Times New Roman" w:eastAsia="Times New Roman" w:cs="Times New Roman"/>
                <w:spacing w:val="2"/>
              </w:rPr>
              <w:t>35m</w:t>
            </w:r>
            <w:r>
              <w:rPr>
                <w:spacing w:val="2"/>
              </w:rPr>
              <w:t>；</w:t>
            </w:r>
          </w:p>
        </w:tc>
        <w:tc>
          <w:tcPr>
            <w:tcW w:w="1326" w:type="dxa"/>
            <w:vAlign w:val="top"/>
          </w:tcPr>
          <w:p w14:paraId="49DCDA79">
            <w:pPr>
              <w:pStyle w:val="6"/>
              <w:spacing w:before="31" w:line="228" w:lineRule="auto"/>
              <w:ind w:left="125"/>
            </w:pPr>
            <w:r>
              <w:t>位于</w:t>
            </w:r>
            <w:r>
              <w:rPr>
                <w:spacing w:val="-42"/>
              </w:rPr>
              <w:t xml:space="preserve"> </w:t>
            </w:r>
            <w:r>
              <w:rPr>
                <w:rFonts w:ascii="Times New Roman" w:hAnsi="Times New Roman" w:eastAsia="Times New Roman" w:cs="Times New Roman"/>
              </w:rPr>
              <w:t>B</w:t>
            </w:r>
            <w:r>
              <w:rPr>
                <w:rFonts w:ascii="Times New Roman" w:hAnsi="Times New Roman" w:eastAsia="Times New Roman" w:cs="Times New Roman"/>
                <w:spacing w:val="32"/>
              </w:rPr>
              <w:t xml:space="preserve"> </w:t>
            </w:r>
            <w:r>
              <w:t>回线</w:t>
            </w:r>
          </w:p>
          <w:p w14:paraId="197D5D67">
            <w:pPr>
              <w:pStyle w:val="6"/>
              <w:spacing w:before="25" w:line="228" w:lineRule="auto"/>
              <w:ind w:left="146"/>
            </w:pPr>
            <w:r>
              <w:rPr>
                <w:spacing w:val="7"/>
              </w:rPr>
              <w:t>路边导线地</w:t>
            </w:r>
          </w:p>
          <w:p w14:paraId="544FF995">
            <w:pPr>
              <w:pStyle w:val="6"/>
              <w:spacing w:before="24" w:line="251" w:lineRule="auto"/>
              <w:ind w:left="108" w:right="114" w:firstLine="36"/>
              <w:jc w:val="both"/>
            </w:pPr>
            <w:r>
              <w:rPr>
                <w:spacing w:val="8"/>
              </w:rPr>
              <w:t>面投影西侧</w:t>
            </w:r>
            <w:r>
              <w:rPr>
                <w:rFonts w:ascii="Times New Roman" w:hAnsi="Times New Roman" w:eastAsia="Times New Roman" w:cs="Times New Roman"/>
                <w:spacing w:val="6"/>
              </w:rPr>
              <w:t>4m</w:t>
            </w:r>
            <w:r>
              <w:rPr>
                <w:spacing w:val="6"/>
              </w:rPr>
              <w:t>；位于</w:t>
            </w:r>
            <w:r>
              <w:rPr>
                <w:spacing w:val="-40"/>
              </w:rPr>
              <w:t xml:space="preserve"> </w:t>
            </w:r>
            <w:r>
              <w:rPr>
                <w:rFonts w:ascii="Times New Roman" w:hAnsi="Times New Roman" w:eastAsia="Times New Roman" w:cs="Times New Roman"/>
                <w:spacing w:val="6"/>
              </w:rPr>
              <w:t>A</w:t>
            </w:r>
            <w:r>
              <w:rPr>
                <w:spacing w:val="14"/>
              </w:rPr>
              <w:t>回线路边导</w:t>
            </w:r>
          </w:p>
          <w:p w14:paraId="6DFE150A">
            <w:pPr>
              <w:pStyle w:val="6"/>
              <w:spacing w:before="1" w:line="233" w:lineRule="auto"/>
              <w:ind w:left="142" w:right="135" w:firstLine="4"/>
            </w:pPr>
            <w:r>
              <w:rPr>
                <w:spacing w:val="7"/>
              </w:rPr>
              <w:t>线地面投影</w:t>
            </w:r>
            <w:r>
              <w:rPr>
                <w:spacing w:val="3"/>
              </w:rPr>
              <w:t>南侧</w:t>
            </w:r>
            <w:r>
              <w:rPr>
                <w:spacing w:val="-39"/>
              </w:rPr>
              <w:t xml:space="preserve"> </w:t>
            </w:r>
            <w:r>
              <w:rPr>
                <w:rFonts w:ascii="Times New Roman" w:hAnsi="Times New Roman" w:eastAsia="Times New Roman" w:cs="Times New Roman"/>
                <w:spacing w:val="3"/>
              </w:rPr>
              <w:t>70m</w:t>
            </w:r>
            <w:r>
              <w:rPr>
                <w:spacing w:val="3"/>
              </w:rPr>
              <w:t>；</w:t>
            </w:r>
          </w:p>
        </w:tc>
        <w:tc>
          <w:tcPr>
            <w:tcW w:w="2327" w:type="dxa"/>
            <w:vAlign w:val="top"/>
          </w:tcPr>
          <w:p w14:paraId="05814A4A">
            <w:pPr>
              <w:spacing w:line="253" w:lineRule="auto"/>
              <w:rPr>
                <w:rFonts w:ascii="Arial"/>
                <w:sz w:val="21"/>
              </w:rPr>
            </w:pPr>
          </w:p>
          <w:p w14:paraId="786C51DD">
            <w:pPr>
              <w:spacing w:line="254" w:lineRule="auto"/>
              <w:rPr>
                <w:rFonts w:ascii="Arial"/>
                <w:sz w:val="21"/>
              </w:rPr>
            </w:pPr>
          </w:p>
          <w:p w14:paraId="38994C55">
            <w:pPr>
              <w:pStyle w:val="6"/>
              <w:spacing w:before="65" w:line="228" w:lineRule="auto"/>
              <w:ind w:left="459"/>
            </w:pP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清中东线</w:t>
            </w:r>
          </w:p>
          <w:p w14:paraId="3E7525EE">
            <w:pPr>
              <w:pStyle w:val="6"/>
              <w:spacing w:before="24" w:line="228" w:lineRule="auto"/>
              <w:ind w:left="63"/>
            </w:pPr>
            <w:r>
              <w:rPr>
                <w:rFonts w:ascii="Times New Roman" w:hAnsi="Times New Roman" w:eastAsia="Times New Roman" w:cs="Times New Roman"/>
                <w:spacing w:val="6"/>
              </w:rPr>
              <w:t>038#~039#</w:t>
            </w:r>
            <w:r>
              <w:rPr>
                <w:spacing w:val="6"/>
              </w:rPr>
              <w:t>杆塔间线路边</w:t>
            </w:r>
          </w:p>
          <w:p w14:paraId="242FD6BC">
            <w:pPr>
              <w:pStyle w:val="6"/>
              <w:spacing w:before="27" w:line="228" w:lineRule="auto"/>
              <w:ind w:left="441"/>
            </w:pPr>
            <w:r>
              <w:rPr>
                <w:spacing w:val="7"/>
              </w:rPr>
              <w:t>导线地面投影处</w:t>
            </w:r>
          </w:p>
        </w:tc>
        <w:tc>
          <w:tcPr>
            <w:tcW w:w="790" w:type="dxa"/>
            <w:vAlign w:val="top"/>
          </w:tcPr>
          <w:p w14:paraId="0E2E8476">
            <w:pPr>
              <w:spacing w:line="274" w:lineRule="auto"/>
              <w:rPr>
                <w:rFonts w:ascii="Arial"/>
                <w:sz w:val="21"/>
              </w:rPr>
            </w:pPr>
          </w:p>
          <w:p w14:paraId="4FDCB4F2">
            <w:pPr>
              <w:spacing w:line="274" w:lineRule="auto"/>
              <w:rPr>
                <w:rFonts w:ascii="Arial"/>
                <w:sz w:val="21"/>
              </w:rPr>
            </w:pPr>
          </w:p>
          <w:p w14:paraId="4F7FFA26">
            <w:pPr>
              <w:spacing w:line="274" w:lineRule="auto"/>
              <w:rPr>
                <w:rFonts w:ascii="Arial"/>
                <w:sz w:val="21"/>
              </w:rPr>
            </w:pPr>
          </w:p>
          <w:p w14:paraId="37F52B92">
            <w:pPr>
              <w:spacing w:before="58"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41.0</w:t>
            </w:r>
          </w:p>
        </w:tc>
        <w:tc>
          <w:tcPr>
            <w:tcW w:w="771" w:type="dxa"/>
            <w:vAlign w:val="top"/>
          </w:tcPr>
          <w:p w14:paraId="76089C6D">
            <w:pPr>
              <w:spacing w:line="274" w:lineRule="auto"/>
              <w:rPr>
                <w:rFonts w:ascii="Arial"/>
                <w:sz w:val="21"/>
              </w:rPr>
            </w:pPr>
          </w:p>
          <w:p w14:paraId="7CD88CB5">
            <w:pPr>
              <w:spacing w:line="274" w:lineRule="auto"/>
              <w:rPr>
                <w:rFonts w:ascii="Arial"/>
                <w:sz w:val="21"/>
              </w:rPr>
            </w:pPr>
          </w:p>
          <w:p w14:paraId="21223392">
            <w:pPr>
              <w:spacing w:line="274" w:lineRule="auto"/>
              <w:rPr>
                <w:rFonts w:ascii="Arial"/>
                <w:sz w:val="21"/>
              </w:rPr>
            </w:pPr>
          </w:p>
          <w:p w14:paraId="3AD461A1">
            <w:pPr>
              <w:spacing w:before="58" w:line="195" w:lineRule="auto"/>
              <w:ind w:left="2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38.5</w:t>
            </w:r>
          </w:p>
        </w:tc>
        <w:tc>
          <w:tcPr>
            <w:tcW w:w="144" w:type="dxa"/>
            <w:vMerge w:val="continue"/>
            <w:tcBorders>
              <w:top w:val="nil"/>
              <w:bottom w:val="nil"/>
              <w:right w:val="single" w:color="000000" w:sz="6" w:space="0"/>
            </w:tcBorders>
            <w:vAlign w:val="top"/>
          </w:tcPr>
          <w:p w14:paraId="097AA8C3">
            <w:pPr>
              <w:rPr>
                <w:rFonts w:ascii="Arial"/>
                <w:sz w:val="21"/>
              </w:rPr>
            </w:pPr>
          </w:p>
        </w:tc>
      </w:tr>
      <w:tr w14:paraId="5BB494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9" w:hRule="atLeast"/>
        </w:trPr>
        <w:tc>
          <w:tcPr>
            <w:tcW w:w="478" w:type="dxa"/>
            <w:vMerge w:val="continue"/>
            <w:tcBorders>
              <w:top w:val="nil"/>
              <w:left w:val="single" w:color="000000" w:sz="6" w:space="0"/>
              <w:bottom w:val="nil"/>
            </w:tcBorders>
            <w:vAlign w:val="top"/>
          </w:tcPr>
          <w:p w14:paraId="228B1AFE">
            <w:pPr>
              <w:rPr>
                <w:rFonts w:ascii="Arial"/>
                <w:sz w:val="21"/>
              </w:rPr>
            </w:pPr>
          </w:p>
        </w:tc>
        <w:tc>
          <w:tcPr>
            <w:tcW w:w="135" w:type="dxa"/>
            <w:tcBorders>
              <w:top w:val="nil"/>
              <w:bottom w:val="nil"/>
            </w:tcBorders>
            <w:vAlign w:val="top"/>
          </w:tcPr>
          <w:p w14:paraId="068DBEE4">
            <w:pPr>
              <w:rPr>
                <w:rFonts w:ascii="Arial"/>
                <w:sz w:val="21"/>
              </w:rPr>
            </w:pPr>
          </w:p>
        </w:tc>
        <w:tc>
          <w:tcPr>
            <w:tcW w:w="515" w:type="dxa"/>
            <w:vMerge w:val="continue"/>
            <w:tcBorders>
              <w:top w:val="nil"/>
              <w:bottom w:val="nil"/>
            </w:tcBorders>
            <w:vAlign w:val="top"/>
          </w:tcPr>
          <w:p w14:paraId="0B1701F5">
            <w:pPr>
              <w:rPr>
                <w:rFonts w:ascii="Arial"/>
                <w:sz w:val="21"/>
              </w:rPr>
            </w:pPr>
          </w:p>
        </w:tc>
        <w:tc>
          <w:tcPr>
            <w:tcW w:w="923" w:type="dxa"/>
            <w:vAlign w:val="top"/>
          </w:tcPr>
          <w:p w14:paraId="076E015E">
            <w:pPr>
              <w:pStyle w:val="6"/>
              <w:spacing w:before="155" w:line="224" w:lineRule="auto"/>
              <w:ind w:left="142"/>
            </w:pPr>
            <w:r>
              <w:rPr>
                <w:rFonts w:ascii="MS PGothic" w:hAnsi="MS PGothic" w:eastAsia="MS PGothic" w:cs="MS PGothic"/>
                <w:spacing w:val="8"/>
              </w:rPr>
              <w:t>⑩</w:t>
            </w:r>
            <w:r>
              <w:rPr>
                <w:spacing w:val="8"/>
              </w:rPr>
              <w:t>菜地</w:t>
            </w:r>
          </w:p>
          <w:p w14:paraId="25FA0039">
            <w:pPr>
              <w:pStyle w:val="6"/>
              <w:spacing w:before="29" w:line="254" w:lineRule="auto"/>
              <w:ind w:left="357" w:right="151" w:hanging="212"/>
            </w:pPr>
            <w:r>
              <w:rPr>
                <w:spacing w:val="6"/>
              </w:rPr>
              <w:t>看护用</w:t>
            </w:r>
            <w:r>
              <w:t>房</w:t>
            </w:r>
          </w:p>
        </w:tc>
        <w:tc>
          <w:tcPr>
            <w:tcW w:w="1898" w:type="dxa"/>
            <w:vAlign w:val="top"/>
          </w:tcPr>
          <w:p w14:paraId="0593CCC2">
            <w:pPr>
              <w:pStyle w:val="6"/>
              <w:spacing w:before="155" w:line="228" w:lineRule="auto"/>
              <w:ind w:left="217"/>
            </w:pPr>
            <w:r>
              <w:rPr>
                <w:spacing w:val="6"/>
              </w:rPr>
              <w:t>单回线路西侧，</w:t>
            </w:r>
          </w:p>
          <w:p w14:paraId="29990297">
            <w:pPr>
              <w:pStyle w:val="6"/>
              <w:spacing w:before="24" w:line="228" w:lineRule="auto"/>
              <w:ind w:left="132"/>
            </w:pPr>
            <w:r>
              <w:rPr>
                <w:rFonts w:ascii="Times New Roman" w:hAnsi="Times New Roman" w:eastAsia="Times New Roman" w:cs="Times New Roman"/>
              </w:rPr>
              <w:t>BZ</w:t>
            </w:r>
            <w:r>
              <w:rPr>
                <w:rFonts w:ascii="Times New Roman" w:hAnsi="Times New Roman" w:eastAsia="Times New Roman" w:cs="Times New Roman"/>
                <w:spacing w:val="9"/>
              </w:rPr>
              <w:t xml:space="preserve">2G </w:t>
            </w:r>
            <w:r>
              <w:rPr>
                <w:spacing w:val="9"/>
              </w:rPr>
              <w:t>塔基西南侧</w:t>
            </w:r>
          </w:p>
          <w:p w14:paraId="55457AD9">
            <w:pPr>
              <w:pStyle w:val="6"/>
              <w:spacing w:before="26" w:line="230" w:lineRule="auto"/>
              <w:ind w:left="623"/>
            </w:pPr>
            <w:r>
              <w:rPr>
                <w:rFonts w:ascii="Times New Roman" w:hAnsi="Times New Roman" w:eastAsia="Times New Roman" w:cs="Times New Roman"/>
                <w:spacing w:val="-1"/>
              </w:rPr>
              <w:t>160m</w:t>
            </w:r>
            <w:r>
              <w:rPr>
                <w:spacing w:val="-1"/>
              </w:rPr>
              <w:t>；</w:t>
            </w:r>
          </w:p>
        </w:tc>
        <w:tc>
          <w:tcPr>
            <w:tcW w:w="1326" w:type="dxa"/>
            <w:vAlign w:val="top"/>
          </w:tcPr>
          <w:p w14:paraId="2C6E295E">
            <w:pPr>
              <w:pStyle w:val="6"/>
              <w:spacing w:before="35" w:line="228" w:lineRule="auto"/>
              <w:ind w:left="125"/>
            </w:pPr>
            <w:r>
              <w:t>位于</w:t>
            </w:r>
            <w:r>
              <w:rPr>
                <w:spacing w:val="-42"/>
              </w:rPr>
              <w:t xml:space="preserve"> </w:t>
            </w:r>
            <w:r>
              <w:rPr>
                <w:rFonts w:ascii="Times New Roman" w:hAnsi="Times New Roman" w:eastAsia="Times New Roman" w:cs="Times New Roman"/>
              </w:rPr>
              <w:t>B</w:t>
            </w:r>
            <w:r>
              <w:rPr>
                <w:rFonts w:ascii="Times New Roman" w:hAnsi="Times New Roman" w:eastAsia="Times New Roman" w:cs="Times New Roman"/>
                <w:spacing w:val="32"/>
              </w:rPr>
              <w:t xml:space="preserve"> </w:t>
            </w:r>
            <w:r>
              <w:t>回线</w:t>
            </w:r>
          </w:p>
          <w:p w14:paraId="184184AE">
            <w:pPr>
              <w:pStyle w:val="6"/>
              <w:spacing w:before="24" w:line="228" w:lineRule="auto"/>
              <w:ind w:left="143"/>
            </w:pPr>
            <w:r>
              <w:rPr>
                <w:spacing w:val="8"/>
              </w:rPr>
              <w:t>边导线地面</w:t>
            </w:r>
          </w:p>
          <w:p w14:paraId="2F5701B2">
            <w:pPr>
              <w:pStyle w:val="6"/>
              <w:spacing w:before="25" w:line="228" w:lineRule="auto"/>
              <w:ind w:left="250"/>
            </w:pPr>
            <w:r>
              <w:rPr>
                <w:spacing w:val="7"/>
              </w:rPr>
              <w:t>投影西侧</w:t>
            </w:r>
          </w:p>
          <w:p w14:paraId="4B3AB315">
            <w:pPr>
              <w:spacing w:before="46" w:line="173" w:lineRule="auto"/>
              <w:ind w:left="536"/>
              <w:rPr>
                <w:rFonts w:ascii="Times New Roman" w:hAnsi="Times New Roman" w:eastAsia="Times New Roman" w:cs="Times New Roman"/>
                <w:sz w:val="20"/>
                <w:szCs w:val="20"/>
              </w:rPr>
            </w:pPr>
            <w:r>
              <w:rPr>
                <w:rFonts w:ascii="Times New Roman" w:hAnsi="Times New Roman" w:eastAsia="Times New Roman" w:cs="Times New Roman"/>
                <w:sz w:val="20"/>
                <w:szCs w:val="20"/>
              </w:rPr>
              <w:t>6m</w:t>
            </w:r>
          </w:p>
        </w:tc>
        <w:tc>
          <w:tcPr>
            <w:tcW w:w="2327" w:type="dxa"/>
            <w:vAlign w:val="top"/>
          </w:tcPr>
          <w:p w14:paraId="579337B7">
            <w:pPr>
              <w:pStyle w:val="6"/>
              <w:spacing w:before="155" w:line="228" w:lineRule="auto"/>
              <w:ind w:left="459"/>
            </w:pP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清中东线</w:t>
            </w:r>
          </w:p>
          <w:p w14:paraId="6E2F951B">
            <w:pPr>
              <w:pStyle w:val="6"/>
              <w:spacing w:before="24" w:line="228" w:lineRule="auto"/>
              <w:ind w:left="63"/>
            </w:pPr>
            <w:r>
              <w:rPr>
                <w:rFonts w:ascii="Times New Roman" w:hAnsi="Times New Roman" w:eastAsia="Times New Roman" w:cs="Times New Roman"/>
                <w:spacing w:val="6"/>
              </w:rPr>
              <w:t>038#~039#</w:t>
            </w:r>
            <w:r>
              <w:rPr>
                <w:spacing w:val="6"/>
              </w:rPr>
              <w:t>杆塔间线路边</w:t>
            </w:r>
          </w:p>
          <w:p w14:paraId="5E3341B6">
            <w:pPr>
              <w:pStyle w:val="6"/>
              <w:spacing w:before="27" w:line="228" w:lineRule="auto"/>
              <w:ind w:left="703"/>
              <w:rPr>
                <w:rFonts w:ascii="Times New Roman" w:hAnsi="Times New Roman" w:eastAsia="Times New Roman" w:cs="Times New Roman"/>
              </w:rPr>
            </w:pPr>
            <w:r>
              <w:rPr>
                <w:spacing w:val="3"/>
              </w:rPr>
              <w:t>导线外</w:t>
            </w:r>
            <w:r>
              <w:rPr>
                <w:spacing w:val="-36"/>
              </w:rPr>
              <w:t xml:space="preserve"> </w:t>
            </w:r>
            <w:r>
              <w:rPr>
                <w:rFonts w:ascii="Times New Roman" w:hAnsi="Times New Roman" w:eastAsia="Times New Roman" w:cs="Times New Roman"/>
                <w:spacing w:val="3"/>
              </w:rPr>
              <w:t>5m</w:t>
            </w:r>
          </w:p>
        </w:tc>
        <w:tc>
          <w:tcPr>
            <w:tcW w:w="790" w:type="dxa"/>
            <w:vAlign w:val="top"/>
          </w:tcPr>
          <w:p w14:paraId="5EE7BDD9">
            <w:pPr>
              <w:spacing w:line="404" w:lineRule="auto"/>
              <w:rPr>
                <w:rFonts w:ascii="Arial"/>
                <w:sz w:val="21"/>
              </w:rPr>
            </w:pPr>
          </w:p>
          <w:p w14:paraId="3A1D671C">
            <w:pPr>
              <w:spacing w:before="58"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41.</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2"/>
                <w:sz w:val="20"/>
                <w:szCs w:val="20"/>
              </w:rPr>
              <w:t>1</w:t>
            </w:r>
          </w:p>
        </w:tc>
        <w:tc>
          <w:tcPr>
            <w:tcW w:w="771" w:type="dxa"/>
            <w:vAlign w:val="top"/>
          </w:tcPr>
          <w:p w14:paraId="0305DD26">
            <w:pPr>
              <w:spacing w:line="404" w:lineRule="auto"/>
              <w:rPr>
                <w:rFonts w:ascii="Arial"/>
                <w:sz w:val="21"/>
              </w:rPr>
            </w:pPr>
          </w:p>
          <w:p w14:paraId="6A578350">
            <w:pPr>
              <w:spacing w:before="58" w:line="195" w:lineRule="auto"/>
              <w:ind w:left="2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38.5</w:t>
            </w:r>
          </w:p>
        </w:tc>
        <w:tc>
          <w:tcPr>
            <w:tcW w:w="144" w:type="dxa"/>
            <w:vMerge w:val="continue"/>
            <w:tcBorders>
              <w:top w:val="nil"/>
              <w:bottom w:val="nil"/>
              <w:right w:val="single" w:color="000000" w:sz="6" w:space="0"/>
            </w:tcBorders>
            <w:vAlign w:val="top"/>
          </w:tcPr>
          <w:p w14:paraId="33244969">
            <w:pPr>
              <w:rPr>
                <w:rFonts w:ascii="Arial"/>
                <w:sz w:val="21"/>
              </w:rPr>
            </w:pPr>
          </w:p>
        </w:tc>
      </w:tr>
      <w:tr w14:paraId="4F598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4" w:hRule="atLeast"/>
        </w:trPr>
        <w:tc>
          <w:tcPr>
            <w:tcW w:w="478" w:type="dxa"/>
            <w:vMerge w:val="continue"/>
            <w:tcBorders>
              <w:top w:val="nil"/>
              <w:left w:val="single" w:color="000000" w:sz="6" w:space="0"/>
              <w:bottom w:val="nil"/>
            </w:tcBorders>
            <w:vAlign w:val="top"/>
          </w:tcPr>
          <w:p w14:paraId="100B365C">
            <w:pPr>
              <w:rPr>
                <w:rFonts w:ascii="Arial"/>
                <w:sz w:val="21"/>
              </w:rPr>
            </w:pPr>
          </w:p>
        </w:tc>
        <w:tc>
          <w:tcPr>
            <w:tcW w:w="135" w:type="dxa"/>
            <w:tcBorders>
              <w:top w:val="nil"/>
              <w:bottom w:val="nil"/>
            </w:tcBorders>
            <w:vAlign w:val="top"/>
          </w:tcPr>
          <w:p w14:paraId="41AD97CF">
            <w:pPr>
              <w:rPr>
                <w:rFonts w:ascii="Arial"/>
                <w:sz w:val="21"/>
              </w:rPr>
            </w:pPr>
          </w:p>
        </w:tc>
        <w:tc>
          <w:tcPr>
            <w:tcW w:w="515" w:type="dxa"/>
            <w:vMerge w:val="continue"/>
            <w:tcBorders>
              <w:top w:val="nil"/>
              <w:bottom w:val="nil"/>
            </w:tcBorders>
            <w:vAlign w:val="top"/>
          </w:tcPr>
          <w:p w14:paraId="1CE94D96">
            <w:pPr>
              <w:rPr>
                <w:rFonts w:ascii="Arial"/>
                <w:sz w:val="21"/>
              </w:rPr>
            </w:pPr>
          </w:p>
        </w:tc>
        <w:tc>
          <w:tcPr>
            <w:tcW w:w="923" w:type="dxa"/>
            <w:vAlign w:val="top"/>
          </w:tcPr>
          <w:p w14:paraId="38300674">
            <w:pPr>
              <w:pStyle w:val="6"/>
              <w:spacing w:before="169" w:line="224" w:lineRule="auto"/>
              <w:ind w:left="142"/>
            </w:pPr>
            <w:r>
              <w:rPr>
                <w:rFonts w:ascii="MS PGothic" w:hAnsi="MS PGothic" w:eastAsia="MS PGothic" w:cs="MS PGothic"/>
                <w:spacing w:val="8"/>
              </w:rPr>
              <w:t>⑩</w:t>
            </w:r>
            <w:r>
              <w:rPr>
                <w:spacing w:val="8"/>
              </w:rPr>
              <w:t>菜地</w:t>
            </w:r>
          </w:p>
          <w:p w14:paraId="27B793A8">
            <w:pPr>
              <w:pStyle w:val="6"/>
              <w:spacing w:before="29" w:line="254" w:lineRule="auto"/>
              <w:ind w:left="357" w:right="151" w:hanging="212"/>
            </w:pPr>
            <w:r>
              <w:rPr>
                <w:spacing w:val="6"/>
              </w:rPr>
              <w:t>看护用</w:t>
            </w:r>
            <w:r>
              <w:t>房</w:t>
            </w:r>
          </w:p>
        </w:tc>
        <w:tc>
          <w:tcPr>
            <w:tcW w:w="1898" w:type="dxa"/>
            <w:vAlign w:val="top"/>
          </w:tcPr>
          <w:p w14:paraId="2661D68D">
            <w:pPr>
              <w:pStyle w:val="6"/>
              <w:spacing w:before="169" w:line="228" w:lineRule="auto"/>
              <w:ind w:left="217"/>
            </w:pPr>
            <w:r>
              <w:rPr>
                <w:spacing w:val="6"/>
              </w:rPr>
              <w:t>单回线路东侧，</w:t>
            </w:r>
          </w:p>
          <w:p w14:paraId="252B8B1D">
            <w:pPr>
              <w:pStyle w:val="6"/>
              <w:spacing w:before="24" w:line="230" w:lineRule="auto"/>
              <w:ind w:left="110"/>
            </w:pPr>
            <w:r>
              <w:rPr>
                <w:rFonts w:ascii="Times New Roman" w:hAnsi="Times New Roman" w:eastAsia="Times New Roman" w:cs="Times New Roman"/>
              </w:rPr>
              <w:t>BJ</w:t>
            </w:r>
            <w:r>
              <w:rPr>
                <w:rFonts w:ascii="Times New Roman" w:hAnsi="Times New Roman" w:eastAsia="Times New Roman" w:cs="Times New Roman"/>
                <w:spacing w:val="12"/>
              </w:rPr>
              <w:t>6</w:t>
            </w:r>
            <w:r>
              <w:rPr>
                <w:rFonts w:ascii="Times New Roman" w:hAnsi="Times New Roman" w:eastAsia="Times New Roman" w:cs="Times New Roman"/>
              </w:rPr>
              <w:t>GGG</w:t>
            </w:r>
            <w:r>
              <w:rPr>
                <w:rFonts w:ascii="Times New Roman" w:hAnsi="Times New Roman" w:eastAsia="Times New Roman" w:cs="Times New Roman"/>
                <w:spacing w:val="12"/>
              </w:rPr>
              <w:t xml:space="preserve"> </w:t>
            </w:r>
            <w:r>
              <w:rPr>
                <w:spacing w:val="12"/>
              </w:rPr>
              <w:t>塔基西南</w:t>
            </w:r>
          </w:p>
          <w:p w14:paraId="74C7B53A">
            <w:pPr>
              <w:pStyle w:val="6"/>
              <w:spacing w:before="24" w:line="228" w:lineRule="auto"/>
              <w:ind w:left="579"/>
              <w:rPr>
                <w:rFonts w:ascii="Times New Roman" w:hAnsi="Times New Roman" w:eastAsia="Times New Roman" w:cs="Times New Roman"/>
              </w:rPr>
            </w:pPr>
            <w:r>
              <w:t>侧</w:t>
            </w:r>
            <w:r>
              <w:rPr>
                <w:spacing w:val="-23"/>
              </w:rPr>
              <w:t xml:space="preserve"> </w:t>
            </w:r>
            <w:r>
              <w:rPr>
                <w:rFonts w:ascii="Times New Roman" w:hAnsi="Times New Roman" w:eastAsia="Times New Roman" w:cs="Times New Roman"/>
              </w:rPr>
              <w:t>100m</w:t>
            </w:r>
          </w:p>
        </w:tc>
        <w:tc>
          <w:tcPr>
            <w:tcW w:w="1326" w:type="dxa"/>
            <w:vAlign w:val="top"/>
          </w:tcPr>
          <w:p w14:paraId="602A0841">
            <w:pPr>
              <w:pStyle w:val="6"/>
              <w:spacing w:before="49" w:line="228" w:lineRule="auto"/>
              <w:ind w:left="125"/>
            </w:pPr>
            <w:r>
              <w:t>位于</w:t>
            </w:r>
            <w:r>
              <w:rPr>
                <w:spacing w:val="-42"/>
              </w:rPr>
              <w:t xml:space="preserve"> </w:t>
            </w:r>
            <w:r>
              <w:rPr>
                <w:rFonts w:ascii="Times New Roman" w:hAnsi="Times New Roman" w:eastAsia="Times New Roman" w:cs="Times New Roman"/>
              </w:rPr>
              <w:t>B</w:t>
            </w:r>
            <w:r>
              <w:rPr>
                <w:rFonts w:ascii="Times New Roman" w:hAnsi="Times New Roman" w:eastAsia="Times New Roman" w:cs="Times New Roman"/>
                <w:spacing w:val="32"/>
              </w:rPr>
              <w:t xml:space="preserve"> </w:t>
            </w:r>
            <w:r>
              <w:t>回线</w:t>
            </w:r>
          </w:p>
          <w:p w14:paraId="5A58055C">
            <w:pPr>
              <w:pStyle w:val="6"/>
              <w:spacing w:before="24" w:line="228" w:lineRule="auto"/>
              <w:ind w:left="143"/>
            </w:pPr>
            <w:r>
              <w:rPr>
                <w:spacing w:val="8"/>
              </w:rPr>
              <w:t>边导线地面</w:t>
            </w:r>
          </w:p>
          <w:p w14:paraId="50D597C2">
            <w:pPr>
              <w:pStyle w:val="6"/>
              <w:spacing w:before="25" w:line="228" w:lineRule="auto"/>
              <w:ind w:left="250"/>
            </w:pPr>
            <w:r>
              <w:rPr>
                <w:spacing w:val="7"/>
              </w:rPr>
              <w:t>投影东侧</w:t>
            </w:r>
          </w:p>
          <w:p w14:paraId="768C9A38">
            <w:pPr>
              <w:spacing w:before="49" w:line="171" w:lineRule="auto"/>
              <w:ind w:left="53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5m</w:t>
            </w:r>
          </w:p>
        </w:tc>
        <w:tc>
          <w:tcPr>
            <w:tcW w:w="2327" w:type="dxa"/>
            <w:vAlign w:val="top"/>
          </w:tcPr>
          <w:p w14:paraId="24C2939B">
            <w:pPr>
              <w:pStyle w:val="6"/>
              <w:spacing w:before="169" w:line="228" w:lineRule="auto"/>
              <w:ind w:left="459"/>
            </w:pP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清中东线</w:t>
            </w:r>
          </w:p>
          <w:p w14:paraId="39034966">
            <w:pPr>
              <w:pStyle w:val="6"/>
              <w:spacing w:before="24" w:line="228" w:lineRule="auto"/>
              <w:ind w:left="63"/>
            </w:pPr>
            <w:r>
              <w:rPr>
                <w:rFonts w:ascii="Times New Roman" w:hAnsi="Times New Roman" w:eastAsia="Times New Roman" w:cs="Times New Roman"/>
                <w:spacing w:val="6"/>
              </w:rPr>
              <w:t>038#~039#</w:t>
            </w:r>
            <w:r>
              <w:rPr>
                <w:spacing w:val="6"/>
              </w:rPr>
              <w:t>杆塔间线路边</w:t>
            </w:r>
          </w:p>
          <w:p w14:paraId="137FA0CC">
            <w:pPr>
              <w:pStyle w:val="6"/>
              <w:spacing w:before="27" w:line="228" w:lineRule="auto"/>
              <w:ind w:left="703"/>
              <w:rPr>
                <w:rFonts w:ascii="Times New Roman" w:hAnsi="Times New Roman" w:eastAsia="Times New Roman" w:cs="Times New Roman"/>
              </w:rPr>
            </w:pPr>
            <w:r>
              <w:rPr>
                <w:spacing w:val="3"/>
              </w:rPr>
              <w:t>导线外</w:t>
            </w:r>
            <w:r>
              <w:rPr>
                <w:spacing w:val="-36"/>
              </w:rPr>
              <w:t xml:space="preserve"> </w:t>
            </w:r>
            <w:r>
              <w:rPr>
                <w:rFonts w:ascii="Times New Roman" w:hAnsi="Times New Roman" w:eastAsia="Times New Roman" w:cs="Times New Roman"/>
                <w:spacing w:val="3"/>
              </w:rPr>
              <w:t>5m</w:t>
            </w:r>
          </w:p>
        </w:tc>
        <w:tc>
          <w:tcPr>
            <w:tcW w:w="790" w:type="dxa"/>
            <w:vAlign w:val="top"/>
          </w:tcPr>
          <w:p w14:paraId="6493D64F">
            <w:pPr>
              <w:spacing w:line="418" w:lineRule="auto"/>
              <w:rPr>
                <w:rFonts w:ascii="Arial"/>
                <w:sz w:val="21"/>
              </w:rPr>
            </w:pPr>
          </w:p>
          <w:p w14:paraId="3F9A0C39">
            <w:pPr>
              <w:spacing w:before="58"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41.</w:t>
            </w:r>
            <w:r>
              <w:rPr>
                <w:rFonts w:ascii="Times New Roman" w:hAnsi="Times New Roman" w:eastAsia="Times New Roman" w:cs="Times New Roman"/>
                <w:spacing w:val="-24"/>
                <w:sz w:val="20"/>
                <w:szCs w:val="20"/>
              </w:rPr>
              <w:t xml:space="preserve"> </w:t>
            </w:r>
            <w:r>
              <w:rPr>
                <w:rFonts w:ascii="Times New Roman" w:hAnsi="Times New Roman" w:eastAsia="Times New Roman" w:cs="Times New Roman"/>
                <w:spacing w:val="2"/>
                <w:sz w:val="20"/>
                <w:szCs w:val="20"/>
              </w:rPr>
              <w:t>1</w:t>
            </w:r>
          </w:p>
        </w:tc>
        <w:tc>
          <w:tcPr>
            <w:tcW w:w="771" w:type="dxa"/>
            <w:vAlign w:val="top"/>
          </w:tcPr>
          <w:p w14:paraId="6B6A06B4">
            <w:pPr>
              <w:spacing w:line="418" w:lineRule="auto"/>
              <w:rPr>
                <w:rFonts w:ascii="Arial"/>
                <w:sz w:val="21"/>
              </w:rPr>
            </w:pPr>
          </w:p>
          <w:p w14:paraId="304E5B62">
            <w:pPr>
              <w:spacing w:before="58" w:line="195" w:lineRule="auto"/>
              <w:ind w:left="2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38.5</w:t>
            </w:r>
          </w:p>
        </w:tc>
        <w:tc>
          <w:tcPr>
            <w:tcW w:w="144" w:type="dxa"/>
            <w:vMerge w:val="continue"/>
            <w:tcBorders>
              <w:top w:val="nil"/>
              <w:bottom w:val="nil"/>
              <w:right w:val="single" w:color="000000" w:sz="6" w:space="0"/>
            </w:tcBorders>
            <w:vAlign w:val="top"/>
          </w:tcPr>
          <w:p w14:paraId="26AB64C0">
            <w:pPr>
              <w:rPr>
                <w:rFonts w:ascii="Arial"/>
                <w:sz w:val="21"/>
              </w:rPr>
            </w:pPr>
          </w:p>
        </w:tc>
      </w:tr>
      <w:tr w14:paraId="6FCC6C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5" w:hRule="atLeast"/>
        </w:trPr>
        <w:tc>
          <w:tcPr>
            <w:tcW w:w="478" w:type="dxa"/>
            <w:vMerge w:val="continue"/>
            <w:tcBorders>
              <w:top w:val="nil"/>
              <w:left w:val="single" w:color="000000" w:sz="6" w:space="0"/>
              <w:bottom w:val="nil"/>
            </w:tcBorders>
            <w:vAlign w:val="top"/>
          </w:tcPr>
          <w:p w14:paraId="61B5BC71">
            <w:pPr>
              <w:rPr>
                <w:rFonts w:ascii="Arial"/>
                <w:sz w:val="21"/>
              </w:rPr>
            </w:pPr>
          </w:p>
        </w:tc>
        <w:tc>
          <w:tcPr>
            <w:tcW w:w="135" w:type="dxa"/>
            <w:tcBorders>
              <w:top w:val="nil"/>
              <w:bottom w:val="nil"/>
            </w:tcBorders>
            <w:vAlign w:val="top"/>
          </w:tcPr>
          <w:p w14:paraId="5EA4285F">
            <w:pPr>
              <w:rPr>
                <w:rFonts w:ascii="Arial"/>
                <w:sz w:val="21"/>
              </w:rPr>
            </w:pPr>
          </w:p>
        </w:tc>
        <w:tc>
          <w:tcPr>
            <w:tcW w:w="515" w:type="dxa"/>
            <w:vMerge w:val="continue"/>
            <w:tcBorders>
              <w:top w:val="nil"/>
            </w:tcBorders>
            <w:vAlign w:val="top"/>
          </w:tcPr>
          <w:p w14:paraId="6F2DB438">
            <w:pPr>
              <w:rPr>
                <w:rFonts w:ascii="Arial"/>
                <w:sz w:val="21"/>
              </w:rPr>
            </w:pPr>
          </w:p>
        </w:tc>
        <w:tc>
          <w:tcPr>
            <w:tcW w:w="923" w:type="dxa"/>
            <w:vAlign w:val="top"/>
          </w:tcPr>
          <w:p w14:paraId="44C78425">
            <w:pPr>
              <w:pStyle w:val="6"/>
              <w:spacing w:before="168" w:line="224" w:lineRule="auto"/>
              <w:ind w:left="142"/>
            </w:pPr>
            <w:r>
              <w:rPr>
                <w:rFonts w:ascii="MS PGothic" w:hAnsi="MS PGothic" w:eastAsia="MS PGothic" w:cs="MS PGothic"/>
                <w:spacing w:val="8"/>
              </w:rPr>
              <w:t>①</w:t>
            </w:r>
            <w:r>
              <w:rPr>
                <w:spacing w:val="8"/>
              </w:rPr>
              <w:t>菜地</w:t>
            </w:r>
          </w:p>
          <w:p w14:paraId="2A6BC683">
            <w:pPr>
              <w:pStyle w:val="6"/>
              <w:spacing w:before="31" w:line="252" w:lineRule="auto"/>
              <w:ind w:left="357" w:right="151" w:hanging="212"/>
            </w:pPr>
            <w:r>
              <w:rPr>
                <w:spacing w:val="6"/>
              </w:rPr>
              <w:t>看护用</w:t>
            </w:r>
            <w:r>
              <w:t>房</w:t>
            </w:r>
          </w:p>
        </w:tc>
        <w:tc>
          <w:tcPr>
            <w:tcW w:w="1898" w:type="dxa"/>
            <w:vAlign w:val="top"/>
          </w:tcPr>
          <w:p w14:paraId="41711F1E">
            <w:pPr>
              <w:pStyle w:val="6"/>
              <w:spacing w:before="184" w:line="228" w:lineRule="auto"/>
              <w:ind w:left="217"/>
            </w:pPr>
            <w:r>
              <w:rPr>
                <w:spacing w:val="6"/>
              </w:rPr>
              <w:t>单回线路西侧，</w:t>
            </w:r>
          </w:p>
          <w:p w14:paraId="4BF1E3AF">
            <w:pPr>
              <w:pStyle w:val="6"/>
              <w:spacing w:before="24" w:line="228" w:lineRule="auto"/>
              <w:ind w:left="132"/>
            </w:pPr>
            <w:r>
              <w:rPr>
                <w:rFonts w:ascii="Times New Roman" w:hAnsi="Times New Roman" w:eastAsia="Times New Roman" w:cs="Times New Roman"/>
              </w:rPr>
              <w:t>BZ</w:t>
            </w:r>
            <w:r>
              <w:rPr>
                <w:rFonts w:ascii="Times New Roman" w:hAnsi="Times New Roman" w:eastAsia="Times New Roman" w:cs="Times New Roman"/>
                <w:spacing w:val="9"/>
              </w:rPr>
              <w:t xml:space="preserve">7G </w:t>
            </w:r>
            <w:r>
              <w:rPr>
                <w:spacing w:val="9"/>
              </w:rPr>
              <w:t>塔基西南侧</w:t>
            </w:r>
          </w:p>
          <w:p w14:paraId="0CB315B3">
            <w:pPr>
              <w:spacing w:before="46" w:line="195" w:lineRule="auto"/>
              <w:ind w:left="7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50m</w:t>
            </w:r>
          </w:p>
        </w:tc>
        <w:tc>
          <w:tcPr>
            <w:tcW w:w="1326" w:type="dxa"/>
            <w:vAlign w:val="top"/>
          </w:tcPr>
          <w:p w14:paraId="6FAB6C37">
            <w:pPr>
              <w:pStyle w:val="6"/>
              <w:spacing w:before="48" w:line="228" w:lineRule="auto"/>
              <w:ind w:left="125"/>
            </w:pPr>
            <w:r>
              <w:t>位于</w:t>
            </w:r>
            <w:r>
              <w:rPr>
                <w:spacing w:val="-42"/>
              </w:rPr>
              <w:t xml:space="preserve"> </w:t>
            </w:r>
            <w:r>
              <w:rPr>
                <w:rFonts w:ascii="Times New Roman" w:hAnsi="Times New Roman" w:eastAsia="Times New Roman" w:cs="Times New Roman"/>
              </w:rPr>
              <w:t>B</w:t>
            </w:r>
            <w:r>
              <w:rPr>
                <w:rFonts w:ascii="Times New Roman" w:hAnsi="Times New Roman" w:eastAsia="Times New Roman" w:cs="Times New Roman"/>
                <w:spacing w:val="32"/>
              </w:rPr>
              <w:t xml:space="preserve"> </w:t>
            </w:r>
            <w:r>
              <w:t>回线</w:t>
            </w:r>
          </w:p>
          <w:p w14:paraId="56CC7E2A">
            <w:pPr>
              <w:pStyle w:val="6"/>
              <w:spacing w:before="26" w:line="228" w:lineRule="auto"/>
              <w:ind w:left="143"/>
            </w:pPr>
            <w:r>
              <w:rPr>
                <w:spacing w:val="8"/>
              </w:rPr>
              <w:t>边导线地面</w:t>
            </w:r>
          </w:p>
          <w:p w14:paraId="3B0C093B">
            <w:pPr>
              <w:pStyle w:val="6"/>
              <w:spacing w:before="23" w:line="228" w:lineRule="auto"/>
              <w:ind w:left="250"/>
            </w:pPr>
            <w:r>
              <w:rPr>
                <w:spacing w:val="7"/>
              </w:rPr>
              <w:t>投影西侧</w:t>
            </w:r>
          </w:p>
          <w:p w14:paraId="74EF73FD">
            <w:pPr>
              <w:spacing w:before="48" w:line="184" w:lineRule="auto"/>
              <w:ind w:left="49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15m</w:t>
            </w:r>
          </w:p>
        </w:tc>
        <w:tc>
          <w:tcPr>
            <w:tcW w:w="2327" w:type="dxa"/>
            <w:vAlign w:val="top"/>
          </w:tcPr>
          <w:p w14:paraId="143B1A82">
            <w:pPr>
              <w:pStyle w:val="6"/>
              <w:spacing w:before="168" w:line="228" w:lineRule="auto"/>
              <w:ind w:left="459"/>
            </w:pP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清中东线</w:t>
            </w:r>
          </w:p>
          <w:p w14:paraId="1F34F417">
            <w:pPr>
              <w:pStyle w:val="6"/>
              <w:spacing w:before="26" w:line="228" w:lineRule="auto"/>
              <w:ind w:left="63"/>
            </w:pPr>
            <w:r>
              <w:rPr>
                <w:rFonts w:ascii="Times New Roman" w:hAnsi="Times New Roman" w:eastAsia="Times New Roman" w:cs="Times New Roman"/>
                <w:spacing w:val="6"/>
              </w:rPr>
              <w:t>038#~039#</w:t>
            </w:r>
            <w:r>
              <w:rPr>
                <w:spacing w:val="6"/>
              </w:rPr>
              <w:t>杆塔间线路边</w:t>
            </w:r>
          </w:p>
          <w:p w14:paraId="08678054">
            <w:pPr>
              <w:pStyle w:val="6"/>
              <w:spacing w:before="24" w:line="228" w:lineRule="auto"/>
              <w:ind w:left="648"/>
              <w:rPr>
                <w:rFonts w:ascii="Times New Roman" w:hAnsi="Times New Roman" w:eastAsia="Times New Roman" w:cs="Times New Roman"/>
              </w:rPr>
            </w:pPr>
            <w:r>
              <w:rPr>
                <w:spacing w:val="1"/>
              </w:rPr>
              <w:t>导线外</w:t>
            </w:r>
            <w:r>
              <w:rPr>
                <w:spacing w:val="-19"/>
              </w:rPr>
              <w:t xml:space="preserve"> </w:t>
            </w:r>
            <w:r>
              <w:rPr>
                <w:rFonts w:ascii="Times New Roman" w:hAnsi="Times New Roman" w:eastAsia="Times New Roman" w:cs="Times New Roman"/>
                <w:spacing w:val="1"/>
              </w:rPr>
              <w:t>15m</w:t>
            </w:r>
          </w:p>
        </w:tc>
        <w:tc>
          <w:tcPr>
            <w:tcW w:w="790" w:type="dxa"/>
            <w:vAlign w:val="top"/>
          </w:tcPr>
          <w:p w14:paraId="7F2DE0E0">
            <w:pPr>
              <w:spacing w:line="417" w:lineRule="auto"/>
              <w:rPr>
                <w:rFonts w:ascii="Arial"/>
                <w:sz w:val="21"/>
              </w:rPr>
            </w:pPr>
          </w:p>
          <w:p w14:paraId="4C4D5F81">
            <w:pPr>
              <w:spacing w:before="58"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40.8</w:t>
            </w:r>
          </w:p>
        </w:tc>
        <w:tc>
          <w:tcPr>
            <w:tcW w:w="771" w:type="dxa"/>
            <w:vAlign w:val="top"/>
          </w:tcPr>
          <w:p w14:paraId="6F1ECBAB">
            <w:pPr>
              <w:spacing w:line="417" w:lineRule="auto"/>
              <w:rPr>
                <w:rFonts w:ascii="Arial"/>
                <w:sz w:val="21"/>
              </w:rPr>
            </w:pPr>
          </w:p>
          <w:p w14:paraId="77DEA46E">
            <w:pPr>
              <w:spacing w:before="58" w:line="195" w:lineRule="auto"/>
              <w:ind w:left="2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38.4</w:t>
            </w:r>
          </w:p>
        </w:tc>
        <w:tc>
          <w:tcPr>
            <w:tcW w:w="144" w:type="dxa"/>
            <w:vMerge w:val="continue"/>
            <w:tcBorders>
              <w:top w:val="nil"/>
              <w:bottom w:val="nil"/>
              <w:right w:val="single" w:color="000000" w:sz="6" w:space="0"/>
            </w:tcBorders>
            <w:vAlign w:val="top"/>
          </w:tcPr>
          <w:p w14:paraId="418D4FE4">
            <w:pPr>
              <w:rPr>
                <w:rFonts w:ascii="Arial"/>
                <w:sz w:val="21"/>
              </w:rPr>
            </w:pPr>
          </w:p>
        </w:tc>
      </w:tr>
      <w:tr w14:paraId="697E2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00" w:hRule="atLeast"/>
        </w:trPr>
        <w:tc>
          <w:tcPr>
            <w:tcW w:w="478" w:type="dxa"/>
            <w:vMerge w:val="continue"/>
            <w:tcBorders>
              <w:top w:val="nil"/>
              <w:left w:val="single" w:color="000000" w:sz="6" w:space="0"/>
              <w:bottom w:val="single" w:color="000000" w:sz="6" w:space="0"/>
            </w:tcBorders>
            <w:vAlign w:val="top"/>
          </w:tcPr>
          <w:p w14:paraId="1EF630D5">
            <w:pPr>
              <w:rPr>
                <w:rFonts w:ascii="Arial"/>
                <w:sz w:val="21"/>
              </w:rPr>
            </w:pPr>
          </w:p>
        </w:tc>
        <w:tc>
          <w:tcPr>
            <w:tcW w:w="8829" w:type="dxa"/>
            <w:gridSpan w:val="9"/>
            <w:tcBorders>
              <w:bottom w:val="single" w:color="000000" w:sz="6" w:space="0"/>
              <w:right w:val="single" w:color="000000" w:sz="6" w:space="0"/>
            </w:tcBorders>
            <w:vAlign w:val="top"/>
          </w:tcPr>
          <w:p w14:paraId="776329A7">
            <w:pPr>
              <w:pStyle w:val="6"/>
              <w:spacing w:before="41" w:line="219" w:lineRule="auto"/>
              <w:ind w:left="587"/>
              <w:rPr>
                <w:sz w:val="24"/>
                <w:szCs w:val="24"/>
              </w:rPr>
            </w:pPr>
            <w:r>
              <w:rPr>
                <w:spacing w:val="6"/>
                <w:sz w:val="24"/>
                <w:szCs w:val="24"/>
              </w:rPr>
              <w:t>根据上表可以看出，新建线路沿线声环境保护目标处类比昼间噪声最大值为</w:t>
            </w:r>
          </w:p>
          <w:p w14:paraId="22C87809">
            <w:pPr>
              <w:pStyle w:val="6"/>
              <w:spacing w:before="163" w:line="343" w:lineRule="auto"/>
              <w:ind w:left="108" w:right="94" w:hanging="6"/>
              <w:jc w:val="both"/>
              <w:rPr>
                <w:sz w:val="24"/>
                <w:szCs w:val="24"/>
              </w:rPr>
            </w:pPr>
            <w:r>
              <w:rPr>
                <w:rFonts w:ascii="Times New Roman" w:hAnsi="Times New Roman" w:eastAsia="Times New Roman" w:cs="Times New Roman"/>
                <w:spacing w:val="1"/>
                <w:sz w:val="24"/>
                <w:szCs w:val="24"/>
              </w:rPr>
              <w:t>45.6</w:t>
            </w:r>
            <w:r>
              <w:rPr>
                <w:rFonts w:ascii="Times New Roman" w:hAnsi="Times New Roman" w:eastAsia="Times New Roman" w:cs="Times New Roman"/>
                <w:sz w:val="24"/>
                <w:szCs w:val="24"/>
              </w:rPr>
              <w:t>dB</w:t>
            </w:r>
            <w:r>
              <w:rPr>
                <w:spacing w:val="1"/>
                <w:sz w:val="24"/>
                <w:szCs w:val="24"/>
              </w:rPr>
              <w:t>（</w:t>
            </w:r>
            <w:r>
              <w:rPr>
                <w:rFonts w:ascii="Times New Roman" w:hAnsi="Times New Roman" w:eastAsia="Times New Roman" w:cs="Times New Roman"/>
                <w:spacing w:val="1"/>
                <w:sz w:val="24"/>
                <w:szCs w:val="24"/>
              </w:rPr>
              <w:t>A</w:t>
            </w:r>
            <w:r>
              <w:rPr>
                <w:spacing w:val="9"/>
                <w:sz w:val="24"/>
                <w:szCs w:val="24"/>
              </w:rPr>
              <w:t>），</w:t>
            </w:r>
            <w:r>
              <w:rPr>
                <w:spacing w:val="1"/>
                <w:sz w:val="24"/>
                <w:szCs w:val="24"/>
              </w:rPr>
              <w:t>类比夜间噪声最大值为</w:t>
            </w:r>
            <w:r>
              <w:rPr>
                <w:spacing w:val="-52"/>
                <w:sz w:val="24"/>
                <w:szCs w:val="24"/>
              </w:rPr>
              <w:t xml:space="preserve"> </w:t>
            </w:r>
            <w:r>
              <w:rPr>
                <w:rFonts w:ascii="Times New Roman" w:hAnsi="Times New Roman" w:eastAsia="Times New Roman" w:cs="Times New Roman"/>
                <w:spacing w:val="1"/>
                <w:sz w:val="24"/>
                <w:szCs w:val="24"/>
              </w:rPr>
              <w:t>40.9</w:t>
            </w:r>
            <w:r>
              <w:rPr>
                <w:rFonts w:ascii="Times New Roman" w:hAnsi="Times New Roman" w:eastAsia="Times New Roman" w:cs="Times New Roman"/>
                <w:sz w:val="24"/>
                <w:szCs w:val="24"/>
              </w:rPr>
              <w:t>dB</w:t>
            </w:r>
            <w:r>
              <w:rPr>
                <w:spacing w:val="1"/>
                <w:sz w:val="24"/>
                <w:szCs w:val="24"/>
              </w:rPr>
              <w:t>（</w:t>
            </w:r>
            <w:r>
              <w:rPr>
                <w:rFonts w:ascii="Times New Roman" w:hAnsi="Times New Roman" w:eastAsia="Times New Roman" w:cs="Times New Roman"/>
                <w:spacing w:val="1"/>
                <w:sz w:val="24"/>
                <w:szCs w:val="24"/>
              </w:rPr>
              <w:t>A</w:t>
            </w:r>
            <w:r>
              <w:rPr>
                <w:spacing w:val="9"/>
                <w:sz w:val="24"/>
                <w:szCs w:val="24"/>
              </w:rPr>
              <w:t>），</w:t>
            </w:r>
            <w:r>
              <w:rPr>
                <w:spacing w:val="1"/>
                <w:sz w:val="24"/>
                <w:szCs w:val="24"/>
              </w:rPr>
              <w:t>均满足《声环境质</w:t>
            </w:r>
            <w:r>
              <w:rPr>
                <w:sz w:val="24"/>
                <w:szCs w:val="24"/>
              </w:rPr>
              <w:t xml:space="preserve">量标准》 </w:t>
            </w:r>
            <w:r>
              <w:rPr>
                <w:spacing w:val="1"/>
                <w:sz w:val="24"/>
                <w:szCs w:val="24"/>
              </w:rPr>
              <w:t>（</w:t>
            </w:r>
            <w:r>
              <w:rPr>
                <w:rFonts w:ascii="Times New Roman" w:hAnsi="Times New Roman" w:eastAsia="Times New Roman" w:cs="Times New Roman"/>
                <w:sz w:val="24"/>
                <w:szCs w:val="24"/>
              </w:rPr>
              <w:t>GB</w:t>
            </w:r>
            <w:r>
              <w:rPr>
                <w:rFonts w:ascii="Times New Roman" w:hAnsi="Times New Roman" w:eastAsia="Times New Roman" w:cs="Times New Roman"/>
                <w:spacing w:val="1"/>
                <w:sz w:val="24"/>
                <w:szCs w:val="24"/>
              </w:rPr>
              <w:t>3096-2008</w:t>
            </w:r>
            <w:r>
              <w:rPr>
                <w:spacing w:val="1"/>
                <w:sz w:val="24"/>
                <w:szCs w:val="24"/>
              </w:rPr>
              <w:t>）中</w:t>
            </w:r>
            <w:r>
              <w:rPr>
                <w:spacing w:val="-27"/>
                <w:sz w:val="24"/>
                <w:szCs w:val="24"/>
              </w:rPr>
              <w:t xml:space="preserve"> </w:t>
            </w:r>
            <w:r>
              <w:rPr>
                <w:rFonts w:ascii="Times New Roman" w:hAnsi="Times New Roman" w:eastAsia="Times New Roman" w:cs="Times New Roman"/>
                <w:spacing w:val="1"/>
                <w:sz w:val="24"/>
                <w:szCs w:val="24"/>
              </w:rPr>
              <w:t xml:space="preserve">1 </w:t>
            </w:r>
            <w:r>
              <w:rPr>
                <w:spacing w:val="1"/>
                <w:sz w:val="24"/>
                <w:szCs w:val="24"/>
              </w:rPr>
              <w:t>类区标准，即昼间</w:t>
            </w:r>
            <w:r>
              <w:rPr>
                <w:rFonts w:ascii="Times New Roman" w:hAnsi="Times New Roman" w:eastAsia="Times New Roman" w:cs="Times New Roman"/>
                <w:spacing w:val="1"/>
                <w:sz w:val="24"/>
                <w:szCs w:val="24"/>
              </w:rPr>
              <w:t>≤55</w:t>
            </w:r>
            <w:r>
              <w:rPr>
                <w:rFonts w:ascii="Times New Roman" w:hAnsi="Times New Roman" w:eastAsia="Times New Roman" w:cs="Times New Roman"/>
                <w:sz w:val="24"/>
                <w:szCs w:val="24"/>
              </w:rPr>
              <w:t>dB</w:t>
            </w:r>
            <w:r>
              <w:rPr>
                <w:spacing w:val="1"/>
                <w:sz w:val="24"/>
                <w:szCs w:val="24"/>
              </w:rPr>
              <w:t>（</w:t>
            </w:r>
            <w:r>
              <w:rPr>
                <w:rFonts w:ascii="Times New Roman" w:hAnsi="Times New Roman" w:eastAsia="Times New Roman" w:cs="Times New Roman"/>
                <w:spacing w:val="1"/>
                <w:sz w:val="24"/>
                <w:szCs w:val="24"/>
              </w:rPr>
              <w:t>A</w:t>
            </w:r>
            <w:r>
              <w:rPr>
                <w:spacing w:val="1"/>
                <w:sz w:val="24"/>
                <w:szCs w:val="24"/>
              </w:rPr>
              <w:t>）、夜间</w:t>
            </w:r>
            <w:r>
              <w:rPr>
                <w:rFonts w:ascii="Times New Roman" w:hAnsi="Times New Roman" w:eastAsia="Times New Roman" w:cs="Times New Roman"/>
                <w:spacing w:val="1"/>
                <w:sz w:val="24"/>
                <w:szCs w:val="24"/>
              </w:rPr>
              <w:t>≤45</w:t>
            </w:r>
            <w:r>
              <w:rPr>
                <w:rFonts w:ascii="Times New Roman" w:hAnsi="Times New Roman" w:eastAsia="Times New Roman" w:cs="Times New Roman"/>
                <w:sz w:val="24"/>
                <w:szCs w:val="24"/>
              </w:rPr>
              <w:t>dB</w:t>
            </w:r>
            <w:r>
              <w:rPr>
                <w:spacing w:val="1"/>
                <w:sz w:val="24"/>
                <w:szCs w:val="24"/>
              </w:rPr>
              <w:t>（</w:t>
            </w:r>
            <w:r>
              <w:rPr>
                <w:rFonts w:ascii="Times New Roman" w:hAnsi="Times New Roman" w:eastAsia="Times New Roman" w:cs="Times New Roman"/>
                <w:spacing w:val="1"/>
                <w:sz w:val="24"/>
                <w:szCs w:val="24"/>
              </w:rPr>
              <w:t>A</w:t>
            </w:r>
            <w:r>
              <w:rPr>
                <w:spacing w:val="1"/>
                <w:sz w:val="24"/>
                <w:szCs w:val="24"/>
              </w:rPr>
              <w:t>）</w:t>
            </w:r>
            <w:r>
              <w:rPr>
                <w:sz w:val="24"/>
                <w:szCs w:val="24"/>
              </w:rPr>
              <w:t>。因此，</w:t>
            </w:r>
            <w:r>
              <w:rPr>
                <w:spacing w:val="-1"/>
                <w:sz w:val="24"/>
                <w:szCs w:val="24"/>
              </w:rPr>
              <w:t>本工程线路建成投运后，声环境保护目标处的声环境能够满足《声环境质量标准》</w:t>
            </w:r>
            <w:r>
              <w:rPr>
                <w:spacing w:val="10"/>
                <w:sz w:val="24"/>
                <w:szCs w:val="24"/>
              </w:rPr>
              <w:t xml:space="preserve"> </w:t>
            </w:r>
            <w:r>
              <w:rPr>
                <w:spacing w:val="-2"/>
                <w:sz w:val="24"/>
                <w:szCs w:val="24"/>
              </w:rPr>
              <w:t>（</w:t>
            </w:r>
            <w:r>
              <w:rPr>
                <w:rFonts w:ascii="Times New Roman" w:hAnsi="Times New Roman" w:eastAsia="Times New Roman" w:cs="Times New Roman"/>
                <w:spacing w:val="-2"/>
                <w:sz w:val="24"/>
                <w:szCs w:val="24"/>
              </w:rPr>
              <w:t>GB3096-2008</w:t>
            </w:r>
            <w:r>
              <w:rPr>
                <w:spacing w:val="-2"/>
                <w:sz w:val="24"/>
                <w:szCs w:val="24"/>
              </w:rPr>
              <w:t>）中</w:t>
            </w:r>
            <w:r>
              <w:rPr>
                <w:spacing w:val="-24"/>
                <w:sz w:val="24"/>
                <w:szCs w:val="24"/>
              </w:rPr>
              <w:t xml:space="preserve"> </w:t>
            </w:r>
            <w:r>
              <w:rPr>
                <w:rFonts w:ascii="Times New Roman" w:hAnsi="Times New Roman" w:eastAsia="Times New Roman" w:cs="Times New Roman"/>
                <w:spacing w:val="-2"/>
                <w:sz w:val="24"/>
                <w:szCs w:val="24"/>
              </w:rPr>
              <w:t xml:space="preserve">1 </w:t>
            </w:r>
            <w:r>
              <w:rPr>
                <w:spacing w:val="-2"/>
                <w:sz w:val="24"/>
                <w:szCs w:val="24"/>
              </w:rPr>
              <w:t>类标准限值要求。</w:t>
            </w:r>
          </w:p>
          <w:p w14:paraId="4CFF486C">
            <w:pPr>
              <w:pStyle w:val="6"/>
              <w:spacing w:line="222" w:lineRule="auto"/>
              <w:ind w:left="599"/>
            </w:pPr>
            <w:r>
              <w:rPr>
                <w:b/>
                <w:bCs/>
                <w:spacing w:val="-1"/>
                <w:sz w:val="24"/>
                <w:szCs w:val="24"/>
              </w:rPr>
              <w:t>（</w:t>
            </w:r>
            <w:r>
              <w:rPr>
                <w:rFonts w:ascii="Times New Roman" w:hAnsi="Times New Roman" w:eastAsia="Times New Roman" w:cs="Times New Roman"/>
                <w:b/>
                <w:bCs/>
                <w:spacing w:val="-1"/>
                <w:sz w:val="24"/>
                <w:szCs w:val="24"/>
              </w:rPr>
              <w:t>3</w:t>
            </w:r>
            <w:r>
              <w:rPr>
                <w:b/>
                <w:bCs/>
                <w:spacing w:val="-1"/>
                <w:sz w:val="24"/>
                <w:szCs w:val="24"/>
              </w:rPr>
              <w:t>）间</w:t>
            </w:r>
            <w:r>
              <w:rPr>
                <w:b/>
                <w:bCs/>
                <w:spacing w:val="-1"/>
              </w:rPr>
              <w:t>隔扩建</w:t>
            </w:r>
          </w:p>
          <w:p w14:paraId="0F441B67">
            <w:pPr>
              <w:pStyle w:val="6"/>
              <w:spacing w:before="173" w:line="377" w:lineRule="auto"/>
              <w:ind w:left="108" w:right="104" w:firstLine="414"/>
              <w:jc w:val="both"/>
            </w:pPr>
            <w:r>
              <w:rPr>
                <w:rFonts w:ascii="Times New Roman" w:hAnsi="Times New Roman" w:eastAsia="Times New Roman" w:cs="Times New Roman"/>
                <w:spacing w:val="10"/>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10"/>
              </w:rPr>
              <w:t>芳华变电站间隔扩建工程不新增主变压器、高压电抗器等</w:t>
            </w:r>
            <w:r>
              <w:rPr>
                <w:spacing w:val="9"/>
              </w:rPr>
              <w:t>主要声环境污染源，扩建</w:t>
            </w:r>
            <w:r>
              <w:rPr>
                <w:spacing w:val="10"/>
              </w:rPr>
              <w:t>后对环境的影响与原声环境的影响基本一致，不会增加新的影响，扩建工程完成后</w:t>
            </w:r>
            <w:r>
              <w:rPr>
                <w:spacing w:val="9"/>
              </w:rPr>
              <w:t>变电站区域声环境水平与变电站前期工程建成后的声环境水平相当。</w:t>
            </w:r>
          </w:p>
          <w:p w14:paraId="4B78163D">
            <w:pPr>
              <w:pStyle w:val="6"/>
              <w:spacing w:before="1" w:line="377" w:lineRule="auto"/>
              <w:ind w:left="106" w:right="104" w:firstLine="425"/>
              <w:jc w:val="both"/>
            </w:pPr>
            <w:r>
              <w:rPr>
                <w:spacing w:val="8"/>
              </w:rPr>
              <w:t>结合《</w:t>
            </w:r>
            <w:r>
              <w:rPr>
                <w:rFonts w:ascii="Times New Roman" w:hAnsi="Times New Roman" w:eastAsia="Times New Roman" w:cs="Times New Roman"/>
                <w:spacing w:val="8"/>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8"/>
              </w:rPr>
              <w:t>芳华输变电工程环境影响报告表》中</w:t>
            </w:r>
            <w:r>
              <w:rPr>
                <w:spacing w:val="-43"/>
              </w:rPr>
              <w:t xml:space="preserve"> </w:t>
            </w:r>
            <w:r>
              <w:rPr>
                <w:rFonts w:ascii="Times New Roman" w:hAnsi="Times New Roman" w:eastAsia="Times New Roman" w:cs="Times New Roman"/>
                <w:spacing w:val="8"/>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8"/>
              </w:rPr>
              <w:t>芳华变电</w:t>
            </w:r>
            <w:r>
              <w:rPr>
                <w:spacing w:val="7"/>
              </w:rPr>
              <w:t>站噪声预测结果，芳华</w:t>
            </w:r>
            <w:r>
              <w:rPr>
                <w:spacing w:val="8"/>
              </w:rPr>
              <w:t>变电站建成投运后东、南、西、北厂界噪声贡献值为</w:t>
            </w:r>
            <w:r>
              <w:rPr>
                <w:spacing w:val="-38"/>
              </w:rPr>
              <w:t xml:space="preserve"> </w:t>
            </w:r>
            <w:r>
              <w:rPr>
                <w:rFonts w:ascii="Times New Roman" w:hAnsi="Times New Roman" w:eastAsia="Times New Roman" w:cs="Times New Roman"/>
                <w:spacing w:val="8"/>
              </w:rPr>
              <w:t>39.34~42.</w:t>
            </w:r>
            <w:r>
              <w:rPr>
                <w:rFonts w:ascii="Times New Roman" w:hAnsi="Times New Roman" w:eastAsia="Times New Roman" w:cs="Times New Roman"/>
                <w:spacing w:val="7"/>
              </w:rPr>
              <w:t>49</w:t>
            </w:r>
            <w:r>
              <w:rPr>
                <w:rFonts w:ascii="Times New Roman" w:hAnsi="Times New Roman" w:eastAsia="Times New Roman" w:cs="Times New Roman"/>
              </w:rPr>
              <w:t>dB</w:t>
            </w:r>
            <w:r>
              <w:rPr>
                <w:spacing w:val="7"/>
              </w:rPr>
              <w:t>（</w:t>
            </w:r>
            <w:r>
              <w:rPr>
                <w:rFonts w:ascii="Times New Roman" w:hAnsi="Times New Roman" w:eastAsia="Times New Roman" w:cs="Times New Roman"/>
                <w:spacing w:val="7"/>
              </w:rPr>
              <w:t>A</w:t>
            </w:r>
            <w:r>
              <w:rPr>
                <w:spacing w:val="9"/>
              </w:rPr>
              <w:t>），</w:t>
            </w:r>
            <w:r>
              <w:rPr>
                <w:spacing w:val="7"/>
              </w:rPr>
              <w:t>满足《工业企业厂</w:t>
            </w:r>
            <w:r>
              <w:rPr>
                <w:spacing w:val="8"/>
              </w:rPr>
              <w:t>界环境噪声排放标准》（</w:t>
            </w:r>
            <w:r>
              <w:rPr>
                <w:rFonts w:ascii="Times New Roman" w:hAnsi="Times New Roman" w:eastAsia="Times New Roman" w:cs="Times New Roman"/>
              </w:rPr>
              <w:t>GB</w:t>
            </w:r>
            <w:r>
              <w:rPr>
                <w:rFonts w:ascii="Times New Roman" w:hAnsi="Times New Roman" w:eastAsia="Times New Roman" w:cs="Times New Roman"/>
                <w:spacing w:val="8"/>
              </w:rPr>
              <w:t>12348-20</w:t>
            </w:r>
            <w:r>
              <w:rPr>
                <w:rFonts w:ascii="Times New Roman" w:hAnsi="Times New Roman" w:eastAsia="Times New Roman" w:cs="Times New Roman"/>
                <w:spacing w:val="7"/>
              </w:rPr>
              <w:t>08</w:t>
            </w:r>
            <w:r>
              <w:rPr>
                <w:spacing w:val="7"/>
              </w:rPr>
              <w:t>）</w:t>
            </w:r>
            <w:r>
              <w:rPr>
                <w:rFonts w:ascii="Times New Roman" w:hAnsi="Times New Roman" w:eastAsia="Times New Roman" w:cs="Times New Roman"/>
                <w:spacing w:val="7"/>
              </w:rPr>
              <w:t xml:space="preserve">1 </w:t>
            </w:r>
            <w:r>
              <w:rPr>
                <w:spacing w:val="7"/>
              </w:rPr>
              <w:t>类标准要求；</w:t>
            </w:r>
          </w:p>
          <w:p w14:paraId="7CA4912F">
            <w:pPr>
              <w:pStyle w:val="6"/>
              <w:spacing w:before="1" w:line="368" w:lineRule="auto"/>
              <w:ind w:left="105" w:right="104" w:firstLine="437"/>
              <w:rPr>
                <w:sz w:val="24"/>
                <w:szCs w:val="24"/>
              </w:rPr>
            </w:pPr>
            <w:r>
              <w:rPr>
                <w:spacing w:val="8"/>
              </w:rPr>
              <w:t>因此，可以预测</w:t>
            </w:r>
            <w:r>
              <w:rPr>
                <w:spacing w:val="-41"/>
              </w:rPr>
              <w:t xml:space="preserve"> </w:t>
            </w:r>
            <w:r>
              <w:rPr>
                <w:rFonts w:ascii="Times New Roman" w:hAnsi="Times New Roman" w:eastAsia="Times New Roman" w:cs="Times New Roman"/>
                <w:spacing w:val="8"/>
              </w:rPr>
              <w:t>220</w:t>
            </w:r>
            <w:r>
              <w:rPr>
                <w:rFonts w:ascii="Times New Roman" w:hAnsi="Times New Roman" w:eastAsia="Times New Roman" w:cs="Times New Roman"/>
              </w:rPr>
              <w:t>kV</w:t>
            </w:r>
            <w:r>
              <w:rPr>
                <w:rFonts w:ascii="Times New Roman" w:hAnsi="Times New Roman" w:eastAsia="Times New Roman" w:cs="Times New Roman"/>
                <w:spacing w:val="20"/>
              </w:rPr>
              <w:t xml:space="preserve"> </w:t>
            </w:r>
            <w:r>
              <w:rPr>
                <w:spacing w:val="8"/>
              </w:rPr>
              <w:t>芳华变电站本期间隔扩建完成后</w:t>
            </w:r>
            <w:r>
              <w:rPr>
                <w:spacing w:val="7"/>
              </w:rPr>
              <w:t>，变电站厂界噪声能满足《工业企</w:t>
            </w:r>
            <w:r>
              <w:rPr>
                <w:spacing w:val="4"/>
              </w:rPr>
              <w:t>业厂界环境噪声排放标准》（</w:t>
            </w:r>
            <w:r>
              <w:rPr>
                <w:rFonts w:ascii="Times New Roman" w:hAnsi="Times New Roman" w:eastAsia="Times New Roman" w:cs="Times New Roman"/>
              </w:rPr>
              <w:t>GB</w:t>
            </w:r>
            <w:r>
              <w:rPr>
                <w:rFonts w:ascii="Times New Roman" w:hAnsi="Times New Roman" w:eastAsia="Times New Roman" w:cs="Times New Roman"/>
                <w:spacing w:val="4"/>
              </w:rPr>
              <w:t>12</w:t>
            </w:r>
            <w:r>
              <w:rPr>
                <w:rFonts w:ascii="Times New Roman" w:hAnsi="Times New Roman" w:eastAsia="Times New Roman" w:cs="Times New Roman"/>
                <w:spacing w:val="4"/>
                <w:sz w:val="24"/>
                <w:szCs w:val="24"/>
              </w:rPr>
              <w:t>348-2008</w:t>
            </w:r>
            <w:r>
              <w:rPr>
                <w:spacing w:val="4"/>
                <w:sz w:val="24"/>
                <w:szCs w:val="24"/>
              </w:rPr>
              <w:t>）</w:t>
            </w:r>
            <w:r>
              <w:rPr>
                <w:rFonts w:ascii="Times New Roman" w:hAnsi="Times New Roman" w:eastAsia="Times New Roman" w:cs="Times New Roman"/>
                <w:spacing w:val="4"/>
                <w:sz w:val="24"/>
                <w:szCs w:val="24"/>
              </w:rPr>
              <w:t xml:space="preserve">1 </w:t>
            </w:r>
            <w:r>
              <w:rPr>
                <w:spacing w:val="4"/>
                <w:sz w:val="24"/>
                <w:szCs w:val="24"/>
              </w:rPr>
              <w:t>类标准要求。</w:t>
            </w:r>
          </w:p>
          <w:p w14:paraId="366A542E">
            <w:pPr>
              <w:pStyle w:val="6"/>
              <w:spacing w:before="1" w:line="359" w:lineRule="auto"/>
              <w:ind w:left="106" w:right="102" w:firstLine="483"/>
              <w:jc w:val="both"/>
              <w:rPr>
                <w:sz w:val="24"/>
                <w:szCs w:val="24"/>
              </w:rPr>
            </w:pPr>
            <w:r>
              <w:rPr>
                <w:spacing w:val="-1"/>
                <w:sz w:val="24"/>
                <w:szCs w:val="24"/>
              </w:rPr>
              <w:t>为进一步减小项目投运后产生的噪声对周边环境的影响，在设备的选型上，应选用满足物资采购标准和招标规范的设备，在设备安装时采用减振基础等措施，并加强设备的运行管理，减少因设备故障产生的噪声。</w:t>
            </w:r>
          </w:p>
          <w:p w14:paraId="7FC344D3">
            <w:pPr>
              <w:pStyle w:val="6"/>
              <w:spacing w:line="218" w:lineRule="auto"/>
              <w:ind w:left="590"/>
              <w:rPr>
                <w:sz w:val="24"/>
                <w:szCs w:val="24"/>
              </w:rPr>
            </w:pPr>
            <w:r>
              <w:rPr>
                <w:spacing w:val="-1"/>
                <w:sz w:val="24"/>
                <w:szCs w:val="24"/>
              </w:rPr>
              <w:t>综上所述，在满足本环评提出的环保措施的前提下，本项目建成投运后噪声能</w:t>
            </w:r>
          </w:p>
        </w:tc>
      </w:tr>
    </w:tbl>
    <w:p w14:paraId="326FC4CB">
      <w:pPr>
        <w:rPr>
          <w:rFonts w:ascii="Arial"/>
          <w:sz w:val="21"/>
        </w:rPr>
      </w:pPr>
    </w:p>
    <w:p w14:paraId="4E39D76E">
      <w:pPr>
        <w:rPr>
          <w:rFonts w:ascii="Arial" w:hAnsi="Arial" w:eastAsia="Arial" w:cs="Arial"/>
          <w:sz w:val="21"/>
          <w:szCs w:val="21"/>
        </w:rPr>
        <w:sectPr>
          <w:footerReference r:id="rId122" w:type="default"/>
          <w:pgSz w:w="11907" w:h="16840"/>
          <w:pgMar w:top="400" w:right="1179" w:bottom="1240" w:left="1405" w:header="0" w:footer="1077" w:gutter="0"/>
          <w:cols w:space="720" w:num="1"/>
        </w:sectPr>
      </w:pPr>
    </w:p>
    <w:p w14:paraId="64C7D156">
      <w:pPr>
        <w:spacing w:before="13"/>
      </w:pPr>
    </w:p>
    <w:p w14:paraId="62160263">
      <w:pPr>
        <w:spacing w:before="13"/>
      </w:pPr>
    </w:p>
    <w:p w14:paraId="2073717C">
      <w:pPr>
        <w:spacing w:before="13"/>
      </w:pPr>
    </w:p>
    <w:p w14:paraId="1D2D22BC">
      <w:pPr>
        <w:spacing w:before="12"/>
      </w:pPr>
    </w:p>
    <w:tbl>
      <w:tblPr>
        <w:tblStyle w:val="5"/>
        <w:tblW w:w="930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29"/>
      </w:tblGrid>
      <w:tr w14:paraId="128E6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46" w:hRule="atLeast"/>
        </w:trPr>
        <w:tc>
          <w:tcPr>
            <w:tcW w:w="478" w:type="dxa"/>
            <w:tcBorders>
              <w:right w:val="single" w:color="000000" w:sz="2" w:space="0"/>
            </w:tcBorders>
            <w:vAlign w:val="top"/>
          </w:tcPr>
          <w:p w14:paraId="33C08C23">
            <w:pPr>
              <w:rPr>
                <w:rFonts w:ascii="Arial"/>
                <w:sz w:val="21"/>
              </w:rPr>
            </w:pPr>
          </w:p>
        </w:tc>
        <w:tc>
          <w:tcPr>
            <w:tcW w:w="8829" w:type="dxa"/>
            <w:tcBorders>
              <w:left w:val="single" w:color="000000" w:sz="2" w:space="0"/>
            </w:tcBorders>
            <w:vAlign w:val="top"/>
          </w:tcPr>
          <w:p w14:paraId="1B3E1085">
            <w:pPr>
              <w:pStyle w:val="6"/>
              <w:spacing w:before="40" w:line="219" w:lineRule="auto"/>
              <w:ind w:left="106"/>
              <w:rPr>
                <w:sz w:val="24"/>
                <w:szCs w:val="24"/>
              </w:rPr>
            </w:pPr>
            <w:r>
              <w:rPr>
                <w:spacing w:val="-1"/>
                <w:sz w:val="24"/>
                <w:szCs w:val="24"/>
              </w:rPr>
              <w:t>够达标排放，项目产生的噪声对周围环境影响不大。</w:t>
            </w:r>
          </w:p>
          <w:p w14:paraId="633D5597">
            <w:pPr>
              <w:pStyle w:val="6"/>
              <w:spacing w:before="180" w:line="220" w:lineRule="auto"/>
              <w:ind w:left="104"/>
              <w:rPr>
                <w:sz w:val="24"/>
                <w:szCs w:val="24"/>
              </w:rPr>
            </w:pPr>
            <w:r>
              <w:rPr>
                <w:rFonts w:ascii="Times New Roman" w:hAnsi="Times New Roman" w:eastAsia="Times New Roman" w:cs="Times New Roman"/>
                <w:b/>
                <w:bCs/>
                <w:spacing w:val="-5"/>
                <w:sz w:val="24"/>
                <w:szCs w:val="24"/>
              </w:rPr>
              <w:t>4</w:t>
            </w:r>
            <w:r>
              <w:rPr>
                <w:rFonts w:ascii="Times New Roman" w:hAnsi="Times New Roman" w:eastAsia="Times New Roman" w:cs="Times New Roman"/>
                <w:b/>
                <w:bCs/>
                <w:spacing w:val="-23"/>
                <w:sz w:val="24"/>
                <w:szCs w:val="24"/>
              </w:rPr>
              <w:t xml:space="preserve"> </w:t>
            </w:r>
            <w:r>
              <w:rPr>
                <w:b/>
                <w:bCs/>
                <w:spacing w:val="-5"/>
                <w:sz w:val="24"/>
                <w:szCs w:val="24"/>
              </w:rPr>
              <w:t>、运营期大气环境影响分析</w:t>
            </w:r>
          </w:p>
          <w:p w14:paraId="6CCBF23C">
            <w:pPr>
              <w:pStyle w:val="6"/>
              <w:spacing w:before="182" w:line="359" w:lineRule="auto"/>
              <w:ind w:left="108" w:right="102" w:firstLine="479"/>
              <w:rPr>
                <w:sz w:val="24"/>
                <w:szCs w:val="24"/>
              </w:rPr>
            </w:pPr>
            <w:r>
              <w:rPr>
                <w:spacing w:val="-1"/>
                <w:sz w:val="24"/>
                <w:szCs w:val="24"/>
              </w:rPr>
              <w:t>运行期间输电线路无废气排放，对周围环境空气不会造成影响。变电站运营有少量油烟废气产生，对大气环境产生的影响较小。</w:t>
            </w:r>
          </w:p>
          <w:p w14:paraId="205CF334">
            <w:pPr>
              <w:pStyle w:val="6"/>
              <w:spacing w:line="219" w:lineRule="auto"/>
              <w:ind w:left="106"/>
              <w:rPr>
                <w:sz w:val="24"/>
                <w:szCs w:val="24"/>
              </w:rPr>
            </w:pPr>
            <w:r>
              <w:rPr>
                <w:rFonts w:ascii="Times New Roman" w:hAnsi="Times New Roman" w:eastAsia="Times New Roman" w:cs="Times New Roman"/>
                <w:b/>
                <w:bCs/>
                <w:spacing w:val="-5"/>
                <w:sz w:val="24"/>
                <w:szCs w:val="24"/>
              </w:rPr>
              <w:t>5</w:t>
            </w:r>
            <w:r>
              <w:rPr>
                <w:rFonts w:ascii="Times New Roman" w:hAnsi="Times New Roman" w:eastAsia="Times New Roman" w:cs="Times New Roman"/>
                <w:b/>
                <w:bCs/>
                <w:spacing w:val="-23"/>
                <w:sz w:val="24"/>
                <w:szCs w:val="24"/>
              </w:rPr>
              <w:t xml:space="preserve"> </w:t>
            </w:r>
            <w:r>
              <w:rPr>
                <w:b/>
                <w:bCs/>
                <w:spacing w:val="-5"/>
                <w:sz w:val="24"/>
                <w:szCs w:val="24"/>
              </w:rPr>
              <w:t>、运营期地表水环境影响分析</w:t>
            </w:r>
          </w:p>
          <w:p w14:paraId="3AB9CA34">
            <w:pPr>
              <w:pStyle w:val="6"/>
              <w:spacing w:before="182" w:line="219" w:lineRule="auto"/>
              <w:ind w:left="587"/>
              <w:rPr>
                <w:sz w:val="24"/>
                <w:szCs w:val="24"/>
              </w:rPr>
            </w:pPr>
            <w:r>
              <w:rPr>
                <w:spacing w:val="-1"/>
                <w:sz w:val="24"/>
                <w:szCs w:val="24"/>
              </w:rPr>
              <w:t>运行期间输电线路无废水产生，不会对附近水环境产生影响。</w:t>
            </w:r>
          </w:p>
          <w:p w14:paraId="401FD98D">
            <w:pPr>
              <w:pStyle w:val="6"/>
              <w:spacing w:before="183" w:line="359" w:lineRule="auto"/>
              <w:ind w:left="107" w:right="40" w:firstLine="498"/>
              <w:rPr>
                <w:sz w:val="24"/>
                <w:szCs w:val="24"/>
              </w:rPr>
            </w:pPr>
            <w:r>
              <w:rPr>
                <w:rFonts w:ascii="Times New Roman" w:hAnsi="Times New Roman" w:eastAsia="Times New Roman" w:cs="Times New Roman"/>
                <w:spacing w:val="-12"/>
                <w:sz w:val="24"/>
                <w:szCs w:val="24"/>
              </w:rPr>
              <w:t xml:space="preserve">110kV </w:t>
            </w:r>
            <w:r>
              <w:rPr>
                <w:spacing w:val="-12"/>
                <w:sz w:val="24"/>
                <w:szCs w:val="24"/>
              </w:rPr>
              <w:t>松山变电站运行期工作人员共</w:t>
            </w:r>
            <w:r>
              <w:rPr>
                <w:spacing w:val="-62"/>
                <w:sz w:val="24"/>
                <w:szCs w:val="24"/>
              </w:rPr>
              <w:t xml:space="preserve"> </w:t>
            </w:r>
            <w:r>
              <w:rPr>
                <w:rFonts w:ascii="Times New Roman" w:hAnsi="Times New Roman" w:eastAsia="Times New Roman" w:cs="Times New Roman"/>
                <w:spacing w:val="-12"/>
                <w:sz w:val="24"/>
                <w:szCs w:val="24"/>
              </w:rPr>
              <w:t xml:space="preserve">5 </w:t>
            </w:r>
            <w:r>
              <w:rPr>
                <w:spacing w:val="-12"/>
                <w:sz w:val="24"/>
                <w:szCs w:val="24"/>
              </w:rPr>
              <w:t>人，根据《用水定额》（</w:t>
            </w:r>
            <w:r>
              <w:rPr>
                <w:rFonts w:ascii="Times New Roman" w:hAnsi="Times New Roman" w:eastAsia="Times New Roman" w:cs="Times New Roman"/>
                <w:spacing w:val="-12"/>
                <w:sz w:val="24"/>
                <w:szCs w:val="24"/>
              </w:rPr>
              <w:t>DB53/T168-2019</w:t>
            </w:r>
            <w:r>
              <w:rPr>
                <w:spacing w:val="-54"/>
                <w:w w:val="86"/>
                <w:sz w:val="24"/>
                <w:szCs w:val="24"/>
              </w:rPr>
              <w:t>），</w:t>
            </w:r>
            <w:r>
              <w:rPr>
                <w:spacing w:val="-1"/>
                <w:sz w:val="24"/>
                <w:szCs w:val="24"/>
              </w:rPr>
              <w:t>工作人员日常生活用水按</w:t>
            </w:r>
            <w:r>
              <w:rPr>
                <w:spacing w:val="-35"/>
                <w:sz w:val="24"/>
                <w:szCs w:val="24"/>
              </w:rPr>
              <w:t xml:space="preserve"> </w:t>
            </w:r>
            <w:r>
              <w:rPr>
                <w:rFonts w:ascii="Times New Roman" w:hAnsi="Times New Roman" w:eastAsia="Times New Roman" w:cs="Times New Roman"/>
                <w:spacing w:val="-1"/>
                <w:sz w:val="24"/>
                <w:szCs w:val="24"/>
              </w:rPr>
              <w:t>90L/d.</w:t>
            </w:r>
            <w:r>
              <w:rPr>
                <w:spacing w:val="-1"/>
                <w:sz w:val="24"/>
                <w:szCs w:val="24"/>
              </w:rPr>
              <w:t>人计，则本工程生活用水量为</w:t>
            </w:r>
            <w:r>
              <w:rPr>
                <w:spacing w:val="-51"/>
                <w:sz w:val="24"/>
                <w:szCs w:val="24"/>
              </w:rPr>
              <w:t xml:space="preserve"> </w:t>
            </w:r>
            <w:r>
              <w:rPr>
                <w:rFonts w:ascii="Times New Roman" w:hAnsi="Times New Roman" w:eastAsia="Times New Roman" w:cs="Times New Roman"/>
                <w:spacing w:val="-1"/>
                <w:sz w:val="24"/>
                <w:szCs w:val="24"/>
              </w:rPr>
              <w:t>0.45m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4"/>
                <w:szCs w:val="24"/>
              </w:rPr>
              <w:t>/d</w:t>
            </w:r>
            <w:r>
              <w:rPr>
                <w:rFonts w:ascii="Times New Roman" w:hAnsi="Times New Roman" w:eastAsia="Times New Roman" w:cs="Times New Roman"/>
                <w:spacing w:val="-25"/>
                <w:sz w:val="24"/>
                <w:szCs w:val="24"/>
              </w:rPr>
              <w:t xml:space="preserve"> </w:t>
            </w:r>
            <w:r>
              <w:rPr>
                <w:spacing w:val="-1"/>
                <w:sz w:val="24"/>
                <w:szCs w:val="24"/>
              </w:rPr>
              <w:t>。生活污水产生量按总用水量的</w:t>
            </w:r>
            <w:r>
              <w:rPr>
                <w:spacing w:val="-43"/>
                <w:sz w:val="24"/>
                <w:szCs w:val="24"/>
              </w:rPr>
              <w:t xml:space="preserve"> </w:t>
            </w:r>
            <w:r>
              <w:rPr>
                <w:rFonts w:ascii="Times New Roman" w:hAnsi="Times New Roman" w:eastAsia="Times New Roman" w:cs="Times New Roman"/>
                <w:spacing w:val="-1"/>
                <w:sz w:val="24"/>
                <w:szCs w:val="24"/>
              </w:rPr>
              <w:t>80%</w:t>
            </w:r>
            <w:r>
              <w:rPr>
                <w:spacing w:val="-1"/>
                <w:sz w:val="24"/>
                <w:szCs w:val="24"/>
              </w:rPr>
              <w:t>计，则每天产生生活污水量约</w:t>
            </w:r>
            <w:r>
              <w:rPr>
                <w:spacing w:val="-51"/>
                <w:sz w:val="24"/>
                <w:szCs w:val="24"/>
              </w:rPr>
              <w:t xml:space="preserve"> </w:t>
            </w:r>
            <w:r>
              <w:rPr>
                <w:rFonts w:ascii="Times New Roman" w:hAnsi="Times New Roman" w:eastAsia="Times New Roman" w:cs="Times New Roman"/>
                <w:spacing w:val="-1"/>
                <w:sz w:val="24"/>
                <w:szCs w:val="24"/>
              </w:rPr>
              <w:t>0.36m</w:t>
            </w:r>
            <w:r>
              <w:rPr>
                <w:rFonts w:ascii="Times New Roman" w:hAnsi="Times New Roman" w:eastAsia="Times New Roman" w:cs="Times New Roman"/>
                <w:spacing w:val="-1"/>
                <w:position w:val="7"/>
                <w:sz w:val="15"/>
                <w:szCs w:val="15"/>
              </w:rPr>
              <w:t>3</w:t>
            </w:r>
            <w:r>
              <w:rPr>
                <w:rFonts w:ascii="Times New Roman" w:hAnsi="Times New Roman" w:eastAsia="Times New Roman" w:cs="Times New Roman"/>
                <w:spacing w:val="-1"/>
                <w:sz w:val="24"/>
                <w:szCs w:val="24"/>
              </w:rPr>
              <w:t>/d</w:t>
            </w:r>
            <w:r>
              <w:rPr>
                <w:spacing w:val="-1"/>
                <w:sz w:val="24"/>
                <w:szCs w:val="24"/>
              </w:rPr>
              <w:t>。</w:t>
            </w:r>
          </w:p>
          <w:p w14:paraId="33E0DE06">
            <w:pPr>
              <w:pStyle w:val="6"/>
              <w:spacing w:before="3" w:line="358" w:lineRule="auto"/>
              <w:ind w:left="108" w:right="102" w:firstLine="497"/>
              <w:jc w:val="both"/>
              <w:rPr>
                <w:sz w:val="24"/>
                <w:szCs w:val="24"/>
              </w:rPr>
            </w:pPr>
            <w:r>
              <w:rPr>
                <w:rFonts w:ascii="Times New Roman" w:hAnsi="Times New Roman" w:eastAsia="Times New Roman" w:cs="Times New Roman"/>
                <w:spacing w:val="5"/>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30"/>
                <w:w w:val="101"/>
                <w:sz w:val="24"/>
                <w:szCs w:val="24"/>
              </w:rPr>
              <w:t xml:space="preserve"> </w:t>
            </w:r>
            <w:r>
              <w:rPr>
                <w:spacing w:val="5"/>
                <w:sz w:val="24"/>
                <w:szCs w:val="24"/>
              </w:rPr>
              <w:t>松山变电站产生的生活污水采用地埋式污水处理设施处理后回用于绿</w:t>
            </w:r>
            <w:r>
              <w:rPr>
                <w:spacing w:val="-3"/>
                <w:sz w:val="24"/>
                <w:szCs w:val="24"/>
              </w:rPr>
              <w:t>化，不外排。地埋式污水处理设施处理能力约为</w:t>
            </w:r>
            <w:r>
              <w:rPr>
                <w:spacing w:val="-34"/>
                <w:sz w:val="24"/>
                <w:szCs w:val="24"/>
              </w:rPr>
              <w:t xml:space="preserve"> </w:t>
            </w:r>
            <w:r>
              <w:rPr>
                <w:rFonts w:ascii="Times New Roman" w:hAnsi="Times New Roman" w:eastAsia="Times New Roman" w:cs="Times New Roman"/>
                <w:spacing w:val="-3"/>
                <w:sz w:val="24"/>
                <w:szCs w:val="24"/>
              </w:rPr>
              <w:t>0.5t/h</w:t>
            </w:r>
            <w:r>
              <w:rPr>
                <w:rFonts w:ascii="Times New Roman" w:hAnsi="Times New Roman" w:eastAsia="Times New Roman" w:cs="Times New Roman"/>
                <w:spacing w:val="-31"/>
                <w:sz w:val="24"/>
                <w:szCs w:val="24"/>
              </w:rPr>
              <w:t xml:space="preserve"> </w:t>
            </w:r>
            <w:r>
              <w:rPr>
                <w:spacing w:val="-3"/>
                <w:sz w:val="24"/>
                <w:szCs w:val="24"/>
              </w:rPr>
              <w:t>，水力停留时间为</w:t>
            </w:r>
            <w:r>
              <w:rPr>
                <w:spacing w:val="-45"/>
                <w:sz w:val="24"/>
                <w:szCs w:val="24"/>
              </w:rPr>
              <w:t xml:space="preserve"> </w:t>
            </w:r>
            <w:r>
              <w:rPr>
                <w:rFonts w:ascii="Times New Roman" w:hAnsi="Times New Roman" w:eastAsia="Times New Roman" w:cs="Times New Roman"/>
                <w:spacing w:val="-3"/>
                <w:sz w:val="24"/>
                <w:szCs w:val="24"/>
              </w:rPr>
              <w:t>8h~</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12h</w:t>
            </w:r>
            <w:r>
              <w:rPr>
                <w:rFonts w:ascii="Times New Roman" w:hAnsi="Times New Roman" w:eastAsia="Times New Roman" w:cs="Times New Roman"/>
                <w:spacing w:val="-29"/>
                <w:sz w:val="24"/>
                <w:szCs w:val="24"/>
              </w:rPr>
              <w:t xml:space="preserve"> </w:t>
            </w:r>
            <w:r>
              <w:rPr>
                <w:spacing w:val="-3"/>
                <w:sz w:val="24"/>
                <w:szCs w:val="24"/>
              </w:rPr>
              <w:t>，</w:t>
            </w:r>
            <w:r>
              <w:rPr>
                <w:spacing w:val="-1"/>
                <w:sz w:val="24"/>
                <w:szCs w:val="24"/>
              </w:rPr>
              <w:t>本工程变电站生活污水日产生量约为</w:t>
            </w:r>
            <w:r>
              <w:rPr>
                <w:spacing w:val="-52"/>
                <w:sz w:val="24"/>
                <w:szCs w:val="24"/>
              </w:rPr>
              <w:t xml:space="preserve"> </w:t>
            </w:r>
            <w:r>
              <w:rPr>
                <w:rFonts w:ascii="Times New Roman" w:hAnsi="Times New Roman" w:eastAsia="Times New Roman" w:cs="Times New Roman"/>
                <w:spacing w:val="-1"/>
                <w:sz w:val="24"/>
                <w:szCs w:val="24"/>
              </w:rPr>
              <w:t>0.36m</w:t>
            </w:r>
            <w:r>
              <w:rPr>
                <w:rFonts w:ascii="Times New Roman" w:hAnsi="Times New Roman" w:eastAsia="Times New Roman" w:cs="Times New Roman"/>
                <w:spacing w:val="-1"/>
                <w:position w:val="8"/>
                <w:sz w:val="15"/>
                <w:szCs w:val="15"/>
              </w:rPr>
              <w:t>3</w:t>
            </w:r>
            <w:r>
              <w:rPr>
                <w:rFonts w:ascii="Times New Roman" w:hAnsi="Times New Roman" w:eastAsia="Times New Roman" w:cs="Times New Roman"/>
                <w:spacing w:val="-1"/>
                <w:sz w:val="24"/>
                <w:szCs w:val="24"/>
              </w:rPr>
              <w:t>/d</w:t>
            </w:r>
            <w:r>
              <w:rPr>
                <w:rFonts w:ascii="Times New Roman" w:hAnsi="Times New Roman" w:eastAsia="Times New Roman" w:cs="Times New Roman"/>
                <w:spacing w:val="-33"/>
                <w:sz w:val="24"/>
                <w:szCs w:val="24"/>
              </w:rPr>
              <w:t xml:space="preserve"> </w:t>
            </w:r>
            <w:r>
              <w:rPr>
                <w:spacing w:val="-1"/>
                <w:sz w:val="24"/>
                <w:szCs w:val="24"/>
              </w:rPr>
              <w:t>，其处理规模</w:t>
            </w:r>
            <w:r>
              <w:rPr>
                <w:spacing w:val="-2"/>
                <w:sz w:val="24"/>
                <w:szCs w:val="24"/>
              </w:rPr>
              <w:t>可满足相关要求。</w:t>
            </w:r>
          </w:p>
          <w:p w14:paraId="5BBF34ED">
            <w:pPr>
              <w:pStyle w:val="6"/>
              <w:spacing w:before="2" w:line="359" w:lineRule="auto"/>
              <w:ind w:left="106" w:right="102" w:firstLine="480"/>
              <w:jc w:val="both"/>
              <w:rPr>
                <w:sz w:val="24"/>
                <w:szCs w:val="24"/>
              </w:rPr>
            </w:pPr>
            <w:r>
              <w:rPr>
                <w:spacing w:val="-1"/>
                <w:sz w:val="24"/>
                <w:szCs w:val="24"/>
              </w:rPr>
              <w:t>地埋式污水处理设施包括格栅池、调节池、氧化池、沉淀池、污泥池，处理工</w:t>
            </w:r>
            <w:r>
              <w:rPr>
                <w:spacing w:val="1"/>
                <w:sz w:val="24"/>
                <w:szCs w:val="24"/>
              </w:rPr>
              <w:t>艺为</w:t>
            </w:r>
            <w:r>
              <w:rPr>
                <w:rFonts w:ascii="Times New Roman" w:hAnsi="Times New Roman" w:eastAsia="Times New Roman" w:cs="Times New Roman"/>
                <w:spacing w:val="1"/>
                <w:sz w:val="24"/>
                <w:szCs w:val="24"/>
              </w:rPr>
              <w:t>“</w:t>
            </w:r>
            <w:r>
              <w:rPr>
                <w:spacing w:val="1"/>
                <w:sz w:val="24"/>
                <w:szCs w:val="24"/>
              </w:rPr>
              <w:t>预处理</w:t>
            </w:r>
            <w:r>
              <w:rPr>
                <w:rFonts w:ascii="Times New Roman" w:hAnsi="Times New Roman" w:eastAsia="Times New Roman" w:cs="Times New Roman"/>
                <w:spacing w:val="1"/>
                <w:sz w:val="24"/>
                <w:szCs w:val="24"/>
              </w:rPr>
              <w:t>+</w:t>
            </w:r>
            <w:r>
              <w:rPr>
                <w:spacing w:val="1"/>
                <w:sz w:val="24"/>
                <w:szCs w:val="24"/>
              </w:rPr>
              <w:t>生物接触氧化</w:t>
            </w:r>
            <w:r>
              <w:rPr>
                <w:rFonts w:ascii="Times New Roman" w:hAnsi="Times New Roman" w:eastAsia="Times New Roman" w:cs="Times New Roman"/>
                <w:spacing w:val="1"/>
                <w:sz w:val="24"/>
                <w:szCs w:val="24"/>
              </w:rPr>
              <w:t>+</w:t>
            </w:r>
            <w:r>
              <w:rPr>
                <w:spacing w:val="1"/>
                <w:sz w:val="24"/>
                <w:szCs w:val="24"/>
              </w:rPr>
              <w:t>沉淀</w:t>
            </w:r>
            <w:r>
              <w:rPr>
                <w:rFonts w:ascii="Times New Roman" w:hAnsi="Times New Roman" w:eastAsia="Times New Roman" w:cs="Times New Roman"/>
                <w:spacing w:val="1"/>
                <w:sz w:val="24"/>
                <w:szCs w:val="24"/>
              </w:rPr>
              <w:t>+</w:t>
            </w:r>
            <w:r>
              <w:rPr>
                <w:spacing w:val="1"/>
                <w:sz w:val="24"/>
                <w:szCs w:val="24"/>
              </w:rPr>
              <w:t>消毒</w:t>
            </w:r>
            <w:r>
              <w:rPr>
                <w:rFonts w:ascii="Times New Roman" w:hAnsi="Times New Roman" w:eastAsia="Times New Roman" w:cs="Times New Roman"/>
                <w:spacing w:val="1"/>
                <w:sz w:val="24"/>
                <w:szCs w:val="24"/>
              </w:rPr>
              <w:t>”</w:t>
            </w:r>
            <w:r>
              <w:rPr>
                <w:rFonts w:ascii="Times New Roman" w:hAnsi="Times New Roman" w:eastAsia="Times New Roman" w:cs="Times New Roman"/>
                <w:spacing w:val="-25"/>
                <w:sz w:val="24"/>
                <w:szCs w:val="24"/>
              </w:rPr>
              <w:t xml:space="preserve"> </w:t>
            </w:r>
            <w:r>
              <w:rPr>
                <w:spacing w:val="1"/>
                <w:sz w:val="24"/>
                <w:szCs w:val="24"/>
              </w:rPr>
              <w:t>。污水先经格栅拦截较大的</w:t>
            </w:r>
            <w:r>
              <w:rPr>
                <w:sz w:val="24"/>
                <w:szCs w:val="24"/>
              </w:rPr>
              <w:t>悬浮物后，进</w:t>
            </w:r>
            <w:r>
              <w:rPr>
                <w:spacing w:val="-1"/>
                <w:sz w:val="24"/>
                <w:szCs w:val="24"/>
              </w:rPr>
              <w:t>入调节池均化水质、调节水量，而后进入生化处理单元，经好氧微生物的分解和消化作用去除污水中的有机物，最后经沉淀池沉淀后投加含氯消毒剂进行消毒。处理后出水水质可达到《城市污水再生利用城市杂用水水质》（</w:t>
            </w:r>
            <w:r>
              <w:rPr>
                <w:rFonts w:ascii="Times New Roman" w:hAnsi="Times New Roman" w:eastAsia="Times New Roman" w:cs="Times New Roman"/>
                <w:spacing w:val="-1"/>
                <w:sz w:val="24"/>
                <w:szCs w:val="24"/>
              </w:rPr>
              <w:t>GB</w:t>
            </w:r>
            <w:r>
              <w:rPr>
                <w:rFonts w:ascii="Times New Roman" w:hAnsi="Times New Roman" w:eastAsia="Times New Roman" w:cs="Times New Roman"/>
                <w:spacing w:val="-2"/>
                <w:sz w:val="24"/>
                <w:szCs w:val="24"/>
              </w:rPr>
              <w:t>/T18920-2020</w:t>
            </w:r>
            <w:r>
              <w:rPr>
                <w:spacing w:val="-2"/>
                <w:sz w:val="24"/>
                <w:szCs w:val="24"/>
              </w:rPr>
              <w:t>）中城</w:t>
            </w:r>
            <w:r>
              <w:rPr>
                <w:spacing w:val="-1"/>
                <w:sz w:val="24"/>
                <w:szCs w:val="24"/>
              </w:rPr>
              <w:t>市绿化用水标准，其处理效果可满足相关要求。生活污水采用地埋式污水处理设施</w:t>
            </w:r>
            <w:r>
              <w:rPr>
                <w:spacing w:val="-3"/>
                <w:sz w:val="24"/>
                <w:szCs w:val="24"/>
              </w:rPr>
              <w:t>可行。</w:t>
            </w:r>
          </w:p>
          <w:p w14:paraId="36B0BD3A">
            <w:pPr>
              <w:pStyle w:val="6"/>
              <w:spacing w:line="355" w:lineRule="auto"/>
              <w:ind w:left="110" w:right="102" w:firstLine="477"/>
              <w:rPr>
                <w:sz w:val="24"/>
                <w:szCs w:val="24"/>
              </w:rPr>
            </w:pPr>
            <w:r>
              <w:rPr>
                <w:spacing w:val="-2"/>
                <w:sz w:val="24"/>
                <w:szCs w:val="24"/>
              </w:rPr>
              <w:t>变电站生活污水经化粪池（</w:t>
            </w:r>
            <w:r>
              <w:rPr>
                <w:rFonts w:ascii="Times New Roman" w:hAnsi="Times New Roman" w:eastAsia="Times New Roman" w:cs="Times New Roman"/>
                <w:spacing w:val="-2"/>
                <w:sz w:val="24"/>
                <w:szCs w:val="24"/>
              </w:rPr>
              <w:t>2m</w:t>
            </w:r>
            <w:r>
              <w:rPr>
                <w:rFonts w:ascii="Times New Roman" w:hAnsi="Times New Roman" w:eastAsia="Times New Roman" w:cs="Times New Roman"/>
                <w:spacing w:val="-2"/>
                <w:position w:val="1"/>
                <w:sz w:val="15"/>
                <w:szCs w:val="15"/>
              </w:rPr>
              <w:t>3</w:t>
            </w:r>
            <w:r>
              <w:rPr>
                <w:spacing w:val="-2"/>
                <w:position w:val="1"/>
                <w:sz w:val="24"/>
                <w:szCs w:val="24"/>
              </w:rPr>
              <w:t>）</w:t>
            </w:r>
            <w:r>
              <w:rPr>
                <w:spacing w:val="-2"/>
                <w:sz w:val="24"/>
                <w:szCs w:val="24"/>
              </w:rPr>
              <w:t>、一体化污水处理设施（处理能力</w:t>
            </w:r>
            <w:r>
              <w:rPr>
                <w:spacing w:val="-50"/>
                <w:sz w:val="24"/>
                <w:szCs w:val="24"/>
              </w:rPr>
              <w:t xml:space="preserve"> </w:t>
            </w:r>
            <w:r>
              <w:rPr>
                <w:rFonts w:ascii="Times New Roman" w:hAnsi="Times New Roman" w:eastAsia="Times New Roman" w:cs="Times New Roman"/>
                <w:spacing w:val="-2"/>
                <w:sz w:val="24"/>
                <w:szCs w:val="24"/>
              </w:rPr>
              <w:t>0.5t/h</w:t>
            </w:r>
            <w:r>
              <w:rPr>
                <w:spacing w:val="-2"/>
                <w:sz w:val="24"/>
                <w:szCs w:val="24"/>
              </w:rPr>
              <w:t>）处</w:t>
            </w:r>
            <w:r>
              <w:rPr>
                <w:spacing w:val="-1"/>
                <w:sz w:val="24"/>
                <w:szCs w:val="24"/>
              </w:rPr>
              <w:t>理后回用于绿化，不外排，不会对站外地表水环境产生不良影响。</w:t>
            </w:r>
          </w:p>
          <w:p w14:paraId="04960E28">
            <w:pPr>
              <w:pStyle w:val="6"/>
              <w:spacing w:line="220" w:lineRule="auto"/>
              <w:ind w:left="107"/>
              <w:rPr>
                <w:sz w:val="24"/>
                <w:szCs w:val="24"/>
              </w:rPr>
            </w:pPr>
            <w:r>
              <w:rPr>
                <w:rFonts w:ascii="Times New Roman" w:hAnsi="Times New Roman" w:eastAsia="Times New Roman" w:cs="Times New Roman"/>
                <w:b/>
                <w:bCs/>
                <w:spacing w:val="-8"/>
                <w:sz w:val="24"/>
                <w:szCs w:val="24"/>
              </w:rPr>
              <w:t>6</w:t>
            </w:r>
            <w:r>
              <w:rPr>
                <w:rFonts w:ascii="Times New Roman" w:hAnsi="Times New Roman" w:eastAsia="Times New Roman" w:cs="Times New Roman"/>
                <w:b/>
                <w:bCs/>
                <w:spacing w:val="-33"/>
                <w:sz w:val="24"/>
                <w:szCs w:val="24"/>
              </w:rPr>
              <w:t xml:space="preserve"> </w:t>
            </w:r>
            <w:r>
              <w:rPr>
                <w:b/>
                <w:bCs/>
                <w:spacing w:val="-8"/>
                <w:sz w:val="24"/>
                <w:szCs w:val="24"/>
              </w:rPr>
              <w:t>、固体废物</w:t>
            </w:r>
          </w:p>
          <w:p w14:paraId="309ECA4C">
            <w:pPr>
              <w:pStyle w:val="6"/>
              <w:spacing w:before="183" w:line="219" w:lineRule="auto"/>
              <w:ind w:left="599"/>
              <w:rPr>
                <w:sz w:val="24"/>
                <w:szCs w:val="24"/>
              </w:rPr>
            </w:pPr>
            <w:r>
              <w:rPr>
                <w:spacing w:val="-3"/>
                <w:sz w:val="24"/>
                <w:szCs w:val="24"/>
              </w:rPr>
              <w:t>（</w:t>
            </w:r>
            <w:r>
              <w:rPr>
                <w:rFonts w:ascii="Times New Roman" w:hAnsi="Times New Roman" w:eastAsia="Times New Roman" w:cs="Times New Roman"/>
                <w:spacing w:val="-3"/>
                <w:sz w:val="24"/>
                <w:szCs w:val="24"/>
              </w:rPr>
              <w:t>1</w:t>
            </w:r>
            <w:r>
              <w:rPr>
                <w:spacing w:val="-3"/>
                <w:sz w:val="24"/>
                <w:szCs w:val="24"/>
              </w:rPr>
              <w:t>）输电线路</w:t>
            </w:r>
          </w:p>
          <w:p w14:paraId="71742BA4">
            <w:pPr>
              <w:pStyle w:val="6"/>
              <w:spacing w:before="181" w:line="359" w:lineRule="auto"/>
              <w:ind w:left="106" w:right="40" w:firstLine="480"/>
              <w:rPr>
                <w:sz w:val="24"/>
                <w:szCs w:val="24"/>
              </w:rPr>
            </w:pPr>
            <w:r>
              <w:rPr>
                <w:spacing w:val="-1"/>
                <w:sz w:val="24"/>
                <w:szCs w:val="24"/>
              </w:rPr>
              <w:t>输电线路运行期间，将定期进行设备维修和更换，会产生一定量的电气设备零</w:t>
            </w:r>
            <w:r>
              <w:rPr>
                <w:spacing w:val="1"/>
                <w:sz w:val="24"/>
                <w:szCs w:val="24"/>
              </w:rPr>
              <w:t>件、绝缘子等废旧材料，约</w:t>
            </w:r>
            <w:r>
              <w:rPr>
                <w:spacing w:val="-44"/>
                <w:sz w:val="24"/>
                <w:szCs w:val="24"/>
              </w:rPr>
              <w:t xml:space="preserve"> </w:t>
            </w:r>
            <w:r>
              <w:rPr>
                <w:rFonts w:ascii="Times New Roman" w:hAnsi="Times New Roman" w:eastAsia="Times New Roman" w:cs="Times New Roman"/>
                <w:spacing w:val="1"/>
                <w:sz w:val="24"/>
                <w:szCs w:val="24"/>
              </w:rPr>
              <w:t>0.2t/a</w:t>
            </w:r>
            <w:r>
              <w:rPr>
                <w:rFonts w:ascii="Times New Roman" w:hAnsi="Times New Roman" w:eastAsia="Times New Roman" w:cs="Times New Roman"/>
                <w:spacing w:val="-29"/>
                <w:sz w:val="24"/>
                <w:szCs w:val="24"/>
              </w:rPr>
              <w:t xml:space="preserve"> </w:t>
            </w:r>
            <w:r>
              <w:rPr>
                <w:spacing w:val="1"/>
                <w:sz w:val="24"/>
                <w:szCs w:val="24"/>
              </w:rPr>
              <w:t>，主要是铁质、钢质及绝缘材料的零部件，这些</w:t>
            </w:r>
            <w:r>
              <w:rPr>
                <w:spacing w:val="-6"/>
                <w:sz w:val="24"/>
                <w:szCs w:val="24"/>
              </w:rPr>
              <w:t>废弃物均可回收，集中收集后外售给废旧资源回收中心回收利用。采取以上措施后，</w:t>
            </w:r>
            <w:r>
              <w:rPr>
                <w:sz w:val="24"/>
                <w:szCs w:val="24"/>
              </w:rPr>
              <w:t>项目产生的固体废物均可得到妥善处置，不会对周</w:t>
            </w:r>
            <w:r>
              <w:rPr>
                <w:spacing w:val="-1"/>
                <w:sz w:val="24"/>
                <w:szCs w:val="24"/>
              </w:rPr>
              <w:t>围环境造成较大影响。</w:t>
            </w:r>
          </w:p>
          <w:p w14:paraId="6ED6A56A">
            <w:pPr>
              <w:pStyle w:val="6"/>
              <w:spacing w:before="1" w:line="220" w:lineRule="auto"/>
              <w:ind w:left="599"/>
              <w:rPr>
                <w:sz w:val="24"/>
                <w:szCs w:val="24"/>
              </w:rPr>
            </w:pPr>
            <w:r>
              <w:rPr>
                <w:spacing w:val="-4"/>
                <w:sz w:val="24"/>
                <w:szCs w:val="24"/>
              </w:rPr>
              <w:t>（</w:t>
            </w:r>
            <w:r>
              <w:rPr>
                <w:rFonts w:ascii="Times New Roman" w:hAnsi="Times New Roman" w:eastAsia="Times New Roman" w:cs="Times New Roman"/>
                <w:spacing w:val="-4"/>
                <w:sz w:val="24"/>
                <w:szCs w:val="24"/>
              </w:rPr>
              <w:t>2</w:t>
            </w:r>
            <w:r>
              <w:rPr>
                <w:spacing w:val="-4"/>
                <w:sz w:val="24"/>
                <w:szCs w:val="24"/>
              </w:rPr>
              <w:t>）变电站</w:t>
            </w:r>
          </w:p>
          <w:p w14:paraId="3CB0EEAD">
            <w:pPr>
              <w:pStyle w:val="6"/>
              <w:spacing w:before="181" w:line="219" w:lineRule="auto"/>
              <w:ind w:left="606"/>
              <w:rPr>
                <w:sz w:val="24"/>
                <w:szCs w:val="24"/>
              </w:rPr>
            </w:pPr>
            <w:r>
              <w:rPr>
                <w:rFonts w:ascii="Times New Roman" w:hAnsi="Times New Roman" w:eastAsia="Times New Roman" w:cs="Times New Roman"/>
                <w:spacing w:val="-2"/>
                <w:sz w:val="24"/>
                <w:szCs w:val="24"/>
              </w:rPr>
              <w:t>1</w:t>
            </w:r>
            <w:r>
              <w:rPr>
                <w:spacing w:val="-2"/>
                <w:sz w:val="24"/>
                <w:szCs w:val="24"/>
              </w:rPr>
              <w:t>）生活垃圾（废物代码为</w:t>
            </w:r>
            <w:r>
              <w:rPr>
                <w:spacing w:val="-42"/>
                <w:sz w:val="24"/>
                <w:szCs w:val="24"/>
              </w:rPr>
              <w:t xml:space="preserve"> </w:t>
            </w:r>
            <w:r>
              <w:rPr>
                <w:rFonts w:ascii="Times New Roman" w:hAnsi="Times New Roman" w:eastAsia="Times New Roman" w:cs="Times New Roman"/>
                <w:spacing w:val="-2"/>
                <w:sz w:val="24"/>
                <w:szCs w:val="24"/>
              </w:rPr>
              <w:t>900-002-S64</w:t>
            </w:r>
            <w:r>
              <w:rPr>
                <w:spacing w:val="-2"/>
                <w:sz w:val="24"/>
                <w:szCs w:val="24"/>
              </w:rPr>
              <w:t>）</w:t>
            </w:r>
          </w:p>
        </w:tc>
      </w:tr>
    </w:tbl>
    <w:p w14:paraId="43E1FD4A">
      <w:pPr>
        <w:rPr>
          <w:rFonts w:ascii="Arial"/>
          <w:sz w:val="21"/>
        </w:rPr>
      </w:pPr>
    </w:p>
    <w:p w14:paraId="4BB052D0">
      <w:pPr>
        <w:rPr>
          <w:rFonts w:ascii="Arial" w:hAnsi="Arial" w:eastAsia="Arial" w:cs="Arial"/>
          <w:sz w:val="21"/>
          <w:szCs w:val="21"/>
        </w:rPr>
        <w:sectPr>
          <w:footerReference r:id="rId123" w:type="default"/>
          <w:pgSz w:w="11907" w:h="16840"/>
          <w:pgMar w:top="400" w:right="1179" w:bottom="1240" w:left="1405" w:header="0" w:footer="1077" w:gutter="0"/>
          <w:cols w:space="720" w:num="1"/>
        </w:sectPr>
      </w:pPr>
    </w:p>
    <w:p w14:paraId="152F92E7">
      <w:pPr>
        <w:spacing w:before="13"/>
      </w:pPr>
    </w:p>
    <w:p w14:paraId="423DDAF2">
      <w:pPr>
        <w:spacing w:before="13"/>
      </w:pPr>
    </w:p>
    <w:p w14:paraId="7B01A019">
      <w:pPr>
        <w:spacing w:before="13"/>
      </w:pPr>
    </w:p>
    <w:p w14:paraId="47BB52BD">
      <w:pPr>
        <w:spacing w:before="12"/>
      </w:pPr>
    </w:p>
    <w:tbl>
      <w:tblPr>
        <w:tblStyle w:val="5"/>
        <w:tblW w:w="930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29"/>
      </w:tblGrid>
      <w:tr w14:paraId="57D35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46" w:hRule="atLeast"/>
        </w:trPr>
        <w:tc>
          <w:tcPr>
            <w:tcW w:w="478" w:type="dxa"/>
            <w:tcBorders>
              <w:right w:val="single" w:color="000000" w:sz="2" w:space="0"/>
            </w:tcBorders>
            <w:vAlign w:val="top"/>
          </w:tcPr>
          <w:p w14:paraId="1EB1BD3D">
            <w:pPr>
              <w:rPr>
                <w:rFonts w:ascii="Arial"/>
                <w:sz w:val="21"/>
              </w:rPr>
            </w:pPr>
          </w:p>
        </w:tc>
        <w:tc>
          <w:tcPr>
            <w:tcW w:w="8829" w:type="dxa"/>
            <w:tcBorders>
              <w:left w:val="single" w:color="000000" w:sz="2" w:space="0"/>
            </w:tcBorders>
            <w:vAlign w:val="top"/>
          </w:tcPr>
          <w:p w14:paraId="0F824693">
            <w:pPr>
              <w:pStyle w:val="6"/>
              <w:spacing w:before="40" w:line="359" w:lineRule="auto"/>
              <w:ind w:left="107" w:right="102" w:firstLine="483"/>
              <w:rPr>
                <w:sz w:val="24"/>
                <w:szCs w:val="24"/>
              </w:rPr>
            </w:pPr>
            <w:r>
              <w:rPr>
                <w:spacing w:val="-1"/>
                <w:sz w:val="24"/>
                <w:szCs w:val="24"/>
              </w:rPr>
              <w:t>项目运行期间固体废物主要为工作人员产生的少量生活垃圾，经站内垃圾</w:t>
            </w:r>
            <w:r>
              <w:rPr>
                <w:spacing w:val="-2"/>
                <w:sz w:val="24"/>
                <w:szCs w:val="24"/>
              </w:rPr>
              <w:t>桶收</w:t>
            </w:r>
            <w:r>
              <w:rPr>
                <w:spacing w:val="-1"/>
                <w:sz w:val="24"/>
                <w:szCs w:val="24"/>
              </w:rPr>
              <w:t>集后，定期清运至环卫部门指定收集点。</w:t>
            </w:r>
          </w:p>
          <w:p w14:paraId="73BA97FF">
            <w:pPr>
              <w:pStyle w:val="6"/>
              <w:spacing w:line="219" w:lineRule="auto"/>
              <w:ind w:left="583"/>
              <w:rPr>
                <w:sz w:val="24"/>
                <w:szCs w:val="24"/>
              </w:rPr>
            </w:pPr>
            <w:r>
              <w:rPr>
                <w:rFonts w:ascii="Times New Roman" w:hAnsi="Times New Roman" w:eastAsia="Times New Roman" w:cs="Times New Roman"/>
                <w:spacing w:val="-1"/>
                <w:sz w:val="24"/>
                <w:szCs w:val="24"/>
              </w:rPr>
              <w:t>2</w:t>
            </w:r>
            <w:r>
              <w:rPr>
                <w:spacing w:val="-1"/>
                <w:sz w:val="24"/>
                <w:szCs w:val="24"/>
              </w:rPr>
              <w:t>）废旧铅酸蓄电池（废物代码为</w:t>
            </w:r>
            <w:r>
              <w:rPr>
                <w:spacing w:val="-42"/>
                <w:sz w:val="24"/>
                <w:szCs w:val="24"/>
              </w:rPr>
              <w:t xml:space="preserve"> </w:t>
            </w:r>
            <w:r>
              <w:rPr>
                <w:rFonts w:ascii="Times New Roman" w:hAnsi="Times New Roman" w:eastAsia="Times New Roman" w:cs="Times New Roman"/>
                <w:spacing w:val="-1"/>
                <w:sz w:val="24"/>
                <w:szCs w:val="24"/>
              </w:rPr>
              <w:t>900-052-31</w:t>
            </w:r>
            <w:r>
              <w:rPr>
                <w:spacing w:val="-1"/>
                <w:sz w:val="24"/>
                <w:szCs w:val="24"/>
              </w:rPr>
              <w:t>）</w:t>
            </w:r>
          </w:p>
          <w:p w14:paraId="282F649B">
            <w:pPr>
              <w:pStyle w:val="6"/>
              <w:spacing w:before="183" w:line="359" w:lineRule="auto"/>
              <w:ind w:left="106" w:right="102" w:firstLine="491"/>
              <w:rPr>
                <w:sz w:val="24"/>
                <w:szCs w:val="24"/>
              </w:rPr>
            </w:pPr>
            <w:r>
              <w:rPr>
                <w:spacing w:val="-1"/>
                <w:sz w:val="24"/>
                <w:szCs w:val="24"/>
              </w:rPr>
              <w:t>蓄电池作为直流电源设备在变电站电力系统安全运行中起</w:t>
            </w:r>
            <w:r>
              <w:rPr>
                <w:spacing w:val="-2"/>
                <w:sz w:val="24"/>
                <w:szCs w:val="24"/>
              </w:rPr>
              <w:t>着重要的作用，为断</w:t>
            </w:r>
            <w:r>
              <w:rPr>
                <w:spacing w:val="-1"/>
                <w:sz w:val="24"/>
                <w:szCs w:val="24"/>
              </w:rPr>
              <w:t>路器分、合闸及二次回路中的继电保护、仪表和事故照明等提供能源。变电站蓄电</w:t>
            </w:r>
            <w:r>
              <w:rPr>
                <w:spacing w:val="1"/>
                <w:sz w:val="24"/>
                <w:szCs w:val="24"/>
              </w:rPr>
              <w:t>池主要采用铅酸蓄电池，使用寿命较长，最长可达</w:t>
            </w:r>
            <w:r>
              <w:rPr>
                <w:spacing w:val="-11"/>
                <w:sz w:val="24"/>
                <w:szCs w:val="24"/>
              </w:rPr>
              <w:t xml:space="preserve"> </w:t>
            </w:r>
            <w:r>
              <w:rPr>
                <w:rFonts w:ascii="Times New Roman" w:hAnsi="Times New Roman" w:eastAsia="Times New Roman" w:cs="Times New Roman"/>
                <w:spacing w:val="1"/>
                <w:sz w:val="24"/>
                <w:szCs w:val="24"/>
              </w:rPr>
              <w:t xml:space="preserve">10 </w:t>
            </w:r>
            <w:r>
              <w:rPr>
                <w:spacing w:val="1"/>
                <w:sz w:val="24"/>
                <w:szCs w:val="24"/>
              </w:rPr>
              <w:t>年。根据《国家危险废物名</w:t>
            </w:r>
            <w:r>
              <w:rPr>
                <w:spacing w:val="3"/>
                <w:sz w:val="24"/>
                <w:szCs w:val="24"/>
              </w:rPr>
              <w:t>录（</w:t>
            </w:r>
            <w:r>
              <w:rPr>
                <w:rFonts w:ascii="Times New Roman" w:hAnsi="Times New Roman" w:eastAsia="Times New Roman" w:cs="Times New Roman"/>
                <w:spacing w:val="3"/>
                <w:sz w:val="24"/>
                <w:szCs w:val="24"/>
              </w:rPr>
              <w:t xml:space="preserve">2025 </w:t>
            </w:r>
            <w:r>
              <w:rPr>
                <w:spacing w:val="3"/>
                <w:sz w:val="24"/>
                <w:szCs w:val="24"/>
              </w:rPr>
              <w:t>年版）》，废旧铅蓄电池属于危险废物</w:t>
            </w:r>
            <w:r>
              <w:rPr>
                <w:spacing w:val="2"/>
                <w:sz w:val="24"/>
                <w:szCs w:val="24"/>
              </w:rPr>
              <w:t>，类别为</w:t>
            </w:r>
            <w:r>
              <w:rPr>
                <w:spacing w:val="-51"/>
                <w:sz w:val="24"/>
                <w:szCs w:val="24"/>
              </w:rPr>
              <w:t xml:space="preserve"> </w:t>
            </w:r>
            <w:r>
              <w:rPr>
                <w:rFonts w:ascii="Times New Roman" w:hAnsi="Times New Roman" w:eastAsia="Times New Roman" w:cs="Times New Roman"/>
                <w:sz w:val="24"/>
                <w:szCs w:val="24"/>
              </w:rPr>
              <w:t>HW</w:t>
            </w:r>
            <w:r>
              <w:rPr>
                <w:rFonts w:ascii="Times New Roman" w:hAnsi="Times New Roman" w:eastAsia="Times New Roman" w:cs="Times New Roman"/>
                <w:spacing w:val="2"/>
                <w:sz w:val="24"/>
                <w:szCs w:val="24"/>
              </w:rPr>
              <w:t xml:space="preserve">31 </w:t>
            </w:r>
            <w:r>
              <w:rPr>
                <w:spacing w:val="2"/>
                <w:sz w:val="24"/>
                <w:szCs w:val="24"/>
              </w:rPr>
              <w:t>含铅废物，废物</w:t>
            </w:r>
            <w:r>
              <w:rPr>
                <w:spacing w:val="-3"/>
                <w:sz w:val="24"/>
                <w:szCs w:val="24"/>
              </w:rPr>
              <w:t>代码为</w:t>
            </w:r>
            <w:r>
              <w:rPr>
                <w:spacing w:val="-41"/>
                <w:sz w:val="24"/>
                <w:szCs w:val="24"/>
              </w:rPr>
              <w:t xml:space="preserve"> </w:t>
            </w:r>
            <w:r>
              <w:rPr>
                <w:rFonts w:ascii="Times New Roman" w:hAnsi="Times New Roman" w:eastAsia="Times New Roman" w:cs="Times New Roman"/>
                <w:spacing w:val="-3"/>
                <w:sz w:val="24"/>
                <w:szCs w:val="24"/>
              </w:rPr>
              <w:t>900-052-31</w:t>
            </w:r>
            <w:r>
              <w:rPr>
                <w:rFonts w:ascii="Times New Roman" w:hAnsi="Times New Roman" w:eastAsia="Times New Roman" w:cs="Times New Roman"/>
                <w:spacing w:val="-31"/>
                <w:sz w:val="24"/>
                <w:szCs w:val="24"/>
              </w:rPr>
              <w:t xml:space="preserve"> </w:t>
            </w:r>
            <w:r>
              <w:rPr>
                <w:spacing w:val="-3"/>
                <w:sz w:val="24"/>
                <w:szCs w:val="24"/>
              </w:rPr>
              <w:t>，危险特性为毒性（</w:t>
            </w:r>
            <w:r>
              <w:rPr>
                <w:rFonts w:ascii="Times New Roman" w:hAnsi="Times New Roman" w:eastAsia="Times New Roman" w:cs="Times New Roman"/>
                <w:spacing w:val="-3"/>
                <w:sz w:val="24"/>
                <w:szCs w:val="24"/>
              </w:rPr>
              <w:t>T</w:t>
            </w:r>
            <w:r>
              <w:rPr>
                <w:spacing w:val="-3"/>
                <w:sz w:val="24"/>
                <w:szCs w:val="24"/>
              </w:rPr>
              <w:t>）和腐蚀性（</w:t>
            </w:r>
            <w:r>
              <w:rPr>
                <w:rFonts w:ascii="Times New Roman" w:hAnsi="Times New Roman" w:eastAsia="Times New Roman" w:cs="Times New Roman"/>
                <w:spacing w:val="-3"/>
                <w:sz w:val="24"/>
                <w:szCs w:val="24"/>
              </w:rPr>
              <w:t>C</w:t>
            </w:r>
            <w:r>
              <w:rPr>
                <w:spacing w:val="-3"/>
                <w:sz w:val="24"/>
                <w:szCs w:val="24"/>
              </w:rPr>
              <w:t>）。站内使用蓄电池一组共</w:t>
            </w:r>
            <w:r>
              <w:rPr>
                <w:rFonts w:ascii="Times New Roman" w:hAnsi="Times New Roman" w:eastAsia="Times New Roman" w:cs="Times New Roman"/>
                <w:sz w:val="24"/>
                <w:szCs w:val="24"/>
              </w:rPr>
              <w:t>104</w:t>
            </w:r>
            <w:r>
              <w:rPr>
                <w:rFonts w:ascii="Times New Roman" w:hAnsi="Times New Roman" w:eastAsia="Times New Roman" w:cs="Times New Roman"/>
                <w:spacing w:val="37"/>
                <w:sz w:val="24"/>
                <w:szCs w:val="24"/>
              </w:rPr>
              <w:t xml:space="preserve"> </w:t>
            </w:r>
            <w:r>
              <w:rPr>
                <w:sz w:val="24"/>
                <w:szCs w:val="24"/>
              </w:rPr>
              <w:t>只，总重量约</w:t>
            </w:r>
            <w:r>
              <w:rPr>
                <w:spacing w:val="-46"/>
                <w:sz w:val="24"/>
                <w:szCs w:val="24"/>
              </w:rPr>
              <w:t xml:space="preserve"> </w:t>
            </w:r>
            <w:r>
              <w:rPr>
                <w:rFonts w:ascii="Times New Roman" w:hAnsi="Times New Roman" w:eastAsia="Times New Roman" w:cs="Times New Roman"/>
                <w:sz w:val="24"/>
                <w:szCs w:val="24"/>
              </w:rPr>
              <w:t>780kg</w:t>
            </w:r>
            <w:r>
              <w:rPr>
                <w:rFonts w:ascii="Times New Roman" w:hAnsi="Times New Roman" w:eastAsia="Times New Roman" w:cs="Times New Roman"/>
                <w:spacing w:val="-25"/>
                <w:sz w:val="24"/>
                <w:szCs w:val="24"/>
              </w:rPr>
              <w:t xml:space="preserve"> </w:t>
            </w:r>
            <w:r>
              <w:rPr>
                <w:sz w:val="24"/>
                <w:szCs w:val="24"/>
              </w:rPr>
              <w:t>。使用到年限后整组更换，更换下来后由有危废处置资质</w:t>
            </w:r>
            <w:r>
              <w:rPr>
                <w:spacing w:val="-1"/>
                <w:sz w:val="24"/>
                <w:szCs w:val="24"/>
              </w:rPr>
              <w:t>的收集处理单位回收，不在现场进行拆散、破碎。蓄电池堆叠层数按</w:t>
            </w:r>
            <w:r>
              <w:rPr>
                <w:spacing w:val="-55"/>
                <w:sz w:val="24"/>
                <w:szCs w:val="24"/>
              </w:rPr>
              <w:t xml:space="preserve"> </w:t>
            </w:r>
            <w:r>
              <w:rPr>
                <w:rFonts w:ascii="Times New Roman" w:hAnsi="Times New Roman" w:eastAsia="Times New Roman" w:cs="Times New Roman"/>
                <w:spacing w:val="-1"/>
                <w:sz w:val="24"/>
                <w:szCs w:val="24"/>
              </w:rPr>
              <w:t xml:space="preserve">2 </w:t>
            </w:r>
            <w:r>
              <w:rPr>
                <w:spacing w:val="-1"/>
                <w:sz w:val="24"/>
                <w:szCs w:val="24"/>
              </w:rPr>
              <w:t>层，则总占</w:t>
            </w:r>
            <w:r>
              <w:rPr>
                <w:sz w:val="24"/>
                <w:szCs w:val="24"/>
              </w:rPr>
              <w:t>地面积约</w:t>
            </w:r>
            <w:r>
              <w:rPr>
                <w:spacing w:val="-49"/>
                <w:sz w:val="24"/>
                <w:szCs w:val="24"/>
              </w:rPr>
              <w:t xml:space="preserve"> </w:t>
            </w:r>
            <w:r>
              <w:rPr>
                <w:rFonts w:ascii="Times New Roman" w:hAnsi="Times New Roman" w:eastAsia="Times New Roman" w:cs="Times New Roman"/>
                <w:sz w:val="24"/>
                <w:szCs w:val="24"/>
              </w:rPr>
              <w:t>2.5m</w:t>
            </w:r>
            <w:r>
              <w:rPr>
                <w:rFonts w:ascii="Times New Roman" w:hAnsi="Times New Roman" w:eastAsia="Times New Roman" w:cs="Times New Roman"/>
                <w:position w:val="8"/>
                <w:sz w:val="15"/>
                <w:szCs w:val="15"/>
              </w:rPr>
              <w:t xml:space="preserve">2 </w:t>
            </w:r>
            <w:r>
              <w:rPr>
                <w:sz w:val="24"/>
                <w:szCs w:val="24"/>
              </w:rPr>
              <w:t>，暂存间内搬运通道占用面积按</w:t>
            </w:r>
            <w:r>
              <w:rPr>
                <w:spacing w:val="-55"/>
                <w:sz w:val="24"/>
                <w:szCs w:val="24"/>
              </w:rPr>
              <w:t xml:space="preserve"> </w:t>
            </w:r>
            <w:r>
              <w:rPr>
                <w:rFonts w:ascii="Times New Roman" w:hAnsi="Times New Roman" w:eastAsia="Times New Roman" w:cs="Times New Roman"/>
                <w:sz w:val="24"/>
                <w:szCs w:val="24"/>
              </w:rPr>
              <w:t>2m</w:t>
            </w:r>
            <w:r>
              <w:rPr>
                <w:rFonts w:ascii="Times New Roman" w:hAnsi="Times New Roman" w:eastAsia="Times New Roman" w:cs="Times New Roman"/>
                <w:position w:val="8"/>
                <w:sz w:val="15"/>
                <w:szCs w:val="15"/>
              </w:rPr>
              <w:t>2</w:t>
            </w:r>
            <w:r>
              <w:rPr>
                <w:rFonts w:ascii="Times New Roman" w:hAnsi="Times New Roman" w:eastAsia="Times New Roman" w:cs="Times New Roman"/>
                <w:spacing w:val="14"/>
                <w:w w:val="101"/>
                <w:position w:val="8"/>
                <w:sz w:val="15"/>
                <w:szCs w:val="15"/>
              </w:rPr>
              <w:t xml:space="preserve"> </w:t>
            </w:r>
            <w:r>
              <w:rPr>
                <w:sz w:val="24"/>
                <w:szCs w:val="24"/>
              </w:rPr>
              <w:t>估算，则危废暂存间最低使用</w:t>
            </w:r>
            <w:r>
              <w:rPr>
                <w:spacing w:val="-3"/>
                <w:sz w:val="24"/>
                <w:szCs w:val="24"/>
              </w:rPr>
              <w:t>面积约需</w:t>
            </w:r>
            <w:r>
              <w:rPr>
                <w:spacing w:val="-45"/>
                <w:sz w:val="24"/>
                <w:szCs w:val="24"/>
              </w:rPr>
              <w:t xml:space="preserve"> </w:t>
            </w:r>
            <w:r>
              <w:rPr>
                <w:rFonts w:ascii="Times New Roman" w:hAnsi="Times New Roman" w:eastAsia="Times New Roman" w:cs="Times New Roman"/>
                <w:spacing w:val="-3"/>
                <w:sz w:val="24"/>
                <w:szCs w:val="24"/>
              </w:rPr>
              <w:t>4.5m</w:t>
            </w:r>
            <w:r>
              <w:rPr>
                <w:rFonts w:ascii="Times New Roman" w:hAnsi="Times New Roman" w:eastAsia="Times New Roman" w:cs="Times New Roman"/>
                <w:spacing w:val="-3"/>
                <w:position w:val="8"/>
                <w:sz w:val="15"/>
                <w:szCs w:val="15"/>
              </w:rPr>
              <w:t xml:space="preserve">2 </w:t>
            </w:r>
            <w:r>
              <w:rPr>
                <w:spacing w:val="-3"/>
                <w:sz w:val="24"/>
                <w:szCs w:val="24"/>
              </w:rPr>
              <w:t>。本项目在站内设置一间危废暂存间，面积约</w:t>
            </w:r>
            <w:r>
              <w:rPr>
                <w:spacing w:val="-32"/>
                <w:sz w:val="24"/>
                <w:szCs w:val="24"/>
              </w:rPr>
              <w:t xml:space="preserve"> </w:t>
            </w:r>
            <w:r>
              <w:rPr>
                <w:rFonts w:ascii="Times New Roman" w:hAnsi="Times New Roman" w:eastAsia="Times New Roman" w:cs="Times New Roman"/>
                <w:spacing w:val="-3"/>
                <w:sz w:val="24"/>
                <w:szCs w:val="24"/>
              </w:rPr>
              <w:t>14m</w:t>
            </w:r>
            <w:r>
              <w:rPr>
                <w:rFonts w:ascii="Times New Roman" w:hAnsi="Times New Roman" w:eastAsia="Times New Roman" w:cs="Times New Roman"/>
                <w:spacing w:val="-3"/>
                <w:position w:val="8"/>
                <w:sz w:val="15"/>
                <w:szCs w:val="15"/>
              </w:rPr>
              <w:t>2</w:t>
            </w:r>
            <w:r>
              <w:rPr>
                <w:rFonts w:ascii="Times New Roman" w:hAnsi="Times New Roman" w:eastAsia="Times New Roman" w:cs="Times New Roman"/>
                <w:spacing w:val="-10"/>
                <w:position w:val="8"/>
                <w:sz w:val="15"/>
                <w:szCs w:val="15"/>
              </w:rPr>
              <w:t xml:space="preserve"> </w:t>
            </w:r>
            <w:r>
              <w:rPr>
                <w:spacing w:val="-3"/>
                <w:sz w:val="24"/>
                <w:szCs w:val="24"/>
              </w:rPr>
              <w:t>，面积满足最低</w:t>
            </w:r>
            <w:r>
              <w:rPr>
                <w:spacing w:val="-2"/>
                <w:sz w:val="24"/>
                <w:szCs w:val="24"/>
              </w:rPr>
              <w:t>使用要求。</w:t>
            </w:r>
          </w:p>
          <w:p w14:paraId="5814E4EC">
            <w:pPr>
              <w:pStyle w:val="6"/>
              <w:spacing w:before="2" w:line="359" w:lineRule="auto"/>
              <w:ind w:left="106" w:right="21" w:firstLine="483"/>
              <w:rPr>
                <w:sz w:val="24"/>
                <w:szCs w:val="24"/>
              </w:rPr>
            </w:pPr>
            <w:r>
              <w:rPr>
                <w:spacing w:val="-2"/>
                <w:sz w:val="24"/>
                <w:szCs w:val="24"/>
              </w:rPr>
              <w:t>危险废物暂存间需满足《危险废物贮存污染控制标准》（</w:t>
            </w:r>
            <w:r>
              <w:rPr>
                <w:rFonts w:ascii="Times New Roman" w:hAnsi="Times New Roman" w:eastAsia="Times New Roman" w:cs="Times New Roman"/>
                <w:spacing w:val="-2"/>
                <w:sz w:val="24"/>
                <w:szCs w:val="24"/>
              </w:rPr>
              <w:t>GB1859</w:t>
            </w:r>
            <w:r>
              <w:rPr>
                <w:rFonts w:ascii="Times New Roman" w:hAnsi="Times New Roman" w:eastAsia="Times New Roman" w:cs="Times New Roman"/>
                <w:spacing w:val="-3"/>
                <w:sz w:val="24"/>
                <w:szCs w:val="24"/>
              </w:rPr>
              <w:t>7-2023</w:t>
            </w:r>
            <w:r>
              <w:rPr>
                <w:spacing w:val="-3"/>
                <w:sz w:val="24"/>
                <w:szCs w:val="24"/>
              </w:rPr>
              <w:t>）的要</w:t>
            </w:r>
            <w:r>
              <w:rPr>
                <w:spacing w:val="-1"/>
                <w:sz w:val="24"/>
                <w:szCs w:val="24"/>
              </w:rPr>
              <w:t>求。采用抗渗混凝土、高密度聚乙烯膜、钠基膨润土防水毯或其他防渗性能等效的</w:t>
            </w:r>
            <w:r>
              <w:rPr>
                <w:spacing w:val="-5"/>
                <w:sz w:val="24"/>
                <w:szCs w:val="24"/>
              </w:rPr>
              <w:t>材料，对地面、墙面裙角进行表面防渗处理。危废暂存间外设置危险废</w:t>
            </w:r>
            <w:r>
              <w:rPr>
                <w:spacing w:val="-6"/>
                <w:sz w:val="24"/>
                <w:szCs w:val="24"/>
              </w:rPr>
              <w:t>物识别标志。</w:t>
            </w:r>
            <w:r>
              <w:rPr>
                <w:spacing w:val="-1"/>
                <w:sz w:val="24"/>
                <w:szCs w:val="24"/>
              </w:rPr>
              <w:t>废铅酸蓄电池使用聚四氟乙烯托盘，收集电解液渗漏。危废暂存间要求有足够地面</w:t>
            </w:r>
            <w:r>
              <w:rPr>
                <w:sz w:val="24"/>
                <w:szCs w:val="24"/>
              </w:rPr>
              <w:t>承载能力，并能确保雨水不会流至贮存设施内，贮存设施应封闭，以防风、防雨、</w:t>
            </w:r>
            <w:r>
              <w:rPr>
                <w:spacing w:val="-1"/>
                <w:sz w:val="24"/>
                <w:szCs w:val="24"/>
              </w:rPr>
              <w:t>防晒、防渗漏。做好危险废物管理台账，由专人进行管理，台账记录上须注明危险废物的名称、来源、数量、特性和包装容器的类别、入库日期、存放库位、废物出库日期及接收单位名称，危险废物外运管理要严格执行《危险废物转移管理办法》</w:t>
            </w:r>
            <w:r>
              <w:rPr>
                <w:spacing w:val="-3"/>
                <w:sz w:val="24"/>
                <w:szCs w:val="24"/>
              </w:rPr>
              <w:t>的规定。</w:t>
            </w:r>
          </w:p>
          <w:p w14:paraId="6FF5816C">
            <w:pPr>
              <w:pStyle w:val="6"/>
              <w:spacing w:line="359" w:lineRule="auto"/>
              <w:ind w:left="120" w:right="102" w:firstLine="486"/>
              <w:rPr>
                <w:sz w:val="24"/>
                <w:szCs w:val="24"/>
              </w:rPr>
            </w:pPr>
            <w:r>
              <w:rPr>
                <w:spacing w:val="-2"/>
                <w:sz w:val="24"/>
                <w:szCs w:val="24"/>
              </w:rPr>
              <w:t>因此，本工程废旧铅蓄电池仅在危废暂存间暂时停留，不会对周边环境造成影</w:t>
            </w:r>
            <w:r>
              <w:rPr>
                <w:spacing w:val="-11"/>
                <w:sz w:val="24"/>
                <w:szCs w:val="24"/>
              </w:rPr>
              <w:t>响。</w:t>
            </w:r>
          </w:p>
          <w:p w14:paraId="36919A1E">
            <w:pPr>
              <w:pStyle w:val="6"/>
              <w:spacing w:line="219" w:lineRule="auto"/>
              <w:ind w:left="588"/>
              <w:rPr>
                <w:sz w:val="24"/>
                <w:szCs w:val="24"/>
              </w:rPr>
            </w:pPr>
            <w:r>
              <w:rPr>
                <w:rFonts w:ascii="Times New Roman" w:hAnsi="Times New Roman" w:eastAsia="Times New Roman" w:cs="Times New Roman"/>
                <w:spacing w:val="-1"/>
                <w:sz w:val="24"/>
                <w:szCs w:val="24"/>
              </w:rPr>
              <w:t>3</w:t>
            </w:r>
            <w:r>
              <w:rPr>
                <w:spacing w:val="-1"/>
                <w:sz w:val="24"/>
                <w:szCs w:val="24"/>
              </w:rPr>
              <w:t>）废变压器油（废物代码为</w:t>
            </w:r>
            <w:r>
              <w:rPr>
                <w:spacing w:val="-49"/>
                <w:sz w:val="24"/>
                <w:szCs w:val="24"/>
              </w:rPr>
              <w:t xml:space="preserve"> </w:t>
            </w:r>
            <w:r>
              <w:rPr>
                <w:rFonts w:ascii="Times New Roman" w:hAnsi="Times New Roman" w:eastAsia="Times New Roman" w:cs="Times New Roman"/>
                <w:spacing w:val="-1"/>
                <w:sz w:val="24"/>
                <w:szCs w:val="24"/>
              </w:rPr>
              <w:t>900-220-08</w:t>
            </w:r>
            <w:r>
              <w:rPr>
                <w:spacing w:val="-1"/>
                <w:sz w:val="24"/>
                <w:szCs w:val="24"/>
              </w:rPr>
              <w:t>）</w:t>
            </w:r>
          </w:p>
          <w:p w14:paraId="7EB95DE1">
            <w:pPr>
              <w:pStyle w:val="6"/>
              <w:spacing w:before="180" w:line="351" w:lineRule="auto"/>
              <w:ind w:left="106" w:right="21" w:firstLine="480"/>
              <w:rPr>
                <w:sz w:val="24"/>
                <w:szCs w:val="24"/>
              </w:rPr>
            </w:pPr>
            <w:r>
              <w:rPr>
                <w:spacing w:val="-1"/>
                <w:sz w:val="24"/>
                <w:szCs w:val="24"/>
              </w:rPr>
              <w:t>变压器为了绝缘和冷却的需要，其外壳内装有大量变压器油，变压器油是石油</w:t>
            </w:r>
            <w:r>
              <w:rPr>
                <w:spacing w:val="-5"/>
                <w:sz w:val="24"/>
                <w:szCs w:val="24"/>
              </w:rPr>
              <w:t>的一种分馏产物，它的主要成分是烷烃、环烷族饱和烃、芳香族不饱和</w:t>
            </w:r>
            <w:r>
              <w:rPr>
                <w:spacing w:val="-6"/>
                <w:sz w:val="24"/>
                <w:szCs w:val="24"/>
              </w:rPr>
              <w:t>烃等化合物。</w:t>
            </w:r>
            <w:r>
              <w:rPr>
                <w:spacing w:val="-8"/>
                <w:sz w:val="24"/>
                <w:szCs w:val="24"/>
              </w:rPr>
              <w:t>根据《国家危险废物名录（</w:t>
            </w:r>
            <w:r>
              <w:rPr>
                <w:rFonts w:ascii="Times New Roman" w:hAnsi="Times New Roman" w:eastAsia="Times New Roman" w:cs="Times New Roman"/>
                <w:spacing w:val="-8"/>
                <w:sz w:val="24"/>
                <w:szCs w:val="24"/>
              </w:rPr>
              <w:t xml:space="preserve">2025 </w:t>
            </w:r>
            <w:r>
              <w:rPr>
                <w:spacing w:val="-8"/>
                <w:sz w:val="24"/>
                <w:szCs w:val="24"/>
              </w:rPr>
              <w:t>年版）》，废变压器油属于危险废物，类别为</w:t>
            </w:r>
            <w:r>
              <w:rPr>
                <w:spacing w:val="-43"/>
                <w:sz w:val="24"/>
                <w:szCs w:val="24"/>
              </w:rPr>
              <w:t xml:space="preserve"> </w:t>
            </w:r>
            <w:r>
              <w:rPr>
                <w:rFonts w:ascii="Times New Roman" w:hAnsi="Times New Roman" w:eastAsia="Times New Roman" w:cs="Times New Roman"/>
                <w:spacing w:val="-8"/>
                <w:sz w:val="24"/>
                <w:szCs w:val="24"/>
              </w:rPr>
              <w:t>HW08</w:t>
            </w:r>
            <w:r>
              <w:rPr>
                <w:spacing w:val="-1"/>
                <w:sz w:val="24"/>
                <w:szCs w:val="24"/>
              </w:rPr>
              <w:t>废矿物油与含矿物油废物，废物代码为</w:t>
            </w:r>
            <w:r>
              <w:rPr>
                <w:spacing w:val="-50"/>
                <w:sz w:val="24"/>
                <w:szCs w:val="24"/>
              </w:rPr>
              <w:t xml:space="preserve"> </w:t>
            </w:r>
            <w:r>
              <w:rPr>
                <w:rFonts w:ascii="Times New Roman" w:hAnsi="Times New Roman" w:eastAsia="Times New Roman" w:cs="Times New Roman"/>
                <w:spacing w:val="-1"/>
                <w:sz w:val="24"/>
                <w:szCs w:val="24"/>
              </w:rPr>
              <w:t>900-220-08</w:t>
            </w:r>
            <w:r>
              <w:rPr>
                <w:rFonts w:ascii="Times New Roman" w:hAnsi="Times New Roman" w:eastAsia="Times New Roman" w:cs="Times New Roman"/>
                <w:spacing w:val="-27"/>
                <w:sz w:val="24"/>
                <w:szCs w:val="24"/>
              </w:rPr>
              <w:t xml:space="preserve"> </w:t>
            </w:r>
            <w:r>
              <w:rPr>
                <w:spacing w:val="-1"/>
                <w:sz w:val="24"/>
                <w:szCs w:val="24"/>
              </w:rPr>
              <w:t>。</w:t>
            </w:r>
            <w:r>
              <w:rPr>
                <w:spacing w:val="-2"/>
                <w:sz w:val="24"/>
                <w:szCs w:val="24"/>
              </w:rPr>
              <w:t>当变电站的用油电气设备（主</w:t>
            </w:r>
          </w:p>
        </w:tc>
      </w:tr>
    </w:tbl>
    <w:p w14:paraId="4EDCC1A3">
      <w:pPr>
        <w:rPr>
          <w:rFonts w:ascii="Arial"/>
          <w:sz w:val="21"/>
        </w:rPr>
      </w:pPr>
    </w:p>
    <w:p w14:paraId="790A5C17">
      <w:pPr>
        <w:rPr>
          <w:rFonts w:ascii="Arial" w:hAnsi="Arial" w:eastAsia="Arial" w:cs="Arial"/>
          <w:sz w:val="21"/>
          <w:szCs w:val="21"/>
        </w:rPr>
        <w:sectPr>
          <w:footerReference r:id="rId124" w:type="default"/>
          <w:pgSz w:w="11907" w:h="16840"/>
          <w:pgMar w:top="400" w:right="1179" w:bottom="1240" w:left="1405" w:header="0" w:footer="1077" w:gutter="0"/>
          <w:cols w:space="720" w:num="1"/>
        </w:sectPr>
      </w:pPr>
    </w:p>
    <w:p w14:paraId="1E58803B">
      <w:pPr>
        <w:spacing w:before="13"/>
      </w:pPr>
    </w:p>
    <w:p w14:paraId="3879056B">
      <w:pPr>
        <w:spacing w:before="13"/>
      </w:pPr>
    </w:p>
    <w:p w14:paraId="0E52EF8C">
      <w:pPr>
        <w:spacing w:before="13"/>
      </w:pPr>
    </w:p>
    <w:p w14:paraId="2244818F">
      <w:pPr>
        <w:spacing w:before="12"/>
      </w:pPr>
    </w:p>
    <w:tbl>
      <w:tblPr>
        <w:tblStyle w:val="5"/>
        <w:tblW w:w="930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29"/>
      </w:tblGrid>
      <w:tr w14:paraId="26F7B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46" w:hRule="atLeast"/>
        </w:trPr>
        <w:tc>
          <w:tcPr>
            <w:tcW w:w="478" w:type="dxa"/>
            <w:tcBorders>
              <w:right w:val="single" w:color="000000" w:sz="2" w:space="0"/>
            </w:tcBorders>
            <w:vAlign w:val="top"/>
          </w:tcPr>
          <w:p w14:paraId="1EDAFB5A">
            <w:pPr>
              <w:rPr>
                <w:rFonts w:ascii="Arial"/>
                <w:sz w:val="21"/>
              </w:rPr>
            </w:pPr>
          </w:p>
        </w:tc>
        <w:tc>
          <w:tcPr>
            <w:tcW w:w="8829" w:type="dxa"/>
            <w:tcBorders>
              <w:left w:val="single" w:color="000000" w:sz="2" w:space="0"/>
            </w:tcBorders>
            <w:vAlign w:val="top"/>
          </w:tcPr>
          <w:p w14:paraId="4810B45C">
            <w:pPr>
              <w:pStyle w:val="6"/>
              <w:spacing w:before="40" w:line="359" w:lineRule="auto"/>
              <w:ind w:left="107" w:right="102"/>
              <w:rPr>
                <w:sz w:val="24"/>
                <w:szCs w:val="24"/>
              </w:rPr>
            </w:pPr>
            <w:r>
              <w:rPr>
                <w:spacing w:val="-1"/>
                <w:sz w:val="24"/>
                <w:szCs w:val="24"/>
              </w:rPr>
              <w:t>要为主变压器）发生事故时，变压器油将排入事故油池。事故状态下产生的废油经</w:t>
            </w:r>
            <w:r>
              <w:rPr>
                <w:sz w:val="24"/>
                <w:szCs w:val="24"/>
              </w:rPr>
              <w:t>事故油池收集后委托具备资质的公司进行处置</w:t>
            </w:r>
            <w:r>
              <w:rPr>
                <w:spacing w:val="-1"/>
                <w:sz w:val="24"/>
                <w:szCs w:val="24"/>
              </w:rPr>
              <w:t>，不会对环境造成影响。</w:t>
            </w:r>
          </w:p>
          <w:p w14:paraId="49C4C8B0">
            <w:pPr>
              <w:pStyle w:val="6"/>
              <w:spacing w:before="2" w:line="359" w:lineRule="auto"/>
              <w:ind w:left="107" w:right="102" w:firstLine="480"/>
              <w:rPr>
                <w:sz w:val="24"/>
                <w:szCs w:val="24"/>
              </w:rPr>
            </w:pPr>
            <w:r>
              <w:rPr>
                <w:spacing w:val="-1"/>
                <w:sz w:val="24"/>
                <w:szCs w:val="24"/>
              </w:rPr>
              <w:t>变压器油注入变压器后，不用更新，使用寿命与设备同步，变电站在正常运行状态下无变压器油外排。变压器的维护在设备的整个服役期间一般情况下</w:t>
            </w:r>
            <w:r>
              <w:rPr>
                <w:spacing w:val="-50"/>
                <w:sz w:val="24"/>
                <w:szCs w:val="24"/>
              </w:rPr>
              <w:t xml:space="preserve"> </w:t>
            </w:r>
            <w:r>
              <w:rPr>
                <w:rFonts w:ascii="Times New Roman" w:hAnsi="Times New Roman" w:eastAsia="Times New Roman" w:cs="Times New Roman"/>
                <w:spacing w:val="-2"/>
                <w:sz w:val="24"/>
                <w:szCs w:val="24"/>
              </w:rPr>
              <w:t xml:space="preserve">3 </w:t>
            </w:r>
            <w:r>
              <w:rPr>
                <w:spacing w:val="-2"/>
                <w:sz w:val="24"/>
                <w:szCs w:val="24"/>
              </w:rPr>
              <w:t>年检修</w:t>
            </w:r>
            <w:r>
              <w:rPr>
                <w:spacing w:val="-1"/>
                <w:sz w:val="24"/>
                <w:szCs w:val="24"/>
              </w:rPr>
              <w:t>一次，其主要目的是保证用油电气设备运行条件良好，绝缘、不过热、不受潮。由具有相关资质的专业技术单位按相关规范定期对电气设备内的变压器油抽样检测。根据检测结果，决定是否需做过滤或增补变压器油，整个过程无漏油、跑油现象，亦无废弃油产生。若需更换变压器油，则通过油孔用油泵将变压器内的旧油缓慢抽出，排入储油容器中。新油经过滤油机过滤后缓慢注入变压器中，期间观察变压器的油位指示，确保油位逐渐上升至正常位置。更换产生的废油、擦拭油液的废纸由专业技术单位带走合规处置。变电站内沾油劳保用品、油桶的产生的情况只有在维</w:t>
            </w:r>
            <w:r>
              <w:rPr>
                <w:spacing w:val="6"/>
                <w:sz w:val="24"/>
                <w:szCs w:val="24"/>
              </w:rPr>
              <w:t>修主变压器的情况下才会产生，本项目主变压器由厂家灌注变压器油后运</w:t>
            </w:r>
            <w:r>
              <w:rPr>
                <w:spacing w:val="5"/>
                <w:sz w:val="24"/>
                <w:szCs w:val="24"/>
              </w:rPr>
              <w:t>至变电</w:t>
            </w:r>
            <w:r>
              <w:rPr>
                <w:spacing w:val="-1"/>
                <w:sz w:val="24"/>
                <w:szCs w:val="24"/>
              </w:rPr>
              <w:t>站，本项目作为新建变电站，不会产生油桶、沾油劳保用品。</w:t>
            </w:r>
          </w:p>
          <w:p w14:paraId="00302A15">
            <w:pPr>
              <w:pStyle w:val="6"/>
              <w:spacing w:line="219" w:lineRule="auto"/>
              <w:ind w:left="590"/>
              <w:rPr>
                <w:sz w:val="24"/>
                <w:szCs w:val="24"/>
              </w:rPr>
            </w:pPr>
            <w:r>
              <w:rPr>
                <w:spacing w:val="-2"/>
                <w:sz w:val="24"/>
                <w:szCs w:val="24"/>
              </w:rPr>
              <w:t>综上，项目产生的固体废物均得到妥善处置，处置率</w:t>
            </w:r>
            <w:r>
              <w:rPr>
                <w:spacing w:val="-18"/>
                <w:sz w:val="24"/>
                <w:szCs w:val="24"/>
              </w:rPr>
              <w:t xml:space="preserve"> </w:t>
            </w:r>
            <w:r>
              <w:rPr>
                <w:rFonts w:ascii="Times New Roman" w:hAnsi="Times New Roman" w:eastAsia="Times New Roman" w:cs="Times New Roman"/>
                <w:spacing w:val="-2"/>
                <w:sz w:val="24"/>
                <w:szCs w:val="24"/>
              </w:rPr>
              <w:t>100%</w:t>
            </w:r>
            <w:r>
              <w:rPr>
                <w:spacing w:val="-2"/>
                <w:sz w:val="24"/>
                <w:szCs w:val="24"/>
              </w:rPr>
              <w:t>。</w:t>
            </w:r>
          </w:p>
          <w:p w14:paraId="6F3F33C2">
            <w:pPr>
              <w:pStyle w:val="6"/>
              <w:spacing w:before="180" w:line="220" w:lineRule="auto"/>
              <w:ind w:left="106"/>
              <w:rPr>
                <w:sz w:val="24"/>
                <w:szCs w:val="24"/>
              </w:rPr>
            </w:pPr>
            <w:r>
              <w:rPr>
                <w:rFonts w:ascii="Times New Roman" w:hAnsi="Times New Roman" w:eastAsia="Times New Roman" w:cs="Times New Roman"/>
                <w:b/>
                <w:bCs/>
                <w:spacing w:val="-5"/>
                <w:sz w:val="24"/>
                <w:szCs w:val="24"/>
              </w:rPr>
              <w:t>7</w:t>
            </w:r>
            <w:r>
              <w:rPr>
                <w:rFonts w:ascii="Times New Roman" w:hAnsi="Times New Roman" w:eastAsia="Times New Roman" w:cs="Times New Roman"/>
                <w:b/>
                <w:bCs/>
                <w:spacing w:val="-25"/>
                <w:sz w:val="24"/>
                <w:szCs w:val="24"/>
              </w:rPr>
              <w:t xml:space="preserve"> </w:t>
            </w:r>
            <w:r>
              <w:rPr>
                <w:b/>
                <w:bCs/>
                <w:spacing w:val="-5"/>
                <w:sz w:val="24"/>
                <w:szCs w:val="24"/>
              </w:rPr>
              <w:t>、运营期环境风险影响分析</w:t>
            </w:r>
          </w:p>
          <w:p w14:paraId="084310FC">
            <w:pPr>
              <w:pStyle w:val="6"/>
              <w:spacing w:before="183" w:line="359" w:lineRule="auto"/>
              <w:ind w:left="106" w:right="102" w:firstLine="510"/>
              <w:rPr>
                <w:sz w:val="24"/>
                <w:szCs w:val="24"/>
              </w:rPr>
            </w:pPr>
            <w:r>
              <w:rPr>
                <w:spacing w:val="-2"/>
                <w:sz w:val="24"/>
                <w:szCs w:val="24"/>
              </w:rPr>
              <w:t>由于冷却或绝缘需要，变电站内变压器使用电力用油，这些冷却或绝缘油都装</w:t>
            </w:r>
            <w:r>
              <w:rPr>
                <w:spacing w:val="-1"/>
                <w:sz w:val="24"/>
                <w:szCs w:val="24"/>
              </w:rPr>
              <w:t>在电气设备的外壳内，一般无需更换只做预防性试验，不会外泄对环境造成危害。但在设备发生事故并失控时，可能泄漏，污染环境，造成环境风险。根据《国家危</w:t>
            </w:r>
            <w:r>
              <w:rPr>
                <w:spacing w:val="-2"/>
                <w:sz w:val="24"/>
                <w:szCs w:val="24"/>
              </w:rPr>
              <w:t>险废物名录（</w:t>
            </w:r>
            <w:r>
              <w:rPr>
                <w:rFonts w:ascii="Times New Roman" w:hAnsi="Times New Roman" w:eastAsia="Times New Roman" w:cs="Times New Roman"/>
                <w:spacing w:val="-2"/>
                <w:sz w:val="24"/>
                <w:szCs w:val="24"/>
              </w:rPr>
              <w:t xml:space="preserve">2025 </w:t>
            </w:r>
            <w:r>
              <w:rPr>
                <w:spacing w:val="-2"/>
                <w:sz w:val="24"/>
                <w:szCs w:val="24"/>
              </w:rPr>
              <w:t>年版）》，废变压器油属于危险废</w:t>
            </w:r>
            <w:r>
              <w:rPr>
                <w:spacing w:val="-3"/>
                <w:sz w:val="24"/>
                <w:szCs w:val="24"/>
              </w:rPr>
              <w:t>物。本项目涉及的风险物质主</w:t>
            </w:r>
            <w:r>
              <w:rPr>
                <w:spacing w:val="-2"/>
                <w:sz w:val="24"/>
                <w:szCs w:val="24"/>
              </w:rPr>
              <w:t>要为变压器油，位于松山变电站的</w:t>
            </w:r>
            <w:r>
              <w:rPr>
                <w:spacing w:val="-51"/>
                <w:sz w:val="24"/>
                <w:szCs w:val="24"/>
              </w:rPr>
              <w:t xml:space="preserve"> </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28"/>
                <w:sz w:val="24"/>
                <w:szCs w:val="24"/>
              </w:rPr>
              <w:t xml:space="preserve"> </w:t>
            </w:r>
            <w:r>
              <w:rPr>
                <w:spacing w:val="-2"/>
                <w:sz w:val="24"/>
                <w:szCs w:val="24"/>
              </w:rPr>
              <w:t>台主变压器内。</w:t>
            </w:r>
          </w:p>
          <w:p w14:paraId="437B4BFF">
            <w:pPr>
              <w:pStyle w:val="6"/>
              <w:spacing w:before="4" w:line="355" w:lineRule="auto"/>
              <w:ind w:left="107" w:right="102" w:firstLine="480"/>
              <w:jc w:val="both"/>
              <w:rPr>
                <w:sz w:val="24"/>
                <w:szCs w:val="24"/>
              </w:rPr>
            </w:pPr>
            <w:r>
              <w:rPr>
                <w:spacing w:val="-1"/>
                <w:sz w:val="24"/>
                <w:szCs w:val="24"/>
              </w:rPr>
              <w:t>变压器油注入变压器后，不用更新，使用寿命与设备同步，变电站在正常运行状态下无变压器油外排。主变压器等电气设备使用的冷却或绝缘油由于都装在电气设备的外壳内，平时不会造成对环境的危害。但在设备发生事故时，有可能造成变压器油泄漏，如果泄漏到外环境则可能造成污染。变压器事故油形成的油泥、油水</w:t>
            </w:r>
            <w:r>
              <w:rPr>
                <w:spacing w:val="20"/>
                <w:sz w:val="24"/>
                <w:szCs w:val="24"/>
              </w:rPr>
              <w:t>混合物为危</w:t>
            </w:r>
            <w:r>
              <w:rPr>
                <w:spacing w:val="-48"/>
                <w:sz w:val="24"/>
                <w:szCs w:val="24"/>
              </w:rPr>
              <w:t xml:space="preserve"> </w:t>
            </w:r>
            <w:r>
              <w:rPr>
                <w:spacing w:val="20"/>
                <w:sz w:val="24"/>
                <w:szCs w:val="24"/>
              </w:rPr>
              <w:t>险废物</w:t>
            </w:r>
            <w:r>
              <w:rPr>
                <w:spacing w:val="-60"/>
                <w:sz w:val="24"/>
                <w:szCs w:val="24"/>
              </w:rPr>
              <w:t xml:space="preserve"> </w:t>
            </w:r>
            <w:r>
              <w:rPr>
                <w:spacing w:val="20"/>
                <w:sz w:val="24"/>
                <w:szCs w:val="24"/>
              </w:rPr>
              <w:t>，类别为</w:t>
            </w:r>
            <w:r>
              <w:rPr>
                <w:spacing w:val="-24"/>
                <w:sz w:val="24"/>
                <w:szCs w:val="24"/>
              </w:rPr>
              <w:t xml:space="preserve"> </w:t>
            </w:r>
            <w:r>
              <w:rPr>
                <w:rFonts w:ascii="Times New Roman" w:hAnsi="Times New Roman" w:eastAsia="Times New Roman" w:cs="Times New Roman"/>
                <w:sz w:val="24"/>
                <w:szCs w:val="24"/>
              </w:rPr>
              <w:t>HW</w:t>
            </w:r>
            <w:r>
              <w:rPr>
                <w:rFonts w:ascii="Times New Roman" w:hAnsi="Times New Roman" w:eastAsia="Times New Roman" w:cs="Times New Roman"/>
                <w:spacing w:val="20"/>
                <w:sz w:val="24"/>
                <w:szCs w:val="24"/>
              </w:rPr>
              <w:t>08</w:t>
            </w:r>
            <w:r>
              <w:rPr>
                <w:rFonts w:ascii="Times New Roman" w:hAnsi="Times New Roman" w:eastAsia="Times New Roman" w:cs="Times New Roman"/>
                <w:spacing w:val="37"/>
                <w:sz w:val="24"/>
                <w:szCs w:val="24"/>
              </w:rPr>
              <w:t xml:space="preserve"> </w:t>
            </w:r>
            <w:r>
              <w:rPr>
                <w:spacing w:val="20"/>
                <w:sz w:val="24"/>
                <w:szCs w:val="24"/>
              </w:rPr>
              <w:t>废矿物油与含矿物油废物</w:t>
            </w:r>
            <w:r>
              <w:rPr>
                <w:spacing w:val="-60"/>
                <w:sz w:val="24"/>
                <w:szCs w:val="24"/>
              </w:rPr>
              <w:t xml:space="preserve"> </w:t>
            </w:r>
            <w:r>
              <w:rPr>
                <w:spacing w:val="20"/>
                <w:sz w:val="24"/>
                <w:szCs w:val="24"/>
              </w:rPr>
              <w:t>，废物代码为</w:t>
            </w:r>
            <w:r>
              <w:rPr>
                <w:rFonts w:ascii="Times New Roman" w:hAnsi="Times New Roman" w:eastAsia="Times New Roman" w:cs="Times New Roman"/>
                <w:sz w:val="24"/>
                <w:szCs w:val="24"/>
              </w:rPr>
              <w:t>900-220-08</w:t>
            </w:r>
            <w:r>
              <w:rPr>
                <w:rFonts w:ascii="Times New Roman" w:hAnsi="Times New Roman" w:eastAsia="Times New Roman" w:cs="Times New Roman"/>
                <w:spacing w:val="-15"/>
                <w:sz w:val="24"/>
                <w:szCs w:val="24"/>
              </w:rPr>
              <w:t xml:space="preserve"> </w:t>
            </w:r>
            <w:r>
              <w:rPr>
                <w:sz w:val="24"/>
                <w:szCs w:val="24"/>
              </w:rPr>
              <w:t>。根据国家相关技术规范，为防止事故时造成事故油污染，变电站内应</w:t>
            </w:r>
            <w:r>
              <w:rPr>
                <w:spacing w:val="-1"/>
                <w:sz w:val="24"/>
                <w:szCs w:val="24"/>
              </w:rPr>
              <w:t>设置事故油排蓄系统。即根据最大一台设备的油量，设总事故油池，用油电气设备</w:t>
            </w:r>
            <w:r>
              <w:rPr>
                <w:spacing w:val="-2"/>
                <w:sz w:val="24"/>
                <w:szCs w:val="24"/>
              </w:rPr>
              <w:t>下方设置贮油坑（铺设一卵石层</w:t>
            </w:r>
            <w:r>
              <w:rPr>
                <w:spacing w:val="18"/>
                <w:sz w:val="24"/>
                <w:szCs w:val="24"/>
              </w:rPr>
              <w:t>），</w:t>
            </w:r>
            <w:r>
              <w:rPr>
                <w:spacing w:val="-2"/>
                <w:sz w:val="24"/>
                <w:szCs w:val="24"/>
              </w:rPr>
              <w:t>四周设有排油管道并与事故油池相连。一旦设</w:t>
            </w:r>
            <w:r>
              <w:rPr>
                <w:spacing w:val="-1"/>
                <w:sz w:val="24"/>
                <w:szCs w:val="24"/>
              </w:rPr>
              <w:t>备事故时排油或漏油，泄漏的变压器油将渗过下方贮油坑内的卵石层并通过排油管</w:t>
            </w:r>
          </w:p>
        </w:tc>
      </w:tr>
    </w:tbl>
    <w:p w14:paraId="5B09EB57">
      <w:pPr>
        <w:rPr>
          <w:rFonts w:ascii="Arial"/>
          <w:sz w:val="21"/>
        </w:rPr>
      </w:pPr>
    </w:p>
    <w:p w14:paraId="6E94BE18">
      <w:pPr>
        <w:rPr>
          <w:rFonts w:ascii="Arial" w:hAnsi="Arial" w:eastAsia="Arial" w:cs="Arial"/>
          <w:sz w:val="21"/>
          <w:szCs w:val="21"/>
        </w:rPr>
        <w:sectPr>
          <w:footerReference r:id="rId125" w:type="default"/>
          <w:pgSz w:w="11907" w:h="16840"/>
          <w:pgMar w:top="400" w:right="1179" w:bottom="1240" w:left="1405" w:header="0" w:footer="1077" w:gutter="0"/>
          <w:cols w:space="720" w:num="1"/>
        </w:sectPr>
      </w:pPr>
    </w:p>
    <w:p w14:paraId="2B2A6FB7">
      <w:pPr>
        <w:spacing w:before="13"/>
      </w:pPr>
    </w:p>
    <w:p w14:paraId="2819040C">
      <w:pPr>
        <w:spacing w:before="13"/>
      </w:pPr>
    </w:p>
    <w:p w14:paraId="60BEBA3A">
      <w:pPr>
        <w:spacing w:before="13"/>
      </w:pPr>
    </w:p>
    <w:p w14:paraId="719D3CF1">
      <w:pPr>
        <w:spacing w:before="12"/>
      </w:pPr>
    </w:p>
    <w:tbl>
      <w:tblPr>
        <w:tblStyle w:val="5"/>
        <w:tblW w:w="930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29"/>
      </w:tblGrid>
      <w:tr w14:paraId="3F6C6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26" w:hRule="atLeast"/>
        </w:trPr>
        <w:tc>
          <w:tcPr>
            <w:tcW w:w="478" w:type="dxa"/>
            <w:tcBorders>
              <w:bottom w:val="single" w:color="000000" w:sz="2" w:space="0"/>
              <w:right w:val="single" w:color="000000" w:sz="2" w:space="0"/>
            </w:tcBorders>
            <w:vAlign w:val="top"/>
          </w:tcPr>
          <w:p w14:paraId="0AC51A4D">
            <w:pPr>
              <w:rPr>
                <w:rFonts w:ascii="Arial"/>
                <w:sz w:val="21"/>
              </w:rPr>
            </w:pPr>
          </w:p>
        </w:tc>
        <w:tc>
          <w:tcPr>
            <w:tcW w:w="8829" w:type="dxa"/>
            <w:tcBorders>
              <w:left w:val="single" w:color="000000" w:sz="2" w:space="0"/>
              <w:bottom w:val="single" w:color="000000" w:sz="2" w:space="0"/>
            </w:tcBorders>
            <w:vAlign w:val="top"/>
          </w:tcPr>
          <w:p w14:paraId="7014C3DF">
            <w:pPr>
              <w:pStyle w:val="6"/>
              <w:spacing w:before="40" w:line="359" w:lineRule="auto"/>
              <w:ind w:left="106" w:right="102"/>
              <w:jc w:val="both"/>
              <w:rPr>
                <w:sz w:val="24"/>
                <w:szCs w:val="24"/>
              </w:rPr>
            </w:pPr>
            <w:r>
              <w:rPr>
                <w:spacing w:val="-1"/>
                <w:sz w:val="24"/>
                <w:szCs w:val="24"/>
              </w:rPr>
              <w:t>道到达事故油池，在此过程中卵石层起到冷却油的作用，不易发生火灾，然后废变压器油委托有资质的单位处理。变压器油收集处置流程为：事故状态下变压器油外</w:t>
            </w:r>
            <w:r>
              <w:rPr>
                <w:spacing w:val="5"/>
                <w:sz w:val="24"/>
                <w:szCs w:val="24"/>
              </w:rPr>
              <w:t>泄</w:t>
            </w:r>
            <w:r>
              <w:rPr>
                <w:rFonts w:ascii="Times New Roman" w:hAnsi="Times New Roman" w:eastAsia="Times New Roman" w:cs="Times New Roman"/>
                <w:spacing w:val="5"/>
                <w:sz w:val="24"/>
                <w:szCs w:val="24"/>
              </w:rPr>
              <w:t>→</w:t>
            </w:r>
            <w:r>
              <w:rPr>
                <w:spacing w:val="5"/>
                <w:sz w:val="24"/>
                <w:szCs w:val="24"/>
              </w:rPr>
              <w:t>进入设备下方集油坑卵石层冷却</w:t>
            </w:r>
            <w:r>
              <w:rPr>
                <w:rFonts w:ascii="Times New Roman" w:hAnsi="Times New Roman" w:eastAsia="Times New Roman" w:cs="Times New Roman"/>
                <w:spacing w:val="5"/>
                <w:sz w:val="24"/>
                <w:szCs w:val="24"/>
              </w:rPr>
              <w:t>→</w:t>
            </w:r>
            <w:r>
              <w:rPr>
                <w:spacing w:val="5"/>
                <w:sz w:val="24"/>
                <w:szCs w:val="24"/>
              </w:rPr>
              <w:t>进入排油管道</w:t>
            </w:r>
            <w:r>
              <w:rPr>
                <w:rFonts w:ascii="Times New Roman" w:hAnsi="Times New Roman" w:eastAsia="Times New Roman" w:cs="Times New Roman"/>
                <w:spacing w:val="5"/>
                <w:sz w:val="24"/>
                <w:szCs w:val="24"/>
              </w:rPr>
              <w:t>→</w:t>
            </w:r>
            <w:r>
              <w:rPr>
                <w:spacing w:val="5"/>
                <w:sz w:val="24"/>
                <w:szCs w:val="24"/>
              </w:rPr>
              <w:t>进入事故油池</w:t>
            </w:r>
            <w:r>
              <w:rPr>
                <w:rFonts w:ascii="Times New Roman" w:hAnsi="Times New Roman" w:eastAsia="Times New Roman" w:cs="Times New Roman"/>
                <w:spacing w:val="5"/>
                <w:sz w:val="24"/>
                <w:szCs w:val="24"/>
              </w:rPr>
              <w:t>→</w:t>
            </w:r>
            <w:r>
              <w:rPr>
                <w:rFonts w:ascii="Times New Roman" w:hAnsi="Times New Roman" w:eastAsia="Times New Roman" w:cs="Times New Roman"/>
                <w:spacing w:val="-30"/>
                <w:sz w:val="24"/>
                <w:szCs w:val="24"/>
              </w:rPr>
              <w:t xml:space="preserve"> </w:t>
            </w:r>
            <w:r>
              <w:rPr>
                <w:spacing w:val="5"/>
                <w:sz w:val="24"/>
                <w:szCs w:val="24"/>
              </w:rPr>
              <w:t>油水分离</w:t>
            </w:r>
            <w:r>
              <w:rPr>
                <w:rFonts w:ascii="Times New Roman" w:hAnsi="Times New Roman" w:eastAsia="Times New Roman" w:cs="Times New Roman"/>
                <w:spacing w:val="-1"/>
                <w:sz w:val="24"/>
                <w:szCs w:val="24"/>
              </w:rPr>
              <w:t>→</w:t>
            </w:r>
            <w:r>
              <w:rPr>
                <w:spacing w:val="-1"/>
                <w:sz w:val="24"/>
                <w:szCs w:val="24"/>
              </w:rPr>
              <w:t>废油和杂质委托有相应危废处理资质的单位处置。</w:t>
            </w:r>
          </w:p>
          <w:p w14:paraId="0E7AB6FA">
            <w:pPr>
              <w:pStyle w:val="6"/>
              <w:spacing w:line="359" w:lineRule="auto"/>
              <w:ind w:left="107" w:right="40" w:firstLine="480"/>
              <w:jc w:val="both"/>
              <w:rPr>
                <w:sz w:val="24"/>
                <w:szCs w:val="24"/>
              </w:rPr>
            </w:pPr>
            <w:r>
              <w:rPr>
                <w:spacing w:val="-2"/>
                <w:sz w:val="24"/>
                <w:szCs w:val="24"/>
              </w:rPr>
              <w:t>根据《火力发电厂与变电站设计防火标准》（</w:t>
            </w:r>
            <w:r>
              <w:rPr>
                <w:rFonts w:ascii="Times New Roman" w:hAnsi="Times New Roman" w:eastAsia="Times New Roman" w:cs="Times New Roman"/>
                <w:spacing w:val="-2"/>
                <w:sz w:val="24"/>
                <w:szCs w:val="24"/>
              </w:rPr>
              <w:t>GB50229-2019</w:t>
            </w:r>
            <w:r>
              <w:rPr>
                <w:spacing w:val="-2"/>
                <w:sz w:val="24"/>
                <w:szCs w:val="24"/>
              </w:rPr>
              <w:t>）中的规定“</w:t>
            </w:r>
            <w:r>
              <w:rPr>
                <w:rFonts w:ascii="Times New Roman" w:hAnsi="Times New Roman" w:eastAsia="Times New Roman" w:cs="Times New Roman"/>
                <w:spacing w:val="-2"/>
                <w:sz w:val="24"/>
                <w:szCs w:val="24"/>
              </w:rPr>
              <w:t>6.7.8</w:t>
            </w:r>
            <w:r>
              <w:rPr>
                <w:sz w:val="24"/>
                <w:szCs w:val="24"/>
              </w:rPr>
              <w:t>户外单台总油量为</w:t>
            </w:r>
            <w:r>
              <w:rPr>
                <w:spacing w:val="-14"/>
                <w:sz w:val="24"/>
                <w:szCs w:val="24"/>
              </w:rPr>
              <w:t xml:space="preserve"> </w:t>
            </w:r>
            <w:r>
              <w:rPr>
                <w:rFonts w:ascii="Times New Roman" w:hAnsi="Times New Roman" w:eastAsia="Times New Roman" w:cs="Times New Roman"/>
                <w:sz w:val="24"/>
                <w:szCs w:val="24"/>
              </w:rPr>
              <w:t>1000kg</w:t>
            </w:r>
            <w:r>
              <w:rPr>
                <w:rFonts w:ascii="Times New Roman" w:hAnsi="Times New Roman" w:eastAsia="Times New Roman" w:cs="Times New Roman"/>
                <w:spacing w:val="39"/>
                <w:w w:val="101"/>
                <w:sz w:val="24"/>
                <w:szCs w:val="24"/>
              </w:rPr>
              <w:t xml:space="preserve"> </w:t>
            </w:r>
            <w:r>
              <w:rPr>
                <w:sz w:val="24"/>
                <w:szCs w:val="24"/>
              </w:rPr>
              <w:t>以上的电气设备，应设置贮油或挡油设施，其容积宜按</w:t>
            </w:r>
            <w:r>
              <w:rPr>
                <w:spacing w:val="-2"/>
                <w:sz w:val="24"/>
                <w:szCs w:val="24"/>
              </w:rPr>
              <w:t>设备油量的</w:t>
            </w:r>
            <w:r>
              <w:rPr>
                <w:spacing w:val="-38"/>
                <w:sz w:val="24"/>
                <w:szCs w:val="24"/>
              </w:rPr>
              <w:t xml:space="preserve"> </w:t>
            </w:r>
            <w:r>
              <w:rPr>
                <w:rFonts w:ascii="Times New Roman" w:hAnsi="Times New Roman" w:eastAsia="Times New Roman" w:cs="Times New Roman"/>
                <w:spacing w:val="-2"/>
                <w:sz w:val="24"/>
                <w:szCs w:val="24"/>
              </w:rPr>
              <w:t>20%</w:t>
            </w:r>
            <w:r>
              <w:rPr>
                <w:spacing w:val="-2"/>
                <w:sz w:val="24"/>
                <w:szCs w:val="24"/>
              </w:rPr>
              <w:t>设计，并能将事故油排至总事故贮油池。总事故贮油池的容量应按</w:t>
            </w:r>
            <w:r>
              <w:rPr>
                <w:spacing w:val="-6"/>
                <w:sz w:val="24"/>
                <w:szCs w:val="24"/>
              </w:rPr>
              <w:t>其接入的油量最大的一台设备确定，并设置油水分离装置。当不能满足上述要求时，</w:t>
            </w:r>
            <w:r>
              <w:rPr>
                <w:spacing w:val="-1"/>
                <w:sz w:val="24"/>
                <w:szCs w:val="24"/>
              </w:rPr>
              <w:t>应设置能容纳相应电气设备全部油量的贮油设施，并设置油水分离装置。贮油或挡油设施应大于设备外廓每边各</w:t>
            </w:r>
            <w:r>
              <w:rPr>
                <w:spacing w:val="-19"/>
                <w:sz w:val="24"/>
                <w:szCs w:val="24"/>
              </w:rPr>
              <w:t xml:space="preserve"> </w:t>
            </w:r>
            <w:r>
              <w:rPr>
                <w:rFonts w:ascii="Times New Roman" w:hAnsi="Times New Roman" w:eastAsia="Times New Roman" w:cs="Times New Roman"/>
                <w:spacing w:val="-1"/>
                <w:sz w:val="24"/>
                <w:szCs w:val="24"/>
              </w:rPr>
              <w:t>1m</w:t>
            </w:r>
            <w:r>
              <w:rPr>
                <w:rFonts w:ascii="Times New Roman" w:hAnsi="Times New Roman" w:eastAsia="Times New Roman" w:cs="Times New Roman"/>
                <w:spacing w:val="-25"/>
                <w:sz w:val="24"/>
                <w:szCs w:val="24"/>
              </w:rPr>
              <w:t xml:space="preserve"> </w:t>
            </w:r>
            <w:r>
              <w:rPr>
                <w:spacing w:val="-1"/>
                <w:sz w:val="24"/>
                <w:szCs w:val="24"/>
              </w:rPr>
              <w:t>”。本项目</w:t>
            </w:r>
            <w:r>
              <w:rPr>
                <w:spacing w:val="-50"/>
                <w:sz w:val="24"/>
                <w:szCs w:val="24"/>
              </w:rPr>
              <w:t xml:space="preserve"> </w:t>
            </w:r>
            <w:r>
              <w:rPr>
                <w:rFonts w:ascii="Times New Roman" w:hAnsi="Times New Roman" w:eastAsia="Times New Roman" w:cs="Times New Roman"/>
                <w:spacing w:val="-1"/>
                <w:sz w:val="24"/>
                <w:szCs w:val="24"/>
              </w:rPr>
              <w:t>2</w:t>
            </w:r>
            <w:r>
              <w:rPr>
                <w:rFonts w:ascii="Times New Roman" w:hAnsi="Times New Roman" w:eastAsia="Times New Roman" w:cs="Times New Roman"/>
                <w:spacing w:val="31"/>
                <w:sz w:val="24"/>
                <w:szCs w:val="24"/>
              </w:rPr>
              <w:t xml:space="preserve"> </w:t>
            </w:r>
            <w:r>
              <w:rPr>
                <w:spacing w:val="-1"/>
                <w:sz w:val="24"/>
                <w:szCs w:val="24"/>
              </w:rPr>
              <w:t>台主变型号一致，单台油箱最大容</w:t>
            </w:r>
            <w:r>
              <w:rPr>
                <w:spacing w:val="-2"/>
                <w:sz w:val="24"/>
                <w:szCs w:val="24"/>
              </w:rPr>
              <w:t>量约为</w:t>
            </w:r>
            <w:r>
              <w:rPr>
                <w:spacing w:val="-55"/>
                <w:sz w:val="24"/>
                <w:szCs w:val="24"/>
              </w:rPr>
              <w:t xml:space="preserve"> </w:t>
            </w:r>
            <w:r>
              <w:rPr>
                <w:rFonts w:ascii="Times New Roman" w:hAnsi="Times New Roman" w:eastAsia="Times New Roman" w:cs="Times New Roman"/>
                <w:spacing w:val="-2"/>
                <w:sz w:val="24"/>
                <w:szCs w:val="24"/>
              </w:rPr>
              <w:t>21t</w:t>
            </w:r>
            <w:r>
              <w:rPr>
                <w:rFonts w:ascii="Times New Roman" w:hAnsi="Times New Roman" w:eastAsia="Times New Roman" w:cs="Times New Roman"/>
                <w:spacing w:val="-29"/>
                <w:sz w:val="24"/>
                <w:szCs w:val="24"/>
              </w:rPr>
              <w:t xml:space="preserve"> </w:t>
            </w:r>
            <w:r>
              <w:rPr>
                <w:spacing w:val="-2"/>
                <w:sz w:val="24"/>
                <w:szCs w:val="24"/>
              </w:rPr>
              <w:t>，变压器油密度为</w:t>
            </w:r>
            <w:r>
              <w:rPr>
                <w:spacing w:val="-45"/>
                <w:sz w:val="24"/>
                <w:szCs w:val="24"/>
              </w:rPr>
              <w:t xml:space="preserve"> </w:t>
            </w:r>
            <w:r>
              <w:rPr>
                <w:rFonts w:ascii="Times New Roman" w:hAnsi="Times New Roman" w:eastAsia="Times New Roman" w:cs="Times New Roman"/>
                <w:spacing w:val="-2"/>
                <w:sz w:val="24"/>
                <w:szCs w:val="24"/>
              </w:rPr>
              <w:t>895kg/m</w:t>
            </w:r>
            <w:r>
              <w:rPr>
                <w:rFonts w:ascii="Times New Roman" w:hAnsi="Times New Roman" w:eastAsia="Times New Roman" w:cs="Times New Roman"/>
                <w:spacing w:val="-2"/>
                <w:position w:val="8"/>
                <w:sz w:val="15"/>
                <w:szCs w:val="15"/>
              </w:rPr>
              <w:t>3</w:t>
            </w:r>
            <w:r>
              <w:rPr>
                <w:rFonts w:ascii="Times New Roman" w:hAnsi="Times New Roman" w:eastAsia="Times New Roman" w:cs="Times New Roman"/>
                <w:spacing w:val="-7"/>
                <w:position w:val="8"/>
                <w:sz w:val="15"/>
                <w:szCs w:val="15"/>
              </w:rPr>
              <w:t xml:space="preserve"> </w:t>
            </w:r>
            <w:r>
              <w:rPr>
                <w:spacing w:val="-2"/>
                <w:sz w:val="24"/>
                <w:szCs w:val="24"/>
              </w:rPr>
              <w:t>，则总事故油池容量应至少为</w:t>
            </w:r>
            <w:r>
              <w:rPr>
                <w:spacing w:val="-53"/>
                <w:sz w:val="24"/>
                <w:szCs w:val="24"/>
              </w:rPr>
              <w:t xml:space="preserve"> </w:t>
            </w:r>
            <w:r>
              <w:rPr>
                <w:rFonts w:ascii="Times New Roman" w:hAnsi="Times New Roman" w:eastAsia="Times New Roman" w:cs="Times New Roman"/>
                <w:spacing w:val="-2"/>
                <w:sz w:val="24"/>
                <w:szCs w:val="24"/>
              </w:rPr>
              <w:t>23.5m</w:t>
            </w:r>
            <w:r>
              <w:rPr>
                <w:rFonts w:ascii="Times New Roman" w:hAnsi="Times New Roman" w:eastAsia="Times New Roman" w:cs="Times New Roman"/>
                <w:spacing w:val="-2"/>
                <w:position w:val="8"/>
                <w:sz w:val="15"/>
                <w:szCs w:val="15"/>
              </w:rPr>
              <w:t>3</w:t>
            </w:r>
            <w:r>
              <w:rPr>
                <w:rFonts w:ascii="Times New Roman" w:hAnsi="Times New Roman" w:eastAsia="Times New Roman" w:cs="Times New Roman"/>
                <w:spacing w:val="-7"/>
                <w:position w:val="8"/>
                <w:sz w:val="15"/>
                <w:szCs w:val="15"/>
              </w:rPr>
              <w:t xml:space="preserve"> </w:t>
            </w:r>
            <w:r>
              <w:rPr>
                <w:spacing w:val="-2"/>
                <w:sz w:val="24"/>
                <w:szCs w:val="24"/>
              </w:rPr>
              <w:t>，主变</w:t>
            </w:r>
            <w:r>
              <w:rPr>
                <w:spacing w:val="1"/>
                <w:sz w:val="24"/>
                <w:szCs w:val="24"/>
              </w:rPr>
              <w:t>下方的集油坑设计容积应至少为</w:t>
            </w:r>
            <w:r>
              <w:rPr>
                <w:spacing w:val="-54"/>
                <w:sz w:val="24"/>
                <w:szCs w:val="24"/>
              </w:rPr>
              <w:t xml:space="preserve"> </w:t>
            </w:r>
            <w:r>
              <w:rPr>
                <w:rFonts w:ascii="Times New Roman" w:hAnsi="Times New Roman" w:eastAsia="Times New Roman" w:cs="Times New Roman"/>
                <w:spacing w:val="1"/>
                <w:sz w:val="24"/>
                <w:szCs w:val="24"/>
              </w:rPr>
              <w:t>4.7m</w:t>
            </w:r>
            <w:r>
              <w:rPr>
                <w:rFonts w:ascii="Times New Roman" w:hAnsi="Times New Roman" w:eastAsia="Times New Roman" w:cs="Times New Roman"/>
                <w:spacing w:val="1"/>
                <w:position w:val="8"/>
                <w:sz w:val="15"/>
                <w:szCs w:val="15"/>
              </w:rPr>
              <w:t xml:space="preserve">3 </w:t>
            </w:r>
            <w:r>
              <w:rPr>
                <w:spacing w:val="1"/>
                <w:sz w:val="24"/>
                <w:szCs w:val="24"/>
              </w:rPr>
              <w:t>。本</w:t>
            </w:r>
            <w:r>
              <w:rPr>
                <w:sz w:val="24"/>
                <w:szCs w:val="24"/>
              </w:rPr>
              <w:t>工程变电站建设一座事故油池，有效容</w:t>
            </w:r>
            <w:r>
              <w:rPr>
                <w:spacing w:val="-3"/>
                <w:sz w:val="24"/>
                <w:szCs w:val="24"/>
              </w:rPr>
              <w:t>积为</w:t>
            </w:r>
            <w:r>
              <w:rPr>
                <w:spacing w:val="-50"/>
                <w:sz w:val="24"/>
                <w:szCs w:val="24"/>
              </w:rPr>
              <w:t xml:space="preserve"> </w:t>
            </w:r>
            <w:r>
              <w:rPr>
                <w:rFonts w:ascii="Times New Roman" w:hAnsi="Times New Roman" w:eastAsia="Times New Roman" w:cs="Times New Roman"/>
                <w:spacing w:val="-3"/>
                <w:sz w:val="24"/>
                <w:szCs w:val="24"/>
              </w:rPr>
              <w:t>30m</w:t>
            </w:r>
            <w:r>
              <w:rPr>
                <w:rFonts w:ascii="Times New Roman" w:hAnsi="Times New Roman" w:eastAsia="Times New Roman" w:cs="Times New Roman"/>
                <w:spacing w:val="-3"/>
                <w:position w:val="7"/>
                <w:sz w:val="15"/>
                <w:szCs w:val="15"/>
              </w:rPr>
              <w:t>3</w:t>
            </w:r>
            <w:r>
              <w:rPr>
                <w:spacing w:val="-3"/>
                <w:sz w:val="24"/>
                <w:szCs w:val="24"/>
              </w:rPr>
              <w:t>，并设置油水分离装置，主变压器下设集油坑，铺</w:t>
            </w:r>
            <w:r>
              <w:rPr>
                <w:spacing w:val="-4"/>
                <w:sz w:val="24"/>
                <w:szCs w:val="24"/>
              </w:rPr>
              <w:t>设一卵石层并通过管道</w:t>
            </w:r>
            <w:r>
              <w:rPr>
                <w:spacing w:val="-6"/>
                <w:sz w:val="24"/>
                <w:szCs w:val="24"/>
              </w:rPr>
              <w:t>与事故油池相连。本工程主变下方集油坑容积为</w:t>
            </w:r>
            <w:r>
              <w:rPr>
                <w:spacing w:val="-32"/>
                <w:sz w:val="24"/>
                <w:szCs w:val="24"/>
              </w:rPr>
              <w:t xml:space="preserve"> </w:t>
            </w:r>
            <w:r>
              <w:rPr>
                <w:rFonts w:ascii="Times New Roman" w:hAnsi="Times New Roman" w:eastAsia="Times New Roman" w:cs="Times New Roman"/>
                <w:spacing w:val="-6"/>
                <w:sz w:val="24"/>
                <w:szCs w:val="24"/>
              </w:rPr>
              <w:t>19m</w:t>
            </w:r>
            <w:r>
              <w:rPr>
                <w:rFonts w:ascii="Times New Roman" w:hAnsi="Times New Roman" w:eastAsia="Times New Roman" w:cs="Times New Roman"/>
                <w:spacing w:val="-6"/>
                <w:position w:val="8"/>
                <w:sz w:val="15"/>
                <w:szCs w:val="15"/>
              </w:rPr>
              <w:t>3</w:t>
            </w:r>
            <w:r>
              <w:rPr>
                <w:spacing w:val="-6"/>
                <w:sz w:val="24"/>
                <w:szCs w:val="24"/>
              </w:rPr>
              <w:t>，已满足设计</w:t>
            </w:r>
            <w:r>
              <w:rPr>
                <w:spacing w:val="-7"/>
                <w:sz w:val="24"/>
                <w:szCs w:val="24"/>
              </w:rPr>
              <w:t>容量</w:t>
            </w:r>
            <w:r>
              <w:rPr>
                <w:spacing w:val="-32"/>
                <w:sz w:val="24"/>
                <w:szCs w:val="24"/>
              </w:rPr>
              <w:t xml:space="preserve"> </w:t>
            </w:r>
            <w:r>
              <w:rPr>
                <w:rFonts w:ascii="Times New Roman" w:hAnsi="Times New Roman" w:eastAsia="Times New Roman" w:cs="Times New Roman"/>
                <w:spacing w:val="-7"/>
                <w:sz w:val="24"/>
                <w:szCs w:val="24"/>
              </w:rPr>
              <w:t>100%</w:t>
            </w:r>
            <w:r>
              <w:rPr>
                <w:spacing w:val="-7"/>
                <w:sz w:val="24"/>
                <w:szCs w:val="24"/>
              </w:rPr>
              <w:t>要求，</w:t>
            </w:r>
            <w:r>
              <w:rPr>
                <w:spacing w:val="-1"/>
                <w:sz w:val="24"/>
                <w:szCs w:val="24"/>
              </w:rPr>
              <w:t>且能满足主变事故排油的需要。</w:t>
            </w:r>
          </w:p>
          <w:p w14:paraId="33D91371">
            <w:pPr>
              <w:pStyle w:val="6"/>
              <w:spacing w:line="360" w:lineRule="auto"/>
              <w:ind w:left="114" w:right="102" w:firstLine="477"/>
              <w:jc w:val="both"/>
              <w:rPr>
                <w:sz w:val="24"/>
                <w:szCs w:val="24"/>
              </w:rPr>
            </w:pPr>
            <w:r>
              <w:rPr>
                <w:spacing w:val="-1"/>
                <w:sz w:val="24"/>
                <w:szCs w:val="24"/>
              </w:rPr>
              <w:t>项目拟设置事故油池、贮油坑表面及其下方基础层铺设防渗层，防渗层为</w:t>
            </w:r>
            <w:r>
              <w:rPr>
                <w:spacing w:val="-2"/>
                <w:sz w:val="24"/>
                <w:szCs w:val="24"/>
              </w:rPr>
              <w:t>至少</w:t>
            </w:r>
            <w:r>
              <w:rPr>
                <w:rFonts w:ascii="Times New Roman" w:hAnsi="Times New Roman" w:eastAsia="Times New Roman" w:cs="Times New Roman"/>
                <w:spacing w:val="-1"/>
                <w:sz w:val="24"/>
                <w:szCs w:val="24"/>
              </w:rPr>
              <w:t>1m</w:t>
            </w:r>
            <w:r>
              <w:rPr>
                <w:rFonts w:ascii="Times New Roman" w:hAnsi="Times New Roman" w:eastAsia="Times New Roman" w:cs="Times New Roman"/>
                <w:spacing w:val="18"/>
                <w:sz w:val="24"/>
                <w:szCs w:val="24"/>
              </w:rPr>
              <w:t xml:space="preserve"> </w:t>
            </w:r>
            <w:r>
              <w:rPr>
                <w:spacing w:val="-1"/>
                <w:sz w:val="24"/>
                <w:szCs w:val="24"/>
              </w:rPr>
              <w:t>厚的粘土层（渗透系数</w:t>
            </w:r>
            <w:r>
              <w:rPr>
                <w:rFonts w:ascii="Times New Roman" w:hAnsi="Times New Roman" w:eastAsia="Times New Roman" w:cs="Times New Roman"/>
                <w:spacing w:val="-1"/>
                <w:sz w:val="24"/>
                <w:szCs w:val="24"/>
              </w:rPr>
              <w:t>≤10</w:t>
            </w:r>
            <w:r>
              <w:rPr>
                <w:rFonts w:ascii="Times New Roman" w:hAnsi="Times New Roman" w:eastAsia="Times New Roman" w:cs="Times New Roman"/>
                <w:spacing w:val="-1"/>
                <w:position w:val="8"/>
                <w:sz w:val="15"/>
                <w:szCs w:val="15"/>
              </w:rPr>
              <w:t>-7</w:t>
            </w:r>
            <w:r>
              <w:rPr>
                <w:rFonts w:ascii="Times New Roman" w:hAnsi="Times New Roman" w:eastAsia="Times New Roman" w:cs="Times New Roman"/>
                <w:spacing w:val="-1"/>
                <w:sz w:val="24"/>
                <w:szCs w:val="24"/>
              </w:rPr>
              <w:t>cm/s</w:t>
            </w:r>
            <w:r>
              <w:rPr>
                <w:spacing w:val="13"/>
                <w:sz w:val="24"/>
                <w:szCs w:val="24"/>
              </w:rPr>
              <w:t>），</w:t>
            </w:r>
            <w:r>
              <w:rPr>
                <w:spacing w:val="-1"/>
                <w:sz w:val="24"/>
                <w:szCs w:val="24"/>
              </w:rPr>
              <w:t>或</w:t>
            </w:r>
            <w:r>
              <w:rPr>
                <w:spacing w:val="-50"/>
                <w:sz w:val="24"/>
                <w:szCs w:val="24"/>
              </w:rPr>
              <w:t xml:space="preserve"> </w:t>
            </w:r>
            <w:r>
              <w:rPr>
                <w:rFonts w:ascii="Times New Roman" w:hAnsi="Times New Roman" w:eastAsia="Times New Roman" w:cs="Times New Roman"/>
                <w:spacing w:val="-1"/>
                <w:sz w:val="24"/>
                <w:szCs w:val="24"/>
              </w:rPr>
              <w:t>2mm</w:t>
            </w:r>
            <w:r>
              <w:rPr>
                <w:rFonts w:ascii="Times New Roman" w:hAnsi="Times New Roman" w:eastAsia="Times New Roman" w:cs="Times New Roman"/>
                <w:spacing w:val="16"/>
                <w:sz w:val="24"/>
                <w:szCs w:val="24"/>
              </w:rPr>
              <w:t xml:space="preserve"> </w:t>
            </w:r>
            <w:r>
              <w:rPr>
                <w:spacing w:val="-1"/>
                <w:sz w:val="24"/>
                <w:szCs w:val="24"/>
              </w:rPr>
              <w:t>厚高密度聚乙烯，或至少</w:t>
            </w:r>
            <w:r>
              <w:rPr>
                <w:spacing w:val="-51"/>
                <w:sz w:val="24"/>
                <w:szCs w:val="24"/>
              </w:rPr>
              <w:t xml:space="preserve"> </w:t>
            </w:r>
            <w:r>
              <w:rPr>
                <w:rFonts w:ascii="Times New Roman" w:hAnsi="Times New Roman" w:eastAsia="Times New Roman" w:cs="Times New Roman"/>
                <w:spacing w:val="-1"/>
                <w:sz w:val="24"/>
                <w:szCs w:val="24"/>
              </w:rPr>
              <w:t>2mm</w:t>
            </w:r>
            <w:r>
              <w:rPr>
                <w:rFonts w:ascii="Times New Roman" w:hAnsi="Times New Roman" w:eastAsia="Times New Roman" w:cs="Times New Roman"/>
                <w:spacing w:val="16"/>
                <w:w w:val="101"/>
                <w:sz w:val="24"/>
                <w:szCs w:val="24"/>
              </w:rPr>
              <w:t xml:space="preserve"> </w:t>
            </w:r>
            <w:r>
              <w:rPr>
                <w:spacing w:val="-1"/>
                <w:sz w:val="24"/>
                <w:szCs w:val="24"/>
              </w:rPr>
              <w:t>厚</w:t>
            </w:r>
            <w:r>
              <w:rPr>
                <w:spacing w:val="-4"/>
                <w:sz w:val="24"/>
                <w:szCs w:val="24"/>
              </w:rPr>
              <w:t>的其他人工材料，渗透系数</w:t>
            </w:r>
            <w:r>
              <w:rPr>
                <w:rFonts w:ascii="Times New Roman" w:hAnsi="Times New Roman" w:eastAsia="Times New Roman" w:cs="Times New Roman"/>
                <w:spacing w:val="-4"/>
                <w:sz w:val="24"/>
                <w:szCs w:val="24"/>
              </w:rPr>
              <w:t>≤10</w:t>
            </w:r>
            <w:r>
              <w:rPr>
                <w:rFonts w:ascii="Times New Roman" w:hAnsi="Times New Roman" w:eastAsia="Times New Roman" w:cs="Times New Roman"/>
                <w:spacing w:val="-4"/>
                <w:position w:val="8"/>
                <w:sz w:val="15"/>
                <w:szCs w:val="15"/>
              </w:rPr>
              <w:t>-</w:t>
            </w:r>
            <w:r>
              <w:rPr>
                <w:rFonts w:ascii="Times New Roman" w:hAnsi="Times New Roman" w:eastAsia="Times New Roman" w:cs="Times New Roman"/>
                <w:spacing w:val="-9"/>
                <w:position w:val="8"/>
                <w:sz w:val="15"/>
                <w:szCs w:val="15"/>
              </w:rPr>
              <w:t xml:space="preserve"> </w:t>
            </w:r>
            <w:r>
              <w:rPr>
                <w:rFonts w:ascii="Times New Roman" w:hAnsi="Times New Roman" w:eastAsia="Times New Roman" w:cs="Times New Roman"/>
                <w:spacing w:val="-4"/>
                <w:position w:val="8"/>
                <w:sz w:val="15"/>
                <w:szCs w:val="15"/>
              </w:rPr>
              <w:t>10</w:t>
            </w:r>
            <w:r>
              <w:rPr>
                <w:rFonts w:ascii="Times New Roman" w:hAnsi="Times New Roman" w:eastAsia="Times New Roman" w:cs="Times New Roman"/>
                <w:spacing w:val="-4"/>
                <w:sz w:val="24"/>
                <w:szCs w:val="24"/>
              </w:rPr>
              <w:t>cm/s</w:t>
            </w:r>
            <w:r>
              <w:rPr>
                <w:rFonts w:ascii="Times New Roman" w:hAnsi="Times New Roman" w:eastAsia="Times New Roman" w:cs="Times New Roman"/>
                <w:spacing w:val="-27"/>
                <w:sz w:val="24"/>
                <w:szCs w:val="24"/>
              </w:rPr>
              <w:t xml:space="preserve"> </w:t>
            </w:r>
            <w:r>
              <w:rPr>
                <w:spacing w:val="-4"/>
                <w:sz w:val="24"/>
                <w:szCs w:val="24"/>
              </w:rPr>
              <w:t>。因此，项目设置的事故油池、贮油坑防渗达</w:t>
            </w:r>
            <w:r>
              <w:rPr>
                <w:spacing w:val="-1"/>
                <w:sz w:val="24"/>
                <w:szCs w:val="24"/>
              </w:rPr>
              <w:t>到《危险废物贮存污染控制标准》的相关要求。</w:t>
            </w:r>
          </w:p>
          <w:p w14:paraId="1519B70D">
            <w:pPr>
              <w:pStyle w:val="6"/>
              <w:spacing w:before="55" w:line="219" w:lineRule="auto"/>
              <w:ind w:left="759"/>
              <w:rPr>
                <w:sz w:val="24"/>
                <w:szCs w:val="24"/>
              </w:rPr>
            </w:pPr>
            <w:r>
              <w:rPr>
                <w:sz w:val="24"/>
                <w:szCs w:val="24"/>
              </w:rPr>
              <w:t>采取上述措施后，项目环境风险可以得到有效</w:t>
            </w:r>
            <w:r>
              <w:rPr>
                <w:spacing w:val="-1"/>
                <w:sz w:val="24"/>
                <w:szCs w:val="24"/>
              </w:rPr>
              <w:t>控制，风险可以接受。</w:t>
            </w:r>
          </w:p>
        </w:tc>
      </w:tr>
      <w:tr w14:paraId="37844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4" w:hRule="atLeast"/>
        </w:trPr>
        <w:tc>
          <w:tcPr>
            <w:tcW w:w="478" w:type="dxa"/>
            <w:tcBorders>
              <w:top w:val="single" w:color="000000" w:sz="2" w:space="0"/>
              <w:right w:val="single" w:color="000000" w:sz="2" w:space="0"/>
            </w:tcBorders>
            <w:textDirection w:val="tbRlV"/>
            <w:vAlign w:val="top"/>
          </w:tcPr>
          <w:p w14:paraId="740AAE44">
            <w:pPr>
              <w:pStyle w:val="6"/>
              <w:spacing w:before="119" w:line="209" w:lineRule="auto"/>
              <w:ind w:left="432"/>
              <w:rPr>
                <w:sz w:val="24"/>
                <w:szCs w:val="24"/>
              </w:rPr>
            </w:pPr>
            <w:r>
              <w:rPr>
                <w:spacing w:val="24"/>
                <w:w w:val="117"/>
                <w:sz w:val="24"/>
                <w:szCs w:val="24"/>
              </w:rPr>
              <w:t>选址选线环境合理性分析</w:t>
            </w:r>
          </w:p>
        </w:tc>
        <w:tc>
          <w:tcPr>
            <w:tcW w:w="8829" w:type="dxa"/>
            <w:tcBorders>
              <w:top w:val="single" w:color="000000" w:sz="2" w:space="0"/>
              <w:left w:val="single" w:color="000000" w:sz="2" w:space="0"/>
            </w:tcBorders>
            <w:vAlign w:val="top"/>
          </w:tcPr>
          <w:p w14:paraId="45D0DF8C">
            <w:pPr>
              <w:pStyle w:val="6"/>
              <w:spacing w:before="46" w:line="220" w:lineRule="auto"/>
              <w:ind w:left="111"/>
              <w:rPr>
                <w:sz w:val="24"/>
                <w:szCs w:val="24"/>
              </w:rPr>
            </w:pPr>
            <w:r>
              <w:rPr>
                <w:b/>
                <w:bCs/>
                <w:spacing w:val="-3"/>
                <w:sz w:val="24"/>
                <w:szCs w:val="24"/>
              </w:rPr>
              <w:t>一、站址选址环境合理性</w:t>
            </w:r>
          </w:p>
          <w:p w14:paraId="7C8E74CF">
            <w:pPr>
              <w:pStyle w:val="6"/>
              <w:spacing w:before="179" w:line="219" w:lineRule="auto"/>
              <w:ind w:left="587"/>
              <w:rPr>
                <w:sz w:val="24"/>
                <w:szCs w:val="24"/>
              </w:rPr>
            </w:pPr>
            <w:r>
              <w:rPr>
                <w:spacing w:val="-1"/>
                <w:sz w:val="24"/>
                <w:szCs w:val="24"/>
              </w:rPr>
              <w:t>根据可研资料，本项目</w:t>
            </w:r>
            <w:r>
              <w:rPr>
                <w:spacing w:val="-32"/>
                <w:sz w:val="24"/>
                <w:szCs w:val="24"/>
              </w:rPr>
              <w:t xml:space="preserve"> </w:t>
            </w:r>
            <w:r>
              <w:rPr>
                <w:rFonts w:ascii="Times New Roman" w:hAnsi="Times New Roman" w:eastAsia="Times New Roman" w:cs="Times New Roman"/>
                <w:spacing w:val="-1"/>
                <w:sz w:val="24"/>
                <w:szCs w:val="24"/>
              </w:rPr>
              <w:t xml:space="preserve">110kV </w:t>
            </w:r>
            <w:r>
              <w:rPr>
                <w:spacing w:val="-1"/>
                <w:sz w:val="24"/>
                <w:szCs w:val="24"/>
              </w:rPr>
              <w:t>变电站站址选</w:t>
            </w:r>
            <w:r>
              <w:rPr>
                <w:spacing w:val="-2"/>
                <w:sz w:val="24"/>
                <w:szCs w:val="24"/>
              </w:rPr>
              <w:t>择了</w:t>
            </w:r>
            <w:r>
              <w:rPr>
                <w:rFonts w:ascii="Times New Roman" w:hAnsi="Times New Roman" w:eastAsia="Times New Roman" w:cs="Times New Roman"/>
                <w:spacing w:val="-2"/>
                <w:sz w:val="24"/>
                <w:szCs w:val="24"/>
              </w:rPr>
              <w:t xml:space="preserve">2 </w:t>
            </w:r>
            <w:r>
              <w:rPr>
                <w:spacing w:val="-2"/>
                <w:sz w:val="24"/>
                <w:szCs w:val="24"/>
              </w:rPr>
              <w:t>个站址进行了比选。即站址</w:t>
            </w:r>
          </w:p>
          <w:p w14:paraId="700D2FC1">
            <w:pPr>
              <w:pStyle w:val="6"/>
              <w:spacing w:before="179" w:line="357" w:lineRule="auto"/>
              <w:ind w:left="106" w:right="102" w:firstLine="19"/>
              <w:jc w:val="both"/>
              <w:rPr>
                <w:sz w:val="24"/>
                <w:szCs w:val="24"/>
              </w:rPr>
            </w:pPr>
            <w:r>
              <w:rPr>
                <w:rFonts w:ascii="Times New Roman" w:hAnsi="Times New Roman" w:eastAsia="Times New Roman" w:cs="Times New Roman"/>
                <w:spacing w:val="-5"/>
                <w:sz w:val="24"/>
                <w:szCs w:val="24"/>
              </w:rPr>
              <w:t>1</w:t>
            </w:r>
            <w:r>
              <w:rPr>
                <w:rFonts w:ascii="Times New Roman" w:hAnsi="Times New Roman" w:eastAsia="Times New Roman" w:cs="Times New Roman"/>
                <w:spacing w:val="-29"/>
                <w:sz w:val="24"/>
                <w:szCs w:val="24"/>
              </w:rPr>
              <w:t xml:space="preserve"> </w:t>
            </w:r>
            <w:r>
              <w:rPr>
                <w:spacing w:val="-5"/>
                <w:sz w:val="24"/>
                <w:szCs w:val="24"/>
              </w:rPr>
              <w:t>：芦旗堡站址（推荐方案</w:t>
            </w:r>
            <w:r>
              <w:rPr>
                <w:spacing w:val="-1"/>
                <w:sz w:val="24"/>
                <w:szCs w:val="24"/>
              </w:rPr>
              <w:t>）；</w:t>
            </w:r>
            <w:r>
              <w:rPr>
                <w:spacing w:val="-5"/>
                <w:sz w:val="24"/>
                <w:szCs w:val="24"/>
              </w:rPr>
              <w:t>站址</w:t>
            </w:r>
            <w:r>
              <w:rPr>
                <w:spacing w:val="-55"/>
                <w:sz w:val="24"/>
                <w:szCs w:val="24"/>
              </w:rPr>
              <w:t xml:space="preserve"> </w:t>
            </w:r>
            <w:r>
              <w:rPr>
                <w:rFonts w:ascii="Times New Roman" w:hAnsi="Times New Roman" w:eastAsia="Times New Roman" w:cs="Times New Roman"/>
                <w:spacing w:val="-5"/>
                <w:sz w:val="24"/>
                <w:szCs w:val="24"/>
              </w:rPr>
              <w:t>2</w:t>
            </w:r>
            <w:r>
              <w:rPr>
                <w:rFonts w:ascii="Times New Roman" w:hAnsi="Times New Roman" w:eastAsia="Times New Roman" w:cs="Times New Roman"/>
                <w:spacing w:val="-30"/>
                <w:sz w:val="24"/>
                <w:szCs w:val="24"/>
              </w:rPr>
              <w:t xml:space="preserve"> </w:t>
            </w:r>
            <w:r>
              <w:rPr>
                <w:spacing w:val="-5"/>
                <w:sz w:val="24"/>
                <w:szCs w:val="24"/>
              </w:rPr>
              <w:t>：大堆子站址（比选方案）。通过对两个站址</w:t>
            </w:r>
            <w:r>
              <w:rPr>
                <w:spacing w:val="-7"/>
                <w:sz w:val="24"/>
                <w:szCs w:val="24"/>
              </w:rPr>
              <w:t>在设计、环境保护方面进行综合比较后，最终确定芦旗</w:t>
            </w:r>
            <w:r>
              <w:rPr>
                <w:spacing w:val="-8"/>
                <w:sz w:val="24"/>
                <w:szCs w:val="24"/>
              </w:rPr>
              <w:t>堡站址为松山变电站站址（分</w:t>
            </w:r>
            <w:r>
              <w:rPr>
                <w:spacing w:val="-2"/>
                <w:sz w:val="24"/>
                <w:szCs w:val="24"/>
              </w:rPr>
              <w:t>析详见表</w:t>
            </w:r>
            <w:r>
              <w:rPr>
                <w:spacing w:val="-55"/>
                <w:sz w:val="24"/>
                <w:szCs w:val="24"/>
              </w:rPr>
              <w:t xml:space="preserve"> </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2"/>
                <w:sz w:val="24"/>
                <w:szCs w:val="24"/>
              </w:rPr>
              <w:t>13</w:t>
            </w:r>
            <w:r>
              <w:rPr>
                <w:spacing w:val="-2"/>
                <w:sz w:val="24"/>
                <w:szCs w:val="24"/>
              </w:rPr>
              <w:t>）。本项目卢旗堡站址（推荐方案）已取得陆良县</w:t>
            </w:r>
            <w:r>
              <w:rPr>
                <w:spacing w:val="-3"/>
                <w:sz w:val="24"/>
                <w:szCs w:val="24"/>
              </w:rPr>
              <w:t>人民政府同意选址</w:t>
            </w:r>
            <w:r>
              <w:rPr>
                <w:spacing w:val="-1"/>
                <w:sz w:val="24"/>
                <w:szCs w:val="24"/>
              </w:rPr>
              <w:t>的意见。变电站占地范围内不属于自然保护区、风景名胜区等环境敏感区，变电站</w:t>
            </w:r>
            <w:r>
              <w:rPr>
                <w:sz w:val="24"/>
                <w:szCs w:val="24"/>
              </w:rPr>
              <w:t>所在区域及周边</w:t>
            </w:r>
            <w:r>
              <w:rPr>
                <w:spacing w:val="-49"/>
                <w:sz w:val="24"/>
                <w:szCs w:val="24"/>
              </w:rPr>
              <w:t xml:space="preserve"> </w:t>
            </w:r>
            <w:r>
              <w:rPr>
                <w:rFonts w:ascii="Times New Roman" w:hAnsi="Times New Roman" w:eastAsia="Times New Roman" w:cs="Times New Roman"/>
                <w:sz w:val="24"/>
                <w:szCs w:val="24"/>
              </w:rPr>
              <w:t>500m</w:t>
            </w:r>
            <w:r>
              <w:rPr>
                <w:rFonts w:ascii="Times New Roman" w:hAnsi="Times New Roman" w:eastAsia="Times New Roman" w:cs="Times New Roman"/>
                <w:spacing w:val="19"/>
                <w:sz w:val="24"/>
                <w:szCs w:val="24"/>
              </w:rPr>
              <w:t xml:space="preserve"> </w:t>
            </w:r>
            <w:r>
              <w:rPr>
                <w:sz w:val="24"/>
                <w:szCs w:val="24"/>
              </w:rPr>
              <w:t>范围内未发现国家和省重点保护的野生动</w:t>
            </w:r>
            <w:r>
              <w:rPr>
                <w:spacing w:val="-1"/>
                <w:sz w:val="24"/>
                <w:szCs w:val="24"/>
              </w:rPr>
              <w:t>植物，无风景名胜及古树名木。本项目所选站址工程区域交通、水文因素等条件均较好；经环境影响分析，变电站建设及运行对周边环境影响在可控范围内，项目站址拟建区域不存在</w:t>
            </w:r>
          </w:p>
        </w:tc>
      </w:tr>
    </w:tbl>
    <w:p w14:paraId="15AF83A2">
      <w:pPr>
        <w:rPr>
          <w:rFonts w:ascii="Arial"/>
          <w:sz w:val="21"/>
        </w:rPr>
      </w:pPr>
    </w:p>
    <w:p w14:paraId="586A6A73">
      <w:pPr>
        <w:rPr>
          <w:rFonts w:ascii="Arial" w:hAnsi="Arial" w:eastAsia="Arial" w:cs="Arial"/>
          <w:sz w:val="21"/>
          <w:szCs w:val="21"/>
        </w:rPr>
        <w:sectPr>
          <w:footerReference r:id="rId126" w:type="default"/>
          <w:pgSz w:w="11907" w:h="16840"/>
          <w:pgMar w:top="400" w:right="1179" w:bottom="1240" w:left="1405" w:header="0" w:footer="1077" w:gutter="0"/>
          <w:cols w:space="720" w:num="1"/>
        </w:sectPr>
      </w:pPr>
    </w:p>
    <w:p w14:paraId="57B40C87">
      <w:pPr>
        <w:spacing w:before="13"/>
      </w:pPr>
    </w:p>
    <w:p w14:paraId="35A35DFB">
      <w:pPr>
        <w:spacing w:before="13"/>
      </w:pPr>
    </w:p>
    <w:p w14:paraId="64630340">
      <w:pPr>
        <w:spacing w:before="13"/>
      </w:pPr>
    </w:p>
    <w:p w14:paraId="60D13510">
      <w:pPr>
        <w:spacing w:before="12"/>
      </w:pPr>
    </w:p>
    <w:tbl>
      <w:tblPr>
        <w:tblStyle w:val="5"/>
        <w:tblW w:w="930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29"/>
      </w:tblGrid>
      <w:tr w14:paraId="55ADB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56" w:hRule="atLeast"/>
        </w:trPr>
        <w:tc>
          <w:tcPr>
            <w:tcW w:w="478" w:type="dxa"/>
            <w:tcBorders>
              <w:right w:val="single" w:color="000000" w:sz="2" w:space="0"/>
            </w:tcBorders>
            <w:vAlign w:val="top"/>
          </w:tcPr>
          <w:p w14:paraId="4445D53D">
            <w:pPr>
              <w:rPr>
                <w:rFonts w:ascii="Arial"/>
                <w:sz w:val="21"/>
              </w:rPr>
            </w:pPr>
          </w:p>
        </w:tc>
        <w:tc>
          <w:tcPr>
            <w:tcW w:w="8829" w:type="dxa"/>
            <w:tcBorders>
              <w:left w:val="single" w:color="000000" w:sz="2" w:space="0"/>
            </w:tcBorders>
            <w:vAlign w:val="top"/>
          </w:tcPr>
          <w:p w14:paraId="3E115C27">
            <w:pPr>
              <w:pStyle w:val="6"/>
              <w:spacing w:before="31" w:line="219" w:lineRule="auto"/>
              <w:ind w:left="108"/>
              <w:rPr>
                <w:sz w:val="24"/>
                <w:szCs w:val="24"/>
              </w:rPr>
            </w:pPr>
            <w:r>
              <w:rPr>
                <w:spacing w:val="-1"/>
                <w:sz w:val="24"/>
                <w:szCs w:val="24"/>
              </w:rPr>
              <w:t>制约项目建设的环境因素，站址选址合理。</w:t>
            </w:r>
          </w:p>
          <w:p w14:paraId="7D284BC2">
            <w:pPr>
              <w:pStyle w:val="6"/>
              <w:spacing w:before="180" w:line="219" w:lineRule="auto"/>
              <w:ind w:left="111"/>
              <w:rPr>
                <w:sz w:val="24"/>
                <w:szCs w:val="24"/>
              </w:rPr>
            </w:pPr>
            <w:r>
              <w:rPr>
                <w:b/>
                <w:bCs/>
                <w:spacing w:val="-3"/>
                <w:sz w:val="24"/>
                <w:szCs w:val="24"/>
              </w:rPr>
              <w:t>二、输电线路环境合理性分析</w:t>
            </w:r>
          </w:p>
          <w:p w14:paraId="250F9C66">
            <w:pPr>
              <w:pStyle w:val="6"/>
              <w:spacing w:before="184" w:line="359" w:lineRule="auto"/>
              <w:ind w:left="106" w:right="21" w:firstLine="480"/>
              <w:jc w:val="both"/>
              <w:rPr>
                <w:sz w:val="24"/>
                <w:szCs w:val="24"/>
              </w:rPr>
            </w:pPr>
            <w:r>
              <w:rPr>
                <w:spacing w:val="-3"/>
                <w:sz w:val="24"/>
                <w:szCs w:val="24"/>
              </w:rPr>
              <w:t>根据可研资料，本项目新建</w:t>
            </w:r>
            <w:r>
              <w:rPr>
                <w:spacing w:val="-54"/>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33"/>
                <w:sz w:val="24"/>
                <w:szCs w:val="24"/>
              </w:rPr>
              <w:t xml:space="preserve"> </w:t>
            </w:r>
            <w:r>
              <w:rPr>
                <w:spacing w:val="-3"/>
                <w:sz w:val="24"/>
                <w:szCs w:val="24"/>
              </w:rPr>
              <w:t>回</w:t>
            </w:r>
            <w:r>
              <w:rPr>
                <w:spacing w:val="-32"/>
                <w:sz w:val="24"/>
                <w:szCs w:val="24"/>
              </w:rPr>
              <w:t xml:space="preserve"> </w:t>
            </w:r>
            <w:r>
              <w:rPr>
                <w:rFonts w:ascii="Times New Roman" w:hAnsi="Times New Roman" w:eastAsia="Times New Roman" w:cs="Times New Roman"/>
                <w:spacing w:val="-3"/>
                <w:sz w:val="24"/>
                <w:szCs w:val="24"/>
              </w:rPr>
              <w:t xml:space="preserve">110kV </w:t>
            </w:r>
            <w:r>
              <w:rPr>
                <w:spacing w:val="-3"/>
                <w:sz w:val="24"/>
                <w:szCs w:val="24"/>
              </w:rPr>
              <w:t>线路，即</w:t>
            </w:r>
            <w:r>
              <w:rPr>
                <w:spacing w:val="-32"/>
                <w:sz w:val="24"/>
                <w:szCs w:val="24"/>
              </w:rPr>
              <w:t xml:space="preserve"> </w:t>
            </w:r>
            <w:r>
              <w:rPr>
                <w:rFonts w:ascii="Times New Roman" w:hAnsi="Times New Roman" w:eastAsia="Times New Roman" w:cs="Times New Roman"/>
                <w:spacing w:val="-3"/>
                <w:sz w:val="24"/>
                <w:szCs w:val="24"/>
              </w:rPr>
              <w:t xml:space="preserve">110kV </w:t>
            </w:r>
            <w:r>
              <w:rPr>
                <w:spacing w:val="-3"/>
                <w:sz w:val="24"/>
                <w:szCs w:val="24"/>
              </w:rPr>
              <w:t>松山变～</w:t>
            </w: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16"/>
                <w:sz w:val="24"/>
                <w:szCs w:val="24"/>
              </w:rPr>
              <w:t xml:space="preserve"> </w:t>
            </w:r>
            <w:r>
              <w:rPr>
                <w:spacing w:val="-3"/>
                <w:sz w:val="24"/>
                <w:szCs w:val="24"/>
              </w:rPr>
              <w:t>芳华变、</w:t>
            </w:r>
            <w:r>
              <w:rPr>
                <w:rFonts w:ascii="Times New Roman" w:hAnsi="Times New Roman" w:eastAsia="Times New Roman" w:cs="Times New Roman"/>
                <w:spacing w:val="-3"/>
                <w:sz w:val="24"/>
                <w:szCs w:val="24"/>
              </w:rPr>
              <w:t xml:space="preserve">110kV </w:t>
            </w:r>
            <w:r>
              <w:rPr>
                <w:spacing w:val="-3"/>
                <w:sz w:val="24"/>
                <w:szCs w:val="24"/>
              </w:rPr>
              <w:t>松山变“</w:t>
            </w:r>
            <w:r>
              <w:rPr>
                <w:rFonts w:ascii="Times New Roman" w:hAnsi="Times New Roman" w:eastAsia="Times New Roman" w:cs="Times New Roman"/>
                <w:spacing w:val="-3"/>
                <w:sz w:val="24"/>
                <w:szCs w:val="24"/>
              </w:rPr>
              <w:t>T</w:t>
            </w:r>
            <w:r>
              <w:rPr>
                <w:rFonts w:ascii="Times New Roman" w:hAnsi="Times New Roman" w:eastAsia="Times New Roman" w:cs="Times New Roman"/>
                <w:spacing w:val="-28"/>
                <w:sz w:val="24"/>
                <w:szCs w:val="24"/>
              </w:rPr>
              <w:t xml:space="preserve"> </w:t>
            </w:r>
            <w:r>
              <w:rPr>
                <w:spacing w:val="-3"/>
                <w:sz w:val="24"/>
                <w:szCs w:val="24"/>
              </w:rPr>
              <w:t>”接芳华变出线π接</w:t>
            </w:r>
            <w:r>
              <w:rPr>
                <w:spacing w:val="-32"/>
                <w:sz w:val="24"/>
                <w:szCs w:val="24"/>
              </w:rPr>
              <w:t xml:space="preserve"> </w:t>
            </w:r>
            <w:r>
              <w:rPr>
                <w:rFonts w:ascii="Times New Roman" w:hAnsi="Times New Roman" w:eastAsia="Times New Roman" w:cs="Times New Roman"/>
                <w:spacing w:val="-3"/>
                <w:sz w:val="24"/>
                <w:szCs w:val="24"/>
              </w:rPr>
              <w:t>110k</w:t>
            </w:r>
            <w:r>
              <w:rPr>
                <w:rFonts w:ascii="Times New Roman" w:hAnsi="Times New Roman" w:eastAsia="Times New Roman" w:cs="Times New Roman"/>
                <w:spacing w:val="-4"/>
                <w:sz w:val="24"/>
                <w:szCs w:val="24"/>
              </w:rPr>
              <w:t>V</w:t>
            </w:r>
            <w:r>
              <w:rPr>
                <w:rFonts w:ascii="Times New Roman" w:hAnsi="Times New Roman" w:eastAsia="Times New Roman" w:cs="Times New Roman"/>
                <w:spacing w:val="17"/>
                <w:w w:val="101"/>
                <w:sz w:val="24"/>
                <w:szCs w:val="24"/>
              </w:rPr>
              <w:t xml:space="preserve"> </w:t>
            </w:r>
            <w:r>
              <w:rPr>
                <w:spacing w:val="-4"/>
                <w:sz w:val="24"/>
                <w:szCs w:val="24"/>
              </w:rPr>
              <w:t>吉中线的</w:t>
            </w:r>
            <w:r>
              <w:rPr>
                <w:spacing w:val="-32"/>
                <w:sz w:val="24"/>
                <w:szCs w:val="24"/>
              </w:rPr>
              <w:t xml:space="preserve"> </w:t>
            </w:r>
            <w:r>
              <w:rPr>
                <w:rFonts w:ascii="Times New Roman" w:hAnsi="Times New Roman" w:eastAsia="Times New Roman" w:cs="Times New Roman"/>
                <w:spacing w:val="-4"/>
                <w:sz w:val="24"/>
                <w:szCs w:val="24"/>
              </w:rPr>
              <w:t xml:space="preserve">110kV </w:t>
            </w:r>
            <w:r>
              <w:rPr>
                <w:spacing w:val="-4"/>
                <w:sz w:val="24"/>
                <w:szCs w:val="24"/>
              </w:rPr>
              <w:t>线路，</w:t>
            </w:r>
            <w:r>
              <w:rPr>
                <w:rFonts w:ascii="Times New Roman" w:hAnsi="Times New Roman" w:eastAsia="Times New Roman" w:cs="Times New Roman"/>
                <w:spacing w:val="-4"/>
                <w:sz w:val="24"/>
                <w:szCs w:val="24"/>
              </w:rPr>
              <w:t>2</w:t>
            </w:r>
            <w:r>
              <w:rPr>
                <w:rFonts w:ascii="Times New Roman" w:hAnsi="Times New Roman" w:eastAsia="Times New Roman" w:cs="Times New Roman"/>
                <w:spacing w:val="33"/>
                <w:sz w:val="24"/>
                <w:szCs w:val="24"/>
              </w:rPr>
              <w:t xml:space="preserve"> </w:t>
            </w:r>
            <w:r>
              <w:rPr>
                <w:spacing w:val="-4"/>
                <w:sz w:val="24"/>
                <w:szCs w:val="24"/>
              </w:rPr>
              <w:t>回线路</w:t>
            </w:r>
            <w:r>
              <w:rPr>
                <w:spacing w:val="1"/>
                <w:sz w:val="24"/>
                <w:szCs w:val="24"/>
              </w:rPr>
              <w:t>均设计了</w:t>
            </w:r>
            <w:r>
              <w:rPr>
                <w:rFonts w:ascii="Times New Roman" w:hAnsi="Times New Roman" w:eastAsia="Times New Roman" w:cs="Times New Roman"/>
                <w:spacing w:val="1"/>
                <w:sz w:val="24"/>
                <w:szCs w:val="24"/>
              </w:rPr>
              <w:t xml:space="preserve">2 </w:t>
            </w:r>
            <w:r>
              <w:rPr>
                <w:spacing w:val="1"/>
                <w:sz w:val="24"/>
                <w:szCs w:val="24"/>
              </w:rPr>
              <w:t>个选线方案进行比选。通过对两个选线方案在设计</w:t>
            </w:r>
            <w:r>
              <w:rPr>
                <w:sz w:val="24"/>
                <w:szCs w:val="24"/>
              </w:rPr>
              <w:t>、环境保护方面进行</w:t>
            </w:r>
            <w:r>
              <w:rPr>
                <w:spacing w:val="-1"/>
                <w:sz w:val="24"/>
                <w:szCs w:val="24"/>
              </w:rPr>
              <w:t>综合比较后，本次环评推荐方案与设计推荐方案一致。线路路径方案已取得陆良县人民政府原则同意线路路径方案的意见；线路塔基占地不涉及风景名胜区、自然保护区、生态保护红线、饮用水水源保护区；线路路径无法完全避让基本农田，线路沿线尽量利用永久基本农田空隙布置塔基位置，无法避让区域将塔基尽可能沿田间</w:t>
            </w:r>
            <w:r>
              <w:rPr>
                <w:spacing w:val="-5"/>
                <w:sz w:val="24"/>
                <w:szCs w:val="24"/>
              </w:rPr>
              <w:t>道路、沟渠、田坎架设，不妨碍机械化耕作，线路占用基本农田符合相</w:t>
            </w:r>
            <w:r>
              <w:rPr>
                <w:spacing w:val="-6"/>
                <w:sz w:val="24"/>
                <w:szCs w:val="24"/>
              </w:rPr>
              <w:t>关政策要求。</w:t>
            </w:r>
            <w:r>
              <w:rPr>
                <w:spacing w:val="-1"/>
                <w:sz w:val="24"/>
                <w:szCs w:val="24"/>
              </w:rPr>
              <w:t>拟建线路尽量避让沿线居民点，不涉及跨越居民楼，在施工建设中避免了拆迁、补</w:t>
            </w:r>
            <w:r>
              <w:rPr>
                <w:spacing w:val="-5"/>
                <w:sz w:val="24"/>
                <w:szCs w:val="24"/>
              </w:rPr>
              <w:t>偿问题；线路沿线均有乡村道路和机耕道路，交通较为便利，材料运输</w:t>
            </w:r>
            <w:r>
              <w:rPr>
                <w:spacing w:val="-6"/>
                <w:sz w:val="24"/>
                <w:szCs w:val="24"/>
              </w:rPr>
              <w:t>、施工建设、</w:t>
            </w:r>
            <w:r>
              <w:rPr>
                <w:spacing w:val="-3"/>
                <w:sz w:val="24"/>
                <w:szCs w:val="24"/>
              </w:rPr>
              <w:t>运行检修较为方便；拟建</w:t>
            </w:r>
            <w:r>
              <w:rPr>
                <w:spacing w:val="-28"/>
                <w:sz w:val="24"/>
                <w:szCs w:val="24"/>
              </w:rPr>
              <w:t xml:space="preserve"> </w:t>
            </w:r>
            <w:r>
              <w:rPr>
                <w:rFonts w:ascii="Times New Roman" w:hAnsi="Times New Roman" w:eastAsia="Times New Roman" w:cs="Times New Roman"/>
                <w:spacing w:val="-3"/>
                <w:sz w:val="24"/>
                <w:szCs w:val="24"/>
              </w:rPr>
              <w:t xml:space="preserve">110kV </w:t>
            </w:r>
            <w:r>
              <w:rPr>
                <w:spacing w:val="-3"/>
                <w:sz w:val="24"/>
                <w:szCs w:val="24"/>
              </w:rPr>
              <w:t>架空线路不涉及森林密集区，减少了森林砍伐，对</w:t>
            </w:r>
            <w:r>
              <w:rPr>
                <w:spacing w:val="-5"/>
                <w:sz w:val="24"/>
                <w:szCs w:val="24"/>
              </w:rPr>
              <w:t>生态环境影响较小；经分析，线路建设及运行对环境保护目标产生的影</w:t>
            </w:r>
            <w:r>
              <w:rPr>
                <w:spacing w:val="-6"/>
                <w:sz w:val="24"/>
                <w:szCs w:val="24"/>
              </w:rPr>
              <w:t>响可以接受。</w:t>
            </w:r>
          </w:p>
          <w:p w14:paraId="70C6951A">
            <w:pPr>
              <w:pStyle w:val="6"/>
              <w:spacing w:line="220" w:lineRule="auto"/>
              <w:ind w:left="107"/>
              <w:rPr>
                <w:sz w:val="24"/>
                <w:szCs w:val="24"/>
              </w:rPr>
            </w:pPr>
            <w:r>
              <w:rPr>
                <w:b/>
                <w:bCs/>
                <w:spacing w:val="-6"/>
                <w:sz w:val="24"/>
                <w:szCs w:val="24"/>
              </w:rPr>
              <w:t>三、“三场</w:t>
            </w:r>
            <w:r>
              <w:rPr>
                <w:spacing w:val="-76"/>
                <w:sz w:val="24"/>
                <w:szCs w:val="24"/>
              </w:rPr>
              <w:t xml:space="preserve"> </w:t>
            </w:r>
            <w:r>
              <w:rPr>
                <w:b/>
                <w:bCs/>
                <w:spacing w:val="-6"/>
                <w:sz w:val="24"/>
                <w:szCs w:val="24"/>
              </w:rPr>
              <w:t>”选址合理性分析</w:t>
            </w:r>
          </w:p>
          <w:p w14:paraId="48E13531">
            <w:pPr>
              <w:pStyle w:val="6"/>
              <w:spacing w:before="182" w:line="359" w:lineRule="auto"/>
              <w:ind w:left="113" w:right="102" w:firstLine="474"/>
              <w:rPr>
                <w:sz w:val="24"/>
                <w:szCs w:val="24"/>
              </w:rPr>
            </w:pPr>
            <w:r>
              <w:rPr>
                <w:spacing w:val="-2"/>
                <w:sz w:val="24"/>
                <w:szCs w:val="24"/>
              </w:rPr>
              <w:t>根据工程施工需要，变电站设置</w:t>
            </w:r>
            <w:r>
              <w:rPr>
                <w:spacing w:val="-19"/>
                <w:sz w:val="24"/>
                <w:szCs w:val="24"/>
              </w:rPr>
              <w:t xml:space="preserve"> </w:t>
            </w:r>
            <w:r>
              <w:rPr>
                <w:rFonts w:ascii="Times New Roman" w:hAnsi="Times New Roman" w:eastAsia="Times New Roman" w:cs="Times New Roman"/>
                <w:spacing w:val="-2"/>
                <w:sz w:val="24"/>
                <w:szCs w:val="24"/>
              </w:rPr>
              <w:t xml:space="preserve">1 </w:t>
            </w:r>
            <w:r>
              <w:rPr>
                <w:spacing w:val="-2"/>
                <w:sz w:val="24"/>
                <w:szCs w:val="24"/>
              </w:rPr>
              <w:t>个堆料场；</w:t>
            </w:r>
            <w:r>
              <w:rPr>
                <w:rFonts w:ascii="Times New Roman" w:hAnsi="Times New Roman" w:eastAsia="Times New Roman" w:cs="Times New Roman"/>
                <w:spacing w:val="-2"/>
                <w:sz w:val="24"/>
                <w:szCs w:val="24"/>
              </w:rPr>
              <w:t xml:space="preserve">110kV </w:t>
            </w:r>
            <w:r>
              <w:rPr>
                <w:spacing w:val="-2"/>
                <w:sz w:val="24"/>
                <w:szCs w:val="24"/>
              </w:rPr>
              <w:t>架空输电线路设置</w:t>
            </w:r>
            <w:r>
              <w:rPr>
                <w:spacing w:val="-49"/>
                <w:sz w:val="24"/>
                <w:szCs w:val="24"/>
              </w:rPr>
              <w:t xml:space="preserve"> </w:t>
            </w:r>
            <w:r>
              <w:rPr>
                <w:rFonts w:ascii="Times New Roman" w:hAnsi="Times New Roman" w:eastAsia="Times New Roman" w:cs="Times New Roman"/>
                <w:spacing w:val="-2"/>
                <w:sz w:val="24"/>
                <w:szCs w:val="24"/>
              </w:rPr>
              <w:t xml:space="preserve">5 </w:t>
            </w:r>
            <w:r>
              <w:rPr>
                <w:spacing w:val="-2"/>
                <w:sz w:val="24"/>
                <w:szCs w:val="24"/>
              </w:rPr>
              <w:t>个牵张场、</w:t>
            </w:r>
            <w:r>
              <w:rPr>
                <w:rFonts w:ascii="Times New Roman" w:hAnsi="Times New Roman" w:eastAsia="Times New Roman" w:cs="Times New Roman"/>
                <w:spacing w:val="-2"/>
                <w:sz w:val="24"/>
                <w:szCs w:val="24"/>
              </w:rPr>
              <w:t xml:space="preserve">4 </w:t>
            </w:r>
            <w:r>
              <w:rPr>
                <w:spacing w:val="-2"/>
                <w:sz w:val="24"/>
                <w:szCs w:val="24"/>
              </w:rPr>
              <w:t>处跨越施工场地。</w:t>
            </w:r>
          </w:p>
          <w:p w14:paraId="3411EF7B">
            <w:pPr>
              <w:pStyle w:val="6"/>
              <w:spacing w:line="220" w:lineRule="auto"/>
              <w:ind w:left="599"/>
              <w:rPr>
                <w:sz w:val="24"/>
                <w:szCs w:val="24"/>
              </w:rPr>
            </w:pPr>
            <w:r>
              <w:rPr>
                <w:spacing w:val="-3"/>
                <w:sz w:val="24"/>
                <w:szCs w:val="24"/>
              </w:rPr>
              <w:t>（</w:t>
            </w:r>
            <w:r>
              <w:rPr>
                <w:rFonts w:ascii="Times New Roman" w:hAnsi="Times New Roman" w:eastAsia="Times New Roman" w:cs="Times New Roman"/>
                <w:spacing w:val="-3"/>
                <w:sz w:val="24"/>
                <w:szCs w:val="24"/>
              </w:rPr>
              <w:t>1</w:t>
            </w:r>
            <w:r>
              <w:rPr>
                <w:spacing w:val="-3"/>
                <w:sz w:val="24"/>
                <w:szCs w:val="24"/>
              </w:rPr>
              <w:t>）选址合理性分析</w:t>
            </w:r>
          </w:p>
          <w:p w14:paraId="28611A2C">
            <w:pPr>
              <w:pStyle w:val="6"/>
              <w:spacing w:before="181" w:line="359" w:lineRule="auto"/>
              <w:ind w:left="107" w:right="102" w:firstLine="479"/>
              <w:rPr>
                <w:sz w:val="24"/>
                <w:szCs w:val="24"/>
              </w:rPr>
            </w:pPr>
            <w:r>
              <w:rPr>
                <w:spacing w:val="-1"/>
                <w:sz w:val="24"/>
                <w:szCs w:val="24"/>
              </w:rPr>
              <w:t>①堆料场：项目施工期变电站围墙内设置堆料场，主要用于施工材料的堆放、装卸，堆料场位于站址征地范围内，减少了施工新占地、施工扬尘和噪声对周围环境的影响，因此，堆料场选址合理；</w:t>
            </w:r>
          </w:p>
          <w:p w14:paraId="720B7A1E">
            <w:pPr>
              <w:pStyle w:val="6"/>
              <w:spacing w:line="359" w:lineRule="auto"/>
              <w:ind w:left="106" w:right="60" w:firstLine="479"/>
              <w:rPr>
                <w:sz w:val="24"/>
                <w:szCs w:val="24"/>
              </w:rPr>
            </w:pPr>
            <w:r>
              <w:rPr>
                <w:spacing w:val="-2"/>
                <w:sz w:val="24"/>
                <w:szCs w:val="24"/>
              </w:rPr>
              <w:t>②牵张场：本项目共设置</w:t>
            </w:r>
            <w:r>
              <w:rPr>
                <w:spacing w:val="-49"/>
                <w:sz w:val="24"/>
                <w:szCs w:val="24"/>
              </w:rPr>
              <w:t xml:space="preserve"> </w:t>
            </w:r>
            <w:r>
              <w:rPr>
                <w:rFonts w:ascii="Times New Roman" w:hAnsi="Times New Roman" w:eastAsia="Times New Roman" w:cs="Times New Roman"/>
                <w:spacing w:val="-2"/>
                <w:sz w:val="24"/>
                <w:szCs w:val="24"/>
              </w:rPr>
              <w:t xml:space="preserve">5 </w:t>
            </w:r>
            <w:r>
              <w:rPr>
                <w:spacing w:val="-2"/>
                <w:sz w:val="24"/>
                <w:szCs w:val="24"/>
              </w:rPr>
              <w:t>处牵张场，牵张</w:t>
            </w:r>
            <w:r>
              <w:rPr>
                <w:spacing w:val="-3"/>
                <w:sz w:val="24"/>
                <w:szCs w:val="24"/>
              </w:rPr>
              <w:t>场位置见施工布置图（附图</w:t>
            </w:r>
            <w:r>
              <w:rPr>
                <w:spacing w:val="-32"/>
                <w:sz w:val="24"/>
                <w:szCs w:val="24"/>
              </w:rPr>
              <w:t xml:space="preserve"> </w:t>
            </w:r>
            <w:r>
              <w:rPr>
                <w:rFonts w:ascii="Times New Roman" w:hAnsi="Times New Roman" w:eastAsia="Times New Roman" w:cs="Times New Roman"/>
                <w:spacing w:val="-3"/>
                <w:sz w:val="24"/>
                <w:szCs w:val="24"/>
              </w:rPr>
              <w:t>16</w:t>
            </w:r>
            <w:r>
              <w:rPr>
                <w:spacing w:val="-3"/>
                <w:sz w:val="24"/>
                <w:szCs w:val="24"/>
              </w:rPr>
              <w:t>）。</w:t>
            </w:r>
            <w:r>
              <w:rPr>
                <w:spacing w:val="-1"/>
                <w:sz w:val="24"/>
                <w:szCs w:val="24"/>
              </w:rPr>
              <w:t>本项目在基本农田不设置牵张场；尽可能远离居民住宅等敏感点；选择地势平坦区域设置牵张场，避免大面积土石方开挖；牵张场地内产生的剥离表土应集中临时堆存，并在施工完毕后及时进行覆土植被；在架线施工过程中，牵张机、绞磨机等设</w:t>
            </w:r>
            <w:r>
              <w:rPr>
                <w:spacing w:val="6"/>
                <w:sz w:val="24"/>
                <w:szCs w:val="24"/>
              </w:rPr>
              <w:t>备及人员施工活动应严格控制在牵张场范围内，避免扰动牵张场范围外的地</w:t>
            </w:r>
            <w:r>
              <w:rPr>
                <w:spacing w:val="5"/>
                <w:sz w:val="24"/>
                <w:szCs w:val="24"/>
              </w:rPr>
              <w:t>表植</w:t>
            </w:r>
            <w:r>
              <w:rPr>
                <w:spacing w:val="-1"/>
                <w:sz w:val="24"/>
                <w:szCs w:val="24"/>
              </w:rPr>
              <w:t>被。因此，牵张场选址合理。</w:t>
            </w:r>
          </w:p>
          <w:p w14:paraId="5E2AC3BD">
            <w:pPr>
              <w:pStyle w:val="6"/>
              <w:spacing w:line="350" w:lineRule="auto"/>
              <w:ind w:left="107" w:right="102" w:firstLine="478"/>
              <w:rPr>
                <w:sz w:val="24"/>
                <w:szCs w:val="24"/>
              </w:rPr>
            </w:pPr>
            <w:r>
              <w:rPr>
                <w:spacing w:val="-1"/>
                <w:sz w:val="24"/>
                <w:szCs w:val="24"/>
              </w:rPr>
              <w:t>③跨越施工场地：本项目线路在跨越高速公路和国道时，设置</w:t>
            </w:r>
            <w:r>
              <w:rPr>
                <w:spacing w:val="-56"/>
                <w:sz w:val="24"/>
                <w:szCs w:val="24"/>
              </w:rPr>
              <w:t xml:space="preserve"> </w:t>
            </w:r>
            <w:r>
              <w:rPr>
                <w:rFonts w:ascii="Times New Roman" w:hAnsi="Times New Roman" w:eastAsia="Times New Roman" w:cs="Times New Roman"/>
                <w:spacing w:val="-1"/>
                <w:sz w:val="24"/>
                <w:szCs w:val="24"/>
              </w:rPr>
              <w:t xml:space="preserve">4 </w:t>
            </w:r>
            <w:r>
              <w:rPr>
                <w:spacing w:val="-1"/>
                <w:sz w:val="24"/>
                <w:szCs w:val="24"/>
              </w:rPr>
              <w:t>处跨越施工场</w:t>
            </w:r>
            <w:r>
              <w:rPr>
                <w:spacing w:val="-3"/>
                <w:sz w:val="24"/>
                <w:szCs w:val="24"/>
              </w:rPr>
              <w:t>地（附图</w:t>
            </w:r>
            <w:r>
              <w:rPr>
                <w:spacing w:val="-31"/>
                <w:sz w:val="24"/>
                <w:szCs w:val="24"/>
              </w:rPr>
              <w:t xml:space="preserve"> </w:t>
            </w:r>
            <w:r>
              <w:rPr>
                <w:rFonts w:ascii="Times New Roman" w:hAnsi="Times New Roman" w:eastAsia="Times New Roman" w:cs="Times New Roman"/>
                <w:spacing w:val="-3"/>
                <w:sz w:val="24"/>
                <w:szCs w:val="24"/>
              </w:rPr>
              <w:t>16</w:t>
            </w:r>
            <w:r>
              <w:rPr>
                <w:spacing w:val="-3"/>
                <w:sz w:val="24"/>
                <w:szCs w:val="24"/>
              </w:rPr>
              <w:t>）。本项目跨越施工场地不涉及基本农田，远离</w:t>
            </w:r>
            <w:r>
              <w:rPr>
                <w:spacing w:val="-4"/>
                <w:sz w:val="24"/>
                <w:szCs w:val="24"/>
              </w:rPr>
              <w:t>居民住宅等敏感点；在</w:t>
            </w:r>
          </w:p>
        </w:tc>
      </w:tr>
    </w:tbl>
    <w:p w14:paraId="7E7597D3">
      <w:pPr>
        <w:rPr>
          <w:rFonts w:ascii="Arial"/>
          <w:sz w:val="21"/>
        </w:rPr>
      </w:pPr>
    </w:p>
    <w:p w14:paraId="5F45879C">
      <w:pPr>
        <w:rPr>
          <w:rFonts w:ascii="Arial" w:hAnsi="Arial" w:eastAsia="Arial" w:cs="Arial"/>
          <w:sz w:val="21"/>
          <w:szCs w:val="21"/>
        </w:rPr>
        <w:sectPr>
          <w:footerReference r:id="rId127" w:type="default"/>
          <w:pgSz w:w="11907" w:h="16840"/>
          <w:pgMar w:top="400" w:right="1179" w:bottom="1240" w:left="1405" w:header="0" w:footer="1077" w:gutter="0"/>
          <w:cols w:space="720" w:num="1"/>
        </w:sectPr>
      </w:pPr>
    </w:p>
    <w:p w14:paraId="49AAB97E">
      <w:pPr>
        <w:spacing w:before="13"/>
      </w:pPr>
    </w:p>
    <w:p w14:paraId="73AF0728">
      <w:pPr>
        <w:spacing w:before="13"/>
      </w:pPr>
    </w:p>
    <w:p w14:paraId="50D7422D">
      <w:pPr>
        <w:spacing w:before="13"/>
      </w:pPr>
    </w:p>
    <w:p w14:paraId="2CFED3E1">
      <w:pPr>
        <w:spacing w:before="12"/>
      </w:pPr>
    </w:p>
    <w:tbl>
      <w:tblPr>
        <w:tblStyle w:val="5"/>
        <w:tblW w:w="930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8"/>
        <w:gridCol w:w="8829"/>
      </w:tblGrid>
      <w:tr w14:paraId="1AE2B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17" w:hRule="atLeast"/>
        </w:trPr>
        <w:tc>
          <w:tcPr>
            <w:tcW w:w="478" w:type="dxa"/>
            <w:tcBorders>
              <w:right w:val="single" w:color="000000" w:sz="2" w:space="0"/>
            </w:tcBorders>
            <w:vAlign w:val="top"/>
          </w:tcPr>
          <w:p w14:paraId="447DB4D3">
            <w:pPr>
              <w:rPr>
                <w:rFonts w:ascii="Arial"/>
                <w:sz w:val="21"/>
              </w:rPr>
            </w:pPr>
          </w:p>
        </w:tc>
        <w:tc>
          <w:tcPr>
            <w:tcW w:w="8829" w:type="dxa"/>
            <w:tcBorders>
              <w:left w:val="single" w:color="000000" w:sz="2" w:space="0"/>
            </w:tcBorders>
            <w:vAlign w:val="top"/>
          </w:tcPr>
          <w:p w14:paraId="6BB58715">
            <w:pPr>
              <w:pStyle w:val="6"/>
              <w:spacing w:before="31" w:line="359" w:lineRule="auto"/>
              <w:ind w:left="106" w:right="138" w:firstLine="2"/>
              <w:rPr>
                <w:sz w:val="24"/>
                <w:szCs w:val="24"/>
              </w:rPr>
            </w:pPr>
            <w:r>
              <w:rPr>
                <w:spacing w:val="-2"/>
                <w:sz w:val="24"/>
                <w:szCs w:val="24"/>
              </w:rPr>
              <w:t>架线施工过程中，施工跨越场地等设备及人员施工活动应严格控制在用地范围内，</w:t>
            </w:r>
            <w:r>
              <w:rPr>
                <w:spacing w:val="-1"/>
                <w:sz w:val="24"/>
                <w:szCs w:val="24"/>
              </w:rPr>
              <w:t>避免其他扰动。因此，施工跨越场地选址合理。</w:t>
            </w:r>
          </w:p>
          <w:p w14:paraId="17D87A59">
            <w:pPr>
              <w:pStyle w:val="6"/>
              <w:spacing w:before="1" w:line="220" w:lineRule="auto"/>
              <w:ind w:left="599"/>
              <w:rPr>
                <w:sz w:val="24"/>
                <w:szCs w:val="24"/>
              </w:rPr>
            </w:pPr>
            <w:r>
              <w:rPr>
                <w:spacing w:val="-3"/>
                <w:sz w:val="24"/>
                <w:szCs w:val="24"/>
              </w:rPr>
              <w:t>（</w:t>
            </w:r>
            <w:r>
              <w:rPr>
                <w:rFonts w:ascii="Times New Roman" w:hAnsi="Times New Roman" w:eastAsia="Times New Roman" w:cs="Times New Roman"/>
                <w:spacing w:val="-3"/>
                <w:sz w:val="24"/>
                <w:szCs w:val="24"/>
              </w:rPr>
              <w:t>2</w:t>
            </w:r>
            <w:r>
              <w:rPr>
                <w:spacing w:val="-3"/>
                <w:sz w:val="24"/>
                <w:szCs w:val="24"/>
              </w:rPr>
              <w:t>）选址要求</w:t>
            </w:r>
          </w:p>
          <w:p w14:paraId="2DC0C171">
            <w:pPr>
              <w:pStyle w:val="6"/>
              <w:spacing w:before="179" w:line="219" w:lineRule="auto"/>
              <w:ind w:left="591"/>
              <w:rPr>
                <w:sz w:val="24"/>
                <w:szCs w:val="24"/>
              </w:rPr>
            </w:pPr>
            <w:r>
              <w:rPr>
                <w:spacing w:val="-3"/>
                <w:sz w:val="24"/>
                <w:szCs w:val="24"/>
              </w:rPr>
              <w:t>项目</w:t>
            </w:r>
            <w:r>
              <w:rPr>
                <w:rFonts w:ascii="Times New Roman" w:hAnsi="Times New Roman" w:eastAsia="Times New Roman" w:cs="Times New Roman"/>
                <w:spacing w:val="-3"/>
                <w:sz w:val="24"/>
                <w:szCs w:val="24"/>
              </w:rPr>
              <w:t>“</w:t>
            </w:r>
            <w:r>
              <w:rPr>
                <w:spacing w:val="-3"/>
                <w:sz w:val="24"/>
                <w:szCs w:val="24"/>
              </w:rPr>
              <w:t>三场</w:t>
            </w:r>
            <w:r>
              <w:rPr>
                <w:rFonts w:ascii="Times New Roman" w:hAnsi="Times New Roman" w:eastAsia="Times New Roman" w:cs="Times New Roman"/>
                <w:spacing w:val="-3"/>
                <w:sz w:val="24"/>
                <w:szCs w:val="24"/>
              </w:rPr>
              <w:t>”</w:t>
            </w:r>
            <w:r>
              <w:rPr>
                <w:rFonts w:ascii="Times New Roman" w:hAnsi="Times New Roman" w:eastAsia="Times New Roman" w:cs="Times New Roman"/>
                <w:spacing w:val="-17"/>
                <w:sz w:val="24"/>
                <w:szCs w:val="24"/>
              </w:rPr>
              <w:t xml:space="preserve"> </w:t>
            </w:r>
            <w:r>
              <w:rPr>
                <w:spacing w:val="-3"/>
                <w:sz w:val="24"/>
                <w:szCs w:val="24"/>
              </w:rPr>
              <w:t>的选址应严格遵守以下原则：</w:t>
            </w:r>
          </w:p>
          <w:p w14:paraId="206317F8">
            <w:pPr>
              <w:pStyle w:val="6"/>
              <w:spacing w:before="183" w:line="359" w:lineRule="auto"/>
              <w:ind w:left="127" w:right="102" w:firstLine="459"/>
              <w:rPr>
                <w:sz w:val="24"/>
                <w:szCs w:val="24"/>
              </w:rPr>
            </w:pPr>
            <w:r>
              <w:rPr>
                <w:spacing w:val="-1"/>
                <w:sz w:val="24"/>
                <w:szCs w:val="24"/>
              </w:rPr>
              <w:t>①堆料场：堆料场应设置在变电站征地范围内，禁止私自占用站址征地范围外</w:t>
            </w:r>
            <w:r>
              <w:rPr>
                <w:spacing w:val="-8"/>
                <w:sz w:val="24"/>
                <w:szCs w:val="24"/>
              </w:rPr>
              <w:t>的土地。</w:t>
            </w:r>
          </w:p>
          <w:p w14:paraId="4355D1A0">
            <w:pPr>
              <w:pStyle w:val="6"/>
              <w:spacing w:line="359" w:lineRule="auto"/>
              <w:ind w:left="106" w:right="102" w:firstLine="479"/>
              <w:rPr>
                <w:sz w:val="24"/>
                <w:szCs w:val="24"/>
              </w:rPr>
            </w:pPr>
            <w:r>
              <w:rPr>
                <w:spacing w:val="-1"/>
                <w:sz w:val="24"/>
                <w:szCs w:val="24"/>
              </w:rPr>
              <w:t>②牵张场：尽量选择荒草地或裸露地表处，主动避让基本农田，并远离线路附</w:t>
            </w:r>
            <w:r>
              <w:rPr>
                <w:spacing w:val="-2"/>
                <w:sz w:val="24"/>
                <w:szCs w:val="24"/>
              </w:rPr>
              <w:t>近的村庄。</w:t>
            </w:r>
          </w:p>
          <w:p w14:paraId="3D513D84">
            <w:pPr>
              <w:pStyle w:val="6"/>
              <w:spacing w:line="217" w:lineRule="auto"/>
              <w:ind w:left="586"/>
              <w:rPr>
                <w:sz w:val="24"/>
                <w:szCs w:val="24"/>
              </w:rPr>
            </w:pPr>
            <w:r>
              <w:rPr>
                <w:sz w:val="24"/>
                <w:szCs w:val="24"/>
              </w:rPr>
              <w:t>③跨越施工场地：尽量选择荒草地或裸露地表处，</w:t>
            </w:r>
            <w:r>
              <w:rPr>
                <w:spacing w:val="-1"/>
                <w:sz w:val="24"/>
                <w:szCs w:val="24"/>
              </w:rPr>
              <w:t>主动避让基本农田。</w:t>
            </w:r>
          </w:p>
          <w:p w14:paraId="4D894473">
            <w:pPr>
              <w:pStyle w:val="6"/>
              <w:spacing w:before="183" w:line="221" w:lineRule="auto"/>
              <w:ind w:left="130"/>
              <w:rPr>
                <w:sz w:val="24"/>
                <w:szCs w:val="24"/>
              </w:rPr>
            </w:pPr>
            <w:r>
              <w:rPr>
                <w:b/>
                <w:bCs/>
                <w:spacing w:val="-10"/>
                <w:sz w:val="24"/>
                <w:szCs w:val="24"/>
              </w:rPr>
              <w:t>四、结论</w:t>
            </w:r>
          </w:p>
          <w:p w14:paraId="2293414F">
            <w:pPr>
              <w:pStyle w:val="6"/>
              <w:spacing w:before="183" w:line="359" w:lineRule="auto"/>
              <w:ind w:left="108" w:right="21" w:firstLine="480"/>
              <w:rPr>
                <w:sz w:val="24"/>
                <w:szCs w:val="24"/>
              </w:rPr>
            </w:pPr>
            <w:r>
              <w:rPr>
                <w:spacing w:val="-1"/>
                <w:sz w:val="24"/>
                <w:szCs w:val="24"/>
              </w:rPr>
              <w:t>本项目不涉及国家公园、</w:t>
            </w:r>
            <w:r>
              <w:rPr>
                <w:spacing w:val="-72"/>
                <w:sz w:val="24"/>
                <w:szCs w:val="24"/>
              </w:rPr>
              <w:t xml:space="preserve"> </w:t>
            </w:r>
            <w:r>
              <w:rPr>
                <w:spacing w:val="-1"/>
                <w:sz w:val="24"/>
                <w:szCs w:val="24"/>
              </w:rPr>
              <w:t>自然保护区、风景名胜区、世界文化和自然遗产地、</w:t>
            </w:r>
            <w:r>
              <w:rPr>
                <w:spacing w:val="-5"/>
                <w:sz w:val="24"/>
                <w:szCs w:val="24"/>
              </w:rPr>
              <w:t>生态保护红线、饮用水水源保护区等环境敏感区，统筹考虑了城镇</w:t>
            </w:r>
            <w:r>
              <w:rPr>
                <w:spacing w:val="-6"/>
                <w:sz w:val="24"/>
                <w:szCs w:val="24"/>
              </w:rPr>
              <w:t>规划、工矿企业、</w:t>
            </w:r>
            <w:r>
              <w:rPr>
                <w:spacing w:val="-1"/>
                <w:sz w:val="24"/>
                <w:szCs w:val="24"/>
              </w:rPr>
              <w:t>水利、电力、交通、通信、军事光缆、沿线矿产资源压覆（包括探矿权、采矿权）等各种设施，进行了最大程度的优化，尽量避让了永久基本农田，结合地理位置及沿线地形、地貌、交叉跨越等因素，线路无法完全避让永久基本农田，设计单位对路径方案进行了唯一性论证，本报告提出一系列保护措施以减轻对其产生影响，线路沿线尽量利用永久基本农田空隙布置塔基位置，无法避让区域将塔基尽可能沿田间道路、沟渠、田坎架设，不妨碍机械化耕作，线路占用基本农田符合相关政策要求。本工程站址及线路路径走向已取得了工程所在地陆良县人民政府及各部门对线路路径原则同意的意见，建设单位需按照国家、省州相关政策做好用地报批后方可动工建设。临时工程牵张场、跨越场由于受路径走向及施工工艺限制，选址范围很小，但应在有限范围内尽量减少占地面积，避免占用基本农田，并在施工结束后及</w:t>
            </w:r>
            <w:r>
              <w:rPr>
                <w:sz w:val="24"/>
                <w:szCs w:val="24"/>
              </w:rPr>
              <w:t>时进行恢复，禁止占用生态环境敏感区，在采取相应的</w:t>
            </w:r>
            <w:r>
              <w:rPr>
                <w:spacing w:val="-1"/>
                <w:sz w:val="24"/>
                <w:szCs w:val="24"/>
              </w:rPr>
              <w:t>措施后临时工程选址合理。</w:t>
            </w:r>
          </w:p>
          <w:p w14:paraId="79047B18">
            <w:pPr>
              <w:pStyle w:val="6"/>
              <w:spacing w:before="1" w:line="362" w:lineRule="auto"/>
              <w:ind w:left="108" w:right="102" w:firstLine="481"/>
              <w:rPr>
                <w:sz w:val="24"/>
                <w:szCs w:val="24"/>
              </w:rPr>
            </w:pPr>
            <w:r>
              <w:rPr>
                <w:spacing w:val="-1"/>
                <w:sz w:val="24"/>
                <w:szCs w:val="24"/>
              </w:rPr>
              <w:t>综上，项目符合相关法律法规的要求，无重大环境制约性因素，工程选址选线</w:t>
            </w:r>
            <w:r>
              <w:rPr>
                <w:spacing w:val="-3"/>
                <w:sz w:val="24"/>
                <w:szCs w:val="24"/>
              </w:rPr>
              <w:t>方案可行。</w:t>
            </w:r>
          </w:p>
        </w:tc>
      </w:tr>
    </w:tbl>
    <w:p w14:paraId="4339C51E">
      <w:pPr>
        <w:rPr>
          <w:rFonts w:ascii="Arial"/>
          <w:sz w:val="21"/>
        </w:rPr>
      </w:pPr>
    </w:p>
    <w:p w14:paraId="58B5B012">
      <w:pPr>
        <w:rPr>
          <w:rFonts w:ascii="Arial" w:hAnsi="Arial" w:eastAsia="Arial" w:cs="Arial"/>
          <w:sz w:val="21"/>
          <w:szCs w:val="21"/>
        </w:rPr>
        <w:sectPr>
          <w:footerReference r:id="rId128" w:type="default"/>
          <w:pgSz w:w="11907" w:h="16840"/>
          <w:pgMar w:top="400" w:right="1179" w:bottom="1240" w:left="1405" w:header="0" w:footer="1077" w:gutter="0"/>
          <w:cols w:space="720" w:num="1"/>
        </w:sectPr>
      </w:pPr>
    </w:p>
    <w:p w14:paraId="77946743">
      <w:pPr>
        <w:spacing w:line="319" w:lineRule="auto"/>
        <w:rPr>
          <w:rFonts w:ascii="Arial"/>
          <w:sz w:val="21"/>
        </w:rPr>
      </w:pPr>
    </w:p>
    <w:p w14:paraId="3B356457">
      <w:pPr>
        <w:spacing w:line="319" w:lineRule="auto"/>
        <w:rPr>
          <w:rFonts w:ascii="Arial"/>
          <w:sz w:val="21"/>
        </w:rPr>
      </w:pPr>
    </w:p>
    <w:p w14:paraId="7AA62009">
      <w:pPr>
        <w:spacing w:line="320" w:lineRule="auto"/>
        <w:rPr>
          <w:rFonts w:ascii="Arial"/>
          <w:sz w:val="21"/>
        </w:rPr>
      </w:pPr>
    </w:p>
    <w:p w14:paraId="6A1C7F2E">
      <w:pPr>
        <w:pStyle w:val="2"/>
        <w:spacing w:before="97" w:line="220" w:lineRule="auto"/>
        <w:ind w:left="2749"/>
        <w:rPr>
          <w:sz w:val="30"/>
          <w:szCs w:val="30"/>
        </w:rPr>
      </w:pPr>
      <w:r>
        <w:rPr>
          <w:b/>
          <w:bCs/>
          <w:spacing w:val="-4"/>
          <w:sz w:val="30"/>
          <w:szCs w:val="30"/>
        </w:rPr>
        <w:t>五、主要生态环境保护措施</w:t>
      </w:r>
    </w:p>
    <w:p w14:paraId="7ED592D2">
      <w:pPr>
        <w:spacing w:line="86" w:lineRule="exact"/>
      </w:pPr>
    </w:p>
    <w:tbl>
      <w:tblPr>
        <w:tblStyle w:val="5"/>
        <w:tblW w:w="90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4"/>
        <w:gridCol w:w="8499"/>
      </w:tblGrid>
      <w:tr w14:paraId="0CF1C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80" w:hRule="atLeast"/>
        </w:trPr>
        <w:tc>
          <w:tcPr>
            <w:tcW w:w="564" w:type="dxa"/>
            <w:tcBorders>
              <w:right w:val="single" w:color="000000" w:sz="2" w:space="0"/>
            </w:tcBorders>
            <w:vAlign w:val="top"/>
          </w:tcPr>
          <w:p w14:paraId="0CC8AA16">
            <w:pPr>
              <w:rPr>
                <w:rFonts w:ascii="Arial"/>
                <w:sz w:val="21"/>
              </w:rPr>
            </w:pPr>
          </w:p>
          <w:p w14:paraId="29D86A77">
            <w:pPr>
              <w:rPr>
                <w:rFonts w:ascii="Arial"/>
                <w:sz w:val="21"/>
              </w:rPr>
            </w:pPr>
          </w:p>
          <w:p w14:paraId="56EB32FE">
            <w:pPr>
              <w:rPr>
                <w:rFonts w:ascii="Arial"/>
                <w:sz w:val="21"/>
              </w:rPr>
            </w:pPr>
          </w:p>
          <w:p w14:paraId="6A36417B">
            <w:pPr>
              <w:rPr>
                <w:rFonts w:ascii="Arial"/>
                <w:sz w:val="21"/>
              </w:rPr>
            </w:pPr>
          </w:p>
          <w:p w14:paraId="12E61E69">
            <w:pPr>
              <w:rPr>
                <w:rFonts w:ascii="Arial"/>
                <w:sz w:val="21"/>
              </w:rPr>
            </w:pPr>
          </w:p>
          <w:p w14:paraId="553F61DD">
            <w:pPr>
              <w:rPr>
                <w:rFonts w:ascii="Arial"/>
                <w:sz w:val="21"/>
              </w:rPr>
            </w:pPr>
          </w:p>
          <w:p w14:paraId="2030F51A">
            <w:pPr>
              <w:rPr>
                <w:rFonts w:ascii="Arial"/>
                <w:sz w:val="21"/>
              </w:rPr>
            </w:pPr>
          </w:p>
          <w:p w14:paraId="34BCDC06">
            <w:pPr>
              <w:rPr>
                <w:rFonts w:ascii="Arial"/>
                <w:sz w:val="21"/>
              </w:rPr>
            </w:pPr>
          </w:p>
          <w:p w14:paraId="415B2D87">
            <w:pPr>
              <w:rPr>
                <w:rFonts w:ascii="Arial"/>
                <w:sz w:val="21"/>
              </w:rPr>
            </w:pPr>
          </w:p>
          <w:p w14:paraId="357CDB9D">
            <w:pPr>
              <w:rPr>
                <w:rFonts w:ascii="Arial"/>
                <w:sz w:val="21"/>
              </w:rPr>
            </w:pPr>
          </w:p>
          <w:p w14:paraId="6CC49D86">
            <w:pPr>
              <w:spacing w:line="241" w:lineRule="auto"/>
              <w:rPr>
                <w:rFonts w:ascii="Arial"/>
                <w:sz w:val="21"/>
              </w:rPr>
            </w:pPr>
          </w:p>
          <w:p w14:paraId="4A03C454">
            <w:pPr>
              <w:spacing w:line="241" w:lineRule="auto"/>
              <w:rPr>
                <w:rFonts w:ascii="Arial"/>
                <w:sz w:val="21"/>
              </w:rPr>
            </w:pPr>
          </w:p>
          <w:p w14:paraId="5892CFF5">
            <w:pPr>
              <w:spacing w:line="241" w:lineRule="auto"/>
              <w:rPr>
                <w:rFonts w:ascii="Arial"/>
                <w:sz w:val="21"/>
              </w:rPr>
            </w:pPr>
          </w:p>
          <w:p w14:paraId="74B75EFB">
            <w:pPr>
              <w:spacing w:line="241" w:lineRule="auto"/>
              <w:rPr>
                <w:rFonts w:ascii="Arial"/>
                <w:sz w:val="21"/>
              </w:rPr>
            </w:pPr>
          </w:p>
          <w:p w14:paraId="16F76B8F">
            <w:pPr>
              <w:spacing w:line="241" w:lineRule="auto"/>
              <w:rPr>
                <w:rFonts w:ascii="Arial"/>
                <w:sz w:val="21"/>
              </w:rPr>
            </w:pPr>
          </w:p>
          <w:p w14:paraId="3EAFE797">
            <w:pPr>
              <w:spacing w:line="241" w:lineRule="auto"/>
              <w:rPr>
                <w:rFonts w:ascii="Arial"/>
                <w:sz w:val="21"/>
              </w:rPr>
            </w:pPr>
          </w:p>
          <w:p w14:paraId="094F8AE4">
            <w:pPr>
              <w:spacing w:line="241" w:lineRule="auto"/>
              <w:rPr>
                <w:rFonts w:ascii="Arial"/>
                <w:sz w:val="21"/>
              </w:rPr>
            </w:pPr>
          </w:p>
          <w:p w14:paraId="3175D55A">
            <w:pPr>
              <w:spacing w:line="241" w:lineRule="auto"/>
              <w:rPr>
                <w:rFonts w:ascii="Arial"/>
                <w:sz w:val="21"/>
              </w:rPr>
            </w:pPr>
          </w:p>
          <w:p w14:paraId="66051629">
            <w:pPr>
              <w:spacing w:line="241" w:lineRule="auto"/>
              <w:rPr>
                <w:rFonts w:ascii="Arial"/>
                <w:sz w:val="21"/>
              </w:rPr>
            </w:pPr>
          </w:p>
          <w:p w14:paraId="60148172">
            <w:pPr>
              <w:spacing w:line="241" w:lineRule="auto"/>
              <w:rPr>
                <w:rFonts w:ascii="Arial"/>
                <w:sz w:val="21"/>
              </w:rPr>
            </w:pPr>
          </w:p>
          <w:p w14:paraId="15B218CF">
            <w:pPr>
              <w:spacing w:line="241" w:lineRule="auto"/>
              <w:rPr>
                <w:rFonts w:ascii="Arial"/>
                <w:sz w:val="21"/>
              </w:rPr>
            </w:pPr>
          </w:p>
          <w:p w14:paraId="4994017B">
            <w:pPr>
              <w:spacing w:line="241" w:lineRule="auto"/>
              <w:rPr>
                <w:rFonts w:ascii="Arial"/>
                <w:sz w:val="21"/>
              </w:rPr>
            </w:pPr>
          </w:p>
          <w:p w14:paraId="7F004C82">
            <w:pPr>
              <w:spacing w:line="241" w:lineRule="auto"/>
              <w:rPr>
                <w:rFonts w:ascii="Arial"/>
                <w:sz w:val="21"/>
              </w:rPr>
            </w:pPr>
          </w:p>
          <w:p w14:paraId="0FC568F0">
            <w:pPr>
              <w:pStyle w:val="6"/>
              <w:spacing w:before="78"/>
              <w:ind w:left="40" w:right="42"/>
              <w:jc w:val="both"/>
              <w:rPr>
                <w:sz w:val="24"/>
                <w:szCs w:val="24"/>
              </w:rPr>
            </w:pPr>
            <w:r>
              <w:rPr>
                <w:spacing w:val="-5"/>
                <w:sz w:val="24"/>
                <w:szCs w:val="24"/>
              </w:rPr>
              <w:t>施工期生态环境保护措</w:t>
            </w:r>
            <w:r>
              <w:rPr>
                <w:spacing w:val="36"/>
                <w:w w:val="131"/>
                <w:sz w:val="24"/>
                <w:szCs w:val="24"/>
              </w:rPr>
              <w:t>施</w:t>
            </w:r>
          </w:p>
        </w:tc>
        <w:tc>
          <w:tcPr>
            <w:tcW w:w="8499" w:type="dxa"/>
            <w:tcBorders>
              <w:left w:val="single" w:color="000000" w:sz="2" w:space="0"/>
            </w:tcBorders>
            <w:vAlign w:val="top"/>
          </w:tcPr>
          <w:p w14:paraId="59A823C9">
            <w:pPr>
              <w:pStyle w:val="6"/>
              <w:spacing w:before="41" w:line="220" w:lineRule="auto"/>
              <w:ind w:left="112"/>
              <w:rPr>
                <w:sz w:val="24"/>
                <w:szCs w:val="24"/>
              </w:rPr>
            </w:pPr>
            <w:r>
              <w:rPr>
                <w:b/>
                <w:bCs/>
                <w:spacing w:val="-4"/>
                <w:sz w:val="24"/>
                <w:szCs w:val="24"/>
              </w:rPr>
              <w:t>一、生态环境保护措施</w:t>
            </w:r>
          </w:p>
          <w:p w14:paraId="1423CB80">
            <w:pPr>
              <w:pStyle w:val="6"/>
              <w:spacing w:before="182" w:line="359" w:lineRule="auto"/>
              <w:ind w:left="106" w:right="22" w:firstLine="482"/>
              <w:jc w:val="both"/>
              <w:rPr>
                <w:sz w:val="24"/>
                <w:szCs w:val="24"/>
              </w:rPr>
            </w:pPr>
            <w:r>
              <w:rPr>
                <w:spacing w:val="-4"/>
                <w:sz w:val="24"/>
                <w:szCs w:val="24"/>
              </w:rPr>
              <w:t>本工程的实施将对工程建设区域的生态环境产生一定的影响，对于可能出现的生态问题，应该采取积极有效的避让、减缓、恢复等生态保护措施。按照生态</w:t>
            </w:r>
            <w:r>
              <w:rPr>
                <w:spacing w:val="-3"/>
                <w:sz w:val="24"/>
                <w:szCs w:val="24"/>
              </w:rPr>
              <w:t>恢复的原则其优先次序应遵循</w:t>
            </w:r>
            <w:r>
              <w:rPr>
                <w:rFonts w:ascii="Times New Roman" w:hAnsi="Times New Roman" w:eastAsia="Times New Roman" w:cs="Times New Roman"/>
                <w:spacing w:val="-3"/>
                <w:sz w:val="24"/>
                <w:szCs w:val="24"/>
              </w:rPr>
              <w:t>“</w:t>
            </w:r>
            <w:r>
              <w:rPr>
                <w:spacing w:val="-3"/>
                <w:sz w:val="24"/>
                <w:szCs w:val="24"/>
              </w:rPr>
              <w:t>避让</w:t>
            </w:r>
            <w:r>
              <w:rPr>
                <w:rFonts w:ascii="Times New Roman" w:hAnsi="Times New Roman" w:eastAsia="Times New Roman" w:cs="Times New Roman"/>
                <w:spacing w:val="-3"/>
                <w:sz w:val="24"/>
                <w:szCs w:val="24"/>
              </w:rPr>
              <w:t>→</w:t>
            </w:r>
            <w:r>
              <w:rPr>
                <w:spacing w:val="-3"/>
                <w:sz w:val="24"/>
                <w:szCs w:val="24"/>
              </w:rPr>
              <w:t>减缓</w:t>
            </w:r>
            <w:r>
              <w:rPr>
                <w:rFonts w:ascii="Times New Roman" w:hAnsi="Times New Roman" w:eastAsia="Times New Roman" w:cs="Times New Roman"/>
                <w:spacing w:val="-3"/>
                <w:sz w:val="24"/>
                <w:szCs w:val="24"/>
              </w:rPr>
              <w:t>→</w:t>
            </w:r>
            <w:r>
              <w:rPr>
                <w:spacing w:val="-3"/>
                <w:sz w:val="24"/>
                <w:szCs w:val="24"/>
              </w:rPr>
              <w:t>补</w:t>
            </w:r>
            <w:r>
              <w:rPr>
                <w:spacing w:val="-4"/>
                <w:sz w:val="24"/>
                <w:szCs w:val="24"/>
              </w:rPr>
              <w:t>偿和重建</w:t>
            </w:r>
            <w:r>
              <w:rPr>
                <w:rFonts w:ascii="Times New Roman" w:hAnsi="Times New Roman" w:eastAsia="Times New Roman" w:cs="Times New Roman"/>
                <w:spacing w:val="-4"/>
                <w:sz w:val="24"/>
                <w:szCs w:val="24"/>
              </w:rPr>
              <w:t>”</w:t>
            </w:r>
            <w:r>
              <w:rPr>
                <w:rFonts w:ascii="Times New Roman" w:hAnsi="Times New Roman" w:eastAsia="Times New Roman" w:cs="Times New Roman"/>
                <w:spacing w:val="-32"/>
                <w:sz w:val="24"/>
                <w:szCs w:val="24"/>
              </w:rPr>
              <w:t xml:space="preserve"> </w:t>
            </w:r>
            <w:r>
              <w:rPr>
                <w:spacing w:val="-4"/>
                <w:sz w:val="24"/>
                <w:szCs w:val="24"/>
              </w:rPr>
              <w:t>的顺序，能避让的尽量避让，对不能避让的情况则采取措施减缓，减缓不能生效的，设置必要的补偿和重建方案。尽可能在最大程度上避让潜在的不利生态影响。加强沿线植被、景观</w:t>
            </w:r>
            <w:r>
              <w:rPr>
                <w:spacing w:val="-8"/>
                <w:sz w:val="24"/>
                <w:szCs w:val="24"/>
              </w:rPr>
              <w:t>等自然环境的保护，使工程建设及运营对沿途景观、生态环境的影响减小至最低。</w:t>
            </w:r>
          </w:p>
          <w:p w14:paraId="38B28306">
            <w:pPr>
              <w:pStyle w:val="6"/>
              <w:spacing w:line="220" w:lineRule="auto"/>
              <w:ind w:left="115"/>
              <w:rPr>
                <w:sz w:val="24"/>
                <w:szCs w:val="24"/>
              </w:rPr>
            </w:pPr>
            <w:r>
              <w:rPr>
                <w:rFonts w:ascii="Times New Roman" w:hAnsi="Times New Roman" w:eastAsia="Times New Roman" w:cs="Times New Roman"/>
                <w:b/>
                <w:bCs/>
                <w:spacing w:val="-4"/>
                <w:sz w:val="24"/>
                <w:szCs w:val="24"/>
              </w:rPr>
              <w:t>1.1</w:t>
            </w:r>
            <w:r>
              <w:rPr>
                <w:b/>
                <w:bCs/>
                <w:spacing w:val="-4"/>
                <w:sz w:val="24"/>
                <w:szCs w:val="24"/>
              </w:rPr>
              <w:t>避让措施</w:t>
            </w:r>
          </w:p>
          <w:p w14:paraId="2E52EFD2">
            <w:pPr>
              <w:pStyle w:val="6"/>
              <w:spacing w:before="179" w:line="219" w:lineRule="auto"/>
              <w:ind w:left="607"/>
              <w:rPr>
                <w:sz w:val="24"/>
                <w:szCs w:val="24"/>
              </w:rPr>
            </w:pPr>
            <w:r>
              <w:rPr>
                <w:rFonts w:ascii="Times New Roman" w:hAnsi="Times New Roman" w:eastAsia="Times New Roman" w:cs="Times New Roman"/>
                <w:spacing w:val="-1"/>
                <w:sz w:val="24"/>
                <w:szCs w:val="24"/>
              </w:rPr>
              <w:t>1</w:t>
            </w:r>
            <w:r>
              <w:rPr>
                <w:spacing w:val="-1"/>
                <w:sz w:val="24"/>
                <w:szCs w:val="24"/>
              </w:rPr>
              <w:t>）优化线路路径走向和塔基选址，尽可能减少地</w:t>
            </w:r>
            <w:r>
              <w:rPr>
                <w:spacing w:val="-2"/>
                <w:sz w:val="24"/>
                <w:szCs w:val="24"/>
              </w:rPr>
              <w:t>表扰动；</w:t>
            </w:r>
          </w:p>
          <w:p w14:paraId="03DA447A">
            <w:pPr>
              <w:pStyle w:val="6"/>
              <w:spacing w:before="178" w:line="360" w:lineRule="auto"/>
              <w:ind w:left="108" w:right="102" w:firstLine="475"/>
              <w:rPr>
                <w:sz w:val="24"/>
                <w:szCs w:val="24"/>
              </w:rPr>
            </w:pPr>
            <w:r>
              <w:rPr>
                <w:rFonts w:ascii="Times New Roman" w:hAnsi="Times New Roman" w:eastAsia="Times New Roman" w:cs="Times New Roman"/>
                <w:sz w:val="24"/>
                <w:szCs w:val="24"/>
              </w:rPr>
              <w:t>2</w:t>
            </w:r>
            <w:r>
              <w:rPr>
                <w:sz w:val="24"/>
                <w:szCs w:val="24"/>
              </w:rPr>
              <w:t>）变电站施工材料运输利用附近已有高速公路、国道、乡村道路到达变电</w:t>
            </w:r>
            <w:r>
              <w:rPr>
                <w:spacing w:val="-3"/>
                <w:sz w:val="24"/>
                <w:szCs w:val="24"/>
              </w:rPr>
              <w:t>站，不新建施工道路；线路导线运至牵张场（不涉及基本农田</w:t>
            </w:r>
            <w:r>
              <w:rPr>
                <w:spacing w:val="-13"/>
                <w:sz w:val="24"/>
                <w:szCs w:val="24"/>
              </w:rPr>
              <w:t>），</w:t>
            </w:r>
            <w:r>
              <w:rPr>
                <w:spacing w:val="-3"/>
                <w:sz w:val="24"/>
                <w:szCs w:val="24"/>
              </w:rPr>
              <w:t>牵引架线时牵</w:t>
            </w:r>
            <w:r>
              <w:rPr>
                <w:spacing w:val="-4"/>
                <w:sz w:val="24"/>
                <w:szCs w:val="24"/>
              </w:rPr>
              <w:t>张场位于田间机耕路边，不设置施工便道；杆塔为可拆卸、组装角钢塔，零散材</w:t>
            </w:r>
            <w:r>
              <w:rPr>
                <w:spacing w:val="-1"/>
                <w:sz w:val="24"/>
                <w:szCs w:val="24"/>
              </w:rPr>
              <w:t>料运至附近机耕路，人抬或马驮至塔基处，不设置施工便道；</w:t>
            </w:r>
          </w:p>
          <w:p w14:paraId="043E0AD8">
            <w:pPr>
              <w:pStyle w:val="6"/>
              <w:spacing w:line="359" w:lineRule="auto"/>
              <w:ind w:left="108" w:right="160" w:firstLine="480"/>
              <w:rPr>
                <w:sz w:val="24"/>
                <w:szCs w:val="24"/>
              </w:rPr>
            </w:pPr>
            <w:r>
              <w:rPr>
                <w:rFonts w:ascii="Times New Roman" w:hAnsi="Times New Roman" w:eastAsia="Times New Roman" w:cs="Times New Roman"/>
                <w:spacing w:val="-2"/>
                <w:sz w:val="24"/>
                <w:szCs w:val="24"/>
              </w:rPr>
              <w:t>3</w:t>
            </w:r>
            <w:r>
              <w:rPr>
                <w:spacing w:val="-2"/>
                <w:sz w:val="24"/>
                <w:szCs w:val="24"/>
              </w:rPr>
              <w:t>）绿化工程应与主体工程同时设计。应注意选择符合项目区的乡土树种，禁止引入外来物种。</w:t>
            </w:r>
          </w:p>
          <w:p w14:paraId="4AC4861C">
            <w:pPr>
              <w:pStyle w:val="6"/>
              <w:spacing w:line="359" w:lineRule="auto"/>
              <w:ind w:left="111" w:right="142" w:firstLine="471"/>
              <w:rPr>
                <w:sz w:val="24"/>
                <w:szCs w:val="24"/>
              </w:rPr>
            </w:pPr>
            <w:r>
              <w:rPr>
                <w:rFonts w:ascii="Times New Roman" w:hAnsi="Times New Roman" w:eastAsia="Times New Roman" w:cs="Times New Roman"/>
                <w:spacing w:val="-1"/>
                <w:sz w:val="24"/>
                <w:szCs w:val="24"/>
              </w:rPr>
              <w:t>4</w:t>
            </w:r>
            <w:r>
              <w:rPr>
                <w:spacing w:val="-1"/>
                <w:sz w:val="24"/>
                <w:szCs w:val="24"/>
              </w:rPr>
              <w:t>）植被恢复设计主要从生态修复的角度出发，着重考虑植被的</w:t>
            </w:r>
            <w:r>
              <w:rPr>
                <w:spacing w:val="-2"/>
                <w:sz w:val="24"/>
                <w:szCs w:val="24"/>
              </w:rPr>
              <w:t>水土保持、</w:t>
            </w:r>
            <w:r>
              <w:rPr>
                <w:spacing w:val="-1"/>
                <w:sz w:val="24"/>
                <w:szCs w:val="24"/>
              </w:rPr>
              <w:t>水源涵养和生态环境保护的作用。</w:t>
            </w:r>
          </w:p>
          <w:p w14:paraId="29BBA268">
            <w:pPr>
              <w:pStyle w:val="6"/>
              <w:spacing w:line="359" w:lineRule="auto"/>
              <w:ind w:left="112" w:right="102" w:firstLine="478"/>
              <w:rPr>
                <w:sz w:val="24"/>
                <w:szCs w:val="24"/>
              </w:rPr>
            </w:pPr>
            <w:r>
              <w:rPr>
                <w:rFonts w:ascii="Times New Roman" w:hAnsi="Times New Roman" w:eastAsia="Times New Roman" w:cs="Times New Roman"/>
                <w:sz w:val="24"/>
                <w:szCs w:val="24"/>
              </w:rPr>
              <w:t>5</w:t>
            </w:r>
            <w:r>
              <w:rPr>
                <w:sz w:val="24"/>
                <w:szCs w:val="24"/>
              </w:rPr>
              <w:t>）从保护环境的角度，应对施工扰动区范围内的表土进行剥</w:t>
            </w:r>
            <w:r>
              <w:rPr>
                <w:spacing w:val="-1"/>
                <w:sz w:val="24"/>
                <w:szCs w:val="24"/>
              </w:rPr>
              <w:t>离存放，以满</w:t>
            </w:r>
            <w:r>
              <w:rPr>
                <w:spacing w:val="-2"/>
                <w:sz w:val="24"/>
                <w:szCs w:val="24"/>
              </w:rPr>
              <w:t>足施工结束植被恢复需求。</w:t>
            </w:r>
          </w:p>
          <w:p w14:paraId="370108D3">
            <w:pPr>
              <w:pStyle w:val="6"/>
              <w:spacing w:before="3" w:line="358" w:lineRule="auto"/>
              <w:ind w:left="110" w:right="102" w:firstLine="479"/>
              <w:rPr>
                <w:sz w:val="24"/>
                <w:szCs w:val="24"/>
              </w:rPr>
            </w:pPr>
            <w:r>
              <w:rPr>
                <w:rFonts w:ascii="Times New Roman" w:hAnsi="Times New Roman" w:eastAsia="Times New Roman" w:cs="Times New Roman"/>
                <w:sz w:val="24"/>
                <w:szCs w:val="24"/>
              </w:rPr>
              <w:t>6</w:t>
            </w:r>
            <w:r>
              <w:rPr>
                <w:sz w:val="24"/>
                <w:szCs w:val="24"/>
              </w:rPr>
              <w:t>）对确实无法避让的基本农田，尽可能减少跨越长度，采用高</w:t>
            </w:r>
            <w:r>
              <w:rPr>
                <w:spacing w:val="-1"/>
                <w:sz w:val="24"/>
                <w:szCs w:val="24"/>
              </w:rPr>
              <w:t>塔跨越，尽</w:t>
            </w:r>
            <w:r>
              <w:rPr>
                <w:spacing w:val="-4"/>
                <w:sz w:val="24"/>
                <w:szCs w:val="24"/>
              </w:rPr>
              <w:t>可能避让基本农田，从源头上减少破坏，避免其对生态环境敏感目标的结构、功</w:t>
            </w:r>
            <w:r>
              <w:rPr>
                <w:spacing w:val="-2"/>
                <w:sz w:val="24"/>
                <w:szCs w:val="24"/>
              </w:rPr>
              <w:t>能造成影响。</w:t>
            </w:r>
          </w:p>
          <w:p w14:paraId="68812B57">
            <w:pPr>
              <w:pStyle w:val="6"/>
              <w:spacing w:line="219" w:lineRule="auto"/>
              <w:ind w:left="115"/>
              <w:rPr>
                <w:sz w:val="24"/>
                <w:szCs w:val="24"/>
              </w:rPr>
            </w:pPr>
            <w:r>
              <w:rPr>
                <w:rFonts w:ascii="Times New Roman" w:hAnsi="Times New Roman" w:eastAsia="Times New Roman" w:cs="Times New Roman"/>
                <w:b/>
                <w:bCs/>
                <w:spacing w:val="-4"/>
                <w:sz w:val="24"/>
                <w:szCs w:val="24"/>
              </w:rPr>
              <w:t>1.2</w:t>
            </w:r>
            <w:r>
              <w:rPr>
                <w:b/>
                <w:bCs/>
                <w:spacing w:val="-4"/>
                <w:sz w:val="24"/>
                <w:szCs w:val="24"/>
              </w:rPr>
              <w:t>减缓措施</w:t>
            </w:r>
          </w:p>
          <w:p w14:paraId="71D31150">
            <w:pPr>
              <w:pStyle w:val="6"/>
              <w:spacing w:before="182" w:line="359" w:lineRule="auto"/>
              <w:ind w:left="109" w:right="40" w:firstLine="497"/>
              <w:rPr>
                <w:sz w:val="24"/>
                <w:szCs w:val="24"/>
              </w:rPr>
            </w:pPr>
            <w:r>
              <w:rPr>
                <w:rFonts w:ascii="Times New Roman" w:hAnsi="Times New Roman" w:eastAsia="Times New Roman" w:cs="Times New Roman"/>
                <w:spacing w:val="-6"/>
                <w:sz w:val="24"/>
                <w:szCs w:val="24"/>
              </w:rPr>
              <w:t>1</w:t>
            </w:r>
            <w:r>
              <w:rPr>
                <w:spacing w:val="-6"/>
                <w:sz w:val="24"/>
                <w:szCs w:val="24"/>
              </w:rPr>
              <w:t>）建议建设单位以合同形式要求施工单位在施工过程中必须按照设计要求，</w:t>
            </w:r>
            <w:r>
              <w:rPr>
                <w:spacing w:val="-4"/>
                <w:sz w:val="24"/>
                <w:szCs w:val="24"/>
              </w:rPr>
              <w:t>严格控制开挖范围及开挖量，变电站施工活动限制在站区范围内，输电线路施工</w:t>
            </w:r>
            <w:r>
              <w:rPr>
                <w:spacing w:val="-1"/>
                <w:sz w:val="24"/>
                <w:szCs w:val="24"/>
              </w:rPr>
              <w:t>限制在事先划定的施工区内。</w:t>
            </w:r>
          </w:p>
          <w:p w14:paraId="7B669E08">
            <w:pPr>
              <w:pStyle w:val="6"/>
              <w:spacing w:before="1" w:line="343" w:lineRule="auto"/>
              <w:ind w:left="107" w:right="40" w:firstLine="476"/>
              <w:rPr>
                <w:sz w:val="24"/>
                <w:szCs w:val="24"/>
              </w:rPr>
            </w:pPr>
            <w:r>
              <w:rPr>
                <w:rFonts w:ascii="Times New Roman" w:hAnsi="Times New Roman" w:eastAsia="Times New Roman" w:cs="Times New Roman"/>
                <w:spacing w:val="-5"/>
                <w:sz w:val="24"/>
                <w:szCs w:val="24"/>
              </w:rPr>
              <w:t>2</w:t>
            </w:r>
            <w:r>
              <w:rPr>
                <w:spacing w:val="-5"/>
                <w:sz w:val="24"/>
                <w:szCs w:val="24"/>
              </w:rPr>
              <w:t>）变电站新建工程在施工过程中应按图施工，严格控制开</w:t>
            </w:r>
            <w:r>
              <w:rPr>
                <w:spacing w:val="-6"/>
                <w:sz w:val="24"/>
                <w:szCs w:val="24"/>
              </w:rPr>
              <w:t>挖范围及开挖量，</w:t>
            </w:r>
            <w:r>
              <w:rPr>
                <w:spacing w:val="-4"/>
                <w:sz w:val="24"/>
                <w:szCs w:val="24"/>
              </w:rPr>
              <w:t>施工基础开挖多余的土石方应集中堆置，不允许随意处置，尽量减少地表植被占</w:t>
            </w:r>
          </w:p>
        </w:tc>
      </w:tr>
    </w:tbl>
    <w:p w14:paraId="2D88A12C">
      <w:pPr>
        <w:rPr>
          <w:rFonts w:ascii="Arial"/>
          <w:sz w:val="21"/>
        </w:rPr>
      </w:pPr>
    </w:p>
    <w:p w14:paraId="7AF0F7CC">
      <w:pPr>
        <w:rPr>
          <w:rFonts w:ascii="Arial" w:hAnsi="Arial" w:eastAsia="Arial" w:cs="Arial"/>
          <w:sz w:val="21"/>
          <w:szCs w:val="21"/>
        </w:rPr>
        <w:sectPr>
          <w:footerReference r:id="rId129" w:type="default"/>
          <w:pgSz w:w="11907" w:h="16840"/>
          <w:pgMar w:top="400" w:right="1301" w:bottom="1240" w:left="1527" w:header="0" w:footer="1077" w:gutter="0"/>
          <w:cols w:space="720" w:num="1"/>
        </w:sectPr>
      </w:pPr>
    </w:p>
    <w:p w14:paraId="463D24D1">
      <w:pPr>
        <w:spacing w:before="13"/>
      </w:pPr>
    </w:p>
    <w:p w14:paraId="26DD9DBB">
      <w:pPr>
        <w:spacing w:before="13"/>
      </w:pPr>
    </w:p>
    <w:p w14:paraId="267C3D85">
      <w:pPr>
        <w:spacing w:before="13"/>
      </w:pPr>
    </w:p>
    <w:p w14:paraId="34F12BCD">
      <w:pPr>
        <w:spacing w:before="12"/>
      </w:pPr>
    </w:p>
    <w:tbl>
      <w:tblPr>
        <w:tblStyle w:val="5"/>
        <w:tblW w:w="90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4"/>
        <w:gridCol w:w="8499"/>
      </w:tblGrid>
      <w:tr w14:paraId="7BECD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46" w:hRule="atLeast"/>
        </w:trPr>
        <w:tc>
          <w:tcPr>
            <w:tcW w:w="564" w:type="dxa"/>
            <w:tcBorders>
              <w:right w:val="single" w:color="000000" w:sz="2" w:space="0"/>
            </w:tcBorders>
            <w:vAlign w:val="top"/>
          </w:tcPr>
          <w:p w14:paraId="35939047">
            <w:pPr>
              <w:rPr>
                <w:rFonts w:ascii="Arial"/>
                <w:sz w:val="21"/>
              </w:rPr>
            </w:pPr>
          </w:p>
        </w:tc>
        <w:tc>
          <w:tcPr>
            <w:tcW w:w="8499" w:type="dxa"/>
            <w:tcBorders>
              <w:left w:val="single" w:color="000000" w:sz="2" w:space="0"/>
            </w:tcBorders>
            <w:vAlign w:val="top"/>
          </w:tcPr>
          <w:p w14:paraId="4AC7B122">
            <w:pPr>
              <w:pStyle w:val="6"/>
              <w:spacing w:before="40" w:line="359" w:lineRule="auto"/>
              <w:ind w:left="109" w:right="102"/>
              <w:rPr>
                <w:sz w:val="24"/>
                <w:szCs w:val="24"/>
              </w:rPr>
            </w:pPr>
            <w:r>
              <w:rPr>
                <w:spacing w:val="-4"/>
                <w:sz w:val="24"/>
                <w:szCs w:val="24"/>
              </w:rPr>
              <w:t>用和破坏范围。变电站间隔扩建工程施工应在站区范围内进行，文明施工，集中</w:t>
            </w:r>
            <w:r>
              <w:rPr>
                <w:spacing w:val="-1"/>
                <w:sz w:val="24"/>
                <w:szCs w:val="24"/>
              </w:rPr>
              <w:t>堆放材料，严禁踩踏施工区域外地表植被。</w:t>
            </w:r>
          </w:p>
          <w:p w14:paraId="6BD6E5E3">
            <w:pPr>
              <w:pStyle w:val="6"/>
              <w:spacing w:line="359" w:lineRule="auto"/>
              <w:ind w:left="109" w:right="109" w:firstLine="479"/>
              <w:rPr>
                <w:sz w:val="24"/>
                <w:szCs w:val="24"/>
              </w:rPr>
            </w:pPr>
            <w:r>
              <w:rPr>
                <w:rFonts w:ascii="Times New Roman" w:hAnsi="Times New Roman" w:eastAsia="Times New Roman" w:cs="Times New Roman"/>
                <w:sz w:val="24"/>
                <w:szCs w:val="24"/>
              </w:rPr>
              <w:t>3</w:t>
            </w:r>
            <w:r>
              <w:rPr>
                <w:sz w:val="24"/>
                <w:szCs w:val="24"/>
              </w:rPr>
              <w:t>）项目施工前对工程占用区域可利用的表土进行</w:t>
            </w:r>
            <w:r>
              <w:rPr>
                <w:spacing w:val="-1"/>
                <w:sz w:val="24"/>
                <w:szCs w:val="24"/>
              </w:rPr>
              <w:t>剥离，分层堆放，注意表土保护，施工结束后按原土层顺序分层回填，以利于后期植被恢复。</w:t>
            </w:r>
          </w:p>
          <w:p w14:paraId="07608AA6">
            <w:pPr>
              <w:pStyle w:val="6"/>
              <w:spacing w:line="359" w:lineRule="auto"/>
              <w:ind w:left="108" w:right="102" w:firstLine="474"/>
              <w:rPr>
                <w:sz w:val="24"/>
                <w:szCs w:val="24"/>
              </w:rPr>
            </w:pPr>
            <w:r>
              <w:rPr>
                <w:rFonts w:ascii="Times New Roman" w:hAnsi="Times New Roman" w:eastAsia="Times New Roman" w:cs="Times New Roman"/>
                <w:sz w:val="24"/>
                <w:szCs w:val="24"/>
              </w:rPr>
              <w:t>4</w:t>
            </w:r>
            <w:r>
              <w:rPr>
                <w:sz w:val="24"/>
                <w:szCs w:val="24"/>
              </w:rPr>
              <w:t>）减少临时占地占用的农田、耕地面积，必要时用彩条布、钢板等隔离，</w:t>
            </w:r>
            <w:r>
              <w:rPr>
                <w:spacing w:val="-4"/>
                <w:sz w:val="24"/>
                <w:szCs w:val="24"/>
              </w:rPr>
              <w:t>减少对农田、耕地的耕作层土壤的扰动和破坏；材料运输过程中可能导致少量砂石、水泥洒落，施工场地也会产生部分建筑垃圾，因此在工程完工后应及时清除</w:t>
            </w:r>
            <w:r>
              <w:rPr>
                <w:spacing w:val="-1"/>
                <w:sz w:val="24"/>
                <w:szCs w:val="24"/>
              </w:rPr>
              <w:t>各种残留的建筑垃圾。</w:t>
            </w:r>
          </w:p>
          <w:p w14:paraId="4BABABD3">
            <w:pPr>
              <w:pStyle w:val="6"/>
              <w:spacing w:line="359" w:lineRule="auto"/>
              <w:ind w:left="109" w:right="22" w:firstLine="481"/>
              <w:rPr>
                <w:sz w:val="24"/>
                <w:szCs w:val="24"/>
              </w:rPr>
            </w:pPr>
            <w:r>
              <w:rPr>
                <w:rFonts w:ascii="Times New Roman" w:hAnsi="Times New Roman" w:eastAsia="Times New Roman" w:cs="Times New Roman"/>
                <w:sz w:val="24"/>
                <w:szCs w:val="24"/>
              </w:rPr>
              <w:t>5</w:t>
            </w:r>
            <w:r>
              <w:rPr>
                <w:sz w:val="24"/>
                <w:szCs w:val="24"/>
              </w:rPr>
              <w:t>）加强施工人员对野生动物和生态环境的保</w:t>
            </w:r>
            <w:r>
              <w:rPr>
                <w:spacing w:val="-1"/>
                <w:sz w:val="24"/>
                <w:szCs w:val="24"/>
              </w:rPr>
              <w:t>护意识，禁止猎杀兽类、鸟类</w:t>
            </w:r>
            <w:r>
              <w:rPr>
                <w:spacing w:val="-8"/>
                <w:sz w:val="24"/>
                <w:szCs w:val="24"/>
              </w:rPr>
              <w:t>和捕蛇捉蛙，施工过程中遇到鸟、蛇等动物的卵已妥善移置到附近类似的环境中。</w:t>
            </w:r>
            <w:r>
              <w:rPr>
                <w:spacing w:val="-4"/>
                <w:sz w:val="24"/>
                <w:szCs w:val="24"/>
              </w:rPr>
              <w:t>为消减施工队伍对野生动植物的影响，标明了施工活动区，严令禁止到非施工区</w:t>
            </w:r>
            <w:r>
              <w:rPr>
                <w:spacing w:val="-1"/>
                <w:sz w:val="24"/>
                <w:szCs w:val="24"/>
              </w:rPr>
              <w:t>域活动，尤其禁止在非施工区点火、狩猎等。</w:t>
            </w:r>
          </w:p>
          <w:p w14:paraId="185E93E2">
            <w:pPr>
              <w:pStyle w:val="6"/>
              <w:spacing w:line="359" w:lineRule="auto"/>
              <w:ind w:left="114" w:right="109" w:firstLine="475"/>
              <w:rPr>
                <w:sz w:val="24"/>
                <w:szCs w:val="24"/>
              </w:rPr>
            </w:pPr>
            <w:r>
              <w:rPr>
                <w:rFonts w:ascii="Times New Roman" w:hAnsi="Times New Roman" w:eastAsia="Times New Roman" w:cs="Times New Roman"/>
                <w:sz w:val="24"/>
                <w:szCs w:val="24"/>
              </w:rPr>
              <w:t>6</w:t>
            </w:r>
            <w:r>
              <w:rPr>
                <w:sz w:val="24"/>
                <w:szCs w:val="24"/>
              </w:rPr>
              <w:t>）施工期间的噪声问题从源头上把握，工程施</w:t>
            </w:r>
            <w:r>
              <w:rPr>
                <w:spacing w:val="-1"/>
                <w:sz w:val="24"/>
                <w:szCs w:val="24"/>
              </w:rPr>
              <w:t>工设备选取了噪声较低的型号，并合理安排了强噪声施工行为的时间，减少施工噪声对野生动物的干扰。</w:t>
            </w:r>
          </w:p>
          <w:p w14:paraId="4B26D985">
            <w:pPr>
              <w:pStyle w:val="6"/>
              <w:spacing w:line="219" w:lineRule="auto"/>
              <w:ind w:left="115"/>
              <w:rPr>
                <w:sz w:val="24"/>
                <w:szCs w:val="24"/>
              </w:rPr>
            </w:pPr>
            <w:r>
              <w:rPr>
                <w:rFonts w:ascii="Times New Roman" w:hAnsi="Times New Roman" w:eastAsia="Times New Roman" w:cs="Times New Roman"/>
                <w:b/>
                <w:bCs/>
                <w:spacing w:val="-4"/>
                <w:sz w:val="24"/>
                <w:szCs w:val="24"/>
              </w:rPr>
              <w:t>1.3</w:t>
            </w:r>
            <w:r>
              <w:rPr>
                <w:b/>
                <w:bCs/>
                <w:spacing w:val="-4"/>
                <w:sz w:val="24"/>
                <w:szCs w:val="24"/>
              </w:rPr>
              <w:t>修复措施</w:t>
            </w:r>
          </w:p>
          <w:p w14:paraId="5113904C">
            <w:pPr>
              <w:pStyle w:val="6"/>
              <w:spacing w:before="183" w:line="219" w:lineRule="auto"/>
              <w:ind w:left="607"/>
              <w:rPr>
                <w:sz w:val="24"/>
                <w:szCs w:val="24"/>
              </w:rPr>
            </w:pPr>
            <w:r>
              <w:rPr>
                <w:rFonts w:ascii="Times New Roman" w:hAnsi="Times New Roman" w:eastAsia="Times New Roman" w:cs="Times New Roman"/>
                <w:spacing w:val="-1"/>
                <w:sz w:val="24"/>
                <w:szCs w:val="24"/>
              </w:rPr>
              <w:t>1</w:t>
            </w:r>
            <w:r>
              <w:rPr>
                <w:spacing w:val="-1"/>
                <w:sz w:val="24"/>
                <w:szCs w:val="24"/>
              </w:rPr>
              <w:t>）在植被修复过程中，尽量保护施工占地区域原有体系的生态环境。</w:t>
            </w:r>
          </w:p>
          <w:p w14:paraId="33D1F979">
            <w:pPr>
              <w:pStyle w:val="6"/>
              <w:spacing w:before="182" w:line="359" w:lineRule="auto"/>
              <w:ind w:left="128" w:right="102" w:firstLine="455"/>
              <w:rPr>
                <w:sz w:val="24"/>
                <w:szCs w:val="24"/>
              </w:rPr>
            </w:pPr>
            <w:r>
              <w:rPr>
                <w:rFonts w:ascii="Times New Roman" w:hAnsi="Times New Roman" w:eastAsia="Times New Roman" w:cs="Times New Roman"/>
                <w:sz w:val="24"/>
                <w:szCs w:val="24"/>
              </w:rPr>
              <w:t>2</w:t>
            </w:r>
            <w:r>
              <w:rPr>
                <w:sz w:val="24"/>
                <w:szCs w:val="24"/>
              </w:rPr>
              <w:t>）防止外来入侵物种的扩散，在原生境下有分布外来物种</w:t>
            </w:r>
            <w:r>
              <w:rPr>
                <w:spacing w:val="-1"/>
                <w:sz w:val="24"/>
                <w:szCs w:val="24"/>
              </w:rPr>
              <w:t>的情况，对已有</w:t>
            </w:r>
            <w:r>
              <w:rPr>
                <w:spacing w:val="-4"/>
                <w:sz w:val="24"/>
                <w:szCs w:val="24"/>
              </w:rPr>
              <w:t>的外来物种进行铲除，并针对其入侵机制对土壤等生境进行改良，保证植</w:t>
            </w:r>
            <w:r>
              <w:rPr>
                <w:spacing w:val="-5"/>
                <w:sz w:val="24"/>
                <w:szCs w:val="24"/>
              </w:rPr>
              <w:t>被修复</w:t>
            </w:r>
            <w:r>
              <w:rPr>
                <w:spacing w:val="-8"/>
                <w:sz w:val="24"/>
                <w:szCs w:val="24"/>
              </w:rPr>
              <w:t>的效率。</w:t>
            </w:r>
          </w:p>
          <w:p w14:paraId="6E1C6408">
            <w:pPr>
              <w:pStyle w:val="6"/>
              <w:spacing w:line="359" w:lineRule="auto"/>
              <w:ind w:left="110" w:right="109" w:firstLine="478"/>
              <w:rPr>
                <w:sz w:val="24"/>
                <w:szCs w:val="24"/>
              </w:rPr>
            </w:pPr>
            <w:r>
              <w:rPr>
                <w:rFonts w:ascii="Times New Roman" w:hAnsi="Times New Roman" w:eastAsia="Times New Roman" w:cs="Times New Roman"/>
                <w:sz w:val="24"/>
                <w:szCs w:val="24"/>
              </w:rPr>
              <w:t>3</w:t>
            </w:r>
            <w:r>
              <w:rPr>
                <w:sz w:val="24"/>
                <w:szCs w:val="24"/>
              </w:rPr>
              <w:t>）可根据评价区生态环境特点以及植被现状，选</w:t>
            </w:r>
            <w:r>
              <w:rPr>
                <w:spacing w:val="-1"/>
                <w:sz w:val="24"/>
                <w:szCs w:val="24"/>
              </w:rPr>
              <w:t>择区域乡土物种进行植被恢复，保证绿化栽植的成活率。</w:t>
            </w:r>
          </w:p>
          <w:p w14:paraId="04CDB608">
            <w:pPr>
              <w:pStyle w:val="6"/>
              <w:spacing w:line="220" w:lineRule="auto"/>
              <w:ind w:left="115"/>
              <w:rPr>
                <w:sz w:val="24"/>
                <w:szCs w:val="24"/>
              </w:rPr>
            </w:pPr>
            <w:r>
              <w:rPr>
                <w:rFonts w:ascii="Times New Roman" w:hAnsi="Times New Roman" w:eastAsia="Times New Roman" w:cs="Times New Roman"/>
                <w:b/>
                <w:bCs/>
                <w:spacing w:val="-4"/>
                <w:sz w:val="24"/>
                <w:szCs w:val="24"/>
              </w:rPr>
              <w:t>1.4</w:t>
            </w:r>
            <w:r>
              <w:rPr>
                <w:b/>
                <w:bCs/>
                <w:spacing w:val="-4"/>
                <w:sz w:val="24"/>
                <w:szCs w:val="24"/>
              </w:rPr>
              <w:t>补偿措施</w:t>
            </w:r>
          </w:p>
          <w:p w14:paraId="5E56EC2C">
            <w:pPr>
              <w:pStyle w:val="6"/>
              <w:spacing w:before="182" w:line="359" w:lineRule="auto"/>
              <w:ind w:left="108" w:right="109" w:firstLine="498"/>
              <w:rPr>
                <w:sz w:val="24"/>
                <w:szCs w:val="24"/>
              </w:rPr>
            </w:pPr>
            <w:r>
              <w:rPr>
                <w:rFonts w:ascii="Times New Roman" w:hAnsi="Times New Roman" w:eastAsia="Times New Roman" w:cs="Times New Roman"/>
                <w:spacing w:val="-1"/>
                <w:sz w:val="24"/>
                <w:szCs w:val="24"/>
              </w:rPr>
              <w:t>1</w:t>
            </w:r>
            <w:r>
              <w:rPr>
                <w:spacing w:val="-1"/>
                <w:sz w:val="24"/>
                <w:szCs w:val="24"/>
              </w:rPr>
              <w:t>）估算生态补偿费用以开展相关生态保护工作，使本工程建设及运行对生态环境产生的不利环境影响得到恢复。</w:t>
            </w:r>
          </w:p>
          <w:p w14:paraId="0320A82F">
            <w:pPr>
              <w:pStyle w:val="6"/>
              <w:spacing w:before="1" w:line="359" w:lineRule="auto"/>
              <w:ind w:left="110" w:right="109" w:firstLine="473"/>
              <w:rPr>
                <w:sz w:val="24"/>
                <w:szCs w:val="24"/>
              </w:rPr>
            </w:pPr>
            <w:r>
              <w:rPr>
                <w:rFonts w:ascii="Times New Roman" w:hAnsi="Times New Roman" w:eastAsia="Times New Roman" w:cs="Times New Roman"/>
                <w:sz w:val="24"/>
                <w:szCs w:val="24"/>
              </w:rPr>
              <w:t>2</w:t>
            </w:r>
            <w:r>
              <w:rPr>
                <w:sz w:val="24"/>
                <w:szCs w:val="24"/>
              </w:rPr>
              <w:t>）依托本工程建设单位作为补偿主体，划定生态保护及恢</w:t>
            </w:r>
            <w:r>
              <w:rPr>
                <w:spacing w:val="-1"/>
                <w:sz w:val="24"/>
                <w:szCs w:val="24"/>
              </w:rPr>
              <w:t>复工程的相关费</w:t>
            </w:r>
            <w:r>
              <w:rPr>
                <w:spacing w:val="-6"/>
                <w:sz w:val="24"/>
                <w:szCs w:val="24"/>
              </w:rPr>
              <w:t>用。</w:t>
            </w:r>
          </w:p>
          <w:p w14:paraId="62D7E36C">
            <w:pPr>
              <w:pStyle w:val="6"/>
              <w:spacing w:line="219" w:lineRule="auto"/>
              <w:ind w:left="589"/>
              <w:rPr>
                <w:sz w:val="24"/>
                <w:szCs w:val="24"/>
              </w:rPr>
            </w:pPr>
            <w:r>
              <w:rPr>
                <w:rFonts w:ascii="Times New Roman" w:hAnsi="Times New Roman" w:eastAsia="Times New Roman" w:cs="Times New Roman"/>
                <w:spacing w:val="-1"/>
                <w:sz w:val="24"/>
                <w:szCs w:val="24"/>
              </w:rPr>
              <w:t>3</w:t>
            </w:r>
            <w:r>
              <w:rPr>
                <w:spacing w:val="-1"/>
                <w:sz w:val="24"/>
                <w:szCs w:val="24"/>
              </w:rPr>
              <w:t>）以资金方式补偿，保障生态环保工作的实施效果。</w:t>
            </w:r>
          </w:p>
          <w:p w14:paraId="7F8886BC">
            <w:pPr>
              <w:pStyle w:val="6"/>
              <w:spacing w:before="181" w:line="219" w:lineRule="auto"/>
              <w:ind w:left="115"/>
              <w:rPr>
                <w:sz w:val="24"/>
                <w:szCs w:val="24"/>
              </w:rPr>
            </w:pPr>
            <w:r>
              <w:rPr>
                <w:rFonts w:ascii="Times New Roman" w:hAnsi="Times New Roman" w:eastAsia="Times New Roman" w:cs="Times New Roman"/>
                <w:b/>
                <w:bCs/>
                <w:spacing w:val="-4"/>
                <w:sz w:val="24"/>
                <w:szCs w:val="24"/>
              </w:rPr>
              <w:t>1.5</w:t>
            </w:r>
            <w:r>
              <w:rPr>
                <w:b/>
                <w:bCs/>
                <w:spacing w:val="-4"/>
                <w:sz w:val="24"/>
                <w:szCs w:val="24"/>
              </w:rPr>
              <w:t>管理措施</w:t>
            </w:r>
          </w:p>
          <w:p w14:paraId="4F279D6D">
            <w:pPr>
              <w:pStyle w:val="6"/>
              <w:spacing w:before="182" w:line="219" w:lineRule="auto"/>
              <w:jc w:val="right"/>
              <w:rPr>
                <w:sz w:val="24"/>
                <w:szCs w:val="24"/>
              </w:rPr>
            </w:pPr>
            <w:r>
              <w:rPr>
                <w:rFonts w:ascii="Times New Roman" w:hAnsi="Times New Roman" w:eastAsia="Times New Roman" w:cs="Times New Roman"/>
                <w:spacing w:val="-6"/>
                <w:sz w:val="24"/>
                <w:szCs w:val="24"/>
              </w:rPr>
              <w:t>1</w:t>
            </w:r>
            <w:r>
              <w:rPr>
                <w:spacing w:val="-6"/>
                <w:sz w:val="24"/>
                <w:szCs w:val="24"/>
              </w:rPr>
              <w:t>）施工前印发环境保护手册，组织专业人员对施工人员进行环保宣传教育，</w:t>
            </w:r>
          </w:p>
        </w:tc>
      </w:tr>
    </w:tbl>
    <w:p w14:paraId="269F140C">
      <w:pPr>
        <w:rPr>
          <w:rFonts w:ascii="Arial"/>
          <w:sz w:val="21"/>
        </w:rPr>
      </w:pPr>
    </w:p>
    <w:p w14:paraId="080E57B4">
      <w:pPr>
        <w:rPr>
          <w:rFonts w:ascii="Arial" w:hAnsi="Arial" w:eastAsia="Arial" w:cs="Arial"/>
          <w:sz w:val="21"/>
          <w:szCs w:val="21"/>
        </w:rPr>
        <w:sectPr>
          <w:footerReference r:id="rId130" w:type="default"/>
          <w:pgSz w:w="11907" w:h="16840"/>
          <w:pgMar w:top="400" w:right="1301" w:bottom="1240" w:left="1527" w:header="0" w:footer="1077" w:gutter="0"/>
          <w:cols w:space="720" w:num="1"/>
        </w:sectPr>
      </w:pPr>
    </w:p>
    <w:p w14:paraId="1905DC1F">
      <w:pPr>
        <w:spacing w:before="13"/>
      </w:pPr>
    </w:p>
    <w:p w14:paraId="64CFDEE9">
      <w:pPr>
        <w:spacing w:before="13"/>
      </w:pPr>
    </w:p>
    <w:p w14:paraId="6AA9E284">
      <w:pPr>
        <w:spacing w:before="13"/>
      </w:pPr>
    </w:p>
    <w:p w14:paraId="54F51578">
      <w:pPr>
        <w:spacing w:before="12"/>
      </w:pPr>
    </w:p>
    <w:tbl>
      <w:tblPr>
        <w:tblStyle w:val="5"/>
        <w:tblW w:w="90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4"/>
        <w:gridCol w:w="8499"/>
      </w:tblGrid>
      <w:tr w14:paraId="1BFDB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46" w:hRule="atLeast"/>
        </w:trPr>
        <w:tc>
          <w:tcPr>
            <w:tcW w:w="564" w:type="dxa"/>
            <w:tcBorders>
              <w:right w:val="single" w:color="000000" w:sz="2" w:space="0"/>
            </w:tcBorders>
            <w:vAlign w:val="top"/>
          </w:tcPr>
          <w:p w14:paraId="5C40A6E2">
            <w:pPr>
              <w:rPr>
                <w:rFonts w:ascii="Arial"/>
                <w:sz w:val="21"/>
              </w:rPr>
            </w:pPr>
          </w:p>
        </w:tc>
        <w:tc>
          <w:tcPr>
            <w:tcW w:w="8499" w:type="dxa"/>
            <w:tcBorders>
              <w:left w:val="single" w:color="000000" w:sz="2" w:space="0"/>
            </w:tcBorders>
            <w:vAlign w:val="top"/>
          </w:tcPr>
          <w:p w14:paraId="58B128AF">
            <w:pPr>
              <w:pStyle w:val="6"/>
              <w:spacing w:before="40" w:line="219" w:lineRule="auto"/>
              <w:ind w:left="107"/>
              <w:rPr>
                <w:sz w:val="24"/>
                <w:szCs w:val="24"/>
              </w:rPr>
            </w:pPr>
            <w:r>
              <w:rPr>
                <w:sz w:val="24"/>
                <w:szCs w:val="24"/>
              </w:rPr>
              <w:t>在施工期严格控制施工红线，严格行为规范，</w:t>
            </w:r>
            <w:r>
              <w:rPr>
                <w:spacing w:val="-1"/>
                <w:sz w:val="24"/>
                <w:szCs w:val="24"/>
              </w:rPr>
              <w:t>进行必要的管理监督。</w:t>
            </w:r>
          </w:p>
          <w:p w14:paraId="54511692">
            <w:pPr>
              <w:pStyle w:val="6"/>
              <w:spacing w:before="178" w:line="360" w:lineRule="auto"/>
              <w:ind w:left="108" w:right="102" w:firstLine="475"/>
              <w:rPr>
                <w:sz w:val="24"/>
                <w:szCs w:val="24"/>
              </w:rPr>
            </w:pPr>
            <w:r>
              <w:rPr>
                <w:rFonts w:ascii="Times New Roman" w:hAnsi="Times New Roman" w:eastAsia="Times New Roman" w:cs="Times New Roman"/>
                <w:sz w:val="24"/>
                <w:szCs w:val="24"/>
              </w:rPr>
              <w:t>2</w:t>
            </w:r>
            <w:r>
              <w:rPr>
                <w:sz w:val="24"/>
                <w:szCs w:val="24"/>
              </w:rPr>
              <w:t>）设立警示牌，规范施工人员行为。加强公众的野生动物</w:t>
            </w:r>
            <w:r>
              <w:rPr>
                <w:spacing w:val="-1"/>
                <w:sz w:val="24"/>
                <w:szCs w:val="24"/>
              </w:rPr>
              <w:t>保护和生态环境</w:t>
            </w:r>
            <w:r>
              <w:rPr>
                <w:spacing w:val="-4"/>
                <w:sz w:val="24"/>
                <w:szCs w:val="24"/>
              </w:rPr>
              <w:t>的保护意识教育，严禁捕猎野生动物和破坏动物生境的行为；在人员活动较多和较集中的区域，如工棚附近，粘贴和设置环境保护方面的警示牌，提醒人们依法</w:t>
            </w:r>
            <w:r>
              <w:rPr>
                <w:spacing w:val="-2"/>
                <w:sz w:val="24"/>
                <w:szCs w:val="24"/>
              </w:rPr>
              <w:t>保护自然环境。</w:t>
            </w:r>
          </w:p>
          <w:p w14:paraId="55F8A779">
            <w:pPr>
              <w:pStyle w:val="6"/>
              <w:spacing w:before="3" w:line="358" w:lineRule="auto"/>
              <w:ind w:left="107" w:right="102" w:firstLine="481"/>
              <w:rPr>
                <w:sz w:val="24"/>
                <w:szCs w:val="24"/>
              </w:rPr>
            </w:pPr>
            <w:r>
              <w:rPr>
                <w:rFonts w:ascii="Times New Roman" w:hAnsi="Times New Roman" w:eastAsia="Times New Roman" w:cs="Times New Roman"/>
                <w:sz w:val="24"/>
                <w:szCs w:val="24"/>
              </w:rPr>
              <w:t>3</w:t>
            </w:r>
            <w:r>
              <w:rPr>
                <w:sz w:val="24"/>
                <w:szCs w:val="24"/>
              </w:rPr>
              <w:t>）在工程建设期，加强防护，在施工区及周围山</w:t>
            </w:r>
            <w:r>
              <w:rPr>
                <w:spacing w:val="-1"/>
                <w:sz w:val="24"/>
                <w:szCs w:val="24"/>
              </w:rPr>
              <w:t>上竖立防火警示牌，禁止</w:t>
            </w:r>
            <w:r>
              <w:rPr>
                <w:spacing w:val="-4"/>
                <w:sz w:val="24"/>
                <w:szCs w:val="24"/>
              </w:rPr>
              <w:t>施工人员吸烟，巡回检查，搞好消防队伍及设施的建设等，以预防和杜绝火灾发</w:t>
            </w:r>
            <w:r>
              <w:rPr>
                <w:spacing w:val="-5"/>
                <w:sz w:val="24"/>
                <w:szCs w:val="24"/>
              </w:rPr>
              <w:t>生。</w:t>
            </w:r>
          </w:p>
          <w:p w14:paraId="745ABC90">
            <w:pPr>
              <w:pStyle w:val="6"/>
              <w:spacing w:line="218" w:lineRule="auto"/>
              <w:ind w:left="115"/>
              <w:rPr>
                <w:sz w:val="24"/>
                <w:szCs w:val="24"/>
              </w:rPr>
            </w:pPr>
            <w:r>
              <w:rPr>
                <w:rFonts w:ascii="Times New Roman" w:hAnsi="Times New Roman" w:eastAsia="Times New Roman" w:cs="Times New Roman"/>
                <w:b/>
                <w:bCs/>
                <w:spacing w:val="-3"/>
                <w:sz w:val="24"/>
                <w:szCs w:val="24"/>
              </w:rPr>
              <w:t xml:space="preserve">1.6 </w:t>
            </w:r>
            <w:r>
              <w:rPr>
                <w:b/>
                <w:bCs/>
                <w:spacing w:val="-3"/>
                <w:sz w:val="24"/>
                <w:szCs w:val="24"/>
              </w:rPr>
              <w:t>基本农田保护措施</w:t>
            </w:r>
          </w:p>
          <w:p w14:paraId="7F9444EB">
            <w:pPr>
              <w:pStyle w:val="6"/>
              <w:spacing w:before="184" w:line="359" w:lineRule="auto"/>
              <w:ind w:left="108" w:right="102" w:firstLine="498"/>
              <w:rPr>
                <w:sz w:val="24"/>
                <w:szCs w:val="24"/>
              </w:rPr>
            </w:pPr>
            <w:r>
              <w:rPr>
                <w:rFonts w:ascii="Times New Roman" w:hAnsi="Times New Roman" w:eastAsia="Times New Roman" w:cs="Times New Roman"/>
                <w:spacing w:val="-1"/>
                <w:sz w:val="24"/>
                <w:szCs w:val="24"/>
              </w:rPr>
              <w:t>1</w:t>
            </w:r>
            <w:r>
              <w:rPr>
                <w:spacing w:val="-1"/>
                <w:sz w:val="24"/>
                <w:szCs w:val="24"/>
              </w:rPr>
              <w:t>）塔基永久占地严格控制征地范围进行施工，临时占地不得随意占用基本农田，严格控制临时占地范围；</w:t>
            </w:r>
          </w:p>
          <w:p w14:paraId="07AAAFF1">
            <w:pPr>
              <w:pStyle w:val="6"/>
              <w:spacing w:before="2" w:line="358" w:lineRule="auto"/>
              <w:ind w:left="108" w:right="102" w:firstLine="475"/>
              <w:rPr>
                <w:sz w:val="24"/>
                <w:szCs w:val="24"/>
              </w:rPr>
            </w:pPr>
            <w:r>
              <w:rPr>
                <w:rFonts w:ascii="Times New Roman" w:hAnsi="Times New Roman" w:eastAsia="Times New Roman" w:cs="Times New Roman"/>
                <w:sz w:val="24"/>
                <w:szCs w:val="24"/>
              </w:rPr>
              <w:t>2</w:t>
            </w:r>
            <w:r>
              <w:rPr>
                <w:sz w:val="24"/>
                <w:szCs w:val="24"/>
              </w:rPr>
              <w:t>）塔基施工占用基本农田时，施工前应进行表土剥离，将表土单独堆存并</w:t>
            </w:r>
            <w:r>
              <w:rPr>
                <w:spacing w:val="-4"/>
                <w:sz w:val="24"/>
                <w:szCs w:val="24"/>
              </w:rPr>
              <w:t>做好覆盖、拦挡等防护措施，施工结束后用于项目区植被恢复或耕作区域表层覆</w:t>
            </w:r>
            <w:r>
              <w:rPr>
                <w:spacing w:val="-5"/>
                <w:sz w:val="24"/>
                <w:szCs w:val="24"/>
              </w:rPr>
              <w:t>土。</w:t>
            </w:r>
          </w:p>
          <w:p w14:paraId="20460C2F">
            <w:pPr>
              <w:pStyle w:val="6"/>
              <w:spacing w:before="1" w:line="359" w:lineRule="auto"/>
              <w:ind w:left="108" w:right="102" w:firstLine="480"/>
              <w:rPr>
                <w:sz w:val="24"/>
                <w:szCs w:val="24"/>
              </w:rPr>
            </w:pPr>
            <w:r>
              <w:rPr>
                <w:rFonts w:ascii="Times New Roman" w:hAnsi="Times New Roman" w:eastAsia="Times New Roman" w:cs="Times New Roman"/>
                <w:sz w:val="24"/>
                <w:szCs w:val="24"/>
              </w:rPr>
              <w:t>3</w:t>
            </w:r>
            <w:r>
              <w:rPr>
                <w:sz w:val="24"/>
                <w:szCs w:val="24"/>
              </w:rPr>
              <w:t>）保存永久占地和临时占地的熟化土，为植被恢复提供良好的土</w:t>
            </w:r>
            <w:r>
              <w:rPr>
                <w:spacing w:val="-1"/>
                <w:sz w:val="24"/>
                <w:szCs w:val="24"/>
              </w:rPr>
              <w:t>壤。对建</w:t>
            </w:r>
            <w:r>
              <w:rPr>
                <w:spacing w:val="5"/>
                <w:sz w:val="24"/>
                <w:szCs w:val="24"/>
              </w:rPr>
              <w:t>设中永久占用农田部分的表层土予以收集保存，</w:t>
            </w:r>
            <w:r>
              <w:rPr>
                <w:spacing w:val="4"/>
                <w:sz w:val="24"/>
                <w:szCs w:val="24"/>
              </w:rPr>
              <w:t>剥离表层土并回填（厚度</w:t>
            </w:r>
            <w:r>
              <w:rPr>
                <w:rFonts w:ascii="Times New Roman" w:hAnsi="Times New Roman" w:eastAsia="Times New Roman" w:cs="Times New Roman"/>
                <w:spacing w:val="4"/>
                <w:sz w:val="24"/>
                <w:szCs w:val="24"/>
              </w:rPr>
              <w:t>≥0.6</w:t>
            </w:r>
            <w:r>
              <w:rPr>
                <w:spacing w:val="-3"/>
                <w:sz w:val="24"/>
                <w:szCs w:val="24"/>
              </w:rPr>
              <w:t>米</w:t>
            </w:r>
            <w:r>
              <w:rPr>
                <w:spacing w:val="-13"/>
                <w:sz w:val="24"/>
                <w:szCs w:val="24"/>
              </w:rPr>
              <w:t>），</w:t>
            </w:r>
            <w:r>
              <w:rPr>
                <w:spacing w:val="-3"/>
                <w:sz w:val="24"/>
                <w:szCs w:val="24"/>
              </w:rPr>
              <w:t>混合有机肥或土壤改良剂（微生物菌剂）以提升肥力，加速土壤熟化；施</w:t>
            </w:r>
            <w:r>
              <w:rPr>
                <w:spacing w:val="-1"/>
                <w:sz w:val="24"/>
                <w:szCs w:val="24"/>
              </w:rPr>
              <w:t>工及时清除杂物，并翻松原状土（深度≥</w:t>
            </w:r>
            <w:r>
              <w:rPr>
                <w:rFonts w:ascii="Times New Roman" w:hAnsi="Times New Roman" w:eastAsia="Times New Roman" w:cs="Times New Roman"/>
                <w:spacing w:val="-1"/>
                <w:sz w:val="24"/>
                <w:szCs w:val="24"/>
              </w:rPr>
              <w:t>50cm</w:t>
            </w:r>
            <w:r>
              <w:rPr>
                <w:spacing w:val="11"/>
                <w:sz w:val="24"/>
                <w:szCs w:val="24"/>
              </w:rPr>
              <w:t>），</w:t>
            </w:r>
            <w:r>
              <w:rPr>
                <w:spacing w:val="-1"/>
                <w:sz w:val="24"/>
                <w:szCs w:val="24"/>
              </w:rPr>
              <w:t>机械与人工结合整平土地；</w:t>
            </w:r>
          </w:p>
          <w:p w14:paraId="16DDA997">
            <w:pPr>
              <w:pStyle w:val="6"/>
              <w:spacing w:before="2" w:line="359" w:lineRule="auto"/>
              <w:ind w:left="107" w:right="102" w:firstLine="475"/>
              <w:rPr>
                <w:sz w:val="24"/>
                <w:szCs w:val="24"/>
              </w:rPr>
            </w:pPr>
            <w:r>
              <w:rPr>
                <w:rFonts w:ascii="Times New Roman" w:hAnsi="Times New Roman" w:eastAsia="Times New Roman" w:cs="Times New Roman"/>
                <w:sz w:val="24"/>
                <w:szCs w:val="24"/>
              </w:rPr>
              <w:t>4</w:t>
            </w:r>
            <w:r>
              <w:rPr>
                <w:sz w:val="24"/>
                <w:szCs w:val="24"/>
              </w:rPr>
              <w:t>）施工人员应从永久基本农田区域外绕行至塔基位置实施掏挖基坑和组立</w:t>
            </w:r>
            <w:r>
              <w:rPr>
                <w:spacing w:val="-3"/>
                <w:sz w:val="24"/>
                <w:szCs w:val="24"/>
              </w:rPr>
              <w:t>铁塔。</w:t>
            </w:r>
          </w:p>
          <w:p w14:paraId="1E460C37">
            <w:pPr>
              <w:pStyle w:val="6"/>
              <w:spacing w:line="359" w:lineRule="auto"/>
              <w:ind w:left="110" w:right="102" w:firstLine="480"/>
              <w:rPr>
                <w:sz w:val="24"/>
                <w:szCs w:val="24"/>
              </w:rPr>
            </w:pPr>
            <w:r>
              <w:rPr>
                <w:rFonts w:ascii="Times New Roman" w:hAnsi="Times New Roman" w:eastAsia="Times New Roman" w:cs="Times New Roman"/>
                <w:sz w:val="24"/>
                <w:szCs w:val="24"/>
              </w:rPr>
              <w:t>5</w:t>
            </w:r>
            <w:r>
              <w:rPr>
                <w:sz w:val="24"/>
                <w:szCs w:val="24"/>
              </w:rPr>
              <w:t>）使用无人机架设牵引绳牵引导线、牵张工艺拉紧导线的施</w:t>
            </w:r>
            <w:r>
              <w:rPr>
                <w:spacing w:val="-1"/>
                <w:sz w:val="24"/>
                <w:szCs w:val="24"/>
              </w:rPr>
              <w:t>工工艺，不在</w:t>
            </w:r>
            <w:r>
              <w:rPr>
                <w:spacing w:val="-2"/>
                <w:sz w:val="24"/>
                <w:szCs w:val="24"/>
              </w:rPr>
              <w:t>永久基本农田范围内设置</w:t>
            </w:r>
            <w:r>
              <w:rPr>
                <w:rFonts w:ascii="Times New Roman" w:hAnsi="Times New Roman" w:eastAsia="Times New Roman" w:cs="Times New Roman"/>
                <w:spacing w:val="-2"/>
                <w:sz w:val="24"/>
                <w:szCs w:val="24"/>
              </w:rPr>
              <w:t>“</w:t>
            </w:r>
            <w:r>
              <w:rPr>
                <w:spacing w:val="-2"/>
                <w:sz w:val="24"/>
                <w:szCs w:val="24"/>
              </w:rPr>
              <w:t>三场</w:t>
            </w:r>
            <w:r>
              <w:rPr>
                <w:rFonts w:ascii="Times New Roman" w:hAnsi="Times New Roman" w:eastAsia="Times New Roman" w:cs="Times New Roman"/>
                <w:spacing w:val="-2"/>
                <w:sz w:val="24"/>
                <w:szCs w:val="24"/>
              </w:rPr>
              <w:t>”</w:t>
            </w:r>
            <w:r>
              <w:rPr>
                <w:rFonts w:ascii="Times New Roman" w:hAnsi="Times New Roman" w:eastAsia="Times New Roman" w:cs="Times New Roman"/>
                <w:spacing w:val="-13"/>
                <w:sz w:val="24"/>
                <w:szCs w:val="24"/>
              </w:rPr>
              <w:t xml:space="preserve"> </w:t>
            </w:r>
            <w:r>
              <w:rPr>
                <w:spacing w:val="-2"/>
                <w:sz w:val="24"/>
                <w:szCs w:val="24"/>
              </w:rPr>
              <w:t>以及牵张场、施工营地等施工场地。</w:t>
            </w:r>
          </w:p>
          <w:p w14:paraId="6AD9E940">
            <w:pPr>
              <w:pStyle w:val="6"/>
              <w:spacing w:before="1" w:line="359" w:lineRule="auto"/>
              <w:ind w:left="109" w:right="160" w:firstLine="480"/>
              <w:rPr>
                <w:sz w:val="24"/>
                <w:szCs w:val="24"/>
              </w:rPr>
            </w:pPr>
            <w:r>
              <w:rPr>
                <w:rFonts w:ascii="Times New Roman" w:hAnsi="Times New Roman" w:eastAsia="Times New Roman" w:cs="Times New Roman"/>
                <w:spacing w:val="-2"/>
                <w:sz w:val="24"/>
                <w:szCs w:val="24"/>
              </w:rPr>
              <w:t>6</w:t>
            </w:r>
            <w:r>
              <w:rPr>
                <w:spacing w:val="-2"/>
                <w:sz w:val="24"/>
                <w:szCs w:val="24"/>
              </w:rPr>
              <w:t>）对临时占用的耕地，园地，施工结束后及时进行复耕，发展生态农业，</w:t>
            </w:r>
            <w:r>
              <w:rPr>
                <w:spacing w:val="-1"/>
                <w:sz w:val="24"/>
                <w:szCs w:val="24"/>
              </w:rPr>
              <w:t>提高土地的综合利用率，最大限度地减少项目建设带来的负面影响。</w:t>
            </w:r>
          </w:p>
          <w:p w14:paraId="6A22BA69">
            <w:pPr>
              <w:pStyle w:val="6"/>
              <w:spacing w:line="218" w:lineRule="auto"/>
              <w:ind w:left="588"/>
              <w:rPr>
                <w:sz w:val="24"/>
                <w:szCs w:val="24"/>
              </w:rPr>
            </w:pPr>
            <w:r>
              <w:rPr>
                <w:rFonts w:ascii="Times New Roman" w:hAnsi="Times New Roman" w:eastAsia="Times New Roman" w:cs="Times New Roman"/>
                <w:spacing w:val="-1"/>
                <w:sz w:val="24"/>
                <w:szCs w:val="24"/>
              </w:rPr>
              <w:t>7</w:t>
            </w:r>
            <w:r>
              <w:rPr>
                <w:spacing w:val="-1"/>
                <w:sz w:val="24"/>
                <w:szCs w:val="24"/>
              </w:rPr>
              <w:t>）项目占用基本农田的土地复垦费用，应专款专用。</w:t>
            </w:r>
          </w:p>
          <w:p w14:paraId="4465C726">
            <w:pPr>
              <w:pStyle w:val="6"/>
              <w:spacing w:before="182" w:line="220" w:lineRule="auto"/>
              <w:ind w:left="105"/>
              <w:rPr>
                <w:sz w:val="24"/>
                <w:szCs w:val="24"/>
              </w:rPr>
            </w:pPr>
            <w:r>
              <w:rPr>
                <w:rFonts w:ascii="Times New Roman" w:hAnsi="Times New Roman" w:eastAsia="Times New Roman" w:cs="Times New Roman"/>
                <w:b/>
                <w:bCs/>
                <w:spacing w:val="-5"/>
                <w:sz w:val="24"/>
                <w:szCs w:val="24"/>
              </w:rPr>
              <w:t>2</w:t>
            </w:r>
            <w:r>
              <w:rPr>
                <w:rFonts w:ascii="Times New Roman" w:hAnsi="Times New Roman" w:eastAsia="Times New Roman" w:cs="Times New Roman"/>
                <w:b/>
                <w:bCs/>
                <w:spacing w:val="-23"/>
                <w:sz w:val="24"/>
                <w:szCs w:val="24"/>
              </w:rPr>
              <w:t xml:space="preserve"> </w:t>
            </w:r>
            <w:r>
              <w:rPr>
                <w:b/>
                <w:bCs/>
                <w:spacing w:val="-5"/>
                <w:sz w:val="24"/>
                <w:szCs w:val="24"/>
              </w:rPr>
              <w:t>、施工期大气环境保护措施</w:t>
            </w:r>
          </w:p>
          <w:p w14:paraId="67FCFEC8">
            <w:pPr>
              <w:pStyle w:val="6"/>
              <w:spacing w:before="182" w:line="359" w:lineRule="auto"/>
              <w:ind w:left="107" w:right="102" w:firstLine="492"/>
              <w:rPr>
                <w:sz w:val="24"/>
                <w:szCs w:val="24"/>
              </w:rPr>
            </w:pPr>
            <w:r>
              <w:rPr>
                <w:spacing w:val="-1"/>
                <w:sz w:val="24"/>
                <w:szCs w:val="24"/>
              </w:rPr>
              <w:t>（</w:t>
            </w:r>
            <w:r>
              <w:rPr>
                <w:rFonts w:ascii="Times New Roman" w:hAnsi="Times New Roman" w:eastAsia="Times New Roman" w:cs="Times New Roman"/>
                <w:spacing w:val="-1"/>
                <w:sz w:val="24"/>
                <w:szCs w:val="24"/>
              </w:rPr>
              <w:t>1</w:t>
            </w:r>
            <w:r>
              <w:rPr>
                <w:spacing w:val="-1"/>
                <w:sz w:val="24"/>
                <w:szCs w:val="24"/>
              </w:rPr>
              <w:t>）变电站施工时，应在施工现场设置施工围墙，保持周围道路清洁，管控料堆和表土堆放，减少扬尘污染。</w:t>
            </w:r>
          </w:p>
          <w:p w14:paraId="24B977CA">
            <w:pPr>
              <w:pStyle w:val="6"/>
              <w:spacing w:line="220" w:lineRule="auto"/>
              <w:ind w:left="600"/>
              <w:rPr>
                <w:sz w:val="24"/>
                <w:szCs w:val="24"/>
              </w:rPr>
            </w:pPr>
            <w:r>
              <w:rPr>
                <w:spacing w:val="-1"/>
                <w:sz w:val="24"/>
                <w:szCs w:val="24"/>
              </w:rPr>
              <w:t>（</w:t>
            </w:r>
            <w:r>
              <w:rPr>
                <w:rFonts w:ascii="Times New Roman" w:hAnsi="Times New Roman" w:eastAsia="Times New Roman" w:cs="Times New Roman"/>
                <w:spacing w:val="-1"/>
                <w:sz w:val="24"/>
                <w:szCs w:val="24"/>
              </w:rPr>
              <w:t>2</w:t>
            </w:r>
            <w:r>
              <w:rPr>
                <w:spacing w:val="-1"/>
                <w:sz w:val="24"/>
                <w:szCs w:val="24"/>
              </w:rPr>
              <w:t>）施工过程中，开挖的土石方、表土，应及时回填或利用，暂时不能利</w:t>
            </w:r>
          </w:p>
        </w:tc>
      </w:tr>
    </w:tbl>
    <w:p w14:paraId="665F5397">
      <w:pPr>
        <w:rPr>
          <w:rFonts w:ascii="Arial"/>
          <w:sz w:val="21"/>
        </w:rPr>
      </w:pPr>
    </w:p>
    <w:p w14:paraId="6D3C8BBC">
      <w:pPr>
        <w:rPr>
          <w:rFonts w:ascii="Arial" w:hAnsi="Arial" w:eastAsia="Arial" w:cs="Arial"/>
          <w:sz w:val="21"/>
          <w:szCs w:val="21"/>
        </w:rPr>
        <w:sectPr>
          <w:footerReference r:id="rId131" w:type="default"/>
          <w:pgSz w:w="11907" w:h="16840"/>
          <w:pgMar w:top="400" w:right="1301" w:bottom="1240" w:left="1527" w:header="0" w:footer="1077" w:gutter="0"/>
          <w:cols w:space="720" w:num="1"/>
        </w:sectPr>
      </w:pPr>
    </w:p>
    <w:p w14:paraId="647BBDB1">
      <w:pPr>
        <w:spacing w:before="13"/>
      </w:pPr>
    </w:p>
    <w:p w14:paraId="55E68040">
      <w:pPr>
        <w:spacing w:before="13"/>
      </w:pPr>
    </w:p>
    <w:p w14:paraId="3EE7C806">
      <w:pPr>
        <w:spacing w:before="13"/>
      </w:pPr>
    </w:p>
    <w:p w14:paraId="49D7AA64">
      <w:pPr>
        <w:spacing w:before="12"/>
      </w:pPr>
    </w:p>
    <w:tbl>
      <w:tblPr>
        <w:tblStyle w:val="5"/>
        <w:tblW w:w="90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4"/>
        <w:gridCol w:w="8499"/>
      </w:tblGrid>
      <w:tr w14:paraId="04E14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46" w:hRule="atLeast"/>
        </w:trPr>
        <w:tc>
          <w:tcPr>
            <w:tcW w:w="564" w:type="dxa"/>
            <w:tcBorders>
              <w:right w:val="single" w:color="000000" w:sz="2" w:space="0"/>
            </w:tcBorders>
            <w:vAlign w:val="top"/>
          </w:tcPr>
          <w:p w14:paraId="0FC6D5DD">
            <w:pPr>
              <w:rPr>
                <w:rFonts w:ascii="Arial"/>
                <w:sz w:val="21"/>
              </w:rPr>
            </w:pPr>
          </w:p>
        </w:tc>
        <w:tc>
          <w:tcPr>
            <w:tcW w:w="8499" w:type="dxa"/>
            <w:tcBorders>
              <w:left w:val="single" w:color="000000" w:sz="2" w:space="0"/>
            </w:tcBorders>
            <w:vAlign w:val="top"/>
          </w:tcPr>
          <w:p w14:paraId="166E23FD">
            <w:pPr>
              <w:pStyle w:val="6"/>
              <w:spacing w:before="39" w:line="359" w:lineRule="auto"/>
              <w:ind w:left="109" w:right="102"/>
              <w:jc w:val="both"/>
              <w:rPr>
                <w:sz w:val="24"/>
                <w:szCs w:val="24"/>
              </w:rPr>
            </w:pPr>
            <w:r>
              <w:rPr>
                <w:spacing w:val="-4"/>
                <w:sz w:val="24"/>
                <w:szCs w:val="24"/>
              </w:rPr>
              <w:t>用的，应采取临时遮盖措施，减少风蚀产生的扬尘；对易起尘的临时堆土等应采用密闭式防尘布（网）进行苫盖，施工面集中且有条件的地方宜采取洒水降尘等</w:t>
            </w:r>
            <w:r>
              <w:rPr>
                <w:spacing w:val="-1"/>
                <w:sz w:val="24"/>
                <w:szCs w:val="24"/>
              </w:rPr>
              <w:t>有效措施，减少易造成大气污染的施工作业。</w:t>
            </w:r>
          </w:p>
          <w:p w14:paraId="7AB6F6E2">
            <w:pPr>
              <w:pStyle w:val="6"/>
              <w:spacing w:before="2" w:line="359" w:lineRule="auto"/>
              <w:ind w:left="112" w:right="102" w:firstLine="487"/>
              <w:rPr>
                <w:sz w:val="24"/>
                <w:szCs w:val="24"/>
              </w:rPr>
            </w:pPr>
            <w:r>
              <w:rPr>
                <w:spacing w:val="-1"/>
                <w:sz w:val="24"/>
                <w:szCs w:val="24"/>
              </w:rPr>
              <w:t>（</w:t>
            </w:r>
            <w:r>
              <w:rPr>
                <w:rFonts w:ascii="Times New Roman" w:hAnsi="Times New Roman" w:eastAsia="Times New Roman" w:cs="Times New Roman"/>
                <w:spacing w:val="-1"/>
                <w:sz w:val="24"/>
                <w:szCs w:val="24"/>
              </w:rPr>
              <w:t>3</w:t>
            </w:r>
            <w:r>
              <w:rPr>
                <w:spacing w:val="-1"/>
                <w:sz w:val="24"/>
                <w:szCs w:val="24"/>
              </w:rPr>
              <w:t>）施工过程中，建设单位应当对裸露地面进行覆盖；暂时不能开工的建设用地超过三个月的，应当进行绿化、铺装或者遮盖。</w:t>
            </w:r>
          </w:p>
          <w:p w14:paraId="6AF55B45">
            <w:pPr>
              <w:pStyle w:val="6"/>
              <w:spacing w:line="359" w:lineRule="auto"/>
              <w:ind w:left="108" w:right="102" w:firstLine="491"/>
              <w:rPr>
                <w:sz w:val="24"/>
                <w:szCs w:val="24"/>
              </w:rPr>
            </w:pPr>
            <w:r>
              <w:rPr>
                <w:spacing w:val="-1"/>
                <w:sz w:val="24"/>
                <w:szCs w:val="24"/>
              </w:rPr>
              <w:t>（</w:t>
            </w:r>
            <w:r>
              <w:rPr>
                <w:rFonts w:ascii="Times New Roman" w:hAnsi="Times New Roman" w:eastAsia="Times New Roman" w:cs="Times New Roman"/>
                <w:spacing w:val="-1"/>
                <w:sz w:val="24"/>
                <w:szCs w:val="24"/>
              </w:rPr>
              <w:t>4</w:t>
            </w:r>
            <w:r>
              <w:rPr>
                <w:spacing w:val="-1"/>
                <w:sz w:val="24"/>
                <w:szCs w:val="24"/>
              </w:rPr>
              <w:t>）进出场地的车辆限制车速，场内道路、堆场及车辆进出时洒水，保持湿润，减少或避免产生扬尘。</w:t>
            </w:r>
          </w:p>
          <w:p w14:paraId="29A39577">
            <w:pPr>
              <w:pStyle w:val="6"/>
              <w:spacing w:line="359" w:lineRule="auto"/>
              <w:ind w:left="108" w:right="102" w:firstLine="491"/>
              <w:rPr>
                <w:sz w:val="24"/>
                <w:szCs w:val="24"/>
              </w:rPr>
            </w:pPr>
            <w:r>
              <w:rPr>
                <w:spacing w:val="-1"/>
                <w:sz w:val="24"/>
                <w:szCs w:val="24"/>
              </w:rPr>
              <w:t>（</w:t>
            </w:r>
            <w:r>
              <w:rPr>
                <w:rFonts w:ascii="Times New Roman" w:hAnsi="Times New Roman" w:eastAsia="Times New Roman" w:cs="Times New Roman"/>
                <w:spacing w:val="-1"/>
                <w:sz w:val="24"/>
                <w:szCs w:val="24"/>
              </w:rPr>
              <w:t>5</w:t>
            </w:r>
            <w:r>
              <w:rPr>
                <w:spacing w:val="-1"/>
                <w:sz w:val="24"/>
                <w:szCs w:val="24"/>
              </w:rPr>
              <w:t>）施工车辆必须定期检修、维护，破损的车厢应及时修补，防止车辆行</w:t>
            </w:r>
            <w:r>
              <w:rPr>
                <w:sz w:val="24"/>
                <w:szCs w:val="24"/>
              </w:rPr>
              <w:t>驶过程中洒落。运输中砂等粉状材料的车辆应覆盖篷</w:t>
            </w:r>
            <w:r>
              <w:rPr>
                <w:spacing w:val="-1"/>
                <w:sz w:val="24"/>
                <w:szCs w:val="24"/>
              </w:rPr>
              <w:t>布，以减少撒落和飞灰。</w:t>
            </w:r>
          </w:p>
          <w:p w14:paraId="30A773E5">
            <w:pPr>
              <w:pStyle w:val="6"/>
              <w:spacing w:line="359" w:lineRule="auto"/>
              <w:ind w:left="113" w:right="102" w:firstLine="486"/>
              <w:rPr>
                <w:sz w:val="24"/>
                <w:szCs w:val="24"/>
              </w:rPr>
            </w:pPr>
            <w:r>
              <w:rPr>
                <w:spacing w:val="-1"/>
                <w:sz w:val="24"/>
                <w:szCs w:val="24"/>
              </w:rPr>
              <w:t>（</w:t>
            </w:r>
            <w:r>
              <w:rPr>
                <w:rFonts w:ascii="Times New Roman" w:hAnsi="Times New Roman" w:eastAsia="Times New Roman" w:cs="Times New Roman"/>
                <w:spacing w:val="-1"/>
                <w:sz w:val="24"/>
                <w:szCs w:val="24"/>
              </w:rPr>
              <w:t>6</w:t>
            </w:r>
            <w:r>
              <w:rPr>
                <w:spacing w:val="-1"/>
                <w:sz w:val="24"/>
                <w:szCs w:val="24"/>
              </w:rPr>
              <w:t>）加强对机械、车辆的维修保养，禁止施工机械超负荷工作，同时使用</w:t>
            </w:r>
            <w:r>
              <w:rPr>
                <w:spacing w:val="-2"/>
                <w:sz w:val="24"/>
                <w:szCs w:val="24"/>
              </w:rPr>
              <w:t>先进设备和优质燃料油。</w:t>
            </w:r>
          </w:p>
          <w:p w14:paraId="7C904F41">
            <w:pPr>
              <w:pStyle w:val="6"/>
              <w:spacing w:line="219" w:lineRule="auto"/>
              <w:ind w:left="600"/>
              <w:rPr>
                <w:sz w:val="24"/>
                <w:szCs w:val="24"/>
              </w:rPr>
            </w:pPr>
            <w:r>
              <w:rPr>
                <w:spacing w:val="-1"/>
                <w:sz w:val="24"/>
                <w:szCs w:val="24"/>
              </w:rPr>
              <w:t>（</w:t>
            </w:r>
            <w:r>
              <w:rPr>
                <w:rFonts w:ascii="Times New Roman" w:hAnsi="Times New Roman" w:eastAsia="Times New Roman" w:cs="Times New Roman"/>
                <w:spacing w:val="-1"/>
                <w:sz w:val="24"/>
                <w:szCs w:val="24"/>
              </w:rPr>
              <w:t>7</w:t>
            </w:r>
            <w:r>
              <w:rPr>
                <w:spacing w:val="-1"/>
                <w:sz w:val="24"/>
                <w:szCs w:val="24"/>
              </w:rPr>
              <w:t>）加强对施工人员的环保教育，提高全体施工人员的环保意识。</w:t>
            </w:r>
          </w:p>
          <w:p w14:paraId="31FED92D">
            <w:pPr>
              <w:pStyle w:val="6"/>
              <w:spacing w:before="181" w:line="219" w:lineRule="auto"/>
              <w:ind w:left="103"/>
              <w:rPr>
                <w:sz w:val="24"/>
                <w:szCs w:val="24"/>
              </w:rPr>
            </w:pPr>
            <w:r>
              <w:rPr>
                <w:rFonts w:ascii="Times New Roman" w:hAnsi="Times New Roman" w:eastAsia="Times New Roman" w:cs="Times New Roman"/>
                <w:b/>
                <w:bCs/>
                <w:spacing w:val="-4"/>
                <w:sz w:val="24"/>
                <w:szCs w:val="24"/>
              </w:rPr>
              <w:t>3</w:t>
            </w:r>
            <w:r>
              <w:rPr>
                <w:rFonts w:ascii="Times New Roman" w:hAnsi="Times New Roman" w:eastAsia="Times New Roman" w:cs="Times New Roman"/>
                <w:b/>
                <w:bCs/>
                <w:spacing w:val="-33"/>
                <w:sz w:val="24"/>
                <w:szCs w:val="24"/>
              </w:rPr>
              <w:t xml:space="preserve"> </w:t>
            </w:r>
            <w:r>
              <w:rPr>
                <w:b/>
                <w:bCs/>
                <w:spacing w:val="-4"/>
                <w:sz w:val="24"/>
                <w:szCs w:val="24"/>
              </w:rPr>
              <w:t>、施工期地表水环境保护措施</w:t>
            </w:r>
          </w:p>
          <w:p w14:paraId="47F3C33B">
            <w:pPr>
              <w:pStyle w:val="6"/>
              <w:spacing w:before="183" w:line="359" w:lineRule="auto"/>
              <w:ind w:left="110" w:right="102" w:firstLine="489"/>
              <w:rPr>
                <w:sz w:val="24"/>
                <w:szCs w:val="24"/>
              </w:rPr>
            </w:pPr>
            <w:r>
              <w:rPr>
                <w:spacing w:val="-1"/>
                <w:sz w:val="24"/>
                <w:szCs w:val="24"/>
              </w:rPr>
              <w:t>（</w:t>
            </w:r>
            <w:r>
              <w:rPr>
                <w:rFonts w:ascii="Times New Roman" w:hAnsi="Times New Roman" w:eastAsia="Times New Roman" w:cs="Times New Roman"/>
                <w:spacing w:val="-1"/>
                <w:sz w:val="24"/>
                <w:szCs w:val="24"/>
              </w:rPr>
              <w:t>1</w:t>
            </w:r>
            <w:r>
              <w:rPr>
                <w:spacing w:val="-1"/>
                <w:sz w:val="24"/>
                <w:szCs w:val="24"/>
              </w:rPr>
              <w:t>）本项目施工人员依托附近村庄生活设施，不在现场设施工营地，施工人员生活污水依托附近村庄居民生活污水设施一起处理。</w:t>
            </w:r>
          </w:p>
          <w:p w14:paraId="661579B9">
            <w:pPr>
              <w:pStyle w:val="6"/>
              <w:spacing w:line="359" w:lineRule="auto"/>
              <w:ind w:left="111" w:right="102" w:firstLine="488"/>
              <w:rPr>
                <w:sz w:val="24"/>
                <w:szCs w:val="24"/>
              </w:rPr>
            </w:pPr>
            <w:r>
              <w:rPr>
                <w:spacing w:val="-1"/>
                <w:sz w:val="24"/>
                <w:szCs w:val="24"/>
              </w:rPr>
              <w:t>（</w:t>
            </w:r>
            <w:r>
              <w:rPr>
                <w:rFonts w:ascii="Times New Roman" w:hAnsi="Times New Roman" w:eastAsia="Times New Roman" w:cs="Times New Roman"/>
                <w:spacing w:val="-1"/>
                <w:sz w:val="24"/>
                <w:szCs w:val="24"/>
              </w:rPr>
              <w:t>2</w:t>
            </w:r>
            <w:r>
              <w:rPr>
                <w:spacing w:val="-1"/>
                <w:sz w:val="24"/>
                <w:szCs w:val="24"/>
              </w:rPr>
              <w:t>）不在现场进行机械设备清洗；每个塔基处施工人员洗手废水用简易沉</w:t>
            </w:r>
            <w:r>
              <w:rPr>
                <w:sz w:val="24"/>
                <w:szCs w:val="24"/>
              </w:rPr>
              <w:t>淀桶（</w:t>
            </w:r>
            <w:r>
              <w:rPr>
                <w:rFonts w:ascii="Times New Roman" w:hAnsi="Times New Roman" w:eastAsia="Times New Roman" w:cs="Times New Roman"/>
                <w:sz w:val="24"/>
                <w:szCs w:val="24"/>
              </w:rPr>
              <w:t>0.5m</w:t>
            </w:r>
            <w:r>
              <w:rPr>
                <w:rFonts w:ascii="Times New Roman" w:hAnsi="Times New Roman" w:eastAsia="Times New Roman" w:cs="Times New Roman"/>
                <w:position w:val="8"/>
                <w:sz w:val="15"/>
                <w:szCs w:val="15"/>
              </w:rPr>
              <w:t>3</w:t>
            </w:r>
            <w:r>
              <w:rPr>
                <w:rFonts w:ascii="Times New Roman" w:hAnsi="Times New Roman" w:eastAsia="Times New Roman" w:cs="Times New Roman"/>
                <w:sz w:val="24"/>
                <w:szCs w:val="24"/>
              </w:rPr>
              <w:t>/</w:t>
            </w:r>
            <w:r>
              <w:rPr>
                <w:sz w:val="24"/>
                <w:szCs w:val="24"/>
              </w:rPr>
              <w:t>个）沉淀后就近回用于塔基施</w:t>
            </w:r>
            <w:r>
              <w:rPr>
                <w:spacing w:val="-1"/>
                <w:sz w:val="24"/>
                <w:szCs w:val="24"/>
              </w:rPr>
              <w:t>工作业和洒水降尘，不外排。</w:t>
            </w:r>
          </w:p>
          <w:p w14:paraId="6CF464DD">
            <w:pPr>
              <w:pStyle w:val="6"/>
              <w:spacing w:before="1" w:line="359" w:lineRule="auto"/>
              <w:ind w:left="110" w:right="102" w:firstLine="489"/>
              <w:rPr>
                <w:sz w:val="24"/>
                <w:szCs w:val="24"/>
              </w:rPr>
            </w:pPr>
            <w:r>
              <w:rPr>
                <w:spacing w:val="-1"/>
                <w:sz w:val="24"/>
                <w:szCs w:val="24"/>
              </w:rPr>
              <w:t>（</w:t>
            </w:r>
            <w:r>
              <w:rPr>
                <w:rFonts w:ascii="Times New Roman" w:hAnsi="Times New Roman" w:eastAsia="Times New Roman" w:cs="Times New Roman"/>
                <w:spacing w:val="-1"/>
                <w:sz w:val="24"/>
                <w:szCs w:val="24"/>
              </w:rPr>
              <w:t>3</w:t>
            </w:r>
            <w:r>
              <w:rPr>
                <w:spacing w:val="-1"/>
                <w:sz w:val="24"/>
                <w:szCs w:val="24"/>
              </w:rPr>
              <w:t>）施工场地四周修建截水排水沟，并在出口设置沉砂池和拦砂网，将含</w:t>
            </w:r>
            <w:r>
              <w:rPr>
                <w:spacing w:val="-4"/>
                <w:sz w:val="24"/>
                <w:szCs w:val="24"/>
              </w:rPr>
              <w:t>泥沙的雨水经沉砂池沉淀后回用于施工过程及场地洒水降尘，回用不完的再顺流</w:t>
            </w:r>
            <w:r>
              <w:rPr>
                <w:spacing w:val="-2"/>
                <w:sz w:val="24"/>
                <w:szCs w:val="24"/>
              </w:rPr>
              <w:t>至附近自然沟渠。</w:t>
            </w:r>
          </w:p>
          <w:p w14:paraId="5F466D86">
            <w:pPr>
              <w:pStyle w:val="6"/>
              <w:spacing w:before="1" w:line="359" w:lineRule="auto"/>
              <w:ind w:left="123" w:right="40" w:firstLine="476"/>
              <w:rPr>
                <w:sz w:val="24"/>
                <w:szCs w:val="24"/>
              </w:rPr>
            </w:pPr>
            <w:r>
              <w:rPr>
                <w:spacing w:val="-6"/>
                <w:sz w:val="24"/>
                <w:szCs w:val="24"/>
              </w:rPr>
              <w:t>（</w:t>
            </w:r>
            <w:r>
              <w:rPr>
                <w:rFonts w:ascii="Times New Roman" w:hAnsi="Times New Roman" w:eastAsia="Times New Roman" w:cs="Times New Roman"/>
                <w:spacing w:val="-6"/>
                <w:sz w:val="24"/>
                <w:szCs w:val="24"/>
              </w:rPr>
              <w:t>4</w:t>
            </w:r>
            <w:r>
              <w:rPr>
                <w:spacing w:val="-6"/>
                <w:sz w:val="24"/>
                <w:szCs w:val="24"/>
              </w:rPr>
              <w:t>）施工现场如使用带油料的机械器具，应做好施工机械的日常维修保养，</w:t>
            </w:r>
            <w:r>
              <w:rPr>
                <w:spacing w:val="-1"/>
                <w:sz w:val="24"/>
                <w:szCs w:val="24"/>
              </w:rPr>
              <w:t>防止油料跑、冒、滴、漏现象。雨天应对各类机械、粉状物料进行遮盖防雨。</w:t>
            </w:r>
          </w:p>
          <w:p w14:paraId="68A4D047">
            <w:pPr>
              <w:pStyle w:val="6"/>
              <w:spacing w:before="2" w:line="354" w:lineRule="auto"/>
              <w:ind w:left="107" w:right="22" w:firstLine="492"/>
              <w:rPr>
                <w:sz w:val="24"/>
                <w:szCs w:val="24"/>
              </w:rPr>
            </w:pPr>
            <w:r>
              <w:rPr>
                <w:spacing w:val="-1"/>
                <w:sz w:val="24"/>
                <w:szCs w:val="24"/>
              </w:rPr>
              <w:t>（</w:t>
            </w:r>
            <w:r>
              <w:rPr>
                <w:rFonts w:ascii="Times New Roman" w:hAnsi="Times New Roman" w:eastAsia="Times New Roman" w:cs="Times New Roman"/>
                <w:spacing w:val="-1"/>
                <w:sz w:val="24"/>
                <w:szCs w:val="24"/>
              </w:rPr>
              <w:t>5</w:t>
            </w:r>
            <w:r>
              <w:rPr>
                <w:spacing w:val="-1"/>
                <w:sz w:val="24"/>
                <w:szCs w:val="24"/>
              </w:rPr>
              <w:t>）在黑龙村水库、尖石沟附近施工的水环境保护措施：①在施工时应将</w:t>
            </w:r>
            <w:r>
              <w:rPr>
                <w:spacing w:val="-4"/>
                <w:sz w:val="24"/>
                <w:szCs w:val="24"/>
              </w:rPr>
              <w:t>施工场地尽量布置于远离水体处，并用彩旗、彩带等划定明确的施工范围，不得</w:t>
            </w:r>
            <w:r>
              <w:rPr>
                <w:spacing w:val="-1"/>
                <w:sz w:val="24"/>
                <w:szCs w:val="24"/>
              </w:rPr>
              <w:t>随意扩大；②在施工区域朝向水体的一侧应根据当地坡度情况，</w:t>
            </w:r>
            <w:r>
              <w:rPr>
                <w:spacing w:val="-2"/>
                <w:sz w:val="24"/>
                <w:szCs w:val="24"/>
              </w:rPr>
              <w:t>设置临时沟槽、</w:t>
            </w:r>
            <w:r>
              <w:rPr>
                <w:spacing w:val="-4"/>
                <w:sz w:val="24"/>
                <w:szCs w:val="24"/>
              </w:rPr>
              <w:t>水池等措施，减少下雨时施工区域的地表径流进入水体，收集的雨水可用于塔基基础养护或植被恢复。③施工中临时堆土点应远离水库，注意维护施工机械的正</w:t>
            </w:r>
            <w:r>
              <w:rPr>
                <w:spacing w:val="-8"/>
                <w:sz w:val="24"/>
                <w:szCs w:val="24"/>
              </w:rPr>
              <w:t>常运行，避免发生施工机械漏油并进入河流的事故，禁止向水体排放、倾倒废水、</w:t>
            </w:r>
            <w:r>
              <w:rPr>
                <w:spacing w:val="-4"/>
                <w:sz w:val="24"/>
                <w:szCs w:val="24"/>
              </w:rPr>
              <w:t>垃圾等。④邻近水库施工时，落实文明施工原则，不漫排施工废水，采取有效的</w:t>
            </w:r>
          </w:p>
        </w:tc>
      </w:tr>
    </w:tbl>
    <w:p w14:paraId="1AD3C032">
      <w:pPr>
        <w:rPr>
          <w:rFonts w:ascii="Arial"/>
          <w:sz w:val="21"/>
        </w:rPr>
      </w:pPr>
    </w:p>
    <w:p w14:paraId="10DCDE8C">
      <w:pPr>
        <w:rPr>
          <w:rFonts w:ascii="Arial" w:hAnsi="Arial" w:eastAsia="Arial" w:cs="Arial"/>
          <w:sz w:val="21"/>
          <w:szCs w:val="21"/>
        </w:rPr>
        <w:sectPr>
          <w:footerReference r:id="rId132" w:type="default"/>
          <w:pgSz w:w="11907" w:h="16840"/>
          <w:pgMar w:top="400" w:right="1301" w:bottom="1240" w:left="1527" w:header="0" w:footer="1077" w:gutter="0"/>
          <w:cols w:space="720" w:num="1"/>
        </w:sectPr>
      </w:pPr>
    </w:p>
    <w:p w14:paraId="4E507D51">
      <w:pPr>
        <w:spacing w:before="13"/>
      </w:pPr>
    </w:p>
    <w:p w14:paraId="4D791030">
      <w:pPr>
        <w:spacing w:before="13"/>
      </w:pPr>
    </w:p>
    <w:p w14:paraId="7BE12E57">
      <w:pPr>
        <w:spacing w:before="13"/>
      </w:pPr>
    </w:p>
    <w:p w14:paraId="54948C1C">
      <w:pPr>
        <w:spacing w:before="12"/>
      </w:pPr>
    </w:p>
    <w:tbl>
      <w:tblPr>
        <w:tblStyle w:val="5"/>
        <w:tblW w:w="90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4"/>
        <w:gridCol w:w="8499"/>
      </w:tblGrid>
      <w:tr w14:paraId="67739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46" w:hRule="atLeast"/>
        </w:trPr>
        <w:tc>
          <w:tcPr>
            <w:tcW w:w="564" w:type="dxa"/>
            <w:tcBorders>
              <w:right w:val="single" w:color="000000" w:sz="2" w:space="0"/>
            </w:tcBorders>
            <w:vAlign w:val="top"/>
          </w:tcPr>
          <w:p w14:paraId="7553E669">
            <w:pPr>
              <w:rPr>
                <w:rFonts w:ascii="Arial"/>
                <w:sz w:val="21"/>
              </w:rPr>
            </w:pPr>
          </w:p>
        </w:tc>
        <w:tc>
          <w:tcPr>
            <w:tcW w:w="8499" w:type="dxa"/>
            <w:tcBorders>
              <w:left w:val="single" w:color="000000" w:sz="2" w:space="0"/>
            </w:tcBorders>
            <w:vAlign w:val="top"/>
          </w:tcPr>
          <w:p w14:paraId="3564973C">
            <w:pPr>
              <w:pStyle w:val="6"/>
              <w:spacing w:before="40" w:line="219" w:lineRule="auto"/>
              <w:ind w:left="108"/>
              <w:rPr>
                <w:sz w:val="24"/>
                <w:szCs w:val="24"/>
              </w:rPr>
            </w:pPr>
            <w:r>
              <w:rPr>
                <w:spacing w:val="-1"/>
                <w:sz w:val="24"/>
                <w:szCs w:val="24"/>
              </w:rPr>
              <w:t>拦蓄措施，防止施工废水进入水库、沟渠。</w:t>
            </w:r>
          </w:p>
          <w:p w14:paraId="0AA91DAD">
            <w:pPr>
              <w:pStyle w:val="6"/>
              <w:spacing w:before="180" w:line="220" w:lineRule="auto"/>
              <w:ind w:left="105"/>
              <w:rPr>
                <w:sz w:val="24"/>
                <w:szCs w:val="24"/>
              </w:rPr>
            </w:pPr>
            <w:r>
              <w:rPr>
                <w:rFonts w:ascii="Times New Roman" w:hAnsi="Times New Roman" w:eastAsia="Times New Roman" w:cs="Times New Roman"/>
                <w:b/>
                <w:bCs/>
                <w:spacing w:val="-5"/>
                <w:sz w:val="24"/>
                <w:szCs w:val="24"/>
              </w:rPr>
              <w:t>4</w:t>
            </w:r>
            <w:r>
              <w:rPr>
                <w:rFonts w:ascii="Times New Roman" w:hAnsi="Times New Roman" w:eastAsia="Times New Roman" w:cs="Times New Roman"/>
                <w:b/>
                <w:bCs/>
                <w:spacing w:val="-26"/>
                <w:sz w:val="24"/>
                <w:szCs w:val="24"/>
              </w:rPr>
              <w:t xml:space="preserve"> </w:t>
            </w:r>
            <w:r>
              <w:rPr>
                <w:b/>
                <w:bCs/>
                <w:spacing w:val="-5"/>
                <w:sz w:val="24"/>
                <w:szCs w:val="24"/>
              </w:rPr>
              <w:t>、施工期声环境保护措施</w:t>
            </w:r>
          </w:p>
          <w:p w14:paraId="4FC6C92C">
            <w:pPr>
              <w:pStyle w:val="6"/>
              <w:spacing w:before="182" w:line="219" w:lineRule="auto"/>
              <w:ind w:left="600"/>
              <w:rPr>
                <w:sz w:val="24"/>
                <w:szCs w:val="24"/>
              </w:rPr>
            </w:pPr>
            <w:r>
              <w:rPr>
                <w:spacing w:val="-1"/>
                <w:sz w:val="24"/>
                <w:szCs w:val="24"/>
              </w:rPr>
              <w:t>（</w:t>
            </w:r>
            <w:r>
              <w:rPr>
                <w:rFonts w:ascii="Times New Roman" w:hAnsi="Times New Roman" w:eastAsia="Times New Roman" w:cs="Times New Roman"/>
                <w:spacing w:val="-1"/>
                <w:sz w:val="24"/>
                <w:szCs w:val="24"/>
              </w:rPr>
              <w:t>1</w:t>
            </w:r>
            <w:r>
              <w:rPr>
                <w:spacing w:val="-1"/>
                <w:sz w:val="24"/>
                <w:szCs w:val="24"/>
              </w:rPr>
              <w:t>）新建变电站工程施工时建议先修筑围墙。</w:t>
            </w:r>
          </w:p>
          <w:p w14:paraId="12616712">
            <w:pPr>
              <w:pStyle w:val="6"/>
              <w:spacing w:before="181" w:line="359" w:lineRule="auto"/>
              <w:ind w:left="107" w:right="102" w:firstLine="492"/>
              <w:rPr>
                <w:sz w:val="24"/>
                <w:szCs w:val="24"/>
              </w:rPr>
            </w:pPr>
            <w:r>
              <w:rPr>
                <w:spacing w:val="-1"/>
                <w:sz w:val="24"/>
                <w:szCs w:val="24"/>
              </w:rPr>
              <w:t>（</w:t>
            </w:r>
            <w:r>
              <w:rPr>
                <w:rFonts w:ascii="Times New Roman" w:hAnsi="Times New Roman" w:eastAsia="Times New Roman" w:cs="Times New Roman"/>
                <w:spacing w:val="-1"/>
                <w:sz w:val="24"/>
                <w:szCs w:val="24"/>
              </w:rPr>
              <w:t>2</w:t>
            </w:r>
            <w:r>
              <w:rPr>
                <w:spacing w:val="-1"/>
                <w:sz w:val="24"/>
                <w:szCs w:val="24"/>
              </w:rPr>
              <w:t>）施工单位应采用噪声水平满足国家相应标准的施工机械设备。加强施</w:t>
            </w:r>
            <w:r>
              <w:rPr>
                <w:spacing w:val="-4"/>
                <w:sz w:val="24"/>
                <w:szCs w:val="24"/>
              </w:rPr>
              <w:t>工设备的运行维护管理，使其保持良好的运行状态，从源强上控制施工噪声对周</w:t>
            </w:r>
            <w:r>
              <w:rPr>
                <w:spacing w:val="-2"/>
                <w:sz w:val="24"/>
                <w:szCs w:val="24"/>
              </w:rPr>
              <w:t>边环境的影响。</w:t>
            </w:r>
          </w:p>
          <w:p w14:paraId="25B52189">
            <w:pPr>
              <w:pStyle w:val="6"/>
              <w:spacing w:before="1" w:line="218" w:lineRule="auto"/>
              <w:ind w:left="600"/>
              <w:rPr>
                <w:sz w:val="24"/>
                <w:szCs w:val="24"/>
              </w:rPr>
            </w:pPr>
            <w:r>
              <w:rPr>
                <w:spacing w:val="-1"/>
                <w:sz w:val="24"/>
                <w:szCs w:val="24"/>
              </w:rPr>
              <w:t>（</w:t>
            </w:r>
            <w:r>
              <w:rPr>
                <w:rFonts w:ascii="Times New Roman" w:hAnsi="Times New Roman" w:eastAsia="Times New Roman" w:cs="Times New Roman"/>
                <w:spacing w:val="-1"/>
                <w:sz w:val="24"/>
                <w:szCs w:val="24"/>
              </w:rPr>
              <w:t>3</w:t>
            </w:r>
            <w:r>
              <w:rPr>
                <w:spacing w:val="-1"/>
                <w:sz w:val="24"/>
                <w:szCs w:val="24"/>
              </w:rPr>
              <w:t>）运输车辆经过村庄、学校等保护目标时应减速慢行，禁止鸣笛。</w:t>
            </w:r>
          </w:p>
          <w:p w14:paraId="0C524765">
            <w:pPr>
              <w:pStyle w:val="6"/>
              <w:spacing w:before="184" w:line="359" w:lineRule="auto"/>
              <w:ind w:left="108" w:right="109" w:firstLine="491"/>
              <w:rPr>
                <w:sz w:val="24"/>
                <w:szCs w:val="24"/>
              </w:rPr>
            </w:pPr>
            <w:r>
              <w:rPr>
                <w:spacing w:val="-1"/>
                <w:sz w:val="24"/>
                <w:szCs w:val="24"/>
              </w:rPr>
              <w:t>（</w:t>
            </w:r>
            <w:r>
              <w:rPr>
                <w:rFonts w:ascii="Times New Roman" w:hAnsi="Times New Roman" w:eastAsia="Times New Roman" w:cs="Times New Roman"/>
                <w:spacing w:val="-1"/>
                <w:sz w:val="24"/>
                <w:szCs w:val="24"/>
              </w:rPr>
              <w:t>4</w:t>
            </w:r>
            <w:r>
              <w:rPr>
                <w:spacing w:val="5"/>
                <w:sz w:val="24"/>
                <w:szCs w:val="24"/>
              </w:rPr>
              <w:t>））</w:t>
            </w:r>
            <w:r>
              <w:rPr>
                <w:spacing w:val="-1"/>
                <w:sz w:val="24"/>
                <w:szCs w:val="24"/>
              </w:rPr>
              <w:t>合理安排施工机械作业时间和施工工序，缩短高噪声作业时间</w:t>
            </w:r>
            <w:r>
              <w:rPr>
                <w:spacing w:val="-2"/>
                <w:sz w:val="24"/>
                <w:szCs w:val="24"/>
              </w:rPr>
              <w:t>，尽</w:t>
            </w:r>
            <w:r>
              <w:rPr>
                <w:spacing w:val="-1"/>
                <w:sz w:val="24"/>
                <w:szCs w:val="24"/>
              </w:rPr>
              <w:t>量降低施工活动对周围环境的噪声影响。禁止在午休（</w:t>
            </w:r>
            <w:r>
              <w:rPr>
                <w:rFonts w:ascii="Times New Roman" w:hAnsi="Times New Roman" w:eastAsia="Times New Roman" w:cs="Times New Roman"/>
                <w:spacing w:val="-1"/>
                <w:sz w:val="24"/>
                <w:szCs w:val="24"/>
              </w:rPr>
              <w:t>12:00~</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1"/>
                <w:sz w:val="24"/>
                <w:szCs w:val="24"/>
              </w:rPr>
              <w:t>14:00</w:t>
            </w:r>
            <w:r>
              <w:rPr>
                <w:spacing w:val="-1"/>
                <w:sz w:val="24"/>
                <w:szCs w:val="24"/>
              </w:rPr>
              <w:t>）及夜间</w:t>
            </w:r>
          </w:p>
          <w:p w14:paraId="6F619939">
            <w:pPr>
              <w:pStyle w:val="6"/>
              <w:spacing w:line="359" w:lineRule="auto"/>
              <w:ind w:left="145" w:right="102" w:hanging="25"/>
              <w:rPr>
                <w:sz w:val="24"/>
                <w:szCs w:val="24"/>
              </w:rPr>
            </w:pPr>
            <w:r>
              <w:rPr>
                <w:spacing w:val="-1"/>
                <w:sz w:val="24"/>
                <w:szCs w:val="24"/>
              </w:rPr>
              <w:t>（</w:t>
            </w:r>
            <w:r>
              <w:rPr>
                <w:rFonts w:ascii="Times New Roman" w:hAnsi="Times New Roman" w:eastAsia="Times New Roman" w:cs="Times New Roman"/>
                <w:spacing w:val="-1"/>
                <w:sz w:val="24"/>
                <w:szCs w:val="24"/>
              </w:rPr>
              <w:t>22:00~</w:t>
            </w:r>
            <w:r>
              <w:rPr>
                <w:spacing w:val="-1"/>
                <w:sz w:val="24"/>
                <w:szCs w:val="24"/>
              </w:rPr>
              <w:t>次日</w:t>
            </w:r>
            <w:r>
              <w:rPr>
                <w:rFonts w:ascii="Times New Roman" w:hAnsi="Times New Roman" w:eastAsia="Times New Roman" w:cs="Times New Roman"/>
                <w:spacing w:val="-1"/>
                <w:sz w:val="24"/>
                <w:szCs w:val="24"/>
              </w:rPr>
              <w:t>6:00</w:t>
            </w:r>
            <w:r>
              <w:rPr>
                <w:spacing w:val="-1"/>
                <w:sz w:val="24"/>
                <w:szCs w:val="24"/>
              </w:rPr>
              <w:t>）进行产生环境噪声污染的施工作业。施工时在施工现场进出</w:t>
            </w:r>
            <w:r>
              <w:rPr>
                <w:spacing w:val="-3"/>
                <w:sz w:val="24"/>
                <w:szCs w:val="24"/>
              </w:rPr>
              <w:t>口显著位置公示施工信息，公告附近居民。</w:t>
            </w:r>
          </w:p>
          <w:p w14:paraId="68F767E5">
            <w:pPr>
              <w:pStyle w:val="6"/>
              <w:spacing w:line="359" w:lineRule="auto"/>
              <w:ind w:left="106" w:right="104" w:firstLine="493"/>
              <w:rPr>
                <w:sz w:val="24"/>
                <w:szCs w:val="24"/>
              </w:rPr>
            </w:pPr>
            <w:r>
              <w:rPr>
                <w:spacing w:val="-1"/>
                <w:sz w:val="24"/>
                <w:szCs w:val="24"/>
              </w:rPr>
              <w:t>（</w:t>
            </w:r>
            <w:r>
              <w:rPr>
                <w:rFonts w:ascii="Times New Roman" w:hAnsi="Times New Roman" w:eastAsia="Times New Roman" w:cs="Times New Roman"/>
                <w:spacing w:val="-1"/>
                <w:sz w:val="24"/>
                <w:szCs w:val="24"/>
              </w:rPr>
              <w:t>5</w:t>
            </w:r>
            <w:r>
              <w:rPr>
                <w:spacing w:val="-1"/>
                <w:sz w:val="24"/>
                <w:szCs w:val="24"/>
              </w:rPr>
              <w:t>）施工单位在</w:t>
            </w:r>
            <w:r>
              <w:rPr>
                <w:spacing w:val="-58"/>
                <w:sz w:val="24"/>
                <w:szCs w:val="24"/>
              </w:rPr>
              <w:t xml:space="preserve"> </w:t>
            </w:r>
            <w:r>
              <w:rPr>
                <w:rFonts w:ascii="Times New Roman" w:hAnsi="Times New Roman" w:eastAsia="Times New Roman" w:cs="Times New Roman"/>
                <w:spacing w:val="-1"/>
                <w:sz w:val="24"/>
                <w:szCs w:val="24"/>
              </w:rPr>
              <w:t xml:space="preserve">AZ14G </w:t>
            </w:r>
            <w:r>
              <w:rPr>
                <w:spacing w:val="-1"/>
                <w:sz w:val="24"/>
                <w:szCs w:val="24"/>
              </w:rPr>
              <w:t>塔、</w:t>
            </w:r>
            <w:r>
              <w:rPr>
                <w:rFonts w:ascii="Times New Roman" w:hAnsi="Times New Roman" w:eastAsia="Times New Roman" w:cs="Times New Roman"/>
                <w:spacing w:val="-1"/>
                <w:sz w:val="24"/>
                <w:szCs w:val="24"/>
              </w:rPr>
              <w:t xml:space="preserve">AJ8 </w:t>
            </w:r>
            <w:r>
              <w:rPr>
                <w:spacing w:val="-1"/>
                <w:sz w:val="24"/>
                <w:szCs w:val="24"/>
              </w:rPr>
              <w:t>塔、</w:t>
            </w:r>
            <w:r>
              <w:rPr>
                <w:rFonts w:ascii="Times New Roman" w:hAnsi="Times New Roman" w:eastAsia="Times New Roman" w:cs="Times New Roman"/>
                <w:spacing w:val="-1"/>
                <w:sz w:val="24"/>
                <w:szCs w:val="24"/>
              </w:rPr>
              <w:t>BZ1-</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pacing w:val="-1"/>
                <w:sz w:val="24"/>
                <w:szCs w:val="24"/>
              </w:rPr>
              <w:t xml:space="preserve">1 </w:t>
            </w:r>
            <w:r>
              <w:rPr>
                <w:spacing w:val="-1"/>
                <w:sz w:val="24"/>
                <w:szCs w:val="24"/>
              </w:rPr>
              <w:t>塔、</w:t>
            </w:r>
            <w:r>
              <w:rPr>
                <w:rFonts w:ascii="Times New Roman" w:hAnsi="Times New Roman" w:eastAsia="Times New Roman" w:cs="Times New Roman"/>
                <w:spacing w:val="-2"/>
                <w:sz w:val="24"/>
                <w:szCs w:val="24"/>
              </w:rPr>
              <w:t xml:space="preserve">BZ7G </w:t>
            </w:r>
            <w:r>
              <w:rPr>
                <w:spacing w:val="-2"/>
                <w:sz w:val="24"/>
                <w:szCs w:val="24"/>
              </w:rPr>
              <w:t>塔侧施工时，应设</w:t>
            </w:r>
            <w:r>
              <w:rPr>
                <w:spacing w:val="-1"/>
                <w:sz w:val="24"/>
                <w:szCs w:val="24"/>
              </w:rPr>
              <w:t>置围挡措施，避免噪声扰民；</w:t>
            </w:r>
          </w:p>
          <w:p w14:paraId="3737F6CF">
            <w:pPr>
              <w:pStyle w:val="6"/>
              <w:spacing w:before="1" w:line="359" w:lineRule="auto"/>
              <w:ind w:left="107" w:right="109" w:firstLine="492"/>
              <w:rPr>
                <w:sz w:val="24"/>
                <w:szCs w:val="24"/>
              </w:rPr>
            </w:pPr>
            <w:r>
              <w:rPr>
                <w:spacing w:val="-1"/>
                <w:sz w:val="24"/>
                <w:szCs w:val="24"/>
              </w:rPr>
              <w:t>（</w:t>
            </w:r>
            <w:r>
              <w:rPr>
                <w:rFonts w:ascii="Times New Roman" w:hAnsi="Times New Roman" w:eastAsia="Times New Roman" w:cs="Times New Roman"/>
                <w:spacing w:val="-1"/>
                <w:sz w:val="24"/>
                <w:szCs w:val="24"/>
              </w:rPr>
              <w:t>6</w:t>
            </w:r>
            <w:r>
              <w:rPr>
                <w:spacing w:val="-1"/>
                <w:sz w:val="24"/>
                <w:szCs w:val="24"/>
              </w:rPr>
              <w:t>）要求施工单位文明施工，加强施工期的环境管理和环境监控工作，并接受环境保护部门的监督管理。</w:t>
            </w:r>
          </w:p>
          <w:p w14:paraId="4B537ECE">
            <w:pPr>
              <w:pStyle w:val="6"/>
              <w:spacing w:before="3" w:line="358" w:lineRule="auto"/>
              <w:ind w:left="108" w:right="102" w:firstLine="491"/>
              <w:rPr>
                <w:sz w:val="24"/>
                <w:szCs w:val="24"/>
              </w:rPr>
            </w:pPr>
            <w:r>
              <w:rPr>
                <w:spacing w:val="-1"/>
                <w:sz w:val="24"/>
                <w:szCs w:val="24"/>
              </w:rPr>
              <w:t>（</w:t>
            </w:r>
            <w:r>
              <w:rPr>
                <w:rFonts w:ascii="Times New Roman" w:hAnsi="Times New Roman" w:eastAsia="Times New Roman" w:cs="Times New Roman"/>
                <w:spacing w:val="-1"/>
                <w:sz w:val="24"/>
                <w:szCs w:val="24"/>
              </w:rPr>
              <w:t>7</w:t>
            </w:r>
            <w:r>
              <w:rPr>
                <w:spacing w:val="-1"/>
                <w:sz w:val="24"/>
                <w:szCs w:val="24"/>
              </w:rPr>
              <w:t>）应与周边村民建立良好的关系，对受施工干扰的村民应在作业前予以</w:t>
            </w:r>
            <w:r>
              <w:rPr>
                <w:spacing w:val="-4"/>
                <w:sz w:val="24"/>
                <w:szCs w:val="24"/>
              </w:rPr>
              <w:t>通知，并随时向他们汇报施工进度及施工中对降低噪声采取的措施。此外，施工</w:t>
            </w:r>
            <w:r>
              <w:rPr>
                <w:sz w:val="24"/>
                <w:szCs w:val="24"/>
              </w:rPr>
              <w:t>期间应设热线投诉电话，接受噪声扰民的投诉，并对</w:t>
            </w:r>
            <w:r>
              <w:rPr>
                <w:spacing w:val="-1"/>
                <w:sz w:val="24"/>
                <w:szCs w:val="24"/>
              </w:rPr>
              <w:t>投诉情况进行积极治理。</w:t>
            </w:r>
          </w:p>
          <w:p w14:paraId="79C33C61">
            <w:pPr>
              <w:pStyle w:val="6"/>
              <w:spacing w:line="220" w:lineRule="auto"/>
              <w:ind w:left="108"/>
              <w:rPr>
                <w:sz w:val="24"/>
                <w:szCs w:val="24"/>
              </w:rPr>
            </w:pPr>
            <w:r>
              <w:rPr>
                <w:rFonts w:ascii="Times New Roman" w:hAnsi="Times New Roman" w:eastAsia="Times New Roman" w:cs="Times New Roman"/>
                <w:b/>
                <w:bCs/>
                <w:spacing w:val="-5"/>
                <w:sz w:val="24"/>
                <w:szCs w:val="24"/>
              </w:rPr>
              <w:t>6</w:t>
            </w:r>
            <w:r>
              <w:rPr>
                <w:rFonts w:ascii="Times New Roman" w:hAnsi="Times New Roman" w:eastAsia="Times New Roman" w:cs="Times New Roman"/>
                <w:b/>
                <w:bCs/>
                <w:spacing w:val="-33"/>
                <w:sz w:val="24"/>
                <w:szCs w:val="24"/>
              </w:rPr>
              <w:t xml:space="preserve"> </w:t>
            </w:r>
            <w:r>
              <w:rPr>
                <w:b/>
                <w:bCs/>
                <w:spacing w:val="-5"/>
                <w:sz w:val="24"/>
                <w:szCs w:val="24"/>
              </w:rPr>
              <w:t>、施工期固体废物处置</w:t>
            </w:r>
          </w:p>
          <w:p w14:paraId="25848DB0">
            <w:pPr>
              <w:pStyle w:val="6"/>
              <w:spacing w:before="182" w:line="359" w:lineRule="auto"/>
              <w:ind w:left="109" w:right="109" w:firstLine="490"/>
              <w:rPr>
                <w:sz w:val="24"/>
                <w:szCs w:val="24"/>
              </w:rPr>
            </w:pPr>
            <w:r>
              <w:rPr>
                <w:spacing w:val="-1"/>
                <w:sz w:val="24"/>
                <w:szCs w:val="24"/>
              </w:rPr>
              <w:t>（</w:t>
            </w:r>
            <w:r>
              <w:rPr>
                <w:rFonts w:ascii="Times New Roman" w:hAnsi="Times New Roman" w:eastAsia="Times New Roman" w:cs="Times New Roman"/>
                <w:spacing w:val="-1"/>
                <w:sz w:val="24"/>
                <w:szCs w:val="24"/>
              </w:rPr>
              <w:t>1</w:t>
            </w:r>
            <w:r>
              <w:rPr>
                <w:spacing w:val="-1"/>
                <w:sz w:val="24"/>
                <w:szCs w:val="24"/>
              </w:rPr>
              <w:t>）本项目区内不设置施工营地，施工人员租住周边民房，产生的生活垃圾统一收集后运至附近乡镇垃圾收集点集中处理。</w:t>
            </w:r>
          </w:p>
          <w:p w14:paraId="77E24537">
            <w:pPr>
              <w:pStyle w:val="6"/>
              <w:spacing w:before="2" w:line="359" w:lineRule="auto"/>
              <w:ind w:left="109" w:right="48" w:firstLine="490"/>
              <w:rPr>
                <w:sz w:val="24"/>
                <w:szCs w:val="24"/>
              </w:rPr>
            </w:pPr>
            <w:r>
              <w:rPr>
                <w:spacing w:val="-1"/>
                <w:sz w:val="24"/>
                <w:szCs w:val="24"/>
              </w:rPr>
              <w:t>（</w:t>
            </w:r>
            <w:r>
              <w:rPr>
                <w:rFonts w:ascii="Times New Roman" w:hAnsi="Times New Roman" w:eastAsia="Times New Roman" w:cs="Times New Roman"/>
                <w:spacing w:val="-1"/>
                <w:sz w:val="24"/>
                <w:szCs w:val="24"/>
              </w:rPr>
              <w:t>2</w:t>
            </w:r>
            <w:r>
              <w:rPr>
                <w:spacing w:val="-1"/>
                <w:sz w:val="24"/>
                <w:szCs w:val="24"/>
              </w:rPr>
              <w:t>）架空线路基础开挖产生的土石方分别在各塔基占地范围内就地回填压</w:t>
            </w:r>
            <w:r>
              <w:rPr>
                <w:spacing w:val="-2"/>
                <w:sz w:val="24"/>
                <w:szCs w:val="24"/>
              </w:rPr>
              <w:t>实，不产生永久性弃渣。塔基施工剥离表土全部堆存于塔基临时施工场地一角，</w:t>
            </w:r>
            <w:r>
              <w:rPr>
                <w:spacing w:val="-4"/>
                <w:sz w:val="24"/>
                <w:szCs w:val="24"/>
              </w:rPr>
              <w:t>用于塔基区后期覆土，平地型塔基剥离表土按开挖顺序回填覆土至最上层；坡地型塔基是在塔基下游采用编织袋装填表土拦挡，然后进行临时堆土，后期用作覆</w:t>
            </w:r>
            <w:r>
              <w:rPr>
                <w:spacing w:val="-6"/>
                <w:sz w:val="24"/>
                <w:szCs w:val="24"/>
              </w:rPr>
              <w:t>土。</w:t>
            </w:r>
          </w:p>
          <w:p w14:paraId="4B92A41F">
            <w:pPr>
              <w:pStyle w:val="6"/>
              <w:spacing w:line="359" w:lineRule="auto"/>
              <w:ind w:left="109" w:right="109" w:firstLine="490"/>
              <w:rPr>
                <w:sz w:val="24"/>
                <w:szCs w:val="24"/>
              </w:rPr>
            </w:pPr>
            <w:r>
              <w:rPr>
                <w:spacing w:val="-1"/>
                <w:sz w:val="24"/>
                <w:szCs w:val="24"/>
              </w:rPr>
              <w:t>（</w:t>
            </w:r>
            <w:r>
              <w:rPr>
                <w:rFonts w:ascii="Times New Roman" w:hAnsi="Times New Roman" w:eastAsia="Times New Roman" w:cs="Times New Roman"/>
                <w:spacing w:val="-1"/>
                <w:sz w:val="24"/>
                <w:szCs w:val="24"/>
              </w:rPr>
              <w:t>3</w:t>
            </w:r>
            <w:r>
              <w:rPr>
                <w:spacing w:val="-1"/>
                <w:sz w:val="24"/>
                <w:szCs w:val="24"/>
              </w:rPr>
              <w:t>）建筑垃圾尽可能回收利用，不能回收利用的及时清运至相关部门指定堆放点集中处理，不能随意丢弃及堆放。</w:t>
            </w:r>
          </w:p>
          <w:p w14:paraId="41ED1862">
            <w:pPr>
              <w:pStyle w:val="6"/>
              <w:spacing w:before="1" w:line="218" w:lineRule="auto"/>
              <w:ind w:left="600"/>
              <w:rPr>
                <w:sz w:val="24"/>
                <w:szCs w:val="24"/>
              </w:rPr>
            </w:pPr>
            <w:r>
              <w:rPr>
                <w:spacing w:val="-10"/>
                <w:sz w:val="24"/>
                <w:szCs w:val="24"/>
              </w:rPr>
              <w:t>（</w:t>
            </w:r>
            <w:r>
              <w:rPr>
                <w:rFonts w:ascii="Times New Roman" w:hAnsi="Times New Roman" w:eastAsia="Times New Roman" w:cs="Times New Roman"/>
                <w:spacing w:val="-10"/>
                <w:sz w:val="24"/>
                <w:szCs w:val="24"/>
              </w:rPr>
              <w:t>4</w:t>
            </w:r>
            <w:r>
              <w:rPr>
                <w:spacing w:val="-10"/>
                <w:sz w:val="24"/>
                <w:szCs w:val="24"/>
              </w:rPr>
              <w:t>）施工中临时堆土点应远离水体，及时</w:t>
            </w:r>
            <w:r>
              <w:rPr>
                <w:spacing w:val="-11"/>
                <w:sz w:val="24"/>
                <w:szCs w:val="24"/>
              </w:rPr>
              <w:t>采取挡护措施；严禁向附近水体 排</w:t>
            </w:r>
          </w:p>
        </w:tc>
      </w:tr>
    </w:tbl>
    <w:p w14:paraId="0717F73B">
      <w:pPr>
        <w:rPr>
          <w:rFonts w:ascii="Arial"/>
          <w:sz w:val="21"/>
        </w:rPr>
      </w:pPr>
    </w:p>
    <w:p w14:paraId="51B15E50">
      <w:pPr>
        <w:rPr>
          <w:rFonts w:ascii="Arial" w:hAnsi="Arial" w:eastAsia="Arial" w:cs="Arial"/>
          <w:sz w:val="21"/>
          <w:szCs w:val="21"/>
        </w:rPr>
        <w:sectPr>
          <w:footerReference r:id="rId133" w:type="default"/>
          <w:pgSz w:w="11907" w:h="16840"/>
          <w:pgMar w:top="400" w:right="1301" w:bottom="1240" w:left="1527" w:header="0" w:footer="1077" w:gutter="0"/>
          <w:cols w:space="720" w:num="1"/>
        </w:sectPr>
      </w:pPr>
    </w:p>
    <w:p w14:paraId="369DA090">
      <w:pPr>
        <w:spacing w:before="13"/>
      </w:pPr>
    </w:p>
    <w:p w14:paraId="7E48A0C3">
      <w:pPr>
        <w:spacing w:before="13"/>
      </w:pPr>
    </w:p>
    <w:p w14:paraId="7DEEF82E">
      <w:pPr>
        <w:spacing w:before="13"/>
      </w:pPr>
    </w:p>
    <w:p w14:paraId="257D1BC7">
      <w:pPr>
        <w:spacing w:before="12"/>
      </w:pPr>
    </w:p>
    <w:tbl>
      <w:tblPr>
        <w:tblStyle w:val="5"/>
        <w:tblW w:w="90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4"/>
        <w:gridCol w:w="8499"/>
      </w:tblGrid>
      <w:tr w14:paraId="6E6FE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6" w:hRule="atLeast"/>
        </w:trPr>
        <w:tc>
          <w:tcPr>
            <w:tcW w:w="564" w:type="dxa"/>
            <w:tcBorders>
              <w:bottom w:val="single" w:color="000000" w:sz="2" w:space="0"/>
              <w:right w:val="single" w:color="000000" w:sz="2" w:space="0"/>
            </w:tcBorders>
            <w:vAlign w:val="top"/>
          </w:tcPr>
          <w:p w14:paraId="32DA02A2">
            <w:pPr>
              <w:rPr>
                <w:rFonts w:ascii="Arial"/>
                <w:sz w:val="21"/>
              </w:rPr>
            </w:pPr>
          </w:p>
        </w:tc>
        <w:tc>
          <w:tcPr>
            <w:tcW w:w="8499" w:type="dxa"/>
            <w:tcBorders>
              <w:left w:val="single" w:color="000000" w:sz="2" w:space="0"/>
              <w:bottom w:val="single" w:color="000000" w:sz="2" w:space="0"/>
            </w:tcBorders>
            <w:vAlign w:val="top"/>
          </w:tcPr>
          <w:p w14:paraId="61287F2A">
            <w:pPr>
              <w:pStyle w:val="6"/>
              <w:spacing w:before="40" w:line="219" w:lineRule="auto"/>
              <w:ind w:left="108"/>
              <w:rPr>
                <w:sz w:val="24"/>
                <w:szCs w:val="24"/>
              </w:rPr>
            </w:pPr>
            <w:r>
              <w:rPr>
                <w:spacing w:val="-1"/>
                <w:sz w:val="24"/>
                <w:szCs w:val="24"/>
              </w:rPr>
              <w:t>放工程弃土、废泥浆、废弃的混凝土、生活垃圾等施工废物。</w:t>
            </w:r>
          </w:p>
          <w:p w14:paraId="251D24FC">
            <w:pPr>
              <w:pStyle w:val="6"/>
              <w:spacing w:before="181" w:line="359" w:lineRule="auto"/>
              <w:ind w:left="107" w:right="102" w:firstLine="492"/>
              <w:rPr>
                <w:sz w:val="24"/>
                <w:szCs w:val="24"/>
              </w:rPr>
            </w:pPr>
            <w:r>
              <w:rPr>
                <w:spacing w:val="-1"/>
                <w:sz w:val="24"/>
                <w:szCs w:val="24"/>
              </w:rPr>
              <w:t>（</w:t>
            </w:r>
            <w:r>
              <w:rPr>
                <w:rFonts w:ascii="Times New Roman" w:hAnsi="Times New Roman" w:eastAsia="Times New Roman" w:cs="Times New Roman"/>
                <w:spacing w:val="-1"/>
                <w:sz w:val="24"/>
                <w:szCs w:val="24"/>
              </w:rPr>
              <w:t>5</w:t>
            </w:r>
            <w:r>
              <w:rPr>
                <w:spacing w:val="-1"/>
                <w:sz w:val="24"/>
                <w:szCs w:val="24"/>
              </w:rPr>
              <w:t>）施工临时占地采取隔离保护措施，如铺设彩条布、草垫或棕垫，防止</w:t>
            </w:r>
            <w:r>
              <w:rPr>
                <w:spacing w:val="-4"/>
                <w:sz w:val="24"/>
                <w:szCs w:val="24"/>
              </w:rPr>
              <w:t>施工活动破坏地表植被；施工结束后将多余砂石料、混凝土残渣等及时清除，以</w:t>
            </w:r>
            <w:r>
              <w:rPr>
                <w:spacing w:val="-1"/>
                <w:sz w:val="24"/>
                <w:szCs w:val="24"/>
              </w:rPr>
              <w:t>免影响后期土地功能和植被恢复，做到</w:t>
            </w:r>
            <w:r>
              <w:rPr>
                <w:rFonts w:ascii="Times New Roman" w:hAnsi="Times New Roman" w:eastAsia="Times New Roman" w:cs="Times New Roman"/>
                <w:spacing w:val="-1"/>
                <w:sz w:val="24"/>
                <w:szCs w:val="24"/>
              </w:rPr>
              <w:t>“</w:t>
            </w:r>
            <w:r>
              <w:rPr>
                <w:spacing w:val="-1"/>
                <w:sz w:val="24"/>
                <w:szCs w:val="24"/>
              </w:rPr>
              <w:t>工完、料尽、场地清</w:t>
            </w:r>
            <w:r>
              <w:rPr>
                <w:rFonts w:ascii="Times New Roman" w:hAnsi="Times New Roman" w:eastAsia="Times New Roman" w:cs="Times New Roman"/>
                <w:spacing w:val="-1"/>
                <w:sz w:val="24"/>
                <w:szCs w:val="24"/>
              </w:rPr>
              <w:t>”</w:t>
            </w:r>
            <w:r>
              <w:rPr>
                <w:spacing w:val="-1"/>
                <w:sz w:val="24"/>
                <w:szCs w:val="24"/>
              </w:rPr>
              <w:t>。</w:t>
            </w:r>
          </w:p>
          <w:p w14:paraId="2FE174C6">
            <w:pPr>
              <w:pStyle w:val="6"/>
              <w:spacing w:line="359" w:lineRule="auto"/>
              <w:ind w:left="110" w:right="109" w:firstLine="489"/>
              <w:rPr>
                <w:sz w:val="24"/>
                <w:szCs w:val="24"/>
              </w:rPr>
            </w:pPr>
            <w:r>
              <w:rPr>
                <w:spacing w:val="-1"/>
                <w:sz w:val="24"/>
                <w:szCs w:val="24"/>
              </w:rPr>
              <w:t>（</w:t>
            </w:r>
            <w:r>
              <w:rPr>
                <w:rFonts w:ascii="Times New Roman" w:hAnsi="Times New Roman" w:eastAsia="Times New Roman" w:cs="Times New Roman"/>
                <w:spacing w:val="-1"/>
                <w:sz w:val="24"/>
                <w:szCs w:val="24"/>
              </w:rPr>
              <w:t>6</w:t>
            </w:r>
            <w:r>
              <w:rPr>
                <w:spacing w:val="-1"/>
                <w:sz w:val="24"/>
                <w:szCs w:val="24"/>
              </w:rPr>
              <w:t>）项目施工机械设备的维护在附近机械修理厂解决，不在施工区域进行涉油维修，并加强和规范设备日常维护，避免油泄漏和废弃油料产生。</w:t>
            </w:r>
          </w:p>
          <w:p w14:paraId="10D219CE">
            <w:pPr>
              <w:pStyle w:val="6"/>
              <w:spacing w:line="219" w:lineRule="auto"/>
              <w:ind w:left="107"/>
              <w:rPr>
                <w:sz w:val="24"/>
                <w:szCs w:val="24"/>
              </w:rPr>
            </w:pPr>
            <w:r>
              <w:rPr>
                <w:rFonts w:ascii="Times New Roman" w:hAnsi="Times New Roman" w:eastAsia="Times New Roman" w:cs="Times New Roman"/>
                <w:b/>
                <w:bCs/>
                <w:spacing w:val="-4"/>
                <w:sz w:val="24"/>
                <w:szCs w:val="24"/>
              </w:rPr>
              <w:t>7</w:t>
            </w:r>
            <w:r>
              <w:rPr>
                <w:rFonts w:ascii="Times New Roman" w:hAnsi="Times New Roman" w:eastAsia="Times New Roman" w:cs="Times New Roman"/>
                <w:b/>
                <w:bCs/>
                <w:spacing w:val="-26"/>
                <w:sz w:val="24"/>
                <w:szCs w:val="24"/>
              </w:rPr>
              <w:t xml:space="preserve"> </w:t>
            </w:r>
            <w:r>
              <w:rPr>
                <w:b/>
                <w:bCs/>
                <w:spacing w:val="-4"/>
                <w:sz w:val="24"/>
                <w:szCs w:val="24"/>
              </w:rPr>
              <w:t>、施工期环保措施责任主体及实施效果</w:t>
            </w:r>
          </w:p>
          <w:p w14:paraId="2D80A7EC">
            <w:pPr>
              <w:pStyle w:val="6"/>
              <w:spacing w:before="182" w:line="352" w:lineRule="auto"/>
              <w:ind w:left="108" w:right="40" w:firstLine="480"/>
              <w:jc w:val="both"/>
              <w:rPr>
                <w:sz w:val="24"/>
                <w:szCs w:val="24"/>
              </w:rPr>
            </w:pPr>
            <w:r>
              <w:rPr>
                <w:spacing w:val="-4"/>
                <w:sz w:val="24"/>
                <w:szCs w:val="24"/>
              </w:rPr>
              <w:t>本项目施工期采取的生态环境保护措施的责任主体为施工单位，施工单位应</w:t>
            </w:r>
            <w:r>
              <w:rPr>
                <w:spacing w:val="-8"/>
                <w:sz w:val="24"/>
                <w:szCs w:val="24"/>
              </w:rPr>
              <w:t>严格依照相关要求确保措施有效落实；经分析，以</w:t>
            </w:r>
            <w:r>
              <w:rPr>
                <w:spacing w:val="-9"/>
                <w:sz w:val="24"/>
                <w:szCs w:val="24"/>
              </w:rPr>
              <w:t>上生态影响保护措施技术可行，</w:t>
            </w:r>
            <w:r>
              <w:rPr>
                <w:spacing w:val="-4"/>
                <w:sz w:val="24"/>
                <w:szCs w:val="24"/>
              </w:rPr>
              <w:t>经济合理，便于实施，在采取上述措施后，可有效控制水土流失，不影响永久基本农田区机械化耕作，保护区域生态环境，使本工程的建设对生态环境的影响在</w:t>
            </w:r>
            <w:r>
              <w:rPr>
                <w:spacing w:val="-1"/>
                <w:sz w:val="24"/>
                <w:szCs w:val="24"/>
              </w:rPr>
              <w:t>环境可接受的范围内。</w:t>
            </w:r>
          </w:p>
        </w:tc>
      </w:tr>
      <w:tr w14:paraId="5FC88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45" w:hRule="atLeast"/>
        </w:trPr>
        <w:tc>
          <w:tcPr>
            <w:tcW w:w="564" w:type="dxa"/>
            <w:tcBorders>
              <w:top w:val="single" w:color="000000" w:sz="2" w:space="0"/>
              <w:right w:val="single" w:color="000000" w:sz="2" w:space="0"/>
            </w:tcBorders>
            <w:vAlign w:val="top"/>
          </w:tcPr>
          <w:p w14:paraId="623267ED">
            <w:pPr>
              <w:spacing w:line="248" w:lineRule="auto"/>
              <w:rPr>
                <w:rFonts w:ascii="Arial"/>
                <w:sz w:val="21"/>
              </w:rPr>
            </w:pPr>
          </w:p>
          <w:p w14:paraId="262DC04F">
            <w:pPr>
              <w:spacing w:line="248" w:lineRule="auto"/>
              <w:rPr>
                <w:rFonts w:ascii="Arial"/>
                <w:sz w:val="21"/>
              </w:rPr>
            </w:pPr>
          </w:p>
          <w:p w14:paraId="31C2F46A">
            <w:pPr>
              <w:spacing w:line="248" w:lineRule="auto"/>
              <w:rPr>
                <w:rFonts w:ascii="Arial"/>
                <w:sz w:val="21"/>
              </w:rPr>
            </w:pPr>
          </w:p>
          <w:p w14:paraId="2C7C0B36">
            <w:pPr>
              <w:spacing w:line="248" w:lineRule="auto"/>
              <w:rPr>
                <w:rFonts w:ascii="Arial"/>
                <w:sz w:val="21"/>
              </w:rPr>
            </w:pPr>
          </w:p>
          <w:p w14:paraId="7A3B1EE2">
            <w:pPr>
              <w:spacing w:line="248" w:lineRule="auto"/>
              <w:rPr>
                <w:rFonts w:ascii="Arial"/>
                <w:sz w:val="21"/>
              </w:rPr>
            </w:pPr>
          </w:p>
          <w:p w14:paraId="66E082AD">
            <w:pPr>
              <w:spacing w:line="249" w:lineRule="auto"/>
              <w:rPr>
                <w:rFonts w:ascii="Arial"/>
                <w:sz w:val="21"/>
              </w:rPr>
            </w:pPr>
          </w:p>
          <w:p w14:paraId="5521FF3F">
            <w:pPr>
              <w:spacing w:line="249" w:lineRule="auto"/>
              <w:rPr>
                <w:rFonts w:ascii="Arial"/>
                <w:sz w:val="21"/>
              </w:rPr>
            </w:pPr>
          </w:p>
          <w:p w14:paraId="6347DC15">
            <w:pPr>
              <w:spacing w:line="249" w:lineRule="auto"/>
              <w:rPr>
                <w:rFonts w:ascii="Arial"/>
                <w:sz w:val="21"/>
              </w:rPr>
            </w:pPr>
          </w:p>
          <w:p w14:paraId="3F5DC2C2">
            <w:pPr>
              <w:spacing w:line="249" w:lineRule="auto"/>
              <w:rPr>
                <w:rFonts w:ascii="Arial"/>
                <w:sz w:val="21"/>
              </w:rPr>
            </w:pPr>
          </w:p>
          <w:p w14:paraId="41313B86">
            <w:pPr>
              <w:spacing w:line="249" w:lineRule="auto"/>
              <w:rPr>
                <w:rFonts w:ascii="Arial"/>
                <w:sz w:val="21"/>
              </w:rPr>
            </w:pPr>
          </w:p>
          <w:p w14:paraId="2A81C68B">
            <w:pPr>
              <w:spacing w:line="249" w:lineRule="auto"/>
              <w:rPr>
                <w:rFonts w:ascii="Arial"/>
                <w:sz w:val="21"/>
              </w:rPr>
            </w:pPr>
          </w:p>
          <w:p w14:paraId="6EC25837">
            <w:pPr>
              <w:spacing w:line="249" w:lineRule="auto"/>
              <w:rPr>
                <w:rFonts w:ascii="Arial"/>
                <w:sz w:val="21"/>
              </w:rPr>
            </w:pPr>
          </w:p>
          <w:p w14:paraId="70F04F8C">
            <w:pPr>
              <w:pStyle w:val="6"/>
              <w:spacing w:before="78"/>
              <w:ind w:left="41" w:right="42"/>
              <w:jc w:val="both"/>
              <w:rPr>
                <w:sz w:val="24"/>
                <w:szCs w:val="24"/>
              </w:rPr>
            </w:pPr>
            <w:r>
              <w:rPr>
                <w:spacing w:val="-5"/>
                <w:sz w:val="24"/>
                <w:szCs w:val="24"/>
              </w:rPr>
              <w:t>运营期生态环境保护措</w:t>
            </w:r>
            <w:r>
              <w:rPr>
                <w:spacing w:val="36"/>
                <w:w w:val="131"/>
                <w:sz w:val="24"/>
                <w:szCs w:val="24"/>
              </w:rPr>
              <w:t>施</w:t>
            </w:r>
          </w:p>
        </w:tc>
        <w:tc>
          <w:tcPr>
            <w:tcW w:w="8499" w:type="dxa"/>
            <w:tcBorders>
              <w:top w:val="single" w:color="000000" w:sz="2" w:space="0"/>
              <w:left w:val="single" w:color="000000" w:sz="2" w:space="0"/>
            </w:tcBorders>
            <w:vAlign w:val="top"/>
          </w:tcPr>
          <w:p w14:paraId="5C654719">
            <w:pPr>
              <w:pStyle w:val="6"/>
              <w:spacing w:before="40" w:line="220" w:lineRule="auto"/>
              <w:ind w:left="115"/>
              <w:rPr>
                <w:sz w:val="24"/>
                <w:szCs w:val="24"/>
              </w:rPr>
            </w:pPr>
            <w:r>
              <w:rPr>
                <w:rFonts w:ascii="Times New Roman" w:hAnsi="Times New Roman" w:eastAsia="Times New Roman" w:cs="Times New Roman"/>
                <w:b/>
                <w:bCs/>
                <w:spacing w:val="-5"/>
                <w:sz w:val="24"/>
                <w:szCs w:val="24"/>
              </w:rPr>
              <w:t>1</w:t>
            </w:r>
            <w:r>
              <w:rPr>
                <w:rFonts w:ascii="Times New Roman" w:hAnsi="Times New Roman" w:eastAsia="Times New Roman" w:cs="Times New Roman"/>
                <w:b/>
                <w:bCs/>
                <w:spacing w:val="-33"/>
                <w:sz w:val="24"/>
                <w:szCs w:val="24"/>
              </w:rPr>
              <w:t xml:space="preserve"> </w:t>
            </w:r>
            <w:r>
              <w:rPr>
                <w:b/>
                <w:bCs/>
                <w:spacing w:val="-5"/>
                <w:sz w:val="24"/>
                <w:szCs w:val="24"/>
              </w:rPr>
              <w:t>、运营期生态环境影响措施</w:t>
            </w:r>
          </w:p>
          <w:p w14:paraId="0763FEED">
            <w:pPr>
              <w:pStyle w:val="6"/>
              <w:spacing w:before="181" w:line="359" w:lineRule="auto"/>
              <w:ind w:left="109" w:right="102" w:firstLine="478"/>
              <w:rPr>
                <w:sz w:val="24"/>
                <w:szCs w:val="24"/>
              </w:rPr>
            </w:pPr>
            <w:r>
              <w:rPr>
                <w:spacing w:val="-4"/>
                <w:sz w:val="24"/>
                <w:szCs w:val="24"/>
              </w:rPr>
              <w:t>①在项目运行期需对线路沿线及塔基进行定期巡查及检修，应对线路运行维护人员进行生态环境保护宣传教育，尤其是野生动植物保护相关知识的培训，提</w:t>
            </w:r>
            <w:r>
              <w:rPr>
                <w:sz w:val="24"/>
                <w:szCs w:val="24"/>
              </w:rPr>
              <w:t>高他们的环境保护意识，不对工程周边区域的动</w:t>
            </w:r>
            <w:r>
              <w:rPr>
                <w:spacing w:val="-1"/>
                <w:sz w:val="24"/>
                <w:szCs w:val="24"/>
              </w:rPr>
              <w:t>植物及生态环境造成破坏。</w:t>
            </w:r>
          </w:p>
          <w:p w14:paraId="1ACFD820">
            <w:pPr>
              <w:pStyle w:val="6"/>
              <w:spacing w:before="2" w:line="359" w:lineRule="auto"/>
              <w:ind w:left="106" w:right="48" w:firstLine="479"/>
              <w:rPr>
                <w:sz w:val="24"/>
                <w:szCs w:val="24"/>
              </w:rPr>
            </w:pPr>
            <w:r>
              <w:rPr>
                <w:spacing w:val="-4"/>
                <w:sz w:val="24"/>
                <w:szCs w:val="24"/>
              </w:rPr>
              <w:t>②定期对线路沿线生态保护和防护措施及设施进行检查，跟踪生态保护与恢</w:t>
            </w:r>
            <w:r>
              <w:rPr>
                <w:spacing w:val="-2"/>
                <w:sz w:val="24"/>
                <w:szCs w:val="24"/>
              </w:rPr>
              <w:t>复效果，以便及时采取后续措施。输电线路使用警示色。根据鸟类的视觉特征，</w:t>
            </w:r>
            <w:r>
              <w:rPr>
                <w:spacing w:val="-4"/>
                <w:sz w:val="24"/>
                <w:szCs w:val="24"/>
              </w:rPr>
              <w:t>将高压输电线路导线设置成对鸟类具有警示作用的颜色，提醒鸟类对障碍物的识</w:t>
            </w:r>
            <w:r>
              <w:rPr>
                <w:spacing w:val="-1"/>
                <w:sz w:val="24"/>
                <w:szCs w:val="24"/>
              </w:rPr>
              <w:t>别，减少碰撞几率。</w:t>
            </w:r>
          </w:p>
          <w:p w14:paraId="53FB2C66">
            <w:pPr>
              <w:pStyle w:val="6"/>
              <w:spacing w:line="359" w:lineRule="auto"/>
              <w:ind w:left="107" w:right="102" w:firstLine="479"/>
              <w:rPr>
                <w:sz w:val="24"/>
                <w:szCs w:val="24"/>
              </w:rPr>
            </w:pPr>
            <w:r>
              <w:rPr>
                <w:spacing w:val="-4"/>
                <w:sz w:val="24"/>
                <w:szCs w:val="24"/>
              </w:rPr>
              <w:t>③线路运行后，进行维护或巡视时不得新开道路。设置告示牌和警示牌。应对运行维护人员进行生态环境保护宣传和教育，尤其是野生动植物保护相关知识的培训，提高环境保护意识，禁止维护人员引入外来物种，不对周边的动植物及</w:t>
            </w:r>
            <w:r>
              <w:rPr>
                <w:spacing w:val="-1"/>
                <w:sz w:val="24"/>
                <w:szCs w:val="24"/>
              </w:rPr>
              <w:t>生态环境进行破坏。</w:t>
            </w:r>
          </w:p>
          <w:p w14:paraId="627FCD5B">
            <w:pPr>
              <w:pStyle w:val="6"/>
              <w:spacing w:line="220" w:lineRule="auto"/>
              <w:ind w:left="105"/>
              <w:rPr>
                <w:sz w:val="24"/>
                <w:szCs w:val="24"/>
              </w:rPr>
            </w:pPr>
            <w:r>
              <w:rPr>
                <w:rFonts w:ascii="Times New Roman" w:hAnsi="Times New Roman" w:eastAsia="Times New Roman" w:cs="Times New Roman"/>
                <w:b/>
                <w:bCs/>
                <w:spacing w:val="-5"/>
                <w:sz w:val="24"/>
                <w:szCs w:val="24"/>
              </w:rPr>
              <w:t>2</w:t>
            </w:r>
            <w:r>
              <w:rPr>
                <w:rFonts w:ascii="Times New Roman" w:hAnsi="Times New Roman" w:eastAsia="Times New Roman" w:cs="Times New Roman"/>
                <w:b/>
                <w:bCs/>
                <w:spacing w:val="-34"/>
                <w:sz w:val="24"/>
                <w:szCs w:val="24"/>
              </w:rPr>
              <w:t xml:space="preserve"> </w:t>
            </w:r>
            <w:r>
              <w:rPr>
                <w:b/>
                <w:bCs/>
                <w:spacing w:val="-5"/>
                <w:sz w:val="24"/>
                <w:szCs w:val="24"/>
              </w:rPr>
              <w:t>、大气环境保护措施</w:t>
            </w:r>
          </w:p>
          <w:p w14:paraId="4632B1B3">
            <w:pPr>
              <w:pStyle w:val="6"/>
              <w:spacing w:before="179" w:line="359" w:lineRule="auto"/>
              <w:ind w:left="110" w:right="40" w:firstLine="480"/>
              <w:rPr>
                <w:sz w:val="24"/>
                <w:szCs w:val="24"/>
              </w:rPr>
            </w:pPr>
            <w:r>
              <w:rPr>
                <w:spacing w:val="-9"/>
                <w:sz w:val="24"/>
                <w:szCs w:val="24"/>
              </w:rPr>
              <w:t>线路无废气产生；变电站值班人员较少，采用电源烹饪，少量饮食油烟产生，</w:t>
            </w:r>
            <w:r>
              <w:rPr>
                <w:spacing w:val="-1"/>
                <w:sz w:val="24"/>
                <w:szCs w:val="24"/>
              </w:rPr>
              <w:t>经大气稀释后排放，对周边环境影响较小。</w:t>
            </w:r>
          </w:p>
          <w:p w14:paraId="10C0CCCC">
            <w:pPr>
              <w:pStyle w:val="6"/>
              <w:spacing w:before="1" w:line="219" w:lineRule="auto"/>
              <w:ind w:left="103"/>
              <w:rPr>
                <w:sz w:val="24"/>
                <w:szCs w:val="24"/>
              </w:rPr>
            </w:pPr>
            <w:r>
              <w:rPr>
                <w:rFonts w:ascii="Times New Roman" w:hAnsi="Times New Roman" w:eastAsia="Times New Roman" w:cs="Times New Roman"/>
                <w:b/>
                <w:bCs/>
                <w:spacing w:val="-5"/>
                <w:sz w:val="24"/>
                <w:szCs w:val="24"/>
              </w:rPr>
              <w:t>3</w:t>
            </w:r>
            <w:r>
              <w:rPr>
                <w:rFonts w:ascii="Times New Roman" w:hAnsi="Times New Roman" w:eastAsia="Times New Roman" w:cs="Times New Roman"/>
                <w:b/>
                <w:bCs/>
                <w:spacing w:val="-28"/>
                <w:sz w:val="24"/>
                <w:szCs w:val="24"/>
              </w:rPr>
              <w:t xml:space="preserve"> </w:t>
            </w:r>
            <w:r>
              <w:rPr>
                <w:b/>
                <w:bCs/>
                <w:spacing w:val="-5"/>
                <w:sz w:val="24"/>
                <w:szCs w:val="24"/>
              </w:rPr>
              <w:t>、地表水环境保护措施</w:t>
            </w:r>
          </w:p>
          <w:p w14:paraId="0ACB7D0A">
            <w:pPr>
              <w:pStyle w:val="6"/>
              <w:spacing w:before="182" w:line="219" w:lineRule="auto"/>
              <w:ind w:left="600"/>
              <w:rPr>
                <w:sz w:val="24"/>
                <w:szCs w:val="24"/>
              </w:rPr>
            </w:pPr>
            <w:r>
              <w:rPr>
                <w:spacing w:val="-1"/>
                <w:sz w:val="24"/>
                <w:szCs w:val="24"/>
              </w:rPr>
              <w:t>（</w:t>
            </w:r>
            <w:r>
              <w:rPr>
                <w:rFonts w:ascii="Times New Roman" w:hAnsi="Times New Roman" w:eastAsia="Times New Roman" w:cs="Times New Roman"/>
                <w:spacing w:val="-1"/>
                <w:sz w:val="24"/>
                <w:szCs w:val="24"/>
              </w:rPr>
              <w:t>1</w:t>
            </w:r>
            <w:r>
              <w:rPr>
                <w:spacing w:val="-1"/>
                <w:sz w:val="24"/>
                <w:szCs w:val="24"/>
              </w:rPr>
              <w:t>）松山变电站采用雨污分流排水系统，在</w:t>
            </w:r>
            <w:r>
              <w:rPr>
                <w:spacing w:val="-2"/>
                <w:sz w:val="24"/>
                <w:szCs w:val="24"/>
              </w:rPr>
              <w:t>变电站设置一个容积</w:t>
            </w:r>
            <w:r>
              <w:rPr>
                <w:spacing w:val="-57"/>
                <w:sz w:val="24"/>
                <w:szCs w:val="24"/>
              </w:rPr>
              <w:t xml:space="preserve"> </w:t>
            </w:r>
            <w:r>
              <w:rPr>
                <w:rFonts w:ascii="Times New Roman" w:hAnsi="Times New Roman" w:eastAsia="Times New Roman" w:cs="Times New Roman"/>
                <w:spacing w:val="-2"/>
                <w:sz w:val="24"/>
                <w:szCs w:val="24"/>
              </w:rPr>
              <w:t>2m</w:t>
            </w:r>
            <w:r>
              <w:rPr>
                <w:rFonts w:ascii="Times New Roman" w:hAnsi="Times New Roman" w:eastAsia="Times New Roman" w:cs="Times New Roman"/>
                <w:spacing w:val="-2"/>
                <w:position w:val="8"/>
                <w:sz w:val="15"/>
                <w:szCs w:val="15"/>
              </w:rPr>
              <w:t>3</w:t>
            </w:r>
            <w:r>
              <w:rPr>
                <w:rFonts w:ascii="Times New Roman" w:hAnsi="Times New Roman" w:eastAsia="Times New Roman" w:cs="Times New Roman"/>
                <w:spacing w:val="31"/>
                <w:position w:val="8"/>
                <w:sz w:val="15"/>
                <w:szCs w:val="15"/>
              </w:rPr>
              <w:t xml:space="preserve"> </w:t>
            </w:r>
            <w:r>
              <w:rPr>
                <w:spacing w:val="-2"/>
                <w:sz w:val="24"/>
                <w:szCs w:val="24"/>
              </w:rPr>
              <w:t>的化</w:t>
            </w:r>
          </w:p>
        </w:tc>
      </w:tr>
    </w:tbl>
    <w:p w14:paraId="021741BA">
      <w:pPr>
        <w:rPr>
          <w:rFonts w:ascii="Arial"/>
          <w:sz w:val="21"/>
        </w:rPr>
      </w:pPr>
    </w:p>
    <w:p w14:paraId="78B7C53B">
      <w:pPr>
        <w:rPr>
          <w:rFonts w:ascii="Arial" w:hAnsi="Arial" w:eastAsia="Arial" w:cs="Arial"/>
          <w:sz w:val="21"/>
          <w:szCs w:val="21"/>
        </w:rPr>
        <w:sectPr>
          <w:footerReference r:id="rId134" w:type="default"/>
          <w:pgSz w:w="11907" w:h="16840"/>
          <w:pgMar w:top="400" w:right="1301" w:bottom="1240" w:left="1527" w:header="0" w:footer="1077" w:gutter="0"/>
          <w:cols w:space="720" w:num="1"/>
        </w:sectPr>
      </w:pPr>
    </w:p>
    <w:p w14:paraId="16F6EEB6">
      <w:pPr>
        <w:spacing w:before="13"/>
      </w:pPr>
    </w:p>
    <w:p w14:paraId="21C145A9">
      <w:pPr>
        <w:spacing w:before="13"/>
      </w:pPr>
    </w:p>
    <w:p w14:paraId="15D5DC78">
      <w:pPr>
        <w:spacing w:before="13"/>
      </w:pPr>
    </w:p>
    <w:p w14:paraId="42C6312D">
      <w:pPr>
        <w:spacing w:before="12"/>
      </w:pPr>
    </w:p>
    <w:tbl>
      <w:tblPr>
        <w:tblStyle w:val="5"/>
        <w:tblW w:w="90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4"/>
        <w:gridCol w:w="8499"/>
      </w:tblGrid>
      <w:tr w14:paraId="76243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48" w:hRule="atLeast"/>
        </w:trPr>
        <w:tc>
          <w:tcPr>
            <w:tcW w:w="564" w:type="dxa"/>
            <w:tcBorders>
              <w:right w:val="single" w:color="000000" w:sz="2" w:space="0"/>
            </w:tcBorders>
            <w:vAlign w:val="top"/>
          </w:tcPr>
          <w:p w14:paraId="0FE59C5B">
            <w:pPr>
              <w:rPr>
                <w:rFonts w:ascii="Arial"/>
                <w:sz w:val="21"/>
              </w:rPr>
            </w:pPr>
          </w:p>
        </w:tc>
        <w:tc>
          <w:tcPr>
            <w:tcW w:w="8499" w:type="dxa"/>
            <w:tcBorders>
              <w:left w:val="single" w:color="000000" w:sz="2" w:space="0"/>
            </w:tcBorders>
            <w:vAlign w:val="top"/>
          </w:tcPr>
          <w:p w14:paraId="4C6A8D9F">
            <w:pPr>
              <w:pStyle w:val="6"/>
              <w:spacing w:before="31" w:line="359" w:lineRule="auto"/>
              <w:ind w:left="111" w:right="22" w:hanging="1"/>
              <w:rPr>
                <w:sz w:val="24"/>
                <w:szCs w:val="24"/>
              </w:rPr>
            </w:pPr>
            <w:r>
              <w:rPr>
                <w:spacing w:val="-7"/>
                <w:sz w:val="24"/>
                <w:szCs w:val="24"/>
              </w:rPr>
              <w:t>粪池，对变电站生活污水进行预处理。预处理后的生活污水再经</w:t>
            </w:r>
            <w:r>
              <w:rPr>
                <w:spacing w:val="-34"/>
                <w:sz w:val="24"/>
                <w:szCs w:val="24"/>
              </w:rPr>
              <w:t xml:space="preserve"> </w:t>
            </w:r>
            <w:r>
              <w:rPr>
                <w:rFonts w:ascii="Times New Roman" w:hAnsi="Times New Roman" w:eastAsia="Times New Roman" w:cs="Times New Roman"/>
                <w:spacing w:val="-7"/>
                <w:sz w:val="24"/>
                <w:szCs w:val="24"/>
              </w:rPr>
              <w:t>1</w:t>
            </w:r>
            <w:r>
              <w:rPr>
                <w:rFonts w:ascii="Times New Roman" w:hAnsi="Times New Roman" w:eastAsia="Times New Roman" w:cs="Times New Roman"/>
                <w:spacing w:val="-8"/>
                <w:sz w:val="24"/>
                <w:szCs w:val="24"/>
              </w:rPr>
              <w:t xml:space="preserve"> </w:t>
            </w:r>
            <w:r>
              <w:rPr>
                <w:spacing w:val="-8"/>
                <w:sz w:val="24"/>
                <w:szCs w:val="24"/>
              </w:rPr>
              <w:t>座规模为</w:t>
            </w:r>
            <w:r>
              <w:rPr>
                <w:spacing w:val="-54"/>
                <w:sz w:val="24"/>
                <w:szCs w:val="24"/>
              </w:rPr>
              <w:t xml:space="preserve"> </w:t>
            </w:r>
            <w:r>
              <w:rPr>
                <w:rFonts w:ascii="Times New Roman" w:hAnsi="Times New Roman" w:eastAsia="Times New Roman" w:cs="Times New Roman"/>
                <w:spacing w:val="-8"/>
                <w:sz w:val="24"/>
                <w:szCs w:val="24"/>
              </w:rPr>
              <w:t>0.5t/h</w:t>
            </w:r>
            <w:r>
              <w:rPr>
                <w:spacing w:val="-8"/>
                <w:sz w:val="24"/>
                <w:szCs w:val="24"/>
              </w:rPr>
              <w:t>一体化污水处理设施处理后，全部回用于进站道路两侧绿化带绿化洒水，不外排。</w:t>
            </w:r>
          </w:p>
          <w:p w14:paraId="31573617">
            <w:pPr>
              <w:pStyle w:val="6"/>
              <w:spacing w:line="219" w:lineRule="auto"/>
              <w:ind w:left="600"/>
              <w:rPr>
                <w:sz w:val="24"/>
                <w:szCs w:val="24"/>
              </w:rPr>
            </w:pPr>
            <w:r>
              <w:rPr>
                <w:spacing w:val="-1"/>
                <w:sz w:val="24"/>
                <w:szCs w:val="24"/>
              </w:rPr>
              <w:t>（</w:t>
            </w:r>
            <w:r>
              <w:rPr>
                <w:rFonts w:ascii="Times New Roman" w:hAnsi="Times New Roman" w:eastAsia="Times New Roman" w:cs="Times New Roman"/>
                <w:spacing w:val="-1"/>
                <w:sz w:val="24"/>
                <w:szCs w:val="24"/>
              </w:rPr>
              <w:t>2</w:t>
            </w:r>
            <w:r>
              <w:rPr>
                <w:spacing w:val="-1"/>
                <w:sz w:val="24"/>
                <w:szCs w:val="24"/>
              </w:rPr>
              <w:t>）线路巡检过程中，禁止向周围水体排放污水。</w:t>
            </w:r>
          </w:p>
          <w:p w14:paraId="7070BF1C">
            <w:pPr>
              <w:pStyle w:val="6"/>
              <w:spacing w:before="180" w:line="220" w:lineRule="auto"/>
              <w:ind w:left="105"/>
              <w:rPr>
                <w:sz w:val="24"/>
                <w:szCs w:val="24"/>
              </w:rPr>
            </w:pPr>
            <w:r>
              <w:rPr>
                <w:rFonts w:ascii="Times New Roman" w:hAnsi="Times New Roman" w:eastAsia="Times New Roman" w:cs="Times New Roman"/>
                <w:b/>
                <w:bCs/>
                <w:spacing w:val="-5"/>
                <w:sz w:val="24"/>
                <w:szCs w:val="24"/>
              </w:rPr>
              <w:t>4</w:t>
            </w:r>
            <w:r>
              <w:rPr>
                <w:rFonts w:ascii="Times New Roman" w:hAnsi="Times New Roman" w:eastAsia="Times New Roman" w:cs="Times New Roman"/>
                <w:b/>
                <w:bCs/>
                <w:spacing w:val="-33"/>
                <w:sz w:val="24"/>
                <w:szCs w:val="24"/>
              </w:rPr>
              <w:t xml:space="preserve"> </w:t>
            </w:r>
            <w:r>
              <w:rPr>
                <w:b/>
                <w:bCs/>
                <w:spacing w:val="-5"/>
                <w:sz w:val="24"/>
                <w:szCs w:val="24"/>
              </w:rPr>
              <w:t>、电磁环境保护措施</w:t>
            </w:r>
          </w:p>
          <w:p w14:paraId="2DDD1207">
            <w:pPr>
              <w:pStyle w:val="6"/>
              <w:spacing w:before="182" w:line="220" w:lineRule="auto"/>
              <w:ind w:left="600"/>
              <w:rPr>
                <w:sz w:val="24"/>
                <w:szCs w:val="24"/>
              </w:rPr>
            </w:pPr>
            <w:r>
              <w:rPr>
                <w:b/>
                <w:bCs/>
                <w:spacing w:val="-4"/>
                <w:sz w:val="24"/>
                <w:szCs w:val="24"/>
              </w:rPr>
              <w:t>（</w:t>
            </w:r>
            <w:r>
              <w:rPr>
                <w:rFonts w:ascii="Times New Roman" w:hAnsi="Times New Roman" w:eastAsia="Times New Roman" w:cs="Times New Roman"/>
                <w:b/>
                <w:bCs/>
                <w:spacing w:val="-4"/>
                <w:sz w:val="24"/>
                <w:szCs w:val="24"/>
              </w:rPr>
              <w:t>1</w:t>
            </w:r>
            <w:r>
              <w:rPr>
                <w:b/>
                <w:bCs/>
                <w:spacing w:val="-4"/>
                <w:sz w:val="24"/>
                <w:szCs w:val="24"/>
              </w:rPr>
              <w:t>）设计施工阶段措施</w:t>
            </w:r>
          </w:p>
          <w:p w14:paraId="39256DF5">
            <w:pPr>
              <w:pStyle w:val="6"/>
              <w:spacing w:before="181" w:line="359" w:lineRule="auto"/>
              <w:ind w:left="111" w:right="48" w:firstLine="495"/>
              <w:rPr>
                <w:sz w:val="24"/>
                <w:szCs w:val="24"/>
              </w:rPr>
            </w:pPr>
            <w:r>
              <w:rPr>
                <w:rFonts w:ascii="Times New Roman" w:hAnsi="Times New Roman" w:eastAsia="Times New Roman" w:cs="Times New Roman"/>
                <w:spacing w:val="-1"/>
                <w:sz w:val="24"/>
                <w:szCs w:val="24"/>
              </w:rPr>
              <w:t>1</w:t>
            </w:r>
            <w:r>
              <w:rPr>
                <w:spacing w:val="-1"/>
                <w:sz w:val="24"/>
                <w:szCs w:val="24"/>
              </w:rPr>
              <w:t>）变电站内电气设备采取集中布置方式，在设计中应按有关规程采取一系</w:t>
            </w:r>
            <w:r>
              <w:rPr>
                <w:spacing w:val="-4"/>
                <w:sz w:val="24"/>
                <w:szCs w:val="24"/>
              </w:rPr>
              <w:t>列的控制过电压、电磁感应场强水平的措施，如保证导体和电气设备之间的电气安全距离，选用具有低辐射、抗干扰能力的设备，设置防雷接地保护装置；在设</w:t>
            </w:r>
            <w:r>
              <w:rPr>
                <w:spacing w:val="-3"/>
                <w:sz w:val="24"/>
                <w:szCs w:val="24"/>
              </w:rPr>
              <w:t>备的高压导电部件上设置不同形状和数量的均压环（</w:t>
            </w:r>
            <w:r>
              <w:rPr>
                <w:spacing w:val="-4"/>
                <w:sz w:val="24"/>
                <w:szCs w:val="24"/>
              </w:rPr>
              <w:t>或罩</w:t>
            </w:r>
            <w:r>
              <w:rPr>
                <w:spacing w:val="18"/>
                <w:sz w:val="24"/>
                <w:szCs w:val="24"/>
              </w:rPr>
              <w:t>），</w:t>
            </w:r>
            <w:r>
              <w:rPr>
                <w:spacing w:val="-4"/>
                <w:sz w:val="24"/>
                <w:szCs w:val="24"/>
              </w:rPr>
              <w:t>以改善电场分布，并将导体和瓷件表面的电场控制在一定数值内，使它们在额定电压下，不发生电晕放电；采用管型母线，对平行跨导线的相序排列避免同相布置，减少同相母线</w:t>
            </w:r>
            <w:r>
              <w:rPr>
                <w:spacing w:val="-1"/>
                <w:sz w:val="24"/>
                <w:szCs w:val="24"/>
              </w:rPr>
              <w:t>交叉与相同转角布置；有效降低变电站内电磁环境影响。</w:t>
            </w:r>
          </w:p>
          <w:p w14:paraId="59F8222E">
            <w:pPr>
              <w:pStyle w:val="6"/>
              <w:spacing w:before="1" w:line="359" w:lineRule="auto"/>
              <w:ind w:left="108" w:right="102" w:firstLine="475"/>
              <w:rPr>
                <w:sz w:val="24"/>
                <w:szCs w:val="24"/>
              </w:rPr>
            </w:pPr>
            <w:r>
              <w:rPr>
                <w:rFonts w:ascii="Times New Roman" w:hAnsi="Times New Roman" w:eastAsia="Times New Roman" w:cs="Times New Roman"/>
                <w:sz w:val="24"/>
                <w:szCs w:val="24"/>
              </w:rPr>
              <w:t>2</w:t>
            </w:r>
            <w:r>
              <w:rPr>
                <w:sz w:val="24"/>
                <w:szCs w:val="24"/>
              </w:rPr>
              <w:t>）尽量优化导线的相序排列方式及杆塔型式，合理选择导</w:t>
            </w:r>
            <w:r>
              <w:rPr>
                <w:spacing w:val="-1"/>
                <w:sz w:val="24"/>
                <w:szCs w:val="24"/>
              </w:rPr>
              <w:t>线直径及导线分</w:t>
            </w:r>
            <w:r>
              <w:rPr>
                <w:spacing w:val="-4"/>
                <w:sz w:val="24"/>
                <w:szCs w:val="24"/>
              </w:rPr>
              <w:t>裂数，并提高线路的加工工艺，地下电缆部分线路施工期配置屏蔽电场的金属护</w:t>
            </w:r>
            <w:r>
              <w:rPr>
                <w:spacing w:val="-1"/>
                <w:sz w:val="24"/>
                <w:szCs w:val="24"/>
              </w:rPr>
              <w:t>套，降低线路周围的工频电磁场强度。</w:t>
            </w:r>
          </w:p>
          <w:p w14:paraId="49E0CB78">
            <w:pPr>
              <w:pStyle w:val="6"/>
              <w:spacing w:before="5" w:line="358" w:lineRule="auto"/>
              <w:ind w:left="108" w:right="102" w:firstLine="480"/>
              <w:rPr>
                <w:sz w:val="24"/>
                <w:szCs w:val="24"/>
              </w:rPr>
            </w:pPr>
            <w:r>
              <w:rPr>
                <w:rFonts w:ascii="Times New Roman" w:hAnsi="Times New Roman" w:eastAsia="Times New Roman" w:cs="Times New Roman"/>
                <w:sz w:val="24"/>
                <w:szCs w:val="24"/>
              </w:rPr>
              <w:t>3</w:t>
            </w:r>
            <w:r>
              <w:rPr>
                <w:sz w:val="24"/>
                <w:szCs w:val="24"/>
              </w:rPr>
              <w:t>）应确保项目运营期工频电场强度、工频磁感应强度达《电磁环</w:t>
            </w:r>
            <w:r>
              <w:rPr>
                <w:spacing w:val="-1"/>
                <w:sz w:val="24"/>
                <w:szCs w:val="24"/>
              </w:rPr>
              <w:t>境控制限</w:t>
            </w:r>
            <w:r>
              <w:rPr>
                <w:spacing w:val="7"/>
                <w:sz w:val="24"/>
                <w:szCs w:val="24"/>
              </w:rPr>
              <w:t>值》</w:t>
            </w:r>
            <w:r>
              <w:rPr>
                <w:spacing w:val="-73"/>
                <w:sz w:val="24"/>
                <w:szCs w:val="24"/>
              </w:rPr>
              <w:t xml:space="preserve"> </w:t>
            </w:r>
            <w:r>
              <w:rPr>
                <w:spacing w:val="7"/>
                <w:sz w:val="24"/>
                <w:szCs w:val="24"/>
              </w:rPr>
              <w:t>（</w:t>
            </w:r>
            <w:r>
              <w:rPr>
                <w:rFonts w:ascii="Times New Roman" w:hAnsi="Times New Roman" w:eastAsia="Times New Roman" w:cs="Times New Roman"/>
                <w:sz w:val="24"/>
                <w:szCs w:val="24"/>
              </w:rPr>
              <w:t>GB</w:t>
            </w:r>
            <w:r>
              <w:rPr>
                <w:rFonts w:ascii="Times New Roman" w:hAnsi="Times New Roman" w:eastAsia="Times New Roman" w:cs="Times New Roman"/>
                <w:spacing w:val="7"/>
                <w:sz w:val="24"/>
                <w:szCs w:val="24"/>
              </w:rPr>
              <w:t xml:space="preserve">8702-2014 </w:t>
            </w:r>
            <w:r>
              <w:rPr>
                <w:spacing w:val="-10"/>
                <w:sz w:val="24"/>
                <w:szCs w:val="24"/>
              </w:rPr>
              <w:t>）</w:t>
            </w:r>
            <w:r>
              <w:rPr>
                <w:spacing w:val="-70"/>
                <w:sz w:val="24"/>
                <w:szCs w:val="24"/>
              </w:rPr>
              <w:t xml:space="preserve"> </w:t>
            </w:r>
            <w:r>
              <w:rPr>
                <w:spacing w:val="-10"/>
                <w:sz w:val="24"/>
                <w:szCs w:val="24"/>
              </w:rPr>
              <w:t>，</w:t>
            </w:r>
            <w:r>
              <w:rPr>
                <w:spacing w:val="7"/>
                <w:sz w:val="24"/>
                <w:szCs w:val="24"/>
              </w:rPr>
              <w:t>严格按《</w:t>
            </w:r>
            <w:r>
              <w:rPr>
                <w:spacing w:val="-46"/>
                <w:sz w:val="24"/>
                <w:szCs w:val="24"/>
              </w:rPr>
              <w:t xml:space="preserve"> </w:t>
            </w:r>
            <w:r>
              <w:rPr>
                <w:rFonts w:ascii="Times New Roman" w:hAnsi="Times New Roman" w:eastAsia="Times New Roman" w:cs="Times New Roman"/>
                <w:spacing w:val="7"/>
                <w:sz w:val="24"/>
                <w:szCs w:val="24"/>
              </w:rPr>
              <w:t>110</w:t>
            </w:r>
            <w:r>
              <w:rPr>
                <w:rFonts w:ascii="Times New Roman" w:hAnsi="Times New Roman" w:eastAsia="Times New Roman" w:cs="Times New Roman"/>
                <w:sz w:val="24"/>
                <w:szCs w:val="24"/>
              </w:rPr>
              <w:t>kV</w:t>
            </w:r>
            <w:r>
              <w:rPr>
                <w:spacing w:val="7"/>
                <w:sz w:val="24"/>
                <w:szCs w:val="24"/>
              </w:rPr>
              <w:t>～</w:t>
            </w:r>
            <w:r>
              <w:rPr>
                <w:rFonts w:ascii="Times New Roman" w:hAnsi="Times New Roman" w:eastAsia="Times New Roman" w:cs="Times New Roman"/>
                <w:spacing w:val="7"/>
                <w:sz w:val="24"/>
                <w:szCs w:val="24"/>
              </w:rPr>
              <w:t>750</w:t>
            </w:r>
            <w:r>
              <w:rPr>
                <w:rFonts w:ascii="Times New Roman" w:hAnsi="Times New Roman" w:eastAsia="Times New Roman" w:cs="Times New Roman"/>
                <w:sz w:val="24"/>
                <w:szCs w:val="24"/>
              </w:rPr>
              <w:t>kV</w:t>
            </w:r>
            <w:r>
              <w:rPr>
                <w:rFonts w:ascii="Times New Roman" w:hAnsi="Times New Roman" w:eastAsia="Times New Roman" w:cs="Times New Roman"/>
                <w:spacing w:val="31"/>
                <w:sz w:val="24"/>
                <w:szCs w:val="24"/>
              </w:rPr>
              <w:t xml:space="preserve"> </w:t>
            </w:r>
            <w:r>
              <w:rPr>
                <w:spacing w:val="7"/>
                <w:sz w:val="24"/>
                <w:szCs w:val="24"/>
              </w:rPr>
              <w:t>架空输电线路设计规范》</w:t>
            </w:r>
            <w:r>
              <w:rPr>
                <w:sz w:val="24"/>
                <w:szCs w:val="24"/>
              </w:rPr>
              <w:t xml:space="preserve"> </w:t>
            </w:r>
            <w:r>
              <w:rPr>
                <w:spacing w:val="2"/>
                <w:sz w:val="24"/>
                <w:szCs w:val="24"/>
              </w:rPr>
              <w:t>（</w:t>
            </w:r>
            <w:r>
              <w:rPr>
                <w:rFonts w:ascii="Times New Roman" w:hAnsi="Times New Roman" w:eastAsia="Times New Roman" w:cs="Times New Roman"/>
                <w:sz w:val="24"/>
                <w:szCs w:val="24"/>
              </w:rPr>
              <w:t>GB</w:t>
            </w:r>
            <w:r>
              <w:rPr>
                <w:rFonts w:ascii="Times New Roman" w:hAnsi="Times New Roman" w:eastAsia="Times New Roman" w:cs="Times New Roman"/>
                <w:spacing w:val="2"/>
                <w:sz w:val="24"/>
                <w:szCs w:val="24"/>
              </w:rPr>
              <w:t>50545-2010</w:t>
            </w:r>
            <w:r>
              <w:rPr>
                <w:spacing w:val="2"/>
                <w:sz w:val="24"/>
                <w:szCs w:val="24"/>
              </w:rPr>
              <w:t>）进行设计。采用单回三角排列</w:t>
            </w:r>
            <w:r>
              <w:rPr>
                <w:spacing w:val="1"/>
                <w:sz w:val="24"/>
                <w:szCs w:val="24"/>
              </w:rPr>
              <w:t>方式及单回水平排列架线，经</w:t>
            </w:r>
            <w:r>
              <w:rPr>
                <w:spacing w:val="-1"/>
                <w:sz w:val="24"/>
                <w:szCs w:val="24"/>
              </w:rPr>
              <w:t>过居民区时，导线对地面距离应不小于</w:t>
            </w:r>
            <w:r>
              <w:rPr>
                <w:spacing w:val="-51"/>
                <w:sz w:val="24"/>
                <w:szCs w:val="24"/>
              </w:rPr>
              <w:t xml:space="preserve"> </w:t>
            </w:r>
            <w:r>
              <w:rPr>
                <w:rFonts w:ascii="Times New Roman" w:hAnsi="Times New Roman" w:eastAsia="Times New Roman" w:cs="Times New Roman"/>
                <w:spacing w:val="-1"/>
                <w:sz w:val="24"/>
                <w:szCs w:val="24"/>
              </w:rPr>
              <w:t>7m</w:t>
            </w:r>
            <w:r>
              <w:rPr>
                <w:rFonts w:ascii="Times New Roman" w:hAnsi="Times New Roman" w:eastAsia="Times New Roman" w:cs="Times New Roman"/>
                <w:spacing w:val="-30"/>
                <w:sz w:val="24"/>
                <w:szCs w:val="24"/>
              </w:rPr>
              <w:t xml:space="preserve"> </w:t>
            </w:r>
            <w:r>
              <w:rPr>
                <w:spacing w:val="-1"/>
                <w:sz w:val="24"/>
                <w:szCs w:val="24"/>
              </w:rPr>
              <w:t>，经</w:t>
            </w:r>
            <w:r>
              <w:rPr>
                <w:spacing w:val="-2"/>
                <w:sz w:val="24"/>
                <w:szCs w:val="24"/>
              </w:rPr>
              <w:t>过耕地、园地、牧草地、畜禽饲</w:t>
            </w:r>
            <w:r>
              <w:rPr>
                <w:spacing w:val="-1"/>
                <w:sz w:val="24"/>
                <w:szCs w:val="24"/>
              </w:rPr>
              <w:t>养地、养殖水面、道路等场所处时，导线对地面距离应不小于</w:t>
            </w:r>
            <w:r>
              <w:rPr>
                <w:spacing w:val="-41"/>
                <w:sz w:val="24"/>
                <w:szCs w:val="24"/>
              </w:rPr>
              <w:t xml:space="preserve"> </w:t>
            </w:r>
            <w:r>
              <w:rPr>
                <w:rFonts w:ascii="Times New Roman" w:hAnsi="Times New Roman" w:eastAsia="Times New Roman" w:cs="Times New Roman"/>
                <w:spacing w:val="-1"/>
                <w:sz w:val="24"/>
                <w:szCs w:val="24"/>
              </w:rPr>
              <w:t>6m</w:t>
            </w:r>
            <w:r>
              <w:rPr>
                <w:spacing w:val="-1"/>
                <w:sz w:val="24"/>
                <w:szCs w:val="24"/>
              </w:rPr>
              <w:t>。</w:t>
            </w:r>
          </w:p>
          <w:p w14:paraId="6908925B">
            <w:pPr>
              <w:pStyle w:val="6"/>
              <w:spacing w:line="220" w:lineRule="auto"/>
              <w:ind w:left="600"/>
              <w:rPr>
                <w:sz w:val="24"/>
                <w:szCs w:val="24"/>
              </w:rPr>
            </w:pPr>
            <w:r>
              <w:rPr>
                <w:b/>
                <w:bCs/>
                <w:spacing w:val="-5"/>
                <w:sz w:val="24"/>
                <w:szCs w:val="24"/>
              </w:rPr>
              <w:t>（</w:t>
            </w:r>
            <w:r>
              <w:rPr>
                <w:rFonts w:ascii="Times New Roman" w:hAnsi="Times New Roman" w:eastAsia="Times New Roman" w:cs="Times New Roman"/>
                <w:b/>
                <w:bCs/>
                <w:spacing w:val="-5"/>
                <w:sz w:val="24"/>
                <w:szCs w:val="24"/>
              </w:rPr>
              <w:t>2</w:t>
            </w:r>
            <w:r>
              <w:rPr>
                <w:b/>
                <w:bCs/>
                <w:spacing w:val="-5"/>
                <w:sz w:val="24"/>
                <w:szCs w:val="24"/>
              </w:rPr>
              <w:t>）运行期措施</w:t>
            </w:r>
          </w:p>
          <w:p w14:paraId="7AF8E573">
            <w:pPr>
              <w:pStyle w:val="6"/>
              <w:spacing w:before="182" w:line="359" w:lineRule="auto"/>
              <w:ind w:left="112" w:right="102" w:firstLine="494"/>
              <w:rPr>
                <w:sz w:val="24"/>
                <w:szCs w:val="24"/>
              </w:rPr>
            </w:pPr>
            <w:r>
              <w:rPr>
                <w:rFonts w:ascii="Times New Roman" w:hAnsi="Times New Roman" w:eastAsia="Times New Roman" w:cs="Times New Roman"/>
                <w:spacing w:val="-1"/>
                <w:sz w:val="24"/>
                <w:szCs w:val="24"/>
              </w:rPr>
              <w:t>1</w:t>
            </w:r>
            <w:r>
              <w:rPr>
                <w:spacing w:val="-1"/>
                <w:sz w:val="24"/>
                <w:szCs w:val="24"/>
              </w:rPr>
              <w:t>）运行期对输电线路和塔基进行定期巡查和检修，保障正常运行，防止由于运行故障产生的电磁环境影响。</w:t>
            </w:r>
          </w:p>
          <w:p w14:paraId="52D00AA7">
            <w:pPr>
              <w:pStyle w:val="6"/>
              <w:spacing w:before="3" w:line="358" w:lineRule="auto"/>
              <w:ind w:left="110" w:right="102" w:firstLine="473"/>
              <w:rPr>
                <w:sz w:val="24"/>
                <w:szCs w:val="24"/>
              </w:rPr>
            </w:pPr>
            <w:r>
              <w:rPr>
                <w:rFonts w:ascii="Times New Roman" w:hAnsi="Times New Roman" w:eastAsia="Times New Roman" w:cs="Times New Roman"/>
                <w:sz w:val="24"/>
                <w:szCs w:val="24"/>
              </w:rPr>
              <w:t>2</w:t>
            </w:r>
            <w:r>
              <w:rPr>
                <w:sz w:val="24"/>
                <w:szCs w:val="24"/>
              </w:rPr>
              <w:t>）在电力设施重点保护区设立相应的警示标志，并做好警示宣传工作，在</w:t>
            </w:r>
            <w:r>
              <w:rPr>
                <w:spacing w:val="-4"/>
                <w:sz w:val="24"/>
                <w:szCs w:val="24"/>
              </w:rPr>
              <w:t>醒目位置设置安全警示图文标志，标明严禁攀登、线下高位操作应有防护措施等</w:t>
            </w:r>
            <w:r>
              <w:rPr>
                <w:spacing w:val="-2"/>
                <w:sz w:val="24"/>
                <w:szCs w:val="24"/>
              </w:rPr>
              <w:t>安全注意事项。</w:t>
            </w:r>
          </w:p>
          <w:p w14:paraId="06FC1FA5">
            <w:pPr>
              <w:pStyle w:val="6"/>
              <w:spacing w:before="2" w:line="359" w:lineRule="auto"/>
              <w:ind w:left="116" w:firstLine="472"/>
              <w:rPr>
                <w:sz w:val="24"/>
                <w:szCs w:val="24"/>
              </w:rPr>
            </w:pPr>
            <w:r>
              <w:rPr>
                <w:rFonts w:ascii="Times New Roman" w:hAnsi="Times New Roman" w:eastAsia="Times New Roman" w:cs="Times New Roman"/>
                <w:spacing w:val="-4"/>
                <w:sz w:val="24"/>
                <w:szCs w:val="24"/>
              </w:rPr>
              <w:t>3</w:t>
            </w:r>
            <w:r>
              <w:rPr>
                <w:spacing w:val="-4"/>
                <w:sz w:val="24"/>
                <w:szCs w:val="24"/>
              </w:rPr>
              <w:t>）开展电磁环境监测，确保工频电场、工频磁场满足《电磁环</w:t>
            </w:r>
            <w:r>
              <w:rPr>
                <w:spacing w:val="-5"/>
                <w:sz w:val="24"/>
                <w:szCs w:val="24"/>
              </w:rPr>
              <w:t>境控制限值》</w:t>
            </w:r>
            <w:r>
              <w:rPr>
                <w:sz w:val="24"/>
                <w:szCs w:val="24"/>
              </w:rPr>
              <w:t xml:space="preserve"> </w:t>
            </w:r>
            <w:r>
              <w:rPr>
                <w:spacing w:val="-2"/>
                <w:sz w:val="24"/>
                <w:szCs w:val="24"/>
              </w:rPr>
              <w:t>（</w:t>
            </w:r>
            <w:r>
              <w:rPr>
                <w:rFonts w:ascii="Times New Roman" w:hAnsi="Times New Roman" w:eastAsia="Times New Roman" w:cs="Times New Roman"/>
                <w:spacing w:val="-2"/>
                <w:sz w:val="24"/>
                <w:szCs w:val="24"/>
              </w:rPr>
              <w:t>GB8702-2014</w:t>
            </w:r>
            <w:r>
              <w:rPr>
                <w:spacing w:val="-2"/>
                <w:sz w:val="24"/>
                <w:szCs w:val="24"/>
              </w:rPr>
              <w:t>）标准限值的要求；开展电磁环境影响的环境保护宣传工作，使公众科学认识工频电磁场的环境影响。</w:t>
            </w:r>
          </w:p>
          <w:p w14:paraId="702227BF">
            <w:pPr>
              <w:pStyle w:val="6"/>
              <w:spacing w:before="1" w:line="206" w:lineRule="auto"/>
              <w:ind w:left="107"/>
              <w:rPr>
                <w:sz w:val="24"/>
                <w:szCs w:val="24"/>
              </w:rPr>
            </w:pPr>
            <w:r>
              <w:rPr>
                <w:rFonts w:ascii="Times New Roman" w:hAnsi="Times New Roman" w:eastAsia="Times New Roman" w:cs="Times New Roman"/>
                <w:b/>
                <w:bCs/>
                <w:spacing w:val="-5"/>
                <w:sz w:val="24"/>
                <w:szCs w:val="24"/>
              </w:rPr>
              <w:t>5</w:t>
            </w:r>
            <w:r>
              <w:rPr>
                <w:rFonts w:ascii="Times New Roman" w:hAnsi="Times New Roman" w:eastAsia="Times New Roman" w:cs="Times New Roman"/>
                <w:b/>
                <w:bCs/>
                <w:spacing w:val="-28"/>
                <w:sz w:val="24"/>
                <w:szCs w:val="24"/>
              </w:rPr>
              <w:t xml:space="preserve"> </w:t>
            </w:r>
            <w:r>
              <w:rPr>
                <w:b/>
                <w:bCs/>
                <w:spacing w:val="-5"/>
                <w:sz w:val="24"/>
                <w:szCs w:val="24"/>
              </w:rPr>
              <w:t>、运营期声环境保护措施</w:t>
            </w:r>
          </w:p>
        </w:tc>
      </w:tr>
    </w:tbl>
    <w:p w14:paraId="3147FD32">
      <w:pPr>
        <w:rPr>
          <w:rFonts w:ascii="Arial"/>
          <w:sz w:val="21"/>
        </w:rPr>
      </w:pPr>
    </w:p>
    <w:p w14:paraId="5D676392">
      <w:pPr>
        <w:rPr>
          <w:rFonts w:ascii="Arial" w:hAnsi="Arial" w:eastAsia="Arial" w:cs="Arial"/>
          <w:sz w:val="21"/>
          <w:szCs w:val="21"/>
        </w:rPr>
        <w:sectPr>
          <w:footerReference r:id="rId135" w:type="default"/>
          <w:pgSz w:w="11907" w:h="16840"/>
          <w:pgMar w:top="400" w:right="1301" w:bottom="1240" w:left="1527" w:header="0" w:footer="1077" w:gutter="0"/>
          <w:cols w:space="720" w:num="1"/>
        </w:sectPr>
      </w:pPr>
    </w:p>
    <w:p w14:paraId="50A70192">
      <w:pPr>
        <w:spacing w:before="13"/>
      </w:pPr>
    </w:p>
    <w:p w14:paraId="2DA931BB">
      <w:pPr>
        <w:spacing w:before="13"/>
      </w:pPr>
    </w:p>
    <w:p w14:paraId="56E32983">
      <w:pPr>
        <w:spacing w:before="13"/>
      </w:pPr>
    </w:p>
    <w:p w14:paraId="5ABF1B18">
      <w:pPr>
        <w:spacing w:before="12"/>
      </w:pPr>
    </w:p>
    <w:tbl>
      <w:tblPr>
        <w:tblStyle w:val="5"/>
        <w:tblW w:w="90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4"/>
        <w:gridCol w:w="8499"/>
      </w:tblGrid>
      <w:tr w14:paraId="50739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429" w:hRule="atLeast"/>
        </w:trPr>
        <w:tc>
          <w:tcPr>
            <w:tcW w:w="564" w:type="dxa"/>
            <w:tcBorders>
              <w:right w:val="single" w:color="000000" w:sz="2" w:space="0"/>
            </w:tcBorders>
            <w:vAlign w:val="top"/>
          </w:tcPr>
          <w:p w14:paraId="39DD1AA6">
            <w:pPr>
              <w:rPr>
                <w:rFonts w:ascii="Arial"/>
                <w:sz w:val="21"/>
              </w:rPr>
            </w:pPr>
          </w:p>
        </w:tc>
        <w:tc>
          <w:tcPr>
            <w:tcW w:w="8499" w:type="dxa"/>
            <w:tcBorders>
              <w:left w:val="single" w:color="000000" w:sz="2" w:space="0"/>
            </w:tcBorders>
            <w:vAlign w:val="top"/>
          </w:tcPr>
          <w:p w14:paraId="13DA6E7D">
            <w:pPr>
              <w:pStyle w:val="6"/>
              <w:spacing w:before="140" w:line="339" w:lineRule="auto"/>
              <w:ind w:left="113" w:right="142" w:firstLine="486"/>
              <w:rPr>
                <w:sz w:val="24"/>
                <w:szCs w:val="24"/>
              </w:rPr>
            </w:pPr>
            <w:r>
              <w:rPr>
                <w:spacing w:val="-2"/>
                <w:sz w:val="24"/>
                <w:szCs w:val="24"/>
              </w:rPr>
              <w:t>（</w:t>
            </w:r>
            <w:r>
              <w:rPr>
                <w:rFonts w:ascii="Times New Roman" w:hAnsi="Times New Roman" w:eastAsia="Times New Roman" w:cs="Times New Roman"/>
                <w:spacing w:val="-2"/>
                <w:sz w:val="24"/>
                <w:szCs w:val="24"/>
              </w:rPr>
              <w:t>1</w:t>
            </w:r>
            <w:r>
              <w:rPr>
                <w:spacing w:val="-2"/>
                <w:sz w:val="24"/>
                <w:szCs w:val="24"/>
              </w:rPr>
              <w:t>）加强线路沿线巡查与宣传，确保线路电力保护区范围内不新增住房、</w:t>
            </w:r>
            <w:r>
              <w:rPr>
                <w:spacing w:val="-1"/>
                <w:sz w:val="24"/>
                <w:szCs w:val="24"/>
              </w:rPr>
              <w:t>学校、医院等建筑物环境敏感目标，避免环境纠纷。</w:t>
            </w:r>
          </w:p>
          <w:p w14:paraId="24197329">
            <w:pPr>
              <w:pStyle w:val="6"/>
              <w:spacing w:line="295" w:lineRule="auto"/>
              <w:ind w:left="108" w:right="102" w:firstLine="491"/>
              <w:rPr>
                <w:sz w:val="24"/>
                <w:szCs w:val="24"/>
              </w:rPr>
            </w:pPr>
            <w:r>
              <w:rPr>
                <w:spacing w:val="-1"/>
                <w:sz w:val="24"/>
                <w:szCs w:val="24"/>
              </w:rPr>
              <w:t>（</w:t>
            </w:r>
            <w:r>
              <w:rPr>
                <w:rFonts w:ascii="Times New Roman" w:hAnsi="Times New Roman" w:eastAsia="Times New Roman" w:cs="Times New Roman"/>
                <w:spacing w:val="-1"/>
                <w:sz w:val="24"/>
                <w:szCs w:val="24"/>
              </w:rPr>
              <w:t>2</w:t>
            </w:r>
            <w:r>
              <w:rPr>
                <w:spacing w:val="-1"/>
                <w:sz w:val="24"/>
                <w:szCs w:val="24"/>
              </w:rPr>
              <w:t>）加强线路、站址日常管理和维护，使线路、变电站保持良好的运行状</w:t>
            </w:r>
            <w:r>
              <w:rPr>
                <w:spacing w:val="-5"/>
                <w:sz w:val="24"/>
                <w:szCs w:val="24"/>
              </w:rPr>
              <w:t>态。</w:t>
            </w:r>
          </w:p>
          <w:p w14:paraId="5C093D65">
            <w:pPr>
              <w:pStyle w:val="6"/>
              <w:spacing w:line="359" w:lineRule="auto"/>
              <w:ind w:left="109" w:right="102" w:firstLine="490"/>
              <w:rPr>
                <w:sz w:val="24"/>
                <w:szCs w:val="24"/>
              </w:rPr>
            </w:pPr>
            <w:r>
              <w:rPr>
                <w:spacing w:val="-1"/>
                <w:sz w:val="24"/>
                <w:szCs w:val="24"/>
              </w:rPr>
              <w:t>（</w:t>
            </w:r>
            <w:r>
              <w:rPr>
                <w:rFonts w:ascii="Times New Roman" w:hAnsi="Times New Roman" w:eastAsia="Times New Roman" w:cs="Times New Roman"/>
                <w:spacing w:val="-1"/>
                <w:sz w:val="24"/>
                <w:szCs w:val="24"/>
              </w:rPr>
              <w:t>3</w:t>
            </w:r>
            <w:r>
              <w:rPr>
                <w:spacing w:val="-1"/>
                <w:sz w:val="24"/>
                <w:szCs w:val="24"/>
              </w:rPr>
              <w:t>）开展厂界噪声、线路声环境、保护目标声环境监测，确保达标。若监测不达标，须进行治理。</w:t>
            </w:r>
          </w:p>
          <w:p w14:paraId="5BD0A51A">
            <w:pPr>
              <w:pStyle w:val="6"/>
              <w:spacing w:line="220" w:lineRule="auto"/>
              <w:ind w:left="108"/>
              <w:rPr>
                <w:sz w:val="24"/>
                <w:szCs w:val="24"/>
              </w:rPr>
            </w:pPr>
            <w:r>
              <w:rPr>
                <w:rFonts w:ascii="Times New Roman" w:hAnsi="Times New Roman" w:eastAsia="Times New Roman" w:cs="Times New Roman"/>
                <w:b/>
                <w:bCs/>
                <w:spacing w:val="-5"/>
                <w:sz w:val="24"/>
                <w:szCs w:val="24"/>
              </w:rPr>
              <w:t>6</w:t>
            </w:r>
            <w:r>
              <w:rPr>
                <w:rFonts w:ascii="Times New Roman" w:hAnsi="Times New Roman" w:eastAsia="Times New Roman" w:cs="Times New Roman"/>
                <w:b/>
                <w:bCs/>
                <w:spacing w:val="-33"/>
                <w:sz w:val="24"/>
                <w:szCs w:val="24"/>
              </w:rPr>
              <w:t xml:space="preserve"> </w:t>
            </w:r>
            <w:r>
              <w:rPr>
                <w:b/>
                <w:bCs/>
                <w:spacing w:val="-5"/>
                <w:sz w:val="24"/>
                <w:szCs w:val="24"/>
              </w:rPr>
              <w:t>、运营期固体废物处置</w:t>
            </w:r>
          </w:p>
          <w:p w14:paraId="35B96289">
            <w:pPr>
              <w:pStyle w:val="6"/>
              <w:spacing w:before="181" w:line="359" w:lineRule="auto"/>
              <w:ind w:left="108" w:right="102" w:firstLine="491"/>
              <w:rPr>
                <w:sz w:val="24"/>
                <w:szCs w:val="24"/>
              </w:rPr>
            </w:pPr>
            <w:r>
              <w:rPr>
                <w:spacing w:val="-1"/>
                <w:sz w:val="24"/>
                <w:szCs w:val="24"/>
              </w:rPr>
              <w:t>（</w:t>
            </w:r>
            <w:r>
              <w:rPr>
                <w:rFonts w:ascii="Times New Roman" w:hAnsi="Times New Roman" w:eastAsia="Times New Roman" w:cs="Times New Roman"/>
                <w:spacing w:val="-1"/>
                <w:sz w:val="24"/>
                <w:szCs w:val="24"/>
              </w:rPr>
              <w:t>1</w:t>
            </w:r>
            <w:r>
              <w:rPr>
                <w:spacing w:val="-1"/>
                <w:sz w:val="24"/>
                <w:szCs w:val="24"/>
              </w:rPr>
              <w:t>）输电线路维护和更换会产生废弃的导线、螺丝钉等废旧材料及设备，</w:t>
            </w:r>
            <w:r>
              <w:rPr>
                <w:spacing w:val="-4"/>
                <w:sz w:val="24"/>
                <w:szCs w:val="24"/>
              </w:rPr>
              <w:t>集中收集后回收利用。运行维护中产生的废弃材料、生活垃圾等废物不得随意丢</w:t>
            </w:r>
            <w:r>
              <w:rPr>
                <w:spacing w:val="-1"/>
                <w:sz w:val="24"/>
                <w:szCs w:val="24"/>
              </w:rPr>
              <w:t>弃，应带回营地妥善处理。</w:t>
            </w:r>
          </w:p>
          <w:p w14:paraId="09780FE1">
            <w:pPr>
              <w:pStyle w:val="6"/>
              <w:spacing w:line="360" w:lineRule="auto"/>
              <w:ind w:left="111" w:right="102" w:firstLine="488"/>
              <w:rPr>
                <w:sz w:val="24"/>
                <w:szCs w:val="24"/>
              </w:rPr>
            </w:pPr>
            <w:r>
              <w:rPr>
                <w:spacing w:val="-1"/>
                <w:sz w:val="24"/>
                <w:szCs w:val="24"/>
              </w:rPr>
              <w:t>（</w:t>
            </w:r>
            <w:r>
              <w:rPr>
                <w:rFonts w:ascii="Times New Roman" w:hAnsi="Times New Roman" w:eastAsia="Times New Roman" w:cs="Times New Roman"/>
                <w:spacing w:val="-1"/>
                <w:sz w:val="24"/>
                <w:szCs w:val="24"/>
              </w:rPr>
              <w:t>2</w:t>
            </w:r>
            <w:r>
              <w:rPr>
                <w:spacing w:val="-1"/>
                <w:sz w:val="24"/>
                <w:szCs w:val="24"/>
              </w:rPr>
              <w:t>）变电站工作人员的生活垃圾严禁随意丢弃，暂存于站内垃圾桶内，定期清运至附近乡镇垃圾集中点，与当地生活垃圾一起处理。</w:t>
            </w:r>
          </w:p>
          <w:p w14:paraId="62261B36">
            <w:pPr>
              <w:pStyle w:val="6"/>
              <w:spacing w:before="2" w:line="358" w:lineRule="auto"/>
              <w:ind w:left="112" w:right="102" w:firstLine="487"/>
              <w:rPr>
                <w:sz w:val="24"/>
                <w:szCs w:val="24"/>
              </w:rPr>
            </w:pPr>
            <w:r>
              <w:rPr>
                <w:spacing w:val="-1"/>
                <w:sz w:val="24"/>
                <w:szCs w:val="24"/>
              </w:rPr>
              <w:t>（</w:t>
            </w:r>
            <w:r>
              <w:rPr>
                <w:rFonts w:ascii="Times New Roman" w:hAnsi="Times New Roman" w:eastAsia="Times New Roman" w:cs="Times New Roman"/>
                <w:spacing w:val="-1"/>
                <w:sz w:val="24"/>
                <w:szCs w:val="24"/>
              </w:rPr>
              <w:t>3</w:t>
            </w:r>
            <w:r>
              <w:rPr>
                <w:spacing w:val="-1"/>
                <w:sz w:val="24"/>
                <w:szCs w:val="24"/>
              </w:rPr>
              <w:t>）变电站蓄电池更换后严禁随意丢弃，不在现场进行拆散、破碎，站内</w:t>
            </w:r>
            <w:r>
              <w:rPr>
                <w:spacing w:val="-4"/>
                <w:sz w:val="24"/>
                <w:szCs w:val="24"/>
              </w:rPr>
              <w:t>设一间危险废物暂存间，用于贮存更换下来的废旧铅蓄电池，委托具备危险废物</w:t>
            </w:r>
            <w:r>
              <w:rPr>
                <w:spacing w:val="-1"/>
                <w:sz w:val="24"/>
                <w:szCs w:val="24"/>
              </w:rPr>
              <w:t>处理资质的单位依法合规地进行回收、处置。</w:t>
            </w:r>
          </w:p>
          <w:p w14:paraId="5D3D93EC">
            <w:pPr>
              <w:pStyle w:val="6"/>
              <w:spacing w:before="1" w:line="359" w:lineRule="auto"/>
              <w:ind w:left="110" w:right="3" w:firstLine="489"/>
              <w:rPr>
                <w:sz w:val="24"/>
                <w:szCs w:val="24"/>
              </w:rPr>
            </w:pPr>
            <w:r>
              <w:rPr>
                <w:spacing w:val="-11"/>
                <w:sz w:val="24"/>
                <w:szCs w:val="24"/>
              </w:rPr>
              <w:t>（</w:t>
            </w:r>
            <w:r>
              <w:rPr>
                <w:rFonts w:ascii="Times New Roman" w:hAnsi="Times New Roman" w:eastAsia="Times New Roman" w:cs="Times New Roman"/>
                <w:spacing w:val="-11"/>
                <w:sz w:val="24"/>
                <w:szCs w:val="24"/>
              </w:rPr>
              <w:t>4</w:t>
            </w:r>
            <w:r>
              <w:rPr>
                <w:spacing w:val="-11"/>
                <w:sz w:val="24"/>
                <w:szCs w:val="24"/>
              </w:rPr>
              <w:t>）危险废物暂存间需满足《危险废物贮存污染控制标准》（</w:t>
            </w:r>
            <w:r>
              <w:rPr>
                <w:rFonts w:ascii="Times New Roman" w:hAnsi="Times New Roman" w:eastAsia="Times New Roman" w:cs="Times New Roman"/>
                <w:spacing w:val="-11"/>
                <w:sz w:val="24"/>
                <w:szCs w:val="24"/>
              </w:rPr>
              <w:t>GB18597-2023</w:t>
            </w:r>
            <w:r>
              <w:rPr>
                <w:spacing w:val="-11"/>
                <w:sz w:val="24"/>
                <w:szCs w:val="24"/>
              </w:rPr>
              <w:t>）</w:t>
            </w:r>
            <w:r>
              <w:rPr>
                <w:spacing w:val="-4"/>
                <w:sz w:val="24"/>
                <w:szCs w:val="24"/>
              </w:rPr>
              <w:t>的要求。采用抗渗混凝土、高密度聚乙烯膜、钠基膨润土防水毯或其他防渗性能等效的材料，对地面、墙面裙角进行表面防渗处理，危废暂存间外设置危险废物</w:t>
            </w:r>
            <w:r>
              <w:rPr>
                <w:spacing w:val="-3"/>
                <w:sz w:val="24"/>
                <w:szCs w:val="24"/>
              </w:rPr>
              <w:t>识别标志。</w:t>
            </w:r>
          </w:p>
          <w:p w14:paraId="57F01547">
            <w:pPr>
              <w:pStyle w:val="6"/>
              <w:spacing w:line="219" w:lineRule="auto"/>
              <w:ind w:left="600"/>
              <w:rPr>
                <w:sz w:val="24"/>
                <w:szCs w:val="24"/>
              </w:rPr>
            </w:pPr>
            <w:r>
              <w:rPr>
                <w:spacing w:val="-1"/>
                <w:sz w:val="24"/>
                <w:szCs w:val="24"/>
              </w:rPr>
              <w:t>（</w:t>
            </w:r>
            <w:r>
              <w:rPr>
                <w:rFonts w:ascii="Times New Roman" w:hAnsi="Times New Roman" w:eastAsia="Times New Roman" w:cs="Times New Roman"/>
                <w:spacing w:val="-1"/>
                <w:sz w:val="24"/>
                <w:szCs w:val="24"/>
              </w:rPr>
              <w:t>5</w:t>
            </w:r>
            <w:r>
              <w:rPr>
                <w:spacing w:val="-1"/>
                <w:sz w:val="24"/>
                <w:szCs w:val="24"/>
              </w:rPr>
              <w:t>）废铅酸蓄电池使用聚四氟乙烯托盘，收集电解液渗漏。</w:t>
            </w:r>
          </w:p>
          <w:p w14:paraId="7F1BAA21">
            <w:pPr>
              <w:pStyle w:val="6"/>
              <w:spacing w:before="182" w:line="359" w:lineRule="auto"/>
              <w:ind w:left="108" w:right="102" w:firstLine="491"/>
              <w:rPr>
                <w:sz w:val="24"/>
                <w:szCs w:val="24"/>
              </w:rPr>
            </w:pPr>
            <w:r>
              <w:rPr>
                <w:spacing w:val="-1"/>
                <w:sz w:val="24"/>
                <w:szCs w:val="24"/>
              </w:rPr>
              <w:t>（</w:t>
            </w:r>
            <w:r>
              <w:rPr>
                <w:rFonts w:ascii="Times New Roman" w:hAnsi="Times New Roman" w:eastAsia="Times New Roman" w:cs="Times New Roman"/>
                <w:spacing w:val="-1"/>
                <w:sz w:val="24"/>
                <w:szCs w:val="24"/>
              </w:rPr>
              <w:t>6</w:t>
            </w:r>
            <w:r>
              <w:rPr>
                <w:spacing w:val="-1"/>
                <w:sz w:val="24"/>
                <w:szCs w:val="24"/>
              </w:rPr>
              <w:t>）变电站废旧铅蓄电池在更换、收集、运输时，严格执行《危险废物转</w:t>
            </w:r>
            <w:r>
              <w:rPr>
                <w:sz w:val="24"/>
                <w:szCs w:val="24"/>
              </w:rPr>
              <w:t>移 管理办法》有关规定，禁止在转移过程中擅自拆解、破碎、丢弃废</w:t>
            </w:r>
            <w:r>
              <w:rPr>
                <w:spacing w:val="-1"/>
                <w:sz w:val="24"/>
                <w:szCs w:val="24"/>
              </w:rPr>
              <w:t>旧铅蓄电</w:t>
            </w:r>
            <w:r>
              <w:rPr>
                <w:spacing w:val="-5"/>
                <w:sz w:val="24"/>
                <w:szCs w:val="24"/>
              </w:rPr>
              <w:t>池。</w:t>
            </w:r>
          </w:p>
          <w:p w14:paraId="01901FD7">
            <w:pPr>
              <w:pStyle w:val="6"/>
              <w:spacing w:before="1" w:line="359" w:lineRule="auto"/>
              <w:ind w:left="107" w:right="40" w:firstLine="492"/>
              <w:rPr>
                <w:sz w:val="24"/>
                <w:szCs w:val="24"/>
              </w:rPr>
            </w:pPr>
            <w:r>
              <w:rPr>
                <w:spacing w:val="-1"/>
                <w:sz w:val="24"/>
                <w:szCs w:val="24"/>
              </w:rPr>
              <w:t>（</w:t>
            </w:r>
            <w:r>
              <w:rPr>
                <w:rFonts w:ascii="Times New Roman" w:hAnsi="Times New Roman" w:eastAsia="Times New Roman" w:cs="Times New Roman"/>
                <w:spacing w:val="-1"/>
                <w:sz w:val="24"/>
                <w:szCs w:val="24"/>
              </w:rPr>
              <w:t>7</w:t>
            </w:r>
            <w:r>
              <w:rPr>
                <w:spacing w:val="-1"/>
                <w:sz w:val="24"/>
                <w:szCs w:val="24"/>
              </w:rPr>
              <w:t>）危废暂存间要求有足够地面承载能力，并能确保雨水不会流至贮存设</w:t>
            </w:r>
            <w:r>
              <w:rPr>
                <w:spacing w:val="-8"/>
                <w:sz w:val="24"/>
                <w:szCs w:val="24"/>
              </w:rPr>
              <w:t>施内，贮存设施应封闭，以防风、防雨、防晒、防渗</w:t>
            </w:r>
            <w:r>
              <w:rPr>
                <w:spacing w:val="-9"/>
                <w:sz w:val="24"/>
                <w:szCs w:val="24"/>
              </w:rPr>
              <w:t>漏。做好危险废物管理台账，</w:t>
            </w:r>
            <w:r>
              <w:rPr>
                <w:spacing w:val="-4"/>
                <w:sz w:val="24"/>
                <w:szCs w:val="24"/>
              </w:rPr>
              <w:t>由专人进行管理，台账记录上须注明危险废物的名称、来源、数量、特性和包装</w:t>
            </w:r>
            <w:r>
              <w:rPr>
                <w:sz w:val="24"/>
                <w:szCs w:val="24"/>
              </w:rPr>
              <w:t>容器的类别、入库日期、存放库位、废物出库</w:t>
            </w:r>
            <w:r>
              <w:rPr>
                <w:spacing w:val="-1"/>
                <w:sz w:val="24"/>
                <w:szCs w:val="24"/>
              </w:rPr>
              <w:t>日期及接收单位名称。</w:t>
            </w:r>
          </w:p>
          <w:p w14:paraId="08CF61F8">
            <w:pPr>
              <w:pStyle w:val="6"/>
              <w:spacing w:line="220" w:lineRule="auto"/>
              <w:ind w:left="107"/>
              <w:rPr>
                <w:sz w:val="24"/>
                <w:szCs w:val="24"/>
              </w:rPr>
            </w:pPr>
            <w:r>
              <w:rPr>
                <w:rFonts w:ascii="Times New Roman" w:hAnsi="Times New Roman" w:eastAsia="Times New Roman" w:cs="Times New Roman"/>
                <w:b/>
                <w:bCs/>
                <w:spacing w:val="-5"/>
                <w:sz w:val="24"/>
                <w:szCs w:val="24"/>
              </w:rPr>
              <w:t>7</w:t>
            </w:r>
            <w:r>
              <w:rPr>
                <w:rFonts w:ascii="Times New Roman" w:hAnsi="Times New Roman" w:eastAsia="Times New Roman" w:cs="Times New Roman"/>
                <w:b/>
                <w:bCs/>
                <w:spacing w:val="-34"/>
                <w:sz w:val="24"/>
                <w:szCs w:val="24"/>
              </w:rPr>
              <w:t xml:space="preserve"> </w:t>
            </w:r>
            <w:r>
              <w:rPr>
                <w:b/>
                <w:bCs/>
                <w:spacing w:val="-5"/>
                <w:sz w:val="24"/>
                <w:szCs w:val="24"/>
              </w:rPr>
              <w:t>、环境风险防范措施</w:t>
            </w:r>
          </w:p>
          <w:p w14:paraId="4005A72B">
            <w:pPr>
              <w:pStyle w:val="6"/>
              <w:spacing w:before="182" w:line="219" w:lineRule="auto"/>
              <w:ind w:left="600"/>
              <w:rPr>
                <w:sz w:val="24"/>
                <w:szCs w:val="24"/>
              </w:rPr>
            </w:pPr>
            <w:r>
              <w:rPr>
                <w:spacing w:val="-5"/>
                <w:sz w:val="24"/>
                <w:szCs w:val="24"/>
              </w:rPr>
              <w:t>（</w:t>
            </w:r>
            <w:r>
              <w:rPr>
                <w:rFonts w:ascii="Times New Roman" w:hAnsi="Times New Roman" w:eastAsia="Times New Roman" w:cs="Times New Roman"/>
                <w:spacing w:val="-5"/>
                <w:sz w:val="24"/>
                <w:szCs w:val="24"/>
              </w:rPr>
              <w:t>1</w:t>
            </w:r>
            <w:r>
              <w:rPr>
                <w:spacing w:val="-5"/>
                <w:sz w:val="24"/>
                <w:szCs w:val="24"/>
              </w:rPr>
              <w:t>）每台主变压器下方设置</w:t>
            </w:r>
            <w:r>
              <w:rPr>
                <w:spacing w:val="-28"/>
                <w:sz w:val="24"/>
                <w:szCs w:val="24"/>
              </w:rPr>
              <w:t xml:space="preserve"> </w:t>
            </w:r>
            <w:r>
              <w:rPr>
                <w:rFonts w:ascii="Times New Roman" w:hAnsi="Times New Roman" w:eastAsia="Times New Roman" w:cs="Times New Roman"/>
                <w:spacing w:val="-5"/>
                <w:sz w:val="24"/>
                <w:szCs w:val="24"/>
              </w:rPr>
              <w:t xml:space="preserve">1 </w:t>
            </w:r>
            <w:r>
              <w:rPr>
                <w:spacing w:val="-5"/>
                <w:sz w:val="24"/>
                <w:szCs w:val="24"/>
              </w:rPr>
              <w:t>个集油坑，容积</w:t>
            </w:r>
            <w:r>
              <w:rPr>
                <w:spacing w:val="-32"/>
                <w:sz w:val="24"/>
                <w:szCs w:val="24"/>
              </w:rPr>
              <w:t xml:space="preserve"> </w:t>
            </w:r>
            <w:r>
              <w:rPr>
                <w:rFonts w:ascii="Times New Roman" w:hAnsi="Times New Roman" w:eastAsia="Times New Roman" w:cs="Times New Roman"/>
                <w:spacing w:val="-5"/>
                <w:sz w:val="24"/>
                <w:szCs w:val="24"/>
              </w:rPr>
              <w:t>19m</w:t>
            </w:r>
            <w:r>
              <w:rPr>
                <w:rFonts w:ascii="Times New Roman" w:hAnsi="Times New Roman" w:eastAsia="Times New Roman" w:cs="Times New Roman"/>
                <w:spacing w:val="-5"/>
                <w:position w:val="8"/>
                <w:sz w:val="15"/>
                <w:szCs w:val="15"/>
              </w:rPr>
              <w:t>3</w:t>
            </w:r>
            <w:r>
              <w:rPr>
                <w:spacing w:val="-5"/>
                <w:sz w:val="24"/>
                <w:szCs w:val="24"/>
              </w:rPr>
              <w:t>，新建</w:t>
            </w:r>
            <w:r>
              <w:rPr>
                <w:spacing w:val="-32"/>
                <w:sz w:val="24"/>
                <w:szCs w:val="24"/>
              </w:rPr>
              <w:t xml:space="preserve"> </w:t>
            </w:r>
            <w:r>
              <w:rPr>
                <w:rFonts w:ascii="Times New Roman" w:hAnsi="Times New Roman" w:eastAsia="Times New Roman" w:cs="Times New Roman"/>
                <w:spacing w:val="-5"/>
                <w:sz w:val="24"/>
                <w:szCs w:val="24"/>
              </w:rPr>
              <w:t xml:space="preserve">1 </w:t>
            </w:r>
            <w:r>
              <w:rPr>
                <w:spacing w:val="-5"/>
                <w:sz w:val="24"/>
                <w:szCs w:val="24"/>
              </w:rPr>
              <w:t>座地埋式事故</w:t>
            </w:r>
          </w:p>
        </w:tc>
      </w:tr>
    </w:tbl>
    <w:p w14:paraId="32B9C535">
      <w:pPr>
        <w:rPr>
          <w:rFonts w:ascii="Arial"/>
          <w:sz w:val="21"/>
        </w:rPr>
      </w:pPr>
    </w:p>
    <w:p w14:paraId="6AB34B78">
      <w:pPr>
        <w:rPr>
          <w:rFonts w:ascii="Arial" w:hAnsi="Arial" w:eastAsia="Arial" w:cs="Arial"/>
          <w:sz w:val="21"/>
          <w:szCs w:val="21"/>
        </w:rPr>
        <w:sectPr>
          <w:footerReference r:id="rId136" w:type="default"/>
          <w:pgSz w:w="11907" w:h="16840"/>
          <w:pgMar w:top="400" w:right="1301" w:bottom="1240" w:left="1527" w:header="0" w:footer="1077" w:gutter="0"/>
          <w:cols w:space="720" w:num="1"/>
        </w:sectPr>
      </w:pPr>
    </w:p>
    <w:p w14:paraId="37934E4E">
      <w:pPr>
        <w:spacing w:before="13"/>
      </w:pPr>
    </w:p>
    <w:p w14:paraId="775BC7B3">
      <w:pPr>
        <w:spacing w:before="13"/>
      </w:pPr>
    </w:p>
    <w:p w14:paraId="0A656546">
      <w:pPr>
        <w:spacing w:before="13"/>
      </w:pPr>
    </w:p>
    <w:p w14:paraId="032346D6">
      <w:pPr>
        <w:spacing w:before="12"/>
      </w:pPr>
    </w:p>
    <w:tbl>
      <w:tblPr>
        <w:tblStyle w:val="5"/>
        <w:tblW w:w="90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4"/>
        <w:gridCol w:w="8499"/>
      </w:tblGrid>
      <w:tr w14:paraId="2A093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36" w:hRule="atLeast"/>
        </w:trPr>
        <w:tc>
          <w:tcPr>
            <w:tcW w:w="564" w:type="dxa"/>
            <w:tcBorders>
              <w:right w:val="single" w:color="000000" w:sz="2" w:space="0"/>
            </w:tcBorders>
            <w:vAlign w:val="top"/>
          </w:tcPr>
          <w:p w14:paraId="5CF094B4">
            <w:pPr>
              <w:rPr>
                <w:rFonts w:ascii="Arial"/>
                <w:sz w:val="21"/>
              </w:rPr>
            </w:pPr>
          </w:p>
        </w:tc>
        <w:tc>
          <w:tcPr>
            <w:tcW w:w="8499" w:type="dxa"/>
            <w:tcBorders>
              <w:left w:val="single" w:color="000000" w:sz="2" w:space="0"/>
            </w:tcBorders>
            <w:vAlign w:val="top"/>
          </w:tcPr>
          <w:p w14:paraId="58B13F51">
            <w:pPr>
              <w:pStyle w:val="6"/>
              <w:spacing w:before="31" w:line="359" w:lineRule="auto"/>
              <w:ind w:left="113" w:right="104" w:hanging="1"/>
              <w:rPr>
                <w:sz w:val="24"/>
                <w:szCs w:val="24"/>
              </w:rPr>
            </w:pPr>
            <w:r>
              <w:rPr>
                <w:sz w:val="24"/>
                <w:szCs w:val="24"/>
              </w:rPr>
              <w:t>油池，容积为</w:t>
            </w:r>
            <w:r>
              <w:rPr>
                <w:spacing w:val="-50"/>
                <w:sz w:val="24"/>
                <w:szCs w:val="24"/>
              </w:rPr>
              <w:t xml:space="preserve"> </w:t>
            </w:r>
            <w:r>
              <w:rPr>
                <w:rFonts w:ascii="Times New Roman" w:hAnsi="Times New Roman" w:eastAsia="Times New Roman" w:cs="Times New Roman"/>
                <w:sz w:val="24"/>
                <w:szCs w:val="24"/>
              </w:rPr>
              <w:t>30m</w:t>
            </w:r>
            <w:r>
              <w:rPr>
                <w:rFonts w:ascii="Times New Roman" w:hAnsi="Times New Roman" w:eastAsia="Times New Roman" w:cs="Times New Roman"/>
                <w:position w:val="8"/>
                <w:sz w:val="15"/>
                <w:szCs w:val="15"/>
              </w:rPr>
              <w:t>3</w:t>
            </w:r>
            <w:r>
              <w:rPr>
                <w:rFonts w:ascii="Times New Roman" w:hAnsi="Times New Roman" w:eastAsia="Times New Roman" w:cs="Times New Roman"/>
                <w:spacing w:val="-7"/>
                <w:position w:val="8"/>
                <w:sz w:val="15"/>
                <w:szCs w:val="15"/>
              </w:rPr>
              <w:t xml:space="preserve"> </w:t>
            </w:r>
            <w:r>
              <w:rPr>
                <w:sz w:val="24"/>
                <w:szCs w:val="24"/>
              </w:rPr>
              <w:t>，在事故情况下，泄漏的变压器</w:t>
            </w:r>
            <w:r>
              <w:rPr>
                <w:spacing w:val="-1"/>
                <w:sz w:val="24"/>
                <w:szCs w:val="24"/>
              </w:rPr>
              <w:t>油由集油坑收集后，经排油</w:t>
            </w:r>
            <w:r>
              <w:rPr>
                <w:spacing w:val="-2"/>
                <w:sz w:val="24"/>
                <w:szCs w:val="24"/>
              </w:rPr>
              <w:t>管道收集至事故油池暂存。</w:t>
            </w:r>
          </w:p>
          <w:p w14:paraId="54D60B63">
            <w:pPr>
              <w:pStyle w:val="6"/>
              <w:spacing w:line="359" w:lineRule="auto"/>
              <w:ind w:left="107" w:right="43" w:firstLine="492"/>
              <w:rPr>
                <w:sz w:val="24"/>
                <w:szCs w:val="24"/>
              </w:rPr>
            </w:pPr>
            <w:r>
              <w:rPr>
                <w:spacing w:val="-1"/>
                <w:sz w:val="24"/>
                <w:szCs w:val="24"/>
              </w:rPr>
              <w:t>（</w:t>
            </w:r>
            <w:r>
              <w:rPr>
                <w:rFonts w:ascii="Times New Roman" w:hAnsi="Times New Roman" w:eastAsia="Times New Roman" w:cs="Times New Roman"/>
                <w:spacing w:val="-1"/>
                <w:sz w:val="24"/>
                <w:szCs w:val="24"/>
              </w:rPr>
              <w:t>2</w:t>
            </w:r>
            <w:r>
              <w:rPr>
                <w:spacing w:val="-1"/>
                <w:sz w:val="24"/>
                <w:szCs w:val="24"/>
              </w:rPr>
              <w:t>）严格做好分区防渗工程，变电站内危废暂存间、主变压器集油坑、事</w:t>
            </w:r>
            <w:r>
              <w:rPr>
                <w:spacing w:val="-4"/>
                <w:sz w:val="24"/>
                <w:szCs w:val="24"/>
              </w:rPr>
              <w:t>故油池为重点防渗区，化粪池、污水处理设施、雨水收集池为一般防渗区，变电站内其他地方为简单防渗区；重点防渗区应设置防渗层，参照《危险废物贮存污</w:t>
            </w:r>
            <w:r>
              <w:rPr>
                <w:spacing w:val="-7"/>
                <w:sz w:val="24"/>
                <w:szCs w:val="24"/>
              </w:rPr>
              <w:t>染控制标准》（</w:t>
            </w:r>
            <w:r>
              <w:rPr>
                <w:rFonts w:ascii="Times New Roman" w:hAnsi="Times New Roman" w:eastAsia="Times New Roman" w:cs="Times New Roman"/>
                <w:spacing w:val="-7"/>
                <w:sz w:val="24"/>
                <w:szCs w:val="24"/>
              </w:rPr>
              <w:t>GB18597-2023</w:t>
            </w:r>
            <w:r>
              <w:rPr>
                <w:spacing w:val="-60"/>
                <w:sz w:val="24"/>
                <w:szCs w:val="24"/>
              </w:rPr>
              <w:t>），</w:t>
            </w:r>
            <w:r>
              <w:rPr>
                <w:spacing w:val="-7"/>
                <w:sz w:val="24"/>
                <w:szCs w:val="24"/>
              </w:rPr>
              <w:t>防渗层至少</w:t>
            </w:r>
            <w:r>
              <w:rPr>
                <w:spacing w:val="-55"/>
                <w:sz w:val="24"/>
                <w:szCs w:val="24"/>
              </w:rPr>
              <w:t xml:space="preserve"> </w:t>
            </w:r>
            <w:r>
              <w:rPr>
                <w:rFonts w:ascii="Times New Roman" w:hAnsi="Times New Roman" w:eastAsia="Times New Roman" w:cs="Times New Roman"/>
                <w:spacing w:val="-7"/>
                <w:sz w:val="24"/>
                <w:szCs w:val="24"/>
              </w:rPr>
              <w:t>2mm</w:t>
            </w:r>
            <w:r>
              <w:rPr>
                <w:rFonts w:ascii="Times New Roman" w:hAnsi="Times New Roman" w:eastAsia="Times New Roman" w:cs="Times New Roman"/>
                <w:spacing w:val="14"/>
                <w:sz w:val="24"/>
                <w:szCs w:val="24"/>
              </w:rPr>
              <w:t xml:space="preserve"> </w:t>
            </w:r>
            <w:r>
              <w:rPr>
                <w:spacing w:val="-7"/>
                <w:sz w:val="24"/>
                <w:szCs w:val="24"/>
              </w:rPr>
              <w:t>厚高密度聚乙烯，或至少</w:t>
            </w:r>
            <w:r>
              <w:rPr>
                <w:spacing w:val="-55"/>
                <w:sz w:val="24"/>
                <w:szCs w:val="24"/>
              </w:rPr>
              <w:t xml:space="preserve"> </w:t>
            </w:r>
            <w:r>
              <w:rPr>
                <w:rFonts w:ascii="Times New Roman" w:hAnsi="Times New Roman" w:eastAsia="Times New Roman" w:cs="Times New Roman"/>
                <w:spacing w:val="-7"/>
                <w:sz w:val="24"/>
                <w:szCs w:val="24"/>
              </w:rPr>
              <w:t>2mm</w:t>
            </w:r>
            <w:r>
              <w:rPr>
                <w:sz w:val="24"/>
                <w:szCs w:val="24"/>
              </w:rPr>
              <w:t>厚的其他人工材料，渗透系数</w:t>
            </w:r>
            <w:r>
              <w:rPr>
                <w:rFonts w:ascii="Times New Roman" w:hAnsi="Times New Roman" w:eastAsia="Times New Roman" w:cs="Times New Roman"/>
                <w:sz w:val="24"/>
                <w:szCs w:val="24"/>
              </w:rPr>
              <w:t>≤10</w:t>
            </w:r>
            <w:r>
              <w:rPr>
                <w:rFonts w:ascii="Times New Roman" w:hAnsi="Times New Roman" w:eastAsia="Times New Roman" w:cs="Times New Roman"/>
                <w:position w:val="8"/>
                <w:sz w:val="15"/>
                <w:szCs w:val="15"/>
              </w:rPr>
              <w:t>-l0</w:t>
            </w:r>
            <w:r>
              <w:rPr>
                <w:rFonts w:ascii="Times New Roman" w:hAnsi="Times New Roman" w:eastAsia="Times New Roman" w:cs="Times New Roman"/>
                <w:sz w:val="24"/>
                <w:szCs w:val="24"/>
              </w:rPr>
              <w:t>cm/s</w:t>
            </w:r>
            <w:r>
              <w:rPr>
                <w:sz w:val="24"/>
                <w:szCs w:val="24"/>
              </w:rPr>
              <w:t>；一般防渗区的地面采用</w:t>
            </w:r>
            <w:r>
              <w:rPr>
                <w:spacing w:val="-1"/>
                <w:sz w:val="24"/>
                <w:szCs w:val="24"/>
              </w:rPr>
              <w:t>抗渗混凝土硬</w:t>
            </w:r>
            <w:r>
              <w:rPr>
                <w:spacing w:val="-4"/>
                <w:sz w:val="24"/>
                <w:szCs w:val="24"/>
              </w:rPr>
              <w:t>化（厚度≥</w:t>
            </w:r>
            <w:r>
              <w:rPr>
                <w:rFonts w:ascii="Times New Roman" w:hAnsi="Times New Roman" w:eastAsia="Times New Roman" w:cs="Times New Roman"/>
                <w:spacing w:val="-4"/>
                <w:sz w:val="24"/>
                <w:szCs w:val="24"/>
              </w:rPr>
              <w:t>150mm</w:t>
            </w:r>
            <w:r>
              <w:rPr>
                <w:spacing w:val="-29"/>
                <w:sz w:val="24"/>
                <w:szCs w:val="24"/>
              </w:rPr>
              <w:t>），</w:t>
            </w:r>
            <w:r>
              <w:rPr>
                <w:spacing w:val="-4"/>
                <w:sz w:val="24"/>
                <w:szCs w:val="24"/>
              </w:rPr>
              <w:t>并在地面铺设</w:t>
            </w:r>
            <w:r>
              <w:rPr>
                <w:spacing w:val="-55"/>
                <w:sz w:val="24"/>
                <w:szCs w:val="24"/>
              </w:rPr>
              <w:t xml:space="preserve"> </w:t>
            </w:r>
            <w:r>
              <w:rPr>
                <w:rFonts w:ascii="Times New Roman" w:hAnsi="Times New Roman" w:eastAsia="Times New Roman" w:cs="Times New Roman"/>
                <w:spacing w:val="-4"/>
                <w:sz w:val="24"/>
                <w:szCs w:val="24"/>
              </w:rPr>
              <w:t xml:space="preserve">HDPE </w:t>
            </w:r>
            <w:r>
              <w:rPr>
                <w:spacing w:val="-4"/>
                <w:sz w:val="24"/>
                <w:szCs w:val="24"/>
              </w:rPr>
              <w:t>膜 (≥</w:t>
            </w:r>
            <w:r>
              <w:rPr>
                <w:rFonts w:ascii="Times New Roman" w:hAnsi="Times New Roman" w:eastAsia="Times New Roman" w:cs="Times New Roman"/>
                <w:spacing w:val="-4"/>
                <w:sz w:val="24"/>
                <w:szCs w:val="24"/>
              </w:rPr>
              <w:t>1.5mm</w:t>
            </w:r>
            <w:r>
              <w:rPr>
                <w:spacing w:val="-29"/>
                <w:sz w:val="24"/>
                <w:szCs w:val="24"/>
              </w:rPr>
              <w:t>），</w:t>
            </w:r>
            <w:r>
              <w:rPr>
                <w:spacing w:val="-4"/>
                <w:sz w:val="24"/>
                <w:szCs w:val="24"/>
              </w:rPr>
              <w:t>渗透系数</w:t>
            </w:r>
            <w:r>
              <w:rPr>
                <w:rFonts w:ascii="Times New Roman" w:hAnsi="Times New Roman" w:eastAsia="Times New Roman" w:cs="Times New Roman"/>
                <w:spacing w:val="-4"/>
                <w:sz w:val="24"/>
                <w:szCs w:val="24"/>
              </w:rPr>
              <w:t>≤10</w:t>
            </w:r>
            <w:r>
              <w:rPr>
                <w:rFonts w:ascii="Times New Roman" w:hAnsi="Times New Roman" w:eastAsia="Times New Roman" w:cs="Times New Roman"/>
                <w:spacing w:val="-4"/>
                <w:position w:val="8"/>
                <w:sz w:val="15"/>
                <w:szCs w:val="15"/>
              </w:rPr>
              <w:t>-7</w:t>
            </w:r>
            <w:r>
              <w:rPr>
                <w:rFonts w:ascii="Times New Roman" w:hAnsi="Times New Roman" w:eastAsia="Times New Roman" w:cs="Times New Roman"/>
                <w:spacing w:val="-4"/>
                <w:sz w:val="24"/>
                <w:szCs w:val="24"/>
              </w:rPr>
              <w:t>cm/s</w:t>
            </w:r>
            <w:r>
              <w:rPr>
                <w:spacing w:val="-4"/>
                <w:sz w:val="24"/>
                <w:szCs w:val="24"/>
              </w:rPr>
              <w:t>；简单防渗区进行地面硬化，防止扬尘和方便清洁即可；通过采取以上分区防渗工</w:t>
            </w:r>
            <w:r>
              <w:rPr>
                <w:spacing w:val="-1"/>
                <w:sz w:val="24"/>
                <w:szCs w:val="24"/>
              </w:rPr>
              <w:t>程，项目污染土壤、地下水的风险很小。</w:t>
            </w:r>
          </w:p>
          <w:p w14:paraId="31B9AF42">
            <w:pPr>
              <w:pStyle w:val="6"/>
              <w:spacing w:line="359" w:lineRule="auto"/>
              <w:ind w:left="109" w:right="3" w:firstLine="490"/>
              <w:rPr>
                <w:sz w:val="24"/>
                <w:szCs w:val="24"/>
              </w:rPr>
            </w:pPr>
            <w:r>
              <w:rPr>
                <w:spacing w:val="-11"/>
                <w:sz w:val="24"/>
                <w:szCs w:val="24"/>
              </w:rPr>
              <w:t>（</w:t>
            </w:r>
            <w:r>
              <w:rPr>
                <w:rFonts w:ascii="Times New Roman" w:hAnsi="Times New Roman" w:eastAsia="Times New Roman" w:cs="Times New Roman"/>
                <w:spacing w:val="-11"/>
                <w:sz w:val="24"/>
                <w:szCs w:val="24"/>
              </w:rPr>
              <w:t>3</w:t>
            </w:r>
            <w:r>
              <w:rPr>
                <w:spacing w:val="-11"/>
                <w:sz w:val="24"/>
                <w:szCs w:val="24"/>
              </w:rPr>
              <w:t>）危险废物暂存间需满足《危险废物贮存污染控制标准》（</w:t>
            </w:r>
            <w:r>
              <w:rPr>
                <w:rFonts w:ascii="Times New Roman" w:hAnsi="Times New Roman" w:eastAsia="Times New Roman" w:cs="Times New Roman"/>
                <w:spacing w:val="-11"/>
                <w:sz w:val="24"/>
                <w:szCs w:val="24"/>
              </w:rPr>
              <w:t>GB18597-2023</w:t>
            </w:r>
            <w:r>
              <w:rPr>
                <w:spacing w:val="-11"/>
                <w:sz w:val="24"/>
                <w:szCs w:val="24"/>
              </w:rPr>
              <w:t>）</w:t>
            </w:r>
            <w:r>
              <w:rPr>
                <w:spacing w:val="-4"/>
                <w:sz w:val="24"/>
                <w:szCs w:val="24"/>
              </w:rPr>
              <w:t>的要求，采用抗渗混凝土、高密度聚乙烯膜、钠基膨润土防水毯或其他防渗性能等效的材料，对地面、墙面裙角进行表面防渗处理。废铅酸蓄电池使用聚四氟乙</w:t>
            </w:r>
            <w:r>
              <w:rPr>
                <w:spacing w:val="-1"/>
                <w:sz w:val="24"/>
                <w:szCs w:val="24"/>
              </w:rPr>
              <w:t>烯托盘，收集电解液渗漏。</w:t>
            </w:r>
          </w:p>
          <w:p w14:paraId="5FD66309">
            <w:pPr>
              <w:pStyle w:val="6"/>
              <w:spacing w:line="359" w:lineRule="auto"/>
              <w:ind w:left="108" w:right="102" w:firstLine="491"/>
              <w:rPr>
                <w:sz w:val="24"/>
                <w:szCs w:val="24"/>
              </w:rPr>
            </w:pPr>
            <w:r>
              <w:rPr>
                <w:spacing w:val="-1"/>
                <w:sz w:val="24"/>
                <w:szCs w:val="24"/>
              </w:rPr>
              <w:t>（</w:t>
            </w:r>
            <w:r>
              <w:rPr>
                <w:rFonts w:ascii="Times New Roman" w:hAnsi="Times New Roman" w:eastAsia="Times New Roman" w:cs="Times New Roman"/>
                <w:spacing w:val="-1"/>
                <w:sz w:val="24"/>
                <w:szCs w:val="24"/>
              </w:rPr>
              <w:t>4</w:t>
            </w:r>
            <w:r>
              <w:rPr>
                <w:spacing w:val="-1"/>
                <w:sz w:val="24"/>
                <w:szCs w:val="24"/>
              </w:rPr>
              <w:t>）施工期加强工程监理和环境监理，提高防渗工程质量，做好照片、录像以及相关文字说明等存档资料。</w:t>
            </w:r>
          </w:p>
          <w:p w14:paraId="76692069">
            <w:pPr>
              <w:pStyle w:val="6"/>
              <w:spacing w:line="219" w:lineRule="auto"/>
              <w:ind w:left="600"/>
              <w:rPr>
                <w:sz w:val="24"/>
                <w:szCs w:val="24"/>
              </w:rPr>
            </w:pPr>
            <w:r>
              <w:rPr>
                <w:spacing w:val="-1"/>
                <w:sz w:val="24"/>
                <w:szCs w:val="24"/>
              </w:rPr>
              <w:t>（</w:t>
            </w:r>
            <w:r>
              <w:rPr>
                <w:rFonts w:ascii="Times New Roman" w:hAnsi="Times New Roman" w:eastAsia="Times New Roman" w:cs="Times New Roman"/>
                <w:spacing w:val="-1"/>
                <w:sz w:val="24"/>
                <w:szCs w:val="24"/>
              </w:rPr>
              <w:t>5</w:t>
            </w:r>
            <w:r>
              <w:rPr>
                <w:spacing w:val="-1"/>
                <w:sz w:val="24"/>
                <w:szCs w:val="24"/>
              </w:rPr>
              <w:t>）运营期定期检查各储存设施，避免出现泄漏等不良情况。</w:t>
            </w:r>
          </w:p>
          <w:p w14:paraId="7BE3FABF">
            <w:pPr>
              <w:pStyle w:val="6"/>
              <w:spacing w:before="183" w:line="359" w:lineRule="auto"/>
              <w:ind w:left="584" w:right="102" w:firstLine="15"/>
              <w:rPr>
                <w:sz w:val="24"/>
                <w:szCs w:val="24"/>
              </w:rPr>
            </w:pPr>
            <w:r>
              <w:rPr>
                <w:spacing w:val="-2"/>
                <w:sz w:val="24"/>
                <w:szCs w:val="24"/>
              </w:rPr>
              <w:t>（</w:t>
            </w:r>
            <w:r>
              <w:rPr>
                <w:rFonts w:ascii="Times New Roman" w:hAnsi="Times New Roman" w:eastAsia="Times New Roman" w:cs="Times New Roman"/>
                <w:spacing w:val="-2"/>
                <w:sz w:val="24"/>
                <w:szCs w:val="24"/>
              </w:rPr>
              <w:t>6</w:t>
            </w:r>
            <w:r>
              <w:rPr>
                <w:spacing w:val="-2"/>
                <w:sz w:val="24"/>
                <w:szCs w:val="24"/>
              </w:rPr>
              <w:t>）危险废物的贮存严格按照《危险废物贮存污染控制标准》（</w:t>
            </w:r>
            <w:r>
              <w:rPr>
                <w:rFonts w:ascii="Times New Roman" w:hAnsi="Times New Roman" w:eastAsia="Times New Roman" w:cs="Times New Roman"/>
                <w:spacing w:val="-2"/>
                <w:sz w:val="24"/>
                <w:szCs w:val="24"/>
              </w:rPr>
              <w:t>GB18597-</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2023</w:t>
            </w:r>
            <w:r>
              <w:rPr>
                <w:sz w:val="24"/>
                <w:szCs w:val="24"/>
              </w:rPr>
              <w:t>）和《危险废物收集、贮存、运输技术规范》（</w:t>
            </w:r>
            <w:r>
              <w:rPr>
                <w:rFonts w:ascii="Times New Roman" w:hAnsi="Times New Roman" w:eastAsia="Times New Roman" w:cs="Times New Roman"/>
                <w:sz w:val="24"/>
                <w:szCs w:val="24"/>
              </w:rPr>
              <w:t>HJ2025-2012</w:t>
            </w:r>
            <w:r>
              <w:rPr>
                <w:sz w:val="24"/>
                <w:szCs w:val="24"/>
              </w:rPr>
              <w:t>）的相关</w:t>
            </w:r>
          </w:p>
          <w:p w14:paraId="4E8A98F5">
            <w:pPr>
              <w:pStyle w:val="6"/>
              <w:spacing w:line="219" w:lineRule="auto"/>
              <w:ind w:left="109"/>
              <w:rPr>
                <w:sz w:val="24"/>
                <w:szCs w:val="24"/>
              </w:rPr>
            </w:pPr>
            <w:r>
              <w:rPr>
                <w:spacing w:val="-3"/>
                <w:sz w:val="24"/>
                <w:szCs w:val="24"/>
              </w:rPr>
              <w:t>要求执行。</w:t>
            </w:r>
          </w:p>
          <w:p w14:paraId="5780B96B">
            <w:pPr>
              <w:pStyle w:val="6"/>
              <w:spacing w:before="182" w:line="359" w:lineRule="auto"/>
              <w:ind w:left="117" w:right="102" w:firstLine="483"/>
              <w:rPr>
                <w:sz w:val="24"/>
                <w:szCs w:val="24"/>
              </w:rPr>
            </w:pPr>
            <w:r>
              <w:rPr>
                <w:spacing w:val="-1"/>
                <w:sz w:val="24"/>
                <w:szCs w:val="24"/>
              </w:rPr>
              <w:t>（</w:t>
            </w:r>
            <w:r>
              <w:rPr>
                <w:rFonts w:ascii="Times New Roman" w:hAnsi="Times New Roman" w:eastAsia="Times New Roman" w:cs="Times New Roman"/>
                <w:spacing w:val="-1"/>
                <w:sz w:val="24"/>
                <w:szCs w:val="24"/>
              </w:rPr>
              <w:t>7</w:t>
            </w:r>
            <w:r>
              <w:rPr>
                <w:spacing w:val="-1"/>
                <w:sz w:val="24"/>
                <w:szCs w:val="24"/>
              </w:rPr>
              <w:t>）加强对操作人员的岗位培训，建立健全的环保管理机制和各项环保规</w:t>
            </w:r>
            <w:r>
              <w:rPr>
                <w:spacing w:val="-4"/>
                <w:sz w:val="24"/>
                <w:szCs w:val="24"/>
              </w:rPr>
              <w:t>章制度，落实岗位环保责任制，加强环境风险防控工作，防止事故排放导致环境</w:t>
            </w:r>
            <w:r>
              <w:rPr>
                <w:spacing w:val="-6"/>
                <w:sz w:val="24"/>
                <w:szCs w:val="24"/>
              </w:rPr>
              <w:t>问题。</w:t>
            </w:r>
          </w:p>
          <w:p w14:paraId="233D9320">
            <w:pPr>
              <w:pStyle w:val="6"/>
              <w:spacing w:before="3" w:line="358" w:lineRule="auto"/>
              <w:ind w:left="107" w:right="102" w:firstLine="492"/>
              <w:rPr>
                <w:sz w:val="24"/>
                <w:szCs w:val="24"/>
              </w:rPr>
            </w:pPr>
            <w:r>
              <w:rPr>
                <w:spacing w:val="-1"/>
                <w:sz w:val="24"/>
                <w:szCs w:val="24"/>
              </w:rPr>
              <w:t>（</w:t>
            </w:r>
            <w:r>
              <w:rPr>
                <w:rFonts w:ascii="Times New Roman" w:hAnsi="Times New Roman" w:eastAsia="Times New Roman" w:cs="Times New Roman"/>
                <w:spacing w:val="-1"/>
                <w:sz w:val="24"/>
                <w:szCs w:val="24"/>
              </w:rPr>
              <w:t>8</w:t>
            </w:r>
            <w:r>
              <w:rPr>
                <w:spacing w:val="-1"/>
                <w:sz w:val="24"/>
                <w:szCs w:val="24"/>
              </w:rPr>
              <w:t>）针对本项目可能发生的突发事故，建设单位应编制突发环境事件应急</w:t>
            </w:r>
            <w:r>
              <w:rPr>
                <w:spacing w:val="-4"/>
                <w:sz w:val="24"/>
                <w:szCs w:val="24"/>
              </w:rPr>
              <w:t>预案并报生态环境局备案；建立完善的应急制度，定期开展演练，针对工程变动</w:t>
            </w:r>
            <w:r>
              <w:rPr>
                <w:spacing w:val="-1"/>
                <w:sz w:val="24"/>
                <w:szCs w:val="24"/>
              </w:rPr>
              <w:t>及时修订《应急预案》。</w:t>
            </w:r>
          </w:p>
          <w:p w14:paraId="5398FC7B">
            <w:pPr>
              <w:pStyle w:val="6"/>
              <w:spacing w:line="219" w:lineRule="auto"/>
              <w:ind w:left="107"/>
              <w:rPr>
                <w:sz w:val="24"/>
                <w:szCs w:val="24"/>
              </w:rPr>
            </w:pPr>
            <w:r>
              <w:rPr>
                <w:rFonts w:ascii="Times New Roman" w:hAnsi="Times New Roman" w:eastAsia="Times New Roman" w:cs="Times New Roman"/>
                <w:b/>
                <w:bCs/>
                <w:spacing w:val="-4"/>
                <w:sz w:val="24"/>
                <w:szCs w:val="24"/>
              </w:rPr>
              <w:t>8</w:t>
            </w:r>
            <w:r>
              <w:rPr>
                <w:rFonts w:ascii="Times New Roman" w:hAnsi="Times New Roman" w:eastAsia="Times New Roman" w:cs="Times New Roman"/>
                <w:b/>
                <w:bCs/>
                <w:spacing w:val="-26"/>
                <w:sz w:val="24"/>
                <w:szCs w:val="24"/>
              </w:rPr>
              <w:t xml:space="preserve"> </w:t>
            </w:r>
            <w:r>
              <w:rPr>
                <w:b/>
                <w:bCs/>
                <w:spacing w:val="-4"/>
                <w:sz w:val="24"/>
                <w:szCs w:val="24"/>
              </w:rPr>
              <w:t>、运营期环保措施责任主体及实施效果</w:t>
            </w:r>
          </w:p>
          <w:p w14:paraId="6A40C8D3">
            <w:pPr>
              <w:pStyle w:val="6"/>
              <w:spacing w:before="184" w:line="342" w:lineRule="auto"/>
              <w:ind w:left="112" w:right="102" w:firstLine="477"/>
              <w:rPr>
                <w:sz w:val="24"/>
                <w:szCs w:val="24"/>
              </w:rPr>
            </w:pPr>
            <w:r>
              <w:rPr>
                <w:spacing w:val="-4"/>
                <w:sz w:val="24"/>
                <w:szCs w:val="24"/>
              </w:rPr>
              <w:t>本项目运营期采取的生态环境保护措施的责任主体为建设运行管理单位，建设运行管理单位应严格依照相关要求确保措施有效落实；经分析，以上措施具有</w:t>
            </w:r>
          </w:p>
        </w:tc>
      </w:tr>
    </w:tbl>
    <w:p w14:paraId="5B2DC779">
      <w:pPr>
        <w:rPr>
          <w:rFonts w:ascii="Arial"/>
          <w:sz w:val="21"/>
        </w:rPr>
      </w:pPr>
    </w:p>
    <w:p w14:paraId="18006B21">
      <w:pPr>
        <w:rPr>
          <w:rFonts w:ascii="Arial" w:hAnsi="Arial" w:eastAsia="Arial" w:cs="Arial"/>
          <w:sz w:val="21"/>
          <w:szCs w:val="21"/>
        </w:rPr>
        <w:sectPr>
          <w:footerReference r:id="rId137" w:type="default"/>
          <w:pgSz w:w="11907" w:h="16840"/>
          <w:pgMar w:top="400" w:right="1301" w:bottom="1240" w:left="1527" w:header="0" w:footer="1077" w:gutter="0"/>
          <w:cols w:space="720" w:num="1"/>
        </w:sectPr>
      </w:pPr>
    </w:p>
    <w:p w14:paraId="05A02EEA">
      <w:pPr>
        <w:spacing w:before="13"/>
      </w:pPr>
    </w:p>
    <w:p w14:paraId="15E975F2">
      <w:pPr>
        <w:spacing w:before="13"/>
      </w:pPr>
    </w:p>
    <w:p w14:paraId="37986B41">
      <w:pPr>
        <w:spacing w:before="13"/>
      </w:pPr>
    </w:p>
    <w:p w14:paraId="1E1BAFD0">
      <w:pPr>
        <w:spacing w:before="12"/>
      </w:pPr>
    </w:p>
    <w:tbl>
      <w:tblPr>
        <w:tblStyle w:val="5"/>
        <w:tblW w:w="90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4"/>
        <w:gridCol w:w="8499"/>
      </w:tblGrid>
      <w:tr w14:paraId="4204B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99" w:hRule="atLeast"/>
        </w:trPr>
        <w:tc>
          <w:tcPr>
            <w:tcW w:w="564" w:type="dxa"/>
            <w:tcBorders>
              <w:bottom w:val="single" w:color="000000" w:sz="2" w:space="0"/>
              <w:right w:val="single" w:color="000000" w:sz="2" w:space="0"/>
            </w:tcBorders>
            <w:vAlign w:val="top"/>
          </w:tcPr>
          <w:p w14:paraId="40B0BCE7">
            <w:pPr>
              <w:rPr>
                <w:rFonts w:ascii="Arial"/>
                <w:sz w:val="21"/>
              </w:rPr>
            </w:pPr>
          </w:p>
        </w:tc>
        <w:tc>
          <w:tcPr>
            <w:tcW w:w="8499" w:type="dxa"/>
            <w:tcBorders>
              <w:left w:val="single" w:color="000000" w:sz="2" w:space="0"/>
              <w:bottom w:val="single" w:color="000000" w:sz="2" w:space="0"/>
            </w:tcBorders>
            <w:vAlign w:val="top"/>
          </w:tcPr>
          <w:p w14:paraId="0E90B637">
            <w:pPr>
              <w:pStyle w:val="6"/>
              <w:spacing w:before="31" w:line="348" w:lineRule="auto"/>
              <w:ind w:left="108" w:right="102"/>
              <w:jc w:val="both"/>
              <w:rPr>
                <w:sz w:val="24"/>
                <w:szCs w:val="24"/>
              </w:rPr>
            </w:pPr>
            <w:r>
              <w:rPr>
                <w:spacing w:val="-4"/>
                <w:sz w:val="24"/>
                <w:szCs w:val="24"/>
              </w:rPr>
              <w:t>技术可行性、经济合理性、运行稳定性、生态保护的可达性，在认真落实各项生态保护和污染防治措施后，本项目运营期对生态环境影响较小，电磁及声环境影</w:t>
            </w:r>
            <w:r>
              <w:rPr>
                <w:spacing w:val="-2"/>
                <w:sz w:val="24"/>
                <w:szCs w:val="24"/>
              </w:rPr>
              <w:t>响能满足标准要求。</w:t>
            </w:r>
          </w:p>
        </w:tc>
      </w:tr>
      <w:tr w14:paraId="1C987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142" w:hRule="atLeast"/>
        </w:trPr>
        <w:tc>
          <w:tcPr>
            <w:tcW w:w="564" w:type="dxa"/>
            <w:tcBorders>
              <w:top w:val="single" w:color="000000" w:sz="2" w:space="0"/>
              <w:right w:val="single" w:color="000000" w:sz="2" w:space="0"/>
            </w:tcBorders>
            <w:textDirection w:val="tbRlV"/>
            <w:vAlign w:val="top"/>
          </w:tcPr>
          <w:p w14:paraId="3D5901B9">
            <w:pPr>
              <w:pStyle w:val="6"/>
              <w:spacing w:before="161" w:line="209" w:lineRule="auto"/>
              <w:ind w:left="5793"/>
              <w:rPr>
                <w:sz w:val="24"/>
                <w:szCs w:val="24"/>
              </w:rPr>
            </w:pPr>
            <w:r>
              <w:rPr>
                <w:spacing w:val="35"/>
                <w:sz w:val="24"/>
                <w:szCs w:val="24"/>
              </w:rPr>
              <w:t>其他</w:t>
            </w:r>
          </w:p>
        </w:tc>
        <w:tc>
          <w:tcPr>
            <w:tcW w:w="8499" w:type="dxa"/>
            <w:tcBorders>
              <w:top w:val="single" w:color="000000" w:sz="2" w:space="0"/>
              <w:left w:val="single" w:color="000000" w:sz="2" w:space="0"/>
            </w:tcBorders>
            <w:vAlign w:val="top"/>
          </w:tcPr>
          <w:p w14:paraId="5F22C2C4">
            <w:pPr>
              <w:pStyle w:val="6"/>
              <w:spacing w:before="36" w:line="219" w:lineRule="auto"/>
              <w:ind w:left="115"/>
              <w:rPr>
                <w:sz w:val="24"/>
                <w:szCs w:val="24"/>
              </w:rPr>
            </w:pPr>
            <w:r>
              <w:rPr>
                <w:rFonts w:ascii="Times New Roman" w:hAnsi="Times New Roman" w:eastAsia="Times New Roman" w:cs="Times New Roman"/>
                <w:b/>
                <w:bCs/>
                <w:spacing w:val="-9"/>
                <w:sz w:val="24"/>
                <w:szCs w:val="24"/>
              </w:rPr>
              <w:t>1</w:t>
            </w:r>
            <w:r>
              <w:rPr>
                <w:rFonts w:ascii="Times New Roman" w:hAnsi="Times New Roman" w:eastAsia="Times New Roman" w:cs="Times New Roman"/>
                <w:b/>
                <w:bCs/>
                <w:spacing w:val="-34"/>
                <w:sz w:val="24"/>
                <w:szCs w:val="24"/>
              </w:rPr>
              <w:t xml:space="preserve"> </w:t>
            </w:r>
            <w:r>
              <w:rPr>
                <w:b/>
                <w:bCs/>
                <w:spacing w:val="-9"/>
                <w:sz w:val="24"/>
                <w:szCs w:val="24"/>
              </w:rPr>
              <w:t>、环境管理</w:t>
            </w:r>
          </w:p>
          <w:p w14:paraId="11FC0540">
            <w:pPr>
              <w:pStyle w:val="6"/>
              <w:spacing w:before="183" w:line="359" w:lineRule="auto"/>
              <w:ind w:left="107" w:right="102" w:firstLine="483"/>
              <w:jc w:val="both"/>
              <w:rPr>
                <w:sz w:val="24"/>
                <w:szCs w:val="24"/>
              </w:rPr>
            </w:pPr>
            <w:r>
              <w:rPr>
                <w:spacing w:val="3"/>
                <w:sz w:val="24"/>
                <w:szCs w:val="24"/>
              </w:rPr>
              <w:t>建设单位在项目开工建设前应当对工程最终设计方案与环评方案进行梳理</w:t>
            </w:r>
            <w:r>
              <w:rPr>
                <w:spacing w:val="-4"/>
                <w:sz w:val="24"/>
                <w:szCs w:val="24"/>
              </w:rPr>
              <w:t>对比，构成重大变动的应当对变动内容进行环境影响评价并重新报批，一般变动</w:t>
            </w:r>
            <w:r>
              <w:rPr>
                <w:sz w:val="24"/>
                <w:szCs w:val="24"/>
              </w:rPr>
              <w:t>只需备案。项目建设过程中如发生重大变动， 应当对实施前对变动</w:t>
            </w:r>
            <w:r>
              <w:rPr>
                <w:spacing w:val="-1"/>
                <w:sz w:val="24"/>
                <w:szCs w:val="24"/>
              </w:rPr>
              <w:t>内容进行环境影响评价并重新报批。</w:t>
            </w:r>
          </w:p>
          <w:p w14:paraId="3DC0CF61">
            <w:pPr>
              <w:pStyle w:val="6"/>
              <w:spacing w:line="218" w:lineRule="auto"/>
              <w:ind w:left="600"/>
              <w:rPr>
                <w:sz w:val="24"/>
                <w:szCs w:val="24"/>
              </w:rPr>
            </w:pPr>
            <w:r>
              <w:rPr>
                <w:b/>
                <w:bCs/>
                <w:spacing w:val="-5"/>
                <w:sz w:val="24"/>
                <w:szCs w:val="24"/>
              </w:rPr>
              <w:t>（</w:t>
            </w:r>
            <w:r>
              <w:rPr>
                <w:rFonts w:ascii="Times New Roman" w:hAnsi="Times New Roman" w:eastAsia="Times New Roman" w:cs="Times New Roman"/>
                <w:b/>
                <w:bCs/>
                <w:spacing w:val="-5"/>
                <w:sz w:val="24"/>
                <w:szCs w:val="24"/>
              </w:rPr>
              <w:t>1</w:t>
            </w:r>
            <w:r>
              <w:rPr>
                <w:b/>
                <w:bCs/>
                <w:spacing w:val="-5"/>
                <w:sz w:val="24"/>
                <w:szCs w:val="24"/>
              </w:rPr>
              <w:t>）环境管理机构</w:t>
            </w:r>
          </w:p>
          <w:p w14:paraId="187BAD24">
            <w:pPr>
              <w:pStyle w:val="6"/>
              <w:spacing w:before="184" w:line="359" w:lineRule="auto"/>
              <w:ind w:left="108" w:right="102" w:firstLine="479"/>
              <w:rPr>
                <w:sz w:val="24"/>
                <w:szCs w:val="24"/>
              </w:rPr>
            </w:pPr>
            <w:r>
              <w:rPr>
                <w:spacing w:val="-4"/>
                <w:sz w:val="24"/>
                <w:szCs w:val="24"/>
              </w:rPr>
              <w:t>输变电工程一般不单独设立环境监测站。建设单位或运行单位在管理机构内</w:t>
            </w:r>
            <w:r>
              <w:rPr>
                <w:spacing w:val="-1"/>
                <w:sz w:val="24"/>
                <w:szCs w:val="24"/>
              </w:rPr>
              <w:t>配备必要的专职或兼职人员，负责环境保护管理工作。</w:t>
            </w:r>
          </w:p>
          <w:p w14:paraId="4E71A40C">
            <w:pPr>
              <w:pStyle w:val="6"/>
              <w:spacing w:line="219" w:lineRule="auto"/>
              <w:ind w:left="600"/>
              <w:rPr>
                <w:sz w:val="24"/>
                <w:szCs w:val="24"/>
              </w:rPr>
            </w:pPr>
            <w:r>
              <w:rPr>
                <w:b/>
                <w:bCs/>
                <w:spacing w:val="-4"/>
                <w:sz w:val="24"/>
                <w:szCs w:val="24"/>
              </w:rPr>
              <w:t>（</w:t>
            </w:r>
            <w:r>
              <w:rPr>
                <w:rFonts w:ascii="Times New Roman" w:hAnsi="Times New Roman" w:eastAsia="Times New Roman" w:cs="Times New Roman"/>
                <w:b/>
                <w:bCs/>
                <w:spacing w:val="-4"/>
                <w:sz w:val="24"/>
                <w:szCs w:val="24"/>
              </w:rPr>
              <w:t>2</w:t>
            </w:r>
            <w:r>
              <w:rPr>
                <w:b/>
                <w:bCs/>
                <w:spacing w:val="-4"/>
                <w:sz w:val="24"/>
                <w:szCs w:val="24"/>
              </w:rPr>
              <w:t>）施工期环境管理</w:t>
            </w:r>
          </w:p>
          <w:p w14:paraId="476C8419">
            <w:pPr>
              <w:pStyle w:val="6"/>
              <w:spacing w:before="180" w:line="359" w:lineRule="auto"/>
              <w:ind w:left="107" w:right="22" w:firstLine="483"/>
              <w:jc w:val="both"/>
              <w:rPr>
                <w:sz w:val="24"/>
                <w:szCs w:val="24"/>
              </w:rPr>
            </w:pPr>
            <w:r>
              <w:rPr>
                <w:spacing w:val="-4"/>
                <w:sz w:val="24"/>
                <w:szCs w:val="24"/>
              </w:rPr>
              <w:t>鉴于建设期环境管理工作的重要性，同时根据国家的有关要求，本工程的施</w:t>
            </w:r>
            <w:r>
              <w:rPr>
                <w:sz w:val="24"/>
                <w:szCs w:val="24"/>
              </w:rPr>
              <w:t>工将采取招投标制。施工招标中应对投标单位提出建设期间的环保要求，</w:t>
            </w:r>
            <w:r>
              <w:rPr>
                <w:spacing w:val="-1"/>
                <w:sz w:val="24"/>
                <w:szCs w:val="24"/>
              </w:rPr>
              <w:t xml:space="preserve"> 并应</w:t>
            </w:r>
            <w:r>
              <w:rPr>
                <w:spacing w:val="-4"/>
                <w:sz w:val="24"/>
                <w:szCs w:val="24"/>
              </w:rPr>
              <w:t>对监理单位提出环境保护人员资质要求。在施工设计文件中详细说明建设期应注</w:t>
            </w:r>
            <w:r>
              <w:rPr>
                <w:spacing w:val="-8"/>
                <w:sz w:val="24"/>
                <w:szCs w:val="24"/>
              </w:rPr>
              <w:t>意的环保问题，严格要求施工单位按设计文件施工，特别是按环保设计要求施工。</w:t>
            </w:r>
          </w:p>
          <w:p w14:paraId="7B148694">
            <w:pPr>
              <w:pStyle w:val="6"/>
              <w:spacing w:line="359" w:lineRule="auto"/>
              <w:ind w:left="114" w:right="102" w:firstLine="474"/>
              <w:rPr>
                <w:sz w:val="24"/>
                <w:szCs w:val="24"/>
              </w:rPr>
            </w:pPr>
            <w:r>
              <w:rPr>
                <w:spacing w:val="-4"/>
                <w:sz w:val="24"/>
                <w:szCs w:val="24"/>
              </w:rPr>
              <w:t>环境监理人员对施工中的每一道工序都应严格检查是否满足环保要求，并不</w:t>
            </w:r>
            <w:r>
              <w:rPr>
                <w:spacing w:val="-1"/>
                <w:sz w:val="24"/>
                <w:szCs w:val="24"/>
              </w:rPr>
              <w:t>定期对施工点进行抽查形式的监督检查，建设期环境管理的职责和任务如下：</w:t>
            </w:r>
          </w:p>
          <w:p w14:paraId="733D30DD">
            <w:pPr>
              <w:pStyle w:val="6"/>
              <w:spacing w:line="217" w:lineRule="auto"/>
              <w:jc w:val="right"/>
              <w:rPr>
                <w:sz w:val="24"/>
                <w:szCs w:val="24"/>
              </w:rPr>
            </w:pPr>
            <w:r>
              <w:rPr>
                <w:spacing w:val="-2"/>
                <w:sz w:val="24"/>
                <w:szCs w:val="24"/>
              </w:rPr>
              <w:t>①贯彻执行国家、地方的各项环境保护方针、政策、法规和各项规章制度。</w:t>
            </w:r>
          </w:p>
          <w:p w14:paraId="7994FCFF">
            <w:pPr>
              <w:pStyle w:val="6"/>
              <w:spacing w:before="186" w:line="359" w:lineRule="auto"/>
              <w:ind w:left="107" w:right="102" w:firstLine="479"/>
              <w:rPr>
                <w:sz w:val="24"/>
                <w:szCs w:val="24"/>
              </w:rPr>
            </w:pPr>
            <w:r>
              <w:rPr>
                <w:spacing w:val="-4"/>
                <w:sz w:val="24"/>
                <w:szCs w:val="24"/>
              </w:rPr>
              <w:t>②制定本工程施工中的环境保护计划，负责工程施工过程中各项环境保护措</w:t>
            </w:r>
            <w:r>
              <w:rPr>
                <w:spacing w:val="-1"/>
                <w:sz w:val="24"/>
                <w:szCs w:val="24"/>
              </w:rPr>
              <w:t>施实施的日常管理。</w:t>
            </w:r>
          </w:p>
          <w:p w14:paraId="77784BB1">
            <w:pPr>
              <w:pStyle w:val="6"/>
              <w:spacing w:line="217" w:lineRule="auto"/>
              <w:jc w:val="right"/>
              <w:rPr>
                <w:sz w:val="24"/>
                <w:szCs w:val="24"/>
              </w:rPr>
            </w:pPr>
            <w:r>
              <w:rPr>
                <w:spacing w:val="-8"/>
                <w:sz w:val="24"/>
                <w:szCs w:val="24"/>
              </w:rPr>
              <w:t>③收集、整理、推广和实施工程建设中各项环境保护的</w:t>
            </w:r>
            <w:r>
              <w:rPr>
                <w:spacing w:val="-9"/>
                <w:sz w:val="24"/>
                <w:szCs w:val="24"/>
              </w:rPr>
              <w:t>先进工作经验和技术。</w:t>
            </w:r>
          </w:p>
          <w:p w14:paraId="7BB30285">
            <w:pPr>
              <w:pStyle w:val="6"/>
              <w:spacing w:before="184" w:line="359" w:lineRule="auto"/>
              <w:ind w:left="109" w:right="48" w:firstLine="477"/>
              <w:rPr>
                <w:sz w:val="24"/>
                <w:szCs w:val="24"/>
              </w:rPr>
            </w:pPr>
            <w:r>
              <w:rPr>
                <w:spacing w:val="-2"/>
                <w:sz w:val="24"/>
                <w:szCs w:val="24"/>
              </w:rPr>
              <w:t>④组织和开展对施工人员进行施工活动中应遵循的环保法规、知识的培训，</w:t>
            </w:r>
            <w:r>
              <w:rPr>
                <w:spacing w:val="-1"/>
                <w:sz w:val="24"/>
                <w:szCs w:val="24"/>
              </w:rPr>
              <w:t>提高全体员工文明施工的认识。</w:t>
            </w:r>
          </w:p>
          <w:p w14:paraId="5721751A">
            <w:pPr>
              <w:pStyle w:val="6"/>
              <w:spacing w:before="3" w:line="359" w:lineRule="auto"/>
              <w:ind w:left="131" w:right="102" w:firstLine="455"/>
              <w:rPr>
                <w:sz w:val="24"/>
                <w:szCs w:val="24"/>
              </w:rPr>
            </w:pPr>
            <w:r>
              <w:rPr>
                <w:spacing w:val="-4"/>
                <w:sz w:val="24"/>
                <w:szCs w:val="24"/>
              </w:rPr>
              <w:t>⑤在施工计划中应适当计划设备运输道路，以避免影响当地居民生活，施工</w:t>
            </w:r>
            <w:r>
              <w:rPr>
                <w:spacing w:val="-2"/>
                <w:sz w:val="24"/>
                <w:szCs w:val="24"/>
              </w:rPr>
              <w:t>中应考虑保护生态环境，合理组织施工。</w:t>
            </w:r>
          </w:p>
          <w:p w14:paraId="48B029E7">
            <w:pPr>
              <w:pStyle w:val="6"/>
              <w:spacing w:line="217" w:lineRule="auto"/>
              <w:ind w:left="586"/>
              <w:rPr>
                <w:sz w:val="24"/>
                <w:szCs w:val="24"/>
              </w:rPr>
            </w:pPr>
            <w:r>
              <w:rPr>
                <w:spacing w:val="-1"/>
                <w:sz w:val="24"/>
                <w:szCs w:val="24"/>
              </w:rPr>
              <w:t>⑥做好施工中各种环境问题的收集、记录、建档和处理工作。</w:t>
            </w:r>
          </w:p>
          <w:p w14:paraId="5DE5A3B0">
            <w:pPr>
              <w:pStyle w:val="6"/>
              <w:spacing w:before="182" w:line="343" w:lineRule="auto"/>
              <w:ind w:left="107" w:right="102" w:firstLine="479"/>
              <w:rPr>
                <w:sz w:val="24"/>
                <w:szCs w:val="24"/>
              </w:rPr>
            </w:pPr>
            <w:r>
              <w:rPr>
                <w:spacing w:val="-4"/>
                <w:sz w:val="24"/>
                <w:szCs w:val="24"/>
              </w:rPr>
              <w:t>⑦监督施工单位，使设计、施工过程的各项环境保护措施与主体工程同步实</w:t>
            </w:r>
            <w:r>
              <w:rPr>
                <w:spacing w:val="-5"/>
                <w:sz w:val="24"/>
                <w:szCs w:val="24"/>
              </w:rPr>
              <w:t>施。</w:t>
            </w:r>
          </w:p>
        </w:tc>
      </w:tr>
    </w:tbl>
    <w:p w14:paraId="4A3DD5AB">
      <w:pPr>
        <w:rPr>
          <w:rFonts w:ascii="Arial"/>
          <w:sz w:val="21"/>
        </w:rPr>
      </w:pPr>
    </w:p>
    <w:p w14:paraId="269D09D4">
      <w:pPr>
        <w:rPr>
          <w:rFonts w:ascii="Arial" w:hAnsi="Arial" w:eastAsia="Arial" w:cs="Arial"/>
          <w:sz w:val="21"/>
          <w:szCs w:val="21"/>
        </w:rPr>
        <w:sectPr>
          <w:footerReference r:id="rId138" w:type="default"/>
          <w:pgSz w:w="11907" w:h="16840"/>
          <w:pgMar w:top="400" w:right="1301" w:bottom="1240" w:left="1527" w:header="0" w:footer="1077" w:gutter="0"/>
          <w:cols w:space="720" w:num="1"/>
        </w:sectPr>
      </w:pPr>
    </w:p>
    <w:p w14:paraId="2A9A4ADE">
      <w:pPr>
        <w:spacing w:before="13"/>
      </w:pPr>
    </w:p>
    <w:p w14:paraId="461E2707">
      <w:pPr>
        <w:spacing w:before="13"/>
      </w:pPr>
    </w:p>
    <w:p w14:paraId="031878F1">
      <w:pPr>
        <w:spacing w:before="13"/>
      </w:pPr>
    </w:p>
    <w:p w14:paraId="20E16DF5">
      <w:pPr>
        <w:spacing w:before="12"/>
      </w:pPr>
    </w:p>
    <w:tbl>
      <w:tblPr>
        <w:tblStyle w:val="5"/>
        <w:tblW w:w="906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4"/>
        <w:gridCol w:w="214"/>
        <w:gridCol w:w="594"/>
        <w:gridCol w:w="1133"/>
        <w:gridCol w:w="4109"/>
        <w:gridCol w:w="1274"/>
        <w:gridCol w:w="1175"/>
      </w:tblGrid>
      <w:tr w14:paraId="1A78D2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66" w:hRule="atLeast"/>
        </w:trPr>
        <w:tc>
          <w:tcPr>
            <w:tcW w:w="564" w:type="dxa"/>
            <w:vMerge w:val="restart"/>
            <w:tcBorders>
              <w:top w:val="single" w:color="000000" w:sz="6" w:space="0"/>
              <w:left w:val="single" w:color="000000" w:sz="6" w:space="0"/>
              <w:bottom w:val="nil"/>
            </w:tcBorders>
            <w:vAlign w:val="top"/>
          </w:tcPr>
          <w:p w14:paraId="2038DF5B">
            <w:pPr>
              <w:rPr>
                <w:rFonts w:ascii="Arial"/>
                <w:sz w:val="21"/>
              </w:rPr>
            </w:pPr>
          </w:p>
        </w:tc>
        <w:tc>
          <w:tcPr>
            <w:tcW w:w="8499" w:type="dxa"/>
            <w:gridSpan w:val="6"/>
            <w:tcBorders>
              <w:top w:val="single" w:color="000000" w:sz="6" w:space="0"/>
              <w:right w:val="single" w:color="000000" w:sz="6" w:space="0"/>
            </w:tcBorders>
            <w:vAlign w:val="top"/>
          </w:tcPr>
          <w:p w14:paraId="172207C5">
            <w:pPr>
              <w:pStyle w:val="6"/>
              <w:spacing w:before="31" w:line="219" w:lineRule="auto"/>
              <w:ind w:left="600"/>
              <w:rPr>
                <w:sz w:val="24"/>
                <w:szCs w:val="24"/>
              </w:rPr>
            </w:pPr>
            <w:r>
              <w:rPr>
                <w:b/>
                <w:bCs/>
                <w:spacing w:val="-4"/>
                <w:sz w:val="24"/>
                <w:szCs w:val="24"/>
              </w:rPr>
              <w:t>（</w:t>
            </w:r>
            <w:r>
              <w:rPr>
                <w:rFonts w:ascii="Times New Roman" w:hAnsi="Times New Roman" w:eastAsia="Times New Roman" w:cs="Times New Roman"/>
                <w:b/>
                <w:bCs/>
                <w:spacing w:val="-4"/>
                <w:sz w:val="24"/>
                <w:szCs w:val="24"/>
              </w:rPr>
              <w:t>3</w:t>
            </w:r>
            <w:r>
              <w:rPr>
                <w:b/>
                <w:bCs/>
                <w:spacing w:val="-4"/>
                <w:sz w:val="24"/>
                <w:szCs w:val="24"/>
              </w:rPr>
              <w:t>）运行期环境管理</w:t>
            </w:r>
          </w:p>
          <w:p w14:paraId="0B63872D">
            <w:pPr>
              <w:pStyle w:val="6"/>
              <w:spacing w:before="180" w:line="359" w:lineRule="auto"/>
              <w:ind w:left="107" w:right="102" w:firstLine="481"/>
              <w:jc w:val="both"/>
              <w:rPr>
                <w:sz w:val="24"/>
                <w:szCs w:val="24"/>
              </w:rPr>
            </w:pPr>
            <w:r>
              <w:rPr>
                <w:spacing w:val="-4"/>
                <w:sz w:val="24"/>
                <w:szCs w:val="24"/>
              </w:rPr>
              <w:t>本工程在运行期宜使用原有环境管理部门。环保管理人员应在各自的岗位责任制中明确所负的环保责任。监督国家法规、条例的贯彻执行情况，制定和贯彻环保管理制度，监控本工程主要污染源，对各部门、操作岗位进行环境保护监督</w:t>
            </w:r>
            <w:r>
              <w:rPr>
                <w:spacing w:val="-1"/>
                <w:sz w:val="24"/>
                <w:szCs w:val="24"/>
              </w:rPr>
              <w:t>和考核。环境管理的职能为：</w:t>
            </w:r>
          </w:p>
          <w:p w14:paraId="7D071863">
            <w:pPr>
              <w:pStyle w:val="6"/>
              <w:spacing w:line="217" w:lineRule="auto"/>
              <w:ind w:left="587"/>
              <w:rPr>
                <w:sz w:val="24"/>
                <w:szCs w:val="24"/>
              </w:rPr>
            </w:pPr>
            <w:r>
              <w:rPr>
                <w:spacing w:val="-1"/>
                <w:sz w:val="24"/>
                <w:szCs w:val="24"/>
              </w:rPr>
              <w:t>①制定和实施各项环境管理计划。</w:t>
            </w:r>
          </w:p>
          <w:p w14:paraId="4F566EF4">
            <w:pPr>
              <w:pStyle w:val="6"/>
              <w:spacing w:before="185" w:line="217" w:lineRule="auto"/>
              <w:ind w:left="586"/>
              <w:rPr>
                <w:sz w:val="24"/>
                <w:szCs w:val="24"/>
              </w:rPr>
            </w:pPr>
            <w:r>
              <w:rPr>
                <w:sz w:val="24"/>
                <w:szCs w:val="24"/>
              </w:rPr>
              <w:t>②建立工频电场、工频磁场、噪声监测、生态</w:t>
            </w:r>
            <w:r>
              <w:rPr>
                <w:spacing w:val="-1"/>
                <w:sz w:val="24"/>
                <w:szCs w:val="24"/>
              </w:rPr>
              <w:t>环境现状数据档案。</w:t>
            </w:r>
          </w:p>
          <w:p w14:paraId="618A51CC">
            <w:pPr>
              <w:pStyle w:val="6"/>
              <w:spacing w:before="186" w:line="217" w:lineRule="auto"/>
              <w:ind w:left="586"/>
              <w:rPr>
                <w:sz w:val="24"/>
                <w:szCs w:val="24"/>
              </w:rPr>
            </w:pPr>
            <w:r>
              <w:rPr>
                <w:spacing w:val="-1"/>
                <w:sz w:val="24"/>
                <w:szCs w:val="24"/>
              </w:rPr>
              <w:t>③掌握项目所在地周围的环境特征，做好记录、建档工作。</w:t>
            </w:r>
          </w:p>
          <w:p w14:paraId="3C2B1D48">
            <w:pPr>
              <w:pStyle w:val="6"/>
              <w:spacing w:before="183" w:line="359" w:lineRule="auto"/>
              <w:ind w:left="112" w:right="102" w:firstLine="474"/>
              <w:rPr>
                <w:sz w:val="24"/>
                <w:szCs w:val="24"/>
              </w:rPr>
            </w:pPr>
            <w:r>
              <w:rPr>
                <w:spacing w:val="-4"/>
                <w:sz w:val="24"/>
                <w:szCs w:val="24"/>
              </w:rPr>
              <w:t>④检查污染防治设施运行情况，及时处理出现的问题，保证治理设施正常运</w:t>
            </w:r>
            <w:r>
              <w:rPr>
                <w:spacing w:val="-7"/>
                <w:sz w:val="24"/>
                <w:szCs w:val="24"/>
              </w:rPr>
              <w:t>行。</w:t>
            </w:r>
          </w:p>
          <w:p w14:paraId="0F2B3FA0">
            <w:pPr>
              <w:pStyle w:val="6"/>
              <w:spacing w:line="217" w:lineRule="auto"/>
              <w:ind w:left="586"/>
              <w:rPr>
                <w:sz w:val="24"/>
                <w:szCs w:val="24"/>
              </w:rPr>
            </w:pPr>
            <w:r>
              <w:rPr>
                <w:sz w:val="24"/>
                <w:szCs w:val="24"/>
              </w:rPr>
              <w:t>⑤协调配合上级环保主管部门所进行的环境调查</w:t>
            </w:r>
            <w:r>
              <w:rPr>
                <w:spacing w:val="-1"/>
                <w:sz w:val="24"/>
                <w:szCs w:val="24"/>
              </w:rPr>
              <w:t>，生态调查等活动。</w:t>
            </w:r>
          </w:p>
          <w:p w14:paraId="48F92915">
            <w:pPr>
              <w:pStyle w:val="6"/>
              <w:spacing w:before="186" w:line="217" w:lineRule="auto"/>
              <w:ind w:left="586"/>
              <w:rPr>
                <w:sz w:val="24"/>
                <w:szCs w:val="24"/>
              </w:rPr>
            </w:pPr>
            <w:r>
              <w:rPr>
                <w:sz w:val="24"/>
                <w:szCs w:val="24"/>
              </w:rPr>
              <w:t>⑥加强日常巡查工作，处理好与项目周边民房等声环</w:t>
            </w:r>
            <w:r>
              <w:rPr>
                <w:spacing w:val="-1"/>
                <w:sz w:val="24"/>
                <w:szCs w:val="24"/>
              </w:rPr>
              <w:t>境保护目标的关系。</w:t>
            </w:r>
          </w:p>
          <w:p w14:paraId="439582C0">
            <w:pPr>
              <w:pStyle w:val="6"/>
              <w:spacing w:before="184" w:line="217" w:lineRule="auto"/>
              <w:ind w:left="586"/>
              <w:rPr>
                <w:sz w:val="24"/>
                <w:szCs w:val="24"/>
              </w:rPr>
            </w:pPr>
            <w:r>
              <w:rPr>
                <w:spacing w:val="-1"/>
                <w:sz w:val="24"/>
                <w:szCs w:val="24"/>
              </w:rPr>
              <w:t>⑦加强宣传教育工作，减少误会及投诉等事件。</w:t>
            </w:r>
          </w:p>
          <w:p w14:paraId="4C873CB1">
            <w:pPr>
              <w:pStyle w:val="6"/>
              <w:spacing w:before="186" w:line="359" w:lineRule="auto"/>
              <w:ind w:left="109" w:right="102" w:firstLine="477"/>
              <w:rPr>
                <w:sz w:val="24"/>
                <w:szCs w:val="24"/>
              </w:rPr>
            </w:pPr>
            <w:r>
              <w:rPr>
                <w:spacing w:val="-4"/>
                <w:sz w:val="24"/>
                <w:szCs w:val="24"/>
              </w:rPr>
              <w:t>⑧制定环境保护管理制度，按规定时限，依法开展竣工环境保护自主验收工</w:t>
            </w:r>
            <w:r>
              <w:rPr>
                <w:spacing w:val="-6"/>
                <w:sz w:val="24"/>
                <w:szCs w:val="24"/>
              </w:rPr>
              <w:t>作。</w:t>
            </w:r>
          </w:p>
          <w:p w14:paraId="6A959B0C">
            <w:pPr>
              <w:pStyle w:val="6"/>
              <w:spacing w:line="220" w:lineRule="auto"/>
              <w:ind w:left="105"/>
              <w:rPr>
                <w:sz w:val="24"/>
                <w:szCs w:val="24"/>
              </w:rPr>
            </w:pPr>
            <w:r>
              <w:rPr>
                <w:rFonts w:ascii="Times New Roman" w:hAnsi="Times New Roman" w:eastAsia="Times New Roman" w:cs="Times New Roman"/>
                <w:b/>
                <w:bCs/>
                <w:spacing w:val="-8"/>
                <w:sz w:val="24"/>
                <w:szCs w:val="24"/>
              </w:rPr>
              <w:t>2</w:t>
            </w:r>
            <w:r>
              <w:rPr>
                <w:rFonts w:ascii="Times New Roman" w:hAnsi="Times New Roman" w:eastAsia="Times New Roman" w:cs="Times New Roman"/>
                <w:b/>
                <w:bCs/>
                <w:spacing w:val="-29"/>
                <w:sz w:val="24"/>
                <w:szCs w:val="24"/>
              </w:rPr>
              <w:t xml:space="preserve"> </w:t>
            </w:r>
            <w:r>
              <w:rPr>
                <w:b/>
                <w:bCs/>
                <w:spacing w:val="-8"/>
                <w:sz w:val="24"/>
                <w:szCs w:val="24"/>
              </w:rPr>
              <w:t>、环境监测</w:t>
            </w:r>
          </w:p>
          <w:p w14:paraId="2C7869D0">
            <w:pPr>
              <w:pStyle w:val="6"/>
              <w:spacing w:before="180" w:line="219" w:lineRule="auto"/>
              <w:ind w:left="600"/>
              <w:rPr>
                <w:sz w:val="24"/>
                <w:szCs w:val="24"/>
              </w:rPr>
            </w:pPr>
            <w:r>
              <w:rPr>
                <w:b/>
                <w:bCs/>
                <w:spacing w:val="-5"/>
                <w:sz w:val="24"/>
                <w:szCs w:val="24"/>
              </w:rPr>
              <w:t>（</w:t>
            </w:r>
            <w:r>
              <w:rPr>
                <w:rFonts w:ascii="Times New Roman" w:hAnsi="Times New Roman" w:eastAsia="Times New Roman" w:cs="Times New Roman"/>
                <w:b/>
                <w:bCs/>
                <w:spacing w:val="-5"/>
                <w:sz w:val="24"/>
                <w:szCs w:val="24"/>
              </w:rPr>
              <w:t>1</w:t>
            </w:r>
            <w:r>
              <w:rPr>
                <w:b/>
                <w:bCs/>
                <w:spacing w:val="-5"/>
                <w:sz w:val="24"/>
                <w:szCs w:val="24"/>
              </w:rPr>
              <w:t>）环境监测任务</w:t>
            </w:r>
          </w:p>
          <w:p w14:paraId="2E014D69">
            <w:pPr>
              <w:pStyle w:val="6"/>
              <w:spacing w:before="183" w:line="217" w:lineRule="auto"/>
              <w:ind w:left="587"/>
              <w:rPr>
                <w:sz w:val="24"/>
                <w:szCs w:val="24"/>
              </w:rPr>
            </w:pPr>
            <w:r>
              <w:rPr>
                <w:sz w:val="24"/>
                <w:szCs w:val="24"/>
              </w:rPr>
              <w:t>①制定监测计划，监测工程施工期和运行期环境要</w:t>
            </w:r>
            <w:r>
              <w:rPr>
                <w:spacing w:val="-1"/>
                <w:sz w:val="24"/>
                <w:szCs w:val="24"/>
              </w:rPr>
              <w:t>素及评价因子的变化。</w:t>
            </w:r>
          </w:p>
          <w:p w14:paraId="461B05DF">
            <w:pPr>
              <w:pStyle w:val="6"/>
              <w:spacing w:before="183" w:line="217" w:lineRule="auto"/>
              <w:ind w:left="586"/>
              <w:rPr>
                <w:sz w:val="24"/>
                <w:szCs w:val="24"/>
              </w:rPr>
            </w:pPr>
            <w:r>
              <w:rPr>
                <w:spacing w:val="-1"/>
                <w:sz w:val="24"/>
                <w:szCs w:val="24"/>
              </w:rPr>
              <w:t>②对工程突发的环境事件进行跟踪监测调查。</w:t>
            </w:r>
          </w:p>
          <w:p w14:paraId="4C43332B">
            <w:pPr>
              <w:pStyle w:val="6"/>
              <w:spacing w:before="185" w:line="219" w:lineRule="auto"/>
              <w:ind w:left="600"/>
              <w:rPr>
                <w:sz w:val="24"/>
                <w:szCs w:val="24"/>
              </w:rPr>
            </w:pPr>
            <w:r>
              <w:rPr>
                <w:b/>
                <w:bCs/>
                <w:spacing w:val="-5"/>
                <w:sz w:val="24"/>
                <w:szCs w:val="24"/>
              </w:rPr>
              <w:t>（</w:t>
            </w:r>
            <w:r>
              <w:rPr>
                <w:rFonts w:ascii="Times New Roman" w:hAnsi="Times New Roman" w:eastAsia="Times New Roman" w:cs="Times New Roman"/>
                <w:b/>
                <w:bCs/>
                <w:spacing w:val="-5"/>
                <w:sz w:val="24"/>
                <w:szCs w:val="24"/>
              </w:rPr>
              <w:t>2</w:t>
            </w:r>
            <w:r>
              <w:rPr>
                <w:b/>
                <w:bCs/>
                <w:spacing w:val="-5"/>
                <w:sz w:val="24"/>
                <w:szCs w:val="24"/>
              </w:rPr>
              <w:t>）监测点位布设</w:t>
            </w:r>
          </w:p>
          <w:p w14:paraId="66BF9724">
            <w:pPr>
              <w:pStyle w:val="6"/>
              <w:spacing w:before="182" w:line="360" w:lineRule="auto"/>
              <w:ind w:left="120" w:right="116" w:firstLine="469"/>
              <w:rPr>
                <w:sz w:val="24"/>
                <w:szCs w:val="24"/>
              </w:rPr>
            </w:pPr>
            <w:r>
              <w:rPr>
                <w:spacing w:val="14"/>
                <w:sz w:val="24"/>
                <w:szCs w:val="24"/>
              </w:rPr>
              <w:t>监测点位布设应符合《建设项目竣工环境保护验收技术规范</w:t>
            </w:r>
            <w:r>
              <w:rPr>
                <w:spacing w:val="42"/>
                <w:sz w:val="24"/>
                <w:szCs w:val="24"/>
              </w:rPr>
              <w:t xml:space="preserve"> </w:t>
            </w:r>
            <w:r>
              <w:rPr>
                <w:spacing w:val="14"/>
                <w:sz w:val="24"/>
                <w:szCs w:val="24"/>
              </w:rPr>
              <w:t>输变电》</w:t>
            </w:r>
            <w:r>
              <w:rPr>
                <w:sz w:val="24"/>
                <w:szCs w:val="24"/>
              </w:rPr>
              <w:t xml:space="preserve"> </w:t>
            </w:r>
            <w:r>
              <w:rPr>
                <w:spacing w:val="-1"/>
                <w:sz w:val="24"/>
                <w:szCs w:val="24"/>
              </w:rPr>
              <w:t>（</w:t>
            </w:r>
            <w:r>
              <w:rPr>
                <w:rFonts w:ascii="Times New Roman" w:hAnsi="Times New Roman" w:eastAsia="Times New Roman" w:cs="Times New Roman"/>
                <w:spacing w:val="-1"/>
                <w:sz w:val="24"/>
                <w:szCs w:val="24"/>
              </w:rPr>
              <w:t>HJ705-2020</w:t>
            </w:r>
            <w:r>
              <w:rPr>
                <w:spacing w:val="-1"/>
                <w:sz w:val="24"/>
                <w:szCs w:val="24"/>
              </w:rPr>
              <w:t>）的要求，具体可参考本环评筛选的典型环境敏感点。</w:t>
            </w:r>
          </w:p>
          <w:p w14:paraId="1360997B">
            <w:pPr>
              <w:pStyle w:val="6"/>
              <w:spacing w:line="219" w:lineRule="auto"/>
              <w:ind w:left="600"/>
              <w:rPr>
                <w:sz w:val="24"/>
                <w:szCs w:val="24"/>
              </w:rPr>
            </w:pPr>
            <w:r>
              <w:rPr>
                <w:b/>
                <w:bCs/>
                <w:spacing w:val="-4"/>
                <w:sz w:val="24"/>
                <w:szCs w:val="24"/>
              </w:rPr>
              <w:t>（</w:t>
            </w:r>
            <w:r>
              <w:rPr>
                <w:rFonts w:ascii="Times New Roman" w:hAnsi="Times New Roman" w:eastAsia="Times New Roman" w:cs="Times New Roman"/>
                <w:b/>
                <w:bCs/>
                <w:spacing w:val="-4"/>
                <w:sz w:val="24"/>
                <w:szCs w:val="24"/>
              </w:rPr>
              <w:t>3</w:t>
            </w:r>
            <w:r>
              <w:rPr>
                <w:b/>
                <w:bCs/>
                <w:spacing w:val="-4"/>
                <w:sz w:val="24"/>
                <w:szCs w:val="24"/>
              </w:rPr>
              <w:t>）监测因子及频次</w:t>
            </w:r>
          </w:p>
          <w:p w14:paraId="1E91CA58">
            <w:pPr>
              <w:pStyle w:val="6"/>
              <w:spacing w:before="182" w:line="358" w:lineRule="auto"/>
              <w:ind w:left="107" w:right="40" w:firstLine="481"/>
              <w:jc w:val="both"/>
              <w:rPr>
                <w:sz w:val="24"/>
                <w:szCs w:val="24"/>
              </w:rPr>
            </w:pPr>
            <w:r>
              <w:rPr>
                <w:spacing w:val="-9"/>
                <w:sz w:val="24"/>
                <w:szCs w:val="24"/>
              </w:rPr>
              <w:t>本项目工程量小、施工期短，施工期间噪声、扬尘等对周边居民点影响轻微，</w:t>
            </w:r>
            <w:r>
              <w:rPr>
                <w:spacing w:val="-4"/>
                <w:sz w:val="24"/>
                <w:szCs w:val="24"/>
              </w:rPr>
              <w:t>运营后无生产废水外排，固废能妥善处置，设备噪声对周围环境影响较小，故本次评价不制订施工期环境监测计划，仅制订运营期噪声、电磁监测计划，详见下</w:t>
            </w:r>
            <w:r>
              <w:rPr>
                <w:spacing w:val="-5"/>
                <w:sz w:val="24"/>
                <w:szCs w:val="24"/>
              </w:rPr>
              <w:t>表。</w:t>
            </w:r>
          </w:p>
          <w:p w14:paraId="3256E399">
            <w:pPr>
              <w:pStyle w:val="6"/>
              <w:spacing w:line="207" w:lineRule="auto"/>
              <w:ind w:left="2713"/>
            </w:pPr>
            <w:r>
              <w:rPr>
                <w:b/>
                <w:bCs/>
                <w:spacing w:val="5"/>
              </w:rPr>
              <w:t>表</w:t>
            </w:r>
            <w:r>
              <w:rPr>
                <w:spacing w:val="-36"/>
              </w:rPr>
              <w:t xml:space="preserve"> </w:t>
            </w:r>
            <w:r>
              <w:rPr>
                <w:rFonts w:ascii="Times New Roman" w:hAnsi="Times New Roman" w:eastAsia="Times New Roman" w:cs="Times New Roman"/>
                <w:b/>
                <w:bCs/>
                <w:spacing w:val="5"/>
              </w:rPr>
              <w:t xml:space="preserve">5-1        </w:t>
            </w:r>
            <w:r>
              <w:rPr>
                <w:b/>
                <w:bCs/>
                <w:spacing w:val="5"/>
              </w:rPr>
              <w:t>运营期环境监测计划表</w:t>
            </w:r>
          </w:p>
        </w:tc>
      </w:tr>
      <w:tr w14:paraId="2755A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564" w:type="dxa"/>
            <w:vMerge w:val="continue"/>
            <w:tcBorders>
              <w:top w:val="nil"/>
              <w:left w:val="single" w:color="000000" w:sz="6" w:space="0"/>
              <w:bottom w:val="single" w:color="000000" w:sz="6" w:space="0"/>
            </w:tcBorders>
            <w:vAlign w:val="top"/>
          </w:tcPr>
          <w:p w14:paraId="55F3B9B5">
            <w:pPr>
              <w:rPr>
                <w:rFonts w:ascii="Arial"/>
                <w:sz w:val="21"/>
              </w:rPr>
            </w:pPr>
          </w:p>
        </w:tc>
        <w:tc>
          <w:tcPr>
            <w:tcW w:w="214" w:type="dxa"/>
            <w:tcBorders>
              <w:top w:val="nil"/>
              <w:bottom w:val="single" w:color="000000" w:sz="6" w:space="0"/>
            </w:tcBorders>
            <w:vAlign w:val="top"/>
          </w:tcPr>
          <w:p w14:paraId="246918BF">
            <w:pPr>
              <w:rPr>
                <w:rFonts w:ascii="Arial"/>
                <w:sz w:val="21"/>
              </w:rPr>
            </w:pPr>
          </w:p>
        </w:tc>
        <w:tc>
          <w:tcPr>
            <w:tcW w:w="594" w:type="dxa"/>
            <w:tcBorders>
              <w:bottom w:val="single" w:color="000000" w:sz="6" w:space="0"/>
            </w:tcBorders>
            <w:vAlign w:val="top"/>
          </w:tcPr>
          <w:p w14:paraId="661CC37C">
            <w:pPr>
              <w:pStyle w:val="6"/>
              <w:spacing w:before="110" w:line="229" w:lineRule="auto"/>
              <w:ind w:left="86"/>
            </w:pPr>
            <w:r>
              <w:rPr>
                <w:b/>
                <w:bCs/>
                <w:spacing w:val="3"/>
              </w:rPr>
              <w:t>监测</w:t>
            </w:r>
          </w:p>
          <w:p w14:paraId="7FD77BB2">
            <w:pPr>
              <w:pStyle w:val="6"/>
              <w:spacing w:before="22" w:line="228" w:lineRule="auto"/>
              <w:ind w:left="84"/>
            </w:pPr>
            <w:r>
              <w:rPr>
                <w:b/>
                <w:bCs/>
                <w:spacing w:val="4"/>
              </w:rPr>
              <w:t>对象</w:t>
            </w:r>
          </w:p>
        </w:tc>
        <w:tc>
          <w:tcPr>
            <w:tcW w:w="1133" w:type="dxa"/>
            <w:tcBorders>
              <w:bottom w:val="single" w:color="000000" w:sz="6" w:space="0"/>
            </w:tcBorders>
            <w:vAlign w:val="top"/>
          </w:tcPr>
          <w:p w14:paraId="21715607">
            <w:pPr>
              <w:pStyle w:val="6"/>
              <w:spacing w:before="247" w:line="228" w:lineRule="auto"/>
              <w:ind w:left="147"/>
            </w:pPr>
            <w:r>
              <w:rPr>
                <w:b/>
                <w:bCs/>
                <w:spacing w:val="6"/>
              </w:rPr>
              <w:t>监测因子</w:t>
            </w:r>
          </w:p>
        </w:tc>
        <w:tc>
          <w:tcPr>
            <w:tcW w:w="4109" w:type="dxa"/>
            <w:tcBorders>
              <w:bottom w:val="single" w:color="000000" w:sz="6" w:space="0"/>
            </w:tcBorders>
            <w:vAlign w:val="top"/>
          </w:tcPr>
          <w:p w14:paraId="66117574">
            <w:pPr>
              <w:pStyle w:val="6"/>
              <w:spacing w:before="247" w:line="229" w:lineRule="auto"/>
              <w:ind w:left="1640"/>
            </w:pPr>
            <w:r>
              <w:rPr>
                <w:b/>
                <w:bCs/>
                <w:spacing w:val="6"/>
              </w:rPr>
              <w:t>监测点位</w:t>
            </w:r>
          </w:p>
        </w:tc>
        <w:tc>
          <w:tcPr>
            <w:tcW w:w="1274" w:type="dxa"/>
            <w:tcBorders>
              <w:bottom w:val="single" w:color="000000" w:sz="6" w:space="0"/>
            </w:tcBorders>
            <w:vAlign w:val="top"/>
          </w:tcPr>
          <w:p w14:paraId="1E7F1EAE">
            <w:pPr>
              <w:pStyle w:val="6"/>
              <w:spacing w:before="246" w:line="228" w:lineRule="auto"/>
              <w:ind w:left="226"/>
            </w:pPr>
            <w:r>
              <w:rPr>
                <w:b/>
                <w:bCs/>
                <w:spacing w:val="6"/>
              </w:rPr>
              <w:t>监测频次</w:t>
            </w:r>
          </w:p>
        </w:tc>
        <w:tc>
          <w:tcPr>
            <w:tcW w:w="1175" w:type="dxa"/>
            <w:tcBorders>
              <w:bottom w:val="single" w:color="000000" w:sz="6" w:space="0"/>
              <w:right w:val="single" w:color="000000" w:sz="6" w:space="0"/>
            </w:tcBorders>
            <w:vAlign w:val="top"/>
          </w:tcPr>
          <w:p w14:paraId="4958E11A">
            <w:pPr>
              <w:pStyle w:val="6"/>
              <w:spacing w:before="247" w:line="229" w:lineRule="auto"/>
              <w:ind w:left="171"/>
            </w:pPr>
            <w:r>
              <w:rPr>
                <w:b/>
                <w:bCs/>
                <w:spacing w:val="6"/>
              </w:rPr>
              <w:t>监测方法</w:t>
            </w:r>
          </w:p>
        </w:tc>
      </w:tr>
    </w:tbl>
    <w:p w14:paraId="0C1C52E3">
      <w:pPr>
        <w:rPr>
          <w:rFonts w:ascii="Arial"/>
          <w:sz w:val="21"/>
        </w:rPr>
      </w:pPr>
    </w:p>
    <w:p w14:paraId="57732C44">
      <w:pPr>
        <w:rPr>
          <w:rFonts w:ascii="Arial" w:hAnsi="Arial" w:eastAsia="Arial" w:cs="Arial"/>
          <w:sz w:val="21"/>
          <w:szCs w:val="21"/>
        </w:rPr>
        <w:sectPr>
          <w:footerReference r:id="rId139" w:type="default"/>
          <w:pgSz w:w="11907" w:h="16840"/>
          <w:pgMar w:top="400" w:right="1301" w:bottom="1240" w:left="1527" w:header="0" w:footer="1077" w:gutter="0"/>
          <w:cols w:space="720" w:num="1"/>
        </w:sectPr>
      </w:pPr>
    </w:p>
    <w:p w14:paraId="5C254DBB">
      <w:pPr>
        <w:spacing w:before="13"/>
      </w:pPr>
    </w:p>
    <w:p w14:paraId="630AC645">
      <w:pPr>
        <w:spacing w:before="13"/>
      </w:pPr>
    </w:p>
    <w:p w14:paraId="6E0E20A1">
      <w:pPr>
        <w:spacing w:before="13"/>
      </w:pPr>
    </w:p>
    <w:p w14:paraId="07A38D53">
      <w:pPr>
        <w:spacing w:before="12"/>
      </w:pPr>
    </w:p>
    <w:tbl>
      <w:tblPr>
        <w:tblStyle w:val="5"/>
        <w:tblW w:w="906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4"/>
        <w:gridCol w:w="214"/>
        <w:gridCol w:w="594"/>
        <w:gridCol w:w="1133"/>
        <w:gridCol w:w="4109"/>
        <w:gridCol w:w="1274"/>
        <w:gridCol w:w="1175"/>
      </w:tblGrid>
      <w:tr w14:paraId="7507E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5" w:hRule="atLeast"/>
        </w:trPr>
        <w:tc>
          <w:tcPr>
            <w:tcW w:w="564" w:type="dxa"/>
            <w:vMerge w:val="restart"/>
            <w:tcBorders>
              <w:top w:val="single" w:color="000000" w:sz="6" w:space="0"/>
              <w:left w:val="single" w:color="000000" w:sz="6" w:space="0"/>
              <w:bottom w:val="nil"/>
            </w:tcBorders>
            <w:vAlign w:val="top"/>
          </w:tcPr>
          <w:p w14:paraId="4D9554FF">
            <w:pPr>
              <w:rPr>
                <w:rFonts w:ascii="Arial"/>
                <w:sz w:val="21"/>
              </w:rPr>
            </w:pPr>
          </w:p>
        </w:tc>
        <w:tc>
          <w:tcPr>
            <w:tcW w:w="214" w:type="dxa"/>
            <w:vMerge w:val="restart"/>
            <w:tcBorders>
              <w:top w:val="single" w:color="000000" w:sz="6" w:space="0"/>
              <w:bottom w:val="nil"/>
            </w:tcBorders>
            <w:vAlign w:val="top"/>
          </w:tcPr>
          <w:p w14:paraId="012B2E4D">
            <w:pPr>
              <w:rPr>
                <w:rFonts w:ascii="Arial"/>
                <w:sz w:val="21"/>
              </w:rPr>
            </w:pPr>
          </w:p>
        </w:tc>
        <w:tc>
          <w:tcPr>
            <w:tcW w:w="594" w:type="dxa"/>
            <w:vMerge w:val="restart"/>
            <w:tcBorders>
              <w:top w:val="single" w:color="000000" w:sz="6" w:space="0"/>
              <w:bottom w:val="nil"/>
            </w:tcBorders>
            <w:vAlign w:val="top"/>
          </w:tcPr>
          <w:p w14:paraId="2A33BF62">
            <w:pPr>
              <w:spacing w:line="270" w:lineRule="auto"/>
              <w:rPr>
                <w:rFonts w:ascii="Arial"/>
                <w:sz w:val="21"/>
              </w:rPr>
            </w:pPr>
          </w:p>
          <w:p w14:paraId="70B3331C">
            <w:pPr>
              <w:spacing w:line="271" w:lineRule="auto"/>
              <w:rPr>
                <w:rFonts w:ascii="Arial"/>
                <w:sz w:val="21"/>
              </w:rPr>
            </w:pPr>
          </w:p>
          <w:p w14:paraId="1ACE0D0C">
            <w:pPr>
              <w:spacing w:line="271" w:lineRule="auto"/>
              <w:rPr>
                <w:rFonts w:ascii="Arial"/>
                <w:sz w:val="21"/>
              </w:rPr>
            </w:pPr>
          </w:p>
          <w:p w14:paraId="229092BB">
            <w:pPr>
              <w:spacing w:line="271" w:lineRule="auto"/>
              <w:rPr>
                <w:rFonts w:ascii="Arial"/>
                <w:sz w:val="21"/>
              </w:rPr>
            </w:pPr>
          </w:p>
          <w:p w14:paraId="36723ED0">
            <w:pPr>
              <w:spacing w:line="271" w:lineRule="auto"/>
              <w:rPr>
                <w:rFonts w:ascii="Arial"/>
                <w:sz w:val="21"/>
              </w:rPr>
            </w:pPr>
          </w:p>
          <w:p w14:paraId="40F11074">
            <w:pPr>
              <w:pStyle w:val="6"/>
              <w:spacing w:before="65" w:line="254" w:lineRule="auto"/>
              <w:ind w:left="87" w:right="93" w:hanging="3"/>
            </w:pPr>
            <w:r>
              <w:rPr>
                <w:spacing w:val="5"/>
              </w:rPr>
              <w:t>输电</w:t>
            </w:r>
            <w:r>
              <w:rPr>
                <w:spacing w:val="3"/>
              </w:rPr>
              <w:t>线路</w:t>
            </w:r>
          </w:p>
        </w:tc>
        <w:tc>
          <w:tcPr>
            <w:tcW w:w="1133" w:type="dxa"/>
            <w:tcBorders>
              <w:top w:val="single" w:color="000000" w:sz="6" w:space="0"/>
            </w:tcBorders>
            <w:vAlign w:val="top"/>
          </w:tcPr>
          <w:p w14:paraId="4CC70F3C">
            <w:pPr>
              <w:spacing w:line="296" w:lineRule="auto"/>
              <w:rPr>
                <w:rFonts w:ascii="Arial"/>
                <w:sz w:val="21"/>
              </w:rPr>
            </w:pPr>
          </w:p>
          <w:p w14:paraId="5FA37994">
            <w:pPr>
              <w:spacing w:line="296" w:lineRule="auto"/>
              <w:rPr>
                <w:rFonts w:ascii="Arial"/>
                <w:sz w:val="21"/>
              </w:rPr>
            </w:pPr>
          </w:p>
          <w:p w14:paraId="57C6D54F">
            <w:pPr>
              <w:spacing w:line="296" w:lineRule="auto"/>
              <w:rPr>
                <w:rFonts w:ascii="Arial"/>
                <w:sz w:val="21"/>
              </w:rPr>
            </w:pPr>
          </w:p>
          <w:p w14:paraId="28271C5B">
            <w:pPr>
              <w:spacing w:line="297" w:lineRule="auto"/>
              <w:rPr>
                <w:rFonts w:ascii="Arial"/>
                <w:sz w:val="21"/>
              </w:rPr>
            </w:pPr>
          </w:p>
          <w:p w14:paraId="0E66999A">
            <w:pPr>
              <w:pStyle w:val="6"/>
              <w:spacing w:before="65" w:line="252" w:lineRule="auto"/>
              <w:ind w:left="43" w:right="43" w:firstLine="24"/>
            </w:pPr>
            <w:r>
              <w:rPr>
                <w:spacing w:val="3"/>
              </w:rPr>
              <w:t>电场强度、</w:t>
            </w:r>
            <w:r>
              <w:rPr>
                <w:spacing w:val="8"/>
              </w:rPr>
              <w:t>磁感应强度</w:t>
            </w:r>
          </w:p>
        </w:tc>
        <w:tc>
          <w:tcPr>
            <w:tcW w:w="4109" w:type="dxa"/>
            <w:tcBorders>
              <w:top w:val="single" w:color="000000" w:sz="6" w:space="0"/>
            </w:tcBorders>
            <w:vAlign w:val="top"/>
          </w:tcPr>
          <w:p w14:paraId="1E12FFD9">
            <w:pPr>
              <w:pStyle w:val="6"/>
              <w:spacing w:before="31" w:line="225" w:lineRule="auto"/>
              <w:ind w:left="4"/>
            </w:pPr>
            <w:r>
              <w:rPr>
                <w:spacing w:val="7"/>
              </w:rPr>
              <w:t>①边导线</w:t>
            </w:r>
            <w:r>
              <w:rPr>
                <w:spacing w:val="-28"/>
              </w:rPr>
              <w:t xml:space="preserve"> </w:t>
            </w:r>
            <w:r>
              <w:rPr>
                <w:rFonts w:ascii="Times New Roman" w:hAnsi="Times New Roman" w:eastAsia="Times New Roman" w:cs="Times New Roman"/>
                <w:spacing w:val="7"/>
              </w:rPr>
              <w:t xml:space="preserve">30m </w:t>
            </w:r>
            <w:r>
              <w:rPr>
                <w:spacing w:val="7"/>
              </w:rPr>
              <w:t>范围内的环境保护目标处；</w:t>
            </w:r>
          </w:p>
          <w:p w14:paraId="0DB487B0">
            <w:pPr>
              <w:pStyle w:val="6"/>
              <w:spacing w:before="23" w:line="248" w:lineRule="auto"/>
              <w:ind w:left="3"/>
            </w:pPr>
            <w:r>
              <w:rPr>
                <w:spacing w:val="4"/>
              </w:rPr>
              <w:t>②断面监测：单回输电线路应以弧垂最低位置处中相导线对地投影点为起点，同塔多回输电</w:t>
            </w:r>
            <w:r>
              <w:rPr>
                <w:spacing w:val="15"/>
              </w:rPr>
              <w:t>线路应以弧垂最低位置处档距对应两杆塔中</w:t>
            </w:r>
            <w:r>
              <w:rPr>
                <w:spacing w:val="4"/>
              </w:rPr>
              <w:t>央连线对地投影为起点，监测点应均匀分布在边相导线两侧的横断面方向上。对于挂线方式以杆塔对称排列的输电线路，只需在杆塔一侧的横断面方向上布置监测点。监测点间距一般</w:t>
            </w:r>
            <w:r>
              <w:rPr>
                <w:spacing w:val="6"/>
              </w:rPr>
              <w:t>为</w:t>
            </w:r>
            <w:r>
              <w:rPr>
                <w:spacing w:val="-33"/>
              </w:rPr>
              <w:t xml:space="preserve"> </w:t>
            </w:r>
            <w:r>
              <w:rPr>
                <w:rFonts w:ascii="Times New Roman" w:hAnsi="Times New Roman" w:eastAsia="Times New Roman" w:cs="Times New Roman"/>
                <w:spacing w:val="6"/>
              </w:rPr>
              <w:t>5m</w:t>
            </w:r>
            <w:r>
              <w:rPr>
                <w:rFonts w:ascii="Times New Roman" w:hAnsi="Times New Roman" w:eastAsia="Times New Roman" w:cs="Times New Roman"/>
                <w:spacing w:val="-24"/>
              </w:rPr>
              <w:t xml:space="preserve"> </w:t>
            </w:r>
            <w:r>
              <w:rPr>
                <w:spacing w:val="6"/>
              </w:rPr>
              <w:t>，顺序测至距离边导线对地投影外</w:t>
            </w:r>
            <w:r>
              <w:rPr>
                <w:spacing w:val="-37"/>
              </w:rPr>
              <w:t xml:space="preserve"> </w:t>
            </w:r>
            <w:r>
              <w:rPr>
                <w:rFonts w:ascii="Times New Roman" w:hAnsi="Times New Roman" w:eastAsia="Times New Roman" w:cs="Times New Roman"/>
                <w:spacing w:val="6"/>
              </w:rPr>
              <w:t>50m</w:t>
            </w:r>
            <w:r>
              <w:rPr>
                <w:spacing w:val="4"/>
              </w:rPr>
              <w:t>处为止。在测量最大值时，两相邻监测点的距</w:t>
            </w:r>
            <w:r>
              <w:rPr>
                <w:spacing w:val="3"/>
              </w:rPr>
              <w:t>离应不大于</w:t>
            </w:r>
            <w:r>
              <w:rPr>
                <w:spacing w:val="-20"/>
              </w:rPr>
              <w:t xml:space="preserve"> </w:t>
            </w:r>
            <w:r>
              <w:rPr>
                <w:rFonts w:ascii="Times New Roman" w:hAnsi="Times New Roman" w:eastAsia="Times New Roman" w:cs="Times New Roman"/>
                <w:spacing w:val="3"/>
              </w:rPr>
              <w:t>1m</w:t>
            </w:r>
            <w:r>
              <w:rPr>
                <w:spacing w:val="3"/>
              </w:rPr>
              <w:t>。</w:t>
            </w:r>
          </w:p>
        </w:tc>
        <w:tc>
          <w:tcPr>
            <w:tcW w:w="1274" w:type="dxa"/>
            <w:vMerge w:val="restart"/>
            <w:tcBorders>
              <w:top w:val="single" w:color="000000" w:sz="6" w:space="0"/>
              <w:bottom w:val="nil"/>
            </w:tcBorders>
            <w:vAlign w:val="top"/>
          </w:tcPr>
          <w:p w14:paraId="061C0430">
            <w:pPr>
              <w:rPr>
                <w:rFonts w:ascii="Arial"/>
                <w:sz w:val="21"/>
              </w:rPr>
            </w:pPr>
          </w:p>
          <w:p w14:paraId="4F02E71C">
            <w:pPr>
              <w:rPr>
                <w:rFonts w:ascii="Arial"/>
                <w:sz w:val="21"/>
              </w:rPr>
            </w:pPr>
          </w:p>
          <w:p w14:paraId="47D41362">
            <w:pPr>
              <w:rPr>
                <w:rFonts w:ascii="Arial"/>
                <w:sz w:val="21"/>
              </w:rPr>
            </w:pPr>
          </w:p>
          <w:p w14:paraId="2DCB62F3">
            <w:pPr>
              <w:rPr>
                <w:rFonts w:ascii="Arial"/>
                <w:sz w:val="21"/>
              </w:rPr>
            </w:pPr>
          </w:p>
          <w:p w14:paraId="548447B6">
            <w:pPr>
              <w:spacing w:line="241" w:lineRule="auto"/>
              <w:rPr>
                <w:rFonts w:ascii="Arial"/>
                <w:sz w:val="21"/>
              </w:rPr>
            </w:pPr>
          </w:p>
          <w:p w14:paraId="58241205">
            <w:pPr>
              <w:spacing w:line="241" w:lineRule="auto"/>
              <w:rPr>
                <w:rFonts w:ascii="Arial"/>
                <w:sz w:val="21"/>
              </w:rPr>
            </w:pPr>
          </w:p>
          <w:p w14:paraId="6FBFAC06">
            <w:pPr>
              <w:spacing w:line="241" w:lineRule="auto"/>
              <w:rPr>
                <w:rFonts w:ascii="Arial"/>
                <w:sz w:val="21"/>
              </w:rPr>
            </w:pPr>
          </w:p>
          <w:p w14:paraId="33869FF0">
            <w:pPr>
              <w:pStyle w:val="6"/>
              <w:spacing w:before="65" w:line="251" w:lineRule="auto"/>
              <w:ind w:left="12" w:hanging="1"/>
            </w:pPr>
            <w:r>
              <w:rPr>
                <w:spacing w:val="9"/>
              </w:rPr>
              <w:t>①运行期间结合竣工环境保护验收监测一</w:t>
            </w:r>
            <w:r>
              <w:rPr>
                <w:spacing w:val="-1"/>
              </w:rPr>
              <w:t>次；</w:t>
            </w:r>
          </w:p>
          <w:p w14:paraId="16C03EB8">
            <w:pPr>
              <w:pStyle w:val="6"/>
              <w:spacing w:line="251" w:lineRule="auto"/>
              <w:ind w:left="10"/>
            </w:pPr>
            <w:r>
              <w:rPr>
                <w:spacing w:val="9"/>
              </w:rPr>
              <w:t>②运行期间存在投诉或纠纷</w:t>
            </w:r>
            <w:r>
              <w:rPr>
                <w:spacing w:val="6"/>
              </w:rPr>
              <w:t>时进行监测；</w:t>
            </w:r>
          </w:p>
          <w:p w14:paraId="71B7977F">
            <w:pPr>
              <w:pStyle w:val="6"/>
              <w:spacing w:before="1" w:line="251" w:lineRule="auto"/>
              <w:ind w:left="16" w:hanging="1"/>
            </w:pPr>
            <w:r>
              <w:rPr>
                <w:spacing w:val="8"/>
              </w:rPr>
              <w:t>③例行环境监测计划或生态环境主管部门要求时进行监</w:t>
            </w:r>
          </w:p>
          <w:p w14:paraId="12AFFF7D">
            <w:pPr>
              <w:pStyle w:val="6"/>
              <w:spacing w:line="229" w:lineRule="auto"/>
              <w:ind w:left="437"/>
            </w:pPr>
            <w:r>
              <w:t>测。</w:t>
            </w:r>
          </w:p>
        </w:tc>
        <w:tc>
          <w:tcPr>
            <w:tcW w:w="1175" w:type="dxa"/>
            <w:vMerge w:val="restart"/>
            <w:tcBorders>
              <w:top w:val="single" w:color="000000" w:sz="6" w:space="0"/>
              <w:bottom w:val="nil"/>
              <w:right w:val="single" w:color="000000" w:sz="6" w:space="0"/>
            </w:tcBorders>
            <w:vAlign w:val="top"/>
          </w:tcPr>
          <w:p w14:paraId="7C9BE3AE">
            <w:pPr>
              <w:spacing w:line="251" w:lineRule="auto"/>
              <w:rPr>
                <w:rFonts w:ascii="Arial"/>
                <w:sz w:val="21"/>
              </w:rPr>
            </w:pPr>
          </w:p>
          <w:p w14:paraId="19170A91">
            <w:pPr>
              <w:spacing w:line="251" w:lineRule="auto"/>
              <w:rPr>
                <w:rFonts w:ascii="Arial"/>
                <w:sz w:val="21"/>
              </w:rPr>
            </w:pPr>
          </w:p>
          <w:p w14:paraId="3FCF644F">
            <w:pPr>
              <w:spacing w:line="251" w:lineRule="auto"/>
              <w:rPr>
                <w:rFonts w:ascii="Arial"/>
                <w:sz w:val="21"/>
              </w:rPr>
            </w:pPr>
          </w:p>
          <w:p w14:paraId="3C296837">
            <w:pPr>
              <w:spacing w:line="251" w:lineRule="auto"/>
              <w:rPr>
                <w:rFonts w:ascii="Arial"/>
                <w:sz w:val="21"/>
              </w:rPr>
            </w:pPr>
          </w:p>
          <w:p w14:paraId="4BE533CE">
            <w:pPr>
              <w:spacing w:line="251" w:lineRule="auto"/>
              <w:rPr>
                <w:rFonts w:ascii="Arial"/>
                <w:sz w:val="21"/>
              </w:rPr>
            </w:pPr>
          </w:p>
          <w:p w14:paraId="19BEF3E7">
            <w:pPr>
              <w:spacing w:line="251" w:lineRule="auto"/>
              <w:rPr>
                <w:rFonts w:ascii="Arial"/>
                <w:sz w:val="21"/>
              </w:rPr>
            </w:pPr>
          </w:p>
          <w:p w14:paraId="7CC19C74">
            <w:pPr>
              <w:spacing w:line="251" w:lineRule="auto"/>
              <w:rPr>
                <w:rFonts w:ascii="Arial"/>
                <w:sz w:val="21"/>
              </w:rPr>
            </w:pPr>
          </w:p>
          <w:p w14:paraId="151E3444">
            <w:pPr>
              <w:spacing w:line="251" w:lineRule="auto"/>
              <w:rPr>
                <w:rFonts w:ascii="Arial"/>
                <w:sz w:val="21"/>
              </w:rPr>
            </w:pPr>
          </w:p>
          <w:p w14:paraId="015DDA16">
            <w:pPr>
              <w:spacing w:line="251" w:lineRule="auto"/>
              <w:rPr>
                <w:rFonts w:ascii="Arial"/>
                <w:sz w:val="21"/>
              </w:rPr>
            </w:pPr>
          </w:p>
          <w:p w14:paraId="284793CC">
            <w:pPr>
              <w:spacing w:line="252" w:lineRule="auto"/>
              <w:rPr>
                <w:rFonts w:ascii="Arial"/>
                <w:sz w:val="21"/>
              </w:rPr>
            </w:pPr>
          </w:p>
          <w:p w14:paraId="57AE85CE">
            <w:pPr>
              <w:spacing w:line="252" w:lineRule="auto"/>
              <w:rPr>
                <w:rFonts w:ascii="Arial"/>
                <w:sz w:val="21"/>
              </w:rPr>
            </w:pPr>
          </w:p>
          <w:p w14:paraId="00313CD7">
            <w:pPr>
              <w:pStyle w:val="6"/>
              <w:spacing w:before="65" w:line="228" w:lineRule="auto"/>
              <w:ind w:left="69"/>
            </w:pPr>
            <w:r>
              <w:rPr>
                <w:spacing w:val="7"/>
              </w:rPr>
              <w:t>按国家标准</w:t>
            </w:r>
          </w:p>
          <w:p w14:paraId="54FBFE44">
            <w:pPr>
              <w:pStyle w:val="6"/>
              <w:spacing w:before="24" w:line="228" w:lineRule="auto"/>
              <w:ind w:left="13"/>
            </w:pPr>
            <w:r>
              <w:rPr>
                <w:spacing w:val="-9"/>
              </w:rPr>
              <w:t>进行监测，参</w:t>
            </w:r>
          </w:p>
          <w:p w14:paraId="43FCA250">
            <w:pPr>
              <w:pStyle w:val="6"/>
              <w:spacing w:before="26" w:line="226" w:lineRule="auto"/>
              <w:ind w:left="31"/>
            </w:pPr>
            <w:r>
              <w:rPr>
                <w:spacing w:val="6"/>
              </w:rPr>
              <w:t>考表三</w:t>
            </w:r>
            <w:r>
              <w:rPr>
                <w:rFonts w:ascii="Times New Roman" w:hAnsi="Times New Roman" w:eastAsia="Times New Roman" w:cs="Times New Roman"/>
                <w:spacing w:val="6"/>
              </w:rPr>
              <w:t>-</w:t>
            </w:r>
            <w:r>
              <w:rPr>
                <w:spacing w:val="6"/>
              </w:rPr>
              <w:t>评价</w:t>
            </w:r>
          </w:p>
          <w:p w14:paraId="29E5A65E">
            <w:pPr>
              <w:pStyle w:val="6"/>
              <w:spacing w:before="26" w:line="228" w:lineRule="auto"/>
              <w:ind w:left="382"/>
            </w:pPr>
            <w:r>
              <w:rPr>
                <w:spacing w:val="4"/>
              </w:rPr>
              <w:t>标准</w:t>
            </w:r>
          </w:p>
        </w:tc>
      </w:tr>
      <w:tr w14:paraId="078F2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564" w:type="dxa"/>
            <w:vMerge w:val="continue"/>
            <w:tcBorders>
              <w:top w:val="nil"/>
              <w:left w:val="single" w:color="000000" w:sz="6" w:space="0"/>
              <w:bottom w:val="nil"/>
            </w:tcBorders>
            <w:vAlign w:val="top"/>
          </w:tcPr>
          <w:p w14:paraId="7B2DE2B4">
            <w:pPr>
              <w:rPr>
                <w:rFonts w:ascii="Arial"/>
                <w:sz w:val="21"/>
              </w:rPr>
            </w:pPr>
          </w:p>
        </w:tc>
        <w:tc>
          <w:tcPr>
            <w:tcW w:w="214" w:type="dxa"/>
            <w:vMerge w:val="continue"/>
            <w:tcBorders>
              <w:top w:val="nil"/>
              <w:bottom w:val="nil"/>
            </w:tcBorders>
            <w:vAlign w:val="top"/>
          </w:tcPr>
          <w:p w14:paraId="0F8C684E">
            <w:pPr>
              <w:rPr>
                <w:rFonts w:ascii="Arial"/>
                <w:sz w:val="21"/>
              </w:rPr>
            </w:pPr>
          </w:p>
        </w:tc>
        <w:tc>
          <w:tcPr>
            <w:tcW w:w="594" w:type="dxa"/>
            <w:vMerge w:val="continue"/>
            <w:tcBorders>
              <w:top w:val="nil"/>
            </w:tcBorders>
            <w:vAlign w:val="top"/>
          </w:tcPr>
          <w:p w14:paraId="23225A6E">
            <w:pPr>
              <w:rPr>
                <w:rFonts w:ascii="Arial"/>
                <w:sz w:val="21"/>
              </w:rPr>
            </w:pPr>
          </w:p>
        </w:tc>
        <w:tc>
          <w:tcPr>
            <w:tcW w:w="1133" w:type="dxa"/>
            <w:vAlign w:val="top"/>
          </w:tcPr>
          <w:p w14:paraId="1E0854C8">
            <w:pPr>
              <w:pStyle w:val="6"/>
              <w:spacing w:before="65" w:line="228" w:lineRule="auto"/>
              <w:ind w:left="367"/>
            </w:pPr>
            <w:r>
              <w:rPr>
                <w:spacing w:val="-1"/>
              </w:rPr>
              <w:t>噪声</w:t>
            </w:r>
          </w:p>
        </w:tc>
        <w:tc>
          <w:tcPr>
            <w:tcW w:w="4109" w:type="dxa"/>
            <w:vAlign w:val="top"/>
          </w:tcPr>
          <w:p w14:paraId="6C38C52D">
            <w:pPr>
              <w:pStyle w:val="6"/>
              <w:spacing w:before="64" w:line="228" w:lineRule="auto"/>
              <w:ind w:left="246"/>
            </w:pPr>
            <w:r>
              <w:rPr>
                <w:spacing w:val="7"/>
              </w:rPr>
              <w:t>边导线</w:t>
            </w:r>
            <w:r>
              <w:rPr>
                <w:spacing w:val="-32"/>
              </w:rPr>
              <w:t xml:space="preserve"> </w:t>
            </w:r>
            <w:r>
              <w:rPr>
                <w:rFonts w:ascii="Times New Roman" w:hAnsi="Times New Roman" w:eastAsia="Times New Roman" w:cs="Times New Roman"/>
                <w:spacing w:val="7"/>
              </w:rPr>
              <w:t xml:space="preserve">30m </w:t>
            </w:r>
            <w:r>
              <w:rPr>
                <w:spacing w:val="7"/>
              </w:rPr>
              <w:t>范围内的环境保护目标处。</w:t>
            </w:r>
          </w:p>
        </w:tc>
        <w:tc>
          <w:tcPr>
            <w:tcW w:w="1274" w:type="dxa"/>
            <w:vMerge w:val="continue"/>
            <w:tcBorders>
              <w:top w:val="nil"/>
              <w:bottom w:val="nil"/>
            </w:tcBorders>
            <w:vAlign w:val="top"/>
          </w:tcPr>
          <w:p w14:paraId="13C50931">
            <w:pPr>
              <w:rPr>
                <w:rFonts w:ascii="Arial"/>
                <w:sz w:val="21"/>
              </w:rPr>
            </w:pPr>
          </w:p>
        </w:tc>
        <w:tc>
          <w:tcPr>
            <w:tcW w:w="1175" w:type="dxa"/>
            <w:vMerge w:val="continue"/>
            <w:tcBorders>
              <w:top w:val="nil"/>
              <w:bottom w:val="nil"/>
              <w:right w:val="single" w:color="000000" w:sz="6" w:space="0"/>
            </w:tcBorders>
            <w:vAlign w:val="top"/>
          </w:tcPr>
          <w:p w14:paraId="662B8761">
            <w:pPr>
              <w:rPr>
                <w:rFonts w:ascii="Arial"/>
                <w:sz w:val="21"/>
              </w:rPr>
            </w:pPr>
          </w:p>
        </w:tc>
      </w:tr>
      <w:tr w14:paraId="0EF7B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1" w:hRule="atLeast"/>
        </w:trPr>
        <w:tc>
          <w:tcPr>
            <w:tcW w:w="564" w:type="dxa"/>
            <w:vMerge w:val="continue"/>
            <w:tcBorders>
              <w:top w:val="nil"/>
              <w:left w:val="single" w:color="000000" w:sz="6" w:space="0"/>
              <w:bottom w:val="nil"/>
            </w:tcBorders>
            <w:vAlign w:val="top"/>
          </w:tcPr>
          <w:p w14:paraId="000B18E9">
            <w:pPr>
              <w:rPr>
                <w:rFonts w:ascii="Arial"/>
                <w:sz w:val="21"/>
              </w:rPr>
            </w:pPr>
          </w:p>
        </w:tc>
        <w:tc>
          <w:tcPr>
            <w:tcW w:w="214" w:type="dxa"/>
            <w:vMerge w:val="continue"/>
            <w:tcBorders>
              <w:top w:val="nil"/>
              <w:bottom w:val="nil"/>
            </w:tcBorders>
            <w:vAlign w:val="top"/>
          </w:tcPr>
          <w:p w14:paraId="019BE2BA">
            <w:pPr>
              <w:rPr>
                <w:rFonts w:ascii="Arial"/>
                <w:sz w:val="21"/>
              </w:rPr>
            </w:pPr>
          </w:p>
        </w:tc>
        <w:tc>
          <w:tcPr>
            <w:tcW w:w="594" w:type="dxa"/>
            <w:vMerge w:val="restart"/>
            <w:tcBorders>
              <w:bottom w:val="nil"/>
            </w:tcBorders>
            <w:vAlign w:val="top"/>
          </w:tcPr>
          <w:p w14:paraId="57DC6242">
            <w:pPr>
              <w:spacing w:line="288" w:lineRule="auto"/>
              <w:rPr>
                <w:rFonts w:ascii="Arial"/>
                <w:sz w:val="21"/>
              </w:rPr>
            </w:pPr>
          </w:p>
          <w:p w14:paraId="7118D889">
            <w:pPr>
              <w:spacing w:line="289" w:lineRule="auto"/>
              <w:rPr>
                <w:rFonts w:ascii="Arial"/>
                <w:sz w:val="21"/>
              </w:rPr>
            </w:pPr>
          </w:p>
          <w:p w14:paraId="0355AE0B">
            <w:pPr>
              <w:spacing w:line="289" w:lineRule="auto"/>
              <w:rPr>
                <w:rFonts w:ascii="Arial"/>
                <w:sz w:val="21"/>
              </w:rPr>
            </w:pPr>
          </w:p>
          <w:p w14:paraId="03991E67">
            <w:pPr>
              <w:pStyle w:val="6"/>
              <w:spacing w:before="65" w:line="255" w:lineRule="auto"/>
              <w:ind w:left="191" w:right="93" w:hanging="106"/>
            </w:pPr>
            <w:r>
              <w:rPr>
                <w:spacing w:val="4"/>
              </w:rPr>
              <w:t>变电</w:t>
            </w:r>
            <w:r>
              <w:t>站</w:t>
            </w:r>
          </w:p>
        </w:tc>
        <w:tc>
          <w:tcPr>
            <w:tcW w:w="1133" w:type="dxa"/>
            <w:vAlign w:val="top"/>
          </w:tcPr>
          <w:p w14:paraId="0B21BEBC">
            <w:pPr>
              <w:spacing w:line="363" w:lineRule="auto"/>
              <w:rPr>
                <w:rFonts w:ascii="Arial"/>
                <w:sz w:val="21"/>
              </w:rPr>
            </w:pPr>
          </w:p>
          <w:p w14:paraId="63D57E3C">
            <w:pPr>
              <w:pStyle w:val="6"/>
              <w:spacing w:before="65" w:line="252" w:lineRule="auto"/>
              <w:ind w:left="43" w:right="43" w:firstLine="24"/>
            </w:pPr>
            <w:r>
              <w:rPr>
                <w:spacing w:val="3"/>
              </w:rPr>
              <w:t>电场强度、</w:t>
            </w:r>
            <w:r>
              <w:rPr>
                <w:spacing w:val="8"/>
              </w:rPr>
              <w:t>磁感应强度</w:t>
            </w:r>
          </w:p>
        </w:tc>
        <w:tc>
          <w:tcPr>
            <w:tcW w:w="4109" w:type="dxa"/>
            <w:vAlign w:val="top"/>
          </w:tcPr>
          <w:p w14:paraId="7850436C">
            <w:pPr>
              <w:pStyle w:val="6"/>
              <w:spacing w:before="155" w:line="252" w:lineRule="auto"/>
              <w:ind w:left="3"/>
            </w:pPr>
            <w:r>
              <w:rPr>
                <w:spacing w:val="4"/>
              </w:rPr>
              <w:t>①厂界四周均匀布设监测点（无进出线或远离</w:t>
            </w:r>
            <w:r>
              <w:rPr>
                <w:spacing w:val="8"/>
              </w:rPr>
              <w:t>进出线</w:t>
            </w:r>
            <w:r>
              <w:rPr>
                <w:spacing w:val="-23"/>
              </w:rPr>
              <w:t>），</w:t>
            </w:r>
            <w:r>
              <w:rPr>
                <w:spacing w:val="8"/>
              </w:rPr>
              <w:t>在高压侧或距带电构架较近的围墙侧可适当增加监测点位。</w:t>
            </w:r>
          </w:p>
          <w:p w14:paraId="537041E7">
            <w:pPr>
              <w:pStyle w:val="6"/>
              <w:spacing w:line="225" w:lineRule="auto"/>
              <w:jc w:val="right"/>
            </w:pPr>
            <w:r>
              <w:rPr>
                <w:spacing w:val="5"/>
              </w:rPr>
              <w:t>②厂界外范围内的环境保护目标（如有）处。</w:t>
            </w:r>
          </w:p>
        </w:tc>
        <w:tc>
          <w:tcPr>
            <w:tcW w:w="1274" w:type="dxa"/>
            <w:vMerge w:val="continue"/>
            <w:tcBorders>
              <w:top w:val="nil"/>
              <w:bottom w:val="nil"/>
            </w:tcBorders>
            <w:vAlign w:val="top"/>
          </w:tcPr>
          <w:p w14:paraId="5A0FD5E5">
            <w:pPr>
              <w:rPr>
                <w:rFonts w:ascii="Arial"/>
                <w:sz w:val="21"/>
              </w:rPr>
            </w:pPr>
          </w:p>
        </w:tc>
        <w:tc>
          <w:tcPr>
            <w:tcW w:w="1175" w:type="dxa"/>
            <w:vMerge w:val="continue"/>
            <w:tcBorders>
              <w:top w:val="nil"/>
              <w:bottom w:val="nil"/>
              <w:right w:val="single" w:color="000000" w:sz="6" w:space="0"/>
            </w:tcBorders>
            <w:vAlign w:val="top"/>
          </w:tcPr>
          <w:p w14:paraId="4A4594DE">
            <w:pPr>
              <w:rPr>
                <w:rFonts w:ascii="Arial"/>
                <w:sz w:val="21"/>
              </w:rPr>
            </w:pPr>
          </w:p>
        </w:tc>
      </w:tr>
      <w:tr w14:paraId="3767E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8" w:hRule="atLeast"/>
        </w:trPr>
        <w:tc>
          <w:tcPr>
            <w:tcW w:w="564" w:type="dxa"/>
            <w:vMerge w:val="continue"/>
            <w:tcBorders>
              <w:top w:val="nil"/>
              <w:left w:val="single" w:color="000000" w:sz="6" w:space="0"/>
              <w:bottom w:val="nil"/>
            </w:tcBorders>
            <w:vAlign w:val="top"/>
          </w:tcPr>
          <w:p w14:paraId="778A73FA">
            <w:pPr>
              <w:rPr>
                <w:rFonts w:ascii="Arial"/>
                <w:sz w:val="21"/>
              </w:rPr>
            </w:pPr>
          </w:p>
        </w:tc>
        <w:tc>
          <w:tcPr>
            <w:tcW w:w="214" w:type="dxa"/>
            <w:vMerge w:val="continue"/>
            <w:tcBorders>
              <w:top w:val="nil"/>
              <w:bottom w:val="nil"/>
            </w:tcBorders>
            <w:vAlign w:val="top"/>
          </w:tcPr>
          <w:p w14:paraId="05F4AC65">
            <w:pPr>
              <w:rPr>
                <w:rFonts w:ascii="Arial"/>
                <w:sz w:val="21"/>
              </w:rPr>
            </w:pPr>
          </w:p>
        </w:tc>
        <w:tc>
          <w:tcPr>
            <w:tcW w:w="594" w:type="dxa"/>
            <w:vMerge w:val="continue"/>
            <w:tcBorders>
              <w:top w:val="nil"/>
            </w:tcBorders>
            <w:vAlign w:val="top"/>
          </w:tcPr>
          <w:p w14:paraId="22245F26">
            <w:pPr>
              <w:rPr>
                <w:rFonts w:ascii="Arial"/>
                <w:sz w:val="21"/>
              </w:rPr>
            </w:pPr>
          </w:p>
        </w:tc>
        <w:tc>
          <w:tcPr>
            <w:tcW w:w="1133" w:type="dxa"/>
            <w:vAlign w:val="top"/>
          </w:tcPr>
          <w:p w14:paraId="111CF51F">
            <w:pPr>
              <w:spacing w:line="334" w:lineRule="auto"/>
              <w:rPr>
                <w:rFonts w:ascii="Arial"/>
                <w:sz w:val="21"/>
              </w:rPr>
            </w:pPr>
          </w:p>
          <w:p w14:paraId="287D70D1">
            <w:pPr>
              <w:pStyle w:val="6"/>
              <w:spacing w:before="65" w:line="228" w:lineRule="auto"/>
              <w:ind w:left="367"/>
            </w:pPr>
            <w:r>
              <w:rPr>
                <w:spacing w:val="-1"/>
              </w:rPr>
              <w:t>噪声</w:t>
            </w:r>
          </w:p>
        </w:tc>
        <w:tc>
          <w:tcPr>
            <w:tcW w:w="4109" w:type="dxa"/>
            <w:vAlign w:val="top"/>
          </w:tcPr>
          <w:p w14:paraId="114CC098">
            <w:pPr>
              <w:pStyle w:val="6"/>
              <w:spacing w:before="264" w:line="254" w:lineRule="auto"/>
              <w:ind w:left="5" w:hanging="1"/>
            </w:pPr>
            <w:r>
              <w:rPr>
                <w:spacing w:val="1"/>
              </w:rPr>
              <w:t>在厂界四周布设多个测点（其中包括距离噪声</w:t>
            </w:r>
            <w:r>
              <w:rPr>
                <w:spacing w:val="4"/>
              </w:rPr>
              <w:t>敏感建筑物较近以及受噪声源影响大的位置）</w:t>
            </w:r>
          </w:p>
        </w:tc>
        <w:tc>
          <w:tcPr>
            <w:tcW w:w="1274" w:type="dxa"/>
            <w:vMerge w:val="continue"/>
            <w:tcBorders>
              <w:top w:val="nil"/>
              <w:bottom w:val="nil"/>
            </w:tcBorders>
            <w:vAlign w:val="top"/>
          </w:tcPr>
          <w:p w14:paraId="08A56C2E">
            <w:pPr>
              <w:rPr>
                <w:rFonts w:ascii="Arial"/>
                <w:sz w:val="21"/>
              </w:rPr>
            </w:pPr>
          </w:p>
        </w:tc>
        <w:tc>
          <w:tcPr>
            <w:tcW w:w="1175" w:type="dxa"/>
            <w:vMerge w:val="continue"/>
            <w:tcBorders>
              <w:top w:val="nil"/>
              <w:bottom w:val="nil"/>
              <w:right w:val="single" w:color="000000" w:sz="6" w:space="0"/>
            </w:tcBorders>
            <w:vAlign w:val="top"/>
          </w:tcPr>
          <w:p w14:paraId="4170827E">
            <w:pPr>
              <w:rPr>
                <w:rFonts w:ascii="Arial"/>
                <w:sz w:val="21"/>
              </w:rPr>
            </w:pPr>
          </w:p>
        </w:tc>
      </w:tr>
      <w:tr w14:paraId="129E9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trPr>
        <w:tc>
          <w:tcPr>
            <w:tcW w:w="564" w:type="dxa"/>
            <w:vMerge w:val="continue"/>
            <w:tcBorders>
              <w:top w:val="nil"/>
              <w:left w:val="single" w:color="000000" w:sz="6" w:space="0"/>
              <w:bottom w:val="nil"/>
            </w:tcBorders>
            <w:vAlign w:val="top"/>
          </w:tcPr>
          <w:p w14:paraId="67AA382B">
            <w:pPr>
              <w:rPr>
                <w:rFonts w:ascii="Arial"/>
                <w:sz w:val="21"/>
              </w:rPr>
            </w:pPr>
          </w:p>
        </w:tc>
        <w:tc>
          <w:tcPr>
            <w:tcW w:w="214" w:type="dxa"/>
            <w:vMerge w:val="continue"/>
            <w:tcBorders>
              <w:top w:val="nil"/>
              <w:bottom w:val="nil"/>
            </w:tcBorders>
            <w:vAlign w:val="top"/>
          </w:tcPr>
          <w:p w14:paraId="16805457">
            <w:pPr>
              <w:rPr>
                <w:rFonts w:ascii="Arial"/>
                <w:sz w:val="21"/>
              </w:rPr>
            </w:pPr>
          </w:p>
        </w:tc>
        <w:tc>
          <w:tcPr>
            <w:tcW w:w="594" w:type="dxa"/>
            <w:vAlign w:val="top"/>
          </w:tcPr>
          <w:p w14:paraId="1C5A52C0">
            <w:pPr>
              <w:pStyle w:val="6"/>
              <w:spacing w:before="269" w:line="252" w:lineRule="auto"/>
              <w:ind w:left="85" w:right="93" w:firstLine="16"/>
            </w:pPr>
            <w:r>
              <w:rPr>
                <w:spacing w:val="-4"/>
              </w:rPr>
              <w:t>间隔</w:t>
            </w:r>
            <w:r>
              <w:rPr>
                <w:spacing w:val="4"/>
              </w:rPr>
              <w:t>扩建</w:t>
            </w:r>
          </w:p>
        </w:tc>
        <w:tc>
          <w:tcPr>
            <w:tcW w:w="1133" w:type="dxa"/>
            <w:vAlign w:val="top"/>
          </w:tcPr>
          <w:p w14:paraId="379CC393">
            <w:pPr>
              <w:pStyle w:val="6"/>
              <w:spacing w:before="133" w:line="251" w:lineRule="auto"/>
              <w:ind w:left="146" w:right="78" w:hanging="78"/>
            </w:pPr>
            <w:r>
              <w:rPr>
                <w:spacing w:val="-4"/>
              </w:rPr>
              <w:t>电场强度、</w:t>
            </w:r>
            <w:r>
              <w:rPr>
                <w:spacing w:val="7"/>
              </w:rPr>
              <w:t>磁感应强</w:t>
            </w:r>
          </w:p>
          <w:p w14:paraId="036D37BD">
            <w:pPr>
              <w:pStyle w:val="6"/>
              <w:spacing w:line="228" w:lineRule="auto"/>
              <w:ind w:left="145"/>
            </w:pPr>
            <w:r>
              <w:rPr>
                <w:spacing w:val="7"/>
              </w:rPr>
              <w:t>度、噪声</w:t>
            </w:r>
          </w:p>
        </w:tc>
        <w:tc>
          <w:tcPr>
            <w:tcW w:w="4109" w:type="dxa"/>
            <w:vAlign w:val="top"/>
          </w:tcPr>
          <w:p w14:paraId="7A4CB39B">
            <w:pPr>
              <w:pStyle w:val="6"/>
              <w:spacing w:before="269" w:line="228" w:lineRule="auto"/>
              <w:ind w:left="42"/>
            </w:pPr>
            <w:r>
              <w:rPr>
                <w:spacing w:val="8"/>
              </w:rPr>
              <w:t>按</w:t>
            </w:r>
            <w:r>
              <w:rPr>
                <w:spacing w:val="-40"/>
              </w:rPr>
              <w:t xml:space="preserve"> </w:t>
            </w:r>
            <w:r>
              <w:rPr>
                <w:rFonts w:ascii="Times New Roman" w:hAnsi="Times New Roman" w:eastAsia="Times New Roman" w:cs="Times New Roman"/>
                <w:spacing w:val="8"/>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8"/>
              </w:rPr>
              <w:t>芳华变电站原环评及批复的要求执</w:t>
            </w:r>
          </w:p>
          <w:p w14:paraId="4F8C9403">
            <w:pPr>
              <w:pStyle w:val="6"/>
              <w:spacing w:before="24" w:line="228" w:lineRule="auto"/>
              <w:ind w:left="1853"/>
            </w:pPr>
            <w:r>
              <w:rPr>
                <w:spacing w:val="-2"/>
              </w:rPr>
              <w:t>行。</w:t>
            </w:r>
          </w:p>
        </w:tc>
        <w:tc>
          <w:tcPr>
            <w:tcW w:w="1274" w:type="dxa"/>
            <w:vMerge w:val="continue"/>
            <w:tcBorders>
              <w:top w:val="nil"/>
            </w:tcBorders>
            <w:vAlign w:val="top"/>
          </w:tcPr>
          <w:p w14:paraId="25A592BD">
            <w:pPr>
              <w:rPr>
                <w:rFonts w:ascii="Arial"/>
                <w:sz w:val="21"/>
              </w:rPr>
            </w:pPr>
          </w:p>
        </w:tc>
        <w:tc>
          <w:tcPr>
            <w:tcW w:w="1175" w:type="dxa"/>
            <w:vMerge w:val="continue"/>
            <w:tcBorders>
              <w:top w:val="nil"/>
              <w:right w:val="single" w:color="000000" w:sz="6" w:space="0"/>
            </w:tcBorders>
            <w:vAlign w:val="top"/>
          </w:tcPr>
          <w:p w14:paraId="3842EEC6">
            <w:pPr>
              <w:rPr>
                <w:rFonts w:ascii="Arial"/>
                <w:sz w:val="21"/>
              </w:rPr>
            </w:pPr>
          </w:p>
        </w:tc>
      </w:tr>
      <w:tr w14:paraId="54D8C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0" w:hRule="atLeast"/>
        </w:trPr>
        <w:tc>
          <w:tcPr>
            <w:tcW w:w="564" w:type="dxa"/>
            <w:vMerge w:val="continue"/>
            <w:tcBorders>
              <w:top w:val="nil"/>
              <w:left w:val="single" w:color="000000" w:sz="6" w:space="0"/>
              <w:bottom w:val="single" w:color="000000" w:sz="6" w:space="0"/>
            </w:tcBorders>
            <w:vAlign w:val="top"/>
          </w:tcPr>
          <w:p w14:paraId="772F98A9">
            <w:pPr>
              <w:rPr>
                <w:rFonts w:ascii="Arial"/>
                <w:sz w:val="21"/>
              </w:rPr>
            </w:pPr>
          </w:p>
        </w:tc>
        <w:tc>
          <w:tcPr>
            <w:tcW w:w="8499" w:type="dxa"/>
            <w:gridSpan w:val="6"/>
            <w:tcBorders>
              <w:bottom w:val="single" w:color="000000" w:sz="6" w:space="0"/>
              <w:right w:val="single" w:color="000000" w:sz="6" w:space="0"/>
            </w:tcBorders>
            <w:vAlign w:val="top"/>
          </w:tcPr>
          <w:p w14:paraId="26F02467">
            <w:pPr>
              <w:pStyle w:val="6"/>
              <w:spacing w:before="41" w:line="219" w:lineRule="auto"/>
              <w:ind w:left="120"/>
              <w:rPr>
                <w:sz w:val="24"/>
                <w:szCs w:val="24"/>
              </w:rPr>
            </w:pPr>
            <w:r>
              <w:rPr>
                <w:b/>
                <w:bCs/>
                <w:spacing w:val="-5"/>
                <w:sz w:val="24"/>
                <w:szCs w:val="24"/>
              </w:rPr>
              <w:t>（</w:t>
            </w:r>
            <w:r>
              <w:rPr>
                <w:rFonts w:ascii="Times New Roman" w:hAnsi="Times New Roman" w:eastAsia="Times New Roman" w:cs="Times New Roman"/>
                <w:b/>
                <w:bCs/>
                <w:spacing w:val="-5"/>
                <w:sz w:val="24"/>
                <w:szCs w:val="24"/>
              </w:rPr>
              <w:t>4</w:t>
            </w:r>
            <w:r>
              <w:rPr>
                <w:b/>
                <w:bCs/>
                <w:spacing w:val="-5"/>
                <w:sz w:val="24"/>
                <w:szCs w:val="24"/>
              </w:rPr>
              <w:t>）监测技术要求</w:t>
            </w:r>
          </w:p>
          <w:p w14:paraId="1A3DC10D">
            <w:pPr>
              <w:pStyle w:val="6"/>
              <w:spacing w:before="180" w:line="217" w:lineRule="auto"/>
              <w:ind w:left="587"/>
              <w:rPr>
                <w:sz w:val="24"/>
                <w:szCs w:val="24"/>
              </w:rPr>
            </w:pPr>
            <w:r>
              <w:rPr>
                <w:spacing w:val="-1"/>
                <w:sz w:val="24"/>
                <w:szCs w:val="24"/>
              </w:rPr>
              <w:t>①监测范围应与工程影响区域相符。</w:t>
            </w:r>
          </w:p>
          <w:p w14:paraId="5448D952">
            <w:pPr>
              <w:pStyle w:val="6"/>
              <w:spacing w:before="185" w:line="359" w:lineRule="auto"/>
              <w:ind w:left="108" w:right="102" w:firstLine="478"/>
              <w:rPr>
                <w:sz w:val="24"/>
                <w:szCs w:val="24"/>
              </w:rPr>
            </w:pPr>
            <w:r>
              <w:rPr>
                <w:spacing w:val="-4"/>
                <w:sz w:val="24"/>
                <w:szCs w:val="24"/>
              </w:rPr>
              <w:t>②监测位置与频次应根据监测数据的代表性、生态环境质量的特征、变化和</w:t>
            </w:r>
            <w:r>
              <w:rPr>
                <w:spacing w:val="-1"/>
                <w:sz w:val="24"/>
                <w:szCs w:val="24"/>
              </w:rPr>
              <w:t>环境影响评价、工程竣工环境保护验收的要求确定。</w:t>
            </w:r>
          </w:p>
          <w:p w14:paraId="0B1878D0">
            <w:pPr>
              <w:pStyle w:val="6"/>
              <w:spacing w:line="359" w:lineRule="auto"/>
              <w:ind w:left="109" w:right="102" w:firstLine="477"/>
              <w:rPr>
                <w:sz w:val="24"/>
                <w:szCs w:val="24"/>
              </w:rPr>
            </w:pPr>
            <w:r>
              <w:rPr>
                <w:spacing w:val="4"/>
                <w:sz w:val="24"/>
                <w:szCs w:val="24"/>
              </w:rPr>
              <w:t>③监测方法与技术要求应符合国家现行的有关环境</w:t>
            </w:r>
            <w:r>
              <w:rPr>
                <w:spacing w:val="3"/>
                <w:sz w:val="24"/>
                <w:szCs w:val="24"/>
              </w:rPr>
              <w:t>监测技术规范和环境监</w:t>
            </w:r>
            <w:r>
              <w:rPr>
                <w:spacing w:val="-2"/>
                <w:sz w:val="24"/>
                <w:szCs w:val="24"/>
              </w:rPr>
              <w:t>测标准分析方法。</w:t>
            </w:r>
          </w:p>
          <w:p w14:paraId="7E9000E3">
            <w:pPr>
              <w:pStyle w:val="6"/>
              <w:spacing w:line="217" w:lineRule="auto"/>
              <w:ind w:left="586"/>
              <w:rPr>
                <w:sz w:val="24"/>
                <w:szCs w:val="24"/>
              </w:rPr>
            </w:pPr>
            <w:r>
              <w:rPr>
                <w:sz w:val="24"/>
                <w:szCs w:val="24"/>
              </w:rPr>
              <w:t>④监测成果应在原始数据基础上进行审查、校核、综</w:t>
            </w:r>
            <w:r>
              <w:rPr>
                <w:spacing w:val="-1"/>
                <w:sz w:val="24"/>
                <w:szCs w:val="24"/>
              </w:rPr>
              <w:t>合分析后整理编印。</w:t>
            </w:r>
          </w:p>
          <w:p w14:paraId="43248CEB">
            <w:pPr>
              <w:pStyle w:val="6"/>
              <w:spacing w:before="183" w:line="217" w:lineRule="auto"/>
              <w:ind w:left="586"/>
              <w:rPr>
                <w:sz w:val="24"/>
                <w:szCs w:val="24"/>
              </w:rPr>
            </w:pPr>
            <w:r>
              <w:rPr>
                <w:spacing w:val="-1"/>
                <w:sz w:val="24"/>
                <w:szCs w:val="24"/>
              </w:rPr>
              <w:t>⑤应对监测提出质量保证要求。</w:t>
            </w:r>
          </w:p>
          <w:p w14:paraId="795A951D">
            <w:pPr>
              <w:pStyle w:val="6"/>
              <w:spacing w:before="186" w:line="219" w:lineRule="auto"/>
              <w:ind w:left="600"/>
              <w:rPr>
                <w:sz w:val="24"/>
                <w:szCs w:val="24"/>
              </w:rPr>
            </w:pPr>
            <w:r>
              <w:rPr>
                <w:spacing w:val="-2"/>
                <w:sz w:val="24"/>
                <w:szCs w:val="24"/>
              </w:rPr>
              <w:t>（</w:t>
            </w:r>
            <w:r>
              <w:rPr>
                <w:rFonts w:ascii="Times New Roman" w:hAnsi="Times New Roman" w:eastAsia="Times New Roman" w:cs="Times New Roman"/>
                <w:spacing w:val="-2"/>
                <w:sz w:val="24"/>
                <w:szCs w:val="24"/>
              </w:rPr>
              <w:t>5</w:t>
            </w:r>
            <w:r>
              <w:rPr>
                <w:spacing w:val="-2"/>
                <w:sz w:val="24"/>
                <w:szCs w:val="24"/>
              </w:rPr>
              <w:t>）工程竣工环境保护验收</w:t>
            </w:r>
          </w:p>
          <w:p w14:paraId="3D0B6CFA">
            <w:pPr>
              <w:pStyle w:val="6"/>
              <w:spacing w:before="179" w:line="354" w:lineRule="auto"/>
              <w:ind w:left="109" w:firstLine="478"/>
              <w:jc w:val="both"/>
              <w:rPr>
                <w:sz w:val="24"/>
                <w:szCs w:val="24"/>
              </w:rPr>
            </w:pPr>
            <w:r>
              <w:rPr>
                <w:spacing w:val="-8"/>
                <w:sz w:val="24"/>
                <w:szCs w:val="24"/>
              </w:rPr>
              <w:t>根据《建设项目环境保护管理条例》《建设项目竣工环境保护验收暂行办法》</w:t>
            </w:r>
            <w:r>
              <w:rPr>
                <w:spacing w:val="-1"/>
                <w:sz w:val="24"/>
                <w:szCs w:val="24"/>
              </w:rPr>
              <w:t>和《建设项目竣工环境保护验收技术规范</w:t>
            </w:r>
            <w:r>
              <w:rPr>
                <w:rFonts w:ascii="Times New Roman" w:hAnsi="Times New Roman" w:eastAsia="Times New Roman" w:cs="Times New Roman"/>
                <w:spacing w:val="-1"/>
                <w:sz w:val="24"/>
                <w:szCs w:val="24"/>
              </w:rPr>
              <w:t>--</w:t>
            </w:r>
            <w:r>
              <w:rPr>
                <w:spacing w:val="-1"/>
                <w:sz w:val="24"/>
                <w:szCs w:val="24"/>
              </w:rPr>
              <w:t>输变电》</w:t>
            </w:r>
            <w:r>
              <w:rPr>
                <w:spacing w:val="-2"/>
                <w:sz w:val="24"/>
                <w:szCs w:val="24"/>
              </w:rPr>
              <w:t>，参照生态环境部关于规范</w:t>
            </w:r>
            <w:r>
              <w:rPr>
                <w:spacing w:val="-4"/>
                <w:sz w:val="24"/>
                <w:szCs w:val="24"/>
              </w:rPr>
              <w:t>建设单位开展建设项目竣工环境保护验收的相关要求，本建设项目环境保护设施调试阶段，建设单位需组织验收。验收的主要内容为项目对环境保护设施、环境</w:t>
            </w:r>
            <w:r>
              <w:rPr>
                <w:spacing w:val="-3"/>
                <w:sz w:val="24"/>
                <w:szCs w:val="24"/>
              </w:rPr>
              <w:t>保护措施与主体工程同时设计、同时施工、同时投产使用的</w:t>
            </w:r>
            <w:r>
              <w:rPr>
                <w:rFonts w:ascii="Times New Roman" w:hAnsi="Times New Roman" w:eastAsia="Times New Roman" w:cs="Times New Roman"/>
                <w:spacing w:val="-3"/>
                <w:sz w:val="24"/>
                <w:szCs w:val="24"/>
              </w:rPr>
              <w:t>“</w:t>
            </w:r>
            <w:r>
              <w:rPr>
                <w:spacing w:val="-3"/>
                <w:sz w:val="24"/>
                <w:szCs w:val="24"/>
              </w:rPr>
              <w:t>三同时</w:t>
            </w:r>
            <w:r>
              <w:rPr>
                <w:rFonts w:ascii="Times New Roman" w:hAnsi="Times New Roman" w:eastAsia="Times New Roman" w:cs="Times New Roman"/>
                <w:spacing w:val="-3"/>
                <w:sz w:val="24"/>
                <w:szCs w:val="24"/>
              </w:rPr>
              <w:t>”</w:t>
            </w:r>
            <w:r>
              <w:rPr>
                <w:spacing w:val="-3"/>
                <w:sz w:val="24"/>
                <w:szCs w:val="24"/>
              </w:rPr>
              <w:t>制度的落实</w:t>
            </w:r>
            <w:r>
              <w:rPr>
                <w:spacing w:val="-2"/>
                <w:sz w:val="24"/>
                <w:szCs w:val="24"/>
              </w:rPr>
              <w:t>情况，主要验收内容见表</w:t>
            </w:r>
            <w:r>
              <w:rPr>
                <w:spacing w:val="-44"/>
                <w:sz w:val="24"/>
                <w:szCs w:val="24"/>
              </w:rPr>
              <w:t xml:space="preserve"> </w:t>
            </w:r>
            <w:r>
              <w:rPr>
                <w:rFonts w:ascii="Times New Roman" w:hAnsi="Times New Roman" w:eastAsia="Times New Roman" w:cs="Times New Roman"/>
                <w:spacing w:val="-2"/>
                <w:sz w:val="24"/>
                <w:szCs w:val="24"/>
              </w:rPr>
              <w:t>5-2</w:t>
            </w:r>
            <w:r>
              <w:rPr>
                <w:spacing w:val="-2"/>
                <w:sz w:val="24"/>
                <w:szCs w:val="24"/>
              </w:rPr>
              <w:t>。</w:t>
            </w:r>
          </w:p>
        </w:tc>
      </w:tr>
    </w:tbl>
    <w:p w14:paraId="076E93A4">
      <w:pPr>
        <w:rPr>
          <w:rFonts w:ascii="Arial"/>
          <w:sz w:val="21"/>
        </w:rPr>
      </w:pPr>
    </w:p>
    <w:p w14:paraId="64CE5B04">
      <w:pPr>
        <w:rPr>
          <w:rFonts w:ascii="Arial" w:hAnsi="Arial" w:eastAsia="Arial" w:cs="Arial"/>
          <w:sz w:val="21"/>
          <w:szCs w:val="21"/>
        </w:rPr>
        <w:sectPr>
          <w:footerReference r:id="rId140" w:type="default"/>
          <w:pgSz w:w="11907" w:h="16840"/>
          <w:pgMar w:top="400" w:right="1301" w:bottom="1240" w:left="1527" w:header="0" w:footer="1077" w:gutter="0"/>
          <w:cols w:space="720" w:num="1"/>
        </w:sectPr>
      </w:pPr>
    </w:p>
    <w:p w14:paraId="08A3FAFE">
      <w:pPr>
        <w:spacing w:before="13"/>
      </w:pPr>
    </w:p>
    <w:p w14:paraId="3CBA65C9">
      <w:pPr>
        <w:spacing w:before="13"/>
      </w:pPr>
    </w:p>
    <w:p w14:paraId="1CC3CAAC">
      <w:pPr>
        <w:spacing w:before="13"/>
      </w:pPr>
    </w:p>
    <w:p w14:paraId="166237CF">
      <w:pPr>
        <w:spacing w:before="12"/>
      </w:pPr>
    </w:p>
    <w:tbl>
      <w:tblPr>
        <w:tblStyle w:val="5"/>
        <w:tblW w:w="90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4"/>
        <w:gridCol w:w="8499"/>
      </w:tblGrid>
      <w:tr w14:paraId="1D39F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13" w:hRule="atLeast"/>
        </w:trPr>
        <w:tc>
          <w:tcPr>
            <w:tcW w:w="564" w:type="dxa"/>
            <w:tcBorders>
              <w:right w:val="single" w:color="000000" w:sz="2" w:space="0"/>
            </w:tcBorders>
            <w:vAlign w:val="top"/>
          </w:tcPr>
          <w:p w14:paraId="6A4D335F">
            <w:pPr>
              <w:rPr>
                <w:rFonts w:ascii="Arial"/>
                <w:sz w:val="21"/>
              </w:rPr>
            </w:pPr>
          </w:p>
        </w:tc>
        <w:tc>
          <w:tcPr>
            <w:tcW w:w="8499" w:type="dxa"/>
            <w:tcBorders>
              <w:left w:val="single" w:color="000000" w:sz="2" w:space="0"/>
            </w:tcBorders>
            <w:vAlign w:val="top"/>
          </w:tcPr>
          <w:p w14:paraId="235F0DDA">
            <w:pPr>
              <w:pStyle w:val="6"/>
              <w:spacing w:before="30" w:line="212" w:lineRule="auto"/>
              <w:ind w:left="1982"/>
              <w:rPr>
                <w:sz w:val="24"/>
                <w:szCs w:val="24"/>
              </w:rPr>
            </w:pPr>
            <w:r>
              <w:rPr>
                <w:b/>
                <w:bCs/>
                <w:spacing w:val="-2"/>
                <w:sz w:val="24"/>
                <w:szCs w:val="24"/>
              </w:rPr>
              <w:t>表</w:t>
            </w:r>
            <w:r>
              <w:rPr>
                <w:rFonts w:ascii="Times New Roman" w:hAnsi="Times New Roman" w:eastAsia="Times New Roman" w:cs="Times New Roman"/>
                <w:b/>
                <w:bCs/>
                <w:spacing w:val="-2"/>
                <w:sz w:val="24"/>
                <w:szCs w:val="24"/>
              </w:rPr>
              <w:t xml:space="preserve">5-2      </w:t>
            </w:r>
            <w:r>
              <w:rPr>
                <w:b/>
                <w:bCs/>
                <w:spacing w:val="-2"/>
                <w:sz w:val="24"/>
                <w:szCs w:val="24"/>
              </w:rPr>
              <w:t>工程竣工环境保护验收内容一览表</w:t>
            </w:r>
          </w:p>
          <w:tbl>
            <w:tblPr>
              <w:tblStyle w:val="5"/>
              <w:tblW w:w="8279" w:type="dxa"/>
              <w:tblInd w:w="10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1"/>
              <w:gridCol w:w="2007"/>
              <w:gridCol w:w="5511"/>
            </w:tblGrid>
            <w:tr w14:paraId="2E5C3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 w:hRule="atLeast"/>
              </w:trPr>
              <w:tc>
                <w:tcPr>
                  <w:tcW w:w="761" w:type="dxa"/>
                  <w:vAlign w:val="top"/>
                </w:tcPr>
                <w:p w14:paraId="749DBE38">
                  <w:pPr>
                    <w:pStyle w:val="6"/>
                    <w:spacing w:before="46" w:line="226" w:lineRule="auto"/>
                    <w:ind w:left="173"/>
                  </w:pPr>
                  <w:r>
                    <w:rPr>
                      <w:b/>
                      <w:bCs/>
                      <w:spacing w:val="4"/>
                    </w:rPr>
                    <w:t>序号</w:t>
                  </w:r>
                </w:p>
              </w:tc>
              <w:tc>
                <w:tcPr>
                  <w:tcW w:w="2007" w:type="dxa"/>
                  <w:vAlign w:val="top"/>
                </w:tcPr>
                <w:p w14:paraId="1BCC700D">
                  <w:pPr>
                    <w:pStyle w:val="6"/>
                    <w:spacing w:before="36" w:line="228" w:lineRule="auto"/>
                    <w:ind w:left="585"/>
                  </w:pPr>
                  <w:r>
                    <w:rPr>
                      <w:b/>
                      <w:bCs/>
                      <w:spacing w:val="6"/>
                    </w:rPr>
                    <w:t>验收对象</w:t>
                  </w:r>
                </w:p>
              </w:tc>
              <w:tc>
                <w:tcPr>
                  <w:tcW w:w="5511" w:type="dxa"/>
                  <w:vAlign w:val="top"/>
                </w:tcPr>
                <w:p w14:paraId="1C4BB137">
                  <w:pPr>
                    <w:pStyle w:val="6"/>
                    <w:spacing w:before="36" w:line="228" w:lineRule="auto"/>
                    <w:ind w:left="2337"/>
                  </w:pPr>
                  <w:r>
                    <w:rPr>
                      <w:b/>
                      <w:bCs/>
                      <w:spacing w:val="6"/>
                    </w:rPr>
                    <w:t>验收内容</w:t>
                  </w:r>
                </w:p>
              </w:tc>
            </w:tr>
            <w:tr w14:paraId="093E2C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61" w:type="dxa"/>
                  <w:vAlign w:val="top"/>
                </w:tcPr>
                <w:p w14:paraId="15DE97D6">
                  <w:pPr>
                    <w:spacing w:before="203" w:line="195" w:lineRule="auto"/>
                    <w:ind w:left="351"/>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007" w:type="dxa"/>
                  <w:vAlign w:val="top"/>
                </w:tcPr>
                <w:p w14:paraId="61B377B1">
                  <w:pPr>
                    <w:pStyle w:val="6"/>
                    <w:spacing w:before="165" w:line="228" w:lineRule="auto"/>
                    <w:ind w:left="272"/>
                  </w:pPr>
                  <w:r>
                    <w:rPr>
                      <w:spacing w:val="8"/>
                    </w:rPr>
                    <w:t>相关资料、手续</w:t>
                  </w:r>
                </w:p>
              </w:tc>
              <w:tc>
                <w:tcPr>
                  <w:tcW w:w="5511" w:type="dxa"/>
                  <w:vAlign w:val="top"/>
                </w:tcPr>
                <w:p w14:paraId="20F997E8">
                  <w:pPr>
                    <w:pStyle w:val="6"/>
                    <w:spacing w:before="31" w:line="226" w:lineRule="auto"/>
                    <w:ind w:left="138"/>
                  </w:pPr>
                  <w:r>
                    <w:rPr>
                      <w:spacing w:val="9"/>
                    </w:rPr>
                    <w:t>项目相关批复文件（主要为环境影响报告表审批文件）是</w:t>
                  </w:r>
                </w:p>
                <w:p w14:paraId="0B35E17A">
                  <w:pPr>
                    <w:pStyle w:val="6"/>
                    <w:spacing w:before="29" w:line="216" w:lineRule="auto"/>
                    <w:ind w:left="1190"/>
                  </w:pPr>
                  <w:r>
                    <w:rPr>
                      <w:spacing w:val="8"/>
                    </w:rPr>
                    <w:t>否齐备，环境保护档案是否齐全。</w:t>
                  </w:r>
                </w:p>
              </w:tc>
            </w:tr>
            <w:tr w14:paraId="6FCE2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761" w:type="dxa"/>
                  <w:vAlign w:val="top"/>
                </w:tcPr>
                <w:p w14:paraId="2B119E3E">
                  <w:pPr>
                    <w:spacing w:before="204" w:line="195" w:lineRule="auto"/>
                    <w:ind w:left="331"/>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007" w:type="dxa"/>
                  <w:vAlign w:val="top"/>
                </w:tcPr>
                <w:p w14:paraId="62FC6D69">
                  <w:pPr>
                    <w:pStyle w:val="6"/>
                    <w:spacing w:before="30" w:line="235" w:lineRule="auto"/>
                    <w:ind w:left="798" w:right="165" w:hanging="632"/>
                  </w:pPr>
                  <w:r>
                    <w:rPr>
                      <w:spacing w:val="8"/>
                    </w:rPr>
                    <w:t>环境保护目标基本</w:t>
                  </w:r>
                  <w:r>
                    <w:rPr>
                      <w:spacing w:val="4"/>
                    </w:rPr>
                    <w:t>情况</w:t>
                  </w:r>
                </w:p>
              </w:tc>
              <w:tc>
                <w:tcPr>
                  <w:tcW w:w="5511" w:type="dxa"/>
                  <w:vAlign w:val="top"/>
                </w:tcPr>
                <w:p w14:paraId="71A004C5">
                  <w:pPr>
                    <w:pStyle w:val="6"/>
                    <w:spacing w:before="31" w:line="227" w:lineRule="auto"/>
                    <w:ind w:left="871"/>
                  </w:pPr>
                  <w:r>
                    <w:rPr>
                      <w:spacing w:val="8"/>
                    </w:rPr>
                    <w:t>核查环境保护目标基本情况及变更情况。</w:t>
                  </w:r>
                </w:p>
              </w:tc>
            </w:tr>
            <w:tr w14:paraId="2D3F9C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761" w:type="dxa"/>
                  <w:vAlign w:val="top"/>
                </w:tcPr>
                <w:p w14:paraId="0D1938A1">
                  <w:pPr>
                    <w:spacing w:before="234" w:line="195" w:lineRule="auto"/>
                    <w:ind w:left="335"/>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007" w:type="dxa"/>
                  <w:vAlign w:val="top"/>
                </w:tcPr>
                <w:p w14:paraId="6308B8DF">
                  <w:pPr>
                    <w:pStyle w:val="6"/>
                    <w:spacing w:before="62" w:line="249" w:lineRule="auto"/>
                    <w:ind w:left="481" w:right="165" w:hanging="315"/>
                  </w:pPr>
                  <w:r>
                    <w:rPr>
                      <w:spacing w:val="8"/>
                    </w:rPr>
                    <w:t>环保相关评价制度及规章制度</w:t>
                  </w:r>
                </w:p>
              </w:tc>
              <w:tc>
                <w:tcPr>
                  <w:tcW w:w="5511" w:type="dxa"/>
                  <w:vAlign w:val="top"/>
                </w:tcPr>
                <w:p w14:paraId="58F53161">
                  <w:pPr>
                    <w:pStyle w:val="6"/>
                    <w:spacing w:before="62" w:line="226" w:lineRule="auto"/>
                    <w:ind w:left="243"/>
                  </w:pPr>
                  <w:r>
                    <w:rPr>
                      <w:spacing w:val="9"/>
                    </w:rPr>
                    <w:t>核查环境影响评价制度及其他环境保护规章制度执行情</w:t>
                  </w:r>
                </w:p>
                <w:p w14:paraId="1262D830">
                  <w:pPr>
                    <w:pStyle w:val="6"/>
                    <w:spacing w:before="28" w:line="228" w:lineRule="auto"/>
                    <w:ind w:left="2551"/>
                  </w:pPr>
                  <w:r>
                    <w:rPr>
                      <w:spacing w:val="-1"/>
                    </w:rPr>
                    <w:t>况。</w:t>
                  </w:r>
                </w:p>
              </w:tc>
            </w:tr>
            <w:tr w14:paraId="44129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761" w:type="dxa"/>
                  <w:vAlign w:val="top"/>
                </w:tcPr>
                <w:p w14:paraId="1C372376">
                  <w:pPr>
                    <w:spacing w:line="416" w:lineRule="auto"/>
                    <w:rPr>
                      <w:rFonts w:ascii="Arial"/>
                      <w:sz w:val="21"/>
                    </w:rPr>
                  </w:pPr>
                </w:p>
                <w:p w14:paraId="27D5F1DC">
                  <w:pPr>
                    <w:spacing w:before="58" w:line="195" w:lineRule="auto"/>
                    <w:ind w:left="33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007" w:type="dxa"/>
                  <w:vAlign w:val="top"/>
                </w:tcPr>
                <w:p w14:paraId="52A99920">
                  <w:pPr>
                    <w:pStyle w:val="6"/>
                    <w:spacing w:before="304" w:line="252" w:lineRule="auto"/>
                    <w:ind w:left="588" w:right="165" w:hanging="419"/>
                  </w:pPr>
                  <w:r>
                    <w:rPr>
                      <w:spacing w:val="8"/>
                    </w:rPr>
                    <w:t>各项环境保护设施</w:t>
                  </w:r>
                  <w:r>
                    <w:rPr>
                      <w:spacing w:val="6"/>
                    </w:rPr>
                    <w:t>落实情况</w:t>
                  </w:r>
                </w:p>
              </w:tc>
              <w:tc>
                <w:tcPr>
                  <w:tcW w:w="5511" w:type="dxa"/>
                  <w:vAlign w:val="top"/>
                </w:tcPr>
                <w:p w14:paraId="61CA6B07">
                  <w:pPr>
                    <w:pStyle w:val="6"/>
                    <w:spacing w:before="33" w:line="226" w:lineRule="auto"/>
                    <w:ind w:left="137"/>
                  </w:pPr>
                  <w:r>
                    <w:rPr>
                      <w:spacing w:val="9"/>
                    </w:rPr>
                    <w:t>核实工程设计、环境影响评价文件及环境影响评价审批文</w:t>
                  </w:r>
                </w:p>
                <w:p w14:paraId="264FC959">
                  <w:pPr>
                    <w:pStyle w:val="6"/>
                    <w:spacing w:before="25" w:line="228" w:lineRule="auto"/>
                    <w:ind w:left="134"/>
                  </w:pPr>
                  <w:r>
                    <w:rPr>
                      <w:spacing w:val="9"/>
                    </w:rPr>
                    <w:t>件中提出的在设计、施工及运行三个阶段的电磁环境、水</w:t>
                  </w:r>
                </w:p>
                <w:p w14:paraId="10078DD8">
                  <w:pPr>
                    <w:pStyle w:val="6"/>
                    <w:spacing w:before="24" w:line="228" w:lineRule="auto"/>
                    <w:ind w:left="134"/>
                  </w:pPr>
                  <w:r>
                    <w:rPr>
                      <w:spacing w:val="9"/>
                    </w:rPr>
                    <w:t>环境、声环境、固体废物、生态保护及风险防范等各项措</w:t>
                  </w:r>
                </w:p>
                <w:p w14:paraId="57240C84">
                  <w:pPr>
                    <w:pStyle w:val="6"/>
                    <w:spacing w:before="27" w:line="216" w:lineRule="auto"/>
                    <w:ind w:left="1499"/>
                  </w:pPr>
                  <w:r>
                    <w:rPr>
                      <w:spacing w:val="8"/>
                    </w:rPr>
                    <w:t>施的落实情况及实施效果。</w:t>
                  </w:r>
                </w:p>
              </w:tc>
            </w:tr>
            <w:tr w14:paraId="3E27CF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61" w:type="dxa"/>
                  <w:vAlign w:val="top"/>
                </w:tcPr>
                <w:p w14:paraId="598FB14A">
                  <w:pPr>
                    <w:spacing w:before="209" w:line="192" w:lineRule="auto"/>
                    <w:ind w:left="33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2007" w:type="dxa"/>
                  <w:vAlign w:val="top"/>
                </w:tcPr>
                <w:p w14:paraId="2029FA06">
                  <w:pPr>
                    <w:pStyle w:val="6"/>
                    <w:spacing w:before="34" w:line="233" w:lineRule="auto"/>
                    <w:ind w:left="586" w:right="165" w:hanging="420"/>
                  </w:pPr>
                  <w:r>
                    <w:rPr>
                      <w:spacing w:val="8"/>
                    </w:rPr>
                    <w:t>环境保护设施正常</w:t>
                  </w:r>
                  <w:r>
                    <w:rPr>
                      <w:spacing w:val="7"/>
                    </w:rPr>
                    <w:t>运转条件</w:t>
                  </w:r>
                </w:p>
              </w:tc>
              <w:tc>
                <w:tcPr>
                  <w:tcW w:w="5511" w:type="dxa"/>
                  <w:vAlign w:val="top"/>
                </w:tcPr>
                <w:p w14:paraId="5E54569D">
                  <w:pPr>
                    <w:pStyle w:val="6"/>
                    <w:spacing w:before="168" w:line="228" w:lineRule="auto"/>
                    <w:ind w:left="451"/>
                  </w:pPr>
                  <w:r>
                    <w:rPr>
                      <w:spacing w:val="9"/>
                    </w:rPr>
                    <w:t>各项环保设施是否有合格的操作人员、操作制度。</w:t>
                  </w:r>
                </w:p>
              </w:tc>
            </w:tr>
            <w:tr w14:paraId="4BBFB1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761" w:type="dxa"/>
                  <w:vAlign w:val="top"/>
                </w:tcPr>
                <w:p w14:paraId="557A40F4">
                  <w:pPr>
                    <w:spacing w:before="207" w:line="195" w:lineRule="auto"/>
                    <w:ind w:left="335"/>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2007" w:type="dxa"/>
                  <w:vAlign w:val="top"/>
                </w:tcPr>
                <w:p w14:paraId="7B0C92A0">
                  <w:pPr>
                    <w:pStyle w:val="6"/>
                    <w:spacing w:before="34" w:line="228" w:lineRule="auto"/>
                    <w:ind w:left="168"/>
                  </w:pPr>
                  <w:r>
                    <w:rPr>
                      <w:spacing w:val="8"/>
                    </w:rPr>
                    <w:t>污染物排放达标情</w:t>
                  </w:r>
                </w:p>
                <w:p w14:paraId="072934DD">
                  <w:pPr>
                    <w:pStyle w:val="6"/>
                    <w:spacing w:before="24" w:line="214" w:lineRule="auto"/>
                    <w:ind w:left="905"/>
                  </w:pPr>
                  <w:r>
                    <w:t>况</w:t>
                  </w:r>
                </w:p>
              </w:tc>
              <w:tc>
                <w:tcPr>
                  <w:tcW w:w="5511" w:type="dxa"/>
                  <w:vAlign w:val="top"/>
                </w:tcPr>
                <w:p w14:paraId="6CBA598E">
                  <w:pPr>
                    <w:pStyle w:val="6"/>
                    <w:spacing w:before="34" w:line="228" w:lineRule="auto"/>
                    <w:ind w:left="135"/>
                  </w:pPr>
                  <w:r>
                    <w:rPr>
                      <w:spacing w:val="9"/>
                    </w:rPr>
                    <w:t>站址周围声环境满足《工业企业厂界环境噪声排放标准》</w:t>
                  </w:r>
                </w:p>
                <w:p w14:paraId="3D4A5C7F">
                  <w:pPr>
                    <w:pStyle w:val="6"/>
                    <w:spacing w:before="25" w:line="214" w:lineRule="auto"/>
                    <w:ind w:left="1407"/>
                  </w:pPr>
                  <w:r>
                    <w:rPr>
                      <w:spacing w:val="5"/>
                    </w:rPr>
                    <w:t>（</w:t>
                  </w:r>
                  <w:r>
                    <w:rPr>
                      <w:rFonts w:ascii="Times New Roman" w:hAnsi="Times New Roman" w:eastAsia="Times New Roman" w:cs="Times New Roman"/>
                    </w:rPr>
                    <w:t>GB</w:t>
                  </w:r>
                  <w:r>
                    <w:rPr>
                      <w:rFonts w:ascii="Times New Roman" w:hAnsi="Times New Roman" w:eastAsia="Times New Roman" w:cs="Times New Roman"/>
                      <w:spacing w:val="5"/>
                    </w:rPr>
                    <w:t>12348-2008</w:t>
                  </w:r>
                  <w:r>
                    <w:rPr>
                      <w:spacing w:val="5"/>
                    </w:rPr>
                    <w:t>）</w:t>
                  </w:r>
                  <w:r>
                    <w:rPr>
                      <w:rFonts w:ascii="Times New Roman" w:hAnsi="Times New Roman" w:eastAsia="Times New Roman" w:cs="Times New Roman"/>
                      <w:spacing w:val="5"/>
                    </w:rPr>
                    <w:t xml:space="preserve">2 </w:t>
                  </w:r>
                  <w:r>
                    <w:rPr>
                      <w:spacing w:val="5"/>
                    </w:rPr>
                    <w:t>类标准。</w:t>
                  </w:r>
                </w:p>
              </w:tc>
            </w:tr>
            <w:tr w14:paraId="794D3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761" w:type="dxa"/>
                  <w:vAlign w:val="top"/>
                </w:tcPr>
                <w:p w14:paraId="4BE17D43">
                  <w:pPr>
                    <w:spacing w:before="211" w:line="192" w:lineRule="auto"/>
                    <w:ind w:left="334"/>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2007" w:type="dxa"/>
                  <w:vAlign w:val="top"/>
                </w:tcPr>
                <w:p w14:paraId="5FB79B53">
                  <w:pPr>
                    <w:pStyle w:val="6"/>
                    <w:spacing w:before="170" w:line="228" w:lineRule="auto"/>
                    <w:ind w:left="379"/>
                    <w:outlineLvl w:val="0"/>
                  </w:pPr>
                  <w:bookmarkStart w:id="1" w:name="bookmark6"/>
                  <w:bookmarkEnd w:id="1"/>
                  <w:r>
                    <w:rPr>
                      <w:spacing w:val="7"/>
                    </w:rPr>
                    <w:t>生态保护措施</w:t>
                  </w:r>
                </w:p>
              </w:tc>
              <w:tc>
                <w:tcPr>
                  <w:tcW w:w="5511" w:type="dxa"/>
                  <w:vAlign w:val="top"/>
                </w:tcPr>
                <w:p w14:paraId="2B440C90">
                  <w:pPr>
                    <w:pStyle w:val="6"/>
                    <w:spacing w:before="35" w:line="227" w:lineRule="auto"/>
                    <w:ind w:left="135"/>
                  </w:pPr>
                  <w:r>
                    <w:rPr>
                      <w:spacing w:val="9"/>
                    </w:rPr>
                    <w:t>本工程施工场地是否清理干净，未落实的，建设单位应要</w:t>
                  </w:r>
                </w:p>
                <w:p w14:paraId="40C73A10">
                  <w:pPr>
                    <w:pStyle w:val="6"/>
                    <w:spacing w:before="27" w:line="213" w:lineRule="auto"/>
                    <w:ind w:left="1185"/>
                  </w:pPr>
                  <w:r>
                    <w:rPr>
                      <w:spacing w:val="8"/>
                    </w:rPr>
                    <w:t>求施工单位采取补救和恢复措施。</w:t>
                  </w:r>
                </w:p>
              </w:tc>
            </w:tr>
            <w:tr w14:paraId="0ACC2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761" w:type="dxa"/>
                  <w:vAlign w:val="top"/>
                </w:tcPr>
                <w:p w14:paraId="222B884A">
                  <w:pPr>
                    <w:spacing w:line="419" w:lineRule="auto"/>
                    <w:rPr>
                      <w:rFonts w:ascii="Arial"/>
                      <w:sz w:val="21"/>
                    </w:rPr>
                  </w:pPr>
                </w:p>
                <w:p w14:paraId="51185C28">
                  <w:pPr>
                    <w:spacing w:before="57" w:line="195" w:lineRule="auto"/>
                    <w:ind w:left="339"/>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2007" w:type="dxa"/>
                  <w:vAlign w:val="top"/>
                </w:tcPr>
                <w:p w14:paraId="4F4FC9BB">
                  <w:pPr>
                    <w:spacing w:line="242" w:lineRule="auto"/>
                    <w:rPr>
                      <w:rFonts w:ascii="Arial"/>
                      <w:sz w:val="21"/>
                    </w:rPr>
                  </w:pPr>
                </w:p>
                <w:p w14:paraId="11A33F6B">
                  <w:pPr>
                    <w:pStyle w:val="6"/>
                    <w:spacing w:before="65" w:line="252" w:lineRule="auto"/>
                    <w:ind w:left="166" w:right="165"/>
                  </w:pPr>
                  <w:r>
                    <w:rPr>
                      <w:spacing w:val="8"/>
                    </w:rPr>
                    <w:t>环境保护目标环境影响因子达标情况</w:t>
                  </w:r>
                </w:p>
              </w:tc>
              <w:tc>
                <w:tcPr>
                  <w:tcW w:w="5511" w:type="dxa"/>
                  <w:vAlign w:val="top"/>
                </w:tcPr>
                <w:p w14:paraId="5E26D5AF">
                  <w:pPr>
                    <w:pStyle w:val="6"/>
                    <w:spacing w:before="35" w:line="226" w:lineRule="auto"/>
                    <w:ind w:left="135"/>
                  </w:pPr>
                  <w:r>
                    <w:rPr>
                      <w:spacing w:val="9"/>
                    </w:rPr>
                    <w:t>本工程投产后，监测本工程评价范围内的工频电场强度、</w:t>
                  </w:r>
                </w:p>
                <w:p w14:paraId="0FF05E66">
                  <w:pPr>
                    <w:pStyle w:val="6"/>
                    <w:spacing w:before="28" w:line="228" w:lineRule="auto"/>
                    <w:ind w:left="557"/>
                  </w:pPr>
                  <w:r>
                    <w:rPr>
                      <w:spacing w:val="8"/>
                    </w:rPr>
                    <w:t>工频磁感应强度是否满足《电磁环境控制限值》</w:t>
                  </w:r>
                </w:p>
                <w:p w14:paraId="252A8A85">
                  <w:pPr>
                    <w:pStyle w:val="6"/>
                    <w:spacing w:before="24" w:line="221" w:lineRule="auto"/>
                    <w:ind w:left="123"/>
                  </w:pPr>
                  <w:r>
                    <w:rPr>
                      <w:spacing w:val="3"/>
                    </w:rPr>
                    <w:t>（</w:t>
                  </w:r>
                  <w:r>
                    <w:rPr>
                      <w:rFonts w:ascii="Times New Roman" w:hAnsi="Times New Roman" w:eastAsia="Times New Roman" w:cs="Times New Roman"/>
                    </w:rPr>
                    <w:t>GB</w:t>
                  </w:r>
                  <w:r>
                    <w:rPr>
                      <w:rFonts w:ascii="Times New Roman" w:hAnsi="Times New Roman" w:eastAsia="Times New Roman" w:cs="Times New Roman"/>
                      <w:spacing w:val="3"/>
                    </w:rPr>
                    <w:t>8702-2014</w:t>
                  </w:r>
                  <w:r>
                    <w:rPr>
                      <w:spacing w:val="3"/>
                    </w:rPr>
                    <w:t>）中</w:t>
                  </w:r>
                  <w:r>
                    <w:rPr>
                      <w:spacing w:val="-37"/>
                    </w:rPr>
                    <w:t xml:space="preserve"> </w:t>
                  </w:r>
                  <w:r>
                    <w:rPr>
                      <w:rFonts w:ascii="Times New Roman" w:hAnsi="Times New Roman" w:eastAsia="Times New Roman" w:cs="Times New Roman"/>
                      <w:spacing w:val="3"/>
                    </w:rPr>
                    <w:t>4000V/m</w:t>
                  </w:r>
                  <w:r>
                    <w:rPr>
                      <w:spacing w:val="3"/>
                    </w:rPr>
                    <w:t>、</w:t>
                  </w:r>
                  <w:r>
                    <w:rPr>
                      <w:rFonts w:ascii="Times New Roman" w:hAnsi="Times New Roman" w:eastAsia="Times New Roman" w:cs="Times New Roman"/>
                      <w:spacing w:val="3"/>
                    </w:rPr>
                    <w:t>100μT</w:t>
                  </w:r>
                  <w:r>
                    <w:rPr>
                      <w:rFonts w:ascii="Times New Roman" w:hAnsi="Times New Roman" w:eastAsia="Times New Roman" w:cs="Times New Roman"/>
                      <w:spacing w:val="28"/>
                    </w:rPr>
                    <w:t xml:space="preserve"> </w:t>
                  </w:r>
                  <w:r>
                    <w:rPr>
                      <w:spacing w:val="3"/>
                    </w:rPr>
                    <w:t>的公众曝露控制限值</w:t>
                  </w:r>
                </w:p>
                <w:p w14:paraId="0AB4C5E3">
                  <w:pPr>
                    <w:pStyle w:val="6"/>
                    <w:spacing w:before="34" w:line="216" w:lineRule="auto"/>
                    <w:ind w:left="2444"/>
                  </w:pPr>
                  <w:r>
                    <w:rPr>
                      <w:spacing w:val="2"/>
                    </w:rPr>
                    <w:t>要求。</w:t>
                  </w:r>
                </w:p>
              </w:tc>
            </w:tr>
          </w:tbl>
          <w:p w14:paraId="7218E609">
            <w:pPr>
              <w:pStyle w:val="6"/>
              <w:spacing w:before="34" w:line="219" w:lineRule="auto"/>
              <w:ind w:left="107"/>
              <w:rPr>
                <w:sz w:val="24"/>
                <w:szCs w:val="24"/>
              </w:rPr>
            </w:pPr>
            <w:r>
              <w:rPr>
                <w:rFonts w:ascii="Times New Roman" w:hAnsi="Times New Roman" w:eastAsia="Times New Roman" w:cs="Times New Roman"/>
                <w:b/>
                <w:bCs/>
                <w:spacing w:val="-4"/>
                <w:sz w:val="24"/>
                <w:szCs w:val="24"/>
              </w:rPr>
              <w:t>5</w:t>
            </w:r>
            <w:r>
              <w:rPr>
                <w:rFonts w:ascii="Times New Roman" w:hAnsi="Times New Roman" w:eastAsia="Times New Roman" w:cs="Times New Roman"/>
                <w:b/>
                <w:bCs/>
                <w:spacing w:val="-19"/>
                <w:sz w:val="24"/>
                <w:szCs w:val="24"/>
              </w:rPr>
              <w:t xml:space="preserve"> </w:t>
            </w:r>
            <w:r>
              <w:rPr>
                <w:b/>
                <w:bCs/>
                <w:spacing w:val="-4"/>
                <w:sz w:val="24"/>
                <w:szCs w:val="24"/>
              </w:rPr>
              <w:t>、拟采取环境保护措施经济、技术可行性分析</w:t>
            </w:r>
          </w:p>
          <w:p w14:paraId="5809D61B">
            <w:pPr>
              <w:pStyle w:val="6"/>
              <w:spacing w:before="184" w:line="359" w:lineRule="auto"/>
              <w:ind w:left="106" w:right="29" w:firstLine="482"/>
              <w:jc w:val="both"/>
              <w:rPr>
                <w:sz w:val="24"/>
                <w:szCs w:val="24"/>
              </w:rPr>
            </w:pPr>
            <w:r>
              <w:rPr>
                <w:spacing w:val="4"/>
                <w:sz w:val="24"/>
                <w:szCs w:val="24"/>
              </w:rPr>
              <w:t>本工程各项环境保护措施大部分是根据国家</w:t>
            </w:r>
            <w:r>
              <w:rPr>
                <w:spacing w:val="3"/>
                <w:sz w:val="24"/>
                <w:szCs w:val="24"/>
              </w:rPr>
              <w:t>环境保护要求及相关的设计规</w:t>
            </w:r>
            <w:r>
              <w:rPr>
                <w:spacing w:val="-4"/>
                <w:sz w:val="24"/>
                <w:szCs w:val="24"/>
              </w:rPr>
              <w:t>程规范提出、设计，本着以预防为主，在工程建设的同时保护好环境的原则，工程所采取的环保措施主要针对工程设计和施工阶段，即在输电线路选址选线时结合当地区域总体规划，通过优化设计、避让敏感区、表土剥离回用、本土物种恢</w:t>
            </w:r>
            <w:r>
              <w:rPr>
                <w:spacing w:val="-1"/>
                <w:sz w:val="24"/>
                <w:szCs w:val="24"/>
              </w:rPr>
              <w:t>复等手段能够有效降低生态影响；虽初期投入有</w:t>
            </w:r>
            <w:r>
              <w:rPr>
                <w:spacing w:val="-2"/>
                <w:sz w:val="24"/>
                <w:szCs w:val="24"/>
              </w:rPr>
              <w:t>所增加，但通过减少永久占地、</w:t>
            </w:r>
            <w:r>
              <w:rPr>
                <w:spacing w:val="-4"/>
                <w:sz w:val="24"/>
                <w:szCs w:val="24"/>
              </w:rPr>
              <w:t>避免后期高额修复费用及合规操作，长期效益显著；运行稳定性依赖于严格的施工管理和后期维护，需强化人员培训、动态监测及制度执行；生态保护与修复效果可达预期，但需结合长期监测应对自然条件制约和人为操作风险。建议进一步优化设计细节，落实生态修复计划，加强施工监管与资金保障，以确保措施落地</w:t>
            </w:r>
            <w:r>
              <w:rPr>
                <w:spacing w:val="-3"/>
                <w:sz w:val="24"/>
                <w:szCs w:val="24"/>
              </w:rPr>
              <w:t>见效。</w:t>
            </w:r>
          </w:p>
          <w:p w14:paraId="1AD0B5EC">
            <w:pPr>
              <w:pStyle w:val="6"/>
              <w:spacing w:before="5" w:line="350" w:lineRule="auto"/>
              <w:ind w:left="109" w:right="102" w:firstLine="480"/>
              <w:jc w:val="both"/>
              <w:rPr>
                <w:sz w:val="24"/>
                <w:szCs w:val="24"/>
              </w:rPr>
            </w:pPr>
            <w:r>
              <w:rPr>
                <w:spacing w:val="-4"/>
                <w:sz w:val="24"/>
                <w:szCs w:val="24"/>
              </w:rPr>
              <w:t>这些防治措施大部分是已运行输变电工程实际运行经验，结合国家环境保护</w:t>
            </w:r>
            <w:r>
              <w:rPr>
                <w:spacing w:val="-7"/>
                <w:sz w:val="24"/>
                <w:szCs w:val="24"/>
              </w:rPr>
              <w:t>要求而设计的，故在技术上合理易行。又由于在设计阶段就充分考虑，避免了</w:t>
            </w:r>
            <w:r>
              <w:rPr>
                <w:rFonts w:ascii="Times New Roman" w:hAnsi="Times New Roman" w:eastAsia="Times New Roman" w:cs="Times New Roman"/>
                <w:spacing w:val="-7"/>
                <w:sz w:val="24"/>
                <w:szCs w:val="24"/>
              </w:rPr>
              <w:t>“</w:t>
            </w:r>
            <w:r>
              <w:rPr>
                <w:rFonts w:ascii="Times New Roman" w:hAnsi="Times New Roman" w:eastAsia="Times New Roman" w:cs="Times New Roman"/>
                <w:spacing w:val="-39"/>
                <w:sz w:val="24"/>
                <w:szCs w:val="24"/>
              </w:rPr>
              <w:t xml:space="preserve"> </w:t>
            </w:r>
            <w:r>
              <w:rPr>
                <w:spacing w:val="-7"/>
                <w:sz w:val="24"/>
                <w:szCs w:val="24"/>
              </w:rPr>
              <w:t>先</w:t>
            </w:r>
            <w:r>
              <w:rPr>
                <w:spacing w:val="-1"/>
                <w:sz w:val="24"/>
                <w:szCs w:val="24"/>
              </w:rPr>
              <w:t>污染后治理</w:t>
            </w:r>
            <w:r>
              <w:rPr>
                <w:rFonts w:ascii="Times New Roman" w:hAnsi="Times New Roman" w:eastAsia="Times New Roman" w:cs="Times New Roman"/>
                <w:spacing w:val="-1"/>
                <w:sz w:val="24"/>
                <w:szCs w:val="24"/>
              </w:rPr>
              <w:t>”</w:t>
            </w:r>
            <w:r>
              <w:rPr>
                <w:rFonts w:ascii="Times New Roman" w:hAnsi="Times New Roman" w:eastAsia="Times New Roman" w:cs="Times New Roman"/>
                <w:spacing w:val="-19"/>
                <w:sz w:val="24"/>
                <w:szCs w:val="24"/>
              </w:rPr>
              <w:t xml:space="preserve"> </w:t>
            </w:r>
            <w:r>
              <w:rPr>
                <w:spacing w:val="-1"/>
                <w:sz w:val="24"/>
                <w:szCs w:val="24"/>
              </w:rPr>
              <w:t>的被动局面，减少了财物浪费，既保护了环境，又节约了经费。因此本工程采取的环保措施在技术上、经济上是可行的。</w:t>
            </w:r>
          </w:p>
        </w:tc>
      </w:tr>
    </w:tbl>
    <w:p w14:paraId="6F63D446">
      <w:pPr>
        <w:rPr>
          <w:rFonts w:ascii="Arial"/>
          <w:sz w:val="21"/>
        </w:rPr>
      </w:pPr>
    </w:p>
    <w:p w14:paraId="666FE54B">
      <w:pPr>
        <w:rPr>
          <w:rFonts w:ascii="Arial" w:hAnsi="Arial" w:eastAsia="Arial" w:cs="Arial"/>
          <w:sz w:val="21"/>
          <w:szCs w:val="21"/>
        </w:rPr>
        <w:sectPr>
          <w:footerReference r:id="rId141" w:type="default"/>
          <w:pgSz w:w="11907" w:h="16840"/>
          <w:pgMar w:top="400" w:right="1301" w:bottom="1240" w:left="1527" w:header="0" w:footer="1077" w:gutter="0"/>
          <w:cols w:space="720" w:num="1"/>
        </w:sectPr>
      </w:pPr>
    </w:p>
    <w:p w14:paraId="61D27326">
      <w:pPr>
        <w:spacing w:before="13"/>
      </w:pPr>
    </w:p>
    <w:p w14:paraId="7B67DA96">
      <w:pPr>
        <w:spacing w:before="13"/>
      </w:pPr>
    </w:p>
    <w:p w14:paraId="65DCBEBD">
      <w:pPr>
        <w:spacing w:before="13"/>
      </w:pPr>
    </w:p>
    <w:p w14:paraId="5467D4D5">
      <w:pPr>
        <w:spacing w:before="12"/>
      </w:pPr>
    </w:p>
    <w:tbl>
      <w:tblPr>
        <w:tblStyle w:val="5"/>
        <w:tblW w:w="90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4"/>
        <w:gridCol w:w="8499"/>
      </w:tblGrid>
      <w:tr w14:paraId="5BF9A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79" w:hRule="atLeast"/>
        </w:trPr>
        <w:tc>
          <w:tcPr>
            <w:tcW w:w="564" w:type="dxa"/>
            <w:tcBorders>
              <w:right w:val="single" w:color="000000" w:sz="2" w:space="0"/>
            </w:tcBorders>
            <w:textDirection w:val="tbRlV"/>
            <w:vAlign w:val="top"/>
          </w:tcPr>
          <w:p w14:paraId="5498966A">
            <w:pPr>
              <w:pStyle w:val="6"/>
              <w:spacing w:before="161" w:line="209" w:lineRule="auto"/>
              <w:ind w:left="3952"/>
              <w:rPr>
                <w:sz w:val="24"/>
                <w:szCs w:val="24"/>
              </w:rPr>
            </w:pPr>
            <w:r>
              <w:rPr>
                <w:spacing w:val="53"/>
                <w:sz w:val="24"/>
                <w:szCs w:val="24"/>
              </w:rPr>
              <w:t>环保投资</w:t>
            </w:r>
          </w:p>
        </w:tc>
        <w:tc>
          <w:tcPr>
            <w:tcW w:w="8499" w:type="dxa"/>
            <w:tcBorders>
              <w:left w:val="single" w:color="000000" w:sz="2" w:space="0"/>
            </w:tcBorders>
            <w:vAlign w:val="top"/>
          </w:tcPr>
          <w:p w14:paraId="4F09EC1A">
            <w:pPr>
              <w:pStyle w:val="6"/>
              <w:spacing w:before="40" w:line="359" w:lineRule="auto"/>
              <w:ind w:left="109" w:right="102" w:firstLine="482"/>
              <w:rPr>
                <w:sz w:val="24"/>
                <w:szCs w:val="24"/>
              </w:rPr>
            </w:pPr>
            <w:r>
              <w:rPr>
                <w:spacing w:val="-5"/>
                <w:sz w:val="24"/>
                <w:szCs w:val="24"/>
              </w:rPr>
              <w:t>项目总投资</w:t>
            </w:r>
            <w:r>
              <w:rPr>
                <w:spacing w:val="-32"/>
                <w:sz w:val="24"/>
                <w:szCs w:val="24"/>
              </w:rPr>
              <w:t xml:space="preserve"> </w:t>
            </w:r>
            <w:r>
              <w:rPr>
                <w:rFonts w:ascii="Times New Roman" w:hAnsi="Times New Roman" w:eastAsia="Times New Roman" w:cs="Times New Roman"/>
                <w:spacing w:val="-5"/>
                <w:sz w:val="24"/>
                <w:szCs w:val="24"/>
              </w:rPr>
              <w:t>10121</w:t>
            </w:r>
            <w:r>
              <w:rPr>
                <w:rFonts w:ascii="Times New Roman" w:hAnsi="Times New Roman" w:eastAsia="Times New Roman" w:cs="Times New Roman"/>
                <w:spacing w:val="15"/>
                <w:w w:val="101"/>
                <w:sz w:val="24"/>
                <w:szCs w:val="24"/>
              </w:rPr>
              <w:t xml:space="preserve"> </w:t>
            </w:r>
            <w:r>
              <w:rPr>
                <w:spacing w:val="-5"/>
                <w:sz w:val="24"/>
                <w:szCs w:val="24"/>
              </w:rPr>
              <w:t>万元，其中环保投资</w:t>
            </w:r>
            <w:r>
              <w:rPr>
                <w:spacing w:val="-32"/>
                <w:sz w:val="24"/>
                <w:szCs w:val="24"/>
              </w:rPr>
              <w:t xml:space="preserve"> </w:t>
            </w:r>
            <w:r>
              <w:rPr>
                <w:rFonts w:ascii="Times New Roman" w:hAnsi="Times New Roman" w:eastAsia="Times New Roman" w:cs="Times New Roman"/>
                <w:spacing w:val="-5"/>
                <w:sz w:val="24"/>
                <w:szCs w:val="24"/>
              </w:rPr>
              <w:t>136</w:t>
            </w:r>
            <w:r>
              <w:rPr>
                <w:rFonts w:ascii="Times New Roman" w:hAnsi="Times New Roman" w:eastAsia="Times New Roman" w:cs="Times New Roman"/>
                <w:spacing w:val="15"/>
                <w:sz w:val="24"/>
                <w:szCs w:val="24"/>
              </w:rPr>
              <w:t xml:space="preserve"> </w:t>
            </w:r>
            <w:r>
              <w:rPr>
                <w:spacing w:val="-5"/>
                <w:sz w:val="24"/>
                <w:szCs w:val="24"/>
              </w:rPr>
              <w:t>万元，占</w:t>
            </w:r>
            <w:r>
              <w:rPr>
                <w:spacing w:val="-6"/>
                <w:sz w:val="24"/>
                <w:szCs w:val="24"/>
              </w:rPr>
              <w:t>总投资的</w:t>
            </w:r>
            <w:r>
              <w:rPr>
                <w:spacing w:val="-32"/>
                <w:sz w:val="24"/>
                <w:szCs w:val="24"/>
              </w:rPr>
              <w:t xml:space="preserve"> </w:t>
            </w:r>
            <w:r>
              <w:rPr>
                <w:rFonts w:ascii="Times New Roman" w:hAnsi="Times New Roman" w:eastAsia="Times New Roman" w:cs="Times New Roman"/>
                <w:spacing w:val="-6"/>
                <w:sz w:val="24"/>
                <w:szCs w:val="24"/>
              </w:rPr>
              <w:t>1.34%</w:t>
            </w:r>
            <w:r>
              <w:rPr>
                <w:spacing w:val="-6"/>
                <w:sz w:val="24"/>
                <w:szCs w:val="24"/>
              </w:rPr>
              <w:t>。其环</w:t>
            </w:r>
            <w:r>
              <w:rPr>
                <w:spacing w:val="-3"/>
                <w:sz w:val="24"/>
                <w:szCs w:val="24"/>
              </w:rPr>
              <w:t>保投资明细见表</w:t>
            </w:r>
            <w:r>
              <w:rPr>
                <w:spacing w:val="-40"/>
                <w:sz w:val="24"/>
                <w:szCs w:val="24"/>
              </w:rPr>
              <w:t xml:space="preserve"> </w:t>
            </w:r>
            <w:r>
              <w:rPr>
                <w:rFonts w:ascii="Times New Roman" w:hAnsi="Times New Roman" w:eastAsia="Times New Roman" w:cs="Times New Roman"/>
                <w:spacing w:val="-3"/>
                <w:sz w:val="24"/>
                <w:szCs w:val="24"/>
              </w:rPr>
              <w:t>5-3</w:t>
            </w:r>
            <w:r>
              <w:rPr>
                <w:spacing w:val="-3"/>
                <w:sz w:val="24"/>
                <w:szCs w:val="24"/>
              </w:rPr>
              <w:t>。</w:t>
            </w:r>
          </w:p>
          <w:p w14:paraId="08FB0969">
            <w:pPr>
              <w:pStyle w:val="6"/>
              <w:spacing w:line="212" w:lineRule="auto"/>
              <w:ind w:left="1953"/>
              <w:rPr>
                <w:sz w:val="24"/>
                <w:szCs w:val="24"/>
              </w:rPr>
            </w:pPr>
            <w:r>
              <w:rPr>
                <w:b/>
                <w:bCs/>
                <w:spacing w:val="-2"/>
                <w:sz w:val="24"/>
                <w:szCs w:val="24"/>
              </w:rPr>
              <w:t>表</w:t>
            </w:r>
            <w:r>
              <w:rPr>
                <w:spacing w:val="-44"/>
                <w:sz w:val="24"/>
                <w:szCs w:val="24"/>
              </w:rPr>
              <w:t xml:space="preserve"> </w:t>
            </w:r>
            <w:r>
              <w:rPr>
                <w:rFonts w:ascii="Times New Roman" w:hAnsi="Times New Roman" w:eastAsia="Times New Roman" w:cs="Times New Roman"/>
                <w:b/>
                <w:bCs/>
                <w:spacing w:val="-2"/>
                <w:sz w:val="24"/>
                <w:szCs w:val="24"/>
              </w:rPr>
              <w:t xml:space="preserve">5-3    </w:t>
            </w:r>
            <w:r>
              <w:rPr>
                <w:b/>
                <w:bCs/>
                <w:spacing w:val="-2"/>
                <w:sz w:val="24"/>
                <w:szCs w:val="24"/>
              </w:rPr>
              <w:t>环保投资估算一览表</w:t>
            </w:r>
            <w:r>
              <w:rPr>
                <w:spacing w:val="-2"/>
                <w:sz w:val="24"/>
                <w:szCs w:val="24"/>
              </w:rPr>
              <w:t xml:space="preserve">   </w:t>
            </w:r>
            <w:r>
              <w:rPr>
                <w:b/>
                <w:bCs/>
                <w:spacing w:val="-2"/>
                <w:sz w:val="24"/>
                <w:szCs w:val="24"/>
              </w:rPr>
              <w:t>单位：万元</w:t>
            </w:r>
          </w:p>
          <w:tbl>
            <w:tblPr>
              <w:tblStyle w:val="5"/>
              <w:tblW w:w="8273" w:type="dxa"/>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8"/>
              <w:gridCol w:w="1575"/>
              <w:gridCol w:w="3682"/>
              <w:gridCol w:w="2158"/>
            </w:tblGrid>
            <w:tr w14:paraId="07C63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858" w:type="dxa"/>
                  <w:vAlign w:val="top"/>
                </w:tcPr>
                <w:p w14:paraId="43DE3700">
                  <w:pPr>
                    <w:pStyle w:val="6"/>
                    <w:spacing w:before="64" w:line="229" w:lineRule="auto"/>
                    <w:ind w:left="232"/>
                  </w:pPr>
                  <w:r>
                    <w:rPr>
                      <w:b/>
                      <w:bCs/>
                      <w:spacing w:val="-1"/>
                    </w:rPr>
                    <w:t>时段</w:t>
                  </w:r>
                </w:p>
              </w:tc>
              <w:tc>
                <w:tcPr>
                  <w:tcW w:w="1575" w:type="dxa"/>
                  <w:vAlign w:val="top"/>
                </w:tcPr>
                <w:p w14:paraId="784530EA">
                  <w:pPr>
                    <w:pStyle w:val="6"/>
                    <w:spacing w:before="64" w:line="228" w:lineRule="auto"/>
                    <w:ind w:left="373"/>
                  </w:pPr>
                  <w:r>
                    <w:rPr>
                      <w:b/>
                      <w:bCs/>
                      <w:spacing w:val="5"/>
                    </w:rPr>
                    <w:t>治理对象</w:t>
                  </w:r>
                </w:p>
              </w:tc>
              <w:tc>
                <w:tcPr>
                  <w:tcW w:w="3682" w:type="dxa"/>
                  <w:vAlign w:val="top"/>
                </w:tcPr>
                <w:p w14:paraId="11A6D40B">
                  <w:pPr>
                    <w:pStyle w:val="6"/>
                    <w:spacing w:before="65" w:line="228" w:lineRule="auto"/>
                    <w:ind w:left="1638"/>
                  </w:pPr>
                  <w:r>
                    <w:rPr>
                      <w:b/>
                      <w:bCs/>
                      <w:spacing w:val="2"/>
                    </w:rPr>
                    <w:t>项目</w:t>
                  </w:r>
                </w:p>
              </w:tc>
              <w:tc>
                <w:tcPr>
                  <w:tcW w:w="2158" w:type="dxa"/>
                  <w:vAlign w:val="top"/>
                </w:tcPr>
                <w:p w14:paraId="55888D91">
                  <w:pPr>
                    <w:pStyle w:val="6"/>
                    <w:spacing w:before="65" w:line="228" w:lineRule="auto"/>
                    <w:ind w:left="876"/>
                  </w:pPr>
                  <w:r>
                    <w:rPr>
                      <w:b/>
                      <w:bCs/>
                      <w:spacing w:val="2"/>
                    </w:rPr>
                    <w:t>投资</w:t>
                  </w:r>
                </w:p>
              </w:tc>
            </w:tr>
            <w:tr w14:paraId="26BBC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858" w:type="dxa"/>
                  <w:vMerge w:val="restart"/>
                  <w:tcBorders>
                    <w:bottom w:val="nil"/>
                  </w:tcBorders>
                  <w:vAlign w:val="top"/>
                </w:tcPr>
                <w:p w14:paraId="137FEB4A">
                  <w:pPr>
                    <w:spacing w:line="275" w:lineRule="auto"/>
                    <w:rPr>
                      <w:rFonts w:ascii="Arial"/>
                      <w:sz w:val="21"/>
                    </w:rPr>
                  </w:pPr>
                </w:p>
                <w:p w14:paraId="1F7E2B5D">
                  <w:pPr>
                    <w:spacing w:line="275" w:lineRule="auto"/>
                    <w:rPr>
                      <w:rFonts w:ascii="Arial"/>
                      <w:sz w:val="21"/>
                    </w:rPr>
                  </w:pPr>
                </w:p>
                <w:p w14:paraId="31B55A5A">
                  <w:pPr>
                    <w:spacing w:line="275" w:lineRule="auto"/>
                    <w:rPr>
                      <w:rFonts w:ascii="Arial"/>
                      <w:sz w:val="21"/>
                    </w:rPr>
                  </w:pPr>
                </w:p>
                <w:p w14:paraId="02D6ED82">
                  <w:pPr>
                    <w:spacing w:line="275" w:lineRule="auto"/>
                    <w:rPr>
                      <w:rFonts w:ascii="Arial"/>
                      <w:sz w:val="21"/>
                    </w:rPr>
                  </w:pPr>
                </w:p>
                <w:p w14:paraId="6CBEB7D6">
                  <w:pPr>
                    <w:spacing w:line="275" w:lineRule="auto"/>
                    <w:rPr>
                      <w:rFonts w:ascii="Arial"/>
                      <w:sz w:val="21"/>
                    </w:rPr>
                  </w:pPr>
                </w:p>
                <w:p w14:paraId="20C09359">
                  <w:pPr>
                    <w:pStyle w:val="6"/>
                    <w:spacing w:before="65" w:line="228" w:lineRule="auto"/>
                    <w:ind w:left="116"/>
                  </w:pPr>
                  <w:r>
                    <w:rPr>
                      <w:spacing w:val="7"/>
                    </w:rPr>
                    <w:t>施工期</w:t>
                  </w:r>
                </w:p>
              </w:tc>
              <w:tc>
                <w:tcPr>
                  <w:tcW w:w="1575" w:type="dxa"/>
                  <w:vAlign w:val="top"/>
                </w:tcPr>
                <w:p w14:paraId="1C246EF6">
                  <w:pPr>
                    <w:pStyle w:val="6"/>
                    <w:spacing w:before="228" w:line="233" w:lineRule="auto"/>
                    <w:ind w:left="583"/>
                  </w:pPr>
                  <w:r>
                    <w:rPr>
                      <w:spacing w:val="3"/>
                    </w:rPr>
                    <w:t>生态</w:t>
                  </w:r>
                </w:p>
              </w:tc>
              <w:tc>
                <w:tcPr>
                  <w:tcW w:w="3682" w:type="dxa"/>
                  <w:vAlign w:val="top"/>
                </w:tcPr>
                <w:p w14:paraId="4E437E0C">
                  <w:pPr>
                    <w:pStyle w:val="6"/>
                    <w:spacing w:before="91" w:line="228" w:lineRule="auto"/>
                    <w:ind w:left="167"/>
                  </w:pPr>
                  <w:r>
                    <w:rPr>
                      <w:spacing w:val="9"/>
                    </w:rPr>
                    <w:t>垫护、警示牌、环保教育培训、现场</w:t>
                  </w:r>
                </w:p>
                <w:p w14:paraId="0FBEAD8E">
                  <w:pPr>
                    <w:pStyle w:val="6"/>
                    <w:spacing w:before="26" w:line="228" w:lineRule="auto"/>
                    <w:ind w:left="1321"/>
                  </w:pPr>
                  <w:r>
                    <w:rPr>
                      <w:spacing w:val="7"/>
                    </w:rPr>
                    <w:t>监督管理等</w:t>
                  </w:r>
                </w:p>
              </w:tc>
              <w:tc>
                <w:tcPr>
                  <w:tcW w:w="2158" w:type="dxa"/>
                  <w:vAlign w:val="top"/>
                </w:tcPr>
                <w:p w14:paraId="67BE93D4">
                  <w:pPr>
                    <w:spacing w:before="267" w:line="195" w:lineRule="auto"/>
                    <w:ind w:left="957"/>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r>
            <w:tr w14:paraId="3ADBC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858" w:type="dxa"/>
                  <w:vMerge w:val="continue"/>
                  <w:tcBorders>
                    <w:top w:val="nil"/>
                    <w:bottom w:val="nil"/>
                  </w:tcBorders>
                  <w:vAlign w:val="top"/>
                </w:tcPr>
                <w:p w14:paraId="3B3B750F">
                  <w:pPr>
                    <w:rPr>
                      <w:rFonts w:ascii="Arial"/>
                      <w:sz w:val="21"/>
                    </w:rPr>
                  </w:pPr>
                </w:p>
              </w:tc>
              <w:tc>
                <w:tcPr>
                  <w:tcW w:w="1575" w:type="dxa"/>
                  <w:vAlign w:val="top"/>
                </w:tcPr>
                <w:p w14:paraId="1C2905CA">
                  <w:pPr>
                    <w:pStyle w:val="6"/>
                    <w:spacing w:before="71" w:line="230" w:lineRule="auto"/>
                    <w:ind w:left="581"/>
                  </w:pPr>
                  <w:r>
                    <w:rPr>
                      <w:spacing w:val="5"/>
                    </w:rPr>
                    <w:t>扬尘</w:t>
                  </w:r>
                </w:p>
              </w:tc>
              <w:tc>
                <w:tcPr>
                  <w:tcW w:w="3682" w:type="dxa"/>
                  <w:vAlign w:val="top"/>
                </w:tcPr>
                <w:p w14:paraId="3F0ECDCF">
                  <w:pPr>
                    <w:pStyle w:val="6"/>
                    <w:spacing w:before="71" w:line="228" w:lineRule="auto"/>
                    <w:ind w:left="379"/>
                  </w:pPr>
                  <w:r>
                    <w:rPr>
                      <w:spacing w:val="9"/>
                    </w:rPr>
                    <w:t>洒水降尘、施工物料覆盖、遮挡</w:t>
                  </w:r>
                </w:p>
              </w:tc>
              <w:tc>
                <w:tcPr>
                  <w:tcW w:w="2158" w:type="dxa"/>
                  <w:vAlign w:val="top"/>
                </w:tcPr>
                <w:p w14:paraId="43E6ABDD">
                  <w:pPr>
                    <w:spacing w:before="107" w:line="195" w:lineRule="auto"/>
                    <w:ind w:left="95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9.0</w:t>
                  </w:r>
                </w:p>
              </w:tc>
            </w:tr>
            <w:tr w14:paraId="6CA7A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858" w:type="dxa"/>
                  <w:vMerge w:val="continue"/>
                  <w:tcBorders>
                    <w:top w:val="nil"/>
                    <w:bottom w:val="nil"/>
                  </w:tcBorders>
                  <w:vAlign w:val="top"/>
                </w:tcPr>
                <w:p w14:paraId="4E25BD13">
                  <w:pPr>
                    <w:rPr>
                      <w:rFonts w:ascii="Arial"/>
                      <w:sz w:val="21"/>
                    </w:rPr>
                  </w:pPr>
                </w:p>
              </w:tc>
              <w:tc>
                <w:tcPr>
                  <w:tcW w:w="1575" w:type="dxa"/>
                  <w:vAlign w:val="top"/>
                </w:tcPr>
                <w:p w14:paraId="1DA82E55">
                  <w:pPr>
                    <w:pStyle w:val="6"/>
                    <w:spacing w:before="71" w:line="228" w:lineRule="auto"/>
                    <w:ind w:left="581"/>
                  </w:pPr>
                  <w:r>
                    <w:rPr>
                      <w:spacing w:val="5"/>
                    </w:rPr>
                    <w:t>废水</w:t>
                  </w:r>
                </w:p>
              </w:tc>
              <w:tc>
                <w:tcPr>
                  <w:tcW w:w="3682" w:type="dxa"/>
                  <w:vAlign w:val="top"/>
                </w:tcPr>
                <w:p w14:paraId="17D7D236">
                  <w:pPr>
                    <w:pStyle w:val="6"/>
                    <w:spacing w:before="71" w:line="228" w:lineRule="auto"/>
                    <w:ind w:left="388"/>
                  </w:pPr>
                  <w:r>
                    <w:rPr>
                      <w:spacing w:val="8"/>
                    </w:rPr>
                    <w:t>临时沉淀池、废水收集桶、旱厕</w:t>
                  </w:r>
                </w:p>
              </w:tc>
              <w:tc>
                <w:tcPr>
                  <w:tcW w:w="2158" w:type="dxa"/>
                  <w:vAlign w:val="top"/>
                </w:tcPr>
                <w:p w14:paraId="3DE3BCD5">
                  <w:pPr>
                    <w:spacing w:before="107" w:line="195" w:lineRule="auto"/>
                    <w:ind w:left="95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tc>
            </w:tr>
            <w:tr w14:paraId="1CE9B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858" w:type="dxa"/>
                  <w:vMerge w:val="continue"/>
                  <w:tcBorders>
                    <w:top w:val="nil"/>
                    <w:bottom w:val="nil"/>
                  </w:tcBorders>
                  <w:vAlign w:val="top"/>
                </w:tcPr>
                <w:p w14:paraId="2B9E3871">
                  <w:pPr>
                    <w:rPr>
                      <w:rFonts w:ascii="Arial"/>
                      <w:sz w:val="21"/>
                    </w:rPr>
                  </w:pPr>
                </w:p>
              </w:tc>
              <w:tc>
                <w:tcPr>
                  <w:tcW w:w="1575" w:type="dxa"/>
                  <w:vAlign w:val="top"/>
                </w:tcPr>
                <w:p w14:paraId="06CC069D">
                  <w:pPr>
                    <w:pStyle w:val="6"/>
                    <w:spacing w:before="62" w:line="228" w:lineRule="auto"/>
                    <w:ind w:left="388"/>
                  </w:pPr>
                  <w:r>
                    <w:rPr>
                      <w:spacing w:val="2"/>
                    </w:rPr>
                    <w:t>固废处理</w:t>
                  </w:r>
                </w:p>
              </w:tc>
              <w:tc>
                <w:tcPr>
                  <w:tcW w:w="3682" w:type="dxa"/>
                  <w:vAlign w:val="top"/>
                </w:tcPr>
                <w:p w14:paraId="4D738198">
                  <w:pPr>
                    <w:pStyle w:val="6"/>
                    <w:spacing w:before="62" w:line="228" w:lineRule="auto"/>
                    <w:ind w:left="694"/>
                  </w:pPr>
                  <w:r>
                    <w:rPr>
                      <w:spacing w:val="8"/>
                    </w:rPr>
                    <w:t>建筑垃圾、生活垃圾清运</w:t>
                  </w:r>
                </w:p>
              </w:tc>
              <w:tc>
                <w:tcPr>
                  <w:tcW w:w="2158" w:type="dxa"/>
                  <w:vAlign w:val="top"/>
                </w:tcPr>
                <w:p w14:paraId="6C191933">
                  <w:pPr>
                    <w:spacing w:before="100" w:line="195" w:lineRule="auto"/>
                    <w:ind w:left="92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11.0</w:t>
                  </w:r>
                </w:p>
              </w:tc>
            </w:tr>
            <w:tr w14:paraId="1B520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858" w:type="dxa"/>
                  <w:vMerge w:val="continue"/>
                  <w:tcBorders>
                    <w:top w:val="nil"/>
                    <w:bottom w:val="nil"/>
                  </w:tcBorders>
                  <w:vAlign w:val="top"/>
                </w:tcPr>
                <w:p w14:paraId="2212AE6A">
                  <w:pPr>
                    <w:rPr>
                      <w:rFonts w:ascii="Arial"/>
                      <w:sz w:val="21"/>
                    </w:rPr>
                  </w:pPr>
                </w:p>
              </w:tc>
              <w:tc>
                <w:tcPr>
                  <w:tcW w:w="1575" w:type="dxa"/>
                  <w:vAlign w:val="top"/>
                </w:tcPr>
                <w:p w14:paraId="6DFC29E6">
                  <w:pPr>
                    <w:pStyle w:val="6"/>
                    <w:spacing w:before="63" w:line="228" w:lineRule="auto"/>
                    <w:ind w:left="591"/>
                  </w:pPr>
                  <w:r>
                    <w:rPr>
                      <w:spacing w:val="-1"/>
                    </w:rPr>
                    <w:t>噪声</w:t>
                  </w:r>
                </w:p>
              </w:tc>
              <w:tc>
                <w:tcPr>
                  <w:tcW w:w="3682" w:type="dxa"/>
                  <w:vAlign w:val="top"/>
                </w:tcPr>
                <w:p w14:paraId="60D3AC1B">
                  <w:pPr>
                    <w:pStyle w:val="6"/>
                    <w:spacing w:before="62" w:line="228" w:lineRule="auto"/>
                    <w:ind w:left="1425"/>
                  </w:pPr>
                  <w:r>
                    <w:rPr>
                      <w:spacing w:val="7"/>
                    </w:rPr>
                    <w:t>施工围挡</w:t>
                  </w:r>
                </w:p>
              </w:tc>
              <w:tc>
                <w:tcPr>
                  <w:tcW w:w="2158" w:type="dxa"/>
                  <w:vAlign w:val="top"/>
                </w:tcPr>
                <w:p w14:paraId="4079F072">
                  <w:pPr>
                    <w:spacing w:before="101" w:line="195" w:lineRule="auto"/>
                    <w:ind w:left="955"/>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r>
            <w:tr w14:paraId="566EF9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858" w:type="dxa"/>
                  <w:vMerge w:val="continue"/>
                  <w:tcBorders>
                    <w:top w:val="nil"/>
                    <w:bottom w:val="nil"/>
                  </w:tcBorders>
                  <w:vAlign w:val="top"/>
                </w:tcPr>
                <w:p w14:paraId="4E2C9314">
                  <w:pPr>
                    <w:rPr>
                      <w:rFonts w:ascii="Arial"/>
                      <w:sz w:val="21"/>
                    </w:rPr>
                  </w:pPr>
                </w:p>
              </w:tc>
              <w:tc>
                <w:tcPr>
                  <w:tcW w:w="1575" w:type="dxa"/>
                  <w:vAlign w:val="top"/>
                </w:tcPr>
                <w:p w14:paraId="67F021BC">
                  <w:pPr>
                    <w:pStyle w:val="6"/>
                    <w:spacing w:before="231" w:line="228" w:lineRule="auto"/>
                    <w:ind w:left="373"/>
                  </w:pPr>
                  <w:r>
                    <w:rPr>
                      <w:spacing w:val="6"/>
                    </w:rPr>
                    <w:t>水土保持</w:t>
                  </w:r>
                </w:p>
              </w:tc>
              <w:tc>
                <w:tcPr>
                  <w:tcW w:w="3682" w:type="dxa"/>
                  <w:vAlign w:val="top"/>
                </w:tcPr>
                <w:p w14:paraId="0E08E84E">
                  <w:pPr>
                    <w:pStyle w:val="6"/>
                    <w:spacing w:before="94" w:line="228" w:lineRule="auto"/>
                    <w:ind w:right="2"/>
                    <w:jc w:val="right"/>
                  </w:pPr>
                  <w:r>
                    <w:rPr>
                      <w:spacing w:val="8"/>
                    </w:rPr>
                    <w:t>陡坡塔基、施工场地设置的浆砌石挡 土</w:t>
                  </w:r>
                </w:p>
                <w:p w14:paraId="7693912A">
                  <w:pPr>
                    <w:pStyle w:val="6"/>
                    <w:spacing w:before="24" w:line="228" w:lineRule="auto"/>
                    <w:ind w:left="1006"/>
                  </w:pPr>
                  <w:r>
                    <w:rPr>
                      <w:spacing w:val="8"/>
                    </w:rPr>
                    <w:t>墙、护坡、排水沟</w:t>
                  </w:r>
                </w:p>
              </w:tc>
              <w:tc>
                <w:tcPr>
                  <w:tcW w:w="2158" w:type="dxa"/>
                  <w:vAlign w:val="top"/>
                </w:tcPr>
                <w:p w14:paraId="15159A26">
                  <w:pPr>
                    <w:pStyle w:val="6"/>
                    <w:spacing w:before="231" w:line="228" w:lineRule="auto"/>
                    <w:ind w:left="139"/>
                  </w:pPr>
                  <w:r>
                    <w:rPr>
                      <w:spacing w:val="8"/>
                    </w:rPr>
                    <w:t>计入水土保持工程费</w:t>
                  </w:r>
                </w:p>
              </w:tc>
            </w:tr>
            <w:tr w14:paraId="6692D4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858" w:type="dxa"/>
                  <w:vMerge w:val="continue"/>
                  <w:tcBorders>
                    <w:top w:val="nil"/>
                  </w:tcBorders>
                  <w:vAlign w:val="top"/>
                </w:tcPr>
                <w:p w14:paraId="71B25A81">
                  <w:pPr>
                    <w:rPr>
                      <w:rFonts w:ascii="Arial"/>
                      <w:sz w:val="21"/>
                    </w:rPr>
                  </w:pPr>
                </w:p>
              </w:tc>
              <w:tc>
                <w:tcPr>
                  <w:tcW w:w="1575" w:type="dxa"/>
                  <w:vAlign w:val="top"/>
                </w:tcPr>
                <w:p w14:paraId="7113D826">
                  <w:pPr>
                    <w:pStyle w:val="6"/>
                    <w:spacing w:before="64" w:line="228" w:lineRule="auto"/>
                    <w:ind w:left="371"/>
                  </w:pPr>
                  <w:r>
                    <w:rPr>
                      <w:spacing w:val="7"/>
                    </w:rPr>
                    <w:t>植被恢复</w:t>
                  </w:r>
                </w:p>
              </w:tc>
              <w:tc>
                <w:tcPr>
                  <w:tcW w:w="3682" w:type="dxa"/>
                  <w:vAlign w:val="top"/>
                </w:tcPr>
                <w:p w14:paraId="1D3756C6">
                  <w:pPr>
                    <w:pStyle w:val="6"/>
                    <w:spacing w:before="64" w:line="228" w:lineRule="auto"/>
                    <w:ind w:left="808"/>
                  </w:pPr>
                  <w:r>
                    <w:rPr>
                      <w:spacing w:val="7"/>
                    </w:rPr>
                    <w:t>临时占地植被恢复费用</w:t>
                  </w:r>
                </w:p>
              </w:tc>
              <w:tc>
                <w:tcPr>
                  <w:tcW w:w="2158" w:type="dxa"/>
                  <w:vAlign w:val="top"/>
                </w:tcPr>
                <w:p w14:paraId="278C2D27">
                  <w:pPr>
                    <w:pStyle w:val="6"/>
                    <w:spacing w:before="64" w:line="228" w:lineRule="auto"/>
                    <w:ind w:left="139"/>
                  </w:pPr>
                  <w:r>
                    <w:rPr>
                      <w:spacing w:val="8"/>
                    </w:rPr>
                    <w:t>计入水土保持工程费</w:t>
                  </w:r>
                </w:p>
              </w:tc>
            </w:tr>
            <w:tr w14:paraId="0258C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58" w:type="dxa"/>
                  <w:vMerge w:val="restart"/>
                  <w:tcBorders>
                    <w:bottom w:val="nil"/>
                  </w:tcBorders>
                  <w:vAlign w:val="top"/>
                </w:tcPr>
                <w:p w14:paraId="0152E953">
                  <w:pPr>
                    <w:spacing w:line="245" w:lineRule="auto"/>
                    <w:rPr>
                      <w:rFonts w:ascii="Arial"/>
                      <w:sz w:val="21"/>
                    </w:rPr>
                  </w:pPr>
                </w:p>
                <w:p w14:paraId="10BD0C69">
                  <w:pPr>
                    <w:spacing w:line="245" w:lineRule="auto"/>
                    <w:rPr>
                      <w:rFonts w:ascii="Arial"/>
                      <w:sz w:val="21"/>
                    </w:rPr>
                  </w:pPr>
                </w:p>
                <w:p w14:paraId="5C7FAFCE">
                  <w:pPr>
                    <w:spacing w:line="245" w:lineRule="auto"/>
                    <w:rPr>
                      <w:rFonts w:ascii="Arial"/>
                      <w:sz w:val="21"/>
                    </w:rPr>
                  </w:pPr>
                </w:p>
                <w:p w14:paraId="684180D2">
                  <w:pPr>
                    <w:spacing w:line="245" w:lineRule="auto"/>
                    <w:rPr>
                      <w:rFonts w:ascii="Arial"/>
                      <w:sz w:val="21"/>
                    </w:rPr>
                  </w:pPr>
                </w:p>
                <w:p w14:paraId="67610206">
                  <w:pPr>
                    <w:spacing w:line="245" w:lineRule="auto"/>
                    <w:rPr>
                      <w:rFonts w:ascii="Arial"/>
                      <w:sz w:val="21"/>
                    </w:rPr>
                  </w:pPr>
                </w:p>
                <w:p w14:paraId="49BDE890">
                  <w:pPr>
                    <w:pStyle w:val="6"/>
                    <w:spacing w:before="65" w:line="228" w:lineRule="auto"/>
                    <w:ind w:left="117"/>
                  </w:pPr>
                  <w:r>
                    <w:rPr>
                      <w:spacing w:val="6"/>
                    </w:rPr>
                    <w:t>运营期</w:t>
                  </w:r>
                </w:p>
              </w:tc>
              <w:tc>
                <w:tcPr>
                  <w:tcW w:w="1575" w:type="dxa"/>
                  <w:vAlign w:val="top"/>
                </w:tcPr>
                <w:p w14:paraId="43146D55">
                  <w:pPr>
                    <w:pStyle w:val="6"/>
                    <w:spacing w:before="64" w:line="228" w:lineRule="auto"/>
                    <w:ind w:left="186"/>
                  </w:pPr>
                  <w:r>
                    <w:rPr>
                      <w:spacing w:val="4"/>
                    </w:rPr>
                    <w:t>电磁环境防护</w:t>
                  </w:r>
                </w:p>
              </w:tc>
              <w:tc>
                <w:tcPr>
                  <w:tcW w:w="3682" w:type="dxa"/>
                  <w:vAlign w:val="top"/>
                </w:tcPr>
                <w:p w14:paraId="36919806">
                  <w:pPr>
                    <w:pStyle w:val="6"/>
                    <w:spacing w:before="63" w:line="228" w:lineRule="auto"/>
                    <w:ind w:left="275"/>
                  </w:pPr>
                  <w:r>
                    <w:rPr>
                      <w:spacing w:val="6"/>
                    </w:rPr>
                    <w:t>安全警示牌、</w:t>
                  </w:r>
                  <w:r>
                    <w:rPr>
                      <w:spacing w:val="-55"/>
                    </w:rPr>
                    <w:t xml:space="preserve"> </w:t>
                  </w:r>
                  <w:r>
                    <w:rPr>
                      <w:spacing w:val="6"/>
                    </w:rPr>
                    <w:t>电力设施保护标识牌</w:t>
                  </w:r>
                </w:p>
              </w:tc>
              <w:tc>
                <w:tcPr>
                  <w:tcW w:w="2158" w:type="dxa"/>
                  <w:vAlign w:val="top"/>
                </w:tcPr>
                <w:p w14:paraId="1A4888FD">
                  <w:pPr>
                    <w:spacing w:before="100" w:line="195" w:lineRule="auto"/>
                    <w:ind w:left="955"/>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r>
            <w:tr w14:paraId="4DD12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858" w:type="dxa"/>
                  <w:vMerge w:val="continue"/>
                  <w:tcBorders>
                    <w:top w:val="nil"/>
                    <w:bottom w:val="nil"/>
                  </w:tcBorders>
                  <w:vAlign w:val="top"/>
                </w:tcPr>
                <w:p w14:paraId="0BBE776B">
                  <w:pPr>
                    <w:rPr>
                      <w:rFonts w:ascii="Arial"/>
                      <w:sz w:val="21"/>
                    </w:rPr>
                  </w:pPr>
                </w:p>
              </w:tc>
              <w:tc>
                <w:tcPr>
                  <w:tcW w:w="1575" w:type="dxa"/>
                  <w:vAlign w:val="top"/>
                </w:tcPr>
                <w:p w14:paraId="4A54BB8E">
                  <w:pPr>
                    <w:pStyle w:val="6"/>
                    <w:spacing w:before="164" w:line="228" w:lineRule="auto"/>
                    <w:ind w:left="163"/>
                  </w:pPr>
                  <w:r>
                    <w:rPr>
                      <w:spacing w:val="7"/>
                    </w:rPr>
                    <w:t>生活污水处理</w:t>
                  </w:r>
                </w:p>
              </w:tc>
              <w:tc>
                <w:tcPr>
                  <w:tcW w:w="3682" w:type="dxa"/>
                  <w:vAlign w:val="top"/>
                </w:tcPr>
                <w:p w14:paraId="2153602C">
                  <w:pPr>
                    <w:pStyle w:val="6"/>
                    <w:spacing w:before="31" w:line="218" w:lineRule="auto"/>
                    <w:jc w:val="right"/>
                  </w:pPr>
                  <w:r>
                    <w:rPr>
                      <w:spacing w:val="-3"/>
                    </w:rPr>
                    <w:t>化粪池（</w:t>
                  </w:r>
                  <w:r>
                    <w:rPr>
                      <w:rFonts w:ascii="Times New Roman" w:hAnsi="Times New Roman" w:eastAsia="Times New Roman" w:cs="Times New Roman"/>
                      <w:spacing w:val="-3"/>
                    </w:rPr>
                    <w:t>2m</w:t>
                  </w:r>
                  <w:r>
                    <w:rPr>
                      <w:rFonts w:ascii="Times New Roman" w:hAnsi="Times New Roman" w:eastAsia="Times New Roman" w:cs="Times New Roman"/>
                      <w:spacing w:val="-3"/>
                      <w:position w:val="1"/>
                      <w:sz w:val="13"/>
                      <w:szCs w:val="13"/>
                    </w:rPr>
                    <w:t>3</w:t>
                  </w:r>
                  <w:r>
                    <w:rPr>
                      <w:spacing w:val="-3"/>
                      <w:position w:val="1"/>
                    </w:rPr>
                    <w:t>）</w:t>
                  </w:r>
                  <w:r>
                    <w:rPr>
                      <w:spacing w:val="-3"/>
                    </w:rPr>
                    <w:t>、一体化污水处理设施（处</w:t>
                  </w:r>
                </w:p>
                <w:p w14:paraId="3BE34E13">
                  <w:pPr>
                    <w:pStyle w:val="6"/>
                    <w:spacing w:before="26" w:line="203" w:lineRule="auto"/>
                    <w:ind w:left="363"/>
                  </w:pPr>
                  <w:r>
                    <w:rPr>
                      <w:spacing w:val="5"/>
                    </w:rPr>
                    <w:t>理能力</w:t>
                  </w:r>
                  <w:r>
                    <w:rPr>
                      <w:spacing w:val="-25"/>
                    </w:rPr>
                    <w:t xml:space="preserve"> </w:t>
                  </w:r>
                  <w:r>
                    <w:rPr>
                      <w:rFonts w:ascii="Times New Roman" w:hAnsi="Times New Roman" w:eastAsia="Times New Roman" w:cs="Times New Roman"/>
                      <w:spacing w:val="5"/>
                    </w:rPr>
                    <w:t>0.5t/h</w:t>
                  </w:r>
                  <w:r>
                    <w:rPr>
                      <w:spacing w:val="5"/>
                    </w:rPr>
                    <w:t>）、中水池（</w:t>
                  </w:r>
                  <w:r>
                    <w:rPr>
                      <w:rFonts w:ascii="Times New Roman" w:hAnsi="Times New Roman" w:eastAsia="Times New Roman" w:cs="Times New Roman"/>
                      <w:spacing w:val="5"/>
                    </w:rPr>
                    <w:t>5m</w:t>
                  </w:r>
                  <w:r>
                    <w:rPr>
                      <w:rFonts w:ascii="Times New Roman" w:hAnsi="Times New Roman" w:eastAsia="Times New Roman" w:cs="Times New Roman"/>
                      <w:spacing w:val="5"/>
                      <w:position w:val="1"/>
                      <w:sz w:val="13"/>
                      <w:szCs w:val="13"/>
                    </w:rPr>
                    <w:t>3</w:t>
                  </w:r>
                  <w:r>
                    <w:rPr>
                      <w:spacing w:val="5"/>
                      <w:position w:val="1"/>
                    </w:rPr>
                    <w:t>）</w:t>
                  </w:r>
                </w:p>
              </w:tc>
              <w:tc>
                <w:tcPr>
                  <w:tcW w:w="2158" w:type="dxa"/>
                  <w:vAlign w:val="top"/>
                </w:tcPr>
                <w:p w14:paraId="5E4F7987">
                  <w:pPr>
                    <w:spacing w:before="203" w:line="195" w:lineRule="auto"/>
                    <w:ind w:left="8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20.0</w:t>
                  </w:r>
                </w:p>
              </w:tc>
            </w:tr>
            <w:tr w14:paraId="6363EB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858" w:type="dxa"/>
                  <w:vMerge w:val="continue"/>
                  <w:tcBorders>
                    <w:top w:val="nil"/>
                    <w:bottom w:val="nil"/>
                  </w:tcBorders>
                  <w:vAlign w:val="top"/>
                </w:tcPr>
                <w:p w14:paraId="71E4F5C9">
                  <w:pPr>
                    <w:rPr>
                      <w:rFonts w:ascii="Arial"/>
                      <w:sz w:val="21"/>
                    </w:rPr>
                  </w:pPr>
                </w:p>
              </w:tc>
              <w:tc>
                <w:tcPr>
                  <w:tcW w:w="1575" w:type="dxa"/>
                  <w:vAlign w:val="top"/>
                </w:tcPr>
                <w:p w14:paraId="0428B151">
                  <w:pPr>
                    <w:pStyle w:val="6"/>
                    <w:spacing w:before="65" w:line="228" w:lineRule="auto"/>
                    <w:ind w:left="599"/>
                  </w:pPr>
                  <w:r>
                    <w:rPr>
                      <w:spacing w:val="-5"/>
                    </w:rPr>
                    <w:t>固废</w:t>
                  </w:r>
                </w:p>
              </w:tc>
              <w:tc>
                <w:tcPr>
                  <w:tcW w:w="3682" w:type="dxa"/>
                  <w:vAlign w:val="top"/>
                </w:tcPr>
                <w:p w14:paraId="27CE804C">
                  <w:pPr>
                    <w:pStyle w:val="6"/>
                    <w:spacing w:before="64" w:line="227" w:lineRule="auto"/>
                    <w:ind w:left="235"/>
                  </w:pPr>
                  <w:r>
                    <w:rPr>
                      <w:spacing w:val="5"/>
                    </w:rPr>
                    <w:t>危废暂存间</w:t>
                  </w:r>
                  <w:r>
                    <w:rPr>
                      <w:spacing w:val="-18"/>
                    </w:rPr>
                    <w:t xml:space="preserve"> </w:t>
                  </w:r>
                  <w:r>
                    <w:rPr>
                      <w:rFonts w:ascii="Times New Roman" w:hAnsi="Times New Roman" w:eastAsia="Times New Roman" w:cs="Times New Roman"/>
                      <w:spacing w:val="5"/>
                    </w:rPr>
                    <w:t>14m</w:t>
                  </w:r>
                  <w:r>
                    <w:rPr>
                      <w:rFonts w:ascii="Times New Roman" w:hAnsi="Times New Roman" w:eastAsia="Times New Roman" w:cs="Times New Roman"/>
                      <w:spacing w:val="5"/>
                      <w:position w:val="6"/>
                      <w:sz w:val="13"/>
                      <w:szCs w:val="13"/>
                    </w:rPr>
                    <w:t>2</w:t>
                  </w:r>
                  <w:r>
                    <w:rPr>
                      <w:rFonts w:ascii="Times New Roman" w:hAnsi="Times New Roman" w:eastAsia="Times New Roman" w:cs="Times New Roman"/>
                      <w:spacing w:val="-11"/>
                      <w:position w:val="6"/>
                      <w:sz w:val="13"/>
                      <w:szCs w:val="13"/>
                    </w:rPr>
                    <w:t xml:space="preserve"> </w:t>
                  </w:r>
                  <w:r>
                    <w:rPr>
                      <w:spacing w:val="5"/>
                    </w:rPr>
                    <w:t>、生活垃圾桶若干</w:t>
                  </w:r>
                </w:p>
              </w:tc>
              <w:tc>
                <w:tcPr>
                  <w:tcW w:w="2158" w:type="dxa"/>
                  <w:vAlign w:val="top"/>
                </w:tcPr>
                <w:p w14:paraId="3FC276EA">
                  <w:pPr>
                    <w:spacing w:before="100" w:line="195" w:lineRule="auto"/>
                    <w:ind w:left="957"/>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tc>
            </w:tr>
            <w:tr w14:paraId="0EDE7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858" w:type="dxa"/>
                  <w:vMerge w:val="continue"/>
                  <w:tcBorders>
                    <w:top w:val="nil"/>
                    <w:bottom w:val="nil"/>
                  </w:tcBorders>
                  <w:vAlign w:val="top"/>
                </w:tcPr>
                <w:p w14:paraId="7DE70126">
                  <w:pPr>
                    <w:rPr>
                      <w:rFonts w:ascii="Arial"/>
                      <w:sz w:val="21"/>
                    </w:rPr>
                  </w:pPr>
                </w:p>
              </w:tc>
              <w:tc>
                <w:tcPr>
                  <w:tcW w:w="1575" w:type="dxa"/>
                  <w:vAlign w:val="top"/>
                </w:tcPr>
                <w:p w14:paraId="147E178D">
                  <w:pPr>
                    <w:pStyle w:val="6"/>
                    <w:spacing w:before="165" w:line="228" w:lineRule="auto"/>
                    <w:ind w:left="370"/>
                  </w:pPr>
                  <w:r>
                    <w:rPr>
                      <w:spacing w:val="7"/>
                    </w:rPr>
                    <w:t>环境风险</w:t>
                  </w:r>
                </w:p>
              </w:tc>
              <w:tc>
                <w:tcPr>
                  <w:tcW w:w="3682" w:type="dxa"/>
                  <w:vAlign w:val="top"/>
                </w:tcPr>
                <w:p w14:paraId="34EA9664">
                  <w:pPr>
                    <w:pStyle w:val="6"/>
                    <w:spacing w:before="31" w:line="218" w:lineRule="auto"/>
                    <w:jc w:val="right"/>
                  </w:pPr>
                  <w:r>
                    <w:rPr>
                      <w:spacing w:val="-1"/>
                    </w:rPr>
                    <w:t>事故油池（有效容积</w:t>
                  </w:r>
                  <w:r>
                    <w:rPr>
                      <w:spacing w:val="-30"/>
                    </w:rPr>
                    <w:t xml:space="preserve"> </w:t>
                  </w:r>
                  <w:r>
                    <w:rPr>
                      <w:rFonts w:ascii="Times New Roman" w:hAnsi="Times New Roman" w:eastAsia="Times New Roman" w:cs="Times New Roman"/>
                      <w:spacing w:val="-1"/>
                    </w:rPr>
                    <w:t>30m</w:t>
                  </w:r>
                  <w:r>
                    <w:rPr>
                      <w:rFonts w:ascii="Times New Roman" w:hAnsi="Times New Roman" w:eastAsia="Times New Roman" w:cs="Times New Roman"/>
                      <w:spacing w:val="-1"/>
                      <w:position w:val="1"/>
                      <w:sz w:val="13"/>
                      <w:szCs w:val="13"/>
                    </w:rPr>
                    <w:t>3</w:t>
                  </w:r>
                  <w:r>
                    <w:rPr>
                      <w:spacing w:val="-1"/>
                      <w:position w:val="1"/>
                    </w:rPr>
                    <w:t>）</w:t>
                  </w:r>
                  <w:r>
                    <w:rPr>
                      <w:spacing w:val="-1"/>
                    </w:rPr>
                    <w:t>、集油坑（有</w:t>
                  </w:r>
                </w:p>
                <w:p w14:paraId="662667E4">
                  <w:pPr>
                    <w:pStyle w:val="6"/>
                    <w:spacing w:before="24" w:line="213" w:lineRule="auto"/>
                    <w:ind w:left="1183"/>
                  </w:pPr>
                  <w:r>
                    <w:rPr>
                      <w:spacing w:val="1"/>
                    </w:rPr>
                    <w:t>效容积</w:t>
                  </w:r>
                  <w:r>
                    <w:rPr>
                      <w:spacing w:val="-19"/>
                    </w:rPr>
                    <w:t xml:space="preserve"> </w:t>
                  </w:r>
                  <w:r>
                    <w:rPr>
                      <w:rFonts w:ascii="Times New Roman" w:hAnsi="Times New Roman" w:eastAsia="Times New Roman" w:cs="Times New Roman"/>
                      <w:spacing w:val="1"/>
                    </w:rPr>
                    <w:t>19m</w:t>
                  </w:r>
                  <w:r>
                    <w:rPr>
                      <w:rFonts w:ascii="Times New Roman" w:hAnsi="Times New Roman" w:eastAsia="Times New Roman" w:cs="Times New Roman"/>
                      <w:spacing w:val="1"/>
                      <w:sz w:val="13"/>
                      <w:szCs w:val="13"/>
                    </w:rPr>
                    <w:t>3</w:t>
                  </w:r>
                  <w:r>
                    <w:rPr>
                      <w:spacing w:val="1"/>
                    </w:rPr>
                    <w:t>）</w:t>
                  </w:r>
                </w:p>
              </w:tc>
              <w:tc>
                <w:tcPr>
                  <w:tcW w:w="2158" w:type="dxa"/>
                  <w:vAlign w:val="top"/>
                </w:tcPr>
                <w:p w14:paraId="294768A4">
                  <w:pPr>
                    <w:spacing w:before="203" w:line="195" w:lineRule="auto"/>
                    <w:ind w:left="89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20.0</w:t>
                  </w:r>
                </w:p>
              </w:tc>
            </w:tr>
            <w:tr w14:paraId="780B8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58" w:type="dxa"/>
                  <w:vMerge w:val="continue"/>
                  <w:tcBorders>
                    <w:top w:val="nil"/>
                    <w:bottom w:val="nil"/>
                  </w:tcBorders>
                  <w:vAlign w:val="top"/>
                </w:tcPr>
                <w:p w14:paraId="278DD9D5">
                  <w:pPr>
                    <w:rPr>
                      <w:rFonts w:ascii="Arial"/>
                      <w:sz w:val="21"/>
                    </w:rPr>
                  </w:pPr>
                </w:p>
              </w:tc>
              <w:tc>
                <w:tcPr>
                  <w:tcW w:w="1575" w:type="dxa"/>
                  <w:vAlign w:val="top"/>
                </w:tcPr>
                <w:p w14:paraId="184C8597">
                  <w:pPr>
                    <w:pStyle w:val="6"/>
                    <w:spacing w:before="66" w:line="228" w:lineRule="auto"/>
                    <w:ind w:left="372"/>
                  </w:pPr>
                  <w:r>
                    <w:rPr>
                      <w:spacing w:val="6"/>
                    </w:rPr>
                    <w:t>生态保护</w:t>
                  </w:r>
                </w:p>
              </w:tc>
              <w:tc>
                <w:tcPr>
                  <w:tcW w:w="3682" w:type="dxa"/>
                  <w:vAlign w:val="top"/>
                </w:tcPr>
                <w:p w14:paraId="3CAA12CE">
                  <w:pPr>
                    <w:pStyle w:val="6"/>
                    <w:spacing w:before="65" w:line="228" w:lineRule="auto"/>
                    <w:ind w:left="166"/>
                  </w:pPr>
                  <w:r>
                    <w:rPr>
                      <w:spacing w:val="9"/>
                    </w:rPr>
                    <w:t>包括野生动、植物保护、监督管理费</w:t>
                  </w:r>
                </w:p>
              </w:tc>
              <w:tc>
                <w:tcPr>
                  <w:tcW w:w="2158" w:type="dxa"/>
                  <w:vAlign w:val="top"/>
                </w:tcPr>
                <w:p w14:paraId="3CB78362">
                  <w:pPr>
                    <w:spacing w:before="102" w:line="195" w:lineRule="auto"/>
                    <w:ind w:left="103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r>
            <w:tr w14:paraId="099F2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58" w:type="dxa"/>
                  <w:vMerge w:val="continue"/>
                  <w:tcBorders>
                    <w:top w:val="nil"/>
                  </w:tcBorders>
                  <w:vAlign w:val="top"/>
                </w:tcPr>
                <w:p w14:paraId="618871B9">
                  <w:pPr>
                    <w:rPr>
                      <w:rFonts w:ascii="Arial"/>
                      <w:sz w:val="21"/>
                    </w:rPr>
                  </w:pPr>
                </w:p>
              </w:tc>
              <w:tc>
                <w:tcPr>
                  <w:tcW w:w="1575" w:type="dxa"/>
                  <w:vAlign w:val="top"/>
                </w:tcPr>
                <w:p w14:paraId="5E9CB741">
                  <w:pPr>
                    <w:pStyle w:val="6"/>
                    <w:spacing w:before="98" w:line="254" w:lineRule="auto"/>
                    <w:ind w:left="581" w:right="158" w:hanging="420"/>
                  </w:pPr>
                  <w:r>
                    <w:rPr>
                      <w:spacing w:val="8"/>
                    </w:rPr>
                    <w:t>环境保护宣传</w:t>
                  </w:r>
                  <w:r>
                    <w:rPr>
                      <w:spacing w:val="4"/>
                    </w:rPr>
                    <w:t>培训</w:t>
                  </w:r>
                </w:p>
              </w:tc>
              <w:tc>
                <w:tcPr>
                  <w:tcW w:w="3682" w:type="dxa"/>
                  <w:vAlign w:val="top"/>
                </w:tcPr>
                <w:p w14:paraId="54A4D0AA">
                  <w:pPr>
                    <w:pStyle w:val="6"/>
                    <w:spacing w:before="97" w:line="227" w:lineRule="auto"/>
                    <w:ind w:left="10"/>
                  </w:pPr>
                  <w:r>
                    <w:rPr>
                      <w:spacing w:val="8"/>
                    </w:rPr>
                    <w:t>相关法律法规、保护措施的宣传培 训、</w:t>
                  </w:r>
                </w:p>
                <w:p w14:paraId="5627AD32">
                  <w:pPr>
                    <w:pStyle w:val="6"/>
                    <w:spacing w:before="27" w:line="227" w:lineRule="auto"/>
                    <w:ind w:left="1115"/>
                  </w:pPr>
                  <w:r>
                    <w:rPr>
                      <w:spacing w:val="8"/>
                    </w:rPr>
                    <w:t>警示牌、宣传牌</w:t>
                  </w:r>
                </w:p>
              </w:tc>
              <w:tc>
                <w:tcPr>
                  <w:tcW w:w="2158" w:type="dxa"/>
                  <w:vAlign w:val="top"/>
                </w:tcPr>
                <w:p w14:paraId="3F0D7658">
                  <w:pPr>
                    <w:spacing w:before="270" w:line="195" w:lineRule="auto"/>
                    <w:ind w:left="955"/>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tc>
            </w:tr>
            <w:tr w14:paraId="7F682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58" w:type="dxa"/>
                  <w:vMerge w:val="restart"/>
                  <w:tcBorders>
                    <w:bottom w:val="nil"/>
                  </w:tcBorders>
                  <w:vAlign w:val="top"/>
                </w:tcPr>
                <w:p w14:paraId="15699601">
                  <w:pPr>
                    <w:pStyle w:val="6"/>
                    <w:spacing w:before="238" w:line="228" w:lineRule="auto"/>
                    <w:ind w:left="223"/>
                  </w:pPr>
                  <w:r>
                    <w:rPr>
                      <w:spacing w:val="4"/>
                    </w:rPr>
                    <w:t>其他</w:t>
                  </w:r>
                </w:p>
              </w:tc>
              <w:tc>
                <w:tcPr>
                  <w:tcW w:w="5257" w:type="dxa"/>
                  <w:gridSpan w:val="2"/>
                  <w:vAlign w:val="top"/>
                </w:tcPr>
                <w:p w14:paraId="3DDD1023">
                  <w:pPr>
                    <w:pStyle w:val="6"/>
                    <w:spacing w:before="65" w:line="228" w:lineRule="auto"/>
                    <w:ind w:left="2108"/>
                  </w:pPr>
                  <w:r>
                    <w:rPr>
                      <w:spacing w:val="8"/>
                    </w:rPr>
                    <w:t>环评、验收</w:t>
                  </w:r>
                </w:p>
              </w:tc>
              <w:tc>
                <w:tcPr>
                  <w:tcW w:w="2158" w:type="dxa"/>
                  <w:vAlign w:val="top"/>
                </w:tcPr>
                <w:p w14:paraId="737EC601">
                  <w:pPr>
                    <w:spacing w:before="103" w:line="195" w:lineRule="auto"/>
                    <w:ind w:left="89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40.0</w:t>
                  </w:r>
                </w:p>
              </w:tc>
            </w:tr>
            <w:tr w14:paraId="72784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858" w:type="dxa"/>
                  <w:vMerge w:val="continue"/>
                  <w:tcBorders>
                    <w:top w:val="nil"/>
                  </w:tcBorders>
                  <w:vAlign w:val="top"/>
                </w:tcPr>
                <w:p w14:paraId="361DE86C">
                  <w:pPr>
                    <w:rPr>
                      <w:rFonts w:ascii="Arial"/>
                      <w:sz w:val="21"/>
                    </w:rPr>
                  </w:pPr>
                </w:p>
              </w:tc>
              <w:tc>
                <w:tcPr>
                  <w:tcW w:w="5257" w:type="dxa"/>
                  <w:gridSpan w:val="2"/>
                  <w:vAlign w:val="top"/>
                </w:tcPr>
                <w:p w14:paraId="624828A7">
                  <w:pPr>
                    <w:pStyle w:val="6"/>
                    <w:spacing w:before="66" w:line="228" w:lineRule="auto"/>
                    <w:ind w:left="2002"/>
                  </w:pPr>
                  <w:r>
                    <w:rPr>
                      <w:spacing w:val="8"/>
                    </w:rPr>
                    <w:t>环保设施维护</w:t>
                  </w:r>
                </w:p>
              </w:tc>
              <w:tc>
                <w:tcPr>
                  <w:tcW w:w="2158" w:type="dxa"/>
                  <w:vAlign w:val="top"/>
                </w:tcPr>
                <w:p w14:paraId="0B553535">
                  <w:pPr>
                    <w:spacing w:before="104" w:line="195" w:lineRule="auto"/>
                    <w:ind w:left="91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r>
            <w:tr w14:paraId="3F823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2433" w:type="dxa"/>
                  <w:gridSpan w:val="2"/>
                  <w:vAlign w:val="top"/>
                </w:tcPr>
                <w:p w14:paraId="5B1EFD86">
                  <w:pPr>
                    <w:pStyle w:val="6"/>
                    <w:spacing w:before="68" w:line="229" w:lineRule="auto"/>
                    <w:ind w:left="1011"/>
                  </w:pPr>
                  <w:r>
                    <w:rPr>
                      <w:spacing w:val="4"/>
                    </w:rPr>
                    <w:t>合计</w:t>
                  </w:r>
                </w:p>
              </w:tc>
              <w:tc>
                <w:tcPr>
                  <w:tcW w:w="5840" w:type="dxa"/>
                  <w:gridSpan w:val="2"/>
                  <w:vAlign w:val="top"/>
                </w:tcPr>
                <w:p w14:paraId="1C3964E3">
                  <w:pPr>
                    <w:spacing w:before="104" w:line="195" w:lineRule="auto"/>
                    <w:ind w:left="278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136</w:t>
                  </w:r>
                </w:p>
              </w:tc>
            </w:tr>
          </w:tbl>
          <w:p w14:paraId="2411B0E9">
            <w:pPr>
              <w:rPr>
                <w:rFonts w:ascii="Arial"/>
                <w:sz w:val="21"/>
              </w:rPr>
            </w:pPr>
          </w:p>
        </w:tc>
      </w:tr>
    </w:tbl>
    <w:p w14:paraId="7AC8A444">
      <w:pPr>
        <w:rPr>
          <w:rFonts w:ascii="Arial"/>
          <w:sz w:val="21"/>
        </w:rPr>
      </w:pPr>
    </w:p>
    <w:p w14:paraId="1172FCDC">
      <w:pPr>
        <w:rPr>
          <w:rFonts w:ascii="Arial" w:hAnsi="Arial" w:eastAsia="Arial" w:cs="Arial"/>
          <w:sz w:val="21"/>
          <w:szCs w:val="21"/>
        </w:rPr>
        <w:sectPr>
          <w:footerReference r:id="rId142" w:type="default"/>
          <w:pgSz w:w="11907" w:h="16840"/>
          <w:pgMar w:top="400" w:right="1301" w:bottom="1240" w:left="1527" w:header="0" w:footer="1077" w:gutter="0"/>
          <w:cols w:space="720" w:num="1"/>
        </w:sectPr>
      </w:pPr>
    </w:p>
    <w:p w14:paraId="3F660476">
      <w:pPr>
        <w:spacing w:line="243" w:lineRule="auto"/>
        <w:rPr>
          <w:rFonts w:ascii="Arial"/>
          <w:sz w:val="21"/>
        </w:rPr>
      </w:pPr>
    </w:p>
    <w:p w14:paraId="06F7DBE4">
      <w:pPr>
        <w:spacing w:line="243" w:lineRule="auto"/>
        <w:rPr>
          <w:rFonts w:ascii="Arial"/>
          <w:sz w:val="21"/>
        </w:rPr>
      </w:pPr>
    </w:p>
    <w:p w14:paraId="667CD060">
      <w:pPr>
        <w:spacing w:line="244" w:lineRule="auto"/>
        <w:rPr>
          <w:rFonts w:ascii="Arial"/>
          <w:sz w:val="21"/>
        </w:rPr>
      </w:pPr>
    </w:p>
    <w:p w14:paraId="15CE165E">
      <w:pPr>
        <w:spacing w:line="244" w:lineRule="auto"/>
        <w:rPr>
          <w:rFonts w:ascii="Arial"/>
          <w:sz w:val="21"/>
        </w:rPr>
      </w:pPr>
    </w:p>
    <w:p w14:paraId="3BB14947">
      <w:pPr>
        <w:spacing w:line="244" w:lineRule="auto"/>
        <w:rPr>
          <w:rFonts w:ascii="Arial"/>
          <w:sz w:val="21"/>
        </w:rPr>
      </w:pPr>
    </w:p>
    <w:p w14:paraId="33FC2DD7">
      <w:pPr>
        <w:spacing w:line="244" w:lineRule="auto"/>
        <w:rPr>
          <w:rFonts w:ascii="Arial"/>
          <w:sz w:val="21"/>
        </w:rPr>
      </w:pPr>
    </w:p>
    <w:p w14:paraId="37BD4413">
      <w:pPr>
        <w:pStyle w:val="2"/>
        <w:spacing w:before="97" w:line="219" w:lineRule="auto"/>
        <w:ind w:left="4665"/>
        <w:rPr>
          <w:sz w:val="30"/>
          <w:szCs w:val="30"/>
        </w:rPr>
      </w:pPr>
      <w:r>
        <w:rPr>
          <w:b/>
          <w:bCs/>
          <w:spacing w:val="-3"/>
          <w:sz w:val="30"/>
          <w:szCs w:val="30"/>
        </w:rPr>
        <w:t>六、生态环境保护措施监督检查清单</w:t>
      </w:r>
    </w:p>
    <w:p w14:paraId="77A38061">
      <w:pPr>
        <w:spacing w:before="27"/>
      </w:pPr>
    </w:p>
    <w:tbl>
      <w:tblPr>
        <w:tblStyle w:val="5"/>
        <w:tblW w:w="1411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9"/>
        <w:gridCol w:w="5919"/>
        <w:gridCol w:w="1612"/>
        <w:gridCol w:w="3572"/>
        <w:gridCol w:w="1698"/>
      </w:tblGrid>
      <w:tr w14:paraId="4038C5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1309" w:type="dxa"/>
            <w:vMerge w:val="restart"/>
            <w:tcBorders>
              <w:top w:val="single" w:color="000000" w:sz="6" w:space="0"/>
              <w:left w:val="single" w:color="000000" w:sz="6" w:space="0"/>
              <w:bottom w:val="nil"/>
              <w:tl2br w:val="single" w:color="000000" w:sz="4" w:space="0"/>
            </w:tcBorders>
            <w:vAlign w:val="top"/>
          </w:tcPr>
          <w:p w14:paraId="45EE12A0">
            <w:pPr>
              <w:pStyle w:val="6"/>
              <w:spacing w:before="36" w:line="345" w:lineRule="auto"/>
              <w:ind w:left="111" w:right="183" w:firstLine="619"/>
            </w:pPr>
            <w:r>
              <w:rPr>
                <w:spacing w:val="-8"/>
              </w:rPr>
              <w:t>内容</w:t>
            </w:r>
            <w:r>
              <w:rPr>
                <w:spacing w:val="4"/>
              </w:rPr>
              <w:t>要素</w:t>
            </w:r>
          </w:p>
        </w:tc>
        <w:tc>
          <w:tcPr>
            <w:tcW w:w="7531" w:type="dxa"/>
            <w:gridSpan w:val="2"/>
            <w:tcBorders>
              <w:top w:val="single" w:color="000000" w:sz="6" w:space="0"/>
            </w:tcBorders>
            <w:vAlign w:val="top"/>
          </w:tcPr>
          <w:p w14:paraId="558753FA">
            <w:pPr>
              <w:pStyle w:val="6"/>
              <w:spacing w:before="45" w:line="224" w:lineRule="auto"/>
              <w:ind w:left="3452"/>
            </w:pPr>
            <w:r>
              <w:rPr>
                <w:spacing w:val="7"/>
              </w:rPr>
              <w:t>施工期</w:t>
            </w:r>
          </w:p>
        </w:tc>
        <w:tc>
          <w:tcPr>
            <w:tcW w:w="5270" w:type="dxa"/>
            <w:gridSpan w:val="2"/>
            <w:tcBorders>
              <w:top w:val="single" w:color="000000" w:sz="6" w:space="0"/>
              <w:right w:val="single" w:color="000000" w:sz="6" w:space="0"/>
            </w:tcBorders>
            <w:vAlign w:val="top"/>
          </w:tcPr>
          <w:p w14:paraId="363B667A">
            <w:pPr>
              <w:pStyle w:val="6"/>
              <w:spacing w:before="45" w:line="224" w:lineRule="auto"/>
              <w:ind w:left="2325"/>
            </w:pPr>
            <w:r>
              <w:rPr>
                <w:spacing w:val="6"/>
              </w:rPr>
              <w:t>运营期</w:t>
            </w:r>
          </w:p>
        </w:tc>
      </w:tr>
      <w:tr w14:paraId="1C5EB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1309" w:type="dxa"/>
            <w:vMerge w:val="continue"/>
            <w:tcBorders>
              <w:top w:val="nil"/>
              <w:left w:val="single" w:color="000000" w:sz="6" w:space="0"/>
              <w:tl2br w:val="single" w:color="000000" w:sz="4" w:space="0"/>
            </w:tcBorders>
            <w:vAlign w:val="top"/>
          </w:tcPr>
          <w:p w14:paraId="69D346C4">
            <w:pPr>
              <w:rPr>
                <w:rFonts w:ascii="Arial"/>
                <w:sz w:val="21"/>
              </w:rPr>
            </w:pPr>
          </w:p>
        </w:tc>
        <w:tc>
          <w:tcPr>
            <w:tcW w:w="5919" w:type="dxa"/>
            <w:vAlign w:val="top"/>
          </w:tcPr>
          <w:p w14:paraId="2E43A9D9">
            <w:pPr>
              <w:pStyle w:val="6"/>
              <w:spacing w:before="138" w:line="228" w:lineRule="auto"/>
              <w:ind w:left="2332"/>
            </w:pPr>
            <w:r>
              <w:rPr>
                <w:spacing w:val="8"/>
              </w:rPr>
              <w:t>环境保护措施</w:t>
            </w:r>
          </w:p>
        </w:tc>
        <w:tc>
          <w:tcPr>
            <w:tcW w:w="1612" w:type="dxa"/>
            <w:vAlign w:val="top"/>
          </w:tcPr>
          <w:p w14:paraId="3DFD9AF3">
            <w:pPr>
              <w:pStyle w:val="6"/>
              <w:spacing w:before="138" w:line="228" w:lineRule="auto"/>
              <w:ind w:left="391"/>
            </w:pPr>
            <w:r>
              <w:rPr>
                <w:spacing w:val="7"/>
              </w:rPr>
              <w:t>验收要求</w:t>
            </w:r>
          </w:p>
        </w:tc>
        <w:tc>
          <w:tcPr>
            <w:tcW w:w="3572" w:type="dxa"/>
            <w:vAlign w:val="top"/>
          </w:tcPr>
          <w:p w14:paraId="7BDDEAE7">
            <w:pPr>
              <w:pStyle w:val="6"/>
              <w:spacing w:before="138" w:line="228" w:lineRule="auto"/>
              <w:ind w:left="1166"/>
            </w:pPr>
            <w:r>
              <w:rPr>
                <w:spacing w:val="8"/>
              </w:rPr>
              <w:t>环境保护措施</w:t>
            </w:r>
          </w:p>
        </w:tc>
        <w:tc>
          <w:tcPr>
            <w:tcW w:w="1698" w:type="dxa"/>
            <w:tcBorders>
              <w:right w:val="single" w:color="000000" w:sz="6" w:space="0"/>
            </w:tcBorders>
            <w:vAlign w:val="top"/>
          </w:tcPr>
          <w:p w14:paraId="7E93AEEB">
            <w:pPr>
              <w:pStyle w:val="6"/>
              <w:spacing w:before="138" w:line="228" w:lineRule="auto"/>
              <w:ind w:left="435"/>
            </w:pPr>
            <w:r>
              <w:rPr>
                <w:spacing w:val="7"/>
              </w:rPr>
              <w:t>验收要求</w:t>
            </w:r>
          </w:p>
        </w:tc>
      </w:tr>
      <w:tr w14:paraId="017E24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3" w:hRule="atLeast"/>
        </w:trPr>
        <w:tc>
          <w:tcPr>
            <w:tcW w:w="1309" w:type="dxa"/>
            <w:tcBorders>
              <w:left w:val="single" w:color="000000" w:sz="6" w:space="0"/>
              <w:bottom w:val="single" w:color="000000" w:sz="6" w:space="0"/>
            </w:tcBorders>
            <w:vAlign w:val="top"/>
          </w:tcPr>
          <w:p w14:paraId="57857F96">
            <w:pPr>
              <w:spacing w:line="247" w:lineRule="auto"/>
              <w:rPr>
                <w:rFonts w:ascii="Arial"/>
                <w:sz w:val="21"/>
              </w:rPr>
            </w:pPr>
          </w:p>
          <w:p w14:paraId="3B38FDD6">
            <w:pPr>
              <w:spacing w:line="247" w:lineRule="auto"/>
              <w:rPr>
                <w:rFonts w:ascii="Arial"/>
                <w:sz w:val="21"/>
              </w:rPr>
            </w:pPr>
          </w:p>
          <w:p w14:paraId="6BDF22B7">
            <w:pPr>
              <w:spacing w:line="247" w:lineRule="auto"/>
              <w:rPr>
                <w:rFonts w:ascii="Arial"/>
                <w:sz w:val="21"/>
              </w:rPr>
            </w:pPr>
          </w:p>
          <w:p w14:paraId="7BE9C755">
            <w:pPr>
              <w:spacing w:line="247" w:lineRule="auto"/>
              <w:rPr>
                <w:rFonts w:ascii="Arial"/>
                <w:sz w:val="21"/>
              </w:rPr>
            </w:pPr>
          </w:p>
          <w:p w14:paraId="3C2DC113">
            <w:pPr>
              <w:spacing w:line="247" w:lineRule="auto"/>
              <w:rPr>
                <w:rFonts w:ascii="Arial"/>
                <w:sz w:val="21"/>
              </w:rPr>
            </w:pPr>
          </w:p>
          <w:p w14:paraId="003847D9">
            <w:pPr>
              <w:spacing w:line="247" w:lineRule="auto"/>
              <w:rPr>
                <w:rFonts w:ascii="Arial"/>
                <w:sz w:val="21"/>
              </w:rPr>
            </w:pPr>
          </w:p>
          <w:p w14:paraId="2959E089">
            <w:pPr>
              <w:spacing w:line="247" w:lineRule="auto"/>
              <w:rPr>
                <w:rFonts w:ascii="Arial"/>
                <w:sz w:val="21"/>
              </w:rPr>
            </w:pPr>
          </w:p>
          <w:p w14:paraId="7FA74800">
            <w:pPr>
              <w:spacing w:line="247" w:lineRule="auto"/>
              <w:rPr>
                <w:rFonts w:ascii="Arial"/>
                <w:sz w:val="21"/>
              </w:rPr>
            </w:pPr>
          </w:p>
          <w:p w14:paraId="3CF22332">
            <w:pPr>
              <w:spacing w:line="247" w:lineRule="auto"/>
              <w:rPr>
                <w:rFonts w:ascii="Arial"/>
                <w:sz w:val="21"/>
              </w:rPr>
            </w:pPr>
          </w:p>
          <w:p w14:paraId="6EC3BFA0">
            <w:pPr>
              <w:spacing w:line="247" w:lineRule="auto"/>
              <w:rPr>
                <w:rFonts w:ascii="Arial"/>
                <w:sz w:val="21"/>
              </w:rPr>
            </w:pPr>
          </w:p>
          <w:p w14:paraId="63688BFA">
            <w:pPr>
              <w:spacing w:line="248" w:lineRule="auto"/>
              <w:rPr>
                <w:rFonts w:ascii="Arial"/>
                <w:sz w:val="21"/>
              </w:rPr>
            </w:pPr>
          </w:p>
          <w:p w14:paraId="6887F3DA">
            <w:pPr>
              <w:spacing w:line="248" w:lineRule="auto"/>
              <w:rPr>
                <w:rFonts w:ascii="Arial"/>
                <w:sz w:val="21"/>
              </w:rPr>
            </w:pPr>
          </w:p>
          <w:p w14:paraId="0A4C25F5">
            <w:pPr>
              <w:spacing w:line="248" w:lineRule="auto"/>
              <w:rPr>
                <w:rFonts w:ascii="Arial"/>
                <w:sz w:val="21"/>
              </w:rPr>
            </w:pPr>
          </w:p>
          <w:p w14:paraId="00FF7907">
            <w:pPr>
              <w:pStyle w:val="6"/>
              <w:spacing w:before="65" w:line="231" w:lineRule="auto"/>
              <w:ind w:left="244"/>
            </w:pPr>
            <w:r>
              <w:rPr>
                <w:spacing w:val="4"/>
              </w:rPr>
              <w:t>陆生生态</w:t>
            </w:r>
          </w:p>
        </w:tc>
        <w:tc>
          <w:tcPr>
            <w:tcW w:w="5919" w:type="dxa"/>
            <w:tcBorders>
              <w:bottom w:val="single" w:color="000000" w:sz="6" w:space="0"/>
            </w:tcBorders>
            <w:vAlign w:val="top"/>
          </w:tcPr>
          <w:p w14:paraId="4EFA00E3">
            <w:pPr>
              <w:pStyle w:val="6"/>
              <w:spacing w:before="34" w:line="228" w:lineRule="auto"/>
              <w:ind w:left="117"/>
            </w:pPr>
            <w:r>
              <w:rPr>
                <w:b/>
                <w:bCs/>
                <w:spacing w:val="5"/>
              </w:rPr>
              <w:t>（</w:t>
            </w:r>
            <w:r>
              <w:rPr>
                <w:rFonts w:ascii="Times New Roman" w:hAnsi="Times New Roman" w:eastAsia="Times New Roman" w:cs="Times New Roman"/>
                <w:b/>
                <w:bCs/>
                <w:spacing w:val="5"/>
              </w:rPr>
              <w:t>1</w:t>
            </w:r>
            <w:r>
              <w:rPr>
                <w:b/>
                <w:bCs/>
                <w:spacing w:val="5"/>
              </w:rPr>
              <w:t>）避让措施</w:t>
            </w:r>
          </w:p>
          <w:p w14:paraId="10A5877A">
            <w:pPr>
              <w:pStyle w:val="6"/>
              <w:spacing w:before="23" w:line="228" w:lineRule="auto"/>
              <w:ind w:left="124"/>
            </w:pPr>
            <w:r>
              <w:rPr>
                <w:rFonts w:ascii="Times New Roman" w:hAnsi="Times New Roman" w:eastAsia="Times New Roman" w:cs="Times New Roman"/>
                <w:spacing w:val="8"/>
              </w:rPr>
              <w:t>1</w:t>
            </w:r>
            <w:r>
              <w:rPr>
                <w:spacing w:val="8"/>
              </w:rPr>
              <w:t>）优化线路路径走向和塔基选址，尽可能减少地表扰动；</w:t>
            </w:r>
          </w:p>
          <w:p w14:paraId="00E9CF08">
            <w:pPr>
              <w:pStyle w:val="6"/>
              <w:spacing w:before="28" w:line="251" w:lineRule="auto"/>
              <w:ind w:left="105" w:right="107" w:hanging="2"/>
            </w:pPr>
            <w:r>
              <w:rPr>
                <w:rFonts w:ascii="Times New Roman" w:hAnsi="Times New Roman" w:eastAsia="Times New Roman" w:cs="Times New Roman"/>
                <w:spacing w:val="7"/>
              </w:rPr>
              <w:t>2</w:t>
            </w:r>
            <w:r>
              <w:rPr>
                <w:spacing w:val="7"/>
              </w:rPr>
              <w:t>）变电站施工材料运输利用附近已有高速公路、国道、乡村道</w:t>
            </w:r>
            <w:r>
              <w:rPr>
                <w:spacing w:val="9"/>
              </w:rPr>
              <w:t>路到达变电站，不新建施工道路；线路导线运至牵张场（不涉及基本农田</w:t>
            </w:r>
            <w:r>
              <w:rPr>
                <w:spacing w:val="17"/>
              </w:rPr>
              <w:t>），</w:t>
            </w:r>
            <w:r>
              <w:rPr>
                <w:spacing w:val="9"/>
              </w:rPr>
              <w:t>牵引架线时牵张场位于田间机耕路边，不设置施工便道；杆塔为可拆卸、组装角钢塔，零散材料运至附近机耕路，人抬或马驮至塔基处，不设置施工便道；</w:t>
            </w:r>
          </w:p>
          <w:p w14:paraId="7901A5FA">
            <w:pPr>
              <w:pStyle w:val="6"/>
              <w:spacing w:line="251" w:lineRule="auto"/>
              <w:ind w:left="116" w:right="107" w:hanging="8"/>
            </w:pPr>
            <w:r>
              <w:rPr>
                <w:rFonts w:ascii="Times New Roman" w:hAnsi="Times New Roman" w:eastAsia="Times New Roman" w:cs="Times New Roman"/>
                <w:spacing w:val="7"/>
              </w:rPr>
              <w:t>3</w:t>
            </w:r>
            <w:r>
              <w:rPr>
                <w:spacing w:val="7"/>
              </w:rPr>
              <w:t>）绿化工程应与主体工程同时设计。应注意选择符合项目区的乡土树种，禁止引入外来物种。</w:t>
            </w:r>
          </w:p>
          <w:p w14:paraId="2166019A">
            <w:pPr>
              <w:pStyle w:val="6"/>
              <w:spacing w:line="251" w:lineRule="auto"/>
              <w:ind w:left="109" w:right="107" w:hanging="7"/>
            </w:pPr>
            <w:r>
              <w:rPr>
                <w:rFonts w:ascii="Times New Roman" w:hAnsi="Times New Roman" w:eastAsia="Times New Roman" w:cs="Times New Roman"/>
                <w:spacing w:val="7"/>
              </w:rPr>
              <w:t>4</w:t>
            </w:r>
            <w:r>
              <w:rPr>
                <w:spacing w:val="7"/>
              </w:rPr>
              <w:t>）植被恢复设计主要从生态修复的角度出发，着重考虑植被的</w:t>
            </w:r>
            <w:r>
              <w:rPr>
                <w:spacing w:val="8"/>
              </w:rPr>
              <w:t>水土保持、水源涵养和生态环境保护的作用。</w:t>
            </w:r>
          </w:p>
          <w:p w14:paraId="083778E5">
            <w:pPr>
              <w:pStyle w:val="6"/>
              <w:spacing w:before="1" w:line="251" w:lineRule="auto"/>
              <w:ind w:left="106" w:right="107" w:firstLine="2"/>
            </w:pPr>
            <w:r>
              <w:rPr>
                <w:rFonts w:ascii="Times New Roman" w:hAnsi="Times New Roman" w:eastAsia="Times New Roman" w:cs="Times New Roman"/>
                <w:spacing w:val="7"/>
              </w:rPr>
              <w:t>5</w:t>
            </w:r>
            <w:r>
              <w:rPr>
                <w:spacing w:val="7"/>
              </w:rPr>
              <w:t>）从保护环境的角度，应对施工扰动区范围内的表土进行剥离</w:t>
            </w:r>
            <w:r>
              <w:rPr>
                <w:spacing w:val="8"/>
              </w:rPr>
              <w:t>存放，以满足施工结束植被恢复需求。</w:t>
            </w:r>
          </w:p>
          <w:p w14:paraId="51F0DF38">
            <w:pPr>
              <w:pStyle w:val="6"/>
              <w:spacing w:line="251" w:lineRule="auto"/>
              <w:ind w:left="107" w:right="107"/>
            </w:pPr>
            <w:r>
              <w:rPr>
                <w:rFonts w:ascii="Times New Roman" w:hAnsi="Times New Roman" w:eastAsia="Times New Roman" w:cs="Times New Roman"/>
                <w:spacing w:val="7"/>
              </w:rPr>
              <w:t>6</w:t>
            </w:r>
            <w:r>
              <w:rPr>
                <w:spacing w:val="7"/>
              </w:rPr>
              <w:t>）对确实无法避让的基本农田，尽可能减少跨越长度，采用高</w:t>
            </w:r>
            <w:r>
              <w:rPr>
                <w:spacing w:val="9"/>
              </w:rPr>
              <w:t>塔跨越，尽可能避让基本农田，从源头上减少破坏，避免其对</w:t>
            </w:r>
            <w:r>
              <w:rPr>
                <w:spacing w:val="8"/>
              </w:rPr>
              <w:t>生态环境敏感目标的结构、功能造成影响。</w:t>
            </w:r>
          </w:p>
          <w:p w14:paraId="57237DE0">
            <w:pPr>
              <w:pStyle w:val="6"/>
              <w:spacing w:before="1" w:line="227" w:lineRule="auto"/>
              <w:ind w:left="117"/>
            </w:pPr>
            <w:r>
              <w:rPr>
                <w:b/>
                <w:bCs/>
                <w:spacing w:val="5"/>
              </w:rPr>
              <w:t>（</w:t>
            </w:r>
            <w:r>
              <w:rPr>
                <w:rFonts w:ascii="Times New Roman" w:hAnsi="Times New Roman" w:eastAsia="Times New Roman" w:cs="Times New Roman"/>
                <w:b/>
                <w:bCs/>
                <w:spacing w:val="5"/>
              </w:rPr>
              <w:t>2</w:t>
            </w:r>
            <w:r>
              <w:rPr>
                <w:b/>
                <w:bCs/>
                <w:spacing w:val="5"/>
              </w:rPr>
              <w:t>）减缓措施</w:t>
            </w:r>
          </w:p>
          <w:p w14:paraId="3F0ECFC0">
            <w:pPr>
              <w:pStyle w:val="6"/>
              <w:spacing w:before="27" w:line="251" w:lineRule="auto"/>
              <w:ind w:left="108" w:right="107" w:firstLine="15"/>
            </w:pPr>
            <w:r>
              <w:rPr>
                <w:rFonts w:ascii="Times New Roman" w:hAnsi="Times New Roman" w:eastAsia="Times New Roman" w:cs="Times New Roman"/>
                <w:spacing w:val="6"/>
              </w:rPr>
              <w:t>1</w:t>
            </w:r>
            <w:r>
              <w:rPr>
                <w:spacing w:val="6"/>
              </w:rPr>
              <w:t>）建议建设单位以合同形式要求施工单位在施工过程中必须按</w:t>
            </w:r>
            <w:r>
              <w:rPr>
                <w:spacing w:val="9"/>
              </w:rPr>
              <w:t>照设计要求，严格控制开挖范围及开挖量，变电站施工活动限制在站区范围内，输电线路施工限制在事先划定的施工区内。</w:t>
            </w:r>
          </w:p>
          <w:p w14:paraId="49FD1A87">
            <w:pPr>
              <w:pStyle w:val="6"/>
              <w:spacing w:before="2" w:line="251" w:lineRule="auto"/>
              <w:ind w:left="109" w:right="107" w:hanging="6"/>
            </w:pPr>
            <w:r>
              <w:rPr>
                <w:rFonts w:ascii="Times New Roman" w:hAnsi="Times New Roman" w:eastAsia="Times New Roman" w:cs="Times New Roman"/>
                <w:spacing w:val="7"/>
              </w:rPr>
              <w:t>2</w:t>
            </w:r>
            <w:r>
              <w:rPr>
                <w:spacing w:val="7"/>
              </w:rPr>
              <w:t>）变电站新建工程在施工过程中应按图施工，严格控制开挖范</w:t>
            </w:r>
            <w:r>
              <w:rPr>
                <w:spacing w:val="9"/>
              </w:rPr>
              <w:t>围及开挖量，施工基础开挖多余的土石方应集中堆置，不允许随意处置，尽量减少地表植被占用和破坏范围。变电站间隔扩建工程施工应在站区范围内进行，文明施工，集中堆放材料，</w:t>
            </w:r>
          </w:p>
          <w:p w14:paraId="42B09816">
            <w:pPr>
              <w:pStyle w:val="6"/>
              <w:spacing w:line="216" w:lineRule="auto"/>
              <w:ind w:left="108"/>
            </w:pPr>
            <w:r>
              <w:rPr>
                <w:spacing w:val="8"/>
              </w:rPr>
              <w:t>严禁踩踏施工区域外地表植被。</w:t>
            </w:r>
          </w:p>
        </w:tc>
        <w:tc>
          <w:tcPr>
            <w:tcW w:w="1612" w:type="dxa"/>
            <w:tcBorders>
              <w:bottom w:val="single" w:color="000000" w:sz="6" w:space="0"/>
            </w:tcBorders>
            <w:vAlign w:val="top"/>
          </w:tcPr>
          <w:p w14:paraId="017F2E0E">
            <w:pPr>
              <w:spacing w:line="246" w:lineRule="auto"/>
              <w:rPr>
                <w:rFonts w:ascii="Arial"/>
                <w:sz w:val="21"/>
              </w:rPr>
            </w:pPr>
          </w:p>
          <w:p w14:paraId="2C46895A">
            <w:pPr>
              <w:spacing w:line="247" w:lineRule="auto"/>
              <w:rPr>
                <w:rFonts w:ascii="Arial"/>
                <w:sz w:val="21"/>
              </w:rPr>
            </w:pPr>
          </w:p>
          <w:p w14:paraId="13C8C099">
            <w:pPr>
              <w:spacing w:line="247" w:lineRule="auto"/>
              <w:rPr>
                <w:rFonts w:ascii="Arial"/>
                <w:sz w:val="21"/>
              </w:rPr>
            </w:pPr>
          </w:p>
          <w:p w14:paraId="7B8DA81A">
            <w:pPr>
              <w:spacing w:line="247" w:lineRule="auto"/>
              <w:rPr>
                <w:rFonts w:ascii="Arial"/>
                <w:sz w:val="21"/>
              </w:rPr>
            </w:pPr>
          </w:p>
          <w:p w14:paraId="461BE064">
            <w:pPr>
              <w:spacing w:line="247" w:lineRule="auto"/>
              <w:rPr>
                <w:rFonts w:ascii="Arial"/>
                <w:sz w:val="21"/>
              </w:rPr>
            </w:pPr>
          </w:p>
          <w:p w14:paraId="04E91219">
            <w:pPr>
              <w:spacing w:line="247" w:lineRule="auto"/>
              <w:rPr>
                <w:rFonts w:ascii="Arial"/>
                <w:sz w:val="21"/>
              </w:rPr>
            </w:pPr>
          </w:p>
          <w:p w14:paraId="637C0DD0">
            <w:pPr>
              <w:spacing w:line="247" w:lineRule="auto"/>
              <w:rPr>
                <w:rFonts w:ascii="Arial"/>
                <w:sz w:val="21"/>
              </w:rPr>
            </w:pPr>
          </w:p>
          <w:p w14:paraId="6383193F">
            <w:pPr>
              <w:pStyle w:val="6"/>
              <w:spacing w:before="66" w:line="251" w:lineRule="auto"/>
              <w:ind w:left="113" w:right="103" w:firstLine="10"/>
            </w:pPr>
            <w:r>
              <w:rPr>
                <w:spacing w:val="11"/>
              </w:rPr>
              <w:t>（</w:t>
            </w:r>
            <w:r>
              <w:rPr>
                <w:rFonts w:ascii="Times New Roman" w:hAnsi="Times New Roman" w:eastAsia="Times New Roman" w:cs="Times New Roman"/>
                <w:spacing w:val="11"/>
              </w:rPr>
              <w:t>1</w:t>
            </w:r>
            <w:r>
              <w:rPr>
                <w:spacing w:val="11"/>
              </w:rPr>
              <w:t>）施工期的</w:t>
            </w:r>
            <w:r>
              <w:rPr>
                <w:spacing w:val="31"/>
              </w:rPr>
              <w:t>各项陆生生态环境保护措施应按照环境影响评价文件及批复要求落实</w:t>
            </w:r>
            <w:r>
              <w:rPr>
                <w:spacing w:val="3"/>
              </w:rPr>
              <w:t>到位。</w:t>
            </w:r>
          </w:p>
          <w:p w14:paraId="3569AB23">
            <w:pPr>
              <w:pStyle w:val="6"/>
              <w:spacing w:line="252" w:lineRule="auto"/>
              <w:ind w:left="114" w:right="103" w:firstLine="10"/>
            </w:pPr>
            <w:r>
              <w:rPr>
                <w:spacing w:val="10"/>
              </w:rPr>
              <w:t>（</w:t>
            </w:r>
            <w:r>
              <w:rPr>
                <w:rFonts w:ascii="Times New Roman" w:hAnsi="Times New Roman" w:eastAsia="Times New Roman" w:cs="Times New Roman"/>
                <w:spacing w:val="10"/>
              </w:rPr>
              <w:t>2</w:t>
            </w:r>
            <w:r>
              <w:rPr>
                <w:spacing w:val="10"/>
              </w:rPr>
              <w:t>）施工迹地</w:t>
            </w:r>
            <w:r>
              <w:rPr>
                <w:spacing w:val="-2"/>
              </w:rPr>
              <w:t>清理完成，植被得以恢复，未发</w:t>
            </w:r>
            <w:r>
              <w:rPr>
                <w:spacing w:val="31"/>
              </w:rPr>
              <w:t>生较大生态破</w:t>
            </w:r>
            <w:r>
              <w:rPr>
                <w:spacing w:val="5"/>
              </w:rPr>
              <w:t>坏情况。</w:t>
            </w:r>
          </w:p>
        </w:tc>
        <w:tc>
          <w:tcPr>
            <w:tcW w:w="3572" w:type="dxa"/>
            <w:tcBorders>
              <w:bottom w:val="single" w:color="000000" w:sz="6" w:space="0"/>
            </w:tcBorders>
            <w:vAlign w:val="top"/>
          </w:tcPr>
          <w:p w14:paraId="29628B45">
            <w:pPr>
              <w:pStyle w:val="6"/>
              <w:spacing w:before="35" w:line="251" w:lineRule="auto"/>
              <w:ind w:left="113" w:right="99"/>
            </w:pPr>
            <w:r>
              <w:rPr>
                <w:spacing w:val="9"/>
              </w:rPr>
              <w:t>①在项目运行期需对线路沿线及塔基进行定期巡查及检修，应对线路运行维护人员进行生态环境保护，尤其是野生动植物保护相关知识的培训，提高他们的环境保护意识，不对工程周</w:t>
            </w:r>
            <w:r>
              <w:rPr>
                <w:spacing w:val="23"/>
              </w:rPr>
              <w:t>边区域的动植物及生态环境造成破</w:t>
            </w:r>
            <w:r>
              <w:rPr>
                <w:spacing w:val="1"/>
              </w:rPr>
              <w:t>坏。</w:t>
            </w:r>
          </w:p>
          <w:p w14:paraId="54BE6BA2">
            <w:pPr>
              <w:pStyle w:val="6"/>
              <w:spacing w:before="3" w:line="251" w:lineRule="auto"/>
              <w:ind w:left="112" w:right="99"/>
            </w:pPr>
            <w:r>
              <w:rPr>
                <w:spacing w:val="9"/>
              </w:rPr>
              <w:t>②强化对设备检修维护人员的生态保护意识教育，加强管理，禁止滥采滥伐和捕猎野生动物，避免因此导致的</w:t>
            </w:r>
            <w:r>
              <w:rPr>
                <w:spacing w:val="23"/>
              </w:rPr>
              <w:t>沿线自然植被破坏和野生动物的影</w:t>
            </w:r>
            <w:r>
              <w:rPr>
                <w:spacing w:val="1"/>
              </w:rPr>
              <w:t>响；</w:t>
            </w:r>
          </w:p>
          <w:p w14:paraId="7ADEE2D8">
            <w:pPr>
              <w:pStyle w:val="6"/>
              <w:spacing w:before="2" w:line="251" w:lineRule="auto"/>
              <w:ind w:left="113" w:right="99"/>
            </w:pPr>
            <w:r>
              <w:rPr>
                <w:spacing w:val="9"/>
              </w:rPr>
              <w:t>③定期对线路沿线生态保护和防护措施及设施进行检查，跟踪生态保护与恢复效果，以便及时采取后续措施。输电线路使用警示色。根据鸟类的视觉特征，将高压输电线路导线设置成对鸟类具有警示作用的颜色，提醒鸟</w:t>
            </w:r>
            <w:r>
              <w:rPr>
                <w:spacing w:val="8"/>
              </w:rPr>
              <w:t>类对障碍物的识别，减少碰撞几率。</w:t>
            </w:r>
          </w:p>
          <w:p w14:paraId="7248E563">
            <w:pPr>
              <w:pStyle w:val="6"/>
              <w:spacing w:before="2" w:line="245" w:lineRule="auto"/>
              <w:ind w:left="114" w:right="47" w:hanging="1"/>
            </w:pPr>
            <w:r>
              <w:rPr>
                <w:spacing w:val="9"/>
              </w:rPr>
              <w:t>⑥线路运行后，进行维护或巡视时不</w:t>
            </w:r>
            <w:r>
              <w:rPr>
                <w:spacing w:val="10"/>
              </w:rPr>
              <w:t>得新开道路。设置告示牌和警示牌。</w:t>
            </w:r>
            <w:r>
              <w:rPr>
                <w:spacing w:val="9"/>
              </w:rPr>
              <w:t>应对运行维护人员进行生态环境保护宣传和教育，尤其是野生动植物保护</w:t>
            </w:r>
            <w:r>
              <w:t>相关知识的培训，提高环境保护意识，</w:t>
            </w:r>
            <w:r>
              <w:rPr>
                <w:spacing w:val="9"/>
              </w:rPr>
              <w:t>禁止维护人员引入外来物种，不对周</w:t>
            </w:r>
          </w:p>
        </w:tc>
        <w:tc>
          <w:tcPr>
            <w:tcW w:w="1698" w:type="dxa"/>
            <w:tcBorders>
              <w:bottom w:val="single" w:color="000000" w:sz="6" w:space="0"/>
              <w:right w:val="single" w:color="000000" w:sz="6" w:space="0"/>
            </w:tcBorders>
            <w:vAlign w:val="top"/>
          </w:tcPr>
          <w:p w14:paraId="4D61F2E1">
            <w:pPr>
              <w:spacing w:line="245" w:lineRule="auto"/>
              <w:rPr>
                <w:rFonts w:ascii="Arial"/>
                <w:sz w:val="21"/>
              </w:rPr>
            </w:pPr>
          </w:p>
          <w:p w14:paraId="767DCD1F">
            <w:pPr>
              <w:spacing w:line="245" w:lineRule="auto"/>
              <w:rPr>
                <w:rFonts w:ascii="Arial"/>
                <w:sz w:val="21"/>
              </w:rPr>
            </w:pPr>
          </w:p>
          <w:p w14:paraId="087ECB90">
            <w:pPr>
              <w:spacing w:line="245" w:lineRule="auto"/>
              <w:rPr>
                <w:rFonts w:ascii="Arial"/>
                <w:sz w:val="21"/>
              </w:rPr>
            </w:pPr>
          </w:p>
          <w:p w14:paraId="02812F2B">
            <w:pPr>
              <w:spacing w:line="245" w:lineRule="auto"/>
              <w:rPr>
                <w:rFonts w:ascii="Arial"/>
                <w:sz w:val="21"/>
              </w:rPr>
            </w:pPr>
          </w:p>
          <w:p w14:paraId="3F888452">
            <w:pPr>
              <w:spacing w:line="245" w:lineRule="auto"/>
              <w:rPr>
                <w:rFonts w:ascii="Arial"/>
                <w:sz w:val="21"/>
              </w:rPr>
            </w:pPr>
          </w:p>
          <w:p w14:paraId="508D5627">
            <w:pPr>
              <w:spacing w:line="245" w:lineRule="auto"/>
              <w:rPr>
                <w:rFonts w:ascii="Arial"/>
                <w:sz w:val="21"/>
              </w:rPr>
            </w:pPr>
          </w:p>
          <w:p w14:paraId="1F3BA6DF">
            <w:pPr>
              <w:spacing w:line="246" w:lineRule="auto"/>
              <w:rPr>
                <w:rFonts w:ascii="Arial"/>
                <w:sz w:val="21"/>
              </w:rPr>
            </w:pPr>
          </w:p>
          <w:p w14:paraId="73D36647">
            <w:pPr>
              <w:spacing w:line="246" w:lineRule="auto"/>
              <w:rPr>
                <w:rFonts w:ascii="Arial"/>
                <w:sz w:val="21"/>
              </w:rPr>
            </w:pPr>
          </w:p>
          <w:p w14:paraId="5CC9564F">
            <w:pPr>
              <w:spacing w:line="246" w:lineRule="auto"/>
              <w:rPr>
                <w:rFonts w:ascii="Arial"/>
                <w:sz w:val="21"/>
              </w:rPr>
            </w:pPr>
          </w:p>
          <w:p w14:paraId="63042B09">
            <w:pPr>
              <w:spacing w:line="246" w:lineRule="auto"/>
              <w:rPr>
                <w:rFonts w:ascii="Arial"/>
                <w:sz w:val="21"/>
              </w:rPr>
            </w:pPr>
          </w:p>
          <w:p w14:paraId="3C271472">
            <w:pPr>
              <w:spacing w:line="246" w:lineRule="auto"/>
              <w:rPr>
                <w:rFonts w:ascii="Arial"/>
                <w:sz w:val="21"/>
              </w:rPr>
            </w:pPr>
          </w:p>
          <w:p w14:paraId="6803F227">
            <w:pPr>
              <w:spacing w:line="246" w:lineRule="auto"/>
              <w:rPr>
                <w:rFonts w:ascii="Arial"/>
                <w:sz w:val="21"/>
              </w:rPr>
            </w:pPr>
          </w:p>
          <w:p w14:paraId="58869C73">
            <w:pPr>
              <w:pStyle w:val="6"/>
              <w:spacing w:before="65" w:line="251" w:lineRule="auto"/>
              <w:ind w:left="119" w:right="103" w:firstLine="1"/>
              <w:jc w:val="both"/>
            </w:pPr>
            <w:r>
              <w:rPr>
                <w:spacing w:val="9"/>
              </w:rPr>
              <w:t>线路沿线、变电站区域植被恢复</w:t>
            </w:r>
            <w:r>
              <w:rPr>
                <w:spacing w:val="4"/>
              </w:rPr>
              <w:t>良好</w:t>
            </w:r>
          </w:p>
        </w:tc>
      </w:tr>
    </w:tbl>
    <w:p w14:paraId="0B72F11E">
      <w:pPr>
        <w:rPr>
          <w:rFonts w:ascii="Arial"/>
          <w:sz w:val="21"/>
        </w:rPr>
      </w:pPr>
    </w:p>
    <w:p w14:paraId="7ABABC12">
      <w:pPr>
        <w:rPr>
          <w:rFonts w:ascii="Arial" w:hAnsi="Arial" w:eastAsia="Arial" w:cs="Arial"/>
          <w:sz w:val="21"/>
          <w:szCs w:val="21"/>
        </w:rPr>
        <w:sectPr>
          <w:footerReference r:id="rId143" w:type="default"/>
          <w:pgSz w:w="16839" w:h="11906"/>
          <w:pgMar w:top="400" w:right="1299" w:bottom="1240" w:left="1413" w:header="0" w:footer="1078" w:gutter="0"/>
          <w:cols w:space="720" w:num="1"/>
        </w:sectPr>
      </w:pPr>
    </w:p>
    <w:p w14:paraId="238E3597">
      <w:pPr>
        <w:spacing w:before="8"/>
      </w:pPr>
    </w:p>
    <w:p w14:paraId="147FC829">
      <w:pPr>
        <w:spacing w:before="7"/>
      </w:pPr>
    </w:p>
    <w:p w14:paraId="38F252D2">
      <w:pPr>
        <w:spacing w:before="7"/>
      </w:pPr>
    </w:p>
    <w:p w14:paraId="78204465">
      <w:pPr>
        <w:spacing w:before="7"/>
      </w:pPr>
    </w:p>
    <w:p w14:paraId="38359B0F">
      <w:pPr>
        <w:spacing w:before="7"/>
      </w:pPr>
    </w:p>
    <w:tbl>
      <w:tblPr>
        <w:tblStyle w:val="5"/>
        <w:tblW w:w="141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09"/>
        <w:gridCol w:w="5919"/>
        <w:gridCol w:w="1612"/>
        <w:gridCol w:w="3572"/>
        <w:gridCol w:w="1698"/>
      </w:tblGrid>
      <w:tr w14:paraId="3A933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12" w:hRule="atLeast"/>
        </w:trPr>
        <w:tc>
          <w:tcPr>
            <w:tcW w:w="1309" w:type="dxa"/>
            <w:tcBorders>
              <w:right w:val="single" w:color="000000" w:sz="2" w:space="0"/>
            </w:tcBorders>
            <w:vAlign w:val="top"/>
          </w:tcPr>
          <w:p w14:paraId="2F63A09D">
            <w:pPr>
              <w:rPr>
                <w:rFonts w:ascii="Arial"/>
                <w:sz w:val="21"/>
              </w:rPr>
            </w:pPr>
          </w:p>
        </w:tc>
        <w:tc>
          <w:tcPr>
            <w:tcW w:w="5919" w:type="dxa"/>
            <w:tcBorders>
              <w:left w:val="single" w:color="000000" w:sz="2" w:space="0"/>
              <w:right w:val="single" w:color="000000" w:sz="2" w:space="0"/>
            </w:tcBorders>
            <w:vAlign w:val="top"/>
          </w:tcPr>
          <w:p w14:paraId="2388B3FD">
            <w:pPr>
              <w:pStyle w:val="6"/>
              <w:spacing w:before="27" w:line="251" w:lineRule="auto"/>
              <w:ind w:left="107" w:right="107"/>
            </w:pPr>
            <w:r>
              <w:rPr>
                <w:rFonts w:ascii="Times New Roman" w:hAnsi="Times New Roman" w:eastAsia="Times New Roman" w:cs="Times New Roman"/>
                <w:spacing w:val="7"/>
              </w:rPr>
              <w:t>3</w:t>
            </w:r>
            <w:r>
              <w:rPr>
                <w:spacing w:val="7"/>
              </w:rPr>
              <w:t>）项目施工前对工程占用区域可利用的表土进行剥离，分层堆</w:t>
            </w:r>
            <w:r>
              <w:rPr>
                <w:spacing w:val="9"/>
              </w:rPr>
              <w:t>放，注意表土保护，施工结束后按原土层顺序分层回填，以利</w:t>
            </w:r>
            <w:r>
              <w:rPr>
                <w:spacing w:val="7"/>
              </w:rPr>
              <w:t>于后期植被恢复。</w:t>
            </w:r>
          </w:p>
          <w:p w14:paraId="14C4BDD0">
            <w:pPr>
              <w:pStyle w:val="6"/>
              <w:spacing w:before="1" w:line="251" w:lineRule="auto"/>
              <w:ind w:left="106" w:right="106" w:hanging="4"/>
            </w:pPr>
            <w:r>
              <w:rPr>
                <w:rFonts w:ascii="Times New Roman" w:hAnsi="Times New Roman" w:eastAsia="Times New Roman" w:cs="Times New Roman"/>
                <w:spacing w:val="7"/>
              </w:rPr>
              <w:t>4</w:t>
            </w:r>
            <w:r>
              <w:rPr>
                <w:spacing w:val="7"/>
              </w:rPr>
              <w:t>）减少临时占地占用的农田、耕地面积，必要时用彩条布、钢</w:t>
            </w:r>
            <w:r>
              <w:rPr>
                <w:spacing w:val="9"/>
              </w:rPr>
              <w:t>板等隔离，减少对农田、耕地的耕作层土壤的扰动和破坏；材料运输过程中可能导致少量砂石、水泥洒落，施工场地也会产生部分建筑垃圾，因此在工程完工后应及时清除各种残留的建</w:t>
            </w:r>
            <w:r>
              <w:rPr>
                <w:spacing w:val="5"/>
              </w:rPr>
              <w:t>筑垃圾。</w:t>
            </w:r>
          </w:p>
          <w:p w14:paraId="4A609E22">
            <w:pPr>
              <w:pStyle w:val="6"/>
              <w:spacing w:before="3" w:line="251" w:lineRule="auto"/>
              <w:ind w:left="108" w:right="107" w:firstLine="1"/>
            </w:pPr>
            <w:r>
              <w:rPr>
                <w:rFonts w:ascii="Times New Roman" w:hAnsi="Times New Roman" w:eastAsia="Times New Roman" w:cs="Times New Roman"/>
                <w:spacing w:val="7"/>
              </w:rPr>
              <w:t>5</w:t>
            </w:r>
            <w:r>
              <w:rPr>
                <w:spacing w:val="7"/>
              </w:rPr>
              <w:t>）加强施工人员对野生动物和生态环境的保护意识，禁止猎杀</w:t>
            </w:r>
            <w:r>
              <w:rPr>
                <w:spacing w:val="9"/>
              </w:rPr>
              <w:t>兽类、鸟类和捕蛇捉蛙，施工过程中遇到鸟、蛇等动物的卵已妥善移置到附近类似的环境中。为消减施工队伍对野生动植物的影响，标明了施工活动区，严令禁止到非施工区域活动，尤</w:t>
            </w:r>
            <w:r>
              <w:rPr>
                <w:spacing w:val="8"/>
              </w:rPr>
              <w:t>其禁止在非施工区点火、狩猎等。</w:t>
            </w:r>
          </w:p>
          <w:p w14:paraId="35FA34FE">
            <w:pPr>
              <w:pStyle w:val="6"/>
              <w:spacing w:line="251" w:lineRule="auto"/>
              <w:ind w:left="109" w:right="107" w:hanging="1"/>
            </w:pPr>
            <w:r>
              <w:rPr>
                <w:rFonts w:ascii="Times New Roman" w:hAnsi="Times New Roman" w:eastAsia="Times New Roman" w:cs="Times New Roman"/>
                <w:spacing w:val="7"/>
              </w:rPr>
              <w:t>6</w:t>
            </w:r>
            <w:r>
              <w:rPr>
                <w:spacing w:val="7"/>
              </w:rPr>
              <w:t>）施工期间的噪声问题从源头上把握，工程施工设备选取了噪</w:t>
            </w:r>
            <w:r>
              <w:rPr>
                <w:spacing w:val="9"/>
              </w:rPr>
              <w:t>声较低的型号，并合理安排了强噪声施工行为的时间，减少施</w:t>
            </w:r>
            <w:r>
              <w:rPr>
                <w:spacing w:val="8"/>
              </w:rPr>
              <w:t>工噪声对野生动物的干扰。</w:t>
            </w:r>
          </w:p>
          <w:p w14:paraId="267B43D3">
            <w:pPr>
              <w:pStyle w:val="6"/>
              <w:spacing w:line="227" w:lineRule="auto"/>
              <w:ind w:left="117"/>
            </w:pPr>
            <w:r>
              <w:rPr>
                <w:b/>
                <w:bCs/>
                <w:spacing w:val="5"/>
              </w:rPr>
              <w:t>（</w:t>
            </w:r>
            <w:r>
              <w:rPr>
                <w:rFonts w:ascii="Times New Roman" w:hAnsi="Times New Roman" w:eastAsia="Times New Roman" w:cs="Times New Roman"/>
                <w:b/>
                <w:bCs/>
                <w:spacing w:val="5"/>
              </w:rPr>
              <w:t>3</w:t>
            </w:r>
            <w:r>
              <w:rPr>
                <w:b/>
                <w:bCs/>
                <w:spacing w:val="5"/>
              </w:rPr>
              <w:t>）修复措施</w:t>
            </w:r>
          </w:p>
          <w:p w14:paraId="3D4BD70B">
            <w:pPr>
              <w:pStyle w:val="6"/>
              <w:spacing w:before="25" w:line="251" w:lineRule="auto"/>
              <w:ind w:left="107" w:right="107" w:firstLine="16"/>
            </w:pPr>
            <w:r>
              <w:rPr>
                <w:rFonts w:ascii="Times New Roman" w:hAnsi="Times New Roman" w:eastAsia="Times New Roman" w:cs="Times New Roman"/>
                <w:spacing w:val="6"/>
              </w:rPr>
              <w:t>1</w:t>
            </w:r>
            <w:r>
              <w:rPr>
                <w:spacing w:val="6"/>
              </w:rPr>
              <w:t>）在植被修复过程中，尽量保护施工占地区域原有体系的生态</w:t>
            </w:r>
            <w:r>
              <w:rPr>
                <w:spacing w:val="3"/>
              </w:rPr>
              <w:t>环境。</w:t>
            </w:r>
          </w:p>
          <w:p w14:paraId="18B88EB7">
            <w:pPr>
              <w:pStyle w:val="6"/>
              <w:spacing w:before="3" w:line="251" w:lineRule="auto"/>
              <w:ind w:left="108" w:right="107" w:hanging="5"/>
            </w:pPr>
            <w:r>
              <w:rPr>
                <w:rFonts w:ascii="Times New Roman" w:hAnsi="Times New Roman" w:eastAsia="Times New Roman" w:cs="Times New Roman"/>
                <w:spacing w:val="7"/>
              </w:rPr>
              <w:t>2</w:t>
            </w:r>
            <w:r>
              <w:rPr>
                <w:spacing w:val="7"/>
              </w:rPr>
              <w:t>）防止外来入侵物种的扩散，在原生境下有分布外来物种的情</w:t>
            </w:r>
            <w:r>
              <w:rPr>
                <w:spacing w:val="9"/>
              </w:rPr>
              <w:t>况，对已有的外来物种进行铲除，并针对其入侵机制对土壤等</w:t>
            </w:r>
            <w:r>
              <w:rPr>
                <w:spacing w:val="8"/>
              </w:rPr>
              <w:t>生境进行改良，保证植被修复的效率。</w:t>
            </w:r>
          </w:p>
          <w:p w14:paraId="22C4EF46">
            <w:pPr>
              <w:pStyle w:val="6"/>
              <w:spacing w:before="1" w:line="251" w:lineRule="auto"/>
              <w:ind w:left="107" w:right="107"/>
            </w:pPr>
            <w:r>
              <w:rPr>
                <w:rFonts w:ascii="Times New Roman" w:hAnsi="Times New Roman" w:eastAsia="Times New Roman" w:cs="Times New Roman"/>
                <w:spacing w:val="7"/>
              </w:rPr>
              <w:t>3</w:t>
            </w:r>
            <w:r>
              <w:rPr>
                <w:spacing w:val="7"/>
              </w:rPr>
              <w:t>）可根据评价区生态环境特点以及植被现状，选择区域乡土物</w:t>
            </w:r>
            <w:r>
              <w:rPr>
                <w:spacing w:val="8"/>
              </w:rPr>
              <w:t>种进行植被恢复，保证绿化栽植的成活率。</w:t>
            </w:r>
          </w:p>
          <w:p w14:paraId="640C5549">
            <w:pPr>
              <w:pStyle w:val="6"/>
              <w:spacing w:line="228" w:lineRule="auto"/>
              <w:ind w:left="117"/>
            </w:pPr>
            <w:r>
              <w:rPr>
                <w:b/>
                <w:bCs/>
                <w:spacing w:val="5"/>
              </w:rPr>
              <w:t>（</w:t>
            </w:r>
            <w:r>
              <w:rPr>
                <w:rFonts w:ascii="Times New Roman" w:hAnsi="Times New Roman" w:eastAsia="Times New Roman" w:cs="Times New Roman"/>
                <w:b/>
                <w:bCs/>
                <w:spacing w:val="5"/>
              </w:rPr>
              <w:t>4</w:t>
            </w:r>
            <w:r>
              <w:rPr>
                <w:b/>
                <w:bCs/>
                <w:spacing w:val="5"/>
              </w:rPr>
              <w:t>）补偿措施</w:t>
            </w:r>
          </w:p>
          <w:p w14:paraId="72500A9A">
            <w:pPr>
              <w:pStyle w:val="6"/>
              <w:spacing w:before="25" w:line="251" w:lineRule="auto"/>
              <w:ind w:left="106" w:right="107" w:firstLine="17"/>
            </w:pPr>
            <w:r>
              <w:rPr>
                <w:rFonts w:ascii="Times New Roman" w:hAnsi="Times New Roman" w:eastAsia="Times New Roman" w:cs="Times New Roman"/>
                <w:spacing w:val="6"/>
              </w:rPr>
              <w:t>1</w:t>
            </w:r>
            <w:r>
              <w:rPr>
                <w:spacing w:val="6"/>
              </w:rPr>
              <w:t>）估算生态补偿费用以开展相关生态保护工作，使本工程建设</w:t>
            </w:r>
            <w:r>
              <w:rPr>
                <w:spacing w:val="9"/>
              </w:rPr>
              <w:t>及运行对生态环境产生的不利环境影响得到恢复。</w:t>
            </w:r>
          </w:p>
          <w:p w14:paraId="2330C35C">
            <w:pPr>
              <w:pStyle w:val="6"/>
              <w:spacing w:before="1" w:line="251" w:lineRule="auto"/>
              <w:ind w:left="105" w:right="36" w:hanging="2"/>
            </w:pPr>
            <w:r>
              <w:rPr>
                <w:rFonts w:ascii="Times New Roman" w:hAnsi="Times New Roman" w:eastAsia="Times New Roman" w:cs="Times New Roman"/>
                <w:spacing w:val="7"/>
              </w:rPr>
              <w:t>2</w:t>
            </w:r>
            <w:r>
              <w:rPr>
                <w:spacing w:val="7"/>
              </w:rPr>
              <w:t>）依托本工程建设单位作为补偿主体，划定生态保护及恢复工</w:t>
            </w:r>
            <w:r>
              <w:rPr>
                <w:spacing w:val="6"/>
              </w:rPr>
              <w:t>程的相关费用。以资金方式补偿保障生态环保工作的实施效果。</w:t>
            </w:r>
          </w:p>
          <w:p w14:paraId="6FC5CAD7">
            <w:pPr>
              <w:pStyle w:val="6"/>
              <w:spacing w:before="1" w:line="227" w:lineRule="auto"/>
              <w:ind w:left="117"/>
            </w:pPr>
            <w:r>
              <w:rPr>
                <w:b/>
                <w:bCs/>
                <w:spacing w:val="5"/>
              </w:rPr>
              <w:t>（</w:t>
            </w:r>
            <w:r>
              <w:rPr>
                <w:rFonts w:ascii="Times New Roman" w:hAnsi="Times New Roman" w:eastAsia="Times New Roman" w:cs="Times New Roman"/>
                <w:b/>
                <w:bCs/>
                <w:spacing w:val="5"/>
              </w:rPr>
              <w:t>5</w:t>
            </w:r>
            <w:r>
              <w:rPr>
                <w:b/>
                <w:bCs/>
                <w:spacing w:val="5"/>
              </w:rPr>
              <w:t>）管理措施</w:t>
            </w:r>
          </w:p>
          <w:p w14:paraId="692AB5D7">
            <w:pPr>
              <w:pStyle w:val="6"/>
              <w:spacing w:before="27" w:line="233" w:lineRule="auto"/>
              <w:ind w:left="108" w:right="107" w:firstLine="15"/>
            </w:pPr>
            <w:r>
              <w:rPr>
                <w:rFonts w:ascii="Times New Roman" w:hAnsi="Times New Roman" w:eastAsia="Times New Roman" w:cs="Times New Roman"/>
                <w:spacing w:val="6"/>
              </w:rPr>
              <w:t>1</w:t>
            </w:r>
            <w:r>
              <w:rPr>
                <w:spacing w:val="6"/>
              </w:rPr>
              <w:t>）施工前印发环境保护手册，组织专业人员对施工人员进行环</w:t>
            </w:r>
            <w:r>
              <w:rPr>
                <w:spacing w:val="8"/>
              </w:rPr>
              <w:t>保宣传教育，在施工期严格控制施工红线。</w:t>
            </w:r>
          </w:p>
        </w:tc>
        <w:tc>
          <w:tcPr>
            <w:tcW w:w="1612" w:type="dxa"/>
            <w:tcBorders>
              <w:left w:val="single" w:color="000000" w:sz="2" w:space="0"/>
              <w:right w:val="single" w:color="000000" w:sz="2" w:space="0"/>
            </w:tcBorders>
            <w:vAlign w:val="top"/>
          </w:tcPr>
          <w:p w14:paraId="181C467E">
            <w:pPr>
              <w:rPr>
                <w:rFonts w:ascii="Arial"/>
                <w:sz w:val="21"/>
              </w:rPr>
            </w:pPr>
          </w:p>
        </w:tc>
        <w:tc>
          <w:tcPr>
            <w:tcW w:w="3572" w:type="dxa"/>
            <w:tcBorders>
              <w:left w:val="single" w:color="000000" w:sz="2" w:space="0"/>
              <w:right w:val="single" w:color="000000" w:sz="2" w:space="0"/>
            </w:tcBorders>
            <w:vAlign w:val="top"/>
          </w:tcPr>
          <w:p w14:paraId="795B8EBA">
            <w:pPr>
              <w:pStyle w:val="6"/>
              <w:spacing w:before="26" w:line="228" w:lineRule="auto"/>
              <w:ind w:left="114"/>
            </w:pPr>
            <w:r>
              <w:rPr>
                <w:spacing w:val="8"/>
              </w:rPr>
              <w:t>边的动植物及生态环境进行破坏。</w:t>
            </w:r>
          </w:p>
        </w:tc>
        <w:tc>
          <w:tcPr>
            <w:tcW w:w="1698" w:type="dxa"/>
            <w:tcBorders>
              <w:left w:val="single" w:color="000000" w:sz="2" w:space="0"/>
            </w:tcBorders>
            <w:vAlign w:val="top"/>
          </w:tcPr>
          <w:p w14:paraId="283CD02F">
            <w:pPr>
              <w:rPr>
                <w:rFonts w:ascii="Arial"/>
                <w:sz w:val="21"/>
              </w:rPr>
            </w:pPr>
          </w:p>
        </w:tc>
      </w:tr>
    </w:tbl>
    <w:p w14:paraId="0CE48B8A">
      <w:pPr>
        <w:rPr>
          <w:rFonts w:ascii="Arial"/>
          <w:sz w:val="21"/>
        </w:rPr>
      </w:pPr>
    </w:p>
    <w:p w14:paraId="796B15EF">
      <w:pPr>
        <w:rPr>
          <w:rFonts w:ascii="Arial" w:hAnsi="Arial" w:eastAsia="Arial" w:cs="Arial"/>
          <w:sz w:val="21"/>
          <w:szCs w:val="21"/>
        </w:rPr>
        <w:sectPr>
          <w:footerReference r:id="rId144" w:type="default"/>
          <w:pgSz w:w="16839" w:h="11906"/>
          <w:pgMar w:top="400" w:right="1299" w:bottom="1240" w:left="1413" w:header="0" w:footer="1078" w:gutter="0"/>
          <w:cols w:space="720" w:num="1"/>
        </w:sectPr>
      </w:pPr>
    </w:p>
    <w:p w14:paraId="12B21BBF">
      <w:pPr>
        <w:spacing w:before="8"/>
      </w:pPr>
    </w:p>
    <w:p w14:paraId="1DD461BD">
      <w:pPr>
        <w:spacing w:before="7"/>
      </w:pPr>
    </w:p>
    <w:p w14:paraId="019612F8">
      <w:pPr>
        <w:spacing w:before="7"/>
      </w:pPr>
    </w:p>
    <w:p w14:paraId="42092B47">
      <w:pPr>
        <w:spacing w:before="7"/>
      </w:pPr>
    </w:p>
    <w:p w14:paraId="37771953">
      <w:pPr>
        <w:spacing w:before="7"/>
      </w:pPr>
    </w:p>
    <w:tbl>
      <w:tblPr>
        <w:tblStyle w:val="5"/>
        <w:tblW w:w="1411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9"/>
        <w:gridCol w:w="5919"/>
        <w:gridCol w:w="1612"/>
        <w:gridCol w:w="3572"/>
        <w:gridCol w:w="1698"/>
      </w:tblGrid>
      <w:tr w14:paraId="5D4C2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7" w:hRule="atLeast"/>
        </w:trPr>
        <w:tc>
          <w:tcPr>
            <w:tcW w:w="1309" w:type="dxa"/>
            <w:tcBorders>
              <w:top w:val="single" w:color="000000" w:sz="6" w:space="0"/>
              <w:left w:val="single" w:color="000000" w:sz="6" w:space="0"/>
            </w:tcBorders>
            <w:vAlign w:val="top"/>
          </w:tcPr>
          <w:p w14:paraId="135BFA23">
            <w:pPr>
              <w:rPr>
                <w:rFonts w:ascii="Arial"/>
                <w:sz w:val="21"/>
              </w:rPr>
            </w:pPr>
          </w:p>
        </w:tc>
        <w:tc>
          <w:tcPr>
            <w:tcW w:w="5919" w:type="dxa"/>
            <w:tcBorders>
              <w:top w:val="single" w:color="000000" w:sz="6" w:space="0"/>
            </w:tcBorders>
            <w:vAlign w:val="top"/>
          </w:tcPr>
          <w:p w14:paraId="44CDC86C">
            <w:pPr>
              <w:pStyle w:val="6"/>
              <w:spacing w:before="26" w:line="251" w:lineRule="auto"/>
              <w:ind w:left="107" w:right="36" w:hanging="4"/>
            </w:pPr>
            <w:r>
              <w:rPr>
                <w:rFonts w:ascii="Times New Roman" w:hAnsi="Times New Roman" w:eastAsia="Times New Roman" w:cs="Times New Roman"/>
                <w:spacing w:val="7"/>
              </w:rPr>
              <w:t>2</w:t>
            </w:r>
            <w:r>
              <w:rPr>
                <w:spacing w:val="7"/>
              </w:rPr>
              <w:t>）设立警示牌，规范施工人员行为。加强公众的野生动物保护</w:t>
            </w:r>
            <w:r>
              <w:rPr>
                <w:spacing w:val="9"/>
              </w:rPr>
              <w:t>和生态环境的保护意识教育，严禁捕猎野生动物和破坏动物生境的行为；在人员活动较多和较集中的区域，如工棚附近，粘</w:t>
            </w:r>
            <w:r>
              <w:rPr>
                <w:spacing w:val="6"/>
              </w:rPr>
              <w:t>贴和设置环境保护方面的警示牌，提醒人们依法保护自然环境。</w:t>
            </w:r>
          </w:p>
          <w:p w14:paraId="431919BE">
            <w:pPr>
              <w:pStyle w:val="6"/>
              <w:spacing w:before="2" w:line="251" w:lineRule="auto"/>
              <w:ind w:left="108" w:right="107"/>
            </w:pPr>
            <w:r>
              <w:rPr>
                <w:rFonts w:ascii="Times New Roman" w:hAnsi="Times New Roman" w:eastAsia="Times New Roman" w:cs="Times New Roman"/>
                <w:spacing w:val="7"/>
              </w:rPr>
              <w:t>3</w:t>
            </w:r>
            <w:r>
              <w:rPr>
                <w:spacing w:val="7"/>
              </w:rPr>
              <w:t>）在工程建设期，加强防护，在施工区及周围山上竖立防火警</w:t>
            </w:r>
            <w:r>
              <w:rPr>
                <w:spacing w:val="9"/>
              </w:rPr>
              <w:t>示牌，禁止施工人员吸烟，巡回检查，搞好消防队伍及设施的</w:t>
            </w:r>
            <w:r>
              <w:rPr>
                <w:spacing w:val="8"/>
              </w:rPr>
              <w:t>建设等，预防和杜绝火灾。</w:t>
            </w:r>
          </w:p>
          <w:p w14:paraId="34D77344">
            <w:pPr>
              <w:pStyle w:val="6"/>
              <w:spacing w:line="226" w:lineRule="auto"/>
              <w:ind w:left="117"/>
            </w:pPr>
            <w:r>
              <w:rPr>
                <w:b/>
                <w:bCs/>
                <w:spacing w:val="6"/>
              </w:rPr>
              <w:t>（</w:t>
            </w:r>
            <w:r>
              <w:rPr>
                <w:rFonts w:ascii="Times New Roman" w:hAnsi="Times New Roman" w:eastAsia="Times New Roman" w:cs="Times New Roman"/>
                <w:b/>
                <w:bCs/>
                <w:spacing w:val="6"/>
              </w:rPr>
              <w:t>6</w:t>
            </w:r>
            <w:r>
              <w:rPr>
                <w:b/>
                <w:bCs/>
                <w:spacing w:val="6"/>
              </w:rPr>
              <w:t>）基本农田保护措施</w:t>
            </w:r>
          </w:p>
          <w:p w14:paraId="4810EC32">
            <w:pPr>
              <w:pStyle w:val="6"/>
              <w:spacing w:before="24" w:line="252" w:lineRule="auto"/>
              <w:ind w:left="106" w:right="36" w:firstLine="17"/>
            </w:pPr>
            <w:r>
              <w:rPr>
                <w:rFonts w:ascii="Times New Roman" w:hAnsi="Times New Roman" w:eastAsia="Times New Roman" w:cs="Times New Roman"/>
                <w:spacing w:val="6"/>
              </w:rPr>
              <w:t>1</w:t>
            </w:r>
            <w:r>
              <w:rPr>
                <w:spacing w:val="6"/>
              </w:rPr>
              <w:t>）塔基永久占地严格控制征地范围进行施工，临时占地不得随</w:t>
            </w:r>
            <w:r>
              <w:rPr>
                <w:spacing w:val="11"/>
              </w:rPr>
              <w:t>意占用基本农田，严格控制临时占地范围；塔基施工占用基本</w:t>
            </w:r>
            <w:r>
              <w:rPr>
                <w:spacing w:val="6"/>
              </w:rPr>
              <w:t>农田时，施工前应进行表土剥离，将表土单独堆存并做好覆盖、</w:t>
            </w:r>
            <w:r>
              <w:rPr>
                <w:spacing w:val="11"/>
              </w:rPr>
              <w:t>拦挡等防护措施，施工结束后用于项目区植被恢复或耕作区域</w:t>
            </w:r>
            <w:r>
              <w:rPr>
                <w:spacing w:val="6"/>
              </w:rPr>
              <w:t>表层覆土。</w:t>
            </w:r>
          </w:p>
          <w:p w14:paraId="1AA6E84F">
            <w:pPr>
              <w:pStyle w:val="6"/>
              <w:spacing w:before="1" w:line="251" w:lineRule="auto"/>
              <w:ind w:left="107" w:right="106" w:hanging="4"/>
            </w:pPr>
            <w:r>
              <w:rPr>
                <w:rFonts w:ascii="Times New Roman" w:hAnsi="Times New Roman" w:eastAsia="Times New Roman" w:cs="Times New Roman"/>
                <w:spacing w:val="7"/>
              </w:rPr>
              <w:t>2</w:t>
            </w:r>
            <w:r>
              <w:rPr>
                <w:spacing w:val="7"/>
              </w:rPr>
              <w:t>）保存永久占地和临时占地的熟化土，为植被恢复提供良好的</w:t>
            </w:r>
            <w:r>
              <w:rPr>
                <w:spacing w:val="11"/>
              </w:rPr>
              <w:t>土壤。对建设中永久占用农田部分的表层土予以收集保存，剥</w:t>
            </w:r>
            <w:r>
              <w:rPr>
                <w:spacing w:val="5"/>
              </w:rPr>
              <w:t>离表层土并回填（厚度</w:t>
            </w:r>
            <w:r>
              <w:rPr>
                <w:rFonts w:ascii="Times New Roman" w:hAnsi="Times New Roman" w:eastAsia="Times New Roman" w:cs="Times New Roman"/>
                <w:spacing w:val="5"/>
              </w:rPr>
              <w:t xml:space="preserve">≥0.6 </w:t>
            </w:r>
            <w:r>
              <w:rPr>
                <w:spacing w:val="5"/>
              </w:rPr>
              <w:t>米</w:t>
            </w:r>
            <w:r>
              <w:rPr>
                <w:spacing w:val="-29"/>
              </w:rPr>
              <w:t>），</w:t>
            </w:r>
            <w:r>
              <w:rPr>
                <w:spacing w:val="5"/>
              </w:rPr>
              <w:t>混合有机肥或土壤改良剂（微</w:t>
            </w:r>
            <w:r>
              <w:rPr>
                <w:spacing w:val="9"/>
              </w:rPr>
              <w:t>生物菌剂）</w:t>
            </w:r>
            <w:r>
              <w:rPr>
                <w:spacing w:val="-46"/>
              </w:rPr>
              <w:t xml:space="preserve"> </w:t>
            </w:r>
            <w:r>
              <w:rPr>
                <w:spacing w:val="9"/>
              </w:rPr>
              <w:t>以提升肥力，加速土壤熟化；施工及时清除杂物，</w:t>
            </w:r>
            <w:r>
              <w:rPr>
                <w:spacing w:val="8"/>
              </w:rPr>
              <w:t>并翻松原状土（深度</w:t>
            </w:r>
            <w:r>
              <w:rPr>
                <w:rFonts w:ascii="Times New Roman" w:hAnsi="Times New Roman" w:eastAsia="Times New Roman" w:cs="Times New Roman"/>
                <w:spacing w:val="8"/>
              </w:rPr>
              <w:t xml:space="preserve">≥50 </w:t>
            </w:r>
            <w:r>
              <w:rPr>
                <w:spacing w:val="8"/>
              </w:rPr>
              <w:t>厘米</w:t>
            </w:r>
            <w:r>
              <w:rPr>
                <w:spacing w:val="14"/>
              </w:rPr>
              <w:t>），</w:t>
            </w:r>
            <w:r>
              <w:rPr>
                <w:spacing w:val="8"/>
              </w:rPr>
              <w:t>机械与人工结合整平土地；</w:t>
            </w:r>
          </w:p>
          <w:p w14:paraId="7CA4CD04">
            <w:pPr>
              <w:pStyle w:val="6"/>
              <w:spacing w:before="1" w:line="251" w:lineRule="auto"/>
              <w:ind w:left="107" w:right="107"/>
            </w:pPr>
            <w:r>
              <w:rPr>
                <w:rFonts w:ascii="Times New Roman" w:hAnsi="Times New Roman" w:eastAsia="Times New Roman" w:cs="Times New Roman"/>
                <w:spacing w:val="7"/>
              </w:rPr>
              <w:t>3</w:t>
            </w:r>
            <w:r>
              <w:rPr>
                <w:spacing w:val="7"/>
              </w:rPr>
              <w:t>）施工人员应从永久基本农田区域外绕行至塔基位置实施掏挖基坑和组立铁塔。</w:t>
            </w:r>
          </w:p>
          <w:p w14:paraId="03FDF1B0">
            <w:pPr>
              <w:pStyle w:val="6"/>
              <w:spacing w:line="251" w:lineRule="auto"/>
              <w:ind w:left="109" w:right="107" w:hanging="7"/>
            </w:pPr>
            <w:r>
              <w:rPr>
                <w:rFonts w:ascii="Times New Roman" w:hAnsi="Times New Roman" w:eastAsia="Times New Roman" w:cs="Times New Roman"/>
                <w:spacing w:val="7"/>
              </w:rPr>
              <w:t>4</w:t>
            </w:r>
            <w:r>
              <w:rPr>
                <w:spacing w:val="7"/>
              </w:rPr>
              <w:t>）使用无人机架设牵引绳牵引导线、牵张工艺拉紧导线的施工</w:t>
            </w:r>
            <w:r>
              <w:rPr>
                <w:spacing w:val="10"/>
              </w:rPr>
              <w:t>工艺，不在永久基本农田范围内设置</w:t>
            </w:r>
            <w:r>
              <w:rPr>
                <w:rFonts w:ascii="Times New Roman" w:hAnsi="Times New Roman" w:eastAsia="Times New Roman" w:cs="Times New Roman"/>
                <w:spacing w:val="10"/>
              </w:rPr>
              <w:t>“</w:t>
            </w:r>
            <w:r>
              <w:rPr>
                <w:spacing w:val="10"/>
              </w:rPr>
              <w:t>三场</w:t>
            </w:r>
            <w:r>
              <w:rPr>
                <w:rFonts w:ascii="Times New Roman" w:hAnsi="Times New Roman" w:eastAsia="Times New Roman" w:cs="Times New Roman"/>
                <w:spacing w:val="10"/>
              </w:rPr>
              <w:t>”</w:t>
            </w:r>
            <w:r>
              <w:rPr>
                <w:rFonts w:ascii="Times New Roman" w:hAnsi="Times New Roman" w:eastAsia="Times New Roman" w:cs="Times New Roman"/>
                <w:spacing w:val="-12"/>
              </w:rPr>
              <w:t xml:space="preserve"> </w:t>
            </w:r>
            <w:r>
              <w:rPr>
                <w:spacing w:val="10"/>
              </w:rPr>
              <w:t>以及牵张场、施工</w:t>
            </w:r>
            <w:r>
              <w:rPr>
                <w:spacing w:val="7"/>
              </w:rPr>
              <w:t>营地等施工场地。</w:t>
            </w:r>
          </w:p>
          <w:p w14:paraId="1FF6E528">
            <w:pPr>
              <w:pStyle w:val="6"/>
              <w:spacing w:before="2" w:line="229" w:lineRule="auto"/>
              <w:ind w:left="107" w:right="107" w:firstLine="1"/>
            </w:pPr>
            <w:r>
              <w:rPr>
                <w:rFonts w:ascii="Times New Roman" w:hAnsi="Times New Roman" w:eastAsia="Times New Roman" w:cs="Times New Roman"/>
                <w:spacing w:val="7"/>
              </w:rPr>
              <w:t>5</w:t>
            </w:r>
            <w:r>
              <w:rPr>
                <w:spacing w:val="7"/>
              </w:rPr>
              <w:t>）对临时占用的基本农田，施工结束后及时进行复耕，发展生</w:t>
            </w:r>
            <w:r>
              <w:rPr>
                <w:spacing w:val="8"/>
              </w:rPr>
              <w:t>态农业，提高土地的综合利用率。</w:t>
            </w:r>
          </w:p>
        </w:tc>
        <w:tc>
          <w:tcPr>
            <w:tcW w:w="1612" w:type="dxa"/>
            <w:tcBorders>
              <w:top w:val="single" w:color="000000" w:sz="6" w:space="0"/>
            </w:tcBorders>
            <w:vAlign w:val="top"/>
          </w:tcPr>
          <w:p w14:paraId="3D64F17B">
            <w:pPr>
              <w:rPr>
                <w:rFonts w:ascii="Arial"/>
                <w:sz w:val="21"/>
              </w:rPr>
            </w:pPr>
          </w:p>
        </w:tc>
        <w:tc>
          <w:tcPr>
            <w:tcW w:w="3572" w:type="dxa"/>
            <w:tcBorders>
              <w:top w:val="single" w:color="000000" w:sz="6" w:space="0"/>
            </w:tcBorders>
            <w:vAlign w:val="top"/>
          </w:tcPr>
          <w:p w14:paraId="3AC3CD14">
            <w:pPr>
              <w:rPr>
                <w:rFonts w:ascii="Arial"/>
                <w:sz w:val="21"/>
              </w:rPr>
            </w:pPr>
          </w:p>
        </w:tc>
        <w:tc>
          <w:tcPr>
            <w:tcW w:w="1698" w:type="dxa"/>
            <w:tcBorders>
              <w:top w:val="single" w:color="000000" w:sz="6" w:space="0"/>
              <w:right w:val="single" w:color="000000" w:sz="6" w:space="0"/>
            </w:tcBorders>
            <w:vAlign w:val="top"/>
          </w:tcPr>
          <w:p w14:paraId="68CC6CB2">
            <w:pPr>
              <w:rPr>
                <w:rFonts w:ascii="Arial"/>
                <w:sz w:val="21"/>
              </w:rPr>
            </w:pPr>
          </w:p>
        </w:tc>
      </w:tr>
      <w:tr w14:paraId="2FFBB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309" w:type="dxa"/>
            <w:tcBorders>
              <w:left w:val="single" w:color="000000" w:sz="6" w:space="0"/>
            </w:tcBorders>
            <w:vAlign w:val="top"/>
          </w:tcPr>
          <w:p w14:paraId="314E4F22">
            <w:pPr>
              <w:pStyle w:val="6"/>
              <w:spacing w:before="244" w:line="228" w:lineRule="auto"/>
              <w:ind w:left="235"/>
            </w:pPr>
            <w:r>
              <w:rPr>
                <w:spacing w:val="6"/>
              </w:rPr>
              <w:t>水生生态</w:t>
            </w:r>
          </w:p>
        </w:tc>
        <w:tc>
          <w:tcPr>
            <w:tcW w:w="5919" w:type="dxa"/>
            <w:vAlign w:val="top"/>
          </w:tcPr>
          <w:p w14:paraId="5685450C">
            <w:pPr>
              <w:spacing w:before="277" w:line="199" w:lineRule="auto"/>
              <w:ind w:left="29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12" w:type="dxa"/>
            <w:vAlign w:val="top"/>
          </w:tcPr>
          <w:p w14:paraId="194B5B36">
            <w:pPr>
              <w:spacing w:before="277" w:line="199" w:lineRule="auto"/>
              <w:ind w:left="7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572" w:type="dxa"/>
            <w:vAlign w:val="top"/>
          </w:tcPr>
          <w:p w14:paraId="619504AB">
            <w:pPr>
              <w:spacing w:before="277" w:line="199" w:lineRule="auto"/>
              <w:ind w:left="17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98" w:type="dxa"/>
            <w:tcBorders>
              <w:right w:val="single" w:color="000000" w:sz="6" w:space="0"/>
            </w:tcBorders>
            <w:vAlign w:val="top"/>
          </w:tcPr>
          <w:p w14:paraId="4695AE8E">
            <w:pPr>
              <w:spacing w:before="277" w:line="199" w:lineRule="auto"/>
              <w:ind w:left="81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75286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04" w:hRule="atLeast"/>
        </w:trPr>
        <w:tc>
          <w:tcPr>
            <w:tcW w:w="1309" w:type="dxa"/>
            <w:tcBorders>
              <w:left w:val="single" w:color="000000" w:sz="6" w:space="0"/>
              <w:bottom w:val="single" w:color="000000" w:sz="6" w:space="0"/>
            </w:tcBorders>
            <w:vAlign w:val="top"/>
          </w:tcPr>
          <w:p w14:paraId="1AF6FAB2">
            <w:pPr>
              <w:spacing w:line="383" w:lineRule="auto"/>
              <w:rPr>
                <w:rFonts w:ascii="Arial"/>
                <w:sz w:val="21"/>
              </w:rPr>
            </w:pPr>
          </w:p>
          <w:p w14:paraId="46B238C7">
            <w:pPr>
              <w:pStyle w:val="6"/>
              <w:spacing w:before="65" w:line="228" w:lineRule="auto"/>
              <w:ind w:left="127"/>
            </w:pPr>
            <w:r>
              <w:rPr>
                <w:spacing w:val="8"/>
              </w:rPr>
              <w:t>地表水环境</w:t>
            </w:r>
          </w:p>
        </w:tc>
        <w:tc>
          <w:tcPr>
            <w:tcW w:w="5919" w:type="dxa"/>
            <w:tcBorders>
              <w:bottom w:val="single" w:color="000000" w:sz="6" w:space="0"/>
            </w:tcBorders>
            <w:vAlign w:val="top"/>
          </w:tcPr>
          <w:p w14:paraId="4BFD555C">
            <w:pPr>
              <w:pStyle w:val="6"/>
              <w:spacing w:before="43" w:line="251" w:lineRule="auto"/>
              <w:ind w:left="111" w:right="107" w:firstLine="5"/>
            </w:pPr>
            <w:r>
              <w:rPr>
                <w:spacing w:val="7"/>
              </w:rPr>
              <w:t>（</w:t>
            </w:r>
            <w:r>
              <w:rPr>
                <w:rFonts w:ascii="Times New Roman" w:hAnsi="Times New Roman" w:eastAsia="Times New Roman" w:cs="Times New Roman"/>
                <w:spacing w:val="7"/>
              </w:rPr>
              <w:t>1</w:t>
            </w:r>
            <w:r>
              <w:rPr>
                <w:spacing w:val="7"/>
              </w:rPr>
              <w:t>）本项目施工人员依托附近村庄生活设施</w:t>
            </w:r>
            <w:r>
              <w:rPr>
                <w:spacing w:val="6"/>
              </w:rPr>
              <w:t>，不在现场设施工</w:t>
            </w:r>
            <w:r>
              <w:rPr>
                <w:spacing w:val="11"/>
              </w:rPr>
              <w:t>营地，施工人员生活污水依托附近村庄居民生活污水</w:t>
            </w:r>
            <w:r>
              <w:rPr>
                <w:spacing w:val="10"/>
              </w:rPr>
              <w:t>设施一起</w:t>
            </w:r>
            <w:r>
              <w:rPr>
                <w:spacing w:val="1"/>
              </w:rPr>
              <w:t>处理。</w:t>
            </w:r>
          </w:p>
          <w:p w14:paraId="7EC51F6B">
            <w:pPr>
              <w:pStyle w:val="6"/>
              <w:spacing w:line="216" w:lineRule="auto"/>
              <w:ind w:left="117"/>
            </w:pPr>
            <w:r>
              <w:rPr>
                <w:spacing w:val="7"/>
              </w:rPr>
              <w:t>（</w:t>
            </w:r>
            <w:r>
              <w:rPr>
                <w:rFonts w:ascii="Times New Roman" w:hAnsi="Times New Roman" w:eastAsia="Times New Roman" w:cs="Times New Roman"/>
                <w:spacing w:val="7"/>
              </w:rPr>
              <w:t>2</w:t>
            </w:r>
            <w:r>
              <w:rPr>
                <w:spacing w:val="7"/>
              </w:rPr>
              <w:t>）不在现场进行机械设备清洗；每个塔基</w:t>
            </w:r>
            <w:r>
              <w:rPr>
                <w:spacing w:val="6"/>
              </w:rPr>
              <w:t>处施工人员洗手废</w:t>
            </w:r>
          </w:p>
        </w:tc>
        <w:tc>
          <w:tcPr>
            <w:tcW w:w="1612" w:type="dxa"/>
            <w:tcBorders>
              <w:bottom w:val="single" w:color="000000" w:sz="6" w:space="0"/>
            </w:tcBorders>
            <w:vAlign w:val="top"/>
          </w:tcPr>
          <w:p w14:paraId="2F829265">
            <w:pPr>
              <w:pStyle w:val="6"/>
              <w:spacing w:before="45" w:line="242" w:lineRule="auto"/>
              <w:ind w:left="113" w:right="103"/>
              <w:jc w:val="both"/>
            </w:pPr>
            <w:r>
              <w:rPr>
                <w:spacing w:val="31"/>
              </w:rPr>
              <w:t>施工期的各项地表水环境保护措施应按照环境影响评价</w:t>
            </w:r>
          </w:p>
        </w:tc>
        <w:tc>
          <w:tcPr>
            <w:tcW w:w="3572" w:type="dxa"/>
            <w:tcBorders>
              <w:bottom w:val="single" w:color="000000" w:sz="6" w:space="0"/>
            </w:tcBorders>
            <w:vAlign w:val="top"/>
          </w:tcPr>
          <w:p w14:paraId="0020CDBF">
            <w:pPr>
              <w:pStyle w:val="6"/>
              <w:spacing w:before="45" w:line="242" w:lineRule="auto"/>
              <w:ind w:left="115" w:right="99" w:firstLine="9"/>
              <w:jc w:val="both"/>
            </w:pPr>
            <w:r>
              <w:rPr>
                <w:spacing w:val="2"/>
              </w:rPr>
              <w:t>（</w:t>
            </w:r>
            <w:r>
              <w:rPr>
                <w:rFonts w:ascii="Times New Roman" w:hAnsi="Times New Roman" w:eastAsia="Times New Roman" w:cs="Times New Roman"/>
                <w:spacing w:val="2"/>
              </w:rPr>
              <w:t>1</w:t>
            </w:r>
            <w:r>
              <w:rPr>
                <w:spacing w:val="2"/>
              </w:rPr>
              <w:t>）松山变电站采用雨污分流排水系</w:t>
            </w:r>
            <w:r>
              <w:rPr>
                <w:spacing w:val="8"/>
              </w:rPr>
              <w:t>统，在变电站设置一个容积</w:t>
            </w:r>
            <w:r>
              <w:rPr>
                <w:spacing w:val="-27"/>
              </w:rPr>
              <w:t xml:space="preserve"> </w:t>
            </w:r>
            <w:r>
              <w:rPr>
                <w:rFonts w:ascii="Times New Roman" w:hAnsi="Times New Roman" w:eastAsia="Times New Roman" w:cs="Times New Roman"/>
                <w:spacing w:val="8"/>
              </w:rPr>
              <w:t>2.0m</w:t>
            </w:r>
            <w:r>
              <w:rPr>
                <w:rFonts w:ascii="Times New Roman" w:hAnsi="Times New Roman" w:eastAsia="Times New Roman" w:cs="Times New Roman"/>
                <w:spacing w:val="8"/>
                <w:position w:val="6"/>
                <w:sz w:val="13"/>
                <w:szCs w:val="13"/>
              </w:rPr>
              <w:t>3</w:t>
            </w:r>
            <w:r>
              <w:rPr>
                <w:rFonts w:ascii="Times New Roman" w:hAnsi="Times New Roman" w:eastAsia="Times New Roman" w:cs="Times New Roman"/>
                <w:spacing w:val="30"/>
                <w:position w:val="6"/>
                <w:sz w:val="13"/>
                <w:szCs w:val="13"/>
              </w:rPr>
              <w:t xml:space="preserve"> </w:t>
            </w:r>
            <w:r>
              <w:rPr>
                <w:spacing w:val="8"/>
              </w:rPr>
              <w:t>的</w:t>
            </w:r>
            <w:r>
              <w:rPr>
                <w:spacing w:val="9"/>
              </w:rPr>
              <w:t>化粪池，对变电站生活污水进行预处</w:t>
            </w:r>
            <w:r>
              <w:rPr>
                <w:spacing w:val="7"/>
              </w:rPr>
              <w:t>理。预处理后的生活污水再经</w:t>
            </w:r>
            <w:r>
              <w:rPr>
                <w:spacing w:val="-22"/>
              </w:rPr>
              <w:t xml:space="preserve"> </w:t>
            </w:r>
            <w:r>
              <w:rPr>
                <w:rFonts w:ascii="Times New Roman" w:hAnsi="Times New Roman" w:eastAsia="Times New Roman" w:cs="Times New Roman"/>
                <w:spacing w:val="7"/>
              </w:rPr>
              <w:t xml:space="preserve">1 </w:t>
            </w:r>
            <w:r>
              <w:rPr>
                <w:spacing w:val="7"/>
              </w:rPr>
              <w:t>座规</w:t>
            </w:r>
          </w:p>
        </w:tc>
        <w:tc>
          <w:tcPr>
            <w:tcW w:w="1698" w:type="dxa"/>
            <w:tcBorders>
              <w:bottom w:val="single" w:color="000000" w:sz="6" w:space="0"/>
              <w:right w:val="single" w:color="000000" w:sz="6" w:space="0"/>
            </w:tcBorders>
            <w:vAlign w:val="top"/>
          </w:tcPr>
          <w:p w14:paraId="77985915">
            <w:pPr>
              <w:pStyle w:val="6"/>
              <w:spacing w:before="45" w:line="242" w:lineRule="auto"/>
              <w:ind w:left="118" w:right="103"/>
              <w:jc w:val="both"/>
            </w:pPr>
            <w:r>
              <w:rPr>
                <w:spacing w:val="9"/>
              </w:rPr>
              <w:t>废水合规处置，禁止外排。回用</w:t>
            </w:r>
            <w:r>
              <w:rPr>
                <w:spacing w:val="44"/>
              </w:rPr>
              <w:t>废水水质满足</w:t>
            </w:r>
            <w:r>
              <w:rPr>
                <w:spacing w:val="32"/>
              </w:rPr>
              <w:t>《</w:t>
            </w:r>
            <w:r>
              <w:rPr>
                <w:spacing w:val="-27"/>
              </w:rPr>
              <w:t xml:space="preserve"> </w:t>
            </w:r>
            <w:r>
              <w:rPr>
                <w:spacing w:val="32"/>
              </w:rPr>
              <w:t>城市污水再</w:t>
            </w:r>
          </w:p>
        </w:tc>
      </w:tr>
    </w:tbl>
    <w:p w14:paraId="66FBA920">
      <w:pPr>
        <w:rPr>
          <w:rFonts w:ascii="Arial"/>
          <w:sz w:val="21"/>
        </w:rPr>
      </w:pPr>
    </w:p>
    <w:p w14:paraId="7C1C6CCB">
      <w:pPr>
        <w:rPr>
          <w:rFonts w:ascii="Arial" w:hAnsi="Arial" w:eastAsia="Arial" w:cs="Arial"/>
          <w:sz w:val="21"/>
          <w:szCs w:val="21"/>
        </w:rPr>
        <w:sectPr>
          <w:footerReference r:id="rId145" w:type="default"/>
          <w:pgSz w:w="16839" w:h="11906"/>
          <w:pgMar w:top="400" w:right="1299" w:bottom="1240" w:left="1413" w:header="0" w:footer="1078" w:gutter="0"/>
          <w:cols w:space="720" w:num="1"/>
        </w:sectPr>
      </w:pPr>
    </w:p>
    <w:p w14:paraId="74ED636A">
      <w:pPr>
        <w:spacing w:before="8"/>
      </w:pPr>
    </w:p>
    <w:p w14:paraId="0E0CC254">
      <w:pPr>
        <w:spacing w:before="7"/>
      </w:pPr>
    </w:p>
    <w:p w14:paraId="333EC309">
      <w:pPr>
        <w:spacing w:before="7"/>
      </w:pPr>
    </w:p>
    <w:p w14:paraId="46ADB4D8">
      <w:pPr>
        <w:spacing w:before="7"/>
      </w:pPr>
    </w:p>
    <w:p w14:paraId="6FFB20BC">
      <w:pPr>
        <w:spacing w:before="7"/>
      </w:pPr>
    </w:p>
    <w:tbl>
      <w:tblPr>
        <w:tblStyle w:val="5"/>
        <w:tblW w:w="1411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9"/>
        <w:gridCol w:w="5919"/>
        <w:gridCol w:w="1612"/>
        <w:gridCol w:w="3572"/>
        <w:gridCol w:w="1698"/>
      </w:tblGrid>
      <w:tr w14:paraId="0959D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3" w:hRule="atLeast"/>
        </w:trPr>
        <w:tc>
          <w:tcPr>
            <w:tcW w:w="1309" w:type="dxa"/>
            <w:tcBorders>
              <w:top w:val="single" w:color="000000" w:sz="6" w:space="0"/>
              <w:left w:val="single" w:color="000000" w:sz="6" w:space="0"/>
            </w:tcBorders>
            <w:vAlign w:val="top"/>
          </w:tcPr>
          <w:p w14:paraId="06217AB8">
            <w:pPr>
              <w:rPr>
                <w:rFonts w:ascii="Arial"/>
                <w:sz w:val="21"/>
              </w:rPr>
            </w:pPr>
          </w:p>
        </w:tc>
        <w:tc>
          <w:tcPr>
            <w:tcW w:w="5919" w:type="dxa"/>
            <w:tcBorders>
              <w:top w:val="single" w:color="000000" w:sz="6" w:space="0"/>
            </w:tcBorders>
            <w:vAlign w:val="top"/>
          </w:tcPr>
          <w:p w14:paraId="419F2303">
            <w:pPr>
              <w:pStyle w:val="6"/>
              <w:spacing w:before="27" w:line="250" w:lineRule="auto"/>
              <w:ind w:left="110" w:right="107"/>
            </w:pPr>
            <w:r>
              <w:rPr>
                <w:spacing w:val="5"/>
              </w:rPr>
              <w:t>水用简易沉淀桶（</w:t>
            </w:r>
            <w:r>
              <w:rPr>
                <w:rFonts w:ascii="Times New Roman" w:hAnsi="Times New Roman" w:eastAsia="Times New Roman" w:cs="Times New Roman"/>
                <w:spacing w:val="5"/>
              </w:rPr>
              <w:t>0.5m</w:t>
            </w:r>
            <w:r>
              <w:rPr>
                <w:rFonts w:ascii="Times New Roman" w:hAnsi="Times New Roman" w:eastAsia="Times New Roman" w:cs="Times New Roman"/>
                <w:spacing w:val="5"/>
                <w:position w:val="6"/>
                <w:sz w:val="13"/>
                <w:szCs w:val="13"/>
              </w:rPr>
              <w:t>3</w:t>
            </w:r>
            <w:r>
              <w:rPr>
                <w:rFonts w:ascii="Times New Roman" w:hAnsi="Times New Roman" w:eastAsia="Times New Roman" w:cs="Times New Roman"/>
                <w:spacing w:val="5"/>
              </w:rPr>
              <w:t>/</w:t>
            </w:r>
            <w:r>
              <w:rPr>
                <w:spacing w:val="5"/>
              </w:rPr>
              <w:t>个）沉淀后就近回用于塔基施工作业和</w:t>
            </w:r>
            <w:r>
              <w:rPr>
                <w:spacing w:val="7"/>
              </w:rPr>
              <w:t>洒水降尘，不外排。</w:t>
            </w:r>
          </w:p>
          <w:p w14:paraId="0B5187A4">
            <w:pPr>
              <w:pStyle w:val="6"/>
              <w:spacing w:before="2" w:line="251" w:lineRule="auto"/>
              <w:ind w:left="106" w:right="107" w:firstLine="10"/>
            </w:pPr>
            <w:r>
              <w:rPr>
                <w:spacing w:val="7"/>
              </w:rPr>
              <w:t>（</w:t>
            </w:r>
            <w:r>
              <w:rPr>
                <w:rFonts w:ascii="Times New Roman" w:hAnsi="Times New Roman" w:eastAsia="Times New Roman" w:cs="Times New Roman"/>
                <w:spacing w:val="7"/>
              </w:rPr>
              <w:t>3</w:t>
            </w:r>
            <w:r>
              <w:rPr>
                <w:spacing w:val="7"/>
              </w:rPr>
              <w:t>）施工场地四周修建截水排水沟，并在出</w:t>
            </w:r>
            <w:r>
              <w:rPr>
                <w:spacing w:val="6"/>
              </w:rPr>
              <w:t>口设置沉砂池和拦</w:t>
            </w:r>
            <w:r>
              <w:rPr>
                <w:spacing w:val="11"/>
              </w:rPr>
              <w:t>砂网，将含泥沙的雨水经沉砂池沉淀后回用于施工过程及场地</w:t>
            </w:r>
            <w:r>
              <w:rPr>
                <w:spacing w:val="9"/>
              </w:rPr>
              <w:t>洒水降尘，回用不完的再顺流至附近自然沟渠。</w:t>
            </w:r>
          </w:p>
          <w:p w14:paraId="5C6725C3">
            <w:pPr>
              <w:pStyle w:val="6"/>
              <w:spacing w:line="251" w:lineRule="auto"/>
              <w:ind w:left="106" w:right="107" w:firstLine="10"/>
            </w:pPr>
            <w:r>
              <w:rPr>
                <w:spacing w:val="7"/>
              </w:rPr>
              <w:t>（</w:t>
            </w:r>
            <w:r>
              <w:rPr>
                <w:rFonts w:ascii="Times New Roman" w:hAnsi="Times New Roman" w:eastAsia="Times New Roman" w:cs="Times New Roman"/>
                <w:spacing w:val="7"/>
              </w:rPr>
              <w:t>4</w:t>
            </w:r>
            <w:r>
              <w:rPr>
                <w:spacing w:val="7"/>
              </w:rPr>
              <w:t>）施工现场如使用带油料的机械器具，应</w:t>
            </w:r>
            <w:r>
              <w:rPr>
                <w:spacing w:val="6"/>
              </w:rPr>
              <w:t>做好施工机械的日</w:t>
            </w:r>
            <w:r>
              <w:rPr>
                <w:spacing w:val="11"/>
              </w:rPr>
              <w:t>常维修保养，防止油料跑、冒、滴、漏现象。雨天应对各类机</w:t>
            </w:r>
            <w:r>
              <w:rPr>
                <w:spacing w:val="8"/>
              </w:rPr>
              <w:t>械、粉状物料进行遮盖防雨。</w:t>
            </w:r>
          </w:p>
          <w:p w14:paraId="36E2DB3A">
            <w:pPr>
              <w:pStyle w:val="6"/>
              <w:spacing w:before="3" w:line="247" w:lineRule="auto"/>
              <w:ind w:left="106" w:right="107" w:firstLine="11"/>
            </w:pPr>
            <w:r>
              <w:rPr>
                <w:spacing w:val="7"/>
              </w:rPr>
              <w:t>（</w:t>
            </w:r>
            <w:r>
              <w:rPr>
                <w:rFonts w:ascii="Times New Roman" w:hAnsi="Times New Roman" w:eastAsia="Times New Roman" w:cs="Times New Roman"/>
                <w:spacing w:val="7"/>
              </w:rPr>
              <w:t>5</w:t>
            </w:r>
            <w:r>
              <w:rPr>
                <w:spacing w:val="7"/>
              </w:rPr>
              <w:t>）在黑龙村水库附近施工的水环境保护措</w:t>
            </w:r>
            <w:r>
              <w:rPr>
                <w:spacing w:val="6"/>
              </w:rPr>
              <w:t>施：①在施工时应</w:t>
            </w:r>
            <w:r>
              <w:rPr>
                <w:spacing w:val="11"/>
              </w:rPr>
              <w:t>将施工场地尽量布置于远离水体处，并用彩旗、彩带等划定明确的施工范围，不得随意扩大；②在施工区域朝向水体的一侧应根据当地坡度情况，设置临时沟槽、水池等措施，减少下雨时施工区域的地表径流进入水体，收集的雨水可用于塔基基础养护或植被恢复。③施工中临时堆土点应远离水库，注意维护施工机械的正常运行，避免发生施工机械漏油并进入河流的事故，禁止向水体排放、倾倒废水、垃圾等。④邻近水库邻近水库施工时，落实文明施工原则，不漫排施工废水，采取有效的</w:t>
            </w:r>
            <w:r>
              <w:rPr>
                <w:spacing w:val="8"/>
              </w:rPr>
              <w:t>拦蓄措施，防止施工废水进入水库。</w:t>
            </w:r>
          </w:p>
        </w:tc>
        <w:tc>
          <w:tcPr>
            <w:tcW w:w="1612" w:type="dxa"/>
            <w:tcBorders>
              <w:top w:val="single" w:color="000000" w:sz="6" w:space="0"/>
            </w:tcBorders>
            <w:vAlign w:val="top"/>
          </w:tcPr>
          <w:p w14:paraId="686CA0FA">
            <w:pPr>
              <w:pStyle w:val="6"/>
              <w:spacing w:before="27" w:line="252" w:lineRule="auto"/>
              <w:ind w:left="116" w:right="103"/>
            </w:pPr>
            <w:r>
              <w:rPr>
                <w:spacing w:val="31"/>
              </w:rPr>
              <w:t>文件及批复要</w:t>
            </w:r>
            <w:r>
              <w:rPr>
                <w:spacing w:val="6"/>
              </w:rPr>
              <w:t>求落实到位。</w:t>
            </w:r>
          </w:p>
        </w:tc>
        <w:tc>
          <w:tcPr>
            <w:tcW w:w="3572" w:type="dxa"/>
            <w:tcBorders>
              <w:top w:val="single" w:color="000000" w:sz="6" w:space="0"/>
            </w:tcBorders>
            <w:vAlign w:val="top"/>
          </w:tcPr>
          <w:p w14:paraId="176C4B20">
            <w:pPr>
              <w:pStyle w:val="6"/>
              <w:spacing w:before="26" w:line="251" w:lineRule="auto"/>
              <w:ind w:left="116" w:right="98" w:hanging="2"/>
              <w:jc w:val="both"/>
            </w:pPr>
            <w:r>
              <w:rPr>
                <w:spacing w:val="8"/>
              </w:rPr>
              <w:t>模为</w:t>
            </w:r>
            <w:r>
              <w:rPr>
                <w:spacing w:val="-32"/>
              </w:rPr>
              <w:t xml:space="preserve"> </w:t>
            </w:r>
            <w:r>
              <w:rPr>
                <w:rFonts w:ascii="Times New Roman" w:hAnsi="Times New Roman" w:eastAsia="Times New Roman" w:cs="Times New Roman"/>
                <w:spacing w:val="8"/>
              </w:rPr>
              <w:t>0.5t/h</w:t>
            </w:r>
            <w:r>
              <w:rPr>
                <w:rFonts w:ascii="Times New Roman" w:hAnsi="Times New Roman" w:eastAsia="Times New Roman" w:cs="Times New Roman"/>
                <w:spacing w:val="18"/>
              </w:rPr>
              <w:t xml:space="preserve"> </w:t>
            </w:r>
            <w:r>
              <w:rPr>
                <w:spacing w:val="8"/>
              </w:rPr>
              <w:t>一体化污水处理设施处理</w:t>
            </w:r>
            <w:r>
              <w:rPr>
                <w:spacing w:val="9"/>
              </w:rPr>
              <w:t>后，全部回用于进站大门两侧绿化带</w:t>
            </w:r>
            <w:r>
              <w:rPr>
                <w:spacing w:val="-5"/>
              </w:rPr>
              <w:t xml:space="preserve">绿化洒水，不外排；同时设置 </w:t>
            </w:r>
            <w:r>
              <w:rPr>
                <w:rFonts w:ascii="Times New Roman" w:hAnsi="Times New Roman" w:eastAsia="Times New Roman" w:cs="Times New Roman"/>
                <w:spacing w:val="-5"/>
              </w:rPr>
              <w:t>1</w:t>
            </w:r>
            <w:r>
              <w:rPr>
                <w:rFonts w:ascii="Times New Roman" w:hAnsi="Times New Roman" w:eastAsia="Times New Roman" w:cs="Times New Roman"/>
                <w:spacing w:val="12"/>
              </w:rPr>
              <w:t xml:space="preserve"> </w:t>
            </w:r>
            <w:r>
              <w:rPr>
                <w:spacing w:val="-5"/>
              </w:rPr>
              <w:t>个</w:t>
            </w:r>
            <w:r>
              <w:rPr>
                <w:spacing w:val="-38"/>
              </w:rPr>
              <w:t xml:space="preserve"> </w:t>
            </w:r>
            <w:r>
              <w:rPr>
                <w:rFonts w:ascii="Times New Roman" w:hAnsi="Times New Roman" w:eastAsia="Times New Roman" w:cs="Times New Roman"/>
                <w:spacing w:val="-5"/>
              </w:rPr>
              <w:t>5m</w:t>
            </w:r>
            <w:r>
              <w:rPr>
                <w:rFonts w:ascii="Times New Roman" w:hAnsi="Times New Roman" w:eastAsia="Times New Roman" w:cs="Times New Roman"/>
                <w:spacing w:val="-5"/>
                <w:position w:val="6"/>
                <w:sz w:val="13"/>
                <w:szCs w:val="13"/>
              </w:rPr>
              <w:t>3</w:t>
            </w:r>
            <w:r>
              <w:rPr>
                <w:spacing w:val="5"/>
              </w:rPr>
              <w:t>的中水池。</w:t>
            </w:r>
          </w:p>
          <w:p w14:paraId="6005DE9D">
            <w:pPr>
              <w:pStyle w:val="6"/>
              <w:spacing w:before="2" w:line="253" w:lineRule="auto"/>
              <w:ind w:left="115" w:right="102" w:firstLine="10"/>
            </w:pPr>
            <w:r>
              <w:rPr>
                <w:spacing w:val="2"/>
              </w:rPr>
              <w:t>（</w:t>
            </w:r>
            <w:r>
              <w:rPr>
                <w:rFonts w:ascii="Times New Roman" w:hAnsi="Times New Roman" w:eastAsia="Times New Roman" w:cs="Times New Roman"/>
                <w:spacing w:val="2"/>
              </w:rPr>
              <w:t>2</w:t>
            </w:r>
            <w:r>
              <w:rPr>
                <w:spacing w:val="2"/>
              </w:rPr>
              <w:t>）线路巡检过程中，禁止向周围水</w:t>
            </w:r>
            <w:r>
              <w:rPr>
                <w:spacing w:val="6"/>
              </w:rPr>
              <w:t>体排放污水。</w:t>
            </w:r>
          </w:p>
        </w:tc>
        <w:tc>
          <w:tcPr>
            <w:tcW w:w="1698" w:type="dxa"/>
            <w:tcBorders>
              <w:top w:val="single" w:color="000000" w:sz="6" w:space="0"/>
              <w:right w:val="single" w:color="000000" w:sz="6" w:space="0"/>
            </w:tcBorders>
            <w:vAlign w:val="top"/>
          </w:tcPr>
          <w:p w14:paraId="5044A9BA">
            <w:pPr>
              <w:pStyle w:val="6"/>
              <w:spacing w:before="29" w:line="251" w:lineRule="auto"/>
              <w:ind w:left="118" w:right="103" w:firstLine="2"/>
              <w:jc w:val="both"/>
            </w:pPr>
            <w:r>
              <w:rPr>
                <w:spacing w:val="18"/>
              </w:rPr>
              <w:t>生利用城市</w:t>
            </w:r>
            <w:r>
              <w:rPr>
                <w:spacing w:val="54"/>
              </w:rPr>
              <w:t xml:space="preserve"> </w:t>
            </w:r>
            <w:r>
              <w:rPr>
                <w:spacing w:val="18"/>
              </w:rPr>
              <w:t>杂</w:t>
            </w:r>
            <w:r>
              <w:rPr>
                <w:spacing w:val="-3"/>
              </w:rPr>
              <w:t>用</w:t>
            </w:r>
            <w:r>
              <w:rPr>
                <w:spacing w:val="19"/>
              </w:rPr>
              <w:t xml:space="preserve"> </w:t>
            </w:r>
            <w:r>
              <w:rPr>
                <w:spacing w:val="-3"/>
              </w:rPr>
              <w:t>水</w:t>
            </w:r>
            <w:r>
              <w:rPr>
                <w:spacing w:val="17"/>
              </w:rPr>
              <w:t xml:space="preserve"> </w:t>
            </w:r>
            <w:r>
              <w:rPr>
                <w:spacing w:val="-3"/>
              </w:rPr>
              <w:t>水</w:t>
            </w:r>
            <w:r>
              <w:rPr>
                <w:spacing w:val="16"/>
              </w:rPr>
              <w:t xml:space="preserve"> </w:t>
            </w:r>
            <w:r>
              <w:rPr>
                <w:spacing w:val="-3"/>
              </w:rPr>
              <w:t>质</w:t>
            </w:r>
            <w:r>
              <w:rPr>
                <w:spacing w:val="28"/>
              </w:rPr>
              <w:t xml:space="preserve"> </w:t>
            </w:r>
            <w:r>
              <w:rPr>
                <w:spacing w:val="-3"/>
              </w:rPr>
              <w:t>》</w:t>
            </w:r>
            <w:r>
              <w:t xml:space="preserve"> </w:t>
            </w:r>
            <w:r>
              <w:rPr>
                <w:spacing w:val="1"/>
              </w:rPr>
              <w:t>（</w:t>
            </w:r>
            <w:r>
              <w:rPr>
                <w:spacing w:val="31"/>
              </w:rPr>
              <w:t xml:space="preserve"> </w:t>
            </w:r>
            <w:r>
              <w:rPr>
                <w:rFonts w:ascii="Times New Roman" w:hAnsi="Times New Roman" w:eastAsia="Times New Roman" w:cs="Times New Roman"/>
              </w:rPr>
              <w:t>GB</w:t>
            </w:r>
            <w:r>
              <w:rPr>
                <w:rFonts w:ascii="Times New Roman" w:hAnsi="Times New Roman" w:eastAsia="Times New Roman" w:cs="Times New Roman"/>
                <w:spacing w:val="1"/>
              </w:rPr>
              <w:t>/T18920-2</w:t>
            </w:r>
            <w:r>
              <w:rPr>
                <w:rFonts w:ascii="Times New Roman" w:hAnsi="Times New Roman" w:eastAsia="Times New Roman" w:cs="Times New Roman"/>
              </w:rPr>
              <w:t xml:space="preserve"> </w:t>
            </w:r>
            <w:r>
              <w:rPr>
                <w:rFonts w:ascii="Times New Roman" w:hAnsi="Times New Roman" w:eastAsia="Times New Roman" w:cs="Times New Roman"/>
                <w:spacing w:val="-4"/>
              </w:rPr>
              <w:t>020</w:t>
            </w:r>
            <w:r>
              <w:rPr>
                <w:spacing w:val="-4"/>
              </w:rPr>
              <w:t>）中城市绿化</w:t>
            </w:r>
            <w:r>
              <w:rPr>
                <w:spacing w:val="7"/>
              </w:rPr>
              <w:t>用水标准</w:t>
            </w:r>
          </w:p>
        </w:tc>
      </w:tr>
      <w:tr w14:paraId="10A5C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309" w:type="dxa"/>
            <w:tcBorders>
              <w:left w:val="single" w:color="000000" w:sz="6" w:space="0"/>
            </w:tcBorders>
            <w:vAlign w:val="top"/>
          </w:tcPr>
          <w:p w14:paraId="63E53825">
            <w:pPr>
              <w:pStyle w:val="6"/>
              <w:spacing w:before="107" w:line="254" w:lineRule="auto"/>
              <w:ind w:left="335" w:right="130" w:hanging="208"/>
            </w:pPr>
            <w:r>
              <w:rPr>
                <w:spacing w:val="8"/>
              </w:rPr>
              <w:t>地下水及土</w:t>
            </w:r>
            <w:r>
              <w:rPr>
                <w:spacing w:val="6"/>
              </w:rPr>
              <w:t>壤环境</w:t>
            </w:r>
          </w:p>
        </w:tc>
        <w:tc>
          <w:tcPr>
            <w:tcW w:w="5919" w:type="dxa"/>
            <w:vAlign w:val="top"/>
          </w:tcPr>
          <w:p w14:paraId="427197C6">
            <w:pPr>
              <w:spacing w:before="275" w:line="199" w:lineRule="auto"/>
              <w:ind w:left="29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12" w:type="dxa"/>
            <w:vAlign w:val="top"/>
          </w:tcPr>
          <w:p w14:paraId="5CD39E61">
            <w:pPr>
              <w:spacing w:before="275" w:line="199" w:lineRule="auto"/>
              <w:ind w:left="7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572" w:type="dxa"/>
            <w:vAlign w:val="top"/>
          </w:tcPr>
          <w:p w14:paraId="0C6C3D3B">
            <w:pPr>
              <w:spacing w:before="275" w:line="199" w:lineRule="auto"/>
              <w:ind w:left="17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98" w:type="dxa"/>
            <w:tcBorders>
              <w:right w:val="single" w:color="000000" w:sz="6" w:space="0"/>
            </w:tcBorders>
            <w:vAlign w:val="top"/>
          </w:tcPr>
          <w:p w14:paraId="3ECF4DED">
            <w:pPr>
              <w:rPr>
                <w:rFonts w:ascii="Arial"/>
                <w:sz w:val="21"/>
              </w:rPr>
            </w:pPr>
          </w:p>
        </w:tc>
      </w:tr>
      <w:tr w14:paraId="4AF19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8" w:hRule="atLeast"/>
        </w:trPr>
        <w:tc>
          <w:tcPr>
            <w:tcW w:w="1309" w:type="dxa"/>
            <w:tcBorders>
              <w:left w:val="single" w:color="000000" w:sz="6" w:space="0"/>
              <w:bottom w:val="single" w:color="000000" w:sz="6" w:space="0"/>
            </w:tcBorders>
            <w:vAlign w:val="top"/>
          </w:tcPr>
          <w:p w14:paraId="15E03BE6">
            <w:pPr>
              <w:spacing w:line="265" w:lineRule="auto"/>
              <w:rPr>
                <w:rFonts w:ascii="Arial"/>
                <w:sz w:val="21"/>
              </w:rPr>
            </w:pPr>
          </w:p>
          <w:p w14:paraId="11070C1F">
            <w:pPr>
              <w:spacing w:line="266" w:lineRule="auto"/>
              <w:rPr>
                <w:rFonts w:ascii="Arial"/>
                <w:sz w:val="21"/>
              </w:rPr>
            </w:pPr>
          </w:p>
          <w:p w14:paraId="44C636C1">
            <w:pPr>
              <w:spacing w:line="266" w:lineRule="auto"/>
              <w:rPr>
                <w:rFonts w:ascii="Arial"/>
                <w:sz w:val="21"/>
              </w:rPr>
            </w:pPr>
          </w:p>
          <w:p w14:paraId="7BD56CA6">
            <w:pPr>
              <w:spacing w:line="266" w:lineRule="auto"/>
              <w:rPr>
                <w:rFonts w:ascii="Arial"/>
                <w:sz w:val="21"/>
              </w:rPr>
            </w:pPr>
          </w:p>
          <w:p w14:paraId="143C5479">
            <w:pPr>
              <w:spacing w:line="266" w:lineRule="auto"/>
              <w:rPr>
                <w:rFonts w:ascii="Arial"/>
                <w:sz w:val="21"/>
              </w:rPr>
            </w:pPr>
          </w:p>
          <w:p w14:paraId="093A0DCA">
            <w:pPr>
              <w:pStyle w:val="6"/>
              <w:spacing w:before="65" w:line="228" w:lineRule="auto"/>
              <w:ind w:left="340"/>
            </w:pPr>
            <w:r>
              <w:rPr>
                <w:spacing w:val="5"/>
              </w:rPr>
              <w:t>声环境</w:t>
            </w:r>
          </w:p>
        </w:tc>
        <w:tc>
          <w:tcPr>
            <w:tcW w:w="5919" w:type="dxa"/>
            <w:tcBorders>
              <w:bottom w:val="single" w:color="000000" w:sz="6" w:space="0"/>
            </w:tcBorders>
            <w:vAlign w:val="top"/>
          </w:tcPr>
          <w:p w14:paraId="6120907D">
            <w:pPr>
              <w:pStyle w:val="6"/>
              <w:spacing w:before="41" w:line="228" w:lineRule="auto"/>
              <w:ind w:left="117"/>
            </w:pPr>
            <w:r>
              <w:rPr>
                <w:spacing w:val="8"/>
              </w:rPr>
              <w:t>（</w:t>
            </w:r>
            <w:r>
              <w:rPr>
                <w:rFonts w:ascii="Times New Roman" w:hAnsi="Times New Roman" w:eastAsia="Times New Roman" w:cs="Times New Roman"/>
                <w:spacing w:val="8"/>
              </w:rPr>
              <w:t>1</w:t>
            </w:r>
            <w:r>
              <w:rPr>
                <w:spacing w:val="8"/>
              </w:rPr>
              <w:t>）新建变电站工程施工时建议先修筑围墙。</w:t>
            </w:r>
          </w:p>
          <w:p w14:paraId="08A3C16A">
            <w:pPr>
              <w:pStyle w:val="6"/>
              <w:spacing w:before="23" w:line="252" w:lineRule="auto"/>
              <w:ind w:left="110" w:right="52" w:firstLine="7"/>
            </w:pPr>
            <w:r>
              <w:rPr>
                <w:spacing w:val="7"/>
              </w:rPr>
              <w:t>（</w:t>
            </w:r>
            <w:r>
              <w:rPr>
                <w:rFonts w:ascii="Times New Roman" w:hAnsi="Times New Roman" w:eastAsia="Times New Roman" w:cs="Times New Roman"/>
                <w:spacing w:val="7"/>
              </w:rPr>
              <w:t>2</w:t>
            </w:r>
            <w:r>
              <w:rPr>
                <w:spacing w:val="7"/>
              </w:rPr>
              <w:t>）施工单位应采用噪声水平满足国家相</w:t>
            </w:r>
            <w:r>
              <w:rPr>
                <w:spacing w:val="6"/>
              </w:rPr>
              <w:t>应标准的施工机械设</w:t>
            </w:r>
            <w:r>
              <w:rPr>
                <w:spacing w:val="5"/>
              </w:rPr>
              <w:t>备。加强施工设备的运行维护管理，使其保持良好的运行状态，</w:t>
            </w:r>
            <w:r>
              <w:rPr>
                <w:spacing w:val="8"/>
              </w:rPr>
              <w:t>从源强上控制施工噪声对周边环境的影响。</w:t>
            </w:r>
          </w:p>
          <w:p w14:paraId="393DE7A1">
            <w:pPr>
              <w:pStyle w:val="6"/>
              <w:spacing w:line="251" w:lineRule="auto"/>
              <w:ind w:left="117" w:right="107"/>
            </w:pPr>
            <w:r>
              <w:rPr>
                <w:spacing w:val="7"/>
              </w:rPr>
              <w:t>（</w:t>
            </w:r>
            <w:r>
              <w:rPr>
                <w:rFonts w:ascii="Times New Roman" w:hAnsi="Times New Roman" w:eastAsia="Times New Roman" w:cs="Times New Roman"/>
                <w:spacing w:val="7"/>
              </w:rPr>
              <w:t>3</w:t>
            </w:r>
            <w:r>
              <w:rPr>
                <w:spacing w:val="7"/>
              </w:rPr>
              <w:t>）运输车辆经过村庄、学校等保护目标时</w:t>
            </w:r>
            <w:r>
              <w:rPr>
                <w:spacing w:val="6"/>
              </w:rPr>
              <w:t>应减速慢行，禁止</w:t>
            </w:r>
            <w:r>
              <w:rPr>
                <w:spacing w:val="-1"/>
              </w:rPr>
              <w:t>鸣笛。</w:t>
            </w:r>
          </w:p>
          <w:p w14:paraId="14DD08F7">
            <w:pPr>
              <w:pStyle w:val="6"/>
              <w:spacing w:line="244" w:lineRule="auto"/>
              <w:ind w:left="106" w:right="107" w:firstLine="11"/>
            </w:pPr>
            <w:r>
              <w:rPr>
                <w:spacing w:val="8"/>
              </w:rPr>
              <w:t>（</w:t>
            </w:r>
            <w:r>
              <w:rPr>
                <w:rFonts w:ascii="Times New Roman" w:hAnsi="Times New Roman" w:eastAsia="Times New Roman" w:cs="Times New Roman"/>
                <w:spacing w:val="8"/>
              </w:rPr>
              <w:t>4</w:t>
            </w:r>
            <w:r>
              <w:rPr>
                <w:spacing w:val="-7"/>
              </w:rPr>
              <w:t>））</w:t>
            </w:r>
            <w:r>
              <w:rPr>
                <w:spacing w:val="8"/>
              </w:rPr>
              <w:t>合理安排施工机械作业时间和施工工序</w:t>
            </w:r>
            <w:r>
              <w:rPr>
                <w:spacing w:val="7"/>
              </w:rPr>
              <w:t>，缩短高噪声作</w:t>
            </w:r>
            <w:r>
              <w:rPr>
                <w:spacing w:val="9"/>
              </w:rPr>
              <w:t>业时间，尽量降低施工活动对周围环境的噪声影响。禁止在午</w:t>
            </w:r>
            <w:r>
              <w:rPr>
                <w:spacing w:val="6"/>
              </w:rPr>
              <w:t>休（</w:t>
            </w:r>
            <w:r>
              <w:rPr>
                <w:rFonts w:ascii="Times New Roman" w:hAnsi="Times New Roman" w:eastAsia="Times New Roman" w:cs="Times New Roman"/>
                <w:spacing w:val="6"/>
              </w:rPr>
              <w:t>12:00~</w:t>
            </w:r>
            <w:r>
              <w:rPr>
                <w:rFonts w:ascii="Times New Roman" w:hAnsi="Times New Roman" w:eastAsia="Times New Roman" w:cs="Times New Roman"/>
                <w:spacing w:val="-26"/>
              </w:rPr>
              <w:t xml:space="preserve"> </w:t>
            </w:r>
            <w:r>
              <w:rPr>
                <w:rFonts w:ascii="Times New Roman" w:hAnsi="Times New Roman" w:eastAsia="Times New Roman" w:cs="Times New Roman"/>
                <w:spacing w:val="6"/>
              </w:rPr>
              <w:t>14:00</w:t>
            </w:r>
            <w:r>
              <w:rPr>
                <w:spacing w:val="6"/>
              </w:rPr>
              <w:t>）及夜间（</w:t>
            </w:r>
            <w:r>
              <w:rPr>
                <w:rFonts w:ascii="Times New Roman" w:hAnsi="Times New Roman" w:eastAsia="Times New Roman" w:cs="Times New Roman"/>
                <w:spacing w:val="6"/>
              </w:rPr>
              <w:t>22:00~</w:t>
            </w:r>
            <w:r>
              <w:rPr>
                <w:spacing w:val="6"/>
              </w:rPr>
              <w:t>次日</w:t>
            </w:r>
            <w:r>
              <w:rPr>
                <w:spacing w:val="-36"/>
              </w:rPr>
              <w:t xml:space="preserve"> </w:t>
            </w:r>
            <w:r>
              <w:rPr>
                <w:rFonts w:ascii="Times New Roman" w:hAnsi="Times New Roman" w:eastAsia="Times New Roman" w:cs="Times New Roman"/>
                <w:spacing w:val="6"/>
              </w:rPr>
              <w:t>6:00</w:t>
            </w:r>
            <w:r>
              <w:rPr>
                <w:spacing w:val="5"/>
              </w:rPr>
              <w:t>）进行产生环境噪</w:t>
            </w:r>
            <w:r>
              <w:rPr>
                <w:spacing w:val="9"/>
              </w:rPr>
              <w:t>声污染的施工作业。施工时在施工现场进出口显著位置公示施</w:t>
            </w:r>
            <w:r>
              <w:rPr>
                <w:spacing w:val="8"/>
              </w:rPr>
              <w:t>工信息，公告附近居民。</w:t>
            </w:r>
          </w:p>
        </w:tc>
        <w:tc>
          <w:tcPr>
            <w:tcW w:w="1612" w:type="dxa"/>
            <w:tcBorders>
              <w:bottom w:val="single" w:color="000000" w:sz="6" w:space="0"/>
            </w:tcBorders>
            <w:vAlign w:val="top"/>
          </w:tcPr>
          <w:p w14:paraId="66709489">
            <w:pPr>
              <w:spacing w:line="312" w:lineRule="auto"/>
              <w:rPr>
                <w:rFonts w:ascii="Arial"/>
                <w:sz w:val="21"/>
              </w:rPr>
            </w:pPr>
          </w:p>
          <w:p w14:paraId="16A2CBE1">
            <w:pPr>
              <w:spacing w:line="313" w:lineRule="auto"/>
              <w:rPr>
                <w:rFonts w:ascii="Arial"/>
                <w:sz w:val="21"/>
              </w:rPr>
            </w:pPr>
          </w:p>
          <w:p w14:paraId="55F20203">
            <w:pPr>
              <w:spacing w:line="313" w:lineRule="auto"/>
              <w:rPr>
                <w:rFonts w:ascii="Arial"/>
                <w:sz w:val="21"/>
              </w:rPr>
            </w:pPr>
          </w:p>
          <w:p w14:paraId="5E3A59CE">
            <w:pPr>
              <w:pStyle w:val="6"/>
              <w:spacing w:before="65" w:line="258" w:lineRule="auto"/>
              <w:ind w:left="113" w:right="44"/>
              <w:jc w:val="both"/>
            </w:pPr>
            <w:r>
              <w:rPr>
                <w:spacing w:val="-2"/>
              </w:rPr>
              <w:t>满足《建筑施工</w:t>
            </w:r>
            <w:r>
              <w:rPr>
                <w:spacing w:val="7"/>
              </w:rPr>
              <w:t>噪声排放标准》</w:t>
            </w:r>
            <w:r>
              <w:t xml:space="preserve"> </w:t>
            </w:r>
            <w:r>
              <w:rPr>
                <w:rFonts w:ascii="Times New Roman" w:hAnsi="Times New Roman" w:eastAsia="Times New Roman" w:cs="Times New Roman"/>
              </w:rPr>
              <w:t>GB</w:t>
            </w:r>
            <w:r>
              <w:rPr>
                <w:rFonts w:ascii="Times New Roman" w:hAnsi="Times New Roman" w:eastAsia="Times New Roman" w:cs="Times New Roman"/>
                <w:spacing w:val="5"/>
              </w:rPr>
              <w:t>12523-2025</w:t>
            </w:r>
            <w:r>
              <w:rPr>
                <w:rFonts w:ascii="Times New Roman" w:hAnsi="Times New Roman" w:eastAsia="Times New Roman" w:cs="Times New Roman"/>
                <w:spacing w:val="1"/>
              </w:rPr>
              <w:t xml:space="preserve">    </w:t>
            </w:r>
            <w:r>
              <w:t>)</w:t>
            </w:r>
          </w:p>
        </w:tc>
        <w:tc>
          <w:tcPr>
            <w:tcW w:w="3572" w:type="dxa"/>
            <w:tcBorders>
              <w:bottom w:val="single" w:color="000000" w:sz="6" w:space="0"/>
            </w:tcBorders>
            <w:vAlign w:val="top"/>
          </w:tcPr>
          <w:p w14:paraId="17B4A4F3">
            <w:pPr>
              <w:pStyle w:val="6"/>
              <w:spacing w:before="58" w:line="251" w:lineRule="auto"/>
              <w:ind w:left="113" w:right="102" w:firstLine="11"/>
            </w:pPr>
            <w:r>
              <w:rPr>
                <w:spacing w:val="2"/>
              </w:rPr>
              <w:t>（</w:t>
            </w:r>
            <w:r>
              <w:rPr>
                <w:rFonts w:ascii="Times New Roman" w:hAnsi="Times New Roman" w:eastAsia="Times New Roman" w:cs="Times New Roman"/>
                <w:spacing w:val="2"/>
              </w:rPr>
              <w:t>4</w:t>
            </w:r>
            <w:r>
              <w:rPr>
                <w:spacing w:val="2"/>
              </w:rPr>
              <w:t>）加强线路沿线巡查与宣传，确保</w:t>
            </w:r>
            <w:r>
              <w:rPr>
                <w:spacing w:val="9"/>
              </w:rPr>
              <w:t>线路电力保护区范围内不新增住房、学校、医院等建筑物环境敏感目标，</w:t>
            </w:r>
            <w:r>
              <w:rPr>
                <w:spacing w:val="7"/>
              </w:rPr>
              <w:t>避免环境纠纷。</w:t>
            </w:r>
          </w:p>
          <w:p w14:paraId="43693915">
            <w:pPr>
              <w:pStyle w:val="6"/>
              <w:spacing w:line="251" w:lineRule="auto"/>
              <w:ind w:left="115" w:right="99" w:firstLine="10"/>
            </w:pPr>
            <w:r>
              <w:rPr>
                <w:spacing w:val="15"/>
              </w:rPr>
              <w:t>（</w:t>
            </w:r>
            <w:r>
              <w:rPr>
                <w:rFonts w:ascii="Times New Roman" w:hAnsi="Times New Roman" w:eastAsia="Times New Roman" w:cs="Times New Roman"/>
                <w:spacing w:val="15"/>
              </w:rPr>
              <w:t>5</w:t>
            </w:r>
            <w:r>
              <w:rPr>
                <w:spacing w:val="15"/>
              </w:rPr>
              <w:t>）加强线路、站址日常管理和维</w:t>
            </w:r>
            <w:r>
              <w:rPr>
                <w:spacing w:val="9"/>
              </w:rPr>
              <w:t>护，使线路、变电站保持良好的运行</w:t>
            </w:r>
            <w:r>
              <w:rPr>
                <w:spacing w:val="3"/>
              </w:rPr>
              <w:t>状态。</w:t>
            </w:r>
          </w:p>
          <w:p w14:paraId="409C85F4">
            <w:pPr>
              <w:pStyle w:val="6"/>
              <w:spacing w:before="1" w:line="252" w:lineRule="auto"/>
              <w:ind w:left="115" w:right="99" w:firstLine="9"/>
            </w:pPr>
            <w:r>
              <w:rPr>
                <w:spacing w:val="2"/>
              </w:rPr>
              <w:t>（</w:t>
            </w:r>
            <w:r>
              <w:rPr>
                <w:rFonts w:ascii="Times New Roman" w:hAnsi="Times New Roman" w:eastAsia="Times New Roman" w:cs="Times New Roman"/>
                <w:spacing w:val="2"/>
              </w:rPr>
              <w:t>6</w:t>
            </w:r>
            <w:r>
              <w:rPr>
                <w:spacing w:val="2"/>
              </w:rPr>
              <w:t>）开展厂界噪声、线路声环境、保</w:t>
            </w:r>
            <w:r>
              <w:rPr>
                <w:spacing w:val="9"/>
              </w:rPr>
              <w:t>护目标声环境监测，确保达标。若监</w:t>
            </w:r>
            <w:r>
              <w:rPr>
                <w:spacing w:val="8"/>
              </w:rPr>
              <w:t>测不达标，须进行治理。</w:t>
            </w:r>
          </w:p>
        </w:tc>
        <w:tc>
          <w:tcPr>
            <w:tcW w:w="1698" w:type="dxa"/>
            <w:tcBorders>
              <w:bottom w:val="single" w:color="000000" w:sz="6" w:space="0"/>
              <w:right w:val="single" w:color="000000" w:sz="6" w:space="0"/>
            </w:tcBorders>
            <w:vAlign w:val="top"/>
          </w:tcPr>
          <w:p w14:paraId="03FFADA8">
            <w:pPr>
              <w:spacing w:line="262" w:lineRule="auto"/>
              <w:rPr>
                <w:rFonts w:ascii="Arial"/>
                <w:sz w:val="21"/>
              </w:rPr>
            </w:pPr>
          </w:p>
          <w:p w14:paraId="76FBF102">
            <w:pPr>
              <w:spacing w:line="263" w:lineRule="auto"/>
              <w:rPr>
                <w:rFonts w:ascii="Arial"/>
                <w:sz w:val="21"/>
              </w:rPr>
            </w:pPr>
          </w:p>
          <w:p w14:paraId="2A6C229E">
            <w:pPr>
              <w:spacing w:line="263" w:lineRule="auto"/>
              <w:rPr>
                <w:rFonts w:ascii="Arial"/>
                <w:sz w:val="21"/>
              </w:rPr>
            </w:pPr>
          </w:p>
          <w:p w14:paraId="2B58C0A8">
            <w:pPr>
              <w:pStyle w:val="6"/>
              <w:spacing w:before="65" w:line="252" w:lineRule="auto"/>
              <w:ind w:left="119" w:right="32" w:firstLine="4"/>
              <w:jc w:val="both"/>
            </w:pPr>
            <w:r>
              <w:rPr>
                <w:spacing w:val="8"/>
              </w:rPr>
              <w:t>声环境保护目标</w:t>
            </w:r>
            <w:r>
              <w:rPr>
                <w:spacing w:val="9"/>
              </w:rPr>
              <w:t>满足《声环境质</w:t>
            </w:r>
            <w:r>
              <w:t>量</w:t>
            </w:r>
            <w:r>
              <w:rPr>
                <w:spacing w:val="11"/>
              </w:rPr>
              <w:t xml:space="preserve">  </w:t>
            </w:r>
            <w:r>
              <w:t>标</w:t>
            </w:r>
            <w:r>
              <w:rPr>
                <w:spacing w:val="10"/>
              </w:rPr>
              <w:t xml:space="preserve">  </w:t>
            </w:r>
            <w:r>
              <w:t>准</w:t>
            </w:r>
            <w:r>
              <w:rPr>
                <w:spacing w:val="16"/>
              </w:rPr>
              <w:t xml:space="preserve">  </w:t>
            </w:r>
            <w:r>
              <w:t>》</w:t>
            </w:r>
            <w:r>
              <w:rPr>
                <w:spacing w:val="1"/>
              </w:rPr>
              <w:t xml:space="preserve"> </w:t>
            </w:r>
            <w:r>
              <w:rPr>
                <w:spacing w:val="2"/>
              </w:rPr>
              <w:t xml:space="preserve">（ </w:t>
            </w:r>
            <w:r>
              <w:rPr>
                <w:rFonts w:ascii="Times New Roman" w:hAnsi="Times New Roman" w:eastAsia="Times New Roman" w:cs="Times New Roman"/>
              </w:rPr>
              <w:t>GB</w:t>
            </w:r>
            <w:r>
              <w:rPr>
                <w:rFonts w:ascii="Times New Roman" w:hAnsi="Times New Roman" w:eastAsia="Times New Roman" w:cs="Times New Roman"/>
                <w:spacing w:val="2"/>
              </w:rPr>
              <w:t>3096-2008</w:t>
            </w:r>
            <w:r>
              <w:rPr>
                <w:rFonts w:ascii="Times New Roman" w:hAnsi="Times New Roman" w:eastAsia="Times New Roman" w:cs="Times New Roman"/>
              </w:rPr>
              <w:t xml:space="preserve">  </w:t>
            </w:r>
            <w:r>
              <w:rPr>
                <w:spacing w:val="-3"/>
              </w:rPr>
              <w:t xml:space="preserve">) </w:t>
            </w:r>
            <w:r>
              <w:rPr>
                <w:rFonts w:ascii="Times New Roman" w:hAnsi="Times New Roman" w:eastAsia="Times New Roman" w:cs="Times New Roman"/>
                <w:spacing w:val="-3"/>
              </w:rPr>
              <w:t>1</w:t>
            </w:r>
            <w:r>
              <w:rPr>
                <w:rFonts w:ascii="Times New Roman" w:hAnsi="Times New Roman" w:eastAsia="Times New Roman" w:cs="Times New Roman"/>
                <w:spacing w:val="12"/>
              </w:rPr>
              <w:t xml:space="preserve"> </w:t>
            </w:r>
            <w:r>
              <w:rPr>
                <w:spacing w:val="-3"/>
              </w:rPr>
              <w:t>类标准要求。</w:t>
            </w:r>
          </w:p>
        </w:tc>
      </w:tr>
    </w:tbl>
    <w:p w14:paraId="68668F77">
      <w:pPr>
        <w:rPr>
          <w:rFonts w:ascii="Arial"/>
          <w:sz w:val="21"/>
        </w:rPr>
      </w:pPr>
    </w:p>
    <w:p w14:paraId="6A9BBC3F">
      <w:pPr>
        <w:rPr>
          <w:rFonts w:ascii="Arial" w:hAnsi="Arial" w:eastAsia="Arial" w:cs="Arial"/>
          <w:sz w:val="21"/>
          <w:szCs w:val="21"/>
        </w:rPr>
        <w:sectPr>
          <w:footerReference r:id="rId146" w:type="default"/>
          <w:pgSz w:w="16839" w:h="11906"/>
          <w:pgMar w:top="400" w:right="1299" w:bottom="1240" w:left="1413" w:header="0" w:footer="1078" w:gutter="0"/>
          <w:cols w:space="720" w:num="1"/>
        </w:sectPr>
      </w:pPr>
    </w:p>
    <w:p w14:paraId="46A8D3EF">
      <w:pPr>
        <w:spacing w:before="8"/>
      </w:pPr>
    </w:p>
    <w:p w14:paraId="704AA693">
      <w:pPr>
        <w:spacing w:before="7"/>
      </w:pPr>
    </w:p>
    <w:p w14:paraId="72E1F9DD">
      <w:pPr>
        <w:spacing w:before="7"/>
      </w:pPr>
    </w:p>
    <w:p w14:paraId="421C8073">
      <w:pPr>
        <w:spacing w:before="7"/>
      </w:pPr>
    </w:p>
    <w:p w14:paraId="0E3E2984">
      <w:pPr>
        <w:spacing w:before="7"/>
      </w:pPr>
    </w:p>
    <w:tbl>
      <w:tblPr>
        <w:tblStyle w:val="5"/>
        <w:tblW w:w="1411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9"/>
        <w:gridCol w:w="5919"/>
        <w:gridCol w:w="1612"/>
        <w:gridCol w:w="3572"/>
        <w:gridCol w:w="1698"/>
      </w:tblGrid>
      <w:tr w14:paraId="48C1E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5" w:hRule="atLeast"/>
        </w:trPr>
        <w:tc>
          <w:tcPr>
            <w:tcW w:w="1309" w:type="dxa"/>
            <w:tcBorders>
              <w:top w:val="single" w:color="000000" w:sz="6" w:space="0"/>
              <w:left w:val="single" w:color="000000" w:sz="6" w:space="0"/>
            </w:tcBorders>
            <w:vAlign w:val="top"/>
          </w:tcPr>
          <w:p w14:paraId="64AFFF09">
            <w:pPr>
              <w:rPr>
                <w:rFonts w:ascii="Arial"/>
                <w:sz w:val="21"/>
              </w:rPr>
            </w:pPr>
          </w:p>
        </w:tc>
        <w:tc>
          <w:tcPr>
            <w:tcW w:w="5919" w:type="dxa"/>
            <w:tcBorders>
              <w:top w:val="single" w:color="000000" w:sz="6" w:space="0"/>
            </w:tcBorders>
            <w:vAlign w:val="top"/>
          </w:tcPr>
          <w:p w14:paraId="5D7762E5">
            <w:pPr>
              <w:pStyle w:val="6"/>
              <w:spacing w:before="27" w:line="250" w:lineRule="auto"/>
              <w:ind w:left="110" w:right="107" w:firstLine="7"/>
            </w:pPr>
            <w:r>
              <w:rPr>
                <w:spacing w:val="5"/>
              </w:rPr>
              <w:t>（</w:t>
            </w:r>
            <w:r>
              <w:rPr>
                <w:rFonts w:ascii="Times New Roman" w:hAnsi="Times New Roman" w:eastAsia="Times New Roman" w:cs="Times New Roman"/>
                <w:spacing w:val="5"/>
              </w:rPr>
              <w:t>5</w:t>
            </w:r>
            <w:r>
              <w:rPr>
                <w:spacing w:val="5"/>
              </w:rPr>
              <w:t>）施工单位在</w:t>
            </w:r>
            <w:r>
              <w:rPr>
                <w:spacing w:val="-46"/>
              </w:rPr>
              <w:t xml:space="preserve"> </w:t>
            </w:r>
            <w:r>
              <w:rPr>
                <w:rFonts w:ascii="Times New Roman" w:hAnsi="Times New Roman" w:eastAsia="Times New Roman" w:cs="Times New Roman"/>
              </w:rPr>
              <w:t>AZ</w:t>
            </w:r>
            <w:r>
              <w:rPr>
                <w:rFonts w:ascii="Times New Roman" w:hAnsi="Times New Roman" w:eastAsia="Times New Roman" w:cs="Times New Roman"/>
                <w:spacing w:val="5"/>
              </w:rPr>
              <w:t xml:space="preserve">14G </w:t>
            </w:r>
            <w:r>
              <w:rPr>
                <w:spacing w:val="5"/>
              </w:rPr>
              <w:t>塔、</w:t>
            </w:r>
            <w:r>
              <w:rPr>
                <w:rFonts w:ascii="Times New Roman" w:hAnsi="Times New Roman" w:eastAsia="Times New Roman" w:cs="Times New Roman"/>
              </w:rPr>
              <w:t>AJ</w:t>
            </w:r>
            <w:r>
              <w:rPr>
                <w:rFonts w:ascii="Times New Roman" w:hAnsi="Times New Roman" w:eastAsia="Times New Roman" w:cs="Times New Roman"/>
                <w:spacing w:val="5"/>
              </w:rPr>
              <w:t xml:space="preserve">8 </w:t>
            </w:r>
            <w:r>
              <w:rPr>
                <w:spacing w:val="5"/>
              </w:rPr>
              <w:t>塔、</w:t>
            </w:r>
            <w:r>
              <w:rPr>
                <w:rFonts w:ascii="Times New Roman" w:hAnsi="Times New Roman" w:eastAsia="Times New Roman" w:cs="Times New Roman"/>
              </w:rPr>
              <w:t>BZ</w:t>
            </w:r>
            <w:r>
              <w:rPr>
                <w:rFonts w:ascii="Times New Roman" w:hAnsi="Times New Roman" w:eastAsia="Times New Roman" w:cs="Times New Roman"/>
                <w:spacing w:val="5"/>
              </w:rPr>
              <w:t>1-</w:t>
            </w:r>
            <w:r>
              <w:rPr>
                <w:rFonts w:ascii="Times New Roman" w:hAnsi="Times New Roman" w:eastAsia="Times New Roman" w:cs="Times New Roman"/>
                <w:spacing w:val="-25"/>
              </w:rPr>
              <w:t xml:space="preserve"> </w:t>
            </w:r>
            <w:r>
              <w:rPr>
                <w:rFonts w:ascii="Times New Roman" w:hAnsi="Times New Roman" w:eastAsia="Times New Roman" w:cs="Times New Roman"/>
                <w:spacing w:val="5"/>
              </w:rPr>
              <w:t>1</w:t>
            </w:r>
            <w:r>
              <w:rPr>
                <w:rFonts w:ascii="Times New Roman" w:hAnsi="Times New Roman" w:eastAsia="Times New Roman" w:cs="Times New Roman"/>
                <w:spacing w:val="14"/>
                <w:w w:val="101"/>
              </w:rPr>
              <w:t xml:space="preserve"> </w:t>
            </w:r>
            <w:r>
              <w:rPr>
                <w:spacing w:val="5"/>
              </w:rPr>
              <w:t>塔、</w:t>
            </w:r>
            <w:r>
              <w:rPr>
                <w:rFonts w:ascii="Times New Roman" w:hAnsi="Times New Roman" w:eastAsia="Times New Roman" w:cs="Times New Roman"/>
              </w:rPr>
              <w:t>BZ</w:t>
            </w:r>
            <w:r>
              <w:rPr>
                <w:rFonts w:ascii="Times New Roman" w:hAnsi="Times New Roman" w:eastAsia="Times New Roman" w:cs="Times New Roman"/>
                <w:spacing w:val="4"/>
              </w:rPr>
              <w:t xml:space="preserve">7G </w:t>
            </w:r>
            <w:r>
              <w:rPr>
                <w:spacing w:val="4"/>
              </w:rPr>
              <w:t>塔侧施</w:t>
            </w:r>
            <w:r>
              <w:rPr>
                <w:spacing w:val="8"/>
              </w:rPr>
              <w:t>工时，应设置围挡措施，避免噪声扰民；</w:t>
            </w:r>
          </w:p>
          <w:p w14:paraId="2F262794">
            <w:pPr>
              <w:pStyle w:val="6"/>
              <w:spacing w:line="251" w:lineRule="auto"/>
              <w:ind w:left="106" w:right="107" w:firstLine="10"/>
            </w:pPr>
            <w:r>
              <w:rPr>
                <w:spacing w:val="7"/>
              </w:rPr>
              <w:t>（</w:t>
            </w:r>
            <w:r>
              <w:rPr>
                <w:rFonts w:ascii="Times New Roman" w:hAnsi="Times New Roman" w:eastAsia="Times New Roman" w:cs="Times New Roman"/>
                <w:spacing w:val="7"/>
              </w:rPr>
              <w:t>6</w:t>
            </w:r>
            <w:r>
              <w:rPr>
                <w:spacing w:val="7"/>
              </w:rPr>
              <w:t>）要求施工单位文明施工，加强施工期的</w:t>
            </w:r>
            <w:r>
              <w:rPr>
                <w:spacing w:val="6"/>
              </w:rPr>
              <w:t>环境管理和环境监</w:t>
            </w:r>
            <w:r>
              <w:rPr>
                <w:spacing w:val="8"/>
              </w:rPr>
              <w:t>控工作，并接受环境保护部门的监督管理。</w:t>
            </w:r>
          </w:p>
          <w:p w14:paraId="590B92F6">
            <w:pPr>
              <w:pStyle w:val="6"/>
              <w:spacing w:before="1" w:line="242" w:lineRule="auto"/>
              <w:ind w:left="108" w:right="107" w:firstLine="9"/>
            </w:pPr>
            <w:r>
              <w:rPr>
                <w:spacing w:val="7"/>
              </w:rPr>
              <w:t>（</w:t>
            </w:r>
            <w:r>
              <w:rPr>
                <w:rFonts w:ascii="Times New Roman" w:hAnsi="Times New Roman" w:eastAsia="Times New Roman" w:cs="Times New Roman"/>
                <w:spacing w:val="7"/>
              </w:rPr>
              <w:t>7</w:t>
            </w:r>
            <w:r>
              <w:rPr>
                <w:spacing w:val="7"/>
              </w:rPr>
              <w:t>）应与周边村民建立良好的关系，对受施</w:t>
            </w:r>
            <w:r>
              <w:rPr>
                <w:spacing w:val="6"/>
              </w:rPr>
              <w:t>工干扰的村民应在</w:t>
            </w:r>
            <w:r>
              <w:rPr>
                <w:spacing w:val="9"/>
              </w:rPr>
              <w:t>作业前予以通知，并随时向他们汇报施工进度及施工中对降低噪声采取的措施。此外，施工期间应设热线投诉电话，接受噪</w:t>
            </w:r>
            <w:r>
              <w:rPr>
                <w:spacing w:val="8"/>
              </w:rPr>
              <w:t>声扰民的投诉，并对投诉情况进行积极治理。</w:t>
            </w:r>
          </w:p>
        </w:tc>
        <w:tc>
          <w:tcPr>
            <w:tcW w:w="1612" w:type="dxa"/>
            <w:tcBorders>
              <w:top w:val="single" w:color="000000" w:sz="6" w:space="0"/>
            </w:tcBorders>
            <w:vAlign w:val="top"/>
          </w:tcPr>
          <w:p w14:paraId="396B3A07">
            <w:pPr>
              <w:rPr>
                <w:rFonts w:ascii="Arial"/>
                <w:sz w:val="21"/>
              </w:rPr>
            </w:pPr>
          </w:p>
        </w:tc>
        <w:tc>
          <w:tcPr>
            <w:tcW w:w="3572" w:type="dxa"/>
            <w:tcBorders>
              <w:top w:val="single" w:color="000000" w:sz="6" w:space="0"/>
            </w:tcBorders>
            <w:vAlign w:val="top"/>
          </w:tcPr>
          <w:p w14:paraId="45EB53D7">
            <w:pPr>
              <w:rPr>
                <w:rFonts w:ascii="Arial"/>
                <w:sz w:val="21"/>
              </w:rPr>
            </w:pPr>
          </w:p>
        </w:tc>
        <w:tc>
          <w:tcPr>
            <w:tcW w:w="1698" w:type="dxa"/>
            <w:tcBorders>
              <w:top w:val="single" w:color="000000" w:sz="6" w:space="0"/>
              <w:right w:val="single" w:color="000000" w:sz="6" w:space="0"/>
            </w:tcBorders>
            <w:vAlign w:val="top"/>
          </w:tcPr>
          <w:p w14:paraId="6575BAC2">
            <w:pPr>
              <w:rPr>
                <w:rFonts w:ascii="Arial"/>
                <w:sz w:val="21"/>
              </w:rPr>
            </w:pPr>
          </w:p>
        </w:tc>
      </w:tr>
      <w:tr w14:paraId="0331C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309" w:type="dxa"/>
            <w:tcBorders>
              <w:left w:val="single" w:color="000000" w:sz="6" w:space="0"/>
            </w:tcBorders>
            <w:vAlign w:val="top"/>
          </w:tcPr>
          <w:p w14:paraId="7B216D5B">
            <w:pPr>
              <w:pStyle w:val="6"/>
              <w:spacing w:before="238" w:line="228" w:lineRule="auto"/>
              <w:ind w:left="441"/>
            </w:pPr>
            <w:r>
              <w:rPr>
                <w:spacing w:val="5"/>
              </w:rPr>
              <w:t>振动</w:t>
            </w:r>
          </w:p>
        </w:tc>
        <w:tc>
          <w:tcPr>
            <w:tcW w:w="5919" w:type="dxa"/>
            <w:vAlign w:val="top"/>
          </w:tcPr>
          <w:p w14:paraId="3077F8B5">
            <w:pPr>
              <w:spacing w:before="269" w:line="199" w:lineRule="auto"/>
              <w:ind w:left="29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12" w:type="dxa"/>
            <w:vAlign w:val="top"/>
          </w:tcPr>
          <w:p w14:paraId="0E4C2010">
            <w:pPr>
              <w:spacing w:before="269" w:line="199" w:lineRule="auto"/>
              <w:ind w:left="7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572" w:type="dxa"/>
            <w:vAlign w:val="top"/>
          </w:tcPr>
          <w:p w14:paraId="5B3076B4">
            <w:pPr>
              <w:spacing w:before="269" w:line="199" w:lineRule="auto"/>
              <w:ind w:left="17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98" w:type="dxa"/>
            <w:tcBorders>
              <w:right w:val="single" w:color="000000" w:sz="6" w:space="0"/>
            </w:tcBorders>
            <w:vAlign w:val="top"/>
          </w:tcPr>
          <w:p w14:paraId="5EC5E0EE">
            <w:pPr>
              <w:spacing w:before="269" w:line="199" w:lineRule="auto"/>
              <w:ind w:left="81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4EB47C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0" w:hRule="atLeast"/>
        </w:trPr>
        <w:tc>
          <w:tcPr>
            <w:tcW w:w="1309" w:type="dxa"/>
            <w:tcBorders>
              <w:left w:val="single" w:color="000000" w:sz="6" w:space="0"/>
            </w:tcBorders>
            <w:vAlign w:val="top"/>
          </w:tcPr>
          <w:p w14:paraId="4B1D1368">
            <w:pPr>
              <w:rPr>
                <w:rFonts w:ascii="Arial"/>
                <w:sz w:val="21"/>
              </w:rPr>
            </w:pPr>
          </w:p>
          <w:p w14:paraId="2EBEB463">
            <w:pPr>
              <w:rPr>
                <w:rFonts w:ascii="Arial"/>
                <w:sz w:val="21"/>
              </w:rPr>
            </w:pPr>
          </w:p>
          <w:p w14:paraId="76393E3E">
            <w:pPr>
              <w:rPr>
                <w:rFonts w:ascii="Arial"/>
                <w:sz w:val="21"/>
              </w:rPr>
            </w:pPr>
          </w:p>
          <w:p w14:paraId="703C1D1B">
            <w:pPr>
              <w:rPr>
                <w:rFonts w:ascii="Arial"/>
                <w:sz w:val="21"/>
              </w:rPr>
            </w:pPr>
          </w:p>
          <w:p w14:paraId="3CC5141C">
            <w:pPr>
              <w:spacing w:line="241" w:lineRule="auto"/>
              <w:rPr>
                <w:rFonts w:ascii="Arial"/>
                <w:sz w:val="21"/>
              </w:rPr>
            </w:pPr>
          </w:p>
          <w:p w14:paraId="47DB39D1">
            <w:pPr>
              <w:spacing w:line="241" w:lineRule="auto"/>
              <w:rPr>
                <w:rFonts w:ascii="Arial"/>
                <w:sz w:val="21"/>
              </w:rPr>
            </w:pPr>
          </w:p>
          <w:p w14:paraId="57792D48">
            <w:pPr>
              <w:spacing w:line="241" w:lineRule="auto"/>
              <w:rPr>
                <w:rFonts w:ascii="Arial"/>
                <w:sz w:val="21"/>
              </w:rPr>
            </w:pPr>
          </w:p>
          <w:p w14:paraId="312C05CC">
            <w:pPr>
              <w:spacing w:line="241" w:lineRule="auto"/>
              <w:rPr>
                <w:rFonts w:ascii="Arial"/>
                <w:sz w:val="21"/>
              </w:rPr>
            </w:pPr>
          </w:p>
          <w:p w14:paraId="51E547B5">
            <w:pPr>
              <w:spacing w:line="241" w:lineRule="auto"/>
              <w:rPr>
                <w:rFonts w:ascii="Arial"/>
                <w:sz w:val="21"/>
              </w:rPr>
            </w:pPr>
          </w:p>
          <w:p w14:paraId="2C00485F">
            <w:pPr>
              <w:spacing w:line="241" w:lineRule="auto"/>
              <w:rPr>
                <w:rFonts w:ascii="Arial"/>
                <w:sz w:val="21"/>
              </w:rPr>
            </w:pPr>
          </w:p>
          <w:p w14:paraId="3D4B3C1C">
            <w:pPr>
              <w:pStyle w:val="6"/>
              <w:spacing w:before="65" w:line="228" w:lineRule="auto"/>
              <w:ind w:left="235"/>
            </w:pPr>
            <w:r>
              <w:rPr>
                <w:spacing w:val="6"/>
              </w:rPr>
              <w:t>大气环境</w:t>
            </w:r>
          </w:p>
        </w:tc>
        <w:tc>
          <w:tcPr>
            <w:tcW w:w="5919" w:type="dxa"/>
            <w:vAlign w:val="top"/>
          </w:tcPr>
          <w:p w14:paraId="0CF980B4">
            <w:pPr>
              <w:pStyle w:val="6"/>
              <w:spacing w:before="36" w:line="250" w:lineRule="auto"/>
              <w:ind w:left="109" w:right="107" w:firstLine="8"/>
            </w:pPr>
            <w:r>
              <w:rPr>
                <w:spacing w:val="7"/>
              </w:rPr>
              <w:t>（</w:t>
            </w:r>
            <w:r>
              <w:rPr>
                <w:rFonts w:ascii="Times New Roman" w:hAnsi="Times New Roman" w:eastAsia="Times New Roman" w:cs="Times New Roman"/>
                <w:spacing w:val="7"/>
              </w:rPr>
              <w:t>1</w:t>
            </w:r>
            <w:r>
              <w:rPr>
                <w:spacing w:val="7"/>
              </w:rPr>
              <w:t>）变电站施工时，应在施工现场设置施工</w:t>
            </w:r>
            <w:r>
              <w:rPr>
                <w:spacing w:val="6"/>
              </w:rPr>
              <w:t>围墙，保持周围道</w:t>
            </w:r>
            <w:r>
              <w:rPr>
                <w:spacing w:val="8"/>
              </w:rPr>
              <w:t>路清洁，管控料堆和表土堆放，减少扬尘污染。</w:t>
            </w:r>
          </w:p>
          <w:p w14:paraId="32F2F56E">
            <w:pPr>
              <w:pStyle w:val="6"/>
              <w:spacing w:before="3" w:line="251" w:lineRule="auto"/>
              <w:ind w:left="106" w:right="54" w:firstLine="10"/>
            </w:pPr>
            <w:r>
              <w:rPr>
                <w:spacing w:val="8"/>
              </w:rPr>
              <w:t>（</w:t>
            </w:r>
            <w:r>
              <w:rPr>
                <w:rFonts w:ascii="Times New Roman" w:hAnsi="Times New Roman" w:eastAsia="Times New Roman" w:cs="Times New Roman"/>
                <w:spacing w:val="8"/>
              </w:rPr>
              <w:t>2</w:t>
            </w:r>
            <w:r>
              <w:rPr>
                <w:spacing w:val="8"/>
              </w:rPr>
              <w:t>）施工过程中，开挖的土石方、表土，应及时回填或利用，</w:t>
            </w:r>
            <w:r>
              <w:rPr>
                <w:spacing w:val="5"/>
              </w:rPr>
              <w:t>暂时不能利用的，应采取临时遮盖措施，减少风蚀产生的扬尘；</w:t>
            </w:r>
            <w:r>
              <w:rPr>
                <w:spacing w:val="11"/>
              </w:rPr>
              <w:t>对易起尘的临时堆土等应采用密闭式防尘布（网）进行苫盖，施工面集中且有条件的地方宜采取洒水降尘等有效措施，减少</w:t>
            </w:r>
            <w:r>
              <w:rPr>
                <w:spacing w:val="8"/>
              </w:rPr>
              <w:t>易造成大气污染的施工作业。</w:t>
            </w:r>
          </w:p>
          <w:p w14:paraId="03FA62C3">
            <w:pPr>
              <w:pStyle w:val="6"/>
              <w:spacing w:line="251" w:lineRule="auto"/>
              <w:ind w:left="108" w:right="107" w:firstLine="9"/>
            </w:pPr>
            <w:r>
              <w:rPr>
                <w:spacing w:val="7"/>
              </w:rPr>
              <w:t>（</w:t>
            </w:r>
            <w:r>
              <w:rPr>
                <w:rFonts w:ascii="Times New Roman" w:hAnsi="Times New Roman" w:eastAsia="Times New Roman" w:cs="Times New Roman"/>
                <w:spacing w:val="7"/>
              </w:rPr>
              <w:t>3</w:t>
            </w:r>
            <w:r>
              <w:rPr>
                <w:spacing w:val="7"/>
              </w:rPr>
              <w:t>）施工过程中，建设单位应当对裸露地面</w:t>
            </w:r>
            <w:r>
              <w:rPr>
                <w:spacing w:val="6"/>
              </w:rPr>
              <w:t>进行覆盖；暂时不</w:t>
            </w:r>
            <w:r>
              <w:rPr>
                <w:spacing w:val="11"/>
              </w:rPr>
              <w:t>能开工的建设用地超过三个月的，应当进行绿化、铺装或者遮</w:t>
            </w:r>
            <w:r>
              <w:t>盖。</w:t>
            </w:r>
          </w:p>
          <w:p w14:paraId="3DA680F7">
            <w:pPr>
              <w:pStyle w:val="6"/>
              <w:spacing w:line="251" w:lineRule="auto"/>
              <w:ind w:left="110" w:right="107" w:firstLine="7"/>
            </w:pPr>
            <w:r>
              <w:rPr>
                <w:spacing w:val="7"/>
              </w:rPr>
              <w:t>（</w:t>
            </w:r>
            <w:r>
              <w:rPr>
                <w:rFonts w:ascii="Times New Roman" w:hAnsi="Times New Roman" w:eastAsia="Times New Roman" w:cs="Times New Roman"/>
                <w:spacing w:val="7"/>
              </w:rPr>
              <w:t>4</w:t>
            </w:r>
            <w:r>
              <w:rPr>
                <w:spacing w:val="7"/>
              </w:rPr>
              <w:t>）进出场地的车辆限制车速，场内道路、</w:t>
            </w:r>
            <w:r>
              <w:rPr>
                <w:spacing w:val="6"/>
              </w:rPr>
              <w:t>堆场及车辆进出时</w:t>
            </w:r>
            <w:r>
              <w:rPr>
                <w:spacing w:val="8"/>
              </w:rPr>
              <w:t>洒水，保持湿润，减少或避免产生扬尘。</w:t>
            </w:r>
          </w:p>
          <w:p w14:paraId="20687B4C">
            <w:pPr>
              <w:pStyle w:val="6"/>
              <w:spacing w:before="3" w:line="251" w:lineRule="auto"/>
              <w:ind w:left="108" w:right="90" w:firstLine="9"/>
            </w:pPr>
            <w:r>
              <w:rPr>
                <w:spacing w:val="7"/>
              </w:rPr>
              <w:t>（</w:t>
            </w:r>
            <w:r>
              <w:rPr>
                <w:rFonts w:ascii="Times New Roman" w:hAnsi="Times New Roman" w:eastAsia="Times New Roman" w:cs="Times New Roman"/>
                <w:spacing w:val="7"/>
              </w:rPr>
              <w:t>5</w:t>
            </w:r>
            <w:r>
              <w:rPr>
                <w:spacing w:val="7"/>
              </w:rPr>
              <w:t>）施工车辆必须定期检修、维护，破损的车厢应及时修补，</w:t>
            </w:r>
            <w:r>
              <w:rPr>
                <w:spacing w:val="11"/>
              </w:rPr>
              <w:t>防止车辆行驶过程中洒落。运输中砂等粉状材料的车辆应覆盖</w:t>
            </w:r>
            <w:r>
              <w:rPr>
                <w:spacing w:val="8"/>
              </w:rPr>
              <w:t>篷布，以减少撒落和飞灰。</w:t>
            </w:r>
          </w:p>
          <w:p w14:paraId="3ACCB7D6">
            <w:pPr>
              <w:pStyle w:val="6"/>
              <w:spacing w:before="1" w:line="251" w:lineRule="auto"/>
              <w:ind w:left="127" w:right="52" w:hanging="10"/>
            </w:pPr>
            <w:r>
              <w:rPr>
                <w:spacing w:val="1"/>
              </w:rPr>
              <w:t>（</w:t>
            </w:r>
            <w:r>
              <w:rPr>
                <w:rFonts w:ascii="Times New Roman" w:hAnsi="Times New Roman" w:eastAsia="Times New Roman" w:cs="Times New Roman"/>
                <w:spacing w:val="1"/>
              </w:rPr>
              <w:t>6</w:t>
            </w:r>
            <w:r>
              <w:rPr>
                <w:spacing w:val="1"/>
              </w:rPr>
              <w:t>）加强对机械、车辆的维修保养，禁止施工机械超负荷工作，</w:t>
            </w:r>
            <w:r>
              <w:rPr>
                <w:spacing w:val="7"/>
              </w:rPr>
              <w:t>同时使用先进设备和优质燃料油。</w:t>
            </w:r>
          </w:p>
          <w:p w14:paraId="6AC36BD2">
            <w:pPr>
              <w:pStyle w:val="6"/>
              <w:spacing w:line="228" w:lineRule="auto"/>
              <w:ind w:left="109" w:right="107" w:firstLine="8"/>
            </w:pPr>
            <w:r>
              <w:rPr>
                <w:spacing w:val="7"/>
              </w:rPr>
              <w:t>（</w:t>
            </w:r>
            <w:r>
              <w:rPr>
                <w:rFonts w:ascii="Times New Roman" w:hAnsi="Times New Roman" w:eastAsia="Times New Roman" w:cs="Times New Roman"/>
                <w:spacing w:val="7"/>
              </w:rPr>
              <w:t>7</w:t>
            </w:r>
            <w:r>
              <w:rPr>
                <w:spacing w:val="7"/>
              </w:rPr>
              <w:t>）加强对施工人员的环保教育，提高全体</w:t>
            </w:r>
            <w:r>
              <w:rPr>
                <w:spacing w:val="6"/>
              </w:rPr>
              <w:t>施工人员的环保意</w:t>
            </w:r>
            <w:r>
              <w:rPr>
                <w:spacing w:val="-1"/>
              </w:rPr>
              <w:t>识。</w:t>
            </w:r>
          </w:p>
        </w:tc>
        <w:tc>
          <w:tcPr>
            <w:tcW w:w="1612" w:type="dxa"/>
            <w:vAlign w:val="top"/>
          </w:tcPr>
          <w:p w14:paraId="68BC865E">
            <w:pPr>
              <w:spacing w:line="265" w:lineRule="auto"/>
              <w:rPr>
                <w:rFonts w:ascii="Arial"/>
                <w:sz w:val="21"/>
              </w:rPr>
            </w:pPr>
          </w:p>
          <w:p w14:paraId="5F458A44">
            <w:pPr>
              <w:spacing w:line="265" w:lineRule="auto"/>
              <w:rPr>
                <w:rFonts w:ascii="Arial"/>
                <w:sz w:val="21"/>
              </w:rPr>
            </w:pPr>
          </w:p>
          <w:p w14:paraId="4F43174E">
            <w:pPr>
              <w:spacing w:line="265" w:lineRule="auto"/>
              <w:rPr>
                <w:rFonts w:ascii="Arial"/>
                <w:sz w:val="21"/>
              </w:rPr>
            </w:pPr>
          </w:p>
          <w:p w14:paraId="2CA053F9">
            <w:pPr>
              <w:spacing w:line="265" w:lineRule="auto"/>
              <w:rPr>
                <w:rFonts w:ascii="Arial"/>
                <w:sz w:val="21"/>
              </w:rPr>
            </w:pPr>
          </w:p>
          <w:p w14:paraId="6D52BC7C">
            <w:pPr>
              <w:spacing w:line="266" w:lineRule="auto"/>
              <w:rPr>
                <w:rFonts w:ascii="Arial"/>
                <w:sz w:val="21"/>
              </w:rPr>
            </w:pPr>
          </w:p>
          <w:p w14:paraId="6C468007">
            <w:pPr>
              <w:spacing w:line="266" w:lineRule="auto"/>
              <w:rPr>
                <w:rFonts w:ascii="Arial"/>
                <w:sz w:val="21"/>
              </w:rPr>
            </w:pPr>
          </w:p>
          <w:p w14:paraId="3FCD5BF8">
            <w:pPr>
              <w:pStyle w:val="6"/>
              <w:spacing w:before="65" w:line="252" w:lineRule="auto"/>
              <w:ind w:left="114" w:right="103"/>
              <w:jc w:val="both"/>
            </w:pPr>
            <w:r>
              <w:rPr>
                <w:spacing w:val="-2"/>
              </w:rPr>
              <w:t>满足《大气污染</w:t>
            </w:r>
            <w:r>
              <w:rPr>
                <w:spacing w:val="31"/>
              </w:rPr>
              <w:t>物综合排放标</w:t>
            </w:r>
            <w:r>
              <w:rPr>
                <w:spacing w:val="-12"/>
              </w:rPr>
              <w:t>准</w:t>
            </w:r>
            <w:r>
              <w:rPr>
                <w:spacing w:val="11"/>
              </w:rPr>
              <w:t xml:space="preserve">         </w:t>
            </w:r>
            <w:r>
              <w:rPr>
                <w:spacing w:val="-12"/>
              </w:rPr>
              <w:t>》</w:t>
            </w:r>
          </w:p>
          <w:p w14:paraId="0E579277">
            <w:pPr>
              <w:pStyle w:val="6"/>
              <w:spacing w:line="252" w:lineRule="auto"/>
              <w:ind w:left="114" w:right="103" w:firstLine="9"/>
              <w:jc w:val="both"/>
            </w:pPr>
            <w:r>
              <w:rPr>
                <w:spacing w:val="1"/>
              </w:rPr>
              <w:t xml:space="preserve">（ </w:t>
            </w:r>
            <w:r>
              <w:rPr>
                <w:rFonts w:ascii="Times New Roman" w:hAnsi="Times New Roman" w:eastAsia="Times New Roman" w:cs="Times New Roman"/>
              </w:rPr>
              <w:t>GB</w:t>
            </w:r>
            <w:r>
              <w:rPr>
                <w:rFonts w:ascii="Times New Roman" w:hAnsi="Times New Roman" w:eastAsia="Times New Roman" w:cs="Times New Roman"/>
                <w:spacing w:val="1"/>
              </w:rPr>
              <w:t>16297-</w:t>
            </w:r>
            <w:r>
              <w:rPr>
                <w:rFonts w:ascii="Times New Roman" w:hAnsi="Times New Roman" w:eastAsia="Times New Roman" w:cs="Times New Roman"/>
                <w:spacing w:val="-28"/>
              </w:rPr>
              <w:t xml:space="preserve"> </w:t>
            </w:r>
            <w:r>
              <w:rPr>
                <w:rFonts w:ascii="Times New Roman" w:hAnsi="Times New Roman" w:eastAsia="Times New Roman" w:cs="Times New Roman"/>
                <w:spacing w:val="1"/>
              </w:rPr>
              <w:t>19</w:t>
            </w:r>
            <w:r>
              <w:rPr>
                <w:rFonts w:ascii="Times New Roman" w:hAnsi="Times New Roman" w:eastAsia="Times New Roman" w:cs="Times New Roman"/>
              </w:rPr>
              <w:t xml:space="preserve"> </w:t>
            </w:r>
            <w:r>
              <w:rPr>
                <w:rFonts w:ascii="Times New Roman" w:hAnsi="Times New Roman" w:eastAsia="Times New Roman" w:cs="Times New Roman"/>
                <w:spacing w:val="-5"/>
              </w:rPr>
              <w:t>96</w:t>
            </w:r>
            <w:r>
              <w:rPr>
                <w:spacing w:val="-5"/>
              </w:rPr>
              <w:t>）中表</w:t>
            </w:r>
            <w:r>
              <w:rPr>
                <w:spacing w:val="-39"/>
              </w:rPr>
              <w:t xml:space="preserve"> </w:t>
            </w:r>
            <w:r>
              <w:rPr>
                <w:rFonts w:ascii="Times New Roman" w:hAnsi="Times New Roman" w:eastAsia="Times New Roman" w:cs="Times New Roman"/>
                <w:spacing w:val="-5"/>
              </w:rPr>
              <w:t>2</w:t>
            </w:r>
            <w:r>
              <w:rPr>
                <w:rFonts w:ascii="Times New Roman" w:hAnsi="Times New Roman" w:eastAsia="Times New Roman" w:cs="Times New Roman"/>
                <w:spacing w:val="14"/>
              </w:rPr>
              <w:t xml:space="preserve"> </w:t>
            </w:r>
            <w:r>
              <w:rPr>
                <w:spacing w:val="-5"/>
              </w:rPr>
              <w:t>无组</w:t>
            </w:r>
            <w:r>
              <w:rPr>
                <w:spacing w:val="31"/>
              </w:rPr>
              <w:t>织排放限值要</w:t>
            </w:r>
            <w:r>
              <w:t>求</w:t>
            </w:r>
          </w:p>
        </w:tc>
        <w:tc>
          <w:tcPr>
            <w:tcW w:w="3572" w:type="dxa"/>
            <w:vAlign w:val="top"/>
          </w:tcPr>
          <w:p w14:paraId="1D5FB00E">
            <w:pPr>
              <w:spacing w:line="252" w:lineRule="auto"/>
              <w:rPr>
                <w:rFonts w:ascii="Arial"/>
                <w:sz w:val="21"/>
              </w:rPr>
            </w:pPr>
          </w:p>
          <w:p w14:paraId="163CC390">
            <w:pPr>
              <w:spacing w:line="252" w:lineRule="auto"/>
              <w:rPr>
                <w:rFonts w:ascii="Arial"/>
                <w:sz w:val="21"/>
              </w:rPr>
            </w:pPr>
          </w:p>
          <w:p w14:paraId="01FDF272">
            <w:pPr>
              <w:spacing w:line="252" w:lineRule="auto"/>
              <w:rPr>
                <w:rFonts w:ascii="Arial"/>
                <w:sz w:val="21"/>
              </w:rPr>
            </w:pPr>
          </w:p>
          <w:p w14:paraId="277ED2EA">
            <w:pPr>
              <w:spacing w:line="252" w:lineRule="auto"/>
              <w:rPr>
                <w:rFonts w:ascii="Arial"/>
                <w:sz w:val="21"/>
              </w:rPr>
            </w:pPr>
          </w:p>
          <w:p w14:paraId="6AAEDA2A">
            <w:pPr>
              <w:spacing w:line="252" w:lineRule="auto"/>
              <w:rPr>
                <w:rFonts w:ascii="Arial"/>
                <w:sz w:val="21"/>
              </w:rPr>
            </w:pPr>
          </w:p>
          <w:p w14:paraId="6220340B">
            <w:pPr>
              <w:spacing w:line="252" w:lineRule="auto"/>
              <w:rPr>
                <w:rFonts w:ascii="Arial"/>
                <w:sz w:val="21"/>
              </w:rPr>
            </w:pPr>
          </w:p>
          <w:p w14:paraId="40DECC80">
            <w:pPr>
              <w:spacing w:line="252" w:lineRule="auto"/>
              <w:rPr>
                <w:rFonts w:ascii="Arial"/>
                <w:sz w:val="21"/>
              </w:rPr>
            </w:pPr>
          </w:p>
          <w:p w14:paraId="57322D4F">
            <w:pPr>
              <w:spacing w:line="252" w:lineRule="auto"/>
              <w:rPr>
                <w:rFonts w:ascii="Arial"/>
                <w:sz w:val="21"/>
              </w:rPr>
            </w:pPr>
          </w:p>
          <w:p w14:paraId="095A1ADA">
            <w:pPr>
              <w:pStyle w:val="6"/>
              <w:spacing w:before="65" w:line="252" w:lineRule="auto"/>
              <w:ind w:left="115" w:right="102" w:firstLine="1"/>
              <w:jc w:val="both"/>
            </w:pPr>
            <w:r>
              <w:rPr>
                <w:spacing w:val="9"/>
              </w:rPr>
              <w:t>线路无废气产生；变电站值班人员较少，采用电源烹饪，少量饮食油烟产</w:t>
            </w:r>
            <w:r>
              <w:rPr>
                <w:spacing w:val="8"/>
              </w:rPr>
              <w:t>生，经大气稀释后排放。</w:t>
            </w:r>
          </w:p>
        </w:tc>
        <w:tc>
          <w:tcPr>
            <w:tcW w:w="1698" w:type="dxa"/>
            <w:tcBorders>
              <w:right w:val="single" w:color="000000" w:sz="6" w:space="0"/>
            </w:tcBorders>
            <w:vAlign w:val="top"/>
          </w:tcPr>
          <w:p w14:paraId="018467CB">
            <w:pPr>
              <w:spacing w:line="244" w:lineRule="auto"/>
              <w:rPr>
                <w:rFonts w:ascii="Arial"/>
                <w:sz w:val="21"/>
              </w:rPr>
            </w:pPr>
          </w:p>
          <w:p w14:paraId="154153AD">
            <w:pPr>
              <w:spacing w:line="244" w:lineRule="auto"/>
              <w:rPr>
                <w:rFonts w:ascii="Arial"/>
                <w:sz w:val="21"/>
              </w:rPr>
            </w:pPr>
          </w:p>
          <w:p w14:paraId="590707A7">
            <w:pPr>
              <w:spacing w:line="244" w:lineRule="auto"/>
              <w:rPr>
                <w:rFonts w:ascii="Arial"/>
                <w:sz w:val="21"/>
              </w:rPr>
            </w:pPr>
          </w:p>
          <w:p w14:paraId="77677EB1">
            <w:pPr>
              <w:spacing w:line="244" w:lineRule="auto"/>
              <w:rPr>
                <w:rFonts w:ascii="Arial"/>
                <w:sz w:val="21"/>
              </w:rPr>
            </w:pPr>
          </w:p>
          <w:p w14:paraId="578E5434">
            <w:pPr>
              <w:spacing w:line="244" w:lineRule="auto"/>
              <w:rPr>
                <w:rFonts w:ascii="Arial"/>
                <w:sz w:val="21"/>
              </w:rPr>
            </w:pPr>
          </w:p>
          <w:p w14:paraId="54DFE5B3">
            <w:pPr>
              <w:spacing w:line="245" w:lineRule="auto"/>
              <w:rPr>
                <w:rFonts w:ascii="Arial"/>
                <w:sz w:val="21"/>
              </w:rPr>
            </w:pPr>
          </w:p>
          <w:p w14:paraId="5FBA5476">
            <w:pPr>
              <w:spacing w:line="245" w:lineRule="auto"/>
              <w:rPr>
                <w:rFonts w:ascii="Arial"/>
                <w:sz w:val="21"/>
              </w:rPr>
            </w:pPr>
          </w:p>
          <w:p w14:paraId="3A9D7A0F">
            <w:pPr>
              <w:spacing w:line="245" w:lineRule="auto"/>
              <w:rPr>
                <w:rFonts w:ascii="Arial"/>
                <w:sz w:val="21"/>
              </w:rPr>
            </w:pPr>
          </w:p>
          <w:p w14:paraId="00B499B7">
            <w:pPr>
              <w:spacing w:line="245" w:lineRule="auto"/>
              <w:rPr>
                <w:rFonts w:ascii="Arial"/>
                <w:sz w:val="21"/>
              </w:rPr>
            </w:pPr>
          </w:p>
          <w:p w14:paraId="278BDFD4">
            <w:pPr>
              <w:spacing w:line="245" w:lineRule="auto"/>
              <w:rPr>
                <w:rFonts w:ascii="Arial"/>
                <w:sz w:val="21"/>
              </w:rPr>
            </w:pPr>
          </w:p>
          <w:p w14:paraId="554F9DE0">
            <w:pPr>
              <w:spacing w:before="58" w:line="199" w:lineRule="auto"/>
              <w:ind w:left="81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11CAC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1309" w:type="dxa"/>
            <w:tcBorders>
              <w:left w:val="single" w:color="000000" w:sz="6" w:space="0"/>
              <w:bottom w:val="single" w:color="000000" w:sz="6" w:space="0"/>
            </w:tcBorders>
            <w:vAlign w:val="top"/>
          </w:tcPr>
          <w:p w14:paraId="3A752A86">
            <w:pPr>
              <w:pStyle w:val="6"/>
              <w:spacing w:before="249" w:line="228" w:lineRule="auto"/>
              <w:ind w:left="251"/>
            </w:pPr>
            <w:r>
              <w:rPr>
                <w:spacing w:val="2"/>
              </w:rPr>
              <w:t>固体废物</w:t>
            </w:r>
          </w:p>
        </w:tc>
        <w:tc>
          <w:tcPr>
            <w:tcW w:w="5919" w:type="dxa"/>
            <w:tcBorders>
              <w:bottom w:val="single" w:color="000000" w:sz="6" w:space="0"/>
            </w:tcBorders>
            <w:vAlign w:val="top"/>
          </w:tcPr>
          <w:p w14:paraId="720C7D60">
            <w:pPr>
              <w:pStyle w:val="6"/>
              <w:spacing w:before="43" w:line="254" w:lineRule="auto"/>
              <w:ind w:left="109" w:right="106" w:firstLine="8"/>
            </w:pPr>
            <w:r>
              <w:rPr>
                <w:spacing w:val="7"/>
              </w:rPr>
              <w:t>（</w:t>
            </w:r>
            <w:r>
              <w:rPr>
                <w:rFonts w:ascii="Times New Roman" w:hAnsi="Times New Roman" w:eastAsia="Times New Roman" w:cs="Times New Roman"/>
                <w:spacing w:val="7"/>
              </w:rPr>
              <w:t>1</w:t>
            </w:r>
            <w:r>
              <w:rPr>
                <w:spacing w:val="7"/>
              </w:rPr>
              <w:t>）本项目区内不设置施工营地，施工人员</w:t>
            </w:r>
            <w:r>
              <w:rPr>
                <w:spacing w:val="6"/>
              </w:rPr>
              <w:t>租住周边民房，产</w:t>
            </w:r>
            <w:r>
              <w:rPr>
                <w:spacing w:val="9"/>
              </w:rPr>
              <w:t>生的生活垃圾统一收集后运至附近乡镇垃圾收集点集中处理。</w:t>
            </w:r>
          </w:p>
        </w:tc>
        <w:tc>
          <w:tcPr>
            <w:tcW w:w="1612" w:type="dxa"/>
            <w:tcBorders>
              <w:bottom w:val="single" w:color="000000" w:sz="6" w:space="0"/>
            </w:tcBorders>
            <w:vAlign w:val="top"/>
          </w:tcPr>
          <w:p w14:paraId="6A8AFBA9">
            <w:pPr>
              <w:pStyle w:val="6"/>
              <w:spacing w:before="129" w:line="260" w:lineRule="auto"/>
              <w:ind w:left="130" w:right="103" w:firstLine="1"/>
              <w:rPr>
                <w:rFonts w:ascii="Times New Roman" w:hAnsi="Times New Roman" w:eastAsia="Times New Roman" w:cs="Times New Roman"/>
              </w:rPr>
            </w:pPr>
            <w:r>
              <w:rPr>
                <w:spacing w:val="-4"/>
              </w:rPr>
              <w:t>固 废 处 置 率</w:t>
            </w:r>
            <w:r>
              <w:rPr>
                <w:rFonts w:ascii="Times New Roman" w:hAnsi="Times New Roman" w:eastAsia="Times New Roman" w:cs="Times New Roman"/>
                <w:spacing w:val="-1"/>
              </w:rPr>
              <w:t>100%</w:t>
            </w:r>
          </w:p>
        </w:tc>
        <w:tc>
          <w:tcPr>
            <w:tcW w:w="3572" w:type="dxa"/>
            <w:tcBorders>
              <w:bottom w:val="single" w:color="000000" w:sz="6" w:space="0"/>
            </w:tcBorders>
            <w:vAlign w:val="top"/>
          </w:tcPr>
          <w:p w14:paraId="6F17A65F">
            <w:pPr>
              <w:pStyle w:val="6"/>
              <w:spacing w:before="112" w:line="251" w:lineRule="auto"/>
              <w:ind w:left="131" w:right="102" w:hanging="6"/>
            </w:pPr>
            <w:r>
              <w:rPr>
                <w:spacing w:val="2"/>
              </w:rPr>
              <w:t>（</w:t>
            </w:r>
            <w:r>
              <w:rPr>
                <w:rFonts w:ascii="Times New Roman" w:hAnsi="Times New Roman" w:eastAsia="Times New Roman" w:cs="Times New Roman"/>
                <w:spacing w:val="2"/>
              </w:rPr>
              <w:t>1</w:t>
            </w:r>
            <w:r>
              <w:rPr>
                <w:spacing w:val="2"/>
              </w:rPr>
              <w:t>）输电线路维护和更换会产生废弃</w:t>
            </w:r>
            <w:r>
              <w:rPr>
                <w:spacing w:val="7"/>
              </w:rPr>
              <w:t>的导线、螺丝钉等废旧材料及设备，</w:t>
            </w:r>
          </w:p>
        </w:tc>
        <w:tc>
          <w:tcPr>
            <w:tcW w:w="1698" w:type="dxa"/>
            <w:tcBorders>
              <w:bottom w:val="single" w:color="000000" w:sz="6" w:space="0"/>
              <w:right w:val="single" w:color="000000" w:sz="6" w:space="0"/>
            </w:tcBorders>
            <w:vAlign w:val="top"/>
          </w:tcPr>
          <w:p w14:paraId="677763B9">
            <w:pPr>
              <w:pStyle w:val="6"/>
              <w:spacing w:before="129" w:line="260" w:lineRule="auto"/>
              <w:ind w:left="135" w:right="103" w:firstLine="1"/>
              <w:rPr>
                <w:rFonts w:ascii="Times New Roman" w:hAnsi="Times New Roman" w:eastAsia="Times New Roman" w:cs="Times New Roman"/>
              </w:rPr>
            </w:pPr>
            <w:r>
              <w:rPr>
                <w:spacing w:val="-4"/>
              </w:rPr>
              <w:t>固</w:t>
            </w:r>
            <w:r>
              <w:rPr>
                <w:spacing w:val="17"/>
              </w:rPr>
              <w:t xml:space="preserve"> </w:t>
            </w:r>
            <w:r>
              <w:rPr>
                <w:spacing w:val="-4"/>
              </w:rPr>
              <w:t>废</w:t>
            </w:r>
            <w:r>
              <w:rPr>
                <w:spacing w:val="17"/>
              </w:rPr>
              <w:t xml:space="preserve"> </w:t>
            </w:r>
            <w:r>
              <w:rPr>
                <w:spacing w:val="-4"/>
              </w:rPr>
              <w:t>处</w:t>
            </w:r>
            <w:r>
              <w:rPr>
                <w:spacing w:val="15"/>
              </w:rPr>
              <w:t xml:space="preserve"> </w:t>
            </w:r>
            <w:r>
              <w:rPr>
                <w:spacing w:val="-4"/>
              </w:rPr>
              <w:t>置</w:t>
            </w:r>
            <w:r>
              <w:rPr>
                <w:spacing w:val="17"/>
              </w:rPr>
              <w:t xml:space="preserve"> </w:t>
            </w:r>
            <w:r>
              <w:rPr>
                <w:spacing w:val="-4"/>
              </w:rPr>
              <w:t>率</w:t>
            </w:r>
            <w:r>
              <w:rPr>
                <w:rFonts w:ascii="Times New Roman" w:hAnsi="Times New Roman" w:eastAsia="Times New Roman" w:cs="Times New Roman"/>
                <w:spacing w:val="-1"/>
              </w:rPr>
              <w:t>100%</w:t>
            </w:r>
          </w:p>
        </w:tc>
      </w:tr>
    </w:tbl>
    <w:p w14:paraId="28C4A73D">
      <w:pPr>
        <w:spacing w:line="241" w:lineRule="exact"/>
        <w:rPr>
          <w:rFonts w:ascii="Arial"/>
          <w:sz w:val="20"/>
        </w:rPr>
      </w:pPr>
    </w:p>
    <w:p w14:paraId="4CCE4060">
      <w:pPr>
        <w:spacing w:line="241" w:lineRule="exact"/>
        <w:rPr>
          <w:rFonts w:ascii="Arial" w:hAnsi="Arial" w:eastAsia="Arial" w:cs="Arial"/>
          <w:sz w:val="20"/>
          <w:szCs w:val="20"/>
        </w:rPr>
        <w:sectPr>
          <w:footerReference r:id="rId147" w:type="default"/>
          <w:pgSz w:w="16839" w:h="11906"/>
          <w:pgMar w:top="400" w:right="1299" w:bottom="1240" w:left="1413" w:header="0" w:footer="1078" w:gutter="0"/>
          <w:cols w:space="720" w:num="1"/>
        </w:sectPr>
      </w:pPr>
    </w:p>
    <w:p w14:paraId="2B68FFBA">
      <w:pPr>
        <w:spacing w:before="8"/>
      </w:pPr>
    </w:p>
    <w:p w14:paraId="6AA058C3">
      <w:pPr>
        <w:spacing w:before="7"/>
      </w:pPr>
    </w:p>
    <w:p w14:paraId="77A222A4">
      <w:pPr>
        <w:spacing w:before="7"/>
      </w:pPr>
    </w:p>
    <w:p w14:paraId="52604848">
      <w:pPr>
        <w:spacing w:before="7"/>
      </w:pPr>
    </w:p>
    <w:p w14:paraId="5AD74127">
      <w:pPr>
        <w:spacing w:before="7"/>
      </w:pPr>
    </w:p>
    <w:tbl>
      <w:tblPr>
        <w:tblStyle w:val="5"/>
        <w:tblW w:w="1411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09"/>
        <w:gridCol w:w="5919"/>
        <w:gridCol w:w="1612"/>
        <w:gridCol w:w="3572"/>
        <w:gridCol w:w="1698"/>
      </w:tblGrid>
      <w:tr w14:paraId="4D08D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12" w:hRule="atLeast"/>
        </w:trPr>
        <w:tc>
          <w:tcPr>
            <w:tcW w:w="1309" w:type="dxa"/>
            <w:tcBorders>
              <w:right w:val="single" w:color="000000" w:sz="2" w:space="0"/>
            </w:tcBorders>
            <w:vAlign w:val="top"/>
          </w:tcPr>
          <w:p w14:paraId="23FFC0B1">
            <w:pPr>
              <w:rPr>
                <w:rFonts w:ascii="Arial"/>
                <w:sz w:val="21"/>
              </w:rPr>
            </w:pPr>
          </w:p>
        </w:tc>
        <w:tc>
          <w:tcPr>
            <w:tcW w:w="5919" w:type="dxa"/>
            <w:tcBorders>
              <w:left w:val="single" w:color="000000" w:sz="2" w:space="0"/>
              <w:right w:val="single" w:color="000000" w:sz="2" w:space="0"/>
            </w:tcBorders>
            <w:vAlign w:val="top"/>
          </w:tcPr>
          <w:p w14:paraId="76B7566C">
            <w:pPr>
              <w:pStyle w:val="6"/>
              <w:spacing w:before="27" w:line="251" w:lineRule="auto"/>
              <w:ind w:left="106" w:right="107" w:firstLine="10"/>
            </w:pPr>
            <w:r>
              <w:rPr>
                <w:spacing w:val="7"/>
              </w:rPr>
              <w:t>（</w:t>
            </w:r>
            <w:r>
              <w:rPr>
                <w:rFonts w:ascii="Times New Roman" w:hAnsi="Times New Roman" w:eastAsia="Times New Roman" w:cs="Times New Roman"/>
                <w:spacing w:val="7"/>
              </w:rPr>
              <w:t>2</w:t>
            </w:r>
            <w:r>
              <w:rPr>
                <w:spacing w:val="7"/>
              </w:rPr>
              <w:t>）架空线路基础开挖产生的土石方分别</w:t>
            </w:r>
            <w:r>
              <w:rPr>
                <w:spacing w:val="6"/>
              </w:rPr>
              <w:t>在各塔基占地范围内</w:t>
            </w:r>
            <w:r>
              <w:rPr>
                <w:spacing w:val="11"/>
              </w:rPr>
              <w:t>就地回填压实，不产生永久性弃渣。塔基施工剥离表土全部堆存于塔基临时施工场地一角，用于塔基区后期覆土，平地型塔基剥离表土按开挖顺序回填覆土至最上层；坡地型塔基是在塔基下游采用编织袋装填表土拦挡，然后进行临时堆土，后期用</w:t>
            </w:r>
            <w:r>
              <w:rPr>
                <w:spacing w:val="5"/>
              </w:rPr>
              <w:t>作覆土。</w:t>
            </w:r>
          </w:p>
          <w:p w14:paraId="49FD7E31">
            <w:pPr>
              <w:pStyle w:val="6"/>
              <w:spacing w:line="251" w:lineRule="auto"/>
              <w:ind w:left="111" w:right="107" w:firstLine="6"/>
            </w:pPr>
            <w:r>
              <w:rPr>
                <w:spacing w:val="7"/>
              </w:rPr>
              <w:t>（</w:t>
            </w:r>
            <w:r>
              <w:rPr>
                <w:rFonts w:ascii="Times New Roman" w:hAnsi="Times New Roman" w:eastAsia="Times New Roman" w:cs="Times New Roman"/>
                <w:spacing w:val="7"/>
              </w:rPr>
              <w:t>3</w:t>
            </w:r>
            <w:r>
              <w:rPr>
                <w:spacing w:val="7"/>
              </w:rPr>
              <w:t>）建筑垃圾尽可能回收利用，不能回收利</w:t>
            </w:r>
            <w:r>
              <w:rPr>
                <w:spacing w:val="6"/>
              </w:rPr>
              <w:t>用的及时清运至相</w:t>
            </w:r>
            <w:r>
              <w:rPr>
                <w:spacing w:val="9"/>
              </w:rPr>
              <w:t>关部门指定堆放点集中处理，不能随意丢弃及堆</w:t>
            </w:r>
            <w:r>
              <w:rPr>
                <w:spacing w:val="8"/>
              </w:rPr>
              <w:t>放。</w:t>
            </w:r>
          </w:p>
          <w:p w14:paraId="5347530C">
            <w:pPr>
              <w:pStyle w:val="6"/>
              <w:spacing w:before="2" w:line="251" w:lineRule="auto"/>
              <w:ind w:left="109" w:right="107" w:firstLine="8"/>
            </w:pPr>
            <w:r>
              <w:rPr>
                <w:spacing w:val="7"/>
              </w:rPr>
              <w:t>（</w:t>
            </w:r>
            <w:r>
              <w:rPr>
                <w:rFonts w:ascii="Times New Roman" w:hAnsi="Times New Roman" w:eastAsia="Times New Roman" w:cs="Times New Roman"/>
                <w:spacing w:val="7"/>
              </w:rPr>
              <w:t>4</w:t>
            </w:r>
            <w:r>
              <w:rPr>
                <w:spacing w:val="7"/>
              </w:rPr>
              <w:t>）施工中临时堆土点应远离水体，及时采</w:t>
            </w:r>
            <w:r>
              <w:rPr>
                <w:spacing w:val="6"/>
              </w:rPr>
              <w:t>取挡护措施；严禁</w:t>
            </w:r>
            <w:r>
              <w:rPr>
                <w:spacing w:val="7"/>
              </w:rPr>
              <w:t>向附近水体 排放工程弃土、废泥浆、废弃的混凝土、生活垃圾</w:t>
            </w:r>
            <w:r>
              <w:rPr>
                <w:spacing w:val="6"/>
              </w:rPr>
              <w:t>等施工废物。</w:t>
            </w:r>
          </w:p>
          <w:p w14:paraId="5BC9C058">
            <w:pPr>
              <w:pStyle w:val="6"/>
              <w:spacing w:before="2" w:line="251" w:lineRule="auto"/>
              <w:ind w:left="106" w:right="36" w:firstLine="10"/>
            </w:pPr>
            <w:r>
              <w:rPr>
                <w:spacing w:val="7"/>
              </w:rPr>
              <w:t>（</w:t>
            </w:r>
            <w:r>
              <w:rPr>
                <w:rFonts w:ascii="Times New Roman" w:hAnsi="Times New Roman" w:eastAsia="Times New Roman" w:cs="Times New Roman"/>
                <w:spacing w:val="7"/>
              </w:rPr>
              <w:t>5</w:t>
            </w:r>
            <w:r>
              <w:rPr>
                <w:spacing w:val="7"/>
              </w:rPr>
              <w:t>）施工临时占地采取隔离保护措施，如铺</w:t>
            </w:r>
            <w:r>
              <w:rPr>
                <w:spacing w:val="6"/>
              </w:rPr>
              <w:t>设彩条布、草垫或棕垫，防止施工活动破坏地表植被；施工结束后将多余砂石料、</w:t>
            </w:r>
            <w:r>
              <w:rPr>
                <w:spacing w:val="10"/>
              </w:rPr>
              <w:t>混凝土残渣等及时清除，</w:t>
            </w:r>
            <w:r>
              <w:rPr>
                <w:spacing w:val="-55"/>
              </w:rPr>
              <w:t xml:space="preserve"> </w:t>
            </w:r>
            <w:r>
              <w:rPr>
                <w:spacing w:val="10"/>
              </w:rPr>
              <w:t>以免影响后期土地功能和植被恢复，</w:t>
            </w:r>
            <w:r>
              <w:rPr>
                <w:spacing w:val="7"/>
              </w:rPr>
              <w:t>做到</w:t>
            </w:r>
            <w:r>
              <w:rPr>
                <w:rFonts w:ascii="Times New Roman" w:hAnsi="Times New Roman" w:eastAsia="Times New Roman" w:cs="Times New Roman"/>
                <w:spacing w:val="7"/>
              </w:rPr>
              <w:t>“</w:t>
            </w:r>
            <w:r>
              <w:rPr>
                <w:spacing w:val="7"/>
              </w:rPr>
              <w:t>工完、料尽、场地清</w:t>
            </w:r>
            <w:r>
              <w:rPr>
                <w:rFonts w:ascii="Times New Roman" w:hAnsi="Times New Roman" w:eastAsia="Times New Roman" w:cs="Times New Roman"/>
                <w:spacing w:val="7"/>
              </w:rPr>
              <w:t>”</w:t>
            </w:r>
            <w:r>
              <w:rPr>
                <w:spacing w:val="7"/>
              </w:rPr>
              <w:t>。</w:t>
            </w:r>
          </w:p>
          <w:p w14:paraId="44450BEF">
            <w:pPr>
              <w:pStyle w:val="6"/>
              <w:spacing w:before="1" w:line="251" w:lineRule="auto"/>
              <w:ind w:left="107" w:right="107" w:firstLine="10"/>
            </w:pPr>
            <w:r>
              <w:rPr>
                <w:spacing w:val="7"/>
              </w:rPr>
              <w:t>（</w:t>
            </w:r>
            <w:r>
              <w:rPr>
                <w:rFonts w:ascii="Times New Roman" w:hAnsi="Times New Roman" w:eastAsia="Times New Roman" w:cs="Times New Roman"/>
                <w:spacing w:val="7"/>
              </w:rPr>
              <w:t>6</w:t>
            </w:r>
            <w:r>
              <w:rPr>
                <w:spacing w:val="7"/>
              </w:rPr>
              <w:t>）项目施工机械设备的维护在附近机械修</w:t>
            </w:r>
            <w:r>
              <w:rPr>
                <w:spacing w:val="6"/>
              </w:rPr>
              <w:t>理厂解决，不在施</w:t>
            </w:r>
            <w:r>
              <w:rPr>
                <w:spacing w:val="11"/>
              </w:rPr>
              <w:t>工区域进行涉油维修，并加强和规范设备日常维护，避免油泄</w:t>
            </w:r>
            <w:r>
              <w:rPr>
                <w:spacing w:val="7"/>
              </w:rPr>
              <w:t>漏和废弃油料产生。</w:t>
            </w:r>
          </w:p>
        </w:tc>
        <w:tc>
          <w:tcPr>
            <w:tcW w:w="1612" w:type="dxa"/>
            <w:tcBorders>
              <w:left w:val="single" w:color="000000" w:sz="2" w:space="0"/>
              <w:right w:val="single" w:color="000000" w:sz="2" w:space="0"/>
            </w:tcBorders>
            <w:vAlign w:val="top"/>
          </w:tcPr>
          <w:p w14:paraId="5E2D5120">
            <w:pPr>
              <w:rPr>
                <w:rFonts w:ascii="Arial"/>
                <w:sz w:val="21"/>
              </w:rPr>
            </w:pPr>
          </w:p>
        </w:tc>
        <w:tc>
          <w:tcPr>
            <w:tcW w:w="3572" w:type="dxa"/>
            <w:tcBorders>
              <w:left w:val="single" w:color="000000" w:sz="2" w:space="0"/>
              <w:right w:val="single" w:color="000000" w:sz="2" w:space="0"/>
            </w:tcBorders>
            <w:vAlign w:val="top"/>
          </w:tcPr>
          <w:p w14:paraId="4E278AC6">
            <w:pPr>
              <w:pStyle w:val="6"/>
              <w:spacing w:before="27" w:line="251" w:lineRule="auto"/>
              <w:ind w:left="116" w:right="102" w:hanging="1"/>
              <w:jc w:val="both"/>
            </w:pPr>
            <w:r>
              <w:rPr>
                <w:spacing w:val="9"/>
              </w:rPr>
              <w:t>集中收集后回收利用。运行维护中产生的废弃材料、生活垃圾等废物不得</w:t>
            </w:r>
            <w:r>
              <w:rPr>
                <w:spacing w:val="8"/>
              </w:rPr>
              <w:t>随意丢弃，应带回营地妥善处理。</w:t>
            </w:r>
          </w:p>
          <w:p w14:paraId="7CA7268E">
            <w:pPr>
              <w:pStyle w:val="6"/>
              <w:spacing w:before="1" w:line="251" w:lineRule="auto"/>
              <w:ind w:left="115" w:right="102" w:firstLine="10"/>
            </w:pPr>
            <w:r>
              <w:rPr>
                <w:spacing w:val="2"/>
              </w:rPr>
              <w:t>（</w:t>
            </w:r>
            <w:r>
              <w:rPr>
                <w:rFonts w:ascii="Times New Roman" w:hAnsi="Times New Roman" w:eastAsia="Times New Roman" w:cs="Times New Roman"/>
                <w:spacing w:val="2"/>
              </w:rPr>
              <w:t>2</w:t>
            </w:r>
            <w:r>
              <w:rPr>
                <w:spacing w:val="2"/>
              </w:rPr>
              <w:t>）变电站工作人员的生活垃圾严禁</w:t>
            </w:r>
            <w:r>
              <w:rPr>
                <w:spacing w:val="9"/>
              </w:rPr>
              <w:t>随意丢弃，暂存于站内垃圾桶内，定期清运至附近乡镇垃圾集中点，与当</w:t>
            </w:r>
            <w:r>
              <w:rPr>
                <w:spacing w:val="8"/>
              </w:rPr>
              <w:t>地生活垃圾一起处理。</w:t>
            </w:r>
          </w:p>
          <w:p w14:paraId="6A0B9E6E">
            <w:pPr>
              <w:pStyle w:val="6"/>
              <w:spacing w:before="2" w:line="251" w:lineRule="auto"/>
              <w:ind w:left="114" w:right="99" w:firstLine="10"/>
            </w:pPr>
            <w:r>
              <w:rPr>
                <w:spacing w:val="2"/>
              </w:rPr>
              <w:t>（</w:t>
            </w:r>
            <w:r>
              <w:rPr>
                <w:rFonts w:ascii="Times New Roman" w:hAnsi="Times New Roman" w:eastAsia="Times New Roman" w:cs="Times New Roman"/>
                <w:spacing w:val="2"/>
              </w:rPr>
              <w:t>3</w:t>
            </w:r>
            <w:r>
              <w:rPr>
                <w:spacing w:val="2"/>
              </w:rPr>
              <w:t>）变电站蓄电池更换后严禁随意丢</w:t>
            </w:r>
            <w:r>
              <w:rPr>
                <w:spacing w:val="-9"/>
              </w:rPr>
              <w:t>弃，不在现场进行拆散、破碎，站内 设</w:t>
            </w:r>
            <w:r>
              <w:rPr>
                <w:spacing w:val="9"/>
              </w:rPr>
              <w:t>一间危险废物暂存间，用于贮存更换下来的废旧铅蓄电池，委托具备危险废物处理资质的单位依法合规地进行</w:t>
            </w:r>
            <w:r>
              <w:rPr>
                <w:spacing w:val="6"/>
              </w:rPr>
              <w:t>回收、处置。</w:t>
            </w:r>
          </w:p>
          <w:p w14:paraId="559D7169">
            <w:pPr>
              <w:pStyle w:val="6"/>
              <w:spacing w:before="4" w:line="251" w:lineRule="auto"/>
              <w:ind w:left="115" w:right="99" w:firstLine="10"/>
            </w:pPr>
            <w:r>
              <w:rPr>
                <w:spacing w:val="2"/>
              </w:rPr>
              <w:t>（</w:t>
            </w:r>
            <w:r>
              <w:rPr>
                <w:rFonts w:ascii="Times New Roman" w:hAnsi="Times New Roman" w:eastAsia="Times New Roman" w:cs="Times New Roman"/>
                <w:spacing w:val="2"/>
              </w:rPr>
              <w:t>4</w:t>
            </w:r>
            <w:r>
              <w:rPr>
                <w:spacing w:val="2"/>
              </w:rPr>
              <w:t>）危险废物暂存间需满足《危险废</w:t>
            </w:r>
            <w:r>
              <w:rPr>
                <w:spacing w:val="-1"/>
              </w:rPr>
              <w:t>物</w:t>
            </w:r>
            <w:r>
              <w:rPr>
                <w:spacing w:val="51"/>
              </w:rPr>
              <w:t xml:space="preserve"> </w:t>
            </w:r>
            <w:r>
              <w:rPr>
                <w:spacing w:val="-1"/>
              </w:rPr>
              <w:t>贮</w:t>
            </w:r>
            <w:r>
              <w:rPr>
                <w:spacing w:val="49"/>
              </w:rPr>
              <w:t xml:space="preserve"> </w:t>
            </w:r>
            <w:r>
              <w:rPr>
                <w:spacing w:val="-1"/>
              </w:rPr>
              <w:t>存</w:t>
            </w:r>
            <w:r>
              <w:rPr>
                <w:spacing w:val="48"/>
              </w:rPr>
              <w:t xml:space="preserve"> </w:t>
            </w:r>
            <w:r>
              <w:rPr>
                <w:spacing w:val="-1"/>
              </w:rPr>
              <w:t>污</w:t>
            </w:r>
            <w:r>
              <w:rPr>
                <w:spacing w:val="53"/>
              </w:rPr>
              <w:t xml:space="preserve"> </w:t>
            </w:r>
            <w:r>
              <w:rPr>
                <w:spacing w:val="-1"/>
              </w:rPr>
              <w:t>染</w:t>
            </w:r>
            <w:r>
              <w:rPr>
                <w:spacing w:val="49"/>
              </w:rPr>
              <w:t xml:space="preserve"> </w:t>
            </w:r>
            <w:r>
              <w:rPr>
                <w:spacing w:val="-1"/>
              </w:rPr>
              <w:t>控</w:t>
            </w:r>
            <w:r>
              <w:rPr>
                <w:spacing w:val="50"/>
              </w:rPr>
              <w:t xml:space="preserve"> </w:t>
            </w:r>
            <w:r>
              <w:rPr>
                <w:spacing w:val="-1"/>
              </w:rPr>
              <w:t>制</w:t>
            </w:r>
            <w:r>
              <w:rPr>
                <w:spacing w:val="51"/>
              </w:rPr>
              <w:t xml:space="preserve"> </w:t>
            </w:r>
            <w:r>
              <w:rPr>
                <w:spacing w:val="-1"/>
              </w:rPr>
              <w:t>标</w:t>
            </w:r>
            <w:r>
              <w:rPr>
                <w:spacing w:val="51"/>
              </w:rPr>
              <w:t xml:space="preserve"> </w:t>
            </w:r>
            <w:r>
              <w:rPr>
                <w:spacing w:val="-1"/>
              </w:rPr>
              <w:t>准</w:t>
            </w:r>
            <w:r>
              <w:rPr>
                <w:spacing w:val="59"/>
              </w:rPr>
              <w:t xml:space="preserve"> </w:t>
            </w:r>
            <w:r>
              <w:rPr>
                <w:spacing w:val="-1"/>
              </w:rPr>
              <w:t>》</w:t>
            </w:r>
            <w:r>
              <w:t xml:space="preserve"> </w:t>
            </w:r>
            <w:r>
              <w:rPr>
                <w:spacing w:val="5"/>
              </w:rPr>
              <w:t>（</w:t>
            </w:r>
            <w:r>
              <w:rPr>
                <w:rFonts w:ascii="Times New Roman" w:hAnsi="Times New Roman" w:eastAsia="Times New Roman" w:cs="Times New Roman"/>
              </w:rPr>
              <w:t>GB</w:t>
            </w:r>
            <w:r>
              <w:rPr>
                <w:rFonts w:ascii="Times New Roman" w:hAnsi="Times New Roman" w:eastAsia="Times New Roman" w:cs="Times New Roman"/>
                <w:spacing w:val="5"/>
              </w:rPr>
              <w:t>18597-2023</w:t>
            </w:r>
            <w:r>
              <w:rPr>
                <w:spacing w:val="5"/>
              </w:rPr>
              <w:t>）的要求。采用抗渗</w:t>
            </w:r>
            <w:r>
              <w:rPr>
                <w:spacing w:val="9"/>
              </w:rPr>
              <w:t>混凝土、高密度聚乙烯膜、钠基膨润</w:t>
            </w:r>
            <w:r>
              <w:rPr>
                <w:spacing w:val="8"/>
              </w:rPr>
              <w:t>土防水毯或其他防渗性能  等效的材</w:t>
            </w:r>
            <w:r>
              <w:rPr>
                <w:spacing w:val="9"/>
              </w:rPr>
              <w:t>料，对地面、墙面裙角进行表面防渗</w:t>
            </w:r>
            <w:r>
              <w:rPr>
                <w:spacing w:val="23"/>
              </w:rPr>
              <w:t>处理，危废暂存间外设置危险废物</w:t>
            </w:r>
            <w:r>
              <w:rPr>
                <w:spacing w:val="5"/>
              </w:rPr>
              <w:t>识别标志。</w:t>
            </w:r>
          </w:p>
          <w:p w14:paraId="7E7951B5">
            <w:pPr>
              <w:pStyle w:val="6"/>
              <w:spacing w:line="250" w:lineRule="auto"/>
              <w:ind w:left="115" w:right="102" w:firstLine="10"/>
            </w:pPr>
            <w:r>
              <w:rPr>
                <w:spacing w:val="2"/>
              </w:rPr>
              <w:t>（</w:t>
            </w:r>
            <w:r>
              <w:rPr>
                <w:rFonts w:ascii="Times New Roman" w:hAnsi="Times New Roman" w:eastAsia="Times New Roman" w:cs="Times New Roman"/>
                <w:spacing w:val="2"/>
              </w:rPr>
              <w:t>5</w:t>
            </w:r>
            <w:r>
              <w:rPr>
                <w:spacing w:val="2"/>
              </w:rPr>
              <w:t>）废铅酸蓄电池使用聚四氟乙烯托</w:t>
            </w:r>
            <w:r>
              <w:rPr>
                <w:spacing w:val="8"/>
              </w:rPr>
              <w:t>盘，收集电解液渗漏。</w:t>
            </w:r>
          </w:p>
          <w:p w14:paraId="6E3C65A0">
            <w:pPr>
              <w:pStyle w:val="6"/>
              <w:spacing w:before="4" w:line="251" w:lineRule="auto"/>
              <w:ind w:left="115" w:right="99" w:firstLine="10"/>
            </w:pPr>
            <w:r>
              <w:rPr>
                <w:spacing w:val="2"/>
              </w:rPr>
              <w:t>（</w:t>
            </w:r>
            <w:r>
              <w:rPr>
                <w:rFonts w:ascii="Times New Roman" w:hAnsi="Times New Roman" w:eastAsia="Times New Roman" w:cs="Times New Roman"/>
                <w:spacing w:val="2"/>
              </w:rPr>
              <w:t>6</w:t>
            </w:r>
            <w:r>
              <w:rPr>
                <w:spacing w:val="2"/>
              </w:rPr>
              <w:t>）变电站废旧铅蓄电池在更换、收</w:t>
            </w:r>
            <w:r>
              <w:rPr>
                <w:spacing w:val="9"/>
              </w:rPr>
              <w:t>集、运输时，严格执行《危险废物转</w:t>
            </w:r>
            <w:r>
              <w:rPr>
                <w:spacing w:val="3"/>
              </w:rPr>
              <w:t>移 管理办法》有关规定，禁止在转移</w:t>
            </w:r>
            <w:r>
              <w:rPr>
                <w:spacing w:val="9"/>
              </w:rPr>
              <w:t>过程中擅自拆解、破碎、丢弃废旧铅</w:t>
            </w:r>
            <w:r>
              <w:rPr>
                <w:spacing w:val="5"/>
              </w:rPr>
              <w:t>蓄电池。</w:t>
            </w:r>
          </w:p>
          <w:p w14:paraId="704C50DB">
            <w:pPr>
              <w:pStyle w:val="6"/>
              <w:spacing w:before="1" w:line="242" w:lineRule="auto"/>
              <w:ind w:left="114" w:right="102" w:firstLine="10"/>
            </w:pPr>
            <w:r>
              <w:rPr>
                <w:spacing w:val="2"/>
              </w:rPr>
              <w:t>（</w:t>
            </w:r>
            <w:r>
              <w:rPr>
                <w:rFonts w:ascii="Times New Roman" w:hAnsi="Times New Roman" w:eastAsia="Times New Roman" w:cs="Times New Roman"/>
                <w:spacing w:val="2"/>
              </w:rPr>
              <w:t>7</w:t>
            </w:r>
            <w:r>
              <w:rPr>
                <w:spacing w:val="2"/>
              </w:rPr>
              <w:t>）危废暂存间要求有足够地面承载</w:t>
            </w:r>
            <w:r>
              <w:rPr>
                <w:spacing w:val="9"/>
              </w:rPr>
              <w:t>能力，并能确保雨水不会流至贮存设施内，贮存设施应封闭，以防风、防雨、防晒、防渗漏。做好危险废物管</w:t>
            </w:r>
          </w:p>
        </w:tc>
        <w:tc>
          <w:tcPr>
            <w:tcW w:w="1698" w:type="dxa"/>
            <w:tcBorders>
              <w:left w:val="single" w:color="000000" w:sz="2" w:space="0"/>
            </w:tcBorders>
            <w:vAlign w:val="top"/>
          </w:tcPr>
          <w:p w14:paraId="4748EFC6">
            <w:pPr>
              <w:rPr>
                <w:rFonts w:ascii="Arial"/>
                <w:sz w:val="21"/>
              </w:rPr>
            </w:pPr>
          </w:p>
        </w:tc>
      </w:tr>
    </w:tbl>
    <w:p w14:paraId="177CFB8F">
      <w:pPr>
        <w:rPr>
          <w:rFonts w:ascii="Arial"/>
          <w:sz w:val="21"/>
        </w:rPr>
      </w:pPr>
    </w:p>
    <w:p w14:paraId="1A696995">
      <w:pPr>
        <w:rPr>
          <w:rFonts w:ascii="Arial" w:hAnsi="Arial" w:eastAsia="Arial" w:cs="Arial"/>
          <w:sz w:val="21"/>
          <w:szCs w:val="21"/>
        </w:rPr>
        <w:sectPr>
          <w:footerReference r:id="rId148" w:type="default"/>
          <w:pgSz w:w="16839" w:h="11906"/>
          <w:pgMar w:top="400" w:right="1299" w:bottom="1240" w:left="1413" w:header="0" w:footer="1078" w:gutter="0"/>
          <w:cols w:space="720" w:num="1"/>
        </w:sectPr>
      </w:pPr>
    </w:p>
    <w:p w14:paraId="227883BE">
      <w:pPr>
        <w:spacing w:before="8"/>
      </w:pPr>
    </w:p>
    <w:p w14:paraId="10A9D9A7">
      <w:pPr>
        <w:spacing w:before="7"/>
      </w:pPr>
    </w:p>
    <w:p w14:paraId="506846F8">
      <w:pPr>
        <w:spacing w:before="7"/>
      </w:pPr>
    </w:p>
    <w:p w14:paraId="00DF1646">
      <w:pPr>
        <w:spacing w:before="7"/>
      </w:pPr>
    </w:p>
    <w:p w14:paraId="464CE6EE">
      <w:pPr>
        <w:spacing w:before="7"/>
      </w:pPr>
    </w:p>
    <w:tbl>
      <w:tblPr>
        <w:tblStyle w:val="5"/>
        <w:tblW w:w="1411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9"/>
        <w:gridCol w:w="5919"/>
        <w:gridCol w:w="1612"/>
        <w:gridCol w:w="3572"/>
        <w:gridCol w:w="1698"/>
      </w:tblGrid>
      <w:tr w14:paraId="073E06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9" w:hRule="atLeast"/>
        </w:trPr>
        <w:tc>
          <w:tcPr>
            <w:tcW w:w="1309" w:type="dxa"/>
            <w:tcBorders>
              <w:top w:val="single" w:color="000000" w:sz="6" w:space="0"/>
              <w:left w:val="single" w:color="000000" w:sz="6" w:space="0"/>
            </w:tcBorders>
            <w:vAlign w:val="top"/>
          </w:tcPr>
          <w:p w14:paraId="3942E80B">
            <w:pPr>
              <w:rPr>
                <w:rFonts w:ascii="Arial"/>
                <w:sz w:val="21"/>
              </w:rPr>
            </w:pPr>
          </w:p>
        </w:tc>
        <w:tc>
          <w:tcPr>
            <w:tcW w:w="5919" w:type="dxa"/>
            <w:tcBorders>
              <w:top w:val="single" w:color="000000" w:sz="6" w:space="0"/>
            </w:tcBorders>
            <w:vAlign w:val="top"/>
          </w:tcPr>
          <w:p w14:paraId="1AB7E864">
            <w:pPr>
              <w:rPr>
                <w:rFonts w:ascii="Arial"/>
                <w:sz w:val="21"/>
              </w:rPr>
            </w:pPr>
          </w:p>
        </w:tc>
        <w:tc>
          <w:tcPr>
            <w:tcW w:w="1612" w:type="dxa"/>
            <w:tcBorders>
              <w:top w:val="single" w:color="000000" w:sz="6" w:space="0"/>
            </w:tcBorders>
            <w:vAlign w:val="top"/>
          </w:tcPr>
          <w:p w14:paraId="2E48D86F">
            <w:pPr>
              <w:rPr>
                <w:rFonts w:ascii="Arial"/>
                <w:sz w:val="21"/>
              </w:rPr>
            </w:pPr>
          </w:p>
        </w:tc>
        <w:tc>
          <w:tcPr>
            <w:tcW w:w="3572" w:type="dxa"/>
            <w:tcBorders>
              <w:top w:val="single" w:color="000000" w:sz="6" w:space="0"/>
            </w:tcBorders>
            <w:vAlign w:val="top"/>
          </w:tcPr>
          <w:p w14:paraId="3E97EAF3">
            <w:pPr>
              <w:pStyle w:val="6"/>
              <w:spacing w:before="27" w:line="244" w:lineRule="auto"/>
              <w:ind w:left="115" w:right="102" w:firstLine="2"/>
              <w:jc w:val="both"/>
            </w:pPr>
            <w:r>
              <w:rPr>
                <w:spacing w:val="6"/>
              </w:rPr>
              <w:t>理台账，</w:t>
            </w:r>
            <w:r>
              <w:rPr>
                <w:spacing w:val="-50"/>
              </w:rPr>
              <w:t xml:space="preserve"> </w:t>
            </w:r>
            <w:r>
              <w:rPr>
                <w:spacing w:val="6"/>
              </w:rPr>
              <w:t>由专人进行管理，台账记录</w:t>
            </w:r>
            <w:r>
              <w:rPr>
                <w:spacing w:val="9"/>
              </w:rPr>
              <w:t>上须注明危险废物的名称、来源、数量、特性和包装容器的类别、入库日期、存放库位、废物出库日期及接收</w:t>
            </w:r>
            <w:r>
              <w:rPr>
                <w:spacing w:val="5"/>
              </w:rPr>
              <w:t>单位名称。</w:t>
            </w:r>
          </w:p>
        </w:tc>
        <w:tc>
          <w:tcPr>
            <w:tcW w:w="1698" w:type="dxa"/>
            <w:tcBorders>
              <w:top w:val="single" w:color="000000" w:sz="6" w:space="0"/>
              <w:right w:val="single" w:color="000000" w:sz="6" w:space="0"/>
            </w:tcBorders>
            <w:vAlign w:val="top"/>
          </w:tcPr>
          <w:p w14:paraId="39CF357A">
            <w:pPr>
              <w:rPr>
                <w:rFonts w:ascii="Arial"/>
                <w:sz w:val="21"/>
              </w:rPr>
            </w:pPr>
          </w:p>
        </w:tc>
      </w:tr>
      <w:tr w14:paraId="2DB40C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2" w:hRule="atLeast"/>
        </w:trPr>
        <w:tc>
          <w:tcPr>
            <w:tcW w:w="1309" w:type="dxa"/>
            <w:tcBorders>
              <w:left w:val="single" w:color="000000" w:sz="6" w:space="0"/>
            </w:tcBorders>
            <w:vAlign w:val="top"/>
          </w:tcPr>
          <w:p w14:paraId="29A5FD4D">
            <w:pPr>
              <w:spacing w:line="246" w:lineRule="auto"/>
              <w:rPr>
                <w:rFonts w:ascii="Arial"/>
                <w:sz w:val="21"/>
              </w:rPr>
            </w:pPr>
          </w:p>
          <w:p w14:paraId="6220DD9C">
            <w:pPr>
              <w:spacing w:line="246" w:lineRule="auto"/>
              <w:rPr>
                <w:rFonts w:ascii="Arial"/>
                <w:sz w:val="21"/>
              </w:rPr>
            </w:pPr>
          </w:p>
          <w:p w14:paraId="1FFF27A6">
            <w:pPr>
              <w:spacing w:line="247" w:lineRule="auto"/>
              <w:rPr>
                <w:rFonts w:ascii="Arial"/>
                <w:sz w:val="21"/>
              </w:rPr>
            </w:pPr>
          </w:p>
          <w:p w14:paraId="5DB03BFE">
            <w:pPr>
              <w:spacing w:line="247" w:lineRule="auto"/>
              <w:rPr>
                <w:rFonts w:ascii="Arial"/>
                <w:sz w:val="21"/>
              </w:rPr>
            </w:pPr>
          </w:p>
          <w:p w14:paraId="5F01CD71">
            <w:pPr>
              <w:spacing w:line="247" w:lineRule="auto"/>
              <w:rPr>
                <w:rFonts w:ascii="Arial"/>
                <w:sz w:val="21"/>
              </w:rPr>
            </w:pPr>
          </w:p>
          <w:p w14:paraId="19123E9E">
            <w:pPr>
              <w:spacing w:line="247" w:lineRule="auto"/>
              <w:rPr>
                <w:rFonts w:ascii="Arial"/>
                <w:sz w:val="21"/>
              </w:rPr>
            </w:pPr>
          </w:p>
          <w:p w14:paraId="372887D9">
            <w:pPr>
              <w:spacing w:line="247" w:lineRule="auto"/>
              <w:rPr>
                <w:rFonts w:ascii="Arial"/>
                <w:sz w:val="21"/>
              </w:rPr>
            </w:pPr>
          </w:p>
          <w:p w14:paraId="1052EFB7">
            <w:pPr>
              <w:pStyle w:val="6"/>
              <w:spacing w:before="65" w:line="228" w:lineRule="auto"/>
              <w:ind w:left="257"/>
            </w:pPr>
            <w:r>
              <w:rPr>
                <w:spacing w:val="1"/>
              </w:rPr>
              <w:t>电磁环境</w:t>
            </w:r>
          </w:p>
        </w:tc>
        <w:tc>
          <w:tcPr>
            <w:tcW w:w="5919" w:type="dxa"/>
            <w:vAlign w:val="top"/>
          </w:tcPr>
          <w:p w14:paraId="2A6536B8">
            <w:pPr>
              <w:spacing w:line="252" w:lineRule="auto"/>
              <w:rPr>
                <w:rFonts w:ascii="Arial"/>
                <w:sz w:val="21"/>
              </w:rPr>
            </w:pPr>
          </w:p>
          <w:p w14:paraId="617DE5DB">
            <w:pPr>
              <w:spacing w:line="252" w:lineRule="auto"/>
              <w:rPr>
                <w:rFonts w:ascii="Arial"/>
                <w:sz w:val="21"/>
              </w:rPr>
            </w:pPr>
          </w:p>
          <w:p w14:paraId="78518266">
            <w:pPr>
              <w:spacing w:line="252" w:lineRule="auto"/>
              <w:rPr>
                <w:rFonts w:ascii="Arial"/>
                <w:sz w:val="21"/>
              </w:rPr>
            </w:pPr>
          </w:p>
          <w:p w14:paraId="7EC5097B">
            <w:pPr>
              <w:spacing w:line="252" w:lineRule="auto"/>
              <w:rPr>
                <w:rFonts w:ascii="Arial"/>
                <w:sz w:val="21"/>
              </w:rPr>
            </w:pPr>
          </w:p>
          <w:p w14:paraId="3DD36777">
            <w:pPr>
              <w:spacing w:line="252" w:lineRule="auto"/>
              <w:rPr>
                <w:rFonts w:ascii="Arial"/>
                <w:sz w:val="21"/>
              </w:rPr>
            </w:pPr>
          </w:p>
          <w:p w14:paraId="4D810EC9">
            <w:pPr>
              <w:spacing w:line="253" w:lineRule="auto"/>
              <w:rPr>
                <w:rFonts w:ascii="Arial"/>
                <w:sz w:val="21"/>
              </w:rPr>
            </w:pPr>
          </w:p>
          <w:p w14:paraId="1E4204B3">
            <w:pPr>
              <w:spacing w:line="253" w:lineRule="auto"/>
              <w:rPr>
                <w:rFonts w:ascii="Arial"/>
                <w:sz w:val="21"/>
              </w:rPr>
            </w:pPr>
          </w:p>
          <w:p w14:paraId="64F77CD6">
            <w:pPr>
              <w:spacing w:before="57" w:line="199" w:lineRule="auto"/>
              <w:ind w:left="29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12" w:type="dxa"/>
            <w:vAlign w:val="top"/>
          </w:tcPr>
          <w:p w14:paraId="1992959B">
            <w:pPr>
              <w:spacing w:line="252" w:lineRule="auto"/>
              <w:rPr>
                <w:rFonts w:ascii="Arial"/>
                <w:sz w:val="21"/>
              </w:rPr>
            </w:pPr>
          </w:p>
          <w:p w14:paraId="7B8B72F3">
            <w:pPr>
              <w:spacing w:line="252" w:lineRule="auto"/>
              <w:rPr>
                <w:rFonts w:ascii="Arial"/>
                <w:sz w:val="21"/>
              </w:rPr>
            </w:pPr>
          </w:p>
          <w:p w14:paraId="279E5FDD">
            <w:pPr>
              <w:spacing w:line="252" w:lineRule="auto"/>
              <w:rPr>
                <w:rFonts w:ascii="Arial"/>
                <w:sz w:val="21"/>
              </w:rPr>
            </w:pPr>
          </w:p>
          <w:p w14:paraId="0E73DEAE">
            <w:pPr>
              <w:spacing w:line="252" w:lineRule="auto"/>
              <w:rPr>
                <w:rFonts w:ascii="Arial"/>
                <w:sz w:val="21"/>
              </w:rPr>
            </w:pPr>
          </w:p>
          <w:p w14:paraId="74708132">
            <w:pPr>
              <w:spacing w:line="252" w:lineRule="auto"/>
              <w:rPr>
                <w:rFonts w:ascii="Arial"/>
                <w:sz w:val="21"/>
              </w:rPr>
            </w:pPr>
          </w:p>
          <w:p w14:paraId="2286AA9E">
            <w:pPr>
              <w:spacing w:line="253" w:lineRule="auto"/>
              <w:rPr>
                <w:rFonts w:ascii="Arial"/>
                <w:sz w:val="21"/>
              </w:rPr>
            </w:pPr>
          </w:p>
          <w:p w14:paraId="20D11EC5">
            <w:pPr>
              <w:spacing w:line="253" w:lineRule="auto"/>
              <w:rPr>
                <w:rFonts w:ascii="Arial"/>
                <w:sz w:val="21"/>
              </w:rPr>
            </w:pPr>
          </w:p>
          <w:p w14:paraId="0B96C324">
            <w:pPr>
              <w:spacing w:before="57" w:line="199" w:lineRule="auto"/>
              <w:ind w:left="7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572" w:type="dxa"/>
            <w:vAlign w:val="top"/>
          </w:tcPr>
          <w:p w14:paraId="27A1D47D">
            <w:pPr>
              <w:pStyle w:val="6"/>
              <w:spacing w:before="33" w:line="251" w:lineRule="auto"/>
              <w:ind w:left="115" w:right="99" w:firstLine="15"/>
            </w:pPr>
            <w:r>
              <w:rPr>
                <w:rFonts w:ascii="Times New Roman" w:hAnsi="Times New Roman" w:eastAsia="Times New Roman" w:cs="Times New Roman"/>
                <w:spacing w:val="2"/>
              </w:rPr>
              <w:t>1</w:t>
            </w:r>
            <w:r>
              <w:rPr>
                <w:spacing w:val="2"/>
              </w:rPr>
              <w:t>）运行期对输电线路和塔基进行定期</w:t>
            </w:r>
            <w:r>
              <w:rPr>
                <w:spacing w:val="9"/>
              </w:rPr>
              <w:t>巡查和检修，保障正常运行，防止由</w:t>
            </w:r>
            <w:r>
              <w:rPr>
                <w:spacing w:val="8"/>
              </w:rPr>
              <w:t>于运行故障产生的电磁环境影响。</w:t>
            </w:r>
          </w:p>
          <w:p w14:paraId="0B5222ED">
            <w:pPr>
              <w:pStyle w:val="6"/>
              <w:spacing w:before="1" w:line="251" w:lineRule="auto"/>
              <w:ind w:left="114" w:right="99" w:hanging="3"/>
            </w:pPr>
            <w:r>
              <w:rPr>
                <w:rFonts w:ascii="Times New Roman" w:hAnsi="Times New Roman" w:eastAsia="Times New Roman" w:cs="Times New Roman"/>
                <w:spacing w:val="3"/>
              </w:rPr>
              <w:t>2</w:t>
            </w:r>
            <w:r>
              <w:rPr>
                <w:spacing w:val="3"/>
              </w:rPr>
              <w:t>）在电力设施重点保护区设立相应的</w:t>
            </w:r>
            <w:r>
              <w:rPr>
                <w:spacing w:val="9"/>
              </w:rPr>
              <w:t>警示标志，并做好警示宣传工作，在醒目位置设置安全警示图文标志，标明严禁攀登、线下高位操作应有防护</w:t>
            </w:r>
            <w:r>
              <w:rPr>
                <w:spacing w:val="8"/>
              </w:rPr>
              <w:t>措施等安全注意事项。</w:t>
            </w:r>
          </w:p>
          <w:p w14:paraId="09FD94F2">
            <w:pPr>
              <w:pStyle w:val="6"/>
              <w:spacing w:before="5" w:line="244" w:lineRule="auto"/>
              <w:ind w:left="115" w:right="31"/>
            </w:pPr>
            <w:r>
              <w:rPr>
                <w:rFonts w:ascii="Times New Roman" w:hAnsi="Times New Roman" w:eastAsia="Times New Roman" w:cs="Times New Roman"/>
                <w:spacing w:val="-5"/>
              </w:rPr>
              <w:t>3</w:t>
            </w:r>
            <w:r>
              <w:rPr>
                <w:spacing w:val="-5"/>
              </w:rPr>
              <w:t>）开展电磁环境监测，确保工频电场、</w:t>
            </w:r>
            <w:r>
              <w:rPr>
                <w:spacing w:val="8"/>
              </w:rPr>
              <w:t>工频磁场满足《电磁环境控制限值》</w:t>
            </w:r>
            <w:r>
              <w:rPr>
                <w:spacing w:val="3"/>
              </w:rPr>
              <w:t xml:space="preserve"> </w:t>
            </w:r>
            <w:r>
              <w:rPr>
                <w:spacing w:val="9"/>
              </w:rPr>
              <w:t>（</w:t>
            </w:r>
            <w:r>
              <w:rPr>
                <w:rFonts w:ascii="Times New Roman" w:hAnsi="Times New Roman" w:eastAsia="Times New Roman" w:cs="Times New Roman"/>
              </w:rPr>
              <w:t>GB</w:t>
            </w:r>
            <w:r>
              <w:rPr>
                <w:rFonts w:ascii="Times New Roman" w:hAnsi="Times New Roman" w:eastAsia="Times New Roman" w:cs="Times New Roman"/>
                <w:spacing w:val="9"/>
              </w:rPr>
              <w:t>8702-2014</w:t>
            </w:r>
            <w:r>
              <w:rPr>
                <w:spacing w:val="9"/>
              </w:rPr>
              <w:t>）标准限值的要求；开展电磁环境影响的环境保护宣传工作，使公众科学认识工频电磁场的环</w:t>
            </w:r>
            <w:r>
              <w:rPr>
                <w:spacing w:val="4"/>
              </w:rPr>
              <w:t>境影响。</w:t>
            </w:r>
          </w:p>
        </w:tc>
        <w:tc>
          <w:tcPr>
            <w:tcW w:w="1698" w:type="dxa"/>
            <w:tcBorders>
              <w:right w:val="single" w:color="000000" w:sz="6" w:space="0"/>
            </w:tcBorders>
            <w:vAlign w:val="top"/>
          </w:tcPr>
          <w:p w14:paraId="0BF8F4BF">
            <w:pPr>
              <w:spacing w:line="264" w:lineRule="auto"/>
              <w:rPr>
                <w:rFonts w:ascii="Arial"/>
                <w:sz w:val="21"/>
              </w:rPr>
            </w:pPr>
          </w:p>
          <w:p w14:paraId="71E92DAE">
            <w:pPr>
              <w:spacing w:line="264" w:lineRule="auto"/>
              <w:rPr>
                <w:rFonts w:ascii="Arial"/>
                <w:sz w:val="21"/>
              </w:rPr>
            </w:pPr>
          </w:p>
          <w:p w14:paraId="0AC35EDF">
            <w:pPr>
              <w:spacing w:line="265" w:lineRule="auto"/>
              <w:rPr>
                <w:rFonts w:ascii="Arial"/>
                <w:sz w:val="21"/>
              </w:rPr>
            </w:pPr>
          </w:p>
          <w:p w14:paraId="3A67A07B">
            <w:pPr>
              <w:spacing w:line="265" w:lineRule="auto"/>
              <w:rPr>
                <w:rFonts w:ascii="Arial"/>
                <w:sz w:val="21"/>
              </w:rPr>
            </w:pPr>
          </w:p>
          <w:p w14:paraId="2583FA3B">
            <w:pPr>
              <w:spacing w:line="265" w:lineRule="auto"/>
              <w:rPr>
                <w:rFonts w:ascii="Arial"/>
                <w:sz w:val="21"/>
              </w:rPr>
            </w:pPr>
          </w:p>
          <w:p w14:paraId="2B66ABB6">
            <w:pPr>
              <w:pStyle w:val="6"/>
              <w:spacing w:before="65" w:line="252" w:lineRule="auto"/>
              <w:ind w:left="118" w:right="102"/>
              <w:jc w:val="both"/>
            </w:pPr>
            <w:r>
              <w:rPr>
                <w:spacing w:val="9"/>
              </w:rPr>
              <w:t>满足《电磁环境</w:t>
            </w:r>
            <w:r>
              <w:rPr>
                <w:spacing w:val="-5"/>
              </w:rPr>
              <w:t>控</w:t>
            </w:r>
            <w:r>
              <w:rPr>
                <w:spacing w:val="19"/>
              </w:rPr>
              <w:t xml:space="preserve"> </w:t>
            </w:r>
            <w:r>
              <w:rPr>
                <w:spacing w:val="-5"/>
              </w:rPr>
              <w:t>制</w:t>
            </w:r>
            <w:r>
              <w:rPr>
                <w:spacing w:val="29"/>
              </w:rPr>
              <w:t xml:space="preserve"> </w:t>
            </w:r>
            <w:r>
              <w:rPr>
                <w:spacing w:val="-5"/>
              </w:rPr>
              <w:t>限</w:t>
            </w:r>
            <w:r>
              <w:rPr>
                <w:spacing w:val="16"/>
              </w:rPr>
              <w:t xml:space="preserve"> </w:t>
            </w:r>
            <w:r>
              <w:rPr>
                <w:spacing w:val="-5"/>
              </w:rPr>
              <w:t>值</w:t>
            </w:r>
            <w:r>
              <w:rPr>
                <w:spacing w:val="27"/>
              </w:rPr>
              <w:t xml:space="preserve"> </w:t>
            </w:r>
            <w:r>
              <w:rPr>
                <w:spacing w:val="-5"/>
              </w:rPr>
              <w:t>》</w:t>
            </w:r>
            <w:r>
              <w:t xml:space="preserve"> </w:t>
            </w:r>
            <w:r>
              <w:rPr>
                <w:spacing w:val="2"/>
              </w:rPr>
              <w:t xml:space="preserve">（ </w:t>
            </w:r>
            <w:r>
              <w:rPr>
                <w:rFonts w:ascii="Times New Roman" w:hAnsi="Times New Roman" w:eastAsia="Times New Roman" w:cs="Times New Roman"/>
              </w:rPr>
              <w:t>GB</w:t>
            </w:r>
            <w:r>
              <w:rPr>
                <w:rFonts w:ascii="Times New Roman" w:hAnsi="Times New Roman" w:eastAsia="Times New Roman" w:cs="Times New Roman"/>
                <w:spacing w:val="2"/>
              </w:rPr>
              <w:t>8702-2014</w:t>
            </w:r>
            <w:r>
              <w:rPr>
                <w:rFonts w:ascii="Times New Roman" w:hAnsi="Times New Roman" w:eastAsia="Times New Roman" w:cs="Times New Roman"/>
              </w:rPr>
              <w:t xml:space="preserve"> </w:t>
            </w:r>
            <w:r>
              <w:t>)</w:t>
            </w:r>
          </w:p>
        </w:tc>
      </w:tr>
      <w:tr w14:paraId="76DEB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1" w:hRule="atLeast"/>
        </w:trPr>
        <w:tc>
          <w:tcPr>
            <w:tcW w:w="1309" w:type="dxa"/>
            <w:tcBorders>
              <w:left w:val="single" w:color="000000" w:sz="6" w:space="0"/>
              <w:bottom w:val="single" w:color="000000" w:sz="6" w:space="0"/>
            </w:tcBorders>
            <w:vAlign w:val="top"/>
          </w:tcPr>
          <w:p w14:paraId="6E860F98">
            <w:pPr>
              <w:spacing w:line="266" w:lineRule="auto"/>
              <w:rPr>
                <w:rFonts w:ascii="Arial"/>
                <w:sz w:val="21"/>
              </w:rPr>
            </w:pPr>
          </w:p>
          <w:p w14:paraId="6A3F36B0">
            <w:pPr>
              <w:spacing w:line="266" w:lineRule="auto"/>
              <w:rPr>
                <w:rFonts w:ascii="Arial"/>
                <w:sz w:val="21"/>
              </w:rPr>
            </w:pPr>
          </w:p>
          <w:p w14:paraId="096AF1FD">
            <w:pPr>
              <w:spacing w:line="266" w:lineRule="auto"/>
              <w:rPr>
                <w:rFonts w:ascii="Arial"/>
                <w:sz w:val="21"/>
              </w:rPr>
            </w:pPr>
          </w:p>
          <w:p w14:paraId="61C3F728">
            <w:pPr>
              <w:spacing w:line="266" w:lineRule="auto"/>
              <w:rPr>
                <w:rFonts w:ascii="Arial"/>
                <w:sz w:val="21"/>
              </w:rPr>
            </w:pPr>
          </w:p>
          <w:p w14:paraId="5557DD52">
            <w:pPr>
              <w:spacing w:line="266" w:lineRule="auto"/>
              <w:rPr>
                <w:rFonts w:ascii="Arial"/>
                <w:sz w:val="21"/>
              </w:rPr>
            </w:pPr>
          </w:p>
          <w:p w14:paraId="71B97B78">
            <w:pPr>
              <w:spacing w:line="267" w:lineRule="auto"/>
              <w:rPr>
                <w:rFonts w:ascii="Arial"/>
                <w:sz w:val="21"/>
              </w:rPr>
            </w:pPr>
          </w:p>
          <w:p w14:paraId="4D107536">
            <w:pPr>
              <w:pStyle w:val="6"/>
              <w:spacing w:before="65" w:line="228" w:lineRule="auto"/>
              <w:ind w:left="233"/>
            </w:pPr>
            <w:r>
              <w:rPr>
                <w:spacing w:val="7"/>
              </w:rPr>
              <w:t>环境风险</w:t>
            </w:r>
          </w:p>
        </w:tc>
        <w:tc>
          <w:tcPr>
            <w:tcW w:w="11103" w:type="dxa"/>
            <w:gridSpan w:val="3"/>
            <w:tcBorders>
              <w:bottom w:val="single" w:color="000000" w:sz="6" w:space="0"/>
            </w:tcBorders>
            <w:vAlign w:val="top"/>
          </w:tcPr>
          <w:p w14:paraId="7589E865">
            <w:pPr>
              <w:pStyle w:val="6"/>
              <w:spacing w:before="40" w:line="250" w:lineRule="auto"/>
              <w:ind w:left="107" w:right="102" w:firstLine="10"/>
            </w:pPr>
            <w:r>
              <w:rPr>
                <w:spacing w:val="5"/>
              </w:rPr>
              <w:t>（</w:t>
            </w:r>
            <w:r>
              <w:rPr>
                <w:rFonts w:ascii="Times New Roman" w:hAnsi="Times New Roman" w:eastAsia="Times New Roman" w:cs="Times New Roman"/>
                <w:spacing w:val="5"/>
              </w:rPr>
              <w:t>1</w:t>
            </w:r>
            <w:r>
              <w:rPr>
                <w:spacing w:val="5"/>
              </w:rPr>
              <w:t>）每台主变压器下方设置</w:t>
            </w:r>
            <w:r>
              <w:rPr>
                <w:spacing w:val="-20"/>
              </w:rPr>
              <w:t xml:space="preserve"> </w:t>
            </w:r>
            <w:r>
              <w:rPr>
                <w:rFonts w:ascii="Times New Roman" w:hAnsi="Times New Roman" w:eastAsia="Times New Roman" w:cs="Times New Roman"/>
                <w:spacing w:val="5"/>
              </w:rPr>
              <w:t xml:space="preserve">1 </w:t>
            </w:r>
            <w:r>
              <w:rPr>
                <w:spacing w:val="5"/>
              </w:rPr>
              <w:t>个集油坑，容积</w:t>
            </w:r>
            <w:r>
              <w:rPr>
                <w:spacing w:val="-21"/>
              </w:rPr>
              <w:t xml:space="preserve"> </w:t>
            </w:r>
            <w:r>
              <w:rPr>
                <w:rFonts w:ascii="Times New Roman" w:hAnsi="Times New Roman" w:eastAsia="Times New Roman" w:cs="Times New Roman"/>
                <w:spacing w:val="5"/>
              </w:rPr>
              <w:t>19m</w:t>
            </w:r>
            <w:r>
              <w:rPr>
                <w:rFonts w:ascii="Times New Roman" w:hAnsi="Times New Roman" w:eastAsia="Times New Roman" w:cs="Times New Roman"/>
                <w:spacing w:val="5"/>
                <w:position w:val="6"/>
                <w:sz w:val="13"/>
                <w:szCs w:val="13"/>
              </w:rPr>
              <w:t>3</w:t>
            </w:r>
            <w:r>
              <w:rPr>
                <w:rFonts w:ascii="Times New Roman" w:hAnsi="Times New Roman" w:eastAsia="Times New Roman" w:cs="Times New Roman"/>
                <w:spacing w:val="-8"/>
                <w:position w:val="6"/>
                <w:sz w:val="13"/>
                <w:szCs w:val="13"/>
              </w:rPr>
              <w:t xml:space="preserve"> </w:t>
            </w:r>
            <w:r>
              <w:rPr>
                <w:spacing w:val="5"/>
              </w:rPr>
              <w:t>，新建</w:t>
            </w:r>
            <w:r>
              <w:rPr>
                <w:spacing w:val="-23"/>
              </w:rPr>
              <w:t xml:space="preserve"> </w:t>
            </w:r>
            <w:r>
              <w:rPr>
                <w:rFonts w:ascii="Times New Roman" w:hAnsi="Times New Roman" w:eastAsia="Times New Roman" w:cs="Times New Roman"/>
                <w:spacing w:val="5"/>
              </w:rPr>
              <w:t xml:space="preserve">1 </w:t>
            </w:r>
            <w:r>
              <w:rPr>
                <w:spacing w:val="5"/>
              </w:rPr>
              <w:t>座地埋式事故油池，容积为</w:t>
            </w:r>
            <w:r>
              <w:rPr>
                <w:spacing w:val="-39"/>
              </w:rPr>
              <w:t xml:space="preserve"> </w:t>
            </w:r>
            <w:r>
              <w:rPr>
                <w:rFonts w:ascii="Times New Roman" w:hAnsi="Times New Roman" w:eastAsia="Times New Roman" w:cs="Times New Roman"/>
                <w:spacing w:val="5"/>
              </w:rPr>
              <w:t>30m</w:t>
            </w:r>
            <w:r>
              <w:rPr>
                <w:rFonts w:ascii="Times New Roman" w:hAnsi="Times New Roman" w:eastAsia="Times New Roman" w:cs="Times New Roman"/>
                <w:spacing w:val="5"/>
                <w:position w:val="6"/>
                <w:sz w:val="13"/>
                <w:szCs w:val="13"/>
              </w:rPr>
              <w:t>3</w:t>
            </w:r>
            <w:r>
              <w:rPr>
                <w:rFonts w:ascii="Times New Roman" w:hAnsi="Times New Roman" w:eastAsia="Times New Roman" w:cs="Times New Roman"/>
                <w:spacing w:val="-9"/>
                <w:position w:val="6"/>
                <w:sz w:val="13"/>
                <w:szCs w:val="13"/>
              </w:rPr>
              <w:t xml:space="preserve"> </w:t>
            </w:r>
            <w:r>
              <w:rPr>
                <w:spacing w:val="5"/>
              </w:rPr>
              <w:t>，在事故情况下，泄漏的</w:t>
            </w:r>
            <w:r>
              <w:rPr>
                <w:spacing w:val="9"/>
              </w:rPr>
              <w:t>变压器油由集油坑收集后，经排油管道收集至事故油池暂存。</w:t>
            </w:r>
          </w:p>
          <w:p w14:paraId="4B1A745D">
            <w:pPr>
              <w:pStyle w:val="6"/>
              <w:spacing w:before="2" w:line="251" w:lineRule="auto"/>
              <w:ind w:left="106" w:right="31" w:firstLine="10"/>
            </w:pPr>
            <w:r>
              <w:rPr>
                <w:spacing w:val="10"/>
              </w:rPr>
              <w:t>（</w:t>
            </w:r>
            <w:r>
              <w:rPr>
                <w:rFonts w:ascii="Times New Roman" w:hAnsi="Times New Roman" w:eastAsia="Times New Roman" w:cs="Times New Roman"/>
                <w:spacing w:val="10"/>
              </w:rPr>
              <w:t>2</w:t>
            </w:r>
            <w:r>
              <w:rPr>
                <w:spacing w:val="10"/>
              </w:rPr>
              <w:t>）严格做好分区防渗工程，变电站内危废暂存间、主变压</w:t>
            </w:r>
            <w:r>
              <w:rPr>
                <w:spacing w:val="9"/>
              </w:rPr>
              <w:t>器集油坑、事故油池为重点防渗区，化粪池、污水处理设</w:t>
            </w:r>
            <w:r>
              <w:rPr>
                <w:spacing w:val="10"/>
              </w:rPr>
              <w:t>施、雨水收集池为一般防渗区，变电站内其</w:t>
            </w:r>
            <w:r>
              <w:rPr>
                <w:spacing w:val="9"/>
              </w:rPr>
              <w:t>他地方为简单防渗区；重点防渗区应设置防渗层，参照《危险废物贮存污染</w:t>
            </w:r>
            <w:r>
              <w:rPr>
                <w:spacing w:val="4"/>
              </w:rPr>
              <w:t>控制标准》（</w:t>
            </w:r>
            <w:r>
              <w:rPr>
                <w:rFonts w:ascii="Times New Roman" w:hAnsi="Times New Roman" w:eastAsia="Times New Roman" w:cs="Times New Roman"/>
              </w:rPr>
              <w:t>GB</w:t>
            </w:r>
            <w:r>
              <w:rPr>
                <w:rFonts w:ascii="Times New Roman" w:hAnsi="Times New Roman" w:eastAsia="Times New Roman" w:cs="Times New Roman"/>
                <w:spacing w:val="4"/>
              </w:rPr>
              <w:t>18597-2023</w:t>
            </w:r>
            <w:r>
              <w:rPr>
                <w:spacing w:val="-10"/>
              </w:rPr>
              <w:t>），</w:t>
            </w:r>
            <w:r>
              <w:rPr>
                <w:spacing w:val="4"/>
              </w:rPr>
              <w:t>防渗层至少</w:t>
            </w:r>
            <w:r>
              <w:rPr>
                <w:spacing w:val="-40"/>
              </w:rPr>
              <w:t xml:space="preserve"> </w:t>
            </w:r>
            <w:r>
              <w:rPr>
                <w:rFonts w:ascii="Times New Roman" w:hAnsi="Times New Roman" w:eastAsia="Times New Roman" w:cs="Times New Roman"/>
                <w:spacing w:val="4"/>
              </w:rPr>
              <w:t>2</w:t>
            </w:r>
            <w:r>
              <w:rPr>
                <w:rFonts w:ascii="Times New Roman" w:hAnsi="Times New Roman" w:eastAsia="Times New Roman" w:cs="Times New Roman"/>
              </w:rPr>
              <w:t>mm</w:t>
            </w:r>
            <w:r>
              <w:rPr>
                <w:rFonts w:ascii="Times New Roman" w:hAnsi="Times New Roman" w:eastAsia="Times New Roman" w:cs="Times New Roman"/>
                <w:spacing w:val="19"/>
                <w:w w:val="101"/>
              </w:rPr>
              <w:t xml:space="preserve"> </w:t>
            </w:r>
            <w:r>
              <w:rPr>
                <w:spacing w:val="4"/>
              </w:rPr>
              <w:t>厚高密度聚乙烯，或至少</w:t>
            </w:r>
            <w:r>
              <w:rPr>
                <w:spacing w:val="-43"/>
              </w:rPr>
              <w:t xml:space="preserve"> </w:t>
            </w:r>
            <w:r>
              <w:rPr>
                <w:rFonts w:ascii="Times New Roman" w:hAnsi="Times New Roman" w:eastAsia="Times New Roman" w:cs="Times New Roman"/>
                <w:spacing w:val="4"/>
              </w:rPr>
              <w:t>2</w:t>
            </w:r>
            <w:r>
              <w:rPr>
                <w:rFonts w:ascii="Times New Roman" w:hAnsi="Times New Roman" w:eastAsia="Times New Roman" w:cs="Times New Roman"/>
              </w:rPr>
              <w:t>mm</w:t>
            </w:r>
            <w:r>
              <w:rPr>
                <w:rFonts w:ascii="Times New Roman" w:hAnsi="Times New Roman" w:eastAsia="Times New Roman" w:cs="Times New Roman"/>
                <w:spacing w:val="19"/>
                <w:w w:val="101"/>
              </w:rPr>
              <w:t xml:space="preserve"> </w:t>
            </w:r>
            <w:r>
              <w:rPr>
                <w:spacing w:val="4"/>
              </w:rPr>
              <w:t>厚的其他人工材料，渗透系数</w:t>
            </w:r>
            <w:r>
              <w:rPr>
                <w:rFonts w:ascii="Times New Roman" w:hAnsi="Times New Roman" w:eastAsia="Times New Roman" w:cs="Times New Roman"/>
                <w:spacing w:val="4"/>
              </w:rPr>
              <w:t>≤10</w:t>
            </w:r>
            <w:r>
              <w:rPr>
                <w:rFonts w:ascii="Times New Roman" w:hAnsi="Times New Roman" w:eastAsia="Times New Roman" w:cs="Times New Roman"/>
                <w:spacing w:val="4"/>
                <w:position w:val="6"/>
                <w:sz w:val="13"/>
                <w:szCs w:val="13"/>
              </w:rPr>
              <w:t>-l0</w:t>
            </w:r>
            <w:r>
              <w:rPr>
                <w:rFonts w:ascii="Times New Roman" w:hAnsi="Times New Roman" w:eastAsia="Times New Roman" w:cs="Times New Roman"/>
              </w:rPr>
              <w:t>cm</w:t>
            </w:r>
            <w:r>
              <w:rPr>
                <w:rFonts w:ascii="Times New Roman" w:hAnsi="Times New Roman" w:eastAsia="Times New Roman" w:cs="Times New Roman"/>
                <w:spacing w:val="4"/>
              </w:rPr>
              <w:t>/s</w:t>
            </w:r>
            <w:r>
              <w:rPr>
                <w:spacing w:val="4"/>
              </w:rPr>
              <w:t>。</w:t>
            </w:r>
          </w:p>
          <w:p w14:paraId="7BA42F0A">
            <w:pPr>
              <w:pStyle w:val="6"/>
              <w:spacing w:line="251" w:lineRule="auto"/>
              <w:ind w:left="108" w:right="99" w:firstLine="9"/>
            </w:pPr>
            <w:r>
              <w:rPr>
                <w:spacing w:val="9"/>
              </w:rPr>
              <w:t>（</w:t>
            </w:r>
            <w:r>
              <w:rPr>
                <w:rFonts w:ascii="Times New Roman" w:hAnsi="Times New Roman" w:eastAsia="Times New Roman" w:cs="Times New Roman"/>
                <w:spacing w:val="9"/>
              </w:rPr>
              <w:t>3</w:t>
            </w:r>
            <w:r>
              <w:rPr>
                <w:spacing w:val="9"/>
              </w:rPr>
              <w:t>）危险废物暂存间需满足《危险废物贮存污染控制标准》（</w:t>
            </w:r>
            <w:r>
              <w:rPr>
                <w:rFonts w:ascii="Times New Roman" w:hAnsi="Times New Roman" w:eastAsia="Times New Roman" w:cs="Times New Roman"/>
              </w:rPr>
              <w:t>GB</w:t>
            </w:r>
            <w:r>
              <w:rPr>
                <w:rFonts w:ascii="Times New Roman" w:hAnsi="Times New Roman" w:eastAsia="Times New Roman" w:cs="Times New Roman"/>
                <w:spacing w:val="9"/>
              </w:rPr>
              <w:t>18597-2023</w:t>
            </w:r>
            <w:r>
              <w:rPr>
                <w:spacing w:val="9"/>
              </w:rPr>
              <w:t>）的要求，采用</w:t>
            </w:r>
            <w:r>
              <w:rPr>
                <w:spacing w:val="8"/>
              </w:rPr>
              <w:t>抗渗混凝土、高密度聚乙</w:t>
            </w:r>
            <w:r>
              <w:rPr>
                <w:spacing w:val="10"/>
              </w:rPr>
              <w:t>烯膜、钠基膨润土防水毯或其他防渗性能等效</w:t>
            </w:r>
            <w:r>
              <w:rPr>
                <w:spacing w:val="9"/>
              </w:rPr>
              <w:t>的材料，对地面、墙面裙角进行表面防渗处理。废铅酸蓄电池使用聚四氟</w:t>
            </w:r>
            <w:r>
              <w:rPr>
                <w:spacing w:val="8"/>
              </w:rPr>
              <w:t>乙烯托盘，收集电解液渗漏。</w:t>
            </w:r>
          </w:p>
          <w:p w14:paraId="6B8BABB6">
            <w:pPr>
              <w:pStyle w:val="6"/>
              <w:spacing w:line="227" w:lineRule="auto"/>
              <w:ind w:left="117"/>
            </w:pPr>
            <w:r>
              <w:rPr>
                <w:spacing w:val="9"/>
              </w:rPr>
              <w:t>（</w:t>
            </w:r>
            <w:r>
              <w:rPr>
                <w:rFonts w:ascii="Times New Roman" w:hAnsi="Times New Roman" w:eastAsia="Times New Roman" w:cs="Times New Roman"/>
                <w:spacing w:val="9"/>
              </w:rPr>
              <w:t>4</w:t>
            </w:r>
            <w:r>
              <w:rPr>
                <w:spacing w:val="9"/>
              </w:rPr>
              <w:t>）施工期加强工程监理和环境监理，提高防渗工程质量，做好照片、录像以及相关文字说明等存档资料。</w:t>
            </w:r>
          </w:p>
          <w:p w14:paraId="46E370F7">
            <w:pPr>
              <w:pStyle w:val="6"/>
              <w:spacing w:before="26" w:line="228" w:lineRule="auto"/>
              <w:ind w:left="117"/>
            </w:pPr>
            <w:r>
              <w:rPr>
                <w:spacing w:val="9"/>
              </w:rPr>
              <w:t>（</w:t>
            </w:r>
            <w:r>
              <w:rPr>
                <w:rFonts w:ascii="Times New Roman" w:hAnsi="Times New Roman" w:eastAsia="Times New Roman" w:cs="Times New Roman"/>
                <w:spacing w:val="9"/>
              </w:rPr>
              <w:t>5</w:t>
            </w:r>
            <w:r>
              <w:rPr>
                <w:spacing w:val="9"/>
              </w:rPr>
              <w:t>）运营期定期检查各储存设施，避免出</w:t>
            </w:r>
            <w:r>
              <w:rPr>
                <w:spacing w:val="8"/>
              </w:rPr>
              <w:t>现泄漏等不良情况。</w:t>
            </w:r>
          </w:p>
          <w:p w14:paraId="3F377483">
            <w:pPr>
              <w:pStyle w:val="6"/>
              <w:spacing w:before="24" w:line="228" w:lineRule="auto"/>
              <w:ind w:left="117"/>
              <w:rPr>
                <w:rFonts w:ascii="Times New Roman" w:hAnsi="Times New Roman" w:eastAsia="Times New Roman" w:cs="Times New Roman"/>
              </w:rPr>
            </w:pPr>
            <w:r>
              <w:rPr>
                <w:spacing w:val="9"/>
              </w:rPr>
              <w:t>（</w:t>
            </w:r>
            <w:r>
              <w:rPr>
                <w:rFonts w:ascii="Times New Roman" w:hAnsi="Times New Roman" w:eastAsia="Times New Roman" w:cs="Times New Roman"/>
                <w:spacing w:val="9"/>
              </w:rPr>
              <w:t>6</w:t>
            </w:r>
            <w:r>
              <w:rPr>
                <w:spacing w:val="9"/>
              </w:rPr>
              <w:t>）危险废物的贮存严格按照《危险废物贮存污染控制标准》（</w:t>
            </w:r>
            <w:r>
              <w:rPr>
                <w:rFonts w:ascii="Times New Roman" w:hAnsi="Times New Roman" w:eastAsia="Times New Roman" w:cs="Times New Roman"/>
              </w:rPr>
              <w:t>GB</w:t>
            </w:r>
            <w:r>
              <w:rPr>
                <w:rFonts w:ascii="Times New Roman" w:hAnsi="Times New Roman" w:eastAsia="Times New Roman" w:cs="Times New Roman"/>
                <w:spacing w:val="9"/>
              </w:rPr>
              <w:t>18597-</w:t>
            </w:r>
          </w:p>
          <w:p w14:paraId="63737573">
            <w:pPr>
              <w:pStyle w:val="6"/>
              <w:spacing w:before="27" w:line="228" w:lineRule="auto"/>
              <w:ind w:left="103"/>
            </w:pPr>
            <w:r>
              <w:rPr>
                <w:rFonts w:ascii="Times New Roman" w:hAnsi="Times New Roman" w:eastAsia="Times New Roman" w:cs="Times New Roman"/>
                <w:spacing w:val="8"/>
              </w:rPr>
              <w:t>2023</w:t>
            </w:r>
            <w:r>
              <w:rPr>
                <w:spacing w:val="8"/>
              </w:rPr>
              <w:t>）和《危险废物收集、贮存、运输技术规范》（</w:t>
            </w:r>
            <w:r>
              <w:rPr>
                <w:rFonts w:ascii="Times New Roman" w:hAnsi="Times New Roman" w:eastAsia="Times New Roman" w:cs="Times New Roman"/>
              </w:rPr>
              <w:t>HJ</w:t>
            </w:r>
            <w:r>
              <w:rPr>
                <w:rFonts w:ascii="Times New Roman" w:hAnsi="Times New Roman" w:eastAsia="Times New Roman" w:cs="Times New Roman"/>
                <w:spacing w:val="8"/>
              </w:rPr>
              <w:t>2025-2012</w:t>
            </w:r>
            <w:r>
              <w:rPr>
                <w:spacing w:val="8"/>
              </w:rPr>
              <w:t>）的相关要求执行。</w:t>
            </w:r>
          </w:p>
          <w:p w14:paraId="6DAB8625">
            <w:pPr>
              <w:pStyle w:val="6"/>
              <w:spacing w:before="24" w:line="217" w:lineRule="auto"/>
              <w:ind w:left="117"/>
            </w:pPr>
            <w:r>
              <w:rPr>
                <w:spacing w:val="10"/>
              </w:rPr>
              <w:t>（</w:t>
            </w:r>
            <w:r>
              <w:rPr>
                <w:rFonts w:ascii="Times New Roman" w:hAnsi="Times New Roman" w:eastAsia="Times New Roman" w:cs="Times New Roman"/>
                <w:spacing w:val="10"/>
              </w:rPr>
              <w:t>7</w:t>
            </w:r>
            <w:r>
              <w:rPr>
                <w:spacing w:val="10"/>
              </w:rPr>
              <w:t>）加强对操作人员的岗位培训，建立健全的环保管理机制</w:t>
            </w:r>
            <w:r>
              <w:rPr>
                <w:spacing w:val="9"/>
              </w:rPr>
              <w:t>和各项环保规章制度，落实岗位环保责任制，加强环境风</w:t>
            </w:r>
          </w:p>
        </w:tc>
        <w:tc>
          <w:tcPr>
            <w:tcW w:w="1698" w:type="dxa"/>
            <w:tcBorders>
              <w:bottom w:val="single" w:color="000000" w:sz="6" w:space="0"/>
              <w:right w:val="single" w:color="000000" w:sz="6" w:space="0"/>
            </w:tcBorders>
            <w:vAlign w:val="top"/>
          </w:tcPr>
          <w:p w14:paraId="2B3A3E21">
            <w:pPr>
              <w:spacing w:line="306" w:lineRule="auto"/>
              <w:rPr>
                <w:rFonts w:ascii="Arial"/>
                <w:sz w:val="21"/>
              </w:rPr>
            </w:pPr>
          </w:p>
          <w:p w14:paraId="54DFC58F">
            <w:pPr>
              <w:spacing w:line="306" w:lineRule="auto"/>
              <w:rPr>
                <w:rFonts w:ascii="Arial"/>
                <w:sz w:val="21"/>
              </w:rPr>
            </w:pPr>
          </w:p>
          <w:p w14:paraId="6A2CF247">
            <w:pPr>
              <w:spacing w:line="307" w:lineRule="auto"/>
              <w:rPr>
                <w:rFonts w:ascii="Arial"/>
                <w:sz w:val="21"/>
              </w:rPr>
            </w:pPr>
          </w:p>
          <w:p w14:paraId="087DB8B5">
            <w:pPr>
              <w:pStyle w:val="6"/>
              <w:spacing w:before="65" w:line="228" w:lineRule="auto"/>
              <w:ind w:left="122"/>
            </w:pPr>
            <w:r>
              <w:rPr>
                <w:spacing w:val="8"/>
              </w:rPr>
              <w:t>保证各项风险防</w:t>
            </w:r>
          </w:p>
          <w:p w14:paraId="46855261">
            <w:pPr>
              <w:pStyle w:val="6"/>
              <w:spacing w:before="26" w:line="228" w:lineRule="auto"/>
              <w:ind w:left="226"/>
            </w:pPr>
            <w:r>
              <w:rPr>
                <w:spacing w:val="8"/>
              </w:rPr>
              <w:t>控措施正常运</w:t>
            </w:r>
          </w:p>
          <w:p w14:paraId="77D287E2">
            <w:pPr>
              <w:pStyle w:val="6"/>
              <w:spacing w:before="23" w:line="227" w:lineRule="auto"/>
              <w:ind w:left="124"/>
            </w:pPr>
            <w:r>
              <w:rPr>
                <w:spacing w:val="8"/>
              </w:rPr>
              <w:t>行，风险防控机</w:t>
            </w:r>
          </w:p>
          <w:p w14:paraId="1DBB62BA">
            <w:pPr>
              <w:pStyle w:val="6"/>
              <w:spacing w:before="27" w:line="228" w:lineRule="auto"/>
              <w:ind w:left="122"/>
            </w:pPr>
            <w:r>
              <w:rPr>
                <w:spacing w:val="8"/>
              </w:rPr>
              <w:t>制健全，符合环</w:t>
            </w:r>
          </w:p>
          <w:p w14:paraId="20B12786">
            <w:pPr>
              <w:pStyle w:val="6"/>
              <w:spacing w:before="25" w:line="228" w:lineRule="auto"/>
              <w:ind w:left="122"/>
            </w:pPr>
            <w:r>
              <w:rPr>
                <w:spacing w:val="8"/>
              </w:rPr>
              <w:t>保法规及标准要</w:t>
            </w:r>
          </w:p>
          <w:p w14:paraId="68E53F07">
            <w:pPr>
              <w:pStyle w:val="6"/>
              <w:spacing w:before="26" w:line="229" w:lineRule="auto"/>
              <w:ind w:left="754"/>
            </w:pPr>
            <w:r>
              <w:t>求</w:t>
            </w:r>
          </w:p>
        </w:tc>
      </w:tr>
    </w:tbl>
    <w:p w14:paraId="47CFC3B6">
      <w:pPr>
        <w:rPr>
          <w:rFonts w:ascii="Arial"/>
          <w:sz w:val="21"/>
        </w:rPr>
      </w:pPr>
    </w:p>
    <w:p w14:paraId="2B730D12">
      <w:pPr>
        <w:rPr>
          <w:rFonts w:ascii="Arial" w:hAnsi="Arial" w:eastAsia="Arial" w:cs="Arial"/>
          <w:sz w:val="21"/>
          <w:szCs w:val="21"/>
        </w:rPr>
        <w:sectPr>
          <w:footerReference r:id="rId149" w:type="default"/>
          <w:pgSz w:w="16839" w:h="11906"/>
          <w:pgMar w:top="400" w:right="1299" w:bottom="1240" w:left="1413" w:header="0" w:footer="1078" w:gutter="0"/>
          <w:cols w:space="720" w:num="1"/>
        </w:sectPr>
      </w:pPr>
    </w:p>
    <w:p w14:paraId="71D1106F">
      <w:pPr>
        <w:spacing w:before="8"/>
      </w:pPr>
    </w:p>
    <w:p w14:paraId="7549A3DB">
      <w:pPr>
        <w:spacing w:before="7"/>
      </w:pPr>
    </w:p>
    <w:p w14:paraId="6C97C3DA">
      <w:pPr>
        <w:spacing w:before="7"/>
      </w:pPr>
    </w:p>
    <w:p w14:paraId="05BAB124">
      <w:pPr>
        <w:spacing w:before="7"/>
      </w:pPr>
    </w:p>
    <w:p w14:paraId="4A249356">
      <w:pPr>
        <w:spacing w:before="7"/>
      </w:pPr>
    </w:p>
    <w:tbl>
      <w:tblPr>
        <w:tblStyle w:val="5"/>
        <w:tblW w:w="1411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9"/>
        <w:gridCol w:w="5919"/>
        <w:gridCol w:w="1612"/>
        <w:gridCol w:w="3572"/>
        <w:gridCol w:w="1698"/>
      </w:tblGrid>
      <w:tr w14:paraId="6584C1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4" w:hRule="atLeast"/>
        </w:trPr>
        <w:tc>
          <w:tcPr>
            <w:tcW w:w="1309" w:type="dxa"/>
            <w:tcBorders>
              <w:top w:val="single" w:color="000000" w:sz="6" w:space="0"/>
              <w:left w:val="single" w:color="000000" w:sz="6" w:space="0"/>
            </w:tcBorders>
            <w:vAlign w:val="top"/>
          </w:tcPr>
          <w:p w14:paraId="41D0D260">
            <w:pPr>
              <w:rPr>
                <w:rFonts w:ascii="Arial"/>
                <w:sz w:val="21"/>
              </w:rPr>
            </w:pPr>
          </w:p>
        </w:tc>
        <w:tc>
          <w:tcPr>
            <w:tcW w:w="11103" w:type="dxa"/>
            <w:gridSpan w:val="3"/>
            <w:tcBorders>
              <w:top w:val="single" w:color="000000" w:sz="6" w:space="0"/>
            </w:tcBorders>
            <w:vAlign w:val="top"/>
          </w:tcPr>
          <w:p w14:paraId="40FA33CA">
            <w:pPr>
              <w:pStyle w:val="6"/>
              <w:spacing w:before="27" w:line="228" w:lineRule="auto"/>
              <w:ind w:left="119"/>
            </w:pPr>
            <w:r>
              <w:rPr>
                <w:spacing w:val="8"/>
              </w:rPr>
              <w:t>险防控工作，防止事故排放导致环境污染问题。</w:t>
            </w:r>
          </w:p>
          <w:p w14:paraId="3C66CAA6">
            <w:pPr>
              <w:pStyle w:val="6"/>
              <w:spacing w:before="24" w:line="233" w:lineRule="auto"/>
              <w:ind w:left="108" w:right="186" w:firstLine="9"/>
            </w:pPr>
            <w:r>
              <w:rPr>
                <w:spacing w:val="10"/>
              </w:rPr>
              <w:t>（</w:t>
            </w:r>
            <w:r>
              <w:rPr>
                <w:rFonts w:ascii="Times New Roman" w:hAnsi="Times New Roman" w:eastAsia="Times New Roman" w:cs="Times New Roman"/>
                <w:spacing w:val="10"/>
              </w:rPr>
              <w:t>8</w:t>
            </w:r>
            <w:r>
              <w:rPr>
                <w:spacing w:val="10"/>
              </w:rPr>
              <w:t>）针对本项目可能发生的突发事故，建设单位应编</w:t>
            </w:r>
            <w:r>
              <w:rPr>
                <w:spacing w:val="9"/>
              </w:rPr>
              <w:t>制突发环境事件应急预案并报生态环境局备案；建立完善的应急制度，定期开展演练，针对工程变动及时修订《应</w:t>
            </w:r>
            <w:r>
              <w:rPr>
                <w:spacing w:val="8"/>
              </w:rPr>
              <w:t>急预案》。</w:t>
            </w:r>
          </w:p>
        </w:tc>
        <w:tc>
          <w:tcPr>
            <w:tcW w:w="1698" w:type="dxa"/>
            <w:tcBorders>
              <w:top w:val="single" w:color="000000" w:sz="6" w:space="0"/>
              <w:right w:val="single" w:color="000000" w:sz="6" w:space="0"/>
            </w:tcBorders>
            <w:vAlign w:val="top"/>
          </w:tcPr>
          <w:p w14:paraId="48C9F434">
            <w:pPr>
              <w:rPr>
                <w:rFonts w:ascii="Arial"/>
                <w:sz w:val="21"/>
              </w:rPr>
            </w:pPr>
          </w:p>
        </w:tc>
      </w:tr>
      <w:tr w14:paraId="10AE0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8" w:hRule="atLeast"/>
        </w:trPr>
        <w:tc>
          <w:tcPr>
            <w:tcW w:w="1309" w:type="dxa"/>
            <w:tcBorders>
              <w:left w:val="single" w:color="000000" w:sz="6" w:space="0"/>
            </w:tcBorders>
            <w:vAlign w:val="top"/>
          </w:tcPr>
          <w:p w14:paraId="25C2D4FE">
            <w:pPr>
              <w:spacing w:line="297" w:lineRule="auto"/>
              <w:rPr>
                <w:rFonts w:ascii="Arial"/>
                <w:sz w:val="21"/>
              </w:rPr>
            </w:pPr>
          </w:p>
          <w:p w14:paraId="4119655A">
            <w:pPr>
              <w:spacing w:line="297" w:lineRule="auto"/>
              <w:rPr>
                <w:rFonts w:ascii="Arial"/>
                <w:sz w:val="21"/>
              </w:rPr>
            </w:pPr>
          </w:p>
          <w:p w14:paraId="2F029BC2">
            <w:pPr>
              <w:spacing w:line="297" w:lineRule="auto"/>
              <w:rPr>
                <w:rFonts w:ascii="Arial"/>
                <w:sz w:val="21"/>
              </w:rPr>
            </w:pPr>
          </w:p>
          <w:p w14:paraId="71537AD6">
            <w:pPr>
              <w:spacing w:line="297" w:lineRule="auto"/>
              <w:rPr>
                <w:rFonts w:ascii="Arial"/>
                <w:sz w:val="21"/>
              </w:rPr>
            </w:pPr>
          </w:p>
          <w:p w14:paraId="79543BD4">
            <w:pPr>
              <w:pStyle w:val="6"/>
              <w:spacing w:before="65" w:line="228" w:lineRule="auto"/>
              <w:ind w:left="233"/>
            </w:pPr>
            <w:r>
              <w:rPr>
                <w:spacing w:val="7"/>
              </w:rPr>
              <w:t>环境监测</w:t>
            </w:r>
          </w:p>
        </w:tc>
        <w:tc>
          <w:tcPr>
            <w:tcW w:w="5919" w:type="dxa"/>
            <w:vAlign w:val="top"/>
          </w:tcPr>
          <w:p w14:paraId="77C4D052">
            <w:pPr>
              <w:spacing w:line="245" w:lineRule="auto"/>
              <w:rPr>
                <w:rFonts w:ascii="Arial"/>
                <w:sz w:val="21"/>
              </w:rPr>
            </w:pPr>
          </w:p>
          <w:p w14:paraId="7C62FA64">
            <w:pPr>
              <w:spacing w:line="245" w:lineRule="auto"/>
              <w:rPr>
                <w:rFonts w:ascii="Arial"/>
                <w:sz w:val="21"/>
              </w:rPr>
            </w:pPr>
          </w:p>
          <w:p w14:paraId="659D2B99">
            <w:pPr>
              <w:spacing w:line="245" w:lineRule="auto"/>
              <w:rPr>
                <w:rFonts w:ascii="Arial"/>
                <w:sz w:val="21"/>
              </w:rPr>
            </w:pPr>
          </w:p>
          <w:p w14:paraId="1E546F04">
            <w:pPr>
              <w:spacing w:line="246" w:lineRule="auto"/>
              <w:rPr>
                <w:rFonts w:ascii="Arial"/>
                <w:sz w:val="21"/>
              </w:rPr>
            </w:pPr>
          </w:p>
          <w:p w14:paraId="05D69890">
            <w:pPr>
              <w:spacing w:line="246" w:lineRule="auto"/>
              <w:rPr>
                <w:rFonts w:ascii="Arial"/>
                <w:sz w:val="21"/>
              </w:rPr>
            </w:pPr>
          </w:p>
          <w:p w14:paraId="60BA0978">
            <w:pPr>
              <w:spacing w:before="57" w:line="199" w:lineRule="auto"/>
              <w:ind w:left="292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1612" w:type="dxa"/>
            <w:vAlign w:val="top"/>
          </w:tcPr>
          <w:p w14:paraId="3648AB83">
            <w:pPr>
              <w:spacing w:line="245" w:lineRule="auto"/>
              <w:rPr>
                <w:rFonts w:ascii="Arial"/>
                <w:sz w:val="21"/>
              </w:rPr>
            </w:pPr>
          </w:p>
          <w:p w14:paraId="18DE4449">
            <w:pPr>
              <w:spacing w:line="245" w:lineRule="auto"/>
              <w:rPr>
                <w:rFonts w:ascii="Arial"/>
                <w:sz w:val="21"/>
              </w:rPr>
            </w:pPr>
          </w:p>
          <w:p w14:paraId="59E9013D">
            <w:pPr>
              <w:spacing w:line="245" w:lineRule="auto"/>
              <w:rPr>
                <w:rFonts w:ascii="Arial"/>
                <w:sz w:val="21"/>
              </w:rPr>
            </w:pPr>
          </w:p>
          <w:p w14:paraId="71579DC7">
            <w:pPr>
              <w:spacing w:line="246" w:lineRule="auto"/>
              <w:rPr>
                <w:rFonts w:ascii="Arial"/>
                <w:sz w:val="21"/>
              </w:rPr>
            </w:pPr>
          </w:p>
          <w:p w14:paraId="72C7E3CB">
            <w:pPr>
              <w:spacing w:line="246" w:lineRule="auto"/>
              <w:rPr>
                <w:rFonts w:ascii="Arial"/>
                <w:sz w:val="21"/>
              </w:rPr>
            </w:pPr>
          </w:p>
          <w:p w14:paraId="2975323F">
            <w:pPr>
              <w:spacing w:before="57" w:line="199" w:lineRule="auto"/>
              <w:ind w:left="7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3572" w:type="dxa"/>
            <w:vAlign w:val="top"/>
          </w:tcPr>
          <w:p w14:paraId="485A0E69">
            <w:pPr>
              <w:spacing w:line="297" w:lineRule="auto"/>
              <w:rPr>
                <w:rFonts w:ascii="Arial"/>
                <w:sz w:val="21"/>
              </w:rPr>
            </w:pPr>
          </w:p>
          <w:p w14:paraId="6FE6E936">
            <w:pPr>
              <w:spacing w:line="297" w:lineRule="auto"/>
              <w:rPr>
                <w:rFonts w:ascii="Arial"/>
                <w:sz w:val="21"/>
              </w:rPr>
            </w:pPr>
          </w:p>
          <w:p w14:paraId="3E009BC8">
            <w:pPr>
              <w:spacing w:line="297" w:lineRule="auto"/>
              <w:rPr>
                <w:rFonts w:ascii="Arial"/>
                <w:sz w:val="21"/>
              </w:rPr>
            </w:pPr>
          </w:p>
          <w:p w14:paraId="636862A7">
            <w:pPr>
              <w:spacing w:line="297" w:lineRule="auto"/>
              <w:rPr>
                <w:rFonts w:ascii="Arial"/>
                <w:sz w:val="21"/>
              </w:rPr>
            </w:pPr>
          </w:p>
          <w:p w14:paraId="71967D4F">
            <w:pPr>
              <w:pStyle w:val="6"/>
              <w:spacing w:before="65" w:line="228" w:lineRule="auto"/>
              <w:ind w:left="115"/>
            </w:pPr>
            <w:r>
              <w:rPr>
                <w:spacing w:val="8"/>
              </w:rPr>
              <w:t>制定电磁、噪声监测计划。</w:t>
            </w:r>
          </w:p>
        </w:tc>
        <w:tc>
          <w:tcPr>
            <w:tcW w:w="1698" w:type="dxa"/>
            <w:tcBorders>
              <w:right w:val="single" w:color="000000" w:sz="6" w:space="0"/>
            </w:tcBorders>
            <w:vAlign w:val="top"/>
          </w:tcPr>
          <w:p w14:paraId="58F53386">
            <w:pPr>
              <w:pStyle w:val="6"/>
              <w:spacing w:before="33" w:line="252" w:lineRule="auto"/>
              <w:ind w:left="119" w:right="103" w:hanging="1"/>
            </w:pPr>
            <w:r>
              <w:rPr>
                <w:spacing w:val="9"/>
              </w:rPr>
              <w:t>①运行期间结合竣工环境保护验</w:t>
            </w:r>
            <w:r>
              <w:rPr>
                <w:spacing w:val="6"/>
              </w:rPr>
              <w:t>收监测一次；</w:t>
            </w:r>
          </w:p>
          <w:p w14:paraId="45E7EC05">
            <w:pPr>
              <w:pStyle w:val="6"/>
              <w:spacing w:line="251" w:lineRule="auto"/>
              <w:ind w:left="121" w:right="103" w:hanging="4"/>
            </w:pPr>
            <w:r>
              <w:rPr>
                <w:spacing w:val="9"/>
              </w:rPr>
              <w:t>②运行期间存在投诉或纠纷时进</w:t>
            </w:r>
            <w:r>
              <w:rPr>
                <w:spacing w:val="4"/>
              </w:rPr>
              <w:t>行监测；</w:t>
            </w:r>
          </w:p>
          <w:p w14:paraId="228F2FB2">
            <w:pPr>
              <w:pStyle w:val="6"/>
              <w:spacing w:before="4" w:line="239" w:lineRule="auto"/>
              <w:ind w:left="117" w:right="103"/>
            </w:pPr>
            <w:r>
              <w:rPr>
                <w:spacing w:val="9"/>
              </w:rPr>
              <w:t>③例行环境监测计划或生态环境主管部门要求时</w:t>
            </w:r>
            <w:r>
              <w:rPr>
                <w:spacing w:val="6"/>
              </w:rPr>
              <w:t>进行监测。</w:t>
            </w:r>
          </w:p>
        </w:tc>
      </w:tr>
      <w:tr w14:paraId="4CF27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1309" w:type="dxa"/>
            <w:tcBorders>
              <w:left w:val="single" w:color="000000" w:sz="6" w:space="0"/>
              <w:bottom w:val="single" w:color="000000" w:sz="6" w:space="0"/>
            </w:tcBorders>
            <w:vAlign w:val="top"/>
          </w:tcPr>
          <w:p w14:paraId="2CC8F41D">
            <w:pPr>
              <w:pStyle w:val="6"/>
              <w:spacing w:before="248" w:line="228" w:lineRule="auto"/>
              <w:ind w:left="442"/>
            </w:pPr>
            <w:r>
              <w:rPr>
                <w:spacing w:val="4"/>
              </w:rPr>
              <w:t>其他</w:t>
            </w:r>
          </w:p>
        </w:tc>
        <w:tc>
          <w:tcPr>
            <w:tcW w:w="11103" w:type="dxa"/>
            <w:gridSpan w:val="3"/>
            <w:tcBorders>
              <w:bottom w:val="single" w:color="000000" w:sz="6" w:space="0"/>
            </w:tcBorders>
            <w:vAlign w:val="top"/>
          </w:tcPr>
          <w:p w14:paraId="2C398650">
            <w:pPr>
              <w:pStyle w:val="6"/>
              <w:spacing w:before="248" w:line="228" w:lineRule="auto"/>
              <w:ind w:left="111"/>
            </w:pPr>
            <w:r>
              <w:rPr>
                <w:spacing w:val="10"/>
              </w:rPr>
              <w:t>项目竣工后应按照《建设项目竣工环境保护验收暂行办法》</w:t>
            </w:r>
            <w:r>
              <w:rPr>
                <w:spacing w:val="9"/>
              </w:rPr>
              <w:t>的要求进行自主验收，验收合格后方可投入正式运营。</w:t>
            </w:r>
          </w:p>
        </w:tc>
        <w:tc>
          <w:tcPr>
            <w:tcW w:w="1698" w:type="dxa"/>
            <w:tcBorders>
              <w:bottom w:val="single" w:color="000000" w:sz="6" w:space="0"/>
              <w:right w:val="single" w:color="000000" w:sz="6" w:space="0"/>
            </w:tcBorders>
            <w:vAlign w:val="top"/>
          </w:tcPr>
          <w:p w14:paraId="6278737E">
            <w:pPr>
              <w:rPr>
                <w:rFonts w:ascii="Arial"/>
                <w:sz w:val="21"/>
              </w:rPr>
            </w:pPr>
          </w:p>
        </w:tc>
      </w:tr>
    </w:tbl>
    <w:p w14:paraId="343A00AF">
      <w:pPr>
        <w:rPr>
          <w:rFonts w:ascii="Arial"/>
          <w:sz w:val="21"/>
        </w:rPr>
      </w:pPr>
    </w:p>
    <w:p w14:paraId="246B0B8A">
      <w:pPr>
        <w:rPr>
          <w:rFonts w:ascii="Arial" w:hAnsi="Arial" w:eastAsia="Arial" w:cs="Arial"/>
          <w:sz w:val="21"/>
          <w:szCs w:val="21"/>
        </w:rPr>
        <w:sectPr>
          <w:footerReference r:id="rId150" w:type="default"/>
          <w:pgSz w:w="16839" w:h="11906"/>
          <w:pgMar w:top="400" w:right="1299" w:bottom="1240" w:left="1413" w:header="0" w:footer="1078" w:gutter="0"/>
          <w:cols w:space="720" w:num="1"/>
        </w:sectPr>
      </w:pPr>
    </w:p>
    <w:p w14:paraId="707F1911">
      <w:pPr>
        <w:spacing w:line="319" w:lineRule="auto"/>
        <w:rPr>
          <w:rFonts w:ascii="Arial"/>
          <w:sz w:val="21"/>
        </w:rPr>
      </w:pPr>
    </w:p>
    <w:p w14:paraId="02AA265D">
      <w:pPr>
        <w:spacing w:line="319" w:lineRule="auto"/>
        <w:rPr>
          <w:rFonts w:ascii="Arial"/>
          <w:sz w:val="21"/>
        </w:rPr>
      </w:pPr>
    </w:p>
    <w:p w14:paraId="5AED9AFC">
      <w:pPr>
        <w:spacing w:line="319" w:lineRule="auto"/>
        <w:rPr>
          <w:rFonts w:ascii="Arial"/>
          <w:sz w:val="21"/>
        </w:rPr>
      </w:pPr>
    </w:p>
    <w:p w14:paraId="6AFFEF10">
      <w:pPr>
        <w:pStyle w:val="2"/>
        <w:spacing w:before="98" w:line="221" w:lineRule="auto"/>
        <w:ind w:left="3948"/>
        <w:rPr>
          <w:sz w:val="30"/>
          <w:szCs w:val="30"/>
        </w:rPr>
      </w:pPr>
      <w:r>
        <w:rPr>
          <w:b/>
          <w:bCs/>
          <w:spacing w:val="-6"/>
          <w:sz w:val="30"/>
          <w:szCs w:val="30"/>
        </w:rPr>
        <w:t>七、结论</w:t>
      </w:r>
    </w:p>
    <w:p w14:paraId="518915B8">
      <w:pPr>
        <w:spacing w:before="24"/>
      </w:pPr>
    </w:p>
    <w:tbl>
      <w:tblPr>
        <w:tblStyle w:val="5"/>
        <w:tblW w:w="9065" w:type="dxa"/>
        <w:tblInd w:w="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9065"/>
      </w:tblGrid>
      <w:tr w14:paraId="5700FF8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2358" w:hRule="atLeast"/>
        </w:trPr>
        <w:tc>
          <w:tcPr>
            <w:tcW w:w="9065" w:type="dxa"/>
            <w:vAlign w:val="top"/>
          </w:tcPr>
          <w:p w14:paraId="487938BA">
            <w:pPr>
              <w:pStyle w:val="6"/>
              <w:spacing w:before="41" w:line="359" w:lineRule="auto"/>
              <w:ind w:left="112" w:right="23" w:firstLine="480"/>
              <w:jc w:val="both"/>
              <w:rPr>
                <w:sz w:val="24"/>
                <w:szCs w:val="24"/>
              </w:rPr>
            </w:pPr>
            <w:r>
              <w:rPr>
                <w:spacing w:val="-6"/>
                <w:sz w:val="24"/>
                <w:szCs w:val="24"/>
              </w:rPr>
              <w:t>本项目的建设符合国家产业政策、相关法律法规和规划，工程区域的水、气、声、</w:t>
            </w:r>
            <w:r>
              <w:rPr>
                <w:spacing w:val="-1"/>
                <w:sz w:val="24"/>
                <w:szCs w:val="24"/>
              </w:rPr>
              <w:t>生态、电磁等环境质量现状较好。项目在设计、施工、运行</w:t>
            </w:r>
            <w:r>
              <w:rPr>
                <w:spacing w:val="-2"/>
                <w:sz w:val="24"/>
                <w:szCs w:val="24"/>
              </w:rPr>
              <w:t>过程中将按照国家相关环</w:t>
            </w:r>
            <w:r>
              <w:rPr>
                <w:spacing w:val="-1"/>
                <w:sz w:val="24"/>
                <w:szCs w:val="24"/>
              </w:rPr>
              <w:t>境保护要求，采取各项环境保护措施，减轻工程建设产生的</w:t>
            </w:r>
            <w:r>
              <w:rPr>
                <w:spacing w:val="-2"/>
                <w:sz w:val="24"/>
                <w:szCs w:val="24"/>
              </w:rPr>
              <w:t>环境影响，对环境污染和</w:t>
            </w:r>
            <w:r>
              <w:rPr>
                <w:spacing w:val="-1"/>
                <w:sz w:val="24"/>
                <w:szCs w:val="24"/>
              </w:rPr>
              <w:t>生态破坏的程度可以接受。</w:t>
            </w:r>
          </w:p>
          <w:p w14:paraId="149512ED">
            <w:pPr>
              <w:pStyle w:val="6"/>
              <w:spacing w:before="2" w:line="359" w:lineRule="auto"/>
              <w:ind w:left="114" w:right="125" w:firstLine="476"/>
              <w:rPr>
                <w:sz w:val="24"/>
                <w:szCs w:val="24"/>
              </w:rPr>
            </w:pPr>
            <w:r>
              <w:rPr>
                <w:spacing w:val="-2"/>
                <w:sz w:val="24"/>
                <w:szCs w:val="24"/>
              </w:rPr>
              <w:t>在严格执行本次环境影响报告表中规定的各项污染防治措施和生态保护措施后，</w:t>
            </w:r>
            <w:r>
              <w:rPr>
                <w:spacing w:val="-1"/>
                <w:sz w:val="24"/>
                <w:szCs w:val="24"/>
              </w:rPr>
              <w:t>从环境保护角度分析，本工程建设可行。</w:t>
            </w:r>
          </w:p>
        </w:tc>
      </w:tr>
    </w:tbl>
    <w:p w14:paraId="192282F1">
      <w:pPr>
        <w:rPr>
          <w:rFonts w:ascii="Arial"/>
          <w:sz w:val="21"/>
        </w:rPr>
      </w:pPr>
    </w:p>
    <w:p w14:paraId="3B9B94E9">
      <w:pPr>
        <w:rPr>
          <w:rFonts w:ascii="Arial" w:hAnsi="Arial" w:eastAsia="Arial" w:cs="Arial"/>
          <w:sz w:val="21"/>
          <w:szCs w:val="21"/>
        </w:rPr>
        <w:sectPr>
          <w:footerReference r:id="rId151" w:type="default"/>
          <w:pgSz w:w="11906" w:h="16839"/>
          <w:pgMar w:top="400" w:right="1299" w:bottom="1240" w:left="1526" w:header="0" w:footer="1078" w:gutter="0"/>
          <w:cols w:space="720" w:num="1"/>
        </w:sectPr>
      </w:pPr>
    </w:p>
    <w:p w14:paraId="092ED9E1">
      <w:pPr>
        <w:spacing w:line="242" w:lineRule="auto"/>
        <w:rPr>
          <w:rFonts w:ascii="Arial"/>
          <w:sz w:val="21"/>
        </w:rPr>
      </w:pPr>
    </w:p>
    <w:p w14:paraId="1ACF5975">
      <w:pPr>
        <w:spacing w:line="242" w:lineRule="auto"/>
        <w:rPr>
          <w:rFonts w:ascii="Arial"/>
          <w:sz w:val="21"/>
        </w:rPr>
      </w:pPr>
    </w:p>
    <w:p w14:paraId="531423B6">
      <w:pPr>
        <w:spacing w:line="242" w:lineRule="auto"/>
        <w:rPr>
          <w:rFonts w:ascii="Arial"/>
          <w:sz w:val="21"/>
        </w:rPr>
      </w:pPr>
    </w:p>
    <w:p w14:paraId="465D13EF">
      <w:pPr>
        <w:spacing w:line="242" w:lineRule="auto"/>
        <w:rPr>
          <w:rFonts w:ascii="Arial"/>
          <w:sz w:val="21"/>
        </w:rPr>
      </w:pPr>
    </w:p>
    <w:p w14:paraId="6AA004D9">
      <w:pPr>
        <w:spacing w:line="242" w:lineRule="auto"/>
        <w:rPr>
          <w:rFonts w:ascii="Arial"/>
          <w:sz w:val="21"/>
        </w:rPr>
      </w:pPr>
    </w:p>
    <w:p w14:paraId="6C14B961">
      <w:pPr>
        <w:spacing w:line="242" w:lineRule="auto"/>
        <w:rPr>
          <w:rFonts w:ascii="Arial"/>
          <w:sz w:val="21"/>
        </w:rPr>
      </w:pPr>
    </w:p>
    <w:p w14:paraId="2B9C7DE2">
      <w:pPr>
        <w:spacing w:line="242" w:lineRule="auto"/>
        <w:rPr>
          <w:rFonts w:ascii="Arial"/>
          <w:sz w:val="21"/>
        </w:rPr>
      </w:pPr>
    </w:p>
    <w:p w14:paraId="76A50118">
      <w:pPr>
        <w:spacing w:line="243" w:lineRule="auto"/>
        <w:rPr>
          <w:rFonts w:ascii="Arial"/>
          <w:sz w:val="21"/>
        </w:rPr>
      </w:pPr>
    </w:p>
    <w:p w14:paraId="41C20421">
      <w:pPr>
        <w:spacing w:line="243" w:lineRule="auto"/>
        <w:rPr>
          <w:rFonts w:ascii="Arial"/>
          <w:sz w:val="21"/>
        </w:rPr>
      </w:pPr>
    </w:p>
    <w:p w14:paraId="23248B56">
      <w:pPr>
        <w:spacing w:line="243" w:lineRule="auto"/>
        <w:rPr>
          <w:rFonts w:ascii="Arial"/>
          <w:sz w:val="21"/>
        </w:rPr>
      </w:pPr>
    </w:p>
    <w:p w14:paraId="7A7668F8">
      <w:pPr>
        <w:spacing w:line="243" w:lineRule="auto"/>
        <w:rPr>
          <w:rFonts w:ascii="Arial"/>
          <w:sz w:val="21"/>
        </w:rPr>
      </w:pPr>
    </w:p>
    <w:p w14:paraId="52EA8A59">
      <w:pPr>
        <w:spacing w:line="243" w:lineRule="auto"/>
        <w:rPr>
          <w:rFonts w:ascii="Arial"/>
          <w:sz w:val="21"/>
        </w:rPr>
      </w:pPr>
    </w:p>
    <w:p w14:paraId="48104344">
      <w:pPr>
        <w:spacing w:line="243" w:lineRule="auto"/>
        <w:rPr>
          <w:rFonts w:ascii="Arial"/>
          <w:sz w:val="21"/>
        </w:rPr>
      </w:pPr>
    </w:p>
    <w:p w14:paraId="6AF0BAAE">
      <w:pPr>
        <w:spacing w:line="243" w:lineRule="auto"/>
        <w:rPr>
          <w:rFonts w:ascii="Arial"/>
          <w:sz w:val="21"/>
        </w:rPr>
      </w:pPr>
    </w:p>
    <w:p w14:paraId="28B478F8">
      <w:pPr>
        <w:pStyle w:val="2"/>
        <w:spacing w:before="169" w:line="220" w:lineRule="auto"/>
        <w:ind w:left="48"/>
        <w:rPr>
          <w:sz w:val="52"/>
          <w:szCs w:val="52"/>
        </w:rPr>
      </w:pPr>
      <w:r>
        <w:rPr>
          <w:rFonts w:ascii="Times New Roman" w:hAnsi="Times New Roman" w:eastAsia="Times New Roman" w:cs="Times New Roman"/>
          <w:b/>
          <w:bCs/>
          <w:spacing w:val="-8"/>
          <w:sz w:val="52"/>
          <w:szCs w:val="52"/>
        </w:rPr>
        <w:t xml:space="preserve">110kV </w:t>
      </w:r>
      <w:r>
        <w:rPr>
          <w:b/>
          <w:bCs/>
          <w:spacing w:val="-8"/>
          <w:sz w:val="52"/>
          <w:szCs w:val="52"/>
        </w:rPr>
        <w:t>松山输变电工程电磁环境影响</w:t>
      </w:r>
    </w:p>
    <w:p w14:paraId="39D1FDB4">
      <w:pPr>
        <w:pStyle w:val="2"/>
        <w:spacing w:before="317" w:line="218" w:lineRule="auto"/>
        <w:ind w:left="2623"/>
        <w:rPr>
          <w:sz w:val="52"/>
          <w:szCs w:val="52"/>
        </w:rPr>
      </w:pPr>
      <w:r>
        <w:rPr>
          <w:b/>
          <w:bCs/>
          <w:spacing w:val="-8"/>
          <w:sz w:val="52"/>
          <w:szCs w:val="52"/>
        </w:rPr>
        <w:t>专题评价报告</w:t>
      </w:r>
    </w:p>
    <w:p w14:paraId="7A1FD49D">
      <w:pPr>
        <w:spacing w:line="244" w:lineRule="auto"/>
        <w:rPr>
          <w:rFonts w:ascii="Arial"/>
          <w:sz w:val="21"/>
        </w:rPr>
      </w:pPr>
    </w:p>
    <w:p w14:paraId="275C529F">
      <w:pPr>
        <w:spacing w:line="244" w:lineRule="auto"/>
        <w:rPr>
          <w:rFonts w:ascii="Arial"/>
          <w:sz w:val="21"/>
        </w:rPr>
      </w:pPr>
    </w:p>
    <w:p w14:paraId="60FF3EF6">
      <w:pPr>
        <w:spacing w:line="245" w:lineRule="auto"/>
        <w:rPr>
          <w:rFonts w:ascii="Arial"/>
          <w:sz w:val="21"/>
        </w:rPr>
      </w:pPr>
    </w:p>
    <w:p w14:paraId="436DCA6F">
      <w:pPr>
        <w:spacing w:line="245" w:lineRule="auto"/>
        <w:rPr>
          <w:rFonts w:ascii="Arial"/>
          <w:sz w:val="21"/>
        </w:rPr>
      </w:pPr>
    </w:p>
    <w:p w14:paraId="32C81D12">
      <w:pPr>
        <w:spacing w:line="245" w:lineRule="auto"/>
        <w:rPr>
          <w:rFonts w:ascii="Arial"/>
          <w:sz w:val="21"/>
        </w:rPr>
      </w:pPr>
    </w:p>
    <w:p w14:paraId="009EC767">
      <w:pPr>
        <w:spacing w:line="245" w:lineRule="auto"/>
        <w:rPr>
          <w:rFonts w:ascii="Arial"/>
          <w:sz w:val="21"/>
        </w:rPr>
      </w:pPr>
    </w:p>
    <w:p w14:paraId="38AAF7B4">
      <w:pPr>
        <w:spacing w:line="245" w:lineRule="auto"/>
        <w:rPr>
          <w:rFonts w:ascii="Arial"/>
          <w:sz w:val="21"/>
        </w:rPr>
      </w:pPr>
    </w:p>
    <w:p w14:paraId="1FDD2A75">
      <w:pPr>
        <w:spacing w:line="245" w:lineRule="auto"/>
        <w:rPr>
          <w:rFonts w:ascii="Arial"/>
          <w:sz w:val="21"/>
        </w:rPr>
      </w:pPr>
    </w:p>
    <w:p w14:paraId="10D71698">
      <w:pPr>
        <w:spacing w:line="245" w:lineRule="auto"/>
        <w:rPr>
          <w:rFonts w:ascii="Arial"/>
          <w:sz w:val="21"/>
        </w:rPr>
      </w:pPr>
    </w:p>
    <w:p w14:paraId="185622B1">
      <w:pPr>
        <w:spacing w:line="245" w:lineRule="auto"/>
        <w:rPr>
          <w:rFonts w:ascii="Arial"/>
          <w:sz w:val="21"/>
        </w:rPr>
      </w:pPr>
    </w:p>
    <w:p w14:paraId="5FEA7DF2">
      <w:pPr>
        <w:spacing w:line="245" w:lineRule="auto"/>
        <w:rPr>
          <w:rFonts w:ascii="Arial"/>
          <w:sz w:val="21"/>
        </w:rPr>
      </w:pPr>
    </w:p>
    <w:p w14:paraId="5D2CA56A">
      <w:pPr>
        <w:spacing w:line="245" w:lineRule="auto"/>
        <w:rPr>
          <w:rFonts w:ascii="Arial"/>
          <w:sz w:val="21"/>
        </w:rPr>
      </w:pPr>
    </w:p>
    <w:p w14:paraId="23519D58">
      <w:pPr>
        <w:spacing w:line="245" w:lineRule="auto"/>
        <w:rPr>
          <w:rFonts w:ascii="Arial"/>
          <w:sz w:val="21"/>
        </w:rPr>
      </w:pPr>
    </w:p>
    <w:p w14:paraId="6D9B33F6">
      <w:pPr>
        <w:spacing w:line="245" w:lineRule="auto"/>
        <w:rPr>
          <w:rFonts w:ascii="Arial"/>
          <w:sz w:val="21"/>
        </w:rPr>
      </w:pPr>
    </w:p>
    <w:p w14:paraId="67FD7A25">
      <w:pPr>
        <w:spacing w:line="245" w:lineRule="auto"/>
        <w:rPr>
          <w:rFonts w:ascii="Arial"/>
          <w:sz w:val="21"/>
        </w:rPr>
      </w:pPr>
    </w:p>
    <w:p w14:paraId="6F71DB04">
      <w:pPr>
        <w:spacing w:line="245" w:lineRule="auto"/>
        <w:rPr>
          <w:rFonts w:ascii="Arial"/>
          <w:sz w:val="21"/>
        </w:rPr>
      </w:pPr>
    </w:p>
    <w:p w14:paraId="129D1B0D">
      <w:pPr>
        <w:spacing w:line="245" w:lineRule="auto"/>
        <w:rPr>
          <w:rFonts w:ascii="Arial"/>
          <w:sz w:val="21"/>
        </w:rPr>
      </w:pPr>
    </w:p>
    <w:p w14:paraId="39026414">
      <w:pPr>
        <w:spacing w:line="245" w:lineRule="auto"/>
        <w:rPr>
          <w:rFonts w:ascii="Arial"/>
          <w:sz w:val="21"/>
        </w:rPr>
      </w:pPr>
    </w:p>
    <w:p w14:paraId="6B5F0A6F">
      <w:pPr>
        <w:spacing w:line="245" w:lineRule="auto"/>
        <w:rPr>
          <w:rFonts w:ascii="Arial"/>
          <w:sz w:val="21"/>
        </w:rPr>
      </w:pPr>
    </w:p>
    <w:p w14:paraId="2240CFDE">
      <w:pPr>
        <w:spacing w:line="245" w:lineRule="auto"/>
        <w:rPr>
          <w:rFonts w:ascii="Arial"/>
          <w:sz w:val="21"/>
        </w:rPr>
      </w:pPr>
    </w:p>
    <w:p w14:paraId="5C2E10D4">
      <w:pPr>
        <w:spacing w:line="245" w:lineRule="auto"/>
        <w:rPr>
          <w:rFonts w:ascii="Arial"/>
          <w:sz w:val="21"/>
        </w:rPr>
      </w:pPr>
    </w:p>
    <w:p w14:paraId="4CD8CF13">
      <w:pPr>
        <w:spacing w:line="245" w:lineRule="auto"/>
        <w:rPr>
          <w:rFonts w:ascii="Arial"/>
          <w:sz w:val="21"/>
        </w:rPr>
      </w:pPr>
    </w:p>
    <w:p w14:paraId="41819966">
      <w:pPr>
        <w:spacing w:line="245" w:lineRule="auto"/>
        <w:rPr>
          <w:rFonts w:ascii="Arial"/>
          <w:sz w:val="21"/>
        </w:rPr>
      </w:pPr>
    </w:p>
    <w:p w14:paraId="688B7CDF">
      <w:pPr>
        <w:spacing w:line="245" w:lineRule="auto"/>
        <w:rPr>
          <w:rFonts w:ascii="Arial"/>
          <w:sz w:val="21"/>
        </w:rPr>
      </w:pPr>
    </w:p>
    <w:p w14:paraId="0493B7FE">
      <w:pPr>
        <w:spacing w:line="245" w:lineRule="auto"/>
        <w:rPr>
          <w:rFonts w:ascii="Arial"/>
          <w:sz w:val="21"/>
        </w:rPr>
      </w:pPr>
    </w:p>
    <w:p w14:paraId="670C9B3E">
      <w:pPr>
        <w:spacing w:line="245" w:lineRule="auto"/>
        <w:rPr>
          <w:rFonts w:ascii="Arial"/>
          <w:sz w:val="21"/>
        </w:rPr>
      </w:pPr>
    </w:p>
    <w:p w14:paraId="34D7818C">
      <w:pPr>
        <w:pStyle w:val="2"/>
        <w:spacing w:before="101" w:line="225" w:lineRule="auto"/>
        <w:ind w:left="809"/>
        <w:rPr>
          <w:sz w:val="31"/>
          <w:szCs w:val="31"/>
        </w:rPr>
      </w:pPr>
      <w:r>
        <w:rPr>
          <w:b/>
          <w:bCs/>
          <w:spacing w:val="7"/>
          <w:sz w:val="31"/>
          <w:szCs w:val="31"/>
        </w:rPr>
        <w:t>编制单位：四川众望安全环保技术咨询有限公司</w:t>
      </w:r>
    </w:p>
    <w:p w14:paraId="283B049D">
      <w:pPr>
        <w:pStyle w:val="2"/>
        <w:spacing w:before="246" w:line="225" w:lineRule="auto"/>
        <w:ind w:left="2457"/>
        <w:rPr>
          <w:sz w:val="31"/>
          <w:szCs w:val="31"/>
        </w:rPr>
      </w:pPr>
      <w:r>
        <w:rPr>
          <w:b/>
          <w:bCs/>
          <w:spacing w:val="2"/>
          <w:sz w:val="31"/>
          <w:szCs w:val="31"/>
        </w:rPr>
        <w:t>编制日期：</w:t>
      </w:r>
      <w:r>
        <w:rPr>
          <w:rFonts w:ascii="Times New Roman" w:hAnsi="Times New Roman" w:eastAsia="Times New Roman" w:cs="Times New Roman"/>
          <w:b/>
          <w:bCs/>
          <w:spacing w:val="2"/>
          <w:sz w:val="31"/>
          <w:szCs w:val="31"/>
        </w:rPr>
        <w:t xml:space="preserve">2025 </w:t>
      </w:r>
      <w:r>
        <w:rPr>
          <w:b/>
          <w:bCs/>
          <w:spacing w:val="2"/>
          <w:sz w:val="31"/>
          <w:szCs w:val="31"/>
        </w:rPr>
        <w:t>年</w:t>
      </w:r>
      <w:r>
        <w:rPr>
          <w:spacing w:val="-43"/>
          <w:sz w:val="31"/>
          <w:szCs w:val="31"/>
        </w:rPr>
        <w:t xml:space="preserve"> </w:t>
      </w:r>
      <w:r>
        <w:rPr>
          <w:rFonts w:ascii="Times New Roman" w:hAnsi="Times New Roman" w:eastAsia="Times New Roman" w:cs="Times New Roman"/>
          <w:b/>
          <w:bCs/>
          <w:spacing w:val="2"/>
          <w:sz w:val="31"/>
          <w:szCs w:val="31"/>
        </w:rPr>
        <w:t>11</w:t>
      </w:r>
      <w:r>
        <w:rPr>
          <w:rFonts w:ascii="Times New Roman" w:hAnsi="Times New Roman" w:eastAsia="Times New Roman" w:cs="Times New Roman"/>
          <w:b/>
          <w:bCs/>
          <w:spacing w:val="23"/>
          <w:sz w:val="31"/>
          <w:szCs w:val="31"/>
        </w:rPr>
        <w:t xml:space="preserve"> </w:t>
      </w:r>
      <w:r>
        <w:rPr>
          <w:b/>
          <w:bCs/>
          <w:spacing w:val="2"/>
          <w:sz w:val="31"/>
          <w:szCs w:val="31"/>
        </w:rPr>
        <w:t>月</w:t>
      </w:r>
    </w:p>
    <w:p w14:paraId="21E31E10">
      <w:pPr>
        <w:spacing w:line="225" w:lineRule="auto"/>
        <w:rPr>
          <w:sz w:val="31"/>
          <w:szCs w:val="31"/>
        </w:rPr>
        <w:sectPr>
          <w:footerReference r:id="rId152" w:type="default"/>
          <w:pgSz w:w="11906" w:h="16839"/>
          <w:pgMar w:top="400" w:right="1785" w:bottom="400" w:left="1785" w:header="0" w:footer="0" w:gutter="0"/>
          <w:cols w:space="720" w:num="1"/>
        </w:sectPr>
      </w:pPr>
    </w:p>
    <w:p w14:paraId="2525F53E">
      <w:pPr>
        <w:spacing w:line="271" w:lineRule="auto"/>
        <w:rPr>
          <w:rFonts w:ascii="Arial"/>
          <w:sz w:val="21"/>
        </w:rPr>
      </w:pPr>
    </w:p>
    <w:p w14:paraId="10D52E3F">
      <w:pPr>
        <w:spacing w:line="271" w:lineRule="auto"/>
        <w:rPr>
          <w:rFonts w:ascii="Arial"/>
          <w:sz w:val="21"/>
        </w:rPr>
      </w:pPr>
    </w:p>
    <w:p w14:paraId="2B6578CC">
      <w:pPr>
        <w:spacing w:line="272" w:lineRule="auto"/>
        <w:rPr>
          <w:rFonts w:ascii="Arial"/>
          <w:sz w:val="21"/>
        </w:rPr>
      </w:pPr>
    </w:p>
    <w:p w14:paraId="7AB37349">
      <w:pPr>
        <w:spacing w:line="272" w:lineRule="auto"/>
        <w:rPr>
          <w:rFonts w:ascii="Arial"/>
          <w:sz w:val="21"/>
        </w:rPr>
      </w:pPr>
    </w:p>
    <w:sdt>
      <w:sdtPr>
        <w:rPr>
          <w:rFonts w:ascii="宋体" w:hAnsi="宋体" w:eastAsia="宋体" w:cs="宋体"/>
          <w:sz w:val="31"/>
          <w:szCs w:val="31"/>
        </w:rPr>
        <w:id w:val="147481127"/>
        <w:docPartObj>
          <w:docPartGallery w:val="Table of Contents"/>
          <w:docPartUnique/>
        </w:docPartObj>
      </w:sdtPr>
      <w:sdtEndPr>
        <w:rPr>
          <w:rFonts w:ascii="Times New Roman" w:hAnsi="Times New Roman" w:eastAsia="Times New Roman" w:cs="Times New Roman"/>
          <w:sz w:val="18"/>
          <w:szCs w:val="18"/>
        </w:rPr>
      </w:sdtEndPr>
      <w:sdtContent>
        <w:p w14:paraId="548C9892">
          <w:pPr>
            <w:pStyle w:val="2"/>
            <w:spacing w:before="101" w:line="227" w:lineRule="auto"/>
            <w:ind w:left="3759"/>
            <w:rPr>
              <w:sz w:val="31"/>
              <w:szCs w:val="31"/>
            </w:rPr>
          </w:pPr>
          <w:r>
            <w:rPr>
              <w:b/>
              <w:bCs/>
              <w:spacing w:val="-36"/>
              <w:sz w:val="31"/>
              <w:szCs w:val="31"/>
            </w:rPr>
            <w:t>目</w:t>
          </w:r>
          <w:r>
            <w:rPr>
              <w:spacing w:val="12"/>
              <w:sz w:val="31"/>
              <w:szCs w:val="31"/>
            </w:rPr>
            <w:t xml:space="preserve">  </w:t>
          </w:r>
          <w:r>
            <w:rPr>
              <w:b/>
              <w:bCs/>
              <w:spacing w:val="-36"/>
              <w:sz w:val="31"/>
              <w:szCs w:val="31"/>
            </w:rPr>
            <w:t>录</w:t>
          </w:r>
        </w:p>
        <w:p w14:paraId="6189ADA9">
          <w:pPr>
            <w:pStyle w:val="2"/>
            <w:tabs>
              <w:tab w:val="right" w:leader="dot" w:pos="8319"/>
            </w:tabs>
            <w:spacing w:before="140" w:line="193" w:lineRule="auto"/>
            <w:ind w:left="3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w:t>
          </w:r>
          <w:r>
            <w:rPr>
              <w:rFonts w:ascii="Times New Roman" w:hAnsi="Times New Roman" w:eastAsia="Times New Roman" w:cs="Times New Roman"/>
              <w:spacing w:val="8"/>
              <w:sz w:val="20"/>
              <w:szCs w:val="20"/>
            </w:rPr>
            <w:t xml:space="preserve">  </w:t>
          </w:r>
          <w:r>
            <w:rPr>
              <w:spacing w:val="-5"/>
              <w:sz w:val="20"/>
              <w:szCs w:val="20"/>
            </w:rPr>
            <w:t>前言</w:t>
          </w:r>
          <w:r>
            <w:rPr>
              <w:spacing w:val="-57"/>
              <w:sz w:val="20"/>
              <w:szCs w:val="20"/>
            </w:rPr>
            <w:t xml:space="preserve"> </w:t>
          </w:r>
          <w:r>
            <w:rPr>
              <w:sz w:val="20"/>
              <w:szCs w:val="20"/>
            </w:rPr>
            <w:tab/>
          </w:r>
          <w:r>
            <w:rPr>
              <w:spacing w:val="-70"/>
              <w:sz w:val="20"/>
              <w:szCs w:val="20"/>
            </w:rPr>
            <w:t xml:space="preserve"> </w:t>
          </w:r>
          <w:r>
            <w:rPr>
              <w:rFonts w:ascii="Times New Roman" w:hAnsi="Times New Roman" w:eastAsia="Times New Roman" w:cs="Times New Roman"/>
              <w:spacing w:val="-20"/>
              <w:sz w:val="20"/>
              <w:szCs w:val="20"/>
            </w:rPr>
            <w:t>1</w:t>
          </w:r>
        </w:p>
        <w:p w14:paraId="59916CDA">
          <w:pPr>
            <w:pStyle w:val="2"/>
            <w:tabs>
              <w:tab w:val="right" w:leader="dot" w:pos="8319"/>
            </w:tabs>
            <w:spacing w:before="102" w:line="193" w:lineRule="auto"/>
            <w:ind w:left="1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pacing w:val="9"/>
              <w:sz w:val="20"/>
              <w:szCs w:val="20"/>
            </w:rPr>
            <w:t xml:space="preserve">  </w:t>
          </w:r>
          <w:r>
            <w:rPr>
              <w:spacing w:val="1"/>
              <w:sz w:val="20"/>
              <w:szCs w:val="20"/>
            </w:rPr>
            <w:t>总则</w:t>
          </w:r>
          <w:r>
            <w:rPr>
              <w:spacing w:val="-57"/>
              <w:sz w:val="20"/>
              <w:szCs w:val="20"/>
            </w:rPr>
            <w:t xml:space="preserve"> </w:t>
          </w:r>
          <w:r>
            <w:rPr>
              <w:sz w:val="20"/>
              <w:szCs w:val="20"/>
            </w:rPr>
            <w:tab/>
          </w:r>
          <w:r>
            <w:rPr>
              <w:rFonts w:ascii="Times New Roman" w:hAnsi="Times New Roman" w:eastAsia="Times New Roman" w:cs="Times New Roman"/>
              <w:spacing w:val="10"/>
              <w:sz w:val="20"/>
              <w:szCs w:val="20"/>
            </w:rPr>
            <w:t>2</w:t>
          </w:r>
        </w:p>
        <w:p w14:paraId="66889153">
          <w:pPr>
            <w:pStyle w:val="2"/>
            <w:tabs>
              <w:tab w:val="right" w:leader="dot" w:pos="8319"/>
            </w:tabs>
            <w:spacing w:before="102" w:line="208" w:lineRule="auto"/>
            <w:ind w:left="43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1</w:t>
          </w:r>
          <w:r>
            <w:rPr>
              <w:rFonts w:ascii="Times New Roman" w:hAnsi="Times New Roman" w:eastAsia="Times New Roman" w:cs="Times New Roman"/>
              <w:spacing w:val="7"/>
              <w:sz w:val="20"/>
              <w:szCs w:val="20"/>
            </w:rPr>
            <w:t xml:space="preserve">  </w:t>
          </w:r>
          <w:r>
            <w:rPr>
              <w:spacing w:val="1"/>
              <w:sz w:val="20"/>
              <w:szCs w:val="20"/>
            </w:rPr>
            <w:t>编制依据</w:t>
          </w:r>
          <w:r>
            <w:rPr>
              <w:spacing w:val="-56"/>
              <w:sz w:val="20"/>
              <w:szCs w:val="20"/>
            </w:rPr>
            <w:t xml:space="preserve"> </w:t>
          </w:r>
          <w:r>
            <w:rPr>
              <w:sz w:val="20"/>
              <w:szCs w:val="20"/>
            </w:rPr>
            <w:tab/>
          </w:r>
          <w:r>
            <w:rPr>
              <w:spacing w:val="-48"/>
              <w:sz w:val="20"/>
              <w:szCs w:val="20"/>
            </w:rPr>
            <w:t xml:space="preserve"> </w:t>
          </w:r>
          <w:r>
            <w:rPr>
              <w:rFonts w:ascii="Times New Roman" w:hAnsi="Times New Roman" w:eastAsia="Times New Roman" w:cs="Times New Roman"/>
              <w:sz w:val="20"/>
              <w:szCs w:val="20"/>
            </w:rPr>
            <w:t>2</w:t>
          </w:r>
        </w:p>
        <w:p w14:paraId="56AD5EE0">
          <w:pPr>
            <w:pStyle w:val="2"/>
            <w:tabs>
              <w:tab w:val="right" w:leader="dot" w:pos="8319"/>
            </w:tabs>
            <w:spacing w:before="172" w:line="207" w:lineRule="auto"/>
            <w:ind w:left="64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w:t>
          </w:r>
          <w:r>
            <w:rPr>
              <w:rFonts w:ascii="Times New Roman" w:hAnsi="Times New Roman" w:eastAsia="Times New Roman" w:cs="Times New Roman"/>
              <w:spacing w:val="-14"/>
              <w:sz w:val="20"/>
              <w:szCs w:val="20"/>
            </w:rPr>
            <w:t xml:space="preserve"> </w:t>
          </w:r>
          <w:r>
            <w:rPr>
              <w:rFonts w:ascii="Times New Roman" w:hAnsi="Times New Roman" w:eastAsia="Times New Roman" w:cs="Times New Roman"/>
              <w:spacing w:val="2"/>
              <w:sz w:val="20"/>
              <w:szCs w:val="20"/>
            </w:rPr>
            <w:t>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 xml:space="preserve">1  </w:t>
          </w:r>
          <w:r>
            <w:rPr>
              <w:spacing w:val="2"/>
              <w:sz w:val="20"/>
              <w:szCs w:val="20"/>
            </w:rPr>
            <w:t>相关法律、法规</w:t>
          </w:r>
          <w:r>
            <w:rPr>
              <w:spacing w:val="-57"/>
              <w:sz w:val="20"/>
              <w:szCs w:val="20"/>
            </w:rPr>
            <w:t xml:space="preserve"> </w:t>
          </w:r>
          <w:r>
            <w:rPr>
              <w:sz w:val="20"/>
              <w:szCs w:val="20"/>
            </w:rPr>
            <w:tab/>
          </w:r>
          <w:r>
            <w:rPr>
              <w:spacing w:val="-59"/>
              <w:sz w:val="20"/>
              <w:szCs w:val="20"/>
            </w:rPr>
            <w:t xml:space="preserve"> </w:t>
          </w:r>
          <w:r>
            <w:rPr>
              <w:rFonts w:ascii="Times New Roman" w:hAnsi="Times New Roman" w:eastAsia="Times New Roman" w:cs="Times New Roman"/>
              <w:sz w:val="20"/>
              <w:szCs w:val="20"/>
            </w:rPr>
            <w:t>2</w:t>
          </w:r>
        </w:p>
        <w:p w14:paraId="064CAAB0">
          <w:pPr>
            <w:pStyle w:val="2"/>
            <w:tabs>
              <w:tab w:val="right" w:leader="dot" w:pos="8319"/>
            </w:tabs>
            <w:spacing w:before="150" w:line="207" w:lineRule="auto"/>
            <w:ind w:left="647"/>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2.</w:t>
          </w:r>
          <w:r>
            <w:rPr>
              <w:rFonts w:ascii="Times New Roman" w:hAnsi="Times New Roman" w:eastAsia="Times New Roman" w:cs="Times New Roman"/>
              <w:spacing w:val="-13"/>
              <w:sz w:val="20"/>
              <w:szCs w:val="20"/>
            </w:rPr>
            <w:t xml:space="preserve"> </w:t>
          </w:r>
          <w:r>
            <w:rPr>
              <w:rFonts w:ascii="Times New Roman" w:hAnsi="Times New Roman" w:eastAsia="Times New Roman" w:cs="Times New Roman"/>
              <w:spacing w:val="6"/>
              <w:sz w:val="20"/>
              <w:szCs w:val="20"/>
            </w:rPr>
            <w:t xml:space="preserve">1.2  </w:t>
          </w:r>
          <w:r>
            <w:rPr>
              <w:spacing w:val="6"/>
              <w:sz w:val="20"/>
              <w:szCs w:val="20"/>
            </w:rPr>
            <w:t>环境影响评价有关标准、技术规程</w:t>
          </w:r>
          <w:r>
            <w:rPr>
              <w:spacing w:val="-57"/>
              <w:sz w:val="20"/>
              <w:szCs w:val="20"/>
            </w:rPr>
            <w:t xml:space="preserve"> </w:t>
          </w:r>
          <w:r>
            <w:rPr>
              <w:sz w:val="20"/>
              <w:szCs w:val="20"/>
            </w:rPr>
            <w:tab/>
          </w:r>
          <w:r>
            <w:rPr>
              <w:spacing w:val="-75"/>
              <w:sz w:val="20"/>
              <w:szCs w:val="20"/>
            </w:rPr>
            <w:t xml:space="preserve"> </w:t>
          </w:r>
          <w:r>
            <w:rPr>
              <w:rFonts w:ascii="Times New Roman" w:hAnsi="Times New Roman" w:eastAsia="Times New Roman" w:cs="Times New Roman"/>
              <w:sz w:val="20"/>
              <w:szCs w:val="20"/>
            </w:rPr>
            <w:t>2</w:t>
          </w:r>
        </w:p>
        <w:p w14:paraId="22DE320A">
          <w:pPr>
            <w:pStyle w:val="2"/>
            <w:tabs>
              <w:tab w:val="right" w:leader="dot" w:pos="8319"/>
            </w:tabs>
            <w:spacing w:before="152" w:line="207" w:lineRule="auto"/>
            <w:ind w:left="64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w:t>
          </w:r>
          <w:r>
            <w:rPr>
              <w:rFonts w:ascii="Times New Roman" w:hAnsi="Times New Roman" w:eastAsia="Times New Roman" w:cs="Times New Roman"/>
              <w:spacing w:val="-13"/>
              <w:sz w:val="20"/>
              <w:szCs w:val="20"/>
            </w:rPr>
            <w:t xml:space="preserve"> </w:t>
          </w:r>
          <w:r>
            <w:rPr>
              <w:rFonts w:ascii="Times New Roman" w:hAnsi="Times New Roman" w:eastAsia="Times New Roman" w:cs="Times New Roman"/>
              <w:spacing w:val="4"/>
              <w:sz w:val="20"/>
              <w:szCs w:val="20"/>
            </w:rPr>
            <w:t xml:space="preserve">1.3  </w:t>
          </w:r>
          <w:r>
            <w:rPr>
              <w:spacing w:val="4"/>
              <w:sz w:val="20"/>
              <w:szCs w:val="20"/>
            </w:rPr>
            <w:t>设计的规程、规范</w:t>
          </w:r>
          <w:r>
            <w:rPr>
              <w:spacing w:val="-56"/>
              <w:sz w:val="20"/>
              <w:szCs w:val="20"/>
            </w:rPr>
            <w:t xml:space="preserve"> </w:t>
          </w:r>
          <w:r>
            <w:rPr>
              <w:sz w:val="20"/>
              <w:szCs w:val="20"/>
            </w:rPr>
            <w:tab/>
          </w:r>
          <w:r>
            <w:rPr>
              <w:spacing w:val="-60"/>
              <w:sz w:val="20"/>
              <w:szCs w:val="20"/>
            </w:rPr>
            <w:t xml:space="preserve"> </w:t>
          </w:r>
          <w:r>
            <w:rPr>
              <w:rFonts w:ascii="Times New Roman" w:hAnsi="Times New Roman" w:eastAsia="Times New Roman" w:cs="Times New Roman"/>
              <w:sz w:val="20"/>
              <w:szCs w:val="20"/>
            </w:rPr>
            <w:t>2</w:t>
          </w:r>
        </w:p>
        <w:p w14:paraId="5F7D969C">
          <w:pPr>
            <w:pStyle w:val="2"/>
            <w:tabs>
              <w:tab w:val="right" w:leader="dot" w:pos="8319"/>
            </w:tabs>
            <w:spacing w:before="153" w:line="207" w:lineRule="auto"/>
            <w:ind w:left="64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4"/>
              <w:sz w:val="20"/>
              <w:szCs w:val="20"/>
            </w:rPr>
            <w:t xml:space="preserve">1.4  </w:t>
          </w:r>
          <w:r>
            <w:rPr>
              <w:spacing w:val="4"/>
              <w:sz w:val="20"/>
              <w:szCs w:val="20"/>
            </w:rPr>
            <w:t>工程技术资料</w:t>
          </w:r>
          <w:r>
            <w:rPr>
              <w:spacing w:val="-56"/>
              <w:sz w:val="20"/>
              <w:szCs w:val="20"/>
            </w:rPr>
            <w:t xml:space="preserve"> </w:t>
          </w:r>
          <w:r>
            <w:rPr>
              <w:sz w:val="20"/>
              <w:szCs w:val="20"/>
            </w:rPr>
            <w:tab/>
          </w:r>
          <w:r>
            <w:rPr>
              <w:spacing w:val="-56"/>
              <w:sz w:val="20"/>
              <w:szCs w:val="20"/>
            </w:rPr>
            <w:t xml:space="preserve"> </w:t>
          </w:r>
          <w:r>
            <w:rPr>
              <w:rFonts w:ascii="Times New Roman" w:hAnsi="Times New Roman" w:eastAsia="Times New Roman" w:cs="Times New Roman"/>
              <w:sz w:val="20"/>
              <w:szCs w:val="20"/>
            </w:rPr>
            <w:t>2</w:t>
          </w:r>
        </w:p>
        <w:p w14:paraId="1B292B84">
          <w:pPr>
            <w:pStyle w:val="2"/>
            <w:tabs>
              <w:tab w:val="right" w:leader="dot" w:pos="8319"/>
            </w:tabs>
            <w:spacing w:before="83" w:line="207" w:lineRule="auto"/>
            <w:ind w:left="438"/>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 xml:space="preserve">2.2  </w:t>
          </w:r>
          <w:r>
            <w:rPr>
              <w:spacing w:val="7"/>
              <w:sz w:val="20"/>
              <w:szCs w:val="20"/>
            </w:rPr>
            <w:t>评价因子与评价标准</w:t>
          </w:r>
          <w:r>
            <w:rPr>
              <w:spacing w:val="-57"/>
              <w:sz w:val="20"/>
              <w:szCs w:val="20"/>
            </w:rPr>
            <w:t xml:space="preserve"> </w:t>
          </w:r>
          <w:r>
            <w:rPr>
              <w:sz w:val="20"/>
              <w:szCs w:val="20"/>
            </w:rPr>
            <w:tab/>
          </w:r>
          <w:r>
            <w:rPr>
              <w:spacing w:val="-53"/>
              <w:sz w:val="20"/>
              <w:szCs w:val="20"/>
            </w:rPr>
            <w:t xml:space="preserve"> </w:t>
          </w:r>
          <w:r>
            <w:rPr>
              <w:rFonts w:ascii="Times New Roman" w:hAnsi="Times New Roman" w:eastAsia="Times New Roman" w:cs="Times New Roman"/>
              <w:sz w:val="20"/>
              <w:szCs w:val="20"/>
            </w:rPr>
            <w:t>3</w:t>
          </w:r>
        </w:p>
        <w:p w14:paraId="792A68BB">
          <w:pPr>
            <w:pStyle w:val="2"/>
            <w:tabs>
              <w:tab w:val="right" w:leader="dot" w:pos="8319"/>
            </w:tabs>
            <w:spacing w:before="171" w:line="207" w:lineRule="auto"/>
            <w:ind w:left="64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3"/>
              <w:sz w:val="20"/>
              <w:szCs w:val="20"/>
            </w:rPr>
            <w:t xml:space="preserve">1  </w:t>
          </w:r>
          <w:r>
            <w:rPr>
              <w:spacing w:val="3"/>
              <w:sz w:val="20"/>
              <w:szCs w:val="20"/>
            </w:rPr>
            <w:t>评价因子</w:t>
          </w:r>
          <w:r>
            <w:rPr>
              <w:spacing w:val="-57"/>
              <w:sz w:val="20"/>
              <w:szCs w:val="20"/>
            </w:rPr>
            <w:t xml:space="preserve"> </w:t>
          </w:r>
          <w:r>
            <w:rPr>
              <w:sz w:val="20"/>
              <w:szCs w:val="20"/>
            </w:rPr>
            <w:tab/>
          </w:r>
          <w:r>
            <w:rPr>
              <w:spacing w:val="-48"/>
              <w:sz w:val="20"/>
              <w:szCs w:val="20"/>
            </w:rPr>
            <w:t xml:space="preserve"> </w:t>
          </w:r>
          <w:r>
            <w:rPr>
              <w:rFonts w:ascii="Times New Roman" w:hAnsi="Times New Roman" w:eastAsia="Times New Roman" w:cs="Times New Roman"/>
              <w:sz w:val="20"/>
              <w:szCs w:val="20"/>
            </w:rPr>
            <w:t>3</w:t>
          </w:r>
        </w:p>
        <w:p w14:paraId="79E15F18">
          <w:pPr>
            <w:pStyle w:val="2"/>
            <w:tabs>
              <w:tab w:val="right" w:leader="dot" w:pos="8319"/>
            </w:tabs>
            <w:spacing w:before="153" w:line="207" w:lineRule="auto"/>
            <w:ind w:left="64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 xml:space="preserve">2.2.2  </w:t>
          </w:r>
          <w:r>
            <w:rPr>
              <w:spacing w:val="5"/>
              <w:sz w:val="20"/>
              <w:szCs w:val="20"/>
            </w:rPr>
            <w:t>评价标准</w:t>
          </w:r>
          <w:r>
            <w:rPr>
              <w:spacing w:val="-54"/>
              <w:sz w:val="20"/>
              <w:szCs w:val="20"/>
            </w:rPr>
            <w:t xml:space="preserve"> </w:t>
          </w:r>
          <w:r>
            <w:rPr>
              <w:sz w:val="20"/>
              <w:szCs w:val="20"/>
            </w:rPr>
            <w:tab/>
          </w:r>
          <w:r>
            <w:rPr>
              <w:spacing w:val="-48"/>
              <w:sz w:val="20"/>
              <w:szCs w:val="20"/>
            </w:rPr>
            <w:t xml:space="preserve"> </w:t>
          </w:r>
          <w:r>
            <w:rPr>
              <w:rFonts w:ascii="Times New Roman" w:hAnsi="Times New Roman" w:eastAsia="Times New Roman" w:cs="Times New Roman"/>
              <w:sz w:val="20"/>
              <w:szCs w:val="20"/>
            </w:rPr>
            <w:t>3</w:t>
          </w:r>
        </w:p>
        <w:p w14:paraId="02300F28">
          <w:pPr>
            <w:pStyle w:val="2"/>
            <w:tabs>
              <w:tab w:val="right" w:leader="dot" w:pos="8319"/>
            </w:tabs>
            <w:spacing w:before="82" w:line="193" w:lineRule="auto"/>
            <w:ind w:left="43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2.3</w:t>
          </w:r>
          <w:r>
            <w:rPr>
              <w:rFonts w:ascii="Times New Roman" w:hAnsi="Times New Roman" w:eastAsia="Times New Roman" w:cs="Times New Roman"/>
              <w:spacing w:val="7"/>
              <w:sz w:val="20"/>
              <w:szCs w:val="20"/>
            </w:rPr>
            <w:t xml:space="preserve">  </w:t>
          </w:r>
          <w:r>
            <w:rPr>
              <w:spacing w:val="5"/>
              <w:sz w:val="20"/>
              <w:szCs w:val="20"/>
            </w:rPr>
            <w:t>评价等级</w:t>
          </w:r>
          <w:r>
            <w:rPr>
              <w:spacing w:val="-56"/>
              <w:sz w:val="20"/>
              <w:szCs w:val="20"/>
            </w:rPr>
            <w:t xml:space="preserve"> </w:t>
          </w:r>
          <w:r>
            <w:rPr>
              <w:sz w:val="20"/>
              <w:szCs w:val="20"/>
            </w:rPr>
            <w:tab/>
          </w:r>
          <w:r>
            <w:rPr>
              <w:spacing w:val="-44"/>
              <w:sz w:val="20"/>
              <w:szCs w:val="20"/>
            </w:rPr>
            <w:t xml:space="preserve"> </w:t>
          </w:r>
          <w:r>
            <w:rPr>
              <w:rFonts w:ascii="Times New Roman" w:hAnsi="Times New Roman" w:eastAsia="Times New Roman" w:cs="Times New Roman"/>
              <w:sz w:val="20"/>
              <w:szCs w:val="20"/>
            </w:rPr>
            <w:t>3</w:t>
          </w:r>
        </w:p>
        <w:p w14:paraId="5FE84665">
          <w:pPr>
            <w:pStyle w:val="2"/>
            <w:tabs>
              <w:tab w:val="right" w:leader="dot" w:pos="8319"/>
            </w:tabs>
            <w:spacing w:before="103" w:line="193" w:lineRule="auto"/>
            <w:ind w:left="43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2.4</w:t>
          </w:r>
          <w:r>
            <w:rPr>
              <w:rFonts w:ascii="Times New Roman" w:hAnsi="Times New Roman" w:eastAsia="Times New Roman" w:cs="Times New Roman"/>
              <w:spacing w:val="7"/>
              <w:sz w:val="20"/>
              <w:szCs w:val="20"/>
            </w:rPr>
            <w:t xml:space="preserve">  </w:t>
          </w:r>
          <w:r>
            <w:rPr>
              <w:spacing w:val="5"/>
              <w:sz w:val="20"/>
              <w:szCs w:val="20"/>
            </w:rPr>
            <w:t>评价范围</w:t>
          </w:r>
          <w:r>
            <w:rPr>
              <w:spacing w:val="-56"/>
              <w:sz w:val="20"/>
              <w:szCs w:val="20"/>
            </w:rPr>
            <w:t xml:space="preserve"> </w:t>
          </w:r>
          <w:r>
            <w:rPr>
              <w:sz w:val="20"/>
              <w:szCs w:val="20"/>
            </w:rPr>
            <w:tab/>
          </w:r>
          <w:r>
            <w:rPr>
              <w:spacing w:val="-49"/>
              <w:sz w:val="20"/>
              <w:szCs w:val="20"/>
            </w:rPr>
            <w:t xml:space="preserve"> </w:t>
          </w:r>
          <w:r>
            <w:rPr>
              <w:rFonts w:ascii="Times New Roman" w:hAnsi="Times New Roman" w:eastAsia="Times New Roman" w:cs="Times New Roman"/>
              <w:spacing w:val="1"/>
              <w:sz w:val="20"/>
              <w:szCs w:val="20"/>
            </w:rPr>
            <w:t>4</w:t>
          </w:r>
        </w:p>
        <w:p w14:paraId="46577437">
          <w:pPr>
            <w:pStyle w:val="2"/>
            <w:tabs>
              <w:tab w:val="right" w:leader="dot" w:pos="8319"/>
            </w:tabs>
            <w:spacing w:before="103" w:line="193" w:lineRule="auto"/>
            <w:ind w:left="438"/>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2.5</w:t>
          </w:r>
          <w:r>
            <w:rPr>
              <w:rFonts w:ascii="Times New Roman" w:hAnsi="Times New Roman" w:eastAsia="Times New Roman" w:cs="Times New Roman"/>
              <w:spacing w:val="7"/>
              <w:sz w:val="20"/>
              <w:szCs w:val="20"/>
            </w:rPr>
            <w:t xml:space="preserve">  </w:t>
          </w:r>
          <w:r>
            <w:rPr>
              <w:spacing w:val="5"/>
              <w:sz w:val="20"/>
              <w:szCs w:val="20"/>
            </w:rPr>
            <w:t>评价重点</w:t>
          </w:r>
          <w:r>
            <w:rPr>
              <w:spacing w:val="-56"/>
              <w:sz w:val="20"/>
              <w:szCs w:val="20"/>
            </w:rPr>
            <w:t xml:space="preserve"> </w:t>
          </w:r>
          <w:r>
            <w:rPr>
              <w:sz w:val="20"/>
              <w:szCs w:val="20"/>
            </w:rPr>
            <w:tab/>
          </w:r>
          <w:r>
            <w:rPr>
              <w:spacing w:val="-49"/>
              <w:sz w:val="20"/>
              <w:szCs w:val="20"/>
            </w:rPr>
            <w:t xml:space="preserve"> </w:t>
          </w:r>
          <w:r>
            <w:rPr>
              <w:rFonts w:ascii="Times New Roman" w:hAnsi="Times New Roman" w:eastAsia="Times New Roman" w:cs="Times New Roman"/>
              <w:spacing w:val="1"/>
              <w:sz w:val="20"/>
              <w:szCs w:val="20"/>
            </w:rPr>
            <w:t>4</w:t>
          </w:r>
        </w:p>
        <w:p w14:paraId="31074E64">
          <w:pPr>
            <w:pStyle w:val="2"/>
            <w:tabs>
              <w:tab w:val="right" w:leader="dot" w:pos="8319"/>
            </w:tabs>
            <w:spacing w:before="103" w:line="193" w:lineRule="auto"/>
            <w:ind w:left="43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2.6</w:t>
          </w:r>
          <w:r>
            <w:rPr>
              <w:rFonts w:ascii="Times New Roman" w:hAnsi="Times New Roman" w:eastAsia="Times New Roman" w:cs="Times New Roman"/>
              <w:spacing w:val="22"/>
              <w:w w:val="101"/>
              <w:sz w:val="20"/>
              <w:szCs w:val="20"/>
            </w:rPr>
            <w:t xml:space="preserve">  </w:t>
          </w:r>
          <w:r>
            <w:rPr>
              <w:spacing w:val="4"/>
              <w:sz w:val="20"/>
              <w:szCs w:val="20"/>
            </w:rPr>
            <w:t>电磁环境保护目标</w:t>
          </w:r>
          <w:r>
            <w:rPr>
              <w:spacing w:val="-56"/>
              <w:sz w:val="20"/>
              <w:szCs w:val="20"/>
            </w:rPr>
            <w:t xml:space="preserve"> </w:t>
          </w:r>
          <w:r>
            <w:rPr>
              <w:sz w:val="20"/>
              <w:szCs w:val="20"/>
            </w:rPr>
            <w:tab/>
          </w:r>
          <w:r>
            <w:rPr>
              <w:spacing w:val="-51"/>
              <w:sz w:val="20"/>
              <w:szCs w:val="20"/>
            </w:rPr>
            <w:t xml:space="preserve"> </w:t>
          </w:r>
          <w:r>
            <w:rPr>
              <w:rFonts w:ascii="Times New Roman" w:hAnsi="Times New Roman" w:eastAsia="Times New Roman" w:cs="Times New Roman"/>
              <w:sz w:val="20"/>
              <w:szCs w:val="20"/>
            </w:rPr>
            <w:t>5</w:t>
          </w:r>
        </w:p>
        <w:p w14:paraId="59BD96DB">
          <w:pPr>
            <w:pStyle w:val="2"/>
            <w:tabs>
              <w:tab w:val="right" w:leader="dot" w:pos="8319"/>
            </w:tabs>
            <w:spacing w:before="103" w:line="193" w:lineRule="auto"/>
            <w:ind w:left="22"/>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 xml:space="preserve">3  </w:t>
          </w:r>
          <w:r>
            <w:rPr>
              <w:spacing w:val="7"/>
              <w:sz w:val="20"/>
              <w:szCs w:val="20"/>
            </w:rPr>
            <w:t>工程概况及工程分析</w:t>
          </w:r>
          <w:r>
            <w:rPr>
              <w:spacing w:val="-53"/>
              <w:sz w:val="20"/>
              <w:szCs w:val="20"/>
            </w:rPr>
            <w:t xml:space="preserve"> </w:t>
          </w:r>
          <w:r>
            <w:rPr>
              <w:sz w:val="20"/>
              <w:szCs w:val="20"/>
            </w:rPr>
            <w:tab/>
          </w:r>
          <w:r>
            <w:rPr>
              <w:spacing w:val="-34"/>
              <w:sz w:val="20"/>
              <w:szCs w:val="20"/>
            </w:rPr>
            <w:t xml:space="preserve"> </w:t>
          </w:r>
          <w:r>
            <w:rPr>
              <w:rFonts w:ascii="Times New Roman" w:hAnsi="Times New Roman" w:eastAsia="Times New Roman" w:cs="Times New Roman"/>
              <w:spacing w:val="-8"/>
              <w:sz w:val="20"/>
              <w:szCs w:val="20"/>
            </w:rPr>
            <w:t>12</w:t>
          </w:r>
        </w:p>
        <w:p w14:paraId="04C0785C">
          <w:pPr>
            <w:pStyle w:val="2"/>
            <w:tabs>
              <w:tab w:val="right" w:leader="dot" w:pos="8319"/>
            </w:tabs>
            <w:spacing w:before="104" w:line="207" w:lineRule="auto"/>
            <w:ind w:left="442"/>
            <w:rPr>
              <w:rFonts w:ascii="Times New Roman" w:hAnsi="Times New Roman" w:eastAsia="Times New Roman" w:cs="Times New Roman"/>
              <w:sz w:val="20"/>
              <w:szCs w:val="20"/>
            </w:rPr>
          </w:pPr>
          <w:r>
            <w:rPr>
              <w:rFonts w:ascii="Times New Roman" w:hAnsi="Times New Roman" w:eastAsia="Times New Roman" w:cs="Times New Roman"/>
              <w:sz w:val="20"/>
              <w:szCs w:val="20"/>
            </w:rPr>
            <w:t>3.</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z w:val="20"/>
              <w:szCs w:val="20"/>
            </w:rPr>
            <w:t>1</w:t>
          </w:r>
          <w:r>
            <w:rPr>
              <w:rFonts w:ascii="Times New Roman" w:hAnsi="Times New Roman" w:eastAsia="Times New Roman" w:cs="Times New Roman"/>
              <w:spacing w:val="7"/>
              <w:sz w:val="20"/>
              <w:szCs w:val="20"/>
            </w:rPr>
            <w:t xml:space="preserve">  </w:t>
          </w:r>
          <w:r>
            <w:rPr>
              <w:sz w:val="20"/>
              <w:szCs w:val="20"/>
            </w:rPr>
            <w:t>工程概况</w:t>
          </w:r>
          <w:r>
            <w:rPr>
              <w:spacing w:val="-56"/>
              <w:sz w:val="20"/>
              <w:szCs w:val="20"/>
            </w:rPr>
            <w:t xml:space="preserve"> </w:t>
          </w:r>
          <w:r>
            <w:rPr>
              <w:sz w:val="20"/>
              <w:szCs w:val="20"/>
            </w:rPr>
            <w:tab/>
          </w:r>
          <w:r>
            <w:rPr>
              <w:spacing w:val="-29"/>
              <w:sz w:val="20"/>
              <w:szCs w:val="20"/>
            </w:rPr>
            <w:t xml:space="preserve"> </w:t>
          </w:r>
          <w:r>
            <w:rPr>
              <w:rFonts w:ascii="Times New Roman" w:hAnsi="Times New Roman" w:eastAsia="Times New Roman" w:cs="Times New Roman"/>
              <w:spacing w:val="-8"/>
              <w:sz w:val="20"/>
              <w:szCs w:val="20"/>
            </w:rPr>
            <w:t>12</w:t>
          </w:r>
        </w:p>
        <w:p w14:paraId="03AAA94F">
          <w:pPr>
            <w:pStyle w:val="2"/>
            <w:tabs>
              <w:tab w:val="right" w:leader="dot" w:pos="8319"/>
            </w:tabs>
            <w:spacing w:before="171" w:line="207" w:lineRule="auto"/>
            <w:ind w:left="65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w:t>
          </w:r>
          <w:r>
            <w:rPr>
              <w:rFonts w:ascii="Times New Roman" w:hAnsi="Times New Roman" w:eastAsia="Times New Roman" w:cs="Times New Roman"/>
              <w:spacing w:val="-15"/>
              <w:sz w:val="20"/>
              <w:szCs w:val="20"/>
            </w:rPr>
            <w:t xml:space="preserve"> </w:t>
          </w:r>
          <w:r>
            <w:rPr>
              <w:rFonts w:ascii="Times New Roman" w:hAnsi="Times New Roman" w:eastAsia="Times New Roman" w:cs="Times New Roman"/>
              <w:spacing w:val="1"/>
              <w:sz w:val="20"/>
              <w:szCs w:val="20"/>
            </w:rPr>
            <w:t>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 xml:space="preserve">1  </w:t>
          </w:r>
          <w:r>
            <w:rPr>
              <w:spacing w:val="1"/>
              <w:sz w:val="20"/>
              <w:szCs w:val="20"/>
            </w:rPr>
            <w:t>工程建设内容</w:t>
          </w:r>
          <w:r>
            <w:rPr>
              <w:spacing w:val="-56"/>
              <w:sz w:val="20"/>
              <w:szCs w:val="20"/>
            </w:rPr>
            <w:t xml:space="preserve"> </w:t>
          </w:r>
          <w:r>
            <w:rPr>
              <w:sz w:val="20"/>
              <w:szCs w:val="20"/>
            </w:rPr>
            <w:tab/>
          </w:r>
          <w:r>
            <w:rPr>
              <w:spacing w:val="-37"/>
              <w:sz w:val="20"/>
              <w:szCs w:val="20"/>
            </w:rPr>
            <w:t xml:space="preserve"> </w:t>
          </w:r>
          <w:r>
            <w:rPr>
              <w:rFonts w:ascii="Times New Roman" w:hAnsi="Times New Roman" w:eastAsia="Times New Roman" w:cs="Times New Roman"/>
              <w:spacing w:val="-8"/>
              <w:sz w:val="20"/>
              <w:szCs w:val="20"/>
            </w:rPr>
            <w:t>12</w:t>
          </w:r>
        </w:p>
        <w:p w14:paraId="37FF8794">
          <w:pPr>
            <w:pStyle w:val="2"/>
            <w:tabs>
              <w:tab w:val="right" w:leader="dot" w:pos="8319"/>
            </w:tabs>
            <w:spacing w:before="152" w:line="208" w:lineRule="auto"/>
            <w:ind w:left="65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w:t>
          </w:r>
          <w:r>
            <w:rPr>
              <w:rFonts w:ascii="Times New Roman" w:hAnsi="Times New Roman" w:eastAsia="Times New Roman" w:cs="Times New Roman"/>
              <w:spacing w:val="-17"/>
              <w:sz w:val="20"/>
              <w:szCs w:val="20"/>
            </w:rPr>
            <w:t xml:space="preserve"> </w:t>
          </w:r>
          <w:r>
            <w:rPr>
              <w:rFonts w:ascii="Times New Roman" w:hAnsi="Times New Roman" w:eastAsia="Times New Roman" w:cs="Times New Roman"/>
              <w:spacing w:val="4"/>
              <w:sz w:val="20"/>
              <w:szCs w:val="20"/>
            </w:rPr>
            <w:t xml:space="preserve">1.2  </w:t>
          </w:r>
          <w:r>
            <w:rPr>
              <w:spacing w:val="4"/>
              <w:sz w:val="20"/>
              <w:szCs w:val="20"/>
            </w:rPr>
            <w:t>项目主要设备选型</w:t>
          </w:r>
          <w:r>
            <w:rPr>
              <w:spacing w:val="-56"/>
              <w:sz w:val="20"/>
              <w:szCs w:val="20"/>
            </w:rPr>
            <w:t xml:space="preserve"> </w:t>
          </w:r>
          <w:r>
            <w:rPr>
              <w:sz w:val="20"/>
              <w:szCs w:val="20"/>
            </w:rPr>
            <w:tab/>
          </w:r>
          <w:r>
            <w:rPr>
              <w:spacing w:val="-41"/>
              <w:sz w:val="20"/>
              <w:szCs w:val="20"/>
            </w:rPr>
            <w:t xml:space="preserve"> </w:t>
          </w:r>
          <w:r>
            <w:rPr>
              <w:rFonts w:ascii="Times New Roman" w:hAnsi="Times New Roman" w:eastAsia="Times New Roman" w:cs="Times New Roman"/>
              <w:spacing w:val="-8"/>
              <w:sz w:val="20"/>
              <w:szCs w:val="20"/>
            </w:rPr>
            <w:t>13</w:t>
          </w:r>
        </w:p>
        <w:p w14:paraId="658C6325">
          <w:pPr>
            <w:pStyle w:val="2"/>
            <w:tabs>
              <w:tab w:val="right" w:leader="dot" w:pos="8319"/>
            </w:tabs>
            <w:spacing w:before="150" w:line="207" w:lineRule="auto"/>
            <w:ind w:left="65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w:t>
          </w:r>
          <w:r>
            <w:rPr>
              <w:rFonts w:ascii="Times New Roman" w:hAnsi="Times New Roman" w:eastAsia="Times New Roman" w:cs="Times New Roman"/>
              <w:spacing w:val="-17"/>
              <w:sz w:val="20"/>
              <w:szCs w:val="20"/>
            </w:rPr>
            <w:t xml:space="preserve"> </w:t>
          </w:r>
          <w:r>
            <w:rPr>
              <w:rFonts w:ascii="Times New Roman" w:hAnsi="Times New Roman" w:eastAsia="Times New Roman" w:cs="Times New Roman"/>
              <w:spacing w:val="4"/>
              <w:sz w:val="20"/>
              <w:szCs w:val="20"/>
            </w:rPr>
            <w:t xml:space="preserve">1.3  </w:t>
          </w:r>
          <w:r>
            <w:rPr>
              <w:spacing w:val="4"/>
              <w:sz w:val="20"/>
              <w:szCs w:val="20"/>
            </w:rPr>
            <w:t>线路交叉跨越情况</w:t>
          </w:r>
          <w:r>
            <w:rPr>
              <w:spacing w:val="-56"/>
              <w:sz w:val="20"/>
              <w:szCs w:val="20"/>
            </w:rPr>
            <w:t xml:space="preserve"> </w:t>
          </w:r>
          <w:r>
            <w:rPr>
              <w:sz w:val="20"/>
              <w:szCs w:val="20"/>
            </w:rPr>
            <w:tab/>
          </w:r>
          <w:r>
            <w:rPr>
              <w:spacing w:val="-41"/>
              <w:sz w:val="20"/>
              <w:szCs w:val="20"/>
            </w:rPr>
            <w:t xml:space="preserve"> </w:t>
          </w:r>
          <w:r>
            <w:rPr>
              <w:rFonts w:ascii="Times New Roman" w:hAnsi="Times New Roman" w:eastAsia="Times New Roman" w:cs="Times New Roman"/>
              <w:spacing w:val="-8"/>
              <w:sz w:val="20"/>
              <w:szCs w:val="20"/>
            </w:rPr>
            <w:t>14</w:t>
          </w:r>
        </w:p>
        <w:p w14:paraId="4674EA19">
          <w:pPr>
            <w:pStyle w:val="2"/>
            <w:tabs>
              <w:tab w:val="right" w:leader="dot" w:pos="8319"/>
            </w:tabs>
            <w:spacing w:before="84" w:line="193" w:lineRule="auto"/>
            <w:ind w:left="442"/>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3.2</w:t>
          </w:r>
          <w:r>
            <w:rPr>
              <w:rFonts w:ascii="Times New Roman" w:hAnsi="Times New Roman" w:eastAsia="Times New Roman" w:cs="Times New Roman"/>
              <w:spacing w:val="20"/>
              <w:sz w:val="20"/>
              <w:szCs w:val="20"/>
            </w:rPr>
            <w:t xml:space="preserve">  </w:t>
          </w:r>
          <w:r>
            <w:rPr>
              <w:spacing w:val="5"/>
              <w:sz w:val="20"/>
              <w:szCs w:val="20"/>
            </w:rPr>
            <w:t>电磁环境影响因素识别</w:t>
          </w:r>
          <w:r>
            <w:rPr>
              <w:spacing w:val="-57"/>
              <w:sz w:val="20"/>
              <w:szCs w:val="20"/>
            </w:rPr>
            <w:t xml:space="preserve"> </w:t>
          </w:r>
          <w:r>
            <w:rPr>
              <w:sz w:val="20"/>
              <w:szCs w:val="20"/>
            </w:rPr>
            <w:tab/>
          </w:r>
          <w:r>
            <w:rPr>
              <w:spacing w:val="-41"/>
              <w:sz w:val="20"/>
              <w:szCs w:val="20"/>
            </w:rPr>
            <w:t xml:space="preserve"> </w:t>
          </w:r>
          <w:r>
            <w:rPr>
              <w:rFonts w:ascii="Times New Roman" w:hAnsi="Times New Roman" w:eastAsia="Times New Roman" w:cs="Times New Roman"/>
              <w:spacing w:val="-8"/>
              <w:sz w:val="20"/>
              <w:szCs w:val="20"/>
            </w:rPr>
            <w:t>14</w:t>
          </w:r>
        </w:p>
        <w:p w14:paraId="5256B79B">
          <w:pPr>
            <w:pStyle w:val="2"/>
            <w:tabs>
              <w:tab w:val="right" w:leader="dot" w:pos="8319"/>
            </w:tabs>
            <w:spacing w:before="103" w:line="193" w:lineRule="auto"/>
            <w:ind w:left="17"/>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24"/>
              <w:w w:val="101"/>
              <w:sz w:val="20"/>
              <w:szCs w:val="20"/>
            </w:rPr>
            <w:t xml:space="preserve">  </w:t>
          </w:r>
          <w:r>
            <w:rPr>
              <w:spacing w:val="6"/>
              <w:sz w:val="20"/>
              <w:szCs w:val="20"/>
            </w:rPr>
            <w:t>电磁环境影响现状监测与评价</w:t>
          </w:r>
          <w:r>
            <w:rPr>
              <w:spacing w:val="-57"/>
              <w:sz w:val="20"/>
              <w:szCs w:val="20"/>
            </w:rPr>
            <w:t xml:space="preserve"> </w:t>
          </w:r>
          <w:r>
            <w:rPr>
              <w:sz w:val="20"/>
              <w:szCs w:val="20"/>
            </w:rPr>
            <w:tab/>
          </w:r>
          <w:r>
            <w:rPr>
              <w:spacing w:val="-42"/>
              <w:sz w:val="20"/>
              <w:szCs w:val="20"/>
            </w:rPr>
            <w:t xml:space="preserve"> </w:t>
          </w:r>
          <w:r>
            <w:rPr>
              <w:rFonts w:ascii="Times New Roman" w:hAnsi="Times New Roman" w:eastAsia="Times New Roman" w:cs="Times New Roman"/>
              <w:spacing w:val="-8"/>
              <w:sz w:val="20"/>
              <w:szCs w:val="20"/>
            </w:rPr>
            <w:t>15</w:t>
          </w:r>
        </w:p>
        <w:p w14:paraId="6892E4D6">
          <w:pPr>
            <w:pStyle w:val="2"/>
            <w:tabs>
              <w:tab w:val="right" w:leader="dot" w:pos="8319"/>
            </w:tabs>
            <w:spacing w:before="103" w:line="193" w:lineRule="auto"/>
            <w:ind w:left="43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2"/>
              <w:sz w:val="20"/>
              <w:szCs w:val="20"/>
            </w:rPr>
            <w:t>1</w:t>
          </w:r>
          <w:r>
            <w:rPr>
              <w:rFonts w:ascii="Times New Roman" w:hAnsi="Times New Roman" w:eastAsia="Times New Roman" w:cs="Times New Roman"/>
              <w:spacing w:val="6"/>
              <w:sz w:val="20"/>
              <w:szCs w:val="20"/>
            </w:rPr>
            <w:t xml:space="preserve">  </w:t>
          </w:r>
          <w:r>
            <w:rPr>
              <w:spacing w:val="2"/>
              <w:sz w:val="20"/>
              <w:szCs w:val="20"/>
            </w:rPr>
            <w:t>布点原则</w:t>
          </w:r>
          <w:r>
            <w:rPr>
              <w:spacing w:val="-56"/>
              <w:sz w:val="20"/>
              <w:szCs w:val="20"/>
            </w:rPr>
            <w:t xml:space="preserve"> </w:t>
          </w:r>
          <w:r>
            <w:rPr>
              <w:sz w:val="20"/>
              <w:szCs w:val="20"/>
            </w:rPr>
            <w:tab/>
          </w:r>
          <w:r>
            <w:rPr>
              <w:spacing w:val="-29"/>
              <w:sz w:val="20"/>
              <w:szCs w:val="20"/>
            </w:rPr>
            <w:t xml:space="preserve"> </w:t>
          </w:r>
          <w:r>
            <w:rPr>
              <w:rFonts w:ascii="Times New Roman" w:hAnsi="Times New Roman" w:eastAsia="Times New Roman" w:cs="Times New Roman"/>
              <w:spacing w:val="-8"/>
              <w:sz w:val="20"/>
              <w:szCs w:val="20"/>
            </w:rPr>
            <w:t>15</w:t>
          </w:r>
        </w:p>
        <w:p w14:paraId="6CACCB12">
          <w:pPr>
            <w:pStyle w:val="2"/>
            <w:tabs>
              <w:tab w:val="right" w:leader="dot" w:pos="8319"/>
            </w:tabs>
            <w:spacing w:before="103" w:line="193" w:lineRule="auto"/>
            <w:ind w:left="437"/>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 xml:space="preserve">4.2  </w:t>
          </w:r>
          <w:r>
            <w:rPr>
              <w:spacing w:val="7"/>
              <w:sz w:val="20"/>
              <w:szCs w:val="20"/>
            </w:rPr>
            <w:t>监测布点及合理性</w:t>
          </w:r>
          <w:r>
            <w:rPr>
              <w:spacing w:val="-57"/>
              <w:sz w:val="20"/>
              <w:szCs w:val="20"/>
            </w:rPr>
            <w:t xml:space="preserve"> </w:t>
          </w:r>
          <w:r>
            <w:rPr>
              <w:sz w:val="20"/>
              <w:szCs w:val="20"/>
            </w:rPr>
            <w:tab/>
          </w:r>
          <w:r>
            <w:rPr>
              <w:spacing w:val="-37"/>
              <w:sz w:val="20"/>
              <w:szCs w:val="20"/>
            </w:rPr>
            <w:t xml:space="preserve"> </w:t>
          </w:r>
          <w:r>
            <w:rPr>
              <w:rFonts w:ascii="Times New Roman" w:hAnsi="Times New Roman" w:eastAsia="Times New Roman" w:cs="Times New Roman"/>
              <w:spacing w:val="-8"/>
              <w:sz w:val="20"/>
              <w:szCs w:val="20"/>
            </w:rPr>
            <w:t>15</w:t>
          </w:r>
        </w:p>
        <w:p w14:paraId="6B11CC65">
          <w:pPr>
            <w:pStyle w:val="2"/>
            <w:tabs>
              <w:tab w:val="right" w:leader="dot" w:pos="8319"/>
            </w:tabs>
            <w:spacing w:before="103" w:line="193" w:lineRule="auto"/>
            <w:ind w:left="437"/>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 xml:space="preserve">4.3  </w:t>
          </w:r>
          <w:r>
            <w:rPr>
              <w:spacing w:val="7"/>
              <w:sz w:val="20"/>
              <w:szCs w:val="20"/>
            </w:rPr>
            <w:t>监测质量保证措施</w:t>
          </w:r>
          <w:r>
            <w:rPr>
              <w:spacing w:val="-57"/>
              <w:sz w:val="20"/>
              <w:szCs w:val="20"/>
            </w:rPr>
            <w:t xml:space="preserve"> </w:t>
          </w:r>
          <w:r>
            <w:rPr>
              <w:sz w:val="20"/>
              <w:szCs w:val="20"/>
            </w:rPr>
            <w:tab/>
          </w:r>
          <w:r>
            <w:rPr>
              <w:spacing w:val="-37"/>
              <w:sz w:val="20"/>
              <w:szCs w:val="20"/>
            </w:rPr>
            <w:t xml:space="preserve"> </w:t>
          </w:r>
          <w:r>
            <w:rPr>
              <w:rFonts w:ascii="Times New Roman" w:hAnsi="Times New Roman" w:eastAsia="Times New Roman" w:cs="Times New Roman"/>
              <w:spacing w:val="-8"/>
              <w:sz w:val="20"/>
              <w:szCs w:val="20"/>
            </w:rPr>
            <w:t>17</w:t>
          </w:r>
        </w:p>
        <w:p w14:paraId="6C73099F">
          <w:pPr>
            <w:pStyle w:val="2"/>
            <w:tabs>
              <w:tab w:val="right" w:leader="dot" w:pos="8319"/>
            </w:tabs>
            <w:spacing w:before="103" w:line="193" w:lineRule="auto"/>
            <w:ind w:left="437"/>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 xml:space="preserve">4.4  </w:t>
          </w:r>
          <w:r>
            <w:rPr>
              <w:spacing w:val="6"/>
              <w:sz w:val="20"/>
              <w:szCs w:val="20"/>
            </w:rPr>
            <w:t>监测环境条件</w:t>
          </w:r>
          <w:r>
            <w:rPr>
              <w:spacing w:val="-52"/>
              <w:sz w:val="20"/>
              <w:szCs w:val="20"/>
            </w:rPr>
            <w:t xml:space="preserve"> </w:t>
          </w:r>
          <w:r>
            <w:rPr>
              <w:sz w:val="20"/>
              <w:szCs w:val="20"/>
            </w:rPr>
            <w:tab/>
          </w:r>
          <w:r>
            <w:rPr>
              <w:spacing w:val="-33"/>
              <w:sz w:val="20"/>
              <w:szCs w:val="20"/>
            </w:rPr>
            <w:t xml:space="preserve"> </w:t>
          </w:r>
          <w:r>
            <w:rPr>
              <w:rFonts w:ascii="Times New Roman" w:hAnsi="Times New Roman" w:eastAsia="Times New Roman" w:cs="Times New Roman"/>
              <w:spacing w:val="-8"/>
              <w:sz w:val="20"/>
              <w:szCs w:val="20"/>
            </w:rPr>
            <w:t>17</w:t>
          </w:r>
        </w:p>
        <w:p w14:paraId="56D00835">
          <w:pPr>
            <w:pStyle w:val="2"/>
            <w:tabs>
              <w:tab w:val="right" w:leader="dot" w:pos="8319"/>
            </w:tabs>
            <w:spacing w:before="103" w:line="193" w:lineRule="auto"/>
            <w:ind w:left="43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4.5</w:t>
          </w:r>
          <w:r>
            <w:rPr>
              <w:rFonts w:ascii="Times New Roman" w:hAnsi="Times New Roman" w:eastAsia="Times New Roman" w:cs="Times New Roman"/>
              <w:spacing w:val="7"/>
              <w:sz w:val="20"/>
              <w:szCs w:val="20"/>
            </w:rPr>
            <w:t xml:space="preserve">  </w:t>
          </w:r>
          <w:r>
            <w:rPr>
              <w:spacing w:val="5"/>
              <w:sz w:val="20"/>
              <w:szCs w:val="20"/>
            </w:rPr>
            <w:t>监测仪器</w:t>
          </w:r>
          <w:r>
            <w:rPr>
              <w:spacing w:val="-55"/>
              <w:sz w:val="20"/>
              <w:szCs w:val="20"/>
            </w:rPr>
            <w:t xml:space="preserve"> </w:t>
          </w:r>
          <w:r>
            <w:rPr>
              <w:sz w:val="20"/>
              <w:szCs w:val="20"/>
            </w:rPr>
            <w:tab/>
          </w:r>
          <w:r>
            <w:rPr>
              <w:spacing w:val="-29"/>
              <w:sz w:val="20"/>
              <w:szCs w:val="20"/>
            </w:rPr>
            <w:t xml:space="preserve"> </w:t>
          </w:r>
          <w:r>
            <w:rPr>
              <w:rFonts w:ascii="Times New Roman" w:hAnsi="Times New Roman" w:eastAsia="Times New Roman" w:cs="Times New Roman"/>
              <w:spacing w:val="-8"/>
              <w:sz w:val="20"/>
              <w:szCs w:val="20"/>
            </w:rPr>
            <w:t>17</w:t>
          </w:r>
        </w:p>
        <w:p w14:paraId="6B23D0B9">
          <w:pPr>
            <w:pStyle w:val="2"/>
            <w:tabs>
              <w:tab w:val="right" w:leader="dot" w:pos="8319"/>
            </w:tabs>
            <w:spacing w:before="103" w:line="193" w:lineRule="auto"/>
            <w:ind w:left="43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4.6</w:t>
          </w:r>
          <w:r>
            <w:rPr>
              <w:rFonts w:ascii="Times New Roman" w:hAnsi="Times New Roman" w:eastAsia="Times New Roman" w:cs="Times New Roman"/>
              <w:spacing w:val="22"/>
              <w:w w:val="101"/>
              <w:sz w:val="20"/>
              <w:szCs w:val="20"/>
            </w:rPr>
            <w:t xml:space="preserve">  </w:t>
          </w:r>
          <w:r>
            <w:rPr>
              <w:spacing w:val="5"/>
              <w:sz w:val="20"/>
              <w:szCs w:val="20"/>
            </w:rPr>
            <w:t>电磁环境现状监测结果</w:t>
          </w:r>
          <w:r>
            <w:rPr>
              <w:spacing w:val="-56"/>
              <w:sz w:val="20"/>
              <w:szCs w:val="20"/>
            </w:rPr>
            <w:t xml:space="preserve"> </w:t>
          </w:r>
          <w:r>
            <w:rPr>
              <w:sz w:val="20"/>
              <w:szCs w:val="20"/>
            </w:rPr>
            <w:tab/>
          </w:r>
          <w:r>
            <w:rPr>
              <w:spacing w:val="-41"/>
              <w:sz w:val="20"/>
              <w:szCs w:val="20"/>
            </w:rPr>
            <w:t xml:space="preserve"> </w:t>
          </w:r>
          <w:r>
            <w:rPr>
              <w:rFonts w:ascii="Times New Roman" w:hAnsi="Times New Roman" w:eastAsia="Times New Roman" w:cs="Times New Roman"/>
              <w:spacing w:val="-8"/>
              <w:sz w:val="20"/>
              <w:szCs w:val="20"/>
            </w:rPr>
            <w:t>18</w:t>
          </w:r>
        </w:p>
        <w:p w14:paraId="11772741">
          <w:pPr>
            <w:pStyle w:val="2"/>
            <w:tabs>
              <w:tab w:val="right" w:leader="dot" w:pos="8319"/>
            </w:tabs>
            <w:spacing w:before="103" w:line="193" w:lineRule="auto"/>
            <w:ind w:left="24"/>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5</w:t>
          </w:r>
          <w:r>
            <w:rPr>
              <w:rFonts w:ascii="Times New Roman" w:hAnsi="Times New Roman" w:eastAsia="Times New Roman" w:cs="Times New Roman"/>
              <w:spacing w:val="23"/>
              <w:sz w:val="20"/>
              <w:szCs w:val="20"/>
            </w:rPr>
            <w:t xml:space="preserve">  </w:t>
          </w:r>
          <w:r>
            <w:rPr>
              <w:spacing w:val="5"/>
              <w:sz w:val="20"/>
              <w:szCs w:val="20"/>
            </w:rPr>
            <w:t>电磁环境影响预测与评价</w:t>
          </w:r>
          <w:r>
            <w:rPr>
              <w:spacing w:val="-56"/>
              <w:sz w:val="20"/>
              <w:szCs w:val="20"/>
            </w:rPr>
            <w:t xml:space="preserve"> </w:t>
          </w:r>
          <w:r>
            <w:rPr>
              <w:sz w:val="20"/>
              <w:szCs w:val="20"/>
            </w:rPr>
            <w:tab/>
          </w:r>
          <w:r>
            <w:rPr>
              <w:spacing w:val="-58"/>
              <w:sz w:val="20"/>
              <w:szCs w:val="20"/>
            </w:rPr>
            <w:t xml:space="preserve"> </w:t>
          </w:r>
          <w:r>
            <w:rPr>
              <w:rFonts w:ascii="Times New Roman" w:hAnsi="Times New Roman" w:eastAsia="Times New Roman" w:cs="Times New Roman"/>
              <w:spacing w:val="2"/>
              <w:sz w:val="20"/>
              <w:szCs w:val="20"/>
            </w:rPr>
            <w:t>20</w:t>
          </w:r>
        </w:p>
        <w:p w14:paraId="416C6428">
          <w:pPr>
            <w:pStyle w:val="2"/>
            <w:tabs>
              <w:tab w:val="right" w:leader="dot" w:pos="8319"/>
            </w:tabs>
            <w:spacing w:before="104" w:line="207" w:lineRule="auto"/>
            <w:ind w:left="444"/>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5.</w:t>
          </w:r>
          <w:r>
            <w:rPr>
              <w:rFonts w:ascii="Times New Roman" w:hAnsi="Times New Roman" w:eastAsia="Times New Roman" w:cs="Times New Roman"/>
              <w:spacing w:val="-12"/>
              <w:sz w:val="20"/>
              <w:szCs w:val="20"/>
            </w:rPr>
            <w:t xml:space="preserve"> </w:t>
          </w:r>
          <w:r>
            <w:rPr>
              <w:rFonts w:ascii="Times New Roman" w:hAnsi="Times New Roman" w:eastAsia="Times New Roman" w:cs="Times New Roman"/>
              <w:spacing w:val="5"/>
              <w:sz w:val="20"/>
              <w:szCs w:val="20"/>
            </w:rPr>
            <w:t>1</w:t>
          </w:r>
          <w:r>
            <w:rPr>
              <w:rFonts w:ascii="Times New Roman" w:hAnsi="Times New Roman" w:eastAsia="Times New Roman" w:cs="Times New Roman"/>
              <w:spacing w:val="26"/>
              <w:w w:val="101"/>
              <w:sz w:val="20"/>
              <w:szCs w:val="20"/>
            </w:rPr>
            <w:t xml:space="preserve"> </w:t>
          </w:r>
          <w:r>
            <w:rPr>
              <w:rFonts w:ascii="Times New Roman" w:hAnsi="Times New Roman" w:eastAsia="Times New Roman" w:cs="Times New Roman"/>
              <w:spacing w:val="5"/>
              <w:sz w:val="20"/>
              <w:szCs w:val="20"/>
            </w:rPr>
            <w:t>110</w:t>
          </w:r>
          <w:r>
            <w:rPr>
              <w:rFonts w:ascii="Times New Roman" w:hAnsi="Times New Roman" w:eastAsia="Times New Roman" w:cs="Times New Roman"/>
              <w:sz w:val="20"/>
              <w:szCs w:val="20"/>
            </w:rPr>
            <w:t>kV</w:t>
          </w:r>
          <w:r>
            <w:rPr>
              <w:rFonts w:ascii="Times New Roman" w:hAnsi="Times New Roman" w:eastAsia="Times New Roman" w:cs="Times New Roman"/>
              <w:spacing w:val="5"/>
              <w:sz w:val="20"/>
              <w:szCs w:val="20"/>
            </w:rPr>
            <w:t xml:space="preserve"> </w:t>
          </w:r>
          <w:r>
            <w:rPr>
              <w:spacing w:val="5"/>
              <w:sz w:val="20"/>
              <w:szCs w:val="20"/>
            </w:rPr>
            <w:t>松山变电站电磁环境影响预测分析</w:t>
          </w:r>
          <w:r>
            <w:rPr>
              <w:spacing w:val="-59"/>
              <w:sz w:val="20"/>
              <w:szCs w:val="20"/>
            </w:rPr>
            <w:t xml:space="preserve"> </w:t>
          </w:r>
          <w:r>
            <w:rPr>
              <w:sz w:val="20"/>
              <w:szCs w:val="20"/>
            </w:rPr>
            <w:tab/>
          </w:r>
          <w:r>
            <w:rPr>
              <w:spacing w:val="-62"/>
              <w:sz w:val="20"/>
              <w:szCs w:val="20"/>
            </w:rPr>
            <w:t xml:space="preserve"> </w:t>
          </w:r>
          <w:r>
            <w:rPr>
              <w:rFonts w:ascii="Times New Roman" w:hAnsi="Times New Roman" w:eastAsia="Times New Roman" w:cs="Times New Roman"/>
              <w:spacing w:val="2"/>
              <w:sz w:val="20"/>
              <w:szCs w:val="20"/>
            </w:rPr>
            <w:t>20</w:t>
          </w:r>
        </w:p>
        <w:p w14:paraId="6E825ADC">
          <w:pPr>
            <w:pStyle w:val="2"/>
            <w:tabs>
              <w:tab w:val="right" w:leader="dot" w:pos="8319"/>
            </w:tabs>
            <w:spacing w:before="171" w:line="207" w:lineRule="auto"/>
            <w:ind w:left="65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pacing w:val="2"/>
              <w:sz w:val="20"/>
              <w:szCs w:val="20"/>
            </w:rPr>
            <w:t>1.</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 xml:space="preserve">1  </w:t>
          </w:r>
          <w:r>
            <w:rPr>
              <w:spacing w:val="2"/>
              <w:sz w:val="20"/>
              <w:szCs w:val="20"/>
            </w:rPr>
            <w:t>预测与评价方法</w:t>
          </w:r>
          <w:r>
            <w:rPr>
              <w:spacing w:val="-56"/>
              <w:sz w:val="20"/>
              <w:szCs w:val="20"/>
            </w:rPr>
            <w:t xml:space="preserve"> </w:t>
          </w:r>
          <w:r>
            <w:rPr>
              <w:sz w:val="20"/>
              <w:szCs w:val="20"/>
            </w:rPr>
            <w:tab/>
          </w:r>
          <w:r>
            <w:rPr>
              <w:spacing w:val="-60"/>
              <w:sz w:val="20"/>
              <w:szCs w:val="20"/>
            </w:rPr>
            <w:t xml:space="preserve"> </w:t>
          </w:r>
          <w:r>
            <w:rPr>
              <w:rFonts w:ascii="Times New Roman" w:hAnsi="Times New Roman" w:eastAsia="Times New Roman" w:cs="Times New Roman"/>
              <w:spacing w:val="2"/>
              <w:sz w:val="20"/>
              <w:szCs w:val="20"/>
            </w:rPr>
            <w:t>20</w:t>
          </w:r>
        </w:p>
        <w:p w14:paraId="6C635970">
          <w:pPr>
            <w:pStyle w:val="2"/>
            <w:tabs>
              <w:tab w:val="right" w:leader="dot" w:pos="8319"/>
            </w:tabs>
            <w:spacing w:before="150" w:line="207" w:lineRule="auto"/>
            <w:ind w:left="65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5.</w:t>
          </w:r>
          <w:r>
            <w:rPr>
              <w:rFonts w:ascii="Times New Roman" w:hAnsi="Times New Roman" w:eastAsia="Times New Roman" w:cs="Times New Roman"/>
              <w:spacing w:val="-11"/>
              <w:sz w:val="20"/>
              <w:szCs w:val="20"/>
            </w:rPr>
            <w:t xml:space="preserve"> </w:t>
          </w:r>
          <w:r>
            <w:rPr>
              <w:rFonts w:ascii="Times New Roman" w:hAnsi="Times New Roman" w:eastAsia="Times New Roman" w:cs="Times New Roman"/>
              <w:spacing w:val="4"/>
              <w:sz w:val="20"/>
              <w:szCs w:val="20"/>
            </w:rPr>
            <w:t xml:space="preserve">1.2  </w:t>
          </w:r>
          <w:r>
            <w:rPr>
              <w:spacing w:val="4"/>
              <w:sz w:val="20"/>
              <w:szCs w:val="20"/>
            </w:rPr>
            <w:t>类比对象选择的原则</w:t>
          </w:r>
          <w:r>
            <w:rPr>
              <w:spacing w:val="-56"/>
              <w:sz w:val="20"/>
              <w:szCs w:val="20"/>
            </w:rPr>
            <w:t xml:space="preserve"> </w:t>
          </w:r>
          <w:r>
            <w:rPr>
              <w:sz w:val="20"/>
              <w:szCs w:val="20"/>
            </w:rPr>
            <w:tab/>
          </w:r>
          <w:r>
            <w:rPr>
              <w:spacing w:val="-64"/>
              <w:sz w:val="20"/>
              <w:szCs w:val="20"/>
            </w:rPr>
            <w:t xml:space="preserve"> </w:t>
          </w:r>
          <w:r>
            <w:rPr>
              <w:rFonts w:ascii="Times New Roman" w:hAnsi="Times New Roman" w:eastAsia="Times New Roman" w:cs="Times New Roman"/>
              <w:spacing w:val="2"/>
              <w:sz w:val="20"/>
              <w:szCs w:val="20"/>
            </w:rPr>
            <w:t>20</w:t>
          </w:r>
        </w:p>
        <w:p w14:paraId="3FBBCBC6">
          <w:pPr>
            <w:pStyle w:val="2"/>
            <w:tabs>
              <w:tab w:val="right" w:leader="dot" w:pos="8319"/>
            </w:tabs>
            <w:spacing w:before="153" w:line="207" w:lineRule="auto"/>
            <w:ind w:left="65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w:t>
          </w:r>
          <w:r>
            <w:rPr>
              <w:rFonts w:ascii="Times New Roman" w:hAnsi="Times New Roman" w:eastAsia="Times New Roman" w:cs="Times New Roman"/>
              <w:spacing w:val="-20"/>
              <w:sz w:val="20"/>
              <w:szCs w:val="20"/>
            </w:rPr>
            <w:t xml:space="preserve"> </w:t>
          </w:r>
          <w:r>
            <w:rPr>
              <w:rFonts w:ascii="Times New Roman" w:hAnsi="Times New Roman" w:eastAsia="Times New Roman" w:cs="Times New Roman"/>
              <w:spacing w:val="2"/>
              <w:sz w:val="20"/>
              <w:szCs w:val="20"/>
            </w:rPr>
            <w:t xml:space="preserve">1.3  </w:t>
          </w:r>
          <w:r>
            <w:rPr>
              <w:spacing w:val="2"/>
              <w:sz w:val="20"/>
              <w:szCs w:val="20"/>
            </w:rPr>
            <w:t>类比对象</w:t>
          </w:r>
          <w:r>
            <w:rPr>
              <w:spacing w:val="-57"/>
              <w:sz w:val="20"/>
              <w:szCs w:val="20"/>
            </w:rPr>
            <w:t xml:space="preserve"> </w:t>
          </w:r>
          <w:r>
            <w:rPr>
              <w:sz w:val="20"/>
              <w:szCs w:val="20"/>
            </w:rPr>
            <w:tab/>
          </w:r>
          <w:r>
            <w:rPr>
              <w:spacing w:val="-53"/>
              <w:sz w:val="20"/>
              <w:szCs w:val="20"/>
            </w:rPr>
            <w:t xml:space="preserve"> </w:t>
          </w:r>
          <w:r>
            <w:rPr>
              <w:rFonts w:ascii="Times New Roman" w:hAnsi="Times New Roman" w:eastAsia="Times New Roman" w:cs="Times New Roman"/>
              <w:spacing w:val="2"/>
              <w:sz w:val="20"/>
              <w:szCs w:val="20"/>
            </w:rPr>
            <w:t>20</w:t>
          </w:r>
        </w:p>
        <w:p w14:paraId="045CD8E6">
          <w:pPr>
            <w:pStyle w:val="2"/>
            <w:tabs>
              <w:tab w:val="right" w:leader="dot" w:pos="8319"/>
            </w:tabs>
            <w:spacing w:before="153" w:line="207" w:lineRule="auto"/>
            <w:ind w:left="652"/>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5.</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pacing w:val="5"/>
              <w:sz w:val="20"/>
              <w:szCs w:val="20"/>
            </w:rPr>
            <w:t xml:space="preserve">1.4  </w:t>
          </w:r>
          <w:r>
            <w:rPr>
              <w:spacing w:val="5"/>
              <w:sz w:val="20"/>
              <w:szCs w:val="20"/>
            </w:rPr>
            <w:t>类比对象的可行性分析</w:t>
          </w:r>
          <w:r>
            <w:rPr>
              <w:spacing w:val="-57"/>
              <w:sz w:val="20"/>
              <w:szCs w:val="20"/>
            </w:rPr>
            <w:t xml:space="preserve"> </w:t>
          </w:r>
          <w:r>
            <w:rPr>
              <w:sz w:val="20"/>
              <w:szCs w:val="20"/>
            </w:rPr>
            <w:tab/>
          </w:r>
          <w:r>
            <w:rPr>
              <w:spacing w:val="-65"/>
              <w:sz w:val="20"/>
              <w:szCs w:val="20"/>
            </w:rPr>
            <w:t xml:space="preserve"> </w:t>
          </w:r>
          <w:r>
            <w:rPr>
              <w:rFonts w:ascii="Times New Roman" w:hAnsi="Times New Roman" w:eastAsia="Times New Roman" w:cs="Times New Roman"/>
              <w:spacing w:val="2"/>
              <w:sz w:val="20"/>
              <w:szCs w:val="20"/>
            </w:rPr>
            <w:t>21</w:t>
          </w:r>
        </w:p>
        <w:p w14:paraId="388D270F">
          <w:pPr>
            <w:pStyle w:val="2"/>
            <w:tabs>
              <w:tab w:val="right" w:leader="dot" w:pos="8319"/>
            </w:tabs>
            <w:spacing w:before="149" w:line="228" w:lineRule="auto"/>
            <w:ind w:left="65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5.</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pacing w:val="4"/>
              <w:sz w:val="20"/>
              <w:szCs w:val="20"/>
            </w:rPr>
            <w:t xml:space="preserve">1.5  </w:t>
          </w:r>
          <w:r>
            <w:rPr>
              <w:spacing w:val="4"/>
              <w:sz w:val="20"/>
              <w:szCs w:val="20"/>
            </w:rPr>
            <w:t>类比监测与分析</w:t>
          </w:r>
          <w:r>
            <w:rPr>
              <w:spacing w:val="-56"/>
              <w:sz w:val="20"/>
              <w:szCs w:val="20"/>
            </w:rPr>
            <w:t xml:space="preserve"> </w:t>
          </w:r>
          <w:r>
            <w:rPr>
              <w:sz w:val="20"/>
              <w:szCs w:val="20"/>
            </w:rPr>
            <w:tab/>
          </w:r>
          <w:r>
            <w:rPr>
              <w:spacing w:val="-60"/>
              <w:sz w:val="20"/>
              <w:szCs w:val="20"/>
            </w:rPr>
            <w:t xml:space="preserve"> </w:t>
          </w:r>
          <w:r>
            <w:rPr>
              <w:rFonts w:ascii="Times New Roman" w:hAnsi="Times New Roman" w:eastAsia="Times New Roman" w:cs="Times New Roman"/>
              <w:spacing w:val="2"/>
              <w:sz w:val="20"/>
              <w:szCs w:val="20"/>
            </w:rPr>
            <w:t>21</w:t>
          </w:r>
        </w:p>
        <w:p w14:paraId="12DFA3F2">
          <w:pPr>
            <w:pStyle w:val="2"/>
            <w:tabs>
              <w:tab w:val="right" w:leader="dot" w:pos="8182"/>
            </w:tabs>
            <w:spacing w:before="130" w:line="227" w:lineRule="auto"/>
            <w:ind w:left="652"/>
            <w:rPr>
              <w:sz w:val="20"/>
              <w:szCs w:val="20"/>
            </w:rPr>
          </w:pPr>
          <w:r>
            <w:rPr>
              <w:rFonts w:ascii="Times New Roman" w:hAnsi="Times New Roman" w:eastAsia="Times New Roman" w:cs="Times New Roman"/>
              <w:spacing w:val="6"/>
              <w:sz w:val="20"/>
              <w:szCs w:val="20"/>
            </w:rPr>
            <w:t>5.</w:t>
          </w:r>
          <w:r>
            <w:rPr>
              <w:rFonts w:ascii="Times New Roman" w:hAnsi="Times New Roman" w:eastAsia="Times New Roman" w:cs="Times New Roman"/>
              <w:spacing w:val="-16"/>
              <w:sz w:val="20"/>
              <w:szCs w:val="20"/>
            </w:rPr>
            <w:t xml:space="preserve"> </w:t>
          </w:r>
          <w:r>
            <w:rPr>
              <w:rFonts w:ascii="Times New Roman" w:hAnsi="Times New Roman" w:eastAsia="Times New Roman" w:cs="Times New Roman"/>
              <w:spacing w:val="6"/>
              <w:sz w:val="20"/>
              <w:szCs w:val="20"/>
            </w:rPr>
            <w:t xml:space="preserve">1.6  </w:t>
          </w:r>
          <w:r>
            <w:rPr>
              <w:spacing w:val="6"/>
              <w:sz w:val="20"/>
              <w:szCs w:val="20"/>
            </w:rPr>
            <w:t>对环境保护目标的电磁环境影响分析</w:t>
          </w:r>
          <w:r>
            <w:rPr>
              <w:spacing w:val="-57"/>
              <w:sz w:val="20"/>
              <w:szCs w:val="20"/>
            </w:rPr>
            <w:t xml:space="preserve"> </w:t>
          </w:r>
          <w:r>
            <w:rPr>
              <w:sz w:val="20"/>
              <w:szCs w:val="20"/>
            </w:rPr>
            <w:tab/>
          </w:r>
          <w:r>
            <w:rPr>
              <w:spacing w:val="-39"/>
              <w:sz w:val="20"/>
              <w:szCs w:val="20"/>
            </w:rPr>
            <w:t xml:space="preserve"> </w:t>
          </w:r>
          <w:r>
            <w:rPr>
              <w:b/>
              <w:bCs/>
              <w:sz w:val="20"/>
              <w:szCs w:val="20"/>
            </w:rPr>
            <w:t>错误</w:t>
          </w:r>
          <w:r>
            <w:rPr>
              <w:spacing w:val="-49"/>
              <w:sz w:val="20"/>
              <w:szCs w:val="20"/>
            </w:rPr>
            <w:t xml:space="preserve"> </w:t>
          </w:r>
          <w:r>
            <w:rPr>
              <w:b/>
              <w:bCs/>
              <w:sz w:val="20"/>
              <w:szCs w:val="20"/>
            </w:rPr>
            <w:t>！未定义书签。</w:t>
          </w:r>
        </w:p>
        <w:p w14:paraId="05A1C006">
          <w:pPr>
            <w:pStyle w:val="2"/>
            <w:tabs>
              <w:tab w:val="right" w:leader="dot" w:pos="8319"/>
            </w:tabs>
            <w:spacing w:before="62" w:line="207" w:lineRule="auto"/>
            <w:ind w:left="444"/>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 xml:space="preserve">5.2  </w:t>
          </w:r>
          <w:r>
            <w:rPr>
              <w:spacing w:val="7"/>
              <w:sz w:val="20"/>
              <w:szCs w:val="20"/>
            </w:rPr>
            <w:t>架空输电线路电磁环境影响预测分析</w:t>
          </w:r>
          <w:r>
            <w:rPr>
              <w:spacing w:val="-40"/>
              <w:sz w:val="20"/>
              <w:szCs w:val="20"/>
            </w:rPr>
            <w:t xml:space="preserve"> </w:t>
          </w:r>
          <w:r>
            <w:rPr>
              <w:sz w:val="20"/>
              <w:szCs w:val="20"/>
            </w:rPr>
            <w:tab/>
          </w:r>
          <w:r>
            <w:rPr>
              <w:spacing w:val="-73"/>
              <w:sz w:val="20"/>
              <w:szCs w:val="20"/>
            </w:rPr>
            <w:t xml:space="preserve"> </w:t>
          </w:r>
          <w:r>
            <w:rPr>
              <w:rFonts w:ascii="Times New Roman" w:hAnsi="Times New Roman" w:eastAsia="Times New Roman" w:cs="Times New Roman"/>
              <w:spacing w:val="2"/>
              <w:sz w:val="20"/>
              <w:szCs w:val="20"/>
            </w:rPr>
            <w:t>25</w:t>
          </w:r>
        </w:p>
        <w:p w14:paraId="1A29DAFE">
          <w:pPr>
            <w:pStyle w:val="2"/>
            <w:tabs>
              <w:tab w:val="right" w:leader="dot" w:pos="8319"/>
            </w:tabs>
            <w:spacing w:before="172" w:line="207" w:lineRule="auto"/>
            <w:ind w:left="65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5.2.</w:t>
          </w:r>
          <w:r>
            <w:rPr>
              <w:rFonts w:ascii="Times New Roman" w:hAnsi="Times New Roman" w:eastAsia="Times New Roman" w:cs="Times New Roman"/>
              <w:spacing w:val="-8"/>
              <w:sz w:val="20"/>
              <w:szCs w:val="20"/>
            </w:rPr>
            <w:t xml:space="preserve"> </w:t>
          </w:r>
          <w:r>
            <w:rPr>
              <w:rFonts w:ascii="Times New Roman" w:hAnsi="Times New Roman" w:eastAsia="Times New Roman" w:cs="Times New Roman"/>
              <w:spacing w:val="6"/>
              <w:sz w:val="20"/>
              <w:szCs w:val="20"/>
            </w:rPr>
            <w:t xml:space="preserve">1  </w:t>
          </w:r>
          <w:r>
            <w:rPr>
              <w:spacing w:val="6"/>
              <w:sz w:val="20"/>
              <w:szCs w:val="20"/>
            </w:rPr>
            <w:t>新建架空输电线路电磁环境影响理论预测</w:t>
          </w:r>
          <w:r>
            <w:rPr>
              <w:spacing w:val="-57"/>
              <w:sz w:val="20"/>
              <w:szCs w:val="20"/>
            </w:rPr>
            <w:t xml:space="preserve"> </w:t>
          </w:r>
          <w:r>
            <w:rPr>
              <w:sz w:val="20"/>
              <w:szCs w:val="20"/>
            </w:rPr>
            <w:tab/>
          </w:r>
          <w:r>
            <w:rPr>
              <w:rFonts w:ascii="Times New Roman" w:hAnsi="Times New Roman" w:eastAsia="Times New Roman" w:cs="Times New Roman"/>
              <w:spacing w:val="12"/>
              <w:sz w:val="20"/>
              <w:szCs w:val="20"/>
            </w:rPr>
            <w:t>25</w:t>
          </w:r>
        </w:p>
        <w:p w14:paraId="5AF33159">
          <w:pPr>
            <w:pStyle w:val="2"/>
            <w:tabs>
              <w:tab w:val="right" w:leader="dot" w:pos="8320"/>
            </w:tabs>
            <w:spacing w:before="100" w:line="184" w:lineRule="auto"/>
            <w:ind w:left="65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5.2.1.</w:t>
          </w:r>
          <w:r>
            <w:rPr>
              <w:rFonts w:ascii="Times New Roman" w:hAnsi="Times New Roman" w:eastAsia="Times New Roman" w:cs="Times New Roman"/>
              <w:spacing w:val="-9"/>
              <w:sz w:val="18"/>
              <w:szCs w:val="18"/>
            </w:rPr>
            <w:t xml:space="preserve"> </w:t>
          </w:r>
          <w:r>
            <w:rPr>
              <w:rFonts w:ascii="Times New Roman" w:hAnsi="Times New Roman" w:eastAsia="Times New Roman" w:cs="Times New Roman"/>
              <w:spacing w:val="-2"/>
              <w:sz w:val="18"/>
              <w:szCs w:val="18"/>
            </w:rPr>
            <w:t xml:space="preserve">1  </w:t>
          </w:r>
          <w:r>
            <w:rPr>
              <w:spacing w:val="-2"/>
              <w:sz w:val="18"/>
              <w:szCs w:val="18"/>
            </w:rPr>
            <w:t>架空输电线路工频电场预测模型</w:t>
          </w:r>
          <w:r>
            <w:rPr>
              <w:spacing w:val="-55"/>
              <w:sz w:val="18"/>
              <w:szCs w:val="18"/>
            </w:rPr>
            <w:t xml:space="preserve"> </w:t>
          </w:r>
          <w:r>
            <w:rPr>
              <w:sz w:val="18"/>
              <w:szCs w:val="18"/>
            </w:rPr>
            <w:tab/>
          </w:r>
          <w:r>
            <w:rPr>
              <w:rFonts w:ascii="Times New Roman" w:hAnsi="Times New Roman" w:eastAsia="Times New Roman" w:cs="Times New Roman"/>
              <w:spacing w:val="3"/>
              <w:sz w:val="18"/>
              <w:szCs w:val="18"/>
            </w:rPr>
            <w:t>25</w:t>
          </w:r>
        </w:p>
        <w:p w14:paraId="391D77B8">
          <w:pPr>
            <w:pStyle w:val="2"/>
            <w:tabs>
              <w:tab w:val="right" w:leader="dot" w:pos="8320"/>
            </w:tabs>
            <w:spacing w:before="133" w:line="219" w:lineRule="auto"/>
            <w:ind w:left="65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 xml:space="preserve">5.2.1.2  </w:t>
          </w:r>
          <w:r>
            <w:rPr>
              <w:spacing w:val="-1"/>
              <w:sz w:val="18"/>
              <w:szCs w:val="18"/>
            </w:rPr>
            <w:t>架空输电线路工频电场预测参数</w:t>
          </w:r>
          <w:r>
            <w:rPr>
              <w:spacing w:val="-42"/>
              <w:sz w:val="18"/>
              <w:szCs w:val="18"/>
            </w:rPr>
            <w:t xml:space="preserve"> </w:t>
          </w:r>
          <w:r>
            <w:rPr>
              <w:sz w:val="18"/>
              <w:szCs w:val="18"/>
            </w:rPr>
            <w:tab/>
          </w:r>
          <w:r>
            <w:rPr>
              <w:rFonts w:ascii="Times New Roman" w:hAnsi="Times New Roman" w:eastAsia="Times New Roman" w:cs="Times New Roman"/>
              <w:spacing w:val="3"/>
              <w:sz w:val="18"/>
              <w:szCs w:val="18"/>
            </w:rPr>
            <w:t>28</w:t>
          </w:r>
        </w:p>
      </w:sdtContent>
    </w:sdt>
    <w:p w14:paraId="7DFAE683">
      <w:pPr>
        <w:spacing w:line="219" w:lineRule="auto"/>
        <w:rPr>
          <w:rFonts w:ascii="Times New Roman" w:hAnsi="Times New Roman" w:eastAsia="Times New Roman" w:cs="Times New Roman"/>
          <w:sz w:val="18"/>
          <w:szCs w:val="18"/>
        </w:rPr>
        <w:sectPr>
          <w:footerReference r:id="rId153" w:type="default"/>
          <w:pgSz w:w="11906" w:h="16839"/>
          <w:pgMar w:top="400" w:right="1785" w:bottom="1159" w:left="1785" w:header="0" w:footer="994" w:gutter="0"/>
          <w:cols w:space="720" w:num="1"/>
        </w:sectPr>
      </w:pPr>
    </w:p>
    <w:p w14:paraId="0341CF50">
      <w:pPr>
        <w:spacing w:line="271" w:lineRule="auto"/>
        <w:rPr>
          <w:rFonts w:ascii="Arial"/>
          <w:sz w:val="21"/>
        </w:rPr>
      </w:pPr>
    </w:p>
    <w:p w14:paraId="3C15B7E5">
      <w:pPr>
        <w:spacing w:line="271" w:lineRule="auto"/>
        <w:rPr>
          <w:rFonts w:ascii="Arial"/>
          <w:sz w:val="21"/>
        </w:rPr>
      </w:pPr>
    </w:p>
    <w:p w14:paraId="64D5A583">
      <w:pPr>
        <w:spacing w:line="272" w:lineRule="auto"/>
        <w:rPr>
          <w:rFonts w:ascii="Arial"/>
          <w:sz w:val="21"/>
        </w:rPr>
      </w:pPr>
    </w:p>
    <w:p w14:paraId="6F362226">
      <w:pPr>
        <w:spacing w:line="272" w:lineRule="auto"/>
        <w:rPr>
          <w:rFonts w:ascii="Arial"/>
          <w:sz w:val="21"/>
        </w:rPr>
      </w:pPr>
    </w:p>
    <w:sdt>
      <w:sdtPr>
        <w:rPr>
          <w:rFonts w:ascii="Times New Roman" w:hAnsi="Times New Roman" w:eastAsia="Times New Roman" w:cs="Times New Roman"/>
          <w:sz w:val="20"/>
          <w:szCs w:val="20"/>
        </w:rPr>
        <w:id w:val="147454517"/>
        <w:docPartObj>
          <w:docPartGallery w:val="Table of Contents"/>
          <w:docPartUnique/>
        </w:docPartObj>
      </w:sdtPr>
      <w:sdtEndPr>
        <w:rPr>
          <w:rFonts w:ascii="Times New Roman" w:hAnsi="Times New Roman" w:eastAsia="Times New Roman" w:cs="Times New Roman"/>
          <w:sz w:val="20"/>
          <w:szCs w:val="20"/>
        </w:rPr>
      </w:sdtEndPr>
      <w:sdtContent>
        <w:p w14:paraId="4914D48F">
          <w:pPr>
            <w:pStyle w:val="2"/>
            <w:tabs>
              <w:tab w:val="right" w:leader="dot" w:pos="8319"/>
            </w:tabs>
            <w:spacing w:before="65" w:line="208" w:lineRule="auto"/>
            <w:ind w:left="65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 xml:space="preserve">5.2.2  </w:t>
          </w:r>
          <w:r>
            <w:rPr>
              <w:spacing w:val="6"/>
              <w:sz w:val="20"/>
              <w:szCs w:val="20"/>
            </w:rPr>
            <w:t>预测结果及分析</w:t>
          </w:r>
          <w:r>
            <w:rPr>
              <w:spacing w:val="-57"/>
              <w:sz w:val="20"/>
              <w:szCs w:val="20"/>
            </w:rPr>
            <w:t xml:space="preserve"> </w:t>
          </w:r>
          <w:r>
            <w:rPr>
              <w:sz w:val="20"/>
              <w:szCs w:val="20"/>
            </w:rPr>
            <w:tab/>
          </w:r>
          <w:r>
            <w:rPr>
              <w:spacing w:val="-56"/>
              <w:sz w:val="20"/>
              <w:szCs w:val="20"/>
            </w:rPr>
            <w:t xml:space="preserve"> </w:t>
          </w:r>
          <w:r>
            <w:rPr>
              <w:rFonts w:ascii="Times New Roman" w:hAnsi="Times New Roman" w:eastAsia="Times New Roman" w:cs="Times New Roman"/>
              <w:sz w:val="20"/>
              <w:szCs w:val="20"/>
            </w:rPr>
            <w:t>32</w:t>
          </w:r>
        </w:p>
        <w:p w14:paraId="7BC04305">
          <w:pPr>
            <w:pStyle w:val="2"/>
            <w:tabs>
              <w:tab w:val="right" w:leader="dot" w:pos="8319"/>
            </w:tabs>
            <w:spacing w:before="152" w:line="207" w:lineRule="auto"/>
            <w:ind w:left="652"/>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5.2.2.</w:t>
          </w:r>
          <w:r>
            <w:rPr>
              <w:rFonts w:ascii="Times New Roman" w:hAnsi="Times New Roman" w:eastAsia="Times New Roman" w:cs="Times New Roman"/>
              <w:spacing w:val="-19"/>
              <w:sz w:val="20"/>
              <w:szCs w:val="20"/>
            </w:rPr>
            <w:t xml:space="preserve"> </w:t>
          </w:r>
          <w:r>
            <w:rPr>
              <w:rFonts w:ascii="Times New Roman" w:hAnsi="Times New Roman" w:eastAsia="Times New Roman" w:cs="Times New Roman"/>
              <w:spacing w:val="5"/>
              <w:sz w:val="20"/>
              <w:szCs w:val="20"/>
            </w:rPr>
            <w:t xml:space="preserve">1  </w:t>
          </w:r>
          <w:r>
            <w:rPr>
              <w:spacing w:val="5"/>
              <w:sz w:val="20"/>
              <w:szCs w:val="20"/>
            </w:rPr>
            <w:t>单回线路预测结果及分析</w:t>
          </w:r>
          <w:r>
            <w:rPr>
              <w:spacing w:val="-58"/>
              <w:sz w:val="20"/>
              <w:szCs w:val="20"/>
            </w:rPr>
            <w:t xml:space="preserve"> </w:t>
          </w:r>
          <w:r>
            <w:rPr>
              <w:sz w:val="20"/>
              <w:szCs w:val="20"/>
            </w:rPr>
            <w:tab/>
          </w:r>
          <w:r>
            <w:rPr>
              <w:spacing w:val="-64"/>
              <w:sz w:val="20"/>
              <w:szCs w:val="20"/>
            </w:rPr>
            <w:t xml:space="preserve"> </w:t>
          </w:r>
          <w:r>
            <w:rPr>
              <w:rFonts w:ascii="Times New Roman" w:hAnsi="Times New Roman" w:eastAsia="Times New Roman" w:cs="Times New Roman"/>
              <w:sz w:val="20"/>
              <w:szCs w:val="20"/>
            </w:rPr>
            <w:t>32</w:t>
          </w:r>
        </w:p>
        <w:p w14:paraId="1F40B8EB">
          <w:pPr>
            <w:pStyle w:val="2"/>
            <w:tabs>
              <w:tab w:val="right" w:leader="dot" w:pos="8319"/>
            </w:tabs>
            <w:spacing w:before="150" w:line="207" w:lineRule="auto"/>
            <w:ind w:left="652"/>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 xml:space="preserve">5.2.2.2  </w:t>
          </w:r>
          <w:r>
            <w:rPr>
              <w:spacing w:val="6"/>
              <w:sz w:val="20"/>
              <w:szCs w:val="20"/>
            </w:rPr>
            <w:t>双回线路预测结果及分析</w:t>
          </w:r>
          <w:r>
            <w:rPr>
              <w:spacing w:val="-47"/>
              <w:sz w:val="20"/>
              <w:szCs w:val="20"/>
            </w:rPr>
            <w:t xml:space="preserve"> </w:t>
          </w:r>
          <w:r>
            <w:rPr>
              <w:sz w:val="20"/>
              <w:szCs w:val="20"/>
            </w:rPr>
            <w:tab/>
          </w:r>
          <w:r>
            <w:rPr>
              <w:spacing w:val="-64"/>
              <w:sz w:val="20"/>
              <w:szCs w:val="20"/>
            </w:rPr>
            <w:t xml:space="preserve"> </w:t>
          </w:r>
          <w:r>
            <w:rPr>
              <w:rFonts w:ascii="Times New Roman" w:hAnsi="Times New Roman" w:eastAsia="Times New Roman" w:cs="Times New Roman"/>
              <w:sz w:val="20"/>
              <w:szCs w:val="20"/>
            </w:rPr>
            <w:t>39</w:t>
          </w:r>
        </w:p>
        <w:p w14:paraId="0A201C63">
          <w:pPr>
            <w:pStyle w:val="2"/>
            <w:tabs>
              <w:tab w:val="right" w:leader="dot" w:pos="8319"/>
            </w:tabs>
            <w:spacing w:before="152" w:line="207" w:lineRule="auto"/>
            <w:ind w:left="652"/>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 xml:space="preserve">5.2.2.3  </w:t>
          </w:r>
          <w:r>
            <w:rPr>
              <w:spacing w:val="5"/>
              <w:sz w:val="20"/>
              <w:szCs w:val="20"/>
            </w:rPr>
            <w:t>预测结果小结</w:t>
          </w:r>
          <w:r>
            <w:rPr>
              <w:spacing w:val="-54"/>
              <w:sz w:val="20"/>
              <w:szCs w:val="20"/>
            </w:rPr>
            <w:t xml:space="preserve"> </w:t>
          </w:r>
          <w:r>
            <w:rPr>
              <w:sz w:val="20"/>
              <w:szCs w:val="20"/>
            </w:rPr>
            <w:tab/>
          </w:r>
          <w:r>
            <w:rPr>
              <w:spacing w:val="-59"/>
              <w:sz w:val="20"/>
              <w:szCs w:val="20"/>
            </w:rPr>
            <w:t xml:space="preserve"> </w:t>
          </w:r>
          <w:r>
            <w:rPr>
              <w:rFonts w:ascii="Times New Roman" w:hAnsi="Times New Roman" w:eastAsia="Times New Roman" w:cs="Times New Roman"/>
              <w:spacing w:val="3"/>
              <w:sz w:val="20"/>
              <w:szCs w:val="20"/>
            </w:rPr>
            <w:t>46</w:t>
          </w:r>
        </w:p>
        <w:p w14:paraId="68E375D0">
          <w:pPr>
            <w:pStyle w:val="2"/>
            <w:tabs>
              <w:tab w:val="right" w:leader="dot" w:pos="8319"/>
            </w:tabs>
            <w:spacing w:before="82" w:line="193" w:lineRule="auto"/>
            <w:ind w:left="444"/>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5.3</w:t>
          </w:r>
          <w:r>
            <w:rPr>
              <w:rFonts w:ascii="Times New Roman" w:hAnsi="Times New Roman" w:eastAsia="Times New Roman" w:cs="Times New Roman"/>
              <w:spacing w:val="44"/>
              <w:w w:val="101"/>
              <w:sz w:val="20"/>
              <w:szCs w:val="20"/>
            </w:rPr>
            <w:t xml:space="preserve"> </w:t>
          </w:r>
          <w:r>
            <w:rPr>
              <w:rFonts w:ascii="Times New Roman" w:hAnsi="Times New Roman" w:eastAsia="Times New Roman" w:cs="Times New Roman"/>
              <w:spacing w:val="7"/>
              <w:sz w:val="20"/>
              <w:szCs w:val="20"/>
            </w:rPr>
            <w:t>110</w:t>
          </w:r>
          <w:r>
            <w:rPr>
              <w:rFonts w:ascii="Times New Roman" w:hAnsi="Times New Roman" w:eastAsia="Times New Roman" w:cs="Times New Roman"/>
              <w:sz w:val="20"/>
              <w:szCs w:val="20"/>
            </w:rPr>
            <w:t>kV</w:t>
          </w:r>
          <w:r>
            <w:rPr>
              <w:rFonts w:ascii="Times New Roman" w:hAnsi="Times New Roman" w:eastAsia="Times New Roman" w:cs="Times New Roman"/>
              <w:spacing w:val="7"/>
              <w:sz w:val="20"/>
              <w:szCs w:val="20"/>
            </w:rPr>
            <w:t xml:space="preserve"> </w:t>
          </w:r>
          <w:r>
            <w:rPr>
              <w:spacing w:val="7"/>
              <w:sz w:val="20"/>
              <w:szCs w:val="20"/>
            </w:rPr>
            <w:t>线路沿线电磁环境保护目标电磁环境影响预测与评价</w:t>
          </w:r>
          <w:r>
            <w:rPr>
              <w:spacing w:val="-59"/>
              <w:sz w:val="20"/>
              <w:szCs w:val="20"/>
            </w:rPr>
            <w:t xml:space="preserve"> </w:t>
          </w:r>
          <w:r>
            <w:rPr>
              <w:sz w:val="20"/>
              <w:szCs w:val="20"/>
            </w:rPr>
            <w:tab/>
          </w:r>
          <w:r>
            <w:rPr>
              <w:rFonts w:ascii="Times New Roman" w:hAnsi="Times New Roman" w:eastAsia="Times New Roman" w:cs="Times New Roman"/>
              <w:spacing w:val="13"/>
              <w:sz w:val="20"/>
              <w:szCs w:val="20"/>
            </w:rPr>
            <w:t>47</w:t>
          </w:r>
        </w:p>
        <w:p w14:paraId="70CAD78F">
          <w:pPr>
            <w:pStyle w:val="2"/>
            <w:tabs>
              <w:tab w:val="right" w:leader="dot" w:pos="8319"/>
            </w:tabs>
            <w:spacing w:before="103" w:line="193" w:lineRule="auto"/>
            <w:ind w:left="44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 xml:space="preserve">5.4  </w:t>
          </w:r>
          <w:r>
            <w:rPr>
              <w:spacing w:val="8"/>
              <w:sz w:val="20"/>
              <w:szCs w:val="20"/>
            </w:rPr>
            <w:t>输电线路和其他工程交叉时的电磁环境影响分析</w:t>
          </w:r>
          <w:r>
            <w:rPr>
              <w:spacing w:val="-52"/>
              <w:sz w:val="20"/>
              <w:szCs w:val="20"/>
            </w:rPr>
            <w:t xml:space="preserve"> </w:t>
          </w:r>
          <w:r>
            <w:rPr>
              <w:sz w:val="20"/>
              <w:szCs w:val="20"/>
            </w:rPr>
            <w:tab/>
          </w:r>
          <w:r>
            <w:rPr>
              <w:rFonts w:ascii="Times New Roman" w:hAnsi="Times New Roman" w:eastAsia="Times New Roman" w:cs="Times New Roman"/>
              <w:spacing w:val="11"/>
              <w:sz w:val="20"/>
              <w:szCs w:val="20"/>
            </w:rPr>
            <w:t>49</w:t>
          </w:r>
        </w:p>
        <w:p w14:paraId="0FA57673">
          <w:pPr>
            <w:pStyle w:val="2"/>
            <w:tabs>
              <w:tab w:val="right" w:leader="dot" w:pos="8319"/>
            </w:tabs>
            <w:spacing w:before="103" w:line="193" w:lineRule="auto"/>
            <w:ind w:left="444"/>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 xml:space="preserve">5.5  </w:t>
          </w:r>
          <w:r>
            <w:rPr>
              <w:spacing w:val="7"/>
              <w:sz w:val="20"/>
              <w:szCs w:val="20"/>
            </w:rPr>
            <w:t>对侧变电站间隔工程电磁影响分析</w:t>
          </w:r>
          <w:r>
            <w:rPr>
              <w:spacing w:val="-44"/>
              <w:sz w:val="20"/>
              <w:szCs w:val="20"/>
            </w:rPr>
            <w:t xml:space="preserve"> </w:t>
          </w:r>
          <w:r>
            <w:rPr>
              <w:sz w:val="20"/>
              <w:szCs w:val="20"/>
            </w:rPr>
            <w:tab/>
          </w:r>
          <w:r>
            <w:rPr>
              <w:spacing w:val="-72"/>
              <w:sz w:val="20"/>
              <w:szCs w:val="20"/>
            </w:rPr>
            <w:t xml:space="preserve"> </w:t>
          </w:r>
          <w:r>
            <w:rPr>
              <w:rFonts w:ascii="Times New Roman" w:hAnsi="Times New Roman" w:eastAsia="Times New Roman" w:cs="Times New Roman"/>
              <w:spacing w:val="3"/>
              <w:sz w:val="20"/>
              <w:szCs w:val="20"/>
            </w:rPr>
            <w:t>49</w:t>
          </w:r>
        </w:p>
        <w:p w14:paraId="06C8B052">
          <w:pPr>
            <w:pStyle w:val="2"/>
            <w:tabs>
              <w:tab w:val="right" w:leader="dot" w:pos="8319"/>
            </w:tabs>
            <w:spacing w:before="102" w:line="193" w:lineRule="auto"/>
            <w:ind w:left="23"/>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6</w:t>
          </w:r>
          <w:r>
            <w:rPr>
              <w:rFonts w:ascii="Times New Roman" w:hAnsi="Times New Roman" w:eastAsia="Times New Roman" w:cs="Times New Roman"/>
              <w:spacing w:val="40"/>
              <w:w w:val="101"/>
              <w:sz w:val="20"/>
              <w:szCs w:val="20"/>
            </w:rPr>
            <w:t xml:space="preserve"> </w:t>
          </w:r>
          <w:r>
            <w:rPr>
              <w:spacing w:val="6"/>
              <w:sz w:val="20"/>
              <w:szCs w:val="20"/>
            </w:rPr>
            <w:t>电磁环境控制措施及监测计划</w:t>
          </w:r>
          <w:r>
            <w:rPr>
              <w:spacing w:val="-57"/>
              <w:sz w:val="20"/>
              <w:szCs w:val="20"/>
            </w:rPr>
            <w:t xml:space="preserve"> </w:t>
          </w:r>
          <w:r>
            <w:rPr>
              <w:sz w:val="20"/>
              <w:szCs w:val="20"/>
            </w:rPr>
            <w:tab/>
          </w:r>
          <w:r>
            <w:rPr>
              <w:spacing w:val="-56"/>
              <w:sz w:val="20"/>
              <w:szCs w:val="20"/>
            </w:rPr>
            <w:t xml:space="preserve"> </w:t>
          </w:r>
          <w:r>
            <w:rPr>
              <w:rFonts w:ascii="Times New Roman" w:hAnsi="Times New Roman" w:eastAsia="Times New Roman" w:cs="Times New Roman"/>
              <w:sz w:val="20"/>
              <w:szCs w:val="20"/>
            </w:rPr>
            <w:t>50</w:t>
          </w:r>
        </w:p>
        <w:p w14:paraId="44F763FC">
          <w:pPr>
            <w:pStyle w:val="2"/>
            <w:tabs>
              <w:tab w:val="right" w:leader="dot" w:pos="8319"/>
            </w:tabs>
            <w:spacing w:before="103" w:line="193" w:lineRule="auto"/>
            <w:ind w:left="21"/>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 xml:space="preserve">7  </w:t>
          </w:r>
          <w:r>
            <w:rPr>
              <w:spacing w:val="7"/>
              <w:sz w:val="20"/>
              <w:szCs w:val="20"/>
            </w:rPr>
            <w:t>评价结论与建议</w:t>
          </w:r>
          <w:r>
            <w:rPr>
              <w:spacing w:val="-57"/>
              <w:sz w:val="20"/>
              <w:szCs w:val="20"/>
            </w:rPr>
            <w:t xml:space="preserve"> </w:t>
          </w:r>
          <w:r>
            <w:rPr>
              <w:sz w:val="20"/>
              <w:szCs w:val="20"/>
            </w:rPr>
            <w:tab/>
          </w:r>
          <w:r>
            <w:rPr>
              <w:spacing w:val="-45"/>
              <w:sz w:val="20"/>
              <w:szCs w:val="20"/>
            </w:rPr>
            <w:t xml:space="preserve"> </w:t>
          </w:r>
          <w:r>
            <w:rPr>
              <w:rFonts w:ascii="Times New Roman" w:hAnsi="Times New Roman" w:eastAsia="Times New Roman" w:cs="Times New Roman"/>
              <w:sz w:val="20"/>
              <w:szCs w:val="20"/>
            </w:rPr>
            <w:t>52</w:t>
          </w:r>
        </w:p>
        <w:p w14:paraId="0DF28C4B">
          <w:pPr>
            <w:pStyle w:val="2"/>
            <w:tabs>
              <w:tab w:val="right" w:leader="dot" w:pos="8319"/>
            </w:tabs>
            <w:spacing w:before="103" w:line="193" w:lineRule="auto"/>
            <w:ind w:left="441"/>
            <w:rPr>
              <w:rFonts w:ascii="Times New Roman" w:hAnsi="Times New Roman" w:eastAsia="Times New Roman" w:cs="Times New Roman"/>
              <w:sz w:val="20"/>
              <w:szCs w:val="20"/>
            </w:rPr>
          </w:pPr>
          <w:r>
            <w:rPr>
              <w:rFonts w:ascii="Times New Roman" w:hAnsi="Times New Roman" w:eastAsia="Times New Roman" w:cs="Times New Roman"/>
              <w:sz w:val="20"/>
              <w:szCs w:val="20"/>
            </w:rPr>
            <w:t>7.</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sz w:val="20"/>
              <w:szCs w:val="20"/>
            </w:rPr>
            <w:t>1</w:t>
          </w:r>
          <w:r>
            <w:rPr>
              <w:rFonts w:ascii="Times New Roman" w:hAnsi="Times New Roman" w:eastAsia="Times New Roman" w:cs="Times New Roman"/>
              <w:spacing w:val="18"/>
              <w:w w:val="101"/>
              <w:sz w:val="20"/>
              <w:szCs w:val="20"/>
            </w:rPr>
            <w:t xml:space="preserve">  </w:t>
          </w:r>
          <w:r>
            <w:rPr>
              <w:sz w:val="20"/>
              <w:szCs w:val="20"/>
            </w:rPr>
            <w:t>电磁环境现状</w:t>
          </w:r>
          <w:r>
            <w:rPr>
              <w:spacing w:val="-57"/>
              <w:sz w:val="20"/>
              <w:szCs w:val="20"/>
            </w:rPr>
            <w:t xml:space="preserve"> </w:t>
          </w:r>
          <w:r>
            <w:rPr>
              <w:sz w:val="20"/>
              <w:szCs w:val="20"/>
            </w:rPr>
            <w:tab/>
          </w:r>
          <w:r>
            <w:rPr>
              <w:spacing w:val="-48"/>
              <w:sz w:val="20"/>
              <w:szCs w:val="20"/>
            </w:rPr>
            <w:t xml:space="preserve"> </w:t>
          </w:r>
          <w:r>
            <w:rPr>
              <w:rFonts w:ascii="Times New Roman" w:hAnsi="Times New Roman" w:eastAsia="Times New Roman" w:cs="Times New Roman"/>
              <w:sz w:val="20"/>
              <w:szCs w:val="20"/>
            </w:rPr>
            <w:t>52</w:t>
          </w:r>
        </w:p>
        <w:p w14:paraId="77600524">
          <w:pPr>
            <w:pStyle w:val="2"/>
            <w:tabs>
              <w:tab w:val="right" w:leader="dot" w:pos="8319"/>
            </w:tabs>
            <w:spacing w:before="103" w:line="193" w:lineRule="auto"/>
            <w:ind w:left="441"/>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 xml:space="preserve">7.2  </w:t>
          </w:r>
          <w:r>
            <w:rPr>
              <w:spacing w:val="7"/>
              <w:sz w:val="20"/>
              <w:szCs w:val="20"/>
            </w:rPr>
            <w:t>环境影响预测与评价结论</w:t>
          </w:r>
          <w:r>
            <w:rPr>
              <w:spacing w:val="-54"/>
              <w:sz w:val="20"/>
              <w:szCs w:val="20"/>
            </w:rPr>
            <w:t xml:space="preserve"> </w:t>
          </w:r>
          <w:r>
            <w:rPr>
              <w:sz w:val="20"/>
              <w:szCs w:val="20"/>
            </w:rPr>
            <w:tab/>
          </w:r>
          <w:r>
            <w:rPr>
              <w:spacing w:val="-57"/>
              <w:sz w:val="20"/>
              <w:szCs w:val="20"/>
            </w:rPr>
            <w:t xml:space="preserve"> </w:t>
          </w:r>
          <w:r>
            <w:rPr>
              <w:rFonts w:ascii="Times New Roman" w:hAnsi="Times New Roman" w:eastAsia="Times New Roman" w:cs="Times New Roman"/>
              <w:sz w:val="20"/>
              <w:szCs w:val="20"/>
            </w:rPr>
            <w:t>52</w:t>
          </w:r>
        </w:p>
        <w:p w14:paraId="7AB380F8">
          <w:pPr>
            <w:pStyle w:val="2"/>
            <w:tabs>
              <w:tab w:val="right" w:leader="dot" w:pos="8319"/>
            </w:tabs>
            <w:spacing w:before="104" w:line="226" w:lineRule="auto"/>
            <w:ind w:left="441"/>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7.3</w:t>
          </w:r>
          <w:r>
            <w:rPr>
              <w:rFonts w:ascii="Times New Roman" w:hAnsi="Times New Roman" w:eastAsia="Times New Roman" w:cs="Times New Roman"/>
              <w:spacing w:val="20"/>
              <w:w w:val="101"/>
              <w:sz w:val="20"/>
              <w:szCs w:val="20"/>
            </w:rPr>
            <w:t xml:space="preserve">  </w:t>
          </w:r>
          <w:r>
            <w:rPr>
              <w:spacing w:val="5"/>
              <w:sz w:val="20"/>
              <w:szCs w:val="20"/>
            </w:rPr>
            <w:t>电磁环境影响评价结论</w:t>
          </w:r>
          <w:r>
            <w:rPr>
              <w:spacing w:val="-57"/>
              <w:sz w:val="20"/>
              <w:szCs w:val="20"/>
            </w:rPr>
            <w:t xml:space="preserve"> </w:t>
          </w:r>
          <w:r>
            <w:rPr>
              <w:sz w:val="20"/>
              <w:szCs w:val="20"/>
            </w:rPr>
            <w:tab/>
          </w:r>
          <w:r>
            <w:rPr>
              <w:spacing w:val="-56"/>
              <w:sz w:val="20"/>
              <w:szCs w:val="20"/>
            </w:rPr>
            <w:t xml:space="preserve"> </w:t>
          </w:r>
          <w:r>
            <w:rPr>
              <w:rFonts w:ascii="Times New Roman" w:hAnsi="Times New Roman" w:eastAsia="Times New Roman" w:cs="Times New Roman"/>
              <w:sz w:val="20"/>
              <w:szCs w:val="20"/>
            </w:rPr>
            <w:t>53</w:t>
          </w:r>
        </w:p>
      </w:sdtContent>
    </w:sdt>
    <w:p w14:paraId="1F8601AB">
      <w:pPr>
        <w:spacing w:line="226" w:lineRule="auto"/>
        <w:rPr>
          <w:rFonts w:ascii="Times New Roman" w:hAnsi="Times New Roman" w:eastAsia="Times New Roman" w:cs="Times New Roman"/>
          <w:sz w:val="20"/>
          <w:szCs w:val="20"/>
        </w:rPr>
        <w:sectPr>
          <w:footerReference r:id="rId154" w:type="default"/>
          <w:pgSz w:w="11906" w:h="16839"/>
          <w:pgMar w:top="400" w:right="1785" w:bottom="1159" w:left="1785" w:header="0" w:footer="994" w:gutter="0"/>
          <w:cols w:space="720" w:num="1"/>
        </w:sectPr>
      </w:pPr>
    </w:p>
    <w:p w14:paraId="5CC1E4CC">
      <w:pPr>
        <w:spacing w:line="241" w:lineRule="auto"/>
        <w:rPr>
          <w:rFonts w:ascii="Arial"/>
          <w:sz w:val="21"/>
        </w:rPr>
      </w:pPr>
    </w:p>
    <w:p w14:paraId="36088DBB">
      <w:pPr>
        <w:spacing w:line="241" w:lineRule="auto"/>
        <w:rPr>
          <w:rFonts w:ascii="Arial"/>
          <w:sz w:val="21"/>
        </w:rPr>
      </w:pPr>
    </w:p>
    <w:p w14:paraId="741A0CC2">
      <w:pPr>
        <w:spacing w:line="241" w:lineRule="auto"/>
        <w:rPr>
          <w:rFonts w:ascii="Arial"/>
          <w:sz w:val="21"/>
        </w:rPr>
      </w:pPr>
    </w:p>
    <w:p w14:paraId="1ADA96D5">
      <w:pPr>
        <w:spacing w:line="241" w:lineRule="auto"/>
        <w:rPr>
          <w:rFonts w:ascii="Arial"/>
          <w:sz w:val="21"/>
        </w:rPr>
      </w:pPr>
    </w:p>
    <w:p w14:paraId="317C7D09">
      <w:pPr>
        <w:spacing w:line="242" w:lineRule="auto"/>
        <w:rPr>
          <w:rFonts w:ascii="Arial"/>
          <w:sz w:val="21"/>
        </w:rPr>
      </w:pPr>
    </w:p>
    <w:p w14:paraId="0F5FFDA5">
      <w:pPr>
        <w:pStyle w:val="2"/>
        <w:spacing w:before="100" w:line="226" w:lineRule="auto"/>
        <w:ind w:left="35"/>
        <w:rPr>
          <w:sz w:val="31"/>
          <w:szCs w:val="31"/>
        </w:rPr>
      </w:pPr>
      <w:r>
        <w:rPr>
          <w:rFonts w:ascii="Times New Roman" w:hAnsi="Times New Roman" w:eastAsia="Times New Roman" w:cs="Times New Roman"/>
          <w:b/>
          <w:bCs/>
          <w:spacing w:val="-7"/>
          <w:sz w:val="31"/>
          <w:szCs w:val="31"/>
        </w:rPr>
        <w:t>1</w:t>
      </w:r>
      <w:r>
        <w:rPr>
          <w:rFonts w:ascii="Times New Roman" w:hAnsi="Times New Roman" w:eastAsia="Times New Roman" w:cs="Times New Roman"/>
          <w:b/>
          <w:bCs/>
          <w:spacing w:val="11"/>
          <w:sz w:val="31"/>
          <w:szCs w:val="31"/>
        </w:rPr>
        <w:t xml:space="preserve">  </w:t>
      </w:r>
      <w:r>
        <w:rPr>
          <w:b/>
          <w:bCs/>
          <w:spacing w:val="-7"/>
          <w:sz w:val="31"/>
          <w:szCs w:val="31"/>
        </w:rPr>
        <w:t>前言</w:t>
      </w:r>
    </w:p>
    <w:p w14:paraId="35AA84C3">
      <w:pPr>
        <w:spacing w:line="335" w:lineRule="auto"/>
        <w:rPr>
          <w:rFonts w:ascii="Arial"/>
          <w:sz w:val="21"/>
        </w:rPr>
      </w:pPr>
    </w:p>
    <w:p w14:paraId="565FF6A5">
      <w:pPr>
        <w:pStyle w:val="2"/>
        <w:spacing w:before="78" w:line="360" w:lineRule="auto"/>
        <w:ind w:left="23" w:firstLine="492"/>
        <w:jc w:val="both"/>
        <w:rPr>
          <w:sz w:val="24"/>
          <w:szCs w:val="24"/>
        </w:rPr>
      </w:pPr>
      <w:r>
        <w:rPr>
          <w:spacing w:val="-1"/>
          <w:sz w:val="24"/>
          <w:szCs w:val="24"/>
        </w:rPr>
        <w:t>陆良县北部现状由</w:t>
      </w:r>
      <w:r>
        <w:rPr>
          <w:spacing w:val="-27"/>
          <w:sz w:val="24"/>
          <w:szCs w:val="24"/>
        </w:rPr>
        <w:t xml:space="preserve"> </w:t>
      </w:r>
      <w:r>
        <w:rPr>
          <w:rFonts w:ascii="Times New Roman" w:hAnsi="Times New Roman" w:eastAsia="Times New Roman" w:cs="Times New Roman"/>
          <w:spacing w:val="-1"/>
          <w:sz w:val="24"/>
          <w:szCs w:val="24"/>
        </w:rPr>
        <w:t>110kV</w:t>
      </w:r>
      <w:r>
        <w:rPr>
          <w:rFonts w:ascii="Times New Roman" w:hAnsi="Times New Roman" w:eastAsia="Times New Roman" w:cs="Times New Roman"/>
          <w:spacing w:val="36"/>
          <w:sz w:val="24"/>
          <w:szCs w:val="24"/>
        </w:rPr>
        <w:t xml:space="preserve"> </w:t>
      </w:r>
      <w:r>
        <w:rPr>
          <w:spacing w:val="-1"/>
          <w:sz w:val="24"/>
          <w:szCs w:val="24"/>
        </w:rPr>
        <w:t>中纪变、</w:t>
      </w:r>
      <w:r>
        <w:rPr>
          <w:rFonts w:ascii="Times New Roman" w:hAnsi="Times New Roman" w:eastAsia="Times New Roman" w:cs="Times New Roman"/>
          <w:spacing w:val="-1"/>
          <w:sz w:val="24"/>
          <w:szCs w:val="24"/>
        </w:rPr>
        <w:t>110kV</w:t>
      </w:r>
      <w:r>
        <w:rPr>
          <w:rFonts w:ascii="Times New Roman" w:hAnsi="Times New Roman" w:eastAsia="Times New Roman" w:cs="Times New Roman"/>
          <w:spacing w:val="20"/>
          <w:sz w:val="24"/>
          <w:szCs w:val="24"/>
        </w:rPr>
        <w:t xml:space="preserve"> </w:t>
      </w:r>
      <w:r>
        <w:rPr>
          <w:spacing w:val="-1"/>
          <w:sz w:val="24"/>
          <w:szCs w:val="24"/>
        </w:rPr>
        <w:t>小冲沟变下网供电，两座</w:t>
      </w:r>
      <w:r>
        <w:rPr>
          <w:spacing w:val="-30"/>
          <w:sz w:val="24"/>
          <w:szCs w:val="24"/>
        </w:rPr>
        <w:t xml:space="preserve"> </w:t>
      </w:r>
      <w:r>
        <w:rPr>
          <w:rFonts w:ascii="Times New Roman" w:hAnsi="Times New Roman" w:eastAsia="Times New Roman" w:cs="Times New Roman"/>
          <w:spacing w:val="-1"/>
          <w:sz w:val="24"/>
          <w:szCs w:val="24"/>
        </w:rPr>
        <w:t>110kV</w:t>
      </w:r>
      <w:r>
        <w:rPr>
          <w:spacing w:val="-4"/>
          <w:sz w:val="24"/>
          <w:szCs w:val="24"/>
        </w:rPr>
        <w:t>变电站已经重载，不再具备新增负荷的接纳能力。为缓解</w:t>
      </w:r>
      <w:r>
        <w:rPr>
          <w:spacing w:val="-31"/>
          <w:sz w:val="24"/>
          <w:szCs w:val="24"/>
        </w:rPr>
        <w:t xml:space="preserve"> </w:t>
      </w:r>
      <w:r>
        <w:rPr>
          <w:rFonts w:ascii="Times New Roman" w:hAnsi="Times New Roman" w:eastAsia="Times New Roman" w:cs="Times New Roman"/>
          <w:spacing w:val="-4"/>
          <w:sz w:val="24"/>
          <w:szCs w:val="24"/>
        </w:rPr>
        <w:t>110kV</w:t>
      </w:r>
      <w:r>
        <w:rPr>
          <w:rFonts w:ascii="Times New Roman" w:hAnsi="Times New Roman" w:eastAsia="Times New Roman" w:cs="Times New Roman"/>
          <w:spacing w:val="34"/>
          <w:sz w:val="24"/>
          <w:szCs w:val="24"/>
        </w:rPr>
        <w:t xml:space="preserve"> </w:t>
      </w:r>
      <w:r>
        <w:rPr>
          <w:spacing w:val="-4"/>
          <w:sz w:val="24"/>
          <w:szCs w:val="24"/>
        </w:rPr>
        <w:t>中纪变、</w:t>
      </w:r>
      <w:r>
        <w:rPr>
          <w:rFonts w:ascii="Times New Roman" w:hAnsi="Times New Roman" w:eastAsia="Times New Roman" w:cs="Times New Roman"/>
          <w:spacing w:val="-4"/>
          <w:sz w:val="24"/>
          <w:szCs w:val="24"/>
        </w:rPr>
        <w:t>110kV</w:t>
      </w:r>
      <w:r>
        <w:rPr>
          <w:spacing w:val="1"/>
          <w:sz w:val="24"/>
          <w:szCs w:val="24"/>
        </w:rPr>
        <w:t>小冲沟变的供电压力，满足片区新增负荷的报装供电需求，新建</w:t>
      </w:r>
      <w:r>
        <w:rPr>
          <w:spacing w:val="-15"/>
          <w:sz w:val="24"/>
          <w:szCs w:val="24"/>
        </w:rPr>
        <w:t xml:space="preserve"> </w:t>
      </w:r>
      <w:r>
        <w:rPr>
          <w:rFonts w:ascii="Times New Roman" w:hAnsi="Times New Roman" w:eastAsia="Times New Roman" w:cs="Times New Roman"/>
          <w:spacing w:val="1"/>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松山变</w:t>
      </w:r>
      <w:r>
        <w:rPr>
          <w:spacing w:val="4"/>
          <w:sz w:val="24"/>
          <w:szCs w:val="24"/>
        </w:rPr>
        <w:t>是有必要的。依据云南省能源局关于加快推进新能源项目建设有关工作的通知</w:t>
      </w:r>
      <w:r>
        <w:rPr>
          <w:spacing w:val="-5"/>
          <w:sz w:val="24"/>
          <w:szCs w:val="24"/>
        </w:rPr>
        <w:t>（云能源水电〔</w:t>
      </w:r>
      <w:r>
        <w:rPr>
          <w:rFonts w:ascii="Times New Roman" w:hAnsi="Times New Roman" w:eastAsia="Times New Roman" w:cs="Times New Roman"/>
          <w:spacing w:val="-5"/>
          <w:sz w:val="24"/>
          <w:szCs w:val="24"/>
        </w:rPr>
        <w:t>2023</w:t>
      </w:r>
      <w:r>
        <w:rPr>
          <w:spacing w:val="-5"/>
          <w:sz w:val="24"/>
          <w:szCs w:val="24"/>
        </w:rPr>
        <w:t>〕</w:t>
      </w:r>
      <w:r>
        <w:rPr>
          <w:rFonts w:ascii="Times New Roman" w:hAnsi="Times New Roman" w:eastAsia="Times New Roman" w:cs="Times New Roman"/>
          <w:spacing w:val="-5"/>
          <w:sz w:val="24"/>
          <w:szCs w:val="24"/>
        </w:rPr>
        <w:t>153</w:t>
      </w:r>
      <w:r>
        <w:rPr>
          <w:rFonts w:ascii="Times New Roman" w:hAnsi="Times New Roman" w:eastAsia="Times New Roman" w:cs="Times New Roman"/>
          <w:spacing w:val="15"/>
          <w:w w:val="101"/>
          <w:sz w:val="24"/>
          <w:szCs w:val="24"/>
        </w:rPr>
        <w:t xml:space="preserve"> </w:t>
      </w:r>
      <w:r>
        <w:rPr>
          <w:spacing w:val="-5"/>
          <w:sz w:val="24"/>
          <w:szCs w:val="24"/>
        </w:rPr>
        <w:t>号</w:t>
      </w:r>
      <w:r>
        <w:rPr>
          <w:spacing w:val="-23"/>
          <w:sz w:val="24"/>
          <w:szCs w:val="24"/>
        </w:rPr>
        <w:t>），</w:t>
      </w:r>
      <w:r>
        <w:rPr>
          <w:spacing w:val="-5"/>
          <w:sz w:val="24"/>
          <w:szCs w:val="24"/>
        </w:rPr>
        <w:t>陆良县共规划建设新</w:t>
      </w:r>
      <w:r>
        <w:rPr>
          <w:spacing w:val="-6"/>
          <w:sz w:val="24"/>
          <w:szCs w:val="24"/>
        </w:rPr>
        <w:t>能源</w:t>
      </w:r>
      <w:r>
        <w:rPr>
          <w:spacing w:val="-51"/>
          <w:sz w:val="24"/>
          <w:szCs w:val="24"/>
        </w:rPr>
        <w:t xml:space="preserve"> </w:t>
      </w:r>
      <w:r>
        <w:rPr>
          <w:rFonts w:ascii="Times New Roman" w:hAnsi="Times New Roman" w:eastAsia="Times New Roman" w:cs="Times New Roman"/>
          <w:spacing w:val="-6"/>
          <w:sz w:val="24"/>
          <w:szCs w:val="24"/>
        </w:rPr>
        <w:t>915MW</w:t>
      </w:r>
      <w:r>
        <w:rPr>
          <w:rFonts w:ascii="Times New Roman" w:hAnsi="Times New Roman" w:eastAsia="Times New Roman" w:cs="Times New Roman"/>
          <w:spacing w:val="-31"/>
          <w:sz w:val="24"/>
          <w:szCs w:val="24"/>
        </w:rPr>
        <w:t xml:space="preserve"> </w:t>
      </w:r>
      <w:r>
        <w:rPr>
          <w:spacing w:val="-6"/>
          <w:sz w:val="24"/>
          <w:szCs w:val="24"/>
        </w:rPr>
        <w:t>，目前</w:t>
      </w:r>
      <w:r>
        <w:rPr>
          <w:spacing w:val="-32"/>
          <w:sz w:val="24"/>
          <w:szCs w:val="24"/>
        </w:rPr>
        <w:t xml:space="preserve"> </w:t>
      </w:r>
      <w:r>
        <w:rPr>
          <w:rFonts w:ascii="Times New Roman" w:hAnsi="Times New Roman" w:eastAsia="Times New Roman" w:cs="Times New Roman"/>
          <w:spacing w:val="-6"/>
          <w:sz w:val="24"/>
          <w:szCs w:val="24"/>
        </w:rPr>
        <w:t>110kV</w:t>
      </w:r>
      <w:r>
        <w:rPr>
          <w:spacing w:val="-3"/>
          <w:sz w:val="24"/>
          <w:szCs w:val="24"/>
        </w:rPr>
        <w:t>中纪变、</w:t>
      </w:r>
      <w:r>
        <w:rPr>
          <w:rFonts w:ascii="Times New Roman" w:hAnsi="Times New Roman" w:eastAsia="Times New Roman" w:cs="Times New Roman"/>
          <w:spacing w:val="-3"/>
          <w:sz w:val="24"/>
          <w:szCs w:val="24"/>
        </w:rPr>
        <w:t>110kV</w:t>
      </w:r>
      <w:r>
        <w:rPr>
          <w:rFonts w:ascii="Times New Roman" w:hAnsi="Times New Roman" w:eastAsia="Times New Roman" w:cs="Times New Roman"/>
          <w:spacing w:val="17"/>
          <w:w w:val="101"/>
          <w:sz w:val="24"/>
          <w:szCs w:val="24"/>
        </w:rPr>
        <w:t xml:space="preserve"> </w:t>
      </w:r>
      <w:r>
        <w:rPr>
          <w:spacing w:val="-3"/>
          <w:sz w:val="24"/>
          <w:szCs w:val="24"/>
        </w:rPr>
        <w:t>小冲沟变均无剩余备用间隔，本期新</w:t>
      </w:r>
      <w:r>
        <w:rPr>
          <w:spacing w:val="-4"/>
          <w:sz w:val="24"/>
          <w:szCs w:val="24"/>
        </w:rPr>
        <w:t>建</w:t>
      </w:r>
      <w:r>
        <w:rPr>
          <w:spacing w:val="-32"/>
          <w:sz w:val="24"/>
          <w:szCs w:val="24"/>
        </w:rPr>
        <w:t xml:space="preserve"> </w:t>
      </w:r>
      <w:r>
        <w:rPr>
          <w:rFonts w:ascii="Times New Roman" w:hAnsi="Times New Roman" w:eastAsia="Times New Roman" w:cs="Times New Roman"/>
          <w:spacing w:val="-4"/>
          <w:sz w:val="24"/>
          <w:szCs w:val="24"/>
        </w:rPr>
        <w:t xml:space="preserve">110kV </w:t>
      </w:r>
      <w:r>
        <w:rPr>
          <w:spacing w:val="-4"/>
          <w:sz w:val="24"/>
          <w:szCs w:val="24"/>
        </w:rPr>
        <w:t>松山输变电工程，</w:t>
      </w:r>
      <w:r>
        <w:rPr>
          <w:spacing w:val="-3"/>
          <w:sz w:val="24"/>
          <w:szCs w:val="24"/>
        </w:rPr>
        <w:t>可以预留</w:t>
      </w:r>
      <w:r>
        <w:rPr>
          <w:spacing w:val="-24"/>
          <w:sz w:val="24"/>
          <w:szCs w:val="24"/>
        </w:rPr>
        <w:t xml:space="preserve"> </w:t>
      </w:r>
      <w:r>
        <w:rPr>
          <w:rFonts w:ascii="Times New Roman" w:hAnsi="Times New Roman" w:eastAsia="Times New Roman" w:cs="Times New Roman"/>
          <w:spacing w:val="-3"/>
          <w:sz w:val="24"/>
          <w:szCs w:val="24"/>
        </w:rPr>
        <w:t>110kV</w:t>
      </w:r>
      <w:r>
        <w:rPr>
          <w:rFonts w:ascii="Times New Roman" w:hAnsi="Times New Roman" w:eastAsia="Times New Roman" w:cs="Times New Roman"/>
          <w:spacing w:val="28"/>
          <w:sz w:val="24"/>
          <w:szCs w:val="24"/>
        </w:rPr>
        <w:t xml:space="preserve"> </w:t>
      </w:r>
      <w:r>
        <w:rPr>
          <w:spacing w:val="-3"/>
          <w:sz w:val="24"/>
          <w:szCs w:val="24"/>
        </w:rPr>
        <w:t>间隔，满足片区新能源的接入需求。</w:t>
      </w:r>
    </w:p>
    <w:p w14:paraId="4588738C">
      <w:pPr>
        <w:pStyle w:val="2"/>
        <w:spacing w:line="360" w:lineRule="auto"/>
        <w:ind w:left="25" w:right="61" w:firstLine="473"/>
        <w:jc w:val="both"/>
        <w:rPr>
          <w:sz w:val="24"/>
          <w:szCs w:val="24"/>
        </w:rPr>
      </w:pPr>
      <w:r>
        <w:rPr>
          <w:rFonts w:ascii="Times New Roman" w:hAnsi="Times New Roman" w:eastAsia="Times New Roman" w:cs="Times New Roman"/>
          <w:spacing w:val="1"/>
          <w:sz w:val="24"/>
          <w:szCs w:val="24"/>
        </w:rPr>
        <w:t xml:space="preserve">2025 </w:t>
      </w:r>
      <w:r>
        <w:rPr>
          <w:spacing w:val="1"/>
          <w:sz w:val="24"/>
          <w:szCs w:val="24"/>
        </w:rPr>
        <w:t>年</w:t>
      </w:r>
      <w:r>
        <w:rPr>
          <w:spacing w:val="-33"/>
          <w:sz w:val="24"/>
          <w:szCs w:val="24"/>
        </w:rPr>
        <w:t xml:space="preserve"> </w:t>
      </w:r>
      <w:r>
        <w:rPr>
          <w:rFonts w:ascii="Times New Roman" w:hAnsi="Times New Roman" w:eastAsia="Times New Roman" w:cs="Times New Roman"/>
          <w:spacing w:val="1"/>
          <w:sz w:val="24"/>
          <w:szCs w:val="24"/>
        </w:rPr>
        <w:t>6</w:t>
      </w:r>
      <w:r>
        <w:rPr>
          <w:rFonts w:ascii="Times New Roman" w:hAnsi="Times New Roman" w:eastAsia="Times New Roman" w:cs="Times New Roman"/>
          <w:spacing w:val="18"/>
          <w:sz w:val="24"/>
          <w:szCs w:val="24"/>
        </w:rPr>
        <w:t xml:space="preserve"> </w:t>
      </w:r>
      <w:r>
        <w:rPr>
          <w:spacing w:val="1"/>
          <w:sz w:val="24"/>
          <w:szCs w:val="24"/>
        </w:rPr>
        <w:t>月，云南电网有限责任公司曲靖供电局委托四川众望安全环保技</w:t>
      </w:r>
      <w:r>
        <w:rPr>
          <w:spacing w:val="7"/>
          <w:sz w:val="24"/>
          <w:szCs w:val="24"/>
        </w:rPr>
        <w:t>术咨询有限公司进行报告编制工作。根据《环境影响评价技术导则 输变电》</w:t>
      </w:r>
      <w:r>
        <w:rPr>
          <w:spacing w:val="4"/>
          <w:sz w:val="24"/>
          <w:szCs w:val="24"/>
        </w:rPr>
        <w:t xml:space="preserve"> </w:t>
      </w:r>
      <w:r>
        <w:rPr>
          <w:spacing w:val="-1"/>
          <w:sz w:val="24"/>
          <w:szCs w:val="24"/>
        </w:rPr>
        <w:t>（</w:t>
      </w:r>
      <w:r>
        <w:rPr>
          <w:rFonts w:ascii="Times New Roman" w:hAnsi="Times New Roman" w:eastAsia="Times New Roman" w:cs="Times New Roman"/>
          <w:spacing w:val="-1"/>
          <w:sz w:val="24"/>
          <w:szCs w:val="24"/>
        </w:rPr>
        <w:t>HJ24-2020</w:t>
      </w:r>
      <w:r>
        <w:rPr>
          <w:spacing w:val="10"/>
          <w:sz w:val="24"/>
          <w:szCs w:val="24"/>
        </w:rPr>
        <w:t>），</w:t>
      </w:r>
      <w:r>
        <w:rPr>
          <w:spacing w:val="-1"/>
          <w:sz w:val="24"/>
          <w:szCs w:val="24"/>
        </w:rPr>
        <w:t>本工程环境影响评价需设置电磁环境影响专题评价报告。</w:t>
      </w:r>
    </w:p>
    <w:p w14:paraId="0F157DC4">
      <w:pPr>
        <w:pStyle w:val="2"/>
        <w:spacing w:line="360" w:lineRule="auto"/>
        <w:ind w:left="22" w:right="61" w:firstLine="480"/>
        <w:jc w:val="both"/>
        <w:rPr>
          <w:sz w:val="24"/>
          <w:szCs w:val="24"/>
        </w:rPr>
      </w:pPr>
      <w:r>
        <w:rPr>
          <w:spacing w:val="-3"/>
          <w:sz w:val="24"/>
          <w:szCs w:val="24"/>
        </w:rPr>
        <w:t>评价人员在充分掌握了第一手资料后，进行现场踏勘和资料收集</w:t>
      </w:r>
      <w:r>
        <w:rPr>
          <w:spacing w:val="-4"/>
          <w:sz w:val="24"/>
          <w:szCs w:val="24"/>
        </w:rPr>
        <w:t>，并对资料</w:t>
      </w:r>
      <w:r>
        <w:rPr>
          <w:spacing w:val="-3"/>
          <w:sz w:val="24"/>
          <w:szCs w:val="24"/>
        </w:rPr>
        <w:t>和数据进行了细致地分析研究后，对工程建成运营后产生的工频电场、工频磁场等污染因素对环境的影响进行了预测评价，根据工程特点提出了相应的环境保护措施。在此基础上，从环保角度论证了工程的可行性，编制完成了《</w:t>
      </w:r>
      <w:r>
        <w:rPr>
          <w:rFonts w:ascii="Times New Roman" w:hAnsi="Times New Roman" w:eastAsia="Times New Roman" w:cs="Times New Roman"/>
          <w:spacing w:val="-3"/>
          <w:sz w:val="24"/>
          <w:szCs w:val="24"/>
        </w:rPr>
        <w:t xml:space="preserve">110kV </w:t>
      </w:r>
      <w:r>
        <w:rPr>
          <w:spacing w:val="-3"/>
          <w:sz w:val="24"/>
          <w:szCs w:val="24"/>
        </w:rPr>
        <w:t>松山</w:t>
      </w:r>
      <w:r>
        <w:rPr>
          <w:spacing w:val="-1"/>
          <w:sz w:val="24"/>
          <w:szCs w:val="24"/>
        </w:rPr>
        <w:t>输变电工程电磁环境影响专题评价报告》。</w:t>
      </w:r>
    </w:p>
    <w:p w14:paraId="07F97210">
      <w:pPr>
        <w:pStyle w:val="2"/>
        <w:spacing w:line="361" w:lineRule="auto"/>
        <w:ind w:left="25" w:right="26" w:firstLine="479"/>
        <w:jc w:val="both"/>
        <w:rPr>
          <w:sz w:val="24"/>
          <w:szCs w:val="24"/>
        </w:rPr>
      </w:pPr>
      <w:r>
        <w:rPr>
          <w:spacing w:val="-2"/>
          <w:sz w:val="24"/>
          <w:szCs w:val="24"/>
        </w:rPr>
        <w:t>本专题对工程所在区域的工频电场强度、工频磁感应强度现状进行</w:t>
      </w:r>
      <w:r>
        <w:rPr>
          <w:spacing w:val="-3"/>
          <w:sz w:val="24"/>
          <w:szCs w:val="24"/>
        </w:rPr>
        <w:t>了实测，预测分析评价了本工程建成投运后产生的工频电场强度、工频磁感应强度对环境</w:t>
      </w:r>
      <w:r>
        <w:rPr>
          <w:sz w:val="24"/>
          <w:szCs w:val="24"/>
        </w:rPr>
        <w:t>的影响，从电磁环境影响角度论证了工程建</w:t>
      </w:r>
      <w:r>
        <w:rPr>
          <w:spacing w:val="-1"/>
          <w:sz w:val="24"/>
          <w:szCs w:val="24"/>
        </w:rPr>
        <w:t>设的可行性，提出预防措施。</w:t>
      </w:r>
    </w:p>
    <w:p w14:paraId="17F347F3">
      <w:pPr>
        <w:spacing w:line="361" w:lineRule="auto"/>
        <w:rPr>
          <w:sz w:val="24"/>
          <w:szCs w:val="24"/>
        </w:rPr>
        <w:sectPr>
          <w:footerReference r:id="rId155" w:type="default"/>
          <w:pgSz w:w="11906" w:h="16839"/>
          <w:pgMar w:top="400" w:right="1738" w:bottom="1156" w:left="1785" w:header="0" w:footer="994" w:gutter="0"/>
          <w:cols w:space="720" w:num="1"/>
        </w:sectPr>
      </w:pPr>
    </w:p>
    <w:p w14:paraId="7861F9B5">
      <w:pPr>
        <w:spacing w:line="241" w:lineRule="auto"/>
        <w:rPr>
          <w:rFonts w:ascii="Arial"/>
          <w:sz w:val="21"/>
        </w:rPr>
      </w:pPr>
    </w:p>
    <w:p w14:paraId="4EB9E559">
      <w:pPr>
        <w:spacing w:line="241" w:lineRule="auto"/>
        <w:rPr>
          <w:rFonts w:ascii="Arial"/>
          <w:sz w:val="21"/>
        </w:rPr>
      </w:pPr>
    </w:p>
    <w:p w14:paraId="7B78E895">
      <w:pPr>
        <w:spacing w:line="241" w:lineRule="auto"/>
        <w:rPr>
          <w:rFonts w:ascii="Arial"/>
          <w:sz w:val="21"/>
        </w:rPr>
      </w:pPr>
    </w:p>
    <w:p w14:paraId="1987FCA3">
      <w:pPr>
        <w:spacing w:line="241" w:lineRule="auto"/>
        <w:rPr>
          <w:rFonts w:ascii="Arial"/>
          <w:sz w:val="21"/>
        </w:rPr>
      </w:pPr>
    </w:p>
    <w:p w14:paraId="3F797DD8">
      <w:pPr>
        <w:spacing w:line="242" w:lineRule="auto"/>
        <w:rPr>
          <w:rFonts w:ascii="Arial"/>
          <w:sz w:val="21"/>
        </w:rPr>
      </w:pPr>
    </w:p>
    <w:p w14:paraId="0AF18214">
      <w:pPr>
        <w:pStyle w:val="2"/>
        <w:spacing w:before="101" w:line="225" w:lineRule="auto"/>
        <w:ind w:left="21"/>
        <w:rPr>
          <w:sz w:val="31"/>
          <w:szCs w:val="31"/>
        </w:rPr>
      </w:pPr>
      <w:r>
        <w:rPr>
          <w:rFonts w:ascii="Times New Roman" w:hAnsi="Times New Roman" w:eastAsia="Times New Roman" w:cs="Times New Roman"/>
          <w:b/>
          <w:bCs/>
          <w:spacing w:val="-4"/>
          <w:sz w:val="31"/>
          <w:szCs w:val="31"/>
        </w:rPr>
        <w:t>2</w:t>
      </w:r>
      <w:r>
        <w:rPr>
          <w:rFonts w:ascii="Times New Roman" w:hAnsi="Times New Roman" w:eastAsia="Times New Roman" w:cs="Times New Roman"/>
          <w:b/>
          <w:bCs/>
          <w:spacing w:val="13"/>
          <w:sz w:val="31"/>
          <w:szCs w:val="31"/>
        </w:rPr>
        <w:t xml:space="preserve">  </w:t>
      </w:r>
      <w:r>
        <w:rPr>
          <w:b/>
          <w:bCs/>
          <w:spacing w:val="-4"/>
          <w:sz w:val="31"/>
          <w:szCs w:val="31"/>
        </w:rPr>
        <w:t>总则</w:t>
      </w:r>
    </w:p>
    <w:p w14:paraId="23B0BDE1">
      <w:pPr>
        <w:spacing w:line="432" w:lineRule="auto"/>
        <w:rPr>
          <w:rFonts w:ascii="Arial"/>
          <w:sz w:val="21"/>
        </w:rPr>
      </w:pPr>
    </w:p>
    <w:p w14:paraId="02763A1E">
      <w:pPr>
        <w:pStyle w:val="2"/>
        <w:spacing w:before="97" w:line="219" w:lineRule="auto"/>
        <w:ind w:left="21"/>
        <w:rPr>
          <w:sz w:val="30"/>
          <w:szCs w:val="30"/>
        </w:rPr>
      </w:pPr>
      <w:r>
        <w:rPr>
          <w:rFonts w:ascii="Times New Roman" w:hAnsi="Times New Roman" w:eastAsia="Times New Roman" w:cs="Times New Roman"/>
          <w:b/>
          <w:bCs/>
          <w:spacing w:val="-5"/>
          <w:sz w:val="30"/>
          <w:szCs w:val="30"/>
        </w:rPr>
        <w:t>2.1</w:t>
      </w:r>
      <w:r>
        <w:rPr>
          <w:rFonts w:ascii="Times New Roman" w:hAnsi="Times New Roman" w:eastAsia="Times New Roman" w:cs="Times New Roman"/>
          <w:b/>
          <w:bCs/>
          <w:spacing w:val="8"/>
          <w:sz w:val="30"/>
          <w:szCs w:val="30"/>
        </w:rPr>
        <w:t xml:space="preserve">  </w:t>
      </w:r>
      <w:r>
        <w:rPr>
          <w:b/>
          <w:bCs/>
          <w:spacing w:val="-5"/>
          <w:sz w:val="30"/>
          <w:szCs w:val="30"/>
        </w:rPr>
        <w:t>编制依据</w:t>
      </w:r>
    </w:p>
    <w:p w14:paraId="1395D5C9">
      <w:pPr>
        <w:pStyle w:val="2"/>
        <w:spacing w:before="277" w:line="220" w:lineRule="auto"/>
        <w:ind w:left="20"/>
      </w:pPr>
      <w:r>
        <w:rPr>
          <w:rFonts w:ascii="Times New Roman" w:hAnsi="Times New Roman" w:eastAsia="Times New Roman" w:cs="Times New Roman"/>
          <w:b/>
          <w:bCs/>
          <w:spacing w:val="-2"/>
        </w:rPr>
        <w:t xml:space="preserve">2.1.1  </w:t>
      </w:r>
      <w:r>
        <w:rPr>
          <w:b/>
          <w:bCs/>
          <w:spacing w:val="-2"/>
        </w:rPr>
        <w:t>相关法律、法规</w:t>
      </w:r>
    </w:p>
    <w:p w14:paraId="42237D9C">
      <w:pPr>
        <w:pStyle w:val="2"/>
        <w:spacing w:before="234" w:line="219" w:lineRule="auto"/>
        <w:ind w:left="514"/>
        <w:rPr>
          <w:sz w:val="24"/>
          <w:szCs w:val="24"/>
        </w:rPr>
      </w:pPr>
      <w:r>
        <w:rPr>
          <w:spacing w:val="-1"/>
          <w:sz w:val="24"/>
          <w:szCs w:val="24"/>
        </w:rPr>
        <w:t>（</w:t>
      </w:r>
      <w:r>
        <w:rPr>
          <w:rFonts w:ascii="Times New Roman" w:hAnsi="Times New Roman" w:eastAsia="Times New Roman" w:cs="Times New Roman"/>
          <w:spacing w:val="-1"/>
          <w:sz w:val="24"/>
          <w:szCs w:val="24"/>
        </w:rPr>
        <w:t>1</w:t>
      </w:r>
      <w:r>
        <w:rPr>
          <w:spacing w:val="-1"/>
          <w:sz w:val="24"/>
          <w:szCs w:val="24"/>
        </w:rPr>
        <w:t>）《中华人民共和国环境保护法》，</w:t>
      </w:r>
      <w:r>
        <w:rPr>
          <w:rFonts w:ascii="Times New Roman" w:hAnsi="Times New Roman" w:eastAsia="Times New Roman" w:cs="Times New Roman"/>
          <w:spacing w:val="-1"/>
          <w:sz w:val="24"/>
          <w:szCs w:val="24"/>
        </w:rPr>
        <w:t>2015.1.1</w:t>
      </w:r>
      <w:r>
        <w:rPr>
          <w:spacing w:val="-1"/>
          <w:sz w:val="24"/>
          <w:szCs w:val="24"/>
        </w:rPr>
        <w:t>；</w:t>
      </w:r>
    </w:p>
    <w:p w14:paraId="22454DD2">
      <w:pPr>
        <w:pStyle w:val="2"/>
        <w:spacing w:before="183" w:line="218" w:lineRule="auto"/>
        <w:ind w:left="514"/>
        <w:rPr>
          <w:sz w:val="24"/>
          <w:szCs w:val="24"/>
        </w:rPr>
      </w:pPr>
      <w:r>
        <w:rPr>
          <w:spacing w:val="-1"/>
          <w:sz w:val="24"/>
          <w:szCs w:val="24"/>
        </w:rPr>
        <w:t>（</w:t>
      </w:r>
      <w:r>
        <w:rPr>
          <w:rFonts w:ascii="Times New Roman" w:hAnsi="Times New Roman" w:eastAsia="Times New Roman" w:cs="Times New Roman"/>
          <w:spacing w:val="-1"/>
          <w:sz w:val="24"/>
          <w:szCs w:val="24"/>
        </w:rPr>
        <w:t>2</w:t>
      </w:r>
      <w:r>
        <w:rPr>
          <w:spacing w:val="-1"/>
          <w:sz w:val="24"/>
          <w:szCs w:val="24"/>
        </w:rPr>
        <w:t>）《中华人民共和国环境影响评价法》，</w:t>
      </w:r>
      <w:r>
        <w:rPr>
          <w:rFonts w:ascii="Times New Roman" w:hAnsi="Times New Roman" w:eastAsia="Times New Roman" w:cs="Times New Roman"/>
          <w:spacing w:val="-1"/>
          <w:sz w:val="24"/>
          <w:szCs w:val="24"/>
        </w:rPr>
        <w:t>2018.12.29</w:t>
      </w:r>
      <w:r>
        <w:rPr>
          <w:spacing w:val="-1"/>
          <w:sz w:val="24"/>
          <w:szCs w:val="24"/>
        </w:rPr>
        <w:t>；</w:t>
      </w:r>
    </w:p>
    <w:p w14:paraId="4AA7DE1E">
      <w:pPr>
        <w:pStyle w:val="2"/>
        <w:spacing w:before="185" w:line="219" w:lineRule="auto"/>
        <w:ind w:left="514"/>
        <w:rPr>
          <w:sz w:val="24"/>
          <w:szCs w:val="24"/>
        </w:rPr>
      </w:pPr>
      <w:r>
        <w:rPr>
          <w:spacing w:val="-1"/>
          <w:sz w:val="24"/>
          <w:szCs w:val="24"/>
        </w:rPr>
        <w:t>（</w:t>
      </w:r>
      <w:r>
        <w:rPr>
          <w:rFonts w:ascii="Times New Roman" w:hAnsi="Times New Roman" w:eastAsia="Times New Roman" w:cs="Times New Roman"/>
          <w:spacing w:val="-1"/>
          <w:sz w:val="24"/>
          <w:szCs w:val="24"/>
        </w:rPr>
        <w:t>3</w:t>
      </w:r>
      <w:r>
        <w:rPr>
          <w:spacing w:val="-1"/>
          <w:sz w:val="24"/>
          <w:szCs w:val="24"/>
        </w:rPr>
        <w:t>）《中华人民共和国电力法》，</w:t>
      </w:r>
      <w:r>
        <w:rPr>
          <w:rFonts w:ascii="Times New Roman" w:hAnsi="Times New Roman" w:eastAsia="Times New Roman" w:cs="Times New Roman"/>
          <w:spacing w:val="-1"/>
          <w:sz w:val="24"/>
          <w:szCs w:val="24"/>
        </w:rPr>
        <w:t>2018.10.26</w:t>
      </w:r>
      <w:r>
        <w:rPr>
          <w:spacing w:val="-1"/>
          <w:sz w:val="24"/>
          <w:szCs w:val="24"/>
        </w:rPr>
        <w:t>；</w:t>
      </w:r>
    </w:p>
    <w:p w14:paraId="4167DCAE">
      <w:pPr>
        <w:pStyle w:val="2"/>
        <w:spacing w:before="184" w:line="219" w:lineRule="auto"/>
        <w:ind w:left="514"/>
        <w:rPr>
          <w:sz w:val="24"/>
          <w:szCs w:val="24"/>
        </w:rPr>
      </w:pPr>
      <w:r>
        <w:rPr>
          <w:spacing w:val="-2"/>
          <w:sz w:val="24"/>
          <w:szCs w:val="24"/>
        </w:rPr>
        <w:t>（</w:t>
      </w:r>
      <w:r>
        <w:rPr>
          <w:rFonts w:ascii="Times New Roman" w:hAnsi="Times New Roman" w:eastAsia="Times New Roman" w:cs="Times New Roman"/>
          <w:spacing w:val="-2"/>
          <w:sz w:val="24"/>
          <w:szCs w:val="24"/>
        </w:rPr>
        <w:t>4</w:t>
      </w:r>
      <w:r>
        <w:rPr>
          <w:spacing w:val="-2"/>
          <w:sz w:val="24"/>
          <w:szCs w:val="24"/>
        </w:rPr>
        <w:t>）《电力设施保护条例》，</w:t>
      </w:r>
      <w:r>
        <w:rPr>
          <w:rFonts w:ascii="Times New Roman" w:hAnsi="Times New Roman" w:eastAsia="Times New Roman" w:cs="Times New Roman"/>
          <w:spacing w:val="-2"/>
          <w:sz w:val="24"/>
          <w:szCs w:val="24"/>
        </w:rPr>
        <w:t>2011.1.8</w:t>
      </w:r>
      <w:r>
        <w:rPr>
          <w:spacing w:val="-2"/>
          <w:sz w:val="24"/>
          <w:szCs w:val="24"/>
        </w:rPr>
        <w:t>；</w:t>
      </w:r>
    </w:p>
    <w:p w14:paraId="03189CE6">
      <w:pPr>
        <w:pStyle w:val="2"/>
        <w:spacing w:before="183" w:line="219" w:lineRule="auto"/>
        <w:ind w:left="514"/>
        <w:rPr>
          <w:sz w:val="24"/>
          <w:szCs w:val="24"/>
        </w:rPr>
      </w:pPr>
      <w:r>
        <w:rPr>
          <w:spacing w:val="-1"/>
          <w:sz w:val="24"/>
          <w:szCs w:val="24"/>
        </w:rPr>
        <w:t>（</w:t>
      </w:r>
      <w:r>
        <w:rPr>
          <w:rFonts w:ascii="Times New Roman" w:hAnsi="Times New Roman" w:eastAsia="Times New Roman" w:cs="Times New Roman"/>
          <w:spacing w:val="-1"/>
          <w:sz w:val="24"/>
          <w:szCs w:val="24"/>
        </w:rPr>
        <w:t>5</w:t>
      </w:r>
      <w:r>
        <w:rPr>
          <w:spacing w:val="-1"/>
          <w:sz w:val="24"/>
          <w:szCs w:val="24"/>
        </w:rPr>
        <w:t>）《云南省电力设施保护条例》，</w:t>
      </w:r>
      <w:r>
        <w:rPr>
          <w:rFonts w:ascii="Times New Roman" w:hAnsi="Times New Roman" w:eastAsia="Times New Roman" w:cs="Times New Roman"/>
          <w:spacing w:val="-1"/>
          <w:sz w:val="24"/>
          <w:szCs w:val="24"/>
        </w:rPr>
        <w:t>2024.11.2</w:t>
      </w:r>
      <w:r>
        <w:rPr>
          <w:rFonts w:ascii="Times New Roman" w:hAnsi="Times New Roman" w:eastAsia="Times New Roman" w:cs="Times New Roman"/>
          <w:spacing w:val="-2"/>
          <w:sz w:val="24"/>
          <w:szCs w:val="24"/>
        </w:rPr>
        <w:t>8</w:t>
      </w:r>
      <w:r>
        <w:rPr>
          <w:spacing w:val="-2"/>
          <w:sz w:val="24"/>
          <w:szCs w:val="24"/>
        </w:rPr>
        <w:t>；</w:t>
      </w:r>
    </w:p>
    <w:p w14:paraId="0F073330">
      <w:pPr>
        <w:pStyle w:val="2"/>
        <w:spacing w:before="183" w:line="219" w:lineRule="auto"/>
        <w:ind w:left="514"/>
        <w:rPr>
          <w:sz w:val="24"/>
          <w:szCs w:val="24"/>
        </w:rPr>
      </w:pPr>
      <w:r>
        <w:rPr>
          <w:spacing w:val="-1"/>
          <w:sz w:val="24"/>
          <w:szCs w:val="24"/>
        </w:rPr>
        <w:t>（</w:t>
      </w:r>
      <w:r>
        <w:rPr>
          <w:rFonts w:ascii="Times New Roman" w:hAnsi="Times New Roman" w:eastAsia="Times New Roman" w:cs="Times New Roman"/>
          <w:spacing w:val="-1"/>
          <w:sz w:val="24"/>
          <w:szCs w:val="24"/>
        </w:rPr>
        <w:t>6</w:t>
      </w:r>
      <w:r>
        <w:rPr>
          <w:spacing w:val="-1"/>
          <w:sz w:val="24"/>
          <w:szCs w:val="24"/>
        </w:rPr>
        <w:t>）《云南省生态环境保护条例》，</w:t>
      </w:r>
      <w:r>
        <w:rPr>
          <w:rFonts w:ascii="Times New Roman" w:hAnsi="Times New Roman" w:eastAsia="Times New Roman" w:cs="Times New Roman"/>
          <w:spacing w:val="-1"/>
          <w:sz w:val="24"/>
          <w:szCs w:val="24"/>
        </w:rPr>
        <w:t>2024.11</w:t>
      </w:r>
      <w:r>
        <w:rPr>
          <w:rFonts w:ascii="Times New Roman" w:hAnsi="Times New Roman" w:eastAsia="Times New Roman" w:cs="Times New Roman"/>
          <w:spacing w:val="-2"/>
          <w:sz w:val="24"/>
          <w:szCs w:val="24"/>
        </w:rPr>
        <w:t>.1</w:t>
      </w:r>
      <w:r>
        <w:rPr>
          <w:spacing w:val="-2"/>
          <w:sz w:val="24"/>
          <w:szCs w:val="24"/>
        </w:rPr>
        <w:t>；</w:t>
      </w:r>
    </w:p>
    <w:p w14:paraId="70BCF5D5">
      <w:pPr>
        <w:pStyle w:val="2"/>
        <w:spacing w:before="183" w:line="219" w:lineRule="auto"/>
        <w:ind w:left="514"/>
        <w:rPr>
          <w:sz w:val="24"/>
          <w:szCs w:val="24"/>
        </w:rPr>
      </w:pPr>
      <w:r>
        <w:rPr>
          <w:spacing w:val="-1"/>
          <w:sz w:val="24"/>
          <w:szCs w:val="24"/>
        </w:rPr>
        <w:t>（</w:t>
      </w:r>
      <w:r>
        <w:rPr>
          <w:rFonts w:ascii="Times New Roman" w:hAnsi="Times New Roman" w:eastAsia="Times New Roman" w:cs="Times New Roman"/>
          <w:spacing w:val="-1"/>
          <w:sz w:val="24"/>
          <w:szCs w:val="24"/>
        </w:rPr>
        <w:t>7</w:t>
      </w:r>
      <w:r>
        <w:rPr>
          <w:spacing w:val="-1"/>
          <w:sz w:val="24"/>
          <w:szCs w:val="24"/>
        </w:rPr>
        <w:t>）《建设项目环境保护管理条例》，</w:t>
      </w:r>
      <w:r>
        <w:rPr>
          <w:rFonts w:ascii="Times New Roman" w:hAnsi="Times New Roman" w:eastAsia="Times New Roman" w:cs="Times New Roman"/>
          <w:spacing w:val="-1"/>
          <w:sz w:val="24"/>
          <w:szCs w:val="24"/>
        </w:rPr>
        <w:t>2017.10.1</w:t>
      </w:r>
      <w:r>
        <w:rPr>
          <w:spacing w:val="-1"/>
          <w:sz w:val="24"/>
          <w:szCs w:val="24"/>
        </w:rPr>
        <w:t>；</w:t>
      </w:r>
    </w:p>
    <w:p w14:paraId="66FFA58C">
      <w:pPr>
        <w:pStyle w:val="2"/>
        <w:spacing w:before="184" w:line="219" w:lineRule="auto"/>
        <w:ind w:left="514"/>
        <w:rPr>
          <w:sz w:val="24"/>
          <w:szCs w:val="24"/>
        </w:rPr>
      </w:pPr>
      <w:r>
        <w:rPr>
          <w:spacing w:val="-1"/>
          <w:sz w:val="24"/>
          <w:szCs w:val="24"/>
        </w:rPr>
        <w:t>（</w:t>
      </w:r>
      <w:r>
        <w:rPr>
          <w:rFonts w:ascii="Times New Roman" w:hAnsi="Times New Roman" w:eastAsia="Times New Roman" w:cs="Times New Roman"/>
          <w:spacing w:val="-1"/>
          <w:sz w:val="24"/>
          <w:szCs w:val="24"/>
        </w:rPr>
        <w:t>8</w:t>
      </w:r>
      <w:r>
        <w:rPr>
          <w:spacing w:val="-1"/>
          <w:sz w:val="24"/>
          <w:szCs w:val="24"/>
        </w:rPr>
        <w:t>）《建设项目环境保护分类管理名录（</w:t>
      </w:r>
      <w:r>
        <w:rPr>
          <w:rFonts w:ascii="Times New Roman" w:hAnsi="Times New Roman" w:eastAsia="Times New Roman" w:cs="Times New Roman"/>
          <w:spacing w:val="-1"/>
          <w:sz w:val="24"/>
          <w:szCs w:val="24"/>
        </w:rPr>
        <w:t xml:space="preserve">2021 </w:t>
      </w:r>
      <w:r>
        <w:rPr>
          <w:spacing w:val="-1"/>
          <w:sz w:val="24"/>
          <w:szCs w:val="24"/>
        </w:rPr>
        <w:t>年版）》，</w:t>
      </w:r>
      <w:r>
        <w:rPr>
          <w:rFonts w:ascii="Times New Roman" w:hAnsi="Times New Roman" w:eastAsia="Times New Roman" w:cs="Times New Roman"/>
          <w:spacing w:val="-1"/>
          <w:sz w:val="24"/>
          <w:szCs w:val="24"/>
        </w:rPr>
        <w:t>2021.1.1</w:t>
      </w:r>
      <w:r>
        <w:rPr>
          <w:spacing w:val="-1"/>
          <w:sz w:val="24"/>
          <w:szCs w:val="24"/>
        </w:rPr>
        <w:t>；</w:t>
      </w:r>
    </w:p>
    <w:p w14:paraId="47386F7D">
      <w:pPr>
        <w:pStyle w:val="2"/>
        <w:spacing w:before="182" w:line="219" w:lineRule="auto"/>
        <w:ind w:left="514"/>
        <w:rPr>
          <w:sz w:val="24"/>
          <w:szCs w:val="24"/>
        </w:rPr>
      </w:pPr>
      <w:r>
        <w:rPr>
          <w:spacing w:val="-1"/>
          <w:sz w:val="24"/>
          <w:szCs w:val="24"/>
        </w:rPr>
        <w:t>（</w:t>
      </w:r>
      <w:r>
        <w:rPr>
          <w:rFonts w:ascii="Times New Roman" w:hAnsi="Times New Roman" w:eastAsia="Times New Roman" w:cs="Times New Roman"/>
          <w:spacing w:val="-1"/>
          <w:sz w:val="24"/>
          <w:szCs w:val="24"/>
        </w:rPr>
        <w:t>9</w:t>
      </w:r>
      <w:r>
        <w:rPr>
          <w:spacing w:val="-1"/>
          <w:sz w:val="24"/>
          <w:szCs w:val="24"/>
        </w:rPr>
        <w:t>）《产业结构调整指导目录》（</w:t>
      </w:r>
      <w:r>
        <w:rPr>
          <w:rFonts w:ascii="Times New Roman" w:hAnsi="Times New Roman" w:eastAsia="Times New Roman" w:cs="Times New Roman"/>
          <w:spacing w:val="-1"/>
          <w:sz w:val="24"/>
          <w:szCs w:val="24"/>
        </w:rPr>
        <w:t xml:space="preserve">2024 </w:t>
      </w:r>
      <w:r>
        <w:rPr>
          <w:spacing w:val="-1"/>
          <w:sz w:val="24"/>
          <w:szCs w:val="24"/>
        </w:rPr>
        <w:t>年本）。</w:t>
      </w:r>
    </w:p>
    <w:p w14:paraId="70EB4487">
      <w:pPr>
        <w:pStyle w:val="2"/>
        <w:spacing w:before="239" w:line="219" w:lineRule="auto"/>
        <w:ind w:left="20"/>
      </w:pPr>
      <w:r>
        <w:rPr>
          <w:rFonts w:ascii="Times New Roman" w:hAnsi="Times New Roman" w:eastAsia="Times New Roman" w:cs="Times New Roman"/>
          <w:b/>
          <w:bCs/>
          <w:spacing w:val="-2"/>
        </w:rPr>
        <w:t xml:space="preserve">2.1.2  </w:t>
      </w:r>
      <w:r>
        <w:rPr>
          <w:b/>
          <w:bCs/>
          <w:spacing w:val="-2"/>
        </w:rPr>
        <w:t>环境影响评价有关标准、技术规程</w:t>
      </w:r>
    </w:p>
    <w:p w14:paraId="0698C086">
      <w:pPr>
        <w:pStyle w:val="2"/>
        <w:spacing w:before="237" w:line="218" w:lineRule="auto"/>
        <w:ind w:left="514"/>
        <w:rPr>
          <w:sz w:val="24"/>
          <w:szCs w:val="24"/>
        </w:rPr>
      </w:pPr>
      <w:r>
        <w:rPr>
          <w:spacing w:val="-1"/>
          <w:sz w:val="24"/>
          <w:szCs w:val="24"/>
        </w:rPr>
        <w:t>（</w:t>
      </w:r>
      <w:r>
        <w:rPr>
          <w:rFonts w:ascii="Times New Roman" w:hAnsi="Times New Roman" w:eastAsia="Times New Roman" w:cs="Times New Roman"/>
          <w:spacing w:val="-1"/>
          <w:sz w:val="24"/>
          <w:szCs w:val="24"/>
        </w:rPr>
        <w:t>1</w:t>
      </w:r>
      <w:r>
        <w:rPr>
          <w:spacing w:val="-1"/>
          <w:sz w:val="24"/>
          <w:szCs w:val="24"/>
        </w:rPr>
        <w:t>）《建设项目环境影响评价技术导则 总纲》（</w:t>
      </w:r>
      <w:r>
        <w:rPr>
          <w:rFonts w:ascii="Times New Roman" w:hAnsi="Times New Roman" w:eastAsia="Times New Roman" w:cs="Times New Roman"/>
          <w:spacing w:val="-1"/>
          <w:sz w:val="24"/>
          <w:szCs w:val="24"/>
        </w:rPr>
        <w:t>HJ2.1-2016</w:t>
      </w:r>
      <w:r>
        <w:rPr>
          <w:spacing w:val="5"/>
          <w:sz w:val="24"/>
          <w:szCs w:val="24"/>
        </w:rPr>
        <w:t>）；</w:t>
      </w:r>
    </w:p>
    <w:p w14:paraId="1AE89A2B">
      <w:pPr>
        <w:pStyle w:val="2"/>
        <w:spacing w:before="185" w:line="219" w:lineRule="auto"/>
        <w:ind w:left="514"/>
        <w:rPr>
          <w:sz w:val="24"/>
          <w:szCs w:val="24"/>
        </w:rPr>
      </w:pPr>
      <w:r>
        <w:rPr>
          <w:spacing w:val="-2"/>
          <w:sz w:val="24"/>
          <w:szCs w:val="24"/>
        </w:rPr>
        <w:t>（</w:t>
      </w:r>
      <w:r>
        <w:rPr>
          <w:rFonts w:ascii="Times New Roman" w:hAnsi="Times New Roman" w:eastAsia="Times New Roman" w:cs="Times New Roman"/>
          <w:spacing w:val="-2"/>
          <w:sz w:val="24"/>
          <w:szCs w:val="24"/>
        </w:rPr>
        <w:t>2</w:t>
      </w:r>
      <w:r>
        <w:rPr>
          <w:spacing w:val="-2"/>
          <w:sz w:val="24"/>
          <w:szCs w:val="24"/>
        </w:rPr>
        <w:t>）《电磁环境控制限值》（</w:t>
      </w:r>
      <w:r>
        <w:rPr>
          <w:rFonts w:ascii="Times New Roman" w:hAnsi="Times New Roman" w:eastAsia="Times New Roman" w:cs="Times New Roman"/>
          <w:spacing w:val="-2"/>
          <w:sz w:val="24"/>
          <w:szCs w:val="24"/>
        </w:rPr>
        <w:t>GB</w:t>
      </w:r>
      <w:r>
        <w:rPr>
          <w:rFonts w:ascii="Times New Roman" w:hAnsi="Times New Roman" w:eastAsia="Times New Roman" w:cs="Times New Roman"/>
          <w:spacing w:val="15"/>
          <w:w w:val="101"/>
          <w:sz w:val="24"/>
          <w:szCs w:val="24"/>
        </w:rPr>
        <w:t xml:space="preserve"> </w:t>
      </w:r>
      <w:r>
        <w:rPr>
          <w:rFonts w:ascii="Times New Roman" w:hAnsi="Times New Roman" w:eastAsia="Times New Roman" w:cs="Times New Roman"/>
          <w:spacing w:val="-2"/>
          <w:sz w:val="24"/>
          <w:szCs w:val="24"/>
        </w:rPr>
        <w:t>8702-2014</w:t>
      </w:r>
      <w:r>
        <w:rPr>
          <w:spacing w:val="6"/>
          <w:sz w:val="24"/>
          <w:szCs w:val="24"/>
        </w:rPr>
        <w:t>）；</w:t>
      </w:r>
    </w:p>
    <w:p w14:paraId="4F66DEC7">
      <w:pPr>
        <w:pStyle w:val="2"/>
        <w:spacing w:before="183" w:line="218" w:lineRule="auto"/>
        <w:ind w:left="514"/>
        <w:rPr>
          <w:sz w:val="24"/>
          <w:szCs w:val="24"/>
        </w:rPr>
      </w:pPr>
      <w:r>
        <w:rPr>
          <w:spacing w:val="-1"/>
          <w:sz w:val="24"/>
          <w:szCs w:val="24"/>
        </w:rPr>
        <w:t>（</w:t>
      </w:r>
      <w:r>
        <w:rPr>
          <w:rFonts w:ascii="Times New Roman" w:hAnsi="Times New Roman" w:eastAsia="Times New Roman" w:cs="Times New Roman"/>
          <w:spacing w:val="-1"/>
          <w:sz w:val="24"/>
          <w:szCs w:val="24"/>
        </w:rPr>
        <w:t>3</w:t>
      </w:r>
      <w:r>
        <w:rPr>
          <w:spacing w:val="-1"/>
          <w:sz w:val="24"/>
          <w:szCs w:val="24"/>
        </w:rPr>
        <w:t>）《环境影响评价技术导则  输变电》（</w:t>
      </w:r>
      <w:r>
        <w:rPr>
          <w:rFonts w:ascii="Times New Roman" w:hAnsi="Times New Roman" w:eastAsia="Times New Roman" w:cs="Times New Roman"/>
          <w:spacing w:val="-1"/>
          <w:sz w:val="24"/>
          <w:szCs w:val="24"/>
        </w:rPr>
        <w:t>HJ24-2020</w:t>
      </w:r>
      <w:r>
        <w:rPr>
          <w:spacing w:val="3"/>
          <w:sz w:val="24"/>
          <w:szCs w:val="24"/>
        </w:rPr>
        <w:t>）；</w:t>
      </w:r>
    </w:p>
    <w:p w14:paraId="5FAE0E78">
      <w:pPr>
        <w:pStyle w:val="2"/>
        <w:spacing w:before="185" w:line="219" w:lineRule="auto"/>
        <w:ind w:left="514"/>
        <w:rPr>
          <w:sz w:val="24"/>
          <w:szCs w:val="24"/>
        </w:rPr>
      </w:pPr>
      <w:r>
        <w:rPr>
          <w:spacing w:val="-1"/>
          <w:sz w:val="24"/>
          <w:szCs w:val="24"/>
        </w:rPr>
        <w:t>（</w:t>
      </w:r>
      <w:r>
        <w:rPr>
          <w:rFonts w:ascii="Times New Roman" w:hAnsi="Times New Roman" w:eastAsia="Times New Roman" w:cs="Times New Roman"/>
          <w:spacing w:val="-1"/>
          <w:sz w:val="24"/>
          <w:szCs w:val="24"/>
        </w:rPr>
        <w:t>4</w:t>
      </w:r>
      <w:r>
        <w:rPr>
          <w:spacing w:val="-1"/>
          <w:sz w:val="24"/>
          <w:szCs w:val="24"/>
        </w:rPr>
        <w:t>）《交流输变电工程电磁环境监测方法》（</w:t>
      </w:r>
      <w:r>
        <w:rPr>
          <w:rFonts w:ascii="Times New Roman" w:hAnsi="Times New Roman" w:eastAsia="Times New Roman" w:cs="Times New Roman"/>
          <w:spacing w:val="-1"/>
          <w:sz w:val="24"/>
          <w:szCs w:val="24"/>
        </w:rPr>
        <w:t>HJ 681-2013</w:t>
      </w:r>
      <w:r>
        <w:rPr>
          <w:spacing w:val="4"/>
          <w:sz w:val="24"/>
          <w:szCs w:val="24"/>
        </w:rPr>
        <w:t>）；</w:t>
      </w:r>
    </w:p>
    <w:p w14:paraId="6CFC12F0">
      <w:pPr>
        <w:pStyle w:val="2"/>
        <w:spacing w:before="183" w:line="219" w:lineRule="auto"/>
        <w:ind w:left="514"/>
        <w:rPr>
          <w:sz w:val="24"/>
          <w:szCs w:val="24"/>
        </w:rPr>
      </w:pPr>
      <w:r>
        <w:rPr>
          <w:spacing w:val="-1"/>
          <w:sz w:val="24"/>
          <w:szCs w:val="24"/>
        </w:rPr>
        <w:t>（</w:t>
      </w:r>
      <w:r>
        <w:rPr>
          <w:rFonts w:ascii="Times New Roman" w:hAnsi="Times New Roman" w:eastAsia="Times New Roman" w:cs="Times New Roman"/>
          <w:spacing w:val="-1"/>
          <w:sz w:val="24"/>
          <w:szCs w:val="24"/>
        </w:rPr>
        <w:t>5</w:t>
      </w:r>
      <w:r>
        <w:rPr>
          <w:spacing w:val="-1"/>
          <w:sz w:val="24"/>
          <w:szCs w:val="24"/>
        </w:rPr>
        <w:t>）《建设项目竣工环境保护验收技术规范 输变电》（</w:t>
      </w:r>
      <w:r>
        <w:rPr>
          <w:rFonts w:ascii="Times New Roman" w:hAnsi="Times New Roman" w:eastAsia="Times New Roman" w:cs="Times New Roman"/>
          <w:spacing w:val="-1"/>
          <w:sz w:val="24"/>
          <w:szCs w:val="24"/>
        </w:rPr>
        <w:t>HJ705-2020</w:t>
      </w:r>
      <w:r>
        <w:rPr>
          <w:spacing w:val="6"/>
          <w:sz w:val="24"/>
          <w:szCs w:val="24"/>
        </w:rPr>
        <w:t>）；</w:t>
      </w:r>
    </w:p>
    <w:p w14:paraId="780EDDDB">
      <w:pPr>
        <w:pStyle w:val="2"/>
        <w:spacing w:before="183" w:line="219" w:lineRule="auto"/>
        <w:ind w:left="514"/>
        <w:rPr>
          <w:sz w:val="24"/>
          <w:szCs w:val="24"/>
        </w:rPr>
      </w:pPr>
      <w:r>
        <w:rPr>
          <w:spacing w:val="-1"/>
          <w:sz w:val="24"/>
          <w:szCs w:val="24"/>
        </w:rPr>
        <w:t>（</w:t>
      </w:r>
      <w:r>
        <w:rPr>
          <w:rFonts w:ascii="Times New Roman" w:hAnsi="Times New Roman" w:eastAsia="Times New Roman" w:cs="Times New Roman"/>
          <w:spacing w:val="-1"/>
          <w:sz w:val="24"/>
          <w:szCs w:val="24"/>
        </w:rPr>
        <w:t>6</w:t>
      </w:r>
      <w:r>
        <w:rPr>
          <w:spacing w:val="-1"/>
          <w:sz w:val="24"/>
          <w:szCs w:val="24"/>
        </w:rPr>
        <w:t>）《输变电建设项目环境保护技术要求》（</w:t>
      </w:r>
      <w:r>
        <w:rPr>
          <w:rFonts w:ascii="Times New Roman" w:hAnsi="Times New Roman" w:eastAsia="Times New Roman" w:cs="Times New Roman"/>
          <w:spacing w:val="-1"/>
          <w:sz w:val="24"/>
          <w:szCs w:val="24"/>
        </w:rPr>
        <w:t>HJ1113-</w:t>
      </w:r>
      <w:r>
        <w:rPr>
          <w:rFonts w:ascii="Times New Roman" w:hAnsi="Times New Roman" w:eastAsia="Times New Roman" w:cs="Times New Roman"/>
          <w:spacing w:val="-2"/>
          <w:sz w:val="24"/>
          <w:szCs w:val="24"/>
        </w:rPr>
        <w:t>2020</w:t>
      </w:r>
      <w:r>
        <w:rPr>
          <w:spacing w:val="-2"/>
          <w:sz w:val="24"/>
          <w:szCs w:val="24"/>
        </w:rPr>
        <w:t>）。</w:t>
      </w:r>
    </w:p>
    <w:p w14:paraId="511503FB">
      <w:pPr>
        <w:pStyle w:val="2"/>
        <w:spacing w:before="239" w:line="221" w:lineRule="auto"/>
        <w:ind w:left="20"/>
      </w:pPr>
      <w:r>
        <w:rPr>
          <w:rFonts w:ascii="Times New Roman" w:hAnsi="Times New Roman" w:eastAsia="Times New Roman" w:cs="Times New Roman"/>
          <w:b/>
          <w:bCs/>
          <w:spacing w:val="-2"/>
        </w:rPr>
        <w:t xml:space="preserve">2.1.3  </w:t>
      </w:r>
      <w:r>
        <w:rPr>
          <w:b/>
          <w:bCs/>
          <w:spacing w:val="-2"/>
        </w:rPr>
        <w:t>设计的规程、规范</w:t>
      </w:r>
    </w:p>
    <w:p w14:paraId="53C49FBA">
      <w:pPr>
        <w:pStyle w:val="2"/>
        <w:spacing w:before="233" w:line="219" w:lineRule="auto"/>
        <w:ind w:left="514"/>
        <w:rPr>
          <w:sz w:val="24"/>
          <w:szCs w:val="24"/>
        </w:rPr>
      </w:pPr>
      <w:r>
        <w:rPr>
          <w:spacing w:val="-1"/>
          <w:sz w:val="24"/>
          <w:szCs w:val="24"/>
        </w:rPr>
        <w:t>（</w:t>
      </w:r>
      <w:r>
        <w:rPr>
          <w:rFonts w:ascii="Times New Roman" w:hAnsi="Times New Roman" w:eastAsia="Times New Roman" w:cs="Times New Roman"/>
          <w:spacing w:val="-1"/>
          <w:sz w:val="24"/>
          <w:szCs w:val="24"/>
        </w:rPr>
        <w:t>1</w:t>
      </w:r>
      <w:r>
        <w:rPr>
          <w:spacing w:val="-1"/>
          <w:sz w:val="24"/>
          <w:szCs w:val="24"/>
        </w:rPr>
        <w:t>）《</w:t>
      </w:r>
      <w:r>
        <w:rPr>
          <w:rFonts w:ascii="Times New Roman" w:hAnsi="Times New Roman" w:eastAsia="Times New Roman" w:cs="Times New Roman"/>
          <w:spacing w:val="-1"/>
          <w:sz w:val="24"/>
          <w:szCs w:val="24"/>
        </w:rPr>
        <w:t xml:space="preserve">110kV~750kV </w:t>
      </w:r>
      <w:r>
        <w:rPr>
          <w:spacing w:val="-1"/>
          <w:sz w:val="24"/>
          <w:szCs w:val="24"/>
        </w:rPr>
        <w:t>架空输电线路设计技术规范》（</w:t>
      </w:r>
      <w:r>
        <w:rPr>
          <w:rFonts w:ascii="Times New Roman" w:hAnsi="Times New Roman" w:eastAsia="Times New Roman" w:cs="Times New Roman"/>
          <w:spacing w:val="-1"/>
          <w:sz w:val="24"/>
          <w:szCs w:val="24"/>
        </w:rPr>
        <w:t>GB50545-2010</w:t>
      </w:r>
      <w:r>
        <w:rPr>
          <w:spacing w:val="4"/>
          <w:sz w:val="24"/>
          <w:szCs w:val="24"/>
        </w:rPr>
        <w:t>）；</w:t>
      </w:r>
    </w:p>
    <w:p w14:paraId="5F8B0CDF">
      <w:pPr>
        <w:pStyle w:val="2"/>
        <w:spacing w:before="184" w:line="219" w:lineRule="auto"/>
        <w:ind w:left="514"/>
        <w:rPr>
          <w:sz w:val="24"/>
          <w:szCs w:val="24"/>
        </w:rPr>
      </w:pPr>
      <w:r>
        <w:rPr>
          <w:spacing w:val="-1"/>
          <w:sz w:val="24"/>
          <w:szCs w:val="24"/>
        </w:rPr>
        <w:t>（</w:t>
      </w:r>
      <w:r>
        <w:rPr>
          <w:rFonts w:ascii="Times New Roman" w:hAnsi="Times New Roman" w:eastAsia="Times New Roman" w:cs="Times New Roman"/>
          <w:spacing w:val="-1"/>
          <w:sz w:val="24"/>
          <w:szCs w:val="24"/>
        </w:rPr>
        <w:t>2</w:t>
      </w:r>
      <w:r>
        <w:rPr>
          <w:spacing w:val="-1"/>
          <w:sz w:val="24"/>
          <w:szCs w:val="24"/>
        </w:rPr>
        <w:t>）《架空输电线路杆塔结构设计技术规定》（</w:t>
      </w:r>
      <w:r>
        <w:rPr>
          <w:rFonts w:ascii="Times New Roman" w:hAnsi="Times New Roman" w:eastAsia="Times New Roman" w:cs="Times New Roman"/>
          <w:spacing w:val="-1"/>
          <w:sz w:val="24"/>
          <w:szCs w:val="24"/>
        </w:rPr>
        <w:t>DL/T5154-2012</w:t>
      </w:r>
      <w:r>
        <w:rPr>
          <w:spacing w:val="-1"/>
          <w:sz w:val="24"/>
          <w:szCs w:val="24"/>
        </w:rPr>
        <w:t>）。</w:t>
      </w:r>
    </w:p>
    <w:p w14:paraId="248BA2A1">
      <w:pPr>
        <w:pStyle w:val="2"/>
        <w:spacing w:before="239" w:line="220" w:lineRule="auto"/>
        <w:ind w:left="20"/>
      </w:pPr>
      <w:r>
        <w:rPr>
          <w:rFonts w:ascii="Times New Roman" w:hAnsi="Times New Roman" w:eastAsia="Times New Roman" w:cs="Times New Roman"/>
          <w:b/>
          <w:bCs/>
          <w:spacing w:val="-2"/>
        </w:rPr>
        <w:t xml:space="preserve">2.1.4  </w:t>
      </w:r>
      <w:r>
        <w:rPr>
          <w:b/>
          <w:bCs/>
          <w:spacing w:val="-2"/>
        </w:rPr>
        <w:t>工程技术资料</w:t>
      </w:r>
    </w:p>
    <w:p w14:paraId="297EEFCB">
      <w:pPr>
        <w:pStyle w:val="2"/>
        <w:spacing w:before="234" w:line="360" w:lineRule="auto"/>
        <w:ind w:left="30" w:right="13" w:firstLine="484"/>
        <w:rPr>
          <w:sz w:val="24"/>
          <w:szCs w:val="24"/>
        </w:rPr>
      </w:pPr>
      <w:r>
        <w:rPr>
          <w:sz w:val="24"/>
          <w:szCs w:val="24"/>
        </w:rPr>
        <w:t>（</w:t>
      </w:r>
      <w:r>
        <w:rPr>
          <w:rFonts w:ascii="Times New Roman" w:hAnsi="Times New Roman" w:eastAsia="Times New Roman" w:cs="Times New Roman"/>
          <w:sz w:val="24"/>
          <w:szCs w:val="24"/>
        </w:rPr>
        <w:t>1</w:t>
      </w:r>
      <w:r>
        <w:rPr>
          <w:sz w:val="24"/>
          <w:szCs w:val="24"/>
        </w:rPr>
        <w:t>）《</w:t>
      </w:r>
      <w:r>
        <w:rPr>
          <w:rFonts w:ascii="Times New Roman" w:hAnsi="Times New Roman" w:eastAsia="Times New Roman" w:cs="Times New Roman"/>
          <w:sz w:val="24"/>
          <w:szCs w:val="24"/>
        </w:rPr>
        <w:t xml:space="preserve">110kV </w:t>
      </w:r>
      <w:r>
        <w:rPr>
          <w:sz w:val="24"/>
          <w:szCs w:val="24"/>
        </w:rPr>
        <w:t>松山输变电工程可行性研究报告》（云南欣博工程咨询有限</w:t>
      </w:r>
      <w:r>
        <w:rPr>
          <w:spacing w:val="-9"/>
          <w:sz w:val="24"/>
          <w:szCs w:val="24"/>
        </w:rPr>
        <w:t>公司</w:t>
      </w:r>
      <w:r>
        <w:rPr>
          <w:sz w:val="24"/>
          <w:szCs w:val="24"/>
        </w:rPr>
        <w:t>）；</w:t>
      </w:r>
    </w:p>
    <w:p w14:paraId="36E48CC5">
      <w:pPr>
        <w:pStyle w:val="2"/>
        <w:spacing w:line="362" w:lineRule="auto"/>
        <w:ind w:left="34" w:right="11" w:firstLine="480"/>
        <w:rPr>
          <w:sz w:val="24"/>
          <w:szCs w:val="24"/>
        </w:rPr>
      </w:pPr>
      <w:r>
        <w:rPr>
          <w:spacing w:val="-2"/>
          <w:sz w:val="24"/>
          <w:szCs w:val="24"/>
        </w:rPr>
        <w:t>（</w:t>
      </w:r>
      <w:r>
        <w:rPr>
          <w:rFonts w:ascii="Times New Roman" w:hAnsi="Times New Roman" w:eastAsia="Times New Roman" w:cs="Times New Roman"/>
          <w:spacing w:val="-2"/>
          <w:sz w:val="24"/>
          <w:szCs w:val="24"/>
        </w:rPr>
        <w:t>2</w:t>
      </w:r>
      <w:r>
        <w:rPr>
          <w:spacing w:val="-2"/>
          <w:sz w:val="24"/>
          <w:szCs w:val="24"/>
        </w:rPr>
        <w:t>）曲靖市发展和改革委员会《关于</w:t>
      </w:r>
      <w:r>
        <w:rPr>
          <w:spacing w:val="-32"/>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松山输变电工程核准的</w:t>
      </w:r>
      <w:r>
        <w:rPr>
          <w:spacing w:val="-3"/>
          <w:sz w:val="24"/>
          <w:szCs w:val="24"/>
        </w:rPr>
        <w:t>批复》</w:t>
      </w:r>
      <w:r>
        <w:rPr>
          <w:sz w:val="24"/>
          <w:szCs w:val="24"/>
        </w:rPr>
        <w:t xml:space="preserve"> </w:t>
      </w:r>
      <w:r>
        <w:rPr>
          <w:spacing w:val="-3"/>
          <w:sz w:val="24"/>
          <w:szCs w:val="24"/>
        </w:rPr>
        <w:t>（曲发改基础﹝</w:t>
      </w:r>
      <w:r>
        <w:rPr>
          <w:rFonts w:ascii="Times New Roman" w:hAnsi="Times New Roman" w:eastAsia="Times New Roman" w:cs="Times New Roman"/>
          <w:spacing w:val="-3"/>
          <w:sz w:val="24"/>
          <w:szCs w:val="24"/>
        </w:rPr>
        <w:t>2025</w:t>
      </w:r>
      <w:r>
        <w:rPr>
          <w:spacing w:val="-3"/>
          <w:sz w:val="24"/>
          <w:szCs w:val="24"/>
        </w:rPr>
        <w:t>﹞</w:t>
      </w:r>
      <w:r>
        <w:rPr>
          <w:rFonts w:ascii="Times New Roman" w:hAnsi="Times New Roman" w:eastAsia="Times New Roman" w:cs="Times New Roman"/>
          <w:spacing w:val="-3"/>
          <w:sz w:val="24"/>
          <w:szCs w:val="24"/>
        </w:rPr>
        <w:t>55</w:t>
      </w:r>
      <w:r>
        <w:rPr>
          <w:rFonts w:ascii="Times New Roman" w:hAnsi="Times New Roman" w:eastAsia="Times New Roman" w:cs="Times New Roman"/>
          <w:spacing w:val="15"/>
          <w:sz w:val="24"/>
          <w:szCs w:val="24"/>
        </w:rPr>
        <w:t xml:space="preserve"> </w:t>
      </w:r>
      <w:r>
        <w:rPr>
          <w:spacing w:val="-3"/>
          <w:sz w:val="24"/>
          <w:szCs w:val="24"/>
        </w:rPr>
        <w:t>号</w:t>
      </w:r>
      <w:r>
        <w:rPr>
          <w:spacing w:val="4"/>
          <w:sz w:val="24"/>
          <w:szCs w:val="24"/>
        </w:rPr>
        <w:t>）；</w:t>
      </w:r>
    </w:p>
    <w:p w14:paraId="532F2473">
      <w:pPr>
        <w:spacing w:line="362" w:lineRule="auto"/>
        <w:rPr>
          <w:sz w:val="24"/>
          <w:szCs w:val="24"/>
        </w:rPr>
        <w:sectPr>
          <w:footerReference r:id="rId156" w:type="default"/>
          <w:pgSz w:w="11906" w:h="16839"/>
          <w:pgMar w:top="400" w:right="1785" w:bottom="1147" w:left="1785" w:header="0" w:footer="960" w:gutter="0"/>
          <w:cols w:space="720" w:num="1"/>
        </w:sectPr>
      </w:pPr>
    </w:p>
    <w:p w14:paraId="5E7A7AAF">
      <w:pPr>
        <w:spacing w:line="267" w:lineRule="auto"/>
        <w:rPr>
          <w:rFonts w:ascii="Arial"/>
          <w:sz w:val="21"/>
        </w:rPr>
      </w:pPr>
    </w:p>
    <w:p w14:paraId="24792A99">
      <w:pPr>
        <w:spacing w:line="267" w:lineRule="auto"/>
        <w:rPr>
          <w:rFonts w:ascii="Arial"/>
          <w:sz w:val="21"/>
        </w:rPr>
      </w:pPr>
    </w:p>
    <w:p w14:paraId="672AF742">
      <w:pPr>
        <w:spacing w:line="267" w:lineRule="auto"/>
        <w:rPr>
          <w:rFonts w:ascii="Arial"/>
          <w:sz w:val="21"/>
        </w:rPr>
      </w:pPr>
    </w:p>
    <w:p w14:paraId="48EE5DC7">
      <w:pPr>
        <w:spacing w:line="268" w:lineRule="auto"/>
        <w:rPr>
          <w:rFonts w:ascii="Arial"/>
          <w:sz w:val="21"/>
        </w:rPr>
      </w:pPr>
    </w:p>
    <w:p w14:paraId="192C8C7D">
      <w:pPr>
        <w:pStyle w:val="2"/>
        <w:spacing w:before="78" w:line="360" w:lineRule="auto"/>
        <w:ind w:left="126" w:right="114" w:firstLine="489"/>
        <w:rPr>
          <w:sz w:val="24"/>
          <w:szCs w:val="24"/>
        </w:rPr>
      </w:pPr>
      <w:r>
        <w:rPr>
          <w:spacing w:val="-2"/>
          <w:sz w:val="24"/>
          <w:szCs w:val="24"/>
        </w:rPr>
        <w:t>（</w:t>
      </w:r>
      <w:r>
        <w:rPr>
          <w:rFonts w:ascii="Times New Roman" w:hAnsi="Times New Roman" w:eastAsia="Times New Roman" w:cs="Times New Roman"/>
          <w:spacing w:val="-2"/>
          <w:sz w:val="24"/>
          <w:szCs w:val="24"/>
        </w:rPr>
        <w:t>3</w:t>
      </w:r>
      <w:r>
        <w:rPr>
          <w:spacing w:val="-2"/>
          <w:sz w:val="24"/>
          <w:szCs w:val="24"/>
        </w:rPr>
        <w:t>）云南电网有限责任公司《关于印发曲靖供电局</w:t>
      </w:r>
      <w:r>
        <w:rPr>
          <w:spacing w:val="-32"/>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松山</w:t>
      </w:r>
      <w:r>
        <w:rPr>
          <w:spacing w:val="-3"/>
          <w:sz w:val="24"/>
          <w:szCs w:val="24"/>
        </w:rPr>
        <w:t>输变电工程</w:t>
      </w:r>
      <w:r>
        <w:rPr>
          <w:spacing w:val="-2"/>
          <w:sz w:val="24"/>
          <w:szCs w:val="24"/>
        </w:rPr>
        <w:t>可行性研究评审意见的通知》（云电规划﹝</w:t>
      </w:r>
      <w:r>
        <w:rPr>
          <w:rFonts w:ascii="Times New Roman" w:hAnsi="Times New Roman" w:eastAsia="Times New Roman" w:cs="Times New Roman"/>
          <w:spacing w:val="-2"/>
          <w:sz w:val="24"/>
          <w:szCs w:val="24"/>
        </w:rPr>
        <w:t>2025</w:t>
      </w:r>
      <w:r>
        <w:rPr>
          <w:spacing w:val="-2"/>
          <w:sz w:val="24"/>
          <w:szCs w:val="24"/>
        </w:rPr>
        <w:t>﹞</w:t>
      </w:r>
      <w:r>
        <w:rPr>
          <w:rFonts w:ascii="Times New Roman" w:hAnsi="Times New Roman" w:eastAsia="Times New Roman" w:cs="Times New Roman"/>
          <w:spacing w:val="-2"/>
          <w:sz w:val="24"/>
          <w:szCs w:val="24"/>
        </w:rPr>
        <w:t>446</w:t>
      </w:r>
      <w:r>
        <w:rPr>
          <w:rFonts w:ascii="Times New Roman" w:hAnsi="Times New Roman" w:eastAsia="Times New Roman" w:cs="Times New Roman"/>
          <w:spacing w:val="16"/>
          <w:sz w:val="24"/>
          <w:szCs w:val="24"/>
        </w:rPr>
        <w:t xml:space="preserve"> </w:t>
      </w:r>
      <w:r>
        <w:rPr>
          <w:spacing w:val="-2"/>
          <w:sz w:val="24"/>
          <w:szCs w:val="24"/>
        </w:rPr>
        <w:t>号</w:t>
      </w:r>
      <w:r>
        <w:rPr>
          <w:spacing w:val="5"/>
          <w:sz w:val="24"/>
          <w:szCs w:val="24"/>
        </w:rPr>
        <w:t>）；</w:t>
      </w:r>
      <w:r>
        <w:rPr>
          <w:spacing w:val="-2"/>
          <w:sz w:val="24"/>
          <w:szCs w:val="24"/>
        </w:rPr>
        <w:t>云南电网有限责任</w:t>
      </w:r>
      <w:r>
        <w:rPr>
          <w:spacing w:val="1"/>
          <w:sz w:val="24"/>
          <w:szCs w:val="24"/>
        </w:rPr>
        <w:t>公司电网规划建设研究中心《关于报送</w:t>
      </w:r>
      <w:r>
        <w:rPr>
          <w:spacing w:val="-15"/>
          <w:sz w:val="24"/>
          <w:szCs w:val="24"/>
        </w:rPr>
        <w:t xml:space="preserve"> </w:t>
      </w:r>
      <w:r>
        <w:rPr>
          <w:rFonts w:ascii="Times New Roman" w:hAnsi="Times New Roman" w:eastAsia="Times New Roman" w:cs="Times New Roman"/>
          <w:spacing w:val="1"/>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松山输变电工程可行性研究评审</w:t>
      </w:r>
      <w:r>
        <w:rPr>
          <w:spacing w:val="-2"/>
          <w:sz w:val="24"/>
          <w:szCs w:val="24"/>
        </w:rPr>
        <w:t>意见的函》（规划建设研究﹝</w:t>
      </w:r>
      <w:r>
        <w:rPr>
          <w:rFonts w:ascii="Times New Roman" w:hAnsi="Times New Roman" w:eastAsia="Times New Roman" w:cs="Times New Roman"/>
          <w:spacing w:val="-2"/>
          <w:sz w:val="24"/>
          <w:szCs w:val="24"/>
        </w:rPr>
        <w:t>2025</w:t>
      </w:r>
      <w:r>
        <w:rPr>
          <w:spacing w:val="-2"/>
          <w:sz w:val="24"/>
          <w:szCs w:val="24"/>
        </w:rPr>
        <w:t>﹞</w:t>
      </w:r>
      <w:r>
        <w:rPr>
          <w:rFonts w:ascii="Times New Roman" w:hAnsi="Times New Roman" w:eastAsia="Times New Roman" w:cs="Times New Roman"/>
          <w:spacing w:val="-2"/>
          <w:sz w:val="24"/>
          <w:szCs w:val="24"/>
        </w:rPr>
        <w:t>353</w:t>
      </w:r>
      <w:r>
        <w:rPr>
          <w:rFonts w:ascii="Times New Roman" w:hAnsi="Times New Roman" w:eastAsia="Times New Roman" w:cs="Times New Roman"/>
          <w:spacing w:val="15"/>
          <w:w w:val="101"/>
          <w:sz w:val="24"/>
          <w:szCs w:val="24"/>
        </w:rPr>
        <w:t xml:space="preserve"> </w:t>
      </w:r>
      <w:r>
        <w:rPr>
          <w:spacing w:val="-2"/>
          <w:sz w:val="24"/>
          <w:szCs w:val="24"/>
        </w:rPr>
        <w:t>号</w:t>
      </w:r>
      <w:r>
        <w:rPr>
          <w:spacing w:val="8"/>
          <w:sz w:val="24"/>
          <w:szCs w:val="24"/>
        </w:rPr>
        <w:t>）；</w:t>
      </w:r>
    </w:p>
    <w:p w14:paraId="06F21322">
      <w:pPr>
        <w:pStyle w:val="2"/>
        <w:spacing w:line="362" w:lineRule="auto"/>
        <w:ind w:left="124" w:right="117" w:firstLine="491"/>
        <w:rPr>
          <w:sz w:val="24"/>
          <w:szCs w:val="24"/>
        </w:rPr>
      </w:pPr>
      <w:r>
        <w:rPr>
          <w:spacing w:val="-1"/>
          <w:sz w:val="24"/>
          <w:szCs w:val="24"/>
        </w:rPr>
        <w:t>（</w:t>
      </w:r>
      <w:r>
        <w:rPr>
          <w:rFonts w:ascii="Times New Roman" w:hAnsi="Times New Roman" w:eastAsia="Times New Roman" w:cs="Times New Roman"/>
          <w:spacing w:val="-1"/>
          <w:sz w:val="24"/>
          <w:szCs w:val="24"/>
        </w:rPr>
        <w:t>4</w:t>
      </w:r>
      <w:r>
        <w:rPr>
          <w:spacing w:val="-1"/>
          <w:sz w:val="24"/>
          <w:szCs w:val="24"/>
        </w:rPr>
        <w:t>）陆良县人民政府《关于</w:t>
      </w:r>
      <w:r>
        <w:rPr>
          <w:spacing w:val="-23"/>
          <w:sz w:val="24"/>
          <w:szCs w:val="24"/>
        </w:rPr>
        <w:t xml:space="preserve"> </w:t>
      </w:r>
      <w:r>
        <w:rPr>
          <w:rFonts w:ascii="Times New Roman" w:hAnsi="Times New Roman" w:eastAsia="Times New Roman" w:cs="Times New Roman"/>
          <w:spacing w:val="-1"/>
          <w:sz w:val="24"/>
          <w:szCs w:val="24"/>
        </w:rPr>
        <w:t xml:space="preserve">110 </w:t>
      </w:r>
      <w:r>
        <w:rPr>
          <w:spacing w:val="-1"/>
          <w:sz w:val="24"/>
          <w:szCs w:val="24"/>
        </w:rPr>
        <w:t>千伏松山输变电工程变电站站址及线路路</w:t>
      </w:r>
      <w:r>
        <w:rPr>
          <w:spacing w:val="-2"/>
          <w:sz w:val="24"/>
          <w:szCs w:val="24"/>
        </w:rPr>
        <w:t>径走向的批复》（陆政复﹝</w:t>
      </w:r>
      <w:r>
        <w:rPr>
          <w:rFonts w:ascii="Times New Roman" w:hAnsi="Times New Roman" w:eastAsia="Times New Roman" w:cs="Times New Roman"/>
          <w:spacing w:val="-2"/>
          <w:sz w:val="24"/>
          <w:szCs w:val="24"/>
        </w:rPr>
        <w:t>2025</w:t>
      </w:r>
      <w:r>
        <w:rPr>
          <w:spacing w:val="-2"/>
          <w:sz w:val="24"/>
          <w:szCs w:val="24"/>
        </w:rPr>
        <w:t>﹞</w:t>
      </w:r>
      <w:r>
        <w:rPr>
          <w:spacing w:val="-92"/>
          <w:sz w:val="24"/>
          <w:szCs w:val="24"/>
        </w:rPr>
        <w:t xml:space="preserve"> </w:t>
      </w:r>
      <w:r>
        <w:rPr>
          <w:rFonts w:ascii="Times New Roman" w:hAnsi="Times New Roman" w:eastAsia="Times New Roman" w:cs="Times New Roman"/>
          <w:spacing w:val="-2"/>
          <w:sz w:val="24"/>
          <w:szCs w:val="24"/>
        </w:rPr>
        <w:t xml:space="preserve">117 </w:t>
      </w:r>
      <w:r>
        <w:rPr>
          <w:spacing w:val="-2"/>
          <w:sz w:val="24"/>
          <w:szCs w:val="24"/>
        </w:rPr>
        <w:t>号）。</w:t>
      </w:r>
    </w:p>
    <w:p w14:paraId="06900BFD">
      <w:pPr>
        <w:pStyle w:val="2"/>
        <w:spacing w:before="199" w:line="218" w:lineRule="auto"/>
        <w:ind w:left="122"/>
        <w:rPr>
          <w:sz w:val="30"/>
          <w:szCs w:val="30"/>
        </w:rPr>
      </w:pPr>
      <w:r>
        <w:rPr>
          <w:rFonts w:ascii="Times New Roman" w:hAnsi="Times New Roman" w:eastAsia="Times New Roman" w:cs="Times New Roman"/>
          <w:b/>
          <w:bCs/>
          <w:spacing w:val="-2"/>
          <w:sz w:val="30"/>
          <w:szCs w:val="30"/>
        </w:rPr>
        <w:t xml:space="preserve">2.2  </w:t>
      </w:r>
      <w:r>
        <w:rPr>
          <w:b/>
          <w:bCs/>
          <w:spacing w:val="-2"/>
          <w:sz w:val="30"/>
          <w:szCs w:val="30"/>
        </w:rPr>
        <w:t>评价因子与评价标准</w:t>
      </w:r>
    </w:p>
    <w:p w14:paraId="0B2510A5">
      <w:pPr>
        <w:pStyle w:val="2"/>
        <w:spacing w:before="220" w:line="218" w:lineRule="auto"/>
        <w:ind w:left="120"/>
        <w:rPr>
          <w:sz w:val="24"/>
          <w:szCs w:val="24"/>
        </w:rPr>
      </w:pPr>
      <w:r>
        <w:rPr>
          <w:rFonts w:ascii="Times New Roman" w:hAnsi="Times New Roman" w:eastAsia="Times New Roman" w:cs="Times New Roman"/>
          <w:b/>
          <w:bCs/>
          <w:spacing w:val="-2"/>
          <w:sz w:val="24"/>
          <w:szCs w:val="24"/>
        </w:rPr>
        <w:t xml:space="preserve">2.2.1  </w:t>
      </w:r>
      <w:r>
        <w:rPr>
          <w:b/>
          <w:bCs/>
          <w:spacing w:val="-2"/>
          <w:sz w:val="24"/>
          <w:szCs w:val="24"/>
        </w:rPr>
        <w:t>评价因子</w:t>
      </w:r>
    </w:p>
    <w:p w14:paraId="501C7370">
      <w:pPr>
        <w:pStyle w:val="2"/>
        <w:spacing w:before="184" w:line="336" w:lineRule="auto"/>
        <w:ind w:left="126" w:right="114" w:firstLine="479"/>
        <w:rPr>
          <w:sz w:val="24"/>
          <w:szCs w:val="24"/>
        </w:rPr>
      </w:pPr>
      <w:r>
        <w:rPr>
          <w:spacing w:val="-3"/>
          <w:sz w:val="24"/>
          <w:szCs w:val="24"/>
        </w:rPr>
        <w:t>本工程建设期间无电磁环境影响。根据工程所在地环境特征、</w:t>
      </w:r>
      <w:r>
        <w:rPr>
          <w:spacing w:val="-4"/>
          <w:sz w:val="24"/>
          <w:szCs w:val="24"/>
        </w:rPr>
        <w:t>环境影响因素</w:t>
      </w:r>
      <w:r>
        <w:rPr>
          <w:spacing w:val="-2"/>
          <w:sz w:val="24"/>
          <w:szCs w:val="24"/>
        </w:rPr>
        <w:t>识别结果，确定工程电磁环境评价因子见表</w:t>
      </w:r>
      <w:r>
        <w:rPr>
          <w:spacing w:val="-55"/>
          <w:sz w:val="24"/>
          <w:szCs w:val="24"/>
        </w:rPr>
        <w:t xml:space="preserve"> </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
          <w:sz w:val="24"/>
          <w:szCs w:val="24"/>
        </w:rPr>
        <w:t>1</w:t>
      </w:r>
      <w:r>
        <w:rPr>
          <w:spacing w:val="-2"/>
          <w:sz w:val="24"/>
          <w:szCs w:val="24"/>
        </w:rPr>
        <w:t>。</w:t>
      </w:r>
    </w:p>
    <w:p w14:paraId="2604C280">
      <w:pPr>
        <w:pStyle w:val="2"/>
        <w:spacing w:before="1" w:line="227" w:lineRule="auto"/>
        <w:ind w:left="2894"/>
        <w:rPr>
          <w:sz w:val="20"/>
          <w:szCs w:val="20"/>
        </w:rPr>
      </w:pPr>
      <w:r>
        <w:rPr>
          <w:b/>
          <w:bCs/>
          <w:spacing w:val="4"/>
          <w:sz w:val="20"/>
          <w:szCs w:val="20"/>
        </w:rPr>
        <w:t>表</w:t>
      </w:r>
      <w:r>
        <w:rPr>
          <w:spacing w:val="-31"/>
          <w:sz w:val="20"/>
          <w:szCs w:val="20"/>
        </w:rPr>
        <w:t xml:space="preserve"> </w:t>
      </w:r>
      <w:r>
        <w:rPr>
          <w:rFonts w:ascii="Times New Roman" w:hAnsi="Times New Roman" w:eastAsia="Times New Roman" w:cs="Times New Roman"/>
          <w:b/>
          <w:bCs/>
          <w:spacing w:val="4"/>
          <w:sz w:val="20"/>
          <w:szCs w:val="20"/>
        </w:rPr>
        <w:t>2-1</w:t>
      </w:r>
      <w:r>
        <w:rPr>
          <w:rFonts w:ascii="Times New Roman" w:hAnsi="Times New Roman" w:eastAsia="Times New Roman" w:cs="Times New Roman"/>
          <w:b/>
          <w:bCs/>
          <w:spacing w:val="10"/>
          <w:sz w:val="20"/>
          <w:szCs w:val="20"/>
        </w:rPr>
        <w:t xml:space="preserve">    </w:t>
      </w:r>
      <w:r>
        <w:rPr>
          <w:b/>
          <w:bCs/>
          <w:spacing w:val="4"/>
          <w:sz w:val="20"/>
          <w:szCs w:val="20"/>
        </w:rPr>
        <w:t>电磁环境公众曝露控制限值</w:t>
      </w:r>
    </w:p>
    <w:p w14:paraId="0833FBDD">
      <w:pPr>
        <w:spacing w:line="14" w:lineRule="exact"/>
      </w:pPr>
    </w:p>
    <w:tbl>
      <w:tblPr>
        <w:tblStyle w:val="5"/>
        <w:tblW w:w="852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9"/>
        <w:gridCol w:w="1515"/>
        <w:gridCol w:w="2922"/>
        <w:gridCol w:w="2827"/>
      </w:tblGrid>
      <w:tr w14:paraId="1E25E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259" w:type="dxa"/>
            <w:vMerge w:val="restart"/>
            <w:tcBorders>
              <w:bottom w:val="nil"/>
            </w:tcBorders>
            <w:shd w:val="clear" w:color="auto" w:fill="BEBEBE"/>
            <w:vAlign w:val="top"/>
          </w:tcPr>
          <w:p w14:paraId="5020675C">
            <w:pPr>
              <w:pStyle w:val="6"/>
              <w:spacing w:before="219" w:line="229" w:lineRule="auto"/>
              <w:ind w:left="430"/>
            </w:pPr>
            <w:r>
              <w:rPr>
                <w:b/>
                <w:bCs/>
                <w:spacing w:val="-1"/>
              </w:rPr>
              <w:t>时段</w:t>
            </w:r>
          </w:p>
        </w:tc>
        <w:tc>
          <w:tcPr>
            <w:tcW w:w="1515" w:type="dxa"/>
            <w:vMerge w:val="restart"/>
            <w:tcBorders>
              <w:bottom w:val="nil"/>
            </w:tcBorders>
            <w:shd w:val="clear" w:color="auto" w:fill="BEBEBE"/>
            <w:vAlign w:val="top"/>
          </w:tcPr>
          <w:p w14:paraId="18257928">
            <w:pPr>
              <w:pStyle w:val="6"/>
              <w:spacing w:before="219" w:line="228" w:lineRule="auto"/>
              <w:ind w:left="335"/>
            </w:pPr>
            <w:r>
              <w:rPr>
                <w:b/>
                <w:bCs/>
                <w:spacing w:val="6"/>
              </w:rPr>
              <w:t>环境要素</w:t>
            </w:r>
          </w:p>
        </w:tc>
        <w:tc>
          <w:tcPr>
            <w:tcW w:w="5749" w:type="dxa"/>
            <w:gridSpan w:val="2"/>
            <w:shd w:val="clear" w:color="auto" w:fill="BEBEBE"/>
            <w:vAlign w:val="top"/>
          </w:tcPr>
          <w:p w14:paraId="38CD3315">
            <w:pPr>
              <w:pStyle w:val="6"/>
              <w:spacing w:before="56" w:line="226" w:lineRule="auto"/>
              <w:ind w:left="2452"/>
            </w:pPr>
            <w:r>
              <w:rPr>
                <w:b/>
                <w:bCs/>
                <w:spacing w:val="6"/>
              </w:rPr>
              <w:t>评价因子</w:t>
            </w:r>
          </w:p>
        </w:tc>
      </w:tr>
      <w:tr w14:paraId="60158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259" w:type="dxa"/>
            <w:vMerge w:val="continue"/>
            <w:tcBorders>
              <w:top w:val="nil"/>
            </w:tcBorders>
            <w:vAlign w:val="top"/>
          </w:tcPr>
          <w:p w14:paraId="46A11B1A">
            <w:pPr>
              <w:rPr>
                <w:rFonts w:ascii="Arial"/>
                <w:sz w:val="21"/>
              </w:rPr>
            </w:pPr>
          </w:p>
        </w:tc>
        <w:tc>
          <w:tcPr>
            <w:tcW w:w="1515" w:type="dxa"/>
            <w:vMerge w:val="continue"/>
            <w:tcBorders>
              <w:top w:val="nil"/>
            </w:tcBorders>
            <w:vAlign w:val="top"/>
          </w:tcPr>
          <w:p w14:paraId="52986CA5">
            <w:pPr>
              <w:rPr>
                <w:rFonts w:ascii="Arial"/>
                <w:sz w:val="21"/>
              </w:rPr>
            </w:pPr>
          </w:p>
        </w:tc>
        <w:tc>
          <w:tcPr>
            <w:tcW w:w="2922" w:type="dxa"/>
            <w:shd w:val="clear" w:color="auto" w:fill="BEBEBE"/>
            <w:vAlign w:val="top"/>
          </w:tcPr>
          <w:p w14:paraId="32A2355C">
            <w:pPr>
              <w:pStyle w:val="6"/>
              <w:spacing w:before="50" w:line="226" w:lineRule="auto"/>
              <w:ind w:left="833"/>
            </w:pPr>
            <w:r>
              <w:rPr>
                <w:b/>
                <w:bCs/>
                <w:spacing w:val="6"/>
              </w:rPr>
              <w:t>现状评价因子</w:t>
            </w:r>
          </w:p>
        </w:tc>
        <w:tc>
          <w:tcPr>
            <w:tcW w:w="2827" w:type="dxa"/>
            <w:shd w:val="clear" w:color="auto" w:fill="BEBEBE"/>
            <w:vAlign w:val="top"/>
          </w:tcPr>
          <w:p w14:paraId="3BB46713">
            <w:pPr>
              <w:pStyle w:val="6"/>
              <w:spacing w:before="50" w:line="226" w:lineRule="auto"/>
              <w:ind w:left="786"/>
            </w:pPr>
            <w:r>
              <w:rPr>
                <w:b/>
                <w:bCs/>
                <w:spacing w:val="6"/>
              </w:rPr>
              <w:t>预测评价因子</w:t>
            </w:r>
          </w:p>
        </w:tc>
      </w:tr>
      <w:tr w14:paraId="29AB9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1259" w:type="dxa"/>
            <w:vAlign w:val="top"/>
          </w:tcPr>
          <w:p w14:paraId="602D058F">
            <w:pPr>
              <w:pStyle w:val="6"/>
              <w:spacing w:before="211" w:line="228" w:lineRule="auto"/>
              <w:ind w:left="317"/>
            </w:pPr>
            <w:r>
              <w:rPr>
                <w:spacing w:val="6"/>
              </w:rPr>
              <w:t>运营期</w:t>
            </w:r>
          </w:p>
        </w:tc>
        <w:tc>
          <w:tcPr>
            <w:tcW w:w="1515" w:type="dxa"/>
            <w:vAlign w:val="top"/>
          </w:tcPr>
          <w:p w14:paraId="77D44AFB">
            <w:pPr>
              <w:pStyle w:val="6"/>
              <w:spacing w:before="211" w:line="228" w:lineRule="auto"/>
              <w:ind w:left="150"/>
            </w:pPr>
            <w:r>
              <w:rPr>
                <w:spacing w:val="4"/>
              </w:rPr>
              <w:t>电磁环境影响</w:t>
            </w:r>
          </w:p>
        </w:tc>
        <w:tc>
          <w:tcPr>
            <w:tcW w:w="2922" w:type="dxa"/>
            <w:vAlign w:val="top"/>
          </w:tcPr>
          <w:p w14:paraId="07E98C8A">
            <w:pPr>
              <w:pStyle w:val="6"/>
              <w:spacing w:before="55" w:line="261" w:lineRule="auto"/>
              <w:ind w:left="401" w:right="395" w:hanging="14"/>
            </w:pPr>
            <w:r>
              <w:rPr>
                <w:spacing w:val="7"/>
              </w:rPr>
              <w:t>工频电场强度（</w:t>
            </w:r>
            <w:r>
              <w:rPr>
                <w:rFonts w:ascii="Times New Roman" w:hAnsi="Times New Roman" w:eastAsia="Times New Roman" w:cs="Times New Roman"/>
              </w:rPr>
              <w:t>kV</w:t>
            </w:r>
            <w:r>
              <w:rPr>
                <w:rFonts w:ascii="Times New Roman" w:hAnsi="Times New Roman" w:eastAsia="Times New Roman" w:cs="Times New Roman"/>
                <w:spacing w:val="7"/>
              </w:rPr>
              <w:t>/m</w:t>
            </w:r>
            <w:r>
              <w:rPr>
                <w:spacing w:val="7"/>
              </w:rPr>
              <w:t>）</w:t>
            </w:r>
            <w:r>
              <w:rPr>
                <w:spacing w:val="6"/>
              </w:rPr>
              <w:t>工频磁感应强度 (</w:t>
            </w:r>
            <w:r>
              <w:rPr>
                <w:rFonts w:ascii="Times New Roman" w:hAnsi="Times New Roman" w:eastAsia="Times New Roman" w:cs="Times New Roman"/>
                <w:spacing w:val="6"/>
              </w:rPr>
              <w:t>μT</w:t>
            </w:r>
            <w:r>
              <w:rPr>
                <w:spacing w:val="6"/>
              </w:rPr>
              <w:t>）</w:t>
            </w:r>
          </w:p>
        </w:tc>
        <w:tc>
          <w:tcPr>
            <w:tcW w:w="2827" w:type="dxa"/>
            <w:vAlign w:val="top"/>
          </w:tcPr>
          <w:p w14:paraId="1BD3A49F">
            <w:pPr>
              <w:pStyle w:val="6"/>
              <w:spacing w:before="55" w:line="261" w:lineRule="auto"/>
              <w:ind w:left="352" w:right="349" w:hanging="12"/>
            </w:pPr>
            <w:r>
              <w:rPr>
                <w:spacing w:val="7"/>
              </w:rPr>
              <w:t>工频电场强度（</w:t>
            </w:r>
            <w:r>
              <w:rPr>
                <w:rFonts w:ascii="Times New Roman" w:hAnsi="Times New Roman" w:eastAsia="Times New Roman" w:cs="Times New Roman"/>
              </w:rPr>
              <w:t>kV</w:t>
            </w:r>
            <w:r>
              <w:rPr>
                <w:rFonts w:ascii="Times New Roman" w:hAnsi="Times New Roman" w:eastAsia="Times New Roman" w:cs="Times New Roman"/>
                <w:spacing w:val="7"/>
              </w:rPr>
              <w:t>/m</w:t>
            </w:r>
            <w:r>
              <w:rPr>
                <w:spacing w:val="7"/>
              </w:rPr>
              <w:t>）</w:t>
            </w:r>
            <w:r>
              <w:rPr>
                <w:spacing w:val="6"/>
              </w:rPr>
              <w:t>工频磁感应强度 (</w:t>
            </w:r>
            <w:r>
              <w:rPr>
                <w:rFonts w:ascii="Times New Roman" w:hAnsi="Times New Roman" w:eastAsia="Times New Roman" w:cs="Times New Roman"/>
                <w:spacing w:val="6"/>
              </w:rPr>
              <w:t>μT</w:t>
            </w:r>
            <w:r>
              <w:rPr>
                <w:spacing w:val="6"/>
              </w:rPr>
              <w:t>）</w:t>
            </w:r>
          </w:p>
        </w:tc>
      </w:tr>
    </w:tbl>
    <w:p w14:paraId="70A0532C">
      <w:pPr>
        <w:pStyle w:val="2"/>
        <w:spacing w:before="114" w:line="218" w:lineRule="auto"/>
        <w:ind w:left="120"/>
        <w:rPr>
          <w:sz w:val="24"/>
          <w:szCs w:val="24"/>
        </w:rPr>
      </w:pPr>
      <w:r>
        <w:rPr>
          <w:rFonts w:ascii="Times New Roman" w:hAnsi="Times New Roman" w:eastAsia="Times New Roman" w:cs="Times New Roman"/>
          <w:b/>
          <w:bCs/>
          <w:spacing w:val="-2"/>
          <w:sz w:val="24"/>
          <w:szCs w:val="24"/>
        </w:rPr>
        <w:t xml:space="preserve">2.2.2  </w:t>
      </w:r>
      <w:r>
        <w:rPr>
          <w:b/>
          <w:bCs/>
          <w:spacing w:val="-2"/>
          <w:sz w:val="24"/>
          <w:szCs w:val="24"/>
        </w:rPr>
        <w:t>评价标准</w:t>
      </w:r>
    </w:p>
    <w:p w14:paraId="2A6ADF08">
      <w:pPr>
        <w:pStyle w:val="2"/>
        <w:spacing w:before="185" w:line="336" w:lineRule="auto"/>
        <w:ind w:left="125" w:right="114" w:firstLine="480"/>
        <w:rPr>
          <w:sz w:val="24"/>
          <w:szCs w:val="24"/>
        </w:rPr>
      </w:pPr>
      <w:r>
        <w:rPr>
          <w:spacing w:val="-3"/>
          <w:sz w:val="24"/>
          <w:szCs w:val="24"/>
        </w:rPr>
        <w:t>本工程工频电场强度、工频磁感应强度公众曝露控制限值按照</w:t>
      </w:r>
      <w:r>
        <w:rPr>
          <w:spacing w:val="-4"/>
          <w:sz w:val="24"/>
          <w:szCs w:val="24"/>
        </w:rPr>
        <w:t>《电磁环境控</w:t>
      </w:r>
      <w:r>
        <w:rPr>
          <w:spacing w:val="-1"/>
          <w:sz w:val="24"/>
          <w:szCs w:val="24"/>
        </w:rPr>
        <w:t>制限值》（</w:t>
      </w:r>
      <w:r>
        <w:rPr>
          <w:rFonts w:ascii="Times New Roman" w:hAnsi="Times New Roman" w:eastAsia="Times New Roman" w:cs="Times New Roman"/>
          <w:spacing w:val="-1"/>
          <w:sz w:val="24"/>
          <w:szCs w:val="24"/>
        </w:rPr>
        <w:t>GB8702-2014</w:t>
      </w:r>
      <w:r>
        <w:rPr>
          <w:spacing w:val="-1"/>
          <w:sz w:val="24"/>
          <w:szCs w:val="24"/>
        </w:rPr>
        <w:t>）执行，标准值见表</w:t>
      </w:r>
      <w:r>
        <w:rPr>
          <w:spacing w:val="-44"/>
          <w:sz w:val="24"/>
          <w:szCs w:val="24"/>
        </w:rPr>
        <w:t xml:space="preserve"> </w:t>
      </w:r>
      <w:r>
        <w:rPr>
          <w:rFonts w:ascii="Times New Roman" w:hAnsi="Times New Roman" w:eastAsia="Times New Roman" w:cs="Times New Roman"/>
          <w:spacing w:val="-1"/>
          <w:sz w:val="24"/>
          <w:szCs w:val="24"/>
        </w:rPr>
        <w:t>2-2</w:t>
      </w:r>
      <w:r>
        <w:rPr>
          <w:spacing w:val="-1"/>
          <w:sz w:val="24"/>
          <w:szCs w:val="24"/>
        </w:rPr>
        <w:t>。</w:t>
      </w:r>
    </w:p>
    <w:p w14:paraId="4D046FE8">
      <w:pPr>
        <w:pStyle w:val="2"/>
        <w:spacing w:before="1" w:line="227" w:lineRule="auto"/>
        <w:ind w:left="2894"/>
        <w:rPr>
          <w:sz w:val="20"/>
          <w:szCs w:val="20"/>
        </w:rPr>
      </w:pPr>
      <w:r>
        <w:rPr>
          <w:b/>
          <w:bCs/>
          <w:spacing w:val="4"/>
          <w:sz w:val="20"/>
          <w:szCs w:val="20"/>
        </w:rPr>
        <w:t>表</w:t>
      </w:r>
      <w:r>
        <w:rPr>
          <w:spacing w:val="-31"/>
          <w:sz w:val="20"/>
          <w:szCs w:val="20"/>
        </w:rPr>
        <w:t xml:space="preserve"> </w:t>
      </w:r>
      <w:r>
        <w:rPr>
          <w:rFonts w:ascii="Times New Roman" w:hAnsi="Times New Roman" w:eastAsia="Times New Roman" w:cs="Times New Roman"/>
          <w:b/>
          <w:bCs/>
          <w:spacing w:val="4"/>
          <w:sz w:val="20"/>
          <w:szCs w:val="20"/>
        </w:rPr>
        <w:t>2-2</w:t>
      </w:r>
      <w:r>
        <w:rPr>
          <w:rFonts w:ascii="Times New Roman" w:hAnsi="Times New Roman" w:eastAsia="Times New Roman" w:cs="Times New Roman"/>
          <w:b/>
          <w:bCs/>
          <w:spacing w:val="10"/>
          <w:sz w:val="20"/>
          <w:szCs w:val="20"/>
        </w:rPr>
        <w:t xml:space="preserve">    </w:t>
      </w:r>
      <w:r>
        <w:rPr>
          <w:b/>
          <w:bCs/>
          <w:spacing w:val="4"/>
          <w:sz w:val="20"/>
          <w:szCs w:val="20"/>
        </w:rPr>
        <w:t>电磁环境公众曝露控制限值</w:t>
      </w:r>
    </w:p>
    <w:p w14:paraId="507A184B">
      <w:pPr>
        <w:spacing w:line="143" w:lineRule="auto"/>
        <w:rPr>
          <w:rFonts w:ascii="Arial"/>
          <w:sz w:val="2"/>
        </w:rPr>
      </w:pPr>
    </w:p>
    <w:tbl>
      <w:tblPr>
        <w:tblStyle w:val="5"/>
        <w:tblW w:w="852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25"/>
        <w:gridCol w:w="2557"/>
        <w:gridCol w:w="2844"/>
      </w:tblGrid>
      <w:tr w14:paraId="0B1EB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125" w:type="dxa"/>
            <w:shd w:val="clear" w:color="auto" w:fill="BEBEBE"/>
            <w:vAlign w:val="top"/>
          </w:tcPr>
          <w:p w14:paraId="54EEFE65">
            <w:pPr>
              <w:pStyle w:val="6"/>
              <w:spacing w:before="55" w:line="228" w:lineRule="auto"/>
              <w:ind w:left="1386"/>
            </w:pPr>
            <w:r>
              <w:rPr>
                <w:b/>
                <w:bCs/>
                <w:spacing w:val="6"/>
              </w:rPr>
              <w:t>频率范围</w:t>
            </w:r>
          </w:p>
        </w:tc>
        <w:tc>
          <w:tcPr>
            <w:tcW w:w="2557" w:type="dxa"/>
            <w:shd w:val="clear" w:color="auto" w:fill="BEBEBE"/>
            <w:vAlign w:val="top"/>
          </w:tcPr>
          <w:p w14:paraId="707A4FF6">
            <w:pPr>
              <w:pStyle w:val="6"/>
              <w:spacing w:before="56" w:line="228" w:lineRule="auto"/>
              <w:ind w:left="627"/>
            </w:pPr>
            <w:r>
              <w:rPr>
                <w:b/>
                <w:bCs/>
                <w:spacing w:val="2"/>
              </w:rPr>
              <w:t>电场强度</w:t>
            </w:r>
            <w:r>
              <w:rPr>
                <w:spacing w:val="-38"/>
              </w:rPr>
              <w:t xml:space="preserve"> </w:t>
            </w:r>
            <w:r>
              <w:rPr>
                <w:rFonts w:ascii="Times New Roman" w:hAnsi="Times New Roman" w:eastAsia="Times New Roman" w:cs="Times New Roman"/>
                <w:b/>
                <w:bCs/>
                <w:spacing w:val="2"/>
              </w:rPr>
              <w:t>E</w:t>
            </w:r>
            <w:r>
              <w:rPr>
                <w:b/>
                <w:bCs/>
                <w:spacing w:val="2"/>
              </w:rPr>
              <w:t>（</w:t>
            </w:r>
            <w:r>
              <w:rPr>
                <w:rFonts w:ascii="Times New Roman" w:hAnsi="Times New Roman" w:eastAsia="Times New Roman" w:cs="Times New Roman"/>
                <w:b/>
                <w:bCs/>
                <w:spacing w:val="2"/>
              </w:rPr>
              <w:t>V/m</w:t>
            </w:r>
            <w:r>
              <w:rPr>
                <w:b/>
                <w:bCs/>
                <w:spacing w:val="2"/>
              </w:rPr>
              <w:t>）</w:t>
            </w:r>
          </w:p>
        </w:tc>
        <w:tc>
          <w:tcPr>
            <w:tcW w:w="2844" w:type="dxa"/>
            <w:shd w:val="clear" w:color="auto" w:fill="BEBEBE"/>
            <w:vAlign w:val="top"/>
          </w:tcPr>
          <w:p w14:paraId="5D6D809F">
            <w:pPr>
              <w:pStyle w:val="6"/>
              <w:spacing w:before="56" w:line="221" w:lineRule="auto"/>
              <w:ind w:left="702"/>
            </w:pPr>
            <w:r>
              <w:rPr>
                <w:b/>
                <w:bCs/>
                <w:spacing w:val="4"/>
              </w:rPr>
              <w:t>磁感应强度</w:t>
            </w:r>
            <w:r>
              <w:rPr>
                <w:spacing w:val="-37"/>
              </w:rPr>
              <w:t xml:space="preserve"> </w:t>
            </w:r>
            <w:r>
              <w:rPr>
                <w:rFonts w:ascii="Times New Roman" w:hAnsi="Times New Roman" w:eastAsia="Times New Roman" w:cs="Times New Roman"/>
                <w:b/>
                <w:bCs/>
                <w:spacing w:val="4"/>
              </w:rPr>
              <w:t xml:space="preserve">B  </w:t>
            </w:r>
            <w:r>
              <w:rPr>
                <w:b/>
                <w:bCs/>
                <w:spacing w:val="4"/>
              </w:rPr>
              <w:t>(</w:t>
            </w:r>
            <w:r>
              <w:rPr>
                <w:rFonts w:ascii="Times New Roman" w:hAnsi="Times New Roman" w:eastAsia="Times New Roman" w:cs="Times New Roman"/>
                <w:b/>
                <w:bCs/>
                <w:spacing w:val="4"/>
              </w:rPr>
              <w:t>μT</w:t>
            </w:r>
            <w:r>
              <w:rPr>
                <w:b/>
                <w:bCs/>
                <w:spacing w:val="4"/>
              </w:rPr>
              <w:t>）</w:t>
            </w:r>
          </w:p>
        </w:tc>
      </w:tr>
      <w:tr w14:paraId="15793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3125" w:type="dxa"/>
            <w:vAlign w:val="top"/>
          </w:tcPr>
          <w:p w14:paraId="11F1613B">
            <w:pPr>
              <w:spacing w:before="81" w:line="199" w:lineRule="auto"/>
              <w:ind w:left="1031"/>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0.025</w:t>
            </w:r>
            <w:r>
              <w:rPr>
                <w:rFonts w:ascii="Times New Roman" w:hAnsi="Times New Roman" w:eastAsia="Times New Roman" w:cs="Times New Roman"/>
                <w:sz w:val="20"/>
                <w:szCs w:val="20"/>
              </w:rPr>
              <w:t>kHz</w:t>
            </w:r>
            <w:r>
              <w:rPr>
                <w:rFonts w:ascii="Times New Roman" w:hAnsi="Times New Roman" w:eastAsia="Times New Roman" w:cs="Times New Roman"/>
                <w:spacing w:val="7"/>
                <w:sz w:val="20"/>
                <w:szCs w:val="20"/>
              </w:rPr>
              <w:t>~1.2</w:t>
            </w:r>
            <w:r>
              <w:rPr>
                <w:rFonts w:ascii="Times New Roman" w:hAnsi="Times New Roman" w:eastAsia="Times New Roman" w:cs="Times New Roman"/>
                <w:sz w:val="20"/>
                <w:szCs w:val="20"/>
              </w:rPr>
              <w:t>kHz</w:t>
            </w:r>
          </w:p>
        </w:tc>
        <w:tc>
          <w:tcPr>
            <w:tcW w:w="2557" w:type="dxa"/>
            <w:vAlign w:val="top"/>
          </w:tcPr>
          <w:p w14:paraId="0A07DB98">
            <w:pPr>
              <w:spacing w:before="81" w:line="199" w:lineRule="auto"/>
              <w:ind w:left="1297"/>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200/f</w:t>
            </w:r>
          </w:p>
        </w:tc>
        <w:tc>
          <w:tcPr>
            <w:tcW w:w="2844" w:type="dxa"/>
            <w:vAlign w:val="top"/>
          </w:tcPr>
          <w:p w14:paraId="4CD01C5F">
            <w:pPr>
              <w:spacing w:before="81" w:line="199" w:lineRule="auto"/>
              <w:ind w:left="1551"/>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5/f</w:t>
            </w:r>
          </w:p>
        </w:tc>
      </w:tr>
      <w:tr w14:paraId="4F023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3125" w:type="dxa"/>
            <w:vAlign w:val="top"/>
          </w:tcPr>
          <w:p w14:paraId="75BB826E">
            <w:pPr>
              <w:pStyle w:val="6"/>
              <w:spacing w:before="53" w:line="228" w:lineRule="auto"/>
              <w:ind w:left="579"/>
            </w:pPr>
            <w:r>
              <w:rPr>
                <w:spacing w:val="7"/>
              </w:rPr>
              <w:t>工作频率（</w:t>
            </w:r>
            <w:r>
              <w:rPr>
                <w:rFonts w:ascii="Times New Roman" w:hAnsi="Times New Roman" w:eastAsia="Times New Roman" w:cs="Times New Roman"/>
                <w:spacing w:val="7"/>
              </w:rPr>
              <w:t>0.05</w:t>
            </w:r>
            <w:r>
              <w:rPr>
                <w:rFonts w:ascii="Times New Roman" w:hAnsi="Times New Roman" w:eastAsia="Times New Roman" w:cs="Times New Roman"/>
              </w:rPr>
              <w:t>kHz</w:t>
            </w:r>
            <w:r>
              <w:rPr>
                <w:spacing w:val="7"/>
              </w:rPr>
              <w:t>）</w:t>
            </w:r>
          </w:p>
        </w:tc>
        <w:tc>
          <w:tcPr>
            <w:tcW w:w="2557" w:type="dxa"/>
            <w:vAlign w:val="top"/>
          </w:tcPr>
          <w:p w14:paraId="185BBD79">
            <w:pPr>
              <w:pStyle w:val="6"/>
              <w:spacing w:before="53" w:line="232" w:lineRule="auto"/>
              <w:ind w:left="619"/>
            </w:pPr>
            <w:r>
              <w:rPr>
                <w:rFonts w:ascii="Times New Roman" w:hAnsi="Times New Roman" w:eastAsia="Times New Roman" w:cs="Times New Roman"/>
                <w:spacing w:val="5"/>
              </w:rPr>
              <w:t>4</w:t>
            </w:r>
            <w:r>
              <w:rPr>
                <w:rFonts w:ascii="Times New Roman" w:hAnsi="Times New Roman" w:eastAsia="Times New Roman" w:cs="Times New Roman"/>
              </w:rPr>
              <w:t>kV</w:t>
            </w:r>
            <w:r>
              <w:rPr>
                <w:rFonts w:ascii="Times New Roman" w:hAnsi="Times New Roman" w:eastAsia="Times New Roman" w:cs="Times New Roman"/>
                <w:spacing w:val="5"/>
              </w:rPr>
              <w:t>/m</w:t>
            </w:r>
            <w:r>
              <w:rPr>
                <w:spacing w:val="5"/>
              </w:rPr>
              <w:t>（</w:t>
            </w:r>
            <w:r>
              <w:rPr>
                <w:rFonts w:ascii="Times New Roman" w:hAnsi="Times New Roman" w:eastAsia="Times New Roman" w:cs="Times New Roman"/>
                <w:spacing w:val="5"/>
              </w:rPr>
              <w:t>4000V/m</w:t>
            </w:r>
            <w:r>
              <w:rPr>
                <w:spacing w:val="5"/>
              </w:rPr>
              <w:t>）</w:t>
            </w:r>
          </w:p>
        </w:tc>
        <w:tc>
          <w:tcPr>
            <w:tcW w:w="2844" w:type="dxa"/>
            <w:vAlign w:val="top"/>
          </w:tcPr>
          <w:p w14:paraId="49D5898B">
            <w:pPr>
              <w:pStyle w:val="6"/>
              <w:spacing w:before="53" w:line="221" w:lineRule="auto"/>
              <w:ind w:left="918"/>
            </w:pPr>
            <w:r>
              <w:rPr>
                <w:rFonts w:ascii="Times New Roman" w:hAnsi="Times New Roman" w:eastAsia="Times New Roman" w:cs="Times New Roman"/>
                <w:spacing w:val="1"/>
              </w:rPr>
              <w:t>100μT</w:t>
            </w:r>
            <w:r>
              <w:rPr>
                <w:spacing w:val="1"/>
              </w:rPr>
              <w:t>（</w:t>
            </w:r>
            <w:r>
              <w:rPr>
                <w:rFonts w:ascii="Times New Roman" w:hAnsi="Times New Roman" w:eastAsia="Times New Roman" w:cs="Times New Roman"/>
                <w:spacing w:val="1"/>
              </w:rPr>
              <w:t>0.</w:t>
            </w:r>
            <w:r>
              <w:rPr>
                <w:rFonts w:ascii="Times New Roman" w:hAnsi="Times New Roman" w:eastAsia="Times New Roman" w:cs="Times New Roman"/>
                <w:spacing w:val="-25"/>
              </w:rPr>
              <w:t xml:space="preserve"> </w:t>
            </w:r>
            <w:r>
              <w:rPr>
                <w:rFonts w:ascii="Times New Roman" w:hAnsi="Times New Roman" w:eastAsia="Times New Roman" w:cs="Times New Roman"/>
                <w:spacing w:val="1"/>
              </w:rPr>
              <w:t>1</w:t>
            </w:r>
            <w:r>
              <w:rPr>
                <w:rFonts w:ascii="Times New Roman" w:hAnsi="Times New Roman" w:eastAsia="Times New Roman" w:cs="Times New Roman"/>
              </w:rPr>
              <w:t>mT</w:t>
            </w:r>
            <w:r>
              <w:rPr>
                <w:spacing w:val="1"/>
              </w:rPr>
              <w:t>）</w:t>
            </w:r>
          </w:p>
        </w:tc>
      </w:tr>
      <w:tr w14:paraId="56B54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3" w:hRule="atLeast"/>
        </w:trPr>
        <w:tc>
          <w:tcPr>
            <w:tcW w:w="8526" w:type="dxa"/>
            <w:gridSpan w:val="3"/>
            <w:vAlign w:val="top"/>
          </w:tcPr>
          <w:p w14:paraId="5DC8C5C0">
            <w:pPr>
              <w:pStyle w:val="6"/>
              <w:spacing w:before="54" w:line="228" w:lineRule="auto"/>
              <w:ind w:left="595"/>
            </w:pPr>
            <w:r>
              <w:rPr>
                <w:spacing w:val="4"/>
              </w:rPr>
              <w:t>注：</w:t>
            </w:r>
            <w:r>
              <w:rPr>
                <w:rFonts w:ascii="Times New Roman" w:hAnsi="Times New Roman" w:eastAsia="Times New Roman" w:cs="Times New Roman"/>
                <w:spacing w:val="4"/>
              </w:rPr>
              <w:t>1</w:t>
            </w:r>
            <w:r>
              <w:rPr>
                <w:rFonts w:ascii="Times New Roman" w:hAnsi="Times New Roman" w:eastAsia="Times New Roman" w:cs="Times New Roman"/>
                <w:spacing w:val="-14"/>
              </w:rPr>
              <w:t xml:space="preserve"> </w:t>
            </w:r>
            <w:r>
              <w:rPr>
                <w:spacing w:val="4"/>
              </w:rPr>
              <w:t>、频率</w:t>
            </w:r>
            <w:r>
              <w:rPr>
                <w:spacing w:val="-39"/>
              </w:rPr>
              <w:t xml:space="preserve"> </w:t>
            </w:r>
            <w:r>
              <w:rPr>
                <w:rFonts w:ascii="Times New Roman" w:hAnsi="Times New Roman" w:eastAsia="Times New Roman" w:cs="Times New Roman"/>
                <w:spacing w:val="4"/>
              </w:rPr>
              <w:t xml:space="preserve">f </w:t>
            </w:r>
            <w:r>
              <w:rPr>
                <w:spacing w:val="4"/>
              </w:rPr>
              <w:t>的取值为</w:t>
            </w:r>
            <w:r>
              <w:rPr>
                <w:spacing w:val="-38"/>
              </w:rPr>
              <w:t xml:space="preserve"> </w:t>
            </w:r>
            <w:r>
              <w:rPr>
                <w:rFonts w:ascii="Times New Roman" w:hAnsi="Times New Roman" w:eastAsia="Times New Roman" w:cs="Times New Roman"/>
                <w:spacing w:val="4"/>
              </w:rPr>
              <w:t>0.05</w:t>
            </w:r>
            <w:r>
              <w:rPr>
                <w:rFonts w:ascii="Times New Roman" w:hAnsi="Times New Roman" w:eastAsia="Times New Roman" w:cs="Times New Roman"/>
              </w:rPr>
              <w:t>kHz</w:t>
            </w:r>
            <w:r>
              <w:rPr>
                <w:spacing w:val="4"/>
              </w:rPr>
              <w:t>。</w:t>
            </w:r>
          </w:p>
          <w:p w14:paraId="35275F80">
            <w:pPr>
              <w:pStyle w:val="6"/>
              <w:spacing w:before="66" w:line="261" w:lineRule="auto"/>
              <w:ind w:left="114" w:right="104" w:firstLine="477"/>
            </w:pPr>
            <w:r>
              <w:rPr>
                <w:rFonts w:ascii="Times New Roman" w:hAnsi="Times New Roman" w:eastAsia="Times New Roman" w:cs="Times New Roman"/>
                <w:spacing w:val="8"/>
              </w:rPr>
              <w:t>2</w:t>
            </w:r>
            <w:r>
              <w:rPr>
                <w:rFonts w:ascii="Times New Roman" w:hAnsi="Times New Roman" w:eastAsia="Times New Roman" w:cs="Times New Roman"/>
                <w:spacing w:val="-26"/>
              </w:rPr>
              <w:t xml:space="preserve"> </w:t>
            </w:r>
            <w:r>
              <w:rPr>
                <w:spacing w:val="8"/>
              </w:rPr>
              <w:t>、架空输电线路线下的耕地、园地、牧草地、畜禽饲养地、养</w:t>
            </w:r>
            <w:r>
              <w:rPr>
                <w:spacing w:val="7"/>
              </w:rPr>
              <w:t>殖水面、道路等场所，其频率</w:t>
            </w:r>
            <w:r>
              <w:rPr>
                <w:spacing w:val="-37"/>
              </w:rPr>
              <w:t xml:space="preserve"> </w:t>
            </w:r>
            <w:r>
              <w:rPr>
                <w:rFonts w:ascii="Times New Roman" w:hAnsi="Times New Roman" w:eastAsia="Times New Roman" w:cs="Times New Roman"/>
                <w:spacing w:val="7"/>
              </w:rPr>
              <w:t>50</w:t>
            </w:r>
            <w:r>
              <w:rPr>
                <w:rFonts w:ascii="Times New Roman" w:hAnsi="Times New Roman" w:eastAsia="Times New Roman" w:cs="Times New Roman"/>
              </w:rPr>
              <w:t>Hz</w:t>
            </w:r>
            <w:r>
              <w:rPr>
                <w:rFonts w:ascii="Times New Roman" w:hAnsi="Times New Roman" w:eastAsia="Times New Roman" w:cs="Times New Roman"/>
                <w:spacing w:val="26"/>
                <w:w w:val="101"/>
              </w:rPr>
              <w:t xml:space="preserve"> </w:t>
            </w:r>
            <w:r>
              <w:rPr>
                <w:spacing w:val="7"/>
              </w:rPr>
              <w:t>的电场强度控制限值为</w:t>
            </w:r>
            <w:r>
              <w:rPr>
                <w:spacing w:val="-21"/>
              </w:rPr>
              <w:t xml:space="preserve"> </w:t>
            </w:r>
            <w:r>
              <w:rPr>
                <w:rFonts w:ascii="Times New Roman" w:hAnsi="Times New Roman" w:eastAsia="Times New Roman" w:cs="Times New Roman"/>
                <w:spacing w:val="7"/>
              </w:rPr>
              <w:t>10</w:t>
            </w:r>
            <w:r>
              <w:rPr>
                <w:rFonts w:ascii="Times New Roman" w:hAnsi="Times New Roman" w:eastAsia="Times New Roman" w:cs="Times New Roman"/>
              </w:rPr>
              <w:t>kV</w:t>
            </w:r>
            <w:r>
              <w:rPr>
                <w:rFonts w:ascii="Times New Roman" w:hAnsi="Times New Roman" w:eastAsia="Times New Roman" w:cs="Times New Roman"/>
                <w:spacing w:val="7"/>
              </w:rPr>
              <w:t>/m</w:t>
            </w:r>
            <w:r>
              <w:rPr>
                <w:rFonts w:ascii="Times New Roman" w:hAnsi="Times New Roman" w:eastAsia="Times New Roman" w:cs="Times New Roman"/>
                <w:spacing w:val="-23"/>
              </w:rPr>
              <w:t xml:space="preserve"> </w:t>
            </w:r>
            <w:r>
              <w:rPr>
                <w:spacing w:val="6"/>
              </w:rPr>
              <w:t>，且应给出警示和防护指示标志。</w:t>
            </w:r>
          </w:p>
        </w:tc>
      </w:tr>
    </w:tbl>
    <w:p w14:paraId="5A67C3E7">
      <w:pPr>
        <w:pStyle w:val="2"/>
        <w:spacing w:before="116" w:line="360" w:lineRule="auto"/>
        <w:ind w:left="141" w:right="53" w:firstLine="462"/>
        <w:rPr>
          <w:sz w:val="24"/>
          <w:szCs w:val="24"/>
        </w:rPr>
      </w:pPr>
      <w:r>
        <w:rPr>
          <w:spacing w:val="2"/>
          <w:sz w:val="24"/>
          <w:szCs w:val="24"/>
        </w:rPr>
        <w:t>①工频电场强度限值：以</w:t>
      </w:r>
      <w:r>
        <w:rPr>
          <w:spacing w:val="-54"/>
          <w:sz w:val="24"/>
          <w:szCs w:val="24"/>
        </w:rPr>
        <w:t xml:space="preserve"> </w:t>
      </w:r>
      <w:r>
        <w:rPr>
          <w:rFonts w:ascii="Times New Roman" w:hAnsi="Times New Roman" w:eastAsia="Times New Roman" w:cs="Times New Roman"/>
          <w:spacing w:val="2"/>
          <w:sz w:val="24"/>
          <w:szCs w:val="24"/>
        </w:rPr>
        <w:t xml:space="preserve">4000V/m </w:t>
      </w:r>
      <w:r>
        <w:rPr>
          <w:spacing w:val="2"/>
          <w:sz w:val="24"/>
          <w:szCs w:val="24"/>
        </w:rPr>
        <w:t>作为居民区工</w:t>
      </w:r>
      <w:r>
        <w:rPr>
          <w:spacing w:val="1"/>
          <w:sz w:val="24"/>
          <w:szCs w:val="24"/>
        </w:rPr>
        <w:t>频电场强度公众曝露控制</w:t>
      </w:r>
      <w:r>
        <w:rPr>
          <w:spacing w:val="-8"/>
          <w:sz w:val="24"/>
          <w:szCs w:val="24"/>
        </w:rPr>
        <w:t>限值；架空线路下的耕地、园地、牧草地、畜禽饲养地</w:t>
      </w:r>
      <w:r>
        <w:rPr>
          <w:spacing w:val="-9"/>
          <w:sz w:val="24"/>
          <w:szCs w:val="24"/>
        </w:rPr>
        <w:t>、养殖水面、道路等场所，</w:t>
      </w:r>
      <w:r>
        <w:rPr>
          <w:spacing w:val="-3"/>
          <w:sz w:val="24"/>
          <w:szCs w:val="24"/>
        </w:rPr>
        <w:t>以</w:t>
      </w:r>
      <w:r>
        <w:rPr>
          <w:spacing w:val="-15"/>
          <w:sz w:val="24"/>
          <w:szCs w:val="24"/>
        </w:rPr>
        <w:t xml:space="preserve"> </w:t>
      </w:r>
      <w:r>
        <w:rPr>
          <w:rFonts w:ascii="Times New Roman" w:hAnsi="Times New Roman" w:eastAsia="Times New Roman" w:cs="Times New Roman"/>
          <w:spacing w:val="-3"/>
          <w:sz w:val="24"/>
          <w:szCs w:val="24"/>
        </w:rPr>
        <w:t xml:space="preserve">10kV/m </w:t>
      </w:r>
      <w:r>
        <w:rPr>
          <w:spacing w:val="-3"/>
          <w:sz w:val="24"/>
          <w:szCs w:val="24"/>
        </w:rPr>
        <w:t>作为工频电场强度公众曝露控制限值。</w:t>
      </w:r>
    </w:p>
    <w:p w14:paraId="39C362C5">
      <w:pPr>
        <w:pStyle w:val="2"/>
        <w:spacing w:line="210" w:lineRule="auto"/>
        <w:jc w:val="right"/>
        <w:rPr>
          <w:sz w:val="24"/>
          <w:szCs w:val="24"/>
        </w:rPr>
      </w:pPr>
      <w:r>
        <w:rPr>
          <w:spacing w:val="-2"/>
          <w:sz w:val="24"/>
          <w:szCs w:val="24"/>
        </w:rPr>
        <w:t>②工频磁感应强度限值：以</w:t>
      </w:r>
      <w:r>
        <w:rPr>
          <w:spacing w:val="-32"/>
          <w:sz w:val="24"/>
          <w:szCs w:val="24"/>
        </w:rPr>
        <w:t xml:space="preserve"> </w:t>
      </w:r>
      <w:r>
        <w:rPr>
          <w:rFonts w:ascii="Times New Roman" w:hAnsi="Times New Roman" w:eastAsia="Times New Roman" w:cs="Times New Roman"/>
          <w:spacing w:val="-2"/>
          <w:sz w:val="24"/>
          <w:szCs w:val="24"/>
        </w:rPr>
        <w:t xml:space="preserve">100μT </w:t>
      </w:r>
      <w:r>
        <w:rPr>
          <w:spacing w:val="-2"/>
          <w:sz w:val="24"/>
          <w:szCs w:val="24"/>
        </w:rPr>
        <w:t>作为工频</w:t>
      </w:r>
      <w:r>
        <w:rPr>
          <w:spacing w:val="-3"/>
          <w:sz w:val="24"/>
          <w:szCs w:val="24"/>
        </w:rPr>
        <w:t>磁感应强度公众曝露控制限值。</w:t>
      </w:r>
    </w:p>
    <w:p w14:paraId="61EFA238">
      <w:pPr>
        <w:pStyle w:val="2"/>
        <w:spacing w:before="242" w:line="218" w:lineRule="auto"/>
        <w:ind w:left="122"/>
        <w:rPr>
          <w:sz w:val="30"/>
          <w:szCs w:val="30"/>
        </w:rPr>
      </w:pPr>
      <w:r>
        <w:rPr>
          <w:rFonts w:ascii="Times New Roman" w:hAnsi="Times New Roman" w:eastAsia="Times New Roman" w:cs="Times New Roman"/>
          <w:b/>
          <w:bCs/>
          <w:spacing w:val="-2"/>
          <w:sz w:val="30"/>
          <w:szCs w:val="30"/>
        </w:rPr>
        <w:t xml:space="preserve">2.3  </w:t>
      </w:r>
      <w:r>
        <w:rPr>
          <w:b/>
          <w:bCs/>
          <w:spacing w:val="-2"/>
          <w:sz w:val="30"/>
          <w:szCs w:val="30"/>
        </w:rPr>
        <w:t>评价等级</w:t>
      </w:r>
    </w:p>
    <w:p w14:paraId="133F14B6">
      <w:pPr>
        <w:pStyle w:val="2"/>
        <w:spacing w:before="223" w:line="362" w:lineRule="auto"/>
        <w:ind w:left="125" w:right="117" w:firstLine="479"/>
        <w:rPr>
          <w:sz w:val="24"/>
          <w:szCs w:val="24"/>
        </w:rPr>
      </w:pPr>
      <w:r>
        <w:rPr>
          <w:spacing w:val="1"/>
          <w:sz w:val="24"/>
          <w:szCs w:val="24"/>
        </w:rPr>
        <w:t>根据《环境影响评价技术导则 输变电》（</w:t>
      </w:r>
      <w:r>
        <w:rPr>
          <w:rFonts w:ascii="Times New Roman" w:hAnsi="Times New Roman" w:eastAsia="Times New Roman" w:cs="Times New Roman"/>
          <w:sz w:val="24"/>
          <w:szCs w:val="24"/>
        </w:rPr>
        <w:t>HJ</w:t>
      </w:r>
      <w:r>
        <w:rPr>
          <w:rFonts w:ascii="Times New Roman" w:hAnsi="Times New Roman" w:eastAsia="Times New Roman" w:cs="Times New Roman"/>
          <w:spacing w:val="1"/>
          <w:sz w:val="24"/>
          <w:szCs w:val="24"/>
        </w:rPr>
        <w:t xml:space="preserve"> 24-2020</w:t>
      </w:r>
      <w:r>
        <w:rPr>
          <w:spacing w:val="26"/>
          <w:sz w:val="24"/>
          <w:szCs w:val="24"/>
        </w:rPr>
        <w:t>），</w:t>
      </w:r>
      <w:r>
        <w:rPr>
          <w:spacing w:val="1"/>
          <w:sz w:val="24"/>
          <w:szCs w:val="24"/>
        </w:rPr>
        <w:t>电磁环境评价工</w:t>
      </w:r>
      <w:r>
        <w:rPr>
          <w:spacing w:val="-2"/>
          <w:sz w:val="24"/>
          <w:szCs w:val="24"/>
        </w:rPr>
        <w:t>作等级划分见表</w:t>
      </w:r>
      <w:r>
        <w:rPr>
          <w:spacing w:val="-51"/>
          <w:sz w:val="24"/>
          <w:szCs w:val="24"/>
        </w:rPr>
        <w:t xml:space="preserve"> </w:t>
      </w:r>
      <w:r>
        <w:rPr>
          <w:rFonts w:ascii="Times New Roman" w:hAnsi="Times New Roman" w:eastAsia="Times New Roman" w:cs="Times New Roman"/>
          <w:spacing w:val="-2"/>
          <w:sz w:val="24"/>
          <w:szCs w:val="24"/>
        </w:rPr>
        <w:t>2-3</w:t>
      </w:r>
      <w:r>
        <w:rPr>
          <w:spacing w:val="-2"/>
          <w:sz w:val="24"/>
          <w:szCs w:val="24"/>
        </w:rPr>
        <w:t>。</w:t>
      </w:r>
    </w:p>
    <w:p w14:paraId="209C2201">
      <w:pPr>
        <w:spacing w:line="362" w:lineRule="auto"/>
        <w:rPr>
          <w:sz w:val="24"/>
          <w:szCs w:val="24"/>
        </w:rPr>
        <w:sectPr>
          <w:footerReference r:id="rId157" w:type="default"/>
          <w:pgSz w:w="11906" w:h="16839"/>
          <w:pgMar w:top="400" w:right="1684" w:bottom="1147" w:left="1684" w:header="0" w:footer="960" w:gutter="0"/>
          <w:cols w:space="720" w:num="1"/>
        </w:sectPr>
      </w:pPr>
    </w:p>
    <w:p w14:paraId="1A7E3482">
      <w:pPr>
        <w:spacing w:line="255" w:lineRule="auto"/>
        <w:rPr>
          <w:rFonts w:ascii="Arial"/>
          <w:sz w:val="21"/>
        </w:rPr>
      </w:pPr>
    </w:p>
    <w:p w14:paraId="228DBD14">
      <w:pPr>
        <w:spacing w:line="255" w:lineRule="auto"/>
        <w:rPr>
          <w:rFonts w:ascii="Arial"/>
          <w:sz w:val="21"/>
        </w:rPr>
      </w:pPr>
    </w:p>
    <w:p w14:paraId="7C1A27C0">
      <w:pPr>
        <w:spacing w:line="255" w:lineRule="auto"/>
        <w:rPr>
          <w:rFonts w:ascii="Arial"/>
          <w:sz w:val="21"/>
        </w:rPr>
      </w:pPr>
    </w:p>
    <w:p w14:paraId="523F64B7">
      <w:pPr>
        <w:spacing w:line="255" w:lineRule="auto"/>
        <w:rPr>
          <w:rFonts w:ascii="Arial"/>
          <w:sz w:val="21"/>
        </w:rPr>
      </w:pPr>
    </w:p>
    <w:p w14:paraId="2AD6D408">
      <w:pPr>
        <w:pStyle w:val="2"/>
        <w:spacing w:before="65" w:line="226" w:lineRule="auto"/>
        <w:ind w:left="2786"/>
        <w:rPr>
          <w:sz w:val="20"/>
          <w:szCs w:val="20"/>
        </w:rPr>
      </w:pPr>
      <w:r>
        <w:rPr>
          <w:b/>
          <w:bCs/>
          <w:spacing w:val="5"/>
          <w:sz w:val="20"/>
          <w:szCs w:val="20"/>
        </w:rPr>
        <w:t>表</w:t>
      </w:r>
      <w:r>
        <w:rPr>
          <w:spacing w:val="-43"/>
          <w:sz w:val="20"/>
          <w:szCs w:val="20"/>
        </w:rPr>
        <w:t xml:space="preserve"> </w:t>
      </w:r>
      <w:r>
        <w:rPr>
          <w:rFonts w:ascii="Times New Roman" w:hAnsi="Times New Roman" w:eastAsia="Times New Roman" w:cs="Times New Roman"/>
          <w:b/>
          <w:bCs/>
          <w:spacing w:val="5"/>
          <w:sz w:val="20"/>
          <w:szCs w:val="20"/>
        </w:rPr>
        <w:t>2-3</w:t>
      </w:r>
      <w:r>
        <w:rPr>
          <w:rFonts w:ascii="Times New Roman" w:hAnsi="Times New Roman" w:eastAsia="Times New Roman" w:cs="Times New Roman"/>
          <w:b/>
          <w:bCs/>
          <w:spacing w:val="11"/>
          <w:sz w:val="20"/>
          <w:szCs w:val="20"/>
        </w:rPr>
        <w:t xml:space="preserve">    </w:t>
      </w:r>
      <w:r>
        <w:rPr>
          <w:b/>
          <w:bCs/>
          <w:spacing w:val="5"/>
          <w:sz w:val="20"/>
          <w:szCs w:val="20"/>
        </w:rPr>
        <w:t>电磁环境评价工作等级划分表</w:t>
      </w:r>
    </w:p>
    <w:p w14:paraId="625EC9FF">
      <w:pPr>
        <w:spacing w:line="15" w:lineRule="exact"/>
      </w:pPr>
    </w:p>
    <w:tbl>
      <w:tblPr>
        <w:tblStyle w:val="5"/>
        <w:tblW w:w="86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0"/>
        <w:gridCol w:w="1449"/>
        <w:gridCol w:w="1205"/>
        <w:gridCol w:w="4134"/>
        <w:gridCol w:w="1149"/>
      </w:tblGrid>
      <w:tr w14:paraId="6FC4A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00" w:type="dxa"/>
            <w:shd w:val="clear" w:color="auto" w:fill="A4A4A4"/>
            <w:vAlign w:val="top"/>
          </w:tcPr>
          <w:p w14:paraId="15E1635E">
            <w:pPr>
              <w:pStyle w:val="6"/>
              <w:spacing w:before="56" w:line="228" w:lineRule="auto"/>
              <w:ind w:left="147"/>
            </w:pPr>
            <w:r>
              <w:rPr>
                <w:b/>
                <w:bCs/>
                <w:spacing w:val="2"/>
              </w:rPr>
              <w:t>分类</w:t>
            </w:r>
          </w:p>
        </w:tc>
        <w:tc>
          <w:tcPr>
            <w:tcW w:w="1449" w:type="dxa"/>
            <w:shd w:val="clear" w:color="auto" w:fill="A4A4A4"/>
            <w:vAlign w:val="top"/>
          </w:tcPr>
          <w:p w14:paraId="74AB3961">
            <w:pPr>
              <w:pStyle w:val="6"/>
              <w:spacing w:before="56" w:line="228" w:lineRule="auto"/>
              <w:ind w:left="330"/>
            </w:pPr>
            <w:r>
              <w:rPr>
                <w:b/>
                <w:bCs/>
              </w:rPr>
              <w:t>电压等级</w:t>
            </w:r>
          </w:p>
        </w:tc>
        <w:tc>
          <w:tcPr>
            <w:tcW w:w="1205" w:type="dxa"/>
            <w:shd w:val="clear" w:color="auto" w:fill="A4A4A4"/>
            <w:vAlign w:val="top"/>
          </w:tcPr>
          <w:p w14:paraId="4E2B6F84">
            <w:pPr>
              <w:pStyle w:val="6"/>
              <w:spacing w:before="56" w:line="228" w:lineRule="auto"/>
              <w:ind w:left="398"/>
            </w:pPr>
            <w:r>
              <w:rPr>
                <w:b/>
                <w:bCs/>
                <w:spacing w:val="2"/>
              </w:rPr>
              <w:t>工程</w:t>
            </w:r>
          </w:p>
        </w:tc>
        <w:tc>
          <w:tcPr>
            <w:tcW w:w="4134" w:type="dxa"/>
            <w:shd w:val="clear" w:color="auto" w:fill="A4A4A4"/>
            <w:vAlign w:val="top"/>
          </w:tcPr>
          <w:p w14:paraId="09217A13">
            <w:pPr>
              <w:pStyle w:val="6"/>
              <w:spacing w:before="56" w:line="228" w:lineRule="auto"/>
              <w:ind w:left="1863"/>
            </w:pPr>
            <w:r>
              <w:rPr>
                <w:b/>
                <w:bCs/>
                <w:spacing w:val="3"/>
              </w:rPr>
              <w:t>条件</w:t>
            </w:r>
          </w:p>
        </w:tc>
        <w:tc>
          <w:tcPr>
            <w:tcW w:w="1149" w:type="dxa"/>
            <w:shd w:val="clear" w:color="auto" w:fill="A4A4A4"/>
            <w:vAlign w:val="top"/>
          </w:tcPr>
          <w:p w14:paraId="749A9677">
            <w:pPr>
              <w:pStyle w:val="6"/>
              <w:spacing w:before="56" w:line="226" w:lineRule="auto"/>
              <w:ind w:left="158"/>
            </w:pPr>
            <w:r>
              <w:rPr>
                <w:b/>
                <w:bCs/>
                <w:spacing w:val="6"/>
              </w:rPr>
              <w:t>评价等级</w:t>
            </w:r>
          </w:p>
        </w:tc>
      </w:tr>
      <w:tr w14:paraId="0A5E5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00" w:type="dxa"/>
            <w:vMerge w:val="restart"/>
            <w:tcBorders>
              <w:bottom w:val="nil"/>
            </w:tcBorders>
            <w:vAlign w:val="top"/>
          </w:tcPr>
          <w:p w14:paraId="3568A730">
            <w:pPr>
              <w:spacing w:line="310" w:lineRule="auto"/>
              <w:rPr>
                <w:rFonts w:ascii="Arial"/>
                <w:sz w:val="21"/>
              </w:rPr>
            </w:pPr>
          </w:p>
          <w:p w14:paraId="1BCB9B8C">
            <w:pPr>
              <w:spacing w:line="310" w:lineRule="auto"/>
              <w:rPr>
                <w:rFonts w:ascii="Arial"/>
                <w:sz w:val="21"/>
              </w:rPr>
            </w:pPr>
          </w:p>
          <w:p w14:paraId="5634922F">
            <w:pPr>
              <w:spacing w:line="311" w:lineRule="auto"/>
              <w:rPr>
                <w:rFonts w:ascii="Arial"/>
                <w:sz w:val="21"/>
              </w:rPr>
            </w:pPr>
          </w:p>
          <w:p w14:paraId="68765129">
            <w:pPr>
              <w:pStyle w:val="6"/>
              <w:spacing w:before="65" w:line="229" w:lineRule="auto"/>
              <w:ind w:left="148"/>
            </w:pPr>
            <w:r>
              <w:rPr>
                <w:spacing w:val="2"/>
              </w:rPr>
              <w:t>交流</w:t>
            </w:r>
          </w:p>
        </w:tc>
        <w:tc>
          <w:tcPr>
            <w:tcW w:w="1449" w:type="dxa"/>
            <w:vMerge w:val="restart"/>
            <w:tcBorders>
              <w:bottom w:val="nil"/>
            </w:tcBorders>
            <w:vAlign w:val="top"/>
          </w:tcPr>
          <w:p w14:paraId="6FCD0610">
            <w:pPr>
              <w:spacing w:line="242" w:lineRule="auto"/>
              <w:rPr>
                <w:rFonts w:ascii="Arial"/>
                <w:sz w:val="21"/>
              </w:rPr>
            </w:pPr>
          </w:p>
          <w:p w14:paraId="33827085">
            <w:pPr>
              <w:spacing w:line="242" w:lineRule="auto"/>
              <w:rPr>
                <w:rFonts w:ascii="Arial"/>
                <w:sz w:val="21"/>
              </w:rPr>
            </w:pPr>
          </w:p>
          <w:p w14:paraId="2D8B1E82">
            <w:pPr>
              <w:spacing w:line="243" w:lineRule="auto"/>
              <w:rPr>
                <w:rFonts w:ascii="Arial"/>
                <w:sz w:val="21"/>
              </w:rPr>
            </w:pPr>
          </w:p>
          <w:p w14:paraId="326F0A3E">
            <w:pPr>
              <w:spacing w:line="243" w:lineRule="auto"/>
              <w:rPr>
                <w:rFonts w:ascii="Arial"/>
                <w:sz w:val="21"/>
              </w:rPr>
            </w:pPr>
          </w:p>
          <w:p w14:paraId="30BC04F4">
            <w:pPr>
              <w:spacing w:before="58" w:line="199" w:lineRule="auto"/>
              <w:ind w:left="46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110kV</w:t>
            </w:r>
          </w:p>
        </w:tc>
        <w:tc>
          <w:tcPr>
            <w:tcW w:w="1205" w:type="dxa"/>
            <w:vMerge w:val="restart"/>
            <w:tcBorders>
              <w:bottom w:val="nil"/>
            </w:tcBorders>
            <w:vAlign w:val="top"/>
          </w:tcPr>
          <w:p w14:paraId="1B1C0847">
            <w:pPr>
              <w:pStyle w:val="6"/>
              <w:spacing w:before="212" w:line="229" w:lineRule="auto"/>
              <w:ind w:left="292"/>
            </w:pPr>
            <w:r>
              <w:rPr>
                <w:spacing w:val="6"/>
              </w:rPr>
              <w:t>变电站</w:t>
            </w:r>
          </w:p>
        </w:tc>
        <w:tc>
          <w:tcPr>
            <w:tcW w:w="4134" w:type="dxa"/>
            <w:vAlign w:val="top"/>
          </w:tcPr>
          <w:p w14:paraId="57BE2761">
            <w:pPr>
              <w:pStyle w:val="6"/>
              <w:spacing w:before="51" w:line="228" w:lineRule="auto"/>
              <w:ind w:left="1339"/>
            </w:pPr>
            <w:r>
              <w:rPr>
                <w:spacing w:val="8"/>
              </w:rPr>
              <w:t>户内式、地下式</w:t>
            </w:r>
          </w:p>
        </w:tc>
        <w:tc>
          <w:tcPr>
            <w:tcW w:w="1149" w:type="dxa"/>
            <w:vAlign w:val="top"/>
          </w:tcPr>
          <w:p w14:paraId="4ACFB8CF">
            <w:pPr>
              <w:pStyle w:val="6"/>
              <w:spacing w:before="51" w:line="230" w:lineRule="auto"/>
              <w:ind w:left="370"/>
            </w:pPr>
            <w:r>
              <w:rPr>
                <w:spacing w:val="4"/>
              </w:rPr>
              <w:t>三级</w:t>
            </w:r>
          </w:p>
        </w:tc>
      </w:tr>
      <w:tr w14:paraId="6D1AE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700" w:type="dxa"/>
            <w:vMerge w:val="continue"/>
            <w:tcBorders>
              <w:top w:val="nil"/>
              <w:bottom w:val="nil"/>
            </w:tcBorders>
            <w:vAlign w:val="top"/>
          </w:tcPr>
          <w:p w14:paraId="5139768A">
            <w:pPr>
              <w:rPr>
                <w:rFonts w:ascii="Arial"/>
                <w:sz w:val="21"/>
              </w:rPr>
            </w:pPr>
          </w:p>
        </w:tc>
        <w:tc>
          <w:tcPr>
            <w:tcW w:w="1449" w:type="dxa"/>
            <w:vMerge w:val="continue"/>
            <w:tcBorders>
              <w:top w:val="nil"/>
              <w:bottom w:val="nil"/>
            </w:tcBorders>
            <w:vAlign w:val="top"/>
          </w:tcPr>
          <w:p w14:paraId="36A99269">
            <w:pPr>
              <w:rPr>
                <w:rFonts w:ascii="Arial"/>
                <w:sz w:val="21"/>
              </w:rPr>
            </w:pPr>
          </w:p>
        </w:tc>
        <w:tc>
          <w:tcPr>
            <w:tcW w:w="1205" w:type="dxa"/>
            <w:vMerge w:val="continue"/>
            <w:tcBorders>
              <w:top w:val="nil"/>
            </w:tcBorders>
            <w:vAlign w:val="top"/>
          </w:tcPr>
          <w:p w14:paraId="75C5DC35">
            <w:pPr>
              <w:rPr>
                <w:rFonts w:ascii="Arial"/>
                <w:sz w:val="21"/>
              </w:rPr>
            </w:pPr>
          </w:p>
        </w:tc>
        <w:tc>
          <w:tcPr>
            <w:tcW w:w="4134" w:type="dxa"/>
            <w:vAlign w:val="top"/>
          </w:tcPr>
          <w:p w14:paraId="19F74E6D">
            <w:pPr>
              <w:pStyle w:val="6"/>
              <w:spacing w:before="53" w:line="228" w:lineRule="auto"/>
              <w:ind w:left="1759"/>
            </w:pPr>
            <w:r>
              <w:rPr>
                <w:b/>
                <w:bCs/>
                <w:spacing w:val="5"/>
              </w:rPr>
              <w:t>户外式</w:t>
            </w:r>
          </w:p>
        </w:tc>
        <w:tc>
          <w:tcPr>
            <w:tcW w:w="1149" w:type="dxa"/>
            <w:vAlign w:val="top"/>
          </w:tcPr>
          <w:p w14:paraId="734E3A6D">
            <w:pPr>
              <w:pStyle w:val="6"/>
              <w:spacing w:before="52" w:line="230" w:lineRule="auto"/>
              <w:ind w:left="371"/>
            </w:pPr>
            <w:r>
              <w:rPr>
                <w:b/>
                <w:bCs/>
                <w:spacing w:val="2"/>
              </w:rPr>
              <w:t>二级</w:t>
            </w:r>
          </w:p>
        </w:tc>
      </w:tr>
      <w:tr w14:paraId="14556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700" w:type="dxa"/>
            <w:vMerge w:val="continue"/>
            <w:tcBorders>
              <w:top w:val="nil"/>
              <w:bottom w:val="nil"/>
            </w:tcBorders>
            <w:vAlign w:val="top"/>
          </w:tcPr>
          <w:p w14:paraId="5549CAEF">
            <w:pPr>
              <w:rPr>
                <w:rFonts w:ascii="Arial"/>
                <w:sz w:val="21"/>
              </w:rPr>
            </w:pPr>
          </w:p>
        </w:tc>
        <w:tc>
          <w:tcPr>
            <w:tcW w:w="1449" w:type="dxa"/>
            <w:vMerge w:val="continue"/>
            <w:tcBorders>
              <w:top w:val="nil"/>
              <w:bottom w:val="nil"/>
            </w:tcBorders>
            <w:vAlign w:val="top"/>
          </w:tcPr>
          <w:p w14:paraId="7F67B2C8">
            <w:pPr>
              <w:rPr>
                <w:rFonts w:ascii="Arial"/>
                <w:sz w:val="21"/>
              </w:rPr>
            </w:pPr>
          </w:p>
        </w:tc>
        <w:tc>
          <w:tcPr>
            <w:tcW w:w="1205" w:type="dxa"/>
            <w:vMerge w:val="restart"/>
            <w:tcBorders>
              <w:bottom w:val="nil"/>
            </w:tcBorders>
            <w:vAlign w:val="top"/>
          </w:tcPr>
          <w:p w14:paraId="073B1153">
            <w:pPr>
              <w:spacing w:line="307" w:lineRule="auto"/>
              <w:rPr>
                <w:rFonts w:ascii="Arial"/>
                <w:sz w:val="21"/>
              </w:rPr>
            </w:pPr>
          </w:p>
          <w:p w14:paraId="663F50E5">
            <w:pPr>
              <w:spacing w:line="308" w:lineRule="auto"/>
              <w:rPr>
                <w:rFonts w:ascii="Arial"/>
                <w:sz w:val="21"/>
              </w:rPr>
            </w:pPr>
          </w:p>
          <w:p w14:paraId="4A59D3CC">
            <w:pPr>
              <w:pStyle w:val="6"/>
              <w:spacing w:before="65" w:line="228" w:lineRule="auto"/>
              <w:ind w:left="186"/>
            </w:pPr>
            <w:r>
              <w:rPr>
                <w:spacing w:val="7"/>
              </w:rPr>
              <w:t>输电线路</w:t>
            </w:r>
          </w:p>
        </w:tc>
        <w:tc>
          <w:tcPr>
            <w:tcW w:w="4134" w:type="dxa"/>
            <w:vAlign w:val="top"/>
          </w:tcPr>
          <w:p w14:paraId="496C6DC7">
            <w:pPr>
              <w:pStyle w:val="6"/>
              <w:spacing w:before="52" w:line="228" w:lineRule="auto"/>
              <w:ind w:left="131"/>
            </w:pPr>
            <w:r>
              <w:rPr>
                <w:rFonts w:ascii="Times New Roman" w:hAnsi="Times New Roman" w:eastAsia="Times New Roman" w:cs="Times New Roman"/>
              </w:rPr>
              <w:t>1</w:t>
            </w:r>
            <w:r>
              <w:rPr>
                <w:rFonts w:ascii="Times New Roman" w:hAnsi="Times New Roman" w:eastAsia="Times New Roman" w:cs="Times New Roman"/>
                <w:spacing w:val="-24"/>
              </w:rPr>
              <w:t xml:space="preserve"> </w:t>
            </w:r>
            <w:r>
              <w:t>、地下电缆；</w:t>
            </w:r>
          </w:p>
          <w:p w14:paraId="02F39725">
            <w:pPr>
              <w:pStyle w:val="6"/>
              <w:spacing w:before="65" w:line="260" w:lineRule="auto"/>
              <w:ind w:left="138" w:right="105" w:hanging="28"/>
            </w:pPr>
            <w:r>
              <w:rPr>
                <w:rFonts w:ascii="Times New Roman" w:hAnsi="Times New Roman" w:eastAsia="Times New Roman" w:cs="Times New Roman"/>
                <w:spacing w:val="4"/>
              </w:rPr>
              <w:t>2</w:t>
            </w:r>
            <w:r>
              <w:rPr>
                <w:rFonts w:ascii="Times New Roman" w:hAnsi="Times New Roman" w:eastAsia="Times New Roman" w:cs="Times New Roman"/>
                <w:spacing w:val="-18"/>
              </w:rPr>
              <w:t xml:space="preserve"> </w:t>
            </w:r>
            <w:r>
              <w:rPr>
                <w:spacing w:val="4"/>
              </w:rPr>
              <w:t>、边导线地面投影外两侧各</w:t>
            </w:r>
            <w:r>
              <w:rPr>
                <w:spacing w:val="-23"/>
              </w:rPr>
              <w:t xml:space="preserve"> </w:t>
            </w:r>
            <w:r>
              <w:rPr>
                <w:rFonts w:ascii="Times New Roman" w:hAnsi="Times New Roman" w:eastAsia="Times New Roman" w:cs="Times New Roman"/>
                <w:spacing w:val="4"/>
              </w:rPr>
              <w:t>10m</w:t>
            </w:r>
            <w:r>
              <w:rPr>
                <w:rFonts w:ascii="Times New Roman" w:hAnsi="Times New Roman" w:eastAsia="Times New Roman" w:cs="Times New Roman"/>
                <w:spacing w:val="17"/>
              </w:rPr>
              <w:t xml:space="preserve"> </w:t>
            </w:r>
            <w:r>
              <w:rPr>
                <w:spacing w:val="4"/>
              </w:rPr>
              <w:t>范围内无</w:t>
            </w:r>
            <w:r>
              <w:rPr>
                <w:spacing w:val="6"/>
              </w:rPr>
              <w:t>电磁环境敏感目标的架空线；</w:t>
            </w:r>
          </w:p>
        </w:tc>
        <w:tc>
          <w:tcPr>
            <w:tcW w:w="1149" w:type="dxa"/>
            <w:vAlign w:val="top"/>
          </w:tcPr>
          <w:p w14:paraId="775016C0">
            <w:pPr>
              <w:spacing w:line="298" w:lineRule="auto"/>
              <w:rPr>
                <w:rFonts w:ascii="Arial"/>
                <w:sz w:val="21"/>
              </w:rPr>
            </w:pPr>
          </w:p>
          <w:p w14:paraId="46939ED9">
            <w:pPr>
              <w:pStyle w:val="6"/>
              <w:spacing w:before="65" w:line="230" w:lineRule="auto"/>
              <w:ind w:left="370"/>
            </w:pPr>
            <w:r>
              <w:rPr>
                <w:spacing w:val="4"/>
              </w:rPr>
              <w:t>三级</w:t>
            </w:r>
          </w:p>
        </w:tc>
      </w:tr>
      <w:tr w14:paraId="108A1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00" w:type="dxa"/>
            <w:vMerge w:val="continue"/>
            <w:tcBorders>
              <w:top w:val="nil"/>
            </w:tcBorders>
            <w:vAlign w:val="top"/>
          </w:tcPr>
          <w:p w14:paraId="5D58729D">
            <w:pPr>
              <w:rPr>
                <w:rFonts w:ascii="Arial"/>
                <w:sz w:val="21"/>
              </w:rPr>
            </w:pPr>
          </w:p>
        </w:tc>
        <w:tc>
          <w:tcPr>
            <w:tcW w:w="1449" w:type="dxa"/>
            <w:vMerge w:val="continue"/>
            <w:tcBorders>
              <w:top w:val="nil"/>
            </w:tcBorders>
            <w:vAlign w:val="top"/>
          </w:tcPr>
          <w:p w14:paraId="60545028">
            <w:pPr>
              <w:rPr>
                <w:rFonts w:ascii="Arial"/>
                <w:sz w:val="21"/>
              </w:rPr>
            </w:pPr>
          </w:p>
        </w:tc>
        <w:tc>
          <w:tcPr>
            <w:tcW w:w="1205" w:type="dxa"/>
            <w:vMerge w:val="continue"/>
            <w:tcBorders>
              <w:top w:val="nil"/>
            </w:tcBorders>
            <w:vAlign w:val="top"/>
          </w:tcPr>
          <w:p w14:paraId="334D3345">
            <w:pPr>
              <w:rPr>
                <w:rFonts w:ascii="Arial"/>
                <w:sz w:val="21"/>
              </w:rPr>
            </w:pPr>
          </w:p>
        </w:tc>
        <w:tc>
          <w:tcPr>
            <w:tcW w:w="4134" w:type="dxa"/>
            <w:vAlign w:val="top"/>
          </w:tcPr>
          <w:p w14:paraId="417C1D0E">
            <w:pPr>
              <w:pStyle w:val="6"/>
              <w:spacing w:before="57" w:line="261" w:lineRule="auto"/>
              <w:ind w:left="113" w:right="105"/>
            </w:pPr>
            <w:r>
              <w:rPr>
                <w:b/>
                <w:bCs/>
                <w:spacing w:val="8"/>
              </w:rPr>
              <w:t>边导线地面投影外两侧各</w:t>
            </w:r>
            <w:r>
              <w:rPr>
                <w:spacing w:val="-16"/>
              </w:rPr>
              <w:t xml:space="preserve"> </w:t>
            </w:r>
            <w:r>
              <w:rPr>
                <w:rFonts w:ascii="Times New Roman" w:hAnsi="Times New Roman" w:eastAsia="Times New Roman" w:cs="Times New Roman"/>
                <w:b/>
                <w:bCs/>
                <w:spacing w:val="8"/>
              </w:rPr>
              <w:t>10m</w:t>
            </w:r>
            <w:r>
              <w:rPr>
                <w:rFonts w:ascii="Times New Roman" w:hAnsi="Times New Roman" w:eastAsia="Times New Roman" w:cs="Times New Roman"/>
                <w:b/>
                <w:bCs/>
                <w:spacing w:val="22"/>
              </w:rPr>
              <w:t xml:space="preserve"> </w:t>
            </w:r>
            <w:r>
              <w:rPr>
                <w:b/>
                <w:bCs/>
                <w:spacing w:val="8"/>
              </w:rPr>
              <w:t>范围内有电</w:t>
            </w:r>
            <w:r>
              <w:rPr>
                <w:b/>
                <w:bCs/>
                <w:spacing w:val="6"/>
              </w:rPr>
              <w:t>磁环境敏感目标的架空线；</w:t>
            </w:r>
          </w:p>
        </w:tc>
        <w:tc>
          <w:tcPr>
            <w:tcW w:w="1149" w:type="dxa"/>
            <w:vAlign w:val="top"/>
          </w:tcPr>
          <w:p w14:paraId="010662ED">
            <w:pPr>
              <w:pStyle w:val="6"/>
              <w:spacing w:before="213" w:line="230" w:lineRule="auto"/>
              <w:ind w:left="371"/>
            </w:pPr>
            <w:r>
              <w:rPr>
                <w:b/>
                <w:bCs/>
                <w:spacing w:val="2"/>
              </w:rPr>
              <w:t>二级</w:t>
            </w:r>
          </w:p>
        </w:tc>
      </w:tr>
    </w:tbl>
    <w:p w14:paraId="19817CF9">
      <w:pPr>
        <w:pStyle w:val="2"/>
        <w:spacing w:before="114" w:line="360" w:lineRule="auto"/>
        <w:ind w:left="123" w:right="223" w:firstLine="480"/>
        <w:jc w:val="both"/>
        <w:rPr>
          <w:sz w:val="24"/>
          <w:szCs w:val="24"/>
        </w:rPr>
      </w:pPr>
      <w:r>
        <w:rPr>
          <w:spacing w:val="-3"/>
          <w:sz w:val="24"/>
          <w:szCs w:val="24"/>
        </w:rPr>
        <w:t>本工程变电站布置为户外式，本次变电站电磁环境评价等级为</w:t>
      </w:r>
      <w:r>
        <w:rPr>
          <w:spacing w:val="-4"/>
          <w:sz w:val="24"/>
          <w:szCs w:val="24"/>
        </w:rPr>
        <w:t>二级；架空线</w:t>
      </w:r>
      <w:r>
        <w:rPr>
          <w:sz w:val="24"/>
          <w:szCs w:val="24"/>
        </w:rPr>
        <w:t>路边导线地面投影外两侧各</w:t>
      </w:r>
      <w:r>
        <w:rPr>
          <w:spacing w:val="-13"/>
          <w:sz w:val="24"/>
          <w:szCs w:val="24"/>
        </w:rPr>
        <w:t xml:space="preserve"> </w:t>
      </w:r>
      <w:r>
        <w:rPr>
          <w:rFonts w:ascii="Times New Roman" w:hAnsi="Times New Roman" w:eastAsia="Times New Roman" w:cs="Times New Roman"/>
          <w:sz w:val="24"/>
          <w:szCs w:val="24"/>
        </w:rPr>
        <w:t>10m</w:t>
      </w:r>
      <w:r>
        <w:rPr>
          <w:rFonts w:ascii="Times New Roman" w:hAnsi="Times New Roman" w:eastAsia="Times New Roman" w:cs="Times New Roman"/>
          <w:spacing w:val="18"/>
          <w:w w:val="101"/>
          <w:sz w:val="24"/>
          <w:szCs w:val="24"/>
        </w:rPr>
        <w:t xml:space="preserve"> </w:t>
      </w:r>
      <w:r>
        <w:rPr>
          <w:sz w:val="24"/>
          <w:szCs w:val="24"/>
        </w:rPr>
        <w:t>范围内有电磁环境敏感目标，输电线路电磁环</w:t>
      </w:r>
      <w:r>
        <w:rPr>
          <w:spacing w:val="-2"/>
          <w:sz w:val="24"/>
          <w:szCs w:val="24"/>
        </w:rPr>
        <w:t>境评价等级为二级。</w:t>
      </w:r>
    </w:p>
    <w:p w14:paraId="73E36163">
      <w:pPr>
        <w:pStyle w:val="2"/>
        <w:spacing w:before="1" w:line="217" w:lineRule="auto"/>
        <w:ind w:left="605"/>
        <w:rPr>
          <w:sz w:val="24"/>
          <w:szCs w:val="24"/>
        </w:rPr>
      </w:pPr>
      <w:r>
        <w:rPr>
          <w:spacing w:val="-1"/>
          <w:sz w:val="24"/>
          <w:szCs w:val="24"/>
        </w:rPr>
        <w:t>综上，本工程电磁环境评价等级按二级进行评价。</w:t>
      </w:r>
    </w:p>
    <w:p w14:paraId="6355A9F3">
      <w:pPr>
        <w:pStyle w:val="2"/>
        <w:spacing w:before="233" w:line="218" w:lineRule="auto"/>
        <w:ind w:left="120"/>
        <w:rPr>
          <w:sz w:val="30"/>
          <w:szCs w:val="30"/>
        </w:rPr>
      </w:pPr>
      <w:r>
        <w:rPr>
          <w:rFonts w:ascii="Times New Roman" w:hAnsi="Times New Roman" w:eastAsia="Times New Roman" w:cs="Times New Roman"/>
          <w:b/>
          <w:bCs/>
          <w:spacing w:val="-2"/>
          <w:sz w:val="30"/>
          <w:szCs w:val="30"/>
        </w:rPr>
        <w:t xml:space="preserve">2.4  </w:t>
      </w:r>
      <w:r>
        <w:rPr>
          <w:b/>
          <w:bCs/>
          <w:spacing w:val="-2"/>
          <w:sz w:val="30"/>
          <w:szCs w:val="30"/>
        </w:rPr>
        <w:t>评价范围</w:t>
      </w:r>
    </w:p>
    <w:p w14:paraId="08E5A03A">
      <w:pPr>
        <w:pStyle w:val="2"/>
        <w:spacing w:before="141" w:line="359" w:lineRule="auto"/>
        <w:ind w:left="134" w:right="223" w:firstLine="467"/>
        <w:rPr>
          <w:sz w:val="24"/>
          <w:szCs w:val="24"/>
        </w:rPr>
      </w:pPr>
      <w:r>
        <w:rPr>
          <w:spacing w:val="-2"/>
          <w:sz w:val="24"/>
          <w:szCs w:val="24"/>
        </w:rPr>
        <w:t>根据《环境影响评价技术导则 输变电》（</w:t>
      </w:r>
      <w:r>
        <w:rPr>
          <w:rFonts w:ascii="Times New Roman" w:hAnsi="Times New Roman" w:eastAsia="Times New Roman" w:cs="Times New Roman"/>
          <w:spacing w:val="-2"/>
          <w:sz w:val="24"/>
          <w:szCs w:val="24"/>
        </w:rPr>
        <w:t>HJ24-2020</w:t>
      </w:r>
      <w:r>
        <w:rPr>
          <w:spacing w:val="-10"/>
          <w:sz w:val="24"/>
          <w:szCs w:val="24"/>
        </w:rPr>
        <w:t>），</w:t>
      </w:r>
      <w:r>
        <w:rPr>
          <w:spacing w:val="-2"/>
          <w:sz w:val="24"/>
          <w:szCs w:val="24"/>
        </w:rPr>
        <w:t>本工程电磁环境影</w:t>
      </w:r>
      <w:r>
        <w:rPr>
          <w:spacing w:val="-4"/>
          <w:sz w:val="24"/>
          <w:szCs w:val="24"/>
        </w:rPr>
        <w:t>响评价范围为：</w:t>
      </w:r>
    </w:p>
    <w:p w14:paraId="76F6ACC5">
      <w:pPr>
        <w:pStyle w:val="2"/>
        <w:spacing w:before="2" w:line="359" w:lineRule="auto"/>
        <w:ind w:left="123" w:right="223" w:firstLine="490"/>
        <w:rPr>
          <w:sz w:val="24"/>
          <w:szCs w:val="24"/>
        </w:rPr>
      </w:pPr>
      <w:r>
        <w:rPr>
          <w:spacing w:val="-4"/>
          <w:sz w:val="24"/>
          <w:szCs w:val="24"/>
        </w:rPr>
        <w:t>（</w:t>
      </w:r>
      <w:r>
        <w:rPr>
          <w:rFonts w:ascii="Times New Roman" w:hAnsi="Times New Roman" w:eastAsia="Times New Roman" w:cs="Times New Roman"/>
          <w:spacing w:val="-4"/>
          <w:sz w:val="24"/>
          <w:szCs w:val="24"/>
        </w:rPr>
        <w:t>1</w:t>
      </w:r>
      <w:r>
        <w:rPr>
          <w:spacing w:val="-4"/>
          <w:sz w:val="24"/>
          <w:szCs w:val="24"/>
        </w:rPr>
        <w:t>）变电站：</w:t>
      </w:r>
      <w:r>
        <w:rPr>
          <w:rFonts w:ascii="Times New Roman" w:hAnsi="Times New Roman" w:eastAsia="Times New Roman" w:cs="Times New Roman"/>
          <w:spacing w:val="-4"/>
          <w:sz w:val="24"/>
          <w:szCs w:val="24"/>
        </w:rPr>
        <w:t>220kV</w:t>
      </w:r>
      <w:r>
        <w:rPr>
          <w:rFonts w:ascii="Times New Roman" w:hAnsi="Times New Roman" w:eastAsia="Times New Roman" w:cs="Times New Roman"/>
          <w:spacing w:val="20"/>
          <w:sz w:val="24"/>
          <w:szCs w:val="24"/>
        </w:rPr>
        <w:t xml:space="preserve"> </w:t>
      </w:r>
      <w:r>
        <w:rPr>
          <w:spacing w:val="-4"/>
          <w:sz w:val="24"/>
          <w:szCs w:val="24"/>
        </w:rPr>
        <w:t>芳华变电站站界外</w:t>
      </w:r>
      <w:r>
        <w:rPr>
          <w:spacing w:val="-56"/>
          <w:sz w:val="24"/>
          <w:szCs w:val="24"/>
        </w:rPr>
        <w:t xml:space="preserve"> </w:t>
      </w:r>
      <w:r>
        <w:rPr>
          <w:rFonts w:ascii="Times New Roman" w:hAnsi="Times New Roman" w:eastAsia="Times New Roman" w:cs="Times New Roman"/>
          <w:spacing w:val="-4"/>
          <w:sz w:val="24"/>
          <w:szCs w:val="24"/>
        </w:rPr>
        <w:t xml:space="preserve">40m </w:t>
      </w:r>
      <w:r>
        <w:rPr>
          <w:spacing w:val="-4"/>
          <w:sz w:val="24"/>
          <w:szCs w:val="24"/>
        </w:rPr>
        <w:t>范围内（本期</w:t>
      </w:r>
      <w:r>
        <w:rPr>
          <w:spacing w:val="-55"/>
          <w:sz w:val="24"/>
          <w:szCs w:val="24"/>
        </w:rPr>
        <w:t xml:space="preserve"> </w:t>
      </w:r>
      <w:r>
        <w:rPr>
          <w:rFonts w:ascii="Times New Roman" w:hAnsi="Times New Roman" w:eastAsia="Times New Roman" w:cs="Times New Roman"/>
          <w:spacing w:val="-4"/>
          <w:sz w:val="24"/>
          <w:szCs w:val="24"/>
        </w:rPr>
        <w:t>220kV</w:t>
      </w:r>
      <w:r>
        <w:rPr>
          <w:rFonts w:ascii="Times New Roman" w:hAnsi="Times New Roman" w:eastAsia="Times New Roman" w:cs="Times New Roman"/>
          <w:spacing w:val="18"/>
          <w:sz w:val="24"/>
          <w:szCs w:val="24"/>
        </w:rPr>
        <w:t xml:space="preserve"> </w:t>
      </w:r>
      <w:r>
        <w:rPr>
          <w:spacing w:val="-4"/>
          <w:sz w:val="24"/>
          <w:szCs w:val="24"/>
        </w:rPr>
        <w:t>芳华变电</w:t>
      </w:r>
      <w:r>
        <w:rPr>
          <w:spacing w:val="-2"/>
          <w:sz w:val="24"/>
          <w:szCs w:val="24"/>
        </w:rPr>
        <w:t>站扩建</w:t>
      </w:r>
      <w:r>
        <w:rPr>
          <w:spacing w:val="-27"/>
          <w:sz w:val="24"/>
          <w:szCs w:val="24"/>
        </w:rPr>
        <w:t xml:space="preserve"> </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35"/>
          <w:sz w:val="24"/>
          <w:szCs w:val="24"/>
        </w:rPr>
        <w:t xml:space="preserve"> </w:t>
      </w:r>
      <w:r>
        <w:rPr>
          <w:spacing w:val="-2"/>
          <w:sz w:val="24"/>
          <w:szCs w:val="24"/>
        </w:rPr>
        <w:t>回</w:t>
      </w:r>
      <w:r>
        <w:rPr>
          <w:spacing w:val="-30"/>
          <w:sz w:val="24"/>
          <w:szCs w:val="24"/>
        </w:rPr>
        <w:t xml:space="preserve"> </w:t>
      </w:r>
      <w:r>
        <w:rPr>
          <w:rFonts w:ascii="Times New Roman" w:hAnsi="Times New Roman" w:eastAsia="Times New Roman" w:cs="Times New Roman"/>
          <w:spacing w:val="-2"/>
          <w:sz w:val="24"/>
          <w:szCs w:val="24"/>
        </w:rPr>
        <w:t>110kV</w:t>
      </w:r>
      <w:r>
        <w:rPr>
          <w:rFonts w:ascii="Times New Roman" w:hAnsi="Times New Roman" w:eastAsia="Times New Roman" w:cs="Times New Roman"/>
          <w:spacing w:val="32"/>
          <w:w w:val="101"/>
          <w:sz w:val="24"/>
          <w:szCs w:val="24"/>
        </w:rPr>
        <w:t xml:space="preserve"> </w:t>
      </w:r>
      <w:r>
        <w:rPr>
          <w:spacing w:val="-2"/>
          <w:sz w:val="24"/>
          <w:szCs w:val="24"/>
        </w:rPr>
        <w:t>出线间隔，变电站主体电压等级为</w:t>
      </w:r>
      <w:r>
        <w:rPr>
          <w:spacing w:val="-50"/>
          <w:sz w:val="24"/>
          <w:szCs w:val="24"/>
        </w:rPr>
        <w:t xml:space="preserve"> </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3"/>
          <w:sz w:val="24"/>
          <w:szCs w:val="24"/>
        </w:rPr>
        <w:t>20kV</w:t>
      </w:r>
      <w:r>
        <w:rPr>
          <w:rFonts w:ascii="Times New Roman" w:hAnsi="Times New Roman" w:eastAsia="Times New Roman" w:cs="Times New Roman"/>
          <w:spacing w:val="-27"/>
          <w:sz w:val="24"/>
          <w:szCs w:val="24"/>
        </w:rPr>
        <w:t xml:space="preserve"> </w:t>
      </w:r>
      <w:r>
        <w:rPr>
          <w:spacing w:val="-3"/>
          <w:sz w:val="24"/>
          <w:szCs w:val="24"/>
        </w:rPr>
        <w:t>，评价范围按照芳</w:t>
      </w:r>
      <w:r>
        <w:rPr>
          <w:spacing w:val="-2"/>
          <w:sz w:val="24"/>
          <w:szCs w:val="24"/>
        </w:rPr>
        <w:t>华变电站的电压等级确定</w:t>
      </w:r>
      <w:r>
        <w:rPr>
          <w:spacing w:val="14"/>
          <w:sz w:val="24"/>
          <w:szCs w:val="24"/>
        </w:rPr>
        <w:t>）；</w:t>
      </w:r>
      <w:r>
        <w:rPr>
          <w:rFonts w:ascii="Times New Roman" w:hAnsi="Times New Roman" w:eastAsia="Times New Roman" w:cs="Times New Roman"/>
          <w:spacing w:val="-2"/>
          <w:sz w:val="24"/>
          <w:szCs w:val="24"/>
        </w:rPr>
        <w:t xml:space="preserve">110kV </w:t>
      </w:r>
      <w:r>
        <w:rPr>
          <w:spacing w:val="-2"/>
          <w:sz w:val="24"/>
          <w:szCs w:val="24"/>
        </w:rPr>
        <w:t>松山变电</w:t>
      </w:r>
      <w:r>
        <w:rPr>
          <w:spacing w:val="-3"/>
          <w:sz w:val="24"/>
          <w:szCs w:val="24"/>
        </w:rPr>
        <w:t>站站界外</w:t>
      </w:r>
      <w:r>
        <w:rPr>
          <w:spacing w:val="-50"/>
          <w:sz w:val="24"/>
          <w:szCs w:val="24"/>
        </w:rPr>
        <w:t xml:space="preserve"> </w:t>
      </w:r>
      <w:r>
        <w:rPr>
          <w:rFonts w:ascii="Times New Roman" w:hAnsi="Times New Roman" w:eastAsia="Times New Roman" w:cs="Times New Roman"/>
          <w:spacing w:val="-3"/>
          <w:sz w:val="24"/>
          <w:szCs w:val="24"/>
        </w:rPr>
        <w:t>30m</w:t>
      </w:r>
      <w:r>
        <w:rPr>
          <w:rFonts w:ascii="Times New Roman" w:hAnsi="Times New Roman" w:eastAsia="Times New Roman" w:cs="Times New Roman"/>
          <w:spacing w:val="16"/>
          <w:sz w:val="24"/>
          <w:szCs w:val="24"/>
        </w:rPr>
        <w:t xml:space="preserve"> </w:t>
      </w:r>
      <w:r>
        <w:rPr>
          <w:spacing w:val="-3"/>
          <w:sz w:val="24"/>
          <w:szCs w:val="24"/>
        </w:rPr>
        <w:t>范围内。</w:t>
      </w:r>
    </w:p>
    <w:p w14:paraId="2E1737C5">
      <w:pPr>
        <w:pStyle w:val="2"/>
        <w:spacing w:line="219" w:lineRule="auto"/>
        <w:ind w:left="613"/>
        <w:rPr>
          <w:sz w:val="24"/>
          <w:szCs w:val="24"/>
        </w:rPr>
      </w:pPr>
      <w:r>
        <w:rPr>
          <w:spacing w:val="-2"/>
          <w:sz w:val="24"/>
          <w:szCs w:val="24"/>
        </w:rPr>
        <w:t>（</w:t>
      </w:r>
      <w:r>
        <w:rPr>
          <w:rFonts w:ascii="Times New Roman" w:hAnsi="Times New Roman" w:eastAsia="Times New Roman" w:cs="Times New Roman"/>
          <w:spacing w:val="-2"/>
          <w:sz w:val="24"/>
          <w:szCs w:val="24"/>
        </w:rPr>
        <w:t>2</w:t>
      </w:r>
      <w:r>
        <w:rPr>
          <w:spacing w:val="-2"/>
          <w:sz w:val="24"/>
          <w:szCs w:val="24"/>
        </w:rPr>
        <w:t>）输电线路：</w:t>
      </w:r>
      <w:r>
        <w:rPr>
          <w:rFonts w:ascii="Times New Roman" w:hAnsi="Times New Roman" w:eastAsia="Times New Roman" w:cs="Times New Roman"/>
          <w:spacing w:val="-2"/>
          <w:sz w:val="24"/>
          <w:szCs w:val="24"/>
        </w:rPr>
        <w:t xml:space="preserve">110kV </w:t>
      </w:r>
      <w:r>
        <w:rPr>
          <w:spacing w:val="-2"/>
          <w:sz w:val="24"/>
          <w:szCs w:val="24"/>
        </w:rPr>
        <w:t>输电线路边导线地面投影外两侧各</w:t>
      </w:r>
      <w:r>
        <w:rPr>
          <w:spacing w:val="-36"/>
          <w:sz w:val="24"/>
          <w:szCs w:val="24"/>
        </w:rPr>
        <w:t xml:space="preserve"> </w:t>
      </w:r>
      <w:r>
        <w:rPr>
          <w:rFonts w:ascii="Times New Roman" w:hAnsi="Times New Roman" w:eastAsia="Times New Roman" w:cs="Times New Roman"/>
          <w:spacing w:val="-2"/>
          <w:sz w:val="24"/>
          <w:szCs w:val="24"/>
        </w:rPr>
        <w:t>30m</w:t>
      </w:r>
      <w:r>
        <w:rPr>
          <w:rFonts w:ascii="Times New Roman" w:hAnsi="Times New Roman" w:eastAsia="Times New Roman" w:cs="Times New Roman"/>
          <w:spacing w:val="16"/>
          <w:sz w:val="24"/>
          <w:szCs w:val="24"/>
        </w:rPr>
        <w:t xml:space="preserve"> </w:t>
      </w:r>
      <w:r>
        <w:rPr>
          <w:spacing w:val="-2"/>
          <w:sz w:val="24"/>
          <w:szCs w:val="24"/>
        </w:rPr>
        <w:t>范围内。</w:t>
      </w:r>
    </w:p>
    <w:p w14:paraId="1F6F309A">
      <w:pPr>
        <w:pStyle w:val="2"/>
        <w:spacing w:before="309" w:line="218" w:lineRule="auto"/>
        <w:ind w:left="120"/>
        <w:rPr>
          <w:sz w:val="30"/>
          <w:szCs w:val="30"/>
        </w:rPr>
      </w:pPr>
      <w:r>
        <w:rPr>
          <w:rFonts w:ascii="Times New Roman" w:hAnsi="Times New Roman" w:eastAsia="Times New Roman" w:cs="Times New Roman"/>
          <w:b/>
          <w:bCs/>
          <w:spacing w:val="-2"/>
          <w:sz w:val="30"/>
          <w:szCs w:val="30"/>
        </w:rPr>
        <w:t xml:space="preserve">2.5  </w:t>
      </w:r>
      <w:r>
        <w:rPr>
          <w:b/>
          <w:bCs/>
          <w:spacing w:val="-2"/>
          <w:sz w:val="30"/>
          <w:szCs w:val="30"/>
        </w:rPr>
        <w:t>评价重点</w:t>
      </w:r>
    </w:p>
    <w:p w14:paraId="7A28458A">
      <w:pPr>
        <w:pStyle w:val="2"/>
        <w:spacing w:before="221" w:line="362" w:lineRule="auto"/>
        <w:ind w:left="134" w:right="223" w:firstLine="495"/>
        <w:rPr>
          <w:sz w:val="24"/>
          <w:szCs w:val="24"/>
        </w:rPr>
      </w:pPr>
      <w:r>
        <w:rPr>
          <w:spacing w:val="-4"/>
          <w:sz w:val="24"/>
          <w:szCs w:val="24"/>
        </w:rPr>
        <w:t>电磁环境评价重点为工程运行期产生的工频电场、工频磁场对周围环境的影</w:t>
      </w:r>
      <w:r>
        <w:rPr>
          <w:spacing w:val="-2"/>
          <w:sz w:val="24"/>
          <w:szCs w:val="24"/>
        </w:rPr>
        <w:t>响，特别是对工程电磁环境敏感目标的影响。</w:t>
      </w:r>
    </w:p>
    <w:p w14:paraId="050EF7C0">
      <w:pPr>
        <w:spacing w:line="362" w:lineRule="auto"/>
        <w:rPr>
          <w:sz w:val="24"/>
          <w:szCs w:val="24"/>
        </w:rPr>
        <w:sectPr>
          <w:footerReference r:id="rId158" w:type="default"/>
          <w:pgSz w:w="11906" w:h="16839"/>
          <w:pgMar w:top="400" w:right="1576" w:bottom="1147" w:left="1687" w:header="0" w:footer="960" w:gutter="0"/>
          <w:cols w:space="720" w:num="1"/>
        </w:sectPr>
      </w:pPr>
    </w:p>
    <w:p w14:paraId="710943A4">
      <w:pPr>
        <w:spacing w:line="283" w:lineRule="auto"/>
        <w:rPr>
          <w:rFonts w:ascii="Arial"/>
          <w:sz w:val="21"/>
        </w:rPr>
      </w:pPr>
    </w:p>
    <w:p w14:paraId="24849563">
      <w:pPr>
        <w:spacing w:line="284" w:lineRule="auto"/>
        <w:rPr>
          <w:rFonts w:ascii="Arial"/>
          <w:sz w:val="21"/>
        </w:rPr>
      </w:pPr>
    </w:p>
    <w:p w14:paraId="30226430">
      <w:pPr>
        <w:pStyle w:val="2"/>
        <w:spacing w:before="97" w:line="220" w:lineRule="auto"/>
        <w:rPr>
          <w:sz w:val="30"/>
          <w:szCs w:val="30"/>
        </w:rPr>
      </w:pPr>
      <w:r>
        <w:rPr>
          <w:rFonts w:ascii="Times New Roman" w:hAnsi="Times New Roman" w:eastAsia="Times New Roman" w:cs="Times New Roman"/>
          <w:b/>
          <w:bCs/>
          <w:spacing w:val="-7"/>
          <w:sz w:val="30"/>
          <w:szCs w:val="30"/>
        </w:rPr>
        <w:t>2.6</w:t>
      </w:r>
      <w:r>
        <w:rPr>
          <w:rFonts w:ascii="Times New Roman" w:hAnsi="Times New Roman" w:eastAsia="Times New Roman" w:cs="Times New Roman"/>
          <w:b/>
          <w:bCs/>
          <w:spacing w:val="25"/>
          <w:sz w:val="30"/>
          <w:szCs w:val="30"/>
        </w:rPr>
        <w:t xml:space="preserve">  </w:t>
      </w:r>
      <w:r>
        <w:rPr>
          <w:b/>
          <w:bCs/>
          <w:spacing w:val="-7"/>
          <w:sz w:val="30"/>
          <w:szCs w:val="30"/>
        </w:rPr>
        <w:t>电磁环境保护目标</w:t>
      </w:r>
    </w:p>
    <w:p w14:paraId="54564F00">
      <w:pPr>
        <w:pStyle w:val="2"/>
        <w:spacing w:before="253" w:line="301" w:lineRule="auto"/>
        <w:ind w:left="3" w:firstLine="480"/>
        <w:rPr>
          <w:sz w:val="24"/>
          <w:szCs w:val="24"/>
        </w:rPr>
      </w:pPr>
      <w:r>
        <w:rPr>
          <w:spacing w:val="-2"/>
          <w:sz w:val="24"/>
          <w:szCs w:val="24"/>
        </w:rPr>
        <w:t>本项目</w:t>
      </w:r>
      <w:r>
        <w:rPr>
          <w:spacing w:val="-22"/>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松山变电站界外</w:t>
      </w:r>
      <w:r>
        <w:rPr>
          <w:spacing w:val="-50"/>
          <w:sz w:val="24"/>
          <w:szCs w:val="24"/>
        </w:rPr>
        <w:t xml:space="preserve"> </w:t>
      </w:r>
      <w:r>
        <w:rPr>
          <w:rFonts w:ascii="Times New Roman" w:hAnsi="Times New Roman" w:eastAsia="Times New Roman" w:cs="Times New Roman"/>
          <w:spacing w:val="-2"/>
          <w:sz w:val="24"/>
          <w:szCs w:val="24"/>
        </w:rPr>
        <w:t>30m</w:t>
      </w:r>
      <w:r>
        <w:rPr>
          <w:rFonts w:ascii="Times New Roman" w:hAnsi="Times New Roman" w:eastAsia="Times New Roman" w:cs="Times New Roman"/>
          <w:spacing w:val="16"/>
          <w:sz w:val="24"/>
          <w:szCs w:val="24"/>
        </w:rPr>
        <w:t xml:space="preserve"> </w:t>
      </w:r>
      <w:r>
        <w:rPr>
          <w:spacing w:val="-2"/>
          <w:sz w:val="24"/>
          <w:szCs w:val="24"/>
        </w:rPr>
        <w:t>范围内、</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5"/>
          <w:w w:val="101"/>
          <w:sz w:val="24"/>
          <w:szCs w:val="24"/>
        </w:rPr>
        <w:t xml:space="preserve"> </w:t>
      </w:r>
      <w:r>
        <w:rPr>
          <w:spacing w:val="-2"/>
          <w:sz w:val="24"/>
          <w:szCs w:val="24"/>
        </w:rPr>
        <w:t>芳华变电站外</w:t>
      </w:r>
      <w:r>
        <w:rPr>
          <w:spacing w:val="-56"/>
          <w:sz w:val="24"/>
          <w:szCs w:val="24"/>
        </w:rPr>
        <w:t xml:space="preserve"> </w:t>
      </w:r>
      <w:r>
        <w:rPr>
          <w:rFonts w:ascii="Times New Roman" w:hAnsi="Times New Roman" w:eastAsia="Times New Roman" w:cs="Times New Roman"/>
          <w:spacing w:val="-2"/>
          <w:sz w:val="24"/>
          <w:szCs w:val="24"/>
        </w:rPr>
        <w:t>40m</w:t>
      </w:r>
      <w:r>
        <w:rPr>
          <w:rFonts w:ascii="Times New Roman" w:hAnsi="Times New Roman" w:eastAsia="Times New Roman" w:cs="Times New Roman"/>
          <w:spacing w:val="16"/>
          <w:sz w:val="24"/>
          <w:szCs w:val="24"/>
        </w:rPr>
        <w:t xml:space="preserve"> </w:t>
      </w:r>
      <w:r>
        <w:rPr>
          <w:spacing w:val="-2"/>
          <w:sz w:val="24"/>
          <w:szCs w:val="24"/>
        </w:rPr>
        <w:t>范围内无住宅、学校、医院、办公楼、工厂等建筑物，</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5"/>
          <w:sz w:val="24"/>
          <w:szCs w:val="24"/>
        </w:rPr>
        <w:t xml:space="preserve"> </w:t>
      </w:r>
      <w:r>
        <w:rPr>
          <w:spacing w:val="-2"/>
          <w:sz w:val="24"/>
          <w:szCs w:val="24"/>
        </w:rPr>
        <w:t>芳华变电站和</w:t>
      </w:r>
      <w:r>
        <w:rPr>
          <w:spacing w:val="-32"/>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松山变电站不涉及电磁环境保护目标；本期</w:t>
      </w:r>
      <w:r>
        <w:rPr>
          <w:spacing w:val="-55"/>
          <w:sz w:val="24"/>
          <w:szCs w:val="24"/>
        </w:rPr>
        <w:t xml:space="preserve"> </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33"/>
          <w:sz w:val="24"/>
          <w:szCs w:val="24"/>
        </w:rPr>
        <w:t xml:space="preserve"> </w:t>
      </w:r>
      <w:r>
        <w:rPr>
          <w:spacing w:val="-2"/>
          <w:sz w:val="24"/>
          <w:szCs w:val="24"/>
        </w:rPr>
        <w:t>回</w:t>
      </w:r>
      <w:r>
        <w:rPr>
          <w:spacing w:val="-32"/>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线路沿线涉及</w:t>
      </w:r>
      <w:r>
        <w:rPr>
          <w:spacing w:val="-32"/>
          <w:sz w:val="24"/>
          <w:szCs w:val="24"/>
        </w:rPr>
        <w:t xml:space="preserve"> </w:t>
      </w:r>
      <w:r>
        <w:rPr>
          <w:rFonts w:ascii="Times New Roman" w:hAnsi="Times New Roman" w:eastAsia="Times New Roman" w:cs="Times New Roman"/>
          <w:spacing w:val="-2"/>
          <w:sz w:val="24"/>
          <w:szCs w:val="24"/>
        </w:rPr>
        <w:t xml:space="preserve">17 </w:t>
      </w:r>
      <w:r>
        <w:rPr>
          <w:spacing w:val="-2"/>
          <w:sz w:val="24"/>
          <w:szCs w:val="24"/>
        </w:rPr>
        <w:t>个电磁环境保护</w:t>
      </w:r>
      <w:r>
        <w:rPr>
          <w:spacing w:val="-3"/>
          <w:sz w:val="24"/>
          <w:szCs w:val="24"/>
        </w:rPr>
        <w:t>目标；详见表</w:t>
      </w:r>
      <w:r>
        <w:rPr>
          <w:spacing w:val="-55"/>
          <w:sz w:val="24"/>
          <w:szCs w:val="24"/>
        </w:rPr>
        <w:t xml:space="preserve"> </w:t>
      </w:r>
      <w:r>
        <w:rPr>
          <w:rFonts w:ascii="Times New Roman" w:hAnsi="Times New Roman" w:eastAsia="Times New Roman" w:cs="Times New Roman"/>
          <w:spacing w:val="-3"/>
          <w:sz w:val="24"/>
          <w:szCs w:val="24"/>
        </w:rPr>
        <w:t>2-4</w:t>
      </w:r>
      <w:r>
        <w:rPr>
          <w:spacing w:val="-3"/>
          <w:sz w:val="24"/>
          <w:szCs w:val="24"/>
        </w:rPr>
        <w:t>。</w:t>
      </w:r>
    </w:p>
    <w:p w14:paraId="4077D8E1">
      <w:pPr>
        <w:pStyle w:val="2"/>
        <w:spacing w:line="228" w:lineRule="auto"/>
        <w:ind w:left="5539"/>
        <w:rPr>
          <w:sz w:val="20"/>
          <w:szCs w:val="20"/>
        </w:rPr>
      </w:pPr>
      <w:r>
        <w:rPr>
          <w:b/>
          <w:bCs/>
          <w:spacing w:val="6"/>
          <w:sz w:val="20"/>
          <w:szCs w:val="20"/>
        </w:rPr>
        <w:t>表</w:t>
      </w:r>
      <w:r>
        <w:rPr>
          <w:spacing w:val="-40"/>
          <w:sz w:val="20"/>
          <w:szCs w:val="20"/>
        </w:rPr>
        <w:t xml:space="preserve"> </w:t>
      </w:r>
      <w:r>
        <w:rPr>
          <w:rFonts w:ascii="Times New Roman" w:hAnsi="Times New Roman" w:eastAsia="Times New Roman" w:cs="Times New Roman"/>
          <w:b/>
          <w:bCs/>
          <w:spacing w:val="6"/>
          <w:sz w:val="20"/>
          <w:szCs w:val="20"/>
        </w:rPr>
        <w:t xml:space="preserve">2-4    </w:t>
      </w:r>
      <w:r>
        <w:rPr>
          <w:b/>
          <w:bCs/>
          <w:spacing w:val="6"/>
          <w:sz w:val="20"/>
          <w:szCs w:val="20"/>
        </w:rPr>
        <w:t>项目电磁环境保护目标一览表</w:t>
      </w:r>
    </w:p>
    <w:p w14:paraId="62FE0978">
      <w:pPr>
        <w:spacing w:line="14" w:lineRule="exact"/>
      </w:pPr>
    </w:p>
    <w:tbl>
      <w:tblPr>
        <w:tblStyle w:val="5"/>
        <w:tblW w:w="14342" w:type="dxa"/>
        <w:tblInd w:w="1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6"/>
        <w:gridCol w:w="1207"/>
        <w:gridCol w:w="730"/>
        <w:gridCol w:w="682"/>
        <w:gridCol w:w="903"/>
        <w:gridCol w:w="1457"/>
        <w:gridCol w:w="1449"/>
        <w:gridCol w:w="1163"/>
        <w:gridCol w:w="661"/>
        <w:gridCol w:w="4042"/>
        <w:gridCol w:w="1182"/>
      </w:tblGrid>
      <w:tr w14:paraId="2C695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atLeast"/>
        </w:trPr>
        <w:tc>
          <w:tcPr>
            <w:tcW w:w="866" w:type="dxa"/>
            <w:tcBorders>
              <w:right w:val="single" w:color="000000" w:sz="2" w:space="0"/>
            </w:tcBorders>
            <w:shd w:val="clear" w:color="auto" w:fill="BEBEBE"/>
            <w:vAlign w:val="top"/>
          </w:tcPr>
          <w:p w14:paraId="74CA02E5">
            <w:pPr>
              <w:spacing w:line="302" w:lineRule="auto"/>
              <w:rPr>
                <w:rFonts w:ascii="Arial"/>
                <w:sz w:val="21"/>
              </w:rPr>
            </w:pPr>
          </w:p>
          <w:p w14:paraId="3B0BC16C">
            <w:pPr>
              <w:pStyle w:val="6"/>
              <w:spacing w:before="65" w:line="228" w:lineRule="auto"/>
              <w:ind w:left="226"/>
            </w:pPr>
            <w:r>
              <w:rPr>
                <w:b/>
                <w:bCs/>
                <w:spacing w:val="2"/>
              </w:rPr>
              <w:t>分区</w:t>
            </w:r>
          </w:p>
        </w:tc>
        <w:tc>
          <w:tcPr>
            <w:tcW w:w="1207" w:type="dxa"/>
            <w:tcBorders>
              <w:left w:val="single" w:color="000000" w:sz="2" w:space="0"/>
            </w:tcBorders>
            <w:shd w:val="clear" w:color="auto" w:fill="BEBEBE"/>
            <w:vAlign w:val="top"/>
          </w:tcPr>
          <w:p w14:paraId="14F5AD0A">
            <w:pPr>
              <w:pStyle w:val="6"/>
              <w:spacing w:before="212" w:line="290" w:lineRule="auto"/>
              <w:ind w:left="432" w:right="394" w:hanging="39"/>
            </w:pPr>
            <w:r>
              <w:rPr>
                <w:b/>
                <w:bCs/>
                <w:spacing w:val="3"/>
              </w:rPr>
              <w:t>保护</w:t>
            </w:r>
            <w:r>
              <w:rPr>
                <w:b/>
                <w:bCs/>
                <w:spacing w:val="-17"/>
              </w:rPr>
              <w:t>目标</w:t>
            </w:r>
          </w:p>
        </w:tc>
        <w:tc>
          <w:tcPr>
            <w:tcW w:w="730" w:type="dxa"/>
            <w:shd w:val="clear" w:color="auto" w:fill="BEBEBE"/>
            <w:vAlign w:val="top"/>
          </w:tcPr>
          <w:p w14:paraId="46CB02B6">
            <w:pPr>
              <w:spacing w:line="302" w:lineRule="auto"/>
              <w:rPr>
                <w:rFonts w:ascii="Arial"/>
                <w:sz w:val="21"/>
              </w:rPr>
            </w:pPr>
          </w:p>
          <w:p w14:paraId="562E507F">
            <w:pPr>
              <w:pStyle w:val="6"/>
              <w:spacing w:before="65" w:line="229" w:lineRule="auto"/>
              <w:ind w:left="156"/>
            </w:pPr>
            <w:r>
              <w:rPr>
                <w:b/>
                <w:bCs/>
                <w:spacing w:val="2"/>
              </w:rPr>
              <w:t>功能</w:t>
            </w:r>
          </w:p>
        </w:tc>
        <w:tc>
          <w:tcPr>
            <w:tcW w:w="682" w:type="dxa"/>
            <w:shd w:val="clear" w:color="auto" w:fill="BEBEBE"/>
            <w:vAlign w:val="top"/>
          </w:tcPr>
          <w:p w14:paraId="05F60043">
            <w:pPr>
              <w:spacing w:line="302" w:lineRule="auto"/>
              <w:rPr>
                <w:rFonts w:ascii="Arial"/>
                <w:sz w:val="21"/>
              </w:rPr>
            </w:pPr>
          </w:p>
          <w:p w14:paraId="628B03A8">
            <w:pPr>
              <w:pStyle w:val="6"/>
              <w:spacing w:before="65" w:line="228" w:lineRule="auto"/>
              <w:ind w:left="131"/>
            </w:pPr>
            <w:r>
              <w:rPr>
                <w:b/>
                <w:bCs/>
                <w:spacing w:val="3"/>
              </w:rPr>
              <w:t>规模</w:t>
            </w:r>
          </w:p>
        </w:tc>
        <w:tc>
          <w:tcPr>
            <w:tcW w:w="903" w:type="dxa"/>
            <w:shd w:val="clear" w:color="auto" w:fill="BEBEBE"/>
            <w:vAlign w:val="top"/>
          </w:tcPr>
          <w:p w14:paraId="39D2D719">
            <w:pPr>
              <w:pStyle w:val="6"/>
              <w:spacing w:before="57" w:line="228" w:lineRule="auto"/>
              <w:ind w:left="137"/>
            </w:pPr>
            <w:r>
              <w:rPr>
                <w:b/>
                <w:bCs/>
                <w:spacing w:val="4"/>
              </w:rPr>
              <w:t>建筑物</w:t>
            </w:r>
          </w:p>
          <w:p w14:paraId="088EEEEB">
            <w:pPr>
              <w:pStyle w:val="6"/>
              <w:spacing w:before="65" w:line="228" w:lineRule="auto"/>
              <w:ind w:left="140"/>
            </w:pPr>
            <w:r>
              <w:rPr>
                <w:b/>
                <w:bCs/>
                <w:spacing w:val="3"/>
              </w:rPr>
              <w:t>结构及</w:t>
            </w:r>
          </w:p>
          <w:p w14:paraId="0044283A">
            <w:pPr>
              <w:pStyle w:val="6"/>
              <w:spacing w:before="64" w:line="228" w:lineRule="auto"/>
              <w:ind w:left="246"/>
            </w:pPr>
            <w:r>
              <w:rPr>
                <w:b/>
                <w:bCs/>
                <w:spacing w:val="1"/>
              </w:rPr>
              <w:t>高度</w:t>
            </w:r>
          </w:p>
        </w:tc>
        <w:tc>
          <w:tcPr>
            <w:tcW w:w="1457" w:type="dxa"/>
            <w:shd w:val="clear" w:color="auto" w:fill="BEBEBE"/>
            <w:vAlign w:val="top"/>
          </w:tcPr>
          <w:p w14:paraId="25600EC4">
            <w:pPr>
              <w:spacing w:line="302" w:lineRule="auto"/>
              <w:rPr>
                <w:rFonts w:ascii="Arial"/>
                <w:sz w:val="21"/>
              </w:rPr>
            </w:pPr>
          </w:p>
          <w:p w14:paraId="4CA1EAD6">
            <w:pPr>
              <w:pStyle w:val="6"/>
              <w:spacing w:before="65" w:line="228" w:lineRule="auto"/>
              <w:ind w:left="279"/>
            </w:pPr>
            <w:r>
              <w:rPr>
                <w:b/>
                <w:bCs/>
                <w:spacing w:val="5"/>
              </w:rPr>
              <w:t>方位</w:t>
            </w:r>
            <w:r>
              <w:rPr>
                <w:rFonts w:ascii="Times New Roman" w:hAnsi="Times New Roman" w:eastAsia="Times New Roman" w:cs="Times New Roman"/>
                <w:b/>
                <w:bCs/>
                <w:spacing w:val="5"/>
              </w:rPr>
              <w:t>/</w:t>
            </w:r>
            <w:r>
              <w:rPr>
                <w:b/>
                <w:bCs/>
                <w:spacing w:val="5"/>
              </w:rPr>
              <w:t>距离</w:t>
            </w:r>
          </w:p>
        </w:tc>
        <w:tc>
          <w:tcPr>
            <w:tcW w:w="1449" w:type="dxa"/>
            <w:tcBorders>
              <w:right w:val="single" w:color="000000" w:sz="2" w:space="0"/>
            </w:tcBorders>
            <w:shd w:val="clear" w:color="auto" w:fill="BEBEBE"/>
            <w:vAlign w:val="top"/>
          </w:tcPr>
          <w:p w14:paraId="1A971FBF">
            <w:pPr>
              <w:pStyle w:val="6"/>
              <w:spacing w:before="56" w:line="228" w:lineRule="auto"/>
              <w:ind w:left="308"/>
            </w:pPr>
            <w:r>
              <w:rPr>
                <w:b/>
                <w:bCs/>
                <w:spacing w:val="5"/>
              </w:rPr>
              <w:t>与线路边</w:t>
            </w:r>
          </w:p>
          <w:p w14:paraId="0DF80435">
            <w:pPr>
              <w:pStyle w:val="6"/>
              <w:spacing w:before="65" w:line="228" w:lineRule="auto"/>
              <w:ind w:left="310"/>
            </w:pPr>
            <w:r>
              <w:rPr>
                <w:b/>
                <w:bCs/>
                <w:spacing w:val="5"/>
              </w:rPr>
              <w:t>导线投影</w:t>
            </w:r>
          </w:p>
          <w:p w14:paraId="349F6F45">
            <w:pPr>
              <w:pStyle w:val="6"/>
              <w:spacing w:before="64" w:line="228" w:lineRule="auto"/>
              <w:ind w:left="307"/>
            </w:pPr>
            <w:r>
              <w:rPr>
                <w:b/>
                <w:bCs/>
                <w:spacing w:val="5"/>
              </w:rPr>
              <w:t>水平距离</w:t>
            </w:r>
          </w:p>
        </w:tc>
        <w:tc>
          <w:tcPr>
            <w:tcW w:w="1163" w:type="dxa"/>
            <w:tcBorders>
              <w:left w:val="single" w:color="000000" w:sz="2" w:space="0"/>
              <w:right w:val="single" w:color="000000" w:sz="2" w:space="0"/>
            </w:tcBorders>
            <w:shd w:val="clear" w:color="auto" w:fill="BEBEBE"/>
            <w:vAlign w:val="top"/>
          </w:tcPr>
          <w:p w14:paraId="2A85DEFF">
            <w:pPr>
              <w:pStyle w:val="6"/>
              <w:spacing w:before="56" w:line="228" w:lineRule="auto"/>
              <w:ind w:left="170"/>
            </w:pPr>
            <w:r>
              <w:rPr>
                <w:b/>
                <w:bCs/>
                <w:spacing w:val="5"/>
              </w:rPr>
              <w:t>与线路中</w:t>
            </w:r>
          </w:p>
          <w:p w14:paraId="4635AC19">
            <w:pPr>
              <w:pStyle w:val="6"/>
              <w:spacing w:before="65" w:line="228" w:lineRule="auto"/>
              <w:ind w:left="173"/>
            </w:pPr>
            <w:r>
              <w:rPr>
                <w:b/>
                <w:bCs/>
                <w:spacing w:val="4"/>
              </w:rPr>
              <w:t>心最近直</w:t>
            </w:r>
          </w:p>
          <w:p w14:paraId="6F100849">
            <w:pPr>
              <w:pStyle w:val="6"/>
              <w:spacing w:before="65" w:line="228" w:lineRule="auto"/>
              <w:ind w:left="274"/>
            </w:pPr>
            <w:r>
              <w:rPr>
                <w:b/>
                <w:bCs/>
                <w:spacing w:val="4"/>
              </w:rPr>
              <w:t>线距离</w:t>
            </w:r>
          </w:p>
        </w:tc>
        <w:tc>
          <w:tcPr>
            <w:tcW w:w="661" w:type="dxa"/>
            <w:tcBorders>
              <w:left w:val="single" w:color="000000" w:sz="2" w:space="0"/>
            </w:tcBorders>
            <w:shd w:val="clear" w:color="auto" w:fill="BEBEBE"/>
            <w:vAlign w:val="top"/>
          </w:tcPr>
          <w:p w14:paraId="5A54CD4E">
            <w:pPr>
              <w:pStyle w:val="6"/>
              <w:spacing w:before="57" w:line="228" w:lineRule="auto"/>
              <w:ind w:left="132"/>
            </w:pPr>
            <w:r>
              <w:rPr>
                <w:b/>
                <w:bCs/>
                <w:spacing w:val="1"/>
              </w:rPr>
              <w:t>导线</w:t>
            </w:r>
          </w:p>
          <w:p w14:paraId="75B8C7CA">
            <w:pPr>
              <w:pStyle w:val="6"/>
              <w:spacing w:before="64" w:line="229" w:lineRule="auto"/>
              <w:ind w:left="125"/>
            </w:pPr>
            <w:r>
              <w:rPr>
                <w:b/>
                <w:bCs/>
                <w:spacing w:val="4"/>
              </w:rPr>
              <w:t>对地</w:t>
            </w:r>
          </w:p>
          <w:p w14:paraId="0A195DA3">
            <w:pPr>
              <w:pStyle w:val="6"/>
              <w:spacing w:before="63" w:line="228" w:lineRule="auto"/>
              <w:ind w:left="132"/>
            </w:pPr>
            <w:r>
              <w:rPr>
                <w:b/>
                <w:bCs/>
                <w:spacing w:val="1"/>
              </w:rPr>
              <w:t>高度</w:t>
            </w:r>
          </w:p>
        </w:tc>
        <w:tc>
          <w:tcPr>
            <w:tcW w:w="4042" w:type="dxa"/>
            <w:shd w:val="clear" w:color="auto" w:fill="BEBEBE"/>
            <w:vAlign w:val="top"/>
          </w:tcPr>
          <w:p w14:paraId="2AE75A03">
            <w:pPr>
              <w:spacing w:line="302" w:lineRule="auto"/>
              <w:rPr>
                <w:rFonts w:ascii="Arial"/>
                <w:sz w:val="21"/>
              </w:rPr>
            </w:pPr>
          </w:p>
          <w:p w14:paraId="72B7925B">
            <w:pPr>
              <w:pStyle w:val="6"/>
              <w:spacing w:before="65" w:line="228" w:lineRule="auto"/>
              <w:ind w:left="1607"/>
            </w:pPr>
            <w:r>
              <w:rPr>
                <w:b/>
                <w:bCs/>
                <w:spacing w:val="6"/>
              </w:rPr>
              <w:t>现状照片</w:t>
            </w:r>
          </w:p>
        </w:tc>
        <w:tc>
          <w:tcPr>
            <w:tcW w:w="1182" w:type="dxa"/>
            <w:shd w:val="clear" w:color="auto" w:fill="BEBEBE"/>
            <w:vAlign w:val="top"/>
          </w:tcPr>
          <w:p w14:paraId="6BA9BBA3">
            <w:pPr>
              <w:spacing w:line="302" w:lineRule="auto"/>
              <w:rPr>
                <w:rFonts w:ascii="Arial"/>
                <w:sz w:val="21"/>
              </w:rPr>
            </w:pPr>
          </w:p>
          <w:p w14:paraId="70E0165C">
            <w:pPr>
              <w:pStyle w:val="6"/>
              <w:spacing w:before="65" w:line="228" w:lineRule="auto"/>
              <w:ind w:left="173"/>
            </w:pPr>
            <w:r>
              <w:rPr>
                <w:b/>
                <w:bCs/>
                <w:spacing w:val="6"/>
              </w:rPr>
              <w:t>保护级别</w:t>
            </w:r>
          </w:p>
        </w:tc>
      </w:tr>
      <w:tr w14:paraId="41B69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8" w:hRule="atLeast"/>
        </w:trPr>
        <w:tc>
          <w:tcPr>
            <w:tcW w:w="866" w:type="dxa"/>
            <w:tcBorders>
              <w:bottom w:val="nil"/>
              <w:right w:val="single" w:color="000000" w:sz="2" w:space="0"/>
            </w:tcBorders>
            <w:vAlign w:val="top"/>
          </w:tcPr>
          <w:p w14:paraId="5979D81A">
            <w:pPr>
              <w:spacing w:line="242" w:lineRule="auto"/>
              <w:rPr>
                <w:rFonts w:ascii="Arial"/>
                <w:sz w:val="21"/>
              </w:rPr>
            </w:pPr>
          </w:p>
          <w:p w14:paraId="2BD5B1D8">
            <w:pPr>
              <w:spacing w:line="242" w:lineRule="auto"/>
              <w:rPr>
                <w:rFonts w:ascii="Arial"/>
                <w:sz w:val="21"/>
              </w:rPr>
            </w:pPr>
          </w:p>
          <w:p w14:paraId="4EDDB7DF">
            <w:pPr>
              <w:spacing w:line="242" w:lineRule="auto"/>
              <w:rPr>
                <w:rFonts w:ascii="Arial"/>
                <w:sz w:val="21"/>
              </w:rPr>
            </w:pPr>
          </w:p>
          <w:p w14:paraId="043D0DE6">
            <w:pPr>
              <w:spacing w:line="242" w:lineRule="auto"/>
              <w:rPr>
                <w:rFonts w:ascii="Arial"/>
                <w:sz w:val="21"/>
              </w:rPr>
            </w:pPr>
          </w:p>
          <w:p w14:paraId="17C92E5A">
            <w:pPr>
              <w:spacing w:line="243" w:lineRule="auto"/>
              <w:rPr>
                <w:rFonts w:ascii="Arial"/>
                <w:sz w:val="21"/>
              </w:rPr>
            </w:pPr>
          </w:p>
          <w:p w14:paraId="54D3E174">
            <w:pPr>
              <w:spacing w:line="243" w:lineRule="auto"/>
              <w:rPr>
                <w:rFonts w:ascii="Arial"/>
                <w:sz w:val="21"/>
              </w:rPr>
            </w:pPr>
          </w:p>
          <w:p w14:paraId="410FAE16">
            <w:pPr>
              <w:spacing w:line="243" w:lineRule="auto"/>
              <w:rPr>
                <w:rFonts w:ascii="Arial"/>
                <w:sz w:val="21"/>
              </w:rPr>
            </w:pPr>
          </w:p>
          <w:p w14:paraId="7D40F7E7">
            <w:pPr>
              <w:pStyle w:val="6"/>
              <w:spacing w:before="65" w:line="306" w:lineRule="auto"/>
              <w:ind w:left="143" w:right="148" w:firstLine="187"/>
              <w:rPr>
                <w:rFonts w:ascii="Times New Roman" w:hAnsi="Times New Roman" w:eastAsia="Times New Roman" w:cs="Times New Roman"/>
              </w:rPr>
            </w:pPr>
            <w:r>
              <w:rPr>
                <w:spacing w:val="-1"/>
              </w:rPr>
              <w:t>至</w:t>
            </w:r>
            <w:r>
              <w:t xml:space="preserve"> </w:t>
            </w:r>
            <w:r>
              <w:rPr>
                <w:rFonts w:ascii="Times New Roman" w:hAnsi="Times New Roman" w:eastAsia="Times New Roman" w:cs="Times New Roman"/>
                <w:spacing w:val="7"/>
              </w:rPr>
              <w:t>220</w:t>
            </w:r>
            <w:r>
              <w:rPr>
                <w:rFonts w:ascii="Times New Roman" w:hAnsi="Times New Roman" w:eastAsia="Times New Roman" w:cs="Times New Roman"/>
              </w:rPr>
              <w:t>kV</w:t>
            </w:r>
          </w:p>
          <w:p w14:paraId="600ACC84">
            <w:pPr>
              <w:pStyle w:val="6"/>
              <w:spacing w:line="228" w:lineRule="auto"/>
              <w:ind w:left="124"/>
            </w:pPr>
            <w:r>
              <w:rPr>
                <w:spacing w:val="5"/>
              </w:rPr>
              <w:t>芳华变</w:t>
            </w:r>
          </w:p>
        </w:tc>
        <w:tc>
          <w:tcPr>
            <w:tcW w:w="1207" w:type="dxa"/>
            <w:tcBorders>
              <w:left w:val="single" w:color="000000" w:sz="2" w:space="0"/>
            </w:tcBorders>
            <w:vAlign w:val="top"/>
          </w:tcPr>
          <w:p w14:paraId="4C11B599">
            <w:pPr>
              <w:spacing w:line="267" w:lineRule="auto"/>
              <w:rPr>
                <w:rFonts w:ascii="Arial"/>
                <w:sz w:val="21"/>
              </w:rPr>
            </w:pPr>
          </w:p>
          <w:p w14:paraId="5FC581DE">
            <w:pPr>
              <w:spacing w:line="267" w:lineRule="auto"/>
              <w:rPr>
                <w:rFonts w:ascii="Arial"/>
                <w:sz w:val="21"/>
              </w:rPr>
            </w:pPr>
          </w:p>
          <w:p w14:paraId="2D1B8A17">
            <w:pPr>
              <w:spacing w:line="268" w:lineRule="auto"/>
              <w:rPr>
                <w:rFonts w:ascii="Arial"/>
                <w:sz w:val="21"/>
              </w:rPr>
            </w:pPr>
          </w:p>
          <w:p w14:paraId="0F7A8D72">
            <w:pPr>
              <w:spacing w:line="268" w:lineRule="auto"/>
              <w:rPr>
                <w:rFonts w:ascii="Arial"/>
                <w:sz w:val="21"/>
              </w:rPr>
            </w:pPr>
          </w:p>
          <w:p w14:paraId="275B2B9A">
            <w:pPr>
              <w:pStyle w:val="6"/>
              <w:spacing w:before="65" w:line="290" w:lineRule="auto"/>
              <w:ind w:left="290" w:right="183" w:hanging="107"/>
            </w:pPr>
            <w:r>
              <w:rPr>
                <w:spacing w:val="8"/>
              </w:rPr>
              <w:t>①菜地看</w:t>
            </w:r>
            <w:r>
              <w:rPr>
                <w:spacing w:val="6"/>
              </w:rPr>
              <w:t>护用房</w:t>
            </w:r>
          </w:p>
        </w:tc>
        <w:tc>
          <w:tcPr>
            <w:tcW w:w="730" w:type="dxa"/>
            <w:vAlign w:val="top"/>
          </w:tcPr>
          <w:p w14:paraId="143B770C">
            <w:pPr>
              <w:spacing w:line="301" w:lineRule="auto"/>
              <w:rPr>
                <w:rFonts w:ascii="Arial"/>
                <w:sz w:val="21"/>
              </w:rPr>
            </w:pPr>
          </w:p>
          <w:p w14:paraId="3AA11BA0">
            <w:pPr>
              <w:spacing w:line="302" w:lineRule="auto"/>
              <w:rPr>
                <w:rFonts w:ascii="Arial"/>
                <w:sz w:val="21"/>
              </w:rPr>
            </w:pPr>
          </w:p>
          <w:p w14:paraId="42AE6755">
            <w:pPr>
              <w:pStyle w:val="6"/>
              <w:spacing w:before="65" w:line="289" w:lineRule="auto"/>
              <w:ind w:left="154" w:right="155" w:firstLine="2"/>
              <w:jc w:val="both"/>
            </w:pPr>
            <w:r>
              <w:rPr>
                <w:spacing w:val="3"/>
              </w:rPr>
              <w:t>居住</w:t>
            </w:r>
            <w:r>
              <w:rPr>
                <w:spacing w:val="5"/>
              </w:rPr>
              <w:t>及农用物资仓</w:t>
            </w:r>
            <w:r>
              <w:rPr>
                <w:spacing w:val="34"/>
                <w:w w:val="135"/>
              </w:rPr>
              <w:t>库</w:t>
            </w:r>
          </w:p>
        </w:tc>
        <w:tc>
          <w:tcPr>
            <w:tcW w:w="682" w:type="dxa"/>
            <w:vAlign w:val="top"/>
          </w:tcPr>
          <w:p w14:paraId="1A55EF1A">
            <w:pPr>
              <w:spacing w:line="267" w:lineRule="auto"/>
              <w:rPr>
                <w:rFonts w:ascii="Arial"/>
                <w:sz w:val="21"/>
              </w:rPr>
            </w:pPr>
          </w:p>
          <w:p w14:paraId="28372ACB">
            <w:pPr>
              <w:spacing w:line="267" w:lineRule="auto"/>
              <w:rPr>
                <w:rFonts w:ascii="Arial"/>
                <w:sz w:val="21"/>
              </w:rPr>
            </w:pPr>
          </w:p>
          <w:p w14:paraId="0F380882">
            <w:pPr>
              <w:spacing w:line="268" w:lineRule="auto"/>
              <w:rPr>
                <w:rFonts w:ascii="Arial"/>
                <w:sz w:val="21"/>
              </w:rPr>
            </w:pPr>
          </w:p>
          <w:p w14:paraId="38BEB743">
            <w:pPr>
              <w:spacing w:line="268" w:lineRule="auto"/>
              <w:rPr>
                <w:rFonts w:ascii="Arial"/>
                <w:sz w:val="21"/>
              </w:rPr>
            </w:pPr>
          </w:p>
          <w:p w14:paraId="584D61CC">
            <w:pPr>
              <w:pStyle w:val="6"/>
              <w:spacing w:before="65" w:line="291" w:lineRule="auto"/>
              <w:ind w:left="153" w:right="158"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903" w:type="dxa"/>
            <w:vAlign w:val="top"/>
          </w:tcPr>
          <w:p w14:paraId="7E971963">
            <w:pPr>
              <w:spacing w:line="253" w:lineRule="auto"/>
              <w:rPr>
                <w:rFonts w:ascii="Arial"/>
                <w:sz w:val="21"/>
              </w:rPr>
            </w:pPr>
          </w:p>
          <w:p w14:paraId="79655BF2">
            <w:pPr>
              <w:spacing w:line="253" w:lineRule="auto"/>
              <w:rPr>
                <w:rFonts w:ascii="Arial"/>
                <w:sz w:val="21"/>
              </w:rPr>
            </w:pPr>
          </w:p>
          <w:p w14:paraId="3AC4539C">
            <w:pPr>
              <w:spacing w:line="253" w:lineRule="auto"/>
              <w:rPr>
                <w:rFonts w:ascii="Arial"/>
                <w:sz w:val="21"/>
              </w:rPr>
            </w:pPr>
          </w:p>
          <w:p w14:paraId="11EC4EDD">
            <w:pPr>
              <w:pStyle w:val="6"/>
              <w:spacing w:before="65" w:line="289" w:lineRule="auto"/>
              <w:ind w:left="137" w:right="134"/>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57" w:type="dxa"/>
            <w:vAlign w:val="top"/>
          </w:tcPr>
          <w:p w14:paraId="5D2CFEFD">
            <w:pPr>
              <w:spacing w:line="305" w:lineRule="auto"/>
              <w:rPr>
                <w:rFonts w:ascii="Arial"/>
                <w:sz w:val="21"/>
              </w:rPr>
            </w:pPr>
          </w:p>
          <w:p w14:paraId="62899EB7">
            <w:pPr>
              <w:spacing w:line="305" w:lineRule="auto"/>
              <w:rPr>
                <w:rFonts w:ascii="Arial"/>
                <w:sz w:val="21"/>
              </w:rPr>
            </w:pPr>
          </w:p>
          <w:p w14:paraId="7CA9C796">
            <w:pPr>
              <w:spacing w:line="305" w:lineRule="auto"/>
              <w:rPr>
                <w:rFonts w:ascii="Arial"/>
                <w:sz w:val="21"/>
              </w:rPr>
            </w:pPr>
          </w:p>
          <w:p w14:paraId="429ABC06">
            <w:pPr>
              <w:pStyle w:val="6"/>
              <w:spacing w:before="65" w:line="289" w:lineRule="auto"/>
              <w:ind w:left="106" w:right="105" w:firstLine="99"/>
              <w:jc w:val="both"/>
              <w:rPr>
                <w:rFonts w:ascii="Times New Roman" w:hAnsi="Times New Roman" w:eastAsia="Times New Roman" w:cs="Times New Roman"/>
              </w:rPr>
            </w:pPr>
            <w:r>
              <w:rPr>
                <w:spacing w:val="7"/>
              </w:rPr>
              <w:t>单回线路北</w:t>
            </w:r>
            <w:r>
              <w:rPr>
                <w:spacing w:val="2"/>
              </w:rPr>
              <w:t>侧，</w:t>
            </w:r>
            <w:r>
              <w:rPr>
                <w:rFonts w:ascii="Times New Roman" w:hAnsi="Times New Roman" w:eastAsia="Times New Roman" w:cs="Times New Roman"/>
              </w:rPr>
              <w:t>AZ</w:t>
            </w:r>
            <w:r>
              <w:rPr>
                <w:rFonts w:ascii="Times New Roman" w:hAnsi="Times New Roman" w:eastAsia="Times New Roman" w:cs="Times New Roman"/>
                <w:spacing w:val="2"/>
              </w:rPr>
              <w:t>1-</w:t>
            </w:r>
            <w:r>
              <w:rPr>
                <w:rFonts w:ascii="Times New Roman" w:hAnsi="Times New Roman" w:eastAsia="Times New Roman" w:cs="Times New Roman"/>
                <w:spacing w:val="-24"/>
              </w:rPr>
              <w:t xml:space="preserve"> </w:t>
            </w:r>
            <w:r>
              <w:rPr>
                <w:rFonts w:ascii="Times New Roman" w:hAnsi="Times New Roman" w:eastAsia="Times New Roman" w:cs="Times New Roman"/>
                <w:spacing w:val="2"/>
              </w:rPr>
              <w:t>1</w:t>
            </w:r>
            <w:r>
              <w:rPr>
                <w:rFonts w:ascii="Times New Roman" w:hAnsi="Times New Roman" w:eastAsia="Times New Roman" w:cs="Times New Roman"/>
                <w:spacing w:val="12"/>
              </w:rPr>
              <w:t xml:space="preserve"> </w:t>
            </w:r>
            <w:r>
              <w:rPr>
                <w:spacing w:val="2"/>
              </w:rPr>
              <w:t>塔</w:t>
            </w:r>
            <w:r>
              <w:rPr>
                <w:spacing w:val="20"/>
              </w:rPr>
              <w:t>基西侧</w:t>
            </w:r>
            <w:r>
              <w:rPr>
                <w:spacing w:val="-35"/>
              </w:rPr>
              <w:t xml:space="preserve"> </w:t>
            </w:r>
            <w:r>
              <w:rPr>
                <w:rFonts w:ascii="Times New Roman" w:hAnsi="Times New Roman" w:eastAsia="Times New Roman" w:cs="Times New Roman"/>
                <w:spacing w:val="20"/>
              </w:rPr>
              <w:t>60m</w:t>
            </w:r>
          </w:p>
        </w:tc>
        <w:tc>
          <w:tcPr>
            <w:tcW w:w="1449" w:type="dxa"/>
            <w:tcBorders>
              <w:right w:val="single" w:color="000000" w:sz="2" w:space="0"/>
            </w:tcBorders>
            <w:vAlign w:val="top"/>
          </w:tcPr>
          <w:p w14:paraId="40076EC6">
            <w:pPr>
              <w:spacing w:line="305" w:lineRule="auto"/>
              <w:rPr>
                <w:rFonts w:ascii="Arial"/>
                <w:sz w:val="21"/>
              </w:rPr>
            </w:pPr>
          </w:p>
          <w:p w14:paraId="41985BFA">
            <w:pPr>
              <w:spacing w:line="305" w:lineRule="auto"/>
              <w:rPr>
                <w:rFonts w:ascii="Arial"/>
                <w:sz w:val="21"/>
              </w:rPr>
            </w:pPr>
          </w:p>
          <w:p w14:paraId="68EFFBA3">
            <w:pPr>
              <w:spacing w:line="305" w:lineRule="auto"/>
              <w:rPr>
                <w:rFonts w:ascii="Arial"/>
                <w:sz w:val="21"/>
              </w:rPr>
            </w:pPr>
          </w:p>
          <w:p w14:paraId="688C3246">
            <w:pPr>
              <w:pStyle w:val="6"/>
              <w:spacing w:before="65" w:line="289" w:lineRule="auto"/>
              <w:ind w:left="148" w:right="144" w:firstLine="28"/>
              <w:jc w:val="both"/>
              <w:rPr>
                <w:rFonts w:ascii="Times New Roman" w:hAnsi="Times New Roman" w:eastAsia="Times New Roman" w:cs="Times New Roman"/>
              </w:rPr>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r>
              <w:rPr>
                <w:spacing w:val="18"/>
              </w:rPr>
              <w:t>边导线地面</w:t>
            </w:r>
            <w:r>
              <w:rPr>
                <w:spacing w:val="4"/>
              </w:rPr>
              <w:t>投影北侧</w:t>
            </w:r>
            <w:r>
              <w:rPr>
                <w:spacing w:val="-33"/>
              </w:rPr>
              <w:t xml:space="preserve"> </w:t>
            </w:r>
            <w:r>
              <w:rPr>
                <w:rFonts w:ascii="Times New Roman" w:hAnsi="Times New Roman" w:eastAsia="Times New Roman" w:cs="Times New Roman"/>
                <w:spacing w:val="4"/>
              </w:rPr>
              <w:t>6m</w:t>
            </w:r>
          </w:p>
        </w:tc>
        <w:tc>
          <w:tcPr>
            <w:tcW w:w="1163" w:type="dxa"/>
            <w:tcBorders>
              <w:left w:val="single" w:color="000000" w:sz="2" w:space="0"/>
              <w:right w:val="single" w:color="000000" w:sz="2" w:space="0"/>
            </w:tcBorders>
            <w:vAlign w:val="top"/>
          </w:tcPr>
          <w:p w14:paraId="2DE4E8CE">
            <w:pPr>
              <w:spacing w:line="253" w:lineRule="auto"/>
              <w:rPr>
                <w:rFonts w:ascii="Arial"/>
                <w:sz w:val="21"/>
              </w:rPr>
            </w:pPr>
          </w:p>
          <w:p w14:paraId="7BAE4010">
            <w:pPr>
              <w:spacing w:line="254" w:lineRule="auto"/>
              <w:rPr>
                <w:rFonts w:ascii="Arial"/>
                <w:sz w:val="21"/>
              </w:rPr>
            </w:pPr>
          </w:p>
          <w:p w14:paraId="352E7A70">
            <w:pPr>
              <w:spacing w:line="254" w:lineRule="auto"/>
              <w:rPr>
                <w:rFonts w:ascii="Arial"/>
                <w:sz w:val="21"/>
              </w:rPr>
            </w:pPr>
          </w:p>
          <w:p w14:paraId="6107F9AD">
            <w:pPr>
              <w:spacing w:line="254" w:lineRule="auto"/>
              <w:rPr>
                <w:rFonts w:ascii="Arial"/>
                <w:sz w:val="21"/>
              </w:rPr>
            </w:pPr>
          </w:p>
          <w:p w14:paraId="1F35178F">
            <w:pPr>
              <w:spacing w:line="254" w:lineRule="auto"/>
              <w:rPr>
                <w:rFonts w:ascii="Arial"/>
                <w:sz w:val="21"/>
              </w:rPr>
            </w:pPr>
          </w:p>
          <w:p w14:paraId="58C7D060">
            <w:pPr>
              <w:spacing w:before="57" w:line="195" w:lineRule="auto"/>
              <w:ind w:left="42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11m</w:t>
            </w:r>
          </w:p>
        </w:tc>
        <w:tc>
          <w:tcPr>
            <w:tcW w:w="661" w:type="dxa"/>
            <w:tcBorders>
              <w:left w:val="single" w:color="000000" w:sz="2" w:space="0"/>
            </w:tcBorders>
            <w:vAlign w:val="top"/>
          </w:tcPr>
          <w:p w14:paraId="43D4B24A">
            <w:pPr>
              <w:spacing w:line="254" w:lineRule="auto"/>
              <w:rPr>
                <w:rFonts w:ascii="Arial"/>
                <w:sz w:val="21"/>
              </w:rPr>
            </w:pPr>
          </w:p>
          <w:p w14:paraId="4472D52E">
            <w:pPr>
              <w:spacing w:line="254" w:lineRule="auto"/>
              <w:rPr>
                <w:rFonts w:ascii="Arial"/>
                <w:sz w:val="21"/>
              </w:rPr>
            </w:pPr>
          </w:p>
          <w:p w14:paraId="2EE8907A">
            <w:pPr>
              <w:spacing w:line="254" w:lineRule="auto"/>
              <w:rPr>
                <w:rFonts w:ascii="Arial"/>
                <w:sz w:val="21"/>
              </w:rPr>
            </w:pPr>
          </w:p>
          <w:p w14:paraId="77AFC9C3">
            <w:pPr>
              <w:spacing w:line="255" w:lineRule="auto"/>
              <w:rPr>
                <w:rFonts w:ascii="Arial"/>
                <w:sz w:val="21"/>
              </w:rPr>
            </w:pPr>
          </w:p>
          <w:p w14:paraId="1E61D84F">
            <w:pPr>
              <w:spacing w:line="255" w:lineRule="auto"/>
              <w:rPr>
                <w:rFonts w:ascii="Arial"/>
                <w:sz w:val="21"/>
              </w:rPr>
            </w:pPr>
          </w:p>
          <w:p w14:paraId="0AFA3DF1">
            <w:pPr>
              <w:spacing w:before="57" w:line="192"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4042" w:type="dxa"/>
            <w:vAlign w:val="top"/>
          </w:tcPr>
          <w:p w14:paraId="0F438D3C">
            <w:pPr>
              <w:spacing w:before="20" w:line="2765" w:lineRule="exact"/>
              <w:ind w:firstLine="174"/>
            </w:pPr>
            <w:r>
              <w:rPr>
                <w:position w:val="-55"/>
              </w:rPr>
              <w:drawing>
                <wp:inline distT="0" distB="0" distL="0" distR="0">
                  <wp:extent cx="2340610" cy="1755140"/>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274"/>
                          <a:stretch>
                            <a:fillRect/>
                          </a:stretch>
                        </pic:blipFill>
                        <pic:spPr>
                          <a:xfrm>
                            <a:off x="0" y="0"/>
                            <a:ext cx="2340864" cy="1755647"/>
                          </a:xfrm>
                          <a:prstGeom prst="rect">
                            <a:avLst/>
                          </a:prstGeom>
                        </pic:spPr>
                      </pic:pic>
                    </a:graphicData>
                  </a:graphic>
                </wp:inline>
              </w:drawing>
            </w:r>
          </w:p>
        </w:tc>
        <w:tc>
          <w:tcPr>
            <w:tcW w:w="1182" w:type="dxa"/>
            <w:tcBorders>
              <w:bottom w:val="nil"/>
            </w:tcBorders>
            <w:vAlign w:val="top"/>
          </w:tcPr>
          <w:p w14:paraId="43C6D91A">
            <w:pPr>
              <w:spacing w:line="307" w:lineRule="auto"/>
              <w:rPr>
                <w:rFonts w:ascii="Arial"/>
                <w:sz w:val="21"/>
              </w:rPr>
            </w:pPr>
          </w:p>
          <w:p w14:paraId="0B46F7AE">
            <w:pPr>
              <w:spacing w:line="308" w:lineRule="auto"/>
              <w:rPr>
                <w:rFonts w:ascii="Arial"/>
                <w:sz w:val="21"/>
              </w:rPr>
            </w:pPr>
          </w:p>
          <w:p w14:paraId="7C9BBD58">
            <w:pPr>
              <w:spacing w:line="308" w:lineRule="auto"/>
              <w:rPr>
                <w:rFonts w:ascii="Arial"/>
                <w:sz w:val="21"/>
              </w:rPr>
            </w:pPr>
          </w:p>
          <w:p w14:paraId="1C94599D">
            <w:pPr>
              <w:pStyle w:val="6"/>
              <w:spacing w:before="65" w:line="228" w:lineRule="auto"/>
              <w:ind w:left="199"/>
            </w:pPr>
            <w:r>
              <w:rPr>
                <w:spacing w:val="1"/>
              </w:rPr>
              <w:t>电磁环境</w:t>
            </w:r>
          </w:p>
          <w:p w14:paraId="0BB35604">
            <w:pPr>
              <w:pStyle w:val="6"/>
              <w:spacing w:before="64" w:line="228" w:lineRule="auto"/>
              <w:ind w:left="115"/>
            </w:pPr>
            <w:r>
              <w:rPr>
                <w:spacing w:val="-11"/>
              </w:rPr>
              <w:t>满足《电磁</w:t>
            </w:r>
          </w:p>
          <w:p w14:paraId="1B92BA51">
            <w:pPr>
              <w:pStyle w:val="6"/>
              <w:spacing w:before="65" w:line="228" w:lineRule="auto"/>
              <w:ind w:left="175"/>
            </w:pPr>
            <w:r>
              <w:rPr>
                <w:spacing w:val="7"/>
              </w:rPr>
              <w:t>环境控制</w:t>
            </w:r>
          </w:p>
          <w:p w14:paraId="74F734A1">
            <w:pPr>
              <w:pStyle w:val="6"/>
              <w:spacing w:before="64" w:line="228" w:lineRule="auto"/>
              <w:ind w:left="295"/>
            </w:pPr>
            <w:r>
              <w:rPr>
                <w:spacing w:val="-2"/>
              </w:rPr>
              <w:t>限值》</w:t>
            </w:r>
          </w:p>
          <w:p w14:paraId="7EE4DCC9">
            <w:pPr>
              <w:pStyle w:val="6"/>
              <w:spacing w:before="64" w:line="241" w:lineRule="auto"/>
              <w:ind w:left="144"/>
              <w:rPr>
                <w:rFonts w:ascii="Times New Roman" w:hAnsi="Times New Roman" w:eastAsia="Times New Roman" w:cs="Times New Roman"/>
              </w:rPr>
            </w:pPr>
            <w:r>
              <w:rPr>
                <w:spacing w:val="4"/>
              </w:rPr>
              <w:t>（</w:t>
            </w:r>
            <w:r>
              <w:rPr>
                <w:rFonts w:ascii="Times New Roman" w:hAnsi="Times New Roman" w:eastAsia="Times New Roman" w:cs="Times New Roman"/>
              </w:rPr>
              <w:t>GB</w:t>
            </w:r>
            <w:r>
              <w:rPr>
                <w:rFonts w:ascii="Times New Roman" w:hAnsi="Times New Roman" w:eastAsia="Times New Roman" w:cs="Times New Roman"/>
                <w:spacing w:val="4"/>
              </w:rPr>
              <w:t>8702</w:t>
            </w:r>
          </w:p>
          <w:p w14:paraId="40AECB8C">
            <w:pPr>
              <w:pStyle w:val="6"/>
              <w:spacing w:before="52" w:line="225" w:lineRule="auto"/>
              <w:ind w:left="139"/>
            </w:pPr>
            <w:r>
              <w:rPr>
                <w:rFonts w:ascii="Times New Roman" w:hAnsi="Times New Roman" w:eastAsia="Times New Roman" w:cs="Times New Roman"/>
                <w:spacing w:val="7"/>
              </w:rPr>
              <w:t>-2014</w:t>
            </w:r>
            <w:r>
              <w:rPr>
                <w:spacing w:val="7"/>
              </w:rPr>
              <w:t>）中</w:t>
            </w:r>
          </w:p>
        </w:tc>
      </w:tr>
      <w:tr w14:paraId="7009D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4" w:hRule="atLeast"/>
        </w:trPr>
        <w:tc>
          <w:tcPr>
            <w:tcW w:w="866" w:type="dxa"/>
            <w:tcBorders>
              <w:top w:val="nil"/>
              <w:right w:val="single" w:color="000000" w:sz="2" w:space="0"/>
            </w:tcBorders>
            <w:vAlign w:val="top"/>
          </w:tcPr>
          <w:p w14:paraId="2A27D8AC">
            <w:pPr>
              <w:pStyle w:val="6"/>
              <w:spacing w:line="273" w:lineRule="auto"/>
              <w:ind w:left="133" w:right="121" w:firstLine="34"/>
              <w:jc w:val="both"/>
            </w:pPr>
            <w:r>
              <w:rPr>
                <w:rFonts w:ascii="Times New Roman" w:hAnsi="Times New Roman" w:eastAsia="Times New Roman" w:cs="Times New Roman"/>
                <w:spacing w:val="-2"/>
              </w:rPr>
              <w:t>110kV</w:t>
            </w:r>
            <w:r>
              <w:rPr>
                <w:spacing w:val="18"/>
                <w:w w:val="116"/>
              </w:rPr>
              <w:t>线路</w:t>
            </w:r>
            <w:r>
              <w:rPr>
                <w:spacing w:val="-8"/>
              </w:rPr>
              <w:t>（</w:t>
            </w:r>
            <w:r>
              <w:rPr>
                <w:rFonts w:ascii="Times New Roman" w:hAnsi="Times New Roman" w:eastAsia="Times New Roman" w:cs="Times New Roman"/>
                <w:spacing w:val="-8"/>
              </w:rPr>
              <w:t>A</w:t>
            </w:r>
            <w:r>
              <w:rPr>
                <w:rFonts w:ascii="Times New Roman" w:hAnsi="Times New Roman" w:eastAsia="Times New Roman" w:cs="Times New Roman"/>
                <w:spacing w:val="32"/>
              </w:rPr>
              <w:t xml:space="preserve"> </w:t>
            </w:r>
            <w:r>
              <w:rPr>
                <w:spacing w:val="-8"/>
              </w:rPr>
              <w:t>回</w:t>
            </w:r>
            <w:r>
              <w:rPr>
                <w:spacing w:val="45"/>
              </w:rPr>
              <w:t>线）</w:t>
            </w:r>
          </w:p>
        </w:tc>
        <w:tc>
          <w:tcPr>
            <w:tcW w:w="1207" w:type="dxa"/>
            <w:tcBorders>
              <w:left w:val="single" w:color="000000" w:sz="2" w:space="0"/>
            </w:tcBorders>
            <w:vAlign w:val="top"/>
          </w:tcPr>
          <w:p w14:paraId="34C02E7C">
            <w:pPr>
              <w:spacing w:line="255" w:lineRule="auto"/>
              <w:rPr>
                <w:rFonts w:ascii="Arial"/>
                <w:sz w:val="21"/>
              </w:rPr>
            </w:pPr>
          </w:p>
          <w:p w14:paraId="36095CE0">
            <w:pPr>
              <w:spacing w:line="255" w:lineRule="auto"/>
              <w:rPr>
                <w:rFonts w:ascii="Arial"/>
                <w:sz w:val="21"/>
              </w:rPr>
            </w:pPr>
          </w:p>
          <w:p w14:paraId="50E71A2A">
            <w:pPr>
              <w:spacing w:line="255" w:lineRule="auto"/>
              <w:rPr>
                <w:rFonts w:ascii="Arial"/>
                <w:sz w:val="21"/>
              </w:rPr>
            </w:pPr>
          </w:p>
          <w:p w14:paraId="5D4F6B59">
            <w:pPr>
              <w:pStyle w:val="6"/>
              <w:spacing w:before="65" w:line="225" w:lineRule="auto"/>
              <w:ind w:left="182"/>
            </w:pPr>
            <w:r>
              <w:rPr>
                <w:spacing w:val="8"/>
              </w:rPr>
              <w:t>②菜地看</w:t>
            </w:r>
          </w:p>
          <w:p w14:paraId="65E06417">
            <w:pPr>
              <w:pStyle w:val="6"/>
              <w:spacing w:before="68" w:line="228" w:lineRule="auto"/>
              <w:ind w:left="110"/>
            </w:pPr>
            <w:r>
              <w:rPr>
                <w:spacing w:val="-4"/>
              </w:rPr>
              <w:t>护用房（卢</w:t>
            </w:r>
          </w:p>
          <w:p w14:paraId="7EC9508F">
            <w:pPr>
              <w:pStyle w:val="6"/>
              <w:spacing w:before="64" w:line="228" w:lineRule="auto"/>
              <w:ind w:left="183"/>
            </w:pPr>
            <w:r>
              <w:rPr>
                <w:spacing w:val="7"/>
              </w:rPr>
              <w:t>旗堡居民</w:t>
            </w:r>
          </w:p>
          <w:p w14:paraId="26D3C410">
            <w:pPr>
              <w:pStyle w:val="6"/>
              <w:spacing w:before="64" w:line="228" w:lineRule="auto"/>
              <w:ind w:left="394"/>
            </w:pPr>
            <w:r>
              <w:t>楼）</w:t>
            </w:r>
          </w:p>
        </w:tc>
        <w:tc>
          <w:tcPr>
            <w:tcW w:w="730" w:type="dxa"/>
            <w:vAlign w:val="top"/>
          </w:tcPr>
          <w:p w14:paraId="1700556C">
            <w:pPr>
              <w:spacing w:line="303" w:lineRule="auto"/>
              <w:rPr>
                <w:rFonts w:ascii="Arial"/>
                <w:sz w:val="21"/>
              </w:rPr>
            </w:pPr>
          </w:p>
          <w:p w14:paraId="3032FC8A">
            <w:pPr>
              <w:spacing w:line="304" w:lineRule="auto"/>
              <w:rPr>
                <w:rFonts w:ascii="Arial"/>
                <w:sz w:val="21"/>
              </w:rPr>
            </w:pPr>
          </w:p>
          <w:p w14:paraId="4AC7253B">
            <w:pPr>
              <w:pStyle w:val="6"/>
              <w:spacing w:before="65" w:line="289" w:lineRule="auto"/>
              <w:ind w:left="154" w:right="155" w:firstLine="2"/>
              <w:jc w:val="both"/>
            </w:pPr>
            <w:r>
              <w:rPr>
                <w:spacing w:val="3"/>
              </w:rPr>
              <w:t>居住</w:t>
            </w:r>
            <w:r>
              <w:rPr>
                <w:spacing w:val="5"/>
              </w:rPr>
              <w:t>及农用物资仓</w:t>
            </w:r>
            <w:r>
              <w:rPr>
                <w:spacing w:val="34"/>
                <w:w w:val="135"/>
              </w:rPr>
              <w:t>库</w:t>
            </w:r>
          </w:p>
        </w:tc>
        <w:tc>
          <w:tcPr>
            <w:tcW w:w="682" w:type="dxa"/>
            <w:vAlign w:val="top"/>
          </w:tcPr>
          <w:p w14:paraId="715FF4A8">
            <w:pPr>
              <w:spacing w:line="268" w:lineRule="auto"/>
              <w:rPr>
                <w:rFonts w:ascii="Arial"/>
                <w:sz w:val="21"/>
              </w:rPr>
            </w:pPr>
          </w:p>
          <w:p w14:paraId="726AFCF4">
            <w:pPr>
              <w:spacing w:line="269" w:lineRule="auto"/>
              <w:rPr>
                <w:rFonts w:ascii="Arial"/>
                <w:sz w:val="21"/>
              </w:rPr>
            </w:pPr>
          </w:p>
          <w:p w14:paraId="321BC7BF">
            <w:pPr>
              <w:spacing w:line="269" w:lineRule="auto"/>
              <w:rPr>
                <w:rFonts w:ascii="Arial"/>
                <w:sz w:val="21"/>
              </w:rPr>
            </w:pPr>
          </w:p>
          <w:p w14:paraId="374EF897">
            <w:pPr>
              <w:spacing w:line="269" w:lineRule="auto"/>
              <w:rPr>
                <w:rFonts w:ascii="Arial"/>
                <w:sz w:val="21"/>
              </w:rPr>
            </w:pPr>
          </w:p>
          <w:p w14:paraId="7D94A383">
            <w:pPr>
              <w:pStyle w:val="6"/>
              <w:spacing w:before="65" w:line="291" w:lineRule="auto"/>
              <w:ind w:left="153" w:right="158"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903" w:type="dxa"/>
            <w:vAlign w:val="top"/>
          </w:tcPr>
          <w:p w14:paraId="1689E3B1">
            <w:pPr>
              <w:spacing w:line="254" w:lineRule="auto"/>
              <w:rPr>
                <w:rFonts w:ascii="Arial"/>
                <w:sz w:val="21"/>
              </w:rPr>
            </w:pPr>
          </w:p>
          <w:p w14:paraId="1EA2D803">
            <w:pPr>
              <w:spacing w:line="255" w:lineRule="auto"/>
              <w:rPr>
                <w:rFonts w:ascii="Arial"/>
                <w:sz w:val="21"/>
              </w:rPr>
            </w:pPr>
          </w:p>
          <w:p w14:paraId="4612AC9F">
            <w:pPr>
              <w:spacing w:line="255" w:lineRule="auto"/>
              <w:rPr>
                <w:rFonts w:ascii="Arial"/>
                <w:sz w:val="21"/>
              </w:rPr>
            </w:pPr>
          </w:p>
          <w:p w14:paraId="59A99F7D">
            <w:pPr>
              <w:pStyle w:val="6"/>
              <w:spacing w:before="65" w:line="289" w:lineRule="auto"/>
              <w:ind w:left="137" w:right="134"/>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57" w:type="dxa"/>
            <w:vAlign w:val="top"/>
          </w:tcPr>
          <w:p w14:paraId="7B9B61CF">
            <w:pPr>
              <w:spacing w:line="306" w:lineRule="auto"/>
              <w:rPr>
                <w:rFonts w:ascii="Arial"/>
                <w:sz w:val="21"/>
              </w:rPr>
            </w:pPr>
          </w:p>
          <w:p w14:paraId="72A1FFC2">
            <w:pPr>
              <w:spacing w:line="307" w:lineRule="auto"/>
              <w:rPr>
                <w:rFonts w:ascii="Arial"/>
                <w:sz w:val="21"/>
              </w:rPr>
            </w:pPr>
          </w:p>
          <w:p w14:paraId="1E183A99">
            <w:pPr>
              <w:spacing w:line="307" w:lineRule="auto"/>
              <w:rPr>
                <w:rFonts w:ascii="Arial"/>
                <w:sz w:val="21"/>
              </w:rPr>
            </w:pPr>
          </w:p>
          <w:p w14:paraId="18973244">
            <w:pPr>
              <w:pStyle w:val="6"/>
              <w:spacing w:before="65" w:line="289" w:lineRule="auto"/>
              <w:ind w:left="106" w:right="104" w:firstLine="99"/>
              <w:jc w:val="both"/>
              <w:rPr>
                <w:rFonts w:ascii="Times New Roman" w:hAnsi="Times New Roman" w:eastAsia="Times New Roman" w:cs="Times New Roman"/>
              </w:rPr>
            </w:pPr>
            <w:r>
              <w:rPr>
                <w:spacing w:val="7"/>
              </w:rPr>
              <w:t>单回线路西</w:t>
            </w:r>
            <w:r>
              <w:rPr>
                <w:spacing w:val="-1"/>
              </w:rPr>
              <w:t>侧，</w:t>
            </w:r>
            <w:r>
              <w:rPr>
                <w:rFonts w:ascii="Times New Roman" w:hAnsi="Times New Roman" w:eastAsia="Times New Roman" w:cs="Times New Roman"/>
                <w:spacing w:val="-1"/>
              </w:rPr>
              <w:t>AZ1+1</w:t>
            </w:r>
            <w:r>
              <w:rPr>
                <w:rFonts w:ascii="Times New Roman" w:hAnsi="Times New Roman" w:eastAsia="Times New Roman" w:cs="Times New Roman"/>
                <w:spacing w:val="12"/>
              </w:rPr>
              <w:t xml:space="preserve"> </w:t>
            </w:r>
            <w:r>
              <w:rPr>
                <w:spacing w:val="-1"/>
              </w:rPr>
              <w:t>塔</w:t>
            </w:r>
            <w:r>
              <w:rPr>
                <w:spacing w:val="11"/>
              </w:rPr>
              <w:t>基西南侧</w:t>
            </w:r>
            <w:r>
              <w:rPr>
                <w:rFonts w:ascii="Times New Roman" w:hAnsi="Times New Roman" w:eastAsia="Times New Roman" w:cs="Times New Roman"/>
                <w:spacing w:val="11"/>
              </w:rPr>
              <w:t>62m</w:t>
            </w:r>
          </w:p>
        </w:tc>
        <w:tc>
          <w:tcPr>
            <w:tcW w:w="1449" w:type="dxa"/>
            <w:tcBorders>
              <w:right w:val="single" w:color="000000" w:sz="2" w:space="0"/>
            </w:tcBorders>
            <w:vAlign w:val="top"/>
          </w:tcPr>
          <w:p w14:paraId="2347F58E">
            <w:pPr>
              <w:spacing w:line="255" w:lineRule="auto"/>
              <w:rPr>
                <w:rFonts w:ascii="Arial"/>
                <w:sz w:val="21"/>
              </w:rPr>
            </w:pPr>
          </w:p>
          <w:p w14:paraId="06251B89">
            <w:pPr>
              <w:spacing w:line="255" w:lineRule="auto"/>
              <w:rPr>
                <w:rFonts w:ascii="Arial"/>
                <w:sz w:val="21"/>
              </w:rPr>
            </w:pPr>
          </w:p>
          <w:p w14:paraId="34B6B29D">
            <w:pPr>
              <w:spacing w:line="255" w:lineRule="auto"/>
              <w:rPr>
                <w:rFonts w:ascii="Arial"/>
                <w:sz w:val="21"/>
              </w:rPr>
            </w:pPr>
          </w:p>
          <w:p w14:paraId="099789E0">
            <w:pPr>
              <w:pStyle w:val="6"/>
              <w:spacing w:before="65" w:line="228" w:lineRule="auto"/>
              <w:ind w:left="177"/>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p>
          <w:p w14:paraId="46D5CFD1">
            <w:pPr>
              <w:pStyle w:val="6"/>
              <w:spacing w:before="65" w:line="228" w:lineRule="auto"/>
              <w:ind w:left="200"/>
            </w:pPr>
            <w:r>
              <w:rPr>
                <w:spacing w:val="8"/>
              </w:rPr>
              <w:t>边导线地面</w:t>
            </w:r>
          </w:p>
          <w:p w14:paraId="44AFF7A9">
            <w:pPr>
              <w:pStyle w:val="6"/>
              <w:spacing w:before="64" w:line="228" w:lineRule="auto"/>
              <w:ind w:left="204"/>
            </w:pPr>
            <w:r>
              <w:rPr>
                <w:spacing w:val="7"/>
              </w:rPr>
              <w:t>投影西南侧</w:t>
            </w:r>
          </w:p>
          <w:p w14:paraId="234A6204">
            <w:pPr>
              <w:spacing w:before="104" w:line="192" w:lineRule="auto"/>
              <w:ind w:left="59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5m</w:t>
            </w:r>
          </w:p>
        </w:tc>
        <w:tc>
          <w:tcPr>
            <w:tcW w:w="1163" w:type="dxa"/>
            <w:tcBorders>
              <w:left w:val="single" w:color="000000" w:sz="2" w:space="0"/>
              <w:right w:val="single" w:color="000000" w:sz="2" w:space="0"/>
            </w:tcBorders>
            <w:vAlign w:val="top"/>
          </w:tcPr>
          <w:p w14:paraId="4FA79CCF">
            <w:pPr>
              <w:spacing w:line="254" w:lineRule="auto"/>
              <w:rPr>
                <w:rFonts w:ascii="Arial"/>
                <w:sz w:val="21"/>
              </w:rPr>
            </w:pPr>
          </w:p>
          <w:p w14:paraId="6761A433">
            <w:pPr>
              <w:spacing w:line="254" w:lineRule="auto"/>
              <w:rPr>
                <w:rFonts w:ascii="Arial"/>
                <w:sz w:val="21"/>
              </w:rPr>
            </w:pPr>
          </w:p>
          <w:p w14:paraId="76D49821">
            <w:pPr>
              <w:spacing w:line="255" w:lineRule="auto"/>
              <w:rPr>
                <w:rFonts w:ascii="Arial"/>
                <w:sz w:val="21"/>
              </w:rPr>
            </w:pPr>
          </w:p>
          <w:p w14:paraId="1D6B8221">
            <w:pPr>
              <w:spacing w:line="255" w:lineRule="auto"/>
              <w:rPr>
                <w:rFonts w:ascii="Arial"/>
                <w:sz w:val="21"/>
              </w:rPr>
            </w:pPr>
          </w:p>
          <w:p w14:paraId="00F41B9D">
            <w:pPr>
              <w:spacing w:line="255" w:lineRule="auto"/>
              <w:rPr>
                <w:rFonts w:ascii="Arial"/>
                <w:sz w:val="21"/>
              </w:rPr>
            </w:pPr>
          </w:p>
          <w:p w14:paraId="24FD016C">
            <w:pPr>
              <w:spacing w:before="58" w:line="195" w:lineRule="auto"/>
              <w:ind w:left="41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10m</w:t>
            </w:r>
          </w:p>
        </w:tc>
        <w:tc>
          <w:tcPr>
            <w:tcW w:w="661" w:type="dxa"/>
            <w:tcBorders>
              <w:left w:val="single" w:color="000000" w:sz="2" w:space="0"/>
            </w:tcBorders>
            <w:vAlign w:val="top"/>
          </w:tcPr>
          <w:p w14:paraId="50EF7FF2">
            <w:pPr>
              <w:spacing w:line="255" w:lineRule="auto"/>
              <w:rPr>
                <w:rFonts w:ascii="Arial"/>
                <w:sz w:val="21"/>
              </w:rPr>
            </w:pPr>
          </w:p>
          <w:p w14:paraId="4ADCC210">
            <w:pPr>
              <w:spacing w:line="255" w:lineRule="auto"/>
              <w:rPr>
                <w:rFonts w:ascii="Arial"/>
                <w:sz w:val="21"/>
              </w:rPr>
            </w:pPr>
          </w:p>
          <w:p w14:paraId="52E12CC1">
            <w:pPr>
              <w:spacing w:line="256" w:lineRule="auto"/>
              <w:rPr>
                <w:rFonts w:ascii="Arial"/>
                <w:sz w:val="21"/>
              </w:rPr>
            </w:pPr>
          </w:p>
          <w:p w14:paraId="46E65AED">
            <w:pPr>
              <w:spacing w:line="256" w:lineRule="auto"/>
              <w:rPr>
                <w:rFonts w:ascii="Arial"/>
                <w:sz w:val="21"/>
              </w:rPr>
            </w:pPr>
          </w:p>
          <w:p w14:paraId="0E3DE23C">
            <w:pPr>
              <w:spacing w:line="256" w:lineRule="auto"/>
              <w:rPr>
                <w:rFonts w:ascii="Arial"/>
                <w:sz w:val="21"/>
              </w:rPr>
            </w:pPr>
          </w:p>
          <w:p w14:paraId="0621B7BC">
            <w:pPr>
              <w:spacing w:before="58" w:line="192"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4042" w:type="dxa"/>
            <w:vAlign w:val="top"/>
          </w:tcPr>
          <w:p w14:paraId="349DEE23">
            <w:pPr>
              <w:spacing w:before="46" w:line="2721" w:lineRule="exact"/>
              <w:ind w:firstLine="205"/>
            </w:pPr>
            <w:r>
              <w:rPr>
                <w:position w:val="-54"/>
              </w:rPr>
              <w:drawing>
                <wp:inline distT="0" distB="0" distL="0" distR="0">
                  <wp:extent cx="2302510" cy="1727835"/>
                  <wp:effectExtent l="0" t="0" r="0" b="0"/>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275"/>
                          <a:stretch>
                            <a:fillRect/>
                          </a:stretch>
                        </pic:blipFill>
                        <pic:spPr>
                          <a:xfrm>
                            <a:off x="0" y="0"/>
                            <a:ext cx="2302764" cy="1728216"/>
                          </a:xfrm>
                          <a:prstGeom prst="rect">
                            <a:avLst/>
                          </a:prstGeom>
                        </pic:spPr>
                      </pic:pic>
                    </a:graphicData>
                  </a:graphic>
                </wp:inline>
              </w:drawing>
            </w:r>
          </w:p>
        </w:tc>
        <w:tc>
          <w:tcPr>
            <w:tcW w:w="1182" w:type="dxa"/>
            <w:tcBorders>
              <w:top w:val="nil"/>
            </w:tcBorders>
            <w:vAlign w:val="top"/>
          </w:tcPr>
          <w:p w14:paraId="0DFC87CB">
            <w:pPr>
              <w:pStyle w:val="6"/>
              <w:spacing w:before="47" w:line="227" w:lineRule="auto"/>
              <w:ind w:left="181"/>
            </w:pPr>
            <w:r>
              <w:rPr>
                <w:spacing w:val="5"/>
              </w:rPr>
              <w:t>公众暴露</w:t>
            </w:r>
          </w:p>
          <w:p w14:paraId="5B7464DD">
            <w:pPr>
              <w:pStyle w:val="6"/>
              <w:spacing w:before="65" w:line="228" w:lineRule="auto"/>
              <w:ind w:left="174"/>
            </w:pPr>
            <w:r>
              <w:rPr>
                <w:spacing w:val="7"/>
              </w:rPr>
              <w:t>控制限值</w:t>
            </w:r>
          </w:p>
          <w:p w14:paraId="600EAC95">
            <w:pPr>
              <w:spacing w:before="97" w:line="199" w:lineRule="auto"/>
              <w:ind w:left="19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4000V/m</w:t>
            </w:r>
          </w:p>
          <w:p w14:paraId="7D393B9D">
            <w:pPr>
              <w:pStyle w:val="6"/>
              <w:spacing w:before="89" w:line="221" w:lineRule="auto"/>
              <w:ind w:left="188"/>
              <w:rPr>
                <w:rFonts w:ascii="Times New Roman" w:hAnsi="Times New Roman" w:eastAsia="Times New Roman" w:cs="Times New Roman"/>
              </w:rPr>
            </w:pPr>
            <w:r>
              <w:t>和</w:t>
            </w:r>
            <w:r>
              <w:rPr>
                <w:spacing w:val="-23"/>
              </w:rPr>
              <w:t xml:space="preserve"> </w:t>
            </w:r>
            <w:r>
              <w:rPr>
                <w:rFonts w:ascii="Times New Roman" w:hAnsi="Times New Roman" w:eastAsia="Times New Roman" w:cs="Times New Roman"/>
              </w:rPr>
              <w:t>100μT</w:t>
            </w:r>
          </w:p>
          <w:p w14:paraId="05F7D34C">
            <w:pPr>
              <w:pStyle w:val="6"/>
              <w:spacing w:before="72" w:line="228" w:lineRule="auto"/>
              <w:ind w:left="192"/>
            </w:pPr>
            <w:r>
              <w:rPr>
                <w:spacing w:val="3"/>
              </w:rPr>
              <w:t>的限值要</w:t>
            </w:r>
          </w:p>
          <w:p w14:paraId="6E2BCBC6">
            <w:pPr>
              <w:pStyle w:val="6"/>
              <w:spacing w:before="65" w:line="229" w:lineRule="auto"/>
              <w:ind w:left="385"/>
            </w:pPr>
            <w:r>
              <w:rPr>
                <w:spacing w:val="-1"/>
              </w:rPr>
              <w:t>求；</w:t>
            </w:r>
          </w:p>
        </w:tc>
      </w:tr>
    </w:tbl>
    <w:p w14:paraId="1A2FAD47">
      <w:pPr>
        <w:rPr>
          <w:rFonts w:ascii="Arial"/>
          <w:sz w:val="21"/>
        </w:rPr>
      </w:pPr>
    </w:p>
    <w:p w14:paraId="016FAFA3">
      <w:pPr>
        <w:rPr>
          <w:rFonts w:ascii="Arial" w:hAnsi="Arial" w:eastAsia="Arial" w:cs="Arial"/>
          <w:sz w:val="21"/>
          <w:szCs w:val="21"/>
        </w:rPr>
        <w:sectPr>
          <w:footerReference r:id="rId159" w:type="default"/>
          <w:pgSz w:w="16839" w:h="11906"/>
          <w:pgMar w:top="400" w:right="1139" w:bottom="916" w:left="1140" w:header="0" w:footer="732" w:gutter="0"/>
          <w:cols w:space="720" w:num="1"/>
        </w:sectPr>
      </w:pPr>
    </w:p>
    <w:p w14:paraId="48AE5A08">
      <w:pPr>
        <w:spacing w:before="12"/>
      </w:pPr>
    </w:p>
    <w:p w14:paraId="114B43A5">
      <w:pPr>
        <w:spacing w:before="12"/>
      </w:pPr>
    </w:p>
    <w:tbl>
      <w:tblPr>
        <w:tblStyle w:val="5"/>
        <w:tblW w:w="1434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6"/>
        <w:gridCol w:w="1207"/>
        <w:gridCol w:w="730"/>
        <w:gridCol w:w="682"/>
        <w:gridCol w:w="903"/>
        <w:gridCol w:w="1457"/>
        <w:gridCol w:w="1449"/>
        <w:gridCol w:w="1163"/>
        <w:gridCol w:w="661"/>
        <w:gridCol w:w="4042"/>
        <w:gridCol w:w="1182"/>
      </w:tblGrid>
      <w:tr w14:paraId="5FD7E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atLeast"/>
        </w:trPr>
        <w:tc>
          <w:tcPr>
            <w:tcW w:w="866" w:type="dxa"/>
            <w:tcBorders>
              <w:right w:val="single" w:color="000000" w:sz="2" w:space="0"/>
            </w:tcBorders>
            <w:shd w:val="clear" w:color="auto" w:fill="BEBEBE"/>
            <w:vAlign w:val="top"/>
          </w:tcPr>
          <w:p w14:paraId="01CC4AF9">
            <w:pPr>
              <w:spacing w:line="301" w:lineRule="auto"/>
              <w:rPr>
                <w:rFonts w:ascii="Arial"/>
                <w:sz w:val="21"/>
              </w:rPr>
            </w:pPr>
          </w:p>
          <w:p w14:paraId="5C621CCC">
            <w:pPr>
              <w:pStyle w:val="6"/>
              <w:spacing w:before="65" w:line="228" w:lineRule="auto"/>
              <w:ind w:left="226"/>
            </w:pPr>
            <w:r>
              <w:rPr>
                <w:b/>
                <w:bCs/>
                <w:spacing w:val="2"/>
              </w:rPr>
              <w:t>分区</w:t>
            </w:r>
          </w:p>
        </w:tc>
        <w:tc>
          <w:tcPr>
            <w:tcW w:w="1207" w:type="dxa"/>
            <w:tcBorders>
              <w:left w:val="single" w:color="000000" w:sz="2" w:space="0"/>
            </w:tcBorders>
            <w:shd w:val="clear" w:color="auto" w:fill="BEBEBE"/>
            <w:vAlign w:val="top"/>
          </w:tcPr>
          <w:p w14:paraId="67D30F9A">
            <w:pPr>
              <w:pStyle w:val="6"/>
              <w:spacing w:before="211" w:line="290" w:lineRule="auto"/>
              <w:ind w:left="432" w:right="394" w:hanging="39"/>
            </w:pPr>
            <w:r>
              <w:rPr>
                <w:b/>
                <w:bCs/>
                <w:spacing w:val="3"/>
              </w:rPr>
              <w:t>保护</w:t>
            </w:r>
            <w:r>
              <w:rPr>
                <w:b/>
                <w:bCs/>
                <w:spacing w:val="-17"/>
              </w:rPr>
              <w:t>目标</w:t>
            </w:r>
          </w:p>
        </w:tc>
        <w:tc>
          <w:tcPr>
            <w:tcW w:w="730" w:type="dxa"/>
            <w:shd w:val="clear" w:color="auto" w:fill="BEBEBE"/>
            <w:vAlign w:val="top"/>
          </w:tcPr>
          <w:p w14:paraId="52374515">
            <w:pPr>
              <w:spacing w:line="301" w:lineRule="auto"/>
              <w:rPr>
                <w:rFonts w:ascii="Arial"/>
                <w:sz w:val="21"/>
              </w:rPr>
            </w:pPr>
          </w:p>
          <w:p w14:paraId="6D56DBF7">
            <w:pPr>
              <w:pStyle w:val="6"/>
              <w:spacing w:before="65" w:line="229" w:lineRule="auto"/>
              <w:ind w:left="156"/>
            </w:pPr>
            <w:r>
              <w:rPr>
                <w:b/>
                <w:bCs/>
                <w:spacing w:val="2"/>
              </w:rPr>
              <w:t>功能</w:t>
            </w:r>
          </w:p>
        </w:tc>
        <w:tc>
          <w:tcPr>
            <w:tcW w:w="682" w:type="dxa"/>
            <w:shd w:val="clear" w:color="auto" w:fill="BEBEBE"/>
            <w:vAlign w:val="top"/>
          </w:tcPr>
          <w:p w14:paraId="1AF92F9F">
            <w:pPr>
              <w:spacing w:line="301" w:lineRule="auto"/>
              <w:rPr>
                <w:rFonts w:ascii="Arial"/>
                <w:sz w:val="21"/>
              </w:rPr>
            </w:pPr>
          </w:p>
          <w:p w14:paraId="37C0005A">
            <w:pPr>
              <w:pStyle w:val="6"/>
              <w:spacing w:before="65" w:line="228" w:lineRule="auto"/>
              <w:ind w:left="131"/>
            </w:pPr>
            <w:r>
              <w:rPr>
                <w:b/>
                <w:bCs/>
                <w:spacing w:val="3"/>
              </w:rPr>
              <w:t>规模</w:t>
            </w:r>
          </w:p>
        </w:tc>
        <w:tc>
          <w:tcPr>
            <w:tcW w:w="903" w:type="dxa"/>
            <w:shd w:val="clear" w:color="auto" w:fill="BEBEBE"/>
            <w:vAlign w:val="top"/>
          </w:tcPr>
          <w:p w14:paraId="38EF1E44">
            <w:pPr>
              <w:pStyle w:val="6"/>
              <w:spacing w:before="56" w:line="228" w:lineRule="auto"/>
              <w:ind w:left="137"/>
            </w:pPr>
            <w:r>
              <w:rPr>
                <w:b/>
                <w:bCs/>
                <w:spacing w:val="4"/>
              </w:rPr>
              <w:t>建筑物</w:t>
            </w:r>
          </w:p>
          <w:p w14:paraId="4DC67583">
            <w:pPr>
              <w:pStyle w:val="6"/>
              <w:spacing w:before="64" w:line="228" w:lineRule="auto"/>
              <w:ind w:left="140"/>
            </w:pPr>
            <w:r>
              <w:rPr>
                <w:b/>
                <w:bCs/>
                <w:spacing w:val="3"/>
              </w:rPr>
              <w:t>结构及</w:t>
            </w:r>
          </w:p>
          <w:p w14:paraId="75BF5A8C">
            <w:pPr>
              <w:pStyle w:val="6"/>
              <w:spacing w:before="64" w:line="228" w:lineRule="auto"/>
              <w:ind w:left="246"/>
            </w:pPr>
            <w:r>
              <w:rPr>
                <w:b/>
                <w:bCs/>
                <w:spacing w:val="1"/>
              </w:rPr>
              <w:t>高度</w:t>
            </w:r>
          </w:p>
        </w:tc>
        <w:tc>
          <w:tcPr>
            <w:tcW w:w="1457" w:type="dxa"/>
            <w:shd w:val="clear" w:color="auto" w:fill="BEBEBE"/>
            <w:vAlign w:val="top"/>
          </w:tcPr>
          <w:p w14:paraId="3F9A1140">
            <w:pPr>
              <w:spacing w:line="301" w:lineRule="auto"/>
              <w:rPr>
                <w:rFonts w:ascii="Arial"/>
                <w:sz w:val="21"/>
              </w:rPr>
            </w:pPr>
          </w:p>
          <w:p w14:paraId="3C44A122">
            <w:pPr>
              <w:pStyle w:val="6"/>
              <w:spacing w:before="65" w:line="228" w:lineRule="auto"/>
              <w:ind w:left="279"/>
            </w:pPr>
            <w:r>
              <w:rPr>
                <w:b/>
                <w:bCs/>
                <w:spacing w:val="5"/>
              </w:rPr>
              <w:t>方位</w:t>
            </w:r>
            <w:r>
              <w:rPr>
                <w:rFonts w:ascii="Times New Roman" w:hAnsi="Times New Roman" w:eastAsia="Times New Roman" w:cs="Times New Roman"/>
                <w:b/>
                <w:bCs/>
                <w:spacing w:val="5"/>
              </w:rPr>
              <w:t>/</w:t>
            </w:r>
            <w:r>
              <w:rPr>
                <w:b/>
                <w:bCs/>
                <w:spacing w:val="5"/>
              </w:rPr>
              <w:t>距离</w:t>
            </w:r>
          </w:p>
        </w:tc>
        <w:tc>
          <w:tcPr>
            <w:tcW w:w="1449" w:type="dxa"/>
            <w:tcBorders>
              <w:right w:val="single" w:color="000000" w:sz="2" w:space="0"/>
            </w:tcBorders>
            <w:shd w:val="clear" w:color="auto" w:fill="BEBEBE"/>
            <w:vAlign w:val="top"/>
          </w:tcPr>
          <w:p w14:paraId="36FC5474">
            <w:pPr>
              <w:pStyle w:val="6"/>
              <w:spacing w:before="56" w:line="228" w:lineRule="auto"/>
              <w:ind w:left="308"/>
            </w:pPr>
            <w:r>
              <w:rPr>
                <w:b/>
                <w:bCs/>
                <w:spacing w:val="5"/>
              </w:rPr>
              <w:t>与线路边</w:t>
            </w:r>
          </w:p>
          <w:p w14:paraId="16C522A1">
            <w:pPr>
              <w:pStyle w:val="6"/>
              <w:spacing w:before="65" w:line="228" w:lineRule="auto"/>
              <w:ind w:left="310"/>
            </w:pPr>
            <w:r>
              <w:rPr>
                <w:b/>
                <w:bCs/>
                <w:spacing w:val="5"/>
              </w:rPr>
              <w:t>导线投影</w:t>
            </w:r>
          </w:p>
          <w:p w14:paraId="6DF0763E">
            <w:pPr>
              <w:pStyle w:val="6"/>
              <w:spacing w:before="64" w:line="228" w:lineRule="auto"/>
              <w:ind w:left="307"/>
            </w:pPr>
            <w:r>
              <w:rPr>
                <w:b/>
                <w:bCs/>
                <w:spacing w:val="5"/>
              </w:rPr>
              <w:t>水平距离</w:t>
            </w:r>
          </w:p>
        </w:tc>
        <w:tc>
          <w:tcPr>
            <w:tcW w:w="1163" w:type="dxa"/>
            <w:tcBorders>
              <w:left w:val="single" w:color="000000" w:sz="2" w:space="0"/>
              <w:right w:val="single" w:color="000000" w:sz="2" w:space="0"/>
            </w:tcBorders>
            <w:shd w:val="clear" w:color="auto" w:fill="BEBEBE"/>
            <w:vAlign w:val="top"/>
          </w:tcPr>
          <w:p w14:paraId="74EDBF58">
            <w:pPr>
              <w:pStyle w:val="6"/>
              <w:spacing w:before="56" w:line="228" w:lineRule="auto"/>
              <w:ind w:left="170"/>
            </w:pPr>
            <w:r>
              <w:rPr>
                <w:b/>
                <w:bCs/>
                <w:spacing w:val="5"/>
              </w:rPr>
              <w:t>与线路中</w:t>
            </w:r>
          </w:p>
          <w:p w14:paraId="3F7ACFF1">
            <w:pPr>
              <w:pStyle w:val="6"/>
              <w:spacing w:before="64" w:line="228" w:lineRule="auto"/>
              <w:ind w:left="173"/>
            </w:pPr>
            <w:r>
              <w:rPr>
                <w:b/>
                <w:bCs/>
                <w:spacing w:val="4"/>
              </w:rPr>
              <w:t>心最近直</w:t>
            </w:r>
          </w:p>
          <w:p w14:paraId="2B9699E9">
            <w:pPr>
              <w:pStyle w:val="6"/>
              <w:spacing w:before="65" w:line="228" w:lineRule="auto"/>
              <w:ind w:left="274"/>
            </w:pPr>
            <w:r>
              <w:rPr>
                <w:b/>
                <w:bCs/>
                <w:spacing w:val="4"/>
              </w:rPr>
              <w:t>线距离</w:t>
            </w:r>
          </w:p>
        </w:tc>
        <w:tc>
          <w:tcPr>
            <w:tcW w:w="661" w:type="dxa"/>
            <w:tcBorders>
              <w:left w:val="single" w:color="000000" w:sz="2" w:space="0"/>
            </w:tcBorders>
            <w:shd w:val="clear" w:color="auto" w:fill="BEBEBE"/>
            <w:vAlign w:val="top"/>
          </w:tcPr>
          <w:p w14:paraId="5C66392D">
            <w:pPr>
              <w:pStyle w:val="6"/>
              <w:spacing w:before="56" w:line="228" w:lineRule="auto"/>
              <w:ind w:left="132"/>
            </w:pPr>
            <w:r>
              <w:rPr>
                <w:b/>
                <w:bCs/>
                <w:spacing w:val="1"/>
              </w:rPr>
              <w:t>导线</w:t>
            </w:r>
          </w:p>
          <w:p w14:paraId="4BF2D46E">
            <w:pPr>
              <w:pStyle w:val="6"/>
              <w:spacing w:before="64" w:line="229" w:lineRule="auto"/>
              <w:ind w:left="125"/>
            </w:pPr>
            <w:r>
              <w:rPr>
                <w:b/>
                <w:bCs/>
                <w:spacing w:val="4"/>
              </w:rPr>
              <w:t>对地</w:t>
            </w:r>
          </w:p>
          <w:p w14:paraId="17F07A83">
            <w:pPr>
              <w:pStyle w:val="6"/>
              <w:spacing w:before="63" w:line="228" w:lineRule="auto"/>
              <w:ind w:left="132"/>
            </w:pPr>
            <w:r>
              <w:rPr>
                <w:b/>
                <w:bCs/>
                <w:spacing w:val="1"/>
              </w:rPr>
              <w:t>高度</w:t>
            </w:r>
          </w:p>
        </w:tc>
        <w:tc>
          <w:tcPr>
            <w:tcW w:w="4042" w:type="dxa"/>
            <w:shd w:val="clear" w:color="auto" w:fill="BEBEBE"/>
            <w:vAlign w:val="top"/>
          </w:tcPr>
          <w:p w14:paraId="172BF623">
            <w:pPr>
              <w:spacing w:line="301" w:lineRule="auto"/>
              <w:rPr>
                <w:rFonts w:ascii="Arial"/>
                <w:sz w:val="21"/>
              </w:rPr>
            </w:pPr>
          </w:p>
          <w:p w14:paraId="7640F18E">
            <w:pPr>
              <w:pStyle w:val="6"/>
              <w:spacing w:before="65" w:line="228" w:lineRule="auto"/>
              <w:ind w:left="1607"/>
            </w:pPr>
            <w:r>
              <w:rPr>
                <w:b/>
                <w:bCs/>
                <w:spacing w:val="6"/>
              </w:rPr>
              <w:t>现状照片</w:t>
            </w:r>
          </w:p>
        </w:tc>
        <w:tc>
          <w:tcPr>
            <w:tcW w:w="1182" w:type="dxa"/>
            <w:shd w:val="clear" w:color="auto" w:fill="BEBEBE"/>
            <w:vAlign w:val="top"/>
          </w:tcPr>
          <w:p w14:paraId="7B6D3BAE">
            <w:pPr>
              <w:spacing w:line="301" w:lineRule="auto"/>
              <w:rPr>
                <w:rFonts w:ascii="Arial"/>
                <w:sz w:val="21"/>
              </w:rPr>
            </w:pPr>
          </w:p>
          <w:p w14:paraId="647D01A6">
            <w:pPr>
              <w:pStyle w:val="6"/>
              <w:spacing w:before="65" w:line="228" w:lineRule="auto"/>
              <w:ind w:left="173"/>
            </w:pPr>
            <w:r>
              <w:rPr>
                <w:b/>
                <w:bCs/>
                <w:spacing w:val="6"/>
              </w:rPr>
              <w:t>保护级别</w:t>
            </w:r>
          </w:p>
        </w:tc>
      </w:tr>
      <w:tr w14:paraId="482C4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0" w:hRule="atLeast"/>
        </w:trPr>
        <w:tc>
          <w:tcPr>
            <w:tcW w:w="866" w:type="dxa"/>
            <w:vMerge w:val="restart"/>
            <w:tcBorders>
              <w:bottom w:val="nil"/>
              <w:right w:val="single" w:color="000000" w:sz="2" w:space="0"/>
            </w:tcBorders>
            <w:vAlign w:val="top"/>
          </w:tcPr>
          <w:p w14:paraId="5733E897">
            <w:pPr>
              <w:rPr>
                <w:rFonts w:ascii="Arial"/>
                <w:sz w:val="21"/>
              </w:rPr>
            </w:pPr>
          </w:p>
        </w:tc>
        <w:tc>
          <w:tcPr>
            <w:tcW w:w="1207" w:type="dxa"/>
            <w:tcBorders>
              <w:left w:val="single" w:color="000000" w:sz="2" w:space="0"/>
            </w:tcBorders>
            <w:vAlign w:val="top"/>
          </w:tcPr>
          <w:p w14:paraId="5B76D542">
            <w:pPr>
              <w:spacing w:line="244" w:lineRule="auto"/>
              <w:rPr>
                <w:rFonts w:ascii="Arial"/>
                <w:sz w:val="21"/>
              </w:rPr>
            </w:pPr>
          </w:p>
          <w:p w14:paraId="3289975E">
            <w:pPr>
              <w:spacing w:line="245" w:lineRule="auto"/>
              <w:rPr>
                <w:rFonts w:ascii="Arial"/>
                <w:sz w:val="21"/>
              </w:rPr>
            </w:pPr>
          </w:p>
          <w:p w14:paraId="078B0264">
            <w:pPr>
              <w:spacing w:line="245" w:lineRule="auto"/>
              <w:rPr>
                <w:rFonts w:ascii="Arial"/>
                <w:sz w:val="21"/>
              </w:rPr>
            </w:pPr>
          </w:p>
          <w:p w14:paraId="49C4333F">
            <w:pPr>
              <w:spacing w:line="245" w:lineRule="auto"/>
              <w:rPr>
                <w:rFonts w:ascii="Arial"/>
                <w:sz w:val="21"/>
              </w:rPr>
            </w:pPr>
          </w:p>
          <w:p w14:paraId="72810A52">
            <w:pPr>
              <w:spacing w:line="245" w:lineRule="auto"/>
              <w:rPr>
                <w:rFonts w:ascii="Arial"/>
                <w:sz w:val="21"/>
              </w:rPr>
            </w:pPr>
          </w:p>
          <w:p w14:paraId="2E76FBCB">
            <w:pPr>
              <w:pStyle w:val="6"/>
              <w:spacing w:before="65" w:line="290" w:lineRule="auto"/>
              <w:ind w:left="290" w:right="183" w:hanging="108"/>
            </w:pPr>
            <w:r>
              <w:rPr>
                <w:spacing w:val="8"/>
              </w:rPr>
              <w:t>③菜地看</w:t>
            </w:r>
            <w:r>
              <w:rPr>
                <w:spacing w:val="6"/>
              </w:rPr>
              <w:t>护用房</w:t>
            </w:r>
          </w:p>
        </w:tc>
        <w:tc>
          <w:tcPr>
            <w:tcW w:w="730" w:type="dxa"/>
            <w:vAlign w:val="top"/>
          </w:tcPr>
          <w:p w14:paraId="14041E95">
            <w:pPr>
              <w:spacing w:line="252" w:lineRule="auto"/>
              <w:rPr>
                <w:rFonts w:ascii="Arial"/>
                <w:sz w:val="21"/>
              </w:rPr>
            </w:pPr>
          </w:p>
          <w:p w14:paraId="49BB7D1F">
            <w:pPr>
              <w:spacing w:line="252" w:lineRule="auto"/>
              <w:rPr>
                <w:rFonts w:ascii="Arial"/>
                <w:sz w:val="21"/>
              </w:rPr>
            </w:pPr>
          </w:p>
          <w:p w14:paraId="4F942B44">
            <w:pPr>
              <w:spacing w:line="253" w:lineRule="auto"/>
              <w:rPr>
                <w:rFonts w:ascii="Arial"/>
                <w:sz w:val="21"/>
              </w:rPr>
            </w:pPr>
          </w:p>
          <w:p w14:paraId="634EF9F9">
            <w:pPr>
              <w:pStyle w:val="6"/>
              <w:spacing w:before="65" w:line="289" w:lineRule="auto"/>
              <w:ind w:left="154" w:right="155" w:firstLine="2"/>
              <w:jc w:val="both"/>
            </w:pPr>
            <w:r>
              <w:rPr>
                <w:spacing w:val="3"/>
              </w:rPr>
              <w:t>居住</w:t>
            </w:r>
            <w:r>
              <w:rPr>
                <w:spacing w:val="5"/>
              </w:rPr>
              <w:t>及农用物资仓</w:t>
            </w:r>
            <w:r>
              <w:rPr>
                <w:spacing w:val="34"/>
                <w:w w:val="135"/>
              </w:rPr>
              <w:t>库</w:t>
            </w:r>
          </w:p>
        </w:tc>
        <w:tc>
          <w:tcPr>
            <w:tcW w:w="682" w:type="dxa"/>
            <w:vAlign w:val="top"/>
          </w:tcPr>
          <w:p w14:paraId="317077BF">
            <w:pPr>
              <w:spacing w:line="244" w:lineRule="auto"/>
              <w:rPr>
                <w:rFonts w:ascii="Arial"/>
                <w:sz w:val="21"/>
              </w:rPr>
            </w:pPr>
          </w:p>
          <w:p w14:paraId="55B1B04C">
            <w:pPr>
              <w:spacing w:line="245" w:lineRule="auto"/>
              <w:rPr>
                <w:rFonts w:ascii="Arial"/>
                <w:sz w:val="21"/>
              </w:rPr>
            </w:pPr>
          </w:p>
          <w:p w14:paraId="311A433C">
            <w:pPr>
              <w:spacing w:line="245" w:lineRule="auto"/>
              <w:rPr>
                <w:rFonts w:ascii="Arial"/>
                <w:sz w:val="21"/>
              </w:rPr>
            </w:pPr>
          </w:p>
          <w:p w14:paraId="39F41F55">
            <w:pPr>
              <w:spacing w:line="245" w:lineRule="auto"/>
              <w:rPr>
                <w:rFonts w:ascii="Arial"/>
                <w:sz w:val="21"/>
              </w:rPr>
            </w:pPr>
          </w:p>
          <w:p w14:paraId="676793A6">
            <w:pPr>
              <w:spacing w:line="245" w:lineRule="auto"/>
              <w:rPr>
                <w:rFonts w:ascii="Arial"/>
                <w:sz w:val="21"/>
              </w:rPr>
            </w:pPr>
          </w:p>
          <w:p w14:paraId="272874E5">
            <w:pPr>
              <w:pStyle w:val="6"/>
              <w:spacing w:before="65" w:line="291" w:lineRule="auto"/>
              <w:ind w:left="153" w:right="158"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903" w:type="dxa"/>
            <w:vAlign w:val="top"/>
          </w:tcPr>
          <w:p w14:paraId="6D51689D">
            <w:pPr>
              <w:spacing w:line="304" w:lineRule="auto"/>
              <w:rPr>
                <w:rFonts w:ascii="Arial"/>
                <w:sz w:val="21"/>
              </w:rPr>
            </w:pPr>
          </w:p>
          <w:p w14:paraId="08E1B40A">
            <w:pPr>
              <w:spacing w:line="304" w:lineRule="auto"/>
              <w:rPr>
                <w:rFonts w:ascii="Arial"/>
                <w:sz w:val="21"/>
              </w:rPr>
            </w:pPr>
          </w:p>
          <w:p w14:paraId="2A0567D0">
            <w:pPr>
              <w:spacing w:line="305" w:lineRule="auto"/>
              <w:rPr>
                <w:rFonts w:ascii="Arial"/>
                <w:sz w:val="21"/>
              </w:rPr>
            </w:pPr>
          </w:p>
          <w:p w14:paraId="58BDA0F3">
            <w:pPr>
              <w:pStyle w:val="6"/>
              <w:spacing w:before="65" w:line="289" w:lineRule="auto"/>
              <w:ind w:left="137" w:right="134"/>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57" w:type="dxa"/>
            <w:vAlign w:val="top"/>
          </w:tcPr>
          <w:p w14:paraId="7012DFC7">
            <w:pPr>
              <w:spacing w:line="453" w:lineRule="auto"/>
              <w:rPr>
                <w:rFonts w:ascii="Arial"/>
                <w:sz w:val="21"/>
              </w:rPr>
            </w:pPr>
          </w:p>
          <w:p w14:paraId="0318F4A5">
            <w:pPr>
              <w:pStyle w:val="6"/>
              <w:spacing w:before="65" w:line="288" w:lineRule="auto"/>
              <w:ind w:left="101" w:right="105" w:firstLine="6"/>
              <w:jc w:val="both"/>
            </w:pPr>
            <w:r>
              <w:rPr>
                <w:spacing w:val="6"/>
              </w:rPr>
              <w:t>位于本项目</w:t>
            </w:r>
            <w:r>
              <w:rPr>
                <w:spacing w:val="-37"/>
              </w:rPr>
              <w:t xml:space="preserve"> </w:t>
            </w:r>
            <w:r>
              <w:rPr>
                <w:rFonts w:ascii="Times New Roman" w:hAnsi="Times New Roman" w:eastAsia="Times New Roman" w:cs="Times New Roman"/>
                <w:spacing w:val="6"/>
              </w:rPr>
              <w:t>2</w:t>
            </w:r>
            <w:r>
              <w:rPr>
                <w:spacing w:val="15"/>
              </w:rPr>
              <w:t>回</w:t>
            </w:r>
            <w:r>
              <w:rPr>
                <w:spacing w:val="-22"/>
              </w:rPr>
              <w:t xml:space="preserve"> </w:t>
            </w:r>
            <w:r>
              <w:rPr>
                <w:rFonts w:ascii="Times New Roman" w:hAnsi="Times New Roman" w:eastAsia="Times New Roman" w:cs="Times New Roman"/>
                <w:spacing w:val="15"/>
              </w:rPr>
              <w:t>110</w:t>
            </w:r>
            <w:r>
              <w:rPr>
                <w:rFonts w:ascii="Times New Roman" w:hAnsi="Times New Roman" w:eastAsia="Times New Roman" w:cs="Times New Roman"/>
              </w:rPr>
              <w:t>kV</w:t>
            </w:r>
            <w:r>
              <w:rPr>
                <w:rFonts w:ascii="Times New Roman" w:hAnsi="Times New Roman" w:eastAsia="Times New Roman" w:cs="Times New Roman"/>
                <w:spacing w:val="14"/>
              </w:rPr>
              <w:t xml:space="preserve"> </w:t>
            </w:r>
            <w:r>
              <w:rPr>
                <w:spacing w:val="15"/>
              </w:rPr>
              <w:t>线</w:t>
            </w:r>
            <w:r>
              <w:rPr>
                <w:spacing w:val="6"/>
              </w:rPr>
              <w:t>路中间，位于</w:t>
            </w:r>
            <w:r>
              <w:rPr>
                <w:rFonts w:ascii="Times New Roman" w:hAnsi="Times New Roman" w:eastAsia="Times New Roman" w:cs="Times New Roman"/>
                <w:spacing w:val="2"/>
              </w:rPr>
              <w:t>A</w:t>
            </w:r>
            <w:r>
              <w:rPr>
                <w:rFonts w:ascii="Times New Roman" w:hAnsi="Times New Roman" w:eastAsia="Times New Roman" w:cs="Times New Roman"/>
                <w:spacing w:val="31"/>
                <w:w w:val="101"/>
              </w:rPr>
              <w:t xml:space="preserve"> </w:t>
            </w:r>
            <w:r>
              <w:rPr>
                <w:spacing w:val="2"/>
              </w:rPr>
              <w:t>回线路（单</w:t>
            </w:r>
            <w:r>
              <w:rPr>
                <w:spacing w:val="6"/>
              </w:rPr>
              <w:t>回）东南侧，</w:t>
            </w:r>
            <w:r>
              <w:rPr>
                <w:spacing w:val="2"/>
              </w:rPr>
              <w:t xml:space="preserve"> </w:t>
            </w:r>
            <w:r>
              <w:rPr>
                <w:rFonts w:ascii="Times New Roman" w:hAnsi="Times New Roman" w:eastAsia="Times New Roman" w:cs="Times New Roman"/>
              </w:rPr>
              <w:t>AZ</w:t>
            </w:r>
            <w:r>
              <w:rPr>
                <w:rFonts w:ascii="Times New Roman" w:hAnsi="Times New Roman" w:eastAsia="Times New Roman" w:cs="Times New Roman"/>
                <w:spacing w:val="27"/>
              </w:rPr>
              <w:t xml:space="preserve">5 </w:t>
            </w:r>
            <w:r>
              <w:rPr>
                <w:spacing w:val="27"/>
              </w:rPr>
              <w:t>塔基西</w:t>
            </w:r>
            <w:r>
              <w:rPr>
                <w:spacing w:val="8"/>
              </w:rPr>
              <w:t>南侧</w:t>
            </w:r>
            <w:r>
              <w:rPr>
                <w:spacing w:val="-21"/>
              </w:rPr>
              <w:t xml:space="preserve"> </w:t>
            </w:r>
            <w:r>
              <w:rPr>
                <w:rFonts w:ascii="Times New Roman" w:hAnsi="Times New Roman" w:eastAsia="Times New Roman" w:cs="Times New Roman"/>
                <w:spacing w:val="8"/>
              </w:rPr>
              <w:t>140m</w:t>
            </w:r>
            <w:r>
              <w:rPr>
                <w:spacing w:val="8"/>
              </w:rPr>
              <w:t>；</w:t>
            </w:r>
          </w:p>
        </w:tc>
        <w:tc>
          <w:tcPr>
            <w:tcW w:w="1449" w:type="dxa"/>
            <w:tcBorders>
              <w:right w:val="single" w:color="000000" w:sz="2" w:space="0"/>
            </w:tcBorders>
            <w:vAlign w:val="top"/>
          </w:tcPr>
          <w:p w14:paraId="07DA5A2D">
            <w:pPr>
              <w:spacing w:line="450" w:lineRule="auto"/>
              <w:rPr>
                <w:rFonts w:ascii="Arial"/>
                <w:sz w:val="21"/>
              </w:rPr>
            </w:pPr>
          </w:p>
          <w:p w14:paraId="74F595CB">
            <w:pPr>
              <w:pStyle w:val="6"/>
              <w:spacing w:before="65" w:line="228" w:lineRule="auto"/>
              <w:ind w:left="177"/>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p>
          <w:p w14:paraId="320C7B93">
            <w:pPr>
              <w:pStyle w:val="6"/>
              <w:spacing w:before="65" w:line="228" w:lineRule="auto"/>
              <w:ind w:left="200"/>
            </w:pPr>
            <w:r>
              <w:rPr>
                <w:spacing w:val="8"/>
              </w:rPr>
              <w:t>边导线地面</w:t>
            </w:r>
          </w:p>
          <w:p w14:paraId="5581AEDD">
            <w:pPr>
              <w:pStyle w:val="6"/>
              <w:spacing w:before="64" w:line="228" w:lineRule="auto"/>
              <w:ind w:left="309"/>
            </w:pPr>
            <w:r>
              <w:rPr>
                <w:spacing w:val="7"/>
              </w:rPr>
              <w:t>投影东侧</w:t>
            </w:r>
          </w:p>
          <w:p w14:paraId="5417FEFA">
            <w:pPr>
              <w:pStyle w:val="6"/>
              <w:spacing w:before="65" w:line="230" w:lineRule="auto"/>
              <w:ind w:left="126"/>
            </w:pPr>
            <w:r>
              <w:rPr>
                <w:rFonts w:ascii="Times New Roman" w:hAnsi="Times New Roman" w:eastAsia="Times New Roman" w:cs="Times New Roman"/>
              </w:rPr>
              <w:t>12m</w:t>
            </w:r>
            <w:r>
              <w:t>；与</w:t>
            </w:r>
            <w:r>
              <w:rPr>
                <w:spacing w:val="-44"/>
              </w:rPr>
              <w:t xml:space="preserve"> </w:t>
            </w:r>
            <w:r>
              <w:rPr>
                <w:rFonts w:ascii="Times New Roman" w:hAnsi="Times New Roman" w:eastAsia="Times New Roman" w:cs="Times New Roman"/>
              </w:rPr>
              <w:t>B</w:t>
            </w:r>
            <w:r>
              <w:rPr>
                <w:rFonts w:ascii="Times New Roman" w:hAnsi="Times New Roman" w:eastAsia="Times New Roman" w:cs="Times New Roman"/>
                <w:spacing w:val="33"/>
                <w:w w:val="101"/>
              </w:rPr>
              <w:t xml:space="preserve"> </w:t>
            </w:r>
            <w:r>
              <w:t>回</w:t>
            </w:r>
          </w:p>
          <w:p w14:paraId="62BE2BD3">
            <w:pPr>
              <w:pStyle w:val="6"/>
              <w:spacing w:before="63" w:line="228" w:lineRule="auto"/>
              <w:ind w:left="204"/>
            </w:pPr>
            <w:r>
              <w:rPr>
                <w:spacing w:val="7"/>
              </w:rPr>
              <w:t>线边导线投</w:t>
            </w:r>
          </w:p>
          <w:p w14:paraId="65DBD38D">
            <w:pPr>
              <w:pStyle w:val="6"/>
              <w:spacing w:before="64" w:line="228" w:lineRule="auto"/>
              <w:ind w:left="201"/>
            </w:pPr>
            <w:r>
              <w:rPr>
                <w:spacing w:val="8"/>
              </w:rPr>
              <w:t>影最近距离</w:t>
            </w:r>
          </w:p>
          <w:p w14:paraId="2FB8B5B3">
            <w:pPr>
              <w:pStyle w:val="6"/>
              <w:spacing w:before="65" w:line="230" w:lineRule="auto"/>
              <w:ind w:left="434"/>
            </w:pPr>
            <w:r>
              <w:rPr>
                <w:rFonts w:ascii="Times New Roman" w:hAnsi="Times New Roman" w:eastAsia="Times New Roman" w:cs="Times New Roman"/>
                <w:spacing w:val="2"/>
              </w:rPr>
              <w:t>98m</w:t>
            </w:r>
            <w:r>
              <w:rPr>
                <w:spacing w:val="2"/>
              </w:rPr>
              <w:t>；</w:t>
            </w:r>
          </w:p>
        </w:tc>
        <w:tc>
          <w:tcPr>
            <w:tcW w:w="1163" w:type="dxa"/>
            <w:tcBorders>
              <w:left w:val="single" w:color="000000" w:sz="2" w:space="0"/>
              <w:right w:val="single" w:color="000000" w:sz="2" w:space="0"/>
            </w:tcBorders>
            <w:vAlign w:val="top"/>
          </w:tcPr>
          <w:p w14:paraId="0AAFA920">
            <w:pPr>
              <w:spacing w:line="284" w:lineRule="auto"/>
              <w:rPr>
                <w:rFonts w:ascii="Arial"/>
                <w:sz w:val="21"/>
              </w:rPr>
            </w:pPr>
          </w:p>
          <w:p w14:paraId="7F368FB2">
            <w:pPr>
              <w:spacing w:line="284" w:lineRule="auto"/>
              <w:rPr>
                <w:rFonts w:ascii="Arial"/>
                <w:sz w:val="21"/>
              </w:rPr>
            </w:pPr>
          </w:p>
          <w:p w14:paraId="0E01B1BC">
            <w:pPr>
              <w:spacing w:line="285" w:lineRule="auto"/>
              <w:rPr>
                <w:rFonts w:ascii="Arial"/>
                <w:sz w:val="21"/>
              </w:rPr>
            </w:pPr>
          </w:p>
          <w:p w14:paraId="46BE72F7">
            <w:pPr>
              <w:spacing w:line="285" w:lineRule="auto"/>
              <w:rPr>
                <w:rFonts w:ascii="Arial"/>
                <w:sz w:val="21"/>
              </w:rPr>
            </w:pPr>
          </w:p>
          <w:p w14:paraId="60314F0A">
            <w:pPr>
              <w:spacing w:line="285" w:lineRule="auto"/>
              <w:rPr>
                <w:rFonts w:ascii="Arial"/>
                <w:sz w:val="21"/>
              </w:rPr>
            </w:pPr>
          </w:p>
          <w:p w14:paraId="6186064B">
            <w:pPr>
              <w:spacing w:before="58" w:line="195" w:lineRule="auto"/>
              <w:ind w:left="41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17m</w:t>
            </w:r>
          </w:p>
        </w:tc>
        <w:tc>
          <w:tcPr>
            <w:tcW w:w="661" w:type="dxa"/>
            <w:tcBorders>
              <w:left w:val="single" w:color="000000" w:sz="2" w:space="0"/>
            </w:tcBorders>
            <w:vAlign w:val="top"/>
          </w:tcPr>
          <w:p w14:paraId="21925095">
            <w:pPr>
              <w:spacing w:line="285" w:lineRule="auto"/>
              <w:rPr>
                <w:rFonts w:ascii="Arial"/>
                <w:sz w:val="21"/>
              </w:rPr>
            </w:pPr>
          </w:p>
          <w:p w14:paraId="25961EC3">
            <w:pPr>
              <w:spacing w:line="285" w:lineRule="auto"/>
              <w:rPr>
                <w:rFonts w:ascii="Arial"/>
                <w:sz w:val="21"/>
              </w:rPr>
            </w:pPr>
          </w:p>
          <w:p w14:paraId="27ED6F6A">
            <w:pPr>
              <w:spacing w:line="286" w:lineRule="auto"/>
              <w:rPr>
                <w:rFonts w:ascii="Arial"/>
                <w:sz w:val="21"/>
              </w:rPr>
            </w:pPr>
          </w:p>
          <w:p w14:paraId="55EC1ECC">
            <w:pPr>
              <w:spacing w:line="286" w:lineRule="auto"/>
              <w:rPr>
                <w:rFonts w:ascii="Arial"/>
                <w:sz w:val="21"/>
              </w:rPr>
            </w:pPr>
          </w:p>
          <w:p w14:paraId="46D2E6B6">
            <w:pPr>
              <w:spacing w:line="286" w:lineRule="auto"/>
              <w:rPr>
                <w:rFonts w:ascii="Arial"/>
                <w:sz w:val="21"/>
              </w:rPr>
            </w:pPr>
          </w:p>
          <w:p w14:paraId="05CCA80D">
            <w:pPr>
              <w:spacing w:before="58" w:line="192"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4042" w:type="dxa"/>
            <w:vAlign w:val="top"/>
          </w:tcPr>
          <w:p w14:paraId="6562A940">
            <w:pPr>
              <w:spacing w:before="142" w:line="2834" w:lineRule="exact"/>
              <w:ind w:firstLine="131"/>
            </w:pPr>
            <w:r>
              <w:rPr>
                <w:position w:val="-56"/>
              </w:rPr>
              <w:drawing>
                <wp:inline distT="0" distB="0" distL="0" distR="0">
                  <wp:extent cx="2395220" cy="1799590"/>
                  <wp:effectExtent l="0" t="0" r="0" b="0"/>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245"/>
                          <a:stretch>
                            <a:fillRect/>
                          </a:stretch>
                        </pic:blipFill>
                        <pic:spPr>
                          <a:xfrm>
                            <a:off x="0" y="0"/>
                            <a:ext cx="2395728" cy="1799844"/>
                          </a:xfrm>
                          <a:prstGeom prst="rect">
                            <a:avLst/>
                          </a:prstGeom>
                        </pic:spPr>
                      </pic:pic>
                    </a:graphicData>
                  </a:graphic>
                </wp:inline>
              </w:drawing>
            </w:r>
          </w:p>
        </w:tc>
        <w:tc>
          <w:tcPr>
            <w:tcW w:w="1182" w:type="dxa"/>
            <w:vMerge w:val="restart"/>
            <w:tcBorders>
              <w:bottom w:val="nil"/>
            </w:tcBorders>
            <w:vAlign w:val="top"/>
          </w:tcPr>
          <w:p w14:paraId="04C81EA4">
            <w:pPr>
              <w:rPr>
                <w:rFonts w:ascii="Arial"/>
                <w:sz w:val="21"/>
              </w:rPr>
            </w:pPr>
          </w:p>
        </w:tc>
      </w:tr>
      <w:tr w14:paraId="68F52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6" w:hRule="atLeast"/>
        </w:trPr>
        <w:tc>
          <w:tcPr>
            <w:tcW w:w="866" w:type="dxa"/>
            <w:vMerge w:val="continue"/>
            <w:tcBorders>
              <w:top w:val="nil"/>
              <w:right w:val="single" w:color="000000" w:sz="2" w:space="0"/>
            </w:tcBorders>
            <w:vAlign w:val="top"/>
          </w:tcPr>
          <w:p w14:paraId="43CDCB0D">
            <w:pPr>
              <w:rPr>
                <w:rFonts w:ascii="Arial"/>
                <w:sz w:val="21"/>
              </w:rPr>
            </w:pPr>
          </w:p>
        </w:tc>
        <w:tc>
          <w:tcPr>
            <w:tcW w:w="1207" w:type="dxa"/>
            <w:tcBorders>
              <w:left w:val="single" w:color="000000" w:sz="2" w:space="0"/>
            </w:tcBorders>
            <w:vAlign w:val="top"/>
          </w:tcPr>
          <w:p w14:paraId="1C43869A">
            <w:pPr>
              <w:spacing w:line="245" w:lineRule="auto"/>
              <w:rPr>
                <w:rFonts w:ascii="Arial"/>
                <w:sz w:val="21"/>
              </w:rPr>
            </w:pPr>
          </w:p>
          <w:p w14:paraId="0FC80265">
            <w:pPr>
              <w:spacing w:line="246" w:lineRule="auto"/>
              <w:rPr>
                <w:rFonts w:ascii="Arial"/>
                <w:sz w:val="21"/>
              </w:rPr>
            </w:pPr>
          </w:p>
          <w:p w14:paraId="00247A43">
            <w:pPr>
              <w:spacing w:line="246" w:lineRule="auto"/>
              <w:rPr>
                <w:rFonts w:ascii="Arial"/>
                <w:sz w:val="21"/>
              </w:rPr>
            </w:pPr>
          </w:p>
          <w:p w14:paraId="35C52588">
            <w:pPr>
              <w:spacing w:line="246" w:lineRule="auto"/>
              <w:rPr>
                <w:rFonts w:ascii="Arial"/>
                <w:sz w:val="21"/>
              </w:rPr>
            </w:pPr>
          </w:p>
          <w:p w14:paraId="2E2AC51E">
            <w:pPr>
              <w:spacing w:line="246" w:lineRule="auto"/>
              <w:rPr>
                <w:rFonts w:ascii="Arial"/>
                <w:sz w:val="21"/>
              </w:rPr>
            </w:pPr>
          </w:p>
          <w:p w14:paraId="52887772">
            <w:pPr>
              <w:pStyle w:val="6"/>
              <w:spacing w:before="65" w:line="290" w:lineRule="auto"/>
              <w:ind w:left="290" w:right="183" w:hanging="108"/>
            </w:pPr>
            <w:r>
              <w:rPr>
                <w:spacing w:val="8"/>
              </w:rPr>
              <w:t>④菜地看</w:t>
            </w:r>
            <w:r>
              <w:rPr>
                <w:spacing w:val="6"/>
              </w:rPr>
              <w:t>护用房</w:t>
            </w:r>
          </w:p>
        </w:tc>
        <w:tc>
          <w:tcPr>
            <w:tcW w:w="730" w:type="dxa"/>
            <w:vAlign w:val="top"/>
          </w:tcPr>
          <w:p w14:paraId="3ED740A5">
            <w:pPr>
              <w:spacing w:line="268" w:lineRule="auto"/>
              <w:rPr>
                <w:rFonts w:ascii="Arial"/>
                <w:sz w:val="21"/>
              </w:rPr>
            </w:pPr>
          </w:p>
          <w:p w14:paraId="4ACA79D4">
            <w:pPr>
              <w:spacing w:line="268" w:lineRule="auto"/>
              <w:rPr>
                <w:rFonts w:ascii="Arial"/>
                <w:sz w:val="21"/>
              </w:rPr>
            </w:pPr>
          </w:p>
          <w:p w14:paraId="0F684D05">
            <w:pPr>
              <w:spacing w:line="269" w:lineRule="auto"/>
              <w:rPr>
                <w:rFonts w:ascii="Arial"/>
                <w:sz w:val="21"/>
              </w:rPr>
            </w:pPr>
          </w:p>
          <w:p w14:paraId="7AE3452F">
            <w:pPr>
              <w:spacing w:line="269" w:lineRule="auto"/>
              <w:rPr>
                <w:rFonts w:ascii="Arial"/>
                <w:sz w:val="21"/>
              </w:rPr>
            </w:pPr>
          </w:p>
          <w:p w14:paraId="0C767033">
            <w:pPr>
              <w:pStyle w:val="6"/>
              <w:spacing w:before="65" w:line="289" w:lineRule="auto"/>
              <w:ind w:left="154" w:right="155"/>
              <w:jc w:val="both"/>
            </w:pPr>
            <w:r>
              <w:rPr>
                <w:spacing w:val="4"/>
              </w:rPr>
              <w:t>农用</w:t>
            </w:r>
            <w:r>
              <w:rPr>
                <w:spacing w:val="5"/>
              </w:rPr>
              <w:t>物资仓库</w:t>
            </w:r>
          </w:p>
        </w:tc>
        <w:tc>
          <w:tcPr>
            <w:tcW w:w="682" w:type="dxa"/>
            <w:vAlign w:val="top"/>
          </w:tcPr>
          <w:p w14:paraId="080BE8BB">
            <w:pPr>
              <w:spacing w:line="245" w:lineRule="auto"/>
              <w:rPr>
                <w:rFonts w:ascii="Arial"/>
                <w:sz w:val="21"/>
              </w:rPr>
            </w:pPr>
          </w:p>
          <w:p w14:paraId="2CBC26A4">
            <w:pPr>
              <w:spacing w:line="246" w:lineRule="auto"/>
              <w:rPr>
                <w:rFonts w:ascii="Arial"/>
                <w:sz w:val="21"/>
              </w:rPr>
            </w:pPr>
          </w:p>
          <w:p w14:paraId="78E34C03">
            <w:pPr>
              <w:spacing w:line="246" w:lineRule="auto"/>
              <w:rPr>
                <w:rFonts w:ascii="Arial"/>
                <w:sz w:val="21"/>
              </w:rPr>
            </w:pPr>
          </w:p>
          <w:p w14:paraId="7B21DD35">
            <w:pPr>
              <w:spacing w:line="246" w:lineRule="auto"/>
              <w:rPr>
                <w:rFonts w:ascii="Arial"/>
                <w:sz w:val="21"/>
              </w:rPr>
            </w:pPr>
          </w:p>
          <w:p w14:paraId="0DEC661C">
            <w:pPr>
              <w:spacing w:line="246" w:lineRule="auto"/>
              <w:rPr>
                <w:rFonts w:ascii="Arial"/>
                <w:sz w:val="21"/>
              </w:rPr>
            </w:pPr>
          </w:p>
          <w:p w14:paraId="14A7A8E9">
            <w:pPr>
              <w:pStyle w:val="6"/>
              <w:spacing w:before="65" w:line="291" w:lineRule="auto"/>
              <w:ind w:left="153" w:right="158"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903" w:type="dxa"/>
            <w:vAlign w:val="top"/>
          </w:tcPr>
          <w:p w14:paraId="60F9AC61">
            <w:pPr>
              <w:spacing w:line="306" w:lineRule="auto"/>
              <w:rPr>
                <w:rFonts w:ascii="Arial"/>
                <w:sz w:val="21"/>
              </w:rPr>
            </w:pPr>
          </w:p>
          <w:p w14:paraId="7DA5AD1D">
            <w:pPr>
              <w:spacing w:line="306" w:lineRule="auto"/>
              <w:rPr>
                <w:rFonts w:ascii="Arial"/>
                <w:sz w:val="21"/>
              </w:rPr>
            </w:pPr>
          </w:p>
          <w:p w14:paraId="4E4906F4">
            <w:pPr>
              <w:spacing w:line="306" w:lineRule="auto"/>
              <w:rPr>
                <w:rFonts w:ascii="Arial"/>
                <w:sz w:val="21"/>
              </w:rPr>
            </w:pPr>
          </w:p>
          <w:p w14:paraId="3393C2D2">
            <w:pPr>
              <w:pStyle w:val="6"/>
              <w:spacing w:before="65" w:line="289" w:lineRule="auto"/>
              <w:ind w:left="137" w:right="134"/>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57" w:type="dxa"/>
            <w:vAlign w:val="top"/>
          </w:tcPr>
          <w:p w14:paraId="5CD2D1E4">
            <w:pPr>
              <w:spacing w:line="306" w:lineRule="auto"/>
              <w:rPr>
                <w:rFonts w:ascii="Arial"/>
                <w:sz w:val="21"/>
              </w:rPr>
            </w:pPr>
          </w:p>
          <w:p w14:paraId="6B0D5C31">
            <w:pPr>
              <w:spacing w:line="306" w:lineRule="auto"/>
              <w:rPr>
                <w:rFonts w:ascii="Arial"/>
                <w:sz w:val="21"/>
              </w:rPr>
            </w:pPr>
          </w:p>
          <w:p w14:paraId="67162F5B">
            <w:pPr>
              <w:spacing w:line="306" w:lineRule="auto"/>
              <w:rPr>
                <w:rFonts w:ascii="Arial"/>
                <w:sz w:val="21"/>
              </w:rPr>
            </w:pPr>
          </w:p>
          <w:p w14:paraId="44FF47E2">
            <w:pPr>
              <w:pStyle w:val="6"/>
              <w:spacing w:before="65" w:line="289" w:lineRule="auto"/>
              <w:ind w:left="106" w:right="105" w:firstLine="1"/>
              <w:jc w:val="both"/>
              <w:rPr>
                <w:rFonts w:ascii="Times New Roman" w:hAnsi="Times New Roman" w:eastAsia="Times New Roman" w:cs="Times New Roman"/>
              </w:rPr>
            </w:pPr>
            <w:r>
              <w:rPr>
                <w:spacing w:val="5"/>
              </w:rPr>
              <w:t>双回线路（单</w:t>
            </w:r>
            <w:r>
              <w:rPr>
                <w:spacing w:val="27"/>
              </w:rPr>
              <w:t>边挂线）北</w:t>
            </w:r>
            <w:r>
              <w:t>侧，</w:t>
            </w:r>
            <w:r>
              <w:rPr>
                <w:rFonts w:ascii="Times New Roman" w:hAnsi="Times New Roman" w:eastAsia="Times New Roman" w:cs="Times New Roman"/>
              </w:rPr>
              <w:t>AZ7</w:t>
            </w:r>
            <w:r>
              <w:rPr>
                <w:rFonts w:ascii="Times New Roman" w:hAnsi="Times New Roman" w:eastAsia="Times New Roman" w:cs="Times New Roman"/>
                <w:spacing w:val="16"/>
                <w:w w:val="101"/>
              </w:rPr>
              <w:t xml:space="preserve"> </w:t>
            </w:r>
            <w:r>
              <w:t>塔基</w:t>
            </w:r>
            <w:r>
              <w:rPr>
                <w:spacing w:val="8"/>
              </w:rPr>
              <w:t>西北侧</w:t>
            </w:r>
            <w:r>
              <w:rPr>
                <w:spacing w:val="-20"/>
              </w:rPr>
              <w:t xml:space="preserve"> </w:t>
            </w:r>
            <w:r>
              <w:rPr>
                <w:rFonts w:ascii="Times New Roman" w:hAnsi="Times New Roman" w:eastAsia="Times New Roman" w:cs="Times New Roman"/>
                <w:spacing w:val="8"/>
              </w:rPr>
              <w:t>110m</w:t>
            </w:r>
          </w:p>
        </w:tc>
        <w:tc>
          <w:tcPr>
            <w:tcW w:w="1449" w:type="dxa"/>
            <w:tcBorders>
              <w:right w:val="single" w:color="000000" w:sz="2" w:space="0"/>
            </w:tcBorders>
            <w:vAlign w:val="top"/>
          </w:tcPr>
          <w:p w14:paraId="09F28F67">
            <w:pPr>
              <w:spacing w:line="306" w:lineRule="auto"/>
              <w:rPr>
                <w:rFonts w:ascii="Arial"/>
                <w:sz w:val="21"/>
              </w:rPr>
            </w:pPr>
          </w:p>
          <w:p w14:paraId="29BA5086">
            <w:pPr>
              <w:spacing w:line="306" w:lineRule="auto"/>
              <w:rPr>
                <w:rFonts w:ascii="Arial"/>
                <w:sz w:val="21"/>
              </w:rPr>
            </w:pPr>
          </w:p>
          <w:p w14:paraId="58425BBA">
            <w:pPr>
              <w:spacing w:line="307" w:lineRule="auto"/>
              <w:rPr>
                <w:rFonts w:ascii="Arial"/>
                <w:sz w:val="21"/>
              </w:rPr>
            </w:pPr>
          </w:p>
          <w:p w14:paraId="6231E426">
            <w:pPr>
              <w:pStyle w:val="6"/>
              <w:spacing w:before="65" w:line="228" w:lineRule="auto"/>
              <w:ind w:left="177"/>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p>
          <w:p w14:paraId="432DFFD5">
            <w:pPr>
              <w:pStyle w:val="6"/>
              <w:spacing w:before="65" w:line="228" w:lineRule="auto"/>
              <w:ind w:left="200"/>
            </w:pPr>
            <w:r>
              <w:rPr>
                <w:spacing w:val="8"/>
              </w:rPr>
              <w:t>边导线地面</w:t>
            </w:r>
          </w:p>
          <w:p w14:paraId="40BDC3E4">
            <w:pPr>
              <w:pStyle w:val="6"/>
              <w:spacing w:before="64" w:line="228" w:lineRule="auto"/>
              <w:ind w:left="309"/>
            </w:pPr>
            <w:r>
              <w:rPr>
                <w:spacing w:val="7"/>
              </w:rPr>
              <w:t>投影北侧</w:t>
            </w:r>
          </w:p>
          <w:p w14:paraId="07F3D548">
            <w:pPr>
              <w:spacing w:before="101" w:line="195" w:lineRule="auto"/>
              <w:ind w:left="53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25m</w:t>
            </w:r>
          </w:p>
        </w:tc>
        <w:tc>
          <w:tcPr>
            <w:tcW w:w="1163" w:type="dxa"/>
            <w:tcBorders>
              <w:left w:val="single" w:color="000000" w:sz="2" w:space="0"/>
              <w:right w:val="single" w:color="000000" w:sz="2" w:space="0"/>
            </w:tcBorders>
            <w:vAlign w:val="top"/>
          </w:tcPr>
          <w:p w14:paraId="77AAED5E">
            <w:pPr>
              <w:spacing w:line="285" w:lineRule="auto"/>
              <w:rPr>
                <w:rFonts w:ascii="Arial"/>
                <w:sz w:val="21"/>
              </w:rPr>
            </w:pPr>
          </w:p>
          <w:p w14:paraId="409AA2C1">
            <w:pPr>
              <w:spacing w:line="285" w:lineRule="auto"/>
              <w:rPr>
                <w:rFonts w:ascii="Arial"/>
                <w:sz w:val="21"/>
              </w:rPr>
            </w:pPr>
          </w:p>
          <w:p w14:paraId="0397889D">
            <w:pPr>
              <w:spacing w:line="285" w:lineRule="auto"/>
              <w:rPr>
                <w:rFonts w:ascii="Arial"/>
                <w:sz w:val="21"/>
              </w:rPr>
            </w:pPr>
          </w:p>
          <w:p w14:paraId="50CC221A">
            <w:pPr>
              <w:spacing w:line="286" w:lineRule="auto"/>
              <w:rPr>
                <w:rFonts w:ascii="Arial"/>
                <w:sz w:val="21"/>
              </w:rPr>
            </w:pPr>
          </w:p>
          <w:p w14:paraId="2DDD6ADC">
            <w:pPr>
              <w:spacing w:line="286" w:lineRule="auto"/>
              <w:rPr>
                <w:rFonts w:ascii="Arial"/>
                <w:sz w:val="21"/>
              </w:rPr>
            </w:pPr>
          </w:p>
          <w:p w14:paraId="698FC0EB">
            <w:pPr>
              <w:spacing w:before="58" w:line="195" w:lineRule="auto"/>
              <w:ind w:left="40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30m</w:t>
            </w:r>
          </w:p>
        </w:tc>
        <w:tc>
          <w:tcPr>
            <w:tcW w:w="661" w:type="dxa"/>
            <w:tcBorders>
              <w:left w:val="single" w:color="000000" w:sz="2" w:space="0"/>
            </w:tcBorders>
            <w:vAlign w:val="top"/>
          </w:tcPr>
          <w:p w14:paraId="2027CBC0">
            <w:pPr>
              <w:spacing w:line="286" w:lineRule="auto"/>
              <w:rPr>
                <w:rFonts w:ascii="Arial"/>
                <w:sz w:val="21"/>
              </w:rPr>
            </w:pPr>
          </w:p>
          <w:p w14:paraId="19ADE508">
            <w:pPr>
              <w:spacing w:line="286" w:lineRule="auto"/>
              <w:rPr>
                <w:rFonts w:ascii="Arial"/>
                <w:sz w:val="21"/>
              </w:rPr>
            </w:pPr>
          </w:p>
          <w:p w14:paraId="574E1D99">
            <w:pPr>
              <w:spacing w:line="287" w:lineRule="auto"/>
              <w:rPr>
                <w:rFonts w:ascii="Arial"/>
                <w:sz w:val="21"/>
              </w:rPr>
            </w:pPr>
          </w:p>
          <w:p w14:paraId="4D9159D4">
            <w:pPr>
              <w:spacing w:line="287" w:lineRule="auto"/>
              <w:rPr>
                <w:rFonts w:ascii="Arial"/>
                <w:sz w:val="21"/>
              </w:rPr>
            </w:pPr>
          </w:p>
          <w:p w14:paraId="4C5CC6BD">
            <w:pPr>
              <w:spacing w:line="287" w:lineRule="auto"/>
              <w:rPr>
                <w:rFonts w:ascii="Arial"/>
                <w:sz w:val="21"/>
              </w:rPr>
            </w:pPr>
          </w:p>
          <w:p w14:paraId="3D94B400">
            <w:pPr>
              <w:spacing w:before="57" w:line="192"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4042" w:type="dxa"/>
            <w:vAlign w:val="top"/>
          </w:tcPr>
          <w:p w14:paraId="49168CCA">
            <w:pPr>
              <w:spacing w:before="146" w:line="2834" w:lineRule="exact"/>
              <w:ind w:firstLine="129"/>
            </w:pPr>
            <w:r>
              <w:rPr>
                <w:position w:val="-56"/>
              </w:rPr>
              <w:drawing>
                <wp:inline distT="0" distB="0" distL="0" distR="0">
                  <wp:extent cx="2400300" cy="1799590"/>
                  <wp:effectExtent l="0" t="0" r="0" b="0"/>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246"/>
                          <a:stretch>
                            <a:fillRect/>
                          </a:stretch>
                        </pic:blipFill>
                        <pic:spPr>
                          <a:xfrm>
                            <a:off x="0" y="0"/>
                            <a:ext cx="2400300" cy="1799844"/>
                          </a:xfrm>
                          <a:prstGeom prst="rect">
                            <a:avLst/>
                          </a:prstGeom>
                        </pic:spPr>
                      </pic:pic>
                    </a:graphicData>
                  </a:graphic>
                </wp:inline>
              </w:drawing>
            </w:r>
          </w:p>
        </w:tc>
        <w:tc>
          <w:tcPr>
            <w:tcW w:w="1182" w:type="dxa"/>
            <w:vMerge w:val="continue"/>
            <w:tcBorders>
              <w:top w:val="nil"/>
              <w:bottom w:val="single" w:color="000000" w:sz="2" w:space="0"/>
            </w:tcBorders>
            <w:vAlign w:val="top"/>
          </w:tcPr>
          <w:p w14:paraId="1BAA5E65">
            <w:pPr>
              <w:rPr>
                <w:rFonts w:ascii="Arial"/>
                <w:sz w:val="21"/>
              </w:rPr>
            </w:pPr>
          </w:p>
        </w:tc>
      </w:tr>
    </w:tbl>
    <w:p w14:paraId="5D7ABA40">
      <w:pPr>
        <w:rPr>
          <w:rFonts w:ascii="Arial"/>
          <w:sz w:val="21"/>
        </w:rPr>
      </w:pPr>
    </w:p>
    <w:p w14:paraId="7042696E">
      <w:pPr>
        <w:rPr>
          <w:rFonts w:ascii="Arial" w:hAnsi="Arial" w:eastAsia="Arial" w:cs="Arial"/>
          <w:sz w:val="21"/>
          <w:szCs w:val="21"/>
        </w:rPr>
        <w:sectPr>
          <w:footerReference r:id="rId160" w:type="default"/>
          <w:pgSz w:w="16839" w:h="11906"/>
          <w:pgMar w:top="400" w:right="1242" w:bottom="919" w:left="1242" w:header="0" w:footer="732" w:gutter="0"/>
          <w:cols w:space="720" w:num="1"/>
        </w:sectPr>
      </w:pPr>
    </w:p>
    <w:p w14:paraId="1CC4568A">
      <w:pPr>
        <w:spacing w:before="12"/>
      </w:pPr>
    </w:p>
    <w:p w14:paraId="258C7A76">
      <w:pPr>
        <w:spacing w:before="12"/>
      </w:pPr>
    </w:p>
    <w:tbl>
      <w:tblPr>
        <w:tblStyle w:val="5"/>
        <w:tblW w:w="1434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6"/>
        <w:gridCol w:w="1207"/>
        <w:gridCol w:w="730"/>
        <w:gridCol w:w="682"/>
        <w:gridCol w:w="903"/>
        <w:gridCol w:w="1457"/>
        <w:gridCol w:w="1449"/>
        <w:gridCol w:w="1163"/>
        <w:gridCol w:w="661"/>
        <w:gridCol w:w="4042"/>
        <w:gridCol w:w="1182"/>
      </w:tblGrid>
      <w:tr w14:paraId="316C9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atLeast"/>
        </w:trPr>
        <w:tc>
          <w:tcPr>
            <w:tcW w:w="866" w:type="dxa"/>
            <w:tcBorders>
              <w:right w:val="single" w:color="000000" w:sz="2" w:space="0"/>
            </w:tcBorders>
            <w:shd w:val="clear" w:color="auto" w:fill="BEBEBE"/>
            <w:vAlign w:val="top"/>
          </w:tcPr>
          <w:p w14:paraId="40195689">
            <w:pPr>
              <w:spacing w:line="301" w:lineRule="auto"/>
              <w:rPr>
                <w:rFonts w:ascii="Arial"/>
                <w:sz w:val="21"/>
              </w:rPr>
            </w:pPr>
          </w:p>
          <w:p w14:paraId="61F60E2B">
            <w:pPr>
              <w:pStyle w:val="6"/>
              <w:spacing w:before="65" w:line="228" w:lineRule="auto"/>
              <w:ind w:left="226"/>
            </w:pPr>
            <w:r>
              <w:rPr>
                <w:b/>
                <w:bCs/>
                <w:spacing w:val="2"/>
              </w:rPr>
              <w:t>分区</w:t>
            </w:r>
          </w:p>
        </w:tc>
        <w:tc>
          <w:tcPr>
            <w:tcW w:w="1207" w:type="dxa"/>
            <w:tcBorders>
              <w:left w:val="single" w:color="000000" w:sz="2" w:space="0"/>
            </w:tcBorders>
            <w:shd w:val="clear" w:color="auto" w:fill="BEBEBE"/>
            <w:vAlign w:val="top"/>
          </w:tcPr>
          <w:p w14:paraId="730639BD">
            <w:pPr>
              <w:pStyle w:val="6"/>
              <w:spacing w:before="211" w:line="290" w:lineRule="auto"/>
              <w:ind w:left="432" w:right="394" w:hanging="39"/>
            </w:pPr>
            <w:r>
              <w:rPr>
                <w:b/>
                <w:bCs/>
                <w:spacing w:val="3"/>
              </w:rPr>
              <w:t>保护</w:t>
            </w:r>
            <w:r>
              <w:rPr>
                <w:b/>
                <w:bCs/>
                <w:spacing w:val="-17"/>
              </w:rPr>
              <w:t>目标</w:t>
            </w:r>
          </w:p>
        </w:tc>
        <w:tc>
          <w:tcPr>
            <w:tcW w:w="730" w:type="dxa"/>
            <w:shd w:val="clear" w:color="auto" w:fill="BEBEBE"/>
            <w:vAlign w:val="top"/>
          </w:tcPr>
          <w:p w14:paraId="3B627DF2">
            <w:pPr>
              <w:spacing w:line="301" w:lineRule="auto"/>
              <w:rPr>
                <w:rFonts w:ascii="Arial"/>
                <w:sz w:val="21"/>
              </w:rPr>
            </w:pPr>
          </w:p>
          <w:p w14:paraId="08CC6BF1">
            <w:pPr>
              <w:pStyle w:val="6"/>
              <w:spacing w:before="65" w:line="229" w:lineRule="auto"/>
              <w:ind w:left="156"/>
            </w:pPr>
            <w:r>
              <w:rPr>
                <w:b/>
                <w:bCs/>
                <w:spacing w:val="2"/>
              </w:rPr>
              <w:t>功能</w:t>
            </w:r>
          </w:p>
        </w:tc>
        <w:tc>
          <w:tcPr>
            <w:tcW w:w="682" w:type="dxa"/>
            <w:shd w:val="clear" w:color="auto" w:fill="BEBEBE"/>
            <w:vAlign w:val="top"/>
          </w:tcPr>
          <w:p w14:paraId="79F5A02A">
            <w:pPr>
              <w:spacing w:line="301" w:lineRule="auto"/>
              <w:rPr>
                <w:rFonts w:ascii="Arial"/>
                <w:sz w:val="21"/>
              </w:rPr>
            </w:pPr>
          </w:p>
          <w:p w14:paraId="13B7F73A">
            <w:pPr>
              <w:pStyle w:val="6"/>
              <w:spacing w:before="65" w:line="228" w:lineRule="auto"/>
              <w:ind w:left="131"/>
            </w:pPr>
            <w:r>
              <w:rPr>
                <w:b/>
                <w:bCs/>
                <w:spacing w:val="3"/>
              </w:rPr>
              <w:t>规模</w:t>
            </w:r>
          </w:p>
        </w:tc>
        <w:tc>
          <w:tcPr>
            <w:tcW w:w="903" w:type="dxa"/>
            <w:shd w:val="clear" w:color="auto" w:fill="BEBEBE"/>
            <w:vAlign w:val="top"/>
          </w:tcPr>
          <w:p w14:paraId="0BF9055B">
            <w:pPr>
              <w:pStyle w:val="6"/>
              <w:spacing w:before="56" w:line="228" w:lineRule="auto"/>
              <w:ind w:left="137"/>
            </w:pPr>
            <w:r>
              <w:rPr>
                <w:b/>
                <w:bCs/>
                <w:spacing w:val="4"/>
              </w:rPr>
              <w:t>建筑物</w:t>
            </w:r>
          </w:p>
          <w:p w14:paraId="3E07392E">
            <w:pPr>
              <w:pStyle w:val="6"/>
              <w:spacing w:before="64" w:line="228" w:lineRule="auto"/>
              <w:ind w:left="140"/>
            </w:pPr>
            <w:r>
              <w:rPr>
                <w:b/>
                <w:bCs/>
                <w:spacing w:val="3"/>
              </w:rPr>
              <w:t>结构及</w:t>
            </w:r>
          </w:p>
          <w:p w14:paraId="5E1AD04B">
            <w:pPr>
              <w:pStyle w:val="6"/>
              <w:spacing w:before="64" w:line="228" w:lineRule="auto"/>
              <w:ind w:left="246"/>
            </w:pPr>
            <w:r>
              <w:rPr>
                <w:b/>
                <w:bCs/>
                <w:spacing w:val="1"/>
              </w:rPr>
              <w:t>高度</w:t>
            </w:r>
          </w:p>
        </w:tc>
        <w:tc>
          <w:tcPr>
            <w:tcW w:w="1457" w:type="dxa"/>
            <w:shd w:val="clear" w:color="auto" w:fill="BEBEBE"/>
            <w:vAlign w:val="top"/>
          </w:tcPr>
          <w:p w14:paraId="6735EC9C">
            <w:pPr>
              <w:spacing w:line="301" w:lineRule="auto"/>
              <w:rPr>
                <w:rFonts w:ascii="Arial"/>
                <w:sz w:val="21"/>
              </w:rPr>
            </w:pPr>
          </w:p>
          <w:p w14:paraId="27E8E13D">
            <w:pPr>
              <w:pStyle w:val="6"/>
              <w:spacing w:before="65" w:line="228" w:lineRule="auto"/>
              <w:ind w:left="279"/>
            </w:pPr>
            <w:r>
              <w:rPr>
                <w:b/>
                <w:bCs/>
                <w:spacing w:val="5"/>
              </w:rPr>
              <w:t>方位</w:t>
            </w:r>
            <w:r>
              <w:rPr>
                <w:rFonts w:ascii="Times New Roman" w:hAnsi="Times New Roman" w:eastAsia="Times New Roman" w:cs="Times New Roman"/>
                <w:b/>
                <w:bCs/>
                <w:spacing w:val="5"/>
              </w:rPr>
              <w:t>/</w:t>
            </w:r>
            <w:r>
              <w:rPr>
                <w:b/>
                <w:bCs/>
                <w:spacing w:val="5"/>
              </w:rPr>
              <w:t>距离</w:t>
            </w:r>
          </w:p>
        </w:tc>
        <w:tc>
          <w:tcPr>
            <w:tcW w:w="1449" w:type="dxa"/>
            <w:tcBorders>
              <w:right w:val="single" w:color="000000" w:sz="2" w:space="0"/>
            </w:tcBorders>
            <w:shd w:val="clear" w:color="auto" w:fill="BEBEBE"/>
            <w:vAlign w:val="top"/>
          </w:tcPr>
          <w:p w14:paraId="3E22D1F8">
            <w:pPr>
              <w:pStyle w:val="6"/>
              <w:spacing w:before="56" w:line="228" w:lineRule="auto"/>
              <w:ind w:left="308"/>
            </w:pPr>
            <w:r>
              <w:rPr>
                <w:b/>
                <w:bCs/>
                <w:spacing w:val="5"/>
              </w:rPr>
              <w:t>与线路边</w:t>
            </w:r>
          </w:p>
          <w:p w14:paraId="7F349B20">
            <w:pPr>
              <w:pStyle w:val="6"/>
              <w:spacing w:before="65" w:line="228" w:lineRule="auto"/>
              <w:ind w:left="310"/>
            </w:pPr>
            <w:r>
              <w:rPr>
                <w:b/>
                <w:bCs/>
                <w:spacing w:val="5"/>
              </w:rPr>
              <w:t>导线投影</w:t>
            </w:r>
          </w:p>
          <w:p w14:paraId="628E4145">
            <w:pPr>
              <w:pStyle w:val="6"/>
              <w:spacing w:before="64" w:line="228" w:lineRule="auto"/>
              <w:ind w:left="307"/>
            </w:pPr>
            <w:r>
              <w:rPr>
                <w:b/>
                <w:bCs/>
                <w:spacing w:val="5"/>
              </w:rPr>
              <w:t>水平距离</w:t>
            </w:r>
          </w:p>
        </w:tc>
        <w:tc>
          <w:tcPr>
            <w:tcW w:w="1163" w:type="dxa"/>
            <w:tcBorders>
              <w:left w:val="single" w:color="000000" w:sz="2" w:space="0"/>
              <w:right w:val="single" w:color="000000" w:sz="2" w:space="0"/>
            </w:tcBorders>
            <w:shd w:val="clear" w:color="auto" w:fill="BEBEBE"/>
            <w:vAlign w:val="top"/>
          </w:tcPr>
          <w:p w14:paraId="1158FCB9">
            <w:pPr>
              <w:pStyle w:val="6"/>
              <w:spacing w:before="56" w:line="228" w:lineRule="auto"/>
              <w:ind w:left="170"/>
            </w:pPr>
            <w:r>
              <w:rPr>
                <w:b/>
                <w:bCs/>
                <w:spacing w:val="5"/>
              </w:rPr>
              <w:t>与线路中</w:t>
            </w:r>
          </w:p>
          <w:p w14:paraId="7B977D2C">
            <w:pPr>
              <w:pStyle w:val="6"/>
              <w:spacing w:before="64" w:line="228" w:lineRule="auto"/>
              <w:ind w:left="173"/>
            </w:pPr>
            <w:r>
              <w:rPr>
                <w:b/>
                <w:bCs/>
                <w:spacing w:val="4"/>
              </w:rPr>
              <w:t>心最近直</w:t>
            </w:r>
          </w:p>
          <w:p w14:paraId="7D96186F">
            <w:pPr>
              <w:pStyle w:val="6"/>
              <w:spacing w:before="65" w:line="228" w:lineRule="auto"/>
              <w:ind w:left="274"/>
            </w:pPr>
            <w:r>
              <w:rPr>
                <w:b/>
                <w:bCs/>
                <w:spacing w:val="4"/>
              </w:rPr>
              <w:t>线距离</w:t>
            </w:r>
          </w:p>
        </w:tc>
        <w:tc>
          <w:tcPr>
            <w:tcW w:w="661" w:type="dxa"/>
            <w:tcBorders>
              <w:left w:val="single" w:color="000000" w:sz="2" w:space="0"/>
            </w:tcBorders>
            <w:shd w:val="clear" w:color="auto" w:fill="BEBEBE"/>
            <w:vAlign w:val="top"/>
          </w:tcPr>
          <w:p w14:paraId="3426A807">
            <w:pPr>
              <w:pStyle w:val="6"/>
              <w:spacing w:before="56" w:line="228" w:lineRule="auto"/>
              <w:ind w:left="132"/>
            </w:pPr>
            <w:r>
              <w:rPr>
                <w:b/>
                <w:bCs/>
                <w:spacing w:val="1"/>
              </w:rPr>
              <w:t>导线</w:t>
            </w:r>
          </w:p>
          <w:p w14:paraId="4E918420">
            <w:pPr>
              <w:pStyle w:val="6"/>
              <w:spacing w:before="64" w:line="229" w:lineRule="auto"/>
              <w:ind w:left="125"/>
            </w:pPr>
            <w:r>
              <w:rPr>
                <w:b/>
                <w:bCs/>
                <w:spacing w:val="4"/>
              </w:rPr>
              <w:t>对地</w:t>
            </w:r>
          </w:p>
          <w:p w14:paraId="40DFF021">
            <w:pPr>
              <w:pStyle w:val="6"/>
              <w:spacing w:before="63" w:line="228" w:lineRule="auto"/>
              <w:ind w:left="132"/>
            </w:pPr>
            <w:r>
              <w:rPr>
                <w:b/>
                <w:bCs/>
                <w:spacing w:val="1"/>
              </w:rPr>
              <w:t>高度</w:t>
            </w:r>
          </w:p>
        </w:tc>
        <w:tc>
          <w:tcPr>
            <w:tcW w:w="4042" w:type="dxa"/>
            <w:shd w:val="clear" w:color="auto" w:fill="BEBEBE"/>
            <w:vAlign w:val="top"/>
          </w:tcPr>
          <w:p w14:paraId="52D2B10E">
            <w:pPr>
              <w:spacing w:line="301" w:lineRule="auto"/>
              <w:rPr>
                <w:rFonts w:ascii="Arial"/>
                <w:sz w:val="21"/>
              </w:rPr>
            </w:pPr>
          </w:p>
          <w:p w14:paraId="419C85DE">
            <w:pPr>
              <w:pStyle w:val="6"/>
              <w:spacing w:before="65" w:line="228" w:lineRule="auto"/>
              <w:ind w:left="1607"/>
            </w:pPr>
            <w:r>
              <w:rPr>
                <w:b/>
                <w:bCs/>
                <w:spacing w:val="6"/>
              </w:rPr>
              <w:t>现状照片</w:t>
            </w:r>
          </w:p>
        </w:tc>
        <w:tc>
          <w:tcPr>
            <w:tcW w:w="1182" w:type="dxa"/>
            <w:shd w:val="clear" w:color="auto" w:fill="BEBEBE"/>
            <w:vAlign w:val="top"/>
          </w:tcPr>
          <w:p w14:paraId="6F8CDA34">
            <w:pPr>
              <w:spacing w:line="301" w:lineRule="auto"/>
              <w:rPr>
                <w:rFonts w:ascii="Arial"/>
                <w:sz w:val="21"/>
              </w:rPr>
            </w:pPr>
          </w:p>
          <w:p w14:paraId="07779174">
            <w:pPr>
              <w:pStyle w:val="6"/>
              <w:spacing w:before="65" w:line="228" w:lineRule="auto"/>
              <w:ind w:left="173"/>
            </w:pPr>
            <w:r>
              <w:rPr>
                <w:b/>
                <w:bCs/>
                <w:spacing w:val="6"/>
              </w:rPr>
              <w:t>保护级别</w:t>
            </w:r>
          </w:p>
        </w:tc>
      </w:tr>
      <w:tr w14:paraId="27F19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0" w:hRule="atLeast"/>
        </w:trPr>
        <w:tc>
          <w:tcPr>
            <w:tcW w:w="866" w:type="dxa"/>
            <w:vMerge w:val="restart"/>
            <w:tcBorders>
              <w:bottom w:val="nil"/>
              <w:right w:val="single" w:color="000000" w:sz="2" w:space="0"/>
            </w:tcBorders>
            <w:vAlign w:val="top"/>
          </w:tcPr>
          <w:p w14:paraId="3D2D84BF">
            <w:pPr>
              <w:rPr>
                <w:rFonts w:ascii="Arial"/>
                <w:sz w:val="21"/>
              </w:rPr>
            </w:pPr>
          </w:p>
        </w:tc>
        <w:tc>
          <w:tcPr>
            <w:tcW w:w="1207" w:type="dxa"/>
            <w:tcBorders>
              <w:left w:val="single" w:color="000000" w:sz="2" w:space="0"/>
            </w:tcBorders>
            <w:vAlign w:val="top"/>
          </w:tcPr>
          <w:p w14:paraId="210659CB">
            <w:pPr>
              <w:spacing w:line="267" w:lineRule="auto"/>
              <w:rPr>
                <w:rFonts w:ascii="Arial"/>
                <w:sz w:val="21"/>
              </w:rPr>
            </w:pPr>
          </w:p>
          <w:p w14:paraId="2AD944CE">
            <w:pPr>
              <w:spacing w:line="267" w:lineRule="auto"/>
              <w:rPr>
                <w:rFonts w:ascii="Arial"/>
                <w:sz w:val="21"/>
              </w:rPr>
            </w:pPr>
          </w:p>
          <w:p w14:paraId="15D6783D">
            <w:pPr>
              <w:spacing w:line="267" w:lineRule="auto"/>
              <w:rPr>
                <w:rFonts w:ascii="Arial"/>
                <w:sz w:val="21"/>
              </w:rPr>
            </w:pPr>
          </w:p>
          <w:p w14:paraId="19751AA3">
            <w:pPr>
              <w:spacing w:line="268" w:lineRule="auto"/>
              <w:rPr>
                <w:rFonts w:ascii="Arial"/>
                <w:sz w:val="21"/>
              </w:rPr>
            </w:pPr>
          </w:p>
          <w:p w14:paraId="267F4010">
            <w:pPr>
              <w:pStyle w:val="6"/>
              <w:spacing w:before="65" w:line="290" w:lineRule="auto"/>
              <w:ind w:left="290" w:right="183" w:hanging="108"/>
            </w:pPr>
            <w:r>
              <w:rPr>
                <w:spacing w:val="8"/>
              </w:rPr>
              <w:t>⑤菜地看</w:t>
            </w:r>
            <w:r>
              <w:rPr>
                <w:spacing w:val="6"/>
              </w:rPr>
              <w:t>护用房</w:t>
            </w:r>
          </w:p>
        </w:tc>
        <w:tc>
          <w:tcPr>
            <w:tcW w:w="730" w:type="dxa"/>
            <w:vAlign w:val="top"/>
          </w:tcPr>
          <w:p w14:paraId="58F6E843">
            <w:pPr>
              <w:spacing w:line="301" w:lineRule="auto"/>
              <w:rPr>
                <w:rFonts w:ascii="Arial"/>
                <w:sz w:val="21"/>
              </w:rPr>
            </w:pPr>
          </w:p>
          <w:p w14:paraId="67F954DD">
            <w:pPr>
              <w:spacing w:line="301" w:lineRule="auto"/>
              <w:rPr>
                <w:rFonts w:ascii="Arial"/>
                <w:sz w:val="21"/>
              </w:rPr>
            </w:pPr>
          </w:p>
          <w:p w14:paraId="60A99E9C">
            <w:pPr>
              <w:pStyle w:val="6"/>
              <w:spacing w:before="65" w:line="289" w:lineRule="auto"/>
              <w:ind w:left="154" w:right="155" w:firstLine="2"/>
              <w:jc w:val="both"/>
            </w:pPr>
            <w:r>
              <w:rPr>
                <w:spacing w:val="3"/>
              </w:rPr>
              <w:t>居住</w:t>
            </w:r>
            <w:r>
              <w:rPr>
                <w:spacing w:val="5"/>
              </w:rPr>
              <w:t>及农用物资仓</w:t>
            </w:r>
            <w:r>
              <w:rPr>
                <w:spacing w:val="34"/>
                <w:w w:val="135"/>
              </w:rPr>
              <w:t>库</w:t>
            </w:r>
          </w:p>
        </w:tc>
        <w:tc>
          <w:tcPr>
            <w:tcW w:w="682" w:type="dxa"/>
            <w:vAlign w:val="top"/>
          </w:tcPr>
          <w:p w14:paraId="4294728A">
            <w:pPr>
              <w:spacing w:line="267" w:lineRule="auto"/>
              <w:rPr>
                <w:rFonts w:ascii="Arial"/>
                <w:sz w:val="21"/>
              </w:rPr>
            </w:pPr>
          </w:p>
          <w:p w14:paraId="67BDE4A5">
            <w:pPr>
              <w:spacing w:line="267" w:lineRule="auto"/>
              <w:rPr>
                <w:rFonts w:ascii="Arial"/>
                <w:sz w:val="21"/>
              </w:rPr>
            </w:pPr>
          </w:p>
          <w:p w14:paraId="437E8950">
            <w:pPr>
              <w:spacing w:line="267" w:lineRule="auto"/>
              <w:rPr>
                <w:rFonts w:ascii="Arial"/>
                <w:sz w:val="21"/>
              </w:rPr>
            </w:pPr>
          </w:p>
          <w:p w14:paraId="7D6CC542">
            <w:pPr>
              <w:spacing w:line="268" w:lineRule="auto"/>
              <w:rPr>
                <w:rFonts w:ascii="Arial"/>
                <w:sz w:val="21"/>
              </w:rPr>
            </w:pPr>
          </w:p>
          <w:p w14:paraId="3F42CCE3">
            <w:pPr>
              <w:pStyle w:val="6"/>
              <w:spacing w:before="65" w:line="291" w:lineRule="auto"/>
              <w:ind w:left="153" w:right="158"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903" w:type="dxa"/>
            <w:vAlign w:val="top"/>
          </w:tcPr>
          <w:p w14:paraId="489E6E98">
            <w:pPr>
              <w:spacing w:line="252" w:lineRule="auto"/>
              <w:rPr>
                <w:rFonts w:ascii="Arial"/>
                <w:sz w:val="21"/>
              </w:rPr>
            </w:pPr>
          </w:p>
          <w:p w14:paraId="0CD44068">
            <w:pPr>
              <w:spacing w:line="253" w:lineRule="auto"/>
              <w:rPr>
                <w:rFonts w:ascii="Arial"/>
                <w:sz w:val="21"/>
              </w:rPr>
            </w:pPr>
          </w:p>
          <w:p w14:paraId="3603E205">
            <w:pPr>
              <w:spacing w:line="253" w:lineRule="auto"/>
              <w:rPr>
                <w:rFonts w:ascii="Arial"/>
                <w:sz w:val="21"/>
              </w:rPr>
            </w:pPr>
          </w:p>
          <w:p w14:paraId="0E80F06B">
            <w:pPr>
              <w:pStyle w:val="6"/>
              <w:spacing w:before="65" w:line="289" w:lineRule="auto"/>
              <w:ind w:left="137" w:right="134"/>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57" w:type="dxa"/>
            <w:vAlign w:val="top"/>
          </w:tcPr>
          <w:p w14:paraId="24193CC3">
            <w:pPr>
              <w:spacing w:line="252" w:lineRule="auto"/>
              <w:rPr>
                <w:rFonts w:ascii="Arial"/>
                <w:sz w:val="21"/>
              </w:rPr>
            </w:pPr>
          </w:p>
          <w:p w14:paraId="38FBA421">
            <w:pPr>
              <w:spacing w:line="253" w:lineRule="auto"/>
              <w:rPr>
                <w:rFonts w:ascii="Arial"/>
                <w:sz w:val="21"/>
              </w:rPr>
            </w:pPr>
          </w:p>
          <w:p w14:paraId="291A71DA">
            <w:pPr>
              <w:spacing w:line="253" w:lineRule="auto"/>
              <w:rPr>
                <w:rFonts w:ascii="Arial"/>
                <w:sz w:val="21"/>
              </w:rPr>
            </w:pPr>
          </w:p>
          <w:p w14:paraId="749209E3">
            <w:pPr>
              <w:pStyle w:val="6"/>
              <w:spacing w:before="65" w:line="289" w:lineRule="auto"/>
              <w:ind w:left="113" w:right="105" w:hanging="5"/>
              <w:jc w:val="both"/>
              <w:rPr>
                <w:rFonts w:ascii="Times New Roman" w:hAnsi="Times New Roman" w:eastAsia="Times New Roman" w:cs="Times New Roman"/>
              </w:rPr>
            </w:pPr>
            <w:r>
              <w:rPr>
                <w:spacing w:val="5"/>
              </w:rPr>
              <w:t>双回线路（单</w:t>
            </w:r>
            <w:r>
              <w:rPr>
                <w:spacing w:val="26"/>
              </w:rPr>
              <w:t>边挂线）南</w:t>
            </w:r>
            <w:r>
              <w:rPr>
                <w:spacing w:val="7"/>
              </w:rPr>
              <w:t>侧，</w:t>
            </w:r>
            <w:r>
              <w:rPr>
                <w:rFonts w:ascii="Times New Roman" w:hAnsi="Times New Roman" w:eastAsia="Times New Roman" w:cs="Times New Roman"/>
              </w:rPr>
              <w:t>AJ</w:t>
            </w:r>
            <w:r>
              <w:rPr>
                <w:rFonts w:ascii="Times New Roman" w:hAnsi="Times New Roman" w:eastAsia="Times New Roman" w:cs="Times New Roman"/>
                <w:spacing w:val="7"/>
              </w:rPr>
              <w:t xml:space="preserve">5 </w:t>
            </w:r>
            <w:r>
              <w:rPr>
                <w:spacing w:val="7"/>
              </w:rPr>
              <w:t>塔基</w:t>
            </w:r>
            <w:r>
              <w:rPr>
                <w:spacing w:val="19"/>
              </w:rPr>
              <w:t>西南侧</w:t>
            </w:r>
            <w:r>
              <w:rPr>
                <w:spacing w:val="-36"/>
              </w:rPr>
              <w:t xml:space="preserve"> </w:t>
            </w:r>
            <w:r>
              <w:rPr>
                <w:rFonts w:ascii="Times New Roman" w:hAnsi="Times New Roman" w:eastAsia="Times New Roman" w:cs="Times New Roman"/>
                <w:spacing w:val="19"/>
              </w:rPr>
              <w:t>75m</w:t>
            </w:r>
          </w:p>
        </w:tc>
        <w:tc>
          <w:tcPr>
            <w:tcW w:w="1449" w:type="dxa"/>
            <w:tcBorders>
              <w:right w:val="single" w:color="000000" w:sz="2" w:space="0"/>
            </w:tcBorders>
            <w:vAlign w:val="top"/>
          </w:tcPr>
          <w:p w14:paraId="36B7B91B">
            <w:pPr>
              <w:spacing w:line="253" w:lineRule="auto"/>
              <w:rPr>
                <w:rFonts w:ascii="Arial"/>
                <w:sz w:val="21"/>
              </w:rPr>
            </w:pPr>
          </w:p>
          <w:p w14:paraId="7E23C9F1">
            <w:pPr>
              <w:spacing w:line="253" w:lineRule="auto"/>
              <w:rPr>
                <w:rFonts w:ascii="Arial"/>
                <w:sz w:val="21"/>
              </w:rPr>
            </w:pPr>
          </w:p>
          <w:p w14:paraId="6E0D9C29">
            <w:pPr>
              <w:spacing w:line="254" w:lineRule="auto"/>
              <w:rPr>
                <w:rFonts w:ascii="Arial"/>
                <w:sz w:val="21"/>
              </w:rPr>
            </w:pPr>
          </w:p>
          <w:p w14:paraId="3EB2A0ED">
            <w:pPr>
              <w:pStyle w:val="6"/>
              <w:spacing w:before="65" w:line="228" w:lineRule="auto"/>
              <w:ind w:left="177"/>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p>
          <w:p w14:paraId="25DA6A53">
            <w:pPr>
              <w:pStyle w:val="6"/>
              <w:spacing w:before="65" w:line="228" w:lineRule="auto"/>
              <w:ind w:left="200"/>
            </w:pPr>
            <w:r>
              <w:rPr>
                <w:spacing w:val="8"/>
              </w:rPr>
              <w:t>边导线地面</w:t>
            </w:r>
          </w:p>
          <w:p w14:paraId="1D2D843E">
            <w:pPr>
              <w:pStyle w:val="6"/>
              <w:spacing w:before="64" w:line="228" w:lineRule="auto"/>
              <w:ind w:left="309"/>
            </w:pPr>
            <w:r>
              <w:rPr>
                <w:spacing w:val="7"/>
              </w:rPr>
              <w:t>投影南侧</w:t>
            </w:r>
          </w:p>
          <w:p w14:paraId="6071F47A">
            <w:pPr>
              <w:spacing w:before="101" w:line="195" w:lineRule="auto"/>
              <w:ind w:left="54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30m</w:t>
            </w:r>
          </w:p>
        </w:tc>
        <w:tc>
          <w:tcPr>
            <w:tcW w:w="1163" w:type="dxa"/>
            <w:tcBorders>
              <w:left w:val="single" w:color="000000" w:sz="2" w:space="0"/>
              <w:right w:val="single" w:color="000000" w:sz="2" w:space="0"/>
            </w:tcBorders>
            <w:vAlign w:val="top"/>
          </w:tcPr>
          <w:p w14:paraId="6A94C613">
            <w:pPr>
              <w:spacing w:line="253" w:lineRule="auto"/>
              <w:rPr>
                <w:rFonts w:ascii="Arial"/>
                <w:sz w:val="21"/>
              </w:rPr>
            </w:pPr>
          </w:p>
          <w:p w14:paraId="62BC6A5F">
            <w:pPr>
              <w:spacing w:line="253" w:lineRule="auto"/>
              <w:rPr>
                <w:rFonts w:ascii="Arial"/>
                <w:sz w:val="21"/>
              </w:rPr>
            </w:pPr>
          </w:p>
          <w:p w14:paraId="0BA769C3">
            <w:pPr>
              <w:spacing w:line="254" w:lineRule="auto"/>
              <w:rPr>
                <w:rFonts w:ascii="Arial"/>
                <w:sz w:val="21"/>
              </w:rPr>
            </w:pPr>
          </w:p>
          <w:p w14:paraId="4929F7F9">
            <w:pPr>
              <w:spacing w:line="254" w:lineRule="auto"/>
              <w:rPr>
                <w:rFonts w:ascii="Arial"/>
                <w:sz w:val="21"/>
              </w:rPr>
            </w:pPr>
          </w:p>
          <w:p w14:paraId="1C2A872A">
            <w:pPr>
              <w:spacing w:line="254" w:lineRule="auto"/>
              <w:rPr>
                <w:rFonts w:ascii="Arial"/>
                <w:sz w:val="21"/>
              </w:rPr>
            </w:pPr>
          </w:p>
          <w:p w14:paraId="7AA362D5">
            <w:pPr>
              <w:spacing w:before="57" w:line="195" w:lineRule="auto"/>
              <w:ind w:left="40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35m</w:t>
            </w:r>
          </w:p>
        </w:tc>
        <w:tc>
          <w:tcPr>
            <w:tcW w:w="661" w:type="dxa"/>
            <w:tcBorders>
              <w:left w:val="single" w:color="000000" w:sz="2" w:space="0"/>
            </w:tcBorders>
            <w:vAlign w:val="top"/>
          </w:tcPr>
          <w:p w14:paraId="4E5A60B2">
            <w:pPr>
              <w:spacing w:line="254" w:lineRule="auto"/>
              <w:rPr>
                <w:rFonts w:ascii="Arial"/>
                <w:sz w:val="21"/>
              </w:rPr>
            </w:pPr>
          </w:p>
          <w:p w14:paraId="5D586842">
            <w:pPr>
              <w:spacing w:line="254" w:lineRule="auto"/>
              <w:rPr>
                <w:rFonts w:ascii="Arial"/>
                <w:sz w:val="21"/>
              </w:rPr>
            </w:pPr>
          </w:p>
          <w:p w14:paraId="3B4A15BD">
            <w:pPr>
              <w:spacing w:line="255" w:lineRule="auto"/>
              <w:rPr>
                <w:rFonts w:ascii="Arial"/>
                <w:sz w:val="21"/>
              </w:rPr>
            </w:pPr>
          </w:p>
          <w:p w14:paraId="104245AB">
            <w:pPr>
              <w:spacing w:line="255" w:lineRule="auto"/>
              <w:rPr>
                <w:rFonts w:ascii="Arial"/>
                <w:sz w:val="21"/>
              </w:rPr>
            </w:pPr>
          </w:p>
          <w:p w14:paraId="0D17FBBC">
            <w:pPr>
              <w:spacing w:line="255" w:lineRule="auto"/>
              <w:rPr>
                <w:rFonts w:ascii="Arial"/>
                <w:sz w:val="21"/>
              </w:rPr>
            </w:pPr>
          </w:p>
          <w:p w14:paraId="70C06204">
            <w:pPr>
              <w:spacing w:before="58" w:line="192"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4042" w:type="dxa"/>
            <w:vAlign w:val="top"/>
          </w:tcPr>
          <w:p w14:paraId="5AC77478">
            <w:pPr>
              <w:spacing w:before="41" w:line="2721" w:lineRule="exact"/>
              <w:ind w:firstLine="203"/>
            </w:pPr>
            <w:r>
              <w:rPr>
                <w:position w:val="-54"/>
              </w:rPr>
              <w:drawing>
                <wp:inline distT="0" distB="0" distL="0" distR="0">
                  <wp:extent cx="2303780" cy="1727835"/>
                  <wp:effectExtent l="0" t="0" r="0" b="0"/>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247"/>
                          <a:stretch>
                            <a:fillRect/>
                          </a:stretch>
                        </pic:blipFill>
                        <pic:spPr>
                          <a:xfrm>
                            <a:off x="0" y="0"/>
                            <a:ext cx="2304288" cy="1728215"/>
                          </a:xfrm>
                          <a:prstGeom prst="rect">
                            <a:avLst/>
                          </a:prstGeom>
                        </pic:spPr>
                      </pic:pic>
                    </a:graphicData>
                  </a:graphic>
                </wp:inline>
              </w:drawing>
            </w:r>
          </w:p>
        </w:tc>
        <w:tc>
          <w:tcPr>
            <w:tcW w:w="1182" w:type="dxa"/>
            <w:vMerge w:val="restart"/>
            <w:tcBorders>
              <w:bottom w:val="nil"/>
            </w:tcBorders>
            <w:vAlign w:val="top"/>
          </w:tcPr>
          <w:p w14:paraId="393694B0">
            <w:pPr>
              <w:rPr>
                <w:rFonts w:ascii="Arial"/>
                <w:sz w:val="21"/>
              </w:rPr>
            </w:pPr>
          </w:p>
        </w:tc>
      </w:tr>
      <w:tr w14:paraId="4862E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0" w:hRule="atLeast"/>
        </w:trPr>
        <w:tc>
          <w:tcPr>
            <w:tcW w:w="866" w:type="dxa"/>
            <w:vMerge w:val="continue"/>
            <w:tcBorders>
              <w:top w:val="nil"/>
              <w:bottom w:val="nil"/>
              <w:right w:val="single" w:color="000000" w:sz="2" w:space="0"/>
            </w:tcBorders>
            <w:vAlign w:val="top"/>
          </w:tcPr>
          <w:p w14:paraId="3011F8C0">
            <w:pPr>
              <w:rPr>
                <w:rFonts w:ascii="Arial"/>
                <w:sz w:val="21"/>
              </w:rPr>
            </w:pPr>
          </w:p>
        </w:tc>
        <w:tc>
          <w:tcPr>
            <w:tcW w:w="1207" w:type="dxa"/>
            <w:tcBorders>
              <w:left w:val="single" w:color="000000" w:sz="2" w:space="0"/>
            </w:tcBorders>
            <w:vAlign w:val="top"/>
          </w:tcPr>
          <w:p w14:paraId="6046D67C">
            <w:pPr>
              <w:spacing w:line="268" w:lineRule="auto"/>
              <w:rPr>
                <w:rFonts w:ascii="Arial"/>
                <w:sz w:val="21"/>
              </w:rPr>
            </w:pPr>
          </w:p>
          <w:p w14:paraId="16BC2168">
            <w:pPr>
              <w:spacing w:line="268" w:lineRule="auto"/>
              <w:rPr>
                <w:rFonts w:ascii="Arial"/>
                <w:sz w:val="21"/>
              </w:rPr>
            </w:pPr>
          </w:p>
          <w:p w14:paraId="5B9BDADC">
            <w:pPr>
              <w:spacing w:line="268" w:lineRule="auto"/>
              <w:rPr>
                <w:rFonts w:ascii="Arial"/>
                <w:sz w:val="21"/>
              </w:rPr>
            </w:pPr>
          </w:p>
          <w:p w14:paraId="6EB9238A">
            <w:pPr>
              <w:spacing w:line="268" w:lineRule="auto"/>
              <w:rPr>
                <w:rFonts w:ascii="Arial"/>
                <w:sz w:val="21"/>
              </w:rPr>
            </w:pPr>
          </w:p>
          <w:p w14:paraId="44755154">
            <w:pPr>
              <w:pStyle w:val="6"/>
              <w:spacing w:before="65" w:line="290" w:lineRule="auto"/>
              <w:ind w:left="290" w:right="183" w:hanging="108"/>
            </w:pPr>
            <w:r>
              <w:rPr>
                <w:spacing w:val="8"/>
              </w:rPr>
              <w:t>⑥菜地看</w:t>
            </w:r>
            <w:r>
              <w:rPr>
                <w:spacing w:val="6"/>
              </w:rPr>
              <w:t>护用房</w:t>
            </w:r>
          </w:p>
        </w:tc>
        <w:tc>
          <w:tcPr>
            <w:tcW w:w="730" w:type="dxa"/>
            <w:vAlign w:val="top"/>
          </w:tcPr>
          <w:p w14:paraId="270E3971">
            <w:pPr>
              <w:spacing w:line="305" w:lineRule="auto"/>
              <w:rPr>
                <w:rFonts w:ascii="Arial"/>
                <w:sz w:val="21"/>
              </w:rPr>
            </w:pPr>
          </w:p>
          <w:p w14:paraId="051C21D8">
            <w:pPr>
              <w:spacing w:line="306" w:lineRule="auto"/>
              <w:rPr>
                <w:rFonts w:ascii="Arial"/>
                <w:sz w:val="21"/>
              </w:rPr>
            </w:pPr>
          </w:p>
          <w:p w14:paraId="56A49315">
            <w:pPr>
              <w:spacing w:line="306" w:lineRule="auto"/>
              <w:rPr>
                <w:rFonts w:ascii="Arial"/>
                <w:sz w:val="21"/>
              </w:rPr>
            </w:pPr>
          </w:p>
          <w:p w14:paraId="4238A9A2">
            <w:pPr>
              <w:pStyle w:val="6"/>
              <w:spacing w:before="65" w:line="289" w:lineRule="auto"/>
              <w:ind w:left="154" w:right="155"/>
              <w:jc w:val="both"/>
            </w:pPr>
            <w:r>
              <w:rPr>
                <w:spacing w:val="4"/>
              </w:rPr>
              <w:t>农用</w:t>
            </w:r>
            <w:r>
              <w:rPr>
                <w:spacing w:val="5"/>
              </w:rPr>
              <w:t>物资仓库</w:t>
            </w:r>
          </w:p>
        </w:tc>
        <w:tc>
          <w:tcPr>
            <w:tcW w:w="682" w:type="dxa"/>
            <w:vAlign w:val="top"/>
          </w:tcPr>
          <w:p w14:paraId="7B1F2E71">
            <w:pPr>
              <w:spacing w:line="268" w:lineRule="auto"/>
              <w:rPr>
                <w:rFonts w:ascii="Arial"/>
                <w:sz w:val="21"/>
              </w:rPr>
            </w:pPr>
          </w:p>
          <w:p w14:paraId="73265BAD">
            <w:pPr>
              <w:spacing w:line="268" w:lineRule="auto"/>
              <w:rPr>
                <w:rFonts w:ascii="Arial"/>
                <w:sz w:val="21"/>
              </w:rPr>
            </w:pPr>
          </w:p>
          <w:p w14:paraId="45ED332D">
            <w:pPr>
              <w:spacing w:line="268" w:lineRule="auto"/>
              <w:rPr>
                <w:rFonts w:ascii="Arial"/>
                <w:sz w:val="21"/>
              </w:rPr>
            </w:pPr>
          </w:p>
          <w:p w14:paraId="6C807B2A">
            <w:pPr>
              <w:spacing w:line="268" w:lineRule="auto"/>
              <w:rPr>
                <w:rFonts w:ascii="Arial"/>
                <w:sz w:val="21"/>
              </w:rPr>
            </w:pPr>
          </w:p>
          <w:p w14:paraId="13828A41">
            <w:pPr>
              <w:pStyle w:val="6"/>
              <w:spacing w:before="65" w:line="291" w:lineRule="auto"/>
              <w:ind w:left="153" w:right="158"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903" w:type="dxa"/>
            <w:vAlign w:val="top"/>
          </w:tcPr>
          <w:p w14:paraId="2D4C4F80">
            <w:pPr>
              <w:spacing w:line="253" w:lineRule="auto"/>
              <w:rPr>
                <w:rFonts w:ascii="Arial"/>
                <w:sz w:val="21"/>
              </w:rPr>
            </w:pPr>
          </w:p>
          <w:p w14:paraId="206E6392">
            <w:pPr>
              <w:spacing w:line="254" w:lineRule="auto"/>
              <w:rPr>
                <w:rFonts w:ascii="Arial"/>
                <w:sz w:val="21"/>
              </w:rPr>
            </w:pPr>
          </w:p>
          <w:p w14:paraId="1113E964">
            <w:pPr>
              <w:spacing w:line="254" w:lineRule="auto"/>
              <w:rPr>
                <w:rFonts w:ascii="Arial"/>
                <w:sz w:val="21"/>
              </w:rPr>
            </w:pPr>
          </w:p>
          <w:p w14:paraId="748B7B60">
            <w:pPr>
              <w:pStyle w:val="6"/>
              <w:spacing w:before="65" w:line="289" w:lineRule="auto"/>
              <w:ind w:left="137" w:right="134"/>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57" w:type="dxa"/>
            <w:vAlign w:val="top"/>
          </w:tcPr>
          <w:p w14:paraId="4271B1DB">
            <w:pPr>
              <w:spacing w:line="253" w:lineRule="auto"/>
              <w:rPr>
                <w:rFonts w:ascii="Arial"/>
                <w:sz w:val="21"/>
              </w:rPr>
            </w:pPr>
          </w:p>
          <w:p w14:paraId="586718EC">
            <w:pPr>
              <w:spacing w:line="254" w:lineRule="auto"/>
              <w:rPr>
                <w:rFonts w:ascii="Arial"/>
                <w:sz w:val="21"/>
              </w:rPr>
            </w:pPr>
          </w:p>
          <w:p w14:paraId="1F18BB02">
            <w:pPr>
              <w:spacing w:line="254" w:lineRule="auto"/>
              <w:rPr>
                <w:rFonts w:ascii="Arial"/>
                <w:sz w:val="21"/>
              </w:rPr>
            </w:pPr>
          </w:p>
          <w:p w14:paraId="05224698">
            <w:pPr>
              <w:pStyle w:val="6"/>
              <w:spacing w:before="65" w:line="289" w:lineRule="auto"/>
              <w:ind w:left="142" w:right="105" w:hanging="34"/>
              <w:jc w:val="both"/>
              <w:rPr>
                <w:rFonts w:ascii="Times New Roman" w:hAnsi="Times New Roman" w:eastAsia="Times New Roman" w:cs="Times New Roman"/>
              </w:rPr>
            </w:pPr>
            <w:r>
              <w:rPr>
                <w:spacing w:val="5"/>
              </w:rPr>
              <w:t>双回线路（单</w:t>
            </w:r>
            <w:r>
              <w:rPr>
                <w:spacing w:val="20"/>
              </w:rPr>
              <w:t>边挂线）北</w:t>
            </w:r>
            <w:r>
              <w:rPr>
                <w:spacing w:val="7"/>
              </w:rPr>
              <w:t>侧，</w:t>
            </w:r>
            <w:r>
              <w:rPr>
                <w:rFonts w:ascii="Times New Roman" w:hAnsi="Times New Roman" w:eastAsia="Times New Roman" w:cs="Times New Roman"/>
              </w:rPr>
              <w:t>AZ</w:t>
            </w:r>
            <w:r>
              <w:rPr>
                <w:rFonts w:ascii="Times New Roman" w:hAnsi="Times New Roman" w:eastAsia="Times New Roman" w:cs="Times New Roman"/>
                <w:spacing w:val="7"/>
              </w:rPr>
              <w:t>12</w:t>
            </w:r>
            <w:r>
              <w:rPr>
                <w:rFonts w:ascii="Times New Roman" w:hAnsi="Times New Roman" w:eastAsia="Times New Roman" w:cs="Times New Roman"/>
                <w:spacing w:val="12"/>
              </w:rPr>
              <w:t xml:space="preserve"> </w:t>
            </w:r>
            <w:r>
              <w:rPr>
                <w:spacing w:val="7"/>
              </w:rPr>
              <w:t>塔</w:t>
            </w:r>
            <w:r>
              <w:rPr>
                <w:spacing w:val="14"/>
              </w:rPr>
              <w:t>基西侧</w:t>
            </w:r>
            <w:r>
              <w:rPr>
                <w:spacing w:val="-35"/>
              </w:rPr>
              <w:t xml:space="preserve"> </w:t>
            </w:r>
            <w:r>
              <w:rPr>
                <w:rFonts w:ascii="Times New Roman" w:hAnsi="Times New Roman" w:eastAsia="Times New Roman" w:cs="Times New Roman"/>
                <w:spacing w:val="14"/>
              </w:rPr>
              <w:t>60m</w:t>
            </w:r>
          </w:p>
        </w:tc>
        <w:tc>
          <w:tcPr>
            <w:tcW w:w="1449" w:type="dxa"/>
            <w:tcBorders>
              <w:right w:val="single" w:color="000000" w:sz="2" w:space="0"/>
            </w:tcBorders>
            <w:vAlign w:val="top"/>
          </w:tcPr>
          <w:p w14:paraId="123C2299">
            <w:pPr>
              <w:spacing w:line="305" w:lineRule="auto"/>
              <w:rPr>
                <w:rFonts w:ascii="Arial"/>
                <w:sz w:val="21"/>
              </w:rPr>
            </w:pPr>
          </w:p>
          <w:p w14:paraId="6FEAD224">
            <w:pPr>
              <w:spacing w:line="306" w:lineRule="auto"/>
              <w:rPr>
                <w:rFonts w:ascii="Arial"/>
                <w:sz w:val="21"/>
              </w:rPr>
            </w:pPr>
          </w:p>
          <w:p w14:paraId="6E5301BD">
            <w:pPr>
              <w:spacing w:line="306" w:lineRule="auto"/>
              <w:rPr>
                <w:rFonts w:ascii="Arial"/>
                <w:sz w:val="21"/>
              </w:rPr>
            </w:pPr>
          </w:p>
          <w:p w14:paraId="65DD421B">
            <w:pPr>
              <w:pStyle w:val="6"/>
              <w:spacing w:before="65" w:line="289" w:lineRule="auto"/>
              <w:ind w:left="148" w:right="144" w:firstLine="28"/>
              <w:jc w:val="both"/>
              <w:rPr>
                <w:rFonts w:ascii="Times New Roman" w:hAnsi="Times New Roman" w:eastAsia="Times New Roman" w:cs="Times New Roman"/>
              </w:rPr>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r>
              <w:rPr>
                <w:spacing w:val="18"/>
              </w:rPr>
              <w:t>边导线地面</w:t>
            </w:r>
            <w:r>
              <w:rPr>
                <w:spacing w:val="4"/>
              </w:rPr>
              <w:t>投影北侧</w:t>
            </w:r>
            <w:r>
              <w:rPr>
                <w:spacing w:val="-33"/>
              </w:rPr>
              <w:t xml:space="preserve"> </w:t>
            </w:r>
            <w:r>
              <w:rPr>
                <w:rFonts w:ascii="Times New Roman" w:hAnsi="Times New Roman" w:eastAsia="Times New Roman" w:cs="Times New Roman"/>
                <w:spacing w:val="4"/>
              </w:rPr>
              <w:t>5m</w:t>
            </w:r>
          </w:p>
        </w:tc>
        <w:tc>
          <w:tcPr>
            <w:tcW w:w="1163" w:type="dxa"/>
            <w:tcBorders>
              <w:left w:val="single" w:color="000000" w:sz="2" w:space="0"/>
              <w:right w:val="single" w:color="000000" w:sz="2" w:space="0"/>
            </w:tcBorders>
            <w:vAlign w:val="top"/>
          </w:tcPr>
          <w:p w14:paraId="3D23086D">
            <w:pPr>
              <w:spacing w:line="254" w:lineRule="auto"/>
              <w:rPr>
                <w:rFonts w:ascii="Arial"/>
                <w:sz w:val="21"/>
              </w:rPr>
            </w:pPr>
          </w:p>
          <w:p w14:paraId="61D3084B">
            <w:pPr>
              <w:spacing w:line="254" w:lineRule="auto"/>
              <w:rPr>
                <w:rFonts w:ascii="Arial"/>
                <w:sz w:val="21"/>
              </w:rPr>
            </w:pPr>
          </w:p>
          <w:p w14:paraId="08190060">
            <w:pPr>
              <w:spacing w:line="254" w:lineRule="auto"/>
              <w:rPr>
                <w:rFonts w:ascii="Arial"/>
                <w:sz w:val="21"/>
              </w:rPr>
            </w:pPr>
          </w:p>
          <w:p w14:paraId="2BB24373">
            <w:pPr>
              <w:spacing w:line="254" w:lineRule="auto"/>
              <w:rPr>
                <w:rFonts w:ascii="Arial"/>
                <w:sz w:val="21"/>
              </w:rPr>
            </w:pPr>
          </w:p>
          <w:p w14:paraId="5F2B345B">
            <w:pPr>
              <w:spacing w:line="254" w:lineRule="auto"/>
              <w:rPr>
                <w:rFonts w:ascii="Arial"/>
                <w:sz w:val="21"/>
              </w:rPr>
            </w:pPr>
          </w:p>
          <w:p w14:paraId="6266DFF3">
            <w:pPr>
              <w:spacing w:before="58" w:line="195" w:lineRule="auto"/>
              <w:ind w:left="41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10m</w:t>
            </w:r>
          </w:p>
        </w:tc>
        <w:tc>
          <w:tcPr>
            <w:tcW w:w="661" w:type="dxa"/>
            <w:tcBorders>
              <w:left w:val="single" w:color="000000" w:sz="2" w:space="0"/>
            </w:tcBorders>
            <w:vAlign w:val="top"/>
          </w:tcPr>
          <w:p w14:paraId="1A18BDC2">
            <w:pPr>
              <w:spacing w:line="255" w:lineRule="auto"/>
              <w:rPr>
                <w:rFonts w:ascii="Arial"/>
                <w:sz w:val="21"/>
              </w:rPr>
            </w:pPr>
          </w:p>
          <w:p w14:paraId="5B05440D">
            <w:pPr>
              <w:spacing w:line="255" w:lineRule="auto"/>
              <w:rPr>
                <w:rFonts w:ascii="Arial"/>
                <w:sz w:val="21"/>
              </w:rPr>
            </w:pPr>
          </w:p>
          <w:p w14:paraId="2F373569">
            <w:pPr>
              <w:spacing w:line="255" w:lineRule="auto"/>
              <w:rPr>
                <w:rFonts w:ascii="Arial"/>
                <w:sz w:val="21"/>
              </w:rPr>
            </w:pPr>
          </w:p>
          <w:p w14:paraId="48E7D0FA">
            <w:pPr>
              <w:spacing w:line="255" w:lineRule="auto"/>
              <w:rPr>
                <w:rFonts w:ascii="Arial"/>
                <w:sz w:val="21"/>
              </w:rPr>
            </w:pPr>
          </w:p>
          <w:p w14:paraId="4F08B546">
            <w:pPr>
              <w:spacing w:line="256" w:lineRule="auto"/>
              <w:rPr>
                <w:rFonts w:ascii="Arial"/>
                <w:sz w:val="21"/>
              </w:rPr>
            </w:pPr>
          </w:p>
          <w:p w14:paraId="085079B3">
            <w:pPr>
              <w:spacing w:before="57" w:line="192"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4042" w:type="dxa"/>
            <w:vAlign w:val="top"/>
          </w:tcPr>
          <w:p w14:paraId="2FD33E9A">
            <w:pPr>
              <w:spacing w:before="46" w:line="2721" w:lineRule="exact"/>
              <w:ind w:firstLine="148"/>
            </w:pPr>
            <w:r>
              <w:rPr>
                <w:position w:val="-54"/>
              </w:rPr>
              <w:drawing>
                <wp:inline distT="0" distB="0" distL="0" distR="0">
                  <wp:extent cx="2374265" cy="1727835"/>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248"/>
                          <a:stretch>
                            <a:fillRect/>
                          </a:stretch>
                        </pic:blipFill>
                        <pic:spPr>
                          <a:xfrm>
                            <a:off x="0" y="0"/>
                            <a:ext cx="2374392" cy="1728215"/>
                          </a:xfrm>
                          <a:prstGeom prst="rect">
                            <a:avLst/>
                          </a:prstGeom>
                        </pic:spPr>
                      </pic:pic>
                    </a:graphicData>
                  </a:graphic>
                </wp:inline>
              </w:drawing>
            </w:r>
          </w:p>
        </w:tc>
        <w:tc>
          <w:tcPr>
            <w:tcW w:w="1182" w:type="dxa"/>
            <w:vMerge w:val="continue"/>
            <w:tcBorders>
              <w:top w:val="nil"/>
              <w:bottom w:val="nil"/>
            </w:tcBorders>
            <w:vAlign w:val="top"/>
          </w:tcPr>
          <w:p w14:paraId="3FD6E074">
            <w:pPr>
              <w:rPr>
                <w:rFonts w:ascii="Arial"/>
                <w:sz w:val="21"/>
              </w:rPr>
            </w:pPr>
          </w:p>
        </w:tc>
      </w:tr>
      <w:tr w14:paraId="423CE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7" w:hRule="atLeast"/>
        </w:trPr>
        <w:tc>
          <w:tcPr>
            <w:tcW w:w="866" w:type="dxa"/>
            <w:vMerge w:val="continue"/>
            <w:tcBorders>
              <w:top w:val="nil"/>
              <w:right w:val="single" w:color="000000" w:sz="2" w:space="0"/>
            </w:tcBorders>
            <w:vAlign w:val="top"/>
          </w:tcPr>
          <w:p w14:paraId="27182047">
            <w:pPr>
              <w:rPr>
                <w:rFonts w:ascii="Arial"/>
                <w:sz w:val="21"/>
              </w:rPr>
            </w:pPr>
          </w:p>
        </w:tc>
        <w:tc>
          <w:tcPr>
            <w:tcW w:w="1207" w:type="dxa"/>
            <w:tcBorders>
              <w:left w:val="single" w:color="000000" w:sz="2" w:space="0"/>
            </w:tcBorders>
            <w:vAlign w:val="top"/>
          </w:tcPr>
          <w:p w14:paraId="624B3805">
            <w:pPr>
              <w:spacing w:line="246" w:lineRule="auto"/>
              <w:rPr>
                <w:rFonts w:ascii="Arial"/>
                <w:sz w:val="21"/>
              </w:rPr>
            </w:pPr>
          </w:p>
          <w:p w14:paraId="05D951DD">
            <w:pPr>
              <w:spacing w:line="246" w:lineRule="auto"/>
              <w:rPr>
                <w:rFonts w:ascii="Arial"/>
                <w:sz w:val="21"/>
              </w:rPr>
            </w:pPr>
          </w:p>
          <w:p w14:paraId="1A81786D">
            <w:pPr>
              <w:spacing w:line="246" w:lineRule="auto"/>
              <w:rPr>
                <w:rFonts w:ascii="Arial"/>
                <w:sz w:val="21"/>
              </w:rPr>
            </w:pPr>
          </w:p>
          <w:p w14:paraId="40D3EC98">
            <w:pPr>
              <w:spacing w:line="246" w:lineRule="auto"/>
              <w:rPr>
                <w:rFonts w:ascii="Arial"/>
                <w:sz w:val="21"/>
              </w:rPr>
            </w:pPr>
          </w:p>
          <w:p w14:paraId="79139272">
            <w:pPr>
              <w:spacing w:line="247" w:lineRule="auto"/>
              <w:rPr>
                <w:rFonts w:ascii="Arial"/>
                <w:sz w:val="21"/>
              </w:rPr>
            </w:pPr>
          </w:p>
          <w:p w14:paraId="1DC352D0">
            <w:pPr>
              <w:pStyle w:val="6"/>
              <w:spacing w:before="65" w:line="290" w:lineRule="auto"/>
              <w:ind w:left="290" w:right="183" w:hanging="108"/>
            </w:pPr>
            <w:r>
              <w:rPr>
                <w:spacing w:val="8"/>
              </w:rPr>
              <w:t>⑦菜地看</w:t>
            </w:r>
            <w:r>
              <w:rPr>
                <w:spacing w:val="6"/>
              </w:rPr>
              <w:t>护用房</w:t>
            </w:r>
          </w:p>
        </w:tc>
        <w:tc>
          <w:tcPr>
            <w:tcW w:w="730" w:type="dxa"/>
            <w:vAlign w:val="top"/>
          </w:tcPr>
          <w:p w14:paraId="57E0D675">
            <w:pPr>
              <w:spacing w:line="254" w:lineRule="auto"/>
              <w:rPr>
                <w:rFonts w:ascii="Arial"/>
                <w:sz w:val="21"/>
              </w:rPr>
            </w:pPr>
          </w:p>
          <w:p w14:paraId="5DC27D6B">
            <w:pPr>
              <w:spacing w:line="255" w:lineRule="auto"/>
              <w:rPr>
                <w:rFonts w:ascii="Arial"/>
                <w:sz w:val="21"/>
              </w:rPr>
            </w:pPr>
          </w:p>
          <w:p w14:paraId="57CAC36A">
            <w:pPr>
              <w:spacing w:line="255" w:lineRule="auto"/>
              <w:rPr>
                <w:rFonts w:ascii="Arial"/>
                <w:sz w:val="21"/>
              </w:rPr>
            </w:pPr>
          </w:p>
          <w:p w14:paraId="260A3D9A">
            <w:pPr>
              <w:pStyle w:val="6"/>
              <w:spacing w:before="65" w:line="289" w:lineRule="auto"/>
              <w:ind w:left="154" w:right="155" w:firstLine="2"/>
              <w:jc w:val="both"/>
            </w:pPr>
            <w:r>
              <w:rPr>
                <w:spacing w:val="3"/>
              </w:rPr>
              <w:t>居住</w:t>
            </w:r>
            <w:r>
              <w:rPr>
                <w:spacing w:val="5"/>
              </w:rPr>
              <w:t>及农用物资仓</w:t>
            </w:r>
            <w:r>
              <w:rPr>
                <w:spacing w:val="34"/>
                <w:w w:val="135"/>
              </w:rPr>
              <w:t>库</w:t>
            </w:r>
          </w:p>
        </w:tc>
        <w:tc>
          <w:tcPr>
            <w:tcW w:w="682" w:type="dxa"/>
            <w:vAlign w:val="top"/>
          </w:tcPr>
          <w:p w14:paraId="55DF89C5">
            <w:pPr>
              <w:spacing w:line="246" w:lineRule="auto"/>
              <w:rPr>
                <w:rFonts w:ascii="Arial"/>
                <w:sz w:val="21"/>
              </w:rPr>
            </w:pPr>
          </w:p>
          <w:p w14:paraId="363687C4">
            <w:pPr>
              <w:spacing w:line="246" w:lineRule="auto"/>
              <w:rPr>
                <w:rFonts w:ascii="Arial"/>
                <w:sz w:val="21"/>
              </w:rPr>
            </w:pPr>
          </w:p>
          <w:p w14:paraId="2EB9D110">
            <w:pPr>
              <w:spacing w:line="246" w:lineRule="auto"/>
              <w:rPr>
                <w:rFonts w:ascii="Arial"/>
                <w:sz w:val="21"/>
              </w:rPr>
            </w:pPr>
          </w:p>
          <w:p w14:paraId="556A1DB8">
            <w:pPr>
              <w:spacing w:line="247" w:lineRule="auto"/>
              <w:rPr>
                <w:rFonts w:ascii="Arial"/>
                <w:sz w:val="21"/>
              </w:rPr>
            </w:pPr>
          </w:p>
          <w:p w14:paraId="445F2627">
            <w:pPr>
              <w:spacing w:line="247" w:lineRule="auto"/>
              <w:rPr>
                <w:rFonts w:ascii="Arial"/>
                <w:sz w:val="21"/>
              </w:rPr>
            </w:pPr>
          </w:p>
          <w:p w14:paraId="505B5179">
            <w:pPr>
              <w:pStyle w:val="6"/>
              <w:spacing w:before="65" w:line="291" w:lineRule="auto"/>
              <w:ind w:left="153" w:right="158"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903" w:type="dxa"/>
            <w:vAlign w:val="top"/>
          </w:tcPr>
          <w:p w14:paraId="0780AD95">
            <w:pPr>
              <w:spacing w:line="307" w:lineRule="auto"/>
              <w:rPr>
                <w:rFonts w:ascii="Arial"/>
                <w:sz w:val="21"/>
              </w:rPr>
            </w:pPr>
          </w:p>
          <w:p w14:paraId="6734659E">
            <w:pPr>
              <w:spacing w:line="307" w:lineRule="auto"/>
              <w:rPr>
                <w:rFonts w:ascii="Arial"/>
                <w:sz w:val="21"/>
              </w:rPr>
            </w:pPr>
          </w:p>
          <w:p w14:paraId="041C5009">
            <w:pPr>
              <w:spacing w:line="307" w:lineRule="auto"/>
              <w:rPr>
                <w:rFonts w:ascii="Arial"/>
                <w:sz w:val="21"/>
              </w:rPr>
            </w:pPr>
          </w:p>
          <w:p w14:paraId="3F51AF15">
            <w:pPr>
              <w:pStyle w:val="6"/>
              <w:spacing w:before="65" w:line="289" w:lineRule="auto"/>
              <w:ind w:left="137" w:right="134"/>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57" w:type="dxa"/>
            <w:vAlign w:val="top"/>
          </w:tcPr>
          <w:p w14:paraId="5D822563">
            <w:pPr>
              <w:spacing w:line="307" w:lineRule="auto"/>
              <w:rPr>
                <w:rFonts w:ascii="Arial"/>
                <w:sz w:val="21"/>
              </w:rPr>
            </w:pPr>
          </w:p>
          <w:p w14:paraId="7AC0F020">
            <w:pPr>
              <w:spacing w:line="307" w:lineRule="auto"/>
              <w:rPr>
                <w:rFonts w:ascii="Arial"/>
                <w:sz w:val="21"/>
              </w:rPr>
            </w:pPr>
          </w:p>
          <w:p w14:paraId="09264FF0">
            <w:pPr>
              <w:spacing w:line="307" w:lineRule="auto"/>
              <w:rPr>
                <w:rFonts w:ascii="Arial"/>
                <w:sz w:val="21"/>
              </w:rPr>
            </w:pPr>
          </w:p>
          <w:p w14:paraId="19270926">
            <w:pPr>
              <w:pStyle w:val="6"/>
              <w:spacing w:before="65" w:line="289" w:lineRule="auto"/>
              <w:ind w:left="106" w:right="105" w:firstLine="1"/>
              <w:jc w:val="both"/>
              <w:rPr>
                <w:rFonts w:ascii="Times New Roman" w:hAnsi="Times New Roman" w:eastAsia="Times New Roman" w:cs="Times New Roman"/>
              </w:rPr>
            </w:pPr>
            <w:r>
              <w:rPr>
                <w:spacing w:val="5"/>
              </w:rPr>
              <w:t>双回线路（单</w:t>
            </w:r>
            <w:r>
              <w:rPr>
                <w:spacing w:val="27"/>
              </w:rPr>
              <w:t>边挂线）南</w:t>
            </w:r>
            <w:r>
              <w:rPr>
                <w:spacing w:val="-5"/>
              </w:rPr>
              <w:t>侧，</w:t>
            </w:r>
            <w:r>
              <w:rPr>
                <w:rFonts w:ascii="Times New Roman" w:hAnsi="Times New Roman" w:eastAsia="Times New Roman" w:cs="Times New Roman"/>
                <w:spacing w:val="-5"/>
              </w:rPr>
              <w:t>AZ13G</w:t>
            </w:r>
            <w:r>
              <w:rPr>
                <w:rFonts w:ascii="Times New Roman" w:hAnsi="Times New Roman" w:eastAsia="Times New Roman" w:cs="Times New Roman"/>
                <w:spacing w:val="12"/>
              </w:rPr>
              <w:t xml:space="preserve"> </w:t>
            </w:r>
            <w:r>
              <w:rPr>
                <w:spacing w:val="-5"/>
              </w:rPr>
              <w:t>塔</w:t>
            </w:r>
            <w:r>
              <w:rPr>
                <w:spacing w:val="8"/>
              </w:rPr>
              <w:t>基西侧</w:t>
            </w:r>
            <w:r>
              <w:rPr>
                <w:spacing w:val="-18"/>
              </w:rPr>
              <w:t xml:space="preserve"> </w:t>
            </w:r>
            <w:r>
              <w:rPr>
                <w:rFonts w:ascii="Times New Roman" w:hAnsi="Times New Roman" w:eastAsia="Times New Roman" w:cs="Times New Roman"/>
                <w:spacing w:val="8"/>
              </w:rPr>
              <w:t>150m</w:t>
            </w:r>
          </w:p>
        </w:tc>
        <w:tc>
          <w:tcPr>
            <w:tcW w:w="1449" w:type="dxa"/>
            <w:tcBorders>
              <w:right w:val="single" w:color="000000" w:sz="2" w:space="0"/>
            </w:tcBorders>
            <w:vAlign w:val="top"/>
          </w:tcPr>
          <w:p w14:paraId="5FC4B954">
            <w:pPr>
              <w:spacing w:line="269" w:lineRule="auto"/>
              <w:rPr>
                <w:rFonts w:ascii="Arial"/>
                <w:sz w:val="21"/>
              </w:rPr>
            </w:pPr>
          </w:p>
          <w:p w14:paraId="3CE4163E">
            <w:pPr>
              <w:spacing w:line="269" w:lineRule="auto"/>
              <w:rPr>
                <w:rFonts w:ascii="Arial"/>
                <w:sz w:val="21"/>
              </w:rPr>
            </w:pPr>
          </w:p>
          <w:p w14:paraId="36C59B48">
            <w:pPr>
              <w:spacing w:line="269" w:lineRule="auto"/>
              <w:rPr>
                <w:rFonts w:ascii="Arial"/>
                <w:sz w:val="21"/>
              </w:rPr>
            </w:pPr>
          </w:p>
          <w:p w14:paraId="60DB3398">
            <w:pPr>
              <w:spacing w:line="270" w:lineRule="auto"/>
              <w:rPr>
                <w:rFonts w:ascii="Arial"/>
                <w:sz w:val="21"/>
              </w:rPr>
            </w:pPr>
          </w:p>
          <w:p w14:paraId="3CF9697C">
            <w:pPr>
              <w:pStyle w:val="6"/>
              <w:spacing w:before="65" w:line="289" w:lineRule="auto"/>
              <w:ind w:left="112" w:right="106" w:firstLine="64"/>
              <w:jc w:val="both"/>
              <w:rPr>
                <w:rFonts w:ascii="Times New Roman" w:hAnsi="Times New Roman" w:eastAsia="Times New Roman" w:cs="Times New Roman"/>
              </w:rPr>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r>
              <w:rPr>
                <w:spacing w:val="25"/>
              </w:rPr>
              <w:t>边导线地面</w:t>
            </w:r>
            <w:r>
              <w:rPr>
                <w:spacing w:val="1"/>
              </w:rPr>
              <w:t>投影南侧</w:t>
            </w:r>
            <w:r>
              <w:rPr>
                <w:spacing w:val="-42"/>
              </w:rPr>
              <w:t xml:space="preserve"> </w:t>
            </w:r>
            <w:r>
              <w:rPr>
                <w:rFonts w:ascii="Times New Roman" w:hAnsi="Times New Roman" w:eastAsia="Times New Roman" w:cs="Times New Roman"/>
                <w:spacing w:val="1"/>
              </w:rPr>
              <w:t>11m</w:t>
            </w:r>
          </w:p>
        </w:tc>
        <w:tc>
          <w:tcPr>
            <w:tcW w:w="1163" w:type="dxa"/>
            <w:tcBorders>
              <w:left w:val="single" w:color="000000" w:sz="2" w:space="0"/>
              <w:right w:val="single" w:color="000000" w:sz="2" w:space="0"/>
            </w:tcBorders>
            <w:vAlign w:val="top"/>
          </w:tcPr>
          <w:p w14:paraId="7407ACF5">
            <w:pPr>
              <w:spacing w:line="286" w:lineRule="auto"/>
              <w:rPr>
                <w:rFonts w:ascii="Arial"/>
                <w:sz w:val="21"/>
              </w:rPr>
            </w:pPr>
          </w:p>
          <w:p w14:paraId="7E7BB105">
            <w:pPr>
              <w:spacing w:line="286" w:lineRule="auto"/>
              <w:rPr>
                <w:rFonts w:ascii="Arial"/>
                <w:sz w:val="21"/>
              </w:rPr>
            </w:pPr>
          </w:p>
          <w:p w14:paraId="26FCA3AE">
            <w:pPr>
              <w:spacing w:line="286" w:lineRule="auto"/>
              <w:rPr>
                <w:rFonts w:ascii="Arial"/>
                <w:sz w:val="21"/>
              </w:rPr>
            </w:pPr>
          </w:p>
          <w:p w14:paraId="5CC977E8">
            <w:pPr>
              <w:spacing w:line="286" w:lineRule="auto"/>
              <w:rPr>
                <w:rFonts w:ascii="Arial"/>
                <w:sz w:val="21"/>
              </w:rPr>
            </w:pPr>
          </w:p>
          <w:p w14:paraId="507B2780">
            <w:pPr>
              <w:spacing w:line="286" w:lineRule="auto"/>
              <w:rPr>
                <w:rFonts w:ascii="Arial"/>
                <w:sz w:val="21"/>
              </w:rPr>
            </w:pPr>
          </w:p>
          <w:p w14:paraId="10335079">
            <w:pPr>
              <w:spacing w:before="58" w:line="195" w:lineRule="auto"/>
              <w:ind w:left="41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16m</w:t>
            </w:r>
          </w:p>
        </w:tc>
        <w:tc>
          <w:tcPr>
            <w:tcW w:w="661" w:type="dxa"/>
            <w:tcBorders>
              <w:left w:val="single" w:color="000000" w:sz="2" w:space="0"/>
            </w:tcBorders>
            <w:vAlign w:val="top"/>
          </w:tcPr>
          <w:p w14:paraId="29496B9C">
            <w:pPr>
              <w:spacing w:line="286" w:lineRule="auto"/>
              <w:rPr>
                <w:rFonts w:ascii="Arial"/>
                <w:sz w:val="21"/>
              </w:rPr>
            </w:pPr>
          </w:p>
          <w:p w14:paraId="408BCD01">
            <w:pPr>
              <w:spacing w:line="286" w:lineRule="auto"/>
              <w:rPr>
                <w:rFonts w:ascii="Arial"/>
                <w:sz w:val="21"/>
              </w:rPr>
            </w:pPr>
          </w:p>
          <w:p w14:paraId="2948D8F6">
            <w:pPr>
              <w:spacing w:line="287" w:lineRule="auto"/>
              <w:rPr>
                <w:rFonts w:ascii="Arial"/>
                <w:sz w:val="21"/>
              </w:rPr>
            </w:pPr>
          </w:p>
          <w:p w14:paraId="654E1251">
            <w:pPr>
              <w:spacing w:line="287" w:lineRule="auto"/>
              <w:rPr>
                <w:rFonts w:ascii="Arial"/>
                <w:sz w:val="21"/>
              </w:rPr>
            </w:pPr>
          </w:p>
          <w:p w14:paraId="2757F9A4">
            <w:pPr>
              <w:spacing w:line="287" w:lineRule="auto"/>
              <w:rPr>
                <w:rFonts w:ascii="Arial"/>
                <w:sz w:val="21"/>
              </w:rPr>
            </w:pPr>
          </w:p>
          <w:p w14:paraId="3FE69142">
            <w:pPr>
              <w:spacing w:before="58" w:line="192"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4042" w:type="dxa"/>
            <w:vAlign w:val="top"/>
          </w:tcPr>
          <w:p w14:paraId="64CF73DA">
            <w:pPr>
              <w:spacing w:before="146" w:line="2835" w:lineRule="exact"/>
              <w:ind w:firstLine="129"/>
            </w:pPr>
            <w:r>
              <w:rPr>
                <w:position w:val="-56"/>
              </w:rPr>
              <w:drawing>
                <wp:inline distT="0" distB="0" distL="0" distR="0">
                  <wp:extent cx="2400300" cy="1799590"/>
                  <wp:effectExtent l="0" t="0" r="0" b="0"/>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249"/>
                          <a:stretch>
                            <a:fillRect/>
                          </a:stretch>
                        </pic:blipFill>
                        <pic:spPr>
                          <a:xfrm>
                            <a:off x="0" y="0"/>
                            <a:ext cx="2400300" cy="1799844"/>
                          </a:xfrm>
                          <a:prstGeom prst="rect">
                            <a:avLst/>
                          </a:prstGeom>
                        </pic:spPr>
                      </pic:pic>
                    </a:graphicData>
                  </a:graphic>
                </wp:inline>
              </w:drawing>
            </w:r>
          </w:p>
        </w:tc>
        <w:tc>
          <w:tcPr>
            <w:tcW w:w="1182" w:type="dxa"/>
            <w:vMerge w:val="continue"/>
            <w:tcBorders>
              <w:top w:val="nil"/>
              <w:bottom w:val="single" w:color="000000" w:sz="2" w:space="0"/>
            </w:tcBorders>
            <w:vAlign w:val="top"/>
          </w:tcPr>
          <w:p w14:paraId="08F9B369">
            <w:pPr>
              <w:rPr>
                <w:rFonts w:ascii="Arial"/>
                <w:sz w:val="21"/>
              </w:rPr>
            </w:pPr>
          </w:p>
        </w:tc>
      </w:tr>
    </w:tbl>
    <w:p w14:paraId="274F93E2">
      <w:pPr>
        <w:rPr>
          <w:rFonts w:ascii="Arial"/>
          <w:sz w:val="21"/>
        </w:rPr>
      </w:pPr>
    </w:p>
    <w:p w14:paraId="0D84209D">
      <w:pPr>
        <w:rPr>
          <w:rFonts w:ascii="Arial" w:hAnsi="Arial" w:eastAsia="Arial" w:cs="Arial"/>
          <w:sz w:val="21"/>
          <w:szCs w:val="21"/>
        </w:rPr>
        <w:sectPr>
          <w:footerReference r:id="rId161" w:type="default"/>
          <w:pgSz w:w="16839" w:h="11906"/>
          <w:pgMar w:top="400" w:right="1242" w:bottom="916" w:left="1242" w:header="0" w:footer="732" w:gutter="0"/>
          <w:cols w:space="720" w:num="1"/>
        </w:sectPr>
      </w:pPr>
    </w:p>
    <w:p w14:paraId="3178D5BA">
      <w:pPr>
        <w:spacing w:before="12"/>
      </w:pPr>
    </w:p>
    <w:p w14:paraId="4457150A">
      <w:pPr>
        <w:spacing w:before="12"/>
      </w:pPr>
    </w:p>
    <w:tbl>
      <w:tblPr>
        <w:tblStyle w:val="5"/>
        <w:tblW w:w="1434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6"/>
        <w:gridCol w:w="1207"/>
        <w:gridCol w:w="730"/>
        <w:gridCol w:w="682"/>
        <w:gridCol w:w="903"/>
        <w:gridCol w:w="1457"/>
        <w:gridCol w:w="1449"/>
        <w:gridCol w:w="1163"/>
        <w:gridCol w:w="661"/>
        <w:gridCol w:w="4042"/>
        <w:gridCol w:w="1182"/>
      </w:tblGrid>
      <w:tr w14:paraId="14897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atLeast"/>
        </w:trPr>
        <w:tc>
          <w:tcPr>
            <w:tcW w:w="866" w:type="dxa"/>
            <w:tcBorders>
              <w:right w:val="single" w:color="000000" w:sz="2" w:space="0"/>
            </w:tcBorders>
            <w:shd w:val="clear" w:color="auto" w:fill="BEBEBE"/>
            <w:vAlign w:val="top"/>
          </w:tcPr>
          <w:p w14:paraId="690632DE">
            <w:pPr>
              <w:spacing w:line="301" w:lineRule="auto"/>
              <w:rPr>
                <w:rFonts w:ascii="Arial"/>
                <w:sz w:val="21"/>
              </w:rPr>
            </w:pPr>
          </w:p>
          <w:p w14:paraId="1CF24B6D">
            <w:pPr>
              <w:pStyle w:val="6"/>
              <w:spacing w:before="65" w:line="228" w:lineRule="auto"/>
              <w:ind w:left="226"/>
            </w:pPr>
            <w:r>
              <w:rPr>
                <w:b/>
                <w:bCs/>
                <w:spacing w:val="2"/>
              </w:rPr>
              <w:t>分区</w:t>
            </w:r>
          </w:p>
        </w:tc>
        <w:tc>
          <w:tcPr>
            <w:tcW w:w="1207" w:type="dxa"/>
            <w:tcBorders>
              <w:left w:val="single" w:color="000000" w:sz="2" w:space="0"/>
            </w:tcBorders>
            <w:shd w:val="clear" w:color="auto" w:fill="BEBEBE"/>
            <w:vAlign w:val="top"/>
          </w:tcPr>
          <w:p w14:paraId="306E63FB">
            <w:pPr>
              <w:pStyle w:val="6"/>
              <w:spacing w:before="211" w:line="290" w:lineRule="auto"/>
              <w:ind w:left="432" w:right="394" w:hanging="39"/>
            </w:pPr>
            <w:r>
              <w:rPr>
                <w:b/>
                <w:bCs/>
                <w:spacing w:val="3"/>
              </w:rPr>
              <w:t>保护</w:t>
            </w:r>
            <w:r>
              <w:rPr>
                <w:b/>
                <w:bCs/>
                <w:spacing w:val="-17"/>
              </w:rPr>
              <w:t>目标</w:t>
            </w:r>
          </w:p>
        </w:tc>
        <w:tc>
          <w:tcPr>
            <w:tcW w:w="730" w:type="dxa"/>
            <w:shd w:val="clear" w:color="auto" w:fill="BEBEBE"/>
            <w:vAlign w:val="top"/>
          </w:tcPr>
          <w:p w14:paraId="3EF0DF7F">
            <w:pPr>
              <w:spacing w:line="301" w:lineRule="auto"/>
              <w:rPr>
                <w:rFonts w:ascii="Arial"/>
                <w:sz w:val="21"/>
              </w:rPr>
            </w:pPr>
          </w:p>
          <w:p w14:paraId="4B4EFEB7">
            <w:pPr>
              <w:pStyle w:val="6"/>
              <w:spacing w:before="65" w:line="229" w:lineRule="auto"/>
              <w:ind w:left="156"/>
            </w:pPr>
            <w:r>
              <w:rPr>
                <w:b/>
                <w:bCs/>
                <w:spacing w:val="2"/>
              </w:rPr>
              <w:t>功能</w:t>
            </w:r>
          </w:p>
        </w:tc>
        <w:tc>
          <w:tcPr>
            <w:tcW w:w="682" w:type="dxa"/>
            <w:shd w:val="clear" w:color="auto" w:fill="BEBEBE"/>
            <w:vAlign w:val="top"/>
          </w:tcPr>
          <w:p w14:paraId="0950CE6A">
            <w:pPr>
              <w:spacing w:line="301" w:lineRule="auto"/>
              <w:rPr>
                <w:rFonts w:ascii="Arial"/>
                <w:sz w:val="21"/>
              </w:rPr>
            </w:pPr>
          </w:p>
          <w:p w14:paraId="6CF96BE2">
            <w:pPr>
              <w:pStyle w:val="6"/>
              <w:spacing w:before="65" w:line="228" w:lineRule="auto"/>
              <w:ind w:left="131"/>
            </w:pPr>
            <w:r>
              <w:rPr>
                <w:b/>
                <w:bCs/>
                <w:spacing w:val="3"/>
              </w:rPr>
              <w:t>规模</w:t>
            </w:r>
          </w:p>
        </w:tc>
        <w:tc>
          <w:tcPr>
            <w:tcW w:w="903" w:type="dxa"/>
            <w:shd w:val="clear" w:color="auto" w:fill="BEBEBE"/>
            <w:vAlign w:val="top"/>
          </w:tcPr>
          <w:p w14:paraId="7C5D5B33">
            <w:pPr>
              <w:pStyle w:val="6"/>
              <w:spacing w:before="56" w:line="228" w:lineRule="auto"/>
              <w:ind w:left="137"/>
            </w:pPr>
            <w:r>
              <w:rPr>
                <w:b/>
                <w:bCs/>
                <w:spacing w:val="4"/>
              </w:rPr>
              <w:t>建筑物</w:t>
            </w:r>
          </w:p>
          <w:p w14:paraId="151B9F41">
            <w:pPr>
              <w:pStyle w:val="6"/>
              <w:spacing w:before="64" w:line="228" w:lineRule="auto"/>
              <w:ind w:left="140"/>
            </w:pPr>
            <w:r>
              <w:rPr>
                <w:b/>
                <w:bCs/>
                <w:spacing w:val="3"/>
              </w:rPr>
              <w:t>结构及</w:t>
            </w:r>
          </w:p>
          <w:p w14:paraId="46B1F06D">
            <w:pPr>
              <w:pStyle w:val="6"/>
              <w:spacing w:before="64" w:line="228" w:lineRule="auto"/>
              <w:ind w:left="246"/>
            </w:pPr>
            <w:r>
              <w:rPr>
                <w:b/>
                <w:bCs/>
                <w:spacing w:val="1"/>
              </w:rPr>
              <w:t>高度</w:t>
            </w:r>
          </w:p>
        </w:tc>
        <w:tc>
          <w:tcPr>
            <w:tcW w:w="1457" w:type="dxa"/>
            <w:shd w:val="clear" w:color="auto" w:fill="BEBEBE"/>
            <w:vAlign w:val="top"/>
          </w:tcPr>
          <w:p w14:paraId="0DC6F7AC">
            <w:pPr>
              <w:spacing w:line="301" w:lineRule="auto"/>
              <w:rPr>
                <w:rFonts w:ascii="Arial"/>
                <w:sz w:val="21"/>
              </w:rPr>
            </w:pPr>
          </w:p>
          <w:p w14:paraId="7DC02064">
            <w:pPr>
              <w:pStyle w:val="6"/>
              <w:spacing w:before="65" w:line="228" w:lineRule="auto"/>
              <w:ind w:left="279"/>
            </w:pPr>
            <w:r>
              <w:rPr>
                <w:b/>
                <w:bCs/>
                <w:spacing w:val="5"/>
              </w:rPr>
              <w:t>方位</w:t>
            </w:r>
            <w:r>
              <w:rPr>
                <w:rFonts w:ascii="Times New Roman" w:hAnsi="Times New Roman" w:eastAsia="Times New Roman" w:cs="Times New Roman"/>
                <w:b/>
                <w:bCs/>
                <w:spacing w:val="5"/>
              </w:rPr>
              <w:t>/</w:t>
            </w:r>
            <w:r>
              <w:rPr>
                <w:b/>
                <w:bCs/>
                <w:spacing w:val="5"/>
              </w:rPr>
              <w:t>距离</w:t>
            </w:r>
          </w:p>
        </w:tc>
        <w:tc>
          <w:tcPr>
            <w:tcW w:w="1449" w:type="dxa"/>
            <w:tcBorders>
              <w:right w:val="single" w:color="000000" w:sz="2" w:space="0"/>
            </w:tcBorders>
            <w:shd w:val="clear" w:color="auto" w:fill="BEBEBE"/>
            <w:vAlign w:val="top"/>
          </w:tcPr>
          <w:p w14:paraId="18DAB45A">
            <w:pPr>
              <w:pStyle w:val="6"/>
              <w:spacing w:before="56" w:line="228" w:lineRule="auto"/>
              <w:ind w:left="308"/>
            </w:pPr>
            <w:r>
              <w:rPr>
                <w:b/>
                <w:bCs/>
                <w:spacing w:val="5"/>
              </w:rPr>
              <w:t>与线路边</w:t>
            </w:r>
          </w:p>
          <w:p w14:paraId="13BB7C31">
            <w:pPr>
              <w:pStyle w:val="6"/>
              <w:spacing w:before="65" w:line="228" w:lineRule="auto"/>
              <w:ind w:left="310"/>
            </w:pPr>
            <w:r>
              <w:rPr>
                <w:b/>
                <w:bCs/>
                <w:spacing w:val="5"/>
              </w:rPr>
              <w:t>导线投影</w:t>
            </w:r>
          </w:p>
          <w:p w14:paraId="4050619E">
            <w:pPr>
              <w:pStyle w:val="6"/>
              <w:spacing w:before="64" w:line="228" w:lineRule="auto"/>
              <w:ind w:left="307"/>
            </w:pPr>
            <w:r>
              <w:rPr>
                <w:b/>
                <w:bCs/>
                <w:spacing w:val="5"/>
              </w:rPr>
              <w:t>水平距离</w:t>
            </w:r>
          </w:p>
        </w:tc>
        <w:tc>
          <w:tcPr>
            <w:tcW w:w="1163" w:type="dxa"/>
            <w:tcBorders>
              <w:left w:val="single" w:color="000000" w:sz="2" w:space="0"/>
              <w:right w:val="single" w:color="000000" w:sz="2" w:space="0"/>
            </w:tcBorders>
            <w:shd w:val="clear" w:color="auto" w:fill="BEBEBE"/>
            <w:vAlign w:val="top"/>
          </w:tcPr>
          <w:p w14:paraId="4776B5F7">
            <w:pPr>
              <w:pStyle w:val="6"/>
              <w:spacing w:before="56" w:line="228" w:lineRule="auto"/>
              <w:ind w:left="170"/>
            </w:pPr>
            <w:r>
              <w:rPr>
                <w:b/>
                <w:bCs/>
                <w:spacing w:val="5"/>
              </w:rPr>
              <w:t>与线路中</w:t>
            </w:r>
          </w:p>
          <w:p w14:paraId="2B630171">
            <w:pPr>
              <w:pStyle w:val="6"/>
              <w:spacing w:before="64" w:line="228" w:lineRule="auto"/>
              <w:ind w:left="173"/>
            </w:pPr>
            <w:r>
              <w:rPr>
                <w:b/>
                <w:bCs/>
                <w:spacing w:val="4"/>
              </w:rPr>
              <w:t>心最近直</w:t>
            </w:r>
          </w:p>
          <w:p w14:paraId="04C7F155">
            <w:pPr>
              <w:pStyle w:val="6"/>
              <w:spacing w:before="65" w:line="228" w:lineRule="auto"/>
              <w:ind w:left="274"/>
            </w:pPr>
            <w:r>
              <w:rPr>
                <w:b/>
                <w:bCs/>
                <w:spacing w:val="4"/>
              </w:rPr>
              <w:t>线距离</w:t>
            </w:r>
          </w:p>
        </w:tc>
        <w:tc>
          <w:tcPr>
            <w:tcW w:w="661" w:type="dxa"/>
            <w:tcBorders>
              <w:left w:val="single" w:color="000000" w:sz="2" w:space="0"/>
            </w:tcBorders>
            <w:shd w:val="clear" w:color="auto" w:fill="BEBEBE"/>
            <w:vAlign w:val="top"/>
          </w:tcPr>
          <w:p w14:paraId="6FBFB1FB">
            <w:pPr>
              <w:pStyle w:val="6"/>
              <w:spacing w:before="56" w:line="228" w:lineRule="auto"/>
              <w:ind w:left="132"/>
            </w:pPr>
            <w:r>
              <w:rPr>
                <w:b/>
                <w:bCs/>
                <w:spacing w:val="1"/>
              </w:rPr>
              <w:t>导线</w:t>
            </w:r>
          </w:p>
          <w:p w14:paraId="28BABB33">
            <w:pPr>
              <w:pStyle w:val="6"/>
              <w:spacing w:before="64" w:line="229" w:lineRule="auto"/>
              <w:ind w:left="125"/>
            </w:pPr>
            <w:r>
              <w:rPr>
                <w:b/>
                <w:bCs/>
                <w:spacing w:val="4"/>
              </w:rPr>
              <w:t>对地</w:t>
            </w:r>
          </w:p>
          <w:p w14:paraId="2E87529D">
            <w:pPr>
              <w:pStyle w:val="6"/>
              <w:spacing w:before="63" w:line="228" w:lineRule="auto"/>
              <w:ind w:left="132"/>
            </w:pPr>
            <w:r>
              <w:rPr>
                <w:b/>
                <w:bCs/>
                <w:spacing w:val="1"/>
              </w:rPr>
              <w:t>高度</w:t>
            </w:r>
          </w:p>
        </w:tc>
        <w:tc>
          <w:tcPr>
            <w:tcW w:w="4042" w:type="dxa"/>
            <w:shd w:val="clear" w:color="auto" w:fill="BEBEBE"/>
            <w:vAlign w:val="top"/>
          </w:tcPr>
          <w:p w14:paraId="66DDF764">
            <w:pPr>
              <w:spacing w:line="301" w:lineRule="auto"/>
              <w:rPr>
                <w:rFonts w:ascii="Arial"/>
                <w:sz w:val="21"/>
              </w:rPr>
            </w:pPr>
          </w:p>
          <w:p w14:paraId="6BF69ED3">
            <w:pPr>
              <w:pStyle w:val="6"/>
              <w:spacing w:before="65" w:line="228" w:lineRule="auto"/>
              <w:ind w:left="1607"/>
            </w:pPr>
            <w:r>
              <w:rPr>
                <w:b/>
                <w:bCs/>
                <w:spacing w:val="6"/>
              </w:rPr>
              <w:t>现状照片</w:t>
            </w:r>
          </w:p>
        </w:tc>
        <w:tc>
          <w:tcPr>
            <w:tcW w:w="1182" w:type="dxa"/>
            <w:shd w:val="clear" w:color="auto" w:fill="BEBEBE"/>
            <w:vAlign w:val="top"/>
          </w:tcPr>
          <w:p w14:paraId="782B1B73">
            <w:pPr>
              <w:spacing w:line="301" w:lineRule="auto"/>
              <w:rPr>
                <w:rFonts w:ascii="Arial"/>
                <w:sz w:val="21"/>
              </w:rPr>
            </w:pPr>
          </w:p>
          <w:p w14:paraId="5D230589">
            <w:pPr>
              <w:pStyle w:val="6"/>
              <w:spacing w:before="65" w:line="228" w:lineRule="auto"/>
              <w:ind w:left="173"/>
            </w:pPr>
            <w:r>
              <w:rPr>
                <w:b/>
                <w:bCs/>
                <w:spacing w:val="6"/>
              </w:rPr>
              <w:t>保护级别</w:t>
            </w:r>
          </w:p>
        </w:tc>
      </w:tr>
      <w:tr w14:paraId="11EDE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2" w:hRule="atLeast"/>
        </w:trPr>
        <w:tc>
          <w:tcPr>
            <w:tcW w:w="866" w:type="dxa"/>
            <w:vMerge w:val="restart"/>
            <w:tcBorders>
              <w:bottom w:val="nil"/>
              <w:right w:val="single" w:color="000000" w:sz="2" w:space="0"/>
            </w:tcBorders>
            <w:vAlign w:val="top"/>
          </w:tcPr>
          <w:p w14:paraId="27227333">
            <w:pPr>
              <w:rPr>
                <w:rFonts w:ascii="Arial"/>
                <w:sz w:val="21"/>
              </w:rPr>
            </w:pPr>
          </w:p>
        </w:tc>
        <w:tc>
          <w:tcPr>
            <w:tcW w:w="1207" w:type="dxa"/>
            <w:tcBorders>
              <w:left w:val="single" w:color="000000" w:sz="2" w:space="0"/>
            </w:tcBorders>
            <w:vAlign w:val="top"/>
          </w:tcPr>
          <w:p w14:paraId="7248B170">
            <w:pPr>
              <w:spacing w:line="244" w:lineRule="auto"/>
              <w:rPr>
                <w:rFonts w:ascii="Arial"/>
                <w:sz w:val="21"/>
              </w:rPr>
            </w:pPr>
          </w:p>
          <w:p w14:paraId="3245EA4F">
            <w:pPr>
              <w:spacing w:line="245" w:lineRule="auto"/>
              <w:rPr>
                <w:rFonts w:ascii="Arial"/>
                <w:sz w:val="21"/>
              </w:rPr>
            </w:pPr>
          </w:p>
          <w:p w14:paraId="09763AFA">
            <w:pPr>
              <w:spacing w:line="245" w:lineRule="auto"/>
              <w:rPr>
                <w:rFonts w:ascii="Arial"/>
                <w:sz w:val="21"/>
              </w:rPr>
            </w:pPr>
          </w:p>
          <w:p w14:paraId="0ABAF6A5">
            <w:pPr>
              <w:spacing w:line="245" w:lineRule="auto"/>
              <w:rPr>
                <w:rFonts w:ascii="Arial"/>
                <w:sz w:val="21"/>
              </w:rPr>
            </w:pPr>
          </w:p>
          <w:p w14:paraId="19B48ADF">
            <w:pPr>
              <w:spacing w:line="245" w:lineRule="auto"/>
              <w:rPr>
                <w:rFonts w:ascii="Arial"/>
                <w:sz w:val="21"/>
              </w:rPr>
            </w:pPr>
          </w:p>
          <w:p w14:paraId="500C4609">
            <w:pPr>
              <w:pStyle w:val="6"/>
              <w:spacing w:before="65" w:line="290" w:lineRule="auto"/>
              <w:ind w:left="290" w:right="183" w:hanging="108"/>
            </w:pPr>
            <w:r>
              <w:rPr>
                <w:spacing w:val="8"/>
              </w:rPr>
              <w:t>⑧菜地看</w:t>
            </w:r>
            <w:r>
              <w:rPr>
                <w:spacing w:val="6"/>
              </w:rPr>
              <w:t>护用房</w:t>
            </w:r>
          </w:p>
        </w:tc>
        <w:tc>
          <w:tcPr>
            <w:tcW w:w="730" w:type="dxa"/>
            <w:vAlign w:val="top"/>
          </w:tcPr>
          <w:p w14:paraId="1257A1E5">
            <w:pPr>
              <w:spacing w:line="267" w:lineRule="auto"/>
              <w:rPr>
                <w:rFonts w:ascii="Arial"/>
                <w:sz w:val="21"/>
              </w:rPr>
            </w:pPr>
          </w:p>
          <w:p w14:paraId="3D70FAF6">
            <w:pPr>
              <w:spacing w:line="267" w:lineRule="auto"/>
              <w:rPr>
                <w:rFonts w:ascii="Arial"/>
                <w:sz w:val="21"/>
              </w:rPr>
            </w:pPr>
          </w:p>
          <w:p w14:paraId="32295855">
            <w:pPr>
              <w:spacing w:line="268" w:lineRule="auto"/>
              <w:rPr>
                <w:rFonts w:ascii="Arial"/>
                <w:sz w:val="21"/>
              </w:rPr>
            </w:pPr>
          </w:p>
          <w:p w14:paraId="492B5C17">
            <w:pPr>
              <w:spacing w:line="268" w:lineRule="auto"/>
              <w:rPr>
                <w:rFonts w:ascii="Arial"/>
                <w:sz w:val="21"/>
              </w:rPr>
            </w:pPr>
          </w:p>
          <w:p w14:paraId="2579334C">
            <w:pPr>
              <w:pStyle w:val="6"/>
              <w:spacing w:before="65" w:line="289" w:lineRule="auto"/>
              <w:ind w:left="154" w:right="155"/>
              <w:jc w:val="both"/>
            </w:pPr>
            <w:r>
              <w:rPr>
                <w:spacing w:val="4"/>
              </w:rPr>
              <w:t>农用</w:t>
            </w:r>
            <w:r>
              <w:rPr>
                <w:spacing w:val="5"/>
              </w:rPr>
              <w:t>物资仓库</w:t>
            </w:r>
          </w:p>
        </w:tc>
        <w:tc>
          <w:tcPr>
            <w:tcW w:w="682" w:type="dxa"/>
            <w:vAlign w:val="top"/>
          </w:tcPr>
          <w:p w14:paraId="6D62B736">
            <w:pPr>
              <w:spacing w:line="244" w:lineRule="auto"/>
              <w:rPr>
                <w:rFonts w:ascii="Arial"/>
                <w:sz w:val="21"/>
              </w:rPr>
            </w:pPr>
          </w:p>
          <w:p w14:paraId="2E8EB87B">
            <w:pPr>
              <w:spacing w:line="245" w:lineRule="auto"/>
              <w:rPr>
                <w:rFonts w:ascii="Arial"/>
                <w:sz w:val="21"/>
              </w:rPr>
            </w:pPr>
          </w:p>
          <w:p w14:paraId="482857DF">
            <w:pPr>
              <w:spacing w:line="245" w:lineRule="auto"/>
              <w:rPr>
                <w:rFonts w:ascii="Arial"/>
                <w:sz w:val="21"/>
              </w:rPr>
            </w:pPr>
          </w:p>
          <w:p w14:paraId="1E8622EF">
            <w:pPr>
              <w:spacing w:line="245" w:lineRule="auto"/>
              <w:rPr>
                <w:rFonts w:ascii="Arial"/>
                <w:sz w:val="21"/>
              </w:rPr>
            </w:pPr>
          </w:p>
          <w:p w14:paraId="3FA3D9C7">
            <w:pPr>
              <w:spacing w:line="245" w:lineRule="auto"/>
              <w:rPr>
                <w:rFonts w:ascii="Arial"/>
                <w:sz w:val="21"/>
              </w:rPr>
            </w:pPr>
          </w:p>
          <w:p w14:paraId="2DCEBEA6">
            <w:pPr>
              <w:pStyle w:val="6"/>
              <w:spacing w:before="65" w:line="291" w:lineRule="auto"/>
              <w:ind w:left="153" w:right="158"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903" w:type="dxa"/>
            <w:vAlign w:val="top"/>
          </w:tcPr>
          <w:p w14:paraId="3641EBF8">
            <w:pPr>
              <w:spacing w:line="304" w:lineRule="auto"/>
              <w:rPr>
                <w:rFonts w:ascii="Arial"/>
                <w:sz w:val="21"/>
              </w:rPr>
            </w:pPr>
          </w:p>
          <w:p w14:paraId="49681474">
            <w:pPr>
              <w:spacing w:line="304" w:lineRule="auto"/>
              <w:rPr>
                <w:rFonts w:ascii="Arial"/>
                <w:sz w:val="21"/>
              </w:rPr>
            </w:pPr>
          </w:p>
          <w:p w14:paraId="3681CDB8">
            <w:pPr>
              <w:spacing w:line="305" w:lineRule="auto"/>
              <w:rPr>
                <w:rFonts w:ascii="Arial"/>
                <w:sz w:val="21"/>
              </w:rPr>
            </w:pPr>
          </w:p>
          <w:p w14:paraId="35F19B31">
            <w:pPr>
              <w:pStyle w:val="6"/>
              <w:spacing w:before="65" w:line="289" w:lineRule="auto"/>
              <w:ind w:left="137" w:right="134"/>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57" w:type="dxa"/>
            <w:vAlign w:val="top"/>
          </w:tcPr>
          <w:p w14:paraId="314C14E3">
            <w:pPr>
              <w:spacing w:line="304" w:lineRule="auto"/>
              <w:rPr>
                <w:rFonts w:ascii="Arial"/>
                <w:sz w:val="21"/>
              </w:rPr>
            </w:pPr>
          </w:p>
          <w:p w14:paraId="0CA23FC3">
            <w:pPr>
              <w:spacing w:line="304" w:lineRule="auto"/>
              <w:rPr>
                <w:rFonts w:ascii="Arial"/>
                <w:sz w:val="21"/>
              </w:rPr>
            </w:pPr>
          </w:p>
          <w:p w14:paraId="45BB3BAE">
            <w:pPr>
              <w:spacing w:line="305" w:lineRule="auto"/>
              <w:rPr>
                <w:rFonts w:ascii="Arial"/>
                <w:sz w:val="21"/>
              </w:rPr>
            </w:pPr>
          </w:p>
          <w:p w14:paraId="0F0A1414">
            <w:pPr>
              <w:pStyle w:val="6"/>
              <w:spacing w:before="65" w:line="289" w:lineRule="auto"/>
              <w:ind w:left="106" w:right="105" w:firstLine="1"/>
              <w:jc w:val="both"/>
              <w:rPr>
                <w:rFonts w:ascii="Times New Roman" w:hAnsi="Times New Roman" w:eastAsia="Times New Roman" w:cs="Times New Roman"/>
              </w:rPr>
            </w:pPr>
            <w:r>
              <w:rPr>
                <w:spacing w:val="5"/>
              </w:rPr>
              <w:t>双回线路（单</w:t>
            </w:r>
            <w:r>
              <w:rPr>
                <w:spacing w:val="27"/>
              </w:rPr>
              <w:t>边挂线）北</w:t>
            </w:r>
            <w:r>
              <w:rPr>
                <w:spacing w:val="-5"/>
              </w:rPr>
              <w:t>侧，</w:t>
            </w:r>
            <w:r>
              <w:rPr>
                <w:rFonts w:ascii="Times New Roman" w:hAnsi="Times New Roman" w:eastAsia="Times New Roman" w:cs="Times New Roman"/>
                <w:spacing w:val="-5"/>
              </w:rPr>
              <w:t>AZ14G</w:t>
            </w:r>
            <w:r>
              <w:rPr>
                <w:rFonts w:ascii="Times New Roman" w:hAnsi="Times New Roman" w:eastAsia="Times New Roman" w:cs="Times New Roman"/>
                <w:spacing w:val="12"/>
              </w:rPr>
              <w:t xml:space="preserve"> </w:t>
            </w:r>
            <w:r>
              <w:rPr>
                <w:spacing w:val="-5"/>
              </w:rPr>
              <w:t>塔</w:t>
            </w:r>
            <w:r>
              <w:rPr>
                <w:spacing w:val="8"/>
              </w:rPr>
              <w:t>基东侧</w:t>
            </w:r>
            <w:r>
              <w:rPr>
                <w:spacing w:val="-18"/>
              </w:rPr>
              <w:t xml:space="preserve"> </w:t>
            </w:r>
            <w:r>
              <w:rPr>
                <w:rFonts w:ascii="Times New Roman" w:hAnsi="Times New Roman" w:eastAsia="Times New Roman" w:cs="Times New Roman"/>
                <w:spacing w:val="8"/>
              </w:rPr>
              <w:t>120m</w:t>
            </w:r>
          </w:p>
        </w:tc>
        <w:tc>
          <w:tcPr>
            <w:tcW w:w="1449" w:type="dxa"/>
            <w:tcBorders>
              <w:right w:val="single" w:color="000000" w:sz="2" w:space="0"/>
            </w:tcBorders>
            <w:vAlign w:val="top"/>
          </w:tcPr>
          <w:p w14:paraId="1BEA24C9">
            <w:pPr>
              <w:spacing w:line="305" w:lineRule="auto"/>
              <w:rPr>
                <w:rFonts w:ascii="Arial"/>
                <w:sz w:val="21"/>
              </w:rPr>
            </w:pPr>
          </w:p>
          <w:p w14:paraId="74FB86D1">
            <w:pPr>
              <w:spacing w:line="305" w:lineRule="auto"/>
              <w:rPr>
                <w:rFonts w:ascii="Arial"/>
                <w:sz w:val="21"/>
              </w:rPr>
            </w:pPr>
          </w:p>
          <w:p w14:paraId="1738F0BF">
            <w:pPr>
              <w:spacing w:line="305" w:lineRule="auto"/>
              <w:rPr>
                <w:rFonts w:ascii="Arial"/>
                <w:sz w:val="21"/>
              </w:rPr>
            </w:pPr>
          </w:p>
          <w:p w14:paraId="0B816FA2">
            <w:pPr>
              <w:pStyle w:val="6"/>
              <w:spacing w:before="65" w:line="228" w:lineRule="auto"/>
              <w:ind w:left="177"/>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p>
          <w:p w14:paraId="772E4F34">
            <w:pPr>
              <w:pStyle w:val="6"/>
              <w:spacing w:before="65" w:line="228" w:lineRule="auto"/>
              <w:ind w:left="200"/>
            </w:pPr>
            <w:r>
              <w:rPr>
                <w:spacing w:val="8"/>
              </w:rPr>
              <w:t>边导线地面</w:t>
            </w:r>
          </w:p>
          <w:p w14:paraId="7452BC79">
            <w:pPr>
              <w:pStyle w:val="6"/>
              <w:spacing w:before="64" w:line="228" w:lineRule="auto"/>
              <w:ind w:left="309"/>
            </w:pPr>
            <w:r>
              <w:rPr>
                <w:spacing w:val="7"/>
              </w:rPr>
              <w:t>投影北侧</w:t>
            </w:r>
          </w:p>
          <w:p w14:paraId="6175A18C">
            <w:pPr>
              <w:spacing w:before="101" w:line="195" w:lineRule="auto"/>
              <w:ind w:left="53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29m</w:t>
            </w:r>
          </w:p>
        </w:tc>
        <w:tc>
          <w:tcPr>
            <w:tcW w:w="1163" w:type="dxa"/>
            <w:tcBorders>
              <w:left w:val="single" w:color="000000" w:sz="2" w:space="0"/>
              <w:right w:val="single" w:color="000000" w:sz="2" w:space="0"/>
            </w:tcBorders>
            <w:vAlign w:val="top"/>
          </w:tcPr>
          <w:p w14:paraId="12E032C4">
            <w:pPr>
              <w:spacing w:line="284" w:lineRule="auto"/>
              <w:rPr>
                <w:rFonts w:ascii="Arial"/>
                <w:sz w:val="21"/>
              </w:rPr>
            </w:pPr>
          </w:p>
          <w:p w14:paraId="269EB731">
            <w:pPr>
              <w:spacing w:line="284" w:lineRule="auto"/>
              <w:rPr>
                <w:rFonts w:ascii="Arial"/>
                <w:sz w:val="21"/>
              </w:rPr>
            </w:pPr>
          </w:p>
          <w:p w14:paraId="7F144195">
            <w:pPr>
              <w:spacing w:line="285" w:lineRule="auto"/>
              <w:rPr>
                <w:rFonts w:ascii="Arial"/>
                <w:sz w:val="21"/>
              </w:rPr>
            </w:pPr>
          </w:p>
          <w:p w14:paraId="040BE844">
            <w:pPr>
              <w:spacing w:line="285" w:lineRule="auto"/>
              <w:rPr>
                <w:rFonts w:ascii="Arial"/>
                <w:sz w:val="21"/>
              </w:rPr>
            </w:pPr>
          </w:p>
          <w:p w14:paraId="42C35D1F">
            <w:pPr>
              <w:spacing w:line="285" w:lineRule="auto"/>
              <w:rPr>
                <w:rFonts w:ascii="Arial"/>
                <w:sz w:val="21"/>
              </w:rPr>
            </w:pPr>
          </w:p>
          <w:p w14:paraId="50886490">
            <w:pPr>
              <w:spacing w:before="57" w:line="195" w:lineRule="auto"/>
              <w:ind w:left="40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34m</w:t>
            </w:r>
          </w:p>
        </w:tc>
        <w:tc>
          <w:tcPr>
            <w:tcW w:w="661" w:type="dxa"/>
            <w:tcBorders>
              <w:left w:val="single" w:color="000000" w:sz="2" w:space="0"/>
            </w:tcBorders>
            <w:vAlign w:val="top"/>
          </w:tcPr>
          <w:p w14:paraId="2E9CEF27">
            <w:pPr>
              <w:spacing w:line="285" w:lineRule="auto"/>
              <w:rPr>
                <w:rFonts w:ascii="Arial"/>
                <w:sz w:val="21"/>
              </w:rPr>
            </w:pPr>
          </w:p>
          <w:p w14:paraId="1C267337">
            <w:pPr>
              <w:spacing w:line="285" w:lineRule="auto"/>
              <w:rPr>
                <w:rFonts w:ascii="Arial"/>
                <w:sz w:val="21"/>
              </w:rPr>
            </w:pPr>
          </w:p>
          <w:p w14:paraId="62273743">
            <w:pPr>
              <w:spacing w:line="286" w:lineRule="auto"/>
              <w:rPr>
                <w:rFonts w:ascii="Arial"/>
                <w:sz w:val="21"/>
              </w:rPr>
            </w:pPr>
          </w:p>
          <w:p w14:paraId="25360D32">
            <w:pPr>
              <w:spacing w:line="286" w:lineRule="auto"/>
              <w:rPr>
                <w:rFonts w:ascii="Arial"/>
                <w:sz w:val="21"/>
              </w:rPr>
            </w:pPr>
          </w:p>
          <w:p w14:paraId="6818F8D4">
            <w:pPr>
              <w:spacing w:line="286" w:lineRule="auto"/>
              <w:rPr>
                <w:rFonts w:ascii="Arial"/>
                <w:sz w:val="21"/>
              </w:rPr>
            </w:pPr>
          </w:p>
          <w:p w14:paraId="4903A959">
            <w:pPr>
              <w:spacing w:before="58" w:line="192"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4042" w:type="dxa"/>
            <w:vAlign w:val="top"/>
          </w:tcPr>
          <w:p w14:paraId="78449187">
            <w:pPr>
              <w:spacing w:before="142" w:line="2834" w:lineRule="exact"/>
              <w:ind w:firstLine="129"/>
            </w:pPr>
            <w:r>
              <w:rPr>
                <w:position w:val="-56"/>
              </w:rPr>
              <w:drawing>
                <wp:inline distT="0" distB="0" distL="0" distR="0">
                  <wp:extent cx="2400300" cy="1799590"/>
                  <wp:effectExtent l="0" t="0" r="0" b="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r:embed="rId250"/>
                          <a:stretch>
                            <a:fillRect/>
                          </a:stretch>
                        </pic:blipFill>
                        <pic:spPr>
                          <a:xfrm>
                            <a:off x="0" y="0"/>
                            <a:ext cx="2400300" cy="1799844"/>
                          </a:xfrm>
                          <a:prstGeom prst="rect">
                            <a:avLst/>
                          </a:prstGeom>
                        </pic:spPr>
                      </pic:pic>
                    </a:graphicData>
                  </a:graphic>
                </wp:inline>
              </w:drawing>
            </w:r>
          </w:p>
        </w:tc>
        <w:tc>
          <w:tcPr>
            <w:tcW w:w="1182" w:type="dxa"/>
            <w:vMerge w:val="restart"/>
            <w:tcBorders>
              <w:bottom w:val="nil"/>
            </w:tcBorders>
            <w:vAlign w:val="top"/>
          </w:tcPr>
          <w:p w14:paraId="48CE22DF">
            <w:pPr>
              <w:rPr>
                <w:rFonts w:ascii="Arial"/>
                <w:sz w:val="21"/>
              </w:rPr>
            </w:pPr>
          </w:p>
        </w:tc>
      </w:tr>
      <w:tr w14:paraId="5691F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0" w:hRule="atLeast"/>
        </w:trPr>
        <w:tc>
          <w:tcPr>
            <w:tcW w:w="866" w:type="dxa"/>
            <w:vMerge w:val="continue"/>
            <w:tcBorders>
              <w:top w:val="nil"/>
              <w:bottom w:val="nil"/>
              <w:right w:val="single" w:color="000000" w:sz="2" w:space="0"/>
            </w:tcBorders>
            <w:vAlign w:val="top"/>
          </w:tcPr>
          <w:p w14:paraId="31A8D47D">
            <w:pPr>
              <w:rPr>
                <w:rFonts w:ascii="Arial"/>
                <w:sz w:val="21"/>
              </w:rPr>
            </w:pPr>
          </w:p>
        </w:tc>
        <w:tc>
          <w:tcPr>
            <w:tcW w:w="1207" w:type="dxa"/>
            <w:tcBorders>
              <w:left w:val="single" w:color="000000" w:sz="2" w:space="0"/>
            </w:tcBorders>
            <w:vAlign w:val="top"/>
          </w:tcPr>
          <w:p w14:paraId="20AB967F">
            <w:pPr>
              <w:spacing w:line="268" w:lineRule="auto"/>
              <w:rPr>
                <w:rFonts w:ascii="Arial"/>
                <w:sz w:val="21"/>
              </w:rPr>
            </w:pPr>
          </w:p>
          <w:p w14:paraId="3F60A8B6">
            <w:pPr>
              <w:spacing w:line="268" w:lineRule="auto"/>
              <w:rPr>
                <w:rFonts w:ascii="Arial"/>
                <w:sz w:val="21"/>
              </w:rPr>
            </w:pPr>
          </w:p>
          <w:p w14:paraId="3AB3A620">
            <w:pPr>
              <w:spacing w:line="268" w:lineRule="auto"/>
              <w:rPr>
                <w:rFonts w:ascii="Arial"/>
                <w:sz w:val="21"/>
              </w:rPr>
            </w:pPr>
          </w:p>
          <w:p w14:paraId="14D06DBF">
            <w:pPr>
              <w:spacing w:line="268" w:lineRule="auto"/>
              <w:rPr>
                <w:rFonts w:ascii="Arial"/>
                <w:sz w:val="21"/>
              </w:rPr>
            </w:pPr>
          </w:p>
          <w:p w14:paraId="4C8B90F1">
            <w:pPr>
              <w:pStyle w:val="6"/>
              <w:spacing w:before="65" w:line="290" w:lineRule="auto"/>
              <w:ind w:left="290" w:right="183" w:hanging="108"/>
            </w:pPr>
            <w:r>
              <w:rPr>
                <w:spacing w:val="8"/>
              </w:rPr>
              <w:t>⑨菜地看</w:t>
            </w:r>
            <w:r>
              <w:rPr>
                <w:spacing w:val="6"/>
              </w:rPr>
              <w:t>护用房</w:t>
            </w:r>
          </w:p>
        </w:tc>
        <w:tc>
          <w:tcPr>
            <w:tcW w:w="730" w:type="dxa"/>
            <w:vAlign w:val="top"/>
          </w:tcPr>
          <w:p w14:paraId="644AF455">
            <w:pPr>
              <w:spacing w:line="302" w:lineRule="auto"/>
              <w:rPr>
                <w:rFonts w:ascii="Arial"/>
                <w:sz w:val="21"/>
              </w:rPr>
            </w:pPr>
          </w:p>
          <w:p w14:paraId="402DCAF2">
            <w:pPr>
              <w:spacing w:line="303" w:lineRule="auto"/>
              <w:rPr>
                <w:rFonts w:ascii="Arial"/>
                <w:sz w:val="21"/>
              </w:rPr>
            </w:pPr>
          </w:p>
          <w:p w14:paraId="1D20B79D">
            <w:pPr>
              <w:pStyle w:val="6"/>
              <w:spacing w:before="65" w:line="289" w:lineRule="auto"/>
              <w:ind w:left="154" w:right="155" w:firstLine="2"/>
              <w:jc w:val="both"/>
            </w:pPr>
            <w:r>
              <w:rPr>
                <w:spacing w:val="3"/>
              </w:rPr>
              <w:t>居住</w:t>
            </w:r>
            <w:r>
              <w:rPr>
                <w:spacing w:val="5"/>
              </w:rPr>
              <w:t>及农用物资仓</w:t>
            </w:r>
            <w:r>
              <w:rPr>
                <w:spacing w:val="34"/>
                <w:w w:val="135"/>
              </w:rPr>
              <w:t>库</w:t>
            </w:r>
          </w:p>
        </w:tc>
        <w:tc>
          <w:tcPr>
            <w:tcW w:w="682" w:type="dxa"/>
            <w:vAlign w:val="top"/>
          </w:tcPr>
          <w:p w14:paraId="7E443220">
            <w:pPr>
              <w:spacing w:line="268" w:lineRule="auto"/>
              <w:rPr>
                <w:rFonts w:ascii="Arial"/>
                <w:sz w:val="21"/>
              </w:rPr>
            </w:pPr>
          </w:p>
          <w:p w14:paraId="21A79766">
            <w:pPr>
              <w:spacing w:line="268" w:lineRule="auto"/>
              <w:rPr>
                <w:rFonts w:ascii="Arial"/>
                <w:sz w:val="21"/>
              </w:rPr>
            </w:pPr>
          </w:p>
          <w:p w14:paraId="307AE2BD">
            <w:pPr>
              <w:spacing w:line="268" w:lineRule="auto"/>
              <w:rPr>
                <w:rFonts w:ascii="Arial"/>
                <w:sz w:val="21"/>
              </w:rPr>
            </w:pPr>
          </w:p>
          <w:p w14:paraId="746DA3D8">
            <w:pPr>
              <w:spacing w:line="268" w:lineRule="auto"/>
              <w:rPr>
                <w:rFonts w:ascii="Arial"/>
                <w:sz w:val="21"/>
              </w:rPr>
            </w:pPr>
          </w:p>
          <w:p w14:paraId="7440DEFA">
            <w:pPr>
              <w:pStyle w:val="6"/>
              <w:spacing w:before="65" w:line="291" w:lineRule="auto"/>
              <w:ind w:left="153" w:right="158"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903" w:type="dxa"/>
            <w:vAlign w:val="top"/>
          </w:tcPr>
          <w:p w14:paraId="5BCCCFED">
            <w:pPr>
              <w:spacing w:line="253" w:lineRule="auto"/>
              <w:rPr>
                <w:rFonts w:ascii="Arial"/>
                <w:sz w:val="21"/>
              </w:rPr>
            </w:pPr>
          </w:p>
          <w:p w14:paraId="5DC316F2">
            <w:pPr>
              <w:spacing w:line="254" w:lineRule="auto"/>
              <w:rPr>
                <w:rFonts w:ascii="Arial"/>
                <w:sz w:val="21"/>
              </w:rPr>
            </w:pPr>
          </w:p>
          <w:p w14:paraId="3052E5B5">
            <w:pPr>
              <w:spacing w:line="254" w:lineRule="auto"/>
              <w:rPr>
                <w:rFonts w:ascii="Arial"/>
                <w:sz w:val="21"/>
              </w:rPr>
            </w:pPr>
          </w:p>
          <w:p w14:paraId="22BC7AB7">
            <w:pPr>
              <w:pStyle w:val="6"/>
              <w:spacing w:before="65" w:line="289" w:lineRule="auto"/>
              <w:ind w:left="137" w:right="134"/>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57" w:type="dxa"/>
            <w:vAlign w:val="top"/>
          </w:tcPr>
          <w:p w14:paraId="06B5E796">
            <w:pPr>
              <w:spacing w:line="253" w:lineRule="auto"/>
              <w:rPr>
                <w:rFonts w:ascii="Arial"/>
                <w:sz w:val="21"/>
              </w:rPr>
            </w:pPr>
          </w:p>
          <w:p w14:paraId="3D326796">
            <w:pPr>
              <w:spacing w:line="254" w:lineRule="auto"/>
              <w:rPr>
                <w:rFonts w:ascii="Arial"/>
                <w:sz w:val="21"/>
              </w:rPr>
            </w:pPr>
          </w:p>
          <w:p w14:paraId="26BF87A7">
            <w:pPr>
              <w:spacing w:line="254" w:lineRule="auto"/>
              <w:rPr>
                <w:rFonts w:ascii="Arial"/>
                <w:sz w:val="21"/>
              </w:rPr>
            </w:pPr>
          </w:p>
          <w:p w14:paraId="5F6F0C69">
            <w:pPr>
              <w:pStyle w:val="6"/>
              <w:spacing w:before="65" w:line="289" w:lineRule="auto"/>
              <w:ind w:left="106" w:right="105" w:firstLine="1"/>
              <w:jc w:val="both"/>
              <w:rPr>
                <w:rFonts w:ascii="Times New Roman" w:hAnsi="Times New Roman" w:eastAsia="Times New Roman" w:cs="Times New Roman"/>
              </w:rPr>
            </w:pPr>
            <w:r>
              <w:rPr>
                <w:spacing w:val="5"/>
              </w:rPr>
              <w:t>双回线路（单</w:t>
            </w:r>
            <w:r>
              <w:rPr>
                <w:spacing w:val="27"/>
              </w:rPr>
              <w:t>边挂线）南</w:t>
            </w:r>
            <w:r>
              <w:rPr>
                <w:spacing w:val="-5"/>
              </w:rPr>
              <w:t>侧，</w:t>
            </w:r>
            <w:r>
              <w:rPr>
                <w:rFonts w:ascii="Times New Roman" w:hAnsi="Times New Roman" w:eastAsia="Times New Roman" w:cs="Times New Roman"/>
                <w:spacing w:val="-5"/>
              </w:rPr>
              <w:t>AZ14G</w:t>
            </w:r>
            <w:r>
              <w:rPr>
                <w:rFonts w:ascii="Times New Roman" w:hAnsi="Times New Roman" w:eastAsia="Times New Roman" w:cs="Times New Roman"/>
                <w:spacing w:val="12"/>
              </w:rPr>
              <w:t xml:space="preserve"> </w:t>
            </w:r>
            <w:r>
              <w:rPr>
                <w:spacing w:val="-5"/>
              </w:rPr>
              <w:t>塔</w:t>
            </w:r>
            <w:r>
              <w:rPr>
                <w:spacing w:val="21"/>
              </w:rPr>
              <w:t>基西侧</w:t>
            </w:r>
            <w:r>
              <w:rPr>
                <w:spacing w:val="-41"/>
              </w:rPr>
              <w:t xml:space="preserve"> </w:t>
            </w:r>
            <w:r>
              <w:rPr>
                <w:rFonts w:ascii="Times New Roman" w:hAnsi="Times New Roman" w:eastAsia="Times New Roman" w:cs="Times New Roman"/>
                <w:spacing w:val="21"/>
              </w:rPr>
              <w:t>25m</w:t>
            </w:r>
          </w:p>
        </w:tc>
        <w:tc>
          <w:tcPr>
            <w:tcW w:w="1449" w:type="dxa"/>
            <w:tcBorders>
              <w:right w:val="single" w:color="000000" w:sz="2" w:space="0"/>
            </w:tcBorders>
            <w:vAlign w:val="top"/>
          </w:tcPr>
          <w:p w14:paraId="7B578B92">
            <w:pPr>
              <w:spacing w:line="305" w:lineRule="auto"/>
              <w:rPr>
                <w:rFonts w:ascii="Arial"/>
                <w:sz w:val="21"/>
              </w:rPr>
            </w:pPr>
          </w:p>
          <w:p w14:paraId="261E847F">
            <w:pPr>
              <w:spacing w:line="306" w:lineRule="auto"/>
              <w:rPr>
                <w:rFonts w:ascii="Arial"/>
                <w:sz w:val="21"/>
              </w:rPr>
            </w:pPr>
          </w:p>
          <w:p w14:paraId="2B817AD0">
            <w:pPr>
              <w:spacing w:line="306" w:lineRule="auto"/>
              <w:rPr>
                <w:rFonts w:ascii="Arial"/>
                <w:sz w:val="21"/>
              </w:rPr>
            </w:pPr>
          </w:p>
          <w:p w14:paraId="5F55916B">
            <w:pPr>
              <w:pStyle w:val="6"/>
              <w:spacing w:before="65" w:line="289" w:lineRule="auto"/>
              <w:ind w:left="112" w:right="106" w:firstLine="64"/>
              <w:jc w:val="both"/>
              <w:rPr>
                <w:rFonts w:ascii="Times New Roman" w:hAnsi="Times New Roman" w:eastAsia="Times New Roman" w:cs="Times New Roman"/>
              </w:rPr>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r>
              <w:rPr>
                <w:spacing w:val="25"/>
              </w:rPr>
              <w:t>边导线地面</w:t>
            </w:r>
            <w:r>
              <w:rPr>
                <w:spacing w:val="1"/>
              </w:rPr>
              <w:t>投影南侧</w:t>
            </w:r>
            <w:r>
              <w:rPr>
                <w:spacing w:val="-42"/>
              </w:rPr>
              <w:t xml:space="preserve"> </w:t>
            </w:r>
            <w:r>
              <w:rPr>
                <w:rFonts w:ascii="Times New Roman" w:hAnsi="Times New Roman" w:eastAsia="Times New Roman" w:cs="Times New Roman"/>
                <w:spacing w:val="1"/>
              </w:rPr>
              <w:t>11m</w:t>
            </w:r>
          </w:p>
        </w:tc>
        <w:tc>
          <w:tcPr>
            <w:tcW w:w="1163" w:type="dxa"/>
            <w:tcBorders>
              <w:left w:val="single" w:color="000000" w:sz="2" w:space="0"/>
              <w:right w:val="single" w:color="000000" w:sz="2" w:space="0"/>
            </w:tcBorders>
            <w:vAlign w:val="top"/>
          </w:tcPr>
          <w:p w14:paraId="0A9786F3">
            <w:pPr>
              <w:spacing w:line="254" w:lineRule="auto"/>
              <w:rPr>
                <w:rFonts w:ascii="Arial"/>
                <w:sz w:val="21"/>
              </w:rPr>
            </w:pPr>
          </w:p>
          <w:p w14:paraId="04909FD9">
            <w:pPr>
              <w:spacing w:line="254" w:lineRule="auto"/>
              <w:rPr>
                <w:rFonts w:ascii="Arial"/>
                <w:sz w:val="21"/>
              </w:rPr>
            </w:pPr>
          </w:p>
          <w:p w14:paraId="7E0D5F9D">
            <w:pPr>
              <w:spacing w:line="254" w:lineRule="auto"/>
              <w:rPr>
                <w:rFonts w:ascii="Arial"/>
                <w:sz w:val="21"/>
              </w:rPr>
            </w:pPr>
          </w:p>
          <w:p w14:paraId="6ED70048">
            <w:pPr>
              <w:spacing w:line="254" w:lineRule="auto"/>
              <w:rPr>
                <w:rFonts w:ascii="Arial"/>
                <w:sz w:val="21"/>
              </w:rPr>
            </w:pPr>
          </w:p>
          <w:p w14:paraId="3B4B7EA9">
            <w:pPr>
              <w:spacing w:line="254" w:lineRule="auto"/>
              <w:rPr>
                <w:rFonts w:ascii="Arial"/>
                <w:sz w:val="21"/>
              </w:rPr>
            </w:pPr>
          </w:p>
          <w:p w14:paraId="49EE1F33">
            <w:pPr>
              <w:spacing w:before="58" w:line="195" w:lineRule="auto"/>
              <w:ind w:left="41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16m</w:t>
            </w:r>
          </w:p>
        </w:tc>
        <w:tc>
          <w:tcPr>
            <w:tcW w:w="661" w:type="dxa"/>
            <w:tcBorders>
              <w:left w:val="single" w:color="000000" w:sz="2" w:space="0"/>
            </w:tcBorders>
            <w:vAlign w:val="top"/>
          </w:tcPr>
          <w:p w14:paraId="49FF71E8">
            <w:pPr>
              <w:spacing w:line="255" w:lineRule="auto"/>
              <w:rPr>
                <w:rFonts w:ascii="Arial"/>
                <w:sz w:val="21"/>
              </w:rPr>
            </w:pPr>
          </w:p>
          <w:p w14:paraId="73C239B8">
            <w:pPr>
              <w:spacing w:line="255" w:lineRule="auto"/>
              <w:rPr>
                <w:rFonts w:ascii="Arial"/>
                <w:sz w:val="21"/>
              </w:rPr>
            </w:pPr>
          </w:p>
          <w:p w14:paraId="74A349AC">
            <w:pPr>
              <w:spacing w:line="255" w:lineRule="auto"/>
              <w:rPr>
                <w:rFonts w:ascii="Arial"/>
                <w:sz w:val="21"/>
              </w:rPr>
            </w:pPr>
          </w:p>
          <w:p w14:paraId="5489CFA8">
            <w:pPr>
              <w:spacing w:line="255" w:lineRule="auto"/>
              <w:rPr>
                <w:rFonts w:ascii="Arial"/>
                <w:sz w:val="21"/>
              </w:rPr>
            </w:pPr>
          </w:p>
          <w:p w14:paraId="629E6970">
            <w:pPr>
              <w:spacing w:line="256" w:lineRule="auto"/>
              <w:rPr>
                <w:rFonts w:ascii="Arial"/>
                <w:sz w:val="21"/>
              </w:rPr>
            </w:pPr>
          </w:p>
          <w:p w14:paraId="7C22F864">
            <w:pPr>
              <w:spacing w:before="57" w:line="192"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4042" w:type="dxa"/>
            <w:vAlign w:val="top"/>
          </w:tcPr>
          <w:p w14:paraId="4C47939E">
            <w:pPr>
              <w:spacing w:before="45" w:line="2722" w:lineRule="exact"/>
              <w:ind w:firstLine="203"/>
            </w:pPr>
            <w:r>
              <w:rPr>
                <w:position w:val="-54"/>
              </w:rPr>
              <w:drawing>
                <wp:inline distT="0" distB="0" distL="0" distR="0">
                  <wp:extent cx="2303780" cy="1727835"/>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251"/>
                          <a:stretch>
                            <a:fillRect/>
                          </a:stretch>
                        </pic:blipFill>
                        <pic:spPr>
                          <a:xfrm>
                            <a:off x="0" y="0"/>
                            <a:ext cx="2304288" cy="1728216"/>
                          </a:xfrm>
                          <a:prstGeom prst="rect">
                            <a:avLst/>
                          </a:prstGeom>
                        </pic:spPr>
                      </pic:pic>
                    </a:graphicData>
                  </a:graphic>
                </wp:inline>
              </w:drawing>
            </w:r>
          </w:p>
        </w:tc>
        <w:tc>
          <w:tcPr>
            <w:tcW w:w="1182" w:type="dxa"/>
            <w:vMerge w:val="continue"/>
            <w:tcBorders>
              <w:top w:val="nil"/>
              <w:bottom w:val="nil"/>
            </w:tcBorders>
            <w:vAlign w:val="top"/>
          </w:tcPr>
          <w:p w14:paraId="34BAA45D">
            <w:pPr>
              <w:rPr>
                <w:rFonts w:ascii="Arial"/>
                <w:sz w:val="21"/>
              </w:rPr>
            </w:pPr>
          </w:p>
        </w:tc>
      </w:tr>
      <w:tr w14:paraId="406F1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5" w:hRule="atLeast"/>
        </w:trPr>
        <w:tc>
          <w:tcPr>
            <w:tcW w:w="866" w:type="dxa"/>
            <w:vMerge w:val="continue"/>
            <w:tcBorders>
              <w:top w:val="nil"/>
              <w:right w:val="single" w:color="000000" w:sz="2" w:space="0"/>
            </w:tcBorders>
            <w:vAlign w:val="top"/>
          </w:tcPr>
          <w:p w14:paraId="43C348BF">
            <w:pPr>
              <w:rPr>
                <w:rFonts w:ascii="Arial"/>
                <w:sz w:val="21"/>
              </w:rPr>
            </w:pPr>
          </w:p>
        </w:tc>
        <w:tc>
          <w:tcPr>
            <w:tcW w:w="1207" w:type="dxa"/>
            <w:tcBorders>
              <w:left w:val="single" w:color="000000" w:sz="2" w:space="0"/>
            </w:tcBorders>
            <w:vAlign w:val="top"/>
          </w:tcPr>
          <w:p w14:paraId="532ADBDC">
            <w:pPr>
              <w:spacing w:line="269" w:lineRule="auto"/>
              <w:rPr>
                <w:rFonts w:ascii="Arial"/>
                <w:sz w:val="21"/>
              </w:rPr>
            </w:pPr>
          </w:p>
          <w:p w14:paraId="5ECFB7B5">
            <w:pPr>
              <w:spacing w:line="269" w:lineRule="auto"/>
              <w:rPr>
                <w:rFonts w:ascii="Arial"/>
                <w:sz w:val="21"/>
              </w:rPr>
            </w:pPr>
          </w:p>
          <w:p w14:paraId="1726FE4A">
            <w:pPr>
              <w:spacing w:line="269" w:lineRule="auto"/>
              <w:rPr>
                <w:rFonts w:ascii="Arial"/>
                <w:sz w:val="21"/>
              </w:rPr>
            </w:pPr>
          </w:p>
          <w:p w14:paraId="4443D59C">
            <w:pPr>
              <w:spacing w:line="269" w:lineRule="auto"/>
              <w:rPr>
                <w:rFonts w:ascii="Arial"/>
                <w:sz w:val="21"/>
              </w:rPr>
            </w:pPr>
          </w:p>
          <w:p w14:paraId="7F8978BB">
            <w:pPr>
              <w:pStyle w:val="6"/>
              <w:spacing w:before="65" w:line="290" w:lineRule="auto"/>
              <w:ind w:left="290" w:right="183" w:hanging="108"/>
            </w:pPr>
            <w:r>
              <w:rPr>
                <w:spacing w:val="8"/>
              </w:rPr>
              <w:t>⑩新华村</w:t>
            </w:r>
            <w:r>
              <w:rPr>
                <w:spacing w:val="6"/>
              </w:rPr>
              <w:t>居民点</w:t>
            </w:r>
          </w:p>
        </w:tc>
        <w:tc>
          <w:tcPr>
            <w:tcW w:w="730" w:type="dxa"/>
            <w:vAlign w:val="top"/>
          </w:tcPr>
          <w:p w14:paraId="13271194">
            <w:pPr>
              <w:spacing w:line="246" w:lineRule="auto"/>
              <w:rPr>
                <w:rFonts w:ascii="Arial"/>
                <w:sz w:val="21"/>
              </w:rPr>
            </w:pPr>
          </w:p>
          <w:p w14:paraId="7C971407">
            <w:pPr>
              <w:spacing w:line="246" w:lineRule="auto"/>
              <w:rPr>
                <w:rFonts w:ascii="Arial"/>
                <w:sz w:val="21"/>
              </w:rPr>
            </w:pPr>
          </w:p>
          <w:p w14:paraId="0401107B">
            <w:pPr>
              <w:spacing w:line="246" w:lineRule="auto"/>
              <w:rPr>
                <w:rFonts w:ascii="Arial"/>
                <w:sz w:val="21"/>
              </w:rPr>
            </w:pPr>
          </w:p>
          <w:p w14:paraId="4F8E849A">
            <w:pPr>
              <w:spacing w:line="247" w:lineRule="auto"/>
              <w:rPr>
                <w:rFonts w:ascii="Arial"/>
                <w:sz w:val="21"/>
              </w:rPr>
            </w:pPr>
          </w:p>
          <w:p w14:paraId="1C2A505D">
            <w:pPr>
              <w:spacing w:line="247" w:lineRule="auto"/>
              <w:rPr>
                <w:rFonts w:ascii="Arial"/>
                <w:sz w:val="21"/>
              </w:rPr>
            </w:pPr>
          </w:p>
          <w:p w14:paraId="15D4556E">
            <w:pPr>
              <w:pStyle w:val="6"/>
              <w:spacing w:before="65" w:line="228" w:lineRule="auto"/>
              <w:ind w:left="156"/>
            </w:pPr>
            <w:r>
              <w:rPr>
                <w:spacing w:val="3"/>
              </w:rPr>
              <w:t>居住</w:t>
            </w:r>
          </w:p>
        </w:tc>
        <w:tc>
          <w:tcPr>
            <w:tcW w:w="682" w:type="dxa"/>
            <w:vAlign w:val="top"/>
          </w:tcPr>
          <w:p w14:paraId="1A2E3EFC">
            <w:pPr>
              <w:spacing w:line="269" w:lineRule="auto"/>
              <w:rPr>
                <w:rFonts w:ascii="Arial"/>
                <w:sz w:val="21"/>
              </w:rPr>
            </w:pPr>
          </w:p>
          <w:p w14:paraId="2739F7E2">
            <w:pPr>
              <w:spacing w:line="269" w:lineRule="auto"/>
              <w:rPr>
                <w:rFonts w:ascii="Arial"/>
                <w:sz w:val="21"/>
              </w:rPr>
            </w:pPr>
          </w:p>
          <w:p w14:paraId="355A76B4">
            <w:pPr>
              <w:spacing w:line="269" w:lineRule="auto"/>
              <w:rPr>
                <w:rFonts w:ascii="Arial"/>
                <w:sz w:val="21"/>
              </w:rPr>
            </w:pPr>
          </w:p>
          <w:p w14:paraId="3BD0E922">
            <w:pPr>
              <w:spacing w:line="270" w:lineRule="auto"/>
              <w:rPr>
                <w:rFonts w:ascii="Arial"/>
                <w:sz w:val="21"/>
              </w:rPr>
            </w:pPr>
          </w:p>
          <w:p w14:paraId="1A65F158">
            <w:pPr>
              <w:pStyle w:val="6"/>
              <w:spacing w:before="65" w:line="291" w:lineRule="auto"/>
              <w:ind w:left="152" w:right="158" w:firstLine="21"/>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rPr>
              <w:t>4</w:t>
            </w:r>
            <w:r>
              <w:rPr>
                <w:rFonts w:ascii="Times New Roman" w:hAnsi="Times New Roman" w:eastAsia="Times New Roman" w:cs="Times New Roman"/>
                <w:spacing w:val="11"/>
              </w:rPr>
              <w:t xml:space="preserve"> </w:t>
            </w:r>
            <w:r>
              <w:t>人</w:t>
            </w:r>
          </w:p>
        </w:tc>
        <w:tc>
          <w:tcPr>
            <w:tcW w:w="903" w:type="dxa"/>
            <w:vAlign w:val="top"/>
          </w:tcPr>
          <w:p w14:paraId="13057F87">
            <w:pPr>
              <w:spacing w:line="255" w:lineRule="auto"/>
              <w:rPr>
                <w:rFonts w:ascii="Arial"/>
                <w:sz w:val="21"/>
              </w:rPr>
            </w:pPr>
          </w:p>
          <w:p w14:paraId="30AA26FB">
            <w:pPr>
              <w:spacing w:line="255" w:lineRule="auto"/>
              <w:rPr>
                <w:rFonts w:ascii="Arial"/>
                <w:sz w:val="21"/>
              </w:rPr>
            </w:pPr>
          </w:p>
          <w:p w14:paraId="1A0A6CDB">
            <w:pPr>
              <w:spacing w:line="256" w:lineRule="auto"/>
              <w:rPr>
                <w:rFonts w:ascii="Arial"/>
                <w:sz w:val="21"/>
              </w:rPr>
            </w:pPr>
          </w:p>
          <w:p w14:paraId="50E3C94A">
            <w:pPr>
              <w:pStyle w:val="6"/>
              <w:spacing w:before="65" w:line="289" w:lineRule="auto"/>
              <w:ind w:left="137" w:right="134"/>
              <w:jc w:val="both"/>
            </w:pPr>
            <w:r>
              <w:rPr>
                <w:spacing w:val="6"/>
              </w:rPr>
              <w:t>砖混结</w:t>
            </w:r>
            <w:r>
              <w:rPr>
                <w:spacing w:val="23"/>
              </w:rPr>
              <w:t>构，</w:t>
            </w:r>
            <w:r>
              <w:rPr>
                <w:rFonts w:ascii="Times New Roman" w:hAnsi="Times New Roman" w:eastAsia="Times New Roman" w:cs="Times New Roman"/>
                <w:spacing w:val="23"/>
              </w:rPr>
              <w:t>3</w:t>
            </w:r>
            <w:r>
              <w:rPr>
                <w:spacing w:val="6"/>
              </w:rPr>
              <w:t>层（斜</w:t>
            </w:r>
            <w:r>
              <w:rPr>
                <w:spacing w:val="37"/>
                <w:w w:val="108"/>
              </w:rPr>
              <w:t>顶）</w:t>
            </w:r>
          </w:p>
        </w:tc>
        <w:tc>
          <w:tcPr>
            <w:tcW w:w="1457" w:type="dxa"/>
            <w:vAlign w:val="top"/>
          </w:tcPr>
          <w:p w14:paraId="045649AF">
            <w:pPr>
              <w:spacing w:line="305" w:lineRule="auto"/>
              <w:rPr>
                <w:rFonts w:ascii="Arial"/>
                <w:sz w:val="21"/>
              </w:rPr>
            </w:pPr>
          </w:p>
          <w:p w14:paraId="3677B654">
            <w:pPr>
              <w:spacing w:line="306" w:lineRule="auto"/>
              <w:rPr>
                <w:rFonts w:ascii="Arial"/>
                <w:sz w:val="21"/>
              </w:rPr>
            </w:pPr>
          </w:p>
          <w:p w14:paraId="2C522408">
            <w:pPr>
              <w:pStyle w:val="6"/>
              <w:spacing w:before="65" w:line="228" w:lineRule="auto"/>
              <w:ind w:left="108"/>
            </w:pPr>
            <w:r>
              <w:rPr>
                <w:spacing w:val="5"/>
              </w:rPr>
              <w:t>双回线路（单</w:t>
            </w:r>
          </w:p>
          <w:p w14:paraId="2ABD7326">
            <w:pPr>
              <w:pStyle w:val="6"/>
              <w:spacing w:before="65" w:line="228" w:lineRule="auto"/>
              <w:ind w:left="203"/>
            </w:pPr>
            <w:r>
              <w:rPr>
                <w:spacing w:val="9"/>
              </w:rPr>
              <w:t>边挂线）东</w:t>
            </w:r>
          </w:p>
          <w:p w14:paraId="735BDF5D">
            <w:pPr>
              <w:pStyle w:val="6"/>
              <w:spacing w:before="65" w:line="228" w:lineRule="auto"/>
              <w:ind w:left="106"/>
              <w:rPr>
                <w:rFonts w:ascii="Times New Roman" w:hAnsi="Times New Roman" w:eastAsia="Times New Roman" w:cs="Times New Roman"/>
              </w:rPr>
            </w:pPr>
            <w:r>
              <w:rPr>
                <w:spacing w:val="13"/>
              </w:rPr>
              <w:t>侧，</w:t>
            </w:r>
            <w:r>
              <w:rPr>
                <w:rFonts w:ascii="Times New Roman" w:hAnsi="Times New Roman" w:eastAsia="Times New Roman" w:cs="Times New Roman"/>
              </w:rPr>
              <w:t>AZ</w:t>
            </w:r>
            <w:r>
              <w:rPr>
                <w:rFonts w:ascii="Times New Roman" w:hAnsi="Times New Roman" w:eastAsia="Times New Roman" w:cs="Times New Roman"/>
                <w:spacing w:val="13"/>
              </w:rPr>
              <w:t>15</w:t>
            </w:r>
            <w:r>
              <w:rPr>
                <w:rFonts w:ascii="Times New Roman" w:hAnsi="Times New Roman" w:eastAsia="Times New Roman" w:cs="Times New Roman"/>
              </w:rPr>
              <w:t>GG</w:t>
            </w:r>
          </w:p>
          <w:p w14:paraId="20E55A40">
            <w:pPr>
              <w:pStyle w:val="6"/>
              <w:spacing w:before="65" w:line="228" w:lineRule="auto"/>
              <w:ind w:left="204"/>
            </w:pPr>
            <w:r>
              <w:rPr>
                <w:spacing w:val="8"/>
              </w:rPr>
              <w:t>塔基东南侧</w:t>
            </w:r>
          </w:p>
          <w:p w14:paraId="54FCDC84">
            <w:pPr>
              <w:spacing w:before="101" w:line="195" w:lineRule="auto"/>
              <w:ind w:left="50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120m</w:t>
            </w:r>
          </w:p>
        </w:tc>
        <w:tc>
          <w:tcPr>
            <w:tcW w:w="1449" w:type="dxa"/>
            <w:tcBorders>
              <w:right w:val="single" w:color="000000" w:sz="2" w:space="0"/>
            </w:tcBorders>
            <w:vAlign w:val="top"/>
          </w:tcPr>
          <w:p w14:paraId="6B90277E">
            <w:pPr>
              <w:spacing w:line="255" w:lineRule="auto"/>
              <w:rPr>
                <w:rFonts w:ascii="Arial"/>
                <w:sz w:val="21"/>
              </w:rPr>
            </w:pPr>
          </w:p>
          <w:p w14:paraId="70D80832">
            <w:pPr>
              <w:spacing w:line="256" w:lineRule="auto"/>
              <w:rPr>
                <w:rFonts w:ascii="Arial"/>
                <w:sz w:val="21"/>
              </w:rPr>
            </w:pPr>
          </w:p>
          <w:p w14:paraId="2998086D">
            <w:pPr>
              <w:spacing w:line="256" w:lineRule="auto"/>
              <w:rPr>
                <w:rFonts w:ascii="Arial"/>
                <w:sz w:val="21"/>
              </w:rPr>
            </w:pPr>
          </w:p>
          <w:p w14:paraId="052760A8">
            <w:pPr>
              <w:pStyle w:val="6"/>
              <w:spacing w:before="65" w:line="228" w:lineRule="auto"/>
              <w:ind w:left="177"/>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p>
          <w:p w14:paraId="0E772657">
            <w:pPr>
              <w:pStyle w:val="6"/>
              <w:spacing w:before="65" w:line="228" w:lineRule="auto"/>
              <w:ind w:left="200"/>
            </w:pPr>
            <w:r>
              <w:rPr>
                <w:spacing w:val="8"/>
              </w:rPr>
              <w:t>边导线地面</w:t>
            </w:r>
          </w:p>
          <w:p w14:paraId="02C986DD">
            <w:pPr>
              <w:pStyle w:val="6"/>
              <w:spacing w:before="64" w:line="228" w:lineRule="auto"/>
              <w:ind w:left="309"/>
            </w:pPr>
            <w:r>
              <w:rPr>
                <w:spacing w:val="7"/>
              </w:rPr>
              <w:t>投影东侧</w:t>
            </w:r>
          </w:p>
          <w:p w14:paraId="7231B0E3">
            <w:pPr>
              <w:spacing w:before="101" w:line="195" w:lineRule="auto"/>
              <w:ind w:left="53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29m</w:t>
            </w:r>
          </w:p>
        </w:tc>
        <w:tc>
          <w:tcPr>
            <w:tcW w:w="1163" w:type="dxa"/>
            <w:tcBorders>
              <w:left w:val="single" w:color="000000" w:sz="2" w:space="0"/>
              <w:right w:val="single" w:color="000000" w:sz="2" w:space="0"/>
            </w:tcBorders>
            <w:vAlign w:val="top"/>
          </w:tcPr>
          <w:p w14:paraId="683BCE45">
            <w:pPr>
              <w:spacing w:line="255" w:lineRule="auto"/>
              <w:rPr>
                <w:rFonts w:ascii="Arial"/>
                <w:sz w:val="21"/>
              </w:rPr>
            </w:pPr>
          </w:p>
          <w:p w14:paraId="732C3BDB">
            <w:pPr>
              <w:spacing w:line="255" w:lineRule="auto"/>
              <w:rPr>
                <w:rFonts w:ascii="Arial"/>
                <w:sz w:val="21"/>
              </w:rPr>
            </w:pPr>
          </w:p>
          <w:p w14:paraId="0029FA68">
            <w:pPr>
              <w:spacing w:line="255" w:lineRule="auto"/>
              <w:rPr>
                <w:rFonts w:ascii="Arial"/>
                <w:sz w:val="21"/>
              </w:rPr>
            </w:pPr>
          </w:p>
          <w:p w14:paraId="6BB658FE">
            <w:pPr>
              <w:spacing w:line="255" w:lineRule="auto"/>
              <w:rPr>
                <w:rFonts w:ascii="Arial"/>
                <w:sz w:val="21"/>
              </w:rPr>
            </w:pPr>
          </w:p>
          <w:p w14:paraId="3E09768A">
            <w:pPr>
              <w:spacing w:line="255" w:lineRule="auto"/>
              <w:rPr>
                <w:rFonts w:ascii="Arial"/>
                <w:sz w:val="21"/>
              </w:rPr>
            </w:pPr>
          </w:p>
          <w:p w14:paraId="253CD569">
            <w:pPr>
              <w:spacing w:before="58" w:line="195" w:lineRule="auto"/>
              <w:ind w:left="40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34m</w:t>
            </w:r>
          </w:p>
        </w:tc>
        <w:tc>
          <w:tcPr>
            <w:tcW w:w="661" w:type="dxa"/>
            <w:tcBorders>
              <w:left w:val="single" w:color="000000" w:sz="2" w:space="0"/>
            </w:tcBorders>
            <w:vAlign w:val="top"/>
          </w:tcPr>
          <w:p w14:paraId="078A43B2">
            <w:pPr>
              <w:spacing w:line="255" w:lineRule="auto"/>
              <w:rPr>
                <w:rFonts w:ascii="Arial"/>
                <w:sz w:val="21"/>
              </w:rPr>
            </w:pPr>
          </w:p>
          <w:p w14:paraId="6A5E9AB5">
            <w:pPr>
              <w:spacing w:line="255" w:lineRule="auto"/>
              <w:rPr>
                <w:rFonts w:ascii="Arial"/>
                <w:sz w:val="21"/>
              </w:rPr>
            </w:pPr>
          </w:p>
          <w:p w14:paraId="50F50BC5">
            <w:pPr>
              <w:spacing w:line="256" w:lineRule="auto"/>
              <w:rPr>
                <w:rFonts w:ascii="Arial"/>
                <w:sz w:val="21"/>
              </w:rPr>
            </w:pPr>
          </w:p>
          <w:p w14:paraId="356E8D4E">
            <w:pPr>
              <w:spacing w:line="256" w:lineRule="auto"/>
              <w:rPr>
                <w:rFonts w:ascii="Arial"/>
                <w:sz w:val="21"/>
              </w:rPr>
            </w:pPr>
          </w:p>
          <w:p w14:paraId="19220CF7">
            <w:pPr>
              <w:spacing w:line="256" w:lineRule="auto"/>
              <w:rPr>
                <w:rFonts w:ascii="Arial"/>
                <w:sz w:val="21"/>
              </w:rPr>
            </w:pPr>
          </w:p>
          <w:p w14:paraId="2585E03D">
            <w:pPr>
              <w:spacing w:before="57" w:line="192"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4042" w:type="dxa"/>
            <w:vAlign w:val="top"/>
          </w:tcPr>
          <w:p w14:paraId="60205D53">
            <w:pPr>
              <w:spacing w:before="48" w:line="2722" w:lineRule="exact"/>
              <w:ind w:firstLine="203"/>
            </w:pPr>
            <w:r>
              <w:rPr>
                <w:position w:val="-54"/>
              </w:rPr>
              <w:drawing>
                <wp:inline distT="0" distB="0" distL="0" distR="0">
                  <wp:extent cx="2303780" cy="1727835"/>
                  <wp:effectExtent l="0" t="0" r="0" b="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r:embed="rId276"/>
                          <a:stretch>
                            <a:fillRect/>
                          </a:stretch>
                        </pic:blipFill>
                        <pic:spPr>
                          <a:xfrm>
                            <a:off x="0" y="0"/>
                            <a:ext cx="2304288" cy="1728216"/>
                          </a:xfrm>
                          <a:prstGeom prst="rect">
                            <a:avLst/>
                          </a:prstGeom>
                        </pic:spPr>
                      </pic:pic>
                    </a:graphicData>
                  </a:graphic>
                </wp:inline>
              </w:drawing>
            </w:r>
          </w:p>
        </w:tc>
        <w:tc>
          <w:tcPr>
            <w:tcW w:w="1182" w:type="dxa"/>
            <w:vMerge w:val="continue"/>
            <w:tcBorders>
              <w:top w:val="nil"/>
              <w:bottom w:val="single" w:color="000000" w:sz="2" w:space="0"/>
            </w:tcBorders>
            <w:vAlign w:val="top"/>
          </w:tcPr>
          <w:p w14:paraId="095B2A8B">
            <w:pPr>
              <w:rPr>
                <w:rFonts w:ascii="Arial"/>
                <w:sz w:val="21"/>
              </w:rPr>
            </w:pPr>
          </w:p>
        </w:tc>
      </w:tr>
    </w:tbl>
    <w:p w14:paraId="32B4EDB8">
      <w:pPr>
        <w:rPr>
          <w:rFonts w:ascii="Arial"/>
          <w:sz w:val="21"/>
        </w:rPr>
      </w:pPr>
    </w:p>
    <w:p w14:paraId="118CABB9">
      <w:pPr>
        <w:rPr>
          <w:rFonts w:ascii="Arial" w:hAnsi="Arial" w:eastAsia="Arial" w:cs="Arial"/>
          <w:sz w:val="21"/>
          <w:szCs w:val="21"/>
        </w:rPr>
        <w:sectPr>
          <w:footerReference r:id="rId162" w:type="default"/>
          <w:pgSz w:w="16839" w:h="11906"/>
          <w:pgMar w:top="400" w:right="1242" w:bottom="919" w:left="1242" w:header="0" w:footer="732" w:gutter="0"/>
          <w:cols w:space="720" w:num="1"/>
        </w:sectPr>
      </w:pPr>
    </w:p>
    <w:p w14:paraId="0AAAC81F">
      <w:pPr>
        <w:spacing w:before="12"/>
      </w:pPr>
    </w:p>
    <w:p w14:paraId="67B97C27">
      <w:pPr>
        <w:spacing w:before="12"/>
      </w:pPr>
    </w:p>
    <w:tbl>
      <w:tblPr>
        <w:tblStyle w:val="5"/>
        <w:tblW w:w="1434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6"/>
        <w:gridCol w:w="1207"/>
        <w:gridCol w:w="730"/>
        <w:gridCol w:w="682"/>
        <w:gridCol w:w="903"/>
        <w:gridCol w:w="1457"/>
        <w:gridCol w:w="1449"/>
        <w:gridCol w:w="1163"/>
        <w:gridCol w:w="661"/>
        <w:gridCol w:w="4042"/>
        <w:gridCol w:w="1182"/>
      </w:tblGrid>
      <w:tr w14:paraId="7B057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atLeast"/>
        </w:trPr>
        <w:tc>
          <w:tcPr>
            <w:tcW w:w="866" w:type="dxa"/>
            <w:tcBorders>
              <w:right w:val="single" w:color="000000" w:sz="2" w:space="0"/>
            </w:tcBorders>
            <w:shd w:val="clear" w:color="auto" w:fill="BEBEBE"/>
            <w:vAlign w:val="top"/>
          </w:tcPr>
          <w:p w14:paraId="233C5BF0">
            <w:pPr>
              <w:spacing w:line="301" w:lineRule="auto"/>
              <w:rPr>
                <w:rFonts w:ascii="Arial"/>
                <w:sz w:val="21"/>
              </w:rPr>
            </w:pPr>
          </w:p>
          <w:p w14:paraId="355A5165">
            <w:pPr>
              <w:pStyle w:val="6"/>
              <w:spacing w:before="65" w:line="228" w:lineRule="auto"/>
              <w:ind w:left="226"/>
            </w:pPr>
            <w:r>
              <w:rPr>
                <w:b/>
                <w:bCs/>
                <w:spacing w:val="2"/>
              </w:rPr>
              <w:t>分区</w:t>
            </w:r>
          </w:p>
        </w:tc>
        <w:tc>
          <w:tcPr>
            <w:tcW w:w="1207" w:type="dxa"/>
            <w:tcBorders>
              <w:left w:val="single" w:color="000000" w:sz="2" w:space="0"/>
            </w:tcBorders>
            <w:shd w:val="clear" w:color="auto" w:fill="BEBEBE"/>
            <w:vAlign w:val="top"/>
          </w:tcPr>
          <w:p w14:paraId="04EC4ADE">
            <w:pPr>
              <w:pStyle w:val="6"/>
              <w:spacing w:before="211" w:line="290" w:lineRule="auto"/>
              <w:ind w:left="432" w:right="394" w:hanging="39"/>
            </w:pPr>
            <w:r>
              <w:rPr>
                <w:b/>
                <w:bCs/>
                <w:spacing w:val="3"/>
              </w:rPr>
              <w:t>保护</w:t>
            </w:r>
            <w:r>
              <w:rPr>
                <w:b/>
                <w:bCs/>
                <w:spacing w:val="-17"/>
              </w:rPr>
              <w:t>目标</w:t>
            </w:r>
          </w:p>
        </w:tc>
        <w:tc>
          <w:tcPr>
            <w:tcW w:w="730" w:type="dxa"/>
            <w:shd w:val="clear" w:color="auto" w:fill="BEBEBE"/>
            <w:vAlign w:val="top"/>
          </w:tcPr>
          <w:p w14:paraId="5D94E4E6">
            <w:pPr>
              <w:spacing w:line="301" w:lineRule="auto"/>
              <w:rPr>
                <w:rFonts w:ascii="Arial"/>
                <w:sz w:val="21"/>
              </w:rPr>
            </w:pPr>
          </w:p>
          <w:p w14:paraId="52C5C11A">
            <w:pPr>
              <w:pStyle w:val="6"/>
              <w:spacing w:before="65" w:line="229" w:lineRule="auto"/>
              <w:ind w:left="156"/>
            </w:pPr>
            <w:r>
              <w:rPr>
                <w:b/>
                <w:bCs/>
                <w:spacing w:val="2"/>
              </w:rPr>
              <w:t>功能</w:t>
            </w:r>
          </w:p>
        </w:tc>
        <w:tc>
          <w:tcPr>
            <w:tcW w:w="682" w:type="dxa"/>
            <w:shd w:val="clear" w:color="auto" w:fill="BEBEBE"/>
            <w:vAlign w:val="top"/>
          </w:tcPr>
          <w:p w14:paraId="0FC3C266">
            <w:pPr>
              <w:spacing w:line="301" w:lineRule="auto"/>
              <w:rPr>
                <w:rFonts w:ascii="Arial"/>
                <w:sz w:val="21"/>
              </w:rPr>
            </w:pPr>
          </w:p>
          <w:p w14:paraId="625243A2">
            <w:pPr>
              <w:pStyle w:val="6"/>
              <w:spacing w:before="65" w:line="228" w:lineRule="auto"/>
              <w:ind w:left="131"/>
            </w:pPr>
            <w:r>
              <w:rPr>
                <w:b/>
                <w:bCs/>
                <w:spacing w:val="3"/>
              </w:rPr>
              <w:t>规模</w:t>
            </w:r>
          </w:p>
        </w:tc>
        <w:tc>
          <w:tcPr>
            <w:tcW w:w="903" w:type="dxa"/>
            <w:shd w:val="clear" w:color="auto" w:fill="BEBEBE"/>
            <w:vAlign w:val="top"/>
          </w:tcPr>
          <w:p w14:paraId="16654A1D">
            <w:pPr>
              <w:pStyle w:val="6"/>
              <w:spacing w:before="56" w:line="228" w:lineRule="auto"/>
              <w:ind w:left="137"/>
            </w:pPr>
            <w:r>
              <w:rPr>
                <w:b/>
                <w:bCs/>
                <w:spacing w:val="4"/>
              </w:rPr>
              <w:t>建筑物</w:t>
            </w:r>
          </w:p>
          <w:p w14:paraId="13054C44">
            <w:pPr>
              <w:pStyle w:val="6"/>
              <w:spacing w:before="64" w:line="228" w:lineRule="auto"/>
              <w:ind w:left="140"/>
            </w:pPr>
            <w:r>
              <w:rPr>
                <w:b/>
                <w:bCs/>
                <w:spacing w:val="3"/>
              </w:rPr>
              <w:t>结构及</w:t>
            </w:r>
          </w:p>
          <w:p w14:paraId="4A68981A">
            <w:pPr>
              <w:pStyle w:val="6"/>
              <w:spacing w:before="64" w:line="228" w:lineRule="auto"/>
              <w:ind w:left="246"/>
            </w:pPr>
            <w:r>
              <w:rPr>
                <w:b/>
                <w:bCs/>
                <w:spacing w:val="1"/>
              </w:rPr>
              <w:t>高度</w:t>
            </w:r>
          </w:p>
        </w:tc>
        <w:tc>
          <w:tcPr>
            <w:tcW w:w="1457" w:type="dxa"/>
            <w:shd w:val="clear" w:color="auto" w:fill="BEBEBE"/>
            <w:vAlign w:val="top"/>
          </w:tcPr>
          <w:p w14:paraId="53750CD4">
            <w:pPr>
              <w:spacing w:line="301" w:lineRule="auto"/>
              <w:rPr>
                <w:rFonts w:ascii="Arial"/>
                <w:sz w:val="21"/>
              </w:rPr>
            </w:pPr>
          </w:p>
          <w:p w14:paraId="430AB5A3">
            <w:pPr>
              <w:pStyle w:val="6"/>
              <w:spacing w:before="65" w:line="228" w:lineRule="auto"/>
              <w:ind w:left="279"/>
            </w:pPr>
            <w:r>
              <w:rPr>
                <w:b/>
                <w:bCs/>
                <w:spacing w:val="5"/>
              </w:rPr>
              <w:t>方位</w:t>
            </w:r>
            <w:r>
              <w:rPr>
                <w:rFonts w:ascii="Times New Roman" w:hAnsi="Times New Roman" w:eastAsia="Times New Roman" w:cs="Times New Roman"/>
                <w:b/>
                <w:bCs/>
                <w:spacing w:val="5"/>
              </w:rPr>
              <w:t>/</w:t>
            </w:r>
            <w:r>
              <w:rPr>
                <w:b/>
                <w:bCs/>
                <w:spacing w:val="5"/>
              </w:rPr>
              <w:t>距离</w:t>
            </w:r>
          </w:p>
        </w:tc>
        <w:tc>
          <w:tcPr>
            <w:tcW w:w="1449" w:type="dxa"/>
            <w:tcBorders>
              <w:right w:val="single" w:color="000000" w:sz="2" w:space="0"/>
            </w:tcBorders>
            <w:shd w:val="clear" w:color="auto" w:fill="BEBEBE"/>
            <w:vAlign w:val="top"/>
          </w:tcPr>
          <w:p w14:paraId="0FE5AF20">
            <w:pPr>
              <w:pStyle w:val="6"/>
              <w:spacing w:before="56" w:line="228" w:lineRule="auto"/>
              <w:ind w:left="308"/>
            </w:pPr>
            <w:r>
              <w:rPr>
                <w:b/>
                <w:bCs/>
                <w:spacing w:val="5"/>
              </w:rPr>
              <w:t>与线路边</w:t>
            </w:r>
          </w:p>
          <w:p w14:paraId="13FE2A4D">
            <w:pPr>
              <w:pStyle w:val="6"/>
              <w:spacing w:before="65" w:line="228" w:lineRule="auto"/>
              <w:ind w:left="310"/>
            </w:pPr>
            <w:r>
              <w:rPr>
                <w:b/>
                <w:bCs/>
                <w:spacing w:val="5"/>
              </w:rPr>
              <w:t>导线投影</w:t>
            </w:r>
          </w:p>
          <w:p w14:paraId="37A2E51C">
            <w:pPr>
              <w:pStyle w:val="6"/>
              <w:spacing w:before="64" w:line="228" w:lineRule="auto"/>
              <w:ind w:left="307"/>
            </w:pPr>
            <w:r>
              <w:rPr>
                <w:b/>
                <w:bCs/>
                <w:spacing w:val="5"/>
              </w:rPr>
              <w:t>水平距离</w:t>
            </w:r>
          </w:p>
        </w:tc>
        <w:tc>
          <w:tcPr>
            <w:tcW w:w="1163" w:type="dxa"/>
            <w:tcBorders>
              <w:left w:val="single" w:color="000000" w:sz="2" w:space="0"/>
              <w:right w:val="single" w:color="000000" w:sz="2" w:space="0"/>
            </w:tcBorders>
            <w:shd w:val="clear" w:color="auto" w:fill="BEBEBE"/>
            <w:vAlign w:val="top"/>
          </w:tcPr>
          <w:p w14:paraId="5F512A17">
            <w:pPr>
              <w:pStyle w:val="6"/>
              <w:spacing w:before="56" w:line="228" w:lineRule="auto"/>
              <w:ind w:left="170"/>
            </w:pPr>
            <w:r>
              <w:rPr>
                <w:b/>
                <w:bCs/>
                <w:spacing w:val="5"/>
              </w:rPr>
              <w:t>与线路中</w:t>
            </w:r>
          </w:p>
          <w:p w14:paraId="64CB180F">
            <w:pPr>
              <w:pStyle w:val="6"/>
              <w:spacing w:before="64" w:line="228" w:lineRule="auto"/>
              <w:ind w:left="173"/>
            </w:pPr>
            <w:r>
              <w:rPr>
                <w:b/>
                <w:bCs/>
                <w:spacing w:val="4"/>
              </w:rPr>
              <w:t>心最近直</w:t>
            </w:r>
          </w:p>
          <w:p w14:paraId="13661DCE">
            <w:pPr>
              <w:pStyle w:val="6"/>
              <w:spacing w:before="65" w:line="228" w:lineRule="auto"/>
              <w:ind w:left="274"/>
            </w:pPr>
            <w:r>
              <w:rPr>
                <w:b/>
                <w:bCs/>
                <w:spacing w:val="4"/>
              </w:rPr>
              <w:t>线距离</w:t>
            </w:r>
          </w:p>
        </w:tc>
        <w:tc>
          <w:tcPr>
            <w:tcW w:w="661" w:type="dxa"/>
            <w:tcBorders>
              <w:left w:val="single" w:color="000000" w:sz="2" w:space="0"/>
            </w:tcBorders>
            <w:shd w:val="clear" w:color="auto" w:fill="BEBEBE"/>
            <w:vAlign w:val="top"/>
          </w:tcPr>
          <w:p w14:paraId="2955CDEB">
            <w:pPr>
              <w:pStyle w:val="6"/>
              <w:spacing w:before="56" w:line="228" w:lineRule="auto"/>
              <w:ind w:left="132"/>
            </w:pPr>
            <w:r>
              <w:rPr>
                <w:b/>
                <w:bCs/>
                <w:spacing w:val="1"/>
              </w:rPr>
              <w:t>导线</w:t>
            </w:r>
          </w:p>
          <w:p w14:paraId="22EF8AA3">
            <w:pPr>
              <w:pStyle w:val="6"/>
              <w:spacing w:before="64" w:line="229" w:lineRule="auto"/>
              <w:ind w:left="125"/>
            </w:pPr>
            <w:r>
              <w:rPr>
                <w:b/>
                <w:bCs/>
                <w:spacing w:val="4"/>
              </w:rPr>
              <w:t>对地</w:t>
            </w:r>
          </w:p>
          <w:p w14:paraId="4254B954">
            <w:pPr>
              <w:pStyle w:val="6"/>
              <w:spacing w:before="63" w:line="228" w:lineRule="auto"/>
              <w:ind w:left="132"/>
            </w:pPr>
            <w:r>
              <w:rPr>
                <w:b/>
                <w:bCs/>
                <w:spacing w:val="1"/>
              </w:rPr>
              <w:t>高度</w:t>
            </w:r>
          </w:p>
        </w:tc>
        <w:tc>
          <w:tcPr>
            <w:tcW w:w="4042" w:type="dxa"/>
            <w:shd w:val="clear" w:color="auto" w:fill="BEBEBE"/>
            <w:vAlign w:val="top"/>
          </w:tcPr>
          <w:p w14:paraId="2C70FA20">
            <w:pPr>
              <w:spacing w:line="301" w:lineRule="auto"/>
              <w:rPr>
                <w:rFonts w:ascii="Arial"/>
                <w:sz w:val="21"/>
              </w:rPr>
            </w:pPr>
          </w:p>
          <w:p w14:paraId="0F0AA9DD">
            <w:pPr>
              <w:pStyle w:val="6"/>
              <w:spacing w:before="65" w:line="228" w:lineRule="auto"/>
              <w:ind w:left="1607"/>
            </w:pPr>
            <w:r>
              <w:rPr>
                <w:b/>
                <w:bCs/>
                <w:spacing w:val="6"/>
              </w:rPr>
              <w:t>现状照片</w:t>
            </w:r>
          </w:p>
        </w:tc>
        <w:tc>
          <w:tcPr>
            <w:tcW w:w="1182" w:type="dxa"/>
            <w:shd w:val="clear" w:color="auto" w:fill="BEBEBE"/>
            <w:vAlign w:val="top"/>
          </w:tcPr>
          <w:p w14:paraId="200BE628">
            <w:pPr>
              <w:spacing w:line="301" w:lineRule="auto"/>
              <w:rPr>
                <w:rFonts w:ascii="Arial"/>
                <w:sz w:val="21"/>
              </w:rPr>
            </w:pPr>
          </w:p>
          <w:p w14:paraId="5B34B9E4">
            <w:pPr>
              <w:pStyle w:val="6"/>
              <w:spacing w:before="65" w:line="228" w:lineRule="auto"/>
              <w:ind w:left="173"/>
            </w:pPr>
            <w:r>
              <w:rPr>
                <w:b/>
                <w:bCs/>
                <w:spacing w:val="6"/>
              </w:rPr>
              <w:t>保护级别</w:t>
            </w:r>
          </w:p>
        </w:tc>
      </w:tr>
      <w:tr w14:paraId="6432C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0" w:hRule="atLeast"/>
        </w:trPr>
        <w:tc>
          <w:tcPr>
            <w:tcW w:w="866" w:type="dxa"/>
            <w:vMerge w:val="restart"/>
            <w:tcBorders>
              <w:bottom w:val="nil"/>
              <w:right w:val="single" w:color="000000" w:sz="2" w:space="0"/>
            </w:tcBorders>
            <w:vAlign w:val="top"/>
          </w:tcPr>
          <w:p w14:paraId="692DEEDD">
            <w:pPr>
              <w:rPr>
                <w:rFonts w:ascii="Arial"/>
                <w:sz w:val="21"/>
              </w:rPr>
            </w:pPr>
          </w:p>
        </w:tc>
        <w:tc>
          <w:tcPr>
            <w:tcW w:w="1207" w:type="dxa"/>
            <w:tcBorders>
              <w:left w:val="single" w:color="000000" w:sz="2" w:space="0"/>
            </w:tcBorders>
            <w:vAlign w:val="top"/>
          </w:tcPr>
          <w:p w14:paraId="292F367B">
            <w:pPr>
              <w:spacing w:line="267" w:lineRule="auto"/>
              <w:rPr>
                <w:rFonts w:ascii="Arial"/>
                <w:sz w:val="21"/>
              </w:rPr>
            </w:pPr>
          </w:p>
          <w:p w14:paraId="46178D15">
            <w:pPr>
              <w:spacing w:line="267" w:lineRule="auto"/>
              <w:rPr>
                <w:rFonts w:ascii="Arial"/>
                <w:sz w:val="21"/>
              </w:rPr>
            </w:pPr>
          </w:p>
          <w:p w14:paraId="2E0382FD">
            <w:pPr>
              <w:spacing w:line="267" w:lineRule="auto"/>
              <w:rPr>
                <w:rFonts w:ascii="Arial"/>
                <w:sz w:val="21"/>
              </w:rPr>
            </w:pPr>
          </w:p>
          <w:p w14:paraId="2C3C6DF8">
            <w:pPr>
              <w:spacing w:line="268" w:lineRule="auto"/>
              <w:rPr>
                <w:rFonts w:ascii="Arial"/>
                <w:sz w:val="21"/>
              </w:rPr>
            </w:pPr>
          </w:p>
          <w:p w14:paraId="267ADE4F">
            <w:pPr>
              <w:pStyle w:val="6"/>
              <w:spacing w:before="65" w:line="290" w:lineRule="auto"/>
              <w:ind w:left="289" w:right="183" w:hanging="109"/>
            </w:pPr>
            <w:r>
              <w:rPr>
                <w:rFonts w:ascii="MS PGothic" w:hAnsi="MS PGothic" w:eastAsia="MS PGothic" w:cs="MS PGothic"/>
                <w:spacing w:val="8"/>
              </w:rPr>
              <w:t>⑪</w:t>
            </w:r>
            <w:r>
              <w:rPr>
                <w:spacing w:val="8"/>
              </w:rPr>
              <w:t>菜地看</w:t>
            </w:r>
            <w:r>
              <w:rPr>
                <w:spacing w:val="6"/>
              </w:rPr>
              <w:t>护用房</w:t>
            </w:r>
          </w:p>
        </w:tc>
        <w:tc>
          <w:tcPr>
            <w:tcW w:w="730" w:type="dxa"/>
            <w:vAlign w:val="top"/>
          </w:tcPr>
          <w:p w14:paraId="0781F833">
            <w:pPr>
              <w:spacing w:line="301" w:lineRule="auto"/>
              <w:rPr>
                <w:rFonts w:ascii="Arial"/>
                <w:sz w:val="21"/>
              </w:rPr>
            </w:pPr>
          </w:p>
          <w:p w14:paraId="6274F5EF">
            <w:pPr>
              <w:spacing w:line="301" w:lineRule="auto"/>
              <w:rPr>
                <w:rFonts w:ascii="Arial"/>
                <w:sz w:val="21"/>
              </w:rPr>
            </w:pPr>
          </w:p>
          <w:p w14:paraId="2D65416C">
            <w:pPr>
              <w:pStyle w:val="6"/>
              <w:spacing w:before="65" w:line="289" w:lineRule="auto"/>
              <w:ind w:left="154" w:right="155" w:firstLine="2"/>
              <w:jc w:val="both"/>
            </w:pPr>
            <w:r>
              <w:rPr>
                <w:spacing w:val="3"/>
              </w:rPr>
              <w:t>居住</w:t>
            </w:r>
            <w:r>
              <w:rPr>
                <w:spacing w:val="5"/>
              </w:rPr>
              <w:t>及农用物资仓</w:t>
            </w:r>
            <w:r>
              <w:rPr>
                <w:spacing w:val="34"/>
                <w:w w:val="135"/>
              </w:rPr>
              <w:t>库</w:t>
            </w:r>
          </w:p>
        </w:tc>
        <w:tc>
          <w:tcPr>
            <w:tcW w:w="682" w:type="dxa"/>
            <w:vAlign w:val="top"/>
          </w:tcPr>
          <w:p w14:paraId="19BB193C">
            <w:pPr>
              <w:spacing w:line="267" w:lineRule="auto"/>
              <w:rPr>
                <w:rFonts w:ascii="Arial"/>
                <w:sz w:val="21"/>
              </w:rPr>
            </w:pPr>
          </w:p>
          <w:p w14:paraId="43215B5C">
            <w:pPr>
              <w:spacing w:line="267" w:lineRule="auto"/>
              <w:rPr>
                <w:rFonts w:ascii="Arial"/>
                <w:sz w:val="21"/>
              </w:rPr>
            </w:pPr>
          </w:p>
          <w:p w14:paraId="4A8BDBEF">
            <w:pPr>
              <w:spacing w:line="267" w:lineRule="auto"/>
              <w:rPr>
                <w:rFonts w:ascii="Arial"/>
                <w:sz w:val="21"/>
              </w:rPr>
            </w:pPr>
          </w:p>
          <w:p w14:paraId="30F09956">
            <w:pPr>
              <w:spacing w:line="268" w:lineRule="auto"/>
              <w:rPr>
                <w:rFonts w:ascii="Arial"/>
                <w:sz w:val="21"/>
              </w:rPr>
            </w:pPr>
          </w:p>
          <w:p w14:paraId="34A158CF">
            <w:pPr>
              <w:pStyle w:val="6"/>
              <w:spacing w:before="65" w:line="291" w:lineRule="auto"/>
              <w:ind w:left="153" w:right="158"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903" w:type="dxa"/>
            <w:vAlign w:val="top"/>
          </w:tcPr>
          <w:p w14:paraId="62727787">
            <w:pPr>
              <w:spacing w:line="252" w:lineRule="auto"/>
              <w:rPr>
                <w:rFonts w:ascii="Arial"/>
                <w:sz w:val="21"/>
              </w:rPr>
            </w:pPr>
          </w:p>
          <w:p w14:paraId="08B5007B">
            <w:pPr>
              <w:spacing w:line="253" w:lineRule="auto"/>
              <w:rPr>
                <w:rFonts w:ascii="Arial"/>
                <w:sz w:val="21"/>
              </w:rPr>
            </w:pPr>
          </w:p>
          <w:p w14:paraId="719DAC69">
            <w:pPr>
              <w:spacing w:line="253" w:lineRule="auto"/>
              <w:rPr>
                <w:rFonts w:ascii="Arial"/>
                <w:sz w:val="21"/>
              </w:rPr>
            </w:pPr>
          </w:p>
          <w:p w14:paraId="18E75CD4">
            <w:pPr>
              <w:pStyle w:val="6"/>
              <w:spacing w:before="65" w:line="289" w:lineRule="auto"/>
              <w:ind w:left="137" w:right="134"/>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57" w:type="dxa"/>
            <w:vAlign w:val="top"/>
          </w:tcPr>
          <w:p w14:paraId="305FF4C0">
            <w:pPr>
              <w:spacing w:line="253" w:lineRule="auto"/>
              <w:rPr>
                <w:rFonts w:ascii="Arial"/>
                <w:sz w:val="21"/>
              </w:rPr>
            </w:pPr>
          </w:p>
          <w:p w14:paraId="3B298B63">
            <w:pPr>
              <w:spacing w:line="253" w:lineRule="auto"/>
              <w:rPr>
                <w:rFonts w:ascii="Arial"/>
                <w:sz w:val="21"/>
              </w:rPr>
            </w:pPr>
          </w:p>
          <w:p w14:paraId="40C5A040">
            <w:pPr>
              <w:spacing w:line="253" w:lineRule="auto"/>
              <w:rPr>
                <w:rFonts w:ascii="Arial"/>
                <w:sz w:val="21"/>
              </w:rPr>
            </w:pPr>
          </w:p>
          <w:p w14:paraId="77D01D00">
            <w:pPr>
              <w:pStyle w:val="6"/>
              <w:spacing w:before="65" w:line="228" w:lineRule="auto"/>
              <w:ind w:left="108"/>
            </w:pPr>
            <w:r>
              <w:rPr>
                <w:spacing w:val="5"/>
              </w:rPr>
              <w:t>双回线路（单</w:t>
            </w:r>
          </w:p>
          <w:p w14:paraId="1D2C6EFC">
            <w:pPr>
              <w:pStyle w:val="6"/>
              <w:spacing w:before="65" w:line="228" w:lineRule="auto"/>
              <w:ind w:left="203"/>
            </w:pPr>
            <w:r>
              <w:rPr>
                <w:spacing w:val="9"/>
              </w:rPr>
              <w:t>边挂线）西</w:t>
            </w:r>
          </w:p>
          <w:p w14:paraId="7DD8DC17">
            <w:pPr>
              <w:pStyle w:val="6"/>
              <w:spacing w:before="64" w:line="228" w:lineRule="auto"/>
              <w:ind w:left="113"/>
            </w:pPr>
            <w:r>
              <w:rPr>
                <w:spacing w:val="7"/>
              </w:rPr>
              <w:t>侧，</w:t>
            </w:r>
            <w:r>
              <w:rPr>
                <w:rFonts w:ascii="Times New Roman" w:hAnsi="Times New Roman" w:eastAsia="Times New Roman" w:cs="Times New Roman"/>
              </w:rPr>
              <w:t>AJ</w:t>
            </w:r>
            <w:r>
              <w:rPr>
                <w:rFonts w:ascii="Times New Roman" w:hAnsi="Times New Roman" w:eastAsia="Times New Roman" w:cs="Times New Roman"/>
                <w:spacing w:val="7"/>
              </w:rPr>
              <w:t xml:space="preserve">8 </w:t>
            </w:r>
            <w:r>
              <w:rPr>
                <w:spacing w:val="7"/>
              </w:rPr>
              <w:t>塔基</w:t>
            </w:r>
          </w:p>
          <w:p w14:paraId="79E4E2E7">
            <w:pPr>
              <w:pStyle w:val="6"/>
              <w:spacing w:before="65" w:line="228" w:lineRule="auto"/>
              <w:ind w:left="312"/>
              <w:rPr>
                <w:rFonts w:ascii="Times New Roman" w:hAnsi="Times New Roman" w:eastAsia="Times New Roman" w:cs="Times New Roman"/>
              </w:rPr>
            </w:pPr>
            <w:r>
              <w:rPr>
                <w:spacing w:val="2"/>
              </w:rPr>
              <w:t>西侧</w:t>
            </w:r>
            <w:r>
              <w:rPr>
                <w:spacing w:val="-34"/>
              </w:rPr>
              <w:t xml:space="preserve"> </w:t>
            </w:r>
            <w:r>
              <w:rPr>
                <w:rFonts w:ascii="Times New Roman" w:hAnsi="Times New Roman" w:eastAsia="Times New Roman" w:cs="Times New Roman"/>
                <w:spacing w:val="2"/>
              </w:rPr>
              <w:t>30m</w:t>
            </w:r>
          </w:p>
        </w:tc>
        <w:tc>
          <w:tcPr>
            <w:tcW w:w="1449" w:type="dxa"/>
            <w:tcBorders>
              <w:right w:val="single" w:color="000000" w:sz="2" w:space="0"/>
            </w:tcBorders>
            <w:vAlign w:val="top"/>
          </w:tcPr>
          <w:p w14:paraId="021FCA4F">
            <w:pPr>
              <w:spacing w:line="304" w:lineRule="auto"/>
              <w:rPr>
                <w:rFonts w:ascii="Arial"/>
                <w:sz w:val="21"/>
              </w:rPr>
            </w:pPr>
          </w:p>
          <w:p w14:paraId="6DE69D6F">
            <w:pPr>
              <w:spacing w:line="305" w:lineRule="auto"/>
              <w:rPr>
                <w:rFonts w:ascii="Arial"/>
                <w:sz w:val="21"/>
              </w:rPr>
            </w:pPr>
          </w:p>
          <w:p w14:paraId="7DB62DDF">
            <w:pPr>
              <w:spacing w:line="305" w:lineRule="auto"/>
              <w:rPr>
                <w:rFonts w:ascii="Arial"/>
                <w:sz w:val="21"/>
              </w:rPr>
            </w:pPr>
          </w:p>
          <w:p w14:paraId="54D5D155">
            <w:pPr>
              <w:pStyle w:val="6"/>
              <w:spacing w:before="65" w:line="289" w:lineRule="auto"/>
              <w:ind w:left="112" w:right="106" w:firstLine="64"/>
              <w:jc w:val="both"/>
              <w:rPr>
                <w:rFonts w:ascii="Times New Roman" w:hAnsi="Times New Roman" w:eastAsia="Times New Roman" w:cs="Times New Roman"/>
              </w:rPr>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r>
              <w:rPr>
                <w:spacing w:val="25"/>
              </w:rPr>
              <w:t>边导线地面</w:t>
            </w:r>
            <w:r>
              <w:rPr>
                <w:spacing w:val="1"/>
              </w:rPr>
              <w:t>投影西侧</w:t>
            </w:r>
            <w:r>
              <w:rPr>
                <w:spacing w:val="-42"/>
              </w:rPr>
              <w:t xml:space="preserve"> </w:t>
            </w:r>
            <w:r>
              <w:rPr>
                <w:rFonts w:ascii="Times New Roman" w:hAnsi="Times New Roman" w:eastAsia="Times New Roman" w:cs="Times New Roman"/>
                <w:spacing w:val="1"/>
              </w:rPr>
              <w:t>11m</w:t>
            </w:r>
          </w:p>
        </w:tc>
        <w:tc>
          <w:tcPr>
            <w:tcW w:w="1163" w:type="dxa"/>
            <w:tcBorders>
              <w:left w:val="single" w:color="000000" w:sz="2" w:space="0"/>
              <w:right w:val="single" w:color="000000" w:sz="2" w:space="0"/>
            </w:tcBorders>
            <w:vAlign w:val="top"/>
          </w:tcPr>
          <w:p w14:paraId="2284CDB2">
            <w:pPr>
              <w:spacing w:line="253" w:lineRule="auto"/>
              <w:rPr>
                <w:rFonts w:ascii="Arial"/>
                <w:sz w:val="21"/>
              </w:rPr>
            </w:pPr>
          </w:p>
          <w:p w14:paraId="31F326CE">
            <w:pPr>
              <w:spacing w:line="253" w:lineRule="auto"/>
              <w:rPr>
                <w:rFonts w:ascii="Arial"/>
                <w:sz w:val="21"/>
              </w:rPr>
            </w:pPr>
          </w:p>
          <w:p w14:paraId="163B4BCA">
            <w:pPr>
              <w:spacing w:line="254" w:lineRule="auto"/>
              <w:rPr>
                <w:rFonts w:ascii="Arial"/>
                <w:sz w:val="21"/>
              </w:rPr>
            </w:pPr>
          </w:p>
          <w:p w14:paraId="5F347A20">
            <w:pPr>
              <w:spacing w:line="254" w:lineRule="auto"/>
              <w:rPr>
                <w:rFonts w:ascii="Arial"/>
                <w:sz w:val="21"/>
              </w:rPr>
            </w:pPr>
          </w:p>
          <w:p w14:paraId="302D5E1B">
            <w:pPr>
              <w:spacing w:line="254" w:lineRule="auto"/>
              <w:rPr>
                <w:rFonts w:ascii="Arial"/>
                <w:sz w:val="21"/>
              </w:rPr>
            </w:pPr>
          </w:p>
          <w:p w14:paraId="6D37C765">
            <w:pPr>
              <w:spacing w:before="57" w:line="195" w:lineRule="auto"/>
              <w:ind w:left="41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16m</w:t>
            </w:r>
          </w:p>
        </w:tc>
        <w:tc>
          <w:tcPr>
            <w:tcW w:w="661" w:type="dxa"/>
            <w:tcBorders>
              <w:left w:val="single" w:color="000000" w:sz="2" w:space="0"/>
            </w:tcBorders>
            <w:vAlign w:val="top"/>
          </w:tcPr>
          <w:p w14:paraId="498A365E">
            <w:pPr>
              <w:spacing w:line="254" w:lineRule="auto"/>
              <w:rPr>
                <w:rFonts w:ascii="Arial"/>
                <w:sz w:val="21"/>
              </w:rPr>
            </w:pPr>
          </w:p>
          <w:p w14:paraId="3F5D1BB5">
            <w:pPr>
              <w:spacing w:line="254" w:lineRule="auto"/>
              <w:rPr>
                <w:rFonts w:ascii="Arial"/>
                <w:sz w:val="21"/>
              </w:rPr>
            </w:pPr>
          </w:p>
          <w:p w14:paraId="5BAAC0C9">
            <w:pPr>
              <w:spacing w:line="255" w:lineRule="auto"/>
              <w:rPr>
                <w:rFonts w:ascii="Arial"/>
                <w:sz w:val="21"/>
              </w:rPr>
            </w:pPr>
          </w:p>
          <w:p w14:paraId="60127BED">
            <w:pPr>
              <w:spacing w:line="255" w:lineRule="auto"/>
              <w:rPr>
                <w:rFonts w:ascii="Arial"/>
                <w:sz w:val="21"/>
              </w:rPr>
            </w:pPr>
          </w:p>
          <w:p w14:paraId="0F328D58">
            <w:pPr>
              <w:spacing w:line="255" w:lineRule="auto"/>
              <w:rPr>
                <w:rFonts w:ascii="Arial"/>
                <w:sz w:val="21"/>
              </w:rPr>
            </w:pPr>
          </w:p>
          <w:p w14:paraId="1BF43328">
            <w:pPr>
              <w:spacing w:before="58" w:line="192"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4042" w:type="dxa"/>
            <w:vAlign w:val="top"/>
          </w:tcPr>
          <w:p w14:paraId="14B6D8D5">
            <w:pPr>
              <w:spacing w:before="41" w:line="2721" w:lineRule="exact"/>
              <w:ind w:firstLine="232"/>
            </w:pPr>
            <w:r>
              <w:rPr>
                <w:position w:val="-54"/>
              </w:rPr>
              <w:drawing>
                <wp:inline distT="0" distB="0" distL="0" distR="0">
                  <wp:extent cx="2267585" cy="1727835"/>
                  <wp:effectExtent l="0" t="0" r="0" b="0"/>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r:embed="rId277"/>
                          <a:stretch>
                            <a:fillRect/>
                          </a:stretch>
                        </pic:blipFill>
                        <pic:spPr>
                          <a:xfrm>
                            <a:off x="0" y="0"/>
                            <a:ext cx="2267711" cy="1728215"/>
                          </a:xfrm>
                          <a:prstGeom prst="rect">
                            <a:avLst/>
                          </a:prstGeom>
                        </pic:spPr>
                      </pic:pic>
                    </a:graphicData>
                  </a:graphic>
                </wp:inline>
              </w:drawing>
            </w:r>
          </w:p>
        </w:tc>
        <w:tc>
          <w:tcPr>
            <w:tcW w:w="1182" w:type="dxa"/>
            <w:vMerge w:val="restart"/>
            <w:tcBorders>
              <w:bottom w:val="nil"/>
            </w:tcBorders>
            <w:vAlign w:val="top"/>
          </w:tcPr>
          <w:p w14:paraId="505858F3">
            <w:pPr>
              <w:rPr>
                <w:rFonts w:ascii="Arial"/>
                <w:sz w:val="21"/>
              </w:rPr>
            </w:pPr>
          </w:p>
        </w:tc>
      </w:tr>
      <w:tr w14:paraId="7BD0F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2" w:hRule="atLeast"/>
        </w:trPr>
        <w:tc>
          <w:tcPr>
            <w:tcW w:w="866" w:type="dxa"/>
            <w:vMerge w:val="continue"/>
            <w:tcBorders>
              <w:top w:val="nil"/>
              <w:bottom w:val="nil"/>
              <w:right w:val="single" w:color="000000" w:sz="2" w:space="0"/>
            </w:tcBorders>
            <w:vAlign w:val="top"/>
          </w:tcPr>
          <w:p w14:paraId="3A48F4E0">
            <w:pPr>
              <w:rPr>
                <w:rFonts w:ascii="Arial"/>
                <w:sz w:val="21"/>
              </w:rPr>
            </w:pPr>
          </w:p>
        </w:tc>
        <w:tc>
          <w:tcPr>
            <w:tcW w:w="1207" w:type="dxa"/>
            <w:tcBorders>
              <w:left w:val="single" w:color="000000" w:sz="2" w:space="0"/>
            </w:tcBorders>
            <w:vAlign w:val="top"/>
          </w:tcPr>
          <w:p w14:paraId="1B1222D1">
            <w:pPr>
              <w:spacing w:line="245" w:lineRule="auto"/>
              <w:rPr>
                <w:rFonts w:ascii="Arial"/>
                <w:sz w:val="21"/>
              </w:rPr>
            </w:pPr>
          </w:p>
          <w:p w14:paraId="0D7A09A5">
            <w:pPr>
              <w:spacing w:line="245" w:lineRule="auto"/>
              <w:rPr>
                <w:rFonts w:ascii="Arial"/>
                <w:sz w:val="21"/>
              </w:rPr>
            </w:pPr>
          </w:p>
          <w:p w14:paraId="7C19D5BA">
            <w:pPr>
              <w:spacing w:line="245" w:lineRule="auto"/>
              <w:rPr>
                <w:rFonts w:ascii="Arial"/>
                <w:sz w:val="21"/>
              </w:rPr>
            </w:pPr>
          </w:p>
          <w:p w14:paraId="0A6D6E4D">
            <w:pPr>
              <w:spacing w:line="246" w:lineRule="auto"/>
              <w:rPr>
                <w:rFonts w:ascii="Arial"/>
                <w:sz w:val="21"/>
              </w:rPr>
            </w:pPr>
          </w:p>
          <w:p w14:paraId="662BBD82">
            <w:pPr>
              <w:spacing w:line="246" w:lineRule="auto"/>
              <w:rPr>
                <w:rFonts w:ascii="Arial"/>
                <w:sz w:val="21"/>
              </w:rPr>
            </w:pPr>
          </w:p>
          <w:p w14:paraId="650D56FC">
            <w:pPr>
              <w:pStyle w:val="6"/>
              <w:spacing w:before="65" w:line="290" w:lineRule="auto"/>
              <w:ind w:left="289" w:right="183" w:hanging="109"/>
            </w:pPr>
            <w:r>
              <w:rPr>
                <w:rFonts w:ascii="MS PGothic" w:hAnsi="MS PGothic" w:eastAsia="MS PGothic" w:cs="MS PGothic"/>
                <w:spacing w:val="8"/>
              </w:rPr>
              <w:t>⑩</w:t>
            </w:r>
            <w:r>
              <w:rPr>
                <w:spacing w:val="8"/>
              </w:rPr>
              <w:t>菜地看</w:t>
            </w:r>
            <w:r>
              <w:rPr>
                <w:spacing w:val="6"/>
              </w:rPr>
              <w:t>护用房</w:t>
            </w:r>
          </w:p>
        </w:tc>
        <w:tc>
          <w:tcPr>
            <w:tcW w:w="730" w:type="dxa"/>
            <w:vAlign w:val="top"/>
          </w:tcPr>
          <w:p w14:paraId="165B3F29">
            <w:pPr>
              <w:spacing w:line="253" w:lineRule="auto"/>
              <w:rPr>
                <w:rFonts w:ascii="Arial"/>
                <w:sz w:val="21"/>
              </w:rPr>
            </w:pPr>
          </w:p>
          <w:p w14:paraId="3D810E13">
            <w:pPr>
              <w:spacing w:line="253" w:lineRule="auto"/>
              <w:rPr>
                <w:rFonts w:ascii="Arial"/>
                <w:sz w:val="21"/>
              </w:rPr>
            </w:pPr>
          </w:p>
          <w:p w14:paraId="6B9A13E6">
            <w:pPr>
              <w:spacing w:line="254" w:lineRule="auto"/>
              <w:rPr>
                <w:rFonts w:ascii="Arial"/>
                <w:sz w:val="21"/>
              </w:rPr>
            </w:pPr>
          </w:p>
          <w:p w14:paraId="7FBA3FE8">
            <w:pPr>
              <w:pStyle w:val="6"/>
              <w:spacing w:before="65" w:line="289" w:lineRule="auto"/>
              <w:ind w:left="154" w:right="155" w:firstLine="2"/>
              <w:jc w:val="both"/>
            </w:pPr>
            <w:r>
              <w:rPr>
                <w:spacing w:val="3"/>
              </w:rPr>
              <w:t>居住</w:t>
            </w:r>
            <w:r>
              <w:rPr>
                <w:spacing w:val="5"/>
              </w:rPr>
              <w:t>及农用物资仓</w:t>
            </w:r>
            <w:r>
              <w:rPr>
                <w:spacing w:val="34"/>
                <w:w w:val="135"/>
              </w:rPr>
              <w:t>库</w:t>
            </w:r>
          </w:p>
        </w:tc>
        <w:tc>
          <w:tcPr>
            <w:tcW w:w="682" w:type="dxa"/>
            <w:vAlign w:val="top"/>
          </w:tcPr>
          <w:p w14:paraId="26134A2B">
            <w:pPr>
              <w:spacing w:line="245" w:lineRule="auto"/>
              <w:rPr>
                <w:rFonts w:ascii="Arial"/>
                <w:sz w:val="21"/>
              </w:rPr>
            </w:pPr>
          </w:p>
          <w:p w14:paraId="59DF99BD">
            <w:pPr>
              <w:spacing w:line="245" w:lineRule="auto"/>
              <w:rPr>
                <w:rFonts w:ascii="Arial"/>
                <w:sz w:val="21"/>
              </w:rPr>
            </w:pPr>
          </w:p>
          <w:p w14:paraId="5565D702">
            <w:pPr>
              <w:spacing w:line="245" w:lineRule="auto"/>
              <w:rPr>
                <w:rFonts w:ascii="Arial"/>
                <w:sz w:val="21"/>
              </w:rPr>
            </w:pPr>
          </w:p>
          <w:p w14:paraId="49A1FE5D">
            <w:pPr>
              <w:spacing w:line="246" w:lineRule="auto"/>
              <w:rPr>
                <w:rFonts w:ascii="Arial"/>
                <w:sz w:val="21"/>
              </w:rPr>
            </w:pPr>
          </w:p>
          <w:p w14:paraId="54BF5C06">
            <w:pPr>
              <w:spacing w:line="246" w:lineRule="auto"/>
              <w:rPr>
                <w:rFonts w:ascii="Arial"/>
                <w:sz w:val="21"/>
              </w:rPr>
            </w:pPr>
          </w:p>
          <w:p w14:paraId="05A8F858">
            <w:pPr>
              <w:pStyle w:val="6"/>
              <w:spacing w:before="65" w:line="291" w:lineRule="auto"/>
              <w:ind w:left="153" w:right="158"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903" w:type="dxa"/>
            <w:vAlign w:val="top"/>
          </w:tcPr>
          <w:p w14:paraId="328765B9">
            <w:pPr>
              <w:spacing w:line="305" w:lineRule="auto"/>
              <w:rPr>
                <w:rFonts w:ascii="Arial"/>
                <w:sz w:val="21"/>
              </w:rPr>
            </w:pPr>
          </w:p>
          <w:p w14:paraId="541817B7">
            <w:pPr>
              <w:spacing w:line="305" w:lineRule="auto"/>
              <w:rPr>
                <w:rFonts w:ascii="Arial"/>
                <w:sz w:val="21"/>
              </w:rPr>
            </w:pPr>
          </w:p>
          <w:p w14:paraId="0647D1B4">
            <w:pPr>
              <w:spacing w:line="306" w:lineRule="auto"/>
              <w:rPr>
                <w:rFonts w:ascii="Arial"/>
                <w:sz w:val="21"/>
              </w:rPr>
            </w:pPr>
          </w:p>
          <w:p w14:paraId="58F51DB9">
            <w:pPr>
              <w:pStyle w:val="6"/>
              <w:spacing w:before="65" w:line="289" w:lineRule="auto"/>
              <w:ind w:left="137" w:right="134"/>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57" w:type="dxa"/>
            <w:vAlign w:val="top"/>
          </w:tcPr>
          <w:p w14:paraId="5789BBF3">
            <w:pPr>
              <w:spacing w:line="305" w:lineRule="auto"/>
              <w:rPr>
                <w:rFonts w:ascii="Arial"/>
                <w:sz w:val="21"/>
              </w:rPr>
            </w:pPr>
          </w:p>
          <w:p w14:paraId="6F041365">
            <w:pPr>
              <w:spacing w:line="305" w:lineRule="auto"/>
              <w:rPr>
                <w:rFonts w:ascii="Arial"/>
                <w:sz w:val="21"/>
              </w:rPr>
            </w:pPr>
          </w:p>
          <w:p w14:paraId="0E109BCF">
            <w:pPr>
              <w:spacing w:line="306" w:lineRule="auto"/>
              <w:rPr>
                <w:rFonts w:ascii="Arial"/>
                <w:sz w:val="21"/>
              </w:rPr>
            </w:pPr>
          </w:p>
          <w:p w14:paraId="3B7577B7">
            <w:pPr>
              <w:pStyle w:val="6"/>
              <w:spacing w:before="65" w:line="289" w:lineRule="auto"/>
              <w:ind w:left="106" w:right="105" w:firstLine="1"/>
              <w:jc w:val="both"/>
              <w:rPr>
                <w:rFonts w:ascii="Times New Roman" w:hAnsi="Times New Roman" w:eastAsia="Times New Roman" w:cs="Times New Roman"/>
              </w:rPr>
            </w:pPr>
            <w:r>
              <w:rPr>
                <w:spacing w:val="5"/>
              </w:rPr>
              <w:t>双回线路（单</w:t>
            </w:r>
            <w:r>
              <w:rPr>
                <w:spacing w:val="27"/>
              </w:rPr>
              <w:t>边挂线）西</w:t>
            </w:r>
            <w:r>
              <w:t>侧，</w:t>
            </w:r>
            <w:r>
              <w:rPr>
                <w:rFonts w:ascii="Times New Roman" w:hAnsi="Times New Roman" w:eastAsia="Times New Roman" w:cs="Times New Roman"/>
              </w:rPr>
              <w:t>AZ5</w:t>
            </w:r>
            <w:r>
              <w:rPr>
                <w:rFonts w:ascii="Times New Roman" w:hAnsi="Times New Roman" w:eastAsia="Times New Roman" w:cs="Times New Roman"/>
                <w:spacing w:val="16"/>
                <w:w w:val="101"/>
              </w:rPr>
              <w:t xml:space="preserve"> </w:t>
            </w:r>
            <w:r>
              <w:t>塔基</w:t>
            </w:r>
            <w:r>
              <w:rPr>
                <w:spacing w:val="8"/>
              </w:rPr>
              <w:t>西南侧</w:t>
            </w:r>
            <w:r>
              <w:rPr>
                <w:spacing w:val="-18"/>
              </w:rPr>
              <w:t xml:space="preserve"> </w:t>
            </w:r>
            <w:r>
              <w:rPr>
                <w:rFonts w:ascii="Times New Roman" w:hAnsi="Times New Roman" w:eastAsia="Times New Roman" w:cs="Times New Roman"/>
                <w:spacing w:val="8"/>
              </w:rPr>
              <w:t>128m</w:t>
            </w:r>
          </w:p>
        </w:tc>
        <w:tc>
          <w:tcPr>
            <w:tcW w:w="1449" w:type="dxa"/>
            <w:tcBorders>
              <w:right w:val="single" w:color="000000" w:sz="2" w:space="0"/>
            </w:tcBorders>
            <w:vAlign w:val="top"/>
          </w:tcPr>
          <w:p w14:paraId="0643D9B9">
            <w:pPr>
              <w:spacing w:line="305" w:lineRule="auto"/>
              <w:rPr>
                <w:rFonts w:ascii="Arial"/>
                <w:sz w:val="21"/>
              </w:rPr>
            </w:pPr>
          </w:p>
          <w:p w14:paraId="3DEA7934">
            <w:pPr>
              <w:spacing w:line="306" w:lineRule="auto"/>
              <w:rPr>
                <w:rFonts w:ascii="Arial"/>
                <w:sz w:val="21"/>
              </w:rPr>
            </w:pPr>
          </w:p>
          <w:p w14:paraId="0370A289">
            <w:pPr>
              <w:spacing w:line="306" w:lineRule="auto"/>
              <w:rPr>
                <w:rFonts w:ascii="Arial"/>
                <w:sz w:val="21"/>
              </w:rPr>
            </w:pPr>
          </w:p>
          <w:p w14:paraId="757D9383">
            <w:pPr>
              <w:pStyle w:val="6"/>
              <w:spacing w:before="66" w:line="228" w:lineRule="auto"/>
              <w:ind w:left="177"/>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p>
          <w:p w14:paraId="5F2E93D4">
            <w:pPr>
              <w:pStyle w:val="6"/>
              <w:spacing w:before="65" w:line="228" w:lineRule="auto"/>
              <w:ind w:left="200"/>
            </w:pPr>
            <w:r>
              <w:rPr>
                <w:spacing w:val="8"/>
              </w:rPr>
              <w:t>边导线地面</w:t>
            </w:r>
          </w:p>
          <w:p w14:paraId="02B14C2E">
            <w:pPr>
              <w:pStyle w:val="6"/>
              <w:spacing w:before="64" w:line="228" w:lineRule="auto"/>
              <w:ind w:left="309"/>
            </w:pPr>
            <w:r>
              <w:rPr>
                <w:spacing w:val="7"/>
              </w:rPr>
              <w:t>投影西侧</w:t>
            </w:r>
          </w:p>
          <w:p w14:paraId="0E9FEF82">
            <w:pPr>
              <w:spacing w:before="101" w:line="195" w:lineRule="auto"/>
              <w:ind w:left="55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17m</w:t>
            </w:r>
          </w:p>
        </w:tc>
        <w:tc>
          <w:tcPr>
            <w:tcW w:w="1163" w:type="dxa"/>
            <w:tcBorders>
              <w:left w:val="single" w:color="000000" w:sz="2" w:space="0"/>
              <w:right w:val="single" w:color="000000" w:sz="2" w:space="0"/>
            </w:tcBorders>
            <w:vAlign w:val="top"/>
          </w:tcPr>
          <w:p w14:paraId="69058DC8">
            <w:pPr>
              <w:spacing w:line="285" w:lineRule="auto"/>
              <w:rPr>
                <w:rFonts w:ascii="Arial"/>
                <w:sz w:val="21"/>
              </w:rPr>
            </w:pPr>
          </w:p>
          <w:p w14:paraId="51757F66">
            <w:pPr>
              <w:spacing w:line="285" w:lineRule="auto"/>
              <w:rPr>
                <w:rFonts w:ascii="Arial"/>
                <w:sz w:val="21"/>
              </w:rPr>
            </w:pPr>
          </w:p>
          <w:p w14:paraId="5B41D03C">
            <w:pPr>
              <w:spacing w:line="285" w:lineRule="auto"/>
              <w:rPr>
                <w:rFonts w:ascii="Arial"/>
                <w:sz w:val="21"/>
              </w:rPr>
            </w:pPr>
          </w:p>
          <w:p w14:paraId="3DCC52E2">
            <w:pPr>
              <w:spacing w:line="285" w:lineRule="auto"/>
              <w:rPr>
                <w:rFonts w:ascii="Arial"/>
                <w:sz w:val="21"/>
              </w:rPr>
            </w:pPr>
          </w:p>
          <w:p w14:paraId="57BA5D32">
            <w:pPr>
              <w:spacing w:line="285" w:lineRule="auto"/>
              <w:rPr>
                <w:rFonts w:ascii="Arial"/>
                <w:sz w:val="21"/>
              </w:rPr>
            </w:pPr>
          </w:p>
          <w:p w14:paraId="0CE44C1E">
            <w:pPr>
              <w:spacing w:before="58" w:line="195" w:lineRule="auto"/>
              <w:ind w:left="39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22m</w:t>
            </w:r>
          </w:p>
        </w:tc>
        <w:tc>
          <w:tcPr>
            <w:tcW w:w="661" w:type="dxa"/>
            <w:tcBorders>
              <w:left w:val="single" w:color="000000" w:sz="2" w:space="0"/>
            </w:tcBorders>
            <w:vAlign w:val="top"/>
          </w:tcPr>
          <w:p w14:paraId="433CDF56">
            <w:pPr>
              <w:spacing w:line="286" w:lineRule="auto"/>
              <w:rPr>
                <w:rFonts w:ascii="Arial"/>
                <w:sz w:val="21"/>
              </w:rPr>
            </w:pPr>
          </w:p>
          <w:p w14:paraId="1EE5F9B0">
            <w:pPr>
              <w:spacing w:line="286" w:lineRule="auto"/>
              <w:rPr>
                <w:rFonts w:ascii="Arial"/>
                <w:sz w:val="21"/>
              </w:rPr>
            </w:pPr>
          </w:p>
          <w:p w14:paraId="13B445E0">
            <w:pPr>
              <w:spacing w:line="286" w:lineRule="auto"/>
              <w:rPr>
                <w:rFonts w:ascii="Arial"/>
                <w:sz w:val="21"/>
              </w:rPr>
            </w:pPr>
          </w:p>
          <w:p w14:paraId="3637548E">
            <w:pPr>
              <w:spacing w:line="286" w:lineRule="auto"/>
              <w:rPr>
                <w:rFonts w:ascii="Arial"/>
                <w:sz w:val="21"/>
              </w:rPr>
            </w:pPr>
          </w:p>
          <w:p w14:paraId="611B0E50">
            <w:pPr>
              <w:spacing w:line="287" w:lineRule="auto"/>
              <w:rPr>
                <w:rFonts w:ascii="Arial"/>
                <w:sz w:val="21"/>
              </w:rPr>
            </w:pPr>
          </w:p>
          <w:p w14:paraId="4ADA7CA6">
            <w:pPr>
              <w:spacing w:before="57" w:line="192"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4042" w:type="dxa"/>
            <w:vAlign w:val="top"/>
          </w:tcPr>
          <w:p w14:paraId="7189A31B">
            <w:pPr>
              <w:spacing w:before="144" w:line="2834" w:lineRule="exact"/>
              <w:ind w:firstLine="129"/>
            </w:pPr>
            <w:r>
              <w:rPr>
                <w:position w:val="-56"/>
              </w:rPr>
              <w:drawing>
                <wp:inline distT="0" distB="0" distL="0" distR="0">
                  <wp:extent cx="2400300" cy="1799590"/>
                  <wp:effectExtent l="0" t="0" r="0" b="0"/>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r:embed="rId254"/>
                          <a:stretch>
                            <a:fillRect/>
                          </a:stretch>
                        </pic:blipFill>
                        <pic:spPr>
                          <a:xfrm>
                            <a:off x="0" y="0"/>
                            <a:ext cx="2400300" cy="1799844"/>
                          </a:xfrm>
                          <a:prstGeom prst="rect">
                            <a:avLst/>
                          </a:prstGeom>
                        </pic:spPr>
                      </pic:pic>
                    </a:graphicData>
                  </a:graphic>
                </wp:inline>
              </w:drawing>
            </w:r>
          </w:p>
        </w:tc>
        <w:tc>
          <w:tcPr>
            <w:tcW w:w="1182" w:type="dxa"/>
            <w:vMerge w:val="continue"/>
            <w:tcBorders>
              <w:top w:val="nil"/>
              <w:bottom w:val="nil"/>
            </w:tcBorders>
            <w:vAlign w:val="top"/>
          </w:tcPr>
          <w:p w14:paraId="0CC8FECB">
            <w:pPr>
              <w:rPr>
                <w:rFonts w:ascii="Arial"/>
                <w:sz w:val="21"/>
              </w:rPr>
            </w:pPr>
          </w:p>
        </w:tc>
      </w:tr>
      <w:tr w14:paraId="4BE97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5" w:hRule="atLeast"/>
        </w:trPr>
        <w:tc>
          <w:tcPr>
            <w:tcW w:w="866" w:type="dxa"/>
            <w:vMerge w:val="continue"/>
            <w:tcBorders>
              <w:top w:val="nil"/>
              <w:right w:val="single" w:color="000000" w:sz="2" w:space="0"/>
            </w:tcBorders>
            <w:vAlign w:val="top"/>
          </w:tcPr>
          <w:p w14:paraId="0E79160A">
            <w:pPr>
              <w:rPr>
                <w:rFonts w:ascii="Arial"/>
                <w:sz w:val="21"/>
              </w:rPr>
            </w:pPr>
          </w:p>
        </w:tc>
        <w:tc>
          <w:tcPr>
            <w:tcW w:w="1207" w:type="dxa"/>
            <w:tcBorders>
              <w:left w:val="single" w:color="000000" w:sz="2" w:space="0"/>
            </w:tcBorders>
            <w:vAlign w:val="top"/>
          </w:tcPr>
          <w:p w14:paraId="004BCB60">
            <w:pPr>
              <w:spacing w:line="269" w:lineRule="auto"/>
              <w:rPr>
                <w:rFonts w:ascii="Arial"/>
                <w:sz w:val="21"/>
              </w:rPr>
            </w:pPr>
          </w:p>
          <w:p w14:paraId="29592A84">
            <w:pPr>
              <w:spacing w:line="269" w:lineRule="auto"/>
              <w:rPr>
                <w:rFonts w:ascii="Arial"/>
                <w:sz w:val="21"/>
              </w:rPr>
            </w:pPr>
          </w:p>
          <w:p w14:paraId="245B60EF">
            <w:pPr>
              <w:spacing w:line="269" w:lineRule="auto"/>
              <w:rPr>
                <w:rFonts w:ascii="Arial"/>
                <w:sz w:val="21"/>
              </w:rPr>
            </w:pPr>
          </w:p>
          <w:p w14:paraId="3A913F82">
            <w:pPr>
              <w:spacing w:line="269" w:lineRule="auto"/>
              <w:rPr>
                <w:rFonts w:ascii="Arial"/>
                <w:sz w:val="21"/>
              </w:rPr>
            </w:pPr>
          </w:p>
          <w:p w14:paraId="3D16B52B">
            <w:pPr>
              <w:pStyle w:val="6"/>
              <w:spacing w:before="65" w:line="290" w:lineRule="auto"/>
              <w:ind w:left="289" w:right="183" w:hanging="109"/>
            </w:pPr>
            <w:r>
              <w:rPr>
                <w:rFonts w:ascii="MS PGothic" w:hAnsi="MS PGothic" w:eastAsia="MS PGothic" w:cs="MS PGothic"/>
                <w:spacing w:val="8"/>
              </w:rPr>
              <w:t>⑬</w:t>
            </w:r>
            <w:r>
              <w:rPr>
                <w:spacing w:val="8"/>
              </w:rPr>
              <w:t>菜地看</w:t>
            </w:r>
            <w:r>
              <w:rPr>
                <w:spacing w:val="6"/>
              </w:rPr>
              <w:t>护用房</w:t>
            </w:r>
          </w:p>
        </w:tc>
        <w:tc>
          <w:tcPr>
            <w:tcW w:w="730" w:type="dxa"/>
            <w:vAlign w:val="top"/>
          </w:tcPr>
          <w:p w14:paraId="35A964B9">
            <w:pPr>
              <w:spacing w:line="304" w:lineRule="auto"/>
              <w:rPr>
                <w:rFonts w:ascii="Arial"/>
                <w:sz w:val="21"/>
              </w:rPr>
            </w:pPr>
          </w:p>
          <w:p w14:paraId="6312444F">
            <w:pPr>
              <w:spacing w:line="305" w:lineRule="auto"/>
              <w:rPr>
                <w:rFonts w:ascii="Arial"/>
                <w:sz w:val="21"/>
              </w:rPr>
            </w:pPr>
          </w:p>
          <w:p w14:paraId="5BB83C65">
            <w:pPr>
              <w:pStyle w:val="6"/>
              <w:spacing w:before="65" w:line="289" w:lineRule="auto"/>
              <w:ind w:left="154" w:right="155" w:firstLine="2"/>
              <w:jc w:val="both"/>
            </w:pPr>
            <w:r>
              <w:rPr>
                <w:spacing w:val="3"/>
              </w:rPr>
              <w:t>居住</w:t>
            </w:r>
            <w:r>
              <w:rPr>
                <w:spacing w:val="5"/>
              </w:rPr>
              <w:t>及农用物资仓</w:t>
            </w:r>
            <w:r>
              <w:rPr>
                <w:spacing w:val="34"/>
                <w:w w:val="135"/>
              </w:rPr>
              <w:t>库</w:t>
            </w:r>
          </w:p>
        </w:tc>
        <w:tc>
          <w:tcPr>
            <w:tcW w:w="682" w:type="dxa"/>
            <w:vAlign w:val="top"/>
          </w:tcPr>
          <w:p w14:paraId="7DFAEBE3">
            <w:pPr>
              <w:spacing w:line="269" w:lineRule="auto"/>
              <w:rPr>
                <w:rFonts w:ascii="Arial"/>
                <w:sz w:val="21"/>
              </w:rPr>
            </w:pPr>
          </w:p>
          <w:p w14:paraId="55CD0C88">
            <w:pPr>
              <w:spacing w:line="269" w:lineRule="auto"/>
              <w:rPr>
                <w:rFonts w:ascii="Arial"/>
                <w:sz w:val="21"/>
              </w:rPr>
            </w:pPr>
          </w:p>
          <w:p w14:paraId="7CA85742">
            <w:pPr>
              <w:spacing w:line="269" w:lineRule="auto"/>
              <w:rPr>
                <w:rFonts w:ascii="Arial"/>
                <w:sz w:val="21"/>
              </w:rPr>
            </w:pPr>
          </w:p>
          <w:p w14:paraId="7FA8B706">
            <w:pPr>
              <w:spacing w:line="270" w:lineRule="auto"/>
              <w:rPr>
                <w:rFonts w:ascii="Arial"/>
                <w:sz w:val="21"/>
              </w:rPr>
            </w:pPr>
          </w:p>
          <w:p w14:paraId="17D21776">
            <w:pPr>
              <w:pStyle w:val="6"/>
              <w:spacing w:before="65" w:line="291" w:lineRule="auto"/>
              <w:ind w:left="153" w:right="158"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903" w:type="dxa"/>
            <w:vAlign w:val="top"/>
          </w:tcPr>
          <w:p w14:paraId="38DE99B6">
            <w:pPr>
              <w:spacing w:line="255" w:lineRule="auto"/>
              <w:rPr>
                <w:rFonts w:ascii="Arial"/>
                <w:sz w:val="21"/>
              </w:rPr>
            </w:pPr>
          </w:p>
          <w:p w14:paraId="3C4D16D9">
            <w:pPr>
              <w:spacing w:line="255" w:lineRule="auto"/>
              <w:rPr>
                <w:rFonts w:ascii="Arial"/>
                <w:sz w:val="21"/>
              </w:rPr>
            </w:pPr>
          </w:p>
          <w:p w14:paraId="5662FAB4">
            <w:pPr>
              <w:spacing w:line="256" w:lineRule="auto"/>
              <w:rPr>
                <w:rFonts w:ascii="Arial"/>
                <w:sz w:val="21"/>
              </w:rPr>
            </w:pPr>
          </w:p>
          <w:p w14:paraId="426D552A">
            <w:pPr>
              <w:pStyle w:val="6"/>
              <w:spacing w:before="65" w:line="289" w:lineRule="auto"/>
              <w:ind w:left="137" w:right="134"/>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57" w:type="dxa"/>
            <w:vAlign w:val="top"/>
          </w:tcPr>
          <w:p w14:paraId="56734FC1">
            <w:pPr>
              <w:spacing w:line="305" w:lineRule="auto"/>
              <w:rPr>
                <w:rFonts w:ascii="Arial"/>
                <w:sz w:val="21"/>
              </w:rPr>
            </w:pPr>
          </w:p>
          <w:p w14:paraId="3BAD9D2E">
            <w:pPr>
              <w:spacing w:line="306" w:lineRule="auto"/>
              <w:rPr>
                <w:rFonts w:ascii="Arial"/>
                <w:sz w:val="21"/>
              </w:rPr>
            </w:pPr>
          </w:p>
          <w:p w14:paraId="138E157B">
            <w:pPr>
              <w:pStyle w:val="6"/>
              <w:spacing w:before="65" w:line="228" w:lineRule="auto"/>
              <w:ind w:left="108"/>
            </w:pPr>
            <w:r>
              <w:rPr>
                <w:spacing w:val="5"/>
              </w:rPr>
              <w:t>双回线路（单</w:t>
            </w:r>
          </w:p>
          <w:p w14:paraId="512572B8">
            <w:pPr>
              <w:pStyle w:val="6"/>
              <w:spacing w:before="65" w:line="228" w:lineRule="auto"/>
              <w:ind w:left="203"/>
            </w:pPr>
            <w:r>
              <w:rPr>
                <w:spacing w:val="8"/>
              </w:rPr>
              <w:t>边挂线）北</w:t>
            </w:r>
          </w:p>
          <w:p w14:paraId="27E4094F">
            <w:pPr>
              <w:pStyle w:val="6"/>
              <w:spacing w:before="64" w:line="228" w:lineRule="auto"/>
              <w:ind w:left="106"/>
            </w:pPr>
            <w:r>
              <w:rPr>
                <w:spacing w:val="-1"/>
              </w:rPr>
              <w:t>侧，</w:t>
            </w:r>
            <w:r>
              <w:rPr>
                <w:rFonts w:ascii="Times New Roman" w:hAnsi="Times New Roman" w:eastAsia="Times New Roman" w:cs="Times New Roman"/>
                <w:spacing w:val="-1"/>
              </w:rPr>
              <w:t>AZ7+1</w:t>
            </w:r>
            <w:r>
              <w:rPr>
                <w:rFonts w:ascii="Times New Roman" w:hAnsi="Times New Roman" w:eastAsia="Times New Roman" w:cs="Times New Roman"/>
                <w:spacing w:val="12"/>
              </w:rPr>
              <w:t xml:space="preserve"> </w:t>
            </w:r>
            <w:r>
              <w:rPr>
                <w:spacing w:val="-1"/>
              </w:rPr>
              <w:t>塔</w:t>
            </w:r>
          </w:p>
          <w:p w14:paraId="5CBBB545">
            <w:pPr>
              <w:pStyle w:val="6"/>
              <w:spacing w:before="65" w:line="228" w:lineRule="auto"/>
              <w:ind w:left="309"/>
            </w:pPr>
            <w:r>
              <w:rPr>
                <w:spacing w:val="8"/>
              </w:rPr>
              <w:t>基东南侧</w:t>
            </w:r>
          </w:p>
          <w:p w14:paraId="1D218EBC">
            <w:pPr>
              <w:spacing w:before="101" w:line="195" w:lineRule="auto"/>
              <w:ind w:left="50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140m</w:t>
            </w:r>
          </w:p>
        </w:tc>
        <w:tc>
          <w:tcPr>
            <w:tcW w:w="1449" w:type="dxa"/>
            <w:tcBorders>
              <w:right w:val="single" w:color="000000" w:sz="2" w:space="0"/>
            </w:tcBorders>
            <w:vAlign w:val="top"/>
          </w:tcPr>
          <w:p w14:paraId="461D1AA6">
            <w:pPr>
              <w:spacing w:line="307" w:lineRule="auto"/>
              <w:rPr>
                <w:rFonts w:ascii="Arial"/>
                <w:sz w:val="21"/>
              </w:rPr>
            </w:pPr>
          </w:p>
          <w:p w14:paraId="3791362D">
            <w:pPr>
              <w:spacing w:line="307" w:lineRule="auto"/>
              <w:rPr>
                <w:rFonts w:ascii="Arial"/>
                <w:sz w:val="21"/>
              </w:rPr>
            </w:pPr>
          </w:p>
          <w:p w14:paraId="250E7A1A">
            <w:pPr>
              <w:spacing w:line="308" w:lineRule="auto"/>
              <w:rPr>
                <w:rFonts w:ascii="Arial"/>
                <w:sz w:val="21"/>
              </w:rPr>
            </w:pPr>
          </w:p>
          <w:p w14:paraId="2DA87421">
            <w:pPr>
              <w:pStyle w:val="6"/>
              <w:spacing w:before="65" w:line="289" w:lineRule="auto"/>
              <w:ind w:left="112" w:right="106" w:firstLine="64"/>
              <w:jc w:val="both"/>
              <w:rPr>
                <w:rFonts w:ascii="Times New Roman" w:hAnsi="Times New Roman" w:eastAsia="Times New Roman" w:cs="Times New Roman"/>
              </w:rPr>
            </w:pPr>
            <w:r>
              <w:t>位于</w:t>
            </w:r>
            <w:r>
              <w:rPr>
                <w:spacing w:val="-41"/>
              </w:rPr>
              <w:t xml:space="preserve"> </w:t>
            </w:r>
            <w:r>
              <w:rPr>
                <w:rFonts w:ascii="Times New Roman" w:hAnsi="Times New Roman" w:eastAsia="Times New Roman" w:cs="Times New Roman"/>
              </w:rPr>
              <w:t>A</w:t>
            </w:r>
            <w:r>
              <w:rPr>
                <w:rFonts w:ascii="Times New Roman" w:hAnsi="Times New Roman" w:eastAsia="Times New Roman" w:cs="Times New Roman"/>
                <w:spacing w:val="32"/>
              </w:rPr>
              <w:t xml:space="preserve"> </w:t>
            </w:r>
            <w:r>
              <w:t>回线</w:t>
            </w:r>
            <w:r>
              <w:rPr>
                <w:spacing w:val="25"/>
              </w:rPr>
              <w:t>边导线地面</w:t>
            </w:r>
            <w:r>
              <w:rPr>
                <w:spacing w:val="1"/>
              </w:rPr>
              <w:t>投影北侧</w:t>
            </w:r>
            <w:r>
              <w:rPr>
                <w:spacing w:val="-42"/>
              </w:rPr>
              <w:t xml:space="preserve"> </w:t>
            </w:r>
            <w:r>
              <w:rPr>
                <w:rFonts w:ascii="Times New Roman" w:hAnsi="Times New Roman" w:eastAsia="Times New Roman" w:cs="Times New Roman"/>
                <w:spacing w:val="1"/>
              </w:rPr>
              <w:t>11m</w:t>
            </w:r>
          </w:p>
        </w:tc>
        <w:tc>
          <w:tcPr>
            <w:tcW w:w="1163" w:type="dxa"/>
            <w:tcBorders>
              <w:left w:val="single" w:color="000000" w:sz="2" w:space="0"/>
              <w:right w:val="single" w:color="000000" w:sz="2" w:space="0"/>
            </w:tcBorders>
            <w:vAlign w:val="top"/>
          </w:tcPr>
          <w:p w14:paraId="1364EF9E">
            <w:pPr>
              <w:spacing w:line="255" w:lineRule="auto"/>
              <w:rPr>
                <w:rFonts w:ascii="Arial"/>
                <w:sz w:val="21"/>
              </w:rPr>
            </w:pPr>
          </w:p>
          <w:p w14:paraId="67716F6E">
            <w:pPr>
              <w:spacing w:line="255" w:lineRule="auto"/>
              <w:rPr>
                <w:rFonts w:ascii="Arial"/>
                <w:sz w:val="21"/>
              </w:rPr>
            </w:pPr>
          </w:p>
          <w:p w14:paraId="00CB62DD">
            <w:pPr>
              <w:spacing w:line="255" w:lineRule="auto"/>
              <w:rPr>
                <w:rFonts w:ascii="Arial"/>
                <w:sz w:val="21"/>
              </w:rPr>
            </w:pPr>
          </w:p>
          <w:p w14:paraId="6E0C0B23">
            <w:pPr>
              <w:spacing w:line="255" w:lineRule="auto"/>
              <w:rPr>
                <w:rFonts w:ascii="Arial"/>
                <w:sz w:val="21"/>
              </w:rPr>
            </w:pPr>
          </w:p>
          <w:p w14:paraId="38B0C874">
            <w:pPr>
              <w:spacing w:line="255" w:lineRule="auto"/>
              <w:rPr>
                <w:rFonts w:ascii="Arial"/>
                <w:sz w:val="21"/>
              </w:rPr>
            </w:pPr>
          </w:p>
          <w:p w14:paraId="2CCD7033">
            <w:pPr>
              <w:spacing w:before="58" w:line="195" w:lineRule="auto"/>
              <w:ind w:left="41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16m</w:t>
            </w:r>
          </w:p>
        </w:tc>
        <w:tc>
          <w:tcPr>
            <w:tcW w:w="661" w:type="dxa"/>
            <w:tcBorders>
              <w:left w:val="single" w:color="000000" w:sz="2" w:space="0"/>
            </w:tcBorders>
            <w:vAlign w:val="top"/>
          </w:tcPr>
          <w:p w14:paraId="277DC73F">
            <w:pPr>
              <w:spacing w:line="255" w:lineRule="auto"/>
              <w:rPr>
                <w:rFonts w:ascii="Arial"/>
                <w:sz w:val="21"/>
              </w:rPr>
            </w:pPr>
          </w:p>
          <w:p w14:paraId="547C1B89">
            <w:pPr>
              <w:spacing w:line="255" w:lineRule="auto"/>
              <w:rPr>
                <w:rFonts w:ascii="Arial"/>
                <w:sz w:val="21"/>
              </w:rPr>
            </w:pPr>
          </w:p>
          <w:p w14:paraId="260CD709">
            <w:pPr>
              <w:spacing w:line="256" w:lineRule="auto"/>
              <w:rPr>
                <w:rFonts w:ascii="Arial"/>
                <w:sz w:val="21"/>
              </w:rPr>
            </w:pPr>
          </w:p>
          <w:p w14:paraId="373B91DB">
            <w:pPr>
              <w:spacing w:line="256" w:lineRule="auto"/>
              <w:rPr>
                <w:rFonts w:ascii="Arial"/>
                <w:sz w:val="21"/>
              </w:rPr>
            </w:pPr>
          </w:p>
          <w:p w14:paraId="49871358">
            <w:pPr>
              <w:spacing w:line="256" w:lineRule="auto"/>
              <w:rPr>
                <w:rFonts w:ascii="Arial"/>
                <w:sz w:val="21"/>
              </w:rPr>
            </w:pPr>
          </w:p>
          <w:p w14:paraId="69FBE6D2">
            <w:pPr>
              <w:spacing w:before="57" w:line="192"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4042" w:type="dxa"/>
            <w:vAlign w:val="top"/>
          </w:tcPr>
          <w:p w14:paraId="71FB8547">
            <w:pPr>
              <w:spacing w:before="48" w:line="2722" w:lineRule="exact"/>
              <w:ind w:firstLine="155"/>
            </w:pPr>
            <w:r>
              <w:rPr>
                <w:position w:val="-54"/>
              </w:rPr>
              <w:drawing>
                <wp:inline distT="0" distB="0" distL="0" distR="0">
                  <wp:extent cx="2364740" cy="1727835"/>
                  <wp:effectExtent l="0" t="0" r="0" b="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278"/>
                          <a:stretch>
                            <a:fillRect/>
                          </a:stretch>
                        </pic:blipFill>
                        <pic:spPr>
                          <a:xfrm>
                            <a:off x="0" y="0"/>
                            <a:ext cx="2365247" cy="1728216"/>
                          </a:xfrm>
                          <a:prstGeom prst="rect">
                            <a:avLst/>
                          </a:prstGeom>
                        </pic:spPr>
                      </pic:pic>
                    </a:graphicData>
                  </a:graphic>
                </wp:inline>
              </w:drawing>
            </w:r>
          </w:p>
        </w:tc>
        <w:tc>
          <w:tcPr>
            <w:tcW w:w="1182" w:type="dxa"/>
            <w:vMerge w:val="continue"/>
            <w:tcBorders>
              <w:top w:val="nil"/>
              <w:bottom w:val="single" w:color="000000" w:sz="2" w:space="0"/>
            </w:tcBorders>
            <w:vAlign w:val="top"/>
          </w:tcPr>
          <w:p w14:paraId="1D09EDA2">
            <w:pPr>
              <w:rPr>
                <w:rFonts w:ascii="Arial"/>
                <w:sz w:val="21"/>
              </w:rPr>
            </w:pPr>
          </w:p>
        </w:tc>
      </w:tr>
    </w:tbl>
    <w:p w14:paraId="63DF7A8C">
      <w:pPr>
        <w:rPr>
          <w:rFonts w:ascii="Arial"/>
          <w:sz w:val="21"/>
        </w:rPr>
      </w:pPr>
    </w:p>
    <w:p w14:paraId="1D0B760D">
      <w:pPr>
        <w:rPr>
          <w:rFonts w:ascii="Arial" w:hAnsi="Arial" w:eastAsia="Arial" w:cs="Arial"/>
          <w:sz w:val="21"/>
          <w:szCs w:val="21"/>
        </w:rPr>
        <w:sectPr>
          <w:footerReference r:id="rId163" w:type="default"/>
          <w:pgSz w:w="16839" w:h="11906"/>
          <w:pgMar w:top="400" w:right="1242" w:bottom="919" w:left="1242" w:header="0" w:footer="732" w:gutter="0"/>
          <w:cols w:space="720" w:num="1"/>
        </w:sectPr>
      </w:pPr>
    </w:p>
    <w:p w14:paraId="465226F9">
      <w:pPr>
        <w:spacing w:before="12"/>
      </w:pPr>
    </w:p>
    <w:p w14:paraId="0C2A8DF6">
      <w:pPr>
        <w:spacing w:before="12"/>
      </w:pPr>
    </w:p>
    <w:tbl>
      <w:tblPr>
        <w:tblStyle w:val="5"/>
        <w:tblW w:w="1434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6"/>
        <w:gridCol w:w="1207"/>
        <w:gridCol w:w="730"/>
        <w:gridCol w:w="682"/>
        <w:gridCol w:w="903"/>
        <w:gridCol w:w="1457"/>
        <w:gridCol w:w="1449"/>
        <w:gridCol w:w="1163"/>
        <w:gridCol w:w="661"/>
        <w:gridCol w:w="4042"/>
        <w:gridCol w:w="1182"/>
      </w:tblGrid>
      <w:tr w14:paraId="0A0AB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atLeast"/>
        </w:trPr>
        <w:tc>
          <w:tcPr>
            <w:tcW w:w="866" w:type="dxa"/>
            <w:tcBorders>
              <w:right w:val="single" w:color="000000" w:sz="2" w:space="0"/>
            </w:tcBorders>
            <w:shd w:val="clear" w:color="auto" w:fill="BEBEBE"/>
            <w:vAlign w:val="top"/>
          </w:tcPr>
          <w:p w14:paraId="3D4B1FF0">
            <w:pPr>
              <w:spacing w:line="301" w:lineRule="auto"/>
              <w:rPr>
                <w:rFonts w:ascii="Arial"/>
                <w:sz w:val="21"/>
              </w:rPr>
            </w:pPr>
          </w:p>
          <w:p w14:paraId="13725D1B">
            <w:pPr>
              <w:pStyle w:val="6"/>
              <w:spacing w:before="65" w:line="228" w:lineRule="auto"/>
              <w:ind w:left="226"/>
            </w:pPr>
            <w:r>
              <w:rPr>
                <w:b/>
                <w:bCs/>
                <w:spacing w:val="2"/>
              </w:rPr>
              <w:t>分区</w:t>
            </w:r>
          </w:p>
        </w:tc>
        <w:tc>
          <w:tcPr>
            <w:tcW w:w="1207" w:type="dxa"/>
            <w:tcBorders>
              <w:left w:val="single" w:color="000000" w:sz="2" w:space="0"/>
            </w:tcBorders>
            <w:shd w:val="clear" w:color="auto" w:fill="BEBEBE"/>
            <w:vAlign w:val="top"/>
          </w:tcPr>
          <w:p w14:paraId="3275527D">
            <w:pPr>
              <w:pStyle w:val="6"/>
              <w:spacing w:before="211" w:line="290" w:lineRule="auto"/>
              <w:ind w:left="432" w:right="394" w:hanging="39"/>
            </w:pPr>
            <w:r>
              <w:rPr>
                <w:b/>
                <w:bCs/>
                <w:spacing w:val="3"/>
              </w:rPr>
              <w:t>保护</w:t>
            </w:r>
            <w:r>
              <w:rPr>
                <w:b/>
                <w:bCs/>
                <w:spacing w:val="-17"/>
              </w:rPr>
              <w:t>目标</w:t>
            </w:r>
          </w:p>
        </w:tc>
        <w:tc>
          <w:tcPr>
            <w:tcW w:w="730" w:type="dxa"/>
            <w:shd w:val="clear" w:color="auto" w:fill="BEBEBE"/>
            <w:vAlign w:val="top"/>
          </w:tcPr>
          <w:p w14:paraId="30614D0D">
            <w:pPr>
              <w:spacing w:line="301" w:lineRule="auto"/>
              <w:rPr>
                <w:rFonts w:ascii="Arial"/>
                <w:sz w:val="21"/>
              </w:rPr>
            </w:pPr>
          </w:p>
          <w:p w14:paraId="12A63A39">
            <w:pPr>
              <w:pStyle w:val="6"/>
              <w:spacing w:before="65" w:line="229" w:lineRule="auto"/>
              <w:ind w:left="156"/>
            </w:pPr>
            <w:r>
              <w:rPr>
                <w:b/>
                <w:bCs/>
                <w:spacing w:val="2"/>
              </w:rPr>
              <w:t>功能</w:t>
            </w:r>
          </w:p>
        </w:tc>
        <w:tc>
          <w:tcPr>
            <w:tcW w:w="682" w:type="dxa"/>
            <w:shd w:val="clear" w:color="auto" w:fill="BEBEBE"/>
            <w:vAlign w:val="top"/>
          </w:tcPr>
          <w:p w14:paraId="10D71680">
            <w:pPr>
              <w:spacing w:line="301" w:lineRule="auto"/>
              <w:rPr>
                <w:rFonts w:ascii="Arial"/>
                <w:sz w:val="21"/>
              </w:rPr>
            </w:pPr>
          </w:p>
          <w:p w14:paraId="341339A6">
            <w:pPr>
              <w:pStyle w:val="6"/>
              <w:spacing w:before="65" w:line="228" w:lineRule="auto"/>
              <w:ind w:left="131"/>
            </w:pPr>
            <w:r>
              <w:rPr>
                <w:b/>
                <w:bCs/>
                <w:spacing w:val="3"/>
              </w:rPr>
              <w:t>规模</w:t>
            </w:r>
          </w:p>
        </w:tc>
        <w:tc>
          <w:tcPr>
            <w:tcW w:w="903" w:type="dxa"/>
            <w:shd w:val="clear" w:color="auto" w:fill="BEBEBE"/>
            <w:vAlign w:val="top"/>
          </w:tcPr>
          <w:p w14:paraId="5BBA129B">
            <w:pPr>
              <w:pStyle w:val="6"/>
              <w:spacing w:before="56" w:line="228" w:lineRule="auto"/>
              <w:ind w:left="137"/>
            </w:pPr>
            <w:r>
              <w:rPr>
                <w:b/>
                <w:bCs/>
                <w:spacing w:val="4"/>
              </w:rPr>
              <w:t>建筑物</w:t>
            </w:r>
          </w:p>
          <w:p w14:paraId="46A9EA48">
            <w:pPr>
              <w:pStyle w:val="6"/>
              <w:spacing w:before="64" w:line="228" w:lineRule="auto"/>
              <w:ind w:left="140"/>
            </w:pPr>
            <w:r>
              <w:rPr>
                <w:b/>
                <w:bCs/>
                <w:spacing w:val="3"/>
              </w:rPr>
              <w:t>结构及</w:t>
            </w:r>
          </w:p>
          <w:p w14:paraId="7E16E814">
            <w:pPr>
              <w:pStyle w:val="6"/>
              <w:spacing w:before="64" w:line="228" w:lineRule="auto"/>
              <w:ind w:left="246"/>
            </w:pPr>
            <w:r>
              <w:rPr>
                <w:b/>
                <w:bCs/>
                <w:spacing w:val="1"/>
              </w:rPr>
              <w:t>高度</w:t>
            </w:r>
          </w:p>
        </w:tc>
        <w:tc>
          <w:tcPr>
            <w:tcW w:w="1457" w:type="dxa"/>
            <w:shd w:val="clear" w:color="auto" w:fill="BEBEBE"/>
            <w:vAlign w:val="top"/>
          </w:tcPr>
          <w:p w14:paraId="4D68DCEB">
            <w:pPr>
              <w:spacing w:line="301" w:lineRule="auto"/>
              <w:rPr>
                <w:rFonts w:ascii="Arial"/>
                <w:sz w:val="21"/>
              </w:rPr>
            </w:pPr>
          </w:p>
          <w:p w14:paraId="339B8CF3">
            <w:pPr>
              <w:pStyle w:val="6"/>
              <w:spacing w:before="65" w:line="228" w:lineRule="auto"/>
              <w:ind w:left="279"/>
            </w:pPr>
            <w:r>
              <w:rPr>
                <w:b/>
                <w:bCs/>
                <w:spacing w:val="5"/>
              </w:rPr>
              <w:t>方位</w:t>
            </w:r>
            <w:r>
              <w:rPr>
                <w:rFonts w:ascii="Times New Roman" w:hAnsi="Times New Roman" w:eastAsia="Times New Roman" w:cs="Times New Roman"/>
                <w:b/>
                <w:bCs/>
                <w:spacing w:val="5"/>
              </w:rPr>
              <w:t>/</w:t>
            </w:r>
            <w:r>
              <w:rPr>
                <w:b/>
                <w:bCs/>
                <w:spacing w:val="5"/>
              </w:rPr>
              <w:t>距离</w:t>
            </w:r>
          </w:p>
        </w:tc>
        <w:tc>
          <w:tcPr>
            <w:tcW w:w="1449" w:type="dxa"/>
            <w:tcBorders>
              <w:right w:val="single" w:color="000000" w:sz="2" w:space="0"/>
            </w:tcBorders>
            <w:shd w:val="clear" w:color="auto" w:fill="BEBEBE"/>
            <w:vAlign w:val="top"/>
          </w:tcPr>
          <w:p w14:paraId="0D5BFB03">
            <w:pPr>
              <w:pStyle w:val="6"/>
              <w:spacing w:before="56" w:line="228" w:lineRule="auto"/>
              <w:ind w:left="308"/>
            </w:pPr>
            <w:r>
              <w:rPr>
                <w:b/>
                <w:bCs/>
                <w:spacing w:val="5"/>
              </w:rPr>
              <w:t>与线路边</w:t>
            </w:r>
          </w:p>
          <w:p w14:paraId="33000D95">
            <w:pPr>
              <w:pStyle w:val="6"/>
              <w:spacing w:before="65" w:line="228" w:lineRule="auto"/>
              <w:ind w:left="310"/>
            </w:pPr>
            <w:r>
              <w:rPr>
                <w:b/>
                <w:bCs/>
                <w:spacing w:val="5"/>
              </w:rPr>
              <w:t>导线投影</w:t>
            </w:r>
          </w:p>
          <w:p w14:paraId="02F5D6AA">
            <w:pPr>
              <w:pStyle w:val="6"/>
              <w:spacing w:before="64" w:line="228" w:lineRule="auto"/>
              <w:ind w:left="307"/>
            </w:pPr>
            <w:r>
              <w:rPr>
                <w:b/>
                <w:bCs/>
                <w:spacing w:val="5"/>
              </w:rPr>
              <w:t>水平距离</w:t>
            </w:r>
          </w:p>
        </w:tc>
        <w:tc>
          <w:tcPr>
            <w:tcW w:w="1163" w:type="dxa"/>
            <w:tcBorders>
              <w:left w:val="single" w:color="000000" w:sz="2" w:space="0"/>
              <w:right w:val="single" w:color="000000" w:sz="2" w:space="0"/>
            </w:tcBorders>
            <w:shd w:val="clear" w:color="auto" w:fill="BEBEBE"/>
            <w:vAlign w:val="top"/>
          </w:tcPr>
          <w:p w14:paraId="1FE08330">
            <w:pPr>
              <w:pStyle w:val="6"/>
              <w:spacing w:before="56" w:line="228" w:lineRule="auto"/>
              <w:ind w:left="170"/>
            </w:pPr>
            <w:r>
              <w:rPr>
                <w:b/>
                <w:bCs/>
                <w:spacing w:val="5"/>
              </w:rPr>
              <w:t>与线路中</w:t>
            </w:r>
          </w:p>
          <w:p w14:paraId="0A6DEE36">
            <w:pPr>
              <w:pStyle w:val="6"/>
              <w:spacing w:before="64" w:line="228" w:lineRule="auto"/>
              <w:ind w:left="173"/>
            </w:pPr>
            <w:r>
              <w:rPr>
                <w:b/>
                <w:bCs/>
                <w:spacing w:val="4"/>
              </w:rPr>
              <w:t>心最近直</w:t>
            </w:r>
          </w:p>
          <w:p w14:paraId="4FC9B78A">
            <w:pPr>
              <w:pStyle w:val="6"/>
              <w:spacing w:before="65" w:line="228" w:lineRule="auto"/>
              <w:ind w:left="274"/>
            </w:pPr>
            <w:r>
              <w:rPr>
                <w:b/>
                <w:bCs/>
                <w:spacing w:val="4"/>
              </w:rPr>
              <w:t>线距离</w:t>
            </w:r>
          </w:p>
        </w:tc>
        <w:tc>
          <w:tcPr>
            <w:tcW w:w="661" w:type="dxa"/>
            <w:tcBorders>
              <w:left w:val="single" w:color="000000" w:sz="2" w:space="0"/>
            </w:tcBorders>
            <w:shd w:val="clear" w:color="auto" w:fill="BEBEBE"/>
            <w:vAlign w:val="top"/>
          </w:tcPr>
          <w:p w14:paraId="04F78CFD">
            <w:pPr>
              <w:pStyle w:val="6"/>
              <w:spacing w:before="56" w:line="228" w:lineRule="auto"/>
              <w:ind w:left="132"/>
            </w:pPr>
            <w:r>
              <w:rPr>
                <w:b/>
                <w:bCs/>
                <w:spacing w:val="1"/>
              </w:rPr>
              <w:t>导线</w:t>
            </w:r>
          </w:p>
          <w:p w14:paraId="09F775B2">
            <w:pPr>
              <w:pStyle w:val="6"/>
              <w:spacing w:before="64" w:line="229" w:lineRule="auto"/>
              <w:ind w:left="125"/>
            </w:pPr>
            <w:r>
              <w:rPr>
                <w:b/>
                <w:bCs/>
                <w:spacing w:val="4"/>
              </w:rPr>
              <w:t>对地</w:t>
            </w:r>
          </w:p>
          <w:p w14:paraId="09E84B7F">
            <w:pPr>
              <w:pStyle w:val="6"/>
              <w:spacing w:before="63" w:line="228" w:lineRule="auto"/>
              <w:ind w:left="132"/>
            </w:pPr>
            <w:r>
              <w:rPr>
                <w:b/>
                <w:bCs/>
                <w:spacing w:val="1"/>
              </w:rPr>
              <w:t>高度</w:t>
            </w:r>
          </w:p>
        </w:tc>
        <w:tc>
          <w:tcPr>
            <w:tcW w:w="4042" w:type="dxa"/>
            <w:shd w:val="clear" w:color="auto" w:fill="BEBEBE"/>
            <w:vAlign w:val="top"/>
          </w:tcPr>
          <w:p w14:paraId="510763D1">
            <w:pPr>
              <w:spacing w:line="301" w:lineRule="auto"/>
              <w:rPr>
                <w:rFonts w:ascii="Arial"/>
                <w:sz w:val="21"/>
              </w:rPr>
            </w:pPr>
          </w:p>
          <w:p w14:paraId="29ADB68A">
            <w:pPr>
              <w:pStyle w:val="6"/>
              <w:spacing w:before="65" w:line="228" w:lineRule="auto"/>
              <w:ind w:left="1607"/>
            </w:pPr>
            <w:r>
              <w:rPr>
                <w:b/>
                <w:bCs/>
                <w:spacing w:val="6"/>
              </w:rPr>
              <w:t>现状照片</w:t>
            </w:r>
          </w:p>
        </w:tc>
        <w:tc>
          <w:tcPr>
            <w:tcW w:w="1182" w:type="dxa"/>
            <w:shd w:val="clear" w:color="auto" w:fill="BEBEBE"/>
            <w:vAlign w:val="top"/>
          </w:tcPr>
          <w:p w14:paraId="58EDC2FA">
            <w:pPr>
              <w:spacing w:line="301" w:lineRule="auto"/>
              <w:rPr>
                <w:rFonts w:ascii="Arial"/>
                <w:sz w:val="21"/>
              </w:rPr>
            </w:pPr>
          </w:p>
          <w:p w14:paraId="7E23098A">
            <w:pPr>
              <w:pStyle w:val="6"/>
              <w:spacing w:before="65" w:line="228" w:lineRule="auto"/>
              <w:ind w:left="173"/>
            </w:pPr>
            <w:r>
              <w:rPr>
                <w:b/>
                <w:bCs/>
                <w:spacing w:val="6"/>
              </w:rPr>
              <w:t>保护级别</w:t>
            </w:r>
          </w:p>
        </w:tc>
      </w:tr>
      <w:tr w14:paraId="42541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0" w:hRule="atLeast"/>
        </w:trPr>
        <w:tc>
          <w:tcPr>
            <w:tcW w:w="866" w:type="dxa"/>
            <w:tcBorders>
              <w:bottom w:val="nil"/>
              <w:right w:val="single" w:color="000000" w:sz="2" w:space="0"/>
            </w:tcBorders>
            <w:vAlign w:val="top"/>
          </w:tcPr>
          <w:p w14:paraId="60EFF714">
            <w:pPr>
              <w:rPr>
                <w:rFonts w:ascii="Arial"/>
                <w:sz w:val="21"/>
              </w:rPr>
            </w:pPr>
          </w:p>
        </w:tc>
        <w:tc>
          <w:tcPr>
            <w:tcW w:w="1207" w:type="dxa"/>
            <w:tcBorders>
              <w:left w:val="single" w:color="000000" w:sz="2" w:space="0"/>
            </w:tcBorders>
            <w:vAlign w:val="top"/>
          </w:tcPr>
          <w:p w14:paraId="78332052">
            <w:pPr>
              <w:spacing w:line="267" w:lineRule="auto"/>
              <w:rPr>
                <w:rFonts w:ascii="Arial"/>
                <w:sz w:val="21"/>
              </w:rPr>
            </w:pPr>
          </w:p>
          <w:p w14:paraId="18877C89">
            <w:pPr>
              <w:spacing w:line="267" w:lineRule="auto"/>
              <w:rPr>
                <w:rFonts w:ascii="Arial"/>
                <w:sz w:val="21"/>
              </w:rPr>
            </w:pPr>
          </w:p>
          <w:p w14:paraId="6D963FCC">
            <w:pPr>
              <w:spacing w:line="267" w:lineRule="auto"/>
              <w:rPr>
                <w:rFonts w:ascii="Arial"/>
                <w:sz w:val="21"/>
              </w:rPr>
            </w:pPr>
          </w:p>
          <w:p w14:paraId="1987A697">
            <w:pPr>
              <w:spacing w:line="268" w:lineRule="auto"/>
              <w:rPr>
                <w:rFonts w:ascii="Arial"/>
                <w:sz w:val="21"/>
              </w:rPr>
            </w:pPr>
          </w:p>
          <w:p w14:paraId="22DC5CA6">
            <w:pPr>
              <w:pStyle w:val="6"/>
              <w:spacing w:before="65" w:line="290" w:lineRule="auto"/>
              <w:ind w:left="289" w:right="183" w:hanging="109"/>
            </w:pPr>
            <w:r>
              <w:rPr>
                <w:rFonts w:ascii="MS PGothic" w:hAnsi="MS PGothic" w:eastAsia="MS PGothic" w:cs="MS PGothic"/>
                <w:spacing w:val="8"/>
              </w:rPr>
              <w:t>⑩</w:t>
            </w:r>
            <w:r>
              <w:rPr>
                <w:spacing w:val="8"/>
              </w:rPr>
              <w:t>菜地看</w:t>
            </w:r>
            <w:r>
              <w:rPr>
                <w:spacing w:val="6"/>
              </w:rPr>
              <w:t>护用房</w:t>
            </w:r>
          </w:p>
        </w:tc>
        <w:tc>
          <w:tcPr>
            <w:tcW w:w="730" w:type="dxa"/>
            <w:vAlign w:val="top"/>
          </w:tcPr>
          <w:p w14:paraId="22F85EBE">
            <w:pPr>
              <w:spacing w:line="304" w:lineRule="auto"/>
              <w:rPr>
                <w:rFonts w:ascii="Arial"/>
                <w:sz w:val="21"/>
              </w:rPr>
            </w:pPr>
          </w:p>
          <w:p w14:paraId="6F71FCD9">
            <w:pPr>
              <w:spacing w:line="305" w:lineRule="auto"/>
              <w:rPr>
                <w:rFonts w:ascii="Arial"/>
                <w:sz w:val="21"/>
              </w:rPr>
            </w:pPr>
          </w:p>
          <w:p w14:paraId="764B0776">
            <w:pPr>
              <w:spacing w:line="305" w:lineRule="auto"/>
              <w:rPr>
                <w:rFonts w:ascii="Arial"/>
                <w:sz w:val="21"/>
              </w:rPr>
            </w:pPr>
          </w:p>
          <w:p w14:paraId="337FA974">
            <w:pPr>
              <w:pStyle w:val="6"/>
              <w:spacing w:before="65" w:line="289" w:lineRule="auto"/>
              <w:ind w:left="154" w:right="155"/>
              <w:jc w:val="both"/>
            </w:pPr>
            <w:r>
              <w:rPr>
                <w:spacing w:val="4"/>
              </w:rPr>
              <w:t>农用</w:t>
            </w:r>
            <w:r>
              <w:rPr>
                <w:spacing w:val="5"/>
              </w:rPr>
              <w:t>物资仓库</w:t>
            </w:r>
          </w:p>
        </w:tc>
        <w:tc>
          <w:tcPr>
            <w:tcW w:w="682" w:type="dxa"/>
            <w:vAlign w:val="top"/>
          </w:tcPr>
          <w:p w14:paraId="32256D27">
            <w:pPr>
              <w:spacing w:line="267" w:lineRule="auto"/>
              <w:rPr>
                <w:rFonts w:ascii="Arial"/>
                <w:sz w:val="21"/>
              </w:rPr>
            </w:pPr>
          </w:p>
          <w:p w14:paraId="12F3EA4C">
            <w:pPr>
              <w:spacing w:line="267" w:lineRule="auto"/>
              <w:rPr>
                <w:rFonts w:ascii="Arial"/>
                <w:sz w:val="21"/>
              </w:rPr>
            </w:pPr>
          </w:p>
          <w:p w14:paraId="19A8B038">
            <w:pPr>
              <w:spacing w:line="267" w:lineRule="auto"/>
              <w:rPr>
                <w:rFonts w:ascii="Arial"/>
                <w:sz w:val="21"/>
              </w:rPr>
            </w:pPr>
          </w:p>
          <w:p w14:paraId="42E0294E">
            <w:pPr>
              <w:spacing w:line="268" w:lineRule="auto"/>
              <w:rPr>
                <w:rFonts w:ascii="Arial"/>
                <w:sz w:val="21"/>
              </w:rPr>
            </w:pPr>
          </w:p>
          <w:p w14:paraId="68F71816">
            <w:pPr>
              <w:pStyle w:val="6"/>
              <w:spacing w:before="65" w:line="291" w:lineRule="auto"/>
              <w:ind w:left="153" w:right="158"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903" w:type="dxa"/>
            <w:vAlign w:val="top"/>
          </w:tcPr>
          <w:p w14:paraId="68D02C66">
            <w:pPr>
              <w:spacing w:line="252" w:lineRule="auto"/>
              <w:rPr>
                <w:rFonts w:ascii="Arial"/>
                <w:sz w:val="21"/>
              </w:rPr>
            </w:pPr>
          </w:p>
          <w:p w14:paraId="43060F21">
            <w:pPr>
              <w:spacing w:line="253" w:lineRule="auto"/>
              <w:rPr>
                <w:rFonts w:ascii="Arial"/>
                <w:sz w:val="21"/>
              </w:rPr>
            </w:pPr>
          </w:p>
          <w:p w14:paraId="12A1629B">
            <w:pPr>
              <w:spacing w:line="253" w:lineRule="auto"/>
              <w:rPr>
                <w:rFonts w:ascii="Arial"/>
                <w:sz w:val="21"/>
              </w:rPr>
            </w:pPr>
          </w:p>
          <w:p w14:paraId="74EFE8E6">
            <w:pPr>
              <w:pStyle w:val="6"/>
              <w:spacing w:before="65" w:line="289" w:lineRule="auto"/>
              <w:ind w:left="137" w:right="134"/>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57" w:type="dxa"/>
            <w:vAlign w:val="top"/>
          </w:tcPr>
          <w:p w14:paraId="30B3FA5D">
            <w:pPr>
              <w:pStyle w:val="6"/>
              <w:spacing w:before="205" w:line="229" w:lineRule="auto"/>
              <w:ind w:left="110"/>
            </w:pPr>
            <w:r>
              <w:rPr>
                <w:spacing w:val="1"/>
              </w:rPr>
              <w:t>位于</w:t>
            </w:r>
            <w:r>
              <w:rPr>
                <w:spacing w:val="-42"/>
              </w:rPr>
              <w:t xml:space="preserve"> </w:t>
            </w:r>
            <w:r>
              <w:rPr>
                <w:rFonts w:ascii="Times New Roman" w:hAnsi="Times New Roman" w:eastAsia="Times New Roman" w:cs="Times New Roman"/>
                <w:spacing w:val="1"/>
              </w:rPr>
              <w:t>A</w:t>
            </w:r>
            <w:r>
              <w:rPr>
                <w:rFonts w:ascii="Times New Roman" w:hAnsi="Times New Roman" w:eastAsia="Times New Roman" w:cs="Times New Roman"/>
                <w:spacing w:val="-27"/>
              </w:rPr>
              <w:t xml:space="preserve"> </w:t>
            </w:r>
            <w:r>
              <w:rPr>
                <w:spacing w:val="1"/>
              </w:rPr>
              <w:t>、</w:t>
            </w:r>
            <w:r>
              <w:rPr>
                <w:rFonts w:ascii="Times New Roman" w:hAnsi="Times New Roman" w:eastAsia="Times New Roman" w:cs="Times New Roman"/>
                <w:spacing w:val="1"/>
              </w:rPr>
              <w:t>B</w:t>
            </w:r>
            <w:r>
              <w:rPr>
                <w:rFonts w:ascii="Times New Roman" w:hAnsi="Times New Roman" w:eastAsia="Times New Roman" w:cs="Times New Roman"/>
                <w:spacing w:val="31"/>
                <w:w w:val="101"/>
              </w:rPr>
              <w:t xml:space="preserve"> </w:t>
            </w:r>
            <w:r>
              <w:rPr>
                <w:spacing w:val="1"/>
              </w:rPr>
              <w:t>回</w:t>
            </w:r>
          </w:p>
          <w:p w14:paraId="7BF07E7A">
            <w:pPr>
              <w:pStyle w:val="6"/>
              <w:spacing w:before="63" w:line="228" w:lineRule="auto"/>
              <w:ind w:left="110"/>
            </w:pPr>
            <w:r>
              <w:rPr>
                <w:spacing w:val="5"/>
              </w:rPr>
              <w:t>线路中间；菜</w:t>
            </w:r>
          </w:p>
          <w:p w14:paraId="106FF63D">
            <w:pPr>
              <w:pStyle w:val="6"/>
              <w:spacing w:before="65" w:line="228" w:lineRule="auto"/>
              <w:ind w:left="204"/>
            </w:pPr>
            <w:r>
              <w:rPr>
                <w:spacing w:val="8"/>
              </w:rPr>
              <w:t>地看护用房</w:t>
            </w:r>
          </w:p>
          <w:p w14:paraId="3ACBA8B7">
            <w:pPr>
              <w:pStyle w:val="6"/>
              <w:spacing w:before="65" w:line="228" w:lineRule="auto"/>
              <w:ind w:left="125"/>
              <w:rPr>
                <w:rFonts w:ascii="Times New Roman" w:hAnsi="Times New Roman" w:eastAsia="Times New Roman" w:cs="Times New Roman"/>
              </w:rPr>
            </w:pPr>
            <w:r>
              <w:rPr>
                <w:spacing w:val="4"/>
              </w:rPr>
              <w:t>的居住区与</w:t>
            </w:r>
            <w:r>
              <w:rPr>
                <w:spacing w:val="-43"/>
              </w:rPr>
              <w:t xml:space="preserve"> </w:t>
            </w:r>
            <w:r>
              <w:rPr>
                <w:rFonts w:ascii="Times New Roman" w:hAnsi="Times New Roman" w:eastAsia="Times New Roman" w:cs="Times New Roman"/>
                <w:spacing w:val="4"/>
              </w:rPr>
              <w:t>B</w:t>
            </w:r>
          </w:p>
          <w:p w14:paraId="5DA7DB28">
            <w:pPr>
              <w:pStyle w:val="6"/>
              <w:spacing w:before="65" w:line="228" w:lineRule="auto"/>
              <w:ind w:left="128"/>
            </w:pPr>
            <w:r>
              <w:rPr>
                <w:spacing w:val="3"/>
              </w:rPr>
              <w:t>回线（单回）</w:t>
            </w:r>
          </w:p>
          <w:p w14:paraId="54E797F4">
            <w:pPr>
              <w:pStyle w:val="6"/>
              <w:spacing w:before="64" w:line="228" w:lineRule="auto"/>
              <w:ind w:left="144"/>
              <w:rPr>
                <w:rFonts w:ascii="Times New Roman" w:hAnsi="Times New Roman" w:eastAsia="Times New Roman" w:cs="Times New Roman"/>
              </w:rPr>
            </w:pPr>
            <w:r>
              <w:rPr>
                <w:spacing w:val="6"/>
              </w:rPr>
              <w:t>南侧，</w:t>
            </w:r>
            <w:r>
              <w:rPr>
                <w:rFonts w:ascii="Times New Roman" w:hAnsi="Times New Roman" w:eastAsia="Times New Roman" w:cs="Times New Roman"/>
              </w:rPr>
              <w:t>BZ</w:t>
            </w:r>
            <w:r>
              <w:rPr>
                <w:rFonts w:ascii="Times New Roman" w:hAnsi="Times New Roman" w:eastAsia="Times New Roman" w:cs="Times New Roman"/>
                <w:spacing w:val="6"/>
              </w:rPr>
              <w:t>1-</w:t>
            </w:r>
            <w:r>
              <w:rPr>
                <w:rFonts w:ascii="Times New Roman" w:hAnsi="Times New Roman" w:eastAsia="Times New Roman" w:cs="Times New Roman"/>
                <w:spacing w:val="-23"/>
              </w:rPr>
              <w:t xml:space="preserve"> </w:t>
            </w:r>
            <w:r>
              <w:rPr>
                <w:rFonts w:ascii="Times New Roman" w:hAnsi="Times New Roman" w:eastAsia="Times New Roman" w:cs="Times New Roman"/>
                <w:spacing w:val="6"/>
              </w:rPr>
              <w:t>1</w:t>
            </w:r>
          </w:p>
          <w:p w14:paraId="4CB56385">
            <w:pPr>
              <w:pStyle w:val="6"/>
              <w:spacing w:before="65" w:line="228" w:lineRule="auto"/>
              <w:ind w:left="309"/>
            </w:pPr>
            <w:r>
              <w:rPr>
                <w:spacing w:val="8"/>
              </w:rPr>
              <w:t>塔基西侧</w:t>
            </w:r>
          </w:p>
          <w:p w14:paraId="5FCF3CCD">
            <w:pPr>
              <w:pStyle w:val="6"/>
              <w:spacing w:before="65" w:line="230" w:lineRule="auto"/>
              <w:ind w:left="439"/>
            </w:pPr>
            <w:r>
              <w:rPr>
                <w:rFonts w:ascii="Times New Roman" w:hAnsi="Times New Roman" w:eastAsia="Times New Roman" w:cs="Times New Roman"/>
                <w:spacing w:val="2"/>
              </w:rPr>
              <w:t>35m</w:t>
            </w:r>
            <w:r>
              <w:rPr>
                <w:spacing w:val="2"/>
              </w:rPr>
              <w:t>；</w:t>
            </w:r>
          </w:p>
        </w:tc>
        <w:tc>
          <w:tcPr>
            <w:tcW w:w="1449" w:type="dxa"/>
            <w:tcBorders>
              <w:right w:val="single" w:color="000000" w:sz="2" w:space="0"/>
            </w:tcBorders>
            <w:vAlign w:val="top"/>
          </w:tcPr>
          <w:p w14:paraId="710F8D60">
            <w:pPr>
              <w:spacing w:line="295" w:lineRule="auto"/>
              <w:rPr>
                <w:rFonts w:ascii="Arial"/>
                <w:sz w:val="21"/>
              </w:rPr>
            </w:pPr>
          </w:p>
          <w:p w14:paraId="05A75903">
            <w:pPr>
              <w:pStyle w:val="6"/>
              <w:spacing w:before="65" w:line="228" w:lineRule="auto"/>
              <w:ind w:left="184"/>
            </w:pPr>
            <w:r>
              <w:t>位于</w:t>
            </w:r>
            <w:r>
              <w:rPr>
                <w:spacing w:val="-44"/>
              </w:rPr>
              <w:t xml:space="preserve"> </w:t>
            </w:r>
            <w:r>
              <w:rPr>
                <w:rFonts w:ascii="Times New Roman" w:hAnsi="Times New Roman" w:eastAsia="Times New Roman" w:cs="Times New Roman"/>
              </w:rPr>
              <w:t>B</w:t>
            </w:r>
            <w:r>
              <w:rPr>
                <w:rFonts w:ascii="Times New Roman" w:hAnsi="Times New Roman" w:eastAsia="Times New Roman" w:cs="Times New Roman"/>
                <w:spacing w:val="34"/>
              </w:rPr>
              <w:t xml:space="preserve"> </w:t>
            </w:r>
            <w:r>
              <w:t>回线</w:t>
            </w:r>
          </w:p>
          <w:p w14:paraId="06EDABC0">
            <w:pPr>
              <w:pStyle w:val="6"/>
              <w:spacing w:before="64" w:line="228" w:lineRule="auto"/>
              <w:ind w:left="203"/>
            </w:pPr>
            <w:r>
              <w:rPr>
                <w:spacing w:val="7"/>
              </w:rPr>
              <w:t>路边导线地</w:t>
            </w:r>
          </w:p>
          <w:p w14:paraId="2D95857A">
            <w:pPr>
              <w:pStyle w:val="6"/>
              <w:spacing w:before="65" w:line="288" w:lineRule="auto"/>
              <w:ind w:left="170" w:right="173" w:firstLine="32"/>
              <w:jc w:val="both"/>
            </w:pPr>
            <w:r>
              <w:rPr>
                <w:spacing w:val="8"/>
              </w:rPr>
              <w:t>面投影西侧</w:t>
            </w:r>
            <w:r>
              <w:rPr>
                <w:rFonts w:ascii="Times New Roman" w:hAnsi="Times New Roman" w:eastAsia="Times New Roman" w:cs="Times New Roman"/>
                <w:spacing w:val="6"/>
              </w:rPr>
              <w:t>4m</w:t>
            </w:r>
            <w:r>
              <w:rPr>
                <w:spacing w:val="6"/>
              </w:rPr>
              <w:t>；位于</w:t>
            </w:r>
            <w:r>
              <w:rPr>
                <w:spacing w:val="-40"/>
              </w:rPr>
              <w:t xml:space="preserve"> </w:t>
            </w:r>
            <w:r>
              <w:rPr>
                <w:rFonts w:ascii="Times New Roman" w:hAnsi="Times New Roman" w:eastAsia="Times New Roman" w:cs="Times New Roman"/>
                <w:spacing w:val="6"/>
              </w:rPr>
              <w:t>A</w:t>
            </w:r>
            <w:r>
              <w:rPr>
                <w:spacing w:val="14"/>
              </w:rPr>
              <w:t>回线路边导</w:t>
            </w:r>
          </w:p>
          <w:p w14:paraId="76776D35">
            <w:pPr>
              <w:pStyle w:val="6"/>
              <w:spacing w:line="289" w:lineRule="auto"/>
              <w:ind w:left="201" w:right="199" w:firstLine="2"/>
            </w:pPr>
            <w:r>
              <w:rPr>
                <w:spacing w:val="7"/>
              </w:rPr>
              <w:t>线地面投影</w:t>
            </w:r>
            <w:r>
              <w:rPr>
                <w:spacing w:val="2"/>
              </w:rPr>
              <w:t>南侧</w:t>
            </w:r>
            <w:r>
              <w:rPr>
                <w:spacing w:val="-36"/>
              </w:rPr>
              <w:t xml:space="preserve"> </w:t>
            </w:r>
            <w:r>
              <w:rPr>
                <w:rFonts w:ascii="Times New Roman" w:hAnsi="Times New Roman" w:eastAsia="Times New Roman" w:cs="Times New Roman"/>
                <w:spacing w:val="2"/>
              </w:rPr>
              <w:t>70m</w:t>
            </w:r>
            <w:r>
              <w:rPr>
                <w:spacing w:val="2"/>
              </w:rPr>
              <w:t>；</w:t>
            </w:r>
          </w:p>
        </w:tc>
        <w:tc>
          <w:tcPr>
            <w:tcW w:w="1163" w:type="dxa"/>
            <w:tcBorders>
              <w:left w:val="single" w:color="000000" w:sz="2" w:space="0"/>
              <w:right w:val="single" w:color="000000" w:sz="2" w:space="0"/>
            </w:tcBorders>
            <w:vAlign w:val="top"/>
          </w:tcPr>
          <w:p w14:paraId="6F690F04">
            <w:pPr>
              <w:spacing w:line="253" w:lineRule="auto"/>
              <w:rPr>
                <w:rFonts w:ascii="Arial"/>
                <w:sz w:val="21"/>
              </w:rPr>
            </w:pPr>
          </w:p>
          <w:p w14:paraId="07DB1554">
            <w:pPr>
              <w:spacing w:line="253" w:lineRule="auto"/>
              <w:rPr>
                <w:rFonts w:ascii="Arial"/>
                <w:sz w:val="21"/>
              </w:rPr>
            </w:pPr>
          </w:p>
          <w:p w14:paraId="10173021">
            <w:pPr>
              <w:spacing w:line="254" w:lineRule="auto"/>
              <w:rPr>
                <w:rFonts w:ascii="Arial"/>
                <w:sz w:val="21"/>
              </w:rPr>
            </w:pPr>
          </w:p>
          <w:p w14:paraId="1CA72425">
            <w:pPr>
              <w:spacing w:line="254" w:lineRule="auto"/>
              <w:rPr>
                <w:rFonts w:ascii="Arial"/>
                <w:sz w:val="21"/>
              </w:rPr>
            </w:pPr>
          </w:p>
          <w:p w14:paraId="7058613D">
            <w:pPr>
              <w:spacing w:line="254" w:lineRule="auto"/>
              <w:rPr>
                <w:rFonts w:ascii="Arial"/>
                <w:sz w:val="21"/>
              </w:rPr>
            </w:pPr>
          </w:p>
          <w:p w14:paraId="718DE55F">
            <w:pPr>
              <w:spacing w:before="57" w:line="195" w:lineRule="auto"/>
              <w:ind w:left="45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9m</w:t>
            </w:r>
          </w:p>
        </w:tc>
        <w:tc>
          <w:tcPr>
            <w:tcW w:w="661" w:type="dxa"/>
            <w:tcBorders>
              <w:left w:val="single" w:color="000000" w:sz="2" w:space="0"/>
            </w:tcBorders>
            <w:vAlign w:val="top"/>
          </w:tcPr>
          <w:p w14:paraId="1FBB5915">
            <w:pPr>
              <w:spacing w:line="254" w:lineRule="auto"/>
              <w:rPr>
                <w:rFonts w:ascii="Arial"/>
                <w:sz w:val="21"/>
              </w:rPr>
            </w:pPr>
          </w:p>
          <w:p w14:paraId="29EDEC5D">
            <w:pPr>
              <w:spacing w:line="254" w:lineRule="auto"/>
              <w:rPr>
                <w:rFonts w:ascii="Arial"/>
                <w:sz w:val="21"/>
              </w:rPr>
            </w:pPr>
          </w:p>
          <w:p w14:paraId="1FB25720">
            <w:pPr>
              <w:spacing w:line="255" w:lineRule="auto"/>
              <w:rPr>
                <w:rFonts w:ascii="Arial"/>
                <w:sz w:val="21"/>
              </w:rPr>
            </w:pPr>
          </w:p>
          <w:p w14:paraId="4DB35E9C">
            <w:pPr>
              <w:spacing w:line="255" w:lineRule="auto"/>
              <w:rPr>
                <w:rFonts w:ascii="Arial"/>
                <w:sz w:val="21"/>
              </w:rPr>
            </w:pPr>
          </w:p>
          <w:p w14:paraId="1DE7A38F">
            <w:pPr>
              <w:spacing w:line="255" w:lineRule="auto"/>
              <w:rPr>
                <w:rFonts w:ascii="Arial"/>
                <w:sz w:val="21"/>
              </w:rPr>
            </w:pPr>
          </w:p>
          <w:p w14:paraId="434F5DD4">
            <w:pPr>
              <w:spacing w:before="58" w:line="192"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4042" w:type="dxa"/>
            <w:vAlign w:val="top"/>
          </w:tcPr>
          <w:p w14:paraId="30036498">
            <w:pPr>
              <w:spacing w:before="19" w:line="2765" w:lineRule="exact"/>
              <w:ind w:firstLine="174"/>
            </w:pPr>
            <w:r>
              <w:rPr>
                <w:position w:val="-55"/>
              </w:rPr>
              <w:drawing>
                <wp:inline distT="0" distB="0" distL="0" distR="0">
                  <wp:extent cx="2340610" cy="1755140"/>
                  <wp:effectExtent l="0" t="0" r="0" b="0"/>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r:embed="rId279"/>
                          <a:stretch>
                            <a:fillRect/>
                          </a:stretch>
                        </pic:blipFill>
                        <pic:spPr>
                          <a:xfrm>
                            <a:off x="0" y="0"/>
                            <a:ext cx="2340864" cy="1755647"/>
                          </a:xfrm>
                          <a:prstGeom prst="rect">
                            <a:avLst/>
                          </a:prstGeom>
                        </pic:spPr>
                      </pic:pic>
                    </a:graphicData>
                  </a:graphic>
                </wp:inline>
              </w:drawing>
            </w:r>
          </w:p>
        </w:tc>
        <w:tc>
          <w:tcPr>
            <w:tcW w:w="1182" w:type="dxa"/>
            <w:tcBorders>
              <w:bottom w:val="nil"/>
            </w:tcBorders>
            <w:vAlign w:val="top"/>
          </w:tcPr>
          <w:p w14:paraId="2A90A527">
            <w:pPr>
              <w:rPr>
                <w:rFonts w:ascii="Arial"/>
                <w:sz w:val="21"/>
              </w:rPr>
            </w:pPr>
          </w:p>
        </w:tc>
      </w:tr>
      <w:tr w14:paraId="57ABF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0" w:hRule="atLeast"/>
        </w:trPr>
        <w:tc>
          <w:tcPr>
            <w:tcW w:w="866" w:type="dxa"/>
            <w:vMerge w:val="restart"/>
            <w:tcBorders>
              <w:top w:val="nil"/>
              <w:bottom w:val="nil"/>
              <w:right w:val="single" w:color="000000" w:sz="2" w:space="0"/>
            </w:tcBorders>
            <w:vAlign w:val="top"/>
          </w:tcPr>
          <w:p w14:paraId="193057AD">
            <w:pPr>
              <w:spacing w:line="295" w:lineRule="auto"/>
              <w:rPr>
                <w:rFonts w:ascii="Arial"/>
                <w:sz w:val="21"/>
              </w:rPr>
            </w:pPr>
          </w:p>
          <w:p w14:paraId="361A2D4E">
            <w:pPr>
              <w:pStyle w:val="6"/>
              <w:spacing w:before="65" w:line="296" w:lineRule="auto"/>
              <w:ind w:left="119" w:right="119" w:firstLine="14"/>
              <w:jc w:val="both"/>
            </w:pPr>
            <w:r>
              <w:rPr>
                <w:rFonts w:ascii="Times New Roman" w:hAnsi="Times New Roman" w:eastAsia="Times New Roman" w:cs="Times New Roman"/>
                <w:spacing w:val="3"/>
              </w:rPr>
              <w:t>T</w:t>
            </w:r>
            <w:r>
              <w:rPr>
                <w:rFonts w:ascii="Times New Roman" w:hAnsi="Times New Roman" w:eastAsia="Times New Roman" w:cs="Times New Roman"/>
                <w:spacing w:val="9"/>
              </w:rPr>
              <w:t xml:space="preserve"> </w:t>
            </w:r>
            <w:r>
              <w:rPr>
                <w:spacing w:val="3"/>
              </w:rPr>
              <w:t>接芳</w:t>
            </w:r>
            <w:r>
              <w:rPr>
                <w:spacing w:val="34"/>
              </w:rPr>
              <w:t>华变~</w:t>
            </w:r>
            <w:r>
              <w:rPr>
                <w:spacing w:val="6"/>
              </w:rPr>
              <w:t>吉冲变</w:t>
            </w:r>
            <w:r>
              <w:rPr>
                <w:rFonts w:ascii="Times New Roman" w:hAnsi="Times New Roman" w:eastAsia="Times New Roman" w:cs="Times New Roman"/>
                <w:spacing w:val="14"/>
              </w:rPr>
              <w:t>110</w:t>
            </w:r>
            <w:r>
              <w:rPr>
                <w:rFonts w:ascii="Times New Roman" w:hAnsi="Times New Roman" w:eastAsia="Times New Roman" w:cs="Times New Roman"/>
              </w:rPr>
              <w:t xml:space="preserve">kV </w:t>
            </w:r>
            <w:r>
              <w:rPr>
                <w:rFonts w:ascii="Times New Roman" w:hAnsi="Times New Roman" w:eastAsia="Times New Roman" w:cs="Times New Roman"/>
                <w:spacing w:val="17"/>
              </w:rPr>
              <w:t>Ⅱ</w:t>
            </w:r>
            <w:r>
              <w:rPr>
                <w:spacing w:val="17"/>
              </w:rPr>
              <w:t>回线路（</w:t>
            </w:r>
            <w:r>
              <w:rPr>
                <w:rFonts w:ascii="Times New Roman" w:hAnsi="Times New Roman" w:eastAsia="Times New Roman" w:cs="Times New Roman"/>
                <w:spacing w:val="17"/>
              </w:rPr>
              <w:t>B</w:t>
            </w:r>
            <w:r>
              <w:rPr>
                <w:spacing w:val="2"/>
              </w:rPr>
              <w:t>回线）</w:t>
            </w:r>
          </w:p>
        </w:tc>
        <w:tc>
          <w:tcPr>
            <w:tcW w:w="1207" w:type="dxa"/>
            <w:tcBorders>
              <w:left w:val="single" w:color="000000" w:sz="2" w:space="0"/>
            </w:tcBorders>
            <w:vAlign w:val="top"/>
          </w:tcPr>
          <w:p w14:paraId="3470C8FA">
            <w:pPr>
              <w:spacing w:line="268" w:lineRule="auto"/>
              <w:rPr>
                <w:rFonts w:ascii="Arial"/>
                <w:sz w:val="21"/>
              </w:rPr>
            </w:pPr>
          </w:p>
          <w:p w14:paraId="114FF15C">
            <w:pPr>
              <w:spacing w:line="268" w:lineRule="auto"/>
              <w:rPr>
                <w:rFonts w:ascii="Arial"/>
                <w:sz w:val="21"/>
              </w:rPr>
            </w:pPr>
          </w:p>
          <w:p w14:paraId="52AA8E06">
            <w:pPr>
              <w:spacing w:line="268" w:lineRule="auto"/>
              <w:rPr>
                <w:rFonts w:ascii="Arial"/>
                <w:sz w:val="21"/>
              </w:rPr>
            </w:pPr>
          </w:p>
          <w:p w14:paraId="0150A116">
            <w:pPr>
              <w:spacing w:line="268" w:lineRule="auto"/>
              <w:rPr>
                <w:rFonts w:ascii="Arial"/>
                <w:sz w:val="21"/>
              </w:rPr>
            </w:pPr>
          </w:p>
          <w:p w14:paraId="4902D45E">
            <w:pPr>
              <w:pStyle w:val="6"/>
              <w:spacing w:before="65" w:line="290" w:lineRule="auto"/>
              <w:ind w:left="289" w:right="183" w:hanging="109"/>
            </w:pPr>
            <w:r>
              <w:rPr>
                <w:rFonts w:ascii="MS PGothic" w:hAnsi="MS PGothic" w:eastAsia="MS PGothic" w:cs="MS PGothic"/>
                <w:spacing w:val="8"/>
              </w:rPr>
              <w:t>⑩</w:t>
            </w:r>
            <w:r>
              <w:rPr>
                <w:spacing w:val="8"/>
              </w:rPr>
              <w:t>菜地看</w:t>
            </w:r>
            <w:r>
              <w:rPr>
                <w:spacing w:val="6"/>
              </w:rPr>
              <w:t>护用房</w:t>
            </w:r>
          </w:p>
        </w:tc>
        <w:tc>
          <w:tcPr>
            <w:tcW w:w="730" w:type="dxa"/>
            <w:vAlign w:val="top"/>
          </w:tcPr>
          <w:p w14:paraId="15457BD7">
            <w:pPr>
              <w:spacing w:line="302" w:lineRule="auto"/>
              <w:rPr>
                <w:rFonts w:ascii="Arial"/>
                <w:sz w:val="21"/>
              </w:rPr>
            </w:pPr>
          </w:p>
          <w:p w14:paraId="773F381E">
            <w:pPr>
              <w:spacing w:line="303" w:lineRule="auto"/>
              <w:rPr>
                <w:rFonts w:ascii="Arial"/>
                <w:sz w:val="21"/>
              </w:rPr>
            </w:pPr>
          </w:p>
          <w:p w14:paraId="49785BEA">
            <w:pPr>
              <w:pStyle w:val="6"/>
              <w:spacing w:before="65" w:line="289" w:lineRule="auto"/>
              <w:ind w:left="154" w:right="155" w:firstLine="2"/>
              <w:jc w:val="both"/>
            </w:pPr>
            <w:r>
              <w:rPr>
                <w:spacing w:val="3"/>
              </w:rPr>
              <w:t>居住</w:t>
            </w:r>
            <w:r>
              <w:rPr>
                <w:spacing w:val="5"/>
              </w:rPr>
              <w:t>及农用物资仓</w:t>
            </w:r>
            <w:r>
              <w:rPr>
                <w:spacing w:val="34"/>
                <w:w w:val="135"/>
              </w:rPr>
              <w:t>库</w:t>
            </w:r>
          </w:p>
        </w:tc>
        <w:tc>
          <w:tcPr>
            <w:tcW w:w="682" w:type="dxa"/>
            <w:vAlign w:val="top"/>
          </w:tcPr>
          <w:p w14:paraId="72D5E35C">
            <w:pPr>
              <w:spacing w:line="268" w:lineRule="auto"/>
              <w:rPr>
                <w:rFonts w:ascii="Arial"/>
                <w:sz w:val="21"/>
              </w:rPr>
            </w:pPr>
          </w:p>
          <w:p w14:paraId="2A74DACB">
            <w:pPr>
              <w:spacing w:line="268" w:lineRule="auto"/>
              <w:rPr>
                <w:rFonts w:ascii="Arial"/>
                <w:sz w:val="21"/>
              </w:rPr>
            </w:pPr>
          </w:p>
          <w:p w14:paraId="6547AAA9">
            <w:pPr>
              <w:spacing w:line="268" w:lineRule="auto"/>
              <w:rPr>
                <w:rFonts w:ascii="Arial"/>
                <w:sz w:val="21"/>
              </w:rPr>
            </w:pPr>
          </w:p>
          <w:p w14:paraId="566DD11A">
            <w:pPr>
              <w:spacing w:line="268" w:lineRule="auto"/>
              <w:rPr>
                <w:rFonts w:ascii="Arial"/>
                <w:sz w:val="21"/>
              </w:rPr>
            </w:pPr>
          </w:p>
          <w:p w14:paraId="2404E38F">
            <w:pPr>
              <w:pStyle w:val="6"/>
              <w:spacing w:before="65" w:line="291" w:lineRule="auto"/>
              <w:ind w:left="153" w:right="158"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903" w:type="dxa"/>
            <w:vAlign w:val="top"/>
          </w:tcPr>
          <w:p w14:paraId="0F704624">
            <w:pPr>
              <w:spacing w:line="253" w:lineRule="auto"/>
              <w:rPr>
                <w:rFonts w:ascii="Arial"/>
                <w:sz w:val="21"/>
              </w:rPr>
            </w:pPr>
          </w:p>
          <w:p w14:paraId="3E57ACBB">
            <w:pPr>
              <w:spacing w:line="254" w:lineRule="auto"/>
              <w:rPr>
                <w:rFonts w:ascii="Arial"/>
                <w:sz w:val="21"/>
              </w:rPr>
            </w:pPr>
          </w:p>
          <w:p w14:paraId="1AE5FBA7">
            <w:pPr>
              <w:spacing w:line="254" w:lineRule="auto"/>
              <w:rPr>
                <w:rFonts w:ascii="Arial"/>
                <w:sz w:val="21"/>
              </w:rPr>
            </w:pPr>
          </w:p>
          <w:p w14:paraId="4895822C">
            <w:pPr>
              <w:pStyle w:val="6"/>
              <w:spacing w:before="65" w:line="289" w:lineRule="auto"/>
              <w:ind w:left="137" w:right="134"/>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57" w:type="dxa"/>
            <w:vAlign w:val="top"/>
          </w:tcPr>
          <w:p w14:paraId="488542AF">
            <w:pPr>
              <w:spacing w:line="254" w:lineRule="auto"/>
              <w:rPr>
                <w:rFonts w:ascii="Arial"/>
                <w:sz w:val="21"/>
              </w:rPr>
            </w:pPr>
          </w:p>
          <w:p w14:paraId="49A4D035">
            <w:pPr>
              <w:spacing w:line="254" w:lineRule="auto"/>
              <w:rPr>
                <w:rFonts w:ascii="Arial"/>
                <w:sz w:val="21"/>
              </w:rPr>
            </w:pPr>
          </w:p>
          <w:p w14:paraId="72BFFA1F">
            <w:pPr>
              <w:spacing w:line="254" w:lineRule="auto"/>
              <w:rPr>
                <w:rFonts w:ascii="Arial"/>
                <w:sz w:val="21"/>
              </w:rPr>
            </w:pPr>
          </w:p>
          <w:p w14:paraId="7DB26097">
            <w:pPr>
              <w:pStyle w:val="6"/>
              <w:spacing w:before="65" w:line="228" w:lineRule="auto"/>
              <w:ind w:left="205"/>
            </w:pPr>
            <w:r>
              <w:rPr>
                <w:spacing w:val="7"/>
              </w:rPr>
              <w:t>单回线路西</w:t>
            </w:r>
          </w:p>
          <w:p w14:paraId="1E90F991">
            <w:pPr>
              <w:pStyle w:val="6"/>
              <w:spacing w:before="64" w:line="228" w:lineRule="auto"/>
              <w:ind w:left="125"/>
            </w:pPr>
            <w:r>
              <w:rPr>
                <w:spacing w:val="8"/>
              </w:rPr>
              <w:t>侧，</w:t>
            </w:r>
            <w:r>
              <w:rPr>
                <w:rFonts w:ascii="Times New Roman" w:hAnsi="Times New Roman" w:eastAsia="Times New Roman" w:cs="Times New Roman"/>
              </w:rPr>
              <w:t>BZ</w:t>
            </w:r>
            <w:r>
              <w:rPr>
                <w:rFonts w:ascii="Times New Roman" w:hAnsi="Times New Roman" w:eastAsia="Times New Roman" w:cs="Times New Roman"/>
                <w:spacing w:val="8"/>
              </w:rPr>
              <w:t xml:space="preserve">2G </w:t>
            </w:r>
            <w:r>
              <w:rPr>
                <w:spacing w:val="8"/>
              </w:rPr>
              <w:t>塔</w:t>
            </w:r>
          </w:p>
          <w:p w14:paraId="7F8AA423">
            <w:pPr>
              <w:pStyle w:val="6"/>
              <w:spacing w:before="65" w:line="228" w:lineRule="auto"/>
              <w:ind w:left="309"/>
            </w:pPr>
            <w:r>
              <w:rPr>
                <w:spacing w:val="8"/>
              </w:rPr>
              <w:t>基西南侧</w:t>
            </w:r>
          </w:p>
          <w:p w14:paraId="0F757158">
            <w:pPr>
              <w:pStyle w:val="6"/>
              <w:spacing w:before="65" w:line="230" w:lineRule="auto"/>
              <w:ind w:left="402"/>
            </w:pPr>
            <w:r>
              <w:rPr>
                <w:rFonts w:ascii="Times New Roman" w:hAnsi="Times New Roman" w:eastAsia="Times New Roman" w:cs="Times New Roman"/>
                <w:spacing w:val="-1"/>
              </w:rPr>
              <w:t>160m</w:t>
            </w:r>
            <w:r>
              <w:rPr>
                <w:spacing w:val="-1"/>
              </w:rPr>
              <w:t>；</w:t>
            </w:r>
          </w:p>
        </w:tc>
        <w:tc>
          <w:tcPr>
            <w:tcW w:w="1449" w:type="dxa"/>
            <w:tcBorders>
              <w:right w:val="single" w:color="000000" w:sz="2" w:space="0"/>
            </w:tcBorders>
            <w:vAlign w:val="top"/>
          </w:tcPr>
          <w:p w14:paraId="52259BFF">
            <w:pPr>
              <w:spacing w:line="305" w:lineRule="auto"/>
              <w:rPr>
                <w:rFonts w:ascii="Arial"/>
                <w:sz w:val="21"/>
              </w:rPr>
            </w:pPr>
          </w:p>
          <w:p w14:paraId="4EA85921">
            <w:pPr>
              <w:spacing w:line="306" w:lineRule="auto"/>
              <w:rPr>
                <w:rFonts w:ascii="Arial"/>
                <w:sz w:val="21"/>
              </w:rPr>
            </w:pPr>
          </w:p>
          <w:p w14:paraId="66DD1795">
            <w:pPr>
              <w:spacing w:line="306" w:lineRule="auto"/>
              <w:rPr>
                <w:rFonts w:ascii="Arial"/>
                <w:sz w:val="21"/>
              </w:rPr>
            </w:pPr>
          </w:p>
          <w:p w14:paraId="19E2D310">
            <w:pPr>
              <w:pStyle w:val="6"/>
              <w:spacing w:before="65" w:line="289" w:lineRule="auto"/>
              <w:ind w:left="148" w:right="144" w:firstLine="35"/>
              <w:jc w:val="both"/>
              <w:rPr>
                <w:rFonts w:ascii="Times New Roman" w:hAnsi="Times New Roman" w:eastAsia="Times New Roman" w:cs="Times New Roman"/>
              </w:rPr>
            </w:pPr>
            <w:r>
              <w:t>位于</w:t>
            </w:r>
            <w:r>
              <w:rPr>
                <w:spacing w:val="-44"/>
              </w:rPr>
              <w:t xml:space="preserve"> </w:t>
            </w:r>
            <w:r>
              <w:rPr>
                <w:rFonts w:ascii="Times New Roman" w:hAnsi="Times New Roman" w:eastAsia="Times New Roman" w:cs="Times New Roman"/>
              </w:rPr>
              <w:t>B</w:t>
            </w:r>
            <w:r>
              <w:rPr>
                <w:rFonts w:ascii="Times New Roman" w:hAnsi="Times New Roman" w:eastAsia="Times New Roman" w:cs="Times New Roman"/>
                <w:spacing w:val="34"/>
              </w:rPr>
              <w:t xml:space="preserve"> </w:t>
            </w:r>
            <w:r>
              <w:t>回线</w:t>
            </w:r>
            <w:r>
              <w:rPr>
                <w:spacing w:val="18"/>
              </w:rPr>
              <w:t>边导线地面</w:t>
            </w:r>
            <w:r>
              <w:rPr>
                <w:spacing w:val="4"/>
              </w:rPr>
              <w:t>投影西侧</w:t>
            </w:r>
            <w:r>
              <w:rPr>
                <w:spacing w:val="-33"/>
              </w:rPr>
              <w:t xml:space="preserve"> </w:t>
            </w:r>
            <w:r>
              <w:rPr>
                <w:rFonts w:ascii="Times New Roman" w:hAnsi="Times New Roman" w:eastAsia="Times New Roman" w:cs="Times New Roman"/>
                <w:spacing w:val="4"/>
              </w:rPr>
              <w:t>6m</w:t>
            </w:r>
          </w:p>
        </w:tc>
        <w:tc>
          <w:tcPr>
            <w:tcW w:w="1163" w:type="dxa"/>
            <w:tcBorders>
              <w:left w:val="single" w:color="000000" w:sz="2" w:space="0"/>
              <w:right w:val="single" w:color="000000" w:sz="2" w:space="0"/>
            </w:tcBorders>
            <w:vAlign w:val="top"/>
          </w:tcPr>
          <w:p w14:paraId="715EAB07">
            <w:pPr>
              <w:spacing w:line="254" w:lineRule="auto"/>
              <w:rPr>
                <w:rFonts w:ascii="Arial"/>
                <w:sz w:val="21"/>
              </w:rPr>
            </w:pPr>
          </w:p>
          <w:p w14:paraId="3A3B80D7">
            <w:pPr>
              <w:spacing w:line="254" w:lineRule="auto"/>
              <w:rPr>
                <w:rFonts w:ascii="Arial"/>
                <w:sz w:val="21"/>
              </w:rPr>
            </w:pPr>
          </w:p>
          <w:p w14:paraId="68A9C049">
            <w:pPr>
              <w:spacing w:line="254" w:lineRule="auto"/>
              <w:rPr>
                <w:rFonts w:ascii="Arial"/>
                <w:sz w:val="21"/>
              </w:rPr>
            </w:pPr>
          </w:p>
          <w:p w14:paraId="5E307474">
            <w:pPr>
              <w:spacing w:line="254" w:lineRule="auto"/>
              <w:rPr>
                <w:rFonts w:ascii="Arial"/>
                <w:sz w:val="21"/>
              </w:rPr>
            </w:pPr>
          </w:p>
          <w:p w14:paraId="63BD5AE5">
            <w:pPr>
              <w:spacing w:line="254" w:lineRule="auto"/>
              <w:rPr>
                <w:rFonts w:ascii="Arial"/>
                <w:sz w:val="21"/>
              </w:rPr>
            </w:pPr>
          </w:p>
          <w:p w14:paraId="58E7DE66">
            <w:pPr>
              <w:spacing w:before="58" w:line="195" w:lineRule="auto"/>
              <w:ind w:left="42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11m</w:t>
            </w:r>
          </w:p>
        </w:tc>
        <w:tc>
          <w:tcPr>
            <w:tcW w:w="661" w:type="dxa"/>
            <w:tcBorders>
              <w:left w:val="single" w:color="000000" w:sz="2" w:space="0"/>
            </w:tcBorders>
            <w:vAlign w:val="top"/>
          </w:tcPr>
          <w:p w14:paraId="1D14BD00">
            <w:pPr>
              <w:spacing w:line="255" w:lineRule="auto"/>
              <w:rPr>
                <w:rFonts w:ascii="Arial"/>
                <w:sz w:val="21"/>
              </w:rPr>
            </w:pPr>
          </w:p>
          <w:p w14:paraId="55DBA938">
            <w:pPr>
              <w:spacing w:line="255" w:lineRule="auto"/>
              <w:rPr>
                <w:rFonts w:ascii="Arial"/>
                <w:sz w:val="21"/>
              </w:rPr>
            </w:pPr>
          </w:p>
          <w:p w14:paraId="2FBBC7E8">
            <w:pPr>
              <w:spacing w:line="255" w:lineRule="auto"/>
              <w:rPr>
                <w:rFonts w:ascii="Arial"/>
                <w:sz w:val="21"/>
              </w:rPr>
            </w:pPr>
          </w:p>
          <w:p w14:paraId="0262FA60">
            <w:pPr>
              <w:spacing w:line="255" w:lineRule="auto"/>
              <w:rPr>
                <w:rFonts w:ascii="Arial"/>
                <w:sz w:val="21"/>
              </w:rPr>
            </w:pPr>
          </w:p>
          <w:p w14:paraId="5D856F9D">
            <w:pPr>
              <w:spacing w:line="256" w:lineRule="auto"/>
              <w:rPr>
                <w:rFonts w:ascii="Arial"/>
                <w:sz w:val="21"/>
              </w:rPr>
            </w:pPr>
          </w:p>
          <w:p w14:paraId="2493E9DA">
            <w:pPr>
              <w:spacing w:before="57" w:line="192"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4042" w:type="dxa"/>
            <w:vAlign w:val="top"/>
          </w:tcPr>
          <w:p w14:paraId="4DEB9CED">
            <w:pPr>
              <w:spacing w:before="101" w:line="2609" w:lineRule="exact"/>
              <w:ind w:firstLine="280"/>
            </w:pPr>
            <w:r>
              <w:rPr>
                <w:position w:val="-52"/>
              </w:rPr>
              <w:drawing>
                <wp:inline distT="0" distB="0" distL="0" distR="0">
                  <wp:extent cx="2207895" cy="1656080"/>
                  <wp:effectExtent l="0" t="0" r="0" b="0"/>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r:embed="rId257"/>
                          <a:stretch>
                            <a:fillRect/>
                          </a:stretch>
                        </pic:blipFill>
                        <pic:spPr>
                          <a:xfrm>
                            <a:off x="0" y="0"/>
                            <a:ext cx="2208276" cy="1656588"/>
                          </a:xfrm>
                          <a:prstGeom prst="rect">
                            <a:avLst/>
                          </a:prstGeom>
                        </pic:spPr>
                      </pic:pic>
                    </a:graphicData>
                  </a:graphic>
                </wp:inline>
              </w:drawing>
            </w:r>
          </w:p>
        </w:tc>
        <w:tc>
          <w:tcPr>
            <w:tcW w:w="1182" w:type="dxa"/>
            <w:vMerge w:val="restart"/>
            <w:tcBorders>
              <w:top w:val="nil"/>
              <w:bottom w:val="nil"/>
            </w:tcBorders>
            <w:vAlign w:val="top"/>
          </w:tcPr>
          <w:p w14:paraId="6B68C590">
            <w:pPr>
              <w:rPr>
                <w:rFonts w:ascii="Arial"/>
                <w:sz w:val="21"/>
              </w:rPr>
            </w:pPr>
          </w:p>
        </w:tc>
      </w:tr>
      <w:tr w14:paraId="6036D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5" w:hRule="atLeast"/>
        </w:trPr>
        <w:tc>
          <w:tcPr>
            <w:tcW w:w="866" w:type="dxa"/>
            <w:vMerge w:val="continue"/>
            <w:tcBorders>
              <w:top w:val="nil"/>
              <w:right w:val="single" w:color="000000" w:sz="2" w:space="0"/>
            </w:tcBorders>
            <w:vAlign w:val="top"/>
          </w:tcPr>
          <w:p w14:paraId="066355B0">
            <w:pPr>
              <w:rPr>
                <w:rFonts w:ascii="Arial"/>
                <w:sz w:val="21"/>
              </w:rPr>
            </w:pPr>
          </w:p>
        </w:tc>
        <w:tc>
          <w:tcPr>
            <w:tcW w:w="1207" w:type="dxa"/>
            <w:tcBorders>
              <w:left w:val="single" w:color="000000" w:sz="2" w:space="0"/>
            </w:tcBorders>
            <w:vAlign w:val="top"/>
          </w:tcPr>
          <w:p w14:paraId="77DA2518">
            <w:pPr>
              <w:spacing w:line="269" w:lineRule="auto"/>
              <w:rPr>
                <w:rFonts w:ascii="Arial"/>
                <w:sz w:val="21"/>
              </w:rPr>
            </w:pPr>
          </w:p>
          <w:p w14:paraId="1F702D70">
            <w:pPr>
              <w:spacing w:line="269" w:lineRule="auto"/>
              <w:rPr>
                <w:rFonts w:ascii="Arial"/>
                <w:sz w:val="21"/>
              </w:rPr>
            </w:pPr>
          </w:p>
          <w:p w14:paraId="470DBC74">
            <w:pPr>
              <w:spacing w:line="269" w:lineRule="auto"/>
              <w:rPr>
                <w:rFonts w:ascii="Arial"/>
                <w:sz w:val="21"/>
              </w:rPr>
            </w:pPr>
          </w:p>
          <w:p w14:paraId="6E041776">
            <w:pPr>
              <w:spacing w:line="269" w:lineRule="auto"/>
              <w:rPr>
                <w:rFonts w:ascii="Arial"/>
                <w:sz w:val="21"/>
              </w:rPr>
            </w:pPr>
          </w:p>
          <w:p w14:paraId="47E59EB6">
            <w:pPr>
              <w:pStyle w:val="6"/>
              <w:spacing w:before="65" w:line="290" w:lineRule="auto"/>
              <w:ind w:left="289" w:right="183" w:hanging="109"/>
            </w:pPr>
            <w:r>
              <w:rPr>
                <w:rFonts w:ascii="MS PGothic" w:hAnsi="MS PGothic" w:eastAsia="MS PGothic" w:cs="MS PGothic"/>
                <w:spacing w:val="8"/>
              </w:rPr>
              <w:t>⑩</w:t>
            </w:r>
            <w:r>
              <w:rPr>
                <w:spacing w:val="8"/>
              </w:rPr>
              <w:t>菜地看</w:t>
            </w:r>
            <w:r>
              <w:rPr>
                <w:spacing w:val="6"/>
              </w:rPr>
              <w:t>护用房</w:t>
            </w:r>
          </w:p>
        </w:tc>
        <w:tc>
          <w:tcPr>
            <w:tcW w:w="730" w:type="dxa"/>
            <w:vAlign w:val="top"/>
          </w:tcPr>
          <w:p w14:paraId="371231CB">
            <w:pPr>
              <w:spacing w:line="304" w:lineRule="auto"/>
              <w:rPr>
                <w:rFonts w:ascii="Arial"/>
                <w:sz w:val="21"/>
              </w:rPr>
            </w:pPr>
          </w:p>
          <w:p w14:paraId="487E6124">
            <w:pPr>
              <w:spacing w:line="305" w:lineRule="auto"/>
              <w:rPr>
                <w:rFonts w:ascii="Arial"/>
                <w:sz w:val="21"/>
              </w:rPr>
            </w:pPr>
          </w:p>
          <w:p w14:paraId="23E046D0">
            <w:pPr>
              <w:pStyle w:val="6"/>
              <w:spacing w:before="65" w:line="289" w:lineRule="auto"/>
              <w:ind w:left="154" w:right="155" w:firstLine="2"/>
              <w:jc w:val="both"/>
            </w:pPr>
            <w:r>
              <w:rPr>
                <w:spacing w:val="3"/>
              </w:rPr>
              <w:t>居住</w:t>
            </w:r>
            <w:r>
              <w:rPr>
                <w:spacing w:val="5"/>
              </w:rPr>
              <w:t>及农用物资仓</w:t>
            </w:r>
            <w:r>
              <w:rPr>
                <w:spacing w:val="34"/>
                <w:w w:val="135"/>
              </w:rPr>
              <w:t>库</w:t>
            </w:r>
          </w:p>
        </w:tc>
        <w:tc>
          <w:tcPr>
            <w:tcW w:w="682" w:type="dxa"/>
            <w:vAlign w:val="top"/>
          </w:tcPr>
          <w:p w14:paraId="28187BAE">
            <w:pPr>
              <w:spacing w:line="269" w:lineRule="auto"/>
              <w:rPr>
                <w:rFonts w:ascii="Arial"/>
                <w:sz w:val="21"/>
              </w:rPr>
            </w:pPr>
          </w:p>
          <w:p w14:paraId="269DE6AA">
            <w:pPr>
              <w:spacing w:line="269" w:lineRule="auto"/>
              <w:rPr>
                <w:rFonts w:ascii="Arial"/>
                <w:sz w:val="21"/>
              </w:rPr>
            </w:pPr>
          </w:p>
          <w:p w14:paraId="06D47FCD">
            <w:pPr>
              <w:spacing w:line="269" w:lineRule="auto"/>
              <w:rPr>
                <w:rFonts w:ascii="Arial"/>
                <w:sz w:val="21"/>
              </w:rPr>
            </w:pPr>
          </w:p>
          <w:p w14:paraId="2E1316DD">
            <w:pPr>
              <w:spacing w:line="270" w:lineRule="auto"/>
              <w:rPr>
                <w:rFonts w:ascii="Arial"/>
                <w:sz w:val="21"/>
              </w:rPr>
            </w:pPr>
          </w:p>
          <w:p w14:paraId="70996479">
            <w:pPr>
              <w:pStyle w:val="6"/>
              <w:spacing w:before="65" w:line="291" w:lineRule="auto"/>
              <w:ind w:left="153" w:right="158"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903" w:type="dxa"/>
            <w:vAlign w:val="top"/>
          </w:tcPr>
          <w:p w14:paraId="4B284691">
            <w:pPr>
              <w:spacing w:line="255" w:lineRule="auto"/>
              <w:rPr>
                <w:rFonts w:ascii="Arial"/>
                <w:sz w:val="21"/>
              </w:rPr>
            </w:pPr>
          </w:p>
          <w:p w14:paraId="05B4693C">
            <w:pPr>
              <w:spacing w:line="255" w:lineRule="auto"/>
              <w:rPr>
                <w:rFonts w:ascii="Arial"/>
                <w:sz w:val="21"/>
              </w:rPr>
            </w:pPr>
          </w:p>
          <w:p w14:paraId="4371E47A">
            <w:pPr>
              <w:spacing w:line="256" w:lineRule="auto"/>
              <w:rPr>
                <w:rFonts w:ascii="Arial"/>
                <w:sz w:val="21"/>
              </w:rPr>
            </w:pPr>
          </w:p>
          <w:p w14:paraId="5E3977B9">
            <w:pPr>
              <w:pStyle w:val="6"/>
              <w:spacing w:before="65" w:line="289" w:lineRule="auto"/>
              <w:ind w:left="137" w:right="134"/>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57" w:type="dxa"/>
            <w:vAlign w:val="top"/>
          </w:tcPr>
          <w:p w14:paraId="38D373CD">
            <w:pPr>
              <w:spacing w:line="255" w:lineRule="auto"/>
              <w:rPr>
                <w:rFonts w:ascii="Arial"/>
                <w:sz w:val="21"/>
              </w:rPr>
            </w:pPr>
          </w:p>
          <w:p w14:paraId="4FD8E2C6">
            <w:pPr>
              <w:spacing w:line="255" w:lineRule="auto"/>
              <w:rPr>
                <w:rFonts w:ascii="Arial"/>
                <w:sz w:val="21"/>
              </w:rPr>
            </w:pPr>
          </w:p>
          <w:p w14:paraId="6589D3CF">
            <w:pPr>
              <w:spacing w:line="256" w:lineRule="auto"/>
              <w:rPr>
                <w:rFonts w:ascii="Arial"/>
                <w:sz w:val="21"/>
              </w:rPr>
            </w:pPr>
          </w:p>
          <w:p w14:paraId="5FC725F9">
            <w:pPr>
              <w:pStyle w:val="6"/>
              <w:spacing w:before="65" w:line="228" w:lineRule="auto"/>
              <w:ind w:left="205"/>
            </w:pPr>
            <w:r>
              <w:rPr>
                <w:spacing w:val="7"/>
              </w:rPr>
              <w:t>单回线路东</w:t>
            </w:r>
          </w:p>
          <w:p w14:paraId="14D37975">
            <w:pPr>
              <w:pStyle w:val="6"/>
              <w:spacing w:before="65" w:line="228" w:lineRule="auto"/>
              <w:ind w:left="106"/>
              <w:rPr>
                <w:rFonts w:ascii="Times New Roman" w:hAnsi="Times New Roman" w:eastAsia="Times New Roman" w:cs="Times New Roman"/>
              </w:rPr>
            </w:pPr>
            <w:r>
              <w:rPr>
                <w:spacing w:val="17"/>
              </w:rPr>
              <w:t>侧，</w:t>
            </w:r>
            <w:r>
              <w:rPr>
                <w:rFonts w:ascii="Times New Roman" w:hAnsi="Times New Roman" w:eastAsia="Times New Roman" w:cs="Times New Roman"/>
              </w:rPr>
              <w:t>BJ</w:t>
            </w:r>
            <w:r>
              <w:rPr>
                <w:rFonts w:ascii="Times New Roman" w:hAnsi="Times New Roman" w:eastAsia="Times New Roman" w:cs="Times New Roman"/>
                <w:spacing w:val="17"/>
              </w:rPr>
              <w:t>6</w:t>
            </w:r>
            <w:r>
              <w:rPr>
                <w:rFonts w:ascii="Times New Roman" w:hAnsi="Times New Roman" w:eastAsia="Times New Roman" w:cs="Times New Roman"/>
              </w:rPr>
              <w:t>GGG</w:t>
            </w:r>
          </w:p>
          <w:p w14:paraId="38D1E264">
            <w:pPr>
              <w:pStyle w:val="6"/>
              <w:spacing w:before="65" w:line="228" w:lineRule="auto"/>
              <w:ind w:left="204"/>
            </w:pPr>
            <w:r>
              <w:rPr>
                <w:spacing w:val="8"/>
              </w:rPr>
              <w:t>塔基西南侧</w:t>
            </w:r>
          </w:p>
          <w:p w14:paraId="7CD2460E">
            <w:pPr>
              <w:spacing w:before="101" w:line="195" w:lineRule="auto"/>
              <w:ind w:left="50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100m</w:t>
            </w:r>
          </w:p>
        </w:tc>
        <w:tc>
          <w:tcPr>
            <w:tcW w:w="1449" w:type="dxa"/>
            <w:tcBorders>
              <w:right w:val="single" w:color="000000" w:sz="2" w:space="0"/>
            </w:tcBorders>
            <w:vAlign w:val="top"/>
          </w:tcPr>
          <w:p w14:paraId="20FBA776">
            <w:pPr>
              <w:spacing w:line="307" w:lineRule="auto"/>
              <w:rPr>
                <w:rFonts w:ascii="Arial"/>
                <w:sz w:val="21"/>
              </w:rPr>
            </w:pPr>
          </w:p>
          <w:p w14:paraId="6B5BC6C0">
            <w:pPr>
              <w:spacing w:line="307" w:lineRule="auto"/>
              <w:rPr>
                <w:rFonts w:ascii="Arial"/>
                <w:sz w:val="21"/>
              </w:rPr>
            </w:pPr>
          </w:p>
          <w:p w14:paraId="48A38A02">
            <w:pPr>
              <w:spacing w:line="308" w:lineRule="auto"/>
              <w:rPr>
                <w:rFonts w:ascii="Arial"/>
                <w:sz w:val="21"/>
              </w:rPr>
            </w:pPr>
          </w:p>
          <w:p w14:paraId="45E78EF1">
            <w:pPr>
              <w:pStyle w:val="6"/>
              <w:spacing w:before="65" w:line="289" w:lineRule="auto"/>
              <w:ind w:left="148" w:right="144" w:firstLine="35"/>
              <w:jc w:val="both"/>
              <w:rPr>
                <w:rFonts w:ascii="Times New Roman" w:hAnsi="Times New Roman" w:eastAsia="Times New Roman" w:cs="Times New Roman"/>
              </w:rPr>
            </w:pPr>
            <w:r>
              <w:t>位于</w:t>
            </w:r>
            <w:r>
              <w:rPr>
                <w:spacing w:val="-44"/>
              </w:rPr>
              <w:t xml:space="preserve"> </w:t>
            </w:r>
            <w:r>
              <w:rPr>
                <w:rFonts w:ascii="Times New Roman" w:hAnsi="Times New Roman" w:eastAsia="Times New Roman" w:cs="Times New Roman"/>
              </w:rPr>
              <w:t>B</w:t>
            </w:r>
            <w:r>
              <w:rPr>
                <w:rFonts w:ascii="Times New Roman" w:hAnsi="Times New Roman" w:eastAsia="Times New Roman" w:cs="Times New Roman"/>
                <w:spacing w:val="34"/>
              </w:rPr>
              <w:t xml:space="preserve"> </w:t>
            </w:r>
            <w:r>
              <w:t>回线</w:t>
            </w:r>
            <w:r>
              <w:rPr>
                <w:spacing w:val="18"/>
              </w:rPr>
              <w:t>边导线地面</w:t>
            </w:r>
            <w:r>
              <w:rPr>
                <w:spacing w:val="4"/>
              </w:rPr>
              <w:t>投影东侧</w:t>
            </w:r>
            <w:r>
              <w:rPr>
                <w:spacing w:val="-33"/>
              </w:rPr>
              <w:t xml:space="preserve"> </w:t>
            </w:r>
            <w:r>
              <w:rPr>
                <w:rFonts w:ascii="Times New Roman" w:hAnsi="Times New Roman" w:eastAsia="Times New Roman" w:cs="Times New Roman"/>
                <w:spacing w:val="4"/>
              </w:rPr>
              <w:t>5m</w:t>
            </w:r>
          </w:p>
        </w:tc>
        <w:tc>
          <w:tcPr>
            <w:tcW w:w="1163" w:type="dxa"/>
            <w:tcBorders>
              <w:left w:val="single" w:color="000000" w:sz="2" w:space="0"/>
              <w:right w:val="single" w:color="000000" w:sz="2" w:space="0"/>
            </w:tcBorders>
            <w:vAlign w:val="top"/>
          </w:tcPr>
          <w:p w14:paraId="15CB4E58">
            <w:pPr>
              <w:spacing w:line="255" w:lineRule="auto"/>
              <w:rPr>
                <w:rFonts w:ascii="Arial"/>
                <w:sz w:val="21"/>
              </w:rPr>
            </w:pPr>
          </w:p>
          <w:p w14:paraId="001D2BBC">
            <w:pPr>
              <w:spacing w:line="255" w:lineRule="auto"/>
              <w:rPr>
                <w:rFonts w:ascii="Arial"/>
                <w:sz w:val="21"/>
              </w:rPr>
            </w:pPr>
          </w:p>
          <w:p w14:paraId="6D84408A">
            <w:pPr>
              <w:spacing w:line="255" w:lineRule="auto"/>
              <w:rPr>
                <w:rFonts w:ascii="Arial"/>
                <w:sz w:val="21"/>
              </w:rPr>
            </w:pPr>
          </w:p>
          <w:p w14:paraId="745D6BDE">
            <w:pPr>
              <w:spacing w:line="255" w:lineRule="auto"/>
              <w:rPr>
                <w:rFonts w:ascii="Arial"/>
                <w:sz w:val="21"/>
              </w:rPr>
            </w:pPr>
          </w:p>
          <w:p w14:paraId="43D1E508">
            <w:pPr>
              <w:spacing w:line="255" w:lineRule="auto"/>
              <w:rPr>
                <w:rFonts w:ascii="Arial"/>
                <w:sz w:val="21"/>
              </w:rPr>
            </w:pPr>
          </w:p>
          <w:p w14:paraId="15CB6543">
            <w:pPr>
              <w:spacing w:before="58" w:line="195" w:lineRule="auto"/>
              <w:ind w:left="41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10m</w:t>
            </w:r>
          </w:p>
        </w:tc>
        <w:tc>
          <w:tcPr>
            <w:tcW w:w="661" w:type="dxa"/>
            <w:tcBorders>
              <w:left w:val="single" w:color="000000" w:sz="2" w:space="0"/>
            </w:tcBorders>
            <w:vAlign w:val="top"/>
          </w:tcPr>
          <w:p w14:paraId="73DDB5DB">
            <w:pPr>
              <w:spacing w:line="255" w:lineRule="auto"/>
              <w:rPr>
                <w:rFonts w:ascii="Arial"/>
                <w:sz w:val="21"/>
              </w:rPr>
            </w:pPr>
          </w:p>
          <w:p w14:paraId="66B5DC25">
            <w:pPr>
              <w:spacing w:line="255" w:lineRule="auto"/>
              <w:rPr>
                <w:rFonts w:ascii="Arial"/>
                <w:sz w:val="21"/>
              </w:rPr>
            </w:pPr>
          </w:p>
          <w:p w14:paraId="20779FC0">
            <w:pPr>
              <w:spacing w:line="256" w:lineRule="auto"/>
              <w:rPr>
                <w:rFonts w:ascii="Arial"/>
                <w:sz w:val="21"/>
              </w:rPr>
            </w:pPr>
          </w:p>
          <w:p w14:paraId="312EFB79">
            <w:pPr>
              <w:spacing w:line="256" w:lineRule="auto"/>
              <w:rPr>
                <w:rFonts w:ascii="Arial"/>
                <w:sz w:val="21"/>
              </w:rPr>
            </w:pPr>
          </w:p>
          <w:p w14:paraId="63536860">
            <w:pPr>
              <w:spacing w:line="256" w:lineRule="auto"/>
              <w:rPr>
                <w:rFonts w:ascii="Arial"/>
                <w:sz w:val="21"/>
              </w:rPr>
            </w:pPr>
          </w:p>
          <w:p w14:paraId="17235521">
            <w:pPr>
              <w:spacing w:before="57" w:line="192"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4042" w:type="dxa"/>
            <w:vAlign w:val="top"/>
          </w:tcPr>
          <w:p w14:paraId="59DB13DD">
            <w:pPr>
              <w:spacing w:before="106" w:line="2608" w:lineRule="exact"/>
              <w:ind w:firstLine="280"/>
            </w:pPr>
            <w:r>
              <w:rPr>
                <w:position w:val="-52"/>
              </w:rPr>
              <w:drawing>
                <wp:inline distT="0" distB="0" distL="0" distR="0">
                  <wp:extent cx="2207895" cy="1656080"/>
                  <wp:effectExtent l="0" t="0" r="0" b="0"/>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r:embed="rId280"/>
                          <a:stretch>
                            <a:fillRect/>
                          </a:stretch>
                        </pic:blipFill>
                        <pic:spPr>
                          <a:xfrm>
                            <a:off x="0" y="0"/>
                            <a:ext cx="2208276" cy="1656587"/>
                          </a:xfrm>
                          <a:prstGeom prst="rect">
                            <a:avLst/>
                          </a:prstGeom>
                        </pic:spPr>
                      </pic:pic>
                    </a:graphicData>
                  </a:graphic>
                </wp:inline>
              </w:drawing>
            </w:r>
          </w:p>
        </w:tc>
        <w:tc>
          <w:tcPr>
            <w:tcW w:w="1182" w:type="dxa"/>
            <w:vMerge w:val="continue"/>
            <w:tcBorders>
              <w:top w:val="nil"/>
              <w:bottom w:val="single" w:color="000000" w:sz="2" w:space="0"/>
            </w:tcBorders>
            <w:vAlign w:val="top"/>
          </w:tcPr>
          <w:p w14:paraId="60FA9B98">
            <w:pPr>
              <w:rPr>
                <w:rFonts w:ascii="Arial"/>
                <w:sz w:val="21"/>
              </w:rPr>
            </w:pPr>
          </w:p>
        </w:tc>
      </w:tr>
    </w:tbl>
    <w:p w14:paraId="3363EEDA">
      <w:pPr>
        <w:rPr>
          <w:rFonts w:ascii="Arial"/>
          <w:sz w:val="21"/>
        </w:rPr>
      </w:pPr>
    </w:p>
    <w:p w14:paraId="50974F6E">
      <w:pPr>
        <w:rPr>
          <w:rFonts w:ascii="Arial" w:hAnsi="Arial" w:eastAsia="Arial" w:cs="Arial"/>
          <w:sz w:val="21"/>
          <w:szCs w:val="21"/>
        </w:rPr>
        <w:sectPr>
          <w:footerReference r:id="rId164" w:type="default"/>
          <w:pgSz w:w="16839" w:h="11906"/>
          <w:pgMar w:top="400" w:right="1242" w:bottom="919" w:left="1242" w:header="0" w:footer="732" w:gutter="0"/>
          <w:cols w:space="720" w:num="1"/>
        </w:sectPr>
      </w:pPr>
    </w:p>
    <w:p w14:paraId="59F1B4C3">
      <w:pPr>
        <w:spacing w:before="12"/>
      </w:pPr>
    </w:p>
    <w:p w14:paraId="1C0BD5A3">
      <w:pPr>
        <w:spacing w:before="12"/>
      </w:pPr>
    </w:p>
    <w:tbl>
      <w:tblPr>
        <w:tblStyle w:val="5"/>
        <w:tblW w:w="1434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6"/>
        <w:gridCol w:w="1207"/>
        <w:gridCol w:w="730"/>
        <w:gridCol w:w="682"/>
        <w:gridCol w:w="903"/>
        <w:gridCol w:w="1457"/>
        <w:gridCol w:w="1449"/>
        <w:gridCol w:w="1163"/>
        <w:gridCol w:w="661"/>
        <w:gridCol w:w="4042"/>
        <w:gridCol w:w="1035"/>
        <w:gridCol w:w="147"/>
      </w:tblGrid>
      <w:tr w14:paraId="48723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6" w:hRule="atLeast"/>
        </w:trPr>
        <w:tc>
          <w:tcPr>
            <w:tcW w:w="866" w:type="dxa"/>
            <w:tcBorders>
              <w:right w:val="single" w:color="000000" w:sz="2" w:space="0"/>
            </w:tcBorders>
            <w:shd w:val="clear" w:color="auto" w:fill="BEBEBE"/>
            <w:vAlign w:val="top"/>
          </w:tcPr>
          <w:p w14:paraId="6510C7B7">
            <w:pPr>
              <w:spacing w:line="301" w:lineRule="auto"/>
              <w:rPr>
                <w:rFonts w:ascii="Arial"/>
                <w:sz w:val="21"/>
              </w:rPr>
            </w:pPr>
          </w:p>
          <w:p w14:paraId="4C090BFE">
            <w:pPr>
              <w:pStyle w:val="6"/>
              <w:spacing w:before="65" w:line="228" w:lineRule="auto"/>
              <w:ind w:left="226"/>
            </w:pPr>
            <w:r>
              <w:rPr>
                <w:b/>
                <w:bCs/>
                <w:spacing w:val="2"/>
              </w:rPr>
              <w:t>分区</w:t>
            </w:r>
          </w:p>
        </w:tc>
        <w:tc>
          <w:tcPr>
            <w:tcW w:w="1207" w:type="dxa"/>
            <w:tcBorders>
              <w:left w:val="single" w:color="000000" w:sz="2" w:space="0"/>
            </w:tcBorders>
            <w:shd w:val="clear" w:color="auto" w:fill="BEBEBE"/>
            <w:vAlign w:val="top"/>
          </w:tcPr>
          <w:p w14:paraId="5A074733">
            <w:pPr>
              <w:pStyle w:val="6"/>
              <w:spacing w:before="211" w:line="290" w:lineRule="auto"/>
              <w:ind w:left="432" w:right="394" w:hanging="39"/>
            </w:pPr>
            <w:r>
              <w:rPr>
                <w:b/>
                <w:bCs/>
                <w:spacing w:val="3"/>
              </w:rPr>
              <w:t>保护</w:t>
            </w:r>
            <w:r>
              <w:rPr>
                <w:b/>
                <w:bCs/>
                <w:spacing w:val="-17"/>
              </w:rPr>
              <w:t>目标</w:t>
            </w:r>
          </w:p>
        </w:tc>
        <w:tc>
          <w:tcPr>
            <w:tcW w:w="730" w:type="dxa"/>
            <w:shd w:val="clear" w:color="auto" w:fill="BEBEBE"/>
            <w:vAlign w:val="top"/>
          </w:tcPr>
          <w:p w14:paraId="43D740BF">
            <w:pPr>
              <w:spacing w:line="301" w:lineRule="auto"/>
              <w:rPr>
                <w:rFonts w:ascii="Arial"/>
                <w:sz w:val="21"/>
              </w:rPr>
            </w:pPr>
          </w:p>
          <w:p w14:paraId="2BF15C73">
            <w:pPr>
              <w:pStyle w:val="6"/>
              <w:spacing w:before="65" w:line="229" w:lineRule="auto"/>
              <w:ind w:left="156"/>
            </w:pPr>
            <w:r>
              <w:rPr>
                <w:b/>
                <w:bCs/>
                <w:spacing w:val="2"/>
              </w:rPr>
              <w:t>功能</w:t>
            </w:r>
          </w:p>
        </w:tc>
        <w:tc>
          <w:tcPr>
            <w:tcW w:w="682" w:type="dxa"/>
            <w:shd w:val="clear" w:color="auto" w:fill="BEBEBE"/>
            <w:vAlign w:val="top"/>
          </w:tcPr>
          <w:p w14:paraId="7E895DCC">
            <w:pPr>
              <w:spacing w:line="301" w:lineRule="auto"/>
              <w:rPr>
                <w:rFonts w:ascii="Arial"/>
                <w:sz w:val="21"/>
              </w:rPr>
            </w:pPr>
          </w:p>
          <w:p w14:paraId="10AEC846">
            <w:pPr>
              <w:pStyle w:val="6"/>
              <w:spacing w:before="65" w:line="228" w:lineRule="auto"/>
              <w:ind w:left="131"/>
            </w:pPr>
            <w:r>
              <w:rPr>
                <w:b/>
                <w:bCs/>
                <w:spacing w:val="3"/>
              </w:rPr>
              <w:t>规模</w:t>
            </w:r>
          </w:p>
        </w:tc>
        <w:tc>
          <w:tcPr>
            <w:tcW w:w="903" w:type="dxa"/>
            <w:shd w:val="clear" w:color="auto" w:fill="BEBEBE"/>
            <w:vAlign w:val="top"/>
          </w:tcPr>
          <w:p w14:paraId="2B76473E">
            <w:pPr>
              <w:pStyle w:val="6"/>
              <w:spacing w:before="56" w:line="228" w:lineRule="auto"/>
              <w:ind w:left="137"/>
            </w:pPr>
            <w:r>
              <w:rPr>
                <w:b/>
                <w:bCs/>
                <w:spacing w:val="4"/>
              </w:rPr>
              <w:t>建筑物</w:t>
            </w:r>
          </w:p>
          <w:p w14:paraId="77520605">
            <w:pPr>
              <w:pStyle w:val="6"/>
              <w:spacing w:before="64" w:line="228" w:lineRule="auto"/>
              <w:ind w:left="140"/>
            </w:pPr>
            <w:r>
              <w:rPr>
                <w:b/>
                <w:bCs/>
                <w:spacing w:val="3"/>
              </w:rPr>
              <w:t>结构及</w:t>
            </w:r>
          </w:p>
          <w:p w14:paraId="22E78A87">
            <w:pPr>
              <w:pStyle w:val="6"/>
              <w:spacing w:before="64" w:line="228" w:lineRule="auto"/>
              <w:ind w:left="246"/>
            </w:pPr>
            <w:r>
              <w:rPr>
                <w:b/>
                <w:bCs/>
                <w:spacing w:val="1"/>
              </w:rPr>
              <w:t>高度</w:t>
            </w:r>
          </w:p>
        </w:tc>
        <w:tc>
          <w:tcPr>
            <w:tcW w:w="1457" w:type="dxa"/>
            <w:shd w:val="clear" w:color="auto" w:fill="BEBEBE"/>
            <w:vAlign w:val="top"/>
          </w:tcPr>
          <w:p w14:paraId="3E488127">
            <w:pPr>
              <w:spacing w:line="301" w:lineRule="auto"/>
              <w:rPr>
                <w:rFonts w:ascii="Arial"/>
                <w:sz w:val="21"/>
              </w:rPr>
            </w:pPr>
          </w:p>
          <w:p w14:paraId="54ACB3DA">
            <w:pPr>
              <w:pStyle w:val="6"/>
              <w:spacing w:before="65" w:line="228" w:lineRule="auto"/>
              <w:ind w:left="279"/>
            </w:pPr>
            <w:r>
              <w:rPr>
                <w:b/>
                <w:bCs/>
                <w:spacing w:val="5"/>
              </w:rPr>
              <w:t>方位</w:t>
            </w:r>
            <w:r>
              <w:rPr>
                <w:rFonts w:ascii="Times New Roman" w:hAnsi="Times New Roman" w:eastAsia="Times New Roman" w:cs="Times New Roman"/>
                <w:b/>
                <w:bCs/>
                <w:spacing w:val="5"/>
              </w:rPr>
              <w:t>/</w:t>
            </w:r>
            <w:r>
              <w:rPr>
                <w:b/>
                <w:bCs/>
                <w:spacing w:val="5"/>
              </w:rPr>
              <w:t>距离</w:t>
            </w:r>
          </w:p>
        </w:tc>
        <w:tc>
          <w:tcPr>
            <w:tcW w:w="1449" w:type="dxa"/>
            <w:tcBorders>
              <w:right w:val="single" w:color="000000" w:sz="2" w:space="0"/>
            </w:tcBorders>
            <w:shd w:val="clear" w:color="auto" w:fill="BEBEBE"/>
            <w:vAlign w:val="top"/>
          </w:tcPr>
          <w:p w14:paraId="4094CECB">
            <w:pPr>
              <w:pStyle w:val="6"/>
              <w:spacing w:before="56" w:line="228" w:lineRule="auto"/>
              <w:ind w:left="308"/>
            </w:pPr>
            <w:r>
              <w:rPr>
                <w:b/>
                <w:bCs/>
                <w:spacing w:val="5"/>
              </w:rPr>
              <w:t>与线路边</w:t>
            </w:r>
          </w:p>
          <w:p w14:paraId="1DFBE1DE">
            <w:pPr>
              <w:pStyle w:val="6"/>
              <w:spacing w:before="65" w:line="228" w:lineRule="auto"/>
              <w:ind w:left="310"/>
            </w:pPr>
            <w:r>
              <w:rPr>
                <w:b/>
                <w:bCs/>
                <w:spacing w:val="5"/>
              </w:rPr>
              <w:t>导线投影</w:t>
            </w:r>
          </w:p>
          <w:p w14:paraId="0F8A9BFD">
            <w:pPr>
              <w:pStyle w:val="6"/>
              <w:spacing w:before="64" w:line="228" w:lineRule="auto"/>
              <w:ind w:left="307"/>
            </w:pPr>
            <w:r>
              <w:rPr>
                <w:b/>
                <w:bCs/>
                <w:spacing w:val="5"/>
              </w:rPr>
              <w:t>水平距离</w:t>
            </w:r>
          </w:p>
        </w:tc>
        <w:tc>
          <w:tcPr>
            <w:tcW w:w="1163" w:type="dxa"/>
            <w:tcBorders>
              <w:left w:val="single" w:color="000000" w:sz="2" w:space="0"/>
              <w:right w:val="single" w:color="000000" w:sz="2" w:space="0"/>
            </w:tcBorders>
            <w:shd w:val="clear" w:color="auto" w:fill="BEBEBE"/>
            <w:vAlign w:val="top"/>
          </w:tcPr>
          <w:p w14:paraId="05630309">
            <w:pPr>
              <w:pStyle w:val="6"/>
              <w:spacing w:before="56" w:line="228" w:lineRule="auto"/>
              <w:ind w:left="170"/>
            </w:pPr>
            <w:r>
              <w:rPr>
                <w:b/>
                <w:bCs/>
                <w:spacing w:val="5"/>
              </w:rPr>
              <w:t>与线路中</w:t>
            </w:r>
          </w:p>
          <w:p w14:paraId="1257C8D9">
            <w:pPr>
              <w:pStyle w:val="6"/>
              <w:spacing w:before="64" w:line="228" w:lineRule="auto"/>
              <w:ind w:left="173"/>
            </w:pPr>
            <w:r>
              <w:rPr>
                <w:b/>
                <w:bCs/>
                <w:spacing w:val="4"/>
              </w:rPr>
              <w:t>心最近直</w:t>
            </w:r>
          </w:p>
          <w:p w14:paraId="33D33182">
            <w:pPr>
              <w:pStyle w:val="6"/>
              <w:spacing w:before="65" w:line="228" w:lineRule="auto"/>
              <w:ind w:left="274"/>
            </w:pPr>
            <w:r>
              <w:rPr>
                <w:b/>
                <w:bCs/>
                <w:spacing w:val="4"/>
              </w:rPr>
              <w:t>线距离</w:t>
            </w:r>
          </w:p>
        </w:tc>
        <w:tc>
          <w:tcPr>
            <w:tcW w:w="661" w:type="dxa"/>
            <w:tcBorders>
              <w:left w:val="single" w:color="000000" w:sz="2" w:space="0"/>
            </w:tcBorders>
            <w:shd w:val="clear" w:color="auto" w:fill="BEBEBE"/>
            <w:vAlign w:val="top"/>
          </w:tcPr>
          <w:p w14:paraId="48851EFB">
            <w:pPr>
              <w:pStyle w:val="6"/>
              <w:spacing w:before="56" w:line="228" w:lineRule="auto"/>
              <w:ind w:left="132"/>
            </w:pPr>
            <w:r>
              <w:rPr>
                <w:b/>
                <w:bCs/>
                <w:spacing w:val="1"/>
              </w:rPr>
              <w:t>导线</w:t>
            </w:r>
          </w:p>
          <w:p w14:paraId="3987AA99">
            <w:pPr>
              <w:pStyle w:val="6"/>
              <w:spacing w:before="64" w:line="229" w:lineRule="auto"/>
              <w:ind w:left="125"/>
            </w:pPr>
            <w:r>
              <w:rPr>
                <w:b/>
                <w:bCs/>
                <w:spacing w:val="4"/>
              </w:rPr>
              <w:t>对地</w:t>
            </w:r>
          </w:p>
          <w:p w14:paraId="7B703C4C">
            <w:pPr>
              <w:pStyle w:val="6"/>
              <w:spacing w:before="63" w:line="228" w:lineRule="auto"/>
              <w:ind w:left="132"/>
            </w:pPr>
            <w:r>
              <w:rPr>
                <w:b/>
                <w:bCs/>
                <w:spacing w:val="1"/>
              </w:rPr>
              <w:t>高度</w:t>
            </w:r>
          </w:p>
        </w:tc>
        <w:tc>
          <w:tcPr>
            <w:tcW w:w="4042" w:type="dxa"/>
            <w:shd w:val="clear" w:color="auto" w:fill="BEBEBE"/>
            <w:vAlign w:val="top"/>
          </w:tcPr>
          <w:p w14:paraId="6227E7A3">
            <w:pPr>
              <w:spacing w:line="301" w:lineRule="auto"/>
              <w:rPr>
                <w:rFonts w:ascii="Arial"/>
                <w:sz w:val="21"/>
              </w:rPr>
            </w:pPr>
          </w:p>
          <w:p w14:paraId="75AE2FE8">
            <w:pPr>
              <w:pStyle w:val="6"/>
              <w:spacing w:before="65" w:line="228" w:lineRule="auto"/>
              <w:ind w:left="1607"/>
            </w:pPr>
            <w:r>
              <w:rPr>
                <w:b/>
                <w:bCs/>
                <w:spacing w:val="6"/>
              </w:rPr>
              <w:t>现状照片</w:t>
            </w:r>
          </w:p>
        </w:tc>
        <w:tc>
          <w:tcPr>
            <w:tcW w:w="1182" w:type="dxa"/>
            <w:gridSpan w:val="2"/>
            <w:shd w:val="clear" w:color="auto" w:fill="BEBEBE"/>
            <w:vAlign w:val="top"/>
          </w:tcPr>
          <w:p w14:paraId="23FEBCD2">
            <w:pPr>
              <w:spacing w:line="301" w:lineRule="auto"/>
              <w:rPr>
                <w:rFonts w:ascii="Arial"/>
                <w:sz w:val="21"/>
              </w:rPr>
            </w:pPr>
          </w:p>
          <w:p w14:paraId="689A0FFA">
            <w:pPr>
              <w:pStyle w:val="6"/>
              <w:spacing w:before="65" w:line="228" w:lineRule="auto"/>
              <w:ind w:left="173"/>
            </w:pPr>
            <w:r>
              <w:rPr>
                <w:b/>
                <w:bCs/>
                <w:spacing w:val="6"/>
              </w:rPr>
              <w:t>保护级别</w:t>
            </w:r>
          </w:p>
        </w:tc>
      </w:tr>
      <w:tr w14:paraId="43DA3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6" w:hRule="atLeast"/>
        </w:trPr>
        <w:tc>
          <w:tcPr>
            <w:tcW w:w="866" w:type="dxa"/>
            <w:tcBorders>
              <w:right w:val="single" w:color="000000" w:sz="2" w:space="0"/>
            </w:tcBorders>
            <w:vAlign w:val="top"/>
          </w:tcPr>
          <w:p w14:paraId="02BD250D">
            <w:pPr>
              <w:rPr>
                <w:rFonts w:ascii="Arial"/>
                <w:sz w:val="21"/>
              </w:rPr>
            </w:pPr>
          </w:p>
        </w:tc>
        <w:tc>
          <w:tcPr>
            <w:tcW w:w="1207" w:type="dxa"/>
            <w:tcBorders>
              <w:left w:val="single" w:color="000000" w:sz="2" w:space="0"/>
            </w:tcBorders>
            <w:vAlign w:val="top"/>
          </w:tcPr>
          <w:p w14:paraId="52266DF9">
            <w:pPr>
              <w:spacing w:line="267" w:lineRule="auto"/>
              <w:rPr>
                <w:rFonts w:ascii="Arial"/>
                <w:sz w:val="21"/>
              </w:rPr>
            </w:pPr>
          </w:p>
          <w:p w14:paraId="6108BEB6">
            <w:pPr>
              <w:spacing w:line="267" w:lineRule="auto"/>
              <w:rPr>
                <w:rFonts w:ascii="Arial"/>
                <w:sz w:val="21"/>
              </w:rPr>
            </w:pPr>
          </w:p>
          <w:p w14:paraId="5D8AA073">
            <w:pPr>
              <w:spacing w:line="268" w:lineRule="auto"/>
              <w:rPr>
                <w:rFonts w:ascii="Arial"/>
                <w:sz w:val="21"/>
              </w:rPr>
            </w:pPr>
          </w:p>
          <w:p w14:paraId="24DDBE1D">
            <w:pPr>
              <w:spacing w:line="268" w:lineRule="auto"/>
              <w:rPr>
                <w:rFonts w:ascii="Arial"/>
                <w:sz w:val="21"/>
              </w:rPr>
            </w:pPr>
          </w:p>
          <w:p w14:paraId="5766581A">
            <w:pPr>
              <w:pStyle w:val="6"/>
              <w:spacing w:before="65" w:line="290" w:lineRule="auto"/>
              <w:ind w:left="289" w:right="183" w:hanging="109"/>
            </w:pPr>
            <w:r>
              <w:rPr>
                <w:rFonts w:ascii="MS PGothic" w:hAnsi="MS PGothic" w:eastAsia="MS PGothic" w:cs="MS PGothic"/>
                <w:spacing w:val="8"/>
              </w:rPr>
              <w:t>①</w:t>
            </w:r>
            <w:r>
              <w:rPr>
                <w:spacing w:val="8"/>
              </w:rPr>
              <w:t>菜地看</w:t>
            </w:r>
            <w:r>
              <w:rPr>
                <w:spacing w:val="6"/>
              </w:rPr>
              <w:t>护用房</w:t>
            </w:r>
          </w:p>
        </w:tc>
        <w:tc>
          <w:tcPr>
            <w:tcW w:w="730" w:type="dxa"/>
            <w:vAlign w:val="top"/>
          </w:tcPr>
          <w:p w14:paraId="14B48ACE">
            <w:pPr>
              <w:spacing w:line="301" w:lineRule="auto"/>
              <w:rPr>
                <w:rFonts w:ascii="Arial"/>
                <w:sz w:val="21"/>
              </w:rPr>
            </w:pPr>
          </w:p>
          <w:p w14:paraId="2C1BFC71">
            <w:pPr>
              <w:spacing w:line="302" w:lineRule="auto"/>
              <w:rPr>
                <w:rFonts w:ascii="Arial"/>
                <w:sz w:val="21"/>
              </w:rPr>
            </w:pPr>
          </w:p>
          <w:p w14:paraId="0F5B58FF">
            <w:pPr>
              <w:pStyle w:val="6"/>
              <w:spacing w:before="65" w:line="289" w:lineRule="auto"/>
              <w:ind w:left="154" w:right="155" w:firstLine="2"/>
              <w:jc w:val="both"/>
            </w:pPr>
            <w:r>
              <w:rPr>
                <w:spacing w:val="3"/>
              </w:rPr>
              <w:t>居住</w:t>
            </w:r>
            <w:r>
              <w:rPr>
                <w:spacing w:val="5"/>
              </w:rPr>
              <w:t>及农用物资仓</w:t>
            </w:r>
            <w:r>
              <w:rPr>
                <w:spacing w:val="34"/>
                <w:w w:val="135"/>
              </w:rPr>
              <w:t>库</w:t>
            </w:r>
          </w:p>
        </w:tc>
        <w:tc>
          <w:tcPr>
            <w:tcW w:w="682" w:type="dxa"/>
            <w:vAlign w:val="top"/>
          </w:tcPr>
          <w:p w14:paraId="22545F63">
            <w:pPr>
              <w:spacing w:line="267" w:lineRule="auto"/>
              <w:rPr>
                <w:rFonts w:ascii="Arial"/>
                <w:sz w:val="21"/>
              </w:rPr>
            </w:pPr>
          </w:p>
          <w:p w14:paraId="539F7593">
            <w:pPr>
              <w:spacing w:line="267" w:lineRule="auto"/>
              <w:rPr>
                <w:rFonts w:ascii="Arial"/>
                <w:sz w:val="21"/>
              </w:rPr>
            </w:pPr>
          </w:p>
          <w:p w14:paraId="3DDC111D">
            <w:pPr>
              <w:spacing w:line="268" w:lineRule="auto"/>
              <w:rPr>
                <w:rFonts w:ascii="Arial"/>
                <w:sz w:val="21"/>
              </w:rPr>
            </w:pPr>
          </w:p>
          <w:p w14:paraId="2885D450">
            <w:pPr>
              <w:spacing w:line="268" w:lineRule="auto"/>
              <w:rPr>
                <w:rFonts w:ascii="Arial"/>
                <w:sz w:val="21"/>
              </w:rPr>
            </w:pPr>
          </w:p>
          <w:p w14:paraId="0A7E445A">
            <w:pPr>
              <w:pStyle w:val="6"/>
              <w:spacing w:before="65" w:line="291" w:lineRule="auto"/>
              <w:ind w:left="153" w:right="158" w:firstLine="20"/>
            </w:pPr>
            <w:r>
              <w:rPr>
                <w:rFonts w:ascii="Times New Roman" w:hAnsi="Times New Roman" w:eastAsia="Times New Roman" w:cs="Times New Roman"/>
                <w:spacing w:val="-10"/>
              </w:rPr>
              <w:t>1</w:t>
            </w:r>
            <w:r>
              <w:rPr>
                <w:rFonts w:ascii="Times New Roman" w:hAnsi="Times New Roman" w:eastAsia="Times New Roman" w:cs="Times New Roman"/>
                <w:spacing w:val="10"/>
              </w:rPr>
              <w:t xml:space="preserve"> </w:t>
            </w:r>
            <w:r>
              <w:rPr>
                <w:spacing w:val="-10"/>
              </w:rPr>
              <w:t>户</w:t>
            </w:r>
            <w:r>
              <w:rPr>
                <w:rFonts w:ascii="Times New Roman" w:hAnsi="Times New Roman" w:eastAsia="Times New Roman" w:cs="Times New Roman"/>
                <w:spacing w:val="-1"/>
              </w:rPr>
              <w:t>2</w:t>
            </w:r>
            <w:r>
              <w:rPr>
                <w:rFonts w:ascii="Times New Roman" w:hAnsi="Times New Roman" w:eastAsia="Times New Roman" w:cs="Times New Roman"/>
                <w:spacing w:val="11"/>
              </w:rPr>
              <w:t xml:space="preserve"> </w:t>
            </w:r>
            <w:r>
              <w:rPr>
                <w:spacing w:val="-1"/>
              </w:rPr>
              <w:t>人</w:t>
            </w:r>
          </w:p>
        </w:tc>
        <w:tc>
          <w:tcPr>
            <w:tcW w:w="903" w:type="dxa"/>
            <w:vAlign w:val="top"/>
          </w:tcPr>
          <w:p w14:paraId="275DA6F9">
            <w:pPr>
              <w:spacing w:line="253" w:lineRule="auto"/>
              <w:rPr>
                <w:rFonts w:ascii="Arial"/>
                <w:sz w:val="21"/>
              </w:rPr>
            </w:pPr>
          </w:p>
          <w:p w14:paraId="6B362DB3">
            <w:pPr>
              <w:spacing w:line="253" w:lineRule="auto"/>
              <w:rPr>
                <w:rFonts w:ascii="Arial"/>
                <w:sz w:val="21"/>
              </w:rPr>
            </w:pPr>
          </w:p>
          <w:p w14:paraId="6A7199E2">
            <w:pPr>
              <w:spacing w:line="253" w:lineRule="auto"/>
              <w:rPr>
                <w:rFonts w:ascii="Arial"/>
                <w:sz w:val="21"/>
              </w:rPr>
            </w:pPr>
          </w:p>
          <w:p w14:paraId="3FFEC2AB">
            <w:pPr>
              <w:pStyle w:val="6"/>
              <w:spacing w:before="65" w:line="289" w:lineRule="auto"/>
              <w:ind w:left="137" w:right="134"/>
              <w:jc w:val="both"/>
            </w:pPr>
            <w:r>
              <w:rPr>
                <w:spacing w:val="6"/>
              </w:rPr>
              <w:t>砖混结</w:t>
            </w:r>
            <w:r>
              <w:rPr>
                <w:spacing w:val="23"/>
              </w:rPr>
              <w:t>构，</w:t>
            </w:r>
            <w:r>
              <w:rPr>
                <w:rFonts w:ascii="Times New Roman" w:hAnsi="Times New Roman" w:eastAsia="Times New Roman" w:cs="Times New Roman"/>
                <w:spacing w:val="23"/>
              </w:rPr>
              <w:t>1</w:t>
            </w:r>
            <w:r>
              <w:rPr>
                <w:spacing w:val="6"/>
              </w:rPr>
              <w:t>层（斜</w:t>
            </w:r>
            <w:r>
              <w:rPr>
                <w:spacing w:val="37"/>
                <w:w w:val="108"/>
              </w:rPr>
              <w:t>顶）</w:t>
            </w:r>
          </w:p>
        </w:tc>
        <w:tc>
          <w:tcPr>
            <w:tcW w:w="1457" w:type="dxa"/>
            <w:vAlign w:val="top"/>
          </w:tcPr>
          <w:p w14:paraId="5553B44A">
            <w:pPr>
              <w:spacing w:line="305" w:lineRule="auto"/>
              <w:rPr>
                <w:rFonts w:ascii="Arial"/>
                <w:sz w:val="21"/>
              </w:rPr>
            </w:pPr>
          </w:p>
          <w:p w14:paraId="51BCC830">
            <w:pPr>
              <w:spacing w:line="305" w:lineRule="auto"/>
              <w:rPr>
                <w:rFonts w:ascii="Arial"/>
                <w:sz w:val="21"/>
              </w:rPr>
            </w:pPr>
          </w:p>
          <w:p w14:paraId="559FE611">
            <w:pPr>
              <w:spacing w:line="305" w:lineRule="auto"/>
              <w:rPr>
                <w:rFonts w:ascii="Arial"/>
                <w:sz w:val="21"/>
              </w:rPr>
            </w:pPr>
          </w:p>
          <w:p w14:paraId="4E4695F2">
            <w:pPr>
              <w:pStyle w:val="6"/>
              <w:spacing w:before="65" w:line="289" w:lineRule="auto"/>
              <w:ind w:left="108" w:right="104" w:firstLine="97"/>
              <w:jc w:val="both"/>
              <w:rPr>
                <w:rFonts w:ascii="Times New Roman" w:hAnsi="Times New Roman" w:eastAsia="Times New Roman" w:cs="Times New Roman"/>
              </w:rPr>
            </w:pPr>
            <w:r>
              <w:rPr>
                <w:spacing w:val="7"/>
              </w:rPr>
              <w:t>单回线路西</w:t>
            </w:r>
            <w:r>
              <w:rPr>
                <w:spacing w:val="11"/>
              </w:rPr>
              <w:t>侧，</w:t>
            </w:r>
            <w:r>
              <w:rPr>
                <w:rFonts w:ascii="Times New Roman" w:hAnsi="Times New Roman" w:eastAsia="Times New Roman" w:cs="Times New Roman"/>
              </w:rPr>
              <w:t>BZ</w:t>
            </w:r>
            <w:r>
              <w:rPr>
                <w:rFonts w:ascii="Times New Roman" w:hAnsi="Times New Roman" w:eastAsia="Times New Roman" w:cs="Times New Roman"/>
                <w:spacing w:val="11"/>
              </w:rPr>
              <w:t xml:space="preserve">7G </w:t>
            </w:r>
            <w:r>
              <w:rPr>
                <w:spacing w:val="11"/>
              </w:rPr>
              <w:t>塔基西南侧</w:t>
            </w:r>
            <w:r>
              <w:rPr>
                <w:rFonts w:ascii="Times New Roman" w:hAnsi="Times New Roman" w:eastAsia="Times New Roman" w:cs="Times New Roman"/>
                <w:spacing w:val="11"/>
              </w:rPr>
              <w:t>50m</w:t>
            </w:r>
          </w:p>
        </w:tc>
        <w:tc>
          <w:tcPr>
            <w:tcW w:w="1449" w:type="dxa"/>
            <w:tcBorders>
              <w:right w:val="single" w:color="000000" w:sz="2" w:space="0"/>
            </w:tcBorders>
            <w:vAlign w:val="top"/>
          </w:tcPr>
          <w:p w14:paraId="2AB50825">
            <w:pPr>
              <w:spacing w:line="253" w:lineRule="auto"/>
              <w:rPr>
                <w:rFonts w:ascii="Arial"/>
                <w:sz w:val="21"/>
              </w:rPr>
            </w:pPr>
          </w:p>
          <w:p w14:paraId="6F7F18B8">
            <w:pPr>
              <w:spacing w:line="254" w:lineRule="auto"/>
              <w:rPr>
                <w:rFonts w:ascii="Arial"/>
                <w:sz w:val="21"/>
              </w:rPr>
            </w:pPr>
          </w:p>
          <w:p w14:paraId="0929FCBC">
            <w:pPr>
              <w:spacing w:line="254" w:lineRule="auto"/>
              <w:rPr>
                <w:rFonts w:ascii="Arial"/>
                <w:sz w:val="21"/>
              </w:rPr>
            </w:pPr>
          </w:p>
          <w:p w14:paraId="06AFC0B8">
            <w:pPr>
              <w:pStyle w:val="6"/>
              <w:spacing w:before="65" w:line="228" w:lineRule="auto"/>
              <w:ind w:left="184"/>
            </w:pPr>
            <w:r>
              <w:t>位于</w:t>
            </w:r>
            <w:r>
              <w:rPr>
                <w:spacing w:val="-44"/>
              </w:rPr>
              <w:t xml:space="preserve"> </w:t>
            </w:r>
            <w:r>
              <w:rPr>
                <w:rFonts w:ascii="Times New Roman" w:hAnsi="Times New Roman" w:eastAsia="Times New Roman" w:cs="Times New Roman"/>
              </w:rPr>
              <w:t>B</w:t>
            </w:r>
            <w:r>
              <w:rPr>
                <w:rFonts w:ascii="Times New Roman" w:hAnsi="Times New Roman" w:eastAsia="Times New Roman" w:cs="Times New Roman"/>
                <w:spacing w:val="34"/>
              </w:rPr>
              <w:t xml:space="preserve"> </w:t>
            </w:r>
            <w:r>
              <w:t>回线</w:t>
            </w:r>
          </w:p>
          <w:p w14:paraId="379602C7">
            <w:pPr>
              <w:pStyle w:val="6"/>
              <w:spacing w:before="65" w:line="228" w:lineRule="auto"/>
              <w:ind w:left="200"/>
            </w:pPr>
            <w:r>
              <w:rPr>
                <w:spacing w:val="8"/>
              </w:rPr>
              <w:t>边导线地面</w:t>
            </w:r>
          </w:p>
          <w:p w14:paraId="6A52F76D">
            <w:pPr>
              <w:pStyle w:val="6"/>
              <w:spacing w:before="64" w:line="228" w:lineRule="auto"/>
              <w:ind w:left="309"/>
            </w:pPr>
            <w:r>
              <w:rPr>
                <w:spacing w:val="7"/>
              </w:rPr>
              <w:t>投影西侧</w:t>
            </w:r>
          </w:p>
          <w:p w14:paraId="54454A1F">
            <w:pPr>
              <w:spacing w:before="101" w:line="195" w:lineRule="auto"/>
              <w:ind w:left="55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15m</w:t>
            </w:r>
          </w:p>
        </w:tc>
        <w:tc>
          <w:tcPr>
            <w:tcW w:w="1163" w:type="dxa"/>
            <w:tcBorders>
              <w:left w:val="single" w:color="000000" w:sz="2" w:space="0"/>
              <w:right w:val="single" w:color="000000" w:sz="2" w:space="0"/>
            </w:tcBorders>
            <w:vAlign w:val="top"/>
          </w:tcPr>
          <w:p w14:paraId="0F55AEFF">
            <w:pPr>
              <w:spacing w:line="253" w:lineRule="auto"/>
              <w:rPr>
                <w:rFonts w:ascii="Arial"/>
                <w:sz w:val="21"/>
              </w:rPr>
            </w:pPr>
          </w:p>
          <w:p w14:paraId="133DB065">
            <w:pPr>
              <w:spacing w:line="254" w:lineRule="auto"/>
              <w:rPr>
                <w:rFonts w:ascii="Arial"/>
                <w:sz w:val="21"/>
              </w:rPr>
            </w:pPr>
          </w:p>
          <w:p w14:paraId="4F96919A">
            <w:pPr>
              <w:spacing w:line="254" w:lineRule="auto"/>
              <w:rPr>
                <w:rFonts w:ascii="Arial"/>
                <w:sz w:val="21"/>
              </w:rPr>
            </w:pPr>
          </w:p>
          <w:p w14:paraId="5C4C45A2">
            <w:pPr>
              <w:spacing w:line="254" w:lineRule="auto"/>
              <w:rPr>
                <w:rFonts w:ascii="Arial"/>
                <w:sz w:val="21"/>
              </w:rPr>
            </w:pPr>
          </w:p>
          <w:p w14:paraId="64C069B7">
            <w:pPr>
              <w:spacing w:line="254" w:lineRule="auto"/>
              <w:rPr>
                <w:rFonts w:ascii="Arial"/>
                <w:sz w:val="21"/>
              </w:rPr>
            </w:pPr>
          </w:p>
          <w:p w14:paraId="56BB1907">
            <w:pPr>
              <w:spacing w:before="57" w:line="195" w:lineRule="auto"/>
              <w:ind w:left="39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20m</w:t>
            </w:r>
          </w:p>
        </w:tc>
        <w:tc>
          <w:tcPr>
            <w:tcW w:w="661" w:type="dxa"/>
            <w:tcBorders>
              <w:left w:val="single" w:color="000000" w:sz="2" w:space="0"/>
            </w:tcBorders>
            <w:vAlign w:val="top"/>
          </w:tcPr>
          <w:p w14:paraId="40BEFFA2">
            <w:pPr>
              <w:spacing w:line="254" w:lineRule="auto"/>
              <w:rPr>
                <w:rFonts w:ascii="Arial"/>
                <w:sz w:val="21"/>
              </w:rPr>
            </w:pPr>
          </w:p>
          <w:p w14:paraId="7E167851">
            <w:pPr>
              <w:spacing w:line="255" w:lineRule="auto"/>
              <w:rPr>
                <w:rFonts w:ascii="Arial"/>
                <w:sz w:val="21"/>
              </w:rPr>
            </w:pPr>
          </w:p>
          <w:p w14:paraId="22A0F5B3">
            <w:pPr>
              <w:spacing w:line="255" w:lineRule="auto"/>
              <w:rPr>
                <w:rFonts w:ascii="Arial"/>
                <w:sz w:val="21"/>
              </w:rPr>
            </w:pPr>
          </w:p>
          <w:p w14:paraId="48742214">
            <w:pPr>
              <w:spacing w:line="255" w:lineRule="auto"/>
              <w:rPr>
                <w:rFonts w:ascii="Arial"/>
                <w:sz w:val="21"/>
              </w:rPr>
            </w:pPr>
          </w:p>
          <w:p w14:paraId="5A8444D7">
            <w:pPr>
              <w:spacing w:line="255" w:lineRule="auto"/>
              <w:rPr>
                <w:rFonts w:ascii="Arial"/>
                <w:sz w:val="21"/>
              </w:rPr>
            </w:pPr>
          </w:p>
          <w:p w14:paraId="1432D4C3">
            <w:pPr>
              <w:spacing w:before="58" w:line="192" w:lineRule="auto"/>
              <w:ind w:left="20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4042" w:type="dxa"/>
            <w:vAlign w:val="top"/>
          </w:tcPr>
          <w:p w14:paraId="16BFD08A">
            <w:pPr>
              <w:spacing w:before="58" w:line="2650" w:lineRule="exact"/>
              <w:ind w:firstLine="251"/>
            </w:pPr>
            <w:r>
              <w:rPr>
                <w:position w:val="-52"/>
              </w:rPr>
              <w:drawing>
                <wp:inline distT="0" distB="0" distL="0" distR="0">
                  <wp:extent cx="2244725" cy="1682115"/>
                  <wp:effectExtent l="0" t="0" r="0" b="0"/>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r:embed="rId281"/>
                          <a:stretch>
                            <a:fillRect/>
                          </a:stretch>
                        </pic:blipFill>
                        <pic:spPr>
                          <a:xfrm>
                            <a:off x="0" y="0"/>
                            <a:ext cx="2244852" cy="1682521"/>
                          </a:xfrm>
                          <a:prstGeom prst="rect">
                            <a:avLst/>
                          </a:prstGeom>
                        </pic:spPr>
                      </pic:pic>
                    </a:graphicData>
                  </a:graphic>
                </wp:inline>
              </w:drawing>
            </w:r>
          </w:p>
        </w:tc>
        <w:tc>
          <w:tcPr>
            <w:tcW w:w="1182" w:type="dxa"/>
            <w:gridSpan w:val="2"/>
            <w:vAlign w:val="top"/>
          </w:tcPr>
          <w:p w14:paraId="702A3AC6">
            <w:pPr>
              <w:rPr>
                <w:rFonts w:ascii="Arial"/>
                <w:sz w:val="21"/>
              </w:rPr>
            </w:pPr>
          </w:p>
        </w:tc>
      </w:tr>
      <w:tr w14:paraId="31194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4195" w:type="dxa"/>
            <w:gridSpan w:val="11"/>
            <w:vAlign w:val="top"/>
          </w:tcPr>
          <w:p w14:paraId="3E3400D6">
            <w:pPr>
              <w:pStyle w:val="6"/>
              <w:spacing w:before="57" w:line="262" w:lineRule="auto"/>
              <w:ind w:left="117" w:right="99" w:hanging="4"/>
            </w:pPr>
            <w:r>
              <w:rPr>
                <w:spacing w:val="8"/>
              </w:rPr>
              <w:t>注：环境保护目标离线路中心及离边导线的距离，按照本项目最长水平相距离的塔型（</w:t>
            </w:r>
            <w:r>
              <w:rPr>
                <w:rFonts w:ascii="Times New Roman" w:hAnsi="Times New Roman" w:eastAsia="Times New Roman" w:cs="Times New Roman"/>
                <w:spacing w:val="8"/>
              </w:rPr>
              <w:t>1C2X1-</w:t>
            </w:r>
            <w:r>
              <w:rPr>
                <w:rFonts w:ascii="Times New Roman" w:hAnsi="Times New Roman" w:eastAsia="Times New Roman" w:cs="Times New Roman"/>
              </w:rPr>
              <w:t>JD</w:t>
            </w:r>
            <w:r>
              <w:rPr>
                <w:rFonts w:ascii="Times New Roman" w:hAnsi="Times New Roman" w:eastAsia="Times New Roman" w:cs="Times New Roman"/>
                <w:spacing w:val="8"/>
              </w:rPr>
              <w:t xml:space="preserve"> </w:t>
            </w:r>
            <w:r>
              <w:rPr>
                <w:spacing w:val="8"/>
              </w:rPr>
              <w:t>双回塔、</w:t>
            </w:r>
            <w:r>
              <w:rPr>
                <w:rFonts w:ascii="Times New Roman" w:hAnsi="Times New Roman" w:eastAsia="Times New Roman" w:cs="Times New Roman"/>
                <w:spacing w:val="8"/>
              </w:rPr>
              <w:t>1C1X4</w:t>
            </w:r>
            <w:r>
              <w:rPr>
                <w:rFonts w:ascii="Times New Roman" w:hAnsi="Times New Roman" w:eastAsia="Times New Roman" w:cs="Times New Roman"/>
                <w:spacing w:val="7"/>
              </w:rPr>
              <w:t>-J4</w:t>
            </w:r>
            <w:r>
              <w:rPr>
                <w:rFonts w:ascii="Times New Roman" w:hAnsi="Times New Roman" w:eastAsia="Times New Roman" w:cs="Times New Roman"/>
                <w:spacing w:val="17"/>
              </w:rPr>
              <w:t xml:space="preserve"> </w:t>
            </w:r>
            <w:r>
              <w:rPr>
                <w:spacing w:val="7"/>
              </w:rPr>
              <w:t>单回塔）考虑，即最长水平相距离取</w:t>
            </w:r>
            <w:r>
              <w:rPr>
                <w:rFonts w:ascii="Times New Roman" w:hAnsi="Times New Roman" w:eastAsia="Times New Roman" w:cs="Times New Roman"/>
                <w:spacing w:val="8"/>
              </w:rPr>
              <w:t>8.35m</w:t>
            </w:r>
            <w:r>
              <w:rPr>
                <w:rFonts w:ascii="Times New Roman" w:hAnsi="Times New Roman" w:eastAsia="Times New Roman" w:cs="Times New Roman"/>
                <w:spacing w:val="-26"/>
              </w:rPr>
              <w:t xml:space="preserve"> </w:t>
            </w:r>
            <w:r>
              <w:rPr>
                <w:spacing w:val="8"/>
              </w:rPr>
              <w:t>、</w:t>
            </w:r>
            <w:r>
              <w:rPr>
                <w:rFonts w:ascii="Times New Roman" w:hAnsi="Times New Roman" w:eastAsia="Times New Roman" w:cs="Times New Roman"/>
                <w:spacing w:val="8"/>
              </w:rPr>
              <w:t>8.2m</w:t>
            </w:r>
            <w:r>
              <w:rPr>
                <w:rFonts w:ascii="Times New Roman" w:hAnsi="Times New Roman" w:eastAsia="Times New Roman" w:cs="Times New Roman"/>
                <w:spacing w:val="-24"/>
              </w:rPr>
              <w:t xml:space="preserve"> </w:t>
            </w:r>
            <w:r>
              <w:rPr>
                <w:spacing w:val="8"/>
              </w:rPr>
              <w:t>，即线路中心距离边导线水平距离最</w:t>
            </w:r>
            <w:r>
              <w:rPr>
                <w:spacing w:val="7"/>
              </w:rPr>
              <w:t>长为</w:t>
            </w:r>
            <w:r>
              <w:rPr>
                <w:spacing w:val="-42"/>
              </w:rPr>
              <w:t xml:space="preserve"> </w:t>
            </w:r>
            <w:r>
              <w:rPr>
                <w:rFonts w:ascii="Times New Roman" w:hAnsi="Times New Roman" w:eastAsia="Times New Roman" w:cs="Times New Roman"/>
                <w:spacing w:val="7"/>
              </w:rPr>
              <w:t>4.2m</w:t>
            </w:r>
            <w:r>
              <w:rPr>
                <w:rFonts w:ascii="Times New Roman" w:hAnsi="Times New Roman" w:eastAsia="Times New Roman" w:cs="Times New Roman"/>
                <w:spacing w:val="-24"/>
              </w:rPr>
              <w:t xml:space="preserve"> </w:t>
            </w:r>
            <w:r>
              <w:rPr>
                <w:spacing w:val="7"/>
              </w:rPr>
              <w:t>，本次评价按最大电磁环境评价范围考虑，塔基线路中心距离边导线水平距离保守取</w:t>
            </w:r>
            <w:r>
              <w:rPr>
                <w:spacing w:val="-37"/>
              </w:rPr>
              <w:t xml:space="preserve"> </w:t>
            </w:r>
            <w:r>
              <w:rPr>
                <w:rFonts w:ascii="Times New Roman" w:hAnsi="Times New Roman" w:eastAsia="Times New Roman" w:cs="Times New Roman"/>
                <w:spacing w:val="7"/>
              </w:rPr>
              <w:t>5m</w:t>
            </w:r>
            <w:r>
              <w:rPr>
                <w:spacing w:val="7"/>
              </w:rPr>
              <w:t>；</w:t>
            </w:r>
          </w:p>
        </w:tc>
        <w:tc>
          <w:tcPr>
            <w:tcW w:w="147" w:type="dxa"/>
            <w:tcBorders>
              <w:top w:val="single" w:color="000000" w:sz="2" w:space="0"/>
              <w:bottom w:val="nil"/>
              <w:right w:val="nil"/>
            </w:tcBorders>
            <w:vAlign w:val="top"/>
          </w:tcPr>
          <w:p w14:paraId="72DC7BBA">
            <w:pPr>
              <w:rPr>
                <w:rFonts w:ascii="Arial"/>
                <w:sz w:val="21"/>
              </w:rPr>
            </w:pPr>
          </w:p>
        </w:tc>
      </w:tr>
    </w:tbl>
    <w:p w14:paraId="2B7C02F0">
      <w:pPr>
        <w:rPr>
          <w:rFonts w:ascii="Arial"/>
          <w:sz w:val="21"/>
        </w:rPr>
      </w:pPr>
    </w:p>
    <w:p w14:paraId="103F598C">
      <w:pPr>
        <w:rPr>
          <w:rFonts w:ascii="Arial" w:hAnsi="Arial" w:eastAsia="Arial" w:cs="Arial"/>
          <w:sz w:val="21"/>
          <w:szCs w:val="21"/>
        </w:rPr>
        <w:sectPr>
          <w:footerReference r:id="rId165" w:type="default"/>
          <w:pgSz w:w="16839" w:h="11906"/>
          <w:pgMar w:top="400" w:right="1242" w:bottom="919" w:left="1242" w:header="0" w:footer="732" w:gutter="0"/>
          <w:cols w:space="720" w:num="1"/>
        </w:sectPr>
      </w:pPr>
    </w:p>
    <w:p w14:paraId="5971043C">
      <w:pPr>
        <w:spacing w:line="241" w:lineRule="auto"/>
        <w:rPr>
          <w:rFonts w:ascii="Arial"/>
          <w:sz w:val="21"/>
        </w:rPr>
      </w:pPr>
    </w:p>
    <w:p w14:paraId="4FDD4076">
      <w:pPr>
        <w:spacing w:line="241" w:lineRule="auto"/>
        <w:rPr>
          <w:rFonts w:ascii="Arial"/>
          <w:sz w:val="21"/>
        </w:rPr>
      </w:pPr>
    </w:p>
    <w:p w14:paraId="361E2EE9">
      <w:pPr>
        <w:spacing w:line="241" w:lineRule="auto"/>
        <w:rPr>
          <w:rFonts w:ascii="Arial"/>
          <w:sz w:val="21"/>
        </w:rPr>
      </w:pPr>
    </w:p>
    <w:p w14:paraId="15D13D22">
      <w:pPr>
        <w:spacing w:line="241" w:lineRule="auto"/>
        <w:rPr>
          <w:rFonts w:ascii="Arial"/>
          <w:sz w:val="21"/>
        </w:rPr>
      </w:pPr>
    </w:p>
    <w:p w14:paraId="27E9DCED">
      <w:pPr>
        <w:spacing w:line="241" w:lineRule="auto"/>
        <w:rPr>
          <w:rFonts w:ascii="Arial"/>
          <w:sz w:val="21"/>
        </w:rPr>
      </w:pPr>
    </w:p>
    <w:p w14:paraId="3DB30CCF">
      <w:pPr>
        <w:pStyle w:val="2"/>
        <w:spacing w:before="101" w:line="225" w:lineRule="auto"/>
        <w:ind w:left="19"/>
        <w:rPr>
          <w:sz w:val="31"/>
          <w:szCs w:val="31"/>
        </w:rPr>
      </w:pPr>
      <w:r>
        <w:rPr>
          <w:rFonts w:ascii="Times New Roman" w:hAnsi="Times New Roman" w:eastAsia="Times New Roman" w:cs="Times New Roman"/>
          <w:b/>
          <w:bCs/>
          <w:spacing w:val="6"/>
          <w:sz w:val="31"/>
          <w:szCs w:val="31"/>
        </w:rPr>
        <w:t xml:space="preserve">3  </w:t>
      </w:r>
      <w:r>
        <w:rPr>
          <w:b/>
          <w:bCs/>
          <w:spacing w:val="6"/>
          <w:sz w:val="31"/>
          <w:szCs w:val="31"/>
        </w:rPr>
        <w:t>工程概况及工程分析</w:t>
      </w:r>
    </w:p>
    <w:p w14:paraId="31BD2397">
      <w:pPr>
        <w:spacing w:line="434" w:lineRule="auto"/>
        <w:rPr>
          <w:rFonts w:ascii="Arial"/>
          <w:sz w:val="21"/>
        </w:rPr>
      </w:pPr>
    </w:p>
    <w:p w14:paraId="60C0E678">
      <w:pPr>
        <w:pStyle w:val="2"/>
        <w:spacing w:before="98" w:line="219" w:lineRule="auto"/>
        <w:ind w:left="18"/>
        <w:rPr>
          <w:sz w:val="30"/>
          <w:szCs w:val="30"/>
        </w:rPr>
      </w:pPr>
      <w:r>
        <w:rPr>
          <w:rFonts w:ascii="Times New Roman" w:hAnsi="Times New Roman" w:eastAsia="Times New Roman" w:cs="Times New Roman"/>
          <w:b/>
          <w:bCs/>
          <w:spacing w:val="-5"/>
          <w:sz w:val="30"/>
          <w:szCs w:val="30"/>
        </w:rPr>
        <w:t>3.1</w:t>
      </w:r>
      <w:r>
        <w:rPr>
          <w:rFonts w:ascii="Times New Roman" w:hAnsi="Times New Roman" w:eastAsia="Times New Roman" w:cs="Times New Roman"/>
          <w:b/>
          <w:bCs/>
          <w:spacing w:val="9"/>
          <w:sz w:val="30"/>
          <w:szCs w:val="30"/>
        </w:rPr>
        <w:t xml:space="preserve">  </w:t>
      </w:r>
      <w:r>
        <w:rPr>
          <w:b/>
          <w:bCs/>
          <w:spacing w:val="-5"/>
          <w:sz w:val="30"/>
          <w:szCs w:val="30"/>
        </w:rPr>
        <w:t>工程概况</w:t>
      </w:r>
    </w:p>
    <w:p w14:paraId="199E820B">
      <w:pPr>
        <w:spacing w:line="421" w:lineRule="auto"/>
        <w:rPr>
          <w:rFonts w:ascii="Arial"/>
          <w:sz w:val="21"/>
        </w:rPr>
      </w:pPr>
    </w:p>
    <w:p w14:paraId="06576654">
      <w:pPr>
        <w:pStyle w:val="2"/>
        <w:spacing w:before="78" w:line="219" w:lineRule="auto"/>
        <w:ind w:left="17"/>
        <w:rPr>
          <w:sz w:val="24"/>
          <w:szCs w:val="24"/>
        </w:rPr>
      </w:pPr>
      <w:r>
        <w:rPr>
          <w:rFonts w:ascii="Times New Roman" w:hAnsi="Times New Roman" w:eastAsia="Times New Roman" w:cs="Times New Roman"/>
          <w:b/>
          <w:bCs/>
          <w:spacing w:val="-2"/>
          <w:sz w:val="24"/>
          <w:szCs w:val="24"/>
        </w:rPr>
        <w:t xml:space="preserve">3.1.1  </w:t>
      </w:r>
      <w:r>
        <w:rPr>
          <w:b/>
          <w:bCs/>
          <w:spacing w:val="-2"/>
          <w:sz w:val="24"/>
          <w:szCs w:val="24"/>
        </w:rPr>
        <w:t>工程建设内容</w:t>
      </w:r>
    </w:p>
    <w:p w14:paraId="7971DF3F">
      <w:pPr>
        <w:pStyle w:val="2"/>
        <w:spacing w:before="104" w:line="358" w:lineRule="auto"/>
        <w:ind w:left="24" w:right="13" w:firstLine="497"/>
        <w:rPr>
          <w:sz w:val="24"/>
          <w:szCs w:val="24"/>
        </w:rPr>
      </w:pPr>
      <w:r>
        <w:rPr>
          <w:rFonts w:ascii="Times New Roman" w:hAnsi="Times New Roman" w:eastAsia="Times New Roman" w:cs="Times New Roman"/>
          <w:spacing w:val="-3"/>
          <w:sz w:val="24"/>
          <w:szCs w:val="24"/>
        </w:rPr>
        <w:t xml:space="preserve">110kV </w:t>
      </w:r>
      <w:r>
        <w:rPr>
          <w:spacing w:val="-3"/>
          <w:sz w:val="24"/>
          <w:szCs w:val="24"/>
        </w:rPr>
        <w:t>松山输变电工程建设内容分为变电站工程、输电</w:t>
      </w:r>
      <w:r>
        <w:rPr>
          <w:spacing w:val="-4"/>
          <w:sz w:val="24"/>
          <w:szCs w:val="24"/>
        </w:rPr>
        <w:t>线路工程、对侧变电</w:t>
      </w:r>
      <w:r>
        <w:rPr>
          <w:spacing w:val="-2"/>
          <w:sz w:val="24"/>
          <w:szCs w:val="24"/>
        </w:rPr>
        <w:t>站工程。</w:t>
      </w:r>
      <w:r>
        <w:rPr>
          <w:b/>
          <w:bCs/>
          <w:spacing w:val="-2"/>
          <w:sz w:val="24"/>
          <w:szCs w:val="24"/>
        </w:rPr>
        <w:t>本次评价按本期建设内容进行评价。</w:t>
      </w:r>
    </w:p>
    <w:p w14:paraId="561BCC06">
      <w:pPr>
        <w:pStyle w:val="2"/>
        <w:spacing w:line="220" w:lineRule="auto"/>
        <w:ind w:left="514"/>
        <w:rPr>
          <w:sz w:val="24"/>
          <w:szCs w:val="24"/>
        </w:rPr>
      </w:pPr>
      <w:r>
        <w:rPr>
          <w:b/>
          <w:bCs/>
          <w:spacing w:val="-5"/>
          <w:sz w:val="24"/>
          <w:szCs w:val="24"/>
        </w:rPr>
        <w:t>（</w:t>
      </w:r>
      <w:r>
        <w:rPr>
          <w:rFonts w:ascii="Times New Roman" w:hAnsi="Times New Roman" w:eastAsia="Times New Roman" w:cs="Times New Roman"/>
          <w:b/>
          <w:bCs/>
          <w:spacing w:val="-5"/>
          <w:sz w:val="24"/>
          <w:szCs w:val="24"/>
        </w:rPr>
        <w:t>1</w:t>
      </w:r>
      <w:r>
        <w:rPr>
          <w:b/>
          <w:bCs/>
          <w:spacing w:val="-5"/>
          <w:sz w:val="24"/>
          <w:szCs w:val="24"/>
        </w:rPr>
        <w:t>）变电站工程</w:t>
      </w:r>
    </w:p>
    <w:p w14:paraId="7FE69280">
      <w:pPr>
        <w:pStyle w:val="2"/>
        <w:spacing w:before="261" w:line="219" w:lineRule="auto"/>
        <w:ind w:left="503"/>
        <w:rPr>
          <w:sz w:val="24"/>
          <w:szCs w:val="24"/>
        </w:rPr>
      </w:pPr>
      <w:r>
        <w:rPr>
          <w:spacing w:val="-2"/>
          <w:sz w:val="24"/>
          <w:szCs w:val="24"/>
        </w:rPr>
        <w:t>变电站工程：新建</w:t>
      </w:r>
      <w:r>
        <w:rPr>
          <w:spacing w:val="-32"/>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变电站</w:t>
      </w:r>
      <w:r>
        <w:rPr>
          <w:spacing w:val="-32"/>
          <w:sz w:val="24"/>
          <w:szCs w:val="24"/>
        </w:rPr>
        <w:t xml:space="preserve"> </w:t>
      </w:r>
      <w:r>
        <w:rPr>
          <w:rFonts w:ascii="Times New Roman" w:hAnsi="Times New Roman" w:eastAsia="Times New Roman" w:cs="Times New Roman"/>
          <w:spacing w:val="-2"/>
          <w:sz w:val="24"/>
          <w:szCs w:val="24"/>
        </w:rPr>
        <w:t xml:space="preserve">1 </w:t>
      </w:r>
      <w:r>
        <w:rPr>
          <w:spacing w:val="-2"/>
          <w:sz w:val="24"/>
          <w:szCs w:val="24"/>
        </w:rPr>
        <w:t>座，站</w:t>
      </w:r>
      <w:r>
        <w:rPr>
          <w:spacing w:val="-3"/>
          <w:sz w:val="24"/>
          <w:szCs w:val="24"/>
        </w:rPr>
        <w:t>址围墙内占地</w:t>
      </w:r>
      <w:r>
        <w:rPr>
          <w:spacing w:val="-50"/>
          <w:sz w:val="24"/>
          <w:szCs w:val="24"/>
        </w:rPr>
        <w:t xml:space="preserve"> </w:t>
      </w:r>
      <w:r>
        <w:rPr>
          <w:rFonts w:ascii="Times New Roman" w:hAnsi="Times New Roman" w:eastAsia="Times New Roman" w:cs="Times New Roman"/>
          <w:spacing w:val="-3"/>
          <w:sz w:val="24"/>
          <w:szCs w:val="24"/>
        </w:rPr>
        <w:t>9100m</w:t>
      </w:r>
      <w:r>
        <w:rPr>
          <w:rFonts w:ascii="Times New Roman" w:hAnsi="Times New Roman" w:eastAsia="Times New Roman" w:cs="Times New Roman"/>
          <w:spacing w:val="-3"/>
          <w:position w:val="8"/>
          <w:sz w:val="15"/>
          <w:szCs w:val="15"/>
        </w:rPr>
        <w:t>2</w:t>
      </w:r>
      <w:r>
        <w:rPr>
          <w:spacing w:val="-3"/>
          <w:sz w:val="24"/>
          <w:szCs w:val="24"/>
        </w:rPr>
        <w:t>；</w:t>
      </w:r>
    </w:p>
    <w:p w14:paraId="70E9854D">
      <w:pPr>
        <w:pStyle w:val="2"/>
        <w:spacing w:before="181" w:line="345" w:lineRule="auto"/>
        <w:ind w:left="22" w:right="13" w:firstLine="482"/>
        <w:jc w:val="both"/>
        <w:rPr>
          <w:sz w:val="24"/>
          <w:szCs w:val="24"/>
        </w:rPr>
      </w:pPr>
      <w:r>
        <w:rPr>
          <w:spacing w:val="10"/>
          <w:sz w:val="24"/>
          <w:szCs w:val="24"/>
        </w:rPr>
        <w:t>主要配套电气设备如下：</w:t>
      </w:r>
      <w:r>
        <w:rPr>
          <w:spacing w:val="-83"/>
          <w:sz w:val="24"/>
          <w:szCs w:val="24"/>
        </w:rPr>
        <w:t xml:space="preserve"> </w:t>
      </w:r>
      <w:r>
        <w:rPr>
          <w:spacing w:val="10"/>
          <w:sz w:val="24"/>
          <w:szCs w:val="24"/>
        </w:rPr>
        <w:t>①主变采用户外布置，主变容</w:t>
      </w:r>
      <w:r>
        <w:rPr>
          <w:spacing w:val="9"/>
          <w:sz w:val="24"/>
          <w:szCs w:val="24"/>
        </w:rPr>
        <w:t>量本期建成</w:t>
      </w:r>
      <w:r>
        <w:rPr>
          <w:spacing w:val="-38"/>
          <w:sz w:val="24"/>
          <w:szCs w:val="24"/>
        </w:rPr>
        <w:t xml:space="preserve"> </w:t>
      </w:r>
      <w:r>
        <w:rPr>
          <w:rFonts w:ascii="Times New Roman" w:hAnsi="Times New Roman" w:eastAsia="Times New Roman" w:cs="Times New Roman"/>
          <w:spacing w:val="9"/>
          <w:sz w:val="24"/>
          <w:szCs w:val="24"/>
        </w:rPr>
        <w:t xml:space="preserve">2 </w:t>
      </w:r>
      <w:r>
        <w:rPr>
          <w:spacing w:val="9"/>
          <w:sz w:val="24"/>
          <w:szCs w:val="24"/>
        </w:rPr>
        <w:t>×</w:t>
      </w:r>
      <w:r>
        <w:rPr>
          <w:sz w:val="24"/>
          <w:szCs w:val="24"/>
        </w:rPr>
        <w:t xml:space="preserve"> </w:t>
      </w:r>
      <w:r>
        <w:rPr>
          <w:rFonts w:ascii="Times New Roman" w:hAnsi="Times New Roman" w:eastAsia="Times New Roman" w:cs="Times New Roman"/>
          <w:spacing w:val="-1"/>
          <w:sz w:val="24"/>
          <w:szCs w:val="24"/>
        </w:rPr>
        <w:t>50MVA</w:t>
      </w:r>
      <w:r>
        <w:rPr>
          <w:rFonts w:ascii="Times New Roman" w:hAnsi="Times New Roman" w:eastAsia="Times New Roman" w:cs="Times New Roman"/>
          <w:spacing w:val="-31"/>
          <w:sz w:val="24"/>
          <w:szCs w:val="24"/>
        </w:rPr>
        <w:t xml:space="preserve"> </w:t>
      </w:r>
      <w:r>
        <w:rPr>
          <w:spacing w:val="-1"/>
          <w:sz w:val="24"/>
          <w:szCs w:val="24"/>
        </w:rPr>
        <w:t>，终期规模</w:t>
      </w:r>
      <w:r>
        <w:rPr>
          <w:spacing w:val="-46"/>
          <w:sz w:val="24"/>
          <w:szCs w:val="24"/>
        </w:rPr>
        <w:t xml:space="preserve"> </w:t>
      </w:r>
      <w:r>
        <w:rPr>
          <w:rFonts w:ascii="Times New Roman" w:hAnsi="Times New Roman" w:eastAsia="Times New Roman" w:cs="Times New Roman"/>
          <w:spacing w:val="-1"/>
          <w:sz w:val="24"/>
          <w:szCs w:val="24"/>
        </w:rPr>
        <w:t>3</w:t>
      </w:r>
      <w:r>
        <w:rPr>
          <w:spacing w:val="-1"/>
          <w:sz w:val="24"/>
          <w:szCs w:val="24"/>
        </w:rPr>
        <w:t>×</w:t>
      </w:r>
      <w:r>
        <w:rPr>
          <w:rFonts w:ascii="Times New Roman" w:hAnsi="Times New Roman" w:eastAsia="Times New Roman" w:cs="Times New Roman"/>
          <w:spacing w:val="-1"/>
          <w:sz w:val="24"/>
          <w:szCs w:val="24"/>
        </w:rPr>
        <w:t>50MVA</w:t>
      </w:r>
      <w:r>
        <w:rPr>
          <w:spacing w:val="-1"/>
          <w:sz w:val="24"/>
          <w:szCs w:val="24"/>
        </w:rPr>
        <w:t>；②各级电压进出</w:t>
      </w:r>
      <w:r>
        <w:rPr>
          <w:spacing w:val="-2"/>
          <w:sz w:val="24"/>
          <w:szCs w:val="24"/>
        </w:rPr>
        <w:t>线：</w:t>
      </w:r>
      <w:r>
        <w:rPr>
          <w:rFonts w:ascii="Times New Roman" w:hAnsi="Times New Roman" w:eastAsia="Times New Roman" w:cs="Times New Roman"/>
          <w:spacing w:val="-2"/>
          <w:sz w:val="24"/>
          <w:szCs w:val="24"/>
        </w:rPr>
        <w:t xml:space="preserve">110kV </w:t>
      </w:r>
      <w:r>
        <w:rPr>
          <w:spacing w:val="-2"/>
          <w:sz w:val="24"/>
          <w:szCs w:val="24"/>
        </w:rPr>
        <w:t>侧配套</w:t>
      </w:r>
      <w:r>
        <w:rPr>
          <w:spacing w:val="-47"/>
          <w:sz w:val="24"/>
          <w:szCs w:val="24"/>
        </w:rPr>
        <w:t xml:space="preserve"> </w:t>
      </w:r>
      <w:r>
        <w:rPr>
          <w:rFonts w:ascii="Times New Roman" w:hAnsi="Times New Roman" w:eastAsia="Times New Roman" w:cs="Times New Roman"/>
          <w:spacing w:val="-2"/>
          <w:sz w:val="24"/>
          <w:szCs w:val="24"/>
        </w:rPr>
        <w:t>GIS</w:t>
      </w:r>
      <w:r>
        <w:rPr>
          <w:rFonts w:ascii="Times New Roman" w:hAnsi="Times New Roman" w:eastAsia="Times New Roman" w:cs="Times New Roman"/>
          <w:spacing w:val="19"/>
          <w:w w:val="101"/>
          <w:sz w:val="24"/>
          <w:szCs w:val="24"/>
        </w:rPr>
        <w:t xml:space="preserve"> </w:t>
      </w:r>
      <w:r>
        <w:rPr>
          <w:spacing w:val="-2"/>
          <w:sz w:val="24"/>
          <w:szCs w:val="24"/>
        </w:rPr>
        <w:t>设备，采用架空出线，本期建成</w:t>
      </w:r>
      <w:r>
        <w:rPr>
          <w:spacing w:val="-43"/>
          <w:sz w:val="24"/>
          <w:szCs w:val="24"/>
        </w:rPr>
        <w:t xml:space="preserve"> </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33"/>
          <w:w w:val="101"/>
          <w:sz w:val="24"/>
          <w:szCs w:val="24"/>
        </w:rPr>
        <w:t xml:space="preserve"> </w:t>
      </w:r>
      <w:r>
        <w:rPr>
          <w:spacing w:val="-2"/>
          <w:sz w:val="24"/>
          <w:szCs w:val="24"/>
        </w:rPr>
        <w:t>回，终期规模</w:t>
      </w:r>
      <w:r>
        <w:rPr>
          <w:spacing w:val="-49"/>
          <w:sz w:val="24"/>
          <w:szCs w:val="24"/>
        </w:rPr>
        <w:t xml:space="preserve"> </w:t>
      </w:r>
      <w:r>
        <w:rPr>
          <w:rFonts w:ascii="Times New Roman" w:hAnsi="Times New Roman" w:eastAsia="Times New Roman" w:cs="Times New Roman"/>
          <w:spacing w:val="-2"/>
          <w:sz w:val="24"/>
          <w:szCs w:val="24"/>
        </w:rPr>
        <w:t>5</w:t>
      </w:r>
      <w:r>
        <w:rPr>
          <w:rFonts w:ascii="Times New Roman" w:hAnsi="Times New Roman" w:eastAsia="Times New Roman" w:cs="Times New Roman"/>
          <w:spacing w:val="36"/>
          <w:sz w:val="24"/>
          <w:szCs w:val="24"/>
        </w:rPr>
        <w:t xml:space="preserve"> </w:t>
      </w:r>
      <w:r>
        <w:rPr>
          <w:spacing w:val="-2"/>
          <w:sz w:val="24"/>
          <w:szCs w:val="24"/>
        </w:rPr>
        <w:t>回；</w:t>
      </w:r>
      <w:r>
        <w:rPr>
          <w:rFonts w:ascii="Times New Roman" w:hAnsi="Times New Roman" w:eastAsia="Times New Roman" w:cs="Times New Roman"/>
          <w:spacing w:val="-2"/>
          <w:sz w:val="24"/>
          <w:szCs w:val="24"/>
        </w:rPr>
        <w:t xml:space="preserve">10kV </w:t>
      </w:r>
      <w:r>
        <w:rPr>
          <w:spacing w:val="-2"/>
          <w:sz w:val="24"/>
          <w:szCs w:val="24"/>
        </w:rPr>
        <w:t>侧配套开关柜，采用架空</w:t>
      </w:r>
      <w:r>
        <w:rPr>
          <w:spacing w:val="1"/>
          <w:sz w:val="24"/>
          <w:szCs w:val="24"/>
        </w:rPr>
        <w:t>出线。③无功补偿装置：本期</w:t>
      </w:r>
      <w:r>
        <w:rPr>
          <w:rFonts w:ascii="Times New Roman" w:hAnsi="Times New Roman" w:eastAsia="Times New Roman" w:cs="Times New Roman"/>
          <w:spacing w:val="1"/>
          <w:sz w:val="24"/>
          <w:szCs w:val="24"/>
        </w:rPr>
        <w:t>2</w:t>
      </w:r>
      <w:r>
        <w:rPr>
          <w:spacing w:val="1"/>
          <w:sz w:val="24"/>
          <w:szCs w:val="24"/>
        </w:rPr>
        <w:t>×</w:t>
      </w:r>
      <w:r>
        <w:rPr>
          <w:rFonts w:ascii="Times New Roman" w:hAnsi="Times New Roman" w:eastAsia="Times New Roman" w:cs="Times New Roman"/>
          <w:spacing w:val="1"/>
          <w:sz w:val="24"/>
          <w:szCs w:val="24"/>
        </w:rPr>
        <w:t>5.01</w:t>
      </w:r>
      <w:r>
        <w:rPr>
          <w:rFonts w:ascii="Times New Roman" w:hAnsi="Times New Roman" w:eastAsia="Times New Roman" w:cs="Times New Roman"/>
          <w:sz w:val="24"/>
          <w:szCs w:val="24"/>
        </w:rPr>
        <w:t>Mvar</w:t>
      </w:r>
      <w:r>
        <w:rPr>
          <w:rFonts w:ascii="Times New Roman" w:hAnsi="Times New Roman" w:eastAsia="Times New Roman" w:cs="Times New Roman"/>
          <w:spacing w:val="-33"/>
          <w:sz w:val="24"/>
          <w:szCs w:val="24"/>
        </w:rPr>
        <w:t xml:space="preserve"> </w:t>
      </w:r>
      <w:r>
        <w:rPr>
          <w:spacing w:val="1"/>
          <w:sz w:val="24"/>
          <w:szCs w:val="24"/>
        </w:rPr>
        <w:t>，终期</w:t>
      </w:r>
      <w:r>
        <w:rPr>
          <w:sz w:val="24"/>
          <w:szCs w:val="24"/>
        </w:rPr>
        <w:t>待定。</w:t>
      </w:r>
    </w:p>
    <w:p w14:paraId="491C335D">
      <w:pPr>
        <w:pStyle w:val="2"/>
        <w:spacing w:line="219" w:lineRule="auto"/>
        <w:ind w:left="514"/>
        <w:rPr>
          <w:sz w:val="24"/>
          <w:szCs w:val="24"/>
        </w:rPr>
      </w:pPr>
      <w:r>
        <w:rPr>
          <w:b/>
          <w:bCs/>
          <w:spacing w:val="-4"/>
          <w:sz w:val="24"/>
          <w:szCs w:val="24"/>
        </w:rPr>
        <w:t>（</w:t>
      </w:r>
      <w:r>
        <w:rPr>
          <w:rFonts w:ascii="Times New Roman" w:hAnsi="Times New Roman" w:eastAsia="Times New Roman" w:cs="Times New Roman"/>
          <w:b/>
          <w:bCs/>
          <w:spacing w:val="-4"/>
          <w:sz w:val="24"/>
          <w:szCs w:val="24"/>
        </w:rPr>
        <w:t>2</w:t>
      </w:r>
      <w:r>
        <w:rPr>
          <w:b/>
          <w:bCs/>
          <w:spacing w:val="-4"/>
          <w:sz w:val="24"/>
          <w:szCs w:val="24"/>
        </w:rPr>
        <w:t>）新建输电线路工程</w:t>
      </w:r>
    </w:p>
    <w:p w14:paraId="72061F01">
      <w:pPr>
        <w:pStyle w:val="2"/>
        <w:spacing w:before="182" w:line="219" w:lineRule="auto"/>
        <w:ind w:left="504"/>
        <w:rPr>
          <w:sz w:val="24"/>
          <w:szCs w:val="24"/>
        </w:rPr>
      </w:pPr>
      <w:r>
        <w:rPr>
          <w:spacing w:val="-6"/>
          <w:sz w:val="24"/>
          <w:szCs w:val="24"/>
        </w:rPr>
        <w:t>本期新建</w:t>
      </w:r>
      <w:r>
        <w:rPr>
          <w:spacing w:val="-52"/>
          <w:sz w:val="24"/>
          <w:szCs w:val="24"/>
        </w:rPr>
        <w:t xml:space="preserve"> </w:t>
      </w:r>
      <w:r>
        <w:rPr>
          <w:rFonts w:ascii="Times New Roman" w:hAnsi="Times New Roman" w:eastAsia="Times New Roman" w:cs="Times New Roman"/>
          <w:spacing w:val="-6"/>
          <w:sz w:val="24"/>
          <w:szCs w:val="24"/>
        </w:rPr>
        <w:t>2</w:t>
      </w:r>
      <w:r>
        <w:rPr>
          <w:rFonts w:ascii="Times New Roman" w:hAnsi="Times New Roman" w:eastAsia="Times New Roman" w:cs="Times New Roman"/>
          <w:spacing w:val="33"/>
          <w:sz w:val="24"/>
          <w:szCs w:val="24"/>
        </w:rPr>
        <w:t xml:space="preserve"> </w:t>
      </w:r>
      <w:r>
        <w:rPr>
          <w:spacing w:val="-6"/>
          <w:sz w:val="24"/>
          <w:szCs w:val="24"/>
        </w:rPr>
        <w:t>回</w:t>
      </w:r>
      <w:r>
        <w:rPr>
          <w:spacing w:val="-32"/>
          <w:sz w:val="24"/>
          <w:szCs w:val="24"/>
        </w:rPr>
        <w:t xml:space="preserve"> </w:t>
      </w:r>
      <w:r>
        <w:rPr>
          <w:rFonts w:ascii="Times New Roman" w:hAnsi="Times New Roman" w:eastAsia="Times New Roman" w:cs="Times New Roman"/>
          <w:spacing w:val="-6"/>
          <w:sz w:val="24"/>
          <w:szCs w:val="24"/>
        </w:rPr>
        <w:t xml:space="preserve">110kV </w:t>
      </w:r>
      <w:r>
        <w:rPr>
          <w:spacing w:val="-6"/>
          <w:sz w:val="24"/>
          <w:szCs w:val="24"/>
        </w:rPr>
        <w:t>线路，新建</w:t>
      </w:r>
      <w:r>
        <w:rPr>
          <w:spacing w:val="-32"/>
          <w:sz w:val="24"/>
          <w:szCs w:val="24"/>
        </w:rPr>
        <w:t xml:space="preserve"> </w:t>
      </w:r>
      <w:r>
        <w:rPr>
          <w:rFonts w:ascii="Times New Roman" w:hAnsi="Times New Roman" w:eastAsia="Times New Roman" w:cs="Times New Roman"/>
          <w:spacing w:val="-6"/>
          <w:sz w:val="24"/>
          <w:szCs w:val="24"/>
        </w:rPr>
        <w:t>1</w:t>
      </w:r>
      <w:r>
        <w:rPr>
          <w:rFonts w:ascii="Times New Roman" w:hAnsi="Times New Roman" w:eastAsia="Times New Roman" w:cs="Times New Roman"/>
          <w:spacing w:val="33"/>
          <w:sz w:val="24"/>
          <w:szCs w:val="24"/>
        </w:rPr>
        <w:t xml:space="preserve"> </w:t>
      </w:r>
      <w:r>
        <w:rPr>
          <w:spacing w:val="-6"/>
          <w:sz w:val="24"/>
          <w:szCs w:val="24"/>
        </w:rPr>
        <w:t>回</w:t>
      </w:r>
      <w:r>
        <w:rPr>
          <w:spacing w:val="-50"/>
          <w:sz w:val="24"/>
          <w:szCs w:val="24"/>
        </w:rPr>
        <w:t xml:space="preserve"> </w:t>
      </w:r>
      <w:r>
        <w:rPr>
          <w:rFonts w:ascii="Times New Roman" w:hAnsi="Times New Roman" w:eastAsia="Times New Roman" w:cs="Times New Roman"/>
          <w:spacing w:val="-6"/>
          <w:sz w:val="24"/>
          <w:szCs w:val="24"/>
        </w:rPr>
        <w:t xml:space="preserve">35kV </w:t>
      </w:r>
      <w:r>
        <w:rPr>
          <w:spacing w:val="-6"/>
          <w:sz w:val="24"/>
          <w:szCs w:val="24"/>
        </w:rPr>
        <w:t>线路。</w:t>
      </w:r>
    </w:p>
    <w:p w14:paraId="533C4E2F">
      <w:pPr>
        <w:pStyle w:val="2"/>
        <w:spacing w:before="182" w:line="217" w:lineRule="auto"/>
        <w:ind w:left="502"/>
        <w:rPr>
          <w:sz w:val="24"/>
          <w:szCs w:val="24"/>
        </w:rPr>
      </w:pPr>
      <w:r>
        <w:rPr>
          <w:b/>
          <w:bCs/>
          <w:spacing w:val="-3"/>
          <w:sz w:val="24"/>
          <w:szCs w:val="24"/>
        </w:rPr>
        <w:t>①</w:t>
      </w:r>
      <w:r>
        <w:rPr>
          <w:rFonts w:ascii="Times New Roman" w:hAnsi="Times New Roman" w:eastAsia="Times New Roman" w:cs="Times New Roman"/>
          <w:b/>
          <w:bCs/>
          <w:spacing w:val="-3"/>
          <w:sz w:val="24"/>
          <w:szCs w:val="24"/>
        </w:rPr>
        <w:t xml:space="preserve">110kV </w:t>
      </w:r>
      <w:r>
        <w:rPr>
          <w:b/>
          <w:bCs/>
          <w:spacing w:val="-3"/>
          <w:sz w:val="24"/>
          <w:szCs w:val="24"/>
        </w:rPr>
        <w:t>松山变～</w:t>
      </w:r>
      <w:r>
        <w:rPr>
          <w:rFonts w:ascii="Times New Roman" w:hAnsi="Times New Roman" w:eastAsia="Times New Roman" w:cs="Times New Roman"/>
          <w:b/>
          <w:bCs/>
          <w:spacing w:val="-3"/>
          <w:sz w:val="24"/>
          <w:szCs w:val="24"/>
        </w:rPr>
        <w:t>220kV</w:t>
      </w:r>
      <w:r>
        <w:rPr>
          <w:rFonts w:ascii="Times New Roman" w:hAnsi="Times New Roman" w:eastAsia="Times New Roman" w:cs="Times New Roman"/>
          <w:b/>
          <w:bCs/>
          <w:spacing w:val="21"/>
          <w:sz w:val="24"/>
          <w:szCs w:val="24"/>
        </w:rPr>
        <w:t xml:space="preserve"> </w:t>
      </w:r>
      <w:r>
        <w:rPr>
          <w:b/>
          <w:bCs/>
          <w:spacing w:val="-3"/>
          <w:sz w:val="24"/>
          <w:szCs w:val="24"/>
        </w:rPr>
        <w:t>芳华变</w:t>
      </w:r>
    </w:p>
    <w:p w14:paraId="1F2CA4AE">
      <w:pPr>
        <w:pStyle w:val="2"/>
        <w:spacing w:before="186" w:line="359" w:lineRule="auto"/>
        <w:ind w:left="19" w:right="13" w:firstLine="487"/>
        <w:rPr>
          <w:sz w:val="24"/>
          <w:szCs w:val="24"/>
        </w:rPr>
      </w:pPr>
      <w:r>
        <w:rPr>
          <w:spacing w:val="-1"/>
          <w:sz w:val="24"/>
          <w:szCs w:val="24"/>
        </w:rPr>
        <w:t>线路从新建变电站向西方出线后，左转向西</w:t>
      </w:r>
      <w:r>
        <w:rPr>
          <w:spacing w:val="-2"/>
          <w:sz w:val="24"/>
          <w:szCs w:val="24"/>
        </w:rPr>
        <w:t>南方向跨越</w:t>
      </w:r>
      <w:r>
        <w:rPr>
          <w:spacing w:val="-50"/>
          <w:sz w:val="24"/>
          <w:szCs w:val="24"/>
        </w:rPr>
        <w:t xml:space="preserve"> </w:t>
      </w:r>
      <w:r>
        <w:rPr>
          <w:rFonts w:ascii="Times New Roman" w:hAnsi="Times New Roman" w:eastAsia="Times New Roman" w:cs="Times New Roman"/>
          <w:spacing w:val="-2"/>
          <w:sz w:val="24"/>
          <w:szCs w:val="24"/>
        </w:rPr>
        <w:t xml:space="preserve">35kV </w:t>
      </w:r>
      <w:r>
        <w:rPr>
          <w:spacing w:val="-2"/>
          <w:sz w:val="24"/>
          <w:szCs w:val="24"/>
        </w:rPr>
        <w:t>金瑞达瓷业线</w:t>
      </w:r>
      <w:r>
        <w:rPr>
          <w:sz w:val="24"/>
          <w:szCs w:val="24"/>
        </w:rPr>
        <w:t>后继续平行曲陆高速前进，在中所堡村北侧向西北转向，跨越</w:t>
      </w:r>
      <w:r>
        <w:rPr>
          <w:spacing w:val="-1"/>
          <w:sz w:val="24"/>
          <w:szCs w:val="24"/>
        </w:rPr>
        <w:t>曲陆高速后平行</w:t>
      </w:r>
      <w:r>
        <w:rPr>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芳华</w:t>
      </w:r>
      <w:r>
        <w:rPr>
          <w:spacing w:val="-38"/>
          <w:sz w:val="24"/>
          <w:szCs w:val="24"/>
        </w:rPr>
        <w:t xml:space="preserve"> </w:t>
      </w:r>
      <w:r>
        <w:rPr>
          <w:rFonts w:ascii="Times New Roman" w:hAnsi="Times New Roman" w:eastAsia="Times New Roman" w:cs="Times New Roman"/>
          <w:spacing w:val="-2"/>
          <w:sz w:val="24"/>
          <w:szCs w:val="24"/>
        </w:rPr>
        <w:t xml:space="preserve">T </w:t>
      </w:r>
      <w:r>
        <w:rPr>
          <w:spacing w:val="-2"/>
          <w:sz w:val="24"/>
          <w:szCs w:val="24"/>
        </w:rPr>
        <w:t>接中大</w:t>
      </w:r>
      <w:r>
        <w:rPr>
          <w:spacing w:val="-54"/>
          <w:sz w:val="24"/>
          <w:szCs w:val="24"/>
        </w:rPr>
        <w:t xml:space="preserve"> </w:t>
      </w:r>
      <w:r>
        <w:rPr>
          <w:rFonts w:ascii="Times New Roman" w:hAnsi="Times New Roman" w:eastAsia="Times New Roman" w:cs="Times New Roman"/>
          <w:spacing w:val="-2"/>
          <w:sz w:val="24"/>
          <w:szCs w:val="24"/>
        </w:rPr>
        <w:t>II</w:t>
      </w:r>
      <w:r>
        <w:rPr>
          <w:rFonts w:ascii="Times New Roman" w:hAnsi="Times New Roman" w:eastAsia="Times New Roman" w:cs="Times New Roman"/>
          <w:spacing w:val="34"/>
          <w:sz w:val="24"/>
          <w:szCs w:val="24"/>
        </w:rPr>
        <w:t xml:space="preserve"> </w:t>
      </w:r>
      <w:r>
        <w:rPr>
          <w:spacing w:val="-2"/>
          <w:sz w:val="24"/>
          <w:szCs w:val="24"/>
        </w:rPr>
        <w:t>回线走线，沿途已经尽量避让基本农田等敏感因素，在</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7"/>
          <w:w w:val="101"/>
          <w:sz w:val="24"/>
          <w:szCs w:val="24"/>
        </w:rPr>
        <w:t xml:space="preserve"> </w:t>
      </w:r>
      <w:r>
        <w:rPr>
          <w:spacing w:val="-2"/>
          <w:sz w:val="24"/>
          <w:szCs w:val="24"/>
        </w:rPr>
        <w:t>芳华变东南侧约</w:t>
      </w:r>
      <w:r>
        <w:rPr>
          <w:spacing w:val="-52"/>
          <w:sz w:val="24"/>
          <w:szCs w:val="24"/>
        </w:rPr>
        <w:t xml:space="preserve"> </w:t>
      </w:r>
      <w:r>
        <w:rPr>
          <w:rFonts w:ascii="Times New Roman" w:hAnsi="Times New Roman" w:eastAsia="Times New Roman" w:cs="Times New Roman"/>
          <w:spacing w:val="-2"/>
          <w:sz w:val="24"/>
          <w:szCs w:val="24"/>
        </w:rPr>
        <w:t>0.6km</w:t>
      </w:r>
      <w:r>
        <w:rPr>
          <w:rFonts w:ascii="Times New Roman" w:hAnsi="Times New Roman" w:eastAsia="Times New Roman" w:cs="Times New Roman"/>
          <w:spacing w:val="15"/>
          <w:w w:val="101"/>
          <w:sz w:val="24"/>
          <w:szCs w:val="24"/>
        </w:rPr>
        <w:t xml:space="preserve"> </w:t>
      </w:r>
      <w:r>
        <w:rPr>
          <w:spacing w:val="-2"/>
          <w:sz w:val="24"/>
          <w:szCs w:val="24"/>
        </w:rPr>
        <w:t>处，跨越</w:t>
      </w:r>
      <w:r>
        <w:rPr>
          <w:spacing w:val="-51"/>
          <w:sz w:val="24"/>
          <w:szCs w:val="24"/>
        </w:rPr>
        <w:t xml:space="preserve"> </w:t>
      </w:r>
      <w:r>
        <w:rPr>
          <w:rFonts w:ascii="Times New Roman" w:hAnsi="Times New Roman" w:eastAsia="Times New Roman" w:cs="Times New Roman"/>
          <w:spacing w:val="-2"/>
          <w:sz w:val="24"/>
          <w:szCs w:val="24"/>
        </w:rPr>
        <w:t xml:space="preserve">35kV </w:t>
      </w:r>
      <w:r>
        <w:rPr>
          <w:spacing w:val="-2"/>
          <w:sz w:val="24"/>
          <w:szCs w:val="24"/>
        </w:rPr>
        <w:t>麦机线与</w:t>
      </w:r>
      <w:r>
        <w:rPr>
          <w:spacing w:val="-55"/>
          <w:sz w:val="24"/>
          <w:szCs w:val="24"/>
        </w:rPr>
        <w:t xml:space="preserve"> </w:t>
      </w:r>
      <w:r>
        <w:rPr>
          <w:rFonts w:ascii="Times New Roman" w:hAnsi="Times New Roman" w:eastAsia="Times New Roman" w:cs="Times New Roman"/>
          <w:spacing w:val="-2"/>
          <w:sz w:val="24"/>
          <w:szCs w:val="24"/>
        </w:rPr>
        <w:t>220kV</w:t>
      </w:r>
      <w:r>
        <w:rPr>
          <w:rFonts w:ascii="Times New Roman" w:hAnsi="Times New Roman" w:eastAsia="Times New Roman" w:cs="Times New Roman"/>
          <w:spacing w:val="16"/>
          <w:sz w:val="24"/>
          <w:szCs w:val="24"/>
        </w:rPr>
        <w:t xml:space="preserve"> </w:t>
      </w:r>
      <w:r>
        <w:rPr>
          <w:spacing w:val="-2"/>
          <w:sz w:val="24"/>
          <w:szCs w:val="24"/>
        </w:rPr>
        <w:t>芳华变拟建</w:t>
      </w:r>
      <w:r>
        <w:rPr>
          <w:spacing w:val="-53"/>
          <w:sz w:val="24"/>
          <w:szCs w:val="24"/>
        </w:rPr>
        <w:t xml:space="preserve"> </w:t>
      </w:r>
      <w:r>
        <w:rPr>
          <w:rFonts w:ascii="Times New Roman" w:hAnsi="Times New Roman" w:eastAsia="Times New Roman" w:cs="Times New Roman"/>
          <w:spacing w:val="-2"/>
          <w:sz w:val="24"/>
          <w:szCs w:val="24"/>
        </w:rPr>
        <w:t xml:space="preserve">T </w:t>
      </w:r>
      <w:r>
        <w:rPr>
          <w:spacing w:val="-2"/>
          <w:sz w:val="24"/>
          <w:szCs w:val="24"/>
        </w:rPr>
        <w:t>接</w:t>
      </w:r>
      <w:r>
        <w:rPr>
          <w:sz w:val="24"/>
          <w:szCs w:val="24"/>
        </w:rPr>
        <w:t xml:space="preserve"> </w:t>
      </w:r>
      <w:r>
        <w:rPr>
          <w:rFonts w:ascii="Times New Roman" w:hAnsi="Times New Roman" w:eastAsia="Times New Roman" w:cs="Times New Roman"/>
          <w:spacing w:val="-3"/>
          <w:sz w:val="24"/>
          <w:szCs w:val="24"/>
        </w:rPr>
        <w:t xml:space="preserve">35kV </w:t>
      </w:r>
      <w:r>
        <w:rPr>
          <w:spacing w:val="-3"/>
          <w:sz w:val="24"/>
          <w:szCs w:val="24"/>
        </w:rPr>
        <w:t>麦机线线路，最后接入</w:t>
      </w:r>
      <w:r>
        <w:rPr>
          <w:spacing w:val="-55"/>
          <w:sz w:val="24"/>
          <w:szCs w:val="24"/>
        </w:rPr>
        <w:t xml:space="preserve"> </w:t>
      </w: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15"/>
          <w:sz w:val="24"/>
          <w:szCs w:val="24"/>
        </w:rPr>
        <w:t xml:space="preserve"> </w:t>
      </w:r>
      <w:r>
        <w:rPr>
          <w:spacing w:val="-3"/>
          <w:sz w:val="24"/>
          <w:szCs w:val="24"/>
        </w:rPr>
        <w:t>芳华变，由于</w:t>
      </w:r>
      <w:r>
        <w:rPr>
          <w:spacing w:val="-55"/>
          <w:sz w:val="24"/>
          <w:szCs w:val="24"/>
        </w:rPr>
        <w:t xml:space="preserve"> </w:t>
      </w: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18"/>
          <w:sz w:val="24"/>
          <w:szCs w:val="24"/>
        </w:rPr>
        <w:t xml:space="preserve"> </w:t>
      </w:r>
      <w:r>
        <w:rPr>
          <w:spacing w:val="-3"/>
          <w:sz w:val="24"/>
          <w:szCs w:val="24"/>
        </w:rPr>
        <w:t>芳华变周围被基本农田</w:t>
      </w:r>
      <w:r>
        <w:rPr>
          <w:spacing w:val="-1"/>
          <w:sz w:val="24"/>
          <w:szCs w:val="24"/>
        </w:rPr>
        <w:t>包围，在</w:t>
      </w:r>
      <w:r>
        <w:rPr>
          <w:spacing w:val="-55"/>
          <w:sz w:val="24"/>
          <w:szCs w:val="24"/>
        </w:rPr>
        <w:t xml:space="preserve">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15"/>
          <w:sz w:val="24"/>
          <w:szCs w:val="24"/>
        </w:rPr>
        <w:t xml:space="preserve"> </w:t>
      </w:r>
      <w:r>
        <w:rPr>
          <w:spacing w:val="-1"/>
          <w:sz w:val="24"/>
          <w:szCs w:val="24"/>
        </w:rPr>
        <w:t>芳华变外有无法避让基本农田的塔基。</w:t>
      </w:r>
    </w:p>
    <w:p w14:paraId="247C879B">
      <w:pPr>
        <w:pStyle w:val="2"/>
        <w:spacing w:before="2" w:line="359" w:lineRule="auto"/>
        <w:ind w:left="26" w:right="13" w:firstLine="478"/>
        <w:rPr>
          <w:sz w:val="24"/>
          <w:szCs w:val="24"/>
        </w:rPr>
      </w:pPr>
      <w:r>
        <w:rPr>
          <w:spacing w:val="-3"/>
          <w:sz w:val="24"/>
          <w:szCs w:val="24"/>
        </w:rPr>
        <w:t>本方案线路采用单双回路混合架设，</w:t>
      </w:r>
      <w:r>
        <w:rPr>
          <w:rFonts w:ascii="Times New Roman" w:hAnsi="Times New Roman" w:eastAsia="Times New Roman" w:cs="Times New Roman"/>
          <w:spacing w:val="-3"/>
          <w:sz w:val="24"/>
          <w:szCs w:val="24"/>
        </w:rPr>
        <w:t xml:space="preserve">110kV </w:t>
      </w:r>
      <w:r>
        <w:rPr>
          <w:spacing w:val="-3"/>
          <w:sz w:val="24"/>
          <w:szCs w:val="24"/>
        </w:rPr>
        <w:t>松山变外为双回路终端塔单边挂</w:t>
      </w:r>
      <w:r>
        <w:rPr>
          <w:spacing w:val="-1"/>
          <w:sz w:val="24"/>
          <w:szCs w:val="24"/>
        </w:rPr>
        <w:t>线，跨越高速公路至</w:t>
      </w:r>
      <w:r>
        <w:rPr>
          <w:spacing w:val="-54"/>
          <w:sz w:val="24"/>
          <w:szCs w:val="24"/>
        </w:rPr>
        <w:t xml:space="preserve">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16"/>
          <w:sz w:val="24"/>
          <w:szCs w:val="24"/>
        </w:rPr>
        <w:t xml:space="preserve"> </w:t>
      </w:r>
      <w:r>
        <w:rPr>
          <w:spacing w:val="-1"/>
          <w:sz w:val="24"/>
          <w:szCs w:val="24"/>
        </w:rPr>
        <w:t>芳华变段按双回路建设，其余采用单回路架设，全</w:t>
      </w:r>
      <w:r>
        <w:rPr>
          <w:spacing w:val="-4"/>
          <w:sz w:val="24"/>
          <w:szCs w:val="24"/>
        </w:rPr>
        <w:t>线路径长</w:t>
      </w:r>
      <w:r>
        <w:rPr>
          <w:spacing w:val="-30"/>
          <w:sz w:val="24"/>
          <w:szCs w:val="24"/>
        </w:rPr>
        <w:t xml:space="preserve"> </w:t>
      </w:r>
      <w:r>
        <w:rPr>
          <w:rFonts w:ascii="Times New Roman" w:hAnsi="Times New Roman" w:eastAsia="Times New Roman" w:cs="Times New Roman"/>
          <w:spacing w:val="-4"/>
          <w:sz w:val="24"/>
          <w:szCs w:val="24"/>
        </w:rPr>
        <w:t>10.25km</w:t>
      </w:r>
      <w:r>
        <w:rPr>
          <w:rFonts w:ascii="Times New Roman" w:hAnsi="Times New Roman" w:eastAsia="Times New Roman" w:cs="Times New Roman"/>
          <w:spacing w:val="-32"/>
          <w:sz w:val="24"/>
          <w:szCs w:val="24"/>
        </w:rPr>
        <w:t xml:space="preserve"> </w:t>
      </w:r>
      <w:r>
        <w:rPr>
          <w:spacing w:val="-4"/>
          <w:sz w:val="24"/>
          <w:szCs w:val="24"/>
        </w:rPr>
        <w:t>，其中双回路长</w:t>
      </w:r>
      <w:r>
        <w:rPr>
          <w:spacing w:val="-50"/>
          <w:sz w:val="24"/>
          <w:szCs w:val="24"/>
        </w:rPr>
        <w:t xml:space="preserve"> </w:t>
      </w:r>
      <w:r>
        <w:rPr>
          <w:rFonts w:ascii="Times New Roman" w:hAnsi="Times New Roman" w:eastAsia="Times New Roman" w:cs="Times New Roman"/>
          <w:spacing w:val="-4"/>
          <w:sz w:val="24"/>
          <w:szCs w:val="24"/>
        </w:rPr>
        <w:t>6.36km</w:t>
      </w:r>
      <w:r>
        <w:rPr>
          <w:rFonts w:ascii="Times New Roman" w:hAnsi="Times New Roman" w:eastAsia="Times New Roman" w:cs="Times New Roman"/>
          <w:spacing w:val="-30"/>
          <w:sz w:val="24"/>
          <w:szCs w:val="24"/>
        </w:rPr>
        <w:t xml:space="preserve"> </w:t>
      </w:r>
      <w:r>
        <w:rPr>
          <w:spacing w:val="-4"/>
          <w:sz w:val="24"/>
          <w:szCs w:val="24"/>
        </w:rPr>
        <w:t>，单回路长</w:t>
      </w:r>
      <w:r>
        <w:rPr>
          <w:spacing w:val="-50"/>
          <w:sz w:val="24"/>
          <w:szCs w:val="24"/>
        </w:rPr>
        <w:t xml:space="preserve"> </w:t>
      </w:r>
      <w:r>
        <w:rPr>
          <w:rFonts w:ascii="Times New Roman" w:hAnsi="Times New Roman" w:eastAsia="Times New Roman" w:cs="Times New Roman"/>
          <w:spacing w:val="-4"/>
          <w:sz w:val="24"/>
          <w:szCs w:val="24"/>
        </w:rPr>
        <w:t>3.89km</w:t>
      </w:r>
      <w:r>
        <w:rPr>
          <w:rFonts w:ascii="Times New Roman" w:hAnsi="Times New Roman" w:eastAsia="Times New Roman" w:cs="Times New Roman"/>
          <w:spacing w:val="-31"/>
          <w:sz w:val="24"/>
          <w:szCs w:val="24"/>
        </w:rPr>
        <w:t xml:space="preserve"> </w:t>
      </w:r>
      <w:r>
        <w:rPr>
          <w:spacing w:val="-4"/>
          <w:sz w:val="24"/>
          <w:szCs w:val="24"/>
        </w:rPr>
        <w:t>，曲折系数</w:t>
      </w:r>
      <w:r>
        <w:rPr>
          <w:spacing w:val="-32"/>
          <w:sz w:val="24"/>
          <w:szCs w:val="24"/>
        </w:rPr>
        <w:t xml:space="preserve"> </w:t>
      </w:r>
      <w:r>
        <w:rPr>
          <w:rFonts w:ascii="Times New Roman" w:hAnsi="Times New Roman" w:eastAsia="Times New Roman" w:cs="Times New Roman"/>
          <w:spacing w:val="-4"/>
          <w:sz w:val="24"/>
          <w:szCs w:val="24"/>
        </w:rPr>
        <w:t>1.24</w:t>
      </w:r>
      <w:r>
        <w:rPr>
          <w:spacing w:val="-4"/>
          <w:sz w:val="24"/>
          <w:szCs w:val="24"/>
        </w:rPr>
        <w:t>。</w:t>
      </w:r>
    </w:p>
    <w:p w14:paraId="511740BC">
      <w:pPr>
        <w:pStyle w:val="2"/>
        <w:spacing w:line="219" w:lineRule="auto"/>
        <w:ind w:left="26"/>
        <w:rPr>
          <w:sz w:val="24"/>
          <w:szCs w:val="24"/>
        </w:rPr>
      </w:pPr>
      <w:r>
        <w:rPr>
          <w:spacing w:val="-2"/>
          <w:sz w:val="24"/>
          <w:szCs w:val="24"/>
        </w:rPr>
        <w:t>线路全线位于陆良县境内。</w:t>
      </w:r>
    </w:p>
    <w:p w14:paraId="3A9D342C">
      <w:pPr>
        <w:pStyle w:val="2"/>
        <w:spacing w:before="181" w:line="217" w:lineRule="auto"/>
        <w:ind w:left="501"/>
        <w:rPr>
          <w:sz w:val="24"/>
          <w:szCs w:val="24"/>
        </w:rPr>
      </w:pPr>
      <w:r>
        <w:rPr>
          <w:b/>
          <w:bCs/>
          <w:spacing w:val="-4"/>
          <w:sz w:val="24"/>
          <w:szCs w:val="24"/>
        </w:rPr>
        <w:t>②</w:t>
      </w:r>
      <w:r>
        <w:rPr>
          <w:rFonts w:ascii="Times New Roman" w:hAnsi="Times New Roman" w:eastAsia="Times New Roman" w:cs="Times New Roman"/>
          <w:b/>
          <w:bCs/>
          <w:spacing w:val="-4"/>
          <w:sz w:val="24"/>
          <w:szCs w:val="24"/>
        </w:rPr>
        <w:t xml:space="preserve">110kV </w:t>
      </w:r>
      <w:r>
        <w:rPr>
          <w:b/>
          <w:bCs/>
          <w:spacing w:val="-4"/>
          <w:sz w:val="24"/>
          <w:szCs w:val="24"/>
        </w:rPr>
        <w:t>松山变“</w:t>
      </w:r>
      <w:r>
        <w:rPr>
          <w:rFonts w:ascii="Times New Roman" w:hAnsi="Times New Roman" w:eastAsia="Times New Roman" w:cs="Times New Roman"/>
          <w:b/>
          <w:bCs/>
          <w:spacing w:val="-4"/>
          <w:sz w:val="24"/>
          <w:szCs w:val="24"/>
        </w:rPr>
        <w:t>T</w:t>
      </w:r>
      <w:r>
        <w:rPr>
          <w:rFonts w:ascii="Times New Roman" w:hAnsi="Times New Roman" w:eastAsia="Times New Roman" w:cs="Times New Roman"/>
          <w:b/>
          <w:bCs/>
          <w:spacing w:val="-27"/>
          <w:sz w:val="24"/>
          <w:szCs w:val="24"/>
        </w:rPr>
        <w:t xml:space="preserve"> </w:t>
      </w:r>
      <w:r>
        <w:rPr>
          <w:b/>
          <w:bCs/>
          <w:spacing w:val="-4"/>
          <w:sz w:val="24"/>
          <w:szCs w:val="24"/>
        </w:rPr>
        <w:t>”接芳华变出线π接</w:t>
      </w:r>
      <w:r>
        <w:rPr>
          <w:spacing w:val="-44"/>
          <w:sz w:val="24"/>
          <w:szCs w:val="24"/>
        </w:rPr>
        <w:t xml:space="preserve"> </w:t>
      </w:r>
      <w:r>
        <w:rPr>
          <w:rFonts w:ascii="Times New Roman" w:hAnsi="Times New Roman" w:eastAsia="Times New Roman" w:cs="Times New Roman"/>
          <w:b/>
          <w:bCs/>
          <w:spacing w:val="-4"/>
          <w:sz w:val="24"/>
          <w:szCs w:val="24"/>
        </w:rPr>
        <w:t>110</w:t>
      </w:r>
      <w:r>
        <w:rPr>
          <w:rFonts w:ascii="Times New Roman" w:hAnsi="Times New Roman" w:eastAsia="Times New Roman" w:cs="Times New Roman"/>
          <w:b/>
          <w:bCs/>
          <w:spacing w:val="-5"/>
          <w:sz w:val="24"/>
          <w:szCs w:val="24"/>
        </w:rPr>
        <w:t>kV</w:t>
      </w:r>
      <w:r>
        <w:rPr>
          <w:rFonts w:ascii="Times New Roman" w:hAnsi="Times New Roman" w:eastAsia="Times New Roman" w:cs="Times New Roman"/>
          <w:b/>
          <w:bCs/>
          <w:spacing w:val="17"/>
          <w:w w:val="101"/>
          <w:sz w:val="24"/>
          <w:szCs w:val="24"/>
        </w:rPr>
        <w:t xml:space="preserve"> </w:t>
      </w:r>
      <w:r>
        <w:rPr>
          <w:b/>
          <w:bCs/>
          <w:spacing w:val="-5"/>
          <w:sz w:val="24"/>
          <w:szCs w:val="24"/>
        </w:rPr>
        <w:t>吉中线的</w:t>
      </w:r>
      <w:r>
        <w:rPr>
          <w:spacing w:val="-44"/>
          <w:sz w:val="24"/>
          <w:szCs w:val="24"/>
        </w:rPr>
        <w:t xml:space="preserve"> </w:t>
      </w:r>
      <w:r>
        <w:rPr>
          <w:rFonts w:ascii="Times New Roman" w:hAnsi="Times New Roman" w:eastAsia="Times New Roman" w:cs="Times New Roman"/>
          <w:b/>
          <w:bCs/>
          <w:spacing w:val="-5"/>
          <w:sz w:val="24"/>
          <w:szCs w:val="24"/>
        </w:rPr>
        <w:t xml:space="preserve">110kV </w:t>
      </w:r>
      <w:r>
        <w:rPr>
          <w:b/>
          <w:bCs/>
          <w:spacing w:val="-5"/>
          <w:sz w:val="24"/>
          <w:szCs w:val="24"/>
        </w:rPr>
        <w:t>线路</w:t>
      </w:r>
    </w:p>
    <w:p w14:paraId="04BB23DC">
      <w:pPr>
        <w:pStyle w:val="2"/>
        <w:spacing w:before="182" w:line="362" w:lineRule="auto"/>
        <w:ind w:left="25" w:right="13" w:firstLine="480"/>
        <w:jc w:val="both"/>
        <w:rPr>
          <w:sz w:val="24"/>
          <w:szCs w:val="24"/>
        </w:rPr>
      </w:pPr>
      <w:r>
        <w:rPr>
          <w:spacing w:val="-1"/>
          <w:sz w:val="24"/>
          <w:szCs w:val="24"/>
        </w:rPr>
        <w:t>线路从新建变电站向西方出线后，左转向西</w:t>
      </w:r>
      <w:r>
        <w:rPr>
          <w:spacing w:val="-2"/>
          <w:sz w:val="24"/>
          <w:szCs w:val="24"/>
        </w:rPr>
        <w:t>南方向跨越</w:t>
      </w:r>
      <w:r>
        <w:rPr>
          <w:spacing w:val="-50"/>
          <w:sz w:val="24"/>
          <w:szCs w:val="24"/>
        </w:rPr>
        <w:t xml:space="preserve"> </w:t>
      </w:r>
      <w:r>
        <w:rPr>
          <w:rFonts w:ascii="Times New Roman" w:hAnsi="Times New Roman" w:eastAsia="Times New Roman" w:cs="Times New Roman"/>
          <w:spacing w:val="-2"/>
          <w:sz w:val="24"/>
          <w:szCs w:val="24"/>
        </w:rPr>
        <w:t xml:space="preserve">35kV </w:t>
      </w:r>
      <w:r>
        <w:rPr>
          <w:spacing w:val="-2"/>
          <w:sz w:val="24"/>
          <w:szCs w:val="24"/>
        </w:rPr>
        <w:t>金瑞达瓷业线</w:t>
      </w:r>
      <w:r>
        <w:rPr>
          <w:spacing w:val="-3"/>
          <w:sz w:val="24"/>
          <w:szCs w:val="24"/>
        </w:rPr>
        <w:t>后继续平行曲陆高速前进，在中所堡村北侧向西南转向，绕开黑龙村水库，穿越</w:t>
      </w:r>
      <w:r>
        <w:rPr>
          <w:rFonts w:ascii="Times New Roman" w:hAnsi="Times New Roman" w:eastAsia="Times New Roman" w:cs="Times New Roman"/>
          <w:spacing w:val="-3"/>
          <w:sz w:val="24"/>
          <w:szCs w:val="24"/>
        </w:rPr>
        <w:t xml:space="preserve">110kV </w:t>
      </w:r>
      <w:r>
        <w:rPr>
          <w:spacing w:val="-3"/>
          <w:sz w:val="24"/>
          <w:szCs w:val="24"/>
        </w:rPr>
        <w:t>芳华</w:t>
      </w:r>
      <w:r>
        <w:rPr>
          <w:spacing w:val="-47"/>
          <w:sz w:val="24"/>
          <w:szCs w:val="24"/>
        </w:rPr>
        <w:t xml:space="preserve"> </w:t>
      </w:r>
      <w:r>
        <w:rPr>
          <w:rFonts w:ascii="Times New Roman" w:hAnsi="Times New Roman" w:eastAsia="Times New Roman" w:cs="Times New Roman"/>
          <w:spacing w:val="-3"/>
          <w:sz w:val="24"/>
          <w:szCs w:val="24"/>
        </w:rPr>
        <w:t xml:space="preserve">T </w:t>
      </w:r>
      <w:r>
        <w:rPr>
          <w:spacing w:val="-3"/>
          <w:sz w:val="24"/>
          <w:szCs w:val="24"/>
        </w:rPr>
        <w:t>接中大</w:t>
      </w:r>
      <w:r>
        <w:rPr>
          <w:spacing w:val="-54"/>
          <w:sz w:val="24"/>
          <w:szCs w:val="24"/>
        </w:rPr>
        <w:t xml:space="preserve"> </w:t>
      </w:r>
      <w:r>
        <w:rPr>
          <w:rFonts w:ascii="Times New Roman" w:hAnsi="Times New Roman" w:eastAsia="Times New Roman" w:cs="Times New Roman"/>
          <w:spacing w:val="-3"/>
          <w:sz w:val="24"/>
          <w:szCs w:val="24"/>
        </w:rPr>
        <w:t>II</w:t>
      </w:r>
      <w:r>
        <w:rPr>
          <w:rFonts w:ascii="Times New Roman" w:hAnsi="Times New Roman" w:eastAsia="Times New Roman" w:cs="Times New Roman"/>
          <w:spacing w:val="35"/>
          <w:sz w:val="24"/>
          <w:szCs w:val="24"/>
        </w:rPr>
        <w:t xml:space="preserve"> </w:t>
      </w:r>
      <w:r>
        <w:rPr>
          <w:spacing w:val="-3"/>
          <w:sz w:val="24"/>
          <w:szCs w:val="24"/>
        </w:rPr>
        <w:t>回线后继续走线，接至</w:t>
      </w:r>
      <w:r>
        <w:rPr>
          <w:spacing w:val="-32"/>
          <w:sz w:val="24"/>
          <w:szCs w:val="24"/>
        </w:rPr>
        <w:t xml:space="preserve"> </w:t>
      </w:r>
      <w:r>
        <w:rPr>
          <w:rFonts w:ascii="Times New Roman" w:hAnsi="Times New Roman" w:eastAsia="Times New Roman" w:cs="Times New Roman"/>
          <w:spacing w:val="-3"/>
          <w:sz w:val="24"/>
          <w:szCs w:val="24"/>
        </w:rPr>
        <w:t>110kV</w:t>
      </w:r>
      <w:r>
        <w:rPr>
          <w:rFonts w:ascii="Times New Roman" w:hAnsi="Times New Roman" w:eastAsia="Times New Roman" w:cs="Times New Roman"/>
          <w:spacing w:val="15"/>
          <w:sz w:val="24"/>
          <w:szCs w:val="24"/>
        </w:rPr>
        <w:t xml:space="preserve"> </w:t>
      </w:r>
      <w:r>
        <w:rPr>
          <w:spacing w:val="-3"/>
          <w:sz w:val="24"/>
          <w:szCs w:val="24"/>
        </w:rPr>
        <w:t>芳华π接吉中线</w:t>
      </w:r>
      <w:r>
        <w:rPr>
          <w:spacing w:val="-63"/>
          <w:sz w:val="24"/>
          <w:szCs w:val="24"/>
        </w:rPr>
        <w:t xml:space="preserve"> </w:t>
      </w:r>
      <w:r>
        <w:rPr>
          <w:rFonts w:ascii="Times New Roman" w:hAnsi="Times New Roman" w:eastAsia="Times New Roman" w:cs="Times New Roman"/>
          <w:spacing w:val="-3"/>
          <w:sz w:val="24"/>
          <w:szCs w:val="24"/>
        </w:rPr>
        <w:t>NF19</w:t>
      </w:r>
      <w:r>
        <w:rPr>
          <w:rFonts w:ascii="Times New Roman" w:hAnsi="Times New Roman" w:eastAsia="Times New Roman" w:cs="Times New Roman"/>
          <w:spacing w:val="15"/>
          <w:w w:val="101"/>
          <w:sz w:val="24"/>
          <w:szCs w:val="24"/>
        </w:rPr>
        <w:t xml:space="preserve"> </w:t>
      </w:r>
      <w:r>
        <w:rPr>
          <w:spacing w:val="-3"/>
          <w:sz w:val="24"/>
          <w:szCs w:val="24"/>
        </w:rPr>
        <w:t>号</w:t>
      </w:r>
    </w:p>
    <w:p w14:paraId="15D4B0FF">
      <w:pPr>
        <w:spacing w:line="362" w:lineRule="auto"/>
        <w:rPr>
          <w:sz w:val="24"/>
          <w:szCs w:val="24"/>
        </w:rPr>
        <w:sectPr>
          <w:footerReference r:id="rId166" w:type="default"/>
          <w:pgSz w:w="11906" w:h="16839"/>
          <w:pgMar w:top="400" w:right="1785" w:bottom="1147" w:left="1785" w:header="0" w:footer="960" w:gutter="0"/>
          <w:cols w:space="720" w:num="1"/>
        </w:sectPr>
      </w:pPr>
    </w:p>
    <w:p w14:paraId="0B3B2098">
      <w:pPr>
        <w:spacing w:line="247" w:lineRule="auto"/>
        <w:rPr>
          <w:rFonts w:ascii="Arial"/>
          <w:sz w:val="21"/>
        </w:rPr>
      </w:pPr>
    </w:p>
    <w:p w14:paraId="5513EE0A">
      <w:pPr>
        <w:spacing w:line="247" w:lineRule="auto"/>
        <w:rPr>
          <w:rFonts w:ascii="Arial"/>
          <w:sz w:val="21"/>
        </w:rPr>
      </w:pPr>
    </w:p>
    <w:p w14:paraId="54D6AC59">
      <w:pPr>
        <w:spacing w:line="248" w:lineRule="auto"/>
        <w:rPr>
          <w:rFonts w:ascii="Arial"/>
          <w:sz w:val="21"/>
        </w:rPr>
      </w:pPr>
    </w:p>
    <w:p w14:paraId="2BE67486">
      <w:pPr>
        <w:spacing w:line="248" w:lineRule="auto"/>
        <w:rPr>
          <w:rFonts w:ascii="Arial"/>
          <w:sz w:val="21"/>
        </w:rPr>
      </w:pPr>
    </w:p>
    <w:p w14:paraId="27D8C63D">
      <w:pPr>
        <w:pStyle w:val="2"/>
        <w:spacing w:before="78" w:line="359" w:lineRule="auto"/>
        <w:ind w:left="122" w:right="158"/>
        <w:rPr>
          <w:sz w:val="24"/>
          <w:szCs w:val="24"/>
        </w:rPr>
      </w:pPr>
      <w:r>
        <w:rPr>
          <w:spacing w:val="-3"/>
          <w:sz w:val="24"/>
          <w:szCs w:val="24"/>
        </w:rPr>
        <w:t>塔上，线路采用单回路架设，线路路径长约</w:t>
      </w:r>
      <w:r>
        <w:rPr>
          <w:spacing w:val="-45"/>
          <w:sz w:val="24"/>
          <w:szCs w:val="24"/>
        </w:rPr>
        <w:t xml:space="preserve"> </w:t>
      </w:r>
      <w:r>
        <w:rPr>
          <w:rFonts w:ascii="Times New Roman" w:hAnsi="Times New Roman" w:eastAsia="Times New Roman" w:cs="Times New Roman"/>
          <w:spacing w:val="-3"/>
          <w:sz w:val="24"/>
          <w:szCs w:val="24"/>
        </w:rPr>
        <w:t>5.78km</w:t>
      </w:r>
      <w:r>
        <w:rPr>
          <w:rFonts w:ascii="Times New Roman" w:hAnsi="Times New Roman" w:eastAsia="Times New Roman" w:cs="Times New Roman"/>
          <w:spacing w:val="-33"/>
          <w:sz w:val="24"/>
          <w:szCs w:val="24"/>
        </w:rPr>
        <w:t xml:space="preserve"> </w:t>
      </w:r>
      <w:r>
        <w:rPr>
          <w:spacing w:val="-3"/>
          <w:sz w:val="24"/>
          <w:szCs w:val="24"/>
        </w:rPr>
        <w:t>，曲折系数</w:t>
      </w:r>
      <w:r>
        <w:rPr>
          <w:spacing w:val="-32"/>
          <w:sz w:val="24"/>
          <w:szCs w:val="24"/>
        </w:rPr>
        <w:t xml:space="preserve"> </w:t>
      </w:r>
      <w:r>
        <w:rPr>
          <w:rFonts w:ascii="Times New Roman" w:hAnsi="Times New Roman" w:eastAsia="Times New Roman" w:cs="Times New Roman"/>
          <w:spacing w:val="-3"/>
          <w:sz w:val="24"/>
          <w:szCs w:val="24"/>
        </w:rPr>
        <w:t>1.11</w:t>
      </w:r>
      <w:r>
        <w:rPr>
          <w:rFonts w:ascii="Times New Roman" w:hAnsi="Times New Roman" w:eastAsia="Times New Roman" w:cs="Times New Roman"/>
          <w:spacing w:val="-33"/>
          <w:sz w:val="24"/>
          <w:szCs w:val="24"/>
        </w:rPr>
        <w:t xml:space="preserve"> </w:t>
      </w:r>
      <w:r>
        <w:rPr>
          <w:spacing w:val="-3"/>
          <w:sz w:val="24"/>
          <w:szCs w:val="24"/>
        </w:rPr>
        <w:t>，线路全线</w:t>
      </w:r>
      <w:r>
        <w:rPr>
          <w:spacing w:val="-2"/>
          <w:sz w:val="24"/>
          <w:szCs w:val="24"/>
        </w:rPr>
        <w:t>位于陆良县境内。</w:t>
      </w:r>
    </w:p>
    <w:p w14:paraId="1A9112E1">
      <w:pPr>
        <w:pStyle w:val="2"/>
        <w:spacing w:line="217" w:lineRule="auto"/>
        <w:ind w:left="600"/>
        <w:rPr>
          <w:sz w:val="24"/>
          <w:szCs w:val="24"/>
        </w:rPr>
      </w:pPr>
      <w:r>
        <w:rPr>
          <w:b/>
          <w:bCs/>
          <w:spacing w:val="-3"/>
          <w:sz w:val="24"/>
          <w:szCs w:val="24"/>
        </w:rPr>
        <w:t>③</w:t>
      </w:r>
      <w:r>
        <w:rPr>
          <w:rFonts w:ascii="Times New Roman" w:hAnsi="Times New Roman" w:eastAsia="Times New Roman" w:cs="Times New Roman"/>
          <w:b/>
          <w:bCs/>
          <w:spacing w:val="-3"/>
          <w:sz w:val="24"/>
          <w:szCs w:val="24"/>
        </w:rPr>
        <w:t xml:space="preserve">110kV </w:t>
      </w:r>
      <w:r>
        <w:rPr>
          <w:b/>
          <w:bCs/>
          <w:spacing w:val="-3"/>
          <w:sz w:val="24"/>
          <w:szCs w:val="24"/>
        </w:rPr>
        <w:t>松山变“</w:t>
      </w:r>
      <w:r>
        <w:rPr>
          <w:rFonts w:ascii="Times New Roman" w:hAnsi="Times New Roman" w:eastAsia="Times New Roman" w:cs="Times New Roman"/>
          <w:b/>
          <w:bCs/>
          <w:spacing w:val="-3"/>
          <w:sz w:val="24"/>
          <w:szCs w:val="24"/>
        </w:rPr>
        <w:t>T</w:t>
      </w:r>
      <w:r>
        <w:rPr>
          <w:rFonts w:ascii="Times New Roman" w:hAnsi="Times New Roman" w:eastAsia="Times New Roman" w:cs="Times New Roman"/>
          <w:b/>
          <w:bCs/>
          <w:spacing w:val="-27"/>
          <w:sz w:val="24"/>
          <w:szCs w:val="24"/>
        </w:rPr>
        <w:t xml:space="preserve"> </w:t>
      </w:r>
      <w:r>
        <w:rPr>
          <w:b/>
          <w:bCs/>
          <w:spacing w:val="-3"/>
          <w:sz w:val="24"/>
          <w:szCs w:val="24"/>
        </w:rPr>
        <w:t>”接</w:t>
      </w:r>
      <w:r>
        <w:rPr>
          <w:spacing w:val="-54"/>
          <w:sz w:val="24"/>
          <w:szCs w:val="24"/>
        </w:rPr>
        <w:t xml:space="preserve"> </w:t>
      </w:r>
      <w:r>
        <w:rPr>
          <w:rFonts w:ascii="Times New Roman" w:hAnsi="Times New Roman" w:eastAsia="Times New Roman" w:cs="Times New Roman"/>
          <w:b/>
          <w:bCs/>
          <w:spacing w:val="-3"/>
          <w:sz w:val="24"/>
          <w:szCs w:val="24"/>
        </w:rPr>
        <w:t xml:space="preserve">35kV </w:t>
      </w:r>
      <w:r>
        <w:rPr>
          <w:b/>
          <w:bCs/>
          <w:spacing w:val="-3"/>
          <w:sz w:val="24"/>
          <w:szCs w:val="24"/>
        </w:rPr>
        <w:t>金瑞</w:t>
      </w:r>
      <w:r>
        <w:rPr>
          <w:b/>
          <w:bCs/>
          <w:spacing w:val="-4"/>
          <w:sz w:val="24"/>
          <w:szCs w:val="24"/>
        </w:rPr>
        <w:t>达瓷业线线路</w:t>
      </w:r>
    </w:p>
    <w:p w14:paraId="5F29CBF9">
      <w:pPr>
        <w:pStyle w:val="2"/>
        <w:spacing w:before="186" w:line="359" w:lineRule="auto"/>
        <w:ind w:left="109" w:right="7" w:firstLine="492"/>
        <w:rPr>
          <w:sz w:val="24"/>
          <w:szCs w:val="24"/>
        </w:rPr>
      </w:pPr>
      <w:r>
        <w:rPr>
          <w:spacing w:val="-4"/>
          <w:sz w:val="24"/>
          <w:szCs w:val="24"/>
        </w:rPr>
        <w:t>拆除</w:t>
      </w:r>
      <w:r>
        <w:rPr>
          <w:spacing w:val="-32"/>
          <w:sz w:val="24"/>
          <w:szCs w:val="24"/>
        </w:rPr>
        <w:t xml:space="preserve"> </w:t>
      </w:r>
      <w:r>
        <w:rPr>
          <w:rFonts w:ascii="Times New Roman" w:hAnsi="Times New Roman" w:eastAsia="Times New Roman" w:cs="Times New Roman"/>
          <w:spacing w:val="-4"/>
          <w:sz w:val="24"/>
          <w:szCs w:val="24"/>
        </w:rPr>
        <w:t xml:space="preserve">35kV </w:t>
      </w:r>
      <w:r>
        <w:rPr>
          <w:spacing w:val="-4"/>
          <w:sz w:val="24"/>
          <w:szCs w:val="24"/>
        </w:rPr>
        <w:t>金瑞达瓷业线</w:t>
      </w:r>
      <w:r>
        <w:rPr>
          <w:spacing w:val="-63"/>
          <w:sz w:val="24"/>
          <w:szCs w:val="24"/>
        </w:rPr>
        <w:t xml:space="preserve"> </w:t>
      </w:r>
      <w:r>
        <w:rPr>
          <w:rFonts w:ascii="Times New Roman" w:hAnsi="Times New Roman" w:eastAsia="Times New Roman" w:cs="Times New Roman"/>
          <w:spacing w:val="-4"/>
          <w:sz w:val="24"/>
          <w:szCs w:val="24"/>
        </w:rPr>
        <w:t xml:space="preserve">N33-N44 </w:t>
      </w:r>
      <w:r>
        <w:rPr>
          <w:spacing w:val="-4"/>
          <w:sz w:val="24"/>
          <w:szCs w:val="24"/>
        </w:rPr>
        <w:t>段，然后在</w:t>
      </w:r>
      <w:r>
        <w:rPr>
          <w:spacing w:val="-63"/>
          <w:sz w:val="24"/>
          <w:szCs w:val="24"/>
        </w:rPr>
        <w:t xml:space="preserve"> </w:t>
      </w:r>
      <w:r>
        <w:rPr>
          <w:rFonts w:ascii="Times New Roman" w:hAnsi="Times New Roman" w:eastAsia="Times New Roman" w:cs="Times New Roman"/>
          <w:spacing w:val="-4"/>
          <w:sz w:val="24"/>
          <w:szCs w:val="24"/>
        </w:rPr>
        <w:t>N33</w:t>
      </w:r>
      <w:r>
        <w:rPr>
          <w:rFonts w:ascii="Times New Roman" w:hAnsi="Times New Roman" w:eastAsia="Times New Roman" w:cs="Times New Roman"/>
          <w:spacing w:val="18"/>
          <w:sz w:val="24"/>
          <w:szCs w:val="24"/>
        </w:rPr>
        <w:t xml:space="preserve"> </w:t>
      </w:r>
      <w:r>
        <w:rPr>
          <w:spacing w:val="-4"/>
          <w:sz w:val="24"/>
          <w:szCs w:val="24"/>
        </w:rPr>
        <w:t>号塔处新建</w:t>
      </w:r>
      <w:r>
        <w:rPr>
          <w:spacing w:val="-32"/>
          <w:sz w:val="24"/>
          <w:szCs w:val="24"/>
        </w:rPr>
        <w:t xml:space="preserve"> </w:t>
      </w:r>
      <w:r>
        <w:rPr>
          <w:rFonts w:ascii="Times New Roman" w:hAnsi="Times New Roman" w:eastAsia="Times New Roman" w:cs="Times New Roman"/>
          <w:spacing w:val="-4"/>
          <w:sz w:val="24"/>
          <w:szCs w:val="24"/>
        </w:rPr>
        <w:t xml:space="preserve">1 </w:t>
      </w:r>
      <w:r>
        <w:rPr>
          <w:spacing w:val="-4"/>
          <w:sz w:val="24"/>
          <w:szCs w:val="24"/>
        </w:rPr>
        <w:t>基转角塔，</w:t>
      </w:r>
      <w:r>
        <w:rPr>
          <w:sz w:val="24"/>
          <w:szCs w:val="24"/>
        </w:rPr>
        <w:t xml:space="preserve"> </w:t>
      </w:r>
      <w:r>
        <w:rPr>
          <w:rFonts w:ascii="Times New Roman" w:hAnsi="Times New Roman" w:eastAsia="Times New Roman" w:cs="Times New Roman"/>
          <w:spacing w:val="-3"/>
          <w:sz w:val="24"/>
          <w:szCs w:val="24"/>
        </w:rPr>
        <w:t>N33</w:t>
      </w:r>
      <w:r>
        <w:rPr>
          <w:rFonts w:ascii="Times New Roman" w:hAnsi="Times New Roman" w:eastAsia="Times New Roman" w:cs="Times New Roman"/>
          <w:spacing w:val="15"/>
          <w:w w:val="101"/>
          <w:sz w:val="24"/>
          <w:szCs w:val="24"/>
        </w:rPr>
        <w:t xml:space="preserve"> </w:t>
      </w:r>
      <w:r>
        <w:rPr>
          <w:spacing w:val="-3"/>
          <w:sz w:val="24"/>
          <w:szCs w:val="24"/>
        </w:rPr>
        <w:t>号位于本期新建变电站东南侧约</w:t>
      </w:r>
      <w:r>
        <w:rPr>
          <w:spacing w:val="-32"/>
          <w:sz w:val="24"/>
          <w:szCs w:val="24"/>
        </w:rPr>
        <w:t xml:space="preserve"> </w:t>
      </w:r>
      <w:r>
        <w:rPr>
          <w:rFonts w:ascii="Times New Roman" w:hAnsi="Times New Roman" w:eastAsia="Times New Roman" w:cs="Times New Roman"/>
          <w:spacing w:val="-3"/>
          <w:sz w:val="24"/>
          <w:szCs w:val="24"/>
        </w:rPr>
        <w:t xml:space="preserve">150 </w:t>
      </w:r>
      <w:r>
        <w:rPr>
          <w:spacing w:val="-3"/>
          <w:sz w:val="24"/>
          <w:szCs w:val="24"/>
        </w:rPr>
        <w:t>米处</w:t>
      </w:r>
      <w:r>
        <w:rPr>
          <w:spacing w:val="-4"/>
          <w:sz w:val="24"/>
          <w:szCs w:val="24"/>
        </w:rPr>
        <w:t>，从本期新建站东方向出线后接入</w:t>
      </w:r>
      <w:r>
        <w:rPr>
          <w:spacing w:val="1"/>
          <w:sz w:val="24"/>
          <w:szCs w:val="24"/>
        </w:rPr>
        <w:t>新建转角塔，同时将</w:t>
      </w:r>
      <w:r>
        <w:rPr>
          <w:spacing w:val="-35"/>
          <w:sz w:val="24"/>
          <w:szCs w:val="24"/>
        </w:rPr>
        <w:t xml:space="preserve"> </w:t>
      </w:r>
      <w:r>
        <w:rPr>
          <w:rFonts w:ascii="Times New Roman" w:hAnsi="Times New Roman" w:eastAsia="Times New Roman" w:cs="Times New Roman"/>
          <w:spacing w:val="1"/>
          <w:sz w:val="24"/>
          <w:szCs w:val="24"/>
        </w:rPr>
        <w:t>35</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金瑞达瓷业线在原</w:t>
      </w:r>
      <w:r>
        <w:rPr>
          <w:rFonts w:ascii="Times New Roman" w:hAnsi="Times New Roman" w:eastAsia="Times New Roman" w:cs="Times New Roman"/>
          <w:sz w:val="24"/>
          <w:szCs w:val="24"/>
        </w:rPr>
        <w:t>TN</w:t>
      </w:r>
      <w:r>
        <w:rPr>
          <w:rFonts w:ascii="Times New Roman" w:hAnsi="Times New Roman" w:eastAsia="Times New Roman" w:cs="Times New Roman"/>
          <w:spacing w:val="1"/>
          <w:sz w:val="24"/>
          <w:szCs w:val="24"/>
        </w:rPr>
        <w:t xml:space="preserve">32 </w:t>
      </w:r>
      <w:r>
        <w:rPr>
          <w:spacing w:val="1"/>
          <w:sz w:val="24"/>
          <w:szCs w:val="24"/>
        </w:rPr>
        <w:t>号塔处，将中纪变侧引流线</w:t>
      </w:r>
      <w:r>
        <w:rPr>
          <w:spacing w:val="-1"/>
          <w:sz w:val="24"/>
          <w:szCs w:val="24"/>
        </w:rPr>
        <w:t>断开，形成</w:t>
      </w:r>
      <w:r>
        <w:rPr>
          <w:spacing w:val="-32"/>
          <w:sz w:val="24"/>
          <w:szCs w:val="24"/>
        </w:rPr>
        <w:t xml:space="preserve"> </w:t>
      </w:r>
      <w:r>
        <w:rPr>
          <w:rFonts w:ascii="Times New Roman" w:hAnsi="Times New Roman" w:eastAsia="Times New Roman" w:cs="Times New Roman"/>
          <w:spacing w:val="-1"/>
          <w:sz w:val="24"/>
          <w:szCs w:val="24"/>
        </w:rPr>
        <w:t xml:space="preserve">110kV </w:t>
      </w:r>
      <w:r>
        <w:rPr>
          <w:spacing w:val="-1"/>
          <w:sz w:val="24"/>
          <w:szCs w:val="24"/>
        </w:rPr>
        <w:t>松山变至金瑞达瓷砖厂通道。本方案线路采用单回路架设，</w:t>
      </w:r>
    </w:p>
    <w:p w14:paraId="3575EA7E">
      <w:pPr>
        <w:pStyle w:val="2"/>
        <w:spacing w:line="219" w:lineRule="auto"/>
        <w:ind w:left="123"/>
        <w:rPr>
          <w:sz w:val="24"/>
          <w:szCs w:val="24"/>
        </w:rPr>
      </w:pPr>
      <w:r>
        <w:rPr>
          <w:spacing w:val="-4"/>
          <w:sz w:val="24"/>
          <w:szCs w:val="24"/>
        </w:rPr>
        <w:t>新建路径总长约</w:t>
      </w:r>
      <w:r>
        <w:rPr>
          <w:spacing w:val="-33"/>
          <w:sz w:val="24"/>
          <w:szCs w:val="24"/>
        </w:rPr>
        <w:t xml:space="preserve"> </w:t>
      </w:r>
      <w:r>
        <w:rPr>
          <w:rFonts w:ascii="Times New Roman" w:hAnsi="Times New Roman" w:eastAsia="Times New Roman" w:cs="Times New Roman"/>
          <w:spacing w:val="-4"/>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4"/>
          <w:sz w:val="24"/>
          <w:szCs w:val="24"/>
        </w:rPr>
        <w:t>165km</w:t>
      </w:r>
      <w:r>
        <w:rPr>
          <w:rFonts w:ascii="Times New Roman" w:hAnsi="Times New Roman" w:eastAsia="Times New Roman" w:cs="Times New Roman"/>
          <w:spacing w:val="-29"/>
          <w:sz w:val="24"/>
          <w:szCs w:val="24"/>
        </w:rPr>
        <w:t xml:space="preserve"> </w:t>
      </w:r>
      <w:r>
        <w:rPr>
          <w:spacing w:val="-4"/>
          <w:sz w:val="24"/>
          <w:szCs w:val="24"/>
        </w:rPr>
        <w:t>。线路位于陆良县境内。</w:t>
      </w:r>
    </w:p>
    <w:p w14:paraId="4FA12CE2">
      <w:pPr>
        <w:pStyle w:val="2"/>
        <w:spacing w:before="182" w:line="220" w:lineRule="auto"/>
        <w:ind w:left="553"/>
        <w:rPr>
          <w:sz w:val="24"/>
          <w:szCs w:val="24"/>
        </w:rPr>
      </w:pPr>
      <w:r>
        <w:rPr>
          <w:b/>
          <w:bCs/>
          <w:spacing w:val="-4"/>
          <w:sz w:val="24"/>
          <w:szCs w:val="24"/>
        </w:rPr>
        <w:t>（</w:t>
      </w:r>
      <w:r>
        <w:rPr>
          <w:rFonts w:ascii="Times New Roman" w:hAnsi="Times New Roman" w:eastAsia="Times New Roman" w:cs="Times New Roman"/>
          <w:b/>
          <w:bCs/>
          <w:spacing w:val="-4"/>
          <w:sz w:val="24"/>
          <w:szCs w:val="24"/>
        </w:rPr>
        <w:t>3</w:t>
      </w:r>
      <w:r>
        <w:rPr>
          <w:b/>
          <w:bCs/>
          <w:spacing w:val="-4"/>
          <w:sz w:val="24"/>
          <w:szCs w:val="24"/>
        </w:rPr>
        <w:t>）</w:t>
      </w:r>
      <w:r>
        <w:rPr>
          <w:rFonts w:ascii="Times New Roman" w:hAnsi="Times New Roman" w:eastAsia="Times New Roman" w:cs="Times New Roman"/>
          <w:b/>
          <w:bCs/>
          <w:spacing w:val="-4"/>
          <w:sz w:val="24"/>
          <w:szCs w:val="24"/>
        </w:rPr>
        <w:t>220kV</w:t>
      </w:r>
      <w:r>
        <w:rPr>
          <w:rFonts w:ascii="Times New Roman" w:hAnsi="Times New Roman" w:eastAsia="Times New Roman" w:cs="Times New Roman"/>
          <w:b/>
          <w:bCs/>
          <w:spacing w:val="28"/>
          <w:sz w:val="24"/>
          <w:szCs w:val="24"/>
        </w:rPr>
        <w:t xml:space="preserve"> </w:t>
      </w:r>
      <w:r>
        <w:rPr>
          <w:b/>
          <w:bCs/>
          <w:spacing w:val="-4"/>
          <w:sz w:val="24"/>
          <w:szCs w:val="24"/>
        </w:rPr>
        <w:t>芳华变间隔扩建工程</w:t>
      </w:r>
    </w:p>
    <w:p w14:paraId="258126A3">
      <w:pPr>
        <w:pStyle w:val="2"/>
        <w:spacing w:before="259" w:line="360" w:lineRule="auto"/>
        <w:ind w:left="120" w:right="7" w:firstLine="480"/>
        <w:jc w:val="both"/>
        <w:rPr>
          <w:sz w:val="24"/>
          <w:szCs w:val="24"/>
        </w:rPr>
      </w:pPr>
      <w:r>
        <w:rPr>
          <w:spacing w:val="-5"/>
          <w:sz w:val="24"/>
          <w:szCs w:val="24"/>
        </w:rPr>
        <w:t>在</w:t>
      </w:r>
      <w:r>
        <w:rPr>
          <w:spacing w:val="-50"/>
          <w:sz w:val="24"/>
          <w:szCs w:val="24"/>
        </w:rPr>
        <w:t xml:space="preserve"> </w:t>
      </w:r>
      <w:r>
        <w:rPr>
          <w:rFonts w:ascii="Times New Roman" w:hAnsi="Times New Roman" w:eastAsia="Times New Roman" w:cs="Times New Roman"/>
          <w:spacing w:val="-5"/>
          <w:sz w:val="24"/>
          <w:szCs w:val="24"/>
        </w:rPr>
        <w:t>220kV</w:t>
      </w:r>
      <w:r>
        <w:rPr>
          <w:rFonts w:ascii="Times New Roman" w:hAnsi="Times New Roman" w:eastAsia="Times New Roman" w:cs="Times New Roman"/>
          <w:spacing w:val="16"/>
          <w:sz w:val="24"/>
          <w:szCs w:val="24"/>
        </w:rPr>
        <w:t xml:space="preserve"> </w:t>
      </w:r>
      <w:r>
        <w:rPr>
          <w:spacing w:val="-5"/>
          <w:sz w:val="24"/>
          <w:szCs w:val="24"/>
        </w:rPr>
        <w:t>芳华变新建</w:t>
      </w:r>
      <w:r>
        <w:rPr>
          <w:spacing w:val="-32"/>
          <w:sz w:val="24"/>
          <w:szCs w:val="24"/>
        </w:rPr>
        <w:t xml:space="preserve"> </w:t>
      </w:r>
      <w:r>
        <w:rPr>
          <w:rFonts w:ascii="Times New Roman" w:hAnsi="Times New Roman" w:eastAsia="Times New Roman" w:cs="Times New Roman"/>
          <w:spacing w:val="-5"/>
          <w:sz w:val="24"/>
          <w:szCs w:val="24"/>
        </w:rPr>
        <w:t xml:space="preserve">1 </w:t>
      </w:r>
      <w:r>
        <w:rPr>
          <w:spacing w:val="-5"/>
          <w:sz w:val="24"/>
          <w:szCs w:val="24"/>
        </w:rPr>
        <w:t>个</w:t>
      </w:r>
      <w:r>
        <w:rPr>
          <w:spacing w:val="-32"/>
          <w:sz w:val="24"/>
          <w:szCs w:val="24"/>
        </w:rPr>
        <w:t xml:space="preserve"> </w:t>
      </w:r>
      <w:r>
        <w:rPr>
          <w:rFonts w:ascii="Times New Roman" w:hAnsi="Times New Roman" w:eastAsia="Times New Roman" w:cs="Times New Roman"/>
          <w:spacing w:val="-5"/>
          <w:sz w:val="24"/>
          <w:szCs w:val="24"/>
        </w:rPr>
        <w:t>110kV</w:t>
      </w:r>
      <w:r>
        <w:rPr>
          <w:rFonts w:ascii="Times New Roman" w:hAnsi="Times New Roman" w:eastAsia="Times New Roman" w:cs="Times New Roman"/>
          <w:spacing w:val="27"/>
          <w:w w:val="101"/>
          <w:sz w:val="24"/>
          <w:szCs w:val="24"/>
        </w:rPr>
        <w:t xml:space="preserve"> </w:t>
      </w:r>
      <w:r>
        <w:rPr>
          <w:spacing w:val="-5"/>
          <w:sz w:val="24"/>
          <w:szCs w:val="24"/>
        </w:rPr>
        <w:t>出线间隔，利用</w:t>
      </w:r>
      <w:r>
        <w:rPr>
          <w:spacing w:val="-32"/>
          <w:sz w:val="24"/>
          <w:szCs w:val="24"/>
        </w:rPr>
        <w:t xml:space="preserve"> </w:t>
      </w:r>
      <w:r>
        <w:rPr>
          <w:rFonts w:ascii="Times New Roman" w:hAnsi="Times New Roman" w:eastAsia="Times New Roman" w:cs="Times New Roman"/>
          <w:spacing w:val="-5"/>
          <w:sz w:val="24"/>
          <w:szCs w:val="24"/>
        </w:rPr>
        <w:t>110kV</w:t>
      </w:r>
      <w:r>
        <w:rPr>
          <w:rFonts w:ascii="Times New Roman" w:hAnsi="Times New Roman" w:eastAsia="Times New Roman" w:cs="Times New Roman"/>
          <w:spacing w:val="29"/>
          <w:w w:val="101"/>
          <w:sz w:val="24"/>
          <w:szCs w:val="24"/>
        </w:rPr>
        <w:t xml:space="preserve"> </w:t>
      </w:r>
      <w:r>
        <w:rPr>
          <w:spacing w:val="-5"/>
          <w:sz w:val="24"/>
          <w:szCs w:val="24"/>
        </w:rPr>
        <w:t>出线侧由西至东第</w:t>
      </w:r>
      <w:r>
        <w:rPr>
          <w:rFonts w:ascii="Times New Roman" w:hAnsi="Times New Roman" w:eastAsia="Times New Roman" w:cs="Times New Roman"/>
          <w:spacing w:val="-5"/>
          <w:sz w:val="24"/>
          <w:szCs w:val="24"/>
        </w:rPr>
        <w:t xml:space="preserve">15 </w:t>
      </w:r>
      <w:r>
        <w:rPr>
          <w:spacing w:val="-5"/>
          <w:sz w:val="24"/>
          <w:szCs w:val="24"/>
        </w:rPr>
        <w:t>个出线间隔</w:t>
      </w:r>
      <w:r>
        <w:rPr>
          <w:rFonts w:ascii="Times New Roman" w:hAnsi="Times New Roman" w:eastAsia="Times New Roman" w:cs="Times New Roman"/>
          <w:spacing w:val="-5"/>
          <w:sz w:val="24"/>
          <w:szCs w:val="24"/>
        </w:rPr>
        <w:t>“</w:t>
      </w:r>
      <w:r>
        <w:rPr>
          <w:spacing w:val="-5"/>
          <w:sz w:val="24"/>
          <w:szCs w:val="24"/>
        </w:rPr>
        <w:t>备用</w:t>
      </w:r>
      <w:r>
        <w:rPr>
          <w:spacing w:val="-41"/>
          <w:sz w:val="24"/>
          <w:szCs w:val="24"/>
        </w:rPr>
        <w:t xml:space="preserve"> </w:t>
      </w:r>
      <w:r>
        <w:rPr>
          <w:rFonts w:ascii="Times New Roman" w:hAnsi="Times New Roman" w:eastAsia="Times New Roman" w:cs="Times New Roman"/>
          <w:spacing w:val="-5"/>
          <w:sz w:val="24"/>
          <w:szCs w:val="24"/>
        </w:rPr>
        <w:t>3</w:t>
      </w:r>
      <w:r>
        <w:rPr>
          <w:rFonts w:ascii="Times New Roman" w:hAnsi="Times New Roman" w:eastAsia="Times New Roman" w:cs="Times New Roman"/>
          <w:spacing w:val="30"/>
          <w:w w:val="101"/>
          <w:sz w:val="24"/>
          <w:szCs w:val="24"/>
        </w:rPr>
        <w:t xml:space="preserve"> </w:t>
      </w:r>
      <w:r>
        <w:rPr>
          <w:spacing w:val="-5"/>
          <w:sz w:val="24"/>
          <w:szCs w:val="24"/>
        </w:rPr>
        <w:t>出线间隔</w:t>
      </w:r>
      <w:r>
        <w:rPr>
          <w:rFonts w:ascii="Times New Roman" w:hAnsi="Times New Roman" w:eastAsia="Times New Roman" w:cs="Times New Roman"/>
          <w:spacing w:val="-5"/>
          <w:sz w:val="24"/>
          <w:szCs w:val="24"/>
        </w:rPr>
        <w:t>”</w:t>
      </w:r>
      <w:r>
        <w:rPr>
          <w:spacing w:val="-5"/>
          <w:sz w:val="24"/>
          <w:szCs w:val="24"/>
        </w:rPr>
        <w:t>进行出线，至</w:t>
      </w:r>
      <w:r>
        <w:rPr>
          <w:spacing w:val="-32"/>
          <w:sz w:val="24"/>
          <w:szCs w:val="24"/>
        </w:rPr>
        <w:t xml:space="preserve"> </w:t>
      </w:r>
      <w:r>
        <w:rPr>
          <w:rFonts w:ascii="Times New Roman" w:hAnsi="Times New Roman" w:eastAsia="Times New Roman" w:cs="Times New Roman"/>
          <w:spacing w:val="-5"/>
          <w:sz w:val="24"/>
          <w:szCs w:val="24"/>
        </w:rPr>
        <w:t xml:space="preserve">110kV </w:t>
      </w:r>
      <w:r>
        <w:rPr>
          <w:spacing w:val="-5"/>
          <w:sz w:val="24"/>
          <w:szCs w:val="24"/>
        </w:rPr>
        <w:t>松山变，本期无需新征地，</w:t>
      </w:r>
      <w:r>
        <w:rPr>
          <w:spacing w:val="-1"/>
          <w:sz w:val="24"/>
          <w:szCs w:val="24"/>
        </w:rPr>
        <w:t>仅新建部分支架及设备基础。</w:t>
      </w:r>
    </w:p>
    <w:p w14:paraId="6B553C22">
      <w:pPr>
        <w:pStyle w:val="2"/>
        <w:spacing w:line="220" w:lineRule="auto"/>
        <w:ind w:left="116"/>
        <w:rPr>
          <w:sz w:val="24"/>
          <w:szCs w:val="24"/>
        </w:rPr>
      </w:pPr>
      <w:r>
        <w:rPr>
          <w:rFonts w:ascii="Times New Roman" w:hAnsi="Times New Roman" w:eastAsia="Times New Roman" w:cs="Times New Roman"/>
          <w:b/>
          <w:bCs/>
          <w:spacing w:val="-2"/>
          <w:sz w:val="24"/>
          <w:szCs w:val="24"/>
        </w:rPr>
        <w:t xml:space="preserve">3.1.2  </w:t>
      </w:r>
      <w:r>
        <w:rPr>
          <w:b/>
          <w:bCs/>
          <w:spacing w:val="-2"/>
          <w:sz w:val="24"/>
          <w:szCs w:val="24"/>
        </w:rPr>
        <w:t>项目主要设备选型</w:t>
      </w:r>
    </w:p>
    <w:p w14:paraId="1122BFDF">
      <w:pPr>
        <w:pStyle w:val="2"/>
        <w:spacing w:before="102" w:line="213" w:lineRule="auto"/>
        <w:ind w:left="2638"/>
        <w:rPr>
          <w:sz w:val="24"/>
          <w:szCs w:val="24"/>
        </w:rPr>
      </w:pPr>
      <w:r>
        <w:rPr>
          <w:b/>
          <w:bCs/>
          <w:spacing w:val="-2"/>
          <w:sz w:val="24"/>
          <w:szCs w:val="24"/>
        </w:rPr>
        <w:t>表</w:t>
      </w:r>
      <w:r>
        <w:rPr>
          <w:spacing w:val="-47"/>
          <w:sz w:val="24"/>
          <w:szCs w:val="24"/>
        </w:rPr>
        <w:t xml:space="preserve"> </w:t>
      </w:r>
      <w:r>
        <w:rPr>
          <w:rFonts w:ascii="Times New Roman" w:hAnsi="Times New Roman" w:eastAsia="Times New Roman" w:cs="Times New Roman"/>
          <w:b/>
          <w:bCs/>
          <w:spacing w:val="-2"/>
          <w:sz w:val="24"/>
          <w:szCs w:val="24"/>
        </w:rPr>
        <w:t xml:space="preserve">3-1        </w:t>
      </w:r>
      <w:r>
        <w:rPr>
          <w:b/>
          <w:bCs/>
          <w:spacing w:val="-2"/>
          <w:sz w:val="24"/>
          <w:szCs w:val="24"/>
        </w:rPr>
        <w:t>变电站主要设备选型</w:t>
      </w:r>
    </w:p>
    <w:tbl>
      <w:tblPr>
        <w:tblStyle w:val="5"/>
        <w:tblW w:w="8441" w:type="dxa"/>
        <w:tblInd w:w="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4"/>
        <w:gridCol w:w="1106"/>
        <w:gridCol w:w="6591"/>
      </w:tblGrid>
      <w:tr w14:paraId="423CA8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744" w:type="dxa"/>
            <w:vAlign w:val="top"/>
          </w:tcPr>
          <w:p w14:paraId="63A7D6CE">
            <w:pPr>
              <w:pStyle w:val="6"/>
              <w:spacing w:before="54" w:line="228" w:lineRule="auto"/>
              <w:ind w:left="224"/>
            </w:pPr>
            <w:r>
              <w:rPr>
                <w:b/>
                <w:bCs/>
                <w:spacing w:val="-9"/>
              </w:rPr>
              <w:t>内容</w:t>
            </w:r>
          </w:p>
        </w:tc>
        <w:tc>
          <w:tcPr>
            <w:tcW w:w="1106" w:type="dxa"/>
            <w:vAlign w:val="top"/>
          </w:tcPr>
          <w:p w14:paraId="79758C8F">
            <w:pPr>
              <w:pStyle w:val="6"/>
              <w:spacing w:before="54" w:line="229" w:lineRule="auto"/>
              <w:ind w:left="348"/>
            </w:pPr>
            <w:r>
              <w:rPr>
                <w:b/>
                <w:bCs/>
                <w:spacing w:val="2"/>
              </w:rPr>
              <w:t>设备</w:t>
            </w:r>
          </w:p>
        </w:tc>
        <w:tc>
          <w:tcPr>
            <w:tcW w:w="6591" w:type="dxa"/>
            <w:vAlign w:val="top"/>
          </w:tcPr>
          <w:p w14:paraId="1EF2227D">
            <w:pPr>
              <w:pStyle w:val="6"/>
              <w:spacing w:before="54" w:line="229" w:lineRule="auto"/>
              <w:ind w:left="3095"/>
            </w:pPr>
            <w:r>
              <w:rPr>
                <w:b/>
                <w:bCs/>
              </w:rPr>
              <w:t>型号</w:t>
            </w:r>
          </w:p>
        </w:tc>
      </w:tr>
      <w:tr w14:paraId="52ADC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744" w:type="dxa"/>
            <w:vMerge w:val="restart"/>
            <w:tcBorders>
              <w:bottom w:val="nil"/>
            </w:tcBorders>
            <w:vAlign w:val="top"/>
          </w:tcPr>
          <w:p w14:paraId="377F7864">
            <w:pPr>
              <w:spacing w:line="260" w:lineRule="auto"/>
              <w:rPr>
                <w:rFonts w:ascii="Arial"/>
                <w:sz w:val="21"/>
              </w:rPr>
            </w:pPr>
          </w:p>
          <w:p w14:paraId="0D775BA9">
            <w:pPr>
              <w:spacing w:line="260" w:lineRule="auto"/>
              <w:rPr>
                <w:rFonts w:ascii="Arial"/>
                <w:sz w:val="21"/>
              </w:rPr>
            </w:pPr>
          </w:p>
          <w:p w14:paraId="1078ECF7">
            <w:pPr>
              <w:spacing w:line="261" w:lineRule="auto"/>
              <w:rPr>
                <w:rFonts w:ascii="Arial"/>
                <w:sz w:val="21"/>
              </w:rPr>
            </w:pPr>
          </w:p>
          <w:p w14:paraId="3687C3FE">
            <w:pPr>
              <w:spacing w:line="261" w:lineRule="auto"/>
              <w:rPr>
                <w:rFonts w:ascii="Arial"/>
                <w:sz w:val="21"/>
              </w:rPr>
            </w:pPr>
          </w:p>
          <w:p w14:paraId="051C5010">
            <w:pPr>
              <w:spacing w:line="261" w:lineRule="auto"/>
              <w:rPr>
                <w:rFonts w:ascii="Arial"/>
                <w:sz w:val="21"/>
              </w:rPr>
            </w:pPr>
          </w:p>
          <w:p w14:paraId="08D772D8">
            <w:pPr>
              <w:spacing w:line="261" w:lineRule="auto"/>
              <w:rPr>
                <w:rFonts w:ascii="Arial"/>
                <w:sz w:val="21"/>
              </w:rPr>
            </w:pPr>
          </w:p>
          <w:p w14:paraId="59F54F68">
            <w:pPr>
              <w:pStyle w:val="6"/>
              <w:spacing w:before="65" w:line="229" w:lineRule="auto"/>
              <w:ind w:left="61"/>
            </w:pPr>
            <w:r>
              <w:rPr>
                <w:spacing w:val="6"/>
              </w:rPr>
              <w:t>变电站</w:t>
            </w:r>
          </w:p>
          <w:p w14:paraId="321EE5A0">
            <w:pPr>
              <w:pStyle w:val="6"/>
              <w:spacing w:before="63" w:line="229" w:lineRule="auto"/>
              <w:ind w:left="86"/>
            </w:pPr>
            <w:r>
              <w:rPr>
                <w:spacing w:val="-2"/>
              </w:rPr>
              <w:t>电压设</w:t>
            </w:r>
          </w:p>
          <w:p w14:paraId="3F8C18E1">
            <w:pPr>
              <w:pStyle w:val="6"/>
              <w:spacing w:before="63" w:line="229" w:lineRule="auto"/>
              <w:ind w:left="275"/>
            </w:pPr>
            <w:r>
              <w:t>备</w:t>
            </w:r>
          </w:p>
        </w:tc>
        <w:tc>
          <w:tcPr>
            <w:tcW w:w="1106" w:type="dxa"/>
            <w:vAlign w:val="top"/>
          </w:tcPr>
          <w:p w14:paraId="33CAE338">
            <w:pPr>
              <w:spacing w:line="303" w:lineRule="auto"/>
              <w:rPr>
                <w:rFonts w:ascii="Arial"/>
                <w:sz w:val="21"/>
              </w:rPr>
            </w:pPr>
          </w:p>
          <w:p w14:paraId="777083DF">
            <w:pPr>
              <w:spacing w:line="304" w:lineRule="auto"/>
              <w:rPr>
                <w:rFonts w:ascii="Arial"/>
                <w:sz w:val="21"/>
              </w:rPr>
            </w:pPr>
          </w:p>
          <w:p w14:paraId="4FCC8CEA">
            <w:pPr>
              <w:pStyle w:val="6"/>
              <w:spacing w:before="65" w:line="229" w:lineRule="auto"/>
              <w:ind w:left="138"/>
            </w:pPr>
            <w:r>
              <w:rPr>
                <w:spacing w:val="6"/>
              </w:rPr>
              <w:t>主变压器</w:t>
            </w:r>
          </w:p>
        </w:tc>
        <w:tc>
          <w:tcPr>
            <w:tcW w:w="6591" w:type="dxa"/>
            <w:vAlign w:val="top"/>
          </w:tcPr>
          <w:p w14:paraId="12B04A61">
            <w:pPr>
              <w:pStyle w:val="6"/>
              <w:spacing w:before="52" w:line="228" w:lineRule="auto"/>
              <w:ind w:left="112"/>
              <w:rPr>
                <w:rFonts w:ascii="Times New Roman" w:hAnsi="Times New Roman" w:eastAsia="Times New Roman" w:cs="Times New Roman"/>
              </w:rPr>
            </w:pPr>
            <w:r>
              <w:rPr>
                <w:spacing w:val="8"/>
              </w:rPr>
              <w:t>三相双绕组有载调压变压器，</w:t>
            </w:r>
            <w:r>
              <w:rPr>
                <w:rFonts w:ascii="Times New Roman" w:hAnsi="Times New Roman" w:eastAsia="Times New Roman" w:cs="Times New Roman"/>
              </w:rPr>
              <w:t>SFZ</w:t>
            </w:r>
            <w:r>
              <w:rPr>
                <w:rFonts w:ascii="Times New Roman" w:hAnsi="Times New Roman" w:eastAsia="Times New Roman" w:cs="Times New Roman"/>
                <w:spacing w:val="8"/>
              </w:rPr>
              <w:t>11-50000/110</w:t>
            </w:r>
            <w:r>
              <w:rPr>
                <w:rFonts w:ascii="Times New Roman" w:hAnsi="Times New Roman" w:eastAsia="Times New Roman" w:cs="Times New Roman"/>
              </w:rPr>
              <w:t>GYW</w:t>
            </w:r>
          </w:p>
          <w:p w14:paraId="271BCDF2">
            <w:pPr>
              <w:pStyle w:val="6"/>
              <w:spacing w:before="65" w:line="228" w:lineRule="auto"/>
              <w:ind w:left="115"/>
              <w:rPr>
                <w:rFonts w:ascii="Times New Roman" w:hAnsi="Times New Roman" w:eastAsia="Times New Roman" w:cs="Times New Roman"/>
              </w:rPr>
            </w:pPr>
            <w:r>
              <w:rPr>
                <w:spacing w:val="9"/>
              </w:rPr>
              <w:t>容量：</w:t>
            </w:r>
            <w:r>
              <w:rPr>
                <w:rFonts w:ascii="Times New Roman" w:hAnsi="Times New Roman" w:eastAsia="Times New Roman" w:cs="Times New Roman"/>
                <w:spacing w:val="9"/>
              </w:rPr>
              <w:t>50</w:t>
            </w:r>
            <w:r>
              <w:rPr>
                <w:rFonts w:ascii="Times New Roman" w:hAnsi="Times New Roman" w:eastAsia="Times New Roman" w:cs="Times New Roman"/>
              </w:rPr>
              <w:t>MVA</w:t>
            </w:r>
          </w:p>
          <w:p w14:paraId="53FAD59E">
            <w:pPr>
              <w:pStyle w:val="6"/>
              <w:spacing w:before="64" w:line="231" w:lineRule="auto"/>
              <w:ind w:left="137"/>
              <w:rPr>
                <w:rFonts w:ascii="Times New Roman" w:hAnsi="Times New Roman" w:eastAsia="Times New Roman" w:cs="Times New Roman"/>
              </w:rPr>
            </w:pPr>
            <w:r>
              <w:rPr>
                <w:spacing w:val="4"/>
              </w:rPr>
              <w:t>电压比：</w:t>
            </w: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±8×1.25/10.5</w:t>
            </w:r>
            <w:r>
              <w:rPr>
                <w:rFonts w:ascii="Times New Roman" w:hAnsi="Times New Roman" w:eastAsia="Times New Roman" w:cs="Times New Roman"/>
              </w:rPr>
              <w:t>kV</w:t>
            </w:r>
          </w:p>
          <w:p w14:paraId="012B320C">
            <w:pPr>
              <w:pStyle w:val="6"/>
              <w:spacing w:before="61" w:line="228" w:lineRule="auto"/>
              <w:ind w:left="113"/>
              <w:rPr>
                <w:rFonts w:ascii="Times New Roman" w:hAnsi="Times New Roman" w:eastAsia="Times New Roman" w:cs="Times New Roman"/>
              </w:rPr>
            </w:pPr>
            <w:r>
              <w:rPr>
                <w:spacing w:val="3"/>
              </w:rPr>
              <w:t xml:space="preserve">联结组别： </w:t>
            </w:r>
            <w:r>
              <w:rPr>
                <w:rFonts w:ascii="Times New Roman" w:hAnsi="Times New Roman" w:eastAsia="Times New Roman" w:cs="Times New Roman"/>
              </w:rPr>
              <w:t>YN</w:t>
            </w:r>
            <w:r>
              <w:rPr>
                <w:rFonts w:ascii="Times New Roman" w:hAnsi="Times New Roman" w:eastAsia="Times New Roman" w:cs="Times New Roman"/>
                <w:spacing w:val="-23"/>
              </w:rPr>
              <w:t xml:space="preserve"> </w:t>
            </w:r>
            <w:r>
              <w:rPr>
                <w:spacing w:val="3"/>
              </w:rPr>
              <w:t>，</w:t>
            </w:r>
            <w:r>
              <w:rPr>
                <w:spacing w:val="19"/>
              </w:rPr>
              <w:t xml:space="preserve"> </w:t>
            </w:r>
            <w:r>
              <w:rPr>
                <w:rFonts w:ascii="Times New Roman" w:hAnsi="Times New Roman" w:eastAsia="Times New Roman" w:cs="Times New Roman"/>
                <w:spacing w:val="3"/>
              </w:rPr>
              <w:t>d11</w:t>
            </w:r>
          </w:p>
          <w:p w14:paraId="3121F154">
            <w:pPr>
              <w:pStyle w:val="6"/>
              <w:spacing w:before="27" w:line="281" w:lineRule="exact"/>
              <w:ind w:left="126"/>
              <w:rPr>
                <w:rFonts w:ascii="Times New Roman" w:hAnsi="Times New Roman" w:eastAsia="Times New Roman" w:cs="Times New Roman"/>
              </w:rPr>
            </w:pPr>
            <w:r>
              <w:rPr>
                <w:spacing w:val="4"/>
                <w:position w:val="1"/>
              </w:rPr>
              <w:t>阻抗电压：</w:t>
            </w:r>
            <w:r>
              <w:rPr>
                <w:rFonts w:ascii="Times New Roman" w:hAnsi="Times New Roman" w:eastAsia="Times New Roman" w:cs="Times New Roman"/>
                <w:position w:val="1"/>
              </w:rPr>
              <w:t>Ud</w:t>
            </w:r>
            <w:r>
              <w:rPr>
                <w:rFonts w:ascii="Times New Roman" w:hAnsi="Times New Roman" w:eastAsia="Times New Roman" w:cs="Times New Roman"/>
                <w:spacing w:val="4"/>
                <w:position w:val="1"/>
              </w:rPr>
              <w:t>=</w:t>
            </w:r>
            <w:r>
              <w:rPr>
                <w:rFonts w:ascii="Times New Roman" w:hAnsi="Times New Roman" w:eastAsia="Times New Roman" w:cs="Times New Roman"/>
                <w:spacing w:val="-22"/>
                <w:position w:val="1"/>
              </w:rPr>
              <w:t xml:space="preserve"> </w:t>
            </w:r>
            <w:r>
              <w:rPr>
                <w:rFonts w:ascii="Times New Roman" w:hAnsi="Times New Roman" w:eastAsia="Times New Roman" w:cs="Times New Roman"/>
                <w:spacing w:val="4"/>
                <w:position w:val="1"/>
              </w:rPr>
              <w:t>16%</w:t>
            </w:r>
          </w:p>
        </w:tc>
      </w:tr>
      <w:tr w14:paraId="0C4E5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9" w:hRule="atLeast"/>
        </w:trPr>
        <w:tc>
          <w:tcPr>
            <w:tcW w:w="744" w:type="dxa"/>
            <w:vMerge w:val="continue"/>
            <w:tcBorders>
              <w:top w:val="nil"/>
              <w:bottom w:val="nil"/>
            </w:tcBorders>
            <w:vAlign w:val="top"/>
          </w:tcPr>
          <w:p w14:paraId="28EAC751">
            <w:pPr>
              <w:rPr>
                <w:rFonts w:ascii="Arial"/>
                <w:sz w:val="21"/>
              </w:rPr>
            </w:pPr>
          </w:p>
        </w:tc>
        <w:tc>
          <w:tcPr>
            <w:tcW w:w="1106" w:type="dxa"/>
            <w:vAlign w:val="top"/>
          </w:tcPr>
          <w:p w14:paraId="6B078C08">
            <w:pPr>
              <w:spacing w:line="323" w:lineRule="auto"/>
              <w:rPr>
                <w:rFonts w:ascii="Arial"/>
                <w:sz w:val="21"/>
              </w:rPr>
            </w:pPr>
          </w:p>
          <w:p w14:paraId="1AAB2A56">
            <w:pPr>
              <w:spacing w:line="323" w:lineRule="auto"/>
              <w:rPr>
                <w:rFonts w:ascii="Arial"/>
                <w:sz w:val="21"/>
              </w:rPr>
            </w:pPr>
          </w:p>
          <w:p w14:paraId="34B7B1C6">
            <w:pPr>
              <w:pStyle w:val="6"/>
              <w:spacing w:before="65" w:line="252" w:lineRule="auto"/>
              <w:ind w:left="242" w:right="137" w:hanging="87"/>
            </w:pPr>
            <w:r>
              <w:rPr>
                <w:rFonts w:ascii="Times New Roman" w:hAnsi="Times New Roman" w:eastAsia="Times New Roman" w:cs="Times New Roman"/>
                <w:spacing w:val="-4"/>
              </w:rPr>
              <w:t>110kV</w:t>
            </w:r>
            <w:r>
              <w:rPr>
                <w:rFonts w:ascii="Times New Roman" w:hAnsi="Times New Roman" w:eastAsia="Times New Roman" w:cs="Times New Roman"/>
                <w:spacing w:val="37"/>
              </w:rPr>
              <w:t xml:space="preserve"> </w:t>
            </w:r>
            <w:r>
              <w:rPr>
                <w:spacing w:val="-4"/>
              </w:rPr>
              <w:t>电</w:t>
            </w:r>
            <w:r>
              <w:rPr>
                <w:spacing w:val="6"/>
              </w:rPr>
              <w:t>气设备</w:t>
            </w:r>
          </w:p>
        </w:tc>
        <w:tc>
          <w:tcPr>
            <w:tcW w:w="6591" w:type="dxa"/>
            <w:vAlign w:val="top"/>
          </w:tcPr>
          <w:p w14:paraId="66E7D421">
            <w:pPr>
              <w:pStyle w:val="6"/>
              <w:spacing w:before="33" w:line="251" w:lineRule="auto"/>
              <w:ind w:left="113" w:right="109" w:firstLine="15"/>
            </w:pPr>
            <w:r>
              <w:rPr>
                <w:rFonts w:ascii="Times New Roman" w:hAnsi="Times New Roman" w:eastAsia="Times New Roman" w:cs="Times New Roman"/>
                <w:spacing w:val="7"/>
              </w:rPr>
              <w:t>110</w:t>
            </w:r>
            <w:r>
              <w:rPr>
                <w:rFonts w:ascii="Times New Roman" w:hAnsi="Times New Roman" w:eastAsia="Times New Roman" w:cs="Times New Roman"/>
              </w:rPr>
              <w:t>kV</w:t>
            </w:r>
            <w:r>
              <w:rPr>
                <w:rFonts w:ascii="Times New Roman" w:hAnsi="Times New Roman" w:eastAsia="Times New Roman" w:cs="Times New Roman"/>
                <w:spacing w:val="21"/>
                <w:w w:val="101"/>
              </w:rPr>
              <w:t xml:space="preserve"> </w:t>
            </w:r>
            <w:r>
              <w:rPr>
                <w:rFonts w:ascii="Times New Roman" w:hAnsi="Times New Roman" w:eastAsia="Times New Roman" w:cs="Times New Roman"/>
              </w:rPr>
              <w:t>SF</w:t>
            </w:r>
            <w:r>
              <w:rPr>
                <w:rFonts w:ascii="Times New Roman" w:hAnsi="Times New Roman" w:eastAsia="Times New Roman" w:cs="Times New Roman"/>
                <w:spacing w:val="7"/>
              </w:rPr>
              <w:t xml:space="preserve">6  </w:t>
            </w:r>
            <w:r>
              <w:rPr>
                <w:spacing w:val="7"/>
              </w:rPr>
              <w:t>瓷柱式断路器：额定电压</w:t>
            </w:r>
            <w:r>
              <w:rPr>
                <w:spacing w:val="-18"/>
              </w:rPr>
              <w:t xml:space="preserve"> </w:t>
            </w:r>
            <w:r>
              <w:rPr>
                <w:rFonts w:ascii="Times New Roman" w:hAnsi="Times New Roman" w:eastAsia="Times New Roman" w:cs="Times New Roman"/>
                <w:spacing w:val="7"/>
              </w:rPr>
              <w:t>12</w:t>
            </w:r>
            <w:r>
              <w:rPr>
                <w:rFonts w:ascii="Times New Roman" w:hAnsi="Times New Roman" w:eastAsia="Times New Roman" w:cs="Times New Roman"/>
                <w:spacing w:val="6"/>
              </w:rPr>
              <w:t>6</w:t>
            </w:r>
            <w:r>
              <w:rPr>
                <w:rFonts w:ascii="Times New Roman" w:hAnsi="Times New Roman" w:eastAsia="Times New Roman" w:cs="Times New Roman"/>
              </w:rPr>
              <w:t>kV</w:t>
            </w:r>
            <w:r>
              <w:rPr>
                <w:rFonts w:ascii="Times New Roman" w:hAnsi="Times New Roman" w:eastAsia="Times New Roman" w:cs="Times New Roman"/>
                <w:spacing w:val="-20"/>
              </w:rPr>
              <w:t xml:space="preserve"> </w:t>
            </w:r>
            <w:r>
              <w:rPr>
                <w:spacing w:val="6"/>
              </w:rPr>
              <w:t>，额定电流</w:t>
            </w:r>
            <w:r>
              <w:rPr>
                <w:spacing w:val="-38"/>
              </w:rPr>
              <w:t xml:space="preserve"> </w:t>
            </w:r>
            <w:r>
              <w:rPr>
                <w:rFonts w:ascii="Times New Roman" w:hAnsi="Times New Roman" w:eastAsia="Times New Roman" w:cs="Times New Roman"/>
                <w:spacing w:val="6"/>
              </w:rPr>
              <w:t>2000A</w:t>
            </w:r>
            <w:r>
              <w:rPr>
                <w:rFonts w:ascii="Times New Roman" w:hAnsi="Times New Roman" w:eastAsia="Times New Roman" w:cs="Times New Roman"/>
                <w:spacing w:val="-22"/>
              </w:rPr>
              <w:t xml:space="preserve"> </w:t>
            </w:r>
            <w:r>
              <w:rPr>
                <w:spacing w:val="6"/>
              </w:rPr>
              <w:t>，额定</w:t>
            </w:r>
            <w:r>
              <w:rPr>
                <w:spacing w:val="8"/>
              </w:rPr>
              <w:t>开断电流</w:t>
            </w:r>
            <w:r>
              <w:rPr>
                <w:spacing w:val="-42"/>
              </w:rPr>
              <w:t xml:space="preserve"> </w:t>
            </w:r>
            <w:r>
              <w:rPr>
                <w:rFonts w:ascii="Times New Roman" w:hAnsi="Times New Roman" w:eastAsia="Times New Roman" w:cs="Times New Roman"/>
                <w:spacing w:val="8"/>
              </w:rPr>
              <w:t>40</w:t>
            </w:r>
            <w:r>
              <w:rPr>
                <w:rFonts w:ascii="Times New Roman" w:hAnsi="Times New Roman" w:eastAsia="Times New Roman" w:cs="Times New Roman"/>
              </w:rPr>
              <w:t>kA</w:t>
            </w:r>
            <w:r>
              <w:rPr>
                <w:rFonts w:ascii="Times New Roman" w:hAnsi="Times New Roman" w:eastAsia="Times New Roman" w:cs="Times New Roman"/>
                <w:spacing w:val="-25"/>
              </w:rPr>
              <w:t xml:space="preserve"> </w:t>
            </w:r>
            <w:r>
              <w:rPr>
                <w:spacing w:val="8"/>
              </w:rPr>
              <w:t>，额定短时耐受电流（时间）</w:t>
            </w:r>
            <w:r>
              <w:rPr>
                <w:rFonts w:ascii="Times New Roman" w:hAnsi="Times New Roman" w:eastAsia="Times New Roman" w:cs="Times New Roman"/>
                <w:spacing w:val="8"/>
              </w:rPr>
              <w:t>40</w:t>
            </w:r>
            <w:r>
              <w:rPr>
                <w:rFonts w:ascii="Times New Roman" w:hAnsi="Times New Roman" w:eastAsia="Times New Roman" w:cs="Times New Roman"/>
              </w:rPr>
              <w:t>kA</w:t>
            </w:r>
            <w:r>
              <w:rPr>
                <w:spacing w:val="8"/>
              </w:rPr>
              <w:t>（</w:t>
            </w:r>
            <w:r>
              <w:rPr>
                <w:rFonts w:ascii="Times New Roman" w:hAnsi="Times New Roman" w:eastAsia="Times New Roman" w:cs="Times New Roman"/>
                <w:spacing w:val="8"/>
              </w:rPr>
              <w:t>3S</w:t>
            </w:r>
            <w:r>
              <w:t>）；</w:t>
            </w:r>
          </w:p>
          <w:p w14:paraId="1AAD2A9B">
            <w:pPr>
              <w:pStyle w:val="6"/>
              <w:spacing w:line="251" w:lineRule="auto"/>
              <w:ind w:left="107" w:right="159" w:hanging="1"/>
            </w:pPr>
            <w:r>
              <w:rPr>
                <w:rFonts w:ascii="Times New Roman" w:hAnsi="Times New Roman" w:eastAsia="Times New Roman" w:cs="Times New Roman"/>
                <w:spacing w:val="-4"/>
              </w:rPr>
              <w:t>VSF6</w:t>
            </w:r>
            <w:r>
              <w:rPr>
                <w:rFonts w:ascii="Times New Roman" w:hAnsi="Times New Roman" w:eastAsia="Times New Roman" w:cs="Times New Roman"/>
                <w:spacing w:val="22"/>
                <w:w w:val="101"/>
              </w:rPr>
              <w:t xml:space="preserve">  </w:t>
            </w:r>
            <w:r>
              <w:rPr>
                <w:spacing w:val="-4"/>
              </w:rPr>
              <w:t>电</w:t>
            </w:r>
            <w:r>
              <w:rPr>
                <w:spacing w:val="-46"/>
              </w:rPr>
              <w:t xml:space="preserve"> </w:t>
            </w:r>
            <w:r>
              <w:rPr>
                <w:spacing w:val="-4"/>
              </w:rPr>
              <w:t>流</w:t>
            </w:r>
            <w:r>
              <w:rPr>
                <w:spacing w:val="-45"/>
              </w:rPr>
              <w:t xml:space="preserve"> </w:t>
            </w:r>
            <w:r>
              <w:rPr>
                <w:spacing w:val="-4"/>
              </w:rPr>
              <w:t>互</w:t>
            </w:r>
            <w:r>
              <w:rPr>
                <w:spacing w:val="-46"/>
              </w:rPr>
              <w:t xml:space="preserve"> </w:t>
            </w:r>
            <w:r>
              <w:rPr>
                <w:spacing w:val="-4"/>
              </w:rPr>
              <w:t>感</w:t>
            </w:r>
            <w:r>
              <w:rPr>
                <w:spacing w:val="-48"/>
              </w:rPr>
              <w:t xml:space="preserve"> </w:t>
            </w:r>
            <w:r>
              <w:rPr>
                <w:spacing w:val="-4"/>
              </w:rPr>
              <w:t>器</w:t>
            </w:r>
            <w:r>
              <w:rPr>
                <w:spacing w:val="-29"/>
              </w:rPr>
              <w:t xml:space="preserve"> </w:t>
            </w:r>
            <w:r>
              <w:rPr>
                <w:spacing w:val="-4"/>
              </w:rPr>
              <w:t>：</w:t>
            </w:r>
            <w:r>
              <w:rPr>
                <w:spacing w:val="-38"/>
              </w:rPr>
              <w:t xml:space="preserve"> </w:t>
            </w:r>
            <w:r>
              <w:rPr>
                <w:spacing w:val="-4"/>
              </w:rPr>
              <w:t>主</w:t>
            </w:r>
            <w:r>
              <w:rPr>
                <w:spacing w:val="-49"/>
              </w:rPr>
              <w:t xml:space="preserve"> </w:t>
            </w:r>
            <w:r>
              <w:rPr>
                <w:spacing w:val="-4"/>
              </w:rPr>
              <w:t>变</w:t>
            </w:r>
            <w:r>
              <w:rPr>
                <w:spacing w:val="-48"/>
              </w:rPr>
              <w:t xml:space="preserve"> </w:t>
            </w:r>
            <w:r>
              <w:rPr>
                <w:spacing w:val="-4"/>
              </w:rPr>
              <w:t>进</w:t>
            </w:r>
            <w:r>
              <w:rPr>
                <w:spacing w:val="-47"/>
              </w:rPr>
              <w:t xml:space="preserve"> </w:t>
            </w:r>
            <w:r>
              <w:rPr>
                <w:spacing w:val="-4"/>
              </w:rPr>
              <w:t>线</w:t>
            </w:r>
            <w:r>
              <w:rPr>
                <w:spacing w:val="-46"/>
              </w:rPr>
              <w:t xml:space="preserve"> </w:t>
            </w:r>
            <w:r>
              <w:rPr>
                <w:spacing w:val="-4"/>
              </w:rPr>
              <w:t>配</w:t>
            </w:r>
            <w:r>
              <w:rPr>
                <w:spacing w:val="-48"/>
              </w:rPr>
              <w:t xml:space="preserve"> </w:t>
            </w:r>
            <w:r>
              <w:rPr>
                <w:spacing w:val="-4"/>
              </w:rPr>
              <w:t xml:space="preserve">置 </w:t>
            </w:r>
            <w:r>
              <w:rPr>
                <w:rFonts w:ascii="Times New Roman" w:hAnsi="Times New Roman" w:eastAsia="Times New Roman" w:cs="Times New Roman"/>
                <w:spacing w:val="-4"/>
              </w:rPr>
              <w:t xml:space="preserve">6  </w:t>
            </w:r>
            <w:r>
              <w:rPr>
                <w:spacing w:val="-4"/>
              </w:rPr>
              <w:t>个</w:t>
            </w:r>
            <w:r>
              <w:rPr>
                <w:spacing w:val="-43"/>
              </w:rPr>
              <w:t xml:space="preserve"> </w:t>
            </w:r>
            <w:r>
              <w:rPr>
                <w:spacing w:val="-4"/>
              </w:rPr>
              <w:t>二</w:t>
            </w:r>
            <w:r>
              <w:rPr>
                <w:spacing w:val="-44"/>
              </w:rPr>
              <w:t xml:space="preserve"> </w:t>
            </w:r>
            <w:r>
              <w:rPr>
                <w:spacing w:val="-4"/>
              </w:rPr>
              <w:t>次</w:t>
            </w:r>
            <w:r>
              <w:rPr>
                <w:spacing w:val="-43"/>
              </w:rPr>
              <w:t xml:space="preserve"> </w:t>
            </w:r>
            <w:r>
              <w:rPr>
                <w:spacing w:val="-4"/>
              </w:rPr>
              <w:t>绕</w:t>
            </w:r>
            <w:r>
              <w:rPr>
                <w:spacing w:val="-44"/>
              </w:rPr>
              <w:t xml:space="preserve"> </w:t>
            </w:r>
            <w:r>
              <w:rPr>
                <w:spacing w:val="-4"/>
              </w:rPr>
              <w:t>组</w:t>
            </w:r>
            <w:r>
              <w:rPr>
                <w:spacing w:val="-32"/>
              </w:rPr>
              <w:t xml:space="preserve"> </w:t>
            </w:r>
            <w:r>
              <w:rPr>
                <w:spacing w:val="-4"/>
              </w:rPr>
              <w:t>，</w:t>
            </w:r>
            <w:r>
              <w:rPr>
                <w:spacing w:val="-37"/>
              </w:rPr>
              <w:t xml:space="preserve"> </w:t>
            </w:r>
            <w:r>
              <w:rPr>
                <w:spacing w:val="-4"/>
              </w:rPr>
              <w:t>级</w:t>
            </w:r>
            <w:r>
              <w:rPr>
                <w:spacing w:val="-43"/>
              </w:rPr>
              <w:t xml:space="preserve"> </w:t>
            </w:r>
            <w:r>
              <w:rPr>
                <w:spacing w:val="-4"/>
              </w:rPr>
              <w:t>次</w:t>
            </w:r>
            <w:r>
              <w:rPr>
                <w:spacing w:val="-44"/>
              </w:rPr>
              <w:t xml:space="preserve"> </w:t>
            </w:r>
            <w:r>
              <w:rPr>
                <w:spacing w:val="-4"/>
              </w:rPr>
              <w:t>为</w:t>
            </w:r>
            <w:r>
              <w:rPr>
                <w:spacing w:val="-53"/>
              </w:rPr>
              <w:t xml:space="preserve"> </w:t>
            </w:r>
            <w:r>
              <w:rPr>
                <w:spacing w:val="-4"/>
              </w:rPr>
              <w:t>：</w:t>
            </w:r>
            <w:r>
              <w:t xml:space="preserve"> </w:t>
            </w:r>
            <w:r>
              <w:rPr>
                <w:rFonts w:ascii="Times New Roman" w:hAnsi="Times New Roman" w:eastAsia="Times New Roman" w:cs="Times New Roman"/>
                <w:spacing w:val="6"/>
              </w:rPr>
              <w:t xml:space="preserve">4×5P40/0.5S/0.2S </w:t>
            </w:r>
            <w:r>
              <w:rPr>
                <w:spacing w:val="6"/>
              </w:rPr>
              <w:t>级  变比为：</w:t>
            </w:r>
            <w:r>
              <w:rPr>
                <w:rFonts w:ascii="Times New Roman" w:hAnsi="Times New Roman" w:eastAsia="Times New Roman" w:cs="Times New Roman"/>
                <w:spacing w:val="5"/>
              </w:rPr>
              <w:t xml:space="preserve">2x400/1A  </w:t>
            </w:r>
            <w:r>
              <w:rPr>
                <w:spacing w:val="5"/>
              </w:rPr>
              <w:t>（抽头；</w:t>
            </w:r>
            <w:r>
              <w:rPr>
                <w:rFonts w:ascii="Times New Roman" w:hAnsi="Times New Roman" w:eastAsia="Times New Roman" w:cs="Times New Roman"/>
                <w:spacing w:val="5"/>
              </w:rPr>
              <w:t>2x200/1A</w:t>
            </w:r>
            <w:r>
              <w:t>）；</w:t>
            </w:r>
          </w:p>
          <w:p w14:paraId="50D81A7D">
            <w:pPr>
              <w:pStyle w:val="6"/>
              <w:spacing w:line="251" w:lineRule="auto"/>
              <w:ind w:left="129" w:right="160" w:firstLine="8"/>
            </w:pPr>
            <w:r>
              <w:rPr>
                <w:spacing w:val="19"/>
              </w:rPr>
              <w:t>电容式电压互感器：</w:t>
            </w:r>
            <w:r>
              <w:rPr>
                <w:spacing w:val="-24"/>
              </w:rPr>
              <w:t xml:space="preserve"> </w:t>
            </w:r>
            <w:r>
              <w:rPr>
                <w:spacing w:val="19"/>
              </w:rPr>
              <w:t>母线设备：</w:t>
            </w:r>
            <w:r>
              <w:rPr>
                <w:spacing w:val="-38"/>
              </w:rPr>
              <w:t xml:space="preserve"> </w:t>
            </w:r>
            <w:r>
              <w:rPr>
                <w:spacing w:val="19"/>
              </w:rPr>
              <w:t>母线型</w:t>
            </w:r>
            <w:r>
              <w:rPr>
                <w:spacing w:val="-22"/>
              </w:rPr>
              <w:t xml:space="preserve"> </w:t>
            </w:r>
            <w:r>
              <w:rPr>
                <w:rFonts w:ascii="Times New Roman" w:hAnsi="Times New Roman" w:eastAsia="Times New Roman" w:cs="Times New Roman"/>
              </w:rPr>
              <w:t>PT</w:t>
            </w:r>
            <w:r>
              <w:rPr>
                <w:rFonts w:ascii="Times New Roman" w:hAnsi="Times New Roman" w:eastAsia="Times New Roman" w:cs="Times New Roman"/>
                <w:spacing w:val="35"/>
              </w:rPr>
              <w:t xml:space="preserve"> </w:t>
            </w:r>
            <w:r>
              <w:rPr>
                <w:spacing w:val="19"/>
              </w:rPr>
              <w:t>配置</w:t>
            </w:r>
            <w:r>
              <w:rPr>
                <w:spacing w:val="-23"/>
              </w:rPr>
              <w:t xml:space="preserve"> </w:t>
            </w:r>
            <w:r>
              <w:rPr>
                <w:rFonts w:ascii="Times New Roman" w:hAnsi="Times New Roman" w:eastAsia="Times New Roman" w:cs="Times New Roman"/>
                <w:spacing w:val="19"/>
              </w:rPr>
              <w:t>4</w:t>
            </w:r>
            <w:r>
              <w:rPr>
                <w:rFonts w:ascii="Times New Roman" w:hAnsi="Times New Roman" w:eastAsia="Times New Roman" w:cs="Times New Roman"/>
                <w:spacing w:val="32"/>
              </w:rPr>
              <w:t xml:space="preserve"> </w:t>
            </w:r>
            <w:r>
              <w:rPr>
                <w:spacing w:val="19"/>
              </w:rPr>
              <w:t>个二次绕组，</w:t>
            </w:r>
            <w:r>
              <w:t xml:space="preserve"> </w:t>
            </w:r>
            <w:r>
              <w:rPr>
                <w:rFonts w:ascii="Times New Roman" w:hAnsi="Times New Roman" w:eastAsia="Times New Roman" w:cs="Times New Roman"/>
                <w:spacing w:val="2"/>
              </w:rPr>
              <w:t>110/√3/0.</w:t>
            </w:r>
            <w:r>
              <w:rPr>
                <w:rFonts w:ascii="Times New Roman" w:hAnsi="Times New Roman" w:eastAsia="Times New Roman" w:cs="Times New Roman"/>
                <w:spacing w:val="-25"/>
              </w:rPr>
              <w:t xml:space="preserve"> </w:t>
            </w:r>
            <w:r>
              <w:rPr>
                <w:rFonts w:ascii="Times New Roman" w:hAnsi="Times New Roman" w:eastAsia="Times New Roman" w:cs="Times New Roman"/>
                <w:spacing w:val="2"/>
              </w:rPr>
              <w:t>1/√3/0.</w:t>
            </w:r>
            <w:r>
              <w:rPr>
                <w:rFonts w:ascii="Times New Roman" w:hAnsi="Times New Roman" w:eastAsia="Times New Roman" w:cs="Times New Roman"/>
                <w:spacing w:val="-25"/>
              </w:rPr>
              <w:t xml:space="preserve"> </w:t>
            </w:r>
            <w:r>
              <w:rPr>
                <w:rFonts w:ascii="Times New Roman" w:hAnsi="Times New Roman" w:eastAsia="Times New Roman" w:cs="Times New Roman"/>
                <w:spacing w:val="2"/>
              </w:rPr>
              <w:t>1/√</w:t>
            </w:r>
            <w:r>
              <w:rPr>
                <w:rFonts w:ascii="Times New Roman" w:hAnsi="Times New Roman" w:eastAsia="Times New Roman" w:cs="Times New Roman"/>
                <w:spacing w:val="1"/>
              </w:rPr>
              <w:t>3/0.</w:t>
            </w:r>
            <w:r>
              <w:rPr>
                <w:rFonts w:ascii="Times New Roman" w:hAnsi="Times New Roman" w:eastAsia="Times New Roman" w:cs="Times New Roman"/>
                <w:spacing w:val="-25"/>
              </w:rPr>
              <w:t xml:space="preserve"> </w:t>
            </w:r>
            <w:r>
              <w:rPr>
                <w:rFonts w:ascii="Times New Roman" w:hAnsi="Times New Roman" w:eastAsia="Times New Roman" w:cs="Times New Roman"/>
                <w:spacing w:val="1"/>
              </w:rPr>
              <w:t>1/√3/0.</w:t>
            </w:r>
            <w:r>
              <w:rPr>
                <w:rFonts w:ascii="Times New Roman" w:hAnsi="Times New Roman" w:eastAsia="Times New Roman" w:cs="Times New Roman"/>
                <w:spacing w:val="-25"/>
              </w:rPr>
              <w:t xml:space="preserve"> </w:t>
            </w:r>
            <w:r>
              <w:rPr>
                <w:rFonts w:ascii="Times New Roman" w:hAnsi="Times New Roman" w:eastAsia="Times New Roman" w:cs="Times New Roman"/>
                <w:spacing w:val="1"/>
              </w:rPr>
              <w:t>1</w:t>
            </w:r>
            <w:r>
              <w:rPr>
                <w:rFonts w:ascii="Times New Roman" w:hAnsi="Times New Roman" w:eastAsia="Times New Roman" w:cs="Times New Roman"/>
              </w:rPr>
              <w:t>kV</w:t>
            </w:r>
            <w:r>
              <w:rPr>
                <w:rFonts w:ascii="Times New Roman" w:hAnsi="Times New Roman" w:eastAsia="Times New Roman" w:cs="Times New Roman"/>
                <w:spacing w:val="-22"/>
              </w:rPr>
              <w:t xml:space="preserve"> </w:t>
            </w:r>
            <w:r>
              <w:rPr>
                <w:spacing w:val="1"/>
              </w:rPr>
              <w:t>，级次为</w:t>
            </w:r>
            <w:r>
              <w:rPr>
                <w:spacing w:val="-38"/>
              </w:rPr>
              <w:t xml:space="preserve"> </w:t>
            </w:r>
            <w:r>
              <w:rPr>
                <w:rFonts w:ascii="Times New Roman" w:hAnsi="Times New Roman" w:eastAsia="Times New Roman" w:cs="Times New Roman"/>
                <w:spacing w:val="1"/>
              </w:rPr>
              <w:t>0.2/3P/3P/3P</w:t>
            </w:r>
            <w:r>
              <w:rPr>
                <w:rFonts w:ascii="Times New Roman" w:hAnsi="Times New Roman" w:eastAsia="Times New Roman" w:cs="Times New Roman"/>
                <w:spacing w:val="16"/>
                <w:w w:val="101"/>
              </w:rPr>
              <w:t xml:space="preserve"> </w:t>
            </w:r>
            <w:r>
              <w:rPr>
                <w:spacing w:val="1"/>
              </w:rPr>
              <w:t>级</w:t>
            </w:r>
          </w:p>
          <w:p w14:paraId="4A52FB91">
            <w:pPr>
              <w:pStyle w:val="6"/>
              <w:spacing w:line="214" w:lineRule="auto"/>
              <w:ind w:left="113"/>
            </w:pPr>
            <w:r>
              <w:rPr>
                <w:spacing w:val="5"/>
              </w:rPr>
              <w:t>氧化锌避雷器：</w:t>
            </w:r>
            <w:r>
              <w:rPr>
                <w:rFonts w:ascii="Times New Roman" w:hAnsi="Times New Roman" w:eastAsia="Times New Roman" w:cs="Times New Roman"/>
                <w:spacing w:val="5"/>
              </w:rPr>
              <w:t>Y10W-</w:t>
            </w:r>
            <w:r>
              <w:rPr>
                <w:rFonts w:ascii="Times New Roman" w:hAnsi="Times New Roman" w:eastAsia="Times New Roman" w:cs="Times New Roman"/>
                <w:spacing w:val="-26"/>
              </w:rPr>
              <w:t xml:space="preserve"> </w:t>
            </w:r>
            <w:r>
              <w:rPr>
                <w:rFonts w:ascii="Times New Roman" w:hAnsi="Times New Roman" w:eastAsia="Times New Roman" w:cs="Times New Roman"/>
                <w:spacing w:val="5"/>
              </w:rPr>
              <w:t>108/281</w:t>
            </w:r>
            <w:r>
              <w:rPr>
                <w:rFonts w:ascii="Times New Roman" w:hAnsi="Times New Roman" w:eastAsia="Times New Roman" w:cs="Times New Roman"/>
                <w:spacing w:val="-24"/>
              </w:rPr>
              <w:t xml:space="preserve"> </w:t>
            </w:r>
            <w:r>
              <w:rPr>
                <w:spacing w:val="5"/>
              </w:rPr>
              <w:t>，</w:t>
            </w:r>
            <w:r>
              <w:rPr>
                <w:rFonts w:ascii="Times New Roman" w:hAnsi="Times New Roman" w:eastAsia="Times New Roman" w:cs="Times New Roman"/>
                <w:spacing w:val="5"/>
              </w:rPr>
              <w:t>108</w:t>
            </w:r>
            <w:r>
              <w:rPr>
                <w:rFonts w:ascii="Times New Roman" w:hAnsi="Times New Roman" w:eastAsia="Times New Roman" w:cs="Times New Roman"/>
              </w:rPr>
              <w:t>kV</w:t>
            </w:r>
            <w:r>
              <w:rPr>
                <w:rFonts w:ascii="Times New Roman" w:hAnsi="Times New Roman" w:eastAsia="Times New Roman" w:cs="Times New Roman"/>
                <w:spacing w:val="-22"/>
              </w:rPr>
              <w:t xml:space="preserve"> </w:t>
            </w:r>
            <w:r>
              <w:rPr>
                <w:spacing w:val="5"/>
              </w:rPr>
              <w:t>，附在线监测仪</w:t>
            </w:r>
          </w:p>
        </w:tc>
      </w:tr>
      <w:tr w14:paraId="72675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44" w:type="dxa"/>
            <w:vMerge w:val="continue"/>
            <w:tcBorders>
              <w:top w:val="nil"/>
            </w:tcBorders>
            <w:vAlign w:val="top"/>
          </w:tcPr>
          <w:p w14:paraId="287AC74D">
            <w:pPr>
              <w:rPr>
                <w:rFonts w:ascii="Arial"/>
                <w:sz w:val="21"/>
              </w:rPr>
            </w:pPr>
          </w:p>
        </w:tc>
        <w:tc>
          <w:tcPr>
            <w:tcW w:w="1106" w:type="dxa"/>
            <w:vAlign w:val="top"/>
          </w:tcPr>
          <w:p w14:paraId="342F0273">
            <w:pPr>
              <w:pStyle w:val="6"/>
              <w:spacing w:before="74" w:line="253" w:lineRule="auto"/>
              <w:ind w:left="240" w:right="187" w:hanging="30"/>
            </w:pPr>
            <w:r>
              <w:rPr>
                <w:rFonts w:ascii="Times New Roman" w:hAnsi="Times New Roman" w:eastAsia="Times New Roman" w:cs="Times New Roman"/>
                <w:spacing w:val="-2"/>
              </w:rPr>
              <w:t>10kV</w:t>
            </w:r>
            <w:r>
              <w:rPr>
                <w:rFonts w:ascii="Times New Roman" w:hAnsi="Times New Roman" w:eastAsia="Times New Roman" w:cs="Times New Roman"/>
                <w:spacing w:val="17"/>
                <w:w w:val="101"/>
              </w:rPr>
              <w:t xml:space="preserve"> </w:t>
            </w:r>
            <w:r>
              <w:rPr>
                <w:spacing w:val="-2"/>
              </w:rPr>
              <w:t>补</w:t>
            </w:r>
            <w:r>
              <w:rPr>
                <w:spacing w:val="7"/>
              </w:rPr>
              <w:t>偿装置</w:t>
            </w:r>
          </w:p>
        </w:tc>
        <w:tc>
          <w:tcPr>
            <w:tcW w:w="6591" w:type="dxa"/>
            <w:vAlign w:val="top"/>
          </w:tcPr>
          <w:p w14:paraId="0DA1A04F">
            <w:pPr>
              <w:pStyle w:val="6"/>
              <w:spacing w:before="54" w:line="228" w:lineRule="auto"/>
              <w:ind w:left="112"/>
            </w:pPr>
            <w:r>
              <w:rPr>
                <w:spacing w:val="9"/>
              </w:rPr>
              <w:t>每台主变各装设</w:t>
            </w:r>
            <w:r>
              <w:rPr>
                <w:spacing w:val="-35"/>
              </w:rPr>
              <w:t xml:space="preserve"> </w:t>
            </w:r>
            <w:r>
              <w:rPr>
                <w:rFonts w:ascii="Times New Roman" w:hAnsi="Times New Roman" w:eastAsia="Times New Roman" w:cs="Times New Roman"/>
                <w:spacing w:val="9"/>
              </w:rPr>
              <w:t>5</w:t>
            </w:r>
            <w:r>
              <w:rPr>
                <w:rFonts w:ascii="Times New Roman" w:hAnsi="Times New Roman" w:eastAsia="Times New Roman" w:cs="Times New Roman"/>
              </w:rPr>
              <w:t>Mvar</w:t>
            </w:r>
            <w:r>
              <w:rPr>
                <w:spacing w:val="9"/>
              </w:rPr>
              <w:t>电容器补偿装置。</w:t>
            </w:r>
          </w:p>
          <w:p w14:paraId="17736C15">
            <w:pPr>
              <w:pStyle w:val="6"/>
              <w:spacing w:before="65" w:line="228" w:lineRule="auto"/>
              <w:ind w:left="112"/>
            </w:pPr>
            <w:r>
              <w:rPr>
                <w:spacing w:val="6"/>
              </w:rPr>
              <w:t>装置额定容量：</w:t>
            </w:r>
            <w:r>
              <w:rPr>
                <w:rFonts w:ascii="Times New Roman" w:hAnsi="Times New Roman" w:eastAsia="Times New Roman" w:cs="Times New Roman"/>
                <w:spacing w:val="6"/>
              </w:rPr>
              <w:t>5010</w:t>
            </w:r>
            <w:r>
              <w:rPr>
                <w:rFonts w:ascii="Times New Roman" w:hAnsi="Times New Roman" w:eastAsia="Times New Roman" w:cs="Times New Roman"/>
              </w:rPr>
              <w:t>kVar</w:t>
            </w:r>
            <w:r>
              <w:rPr>
                <w:spacing w:val="6"/>
              </w:rPr>
              <w:t>。</w:t>
            </w:r>
          </w:p>
        </w:tc>
      </w:tr>
    </w:tbl>
    <w:p w14:paraId="5B9B6290">
      <w:pPr>
        <w:spacing w:line="270" w:lineRule="auto"/>
        <w:rPr>
          <w:rFonts w:ascii="Arial"/>
          <w:sz w:val="21"/>
        </w:rPr>
      </w:pPr>
    </w:p>
    <w:p w14:paraId="6E71E4E0">
      <w:pPr>
        <w:pStyle w:val="2"/>
        <w:spacing w:before="79" w:line="211" w:lineRule="auto"/>
        <w:ind w:left="2302"/>
        <w:rPr>
          <w:sz w:val="24"/>
          <w:szCs w:val="24"/>
        </w:rPr>
      </w:pPr>
      <w:r>
        <w:rPr>
          <w:b/>
          <w:bCs/>
          <w:spacing w:val="-2"/>
          <w:sz w:val="24"/>
          <w:szCs w:val="24"/>
        </w:rPr>
        <w:t>表</w:t>
      </w:r>
      <w:r>
        <w:rPr>
          <w:spacing w:val="-53"/>
          <w:sz w:val="24"/>
          <w:szCs w:val="24"/>
        </w:rPr>
        <w:t xml:space="preserve"> </w:t>
      </w:r>
      <w:r>
        <w:rPr>
          <w:rFonts w:ascii="Times New Roman" w:hAnsi="Times New Roman" w:eastAsia="Times New Roman" w:cs="Times New Roman"/>
          <w:b/>
          <w:bCs/>
          <w:spacing w:val="-2"/>
          <w:sz w:val="24"/>
          <w:szCs w:val="24"/>
        </w:rPr>
        <w:t xml:space="preserve">3-2    110kV </w:t>
      </w:r>
      <w:r>
        <w:rPr>
          <w:b/>
          <w:bCs/>
          <w:spacing w:val="-2"/>
          <w:sz w:val="24"/>
          <w:szCs w:val="24"/>
        </w:rPr>
        <w:t>线路建设内容主要技术参数</w:t>
      </w:r>
    </w:p>
    <w:tbl>
      <w:tblPr>
        <w:tblStyle w:val="5"/>
        <w:tblW w:w="84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1"/>
        <w:gridCol w:w="1949"/>
        <w:gridCol w:w="1439"/>
        <w:gridCol w:w="854"/>
        <w:gridCol w:w="989"/>
        <w:gridCol w:w="720"/>
        <w:gridCol w:w="1748"/>
      </w:tblGrid>
      <w:tr w14:paraId="02FCD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741" w:type="dxa"/>
            <w:vAlign w:val="top"/>
          </w:tcPr>
          <w:p w14:paraId="3C70CB42">
            <w:pPr>
              <w:pStyle w:val="6"/>
              <w:spacing w:before="35" w:line="231" w:lineRule="auto"/>
              <w:ind w:left="188"/>
            </w:pPr>
            <w:r>
              <w:rPr>
                <w:b/>
                <w:bCs/>
                <w:spacing w:val="-9"/>
              </w:rPr>
              <w:t>电压</w:t>
            </w:r>
          </w:p>
          <w:p w14:paraId="3586D8EF">
            <w:pPr>
              <w:pStyle w:val="6"/>
              <w:spacing w:before="23" w:line="216" w:lineRule="auto"/>
              <w:ind w:left="165"/>
            </w:pPr>
            <w:r>
              <w:rPr>
                <w:b/>
                <w:bCs/>
                <w:spacing w:val="3"/>
              </w:rPr>
              <w:t>等级</w:t>
            </w:r>
          </w:p>
        </w:tc>
        <w:tc>
          <w:tcPr>
            <w:tcW w:w="1949" w:type="dxa"/>
            <w:vAlign w:val="top"/>
          </w:tcPr>
          <w:p w14:paraId="3C6431E5">
            <w:pPr>
              <w:pStyle w:val="6"/>
              <w:spacing w:before="171" w:line="228" w:lineRule="auto"/>
              <w:ind w:left="558"/>
            </w:pPr>
            <w:r>
              <w:rPr>
                <w:b/>
                <w:bCs/>
                <w:spacing w:val="5"/>
              </w:rPr>
              <w:t>线路名称</w:t>
            </w:r>
          </w:p>
        </w:tc>
        <w:tc>
          <w:tcPr>
            <w:tcW w:w="1439" w:type="dxa"/>
            <w:vAlign w:val="top"/>
          </w:tcPr>
          <w:p w14:paraId="7CE81E0E">
            <w:pPr>
              <w:pStyle w:val="6"/>
              <w:spacing w:before="35" w:line="234" w:lineRule="auto"/>
              <w:ind w:left="315" w:right="296" w:hanging="6"/>
            </w:pPr>
            <w:r>
              <w:rPr>
                <w:b/>
                <w:bCs/>
                <w:spacing w:val="5"/>
              </w:rPr>
              <w:t>导线选型</w:t>
            </w:r>
            <w:r>
              <w:rPr>
                <w:b/>
                <w:bCs/>
                <w:spacing w:val="2"/>
              </w:rPr>
              <w:t>（</w:t>
            </w:r>
            <w:r>
              <w:rPr>
                <w:rFonts w:ascii="Times New Roman" w:hAnsi="Times New Roman" w:eastAsia="Times New Roman" w:cs="Times New Roman"/>
                <w:b/>
                <w:bCs/>
              </w:rPr>
              <w:t>mm</w:t>
            </w:r>
            <w:r>
              <w:rPr>
                <w:rFonts w:ascii="Times New Roman" w:hAnsi="Times New Roman" w:eastAsia="Times New Roman" w:cs="Times New Roman"/>
                <w:b/>
                <w:bCs/>
                <w:spacing w:val="2"/>
                <w:sz w:val="13"/>
                <w:szCs w:val="13"/>
              </w:rPr>
              <w:t>2</w:t>
            </w:r>
            <w:r>
              <w:rPr>
                <w:b/>
                <w:bCs/>
                <w:spacing w:val="2"/>
              </w:rPr>
              <w:t>）</w:t>
            </w:r>
          </w:p>
        </w:tc>
        <w:tc>
          <w:tcPr>
            <w:tcW w:w="854" w:type="dxa"/>
            <w:vAlign w:val="top"/>
          </w:tcPr>
          <w:p w14:paraId="5B22D833">
            <w:pPr>
              <w:pStyle w:val="6"/>
              <w:spacing w:before="35" w:line="234" w:lineRule="auto"/>
              <w:ind w:left="115" w:right="18" w:firstLine="4"/>
            </w:pPr>
            <w:r>
              <w:rPr>
                <w:b/>
                <w:bCs/>
                <w:spacing w:val="4"/>
              </w:rPr>
              <w:t>设计电</w:t>
            </w:r>
            <w:r>
              <w:rPr>
                <w:b/>
                <w:bCs/>
                <w:spacing w:val="-10"/>
              </w:rPr>
              <w:t>流（</w:t>
            </w:r>
            <w:r>
              <w:rPr>
                <w:rFonts w:ascii="Times New Roman" w:hAnsi="Times New Roman" w:eastAsia="Times New Roman" w:cs="Times New Roman"/>
                <w:b/>
                <w:bCs/>
                <w:spacing w:val="-10"/>
              </w:rPr>
              <w:t>A</w:t>
            </w:r>
            <w:r>
              <w:rPr>
                <w:b/>
                <w:bCs/>
                <w:spacing w:val="-10"/>
              </w:rPr>
              <w:t>）</w:t>
            </w:r>
          </w:p>
        </w:tc>
        <w:tc>
          <w:tcPr>
            <w:tcW w:w="989" w:type="dxa"/>
            <w:vAlign w:val="top"/>
          </w:tcPr>
          <w:p w14:paraId="25C4FFA6">
            <w:pPr>
              <w:pStyle w:val="6"/>
              <w:spacing w:before="35" w:line="234" w:lineRule="auto"/>
              <w:ind w:left="114" w:right="18" w:firstLine="72"/>
            </w:pPr>
            <w:r>
              <w:rPr>
                <w:b/>
                <w:bCs/>
                <w:spacing w:val="4"/>
              </w:rPr>
              <w:t>线路长</w:t>
            </w:r>
            <w:r>
              <w:rPr>
                <w:b/>
                <w:bCs/>
                <w:spacing w:val="-7"/>
              </w:rPr>
              <w:t>度（</w:t>
            </w:r>
            <w:r>
              <w:rPr>
                <w:rFonts w:ascii="Times New Roman" w:hAnsi="Times New Roman" w:eastAsia="Times New Roman" w:cs="Times New Roman"/>
                <w:b/>
                <w:bCs/>
                <w:spacing w:val="-7"/>
              </w:rPr>
              <w:t>km</w:t>
            </w:r>
            <w:r>
              <w:rPr>
                <w:b/>
                <w:bCs/>
                <w:spacing w:val="-7"/>
              </w:rPr>
              <w:t>）</w:t>
            </w:r>
          </w:p>
        </w:tc>
        <w:tc>
          <w:tcPr>
            <w:tcW w:w="720" w:type="dxa"/>
            <w:vAlign w:val="top"/>
          </w:tcPr>
          <w:p w14:paraId="56612A33">
            <w:pPr>
              <w:pStyle w:val="6"/>
              <w:spacing w:before="35" w:line="228" w:lineRule="auto"/>
              <w:ind w:left="180"/>
            </w:pPr>
            <w:r>
              <w:rPr>
                <w:b/>
                <w:bCs/>
                <w:spacing w:val="-9"/>
              </w:rPr>
              <w:t>曲折</w:t>
            </w:r>
          </w:p>
          <w:p w14:paraId="5F33E002">
            <w:pPr>
              <w:pStyle w:val="6"/>
              <w:spacing w:before="26" w:line="216" w:lineRule="auto"/>
              <w:ind w:left="160"/>
            </w:pPr>
            <w:r>
              <w:rPr>
                <w:b/>
                <w:bCs/>
                <w:spacing w:val="1"/>
              </w:rPr>
              <w:t>系数</w:t>
            </w:r>
          </w:p>
        </w:tc>
        <w:tc>
          <w:tcPr>
            <w:tcW w:w="1748" w:type="dxa"/>
            <w:vAlign w:val="top"/>
          </w:tcPr>
          <w:p w14:paraId="16D5BAA2">
            <w:pPr>
              <w:pStyle w:val="6"/>
              <w:spacing w:before="172" w:line="228" w:lineRule="auto"/>
              <w:ind w:left="459"/>
            </w:pPr>
            <w:r>
              <w:rPr>
                <w:b/>
                <w:bCs/>
                <w:spacing w:val="6"/>
              </w:rPr>
              <w:t>架设方式</w:t>
            </w:r>
          </w:p>
        </w:tc>
      </w:tr>
      <w:tr w14:paraId="19B71A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2" w:hRule="atLeast"/>
        </w:trPr>
        <w:tc>
          <w:tcPr>
            <w:tcW w:w="741" w:type="dxa"/>
            <w:vMerge w:val="restart"/>
            <w:tcBorders>
              <w:bottom w:val="nil"/>
            </w:tcBorders>
            <w:vAlign w:val="top"/>
          </w:tcPr>
          <w:p w14:paraId="30AD23E0">
            <w:pPr>
              <w:spacing w:line="352" w:lineRule="auto"/>
              <w:rPr>
                <w:rFonts w:ascii="Arial"/>
                <w:sz w:val="21"/>
              </w:rPr>
            </w:pPr>
          </w:p>
          <w:p w14:paraId="34BF8F27">
            <w:pPr>
              <w:spacing w:line="353" w:lineRule="auto"/>
              <w:rPr>
                <w:rFonts w:ascii="Arial"/>
                <w:sz w:val="21"/>
              </w:rPr>
            </w:pPr>
          </w:p>
          <w:p w14:paraId="3090EBD8">
            <w:pPr>
              <w:spacing w:before="57" w:line="199" w:lineRule="auto"/>
              <w:ind w:left="18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110k</w:t>
            </w:r>
          </w:p>
          <w:p w14:paraId="2DA836BD">
            <w:pPr>
              <w:spacing w:before="58" w:line="192" w:lineRule="auto"/>
              <w:ind w:left="29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V</w:t>
            </w:r>
          </w:p>
        </w:tc>
        <w:tc>
          <w:tcPr>
            <w:tcW w:w="1949" w:type="dxa"/>
            <w:vAlign w:val="top"/>
          </w:tcPr>
          <w:p w14:paraId="7CA98DAA">
            <w:pPr>
              <w:pStyle w:val="6"/>
              <w:spacing w:before="304" w:line="252" w:lineRule="auto"/>
              <w:ind w:left="460" w:right="35" w:hanging="404"/>
            </w:pPr>
            <w:r>
              <w:rPr>
                <w:rFonts w:ascii="Times New Roman" w:hAnsi="Times New Roman" w:eastAsia="Times New Roman" w:cs="Times New Roman"/>
                <w:spacing w:val="5"/>
              </w:rPr>
              <w:t>110</w:t>
            </w:r>
            <w:r>
              <w:rPr>
                <w:rFonts w:ascii="Times New Roman" w:hAnsi="Times New Roman" w:eastAsia="Times New Roman" w:cs="Times New Roman"/>
              </w:rPr>
              <w:t>kV</w:t>
            </w:r>
            <w:r>
              <w:rPr>
                <w:spacing w:val="5"/>
              </w:rPr>
              <w:t>松山变</w:t>
            </w:r>
            <w:r>
              <w:rPr>
                <w:rFonts w:ascii="Times New Roman" w:hAnsi="Times New Roman" w:eastAsia="Times New Roman" w:cs="Times New Roman"/>
                <w:spacing w:val="5"/>
              </w:rPr>
              <w:t>~220</w:t>
            </w:r>
            <w:r>
              <w:rPr>
                <w:rFonts w:ascii="Times New Roman" w:hAnsi="Times New Roman" w:eastAsia="Times New Roman" w:cs="Times New Roman"/>
              </w:rPr>
              <w:t>kV</w:t>
            </w:r>
            <w:r>
              <w:rPr>
                <w:spacing w:val="7"/>
              </w:rPr>
              <w:t>芳华变线路</w:t>
            </w:r>
          </w:p>
        </w:tc>
        <w:tc>
          <w:tcPr>
            <w:tcW w:w="1439" w:type="dxa"/>
            <w:vAlign w:val="top"/>
          </w:tcPr>
          <w:p w14:paraId="33B7C937">
            <w:pPr>
              <w:pStyle w:val="6"/>
              <w:spacing w:before="195" w:line="241" w:lineRule="auto"/>
              <w:ind w:left="115" w:right="59" w:firstLine="18"/>
              <w:jc w:val="both"/>
            </w:pPr>
            <w:r>
              <w:rPr>
                <w:rFonts w:ascii="Times New Roman" w:hAnsi="Times New Roman" w:eastAsia="Times New Roman" w:cs="Times New Roman"/>
                <w:spacing w:val="2"/>
                <w:sz w:val="24"/>
                <w:szCs w:val="24"/>
              </w:rPr>
              <w:t>1×</w:t>
            </w:r>
            <w:r>
              <w:rPr>
                <w:rFonts w:ascii="Times New Roman" w:hAnsi="Times New Roman" w:eastAsia="Times New Roman" w:cs="Times New Roman"/>
              </w:rPr>
              <w:t>JL</w:t>
            </w:r>
            <w:r>
              <w:rPr>
                <w:rFonts w:ascii="Times New Roman" w:hAnsi="Times New Roman" w:eastAsia="Times New Roman" w:cs="Times New Roman"/>
                <w:spacing w:val="2"/>
              </w:rPr>
              <w:t>/</w:t>
            </w:r>
            <w:r>
              <w:rPr>
                <w:rFonts w:ascii="Times New Roman" w:hAnsi="Times New Roman" w:eastAsia="Times New Roman" w:cs="Times New Roman"/>
              </w:rPr>
              <w:t>LB</w:t>
            </w:r>
            <w:r>
              <w:rPr>
                <w:rFonts w:ascii="Times New Roman" w:hAnsi="Times New Roman" w:eastAsia="Times New Roman" w:cs="Times New Roman"/>
                <w:spacing w:val="2"/>
              </w:rPr>
              <w:t>20A-</w:t>
            </w:r>
            <w:r>
              <w:rPr>
                <w:rFonts w:ascii="Times New Roman" w:hAnsi="Times New Roman" w:eastAsia="Times New Roman" w:cs="Times New Roman"/>
              </w:rPr>
              <w:t xml:space="preserve"> </w:t>
            </w:r>
            <w:r>
              <w:rPr>
                <w:rFonts w:ascii="Times New Roman" w:hAnsi="Times New Roman" w:eastAsia="Times New Roman" w:cs="Times New Roman"/>
                <w:spacing w:val="5"/>
              </w:rPr>
              <w:t>300/40</w:t>
            </w:r>
            <w:r>
              <w:rPr>
                <w:spacing w:val="5"/>
              </w:rPr>
              <w:t>；导线</w:t>
            </w:r>
            <w:r>
              <w:rPr>
                <w:spacing w:val="-1"/>
              </w:rPr>
              <w:t>直径</w:t>
            </w:r>
            <w:r>
              <w:rPr>
                <w:rFonts w:ascii="Times New Roman" w:hAnsi="Times New Roman" w:eastAsia="Times New Roman" w:cs="Times New Roman"/>
                <w:spacing w:val="-1"/>
              </w:rPr>
              <w:t>23.9mm</w:t>
            </w:r>
            <w:r>
              <w:rPr>
                <w:spacing w:val="-1"/>
              </w:rPr>
              <w:t>；</w:t>
            </w:r>
          </w:p>
        </w:tc>
        <w:tc>
          <w:tcPr>
            <w:tcW w:w="854" w:type="dxa"/>
            <w:vAlign w:val="top"/>
          </w:tcPr>
          <w:p w14:paraId="46E50FDE">
            <w:pPr>
              <w:spacing w:line="415" w:lineRule="auto"/>
              <w:rPr>
                <w:rFonts w:ascii="Arial"/>
                <w:sz w:val="21"/>
              </w:rPr>
            </w:pPr>
          </w:p>
          <w:p w14:paraId="3209000A">
            <w:pPr>
              <w:spacing w:before="57"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300</w:t>
            </w:r>
          </w:p>
        </w:tc>
        <w:tc>
          <w:tcPr>
            <w:tcW w:w="989" w:type="dxa"/>
            <w:vAlign w:val="top"/>
          </w:tcPr>
          <w:p w14:paraId="043E86BB">
            <w:pPr>
              <w:pStyle w:val="6"/>
              <w:spacing w:before="197" w:line="267" w:lineRule="exact"/>
              <w:ind w:left="339"/>
            </w:pPr>
            <w:r>
              <w:rPr>
                <w:rFonts w:ascii="Times New Roman" w:hAnsi="Times New Roman" w:eastAsia="Times New Roman" w:cs="Times New Roman"/>
                <w:spacing w:val="5"/>
                <w:position w:val="1"/>
              </w:rPr>
              <w:t>2</w:t>
            </w:r>
            <w:r>
              <w:rPr>
                <w:spacing w:val="5"/>
                <w:position w:val="1"/>
              </w:rPr>
              <w:t>×</w:t>
            </w:r>
          </w:p>
          <w:p w14:paraId="0682BFC7">
            <w:pPr>
              <w:spacing w:before="28" w:line="195" w:lineRule="auto"/>
              <w:ind w:left="12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6.36+3.8</w:t>
            </w:r>
          </w:p>
          <w:p w14:paraId="2ADE5425">
            <w:pPr>
              <w:spacing w:before="53" w:line="195" w:lineRule="auto"/>
              <w:ind w:left="449"/>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720" w:type="dxa"/>
            <w:vAlign w:val="top"/>
          </w:tcPr>
          <w:p w14:paraId="03DED82A">
            <w:pPr>
              <w:spacing w:line="415" w:lineRule="auto"/>
              <w:rPr>
                <w:rFonts w:ascii="Arial"/>
                <w:sz w:val="21"/>
              </w:rPr>
            </w:pPr>
          </w:p>
          <w:p w14:paraId="58FD555B">
            <w:pPr>
              <w:spacing w:before="58"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1.24</w:t>
            </w:r>
          </w:p>
        </w:tc>
        <w:tc>
          <w:tcPr>
            <w:tcW w:w="1748" w:type="dxa"/>
            <w:vAlign w:val="top"/>
          </w:tcPr>
          <w:p w14:paraId="60DEDF94">
            <w:pPr>
              <w:pStyle w:val="6"/>
              <w:spacing w:before="33" w:line="242" w:lineRule="auto"/>
              <w:ind w:left="145" w:right="138" w:firstLine="104"/>
              <w:jc w:val="both"/>
            </w:pPr>
            <w:r>
              <w:rPr>
                <w:spacing w:val="8"/>
              </w:rPr>
              <w:t>架空线路采用单、双回混合架设，双回段按同</w:t>
            </w:r>
            <w:r>
              <w:rPr>
                <w:spacing w:val="24"/>
              </w:rPr>
              <w:t>塔单边挂线。</w:t>
            </w:r>
          </w:p>
        </w:tc>
      </w:tr>
      <w:tr w14:paraId="07CA2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trPr>
        <w:tc>
          <w:tcPr>
            <w:tcW w:w="741" w:type="dxa"/>
            <w:vMerge w:val="continue"/>
            <w:tcBorders>
              <w:top w:val="nil"/>
            </w:tcBorders>
            <w:vAlign w:val="top"/>
          </w:tcPr>
          <w:p w14:paraId="1E76CFF0">
            <w:pPr>
              <w:rPr>
                <w:rFonts w:ascii="Arial"/>
                <w:sz w:val="21"/>
              </w:rPr>
            </w:pPr>
          </w:p>
        </w:tc>
        <w:tc>
          <w:tcPr>
            <w:tcW w:w="1949" w:type="dxa"/>
            <w:vAlign w:val="top"/>
          </w:tcPr>
          <w:p w14:paraId="43D5A128">
            <w:pPr>
              <w:pStyle w:val="6"/>
              <w:spacing w:before="35" w:line="228" w:lineRule="auto"/>
              <w:ind w:left="228"/>
            </w:pPr>
            <w:r>
              <w:rPr>
                <w:rFonts w:ascii="Times New Roman" w:hAnsi="Times New Roman" w:eastAsia="Times New Roman" w:cs="Times New Roman"/>
                <w:spacing w:val="5"/>
              </w:rPr>
              <w:t>110</w:t>
            </w:r>
            <w:r>
              <w:rPr>
                <w:rFonts w:ascii="Times New Roman" w:hAnsi="Times New Roman" w:eastAsia="Times New Roman" w:cs="Times New Roman"/>
              </w:rPr>
              <w:t>kV</w:t>
            </w:r>
            <w:r>
              <w:rPr>
                <w:spacing w:val="5"/>
              </w:rPr>
              <w:t>松山变</w:t>
            </w:r>
            <w:r>
              <w:rPr>
                <w:rFonts w:ascii="Times New Roman" w:hAnsi="Times New Roman" w:eastAsia="Times New Roman" w:cs="Times New Roman"/>
                <w:spacing w:val="5"/>
              </w:rPr>
              <w:t>T</w:t>
            </w:r>
            <w:r>
              <w:rPr>
                <w:spacing w:val="5"/>
              </w:rPr>
              <w:t>接</w:t>
            </w:r>
          </w:p>
          <w:p w14:paraId="3CFFAA6F">
            <w:pPr>
              <w:pStyle w:val="6"/>
              <w:spacing w:before="24" w:line="228" w:lineRule="auto"/>
              <w:ind w:left="374"/>
            </w:pPr>
            <w:r>
              <w:rPr>
                <w:rFonts w:ascii="Times New Roman" w:hAnsi="Times New Roman" w:eastAsia="Times New Roman" w:cs="Times New Roman"/>
                <w:spacing w:val="8"/>
              </w:rPr>
              <w:t>220</w:t>
            </w:r>
            <w:r>
              <w:rPr>
                <w:rFonts w:ascii="Times New Roman" w:hAnsi="Times New Roman" w:eastAsia="Times New Roman" w:cs="Times New Roman"/>
              </w:rPr>
              <w:t>kV</w:t>
            </w:r>
            <w:r>
              <w:rPr>
                <w:spacing w:val="8"/>
              </w:rPr>
              <w:t>芳华变</w:t>
            </w:r>
          </w:p>
          <w:p w14:paraId="633B475E">
            <w:pPr>
              <w:pStyle w:val="6"/>
              <w:spacing w:before="23" w:line="222" w:lineRule="auto"/>
              <w:ind w:left="108"/>
            </w:pPr>
            <w:r>
              <w:rPr>
                <w:rFonts w:ascii="Times New Roman" w:hAnsi="Times New Roman" w:eastAsia="Times New Roman" w:cs="Times New Roman"/>
                <w:spacing w:val="5"/>
              </w:rPr>
              <w:t>~</w:t>
            </w:r>
            <w:r>
              <w:rPr>
                <w:rFonts w:ascii="Times New Roman" w:hAnsi="Times New Roman" w:eastAsia="Times New Roman" w:cs="Times New Roman"/>
                <w:spacing w:val="-25"/>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spacing w:val="5"/>
              </w:rPr>
              <w:t>吉冲变线路</w:t>
            </w:r>
          </w:p>
        </w:tc>
        <w:tc>
          <w:tcPr>
            <w:tcW w:w="1439" w:type="dxa"/>
            <w:vAlign w:val="top"/>
          </w:tcPr>
          <w:p w14:paraId="21C1DC52">
            <w:pPr>
              <w:pStyle w:val="6"/>
              <w:spacing w:before="62" w:line="228" w:lineRule="auto"/>
              <w:ind w:left="114" w:right="59" w:firstLine="18"/>
              <w:jc w:val="both"/>
            </w:pPr>
            <w:r>
              <w:rPr>
                <w:rFonts w:ascii="Times New Roman" w:hAnsi="Times New Roman" w:eastAsia="Times New Roman" w:cs="Times New Roman"/>
                <w:spacing w:val="2"/>
                <w:sz w:val="24"/>
                <w:szCs w:val="24"/>
              </w:rPr>
              <w:t>1×</w:t>
            </w:r>
            <w:r>
              <w:rPr>
                <w:rFonts w:ascii="Times New Roman" w:hAnsi="Times New Roman" w:eastAsia="Times New Roman" w:cs="Times New Roman"/>
              </w:rPr>
              <w:t>JL</w:t>
            </w:r>
            <w:r>
              <w:rPr>
                <w:rFonts w:ascii="Times New Roman" w:hAnsi="Times New Roman" w:eastAsia="Times New Roman" w:cs="Times New Roman"/>
                <w:spacing w:val="2"/>
              </w:rPr>
              <w:t>/</w:t>
            </w:r>
            <w:r>
              <w:rPr>
                <w:rFonts w:ascii="Times New Roman" w:hAnsi="Times New Roman" w:eastAsia="Times New Roman" w:cs="Times New Roman"/>
              </w:rPr>
              <w:t>LB</w:t>
            </w:r>
            <w:r>
              <w:rPr>
                <w:rFonts w:ascii="Times New Roman" w:hAnsi="Times New Roman" w:eastAsia="Times New Roman" w:cs="Times New Roman"/>
                <w:spacing w:val="2"/>
              </w:rPr>
              <w:t>20A-</w:t>
            </w:r>
            <w:r>
              <w:rPr>
                <w:rFonts w:ascii="Times New Roman" w:hAnsi="Times New Roman" w:eastAsia="Times New Roman" w:cs="Times New Roman"/>
              </w:rPr>
              <w:t xml:space="preserve"> </w:t>
            </w:r>
            <w:r>
              <w:rPr>
                <w:rFonts w:ascii="Times New Roman" w:hAnsi="Times New Roman" w:eastAsia="Times New Roman" w:cs="Times New Roman"/>
                <w:spacing w:val="5"/>
              </w:rPr>
              <w:t>240/30</w:t>
            </w:r>
            <w:r>
              <w:rPr>
                <w:spacing w:val="5"/>
              </w:rPr>
              <w:t>；导线</w:t>
            </w:r>
            <w:r>
              <w:rPr>
                <w:spacing w:val="-1"/>
              </w:rPr>
              <w:t>直径</w:t>
            </w:r>
            <w:r>
              <w:rPr>
                <w:rFonts w:ascii="Times New Roman" w:hAnsi="Times New Roman" w:eastAsia="Times New Roman" w:cs="Times New Roman"/>
                <w:spacing w:val="-1"/>
              </w:rPr>
              <w:t>21.6mm</w:t>
            </w:r>
            <w:r>
              <w:rPr>
                <w:spacing w:val="-1"/>
              </w:rPr>
              <w:t>；</w:t>
            </w:r>
          </w:p>
        </w:tc>
        <w:tc>
          <w:tcPr>
            <w:tcW w:w="854" w:type="dxa"/>
            <w:vAlign w:val="top"/>
          </w:tcPr>
          <w:p w14:paraId="7510D072">
            <w:pPr>
              <w:spacing w:before="55" w:line="195" w:lineRule="auto"/>
              <w:ind w:left="27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300</w:t>
            </w:r>
          </w:p>
        </w:tc>
        <w:tc>
          <w:tcPr>
            <w:tcW w:w="989" w:type="dxa"/>
            <w:vAlign w:val="top"/>
          </w:tcPr>
          <w:p w14:paraId="174CA1E7">
            <w:pPr>
              <w:spacing w:before="55" w:line="195" w:lineRule="auto"/>
              <w:ind w:left="31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5.78</w:t>
            </w:r>
          </w:p>
        </w:tc>
        <w:tc>
          <w:tcPr>
            <w:tcW w:w="720" w:type="dxa"/>
            <w:vAlign w:val="top"/>
          </w:tcPr>
          <w:p w14:paraId="7D06B450">
            <w:pPr>
              <w:spacing w:before="55"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1.13</w:t>
            </w:r>
          </w:p>
        </w:tc>
        <w:tc>
          <w:tcPr>
            <w:tcW w:w="1748" w:type="dxa"/>
            <w:vAlign w:val="top"/>
          </w:tcPr>
          <w:p w14:paraId="1E962AE7">
            <w:pPr>
              <w:pStyle w:val="6"/>
              <w:spacing w:before="36" w:line="228" w:lineRule="auto"/>
              <w:ind w:left="462"/>
            </w:pPr>
            <w:r>
              <w:rPr>
                <w:spacing w:val="6"/>
              </w:rPr>
              <w:t>单回架设</w:t>
            </w:r>
          </w:p>
        </w:tc>
      </w:tr>
    </w:tbl>
    <w:p w14:paraId="7FE2BA16">
      <w:pPr>
        <w:rPr>
          <w:rFonts w:ascii="Arial"/>
          <w:sz w:val="21"/>
        </w:rPr>
      </w:pPr>
    </w:p>
    <w:p w14:paraId="6BD49684">
      <w:pPr>
        <w:rPr>
          <w:rFonts w:ascii="Arial" w:hAnsi="Arial" w:eastAsia="Arial" w:cs="Arial"/>
          <w:sz w:val="21"/>
          <w:szCs w:val="21"/>
        </w:rPr>
        <w:sectPr>
          <w:footerReference r:id="rId167" w:type="default"/>
          <w:pgSz w:w="11906" w:h="16839"/>
          <w:pgMar w:top="400" w:right="1730" w:bottom="1147" w:left="1687" w:header="0" w:footer="960" w:gutter="0"/>
          <w:cols w:space="720" w:num="1"/>
        </w:sectPr>
      </w:pPr>
    </w:p>
    <w:p w14:paraId="66AD3B58">
      <w:pPr>
        <w:spacing w:line="260" w:lineRule="auto"/>
        <w:rPr>
          <w:rFonts w:ascii="Arial"/>
          <w:sz w:val="21"/>
        </w:rPr>
      </w:pPr>
    </w:p>
    <w:p w14:paraId="0A8F3724">
      <w:pPr>
        <w:spacing w:line="260" w:lineRule="auto"/>
        <w:rPr>
          <w:rFonts w:ascii="Arial"/>
          <w:sz w:val="21"/>
        </w:rPr>
      </w:pPr>
    </w:p>
    <w:p w14:paraId="71A1E22E">
      <w:pPr>
        <w:spacing w:line="261" w:lineRule="auto"/>
        <w:rPr>
          <w:rFonts w:ascii="Arial"/>
          <w:sz w:val="21"/>
        </w:rPr>
      </w:pPr>
    </w:p>
    <w:p w14:paraId="68296D8C">
      <w:pPr>
        <w:spacing w:line="261" w:lineRule="auto"/>
        <w:rPr>
          <w:rFonts w:ascii="Arial"/>
          <w:sz w:val="21"/>
        </w:rPr>
      </w:pPr>
    </w:p>
    <w:p w14:paraId="0C49AF18">
      <w:pPr>
        <w:spacing w:line="261" w:lineRule="auto"/>
        <w:rPr>
          <w:rFonts w:ascii="Arial"/>
          <w:sz w:val="21"/>
        </w:rPr>
      </w:pPr>
    </w:p>
    <w:p w14:paraId="560D3D57">
      <w:pPr>
        <w:pStyle w:val="2"/>
        <w:spacing w:before="78" w:line="211" w:lineRule="auto"/>
        <w:ind w:left="2561"/>
        <w:rPr>
          <w:sz w:val="24"/>
          <w:szCs w:val="24"/>
        </w:rPr>
      </w:pPr>
      <w:r>
        <w:rPr>
          <w:b/>
          <w:bCs/>
          <w:spacing w:val="-2"/>
          <w:sz w:val="24"/>
          <w:szCs w:val="24"/>
        </w:rPr>
        <w:t>表</w:t>
      </w:r>
      <w:r>
        <w:rPr>
          <w:spacing w:val="-45"/>
          <w:sz w:val="24"/>
          <w:szCs w:val="24"/>
        </w:rPr>
        <w:t xml:space="preserve"> </w:t>
      </w:r>
      <w:r>
        <w:rPr>
          <w:rFonts w:ascii="Times New Roman" w:hAnsi="Times New Roman" w:eastAsia="Times New Roman" w:cs="Times New Roman"/>
          <w:b/>
          <w:bCs/>
          <w:spacing w:val="-2"/>
          <w:sz w:val="24"/>
          <w:szCs w:val="24"/>
        </w:rPr>
        <w:t xml:space="preserve">3-3        </w:t>
      </w:r>
      <w:r>
        <w:rPr>
          <w:b/>
          <w:bCs/>
          <w:spacing w:val="-2"/>
          <w:sz w:val="24"/>
          <w:szCs w:val="24"/>
        </w:rPr>
        <w:t>线路杆塔主要设备选型</w:t>
      </w:r>
    </w:p>
    <w:tbl>
      <w:tblPr>
        <w:tblStyle w:val="5"/>
        <w:tblW w:w="86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8"/>
        <w:gridCol w:w="1184"/>
        <w:gridCol w:w="899"/>
        <w:gridCol w:w="1979"/>
        <w:gridCol w:w="690"/>
        <w:gridCol w:w="1109"/>
        <w:gridCol w:w="750"/>
        <w:gridCol w:w="1142"/>
      </w:tblGrid>
      <w:tr w14:paraId="3B6B9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858" w:type="dxa"/>
            <w:vMerge w:val="restart"/>
            <w:tcBorders>
              <w:bottom w:val="nil"/>
            </w:tcBorders>
            <w:vAlign w:val="top"/>
          </w:tcPr>
          <w:p w14:paraId="26D7CD31">
            <w:pPr>
              <w:spacing w:line="255" w:lineRule="auto"/>
              <w:rPr>
                <w:rFonts w:ascii="Arial"/>
                <w:sz w:val="21"/>
              </w:rPr>
            </w:pPr>
          </w:p>
          <w:p w14:paraId="692857C2">
            <w:pPr>
              <w:spacing w:line="255" w:lineRule="auto"/>
              <w:rPr>
                <w:rFonts w:ascii="Arial"/>
                <w:sz w:val="21"/>
              </w:rPr>
            </w:pPr>
          </w:p>
          <w:p w14:paraId="01022352">
            <w:pPr>
              <w:spacing w:line="256" w:lineRule="auto"/>
              <w:rPr>
                <w:rFonts w:ascii="Arial"/>
                <w:sz w:val="21"/>
              </w:rPr>
            </w:pPr>
          </w:p>
          <w:p w14:paraId="5A5E59AD">
            <w:pPr>
              <w:spacing w:line="256" w:lineRule="auto"/>
              <w:rPr>
                <w:rFonts w:ascii="Arial"/>
                <w:sz w:val="21"/>
              </w:rPr>
            </w:pPr>
          </w:p>
          <w:p w14:paraId="2E13152C">
            <w:pPr>
              <w:pStyle w:val="6"/>
              <w:spacing w:before="57" w:line="247" w:lineRule="auto"/>
              <w:ind w:left="122" w:right="111" w:firstLine="45"/>
              <w:jc w:val="both"/>
            </w:pPr>
            <w:r>
              <w:rPr>
                <w:rFonts w:ascii="Times New Roman" w:hAnsi="Times New Roman" w:eastAsia="Times New Roman" w:cs="Times New Roman"/>
                <w:spacing w:val="-2"/>
              </w:rPr>
              <w:t>110kV</w:t>
            </w:r>
            <w:r>
              <w:rPr>
                <w:spacing w:val="6"/>
              </w:rPr>
              <w:t>单回架</w:t>
            </w:r>
            <w:r>
              <w:rPr>
                <w:spacing w:val="5"/>
              </w:rPr>
              <w:t>空线路</w:t>
            </w:r>
          </w:p>
        </w:tc>
        <w:tc>
          <w:tcPr>
            <w:tcW w:w="1184" w:type="dxa"/>
            <w:vAlign w:val="top"/>
          </w:tcPr>
          <w:p w14:paraId="77837918">
            <w:pPr>
              <w:pStyle w:val="6"/>
              <w:spacing w:before="36" w:line="216" w:lineRule="auto"/>
              <w:ind w:left="384"/>
            </w:pPr>
            <w:r>
              <w:rPr>
                <w:b/>
                <w:bCs/>
                <w:spacing w:val="4"/>
              </w:rPr>
              <w:t>铁塔</w:t>
            </w:r>
          </w:p>
        </w:tc>
        <w:tc>
          <w:tcPr>
            <w:tcW w:w="899" w:type="dxa"/>
            <w:vAlign w:val="top"/>
          </w:tcPr>
          <w:p w14:paraId="393096EC">
            <w:pPr>
              <w:pStyle w:val="6"/>
              <w:spacing w:before="36" w:line="216" w:lineRule="auto"/>
              <w:ind w:left="149"/>
            </w:pPr>
            <w:r>
              <w:rPr>
                <w:b/>
                <w:bCs/>
                <w:spacing w:val="1"/>
              </w:rPr>
              <w:t>呼称高</w:t>
            </w:r>
          </w:p>
        </w:tc>
        <w:tc>
          <w:tcPr>
            <w:tcW w:w="1979" w:type="dxa"/>
            <w:vAlign w:val="top"/>
          </w:tcPr>
          <w:p w14:paraId="3250CBE0">
            <w:pPr>
              <w:pStyle w:val="6"/>
              <w:spacing w:before="36" w:line="216" w:lineRule="auto"/>
              <w:ind w:right="19"/>
              <w:jc w:val="right"/>
            </w:pPr>
            <w:r>
              <w:rPr>
                <w:b/>
                <w:bCs/>
                <w:spacing w:val="5"/>
              </w:rPr>
              <w:t>导线最大间距（</w:t>
            </w:r>
            <w:r>
              <w:rPr>
                <w:rFonts w:ascii="Times New Roman" w:hAnsi="Times New Roman" w:eastAsia="Times New Roman" w:cs="Times New Roman"/>
                <w:b/>
                <w:bCs/>
                <w:spacing w:val="5"/>
              </w:rPr>
              <w:t>m</w:t>
            </w:r>
            <w:r>
              <w:rPr>
                <w:b/>
                <w:bCs/>
                <w:spacing w:val="5"/>
              </w:rPr>
              <w:t>）</w:t>
            </w:r>
          </w:p>
        </w:tc>
        <w:tc>
          <w:tcPr>
            <w:tcW w:w="690" w:type="dxa"/>
            <w:vAlign w:val="top"/>
          </w:tcPr>
          <w:p w14:paraId="326FD408">
            <w:pPr>
              <w:pStyle w:val="6"/>
              <w:spacing w:before="36" w:line="216" w:lineRule="auto"/>
              <w:ind w:left="139"/>
            </w:pPr>
            <w:r>
              <w:rPr>
                <w:b/>
                <w:bCs/>
                <w:spacing w:val="3"/>
              </w:rPr>
              <w:t>塔型</w:t>
            </w:r>
          </w:p>
        </w:tc>
        <w:tc>
          <w:tcPr>
            <w:tcW w:w="1109" w:type="dxa"/>
            <w:vAlign w:val="top"/>
          </w:tcPr>
          <w:p w14:paraId="26B92E0E">
            <w:pPr>
              <w:pStyle w:val="6"/>
              <w:spacing w:before="36" w:line="216" w:lineRule="auto"/>
              <w:ind w:left="140"/>
            </w:pPr>
            <w:r>
              <w:rPr>
                <w:b/>
                <w:bCs/>
                <w:spacing w:val="6"/>
              </w:rPr>
              <w:t>排列方式</w:t>
            </w:r>
          </w:p>
        </w:tc>
        <w:tc>
          <w:tcPr>
            <w:tcW w:w="750" w:type="dxa"/>
            <w:vAlign w:val="top"/>
          </w:tcPr>
          <w:p w14:paraId="044447B2">
            <w:pPr>
              <w:pStyle w:val="6"/>
              <w:spacing w:before="36" w:line="216" w:lineRule="auto"/>
              <w:ind w:left="171"/>
            </w:pPr>
            <w:r>
              <w:rPr>
                <w:b/>
                <w:bCs/>
                <w:spacing w:val="3"/>
              </w:rPr>
              <w:t>基数</w:t>
            </w:r>
          </w:p>
        </w:tc>
        <w:tc>
          <w:tcPr>
            <w:tcW w:w="1142" w:type="dxa"/>
            <w:vAlign w:val="top"/>
          </w:tcPr>
          <w:p w14:paraId="62903118">
            <w:pPr>
              <w:pStyle w:val="6"/>
              <w:spacing w:before="36" w:line="216" w:lineRule="auto"/>
              <w:ind w:left="153"/>
            </w:pPr>
            <w:r>
              <w:rPr>
                <w:b/>
                <w:bCs/>
                <w:spacing w:val="6"/>
              </w:rPr>
              <w:t>铁塔基础</w:t>
            </w:r>
          </w:p>
        </w:tc>
      </w:tr>
      <w:tr w14:paraId="64013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58" w:type="dxa"/>
            <w:vMerge w:val="continue"/>
            <w:tcBorders>
              <w:top w:val="nil"/>
              <w:bottom w:val="nil"/>
            </w:tcBorders>
            <w:vAlign w:val="top"/>
          </w:tcPr>
          <w:p w14:paraId="11E7A25A">
            <w:pPr>
              <w:rPr>
                <w:rFonts w:ascii="Arial"/>
                <w:sz w:val="21"/>
              </w:rPr>
            </w:pPr>
          </w:p>
        </w:tc>
        <w:tc>
          <w:tcPr>
            <w:tcW w:w="1184" w:type="dxa"/>
            <w:vAlign w:val="top"/>
          </w:tcPr>
          <w:p w14:paraId="3FBC3871">
            <w:pPr>
              <w:spacing w:before="87"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1B1X4-Z1</w:t>
            </w:r>
          </w:p>
        </w:tc>
        <w:tc>
          <w:tcPr>
            <w:tcW w:w="899" w:type="dxa"/>
            <w:vAlign w:val="top"/>
          </w:tcPr>
          <w:p w14:paraId="38E61FDD">
            <w:pPr>
              <w:spacing w:before="87" w:line="195" w:lineRule="auto"/>
              <w:ind w:left="26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48m</w:t>
            </w:r>
          </w:p>
        </w:tc>
        <w:tc>
          <w:tcPr>
            <w:tcW w:w="1979" w:type="dxa"/>
            <w:vAlign w:val="top"/>
          </w:tcPr>
          <w:p w14:paraId="2B9CFE6F">
            <w:pPr>
              <w:spacing w:before="87" w:line="195" w:lineRule="auto"/>
              <w:ind w:left="86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6.8</w:t>
            </w:r>
          </w:p>
        </w:tc>
        <w:tc>
          <w:tcPr>
            <w:tcW w:w="690" w:type="dxa"/>
            <w:vMerge w:val="restart"/>
            <w:tcBorders>
              <w:bottom w:val="nil"/>
            </w:tcBorders>
            <w:vAlign w:val="top"/>
          </w:tcPr>
          <w:p w14:paraId="5DF74777">
            <w:pPr>
              <w:pStyle w:val="6"/>
              <w:spacing w:before="238" w:line="253" w:lineRule="auto"/>
              <w:ind w:left="246" w:right="133" w:hanging="103"/>
            </w:pPr>
            <w:r>
              <w:rPr>
                <w:spacing w:val="3"/>
              </w:rPr>
              <w:t>直线</w:t>
            </w:r>
            <w:r>
              <w:t>塔</w:t>
            </w:r>
          </w:p>
        </w:tc>
        <w:tc>
          <w:tcPr>
            <w:tcW w:w="1109" w:type="dxa"/>
            <w:vMerge w:val="restart"/>
            <w:tcBorders>
              <w:bottom w:val="nil"/>
            </w:tcBorders>
            <w:vAlign w:val="top"/>
          </w:tcPr>
          <w:p w14:paraId="0083327D">
            <w:pPr>
              <w:spacing w:line="305" w:lineRule="auto"/>
              <w:rPr>
                <w:rFonts w:ascii="Arial"/>
                <w:sz w:val="21"/>
              </w:rPr>
            </w:pPr>
          </w:p>
          <w:p w14:paraId="73C4071B">
            <w:pPr>
              <w:pStyle w:val="6"/>
              <w:spacing w:before="65" w:line="227" w:lineRule="auto"/>
              <w:ind w:left="140"/>
            </w:pPr>
            <w:r>
              <w:rPr>
                <w:spacing w:val="7"/>
              </w:rPr>
              <w:t>三角排列</w:t>
            </w:r>
          </w:p>
        </w:tc>
        <w:tc>
          <w:tcPr>
            <w:tcW w:w="750" w:type="dxa"/>
            <w:vMerge w:val="restart"/>
            <w:tcBorders>
              <w:bottom w:val="nil"/>
            </w:tcBorders>
            <w:vAlign w:val="top"/>
          </w:tcPr>
          <w:p w14:paraId="009B9C8D">
            <w:pPr>
              <w:spacing w:line="351" w:lineRule="auto"/>
              <w:rPr>
                <w:rFonts w:ascii="Arial"/>
                <w:sz w:val="21"/>
              </w:rPr>
            </w:pPr>
          </w:p>
          <w:p w14:paraId="0B5807EB">
            <w:pPr>
              <w:spacing w:before="58"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w:t>
            </w:r>
          </w:p>
        </w:tc>
        <w:tc>
          <w:tcPr>
            <w:tcW w:w="1142" w:type="dxa"/>
            <w:vMerge w:val="restart"/>
            <w:tcBorders>
              <w:bottom w:val="nil"/>
            </w:tcBorders>
            <w:vAlign w:val="top"/>
          </w:tcPr>
          <w:p w14:paraId="0F0D5C6D">
            <w:pPr>
              <w:spacing w:line="405" w:lineRule="auto"/>
              <w:rPr>
                <w:rFonts w:ascii="Arial"/>
                <w:sz w:val="21"/>
              </w:rPr>
            </w:pPr>
          </w:p>
          <w:p w14:paraId="3C4A83AA">
            <w:pPr>
              <w:pStyle w:val="6"/>
              <w:spacing w:before="65" w:line="230" w:lineRule="auto"/>
              <w:ind w:left="262"/>
            </w:pPr>
            <w:r>
              <w:rPr>
                <w:spacing w:val="6"/>
              </w:rPr>
              <w:t>掏挖基</w:t>
            </w:r>
          </w:p>
          <w:p w14:paraId="6015F572">
            <w:pPr>
              <w:pStyle w:val="6"/>
              <w:spacing w:before="21" w:line="231" w:lineRule="auto"/>
              <w:ind w:left="155"/>
            </w:pPr>
            <w:r>
              <w:rPr>
                <w:spacing w:val="7"/>
              </w:rPr>
              <w:t>础、人工</w:t>
            </w:r>
          </w:p>
          <w:p w14:paraId="79BF9B33">
            <w:pPr>
              <w:pStyle w:val="6"/>
              <w:spacing w:before="23" w:line="228" w:lineRule="auto"/>
              <w:ind w:left="155"/>
            </w:pPr>
            <w:r>
              <w:rPr>
                <w:spacing w:val="8"/>
              </w:rPr>
              <w:t>挖孔桩基</w:t>
            </w:r>
          </w:p>
          <w:p w14:paraId="093F6343">
            <w:pPr>
              <w:pStyle w:val="6"/>
              <w:spacing w:before="24" w:line="228" w:lineRule="auto"/>
              <w:ind w:left="155"/>
            </w:pPr>
            <w:r>
              <w:rPr>
                <w:spacing w:val="8"/>
              </w:rPr>
              <w:t>础、斜柱</w:t>
            </w:r>
          </w:p>
          <w:p w14:paraId="6D8828A3">
            <w:pPr>
              <w:pStyle w:val="6"/>
              <w:spacing w:before="27" w:line="233" w:lineRule="auto"/>
              <w:ind w:left="367"/>
            </w:pPr>
            <w:r>
              <w:rPr>
                <w:spacing w:val="4"/>
              </w:rPr>
              <w:t>基础</w:t>
            </w:r>
          </w:p>
        </w:tc>
      </w:tr>
      <w:tr w14:paraId="542284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58" w:type="dxa"/>
            <w:vMerge w:val="continue"/>
            <w:tcBorders>
              <w:top w:val="nil"/>
              <w:bottom w:val="nil"/>
            </w:tcBorders>
            <w:vAlign w:val="top"/>
          </w:tcPr>
          <w:p w14:paraId="69347687">
            <w:pPr>
              <w:rPr>
                <w:rFonts w:ascii="Arial"/>
                <w:sz w:val="21"/>
              </w:rPr>
            </w:pPr>
          </w:p>
        </w:tc>
        <w:tc>
          <w:tcPr>
            <w:tcW w:w="1184" w:type="dxa"/>
            <w:vAlign w:val="top"/>
          </w:tcPr>
          <w:p w14:paraId="668229D1">
            <w:pPr>
              <w:spacing w:before="90"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1B1X4-Z2</w:t>
            </w:r>
          </w:p>
        </w:tc>
        <w:tc>
          <w:tcPr>
            <w:tcW w:w="899" w:type="dxa"/>
            <w:vAlign w:val="top"/>
          </w:tcPr>
          <w:p w14:paraId="5F6FCC60">
            <w:pPr>
              <w:spacing w:before="90"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54m</w:t>
            </w:r>
          </w:p>
        </w:tc>
        <w:tc>
          <w:tcPr>
            <w:tcW w:w="1979" w:type="dxa"/>
            <w:vAlign w:val="top"/>
          </w:tcPr>
          <w:p w14:paraId="71AC25C1">
            <w:pPr>
              <w:spacing w:before="93" w:line="192" w:lineRule="auto"/>
              <w:ind w:left="942"/>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690" w:type="dxa"/>
            <w:vMerge w:val="continue"/>
            <w:tcBorders>
              <w:top w:val="nil"/>
              <w:bottom w:val="nil"/>
            </w:tcBorders>
            <w:vAlign w:val="top"/>
          </w:tcPr>
          <w:p w14:paraId="0F6A5C86">
            <w:pPr>
              <w:rPr>
                <w:rFonts w:ascii="Arial"/>
                <w:sz w:val="21"/>
              </w:rPr>
            </w:pPr>
          </w:p>
        </w:tc>
        <w:tc>
          <w:tcPr>
            <w:tcW w:w="1109" w:type="dxa"/>
            <w:vMerge w:val="continue"/>
            <w:tcBorders>
              <w:top w:val="nil"/>
              <w:bottom w:val="nil"/>
            </w:tcBorders>
            <w:vAlign w:val="top"/>
          </w:tcPr>
          <w:p w14:paraId="000B8DB4">
            <w:pPr>
              <w:rPr>
                <w:rFonts w:ascii="Arial"/>
                <w:sz w:val="21"/>
              </w:rPr>
            </w:pPr>
          </w:p>
        </w:tc>
        <w:tc>
          <w:tcPr>
            <w:tcW w:w="750" w:type="dxa"/>
            <w:vMerge w:val="continue"/>
            <w:tcBorders>
              <w:top w:val="nil"/>
              <w:bottom w:val="nil"/>
            </w:tcBorders>
            <w:vAlign w:val="top"/>
          </w:tcPr>
          <w:p w14:paraId="0C047204">
            <w:pPr>
              <w:rPr>
                <w:rFonts w:ascii="Arial"/>
                <w:sz w:val="21"/>
              </w:rPr>
            </w:pPr>
          </w:p>
        </w:tc>
        <w:tc>
          <w:tcPr>
            <w:tcW w:w="1142" w:type="dxa"/>
            <w:vMerge w:val="continue"/>
            <w:tcBorders>
              <w:top w:val="nil"/>
              <w:bottom w:val="nil"/>
            </w:tcBorders>
            <w:vAlign w:val="top"/>
          </w:tcPr>
          <w:p w14:paraId="02D0614D">
            <w:pPr>
              <w:rPr>
                <w:rFonts w:ascii="Arial"/>
                <w:sz w:val="21"/>
              </w:rPr>
            </w:pPr>
          </w:p>
        </w:tc>
      </w:tr>
      <w:tr w14:paraId="70013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58" w:type="dxa"/>
            <w:vMerge w:val="continue"/>
            <w:tcBorders>
              <w:top w:val="nil"/>
              <w:bottom w:val="nil"/>
            </w:tcBorders>
            <w:vAlign w:val="top"/>
          </w:tcPr>
          <w:p w14:paraId="6D09AB8C">
            <w:pPr>
              <w:rPr>
                <w:rFonts w:ascii="Arial"/>
                <w:sz w:val="21"/>
              </w:rPr>
            </w:pPr>
          </w:p>
        </w:tc>
        <w:tc>
          <w:tcPr>
            <w:tcW w:w="1184" w:type="dxa"/>
            <w:vAlign w:val="top"/>
          </w:tcPr>
          <w:p w14:paraId="77DC7FA6">
            <w:pPr>
              <w:spacing w:before="90"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1B1X4-Z3</w:t>
            </w:r>
          </w:p>
        </w:tc>
        <w:tc>
          <w:tcPr>
            <w:tcW w:w="899" w:type="dxa"/>
            <w:vAlign w:val="top"/>
          </w:tcPr>
          <w:p w14:paraId="5018AE71">
            <w:pPr>
              <w:spacing w:before="90"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54m</w:t>
            </w:r>
          </w:p>
        </w:tc>
        <w:tc>
          <w:tcPr>
            <w:tcW w:w="1979" w:type="dxa"/>
            <w:vAlign w:val="top"/>
          </w:tcPr>
          <w:p w14:paraId="5D40B0B7">
            <w:pPr>
              <w:spacing w:before="90" w:line="195" w:lineRule="auto"/>
              <w:ind w:left="86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7.4</w:t>
            </w:r>
          </w:p>
        </w:tc>
        <w:tc>
          <w:tcPr>
            <w:tcW w:w="690" w:type="dxa"/>
            <w:vMerge w:val="continue"/>
            <w:tcBorders>
              <w:top w:val="nil"/>
            </w:tcBorders>
            <w:vAlign w:val="top"/>
          </w:tcPr>
          <w:p w14:paraId="0EDD2CDC">
            <w:pPr>
              <w:rPr>
                <w:rFonts w:ascii="Arial"/>
                <w:sz w:val="21"/>
              </w:rPr>
            </w:pPr>
          </w:p>
        </w:tc>
        <w:tc>
          <w:tcPr>
            <w:tcW w:w="1109" w:type="dxa"/>
            <w:vMerge w:val="continue"/>
            <w:tcBorders>
              <w:top w:val="nil"/>
            </w:tcBorders>
            <w:vAlign w:val="top"/>
          </w:tcPr>
          <w:p w14:paraId="39B0F302">
            <w:pPr>
              <w:rPr>
                <w:rFonts w:ascii="Arial"/>
                <w:sz w:val="21"/>
              </w:rPr>
            </w:pPr>
          </w:p>
        </w:tc>
        <w:tc>
          <w:tcPr>
            <w:tcW w:w="750" w:type="dxa"/>
            <w:vMerge w:val="continue"/>
            <w:tcBorders>
              <w:top w:val="nil"/>
            </w:tcBorders>
            <w:vAlign w:val="top"/>
          </w:tcPr>
          <w:p w14:paraId="1115FE80">
            <w:pPr>
              <w:rPr>
                <w:rFonts w:ascii="Arial"/>
                <w:sz w:val="21"/>
              </w:rPr>
            </w:pPr>
          </w:p>
        </w:tc>
        <w:tc>
          <w:tcPr>
            <w:tcW w:w="1142" w:type="dxa"/>
            <w:vMerge w:val="continue"/>
            <w:tcBorders>
              <w:top w:val="nil"/>
              <w:bottom w:val="nil"/>
            </w:tcBorders>
            <w:vAlign w:val="top"/>
          </w:tcPr>
          <w:p w14:paraId="3A5F5A0D">
            <w:pPr>
              <w:rPr>
                <w:rFonts w:ascii="Arial"/>
                <w:sz w:val="21"/>
              </w:rPr>
            </w:pPr>
          </w:p>
        </w:tc>
      </w:tr>
      <w:tr w14:paraId="6AABBB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58" w:type="dxa"/>
            <w:vMerge w:val="continue"/>
            <w:tcBorders>
              <w:top w:val="nil"/>
              <w:bottom w:val="nil"/>
            </w:tcBorders>
            <w:vAlign w:val="top"/>
          </w:tcPr>
          <w:p w14:paraId="7D031F6F">
            <w:pPr>
              <w:rPr>
                <w:rFonts w:ascii="Arial"/>
                <w:sz w:val="21"/>
              </w:rPr>
            </w:pPr>
          </w:p>
        </w:tc>
        <w:tc>
          <w:tcPr>
            <w:tcW w:w="1184" w:type="dxa"/>
            <w:vAlign w:val="top"/>
          </w:tcPr>
          <w:p w14:paraId="33E6E940">
            <w:pPr>
              <w:spacing w:before="91" w:line="195" w:lineRule="auto"/>
              <w:ind w:left="18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1C1X4-J2</w:t>
            </w:r>
          </w:p>
        </w:tc>
        <w:tc>
          <w:tcPr>
            <w:tcW w:w="899" w:type="dxa"/>
            <w:vAlign w:val="top"/>
          </w:tcPr>
          <w:p w14:paraId="77C3F8F8">
            <w:pPr>
              <w:spacing w:before="91" w:line="195" w:lineRule="auto"/>
              <w:ind w:left="26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42m</w:t>
            </w:r>
          </w:p>
        </w:tc>
        <w:tc>
          <w:tcPr>
            <w:tcW w:w="1979" w:type="dxa"/>
            <w:vAlign w:val="top"/>
          </w:tcPr>
          <w:p w14:paraId="5D92424C">
            <w:pPr>
              <w:spacing w:before="91" w:line="195" w:lineRule="auto"/>
              <w:ind w:left="86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7.6</w:t>
            </w:r>
          </w:p>
        </w:tc>
        <w:tc>
          <w:tcPr>
            <w:tcW w:w="690" w:type="dxa"/>
            <w:vMerge w:val="restart"/>
            <w:tcBorders>
              <w:bottom w:val="nil"/>
            </w:tcBorders>
            <w:vAlign w:val="top"/>
          </w:tcPr>
          <w:p w14:paraId="1ED7E9EF">
            <w:pPr>
              <w:spacing w:line="315" w:lineRule="auto"/>
              <w:rPr>
                <w:rFonts w:ascii="Arial"/>
                <w:sz w:val="21"/>
              </w:rPr>
            </w:pPr>
          </w:p>
          <w:p w14:paraId="18A607EA">
            <w:pPr>
              <w:pStyle w:val="6"/>
              <w:spacing w:before="65" w:line="290" w:lineRule="auto"/>
              <w:ind w:left="247" w:right="133" w:hanging="103"/>
            </w:pPr>
            <w:r>
              <w:rPr>
                <w:spacing w:val="3"/>
              </w:rPr>
              <w:t>耐张</w:t>
            </w:r>
            <w:r>
              <w:t>塔</w:t>
            </w:r>
          </w:p>
        </w:tc>
        <w:tc>
          <w:tcPr>
            <w:tcW w:w="1109" w:type="dxa"/>
            <w:vMerge w:val="restart"/>
            <w:tcBorders>
              <w:bottom w:val="nil"/>
            </w:tcBorders>
            <w:vAlign w:val="top"/>
          </w:tcPr>
          <w:p w14:paraId="774BA1FC">
            <w:pPr>
              <w:spacing w:line="469" w:lineRule="auto"/>
              <w:rPr>
                <w:rFonts w:ascii="Arial"/>
                <w:sz w:val="21"/>
              </w:rPr>
            </w:pPr>
          </w:p>
          <w:p w14:paraId="3A73AFC5">
            <w:pPr>
              <w:pStyle w:val="6"/>
              <w:spacing w:before="65" w:line="227" w:lineRule="auto"/>
              <w:ind w:left="140"/>
            </w:pPr>
            <w:r>
              <w:rPr>
                <w:spacing w:val="7"/>
              </w:rPr>
              <w:t>三角排列</w:t>
            </w:r>
          </w:p>
        </w:tc>
        <w:tc>
          <w:tcPr>
            <w:tcW w:w="750" w:type="dxa"/>
            <w:vMerge w:val="restart"/>
            <w:tcBorders>
              <w:bottom w:val="nil"/>
            </w:tcBorders>
            <w:vAlign w:val="top"/>
          </w:tcPr>
          <w:p w14:paraId="1790F4D8">
            <w:pPr>
              <w:spacing w:line="256" w:lineRule="auto"/>
              <w:rPr>
                <w:rFonts w:ascii="Arial"/>
                <w:sz w:val="21"/>
              </w:rPr>
            </w:pPr>
          </w:p>
          <w:p w14:paraId="40AF61CB">
            <w:pPr>
              <w:spacing w:line="257" w:lineRule="auto"/>
              <w:rPr>
                <w:rFonts w:ascii="Arial"/>
                <w:sz w:val="21"/>
              </w:rPr>
            </w:pPr>
          </w:p>
          <w:p w14:paraId="4B079189">
            <w:pPr>
              <w:spacing w:before="57" w:line="195"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17</w:t>
            </w:r>
          </w:p>
        </w:tc>
        <w:tc>
          <w:tcPr>
            <w:tcW w:w="1142" w:type="dxa"/>
            <w:vMerge w:val="continue"/>
            <w:tcBorders>
              <w:top w:val="nil"/>
              <w:bottom w:val="nil"/>
            </w:tcBorders>
            <w:vAlign w:val="top"/>
          </w:tcPr>
          <w:p w14:paraId="44B3EF6D">
            <w:pPr>
              <w:rPr>
                <w:rFonts w:ascii="Arial"/>
                <w:sz w:val="21"/>
              </w:rPr>
            </w:pPr>
          </w:p>
        </w:tc>
      </w:tr>
      <w:tr w14:paraId="1C9AD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58" w:type="dxa"/>
            <w:vMerge w:val="continue"/>
            <w:tcBorders>
              <w:top w:val="nil"/>
              <w:bottom w:val="nil"/>
            </w:tcBorders>
            <w:vAlign w:val="top"/>
          </w:tcPr>
          <w:p w14:paraId="6F76FABD">
            <w:pPr>
              <w:rPr>
                <w:rFonts w:ascii="Arial"/>
                <w:sz w:val="21"/>
              </w:rPr>
            </w:pPr>
          </w:p>
        </w:tc>
        <w:tc>
          <w:tcPr>
            <w:tcW w:w="1184" w:type="dxa"/>
            <w:vAlign w:val="top"/>
          </w:tcPr>
          <w:p w14:paraId="7E05C719">
            <w:pPr>
              <w:spacing w:before="91" w:line="195" w:lineRule="auto"/>
              <w:ind w:left="18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1C1X4-J4</w:t>
            </w:r>
          </w:p>
        </w:tc>
        <w:tc>
          <w:tcPr>
            <w:tcW w:w="899" w:type="dxa"/>
            <w:vAlign w:val="top"/>
          </w:tcPr>
          <w:p w14:paraId="6576FA15">
            <w:pPr>
              <w:spacing w:before="92" w:line="195" w:lineRule="auto"/>
              <w:ind w:left="26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42m</w:t>
            </w:r>
          </w:p>
        </w:tc>
        <w:tc>
          <w:tcPr>
            <w:tcW w:w="1979" w:type="dxa"/>
            <w:vAlign w:val="top"/>
          </w:tcPr>
          <w:p w14:paraId="49EAC75C">
            <w:pPr>
              <w:spacing w:before="91" w:line="195" w:lineRule="auto"/>
              <w:ind w:left="86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7.9</w:t>
            </w:r>
          </w:p>
        </w:tc>
        <w:tc>
          <w:tcPr>
            <w:tcW w:w="690" w:type="dxa"/>
            <w:vMerge w:val="continue"/>
            <w:tcBorders>
              <w:top w:val="nil"/>
              <w:bottom w:val="nil"/>
            </w:tcBorders>
            <w:vAlign w:val="top"/>
          </w:tcPr>
          <w:p w14:paraId="47BED9A3">
            <w:pPr>
              <w:rPr>
                <w:rFonts w:ascii="Arial"/>
                <w:sz w:val="21"/>
              </w:rPr>
            </w:pPr>
          </w:p>
        </w:tc>
        <w:tc>
          <w:tcPr>
            <w:tcW w:w="1109" w:type="dxa"/>
            <w:vMerge w:val="continue"/>
            <w:tcBorders>
              <w:top w:val="nil"/>
              <w:bottom w:val="nil"/>
            </w:tcBorders>
            <w:vAlign w:val="top"/>
          </w:tcPr>
          <w:p w14:paraId="4056CCDE">
            <w:pPr>
              <w:rPr>
                <w:rFonts w:ascii="Arial"/>
                <w:sz w:val="21"/>
              </w:rPr>
            </w:pPr>
          </w:p>
        </w:tc>
        <w:tc>
          <w:tcPr>
            <w:tcW w:w="750" w:type="dxa"/>
            <w:vMerge w:val="continue"/>
            <w:tcBorders>
              <w:top w:val="nil"/>
              <w:bottom w:val="nil"/>
            </w:tcBorders>
            <w:vAlign w:val="top"/>
          </w:tcPr>
          <w:p w14:paraId="446BF4EC">
            <w:pPr>
              <w:rPr>
                <w:rFonts w:ascii="Arial"/>
                <w:sz w:val="21"/>
              </w:rPr>
            </w:pPr>
          </w:p>
        </w:tc>
        <w:tc>
          <w:tcPr>
            <w:tcW w:w="1142" w:type="dxa"/>
            <w:vMerge w:val="continue"/>
            <w:tcBorders>
              <w:top w:val="nil"/>
              <w:bottom w:val="nil"/>
            </w:tcBorders>
            <w:vAlign w:val="top"/>
          </w:tcPr>
          <w:p w14:paraId="7E49E145">
            <w:pPr>
              <w:rPr>
                <w:rFonts w:ascii="Arial"/>
                <w:sz w:val="21"/>
              </w:rPr>
            </w:pPr>
          </w:p>
        </w:tc>
      </w:tr>
      <w:tr w14:paraId="140634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58" w:type="dxa"/>
            <w:vMerge w:val="continue"/>
            <w:tcBorders>
              <w:top w:val="nil"/>
              <w:bottom w:val="nil"/>
            </w:tcBorders>
            <w:vAlign w:val="top"/>
          </w:tcPr>
          <w:p w14:paraId="22DEC622">
            <w:pPr>
              <w:rPr>
                <w:rFonts w:ascii="Arial"/>
                <w:sz w:val="21"/>
              </w:rPr>
            </w:pPr>
          </w:p>
        </w:tc>
        <w:tc>
          <w:tcPr>
            <w:tcW w:w="1184" w:type="dxa"/>
            <w:vAlign w:val="top"/>
          </w:tcPr>
          <w:p w14:paraId="337A7763">
            <w:pPr>
              <w:spacing w:before="91" w:line="195" w:lineRule="auto"/>
              <w:ind w:left="18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1B1X4-J2</w:t>
            </w:r>
          </w:p>
        </w:tc>
        <w:tc>
          <w:tcPr>
            <w:tcW w:w="899" w:type="dxa"/>
            <w:vAlign w:val="top"/>
          </w:tcPr>
          <w:p w14:paraId="28557825">
            <w:pPr>
              <w:spacing w:before="91" w:line="195" w:lineRule="auto"/>
              <w:ind w:left="26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39m</w:t>
            </w:r>
          </w:p>
        </w:tc>
        <w:tc>
          <w:tcPr>
            <w:tcW w:w="1979" w:type="dxa"/>
            <w:vAlign w:val="top"/>
          </w:tcPr>
          <w:p w14:paraId="2CE533B7">
            <w:pPr>
              <w:spacing w:before="91" w:line="195" w:lineRule="auto"/>
              <w:ind w:left="86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7.3</w:t>
            </w:r>
          </w:p>
        </w:tc>
        <w:tc>
          <w:tcPr>
            <w:tcW w:w="690" w:type="dxa"/>
            <w:vMerge w:val="continue"/>
            <w:tcBorders>
              <w:top w:val="nil"/>
              <w:bottom w:val="nil"/>
            </w:tcBorders>
            <w:vAlign w:val="top"/>
          </w:tcPr>
          <w:p w14:paraId="54EBDE9D">
            <w:pPr>
              <w:rPr>
                <w:rFonts w:ascii="Arial"/>
                <w:sz w:val="21"/>
              </w:rPr>
            </w:pPr>
          </w:p>
        </w:tc>
        <w:tc>
          <w:tcPr>
            <w:tcW w:w="1109" w:type="dxa"/>
            <w:vMerge w:val="continue"/>
            <w:tcBorders>
              <w:top w:val="nil"/>
              <w:bottom w:val="nil"/>
            </w:tcBorders>
            <w:vAlign w:val="top"/>
          </w:tcPr>
          <w:p w14:paraId="6B7243A6">
            <w:pPr>
              <w:rPr>
                <w:rFonts w:ascii="Arial"/>
                <w:sz w:val="21"/>
              </w:rPr>
            </w:pPr>
          </w:p>
        </w:tc>
        <w:tc>
          <w:tcPr>
            <w:tcW w:w="750" w:type="dxa"/>
            <w:vMerge w:val="continue"/>
            <w:tcBorders>
              <w:top w:val="nil"/>
              <w:bottom w:val="nil"/>
            </w:tcBorders>
            <w:vAlign w:val="top"/>
          </w:tcPr>
          <w:p w14:paraId="547EFBB0">
            <w:pPr>
              <w:rPr>
                <w:rFonts w:ascii="Arial"/>
                <w:sz w:val="21"/>
              </w:rPr>
            </w:pPr>
          </w:p>
        </w:tc>
        <w:tc>
          <w:tcPr>
            <w:tcW w:w="1142" w:type="dxa"/>
            <w:vMerge w:val="continue"/>
            <w:tcBorders>
              <w:top w:val="nil"/>
              <w:bottom w:val="nil"/>
            </w:tcBorders>
            <w:vAlign w:val="top"/>
          </w:tcPr>
          <w:p w14:paraId="57A44997">
            <w:pPr>
              <w:rPr>
                <w:rFonts w:ascii="Arial"/>
                <w:sz w:val="21"/>
              </w:rPr>
            </w:pPr>
          </w:p>
        </w:tc>
      </w:tr>
      <w:tr w14:paraId="6E9B9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58" w:type="dxa"/>
            <w:vMerge w:val="continue"/>
            <w:tcBorders>
              <w:top w:val="nil"/>
              <w:bottom w:val="nil"/>
            </w:tcBorders>
            <w:vAlign w:val="top"/>
          </w:tcPr>
          <w:p w14:paraId="29B7DE75">
            <w:pPr>
              <w:rPr>
                <w:rFonts w:ascii="Arial"/>
                <w:sz w:val="21"/>
              </w:rPr>
            </w:pPr>
          </w:p>
        </w:tc>
        <w:tc>
          <w:tcPr>
            <w:tcW w:w="1184" w:type="dxa"/>
            <w:vAlign w:val="top"/>
          </w:tcPr>
          <w:p w14:paraId="3BFF6BA0">
            <w:pPr>
              <w:spacing w:before="91" w:line="195" w:lineRule="auto"/>
              <w:ind w:left="18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1B1X4-J4</w:t>
            </w:r>
          </w:p>
        </w:tc>
        <w:tc>
          <w:tcPr>
            <w:tcW w:w="899" w:type="dxa"/>
            <w:vAlign w:val="top"/>
          </w:tcPr>
          <w:p w14:paraId="0643CF09">
            <w:pPr>
              <w:spacing w:before="91" w:line="195" w:lineRule="auto"/>
              <w:ind w:left="26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39m</w:t>
            </w:r>
          </w:p>
        </w:tc>
        <w:tc>
          <w:tcPr>
            <w:tcW w:w="1979" w:type="dxa"/>
            <w:vAlign w:val="top"/>
          </w:tcPr>
          <w:p w14:paraId="26C28FFA">
            <w:pPr>
              <w:spacing w:before="91" w:line="195" w:lineRule="auto"/>
              <w:ind w:left="868"/>
              <w:rPr>
                <w:rFonts w:ascii="Times New Roman" w:hAnsi="Times New Roman" w:eastAsia="Times New Roman" w:cs="Times New Roman"/>
                <w:sz w:val="20"/>
                <w:szCs w:val="20"/>
              </w:rPr>
            </w:pPr>
            <w:r>
              <w:rPr>
                <w:rFonts w:ascii="Times New Roman" w:hAnsi="Times New Roman" w:eastAsia="Times New Roman" w:cs="Times New Roman"/>
                <w:sz w:val="20"/>
                <w:szCs w:val="20"/>
              </w:rPr>
              <w:t>8.2</w:t>
            </w:r>
          </w:p>
        </w:tc>
        <w:tc>
          <w:tcPr>
            <w:tcW w:w="690" w:type="dxa"/>
            <w:vMerge w:val="continue"/>
            <w:tcBorders>
              <w:top w:val="nil"/>
            </w:tcBorders>
            <w:vAlign w:val="top"/>
          </w:tcPr>
          <w:p w14:paraId="06CA542C">
            <w:pPr>
              <w:rPr>
                <w:rFonts w:ascii="Arial"/>
                <w:sz w:val="21"/>
              </w:rPr>
            </w:pPr>
          </w:p>
        </w:tc>
        <w:tc>
          <w:tcPr>
            <w:tcW w:w="1109" w:type="dxa"/>
            <w:vMerge w:val="continue"/>
            <w:tcBorders>
              <w:top w:val="nil"/>
            </w:tcBorders>
            <w:vAlign w:val="top"/>
          </w:tcPr>
          <w:p w14:paraId="497AC987">
            <w:pPr>
              <w:rPr>
                <w:rFonts w:ascii="Arial"/>
                <w:sz w:val="21"/>
              </w:rPr>
            </w:pPr>
          </w:p>
        </w:tc>
        <w:tc>
          <w:tcPr>
            <w:tcW w:w="750" w:type="dxa"/>
            <w:vMerge w:val="continue"/>
            <w:tcBorders>
              <w:top w:val="nil"/>
            </w:tcBorders>
            <w:vAlign w:val="top"/>
          </w:tcPr>
          <w:p w14:paraId="427B81A4">
            <w:pPr>
              <w:rPr>
                <w:rFonts w:ascii="Arial"/>
                <w:sz w:val="21"/>
              </w:rPr>
            </w:pPr>
          </w:p>
        </w:tc>
        <w:tc>
          <w:tcPr>
            <w:tcW w:w="1142" w:type="dxa"/>
            <w:vMerge w:val="continue"/>
            <w:tcBorders>
              <w:top w:val="nil"/>
            </w:tcBorders>
            <w:vAlign w:val="top"/>
          </w:tcPr>
          <w:p w14:paraId="2A747220">
            <w:pPr>
              <w:rPr>
                <w:rFonts w:ascii="Arial"/>
                <w:sz w:val="21"/>
              </w:rPr>
            </w:pPr>
          </w:p>
        </w:tc>
      </w:tr>
      <w:tr w14:paraId="732A4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58" w:type="dxa"/>
            <w:vMerge w:val="continue"/>
            <w:tcBorders>
              <w:top w:val="nil"/>
            </w:tcBorders>
            <w:vAlign w:val="top"/>
          </w:tcPr>
          <w:p w14:paraId="6BD85533">
            <w:pPr>
              <w:rPr>
                <w:rFonts w:ascii="Arial"/>
                <w:sz w:val="21"/>
              </w:rPr>
            </w:pPr>
          </w:p>
        </w:tc>
        <w:tc>
          <w:tcPr>
            <w:tcW w:w="5861" w:type="dxa"/>
            <w:gridSpan w:val="5"/>
            <w:vAlign w:val="top"/>
          </w:tcPr>
          <w:p w14:paraId="6EF12756">
            <w:pPr>
              <w:pStyle w:val="6"/>
              <w:spacing w:before="54" w:line="229" w:lineRule="auto"/>
              <w:ind w:left="2731"/>
            </w:pPr>
            <w:r>
              <w:rPr>
                <w:spacing w:val="2"/>
              </w:rPr>
              <w:t>小计</w:t>
            </w:r>
          </w:p>
        </w:tc>
        <w:tc>
          <w:tcPr>
            <w:tcW w:w="750" w:type="dxa"/>
            <w:vAlign w:val="top"/>
          </w:tcPr>
          <w:p w14:paraId="46857999">
            <w:pPr>
              <w:spacing w:before="93" w:line="195" w:lineRule="auto"/>
              <w:ind w:left="277"/>
              <w:rPr>
                <w:rFonts w:ascii="Times New Roman" w:hAnsi="Times New Roman" w:eastAsia="Times New Roman" w:cs="Times New Roman"/>
                <w:sz w:val="20"/>
                <w:szCs w:val="20"/>
              </w:rPr>
            </w:pPr>
            <w:r>
              <w:rPr>
                <w:rFonts w:ascii="Times New Roman" w:hAnsi="Times New Roman" w:eastAsia="Times New Roman" w:cs="Times New Roman"/>
                <w:sz w:val="20"/>
                <w:szCs w:val="20"/>
              </w:rPr>
              <w:t>39</w:t>
            </w:r>
          </w:p>
        </w:tc>
        <w:tc>
          <w:tcPr>
            <w:tcW w:w="1142" w:type="dxa"/>
            <w:vAlign w:val="top"/>
          </w:tcPr>
          <w:p w14:paraId="4CCA60AA">
            <w:pPr>
              <w:spacing w:before="89" w:line="199" w:lineRule="auto"/>
              <w:ind w:left="53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69332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58" w:type="dxa"/>
            <w:vMerge w:val="restart"/>
            <w:tcBorders>
              <w:bottom w:val="nil"/>
            </w:tcBorders>
            <w:vAlign w:val="top"/>
          </w:tcPr>
          <w:p w14:paraId="22B8033F">
            <w:pPr>
              <w:spacing w:line="340" w:lineRule="auto"/>
              <w:rPr>
                <w:rFonts w:ascii="Arial"/>
                <w:sz w:val="21"/>
              </w:rPr>
            </w:pPr>
          </w:p>
          <w:p w14:paraId="370BE984">
            <w:pPr>
              <w:spacing w:line="340" w:lineRule="auto"/>
              <w:rPr>
                <w:rFonts w:ascii="Arial"/>
                <w:sz w:val="21"/>
              </w:rPr>
            </w:pPr>
          </w:p>
          <w:p w14:paraId="77C3594C">
            <w:pPr>
              <w:pStyle w:val="6"/>
              <w:spacing w:before="58" w:line="297" w:lineRule="auto"/>
              <w:ind w:left="120" w:right="111" w:firstLine="47"/>
              <w:jc w:val="both"/>
            </w:pPr>
            <w:r>
              <w:rPr>
                <w:rFonts w:ascii="Times New Roman" w:hAnsi="Times New Roman" w:eastAsia="Times New Roman" w:cs="Times New Roman"/>
                <w:spacing w:val="-2"/>
              </w:rPr>
              <w:t>110kV</w:t>
            </w:r>
            <w:r>
              <w:rPr>
                <w:spacing w:val="6"/>
              </w:rPr>
              <w:t>双回架空线路</w:t>
            </w:r>
          </w:p>
        </w:tc>
        <w:tc>
          <w:tcPr>
            <w:tcW w:w="1184" w:type="dxa"/>
            <w:vAlign w:val="top"/>
          </w:tcPr>
          <w:p w14:paraId="055F00D2">
            <w:pPr>
              <w:spacing w:before="92" w:line="195" w:lineRule="auto"/>
              <w:ind w:left="18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1C2X1-J1</w:t>
            </w:r>
          </w:p>
        </w:tc>
        <w:tc>
          <w:tcPr>
            <w:tcW w:w="899" w:type="dxa"/>
            <w:vAlign w:val="top"/>
          </w:tcPr>
          <w:p w14:paraId="6A0A8663">
            <w:pPr>
              <w:spacing w:before="92" w:line="195" w:lineRule="auto"/>
              <w:ind w:left="26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24m</w:t>
            </w:r>
          </w:p>
        </w:tc>
        <w:tc>
          <w:tcPr>
            <w:tcW w:w="1979" w:type="dxa"/>
            <w:vAlign w:val="top"/>
          </w:tcPr>
          <w:p w14:paraId="3A7317FC">
            <w:pPr>
              <w:spacing w:before="92" w:line="195" w:lineRule="auto"/>
              <w:ind w:left="947"/>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690" w:type="dxa"/>
            <w:vMerge w:val="restart"/>
            <w:tcBorders>
              <w:bottom w:val="nil"/>
            </w:tcBorders>
            <w:vAlign w:val="top"/>
          </w:tcPr>
          <w:p w14:paraId="64495067">
            <w:pPr>
              <w:pStyle w:val="6"/>
              <w:spacing w:before="223" w:line="290" w:lineRule="auto"/>
              <w:ind w:left="246" w:right="133" w:hanging="103"/>
            </w:pPr>
            <w:r>
              <w:rPr>
                <w:spacing w:val="3"/>
              </w:rPr>
              <w:t>直线</w:t>
            </w:r>
            <w:r>
              <w:t>塔</w:t>
            </w:r>
          </w:p>
        </w:tc>
        <w:tc>
          <w:tcPr>
            <w:tcW w:w="1109" w:type="dxa"/>
            <w:vMerge w:val="restart"/>
            <w:tcBorders>
              <w:bottom w:val="nil"/>
            </w:tcBorders>
            <w:vAlign w:val="top"/>
          </w:tcPr>
          <w:p w14:paraId="5ECEFA71">
            <w:pPr>
              <w:pStyle w:val="6"/>
              <w:spacing w:before="242" w:line="252" w:lineRule="auto"/>
              <w:ind w:left="244" w:right="133" w:hanging="103"/>
            </w:pPr>
            <w:r>
              <w:rPr>
                <w:spacing w:val="7"/>
              </w:rPr>
              <w:t>垂直逆向序排列</w:t>
            </w:r>
          </w:p>
        </w:tc>
        <w:tc>
          <w:tcPr>
            <w:tcW w:w="750" w:type="dxa"/>
            <w:vMerge w:val="restart"/>
            <w:tcBorders>
              <w:bottom w:val="nil"/>
            </w:tcBorders>
            <w:vAlign w:val="top"/>
          </w:tcPr>
          <w:p w14:paraId="4BB037D8">
            <w:pPr>
              <w:spacing w:line="354" w:lineRule="auto"/>
              <w:rPr>
                <w:rFonts w:ascii="Arial"/>
                <w:sz w:val="21"/>
              </w:rPr>
            </w:pPr>
          </w:p>
          <w:p w14:paraId="1A095140">
            <w:pPr>
              <w:spacing w:before="58" w:line="195" w:lineRule="auto"/>
              <w:ind w:left="331"/>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142" w:type="dxa"/>
            <w:vMerge w:val="restart"/>
            <w:tcBorders>
              <w:bottom w:val="nil"/>
            </w:tcBorders>
            <w:vAlign w:val="top"/>
          </w:tcPr>
          <w:p w14:paraId="1E142912">
            <w:pPr>
              <w:pStyle w:val="6"/>
              <w:spacing w:before="236" w:line="288" w:lineRule="auto"/>
              <w:ind w:left="155" w:right="151" w:firstLine="107"/>
            </w:pPr>
            <w:r>
              <w:rPr>
                <w:spacing w:val="6"/>
              </w:rPr>
              <w:t>掏挖基</w:t>
            </w:r>
            <w:r>
              <w:rPr>
                <w:spacing w:val="7"/>
              </w:rPr>
              <w:t>础、人工</w:t>
            </w:r>
          </w:p>
          <w:p w14:paraId="2A280424">
            <w:pPr>
              <w:pStyle w:val="6"/>
              <w:spacing w:line="227" w:lineRule="auto"/>
              <w:ind w:left="155"/>
            </w:pPr>
            <w:r>
              <w:rPr>
                <w:spacing w:val="8"/>
              </w:rPr>
              <w:t>挖孔桩基</w:t>
            </w:r>
          </w:p>
          <w:p w14:paraId="7EA9110B">
            <w:pPr>
              <w:pStyle w:val="6"/>
              <w:spacing w:before="65" w:line="292" w:lineRule="auto"/>
              <w:ind w:left="367" w:right="148" w:hanging="212"/>
            </w:pPr>
            <w:r>
              <w:rPr>
                <w:spacing w:val="8"/>
              </w:rPr>
              <w:t>础、斜柱</w:t>
            </w:r>
            <w:r>
              <w:rPr>
                <w:spacing w:val="4"/>
              </w:rPr>
              <w:t>基础</w:t>
            </w:r>
          </w:p>
        </w:tc>
      </w:tr>
      <w:tr w14:paraId="0D55B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58" w:type="dxa"/>
            <w:vMerge w:val="continue"/>
            <w:tcBorders>
              <w:top w:val="nil"/>
              <w:bottom w:val="nil"/>
            </w:tcBorders>
            <w:vAlign w:val="top"/>
          </w:tcPr>
          <w:p w14:paraId="66641B54">
            <w:pPr>
              <w:rPr>
                <w:rFonts w:ascii="Arial"/>
                <w:sz w:val="21"/>
              </w:rPr>
            </w:pPr>
          </w:p>
        </w:tc>
        <w:tc>
          <w:tcPr>
            <w:tcW w:w="1184" w:type="dxa"/>
            <w:vAlign w:val="top"/>
          </w:tcPr>
          <w:p w14:paraId="4D94CFAC">
            <w:pPr>
              <w:spacing w:before="92" w:line="195" w:lineRule="auto"/>
              <w:ind w:left="18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1C2X1-J2</w:t>
            </w:r>
          </w:p>
        </w:tc>
        <w:tc>
          <w:tcPr>
            <w:tcW w:w="899" w:type="dxa"/>
            <w:vAlign w:val="top"/>
          </w:tcPr>
          <w:p w14:paraId="6F446C60">
            <w:pPr>
              <w:spacing w:before="92" w:line="195" w:lineRule="auto"/>
              <w:ind w:left="26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24m</w:t>
            </w:r>
          </w:p>
        </w:tc>
        <w:tc>
          <w:tcPr>
            <w:tcW w:w="1979" w:type="dxa"/>
            <w:vAlign w:val="top"/>
          </w:tcPr>
          <w:p w14:paraId="4807B2DD">
            <w:pPr>
              <w:spacing w:before="92" w:line="195" w:lineRule="auto"/>
              <w:ind w:left="868"/>
              <w:rPr>
                <w:rFonts w:ascii="Times New Roman" w:hAnsi="Times New Roman" w:eastAsia="Times New Roman" w:cs="Times New Roman"/>
                <w:sz w:val="20"/>
                <w:szCs w:val="20"/>
              </w:rPr>
            </w:pPr>
            <w:r>
              <w:rPr>
                <w:rFonts w:ascii="Times New Roman" w:hAnsi="Times New Roman" w:eastAsia="Times New Roman" w:cs="Times New Roman"/>
                <w:sz w:val="20"/>
                <w:szCs w:val="20"/>
              </w:rPr>
              <w:t>8.3</w:t>
            </w:r>
          </w:p>
        </w:tc>
        <w:tc>
          <w:tcPr>
            <w:tcW w:w="690" w:type="dxa"/>
            <w:vMerge w:val="continue"/>
            <w:tcBorders>
              <w:top w:val="nil"/>
              <w:bottom w:val="nil"/>
            </w:tcBorders>
            <w:vAlign w:val="top"/>
          </w:tcPr>
          <w:p w14:paraId="3F16545F">
            <w:pPr>
              <w:rPr>
                <w:rFonts w:ascii="Arial"/>
                <w:sz w:val="21"/>
              </w:rPr>
            </w:pPr>
          </w:p>
        </w:tc>
        <w:tc>
          <w:tcPr>
            <w:tcW w:w="1109" w:type="dxa"/>
            <w:vMerge w:val="continue"/>
            <w:tcBorders>
              <w:top w:val="nil"/>
              <w:bottom w:val="nil"/>
            </w:tcBorders>
            <w:vAlign w:val="top"/>
          </w:tcPr>
          <w:p w14:paraId="3E3C5597">
            <w:pPr>
              <w:rPr>
                <w:rFonts w:ascii="Arial"/>
                <w:sz w:val="21"/>
              </w:rPr>
            </w:pPr>
          </w:p>
        </w:tc>
        <w:tc>
          <w:tcPr>
            <w:tcW w:w="750" w:type="dxa"/>
            <w:vMerge w:val="continue"/>
            <w:tcBorders>
              <w:top w:val="nil"/>
              <w:bottom w:val="nil"/>
            </w:tcBorders>
            <w:vAlign w:val="top"/>
          </w:tcPr>
          <w:p w14:paraId="7A598F21">
            <w:pPr>
              <w:rPr>
                <w:rFonts w:ascii="Arial"/>
                <w:sz w:val="21"/>
              </w:rPr>
            </w:pPr>
          </w:p>
        </w:tc>
        <w:tc>
          <w:tcPr>
            <w:tcW w:w="1142" w:type="dxa"/>
            <w:vMerge w:val="continue"/>
            <w:tcBorders>
              <w:top w:val="nil"/>
              <w:bottom w:val="nil"/>
            </w:tcBorders>
            <w:vAlign w:val="top"/>
          </w:tcPr>
          <w:p w14:paraId="7BAB1B4A">
            <w:pPr>
              <w:rPr>
                <w:rFonts w:ascii="Arial"/>
                <w:sz w:val="21"/>
              </w:rPr>
            </w:pPr>
          </w:p>
        </w:tc>
      </w:tr>
      <w:tr w14:paraId="57491B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58" w:type="dxa"/>
            <w:vMerge w:val="continue"/>
            <w:tcBorders>
              <w:top w:val="nil"/>
              <w:bottom w:val="nil"/>
            </w:tcBorders>
            <w:vAlign w:val="top"/>
          </w:tcPr>
          <w:p w14:paraId="7EB776CB">
            <w:pPr>
              <w:rPr>
                <w:rFonts w:ascii="Arial"/>
                <w:sz w:val="21"/>
              </w:rPr>
            </w:pPr>
          </w:p>
        </w:tc>
        <w:tc>
          <w:tcPr>
            <w:tcW w:w="1184" w:type="dxa"/>
            <w:vAlign w:val="top"/>
          </w:tcPr>
          <w:p w14:paraId="6E45E1D3">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1C2X1-</w:t>
            </w:r>
            <w:r>
              <w:rPr>
                <w:rFonts w:ascii="Times New Roman" w:hAnsi="Times New Roman" w:eastAsia="Times New Roman" w:cs="Times New Roman"/>
                <w:sz w:val="20"/>
                <w:szCs w:val="20"/>
              </w:rPr>
              <w:t>JD</w:t>
            </w:r>
          </w:p>
        </w:tc>
        <w:tc>
          <w:tcPr>
            <w:tcW w:w="899" w:type="dxa"/>
            <w:vAlign w:val="top"/>
          </w:tcPr>
          <w:p w14:paraId="5C14A198">
            <w:pPr>
              <w:spacing w:before="91" w:line="195" w:lineRule="auto"/>
              <w:ind w:left="26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28m</w:t>
            </w:r>
          </w:p>
        </w:tc>
        <w:tc>
          <w:tcPr>
            <w:tcW w:w="1979" w:type="dxa"/>
            <w:vAlign w:val="top"/>
          </w:tcPr>
          <w:p w14:paraId="468A3C79">
            <w:pPr>
              <w:spacing w:before="91" w:line="195" w:lineRule="auto"/>
              <w:ind w:left="81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8.35</w:t>
            </w:r>
          </w:p>
        </w:tc>
        <w:tc>
          <w:tcPr>
            <w:tcW w:w="690" w:type="dxa"/>
            <w:vMerge w:val="continue"/>
            <w:tcBorders>
              <w:top w:val="nil"/>
            </w:tcBorders>
            <w:vAlign w:val="top"/>
          </w:tcPr>
          <w:p w14:paraId="5347E2ED">
            <w:pPr>
              <w:rPr>
                <w:rFonts w:ascii="Arial"/>
                <w:sz w:val="21"/>
              </w:rPr>
            </w:pPr>
          </w:p>
        </w:tc>
        <w:tc>
          <w:tcPr>
            <w:tcW w:w="1109" w:type="dxa"/>
            <w:vMerge w:val="continue"/>
            <w:tcBorders>
              <w:top w:val="nil"/>
            </w:tcBorders>
            <w:vAlign w:val="top"/>
          </w:tcPr>
          <w:p w14:paraId="61B7AF14">
            <w:pPr>
              <w:rPr>
                <w:rFonts w:ascii="Arial"/>
                <w:sz w:val="21"/>
              </w:rPr>
            </w:pPr>
          </w:p>
        </w:tc>
        <w:tc>
          <w:tcPr>
            <w:tcW w:w="750" w:type="dxa"/>
            <w:vMerge w:val="continue"/>
            <w:tcBorders>
              <w:top w:val="nil"/>
            </w:tcBorders>
            <w:vAlign w:val="top"/>
          </w:tcPr>
          <w:p w14:paraId="0D284F53">
            <w:pPr>
              <w:rPr>
                <w:rFonts w:ascii="Arial"/>
                <w:sz w:val="21"/>
              </w:rPr>
            </w:pPr>
          </w:p>
        </w:tc>
        <w:tc>
          <w:tcPr>
            <w:tcW w:w="1142" w:type="dxa"/>
            <w:vMerge w:val="continue"/>
            <w:tcBorders>
              <w:top w:val="nil"/>
              <w:bottom w:val="nil"/>
            </w:tcBorders>
            <w:vAlign w:val="top"/>
          </w:tcPr>
          <w:p w14:paraId="12CF1119">
            <w:pPr>
              <w:rPr>
                <w:rFonts w:ascii="Arial"/>
                <w:sz w:val="21"/>
              </w:rPr>
            </w:pPr>
          </w:p>
        </w:tc>
      </w:tr>
      <w:tr w14:paraId="09C1F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58" w:type="dxa"/>
            <w:vMerge w:val="continue"/>
            <w:tcBorders>
              <w:top w:val="nil"/>
              <w:bottom w:val="nil"/>
            </w:tcBorders>
            <w:vAlign w:val="top"/>
          </w:tcPr>
          <w:p w14:paraId="6DB9AE6E">
            <w:pPr>
              <w:rPr>
                <w:rFonts w:ascii="Arial"/>
                <w:sz w:val="21"/>
              </w:rPr>
            </w:pPr>
          </w:p>
        </w:tc>
        <w:tc>
          <w:tcPr>
            <w:tcW w:w="1184" w:type="dxa"/>
            <w:vAlign w:val="top"/>
          </w:tcPr>
          <w:p w14:paraId="43467AA8">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1C2X1-Z3</w:t>
            </w:r>
          </w:p>
        </w:tc>
        <w:tc>
          <w:tcPr>
            <w:tcW w:w="899" w:type="dxa"/>
            <w:vAlign w:val="top"/>
          </w:tcPr>
          <w:p w14:paraId="0E24A4FB">
            <w:pPr>
              <w:spacing w:before="91" w:line="195" w:lineRule="auto"/>
              <w:ind w:left="26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39m</w:t>
            </w:r>
          </w:p>
        </w:tc>
        <w:tc>
          <w:tcPr>
            <w:tcW w:w="1979" w:type="dxa"/>
            <w:vAlign w:val="top"/>
          </w:tcPr>
          <w:p w14:paraId="76FF5A8C">
            <w:pPr>
              <w:spacing w:before="91" w:line="195" w:lineRule="auto"/>
              <w:ind w:left="86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7.6</w:t>
            </w:r>
          </w:p>
        </w:tc>
        <w:tc>
          <w:tcPr>
            <w:tcW w:w="690" w:type="dxa"/>
            <w:vMerge w:val="restart"/>
            <w:tcBorders>
              <w:bottom w:val="nil"/>
            </w:tcBorders>
            <w:vAlign w:val="top"/>
          </w:tcPr>
          <w:p w14:paraId="22AE15AB">
            <w:pPr>
              <w:pStyle w:val="6"/>
              <w:spacing w:before="222" w:line="290" w:lineRule="auto"/>
              <w:ind w:left="247" w:right="133" w:hanging="103"/>
            </w:pPr>
            <w:r>
              <w:rPr>
                <w:spacing w:val="3"/>
              </w:rPr>
              <w:t>耐张</w:t>
            </w:r>
            <w:r>
              <w:t>塔</w:t>
            </w:r>
          </w:p>
        </w:tc>
        <w:tc>
          <w:tcPr>
            <w:tcW w:w="1109" w:type="dxa"/>
            <w:vMerge w:val="restart"/>
            <w:tcBorders>
              <w:bottom w:val="nil"/>
            </w:tcBorders>
            <w:vAlign w:val="top"/>
          </w:tcPr>
          <w:p w14:paraId="3FFD18D6">
            <w:pPr>
              <w:pStyle w:val="6"/>
              <w:spacing w:before="239" w:line="255" w:lineRule="auto"/>
              <w:ind w:left="244" w:right="133" w:hanging="103"/>
            </w:pPr>
            <w:r>
              <w:rPr>
                <w:spacing w:val="7"/>
              </w:rPr>
              <w:t>垂直逆向序排列</w:t>
            </w:r>
          </w:p>
        </w:tc>
        <w:tc>
          <w:tcPr>
            <w:tcW w:w="750" w:type="dxa"/>
            <w:vMerge w:val="restart"/>
            <w:tcBorders>
              <w:bottom w:val="nil"/>
            </w:tcBorders>
            <w:vAlign w:val="top"/>
          </w:tcPr>
          <w:p w14:paraId="0A71A748">
            <w:pPr>
              <w:spacing w:line="353" w:lineRule="auto"/>
              <w:rPr>
                <w:rFonts w:ascii="Arial"/>
                <w:sz w:val="21"/>
              </w:rPr>
            </w:pPr>
          </w:p>
          <w:p w14:paraId="0A54DAA1">
            <w:pPr>
              <w:spacing w:before="58" w:line="195"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142" w:type="dxa"/>
            <w:vMerge w:val="continue"/>
            <w:tcBorders>
              <w:top w:val="nil"/>
              <w:bottom w:val="nil"/>
            </w:tcBorders>
            <w:vAlign w:val="top"/>
          </w:tcPr>
          <w:p w14:paraId="06C23786">
            <w:pPr>
              <w:rPr>
                <w:rFonts w:ascii="Arial"/>
                <w:sz w:val="21"/>
              </w:rPr>
            </w:pPr>
          </w:p>
        </w:tc>
      </w:tr>
      <w:tr w14:paraId="01453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58" w:type="dxa"/>
            <w:vMerge w:val="continue"/>
            <w:tcBorders>
              <w:top w:val="nil"/>
              <w:bottom w:val="nil"/>
            </w:tcBorders>
            <w:vAlign w:val="top"/>
          </w:tcPr>
          <w:p w14:paraId="7A5FC151">
            <w:pPr>
              <w:rPr>
                <w:rFonts w:ascii="Arial"/>
                <w:sz w:val="21"/>
              </w:rPr>
            </w:pPr>
          </w:p>
        </w:tc>
        <w:tc>
          <w:tcPr>
            <w:tcW w:w="1184" w:type="dxa"/>
            <w:vAlign w:val="top"/>
          </w:tcPr>
          <w:p w14:paraId="4F464D9E">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1C2X1-Z2</w:t>
            </w:r>
          </w:p>
        </w:tc>
        <w:tc>
          <w:tcPr>
            <w:tcW w:w="899" w:type="dxa"/>
            <w:vAlign w:val="top"/>
          </w:tcPr>
          <w:p w14:paraId="41ED112B">
            <w:pPr>
              <w:spacing w:before="91" w:line="195" w:lineRule="auto"/>
              <w:ind w:left="26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33m</w:t>
            </w:r>
          </w:p>
        </w:tc>
        <w:tc>
          <w:tcPr>
            <w:tcW w:w="1979" w:type="dxa"/>
            <w:vAlign w:val="top"/>
          </w:tcPr>
          <w:p w14:paraId="705D8A5E">
            <w:pPr>
              <w:spacing w:before="91" w:line="195" w:lineRule="auto"/>
              <w:ind w:left="86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7.4</w:t>
            </w:r>
          </w:p>
        </w:tc>
        <w:tc>
          <w:tcPr>
            <w:tcW w:w="690" w:type="dxa"/>
            <w:vMerge w:val="continue"/>
            <w:tcBorders>
              <w:top w:val="nil"/>
              <w:bottom w:val="nil"/>
            </w:tcBorders>
            <w:vAlign w:val="top"/>
          </w:tcPr>
          <w:p w14:paraId="1E46FA7E">
            <w:pPr>
              <w:rPr>
                <w:rFonts w:ascii="Arial"/>
                <w:sz w:val="21"/>
              </w:rPr>
            </w:pPr>
          </w:p>
        </w:tc>
        <w:tc>
          <w:tcPr>
            <w:tcW w:w="1109" w:type="dxa"/>
            <w:vMerge w:val="continue"/>
            <w:tcBorders>
              <w:top w:val="nil"/>
              <w:bottom w:val="nil"/>
            </w:tcBorders>
            <w:vAlign w:val="top"/>
          </w:tcPr>
          <w:p w14:paraId="16BCC5AA">
            <w:pPr>
              <w:rPr>
                <w:rFonts w:ascii="Arial"/>
                <w:sz w:val="21"/>
              </w:rPr>
            </w:pPr>
          </w:p>
        </w:tc>
        <w:tc>
          <w:tcPr>
            <w:tcW w:w="750" w:type="dxa"/>
            <w:vMerge w:val="continue"/>
            <w:tcBorders>
              <w:top w:val="nil"/>
              <w:bottom w:val="nil"/>
            </w:tcBorders>
            <w:vAlign w:val="top"/>
          </w:tcPr>
          <w:p w14:paraId="4122F19D">
            <w:pPr>
              <w:rPr>
                <w:rFonts w:ascii="Arial"/>
                <w:sz w:val="21"/>
              </w:rPr>
            </w:pPr>
          </w:p>
        </w:tc>
        <w:tc>
          <w:tcPr>
            <w:tcW w:w="1142" w:type="dxa"/>
            <w:vMerge w:val="continue"/>
            <w:tcBorders>
              <w:top w:val="nil"/>
              <w:bottom w:val="nil"/>
            </w:tcBorders>
            <w:vAlign w:val="top"/>
          </w:tcPr>
          <w:p w14:paraId="15FD4947">
            <w:pPr>
              <w:rPr>
                <w:rFonts w:ascii="Arial"/>
                <w:sz w:val="21"/>
              </w:rPr>
            </w:pPr>
          </w:p>
        </w:tc>
      </w:tr>
      <w:tr w14:paraId="04EC2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58" w:type="dxa"/>
            <w:vMerge w:val="continue"/>
            <w:tcBorders>
              <w:top w:val="nil"/>
              <w:bottom w:val="nil"/>
            </w:tcBorders>
            <w:vAlign w:val="top"/>
          </w:tcPr>
          <w:p w14:paraId="44073397">
            <w:pPr>
              <w:rPr>
                <w:rFonts w:ascii="Arial"/>
                <w:sz w:val="21"/>
              </w:rPr>
            </w:pPr>
          </w:p>
        </w:tc>
        <w:tc>
          <w:tcPr>
            <w:tcW w:w="1184" w:type="dxa"/>
            <w:vAlign w:val="top"/>
          </w:tcPr>
          <w:p w14:paraId="04363FFC">
            <w:pPr>
              <w:spacing w:before="93"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1C2X1-Z1</w:t>
            </w:r>
          </w:p>
        </w:tc>
        <w:tc>
          <w:tcPr>
            <w:tcW w:w="899" w:type="dxa"/>
            <w:vAlign w:val="top"/>
          </w:tcPr>
          <w:p w14:paraId="5FB68FD0">
            <w:pPr>
              <w:spacing w:before="93" w:line="195" w:lineRule="auto"/>
              <w:ind w:left="26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27m</w:t>
            </w:r>
          </w:p>
        </w:tc>
        <w:tc>
          <w:tcPr>
            <w:tcW w:w="1979" w:type="dxa"/>
            <w:vAlign w:val="top"/>
          </w:tcPr>
          <w:p w14:paraId="7FCAC36F">
            <w:pPr>
              <w:spacing w:before="93" w:line="195" w:lineRule="auto"/>
              <w:ind w:left="863"/>
              <w:rPr>
                <w:rFonts w:ascii="Times New Roman" w:hAnsi="Times New Roman" w:eastAsia="Times New Roman" w:cs="Times New Roman"/>
                <w:sz w:val="20"/>
                <w:szCs w:val="20"/>
              </w:rPr>
            </w:pPr>
            <w:r>
              <w:rPr>
                <w:rFonts w:ascii="Times New Roman" w:hAnsi="Times New Roman" w:eastAsia="Times New Roman" w:cs="Times New Roman"/>
                <w:sz w:val="20"/>
                <w:szCs w:val="20"/>
              </w:rPr>
              <w:t>7.</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690" w:type="dxa"/>
            <w:vMerge w:val="continue"/>
            <w:tcBorders>
              <w:top w:val="nil"/>
            </w:tcBorders>
            <w:vAlign w:val="top"/>
          </w:tcPr>
          <w:p w14:paraId="728BB495">
            <w:pPr>
              <w:rPr>
                <w:rFonts w:ascii="Arial"/>
                <w:sz w:val="21"/>
              </w:rPr>
            </w:pPr>
          </w:p>
        </w:tc>
        <w:tc>
          <w:tcPr>
            <w:tcW w:w="1109" w:type="dxa"/>
            <w:vMerge w:val="continue"/>
            <w:tcBorders>
              <w:top w:val="nil"/>
            </w:tcBorders>
            <w:vAlign w:val="top"/>
          </w:tcPr>
          <w:p w14:paraId="474EA3F2">
            <w:pPr>
              <w:rPr>
                <w:rFonts w:ascii="Arial"/>
                <w:sz w:val="21"/>
              </w:rPr>
            </w:pPr>
          </w:p>
        </w:tc>
        <w:tc>
          <w:tcPr>
            <w:tcW w:w="750" w:type="dxa"/>
            <w:vMerge w:val="continue"/>
            <w:tcBorders>
              <w:top w:val="nil"/>
            </w:tcBorders>
            <w:vAlign w:val="top"/>
          </w:tcPr>
          <w:p w14:paraId="6ED2769D">
            <w:pPr>
              <w:rPr>
                <w:rFonts w:ascii="Arial"/>
                <w:sz w:val="21"/>
              </w:rPr>
            </w:pPr>
          </w:p>
        </w:tc>
        <w:tc>
          <w:tcPr>
            <w:tcW w:w="1142" w:type="dxa"/>
            <w:vMerge w:val="continue"/>
            <w:tcBorders>
              <w:top w:val="nil"/>
            </w:tcBorders>
            <w:vAlign w:val="top"/>
          </w:tcPr>
          <w:p w14:paraId="71E7266F">
            <w:pPr>
              <w:rPr>
                <w:rFonts w:ascii="Arial"/>
                <w:sz w:val="21"/>
              </w:rPr>
            </w:pPr>
          </w:p>
        </w:tc>
      </w:tr>
      <w:tr w14:paraId="5E0DF1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58" w:type="dxa"/>
            <w:vMerge w:val="continue"/>
            <w:tcBorders>
              <w:top w:val="nil"/>
            </w:tcBorders>
            <w:vAlign w:val="top"/>
          </w:tcPr>
          <w:p w14:paraId="1197FFDF">
            <w:pPr>
              <w:rPr>
                <w:rFonts w:ascii="Arial"/>
                <w:sz w:val="21"/>
              </w:rPr>
            </w:pPr>
          </w:p>
        </w:tc>
        <w:tc>
          <w:tcPr>
            <w:tcW w:w="5861" w:type="dxa"/>
            <w:gridSpan w:val="5"/>
            <w:vAlign w:val="top"/>
          </w:tcPr>
          <w:p w14:paraId="333D3730">
            <w:pPr>
              <w:pStyle w:val="6"/>
              <w:spacing w:before="56" w:line="229" w:lineRule="auto"/>
              <w:ind w:left="2731"/>
            </w:pPr>
            <w:r>
              <w:rPr>
                <w:spacing w:val="2"/>
              </w:rPr>
              <w:t>小计</w:t>
            </w:r>
          </w:p>
        </w:tc>
        <w:tc>
          <w:tcPr>
            <w:tcW w:w="750" w:type="dxa"/>
            <w:vAlign w:val="top"/>
          </w:tcPr>
          <w:p w14:paraId="6DBA5D73">
            <w:pPr>
              <w:spacing w:before="92" w:line="195"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142" w:type="dxa"/>
            <w:vAlign w:val="top"/>
          </w:tcPr>
          <w:p w14:paraId="7281363D">
            <w:pPr>
              <w:spacing w:before="88" w:line="199" w:lineRule="auto"/>
              <w:ind w:left="53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78741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858" w:type="dxa"/>
            <w:vAlign w:val="top"/>
          </w:tcPr>
          <w:p w14:paraId="654EFC66">
            <w:pPr>
              <w:pStyle w:val="6"/>
              <w:spacing w:before="36" w:line="217" w:lineRule="auto"/>
              <w:ind w:left="229"/>
            </w:pPr>
            <w:r>
              <w:rPr>
                <w:spacing w:val="2"/>
              </w:rPr>
              <w:t>总计</w:t>
            </w:r>
          </w:p>
        </w:tc>
        <w:tc>
          <w:tcPr>
            <w:tcW w:w="7753" w:type="dxa"/>
            <w:gridSpan w:val="7"/>
            <w:vAlign w:val="top"/>
          </w:tcPr>
          <w:p w14:paraId="1DE7C4D4">
            <w:pPr>
              <w:pStyle w:val="6"/>
              <w:spacing w:before="36" w:line="217" w:lineRule="auto"/>
              <w:ind w:left="1202"/>
            </w:pPr>
            <w:r>
              <w:rPr>
                <w:spacing w:val="7"/>
              </w:rPr>
              <w:t>本项目线路共用铁塔</w:t>
            </w:r>
            <w:r>
              <w:rPr>
                <w:spacing w:val="-39"/>
              </w:rPr>
              <w:t xml:space="preserve"> </w:t>
            </w:r>
            <w:r>
              <w:rPr>
                <w:rFonts w:ascii="Times New Roman" w:hAnsi="Times New Roman" w:eastAsia="Times New Roman" w:cs="Times New Roman"/>
                <w:spacing w:val="7"/>
              </w:rPr>
              <w:t xml:space="preserve">49 </w:t>
            </w:r>
            <w:r>
              <w:rPr>
                <w:spacing w:val="7"/>
              </w:rPr>
              <w:t>基，直线塔</w:t>
            </w:r>
            <w:r>
              <w:rPr>
                <w:spacing w:val="-43"/>
              </w:rPr>
              <w:t xml:space="preserve"> </w:t>
            </w:r>
            <w:r>
              <w:rPr>
                <w:rFonts w:ascii="Times New Roman" w:hAnsi="Times New Roman" w:eastAsia="Times New Roman" w:cs="Times New Roman"/>
                <w:spacing w:val="7"/>
              </w:rPr>
              <w:t xml:space="preserve">28 </w:t>
            </w:r>
            <w:r>
              <w:rPr>
                <w:spacing w:val="7"/>
              </w:rPr>
              <w:t>基，耐张塔</w:t>
            </w:r>
            <w:r>
              <w:rPr>
                <w:spacing w:val="-43"/>
              </w:rPr>
              <w:t xml:space="preserve"> </w:t>
            </w:r>
            <w:r>
              <w:rPr>
                <w:rFonts w:ascii="Times New Roman" w:hAnsi="Times New Roman" w:eastAsia="Times New Roman" w:cs="Times New Roman"/>
                <w:spacing w:val="7"/>
              </w:rPr>
              <w:t xml:space="preserve">21 </w:t>
            </w:r>
            <w:r>
              <w:rPr>
                <w:spacing w:val="7"/>
              </w:rPr>
              <w:t>基。</w:t>
            </w:r>
          </w:p>
        </w:tc>
      </w:tr>
    </w:tbl>
    <w:p w14:paraId="1BA9EB28">
      <w:pPr>
        <w:pStyle w:val="2"/>
        <w:spacing w:before="113" w:line="219" w:lineRule="auto"/>
        <w:ind w:left="646"/>
        <w:rPr>
          <w:sz w:val="24"/>
          <w:szCs w:val="24"/>
        </w:rPr>
      </w:pPr>
      <w:r>
        <w:rPr>
          <w:spacing w:val="-2"/>
          <w:sz w:val="24"/>
          <w:szCs w:val="24"/>
        </w:rPr>
        <w:t>本项目线路使用的典型杆塔见附图</w:t>
      </w:r>
      <w:r>
        <w:rPr>
          <w:spacing w:val="-48"/>
          <w:sz w:val="24"/>
          <w:szCs w:val="24"/>
        </w:rPr>
        <w:t xml:space="preserve"> </w:t>
      </w:r>
      <w:r>
        <w:rPr>
          <w:rFonts w:ascii="Times New Roman" w:hAnsi="Times New Roman" w:eastAsia="Times New Roman" w:cs="Times New Roman"/>
          <w:spacing w:val="-2"/>
          <w:sz w:val="24"/>
          <w:szCs w:val="24"/>
        </w:rPr>
        <w:t>5</w:t>
      </w:r>
      <w:r>
        <w:rPr>
          <w:rFonts w:ascii="Times New Roman" w:hAnsi="Times New Roman" w:eastAsia="Times New Roman" w:cs="Times New Roman"/>
          <w:spacing w:val="-31"/>
          <w:sz w:val="24"/>
          <w:szCs w:val="24"/>
        </w:rPr>
        <w:t xml:space="preserve"> </w:t>
      </w:r>
      <w:r>
        <w:rPr>
          <w:spacing w:val="-2"/>
          <w:sz w:val="24"/>
          <w:szCs w:val="24"/>
        </w:rPr>
        <w:t>，线路基础</w:t>
      </w:r>
      <w:r>
        <w:rPr>
          <w:spacing w:val="-3"/>
          <w:sz w:val="24"/>
          <w:szCs w:val="24"/>
        </w:rPr>
        <w:t>型式见附图</w:t>
      </w:r>
      <w:r>
        <w:rPr>
          <w:spacing w:val="-50"/>
          <w:sz w:val="24"/>
          <w:szCs w:val="24"/>
        </w:rPr>
        <w:t xml:space="preserve"> </w:t>
      </w:r>
      <w:r>
        <w:rPr>
          <w:rFonts w:ascii="Times New Roman" w:hAnsi="Times New Roman" w:eastAsia="Times New Roman" w:cs="Times New Roman"/>
          <w:spacing w:val="-3"/>
          <w:sz w:val="24"/>
          <w:szCs w:val="24"/>
        </w:rPr>
        <w:t>6</w:t>
      </w:r>
      <w:r>
        <w:rPr>
          <w:spacing w:val="-3"/>
          <w:sz w:val="24"/>
          <w:szCs w:val="24"/>
        </w:rPr>
        <w:t>。</w:t>
      </w:r>
    </w:p>
    <w:p w14:paraId="7AC040C3">
      <w:pPr>
        <w:pStyle w:val="2"/>
        <w:spacing w:before="184" w:line="219" w:lineRule="auto"/>
        <w:ind w:left="159"/>
        <w:rPr>
          <w:sz w:val="24"/>
          <w:szCs w:val="24"/>
        </w:rPr>
      </w:pPr>
      <w:r>
        <w:rPr>
          <w:rFonts w:ascii="Times New Roman" w:hAnsi="Times New Roman" w:eastAsia="Times New Roman" w:cs="Times New Roman"/>
          <w:b/>
          <w:bCs/>
          <w:spacing w:val="-2"/>
          <w:sz w:val="24"/>
          <w:szCs w:val="24"/>
        </w:rPr>
        <w:t xml:space="preserve">3.1.3  </w:t>
      </w:r>
      <w:r>
        <w:rPr>
          <w:b/>
          <w:bCs/>
          <w:spacing w:val="-2"/>
          <w:sz w:val="24"/>
          <w:szCs w:val="24"/>
        </w:rPr>
        <w:t>线路交叉跨越情况</w:t>
      </w:r>
    </w:p>
    <w:p w14:paraId="59618992">
      <w:pPr>
        <w:pStyle w:val="2"/>
        <w:spacing w:before="103" w:line="362" w:lineRule="auto"/>
        <w:ind w:left="192" w:right="156" w:firstLine="453"/>
        <w:rPr>
          <w:sz w:val="24"/>
          <w:szCs w:val="24"/>
        </w:rPr>
      </w:pPr>
      <w:r>
        <w:rPr>
          <w:spacing w:val="-5"/>
          <w:sz w:val="24"/>
          <w:szCs w:val="24"/>
        </w:rPr>
        <w:t>本项目</w:t>
      </w:r>
      <w:r>
        <w:rPr>
          <w:spacing w:val="-30"/>
          <w:sz w:val="24"/>
          <w:szCs w:val="24"/>
        </w:rPr>
        <w:t xml:space="preserve"> </w:t>
      </w:r>
      <w:r>
        <w:rPr>
          <w:rFonts w:ascii="Times New Roman" w:hAnsi="Times New Roman" w:eastAsia="Times New Roman" w:cs="Times New Roman"/>
          <w:spacing w:val="-5"/>
          <w:sz w:val="24"/>
          <w:szCs w:val="24"/>
        </w:rPr>
        <w:t xml:space="preserve">110kV </w:t>
      </w:r>
      <w:r>
        <w:rPr>
          <w:spacing w:val="-5"/>
          <w:sz w:val="24"/>
          <w:szCs w:val="24"/>
        </w:rPr>
        <w:t>线路主要跨越</w:t>
      </w:r>
      <w:r>
        <w:rPr>
          <w:spacing w:val="-50"/>
          <w:sz w:val="24"/>
          <w:szCs w:val="24"/>
        </w:rPr>
        <w:t xml:space="preserve"> </w:t>
      </w:r>
      <w:r>
        <w:rPr>
          <w:rFonts w:ascii="Times New Roman" w:hAnsi="Times New Roman" w:eastAsia="Times New Roman" w:cs="Times New Roman"/>
          <w:spacing w:val="-5"/>
          <w:sz w:val="24"/>
          <w:szCs w:val="24"/>
        </w:rPr>
        <w:t>35kV</w:t>
      </w:r>
      <w:r>
        <w:rPr>
          <w:rFonts w:ascii="Times New Roman" w:hAnsi="Times New Roman" w:eastAsia="Times New Roman" w:cs="Times New Roman"/>
          <w:spacing w:val="37"/>
          <w:sz w:val="24"/>
          <w:szCs w:val="24"/>
        </w:rPr>
        <w:t xml:space="preserve"> </w:t>
      </w:r>
      <w:r>
        <w:rPr>
          <w:spacing w:val="-5"/>
          <w:sz w:val="24"/>
          <w:szCs w:val="24"/>
        </w:rPr>
        <w:t>电力线路</w:t>
      </w:r>
      <w:r>
        <w:rPr>
          <w:spacing w:val="-55"/>
          <w:sz w:val="24"/>
          <w:szCs w:val="24"/>
        </w:rPr>
        <w:t xml:space="preserve"> </w:t>
      </w:r>
      <w:r>
        <w:rPr>
          <w:rFonts w:ascii="Times New Roman" w:hAnsi="Times New Roman" w:eastAsia="Times New Roman" w:cs="Times New Roman"/>
          <w:spacing w:val="-5"/>
          <w:sz w:val="24"/>
          <w:szCs w:val="24"/>
        </w:rPr>
        <w:t>2</w:t>
      </w:r>
      <w:r>
        <w:rPr>
          <w:rFonts w:ascii="Times New Roman" w:hAnsi="Times New Roman" w:eastAsia="Times New Roman" w:cs="Times New Roman"/>
          <w:spacing w:val="16"/>
          <w:sz w:val="24"/>
          <w:szCs w:val="24"/>
        </w:rPr>
        <w:t xml:space="preserve"> </w:t>
      </w:r>
      <w:r>
        <w:rPr>
          <w:spacing w:val="-5"/>
          <w:sz w:val="24"/>
          <w:szCs w:val="24"/>
        </w:rPr>
        <w:t>次，不涉及（钻）跨越</w:t>
      </w:r>
      <w:r>
        <w:rPr>
          <w:spacing w:val="-50"/>
          <w:sz w:val="24"/>
          <w:szCs w:val="24"/>
        </w:rPr>
        <w:t xml:space="preserve"> </w:t>
      </w:r>
      <w:r>
        <w:rPr>
          <w:rFonts w:ascii="Times New Roman" w:hAnsi="Times New Roman" w:eastAsia="Times New Roman" w:cs="Times New Roman"/>
          <w:spacing w:val="-5"/>
          <w:sz w:val="24"/>
          <w:szCs w:val="24"/>
        </w:rPr>
        <w:t>330kV</w:t>
      </w:r>
      <w:r>
        <w:rPr>
          <w:spacing w:val="-8"/>
          <w:sz w:val="24"/>
          <w:szCs w:val="24"/>
        </w:rPr>
        <w:t>以上线路。</w:t>
      </w:r>
    </w:p>
    <w:p w14:paraId="345D4D8F">
      <w:pPr>
        <w:spacing w:line="300" w:lineRule="auto"/>
        <w:rPr>
          <w:rFonts w:ascii="Arial"/>
          <w:sz w:val="21"/>
        </w:rPr>
      </w:pPr>
    </w:p>
    <w:p w14:paraId="6A8CD86D">
      <w:pPr>
        <w:pStyle w:val="2"/>
        <w:spacing w:before="98" w:line="219" w:lineRule="auto"/>
        <w:ind w:left="160"/>
        <w:rPr>
          <w:sz w:val="30"/>
          <w:szCs w:val="30"/>
        </w:rPr>
      </w:pPr>
      <w:r>
        <w:rPr>
          <w:rFonts w:ascii="Times New Roman" w:hAnsi="Times New Roman" w:eastAsia="Times New Roman" w:cs="Times New Roman"/>
          <w:b/>
          <w:bCs/>
          <w:spacing w:val="-6"/>
          <w:sz w:val="30"/>
          <w:szCs w:val="30"/>
        </w:rPr>
        <w:t>3.2</w:t>
      </w:r>
      <w:r>
        <w:rPr>
          <w:rFonts w:ascii="Times New Roman" w:hAnsi="Times New Roman" w:eastAsia="Times New Roman" w:cs="Times New Roman"/>
          <w:b/>
          <w:bCs/>
          <w:spacing w:val="25"/>
          <w:sz w:val="30"/>
          <w:szCs w:val="30"/>
        </w:rPr>
        <w:t xml:space="preserve">  </w:t>
      </w:r>
      <w:r>
        <w:rPr>
          <w:b/>
          <w:bCs/>
          <w:spacing w:val="-6"/>
          <w:sz w:val="30"/>
          <w:szCs w:val="30"/>
        </w:rPr>
        <w:t>电磁环境影响因素识别</w:t>
      </w:r>
    </w:p>
    <w:p w14:paraId="260C2860">
      <w:pPr>
        <w:spacing w:line="418" w:lineRule="auto"/>
        <w:rPr>
          <w:rFonts w:ascii="Arial"/>
          <w:sz w:val="21"/>
        </w:rPr>
      </w:pPr>
    </w:p>
    <w:p w14:paraId="17F180DA">
      <w:pPr>
        <w:pStyle w:val="2"/>
        <w:spacing w:before="78" w:line="220" w:lineRule="auto"/>
        <w:ind w:left="656"/>
        <w:rPr>
          <w:sz w:val="24"/>
          <w:szCs w:val="24"/>
        </w:rPr>
      </w:pPr>
      <w:r>
        <w:rPr>
          <w:spacing w:val="-4"/>
          <w:sz w:val="24"/>
          <w:szCs w:val="24"/>
        </w:rPr>
        <w:t>（</w:t>
      </w:r>
      <w:r>
        <w:rPr>
          <w:rFonts w:ascii="Times New Roman" w:hAnsi="Times New Roman" w:eastAsia="Times New Roman" w:cs="Times New Roman"/>
          <w:spacing w:val="-4"/>
          <w:sz w:val="24"/>
          <w:szCs w:val="24"/>
        </w:rPr>
        <w:t>1</w:t>
      </w:r>
      <w:r>
        <w:rPr>
          <w:spacing w:val="-4"/>
          <w:sz w:val="24"/>
          <w:szCs w:val="24"/>
        </w:rPr>
        <w:t>）施工期</w:t>
      </w:r>
    </w:p>
    <w:p w14:paraId="25BB4941">
      <w:pPr>
        <w:pStyle w:val="2"/>
        <w:spacing w:before="182" w:line="360" w:lineRule="auto"/>
        <w:ind w:left="193" w:right="154" w:firstLine="452"/>
        <w:rPr>
          <w:sz w:val="24"/>
          <w:szCs w:val="24"/>
        </w:rPr>
      </w:pPr>
      <w:r>
        <w:rPr>
          <w:spacing w:val="-1"/>
          <w:sz w:val="24"/>
          <w:szCs w:val="24"/>
        </w:rPr>
        <w:t>本工程为新建</w:t>
      </w:r>
      <w:r>
        <w:rPr>
          <w:rFonts w:ascii="Times New Roman" w:hAnsi="Times New Roman" w:eastAsia="Times New Roman" w:cs="Times New Roman"/>
          <w:spacing w:val="-1"/>
          <w:sz w:val="24"/>
          <w:szCs w:val="24"/>
        </w:rPr>
        <w:t>110kV</w:t>
      </w:r>
      <w:r>
        <w:rPr>
          <w:spacing w:val="-1"/>
          <w:sz w:val="24"/>
          <w:szCs w:val="24"/>
        </w:rPr>
        <w:t>输变电项目，变电站施工主要有基础施工、浇</w:t>
      </w:r>
      <w:r>
        <w:rPr>
          <w:spacing w:val="-2"/>
          <w:sz w:val="24"/>
          <w:szCs w:val="24"/>
        </w:rPr>
        <w:t>筑等；输电线路施工主要有塔基开挖、铁塔组立和线路建设等。</w:t>
      </w:r>
    </w:p>
    <w:p w14:paraId="370CF156">
      <w:pPr>
        <w:pStyle w:val="2"/>
        <w:spacing w:line="220" w:lineRule="auto"/>
        <w:ind w:left="656"/>
        <w:rPr>
          <w:sz w:val="24"/>
          <w:szCs w:val="24"/>
        </w:rPr>
      </w:pPr>
      <w:r>
        <w:rPr>
          <w:spacing w:val="-4"/>
          <w:sz w:val="24"/>
          <w:szCs w:val="24"/>
        </w:rPr>
        <w:t>（</w:t>
      </w:r>
      <w:r>
        <w:rPr>
          <w:rFonts w:ascii="Times New Roman" w:hAnsi="Times New Roman" w:eastAsia="Times New Roman" w:cs="Times New Roman"/>
          <w:spacing w:val="-4"/>
          <w:sz w:val="24"/>
          <w:szCs w:val="24"/>
        </w:rPr>
        <w:t>2</w:t>
      </w:r>
      <w:r>
        <w:rPr>
          <w:spacing w:val="-4"/>
          <w:sz w:val="24"/>
          <w:szCs w:val="24"/>
        </w:rPr>
        <w:t>）运行期</w:t>
      </w:r>
    </w:p>
    <w:p w14:paraId="19FC5A0C">
      <w:pPr>
        <w:pStyle w:val="2"/>
        <w:spacing w:before="182" w:line="219" w:lineRule="auto"/>
        <w:ind w:left="646"/>
        <w:rPr>
          <w:sz w:val="24"/>
          <w:szCs w:val="24"/>
        </w:rPr>
      </w:pPr>
      <w:r>
        <w:rPr>
          <w:sz w:val="24"/>
          <w:szCs w:val="24"/>
        </w:rPr>
        <w:t>本工程变电站、输电线路运行期的主要电磁污</w:t>
      </w:r>
      <w:r>
        <w:rPr>
          <w:spacing w:val="-1"/>
          <w:sz w:val="24"/>
          <w:szCs w:val="24"/>
        </w:rPr>
        <w:t>染有工频电场、工频磁场。</w:t>
      </w:r>
    </w:p>
    <w:p w14:paraId="3D030716">
      <w:pPr>
        <w:spacing w:line="219" w:lineRule="auto"/>
        <w:rPr>
          <w:sz w:val="24"/>
          <w:szCs w:val="24"/>
        </w:rPr>
        <w:sectPr>
          <w:footerReference r:id="rId168" w:type="default"/>
          <w:pgSz w:w="11906" w:h="16839"/>
          <w:pgMar w:top="400" w:right="1645" w:bottom="1147" w:left="1644" w:header="0" w:footer="960" w:gutter="0"/>
          <w:cols w:space="720" w:num="1"/>
        </w:sectPr>
      </w:pPr>
    </w:p>
    <w:p w14:paraId="0273829A">
      <w:pPr>
        <w:spacing w:line="261" w:lineRule="auto"/>
        <w:rPr>
          <w:rFonts w:ascii="Arial"/>
          <w:sz w:val="21"/>
        </w:rPr>
      </w:pPr>
    </w:p>
    <w:p w14:paraId="7608AC75">
      <w:pPr>
        <w:spacing w:line="261" w:lineRule="auto"/>
        <w:rPr>
          <w:rFonts w:ascii="Arial"/>
          <w:sz w:val="21"/>
        </w:rPr>
      </w:pPr>
    </w:p>
    <w:p w14:paraId="77948EA1">
      <w:pPr>
        <w:spacing w:line="261" w:lineRule="auto"/>
        <w:rPr>
          <w:rFonts w:ascii="Arial"/>
          <w:sz w:val="21"/>
        </w:rPr>
      </w:pPr>
    </w:p>
    <w:p w14:paraId="31C122E2">
      <w:pPr>
        <w:spacing w:line="261" w:lineRule="auto"/>
        <w:rPr>
          <w:rFonts w:ascii="Arial"/>
          <w:sz w:val="21"/>
        </w:rPr>
      </w:pPr>
    </w:p>
    <w:p w14:paraId="53F41D62">
      <w:pPr>
        <w:spacing w:line="262" w:lineRule="auto"/>
        <w:rPr>
          <w:rFonts w:ascii="Arial"/>
          <w:sz w:val="21"/>
        </w:rPr>
      </w:pPr>
    </w:p>
    <w:p w14:paraId="00B73D55">
      <w:pPr>
        <w:pStyle w:val="2"/>
        <w:spacing w:before="101" w:line="223" w:lineRule="auto"/>
        <w:ind w:left="122"/>
        <w:rPr>
          <w:sz w:val="31"/>
          <w:szCs w:val="31"/>
        </w:rPr>
      </w:pPr>
      <w:r>
        <w:rPr>
          <w:rFonts w:ascii="Times New Roman" w:hAnsi="Times New Roman" w:eastAsia="Times New Roman" w:cs="Times New Roman"/>
          <w:b/>
          <w:bCs/>
          <w:spacing w:val="3"/>
          <w:sz w:val="31"/>
          <w:szCs w:val="31"/>
        </w:rPr>
        <w:t>4</w:t>
      </w:r>
      <w:r>
        <w:rPr>
          <w:rFonts w:ascii="Times New Roman" w:hAnsi="Times New Roman" w:eastAsia="Times New Roman" w:cs="Times New Roman"/>
          <w:b/>
          <w:bCs/>
          <w:spacing w:val="30"/>
          <w:w w:val="101"/>
          <w:sz w:val="31"/>
          <w:szCs w:val="31"/>
        </w:rPr>
        <w:t xml:space="preserve">  </w:t>
      </w:r>
      <w:r>
        <w:rPr>
          <w:b/>
          <w:bCs/>
          <w:spacing w:val="3"/>
          <w:sz w:val="31"/>
          <w:szCs w:val="31"/>
        </w:rPr>
        <w:t>电磁环境影响现状监测与评价</w:t>
      </w:r>
    </w:p>
    <w:p w14:paraId="22BE5C40">
      <w:pPr>
        <w:pStyle w:val="2"/>
        <w:spacing w:before="298" w:line="361" w:lineRule="auto"/>
        <w:ind w:left="119" w:right="112" w:firstLine="484"/>
        <w:jc w:val="both"/>
        <w:rPr>
          <w:sz w:val="24"/>
          <w:szCs w:val="24"/>
        </w:rPr>
      </w:pPr>
      <w:r>
        <w:rPr>
          <w:spacing w:val="-3"/>
          <w:sz w:val="24"/>
          <w:szCs w:val="24"/>
        </w:rPr>
        <w:t>根据调查，项目拟建输电线路位于云南省曲靖市陆良县。为了解</w:t>
      </w:r>
      <w:r>
        <w:rPr>
          <w:spacing w:val="-4"/>
          <w:sz w:val="24"/>
          <w:szCs w:val="24"/>
        </w:rPr>
        <w:t>本工程拟建</w:t>
      </w:r>
      <w:r>
        <w:rPr>
          <w:spacing w:val="-3"/>
          <w:sz w:val="24"/>
          <w:szCs w:val="24"/>
        </w:rPr>
        <w:t>变电站及输电线路沿线地区电磁环境质量现状，委托云南茂业环保科技有限公司</w:t>
      </w:r>
      <w:r>
        <w:rPr>
          <w:spacing w:val="-5"/>
          <w:sz w:val="24"/>
          <w:szCs w:val="24"/>
        </w:rPr>
        <w:t>于</w:t>
      </w:r>
      <w:r>
        <w:rPr>
          <w:spacing w:val="-55"/>
          <w:sz w:val="24"/>
          <w:szCs w:val="24"/>
        </w:rPr>
        <w:t xml:space="preserve"> </w:t>
      </w:r>
      <w:r>
        <w:rPr>
          <w:rFonts w:ascii="Times New Roman" w:hAnsi="Times New Roman" w:eastAsia="Times New Roman" w:cs="Times New Roman"/>
          <w:spacing w:val="-5"/>
          <w:sz w:val="24"/>
          <w:szCs w:val="24"/>
        </w:rPr>
        <w:t xml:space="preserve">2025 </w:t>
      </w:r>
      <w:r>
        <w:rPr>
          <w:spacing w:val="-5"/>
          <w:sz w:val="24"/>
          <w:szCs w:val="24"/>
        </w:rPr>
        <w:t>年</w:t>
      </w:r>
      <w:r>
        <w:rPr>
          <w:spacing w:val="-51"/>
          <w:sz w:val="24"/>
          <w:szCs w:val="24"/>
        </w:rPr>
        <w:t xml:space="preserve"> </w:t>
      </w:r>
      <w:r>
        <w:rPr>
          <w:rFonts w:ascii="Times New Roman" w:hAnsi="Times New Roman" w:eastAsia="Times New Roman" w:cs="Times New Roman"/>
          <w:spacing w:val="-5"/>
          <w:sz w:val="24"/>
          <w:szCs w:val="24"/>
        </w:rPr>
        <w:t>7</w:t>
      </w:r>
      <w:r>
        <w:rPr>
          <w:rFonts w:ascii="Times New Roman" w:hAnsi="Times New Roman" w:eastAsia="Times New Roman" w:cs="Times New Roman"/>
          <w:spacing w:val="15"/>
          <w:sz w:val="24"/>
          <w:szCs w:val="24"/>
        </w:rPr>
        <w:t xml:space="preserve"> </w:t>
      </w:r>
      <w:r>
        <w:rPr>
          <w:spacing w:val="-5"/>
          <w:sz w:val="24"/>
          <w:szCs w:val="24"/>
        </w:rPr>
        <w:t>月</w:t>
      </w:r>
      <w:r>
        <w:rPr>
          <w:spacing w:val="-55"/>
          <w:sz w:val="24"/>
          <w:szCs w:val="24"/>
        </w:rPr>
        <w:t xml:space="preserve"> </w:t>
      </w:r>
      <w:r>
        <w:rPr>
          <w:rFonts w:ascii="Times New Roman" w:hAnsi="Times New Roman" w:eastAsia="Times New Roman" w:cs="Times New Roman"/>
          <w:spacing w:val="-5"/>
          <w:sz w:val="24"/>
          <w:szCs w:val="24"/>
        </w:rPr>
        <w:t xml:space="preserve">29  </w:t>
      </w:r>
      <w:r>
        <w:rPr>
          <w:spacing w:val="-5"/>
          <w:sz w:val="24"/>
          <w:szCs w:val="24"/>
        </w:rPr>
        <w:t>日</w:t>
      </w:r>
      <w:r>
        <w:rPr>
          <w:rFonts w:ascii="Times New Roman" w:hAnsi="Times New Roman" w:eastAsia="Times New Roman" w:cs="Times New Roman"/>
          <w:spacing w:val="-5"/>
          <w:sz w:val="24"/>
          <w:szCs w:val="24"/>
        </w:rPr>
        <w:t xml:space="preserve">~30  </w:t>
      </w:r>
      <w:r>
        <w:rPr>
          <w:spacing w:val="-5"/>
          <w:sz w:val="24"/>
          <w:szCs w:val="24"/>
        </w:rPr>
        <w:t>日对项目区</w:t>
      </w:r>
      <w:r>
        <w:rPr>
          <w:spacing w:val="-6"/>
          <w:sz w:val="24"/>
          <w:szCs w:val="24"/>
        </w:rPr>
        <w:t>进行了电磁环境现状监测，于</w:t>
      </w:r>
      <w:r>
        <w:rPr>
          <w:spacing w:val="-55"/>
          <w:sz w:val="24"/>
          <w:szCs w:val="24"/>
        </w:rPr>
        <w:t xml:space="preserve"> </w:t>
      </w:r>
      <w:r>
        <w:rPr>
          <w:rFonts w:ascii="Times New Roman" w:hAnsi="Times New Roman" w:eastAsia="Times New Roman" w:cs="Times New Roman"/>
          <w:spacing w:val="-6"/>
          <w:sz w:val="24"/>
          <w:szCs w:val="24"/>
        </w:rPr>
        <w:t xml:space="preserve">2025 </w:t>
      </w:r>
      <w:r>
        <w:rPr>
          <w:spacing w:val="-6"/>
          <w:sz w:val="24"/>
          <w:szCs w:val="24"/>
        </w:rPr>
        <w:t>年</w:t>
      </w:r>
      <w:r>
        <w:rPr>
          <w:spacing w:val="-32"/>
          <w:sz w:val="24"/>
          <w:szCs w:val="24"/>
        </w:rPr>
        <w:t xml:space="preserve"> </w:t>
      </w:r>
      <w:r>
        <w:rPr>
          <w:rFonts w:ascii="Times New Roman" w:hAnsi="Times New Roman" w:eastAsia="Times New Roman" w:cs="Times New Roman"/>
          <w:spacing w:val="-6"/>
          <w:sz w:val="24"/>
          <w:szCs w:val="24"/>
        </w:rPr>
        <w:t>12</w:t>
      </w:r>
      <w:r>
        <w:rPr>
          <w:rFonts w:ascii="Times New Roman" w:hAnsi="Times New Roman" w:eastAsia="Times New Roman" w:cs="Times New Roman"/>
          <w:spacing w:val="15"/>
          <w:sz w:val="24"/>
          <w:szCs w:val="24"/>
        </w:rPr>
        <w:t xml:space="preserve"> </w:t>
      </w:r>
      <w:r>
        <w:rPr>
          <w:spacing w:val="-6"/>
          <w:sz w:val="24"/>
          <w:szCs w:val="24"/>
        </w:rPr>
        <w:t>月</w:t>
      </w:r>
      <w:r>
        <w:rPr>
          <w:rFonts w:ascii="Times New Roman" w:hAnsi="Times New Roman" w:eastAsia="Times New Roman" w:cs="Times New Roman"/>
          <w:spacing w:val="-5"/>
          <w:sz w:val="24"/>
          <w:szCs w:val="24"/>
        </w:rPr>
        <w:t>27</w:t>
      </w:r>
      <w:r>
        <w:rPr>
          <w:rFonts w:ascii="Times New Roman" w:hAnsi="Times New Roman" w:eastAsia="Times New Roman" w:cs="Times New Roman"/>
          <w:spacing w:val="68"/>
          <w:sz w:val="24"/>
          <w:szCs w:val="24"/>
        </w:rPr>
        <w:t xml:space="preserve"> </w:t>
      </w:r>
      <w:r>
        <w:rPr>
          <w:spacing w:val="-5"/>
          <w:sz w:val="24"/>
          <w:szCs w:val="24"/>
        </w:rPr>
        <w:t>日</w:t>
      </w:r>
      <w:r>
        <w:rPr>
          <w:rFonts w:ascii="Times New Roman" w:hAnsi="Times New Roman" w:eastAsia="Times New Roman" w:cs="Times New Roman"/>
          <w:spacing w:val="-5"/>
          <w:sz w:val="24"/>
          <w:szCs w:val="24"/>
        </w:rPr>
        <w:t>~28</w:t>
      </w:r>
      <w:r>
        <w:rPr>
          <w:rFonts w:ascii="Times New Roman" w:hAnsi="Times New Roman" w:eastAsia="Times New Roman" w:cs="Times New Roman"/>
          <w:spacing w:val="50"/>
          <w:w w:val="101"/>
          <w:sz w:val="24"/>
          <w:szCs w:val="24"/>
        </w:rPr>
        <w:t xml:space="preserve"> </w:t>
      </w:r>
      <w:r>
        <w:rPr>
          <w:spacing w:val="-5"/>
          <w:sz w:val="24"/>
          <w:szCs w:val="24"/>
        </w:rPr>
        <w:t>日对项目区进行了电磁环境现状补充监测。</w:t>
      </w:r>
    </w:p>
    <w:p w14:paraId="2FBB575B">
      <w:pPr>
        <w:pStyle w:val="2"/>
        <w:spacing w:before="43" w:line="219" w:lineRule="auto"/>
        <w:ind w:left="121"/>
        <w:rPr>
          <w:sz w:val="30"/>
          <w:szCs w:val="30"/>
        </w:rPr>
      </w:pPr>
      <w:r>
        <w:rPr>
          <w:rFonts w:ascii="Times New Roman" w:hAnsi="Times New Roman" w:eastAsia="Times New Roman" w:cs="Times New Roman"/>
          <w:b/>
          <w:bCs/>
          <w:spacing w:val="-5"/>
          <w:sz w:val="30"/>
          <w:szCs w:val="30"/>
        </w:rPr>
        <w:t>4.1</w:t>
      </w:r>
      <w:r>
        <w:rPr>
          <w:rFonts w:ascii="Times New Roman" w:hAnsi="Times New Roman" w:eastAsia="Times New Roman" w:cs="Times New Roman"/>
          <w:b/>
          <w:bCs/>
          <w:spacing w:val="8"/>
          <w:sz w:val="30"/>
          <w:szCs w:val="30"/>
        </w:rPr>
        <w:t xml:space="preserve">  </w:t>
      </w:r>
      <w:r>
        <w:rPr>
          <w:b/>
          <w:bCs/>
          <w:spacing w:val="-5"/>
          <w:sz w:val="30"/>
          <w:szCs w:val="30"/>
        </w:rPr>
        <w:t>布点原则</w:t>
      </w:r>
    </w:p>
    <w:p w14:paraId="0296B1CD">
      <w:pPr>
        <w:pStyle w:val="2"/>
        <w:spacing w:before="216" w:line="361" w:lineRule="auto"/>
        <w:ind w:left="123" w:right="112" w:firstLine="480"/>
        <w:jc w:val="both"/>
        <w:rPr>
          <w:sz w:val="24"/>
          <w:szCs w:val="24"/>
        </w:rPr>
      </w:pPr>
      <w:r>
        <w:rPr>
          <w:spacing w:val="-3"/>
          <w:sz w:val="24"/>
          <w:szCs w:val="24"/>
        </w:rPr>
        <w:t>根据《环境影响评价技术导则 输变电》（</w:t>
      </w:r>
      <w:r>
        <w:rPr>
          <w:rFonts w:ascii="Times New Roman" w:hAnsi="Times New Roman" w:eastAsia="Times New Roman" w:cs="Times New Roman"/>
          <w:spacing w:val="-3"/>
          <w:sz w:val="24"/>
          <w:szCs w:val="24"/>
        </w:rPr>
        <w:t>HJ24-2020</w:t>
      </w:r>
      <w:r>
        <w:rPr>
          <w:spacing w:val="8"/>
          <w:sz w:val="24"/>
          <w:szCs w:val="24"/>
        </w:rPr>
        <w:t>），</w:t>
      </w:r>
      <w:r>
        <w:rPr>
          <w:spacing w:val="-3"/>
          <w:sz w:val="24"/>
          <w:szCs w:val="24"/>
        </w:rPr>
        <w:t>电磁环境敏感目标的布点方法以定点监测为主；对于无电磁环境敏感目标的输电线路，需对沿线电</w:t>
      </w:r>
      <w:r>
        <w:rPr>
          <w:spacing w:val="-4"/>
          <w:sz w:val="24"/>
          <w:szCs w:val="24"/>
        </w:rPr>
        <w:t>磁环境现状进行监测，尽量沿线路路径均匀布点（路径长度范围小于</w:t>
      </w:r>
      <w:r>
        <w:rPr>
          <w:spacing w:val="-23"/>
          <w:sz w:val="24"/>
          <w:szCs w:val="24"/>
        </w:rPr>
        <w:t xml:space="preserve"> </w:t>
      </w:r>
      <w:r>
        <w:rPr>
          <w:rFonts w:ascii="Times New Roman" w:hAnsi="Times New Roman" w:eastAsia="Times New Roman" w:cs="Times New Roman"/>
          <w:spacing w:val="-4"/>
          <w:sz w:val="24"/>
          <w:szCs w:val="24"/>
        </w:rPr>
        <w:t>100km</w:t>
      </w:r>
      <w:r>
        <w:rPr>
          <w:spacing w:val="-4"/>
          <w:sz w:val="24"/>
          <w:szCs w:val="24"/>
        </w:rPr>
        <w:t>，最</w:t>
      </w:r>
      <w:r>
        <w:rPr>
          <w:spacing w:val="-2"/>
          <w:sz w:val="24"/>
          <w:szCs w:val="24"/>
        </w:rPr>
        <w:t>少测点数量为</w:t>
      </w:r>
      <w:r>
        <w:rPr>
          <w:spacing w:val="-53"/>
          <w:sz w:val="24"/>
          <w:szCs w:val="24"/>
        </w:rPr>
        <w:t xml:space="preserve"> </w:t>
      </w:r>
      <w:r>
        <w:rPr>
          <w:rFonts w:ascii="Times New Roman" w:hAnsi="Times New Roman" w:eastAsia="Times New Roman" w:cs="Times New Roman"/>
          <w:spacing w:val="-2"/>
          <w:sz w:val="24"/>
          <w:szCs w:val="24"/>
        </w:rPr>
        <w:t xml:space="preserve">2 </w:t>
      </w:r>
      <w:r>
        <w:rPr>
          <w:spacing w:val="-2"/>
          <w:sz w:val="24"/>
          <w:szCs w:val="24"/>
        </w:rPr>
        <w:t>个</w:t>
      </w:r>
      <w:r>
        <w:rPr>
          <w:spacing w:val="-18"/>
          <w:sz w:val="24"/>
          <w:szCs w:val="24"/>
        </w:rPr>
        <w:t>），</w:t>
      </w:r>
      <w:r>
        <w:rPr>
          <w:spacing w:val="-2"/>
          <w:sz w:val="24"/>
          <w:szCs w:val="24"/>
        </w:rPr>
        <w:t>兼顾行政区、环境特征及各子工程的代表</w:t>
      </w:r>
      <w:r>
        <w:rPr>
          <w:spacing w:val="-3"/>
          <w:sz w:val="24"/>
          <w:szCs w:val="24"/>
        </w:rPr>
        <w:t>性；站址的布点方法以围墙四周均匀布点为主，如新建站址附近无其他电磁设施，可在站址中心</w:t>
      </w:r>
      <w:r>
        <w:rPr>
          <w:spacing w:val="-2"/>
          <w:sz w:val="24"/>
          <w:szCs w:val="24"/>
        </w:rPr>
        <w:t>布点监测。</w:t>
      </w:r>
    </w:p>
    <w:p w14:paraId="20E0885F">
      <w:pPr>
        <w:pStyle w:val="2"/>
        <w:spacing w:before="322" w:line="219" w:lineRule="auto"/>
        <w:ind w:left="121"/>
        <w:rPr>
          <w:sz w:val="30"/>
          <w:szCs w:val="30"/>
        </w:rPr>
      </w:pPr>
      <w:r>
        <w:rPr>
          <w:rFonts w:ascii="Times New Roman" w:hAnsi="Times New Roman" w:eastAsia="Times New Roman" w:cs="Times New Roman"/>
          <w:b/>
          <w:bCs/>
          <w:spacing w:val="-3"/>
          <w:sz w:val="30"/>
          <w:szCs w:val="30"/>
        </w:rPr>
        <w:t xml:space="preserve">4.2  </w:t>
      </w:r>
      <w:r>
        <w:rPr>
          <w:b/>
          <w:bCs/>
          <w:spacing w:val="-3"/>
          <w:sz w:val="30"/>
          <w:szCs w:val="30"/>
        </w:rPr>
        <w:t>监测布点及合理性</w:t>
      </w:r>
    </w:p>
    <w:p w14:paraId="777B626F">
      <w:pPr>
        <w:pStyle w:val="2"/>
        <w:spacing w:before="221" w:line="219" w:lineRule="auto"/>
        <w:ind w:left="604"/>
        <w:rPr>
          <w:sz w:val="24"/>
          <w:szCs w:val="24"/>
        </w:rPr>
      </w:pPr>
      <w:r>
        <w:rPr>
          <w:spacing w:val="-4"/>
          <w:sz w:val="24"/>
          <w:szCs w:val="24"/>
        </w:rPr>
        <w:t>监测点位置详见表</w:t>
      </w:r>
      <w:r>
        <w:rPr>
          <w:spacing w:val="-42"/>
          <w:sz w:val="24"/>
          <w:szCs w:val="24"/>
        </w:rPr>
        <w:t xml:space="preserve"> </w:t>
      </w:r>
      <w:r>
        <w:rPr>
          <w:rFonts w:ascii="Times New Roman" w:hAnsi="Times New Roman" w:eastAsia="Times New Roman" w:cs="Times New Roman"/>
          <w:spacing w:val="-4"/>
          <w:sz w:val="24"/>
          <w:szCs w:val="24"/>
        </w:rPr>
        <w:t>4-</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4"/>
          <w:sz w:val="24"/>
          <w:szCs w:val="24"/>
        </w:rPr>
        <w:t xml:space="preserve">1 </w:t>
      </w:r>
      <w:r>
        <w:rPr>
          <w:spacing w:val="-4"/>
          <w:sz w:val="24"/>
          <w:szCs w:val="24"/>
        </w:rPr>
        <w:t>和附图</w:t>
      </w:r>
      <w:r>
        <w:rPr>
          <w:spacing w:val="-51"/>
          <w:sz w:val="24"/>
          <w:szCs w:val="24"/>
        </w:rPr>
        <w:t xml:space="preserve"> </w:t>
      </w:r>
      <w:r>
        <w:rPr>
          <w:rFonts w:ascii="Times New Roman" w:hAnsi="Times New Roman" w:eastAsia="Times New Roman" w:cs="Times New Roman"/>
          <w:spacing w:val="-4"/>
          <w:sz w:val="24"/>
          <w:szCs w:val="24"/>
        </w:rPr>
        <w:t>9</w:t>
      </w:r>
      <w:r>
        <w:rPr>
          <w:spacing w:val="-4"/>
          <w:sz w:val="24"/>
          <w:szCs w:val="24"/>
        </w:rPr>
        <w:t>。</w:t>
      </w:r>
    </w:p>
    <w:p w14:paraId="08721223">
      <w:pPr>
        <w:pStyle w:val="2"/>
        <w:spacing w:before="121" w:line="227" w:lineRule="auto"/>
        <w:ind w:left="2526"/>
        <w:rPr>
          <w:sz w:val="20"/>
          <w:szCs w:val="20"/>
        </w:rPr>
      </w:pPr>
      <w:r>
        <w:rPr>
          <w:b/>
          <w:bCs/>
          <w:spacing w:val="6"/>
          <w:sz w:val="20"/>
          <w:szCs w:val="20"/>
        </w:rPr>
        <w:t>表</w:t>
      </w:r>
      <w:r>
        <w:rPr>
          <w:spacing w:val="-39"/>
          <w:sz w:val="20"/>
          <w:szCs w:val="20"/>
        </w:rPr>
        <w:t xml:space="preserve"> </w:t>
      </w:r>
      <w:r>
        <w:rPr>
          <w:rFonts w:ascii="Times New Roman" w:hAnsi="Times New Roman" w:eastAsia="Times New Roman" w:cs="Times New Roman"/>
          <w:b/>
          <w:bCs/>
          <w:spacing w:val="6"/>
          <w:sz w:val="20"/>
          <w:szCs w:val="20"/>
        </w:rPr>
        <w:t xml:space="preserve">4-1    </w:t>
      </w:r>
      <w:r>
        <w:rPr>
          <w:b/>
          <w:bCs/>
          <w:spacing w:val="6"/>
          <w:sz w:val="20"/>
          <w:szCs w:val="20"/>
        </w:rPr>
        <w:t>工程现状监测点位布设一览表</w:t>
      </w:r>
    </w:p>
    <w:p w14:paraId="0770C4E3">
      <w:pPr>
        <w:spacing w:line="14" w:lineRule="exact"/>
      </w:pPr>
    </w:p>
    <w:tbl>
      <w:tblPr>
        <w:tblStyle w:val="5"/>
        <w:tblW w:w="852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1087"/>
        <w:gridCol w:w="4014"/>
        <w:gridCol w:w="1514"/>
        <w:gridCol w:w="1234"/>
      </w:tblGrid>
      <w:tr w14:paraId="78EA0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674" w:type="dxa"/>
            <w:shd w:val="clear" w:color="auto" w:fill="BEBEBE"/>
            <w:vAlign w:val="top"/>
          </w:tcPr>
          <w:p w14:paraId="2BD38EAF">
            <w:pPr>
              <w:pStyle w:val="6"/>
              <w:spacing w:before="212" w:line="229" w:lineRule="auto"/>
              <w:ind w:left="128"/>
            </w:pPr>
            <w:r>
              <w:rPr>
                <w:b/>
                <w:bCs/>
                <w:spacing w:val="4"/>
              </w:rPr>
              <w:t>序号</w:t>
            </w:r>
          </w:p>
        </w:tc>
        <w:tc>
          <w:tcPr>
            <w:tcW w:w="5101" w:type="dxa"/>
            <w:gridSpan w:val="2"/>
            <w:shd w:val="clear" w:color="auto" w:fill="BEBEBE"/>
            <w:vAlign w:val="top"/>
          </w:tcPr>
          <w:p w14:paraId="3B73F825">
            <w:pPr>
              <w:pStyle w:val="6"/>
              <w:spacing w:before="212" w:line="229" w:lineRule="auto"/>
              <w:ind w:left="2131"/>
            </w:pPr>
            <w:r>
              <w:rPr>
                <w:b/>
                <w:bCs/>
                <w:spacing w:val="6"/>
              </w:rPr>
              <w:t>测点位置</w:t>
            </w:r>
          </w:p>
        </w:tc>
        <w:tc>
          <w:tcPr>
            <w:tcW w:w="1514" w:type="dxa"/>
            <w:shd w:val="clear" w:color="auto" w:fill="BEBEBE"/>
            <w:vAlign w:val="top"/>
          </w:tcPr>
          <w:p w14:paraId="4116BC84">
            <w:pPr>
              <w:pStyle w:val="6"/>
              <w:spacing w:before="213" w:line="228" w:lineRule="auto"/>
              <w:ind w:left="451"/>
            </w:pPr>
            <w:r>
              <w:rPr>
                <w:b/>
                <w:bCs/>
                <w:spacing w:val="4"/>
              </w:rPr>
              <w:t>行政区</w:t>
            </w:r>
          </w:p>
        </w:tc>
        <w:tc>
          <w:tcPr>
            <w:tcW w:w="1234" w:type="dxa"/>
            <w:shd w:val="clear" w:color="auto" w:fill="BEBEBE"/>
            <w:vAlign w:val="top"/>
          </w:tcPr>
          <w:p w14:paraId="7F644A09">
            <w:pPr>
              <w:pStyle w:val="6"/>
              <w:spacing w:before="57" w:line="262" w:lineRule="auto"/>
              <w:ind w:left="516" w:right="191" w:hanging="316"/>
            </w:pPr>
            <w:r>
              <w:rPr>
                <w:b/>
                <w:bCs/>
                <w:spacing w:val="6"/>
              </w:rPr>
              <w:t>符合性分</w:t>
            </w:r>
            <w:r>
              <w:rPr>
                <w:b/>
                <w:bCs/>
                <w:spacing w:val="-3"/>
              </w:rPr>
              <w:t>析</w:t>
            </w:r>
          </w:p>
        </w:tc>
      </w:tr>
      <w:tr w14:paraId="7930A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674" w:type="dxa"/>
            <w:vMerge w:val="restart"/>
            <w:tcBorders>
              <w:bottom w:val="nil"/>
            </w:tcBorders>
            <w:vAlign w:val="top"/>
          </w:tcPr>
          <w:p w14:paraId="321A0ADB">
            <w:pPr>
              <w:spacing w:line="337" w:lineRule="auto"/>
              <w:rPr>
                <w:rFonts w:ascii="Arial"/>
                <w:sz w:val="21"/>
              </w:rPr>
            </w:pPr>
          </w:p>
          <w:p w14:paraId="046E6AA3">
            <w:pPr>
              <w:spacing w:line="337" w:lineRule="auto"/>
              <w:rPr>
                <w:rFonts w:ascii="Arial"/>
                <w:sz w:val="21"/>
              </w:rPr>
            </w:pPr>
          </w:p>
          <w:p w14:paraId="3CC5A3B7">
            <w:pPr>
              <w:spacing w:before="58" w:line="195" w:lineRule="auto"/>
              <w:ind w:left="301"/>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087" w:type="dxa"/>
            <w:vMerge w:val="restart"/>
            <w:tcBorders>
              <w:bottom w:val="nil"/>
              <w:right w:val="single" w:color="000000" w:sz="2" w:space="0"/>
            </w:tcBorders>
            <w:vAlign w:val="top"/>
          </w:tcPr>
          <w:p w14:paraId="7296DFC0">
            <w:pPr>
              <w:spacing w:line="322" w:lineRule="auto"/>
              <w:rPr>
                <w:rFonts w:ascii="Arial"/>
                <w:sz w:val="21"/>
              </w:rPr>
            </w:pPr>
          </w:p>
          <w:p w14:paraId="4C5BA318">
            <w:pPr>
              <w:pStyle w:val="6"/>
              <w:spacing w:before="65" w:line="289" w:lineRule="auto"/>
              <w:ind w:left="140" w:right="127" w:hanging="32"/>
              <w:jc w:val="both"/>
            </w:pPr>
            <w:r>
              <w:rPr>
                <w:spacing w:val="7"/>
              </w:rPr>
              <w:t>本期拟建</w:t>
            </w:r>
            <w:r>
              <w:rPr>
                <w:rFonts w:ascii="Times New Roman" w:hAnsi="Times New Roman" w:eastAsia="Times New Roman" w:cs="Times New Roman"/>
                <w:spacing w:val="-1"/>
              </w:rPr>
              <w:t>110kV</w:t>
            </w:r>
            <w:r>
              <w:rPr>
                <w:rFonts w:ascii="Times New Roman" w:hAnsi="Times New Roman" w:eastAsia="Times New Roman" w:cs="Times New Roman"/>
                <w:spacing w:val="16"/>
                <w:w w:val="101"/>
              </w:rPr>
              <w:t xml:space="preserve"> </w:t>
            </w:r>
            <w:r>
              <w:rPr>
                <w:spacing w:val="-1"/>
              </w:rPr>
              <w:t>松</w:t>
            </w:r>
            <w:r>
              <w:rPr>
                <w:spacing w:val="2"/>
              </w:rPr>
              <w:t>山变电站</w:t>
            </w:r>
          </w:p>
        </w:tc>
        <w:tc>
          <w:tcPr>
            <w:tcW w:w="4014" w:type="dxa"/>
            <w:tcBorders>
              <w:left w:val="single" w:color="000000" w:sz="2" w:space="0"/>
            </w:tcBorders>
            <w:vAlign w:val="top"/>
          </w:tcPr>
          <w:p w14:paraId="30C3CFE2">
            <w:pPr>
              <w:pStyle w:val="6"/>
              <w:spacing w:before="150" w:line="217" w:lineRule="auto"/>
              <w:ind w:left="523"/>
            </w:pPr>
            <w:r>
              <w:rPr>
                <w:spacing w:val="6"/>
              </w:rPr>
              <w:t>拟建</w:t>
            </w:r>
            <w:r>
              <w:rPr>
                <w:spacing w:val="-18"/>
              </w:rPr>
              <w:t xml:space="preserve"> </w:t>
            </w: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松山变电站东侧厂界</w:t>
            </w:r>
          </w:p>
        </w:tc>
        <w:tc>
          <w:tcPr>
            <w:tcW w:w="1514" w:type="dxa"/>
            <w:vAlign w:val="top"/>
          </w:tcPr>
          <w:p w14:paraId="132519EF">
            <w:pPr>
              <w:pStyle w:val="6"/>
              <w:spacing w:before="90" w:line="227" w:lineRule="auto"/>
              <w:ind w:left="157"/>
            </w:pPr>
            <w:r>
              <w:rPr>
                <w:spacing w:val="4"/>
              </w:rPr>
              <w:t>曲靖市陆良县</w:t>
            </w:r>
          </w:p>
        </w:tc>
        <w:tc>
          <w:tcPr>
            <w:tcW w:w="1234" w:type="dxa"/>
            <w:vMerge w:val="restart"/>
            <w:tcBorders>
              <w:bottom w:val="nil"/>
            </w:tcBorders>
            <w:vAlign w:val="top"/>
          </w:tcPr>
          <w:p w14:paraId="0FD3C206">
            <w:pPr>
              <w:pStyle w:val="6"/>
              <w:spacing w:before="76" w:line="227" w:lineRule="auto"/>
              <w:ind w:left="209"/>
            </w:pPr>
            <w:r>
              <w:rPr>
                <w:spacing w:val="5"/>
              </w:rPr>
              <w:t>能反映拟</w:t>
            </w:r>
          </w:p>
          <w:p w14:paraId="31E4A08A">
            <w:pPr>
              <w:pStyle w:val="6"/>
              <w:spacing w:before="66" w:line="229" w:lineRule="auto"/>
              <w:ind w:left="203"/>
            </w:pPr>
            <w:r>
              <w:rPr>
                <w:spacing w:val="6"/>
              </w:rPr>
              <w:t>建变电站</w:t>
            </w:r>
          </w:p>
          <w:p w14:paraId="233D59BC">
            <w:pPr>
              <w:pStyle w:val="6"/>
              <w:spacing w:before="63" w:line="231" w:lineRule="auto"/>
              <w:ind w:left="201"/>
            </w:pPr>
            <w:r>
              <w:rPr>
                <w:spacing w:val="7"/>
              </w:rPr>
              <w:t>周边电磁</w:t>
            </w:r>
          </w:p>
          <w:p w14:paraId="6D44D67E">
            <w:pPr>
              <w:pStyle w:val="6"/>
              <w:spacing w:before="63" w:line="273" w:lineRule="auto"/>
              <w:ind w:left="413" w:right="193" w:hanging="213"/>
            </w:pPr>
            <w:r>
              <w:rPr>
                <w:spacing w:val="7"/>
              </w:rPr>
              <w:t>环境本底</w:t>
            </w:r>
            <w:r>
              <w:rPr>
                <w:spacing w:val="3"/>
              </w:rPr>
              <w:t>水平</w:t>
            </w:r>
          </w:p>
        </w:tc>
      </w:tr>
      <w:tr w14:paraId="61A38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74" w:type="dxa"/>
            <w:vMerge w:val="continue"/>
            <w:tcBorders>
              <w:top w:val="nil"/>
              <w:bottom w:val="nil"/>
            </w:tcBorders>
            <w:vAlign w:val="top"/>
          </w:tcPr>
          <w:p w14:paraId="6598AD43">
            <w:pPr>
              <w:rPr>
                <w:rFonts w:ascii="Arial"/>
                <w:sz w:val="21"/>
              </w:rPr>
            </w:pPr>
          </w:p>
        </w:tc>
        <w:tc>
          <w:tcPr>
            <w:tcW w:w="1087" w:type="dxa"/>
            <w:vMerge w:val="continue"/>
            <w:tcBorders>
              <w:top w:val="nil"/>
              <w:bottom w:val="nil"/>
              <w:right w:val="single" w:color="000000" w:sz="2" w:space="0"/>
            </w:tcBorders>
            <w:vAlign w:val="top"/>
          </w:tcPr>
          <w:p w14:paraId="5B35E710">
            <w:pPr>
              <w:rPr>
                <w:rFonts w:ascii="Arial"/>
                <w:sz w:val="21"/>
              </w:rPr>
            </w:pPr>
          </w:p>
        </w:tc>
        <w:tc>
          <w:tcPr>
            <w:tcW w:w="4014" w:type="dxa"/>
            <w:tcBorders>
              <w:left w:val="single" w:color="000000" w:sz="2" w:space="0"/>
            </w:tcBorders>
            <w:vAlign w:val="top"/>
          </w:tcPr>
          <w:p w14:paraId="25557D2E">
            <w:pPr>
              <w:pStyle w:val="6"/>
              <w:spacing w:before="150" w:line="218" w:lineRule="auto"/>
              <w:ind w:left="523"/>
            </w:pPr>
            <w:r>
              <w:rPr>
                <w:spacing w:val="6"/>
              </w:rPr>
              <w:t>拟建</w:t>
            </w:r>
            <w:r>
              <w:rPr>
                <w:spacing w:val="-18"/>
              </w:rPr>
              <w:t xml:space="preserve"> </w:t>
            </w: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松山变电站南侧厂界</w:t>
            </w:r>
          </w:p>
        </w:tc>
        <w:tc>
          <w:tcPr>
            <w:tcW w:w="1514" w:type="dxa"/>
            <w:vAlign w:val="top"/>
          </w:tcPr>
          <w:p w14:paraId="449EFF61">
            <w:pPr>
              <w:pStyle w:val="6"/>
              <w:spacing w:before="90" w:line="227" w:lineRule="auto"/>
              <w:ind w:left="157"/>
            </w:pPr>
            <w:r>
              <w:rPr>
                <w:spacing w:val="4"/>
              </w:rPr>
              <w:t>曲靖市陆良县</w:t>
            </w:r>
          </w:p>
        </w:tc>
        <w:tc>
          <w:tcPr>
            <w:tcW w:w="1234" w:type="dxa"/>
            <w:vMerge w:val="continue"/>
            <w:tcBorders>
              <w:top w:val="nil"/>
              <w:bottom w:val="nil"/>
            </w:tcBorders>
            <w:vAlign w:val="top"/>
          </w:tcPr>
          <w:p w14:paraId="44D55BDC">
            <w:pPr>
              <w:rPr>
                <w:rFonts w:ascii="Arial"/>
                <w:sz w:val="21"/>
              </w:rPr>
            </w:pPr>
          </w:p>
        </w:tc>
      </w:tr>
      <w:tr w14:paraId="487E4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674" w:type="dxa"/>
            <w:vMerge w:val="continue"/>
            <w:tcBorders>
              <w:top w:val="nil"/>
              <w:bottom w:val="nil"/>
            </w:tcBorders>
            <w:vAlign w:val="top"/>
          </w:tcPr>
          <w:p w14:paraId="1279042D">
            <w:pPr>
              <w:rPr>
                <w:rFonts w:ascii="Arial"/>
                <w:sz w:val="21"/>
              </w:rPr>
            </w:pPr>
          </w:p>
        </w:tc>
        <w:tc>
          <w:tcPr>
            <w:tcW w:w="1087" w:type="dxa"/>
            <w:vMerge w:val="continue"/>
            <w:tcBorders>
              <w:top w:val="nil"/>
              <w:bottom w:val="nil"/>
              <w:right w:val="single" w:color="000000" w:sz="2" w:space="0"/>
            </w:tcBorders>
            <w:vAlign w:val="top"/>
          </w:tcPr>
          <w:p w14:paraId="63595721">
            <w:pPr>
              <w:rPr>
                <w:rFonts w:ascii="Arial"/>
                <w:sz w:val="21"/>
              </w:rPr>
            </w:pPr>
          </w:p>
        </w:tc>
        <w:tc>
          <w:tcPr>
            <w:tcW w:w="4014" w:type="dxa"/>
            <w:tcBorders>
              <w:left w:val="single" w:color="000000" w:sz="2" w:space="0"/>
            </w:tcBorders>
            <w:vAlign w:val="top"/>
          </w:tcPr>
          <w:p w14:paraId="42544FA0">
            <w:pPr>
              <w:pStyle w:val="6"/>
              <w:spacing w:before="151" w:line="216" w:lineRule="auto"/>
              <w:ind w:left="523"/>
            </w:pPr>
            <w:r>
              <w:rPr>
                <w:spacing w:val="6"/>
              </w:rPr>
              <w:t>拟建</w:t>
            </w:r>
            <w:r>
              <w:rPr>
                <w:spacing w:val="-18"/>
              </w:rPr>
              <w:t xml:space="preserve"> </w:t>
            </w: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松山变电站西侧厂界</w:t>
            </w:r>
          </w:p>
        </w:tc>
        <w:tc>
          <w:tcPr>
            <w:tcW w:w="1514" w:type="dxa"/>
            <w:vAlign w:val="top"/>
          </w:tcPr>
          <w:p w14:paraId="653C6084">
            <w:pPr>
              <w:pStyle w:val="6"/>
              <w:spacing w:before="91" w:line="227" w:lineRule="auto"/>
              <w:ind w:left="157"/>
            </w:pPr>
            <w:r>
              <w:rPr>
                <w:spacing w:val="4"/>
              </w:rPr>
              <w:t>曲靖市陆良县</w:t>
            </w:r>
          </w:p>
        </w:tc>
        <w:tc>
          <w:tcPr>
            <w:tcW w:w="1234" w:type="dxa"/>
            <w:vMerge w:val="continue"/>
            <w:tcBorders>
              <w:top w:val="nil"/>
              <w:bottom w:val="nil"/>
            </w:tcBorders>
            <w:vAlign w:val="top"/>
          </w:tcPr>
          <w:p w14:paraId="7424A909">
            <w:pPr>
              <w:rPr>
                <w:rFonts w:ascii="Arial"/>
                <w:sz w:val="21"/>
              </w:rPr>
            </w:pPr>
          </w:p>
        </w:tc>
      </w:tr>
      <w:tr w14:paraId="7B376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674" w:type="dxa"/>
            <w:vMerge w:val="continue"/>
            <w:tcBorders>
              <w:top w:val="nil"/>
            </w:tcBorders>
            <w:vAlign w:val="top"/>
          </w:tcPr>
          <w:p w14:paraId="00806D6F">
            <w:pPr>
              <w:rPr>
                <w:rFonts w:ascii="Arial"/>
                <w:sz w:val="21"/>
              </w:rPr>
            </w:pPr>
          </w:p>
        </w:tc>
        <w:tc>
          <w:tcPr>
            <w:tcW w:w="1087" w:type="dxa"/>
            <w:vMerge w:val="continue"/>
            <w:tcBorders>
              <w:top w:val="nil"/>
              <w:right w:val="single" w:color="000000" w:sz="2" w:space="0"/>
            </w:tcBorders>
            <w:vAlign w:val="top"/>
          </w:tcPr>
          <w:p w14:paraId="0DA9408E">
            <w:pPr>
              <w:rPr>
                <w:rFonts w:ascii="Arial"/>
                <w:sz w:val="21"/>
              </w:rPr>
            </w:pPr>
          </w:p>
        </w:tc>
        <w:tc>
          <w:tcPr>
            <w:tcW w:w="4014" w:type="dxa"/>
            <w:tcBorders>
              <w:left w:val="single" w:color="000000" w:sz="2" w:space="0"/>
            </w:tcBorders>
            <w:vAlign w:val="top"/>
          </w:tcPr>
          <w:p w14:paraId="605EDEB2">
            <w:pPr>
              <w:pStyle w:val="6"/>
              <w:spacing w:before="153" w:line="215" w:lineRule="auto"/>
              <w:ind w:left="523"/>
            </w:pPr>
            <w:r>
              <w:rPr>
                <w:spacing w:val="6"/>
              </w:rPr>
              <w:t>拟建</w:t>
            </w:r>
            <w:r>
              <w:rPr>
                <w:spacing w:val="-18"/>
              </w:rPr>
              <w:t xml:space="preserve"> </w:t>
            </w: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松山变电站北侧厂界</w:t>
            </w:r>
          </w:p>
        </w:tc>
        <w:tc>
          <w:tcPr>
            <w:tcW w:w="1514" w:type="dxa"/>
            <w:vAlign w:val="top"/>
          </w:tcPr>
          <w:p w14:paraId="7B4699A4">
            <w:pPr>
              <w:pStyle w:val="6"/>
              <w:spacing w:before="93" w:line="227" w:lineRule="auto"/>
              <w:ind w:left="157"/>
            </w:pPr>
            <w:r>
              <w:rPr>
                <w:spacing w:val="4"/>
              </w:rPr>
              <w:t>曲靖市陆良县</w:t>
            </w:r>
          </w:p>
        </w:tc>
        <w:tc>
          <w:tcPr>
            <w:tcW w:w="1234" w:type="dxa"/>
            <w:vMerge w:val="continue"/>
            <w:tcBorders>
              <w:top w:val="nil"/>
            </w:tcBorders>
            <w:vAlign w:val="top"/>
          </w:tcPr>
          <w:p w14:paraId="3F665243">
            <w:pPr>
              <w:rPr>
                <w:rFonts w:ascii="Arial"/>
                <w:sz w:val="21"/>
              </w:rPr>
            </w:pPr>
          </w:p>
        </w:tc>
      </w:tr>
      <w:tr w14:paraId="26902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74" w:type="dxa"/>
            <w:vAlign w:val="top"/>
          </w:tcPr>
          <w:p w14:paraId="2666B7B4">
            <w:pPr>
              <w:spacing w:before="265" w:line="195" w:lineRule="auto"/>
              <w:ind w:left="281"/>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087" w:type="dxa"/>
            <w:vMerge w:val="restart"/>
            <w:tcBorders>
              <w:bottom w:val="nil"/>
              <w:right w:val="single" w:color="000000" w:sz="2" w:space="0"/>
            </w:tcBorders>
            <w:vAlign w:val="top"/>
          </w:tcPr>
          <w:p w14:paraId="1DD9036F">
            <w:pPr>
              <w:spacing w:line="291" w:lineRule="auto"/>
              <w:rPr>
                <w:rFonts w:ascii="Arial"/>
                <w:sz w:val="21"/>
              </w:rPr>
            </w:pPr>
          </w:p>
          <w:p w14:paraId="04EADA5B">
            <w:pPr>
              <w:spacing w:line="292" w:lineRule="auto"/>
              <w:rPr>
                <w:rFonts w:ascii="Arial"/>
                <w:sz w:val="21"/>
              </w:rPr>
            </w:pPr>
          </w:p>
          <w:p w14:paraId="3A9E7EF0">
            <w:pPr>
              <w:pStyle w:val="6"/>
              <w:spacing w:before="65" w:line="227" w:lineRule="auto"/>
              <w:ind w:left="333"/>
            </w:pPr>
            <w:r>
              <w:rPr>
                <w:spacing w:val="4"/>
              </w:rPr>
              <w:t>拟建</w:t>
            </w:r>
          </w:p>
          <w:p w14:paraId="0805CB29">
            <w:pPr>
              <w:pStyle w:val="6"/>
              <w:spacing w:before="63" w:line="289" w:lineRule="auto"/>
              <w:ind w:left="107" w:right="125" w:firstLine="38"/>
              <w:jc w:val="right"/>
            </w:pPr>
            <w:r>
              <w:rPr>
                <w:rFonts w:ascii="Times New Roman" w:hAnsi="Times New Roman" w:eastAsia="Times New Roman" w:cs="Times New Roman"/>
                <w:spacing w:val="-1"/>
              </w:rPr>
              <w:t>110kV</w:t>
            </w:r>
            <w:r>
              <w:rPr>
                <w:rFonts w:ascii="Times New Roman" w:hAnsi="Times New Roman" w:eastAsia="Times New Roman" w:cs="Times New Roman"/>
                <w:spacing w:val="11"/>
              </w:rPr>
              <w:t xml:space="preserve"> </w:t>
            </w:r>
            <w:r>
              <w:rPr>
                <w:spacing w:val="-1"/>
              </w:rPr>
              <w:t>接</w:t>
            </w:r>
            <w:r>
              <w:rPr>
                <w:spacing w:val="5"/>
              </w:rPr>
              <w:t>入</w:t>
            </w:r>
            <w:r>
              <w:rPr>
                <w:spacing w:val="-41"/>
              </w:rPr>
              <w:t xml:space="preserve"> </w:t>
            </w:r>
            <w:r>
              <w:rPr>
                <w:rFonts w:ascii="Times New Roman" w:hAnsi="Times New Roman" w:eastAsia="Times New Roman" w:cs="Times New Roman"/>
                <w:spacing w:val="5"/>
              </w:rPr>
              <w:t>220</w:t>
            </w:r>
            <w:r>
              <w:rPr>
                <w:rFonts w:ascii="Times New Roman" w:hAnsi="Times New Roman" w:eastAsia="Times New Roman" w:cs="Times New Roman"/>
              </w:rPr>
              <w:t>kV</w:t>
            </w:r>
            <w:r>
              <w:rPr>
                <w:spacing w:val="11"/>
              </w:rPr>
              <w:t>芳华变线路沿线电磁环境保</w:t>
            </w:r>
            <w:r>
              <w:rPr>
                <w:spacing w:val="6"/>
              </w:rPr>
              <w:t>护目标</w:t>
            </w:r>
          </w:p>
        </w:tc>
        <w:tc>
          <w:tcPr>
            <w:tcW w:w="4014" w:type="dxa"/>
            <w:tcBorders>
              <w:left w:val="single" w:color="000000" w:sz="2" w:space="0"/>
            </w:tcBorders>
            <w:vAlign w:val="top"/>
          </w:tcPr>
          <w:p w14:paraId="1E21FF17">
            <w:pPr>
              <w:pStyle w:val="6"/>
              <w:spacing w:before="155" w:line="227" w:lineRule="auto"/>
              <w:ind w:left="110"/>
            </w:pPr>
            <w:r>
              <w:rPr>
                <w:spacing w:val="4"/>
              </w:rPr>
              <w:t>拟建</w:t>
            </w:r>
            <w:r>
              <w:rPr>
                <w:spacing w:val="-22"/>
              </w:rPr>
              <w:t xml:space="preserve"> </w:t>
            </w: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接入</w:t>
            </w:r>
            <w:r>
              <w:rPr>
                <w:spacing w:val="-57"/>
              </w:rPr>
              <w:t xml:space="preserve"> </w:t>
            </w:r>
            <w:r>
              <w:rPr>
                <w:rFonts w:ascii="Times New Roman" w:hAnsi="Times New Roman" w:eastAsia="Times New Roman" w:cs="Times New Roman"/>
                <w:spacing w:val="4"/>
              </w:rPr>
              <w:t>220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芳华变线路西侧芦</w:t>
            </w:r>
          </w:p>
          <w:p w14:paraId="479C7B3C">
            <w:pPr>
              <w:pStyle w:val="6"/>
              <w:spacing w:before="25" w:line="214" w:lineRule="auto"/>
              <w:ind w:left="1485"/>
            </w:pPr>
            <w:r>
              <w:rPr>
                <w:spacing w:val="8"/>
              </w:rPr>
              <w:t>旗堡居民楼</w:t>
            </w:r>
          </w:p>
        </w:tc>
        <w:tc>
          <w:tcPr>
            <w:tcW w:w="1514" w:type="dxa"/>
            <w:vAlign w:val="top"/>
          </w:tcPr>
          <w:p w14:paraId="61219A7E">
            <w:pPr>
              <w:pStyle w:val="6"/>
              <w:spacing w:before="229" w:line="227" w:lineRule="auto"/>
              <w:ind w:left="157"/>
            </w:pPr>
            <w:r>
              <w:rPr>
                <w:spacing w:val="4"/>
              </w:rPr>
              <w:t>曲靖市陆良县</w:t>
            </w:r>
          </w:p>
        </w:tc>
        <w:tc>
          <w:tcPr>
            <w:tcW w:w="1234" w:type="dxa"/>
            <w:vMerge w:val="restart"/>
            <w:tcBorders>
              <w:bottom w:val="nil"/>
            </w:tcBorders>
            <w:vAlign w:val="top"/>
          </w:tcPr>
          <w:p w14:paraId="035DD2E0">
            <w:pPr>
              <w:spacing w:line="293" w:lineRule="auto"/>
              <w:rPr>
                <w:rFonts w:ascii="Arial"/>
                <w:sz w:val="21"/>
              </w:rPr>
            </w:pPr>
          </w:p>
          <w:p w14:paraId="164A6E27">
            <w:pPr>
              <w:spacing w:line="293" w:lineRule="auto"/>
              <w:rPr>
                <w:rFonts w:ascii="Arial"/>
                <w:sz w:val="21"/>
              </w:rPr>
            </w:pPr>
          </w:p>
          <w:p w14:paraId="33D1B975">
            <w:pPr>
              <w:pStyle w:val="6"/>
              <w:spacing w:before="65" w:line="288" w:lineRule="auto"/>
              <w:ind w:left="114" w:right="122" w:firstLine="94"/>
              <w:jc w:val="both"/>
            </w:pPr>
            <w:r>
              <w:rPr>
                <w:spacing w:val="5"/>
              </w:rPr>
              <w:t>能反映拟</w:t>
            </w:r>
            <w:r>
              <w:rPr>
                <w:spacing w:val="29"/>
              </w:rPr>
              <w:t>建线路电磁环境评价范围内的保护目标处的电</w:t>
            </w:r>
            <w:r>
              <w:rPr>
                <w:spacing w:val="-3"/>
              </w:rPr>
              <w:t>磁环境值；</w:t>
            </w:r>
          </w:p>
        </w:tc>
      </w:tr>
      <w:tr w14:paraId="55B68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74" w:type="dxa"/>
            <w:vAlign w:val="top"/>
          </w:tcPr>
          <w:p w14:paraId="38CBC555">
            <w:pPr>
              <w:spacing w:before="268" w:line="195" w:lineRule="auto"/>
              <w:ind w:left="285"/>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087" w:type="dxa"/>
            <w:vMerge w:val="continue"/>
            <w:tcBorders>
              <w:top w:val="nil"/>
              <w:bottom w:val="nil"/>
              <w:right w:val="single" w:color="000000" w:sz="2" w:space="0"/>
            </w:tcBorders>
            <w:vAlign w:val="top"/>
          </w:tcPr>
          <w:p w14:paraId="48222CD7">
            <w:pPr>
              <w:rPr>
                <w:rFonts w:ascii="Arial"/>
                <w:sz w:val="21"/>
              </w:rPr>
            </w:pPr>
          </w:p>
        </w:tc>
        <w:tc>
          <w:tcPr>
            <w:tcW w:w="4014" w:type="dxa"/>
            <w:tcBorders>
              <w:left w:val="single" w:color="000000" w:sz="2" w:space="0"/>
            </w:tcBorders>
            <w:vAlign w:val="top"/>
          </w:tcPr>
          <w:p w14:paraId="36E01826">
            <w:pPr>
              <w:pStyle w:val="6"/>
              <w:spacing w:before="155" w:line="227" w:lineRule="auto"/>
              <w:ind w:left="110"/>
            </w:pPr>
            <w:r>
              <w:rPr>
                <w:spacing w:val="4"/>
              </w:rPr>
              <w:t>拟建</w:t>
            </w:r>
            <w:r>
              <w:rPr>
                <w:spacing w:val="-22"/>
              </w:rPr>
              <w:t xml:space="preserve"> </w:t>
            </w: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接入</w:t>
            </w:r>
            <w:r>
              <w:rPr>
                <w:spacing w:val="-57"/>
              </w:rPr>
              <w:t xml:space="preserve"> </w:t>
            </w:r>
            <w:r>
              <w:rPr>
                <w:rFonts w:ascii="Times New Roman" w:hAnsi="Times New Roman" w:eastAsia="Times New Roman" w:cs="Times New Roman"/>
                <w:spacing w:val="4"/>
              </w:rPr>
              <w:t>220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芳华变线路东侧临</w:t>
            </w:r>
          </w:p>
          <w:p w14:paraId="75375744">
            <w:pPr>
              <w:pStyle w:val="6"/>
              <w:spacing w:before="25" w:line="214" w:lineRule="auto"/>
              <w:ind w:left="1392"/>
            </w:pPr>
            <w:r>
              <w:rPr>
                <w:spacing w:val="6"/>
              </w:rPr>
              <w:t>时菜地看护房</w:t>
            </w:r>
          </w:p>
        </w:tc>
        <w:tc>
          <w:tcPr>
            <w:tcW w:w="1514" w:type="dxa"/>
            <w:vAlign w:val="top"/>
          </w:tcPr>
          <w:p w14:paraId="734D5A81">
            <w:pPr>
              <w:pStyle w:val="6"/>
              <w:spacing w:before="232" w:line="227" w:lineRule="auto"/>
              <w:ind w:left="157"/>
            </w:pPr>
            <w:r>
              <w:rPr>
                <w:spacing w:val="4"/>
              </w:rPr>
              <w:t>曲靖市陆良县</w:t>
            </w:r>
          </w:p>
        </w:tc>
        <w:tc>
          <w:tcPr>
            <w:tcW w:w="1234" w:type="dxa"/>
            <w:vMerge w:val="continue"/>
            <w:tcBorders>
              <w:top w:val="nil"/>
              <w:bottom w:val="nil"/>
            </w:tcBorders>
            <w:vAlign w:val="top"/>
          </w:tcPr>
          <w:p w14:paraId="0363EF82">
            <w:pPr>
              <w:rPr>
                <w:rFonts w:ascii="Arial"/>
                <w:sz w:val="21"/>
              </w:rPr>
            </w:pPr>
          </w:p>
        </w:tc>
      </w:tr>
      <w:tr w14:paraId="2CA16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8" w:hRule="atLeast"/>
        </w:trPr>
        <w:tc>
          <w:tcPr>
            <w:tcW w:w="674" w:type="dxa"/>
            <w:vAlign w:val="top"/>
          </w:tcPr>
          <w:p w14:paraId="45EC6088">
            <w:pPr>
              <w:spacing w:before="266" w:line="195" w:lineRule="auto"/>
              <w:ind w:left="28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087" w:type="dxa"/>
            <w:vMerge w:val="continue"/>
            <w:tcBorders>
              <w:top w:val="nil"/>
              <w:bottom w:val="nil"/>
              <w:right w:val="single" w:color="000000" w:sz="2" w:space="0"/>
            </w:tcBorders>
            <w:vAlign w:val="top"/>
          </w:tcPr>
          <w:p w14:paraId="3AA0890B">
            <w:pPr>
              <w:rPr>
                <w:rFonts w:ascii="Arial"/>
                <w:sz w:val="21"/>
              </w:rPr>
            </w:pPr>
          </w:p>
        </w:tc>
        <w:tc>
          <w:tcPr>
            <w:tcW w:w="4014" w:type="dxa"/>
            <w:tcBorders>
              <w:left w:val="single" w:color="000000" w:sz="2" w:space="0"/>
            </w:tcBorders>
            <w:vAlign w:val="top"/>
          </w:tcPr>
          <w:p w14:paraId="48283D93">
            <w:pPr>
              <w:pStyle w:val="6"/>
              <w:spacing w:before="155" w:line="227" w:lineRule="auto"/>
              <w:ind w:left="110"/>
            </w:pPr>
            <w:r>
              <w:rPr>
                <w:spacing w:val="4"/>
              </w:rPr>
              <w:t>拟建</w:t>
            </w:r>
            <w:r>
              <w:rPr>
                <w:spacing w:val="-22"/>
              </w:rPr>
              <w:t xml:space="preserve"> </w:t>
            </w: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接入</w:t>
            </w:r>
            <w:r>
              <w:rPr>
                <w:spacing w:val="-57"/>
              </w:rPr>
              <w:t xml:space="preserve"> </w:t>
            </w:r>
            <w:r>
              <w:rPr>
                <w:rFonts w:ascii="Times New Roman" w:hAnsi="Times New Roman" w:eastAsia="Times New Roman" w:cs="Times New Roman"/>
                <w:spacing w:val="4"/>
              </w:rPr>
              <w:t>220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芳华变线路北侧临</w:t>
            </w:r>
          </w:p>
          <w:p w14:paraId="4D676AE4">
            <w:pPr>
              <w:pStyle w:val="6"/>
              <w:spacing w:before="25" w:line="213" w:lineRule="auto"/>
              <w:ind w:left="1392"/>
            </w:pPr>
            <w:r>
              <w:rPr>
                <w:spacing w:val="6"/>
              </w:rPr>
              <w:t>时菜地看护房</w:t>
            </w:r>
          </w:p>
        </w:tc>
        <w:tc>
          <w:tcPr>
            <w:tcW w:w="1514" w:type="dxa"/>
            <w:vAlign w:val="top"/>
          </w:tcPr>
          <w:p w14:paraId="66032FB9">
            <w:pPr>
              <w:pStyle w:val="6"/>
              <w:spacing w:before="230" w:line="227" w:lineRule="auto"/>
              <w:ind w:left="157"/>
            </w:pPr>
            <w:r>
              <w:rPr>
                <w:spacing w:val="4"/>
              </w:rPr>
              <w:t>曲靖市陆良县</w:t>
            </w:r>
          </w:p>
        </w:tc>
        <w:tc>
          <w:tcPr>
            <w:tcW w:w="1234" w:type="dxa"/>
            <w:vMerge w:val="continue"/>
            <w:tcBorders>
              <w:top w:val="nil"/>
              <w:bottom w:val="nil"/>
            </w:tcBorders>
            <w:vAlign w:val="top"/>
          </w:tcPr>
          <w:p w14:paraId="4CAC45D6">
            <w:pPr>
              <w:rPr>
                <w:rFonts w:ascii="Arial"/>
                <w:sz w:val="21"/>
              </w:rPr>
            </w:pPr>
          </w:p>
        </w:tc>
      </w:tr>
      <w:tr w14:paraId="19E59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74" w:type="dxa"/>
            <w:vAlign w:val="top"/>
          </w:tcPr>
          <w:p w14:paraId="6DD1B015">
            <w:pPr>
              <w:spacing w:before="272" w:line="192" w:lineRule="auto"/>
              <w:ind w:left="287"/>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087" w:type="dxa"/>
            <w:vMerge w:val="continue"/>
            <w:tcBorders>
              <w:top w:val="nil"/>
              <w:bottom w:val="nil"/>
              <w:right w:val="single" w:color="000000" w:sz="2" w:space="0"/>
            </w:tcBorders>
            <w:vAlign w:val="top"/>
          </w:tcPr>
          <w:p w14:paraId="0B1DED3C">
            <w:pPr>
              <w:rPr>
                <w:rFonts w:ascii="Arial"/>
                <w:sz w:val="21"/>
              </w:rPr>
            </w:pPr>
          </w:p>
        </w:tc>
        <w:tc>
          <w:tcPr>
            <w:tcW w:w="4014" w:type="dxa"/>
            <w:tcBorders>
              <w:left w:val="single" w:color="000000" w:sz="2" w:space="0"/>
            </w:tcBorders>
            <w:vAlign w:val="top"/>
          </w:tcPr>
          <w:p w14:paraId="1B7C8308">
            <w:pPr>
              <w:pStyle w:val="6"/>
              <w:spacing w:before="156" w:line="227" w:lineRule="auto"/>
              <w:ind w:left="110"/>
            </w:pPr>
            <w:r>
              <w:rPr>
                <w:spacing w:val="4"/>
              </w:rPr>
              <w:t>拟建</w:t>
            </w:r>
            <w:r>
              <w:rPr>
                <w:spacing w:val="-22"/>
              </w:rPr>
              <w:t xml:space="preserve"> </w:t>
            </w: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接入</w:t>
            </w:r>
            <w:r>
              <w:rPr>
                <w:spacing w:val="-57"/>
              </w:rPr>
              <w:t xml:space="preserve"> </w:t>
            </w:r>
            <w:r>
              <w:rPr>
                <w:rFonts w:ascii="Times New Roman" w:hAnsi="Times New Roman" w:eastAsia="Times New Roman" w:cs="Times New Roman"/>
                <w:spacing w:val="4"/>
              </w:rPr>
              <w:t>220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芳华变线路南侧临</w:t>
            </w:r>
          </w:p>
          <w:p w14:paraId="24F5F211">
            <w:pPr>
              <w:pStyle w:val="6"/>
              <w:spacing w:before="25" w:line="213" w:lineRule="auto"/>
              <w:ind w:left="1392"/>
            </w:pPr>
            <w:r>
              <w:rPr>
                <w:spacing w:val="6"/>
              </w:rPr>
              <w:t>时菜地看护房</w:t>
            </w:r>
          </w:p>
        </w:tc>
        <w:tc>
          <w:tcPr>
            <w:tcW w:w="1514" w:type="dxa"/>
            <w:vAlign w:val="top"/>
          </w:tcPr>
          <w:p w14:paraId="5ACD7CC5">
            <w:pPr>
              <w:pStyle w:val="6"/>
              <w:spacing w:before="233" w:line="227" w:lineRule="auto"/>
              <w:ind w:left="157"/>
            </w:pPr>
            <w:r>
              <w:rPr>
                <w:spacing w:val="4"/>
              </w:rPr>
              <w:t>曲靖市陆良县</w:t>
            </w:r>
          </w:p>
        </w:tc>
        <w:tc>
          <w:tcPr>
            <w:tcW w:w="1234" w:type="dxa"/>
            <w:vMerge w:val="continue"/>
            <w:tcBorders>
              <w:top w:val="nil"/>
              <w:bottom w:val="nil"/>
            </w:tcBorders>
            <w:vAlign w:val="top"/>
          </w:tcPr>
          <w:p w14:paraId="24A0620B">
            <w:pPr>
              <w:rPr>
                <w:rFonts w:ascii="Arial"/>
                <w:sz w:val="21"/>
              </w:rPr>
            </w:pPr>
          </w:p>
        </w:tc>
      </w:tr>
      <w:tr w14:paraId="118E8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674" w:type="dxa"/>
            <w:vAlign w:val="top"/>
          </w:tcPr>
          <w:p w14:paraId="3D34ED6D">
            <w:pPr>
              <w:spacing w:before="269" w:line="195" w:lineRule="auto"/>
              <w:ind w:left="285"/>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087" w:type="dxa"/>
            <w:vMerge w:val="continue"/>
            <w:tcBorders>
              <w:top w:val="nil"/>
              <w:right w:val="single" w:color="000000" w:sz="2" w:space="0"/>
            </w:tcBorders>
            <w:vAlign w:val="top"/>
          </w:tcPr>
          <w:p w14:paraId="069A2E6C">
            <w:pPr>
              <w:rPr>
                <w:rFonts w:ascii="Arial"/>
                <w:sz w:val="21"/>
              </w:rPr>
            </w:pPr>
          </w:p>
        </w:tc>
        <w:tc>
          <w:tcPr>
            <w:tcW w:w="4014" w:type="dxa"/>
            <w:tcBorders>
              <w:left w:val="single" w:color="000000" w:sz="2" w:space="0"/>
            </w:tcBorders>
            <w:vAlign w:val="top"/>
          </w:tcPr>
          <w:p w14:paraId="67A0AF6E">
            <w:pPr>
              <w:pStyle w:val="6"/>
              <w:spacing w:before="157" w:line="227" w:lineRule="auto"/>
              <w:ind w:left="110"/>
            </w:pPr>
            <w:r>
              <w:rPr>
                <w:spacing w:val="4"/>
              </w:rPr>
              <w:t>拟建</w:t>
            </w:r>
            <w:r>
              <w:rPr>
                <w:spacing w:val="-22"/>
              </w:rPr>
              <w:t xml:space="preserve"> </w:t>
            </w: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接入</w:t>
            </w:r>
            <w:r>
              <w:rPr>
                <w:spacing w:val="-57"/>
              </w:rPr>
              <w:t xml:space="preserve"> </w:t>
            </w:r>
            <w:r>
              <w:rPr>
                <w:rFonts w:ascii="Times New Roman" w:hAnsi="Times New Roman" w:eastAsia="Times New Roman" w:cs="Times New Roman"/>
                <w:spacing w:val="4"/>
              </w:rPr>
              <w:t>220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芳华变线路北侧临</w:t>
            </w:r>
          </w:p>
          <w:p w14:paraId="4E4041DB">
            <w:pPr>
              <w:pStyle w:val="6"/>
              <w:spacing w:before="27" w:line="215" w:lineRule="auto"/>
              <w:ind w:left="1392"/>
            </w:pPr>
            <w:r>
              <w:rPr>
                <w:spacing w:val="6"/>
              </w:rPr>
              <w:t>时菜地看护房</w:t>
            </w:r>
          </w:p>
        </w:tc>
        <w:tc>
          <w:tcPr>
            <w:tcW w:w="1514" w:type="dxa"/>
            <w:vAlign w:val="top"/>
          </w:tcPr>
          <w:p w14:paraId="32E0256F">
            <w:pPr>
              <w:pStyle w:val="6"/>
              <w:spacing w:before="233" w:line="227" w:lineRule="auto"/>
              <w:ind w:left="157"/>
            </w:pPr>
            <w:r>
              <w:rPr>
                <w:spacing w:val="4"/>
              </w:rPr>
              <w:t>曲靖市陆良县</w:t>
            </w:r>
          </w:p>
        </w:tc>
        <w:tc>
          <w:tcPr>
            <w:tcW w:w="1234" w:type="dxa"/>
            <w:vMerge w:val="continue"/>
            <w:tcBorders>
              <w:top w:val="nil"/>
            </w:tcBorders>
            <w:vAlign w:val="top"/>
          </w:tcPr>
          <w:p w14:paraId="0BD0916E">
            <w:pPr>
              <w:rPr>
                <w:rFonts w:ascii="Arial"/>
                <w:sz w:val="21"/>
              </w:rPr>
            </w:pPr>
          </w:p>
        </w:tc>
      </w:tr>
    </w:tbl>
    <w:p w14:paraId="3AB770BB">
      <w:pPr>
        <w:rPr>
          <w:rFonts w:ascii="Arial"/>
          <w:sz w:val="21"/>
        </w:rPr>
      </w:pPr>
    </w:p>
    <w:p w14:paraId="15BF6AEA">
      <w:pPr>
        <w:rPr>
          <w:rFonts w:ascii="Arial" w:hAnsi="Arial" w:eastAsia="Arial" w:cs="Arial"/>
          <w:sz w:val="21"/>
          <w:szCs w:val="21"/>
        </w:rPr>
        <w:sectPr>
          <w:footerReference r:id="rId169" w:type="default"/>
          <w:pgSz w:w="11906" w:h="16839"/>
          <w:pgMar w:top="400" w:right="1686" w:bottom="1147" w:left="1685" w:header="0" w:footer="960" w:gutter="0"/>
          <w:cols w:space="720" w:num="1"/>
        </w:sectPr>
      </w:pPr>
    </w:p>
    <w:p w14:paraId="6455EDED">
      <w:pPr>
        <w:spacing w:before="19"/>
      </w:pPr>
    </w:p>
    <w:p w14:paraId="130BC8AC">
      <w:pPr>
        <w:spacing w:before="19"/>
      </w:pPr>
    </w:p>
    <w:p w14:paraId="34BA9E23">
      <w:pPr>
        <w:spacing w:before="18"/>
      </w:pPr>
    </w:p>
    <w:p w14:paraId="35789E0D">
      <w:pPr>
        <w:spacing w:before="18"/>
      </w:pPr>
    </w:p>
    <w:tbl>
      <w:tblPr>
        <w:tblStyle w:val="5"/>
        <w:tblW w:w="852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4"/>
        <w:gridCol w:w="1087"/>
        <w:gridCol w:w="4014"/>
        <w:gridCol w:w="1514"/>
        <w:gridCol w:w="1234"/>
      </w:tblGrid>
      <w:tr w14:paraId="269B6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7" w:hRule="atLeast"/>
        </w:trPr>
        <w:tc>
          <w:tcPr>
            <w:tcW w:w="674" w:type="dxa"/>
            <w:vAlign w:val="top"/>
          </w:tcPr>
          <w:p w14:paraId="04CF4DC8">
            <w:pPr>
              <w:spacing w:before="270" w:line="192" w:lineRule="auto"/>
              <w:ind w:left="284"/>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087" w:type="dxa"/>
            <w:vMerge w:val="restart"/>
            <w:tcBorders>
              <w:bottom w:val="nil"/>
              <w:right w:val="single" w:color="000000" w:sz="2" w:space="0"/>
            </w:tcBorders>
            <w:vAlign w:val="top"/>
          </w:tcPr>
          <w:p w14:paraId="6D153A0A">
            <w:pPr>
              <w:rPr>
                <w:rFonts w:ascii="Arial"/>
                <w:sz w:val="21"/>
              </w:rPr>
            </w:pPr>
          </w:p>
        </w:tc>
        <w:tc>
          <w:tcPr>
            <w:tcW w:w="4014" w:type="dxa"/>
            <w:tcBorders>
              <w:left w:val="single" w:color="000000" w:sz="2" w:space="0"/>
            </w:tcBorders>
            <w:vAlign w:val="top"/>
          </w:tcPr>
          <w:p w14:paraId="23B3F8EA">
            <w:pPr>
              <w:pStyle w:val="6"/>
              <w:spacing w:before="156" w:line="227" w:lineRule="auto"/>
              <w:ind w:left="110"/>
            </w:pPr>
            <w:r>
              <w:rPr>
                <w:spacing w:val="4"/>
              </w:rPr>
              <w:t>拟建</w:t>
            </w:r>
            <w:r>
              <w:rPr>
                <w:spacing w:val="-22"/>
              </w:rPr>
              <w:t xml:space="preserve"> </w:t>
            </w: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接入</w:t>
            </w:r>
            <w:r>
              <w:rPr>
                <w:spacing w:val="-57"/>
              </w:rPr>
              <w:t xml:space="preserve"> </w:t>
            </w:r>
            <w:r>
              <w:rPr>
                <w:rFonts w:ascii="Times New Roman" w:hAnsi="Times New Roman" w:eastAsia="Times New Roman" w:cs="Times New Roman"/>
                <w:spacing w:val="4"/>
              </w:rPr>
              <w:t>220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芳华变线路南侧临</w:t>
            </w:r>
          </w:p>
          <w:p w14:paraId="467AC222">
            <w:pPr>
              <w:pStyle w:val="6"/>
              <w:spacing w:before="25" w:line="220" w:lineRule="auto"/>
              <w:ind w:left="1392"/>
            </w:pPr>
            <w:r>
              <w:rPr>
                <w:spacing w:val="6"/>
              </w:rPr>
              <w:t>时菜地看护房</w:t>
            </w:r>
          </w:p>
        </w:tc>
        <w:tc>
          <w:tcPr>
            <w:tcW w:w="1514" w:type="dxa"/>
            <w:vAlign w:val="top"/>
          </w:tcPr>
          <w:p w14:paraId="0C51A09B">
            <w:pPr>
              <w:pStyle w:val="6"/>
              <w:spacing w:before="231" w:line="227" w:lineRule="auto"/>
              <w:ind w:left="157"/>
            </w:pPr>
            <w:r>
              <w:rPr>
                <w:spacing w:val="4"/>
              </w:rPr>
              <w:t>曲靖市陆良县</w:t>
            </w:r>
          </w:p>
        </w:tc>
        <w:tc>
          <w:tcPr>
            <w:tcW w:w="1234" w:type="dxa"/>
            <w:vMerge w:val="restart"/>
            <w:tcBorders>
              <w:bottom w:val="nil"/>
            </w:tcBorders>
            <w:vAlign w:val="top"/>
          </w:tcPr>
          <w:p w14:paraId="619FBF71">
            <w:pPr>
              <w:rPr>
                <w:rFonts w:ascii="Arial"/>
                <w:sz w:val="21"/>
              </w:rPr>
            </w:pPr>
          </w:p>
        </w:tc>
      </w:tr>
      <w:tr w14:paraId="2132B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74" w:type="dxa"/>
            <w:vAlign w:val="top"/>
          </w:tcPr>
          <w:p w14:paraId="360EAA4B">
            <w:pPr>
              <w:spacing w:before="259" w:line="195" w:lineRule="auto"/>
              <w:ind w:left="289"/>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087" w:type="dxa"/>
            <w:vMerge w:val="continue"/>
            <w:tcBorders>
              <w:top w:val="nil"/>
              <w:bottom w:val="nil"/>
              <w:right w:val="single" w:color="000000" w:sz="2" w:space="0"/>
            </w:tcBorders>
            <w:vAlign w:val="top"/>
          </w:tcPr>
          <w:p w14:paraId="51C2F3B4">
            <w:pPr>
              <w:rPr>
                <w:rFonts w:ascii="Arial"/>
                <w:sz w:val="21"/>
              </w:rPr>
            </w:pPr>
          </w:p>
        </w:tc>
        <w:tc>
          <w:tcPr>
            <w:tcW w:w="4014" w:type="dxa"/>
            <w:tcBorders>
              <w:left w:val="single" w:color="000000" w:sz="2" w:space="0"/>
            </w:tcBorders>
            <w:vAlign w:val="top"/>
          </w:tcPr>
          <w:p w14:paraId="61D30BF7">
            <w:pPr>
              <w:pStyle w:val="6"/>
              <w:spacing w:before="149" w:line="227" w:lineRule="auto"/>
              <w:ind w:left="110"/>
            </w:pPr>
            <w:r>
              <w:rPr>
                <w:spacing w:val="4"/>
              </w:rPr>
              <w:t>拟建</w:t>
            </w:r>
            <w:r>
              <w:rPr>
                <w:spacing w:val="-22"/>
              </w:rPr>
              <w:t xml:space="preserve"> </w:t>
            </w: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接入</w:t>
            </w:r>
            <w:r>
              <w:rPr>
                <w:spacing w:val="-57"/>
              </w:rPr>
              <w:t xml:space="preserve"> </w:t>
            </w:r>
            <w:r>
              <w:rPr>
                <w:rFonts w:ascii="Times New Roman" w:hAnsi="Times New Roman" w:eastAsia="Times New Roman" w:cs="Times New Roman"/>
                <w:spacing w:val="4"/>
              </w:rPr>
              <w:t>220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芳华变线路北侧临</w:t>
            </w:r>
          </w:p>
          <w:p w14:paraId="070190AE">
            <w:pPr>
              <w:pStyle w:val="6"/>
              <w:spacing w:before="25" w:line="220" w:lineRule="auto"/>
              <w:ind w:left="1392"/>
            </w:pPr>
            <w:r>
              <w:rPr>
                <w:spacing w:val="6"/>
              </w:rPr>
              <w:t>时菜地看护房</w:t>
            </w:r>
          </w:p>
        </w:tc>
        <w:tc>
          <w:tcPr>
            <w:tcW w:w="1514" w:type="dxa"/>
            <w:vAlign w:val="top"/>
          </w:tcPr>
          <w:p w14:paraId="50698B2D">
            <w:pPr>
              <w:pStyle w:val="6"/>
              <w:spacing w:before="223" w:line="227" w:lineRule="auto"/>
              <w:ind w:left="157"/>
            </w:pPr>
            <w:r>
              <w:rPr>
                <w:spacing w:val="4"/>
              </w:rPr>
              <w:t>曲靖市陆良县</w:t>
            </w:r>
          </w:p>
        </w:tc>
        <w:tc>
          <w:tcPr>
            <w:tcW w:w="1234" w:type="dxa"/>
            <w:vMerge w:val="continue"/>
            <w:tcBorders>
              <w:top w:val="nil"/>
              <w:bottom w:val="nil"/>
            </w:tcBorders>
            <w:vAlign w:val="top"/>
          </w:tcPr>
          <w:p w14:paraId="4D196CC0">
            <w:pPr>
              <w:rPr>
                <w:rFonts w:ascii="Arial"/>
                <w:sz w:val="21"/>
              </w:rPr>
            </w:pPr>
          </w:p>
        </w:tc>
      </w:tr>
      <w:tr w14:paraId="0E543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74" w:type="dxa"/>
            <w:vAlign w:val="top"/>
          </w:tcPr>
          <w:p w14:paraId="63E94394">
            <w:pPr>
              <w:spacing w:before="262" w:line="195" w:lineRule="auto"/>
              <w:ind w:left="285"/>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087" w:type="dxa"/>
            <w:vMerge w:val="continue"/>
            <w:tcBorders>
              <w:top w:val="nil"/>
              <w:bottom w:val="nil"/>
              <w:right w:val="single" w:color="000000" w:sz="2" w:space="0"/>
            </w:tcBorders>
            <w:vAlign w:val="top"/>
          </w:tcPr>
          <w:p w14:paraId="7F50D0E9">
            <w:pPr>
              <w:rPr>
                <w:rFonts w:ascii="Arial"/>
                <w:sz w:val="21"/>
              </w:rPr>
            </w:pPr>
          </w:p>
        </w:tc>
        <w:tc>
          <w:tcPr>
            <w:tcW w:w="4014" w:type="dxa"/>
            <w:tcBorders>
              <w:left w:val="single" w:color="000000" w:sz="2" w:space="0"/>
            </w:tcBorders>
            <w:vAlign w:val="top"/>
          </w:tcPr>
          <w:p w14:paraId="3DA327F8">
            <w:pPr>
              <w:pStyle w:val="6"/>
              <w:spacing w:before="149" w:line="227" w:lineRule="auto"/>
              <w:ind w:left="110"/>
            </w:pPr>
            <w:r>
              <w:rPr>
                <w:spacing w:val="4"/>
              </w:rPr>
              <w:t>拟建</w:t>
            </w:r>
            <w:r>
              <w:rPr>
                <w:spacing w:val="-22"/>
              </w:rPr>
              <w:t xml:space="preserve"> </w:t>
            </w: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接入</w:t>
            </w:r>
            <w:r>
              <w:rPr>
                <w:spacing w:val="-57"/>
              </w:rPr>
              <w:t xml:space="preserve"> </w:t>
            </w:r>
            <w:r>
              <w:rPr>
                <w:rFonts w:ascii="Times New Roman" w:hAnsi="Times New Roman" w:eastAsia="Times New Roman" w:cs="Times New Roman"/>
                <w:spacing w:val="4"/>
              </w:rPr>
              <w:t>220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芳华变线路南侧临</w:t>
            </w:r>
          </w:p>
          <w:p w14:paraId="0C31A1C3">
            <w:pPr>
              <w:pStyle w:val="6"/>
              <w:spacing w:before="25" w:line="220" w:lineRule="auto"/>
              <w:ind w:left="1392"/>
            </w:pPr>
            <w:r>
              <w:rPr>
                <w:spacing w:val="6"/>
              </w:rPr>
              <w:t>时菜地看护房</w:t>
            </w:r>
          </w:p>
        </w:tc>
        <w:tc>
          <w:tcPr>
            <w:tcW w:w="1514" w:type="dxa"/>
            <w:vAlign w:val="top"/>
          </w:tcPr>
          <w:p w14:paraId="28557C54">
            <w:pPr>
              <w:pStyle w:val="6"/>
              <w:spacing w:before="226" w:line="227" w:lineRule="auto"/>
              <w:ind w:left="157"/>
            </w:pPr>
            <w:r>
              <w:rPr>
                <w:spacing w:val="4"/>
              </w:rPr>
              <w:t>曲靖市陆良县</w:t>
            </w:r>
          </w:p>
        </w:tc>
        <w:tc>
          <w:tcPr>
            <w:tcW w:w="1234" w:type="dxa"/>
            <w:vMerge w:val="continue"/>
            <w:tcBorders>
              <w:top w:val="nil"/>
              <w:bottom w:val="nil"/>
            </w:tcBorders>
            <w:vAlign w:val="top"/>
          </w:tcPr>
          <w:p w14:paraId="2B040462">
            <w:pPr>
              <w:rPr>
                <w:rFonts w:ascii="Arial"/>
                <w:sz w:val="21"/>
              </w:rPr>
            </w:pPr>
          </w:p>
        </w:tc>
      </w:tr>
      <w:tr w14:paraId="2887E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74" w:type="dxa"/>
            <w:vAlign w:val="top"/>
          </w:tcPr>
          <w:p w14:paraId="4BCCC281">
            <w:pPr>
              <w:spacing w:before="262"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087" w:type="dxa"/>
            <w:vMerge w:val="continue"/>
            <w:tcBorders>
              <w:top w:val="nil"/>
              <w:bottom w:val="nil"/>
              <w:right w:val="single" w:color="000000" w:sz="2" w:space="0"/>
            </w:tcBorders>
            <w:vAlign w:val="top"/>
          </w:tcPr>
          <w:p w14:paraId="368EE0F6">
            <w:pPr>
              <w:rPr>
                <w:rFonts w:ascii="Arial"/>
                <w:sz w:val="21"/>
              </w:rPr>
            </w:pPr>
          </w:p>
        </w:tc>
        <w:tc>
          <w:tcPr>
            <w:tcW w:w="4014" w:type="dxa"/>
            <w:tcBorders>
              <w:left w:val="single" w:color="000000" w:sz="2" w:space="0"/>
            </w:tcBorders>
            <w:vAlign w:val="top"/>
          </w:tcPr>
          <w:p w14:paraId="4CE95D20">
            <w:pPr>
              <w:pStyle w:val="6"/>
              <w:spacing w:before="149" w:line="227" w:lineRule="auto"/>
              <w:ind w:left="110"/>
            </w:pPr>
            <w:r>
              <w:rPr>
                <w:spacing w:val="4"/>
              </w:rPr>
              <w:t>拟建</w:t>
            </w:r>
            <w:r>
              <w:rPr>
                <w:spacing w:val="-22"/>
              </w:rPr>
              <w:t xml:space="preserve"> </w:t>
            </w: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接入</w:t>
            </w:r>
            <w:r>
              <w:rPr>
                <w:spacing w:val="-57"/>
              </w:rPr>
              <w:t xml:space="preserve"> </w:t>
            </w:r>
            <w:r>
              <w:rPr>
                <w:rFonts w:ascii="Times New Roman" w:hAnsi="Times New Roman" w:eastAsia="Times New Roman" w:cs="Times New Roman"/>
                <w:spacing w:val="4"/>
              </w:rPr>
              <w:t>220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芳华变线路东侧新</w:t>
            </w:r>
          </w:p>
          <w:p w14:paraId="496FD9C4">
            <w:pPr>
              <w:pStyle w:val="6"/>
              <w:spacing w:before="27" w:line="218" w:lineRule="auto"/>
              <w:ind w:left="1486"/>
            </w:pPr>
            <w:r>
              <w:rPr>
                <w:spacing w:val="7"/>
              </w:rPr>
              <w:t>华村居民楼</w:t>
            </w:r>
          </w:p>
        </w:tc>
        <w:tc>
          <w:tcPr>
            <w:tcW w:w="1514" w:type="dxa"/>
            <w:vAlign w:val="top"/>
          </w:tcPr>
          <w:p w14:paraId="3084C22D">
            <w:pPr>
              <w:pStyle w:val="6"/>
              <w:spacing w:before="226" w:line="227" w:lineRule="auto"/>
              <w:ind w:left="157"/>
            </w:pPr>
            <w:r>
              <w:rPr>
                <w:spacing w:val="4"/>
              </w:rPr>
              <w:t>曲靖市陆良县</w:t>
            </w:r>
          </w:p>
        </w:tc>
        <w:tc>
          <w:tcPr>
            <w:tcW w:w="1234" w:type="dxa"/>
            <w:vMerge w:val="continue"/>
            <w:tcBorders>
              <w:top w:val="nil"/>
              <w:bottom w:val="nil"/>
            </w:tcBorders>
            <w:vAlign w:val="top"/>
          </w:tcPr>
          <w:p w14:paraId="3BF1CF46">
            <w:pPr>
              <w:rPr>
                <w:rFonts w:ascii="Arial"/>
                <w:sz w:val="21"/>
              </w:rPr>
            </w:pPr>
          </w:p>
        </w:tc>
      </w:tr>
      <w:tr w14:paraId="149FC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74" w:type="dxa"/>
            <w:vAlign w:val="top"/>
          </w:tcPr>
          <w:p w14:paraId="3A52C3A4">
            <w:pPr>
              <w:spacing w:before="262" w:line="195" w:lineRule="auto"/>
              <w:ind w:left="253"/>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11</w:t>
            </w:r>
          </w:p>
        </w:tc>
        <w:tc>
          <w:tcPr>
            <w:tcW w:w="1087" w:type="dxa"/>
            <w:vMerge w:val="continue"/>
            <w:tcBorders>
              <w:top w:val="nil"/>
              <w:bottom w:val="nil"/>
              <w:right w:val="single" w:color="000000" w:sz="2" w:space="0"/>
            </w:tcBorders>
            <w:vAlign w:val="top"/>
          </w:tcPr>
          <w:p w14:paraId="6C460A71">
            <w:pPr>
              <w:rPr>
                <w:rFonts w:ascii="Arial"/>
                <w:sz w:val="21"/>
              </w:rPr>
            </w:pPr>
          </w:p>
        </w:tc>
        <w:tc>
          <w:tcPr>
            <w:tcW w:w="4014" w:type="dxa"/>
            <w:tcBorders>
              <w:left w:val="single" w:color="000000" w:sz="2" w:space="0"/>
            </w:tcBorders>
            <w:vAlign w:val="top"/>
          </w:tcPr>
          <w:p w14:paraId="4867FCAD">
            <w:pPr>
              <w:pStyle w:val="6"/>
              <w:spacing w:before="149" w:line="227" w:lineRule="auto"/>
              <w:ind w:left="110"/>
            </w:pPr>
            <w:r>
              <w:rPr>
                <w:spacing w:val="4"/>
              </w:rPr>
              <w:t>拟建</w:t>
            </w:r>
            <w:r>
              <w:rPr>
                <w:spacing w:val="-22"/>
              </w:rPr>
              <w:t xml:space="preserve"> </w:t>
            </w: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接入</w:t>
            </w:r>
            <w:r>
              <w:rPr>
                <w:spacing w:val="-57"/>
              </w:rPr>
              <w:t xml:space="preserve"> </w:t>
            </w:r>
            <w:r>
              <w:rPr>
                <w:rFonts w:ascii="Times New Roman" w:hAnsi="Times New Roman" w:eastAsia="Times New Roman" w:cs="Times New Roman"/>
                <w:spacing w:val="4"/>
              </w:rPr>
              <w:t>220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芳华变线路西侧新</w:t>
            </w:r>
          </w:p>
          <w:p w14:paraId="68D7D9DD">
            <w:pPr>
              <w:pStyle w:val="6"/>
              <w:spacing w:before="28" w:line="217" w:lineRule="auto"/>
              <w:ind w:left="1066"/>
            </w:pPr>
            <w:r>
              <w:rPr>
                <w:spacing w:val="8"/>
              </w:rPr>
              <w:t>华村菜地临时看护房</w:t>
            </w:r>
          </w:p>
        </w:tc>
        <w:tc>
          <w:tcPr>
            <w:tcW w:w="1514" w:type="dxa"/>
            <w:vAlign w:val="top"/>
          </w:tcPr>
          <w:p w14:paraId="1F681DFC">
            <w:pPr>
              <w:pStyle w:val="6"/>
              <w:spacing w:before="226" w:line="227" w:lineRule="auto"/>
              <w:ind w:left="157"/>
            </w:pPr>
            <w:r>
              <w:rPr>
                <w:spacing w:val="4"/>
              </w:rPr>
              <w:t>曲靖市陆良县</w:t>
            </w:r>
          </w:p>
        </w:tc>
        <w:tc>
          <w:tcPr>
            <w:tcW w:w="1234" w:type="dxa"/>
            <w:vMerge w:val="continue"/>
            <w:tcBorders>
              <w:top w:val="nil"/>
              <w:bottom w:val="nil"/>
            </w:tcBorders>
            <w:vAlign w:val="top"/>
          </w:tcPr>
          <w:p w14:paraId="39C291CE">
            <w:pPr>
              <w:rPr>
                <w:rFonts w:ascii="Arial"/>
                <w:sz w:val="21"/>
              </w:rPr>
            </w:pPr>
          </w:p>
        </w:tc>
      </w:tr>
      <w:tr w14:paraId="1DF1C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674" w:type="dxa"/>
            <w:vAlign w:val="top"/>
          </w:tcPr>
          <w:p w14:paraId="34D54451">
            <w:pPr>
              <w:pStyle w:val="6"/>
              <w:spacing w:before="52" w:line="228" w:lineRule="auto"/>
              <w:ind w:left="129"/>
            </w:pPr>
            <w:r>
              <w:rPr>
                <w:spacing w:val="4"/>
              </w:rPr>
              <w:t>补充</w:t>
            </w:r>
          </w:p>
          <w:p w14:paraId="118CA434">
            <w:pPr>
              <w:pStyle w:val="6"/>
              <w:spacing w:before="65" w:line="277" w:lineRule="auto"/>
              <w:ind w:left="301" w:right="139" w:hanging="188"/>
              <w:rPr>
                <w:rFonts w:ascii="Times New Roman" w:hAnsi="Times New Roman" w:eastAsia="Times New Roman" w:cs="Times New Roman"/>
              </w:rPr>
            </w:pPr>
            <w:r>
              <w:rPr>
                <w:spacing w:val="5"/>
              </w:rPr>
              <w:t>监测</w:t>
            </w:r>
            <w:r>
              <w:rPr>
                <w:rFonts w:ascii="Times New Roman" w:hAnsi="Times New Roman" w:eastAsia="Times New Roman" w:cs="Times New Roman"/>
              </w:rPr>
              <w:t>1</w:t>
            </w:r>
          </w:p>
        </w:tc>
        <w:tc>
          <w:tcPr>
            <w:tcW w:w="1087" w:type="dxa"/>
            <w:vMerge w:val="continue"/>
            <w:tcBorders>
              <w:top w:val="nil"/>
              <w:bottom w:val="nil"/>
              <w:right w:val="single" w:color="000000" w:sz="2" w:space="0"/>
            </w:tcBorders>
            <w:vAlign w:val="top"/>
          </w:tcPr>
          <w:p w14:paraId="115F567E">
            <w:pPr>
              <w:rPr>
                <w:rFonts w:ascii="Arial"/>
                <w:sz w:val="21"/>
              </w:rPr>
            </w:pPr>
          </w:p>
        </w:tc>
        <w:tc>
          <w:tcPr>
            <w:tcW w:w="4014" w:type="dxa"/>
            <w:tcBorders>
              <w:left w:val="single" w:color="000000" w:sz="2" w:space="0"/>
            </w:tcBorders>
            <w:vAlign w:val="top"/>
          </w:tcPr>
          <w:p w14:paraId="30115016">
            <w:pPr>
              <w:pStyle w:val="6"/>
              <w:spacing w:before="286" w:line="227" w:lineRule="auto"/>
              <w:ind w:left="110"/>
            </w:pPr>
            <w:r>
              <w:rPr>
                <w:spacing w:val="4"/>
              </w:rPr>
              <w:t>拟建</w:t>
            </w:r>
            <w:r>
              <w:rPr>
                <w:spacing w:val="-22"/>
              </w:rPr>
              <w:t xml:space="preserve"> </w:t>
            </w: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接入</w:t>
            </w:r>
            <w:r>
              <w:rPr>
                <w:spacing w:val="-57"/>
              </w:rPr>
              <w:t xml:space="preserve"> </w:t>
            </w:r>
            <w:r>
              <w:rPr>
                <w:rFonts w:ascii="Times New Roman" w:hAnsi="Times New Roman" w:eastAsia="Times New Roman" w:cs="Times New Roman"/>
                <w:spacing w:val="4"/>
              </w:rPr>
              <w:t>220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芳华变线路北侧临</w:t>
            </w:r>
          </w:p>
          <w:p w14:paraId="438C83DF">
            <w:pPr>
              <w:pStyle w:val="6"/>
              <w:spacing w:before="24" w:line="228" w:lineRule="auto"/>
              <w:ind w:left="770"/>
            </w:pPr>
            <w:r>
              <w:rPr>
                <w:spacing w:val="4"/>
              </w:rPr>
              <w:t>时看护房（</w:t>
            </w:r>
            <w:r>
              <w:rPr>
                <w:rFonts w:ascii="Times New Roman" w:hAnsi="Times New Roman" w:eastAsia="Times New Roman" w:cs="Times New Roman"/>
              </w:rPr>
              <w:t>AZ</w:t>
            </w:r>
            <w:r>
              <w:rPr>
                <w:rFonts w:ascii="Times New Roman" w:hAnsi="Times New Roman" w:eastAsia="Times New Roman" w:cs="Times New Roman"/>
                <w:spacing w:val="4"/>
              </w:rPr>
              <w:t>1-</w:t>
            </w:r>
            <w:r>
              <w:rPr>
                <w:rFonts w:ascii="Times New Roman" w:hAnsi="Times New Roman" w:eastAsia="Times New Roman" w:cs="Times New Roman"/>
                <w:spacing w:val="-15"/>
              </w:rPr>
              <w:t xml:space="preserve"> </w:t>
            </w:r>
            <w:r>
              <w:rPr>
                <w:rFonts w:ascii="Times New Roman" w:hAnsi="Times New Roman" w:eastAsia="Times New Roman" w:cs="Times New Roman"/>
                <w:spacing w:val="4"/>
              </w:rPr>
              <w:t xml:space="preserve">1 </w:t>
            </w:r>
            <w:r>
              <w:rPr>
                <w:spacing w:val="4"/>
              </w:rPr>
              <w:t>塔西侧）</w:t>
            </w:r>
          </w:p>
        </w:tc>
        <w:tc>
          <w:tcPr>
            <w:tcW w:w="1514" w:type="dxa"/>
            <w:vAlign w:val="top"/>
          </w:tcPr>
          <w:p w14:paraId="6BD38144">
            <w:pPr>
              <w:spacing w:line="296" w:lineRule="auto"/>
              <w:rPr>
                <w:rFonts w:ascii="Arial"/>
                <w:sz w:val="21"/>
              </w:rPr>
            </w:pPr>
          </w:p>
          <w:p w14:paraId="0C91149D">
            <w:pPr>
              <w:pStyle w:val="6"/>
              <w:spacing w:before="65" w:line="227" w:lineRule="auto"/>
              <w:ind w:left="157"/>
            </w:pPr>
            <w:r>
              <w:rPr>
                <w:spacing w:val="4"/>
              </w:rPr>
              <w:t>曲靖市陆良县</w:t>
            </w:r>
          </w:p>
        </w:tc>
        <w:tc>
          <w:tcPr>
            <w:tcW w:w="1234" w:type="dxa"/>
            <w:vMerge w:val="continue"/>
            <w:tcBorders>
              <w:top w:val="nil"/>
              <w:bottom w:val="nil"/>
            </w:tcBorders>
            <w:vAlign w:val="top"/>
          </w:tcPr>
          <w:p w14:paraId="49A5DD26">
            <w:pPr>
              <w:rPr>
                <w:rFonts w:ascii="Arial"/>
                <w:sz w:val="21"/>
              </w:rPr>
            </w:pPr>
          </w:p>
        </w:tc>
      </w:tr>
      <w:tr w14:paraId="3079D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674" w:type="dxa"/>
            <w:vAlign w:val="top"/>
          </w:tcPr>
          <w:p w14:paraId="2E2D5067">
            <w:pPr>
              <w:pStyle w:val="6"/>
              <w:spacing w:before="52" w:line="228" w:lineRule="auto"/>
              <w:ind w:left="129"/>
            </w:pPr>
            <w:r>
              <w:rPr>
                <w:spacing w:val="4"/>
              </w:rPr>
              <w:t>补充</w:t>
            </w:r>
          </w:p>
          <w:p w14:paraId="734F7BEC">
            <w:pPr>
              <w:pStyle w:val="6"/>
              <w:spacing w:before="65" w:line="277" w:lineRule="auto"/>
              <w:ind w:left="281" w:right="139" w:hanging="168"/>
              <w:rPr>
                <w:rFonts w:ascii="Times New Roman" w:hAnsi="Times New Roman" w:eastAsia="Times New Roman" w:cs="Times New Roman"/>
              </w:rPr>
            </w:pPr>
            <w:r>
              <w:rPr>
                <w:spacing w:val="5"/>
              </w:rPr>
              <w:t>监测</w:t>
            </w:r>
            <w:r>
              <w:rPr>
                <w:rFonts w:ascii="Times New Roman" w:hAnsi="Times New Roman" w:eastAsia="Times New Roman" w:cs="Times New Roman"/>
              </w:rPr>
              <w:t>2</w:t>
            </w:r>
          </w:p>
        </w:tc>
        <w:tc>
          <w:tcPr>
            <w:tcW w:w="1087" w:type="dxa"/>
            <w:vMerge w:val="continue"/>
            <w:tcBorders>
              <w:top w:val="nil"/>
              <w:bottom w:val="nil"/>
              <w:right w:val="single" w:color="000000" w:sz="2" w:space="0"/>
            </w:tcBorders>
            <w:vAlign w:val="top"/>
          </w:tcPr>
          <w:p w14:paraId="73842E1D">
            <w:pPr>
              <w:rPr>
                <w:rFonts w:ascii="Arial"/>
                <w:sz w:val="21"/>
              </w:rPr>
            </w:pPr>
          </w:p>
        </w:tc>
        <w:tc>
          <w:tcPr>
            <w:tcW w:w="4014" w:type="dxa"/>
            <w:tcBorders>
              <w:left w:val="single" w:color="000000" w:sz="2" w:space="0"/>
            </w:tcBorders>
            <w:vAlign w:val="top"/>
          </w:tcPr>
          <w:p w14:paraId="172BC052">
            <w:pPr>
              <w:pStyle w:val="6"/>
              <w:spacing w:before="287" w:line="227" w:lineRule="auto"/>
              <w:ind w:left="110"/>
            </w:pPr>
            <w:r>
              <w:rPr>
                <w:spacing w:val="4"/>
              </w:rPr>
              <w:t>拟建</w:t>
            </w:r>
            <w:r>
              <w:rPr>
                <w:spacing w:val="-22"/>
              </w:rPr>
              <w:t xml:space="preserve"> </w:t>
            </w: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接入</w:t>
            </w:r>
            <w:r>
              <w:rPr>
                <w:spacing w:val="-57"/>
              </w:rPr>
              <w:t xml:space="preserve"> </w:t>
            </w:r>
            <w:r>
              <w:rPr>
                <w:rFonts w:ascii="Times New Roman" w:hAnsi="Times New Roman" w:eastAsia="Times New Roman" w:cs="Times New Roman"/>
                <w:spacing w:val="4"/>
              </w:rPr>
              <w:t>220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芳华变线路西侧临</w:t>
            </w:r>
          </w:p>
          <w:p w14:paraId="058B6900">
            <w:pPr>
              <w:pStyle w:val="6"/>
              <w:spacing w:before="24" w:line="228" w:lineRule="auto"/>
              <w:ind w:left="754"/>
            </w:pPr>
            <w:r>
              <w:rPr>
                <w:spacing w:val="12"/>
              </w:rPr>
              <w:t>时看护房（</w:t>
            </w:r>
            <w:r>
              <w:rPr>
                <w:rFonts w:ascii="Times New Roman" w:hAnsi="Times New Roman" w:eastAsia="Times New Roman" w:cs="Times New Roman"/>
              </w:rPr>
              <w:t>AZ</w:t>
            </w:r>
            <w:r>
              <w:rPr>
                <w:rFonts w:ascii="Times New Roman" w:hAnsi="Times New Roman" w:eastAsia="Times New Roman" w:cs="Times New Roman"/>
                <w:spacing w:val="12"/>
              </w:rPr>
              <w:t>5</w:t>
            </w:r>
            <w:r>
              <w:rPr>
                <w:spacing w:val="12"/>
              </w:rPr>
              <w:t>塔西南侧）</w:t>
            </w:r>
          </w:p>
        </w:tc>
        <w:tc>
          <w:tcPr>
            <w:tcW w:w="1514" w:type="dxa"/>
            <w:vAlign w:val="top"/>
          </w:tcPr>
          <w:p w14:paraId="67CE26F4">
            <w:pPr>
              <w:spacing w:line="297" w:lineRule="auto"/>
              <w:rPr>
                <w:rFonts w:ascii="Arial"/>
                <w:sz w:val="21"/>
              </w:rPr>
            </w:pPr>
          </w:p>
          <w:p w14:paraId="04374354">
            <w:pPr>
              <w:pStyle w:val="6"/>
              <w:spacing w:before="65" w:line="227" w:lineRule="auto"/>
              <w:ind w:left="157"/>
            </w:pPr>
            <w:r>
              <w:rPr>
                <w:spacing w:val="4"/>
              </w:rPr>
              <w:t>曲靖市陆良县</w:t>
            </w:r>
          </w:p>
        </w:tc>
        <w:tc>
          <w:tcPr>
            <w:tcW w:w="1234" w:type="dxa"/>
            <w:vMerge w:val="continue"/>
            <w:tcBorders>
              <w:top w:val="nil"/>
              <w:bottom w:val="nil"/>
            </w:tcBorders>
            <w:vAlign w:val="top"/>
          </w:tcPr>
          <w:p w14:paraId="5B70669E">
            <w:pPr>
              <w:rPr>
                <w:rFonts w:ascii="Arial"/>
                <w:sz w:val="21"/>
              </w:rPr>
            </w:pPr>
          </w:p>
        </w:tc>
      </w:tr>
      <w:tr w14:paraId="201F2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674" w:type="dxa"/>
            <w:vAlign w:val="top"/>
          </w:tcPr>
          <w:p w14:paraId="7B05A4A2">
            <w:pPr>
              <w:pStyle w:val="6"/>
              <w:spacing w:before="52" w:line="228" w:lineRule="auto"/>
              <w:ind w:left="129"/>
            </w:pPr>
            <w:r>
              <w:rPr>
                <w:spacing w:val="4"/>
              </w:rPr>
              <w:t>补充</w:t>
            </w:r>
          </w:p>
          <w:p w14:paraId="47B892B7">
            <w:pPr>
              <w:pStyle w:val="6"/>
              <w:spacing w:before="64" w:line="277" w:lineRule="auto"/>
              <w:ind w:left="280" w:right="139" w:hanging="167"/>
              <w:rPr>
                <w:rFonts w:ascii="Times New Roman" w:hAnsi="Times New Roman" w:eastAsia="Times New Roman" w:cs="Times New Roman"/>
              </w:rPr>
            </w:pPr>
            <w:r>
              <w:rPr>
                <w:spacing w:val="5"/>
              </w:rPr>
              <w:t>监测</w:t>
            </w:r>
            <w:r>
              <w:rPr>
                <w:rFonts w:ascii="Times New Roman" w:hAnsi="Times New Roman" w:eastAsia="Times New Roman" w:cs="Times New Roman"/>
                <w:spacing w:val="1"/>
              </w:rPr>
              <w:t>4</w:t>
            </w:r>
          </w:p>
        </w:tc>
        <w:tc>
          <w:tcPr>
            <w:tcW w:w="1087" w:type="dxa"/>
            <w:vMerge w:val="continue"/>
            <w:tcBorders>
              <w:top w:val="nil"/>
              <w:right w:val="single" w:color="000000" w:sz="2" w:space="0"/>
            </w:tcBorders>
            <w:vAlign w:val="top"/>
          </w:tcPr>
          <w:p w14:paraId="0F0FF58F">
            <w:pPr>
              <w:rPr>
                <w:rFonts w:ascii="Arial"/>
                <w:sz w:val="21"/>
              </w:rPr>
            </w:pPr>
          </w:p>
        </w:tc>
        <w:tc>
          <w:tcPr>
            <w:tcW w:w="4014" w:type="dxa"/>
            <w:tcBorders>
              <w:left w:val="single" w:color="000000" w:sz="2" w:space="0"/>
            </w:tcBorders>
            <w:vAlign w:val="top"/>
          </w:tcPr>
          <w:p w14:paraId="1CD3D12D">
            <w:pPr>
              <w:pStyle w:val="6"/>
              <w:spacing w:before="287" w:line="227" w:lineRule="auto"/>
              <w:ind w:left="110"/>
            </w:pPr>
            <w:r>
              <w:rPr>
                <w:spacing w:val="4"/>
              </w:rPr>
              <w:t>拟建</w:t>
            </w:r>
            <w:r>
              <w:rPr>
                <w:spacing w:val="-22"/>
              </w:rPr>
              <w:t xml:space="preserve"> </w:t>
            </w: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接入</w:t>
            </w:r>
            <w:r>
              <w:rPr>
                <w:spacing w:val="-57"/>
              </w:rPr>
              <w:t xml:space="preserve"> </w:t>
            </w:r>
            <w:r>
              <w:rPr>
                <w:rFonts w:ascii="Times New Roman" w:hAnsi="Times New Roman" w:eastAsia="Times New Roman" w:cs="Times New Roman"/>
                <w:spacing w:val="4"/>
              </w:rPr>
              <w:t>220</w:t>
            </w:r>
            <w:r>
              <w:rPr>
                <w:rFonts w:ascii="Times New Roman" w:hAnsi="Times New Roman" w:eastAsia="Times New Roman" w:cs="Times New Roman"/>
              </w:rPr>
              <w:t>kV</w:t>
            </w:r>
            <w:r>
              <w:rPr>
                <w:rFonts w:ascii="Times New Roman" w:hAnsi="Times New Roman" w:eastAsia="Times New Roman" w:cs="Times New Roman"/>
                <w:spacing w:val="4"/>
              </w:rPr>
              <w:t xml:space="preserve"> </w:t>
            </w:r>
            <w:r>
              <w:rPr>
                <w:spacing w:val="4"/>
              </w:rPr>
              <w:t>芳华变线路北侧临</w:t>
            </w:r>
          </w:p>
          <w:p w14:paraId="27A232F2">
            <w:pPr>
              <w:pStyle w:val="6"/>
              <w:spacing w:before="27" w:line="228" w:lineRule="auto"/>
              <w:ind w:left="641"/>
            </w:pPr>
            <w:r>
              <w:rPr>
                <w:spacing w:val="7"/>
              </w:rPr>
              <w:t>时看护房（</w:t>
            </w:r>
            <w:r>
              <w:rPr>
                <w:rFonts w:ascii="Times New Roman" w:hAnsi="Times New Roman" w:eastAsia="Times New Roman" w:cs="Times New Roman"/>
              </w:rPr>
              <w:t>AZ</w:t>
            </w:r>
            <w:r>
              <w:rPr>
                <w:rFonts w:ascii="Times New Roman" w:hAnsi="Times New Roman" w:eastAsia="Times New Roman" w:cs="Times New Roman"/>
                <w:spacing w:val="7"/>
              </w:rPr>
              <w:t xml:space="preserve">7+1 </w:t>
            </w:r>
            <w:r>
              <w:rPr>
                <w:spacing w:val="7"/>
              </w:rPr>
              <w:t>塔东南侧）</w:t>
            </w:r>
          </w:p>
        </w:tc>
        <w:tc>
          <w:tcPr>
            <w:tcW w:w="1514" w:type="dxa"/>
            <w:vAlign w:val="top"/>
          </w:tcPr>
          <w:p w14:paraId="599852E1">
            <w:pPr>
              <w:spacing w:line="297" w:lineRule="auto"/>
              <w:rPr>
                <w:rFonts w:ascii="Arial"/>
                <w:sz w:val="21"/>
              </w:rPr>
            </w:pPr>
          </w:p>
          <w:p w14:paraId="02B6B11C">
            <w:pPr>
              <w:pStyle w:val="6"/>
              <w:spacing w:before="65" w:line="227" w:lineRule="auto"/>
              <w:ind w:left="157"/>
            </w:pPr>
            <w:r>
              <w:rPr>
                <w:spacing w:val="4"/>
              </w:rPr>
              <w:t>曲靖市陆良县</w:t>
            </w:r>
          </w:p>
        </w:tc>
        <w:tc>
          <w:tcPr>
            <w:tcW w:w="1234" w:type="dxa"/>
            <w:vMerge w:val="continue"/>
            <w:tcBorders>
              <w:top w:val="nil"/>
            </w:tcBorders>
            <w:vAlign w:val="top"/>
          </w:tcPr>
          <w:p w14:paraId="1DEF8AF8">
            <w:pPr>
              <w:rPr>
                <w:rFonts w:ascii="Arial"/>
                <w:sz w:val="21"/>
              </w:rPr>
            </w:pPr>
          </w:p>
        </w:tc>
      </w:tr>
      <w:tr w14:paraId="06D07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4" w:hRule="atLeast"/>
        </w:trPr>
        <w:tc>
          <w:tcPr>
            <w:tcW w:w="674" w:type="dxa"/>
            <w:vAlign w:val="top"/>
          </w:tcPr>
          <w:p w14:paraId="605C39A3">
            <w:pPr>
              <w:spacing w:line="326" w:lineRule="auto"/>
              <w:rPr>
                <w:rFonts w:ascii="Arial"/>
                <w:sz w:val="21"/>
              </w:rPr>
            </w:pPr>
          </w:p>
          <w:p w14:paraId="5FCC1D3B">
            <w:pPr>
              <w:spacing w:line="327" w:lineRule="auto"/>
              <w:rPr>
                <w:rFonts w:ascii="Arial"/>
                <w:sz w:val="21"/>
              </w:rPr>
            </w:pPr>
          </w:p>
          <w:p w14:paraId="738370A0">
            <w:pPr>
              <w:spacing w:before="58"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1087" w:type="dxa"/>
            <w:tcBorders>
              <w:right w:val="single" w:color="000000" w:sz="2" w:space="0"/>
            </w:tcBorders>
            <w:vAlign w:val="top"/>
          </w:tcPr>
          <w:p w14:paraId="2853D8B4">
            <w:pPr>
              <w:spacing w:line="305" w:lineRule="auto"/>
              <w:rPr>
                <w:rFonts w:ascii="Arial"/>
                <w:sz w:val="21"/>
              </w:rPr>
            </w:pPr>
          </w:p>
          <w:p w14:paraId="31046F2F">
            <w:pPr>
              <w:spacing w:line="305" w:lineRule="auto"/>
              <w:rPr>
                <w:rFonts w:ascii="Arial"/>
                <w:sz w:val="21"/>
              </w:rPr>
            </w:pPr>
          </w:p>
          <w:p w14:paraId="5F881929">
            <w:pPr>
              <w:pStyle w:val="6"/>
              <w:spacing w:before="65" w:line="228" w:lineRule="auto"/>
              <w:ind w:left="124"/>
            </w:pPr>
            <w:r>
              <w:rPr>
                <w:spacing w:val="6"/>
              </w:rPr>
              <w:t>线路终点</w:t>
            </w:r>
          </w:p>
        </w:tc>
        <w:tc>
          <w:tcPr>
            <w:tcW w:w="4014" w:type="dxa"/>
            <w:tcBorders>
              <w:left w:val="single" w:color="000000" w:sz="2" w:space="0"/>
            </w:tcBorders>
            <w:vAlign w:val="top"/>
          </w:tcPr>
          <w:p w14:paraId="744F1F1C">
            <w:pPr>
              <w:spacing w:line="267" w:lineRule="auto"/>
              <w:rPr>
                <w:rFonts w:ascii="Arial"/>
                <w:sz w:val="21"/>
              </w:rPr>
            </w:pPr>
          </w:p>
          <w:p w14:paraId="11D8D59C">
            <w:pPr>
              <w:spacing w:line="267" w:lineRule="auto"/>
              <w:rPr>
                <w:rFonts w:ascii="Arial"/>
                <w:sz w:val="21"/>
              </w:rPr>
            </w:pPr>
          </w:p>
          <w:p w14:paraId="1697C536">
            <w:pPr>
              <w:pStyle w:val="6"/>
              <w:spacing w:before="65" w:line="227" w:lineRule="auto"/>
              <w:ind w:left="110"/>
            </w:pPr>
            <w:r>
              <w:rPr>
                <w:spacing w:val="1"/>
              </w:rPr>
              <w:t>拟建</w:t>
            </w:r>
            <w:r>
              <w:rPr>
                <w:spacing w:val="-26"/>
              </w:rPr>
              <w:t xml:space="preserve"> </w:t>
            </w:r>
            <w:r>
              <w:rPr>
                <w:rFonts w:ascii="Times New Roman" w:hAnsi="Times New Roman" w:eastAsia="Times New Roman" w:cs="Times New Roman"/>
                <w:spacing w:val="1"/>
              </w:rPr>
              <w:t>220</w:t>
            </w:r>
            <w:r>
              <w:rPr>
                <w:rFonts w:ascii="Times New Roman" w:hAnsi="Times New Roman" w:eastAsia="Times New Roman" w:cs="Times New Roman"/>
              </w:rPr>
              <w:t>kV</w:t>
            </w:r>
            <w:r>
              <w:rPr>
                <w:rFonts w:ascii="Times New Roman" w:hAnsi="Times New Roman" w:eastAsia="Times New Roman" w:cs="Times New Roman"/>
                <w:spacing w:val="20"/>
              </w:rPr>
              <w:t xml:space="preserve"> </w:t>
            </w:r>
            <w:r>
              <w:rPr>
                <w:spacing w:val="1"/>
              </w:rPr>
              <w:t>芳华变站址处（本期</w:t>
            </w:r>
            <w:r>
              <w:rPr>
                <w:spacing w:val="-21"/>
              </w:rPr>
              <w:t xml:space="preserve"> </w:t>
            </w:r>
            <w:r>
              <w:rPr>
                <w:rFonts w:ascii="Times New Roman" w:hAnsi="Times New Roman" w:eastAsia="Times New Roman" w:cs="Times New Roman"/>
                <w:spacing w:val="1"/>
              </w:rPr>
              <w:t>110</w:t>
            </w:r>
            <w:r>
              <w:rPr>
                <w:rFonts w:ascii="Times New Roman" w:hAnsi="Times New Roman" w:eastAsia="Times New Roman" w:cs="Times New Roman"/>
              </w:rPr>
              <w:t>kV</w:t>
            </w:r>
            <w:r>
              <w:rPr>
                <w:rFonts w:ascii="Times New Roman" w:hAnsi="Times New Roman" w:eastAsia="Times New Roman" w:cs="Times New Roman"/>
                <w:spacing w:val="14"/>
              </w:rPr>
              <w:t xml:space="preserve"> </w:t>
            </w:r>
            <w:r>
              <w:rPr>
                <w:spacing w:val="1"/>
              </w:rPr>
              <w:t>线</w:t>
            </w:r>
          </w:p>
          <w:p w14:paraId="1D48BEE4">
            <w:pPr>
              <w:pStyle w:val="6"/>
              <w:spacing w:before="24" w:line="228" w:lineRule="auto"/>
              <w:ind w:left="1278"/>
            </w:pPr>
            <w:r>
              <w:rPr>
                <w:spacing w:val="6"/>
              </w:rPr>
              <w:t>路接入间隔处）</w:t>
            </w:r>
          </w:p>
        </w:tc>
        <w:tc>
          <w:tcPr>
            <w:tcW w:w="1514" w:type="dxa"/>
            <w:vAlign w:val="top"/>
          </w:tcPr>
          <w:p w14:paraId="642E0F38">
            <w:pPr>
              <w:spacing w:line="305" w:lineRule="auto"/>
              <w:rPr>
                <w:rFonts w:ascii="Arial"/>
                <w:sz w:val="21"/>
              </w:rPr>
            </w:pPr>
          </w:p>
          <w:p w14:paraId="6B2A37A6">
            <w:pPr>
              <w:spacing w:line="305" w:lineRule="auto"/>
              <w:rPr>
                <w:rFonts w:ascii="Arial"/>
                <w:sz w:val="21"/>
              </w:rPr>
            </w:pPr>
          </w:p>
          <w:p w14:paraId="6A93FF09">
            <w:pPr>
              <w:pStyle w:val="6"/>
              <w:spacing w:before="65" w:line="227" w:lineRule="auto"/>
              <w:ind w:left="157"/>
            </w:pPr>
            <w:r>
              <w:rPr>
                <w:spacing w:val="4"/>
              </w:rPr>
              <w:t>曲靖市陆良县</w:t>
            </w:r>
          </w:p>
        </w:tc>
        <w:tc>
          <w:tcPr>
            <w:tcW w:w="1234" w:type="dxa"/>
            <w:vAlign w:val="top"/>
          </w:tcPr>
          <w:p w14:paraId="21E318F8">
            <w:pPr>
              <w:pStyle w:val="6"/>
              <w:spacing w:before="55" w:line="228" w:lineRule="auto"/>
              <w:ind w:left="209"/>
            </w:pPr>
            <w:r>
              <w:rPr>
                <w:spacing w:val="5"/>
              </w:rPr>
              <w:t>能反映接</w:t>
            </w:r>
          </w:p>
          <w:p w14:paraId="2EAE98B9">
            <w:pPr>
              <w:pStyle w:val="6"/>
              <w:spacing w:before="64" w:line="229" w:lineRule="auto"/>
              <w:ind w:left="200"/>
            </w:pPr>
            <w:r>
              <w:rPr>
                <w:spacing w:val="7"/>
              </w:rPr>
              <w:t>入变电站</w:t>
            </w:r>
          </w:p>
          <w:p w14:paraId="66E48113">
            <w:pPr>
              <w:pStyle w:val="6"/>
              <w:spacing w:before="63" w:line="230" w:lineRule="auto"/>
              <w:ind w:left="218"/>
            </w:pPr>
            <w:r>
              <w:rPr>
                <w:spacing w:val="3"/>
              </w:rPr>
              <w:t>的电磁环</w:t>
            </w:r>
          </w:p>
          <w:p w14:paraId="05775E1F">
            <w:pPr>
              <w:pStyle w:val="6"/>
              <w:spacing w:before="62" w:line="260" w:lineRule="auto"/>
              <w:ind w:left="410" w:right="193" w:hanging="209"/>
            </w:pPr>
            <w:r>
              <w:rPr>
                <w:spacing w:val="7"/>
              </w:rPr>
              <w:t>境本底水</w:t>
            </w:r>
            <w:r>
              <w:t>平；</w:t>
            </w:r>
          </w:p>
        </w:tc>
      </w:tr>
      <w:tr w14:paraId="62362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74" w:type="dxa"/>
            <w:vAlign w:val="top"/>
          </w:tcPr>
          <w:p w14:paraId="519F6F0B">
            <w:pPr>
              <w:spacing w:before="266"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13</w:t>
            </w:r>
          </w:p>
        </w:tc>
        <w:tc>
          <w:tcPr>
            <w:tcW w:w="1087" w:type="dxa"/>
            <w:vMerge w:val="restart"/>
            <w:tcBorders>
              <w:bottom w:val="nil"/>
              <w:right w:val="single" w:color="000000" w:sz="2" w:space="0"/>
            </w:tcBorders>
            <w:vAlign w:val="top"/>
          </w:tcPr>
          <w:p w14:paraId="4B05F319">
            <w:pPr>
              <w:pStyle w:val="6"/>
              <w:spacing w:before="55" w:line="227" w:lineRule="auto"/>
              <w:ind w:left="333"/>
            </w:pPr>
            <w:r>
              <w:rPr>
                <w:spacing w:val="4"/>
              </w:rPr>
              <w:t>拟建</w:t>
            </w:r>
          </w:p>
          <w:p w14:paraId="211E96F7">
            <w:pPr>
              <w:pStyle w:val="6"/>
              <w:spacing w:before="66" w:line="228" w:lineRule="auto"/>
              <w:ind w:left="145"/>
            </w:pPr>
            <w:r>
              <w:rPr>
                <w:rFonts w:ascii="Times New Roman" w:hAnsi="Times New Roman" w:eastAsia="Times New Roman" w:cs="Times New Roman"/>
                <w:spacing w:val="-1"/>
              </w:rPr>
              <w:t>110kV</w:t>
            </w:r>
            <w:r>
              <w:rPr>
                <w:rFonts w:ascii="Times New Roman" w:hAnsi="Times New Roman" w:eastAsia="Times New Roman" w:cs="Times New Roman"/>
                <w:spacing w:val="13"/>
                <w:w w:val="101"/>
              </w:rPr>
              <w:t xml:space="preserve"> </w:t>
            </w:r>
            <w:r>
              <w:rPr>
                <w:spacing w:val="-1"/>
              </w:rPr>
              <w:t>线</w:t>
            </w:r>
          </w:p>
          <w:p w14:paraId="4B8066E1">
            <w:pPr>
              <w:pStyle w:val="6"/>
              <w:spacing w:before="64" w:line="228" w:lineRule="auto"/>
              <w:ind w:left="112"/>
            </w:pPr>
            <w:r>
              <w:rPr>
                <w:spacing w:val="2"/>
              </w:rPr>
              <w:t>路</w:t>
            </w:r>
            <w:r>
              <w:rPr>
                <w:spacing w:val="-39"/>
              </w:rPr>
              <w:t xml:space="preserve"> </w:t>
            </w:r>
            <w:r>
              <w:rPr>
                <w:rFonts w:ascii="Times New Roman" w:hAnsi="Times New Roman" w:eastAsia="Times New Roman" w:cs="Times New Roman"/>
                <w:spacing w:val="2"/>
              </w:rPr>
              <w:t>T</w:t>
            </w:r>
            <w:r>
              <w:rPr>
                <w:rFonts w:ascii="Times New Roman" w:hAnsi="Times New Roman" w:eastAsia="Times New Roman" w:cs="Times New Roman"/>
                <w:spacing w:val="9"/>
              </w:rPr>
              <w:t xml:space="preserve"> </w:t>
            </w:r>
            <w:r>
              <w:rPr>
                <w:spacing w:val="2"/>
              </w:rPr>
              <w:t>接芳</w:t>
            </w:r>
          </w:p>
          <w:p w14:paraId="1EF652E9">
            <w:pPr>
              <w:pStyle w:val="6"/>
              <w:spacing w:before="65" w:line="288" w:lineRule="auto"/>
              <w:ind w:left="334" w:right="127" w:hanging="211"/>
            </w:pPr>
            <w:r>
              <w:rPr>
                <w:spacing w:val="7"/>
              </w:rPr>
              <w:t>华变～吉</w:t>
            </w:r>
            <w:r>
              <w:rPr>
                <w:spacing w:val="4"/>
              </w:rPr>
              <w:t>冲变</w:t>
            </w:r>
          </w:p>
          <w:p w14:paraId="24FE309C">
            <w:pPr>
              <w:pStyle w:val="6"/>
              <w:spacing w:line="288" w:lineRule="auto"/>
              <w:ind w:left="142" w:right="127" w:firstLine="29"/>
            </w:pPr>
            <w:r>
              <w:rPr>
                <w:rFonts w:ascii="Times New Roman" w:hAnsi="Times New Roman" w:eastAsia="Times New Roman" w:cs="Times New Roman"/>
                <w:spacing w:val="1"/>
              </w:rPr>
              <w:t>110</w:t>
            </w:r>
            <w:r>
              <w:rPr>
                <w:rFonts w:ascii="Times New Roman" w:hAnsi="Times New Roman" w:eastAsia="Times New Roman" w:cs="Times New Roman"/>
              </w:rPr>
              <w:t>kV</w:t>
            </w:r>
            <w:r>
              <w:rPr>
                <w:spacing w:val="1"/>
              </w:rPr>
              <w:t>Ⅱ</w:t>
            </w:r>
            <w:r>
              <w:rPr>
                <w:spacing w:val="2"/>
              </w:rPr>
              <w:t>回线路沿</w:t>
            </w:r>
          </w:p>
          <w:p w14:paraId="65BD9C48">
            <w:pPr>
              <w:pStyle w:val="6"/>
              <w:spacing w:line="228" w:lineRule="auto"/>
              <w:ind w:left="124"/>
            </w:pPr>
            <w:r>
              <w:rPr>
                <w:spacing w:val="6"/>
              </w:rPr>
              <w:t>线电磁环</w:t>
            </w:r>
          </w:p>
          <w:p w14:paraId="27DF8764">
            <w:pPr>
              <w:pStyle w:val="6"/>
              <w:spacing w:before="63" w:line="259" w:lineRule="auto"/>
              <w:ind w:left="439" w:right="127" w:hanging="316"/>
            </w:pPr>
            <w:r>
              <w:rPr>
                <w:spacing w:val="7"/>
              </w:rPr>
              <w:t>境保护目</w:t>
            </w:r>
            <w:r>
              <w:t>标</w:t>
            </w:r>
          </w:p>
        </w:tc>
        <w:tc>
          <w:tcPr>
            <w:tcW w:w="4014" w:type="dxa"/>
            <w:tcBorders>
              <w:left w:val="single" w:color="000000" w:sz="2" w:space="0"/>
            </w:tcBorders>
            <w:vAlign w:val="top"/>
          </w:tcPr>
          <w:p w14:paraId="1FABA035">
            <w:pPr>
              <w:pStyle w:val="6"/>
              <w:spacing w:before="156" w:line="232" w:lineRule="auto"/>
              <w:ind w:left="381" w:right="291" w:hanging="81"/>
            </w:pPr>
            <w:r>
              <w:rPr>
                <w:spacing w:val="5"/>
              </w:rPr>
              <w:t>拟建</w:t>
            </w:r>
            <w:r>
              <w:rPr>
                <w:spacing w:val="-16"/>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16"/>
                <w:w w:val="101"/>
              </w:rPr>
              <w:t xml:space="preserve"> </w:t>
            </w:r>
            <w:r>
              <w:rPr>
                <w:spacing w:val="5"/>
              </w:rPr>
              <w:t>线路</w:t>
            </w:r>
            <w:r>
              <w:rPr>
                <w:spacing w:val="-39"/>
              </w:rPr>
              <w:t xml:space="preserve"> </w:t>
            </w:r>
            <w:r>
              <w:rPr>
                <w:rFonts w:ascii="Times New Roman" w:hAnsi="Times New Roman" w:eastAsia="Times New Roman" w:cs="Times New Roman"/>
                <w:spacing w:val="5"/>
              </w:rPr>
              <w:t xml:space="preserve">T </w:t>
            </w:r>
            <w:r>
              <w:rPr>
                <w:spacing w:val="5"/>
              </w:rPr>
              <w:t>接芳华变～吉冲变</w:t>
            </w:r>
            <w:r>
              <w:rPr>
                <w:rFonts w:ascii="Times New Roman" w:hAnsi="Times New Roman" w:eastAsia="Times New Roman" w:cs="Times New Roman"/>
                <w:spacing w:val="7"/>
              </w:rPr>
              <w:t>110</w:t>
            </w:r>
            <w:r>
              <w:rPr>
                <w:rFonts w:ascii="Times New Roman" w:hAnsi="Times New Roman" w:eastAsia="Times New Roman" w:cs="Times New Roman"/>
              </w:rPr>
              <w:t>kV</w:t>
            </w:r>
            <w:r>
              <w:rPr>
                <w:spacing w:val="7"/>
              </w:rPr>
              <w:t>Ⅱ回线路南侧菜地临时看护房</w:t>
            </w:r>
          </w:p>
        </w:tc>
        <w:tc>
          <w:tcPr>
            <w:tcW w:w="1514" w:type="dxa"/>
            <w:vAlign w:val="top"/>
          </w:tcPr>
          <w:p w14:paraId="64F3CB45">
            <w:pPr>
              <w:pStyle w:val="6"/>
              <w:spacing w:before="230" w:line="227" w:lineRule="auto"/>
              <w:ind w:left="157"/>
            </w:pPr>
            <w:r>
              <w:rPr>
                <w:spacing w:val="4"/>
              </w:rPr>
              <w:t>曲靖市陆良县</w:t>
            </w:r>
          </w:p>
        </w:tc>
        <w:tc>
          <w:tcPr>
            <w:tcW w:w="1234" w:type="dxa"/>
            <w:vMerge w:val="restart"/>
            <w:tcBorders>
              <w:bottom w:val="nil"/>
            </w:tcBorders>
            <w:vAlign w:val="top"/>
          </w:tcPr>
          <w:p w14:paraId="38B93C88">
            <w:pPr>
              <w:spacing w:line="458" w:lineRule="auto"/>
              <w:rPr>
                <w:rFonts w:ascii="Arial"/>
                <w:sz w:val="21"/>
              </w:rPr>
            </w:pPr>
          </w:p>
          <w:p w14:paraId="021D0CFA">
            <w:pPr>
              <w:pStyle w:val="6"/>
              <w:spacing w:before="65" w:line="288" w:lineRule="auto"/>
              <w:ind w:left="114" w:right="122" w:firstLine="94"/>
              <w:jc w:val="both"/>
            </w:pPr>
            <w:r>
              <w:rPr>
                <w:spacing w:val="5"/>
              </w:rPr>
              <w:t>能反映拟</w:t>
            </w:r>
            <w:r>
              <w:rPr>
                <w:spacing w:val="29"/>
              </w:rPr>
              <w:t>建线路电磁环境评价范围内的保护目标处的电</w:t>
            </w:r>
            <w:r>
              <w:rPr>
                <w:spacing w:val="-3"/>
              </w:rPr>
              <w:t>磁环境值；</w:t>
            </w:r>
          </w:p>
        </w:tc>
      </w:tr>
      <w:tr w14:paraId="24AA5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74" w:type="dxa"/>
            <w:vAlign w:val="top"/>
          </w:tcPr>
          <w:p w14:paraId="4DF7E072">
            <w:pPr>
              <w:spacing w:before="269"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14</w:t>
            </w:r>
          </w:p>
        </w:tc>
        <w:tc>
          <w:tcPr>
            <w:tcW w:w="1087" w:type="dxa"/>
            <w:vMerge w:val="continue"/>
            <w:tcBorders>
              <w:top w:val="nil"/>
              <w:bottom w:val="nil"/>
              <w:right w:val="single" w:color="000000" w:sz="2" w:space="0"/>
            </w:tcBorders>
            <w:vAlign w:val="top"/>
          </w:tcPr>
          <w:p w14:paraId="63162F1A">
            <w:pPr>
              <w:rPr>
                <w:rFonts w:ascii="Arial"/>
                <w:sz w:val="21"/>
              </w:rPr>
            </w:pPr>
          </w:p>
        </w:tc>
        <w:tc>
          <w:tcPr>
            <w:tcW w:w="4014" w:type="dxa"/>
            <w:tcBorders>
              <w:left w:val="single" w:color="000000" w:sz="2" w:space="0"/>
            </w:tcBorders>
            <w:vAlign w:val="top"/>
          </w:tcPr>
          <w:p w14:paraId="737730C9">
            <w:pPr>
              <w:pStyle w:val="6"/>
              <w:spacing w:before="156" w:line="232" w:lineRule="auto"/>
              <w:ind w:left="381" w:right="291" w:hanging="81"/>
            </w:pPr>
            <w:r>
              <w:rPr>
                <w:spacing w:val="5"/>
              </w:rPr>
              <w:t>拟建</w:t>
            </w:r>
            <w:r>
              <w:rPr>
                <w:spacing w:val="-16"/>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16"/>
                <w:w w:val="101"/>
              </w:rPr>
              <w:t xml:space="preserve"> </w:t>
            </w:r>
            <w:r>
              <w:rPr>
                <w:spacing w:val="5"/>
              </w:rPr>
              <w:t>线路</w:t>
            </w:r>
            <w:r>
              <w:rPr>
                <w:spacing w:val="-39"/>
              </w:rPr>
              <w:t xml:space="preserve"> </w:t>
            </w:r>
            <w:r>
              <w:rPr>
                <w:rFonts w:ascii="Times New Roman" w:hAnsi="Times New Roman" w:eastAsia="Times New Roman" w:cs="Times New Roman"/>
                <w:spacing w:val="5"/>
              </w:rPr>
              <w:t xml:space="preserve">T </w:t>
            </w:r>
            <w:r>
              <w:rPr>
                <w:spacing w:val="5"/>
              </w:rPr>
              <w:t>接芳华变～吉冲变</w:t>
            </w:r>
            <w:r>
              <w:rPr>
                <w:rFonts w:ascii="Times New Roman" w:hAnsi="Times New Roman" w:eastAsia="Times New Roman" w:cs="Times New Roman"/>
                <w:spacing w:val="7"/>
              </w:rPr>
              <w:t>110</w:t>
            </w:r>
            <w:r>
              <w:rPr>
                <w:rFonts w:ascii="Times New Roman" w:hAnsi="Times New Roman" w:eastAsia="Times New Roman" w:cs="Times New Roman"/>
              </w:rPr>
              <w:t>kV</w:t>
            </w:r>
            <w:r>
              <w:rPr>
                <w:spacing w:val="7"/>
              </w:rPr>
              <w:t>Ⅱ回线路西侧大棚临时看护房</w:t>
            </w:r>
          </w:p>
        </w:tc>
        <w:tc>
          <w:tcPr>
            <w:tcW w:w="1514" w:type="dxa"/>
            <w:vAlign w:val="top"/>
          </w:tcPr>
          <w:p w14:paraId="4739EF91">
            <w:pPr>
              <w:pStyle w:val="6"/>
              <w:spacing w:before="233" w:line="227" w:lineRule="auto"/>
              <w:ind w:left="157"/>
            </w:pPr>
            <w:r>
              <w:rPr>
                <w:spacing w:val="4"/>
              </w:rPr>
              <w:t>曲靖市陆良县</w:t>
            </w:r>
          </w:p>
        </w:tc>
        <w:tc>
          <w:tcPr>
            <w:tcW w:w="1234" w:type="dxa"/>
            <w:vMerge w:val="continue"/>
            <w:tcBorders>
              <w:top w:val="nil"/>
              <w:bottom w:val="nil"/>
            </w:tcBorders>
            <w:vAlign w:val="top"/>
          </w:tcPr>
          <w:p w14:paraId="751DFBC9">
            <w:pPr>
              <w:rPr>
                <w:rFonts w:ascii="Arial"/>
                <w:sz w:val="21"/>
              </w:rPr>
            </w:pPr>
          </w:p>
        </w:tc>
      </w:tr>
      <w:tr w14:paraId="1190D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674" w:type="dxa"/>
            <w:vAlign w:val="top"/>
          </w:tcPr>
          <w:p w14:paraId="3BAB07BC">
            <w:pPr>
              <w:spacing w:before="267"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1087" w:type="dxa"/>
            <w:vMerge w:val="continue"/>
            <w:tcBorders>
              <w:top w:val="nil"/>
              <w:bottom w:val="nil"/>
              <w:right w:val="single" w:color="000000" w:sz="2" w:space="0"/>
            </w:tcBorders>
            <w:vAlign w:val="top"/>
          </w:tcPr>
          <w:p w14:paraId="783F25DB">
            <w:pPr>
              <w:rPr>
                <w:rFonts w:ascii="Arial"/>
                <w:sz w:val="21"/>
              </w:rPr>
            </w:pPr>
          </w:p>
        </w:tc>
        <w:tc>
          <w:tcPr>
            <w:tcW w:w="4014" w:type="dxa"/>
            <w:tcBorders>
              <w:left w:val="single" w:color="000000" w:sz="2" w:space="0"/>
            </w:tcBorders>
            <w:vAlign w:val="top"/>
          </w:tcPr>
          <w:p w14:paraId="2EEE54DA">
            <w:pPr>
              <w:pStyle w:val="6"/>
              <w:spacing w:before="157" w:line="232" w:lineRule="auto"/>
              <w:ind w:left="589" w:right="291" w:hanging="289"/>
            </w:pPr>
            <w:r>
              <w:rPr>
                <w:spacing w:val="5"/>
              </w:rPr>
              <w:t>拟建</w:t>
            </w:r>
            <w:r>
              <w:rPr>
                <w:spacing w:val="-16"/>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16"/>
                <w:w w:val="101"/>
              </w:rPr>
              <w:t xml:space="preserve"> </w:t>
            </w:r>
            <w:r>
              <w:rPr>
                <w:spacing w:val="5"/>
              </w:rPr>
              <w:t>线路</w:t>
            </w:r>
            <w:r>
              <w:rPr>
                <w:spacing w:val="-39"/>
              </w:rPr>
              <w:t xml:space="preserve"> </w:t>
            </w:r>
            <w:r>
              <w:rPr>
                <w:rFonts w:ascii="Times New Roman" w:hAnsi="Times New Roman" w:eastAsia="Times New Roman" w:cs="Times New Roman"/>
                <w:spacing w:val="5"/>
              </w:rPr>
              <w:t xml:space="preserve">T </w:t>
            </w:r>
            <w:r>
              <w:rPr>
                <w:spacing w:val="5"/>
              </w:rPr>
              <w:t>接芳华变～吉冲变</w:t>
            </w:r>
            <w:r>
              <w:rPr>
                <w:rFonts w:ascii="Times New Roman" w:hAnsi="Times New Roman" w:eastAsia="Times New Roman" w:cs="Times New Roman"/>
                <w:spacing w:val="7"/>
              </w:rPr>
              <w:t>110</w:t>
            </w:r>
            <w:r>
              <w:rPr>
                <w:rFonts w:ascii="Times New Roman" w:hAnsi="Times New Roman" w:eastAsia="Times New Roman" w:cs="Times New Roman"/>
              </w:rPr>
              <w:t>kV</w:t>
            </w:r>
            <w:r>
              <w:rPr>
                <w:spacing w:val="7"/>
              </w:rPr>
              <w:t>Ⅱ回线路东侧临时看护房</w:t>
            </w:r>
          </w:p>
        </w:tc>
        <w:tc>
          <w:tcPr>
            <w:tcW w:w="1514" w:type="dxa"/>
            <w:vAlign w:val="top"/>
          </w:tcPr>
          <w:p w14:paraId="155DBD72">
            <w:pPr>
              <w:pStyle w:val="6"/>
              <w:spacing w:before="231" w:line="227" w:lineRule="auto"/>
              <w:ind w:left="157"/>
            </w:pPr>
            <w:r>
              <w:rPr>
                <w:spacing w:val="4"/>
              </w:rPr>
              <w:t>曲靖市陆良县</w:t>
            </w:r>
          </w:p>
        </w:tc>
        <w:tc>
          <w:tcPr>
            <w:tcW w:w="1234" w:type="dxa"/>
            <w:vMerge w:val="continue"/>
            <w:tcBorders>
              <w:top w:val="nil"/>
              <w:bottom w:val="nil"/>
            </w:tcBorders>
            <w:vAlign w:val="top"/>
          </w:tcPr>
          <w:p w14:paraId="67F9BC57">
            <w:pPr>
              <w:rPr>
                <w:rFonts w:ascii="Arial"/>
                <w:sz w:val="21"/>
              </w:rPr>
            </w:pPr>
          </w:p>
        </w:tc>
      </w:tr>
      <w:tr w14:paraId="62BED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674" w:type="dxa"/>
            <w:vAlign w:val="top"/>
          </w:tcPr>
          <w:p w14:paraId="5A030642">
            <w:pPr>
              <w:pStyle w:val="6"/>
              <w:spacing w:before="127" w:line="228" w:lineRule="auto"/>
              <w:ind w:left="129"/>
            </w:pPr>
            <w:r>
              <w:rPr>
                <w:spacing w:val="4"/>
              </w:rPr>
              <w:t>补充</w:t>
            </w:r>
          </w:p>
          <w:p w14:paraId="259C471C">
            <w:pPr>
              <w:pStyle w:val="6"/>
              <w:spacing w:before="65" w:line="306" w:lineRule="auto"/>
              <w:ind w:left="285" w:right="139" w:hanging="172"/>
              <w:rPr>
                <w:rFonts w:ascii="Times New Roman" w:hAnsi="Times New Roman" w:eastAsia="Times New Roman" w:cs="Times New Roman"/>
              </w:rPr>
            </w:pPr>
            <w:r>
              <w:rPr>
                <w:spacing w:val="5"/>
              </w:rPr>
              <w:t>监测</w:t>
            </w:r>
            <w:r>
              <w:rPr>
                <w:rFonts w:ascii="Times New Roman" w:hAnsi="Times New Roman" w:eastAsia="Times New Roman" w:cs="Times New Roman"/>
              </w:rPr>
              <w:t>3</w:t>
            </w:r>
          </w:p>
        </w:tc>
        <w:tc>
          <w:tcPr>
            <w:tcW w:w="1087" w:type="dxa"/>
            <w:vMerge w:val="continue"/>
            <w:tcBorders>
              <w:top w:val="nil"/>
              <w:right w:val="single" w:color="000000" w:sz="2" w:space="0"/>
            </w:tcBorders>
            <w:vAlign w:val="top"/>
          </w:tcPr>
          <w:p w14:paraId="0E531B60">
            <w:pPr>
              <w:rPr>
                <w:rFonts w:ascii="Arial"/>
                <w:sz w:val="21"/>
              </w:rPr>
            </w:pPr>
          </w:p>
        </w:tc>
        <w:tc>
          <w:tcPr>
            <w:tcW w:w="4014" w:type="dxa"/>
            <w:tcBorders>
              <w:left w:val="single" w:color="000000" w:sz="2" w:space="0"/>
            </w:tcBorders>
            <w:vAlign w:val="top"/>
          </w:tcPr>
          <w:p w14:paraId="297F5E3A">
            <w:pPr>
              <w:pStyle w:val="6"/>
              <w:spacing w:before="227" w:line="227" w:lineRule="auto"/>
              <w:ind w:left="300"/>
            </w:pPr>
            <w:r>
              <w:rPr>
                <w:spacing w:val="5"/>
              </w:rPr>
              <w:t>拟建</w:t>
            </w:r>
            <w:r>
              <w:rPr>
                <w:spacing w:val="-16"/>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16"/>
                <w:w w:val="101"/>
              </w:rPr>
              <w:t xml:space="preserve"> </w:t>
            </w:r>
            <w:r>
              <w:rPr>
                <w:spacing w:val="5"/>
              </w:rPr>
              <w:t>线路</w:t>
            </w:r>
            <w:r>
              <w:rPr>
                <w:spacing w:val="-39"/>
              </w:rPr>
              <w:t xml:space="preserve"> </w:t>
            </w:r>
            <w:r>
              <w:rPr>
                <w:rFonts w:ascii="Times New Roman" w:hAnsi="Times New Roman" w:eastAsia="Times New Roman" w:cs="Times New Roman"/>
                <w:spacing w:val="5"/>
              </w:rPr>
              <w:t xml:space="preserve">T </w:t>
            </w:r>
            <w:r>
              <w:rPr>
                <w:spacing w:val="5"/>
              </w:rPr>
              <w:t>接芳华变～吉冲变</w:t>
            </w:r>
          </w:p>
          <w:p w14:paraId="4647605A">
            <w:pPr>
              <w:pStyle w:val="6"/>
              <w:spacing w:before="24" w:line="228" w:lineRule="auto"/>
              <w:ind w:left="129"/>
            </w:pPr>
            <w:r>
              <w:rPr>
                <w:rFonts w:ascii="Times New Roman" w:hAnsi="Times New Roman" w:eastAsia="Times New Roman" w:cs="Times New Roman"/>
                <w:spacing w:val="7"/>
              </w:rPr>
              <w:t>110</w:t>
            </w:r>
            <w:r>
              <w:rPr>
                <w:rFonts w:ascii="Times New Roman" w:hAnsi="Times New Roman" w:eastAsia="Times New Roman" w:cs="Times New Roman"/>
              </w:rPr>
              <w:t>kV</w:t>
            </w:r>
            <w:r>
              <w:rPr>
                <w:rFonts w:ascii="Times New Roman" w:hAnsi="Times New Roman" w:eastAsia="Times New Roman" w:cs="Times New Roman"/>
                <w:spacing w:val="7"/>
              </w:rPr>
              <w:t>Ⅱ</w:t>
            </w:r>
            <w:r>
              <w:rPr>
                <w:spacing w:val="7"/>
              </w:rPr>
              <w:t>回线路西侧临时看护房（</w:t>
            </w:r>
            <w:r>
              <w:rPr>
                <w:rFonts w:ascii="Times New Roman" w:hAnsi="Times New Roman" w:eastAsia="Times New Roman" w:cs="Times New Roman"/>
              </w:rPr>
              <w:t>BZ</w:t>
            </w:r>
            <w:r>
              <w:rPr>
                <w:rFonts w:ascii="Times New Roman" w:hAnsi="Times New Roman" w:eastAsia="Times New Roman" w:cs="Times New Roman"/>
                <w:spacing w:val="7"/>
              </w:rPr>
              <w:t xml:space="preserve">7G </w:t>
            </w:r>
            <w:r>
              <w:rPr>
                <w:spacing w:val="7"/>
              </w:rPr>
              <w:t>塔</w:t>
            </w:r>
          </w:p>
          <w:p w14:paraId="32225C52">
            <w:pPr>
              <w:pStyle w:val="6"/>
              <w:spacing w:before="24" w:line="228" w:lineRule="auto"/>
              <w:ind w:left="1596"/>
            </w:pPr>
            <w:r>
              <w:rPr>
                <w:spacing w:val="3"/>
              </w:rPr>
              <w:t>西南侧）</w:t>
            </w:r>
          </w:p>
        </w:tc>
        <w:tc>
          <w:tcPr>
            <w:tcW w:w="1514" w:type="dxa"/>
            <w:vAlign w:val="top"/>
          </w:tcPr>
          <w:p w14:paraId="2BC377F2">
            <w:pPr>
              <w:spacing w:line="371" w:lineRule="auto"/>
              <w:rPr>
                <w:rFonts w:ascii="Arial"/>
                <w:sz w:val="21"/>
              </w:rPr>
            </w:pPr>
          </w:p>
          <w:p w14:paraId="432A9BF3">
            <w:pPr>
              <w:pStyle w:val="6"/>
              <w:spacing w:before="65" w:line="227" w:lineRule="auto"/>
              <w:ind w:left="157"/>
            </w:pPr>
            <w:r>
              <w:rPr>
                <w:spacing w:val="4"/>
              </w:rPr>
              <w:t>曲靖市陆良县</w:t>
            </w:r>
          </w:p>
        </w:tc>
        <w:tc>
          <w:tcPr>
            <w:tcW w:w="1234" w:type="dxa"/>
            <w:vMerge w:val="continue"/>
            <w:tcBorders>
              <w:top w:val="nil"/>
            </w:tcBorders>
            <w:vAlign w:val="top"/>
          </w:tcPr>
          <w:p w14:paraId="6017B839">
            <w:pPr>
              <w:rPr>
                <w:rFonts w:ascii="Arial"/>
                <w:sz w:val="21"/>
              </w:rPr>
            </w:pPr>
          </w:p>
        </w:tc>
      </w:tr>
      <w:tr w14:paraId="6D002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2" w:hRule="atLeast"/>
        </w:trPr>
        <w:tc>
          <w:tcPr>
            <w:tcW w:w="674" w:type="dxa"/>
            <w:vAlign w:val="top"/>
          </w:tcPr>
          <w:p w14:paraId="278CC9F3">
            <w:pPr>
              <w:spacing w:line="250" w:lineRule="auto"/>
              <w:rPr>
                <w:rFonts w:ascii="Arial"/>
                <w:sz w:val="21"/>
              </w:rPr>
            </w:pPr>
          </w:p>
          <w:p w14:paraId="2DC27964">
            <w:pPr>
              <w:spacing w:line="251" w:lineRule="auto"/>
              <w:rPr>
                <w:rFonts w:ascii="Arial"/>
                <w:sz w:val="21"/>
              </w:rPr>
            </w:pPr>
          </w:p>
          <w:p w14:paraId="500F18E6">
            <w:pPr>
              <w:spacing w:before="57" w:line="195" w:lineRule="auto"/>
              <w:ind w:left="251"/>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1087" w:type="dxa"/>
            <w:tcBorders>
              <w:right w:val="single" w:color="000000" w:sz="2" w:space="0"/>
            </w:tcBorders>
            <w:vAlign w:val="top"/>
          </w:tcPr>
          <w:p w14:paraId="17C653A3">
            <w:pPr>
              <w:spacing w:line="457" w:lineRule="auto"/>
              <w:rPr>
                <w:rFonts w:ascii="Arial"/>
                <w:sz w:val="21"/>
              </w:rPr>
            </w:pPr>
          </w:p>
          <w:p w14:paraId="7FA6F6EE">
            <w:pPr>
              <w:pStyle w:val="6"/>
              <w:spacing w:before="65" w:line="228" w:lineRule="auto"/>
              <w:ind w:left="124"/>
            </w:pPr>
            <w:r>
              <w:rPr>
                <w:spacing w:val="6"/>
              </w:rPr>
              <w:t>线路终点</w:t>
            </w:r>
          </w:p>
        </w:tc>
        <w:tc>
          <w:tcPr>
            <w:tcW w:w="4014" w:type="dxa"/>
            <w:tcBorders>
              <w:left w:val="single" w:color="000000" w:sz="2" w:space="0"/>
            </w:tcBorders>
            <w:vAlign w:val="top"/>
          </w:tcPr>
          <w:p w14:paraId="25E7D3D9">
            <w:pPr>
              <w:spacing w:line="381" w:lineRule="auto"/>
              <w:rPr>
                <w:rFonts w:ascii="Arial"/>
                <w:sz w:val="21"/>
              </w:rPr>
            </w:pPr>
          </w:p>
          <w:p w14:paraId="31608E64">
            <w:pPr>
              <w:pStyle w:val="6"/>
              <w:spacing w:before="65" w:line="227" w:lineRule="auto"/>
              <w:ind w:left="300"/>
            </w:pPr>
            <w:r>
              <w:rPr>
                <w:spacing w:val="5"/>
              </w:rPr>
              <w:t>拟建</w:t>
            </w:r>
            <w:r>
              <w:rPr>
                <w:spacing w:val="-16"/>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16"/>
                <w:w w:val="101"/>
              </w:rPr>
              <w:t xml:space="preserve"> </w:t>
            </w:r>
            <w:r>
              <w:rPr>
                <w:spacing w:val="5"/>
              </w:rPr>
              <w:t>线路</w:t>
            </w:r>
            <w:r>
              <w:rPr>
                <w:spacing w:val="-39"/>
              </w:rPr>
              <w:t xml:space="preserve"> </w:t>
            </w:r>
            <w:r>
              <w:rPr>
                <w:rFonts w:ascii="Times New Roman" w:hAnsi="Times New Roman" w:eastAsia="Times New Roman" w:cs="Times New Roman"/>
                <w:spacing w:val="5"/>
              </w:rPr>
              <w:t xml:space="preserve">T </w:t>
            </w:r>
            <w:r>
              <w:rPr>
                <w:spacing w:val="5"/>
              </w:rPr>
              <w:t>接芳华变～吉冲变</w:t>
            </w:r>
          </w:p>
          <w:p w14:paraId="29EC9005">
            <w:pPr>
              <w:pStyle w:val="6"/>
              <w:spacing w:before="24" w:line="228" w:lineRule="auto"/>
              <w:ind w:left="815"/>
            </w:pPr>
            <w:r>
              <w:rPr>
                <w:rFonts w:ascii="Times New Roman" w:hAnsi="Times New Roman" w:eastAsia="Times New Roman" w:cs="Times New Roman"/>
                <w:spacing w:val="5"/>
              </w:rPr>
              <w:t>110</w:t>
            </w:r>
            <w:r>
              <w:rPr>
                <w:rFonts w:ascii="Times New Roman" w:hAnsi="Times New Roman" w:eastAsia="Times New Roman" w:cs="Times New Roman"/>
              </w:rPr>
              <w:t>kV</w:t>
            </w:r>
            <w:r>
              <w:rPr>
                <w:spacing w:val="5"/>
              </w:rPr>
              <w:t>Ⅱ回线路（</w:t>
            </w:r>
            <w:r>
              <w:rPr>
                <w:rFonts w:ascii="Times New Roman" w:hAnsi="Times New Roman" w:eastAsia="Times New Roman" w:cs="Times New Roman"/>
                <w:spacing w:val="5"/>
              </w:rPr>
              <w:t xml:space="preserve">T </w:t>
            </w:r>
            <w:r>
              <w:rPr>
                <w:spacing w:val="5"/>
              </w:rPr>
              <w:t>接点）</w:t>
            </w:r>
          </w:p>
        </w:tc>
        <w:tc>
          <w:tcPr>
            <w:tcW w:w="1514" w:type="dxa"/>
            <w:vAlign w:val="top"/>
          </w:tcPr>
          <w:p w14:paraId="0542512A">
            <w:pPr>
              <w:spacing w:line="458" w:lineRule="auto"/>
              <w:rPr>
                <w:rFonts w:ascii="Arial"/>
                <w:sz w:val="21"/>
              </w:rPr>
            </w:pPr>
          </w:p>
          <w:p w14:paraId="1EC7700B">
            <w:pPr>
              <w:pStyle w:val="6"/>
              <w:spacing w:before="65" w:line="227" w:lineRule="auto"/>
              <w:ind w:left="157"/>
            </w:pPr>
            <w:r>
              <w:rPr>
                <w:spacing w:val="4"/>
              </w:rPr>
              <w:t>曲靖市陆良县</w:t>
            </w:r>
          </w:p>
        </w:tc>
        <w:tc>
          <w:tcPr>
            <w:tcW w:w="1234" w:type="dxa"/>
            <w:vAlign w:val="top"/>
          </w:tcPr>
          <w:p w14:paraId="6CEAFBDA">
            <w:pPr>
              <w:pStyle w:val="6"/>
              <w:spacing w:before="58" w:line="228" w:lineRule="auto"/>
              <w:ind w:left="223"/>
              <w:rPr>
                <w:rFonts w:ascii="Times New Roman" w:hAnsi="Times New Roman" w:eastAsia="Times New Roman" w:cs="Times New Roman"/>
              </w:rPr>
            </w:pPr>
            <w:r>
              <w:rPr>
                <w:spacing w:val="3"/>
              </w:rPr>
              <w:t>能反映</w:t>
            </w:r>
            <w:r>
              <w:rPr>
                <w:spacing w:val="-42"/>
              </w:rPr>
              <w:t xml:space="preserve"> </w:t>
            </w:r>
            <w:r>
              <w:rPr>
                <w:rFonts w:ascii="Times New Roman" w:hAnsi="Times New Roman" w:eastAsia="Times New Roman" w:cs="Times New Roman"/>
                <w:spacing w:val="3"/>
              </w:rPr>
              <w:t>T</w:t>
            </w:r>
          </w:p>
          <w:p w14:paraId="64C8D10E">
            <w:pPr>
              <w:pStyle w:val="6"/>
              <w:spacing w:before="64" w:line="229" w:lineRule="auto"/>
              <w:ind w:left="200"/>
            </w:pPr>
            <w:r>
              <w:rPr>
                <w:spacing w:val="7"/>
              </w:rPr>
              <w:t>接点的电</w:t>
            </w:r>
          </w:p>
          <w:p w14:paraId="269FC6B3">
            <w:pPr>
              <w:pStyle w:val="6"/>
              <w:spacing w:before="64" w:line="258" w:lineRule="auto"/>
              <w:ind w:left="200" w:right="193"/>
            </w:pPr>
            <w:r>
              <w:rPr>
                <w:spacing w:val="7"/>
              </w:rPr>
              <w:t>磁环境本</w:t>
            </w:r>
            <w:r>
              <w:rPr>
                <w:spacing w:val="5"/>
              </w:rPr>
              <w:t>底水平；</w:t>
            </w:r>
          </w:p>
        </w:tc>
      </w:tr>
      <w:tr w14:paraId="0E4AB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8523" w:type="dxa"/>
            <w:gridSpan w:val="5"/>
            <w:vAlign w:val="top"/>
          </w:tcPr>
          <w:p w14:paraId="46422E89">
            <w:pPr>
              <w:pStyle w:val="6"/>
              <w:spacing w:before="58" w:line="262" w:lineRule="auto"/>
              <w:ind w:left="112" w:right="107"/>
            </w:pPr>
            <w:r>
              <w:rPr>
                <w:spacing w:val="10"/>
              </w:rPr>
              <w:t>注：本期线路接入的</w:t>
            </w:r>
            <w:r>
              <w:rPr>
                <w:spacing w:val="-40"/>
              </w:rPr>
              <w:t xml:space="preserve"> </w:t>
            </w:r>
            <w:r>
              <w:rPr>
                <w:rFonts w:ascii="Times New Roman" w:hAnsi="Times New Roman" w:eastAsia="Times New Roman" w:cs="Times New Roman"/>
                <w:spacing w:val="10"/>
              </w:rPr>
              <w:t>220</w:t>
            </w:r>
            <w:r>
              <w:rPr>
                <w:rFonts w:ascii="Times New Roman" w:hAnsi="Times New Roman" w:eastAsia="Times New Roman" w:cs="Times New Roman"/>
              </w:rPr>
              <w:t>kV</w:t>
            </w:r>
            <w:r>
              <w:rPr>
                <w:rFonts w:ascii="Times New Roman" w:hAnsi="Times New Roman" w:eastAsia="Times New Roman" w:cs="Times New Roman"/>
                <w:spacing w:val="19"/>
                <w:w w:val="101"/>
              </w:rPr>
              <w:t xml:space="preserve"> </w:t>
            </w:r>
            <w:r>
              <w:rPr>
                <w:spacing w:val="10"/>
              </w:rPr>
              <w:t>芳华变电站、被</w:t>
            </w:r>
            <w:r>
              <w:rPr>
                <w:spacing w:val="-39"/>
              </w:rPr>
              <w:t xml:space="preserve"> </w:t>
            </w:r>
            <w:r>
              <w:rPr>
                <w:rFonts w:ascii="Times New Roman" w:hAnsi="Times New Roman" w:eastAsia="Times New Roman" w:cs="Times New Roman"/>
                <w:spacing w:val="10"/>
              </w:rPr>
              <w:t xml:space="preserve">T </w:t>
            </w:r>
            <w:r>
              <w:rPr>
                <w:spacing w:val="10"/>
              </w:rPr>
              <w:t>接线路均</w:t>
            </w:r>
            <w:r>
              <w:rPr>
                <w:spacing w:val="9"/>
              </w:rPr>
              <w:t>未开工建设，本次监测为本底值监</w:t>
            </w:r>
            <w:r>
              <w:t>测。</w:t>
            </w:r>
          </w:p>
        </w:tc>
      </w:tr>
    </w:tbl>
    <w:p w14:paraId="433E042E">
      <w:pPr>
        <w:pStyle w:val="2"/>
        <w:spacing w:before="114" w:line="362" w:lineRule="auto"/>
        <w:ind w:left="128" w:right="32" w:firstLine="348"/>
        <w:rPr>
          <w:sz w:val="24"/>
          <w:szCs w:val="24"/>
        </w:rPr>
      </w:pPr>
      <w:r>
        <w:rPr>
          <w:spacing w:val="-4"/>
          <w:sz w:val="24"/>
          <w:szCs w:val="24"/>
        </w:rPr>
        <w:t>本次环境现状监测选择在拟建变电站四周、线路沿线电磁环境影响相对敏</w:t>
      </w:r>
      <w:r>
        <w:rPr>
          <w:spacing w:val="-5"/>
          <w:sz w:val="24"/>
          <w:szCs w:val="24"/>
        </w:rPr>
        <w:t>感、</w:t>
      </w:r>
      <w:r>
        <w:rPr>
          <w:spacing w:val="-3"/>
          <w:sz w:val="24"/>
          <w:szCs w:val="24"/>
        </w:rPr>
        <w:t>与线路边导线距离最近的建筑物处布点监测。本次现状监测点位布设符</w:t>
      </w:r>
      <w:r>
        <w:rPr>
          <w:spacing w:val="-4"/>
          <w:sz w:val="24"/>
          <w:szCs w:val="24"/>
        </w:rPr>
        <w:t>合导则要</w:t>
      </w:r>
    </w:p>
    <w:p w14:paraId="78FDC6A3">
      <w:pPr>
        <w:spacing w:line="362" w:lineRule="auto"/>
        <w:rPr>
          <w:sz w:val="24"/>
          <w:szCs w:val="24"/>
        </w:rPr>
        <w:sectPr>
          <w:footerReference r:id="rId170" w:type="default"/>
          <w:pgSz w:w="11906" w:h="16839"/>
          <w:pgMar w:top="400" w:right="1686" w:bottom="1147" w:left="1685" w:header="0" w:footer="960" w:gutter="0"/>
          <w:cols w:space="720" w:num="1"/>
        </w:sectPr>
      </w:pPr>
    </w:p>
    <w:p w14:paraId="774F2930">
      <w:pPr>
        <w:spacing w:line="267" w:lineRule="auto"/>
        <w:rPr>
          <w:rFonts w:ascii="Arial"/>
          <w:sz w:val="21"/>
        </w:rPr>
      </w:pPr>
    </w:p>
    <w:p w14:paraId="6D55C8AD">
      <w:pPr>
        <w:spacing w:line="267" w:lineRule="auto"/>
        <w:rPr>
          <w:rFonts w:ascii="Arial"/>
          <w:sz w:val="21"/>
        </w:rPr>
      </w:pPr>
    </w:p>
    <w:p w14:paraId="5E6CE376">
      <w:pPr>
        <w:spacing w:line="267" w:lineRule="auto"/>
        <w:rPr>
          <w:rFonts w:ascii="Arial"/>
          <w:sz w:val="21"/>
        </w:rPr>
      </w:pPr>
    </w:p>
    <w:p w14:paraId="5EDA874A">
      <w:pPr>
        <w:spacing w:line="268" w:lineRule="auto"/>
        <w:rPr>
          <w:rFonts w:ascii="Arial"/>
          <w:sz w:val="21"/>
        </w:rPr>
      </w:pPr>
    </w:p>
    <w:p w14:paraId="7581C6FF">
      <w:pPr>
        <w:pStyle w:val="2"/>
        <w:spacing w:before="78" w:line="362" w:lineRule="auto"/>
        <w:ind w:left="122" w:right="368" w:firstLine="1"/>
        <w:rPr>
          <w:sz w:val="24"/>
          <w:szCs w:val="24"/>
        </w:rPr>
      </w:pPr>
      <w:r>
        <w:rPr>
          <w:spacing w:val="-3"/>
          <w:sz w:val="24"/>
          <w:szCs w:val="24"/>
        </w:rPr>
        <w:t>求，且具有一定代表性，监测数据能够反映拟建变电站、线路沿线的电磁环境现</w:t>
      </w:r>
      <w:r>
        <w:rPr>
          <w:spacing w:val="-5"/>
          <w:sz w:val="24"/>
          <w:szCs w:val="24"/>
        </w:rPr>
        <w:t>状。</w:t>
      </w:r>
    </w:p>
    <w:p w14:paraId="32F5FE62">
      <w:pPr>
        <w:pStyle w:val="2"/>
        <w:spacing w:before="43" w:line="220" w:lineRule="auto"/>
        <w:ind w:left="120"/>
        <w:rPr>
          <w:sz w:val="30"/>
          <w:szCs w:val="30"/>
        </w:rPr>
      </w:pPr>
      <w:r>
        <w:rPr>
          <w:rFonts w:ascii="Times New Roman" w:hAnsi="Times New Roman" w:eastAsia="Times New Roman" w:cs="Times New Roman"/>
          <w:b/>
          <w:bCs/>
          <w:spacing w:val="-2"/>
          <w:sz w:val="30"/>
          <w:szCs w:val="30"/>
        </w:rPr>
        <w:t xml:space="preserve">4.3  </w:t>
      </w:r>
      <w:r>
        <w:rPr>
          <w:b/>
          <w:bCs/>
          <w:spacing w:val="-2"/>
          <w:sz w:val="30"/>
          <w:szCs w:val="30"/>
        </w:rPr>
        <w:t>监测质量保证措施</w:t>
      </w:r>
    </w:p>
    <w:p w14:paraId="73425A70">
      <w:pPr>
        <w:pStyle w:val="2"/>
        <w:spacing w:before="217" w:line="360" w:lineRule="auto"/>
        <w:ind w:left="126" w:right="368" w:firstLine="474"/>
        <w:rPr>
          <w:sz w:val="24"/>
          <w:szCs w:val="24"/>
        </w:rPr>
      </w:pPr>
      <w:r>
        <w:rPr>
          <w:rFonts w:ascii="Times New Roman" w:hAnsi="Times New Roman" w:eastAsia="Times New Roman" w:cs="Times New Roman"/>
          <w:spacing w:val="-1"/>
          <w:sz w:val="24"/>
          <w:szCs w:val="24"/>
        </w:rPr>
        <w:t>a.</w:t>
      </w:r>
      <w:r>
        <w:rPr>
          <w:spacing w:val="-1"/>
          <w:sz w:val="24"/>
          <w:szCs w:val="24"/>
        </w:rPr>
        <w:t>本项目检测单位为云南茂业环保科技有限公司，取得了云南省质量技术监督局（</w:t>
      </w:r>
      <w:r>
        <w:rPr>
          <w:rFonts w:ascii="Times New Roman" w:hAnsi="Times New Roman" w:eastAsia="Times New Roman" w:cs="Times New Roman"/>
          <w:spacing w:val="-1"/>
          <w:sz w:val="24"/>
          <w:szCs w:val="24"/>
        </w:rPr>
        <w:t xml:space="preserve">CMA </w:t>
      </w:r>
      <w:r>
        <w:rPr>
          <w:spacing w:val="-1"/>
          <w:sz w:val="24"/>
          <w:szCs w:val="24"/>
        </w:rPr>
        <w:t>认证</w:t>
      </w:r>
      <w:r>
        <w:rPr>
          <w:spacing w:val="6"/>
          <w:sz w:val="24"/>
          <w:szCs w:val="24"/>
        </w:rPr>
        <w:t>）；</w:t>
      </w:r>
      <w:r>
        <w:rPr>
          <w:spacing w:val="-1"/>
          <w:sz w:val="24"/>
          <w:szCs w:val="24"/>
        </w:rPr>
        <w:t>该单位具备完整、有效的质量控</w:t>
      </w:r>
      <w:r>
        <w:rPr>
          <w:spacing w:val="-2"/>
          <w:sz w:val="24"/>
          <w:szCs w:val="24"/>
        </w:rPr>
        <w:t>制体系；</w:t>
      </w:r>
    </w:p>
    <w:p w14:paraId="1EB13F73">
      <w:pPr>
        <w:pStyle w:val="2"/>
        <w:spacing w:before="2" w:line="359" w:lineRule="auto"/>
        <w:ind w:left="121" w:right="368" w:firstLine="471"/>
        <w:rPr>
          <w:sz w:val="24"/>
          <w:szCs w:val="24"/>
        </w:rPr>
      </w:pPr>
      <w:r>
        <w:rPr>
          <w:rFonts w:ascii="Times New Roman" w:hAnsi="Times New Roman" w:eastAsia="Times New Roman" w:cs="Times New Roman"/>
          <w:spacing w:val="-1"/>
          <w:sz w:val="24"/>
          <w:szCs w:val="24"/>
        </w:rPr>
        <w:t>b.</w:t>
      </w:r>
      <w:r>
        <w:rPr>
          <w:spacing w:val="-1"/>
          <w:sz w:val="24"/>
          <w:szCs w:val="24"/>
        </w:rPr>
        <w:t>根据《环境影响评价技术导则 输变电》（</w:t>
      </w:r>
      <w:r>
        <w:rPr>
          <w:rFonts w:ascii="Times New Roman" w:hAnsi="Times New Roman" w:eastAsia="Times New Roman" w:cs="Times New Roman"/>
          <w:spacing w:val="-1"/>
          <w:sz w:val="24"/>
          <w:szCs w:val="24"/>
        </w:rPr>
        <w:t>HJ24-2020</w:t>
      </w:r>
      <w:r>
        <w:rPr>
          <w:spacing w:val="-1"/>
          <w:sz w:val="24"/>
          <w:szCs w:val="24"/>
        </w:rPr>
        <w:t>）制定检测方案及实</w:t>
      </w:r>
      <w:r>
        <w:rPr>
          <w:spacing w:val="-3"/>
          <w:sz w:val="24"/>
          <w:szCs w:val="24"/>
        </w:rPr>
        <w:t>施细则；</w:t>
      </w:r>
    </w:p>
    <w:p w14:paraId="299C8FEF">
      <w:pPr>
        <w:pStyle w:val="2"/>
        <w:spacing w:before="1" w:line="218" w:lineRule="auto"/>
        <w:ind w:left="600"/>
        <w:rPr>
          <w:sz w:val="24"/>
          <w:szCs w:val="24"/>
        </w:rPr>
      </w:pPr>
      <w:r>
        <w:rPr>
          <w:rFonts w:ascii="Times New Roman" w:hAnsi="Times New Roman" w:eastAsia="Times New Roman" w:cs="Times New Roman"/>
          <w:sz w:val="24"/>
          <w:szCs w:val="24"/>
        </w:rPr>
        <w:t>c.</w:t>
      </w:r>
      <w:r>
        <w:rPr>
          <w:sz w:val="24"/>
          <w:szCs w:val="24"/>
        </w:rPr>
        <w:t>严格按照检测单位《质保手册》、《作业</w:t>
      </w:r>
      <w:r>
        <w:rPr>
          <w:spacing w:val="-1"/>
          <w:sz w:val="24"/>
          <w:szCs w:val="24"/>
        </w:rPr>
        <w:t>指导书》开展现场工作；</w:t>
      </w:r>
    </w:p>
    <w:p w14:paraId="18DFE197">
      <w:pPr>
        <w:pStyle w:val="2"/>
        <w:spacing w:before="183" w:line="360" w:lineRule="auto"/>
        <w:ind w:left="122" w:right="368" w:firstLine="478"/>
        <w:rPr>
          <w:sz w:val="24"/>
          <w:szCs w:val="24"/>
        </w:rPr>
      </w:pPr>
      <w:r>
        <w:rPr>
          <w:rFonts w:ascii="Times New Roman" w:hAnsi="Times New Roman" w:eastAsia="Times New Roman" w:cs="Times New Roman"/>
          <w:spacing w:val="-1"/>
          <w:sz w:val="24"/>
          <w:szCs w:val="24"/>
        </w:rPr>
        <w:t>d.</w:t>
      </w:r>
      <w:r>
        <w:rPr>
          <w:spacing w:val="-1"/>
          <w:sz w:val="24"/>
          <w:szCs w:val="24"/>
        </w:rPr>
        <w:t>检测仪器每年经计量部门检定后使用；每次测量前、</w:t>
      </w:r>
      <w:r>
        <w:rPr>
          <w:spacing w:val="-2"/>
          <w:sz w:val="24"/>
          <w:szCs w:val="24"/>
        </w:rPr>
        <w:t>后均检查仪器的工作</w:t>
      </w:r>
      <w:r>
        <w:rPr>
          <w:spacing w:val="-1"/>
          <w:sz w:val="24"/>
          <w:szCs w:val="24"/>
        </w:rPr>
        <w:t>状态是否正常，并对仪器进行校验；</w:t>
      </w:r>
    </w:p>
    <w:p w14:paraId="6B299EC0">
      <w:pPr>
        <w:pStyle w:val="2"/>
        <w:spacing w:before="1" w:line="218" w:lineRule="auto"/>
        <w:ind w:left="601"/>
        <w:rPr>
          <w:sz w:val="24"/>
          <w:szCs w:val="24"/>
        </w:rPr>
      </w:pPr>
      <w:r>
        <w:rPr>
          <w:rFonts w:ascii="Times New Roman" w:hAnsi="Times New Roman" w:eastAsia="Times New Roman" w:cs="Times New Roman"/>
          <w:spacing w:val="-1"/>
          <w:sz w:val="24"/>
          <w:szCs w:val="24"/>
        </w:rPr>
        <w:t>e.</w:t>
      </w:r>
      <w:r>
        <w:rPr>
          <w:spacing w:val="-1"/>
          <w:sz w:val="24"/>
          <w:szCs w:val="24"/>
        </w:rPr>
        <w:t>检测人员经考核并持有合格证书上岗；</w:t>
      </w:r>
    </w:p>
    <w:p w14:paraId="155249F7">
      <w:pPr>
        <w:pStyle w:val="2"/>
        <w:spacing w:before="184" w:line="360" w:lineRule="auto"/>
        <w:ind w:left="121" w:right="370" w:firstLine="480"/>
        <w:rPr>
          <w:sz w:val="24"/>
          <w:szCs w:val="24"/>
        </w:rPr>
      </w:pPr>
      <w:r>
        <w:rPr>
          <w:rFonts w:ascii="Times New Roman" w:hAnsi="Times New Roman" w:eastAsia="Times New Roman" w:cs="Times New Roman"/>
          <w:sz w:val="24"/>
          <w:szCs w:val="24"/>
        </w:rPr>
        <w:t>f.</w:t>
      </w:r>
      <w:r>
        <w:rPr>
          <w:sz w:val="24"/>
          <w:szCs w:val="24"/>
        </w:rPr>
        <w:t>检测时获取足够的数据量，以保证检测结果的统计学精度</w:t>
      </w:r>
      <w:r>
        <w:rPr>
          <w:spacing w:val="-1"/>
          <w:sz w:val="24"/>
          <w:szCs w:val="24"/>
        </w:rPr>
        <w:t>。检测中异常数据以及检测结果的数据处理按照统计学原则处理；</w:t>
      </w:r>
    </w:p>
    <w:p w14:paraId="249D05DD">
      <w:pPr>
        <w:pStyle w:val="2"/>
        <w:spacing w:before="2" w:line="351" w:lineRule="auto"/>
        <w:ind w:left="123" w:right="374" w:firstLine="476"/>
        <w:rPr>
          <w:sz w:val="24"/>
          <w:szCs w:val="24"/>
        </w:rPr>
      </w:pPr>
      <w:r>
        <w:rPr>
          <w:rFonts w:ascii="Times New Roman" w:hAnsi="Times New Roman" w:eastAsia="Times New Roman" w:cs="Times New Roman"/>
          <w:spacing w:val="-1"/>
          <w:sz w:val="24"/>
          <w:szCs w:val="24"/>
        </w:rPr>
        <w:t>g.</w:t>
      </w:r>
      <w:r>
        <w:rPr>
          <w:spacing w:val="-1"/>
          <w:sz w:val="24"/>
          <w:szCs w:val="24"/>
        </w:rPr>
        <w:t>建立完整的文件资料。仪器校准（测试）</w:t>
      </w:r>
      <w:r>
        <w:rPr>
          <w:spacing w:val="-2"/>
          <w:sz w:val="24"/>
          <w:szCs w:val="24"/>
        </w:rPr>
        <w:t>证书、检测方案、检测布点图、</w:t>
      </w:r>
      <w:r>
        <w:rPr>
          <w:spacing w:val="-1"/>
          <w:sz w:val="24"/>
          <w:szCs w:val="24"/>
        </w:rPr>
        <w:t>测量原始数据、统计处理程序等全部保留，以备复查；</w:t>
      </w:r>
    </w:p>
    <w:p w14:paraId="2DB5C484">
      <w:pPr>
        <w:pStyle w:val="2"/>
        <w:spacing w:before="23" w:line="362" w:lineRule="auto"/>
        <w:ind w:left="127" w:right="370" w:firstLine="466"/>
        <w:rPr>
          <w:sz w:val="24"/>
          <w:szCs w:val="24"/>
        </w:rPr>
      </w:pPr>
      <w:r>
        <w:rPr>
          <w:rFonts w:ascii="Times New Roman" w:hAnsi="Times New Roman" w:eastAsia="Times New Roman" w:cs="Times New Roman"/>
          <w:spacing w:val="-1"/>
          <w:sz w:val="24"/>
          <w:szCs w:val="24"/>
        </w:rPr>
        <w:t>h.</w:t>
      </w:r>
      <w:r>
        <w:rPr>
          <w:spacing w:val="-1"/>
          <w:sz w:val="24"/>
          <w:szCs w:val="24"/>
        </w:rPr>
        <w:t>检测报告严格实行三级审核制度，经过校对、校核，最后由技</w:t>
      </w:r>
      <w:r>
        <w:rPr>
          <w:spacing w:val="-2"/>
          <w:sz w:val="24"/>
          <w:szCs w:val="24"/>
        </w:rPr>
        <w:t>术负责人审</w:t>
      </w:r>
      <w:r>
        <w:rPr>
          <w:spacing w:val="-8"/>
          <w:sz w:val="24"/>
          <w:szCs w:val="24"/>
        </w:rPr>
        <w:t>定。</w:t>
      </w:r>
    </w:p>
    <w:p w14:paraId="66E278B9">
      <w:pPr>
        <w:pStyle w:val="2"/>
        <w:spacing w:before="43" w:line="219" w:lineRule="auto"/>
        <w:ind w:left="120"/>
        <w:rPr>
          <w:sz w:val="30"/>
          <w:szCs w:val="30"/>
        </w:rPr>
      </w:pPr>
      <w:r>
        <w:rPr>
          <w:rFonts w:ascii="Times New Roman" w:hAnsi="Times New Roman" w:eastAsia="Times New Roman" w:cs="Times New Roman"/>
          <w:b/>
          <w:bCs/>
          <w:spacing w:val="-2"/>
          <w:sz w:val="30"/>
          <w:szCs w:val="30"/>
        </w:rPr>
        <w:t xml:space="preserve">4.4  </w:t>
      </w:r>
      <w:r>
        <w:rPr>
          <w:b/>
          <w:bCs/>
          <w:spacing w:val="-2"/>
          <w:sz w:val="30"/>
          <w:szCs w:val="30"/>
        </w:rPr>
        <w:t>监测环境条件</w:t>
      </w:r>
    </w:p>
    <w:p w14:paraId="4A616206">
      <w:pPr>
        <w:spacing w:line="294" w:lineRule="auto"/>
        <w:rPr>
          <w:rFonts w:ascii="Arial"/>
          <w:sz w:val="21"/>
        </w:rPr>
      </w:pPr>
    </w:p>
    <w:p w14:paraId="22F3349F">
      <w:pPr>
        <w:pStyle w:val="2"/>
        <w:spacing w:before="78" w:line="218" w:lineRule="auto"/>
        <w:ind w:left="602"/>
        <w:rPr>
          <w:sz w:val="24"/>
          <w:szCs w:val="24"/>
        </w:rPr>
      </w:pPr>
      <w:r>
        <w:rPr>
          <w:spacing w:val="-1"/>
          <w:sz w:val="24"/>
          <w:szCs w:val="24"/>
        </w:rPr>
        <w:t>根据现状监测报告，监测环境如下：</w:t>
      </w:r>
    </w:p>
    <w:p w14:paraId="53501D11">
      <w:pPr>
        <w:pStyle w:val="2"/>
        <w:spacing w:before="123" w:line="228" w:lineRule="auto"/>
        <w:ind w:left="3052"/>
        <w:rPr>
          <w:sz w:val="20"/>
          <w:szCs w:val="20"/>
        </w:rPr>
      </w:pPr>
      <w:r>
        <w:rPr>
          <w:b/>
          <w:bCs/>
          <w:spacing w:val="5"/>
          <w:sz w:val="20"/>
          <w:szCs w:val="20"/>
        </w:rPr>
        <w:t>表</w:t>
      </w:r>
      <w:r>
        <w:rPr>
          <w:spacing w:val="-36"/>
          <w:sz w:val="20"/>
          <w:szCs w:val="20"/>
        </w:rPr>
        <w:t xml:space="preserve"> </w:t>
      </w:r>
      <w:r>
        <w:rPr>
          <w:rFonts w:ascii="Times New Roman" w:hAnsi="Times New Roman" w:eastAsia="Times New Roman" w:cs="Times New Roman"/>
          <w:b/>
          <w:bCs/>
          <w:spacing w:val="5"/>
          <w:sz w:val="20"/>
          <w:szCs w:val="20"/>
        </w:rPr>
        <w:t xml:space="preserve">4-2    </w:t>
      </w:r>
      <w:r>
        <w:rPr>
          <w:b/>
          <w:bCs/>
          <w:spacing w:val="5"/>
          <w:sz w:val="20"/>
          <w:szCs w:val="20"/>
        </w:rPr>
        <w:t>监测期间气象条件</w:t>
      </w:r>
    </w:p>
    <w:p w14:paraId="5A887B05">
      <w:pPr>
        <w:spacing w:line="142" w:lineRule="auto"/>
        <w:rPr>
          <w:rFonts w:ascii="Arial"/>
          <w:sz w:val="2"/>
        </w:rPr>
      </w:pPr>
    </w:p>
    <w:tbl>
      <w:tblPr>
        <w:tblStyle w:val="5"/>
        <w:tblW w:w="85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39"/>
        <w:gridCol w:w="882"/>
        <w:gridCol w:w="1709"/>
        <w:gridCol w:w="1709"/>
        <w:gridCol w:w="1714"/>
      </w:tblGrid>
      <w:tr w14:paraId="49EDA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539" w:type="dxa"/>
            <w:vAlign w:val="top"/>
          </w:tcPr>
          <w:p w14:paraId="60D30D7D">
            <w:pPr>
              <w:pStyle w:val="6"/>
              <w:spacing w:before="56" w:line="228" w:lineRule="auto"/>
              <w:ind w:left="855"/>
            </w:pPr>
            <w:r>
              <w:rPr>
                <w:spacing w:val="7"/>
              </w:rPr>
              <w:t>检测日期</w:t>
            </w:r>
          </w:p>
        </w:tc>
        <w:tc>
          <w:tcPr>
            <w:tcW w:w="882" w:type="dxa"/>
            <w:vAlign w:val="top"/>
          </w:tcPr>
          <w:p w14:paraId="29ABC518">
            <w:pPr>
              <w:pStyle w:val="6"/>
              <w:spacing w:before="56" w:line="228" w:lineRule="auto"/>
              <w:ind w:left="240"/>
            </w:pPr>
            <w:r>
              <w:rPr>
                <w:spacing w:val="2"/>
              </w:rPr>
              <w:t>天气</w:t>
            </w:r>
          </w:p>
        </w:tc>
        <w:tc>
          <w:tcPr>
            <w:tcW w:w="1709" w:type="dxa"/>
            <w:vAlign w:val="top"/>
          </w:tcPr>
          <w:p w14:paraId="0B5ADA41">
            <w:pPr>
              <w:pStyle w:val="6"/>
              <w:spacing w:before="56" w:line="228" w:lineRule="auto"/>
              <w:ind w:left="335"/>
            </w:pPr>
            <w:r>
              <w:rPr>
                <w:spacing w:val="1"/>
              </w:rPr>
              <w:t>温度</w:t>
            </w:r>
            <w:r>
              <w:rPr>
                <w:spacing w:val="21"/>
              </w:rPr>
              <w:t xml:space="preserve"> </w:t>
            </w:r>
            <w:r>
              <w:rPr>
                <w:spacing w:val="1"/>
              </w:rPr>
              <w:t>(</w:t>
            </w:r>
            <w:r>
              <w:rPr>
                <w:rFonts w:ascii="Times New Roman" w:hAnsi="Times New Roman" w:eastAsia="Times New Roman" w:cs="Times New Roman"/>
                <w:spacing w:val="1"/>
              </w:rPr>
              <w:t>℃</w:t>
            </w:r>
            <w:r>
              <w:rPr>
                <w:spacing w:val="1"/>
              </w:rPr>
              <w:t>)</w:t>
            </w:r>
          </w:p>
        </w:tc>
        <w:tc>
          <w:tcPr>
            <w:tcW w:w="1709" w:type="dxa"/>
            <w:vAlign w:val="top"/>
          </w:tcPr>
          <w:p w14:paraId="0EAAEB11">
            <w:pPr>
              <w:pStyle w:val="6"/>
              <w:spacing w:before="56" w:line="228" w:lineRule="auto"/>
              <w:ind w:right="8"/>
              <w:jc w:val="right"/>
            </w:pPr>
            <w:r>
              <w:rPr>
                <w:spacing w:val="-3"/>
              </w:rPr>
              <w:t>相对湿度（</w:t>
            </w:r>
            <w:r>
              <w:rPr>
                <w:rFonts w:ascii="Times New Roman" w:hAnsi="Times New Roman" w:eastAsia="Times New Roman" w:cs="Times New Roman"/>
                <w:spacing w:val="-3"/>
              </w:rPr>
              <w:t>%Rh</w:t>
            </w:r>
            <w:r>
              <w:rPr>
                <w:spacing w:val="-3"/>
              </w:rPr>
              <w:t>）</w:t>
            </w:r>
          </w:p>
        </w:tc>
        <w:tc>
          <w:tcPr>
            <w:tcW w:w="1714" w:type="dxa"/>
            <w:vAlign w:val="top"/>
          </w:tcPr>
          <w:p w14:paraId="50CD7834">
            <w:pPr>
              <w:pStyle w:val="6"/>
              <w:spacing w:before="56" w:line="228" w:lineRule="auto"/>
              <w:ind w:left="290"/>
            </w:pPr>
            <w:r>
              <w:rPr>
                <w:spacing w:val="5"/>
              </w:rPr>
              <w:t>风速（</w:t>
            </w:r>
            <w:r>
              <w:rPr>
                <w:rFonts w:ascii="Times New Roman" w:hAnsi="Times New Roman" w:eastAsia="Times New Roman" w:cs="Times New Roman"/>
                <w:spacing w:val="5"/>
              </w:rPr>
              <w:t>m/s</w:t>
            </w:r>
            <w:r>
              <w:rPr>
                <w:spacing w:val="5"/>
              </w:rPr>
              <w:t>）</w:t>
            </w:r>
          </w:p>
        </w:tc>
      </w:tr>
      <w:tr w14:paraId="0955F5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2539" w:type="dxa"/>
            <w:vAlign w:val="top"/>
          </w:tcPr>
          <w:p w14:paraId="67D33B8C">
            <w:pPr>
              <w:pStyle w:val="6"/>
              <w:spacing w:before="52" w:line="228" w:lineRule="auto"/>
              <w:ind w:left="164"/>
            </w:pPr>
            <w:r>
              <w:rPr>
                <w:rFonts w:ascii="Times New Roman" w:hAnsi="Times New Roman" w:eastAsia="Times New Roman" w:cs="Times New Roman"/>
              </w:rPr>
              <w:t xml:space="preserve">2025 </w:t>
            </w:r>
            <w:r>
              <w:t>年</w:t>
            </w:r>
            <w:r>
              <w:rPr>
                <w:spacing w:val="-40"/>
              </w:rPr>
              <w:t xml:space="preserve"> </w:t>
            </w:r>
            <w:r>
              <w:rPr>
                <w:rFonts w:ascii="Times New Roman" w:hAnsi="Times New Roman" w:eastAsia="Times New Roman" w:cs="Times New Roman"/>
              </w:rPr>
              <w:t>7</w:t>
            </w:r>
            <w:r>
              <w:rPr>
                <w:rFonts w:ascii="Times New Roman" w:hAnsi="Times New Roman" w:eastAsia="Times New Roman" w:cs="Times New Roman"/>
                <w:spacing w:val="17"/>
                <w:w w:val="101"/>
              </w:rPr>
              <w:t xml:space="preserve"> </w:t>
            </w:r>
            <w:r>
              <w:t>月</w:t>
            </w:r>
            <w:r>
              <w:rPr>
                <w:spacing w:val="-43"/>
              </w:rPr>
              <w:t xml:space="preserve"> </w:t>
            </w:r>
            <w:r>
              <w:rPr>
                <w:rFonts w:ascii="Times New Roman" w:hAnsi="Times New Roman" w:eastAsia="Times New Roman" w:cs="Times New Roman"/>
              </w:rPr>
              <w:t xml:space="preserve">29  </w:t>
            </w:r>
            <w:r>
              <w:t>日</w:t>
            </w:r>
            <w:r>
              <w:rPr>
                <w:rFonts w:ascii="Times New Roman" w:hAnsi="Times New Roman" w:eastAsia="Times New Roman" w:cs="Times New Roman"/>
              </w:rPr>
              <w:t xml:space="preserve">~30  </w:t>
            </w:r>
            <w:r>
              <w:t>日</w:t>
            </w:r>
          </w:p>
        </w:tc>
        <w:tc>
          <w:tcPr>
            <w:tcW w:w="882" w:type="dxa"/>
            <w:vAlign w:val="top"/>
          </w:tcPr>
          <w:p w14:paraId="6690E3F4">
            <w:pPr>
              <w:pStyle w:val="6"/>
              <w:spacing w:before="53" w:line="228" w:lineRule="auto"/>
              <w:ind w:left="351"/>
            </w:pPr>
            <w:r>
              <w:t>晴</w:t>
            </w:r>
          </w:p>
        </w:tc>
        <w:tc>
          <w:tcPr>
            <w:tcW w:w="1709" w:type="dxa"/>
            <w:vAlign w:val="top"/>
          </w:tcPr>
          <w:p w14:paraId="12ECBBFF">
            <w:pPr>
              <w:spacing w:before="88" w:line="195" w:lineRule="auto"/>
              <w:ind w:left="59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20~28</w:t>
            </w:r>
          </w:p>
        </w:tc>
        <w:tc>
          <w:tcPr>
            <w:tcW w:w="1709" w:type="dxa"/>
            <w:vAlign w:val="top"/>
          </w:tcPr>
          <w:p w14:paraId="6231BA01">
            <w:pPr>
              <w:spacing w:before="88" w:line="195" w:lineRule="auto"/>
              <w:ind w:left="58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45~63</w:t>
            </w:r>
          </w:p>
        </w:tc>
        <w:tc>
          <w:tcPr>
            <w:tcW w:w="1714" w:type="dxa"/>
            <w:vAlign w:val="top"/>
          </w:tcPr>
          <w:p w14:paraId="14D7260D">
            <w:pPr>
              <w:spacing w:before="88" w:line="195" w:lineRule="auto"/>
              <w:ind w:left="582"/>
              <w:rPr>
                <w:rFonts w:ascii="Times New Roman" w:hAnsi="Times New Roman" w:eastAsia="Times New Roman" w:cs="Times New Roman"/>
                <w:sz w:val="20"/>
                <w:szCs w:val="20"/>
              </w:rPr>
            </w:pPr>
            <w:r>
              <w:rPr>
                <w:rFonts w:ascii="Times New Roman" w:hAnsi="Times New Roman" w:eastAsia="Times New Roman" w:cs="Times New Roman"/>
                <w:sz w:val="20"/>
                <w:szCs w:val="20"/>
              </w:rPr>
              <w:t>1.4-3.6</w:t>
            </w:r>
          </w:p>
        </w:tc>
      </w:tr>
      <w:tr w14:paraId="32315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539" w:type="dxa"/>
            <w:vAlign w:val="top"/>
          </w:tcPr>
          <w:p w14:paraId="77AD32DD">
            <w:pPr>
              <w:pStyle w:val="6"/>
              <w:spacing w:before="54" w:line="228" w:lineRule="auto"/>
              <w:ind w:left="112"/>
            </w:pPr>
            <w:r>
              <w:rPr>
                <w:rFonts w:ascii="Times New Roman" w:hAnsi="Times New Roman" w:eastAsia="Times New Roman" w:cs="Times New Roman"/>
                <w:spacing w:val="-1"/>
              </w:rPr>
              <w:t xml:space="preserve">2025 </w:t>
            </w:r>
            <w:r>
              <w:rPr>
                <w:spacing w:val="-1"/>
              </w:rPr>
              <w:t>年</w:t>
            </w:r>
            <w:r>
              <w:rPr>
                <w:spacing w:val="-17"/>
              </w:rPr>
              <w:t xml:space="preserve"> </w:t>
            </w:r>
            <w:r>
              <w:rPr>
                <w:rFonts w:ascii="Times New Roman" w:hAnsi="Times New Roman" w:eastAsia="Times New Roman" w:cs="Times New Roman"/>
                <w:spacing w:val="-1"/>
              </w:rPr>
              <w:t>12</w:t>
            </w:r>
            <w:r>
              <w:rPr>
                <w:rFonts w:ascii="Times New Roman" w:hAnsi="Times New Roman" w:eastAsia="Times New Roman" w:cs="Times New Roman"/>
                <w:spacing w:val="15"/>
              </w:rPr>
              <w:t xml:space="preserve"> </w:t>
            </w:r>
            <w:r>
              <w:rPr>
                <w:spacing w:val="-1"/>
              </w:rPr>
              <w:t>月</w:t>
            </w:r>
            <w:r>
              <w:rPr>
                <w:spacing w:val="-41"/>
              </w:rPr>
              <w:t xml:space="preserve"> </w:t>
            </w:r>
            <w:r>
              <w:rPr>
                <w:rFonts w:ascii="Times New Roman" w:hAnsi="Times New Roman" w:eastAsia="Times New Roman" w:cs="Times New Roman"/>
                <w:spacing w:val="-1"/>
              </w:rPr>
              <w:t xml:space="preserve">27  </w:t>
            </w:r>
            <w:r>
              <w:rPr>
                <w:spacing w:val="-1"/>
              </w:rPr>
              <w:t>日</w:t>
            </w:r>
            <w:r>
              <w:rPr>
                <w:rFonts w:ascii="Times New Roman" w:hAnsi="Times New Roman" w:eastAsia="Times New Roman" w:cs="Times New Roman"/>
                <w:spacing w:val="-1"/>
              </w:rPr>
              <w:t xml:space="preserve">~28  </w:t>
            </w:r>
            <w:r>
              <w:rPr>
                <w:spacing w:val="-1"/>
              </w:rPr>
              <w:t>日</w:t>
            </w:r>
          </w:p>
        </w:tc>
        <w:tc>
          <w:tcPr>
            <w:tcW w:w="882" w:type="dxa"/>
            <w:vAlign w:val="top"/>
          </w:tcPr>
          <w:p w14:paraId="2C6FB76D">
            <w:pPr>
              <w:pStyle w:val="6"/>
              <w:spacing w:before="55" w:line="228" w:lineRule="auto"/>
              <w:ind w:left="358"/>
            </w:pPr>
            <w:r>
              <w:t>阴</w:t>
            </w:r>
          </w:p>
        </w:tc>
        <w:tc>
          <w:tcPr>
            <w:tcW w:w="1709" w:type="dxa"/>
            <w:vAlign w:val="top"/>
          </w:tcPr>
          <w:p w14:paraId="6822738C">
            <w:pPr>
              <w:spacing w:before="90" w:line="195" w:lineRule="auto"/>
              <w:ind w:left="64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3"/>
                <w:sz w:val="20"/>
                <w:szCs w:val="20"/>
              </w:rPr>
              <w:t>13</w:t>
            </w:r>
          </w:p>
        </w:tc>
        <w:tc>
          <w:tcPr>
            <w:tcW w:w="1709" w:type="dxa"/>
            <w:vAlign w:val="top"/>
          </w:tcPr>
          <w:p w14:paraId="69434D79">
            <w:pPr>
              <w:spacing w:before="90" w:line="195" w:lineRule="auto"/>
              <w:ind w:left="59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61~78</w:t>
            </w:r>
          </w:p>
        </w:tc>
        <w:tc>
          <w:tcPr>
            <w:tcW w:w="1714" w:type="dxa"/>
            <w:vAlign w:val="top"/>
          </w:tcPr>
          <w:p w14:paraId="136F45BA">
            <w:pPr>
              <w:spacing w:before="90" w:line="195" w:lineRule="auto"/>
              <w:ind w:left="55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1.3~2.7</w:t>
            </w:r>
          </w:p>
        </w:tc>
      </w:tr>
    </w:tbl>
    <w:p w14:paraId="65D33447">
      <w:pPr>
        <w:pStyle w:val="2"/>
        <w:spacing w:before="115" w:line="219" w:lineRule="auto"/>
        <w:ind w:left="481"/>
        <w:rPr>
          <w:sz w:val="24"/>
          <w:szCs w:val="24"/>
        </w:rPr>
      </w:pPr>
      <w:r>
        <w:rPr>
          <w:spacing w:val="-3"/>
          <w:sz w:val="24"/>
          <w:szCs w:val="24"/>
        </w:rPr>
        <w:t>高度：电场强度及磁场强度距地面</w:t>
      </w:r>
      <w:r>
        <w:rPr>
          <w:spacing w:val="-32"/>
          <w:sz w:val="24"/>
          <w:szCs w:val="24"/>
        </w:rPr>
        <w:t xml:space="preserve"> </w:t>
      </w:r>
      <w:r>
        <w:rPr>
          <w:rFonts w:ascii="Times New Roman" w:hAnsi="Times New Roman" w:eastAsia="Times New Roman" w:cs="Times New Roman"/>
          <w:spacing w:val="-3"/>
          <w:sz w:val="24"/>
          <w:szCs w:val="24"/>
        </w:rPr>
        <w:t>1.5m</w:t>
      </w:r>
      <w:r>
        <w:rPr>
          <w:rFonts w:ascii="Times New Roman" w:hAnsi="Times New Roman" w:eastAsia="Times New Roman" w:cs="Times New Roman"/>
          <w:spacing w:val="-33"/>
          <w:sz w:val="24"/>
          <w:szCs w:val="24"/>
        </w:rPr>
        <w:t xml:space="preserve"> </w:t>
      </w:r>
      <w:r>
        <w:rPr>
          <w:spacing w:val="-3"/>
          <w:sz w:val="24"/>
          <w:szCs w:val="24"/>
        </w:rPr>
        <w:t>、</w:t>
      </w:r>
      <w:r>
        <w:rPr>
          <w:spacing w:val="-4"/>
          <w:sz w:val="24"/>
          <w:szCs w:val="24"/>
        </w:rPr>
        <w:t>噪声距地面</w:t>
      </w:r>
      <w:r>
        <w:rPr>
          <w:spacing w:val="-32"/>
          <w:sz w:val="24"/>
          <w:szCs w:val="24"/>
        </w:rPr>
        <w:t xml:space="preserve"> </w:t>
      </w:r>
      <w:r>
        <w:rPr>
          <w:rFonts w:ascii="Times New Roman" w:hAnsi="Times New Roman" w:eastAsia="Times New Roman" w:cs="Times New Roman"/>
          <w:spacing w:val="-4"/>
          <w:sz w:val="24"/>
          <w:szCs w:val="24"/>
        </w:rPr>
        <w:t>1.2m</w:t>
      </w:r>
      <w:r>
        <w:rPr>
          <w:spacing w:val="-4"/>
          <w:sz w:val="24"/>
          <w:szCs w:val="24"/>
        </w:rPr>
        <w:t>。</w:t>
      </w:r>
    </w:p>
    <w:p w14:paraId="2224539F">
      <w:pPr>
        <w:pStyle w:val="2"/>
        <w:spacing w:before="230" w:line="219" w:lineRule="auto"/>
        <w:ind w:left="120"/>
        <w:rPr>
          <w:sz w:val="30"/>
          <w:szCs w:val="30"/>
        </w:rPr>
      </w:pPr>
      <w:r>
        <w:rPr>
          <w:rFonts w:ascii="Times New Roman" w:hAnsi="Times New Roman" w:eastAsia="Times New Roman" w:cs="Times New Roman"/>
          <w:b/>
          <w:bCs/>
          <w:spacing w:val="-2"/>
          <w:sz w:val="30"/>
          <w:szCs w:val="30"/>
        </w:rPr>
        <w:t xml:space="preserve">4.5  </w:t>
      </w:r>
      <w:r>
        <w:rPr>
          <w:b/>
          <w:bCs/>
          <w:spacing w:val="-2"/>
          <w:sz w:val="30"/>
          <w:szCs w:val="30"/>
        </w:rPr>
        <w:t>监测仪器</w:t>
      </w:r>
    </w:p>
    <w:p w14:paraId="6C96077D">
      <w:pPr>
        <w:pStyle w:val="2"/>
        <w:spacing w:before="156" w:line="228" w:lineRule="auto"/>
        <w:ind w:left="3264"/>
        <w:rPr>
          <w:sz w:val="20"/>
          <w:szCs w:val="20"/>
        </w:rPr>
      </w:pPr>
      <w:r>
        <w:rPr>
          <w:b/>
          <w:bCs/>
          <w:spacing w:val="4"/>
          <w:sz w:val="20"/>
          <w:szCs w:val="20"/>
        </w:rPr>
        <w:t>表</w:t>
      </w:r>
      <w:r>
        <w:rPr>
          <w:spacing w:val="-30"/>
          <w:sz w:val="20"/>
          <w:szCs w:val="20"/>
        </w:rPr>
        <w:t xml:space="preserve"> </w:t>
      </w:r>
      <w:r>
        <w:rPr>
          <w:rFonts w:ascii="Times New Roman" w:hAnsi="Times New Roman" w:eastAsia="Times New Roman" w:cs="Times New Roman"/>
          <w:b/>
          <w:bCs/>
          <w:spacing w:val="4"/>
          <w:sz w:val="20"/>
          <w:szCs w:val="20"/>
        </w:rPr>
        <w:t xml:space="preserve">4-3    </w:t>
      </w:r>
      <w:r>
        <w:rPr>
          <w:b/>
          <w:bCs/>
          <w:spacing w:val="4"/>
          <w:sz w:val="20"/>
          <w:szCs w:val="20"/>
        </w:rPr>
        <w:t>监测仪器状况</w:t>
      </w:r>
    </w:p>
    <w:p w14:paraId="07366936">
      <w:pPr>
        <w:spacing w:line="15" w:lineRule="exact"/>
      </w:pPr>
    </w:p>
    <w:tbl>
      <w:tblPr>
        <w:tblStyle w:val="5"/>
        <w:tblW w:w="87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60"/>
        <w:gridCol w:w="1946"/>
        <w:gridCol w:w="1582"/>
        <w:gridCol w:w="1183"/>
        <w:gridCol w:w="1161"/>
        <w:gridCol w:w="1250"/>
      </w:tblGrid>
      <w:tr w14:paraId="7E03B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1660" w:type="dxa"/>
            <w:vAlign w:val="top"/>
          </w:tcPr>
          <w:p w14:paraId="28D29609">
            <w:pPr>
              <w:pStyle w:val="6"/>
              <w:spacing w:before="159" w:line="252" w:lineRule="auto"/>
              <w:ind w:left="625" w:right="303" w:hanging="317"/>
            </w:pPr>
            <w:r>
              <w:rPr>
                <w:b/>
                <w:bCs/>
                <w:spacing w:val="6"/>
              </w:rPr>
              <w:t>仪器名称及</w:t>
            </w:r>
            <w:r>
              <w:rPr>
                <w:b/>
                <w:bCs/>
                <w:spacing w:val="3"/>
              </w:rPr>
              <w:t>编号</w:t>
            </w:r>
          </w:p>
        </w:tc>
        <w:tc>
          <w:tcPr>
            <w:tcW w:w="1946" w:type="dxa"/>
            <w:vAlign w:val="top"/>
          </w:tcPr>
          <w:p w14:paraId="1661A04E">
            <w:pPr>
              <w:pStyle w:val="6"/>
              <w:spacing w:before="296" w:line="228" w:lineRule="auto"/>
              <w:ind w:left="556"/>
            </w:pPr>
            <w:r>
              <w:rPr>
                <w:b/>
                <w:bCs/>
                <w:spacing w:val="6"/>
              </w:rPr>
              <w:t>仪器量程</w:t>
            </w:r>
          </w:p>
        </w:tc>
        <w:tc>
          <w:tcPr>
            <w:tcW w:w="1582" w:type="dxa"/>
            <w:vAlign w:val="top"/>
          </w:tcPr>
          <w:p w14:paraId="224448D2">
            <w:pPr>
              <w:pStyle w:val="6"/>
              <w:spacing w:before="296" w:line="228" w:lineRule="auto"/>
              <w:ind w:left="479"/>
            </w:pPr>
            <w:r>
              <w:rPr>
                <w:b/>
                <w:bCs/>
                <w:spacing w:val="5"/>
              </w:rPr>
              <w:t>检出限</w:t>
            </w:r>
          </w:p>
        </w:tc>
        <w:tc>
          <w:tcPr>
            <w:tcW w:w="1183" w:type="dxa"/>
            <w:vAlign w:val="top"/>
          </w:tcPr>
          <w:p w14:paraId="263267D1">
            <w:pPr>
              <w:pStyle w:val="6"/>
              <w:spacing w:before="161" w:line="251" w:lineRule="auto"/>
              <w:ind w:left="175" w:right="140" w:hanging="28"/>
            </w:pPr>
            <w:r>
              <w:rPr>
                <w:b/>
                <w:bCs/>
                <w:spacing w:val="5"/>
              </w:rPr>
              <w:t>检定</w:t>
            </w:r>
            <w:r>
              <w:rPr>
                <w:rFonts w:ascii="Times New Roman" w:hAnsi="Times New Roman" w:eastAsia="Times New Roman" w:cs="Times New Roman"/>
                <w:b/>
                <w:bCs/>
                <w:spacing w:val="5"/>
              </w:rPr>
              <w:t>/</w:t>
            </w:r>
            <w:r>
              <w:rPr>
                <w:b/>
                <w:bCs/>
                <w:spacing w:val="5"/>
              </w:rPr>
              <w:t>校准</w:t>
            </w:r>
            <w:r>
              <w:rPr>
                <w:b/>
                <w:bCs/>
                <w:spacing w:val="6"/>
              </w:rPr>
              <w:t>证书编号</w:t>
            </w:r>
          </w:p>
        </w:tc>
        <w:tc>
          <w:tcPr>
            <w:tcW w:w="1161" w:type="dxa"/>
            <w:vAlign w:val="top"/>
          </w:tcPr>
          <w:p w14:paraId="235E9FA3">
            <w:pPr>
              <w:pStyle w:val="6"/>
              <w:spacing w:before="160" w:line="252" w:lineRule="auto"/>
              <w:ind w:left="411" w:right="127" w:hanging="275"/>
            </w:pPr>
            <w:r>
              <w:rPr>
                <w:b/>
                <w:bCs/>
                <w:spacing w:val="5"/>
              </w:rPr>
              <w:t>检定</w:t>
            </w:r>
            <w:r>
              <w:rPr>
                <w:rFonts w:ascii="Times New Roman" w:hAnsi="Times New Roman" w:eastAsia="Times New Roman" w:cs="Times New Roman"/>
                <w:b/>
                <w:bCs/>
                <w:spacing w:val="5"/>
              </w:rPr>
              <w:t>/</w:t>
            </w:r>
            <w:r>
              <w:rPr>
                <w:b/>
                <w:bCs/>
                <w:spacing w:val="5"/>
              </w:rPr>
              <w:t>校准</w:t>
            </w:r>
            <w:r>
              <w:rPr>
                <w:b/>
                <w:bCs/>
                <w:spacing w:val="-15"/>
              </w:rPr>
              <w:t>日期</w:t>
            </w:r>
          </w:p>
        </w:tc>
        <w:tc>
          <w:tcPr>
            <w:tcW w:w="1250" w:type="dxa"/>
            <w:vAlign w:val="top"/>
          </w:tcPr>
          <w:p w14:paraId="3ADFB0FC">
            <w:pPr>
              <w:pStyle w:val="6"/>
              <w:spacing w:before="160" w:line="252" w:lineRule="auto"/>
              <w:ind w:left="420" w:right="173" w:hanging="241"/>
            </w:pPr>
            <w:r>
              <w:rPr>
                <w:b/>
                <w:bCs/>
                <w:spacing w:val="5"/>
              </w:rPr>
              <w:t>检定</w:t>
            </w:r>
            <w:r>
              <w:rPr>
                <w:rFonts w:ascii="Times New Roman" w:hAnsi="Times New Roman" w:eastAsia="Times New Roman" w:cs="Times New Roman"/>
                <w:b/>
                <w:bCs/>
                <w:spacing w:val="5"/>
              </w:rPr>
              <w:t>/</w:t>
            </w:r>
            <w:r>
              <w:rPr>
                <w:b/>
                <w:bCs/>
                <w:spacing w:val="5"/>
              </w:rPr>
              <w:t>校准</w:t>
            </w:r>
            <w:r>
              <w:rPr>
                <w:b/>
                <w:bCs/>
                <w:spacing w:val="3"/>
              </w:rPr>
              <w:t>单位</w:t>
            </w:r>
          </w:p>
        </w:tc>
      </w:tr>
      <w:tr w14:paraId="39CAE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2" w:hRule="atLeast"/>
        </w:trPr>
        <w:tc>
          <w:tcPr>
            <w:tcW w:w="1660" w:type="dxa"/>
            <w:vAlign w:val="top"/>
          </w:tcPr>
          <w:p w14:paraId="6ACE013B">
            <w:pPr>
              <w:pStyle w:val="6"/>
              <w:spacing w:before="32" w:line="243" w:lineRule="auto"/>
              <w:ind w:left="299" w:right="186" w:hanging="104"/>
            </w:pPr>
            <w:r>
              <w:rPr>
                <w:rFonts w:ascii="Times New Roman" w:hAnsi="Times New Roman" w:eastAsia="Times New Roman" w:cs="Times New Roman"/>
              </w:rPr>
              <w:t>SEM</w:t>
            </w:r>
            <w:r>
              <w:rPr>
                <w:rFonts w:ascii="Times New Roman" w:hAnsi="Times New Roman" w:eastAsia="Times New Roman" w:cs="Times New Roman"/>
                <w:spacing w:val="1"/>
              </w:rPr>
              <w:t>-600</w:t>
            </w:r>
            <w:r>
              <w:rPr>
                <w:rFonts w:ascii="Times New Roman" w:hAnsi="Times New Roman" w:eastAsia="Times New Roman" w:cs="Times New Roman"/>
                <w:spacing w:val="38"/>
                <w:w w:val="101"/>
              </w:rPr>
              <w:t xml:space="preserve"> </w:t>
            </w:r>
            <w:r>
              <w:rPr>
                <w:spacing w:val="1"/>
              </w:rPr>
              <w:t>电磁</w:t>
            </w:r>
            <w:r>
              <w:rPr>
                <w:spacing w:val="10"/>
              </w:rPr>
              <w:t>辐射分析仪</w:t>
            </w:r>
            <w:r>
              <w:t xml:space="preserve"> </w:t>
            </w:r>
            <w:r>
              <w:rPr>
                <w:rFonts w:ascii="Times New Roman" w:hAnsi="Times New Roman" w:eastAsia="Times New Roman" w:cs="Times New Roman"/>
                <w:spacing w:val="6"/>
              </w:rPr>
              <w:t>/</w:t>
            </w:r>
            <w:r>
              <w:rPr>
                <w:rFonts w:ascii="Times New Roman" w:hAnsi="Times New Roman" w:eastAsia="Times New Roman" w:cs="Times New Roman"/>
              </w:rPr>
              <w:t>LF</w:t>
            </w:r>
            <w:r>
              <w:rPr>
                <w:rFonts w:ascii="Times New Roman" w:hAnsi="Times New Roman" w:eastAsia="Times New Roman" w:cs="Times New Roman"/>
                <w:spacing w:val="6"/>
              </w:rPr>
              <w:t>-01</w:t>
            </w:r>
            <w:r>
              <w:rPr>
                <w:rFonts w:ascii="Times New Roman" w:hAnsi="Times New Roman" w:eastAsia="Times New Roman" w:cs="Times New Roman"/>
                <w:spacing w:val="11"/>
              </w:rPr>
              <w:t xml:space="preserve"> </w:t>
            </w:r>
            <w:r>
              <w:rPr>
                <w:spacing w:val="6"/>
              </w:rPr>
              <w:t>探头</w:t>
            </w:r>
          </w:p>
        </w:tc>
        <w:tc>
          <w:tcPr>
            <w:tcW w:w="1946" w:type="dxa"/>
            <w:vAlign w:val="top"/>
          </w:tcPr>
          <w:p w14:paraId="76643B2A">
            <w:pPr>
              <w:pStyle w:val="6"/>
              <w:spacing w:before="50" w:line="228" w:lineRule="auto"/>
              <w:ind w:left="136"/>
            </w:pPr>
            <w:r>
              <w:rPr>
                <w:spacing w:val="-5"/>
              </w:rPr>
              <w:t>电场：</w:t>
            </w:r>
          </w:p>
          <w:p w14:paraId="197FE525">
            <w:pPr>
              <w:spacing w:before="41" w:line="199" w:lineRule="auto"/>
              <w:ind w:left="11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5</w:t>
            </w:r>
            <w:r>
              <w:rPr>
                <w:rFonts w:ascii="Times New Roman" w:hAnsi="Times New Roman" w:eastAsia="Times New Roman" w:cs="Times New Roman"/>
                <w:sz w:val="20"/>
                <w:szCs w:val="20"/>
              </w:rPr>
              <w:t>mV</w:t>
            </w:r>
            <w:r>
              <w:rPr>
                <w:rFonts w:ascii="Times New Roman" w:hAnsi="Times New Roman" w:eastAsia="Times New Roman" w:cs="Times New Roman"/>
                <w:spacing w:val="4"/>
                <w:sz w:val="20"/>
                <w:szCs w:val="20"/>
              </w:rPr>
              <w:t>/m~</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4"/>
                <w:sz w:val="20"/>
                <w:szCs w:val="20"/>
              </w:rPr>
              <w:t>100</w:t>
            </w:r>
            <w:r>
              <w:rPr>
                <w:rFonts w:ascii="Times New Roman" w:hAnsi="Times New Roman" w:eastAsia="Times New Roman" w:cs="Times New Roman"/>
                <w:sz w:val="20"/>
                <w:szCs w:val="20"/>
              </w:rPr>
              <w:t>kV</w:t>
            </w:r>
            <w:r>
              <w:rPr>
                <w:rFonts w:ascii="Times New Roman" w:hAnsi="Times New Roman" w:eastAsia="Times New Roman" w:cs="Times New Roman"/>
                <w:spacing w:val="4"/>
                <w:sz w:val="20"/>
                <w:szCs w:val="20"/>
              </w:rPr>
              <w:t>/m</w:t>
            </w:r>
          </w:p>
          <w:p w14:paraId="6E2F9EDE">
            <w:pPr>
              <w:pStyle w:val="6"/>
              <w:spacing w:before="32" w:line="228" w:lineRule="auto"/>
              <w:ind w:left="111"/>
              <w:rPr>
                <w:rFonts w:ascii="Times New Roman" w:hAnsi="Times New Roman" w:eastAsia="Times New Roman" w:cs="Times New Roman"/>
              </w:rPr>
            </w:pPr>
            <w:r>
              <w:rPr>
                <w:spacing w:val="1"/>
              </w:rPr>
              <w:t>磁场：</w:t>
            </w:r>
            <w:r>
              <w:rPr>
                <w:rFonts w:ascii="Times New Roman" w:hAnsi="Times New Roman" w:eastAsia="Times New Roman" w:cs="Times New Roman"/>
                <w:spacing w:val="1"/>
              </w:rPr>
              <w:t>0.</w:t>
            </w:r>
            <w:r>
              <w:rPr>
                <w:rFonts w:ascii="Times New Roman" w:hAnsi="Times New Roman" w:eastAsia="Times New Roman" w:cs="Times New Roman"/>
                <w:spacing w:val="-25"/>
              </w:rPr>
              <w:t xml:space="preserve"> </w:t>
            </w:r>
            <w:r>
              <w:rPr>
                <w:rFonts w:ascii="Times New Roman" w:hAnsi="Times New Roman" w:eastAsia="Times New Roman" w:cs="Times New Roman"/>
                <w:spacing w:val="1"/>
              </w:rPr>
              <w:t>1</w:t>
            </w:r>
            <w:r>
              <w:rPr>
                <w:rFonts w:ascii="Times New Roman" w:hAnsi="Times New Roman" w:eastAsia="Times New Roman" w:cs="Times New Roman"/>
              </w:rPr>
              <w:t>nT</w:t>
            </w:r>
            <w:r>
              <w:rPr>
                <w:rFonts w:ascii="Times New Roman" w:hAnsi="Times New Roman" w:eastAsia="Times New Roman" w:cs="Times New Roman"/>
                <w:spacing w:val="1"/>
              </w:rPr>
              <w:t>~</w:t>
            </w:r>
            <w:r>
              <w:rPr>
                <w:rFonts w:ascii="Times New Roman" w:hAnsi="Times New Roman" w:eastAsia="Times New Roman" w:cs="Times New Roman"/>
                <w:spacing w:val="-23"/>
              </w:rPr>
              <w:t xml:space="preserve"> </w:t>
            </w:r>
            <w:r>
              <w:rPr>
                <w:rFonts w:ascii="Times New Roman" w:hAnsi="Times New Roman" w:eastAsia="Times New Roman" w:cs="Times New Roman"/>
                <w:spacing w:val="1"/>
              </w:rPr>
              <w:t>10</w:t>
            </w:r>
            <w:r>
              <w:rPr>
                <w:rFonts w:ascii="Times New Roman" w:hAnsi="Times New Roman" w:eastAsia="Times New Roman" w:cs="Times New Roman"/>
              </w:rPr>
              <w:t>mT</w:t>
            </w:r>
          </w:p>
        </w:tc>
        <w:tc>
          <w:tcPr>
            <w:tcW w:w="1582" w:type="dxa"/>
            <w:vAlign w:val="top"/>
          </w:tcPr>
          <w:p w14:paraId="0755271C">
            <w:pPr>
              <w:pStyle w:val="6"/>
              <w:spacing w:before="170" w:line="228" w:lineRule="auto"/>
              <w:ind w:left="136"/>
              <w:rPr>
                <w:rFonts w:ascii="Times New Roman" w:hAnsi="Times New Roman" w:eastAsia="Times New Roman" w:cs="Times New Roman"/>
              </w:rPr>
            </w:pPr>
            <w:r>
              <w:rPr>
                <w:spacing w:val="2"/>
              </w:rPr>
              <w:t>电场：</w:t>
            </w:r>
            <w:r>
              <w:rPr>
                <w:rFonts w:ascii="Times New Roman" w:hAnsi="Times New Roman" w:eastAsia="Times New Roman" w:cs="Times New Roman"/>
                <w:spacing w:val="2"/>
              </w:rPr>
              <w:t>0.01V/m</w:t>
            </w:r>
          </w:p>
          <w:p w14:paraId="416C4420">
            <w:pPr>
              <w:pStyle w:val="6"/>
              <w:spacing w:before="24" w:line="228" w:lineRule="auto"/>
              <w:ind w:left="112"/>
              <w:rPr>
                <w:rFonts w:ascii="Times New Roman" w:hAnsi="Times New Roman" w:eastAsia="Times New Roman" w:cs="Times New Roman"/>
              </w:rPr>
            </w:pPr>
            <w:r>
              <w:rPr>
                <w:spacing w:val="3"/>
              </w:rPr>
              <w:t>磁场：</w:t>
            </w:r>
            <w:r>
              <w:rPr>
                <w:rFonts w:ascii="Times New Roman" w:hAnsi="Times New Roman" w:eastAsia="Times New Roman" w:cs="Times New Roman"/>
                <w:spacing w:val="3"/>
              </w:rPr>
              <w:t>0.</w:t>
            </w:r>
            <w:r>
              <w:rPr>
                <w:rFonts w:ascii="Times New Roman" w:hAnsi="Times New Roman" w:eastAsia="Times New Roman" w:cs="Times New Roman"/>
                <w:spacing w:val="-24"/>
              </w:rPr>
              <w:t xml:space="preserve"> </w:t>
            </w:r>
            <w:r>
              <w:rPr>
                <w:rFonts w:ascii="Times New Roman" w:hAnsi="Times New Roman" w:eastAsia="Times New Roman" w:cs="Times New Roman"/>
                <w:spacing w:val="3"/>
              </w:rPr>
              <w:t>1</w:t>
            </w:r>
            <w:r>
              <w:rPr>
                <w:rFonts w:ascii="Times New Roman" w:hAnsi="Times New Roman" w:eastAsia="Times New Roman" w:cs="Times New Roman"/>
              </w:rPr>
              <w:t>nT</w:t>
            </w:r>
          </w:p>
        </w:tc>
        <w:tc>
          <w:tcPr>
            <w:tcW w:w="1183" w:type="dxa"/>
            <w:vAlign w:val="top"/>
          </w:tcPr>
          <w:p w14:paraId="02BC64B7">
            <w:pPr>
              <w:spacing w:before="223" w:line="195" w:lineRule="auto"/>
              <w:ind w:left="159"/>
              <w:rPr>
                <w:rFonts w:ascii="Times New Roman" w:hAnsi="Times New Roman" w:eastAsia="Times New Roman" w:cs="Times New Roman"/>
                <w:sz w:val="20"/>
                <w:szCs w:val="20"/>
              </w:rPr>
            </w:pPr>
            <w:r>
              <w:rPr>
                <w:rFonts w:ascii="Times New Roman" w:hAnsi="Times New Roman" w:eastAsia="Times New Roman" w:cs="Times New Roman"/>
                <w:sz w:val="20"/>
                <w:szCs w:val="20"/>
              </w:rPr>
              <w:t>WWD</w:t>
            </w:r>
            <w:r>
              <w:rPr>
                <w:rFonts w:ascii="Times New Roman" w:hAnsi="Times New Roman" w:eastAsia="Times New Roman" w:cs="Times New Roman"/>
                <w:spacing w:val="12"/>
                <w:sz w:val="20"/>
                <w:szCs w:val="20"/>
              </w:rPr>
              <w:t>202</w:t>
            </w:r>
          </w:p>
          <w:p w14:paraId="214856CF">
            <w:pPr>
              <w:spacing w:before="53"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403220</w:t>
            </w:r>
          </w:p>
        </w:tc>
        <w:tc>
          <w:tcPr>
            <w:tcW w:w="1161" w:type="dxa"/>
            <w:vAlign w:val="top"/>
          </w:tcPr>
          <w:p w14:paraId="580F25ED">
            <w:pPr>
              <w:pStyle w:val="6"/>
              <w:spacing w:before="169" w:line="252" w:lineRule="auto"/>
              <w:ind w:left="224" w:right="157" w:hanging="61"/>
            </w:pPr>
            <w:r>
              <w:rPr>
                <w:rFonts w:ascii="Times New Roman" w:hAnsi="Times New Roman" w:eastAsia="Times New Roman" w:cs="Times New Roman"/>
                <w:spacing w:val="1"/>
              </w:rPr>
              <w:t>2024</w:t>
            </w:r>
            <w:r>
              <w:rPr>
                <w:rFonts w:ascii="Times New Roman" w:hAnsi="Times New Roman" w:eastAsia="Times New Roman" w:cs="Times New Roman"/>
                <w:spacing w:val="16"/>
                <w:w w:val="101"/>
              </w:rPr>
              <w:t xml:space="preserve"> </w:t>
            </w:r>
            <w:r>
              <w:rPr>
                <w:spacing w:val="1"/>
              </w:rPr>
              <w:t>年</w:t>
            </w:r>
            <w:r>
              <w:rPr>
                <w:spacing w:val="-39"/>
              </w:rPr>
              <w:t xml:space="preserve"> </w:t>
            </w:r>
            <w:r>
              <w:rPr>
                <w:rFonts w:ascii="Times New Roman" w:hAnsi="Times New Roman" w:eastAsia="Times New Roman" w:cs="Times New Roman"/>
                <w:spacing w:val="1"/>
              </w:rPr>
              <w:t>9</w:t>
            </w:r>
            <w:r>
              <w:t>月</w:t>
            </w:r>
            <w:r>
              <w:rPr>
                <w:spacing w:val="-43"/>
              </w:rPr>
              <w:t xml:space="preserve"> </w:t>
            </w:r>
            <w:r>
              <w:rPr>
                <w:rFonts w:ascii="Times New Roman" w:hAnsi="Times New Roman" w:eastAsia="Times New Roman" w:cs="Times New Roman"/>
              </w:rPr>
              <w:t>27</w:t>
            </w:r>
            <w:r>
              <w:rPr>
                <w:rFonts w:ascii="Times New Roman" w:hAnsi="Times New Roman" w:eastAsia="Times New Roman" w:cs="Times New Roman"/>
                <w:spacing w:val="48"/>
                <w:w w:val="101"/>
              </w:rPr>
              <w:t xml:space="preserve"> </w:t>
            </w:r>
            <w:r>
              <w:t>日</w:t>
            </w:r>
          </w:p>
        </w:tc>
        <w:tc>
          <w:tcPr>
            <w:tcW w:w="1250" w:type="dxa"/>
            <w:vAlign w:val="top"/>
          </w:tcPr>
          <w:p w14:paraId="174309F0">
            <w:pPr>
              <w:pStyle w:val="6"/>
              <w:spacing w:before="34" w:line="228" w:lineRule="auto"/>
              <w:ind w:left="211"/>
            </w:pPr>
            <w:r>
              <w:rPr>
                <w:spacing w:val="7"/>
              </w:rPr>
              <w:t>华南国家</w:t>
            </w:r>
          </w:p>
          <w:p w14:paraId="73D19C38">
            <w:pPr>
              <w:pStyle w:val="6"/>
              <w:spacing w:before="25" w:line="238" w:lineRule="auto"/>
              <w:ind w:left="439" w:right="204" w:hanging="228"/>
            </w:pPr>
            <w:r>
              <w:rPr>
                <w:spacing w:val="7"/>
              </w:rPr>
              <w:t>计量测试</w:t>
            </w:r>
            <w:r>
              <w:rPr>
                <w:spacing w:val="-5"/>
              </w:rPr>
              <w:t>中心</w:t>
            </w:r>
          </w:p>
        </w:tc>
      </w:tr>
    </w:tbl>
    <w:p w14:paraId="10191B8B">
      <w:pPr>
        <w:rPr>
          <w:rFonts w:ascii="Arial"/>
          <w:sz w:val="21"/>
        </w:rPr>
      </w:pPr>
    </w:p>
    <w:p w14:paraId="5E9174DF">
      <w:pPr>
        <w:rPr>
          <w:rFonts w:ascii="Arial" w:hAnsi="Arial" w:eastAsia="Arial" w:cs="Arial"/>
          <w:sz w:val="21"/>
          <w:szCs w:val="21"/>
        </w:rPr>
        <w:sectPr>
          <w:footerReference r:id="rId171" w:type="default"/>
          <w:pgSz w:w="11906" w:h="16839"/>
          <w:pgMar w:top="400" w:right="1431" w:bottom="1147" w:left="1687" w:header="0" w:footer="960" w:gutter="0"/>
          <w:cols w:space="720" w:num="1"/>
        </w:sectPr>
      </w:pPr>
    </w:p>
    <w:p w14:paraId="4433C04B">
      <w:pPr>
        <w:spacing w:before="19"/>
      </w:pPr>
    </w:p>
    <w:p w14:paraId="6B416AE3">
      <w:pPr>
        <w:spacing w:before="19"/>
      </w:pPr>
    </w:p>
    <w:p w14:paraId="71EB58B6">
      <w:pPr>
        <w:spacing w:before="18"/>
      </w:pPr>
    </w:p>
    <w:p w14:paraId="6FFC5B8A">
      <w:pPr>
        <w:spacing w:before="18"/>
      </w:pPr>
    </w:p>
    <w:tbl>
      <w:tblPr>
        <w:tblStyle w:val="5"/>
        <w:tblW w:w="87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60"/>
        <w:gridCol w:w="1946"/>
        <w:gridCol w:w="1582"/>
        <w:gridCol w:w="1183"/>
        <w:gridCol w:w="1161"/>
        <w:gridCol w:w="1250"/>
      </w:tblGrid>
      <w:tr w14:paraId="57CE2E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1660" w:type="dxa"/>
            <w:vAlign w:val="top"/>
          </w:tcPr>
          <w:p w14:paraId="45F4201A">
            <w:pPr>
              <w:pStyle w:val="6"/>
              <w:spacing w:before="37"/>
              <w:ind w:left="214"/>
            </w:pPr>
            <w:r>
              <w:rPr>
                <w:spacing w:val="3"/>
              </w:rPr>
              <w:t>（</w:t>
            </w:r>
            <w:r>
              <w:rPr>
                <w:rFonts w:ascii="Times New Roman" w:hAnsi="Times New Roman" w:eastAsia="Times New Roman" w:cs="Times New Roman"/>
                <w:spacing w:val="3"/>
              </w:rPr>
              <w:t>2015002#</w:t>
            </w:r>
            <w:r>
              <w:rPr>
                <w:spacing w:val="3"/>
              </w:rPr>
              <w:t>）</w:t>
            </w:r>
          </w:p>
        </w:tc>
        <w:tc>
          <w:tcPr>
            <w:tcW w:w="1946" w:type="dxa"/>
            <w:vAlign w:val="top"/>
          </w:tcPr>
          <w:p w14:paraId="74EB19F8">
            <w:pPr>
              <w:rPr>
                <w:rFonts w:ascii="Arial"/>
                <w:sz w:val="21"/>
              </w:rPr>
            </w:pPr>
          </w:p>
        </w:tc>
        <w:tc>
          <w:tcPr>
            <w:tcW w:w="1582" w:type="dxa"/>
            <w:vAlign w:val="top"/>
          </w:tcPr>
          <w:p w14:paraId="688CB0F5">
            <w:pPr>
              <w:rPr>
                <w:rFonts w:ascii="Arial"/>
                <w:sz w:val="21"/>
              </w:rPr>
            </w:pPr>
          </w:p>
        </w:tc>
        <w:tc>
          <w:tcPr>
            <w:tcW w:w="1183" w:type="dxa"/>
            <w:vAlign w:val="top"/>
          </w:tcPr>
          <w:p w14:paraId="20690FAE">
            <w:pPr>
              <w:rPr>
                <w:rFonts w:ascii="Arial"/>
                <w:sz w:val="21"/>
              </w:rPr>
            </w:pPr>
          </w:p>
        </w:tc>
        <w:tc>
          <w:tcPr>
            <w:tcW w:w="1161" w:type="dxa"/>
            <w:vAlign w:val="top"/>
          </w:tcPr>
          <w:p w14:paraId="01C460B8">
            <w:pPr>
              <w:rPr>
                <w:rFonts w:ascii="Arial"/>
                <w:sz w:val="21"/>
              </w:rPr>
            </w:pPr>
          </w:p>
        </w:tc>
        <w:tc>
          <w:tcPr>
            <w:tcW w:w="1250" w:type="dxa"/>
            <w:vAlign w:val="top"/>
          </w:tcPr>
          <w:p w14:paraId="38B08482">
            <w:pPr>
              <w:rPr>
                <w:rFonts w:ascii="Arial"/>
                <w:sz w:val="21"/>
              </w:rPr>
            </w:pPr>
          </w:p>
        </w:tc>
      </w:tr>
    </w:tbl>
    <w:p w14:paraId="014062CF">
      <w:pPr>
        <w:spacing w:line="295" w:lineRule="auto"/>
        <w:rPr>
          <w:rFonts w:ascii="Arial"/>
          <w:sz w:val="21"/>
        </w:rPr>
      </w:pPr>
    </w:p>
    <w:p w14:paraId="382A25A6">
      <w:pPr>
        <w:pStyle w:val="2"/>
        <w:spacing w:before="114" w:line="225" w:lineRule="auto"/>
        <w:ind w:left="121"/>
        <w:rPr>
          <w:sz w:val="35"/>
          <w:szCs w:val="35"/>
        </w:rPr>
      </w:pPr>
      <w:r>
        <w:rPr>
          <w:rFonts w:ascii="Times New Roman" w:hAnsi="Times New Roman" w:eastAsia="Times New Roman" w:cs="Times New Roman"/>
          <w:b/>
          <w:bCs/>
          <w:spacing w:val="1"/>
          <w:sz w:val="35"/>
          <w:szCs w:val="35"/>
        </w:rPr>
        <w:t>4.6</w:t>
      </w:r>
      <w:r>
        <w:rPr>
          <w:rFonts w:ascii="Times New Roman" w:hAnsi="Times New Roman" w:eastAsia="Times New Roman" w:cs="Times New Roman"/>
          <w:b/>
          <w:bCs/>
          <w:spacing w:val="34"/>
          <w:sz w:val="35"/>
          <w:szCs w:val="35"/>
        </w:rPr>
        <w:t xml:space="preserve">  </w:t>
      </w:r>
      <w:r>
        <w:rPr>
          <w:b/>
          <w:bCs/>
          <w:spacing w:val="1"/>
          <w:sz w:val="35"/>
          <w:szCs w:val="35"/>
        </w:rPr>
        <w:t>电磁环境现状监测结果</w:t>
      </w:r>
    </w:p>
    <w:p w14:paraId="6E963366">
      <w:pPr>
        <w:spacing w:line="382" w:lineRule="auto"/>
        <w:rPr>
          <w:rFonts w:ascii="Arial"/>
          <w:sz w:val="21"/>
        </w:rPr>
      </w:pPr>
    </w:p>
    <w:p w14:paraId="632EABE8">
      <w:pPr>
        <w:pStyle w:val="2"/>
        <w:spacing w:before="78" w:line="335" w:lineRule="auto"/>
        <w:ind w:left="122" w:right="368" w:firstLine="480"/>
        <w:rPr>
          <w:sz w:val="24"/>
          <w:szCs w:val="24"/>
        </w:rPr>
      </w:pPr>
      <w:r>
        <w:rPr>
          <w:spacing w:val="-3"/>
          <w:sz w:val="24"/>
          <w:szCs w:val="24"/>
        </w:rPr>
        <w:t>根据《</w:t>
      </w:r>
      <w:r>
        <w:rPr>
          <w:rFonts w:ascii="Times New Roman" w:hAnsi="Times New Roman" w:eastAsia="Times New Roman" w:cs="Times New Roman"/>
          <w:spacing w:val="-3"/>
          <w:sz w:val="24"/>
          <w:szCs w:val="24"/>
        </w:rPr>
        <w:t xml:space="preserve">110kV </w:t>
      </w:r>
      <w:r>
        <w:rPr>
          <w:spacing w:val="-3"/>
          <w:sz w:val="24"/>
          <w:szCs w:val="24"/>
        </w:rPr>
        <w:t>松山输变电工程电磁环境及噪声现状监测》（报告编号：茂辐</w:t>
      </w:r>
      <w:r>
        <w:rPr>
          <w:spacing w:val="-2"/>
          <w:sz w:val="24"/>
          <w:szCs w:val="24"/>
        </w:rPr>
        <w:t>环监﹝</w:t>
      </w:r>
      <w:r>
        <w:rPr>
          <w:rFonts w:ascii="Times New Roman" w:hAnsi="Times New Roman" w:eastAsia="Times New Roman" w:cs="Times New Roman"/>
          <w:spacing w:val="-2"/>
          <w:sz w:val="24"/>
          <w:szCs w:val="24"/>
        </w:rPr>
        <w:t>2025</w:t>
      </w:r>
      <w:r>
        <w:rPr>
          <w:spacing w:val="-2"/>
          <w:sz w:val="24"/>
          <w:szCs w:val="24"/>
        </w:rPr>
        <w:t>﹞第</w:t>
      </w:r>
      <w:r>
        <w:rPr>
          <w:spacing w:val="-52"/>
          <w:sz w:val="24"/>
          <w:szCs w:val="24"/>
        </w:rPr>
        <w:t xml:space="preserve"> </w:t>
      </w:r>
      <w:r>
        <w:rPr>
          <w:rFonts w:ascii="Times New Roman" w:hAnsi="Times New Roman" w:eastAsia="Times New Roman" w:cs="Times New Roman"/>
          <w:spacing w:val="-2"/>
          <w:sz w:val="24"/>
          <w:szCs w:val="24"/>
        </w:rPr>
        <w:t>0181</w:t>
      </w:r>
      <w:r>
        <w:rPr>
          <w:rFonts w:ascii="Times New Roman" w:hAnsi="Times New Roman" w:eastAsia="Times New Roman" w:cs="Times New Roman"/>
          <w:spacing w:val="15"/>
          <w:w w:val="101"/>
          <w:sz w:val="24"/>
          <w:szCs w:val="24"/>
        </w:rPr>
        <w:t xml:space="preserve"> </w:t>
      </w:r>
      <w:r>
        <w:rPr>
          <w:spacing w:val="-2"/>
          <w:sz w:val="24"/>
          <w:szCs w:val="24"/>
        </w:rPr>
        <w:t>号</w:t>
      </w:r>
      <w:r>
        <w:rPr>
          <w:spacing w:val="5"/>
          <w:sz w:val="24"/>
          <w:szCs w:val="24"/>
        </w:rPr>
        <w:t>），</w:t>
      </w:r>
      <w:r>
        <w:rPr>
          <w:spacing w:val="-2"/>
          <w:sz w:val="24"/>
          <w:szCs w:val="24"/>
        </w:rPr>
        <w:t>监测结果见下表：</w:t>
      </w:r>
    </w:p>
    <w:p w14:paraId="05B68296">
      <w:pPr>
        <w:pStyle w:val="2"/>
        <w:spacing w:line="227" w:lineRule="auto"/>
        <w:ind w:left="1996"/>
        <w:rPr>
          <w:sz w:val="20"/>
          <w:szCs w:val="20"/>
        </w:rPr>
      </w:pPr>
      <w:r>
        <w:rPr>
          <w:b/>
          <w:bCs/>
          <w:spacing w:val="7"/>
          <w:sz w:val="20"/>
          <w:szCs w:val="20"/>
        </w:rPr>
        <w:t>表</w:t>
      </w:r>
      <w:r>
        <w:rPr>
          <w:spacing w:val="-40"/>
          <w:sz w:val="20"/>
          <w:szCs w:val="20"/>
        </w:rPr>
        <w:t xml:space="preserve"> </w:t>
      </w:r>
      <w:r>
        <w:rPr>
          <w:rFonts w:ascii="Times New Roman" w:hAnsi="Times New Roman" w:eastAsia="Times New Roman" w:cs="Times New Roman"/>
          <w:b/>
          <w:bCs/>
          <w:spacing w:val="7"/>
          <w:sz w:val="20"/>
          <w:szCs w:val="20"/>
        </w:rPr>
        <w:t xml:space="preserve">4-4    </w:t>
      </w:r>
      <w:r>
        <w:rPr>
          <w:b/>
          <w:bCs/>
          <w:spacing w:val="7"/>
          <w:sz w:val="20"/>
          <w:szCs w:val="20"/>
        </w:rPr>
        <w:t>工频电场强度、工频磁感应</w:t>
      </w:r>
      <w:r>
        <w:rPr>
          <w:b/>
          <w:bCs/>
          <w:spacing w:val="6"/>
          <w:sz w:val="20"/>
          <w:szCs w:val="20"/>
        </w:rPr>
        <w:t>强度现状监测结果</w:t>
      </w:r>
    </w:p>
    <w:p w14:paraId="1B21EB62">
      <w:pPr>
        <w:spacing w:line="14" w:lineRule="exact"/>
      </w:pPr>
    </w:p>
    <w:tbl>
      <w:tblPr>
        <w:tblStyle w:val="5"/>
        <w:tblW w:w="8438" w:type="dxa"/>
        <w:tblInd w:w="4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6"/>
        <w:gridCol w:w="1299"/>
        <w:gridCol w:w="3682"/>
        <w:gridCol w:w="1165"/>
        <w:gridCol w:w="1396"/>
      </w:tblGrid>
      <w:tr w14:paraId="5ADF8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896" w:type="dxa"/>
            <w:vAlign w:val="top"/>
          </w:tcPr>
          <w:p w14:paraId="237B003F">
            <w:pPr>
              <w:pStyle w:val="6"/>
              <w:spacing w:before="244" w:line="229" w:lineRule="auto"/>
              <w:ind w:left="243"/>
            </w:pPr>
            <w:r>
              <w:rPr>
                <w:spacing w:val="5"/>
              </w:rPr>
              <w:t>序号</w:t>
            </w:r>
          </w:p>
        </w:tc>
        <w:tc>
          <w:tcPr>
            <w:tcW w:w="4981" w:type="dxa"/>
            <w:gridSpan w:val="2"/>
            <w:vAlign w:val="top"/>
          </w:tcPr>
          <w:p w14:paraId="2109A63F">
            <w:pPr>
              <w:pStyle w:val="6"/>
              <w:spacing w:before="244" w:line="229" w:lineRule="auto"/>
              <w:ind w:left="1761"/>
            </w:pPr>
            <w:r>
              <w:rPr>
                <w:spacing w:val="8"/>
              </w:rPr>
              <w:t>测量点点位描述</w:t>
            </w:r>
          </w:p>
        </w:tc>
        <w:tc>
          <w:tcPr>
            <w:tcW w:w="1165" w:type="dxa"/>
            <w:vAlign w:val="top"/>
          </w:tcPr>
          <w:p w14:paraId="22A50B46">
            <w:pPr>
              <w:pStyle w:val="6"/>
              <w:spacing w:before="88" w:line="276" w:lineRule="auto"/>
              <w:ind w:left="75" w:firstLine="95"/>
            </w:pPr>
            <w:r>
              <w:rPr>
                <w:spacing w:val="1"/>
              </w:rPr>
              <w:t>工频电场</w:t>
            </w:r>
            <w:r>
              <w:rPr>
                <w:spacing w:val="-11"/>
              </w:rPr>
              <w:t>强度（</w:t>
            </w:r>
            <w:r>
              <w:rPr>
                <w:rFonts w:ascii="Times New Roman" w:hAnsi="Times New Roman" w:eastAsia="Times New Roman" w:cs="Times New Roman"/>
                <w:spacing w:val="-11"/>
              </w:rPr>
              <w:t>V/m</w:t>
            </w:r>
            <w:r>
              <w:rPr>
                <w:spacing w:val="-11"/>
              </w:rPr>
              <w:t>）</w:t>
            </w:r>
          </w:p>
        </w:tc>
        <w:tc>
          <w:tcPr>
            <w:tcW w:w="1396" w:type="dxa"/>
            <w:vAlign w:val="top"/>
          </w:tcPr>
          <w:p w14:paraId="0CDC7F6E">
            <w:pPr>
              <w:pStyle w:val="6"/>
              <w:spacing w:before="88" w:line="276" w:lineRule="auto"/>
              <w:ind w:left="219" w:right="67" w:hanging="143"/>
            </w:pPr>
            <w:r>
              <w:rPr>
                <w:spacing w:val="7"/>
              </w:rPr>
              <w:t>工频磁感应强</w:t>
            </w:r>
            <w:r>
              <w:rPr>
                <w:spacing w:val="-16"/>
              </w:rPr>
              <w:t>度</w:t>
            </w:r>
            <w:r>
              <w:rPr>
                <w:spacing w:val="21"/>
              </w:rPr>
              <w:t xml:space="preserve"> </w:t>
            </w:r>
            <w:r>
              <w:rPr>
                <w:spacing w:val="-16"/>
              </w:rPr>
              <w:t>( μ</w:t>
            </w:r>
            <w:r>
              <w:rPr>
                <w:rFonts w:ascii="Times New Roman" w:hAnsi="Times New Roman" w:eastAsia="Times New Roman" w:cs="Times New Roman"/>
                <w:spacing w:val="-16"/>
              </w:rPr>
              <w:t>T</w:t>
            </w:r>
            <w:r>
              <w:rPr>
                <w:spacing w:val="-16"/>
              </w:rPr>
              <w:t>）</w:t>
            </w:r>
          </w:p>
        </w:tc>
      </w:tr>
      <w:tr w14:paraId="2C644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896" w:type="dxa"/>
            <w:vMerge w:val="restart"/>
            <w:tcBorders>
              <w:bottom w:val="nil"/>
            </w:tcBorders>
            <w:vAlign w:val="top"/>
          </w:tcPr>
          <w:p w14:paraId="0C545804">
            <w:pPr>
              <w:spacing w:line="319" w:lineRule="auto"/>
              <w:rPr>
                <w:rFonts w:ascii="Arial"/>
                <w:sz w:val="21"/>
              </w:rPr>
            </w:pPr>
          </w:p>
          <w:p w14:paraId="7F916132">
            <w:pPr>
              <w:spacing w:line="319" w:lineRule="auto"/>
              <w:rPr>
                <w:rFonts w:ascii="Arial"/>
                <w:sz w:val="21"/>
              </w:rPr>
            </w:pPr>
          </w:p>
          <w:p w14:paraId="0E225AD4">
            <w:pPr>
              <w:spacing w:before="57" w:line="195" w:lineRule="auto"/>
              <w:ind w:left="41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299" w:type="dxa"/>
            <w:vMerge w:val="restart"/>
            <w:tcBorders>
              <w:bottom w:val="nil"/>
            </w:tcBorders>
            <w:vAlign w:val="top"/>
          </w:tcPr>
          <w:p w14:paraId="627D4682">
            <w:pPr>
              <w:spacing w:line="284" w:lineRule="auto"/>
              <w:rPr>
                <w:rFonts w:ascii="Arial"/>
                <w:sz w:val="21"/>
              </w:rPr>
            </w:pPr>
          </w:p>
          <w:p w14:paraId="0ED19306">
            <w:pPr>
              <w:pStyle w:val="6"/>
              <w:spacing w:before="65" w:line="227" w:lineRule="auto"/>
              <w:ind w:left="235"/>
            </w:pPr>
            <w:r>
              <w:rPr>
                <w:spacing w:val="7"/>
              </w:rPr>
              <w:t>本期拟建</w:t>
            </w:r>
          </w:p>
          <w:p w14:paraId="484BAC96">
            <w:pPr>
              <w:pStyle w:val="6"/>
              <w:spacing w:before="65" w:line="228" w:lineRule="auto"/>
              <w:ind w:left="152"/>
            </w:pPr>
            <w:r>
              <w:rPr>
                <w:rFonts w:ascii="Times New Roman" w:hAnsi="Times New Roman" w:eastAsia="Times New Roman" w:cs="Times New Roman"/>
              </w:rPr>
              <w:t>110kV</w:t>
            </w:r>
            <w:r>
              <w:rPr>
                <w:rFonts w:ascii="Times New Roman" w:hAnsi="Times New Roman" w:eastAsia="Times New Roman" w:cs="Times New Roman"/>
                <w:spacing w:val="14"/>
                <w:w w:val="101"/>
              </w:rPr>
              <w:t xml:space="preserve"> </w:t>
            </w:r>
            <w:r>
              <w:t>松山</w:t>
            </w:r>
          </w:p>
          <w:p w14:paraId="1EBE6FA2">
            <w:pPr>
              <w:pStyle w:val="6"/>
              <w:spacing w:before="65" w:line="229" w:lineRule="auto"/>
              <w:ind w:left="339"/>
            </w:pPr>
            <w:r>
              <w:rPr>
                <w:spacing w:val="6"/>
              </w:rPr>
              <w:t>变电站</w:t>
            </w:r>
          </w:p>
        </w:tc>
        <w:tc>
          <w:tcPr>
            <w:tcW w:w="3682" w:type="dxa"/>
            <w:vAlign w:val="top"/>
          </w:tcPr>
          <w:p w14:paraId="115B6186">
            <w:pPr>
              <w:pStyle w:val="6"/>
              <w:spacing w:before="85" w:line="227" w:lineRule="auto"/>
              <w:ind w:left="356"/>
            </w:pPr>
            <w:r>
              <w:rPr>
                <w:spacing w:val="6"/>
              </w:rPr>
              <w:t>拟建</w:t>
            </w:r>
            <w:r>
              <w:rPr>
                <w:spacing w:val="-16"/>
              </w:rPr>
              <w:t xml:space="preserve"> </w:t>
            </w: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松山变电站东侧厂界</w:t>
            </w:r>
          </w:p>
        </w:tc>
        <w:tc>
          <w:tcPr>
            <w:tcW w:w="1165" w:type="dxa"/>
            <w:vAlign w:val="top"/>
          </w:tcPr>
          <w:p w14:paraId="034F17FA">
            <w:pPr>
              <w:spacing w:before="121"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0.46</w:t>
            </w:r>
          </w:p>
        </w:tc>
        <w:tc>
          <w:tcPr>
            <w:tcW w:w="1396" w:type="dxa"/>
            <w:vAlign w:val="top"/>
          </w:tcPr>
          <w:p w14:paraId="74A4DC69">
            <w:pPr>
              <w:spacing w:before="121"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0.0248</w:t>
            </w:r>
          </w:p>
        </w:tc>
      </w:tr>
      <w:tr w14:paraId="23E05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896" w:type="dxa"/>
            <w:vMerge w:val="continue"/>
            <w:tcBorders>
              <w:top w:val="nil"/>
              <w:bottom w:val="nil"/>
            </w:tcBorders>
            <w:vAlign w:val="top"/>
          </w:tcPr>
          <w:p w14:paraId="0A23FF65">
            <w:pPr>
              <w:rPr>
                <w:rFonts w:ascii="Arial"/>
                <w:sz w:val="21"/>
              </w:rPr>
            </w:pPr>
          </w:p>
        </w:tc>
        <w:tc>
          <w:tcPr>
            <w:tcW w:w="1299" w:type="dxa"/>
            <w:vMerge w:val="continue"/>
            <w:tcBorders>
              <w:top w:val="nil"/>
              <w:bottom w:val="nil"/>
            </w:tcBorders>
            <w:vAlign w:val="top"/>
          </w:tcPr>
          <w:p w14:paraId="2C838FFF">
            <w:pPr>
              <w:rPr>
                <w:rFonts w:ascii="Arial"/>
                <w:sz w:val="21"/>
              </w:rPr>
            </w:pPr>
          </w:p>
        </w:tc>
        <w:tc>
          <w:tcPr>
            <w:tcW w:w="3682" w:type="dxa"/>
            <w:vAlign w:val="top"/>
          </w:tcPr>
          <w:p w14:paraId="0D6ECCDF">
            <w:pPr>
              <w:pStyle w:val="6"/>
              <w:spacing w:before="83" w:line="227" w:lineRule="auto"/>
              <w:ind w:left="356"/>
            </w:pPr>
            <w:r>
              <w:rPr>
                <w:spacing w:val="6"/>
              </w:rPr>
              <w:t>拟建</w:t>
            </w:r>
            <w:r>
              <w:rPr>
                <w:spacing w:val="-16"/>
              </w:rPr>
              <w:t xml:space="preserve"> </w:t>
            </w: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松山变电站南侧厂界</w:t>
            </w:r>
          </w:p>
        </w:tc>
        <w:tc>
          <w:tcPr>
            <w:tcW w:w="1165" w:type="dxa"/>
            <w:vAlign w:val="top"/>
          </w:tcPr>
          <w:p w14:paraId="5E8B520A">
            <w:pPr>
              <w:spacing w:before="119"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0.46</w:t>
            </w:r>
          </w:p>
        </w:tc>
        <w:tc>
          <w:tcPr>
            <w:tcW w:w="1396" w:type="dxa"/>
            <w:vAlign w:val="top"/>
          </w:tcPr>
          <w:p w14:paraId="4AFC4CFF">
            <w:pPr>
              <w:spacing w:before="119"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0.0245</w:t>
            </w:r>
          </w:p>
        </w:tc>
      </w:tr>
      <w:tr w14:paraId="034602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896" w:type="dxa"/>
            <w:vMerge w:val="continue"/>
            <w:tcBorders>
              <w:top w:val="nil"/>
              <w:bottom w:val="nil"/>
            </w:tcBorders>
            <w:vAlign w:val="top"/>
          </w:tcPr>
          <w:p w14:paraId="6AED7F04">
            <w:pPr>
              <w:rPr>
                <w:rFonts w:ascii="Arial"/>
                <w:sz w:val="21"/>
              </w:rPr>
            </w:pPr>
          </w:p>
        </w:tc>
        <w:tc>
          <w:tcPr>
            <w:tcW w:w="1299" w:type="dxa"/>
            <w:vMerge w:val="continue"/>
            <w:tcBorders>
              <w:top w:val="nil"/>
              <w:bottom w:val="nil"/>
            </w:tcBorders>
            <w:vAlign w:val="top"/>
          </w:tcPr>
          <w:p w14:paraId="383DAC19">
            <w:pPr>
              <w:rPr>
                <w:rFonts w:ascii="Arial"/>
                <w:sz w:val="21"/>
              </w:rPr>
            </w:pPr>
          </w:p>
        </w:tc>
        <w:tc>
          <w:tcPr>
            <w:tcW w:w="3682" w:type="dxa"/>
            <w:vAlign w:val="top"/>
          </w:tcPr>
          <w:p w14:paraId="67C1B94B">
            <w:pPr>
              <w:pStyle w:val="6"/>
              <w:spacing w:before="83" w:line="227" w:lineRule="auto"/>
              <w:ind w:left="356"/>
            </w:pPr>
            <w:r>
              <w:rPr>
                <w:spacing w:val="6"/>
              </w:rPr>
              <w:t>拟建</w:t>
            </w:r>
            <w:r>
              <w:rPr>
                <w:spacing w:val="-16"/>
              </w:rPr>
              <w:t xml:space="preserve"> </w:t>
            </w: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松山变电站西侧厂界</w:t>
            </w:r>
          </w:p>
        </w:tc>
        <w:tc>
          <w:tcPr>
            <w:tcW w:w="1165" w:type="dxa"/>
            <w:vAlign w:val="top"/>
          </w:tcPr>
          <w:p w14:paraId="12EAFCAC">
            <w:pPr>
              <w:spacing w:before="119"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0.45</w:t>
            </w:r>
          </w:p>
        </w:tc>
        <w:tc>
          <w:tcPr>
            <w:tcW w:w="1396" w:type="dxa"/>
            <w:vAlign w:val="top"/>
          </w:tcPr>
          <w:p w14:paraId="60FA3589">
            <w:pPr>
              <w:spacing w:before="119"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0.0252</w:t>
            </w:r>
          </w:p>
        </w:tc>
      </w:tr>
      <w:tr w14:paraId="63169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896" w:type="dxa"/>
            <w:vMerge w:val="continue"/>
            <w:tcBorders>
              <w:top w:val="nil"/>
            </w:tcBorders>
            <w:vAlign w:val="top"/>
          </w:tcPr>
          <w:p w14:paraId="2139E332">
            <w:pPr>
              <w:rPr>
                <w:rFonts w:ascii="Arial"/>
                <w:sz w:val="21"/>
              </w:rPr>
            </w:pPr>
          </w:p>
        </w:tc>
        <w:tc>
          <w:tcPr>
            <w:tcW w:w="1299" w:type="dxa"/>
            <w:vMerge w:val="continue"/>
            <w:tcBorders>
              <w:top w:val="nil"/>
            </w:tcBorders>
            <w:vAlign w:val="top"/>
          </w:tcPr>
          <w:p w14:paraId="68AD0A59">
            <w:pPr>
              <w:rPr>
                <w:rFonts w:ascii="Arial"/>
                <w:sz w:val="21"/>
              </w:rPr>
            </w:pPr>
          </w:p>
        </w:tc>
        <w:tc>
          <w:tcPr>
            <w:tcW w:w="3682" w:type="dxa"/>
            <w:vAlign w:val="top"/>
          </w:tcPr>
          <w:p w14:paraId="6BF958F5">
            <w:pPr>
              <w:pStyle w:val="6"/>
              <w:spacing w:before="83" w:line="227" w:lineRule="auto"/>
              <w:ind w:left="356"/>
            </w:pPr>
            <w:r>
              <w:rPr>
                <w:spacing w:val="6"/>
              </w:rPr>
              <w:t>拟建</w:t>
            </w:r>
            <w:r>
              <w:rPr>
                <w:spacing w:val="-16"/>
              </w:rPr>
              <w:t xml:space="preserve"> </w:t>
            </w: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松山变电站北侧厂界</w:t>
            </w:r>
          </w:p>
        </w:tc>
        <w:tc>
          <w:tcPr>
            <w:tcW w:w="1165" w:type="dxa"/>
            <w:vAlign w:val="top"/>
          </w:tcPr>
          <w:p w14:paraId="044931A0">
            <w:pPr>
              <w:spacing w:before="119"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0.47</w:t>
            </w:r>
          </w:p>
        </w:tc>
        <w:tc>
          <w:tcPr>
            <w:tcW w:w="1396" w:type="dxa"/>
            <w:vAlign w:val="top"/>
          </w:tcPr>
          <w:p w14:paraId="3D5AC7A7">
            <w:pPr>
              <w:spacing w:before="119"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0.0252</w:t>
            </w:r>
          </w:p>
        </w:tc>
      </w:tr>
      <w:tr w14:paraId="4CD03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896" w:type="dxa"/>
            <w:vAlign w:val="top"/>
          </w:tcPr>
          <w:p w14:paraId="1A0301F6">
            <w:pPr>
              <w:spacing w:before="276"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299" w:type="dxa"/>
            <w:vMerge w:val="restart"/>
            <w:tcBorders>
              <w:bottom w:val="nil"/>
            </w:tcBorders>
            <w:vAlign w:val="top"/>
          </w:tcPr>
          <w:p w14:paraId="0C6C2017">
            <w:pPr>
              <w:spacing w:line="243" w:lineRule="auto"/>
              <w:rPr>
                <w:rFonts w:ascii="Arial"/>
                <w:sz w:val="21"/>
              </w:rPr>
            </w:pPr>
          </w:p>
          <w:p w14:paraId="2FF28D53">
            <w:pPr>
              <w:spacing w:line="243" w:lineRule="auto"/>
              <w:rPr>
                <w:rFonts w:ascii="Arial"/>
                <w:sz w:val="21"/>
              </w:rPr>
            </w:pPr>
          </w:p>
          <w:p w14:paraId="7117616D">
            <w:pPr>
              <w:spacing w:line="243" w:lineRule="auto"/>
              <w:rPr>
                <w:rFonts w:ascii="Arial"/>
                <w:sz w:val="21"/>
              </w:rPr>
            </w:pPr>
          </w:p>
          <w:p w14:paraId="56840198">
            <w:pPr>
              <w:spacing w:line="243" w:lineRule="auto"/>
              <w:rPr>
                <w:rFonts w:ascii="Arial"/>
                <w:sz w:val="21"/>
              </w:rPr>
            </w:pPr>
          </w:p>
          <w:p w14:paraId="1E940D95">
            <w:pPr>
              <w:spacing w:line="243" w:lineRule="auto"/>
              <w:rPr>
                <w:rFonts w:ascii="Arial"/>
                <w:sz w:val="21"/>
              </w:rPr>
            </w:pPr>
          </w:p>
          <w:p w14:paraId="4DA7D036">
            <w:pPr>
              <w:spacing w:line="243" w:lineRule="auto"/>
              <w:rPr>
                <w:rFonts w:ascii="Arial"/>
                <w:sz w:val="21"/>
              </w:rPr>
            </w:pPr>
          </w:p>
          <w:p w14:paraId="337B4C1D">
            <w:pPr>
              <w:spacing w:line="243" w:lineRule="auto"/>
              <w:rPr>
                <w:rFonts w:ascii="Arial"/>
                <w:sz w:val="21"/>
              </w:rPr>
            </w:pPr>
          </w:p>
          <w:p w14:paraId="30112E47">
            <w:pPr>
              <w:spacing w:line="243" w:lineRule="auto"/>
              <w:rPr>
                <w:rFonts w:ascii="Arial"/>
                <w:sz w:val="21"/>
              </w:rPr>
            </w:pPr>
          </w:p>
          <w:p w14:paraId="38596956">
            <w:pPr>
              <w:spacing w:line="244" w:lineRule="auto"/>
              <w:rPr>
                <w:rFonts w:ascii="Arial"/>
                <w:sz w:val="21"/>
              </w:rPr>
            </w:pPr>
          </w:p>
          <w:p w14:paraId="26363DD0">
            <w:pPr>
              <w:spacing w:line="244" w:lineRule="auto"/>
              <w:rPr>
                <w:rFonts w:ascii="Arial"/>
                <w:sz w:val="21"/>
              </w:rPr>
            </w:pPr>
          </w:p>
          <w:p w14:paraId="61F592AA">
            <w:pPr>
              <w:spacing w:line="244" w:lineRule="auto"/>
              <w:rPr>
                <w:rFonts w:ascii="Arial"/>
                <w:sz w:val="21"/>
              </w:rPr>
            </w:pPr>
          </w:p>
          <w:p w14:paraId="25D88DF9">
            <w:pPr>
              <w:spacing w:line="244" w:lineRule="auto"/>
              <w:rPr>
                <w:rFonts w:ascii="Arial"/>
                <w:sz w:val="21"/>
              </w:rPr>
            </w:pPr>
          </w:p>
          <w:p w14:paraId="31C5F6DF">
            <w:pPr>
              <w:spacing w:line="244" w:lineRule="auto"/>
              <w:rPr>
                <w:rFonts w:ascii="Arial"/>
                <w:sz w:val="21"/>
              </w:rPr>
            </w:pPr>
          </w:p>
          <w:p w14:paraId="06E49DC5">
            <w:pPr>
              <w:spacing w:line="244" w:lineRule="auto"/>
              <w:rPr>
                <w:rFonts w:ascii="Arial"/>
                <w:sz w:val="21"/>
              </w:rPr>
            </w:pPr>
          </w:p>
          <w:p w14:paraId="0724D1BB">
            <w:pPr>
              <w:pStyle w:val="6"/>
              <w:spacing w:before="65" w:line="227" w:lineRule="auto"/>
              <w:ind w:left="135"/>
              <w:rPr>
                <w:rFonts w:ascii="Times New Roman" w:hAnsi="Times New Roman" w:eastAsia="Times New Roman" w:cs="Times New Roman"/>
              </w:rPr>
            </w:pPr>
            <w:r>
              <w:t>拟建</w:t>
            </w:r>
            <w:r>
              <w:rPr>
                <w:spacing w:val="-20"/>
              </w:rPr>
              <w:t xml:space="preserve"> </w:t>
            </w:r>
            <w:r>
              <w:rPr>
                <w:rFonts w:ascii="Times New Roman" w:hAnsi="Times New Roman" w:eastAsia="Times New Roman" w:cs="Times New Roman"/>
              </w:rPr>
              <w:t>110kV</w:t>
            </w:r>
          </w:p>
          <w:p w14:paraId="34F4DA5C">
            <w:pPr>
              <w:pStyle w:val="6"/>
              <w:spacing w:before="65" w:line="289" w:lineRule="auto"/>
              <w:ind w:left="129" w:right="124"/>
              <w:jc w:val="both"/>
            </w:pPr>
            <w:r>
              <w:rPr>
                <w:spacing w:val="6"/>
              </w:rPr>
              <w:t>接入</w:t>
            </w:r>
            <w:r>
              <w:rPr>
                <w:spacing w:val="-40"/>
              </w:rPr>
              <w:t xml:space="preserve"> </w:t>
            </w:r>
            <w:r>
              <w:rPr>
                <w:rFonts w:ascii="Times New Roman" w:hAnsi="Times New Roman" w:eastAsia="Times New Roman" w:cs="Times New Roman"/>
                <w:spacing w:val="6"/>
              </w:rPr>
              <w:t>220</w:t>
            </w:r>
            <w:r>
              <w:rPr>
                <w:rFonts w:ascii="Times New Roman" w:hAnsi="Times New Roman" w:eastAsia="Times New Roman" w:cs="Times New Roman"/>
              </w:rPr>
              <w:t>kV</w:t>
            </w:r>
            <w:r>
              <w:rPr>
                <w:spacing w:val="7"/>
              </w:rPr>
              <w:t>芳华变线路沿线电磁环境保护目标</w:t>
            </w:r>
          </w:p>
        </w:tc>
        <w:tc>
          <w:tcPr>
            <w:tcW w:w="3682" w:type="dxa"/>
            <w:vAlign w:val="top"/>
          </w:tcPr>
          <w:p w14:paraId="3DF9E238">
            <w:pPr>
              <w:pStyle w:val="6"/>
              <w:spacing w:before="84" w:line="227" w:lineRule="auto"/>
              <w:ind w:left="68"/>
            </w:pPr>
            <w:r>
              <w:rPr>
                <w:spacing w:val="7"/>
              </w:rPr>
              <w:t>拟建</w:t>
            </w:r>
            <w:r>
              <w:rPr>
                <w:spacing w:val="-42"/>
              </w:rPr>
              <w:t xml:space="preserve"> </w:t>
            </w:r>
            <w:r>
              <w:rPr>
                <w:rFonts w:ascii="Times New Roman" w:hAnsi="Times New Roman" w:eastAsia="Times New Roman" w:cs="Times New Roman"/>
                <w:spacing w:val="7"/>
              </w:rPr>
              <w:t>110</w:t>
            </w:r>
            <w:r>
              <w:rPr>
                <w:rFonts w:ascii="Times New Roman" w:hAnsi="Times New Roman" w:eastAsia="Times New Roman" w:cs="Times New Roman"/>
              </w:rPr>
              <w:t>kV</w:t>
            </w:r>
            <w:r>
              <w:rPr>
                <w:rFonts w:ascii="Times New Roman" w:hAnsi="Times New Roman" w:eastAsia="Times New Roman" w:cs="Times New Roman"/>
                <w:spacing w:val="-14"/>
              </w:rPr>
              <w:t xml:space="preserve"> </w:t>
            </w:r>
            <w:r>
              <w:rPr>
                <w:spacing w:val="7"/>
              </w:rPr>
              <w:t>接入</w:t>
            </w:r>
            <w:r>
              <w:rPr>
                <w:rFonts w:ascii="Times New Roman" w:hAnsi="Times New Roman" w:eastAsia="Times New Roman" w:cs="Times New Roman"/>
                <w:spacing w:val="7"/>
              </w:rPr>
              <w:t>220</w:t>
            </w:r>
            <w:r>
              <w:rPr>
                <w:rFonts w:ascii="Times New Roman" w:hAnsi="Times New Roman" w:eastAsia="Times New Roman" w:cs="Times New Roman"/>
              </w:rPr>
              <w:t>kV</w:t>
            </w:r>
            <w:r>
              <w:rPr>
                <w:rFonts w:ascii="Times New Roman" w:hAnsi="Times New Roman" w:eastAsia="Times New Roman" w:cs="Times New Roman"/>
                <w:spacing w:val="-7"/>
              </w:rPr>
              <w:t xml:space="preserve"> </w:t>
            </w:r>
            <w:r>
              <w:rPr>
                <w:spacing w:val="7"/>
              </w:rPr>
              <w:t>芳华变线路西侧</w:t>
            </w:r>
          </w:p>
          <w:p w14:paraId="079D154F">
            <w:pPr>
              <w:pStyle w:val="6"/>
              <w:spacing w:before="66" w:line="227" w:lineRule="auto"/>
              <w:ind w:left="1219"/>
            </w:pPr>
            <w:r>
              <w:rPr>
                <w:spacing w:val="7"/>
              </w:rPr>
              <w:t>芦旗堡居民楼</w:t>
            </w:r>
          </w:p>
        </w:tc>
        <w:tc>
          <w:tcPr>
            <w:tcW w:w="1165" w:type="dxa"/>
            <w:vAlign w:val="top"/>
          </w:tcPr>
          <w:p w14:paraId="2A31403B">
            <w:pPr>
              <w:spacing w:before="276" w:line="195" w:lineRule="auto"/>
              <w:ind w:left="36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10.43</w:t>
            </w:r>
          </w:p>
        </w:tc>
        <w:tc>
          <w:tcPr>
            <w:tcW w:w="1396" w:type="dxa"/>
            <w:vAlign w:val="top"/>
          </w:tcPr>
          <w:p w14:paraId="225D8C31">
            <w:pPr>
              <w:spacing w:before="276"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0.0453</w:t>
            </w:r>
          </w:p>
        </w:tc>
      </w:tr>
      <w:tr w14:paraId="5110F9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896" w:type="dxa"/>
            <w:vAlign w:val="top"/>
          </w:tcPr>
          <w:p w14:paraId="2B9EE76D">
            <w:pPr>
              <w:spacing w:before="276" w:line="195" w:lineRule="auto"/>
              <w:ind w:left="401"/>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299" w:type="dxa"/>
            <w:vMerge w:val="continue"/>
            <w:tcBorders>
              <w:top w:val="nil"/>
              <w:bottom w:val="nil"/>
            </w:tcBorders>
            <w:vAlign w:val="top"/>
          </w:tcPr>
          <w:p w14:paraId="5A6C4F1E">
            <w:pPr>
              <w:rPr>
                <w:rFonts w:ascii="Arial"/>
                <w:sz w:val="21"/>
              </w:rPr>
            </w:pPr>
          </w:p>
        </w:tc>
        <w:tc>
          <w:tcPr>
            <w:tcW w:w="3682" w:type="dxa"/>
            <w:vAlign w:val="top"/>
          </w:tcPr>
          <w:p w14:paraId="4AC98DE2">
            <w:pPr>
              <w:pStyle w:val="6"/>
              <w:spacing w:before="84" w:line="227" w:lineRule="auto"/>
              <w:ind w:left="68"/>
            </w:pPr>
            <w:r>
              <w:rPr>
                <w:spacing w:val="7"/>
              </w:rPr>
              <w:t>拟建</w:t>
            </w:r>
            <w:r>
              <w:rPr>
                <w:spacing w:val="-42"/>
              </w:rPr>
              <w:t xml:space="preserve"> </w:t>
            </w:r>
            <w:r>
              <w:rPr>
                <w:rFonts w:ascii="Times New Roman" w:hAnsi="Times New Roman" w:eastAsia="Times New Roman" w:cs="Times New Roman"/>
                <w:spacing w:val="7"/>
              </w:rPr>
              <w:t>110</w:t>
            </w:r>
            <w:r>
              <w:rPr>
                <w:rFonts w:ascii="Times New Roman" w:hAnsi="Times New Roman" w:eastAsia="Times New Roman" w:cs="Times New Roman"/>
              </w:rPr>
              <w:t>kV</w:t>
            </w:r>
            <w:r>
              <w:rPr>
                <w:rFonts w:ascii="Times New Roman" w:hAnsi="Times New Roman" w:eastAsia="Times New Roman" w:cs="Times New Roman"/>
                <w:spacing w:val="-14"/>
              </w:rPr>
              <w:t xml:space="preserve"> </w:t>
            </w:r>
            <w:r>
              <w:rPr>
                <w:spacing w:val="7"/>
              </w:rPr>
              <w:t>接入</w:t>
            </w:r>
            <w:r>
              <w:rPr>
                <w:rFonts w:ascii="Times New Roman" w:hAnsi="Times New Roman" w:eastAsia="Times New Roman" w:cs="Times New Roman"/>
                <w:spacing w:val="7"/>
              </w:rPr>
              <w:t>220</w:t>
            </w:r>
            <w:r>
              <w:rPr>
                <w:rFonts w:ascii="Times New Roman" w:hAnsi="Times New Roman" w:eastAsia="Times New Roman" w:cs="Times New Roman"/>
              </w:rPr>
              <w:t>kV</w:t>
            </w:r>
            <w:r>
              <w:rPr>
                <w:rFonts w:ascii="Times New Roman" w:hAnsi="Times New Roman" w:eastAsia="Times New Roman" w:cs="Times New Roman"/>
                <w:spacing w:val="-7"/>
              </w:rPr>
              <w:t xml:space="preserve"> </w:t>
            </w:r>
            <w:r>
              <w:rPr>
                <w:spacing w:val="7"/>
              </w:rPr>
              <w:t>芳华变线路东侧</w:t>
            </w:r>
          </w:p>
          <w:p w14:paraId="49B8371C">
            <w:pPr>
              <w:pStyle w:val="6"/>
              <w:spacing w:before="65" w:line="228" w:lineRule="auto"/>
              <w:ind w:left="1123"/>
            </w:pPr>
            <w:r>
              <w:rPr>
                <w:spacing w:val="7"/>
              </w:rPr>
              <w:t>临时菜地看护房</w:t>
            </w:r>
          </w:p>
        </w:tc>
        <w:tc>
          <w:tcPr>
            <w:tcW w:w="1165" w:type="dxa"/>
            <w:vAlign w:val="top"/>
          </w:tcPr>
          <w:p w14:paraId="2A026C72">
            <w:pPr>
              <w:spacing w:before="276"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0.47</w:t>
            </w:r>
          </w:p>
        </w:tc>
        <w:tc>
          <w:tcPr>
            <w:tcW w:w="1396" w:type="dxa"/>
            <w:vAlign w:val="top"/>
          </w:tcPr>
          <w:p w14:paraId="1F706992">
            <w:pPr>
              <w:spacing w:before="276"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0.0252</w:t>
            </w:r>
          </w:p>
        </w:tc>
      </w:tr>
      <w:tr w14:paraId="6F5AB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896" w:type="dxa"/>
            <w:vAlign w:val="top"/>
          </w:tcPr>
          <w:p w14:paraId="0605E2FC">
            <w:pPr>
              <w:spacing w:before="277" w:line="195" w:lineRule="auto"/>
              <w:ind w:left="39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299" w:type="dxa"/>
            <w:vMerge w:val="continue"/>
            <w:tcBorders>
              <w:top w:val="nil"/>
              <w:bottom w:val="nil"/>
            </w:tcBorders>
            <w:vAlign w:val="top"/>
          </w:tcPr>
          <w:p w14:paraId="08C950A8">
            <w:pPr>
              <w:rPr>
                <w:rFonts w:ascii="Arial"/>
                <w:sz w:val="21"/>
              </w:rPr>
            </w:pPr>
          </w:p>
        </w:tc>
        <w:tc>
          <w:tcPr>
            <w:tcW w:w="3682" w:type="dxa"/>
            <w:vAlign w:val="top"/>
          </w:tcPr>
          <w:p w14:paraId="3078329D">
            <w:pPr>
              <w:pStyle w:val="6"/>
              <w:spacing w:before="85" w:line="227" w:lineRule="auto"/>
              <w:ind w:left="68"/>
            </w:pPr>
            <w:r>
              <w:rPr>
                <w:spacing w:val="7"/>
              </w:rPr>
              <w:t>拟建</w:t>
            </w:r>
            <w:r>
              <w:rPr>
                <w:spacing w:val="-42"/>
              </w:rPr>
              <w:t xml:space="preserve"> </w:t>
            </w:r>
            <w:r>
              <w:rPr>
                <w:rFonts w:ascii="Times New Roman" w:hAnsi="Times New Roman" w:eastAsia="Times New Roman" w:cs="Times New Roman"/>
                <w:spacing w:val="7"/>
              </w:rPr>
              <w:t>110</w:t>
            </w:r>
            <w:r>
              <w:rPr>
                <w:rFonts w:ascii="Times New Roman" w:hAnsi="Times New Roman" w:eastAsia="Times New Roman" w:cs="Times New Roman"/>
              </w:rPr>
              <w:t>kV</w:t>
            </w:r>
            <w:r>
              <w:rPr>
                <w:rFonts w:ascii="Times New Roman" w:hAnsi="Times New Roman" w:eastAsia="Times New Roman" w:cs="Times New Roman"/>
                <w:spacing w:val="-14"/>
              </w:rPr>
              <w:t xml:space="preserve"> </w:t>
            </w:r>
            <w:r>
              <w:rPr>
                <w:spacing w:val="7"/>
              </w:rPr>
              <w:t>接入</w:t>
            </w:r>
            <w:r>
              <w:rPr>
                <w:rFonts w:ascii="Times New Roman" w:hAnsi="Times New Roman" w:eastAsia="Times New Roman" w:cs="Times New Roman"/>
                <w:spacing w:val="7"/>
              </w:rPr>
              <w:t>220</w:t>
            </w:r>
            <w:r>
              <w:rPr>
                <w:rFonts w:ascii="Times New Roman" w:hAnsi="Times New Roman" w:eastAsia="Times New Roman" w:cs="Times New Roman"/>
              </w:rPr>
              <w:t>kV</w:t>
            </w:r>
            <w:r>
              <w:rPr>
                <w:rFonts w:ascii="Times New Roman" w:hAnsi="Times New Roman" w:eastAsia="Times New Roman" w:cs="Times New Roman"/>
                <w:spacing w:val="-7"/>
              </w:rPr>
              <w:t xml:space="preserve"> </w:t>
            </w:r>
            <w:r>
              <w:rPr>
                <w:spacing w:val="7"/>
              </w:rPr>
              <w:t>芳华变线路北侧</w:t>
            </w:r>
          </w:p>
          <w:p w14:paraId="78F5F39B">
            <w:pPr>
              <w:pStyle w:val="6"/>
              <w:spacing w:before="65" w:line="228" w:lineRule="auto"/>
              <w:ind w:left="1123"/>
            </w:pPr>
            <w:r>
              <w:rPr>
                <w:spacing w:val="7"/>
              </w:rPr>
              <w:t>临时菜地看护房</w:t>
            </w:r>
          </w:p>
        </w:tc>
        <w:tc>
          <w:tcPr>
            <w:tcW w:w="1165" w:type="dxa"/>
            <w:vAlign w:val="top"/>
          </w:tcPr>
          <w:p w14:paraId="26F1CDA8">
            <w:pPr>
              <w:spacing w:before="277"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0.46</w:t>
            </w:r>
          </w:p>
        </w:tc>
        <w:tc>
          <w:tcPr>
            <w:tcW w:w="1396" w:type="dxa"/>
            <w:vAlign w:val="top"/>
          </w:tcPr>
          <w:p w14:paraId="398C5754">
            <w:pPr>
              <w:spacing w:before="277"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0.0249</w:t>
            </w:r>
          </w:p>
        </w:tc>
      </w:tr>
      <w:tr w14:paraId="56BD99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896" w:type="dxa"/>
            <w:vAlign w:val="top"/>
          </w:tcPr>
          <w:p w14:paraId="04DAE349">
            <w:pPr>
              <w:spacing w:before="278" w:line="192" w:lineRule="auto"/>
              <w:ind w:left="402"/>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99" w:type="dxa"/>
            <w:vMerge w:val="continue"/>
            <w:tcBorders>
              <w:top w:val="nil"/>
              <w:bottom w:val="nil"/>
            </w:tcBorders>
            <w:vAlign w:val="top"/>
          </w:tcPr>
          <w:p w14:paraId="463EBF2D">
            <w:pPr>
              <w:rPr>
                <w:rFonts w:ascii="Arial"/>
                <w:sz w:val="21"/>
              </w:rPr>
            </w:pPr>
          </w:p>
        </w:tc>
        <w:tc>
          <w:tcPr>
            <w:tcW w:w="3682" w:type="dxa"/>
            <w:vAlign w:val="top"/>
          </w:tcPr>
          <w:p w14:paraId="73142EBE">
            <w:pPr>
              <w:pStyle w:val="6"/>
              <w:spacing w:before="83" w:line="227" w:lineRule="auto"/>
              <w:ind w:left="68"/>
            </w:pPr>
            <w:r>
              <w:rPr>
                <w:spacing w:val="7"/>
              </w:rPr>
              <w:t>拟建</w:t>
            </w:r>
            <w:r>
              <w:rPr>
                <w:spacing w:val="-42"/>
              </w:rPr>
              <w:t xml:space="preserve"> </w:t>
            </w:r>
            <w:r>
              <w:rPr>
                <w:rFonts w:ascii="Times New Roman" w:hAnsi="Times New Roman" w:eastAsia="Times New Roman" w:cs="Times New Roman"/>
                <w:spacing w:val="7"/>
              </w:rPr>
              <w:t>110</w:t>
            </w:r>
            <w:r>
              <w:rPr>
                <w:rFonts w:ascii="Times New Roman" w:hAnsi="Times New Roman" w:eastAsia="Times New Roman" w:cs="Times New Roman"/>
              </w:rPr>
              <w:t>kV</w:t>
            </w:r>
            <w:r>
              <w:rPr>
                <w:rFonts w:ascii="Times New Roman" w:hAnsi="Times New Roman" w:eastAsia="Times New Roman" w:cs="Times New Roman"/>
                <w:spacing w:val="-14"/>
              </w:rPr>
              <w:t xml:space="preserve"> </w:t>
            </w:r>
            <w:r>
              <w:rPr>
                <w:spacing w:val="7"/>
              </w:rPr>
              <w:t>接入</w:t>
            </w:r>
            <w:r>
              <w:rPr>
                <w:rFonts w:ascii="Times New Roman" w:hAnsi="Times New Roman" w:eastAsia="Times New Roman" w:cs="Times New Roman"/>
                <w:spacing w:val="7"/>
              </w:rPr>
              <w:t>220</w:t>
            </w:r>
            <w:r>
              <w:rPr>
                <w:rFonts w:ascii="Times New Roman" w:hAnsi="Times New Roman" w:eastAsia="Times New Roman" w:cs="Times New Roman"/>
              </w:rPr>
              <w:t>kV</w:t>
            </w:r>
            <w:r>
              <w:rPr>
                <w:rFonts w:ascii="Times New Roman" w:hAnsi="Times New Roman" w:eastAsia="Times New Roman" w:cs="Times New Roman"/>
                <w:spacing w:val="-7"/>
              </w:rPr>
              <w:t xml:space="preserve"> </w:t>
            </w:r>
            <w:r>
              <w:rPr>
                <w:spacing w:val="7"/>
              </w:rPr>
              <w:t>芳华变线路南侧</w:t>
            </w:r>
          </w:p>
          <w:p w14:paraId="636806C8">
            <w:pPr>
              <w:pStyle w:val="6"/>
              <w:spacing w:before="65" w:line="228" w:lineRule="auto"/>
              <w:ind w:left="1123"/>
            </w:pPr>
            <w:r>
              <w:rPr>
                <w:spacing w:val="7"/>
              </w:rPr>
              <w:t>临时菜地看护房</w:t>
            </w:r>
          </w:p>
        </w:tc>
        <w:tc>
          <w:tcPr>
            <w:tcW w:w="1165" w:type="dxa"/>
            <w:vAlign w:val="top"/>
          </w:tcPr>
          <w:p w14:paraId="5B2DE003">
            <w:pPr>
              <w:spacing w:before="275"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0.45</w:t>
            </w:r>
          </w:p>
        </w:tc>
        <w:tc>
          <w:tcPr>
            <w:tcW w:w="1396" w:type="dxa"/>
            <w:vAlign w:val="top"/>
          </w:tcPr>
          <w:p w14:paraId="3D275C8A">
            <w:pPr>
              <w:spacing w:before="275"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0.0244</w:t>
            </w:r>
          </w:p>
        </w:tc>
      </w:tr>
      <w:tr w14:paraId="63AED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896" w:type="dxa"/>
            <w:vAlign w:val="top"/>
          </w:tcPr>
          <w:p w14:paraId="74E053B1">
            <w:pPr>
              <w:spacing w:before="275" w:line="195" w:lineRule="auto"/>
              <w:ind w:left="401"/>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299" w:type="dxa"/>
            <w:vMerge w:val="continue"/>
            <w:tcBorders>
              <w:top w:val="nil"/>
              <w:bottom w:val="nil"/>
            </w:tcBorders>
            <w:vAlign w:val="top"/>
          </w:tcPr>
          <w:p w14:paraId="41E33C41">
            <w:pPr>
              <w:rPr>
                <w:rFonts w:ascii="Arial"/>
                <w:sz w:val="21"/>
              </w:rPr>
            </w:pPr>
          </w:p>
        </w:tc>
        <w:tc>
          <w:tcPr>
            <w:tcW w:w="3682" w:type="dxa"/>
            <w:vAlign w:val="top"/>
          </w:tcPr>
          <w:p w14:paraId="06256B03">
            <w:pPr>
              <w:pStyle w:val="6"/>
              <w:spacing w:before="83" w:line="227" w:lineRule="auto"/>
              <w:ind w:left="68"/>
            </w:pPr>
            <w:r>
              <w:rPr>
                <w:spacing w:val="7"/>
              </w:rPr>
              <w:t>拟建</w:t>
            </w:r>
            <w:r>
              <w:rPr>
                <w:spacing w:val="-42"/>
              </w:rPr>
              <w:t xml:space="preserve"> </w:t>
            </w:r>
            <w:r>
              <w:rPr>
                <w:rFonts w:ascii="Times New Roman" w:hAnsi="Times New Roman" w:eastAsia="Times New Roman" w:cs="Times New Roman"/>
                <w:spacing w:val="7"/>
              </w:rPr>
              <w:t>110</w:t>
            </w:r>
            <w:r>
              <w:rPr>
                <w:rFonts w:ascii="Times New Roman" w:hAnsi="Times New Roman" w:eastAsia="Times New Roman" w:cs="Times New Roman"/>
              </w:rPr>
              <w:t>kV</w:t>
            </w:r>
            <w:r>
              <w:rPr>
                <w:rFonts w:ascii="Times New Roman" w:hAnsi="Times New Roman" w:eastAsia="Times New Roman" w:cs="Times New Roman"/>
                <w:spacing w:val="-14"/>
              </w:rPr>
              <w:t xml:space="preserve"> </w:t>
            </w:r>
            <w:r>
              <w:rPr>
                <w:spacing w:val="7"/>
              </w:rPr>
              <w:t>接入</w:t>
            </w:r>
            <w:r>
              <w:rPr>
                <w:rFonts w:ascii="Times New Roman" w:hAnsi="Times New Roman" w:eastAsia="Times New Roman" w:cs="Times New Roman"/>
                <w:spacing w:val="7"/>
              </w:rPr>
              <w:t>220</w:t>
            </w:r>
            <w:r>
              <w:rPr>
                <w:rFonts w:ascii="Times New Roman" w:hAnsi="Times New Roman" w:eastAsia="Times New Roman" w:cs="Times New Roman"/>
              </w:rPr>
              <w:t>kV</w:t>
            </w:r>
            <w:r>
              <w:rPr>
                <w:rFonts w:ascii="Times New Roman" w:hAnsi="Times New Roman" w:eastAsia="Times New Roman" w:cs="Times New Roman"/>
                <w:spacing w:val="-7"/>
              </w:rPr>
              <w:t xml:space="preserve"> </w:t>
            </w:r>
            <w:r>
              <w:rPr>
                <w:spacing w:val="7"/>
              </w:rPr>
              <w:t>芳华变线路北侧</w:t>
            </w:r>
          </w:p>
          <w:p w14:paraId="3E63FBD1">
            <w:pPr>
              <w:pStyle w:val="6"/>
              <w:spacing w:before="65" w:line="228" w:lineRule="auto"/>
              <w:ind w:left="1123"/>
            </w:pPr>
            <w:r>
              <w:rPr>
                <w:spacing w:val="7"/>
              </w:rPr>
              <w:t>临时菜地看护房</w:t>
            </w:r>
          </w:p>
        </w:tc>
        <w:tc>
          <w:tcPr>
            <w:tcW w:w="1165" w:type="dxa"/>
            <w:vAlign w:val="top"/>
          </w:tcPr>
          <w:p w14:paraId="44316A95">
            <w:pPr>
              <w:spacing w:before="275"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0.45</w:t>
            </w:r>
          </w:p>
        </w:tc>
        <w:tc>
          <w:tcPr>
            <w:tcW w:w="1396" w:type="dxa"/>
            <w:vAlign w:val="top"/>
          </w:tcPr>
          <w:p w14:paraId="48180801">
            <w:pPr>
              <w:spacing w:before="275"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0.0249</w:t>
            </w:r>
          </w:p>
        </w:tc>
      </w:tr>
      <w:tr w14:paraId="11754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896" w:type="dxa"/>
            <w:vAlign w:val="top"/>
          </w:tcPr>
          <w:p w14:paraId="3ACC60CE">
            <w:pPr>
              <w:spacing w:before="279" w:line="192" w:lineRule="auto"/>
              <w:ind w:left="400"/>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1299" w:type="dxa"/>
            <w:vMerge w:val="continue"/>
            <w:tcBorders>
              <w:top w:val="nil"/>
              <w:bottom w:val="nil"/>
            </w:tcBorders>
            <w:vAlign w:val="top"/>
          </w:tcPr>
          <w:p w14:paraId="2BCAF39F">
            <w:pPr>
              <w:rPr>
                <w:rFonts w:ascii="Arial"/>
                <w:sz w:val="21"/>
              </w:rPr>
            </w:pPr>
          </w:p>
        </w:tc>
        <w:tc>
          <w:tcPr>
            <w:tcW w:w="3682" w:type="dxa"/>
            <w:vAlign w:val="top"/>
          </w:tcPr>
          <w:p w14:paraId="07BB8F06">
            <w:pPr>
              <w:pStyle w:val="6"/>
              <w:spacing w:before="84" w:line="227" w:lineRule="auto"/>
              <w:ind w:left="68"/>
            </w:pPr>
            <w:r>
              <w:rPr>
                <w:spacing w:val="7"/>
              </w:rPr>
              <w:t>拟建</w:t>
            </w:r>
            <w:r>
              <w:rPr>
                <w:spacing w:val="-42"/>
              </w:rPr>
              <w:t xml:space="preserve"> </w:t>
            </w:r>
            <w:r>
              <w:rPr>
                <w:rFonts w:ascii="Times New Roman" w:hAnsi="Times New Roman" w:eastAsia="Times New Roman" w:cs="Times New Roman"/>
                <w:spacing w:val="7"/>
              </w:rPr>
              <w:t>110</w:t>
            </w:r>
            <w:r>
              <w:rPr>
                <w:rFonts w:ascii="Times New Roman" w:hAnsi="Times New Roman" w:eastAsia="Times New Roman" w:cs="Times New Roman"/>
              </w:rPr>
              <w:t>kV</w:t>
            </w:r>
            <w:r>
              <w:rPr>
                <w:rFonts w:ascii="Times New Roman" w:hAnsi="Times New Roman" w:eastAsia="Times New Roman" w:cs="Times New Roman"/>
                <w:spacing w:val="-14"/>
              </w:rPr>
              <w:t xml:space="preserve"> </w:t>
            </w:r>
            <w:r>
              <w:rPr>
                <w:spacing w:val="7"/>
              </w:rPr>
              <w:t>接入</w:t>
            </w:r>
            <w:r>
              <w:rPr>
                <w:rFonts w:ascii="Times New Roman" w:hAnsi="Times New Roman" w:eastAsia="Times New Roman" w:cs="Times New Roman"/>
                <w:spacing w:val="7"/>
              </w:rPr>
              <w:t>220</w:t>
            </w:r>
            <w:r>
              <w:rPr>
                <w:rFonts w:ascii="Times New Roman" w:hAnsi="Times New Roman" w:eastAsia="Times New Roman" w:cs="Times New Roman"/>
              </w:rPr>
              <w:t>kV</w:t>
            </w:r>
            <w:r>
              <w:rPr>
                <w:rFonts w:ascii="Times New Roman" w:hAnsi="Times New Roman" w:eastAsia="Times New Roman" w:cs="Times New Roman"/>
                <w:spacing w:val="-7"/>
              </w:rPr>
              <w:t xml:space="preserve"> </w:t>
            </w:r>
            <w:r>
              <w:rPr>
                <w:spacing w:val="7"/>
              </w:rPr>
              <w:t>芳华变线路南侧</w:t>
            </w:r>
          </w:p>
          <w:p w14:paraId="327ABB20">
            <w:pPr>
              <w:pStyle w:val="6"/>
              <w:spacing w:before="65" w:line="228" w:lineRule="auto"/>
              <w:ind w:left="1123"/>
            </w:pPr>
            <w:r>
              <w:rPr>
                <w:spacing w:val="7"/>
              </w:rPr>
              <w:t>临时菜地看护房</w:t>
            </w:r>
          </w:p>
        </w:tc>
        <w:tc>
          <w:tcPr>
            <w:tcW w:w="1165" w:type="dxa"/>
            <w:vAlign w:val="top"/>
          </w:tcPr>
          <w:p w14:paraId="0B1A6C1E">
            <w:pPr>
              <w:spacing w:before="276"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0.55</w:t>
            </w:r>
          </w:p>
        </w:tc>
        <w:tc>
          <w:tcPr>
            <w:tcW w:w="1396" w:type="dxa"/>
            <w:vAlign w:val="top"/>
          </w:tcPr>
          <w:p w14:paraId="7E8C93C9">
            <w:pPr>
              <w:spacing w:before="276"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0.0362</w:t>
            </w:r>
          </w:p>
        </w:tc>
      </w:tr>
      <w:tr w14:paraId="7C26B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896" w:type="dxa"/>
            <w:vAlign w:val="top"/>
          </w:tcPr>
          <w:p w14:paraId="2F0ADA3A">
            <w:pPr>
              <w:spacing w:before="277" w:line="195" w:lineRule="auto"/>
              <w:ind w:left="405"/>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299" w:type="dxa"/>
            <w:vMerge w:val="continue"/>
            <w:tcBorders>
              <w:top w:val="nil"/>
              <w:bottom w:val="nil"/>
            </w:tcBorders>
            <w:vAlign w:val="top"/>
          </w:tcPr>
          <w:p w14:paraId="12249A44">
            <w:pPr>
              <w:rPr>
                <w:rFonts w:ascii="Arial"/>
                <w:sz w:val="21"/>
              </w:rPr>
            </w:pPr>
          </w:p>
        </w:tc>
        <w:tc>
          <w:tcPr>
            <w:tcW w:w="3682" w:type="dxa"/>
            <w:vAlign w:val="top"/>
          </w:tcPr>
          <w:p w14:paraId="7F9B63E7">
            <w:pPr>
              <w:pStyle w:val="6"/>
              <w:spacing w:before="85" w:line="227" w:lineRule="auto"/>
              <w:ind w:left="68"/>
            </w:pPr>
            <w:r>
              <w:rPr>
                <w:spacing w:val="7"/>
              </w:rPr>
              <w:t>拟建</w:t>
            </w:r>
            <w:r>
              <w:rPr>
                <w:spacing w:val="-42"/>
              </w:rPr>
              <w:t xml:space="preserve"> </w:t>
            </w:r>
            <w:r>
              <w:rPr>
                <w:rFonts w:ascii="Times New Roman" w:hAnsi="Times New Roman" w:eastAsia="Times New Roman" w:cs="Times New Roman"/>
                <w:spacing w:val="7"/>
              </w:rPr>
              <w:t>110</w:t>
            </w:r>
            <w:r>
              <w:rPr>
                <w:rFonts w:ascii="Times New Roman" w:hAnsi="Times New Roman" w:eastAsia="Times New Roman" w:cs="Times New Roman"/>
              </w:rPr>
              <w:t>kV</w:t>
            </w:r>
            <w:r>
              <w:rPr>
                <w:rFonts w:ascii="Times New Roman" w:hAnsi="Times New Roman" w:eastAsia="Times New Roman" w:cs="Times New Roman"/>
                <w:spacing w:val="-14"/>
              </w:rPr>
              <w:t xml:space="preserve"> </w:t>
            </w:r>
            <w:r>
              <w:rPr>
                <w:spacing w:val="7"/>
              </w:rPr>
              <w:t>接入</w:t>
            </w:r>
            <w:r>
              <w:rPr>
                <w:rFonts w:ascii="Times New Roman" w:hAnsi="Times New Roman" w:eastAsia="Times New Roman" w:cs="Times New Roman"/>
                <w:spacing w:val="7"/>
              </w:rPr>
              <w:t>220</w:t>
            </w:r>
            <w:r>
              <w:rPr>
                <w:rFonts w:ascii="Times New Roman" w:hAnsi="Times New Roman" w:eastAsia="Times New Roman" w:cs="Times New Roman"/>
              </w:rPr>
              <w:t>kV</w:t>
            </w:r>
            <w:r>
              <w:rPr>
                <w:rFonts w:ascii="Times New Roman" w:hAnsi="Times New Roman" w:eastAsia="Times New Roman" w:cs="Times New Roman"/>
                <w:spacing w:val="-7"/>
              </w:rPr>
              <w:t xml:space="preserve"> </w:t>
            </w:r>
            <w:r>
              <w:rPr>
                <w:spacing w:val="7"/>
              </w:rPr>
              <w:t>芳华变线路北侧</w:t>
            </w:r>
          </w:p>
          <w:p w14:paraId="2969D959">
            <w:pPr>
              <w:pStyle w:val="6"/>
              <w:spacing w:before="65" w:line="228" w:lineRule="auto"/>
              <w:ind w:left="1123"/>
            </w:pPr>
            <w:r>
              <w:rPr>
                <w:spacing w:val="7"/>
              </w:rPr>
              <w:t>临时菜地看护房</w:t>
            </w:r>
          </w:p>
        </w:tc>
        <w:tc>
          <w:tcPr>
            <w:tcW w:w="1165" w:type="dxa"/>
            <w:vAlign w:val="top"/>
          </w:tcPr>
          <w:p w14:paraId="6813DDFC">
            <w:pPr>
              <w:spacing w:before="277"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0.45</w:t>
            </w:r>
          </w:p>
        </w:tc>
        <w:tc>
          <w:tcPr>
            <w:tcW w:w="1396" w:type="dxa"/>
            <w:vAlign w:val="top"/>
          </w:tcPr>
          <w:p w14:paraId="67BA644A">
            <w:pPr>
              <w:spacing w:before="277"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0.0326</w:t>
            </w:r>
          </w:p>
        </w:tc>
      </w:tr>
      <w:tr w14:paraId="1EF50B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896" w:type="dxa"/>
            <w:vAlign w:val="top"/>
          </w:tcPr>
          <w:p w14:paraId="1E24760D">
            <w:pPr>
              <w:spacing w:before="277" w:line="195" w:lineRule="auto"/>
              <w:ind w:left="400"/>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1299" w:type="dxa"/>
            <w:vMerge w:val="continue"/>
            <w:tcBorders>
              <w:top w:val="nil"/>
              <w:bottom w:val="nil"/>
            </w:tcBorders>
            <w:vAlign w:val="top"/>
          </w:tcPr>
          <w:p w14:paraId="574EAC9F">
            <w:pPr>
              <w:rPr>
                <w:rFonts w:ascii="Arial"/>
                <w:sz w:val="21"/>
              </w:rPr>
            </w:pPr>
          </w:p>
        </w:tc>
        <w:tc>
          <w:tcPr>
            <w:tcW w:w="3682" w:type="dxa"/>
            <w:vAlign w:val="top"/>
          </w:tcPr>
          <w:p w14:paraId="72A3AC89">
            <w:pPr>
              <w:pStyle w:val="6"/>
              <w:spacing w:before="85" w:line="227" w:lineRule="auto"/>
              <w:ind w:left="68"/>
            </w:pPr>
            <w:r>
              <w:rPr>
                <w:spacing w:val="7"/>
              </w:rPr>
              <w:t>拟建</w:t>
            </w:r>
            <w:r>
              <w:rPr>
                <w:spacing w:val="-42"/>
              </w:rPr>
              <w:t xml:space="preserve"> </w:t>
            </w:r>
            <w:r>
              <w:rPr>
                <w:rFonts w:ascii="Times New Roman" w:hAnsi="Times New Roman" w:eastAsia="Times New Roman" w:cs="Times New Roman"/>
                <w:spacing w:val="7"/>
              </w:rPr>
              <w:t>110</w:t>
            </w:r>
            <w:r>
              <w:rPr>
                <w:rFonts w:ascii="Times New Roman" w:hAnsi="Times New Roman" w:eastAsia="Times New Roman" w:cs="Times New Roman"/>
              </w:rPr>
              <w:t>kV</w:t>
            </w:r>
            <w:r>
              <w:rPr>
                <w:rFonts w:ascii="Times New Roman" w:hAnsi="Times New Roman" w:eastAsia="Times New Roman" w:cs="Times New Roman"/>
                <w:spacing w:val="-14"/>
              </w:rPr>
              <w:t xml:space="preserve"> </w:t>
            </w:r>
            <w:r>
              <w:rPr>
                <w:spacing w:val="7"/>
              </w:rPr>
              <w:t>接入</w:t>
            </w:r>
            <w:r>
              <w:rPr>
                <w:rFonts w:ascii="Times New Roman" w:hAnsi="Times New Roman" w:eastAsia="Times New Roman" w:cs="Times New Roman"/>
                <w:spacing w:val="7"/>
              </w:rPr>
              <w:t>220</w:t>
            </w:r>
            <w:r>
              <w:rPr>
                <w:rFonts w:ascii="Times New Roman" w:hAnsi="Times New Roman" w:eastAsia="Times New Roman" w:cs="Times New Roman"/>
              </w:rPr>
              <w:t>kV</w:t>
            </w:r>
            <w:r>
              <w:rPr>
                <w:rFonts w:ascii="Times New Roman" w:hAnsi="Times New Roman" w:eastAsia="Times New Roman" w:cs="Times New Roman"/>
                <w:spacing w:val="-7"/>
              </w:rPr>
              <w:t xml:space="preserve"> </w:t>
            </w:r>
            <w:r>
              <w:rPr>
                <w:spacing w:val="7"/>
              </w:rPr>
              <w:t>芳华变线路南侧</w:t>
            </w:r>
          </w:p>
          <w:p w14:paraId="09731BE5">
            <w:pPr>
              <w:pStyle w:val="6"/>
              <w:spacing w:before="65" w:line="228" w:lineRule="auto"/>
              <w:ind w:left="1123"/>
            </w:pPr>
            <w:r>
              <w:rPr>
                <w:spacing w:val="7"/>
              </w:rPr>
              <w:t>临时菜地看护房</w:t>
            </w:r>
          </w:p>
        </w:tc>
        <w:tc>
          <w:tcPr>
            <w:tcW w:w="1165" w:type="dxa"/>
            <w:vAlign w:val="top"/>
          </w:tcPr>
          <w:p w14:paraId="409145A2">
            <w:pPr>
              <w:spacing w:before="277"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0.45</w:t>
            </w:r>
          </w:p>
        </w:tc>
        <w:tc>
          <w:tcPr>
            <w:tcW w:w="1396" w:type="dxa"/>
            <w:vAlign w:val="top"/>
          </w:tcPr>
          <w:p w14:paraId="16B8C8CC">
            <w:pPr>
              <w:spacing w:before="277"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0.0249</w:t>
            </w:r>
          </w:p>
        </w:tc>
      </w:tr>
      <w:tr w14:paraId="0BBD2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896" w:type="dxa"/>
            <w:vAlign w:val="top"/>
          </w:tcPr>
          <w:p w14:paraId="71D6D4A4">
            <w:pPr>
              <w:spacing w:before="279" w:line="195" w:lineRule="auto"/>
              <w:ind w:left="36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1299" w:type="dxa"/>
            <w:vMerge w:val="continue"/>
            <w:tcBorders>
              <w:top w:val="nil"/>
              <w:bottom w:val="nil"/>
            </w:tcBorders>
            <w:vAlign w:val="top"/>
          </w:tcPr>
          <w:p w14:paraId="51572D86">
            <w:pPr>
              <w:rPr>
                <w:rFonts w:ascii="Arial"/>
                <w:sz w:val="21"/>
              </w:rPr>
            </w:pPr>
          </w:p>
        </w:tc>
        <w:tc>
          <w:tcPr>
            <w:tcW w:w="3682" w:type="dxa"/>
            <w:vAlign w:val="top"/>
          </w:tcPr>
          <w:p w14:paraId="33698F3D">
            <w:pPr>
              <w:pStyle w:val="6"/>
              <w:spacing w:before="87" w:line="227" w:lineRule="auto"/>
              <w:ind w:left="68"/>
            </w:pPr>
            <w:r>
              <w:rPr>
                <w:spacing w:val="7"/>
              </w:rPr>
              <w:t>拟建</w:t>
            </w:r>
            <w:r>
              <w:rPr>
                <w:spacing w:val="-42"/>
              </w:rPr>
              <w:t xml:space="preserve"> </w:t>
            </w:r>
            <w:r>
              <w:rPr>
                <w:rFonts w:ascii="Times New Roman" w:hAnsi="Times New Roman" w:eastAsia="Times New Roman" w:cs="Times New Roman"/>
                <w:spacing w:val="7"/>
              </w:rPr>
              <w:t>110</w:t>
            </w:r>
            <w:r>
              <w:rPr>
                <w:rFonts w:ascii="Times New Roman" w:hAnsi="Times New Roman" w:eastAsia="Times New Roman" w:cs="Times New Roman"/>
              </w:rPr>
              <w:t>kV</w:t>
            </w:r>
            <w:r>
              <w:rPr>
                <w:rFonts w:ascii="Times New Roman" w:hAnsi="Times New Roman" w:eastAsia="Times New Roman" w:cs="Times New Roman"/>
                <w:spacing w:val="-14"/>
              </w:rPr>
              <w:t xml:space="preserve"> </w:t>
            </w:r>
            <w:r>
              <w:rPr>
                <w:spacing w:val="7"/>
              </w:rPr>
              <w:t>接入</w:t>
            </w:r>
            <w:r>
              <w:rPr>
                <w:rFonts w:ascii="Times New Roman" w:hAnsi="Times New Roman" w:eastAsia="Times New Roman" w:cs="Times New Roman"/>
                <w:spacing w:val="7"/>
              </w:rPr>
              <w:t>220</w:t>
            </w:r>
            <w:r>
              <w:rPr>
                <w:rFonts w:ascii="Times New Roman" w:hAnsi="Times New Roman" w:eastAsia="Times New Roman" w:cs="Times New Roman"/>
              </w:rPr>
              <w:t>kV</w:t>
            </w:r>
            <w:r>
              <w:rPr>
                <w:rFonts w:ascii="Times New Roman" w:hAnsi="Times New Roman" w:eastAsia="Times New Roman" w:cs="Times New Roman"/>
                <w:spacing w:val="-7"/>
              </w:rPr>
              <w:t xml:space="preserve"> </w:t>
            </w:r>
            <w:r>
              <w:rPr>
                <w:spacing w:val="7"/>
              </w:rPr>
              <w:t>芳华变线路东侧</w:t>
            </w:r>
          </w:p>
          <w:p w14:paraId="2CDF6573">
            <w:pPr>
              <w:pStyle w:val="6"/>
              <w:spacing w:before="66" w:line="227" w:lineRule="auto"/>
              <w:ind w:left="1218"/>
            </w:pPr>
            <w:r>
              <w:rPr>
                <w:spacing w:val="8"/>
              </w:rPr>
              <w:t>新华村居民楼</w:t>
            </w:r>
          </w:p>
        </w:tc>
        <w:tc>
          <w:tcPr>
            <w:tcW w:w="1165" w:type="dxa"/>
            <w:vAlign w:val="top"/>
          </w:tcPr>
          <w:p w14:paraId="67D1B14E">
            <w:pPr>
              <w:spacing w:before="279"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0.45</w:t>
            </w:r>
          </w:p>
        </w:tc>
        <w:tc>
          <w:tcPr>
            <w:tcW w:w="1396" w:type="dxa"/>
            <w:vAlign w:val="top"/>
          </w:tcPr>
          <w:p w14:paraId="6466F0F5">
            <w:pPr>
              <w:spacing w:before="279"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0.0251</w:t>
            </w:r>
          </w:p>
        </w:tc>
      </w:tr>
      <w:tr w14:paraId="3E4F2E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896" w:type="dxa"/>
            <w:vAlign w:val="top"/>
          </w:tcPr>
          <w:p w14:paraId="31277D8C">
            <w:pPr>
              <w:spacing w:before="277" w:line="195" w:lineRule="auto"/>
              <w:ind w:left="369"/>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11</w:t>
            </w:r>
          </w:p>
        </w:tc>
        <w:tc>
          <w:tcPr>
            <w:tcW w:w="1299" w:type="dxa"/>
            <w:vMerge w:val="continue"/>
            <w:tcBorders>
              <w:top w:val="nil"/>
              <w:bottom w:val="nil"/>
            </w:tcBorders>
            <w:vAlign w:val="top"/>
          </w:tcPr>
          <w:p w14:paraId="5AE8DFD9">
            <w:pPr>
              <w:rPr>
                <w:rFonts w:ascii="Arial"/>
                <w:sz w:val="21"/>
              </w:rPr>
            </w:pPr>
          </w:p>
        </w:tc>
        <w:tc>
          <w:tcPr>
            <w:tcW w:w="3682" w:type="dxa"/>
            <w:vAlign w:val="top"/>
          </w:tcPr>
          <w:p w14:paraId="589B3248">
            <w:pPr>
              <w:pStyle w:val="6"/>
              <w:spacing w:before="86" w:line="275" w:lineRule="auto"/>
              <w:ind w:left="798" w:right="62" w:hanging="730"/>
            </w:pPr>
            <w:r>
              <w:rPr>
                <w:spacing w:val="7"/>
              </w:rPr>
              <w:t>拟建</w:t>
            </w:r>
            <w:r>
              <w:rPr>
                <w:spacing w:val="-42"/>
              </w:rPr>
              <w:t xml:space="preserve"> </w:t>
            </w:r>
            <w:r>
              <w:rPr>
                <w:rFonts w:ascii="Times New Roman" w:hAnsi="Times New Roman" w:eastAsia="Times New Roman" w:cs="Times New Roman"/>
                <w:spacing w:val="7"/>
              </w:rPr>
              <w:t>110</w:t>
            </w:r>
            <w:r>
              <w:rPr>
                <w:rFonts w:ascii="Times New Roman" w:hAnsi="Times New Roman" w:eastAsia="Times New Roman" w:cs="Times New Roman"/>
              </w:rPr>
              <w:t>kV</w:t>
            </w:r>
            <w:r>
              <w:rPr>
                <w:rFonts w:ascii="Times New Roman" w:hAnsi="Times New Roman" w:eastAsia="Times New Roman" w:cs="Times New Roman"/>
                <w:spacing w:val="-14"/>
              </w:rPr>
              <w:t xml:space="preserve"> </w:t>
            </w:r>
            <w:r>
              <w:rPr>
                <w:spacing w:val="7"/>
              </w:rPr>
              <w:t>接入</w:t>
            </w:r>
            <w:r>
              <w:rPr>
                <w:rFonts w:ascii="Times New Roman" w:hAnsi="Times New Roman" w:eastAsia="Times New Roman" w:cs="Times New Roman"/>
                <w:spacing w:val="7"/>
              </w:rPr>
              <w:t>220</w:t>
            </w:r>
            <w:r>
              <w:rPr>
                <w:rFonts w:ascii="Times New Roman" w:hAnsi="Times New Roman" w:eastAsia="Times New Roman" w:cs="Times New Roman"/>
              </w:rPr>
              <w:t>kV</w:t>
            </w:r>
            <w:r>
              <w:rPr>
                <w:rFonts w:ascii="Times New Roman" w:hAnsi="Times New Roman" w:eastAsia="Times New Roman" w:cs="Times New Roman"/>
                <w:spacing w:val="-7"/>
              </w:rPr>
              <w:t xml:space="preserve"> </w:t>
            </w:r>
            <w:r>
              <w:rPr>
                <w:spacing w:val="7"/>
              </w:rPr>
              <w:t>芳华变线路西侧</w:t>
            </w:r>
            <w:r>
              <w:rPr>
                <w:spacing w:val="8"/>
              </w:rPr>
              <w:t>新华村菜地临时看护房</w:t>
            </w:r>
          </w:p>
        </w:tc>
        <w:tc>
          <w:tcPr>
            <w:tcW w:w="1165" w:type="dxa"/>
            <w:vAlign w:val="top"/>
          </w:tcPr>
          <w:p w14:paraId="1B8072EA">
            <w:pPr>
              <w:spacing w:before="277"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0.49</w:t>
            </w:r>
          </w:p>
        </w:tc>
        <w:tc>
          <w:tcPr>
            <w:tcW w:w="1396" w:type="dxa"/>
            <w:vAlign w:val="top"/>
          </w:tcPr>
          <w:p w14:paraId="35AD8B61">
            <w:pPr>
              <w:spacing w:before="277"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0.0259</w:t>
            </w:r>
          </w:p>
        </w:tc>
      </w:tr>
      <w:tr w14:paraId="12F4B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896" w:type="dxa"/>
            <w:vAlign w:val="top"/>
          </w:tcPr>
          <w:p w14:paraId="2FDB6020">
            <w:pPr>
              <w:pStyle w:val="6"/>
              <w:spacing w:before="107" w:line="284" w:lineRule="auto"/>
              <w:ind w:left="269" w:right="131" w:hanging="130"/>
              <w:rPr>
                <w:rFonts w:ascii="Times New Roman" w:hAnsi="Times New Roman" w:eastAsia="Times New Roman" w:cs="Times New Roman"/>
              </w:rPr>
            </w:pPr>
            <w:r>
              <w:rPr>
                <w:spacing w:val="6"/>
              </w:rPr>
              <w:t>补充监</w:t>
            </w:r>
            <w:r>
              <w:t>测</w:t>
            </w:r>
            <w:r>
              <w:rPr>
                <w:spacing w:val="-21"/>
              </w:rPr>
              <w:t xml:space="preserve"> </w:t>
            </w:r>
            <w:r>
              <w:rPr>
                <w:rFonts w:ascii="Times New Roman" w:hAnsi="Times New Roman" w:eastAsia="Times New Roman" w:cs="Times New Roman"/>
              </w:rPr>
              <w:t>1</w:t>
            </w:r>
          </w:p>
        </w:tc>
        <w:tc>
          <w:tcPr>
            <w:tcW w:w="1299" w:type="dxa"/>
            <w:vMerge w:val="continue"/>
            <w:tcBorders>
              <w:top w:val="nil"/>
              <w:bottom w:val="nil"/>
            </w:tcBorders>
            <w:vAlign w:val="top"/>
          </w:tcPr>
          <w:p w14:paraId="1E25D3A6">
            <w:pPr>
              <w:rPr>
                <w:rFonts w:ascii="Arial"/>
                <w:sz w:val="21"/>
              </w:rPr>
            </w:pPr>
          </w:p>
        </w:tc>
        <w:tc>
          <w:tcPr>
            <w:tcW w:w="3682" w:type="dxa"/>
            <w:vAlign w:val="top"/>
          </w:tcPr>
          <w:p w14:paraId="7D6B9A04">
            <w:pPr>
              <w:pStyle w:val="6"/>
              <w:spacing w:before="187" w:line="227" w:lineRule="auto"/>
              <w:ind w:left="68"/>
            </w:pPr>
            <w:r>
              <w:rPr>
                <w:spacing w:val="7"/>
              </w:rPr>
              <w:t>拟建</w:t>
            </w:r>
            <w:r>
              <w:rPr>
                <w:spacing w:val="-42"/>
              </w:rPr>
              <w:t xml:space="preserve"> </w:t>
            </w:r>
            <w:r>
              <w:rPr>
                <w:rFonts w:ascii="Times New Roman" w:hAnsi="Times New Roman" w:eastAsia="Times New Roman" w:cs="Times New Roman"/>
                <w:spacing w:val="7"/>
              </w:rPr>
              <w:t>110</w:t>
            </w:r>
            <w:r>
              <w:rPr>
                <w:rFonts w:ascii="Times New Roman" w:hAnsi="Times New Roman" w:eastAsia="Times New Roman" w:cs="Times New Roman"/>
              </w:rPr>
              <w:t>kV</w:t>
            </w:r>
            <w:r>
              <w:rPr>
                <w:rFonts w:ascii="Times New Roman" w:hAnsi="Times New Roman" w:eastAsia="Times New Roman" w:cs="Times New Roman"/>
                <w:spacing w:val="-14"/>
              </w:rPr>
              <w:t xml:space="preserve"> </w:t>
            </w:r>
            <w:r>
              <w:rPr>
                <w:spacing w:val="7"/>
              </w:rPr>
              <w:t>接入</w:t>
            </w:r>
            <w:r>
              <w:rPr>
                <w:rFonts w:ascii="Times New Roman" w:hAnsi="Times New Roman" w:eastAsia="Times New Roman" w:cs="Times New Roman"/>
                <w:spacing w:val="7"/>
              </w:rPr>
              <w:t>220</w:t>
            </w:r>
            <w:r>
              <w:rPr>
                <w:rFonts w:ascii="Times New Roman" w:hAnsi="Times New Roman" w:eastAsia="Times New Roman" w:cs="Times New Roman"/>
              </w:rPr>
              <w:t>kV</w:t>
            </w:r>
            <w:r>
              <w:rPr>
                <w:rFonts w:ascii="Times New Roman" w:hAnsi="Times New Roman" w:eastAsia="Times New Roman" w:cs="Times New Roman"/>
                <w:spacing w:val="-7"/>
              </w:rPr>
              <w:t xml:space="preserve"> </w:t>
            </w:r>
            <w:r>
              <w:rPr>
                <w:spacing w:val="7"/>
              </w:rPr>
              <w:t>芳华变线路北侧</w:t>
            </w:r>
          </w:p>
          <w:p w14:paraId="7F47C5FD">
            <w:pPr>
              <w:pStyle w:val="6"/>
              <w:spacing w:before="24" w:line="228" w:lineRule="auto"/>
              <w:ind w:left="502"/>
            </w:pPr>
            <w:r>
              <w:rPr>
                <w:spacing w:val="5"/>
              </w:rPr>
              <w:t>临时看护房（</w:t>
            </w:r>
            <w:r>
              <w:rPr>
                <w:rFonts w:ascii="Times New Roman" w:hAnsi="Times New Roman" w:eastAsia="Times New Roman" w:cs="Times New Roman"/>
              </w:rPr>
              <w:t>AZ</w:t>
            </w:r>
            <w:r>
              <w:rPr>
                <w:rFonts w:ascii="Times New Roman" w:hAnsi="Times New Roman" w:eastAsia="Times New Roman" w:cs="Times New Roman"/>
                <w:spacing w:val="5"/>
              </w:rPr>
              <w:t>1-</w:t>
            </w:r>
            <w:r>
              <w:rPr>
                <w:rFonts w:ascii="Times New Roman" w:hAnsi="Times New Roman" w:eastAsia="Times New Roman" w:cs="Times New Roman"/>
                <w:spacing w:val="-23"/>
              </w:rPr>
              <w:t xml:space="preserve"> </w:t>
            </w:r>
            <w:r>
              <w:rPr>
                <w:rFonts w:ascii="Times New Roman" w:hAnsi="Times New Roman" w:eastAsia="Times New Roman" w:cs="Times New Roman"/>
                <w:spacing w:val="5"/>
              </w:rPr>
              <w:t xml:space="preserve">1 </w:t>
            </w:r>
            <w:r>
              <w:rPr>
                <w:spacing w:val="5"/>
              </w:rPr>
              <w:t>塔西侧）</w:t>
            </w:r>
          </w:p>
        </w:tc>
        <w:tc>
          <w:tcPr>
            <w:tcW w:w="1165" w:type="dxa"/>
            <w:vAlign w:val="top"/>
          </w:tcPr>
          <w:p w14:paraId="0267F4EA">
            <w:pPr>
              <w:spacing w:line="241" w:lineRule="auto"/>
              <w:rPr>
                <w:rFonts w:ascii="Arial"/>
                <w:sz w:val="21"/>
              </w:rPr>
            </w:pPr>
          </w:p>
          <w:p w14:paraId="10FEAD45">
            <w:pPr>
              <w:spacing w:before="57" w:line="195" w:lineRule="auto"/>
              <w:ind w:left="42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1.52</w:t>
            </w:r>
          </w:p>
        </w:tc>
        <w:tc>
          <w:tcPr>
            <w:tcW w:w="1396" w:type="dxa"/>
            <w:vAlign w:val="top"/>
          </w:tcPr>
          <w:p w14:paraId="033A556C">
            <w:pPr>
              <w:spacing w:line="241" w:lineRule="auto"/>
              <w:rPr>
                <w:rFonts w:ascii="Arial"/>
                <w:sz w:val="21"/>
              </w:rPr>
            </w:pPr>
          </w:p>
          <w:p w14:paraId="605FE575">
            <w:pPr>
              <w:spacing w:before="57"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0.0380</w:t>
            </w:r>
          </w:p>
        </w:tc>
      </w:tr>
      <w:tr w14:paraId="55944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896" w:type="dxa"/>
            <w:vAlign w:val="top"/>
          </w:tcPr>
          <w:p w14:paraId="6EA7452B">
            <w:pPr>
              <w:pStyle w:val="6"/>
              <w:spacing w:before="107" w:line="285" w:lineRule="auto"/>
              <w:ind w:left="269" w:right="131" w:hanging="130"/>
              <w:rPr>
                <w:rFonts w:ascii="Times New Roman" w:hAnsi="Times New Roman" w:eastAsia="Times New Roman" w:cs="Times New Roman"/>
              </w:rPr>
            </w:pPr>
            <w:r>
              <w:rPr>
                <w:spacing w:val="6"/>
              </w:rPr>
              <w:t>补充监</w:t>
            </w:r>
            <w:r>
              <w:t>测</w:t>
            </w:r>
            <w:r>
              <w:rPr>
                <w:spacing w:val="-41"/>
              </w:rPr>
              <w:t xml:space="preserve"> </w:t>
            </w:r>
            <w:r>
              <w:rPr>
                <w:rFonts w:ascii="Times New Roman" w:hAnsi="Times New Roman" w:eastAsia="Times New Roman" w:cs="Times New Roman"/>
              </w:rPr>
              <w:t>2</w:t>
            </w:r>
          </w:p>
        </w:tc>
        <w:tc>
          <w:tcPr>
            <w:tcW w:w="1299" w:type="dxa"/>
            <w:vMerge w:val="continue"/>
            <w:tcBorders>
              <w:top w:val="nil"/>
            </w:tcBorders>
            <w:vAlign w:val="top"/>
          </w:tcPr>
          <w:p w14:paraId="6382A2E3">
            <w:pPr>
              <w:rPr>
                <w:rFonts w:ascii="Arial"/>
                <w:sz w:val="21"/>
              </w:rPr>
            </w:pPr>
          </w:p>
        </w:tc>
        <w:tc>
          <w:tcPr>
            <w:tcW w:w="3682" w:type="dxa"/>
            <w:vAlign w:val="top"/>
          </w:tcPr>
          <w:p w14:paraId="48D11E7D">
            <w:pPr>
              <w:pStyle w:val="6"/>
              <w:spacing w:before="186" w:line="227" w:lineRule="auto"/>
              <w:ind w:left="68"/>
            </w:pPr>
            <w:r>
              <w:rPr>
                <w:spacing w:val="7"/>
              </w:rPr>
              <w:t>拟建</w:t>
            </w:r>
            <w:r>
              <w:rPr>
                <w:spacing w:val="-42"/>
              </w:rPr>
              <w:t xml:space="preserve"> </w:t>
            </w:r>
            <w:r>
              <w:rPr>
                <w:rFonts w:ascii="Times New Roman" w:hAnsi="Times New Roman" w:eastAsia="Times New Roman" w:cs="Times New Roman"/>
                <w:spacing w:val="7"/>
              </w:rPr>
              <w:t>110</w:t>
            </w:r>
            <w:r>
              <w:rPr>
                <w:rFonts w:ascii="Times New Roman" w:hAnsi="Times New Roman" w:eastAsia="Times New Roman" w:cs="Times New Roman"/>
              </w:rPr>
              <w:t>kV</w:t>
            </w:r>
            <w:r>
              <w:rPr>
                <w:rFonts w:ascii="Times New Roman" w:hAnsi="Times New Roman" w:eastAsia="Times New Roman" w:cs="Times New Roman"/>
                <w:spacing w:val="-14"/>
              </w:rPr>
              <w:t xml:space="preserve"> </w:t>
            </w:r>
            <w:r>
              <w:rPr>
                <w:spacing w:val="7"/>
              </w:rPr>
              <w:t>接入</w:t>
            </w:r>
            <w:r>
              <w:rPr>
                <w:rFonts w:ascii="Times New Roman" w:hAnsi="Times New Roman" w:eastAsia="Times New Roman" w:cs="Times New Roman"/>
                <w:spacing w:val="7"/>
              </w:rPr>
              <w:t>220</w:t>
            </w:r>
            <w:r>
              <w:rPr>
                <w:rFonts w:ascii="Times New Roman" w:hAnsi="Times New Roman" w:eastAsia="Times New Roman" w:cs="Times New Roman"/>
              </w:rPr>
              <w:t>kV</w:t>
            </w:r>
            <w:r>
              <w:rPr>
                <w:rFonts w:ascii="Times New Roman" w:hAnsi="Times New Roman" w:eastAsia="Times New Roman" w:cs="Times New Roman"/>
                <w:spacing w:val="-7"/>
              </w:rPr>
              <w:t xml:space="preserve"> </w:t>
            </w:r>
            <w:r>
              <w:rPr>
                <w:spacing w:val="7"/>
              </w:rPr>
              <w:t>芳华变线路西侧</w:t>
            </w:r>
          </w:p>
          <w:p w14:paraId="183319D9">
            <w:pPr>
              <w:pStyle w:val="6"/>
              <w:spacing w:before="27" w:line="228" w:lineRule="auto"/>
              <w:ind w:left="485"/>
            </w:pPr>
            <w:r>
              <w:rPr>
                <w:spacing w:val="12"/>
              </w:rPr>
              <w:t>临时看护房（</w:t>
            </w:r>
            <w:r>
              <w:rPr>
                <w:rFonts w:ascii="Times New Roman" w:hAnsi="Times New Roman" w:eastAsia="Times New Roman" w:cs="Times New Roman"/>
              </w:rPr>
              <w:t>AZ</w:t>
            </w:r>
            <w:r>
              <w:rPr>
                <w:rFonts w:ascii="Times New Roman" w:hAnsi="Times New Roman" w:eastAsia="Times New Roman" w:cs="Times New Roman"/>
                <w:spacing w:val="12"/>
              </w:rPr>
              <w:t>5</w:t>
            </w:r>
            <w:r>
              <w:rPr>
                <w:spacing w:val="12"/>
              </w:rPr>
              <w:t>塔西南侧）</w:t>
            </w:r>
          </w:p>
        </w:tc>
        <w:tc>
          <w:tcPr>
            <w:tcW w:w="1165" w:type="dxa"/>
            <w:vAlign w:val="top"/>
          </w:tcPr>
          <w:p w14:paraId="3C353C0C">
            <w:pPr>
              <w:spacing w:line="242" w:lineRule="auto"/>
              <w:rPr>
                <w:rFonts w:ascii="Arial"/>
                <w:sz w:val="21"/>
              </w:rPr>
            </w:pPr>
          </w:p>
          <w:p w14:paraId="18043C23">
            <w:pPr>
              <w:spacing w:before="57"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3.84</w:t>
            </w:r>
          </w:p>
        </w:tc>
        <w:tc>
          <w:tcPr>
            <w:tcW w:w="1396" w:type="dxa"/>
            <w:vAlign w:val="top"/>
          </w:tcPr>
          <w:p w14:paraId="5464A650">
            <w:pPr>
              <w:spacing w:line="242" w:lineRule="auto"/>
              <w:rPr>
                <w:rFonts w:ascii="Arial"/>
                <w:sz w:val="21"/>
              </w:rPr>
            </w:pPr>
          </w:p>
          <w:p w14:paraId="43782628">
            <w:pPr>
              <w:spacing w:before="57"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0.0769</w:t>
            </w:r>
          </w:p>
        </w:tc>
      </w:tr>
    </w:tbl>
    <w:p w14:paraId="3F146C5C">
      <w:pPr>
        <w:rPr>
          <w:rFonts w:ascii="Arial"/>
          <w:sz w:val="21"/>
        </w:rPr>
      </w:pPr>
    </w:p>
    <w:p w14:paraId="34BF19D1">
      <w:pPr>
        <w:rPr>
          <w:rFonts w:ascii="Arial" w:hAnsi="Arial" w:eastAsia="Arial" w:cs="Arial"/>
          <w:sz w:val="21"/>
          <w:szCs w:val="21"/>
        </w:rPr>
        <w:sectPr>
          <w:footerReference r:id="rId172" w:type="default"/>
          <w:pgSz w:w="11906" w:h="16839"/>
          <w:pgMar w:top="400" w:right="1431" w:bottom="1147" w:left="1687" w:header="0" w:footer="960" w:gutter="0"/>
          <w:cols w:space="720" w:num="1"/>
        </w:sectPr>
      </w:pPr>
    </w:p>
    <w:p w14:paraId="4071523F">
      <w:pPr>
        <w:spacing w:before="19"/>
      </w:pPr>
    </w:p>
    <w:p w14:paraId="266D2783">
      <w:pPr>
        <w:spacing w:before="19"/>
      </w:pPr>
    </w:p>
    <w:p w14:paraId="1B5927A5">
      <w:pPr>
        <w:spacing w:before="18"/>
      </w:pPr>
    </w:p>
    <w:p w14:paraId="6E60FD10">
      <w:pPr>
        <w:spacing w:before="18"/>
      </w:pPr>
    </w:p>
    <w:tbl>
      <w:tblPr>
        <w:tblStyle w:val="5"/>
        <w:tblW w:w="84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6"/>
        <w:gridCol w:w="1299"/>
        <w:gridCol w:w="3682"/>
        <w:gridCol w:w="1165"/>
        <w:gridCol w:w="1396"/>
      </w:tblGrid>
      <w:tr w14:paraId="4B424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896" w:type="dxa"/>
            <w:vAlign w:val="top"/>
          </w:tcPr>
          <w:p w14:paraId="3F11E1EE">
            <w:pPr>
              <w:pStyle w:val="6"/>
              <w:spacing w:before="108" w:line="286" w:lineRule="auto"/>
              <w:ind w:left="269" w:right="131" w:hanging="130"/>
              <w:rPr>
                <w:rFonts w:ascii="Times New Roman" w:hAnsi="Times New Roman" w:eastAsia="Times New Roman" w:cs="Times New Roman"/>
              </w:rPr>
            </w:pPr>
            <w:r>
              <w:rPr>
                <w:spacing w:val="6"/>
              </w:rPr>
              <w:t>补充监</w:t>
            </w:r>
            <w:r>
              <w:t>测</w:t>
            </w:r>
            <w:r>
              <w:rPr>
                <w:spacing w:val="-42"/>
              </w:rPr>
              <w:t xml:space="preserve"> </w:t>
            </w:r>
            <w:r>
              <w:rPr>
                <w:rFonts w:ascii="Times New Roman" w:hAnsi="Times New Roman" w:eastAsia="Times New Roman" w:cs="Times New Roman"/>
              </w:rPr>
              <w:t>4</w:t>
            </w:r>
          </w:p>
        </w:tc>
        <w:tc>
          <w:tcPr>
            <w:tcW w:w="1299" w:type="dxa"/>
            <w:vAlign w:val="top"/>
          </w:tcPr>
          <w:p w14:paraId="50346C51">
            <w:pPr>
              <w:rPr>
                <w:rFonts w:ascii="Arial"/>
                <w:sz w:val="21"/>
              </w:rPr>
            </w:pPr>
          </w:p>
        </w:tc>
        <w:tc>
          <w:tcPr>
            <w:tcW w:w="3682" w:type="dxa"/>
            <w:vAlign w:val="top"/>
          </w:tcPr>
          <w:p w14:paraId="2C57432B">
            <w:pPr>
              <w:pStyle w:val="6"/>
              <w:spacing w:before="188" w:line="227" w:lineRule="auto"/>
              <w:ind w:left="68"/>
            </w:pPr>
            <w:r>
              <w:rPr>
                <w:spacing w:val="7"/>
              </w:rPr>
              <w:t>拟建</w:t>
            </w:r>
            <w:r>
              <w:rPr>
                <w:spacing w:val="-42"/>
              </w:rPr>
              <w:t xml:space="preserve"> </w:t>
            </w:r>
            <w:r>
              <w:rPr>
                <w:rFonts w:ascii="Times New Roman" w:hAnsi="Times New Roman" w:eastAsia="Times New Roman" w:cs="Times New Roman"/>
                <w:spacing w:val="7"/>
              </w:rPr>
              <w:t>110</w:t>
            </w:r>
            <w:r>
              <w:rPr>
                <w:rFonts w:ascii="Times New Roman" w:hAnsi="Times New Roman" w:eastAsia="Times New Roman" w:cs="Times New Roman"/>
              </w:rPr>
              <w:t>kV</w:t>
            </w:r>
            <w:r>
              <w:rPr>
                <w:rFonts w:ascii="Times New Roman" w:hAnsi="Times New Roman" w:eastAsia="Times New Roman" w:cs="Times New Roman"/>
                <w:spacing w:val="-14"/>
              </w:rPr>
              <w:t xml:space="preserve"> </w:t>
            </w:r>
            <w:r>
              <w:rPr>
                <w:spacing w:val="7"/>
              </w:rPr>
              <w:t>接入</w:t>
            </w:r>
            <w:r>
              <w:rPr>
                <w:rFonts w:ascii="Times New Roman" w:hAnsi="Times New Roman" w:eastAsia="Times New Roman" w:cs="Times New Roman"/>
                <w:spacing w:val="7"/>
              </w:rPr>
              <w:t>220</w:t>
            </w:r>
            <w:r>
              <w:rPr>
                <w:rFonts w:ascii="Times New Roman" w:hAnsi="Times New Roman" w:eastAsia="Times New Roman" w:cs="Times New Roman"/>
              </w:rPr>
              <w:t>kV</w:t>
            </w:r>
            <w:r>
              <w:rPr>
                <w:rFonts w:ascii="Times New Roman" w:hAnsi="Times New Roman" w:eastAsia="Times New Roman" w:cs="Times New Roman"/>
                <w:spacing w:val="-7"/>
              </w:rPr>
              <w:t xml:space="preserve"> </w:t>
            </w:r>
            <w:r>
              <w:rPr>
                <w:spacing w:val="7"/>
              </w:rPr>
              <w:t>芳华变线路北侧</w:t>
            </w:r>
          </w:p>
          <w:p w14:paraId="33630AB8">
            <w:pPr>
              <w:pStyle w:val="6"/>
              <w:spacing w:before="24" w:line="228" w:lineRule="auto"/>
              <w:ind w:left="372"/>
            </w:pPr>
            <w:r>
              <w:rPr>
                <w:spacing w:val="7"/>
              </w:rPr>
              <w:t>临时看护房（</w:t>
            </w:r>
            <w:r>
              <w:rPr>
                <w:rFonts w:ascii="Times New Roman" w:hAnsi="Times New Roman" w:eastAsia="Times New Roman" w:cs="Times New Roman"/>
              </w:rPr>
              <w:t>AZ</w:t>
            </w:r>
            <w:r>
              <w:rPr>
                <w:rFonts w:ascii="Times New Roman" w:hAnsi="Times New Roman" w:eastAsia="Times New Roman" w:cs="Times New Roman"/>
                <w:spacing w:val="7"/>
              </w:rPr>
              <w:t xml:space="preserve">7+1 </w:t>
            </w:r>
            <w:r>
              <w:rPr>
                <w:spacing w:val="7"/>
              </w:rPr>
              <w:t>塔东南侧）</w:t>
            </w:r>
          </w:p>
        </w:tc>
        <w:tc>
          <w:tcPr>
            <w:tcW w:w="1165" w:type="dxa"/>
            <w:vAlign w:val="top"/>
          </w:tcPr>
          <w:p w14:paraId="1EFA74D0">
            <w:pPr>
              <w:spacing w:line="242" w:lineRule="auto"/>
              <w:rPr>
                <w:rFonts w:ascii="Arial"/>
                <w:sz w:val="21"/>
              </w:rPr>
            </w:pPr>
          </w:p>
          <w:p w14:paraId="03C80F53">
            <w:pPr>
              <w:spacing w:before="57" w:line="195" w:lineRule="auto"/>
              <w:ind w:left="42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1.36</w:t>
            </w:r>
          </w:p>
        </w:tc>
        <w:tc>
          <w:tcPr>
            <w:tcW w:w="1396" w:type="dxa"/>
            <w:vAlign w:val="top"/>
          </w:tcPr>
          <w:p w14:paraId="243FAE48">
            <w:pPr>
              <w:spacing w:line="242" w:lineRule="auto"/>
              <w:rPr>
                <w:rFonts w:ascii="Arial"/>
                <w:sz w:val="21"/>
              </w:rPr>
            </w:pPr>
          </w:p>
          <w:p w14:paraId="66AAB047">
            <w:pPr>
              <w:spacing w:before="57"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0.0236</w:t>
            </w:r>
          </w:p>
        </w:tc>
      </w:tr>
      <w:tr w14:paraId="6A044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896" w:type="dxa"/>
            <w:vAlign w:val="top"/>
          </w:tcPr>
          <w:p w14:paraId="0B8D091F">
            <w:pPr>
              <w:spacing w:before="275" w:line="195" w:lineRule="auto"/>
              <w:ind w:left="36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tc>
        <w:tc>
          <w:tcPr>
            <w:tcW w:w="1299" w:type="dxa"/>
            <w:vAlign w:val="top"/>
          </w:tcPr>
          <w:p w14:paraId="48D576E1">
            <w:pPr>
              <w:pStyle w:val="6"/>
              <w:spacing w:before="239" w:line="228" w:lineRule="auto"/>
              <w:ind w:left="236"/>
            </w:pPr>
            <w:r>
              <w:rPr>
                <w:spacing w:val="6"/>
              </w:rPr>
              <w:t>线路终点</w:t>
            </w:r>
          </w:p>
        </w:tc>
        <w:tc>
          <w:tcPr>
            <w:tcW w:w="3682" w:type="dxa"/>
            <w:vAlign w:val="top"/>
          </w:tcPr>
          <w:p w14:paraId="5D9B1AA7">
            <w:pPr>
              <w:pStyle w:val="6"/>
              <w:spacing w:before="83" w:line="227" w:lineRule="auto"/>
              <w:ind w:left="68"/>
              <w:rPr>
                <w:rFonts w:ascii="Times New Roman" w:hAnsi="Times New Roman" w:eastAsia="Times New Roman" w:cs="Times New Roman"/>
              </w:rPr>
            </w:pPr>
            <w:r>
              <w:rPr>
                <w:spacing w:val="3"/>
              </w:rPr>
              <w:t>拟建</w:t>
            </w:r>
            <w:r>
              <w:rPr>
                <w:spacing w:val="-39"/>
              </w:rPr>
              <w:t xml:space="preserve"> </w:t>
            </w:r>
            <w:r>
              <w:rPr>
                <w:rFonts w:ascii="Times New Roman" w:hAnsi="Times New Roman" w:eastAsia="Times New Roman" w:cs="Times New Roman"/>
                <w:spacing w:val="3"/>
              </w:rPr>
              <w:t>220</w:t>
            </w:r>
            <w:r>
              <w:rPr>
                <w:rFonts w:ascii="Times New Roman" w:hAnsi="Times New Roman" w:eastAsia="Times New Roman" w:cs="Times New Roman"/>
              </w:rPr>
              <w:t>kV</w:t>
            </w:r>
            <w:r>
              <w:rPr>
                <w:rFonts w:ascii="Times New Roman" w:hAnsi="Times New Roman" w:eastAsia="Times New Roman" w:cs="Times New Roman"/>
                <w:spacing w:val="17"/>
              </w:rPr>
              <w:t xml:space="preserve"> </w:t>
            </w:r>
            <w:r>
              <w:rPr>
                <w:spacing w:val="3"/>
              </w:rPr>
              <w:t>芳华变站址处（本期</w:t>
            </w:r>
            <w:r>
              <w:rPr>
                <w:spacing w:val="-21"/>
              </w:rPr>
              <w:t xml:space="preserve"> </w:t>
            </w:r>
            <w:r>
              <w:rPr>
                <w:rFonts w:ascii="Times New Roman" w:hAnsi="Times New Roman" w:eastAsia="Times New Roman" w:cs="Times New Roman"/>
                <w:spacing w:val="3"/>
              </w:rPr>
              <w:t>110</w:t>
            </w:r>
            <w:r>
              <w:rPr>
                <w:rFonts w:ascii="Times New Roman" w:hAnsi="Times New Roman" w:eastAsia="Times New Roman" w:cs="Times New Roman"/>
              </w:rPr>
              <w:t>kV</w:t>
            </w:r>
          </w:p>
          <w:p w14:paraId="606343D0">
            <w:pPr>
              <w:pStyle w:val="6"/>
              <w:spacing w:before="65" w:line="228" w:lineRule="auto"/>
              <w:ind w:left="1009"/>
            </w:pPr>
            <w:r>
              <w:rPr>
                <w:spacing w:val="7"/>
              </w:rPr>
              <w:t>线路接入间隔处）</w:t>
            </w:r>
          </w:p>
        </w:tc>
        <w:tc>
          <w:tcPr>
            <w:tcW w:w="1165" w:type="dxa"/>
            <w:vAlign w:val="top"/>
          </w:tcPr>
          <w:p w14:paraId="496BE5B6">
            <w:pPr>
              <w:spacing w:before="275"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0.45</w:t>
            </w:r>
          </w:p>
        </w:tc>
        <w:tc>
          <w:tcPr>
            <w:tcW w:w="1396" w:type="dxa"/>
            <w:vAlign w:val="top"/>
          </w:tcPr>
          <w:p w14:paraId="01140AD6">
            <w:pPr>
              <w:spacing w:before="275"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0.0254</w:t>
            </w:r>
          </w:p>
        </w:tc>
      </w:tr>
      <w:tr w14:paraId="4F654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896" w:type="dxa"/>
            <w:vAlign w:val="top"/>
          </w:tcPr>
          <w:p w14:paraId="3295E99D">
            <w:pPr>
              <w:spacing w:before="277" w:line="195" w:lineRule="auto"/>
              <w:ind w:left="36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13</w:t>
            </w:r>
          </w:p>
        </w:tc>
        <w:tc>
          <w:tcPr>
            <w:tcW w:w="1299" w:type="dxa"/>
            <w:vMerge w:val="restart"/>
            <w:tcBorders>
              <w:bottom w:val="nil"/>
            </w:tcBorders>
            <w:vAlign w:val="top"/>
          </w:tcPr>
          <w:p w14:paraId="72494A8E">
            <w:pPr>
              <w:spacing w:line="439" w:lineRule="auto"/>
              <w:rPr>
                <w:rFonts w:ascii="Arial"/>
                <w:sz w:val="21"/>
              </w:rPr>
            </w:pPr>
          </w:p>
          <w:p w14:paraId="0FDE6CC9">
            <w:pPr>
              <w:pStyle w:val="6"/>
              <w:spacing w:before="65" w:line="288" w:lineRule="auto"/>
              <w:ind w:left="119" w:right="114" w:firstLine="16"/>
            </w:pPr>
            <w:r>
              <w:t>拟建</w:t>
            </w:r>
            <w:r>
              <w:rPr>
                <w:spacing w:val="-20"/>
              </w:rPr>
              <w:t xml:space="preserve"> </w:t>
            </w:r>
            <w:r>
              <w:rPr>
                <w:rFonts w:ascii="Times New Roman" w:hAnsi="Times New Roman" w:eastAsia="Times New Roman" w:cs="Times New Roman"/>
              </w:rPr>
              <w:t>110kV</w:t>
            </w:r>
            <w:r>
              <w:rPr>
                <w:spacing w:val="3"/>
              </w:rPr>
              <w:t>线路</w:t>
            </w:r>
            <w:r>
              <w:rPr>
                <w:spacing w:val="-39"/>
              </w:rPr>
              <w:t xml:space="preserve"> </w:t>
            </w:r>
            <w:r>
              <w:rPr>
                <w:rFonts w:ascii="Times New Roman" w:hAnsi="Times New Roman" w:eastAsia="Times New Roman" w:cs="Times New Roman"/>
                <w:spacing w:val="3"/>
              </w:rPr>
              <w:t>T</w:t>
            </w:r>
            <w:r>
              <w:rPr>
                <w:rFonts w:ascii="Times New Roman" w:hAnsi="Times New Roman" w:eastAsia="Times New Roman" w:cs="Times New Roman"/>
                <w:spacing w:val="10"/>
              </w:rPr>
              <w:t xml:space="preserve"> </w:t>
            </w:r>
            <w:r>
              <w:rPr>
                <w:spacing w:val="3"/>
              </w:rPr>
              <w:t>接芳</w:t>
            </w:r>
          </w:p>
          <w:p w14:paraId="60850E78">
            <w:pPr>
              <w:pStyle w:val="6"/>
              <w:spacing w:before="3" w:line="287" w:lineRule="auto"/>
              <w:ind w:left="135" w:right="124" w:hanging="6"/>
              <w:jc w:val="both"/>
            </w:pPr>
            <w:r>
              <w:rPr>
                <w:spacing w:val="7"/>
              </w:rPr>
              <w:t>华变～吉冲</w:t>
            </w:r>
            <w:r>
              <w:t>变</w:t>
            </w:r>
            <w:r>
              <w:rPr>
                <w:spacing w:val="-19"/>
              </w:rPr>
              <w:t xml:space="preserve"> </w:t>
            </w:r>
            <w:r>
              <w:rPr>
                <w:rFonts w:ascii="Times New Roman" w:hAnsi="Times New Roman" w:eastAsia="Times New Roman" w:cs="Times New Roman"/>
              </w:rPr>
              <w:t>110kV</w:t>
            </w:r>
            <w:r>
              <w:t>Ⅱ</w:t>
            </w:r>
            <w:r>
              <w:rPr>
                <w:spacing w:val="6"/>
              </w:rPr>
              <w:t>回线路沿线</w:t>
            </w:r>
          </w:p>
          <w:p w14:paraId="5A407DEA">
            <w:pPr>
              <w:pStyle w:val="6"/>
              <w:spacing w:before="1" w:line="289" w:lineRule="auto"/>
              <w:ind w:left="340" w:right="124" w:hanging="187"/>
            </w:pPr>
            <w:r>
              <w:rPr>
                <w:spacing w:val="3"/>
              </w:rPr>
              <w:t>电磁环境保</w:t>
            </w:r>
            <w:r>
              <w:rPr>
                <w:spacing w:val="6"/>
              </w:rPr>
              <w:t>护目标</w:t>
            </w:r>
          </w:p>
        </w:tc>
        <w:tc>
          <w:tcPr>
            <w:tcW w:w="3682" w:type="dxa"/>
            <w:vAlign w:val="top"/>
          </w:tcPr>
          <w:p w14:paraId="6637EC52">
            <w:pPr>
              <w:pStyle w:val="6"/>
              <w:spacing w:before="86" w:line="275" w:lineRule="auto"/>
              <w:ind w:left="216" w:right="127" w:hanging="81"/>
            </w:pPr>
            <w:r>
              <w:rPr>
                <w:spacing w:val="5"/>
              </w:rPr>
              <w:t>拟建</w:t>
            </w:r>
            <w:r>
              <w:rPr>
                <w:spacing w:val="-16"/>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16"/>
                <w:w w:val="101"/>
              </w:rPr>
              <w:t xml:space="preserve"> </w:t>
            </w:r>
            <w:r>
              <w:rPr>
                <w:spacing w:val="5"/>
              </w:rPr>
              <w:t>线路</w:t>
            </w:r>
            <w:r>
              <w:rPr>
                <w:spacing w:val="-39"/>
              </w:rPr>
              <w:t xml:space="preserve"> </w:t>
            </w:r>
            <w:r>
              <w:rPr>
                <w:rFonts w:ascii="Times New Roman" w:hAnsi="Times New Roman" w:eastAsia="Times New Roman" w:cs="Times New Roman"/>
                <w:spacing w:val="5"/>
              </w:rPr>
              <w:t xml:space="preserve">T </w:t>
            </w:r>
            <w:r>
              <w:rPr>
                <w:spacing w:val="5"/>
              </w:rPr>
              <w:t>接芳华变～吉冲变</w:t>
            </w:r>
            <w:r>
              <w:rPr>
                <w:rFonts w:ascii="Times New Roman" w:hAnsi="Times New Roman" w:eastAsia="Times New Roman" w:cs="Times New Roman"/>
                <w:spacing w:val="7"/>
              </w:rPr>
              <w:t>110</w:t>
            </w:r>
            <w:r>
              <w:rPr>
                <w:rFonts w:ascii="Times New Roman" w:hAnsi="Times New Roman" w:eastAsia="Times New Roman" w:cs="Times New Roman"/>
              </w:rPr>
              <w:t>kV</w:t>
            </w:r>
            <w:r>
              <w:rPr>
                <w:spacing w:val="7"/>
              </w:rPr>
              <w:t>Ⅱ回线路南侧菜地临时看护房</w:t>
            </w:r>
          </w:p>
        </w:tc>
        <w:tc>
          <w:tcPr>
            <w:tcW w:w="1165" w:type="dxa"/>
            <w:vAlign w:val="top"/>
          </w:tcPr>
          <w:p w14:paraId="1C0757B8">
            <w:pPr>
              <w:spacing w:before="277"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0.51</w:t>
            </w:r>
          </w:p>
        </w:tc>
        <w:tc>
          <w:tcPr>
            <w:tcW w:w="1396" w:type="dxa"/>
            <w:vAlign w:val="top"/>
          </w:tcPr>
          <w:p w14:paraId="68AD91FC">
            <w:pPr>
              <w:spacing w:before="277"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0.0250</w:t>
            </w:r>
          </w:p>
        </w:tc>
      </w:tr>
      <w:tr w14:paraId="20F16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896" w:type="dxa"/>
            <w:vAlign w:val="top"/>
          </w:tcPr>
          <w:p w14:paraId="70756440">
            <w:pPr>
              <w:spacing w:before="276" w:line="195" w:lineRule="auto"/>
              <w:ind w:left="36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14</w:t>
            </w:r>
          </w:p>
        </w:tc>
        <w:tc>
          <w:tcPr>
            <w:tcW w:w="1299" w:type="dxa"/>
            <w:vMerge w:val="continue"/>
            <w:tcBorders>
              <w:top w:val="nil"/>
              <w:bottom w:val="nil"/>
            </w:tcBorders>
            <w:vAlign w:val="top"/>
          </w:tcPr>
          <w:p w14:paraId="5B6FB24E">
            <w:pPr>
              <w:rPr>
                <w:rFonts w:ascii="Arial"/>
                <w:sz w:val="21"/>
              </w:rPr>
            </w:pPr>
          </w:p>
        </w:tc>
        <w:tc>
          <w:tcPr>
            <w:tcW w:w="3682" w:type="dxa"/>
            <w:vAlign w:val="top"/>
          </w:tcPr>
          <w:p w14:paraId="7065AA3E">
            <w:pPr>
              <w:pStyle w:val="6"/>
              <w:spacing w:before="83" w:line="276" w:lineRule="auto"/>
              <w:ind w:left="216" w:right="127" w:hanging="81"/>
            </w:pPr>
            <w:r>
              <w:rPr>
                <w:spacing w:val="5"/>
              </w:rPr>
              <w:t>拟建</w:t>
            </w:r>
            <w:r>
              <w:rPr>
                <w:spacing w:val="-16"/>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16"/>
                <w:w w:val="101"/>
              </w:rPr>
              <w:t xml:space="preserve"> </w:t>
            </w:r>
            <w:r>
              <w:rPr>
                <w:spacing w:val="5"/>
              </w:rPr>
              <w:t>线路</w:t>
            </w:r>
            <w:r>
              <w:rPr>
                <w:spacing w:val="-39"/>
              </w:rPr>
              <w:t xml:space="preserve"> </w:t>
            </w:r>
            <w:r>
              <w:rPr>
                <w:rFonts w:ascii="Times New Roman" w:hAnsi="Times New Roman" w:eastAsia="Times New Roman" w:cs="Times New Roman"/>
                <w:spacing w:val="5"/>
              </w:rPr>
              <w:t xml:space="preserve">T </w:t>
            </w:r>
            <w:r>
              <w:rPr>
                <w:spacing w:val="5"/>
              </w:rPr>
              <w:t>接芳华变～吉冲变</w:t>
            </w:r>
            <w:r>
              <w:rPr>
                <w:rFonts w:ascii="Times New Roman" w:hAnsi="Times New Roman" w:eastAsia="Times New Roman" w:cs="Times New Roman"/>
                <w:spacing w:val="7"/>
              </w:rPr>
              <w:t>110</w:t>
            </w:r>
            <w:r>
              <w:rPr>
                <w:rFonts w:ascii="Times New Roman" w:hAnsi="Times New Roman" w:eastAsia="Times New Roman" w:cs="Times New Roman"/>
              </w:rPr>
              <w:t>kV</w:t>
            </w:r>
            <w:r>
              <w:rPr>
                <w:spacing w:val="7"/>
              </w:rPr>
              <w:t>Ⅱ回线路西侧大棚临时看护房</w:t>
            </w:r>
          </w:p>
        </w:tc>
        <w:tc>
          <w:tcPr>
            <w:tcW w:w="1165" w:type="dxa"/>
            <w:vAlign w:val="top"/>
          </w:tcPr>
          <w:p w14:paraId="4322D840">
            <w:pPr>
              <w:spacing w:before="276"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0.46</w:t>
            </w:r>
          </w:p>
        </w:tc>
        <w:tc>
          <w:tcPr>
            <w:tcW w:w="1396" w:type="dxa"/>
            <w:vAlign w:val="top"/>
          </w:tcPr>
          <w:p w14:paraId="6466C7DF">
            <w:pPr>
              <w:spacing w:before="276"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0.0249</w:t>
            </w:r>
          </w:p>
        </w:tc>
      </w:tr>
      <w:tr w14:paraId="723C0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896" w:type="dxa"/>
            <w:vAlign w:val="top"/>
          </w:tcPr>
          <w:p w14:paraId="13FC2D07">
            <w:pPr>
              <w:spacing w:before="277" w:line="195" w:lineRule="auto"/>
              <w:ind w:left="36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tc>
        <w:tc>
          <w:tcPr>
            <w:tcW w:w="1299" w:type="dxa"/>
            <w:vMerge w:val="continue"/>
            <w:tcBorders>
              <w:top w:val="nil"/>
              <w:bottom w:val="nil"/>
            </w:tcBorders>
            <w:vAlign w:val="top"/>
          </w:tcPr>
          <w:p w14:paraId="0CC82D3C">
            <w:pPr>
              <w:rPr>
                <w:rFonts w:ascii="Arial"/>
                <w:sz w:val="21"/>
              </w:rPr>
            </w:pPr>
          </w:p>
        </w:tc>
        <w:tc>
          <w:tcPr>
            <w:tcW w:w="3682" w:type="dxa"/>
            <w:vAlign w:val="top"/>
          </w:tcPr>
          <w:p w14:paraId="17A0FF83">
            <w:pPr>
              <w:pStyle w:val="6"/>
              <w:spacing w:before="86" w:line="275" w:lineRule="auto"/>
              <w:ind w:left="424" w:right="127" w:hanging="289"/>
            </w:pPr>
            <w:r>
              <w:rPr>
                <w:spacing w:val="5"/>
              </w:rPr>
              <w:t>拟建</w:t>
            </w:r>
            <w:r>
              <w:rPr>
                <w:spacing w:val="-16"/>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16"/>
                <w:w w:val="101"/>
              </w:rPr>
              <w:t xml:space="preserve"> </w:t>
            </w:r>
            <w:r>
              <w:rPr>
                <w:spacing w:val="5"/>
              </w:rPr>
              <w:t>线路</w:t>
            </w:r>
            <w:r>
              <w:rPr>
                <w:spacing w:val="-39"/>
              </w:rPr>
              <w:t xml:space="preserve"> </w:t>
            </w:r>
            <w:r>
              <w:rPr>
                <w:rFonts w:ascii="Times New Roman" w:hAnsi="Times New Roman" w:eastAsia="Times New Roman" w:cs="Times New Roman"/>
                <w:spacing w:val="5"/>
              </w:rPr>
              <w:t xml:space="preserve">T </w:t>
            </w:r>
            <w:r>
              <w:rPr>
                <w:spacing w:val="5"/>
              </w:rPr>
              <w:t>接芳华变～吉冲变</w:t>
            </w:r>
            <w:r>
              <w:rPr>
                <w:rFonts w:ascii="Times New Roman" w:hAnsi="Times New Roman" w:eastAsia="Times New Roman" w:cs="Times New Roman"/>
                <w:spacing w:val="7"/>
              </w:rPr>
              <w:t>110</w:t>
            </w:r>
            <w:r>
              <w:rPr>
                <w:rFonts w:ascii="Times New Roman" w:hAnsi="Times New Roman" w:eastAsia="Times New Roman" w:cs="Times New Roman"/>
              </w:rPr>
              <w:t>kV</w:t>
            </w:r>
            <w:r>
              <w:rPr>
                <w:spacing w:val="7"/>
              </w:rPr>
              <w:t>Ⅱ回线路东侧临时看护房</w:t>
            </w:r>
          </w:p>
        </w:tc>
        <w:tc>
          <w:tcPr>
            <w:tcW w:w="1165" w:type="dxa"/>
            <w:vAlign w:val="top"/>
          </w:tcPr>
          <w:p w14:paraId="0E94629B">
            <w:pPr>
              <w:spacing w:before="277"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0.47</w:t>
            </w:r>
          </w:p>
        </w:tc>
        <w:tc>
          <w:tcPr>
            <w:tcW w:w="1396" w:type="dxa"/>
            <w:vAlign w:val="top"/>
          </w:tcPr>
          <w:p w14:paraId="7914CB8E">
            <w:pPr>
              <w:spacing w:before="277"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0.0246</w:t>
            </w:r>
          </w:p>
        </w:tc>
      </w:tr>
      <w:tr w14:paraId="226247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trPr>
        <w:tc>
          <w:tcPr>
            <w:tcW w:w="896" w:type="dxa"/>
            <w:vAlign w:val="top"/>
          </w:tcPr>
          <w:p w14:paraId="5BB92880">
            <w:pPr>
              <w:pStyle w:val="6"/>
              <w:spacing w:before="243" w:line="290" w:lineRule="auto"/>
              <w:ind w:left="269" w:right="131" w:hanging="130"/>
              <w:rPr>
                <w:rFonts w:ascii="Times New Roman" w:hAnsi="Times New Roman" w:eastAsia="Times New Roman" w:cs="Times New Roman"/>
              </w:rPr>
            </w:pPr>
            <w:r>
              <w:rPr>
                <w:spacing w:val="6"/>
              </w:rPr>
              <w:t>补充监</w:t>
            </w:r>
            <w:r>
              <w:t>测</w:t>
            </w:r>
            <w:r>
              <w:rPr>
                <w:spacing w:val="-37"/>
              </w:rPr>
              <w:t xml:space="preserve"> </w:t>
            </w:r>
            <w:r>
              <w:rPr>
                <w:rFonts w:ascii="Times New Roman" w:hAnsi="Times New Roman" w:eastAsia="Times New Roman" w:cs="Times New Roman"/>
              </w:rPr>
              <w:t>3</w:t>
            </w:r>
          </w:p>
        </w:tc>
        <w:tc>
          <w:tcPr>
            <w:tcW w:w="1299" w:type="dxa"/>
            <w:vMerge w:val="continue"/>
            <w:tcBorders>
              <w:top w:val="nil"/>
            </w:tcBorders>
            <w:vAlign w:val="top"/>
          </w:tcPr>
          <w:p w14:paraId="28FA9262">
            <w:pPr>
              <w:rPr>
                <w:rFonts w:ascii="Arial"/>
                <w:sz w:val="21"/>
              </w:rPr>
            </w:pPr>
          </w:p>
        </w:tc>
        <w:tc>
          <w:tcPr>
            <w:tcW w:w="3682" w:type="dxa"/>
            <w:vAlign w:val="top"/>
          </w:tcPr>
          <w:p w14:paraId="5FAA9889">
            <w:pPr>
              <w:pStyle w:val="6"/>
              <w:spacing w:before="187" w:line="227" w:lineRule="auto"/>
              <w:ind w:left="135"/>
            </w:pPr>
            <w:r>
              <w:rPr>
                <w:spacing w:val="5"/>
              </w:rPr>
              <w:t>拟建</w:t>
            </w:r>
            <w:r>
              <w:rPr>
                <w:spacing w:val="-16"/>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16"/>
                <w:w w:val="101"/>
              </w:rPr>
              <w:t xml:space="preserve"> </w:t>
            </w:r>
            <w:r>
              <w:rPr>
                <w:spacing w:val="5"/>
              </w:rPr>
              <w:t>线路</w:t>
            </w:r>
            <w:r>
              <w:rPr>
                <w:spacing w:val="-39"/>
              </w:rPr>
              <w:t xml:space="preserve"> </w:t>
            </w:r>
            <w:r>
              <w:rPr>
                <w:rFonts w:ascii="Times New Roman" w:hAnsi="Times New Roman" w:eastAsia="Times New Roman" w:cs="Times New Roman"/>
                <w:spacing w:val="5"/>
              </w:rPr>
              <w:t xml:space="preserve">T </w:t>
            </w:r>
            <w:r>
              <w:rPr>
                <w:spacing w:val="5"/>
              </w:rPr>
              <w:t>接芳华变～吉冲变</w:t>
            </w:r>
          </w:p>
          <w:p w14:paraId="65F10586">
            <w:pPr>
              <w:pStyle w:val="6"/>
              <w:spacing w:before="25" w:line="228" w:lineRule="auto"/>
              <w:ind w:left="84"/>
              <w:rPr>
                <w:rFonts w:ascii="Times New Roman" w:hAnsi="Times New Roman" w:eastAsia="Times New Roman" w:cs="Times New Roman"/>
              </w:rPr>
            </w:pPr>
            <w:r>
              <w:rPr>
                <w:rFonts w:ascii="Times New Roman" w:hAnsi="Times New Roman" w:eastAsia="Times New Roman" w:cs="Times New Roman"/>
                <w:spacing w:val="7"/>
              </w:rPr>
              <w:t>110</w:t>
            </w:r>
            <w:r>
              <w:rPr>
                <w:rFonts w:ascii="Times New Roman" w:hAnsi="Times New Roman" w:eastAsia="Times New Roman" w:cs="Times New Roman"/>
              </w:rPr>
              <w:t>kV</w:t>
            </w:r>
            <w:r>
              <w:rPr>
                <w:rFonts w:ascii="Times New Roman" w:hAnsi="Times New Roman" w:eastAsia="Times New Roman" w:cs="Times New Roman"/>
                <w:spacing w:val="7"/>
              </w:rPr>
              <w:t>Ⅱ</w:t>
            </w:r>
            <w:r>
              <w:rPr>
                <w:spacing w:val="7"/>
              </w:rPr>
              <w:t>回线路西侧临时看护房（</w:t>
            </w:r>
            <w:r>
              <w:rPr>
                <w:rFonts w:ascii="Times New Roman" w:hAnsi="Times New Roman" w:eastAsia="Times New Roman" w:cs="Times New Roman"/>
              </w:rPr>
              <w:t>BZ</w:t>
            </w:r>
            <w:r>
              <w:rPr>
                <w:rFonts w:ascii="Times New Roman" w:hAnsi="Times New Roman" w:eastAsia="Times New Roman" w:cs="Times New Roman"/>
                <w:spacing w:val="7"/>
              </w:rPr>
              <w:t>7G</w:t>
            </w:r>
          </w:p>
          <w:p w14:paraId="047A3D4D">
            <w:pPr>
              <w:pStyle w:val="6"/>
              <w:spacing w:before="24" w:line="228" w:lineRule="auto"/>
              <w:ind w:left="1320"/>
            </w:pPr>
            <w:r>
              <w:rPr>
                <w:spacing w:val="5"/>
              </w:rPr>
              <w:t>塔西南侧）</w:t>
            </w:r>
          </w:p>
        </w:tc>
        <w:tc>
          <w:tcPr>
            <w:tcW w:w="1165" w:type="dxa"/>
            <w:vAlign w:val="top"/>
          </w:tcPr>
          <w:p w14:paraId="364AC5ED">
            <w:pPr>
              <w:spacing w:line="377" w:lineRule="auto"/>
              <w:rPr>
                <w:rFonts w:ascii="Arial"/>
                <w:sz w:val="21"/>
              </w:rPr>
            </w:pPr>
          </w:p>
          <w:p w14:paraId="750E5A39">
            <w:pPr>
              <w:spacing w:before="58"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0.58</w:t>
            </w:r>
          </w:p>
        </w:tc>
        <w:tc>
          <w:tcPr>
            <w:tcW w:w="1396" w:type="dxa"/>
            <w:vAlign w:val="top"/>
          </w:tcPr>
          <w:p w14:paraId="295C4C48">
            <w:pPr>
              <w:spacing w:line="377" w:lineRule="auto"/>
              <w:rPr>
                <w:rFonts w:ascii="Arial"/>
                <w:sz w:val="21"/>
              </w:rPr>
            </w:pPr>
          </w:p>
          <w:p w14:paraId="25E64FEC">
            <w:pPr>
              <w:spacing w:before="58"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0.0172</w:t>
            </w:r>
          </w:p>
        </w:tc>
      </w:tr>
      <w:tr w14:paraId="0F443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896" w:type="dxa"/>
            <w:vAlign w:val="top"/>
          </w:tcPr>
          <w:p w14:paraId="2389E5E5">
            <w:pPr>
              <w:spacing w:before="279" w:line="195" w:lineRule="auto"/>
              <w:ind w:left="364"/>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tc>
        <w:tc>
          <w:tcPr>
            <w:tcW w:w="1299" w:type="dxa"/>
            <w:vAlign w:val="top"/>
          </w:tcPr>
          <w:p w14:paraId="536CDA87">
            <w:pPr>
              <w:pStyle w:val="6"/>
              <w:spacing w:before="243" w:line="228" w:lineRule="auto"/>
              <w:ind w:left="236"/>
            </w:pPr>
            <w:r>
              <w:rPr>
                <w:spacing w:val="6"/>
              </w:rPr>
              <w:t>线路终点</w:t>
            </w:r>
          </w:p>
        </w:tc>
        <w:tc>
          <w:tcPr>
            <w:tcW w:w="3682" w:type="dxa"/>
            <w:vAlign w:val="top"/>
          </w:tcPr>
          <w:p w14:paraId="519AAFE4">
            <w:pPr>
              <w:pStyle w:val="6"/>
              <w:spacing w:before="87" w:line="227" w:lineRule="auto"/>
              <w:ind w:left="135"/>
            </w:pPr>
            <w:r>
              <w:rPr>
                <w:spacing w:val="5"/>
              </w:rPr>
              <w:t>拟建</w:t>
            </w:r>
            <w:r>
              <w:rPr>
                <w:spacing w:val="-16"/>
              </w:rPr>
              <w:t xml:space="preserve"> </w:t>
            </w: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16"/>
                <w:w w:val="101"/>
              </w:rPr>
              <w:t xml:space="preserve"> </w:t>
            </w:r>
            <w:r>
              <w:rPr>
                <w:spacing w:val="5"/>
              </w:rPr>
              <w:t>线路</w:t>
            </w:r>
            <w:r>
              <w:rPr>
                <w:spacing w:val="-39"/>
              </w:rPr>
              <w:t xml:space="preserve"> </w:t>
            </w:r>
            <w:r>
              <w:rPr>
                <w:rFonts w:ascii="Times New Roman" w:hAnsi="Times New Roman" w:eastAsia="Times New Roman" w:cs="Times New Roman"/>
                <w:spacing w:val="5"/>
              </w:rPr>
              <w:t xml:space="preserve">T </w:t>
            </w:r>
            <w:r>
              <w:rPr>
                <w:spacing w:val="5"/>
              </w:rPr>
              <w:t>接芳华变～吉冲变</w:t>
            </w:r>
          </w:p>
          <w:p w14:paraId="0EB370A5">
            <w:pPr>
              <w:pStyle w:val="6"/>
              <w:spacing w:before="65" w:line="228" w:lineRule="auto"/>
              <w:ind w:left="650"/>
            </w:pPr>
            <w:r>
              <w:rPr>
                <w:rFonts w:ascii="Times New Roman" w:hAnsi="Times New Roman" w:eastAsia="Times New Roman" w:cs="Times New Roman"/>
                <w:spacing w:val="5"/>
              </w:rPr>
              <w:t>110</w:t>
            </w:r>
            <w:r>
              <w:rPr>
                <w:rFonts w:ascii="Times New Roman" w:hAnsi="Times New Roman" w:eastAsia="Times New Roman" w:cs="Times New Roman"/>
              </w:rPr>
              <w:t>kV</w:t>
            </w:r>
            <w:r>
              <w:rPr>
                <w:spacing w:val="5"/>
              </w:rPr>
              <w:t>Ⅱ回线路（</w:t>
            </w:r>
            <w:r>
              <w:rPr>
                <w:rFonts w:ascii="Times New Roman" w:hAnsi="Times New Roman" w:eastAsia="Times New Roman" w:cs="Times New Roman"/>
                <w:spacing w:val="5"/>
              </w:rPr>
              <w:t xml:space="preserve">T </w:t>
            </w:r>
            <w:r>
              <w:rPr>
                <w:spacing w:val="5"/>
              </w:rPr>
              <w:t>接点）</w:t>
            </w:r>
          </w:p>
        </w:tc>
        <w:tc>
          <w:tcPr>
            <w:tcW w:w="1165" w:type="dxa"/>
            <w:vAlign w:val="top"/>
          </w:tcPr>
          <w:p w14:paraId="02F8DB69">
            <w:pPr>
              <w:spacing w:before="279"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0.47</w:t>
            </w:r>
          </w:p>
        </w:tc>
        <w:tc>
          <w:tcPr>
            <w:tcW w:w="1396" w:type="dxa"/>
            <w:vAlign w:val="top"/>
          </w:tcPr>
          <w:p w14:paraId="36BECE97">
            <w:pPr>
              <w:spacing w:before="279" w:line="195" w:lineRule="auto"/>
              <w:ind w:left="41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0.0250</w:t>
            </w:r>
          </w:p>
        </w:tc>
      </w:tr>
      <w:tr w14:paraId="2ECAE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5877" w:type="dxa"/>
            <w:gridSpan w:val="3"/>
            <w:vAlign w:val="top"/>
          </w:tcPr>
          <w:p w14:paraId="20C94D40">
            <w:pPr>
              <w:pStyle w:val="6"/>
              <w:spacing w:before="87" w:line="228" w:lineRule="auto"/>
              <w:ind w:left="2525"/>
            </w:pPr>
            <w:r>
              <w:rPr>
                <w:spacing w:val="7"/>
              </w:rPr>
              <w:t>标准限值</w:t>
            </w:r>
          </w:p>
        </w:tc>
        <w:tc>
          <w:tcPr>
            <w:tcW w:w="1165" w:type="dxa"/>
            <w:vAlign w:val="top"/>
          </w:tcPr>
          <w:p w14:paraId="31BAEF5D">
            <w:pPr>
              <w:spacing w:before="123" w:line="195" w:lineRule="auto"/>
              <w:ind w:left="37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4000</w:t>
            </w:r>
          </w:p>
        </w:tc>
        <w:tc>
          <w:tcPr>
            <w:tcW w:w="1396" w:type="dxa"/>
            <w:vAlign w:val="top"/>
          </w:tcPr>
          <w:p w14:paraId="0AB1A66A">
            <w:pPr>
              <w:spacing w:before="123" w:line="195" w:lineRule="auto"/>
              <w:ind w:left="56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100</w:t>
            </w:r>
          </w:p>
        </w:tc>
      </w:tr>
      <w:tr w14:paraId="73789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5877" w:type="dxa"/>
            <w:gridSpan w:val="3"/>
            <w:vAlign w:val="top"/>
          </w:tcPr>
          <w:p w14:paraId="6EC04F0E">
            <w:pPr>
              <w:pStyle w:val="6"/>
              <w:spacing w:before="88" w:line="228" w:lineRule="auto"/>
              <w:ind w:left="2523"/>
            </w:pPr>
            <w:r>
              <w:rPr>
                <w:spacing w:val="7"/>
              </w:rPr>
              <w:t>达标情况</w:t>
            </w:r>
          </w:p>
        </w:tc>
        <w:tc>
          <w:tcPr>
            <w:tcW w:w="1165" w:type="dxa"/>
            <w:vAlign w:val="top"/>
          </w:tcPr>
          <w:p w14:paraId="75622C84">
            <w:pPr>
              <w:pStyle w:val="6"/>
              <w:spacing w:before="88" w:line="228" w:lineRule="auto"/>
              <w:ind w:left="378"/>
            </w:pPr>
            <w:r>
              <w:rPr>
                <w:spacing w:val="5"/>
              </w:rPr>
              <w:t>达标</w:t>
            </w:r>
          </w:p>
        </w:tc>
        <w:tc>
          <w:tcPr>
            <w:tcW w:w="1396" w:type="dxa"/>
            <w:vAlign w:val="top"/>
          </w:tcPr>
          <w:p w14:paraId="488DBD8D">
            <w:pPr>
              <w:pStyle w:val="6"/>
              <w:spacing w:before="88" w:line="228" w:lineRule="auto"/>
              <w:ind w:left="493"/>
            </w:pPr>
            <w:r>
              <w:rPr>
                <w:spacing w:val="5"/>
              </w:rPr>
              <w:t>达标</w:t>
            </w:r>
          </w:p>
        </w:tc>
      </w:tr>
    </w:tbl>
    <w:p w14:paraId="143D0BC1">
      <w:pPr>
        <w:pStyle w:val="2"/>
        <w:spacing w:before="114" w:line="220" w:lineRule="auto"/>
        <w:ind w:left="587"/>
        <w:rPr>
          <w:sz w:val="24"/>
          <w:szCs w:val="24"/>
        </w:rPr>
      </w:pPr>
      <w:r>
        <w:rPr>
          <w:spacing w:val="-4"/>
          <w:sz w:val="24"/>
          <w:szCs w:val="24"/>
        </w:rPr>
        <w:t>由上表监测结果可知：</w:t>
      </w:r>
    </w:p>
    <w:p w14:paraId="504B25DA">
      <w:pPr>
        <w:pStyle w:val="2"/>
        <w:spacing w:before="181" w:line="360" w:lineRule="auto"/>
        <w:ind w:left="77" w:firstLine="480"/>
        <w:jc w:val="both"/>
        <w:rPr>
          <w:sz w:val="24"/>
          <w:szCs w:val="24"/>
        </w:rPr>
      </w:pPr>
      <w:r>
        <w:rPr>
          <w:rFonts w:ascii="Times New Roman" w:hAnsi="Times New Roman" w:eastAsia="Times New Roman" w:cs="Times New Roman"/>
          <w:sz w:val="24"/>
          <w:szCs w:val="24"/>
        </w:rPr>
        <w:t xml:space="preserve">a  </w:t>
      </w:r>
      <w:r>
        <w:rPr>
          <w:sz w:val="24"/>
          <w:szCs w:val="24"/>
        </w:rPr>
        <w:t>拟建</w:t>
      </w:r>
      <w:r>
        <w:rPr>
          <w:spacing w:val="-30"/>
          <w:sz w:val="24"/>
          <w:szCs w:val="24"/>
        </w:rPr>
        <w:t xml:space="preserve"> </w:t>
      </w:r>
      <w:r>
        <w:rPr>
          <w:rFonts w:ascii="Times New Roman" w:hAnsi="Times New Roman" w:eastAsia="Times New Roman" w:cs="Times New Roman"/>
          <w:sz w:val="24"/>
          <w:szCs w:val="24"/>
        </w:rPr>
        <w:t xml:space="preserve">110kV </w:t>
      </w:r>
      <w:r>
        <w:rPr>
          <w:sz w:val="24"/>
          <w:szCs w:val="24"/>
        </w:rPr>
        <w:t>松山变电站：拟建</w:t>
      </w:r>
      <w:r>
        <w:rPr>
          <w:spacing w:val="-27"/>
          <w:sz w:val="24"/>
          <w:szCs w:val="24"/>
        </w:rPr>
        <w:t xml:space="preserve"> </w:t>
      </w:r>
      <w:r>
        <w:rPr>
          <w:rFonts w:ascii="Times New Roman" w:hAnsi="Times New Roman" w:eastAsia="Times New Roman" w:cs="Times New Roman"/>
          <w:sz w:val="24"/>
          <w:szCs w:val="24"/>
        </w:rPr>
        <w:t>1</w:t>
      </w:r>
      <w:r>
        <w:rPr>
          <w:rFonts w:ascii="Times New Roman" w:hAnsi="Times New Roman" w:eastAsia="Times New Roman" w:cs="Times New Roman"/>
          <w:spacing w:val="-1"/>
          <w:sz w:val="24"/>
          <w:szCs w:val="24"/>
        </w:rPr>
        <w:t xml:space="preserve">10kV </w:t>
      </w:r>
      <w:r>
        <w:rPr>
          <w:spacing w:val="-1"/>
          <w:sz w:val="24"/>
          <w:szCs w:val="24"/>
        </w:rPr>
        <w:t>松山变电站站址四周工频电场强度</w:t>
      </w:r>
      <w:r>
        <w:rPr>
          <w:sz w:val="24"/>
          <w:szCs w:val="24"/>
        </w:rPr>
        <w:t>在</w:t>
      </w:r>
      <w:r>
        <w:rPr>
          <w:spacing w:val="-48"/>
          <w:sz w:val="24"/>
          <w:szCs w:val="24"/>
        </w:rPr>
        <w:t xml:space="preserve"> </w:t>
      </w:r>
      <w:r>
        <w:rPr>
          <w:rFonts w:ascii="Times New Roman" w:hAnsi="Times New Roman" w:eastAsia="Times New Roman" w:cs="Times New Roman"/>
          <w:sz w:val="24"/>
          <w:szCs w:val="24"/>
        </w:rPr>
        <w:t xml:space="preserve">0.45~0.46V/m </w:t>
      </w:r>
      <w:r>
        <w:rPr>
          <w:sz w:val="24"/>
          <w:szCs w:val="24"/>
        </w:rPr>
        <w:t>之间，工频磁感应强度在</w:t>
      </w:r>
      <w:r>
        <w:rPr>
          <w:spacing w:val="-48"/>
          <w:sz w:val="24"/>
          <w:szCs w:val="24"/>
        </w:rPr>
        <w:t xml:space="preserve"> </w:t>
      </w:r>
      <w:r>
        <w:rPr>
          <w:rFonts w:ascii="Times New Roman" w:hAnsi="Times New Roman" w:eastAsia="Times New Roman" w:cs="Times New Roman"/>
          <w:sz w:val="24"/>
          <w:szCs w:val="24"/>
        </w:rPr>
        <w:t>0.0252~0.0248</w:t>
      </w:r>
      <w:r>
        <w:rPr>
          <w:sz w:val="24"/>
          <w:szCs w:val="24"/>
        </w:rPr>
        <w:t>μ</w:t>
      </w:r>
      <w:r>
        <w:rPr>
          <w:rFonts w:ascii="Times New Roman" w:hAnsi="Times New Roman" w:eastAsia="Times New Roman" w:cs="Times New Roman"/>
          <w:sz w:val="24"/>
          <w:szCs w:val="24"/>
        </w:rPr>
        <w:t xml:space="preserve">T </w:t>
      </w:r>
      <w:r>
        <w:rPr>
          <w:sz w:val="24"/>
          <w:szCs w:val="24"/>
        </w:rPr>
        <w:t>之间，满足《电磁</w:t>
      </w:r>
      <w:r>
        <w:rPr>
          <w:spacing w:val="-5"/>
          <w:sz w:val="24"/>
          <w:szCs w:val="24"/>
        </w:rPr>
        <w:t>环境控制限值》（</w:t>
      </w:r>
      <w:r>
        <w:rPr>
          <w:rFonts w:ascii="Times New Roman" w:hAnsi="Times New Roman" w:eastAsia="Times New Roman" w:cs="Times New Roman"/>
          <w:spacing w:val="-5"/>
          <w:sz w:val="24"/>
          <w:szCs w:val="24"/>
        </w:rPr>
        <w:t>GB8702-2014</w:t>
      </w:r>
      <w:r>
        <w:rPr>
          <w:spacing w:val="-5"/>
          <w:sz w:val="24"/>
          <w:szCs w:val="24"/>
        </w:rPr>
        <w:t>）中工频磁感应强度公众曝露控制限值</w:t>
      </w:r>
      <w:r>
        <w:rPr>
          <w:spacing w:val="-43"/>
          <w:sz w:val="24"/>
          <w:szCs w:val="24"/>
        </w:rPr>
        <w:t xml:space="preserve"> </w:t>
      </w:r>
      <w:r>
        <w:rPr>
          <w:rFonts w:ascii="Times New Roman" w:hAnsi="Times New Roman" w:eastAsia="Times New Roman" w:cs="Times New Roman"/>
          <w:spacing w:val="-5"/>
          <w:sz w:val="24"/>
          <w:szCs w:val="24"/>
        </w:rPr>
        <w:t>4000V/m</w:t>
      </w:r>
      <w:r>
        <w:rPr>
          <w:spacing w:val="-5"/>
          <w:sz w:val="24"/>
          <w:szCs w:val="24"/>
        </w:rPr>
        <w:t>、</w:t>
      </w:r>
      <w:r>
        <w:rPr>
          <w:sz w:val="24"/>
          <w:szCs w:val="24"/>
        </w:rPr>
        <w:t xml:space="preserve"> </w:t>
      </w:r>
      <w:r>
        <w:rPr>
          <w:rFonts w:ascii="Times New Roman" w:hAnsi="Times New Roman" w:eastAsia="Times New Roman" w:cs="Times New Roman"/>
          <w:spacing w:val="-5"/>
          <w:sz w:val="24"/>
          <w:szCs w:val="24"/>
        </w:rPr>
        <w:t>100μT</w:t>
      </w:r>
      <w:r>
        <w:rPr>
          <w:rFonts w:ascii="Times New Roman" w:hAnsi="Times New Roman" w:eastAsia="Times New Roman" w:cs="Times New Roman"/>
          <w:spacing w:val="36"/>
          <w:sz w:val="24"/>
          <w:szCs w:val="24"/>
        </w:rPr>
        <w:t xml:space="preserve"> </w:t>
      </w:r>
      <w:r>
        <w:rPr>
          <w:spacing w:val="-5"/>
          <w:sz w:val="24"/>
          <w:szCs w:val="24"/>
        </w:rPr>
        <w:t>的要求；</w:t>
      </w:r>
    </w:p>
    <w:p w14:paraId="2D3003E7">
      <w:pPr>
        <w:pStyle w:val="2"/>
        <w:spacing w:before="4" w:line="358" w:lineRule="auto"/>
        <w:ind w:left="72" w:right="18" w:firstLine="475"/>
        <w:jc w:val="both"/>
        <w:rPr>
          <w:sz w:val="24"/>
          <w:szCs w:val="24"/>
        </w:rPr>
      </w:pPr>
      <w:r>
        <w:rPr>
          <w:rFonts w:ascii="Times New Roman" w:hAnsi="Times New Roman" w:eastAsia="Times New Roman" w:cs="Times New Roman"/>
          <w:spacing w:val="2"/>
          <w:sz w:val="24"/>
          <w:szCs w:val="24"/>
        </w:rPr>
        <w:t xml:space="preserve">b  </w:t>
      </w:r>
      <w:r>
        <w:rPr>
          <w:spacing w:val="2"/>
          <w:sz w:val="24"/>
          <w:szCs w:val="24"/>
        </w:rPr>
        <w:t>保护目标：工程沿线保护目标工频电场强度在</w:t>
      </w:r>
      <w:r>
        <w:rPr>
          <w:spacing w:val="-49"/>
          <w:sz w:val="24"/>
          <w:szCs w:val="24"/>
        </w:rPr>
        <w:t xml:space="preserve"> </w:t>
      </w:r>
      <w:r>
        <w:rPr>
          <w:rFonts w:ascii="Times New Roman" w:hAnsi="Times New Roman" w:eastAsia="Times New Roman" w:cs="Times New Roman"/>
          <w:spacing w:val="2"/>
          <w:sz w:val="24"/>
          <w:szCs w:val="24"/>
        </w:rPr>
        <w:t>0.4</w:t>
      </w:r>
      <w:r>
        <w:rPr>
          <w:rFonts w:ascii="Times New Roman" w:hAnsi="Times New Roman" w:eastAsia="Times New Roman" w:cs="Times New Roman"/>
          <w:spacing w:val="1"/>
          <w:sz w:val="24"/>
          <w:szCs w:val="24"/>
        </w:rPr>
        <w:t>5</w:t>
      </w:r>
      <w:r>
        <w:rPr>
          <w:spacing w:val="1"/>
          <w:sz w:val="24"/>
          <w:szCs w:val="24"/>
        </w:rPr>
        <w:t>～</w:t>
      </w:r>
      <w:r>
        <w:rPr>
          <w:rFonts w:ascii="Times New Roman" w:hAnsi="Times New Roman" w:eastAsia="Times New Roman" w:cs="Times New Roman"/>
          <w:spacing w:val="1"/>
          <w:sz w:val="24"/>
          <w:szCs w:val="24"/>
        </w:rPr>
        <w:t xml:space="preserve">10.43V/m </w:t>
      </w:r>
      <w:r>
        <w:rPr>
          <w:spacing w:val="1"/>
          <w:sz w:val="24"/>
          <w:szCs w:val="24"/>
        </w:rPr>
        <w:t>之间，最</w:t>
      </w:r>
      <w:r>
        <w:rPr>
          <w:spacing w:val="-5"/>
          <w:sz w:val="24"/>
          <w:szCs w:val="24"/>
        </w:rPr>
        <w:t>大值为</w:t>
      </w:r>
      <w:r>
        <w:rPr>
          <w:spacing w:val="-61"/>
          <w:sz w:val="24"/>
          <w:szCs w:val="24"/>
        </w:rPr>
        <w:t xml:space="preserve"> </w:t>
      </w:r>
      <w:r>
        <w:rPr>
          <w:rFonts w:ascii="Times New Roman" w:hAnsi="Times New Roman" w:eastAsia="Times New Roman" w:cs="Times New Roman"/>
          <w:spacing w:val="-5"/>
          <w:sz w:val="24"/>
          <w:szCs w:val="24"/>
        </w:rPr>
        <w:t>10.43V/m</w:t>
      </w:r>
      <w:r>
        <w:rPr>
          <w:spacing w:val="-5"/>
          <w:sz w:val="24"/>
          <w:szCs w:val="24"/>
        </w:rPr>
        <w:t>，工频磁感应强度在</w:t>
      </w:r>
      <w:r>
        <w:rPr>
          <w:rFonts w:ascii="Times New Roman" w:hAnsi="Times New Roman" w:eastAsia="Times New Roman" w:cs="Times New Roman"/>
          <w:spacing w:val="-5"/>
          <w:sz w:val="24"/>
          <w:szCs w:val="24"/>
        </w:rPr>
        <w:t>0.0172</w:t>
      </w:r>
      <w:r>
        <w:rPr>
          <w:spacing w:val="-5"/>
          <w:sz w:val="24"/>
          <w:szCs w:val="24"/>
        </w:rPr>
        <w:t>～</w:t>
      </w:r>
      <w:r>
        <w:rPr>
          <w:rFonts w:ascii="Times New Roman" w:hAnsi="Times New Roman" w:eastAsia="Times New Roman" w:cs="Times New Roman"/>
          <w:spacing w:val="-5"/>
          <w:sz w:val="24"/>
          <w:szCs w:val="24"/>
        </w:rPr>
        <w:t>0.0</w:t>
      </w:r>
      <w:r>
        <w:rPr>
          <w:rFonts w:ascii="Times New Roman" w:hAnsi="Times New Roman" w:eastAsia="Times New Roman" w:cs="Times New Roman"/>
          <w:spacing w:val="-6"/>
          <w:sz w:val="24"/>
          <w:szCs w:val="24"/>
        </w:rPr>
        <w:t>769μT</w:t>
      </w:r>
      <w:r>
        <w:rPr>
          <w:rFonts w:ascii="Times New Roman" w:hAnsi="Times New Roman" w:eastAsia="Times New Roman" w:cs="Times New Roman"/>
          <w:spacing w:val="-18"/>
          <w:sz w:val="24"/>
          <w:szCs w:val="24"/>
        </w:rPr>
        <w:t xml:space="preserve"> </w:t>
      </w:r>
      <w:r>
        <w:rPr>
          <w:spacing w:val="-6"/>
          <w:sz w:val="24"/>
          <w:szCs w:val="24"/>
        </w:rPr>
        <w:t>之间，最大值为</w:t>
      </w:r>
      <w:r>
        <w:rPr>
          <w:rFonts w:ascii="Times New Roman" w:hAnsi="Times New Roman" w:eastAsia="Times New Roman" w:cs="Times New Roman"/>
          <w:spacing w:val="-6"/>
          <w:sz w:val="24"/>
          <w:szCs w:val="24"/>
        </w:rPr>
        <w:t>0.0769μT</w:t>
      </w:r>
      <w:r>
        <w:rPr>
          <w:spacing w:val="-6"/>
          <w:sz w:val="24"/>
          <w:szCs w:val="24"/>
        </w:rPr>
        <w:t>，</w:t>
      </w:r>
      <w:r>
        <w:rPr>
          <w:spacing w:val="-1"/>
          <w:sz w:val="24"/>
          <w:szCs w:val="24"/>
        </w:rPr>
        <w:t>满足《电磁环境控制限值》（</w:t>
      </w:r>
      <w:r>
        <w:rPr>
          <w:rFonts w:ascii="Times New Roman" w:hAnsi="Times New Roman" w:eastAsia="Times New Roman" w:cs="Times New Roman"/>
          <w:spacing w:val="-1"/>
          <w:sz w:val="24"/>
          <w:szCs w:val="24"/>
        </w:rPr>
        <w:t>GB8702-2014</w:t>
      </w:r>
      <w:r>
        <w:rPr>
          <w:spacing w:val="-1"/>
          <w:sz w:val="24"/>
          <w:szCs w:val="24"/>
        </w:rPr>
        <w:t>）中工频电场强度公众曝露控制限值</w:t>
      </w:r>
      <w:r>
        <w:rPr>
          <w:rFonts w:ascii="Times New Roman" w:hAnsi="Times New Roman" w:eastAsia="Times New Roman" w:cs="Times New Roman"/>
          <w:spacing w:val="-4"/>
          <w:sz w:val="24"/>
          <w:szCs w:val="24"/>
        </w:rPr>
        <w:t>4000V/m</w:t>
      </w:r>
      <w:r>
        <w:rPr>
          <w:rFonts w:ascii="Times New Roman" w:hAnsi="Times New Roman" w:eastAsia="Times New Roman" w:cs="Times New Roman"/>
          <w:spacing w:val="-28"/>
          <w:sz w:val="24"/>
          <w:szCs w:val="24"/>
        </w:rPr>
        <w:t xml:space="preserve"> </w:t>
      </w:r>
      <w:r>
        <w:rPr>
          <w:spacing w:val="-4"/>
          <w:sz w:val="24"/>
          <w:szCs w:val="24"/>
        </w:rPr>
        <w:t>、</w:t>
      </w:r>
      <w:r>
        <w:rPr>
          <w:rFonts w:ascii="Times New Roman" w:hAnsi="Times New Roman" w:eastAsia="Times New Roman" w:cs="Times New Roman"/>
          <w:spacing w:val="-4"/>
          <w:sz w:val="24"/>
          <w:szCs w:val="24"/>
        </w:rPr>
        <w:t>100μT</w:t>
      </w:r>
      <w:r>
        <w:rPr>
          <w:rFonts w:ascii="Times New Roman" w:hAnsi="Times New Roman" w:eastAsia="Times New Roman" w:cs="Times New Roman"/>
          <w:spacing w:val="30"/>
          <w:sz w:val="24"/>
          <w:szCs w:val="24"/>
        </w:rPr>
        <w:t xml:space="preserve"> </w:t>
      </w:r>
      <w:r>
        <w:rPr>
          <w:spacing w:val="-4"/>
          <w:sz w:val="24"/>
          <w:szCs w:val="24"/>
        </w:rPr>
        <w:t>的要求；</w:t>
      </w:r>
    </w:p>
    <w:p w14:paraId="4DDD43FE">
      <w:pPr>
        <w:pStyle w:val="2"/>
        <w:spacing w:before="5" w:line="359" w:lineRule="auto"/>
        <w:ind w:left="77" w:right="80" w:firstLine="479"/>
        <w:jc w:val="both"/>
        <w:rPr>
          <w:sz w:val="24"/>
          <w:szCs w:val="24"/>
        </w:rPr>
      </w:pPr>
      <w:r>
        <w:rPr>
          <w:rFonts w:ascii="Times New Roman" w:hAnsi="Times New Roman" w:eastAsia="Times New Roman" w:cs="Times New Roman"/>
          <w:spacing w:val="-1"/>
          <w:sz w:val="24"/>
          <w:szCs w:val="24"/>
        </w:rPr>
        <w:t xml:space="preserve">c    T </w:t>
      </w:r>
      <w:r>
        <w:rPr>
          <w:spacing w:val="-1"/>
          <w:sz w:val="24"/>
          <w:szCs w:val="24"/>
        </w:rPr>
        <w:t>接点、对侧</w:t>
      </w:r>
      <w:r>
        <w:rPr>
          <w:spacing w:val="-55"/>
          <w:sz w:val="24"/>
          <w:szCs w:val="24"/>
        </w:rPr>
        <w:t xml:space="preserve">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16"/>
          <w:sz w:val="24"/>
          <w:szCs w:val="24"/>
        </w:rPr>
        <w:t xml:space="preserve"> </w:t>
      </w:r>
      <w:r>
        <w:rPr>
          <w:spacing w:val="-1"/>
          <w:sz w:val="24"/>
          <w:szCs w:val="24"/>
        </w:rPr>
        <w:t>芳华变电站：</w:t>
      </w:r>
      <w:r>
        <w:rPr>
          <w:rFonts w:ascii="Times New Roman" w:hAnsi="Times New Roman" w:eastAsia="Times New Roman" w:cs="Times New Roman"/>
          <w:spacing w:val="-1"/>
          <w:sz w:val="24"/>
          <w:szCs w:val="24"/>
        </w:rPr>
        <w:t xml:space="preserve">T </w:t>
      </w:r>
      <w:r>
        <w:rPr>
          <w:spacing w:val="-1"/>
          <w:sz w:val="24"/>
          <w:szCs w:val="24"/>
        </w:rPr>
        <w:t>接点及对侧</w:t>
      </w:r>
      <w:r>
        <w:rPr>
          <w:spacing w:val="-55"/>
          <w:sz w:val="24"/>
          <w:szCs w:val="24"/>
        </w:rPr>
        <w:t xml:space="preserve"> </w:t>
      </w:r>
      <w:r>
        <w:rPr>
          <w:rFonts w:ascii="Times New Roman" w:hAnsi="Times New Roman" w:eastAsia="Times New Roman" w:cs="Times New Roman"/>
          <w:spacing w:val="-1"/>
          <w:sz w:val="24"/>
          <w:szCs w:val="24"/>
        </w:rPr>
        <w:t>2</w:t>
      </w:r>
      <w:r>
        <w:rPr>
          <w:rFonts w:ascii="Times New Roman" w:hAnsi="Times New Roman" w:eastAsia="Times New Roman" w:cs="Times New Roman"/>
          <w:spacing w:val="-2"/>
          <w:sz w:val="24"/>
          <w:szCs w:val="24"/>
        </w:rPr>
        <w:t>20kV</w:t>
      </w:r>
      <w:r>
        <w:rPr>
          <w:rFonts w:ascii="Times New Roman" w:hAnsi="Times New Roman" w:eastAsia="Times New Roman" w:cs="Times New Roman"/>
          <w:spacing w:val="15"/>
          <w:sz w:val="24"/>
          <w:szCs w:val="24"/>
        </w:rPr>
        <w:t xml:space="preserve"> </w:t>
      </w:r>
      <w:r>
        <w:rPr>
          <w:spacing w:val="-2"/>
          <w:sz w:val="24"/>
          <w:szCs w:val="24"/>
        </w:rPr>
        <w:t>芳华变电站接入</w:t>
      </w:r>
      <w:r>
        <w:rPr>
          <w:spacing w:val="-3"/>
          <w:sz w:val="24"/>
          <w:szCs w:val="24"/>
        </w:rPr>
        <w:t>间隔处工频电场强度在</w:t>
      </w:r>
      <w:r>
        <w:rPr>
          <w:spacing w:val="-51"/>
          <w:sz w:val="24"/>
          <w:szCs w:val="24"/>
        </w:rPr>
        <w:t xml:space="preserve"> </w:t>
      </w:r>
      <w:r>
        <w:rPr>
          <w:rFonts w:ascii="Times New Roman" w:hAnsi="Times New Roman" w:eastAsia="Times New Roman" w:cs="Times New Roman"/>
          <w:spacing w:val="-3"/>
          <w:sz w:val="24"/>
          <w:szCs w:val="24"/>
        </w:rPr>
        <w:t xml:space="preserve">0.45~0.47V/m </w:t>
      </w:r>
      <w:r>
        <w:rPr>
          <w:spacing w:val="-3"/>
          <w:sz w:val="24"/>
          <w:szCs w:val="24"/>
        </w:rPr>
        <w:t>之间，最大值为</w:t>
      </w:r>
      <w:r>
        <w:rPr>
          <w:spacing w:val="-52"/>
          <w:sz w:val="24"/>
          <w:szCs w:val="24"/>
        </w:rPr>
        <w:t xml:space="preserve"> </w:t>
      </w:r>
      <w:r>
        <w:rPr>
          <w:rFonts w:ascii="Times New Roman" w:hAnsi="Times New Roman" w:eastAsia="Times New Roman" w:cs="Times New Roman"/>
          <w:spacing w:val="-3"/>
          <w:sz w:val="24"/>
          <w:szCs w:val="24"/>
        </w:rPr>
        <w:t>0.47V/</w:t>
      </w:r>
      <w:r>
        <w:rPr>
          <w:rFonts w:ascii="Times New Roman" w:hAnsi="Times New Roman" w:eastAsia="Times New Roman" w:cs="Times New Roman"/>
          <w:spacing w:val="-4"/>
          <w:sz w:val="24"/>
          <w:szCs w:val="24"/>
        </w:rPr>
        <w:t>m</w:t>
      </w:r>
      <w:r>
        <w:rPr>
          <w:spacing w:val="-4"/>
          <w:sz w:val="24"/>
          <w:szCs w:val="24"/>
        </w:rPr>
        <w:t>，工频磁感应强度</w:t>
      </w:r>
      <w:r>
        <w:rPr>
          <w:spacing w:val="3"/>
          <w:sz w:val="24"/>
          <w:szCs w:val="24"/>
        </w:rPr>
        <w:t>在</w:t>
      </w:r>
      <w:r>
        <w:rPr>
          <w:spacing w:val="-39"/>
          <w:sz w:val="24"/>
          <w:szCs w:val="24"/>
        </w:rPr>
        <w:t xml:space="preserve"> </w:t>
      </w:r>
      <w:r>
        <w:rPr>
          <w:rFonts w:ascii="Times New Roman" w:hAnsi="Times New Roman" w:eastAsia="Times New Roman" w:cs="Times New Roman"/>
          <w:spacing w:val="3"/>
          <w:sz w:val="24"/>
          <w:szCs w:val="24"/>
        </w:rPr>
        <w:t>0.025</w:t>
      </w:r>
      <w:r>
        <w:rPr>
          <w:spacing w:val="3"/>
          <w:sz w:val="24"/>
          <w:szCs w:val="24"/>
        </w:rPr>
        <w:t>～</w:t>
      </w:r>
      <w:r>
        <w:rPr>
          <w:rFonts w:ascii="Times New Roman" w:hAnsi="Times New Roman" w:eastAsia="Times New Roman" w:cs="Times New Roman"/>
          <w:spacing w:val="3"/>
          <w:sz w:val="24"/>
          <w:szCs w:val="24"/>
        </w:rPr>
        <w:t>0.0.0254μT</w:t>
      </w:r>
      <w:r>
        <w:rPr>
          <w:rFonts w:ascii="Times New Roman" w:hAnsi="Times New Roman" w:eastAsia="Times New Roman" w:cs="Times New Roman"/>
          <w:spacing w:val="21"/>
          <w:w w:val="101"/>
          <w:sz w:val="24"/>
          <w:szCs w:val="24"/>
        </w:rPr>
        <w:t xml:space="preserve"> </w:t>
      </w:r>
      <w:r>
        <w:rPr>
          <w:spacing w:val="3"/>
          <w:sz w:val="24"/>
          <w:szCs w:val="24"/>
        </w:rPr>
        <w:t>之间，最大值为</w:t>
      </w:r>
      <w:r>
        <w:rPr>
          <w:spacing w:val="-42"/>
          <w:sz w:val="24"/>
          <w:szCs w:val="24"/>
        </w:rPr>
        <w:t xml:space="preserve"> </w:t>
      </w:r>
      <w:r>
        <w:rPr>
          <w:rFonts w:ascii="Times New Roman" w:hAnsi="Times New Roman" w:eastAsia="Times New Roman" w:cs="Times New Roman"/>
          <w:spacing w:val="3"/>
          <w:sz w:val="24"/>
          <w:szCs w:val="24"/>
        </w:rPr>
        <w:t>0.0254μT</w:t>
      </w:r>
      <w:r>
        <w:rPr>
          <w:rFonts w:ascii="Times New Roman" w:hAnsi="Times New Roman" w:eastAsia="Times New Roman" w:cs="Times New Roman"/>
          <w:spacing w:val="-21"/>
          <w:sz w:val="24"/>
          <w:szCs w:val="24"/>
        </w:rPr>
        <w:t xml:space="preserve"> </w:t>
      </w:r>
      <w:r>
        <w:rPr>
          <w:spacing w:val="3"/>
          <w:sz w:val="24"/>
          <w:szCs w:val="24"/>
        </w:rPr>
        <w:t>，满足《电磁环境控制限值》</w:t>
      </w:r>
      <w:r>
        <w:rPr>
          <w:sz w:val="24"/>
          <w:szCs w:val="24"/>
        </w:rPr>
        <w:t xml:space="preserve"> </w:t>
      </w:r>
      <w:r>
        <w:rPr>
          <w:spacing w:val="-2"/>
          <w:sz w:val="24"/>
          <w:szCs w:val="24"/>
        </w:rPr>
        <w:t>（</w:t>
      </w:r>
      <w:r>
        <w:rPr>
          <w:rFonts w:ascii="Times New Roman" w:hAnsi="Times New Roman" w:eastAsia="Times New Roman" w:cs="Times New Roman"/>
          <w:spacing w:val="-2"/>
          <w:sz w:val="24"/>
          <w:szCs w:val="24"/>
        </w:rPr>
        <w:t>GB8702-2014</w:t>
      </w:r>
      <w:r>
        <w:rPr>
          <w:spacing w:val="-2"/>
          <w:sz w:val="24"/>
          <w:szCs w:val="24"/>
        </w:rPr>
        <w:t>）中工频电场强度公众曝露控制限值</w:t>
      </w:r>
      <w:r>
        <w:rPr>
          <w:spacing w:val="-56"/>
          <w:sz w:val="24"/>
          <w:szCs w:val="24"/>
        </w:rPr>
        <w:t xml:space="preserve"> </w:t>
      </w:r>
      <w:r>
        <w:rPr>
          <w:rFonts w:ascii="Times New Roman" w:hAnsi="Times New Roman" w:eastAsia="Times New Roman" w:cs="Times New Roman"/>
          <w:spacing w:val="-2"/>
          <w:sz w:val="24"/>
          <w:szCs w:val="24"/>
        </w:rPr>
        <w:t>4</w:t>
      </w:r>
      <w:r>
        <w:rPr>
          <w:rFonts w:ascii="Times New Roman" w:hAnsi="Times New Roman" w:eastAsia="Times New Roman" w:cs="Times New Roman"/>
          <w:spacing w:val="-3"/>
          <w:sz w:val="24"/>
          <w:szCs w:val="24"/>
        </w:rPr>
        <w:t>000V/m</w:t>
      </w:r>
      <w:r>
        <w:rPr>
          <w:rFonts w:ascii="Times New Roman" w:hAnsi="Times New Roman" w:eastAsia="Times New Roman" w:cs="Times New Roman"/>
          <w:spacing w:val="-33"/>
          <w:sz w:val="24"/>
          <w:szCs w:val="24"/>
        </w:rPr>
        <w:t xml:space="preserve"> </w:t>
      </w:r>
      <w:r>
        <w:rPr>
          <w:spacing w:val="-3"/>
          <w:sz w:val="24"/>
          <w:szCs w:val="24"/>
        </w:rPr>
        <w:t>、</w:t>
      </w:r>
      <w:r>
        <w:rPr>
          <w:rFonts w:ascii="Times New Roman" w:hAnsi="Times New Roman" w:eastAsia="Times New Roman" w:cs="Times New Roman"/>
          <w:spacing w:val="-3"/>
          <w:sz w:val="24"/>
          <w:szCs w:val="24"/>
        </w:rPr>
        <w:t>100μT</w:t>
      </w:r>
      <w:r>
        <w:rPr>
          <w:rFonts w:ascii="Times New Roman" w:hAnsi="Times New Roman" w:eastAsia="Times New Roman" w:cs="Times New Roman"/>
          <w:spacing w:val="31"/>
          <w:sz w:val="24"/>
          <w:szCs w:val="24"/>
        </w:rPr>
        <w:t xml:space="preserve"> </w:t>
      </w:r>
      <w:r>
        <w:rPr>
          <w:spacing w:val="-3"/>
          <w:sz w:val="24"/>
          <w:szCs w:val="24"/>
        </w:rPr>
        <w:t>的要求。</w:t>
      </w:r>
    </w:p>
    <w:p w14:paraId="750585E7">
      <w:pPr>
        <w:pStyle w:val="2"/>
        <w:spacing w:before="6" w:line="361" w:lineRule="auto"/>
        <w:ind w:left="77" w:right="80" w:firstLine="483"/>
        <w:jc w:val="both"/>
        <w:rPr>
          <w:sz w:val="24"/>
          <w:szCs w:val="24"/>
        </w:rPr>
      </w:pPr>
      <w:r>
        <w:rPr>
          <w:spacing w:val="-3"/>
          <w:sz w:val="24"/>
          <w:szCs w:val="24"/>
        </w:rPr>
        <w:t>综上，本工程所在区域的工频电场强度和工频磁感应强度</w:t>
      </w:r>
      <w:r>
        <w:rPr>
          <w:spacing w:val="-4"/>
          <w:sz w:val="24"/>
          <w:szCs w:val="24"/>
        </w:rPr>
        <w:t>均满足《电磁环境</w:t>
      </w:r>
      <w:r>
        <w:rPr>
          <w:spacing w:val="-1"/>
          <w:sz w:val="24"/>
          <w:szCs w:val="24"/>
        </w:rPr>
        <w:t>控制限值》（</w:t>
      </w:r>
      <w:r>
        <w:rPr>
          <w:rFonts w:ascii="Times New Roman" w:hAnsi="Times New Roman" w:eastAsia="Times New Roman" w:cs="Times New Roman"/>
          <w:spacing w:val="-1"/>
          <w:sz w:val="24"/>
          <w:szCs w:val="24"/>
        </w:rPr>
        <w:t>GB8702-2014</w:t>
      </w:r>
      <w:r>
        <w:rPr>
          <w:spacing w:val="-1"/>
          <w:sz w:val="24"/>
          <w:szCs w:val="24"/>
        </w:rPr>
        <w:t>）中公众曝露控制限值要求，拟建线路沿线工频电场强度和工频磁感应强度均为正常本底水平。</w:t>
      </w:r>
    </w:p>
    <w:p w14:paraId="296CD9CC">
      <w:pPr>
        <w:spacing w:line="361" w:lineRule="auto"/>
        <w:rPr>
          <w:sz w:val="24"/>
          <w:szCs w:val="24"/>
        </w:rPr>
        <w:sectPr>
          <w:footerReference r:id="rId173" w:type="default"/>
          <w:pgSz w:w="11906" w:h="16839"/>
          <w:pgMar w:top="400" w:right="1719" w:bottom="1147" w:left="1731" w:header="0" w:footer="960" w:gutter="0"/>
          <w:cols w:space="720" w:num="1"/>
        </w:sectPr>
      </w:pPr>
    </w:p>
    <w:p w14:paraId="319DD961">
      <w:pPr>
        <w:spacing w:line="261" w:lineRule="auto"/>
        <w:rPr>
          <w:rFonts w:ascii="Arial"/>
          <w:sz w:val="21"/>
        </w:rPr>
      </w:pPr>
    </w:p>
    <w:p w14:paraId="7637F205">
      <w:pPr>
        <w:spacing w:line="261" w:lineRule="auto"/>
        <w:rPr>
          <w:rFonts w:ascii="Arial"/>
          <w:sz w:val="21"/>
        </w:rPr>
      </w:pPr>
    </w:p>
    <w:p w14:paraId="40CA1898">
      <w:pPr>
        <w:spacing w:line="261" w:lineRule="auto"/>
        <w:rPr>
          <w:rFonts w:ascii="Arial"/>
          <w:sz w:val="21"/>
        </w:rPr>
      </w:pPr>
    </w:p>
    <w:p w14:paraId="3D63FBB6">
      <w:pPr>
        <w:spacing w:line="261" w:lineRule="auto"/>
        <w:rPr>
          <w:rFonts w:ascii="Arial"/>
          <w:sz w:val="21"/>
        </w:rPr>
      </w:pPr>
    </w:p>
    <w:p w14:paraId="18470809">
      <w:pPr>
        <w:spacing w:line="262" w:lineRule="auto"/>
        <w:rPr>
          <w:rFonts w:ascii="Arial"/>
          <w:sz w:val="21"/>
        </w:rPr>
      </w:pPr>
    </w:p>
    <w:p w14:paraId="60F4566E">
      <w:pPr>
        <w:pStyle w:val="2"/>
        <w:spacing w:before="101" w:line="223" w:lineRule="auto"/>
        <w:ind w:left="122"/>
        <w:rPr>
          <w:sz w:val="31"/>
          <w:szCs w:val="31"/>
        </w:rPr>
      </w:pPr>
      <w:r>
        <w:rPr>
          <w:rFonts w:ascii="Times New Roman" w:hAnsi="Times New Roman" w:eastAsia="Times New Roman" w:cs="Times New Roman"/>
          <w:b/>
          <w:bCs/>
          <w:spacing w:val="2"/>
          <w:sz w:val="31"/>
          <w:szCs w:val="31"/>
        </w:rPr>
        <w:t>5</w:t>
      </w:r>
      <w:r>
        <w:rPr>
          <w:rFonts w:ascii="Times New Roman" w:hAnsi="Times New Roman" w:eastAsia="Times New Roman" w:cs="Times New Roman"/>
          <w:b/>
          <w:bCs/>
          <w:spacing w:val="30"/>
          <w:sz w:val="31"/>
          <w:szCs w:val="31"/>
        </w:rPr>
        <w:t xml:space="preserve">  </w:t>
      </w:r>
      <w:r>
        <w:rPr>
          <w:b/>
          <w:bCs/>
          <w:spacing w:val="2"/>
          <w:sz w:val="31"/>
          <w:szCs w:val="31"/>
        </w:rPr>
        <w:t>电磁环境影响预测与评价</w:t>
      </w:r>
    </w:p>
    <w:p w14:paraId="530E5B94">
      <w:pPr>
        <w:spacing w:line="436" w:lineRule="auto"/>
        <w:rPr>
          <w:rFonts w:ascii="Arial"/>
          <w:sz w:val="21"/>
        </w:rPr>
      </w:pPr>
    </w:p>
    <w:p w14:paraId="47420401">
      <w:pPr>
        <w:pStyle w:val="2"/>
        <w:spacing w:before="98" w:line="219" w:lineRule="auto"/>
        <w:ind w:left="121"/>
        <w:rPr>
          <w:sz w:val="30"/>
          <w:szCs w:val="30"/>
        </w:rPr>
      </w:pPr>
      <w:r>
        <w:rPr>
          <w:rFonts w:ascii="Times New Roman" w:hAnsi="Times New Roman" w:eastAsia="Times New Roman" w:cs="Times New Roman"/>
          <w:b/>
          <w:bCs/>
          <w:spacing w:val="-3"/>
          <w:sz w:val="30"/>
          <w:szCs w:val="30"/>
        </w:rPr>
        <w:t>5.1</w:t>
      </w:r>
      <w:r>
        <w:rPr>
          <w:rFonts w:ascii="Times New Roman" w:hAnsi="Times New Roman" w:eastAsia="Times New Roman" w:cs="Times New Roman"/>
          <w:b/>
          <w:bCs/>
          <w:spacing w:val="30"/>
          <w:sz w:val="30"/>
          <w:szCs w:val="30"/>
        </w:rPr>
        <w:t xml:space="preserve"> </w:t>
      </w:r>
      <w:r>
        <w:rPr>
          <w:rFonts w:ascii="Times New Roman" w:hAnsi="Times New Roman" w:eastAsia="Times New Roman" w:cs="Times New Roman"/>
          <w:b/>
          <w:bCs/>
          <w:spacing w:val="-3"/>
          <w:sz w:val="30"/>
          <w:szCs w:val="30"/>
        </w:rPr>
        <w:t xml:space="preserve">110kV </w:t>
      </w:r>
      <w:r>
        <w:rPr>
          <w:b/>
          <w:bCs/>
          <w:spacing w:val="-3"/>
          <w:sz w:val="30"/>
          <w:szCs w:val="30"/>
        </w:rPr>
        <w:t>松山变电站电磁环境影响预测分析</w:t>
      </w:r>
    </w:p>
    <w:p w14:paraId="31E0ED94">
      <w:pPr>
        <w:spacing w:line="418" w:lineRule="auto"/>
        <w:rPr>
          <w:rFonts w:ascii="Arial"/>
          <w:sz w:val="21"/>
        </w:rPr>
      </w:pPr>
    </w:p>
    <w:p w14:paraId="1A1770AB">
      <w:pPr>
        <w:pStyle w:val="2"/>
        <w:spacing w:before="78" w:line="218" w:lineRule="auto"/>
        <w:ind w:left="119"/>
        <w:rPr>
          <w:sz w:val="24"/>
          <w:szCs w:val="24"/>
        </w:rPr>
      </w:pPr>
      <w:r>
        <w:rPr>
          <w:rFonts w:ascii="Times New Roman" w:hAnsi="Times New Roman" w:eastAsia="Times New Roman" w:cs="Times New Roman"/>
          <w:b/>
          <w:bCs/>
          <w:spacing w:val="-2"/>
          <w:sz w:val="24"/>
          <w:szCs w:val="24"/>
        </w:rPr>
        <w:t xml:space="preserve">5.1.1  </w:t>
      </w:r>
      <w:r>
        <w:rPr>
          <w:b/>
          <w:bCs/>
          <w:spacing w:val="-2"/>
          <w:sz w:val="24"/>
          <w:szCs w:val="24"/>
        </w:rPr>
        <w:t>预测与评价方法</w:t>
      </w:r>
    </w:p>
    <w:p w14:paraId="4D23F496">
      <w:pPr>
        <w:pStyle w:val="2"/>
        <w:spacing w:before="184" w:line="218" w:lineRule="auto"/>
        <w:ind w:left="619"/>
        <w:rPr>
          <w:sz w:val="24"/>
          <w:szCs w:val="24"/>
        </w:rPr>
      </w:pPr>
      <w:r>
        <w:rPr>
          <w:rFonts w:ascii="Times New Roman" w:hAnsi="Times New Roman" w:eastAsia="Times New Roman" w:cs="Times New Roman"/>
          <w:spacing w:val="-1"/>
          <w:sz w:val="24"/>
          <w:szCs w:val="24"/>
        </w:rPr>
        <w:t xml:space="preserve">110kV </w:t>
      </w:r>
      <w:r>
        <w:rPr>
          <w:spacing w:val="-1"/>
          <w:sz w:val="24"/>
          <w:szCs w:val="24"/>
        </w:rPr>
        <w:t>松山变电站电磁环境影响采用类比监测分析法</w:t>
      </w:r>
      <w:r>
        <w:rPr>
          <w:spacing w:val="-2"/>
          <w:sz w:val="24"/>
          <w:szCs w:val="24"/>
        </w:rPr>
        <w:t>进行预测评价。</w:t>
      </w:r>
    </w:p>
    <w:p w14:paraId="5CB0BA20">
      <w:pPr>
        <w:pStyle w:val="2"/>
        <w:spacing w:before="305" w:line="219" w:lineRule="auto"/>
        <w:ind w:left="119"/>
        <w:rPr>
          <w:sz w:val="24"/>
          <w:szCs w:val="24"/>
        </w:rPr>
      </w:pPr>
      <w:r>
        <w:rPr>
          <w:rFonts w:ascii="Times New Roman" w:hAnsi="Times New Roman" w:eastAsia="Times New Roman" w:cs="Times New Roman"/>
          <w:b/>
          <w:bCs/>
          <w:spacing w:val="-2"/>
          <w:sz w:val="24"/>
          <w:szCs w:val="24"/>
        </w:rPr>
        <w:t xml:space="preserve">5.1.2  </w:t>
      </w:r>
      <w:r>
        <w:rPr>
          <w:b/>
          <w:bCs/>
          <w:spacing w:val="-2"/>
          <w:sz w:val="24"/>
          <w:szCs w:val="24"/>
        </w:rPr>
        <w:t>类比对象选择的原则</w:t>
      </w:r>
    </w:p>
    <w:p w14:paraId="61727B41">
      <w:pPr>
        <w:pStyle w:val="2"/>
        <w:spacing w:before="182" w:line="360" w:lineRule="auto"/>
        <w:ind w:left="121" w:right="56" w:firstLine="482"/>
        <w:rPr>
          <w:sz w:val="24"/>
          <w:szCs w:val="24"/>
        </w:rPr>
      </w:pPr>
      <w:r>
        <w:rPr>
          <w:spacing w:val="-3"/>
          <w:sz w:val="24"/>
          <w:szCs w:val="24"/>
        </w:rPr>
        <w:t>工频电场主要取决于电压等级及关心点与源的距离，并与</w:t>
      </w:r>
      <w:r>
        <w:rPr>
          <w:spacing w:val="-4"/>
          <w:sz w:val="24"/>
          <w:szCs w:val="24"/>
        </w:rPr>
        <w:t>环境湿度、植被及</w:t>
      </w:r>
      <w:r>
        <w:rPr>
          <w:spacing w:val="-1"/>
          <w:sz w:val="24"/>
          <w:szCs w:val="24"/>
        </w:rPr>
        <w:t>地理地形因子等屏蔽条件相关；工频磁场主</w:t>
      </w:r>
      <w:r>
        <w:rPr>
          <w:spacing w:val="-2"/>
          <w:sz w:val="24"/>
          <w:szCs w:val="24"/>
        </w:rPr>
        <w:t>要取决于电流及关心点与源的距离。</w:t>
      </w:r>
    </w:p>
    <w:p w14:paraId="3BDABA19">
      <w:pPr>
        <w:pStyle w:val="2"/>
        <w:spacing w:before="8" w:line="359" w:lineRule="auto"/>
        <w:ind w:left="120" w:right="110" w:firstLine="480"/>
        <w:rPr>
          <w:sz w:val="24"/>
          <w:szCs w:val="24"/>
        </w:rPr>
      </w:pPr>
      <w:r>
        <w:rPr>
          <w:spacing w:val="-3"/>
          <w:sz w:val="24"/>
          <w:szCs w:val="24"/>
        </w:rPr>
        <w:t>变电站电磁环境类比测量，从严格意义讲，具有相同的变电站型</w:t>
      </w:r>
      <w:r>
        <w:rPr>
          <w:spacing w:val="-4"/>
          <w:sz w:val="24"/>
          <w:szCs w:val="24"/>
        </w:rPr>
        <w:t>式、完全相</w:t>
      </w:r>
      <w:r>
        <w:rPr>
          <w:spacing w:val="-3"/>
          <w:sz w:val="24"/>
          <w:szCs w:val="24"/>
        </w:rPr>
        <w:t>同的设备型号（决定了电压等级及额定功率、额定电流等）、布置情况（决定了距离因子）和环境条件是最理想的，即：不仅有相同的变电站型式、主变压器数量和容量，而且一次主接线也相同，布置情况及环境条件也相同。但是要满足这样的条件是很困难的，要解决这一实际困难，可以在关键部分相同，而达到进行</w:t>
      </w:r>
      <w:r>
        <w:rPr>
          <w:sz w:val="24"/>
          <w:szCs w:val="24"/>
        </w:rPr>
        <w:t>类比的条件。所谓关键部分，就是主要的工频电</w:t>
      </w:r>
      <w:r>
        <w:rPr>
          <w:spacing w:val="-1"/>
          <w:sz w:val="24"/>
          <w:szCs w:val="24"/>
        </w:rPr>
        <w:t>场、工频磁场产生源。</w:t>
      </w:r>
    </w:p>
    <w:p w14:paraId="2C2D2715">
      <w:pPr>
        <w:pStyle w:val="2"/>
        <w:spacing w:before="7" w:line="360" w:lineRule="auto"/>
        <w:ind w:left="120" w:right="110" w:firstLine="480"/>
        <w:jc w:val="both"/>
        <w:rPr>
          <w:sz w:val="24"/>
          <w:szCs w:val="24"/>
        </w:rPr>
      </w:pPr>
      <w:r>
        <w:rPr>
          <w:spacing w:val="-3"/>
          <w:sz w:val="24"/>
          <w:szCs w:val="24"/>
        </w:rPr>
        <w:t>对于变电站围墙外的工频电场，要求最近的高压带电构架布置一</w:t>
      </w:r>
      <w:r>
        <w:rPr>
          <w:spacing w:val="-4"/>
          <w:sz w:val="24"/>
          <w:szCs w:val="24"/>
        </w:rPr>
        <w:t>致、电压相</w:t>
      </w:r>
      <w:r>
        <w:rPr>
          <w:spacing w:val="-3"/>
          <w:sz w:val="24"/>
          <w:szCs w:val="24"/>
        </w:rPr>
        <w:t>同，此时就可以认为具有可比性；同样对于变电站围墙外的工频磁场，也要求最近的通流导体的布置和电流相同才具有可比性。实际情况是，工频电场的类比条件相对容易实现，因为变电站主设备和母线电压是基本稳定的，不会随时间和负荷的变化而产生大的变化。但是产生工频磁场的电流却是随负荷变化而有较大的变化。</w:t>
      </w:r>
    </w:p>
    <w:p w14:paraId="6BB5D606">
      <w:pPr>
        <w:pStyle w:val="2"/>
        <w:spacing w:before="114" w:line="219" w:lineRule="auto"/>
        <w:ind w:left="119"/>
        <w:rPr>
          <w:sz w:val="24"/>
          <w:szCs w:val="24"/>
        </w:rPr>
      </w:pPr>
      <w:r>
        <w:rPr>
          <w:rFonts w:ascii="Times New Roman" w:hAnsi="Times New Roman" w:eastAsia="Times New Roman" w:cs="Times New Roman"/>
          <w:b/>
          <w:bCs/>
          <w:spacing w:val="-2"/>
          <w:sz w:val="24"/>
          <w:szCs w:val="24"/>
        </w:rPr>
        <w:t xml:space="preserve">5.1.3  </w:t>
      </w:r>
      <w:r>
        <w:rPr>
          <w:b/>
          <w:bCs/>
          <w:spacing w:val="-2"/>
          <w:sz w:val="24"/>
          <w:szCs w:val="24"/>
        </w:rPr>
        <w:t>类比对象</w:t>
      </w:r>
    </w:p>
    <w:p w14:paraId="30F6BDC8">
      <w:pPr>
        <w:pStyle w:val="2"/>
        <w:spacing w:before="183" w:line="344" w:lineRule="auto"/>
        <w:ind w:left="124" w:right="110" w:firstLine="476"/>
        <w:jc w:val="both"/>
        <w:rPr>
          <w:sz w:val="24"/>
          <w:szCs w:val="24"/>
        </w:rPr>
      </w:pPr>
      <w:r>
        <w:rPr>
          <w:spacing w:val="-3"/>
          <w:sz w:val="24"/>
          <w:szCs w:val="24"/>
        </w:rPr>
        <w:t>据上述类比原则以及本工程的规模、电压等级、容量、平面布置</w:t>
      </w:r>
      <w:r>
        <w:rPr>
          <w:spacing w:val="-4"/>
          <w:sz w:val="24"/>
          <w:szCs w:val="24"/>
        </w:rPr>
        <w:t>等因素，本</w:t>
      </w:r>
      <w:r>
        <w:rPr>
          <w:spacing w:val="-1"/>
          <w:sz w:val="24"/>
          <w:szCs w:val="24"/>
        </w:rPr>
        <w:t>工程户外变电站选择普洱市思茅区</w:t>
      </w:r>
      <w:r>
        <w:rPr>
          <w:spacing w:val="-32"/>
          <w:sz w:val="24"/>
          <w:szCs w:val="24"/>
        </w:rPr>
        <w:t xml:space="preserve"> </w:t>
      </w:r>
      <w:r>
        <w:rPr>
          <w:rFonts w:ascii="Times New Roman" w:hAnsi="Times New Roman" w:eastAsia="Times New Roman" w:cs="Times New Roman"/>
          <w:spacing w:val="-1"/>
          <w:sz w:val="24"/>
          <w:szCs w:val="24"/>
        </w:rPr>
        <w:t xml:space="preserve">110kV </w:t>
      </w:r>
      <w:r>
        <w:rPr>
          <w:spacing w:val="-1"/>
          <w:sz w:val="24"/>
          <w:szCs w:val="24"/>
        </w:rPr>
        <w:t>城</w:t>
      </w:r>
      <w:r>
        <w:rPr>
          <w:spacing w:val="-2"/>
          <w:sz w:val="24"/>
          <w:szCs w:val="24"/>
        </w:rPr>
        <w:t>南变电站作为类比对象，监测报告</w:t>
      </w:r>
      <w:r>
        <w:rPr>
          <w:spacing w:val="-3"/>
          <w:sz w:val="24"/>
          <w:szCs w:val="24"/>
        </w:rPr>
        <w:t>见附件</w:t>
      </w:r>
      <w:r>
        <w:rPr>
          <w:spacing w:val="-31"/>
          <w:sz w:val="24"/>
          <w:szCs w:val="24"/>
        </w:rPr>
        <w:t xml:space="preserve"> </w:t>
      </w:r>
      <w:r>
        <w:rPr>
          <w:rFonts w:ascii="Times New Roman" w:hAnsi="Times New Roman" w:eastAsia="Times New Roman" w:cs="Times New Roman"/>
          <w:spacing w:val="-3"/>
          <w:sz w:val="24"/>
          <w:szCs w:val="24"/>
        </w:rPr>
        <w:t>17</w:t>
      </w:r>
      <w:r>
        <w:rPr>
          <w:rFonts w:ascii="Times New Roman" w:hAnsi="Times New Roman" w:eastAsia="Times New Roman" w:cs="Times New Roman"/>
          <w:spacing w:val="-27"/>
          <w:sz w:val="24"/>
          <w:szCs w:val="24"/>
        </w:rPr>
        <w:t xml:space="preserve"> </w:t>
      </w:r>
      <w:r>
        <w:rPr>
          <w:spacing w:val="-3"/>
          <w:sz w:val="24"/>
          <w:szCs w:val="24"/>
        </w:rPr>
        <w:t>。本项目</w:t>
      </w:r>
      <w:r>
        <w:rPr>
          <w:spacing w:val="-32"/>
          <w:sz w:val="24"/>
          <w:szCs w:val="24"/>
        </w:rPr>
        <w:t xml:space="preserve"> </w:t>
      </w:r>
      <w:r>
        <w:rPr>
          <w:rFonts w:ascii="Times New Roman" w:hAnsi="Times New Roman" w:eastAsia="Times New Roman" w:cs="Times New Roman"/>
          <w:spacing w:val="-3"/>
          <w:sz w:val="24"/>
          <w:szCs w:val="24"/>
        </w:rPr>
        <w:t xml:space="preserve">110kV </w:t>
      </w:r>
      <w:r>
        <w:rPr>
          <w:spacing w:val="-3"/>
          <w:sz w:val="24"/>
          <w:szCs w:val="24"/>
        </w:rPr>
        <w:t>松山变电站与类比变电站的可比性分析情况见下表。</w:t>
      </w:r>
    </w:p>
    <w:p w14:paraId="4A49AF89">
      <w:pPr>
        <w:pStyle w:val="2"/>
        <w:spacing w:line="227" w:lineRule="auto"/>
        <w:ind w:left="2840"/>
        <w:rPr>
          <w:sz w:val="20"/>
          <w:szCs w:val="20"/>
        </w:rPr>
      </w:pPr>
      <w:r>
        <w:rPr>
          <w:b/>
          <w:bCs/>
          <w:spacing w:val="5"/>
          <w:sz w:val="20"/>
          <w:szCs w:val="20"/>
        </w:rPr>
        <w:t>表</w:t>
      </w:r>
      <w:r>
        <w:rPr>
          <w:spacing w:val="-28"/>
          <w:sz w:val="20"/>
          <w:szCs w:val="20"/>
        </w:rPr>
        <w:t xml:space="preserve"> </w:t>
      </w:r>
      <w:r>
        <w:rPr>
          <w:rFonts w:ascii="Times New Roman" w:hAnsi="Times New Roman" w:eastAsia="Times New Roman" w:cs="Times New Roman"/>
          <w:b/>
          <w:bCs/>
          <w:spacing w:val="5"/>
          <w:sz w:val="20"/>
          <w:szCs w:val="20"/>
        </w:rPr>
        <w:t xml:space="preserve">5-1    </w:t>
      </w:r>
      <w:r>
        <w:rPr>
          <w:b/>
          <w:bCs/>
          <w:spacing w:val="5"/>
          <w:sz w:val="20"/>
          <w:szCs w:val="20"/>
        </w:rPr>
        <w:t>变电站类比参数一览表</w:t>
      </w:r>
    </w:p>
    <w:p w14:paraId="5BBF46E2">
      <w:pPr>
        <w:spacing w:line="14" w:lineRule="exact"/>
      </w:pPr>
    </w:p>
    <w:tbl>
      <w:tblPr>
        <w:tblStyle w:val="5"/>
        <w:tblW w:w="85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6"/>
        <w:gridCol w:w="2558"/>
        <w:gridCol w:w="3325"/>
        <w:gridCol w:w="1354"/>
      </w:tblGrid>
      <w:tr w14:paraId="1AF8B3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286" w:type="dxa"/>
            <w:shd w:val="clear" w:color="auto" w:fill="BEBEBE"/>
            <w:vAlign w:val="top"/>
          </w:tcPr>
          <w:p w14:paraId="39F8EB40">
            <w:pPr>
              <w:pStyle w:val="6"/>
              <w:spacing w:before="56" w:line="228" w:lineRule="auto"/>
              <w:ind w:left="231"/>
            </w:pPr>
            <w:r>
              <w:rPr>
                <w:b/>
                <w:bCs/>
                <w:spacing w:val="5"/>
              </w:rPr>
              <w:t>项目名称</w:t>
            </w:r>
          </w:p>
        </w:tc>
        <w:tc>
          <w:tcPr>
            <w:tcW w:w="2558" w:type="dxa"/>
            <w:shd w:val="clear" w:color="auto" w:fill="BEBEBE"/>
            <w:vAlign w:val="top"/>
          </w:tcPr>
          <w:p w14:paraId="5909A628">
            <w:pPr>
              <w:pStyle w:val="6"/>
              <w:spacing w:before="56" w:line="228" w:lineRule="auto"/>
              <w:ind w:left="449"/>
            </w:pPr>
            <w:r>
              <w:rPr>
                <w:rFonts w:ascii="Times New Roman" w:hAnsi="Times New Roman" w:eastAsia="Times New Roman" w:cs="Times New Roman"/>
                <w:b/>
                <w:bCs/>
                <w:spacing w:val="5"/>
              </w:rPr>
              <w:t>110</w:t>
            </w:r>
            <w:r>
              <w:rPr>
                <w:rFonts w:ascii="Times New Roman" w:hAnsi="Times New Roman" w:eastAsia="Times New Roman" w:cs="Times New Roman"/>
                <w:b/>
                <w:bCs/>
              </w:rPr>
              <w:t>kV</w:t>
            </w:r>
            <w:r>
              <w:rPr>
                <w:rFonts w:ascii="Times New Roman" w:hAnsi="Times New Roman" w:eastAsia="Times New Roman" w:cs="Times New Roman"/>
                <w:b/>
                <w:bCs/>
                <w:spacing w:val="5"/>
              </w:rPr>
              <w:t xml:space="preserve"> </w:t>
            </w:r>
            <w:r>
              <w:rPr>
                <w:b/>
                <w:bCs/>
                <w:spacing w:val="5"/>
              </w:rPr>
              <w:t>松山变电站</w:t>
            </w:r>
          </w:p>
        </w:tc>
        <w:tc>
          <w:tcPr>
            <w:tcW w:w="3325" w:type="dxa"/>
            <w:shd w:val="clear" w:color="auto" w:fill="BEBEBE"/>
            <w:vAlign w:val="top"/>
          </w:tcPr>
          <w:p w14:paraId="5BCC0A97">
            <w:pPr>
              <w:pStyle w:val="6"/>
              <w:spacing w:before="56" w:line="228" w:lineRule="auto"/>
              <w:ind w:left="170"/>
            </w:pPr>
            <w:r>
              <w:rPr>
                <w:b/>
                <w:bCs/>
                <w:spacing w:val="6"/>
              </w:rPr>
              <w:t>普洱市思茅区</w:t>
            </w:r>
            <w:r>
              <w:rPr>
                <w:spacing w:val="-32"/>
              </w:rPr>
              <w:t xml:space="preserve"> </w:t>
            </w:r>
            <w:r>
              <w:rPr>
                <w:rFonts w:ascii="Times New Roman" w:hAnsi="Times New Roman" w:eastAsia="Times New Roman" w:cs="Times New Roman"/>
                <w:b/>
                <w:bCs/>
                <w:spacing w:val="6"/>
              </w:rPr>
              <w:t>110</w:t>
            </w:r>
            <w:r>
              <w:rPr>
                <w:rFonts w:ascii="Times New Roman" w:hAnsi="Times New Roman" w:eastAsia="Times New Roman" w:cs="Times New Roman"/>
                <w:b/>
                <w:bCs/>
              </w:rPr>
              <w:t>kV</w:t>
            </w:r>
            <w:r>
              <w:rPr>
                <w:rFonts w:ascii="Times New Roman" w:hAnsi="Times New Roman" w:eastAsia="Times New Roman" w:cs="Times New Roman"/>
                <w:b/>
                <w:bCs/>
                <w:spacing w:val="6"/>
              </w:rPr>
              <w:t xml:space="preserve"> </w:t>
            </w:r>
            <w:r>
              <w:rPr>
                <w:b/>
                <w:bCs/>
                <w:spacing w:val="6"/>
              </w:rPr>
              <w:t>城南变电站</w:t>
            </w:r>
          </w:p>
        </w:tc>
        <w:tc>
          <w:tcPr>
            <w:tcW w:w="1354" w:type="dxa"/>
            <w:shd w:val="clear" w:color="auto" w:fill="BEBEBE"/>
            <w:vAlign w:val="top"/>
          </w:tcPr>
          <w:p w14:paraId="01B5CA45">
            <w:pPr>
              <w:pStyle w:val="6"/>
              <w:spacing w:before="56" w:line="228" w:lineRule="auto"/>
              <w:ind w:left="261"/>
            </w:pPr>
            <w:r>
              <w:rPr>
                <w:b/>
                <w:bCs/>
                <w:spacing w:val="6"/>
              </w:rPr>
              <w:t>类比条件</w:t>
            </w:r>
          </w:p>
        </w:tc>
      </w:tr>
      <w:tr w14:paraId="2521B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286" w:type="dxa"/>
            <w:vAlign w:val="top"/>
          </w:tcPr>
          <w:p w14:paraId="667AAF32">
            <w:pPr>
              <w:pStyle w:val="6"/>
              <w:spacing w:before="52" w:line="228" w:lineRule="auto"/>
              <w:ind w:left="252"/>
            </w:pPr>
            <w:r>
              <w:rPr>
                <w:spacing w:val="1"/>
              </w:rPr>
              <w:t>电压等级</w:t>
            </w:r>
          </w:p>
          <w:p w14:paraId="193B1AAB">
            <w:pPr>
              <w:pStyle w:val="6"/>
              <w:spacing w:before="64" w:line="232" w:lineRule="auto"/>
              <w:ind w:left="319"/>
            </w:pPr>
            <w:r>
              <w:rPr>
                <w:spacing w:val="1"/>
              </w:rPr>
              <w:t>（</w:t>
            </w:r>
            <w:r>
              <w:rPr>
                <w:rFonts w:ascii="Times New Roman" w:hAnsi="Times New Roman" w:eastAsia="Times New Roman" w:cs="Times New Roman"/>
              </w:rPr>
              <w:t>kV</w:t>
            </w:r>
            <w:r>
              <w:rPr>
                <w:spacing w:val="1"/>
              </w:rPr>
              <w:t>）</w:t>
            </w:r>
          </w:p>
        </w:tc>
        <w:tc>
          <w:tcPr>
            <w:tcW w:w="2558" w:type="dxa"/>
            <w:vAlign w:val="top"/>
          </w:tcPr>
          <w:p w14:paraId="62F6EA7A">
            <w:pPr>
              <w:spacing w:before="241" w:line="199" w:lineRule="auto"/>
              <w:ind w:left="49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110</w:t>
            </w:r>
            <w:r>
              <w:rPr>
                <w:rFonts w:ascii="Times New Roman" w:hAnsi="Times New Roman" w:eastAsia="Times New Roman" w:cs="Times New Roman"/>
                <w:sz w:val="20"/>
                <w:szCs w:val="20"/>
              </w:rPr>
              <w:t>kV</w:t>
            </w:r>
            <w:r>
              <w:rPr>
                <w:rFonts w:ascii="Times New Roman" w:hAnsi="Times New Roman" w:eastAsia="Times New Roman" w:cs="Times New Roman"/>
                <w:spacing w:val="4"/>
                <w:sz w:val="20"/>
                <w:szCs w:val="20"/>
              </w:rPr>
              <w:t>/35</w:t>
            </w:r>
            <w:r>
              <w:rPr>
                <w:rFonts w:ascii="Times New Roman" w:hAnsi="Times New Roman" w:eastAsia="Times New Roman" w:cs="Times New Roman"/>
                <w:sz w:val="20"/>
                <w:szCs w:val="20"/>
              </w:rPr>
              <w:t>kV</w:t>
            </w:r>
            <w:r>
              <w:rPr>
                <w:rFonts w:ascii="Times New Roman" w:hAnsi="Times New Roman" w:eastAsia="Times New Roman" w:cs="Times New Roman"/>
                <w:spacing w:val="4"/>
                <w:sz w:val="20"/>
                <w:szCs w:val="20"/>
              </w:rPr>
              <w:t>/10</w:t>
            </w:r>
            <w:r>
              <w:rPr>
                <w:rFonts w:ascii="Times New Roman" w:hAnsi="Times New Roman" w:eastAsia="Times New Roman" w:cs="Times New Roman"/>
                <w:sz w:val="20"/>
                <w:szCs w:val="20"/>
              </w:rPr>
              <w:t>kV</w:t>
            </w:r>
          </w:p>
        </w:tc>
        <w:tc>
          <w:tcPr>
            <w:tcW w:w="3325" w:type="dxa"/>
            <w:vAlign w:val="top"/>
          </w:tcPr>
          <w:p w14:paraId="60AD0AF9">
            <w:pPr>
              <w:spacing w:before="241" w:line="199" w:lineRule="auto"/>
              <w:ind w:left="87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110</w:t>
            </w:r>
            <w:r>
              <w:rPr>
                <w:rFonts w:ascii="Times New Roman" w:hAnsi="Times New Roman" w:eastAsia="Times New Roman" w:cs="Times New Roman"/>
                <w:sz w:val="20"/>
                <w:szCs w:val="20"/>
              </w:rPr>
              <w:t>kV</w:t>
            </w:r>
            <w:r>
              <w:rPr>
                <w:rFonts w:ascii="Times New Roman" w:hAnsi="Times New Roman" w:eastAsia="Times New Roman" w:cs="Times New Roman"/>
                <w:spacing w:val="4"/>
                <w:sz w:val="20"/>
                <w:szCs w:val="20"/>
              </w:rPr>
              <w:t>/35</w:t>
            </w:r>
            <w:r>
              <w:rPr>
                <w:rFonts w:ascii="Times New Roman" w:hAnsi="Times New Roman" w:eastAsia="Times New Roman" w:cs="Times New Roman"/>
                <w:sz w:val="20"/>
                <w:szCs w:val="20"/>
              </w:rPr>
              <w:t>kV</w:t>
            </w:r>
            <w:r>
              <w:rPr>
                <w:rFonts w:ascii="Times New Roman" w:hAnsi="Times New Roman" w:eastAsia="Times New Roman" w:cs="Times New Roman"/>
                <w:spacing w:val="4"/>
                <w:sz w:val="20"/>
                <w:szCs w:val="20"/>
              </w:rPr>
              <w:t>/10</w:t>
            </w:r>
            <w:r>
              <w:rPr>
                <w:rFonts w:ascii="Times New Roman" w:hAnsi="Times New Roman" w:eastAsia="Times New Roman" w:cs="Times New Roman"/>
                <w:sz w:val="20"/>
                <w:szCs w:val="20"/>
              </w:rPr>
              <w:t>kV</w:t>
            </w:r>
          </w:p>
        </w:tc>
        <w:tc>
          <w:tcPr>
            <w:tcW w:w="1354" w:type="dxa"/>
            <w:vAlign w:val="top"/>
          </w:tcPr>
          <w:p w14:paraId="19DC9C05">
            <w:pPr>
              <w:pStyle w:val="6"/>
              <w:spacing w:before="209" w:line="228" w:lineRule="auto"/>
              <w:ind w:left="475"/>
            </w:pPr>
            <w:r>
              <w:rPr>
                <w:spacing w:val="3"/>
              </w:rPr>
              <w:t>一致</w:t>
            </w:r>
          </w:p>
        </w:tc>
      </w:tr>
      <w:tr w14:paraId="7934D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286" w:type="dxa"/>
            <w:vAlign w:val="top"/>
          </w:tcPr>
          <w:p w14:paraId="33EEFE6A">
            <w:pPr>
              <w:pStyle w:val="6"/>
              <w:spacing w:before="55" w:line="227" w:lineRule="auto"/>
              <w:ind w:left="227"/>
            </w:pPr>
            <w:r>
              <w:rPr>
                <w:spacing w:val="7"/>
              </w:rPr>
              <w:t>布置形式</w:t>
            </w:r>
          </w:p>
        </w:tc>
        <w:tc>
          <w:tcPr>
            <w:tcW w:w="2558" w:type="dxa"/>
            <w:vAlign w:val="top"/>
          </w:tcPr>
          <w:p w14:paraId="5F8B28D9">
            <w:pPr>
              <w:pStyle w:val="6"/>
              <w:spacing w:before="56" w:line="228" w:lineRule="auto"/>
              <w:ind w:left="970"/>
            </w:pPr>
            <w:r>
              <w:rPr>
                <w:spacing w:val="6"/>
              </w:rPr>
              <w:t>户外式</w:t>
            </w:r>
          </w:p>
        </w:tc>
        <w:tc>
          <w:tcPr>
            <w:tcW w:w="3325" w:type="dxa"/>
            <w:vAlign w:val="top"/>
          </w:tcPr>
          <w:p w14:paraId="09CDE149">
            <w:pPr>
              <w:pStyle w:val="6"/>
              <w:spacing w:before="56" w:line="228" w:lineRule="auto"/>
              <w:ind w:left="1354"/>
            </w:pPr>
            <w:r>
              <w:rPr>
                <w:spacing w:val="6"/>
              </w:rPr>
              <w:t>户外式</w:t>
            </w:r>
          </w:p>
        </w:tc>
        <w:tc>
          <w:tcPr>
            <w:tcW w:w="1354" w:type="dxa"/>
            <w:vAlign w:val="top"/>
          </w:tcPr>
          <w:p w14:paraId="0CE69F84">
            <w:pPr>
              <w:pStyle w:val="6"/>
              <w:spacing w:before="56" w:line="228" w:lineRule="auto"/>
              <w:ind w:left="475"/>
            </w:pPr>
            <w:r>
              <w:rPr>
                <w:spacing w:val="3"/>
              </w:rPr>
              <w:t>一致</w:t>
            </w:r>
          </w:p>
        </w:tc>
      </w:tr>
    </w:tbl>
    <w:p w14:paraId="0BB3289E">
      <w:pPr>
        <w:rPr>
          <w:rFonts w:ascii="Arial"/>
          <w:sz w:val="21"/>
        </w:rPr>
      </w:pPr>
    </w:p>
    <w:p w14:paraId="710A544D">
      <w:pPr>
        <w:rPr>
          <w:rFonts w:ascii="Arial" w:hAnsi="Arial" w:eastAsia="Arial" w:cs="Arial"/>
          <w:sz w:val="21"/>
          <w:szCs w:val="21"/>
        </w:rPr>
        <w:sectPr>
          <w:footerReference r:id="rId174" w:type="default"/>
          <w:pgSz w:w="11906" w:h="16839"/>
          <w:pgMar w:top="400" w:right="1689" w:bottom="1147" w:left="1688" w:header="0" w:footer="960" w:gutter="0"/>
          <w:cols w:space="720" w:num="1"/>
        </w:sectPr>
      </w:pPr>
    </w:p>
    <w:p w14:paraId="20A00110">
      <w:pPr>
        <w:spacing w:before="19"/>
      </w:pPr>
    </w:p>
    <w:p w14:paraId="7B078F4F">
      <w:pPr>
        <w:spacing w:before="19"/>
      </w:pPr>
    </w:p>
    <w:p w14:paraId="55351A33">
      <w:pPr>
        <w:spacing w:before="18"/>
      </w:pPr>
    </w:p>
    <w:p w14:paraId="065B4DBB">
      <w:pPr>
        <w:spacing w:before="18"/>
      </w:pPr>
    </w:p>
    <w:tbl>
      <w:tblPr>
        <w:tblStyle w:val="5"/>
        <w:tblW w:w="85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6"/>
        <w:gridCol w:w="2558"/>
        <w:gridCol w:w="3325"/>
        <w:gridCol w:w="1354"/>
      </w:tblGrid>
      <w:tr w14:paraId="09833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286" w:type="dxa"/>
            <w:vAlign w:val="top"/>
          </w:tcPr>
          <w:p w14:paraId="04300438">
            <w:pPr>
              <w:pStyle w:val="6"/>
              <w:spacing w:before="56" w:line="228" w:lineRule="auto"/>
              <w:ind w:left="229"/>
            </w:pPr>
            <w:r>
              <w:rPr>
                <w:spacing w:val="6"/>
              </w:rPr>
              <w:t>主变容量</w:t>
            </w:r>
          </w:p>
        </w:tc>
        <w:tc>
          <w:tcPr>
            <w:tcW w:w="2558" w:type="dxa"/>
            <w:vAlign w:val="top"/>
          </w:tcPr>
          <w:p w14:paraId="276FE2D2">
            <w:pPr>
              <w:pStyle w:val="6"/>
              <w:spacing w:before="56" w:line="227" w:lineRule="auto"/>
              <w:ind w:left="598"/>
              <w:rPr>
                <w:rFonts w:ascii="Times New Roman" w:hAnsi="Times New Roman" w:eastAsia="Times New Roman" w:cs="Times New Roman"/>
              </w:rPr>
            </w:pPr>
            <w:r>
              <w:rPr>
                <w:spacing w:val="6"/>
              </w:rPr>
              <w:t>本期</w:t>
            </w:r>
            <w:r>
              <w:rPr>
                <w:spacing w:val="-39"/>
              </w:rPr>
              <w:t xml:space="preserve"> </w:t>
            </w:r>
            <w:r>
              <w:rPr>
                <w:rFonts w:ascii="Times New Roman" w:hAnsi="Times New Roman" w:eastAsia="Times New Roman" w:cs="Times New Roman"/>
                <w:spacing w:val="6"/>
              </w:rPr>
              <w:t>2×50</w:t>
            </w:r>
            <w:r>
              <w:rPr>
                <w:rFonts w:ascii="Times New Roman" w:hAnsi="Times New Roman" w:eastAsia="Times New Roman" w:cs="Times New Roman"/>
              </w:rPr>
              <w:t>MVA</w:t>
            </w:r>
          </w:p>
        </w:tc>
        <w:tc>
          <w:tcPr>
            <w:tcW w:w="3325" w:type="dxa"/>
            <w:vAlign w:val="top"/>
          </w:tcPr>
          <w:p w14:paraId="60525B41">
            <w:pPr>
              <w:spacing w:before="92" w:line="195" w:lineRule="auto"/>
              <w:ind w:left="1215"/>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2×50</w:t>
            </w:r>
            <w:r>
              <w:rPr>
                <w:rFonts w:ascii="Times New Roman" w:hAnsi="Times New Roman" w:eastAsia="Times New Roman" w:cs="Times New Roman"/>
                <w:sz w:val="20"/>
                <w:szCs w:val="20"/>
              </w:rPr>
              <w:t>MVA</w:t>
            </w:r>
          </w:p>
        </w:tc>
        <w:tc>
          <w:tcPr>
            <w:tcW w:w="1354" w:type="dxa"/>
            <w:vAlign w:val="top"/>
          </w:tcPr>
          <w:p w14:paraId="0B6B3183">
            <w:pPr>
              <w:pStyle w:val="6"/>
              <w:spacing w:before="56" w:line="228" w:lineRule="auto"/>
              <w:ind w:left="475"/>
            </w:pPr>
            <w:r>
              <w:rPr>
                <w:spacing w:val="3"/>
              </w:rPr>
              <w:t>一致</w:t>
            </w:r>
          </w:p>
        </w:tc>
      </w:tr>
      <w:tr w14:paraId="2F1E4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5" w:hRule="atLeast"/>
        </w:trPr>
        <w:tc>
          <w:tcPr>
            <w:tcW w:w="1286" w:type="dxa"/>
            <w:vAlign w:val="top"/>
          </w:tcPr>
          <w:p w14:paraId="245D8C80">
            <w:pPr>
              <w:spacing w:line="254" w:lineRule="auto"/>
              <w:rPr>
                <w:rFonts w:ascii="Arial"/>
                <w:sz w:val="21"/>
              </w:rPr>
            </w:pPr>
          </w:p>
          <w:p w14:paraId="71FA86A8">
            <w:pPr>
              <w:spacing w:line="254" w:lineRule="auto"/>
              <w:rPr>
                <w:rFonts w:ascii="Arial"/>
                <w:sz w:val="21"/>
              </w:rPr>
            </w:pPr>
          </w:p>
          <w:p w14:paraId="21F09479">
            <w:pPr>
              <w:spacing w:line="254" w:lineRule="auto"/>
              <w:rPr>
                <w:rFonts w:ascii="Arial"/>
                <w:sz w:val="21"/>
              </w:rPr>
            </w:pPr>
          </w:p>
          <w:p w14:paraId="1A4E3E6A">
            <w:pPr>
              <w:pStyle w:val="6"/>
              <w:spacing w:before="65" w:line="227" w:lineRule="auto"/>
              <w:ind w:left="130"/>
            </w:pPr>
            <w:r>
              <w:rPr>
                <w:spacing w:val="7"/>
              </w:rPr>
              <w:t>总平面布置</w:t>
            </w:r>
          </w:p>
        </w:tc>
        <w:tc>
          <w:tcPr>
            <w:tcW w:w="2558" w:type="dxa"/>
            <w:vAlign w:val="top"/>
          </w:tcPr>
          <w:p w14:paraId="3EDD3F6D">
            <w:pPr>
              <w:pStyle w:val="6"/>
              <w:spacing w:before="51" w:line="228" w:lineRule="auto"/>
              <w:ind w:left="49"/>
            </w:pPr>
            <w:r>
              <w:rPr>
                <w:spacing w:val="2"/>
              </w:rPr>
              <w:t>主变位于中部，</w:t>
            </w:r>
            <w:r>
              <w:rPr>
                <w:rFonts w:ascii="Times New Roman" w:hAnsi="Times New Roman" w:eastAsia="Times New Roman" w:cs="Times New Roman"/>
                <w:spacing w:val="2"/>
              </w:rPr>
              <w:t>110</w:t>
            </w:r>
            <w:r>
              <w:rPr>
                <w:rFonts w:ascii="Times New Roman" w:hAnsi="Times New Roman" w:eastAsia="Times New Roman" w:cs="Times New Roman"/>
              </w:rPr>
              <w:t>kV</w:t>
            </w:r>
            <w:r>
              <w:rPr>
                <w:rFonts w:ascii="Times New Roman" w:hAnsi="Times New Roman" w:eastAsia="Times New Roman" w:cs="Times New Roman"/>
                <w:spacing w:val="38"/>
              </w:rPr>
              <w:t xml:space="preserve"> </w:t>
            </w:r>
            <w:r>
              <w:rPr>
                <w:spacing w:val="2"/>
              </w:rPr>
              <w:t>出线</w:t>
            </w:r>
          </w:p>
          <w:p w14:paraId="6C118BEE">
            <w:pPr>
              <w:pStyle w:val="6"/>
              <w:spacing w:before="64" w:line="228" w:lineRule="auto"/>
              <w:ind w:left="128"/>
            </w:pPr>
            <w:r>
              <w:rPr>
                <w:spacing w:val="8"/>
              </w:rPr>
              <w:t>及开关场位于站址西侧，</w:t>
            </w:r>
          </w:p>
          <w:p w14:paraId="72E26248">
            <w:pPr>
              <w:pStyle w:val="6"/>
              <w:spacing w:before="65" w:line="228" w:lineRule="auto"/>
              <w:ind w:left="153"/>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主控配电综合楼位</w:t>
            </w:r>
          </w:p>
          <w:p w14:paraId="5462EF7D">
            <w:pPr>
              <w:pStyle w:val="6"/>
              <w:spacing w:before="64" w:line="228" w:lineRule="auto"/>
              <w:ind w:left="85"/>
              <w:rPr>
                <w:rFonts w:ascii="Times New Roman" w:hAnsi="Times New Roman" w:eastAsia="Times New Roman" w:cs="Times New Roman"/>
              </w:rPr>
            </w:pPr>
            <w:r>
              <w:rPr>
                <w:spacing w:val="7"/>
              </w:rPr>
              <w:t>于站址东侧，</w:t>
            </w:r>
            <w:r>
              <w:rPr>
                <w:rFonts w:ascii="Times New Roman" w:hAnsi="Times New Roman" w:eastAsia="Times New Roman" w:cs="Times New Roman"/>
                <w:spacing w:val="7"/>
              </w:rPr>
              <w:t>10</w:t>
            </w:r>
            <w:r>
              <w:rPr>
                <w:rFonts w:ascii="Times New Roman" w:hAnsi="Times New Roman" w:eastAsia="Times New Roman" w:cs="Times New Roman"/>
              </w:rPr>
              <w:t>kV</w:t>
            </w:r>
            <w:r>
              <w:rPr>
                <w:rFonts w:ascii="Times New Roman" w:hAnsi="Times New Roman" w:eastAsia="Times New Roman" w:cs="Times New Roman"/>
                <w:spacing w:val="-27"/>
              </w:rPr>
              <w:t xml:space="preserve"> </w:t>
            </w:r>
            <w:r>
              <w:rPr>
                <w:spacing w:val="7"/>
              </w:rPr>
              <w:t>、</w:t>
            </w:r>
            <w:r>
              <w:rPr>
                <w:rFonts w:ascii="Times New Roman" w:hAnsi="Times New Roman" w:eastAsia="Times New Roman" w:cs="Times New Roman"/>
                <w:spacing w:val="7"/>
              </w:rPr>
              <w:t>35</w:t>
            </w:r>
            <w:r>
              <w:rPr>
                <w:rFonts w:ascii="Times New Roman" w:hAnsi="Times New Roman" w:eastAsia="Times New Roman" w:cs="Times New Roman"/>
              </w:rPr>
              <w:t>kV</w:t>
            </w:r>
          </w:p>
          <w:p w14:paraId="462727F3">
            <w:pPr>
              <w:pStyle w:val="6"/>
              <w:spacing w:before="66" w:line="228" w:lineRule="auto"/>
              <w:ind w:left="129"/>
            </w:pPr>
            <w:r>
              <w:rPr>
                <w:spacing w:val="9"/>
              </w:rPr>
              <w:t>配电装置分别位于站址南</w:t>
            </w:r>
          </w:p>
          <w:p w14:paraId="61C0B294">
            <w:pPr>
              <w:pStyle w:val="6"/>
              <w:spacing w:before="64" w:line="228" w:lineRule="auto"/>
              <w:ind w:left="756"/>
            </w:pPr>
            <w:r>
              <w:rPr>
                <w:spacing w:val="6"/>
              </w:rPr>
              <w:t>侧、北侧；</w:t>
            </w:r>
          </w:p>
        </w:tc>
        <w:tc>
          <w:tcPr>
            <w:tcW w:w="3325" w:type="dxa"/>
            <w:vAlign w:val="top"/>
          </w:tcPr>
          <w:p w14:paraId="3A2027C3">
            <w:pPr>
              <w:spacing w:line="296" w:lineRule="auto"/>
              <w:rPr>
                <w:rFonts w:ascii="Arial"/>
                <w:sz w:val="21"/>
              </w:rPr>
            </w:pPr>
          </w:p>
          <w:p w14:paraId="477AE38B">
            <w:pPr>
              <w:pStyle w:val="6"/>
              <w:spacing w:before="65" w:line="228" w:lineRule="auto"/>
              <w:ind w:left="115"/>
            </w:pPr>
            <w:r>
              <w:rPr>
                <w:spacing w:val="4"/>
              </w:rPr>
              <w:t>主变位于中部，</w:t>
            </w:r>
            <w:r>
              <w:rPr>
                <w:rFonts w:ascii="Times New Roman" w:hAnsi="Times New Roman" w:eastAsia="Times New Roman" w:cs="Times New Roman"/>
                <w:spacing w:val="4"/>
              </w:rPr>
              <w:t>110</w:t>
            </w:r>
            <w:r>
              <w:rPr>
                <w:rFonts w:ascii="Times New Roman" w:hAnsi="Times New Roman" w:eastAsia="Times New Roman" w:cs="Times New Roman"/>
              </w:rPr>
              <w:t>kV</w:t>
            </w:r>
            <w:r>
              <w:rPr>
                <w:rFonts w:ascii="Times New Roman" w:hAnsi="Times New Roman" w:eastAsia="Times New Roman" w:cs="Times New Roman"/>
                <w:spacing w:val="45"/>
              </w:rPr>
              <w:t xml:space="preserve"> </w:t>
            </w:r>
            <w:r>
              <w:rPr>
                <w:spacing w:val="4"/>
              </w:rPr>
              <w:t>出线及开关</w:t>
            </w:r>
          </w:p>
          <w:p w14:paraId="09EABA84">
            <w:pPr>
              <w:pStyle w:val="6"/>
              <w:spacing w:before="65" w:line="228" w:lineRule="auto"/>
              <w:ind w:left="112"/>
            </w:pPr>
            <w:r>
              <w:rPr>
                <w:spacing w:val="6"/>
              </w:rPr>
              <w:t>场位于站址西侧，</w:t>
            </w: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主控配电</w:t>
            </w:r>
          </w:p>
          <w:p w14:paraId="3F072515">
            <w:pPr>
              <w:pStyle w:val="6"/>
              <w:spacing w:before="64" w:line="228" w:lineRule="auto"/>
              <w:ind w:left="115"/>
              <w:rPr>
                <w:rFonts w:ascii="Times New Roman" w:hAnsi="Times New Roman" w:eastAsia="Times New Roman" w:cs="Times New Roman"/>
              </w:rPr>
            </w:pPr>
            <w:r>
              <w:t>综合楼位于站址东侧，</w:t>
            </w:r>
            <w:r>
              <w:rPr>
                <w:rFonts w:ascii="Times New Roman" w:hAnsi="Times New Roman" w:eastAsia="Times New Roman" w:cs="Times New Roman"/>
              </w:rPr>
              <w:t>10kV</w:t>
            </w:r>
            <w:r>
              <w:t>、</w:t>
            </w:r>
            <w:r>
              <w:rPr>
                <w:rFonts w:ascii="Times New Roman" w:hAnsi="Times New Roman" w:eastAsia="Times New Roman" w:cs="Times New Roman"/>
              </w:rPr>
              <w:t>35kV</w:t>
            </w:r>
          </w:p>
          <w:p w14:paraId="7AF078F7">
            <w:pPr>
              <w:pStyle w:val="6"/>
              <w:spacing w:before="65" w:line="228" w:lineRule="auto"/>
              <w:ind w:left="514"/>
            </w:pPr>
            <w:r>
              <w:rPr>
                <w:spacing w:val="8"/>
              </w:rPr>
              <w:t>配电装置位于站址东侧；</w:t>
            </w:r>
          </w:p>
        </w:tc>
        <w:tc>
          <w:tcPr>
            <w:tcW w:w="1354" w:type="dxa"/>
            <w:vAlign w:val="top"/>
          </w:tcPr>
          <w:p w14:paraId="7CFDF37E">
            <w:pPr>
              <w:spacing w:line="267" w:lineRule="auto"/>
              <w:rPr>
                <w:rFonts w:ascii="Arial"/>
                <w:sz w:val="21"/>
              </w:rPr>
            </w:pPr>
          </w:p>
          <w:p w14:paraId="07CDED9D">
            <w:pPr>
              <w:spacing w:line="267" w:lineRule="auto"/>
              <w:rPr>
                <w:rFonts w:ascii="Arial"/>
                <w:sz w:val="21"/>
              </w:rPr>
            </w:pPr>
          </w:p>
          <w:p w14:paraId="2A30C13E">
            <w:pPr>
              <w:spacing w:line="267" w:lineRule="auto"/>
              <w:rPr>
                <w:rFonts w:ascii="Arial"/>
                <w:sz w:val="21"/>
              </w:rPr>
            </w:pPr>
          </w:p>
          <w:p w14:paraId="2F254074">
            <w:pPr>
              <w:spacing w:before="58" w:line="199" w:lineRule="auto"/>
              <w:ind w:left="6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1C4D0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86" w:type="dxa"/>
            <w:vAlign w:val="top"/>
          </w:tcPr>
          <w:p w14:paraId="5D0EDCCD">
            <w:pPr>
              <w:pStyle w:val="6"/>
              <w:spacing w:before="54" w:line="228" w:lineRule="auto"/>
              <w:ind w:left="148"/>
            </w:pPr>
            <w:r>
              <w:rPr>
                <w:rFonts w:ascii="Times New Roman" w:hAnsi="Times New Roman" w:eastAsia="Times New Roman" w:cs="Times New Roman"/>
                <w:spacing w:val="-3"/>
              </w:rPr>
              <w:t>110kV</w:t>
            </w:r>
            <w:r>
              <w:rPr>
                <w:rFonts w:ascii="Times New Roman" w:hAnsi="Times New Roman" w:eastAsia="Times New Roman" w:cs="Times New Roman"/>
                <w:spacing w:val="33"/>
              </w:rPr>
              <w:t xml:space="preserve"> </w:t>
            </w:r>
            <w:r>
              <w:rPr>
                <w:spacing w:val="-3"/>
              </w:rPr>
              <w:t>出线</w:t>
            </w:r>
          </w:p>
        </w:tc>
        <w:tc>
          <w:tcPr>
            <w:tcW w:w="2558" w:type="dxa"/>
            <w:vAlign w:val="top"/>
          </w:tcPr>
          <w:p w14:paraId="7BFDB132">
            <w:pPr>
              <w:pStyle w:val="6"/>
              <w:spacing w:before="53" w:line="231" w:lineRule="auto"/>
              <w:ind w:left="1095"/>
            </w:pPr>
            <w:r>
              <w:rPr>
                <w:rFonts w:ascii="Times New Roman" w:hAnsi="Times New Roman" w:eastAsia="Times New Roman" w:cs="Times New Roman"/>
              </w:rPr>
              <w:t>2</w:t>
            </w:r>
            <w:r>
              <w:rPr>
                <w:rFonts w:ascii="Times New Roman" w:hAnsi="Times New Roman" w:eastAsia="Times New Roman" w:cs="Times New Roman"/>
                <w:spacing w:val="32"/>
                <w:w w:val="101"/>
              </w:rPr>
              <w:t xml:space="preserve"> </w:t>
            </w:r>
            <w:r>
              <w:t>回</w:t>
            </w:r>
          </w:p>
        </w:tc>
        <w:tc>
          <w:tcPr>
            <w:tcW w:w="3325" w:type="dxa"/>
            <w:vAlign w:val="top"/>
          </w:tcPr>
          <w:p w14:paraId="4361D7F2">
            <w:pPr>
              <w:pStyle w:val="6"/>
              <w:spacing w:before="53" w:line="231" w:lineRule="auto"/>
              <w:ind w:left="1479"/>
            </w:pPr>
            <w:r>
              <w:rPr>
                <w:rFonts w:ascii="Times New Roman" w:hAnsi="Times New Roman" w:eastAsia="Times New Roman" w:cs="Times New Roman"/>
              </w:rPr>
              <w:t>2</w:t>
            </w:r>
            <w:r>
              <w:rPr>
                <w:rFonts w:ascii="Times New Roman" w:hAnsi="Times New Roman" w:eastAsia="Times New Roman" w:cs="Times New Roman"/>
                <w:spacing w:val="32"/>
                <w:w w:val="101"/>
              </w:rPr>
              <w:t xml:space="preserve"> </w:t>
            </w:r>
            <w:r>
              <w:t>回</w:t>
            </w:r>
          </w:p>
        </w:tc>
        <w:tc>
          <w:tcPr>
            <w:tcW w:w="1354" w:type="dxa"/>
            <w:vAlign w:val="top"/>
          </w:tcPr>
          <w:p w14:paraId="6CF85D53">
            <w:pPr>
              <w:pStyle w:val="6"/>
              <w:spacing w:before="54" w:line="228" w:lineRule="auto"/>
              <w:ind w:left="475"/>
            </w:pPr>
            <w:r>
              <w:rPr>
                <w:spacing w:val="3"/>
              </w:rPr>
              <w:t>一致</w:t>
            </w:r>
          </w:p>
        </w:tc>
      </w:tr>
      <w:tr w14:paraId="02599D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86" w:type="dxa"/>
            <w:vAlign w:val="top"/>
          </w:tcPr>
          <w:p w14:paraId="369100D3">
            <w:pPr>
              <w:pStyle w:val="6"/>
              <w:spacing w:before="53" w:line="228" w:lineRule="auto"/>
              <w:ind w:left="180"/>
            </w:pPr>
            <w:r>
              <w:rPr>
                <w:rFonts w:ascii="Times New Roman" w:hAnsi="Times New Roman" w:eastAsia="Times New Roman" w:cs="Times New Roman"/>
              </w:rPr>
              <w:t>35kV</w:t>
            </w:r>
            <w:r>
              <w:rPr>
                <w:rFonts w:ascii="Times New Roman" w:hAnsi="Times New Roman" w:eastAsia="Times New Roman" w:cs="Times New Roman"/>
                <w:spacing w:val="32"/>
              </w:rPr>
              <w:t xml:space="preserve"> </w:t>
            </w:r>
            <w:r>
              <w:t>出线</w:t>
            </w:r>
          </w:p>
        </w:tc>
        <w:tc>
          <w:tcPr>
            <w:tcW w:w="2558" w:type="dxa"/>
            <w:vAlign w:val="top"/>
          </w:tcPr>
          <w:p w14:paraId="21B67973">
            <w:pPr>
              <w:pStyle w:val="6"/>
              <w:spacing w:before="53" w:line="231" w:lineRule="auto"/>
              <w:ind w:left="1115"/>
            </w:pPr>
            <w:r>
              <w:rPr>
                <w:rFonts w:ascii="Times New Roman" w:hAnsi="Times New Roman" w:eastAsia="Times New Roman" w:cs="Times New Roman"/>
                <w:spacing w:val="-10"/>
              </w:rPr>
              <w:t>1</w:t>
            </w:r>
            <w:r>
              <w:rPr>
                <w:rFonts w:ascii="Times New Roman" w:hAnsi="Times New Roman" w:eastAsia="Times New Roman" w:cs="Times New Roman"/>
                <w:spacing w:val="32"/>
                <w:w w:val="101"/>
              </w:rPr>
              <w:t xml:space="preserve"> </w:t>
            </w:r>
            <w:r>
              <w:rPr>
                <w:spacing w:val="-10"/>
              </w:rPr>
              <w:t>回</w:t>
            </w:r>
          </w:p>
        </w:tc>
        <w:tc>
          <w:tcPr>
            <w:tcW w:w="3325" w:type="dxa"/>
            <w:vAlign w:val="top"/>
          </w:tcPr>
          <w:p w14:paraId="6ACC6A94">
            <w:pPr>
              <w:pStyle w:val="6"/>
              <w:spacing w:before="53" w:line="231" w:lineRule="auto"/>
              <w:ind w:left="1500"/>
            </w:pPr>
            <w:r>
              <w:rPr>
                <w:rFonts w:ascii="Times New Roman" w:hAnsi="Times New Roman" w:eastAsia="Times New Roman" w:cs="Times New Roman"/>
                <w:spacing w:val="-10"/>
              </w:rPr>
              <w:t>1</w:t>
            </w:r>
            <w:r>
              <w:rPr>
                <w:rFonts w:ascii="Times New Roman" w:hAnsi="Times New Roman" w:eastAsia="Times New Roman" w:cs="Times New Roman"/>
                <w:spacing w:val="32"/>
                <w:w w:val="101"/>
              </w:rPr>
              <w:t xml:space="preserve"> </w:t>
            </w:r>
            <w:r>
              <w:rPr>
                <w:spacing w:val="-10"/>
              </w:rPr>
              <w:t>回</w:t>
            </w:r>
          </w:p>
        </w:tc>
        <w:tc>
          <w:tcPr>
            <w:tcW w:w="1354" w:type="dxa"/>
            <w:vAlign w:val="top"/>
          </w:tcPr>
          <w:p w14:paraId="656F8AF3">
            <w:pPr>
              <w:pStyle w:val="6"/>
              <w:spacing w:before="53" w:line="228" w:lineRule="auto"/>
              <w:ind w:left="475"/>
            </w:pPr>
            <w:r>
              <w:rPr>
                <w:spacing w:val="3"/>
              </w:rPr>
              <w:t>一致</w:t>
            </w:r>
          </w:p>
        </w:tc>
      </w:tr>
      <w:tr w14:paraId="726C7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86" w:type="dxa"/>
            <w:vAlign w:val="top"/>
          </w:tcPr>
          <w:p w14:paraId="74FD8395">
            <w:pPr>
              <w:pStyle w:val="6"/>
              <w:spacing w:before="56" w:line="228" w:lineRule="auto"/>
              <w:ind w:left="228"/>
            </w:pPr>
            <w:r>
              <w:rPr>
                <w:spacing w:val="7"/>
              </w:rPr>
              <w:t>架线型式</w:t>
            </w:r>
          </w:p>
        </w:tc>
        <w:tc>
          <w:tcPr>
            <w:tcW w:w="2558" w:type="dxa"/>
            <w:vAlign w:val="top"/>
          </w:tcPr>
          <w:p w14:paraId="06334430">
            <w:pPr>
              <w:pStyle w:val="6"/>
              <w:spacing w:before="56" w:line="228" w:lineRule="auto"/>
              <w:ind w:left="864"/>
            </w:pPr>
            <w:r>
              <w:rPr>
                <w:spacing w:val="7"/>
              </w:rPr>
              <w:t>架空出线</w:t>
            </w:r>
          </w:p>
        </w:tc>
        <w:tc>
          <w:tcPr>
            <w:tcW w:w="3325" w:type="dxa"/>
            <w:vAlign w:val="top"/>
          </w:tcPr>
          <w:p w14:paraId="595C1F8C">
            <w:pPr>
              <w:pStyle w:val="6"/>
              <w:spacing w:before="56" w:line="228" w:lineRule="auto"/>
              <w:ind w:left="1249"/>
            </w:pPr>
            <w:r>
              <w:rPr>
                <w:spacing w:val="7"/>
              </w:rPr>
              <w:t>架空出线</w:t>
            </w:r>
          </w:p>
        </w:tc>
        <w:tc>
          <w:tcPr>
            <w:tcW w:w="1354" w:type="dxa"/>
            <w:vAlign w:val="top"/>
          </w:tcPr>
          <w:p w14:paraId="622E4254">
            <w:pPr>
              <w:pStyle w:val="6"/>
              <w:spacing w:before="56" w:line="228" w:lineRule="auto"/>
              <w:ind w:left="475"/>
            </w:pPr>
            <w:r>
              <w:rPr>
                <w:spacing w:val="3"/>
              </w:rPr>
              <w:t>一致</w:t>
            </w:r>
          </w:p>
        </w:tc>
      </w:tr>
      <w:tr w14:paraId="384E0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86" w:type="dxa"/>
            <w:vAlign w:val="top"/>
          </w:tcPr>
          <w:p w14:paraId="66C43262">
            <w:pPr>
              <w:pStyle w:val="6"/>
              <w:spacing w:before="55" w:line="227" w:lineRule="auto"/>
              <w:ind w:left="229"/>
            </w:pPr>
            <w:r>
              <w:rPr>
                <w:spacing w:val="6"/>
              </w:rPr>
              <w:t>主变布置</w:t>
            </w:r>
          </w:p>
        </w:tc>
        <w:tc>
          <w:tcPr>
            <w:tcW w:w="2558" w:type="dxa"/>
            <w:vAlign w:val="top"/>
          </w:tcPr>
          <w:p w14:paraId="626DD0F6">
            <w:pPr>
              <w:pStyle w:val="6"/>
              <w:spacing w:before="55" w:line="227" w:lineRule="auto"/>
              <w:ind w:left="864"/>
            </w:pPr>
            <w:r>
              <w:rPr>
                <w:spacing w:val="7"/>
              </w:rPr>
              <w:t>户外布置</w:t>
            </w:r>
          </w:p>
        </w:tc>
        <w:tc>
          <w:tcPr>
            <w:tcW w:w="3325" w:type="dxa"/>
            <w:vAlign w:val="top"/>
          </w:tcPr>
          <w:p w14:paraId="3728C0D2">
            <w:pPr>
              <w:pStyle w:val="6"/>
              <w:spacing w:before="55" w:line="227" w:lineRule="auto"/>
              <w:ind w:left="1249"/>
            </w:pPr>
            <w:r>
              <w:rPr>
                <w:spacing w:val="7"/>
              </w:rPr>
              <w:t>户外布置</w:t>
            </w:r>
          </w:p>
        </w:tc>
        <w:tc>
          <w:tcPr>
            <w:tcW w:w="1354" w:type="dxa"/>
            <w:vAlign w:val="top"/>
          </w:tcPr>
          <w:p w14:paraId="3E596F28">
            <w:pPr>
              <w:pStyle w:val="6"/>
              <w:spacing w:before="56" w:line="228" w:lineRule="auto"/>
              <w:ind w:left="475"/>
            </w:pPr>
            <w:r>
              <w:rPr>
                <w:spacing w:val="3"/>
              </w:rPr>
              <w:t>一致</w:t>
            </w:r>
          </w:p>
        </w:tc>
      </w:tr>
      <w:tr w14:paraId="527C4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286" w:type="dxa"/>
            <w:vAlign w:val="top"/>
          </w:tcPr>
          <w:p w14:paraId="2AE00C04">
            <w:pPr>
              <w:pStyle w:val="6"/>
              <w:spacing w:before="54" w:line="260" w:lineRule="auto"/>
              <w:ind w:left="350" w:right="115" w:hanging="224"/>
            </w:pPr>
            <w:r>
              <w:rPr>
                <w:spacing w:val="7"/>
              </w:rPr>
              <w:t>主变与围墙</w:t>
            </w:r>
            <w:r>
              <w:rPr>
                <w:spacing w:val="1"/>
              </w:rPr>
              <w:t>的距离</w:t>
            </w:r>
          </w:p>
        </w:tc>
        <w:tc>
          <w:tcPr>
            <w:tcW w:w="2558" w:type="dxa"/>
            <w:vAlign w:val="top"/>
          </w:tcPr>
          <w:p w14:paraId="1D851759">
            <w:pPr>
              <w:spacing w:before="247" w:line="195" w:lineRule="auto"/>
              <w:ind w:left="93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33~49m</w:t>
            </w:r>
          </w:p>
        </w:tc>
        <w:tc>
          <w:tcPr>
            <w:tcW w:w="3325" w:type="dxa"/>
            <w:vAlign w:val="top"/>
          </w:tcPr>
          <w:p w14:paraId="1ECD09C7">
            <w:pPr>
              <w:spacing w:before="247" w:line="195" w:lineRule="auto"/>
              <w:ind w:left="133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18~44m</w:t>
            </w:r>
          </w:p>
        </w:tc>
        <w:tc>
          <w:tcPr>
            <w:tcW w:w="1354" w:type="dxa"/>
            <w:vAlign w:val="top"/>
          </w:tcPr>
          <w:p w14:paraId="1628521C">
            <w:pPr>
              <w:pStyle w:val="6"/>
              <w:spacing w:before="211" w:line="230" w:lineRule="auto"/>
              <w:ind w:left="472"/>
            </w:pPr>
            <w:r>
              <w:rPr>
                <w:spacing w:val="4"/>
              </w:rPr>
              <w:t>相近</w:t>
            </w:r>
          </w:p>
        </w:tc>
      </w:tr>
      <w:tr w14:paraId="59FFC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86" w:type="dxa"/>
            <w:vAlign w:val="top"/>
          </w:tcPr>
          <w:p w14:paraId="5DD2DB68">
            <w:pPr>
              <w:pStyle w:val="6"/>
              <w:spacing w:before="56" w:line="228" w:lineRule="auto"/>
              <w:ind w:left="262"/>
            </w:pPr>
            <w:r>
              <w:rPr>
                <w:spacing w:val="-2"/>
              </w:rPr>
              <w:t>占地面积</w:t>
            </w:r>
          </w:p>
        </w:tc>
        <w:tc>
          <w:tcPr>
            <w:tcW w:w="2558" w:type="dxa"/>
            <w:vAlign w:val="top"/>
          </w:tcPr>
          <w:p w14:paraId="70F380FC">
            <w:pPr>
              <w:pStyle w:val="6"/>
              <w:spacing w:before="55" w:line="228" w:lineRule="auto"/>
              <w:ind w:left="432"/>
            </w:pPr>
            <w:r>
              <w:rPr>
                <w:rFonts w:ascii="Times New Roman" w:hAnsi="Times New Roman" w:eastAsia="Times New Roman" w:cs="Times New Roman"/>
                <w:spacing w:val="5"/>
              </w:rPr>
              <w:t>9100m</w:t>
            </w:r>
            <w:r>
              <w:rPr>
                <w:rFonts w:ascii="Times New Roman" w:hAnsi="Times New Roman" w:eastAsia="Times New Roman" w:cs="Times New Roman"/>
                <w:spacing w:val="5"/>
                <w:position w:val="6"/>
                <w:sz w:val="13"/>
                <w:szCs w:val="13"/>
              </w:rPr>
              <w:t>2</w:t>
            </w:r>
            <w:r>
              <w:rPr>
                <w:spacing w:val="5"/>
              </w:rPr>
              <w:t>（围墙内）</w:t>
            </w:r>
          </w:p>
        </w:tc>
        <w:tc>
          <w:tcPr>
            <w:tcW w:w="3325" w:type="dxa"/>
            <w:vAlign w:val="top"/>
          </w:tcPr>
          <w:p w14:paraId="23188515">
            <w:pPr>
              <w:pStyle w:val="6"/>
              <w:spacing w:before="55" w:line="228" w:lineRule="auto"/>
              <w:ind w:left="819"/>
            </w:pPr>
            <w:r>
              <w:rPr>
                <w:rFonts w:ascii="Times New Roman" w:hAnsi="Times New Roman" w:eastAsia="Times New Roman" w:cs="Times New Roman"/>
                <w:spacing w:val="5"/>
              </w:rPr>
              <w:t>6500m</w:t>
            </w:r>
            <w:r>
              <w:rPr>
                <w:rFonts w:ascii="Times New Roman" w:hAnsi="Times New Roman" w:eastAsia="Times New Roman" w:cs="Times New Roman"/>
                <w:spacing w:val="5"/>
                <w:position w:val="6"/>
                <w:sz w:val="13"/>
                <w:szCs w:val="13"/>
              </w:rPr>
              <w:t>2</w:t>
            </w:r>
            <w:r>
              <w:rPr>
                <w:spacing w:val="5"/>
              </w:rPr>
              <w:t>（围墙内）</w:t>
            </w:r>
          </w:p>
        </w:tc>
        <w:tc>
          <w:tcPr>
            <w:tcW w:w="1354" w:type="dxa"/>
            <w:vAlign w:val="top"/>
          </w:tcPr>
          <w:p w14:paraId="0FC33EC7">
            <w:pPr>
              <w:pStyle w:val="6"/>
              <w:spacing w:before="55" w:line="230" w:lineRule="auto"/>
              <w:ind w:left="472"/>
            </w:pPr>
            <w:r>
              <w:rPr>
                <w:spacing w:val="4"/>
              </w:rPr>
              <w:t>相近</w:t>
            </w:r>
          </w:p>
        </w:tc>
      </w:tr>
      <w:tr w14:paraId="56711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86" w:type="dxa"/>
            <w:vAlign w:val="top"/>
          </w:tcPr>
          <w:p w14:paraId="438BF378">
            <w:pPr>
              <w:pStyle w:val="6"/>
              <w:spacing w:before="56" w:line="228" w:lineRule="auto"/>
              <w:ind w:left="228"/>
            </w:pPr>
            <w:r>
              <w:rPr>
                <w:spacing w:val="7"/>
              </w:rPr>
              <w:t>周围地形</w:t>
            </w:r>
          </w:p>
        </w:tc>
        <w:tc>
          <w:tcPr>
            <w:tcW w:w="2558" w:type="dxa"/>
            <w:vAlign w:val="top"/>
          </w:tcPr>
          <w:p w14:paraId="7F57005D">
            <w:pPr>
              <w:pStyle w:val="6"/>
              <w:spacing w:before="56" w:line="228" w:lineRule="auto"/>
              <w:ind w:left="652"/>
            </w:pPr>
            <w:r>
              <w:rPr>
                <w:spacing w:val="8"/>
              </w:rPr>
              <w:t>地形平坦区域</w:t>
            </w:r>
          </w:p>
        </w:tc>
        <w:tc>
          <w:tcPr>
            <w:tcW w:w="3325" w:type="dxa"/>
            <w:vAlign w:val="top"/>
          </w:tcPr>
          <w:p w14:paraId="05B23A7B">
            <w:pPr>
              <w:pStyle w:val="6"/>
              <w:spacing w:before="56" w:line="228" w:lineRule="auto"/>
              <w:ind w:left="619"/>
            </w:pPr>
            <w:r>
              <w:rPr>
                <w:spacing w:val="8"/>
              </w:rPr>
              <w:t>地形平坦区域、居民区</w:t>
            </w:r>
          </w:p>
        </w:tc>
        <w:tc>
          <w:tcPr>
            <w:tcW w:w="1354" w:type="dxa"/>
            <w:vAlign w:val="top"/>
          </w:tcPr>
          <w:p w14:paraId="025C7B81">
            <w:pPr>
              <w:pStyle w:val="6"/>
              <w:spacing w:before="55" w:line="230" w:lineRule="auto"/>
              <w:ind w:left="472"/>
            </w:pPr>
            <w:r>
              <w:rPr>
                <w:spacing w:val="4"/>
              </w:rPr>
              <w:t>相近</w:t>
            </w:r>
          </w:p>
        </w:tc>
      </w:tr>
      <w:tr w14:paraId="1259D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286" w:type="dxa"/>
            <w:vAlign w:val="top"/>
          </w:tcPr>
          <w:p w14:paraId="7140541E">
            <w:pPr>
              <w:pStyle w:val="6"/>
              <w:spacing w:before="55" w:line="228" w:lineRule="auto"/>
              <w:ind w:left="227"/>
            </w:pPr>
            <w:r>
              <w:rPr>
                <w:spacing w:val="7"/>
              </w:rPr>
              <w:t>所在地区</w:t>
            </w:r>
          </w:p>
        </w:tc>
        <w:tc>
          <w:tcPr>
            <w:tcW w:w="2558" w:type="dxa"/>
            <w:vAlign w:val="top"/>
          </w:tcPr>
          <w:p w14:paraId="2B56AB2E">
            <w:pPr>
              <w:pStyle w:val="6"/>
              <w:spacing w:before="54" w:line="231" w:lineRule="auto"/>
              <w:ind w:left="980"/>
            </w:pPr>
            <w:r>
              <w:rPr>
                <w:spacing w:val="3"/>
              </w:rPr>
              <w:t>陆良县</w:t>
            </w:r>
          </w:p>
        </w:tc>
        <w:tc>
          <w:tcPr>
            <w:tcW w:w="3325" w:type="dxa"/>
            <w:vAlign w:val="top"/>
          </w:tcPr>
          <w:p w14:paraId="2684DC24">
            <w:pPr>
              <w:pStyle w:val="6"/>
              <w:spacing w:before="55" w:line="229" w:lineRule="auto"/>
              <w:ind w:left="1361"/>
            </w:pPr>
            <w:r>
              <w:rPr>
                <w:spacing w:val="4"/>
              </w:rPr>
              <w:t>思茅区</w:t>
            </w:r>
          </w:p>
        </w:tc>
        <w:tc>
          <w:tcPr>
            <w:tcW w:w="1354" w:type="dxa"/>
            <w:vAlign w:val="top"/>
          </w:tcPr>
          <w:p w14:paraId="28B9EA22">
            <w:pPr>
              <w:spacing w:before="87" w:line="199" w:lineRule="auto"/>
              <w:ind w:left="64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bl>
    <w:p w14:paraId="3ABA8941">
      <w:pPr>
        <w:pStyle w:val="2"/>
        <w:spacing w:before="235" w:line="219" w:lineRule="auto"/>
        <w:ind w:left="119"/>
        <w:rPr>
          <w:sz w:val="24"/>
          <w:szCs w:val="24"/>
        </w:rPr>
      </w:pPr>
      <w:r>
        <w:rPr>
          <w:rFonts w:ascii="Times New Roman" w:hAnsi="Times New Roman" w:eastAsia="Times New Roman" w:cs="Times New Roman"/>
          <w:b/>
          <w:bCs/>
          <w:spacing w:val="-2"/>
          <w:sz w:val="24"/>
          <w:szCs w:val="24"/>
        </w:rPr>
        <w:t xml:space="preserve">5.1.4  </w:t>
      </w:r>
      <w:r>
        <w:rPr>
          <w:b/>
          <w:bCs/>
          <w:spacing w:val="-2"/>
          <w:sz w:val="24"/>
          <w:szCs w:val="24"/>
        </w:rPr>
        <w:t>类比对象的可行性分析</w:t>
      </w:r>
    </w:p>
    <w:p w14:paraId="576937D8">
      <w:pPr>
        <w:pStyle w:val="2"/>
        <w:spacing w:before="182" w:line="360" w:lineRule="auto"/>
        <w:ind w:left="132" w:right="110" w:firstLine="468"/>
        <w:jc w:val="both"/>
        <w:rPr>
          <w:sz w:val="24"/>
          <w:szCs w:val="24"/>
        </w:rPr>
      </w:pPr>
      <w:r>
        <w:rPr>
          <w:spacing w:val="4"/>
          <w:sz w:val="24"/>
          <w:szCs w:val="24"/>
        </w:rPr>
        <w:t>根据上述类比变电站的电磁环境影响主要与变电站的电压等级、主变数量</w:t>
      </w:r>
      <w:r>
        <w:rPr>
          <w:spacing w:val="-3"/>
          <w:sz w:val="24"/>
          <w:szCs w:val="24"/>
        </w:rPr>
        <w:t>（与主变台数密切相关）、布置方式（户外布置、户外</w:t>
      </w:r>
      <w:r>
        <w:rPr>
          <w:spacing w:val="-4"/>
          <w:sz w:val="24"/>
          <w:szCs w:val="24"/>
        </w:rPr>
        <w:t>或全户内布置）、高压配</w:t>
      </w:r>
      <w:r>
        <w:rPr>
          <w:spacing w:val="-1"/>
          <w:sz w:val="24"/>
          <w:szCs w:val="24"/>
        </w:rPr>
        <w:t>电装置的布置方式和线路出线方式（地下电缆出线或架空出线）有关。</w:t>
      </w:r>
    </w:p>
    <w:p w14:paraId="317388A9">
      <w:pPr>
        <w:pStyle w:val="2"/>
        <w:spacing w:before="6" w:line="360" w:lineRule="auto"/>
        <w:ind w:left="120" w:right="87" w:firstLine="483"/>
        <w:jc w:val="both"/>
        <w:rPr>
          <w:sz w:val="24"/>
          <w:szCs w:val="24"/>
        </w:rPr>
      </w:pPr>
      <w:r>
        <w:rPr>
          <w:spacing w:val="-4"/>
          <w:sz w:val="24"/>
          <w:szCs w:val="24"/>
        </w:rPr>
        <w:t>从表</w:t>
      </w:r>
      <w:r>
        <w:rPr>
          <w:spacing w:val="-42"/>
          <w:sz w:val="24"/>
          <w:szCs w:val="24"/>
        </w:rPr>
        <w:t xml:space="preserve"> </w:t>
      </w:r>
      <w:r>
        <w:rPr>
          <w:rFonts w:ascii="Times New Roman" w:hAnsi="Times New Roman" w:eastAsia="Times New Roman" w:cs="Times New Roman"/>
          <w:spacing w:val="-4"/>
          <w:sz w:val="24"/>
          <w:szCs w:val="24"/>
        </w:rPr>
        <w:t>5-</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4"/>
          <w:sz w:val="24"/>
          <w:szCs w:val="24"/>
        </w:rPr>
        <w:t xml:space="preserve">1 </w:t>
      </w:r>
      <w:r>
        <w:rPr>
          <w:spacing w:val="-4"/>
          <w:sz w:val="24"/>
          <w:szCs w:val="24"/>
        </w:rPr>
        <w:t>可以看出，</w:t>
      </w:r>
      <w:r>
        <w:rPr>
          <w:rFonts w:ascii="Times New Roman" w:hAnsi="Times New Roman" w:eastAsia="Times New Roman" w:cs="Times New Roman"/>
          <w:spacing w:val="-4"/>
          <w:sz w:val="24"/>
          <w:szCs w:val="24"/>
        </w:rPr>
        <w:t xml:space="preserve">110kV </w:t>
      </w:r>
      <w:r>
        <w:rPr>
          <w:spacing w:val="-4"/>
          <w:sz w:val="24"/>
          <w:szCs w:val="24"/>
        </w:rPr>
        <w:t>松山变电站与类比工程</w:t>
      </w:r>
      <w:r>
        <w:rPr>
          <w:spacing w:val="-32"/>
          <w:sz w:val="24"/>
          <w:szCs w:val="24"/>
        </w:rPr>
        <w:t xml:space="preserve"> </w:t>
      </w:r>
      <w:r>
        <w:rPr>
          <w:rFonts w:ascii="Times New Roman" w:hAnsi="Times New Roman" w:eastAsia="Times New Roman" w:cs="Times New Roman"/>
          <w:spacing w:val="-4"/>
          <w:sz w:val="24"/>
          <w:szCs w:val="24"/>
        </w:rPr>
        <w:t xml:space="preserve">110kV </w:t>
      </w:r>
      <w:r>
        <w:rPr>
          <w:spacing w:val="-4"/>
          <w:sz w:val="24"/>
          <w:szCs w:val="24"/>
        </w:rPr>
        <w:t>城南变电站相比，</w:t>
      </w:r>
      <w:r>
        <w:rPr>
          <w:spacing w:val="-3"/>
          <w:sz w:val="24"/>
          <w:szCs w:val="24"/>
        </w:rPr>
        <w:t>两个变电站电压等级、建设规模、架线型式、总平面布置、主变容量、布置方式</w:t>
      </w:r>
      <w:r>
        <w:rPr>
          <w:spacing w:val="2"/>
          <w:sz w:val="24"/>
          <w:szCs w:val="24"/>
        </w:rPr>
        <w:t>均相同，</w:t>
      </w:r>
      <w:r>
        <w:rPr>
          <w:rFonts w:ascii="Times New Roman" w:hAnsi="Times New Roman" w:eastAsia="Times New Roman" w:cs="Times New Roman"/>
          <w:spacing w:val="2"/>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 xml:space="preserve"> </w:t>
      </w:r>
      <w:r>
        <w:rPr>
          <w:spacing w:val="2"/>
          <w:sz w:val="24"/>
          <w:szCs w:val="24"/>
        </w:rPr>
        <w:t>城南变电站与</w:t>
      </w:r>
      <w:r>
        <w:rPr>
          <w:spacing w:val="-28"/>
          <w:sz w:val="24"/>
          <w:szCs w:val="24"/>
        </w:rPr>
        <w:t xml:space="preserve"> </w:t>
      </w:r>
      <w:r>
        <w:rPr>
          <w:rFonts w:ascii="Times New Roman" w:hAnsi="Times New Roman" w:eastAsia="Times New Roman" w:cs="Times New Roman"/>
          <w:spacing w:val="2"/>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 xml:space="preserve"> </w:t>
      </w:r>
      <w:r>
        <w:rPr>
          <w:spacing w:val="2"/>
          <w:sz w:val="24"/>
          <w:szCs w:val="24"/>
        </w:rPr>
        <w:t>松</w:t>
      </w:r>
      <w:r>
        <w:rPr>
          <w:spacing w:val="1"/>
          <w:sz w:val="24"/>
          <w:szCs w:val="24"/>
        </w:rPr>
        <w:t>山变电站均位于地形平坦区域，环境条</w:t>
      </w:r>
      <w:r>
        <w:rPr>
          <w:spacing w:val="-1"/>
          <w:sz w:val="24"/>
          <w:szCs w:val="24"/>
        </w:rPr>
        <w:t>件相近，且</w:t>
      </w:r>
      <w:r>
        <w:rPr>
          <w:spacing w:val="-21"/>
          <w:sz w:val="24"/>
          <w:szCs w:val="24"/>
        </w:rPr>
        <w:t xml:space="preserve"> </w:t>
      </w:r>
      <w:r>
        <w:rPr>
          <w:rFonts w:ascii="Times New Roman" w:hAnsi="Times New Roman" w:eastAsia="Times New Roman" w:cs="Times New Roman"/>
          <w:spacing w:val="-1"/>
          <w:sz w:val="24"/>
          <w:szCs w:val="24"/>
        </w:rPr>
        <w:t xml:space="preserve">110kV </w:t>
      </w:r>
      <w:r>
        <w:rPr>
          <w:spacing w:val="-1"/>
          <w:sz w:val="24"/>
          <w:szCs w:val="24"/>
        </w:rPr>
        <w:t>城南变具有一定的代表性。综合分析，采用</w:t>
      </w:r>
      <w:r>
        <w:rPr>
          <w:spacing w:val="-29"/>
          <w:sz w:val="24"/>
          <w:szCs w:val="24"/>
        </w:rPr>
        <w:t xml:space="preserve"> </w:t>
      </w:r>
      <w:r>
        <w:rPr>
          <w:rFonts w:ascii="Times New Roman" w:hAnsi="Times New Roman" w:eastAsia="Times New Roman" w:cs="Times New Roman"/>
          <w:spacing w:val="-1"/>
          <w:sz w:val="24"/>
          <w:szCs w:val="24"/>
        </w:rPr>
        <w:t xml:space="preserve">110kV </w:t>
      </w:r>
      <w:r>
        <w:rPr>
          <w:spacing w:val="-1"/>
          <w:sz w:val="24"/>
          <w:szCs w:val="24"/>
        </w:rPr>
        <w:t>城南变电</w:t>
      </w:r>
      <w:r>
        <w:rPr>
          <w:spacing w:val="1"/>
          <w:sz w:val="24"/>
          <w:szCs w:val="24"/>
        </w:rPr>
        <w:t>站电磁环境监测值来类比预测本项目</w:t>
      </w:r>
      <w:r>
        <w:rPr>
          <w:spacing w:val="-14"/>
          <w:sz w:val="24"/>
          <w:szCs w:val="24"/>
        </w:rPr>
        <w:t xml:space="preserve"> </w:t>
      </w:r>
      <w:r>
        <w:rPr>
          <w:rFonts w:ascii="Times New Roman" w:hAnsi="Times New Roman" w:eastAsia="Times New Roman" w:cs="Times New Roman"/>
          <w:spacing w:val="1"/>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松山变电站对周围电磁环境的影响</w:t>
      </w:r>
      <w:r>
        <w:rPr>
          <w:spacing w:val="-2"/>
          <w:sz w:val="24"/>
          <w:szCs w:val="24"/>
        </w:rPr>
        <w:t>是可行的。</w:t>
      </w:r>
    </w:p>
    <w:p w14:paraId="1C323D4B">
      <w:pPr>
        <w:pStyle w:val="2"/>
        <w:spacing w:before="114" w:line="219" w:lineRule="auto"/>
        <w:ind w:left="119"/>
        <w:rPr>
          <w:sz w:val="24"/>
          <w:szCs w:val="24"/>
        </w:rPr>
      </w:pPr>
      <w:r>
        <w:rPr>
          <w:rFonts w:ascii="Times New Roman" w:hAnsi="Times New Roman" w:eastAsia="Times New Roman" w:cs="Times New Roman"/>
          <w:b/>
          <w:bCs/>
          <w:spacing w:val="-2"/>
          <w:sz w:val="24"/>
          <w:szCs w:val="24"/>
        </w:rPr>
        <w:t xml:space="preserve">5.1.5  </w:t>
      </w:r>
      <w:r>
        <w:rPr>
          <w:b/>
          <w:bCs/>
          <w:spacing w:val="-2"/>
          <w:sz w:val="24"/>
          <w:szCs w:val="24"/>
        </w:rPr>
        <w:t>类比监测与分析</w:t>
      </w:r>
    </w:p>
    <w:p w14:paraId="2F0E4B39">
      <w:pPr>
        <w:pStyle w:val="2"/>
        <w:spacing w:before="182" w:line="220" w:lineRule="auto"/>
        <w:ind w:left="612"/>
        <w:rPr>
          <w:sz w:val="24"/>
          <w:szCs w:val="24"/>
        </w:rPr>
      </w:pPr>
      <w:r>
        <w:rPr>
          <w:b/>
          <w:bCs/>
          <w:spacing w:val="-5"/>
          <w:sz w:val="24"/>
          <w:szCs w:val="24"/>
        </w:rPr>
        <w:t>（</w:t>
      </w:r>
      <w:r>
        <w:rPr>
          <w:rFonts w:ascii="Times New Roman" w:hAnsi="Times New Roman" w:eastAsia="Times New Roman" w:cs="Times New Roman"/>
          <w:b/>
          <w:bCs/>
          <w:spacing w:val="-5"/>
          <w:sz w:val="24"/>
          <w:szCs w:val="24"/>
        </w:rPr>
        <w:t>1</w:t>
      </w:r>
      <w:r>
        <w:rPr>
          <w:b/>
          <w:bCs/>
          <w:spacing w:val="-5"/>
          <w:sz w:val="24"/>
          <w:szCs w:val="24"/>
        </w:rPr>
        <w:t>）监测单位</w:t>
      </w:r>
    </w:p>
    <w:p w14:paraId="3254FFE2">
      <w:pPr>
        <w:pStyle w:val="2"/>
        <w:spacing w:before="182" w:line="219" w:lineRule="auto"/>
        <w:ind w:left="604"/>
        <w:rPr>
          <w:sz w:val="24"/>
          <w:szCs w:val="24"/>
        </w:rPr>
      </w:pPr>
      <w:r>
        <w:rPr>
          <w:spacing w:val="-1"/>
          <w:sz w:val="24"/>
          <w:szCs w:val="24"/>
        </w:rPr>
        <w:t>武汉中电工程检测有限公司。</w:t>
      </w:r>
    </w:p>
    <w:p w14:paraId="18493BB9">
      <w:pPr>
        <w:pStyle w:val="2"/>
        <w:spacing w:before="184" w:line="219" w:lineRule="auto"/>
        <w:ind w:left="612"/>
        <w:rPr>
          <w:sz w:val="24"/>
          <w:szCs w:val="24"/>
        </w:rPr>
      </w:pPr>
      <w:r>
        <w:rPr>
          <w:b/>
          <w:bCs/>
          <w:spacing w:val="-5"/>
          <w:sz w:val="24"/>
          <w:szCs w:val="24"/>
        </w:rPr>
        <w:t>（</w:t>
      </w:r>
      <w:r>
        <w:rPr>
          <w:rFonts w:ascii="Times New Roman" w:hAnsi="Times New Roman" w:eastAsia="Times New Roman" w:cs="Times New Roman"/>
          <w:b/>
          <w:bCs/>
          <w:spacing w:val="-5"/>
          <w:sz w:val="24"/>
          <w:szCs w:val="24"/>
        </w:rPr>
        <w:t>2</w:t>
      </w:r>
      <w:r>
        <w:rPr>
          <w:b/>
          <w:bCs/>
          <w:spacing w:val="-5"/>
          <w:sz w:val="24"/>
          <w:szCs w:val="24"/>
        </w:rPr>
        <w:t>）监测内容</w:t>
      </w:r>
    </w:p>
    <w:p w14:paraId="6030D1EA">
      <w:pPr>
        <w:pStyle w:val="2"/>
        <w:spacing w:before="183" w:line="220" w:lineRule="auto"/>
        <w:ind w:left="601"/>
        <w:rPr>
          <w:sz w:val="24"/>
          <w:szCs w:val="24"/>
        </w:rPr>
      </w:pPr>
      <w:r>
        <w:rPr>
          <w:spacing w:val="-1"/>
          <w:sz w:val="24"/>
          <w:szCs w:val="24"/>
        </w:rPr>
        <w:t>变电站厂界外电磁环境监测。</w:t>
      </w:r>
    </w:p>
    <w:p w14:paraId="3644C375">
      <w:pPr>
        <w:pStyle w:val="2"/>
        <w:spacing w:before="181" w:line="219" w:lineRule="auto"/>
        <w:ind w:left="612"/>
        <w:rPr>
          <w:sz w:val="24"/>
          <w:szCs w:val="24"/>
        </w:rPr>
      </w:pPr>
      <w:r>
        <w:rPr>
          <w:b/>
          <w:bCs/>
          <w:spacing w:val="-5"/>
          <w:sz w:val="24"/>
          <w:szCs w:val="24"/>
        </w:rPr>
        <w:t>（</w:t>
      </w:r>
      <w:r>
        <w:rPr>
          <w:rFonts w:ascii="Times New Roman" w:hAnsi="Times New Roman" w:eastAsia="Times New Roman" w:cs="Times New Roman"/>
          <w:b/>
          <w:bCs/>
          <w:spacing w:val="-5"/>
          <w:sz w:val="24"/>
          <w:szCs w:val="24"/>
        </w:rPr>
        <w:t>3</w:t>
      </w:r>
      <w:r>
        <w:rPr>
          <w:b/>
          <w:bCs/>
          <w:spacing w:val="-5"/>
          <w:sz w:val="24"/>
          <w:szCs w:val="24"/>
        </w:rPr>
        <w:t>）监测布点</w:t>
      </w:r>
    </w:p>
    <w:p w14:paraId="7DFAFAE4">
      <w:pPr>
        <w:pStyle w:val="2"/>
        <w:spacing w:before="183" w:line="362" w:lineRule="auto"/>
        <w:ind w:left="133" w:right="110" w:firstLine="467"/>
        <w:rPr>
          <w:sz w:val="24"/>
          <w:szCs w:val="24"/>
        </w:rPr>
      </w:pPr>
      <w:r>
        <w:rPr>
          <w:spacing w:val="-3"/>
          <w:sz w:val="24"/>
          <w:szCs w:val="24"/>
        </w:rPr>
        <w:t>变电站厂界：监测点选择在无进出线或远离进出线的围墙外布设</w:t>
      </w:r>
      <w:r>
        <w:rPr>
          <w:spacing w:val="-4"/>
          <w:sz w:val="24"/>
          <w:szCs w:val="24"/>
        </w:rPr>
        <w:t>，共</w:t>
      </w:r>
      <w:r>
        <w:rPr>
          <w:spacing w:val="-56"/>
          <w:sz w:val="24"/>
          <w:szCs w:val="24"/>
        </w:rPr>
        <w:t xml:space="preserve"> </w:t>
      </w:r>
      <w:r>
        <w:rPr>
          <w:rFonts w:ascii="Times New Roman" w:hAnsi="Times New Roman" w:eastAsia="Times New Roman" w:cs="Times New Roman"/>
          <w:spacing w:val="-4"/>
          <w:sz w:val="24"/>
          <w:szCs w:val="24"/>
        </w:rPr>
        <w:t xml:space="preserve">4 </w:t>
      </w:r>
      <w:r>
        <w:rPr>
          <w:spacing w:val="-4"/>
          <w:sz w:val="24"/>
          <w:szCs w:val="24"/>
        </w:rPr>
        <w:t>个测</w:t>
      </w:r>
      <w:r>
        <w:rPr>
          <w:spacing w:val="-3"/>
          <w:sz w:val="24"/>
          <w:szCs w:val="24"/>
        </w:rPr>
        <w:t>点。各测点布置在变电站围墙外</w:t>
      </w:r>
      <w:r>
        <w:rPr>
          <w:spacing w:val="-47"/>
          <w:sz w:val="24"/>
          <w:szCs w:val="24"/>
        </w:rPr>
        <w:t xml:space="preserve"> </w:t>
      </w:r>
      <w:r>
        <w:rPr>
          <w:rFonts w:ascii="Times New Roman" w:hAnsi="Times New Roman" w:eastAsia="Times New Roman" w:cs="Times New Roman"/>
          <w:spacing w:val="-3"/>
          <w:sz w:val="24"/>
          <w:szCs w:val="24"/>
        </w:rPr>
        <w:t>5m</w:t>
      </w:r>
      <w:r>
        <w:rPr>
          <w:rFonts w:ascii="Times New Roman" w:hAnsi="Times New Roman" w:eastAsia="Times New Roman" w:cs="Times New Roman"/>
          <w:spacing w:val="-33"/>
          <w:sz w:val="24"/>
          <w:szCs w:val="24"/>
        </w:rPr>
        <w:t xml:space="preserve"> </w:t>
      </w:r>
      <w:r>
        <w:rPr>
          <w:spacing w:val="-3"/>
          <w:sz w:val="24"/>
          <w:szCs w:val="24"/>
        </w:rPr>
        <w:t>，距离地面</w:t>
      </w:r>
      <w:r>
        <w:rPr>
          <w:spacing w:val="-31"/>
          <w:sz w:val="24"/>
          <w:szCs w:val="24"/>
        </w:rPr>
        <w:t xml:space="preserve"> </w:t>
      </w:r>
      <w:r>
        <w:rPr>
          <w:rFonts w:ascii="Times New Roman" w:hAnsi="Times New Roman" w:eastAsia="Times New Roman" w:cs="Times New Roman"/>
          <w:spacing w:val="-3"/>
          <w:sz w:val="24"/>
          <w:szCs w:val="24"/>
        </w:rPr>
        <w:t xml:space="preserve">1.5m  </w:t>
      </w:r>
      <w:r>
        <w:rPr>
          <w:spacing w:val="-3"/>
          <w:sz w:val="24"/>
          <w:szCs w:val="24"/>
        </w:rPr>
        <w:t>高度处。</w:t>
      </w:r>
    </w:p>
    <w:p w14:paraId="6FC514B4">
      <w:pPr>
        <w:spacing w:line="362" w:lineRule="auto"/>
        <w:rPr>
          <w:sz w:val="24"/>
          <w:szCs w:val="24"/>
        </w:rPr>
        <w:sectPr>
          <w:footerReference r:id="rId175" w:type="default"/>
          <w:pgSz w:w="11906" w:h="16839"/>
          <w:pgMar w:top="400" w:right="1689" w:bottom="1147" w:left="1688" w:header="0" w:footer="960" w:gutter="0"/>
          <w:cols w:space="720" w:num="1"/>
        </w:sectPr>
      </w:pPr>
    </w:p>
    <w:p w14:paraId="4788034B">
      <w:pPr>
        <w:spacing w:line="267" w:lineRule="auto"/>
        <w:rPr>
          <w:rFonts w:ascii="Arial"/>
          <w:sz w:val="21"/>
        </w:rPr>
      </w:pPr>
    </w:p>
    <w:p w14:paraId="1A6B0EDC">
      <w:pPr>
        <w:spacing w:line="267" w:lineRule="auto"/>
        <w:rPr>
          <w:rFonts w:ascii="Arial"/>
          <w:sz w:val="21"/>
        </w:rPr>
      </w:pPr>
    </w:p>
    <w:p w14:paraId="16DDC61C">
      <w:pPr>
        <w:spacing w:line="267" w:lineRule="auto"/>
        <w:rPr>
          <w:rFonts w:ascii="Arial"/>
          <w:sz w:val="21"/>
        </w:rPr>
      </w:pPr>
    </w:p>
    <w:p w14:paraId="65DBE21D">
      <w:pPr>
        <w:spacing w:line="268" w:lineRule="auto"/>
        <w:rPr>
          <w:rFonts w:ascii="Arial"/>
          <w:sz w:val="21"/>
        </w:rPr>
      </w:pPr>
    </w:p>
    <w:p w14:paraId="6DBA3793">
      <w:pPr>
        <w:pStyle w:val="2"/>
        <w:spacing w:before="78" w:line="344" w:lineRule="auto"/>
        <w:ind w:left="22" w:right="13" w:firstLine="490"/>
        <w:jc w:val="both"/>
        <w:rPr>
          <w:sz w:val="24"/>
          <w:szCs w:val="24"/>
        </w:rPr>
      </w:pPr>
      <w:r>
        <w:rPr>
          <w:spacing w:val="-2"/>
          <w:sz w:val="24"/>
          <w:szCs w:val="24"/>
        </w:rPr>
        <w:t>断面：以围墙外</w:t>
      </w:r>
      <w:r>
        <w:rPr>
          <w:spacing w:val="-49"/>
          <w:sz w:val="24"/>
          <w:szCs w:val="24"/>
        </w:rPr>
        <w:t xml:space="preserve"> </w:t>
      </w:r>
      <w:r>
        <w:rPr>
          <w:rFonts w:ascii="Times New Roman" w:hAnsi="Times New Roman" w:eastAsia="Times New Roman" w:cs="Times New Roman"/>
          <w:spacing w:val="-2"/>
          <w:sz w:val="24"/>
          <w:szCs w:val="24"/>
        </w:rPr>
        <w:t xml:space="preserve">5m </w:t>
      </w:r>
      <w:r>
        <w:rPr>
          <w:spacing w:val="-2"/>
          <w:sz w:val="24"/>
          <w:szCs w:val="24"/>
        </w:rPr>
        <w:t>为起点，垂直于围墙而远离线路出线方向进行</w:t>
      </w:r>
      <w:r>
        <w:rPr>
          <w:spacing w:val="-3"/>
          <w:sz w:val="24"/>
          <w:szCs w:val="24"/>
        </w:rPr>
        <w:t>，测点间</w:t>
      </w:r>
      <w:r>
        <w:rPr>
          <w:spacing w:val="-5"/>
          <w:sz w:val="24"/>
          <w:szCs w:val="24"/>
        </w:rPr>
        <w:t>距</w:t>
      </w:r>
      <w:r>
        <w:rPr>
          <w:spacing w:val="-48"/>
          <w:sz w:val="24"/>
          <w:szCs w:val="24"/>
        </w:rPr>
        <w:t xml:space="preserve"> </w:t>
      </w:r>
      <w:r>
        <w:rPr>
          <w:rFonts w:ascii="Times New Roman" w:hAnsi="Times New Roman" w:eastAsia="Times New Roman" w:cs="Times New Roman"/>
          <w:spacing w:val="-5"/>
          <w:sz w:val="24"/>
          <w:szCs w:val="24"/>
        </w:rPr>
        <w:t>5m</w:t>
      </w:r>
      <w:r>
        <w:rPr>
          <w:spacing w:val="-5"/>
          <w:sz w:val="24"/>
          <w:szCs w:val="24"/>
        </w:rPr>
        <w:t>，测点距地面</w:t>
      </w:r>
      <w:r>
        <w:rPr>
          <w:spacing w:val="-32"/>
          <w:sz w:val="24"/>
          <w:szCs w:val="24"/>
        </w:rPr>
        <w:t xml:space="preserve"> </w:t>
      </w:r>
      <w:r>
        <w:rPr>
          <w:rFonts w:ascii="Times New Roman" w:hAnsi="Times New Roman" w:eastAsia="Times New Roman" w:cs="Times New Roman"/>
          <w:spacing w:val="-5"/>
          <w:sz w:val="24"/>
          <w:szCs w:val="24"/>
        </w:rPr>
        <w:t>1.5m</w:t>
      </w:r>
      <w:r>
        <w:rPr>
          <w:rFonts w:ascii="Times New Roman" w:hAnsi="Times New Roman" w:eastAsia="Times New Roman" w:cs="Times New Roman"/>
          <w:spacing w:val="17"/>
          <w:sz w:val="24"/>
          <w:szCs w:val="24"/>
        </w:rPr>
        <w:t xml:space="preserve"> </w:t>
      </w:r>
      <w:r>
        <w:rPr>
          <w:spacing w:val="-5"/>
          <w:sz w:val="24"/>
          <w:szCs w:val="24"/>
        </w:rPr>
        <w:t>高，测至（</w:t>
      </w:r>
      <w:r>
        <w:rPr>
          <w:rFonts w:ascii="Times New Roman" w:hAnsi="Times New Roman" w:eastAsia="Times New Roman" w:cs="Times New Roman"/>
          <w:spacing w:val="-5"/>
          <w:sz w:val="24"/>
          <w:szCs w:val="24"/>
        </w:rPr>
        <w:t>50m</w:t>
      </w:r>
      <w:r>
        <w:rPr>
          <w:rFonts w:ascii="Times New Roman" w:hAnsi="Times New Roman" w:eastAsia="Times New Roman" w:cs="Times New Roman"/>
          <w:spacing w:val="14"/>
          <w:sz w:val="24"/>
          <w:szCs w:val="24"/>
        </w:rPr>
        <w:t xml:space="preserve"> </w:t>
      </w:r>
      <w:r>
        <w:rPr>
          <w:spacing w:val="-5"/>
          <w:sz w:val="24"/>
          <w:szCs w:val="24"/>
        </w:rPr>
        <w:t>处）背景值止；断面监测路</w:t>
      </w:r>
      <w:r>
        <w:rPr>
          <w:spacing w:val="-6"/>
          <w:sz w:val="24"/>
          <w:szCs w:val="24"/>
        </w:rPr>
        <w:t>径以变电站</w:t>
      </w:r>
      <w:r>
        <w:rPr>
          <w:spacing w:val="-3"/>
          <w:sz w:val="24"/>
          <w:szCs w:val="24"/>
        </w:rPr>
        <w:t>围墙周围的工频电场和工频磁场监测最大值处为起点，站址在避开进出线的情况</w:t>
      </w:r>
      <w:r>
        <w:rPr>
          <w:spacing w:val="-1"/>
          <w:sz w:val="24"/>
          <w:szCs w:val="24"/>
        </w:rPr>
        <w:t>下，西侧电磁辐射值最大，故监测断面选择在站址</w:t>
      </w:r>
      <w:r>
        <w:rPr>
          <w:spacing w:val="-2"/>
          <w:sz w:val="24"/>
          <w:szCs w:val="24"/>
        </w:rPr>
        <w:t>西侧。监测布点，见图</w:t>
      </w:r>
      <w:r>
        <w:rPr>
          <w:spacing w:val="-48"/>
          <w:sz w:val="24"/>
          <w:szCs w:val="24"/>
        </w:rPr>
        <w:t xml:space="preserve"> </w:t>
      </w:r>
      <w:r>
        <w:rPr>
          <w:rFonts w:ascii="Times New Roman" w:hAnsi="Times New Roman" w:eastAsia="Times New Roman" w:cs="Times New Roman"/>
          <w:spacing w:val="-2"/>
          <w:sz w:val="24"/>
          <w:szCs w:val="24"/>
        </w:rPr>
        <w:t>5-</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
          <w:sz w:val="24"/>
          <w:szCs w:val="24"/>
        </w:rPr>
        <w:t>1</w:t>
      </w:r>
      <w:r>
        <w:rPr>
          <w:spacing w:val="-2"/>
          <w:sz w:val="24"/>
          <w:szCs w:val="24"/>
        </w:rPr>
        <w:t>。</w:t>
      </w:r>
    </w:p>
    <w:p w14:paraId="58FC0A1E">
      <w:pPr>
        <w:spacing w:line="6804" w:lineRule="exact"/>
        <w:ind w:firstLine="14"/>
      </w:pPr>
      <w:r>
        <w:rPr>
          <w:position w:val="-136"/>
        </w:rPr>
        <w:drawing>
          <wp:inline distT="0" distB="0" distL="0" distR="0">
            <wp:extent cx="5273040" cy="4320540"/>
            <wp:effectExtent l="0" t="0" r="0" b="0"/>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r:embed="rId282"/>
                    <a:stretch>
                      <a:fillRect/>
                    </a:stretch>
                  </pic:blipFill>
                  <pic:spPr>
                    <a:xfrm>
                      <a:off x="0" y="0"/>
                      <a:ext cx="5273040" cy="4320540"/>
                    </a:xfrm>
                    <a:prstGeom prst="rect">
                      <a:avLst/>
                    </a:prstGeom>
                  </pic:spPr>
                </pic:pic>
              </a:graphicData>
            </a:graphic>
          </wp:inline>
        </w:drawing>
      </w:r>
    </w:p>
    <w:p w14:paraId="3E17AB79">
      <w:pPr>
        <w:pStyle w:val="2"/>
        <w:spacing w:before="80" w:line="227" w:lineRule="auto"/>
        <w:ind w:left="1266"/>
        <w:rPr>
          <w:sz w:val="20"/>
          <w:szCs w:val="20"/>
        </w:rPr>
      </w:pPr>
      <w:r>
        <w:rPr>
          <w:b/>
          <w:bCs/>
          <w:spacing w:val="5"/>
          <w:sz w:val="20"/>
          <w:szCs w:val="20"/>
        </w:rPr>
        <w:t>图</w:t>
      </w:r>
      <w:r>
        <w:rPr>
          <w:spacing w:val="-26"/>
          <w:sz w:val="20"/>
          <w:szCs w:val="20"/>
        </w:rPr>
        <w:t xml:space="preserve"> </w:t>
      </w:r>
      <w:r>
        <w:rPr>
          <w:rFonts w:ascii="Times New Roman" w:hAnsi="Times New Roman" w:eastAsia="Times New Roman" w:cs="Times New Roman"/>
          <w:b/>
          <w:bCs/>
          <w:spacing w:val="5"/>
          <w:sz w:val="20"/>
          <w:szCs w:val="20"/>
        </w:rPr>
        <w:t xml:space="preserve">5-1    </w:t>
      </w:r>
      <w:r>
        <w:rPr>
          <w:b/>
          <w:bCs/>
          <w:spacing w:val="5"/>
          <w:sz w:val="20"/>
          <w:szCs w:val="20"/>
        </w:rPr>
        <w:t>类比</w:t>
      </w:r>
      <w:r>
        <w:rPr>
          <w:spacing w:val="-34"/>
          <w:sz w:val="20"/>
          <w:szCs w:val="20"/>
        </w:rPr>
        <w:t xml:space="preserve"> </w:t>
      </w:r>
      <w:r>
        <w:rPr>
          <w:rFonts w:ascii="Times New Roman" w:hAnsi="Times New Roman" w:eastAsia="Times New Roman" w:cs="Times New Roman"/>
          <w:b/>
          <w:bCs/>
          <w:spacing w:val="5"/>
          <w:sz w:val="20"/>
          <w:szCs w:val="20"/>
        </w:rPr>
        <w:t>110</w:t>
      </w:r>
      <w:r>
        <w:rPr>
          <w:rFonts w:ascii="Times New Roman" w:hAnsi="Times New Roman" w:eastAsia="Times New Roman" w:cs="Times New Roman"/>
          <w:b/>
          <w:bCs/>
          <w:sz w:val="20"/>
          <w:szCs w:val="20"/>
        </w:rPr>
        <w:t>kV</w:t>
      </w:r>
      <w:r>
        <w:rPr>
          <w:rFonts w:ascii="Times New Roman" w:hAnsi="Times New Roman" w:eastAsia="Times New Roman" w:cs="Times New Roman"/>
          <w:b/>
          <w:bCs/>
          <w:spacing w:val="5"/>
          <w:sz w:val="20"/>
          <w:szCs w:val="20"/>
        </w:rPr>
        <w:t xml:space="preserve"> </w:t>
      </w:r>
      <w:r>
        <w:rPr>
          <w:b/>
          <w:bCs/>
          <w:spacing w:val="5"/>
          <w:sz w:val="20"/>
          <w:szCs w:val="20"/>
        </w:rPr>
        <w:t>城南变电站站区总平面布置及监测点布置图</w:t>
      </w:r>
    </w:p>
    <w:p w14:paraId="6BBC53B3">
      <w:pPr>
        <w:pStyle w:val="2"/>
        <w:spacing w:before="128" w:line="219" w:lineRule="auto"/>
        <w:ind w:left="514"/>
        <w:rPr>
          <w:sz w:val="24"/>
          <w:szCs w:val="24"/>
        </w:rPr>
      </w:pPr>
      <w:r>
        <w:rPr>
          <w:b/>
          <w:bCs/>
          <w:spacing w:val="-4"/>
          <w:sz w:val="24"/>
          <w:szCs w:val="24"/>
        </w:rPr>
        <w:t>（</w:t>
      </w:r>
      <w:r>
        <w:rPr>
          <w:rFonts w:ascii="Times New Roman" w:hAnsi="Times New Roman" w:eastAsia="Times New Roman" w:cs="Times New Roman"/>
          <w:b/>
          <w:bCs/>
          <w:spacing w:val="-4"/>
          <w:sz w:val="24"/>
          <w:szCs w:val="24"/>
        </w:rPr>
        <w:t>4</w:t>
      </w:r>
      <w:r>
        <w:rPr>
          <w:b/>
          <w:bCs/>
          <w:spacing w:val="-4"/>
          <w:sz w:val="24"/>
          <w:szCs w:val="24"/>
        </w:rPr>
        <w:t>）监测时间及气象条件</w:t>
      </w:r>
    </w:p>
    <w:p w14:paraId="7F38A5EF">
      <w:pPr>
        <w:pStyle w:val="2"/>
        <w:spacing w:before="183" w:line="219" w:lineRule="auto"/>
        <w:ind w:left="504"/>
        <w:rPr>
          <w:sz w:val="24"/>
          <w:szCs w:val="24"/>
        </w:rPr>
      </w:pPr>
      <w:r>
        <w:rPr>
          <w:spacing w:val="-6"/>
          <w:sz w:val="24"/>
          <w:szCs w:val="24"/>
        </w:rPr>
        <w:t>监测时间：</w:t>
      </w:r>
      <w:r>
        <w:rPr>
          <w:rFonts w:ascii="Times New Roman" w:hAnsi="Times New Roman" w:eastAsia="Times New Roman" w:cs="Times New Roman"/>
          <w:spacing w:val="-6"/>
          <w:sz w:val="24"/>
          <w:szCs w:val="24"/>
        </w:rPr>
        <w:t xml:space="preserve">2021 </w:t>
      </w:r>
      <w:r>
        <w:rPr>
          <w:spacing w:val="-6"/>
          <w:sz w:val="24"/>
          <w:szCs w:val="24"/>
        </w:rPr>
        <w:t>年</w:t>
      </w:r>
      <w:r>
        <w:rPr>
          <w:spacing w:val="-38"/>
          <w:sz w:val="24"/>
          <w:szCs w:val="24"/>
        </w:rPr>
        <w:t xml:space="preserve"> </w:t>
      </w:r>
      <w:r>
        <w:rPr>
          <w:rFonts w:ascii="Times New Roman" w:hAnsi="Times New Roman" w:eastAsia="Times New Roman" w:cs="Times New Roman"/>
          <w:spacing w:val="-6"/>
          <w:sz w:val="24"/>
          <w:szCs w:val="24"/>
        </w:rPr>
        <w:t>3</w:t>
      </w:r>
      <w:r>
        <w:rPr>
          <w:rFonts w:ascii="Times New Roman" w:hAnsi="Times New Roman" w:eastAsia="Times New Roman" w:cs="Times New Roman"/>
          <w:spacing w:val="15"/>
          <w:w w:val="101"/>
          <w:sz w:val="24"/>
          <w:szCs w:val="24"/>
        </w:rPr>
        <w:t xml:space="preserve"> </w:t>
      </w:r>
      <w:r>
        <w:rPr>
          <w:spacing w:val="-6"/>
          <w:sz w:val="24"/>
          <w:szCs w:val="24"/>
        </w:rPr>
        <w:t>月</w:t>
      </w:r>
      <w:r>
        <w:rPr>
          <w:spacing w:val="-55"/>
          <w:sz w:val="24"/>
          <w:szCs w:val="24"/>
        </w:rPr>
        <w:t xml:space="preserve"> </w:t>
      </w:r>
      <w:r>
        <w:rPr>
          <w:rFonts w:ascii="Times New Roman" w:hAnsi="Times New Roman" w:eastAsia="Times New Roman" w:cs="Times New Roman"/>
          <w:spacing w:val="-6"/>
          <w:sz w:val="24"/>
          <w:szCs w:val="24"/>
        </w:rPr>
        <w:t xml:space="preserve">23  </w:t>
      </w:r>
      <w:r>
        <w:rPr>
          <w:spacing w:val="-6"/>
          <w:sz w:val="24"/>
          <w:szCs w:val="24"/>
        </w:rPr>
        <w:t>日；</w:t>
      </w:r>
    </w:p>
    <w:p w14:paraId="53DC42EF">
      <w:pPr>
        <w:pStyle w:val="2"/>
        <w:spacing w:before="183" w:line="360" w:lineRule="auto"/>
        <w:ind w:left="1944" w:right="1136" w:hanging="1440"/>
        <w:rPr>
          <w:sz w:val="24"/>
          <w:szCs w:val="24"/>
        </w:rPr>
      </w:pPr>
      <w:r>
        <w:rPr>
          <w:sz w:val="24"/>
          <w:szCs w:val="24"/>
        </w:rPr>
        <w:t>气象条件：  天气：晴  温度：</w:t>
      </w:r>
      <w:r>
        <w:rPr>
          <w:rFonts w:ascii="Times New Roman" w:hAnsi="Times New Roman" w:eastAsia="Times New Roman" w:cs="Times New Roman"/>
          <w:sz w:val="24"/>
          <w:szCs w:val="24"/>
        </w:rPr>
        <w:t xml:space="preserve">18.5~26.4℃    </w:t>
      </w:r>
      <w:r>
        <w:rPr>
          <w:spacing w:val="-1"/>
          <w:sz w:val="24"/>
          <w:szCs w:val="24"/>
        </w:rPr>
        <w:t>湿度：</w:t>
      </w:r>
      <w:r>
        <w:rPr>
          <w:rFonts w:ascii="Times New Roman" w:hAnsi="Times New Roman" w:eastAsia="Times New Roman" w:cs="Times New Roman"/>
          <w:spacing w:val="-1"/>
          <w:sz w:val="24"/>
          <w:szCs w:val="24"/>
        </w:rPr>
        <w:t>29.9~42.4%</w:t>
      </w:r>
      <w:r>
        <w:rPr>
          <w:spacing w:val="-3"/>
          <w:sz w:val="24"/>
          <w:szCs w:val="24"/>
        </w:rPr>
        <w:t>风速：</w:t>
      </w:r>
      <w:r>
        <w:rPr>
          <w:rFonts w:ascii="Times New Roman" w:hAnsi="Times New Roman" w:eastAsia="Times New Roman" w:cs="Times New Roman"/>
          <w:spacing w:val="-3"/>
          <w:sz w:val="24"/>
          <w:szCs w:val="24"/>
        </w:rPr>
        <w:t>0.8~</w:t>
      </w:r>
      <w:r>
        <w:rPr>
          <w:rFonts w:ascii="Times New Roman" w:hAnsi="Times New Roman" w:eastAsia="Times New Roman" w:cs="Times New Roman"/>
          <w:spacing w:val="-29"/>
          <w:sz w:val="24"/>
          <w:szCs w:val="24"/>
        </w:rPr>
        <w:t xml:space="preserve"> </w:t>
      </w:r>
      <w:r>
        <w:rPr>
          <w:rFonts w:ascii="Times New Roman" w:hAnsi="Times New Roman" w:eastAsia="Times New Roman" w:cs="Times New Roman"/>
          <w:spacing w:val="-3"/>
          <w:sz w:val="24"/>
          <w:szCs w:val="24"/>
        </w:rPr>
        <w:t>1.5m/s</w:t>
      </w:r>
      <w:r>
        <w:rPr>
          <w:spacing w:val="-3"/>
          <w:sz w:val="24"/>
          <w:szCs w:val="24"/>
        </w:rPr>
        <w:t>。</w:t>
      </w:r>
    </w:p>
    <w:p w14:paraId="0BE560C3">
      <w:pPr>
        <w:pStyle w:val="2"/>
        <w:spacing w:line="220" w:lineRule="auto"/>
        <w:ind w:left="514"/>
        <w:rPr>
          <w:sz w:val="24"/>
          <w:szCs w:val="24"/>
        </w:rPr>
      </w:pPr>
      <w:r>
        <w:rPr>
          <w:b/>
          <w:bCs/>
          <w:spacing w:val="-4"/>
          <w:sz w:val="24"/>
          <w:szCs w:val="24"/>
        </w:rPr>
        <w:t>（</w:t>
      </w:r>
      <w:r>
        <w:rPr>
          <w:rFonts w:ascii="Times New Roman" w:hAnsi="Times New Roman" w:eastAsia="Times New Roman" w:cs="Times New Roman"/>
          <w:b/>
          <w:bCs/>
          <w:spacing w:val="-4"/>
          <w:sz w:val="24"/>
          <w:szCs w:val="24"/>
        </w:rPr>
        <w:t>5</w:t>
      </w:r>
      <w:r>
        <w:rPr>
          <w:b/>
          <w:bCs/>
          <w:spacing w:val="-4"/>
          <w:sz w:val="24"/>
          <w:szCs w:val="24"/>
        </w:rPr>
        <w:t>）监测期间运行工况</w:t>
      </w:r>
    </w:p>
    <w:p w14:paraId="6EA5EAFD">
      <w:pPr>
        <w:pStyle w:val="2"/>
        <w:spacing w:before="182" w:line="360" w:lineRule="auto"/>
        <w:ind w:left="27" w:right="13" w:firstLine="494"/>
        <w:jc w:val="both"/>
        <w:rPr>
          <w:sz w:val="24"/>
          <w:szCs w:val="24"/>
        </w:rPr>
      </w:pPr>
      <w:r>
        <w:rPr>
          <w:rFonts w:ascii="Times New Roman" w:hAnsi="Times New Roman" w:eastAsia="Times New Roman" w:cs="Times New Roman"/>
          <w:spacing w:val="-3"/>
          <w:sz w:val="24"/>
          <w:szCs w:val="24"/>
        </w:rPr>
        <w:t xml:space="preserve">110kV </w:t>
      </w:r>
      <w:r>
        <w:rPr>
          <w:spacing w:val="-3"/>
          <w:sz w:val="24"/>
          <w:szCs w:val="24"/>
        </w:rPr>
        <w:t>城南变电站位于云南省普洱市思茅区，该工程已</w:t>
      </w:r>
      <w:r>
        <w:rPr>
          <w:spacing w:val="-4"/>
          <w:sz w:val="24"/>
          <w:szCs w:val="24"/>
        </w:rPr>
        <w:t>建成并投入运营，并</w:t>
      </w:r>
      <w:r>
        <w:rPr>
          <w:spacing w:val="-5"/>
          <w:sz w:val="24"/>
          <w:szCs w:val="24"/>
        </w:rPr>
        <w:t>于</w:t>
      </w:r>
      <w:r>
        <w:rPr>
          <w:spacing w:val="-55"/>
          <w:sz w:val="24"/>
          <w:szCs w:val="24"/>
        </w:rPr>
        <w:t xml:space="preserve"> </w:t>
      </w:r>
      <w:r>
        <w:rPr>
          <w:rFonts w:ascii="Times New Roman" w:hAnsi="Times New Roman" w:eastAsia="Times New Roman" w:cs="Times New Roman"/>
          <w:spacing w:val="-5"/>
          <w:sz w:val="24"/>
          <w:szCs w:val="24"/>
        </w:rPr>
        <w:t xml:space="preserve">2021 </w:t>
      </w:r>
      <w:r>
        <w:rPr>
          <w:spacing w:val="-5"/>
          <w:sz w:val="24"/>
          <w:szCs w:val="24"/>
        </w:rPr>
        <w:t>年</w:t>
      </w:r>
      <w:r>
        <w:rPr>
          <w:spacing w:val="-50"/>
          <w:sz w:val="24"/>
          <w:szCs w:val="24"/>
        </w:rPr>
        <w:t xml:space="preserve"> </w:t>
      </w:r>
      <w:r>
        <w:rPr>
          <w:rFonts w:ascii="Times New Roman" w:hAnsi="Times New Roman" w:eastAsia="Times New Roman" w:cs="Times New Roman"/>
          <w:spacing w:val="-5"/>
          <w:sz w:val="24"/>
          <w:szCs w:val="24"/>
        </w:rPr>
        <w:t>3</w:t>
      </w:r>
      <w:r>
        <w:rPr>
          <w:rFonts w:ascii="Times New Roman" w:hAnsi="Times New Roman" w:eastAsia="Times New Roman" w:cs="Times New Roman"/>
          <w:spacing w:val="15"/>
          <w:sz w:val="24"/>
          <w:szCs w:val="24"/>
        </w:rPr>
        <w:t xml:space="preserve"> </w:t>
      </w:r>
      <w:r>
        <w:rPr>
          <w:spacing w:val="-5"/>
          <w:sz w:val="24"/>
          <w:szCs w:val="24"/>
        </w:rPr>
        <w:t>月</w:t>
      </w:r>
      <w:r>
        <w:rPr>
          <w:spacing w:val="-55"/>
          <w:sz w:val="24"/>
          <w:szCs w:val="24"/>
        </w:rPr>
        <w:t xml:space="preserve"> </w:t>
      </w:r>
      <w:r>
        <w:rPr>
          <w:rFonts w:ascii="Times New Roman" w:hAnsi="Times New Roman" w:eastAsia="Times New Roman" w:cs="Times New Roman"/>
          <w:spacing w:val="-5"/>
          <w:sz w:val="24"/>
          <w:szCs w:val="24"/>
        </w:rPr>
        <w:t xml:space="preserve">23  </w:t>
      </w:r>
      <w:r>
        <w:rPr>
          <w:spacing w:val="-5"/>
          <w:sz w:val="24"/>
          <w:szCs w:val="24"/>
        </w:rPr>
        <w:t>日由武汉中电工程检测有限公司进行验收监测，监测时</w:t>
      </w:r>
      <w:r>
        <w:rPr>
          <w:spacing w:val="-6"/>
          <w:sz w:val="24"/>
          <w:szCs w:val="24"/>
        </w:rPr>
        <w:t>变电站</w:t>
      </w:r>
      <w:r>
        <w:rPr>
          <w:spacing w:val="-1"/>
          <w:sz w:val="24"/>
          <w:szCs w:val="24"/>
        </w:rPr>
        <w:t>正常运行。</w:t>
      </w:r>
      <w:r>
        <w:rPr>
          <w:rFonts w:ascii="Times New Roman" w:hAnsi="Times New Roman" w:eastAsia="Times New Roman" w:cs="Times New Roman"/>
          <w:spacing w:val="-1"/>
          <w:sz w:val="24"/>
          <w:szCs w:val="24"/>
        </w:rPr>
        <w:t xml:space="preserve">110kV </w:t>
      </w:r>
      <w:r>
        <w:rPr>
          <w:spacing w:val="-1"/>
          <w:sz w:val="24"/>
          <w:szCs w:val="24"/>
        </w:rPr>
        <w:t>城南变电站主变压器运行工作如下：</w:t>
      </w:r>
    </w:p>
    <w:p w14:paraId="5162E6C5">
      <w:pPr>
        <w:pStyle w:val="2"/>
        <w:spacing w:line="362" w:lineRule="auto"/>
        <w:ind w:left="24" w:right="323" w:firstLine="497"/>
        <w:rPr>
          <w:sz w:val="24"/>
          <w:szCs w:val="24"/>
        </w:rPr>
      </w:pPr>
      <w:r>
        <w:rPr>
          <w:rFonts w:ascii="Times New Roman" w:hAnsi="Times New Roman" w:eastAsia="Times New Roman" w:cs="Times New Roman"/>
          <w:spacing w:val="-5"/>
          <w:sz w:val="24"/>
          <w:szCs w:val="24"/>
        </w:rPr>
        <w:t xml:space="preserve">110kV </w:t>
      </w:r>
      <w:r>
        <w:rPr>
          <w:spacing w:val="-5"/>
          <w:sz w:val="24"/>
          <w:szCs w:val="24"/>
        </w:rPr>
        <w:t>城南变电站</w:t>
      </w:r>
      <w:r>
        <w:rPr>
          <w:spacing w:val="-17"/>
          <w:sz w:val="24"/>
          <w:szCs w:val="24"/>
        </w:rPr>
        <w:t xml:space="preserve"> </w:t>
      </w:r>
      <w:r>
        <w:rPr>
          <w:rFonts w:ascii="Times New Roman" w:hAnsi="Times New Roman" w:eastAsia="Times New Roman" w:cs="Times New Roman"/>
          <w:spacing w:val="-5"/>
          <w:sz w:val="24"/>
          <w:szCs w:val="24"/>
        </w:rPr>
        <w:t>1#</w:t>
      </w:r>
      <w:r>
        <w:rPr>
          <w:spacing w:val="-5"/>
          <w:sz w:val="24"/>
          <w:szCs w:val="24"/>
        </w:rPr>
        <w:t>主变（</w:t>
      </w:r>
      <w:r>
        <w:rPr>
          <w:rFonts w:ascii="Times New Roman" w:hAnsi="Times New Roman" w:eastAsia="Times New Roman" w:cs="Times New Roman"/>
          <w:spacing w:val="-5"/>
          <w:sz w:val="24"/>
          <w:szCs w:val="24"/>
        </w:rPr>
        <w:t>50MVA</w:t>
      </w:r>
      <w:r>
        <w:rPr>
          <w:spacing w:val="-5"/>
          <w:sz w:val="24"/>
          <w:szCs w:val="24"/>
        </w:rPr>
        <w:t>）电压值：</w:t>
      </w:r>
      <w:r>
        <w:rPr>
          <w:rFonts w:ascii="Times New Roman" w:hAnsi="Times New Roman" w:eastAsia="Times New Roman" w:cs="Times New Roman"/>
          <w:spacing w:val="-5"/>
          <w:sz w:val="24"/>
          <w:szCs w:val="24"/>
        </w:rPr>
        <w:t>110.2~</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5"/>
          <w:sz w:val="24"/>
          <w:szCs w:val="24"/>
        </w:rPr>
        <w:t>114.5kV</w:t>
      </w:r>
      <w:r>
        <w:rPr>
          <w:spacing w:val="-5"/>
          <w:sz w:val="24"/>
          <w:szCs w:val="24"/>
        </w:rPr>
        <w:t>；电流值：</w:t>
      </w:r>
      <w:r>
        <w:rPr>
          <w:sz w:val="24"/>
          <w:szCs w:val="24"/>
        </w:rPr>
        <w:t xml:space="preserve"> </w:t>
      </w:r>
      <w:r>
        <w:rPr>
          <w:rFonts w:ascii="Times New Roman" w:hAnsi="Times New Roman" w:eastAsia="Times New Roman" w:cs="Times New Roman"/>
          <w:sz w:val="24"/>
          <w:szCs w:val="24"/>
        </w:rPr>
        <w:t>65.2~69.7A</w:t>
      </w:r>
      <w:r>
        <w:rPr>
          <w:sz w:val="24"/>
          <w:szCs w:val="24"/>
        </w:rPr>
        <w:t>；有功功率：</w:t>
      </w:r>
      <w:r>
        <w:rPr>
          <w:rFonts w:ascii="Times New Roman" w:hAnsi="Times New Roman" w:eastAsia="Times New Roman" w:cs="Times New Roman"/>
          <w:sz w:val="24"/>
          <w:szCs w:val="24"/>
        </w:rPr>
        <w:t>17.9~20.6MW</w:t>
      </w:r>
      <w:r>
        <w:rPr>
          <w:sz w:val="24"/>
          <w:szCs w:val="24"/>
        </w:rPr>
        <w:t>；无功功率：</w:t>
      </w:r>
      <w:r>
        <w:rPr>
          <w:rFonts w:ascii="Times New Roman" w:hAnsi="Times New Roman" w:eastAsia="Times New Roman" w:cs="Times New Roman"/>
          <w:sz w:val="24"/>
          <w:szCs w:val="24"/>
        </w:rPr>
        <w:t>2</w:t>
      </w:r>
      <w:r>
        <w:rPr>
          <w:rFonts w:ascii="Times New Roman" w:hAnsi="Times New Roman" w:eastAsia="Times New Roman" w:cs="Times New Roman"/>
          <w:spacing w:val="-1"/>
          <w:sz w:val="24"/>
          <w:szCs w:val="24"/>
        </w:rPr>
        <w:t>.4~3.6Mvar</w:t>
      </w:r>
      <w:r>
        <w:rPr>
          <w:spacing w:val="-1"/>
          <w:sz w:val="24"/>
          <w:szCs w:val="24"/>
        </w:rPr>
        <w:t>；</w:t>
      </w:r>
    </w:p>
    <w:p w14:paraId="40FAF526">
      <w:pPr>
        <w:spacing w:line="362" w:lineRule="auto"/>
        <w:rPr>
          <w:sz w:val="24"/>
          <w:szCs w:val="24"/>
        </w:rPr>
        <w:sectPr>
          <w:footerReference r:id="rId176" w:type="default"/>
          <w:pgSz w:w="11906" w:h="16839"/>
          <w:pgMar w:top="400" w:right="1785" w:bottom="1147" w:left="1785" w:header="0" w:footer="960" w:gutter="0"/>
          <w:cols w:space="720" w:num="1"/>
        </w:sectPr>
      </w:pPr>
    </w:p>
    <w:p w14:paraId="1BC88A4A">
      <w:pPr>
        <w:spacing w:line="267" w:lineRule="auto"/>
        <w:rPr>
          <w:rFonts w:ascii="Arial"/>
          <w:sz w:val="21"/>
        </w:rPr>
      </w:pPr>
    </w:p>
    <w:p w14:paraId="26245D25">
      <w:pPr>
        <w:spacing w:line="267" w:lineRule="auto"/>
        <w:rPr>
          <w:rFonts w:ascii="Arial"/>
          <w:sz w:val="21"/>
        </w:rPr>
      </w:pPr>
    </w:p>
    <w:p w14:paraId="19A4C402">
      <w:pPr>
        <w:spacing w:line="267" w:lineRule="auto"/>
        <w:rPr>
          <w:rFonts w:ascii="Arial"/>
          <w:sz w:val="21"/>
        </w:rPr>
      </w:pPr>
    </w:p>
    <w:p w14:paraId="726FD1FA">
      <w:pPr>
        <w:spacing w:line="268" w:lineRule="auto"/>
        <w:rPr>
          <w:rFonts w:ascii="Arial"/>
          <w:sz w:val="21"/>
        </w:rPr>
      </w:pPr>
    </w:p>
    <w:p w14:paraId="4F2F318A">
      <w:pPr>
        <w:pStyle w:val="2"/>
        <w:spacing w:before="78" w:line="360" w:lineRule="auto"/>
        <w:ind w:left="92" w:right="408" w:firstLine="498"/>
        <w:rPr>
          <w:sz w:val="24"/>
          <w:szCs w:val="24"/>
        </w:rPr>
      </w:pPr>
      <w:r>
        <w:rPr>
          <w:rFonts w:ascii="Times New Roman" w:hAnsi="Times New Roman" w:eastAsia="Times New Roman" w:cs="Times New Roman"/>
          <w:spacing w:val="-4"/>
          <w:sz w:val="24"/>
          <w:szCs w:val="24"/>
        </w:rPr>
        <w:t xml:space="preserve">110kV </w:t>
      </w:r>
      <w:r>
        <w:rPr>
          <w:spacing w:val="-4"/>
          <w:sz w:val="24"/>
          <w:szCs w:val="24"/>
        </w:rPr>
        <w:t>城南变电站</w:t>
      </w:r>
      <w:r>
        <w:rPr>
          <w:spacing w:val="-55"/>
          <w:sz w:val="24"/>
          <w:szCs w:val="24"/>
        </w:rPr>
        <w:t xml:space="preserve"> </w:t>
      </w:r>
      <w:r>
        <w:rPr>
          <w:rFonts w:ascii="Times New Roman" w:hAnsi="Times New Roman" w:eastAsia="Times New Roman" w:cs="Times New Roman"/>
          <w:spacing w:val="-4"/>
          <w:sz w:val="24"/>
          <w:szCs w:val="24"/>
        </w:rPr>
        <w:t>2#</w:t>
      </w:r>
      <w:r>
        <w:rPr>
          <w:spacing w:val="-4"/>
          <w:sz w:val="24"/>
          <w:szCs w:val="24"/>
        </w:rPr>
        <w:t>主变（</w:t>
      </w:r>
      <w:r>
        <w:rPr>
          <w:rFonts w:ascii="Times New Roman" w:hAnsi="Times New Roman" w:eastAsia="Times New Roman" w:cs="Times New Roman"/>
          <w:spacing w:val="-4"/>
          <w:sz w:val="24"/>
          <w:szCs w:val="24"/>
        </w:rPr>
        <w:t>50MVA</w:t>
      </w:r>
      <w:r>
        <w:rPr>
          <w:spacing w:val="-4"/>
          <w:sz w:val="24"/>
          <w:szCs w:val="24"/>
        </w:rPr>
        <w:t>）电压值：</w:t>
      </w:r>
      <w:r>
        <w:rPr>
          <w:rFonts w:ascii="Times New Roman" w:hAnsi="Times New Roman" w:eastAsia="Times New Roman" w:cs="Times New Roman"/>
          <w:spacing w:val="-4"/>
          <w:sz w:val="24"/>
          <w:szCs w:val="24"/>
        </w:rPr>
        <w:t>110.3~</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4"/>
          <w:sz w:val="24"/>
          <w:szCs w:val="24"/>
        </w:rPr>
        <w:t>115.3k</w:t>
      </w:r>
      <w:r>
        <w:rPr>
          <w:rFonts w:ascii="Times New Roman" w:hAnsi="Times New Roman" w:eastAsia="Times New Roman" w:cs="Times New Roman"/>
          <w:spacing w:val="-5"/>
          <w:sz w:val="24"/>
          <w:szCs w:val="24"/>
        </w:rPr>
        <w:t>V</w:t>
      </w:r>
      <w:r>
        <w:rPr>
          <w:spacing w:val="-5"/>
          <w:sz w:val="24"/>
          <w:szCs w:val="24"/>
        </w:rPr>
        <w:t>；电流值：</w:t>
      </w:r>
      <w:r>
        <w:rPr>
          <w:sz w:val="24"/>
          <w:szCs w:val="24"/>
        </w:rPr>
        <w:t xml:space="preserve"> </w:t>
      </w:r>
      <w:r>
        <w:rPr>
          <w:rFonts w:ascii="Times New Roman" w:hAnsi="Times New Roman" w:eastAsia="Times New Roman" w:cs="Times New Roman"/>
          <w:spacing w:val="-1"/>
          <w:sz w:val="24"/>
          <w:szCs w:val="24"/>
        </w:rPr>
        <w:t>30.1~36.2A</w:t>
      </w:r>
      <w:r>
        <w:rPr>
          <w:spacing w:val="-1"/>
          <w:sz w:val="24"/>
          <w:szCs w:val="24"/>
        </w:rPr>
        <w:t>；有功功率：</w:t>
      </w:r>
      <w:r>
        <w:rPr>
          <w:rFonts w:ascii="Times New Roman" w:hAnsi="Times New Roman" w:eastAsia="Times New Roman" w:cs="Times New Roman"/>
          <w:spacing w:val="-1"/>
          <w:sz w:val="24"/>
          <w:szCs w:val="24"/>
        </w:rPr>
        <w:t>11.4~</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1"/>
          <w:sz w:val="24"/>
          <w:szCs w:val="24"/>
        </w:rPr>
        <w:t>14.7MW</w:t>
      </w:r>
      <w:r>
        <w:rPr>
          <w:spacing w:val="-1"/>
          <w:sz w:val="24"/>
          <w:szCs w:val="24"/>
        </w:rPr>
        <w:t>；无功功率：</w:t>
      </w:r>
      <w:r>
        <w:rPr>
          <w:rFonts w:ascii="Times New Roman" w:hAnsi="Times New Roman" w:eastAsia="Times New Roman" w:cs="Times New Roman"/>
          <w:spacing w:val="-1"/>
          <w:sz w:val="24"/>
          <w:szCs w:val="24"/>
        </w:rPr>
        <w:t>1.4~3.6Mv</w:t>
      </w:r>
      <w:r>
        <w:rPr>
          <w:rFonts w:ascii="Times New Roman" w:hAnsi="Times New Roman" w:eastAsia="Times New Roman" w:cs="Times New Roman"/>
          <w:spacing w:val="-2"/>
          <w:sz w:val="24"/>
          <w:szCs w:val="24"/>
        </w:rPr>
        <w:t>ar</w:t>
      </w:r>
      <w:r>
        <w:rPr>
          <w:spacing w:val="-2"/>
          <w:sz w:val="24"/>
          <w:szCs w:val="24"/>
        </w:rPr>
        <w:t>。</w:t>
      </w:r>
    </w:p>
    <w:p w14:paraId="74A9FB89">
      <w:pPr>
        <w:pStyle w:val="2"/>
        <w:spacing w:before="1" w:line="217" w:lineRule="auto"/>
        <w:ind w:left="583"/>
        <w:rPr>
          <w:sz w:val="24"/>
          <w:szCs w:val="24"/>
        </w:rPr>
      </w:pPr>
      <w:r>
        <w:rPr>
          <w:b/>
          <w:bCs/>
          <w:spacing w:val="-4"/>
          <w:sz w:val="24"/>
          <w:szCs w:val="24"/>
        </w:rPr>
        <w:t>（</w:t>
      </w:r>
      <w:r>
        <w:rPr>
          <w:rFonts w:ascii="Times New Roman" w:hAnsi="Times New Roman" w:eastAsia="Times New Roman" w:cs="Times New Roman"/>
          <w:b/>
          <w:bCs/>
          <w:spacing w:val="-4"/>
          <w:sz w:val="24"/>
          <w:szCs w:val="24"/>
        </w:rPr>
        <w:t>6</w:t>
      </w:r>
      <w:r>
        <w:rPr>
          <w:b/>
          <w:bCs/>
          <w:spacing w:val="-4"/>
          <w:sz w:val="24"/>
          <w:szCs w:val="24"/>
        </w:rPr>
        <w:t>）类比监测结果与评价</w:t>
      </w:r>
    </w:p>
    <w:p w14:paraId="2CC2E0C9">
      <w:pPr>
        <w:pStyle w:val="2"/>
        <w:spacing w:before="185" w:line="219" w:lineRule="auto"/>
        <w:ind w:left="575"/>
        <w:rPr>
          <w:sz w:val="24"/>
          <w:szCs w:val="24"/>
        </w:rPr>
      </w:pPr>
      <w:r>
        <w:rPr>
          <w:spacing w:val="-1"/>
          <w:sz w:val="24"/>
          <w:szCs w:val="24"/>
        </w:rPr>
        <w:t>工频电场强度、工频磁感应强度监测值类比预测见表</w:t>
      </w:r>
      <w:r>
        <w:rPr>
          <w:spacing w:val="-47"/>
          <w:sz w:val="24"/>
          <w:szCs w:val="24"/>
        </w:rPr>
        <w:t xml:space="preserve"> </w:t>
      </w:r>
      <w:r>
        <w:rPr>
          <w:rFonts w:ascii="Times New Roman" w:hAnsi="Times New Roman" w:eastAsia="Times New Roman" w:cs="Times New Roman"/>
          <w:spacing w:val="-1"/>
          <w:sz w:val="24"/>
          <w:szCs w:val="24"/>
        </w:rPr>
        <w:t>5-2</w:t>
      </w:r>
      <w:r>
        <w:rPr>
          <w:spacing w:val="-1"/>
          <w:sz w:val="24"/>
          <w:szCs w:val="24"/>
        </w:rPr>
        <w:t>。</w:t>
      </w:r>
    </w:p>
    <w:p w14:paraId="738650A7">
      <w:pPr>
        <w:pStyle w:val="2"/>
        <w:spacing w:before="120" w:line="228" w:lineRule="auto"/>
        <w:ind w:left="1129"/>
        <w:rPr>
          <w:sz w:val="20"/>
          <w:szCs w:val="20"/>
        </w:rPr>
      </w:pPr>
      <w:r>
        <w:rPr>
          <w:b/>
          <w:bCs/>
          <w:spacing w:val="7"/>
          <w:sz w:val="20"/>
          <w:szCs w:val="20"/>
        </w:rPr>
        <w:t>表</w:t>
      </w:r>
      <w:r>
        <w:rPr>
          <w:spacing w:val="-38"/>
          <w:sz w:val="20"/>
          <w:szCs w:val="20"/>
        </w:rPr>
        <w:t xml:space="preserve"> </w:t>
      </w:r>
      <w:r>
        <w:rPr>
          <w:rFonts w:ascii="Times New Roman" w:hAnsi="Times New Roman" w:eastAsia="Times New Roman" w:cs="Times New Roman"/>
          <w:b/>
          <w:bCs/>
          <w:spacing w:val="7"/>
          <w:sz w:val="20"/>
          <w:szCs w:val="20"/>
        </w:rPr>
        <w:t>5-2    110</w:t>
      </w:r>
      <w:r>
        <w:rPr>
          <w:rFonts w:ascii="Times New Roman" w:hAnsi="Times New Roman" w:eastAsia="Times New Roman" w:cs="Times New Roman"/>
          <w:b/>
          <w:bCs/>
          <w:sz w:val="20"/>
          <w:szCs w:val="20"/>
        </w:rPr>
        <w:t>kV</w:t>
      </w:r>
      <w:r>
        <w:rPr>
          <w:rFonts w:ascii="Times New Roman" w:hAnsi="Times New Roman" w:eastAsia="Times New Roman" w:cs="Times New Roman"/>
          <w:b/>
          <w:bCs/>
          <w:spacing w:val="7"/>
          <w:sz w:val="20"/>
          <w:szCs w:val="20"/>
        </w:rPr>
        <w:t xml:space="preserve"> </w:t>
      </w:r>
      <w:r>
        <w:rPr>
          <w:b/>
          <w:bCs/>
          <w:spacing w:val="7"/>
          <w:sz w:val="20"/>
          <w:szCs w:val="20"/>
        </w:rPr>
        <w:t>城南变电站工频电</w:t>
      </w:r>
      <w:r>
        <w:rPr>
          <w:b/>
          <w:bCs/>
          <w:spacing w:val="6"/>
          <w:sz w:val="20"/>
          <w:szCs w:val="20"/>
        </w:rPr>
        <w:t>场强度、工频磁感应强度监测结果</w:t>
      </w:r>
    </w:p>
    <w:p w14:paraId="270EAC4D">
      <w:pPr>
        <w:spacing w:line="141" w:lineRule="auto"/>
        <w:rPr>
          <w:rFonts w:ascii="Arial"/>
          <w:sz w:val="2"/>
        </w:rPr>
      </w:pPr>
    </w:p>
    <w:tbl>
      <w:tblPr>
        <w:tblStyle w:val="5"/>
        <w:tblW w:w="84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1"/>
        <w:gridCol w:w="4023"/>
        <w:gridCol w:w="1123"/>
        <w:gridCol w:w="1108"/>
        <w:gridCol w:w="1670"/>
      </w:tblGrid>
      <w:tr w14:paraId="33B09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41" w:type="dxa"/>
            <w:shd w:val="clear" w:color="auto" w:fill="BEBEBE"/>
            <w:vAlign w:val="top"/>
          </w:tcPr>
          <w:p w14:paraId="64538989">
            <w:pPr>
              <w:pStyle w:val="6"/>
              <w:spacing w:before="56" w:line="261" w:lineRule="auto"/>
              <w:ind w:left="65" w:right="59"/>
            </w:pPr>
            <w:r>
              <w:rPr>
                <w:b/>
                <w:bCs/>
                <w:spacing w:val="3"/>
              </w:rPr>
              <w:t>测点编号</w:t>
            </w:r>
          </w:p>
        </w:tc>
        <w:tc>
          <w:tcPr>
            <w:tcW w:w="4023" w:type="dxa"/>
            <w:shd w:val="clear" w:color="auto" w:fill="BEBEBE"/>
            <w:vAlign w:val="top"/>
          </w:tcPr>
          <w:p w14:paraId="1D97BC3D">
            <w:pPr>
              <w:pStyle w:val="6"/>
              <w:spacing w:before="212" w:line="229" w:lineRule="auto"/>
              <w:ind w:left="1595"/>
            </w:pPr>
            <w:r>
              <w:rPr>
                <w:b/>
                <w:bCs/>
                <w:spacing w:val="6"/>
              </w:rPr>
              <w:t>测点位置</w:t>
            </w:r>
          </w:p>
        </w:tc>
        <w:tc>
          <w:tcPr>
            <w:tcW w:w="1123" w:type="dxa"/>
            <w:shd w:val="clear" w:color="auto" w:fill="BEBEBE"/>
            <w:vAlign w:val="top"/>
          </w:tcPr>
          <w:p w14:paraId="356DD5FF">
            <w:pPr>
              <w:pStyle w:val="6"/>
              <w:spacing w:before="56" w:line="261" w:lineRule="auto"/>
              <w:ind w:left="56" w:right="33" w:hanging="13"/>
            </w:pPr>
            <w:r>
              <w:rPr>
                <w:b/>
                <w:bCs/>
                <w:spacing w:val="6"/>
              </w:rPr>
              <w:t>工频电场强</w:t>
            </w:r>
            <w:r>
              <w:rPr>
                <w:b/>
                <w:bCs/>
                <w:spacing w:val="4"/>
              </w:rPr>
              <w:t>度（</w:t>
            </w:r>
            <w:r>
              <w:rPr>
                <w:rFonts w:ascii="Times New Roman" w:hAnsi="Times New Roman" w:eastAsia="Times New Roman" w:cs="Times New Roman"/>
                <w:b/>
                <w:bCs/>
                <w:spacing w:val="4"/>
              </w:rPr>
              <w:t>V/m</w:t>
            </w:r>
            <w:r>
              <w:rPr>
                <w:b/>
                <w:bCs/>
                <w:spacing w:val="4"/>
              </w:rPr>
              <w:t>）</w:t>
            </w:r>
          </w:p>
        </w:tc>
        <w:tc>
          <w:tcPr>
            <w:tcW w:w="1108" w:type="dxa"/>
            <w:shd w:val="clear" w:color="auto" w:fill="BEBEBE"/>
            <w:vAlign w:val="top"/>
          </w:tcPr>
          <w:p w14:paraId="2B2CFF08">
            <w:pPr>
              <w:pStyle w:val="6"/>
              <w:spacing w:before="56" w:line="261" w:lineRule="auto"/>
              <w:ind w:left="36"/>
            </w:pPr>
            <w:r>
              <w:rPr>
                <w:b/>
                <w:bCs/>
                <w:spacing w:val="5"/>
              </w:rPr>
              <w:t>工频磁感应</w:t>
            </w:r>
            <w:r>
              <w:rPr>
                <w:b/>
                <w:bCs/>
                <w:spacing w:val="-2"/>
              </w:rPr>
              <w:t>强度</w:t>
            </w:r>
            <w:r>
              <w:rPr>
                <w:spacing w:val="22"/>
              </w:rPr>
              <w:t xml:space="preserve"> </w:t>
            </w:r>
            <w:r>
              <w:rPr>
                <w:b/>
                <w:bCs/>
                <w:spacing w:val="-2"/>
              </w:rPr>
              <w:t>(</w:t>
            </w:r>
            <w:r>
              <w:rPr>
                <w:rFonts w:ascii="Times New Roman" w:hAnsi="Times New Roman" w:eastAsia="Times New Roman" w:cs="Times New Roman"/>
                <w:b/>
                <w:bCs/>
                <w:spacing w:val="-2"/>
              </w:rPr>
              <w:t>μT</w:t>
            </w:r>
            <w:r>
              <w:rPr>
                <w:b/>
                <w:bCs/>
                <w:spacing w:val="-2"/>
              </w:rPr>
              <w:t>）</w:t>
            </w:r>
          </w:p>
        </w:tc>
        <w:tc>
          <w:tcPr>
            <w:tcW w:w="1670" w:type="dxa"/>
            <w:shd w:val="clear" w:color="auto" w:fill="BEBEBE"/>
            <w:vAlign w:val="top"/>
          </w:tcPr>
          <w:p w14:paraId="7DE5BC4A">
            <w:pPr>
              <w:pStyle w:val="6"/>
              <w:spacing w:before="56" w:line="261" w:lineRule="auto"/>
              <w:ind w:left="273" w:right="54" w:hanging="127"/>
            </w:pPr>
            <w:r>
              <w:rPr>
                <w:b/>
                <w:bCs/>
                <w:spacing w:val="7"/>
              </w:rPr>
              <w:t>松山变电站与类</w:t>
            </w:r>
            <w:r>
              <w:rPr>
                <w:b/>
                <w:bCs/>
                <w:spacing w:val="3"/>
              </w:rPr>
              <w:t>比站对应方位</w:t>
            </w:r>
          </w:p>
        </w:tc>
      </w:tr>
      <w:tr w14:paraId="535E66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41" w:type="dxa"/>
            <w:vAlign w:val="top"/>
          </w:tcPr>
          <w:p w14:paraId="0C7C1C51">
            <w:pPr>
              <w:spacing w:before="168" w:line="195" w:lineRule="auto"/>
              <w:ind w:left="23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4023" w:type="dxa"/>
            <w:vAlign w:val="top"/>
          </w:tcPr>
          <w:p w14:paraId="2B5A57E5">
            <w:pPr>
              <w:pStyle w:val="6"/>
              <w:spacing w:before="131" w:line="228" w:lineRule="auto"/>
              <w:ind w:left="778"/>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城南变电站厂界西侧</w:t>
            </w:r>
          </w:p>
        </w:tc>
        <w:tc>
          <w:tcPr>
            <w:tcW w:w="1123" w:type="dxa"/>
            <w:vAlign w:val="top"/>
          </w:tcPr>
          <w:p w14:paraId="0D0A69A6">
            <w:pPr>
              <w:spacing w:before="168" w:line="195" w:lineRule="auto"/>
              <w:ind w:left="2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270.30</w:t>
            </w:r>
          </w:p>
        </w:tc>
        <w:tc>
          <w:tcPr>
            <w:tcW w:w="1108" w:type="dxa"/>
            <w:vAlign w:val="top"/>
          </w:tcPr>
          <w:p w14:paraId="6A7D4C1C">
            <w:pPr>
              <w:spacing w:before="168" w:line="195" w:lineRule="auto"/>
              <w:ind w:left="3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0.453</w:t>
            </w:r>
          </w:p>
        </w:tc>
        <w:tc>
          <w:tcPr>
            <w:tcW w:w="1670" w:type="dxa"/>
            <w:vAlign w:val="top"/>
          </w:tcPr>
          <w:p w14:paraId="13DC844C">
            <w:pPr>
              <w:pStyle w:val="6"/>
              <w:spacing w:before="131" w:line="228" w:lineRule="auto"/>
              <w:ind w:left="633"/>
            </w:pPr>
            <w:r>
              <w:rPr>
                <w:spacing w:val="3"/>
              </w:rPr>
              <w:t>北侧</w:t>
            </w:r>
          </w:p>
        </w:tc>
      </w:tr>
      <w:tr w14:paraId="10FD7A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1" w:type="dxa"/>
            <w:vAlign w:val="top"/>
          </w:tcPr>
          <w:p w14:paraId="3FBC0503">
            <w:pPr>
              <w:spacing w:before="168" w:line="195" w:lineRule="auto"/>
              <w:ind w:left="21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4023" w:type="dxa"/>
            <w:vAlign w:val="top"/>
          </w:tcPr>
          <w:p w14:paraId="614F8756">
            <w:pPr>
              <w:pStyle w:val="6"/>
              <w:spacing w:before="132" w:line="228" w:lineRule="auto"/>
              <w:ind w:left="778"/>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城南变电站厂界北侧</w:t>
            </w:r>
          </w:p>
        </w:tc>
        <w:tc>
          <w:tcPr>
            <w:tcW w:w="1123" w:type="dxa"/>
            <w:vAlign w:val="top"/>
          </w:tcPr>
          <w:p w14:paraId="09CB2B5F">
            <w:pPr>
              <w:spacing w:before="168" w:line="195" w:lineRule="auto"/>
              <w:ind w:left="3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14.31</w:t>
            </w:r>
          </w:p>
        </w:tc>
        <w:tc>
          <w:tcPr>
            <w:tcW w:w="1108" w:type="dxa"/>
            <w:vAlign w:val="top"/>
          </w:tcPr>
          <w:p w14:paraId="04BDB0A4">
            <w:pPr>
              <w:spacing w:before="168" w:line="195" w:lineRule="auto"/>
              <w:ind w:left="3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0.157</w:t>
            </w:r>
          </w:p>
        </w:tc>
        <w:tc>
          <w:tcPr>
            <w:tcW w:w="1670" w:type="dxa"/>
            <w:vAlign w:val="top"/>
          </w:tcPr>
          <w:p w14:paraId="6C152954">
            <w:pPr>
              <w:pStyle w:val="6"/>
              <w:spacing w:before="132" w:line="228" w:lineRule="auto"/>
              <w:ind w:left="632"/>
            </w:pPr>
            <w:r>
              <w:rPr>
                <w:spacing w:val="3"/>
              </w:rPr>
              <w:t>南侧</w:t>
            </w:r>
          </w:p>
        </w:tc>
      </w:tr>
      <w:tr w14:paraId="504F2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1" w:type="dxa"/>
            <w:vAlign w:val="top"/>
          </w:tcPr>
          <w:p w14:paraId="7B3B4D56">
            <w:pPr>
              <w:spacing w:before="170" w:line="195" w:lineRule="auto"/>
              <w:ind w:left="22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4023" w:type="dxa"/>
            <w:vAlign w:val="top"/>
          </w:tcPr>
          <w:p w14:paraId="2EB5B1A3">
            <w:pPr>
              <w:pStyle w:val="6"/>
              <w:spacing w:before="134" w:line="228" w:lineRule="auto"/>
              <w:ind w:left="778"/>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城南变电站厂界东侧</w:t>
            </w:r>
          </w:p>
        </w:tc>
        <w:tc>
          <w:tcPr>
            <w:tcW w:w="1123" w:type="dxa"/>
            <w:vAlign w:val="top"/>
          </w:tcPr>
          <w:p w14:paraId="2EF313D4">
            <w:pPr>
              <w:spacing w:before="170" w:line="195" w:lineRule="auto"/>
              <w:ind w:left="38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0.42</w:t>
            </w:r>
          </w:p>
        </w:tc>
        <w:tc>
          <w:tcPr>
            <w:tcW w:w="1108" w:type="dxa"/>
            <w:vAlign w:val="top"/>
          </w:tcPr>
          <w:p w14:paraId="3525891D">
            <w:pPr>
              <w:spacing w:before="170" w:line="195" w:lineRule="auto"/>
              <w:ind w:left="3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0.271</w:t>
            </w:r>
          </w:p>
        </w:tc>
        <w:tc>
          <w:tcPr>
            <w:tcW w:w="1670" w:type="dxa"/>
            <w:vAlign w:val="top"/>
          </w:tcPr>
          <w:p w14:paraId="11F9CB01">
            <w:pPr>
              <w:pStyle w:val="6"/>
              <w:spacing w:before="134" w:line="228" w:lineRule="auto"/>
              <w:ind w:left="637"/>
            </w:pPr>
            <w:r>
              <w:rPr>
                <w:spacing w:val="2"/>
              </w:rPr>
              <w:t>东侧</w:t>
            </w:r>
          </w:p>
        </w:tc>
      </w:tr>
      <w:tr w14:paraId="0DF60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41" w:type="dxa"/>
            <w:vAlign w:val="top"/>
          </w:tcPr>
          <w:p w14:paraId="73D1E5EE">
            <w:pPr>
              <w:spacing w:before="172" w:line="195" w:lineRule="auto"/>
              <w:ind w:left="21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4023" w:type="dxa"/>
            <w:vAlign w:val="top"/>
          </w:tcPr>
          <w:p w14:paraId="1AB44A37">
            <w:pPr>
              <w:pStyle w:val="6"/>
              <w:spacing w:before="135" w:line="228" w:lineRule="auto"/>
              <w:ind w:left="778"/>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城南变电站厂界南侧</w:t>
            </w:r>
          </w:p>
        </w:tc>
        <w:tc>
          <w:tcPr>
            <w:tcW w:w="1123" w:type="dxa"/>
            <w:vAlign w:val="top"/>
          </w:tcPr>
          <w:p w14:paraId="4B9637C8">
            <w:pPr>
              <w:spacing w:before="171" w:line="195" w:lineRule="auto"/>
              <w:ind w:left="32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44.70</w:t>
            </w:r>
          </w:p>
        </w:tc>
        <w:tc>
          <w:tcPr>
            <w:tcW w:w="1108" w:type="dxa"/>
            <w:vAlign w:val="top"/>
          </w:tcPr>
          <w:p w14:paraId="1823C715">
            <w:pPr>
              <w:spacing w:before="171" w:line="195" w:lineRule="auto"/>
              <w:ind w:left="3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0.428</w:t>
            </w:r>
          </w:p>
        </w:tc>
        <w:tc>
          <w:tcPr>
            <w:tcW w:w="1670" w:type="dxa"/>
            <w:vAlign w:val="top"/>
          </w:tcPr>
          <w:p w14:paraId="7AACF4F7">
            <w:pPr>
              <w:pStyle w:val="6"/>
              <w:spacing w:before="135" w:line="228" w:lineRule="auto"/>
              <w:ind w:left="635"/>
            </w:pPr>
            <w:r>
              <w:rPr>
                <w:spacing w:val="2"/>
              </w:rPr>
              <w:t>西侧</w:t>
            </w:r>
          </w:p>
        </w:tc>
      </w:tr>
      <w:tr w14:paraId="5A8E0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41" w:type="dxa"/>
            <w:vAlign w:val="top"/>
          </w:tcPr>
          <w:p w14:paraId="43E51BE6">
            <w:pPr>
              <w:spacing w:before="168" w:line="199" w:lineRule="auto"/>
              <w:ind w:left="2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7924" w:type="dxa"/>
            <w:gridSpan w:val="4"/>
            <w:vAlign w:val="top"/>
          </w:tcPr>
          <w:p w14:paraId="249DFB43">
            <w:pPr>
              <w:pStyle w:val="6"/>
              <w:spacing w:before="136" w:line="228" w:lineRule="auto"/>
              <w:ind w:left="2288"/>
            </w:pPr>
            <w:r>
              <w:rPr>
                <w:rFonts w:ascii="Times New Roman" w:hAnsi="Times New Roman" w:eastAsia="Times New Roman" w:cs="Times New Roman"/>
                <w:b/>
                <w:bCs/>
                <w:spacing w:val="6"/>
              </w:rPr>
              <w:t>110</w:t>
            </w:r>
            <w:r>
              <w:rPr>
                <w:rFonts w:ascii="Times New Roman" w:hAnsi="Times New Roman" w:eastAsia="Times New Roman" w:cs="Times New Roman"/>
                <w:b/>
                <w:bCs/>
              </w:rPr>
              <w:t>kV</w:t>
            </w:r>
            <w:r>
              <w:rPr>
                <w:rFonts w:ascii="Times New Roman" w:hAnsi="Times New Roman" w:eastAsia="Times New Roman" w:cs="Times New Roman"/>
                <w:b/>
                <w:bCs/>
                <w:spacing w:val="6"/>
              </w:rPr>
              <w:t xml:space="preserve"> </w:t>
            </w:r>
            <w:r>
              <w:rPr>
                <w:b/>
                <w:bCs/>
                <w:spacing w:val="6"/>
              </w:rPr>
              <w:t>城南变电站电磁环境衰减断面</w:t>
            </w:r>
          </w:p>
        </w:tc>
      </w:tr>
      <w:tr w14:paraId="6D0F2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1" w:type="dxa"/>
            <w:vAlign w:val="top"/>
          </w:tcPr>
          <w:p w14:paraId="7B55EC76">
            <w:pPr>
              <w:spacing w:before="173" w:line="195" w:lineRule="auto"/>
              <w:ind w:left="23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4023" w:type="dxa"/>
            <w:vAlign w:val="top"/>
          </w:tcPr>
          <w:p w14:paraId="2A7D448B">
            <w:pPr>
              <w:pStyle w:val="6"/>
              <w:spacing w:before="136" w:line="228" w:lineRule="auto"/>
              <w:ind w:left="514"/>
              <w:rPr>
                <w:rFonts w:ascii="Times New Roman" w:hAnsi="Times New Roman" w:eastAsia="Times New Roman" w:cs="Times New Roman"/>
              </w:rPr>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城南变电站西侧厂界外</w:t>
            </w:r>
            <w:r>
              <w:rPr>
                <w:spacing w:val="-37"/>
              </w:rPr>
              <w:t xml:space="preserve"> </w:t>
            </w:r>
            <w:r>
              <w:rPr>
                <w:rFonts w:ascii="Times New Roman" w:hAnsi="Times New Roman" w:eastAsia="Times New Roman" w:cs="Times New Roman"/>
                <w:spacing w:val="6"/>
              </w:rPr>
              <w:t>5m</w:t>
            </w:r>
          </w:p>
        </w:tc>
        <w:tc>
          <w:tcPr>
            <w:tcW w:w="1123" w:type="dxa"/>
            <w:vAlign w:val="top"/>
          </w:tcPr>
          <w:p w14:paraId="6A76F144">
            <w:pPr>
              <w:spacing w:before="173" w:line="195" w:lineRule="auto"/>
              <w:ind w:left="2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270.30</w:t>
            </w:r>
          </w:p>
        </w:tc>
        <w:tc>
          <w:tcPr>
            <w:tcW w:w="1108" w:type="dxa"/>
            <w:vAlign w:val="top"/>
          </w:tcPr>
          <w:p w14:paraId="02A6A85D">
            <w:pPr>
              <w:spacing w:before="173" w:line="195" w:lineRule="auto"/>
              <w:ind w:left="3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0.453</w:t>
            </w:r>
          </w:p>
        </w:tc>
        <w:tc>
          <w:tcPr>
            <w:tcW w:w="1670" w:type="dxa"/>
            <w:vMerge w:val="restart"/>
            <w:tcBorders>
              <w:bottom w:val="nil"/>
            </w:tcBorders>
            <w:vAlign w:val="top"/>
          </w:tcPr>
          <w:p w14:paraId="6170E483">
            <w:pPr>
              <w:spacing w:line="245" w:lineRule="auto"/>
              <w:rPr>
                <w:rFonts w:ascii="Arial"/>
                <w:sz w:val="21"/>
              </w:rPr>
            </w:pPr>
          </w:p>
          <w:p w14:paraId="509E0400">
            <w:pPr>
              <w:spacing w:line="245" w:lineRule="auto"/>
              <w:rPr>
                <w:rFonts w:ascii="Arial"/>
                <w:sz w:val="21"/>
              </w:rPr>
            </w:pPr>
          </w:p>
          <w:p w14:paraId="1AD52EE4">
            <w:pPr>
              <w:spacing w:line="245" w:lineRule="auto"/>
              <w:rPr>
                <w:rFonts w:ascii="Arial"/>
                <w:sz w:val="21"/>
              </w:rPr>
            </w:pPr>
          </w:p>
          <w:p w14:paraId="6FBEF4BD">
            <w:pPr>
              <w:spacing w:line="246" w:lineRule="auto"/>
              <w:rPr>
                <w:rFonts w:ascii="Arial"/>
                <w:sz w:val="21"/>
              </w:rPr>
            </w:pPr>
          </w:p>
          <w:p w14:paraId="5E82909A">
            <w:pPr>
              <w:spacing w:line="246" w:lineRule="auto"/>
              <w:rPr>
                <w:rFonts w:ascii="Arial"/>
                <w:sz w:val="21"/>
              </w:rPr>
            </w:pPr>
          </w:p>
          <w:p w14:paraId="76612765">
            <w:pPr>
              <w:spacing w:line="246" w:lineRule="auto"/>
              <w:rPr>
                <w:rFonts w:ascii="Arial"/>
                <w:sz w:val="21"/>
              </w:rPr>
            </w:pPr>
          </w:p>
          <w:p w14:paraId="6F7D2E30">
            <w:pPr>
              <w:spacing w:line="246" w:lineRule="auto"/>
              <w:rPr>
                <w:rFonts w:ascii="Arial"/>
                <w:sz w:val="21"/>
              </w:rPr>
            </w:pPr>
          </w:p>
          <w:p w14:paraId="4C989EF2">
            <w:pPr>
              <w:spacing w:line="246" w:lineRule="auto"/>
              <w:rPr>
                <w:rFonts w:ascii="Arial"/>
                <w:sz w:val="21"/>
              </w:rPr>
            </w:pPr>
          </w:p>
          <w:p w14:paraId="6C2AF868">
            <w:pPr>
              <w:spacing w:line="246" w:lineRule="auto"/>
              <w:rPr>
                <w:rFonts w:ascii="Arial"/>
                <w:sz w:val="21"/>
              </w:rPr>
            </w:pPr>
          </w:p>
          <w:p w14:paraId="1C5F2F47">
            <w:pPr>
              <w:pStyle w:val="6"/>
              <w:spacing w:before="65" w:line="228" w:lineRule="auto"/>
              <w:ind w:left="635"/>
            </w:pPr>
            <w:r>
              <w:rPr>
                <w:spacing w:val="3"/>
              </w:rPr>
              <w:t>西侧</w:t>
            </w:r>
          </w:p>
        </w:tc>
      </w:tr>
      <w:tr w14:paraId="03AED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1" w:type="dxa"/>
            <w:vAlign w:val="top"/>
          </w:tcPr>
          <w:p w14:paraId="3A79CB46">
            <w:pPr>
              <w:spacing w:before="177" w:line="195" w:lineRule="auto"/>
              <w:ind w:left="21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4023" w:type="dxa"/>
            <w:vAlign w:val="top"/>
          </w:tcPr>
          <w:p w14:paraId="30534226">
            <w:pPr>
              <w:pStyle w:val="6"/>
              <w:spacing w:before="140" w:line="228" w:lineRule="auto"/>
              <w:ind w:left="461"/>
              <w:rPr>
                <w:rFonts w:ascii="Times New Roman" w:hAnsi="Times New Roman" w:eastAsia="Times New Roman" w:cs="Times New Roman"/>
              </w:rPr>
            </w:pP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城南变电站西侧厂界外</w:t>
            </w:r>
            <w:r>
              <w:rPr>
                <w:spacing w:val="-20"/>
              </w:rPr>
              <w:t xml:space="preserve"> </w:t>
            </w:r>
            <w:r>
              <w:rPr>
                <w:rFonts w:ascii="Times New Roman" w:hAnsi="Times New Roman" w:eastAsia="Times New Roman" w:cs="Times New Roman"/>
                <w:spacing w:val="5"/>
              </w:rPr>
              <w:t>10m</w:t>
            </w:r>
          </w:p>
        </w:tc>
        <w:tc>
          <w:tcPr>
            <w:tcW w:w="1123" w:type="dxa"/>
            <w:vAlign w:val="top"/>
          </w:tcPr>
          <w:p w14:paraId="3C1BB5D9">
            <w:pPr>
              <w:spacing w:before="177" w:line="195" w:lineRule="auto"/>
              <w:ind w:left="2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239.00</w:t>
            </w:r>
          </w:p>
        </w:tc>
        <w:tc>
          <w:tcPr>
            <w:tcW w:w="1108" w:type="dxa"/>
            <w:vAlign w:val="top"/>
          </w:tcPr>
          <w:p w14:paraId="2B039A71">
            <w:pPr>
              <w:spacing w:before="177" w:line="195" w:lineRule="auto"/>
              <w:ind w:left="3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0.377</w:t>
            </w:r>
          </w:p>
        </w:tc>
        <w:tc>
          <w:tcPr>
            <w:tcW w:w="1670" w:type="dxa"/>
            <w:vMerge w:val="continue"/>
            <w:tcBorders>
              <w:top w:val="nil"/>
              <w:bottom w:val="nil"/>
            </w:tcBorders>
            <w:vAlign w:val="top"/>
          </w:tcPr>
          <w:p w14:paraId="27A32805">
            <w:pPr>
              <w:rPr>
                <w:rFonts w:ascii="Arial"/>
                <w:sz w:val="21"/>
              </w:rPr>
            </w:pPr>
          </w:p>
        </w:tc>
      </w:tr>
      <w:tr w14:paraId="01DCA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1" w:type="dxa"/>
            <w:vAlign w:val="top"/>
          </w:tcPr>
          <w:p w14:paraId="56AFAC2C">
            <w:pPr>
              <w:spacing w:before="178" w:line="195" w:lineRule="auto"/>
              <w:ind w:left="22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4023" w:type="dxa"/>
            <w:vAlign w:val="top"/>
          </w:tcPr>
          <w:p w14:paraId="30AFFC39">
            <w:pPr>
              <w:pStyle w:val="6"/>
              <w:spacing w:before="142" w:line="228" w:lineRule="auto"/>
              <w:ind w:left="461"/>
              <w:rPr>
                <w:rFonts w:ascii="Times New Roman" w:hAnsi="Times New Roman" w:eastAsia="Times New Roman" w:cs="Times New Roman"/>
              </w:rPr>
            </w:pPr>
            <w:r>
              <w:rPr>
                <w:rFonts w:ascii="Times New Roman" w:hAnsi="Times New Roman" w:eastAsia="Times New Roman" w:cs="Times New Roman"/>
                <w:spacing w:val="5"/>
              </w:rPr>
              <w:t>110</w:t>
            </w:r>
            <w:r>
              <w:rPr>
                <w:rFonts w:ascii="Times New Roman" w:hAnsi="Times New Roman" w:eastAsia="Times New Roman" w:cs="Times New Roman"/>
              </w:rPr>
              <w:t>kV</w:t>
            </w:r>
            <w:r>
              <w:rPr>
                <w:rFonts w:ascii="Times New Roman" w:hAnsi="Times New Roman" w:eastAsia="Times New Roman" w:cs="Times New Roman"/>
                <w:spacing w:val="5"/>
              </w:rPr>
              <w:t xml:space="preserve"> </w:t>
            </w:r>
            <w:r>
              <w:rPr>
                <w:spacing w:val="5"/>
              </w:rPr>
              <w:t>城南变电站西侧厂界外</w:t>
            </w:r>
            <w:r>
              <w:rPr>
                <w:spacing w:val="-20"/>
              </w:rPr>
              <w:t xml:space="preserve"> </w:t>
            </w:r>
            <w:r>
              <w:rPr>
                <w:rFonts w:ascii="Times New Roman" w:hAnsi="Times New Roman" w:eastAsia="Times New Roman" w:cs="Times New Roman"/>
                <w:spacing w:val="5"/>
              </w:rPr>
              <w:t>15m</w:t>
            </w:r>
          </w:p>
        </w:tc>
        <w:tc>
          <w:tcPr>
            <w:tcW w:w="1123" w:type="dxa"/>
            <w:vAlign w:val="top"/>
          </w:tcPr>
          <w:p w14:paraId="473B46A1">
            <w:pPr>
              <w:spacing w:before="178"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167.89</w:t>
            </w:r>
          </w:p>
        </w:tc>
        <w:tc>
          <w:tcPr>
            <w:tcW w:w="1108" w:type="dxa"/>
            <w:vAlign w:val="top"/>
          </w:tcPr>
          <w:p w14:paraId="27CE821B">
            <w:pPr>
              <w:spacing w:before="178" w:line="195" w:lineRule="auto"/>
              <w:ind w:left="3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0.333</w:t>
            </w:r>
          </w:p>
        </w:tc>
        <w:tc>
          <w:tcPr>
            <w:tcW w:w="1670" w:type="dxa"/>
            <w:vMerge w:val="continue"/>
            <w:tcBorders>
              <w:top w:val="nil"/>
              <w:bottom w:val="nil"/>
            </w:tcBorders>
            <w:vAlign w:val="top"/>
          </w:tcPr>
          <w:p w14:paraId="09219952">
            <w:pPr>
              <w:rPr>
                <w:rFonts w:ascii="Arial"/>
                <w:sz w:val="21"/>
              </w:rPr>
            </w:pPr>
          </w:p>
        </w:tc>
      </w:tr>
      <w:tr w14:paraId="6C6F9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41" w:type="dxa"/>
            <w:vAlign w:val="top"/>
          </w:tcPr>
          <w:p w14:paraId="066C85B3">
            <w:pPr>
              <w:spacing w:before="180" w:line="195" w:lineRule="auto"/>
              <w:ind w:left="21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4023" w:type="dxa"/>
            <w:vAlign w:val="top"/>
          </w:tcPr>
          <w:p w14:paraId="245AD10C">
            <w:pPr>
              <w:pStyle w:val="6"/>
              <w:spacing w:before="144" w:line="228" w:lineRule="auto"/>
              <w:ind w:left="461"/>
              <w:rPr>
                <w:rFonts w:ascii="Times New Roman" w:hAnsi="Times New Roman" w:eastAsia="Times New Roman" w:cs="Times New Roman"/>
              </w:rPr>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城南变电站西侧厂界外</w:t>
            </w:r>
            <w:r>
              <w:rPr>
                <w:spacing w:val="-37"/>
              </w:rPr>
              <w:t xml:space="preserve"> </w:t>
            </w:r>
            <w:r>
              <w:rPr>
                <w:rFonts w:ascii="Times New Roman" w:hAnsi="Times New Roman" w:eastAsia="Times New Roman" w:cs="Times New Roman"/>
                <w:spacing w:val="6"/>
              </w:rPr>
              <w:t>20m</w:t>
            </w:r>
          </w:p>
        </w:tc>
        <w:tc>
          <w:tcPr>
            <w:tcW w:w="1123" w:type="dxa"/>
            <w:vAlign w:val="top"/>
          </w:tcPr>
          <w:p w14:paraId="513E0912">
            <w:pPr>
              <w:spacing w:before="180"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130.08</w:t>
            </w:r>
          </w:p>
        </w:tc>
        <w:tc>
          <w:tcPr>
            <w:tcW w:w="1108" w:type="dxa"/>
            <w:vAlign w:val="top"/>
          </w:tcPr>
          <w:p w14:paraId="7F4D5A74">
            <w:pPr>
              <w:spacing w:before="180" w:line="195" w:lineRule="auto"/>
              <w:ind w:left="3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0.304</w:t>
            </w:r>
          </w:p>
        </w:tc>
        <w:tc>
          <w:tcPr>
            <w:tcW w:w="1670" w:type="dxa"/>
            <w:vMerge w:val="continue"/>
            <w:tcBorders>
              <w:top w:val="nil"/>
              <w:bottom w:val="nil"/>
            </w:tcBorders>
            <w:vAlign w:val="top"/>
          </w:tcPr>
          <w:p w14:paraId="3BE889DF">
            <w:pPr>
              <w:rPr>
                <w:rFonts w:ascii="Arial"/>
                <w:sz w:val="21"/>
              </w:rPr>
            </w:pPr>
          </w:p>
        </w:tc>
      </w:tr>
      <w:tr w14:paraId="3F02D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1" w:type="dxa"/>
            <w:vAlign w:val="top"/>
          </w:tcPr>
          <w:p w14:paraId="0CDEFB54">
            <w:pPr>
              <w:spacing w:before="183" w:line="192" w:lineRule="auto"/>
              <w:ind w:left="22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4023" w:type="dxa"/>
            <w:vAlign w:val="top"/>
          </w:tcPr>
          <w:p w14:paraId="298BD01D">
            <w:pPr>
              <w:pStyle w:val="6"/>
              <w:spacing w:before="144" w:line="228" w:lineRule="auto"/>
              <w:ind w:left="461"/>
              <w:rPr>
                <w:rFonts w:ascii="Times New Roman" w:hAnsi="Times New Roman" w:eastAsia="Times New Roman" w:cs="Times New Roman"/>
              </w:rPr>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城南变电站西侧厂界外</w:t>
            </w:r>
            <w:r>
              <w:rPr>
                <w:spacing w:val="-37"/>
              </w:rPr>
              <w:t xml:space="preserve"> </w:t>
            </w:r>
            <w:r>
              <w:rPr>
                <w:rFonts w:ascii="Times New Roman" w:hAnsi="Times New Roman" w:eastAsia="Times New Roman" w:cs="Times New Roman"/>
                <w:spacing w:val="6"/>
              </w:rPr>
              <w:t>25m</w:t>
            </w:r>
          </w:p>
        </w:tc>
        <w:tc>
          <w:tcPr>
            <w:tcW w:w="1123" w:type="dxa"/>
            <w:vAlign w:val="top"/>
          </w:tcPr>
          <w:p w14:paraId="656E609D">
            <w:pPr>
              <w:spacing w:before="180" w:line="195" w:lineRule="auto"/>
              <w:ind w:left="33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85.76</w:t>
            </w:r>
          </w:p>
        </w:tc>
        <w:tc>
          <w:tcPr>
            <w:tcW w:w="1108" w:type="dxa"/>
            <w:vAlign w:val="top"/>
          </w:tcPr>
          <w:p w14:paraId="31D335CA">
            <w:pPr>
              <w:spacing w:before="180" w:line="195" w:lineRule="auto"/>
              <w:ind w:left="3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0.274</w:t>
            </w:r>
          </w:p>
        </w:tc>
        <w:tc>
          <w:tcPr>
            <w:tcW w:w="1670" w:type="dxa"/>
            <w:vMerge w:val="continue"/>
            <w:tcBorders>
              <w:top w:val="nil"/>
              <w:bottom w:val="nil"/>
            </w:tcBorders>
            <w:vAlign w:val="top"/>
          </w:tcPr>
          <w:p w14:paraId="404804C2">
            <w:pPr>
              <w:rPr>
                <w:rFonts w:ascii="Arial"/>
                <w:sz w:val="21"/>
              </w:rPr>
            </w:pPr>
          </w:p>
        </w:tc>
      </w:tr>
      <w:tr w14:paraId="215A52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1" w:type="dxa"/>
            <w:vAlign w:val="top"/>
          </w:tcPr>
          <w:p w14:paraId="0157A03D">
            <w:pPr>
              <w:spacing w:before="182" w:line="195" w:lineRule="auto"/>
              <w:ind w:left="223"/>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4023" w:type="dxa"/>
            <w:vAlign w:val="top"/>
          </w:tcPr>
          <w:p w14:paraId="6EB3B8F5">
            <w:pPr>
              <w:pStyle w:val="6"/>
              <w:spacing w:before="146" w:line="228" w:lineRule="auto"/>
              <w:ind w:left="461"/>
              <w:rPr>
                <w:rFonts w:ascii="Times New Roman" w:hAnsi="Times New Roman" w:eastAsia="Times New Roman" w:cs="Times New Roman"/>
              </w:rPr>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城南变电站西侧厂界外</w:t>
            </w:r>
            <w:r>
              <w:rPr>
                <w:spacing w:val="-37"/>
              </w:rPr>
              <w:t xml:space="preserve"> </w:t>
            </w:r>
            <w:r>
              <w:rPr>
                <w:rFonts w:ascii="Times New Roman" w:hAnsi="Times New Roman" w:eastAsia="Times New Roman" w:cs="Times New Roman"/>
                <w:spacing w:val="6"/>
              </w:rPr>
              <w:t>30m</w:t>
            </w:r>
          </w:p>
        </w:tc>
        <w:tc>
          <w:tcPr>
            <w:tcW w:w="1123" w:type="dxa"/>
            <w:vAlign w:val="top"/>
          </w:tcPr>
          <w:p w14:paraId="158A1E33">
            <w:pPr>
              <w:spacing w:before="182" w:line="195" w:lineRule="auto"/>
              <w:ind w:left="33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60.03</w:t>
            </w:r>
          </w:p>
        </w:tc>
        <w:tc>
          <w:tcPr>
            <w:tcW w:w="1108" w:type="dxa"/>
            <w:vAlign w:val="top"/>
          </w:tcPr>
          <w:p w14:paraId="416F8502">
            <w:pPr>
              <w:spacing w:before="182" w:line="195" w:lineRule="auto"/>
              <w:ind w:left="3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0.245</w:t>
            </w:r>
          </w:p>
        </w:tc>
        <w:tc>
          <w:tcPr>
            <w:tcW w:w="1670" w:type="dxa"/>
            <w:vMerge w:val="continue"/>
            <w:tcBorders>
              <w:top w:val="nil"/>
              <w:bottom w:val="nil"/>
            </w:tcBorders>
            <w:vAlign w:val="top"/>
          </w:tcPr>
          <w:p w14:paraId="0FF0F1BD">
            <w:pPr>
              <w:rPr>
                <w:rFonts w:ascii="Arial"/>
                <w:sz w:val="21"/>
              </w:rPr>
            </w:pPr>
          </w:p>
        </w:tc>
      </w:tr>
      <w:tr w14:paraId="6DD78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41" w:type="dxa"/>
            <w:vAlign w:val="top"/>
          </w:tcPr>
          <w:p w14:paraId="2260B671">
            <w:pPr>
              <w:spacing w:before="187" w:line="192" w:lineRule="auto"/>
              <w:ind w:left="222"/>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4023" w:type="dxa"/>
            <w:vAlign w:val="top"/>
          </w:tcPr>
          <w:p w14:paraId="61B9A6BA">
            <w:pPr>
              <w:pStyle w:val="6"/>
              <w:spacing w:before="147" w:line="228" w:lineRule="auto"/>
              <w:ind w:left="461"/>
              <w:rPr>
                <w:rFonts w:ascii="Times New Roman" w:hAnsi="Times New Roman" w:eastAsia="Times New Roman" w:cs="Times New Roman"/>
              </w:rPr>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城南变电站西侧厂界外</w:t>
            </w:r>
            <w:r>
              <w:rPr>
                <w:spacing w:val="-37"/>
              </w:rPr>
              <w:t xml:space="preserve"> </w:t>
            </w:r>
            <w:r>
              <w:rPr>
                <w:rFonts w:ascii="Times New Roman" w:hAnsi="Times New Roman" w:eastAsia="Times New Roman" w:cs="Times New Roman"/>
                <w:spacing w:val="6"/>
              </w:rPr>
              <w:t>35m</w:t>
            </w:r>
          </w:p>
        </w:tc>
        <w:tc>
          <w:tcPr>
            <w:tcW w:w="1123" w:type="dxa"/>
            <w:vAlign w:val="top"/>
          </w:tcPr>
          <w:p w14:paraId="5C5F9AAB">
            <w:pPr>
              <w:spacing w:before="184" w:line="195" w:lineRule="auto"/>
              <w:ind w:left="3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54.84</w:t>
            </w:r>
          </w:p>
        </w:tc>
        <w:tc>
          <w:tcPr>
            <w:tcW w:w="1108" w:type="dxa"/>
            <w:vAlign w:val="top"/>
          </w:tcPr>
          <w:p w14:paraId="48A00869">
            <w:pPr>
              <w:spacing w:before="184" w:line="195" w:lineRule="auto"/>
              <w:ind w:left="3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0.210</w:t>
            </w:r>
          </w:p>
        </w:tc>
        <w:tc>
          <w:tcPr>
            <w:tcW w:w="1670" w:type="dxa"/>
            <w:vMerge w:val="continue"/>
            <w:tcBorders>
              <w:top w:val="nil"/>
              <w:bottom w:val="nil"/>
            </w:tcBorders>
            <w:vAlign w:val="top"/>
          </w:tcPr>
          <w:p w14:paraId="52C0EEC5">
            <w:pPr>
              <w:rPr>
                <w:rFonts w:ascii="Arial"/>
                <w:sz w:val="21"/>
              </w:rPr>
            </w:pPr>
          </w:p>
        </w:tc>
      </w:tr>
      <w:tr w14:paraId="06330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1" w:type="dxa"/>
            <w:vAlign w:val="top"/>
          </w:tcPr>
          <w:p w14:paraId="1F79236C">
            <w:pPr>
              <w:spacing w:before="187" w:line="195" w:lineRule="auto"/>
              <w:ind w:left="227"/>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4023" w:type="dxa"/>
            <w:vAlign w:val="top"/>
          </w:tcPr>
          <w:p w14:paraId="01E8DDF5">
            <w:pPr>
              <w:pStyle w:val="6"/>
              <w:spacing w:before="150" w:line="228" w:lineRule="auto"/>
              <w:ind w:left="461"/>
              <w:rPr>
                <w:rFonts w:ascii="Times New Roman" w:hAnsi="Times New Roman" w:eastAsia="Times New Roman" w:cs="Times New Roman"/>
              </w:rPr>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城南变电站西侧厂界外</w:t>
            </w:r>
            <w:r>
              <w:rPr>
                <w:spacing w:val="-37"/>
              </w:rPr>
              <w:t xml:space="preserve"> </w:t>
            </w:r>
            <w:r>
              <w:rPr>
                <w:rFonts w:ascii="Times New Roman" w:hAnsi="Times New Roman" w:eastAsia="Times New Roman" w:cs="Times New Roman"/>
                <w:spacing w:val="6"/>
              </w:rPr>
              <w:t>40m</w:t>
            </w:r>
          </w:p>
        </w:tc>
        <w:tc>
          <w:tcPr>
            <w:tcW w:w="1123" w:type="dxa"/>
            <w:vAlign w:val="top"/>
          </w:tcPr>
          <w:p w14:paraId="6C5A8651">
            <w:pPr>
              <w:spacing w:before="187" w:line="195" w:lineRule="auto"/>
              <w:ind w:left="34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16.16</w:t>
            </w:r>
          </w:p>
        </w:tc>
        <w:tc>
          <w:tcPr>
            <w:tcW w:w="1108" w:type="dxa"/>
            <w:vAlign w:val="top"/>
          </w:tcPr>
          <w:p w14:paraId="583C8343">
            <w:pPr>
              <w:spacing w:before="187" w:line="195" w:lineRule="auto"/>
              <w:ind w:left="3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0.178</w:t>
            </w:r>
          </w:p>
        </w:tc>
        <w:tc>
          <w:tcPr>
            <w:tcW w:w="1670" w:type="dxa"/>
            <w:vMerge w:val="continue"/>
            <w:tcBorders>
              <w:top w:val="nil"/>
              <w:bottom w:val="nil"/>
            </w:tcBorders>
            <w:vAlign w:val="top"/>
          </w:tcPr>
          <w:p w14:paraId="307993A7">
            <w:pPr>
              <w:rPr>
                <w:rFonts w:ascii="Arial"/>
                <w:sz w:val="21"/>
              </w:rPr>
            </w:pPr>
          </w:p>
        </w:tc>
      </w:tr>
      <w:tr w14:paraId="503B1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41" w:type="dxa"/>
            <w:vAlign w:val="top"/>
          </w:tcPr>
          <w:p w14:paraId="1922539C">
            <w:pPr>
              <w:spacing w:before="188" w:line="195" w:lineRule="auto"/>
              <w:ind w:left="222"/>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tc>
        <w:tc>
          <w:tcPr>
            <w:tcW w:w="4023" w:type="dxa"/>
            <w:vAlign w:val="top"/>
          </w:tcPr>
          <w:p w14:paraId="4D7ACFD5">
            <w:pPr>
              <w:pStyle w:val="6"/>
              <w:spacing w:before="152" w:line="228" w:lineRule="auto"/>
              <w:ind w:left="461"/>
              <w:rPr>
                <w:rFonts w:ascii="Times New Roman" w:hAnsi="Times New Roman" w:eastAsia="Times New Roman" w:cs="Times New Roman"/>
              </w:rPr>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城南变电站西侧厂界外</w:t>
            </w:r>
            <w:r>
              <w:rPr>
                <w:spacing w:val="-37"/>
              </w:rPr>
              <w:t xml:space="preserve"> </w:t>
            </w:r>
            <w:r>
              <w:rPr>
                <w:rFonts w:ascii="Times New Roman" w:hAnsi="Times New Roman" w:eastAsia="Times New Roman" w:cs="Times New Roman"/>
                <w:spacing w:val="6"/>
              </w:rPr>
              <w:t>45m</w:t>
            </w:r>
          </w:p>
        </w:tc>
        <w:tc>
          <w:tcPr>
            <w:tcW w:w="1123" w:type="dxa"/>
            <w:vAlign w:val="top"/>
          </w:tcPr>
          <w:p w14:paraId="596C64C7">
            <w:pPr>
              <w:spacing w:before="188" w:line="195" w:lineRule="auto"/>
              <w:ind w:left="38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5.71</w:t>
            </w:r>
          </w:p>
        </w:tc>
        <w:tc>
          <w:tcPr>
            <w:tcW w:w="1108" w:type="dxa"/>
            <w:vAlign w:val="top"/>
          </w:tcPr>
          <w:p w14:paraId="3C9EFE5F">
            <w:pPr>
              <w:spacing w:before="188" w:line="195" w:lineRule="auto"/>
              <w:ind w:left="32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0.143</w:t>
            </w:r>
          </w:p>
        </w:tc>
        <w:tc>
          <w:tcPr>
            <w:tcW w:w="1670" w:type="dxa"/>
            <w:vMerge w:val="continue"/>
            <w:tcBorders>
              <w:top w:val="nil"/>
              <w:bottom w:val="nil"/>
            </w:tcBorders>
            <w:vAlign w:val="top"/>
          </w:tcPr>
          <w:p w14:paraId="02C23239">
            <w:pPr>
              <w:rPr>
                <w:rFonts w:ascii="Arial"/>
                <w:sz w:val="21"/>
              </w:rPr>
            </w:pPr>
          </w:p>
        </w:tc>
      </w:tr>
      <w:tr w14:paraId="2F714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541" w:type="dxa"/>
            <w:tcBorders>
              <w:bottom w:val="single" w:color="000000" w:sz="10" w:space="0"/>
            </w:tcBorders>
            <w:vAlign w:val="top"/>
          </w:tcPr>
          <w:p w14:paraId="7D900956">
            <w:pPr>
              <w:spacing w:before="189" w:line="195" w:lineRule="auto"/>
              <w:ind w:left="18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c>
          <w:tcPr>
            <w:tcW w:w="4023" w:type="dxa"/>
            <w:tcBorders>
              <w:bottom w:val="single" w:color="000000" w:sz="10" w:space="0"/>
            </w:tcBorders>
            <w:vAlign w:val="top"/>
          </w:tcPr>
          <w:p w14:paraId="1FAB79E2">
            <w:pPr>
              <w:pStyle w:val="6"/>
              <w:spacing w:before="153" w:line="228" w:lineRule="auto"/>
              <w:ind w:left="461"/>
              <w:rPr>
                <w:rFonts w:ascii="Times New Roman" w:hAnsi="Times New Roman" w:eastAsia="Times New Roman" w:cs="Times New Roman"/>
              </w:rPr>
            </w:pP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城南变电站西侧厂界外</w:t>
            </w:r>
            <w:r>
              <w:rPr>
                <w:spacing w:val="-37"/>
              </w:rPr>
              <w:t xml:space="preserve"> </w:t>
            </w:r>
            <w:r>
              <w:rPr>
                <w:rFonts w:ascii="Times New Roman" w:hAnsi="Times New Roman" w:eastAsia="Times New Roman" w:cs="Times New Roman"/>
                <w:spacing w:val="6"/>
              </w:rPr>
              <w:t>50m</w:t>
            </w:r>
          </w:p>
        </w:tc>
        <w:tc>
          <w:tcPr>
            <w:tcW w:w="1123" w:type="dxa"/>
            <w:tcBorders>
              <w:bottom w:val="single" w:color="000000" w:sz="10" w:space="0"/>
            </w:tcBorders>
            <w:vAlign w:val="top"/>
          </w:tcPr>
          <w:p w14:paraId="06BD3285">
            <w:pPr>
              <w:spacing w:before="189" w:line="195" w:lineRule="auto"/>
              <w:ind w:left="38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0.71</w:t>
            </w:r>
          </w:p>
        </w:tc>
        <w:tc>
          <w:tcPr>
            <w:tcW w:w="1108" w:type="dxa"/>
            <w:tcBorders>
              <w:bottom w:val="single" w:color="000000" w:sz="10" w:space="0"/>
            </w:tcBorders>
            <w:vAlign w:val="top"/>
          </w:tcPr>
          <w:p w14:paraId="5014F481">
            <w:pPr>
              <w:spacing w:before="189" w:line="195" w:lineRule="auto"/>
              <w:ind w:left="32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0.117</w:t>
            </w:r>
          </w:p>
        </w:tc>
        <w:tc>
          <w:tcPr>
            <w:tcW w:w="1670" w:type="dxa"/>
            <w:vMerge w:val="continue"/>
            <w:tcBorders>
              <w:top w:val="nil"/>
              <w:bottom w:val="single" w:color="000000" w:sz="10" w:space="0"/>
            </w:tcBorders>
            <w:vAlign w:val="top"/>
          </w:tcPr>
          <w:p w14:paraId="34D89786">
            <w:pPr>
              <w:rPr>
                <w:rFonts w:ascii="Arial"/>
                <w:sz w:val="21"/>
              </w:rPr>
            </w:pPr>
          </w:p>
        </w:tc>
      </w:tr>
    </w:tbl>
    <w:p w14:paraId="0BB4C3FF">
      <w:pPr>
        <w:pStyle w:val="2"/>
        <w:spacing w:before="115" w:line="219" w:lineRule="auto"/>
        <w:ind w:left="575"/>
        <w:rPr>
          <w:sz w:val="24"/>
          <w:szCs w:val="24"/>
        </w:rPr>
      </w:pPr>
      <w:r>
        <w:rPr>
          <w:spacing w:val="-3"/>
          <w:sz w:val="24"/>
          <w:szCs w:val="24"/>
        </w:rPr>
        <w:t>从表</w:t>
      </w:r>
      <w:r>
        <w:rPr>
          <w:spacing w:val="-41"/>
          <w:sz w:val="24"/>
          <w:szCs w:val="24"/>
        </w:rPr>
        <w:t xml:space="preserve"> </w:t>
      </w:r>
      <w:r>
        <w:rPr>
          <w:rFonts w:ascii="Times New Roman" w:hAnsi="Times New Roman" w:eastAsia="Times New Roman" w:cs="Times New Roman"/>
          <w:spacing w:val="-3"/>
          <w:sz w:val="24"/>
          <w:szCs w:val="24"/>
        </w:rPr>
        <w:t xml:space="preserve">5-2 </w:t>
      </w:r>
      <w:r>
        <w:rPr>
          <w:spacing w:val="-3"/>
          <w:sz w:val="24"/>
          <w:szCs w:val="24"/>
        </w:rPr>
        <w:t>可以得到：</w:t>
      </w:r>
    </w:p>
    <w:p w14:paraId="35BE417D">
      <w:pPr>
        <w:pStyle w:val="2"/>
        <w:spacing w:before="182" w:line="357" w:lineRule="auto"/>
        <w:ind w:left="93" w:firstLine="497"/>
        <w:jc w:val="both"/>
        <w:rPr>
          <w:sz w:val="24"/>
          <w:szCs w:val="24"/>
        </w:rPr>
      </w:pPr>
      <w:r>
        <w:rPr>
          <w:rFonts w:ascii="Times New Roman" w:hAnsi="Times New Roman" w:eastAsia="Times New Roman" w:cs="Times New Roman"/>
          <w:spacing w:val="-2"/>
          <w:sz w:val="24"/>
          <w:szCs w:val="24"/>
        </w:rPr>
        <w:t xml:space="preserve">110kV </w:t>
      </w:r>
      <w:r>
        <w:rPr>
          <w:spacing w:val="-2"/>
          <w:sz w:val="24"/>
          <w:szCs w:val="24"/>
        </w:rPr>
        <w:t>城南变电站厂界四周测得的工频电场强度在</w:t>
      </w:r>
      <w:r>
        <w:rPr>
          <w:spacing w:val="-47"/>
          <w:sz w:val="24"/>
          <w:szCs w:val="24"/>
        </w:rPr>
        <w:t xml:space="preserve"> </w:t>
      </w:r>
      <w:r>
        <w:rPr>
          <w:rFonts w:ascii="Times New Roman" w:hAnsi="Times New Roman" w:eastAsia="Times New Roman" w:cs="Times New Roman"/>
          <w:spacing w:val="-2"/>
          <w:sz w:val="24"/>
          <w:szCs w:val="24"/>
        </w:rPr>
        <w:t xml:space="preserve">0.42~270.3V/m </w:t>
      </w:r>
      <w:r>
        <w:rPr>
          <w:spacing w:val="-2"/>
          <w:sz w:val="24"/>
          <w:szCs w:val="24"/>
        </w:rPr>
        <w:t>之间，工</w:t>
      </w:r>
      <w:r>
        <w:rPr>
          <w:spacing w:val="-8"/>
          <w:sz w:val="24"/>
          <w:szCs w:val="24"/>
        </w:rPr>
        <w:t>频磁感应强度在</w:t>
      </w:r>
      <w:r>
        <w:rPr>
          <w:spacing w:val="-34"/>
          <w:sz w:val="24"/>
          <w:szCs w:val="24"/>
        </w:rPr>
        <w:t xml:space="preserve"> </w:t>
      </w:r>
      <w:r>
        <w:rPr>
          <w:rFonts w:ascii="Times New Roman" w:hAnsi="Times New Roman" w:eastAsia="Times New Roman" w:cs="Times New Roman"/>
          <w:spacing w:val="-8"/>
          <w:sz w:val="24"/>
          <w:szCs w:val="24"/>
        </w:rPr>
        <w:t>0.157~0.453μT</w:t>
      </w:r>
      <w:r>
        <w:rPr>
          <w:rFonts w:ascii="Times New Roman" w:hAnsi="Times New Roman" w:eastAsia="Times New Roman" w:cs="Times New Roman"/>
          <w:spacing w:val="13"/>
          <w:sz w:val="24"/>
          <w:szCs w:val="24"/>
        </w:rPr>
        <w:t xml:space="preserve"> </w:t>
      </w:r>
      <w:r>
        <w:rPr>
          <w:spacing w:val="-8"/>
          <w:sz w:val="24"/>
          <w:szCs w:val="24"/>
        </w:rPr>
        <w:t>之间；满足《电磁环境控制限值》（</w:t>
      </w:r>
      <w:r>
        <w:rPr>
          <w:rFonts w:ascii="Times New Roman" w:hAnsi="Times New Roman" w:eastAsia="Times New Roman" w:cs="Times New Roman"/>
          <w:spacing w:val="-8"/>
          <w:sz w:val="24"/>
          <w:szCs w:val="24"/>
        </w:rPr>
        <w:t>GB8702-2014</w:t>
      </w:r>
      <w:r>
        <w:rPr>
          <w:spacing w:val="-8"/>
          <w:sz w:val="24"/>
          <w:szCs w:val="24"/>
        </w:rPr>
        <w:t>）</w:t>
      </w:r>
      <w:r>
        <w:rPr>
          <w:spacing w:val="-3"/>
          <w:sz w:val="24"/>
          <w:szCs w:val="24"/>
        </w:rPr>
        <w:t>中工频电场强度</w:t>
      </w:r>
      <w:r>
        <w:rPr>
          <w:spacing w:val="-43"/>
          <w:sz w:val="24"/>
          <w:szCs w:val="24"/>
        </w:rPr>
        <w:t xml:space="preserve"> </w:t>
      </w:r>
      <w:r>
        <w:rPr>
          <w:rFonts w:ascii="Times New Roman" w:hAnsi="Times New Roman" w:eastAsia="Times New Roman" w:cs="Times New Roman"/>
          <w:spacing w:val="-3"/>
          <w:sz w:val="24"/>
          <w:szCs w:val="24"/>
        </w:rPr>
        <w:t>4000V/m</w:t>
      </w:r>
      <w:r>
        <w:rPr>
          <w:rFonts w:ascii="Times New Roman" w:hAnsi="Times New Roman" w:eastAsia="Times New Roman" w:cs="Times New Roman"/>
          <w:spacing w:val="27"/>
          <w:sz w:val="24"/>
          <w:szCs w:val="24"/>
        </w:rPr>
        <w:t xml:space="preserve"> </w:t>
      </w:r>
      <w:r>
        <w:rPr>
          <w:spacing w:val="-3"/>
          <w:sz w:val="24"/>
          <w:szCs w:val="24"/>
        </w:rPr>
        <w:t>的限值要求和工频磁感应强度</w:t>
      </w:r>
      <w:r>
        <w:rPr>
          <w:spacing w:val="-32"/>
          <w:sz w:val="24"/>
          <w:szCs w:val="24"/>
        </w:rPr>
        <w:t xml:space="preserve"> </w:t>
      </w:r>
      <w:r>
        <w:rPr>
          <w:rFonts w:ascii="Times New Roman" w:hAnsi="Times New Roman" w:eastAsia="Times New Roman" w:cs="Times New Roman"/>
          <w:spacing w:val="-3"/>
          <w:sz w:val="24"/>
          <w:szCs w:val="24"/>
        </w:rPr>
        <w:t>100μT</w:t>
      </w:r>
      <w:r>
        <w:rPr>
          <w:rFonts w:ascii="Times New Roman" w:hAnsi="Times New Roman" w:eastAsia="Times New Roman" w:cs="Times New Roman"/>
          <w:spacing w:val="29"/>
          <w:sz w:val="24"/>
          <w:szCs w:val="24"/>
        </w:rPr>
        <w:t xml:space="preserve"> </w:t>
      </w:r>
      <w:r>
        <w:rPr>
          <w:spacing w:val="-3"/>
          <w:sz w:val="24"/>
          <w:szCs w:val="24"/>
        </w:rPr>
        <w:t>的限值要求。</w:t>
      </w:r>
    </w:p>
    <w:p w14:paraId="2FCBFB88">
      <w:pPr>
        <w:pStyle w:val="2"/>
        <w:spacing w:before="11" w:line="357" w:lineRule="auto"/>
        <w:ind w:left="92" w:firstLine="498"/>
        <w:jc w:val="both"/>
        <w:rPr>
          <w:sz w:val="24"/>
          <w:szCs w:val="24"/>
        </w:rPr>
      </w:pPr>
      <w:r>
        <w:rPr>
          <w:rFonts w:ascii="Times New Roman" w:hAnsi="Times New Roman" w:eastAsia="Times New Roman" w:cs="Times New Roman"/>
          <w:spacing w:val="-2"/>
          <w:sz w:val="24"/>
          <w:szCs w:val="24"/>
        </w:rPr>
        <w:t xml:space="preserve">110kV </w:t>
      </w:r>
      <w:r>
        <w:rPr>
          <w:spacing w:val="-2"/>
          <w:sz w:val="24"/>
          <w:szCs w:val="24"/>
        </w:rPr>
        <w:t>城南变电站断面监测数据工频电场强度在</w:t>
      </w:r>
      <w:r>
        <w:rPr>
          <w:spacing w:val="-47"/>
          <w:sz w:val="24"/>
          <w:szCs w:val="24"/>
        </w:rPr>
        <w:t xml:space="preserve"> </w:t>
      </w:r>
      <w:r>
        <w:rPr>
          <w:rFonts w:ascii="Times New Roman" w:hAnsi="Times New Roman" w:eastAsia="Times New Roman" w:cs="Times New Roman"/>
          <w:spacing w:val="-2"/>
          <w:sz w:val="24"/>
          <w:szCs w:val="24"/>
        </w:rPr>
        <w:t xml:space="preserve">0.71~270.3V/m </w:t>
      </w:r>
      <w:r>
        <w:rPr>
          <w:spacing w:val="-2"/>
          <w:sz w:val="24"/>
          <w:szCs w:val="24"/>
        </w:rPr>
        <w:t>之间，工频磁感应强度在</w:t>
      </w:r>
      <w:r>
        <w:rPr>
          <w:spacing w:val="-52"/>
          <w:sz w:val="24"/>
          <w:szCs w:val="24"/>
        </w:rPr>
        <w:t xml:space="preserve"> </w:t>
      </w:r>
      <w:r>
        <w:rPr>
          <w:rFonts w:ascii="Times New Roman" w:hAnsi="Times New Roman" w:eastAsia="Times New Roman" w:cs="Times New Roman"/>
          <w:spacing w:val="-2"/>
          <w:sz w:val="24"/>
          <w:szCs w:val="24"/>
        </w:rPr>
        <w:t xml:space="preserve">0.117~0.453μT </w:t>
      </w:r>
      <w:r>
        <w:rPr>
          <w:spacing w:val="-2"/>
          <w:sz w:val="24"/>
          <w:szCs w:val="24"/>
        </w:rPr>
        <w:t>之间，满足《电磁环境控制</w:t>
      </w:r>
      <w:r>
        <w:rPr>
          <w:spacing w:val="-3"/>
          <w:sz w:val="24"/>
          <w:szCs w:val="24"/>
        </w:rPr>
        <w:t>限值》（</w:t>
      </w:r>
      <w:r>
        <w:rPr>
          <w:rFonts w:ascii="Times New Roman" w:hAnsi="Times New Roman" w:eastAsia="Times New Roman" w:cs="Times New Roman"/>
          <w:spacing w:val="-3"/>
          <w:sz w:val="24"/>
          <w:szCs w:val="24"/>
        </w:rPr>
        <w:t>GB8702-2014</w:t>
      </w:r>
      <w:r>
        <w:rPr>
          <w:spacing w:val="-3"/>
          <w:sz w:val="24"/>
          <w:szCs w:val="24"/>
        </w:rPr>
        <w:t>）</w:t>
      </w:r>
      <w:r>
        <w:rPr>
          <w:spacing w:val="-2"/>
          <w:sz w:val="24"/>
          <w:szCs w:val="24"/>
        </w:rPr>
        <w:t>中工频电场强度</w:t>
      </w:r>
      <w:r>
        <w:rPr>
          <w:spacing w:val="-38"/>
          <w:sz w:val="24"/>
          <w:szCs w:val="24"/>
        </w:rPr>
        <w:t xml:space="preserve"> </w:t>
      </w:r>
      <w:r>
        <w:rPr>
          <w:rFonts w:ascii="Times New Roman" w:hAnsi="Times New Roman" w:eastAsia="Times New Roman" w:cs="Times New Roman"/>
          <w:spacing w:val="-2"/>
          <w:sz w:val="24"/>
          <w:szCs w:val="24"/>
        </w:rPr>
        <w:t>4000V/m</w:t>
      </w:r>
      <w:r>
        <w:rPr>
          <w:rFonts w:ascii="Times New Roman" w:hAnsi="Times New Roman" w:eastAsia="Times New Roman" w:cs="Times New Roman"/>
          <w:spacing w:val="30"/>
          <w:sz w:val="24"/>
          <w:szCs w:val="24"/>
        </w:rPr>
        <w:t xml:space="preserve"> </w:t>
      </w:r>
      <w:r>
        <w:rPr>
          <w:spacing w:val="-2"/>
          <w:sz w:val="24"/>
          <w:szCs w:val="24"/>
        </w:rPr>
        <w:t>的限值要求和工频磁感应强度</w:t>
      </w:r>
      <w:r>
        <w:rPr>
          <w:spacing w:val="-32"/>
          <w:sz w:val="24"/>
          <w:szCs w:val="24"/>
        </w:rPr>
        <w:t xml:space="preserve"> </w:t>
      </w:r>
      <w:r>
        <w:rPr>
          <w:rFonts w:ascii="Times New Roman" w:hAnsi="Times New Roman" w:eastAsia="Times New Roman" w:cs="Times New Roman"/>
          <w:spacing w:val="-2"/>
          <w:sz w:val="24"/>
          <w:szCs w:val="24"/>
        </w:rPr>
        <w:t>100μT</w:t>
      </w:r>
      <w:r>
        <w:rPr>
          <w:rFonts w:ascii="Times New Roman" w:hAnsi="Times New Roman" w:eastAsia="Times New Roman" w:cs="Times New Roman"/>
          <w:spacing w:val="32"/>
          <w:sz w:val="24"/>
          <w:szCs w:val="24"/>
        </w:rPr>
        <w:t xml:space="preserve"> </w:t>
      </w:r>
      <w:r>
        <w:rPr>
          <w:spacing w:val="-2"/>
          <w:sz w:val="24"/>
          <w:szCs w:val="24"/>
        </w:rPr>
        <w:t>的限值要求。且</w:t>
      </w:r>
      <w:r>
        <w:rPr>
          <w:sz w:val="24"/>
          <w:szCs w:val="24"/>
        </w:rPr>
        <w:t>变电站断面工频电场、工频磁场监测数据随距离的</w:t>
      </w:r>
      <w:r>
        <w:rPr>
          <w:spacing w:val="-1"/>
          <w:sz w:val="24"/>
          <w:szCs w:val="24"/>
        </w:rPr>
        <w:t>增大先增大呈衰减趋势。</w:t>
      </w:r>
    </w:p>
    <w:p w14:paraId="457D7869">
      <w:pPr>
        <w:spacing w:line="357" w:lineRule="auto"/>
        <w:rPr>
          <w:sz w:val="24"/>
          <w:szCs w:val="24"/>
        </w:rPr>
        <w:sectPr>
          <w:footerReference r:id="rId177" w:type="default"/>
          <w:pgSz w:w="11906" w:h="16839"/>
          <w:pgMar w:top="400" w:right="1700" w:bottom="1147" w:left="1717" w:header="0" w:footer="960" w:gutter="0"/>
          <w:cols w:space="720" w:num="1"/>
        </w:sectPr>
      </w:pPr>
    </w:p>
    <w:p w14:paraId="42A6C7AE">
      <w:pPr>
        <w:spacing w:line="266" w:lineRule="auto"/>
        <w:rPr>
          <w:rFonts w:ascii="Arial"/>
          <w:sz w:val="21"/>
        </w:rPr>
      </w:pPr>
    </w:p>
    <w:p w14:paraId="32D27B9A">
      <w:pPr>
        <w:spacing w:line="267" w:lineRule="auto"/>
        <w:rPr>
          <w:rFonts w:ascii="Arial"/>
          <w:sz w:val="21"/>
        </w:rPr>
      </w:pPr>
    </w:p>
    <w:p w14:paraId="4341A08D">
      <w:pPr>
        <w:spacing w:line="267" w:lineRule="auto"/>
        <w:rPr>
          <w:rFonts w:ascii="Arial"/>
          <w:sz w:val="21"/>
        </w:rPr>
      </w:pPr>
    </w:p>
    <w:p w14:paraId="2BBC61B3">
      <w:pPr>
        <w:spacing w:line="267" w:lineRule="auto"/>
        <w:rPr>
          <w:rFonts w:ascii="Arial"/>
          <w:sz w:val="21"/>
        </w:rPr>
      </w:pPr>
    </w:p>
    <w:p w14:paraId="1E0F17DB">
      <w:pPr>
        <w:pStyle w:val="2"/>
        <w:spacing w:before="78" w:line="359" w:lineRule="auto"/>
        <w:ind w:left="24" w:right="13" w:firstLine="479"/>
        <w:jc w:val="both"/>
        <w:rPr>
          <w:sz w:val="24"/>
          <w:szCs w:val="24"/>
        </w:rPr>
      </w:pPr>
      <w:r>
        <w:rPr>
          <w:spacing w:val="-1"/>
          <w:sz w:val="24"/>
          <w:szCs w:val="24"/>
        </w:rPr>
        <w:t>通过类比</w:t>
      </w:r>
      <w:r>
        <w:rPr>
          <w:spacing w:val="-24"/>
          <w:sz w:val="24"/>
          <w:szCs w:val="24"/>
        </w:rPr>
        <w:t xml:space="preserve"> </w:t>
      </w:r>
      <w:r>
        <w:rPr>
          <w:rFonts w:ascii="Times New Roman" w:hAnsi="Times New Roman" w:eastAsia="Times New Roman" w:cs="Times New Roman"/>
          <w:spacing w:val="-1"/>
          <w:sz w:val="24"/>
          <w:szCs w:val="24"/>
        </w:rPr>
        <w:t xml:space="preserve">110kV </w:t>
      </w:r>
      <w:r>
        <w:rPr>
          <w:spacing w:val="-1"/>
          <w:sz w:val="24"/>
          <w:szCs w:val="24"/>
        </w:rPr>
        <w:t>城南变电站产生的电磁环境影响分析，可以预测</w:t>
      </w:r>
      <w:r>
        <w:rPr>
          <w:spacing w:val="-32"/>
          <w:sz w:val="24"/>
          <w:szCs w:val="24"/>
        </w:rPr>
        <w:t xml:space="preserve"> </w:t>
      </w:r>
      <w:r>
        <w:rPr>
          <w:rFonts w:ascii="Times New Roman" w:hAnsi="Times New Roman" w:eastAsia="Times New Roman" w:cs="Times New Roman"/>
          <w:spacing w:val="-1"/>
          <w:sz w:val="24"/>
          <w:szCs w:val="24"/>
        </w:rPr>
        <w:t xml:space="preserve">110kV </w:t>
      </w:r>
      <w:r>
        <w:rPr>
          <w:spacing w:val="-1"/>
          <w:sz w:val="24"/>
          <w:szCs w:val="24"/>
        </w:rPr>
        <w:t>松</w:t>
      </w:r>
      <w:r>
        <w:rPr>
          <w:spacing w:val="-3"/>
          <w:sz w:val="24"/>
          <w:szCs w:val="24"/>
        </w:rPr>
        <w:t>山变电站按本期规模建成投运后，其围墙外的工频电场强度将小于</w:t>
      </w:r>
      <w:r>
        <w:rPr>
          <w:spacing w:val="-56"/>
          <w:sz w:val="24"/>
          <w:szCs w:val="24"/>
        </w:rPr>
        <w:t xml:space="preserve"> </w:t>
      </w:r>
      <w:r>
        <w:rPr>
          <w:rFonts w:ascii="Times New Roman" w:hAnsi="Times New Roman" w:eastAsia="Times New Roman" w:cs="Times New Roman"/>
          <w:spacing w:val="-3"/>
          <w:sz w:val="24"/>
          <w:szCs w:val="24"/>
        </w:rPr>
        <w:t>4000V/m</w:t>
      </w:r>
      <w:r>
        <w:rPr>
          <w:spacing w:val="-4"/>
          <w:sz w:val="24"/>
          <w:szCs w:val="24"/>
        </w:rPr>
        <w:t>，工</w:t>
      </w:r>
      <w:r>
        <w:rPr>
          <w:spacing w:val="12"/>
          <w:sz w:val="24"/>
          <w:szCs w:val="24"/>
        </w:rPr>
        <w:t xml:space="preserve">频磁感应强度远小于 </w:t>
      </w:r>
      <w:r>
        <w:rPr>
          <w:rFonts w:ascii="Times New Roman" w:hAnsi="Times New Roman" w:eastAsia="Times New Roman" w:cs="Times New Roman"/>
          <w:spacing w:val="12"/>
          <w:sz w:val="24"/>
          <w:szCs w:val="24"/>
        </w:rPr>
        <w:t xml:space="preserve">100μT </w:t>
      </w:r>
      <w:r>
        <w:rPr>
          <w:spacing w:val="12"/>
          <w:sz w:val="24"/>
          <w:szCs w:val="24"/>
        </w:rPr>
        <w:t>，</w:t>
      </w:r>
      <w:r>
        <w:rPr>
          <w:spacing w:val="-41"/>
          <w:sz w:val="24"/>
          <w:szCs w:val="24"/>
        </w:rPr>
        <w:t xml:space="preserve"> </w:t>
      </w:r>
      <w:r>
        <w:rPr>
          <w:spacing w:val="12"/>
          <w:sz w:val="24"/>
          <w:szCs w:val="24"/>
        </w:rPr>
        <w:t>电磁环境均</w:t>
      </w:r>
      <w:r>
        <w:rPr>
          <w:spacing w:val="-68"/>
          <w:sz w:val="24"/>
          <w:szCs w:val="24"/>
        </w:rPr>
        <w:t xml:space="preserve"> </w:t>
      </w:r>
      <w:r>
        <w:rPr>
          <w:spacing w:val="12"/>
          <w:sz w:val="24"/>
          <w:szCs w:val="24"/>
        </w:rPr>
        <w:t>能满足《</w:t>
      </w:r>
      <w:r>
        <w:rPr>
          <w:spacing w:val="-25"/>
          <w:sz w:val="24"/>
          <w:szCs w:val="24"/>
        </w:rPr>
        <w:t xml:space="preserve"> </w:t>
      </w:r>
      <w:r>
        <w:rPr>
          <w:spacing w:val="12"/>
          <w:sz w:val="24"/>
          <w:szCs w:val="24"/>
        </w:rPr>
        <w:t>电磁环境控制</w:t>
      </w:r>
      <w:r>
        <w:rPr>
          <w:spacing w:val="-63"/>
          <w:sz w:val="24"/>
          <w:szCs w:val="24"/>
        </w:rPr>
        <w:t xml:space="preserve"> </w:t>
      </w:r>
      <w:r>
        <w:rPr>
          <w:spacing w:val="12"/>
          <w:sz w:val="24"/>
          <w:szCs w:val="24"/>
        </w:rPr>
        <w:t>限值</w:t>
      </w:r>
      <w:r>
        <w:rPr>
          <w:spacing w:val="-64"/>
          <w:sz w:val="24"/>
          <w:szCs w:val="24"/>
        </w:rPr>
        <w:t xml:space="preserve"> </w:t>
      </w:r>
      <w:r>
        <w:rPr>
          <w:spacing w:val="12"/>
          <w:sz w:val="24"/>
          <w:szCs w:val="24"/>
        </w:rPr>
        <w:t>》</w:t>
      </w:r>
      <w:r>
        <w:rPr>
          <w:sz w:val="24"/>
          <w:szCs w:val="24"/>
        </w:rPr>
        <w:t xml:space="preserve"> </w:t>
      </w:r>
      <w:r>
        <w:rPr>
          <w:spacing w:val="-1"/>
          <w:sz w:val="24"/>
          <w:szCs w:val="24"/>
        </w:rPr>
        <w:t>（</w:t>
      </w:r>
      <w:r>
        <w:rPr>
          <w:rFonts w:ascii="Times New Roman" w:hAnsi="Times New Roman" w:eastAsia="Times New Roman" w:cs="Times New Roman"/>
          <w:spacing w:val="-1"/>
          <w:sz w:val="24"/>
          <w:szCs w:val="24"/>
        </w:rPr>
        <w:t>GB8702-2014</w:t>
      </w:r>
      <w:r>
        <w:rPr>
          <w:spacing w:val="-1"/>
          <w:sz w:val="24"/>
          <w:szCs w:val="24"/>
        </w:rPr>
        <w:t>）评价标准的限值要求。</w:t>
      </w:r>
    </w:p>
    <w:p w14:paraId="467FE96F">
      <w:pPr>
        <w:pStyle w:val="2"/>
        <w:spacing w:before="7" w:line="358" w:lineRule="auto"/>
        <w:ind w:left="22" w:right="13" w:firstLine="480"/>
        <w:jc w:val="both"/>
        <w:rPr>
          <w:sz w:val="24"/>
          <w:szCs w:val="24"/>
        </w:rPr>
      </w:pPr>
      <w:r>
        <w:rPr>
          <w:spacing w:val="-5"/>
          <w:sz w:val="24"/>
          <w:szCs w:val="24"/>
        </w:rPr>
        <w:t>类比</w:t>
      </w:r>
      <w:r>
        <w:rPr>
          <w:spacing w:val="-14"/>
          <w:sz w:val="24"/>
          <w:szCs w:val="24"/>
        </w:rPr>
        <w:t xml:space="preserve"> </w:t>
      </w:r>
      <w:r>
        <w:rPr>
          <w:rFonts w:ascii="Times New Roman" w:hAnsi="Times New Roman" w:eastAsia="Times New Roman" w:cs="Times New Roman"/>
          <w:spacing w:val="-5"/>
          <w:sz w:val="24"/>
          <w:szCs w:val="24"/>
        </w:rPr>
        <w:t xml:space="preserve">110kV </w:t>
      </w:r>
      <w:r>
        <w:rPr>
          <w:spacing w:val="-5"/>
          <w:sz w:val="24"/>
          <w:szCs w:val="24"/>
        </w:rPr>
        <w:t>城南变电站监测断面趋势图见图</w:t>
      </w:r>
      <w:r>
        <w:rPr>
          <w:spacing w:val="-49"/>
          <w:sz w:val="24"/>
          <w:szCs w:val="24"/>
        </w:rPr>
        <w:t xml:space="preserve"> </w:t>
      </w:r>
      <w:r>
        <w:rPr>
          <w:rFonts w:ascii="Times New Roman" w:hAnsi="Times New Roman" w:eastAsia="Times New Roman" w:cs="Times New Roman"/>
          <w:spacing w:val="-5"/>
          <w:sz w:val="24"/>
          <w:szCs w:val="24"/>
        </w:rPr>
        <w:t>5-2</w:t>
      </w:r>
      <w:r>
        <w:rPr>
          <w:spacing w:val="-5"/>
          <w:sz w:val="24"/>
          <w:szCs w:val="24"/>
        </w:rPr>
        <w:t>、</w:t>
      </w:r>
      <w:r>
        <w:rPr>
          <w:rFonts w:ascii="Times New Roman" w:hAnsi="Times New Roman" w:eastAsia="Times New Roman" w:cs="Times New Roman"/>
          <w:spacing w:val="-5"/>
          <w:sz w:val="24"/>
          <w:szCs w:val="24"/>
        </w:rPr>
        <w:t>5-3</w:t>
      </w:r>
      <w:r>
        <w:rPr>
          <w:spacing w:val="-5"/>
          <w:sz w:val="24"/>
          <w:szCs w:val="24"/>
        </w:rPr>
        <w:t>，从图中可以看出，变</w:t>
      </w:r>
      <w:r>
        <w:rPr>
          <w:spacing w:val="-2"/>
          <w:sz w:val="24"/>
          <w:szCs w:val="24"/>
        </w:rPr>
        <w:t>电站的工频电场强度和工频磁感应强度均从站址围墙外</w:t>
      </w:r>
      <w:r>
        <w:rPr>
          <w:spacing w:val="-38"/>
          <w:sz w:val="24"/>
          <w:szCs w:val="24"/>
        </w:rPr>
        <w:t xml:space="preserve"> </w:t>
      </w:r>
      <w:r>
        <w:rPr>
          <w:rFonts w:ascii="Times New Roman" w:hAnsi="Times New Roman" w:eastAsia="Times New Roman" w:cs="Times New Roman"/>
          <w:spacing w:val="-2"/>
          <w:sz w:val="24"/>
          <w:szCs w:val="24"/>
        </w:rPr>
        <w:t xml:space="preserve">5m </w:t>
      </w:r>
      <w:r>
        <w:rPr>
          <w:spacing w:val="-2"/>
          <w:sz w:val="24"/>
          <w:szCs w:val="24"/>
        </w:rPr>
        <w:t>处达到最大值，然后平缓下降。</w:t>
      </w:r>
    </w:p>
    <w:p w14:paraId="78523E89">
      <w:pPr>
        <w:pStyle w:val="2"/>
        <w:spacing w:line="4740" w:lineRule="exact"/>
        <w:ind w:firstLine="1404"/>
      </w:pPr>
      <w:r>
        <mc:AlternateContent>
          <mc:Choice Requires="wps">
            <w:drawing>
              <wp:anchor distT="0" distB="0" distL="0" distR="0" simplePos="0" relativeHeight="251720704" behindDoc="0" locked="0" layoutInCell="1" allowOverlap="1">
                <wp:simplePos x="0" y="0"/>
                <wp:positionH relativeFrom="column">
                  <wp:posOffset>63500</wp:posOffset>
                </wp:positionH>
                <wp:positionV relativeFrom="paragraph">
                  <wp:posOffset>1325880</wp:posOffset>
                </wp:positionV>
                <wp:extent cx="1391920" cy="215265"/>
                <wp:effectExtent l="0" t="0" r="0" b="0"/>
                <wp:wrapNone/>
                <wp:docPr id="164" name="TextBox 164"/>
                <wp:cNvGraphicFramePr/>
                <a:graphic xmlns:a="http://schemas.openxmlformats.org/drawingml/2006/main">
                  <a:graphicData uri="http://schemas.microsoft.com/office/word/2010/wordprocessingShape">
                    <wps:wsp>
                      <wps:cNvSpPr txBox="1"/>
                      <wps:spPr>
                        <a:xfrm rot="16200000">
                          <a:off x="63523" y="1326491"/>
                          <a:ext cx="1391919" cy="21526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C6B7D32">
                            <w:pPr>
                              <w:pStyle w:val="2"/>
                              <w:spacing w:before="60" w:line="227" w:lineRule="auto"/>
                              <w:ind w:left="20"/>
                              <w:rPr>
                                <w:sz w:val="21"/>
                                <w:szCs w:val="21"/>
                              </w:rPr>
                            </w:pPr>
                            <w:r>
                              <w:rPr>
                                <w:spacing w:val="6"/>
                                <w:sz w:val="21"/>
                                <w:szCs w:val="21"/>
                              </w:rPr>
                              <w:t>工频电场强度（</w:t>
                            </w:r>
                            <w:r>
                              <w:rPr>
                                <w:sz w:val="21"/>
                                <w:szCs w:val="21"/>
                              </w:rPr>
                              <w:t>kV</w:t>
                            </w:r>
                            <w:r>
                              <w:rPr>
                                <w:spacing w:val="6"/>
                                <w:sz w:val="21"/>
                                <w:szCs w:val="21"/>
                              </w:rPr>
                              <w:t>/m）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64" o:spid="_x0000_s1026" o:spt="202" type="#_x0000_t202" style="position:absolute;left:0pt;margin-left:5pt;margin-top:104.4pt;height:16.95pt;width:109.6pt;rotation:-5898240f;z-index:251720704;mso-width-relative:page;mso-height-relative:page;" filled="f" stroked="f" coordsize="21600,21600" o:gfxdata="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YLY+O1wAAAAoBAAAPAAAA&#10;AAAAAAEAIAAAACIAAABkcnMvZG93bnJldi54bWxQSwECFAAUAAAACACHTuJA3rNXRU8CAACkBAAA&#10;DgAAAAAAAAABACAAAAAmAQAAZHJzL2Uyb0RvYy54bWxQSwUGAAAAAAYABgBZAQAA5wUAAAAA&#10;">
                <v:fill on="f" focussize="0,0"/>
                <v:stroke on="f" weight="0pt" miterlimit="0" joinstyle="miter"/>
                <v:imagedata o:title=""/>
                <o:lock v:ext="edit" aspectratio="f"/>
                <v:textbox inset="0mm,0mm,0mm,0mm">
                  <w:txbxContent>
                    <w:p w14:paraId="3C6B7D32">
                      <w:pPr>
                        <w:pStyle w:val="2"/>
                        <w:spacing w:before="60" w:line="227" w:lineRule="auto"/>
                        <w:ind w:left="20"/>
                        <w:rPr>
                          <w:sz w:val="21"/>
                          <w:szCs w:val="21"/>
                        </w:rPr>
                      </w:pPr>
                      <w:r>
                        <w:rPr>
                          <w:spacing w:val="6"/>
                          <w:sz w:val="21"/>
                          <w:szCs w:val="21"/>
                        </w:rPr>
                        <w:t>工频电场强度（</w:t>
                      </w:r>
                      <w:r>
                        <w:rPr>
                          <w:sz w:val="21"/>
                          <w:szCs w:val="21"/>
                        </w:rPr>
                        <w:t>kV</w:t>
                      </w:r>
                      <w:r>
                        <w:rPr>
                          <w:spacing w:val="6"/>
                          <w:sz w:val="21"/>
                          <w:szCs w:val="21"/>
                        </w:rPr>
                        <w:t>/m）</w:t>
                      </w:r>
                    </w:p>
                  </w:txbxContent>
                </v:textbox>
              </v:shape>
            </w:pict>
          </mc:Fallback>
        </mc:AlternateContent>
      </w:r>
      <w:r>
        <w:rPr>
          <w:position w:val="-94"/>
        </w:rPr>
        <w:pict>
          <v:group id="_x0000_s1119" o:spid="_x0000_s1119" o:spt="203" style="height:237.05pt;width:289.1pt;" coordsize="5782,4741">
            <o:lock v:ext="edit"/>
            <v:group id="_x0000_s1120" o:spid="_x0000_s1120" o:spt="203" style="position:absolute;left:306;top:111;height:4102;width:5475;" coordsize="5475,4102">
              <o:lock v:ext="edit"/>
              <v:shape id="_x0000_s1121" o:spid="_x0000_s1121" style="position:absolute;left:0;top:0;height:4102;width:5475;" filled="f" stroked="t" coordsize="5475,4102" path="m87,4093l87,4014m575,4054l575,4014m1064,4093l1064,4014m1555,4054l1555,4014m2044,4093l2044,4014m2533,4054l2533,4014m3021,4093l3021,4014m3510,4054l3510,4014m3999,4093l3999,4014m4490,4054l4490,4014m4978,4093l4978,4014m5467,4054l5467,4014m87,4014l5467,4014m47,4014l87,4014m8,3705l87,3705m47,3398l87,3398m8,3089l87,3089m47,2782l87,2782m8,2473l87,2473m47,2166l87,2166m8,1856l87,1856m47,1549l87,1549m8,1240l87,1240m47,933l87,933m8,624l87,624m47,317l87,317m8,8l87,8m87,4014l87,8e">
                <v:fill on="f" focussize="0,0"/>
                <v:stroke weight="0.81pt" color="#000000" miterlimit="2" endcap="round"/>
                <v:imagedata o:title=""/>
                <o:lock v:ext="edit"/>
              </v:shape>
              <v:shape id="_x0000_s1122" o:spid="_x0000_s1122" style="position:absolute;left:663;top:411;height:3275;width:4223;" filled="f" stroked="t" coordsize="4223,3275" path="m3,3l33,19,63,36,94,52,124,70,154,91,184,115,215,138,245,163,275,194,306,226,336,261m461,442l492,494,522,547,552,603,582,661,613,719,643,777,673,838,703,896,734,954,764,1010,794,1066,824,1117m952,1305l983,1342,1013,1375,1043,1405,1073,1435,1104,1463,1134,1489,1164,1515,1194,1538,1225,1561,1255,1584,1285,1610,1315,1633m1441,1749l1471,1782,1502,1814,1532,1849,1562,1884,1592,1919,1623,1954,1653,1989,1683,2026,1713,2061,1744,2098,1774,2133,1804,2166m1930,2298l1960,2326,1990,2354,2021,2380,2051,2405,2081,2426,2111,2447,2142,2468,2172,2484,2202,2500,2232,2514,2263,2528m2449,2563l2479,2563,2509,2561,2540,2561,2570,2561,2600,2561,2630,2561,2661,2563,2691,2566,2721,2570,2751,2577,2782,2589m2907,2661l2938,2687,2968,2717,2998,2747,3028,2777,3059,2810,3089,2845,3119,2880,3149,2912,3180,2947,3210,2980,3240,3010,3270,3040m3396,3135l3426,3152,3456,3166,3487,3177,3517,3189,3547,3196,3577,3203,3608,3207,3638,3212,3668,3214,3698,3217,3729,3219m3917,3231l3947,3233,3978,3238,4008,3240,4038,3245,4068,3249,4099,3254,4129,3256,4159,3261,4190,3266,4220,3270e">
                <v:fill on="f" focussize="0,0"/>
                <v:stroke weight="0.35pt" color="#000000" miterlimit="2" endcap="round"/>
                <v:imagedata o:title=""/>
                <o:lock v:ext="edit"/>
              </v:shape>
              <v:shape id="_x0000_s1123" o:spid="_x0000_s1123" style="position:absolute;left:530;top:327;height:3413;width:4492;" fillcolor="#000000" filled="t" stroked="t" coordsize="4492,3413" path="m3,3l84,3,84,84,3,84,3,3xem492,389l573,389,573,470,492,470,492,389xem983,1266l1064,1266,1064,1347,983,1347,983,1266xem1471,1733l1553,1733,1553,1814,1471,1814,1471,1733xem1960,2280l2042,2280,2042,2361,1960,2361,1960,2280xem2449,2596l2530,2596,2530,2677,2449,2677,2449,2596xem2938,2661l3019,2661,3019,2742,2938,2742,2938,2661xem3426,3138l3508,3138,3508,3219,3426,3219,3426,3138xem3917,3266l3999,3266,3999,3347,3917,3347,3917,3266xem4406,3328l4487,3328,4487,3410,4406,3410,4406,3328xe">
                <v:fill on="t" focussize="0,0"/>
                <v:stroke weight="0.35pt" color="#000000" miterlimit="2" endcap="round"/>
                <v:imagedata o:title=""/>
                <o:lock v:ext="edit"/>
              </v:shape>
              <v:shape id="_x0000_s1124" o:spid="_x0000_s1124" style="position:absolute;left:3774;top:372;height:275;width:1278;" filled="f" stroked="t" coordsize="1278,275" path="m3,3l1274,3,1274,270,3,270,3,3m89,159l231,159m385,159l527,159e">
                <v:fill on="f" focussize="0,0"/>
                <v:stroke weight="0.35pt" color="#000000" miterlimit="2" endcap="round"/>
                <v:imagedata o:title=""/>
                <o:lock v:ext="edit"/>
              </v:shape>
              <v:shape id="_x0000_s1125" o:spid="_x0000_s1125" style="position:absolute;left:4035;top:483;height:93;width:93;" fillcolor="#000000" filled="t" stroked="t" coordsize="93,93" path="m3,3l89,3,89,89,3,89,3,3xe">
                <v:fill on="t" focussize="0,0"/>
                <v:stroke weight="0.35pt" color="#000000" miterlimit="2" endcap="round"/>
                <v:imagedata o:title=""/>
                <o:lock v:ext="edit"/>
              </v:shape>
              <v:shape id="_x0000_s1126" o:spid="_x0000_s1126" style="position:absolute;left:79;top:0;height:4022;width:5397;" filled="f" stroked="t" coordsize="5397,4022" path="m8,8l8,87m545,8l545,47m1083,8l1083,87m1623,8l1623,47m2160,8l2160,87m2698,8l2698,47m3235,8l3235,87m3773,8l3773,47m4313,8l4313,87m4850,8l4850,47m5388,8l5388,87m8,8l5388,8m5388,4014l5309,4014m5388,3614l5348,3614m5388,3212l5309,3212m5388,2812l5348,2812m5388,2412l5309,2412m5388,2012l5348,2012m5388,1610l5309,1610m5388,1210l5348,1210m5388,810l5309,810m5388,408l5348,408m5388,8l5309,8m5388,4014l5388,8e">
                <v:fill on="f" focussize="0,0"/>
                <v:stroke weight="0.81pt" color="#000000" miterlimit="2" endcap="round"/>
                <v:imagedata o:title=""/>
                <o:lock v:ext="edit"/>
              </v:shape>
            </v:group>
            <v:shape id="_x0000_s1127" o:spid="_x0000_s1127" o:spt="202" type="#_x0000_t202" style="position:absolute;left:335;top:4200;height:560;width:5057;" filled="f" stroked="f" coordsize="21600,21600">
              <v:path/>
              <v:fill on="f" focussize="0,0"/>
              <v:stroke on="f"/>
              <v:imagedata o:title=""/>
              <o:lock v:ext="edit" aspectratio="f"/>
              <v:textbox inset="0mm,0mm,0mm,0mm">
                <w:txbxContent>
                  <w:p w14:paraId="7D7C151A">
                    <w:pPr>
                      <w:spacing w:before="20" w:line="218" w:lineRule="exact"/>
                      <w:ind w:left="20"/>
                      <w:rPr>
                        <w:rFonts w:ascii="Arial" w:hAnsi="Arial" w:eastAsia="Arial" w:cs="Arial"/>
                        <w:sz w:val="16"/>
                        <w:szCs w:val="16"/>
                      </w:rPr>
                    </w:pPr>
                    <w:r>
                      <w:rPr>
                        <w:rFonts w:ascii="Arial" w:hAnsi="Arial" w:eastAsia="Arial" w:cs="Arial"/>
                        <w:spacing w:val="-2"/>
                        <w:position w:val="1"/>
                        <w:sz w:val="16"/>
                        <w:szCs w:val="16"/>
                      </w:rPr>
                      <w:t xml:space="preserve">0                    10                   20                   30                   40      </w:t>
                    </w:r>
                    <w:r>
                      <w:rPr>
                        <w:rFonts w:ascii="Arial" w:hAnsi="Arial" w:eastAsia="Arial" w:cs="Arial"/>
                        <w:spacing w:val="-3"/>
                        <w:position w:val="1"/>
                        <w:sz w:val="16"/>
                        <w:szCs w:val="16"/>
                      </w:rPr>
                      <w:t xml:space="preserve">             50</w:t>
                    </w:r>
                  </w:p>
                  <w:p w14:paraId="3006C154">
                    <w:pPr>
                      <w:spacing w:before="84" w:line="227" w:lineRule="auto"/>
                      <w:ind w:left="1500"/>
                      <w:rPr>
                        <w:rFonts w:ascii="宋体" w:hAnsi="宋体" w:eastAsia="宋体" w:cs="宋体"/>
                        <w:sz w:val="21"/>
                        <w:szCs w:val="21"/>
                      </w:rPr>
                    </w:pPr>
                    <w:r>
                      <w:rPr>
                        <w:rFonts w:ascii="宋体" w:hAnsi="宋体" w:eastAsia="宋体" w:cs="宋体"/>
                        <w:spacing w:val="6"/>
                        <w:sz w:val="21"/>
                        <w:szCs w:val="21"/>
                      </w:rPr>
                      <w:t>监测点距厂界的距离（m）</w:t>
                    </w:r>
                  </w:p>
                </w:txbxContent>
              </v:textbox>
            </v:shape>
            <v:shape id="_x0000_s1128" o:spid="_x0000_s1128" o:spt="202" type="#_x0000_t202" style="position:absolute;left:-20;top:-20;height:3956;width:302;" filled="f" stroked="f" coordsize="21600,21600">
              <v:path/>
              <v:fill on="f" focussize="0,0"/>
              <v:stroke on="f"/>
              <v:imagedata o:title=""/>
              <o:lock v:ext="edit" aspectratio="f"/>
              <v:textbox inset="0mm,0mm,0mm,0mm">
                <w:txbxContent>
                  <w:p w14:paraId="090C93E4">
                    <w:pPr>
                      <w:spacing w:before="20" w:line="218" w:lineRule="exact"/>
                      <w:ind w:left="22"/>
                      <w:rPr>
                        <w:rFonts w:ascii="Arial" w:hAnsi="Arial" w:eastAsia="Arial" w:cs="Arial"/>
                        <w:sz w:val="16"/>
                        <w:szCs w:val="16"/>
                      </w:rPr>
                    </w:pPr>
                    <w:r>
                      <w:rPr>
                        <w:rFonts w:ascii="Arial" w:hAnsi="Arial" w:eastAsia="Arial" w:cs="Arial"/>
                        <w:spacing w:val="-3"/>
                        <w:position w:val="1"/>
                        <w:sz w:val="16"/>
                        <w:szCs w:val="16"/>
                      </w:rPr>
                      <w:t>300</w:t>
                    </w:r>
                  </w:p>
                  <w:p w14:paraId="05E2C965">
                    <w:pPr>
                      <w:spacing w:line="349" w:lineRule="auto"/>
                      <w:rPr>
                        <w:rFonts w:ascii="Arial"/>
                        <w:sz w:val="21"/>
                      </w:rPr>
                    </w:pPr>
                  </w:p>
                  <w:p w14:paraId="663D0BAA">
                    <w:pPr>
                      <w:spacing w:before="46" w:line="219" w:lineRule="exact"/>
                      <w:ind w:left="20"/>
                      <w:rPr>
                        <w:rFonts w:ascii="Arial" w:hAnsi="Arial" w:eastAsia="Arial" w:cs="Arial"/>
                        <w:sz w:val="16"/>
                        <w:szCs w:val="16"/>
                      </w:rPr>
                    </w:pPr>
                    <w:r>
                      <w:rPr>
                        <w:rFonts w:ascii="Arial" w:hAnsi="Arial" w:eastAsia="Arial" w:cs="Arial"/>
                        <w:spacing w:val="-2"/>
                        <w:position w:val="1"/>
                        <w:sz w:val="16"/>
                        <w:szCs w:val="16"/>
                      </w:rPr>
                      <w:t>250</w:t>
                    </w:r>
                  </w:p>
                  <w:p w14:paraId="47EE09D2">
                    <w:pPr>
                      <w:spacing w:line="349" w:lineRule="auto"/>
                      <w:rPr>
                        <w:rFonts w:ascii="Arial"/>
                        <w:sz w:val="21"/>
                      </w:rPr>
                    </w:pPr>
                  </w:p>
                  <w:p w14:paraId="0387ED5A">
                    <w:pPr>
                      <w:spacing w:before="46" w:line="219" w:lineRule="exact"/>
                      <w:ind w:left="20"/>
                      <w:rPr>
                        <w:rFonts w:ascii="Arial" w:hAnsi="Arial" w:eastAsia="Arial" w:cs="Arial"/>
                        <w:sz w:val="16"/>
                        <w:szCs w:val="16"/>
                      </w:rPr>
                    </w:pPr>
                    <w:r>
                      <w:rPr>
                        <w:rFonts w:ascii="Arial" w:hAnsi="Arial" w:eastAsia="Arial" w:cs="Arial"/>
                        <w:spacing w:val="-2"/>
                        <w:position w:val="1"/>
                        <w:sz w:val="16"/>
                        <w:szCs w:val="16"/>
                      </w:rPr>
                      <w:t>200</w:t>
                    </w:r>
                  </w:p>
                  <w:p w14:paraId="708AFDA4">
                    <w:pPr>
                      <w:spacing w:line="349" w:lineRule="auto"/>
                      <w:rPr>
                        <w:rFonts w:ascii="Arial"/>
                        <w:sz w:val="21"/>
                      </w:rPr>
                    </w:pPr>
                  </w:p>
                  <w:p w14:paraId="55A2D630">
                    <w:pPr>
                      <w:spacing w:before="46" w:line="219" w:lineRule="exact"/>
                      <w:ind w:left="32"/>
                      <w:rPr>
                        <w:rFonts w:ascii="Arial" w:hAnsi="Arial" w:eastAsia="Arial" w:cs="Arial"/>
                        <w:sz w:val="16"/>
                        <w:szCs w:val="16"/>
                      </w:rPr>
                    </w:pPr>
                    <w:r>
                      <w:rPr>
                        <w:rFonts w:ascii="Arial" w:hAnsi="Arial" w:eastAsia="Arial" w:cs="Arial"/>
                        <w:spacing w:val="-7"/>
                        <w:position w:val="1"/>
                        <w:sz w:val="16"/>
                        <w:szCs w:val="16"/>
                      </w:rPr>
                      <w:t>150</w:t>
                    </w:r>
                  </w:p>
                  <w:p w14:paraId="044DEF8B">
                    <w:pPr>
                      <w:spacing w:line="349" w:lineRule="auto"/>
                      <w:rPr>
                        <w:rFonts w:ascii="Arial"/>
                        <w:sz w:val="21"/>
                      </w:rPr>
                    </w:pPr>
                  </w:p>
                  <w:p w14:paraId="61EEC9D9">
                    <w:pPr>
                      <w:spacing w:before="46" w:line="219" w:lineRule="exact"/>
                      <w:ind w:left="32"/>
                      <w:rPr>
                        <w:rFonts w:ascii="Arial" w:hAnsi="Arial" w:eastAsia="Arial" w:cs="Arial"/>
                        <w:sz w:val="16"/>
                        <w:szCs w:val="16"/>
                      </w:rPr>
                    </w:pPr>
                    <w:r>
                      <w:rPr>
                        <w:rFonts w:ascii="Arial" w:hAnsi="Arial" w:eastAsia="Arial" w:cs="Arial"/>
                        <w:spacing w:val="-7"/>
                        <w:position w:val="1"/>
                        <w:sz w:val="16"/>
                        <w:szCs w:val="16"/>
                      </w:rPr>
                      <w:t>100</w:t>
                    </w:r>
                  </w:p>
                  <w:p w14:paraId="3C65B181">
                    <w:pPr>
                      <w:spacing w:line="349" w:lineRule="auto"/>
                      <w:rPr>
                        <w:rFonts w:ascii="Arial"/>
                        <w:sz w:val="21"/>
                      </w:rPr>
                    </w:pPr>
                  </w:p>
                  <w:p w14:paraId="3A3E8811">
                    <w:pPr>
                      <w:spacing w:before="46" w:line="219" w:lineRule="exact"/>
                      <w:ind w:left="110"/>
                      <w:rPr>
                        <w:rFonts w:ascii="Arial" w:hAnsi="Arial" w:eastAsia="Arial" w:cs="Arial"/>
                        <w:sz w:val="16"/>
                        <w:szCs w:val="16"/>
                      </w:rPr>
                    </w:pPr>
                    <w:r>
                      <w:rPr>
                        <w:rFonts w:ascii="Arial" w:hAnsi="Arial" w:eastAsia="Arial" w:cs="Arial"/>
                        <w:spacing w:val="-4"/>
                        <w:position w:val="1"/>
                        <w:sz w:val="16"/>
                        <w:szCs w:val="16"/>
                      </w:rPr>
                      <w:t>50</w:t>
                    </w:r>
                  </w:p>
                  <w:p w14:paraId="6D8AD1D0">
                    <w:pPr>
                      <w:spacing w:line="349" w:lineRule="auto"/>
                      <w:rPr>
                        <w:rFonts w:ascii="Arial"/>
                        <w:sz w:val="21"/>
                      </w:rPr>
                    </w:pPr>
                  </w:p>
                  <w:p w14:paraId="66163D5D">
                    <w:pPr>
                      <w:spacing w:before="46" w:line="219" w:lineRule="exact"/>
                      <w:ind w:right="13"/>
                      <w:jc w:val="right"/>
                      <w:rPr>
                        <w:rFonts w:ascii="Arial" w:hAnsi="Arial" w:eastAsia="Arial" w:cs="Arial"/>
                        <w:sz w:val="16"/>
                        <w:szCs w:val="16"/>
                      </w:rPr>
                    </w:pPr>
                    <w:r>
                      <w:rPr>
                        <w:rFonts w:ascii="Arial" w:hAnsi="Arial" w:eastAsia="Arial" w:cs="Arial"/>
                        <w:position w:val="1"/>
                        <w:sz w:val="16"/>
                        <w:szCs w:val="16"/>
                      </w:rPr>
                      <w:t>0</w:t>
                    </w:r>
                  </w:p>
                </w:txbxContent>
              </v:textbox>
            </v:shape>
            <v:shape id="_x0000_s1129" o:spid="_x0000_s1129" o:spt="202" type="#_x0000_t202" style="position:absolute;left:4650;top:503;height:257;width:685;" filled="f" stroked="f" coordsize="21600,21600">
              <v:path/>
              <v:fill on="f" focussize="0,0"/>
              <v:stroke on="f"/>
              <v:imagedata o:title=""/>
              <o:lock v:ext="edit" aspectratio="f"/>
              <v:textbox inset="0mm,0mm,0mm,0mm">
                <w:txbxContent>
                  <w:p w14:paraId="250A44E4">
                    <w:pPr>
                      <w:spacing w:before="19" w:line="228" w:lineRule="auto"/>
                      <w:ind w:left="20"/>
                      <w:rPr>
                        <w:rFonts w:ascii="宋体" w:hAnsi="宋体" w:eastAsia="宋体" w:cs="宋体"/>
                        <w:sz w:val="21"/>
                        <w:szCs w:val="21"/>
                      </w:rPr>
                    </w:pPr>
                    <w:r>
                      <w:rPr>
                        <w:rFonts w:ascii="宋体" w:hAnsi="宋体" w:eastAsia="宋体" w:cs="宋体"/>
                        <w:spacing w:val="4"/>
                        <w:sz w:val="21"/>
                        <w:szCs w:val="21"/>
                      </w:rPr>
                      <w:t>监测点</w:t>
                    </w:r>
                  </w:p>
                </w:txbxContent>
              </v:textbox>
            </v:shape>
            <w10:wrap type="none"/>
            <w10:anchorlock/>
          </v:group>
        </w:pict>
      </w:r>
    </w:p>
    <w:p w14:paraId="62B05F70">
      <w:pPr>
        <w:pStyle w:val="2"/>
        <w:spacing w:before="196" w:line="228" w:lineRule="auto"/>
        <w:ind w:left="1504"/>
        <w:rPr>
          <w:sz w:val="20"/>
          <w:szCs w:val="20"/>
        </w:rPr>
      </w:pPr>
      <w:r>
        <w:rPr>
          <w:b/>
          <w:bCs/>
          <w:spacing w:val="6"/>
          <w:sz w:val="20"/>
          <w:szCs w:val="20"/>
        </w:rPr>
        <w:t>图</w:t>
      </w:r>
      <w:r>
        <w:rPr>
          <w:spacing w:val="-40"/>
          <w:sz w:val="20"/>
          <w:szCs w:val="20"/>
        </w:rPr>
        <w:t xml:space="preserve"> </w:t>
      </w:r>
      <w:r>
        <w:rPr>
          <w:rFonts w:ascii="Times New Roman" w:hAnsi="Times New Roman" w:eastAsia="Times New Roman" w:cs="Times New Roman"/>
          <w:b/>
          <w:bCs/>
          <w:spacing w:val="6"/>
          <w:sz w:val="20"/>
          <w:szCs w:val="20"/>
        </w:rPr>
        <w:t>5-2    110</w:t>
      </w:r>
      <w:r>
        <w:rPr>
          <w:rFonts w:ascii="Times New Roman" w:hAnsi="Times New Roman" w:eastAsia="Times New Roman" w:cs="Times New Roman"/>
          <w:b/>
          <w:bCs/>
          <w:sz w:val="20"/>
          <w:szCs w:val="20"/>
        </w:rPr>
        <w:t>kV</w:t>
      </w:r>
      <w:r>
        <w:rPr>
          <w:rFonts w:ascii="Times New Roman" w:hAnsi="Times New Roman" w:eastAsia="Times New Roman" w:cs="Times New Roman"/>
          <w:b/>
          <w:bCs/>
          <w:spacing w:val="6"/>
          <w:sz w:val="20"/>
          <w:szCs w:val="20"/>
        </w:rPr>
        <w:t xml:space="preserve"> </w:t>
      </w:r>
      <w:r>
        <w:rPr>
          <w:b/>
          <w:bCs/>
          <w:spacing w:val="6"/>
          <w:sz w:val="20"/>
          <w:szCs w:val="20"/>
        </w:rPr>
        <w:t>城南变电站衰减</w:t>
      </w:r>
      <w:r>
        <w:rPr>
          <w:b/>
          <w:bCs/>
          <w:spacing w:val="5"/>
          <w:sz w:val="20"/>
          <w:szCs w:val="20"/>
        </w:rPr>
        <w:t>断面工频电场强度衰减情况</w:t>
      </w:r>
    </w:p>
    <w:p w14:paraId="3965A670">
      <w:pPr>
        <w:pStyle w:val="2"/>
        <w:spacing w:before="100" w:line="4760" w:lineRule="exact"/>
        <w:ind w:firstLine="1405"/>
      </w:pPr>
      <w:r>
        <mc:AlternateContent>
          <mc:Choice Requires="wps">
            <w:drawing>
              <wp:anchor distT="0" distB="0" distL="0" distR="0" simplePos="0" relativeHeight="251719680" behindDoc="0" locked="0" layoutInCell="1" allowOverlap="1">
                <wp:simplePos x="0" y="0"/>
                <wp:positionH relativeFrom="column">
                  <wp:posOffset>21590</wp:posOffset>
                </wp:positionH>
                <wp:positionV relativeFrom="paragraph">
                  <wp:posOffset>1391285</wp:posOffset>
                </wp:positionV>
                <wp:extent cx="1472565" cy="216535"/>
                <wp:effectExtent l="0" t="0" r="0" b="0"/>
                <wp:wrapNone/>
                <wp:docPr id="166" name="TextBox 166"/>
                <wp:cNvGraphicFramePr/>
                <a:graphic xmlns:a="http://schemas.openxmlformats.org/drawingml/2006/main">
                  <a:graphicData uri="http://schemas.microsoft.com/office/word/2010/wordprocessingShape">
                    <wps:wsp>
                      <wps:cNvSpPr txBox="1"/>
                      <wps:spPr>
                        <a:xfrm rot="16200000">
                          <a:off x="21940" y="1391859"/>
                          <a:ext cx="1472564" cy="21653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4B50061">
                            <w:pPr>
                              <w:pStyle w:val="2"/>
                              <w:spacing w:before="60" w:line="229" w:lineRule="auto"/>
                              <w:ind w:left="20"/>
                              <w:rPr>
                                <w:sz w:val="21"/>
                                <w:szCs w:val="21"/>
                              </w:rPr>
                            </w:pPr>
                            <w:r>
                              <w:rPr>
                                <w:spacing w:val="-4"/>
                                <w:sz w:val="21"/>
                                <w:szCs w:val="21"/>
                              </w:rPr>
                              <w:t>工频磁感应强度</w:t>
                            </w:r>
                            <w:r>
                              <w:rPr>
                                <w:spacing w:val="25"/>
                                <w:sz w:val="21"/>
                                <w:szCs w:val="21"/>
                              </w:rPr>
                              <w:t xml:space="preserve"> </w:t>
                            </w:r>
                            <w:r>
                              <w:rPr>
                                <w:spacing w:val="-4"/>
                                <w:sz w:val="21"/>
                                <w:szCs w:val="21"/>
                              </w:rPr>
                              <w:t>( μT）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66" o:spid="_x0000_s1026" o:spt="202" type="#_x0000_t202" style="position:absolute;left:0pt;margin-left:1.7pt;margin-top:109.55pt;height:17.05pt;width:115.95pt;rotation:-5898240f;z-index:251719680;mso-width-relative:page;mso-height-relative:page;" filled="f" stroked="f" coordsize="21600,21600" o:gfxdata="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TqHbfZAAAACQEAAA8A&#10;AAAAAAAAAQAgAAAAIgAAAGRycy9kb3ducmV2LnhtbFBLAQIUABQAAAAIAIdO4kBCpbTVTwIAAKQE&#10;AAAOAAAAAAAAAAEAIAAAACgBAABkcnMvZTJvRG9jLnhtbFBLBQYAAAAABgAGAFkBAADpBQAAAAA=&#10;">
                <v:fill on="f" focussize="0,0"/>
                <v:stroke on="f" weight="0pt" miterlimit="0" joinstyle="miter"/>
                <v:imagedata o:title=""/>
                <o:lock v:ext="edit" aspectratio="f"/>
                <v:textbox inset="0mm,0mm,0mm,0mm">
                  <w:txbxContent>
                    <w:p w14:paraId="34B50061">
                      <w:pPr>
                        <w:pStyle w:val="2"/>
                        <w:spacing w:before="60" w:line="229" w:lineRule="auto"/>
                        <w:ind w:left="20"/>
                        <w:rPr>
                          <w:sz w:val="21"/>
                          <w:szCs w:val="21"/>
                        </w:rPr>
                      </w:pPr>
                      <w:r>
                        <w:rPr>
                          <w:spacing w:val="-4"/>
                          <w:sz w:val="21"/>
                          <w:szCs w:val="21"/>
                        </w:rPr>
                        <w:t>工频磁感应强度</w:t>
                      </w:r>
                      <w:r>
                        <w:rPr>
                          <w:spacing w:val="25"/>
                          <w:sz w:val="21"/>
                          <w:szCs w:val="21"/>
                        </w:rPr>
                        <w:t xml:space="preserve"> </w:t>
                      </w:r>
                      <w:r>
                        <w:rPr>
                          <w:spacing w:val="-4"/>
                          <w:sz w:val="21"/>
                          <w:szCs w:val="21"/>
                        </w:rPr>
                        <w:t>( μT）</w:t>
                      </w:r>
                    </w:p>
                  </w:txbxContent>
                </v:textbox>
              </v:shape>
            </w:pict>
          </mc:Fallback>
        </mc:AlternateContent>
      </w:r>
      <w:r>
        <w:rPr>
          <w:position w:val="-95"/>
        </w:rPr>
        <w:pict>
          <v:group id="_x0000_s1130" o:spid="_x0000_s1130" o:spt="203" style="height:238pt;width:292.35pt;" coordsize="5847,4760">
            <o:lock v:ext="edit"/>
            <v:group id="_x0000_s1131" o:spid="_x0000_s1131" o:spt="203" style="position:absolute;left:349;top:112;height:4117;width:5497;" coordsize="5497,4117">
              <o:lock v:ext="edit"/>
              <v:shape id="_x0000_s1132" o:spid="_x0000_s1132" style="position:absolute;left:0;top:0;height:4117;width:5497;" filled="f" stroked="t" coordsize="5497,4117" path="m87,4109l87,4029m578,4069l578,4029m1068,4109l1068,4029m1561,4069l1561,4029m2052,4109l2052,4029m2542,4069l2542,4029m3033,4109l3033,4029m3523,4069l3523,4029m4014,4109l4014,4029m4507,4069l4507,4029m4997,4109l4997,4029m5488,4069l5488,4029m87,4029l5488,4029m47,4029l87,4029m8,3794l87,3794m47,3556l87,3556m8,3320l87,3320m47,3084l87,3084m8,2846l87,2846m47,2610l87,2610m8,2375l87,2375m47,2136l87,2136m8,1901l87,1901m47,1663l87,1663m8,1427l87,1427m47,1191l87,1191m8,953l87,953m47,717l87,717m8,481l87,481m47,243l87,243m8,8l87,8m87,4029l87,8e">
                <v:fill on="f" focussize="0,0"/>
                <v:stroke weight="0.82pt" color="#000000" miterlimit="2" endcap="round"/>
                <v:imagedata o:title=""/>
                <o:lock v:ext="edit"/>
              </v:shape>
              <v:shape id="_x0000_s1133" o:spid="_x0000_s1133" style="position:absolute;left:635;top:548;height:3057;width:4301;" filled="f" stroked="t" coordsize="4301,3057" path="m3,3l33,52,64,99,94,148,124,194,155,241,185,288,216,332,246,376,276,421,307,463,337,503,367,542m494,692l524,724,554,755,585,783,615,811,645,839,676,862,706,888,737,911,767,934,797,955,828,976,858,997m986,1077l1017,1095,1047,1112,1078,1130,1108,1147,1138,1163,1169,1179,1199,1196,1229,1212,1260,1228,1290,1245,1320,1261,1351,1277m1477,1350l1507,1366,1538,1385,1568,1401,1598,1420,1629,1436,1659,1455,1690,1474,1720,1490,1750,1509,1781,1525,1811,1544,1841,1560m1998,1646l2028,1665,2059,1681,2089,1698,2119,1714,2150,1730,2180,1747,2210,1763,2241,1779,2271,1798,2302,1814,2332,1833m2458,1912l2488,1931,2519,1952,2549,1973,2580,1994,2610,2015,2640,2036,2671,2057,2701,2078,2731,2099,2762,2120,2792,2141,2823,2160m2949,2244l2979,2262,3009,2281,3040,2297,3070,2316,3101,2335,3131,2354,3161,2372,3192,2389,3222,2407,3252,2426,3283,2445,3313,2463m3439,2545l3470,2566,3500,2587,3530,2608,3561,2629,3591,2650,3621,2671,3652,2692,3682,2713,3713,2734,3743,2755,3773,2774,3804,2795m3932,2872l3962,2890,3993,2907,4023,2923,4054,2939,4084,2953,4114,2970,4145,2984,4175,2998,4205,3012,4236,3026,4266,3040,4297,3054e">
                <v:fill on="f" focussize="0,0"/>
                <v:stroke weight="0.35pt" color="#000000" miterlimit="2" endcap="round"/>
                <v:imagedata o:title=""/>
                <o:lock v:ext="edit"/>
              </v:shape>
              <v:shape id="_x0000_s1134" o:spid="_x0000_s1134" style="position:absolute;left:532;top:408;height:3267;width:4508;" fillcolor="#000000" filled="t" stroked="t" coordsize="4508,3267" path="m3,3l85,3,85,85,3,85,3,3xem494,722l575,722,575,804,494,804,494,722xem986,1137l1068,1137,1068,1219,986,1219,986,1137xem1477,1413l1559,1413,1559,1495,1477,1495,1477,1413xem1968,1695l2049,1695,2049,1777,1968,1777,1968,1695xem2458,1971l2540,1971,2540,2052,2458,2052,2458,1971xem2949,2302l3030,2302,3030,2384,2949,2384,2949,2302xem3439,2603l3521,2603,3521,2685,3439,2685,3439,2603xem3932,2935l4014,2935,4014,3016,3932,3016,3932,2935xem4423,3182l4504,3182,4504,3264,4423,3264,4423,3182xe">
                <v:fill on="t" focussize="0,0"/>
                <v:stroke weight="0.35pt" color="#000000" miterlimit="2" endcap="round"/>
                <v:imagedata o:title=""/>
                <o:lock v:ext="edit"/>
              </v:shape>
              <v:shape id="_x0000_s1135" o:spid="_x0000_s1135" style="position:absolute;left:3814;top:277;height:281;width:1308;" filled="f" stroked="t" coordsize="1308,281" path="m3,3l1304,3,1304,276,3,276,3,3m108,164l251,164m405,164l547,164e">
                <v:fill on="f" focussize="0,0"/>
                <v:stroke weight="0.35pt" color="#000000" miterlimit="2" endcap="round"/>
                <v:imagedata o:title=""/>
                <o:lock v:ext="edit"/>
              </v:shape>
              <v:shape id="_x0000_s1136" o:spid="_x0000_s1136" style="position:absolute;left:4094;top:394;height:93;width:93;" fillcolor="#000000" filled="t" stroked="t" coordsize="93,93" path="m3,3l89,3,89,89,3,89,3,3xe">
                <v:fill on="t" focussize="0,0"/>
                <v:stroke weight="0.35pt" color="#000000" miterlimit="2" endcap="round"/>
                <v:imagedata o:title=""/>
                <o:lock v:ext="edit"/>
              </v:shape>
              <v:shape id="_x0000_s1137" o:spid="_x0000_s1137" style="position:absolute;left:79;top:0;height:4038;width:5417;" filled="f" stroked="t" coordsize="5417,4038" path="m8,8l8,87m547,8l547,47m1087,8l1087,87m1629,8l1629,47m2168,8l2168,87m2708,8l2708,47m3248,8l3248,87m3787,8l3787,47m4329,8l4329,87m4869,8l4869,47m5408,8l5408,87m8,8l5408,8m5408,4029l5329,4029m5408,3628l5369,3628m5408,3224l5329,3224m5408,2823l5369,2823m5408,2421l5329,2421m5408,2020l5369,2020m5408,1616l5329,1616m5408,1214l5369,1214m5408,813l5329,813m5408,409l5369,409m5408,8l5329,8m5408,4029l5408,8e">
                <v:fill on="f" focussize="0,0"/>
                <v:stroke weight="0.82pt" color="#000000" miterlimit="2" endcap="round"/>
                <v:imagedata o:title=""/>
                <o:lock v:ext="edit"/>
              </v:shape>
            </v:group>
            <v:shape id="_x0000_s1138" o:spid="_x0000_s1138" o:spt="202" type="#_x0000_t202" style="position:absolute;left:379;top:4216;height:564;width:5077;" filled="f" stroked="f" coordsize="21600,21600">
              <v:path/>
              <v:fill on="f" focussize="0,0"/>
              <v:stroke on="f"/>
              <v:imagedata o:title=""/>
              <o:lock v:ext="edit" aspectratio="f"/>
              <v:textbox inset="0mm,0mm,0mm,0mm">
                <w:txbxContent>
                  <w:p w14:paraId="024A7EEC">
                    <w:pPr>
                      <w:spacing w:before="20" w:line="220" w:lineRule="exact"/>
                      <w:ind w:left="20"/>
                      <w:rPr>
                        <w:rFonts w:ascii="Arial" w:hAnsi="Arial" w:eastAsia="Arial" w:cs="Arial"/>
                        <w:sz w:val="16"/>
                        <w:szCs w:val="16"/>
                      </w:rPr>
                    </w:pPr>
                    <w:r>
                      <w:rPr>
                        <w:rFonts w:ascii="Arial" w:hAnsi="Arial" w:eastAsia="Arial" w:cs="Arial"/>
                        <w:spacing w:val="-2"/>
                        <w:position w:val="1"/>
                        <w:sz w:val="16"/>
                        <w:szCs w:val="16"/>
                      </w:rPr>
                      <w:t>0                    10                   20                   30                   40                   50</w:t>
                    </w:r>
                  </w:p>
                  <w:p w14:paraId="48C4EE55">
                    <w:pPr>
                      <w:spacing w:before="82" w:line="229" w:lineRule="auto"/>
                      <w:ind w:left="1506"/>
                      <w:rPr>
                        <w:rFonts w:ascii="宋体" w:hAnsi="宋体" w:eastAsia="宋体" w:cs="宋体"/>
                        <w:sz w:val="21"/>
                        <w:szCs w:val="21"/>
                      </w:rPr>
                    </w:pPr>
                    <w:r>
                      <w:rPr>
                        <w:rFonts w:ascii="宋体" w:hAnsi="宋体" w:eastAsia="宋体" w:cs="宋体"/>
                        <w:spacing w:val="7"/>
                        <w:sz w:val="21"/>
                        <w:szCs w:val="21"/>
                      </w:rPr>
                      <w:t>监测点距厂界的距离（m）</w:t>
                    </w:r>
                  </w:p>
                </w:txbxContent>
              </v:textbox>
            </v:shape>
            <v:shape id="_x0000_s1139" o:spid="_x0000_s1139" o:spt="202" type="#_x0000_t202" style="position:absolute;left:-20;top:-20;height:4047;width:345;" filled="f" stroked="f" coordsize="21600,21600">
              <v:path/>
              <v:fill on="f" focussize="0,0"/>
              <v:stroke on="f"/>
              <v:imagedata o:title=""/>
              <o:lock v:ext="edit" aspectratio="f"/>
              <v:textbox inset="0mm,0mm,0mm,0mm">
                <w:txbxContent>
                  <w:p w14:paraId="258FC0A3">
                    <w:pPr>
                      <w:spacing w:before="22" w:line="616" w:lineRule="auto"/>
                      <w:ind w:left="20" w:right="20"/>
                      <w:rPr>
                        <w:rFonts w:ascii="Arial" w:hAnsi="Arial" w:eastAsia="Arial" w:cs="Arial"/>
                        <w:sz w:val="16"/>
                        <w:szCs w:val="16"/>
                      </w:rPr>
                    </w:pPr>
                    <w:r>
                      <w:rPr>
                        <w:rFonts w:ascii="Arial" w:hAnsi="Arial" w:eastAsia="Arial" w:cs="Arial"/>
                        <w:spacing w:val="-2"/>
                        <w:sz w:val="16"/>
                        <w:szCs w:val="16"/>
                      </w:rPr>
                      <w:t>0.50</w:t>
                    </w:r>
                    <w:r>
                      <w:rPr>
                        <w:rFonts w:ascii="Arial" w:hAnsi="Arial" w:eastAsia="Arial" w:cs="Arial"/>
                        <w:sz w:val="16"/>
                        <w:szCs w:val="16"/>
                      </w:rPr>
                      <w:t xml:space="preserve"> </w:t>
                    </w:r>
                    <w:r>
                      <w:rPr>
                        <w:rFonts w:ascii="Arial" w:hAnsi="Arial" w:eastAsia="Arial" w:cs="Arial"/>
                        <w:spacing w:val="-2"/>
                        <w:sz w:val="16"/>
                        <w:szCs w:val="16"/>
                      </w:rPr>
                      <w:t>0.45</w:t>
                    </w:r>
                    <w:r>
                      <w:rPr>
                        <w:rFonts w:ascii="Arial" w:hAnsi="Arial" w:eastAsia="Arial" w:cs="Arial"/>
                        <w:sz w:val="16"/>
                        <w:szCs w:val="16"/>
                      </w:rPr>
                      <w:t xml:space="preserve"> </w:t>
                    </w:r>
                    <w:r>
                      <w:rPr>
                        <w:rFonts w:ascii="Arial" w:hAnsi="Arial" w:eastAsia="Arial" w:cs="Arial"/>
                        <w:spacing w:val="-2"/>
                        <w:sz w:val="16"/>
                        <w:szCs w:val="16"/>
                      </w:rPr>
                      <w:t>0.40</w:t>
                    </w:r>
                    <w:r>
                      <w:rPr>
                        <w:rFonts w:ascii="Arial" w:hAnsi="Arial" w:eastAsia="Arial" w:cs="Arial"/>
                        <w:sz w:val="16"/>
                        <w:szCs w:val="16"/>
                      </w:rPr>
                      <w:t xml:space="preserve"> </w:t>
                    </w:r>
                    <w:r>
                      <w:rPr>
                        <w:rFonts w:ascii="Arial" w:hAnsi="Arial" w:eastAsia="Arial" w:cs="Arial"/>
                        <w:spacing w:val="-2"/>
                        <w:sz w:val="16"/>
                        <w:szCs w:val="16"/>
                      </w:rPr>
                      <w:t>0.35</w:t>
                    </w:r>
                    <w:r>
                      <w:rPr>
                        <w:rFonts w:ascii="Arial" w:hAnsi="Arial" w:eastAsia="Arial" w:cs="Arial"/>
                        <w:sz w:val="16"/>
                        <w:szCs w:val="16"/>
                      </w:rPr>
                      <w:t xml:space="preserve"> </w:t>
                    </w:r>
                    <w:r>
                      <w:rPr>
                        <w:rFonts w:ascii="Arial" w:hAnsi="Arial" w:eastAsia="Arial" w:cs="Arial"/>
                        <w:spacing w:val="-2"/>
                        <w:sz w:val="16"/>
                        <w:szCs w:val="16"/>
                      </w:rPr>
                      <w:t>0.30</w:t>
                    </w:r>
                    <w:r>
                      <w:rPr>
                        <w:rFonts w:ascii="Arial" w:hAnsi="Arial" w:eastAsia="Arial" w:cs="Arial"/>
                        <w:sz w:val="16"/>
                        <w:szCs w:val="16"/>
                      </w:rPr>
                      <w:t xml:space="preserve"> </w:t>
                    </w:r>
                    <w:r>
                      <w:rPr>
                        <w:rFonts w:ascii="Arial" w:hAnsi="Arial" w:eastAsia="Arial" w:cs="Arial"/>
                        <w:spacing w:val="-2"/>
                        <w:sz w:val="16"/>
                        <w:szCs w:val="16"/>
                      </w:rPr>
                      <w:t>0.25</w:t>
                    </w:r>
                    <w:r>
                      <w:rPr>
                        <w:rFonts w:ascii="Arial" w:hAnsi="Arial" w:eastAsia="Arial" w:cs="Arial"/>
                        <w:sz w:val="16"/>
                        <w:szCs w:val="16"/>
                      </w:rPr>
                      <w:t xml:space="preserve"> </w:t>
                    </w:r>
                    <w:r>
                      <w:rPr>
                        <w:rFonts w:ascii="Arial" w:hAnsi="Arial" w:eastAsia="Arial" w:cs="Arial"/>
                        <w:spacing w:val="-2"/>
                        <w:sz w:val="16"/>
                        <w:szCs w:val="16"/>
                      </w:rPr>
                      <w:t>0.20</w:t>
                    </w:r>
                    <w:r>
                      <w:rPr>
                        <w:rFonts w:ascii="Arial" w:hAnsi="Arial" w:eastAsia="Arial" w:cs="Arial"/>
                        <w:sz w:val="16"/>
                        <w:szCs w:val="16"/>
                      </w:rPr>
                      <w:t xml:space="preserve"> </w:t>
                    </w:r>
                    <w:r>
                      <w:rPr>
                        <w:rFonts w:ascii="Arial" w:hAnsi="Arial" w:eastAsia="Arial" w:cs="Arial"/>
                        <w:spacing w:val="-2"/>
                        <w:sz w:val="16"/>
                        <w:szCs w:val="16"/>
                      </w:rPr>
                      <w:t>0.15</w:t>
                    </w:r>
                  </w:p>
                  <w:p w14:paraId="7F373BD1">
                    <w:pPr>
                      <w:spacing w:before="5" w:line="220" w:lineRule="exact"/>
                      <w:ind w:left="20"/>
                      <w:rPr>
                        <w:rFonts w:ascii="Arial" w:hAnsi="Arial" w:eastAsia="Arial" w:cs="Arial"/>
                        <w:sz w:val="16"/>
                        <w:szCs w:val="16"/>
                      </w:rPr>
                    </w:pPr>
                    <w:r>
                      <w:rPr>
                        <w:rFonts w:ascii="Arial" w:hAnsi="Arial" w:eastAsia="Arial" w:cs="Arial"/>
                        <w:spacing w:val="-2"/>
                        <w:position w:val="1"/>
                        <w:sz w:val="16"/>
                        <w:szCs w:val="16"/>
                      </w:rPr>
                      <w:t>0.10</w:t>
                    </w:r>
                  </w:p>
                </w:txbxContent>
              </v:textbox>
            </v:shape>
            <v:shape id="_x0000_s1140" o:spid="_x0000_s1140" o:spt="202" type="#_x0000_t202" style="position:absolute;left:4755;top:413;height:260;width:690;" filled="f" stroked="f" coordsize="21600,21600">
              <v:path/>
              <v:fill on="f" focussize="0,0"/>
              <v:stroke on="f"/>
              <v:imagedata o:title=""/>
              <o:lock v:ext="edit" aspectratio="f"/>
              <v:textbox inset="0mm,0mm,0mm,0mm">
                <w:txbxContent>
                  <w:p w14:paraId="039A89D1">
                    <w:pPr>
                      <w:spacing w:before="19" w:line="230" w:lineRule="auto"/>
                      <w:ind w:left="20"/>
                      <w:rPr>
                        <w:rFonts w:ascii="宋体" w:hAnsi="宋体" w:eastAsia="宋体" w:cs="宋体"/>
                        <w:sz w:val="21"/>
                        <w:szCs w:val="21"/>
                      </w:rPr>
                    </w:pPr>
                    <w:r>
                      <w:rPr>
                        <w:rFonts w:ascii="宋体" w:hAnsi="宋体" w:eastAsia="宋体" w:cs="宋体"/>
                        <w:spacing w:val="6"/>
                        <w:sz w:val="21"/>
                        <w:szCs w:val="21"/>
                      </w:rPr>
                      <w:t>监测点</w:t>
                    </w:r>
                  </w:p>
                </w:txbxContent>
              </v:textbox>
            </v:shape>
            <w10:wrap type="none"/>
            <w10:anchorlock/>
          </v:group>
        </w:pict>
      </w:r>
    </w:p>
    <w:p w14:paraId="570BAC5F">
      <w:pPr>
        <w:pStyle w:val="2"/>
        <w:spacing w:before="196" w:line="228" w:lineRule="auto"/>
        <w:ind w:left="1398"/>
        <w:rPr>
          <w:sz w:val="20"/>
          <w:szCs w:val="20"/>
        </w:rPr>
      </w:pPr>
      <w:r>
        <w:rPr>
          <w:b/>
          <w:bCs/>
          <w:spacing w:val="6"/>
          <w:sz w:val="20"/>
          <w:szCs w:val="20"/>
        </w:rPr>
        <w:t>图</w:t>
      </w:r>
      <w:r>
        <w:rPr>
          <w:spacing w:val="-37"/>
          <w:sz w:val="20"/>
          <w:szCs w:val="20"/>
        </w:rPr>
        <w:t xml:space="preserve"> </w:t>
      </w:r>
      <w:r>
        <w:rPr>
          <w:rFonts w:ascii="Times New Roman" w:hAnsi="Times New Roman" w:eastAsia="Times New Roman" w:cs="Times New Roman"/>
          <w:b/>
          <w:bCs/>
          <w:spacing w:val="6"/>
          <w:sz w:val="20"/>
          <w:szCs w:val="20"/>
        </w:rPr>
        <w:t>5-3    110</w:t>
      </w:r>
      <w:r>
        <w:rPr>
          <w:rFonts w:ascii="Times New Roman" w:hAnsi="Times New Roman" w:eastAsia="Times New Roman" w:cs="Times New Roman"/>
          <w:b/>
          <w:bCs/>
          <w:sz w:val="20"/>
          <w:szCs w:val="20"/>
        </w:rPr>
        <w:t>kV</w:t>
      </w:r>
      <w:r>
        <w:rPr>
          <w:rFonts w:ascii="Times New Roman" w:hAnsi="Times New Roman" w:eastAsia="Times New Roman" w:cs="Times New Roman"/>
          <w:b/>
          <w:bCs/>
          <w:spacing w:val="6"/>
          <w:sz w:val="20"/>
          <w:szCs w:val="20"/>
        </w:rPr>
        <w:t xml:space="preserve"> </w:t>
      </w:r>
      <w:r>
        <w:rPr>
          <w:b/>
          <w:bCs/>
          <w:spacing w:val="6"/>
          <w:sz w:val="20"/>
          <w:szCs w:val="20"/>
        </w:rPr>
        <w:t>城南变电站衰减断面工频</w:t>
      </w:r>
      <w:r>
        <w:rPr>
          <w:b/>
          <w:bCs/>
          <w:spacing w:val="5"/>
          <w:sz w:val="20"/>
          <w:szCs w:val="20"/>
        </w:rPr>
        <w:t>磁感应强度衰减情况</w:t>
      </w:r>
    </w:p>
    <w:p w14:paraId="4BAB8558">
      <w:pPr>
        <w:spacing w:line="228" w:lineRule="auto"/>
        <w:rPr>
          <w:sz w:val="20"/>
          <w:szCs w:val="20"/>
        </w:rPr>
        <w:sectPr>
          <w:footerReference r:id="rId178" w:type="default"/>
          <w:pgSz w:w="11906" w:h="16839"/>
          <w:pgMar w:top="400" w:right="1785" w:bottom="1147" w:left="1785" w:header="0" w:footer="960" w:gutter="0"/>
          <w:cols w:space="720" w:num="1"/>
        </w:sectPr>
      </w:pPr>
    </w:p>
    <w:p w14:paraId="269FC212">
      <w:pPr>
        <w:spacing w:line="266" w:lineRule="auto"/>
        <w:rPr>
          <w:rFonts w:ascii="Arial"/>
          <w:sz w:val="21"/>
        </w:rPr>
      </w:pPr>
    </w:p>
    <w:p w14:paraId="12F85FB1">
      <w:pPr>
        <w:spacing w:line="266" w:lineRule="auto"/>
        <w:rPr>
          <w:rFonts w:ascii="Arial"/>
          <w:sz w:val="21"/>
        </w:rPr>
      </w:pPr>
    </w:p>
    <w:p w14:paraId="213D152D">
      <w:pPr>
        <w:spacing w:line="267" w:lineRule="auto"/>
        <w:rPr>
          <w:rFonts w:ascii="Arial"/>
          <w:sz w:val="21"/>
        </w:rPr>
      </w:pPr>
    </w:p>
    <w:p w14:paraId="3619E829">
      <w:pPr>
        <w:spacing w:line="267" w:lineRule="auto"/>
        <w:rPr>
          <w:rFonts w:ascii="Arial"/>
          <w:sz w:val="21"/>
        </w:rPr>
      </w:pPr>
    </w:p>
    <w:p w14:paraId="2257BF37">
      <w:pPr>
        <w:pStyle w:val="2"/>
        <w:spacing w:before="78" w:line="360" w:lineRule="auto"/>
        <w:ind w:left="24" w:right="13" w:firstLine="484"/>
        <w:jc w:val="both"/>
        <w:rPr>
          <w:sz w:val="24"/>
          <w:szCs w:val="24"/>
        </w:rPr>
      </w:pPr>
      <w:r>
        <w:rPr>
          <w:spacing w:val="1"/>
          <w:sz w:val="24"/>
          <w:szCs w:val="24"/>
        </w:rPr>
        <w:t>结合本工程对拟建站址现状监测报告，拟建</w:t>
      </w:r>
      <w:r>
        <w:rPr>
          <w:spacing w:val="-17"/>
          <w:sz w:val="24"/>
          <w:szCs w:val="24"/>
        </w:rPr>
        <w:t xml:space="preserve"> </w:t>
      </w:r>
      <w:r>
        <w:rPr>
          <w:rFonts w:ascii="Times New Roman" w:hAnsi="Times New Roman" w:eastAsia="Times New Roman" w:cs="Times New Roman"/>
          <w:spacing w:val="1"/>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松山变电站站址四周工</w:t>
      </w:r>
      <w:r>
        <w:rPr>
          <w:sz w:val="24"/>
          <w:szCs w:val="24"/>
        </w:rPr>
        <w:t>频电场强度在</w:t>
      </w:r>
      <w:r>
        <w:rPr>
          <w:spacing w:val="-47"/>
          <w:sz w:val="24"/>
          <w:szCs w:val="24"/>
        </w:rPr>
        <w:t xml:space="preserve"> </w:t>
      </w:r>
      <w:r>
        <w:rPr>
          <w:rFonts w:ascii="Times New Roman" w:hAnsi="Times New Roman" w:eastAsia="Times New Roman" w:cs="Times New Roman"/>
          <w:sz w:val="24"/>
          <w:szCs w:val="24"/>
        </w:rPr>
        <w:t xml:space="preserve">0.45~0.46V/m </w:t>
      </w:r>
      <w:r>
        <w:rPr>
          <w:sz w:val="24"/>
          <w:szCs w:val="24"/>
        </w:rPr>
        <w:t>之间，工频磁感应强度在</w:t>
      </w:r>
      <w:r>
        <w:rPr>
          <w:spacing w:val="-51"/>
          <w:sz w:val="24"/>
          <w:szCs w:val="24"/>
        </w:rPr>
        <w:t xml:space="preserve"> </w:t>
      </w:r>
      <w:r>
        <w:rPr>
          <w:rFonts w:ascii="Times New Roman" w:hAnsi="Times New Roman" w:eastAsia="Times New Roman" w:cs="Times New Roman"/>
          <w:sz w:val="24"/>
          <w:szCs w:val="24"/>
        </w:rPr>
        <w:t>0.0252~0.0248</w:t>
      </w:r>
      <w:r>
        <w:rPr>
          <w:sz w:val="24"/>
          <w:szCs w:val="24"/>
        </w:rPr>
        <w:t>μ</w:t>
      </w:r>
      <w:r>
        <w:rPr>
          <w:rFonts w:ascii="Times New Roman" w:hAnsi="Times New Roman" w:eastAsia="Times New Roman" w:cs="Times New Roman"/>
          <w:sz w:val="24"/>
          <w:szCs w:val="24"/>
        </w:rPr>
        <w:t xml:space="preserve">T </w:t>
      </w:r>
      <w:r>
        <w:rPr>
          <w:sz w:val="24"/>
          <w:szCs w:val="24"/>
        </w:rPr>
        <w:t>之间，</w:t>
      </w:r>
      <w:r>
        <w:rPr>
          <w:spacing w:val="1"/>
          <w:sz w:val="24"/>
          <w:szCs w:val="24"/>
        </w:rPr>
        <w:t>小于类比对象工频电场强度、工频磁感应强度监测值。通过类比</w:t>
      </w:r>
      <w:r>
        <w:rPr>
          <w:spacing w:val="-14"/>
          <w:sz w:val="24"/>
          <w:szCs w:val="24"/>
        </w:rPr>
        <w:t xml:space="preserve"> </w:t>
      </w:r>
      <w:r>
        <w:rPr>
          <w:rFonts w:ascii="Times New Roman" w:hAnsi="Times New Roman" w:eastAsia="Times New Roman" w:cs="Times New Roman"/>
          <w:spacing w:val="1"/>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城南变</w:t>
      </w:r>
      <w:r>
        <w:rPr>
          <w:spacing w:val="-3"/>
          <w:sz w:val="24"/>
          <w:szCs w:val="24"/>
        </w:rPr>
        <w:t>电站，</w:t>
      </w:r>
      <w:r>
        <w:rPr>
          <w:rFonts w:ascii="Times New Roman" w:hAnsi="Times New Roman" w:eastAsia="Times New Roman" w:cs="Times New Roman"/>
          <w:spacing w:val="-3"/>
          <w:sz w:val="24"/>
          <w:szCs w:val="24"/>
        </w:rPr>
        <w:t xml:space="preserve">110kV </w:t>
      </w:r>
      <w:r>
        <w:rPr>
          <w:spacing w:val="-3"/>
          <w:sz w:val="24"/>
          <w:szCs w:val="24"/>
        </w:rPr>
        <w:t>松山变电站按本期规模建成投运后，其围墙外的工频电场强度将小</w:t>
      </w:r>
      <w:r>
        <w:rPr>
          <w:spacing w:val="-4"/>
          <w:sz w:val="24"/>
          <w:szCs w:val="24"/>
        </w:rPr>
        <w:t>于</w:t>
      </w:r>
      <w:r>
        <w:rPr>
          <w:spacing w:val="-44"/>
          <w:sz w:val="24"/>
          <w:szCs w:val="24"/>
        </w:rPr>
        <w:t xml:space="preserve"> </w:t>
      </w:r>
      <w:r>
        <w:rPr>
          <w:rFonts w:ascii="Times New Roman" w:hAnsi="Times New Roman" w:eastAsia="Times New Roman" w:cs="Times New Roman"/>
          <w:spacing w:val="-4"/>
          <w:sz w:val="24"/>
          <w:szCs w:val="24"/>
        </w:rPr>
        <w:t>4000V/m</w:t>
      </w:r>
      <w:r>
        <w:rPr>
          <w:spacing w:val="-4"/>
          <w:sz w:val="24"/>
          <w:szCs w:val="24"/>
        </w:rPr>
        <w:t>，工频磁感应强度远小于</w:t>
      </w:r>
      <w:r>
        <w:rPr>
          <w:spacing w:val="-32"/>
          <w:sz w:val="24"/>
          <w:szCs w:val="24"/>
        </w:rPr>
        <w:t xml:space="preserve"> </w:t>
      </w:r>
      <w:r>
        <w:rPr>
          <w:rFonts w:ascii="Times New Roman" w:hAnsi="Times New Roman" w:eastAsia="Times New Roman" w:cs="Times New Roman"/>
          <w:spacing w:val="-4"/>
          <w:sz w:val="24"/>
          <w:szCs w:val="24"/>
        </w:rPr>
        <w:t>100μT</w:t>
      </w:r>
      <w:r>
        <w:rPr>
          <w:rFonts w:ascii="Times New Roman" w:hAnsi="Times New Roman" w:eastAsia="Times New Roman" w:cs="Times New Roman"/>
          <w:spacing w:val="-31"/>
          <w:sz w:val="24"/>
          <w:szCs w:val="24"/>
        </w:rPr>
        <w:t xml:space="preserve"> </w:t>
      </w:r>
      <w:r>
        <w:rPr>
          <w:spacing w:val="-4"/>
          <w:sz w:val="24"/>
          <w:szCs w:val="24"/>
        </w:rPr>
        <w:t>，电磁环境均能满足《电磁环境控制</w:t>
      </w:r>
      <w:r>
        <w:rPr>
          <w:spacing w:val="-1"/>
          <w:sz w:val="24"/>
          <w:szCs w:val="24"/>
        </w:rPr>
        <w:t>限值》（</w:t>
      </w:r>
      <w:r>
        <w:rPr>
          <w:rFonts w:ascii="Times New Roman" w:hAnsi="Times New Roman" w:eastAsia="Times New Roman" w:cs="Times New Roman"/>
          <w:spacing w:val="-1"/>
          <w:sz w:val="24"/>
          <w:szCs w:val="24"/>
        </w:rPr>
        <w:t>GB</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pacing w:val="-1"/>
          <w:sz w:val="24"/>
          <w:szCs w:val="24"/>
        </w:rPr>
        <w:t>8702-2014</w:t>
      </w:r>
      <w:r>
        <w:rPr>
          <w:spacing w:val="-1"/>
          <w:sz w:val="24"/>
          <w:szCs w:val="24"/>
        </w:rPr>
        <w:t>）评价标准的限值要</w:t>
      </w:r>
      <w:r>
        <w:rPr>
          <w:spacing w:val="-2"/>
          <w:sz w:val="24"/>
          <w:szCs w:val="24"/>
        </w:rPr>
        <w:t>求。</w:t>
      </w:r>
    </w:p>
    <w:p w14:paraId="0FEC4FDD">
      <w:pPr>
        <w:pStyle w:val="2"/>
        <w:spacing w:before="331" w:line="219" w:lineRule="auto"/>
        <w:ind w:left="24"/>
        <w:rPr>
          <w:sz w:val="30"/>
          <w:szCs w:val="30"/>
        </w:rPr>
      </w:pPr>
      <w:r>
        <w:rPr>
          <w:rFonts w:ascii="Times New Roman" w:hAnsi="Times New Roman" w:eastAsia="Times New Roman" w:cs="Times New Roman"/>
          <w:b/>
          <w:bCs/>
          <w:spacing w:val="-3"/>
          <w:sz w:val="30"/>
          <w:szCs w:val="30"/>
        </w:rPr>
        <w:t xml:space="preserve">5.2  </w:t>
      </w:r>
      <w:r>
        <w:rPr>
          <w:b/>
          <w:bCs/>
          <w:spacing w:val="-3"/>
          <w:sz w:val="30"/>
          <w:szCs w:val="30"/>
        </w:rPr>
        <w:t>架空输电线路电磁环境影响预测分析</w:t>
      </w:r>
    </w:p>
    <w:p w14:paraId="13DECD5B">
      <w:pPr>
        <w:spacing w:line="421" w:lineRule="auto"/>
        <w:rPr>
          <w:rFonts w:ascii="Arial"/>
          <w:sz w:val="21"/>
        </w:rPr>
      </w:pPr>
    </w:p>
    <w:p w14:paraId="4E6C4E50">
      <w:pPr>
        <w:pStyle w:val="2"/>
        <w:spacing w:before="78" w:line="219" w:lineRule="auto"/>
        <w:ind w:left="22"/>
        <w:rPr>
          <w:sz w:val="24"/>
          <w:szCs w:val="24"/>
        </w:rPr>
      </w:pPr>
      <w:r>
        <w:rPr>
          <w:rFonts w:ascii="Times New Roman" w:hAnsi="Times New Roman" w:eastAsia="Times New Roman" w:cs="Times New Roman"/>
          <w:b/>
          <w:bCs/>
          <w:spacing w:val="-2"/>
          <w:sz w:val="24"/>
          <w:szCs w:val="24"/>
        </w:rPr>
        <w:t xml:space="preserve">5.2.1  </w:t>
      </w:r>
      <w:r>
        <w:rPr>
          <w:b/>
          <w:bCs/>
          <w:spacing w:val="-2"/>
          <w:sz w:val="24"/>
          <w:szCs w:val="24"/>
        </w:rPr>
        <w:t>新建架空输电线路电磁环境影响理论预测</w:t>
      </w:r>
    </w:p>
    <w:p w14:paraId="792DDB0F">
      <w:pPr>
        <w:spacing w:line="381" w:lineRule="auto"/>
        <w:rPr>
          <w:rFonts w:ascii="Arial"/>
          <w:sz w:val="21"/>
        </w:rPr>
      </w:pPr>
    </w:p>
    <w:p w14:paraId="3E6EAACC">
      <w:pPr>
        <w:pStyle w:val="2"/>
        <w:spacing w:before="78" w:line="219" w:lineRule="auto"/>
        <w:ind w:left="22"/>
        <w:rPr>
          <w:sz w:val="24"/>
          <w:szCs w:val="24"/>
        </w:rPr>
      </w:pPr>
      <w:r>
        <w:rPr>
          <w:rFonts w:ascii="Times New Roman" w:hAnsi="Times New Roman" w:eastAsia="Times New Roman" w:cs="Times New Roman"/>
          <w:b/>
          <w:bCs/>
          <w:spacing w:val="-2"/>
          <w:sz w:val="24"/>
          <w:szCs w:val="24"/>
        </w:rPr>
        <w:t xml:space="preserve">5.2.1.1  </w:t>
      </w:r>
      <w:r>
        <w:rPr>
          <w:b/>
          <w:bCs/>
          <w:spacing w:val="-2"/>
          <w:sz w:val="24"/>
          <w:szCs w:val="24"/>
        </w:rPr>
        <w:t>架空输电线路工频电场预测模型</w:t>
      </w:r>
    </w:p>
    <w:p w14:paraId="33BAF278">
      <w:pPr>
        <w:spacing w:line="314" w:lineRule="auto"/>
        <w:rPr>
          <w:rFonts w:ascii="Arial"/>
          <w:sz w:val="21"/>
        </w:rPr>
      </w:pPr>
    </w:p>
    <w:p w14:paraId="06DD998F">
      <w:pPr>
        <w:pStyle w:val="2"/>
        <w:spacing w:before="78" w:line="359" w:lineRule="auto"/>
        <w:ind w:left="24" w:right="13" w:firstLine="480"/>
        <w:rPr>
          <w:sz w:val="24"/>
          <w:szCs w:val="24"/>
        </w:rPr>
      </w:pPr>
      <w:r>
        <w:rPr>
          <w:spacing w:val="-3"/>
          <w:sz w:val="24"/>
          <w:szCs w:val="24"/>
        </w:rPr>
        <w:t>本工程输电线路的工频电场、工频磁场影响预测计算将根据《</w:t>
      </w:r>
      <w:r>
        <w:rPr>
          <w:spacing w:val="-4"/>
          <w:sz w:val="24"/>
          <w:szCs w:val="24"/>
        </w:rPr>
        <w:t>环境影响评价</w:t>
      </w:r>
      <w:r>
        <w:rPr>
          <w:spacing w:val="-1"/>
          <w:sz w:val="24"/>
          <w:szCs w:val="24"/>
        </w:rPr>
        <w:t>技术导则 输变电》（</w:t>
      </w:r>
      <w:r>
        <w:rPr>
          <w:rFonts w:ascii="Times New Roman" w:hAnsi="Times New Roman" w:eastAsia="Times New Roman" w:cs="Times New Roman"/>
          <w:spacing w:val="-1"/>
          <w:sz w:val="24"/>
          <w:szCs w:val="24"/>
        </w:rPr>
        <w:t>HJ24-2020</w:t>
      </w:r>
      <w:r>
        <w:rPr>
          <w:spacing w:val="-1"/>
          <w:sz w:val="24"/>
          <w:szCs w:val="24"/>
        </w:rPr>
        <w:t>）附录</w:t>
      </w:r>
      <w:r>
        <w:rPr>
          <w:spacing w:val="-52"/>
          <w:sz w:val="24"/>
          <w:szCs w:val="24"/>
        </w:rPr>
        <w:t xml:space="preserve"> </w:t>
      </w:r>
      <w:r>
        <w:rPr>
          <w:rFonts w:ascii="Times New Roman" w:hAnsi="Times New Roman" w:eastAsia="Times New Roman" w:cs="Times New Roman"/>
          <w:spacing w:val="-1"/>
          <w:sz w:val="24"/>
          <w:szCs w:val="24"/>
        </w:rPr>
        <w:t>C</w:t>
      </w:r>
      <w:r>
        <w:rPr>
          <w:rFonts w:ascii="Times New Roman" w:hAnsi="Times New Roman" w:eastAsia="Times New Roman" w:cs="Times New Roman"/>
          <w:spacing w:val="-33"/>
          <w:sz w:val="24"/>
          <w:szCs w:val="24"/>
        </w:rPr>
        <w:t xml:space="preserve"> </w:t>
      </w:r>
      <w:r>
        <w:rPr>
          <w:spacing w:val="-1"/>
          <w:sz w:val="24"/>
          <w:szCs w:val="24"/>
        </w:rPr>
        <w:t>、</w:t>
      </w:r>
      <w:r>
        <w:rPr>
          <w:rFonts w:ascii="Times New Roman" w:hAnsi="Times New Roman" w:eastAsia="Times New Roman" w:cs="Times New Roman"/>
          <w:spacing w:val="-2"/>
          <w:sz w:val="24"/>
          <w:szCs w:val="24"/>
        </w:rPr>
        <w:t xml:space="preserve">D </w:t>
      </w:r>
      <w:r>
        <w:rPr>
          <w:spacing w:val="-2"/>
          <w:sz w:val="24"/>
          <w:szCs w:val="24"/>
        </w:rPr>
        <w:t>推荐的计算模式进行。</w:t>
      </w:r>
    </w:p>
    <w:p w14:paraId="2B78C592">
      <w:pPr>
        <w:pStyle w:val="2"/>
        <w:spacing w:line="218" w:lineRule="auto"/>
        <w:ind w:left="522"/>
        <w:rPr>
          <w:sz w:val="24"/>
          <w:szCs w:val="24"/>
        </w:rPr>
      </w:pPr>
      <w:r>
        <w:rPr>
          <w:rFonts w:ascii="Times New Roman" w:hAnsi="Times New Roman" w:eastAsia="Times New Roman" w:cs="Times New Roman"/>
          <w:spacing w:val="1"/>
          <w:sz w:val="24"/>
          <w:szCs w:val="24"/>
        </w:rPr>
        <w:t>1</w:t>
      </w:r>
      <w:r>
        <w:rPr>
          <w:spacing w:val="1"/>
          <w:sz w:val="24"/>
          <w:szCs w:val="24"/>
        </w:rPr>
        <w:t>）高压交流架空输电线路下空间工频电场强度的计算（附录</w:t>
      </w:r>
      <w:r>
        <w:rPr>
          <w:rFonts w:ascii="Times New Roman" w:hAnsi="Times New Roman" w:eastAsia="Times New Roman" w:cs="Times New Roman"/>
          <w:spacing w:val="1"/>
          <w:sz w:val="24"/>
          <w:szCs w:val="24"/>
        </w:rPr>
        <w:t>C</w:t>
      </w:r>
      <w:r>
        <w:rPr>
          <w:spacing w:val="1"/>
          <w:sz w:val="24"/>
          <w:szCs w:val="24"/>
        </w:rPr>
        <w:t>）</w:t>
      </w:r>
    </w:p>
    <w:p w14:paraId="54AA2E56">
      <w:pPr>
        <w:pStyle w:val="2"/>
        <w:spacing w:before="184" w:line="217" w:lineRule="auto"/>
        <w:ind w:left="502"/>
        <w:rPr>
          <w:sz w:val="24"/>
          <w:szCs w:val="24"/>
        </w:rPr>
      </w:pPr>
      <w:r>
        <w:rPr>
          <w:spacing w:val="-1"/>
          <w:sz w:val="24"/>
          <w:szCs w:val="24"/>
        </w:rPr>
        <w:t>①单位长度导线上等效电荷的计算</w:t>
      </w:r>
    </w:p>
    <w:p w14:paraId="4DF8AA07">
      <w:pPr>
        <w:pStyle w:val="2"/>
        <w:spacing w:before="183" w:line="359" w:lineRule="auto"/>
        <w:ind w:left="22" w:right="13" w:firstLine="487"/>
        <w:rPr>
          <w:sz w:val="24"/>
          <w:szCs w:val="24"/>
        </w:rPr>
      </w:pPr>
      <w:r>
        <w:rPr>
          <w:spacing w:val="-3"/>
          <w:sz w:val="24"/>
          <w:szCs w:val="24"/>
        </w:rPr>
        <w:t>高压输电线上的等效电荷是线电荷，由于高压输电线半径</w:t>
      </w:r>
      <w:r>
        <w:rPr>
          <w:spacing w:val="-42"/>
          <w:sz w:val="24"/>
          <w:szCs w:val="24"/>
        </w:rPr>
        <w:t xml:space="preserve"> </w:t>
      </w:r>
      <w:r>
        <w:rPr>
          <w:rFonts w:ascii="Times New Roman" w:hAnsi="Times New Roman" w:eastAsia="Times New Roman" w:cs="Times New Roman"/>
          <w:i/>
          <w:iCs/>
          <w:spacing w:val="-3"/>
          <w:sz w:val="24"/>
          <w:szCs w:val="24"/>
        </w:rPr>
        <w:t xml:space="preserve">r </w:t>
      </w:r>
      <w:r>
        <w:rPr>
          <w:spacing w:val="-3"/>
          <w:sz w:val="24"/>
          <w:szCs w:val="24"/>
        </w:rPr>
        <w:t>远远小于架设高</w:t>
      </w:r>
      <w:r>
        <w:rPr>
          <w:spacing w:val="-2"/>
          <w:sz w:val="24"/>
          <w:szCs w:val="24"/>
        </w:rPr>
        <w:t>度</w:t>
      </w:r>
      <w:r>
        <w:rPr>
          <w:spacing w:val="-43"/>
          <w:sz w:val="24"/>
          <w:szCs w:val="24"/>
        </w:rPr>
        <w:t xml:space="preserve"> </w:t>
      </w:r>
      <w:r>
        <w:rPr>
          <w:rFonts w:ascii="Times New Roman" w:hAnsi="Times New Roman" w:eastAsia="Times New Roman" w:cs="Times New Roman"/>
          <w:i/>
          <w:iCs/>
          <w:spacing w:val="-2"/>
          <w:sz w:val="24"/>
          <w:szCs w:val="24"/>
        </w:rPr>
        <w:t>h</w:t>
      </w:r>
      <w:r>
        <w:rPr>
          <w:rFonts w:ascii="Times New Roman" w:hAnsi="Times New Roman" w:eastAsia="Times New Roman" w:cs="Times New Roman"/>
          <w:i/>
          <w:iCs/>
          <w:spacing w:val="-31"/>
          <w:sz w:val="24"/>
          <w:szCs w:val="24"/>
        </w:rPr>
        <w:t xml:space="preserve"> </w:t>
      </w:r>
      <w:r>
        <w:rPr>
          <w:spacing w:val="-2"/>
          <w:sz w:val="24"/>
          <w:szCs w:val="24"/>
        </w:rPr>
        <w:t>，所以等效电荷的位置可以认为是在输电导线的几何中心。</w:t>
      </w:r>
    </w:p>
    <w:p w14:paraId="5B7E39B7">
      <w:pPr>
        <w:pStyle w:val="2"/>
        <w:spacing w:before="1" w:line="359" w:lineRule="auto"/>
        <w:ind w:left="22" w:right="13" w:firstLine="484"/>
        <w:rPr>
          <w:sz w:val="24"/>
          <w:szCs w:val="24"/>
        </w:rPr>
      </w:pPr>
      <w:r>
        <w:rPr>
          <w:spacing w:val="-3"/>
          <w:sz w:val="24"/>
          <w:szCs w:val="24"/>
        </w:rPr>
        <w:t>设输电线路为无限长并且平行于地面，地面可视为良导</w:t>
      </w:r>
      <w:r>
        <w:rPr>
          <w:spacing w:val="-4"/>
          <w:sz w:val="24"/>
          <w:szCs w:val="24"/>
        </w:rPr>
        <w:t>体，利用镜像法计算</w:t>
      </w:r>
      <w:r>
        <w:rPr>
          <w:spacing w:val="-1"/>
          <w:sz w:val="24"/>
          <w:szCs w:val="24"/>
        </w:rPr>
        <w:t>输电线上的等效电荷。</w:t>
      </w:r>
    </w:p>
    <w:p w14:paraId="78282054">
      <w:pPr>
        <w:pStyle w:val="2"/>
        <w:spacing w:line="219" w:lineRule="auto"/>
        <w:ind w:left="506"/>
        <w:rPr>
          <w:sz w:val="24"/>
          <w:szCs w:val="24"/>
        </w:rPr>
      </w:pPr>
      <w:r>
        <w:rPr>
          <w:spacing w:val="-1"/>
          <w:sz w:val="24"/>
          <w:szCs w:val="24"/>
        </w:rPr>
        <w:t>为了计算多导线线路中导线上的等效电荷，可写出下列矩阵方程：</w:t>
      </w:r>
    </w:p>
    <w:p w14:paraId="67F7E3C6">
      <w:pPr>
        <w:pStyle w:val="2"/>
        <w:spacing w:before="146" w:line="260" w:lineRule="auto"/>
        <w:ind w:left="1362"/>
        <w:rPr>
          <w:sz w:val="24"/>
          <w:szCs w:val="24"/>
        </w:rPr>
      </w:pPr>
      <w:r>
        <w:rPr>
          <w:sz w:val="24"/>
          <w:szCs w:val="24"/>
        </w:rPr>
        <w:drawing>
          <wp:inline distT="0" distB="0" distL="0" distR="0">
            <wp:extent cx="2239645" cy="705485"/>
            <wp:effectExtent l="0" t="0" r="0" b="0"/>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r:embed="rId283"/>
                    <a:stretch>
                      <a:fillRect/>
                    </a:stretch>
                  </pic:blipFill>
                  <pic:spPr>
                    <a:xfrm>
                      <a:off x="0" y="0"/>
                      <a:ext cx="2240279" cy="705611"/>
                    </a:xfrm>
                    <a:prstGeom prst="rect">
                      <a:avLst/>
                    </a:prstGeom>
                  </pic:spPr>
                </pic:pic>
              </a:graphicData>
            </a:graphic>
          </wp:inline>
        </w:drawing>
      </w:r>
      <w:r>
        <w:rPr>
          <w:spacing w:val="29"/>
          <w:sz w:val="24"/>
          <w:szCs w:val="24"/>
        </w:rPr>
        <w:t xml:space="preserve"> </w:t>
      </w:r>
      <w:r>
        <w:rPr>
          <w:spacing w:val="10"/>
          <w:sz w:val="24"/>
          <w:szCs w:val="24"/>
          <w:u w:val="single" w:color="auto"/>
        </w:rPr>
        <w:t xml:space="preserve">         </w:t>
      </w:r>
      <w:r>
        <w:rPr>
          <w:spacing w:val="-6"/>
          <w:sz w:val="24"/>
          <w:szCs w:val="24"/>
        </w:rPr>
        <w:t>（</w:t>
      </w:r>
      <w:r>
        <w:rPr>
          <w:rFonts w:ascii="Times New Roman" w:hAnsi="Times New Roman" w:eastAsia="Times New Roman" w:cs="Times New Roman"/>
          <w:spacing w:val="-6"/>
          <w:sz w:val="26"/>
          <w:szCs w:val="26"/>
        </w:rPr>
        <w:t>C1</w:t>
      </w:r>
      <w:r>
        <w:rPr>
          <w:spacing w:val="-6"/>
          <w:sz w:val="24"/>
          <w:szCs w:val="24"/>
        </w:rPr>
        <w:t>）</w:t>
      </w:r>
    </w:p>
    <w:p w14:paraId="316174A0">
      <w:pPr>
        <w:pStyle w:val="2"/>
        <w:spacing w:before="165" w:line="219" w:lineRule="auto"/>
        <w:ind w:left="508"/>
        <w:rPr>
          <w:sz w:val="24"/>
          <w:szCs w:val="24"/>
        </w:rPr>
      </w:pPr>
      <w:r>
        <w:rPr>
          <w:spacing w:val="-1"/>
          <w:sz w:val="24"/>
          <w:szCs w:val="24"/>
        </w:rPr>
        <w:t>式中：</w:t>
      </w:r>
      <w:r>
        <w:rPr>
          <w:rFonts w:ascii="Times New Roman" w:hAnsi="Times New Roman" w:eastAsia="Times New Roman" w:cs="Times New Roman"/>
          <w:i/>
          <w:iCs/>
          <w:spacing w:val="-1"/>
          <w:sz w:val="24"/>
          <w:szCs w:val="24"/>
        </w:rPr>
        <w:t>U</w:t>
      </w:r>
      <w:r>
        <w:rPr>
          <w:rFonts w:ascii="Times New Roman" w:hAnsi="Times New Roman" w:eastAsia="Times New Roman" w:cs="Times New Roman"/>
          <w:spacing w:val="-1"/>
          <w:sz w:val="24"/>
          <w:szCs w:val="24"/>
        </w:rPr>
        <w:t>——</w:t>
      </w:r>
      <w:r>
        <w:rPr>
          <w:spacing w:val="-1"/>
          <w:sz w:val="24"/>
          <w:szCs w:val="24"/>
        </w:rPr>
        <w:t>各导线对地电压的单列矩阵；</w:t>
      </w:r>
    </w:p>
    <w:p w14:paraId="3BA85A20">
      <w:pPr>
        <w:pStyle w:val="2"/>
        <w:spacing w:before="180" w:line="212" w:lineRule="auto"/>
        <w:ind w:left="1225"/>
        <w:rPr>
          <w:sz w:val="24"/>
          <w:szCs w:val="24"/>
        </w:rPr>
      </w:pPr>
      <w:r>
        <w:rPr>
          <w:rFonts w:ascii="Times New Roman" w:hAnsi="Times New Roman" w:eastAsia="Times New Roman" w:cs="Times New Roman"/>
          <w:i/>
          <w:iCs/>
          <w:spacing w:val="-1"/>
          <w:sz w:val="24"/>
          <w:szCs w:val="24"/>
        </w:rPr>
        <w:t>Q</w:t>
      </w:r>
      <w:r>
        <w:rPr>
          <w:rFonts w:ascii="Times New Roman" w:hAnsi="Times New Roman" w:eastAsia="Times New Roman" w:cs="Times New Roman"/>
          <w:spacing w:val="-1"/>
          <w:sz w:val="24"/>
          <w:szCs w:val="24"/>
        </w:rPr>
        <w:t>——</w:t>
      </w:r>
      <w:r>
        <w:rPr>
          <w:spacing w:val="-1"/>
          <w:sz w:val="24"/>
          <w:szCs w:val="24"/>
        </w:rPr>
        <w:t>各导线上等效电荷的单列矩阵；</w:t>
      </w:r>
    </w:p>
    <w:p w14:paraId="6358D86E">
      <w:pPr>
        <w:pStyle w:val="2"/>
        <w:spacing w:before="153" w:line="319" w:lineRule="exact"/>
        <w:ind w:left="1206"/>
        <w:rPr>
          <w:sz w:val="24"/>
          <w:szCs w:val="24"/>
        </w:rPr>
      </w:pPr>
      <w:r>
        <w:rPr>
          <w:rFonts w:ascii="Times New Roman" w:hAnsi="Times New Roman" w:eastAsia="Times New Roman" w:cs="Times New Roman"/>
          <w:i/>
          <w:iCs/>
          <w:spacing w:val="1"/>
          <w:position w:val="1"/>
          <w:sz w:val="24"/>
          <w:szCs w:val="24"/>
        </w:rPr>
        <w:t>λ</w:t>
      </w:r>
      <w:r>
        <w:rPr>
          <w:rFonts w:ascii="Times New Roman" w:hAnsi="Times New Roman" w:eastAsia="Times New Roman" w:cs="Times New Roman"/>
          <w:spacing w:val="1"/>
          <w:position w:val="1"/>
          <w:sz w:val="24"/>
          <w:szCs w:val="24"/>
        </w:rPr>
        <w:t>——</w:t>
      </w:r>
      <w:r>
        <w:rPr>
          <w:spacing w:val="1"/>
          <w:position w:val="1"/>
          <w:sz w:val="24"/>
          <w:szCs w:val="24"/>
        </w:rPr>
        <w:t>各导线的电位系数组成的</w:t>
      </w:r>
      <w:r>
        <w:rPr>
          <w:spacing w:val="-42"/>
          <w:position w:val="1"/>
          <w:sz w:val="24"/>
          <w:szCs w:val="24"/>
        </w:rPr>
        <w:t xml:space="preserve"> </w:t>
      </w:r>
      <w:r>
        <w:rPr>
          <w:rFonts w:ascii="Times New Roman" w:hAnsi="Times New Roman" w:eastAsia="Times New Roman" w:cs="Times New Roman"/>
          <w:i/>
          <w:iCs/>
          <w:spacing w:val="1"/>
          <w:position w:val="1"/>
          <w:sz w:val="24"/>
          <w:szCs w:val="24"/>
        </w:rPr>
        <w:t>m</w:t>
      </w:r>
      <w:r>
        <w:rPr>
          <w:rFonts w:ascii="Times New Roman" w:hAnsi="Times New Roman" w:eastAsia="Times New Roman" w:cs="Times New Roman"/>
          <w:i/>
          <w:iCs/>
          <w:spacing w:val="19"/>
          <w:position w:val="1"/>
          <w:sz w:val="24"/>
          <w:szCs w:val="24"/>
        </w:rPr>
        <w:t xml:space="preserve"> </w:t>
      </w:r>
      <w:r>
        <w:rPr>
          <w:spacing w:val="1"/>
          <w:position w:val="1"/>
          <w:sz w:val="24"/>
          <w:szCs w:val="24"/>
        </w:rPr>
        <w:t>阶方阵（</w:t>
      </w:r>
      <w:r>
        <w:rPr>
          <w:rFonts w:ascii="Times New Roman" w:hAnsi="Times New Roman" w:eastAsia="Times New Roman" w:cs="Times New Roman"/>
          <w:i/>
          <w:iCs/>
          <w:spacing w:val="1"/>
          <w:position w:val="1"/>
          <w:sz w:val="24"/>
          <w:szCs w:val="24"/>
        </w:rPr>
        <w:t>m</w:t>
      </w:r>
      <w:r>
        <w:rPr>
          <w:spacing w:val="1"/>
          <w:position w:val="1"/>
          <w:sz w:val="24"/>
          <w:szCs w:val="24"/>
        </w:rPr>
        <w:t>为导线数目）。</w:t>
      </w:r>
    </w:p>
    <w:p w14:paraId="2B77F216">
      <w:pPr>
        <w:pStyle w:val="2"/>
        <w:spacing w:before="190" w:line="353" w:lineRule="auto"/>
        <w:ind w:left="23" w:right="66" w:firstLine="490"/>
        <w:rPr>
          <w:sz w:val="24"/>
          <w:szCs w:val="24"/>
        </w:rPr>
      </w:pPr>
      <w:r>
        <w:rPr>
          <w:rFonts w:ascii="Times New Roman" w:hAnsi="Times New Roman" w:eastAsia="Times New Roman" w:cs="Times New Roman"/>
          <w:spacing w:val="-1"/>
          <w:sz w:val="24"/>
          <w:szCs w:val="24"/>
        </w:rPr>
        <w:t>[</w:t>
      </w:r>
      <w:r>
        <w:rPr>
          <w:rFonts w:ascii="Times New Roman" w:hAnsi="Times New Roman" w:eastAsia="Times New Roman" w:cs="Times New Roman"/>
          <w:i/>
          <w:iCs/>
          <w:spacing w:val="-1"/>
          <w:sz w:val="24"/>
          <w:szCs w:val="24"/>
        </w:rPr>
        <w:t>U</w:t>
      </w:r>
      <w:r>
        <w:rPr>
          <w:rFonts w:ascii="Times New Roman" w:hAnsi="Times New Roman" w:eastAsia="Times New Roman" w:cs="Times New Roman"/>
          <w:spacing w:val="-1"/>
          <w:sz w:val="24"/>
          <w:szCs w:val="24"/>
        </w:rPr>
        <w:t>]</w:t>
      </w:r>
      <w:r>
        <w:rPr>
          <w:spacing w:val="-1"/>
          <w:sz w:val="24"/>
          <w:szCs w:val="24"/>
        </w:rPr>
        <w:t>矩阵可由送电线的电压和相位确定，从环境保</w:t>
      </w:r>
      <w:r>
        <w:rPr>
          <w:spacing w:val="-2"/>
          <w:sz w:val="24"/>
          <w:szCs w:val="24"/>
        </w:rPr>
        <w:t>护考虑以额定电压的</w:t>
      </w:r>
      <w:r>
        <w:rPr>
          <w:spacing w:val="-32"/>
          <w:sz w:val="24"/>
          <w:szCs w:val="24"/>
        </w:rPr>
        <w:t xml:space="preserve"> </w:t>
      </w:r>
      <w:r>
        <w:rPr>
          <w:rFonts w:ascii="Times New Roman" w:hAnsi="Times New Roman" w:eastAsia="Times New Roman" w:cs="Times New Roman"/>
          <w:spacing w:val="-2"/>
          <w:sz w:val="24"/>
          <w:szCs w:val="24"/>
        </w:rPr>
        <w:t>1.05</w:t>
      </w:r>
      <w:r>
        <w:rPr>
          <w:spacing w:val="-2"/>
          <w:sz w:val="24"/>
          <w:szCs w:val="24"/>
        </w:rPr>
        <w:t>倍作为计算电压。</w:t>
      </w:r>
    </w:p>
    <w:p w14:paraId="2B72F1C5">
      <w:pPr>
        <w:pStyle w:val="2"/>
        <w:spacing w:before="15" w:line="210" w:lineRule="auto"/>
        <w:ind w:left="513"/>
        <w:rPr>
          <w:sz w:val="24"/>
          <w:szCs w:val="24"/>
        </w:rPr>
      </w:pPr>
      <w:r>
        <w:rPr>
          <w:rFonts w:ascii="Times New Roman" w:hAnsi="Times New Roman" w:eastAsia="Times New Roman" w:cs="Times New Roman"/>
          <w:spacing w:val="-1"/>
          <w:sz w:val="24"/>
          <w:szCs w:val="24"/>
        </w:rPr>
        <w:t>[λ]</w:t>
      </w:r>
      <w:r>
        <w:rPr>
          <w:spacing w:val="-1"/>
          <w:sz w:val="24"/>
          <w:szCs w:val="24"/>
        </w:rPr>
        <w:t>矩阵由镜像原理求得。地面为电位等于零的平面，地面的感应电荷可由</w:t>
      </w:r>
    </w:p>
    <w:p w14:paraId="57141A5F">
      <w:pPr>
        <w:spacing w:line="210" w:lineRule="auto"/>
        <w:rPr>
          <w:sz w:val="24"/>
          <w:szCs w:val="24"/>
        </w:rPr>
        <w:sectPr>
          <w:footerReference r:id="rId179" w:type="default"/>
          <w:pgSz w:w="11906" w:h="16839"/>
          <w:pgMar w:top="400" w:right="1785" w:bottom="1147" w:left="1785" w:header="0" w:footer="960" w:gutter="0"/>
          <w:cols w:space="720" w:num="1"/>
        </w:sectPr>
      </w:pPr>
    </w:p>
    <w:p w14:paraId="05CAA3A0">
      <w:pPr>
        <w:spacing w:line="247" w:lineRule="auto"/>
        <w:rPr>
          <w:rFonts w:ascii="Arial"/>
          <w:sz w:val="21"/>
        </w:rPr>
      </w:pPr>
    </w:p>
    <w:p w14:paraId="06022AA9">
      <w:pPr>
        <w:spacing w:line="247" w:lineRule="auto"/>
        <w:rPr>
          <w:rFonts w:ascii="Arial"/>
          <w:sz w:val="21"/>
        </w:rPr>
      </w:pPr>
    </w:p>
    <w:p w14:paraId="594A886E">
      <w:pPr>
        <w:spacing w:line="247" w:lineRule="auto"/>
        <w:rPr>
          <w:rFonts w:ascii="Arial"/>
          <w:sz w:val="21"/>
        </w:rPr>
      </w:pPr>
    </w:p>
    <w:p w14:paraId="37BF1FE9">
      <w:pPr>
        <w:spacing w:line="248" w:lineRule="auto"/>
        <w:rPr>
          <w:rFonts w:ascii="Arial"/>
          <w:sz w:val="21"/>
        </w:rPr>
      </w:pPr>
    </w:p>
    <w:p w14:paraId="15C0EDFE">
      <w:pPr>
        <w:pStyle w:val="2"/>
        <w:spacing w:before="78" w:line="346" w:lineRule="auto"/>
        <w:ind w:left="22" w:right="13"/>
        <w:rPr>
          <w:sz w:val="24"/>
          <w:szCs w:val="24"/>
        </w:rPr>
      </w:pPr>
      <w:r>
        <w:rPr>
          <w:spacing w:val="-8"/>
          <w:sz w:val="24"/>
          <w:szCs w:val="24"/>
        </w:rPr>
        <w:t>对应地面导线的镜像电荷代替，用</w:t>
      </w:r>
      <w:r>
        <w:rPr>
          <w:spacing w:val="-50"/>
          <w:sz w:val="24"/>
          <w:szCs w:val="24"/>
        </w:rPr>
        <w:t xml:space="preserve"> </w:t>
      </w:r>
      <w:r>
        <w:rPr>
          <w:rFonts w:ascii="Times New Roman" w:hAnsi="Times New Roman" w:eastAsia="Times New Roman" w:cs="Times New Roman"/>
          <w:i/>
          <w:iCs/>
          <w:spacing w:val="-8"/>
          <w:sz w:val="24"/>
          <w:szCs w:val="24"/>
        </w:rPr>
        <w:t>i</w:t>
      </w:r>
      <w:r>
        <w:rPr>
          <w:spacing w:val="-8"/>
          <w:sz w:val="24"/>
          <w:szCs w:val="24"/>
        </w:rPr>
        <w:t>，</w:t>
      </w:r>
      <w:r>
        <w:rPr>
          <w:rFonts w:ascii="Times New Roman" w:hAnsi="Times New Roman" w:eastAsia="Times New Roman" w:cs="Times New Roman"/>
          <w:i/>
          <w:iCs/>
          <w:spacing w:val="-8"/>
          <w:sz w:val="24"/>
          <w:szCs w:val="24"/>
        </w:rPr>
        <w:t>j</w:t>
      </w:r>
      <w:r>
        <w:rPr>
          <w:spacing w:val="-8"/>
          <w:sz w:val="24"/>
          <w:szCs w:val="24"/>
        </w:rPr>
        <w:t>，</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9"/>
          <w:sz w:val="24"/>
          <w:szCs w:val="24"/>
        </w:rPr>
        <w:t xml:space="preserve"> </w:t>
      </w:r>
      <w:r>
        <w:rPr>
          <w:spacing w:val="-9"/>
          <w:sz w:val="24"/>
          <w:szCs w:val="24"/>
        </w:rPr>
        <w:t>表示相互平行的实际导线，用</w:t>
      </w:r>
      <w:r>
        <w:rPr>
          <w:spacing w:val="-49"/>
          <w:sz w:val="24"/>
          <w:szCs w:val="24"/>
        </w:rPr>
        <w:t xml:space="preserve"> </w:t>
      </w:r>
      <w:r>
        <w:rPr>
          <w:rFonts w:ascii="Times New Roman" w:hAnsi="Times New Roman" w:eastAsia="Times New Roman" w:cs="Times New Roman"/>
          <w:i/>
          <w:iCs/>
          <w:spacing w:val="-9"/>
          <w:sz w:val="24"/>
          <w:szCs w:val="24"/>
        </w:rPr>
        <w:t>i</w:t>
      </w:r>
      <w:r>
        <w:rPr>
          <w:rFonts w:ascii="Times New Roman" w:hAnsi="Times New Roman" w:eastAsia="Times New Roman" w:cs="Times New Roman"/>
          <w:spacing w:val="-9"/>
          <w:sz w:val="24"/>
          <w:szCs w:val="24"/>
        </w:rPr>
        <w:t>,</w:t>
      </w:r>
      <w:r>
        <w:rPr>
          <w:spacing w:val="-9"/>
          <w:sz w:val="24"/>
          <w:szCs w:val="24"/>
        </w:rPr>
        <w:t>，</w:t>
      </w:r>
      <w:r>
        <w:rPr>
          <w:rFonts w:ascii="Times New Roman" w:hAnsi="Times New Roman" w:eastAsia="Times New Roman" w:cs="Times New Roman"/>
          <w:i/>
          <w:iCs/>
          <w:spacing w:val="-9"/>
          <w:sz w:val="24"/>
          <w:szCs w:val="24"/>
        </w:rPr>
        <w:t>j</w:t>
      </w:r>
      <w:r>
        <w:rPr>
          <w:rFonts w:ascii="Times New Roman" w:hAnsi="Times New Roman" w:eastAsia="Times New Roman" w:cs="Times New Roman"/>
          <w:spacing w:val="-9"/>
          <w:sz w:val="24"/>
          <w:szCs w:val="24"/>
        </w:rPr>
        <w:t>,</w:t>
      </w:r>
      <w:r>
        <w:rPr>
          <w:spacing w:val="-9"/>
          <w:sz w:val="24"/>
          <w:szCs w:val="24"/>
        </w:rPr>
        <w:t>，</w:t>
      </w:r>
      <w:r>
        <w:rPr>
          <w:rFonts w:ascii="Times New Roman" w:hAnsi="Times New Roman" w:eastAsia="Times New Roman" w:cs="Times New Roman"/>
          <w:spacing w:val="-9"/>
          <w:sz w:val="24"/>
          <w:szCs w:val="24"/>
        </w:rPr>
        <w:t>...</w:t>
      </w:r>
      <w:r>
        <w:rPr>
          <w:spacing w:val="-1"/>
          <w:sz w:val="24"/>
          <w:szCs w:val="24"/>
        </w:rPr>
        <w:t>表示它们的镜像，电位系数可写为：</w:t>
      </w:r>
    </w:p>
    <w:p w14:paraId="400F9399">
      <w:pPr>
        <w:pStyle w:val="2"/>
        <w:spacing w:line="260" w:lineRule="auto"/>
        <w:ind w:left="2414"/>
        <w:rPr>
          <w:sz w:val="24"/>
          <w:szCs w:val="24"/>
        </w:rPr>
      </w:pPr>
      <w:r>
        <w:rPr>
          <w:sz w:val="24"/>
          <w:szCs w:val="24"/>
        </w:rPr>
        <w:drawing>
          <wp:inline distT="0" distB="0" distL="0" distR="0">
            <wp:extent cx="903605" cy="286385"/>
            <wp:effectExtent l="0" t="0" r="0" b="0"/>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r:embed="rId284"/>
                    <a:stretch>
                      <a:fillRect/>
                    </a:stretch>
                  </pic:blipFill>
                  <pic:spPr>
                    <a:xfrm>
                      <a:off x="0" y="0"/>
                      <a:ext cx="903732" cy="286511"/>
                    </a:xfrm>
                    <a:prstGeom prst="rect">
                      <a:avLst/>
                    </a:prstGeom>
                  </pic:spPr>
                </pic:pic>
              </a:graphicData>
            </a:graphic>
          </wp:inline>
        </w:drawing>
      </w:r>
      <w:r>
        <w:rPr>
          <w:spacing w:val="31"/>
          <w:sz w:val="24"/>
          <w:szCs w:val="24"/>
        </w:rPr>
        <w:t xml:space="preserve"> </w:t>
      </w:r>
      <w:r>
        <w:rPr>
          <w:spacing w:val="9"/>
          <w:sz w:val="24"/>
          <w:szCs w:val="24"/>
          <w:u w:val="single" w:color="auto"/>
        </w:rPr>
        <w:t xml:space="preserve">         </w:t>
      </w:r>
      <w:r>
        <w:rPr>
          <w:sz w:val="24"/>
          <w:szCs w:val="24"/>
        </w:rPr>
        <w:t>（</w:t>
      </w:r>
      <w:r>
        <w:rPr>
          <w:rFonts w:ascii="Times New Roman" w:hAnsi="Times New Roman" w:eastAsia="Times New Roman" w:cs="Times New Roman"/>
          <w:sz w:val="24"/>
          <w:szCs w:val="24"/>
        </w:rPr>
        <w:t>C2</w:t>
      </w:r>
      <w:r>
        <w:rPr>
          <w:sz w:val="24"/>
          <w:szCs w:val="24"/>
        </w:rPr>
        <w:t>）</w:t>
      </w:r>
    </w:p>
    <w:p w14:paraId="47D97B53">
      <w:pPr>
        <w:pStyle w:val="2"/>
        <w:spacing w:before="127" w:line="260" w:lineRule="auto"/>
        <w:ind w:left="2416"/>
        <w:rPr>
          <w:sz w:val="24"/>
          <w:szCs w:val="24"/>
        </w:rPr>
      </w:pPr>
      <w:r>
        <w:rPr>
          <w:sz w:val="24"/>
          <w:szCs w:val="24"/>
        </w:rPr>
        <w:drawing>
          <wp:inline distT="0" distB="0" distL="0" distR="0">
            <wp:extent cx="903605" cy="314960"/>
            <wp:effectExtent l="0" t="0" r="0" b="0"/>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r:embed="rId285"/>
                    <a:stretch>
                      <a:fillRect/>
                    </a:stretch>
                  </pic:blipFill>
                  <pic:spPr>
                    <a:xfrm>
                      <a:off x="0" y="0"/>
                      <a:ext cx="903731" cy="315468"/>
                    </a:xfrm>
                    <a:prstGeom prst="rect">
                      <a:avLst/>
                    </a:prstGeom>
                  </pic:spPr>
                </pic:pic>
              </a:graphicData>
            </a:graphic>
          </wp:inline>
        </w:drawing>
      </w:r>
      <w:r>
        <w:rPr>
          <w:spacing w:val="29"/>
          <w:sz w:val="24"/>
          <w:szCs w:val="24"/>
        </w:rPr>
        <w:t xml:space="preserve"> </w:t>
      </w:r>
      <w:r>
        <w:rPr>
          <w:spacing w:val="9"/>
          <w:sz w:val="24"/>
          <w:szCs w:val="24"/>
          <w:u w:val="single" w:color="auto"/>
        </w:rPr>
        <w:t xml:space="preserve">         </w:t>
      </w:r>
      <w:r>
        <w:rPr>
          <w:sz w:val="24"/>
          <w:szCs w:val="24"/>
        </w:rPr>
        <w:t>（</w:t>
      </w:r>
      <w:r>
        <w:rPr>
          <w:rFonts w:ascii="Times New Roman" w:hAnsi="Times New Roman" w:eastAsia="Times New Roman" w:cs="Times New Roman"/>
          <w:sz w:val="24"/>
          <w:szCs w:val="24"/>
        </w:rPr>
        <w:t>C3</w:t>
      </w:r>
      <w:r>
        <w:rPr>
          <w:sz w:val="24"/>
          <w:szCs w:val="24"/>
        </w:rPr>
        <w:t>）</w:t>
      </w:r>
    </w:p>
    <w:p w14:paraId="06379CF4">
      <w:pPr>
        <w:pStyle w:val="2"/>
        <w:spacing w:before="129" w:line="260" w:lineRule="auto"/>
        <w:ind w:left="2723"/>
        <w:rPr>
          <w:sz w:val="24"/>
          <w:szCs w:val="24"/>
        </w:rPr>
      </w:pPr>
      <w:r>
        <w:rPr>
          <w:sz w:val="24"/>
          <w:szCs w:val="24"/>
        </w:rPr>
        <w:drawing>
          <wp:inline distT="0" distB="0" distL="0" distR="0">
            <wp:extent cx="511810" cy="199390"/>
            <wp:effectExtent l="0" t="0" r="0" b="0"/>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r:embed="rId286"/>
                    <a:stretch>
                      <a:fillRect/>
                    </a:stretch>
                  </pic:blipFill>
                  <pic:spPr>
                    <a:xfrm>
                      <a:off x="0" y="0"/>
                      <a:ext cx="512063" cy="199643"/>
                    </a:xfrm>
                    <a:prstGeom prst="rect">
                      <a:avLst/>
                    </a:prstGeom>
                  </pic:spPr>
                </pic:pic>
              </a:graphicData>
            </a:graphic>
          </wp:inline>
        </w:drawing>
      </w:r>
      <w:r>
        <w:rPr>
          <w:spacing w:val="29"/>
          <w:sz w:val="24"/>
          <w:szCs w:val="24"/>
        </w:rPr>
        <w:t xml:space="preserve"> </w:t>
      </w:r>
      <w:r>
        <w:rPr>
          <w:spacing w:val="10"/>
          <w:sz w:val="24"/>
          <w:szCs w:val="24"/>
          <w:u w:val="single" w:color="auto"/>
        </w:rPr>
        <w:t xml:space="preserve">         </w:t>
      </w:r>
      <w:r>
        <w:rPr>
          <w:sz w:val="24"/>
          <w:szCs w:val="24"/>
        </w:rPr>
        <w:t>（</w:t>
      </w:r>
      <w:r>
        <w:rPr>
          <w:rFonts w:ascii="Times New Roman" w:hAnsi="Times New Roman" w:eastAsia="Times New Roman" w:cs="Times New Roman"/>
          <w:sz w:val="24"/>
          <w:szCs w:val="24"/>
        </w:rPr>
        <w:t>C4</w:t>
      </w:r>
      <w:r>
        <w:rPr>
          <w:sz w:val="24"/>
          <w:szCs w:val="24"/>
        </w:rPr>
        <w:t>）</w:t>
      </w:r>
    </w:p>
    <w:p w14:paraId="45B5DA2C">
      <w:pPr>
        <w:pStyle w:val="2"/>
        <w:spacing w:before="167" w:line="173" w:lineRule="auto"/>
        <w:ind w:left="508"/>
        <w:rPr>
          <w:sz w:val="24"/>
          <w:szCs w:val="24"/>
        </w:rPr>
      </w:pPr>
      <w:r>
        <w:rPr>
          <w:position w:val="-8"/>
          <w:sz w:val="24"/>
          <w:szCs w:val="24"/>
        </w:rPr>
        <w:t>式中：</w:t>
      </w:r>
      <w:r>
        <w:rPr>
          <w:spacing w:val="38"/>
          <w:position w:val="-8"/>
          <w:sz w:val="24"/>
          <w:szCs w:val="24"/>
        </w:rPr>
        <w:t xml:space="preserve">   </w:t>
      </w:r>
      <w:r>
        <w:rPr>
          <w:position w:val="-11"/>
          <w:sz w:val="24"/>
          <w:szCs w:val="24"/>
        </w:rPr>
        <w:drawing>
          <wp:inline distT="0" distB="0" distL="0" distR="0">
            <wp:extent cx="137795" cy="107315"/>
            <wp:effectExtent l="0" t="0" r="0" b="0"/>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r:embed="rId287"/>
                    <a:stretch>
                      <a:fillRect/>
                    </a:stretch>
                  </pic:blipFill>
                  <pic:spPr>
                    <a:xfrm>
                      <a:off x="0" y="0"/>
                      <a:ext cx="137943" cy="107898"/>
                    </a:xfrm>
                    <a:prstGeom prst="rect">
                      <a:avLst/>
                    </a:prstGeom>
                  </pic:spPr>
                </pic:pic>
              </a:graphicData>
            </a:graphic>
          </wp:inline>
        </w:drawing>
      </w:r>
      <w:r>
        <w:rPr>
          <w:position w:val="-8"/>
          <w:sz w:val="24"/>
          <w:szCs w:val="24"/>
          <w:u w:val="single" w:color="auto"/>
        </w:rPr>
        <w:t xml:space="preserve">    </w:t>
      </w:r>
      <w:r>
        <w:rPr>
          <w:spacing w:val="-107"/>
          <w:position w:val="-8"/>
          <w:sz w:val="24"/>
          <w:szCs w:val="24"/>
        </w:rPr>
        <w:t xml:space="preserve"> </w:t>
      </w:r>
      <w:r>
        <w:rPr>
          <w:position w:val="-8"/>
          <w:sz w:val="24"/>
          <w:szCs w:val="24"/>
        </w:rPr>
        <w:t>真空介电常数</w:t>
      </w:r>
      <w:r>
        <w:rPr>
          <w:position w:val="-14"/>
          <w:sz w:val="24"/>
          <w:szCs w:val="24"/>
        </w:rPr>
        <w:t>，</w:t>
      </w:r>
      <w:r>
        <w:rPr>
          <w:spacing w:val="38"/>
          <w:position w:val="-14"/>
          <w:sz w:val="24"/>
          <w:szCs w:val="24"/>
        </w:rPr>
        <w:t xml:space="preserve">   </w:t>
      </w:r>
      <w:r>
        <w:rPr>
          <w:rFonts w:ascii="Arial Unicode MS" w:hAnsi="Arial Unicode MS" w:eastAsia="Arial Unicode MS" w:cs="Arial Unicode MS"/>
          <w:position w:val="1"/>
          <w:sz w:val="32"/>
          <w:szCs w:val="32"/>
        </w:rPr>
        <w:t>e,=⃞x10-"F/m</w:t>
      </w:r>
      <w:r>
        <w:rPr>
          <w:position w:val="-8"/>
          <w:sz w:val="24"/>
          <w:szCs w:val="24"/>
        </w:rPr>
        <w:t>；</w:t>
      </w:r>
    </w:p>
    <w:p w14:paraId="44A14C6A">
      <w:pPr>
        <w:pStyle w:val="2"/>
        <w:spacing w:before="164" w:line="346" w:lineRule="auto"/>
        <w:ind w:left="43" w:right="20" w:firstLine="1165"/>
        <w:rPr>
          <w:sz w:val="24"/>
          <w:szCs w:val="24"/>
        </w:rPr>
      </w:pPr>
      <w:r>
        <w:rPr>
          <w:rFonts w:ascii="Times New Roman" w:hAnsi="Times New Roman" w:eastAsia="Times New Roman" w:cs="Times New Roman"/>
          <w:i/>
          <w:iCs/>
          <w:sz w:val="24"/>
          <w:szCs w:val="24"/>
        </w:rPr>
        <w:t>R</w:t>
      </w:r>
      <w:r>
        <w:rPr>
          <w:rFonts w:ascii="Times New Roman" w:hAnsi="Times New Roman" w:eastAsia="Times New Roman" w:cs="Times New Roman"/>
          <w:i/>
          <w:iCs/>
          <w:position w:val="-1"/>
          <w:sz w:val="15"/>
          <w:szCs w:val="15"/>
        </w:rPr>
        <w:t>i</w:t>
      </w:r>
      <w:r>
        <w:rPr>
          <w:rFonts w:ascii="Times New Roman" w:hAnsi="Times New Roman" w:eastAsia="Times New Roman" w:cs="Times New Roman"/>
          <w:sz w:val="24"/>
          <w:szCs w:val="24"/>
        </w:rPr>
        <w:t>——</w:t>
      </w:r>
      <w:r>
        <w:rPr>
          <w:sz w:val="24"/>
          <w:szCs w:val="24"/>
        </w:rPr>
        <w:t>输电导线半径，对于分裂导线可用等效单根导线半径代入，</w:t>
      </w:r>
      <w:r>
        <w:rPr>
          <w:rFonts w:ascii="Times New Roman" w:hAnsi="Times New Roman" w:eastAsia="Times New Roman" w:cs="Times New Roman"/>
          <w:i/>
          <w:iCs/>
          <w:sz w:val="24"/>
          <w:szCs w:val="24"/>
        </w:rPr>
        <w:t>R</w:t>
      </w:r>
      <w:r>
        <w:rPr>
          <w:rFonts w:ascii="Times New Roman" w:hAnsi="Times New Roman" w:eastAsia="Times New Roman" w:cs="Times New Roman"/>
          <w:i/>
          <w:iCs/>
          <w:position w:val="-1"/>
          <w:sz w:val="15"/>
          <w:szCs w:val="15"/>
        </w:rPr>
        <w:t>i</w:t>
      </w:r>
      <w:r>
        <w:rPr>
          <w:spacing w:val="-5"/>
          <w:sz w:val="24"/>
          <w:szCs w:val="24"/>
        </w:rPr>
        <w:t>的计算式为：</w:t>
      </w:r>
    </w:p>
    <w:p w14:paraId="24302F3D">
      <w:pPr>
        <w:pStyle w:val="2"/>
        <w:spacing w:before="1" w:line="260" w:lineRule="auto"/>
        <w:ind w:left="2565"/>
        <w:rPr>
          <w:sz w:val="24"/>
          <w:szCs w:val="24"/>
        </w:rPr>
      </w:pPr>
      <w:r>
        <w:rPr>
          <w:sz w:val="24"/>
          <w:szCs w:val="24"/>
        </w:rPr>
        <w:drawing>
          <wp:inline distT="0" distB="0" distL="0" distR="0">
            <wp:extent cx="714375" cy="371475"/>
            <wp:effectExtent l="0" t="0" r="0" b="0"/>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r:embed="rId288"/>
                    <a:stretch>
                      <a:fillRect/>
                    </a:stretch>
                  </pic:blipFill>
                  <pic:spPr>
                    <a:xfrm>
                      <a:off x="0" y="0"/>
                      <a:ext cx="714755" cy="371856"/>
                    </a:xfrm>
                    <a:prstGeom prst="rect">
                      <a:avLst/>
                    </a:prstGeom>
                  </pic:spPr>
                </pic:pic>
              </a:graphicData>
            </a:graphic>
          </wp:inline>
        </w:drawing>
      </w:r>
      <w:r>
        <w:rPr>
          <w:spacing w:val="29"/>
          <w:sz w:val="24"/>
          <w:szCs w:val="24"/>
        </w:rPr>
        <w:t xml:space="preserve"> </w:t>
      </w:r>
      <w:r>
        <w:rPr>
          <w:spacing w:val="9"/>
          <w:sz w:val="24"/>
          <w:szCs w:val="24"/>
          <w:u w:val="single" w:color="auto"/>
        </w:rPr>
        <w:t xml:space="preserve">         </w:t>
      </w:r>
      <w:r>
        <w:rPr>
          <w:sz w:val="24"/>
          <w:szCs w:val="24"/>
        </w:rPr>
        <w:t>（</w:t>
      </w:r>
      <w:r>
        <w:rPr>
          <w:rFonts w:ascii="Times New Roman" w:hAnsi="Times New Roman" w:eastAsia="Times New Roman" w:cs="Times New Roman"/>
          <w:sz w:val="24"/>
          <w:szCs w:val="24"/>
        </w:rPr>
        <w:t>C5</w:t>
      </w:r>
      <w:r>
        <w:rPr>
          <w:sz w:val="24"/>
          <w:szCs w:val="24"/>
        </w:rPr>
        <w:t>）</w:t>
      </w:r>
    </w:p>
    <w:p w14:paraId="06B40365">
      <w:pPr>
        <w:pStyle w:val="2"/>
        <w:spacing w:before="165" w:line="219" w:lineRule="auto"/>
        <w:ind w:left="508"/>
        <w:rPr>
          <w:sz w:val="24"/>
          <w:szCs w:val="24"/>
        </w:rPr>
      </w:pPr>
      <w:r>
        <w:rPr>
          <w:spacing w:val="-1"/>
          <w:sz w:val="24"/>
          <w:szCs w:val="24"/>
        </w:rPr>
        <w:t>式中：</w:t>
      </w:r>
      <w:r>
        <w:rPr>
          <w:rFonts w:ascii="Times New Roman" w:hAnsi="Times New Roman" w:eastAsia="Times New Roman" w:cs="Times New Roman"/>
          <w:i/>
          <w:iCs/>
          <w:spacing w:val="-1"/>
          <w:sz w:val="24"/>
          <w:szCs w:val="24"/>
        </w:rPr>
        <w:t>R</w:t>
      </w:r>
      <w:r>
        <w:rPr>
          <w:rFonts w:ascii="Times New Roman" w:hAnsi="Times New Roman" w:eastAsia="Times New Roman" w:cs="Times New Roman"/>
          <w:spacing w:val="-1"/>
          <w:sz w:val="24"/>
          <w:szCs w:val="24"/>
        </w:rPr>
        <w:t>——</w:t>
      </w:r>
      <w:r>
        <w:rPr>
          <w:spacing w:val="-1"/>
          <w:sz w:val="24"/>
          <w:szCs w:val="24"/>
        </w:rPr>
        <w:t>分裂导线半径，</w:t>
      </w:r>
      <w:r>
        <w:rPr>
          <w:rFonts w:ascii="Times New Roman" w:hAnsi="Times New Roman" w:eastAsia="Times New Roman" w:cs="Times New Roman"/>
          <w:spacing w:val="-1"/>
          <w:sz w:val="24"/>
          <w:szCs w:val="24"/>
        </w:rPr>
        <w:t>m</w:t>
      </w:r>
      <w:r>
        <w:rPr>
          <w:spacing w:val="-1"/>
          <w:sz w:val="24"/>
          <w:szCs w:val="24"/>
        </w:rPr>
        <w:t>；</w:t>
      </w:r>
    </w:p>
    <w:p w14:paraId="1D5DA750">
      <w:pPr>
        <w:pStyle w:val="2"/>
        <w:spacing w:before="183" w:line="219" w:lineRule="auto"/>
        <w:ind w:left="1218"/>
        <w:rPr>
          <w:sz w:val="24"/>
          <w:szCs w:val="24"/>
        </w:rPr>
      </w:pPr>
      <w:r>
        <w:rPr>
          <w:rFonts w:ascii="Times New Roman" w:hAnsi="Times New Roman" w:eastAsia="Times New Roman" w:cs="Times New Roman"/>
          <w:i/>
          <w:iCs/>
          <w:spacing w:val="-1"/>
          <w:sz w:val="24"/>
          <w:szCs w:val="24"/>
        </w:rPr>
        <w:t>n</w:t>
      </w:r>
      <w:r>
        <w:rPr>
          <w:rFonts w:ascii="Times New Roman" w:hAnsi="Times New Roman" w:eastAsia="Times New Roman" w:cs="Times New Roman"/>
          <w:spacing w:val="-1"/>
          <w:sz w:val="24"/>
          <w:szCs w:val="24"/>
        </w:rPr>
        <w:t>——</w:t>
      </w:r>
      <w:r>
        <w:rPr>
          <w:spacing w:val="-1"/>
          <w:sz w:val="24"/>
          <w:szCs w:val="24"/>
        </w:rPr>
        <w:t>次导线根数；</w:t>
      </w:r>
    </w:p>
    <w:p w14:paraId="163CC3C2">
      <w:pPr>
        <w:pStyle w:val="2"/>
        <w:spacing w:before="181" w:line="219" w:lineRule="auto"/>
        <w:ind w:left="1219"/>
        <w:rPr>
          <w:sz w:val="24"/>
          <w:szCs w:val="24"/>
        </w:rPr>
      </w:pPr>
      <w:r>
        <w:rPr>
          <w:rFonts w:ascii="Times New Roman" w:hAnsi="Times New Roman" w:eastAsia="Times New Roman" w:cs="Times New Roman"/>
          <w:i/>
          <w:iCs/>
          <w:spacing w:val="-1"/>
          <w:sz w:val="24"/>
          <w:szCs w:val="24"/>
        </w:rPr>
        <w:t>r</w:t>
      </w:r>
      <w:r>
        <w:rPr>
          <w:rFonts w:ascii="Times New Roman" w:hAnsi="Times New Roman" w:eastAsia="Times New Roman" w:cs="Times New Roman"/>
          <w:spacing w:val="-1"/>
          <w:sz w:val="24"/>
          <w:szCs w:val="24"/>
        </w:rPr>
        <w:t>——</w:t>
      </w:r>
      <w:r>
        <w:rPr>
          <w:spacing w:val="-1"/>
          <w:sz w:val="24"/>
          <w:szCs w:val="24"/>
        </w:rPr>
        <w:t>次导线半径，</w:t>
      </w:r>
      <w:r>
        <w:rPr>
          <w:rFonts w:ascii="Times New Roman" w:hAnsi="Times New Roman" w:eastAsia="Times New Roman" w:cs="Times New Roman"/>
          <w:spacing w:val="-1"/>
          <w:sz w:val="24"/>
          <w:szCs w:val="24"/>
        </w:rPr>
        <w:t>m</w:t>
      </w:r>
      <w:r>
        <w:rPr>
          <w:spacing w:val="-1"/>
          <w:sz w:val="24"/>
          <w:szCs w:val="24"/>
        </w:rPr>
        <w:t>；</w:t>
      </w:r>
    </w:p>
    <w:p w14:paraId="538F61EF">
      <w:pPr>
        <w:pStyle w:val="2"/>
        <w:spacing w:before="183" w:line="210" w:lineRule="auto"/>
        <w:ind w:left="532"/>
        <w:rPr>
          <w:sz w:val="24"/>
          <w:szCs w:val="24"/>
        </w:rPr>
      </w:pPr>
      <w:r>
        <w:rPr>
          <w:spacing w:val="-1"/>
          <w:sz w:val="24"/>
          <w:szCs w:val="24"/>
        </w:rPr>
        <w:t>由</w:t>
      </w:r>
      <w:r>
        <w:rPr>
          <w:rFonts w:ascii="Times New Roman" w:hAnsi="Times New Roman" w:eastAsia="Times New Roman" w:cs="Times New Roman"/>
          <w:spacing w:val="-1"/>
          <w:sz w:val="24"/>
          <w:szCs w:val="24"/>
        </w:rPr>
        <w:t>[</w:t>
      </w:r>
      <w:r>
        <w:rPr>
          <w:rFonts w:ascii="Times New Roman" w:hAnsi="Times New Roman" w:eastAsia="Times New Roman" w:cs="Times New Roman"/>
          <w:i/>
          <w:iCs/>
          <w:spacing w:val="-1"/>
          <w:sz w:val="24"/>
          <w:szCs w:val="24"/>
        </w:rPr>
        <w:t>U</w:t>
      </w:r>
      <w:r>
        <w:rPr>
          <w:rFonts w:ascii="Times New Roman" w:hAnsi="Times New Roman" w:eastAsia="Times New Roman" w:cs="Times New Roman"/>
          <w:spacing w:val="-1"/>
          <w:sz w:val="24"/>
          <w:szCs w:val="24"/>
        </w:rPr>
        <w:t>]</w:t>
      </w:r>
      <w:r>
        <w:rPr>
          <w:spacing w:val="-1"/>
          <w:sz w:val="24"/>
          <w:szCs w:val="24"/>
        </w:rPr>
        <w:t>矩阵和</w:t>
      </w:r>
      <w:r>
        <w:rPr>
          <w:rFonts w:ascii="Times New Roman" w:hAnsi="Times New Roman" w:eastAsia="Times New Roman" w:cs="Times New Roman"/>
          <w:spacing w:val="-1"/>
          <w:sz w:val="24"/>
          <w:szCs w:val="24"/>
        </w:rPr>
        <w:t>[λ]</w:t>
      </w:r>
      <w:r>
        <w:rPr>
          <w:spacing w:val="-1"/>
          <w:sz w:val="24"/>
          <w:szCs w:val="24"/>
        </w:rPr>
        <w:t>矩阵，利用式（</w:t>
      </w:r>
      <w:r>
        <w:rPr>
          <w:rFonts w:ascii="Times New Roman" w:hAnsi="Times New Roman" w:eastAsia="Times New Roman" w:cs="Times New Roman"/>
          <w:spacing w:val="-1"/>
          <w:sz w:val="24"/>
          <w:szCs w:val="24"/>
        </w:rPr>
        <w:t>C1</w:t>
      </w:r>
      <w:r>
        <w:rPr>
          <w:spacing w:val="-2"/>
          <w:sz w:val="24"/>
          <w:szCs w:val="24"/>
        </w:rPr>
        <w:t>）即可解出</w:t>
      </w:r>
      <w:r>
        <w:rPr>
          <w:rFonts w:ascii="Times New Roman" w:hAnsi="Times New Roman" w:eastAsia="Times New Roman" w:cs="Times New Roman"/>
          <w:spacing w:val="-2"/>
          <w:sz w:val="24"/>
          <w:szCs w:val="24"/>
        </w:rPr>
        <w:t>[</w:t>
      </w:r>
      <w:r>
        <w:rPr>
          <w:rFonts w:ascii="Times New Roman" w:hAnsi="Times New Roman" w:eastAsia="Times New Roman" w:cs="Times New Roman"/>
          <w:i/>
          <w:iCs/>
          <w:spacing w:val="-2"/>
          <w:sz w:val="24"/>
          <w:szCs w:val="24"/>
        </w:rPr>
        <w:t>Q</w:t>
      </w:r>
      <w:r>
        <w:rPr>
          <w:rFonts w:ascii="Times New Roman" w:hAnsi="Times New Roman" w:eastAsia="Times New Roman" w:cs="Times New Roman"/>
          <w:spacing w:val="-2"/>
          <w:sz w:val="24"/>
          <w:szCs w:val="24"/>
        </w:rPr>
        <w:t>]</w:t>
      </w:r>
      <w:r>
        <w:rPr>
          <w:spacing w:val="-2"/>
          <w:sz w:val="24"/>
          <w:szCs w:val="24"/>
        </w:rPr>
        <w:t>矩阵。</w:t>
      </w:r>
    </w:p>
    <w:p w14:paraId="4A6FC10E">
      <w:pPr>
        <w:pStyle w:val="2"/>
        <w:spacing w:before="191" w:line="346" w:lineRule="auto"/>
        <w:ind w:left="22" w:right="13" w:firstLine="480"/>
        <w:rPr>
          <w:sz w:val="24"/>
          <w:szCs w:val="24"/>
        </w:rPr>
      </w:pPr>
      <w:r>
        <w:rPr>
          <w:spacing w:val="-3"/>
          <w:sz w:val="24"/>
          <w:szCs w:val="24"/>
        </w:rPr>
        <w:t>对于三相交流线路，由于电压为时间向量，计算各相导线的电压</w:t>
      </w:r>
      <w:r>
        <w:rPr>
          <w:spacing w:val="-4"/>
          <w:sz w:val="24"/>
          <w:szCs w:val="24"/>
        </w:rPr>
        <w:t>时要用复数</w:t>
      </w:r>
      <w:r>
        <w:rPr>
          <w:spacing w:val="-3"/>
          <w:sz w:val="24"/>
          <w:szCs w:val="24"/>
        </w:rPr>
        <w:t>表示：</w:t>
      </w:r>
    </w:p>
    <w:p w14:paraId="09CC24F5">
      <w:pPr>
        <w:pStyle w:val="2"/>
        <w:spacing w:before="1" w:line="227" w:lineRule="auto"/>
        <w:ind w:left="2356"/>
        <w:rPr>
          <w:sz w:val="24"/>
          <w:szCs w:val="24"/>
        </w:rPr>
      </w:pPr>
      <w:r>
        <w:rPr>
          <w:rFonts w:ascii="Arial" w:hAnsi="Arial" w:eastAsia="Arial" w:cs="Arial"/>
          <w:spacing w:val="-13"/>
          <w:sz w:val="29"/>
          <w:szCs w:val="29"/>
        </w:rPr>
        <w:t>T=u.</w:t>
      </w:r>
      <w:r>
        <w:rPr>
          <w:rFonts w:ascii="Arial" w:hAnsi="Arial" w:eastAsia="Arial" w:cs="Arial"/>
          <w:spacing w:val="-25"/>
          <w:sz w:val="29"/>
          <w:szCs w:val="29"/>
        </w:rPr>
        <w:t xml:space="preserve"> </w:t>
      </w:r>
      <w:r>
        <w:rPr>
          <w:rFonts w:ascii="Arial" w:hAnsi="Arial" w:eastAsia="Arial" w:cs="Arial"/>
          <w:spacing w:val="-13"/>
          <w:sz w:val="29"/>
          <w:szCs w:val="29"/>
        </w:rPr>
        <w:t>a+j</w:t>
      </w:r>
      <w:r>
        <w:rPr>
          <w:rFonts w:ascii="Arial" w:hAnsi="Arial" w:eastAsia="Arial" w:cs="Arial"/>
          <w:spacing w:val="-40"/>
          <w:sz w:val="29"/>
          <w:szCs w:val="29"/>
        </w:rPr>
        <w:t xml:space="preserve"> </w:t>
      </w:r>
      <w:r>
        <w:rPr>
          <w:rFonts w:ascii="Arial" w:hAnsi="Arial" w:eastAsia="Arial" w:cs="Arial"/>
          <w:spacing w:val="-13"/>
          <w:sz w:val="29"/>
          <w:szCs w:val="29"/>
        </w:rPr>
        <w:t xml:space="preserve">Dia  </w:t>
      </w:r>
      <w:r>
        <w:rPr>
          <w:rFonts w:ascii="Times New Roman" w:hAnsi="Times New Roman" w:eastAsia="Times New Roman" w:cs="Times New Roman"/>
          <w:spacing w:val="-13"/>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13"/>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13"/>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13"/>
          <w:position w:val="-4"/>
          <w:sz w:val="24"/>
          <w:szCs w:val="24"/>
        </w:rPr>
        <w:t>·</w:t>
      </w:r>
      <w:r>
        <w:rPr>
          <w:rFonts w:ascii="Times New Roman" w:hAnsi="Times New Roman" w:eastAsia="Times New Roman" w:cs="Times New Roman"/>
          <w:spacing w:val="-31"/>
          <w:position w:val="-4"/>
          <w:sz w:val="24"/>
          <w:szCs w:val="24"/>
        </w:rPr>
        <w:t xml:space="preserve"> </w:t>
      </w:r>
      <w:r>
        <w:rPr>
          <w:rFonts w:ascii="Times New Roman" w:hAnsi="Times New Roman" w:eastAsia="Times New Roman" w:cs="Times New Roman"/>
          <w:spacing w:val="-13"/>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13"/>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13"/>
          <w:position w:val="-4"/>
          <w:sz w:val="24"/>
          <w:szCs w:val="24"/>
        </w:rPr>
        <w:t>·</w:t>
      </w:r>
      <w:r>
        <w:rPr>
          <w:rFonts w:ascii="Times New Roman" w:hAnsi="Times New Roman" w:eastAsia="Times New Roman" w:cs="Times New Roman"/>
          <w:spacing w:val="-31"/>
          <w:position w:val="-4"/>
          <w:sz w:val="24"/>
          <w:szCs w:val="24"/>
        </w:rPr>
        <w:t xml:space="preserve"> </w:t>
      </w:r>
      <w:r>
        <w:rPr>
          <w:rFonts w:ascii="Times New Roman" w:hAnsi="Times New Roman" w:eastAsia="Times New Roman" w:cs="Times New Roman"/>
          <w:spacing w:val="-13"/>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13"/>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13"/>
          <w:position w:val="-4"/>
          <w:sz w:val="24"/>
          <w:szCs w:val="24"/>
        </w:rPr>
        <w:t>·</w:t>
      </w:r>
      <w:r>
        <w:rPr>
          <w:rFonts w:ascii="Times New Roman" w:hAnsi="Times New Roman" w:eastAsia="Times New Roman" w:cs="Times New Roman"/>
          <w:spacing w:val="-31"/>
          <w:position w:val="-4"/>
          <w:sz w:val="24"/>
          <w:szCs w:val="24"/>
        </w:rPr>
        <w:t xml:space="preserve"> </w:t>
      </w:r>
      <w:r>
        <w:rPr>
          <w:rFonts w:ascii="Times New Roman" w:hAnsi="Times New Roman" w:eastAsia="Times New Roman" w:cs="Times New Roman"/>
          <w:spacing w:val="-13"/>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13"/>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13"/>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13"/>
          <w:position w:val="-4"/>
          <w:sz w:val="24"/>
          <w:szCs w:val="24"/>
        </w:rPr>
        <w:t>·</w:t>
      </w:r>
      <w:r>
        <w:rPr>
          <w:rFonts w:ascii="Times New Roman" w:hAnsi="Times New Roman" w:eastAsia="Times New Roman" w:cs="Times New Roman"/>
          <w:spacing w:val="-31"/>
          <w:position w:val="-4"/>
          <w:sz w:val="24"/>
          <w:szCs w:val="24"/>
        </w:rPr>
        <w:t xml:space="preserve"> </w:t>
      </w:r>
      <w:r>
        <w:rPr>
          <w:rFonts w:ascii="Times New Roman" w:hAnsi="Times New Roman" w:eastAsia="Times New Roman" w:cs="Times New Roman"/>
          <w:spacing w:val="-13"/>
          <w:position w:val="-4"/>
          <w:sz w:val="24"/>
          <w:szCs w:val="24"/>
        </w:rPr>
        <w:t>·</w:t>
      </w:r>
      <w:r>
        <w:rPr>
          <w:spacing w:val="-13"/>
          <w:position w:val="-3"/>
          <w:sz w:val="24"/>
          <w:szCs w:val="24"/>
        </w:rPr>
        <w:t>（</w:t>
      </w:r>
      <w:r>
        <w:rPr>
          <w:rFonts w:ascii="Times New Roman" w:hAnsi="Times New Roman" w:eastAsia="Times New Roman" w:cs="Times New Roman"/>
          <w:spacing w:val="-13"/>
          <w:position w:val="-3"/>
          <w:sz w:val="24"/>
          <w:szCs w:val="24"/>
        </w:rPr>
        <w:t>C6</w:t>
      </w:r>
      <w:r>
        <w:rPr>
          <w:spacing w:val="-13"/>
          <w:position w:val="-3"/>
          <w:sz w:val="24"/>
          <w:szCs w:val="24"/>
        </w:rPr>
        <w:t>）</w:t>
      </w:r>
    </w:p>
    <w:p w14:paraId="066F96B7">
      <w:pPr>
        <w:pStyle w:val="2"/>
        <w:spacing w:before="187" w:line="219" w:lineRule="auto"/>
        <w:ind w:left="503"/>
        <w:rPr>
          <w:sz w:val="24"/>
          <w:szCs w:val="24"/>
        </w:rPr>
      </w:pPr>
      <w:r>
        <w:rPr>
          <w:spacing w:val="-1"/>
          <w:sz w:val="24"/>
          <w:szCs w:val="24"/>
        </w:rPr>
        <w:t>相应地电荷也是复数量：</w:t>
      </w:r>
    </w:p>
    <w:p w14:paraId="45E23123">
      <w:pPr>
        <w:pStyle w:val="2"/>
        <w:spacing w:before="148" w:line="377" w:lineRule="exact"/>
        <w:ind w:left="2361"/>
        <w:rPr>
          <w:sz w:val="24"/>
          <w:szCs w:val="24"/>
        </w:rPr>
      </w:pPr>
      <w:r>
        <w:rPr>
          <w:rFonts w:ascii="Times New Roman" w:hAnsi="Times New Roman" w:eastAsia="Times New Roman" w:cs="Times New Roman"/>
          <w:position w:val="-2"/>
          <w:sz w:val="24"/>
          <w:szCs w:val="24"/>
        </w:rPr>
        <w:drawing>
          <wp:inline distT="0" distB="0" distL="0" distR="0">
            <wp:extent cx="972185" cy="179705"/>
            <wp:effectExtent l="0" t="0" r="0" b="0"/>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r:embed="rId289"/>
                    <a:stretch>
                      <a:fillRect/>
                    </a:stretch>
                  </pic:blipFill>
                  <pic:spPr>
                    <a:xfrm>
                      <a:off x="0" y="0"/>
                      <a:ext cx="972311" cy="179832"/>
                    </a:xfrm>
                    <a:prstGeom prst="rect">
                      <a:avLst/>
                    </a:prstGeom>
                  </pic:spPr>
                </pic:pic>
              </a:graphicData>
            </a:graphic>
          </wp:inline>
        </w:drawing>
      </w:r>
      <w:r>
        <w:rPr>
          <w:rFonts w:ascii="Times New Roman" w:hAnsi="Times New Roman" w:eastAsia="Times New Roman" w:cs="Times New Roman"/>
          <w:spacing w:val="15"/>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1"/>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1"/>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1"/>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1"/>
          <w:position w:val="-2"/>
          <w:sz w:val="24"/>
          <w:szCs w:val="24"/>
        </w:rPr>
        <w:t xml:space="preserve"> </w:t>
      </w:r>
      <w:r>
        <w:rPr>
          <w:rFonts w:ascii="Times New Roman" w:hAnsi="Times New Roman" w:eastAsia="Times New Roman" w:cs="Times New Roman"/>
          <w:spacing w:val="-22"/>
          <w:position w:val="-2"/>
          <w:sz w:val="24"/>
          <w:szCs w:val="24"/>
        </w:rPr>
        <w:t>·</w:t>
      </w:r>
      <w:r>
        <w:rPr>
          <w:spacing w:val="-22"/>
          <w:position w:val="-2"/>
          <w:sz w:val="24"/>
          <w:szCs w:val="24"/>
        </w:rPr>
        <w:t>（</w:t>
      </w:r>
      <w:r>
        <w:rPr>
          <w:rFonts w:ascii="Times New Roman" w:hAnsi="Times New Roman" w:eastAsia="Times New Roman" w:cs="Times New Roman"/>
          <w:spacing w:val="-22"/>
          <w:position w:val="-2"/>
          <w:sz w:val="24"/>
          <w:szCs w:val="24"/>
        </w:rPr>
        <w:t>C7</w:t>
      </w:r>
      <w:r>
        <w:rPr>
          <w:spacing w:val="-22"/>
          <w:position w:val="-2"/>
          <w:sz w:val="24"/>
          <w:szCs w:val="24"/>
        </w:rPr>
        <w:t>）</w:t>
      </w:r>
    </w:p>
    <w:p w14:paraId="776A399C">
      <w:pPr>
        <w:pStyle w:val="2"/>
        <w:spacing w:before="165" w:line="219" w:lineRule="auto"/>
        <w:ind w:left="508"/>
        <w:rPr>
          <w:sz w:val="24"/>
          <w:szCs w:val="24"/>
        </w:rPr>
      </w:pPr>
      <w:r>
        <w:rPr>
          <w:spacing w:val="-1"/>
          <w:sz w:val="24"/>
          <w:szCs w:val="24"/>
        </w:rPr>
        <w:t>式（</w:t>
      </w:r>
      <w:r>
        <w:rPr>
          <w:rFonts w:ascii="Times New Roman" w:hAnsi="Times New Roman" w:eastAsia="Times New Roman" w:cs="Times New Roman"/>
          <w:spacing w:val="-1"/>
          <w:sz w:val="24"/>
          <w:szCs w:val="24"/>
        </w:rPr>
        <w:t>C1</w:t>
      </w:r>
      <w:r>
        <w:rPr>
          <w:spacing w:val="-1"/>
          <w:sz w:val="24"/>
          <w:szCs w:val="24"/>
        </w:rPr>
        <w:t>）矩阵关系即分别表示了复数量的实部和虚部两部分：</w:t>
      </w:r>
    </w:p>
    <w:p w14:paraId="36279EC0">
      <w:pPr>
        <w:pStyle w:val="2"/>
        <w:spacing w:before="148" w:line="377" w:lineRule="exact"/>
        <w:ind w:left="2375"/>
        <w:rPr>
          <w:sz w:val="24"/>
          <w:szCs w:val="24"/>
        </w:rPr>
      </w:pPr>
      <w:r>
        <w:rPr>
          <w:rFonts w:ascii="Times New Roman" w:hAnsi="Times New Roman" w:eastAsia="Times New Roman" w:cs="Times New Roman"/>
          <w:position w:val="-2"/>
          <w:sz w:val="24"/>
          <w:szCs w:val="24"/>
        </w:rPr>
        <w:drawing>
          <wp:inline distT="0" distB="0" distL="0" distR="0">
            <wp:extent cx="953770" cy="179705"/>
            <wp:effectExtent l="0" t="0" r="0" b="0"/>
            <wp:docPr id="182" name="IM 182"/>
            <wp:cNvGraphicFramePr/>
            <a:graphic xmlns:a="http://schemas.openxmlformats.org/drawingml/2006/main">
              <a:graphicData uri="http://schemas.openxmlformats.org/drawingml/2006/picture">
                <pic:pic xmlns:pic="http://schemas.openxmlformats.org/drawingml/2006/picture">
                  <pic:nvPicPr>
                    <pic:cNvPr id="182" name="IM 182"/>
                    <pic:cNvPicPr/>
                  </pic:nvPicPr>
                  <pic:blipFill>
                    <a:blip r:embed="rId290"/>
                    <a:stretch>
                      <a:fillRect/>
                    </a:stretch>
                  </pic:blipFill>
                  <pic:spPr>
                    <a:xfrm>
                      <a:off x="0" y="0"/>
                      <a:ext cx="954024" cy="179832"/>
                    </a:xfrm>
                    <a:prstGeom prst="rect">
                      <a:avLst/>
                    </a:prstGeom>
                  </pic:spPr>
                </pic:pic>
              </a:graphicData>
            </a:graphic>
          </wp:inline>
        </w:drawing>
      </w:r>
      <w:r>
        <w:rPr>
          <w:rFonts w:ascii="Times New Roman" w:hAnsi="Times New Roman" w:eastAsia="Times New Roman" w:cs="Times New Roman"/>
          <w:spacing w:val="15"/>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1"/>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1"/>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1"/>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1"/>
          <w:position w:val="-2"/>
          <w:sz w:val="24"/>
          <w:szCs w:val="24"/>
        </w:rPr>
        <w:t xml:space="preserve"> </w:t>
      </w:r>
      <w:r>
        <w:rPr>
          <w:rFonts w:ascii="Times New Roman" w:hAnsi="Times New Roman" w:eastAsia="Times New Roman" w:cs="Times New Roman"/>
          <w:spacing w:val="-22"/>
          <w:position w:val="-2"/>
          <w:sz w:val="24"/>
          <w:szCs w:val="24"/>
        </w:rPr>
        <w:t>·</w:t>
      </w:r>
      <w:r>
        <w:rPr>
          <w:spacing w:val="-22"/>
          <w:position w:val="-2"/>
          <w:sz w:val="24"/>
          <w:szCs w:val="24"/>
        </w:rPr>
        <w:t>（</w:t>
      </w:r>
      <w:r>
        <w:rPr>
          <w:rFonts w:ascii="Times New Roman" w:hAnsi="Times New Roman" w:eastAsia="Times New Roman" w:cs="Times New Roman"/>
          <w:spacing w:val="-22"/>
          <w:position w:val="-2"/>
          <w:sz w:val="24"/>
          <w:szCs w:val="24"/>
        </w:rPr>
        <w:t>C8</w:t>
      </w:r>
      <w:r>
        <w:rPr>
          <w:spacing w:val="-22"/>
          <w:position w:val="-2"/>
          <w:sz w:val="24"/>
          <w:szCs w:val="24"/>
        </w:rPr>
        <w:t>）</w:t>
      </w:r>
    </w:p>
    <w:p w14:paraId="780D9BEA">
      <w:pPr>
        <w:pStyle w:val="2"/>
        <w:spacing w:before="130" w:line="376" w:lineRule="exact"/>
        <w:ind w:left="2421"/>
        <w:rPr>
          <w:sz w:val="24"/>
          <w:szCs w:val="24"/>
        </w:rPr>
      </w:pPr>
      <w:r>
        <w:rPr>
          <w:rFonts w:ascii="Times New Roman" w:hAnsi="Times New Roman" w:eastAsia="Times New Roman" w:cs="Times New Roman"/>
          <w:position w:val="-2"/>
          <w:sz w:val="24"/>
          <w:szCs w:val="24"/>
        </w:rPr>
        <w:drawing>
          <wp:inline distT="0" distB="0" distL="0" distR="0">
            <wp:extent cx="897255" cy="179705"/>
            <wp:effectExtent l="0" t="0" r="0" b="0"/>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r:embed="rId291"/>
                    <a:stretch>
                      <a:fillRect/>
                    </a:stretch>
                  </pic:blipFill>
                  <pic:spPr>
                    <a:xfrm>
                      <a:off x="0" y="0"/>
                      <a:ext cx="897636" cy="179832"/>
                    </a:xfrm>
                    <a:prstGeom prst="rect">
                      <a:avLst/>
                    </a:prstGeom>
                  </pic:spPr>
                </pic:pic>
              </a:graphicData>
            </a:graphic>
          </wp:inline>
        </w:drawing>
      </w:r>
      <w:r>
        <w:rPr>
          <w:rFonts w:ascii="Times New Roman" w:hAnsi="Times New Roman" w:eastAsia="Times New Roman" w:cs="Times New Roman"/>
          <w:spacing w:val="16"/>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1"/>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1"/>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1"/>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22"/>
          <w:position w:val="-2"/>
          <w:sz w:val="24"/>
          <w:szCs w:val="24"/>
        </w:rPr>
        <w:t>·</w:t>
      </w:r>
      <w:r>
        <w:rPr>
          <w:spacing w:val="-22"/>
          <w:position w:val="-2"/>
          <w:sz w:val="24"/>
          <w:szCs w:val="24"/>
        </w:rPr>
        <w:t>（</w:t>
      </w:r>
      <w:r>
        <w:rPr>
          <w:rFonts w:ascii="Times New Roman" w:hAnsi="Times New Roman" w:eastAsia="Times New Roman" w:cs="Times New Roman"/>
          <w:spacing w:val="-22"/>
          <w:position w:val="-2"/>
          <w:sz w:val="24"/>
          <w:szCs w:val="24"/>
        </w:rPr>
        <w:t>C9</w:t>
      </w:r>
      <w:r>
        <w:rPr>
          <w:spacing w:val="-22"/>
          <w:position w:val="-2"/>
          <w:sz w:val="24"/>
          <w:szCs w:val="24"/>
        </w:rPr>
        <w:t>）</w:t>
      </w:r>
    </w:p>
    <w:p w14:paraId="64EFB45A">
      <w:pPr>
        <w:pStyle w:val="2"/>
        <w:spacing w:before="165" w:line="217" w:lineRule="auto"/>
        <w:ind w:left="501"/>
        <w:rPr>
          <w:sz w:val="24"/>
          <w:szCs w:val="24"/>
        </w:rPr>
      </w:pPr>
      <w:r>
        <w:rPr>
          <w:spacing w:val="-1"/>
          <w:sz w:val="24"/>
          <w:szCs w:val="24"/>
        </w:rPr>
        <w:t>②计算由等效电荷产生的电场</w:t>
      </w:r>
    </w:p>
    <w:p w14:paraId="3FB528D1">
      <w:pPr>
        <w:pStyle w:val="2"/>
        <w:spacing w:before="186" w:line="359" w:lineRule="auto"/>
        <w:ind w:left="22" w:right="160" w:firstLine="483"/>
        <w:rPr>
          <w:sz w:val="24"/>
          <w:szCs w:val="24"/>
        </w:rPr>
      </w:pPr>
      <w:r>
        <w:rPr>
          <w:spacing w:val="-1"/>
          <w:sz w:val="24"/>
          <w:szCs w:val="24"/>
        </w:rPr>
        <w:t>为计算地面电场强度的最大值，通常取设计最大弧垂时导线的最小对地高</w:t>
      </w:r>
      <w:r>
        <w:rPr>
          <w:spacing w:val="-5"/>
          <w:sz w:val="24"/>
          <w:szCs w:val="24"/>
        </w:rPr>
        <w:t>度。</w:t>
      </w:r>
    </w:p>
    <w:p w14:paraId="46E7DC75">
      <w:pPr>
        <w:pStyle w:val="2"/>
        <w:spacing w:line="360" w:lineRule="auto"/>
        <w:ind w:left="23" w:right="13" w:firstLine="495"/>
        <w:rPr>
          <w:sz w:val="24"/>
          <w:szCs w:val="24"/>
        </w:rPr>
      </w:pPr>
      <w:r>
        <w:drawing>
          <wp:anchor distT="0" distB="0" distL="0" distR="0" simplePos="0" relativeHeight="251721728" behindDoc="0" locked="0" layoutInCell="1" allowOverlap="1">
            <wp:simplePos x="0" y="0"/>
            <wp:positionH relativeFrom="column">
              <wp:posOffset>1049655</wp:posOffset>
            </wp:positionH>
            <wp:positionV relativeFrom="paragraph">
              <wp:posOffset>619125</wp:posOffset>
            </wp:positionV>
            <wp:extent cx="1871345" cy="279400"/>
            <wp:effectExtent l="0" t="0" r="0" b="0"/>
            <wp:wrapNone/>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r:embed="rId292"/>
                    <a:stretch>
                      <a:fillRect/>
                    </a:stretch>
                  </pic:blipFill>
                  <pic:spPr>
                    <a:xfrm>
                      <a:off x="0" y="0"/>
                      <a:ext cx="1871472" cy="279117"/>
                    </a:xfrm>
                    <a:prstGeom prst="rect">
                      <a:avLst/>
                    </a:prstGeom>
                  </pic:spPr>
                </pic:pic>
              </a:graphicData>
            </a:graphic>
          </wp:anchor>
        </w:drawing>
      </w:r>
      <w:r>
        <w:rPr>
          <w:spacing w:val="-4"/>
          <w:sz w:val="24"/>
          <w:szCs w:val="24"/>
        </w:rPr>
        <w:t>当各导线单位长度的等效电荷量求出后，空间任意一点的电场强度可根据叠</w:t>
      </w:r>
      <w:r>
        <w:rPr>
          <w:spacing w:val="2"/>
          <w:sz w:val="24"/>
          <w:szCs w:val="24"/>
        </w:rPr>
        <w:t>加原理计算得出，在（</w:t>
      </w:r>
      <w:r>
        <w:rPr>
          <w:rFonts w:ascii="Times New Roman" w:hAnsi="Times New Roman" w:eastAsia="Times New Roman" w:cs="Times New Roman"/>
          <w:i/>
          <w:iCs/>
          <w:spacing w:val="2"/>
          <w:sz w:val="24"/>
          <w:szCs w:val="24"/>
        </w:rPr>
        <w:t>x</w:t>
      </w:r>
      <w:r>
        <w:rPr>
          <w:spacing w:val="2"/>
          <w:sz w:val="24"/>
          <w:szCs w:val="24"/>
        </w:rPr>
        <w:t>，</w:t>
      </w:r>
      <w:r>
        <w:rPr>
          <w:rFonts w:ascii="Times New Roman" w:hAnsi="Times New Roman" w:eastAsia="Times New Roman" w:cs="Times New Roman"/>
          <w:i/>
          <w:iCs/>
          <w:spacing w:val="2"/>
          <w:sz w:val="24"/>
          <w:szCs w:val="24"/>
        </w:rPr>
        <w:t>y</w:t>
      </w:r>
      <w:r>
        <w:rPr>
          <w:spacing w:val="2"/>
          <w:sz w:val="24"/>
          <w:szCs w:val="24"/>
        </w:rPr>
        <w:t>）点的电场强度分量</w:t>
      </w:r>
      <w:r>
        <w:rPr>
          <w:spacing w:val="-63"/>
          <w:sz w:val="24"/>
          <w:szCs w:val="24"/>
        </w:rPr>
        <w:t xml:space="preserve"> </w:t>
      </w:r>
      <w:r>
        <w:rPr>
          <w:rFonts w:ascii="Times New Roman" w:hAnsi="Times New Roman" w:eastAsia="Times New Roman" w:cs="Times New Roman"/>
          <w:i/>
          <w:iCs/>
          <w:sz w:val="24"/>
          <w:szCs w:val="24"/>
        </w:rPr>
        <w:t>Ex</w:t>
      </w:r>
      <w:r>
        <w:rPr>
          <w:spacing w:val="2"/>
          <w:sz w:val="24"/>
          <w:szCs w:val="24"/>
        </w:rPr>
        <w:t>和</w:t>
      </w:r>
      <w:r>
        <w:rPr>
          <w:spacing w:val="-65"/>
          <w:sz w:val="24"/>
          <w:szCs w:val="24"/>
        </w:rPr>
        <w:t xml:space="preserve"> </w:t>
      </w:r>
      <w:r>
        <w:rPr>
          <w:rFonts w:ascii="Times New Roman" w:hAnsi="Times New Roman" w:eastAsia="Times New Roman" w:cs="Times New Roman"/>
          <w:i/>
          <w:iCs/>
          <w:sz w:val="24"/>
          <w:szCs w:val="24"/>
        </w:rPr>
        <w:t>Ey</w:t>
      </w:r>
      <w:r>
        <w:rPr>
          <w:rFonts w:ascii="Times New Roman" w:hAnsi="Times New Roman" w:eastAsia="Times New Roman" w:cs="Times New Roman"/>
          <w:i/>
          <w:iCs/>
          <w:spacing w:val="2"/>
          <w:sz w:val="24"/>
          <w:szCs w:val="24"/>
        </w:rPr>
        <w:t xml:space="preserve"> </w:t>
      </w:r>
      <w:r>
        <w:rPr>
          <w:spacing w:val="2"/>
          <w:sz w:val="24"/>
          <w:szCs w:val="24"/>
        </w:rPr>
        <w:t>可表示为：</w:t>
      </w:r>
    </w:p>
    <w:p w14:paraId="2D78A85E">
      <w:pPr>
        <w:pStyle w:val="2"/>
        <w:spacing w:before="271" w:line="232" w:lineRule="auto"/>
        <w:ind w:left="5818"/>
        <w:rPr>
          <w:sz w:val="24"/>
          <w:szCs w:val="24"/>
        </w:rPr>
      </w:pPr>
      <w:r>
        <w:pict>
          <v:shape id="_x0000_s1141" o:spid="_x0000_s1141" o:spt="202" type="#_x0000_t202" style="position:absolute;left:0pt;margin-left:230.4pt;margin-top:18pt;height:9.45pt;width:60.55pt;z-index:251722752;mso-width-relative:page;mso-height-relative:page;" filled="f" stroked="f" coordsize="21600,21600">
            <v:path/>
            <v:fill on="f" focussize="0,0"/>
            <v:stroke on="f"/>
            <v:imagedata o:title=""/>
            <o:lock v:ext="edit" aspectratio="f"/>
            <v:textbox inset="0mm,0mm,0mm,0mm">
              <w:txbxContent>
                <w:p w14:paraId="5F1F7093">
                  <w:pPr>
                    <w:spacing w:before="20" w:line="148" w:lineRule="exact"/>
                    <w:jc w:val="right"/>
                    <w:rPr>
                      <w:rFonts w:ascii="Times New Roman" w:hAnsi="Times New Roman" w:eastAsia="Times New Roman" w:cs="Times New Roman"/>
                      <w:sz w:val="24"/>
                      <w:szCs w:val="24"/>
                    </w:rPr>
                  </w:pP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29"/>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1"/>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1"/>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1"/>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1"/>
                      <w:position w:val="-4"/>
                      <w:sz w:val="24"/>
                      <w:szCs w:val="24"/>
                    </w:rPr>
                    <w:t xml:space="preserve"> </w:t>
                  </w:r>
                  <w:r>
                    <w:rPr>
                      <w:rFonts w:ascii="Times New Roman" w:hAnsi="Times New Roman" w:eastAsia="Times New Roman" w:cs="Times New Roman"/>
                      <w:spacing w:val="-28"/>
                      <w:position w:val="-4"/>
                      <w:sz w:val="24"/>
                      <w:szCs w:val="24"/>
                    </w:rPr>
                    <w:t>·</w:t>
                  </w:r>
                </w:p>
              </w:txbxContent>
            </v:textbox>
          </v:shape>
        </w:pict>
      </w:r>
      <w:r>
        <w:rPr>
          <w:spacing w:val="-5"/>
          <w:sz w:val="24"/>
          <w:szCs w:val="24"/>
        </w:rPr>
        <w:t>（</w:t>
      </w:r>
      <w:r>
        <w:rPr>
          <w:rFonts w:ascii="Times New Roman" w:hAnsi="Times New Roman" w:eastAsia="Times New Roman" w:cs="Times New Roman"/>
          <w:spacing w:val="-5"/>
          <w:sz w:val="24"/>
          <w:szCs w:val="24"/>
        </w:rPr>
        <w:t>C10</w:t>
      </w:r>
      <w:r>
        <w:rPr>
          <w:spacing w:val="-5"/>
          <w:sz w:val="24"/>
          <w:szCs w:val="24"/>
        </w:rPr>
        <w:t>）</w:t>
      </w:r>
    </w:p>
    <w:p w14:paraId="201362D1">
      <w:pPr>
        <w:spacing w:line="232" w:lineRule="auto"/>
        <w:rPr>
          <w:sz w:val="24"/>
          <w:szCs w:val="24"/>
        </w:rPr>
        <w:sectPr>
          <w:footerReference r:id="rId180" w:type="default"/>
          <w:pgSz w:w="11906" w:h="16839"/>
          <w:pgMar w:top="400" w:right="1785" w:bottom="1147" w:left="1785" w:header="0" w:footer="960" w:gutter="0"/>
          <w:cols w:space="720" w:num="1"/>
        </w:sectPr>
      </w:pPr>
    </w:p>
    <w:p w14:paraId="78E67DFE">
      <w:pPr>
        <w:spacing w:line="318" w:lineRule="auto"/>
        <w:rPr>
          <w:rFonts w:ascii="Arial"/>
          <w:sz w:val="21"/>
        </w:rPr>
      </w:pPr>
    </w:p>
    <w:p w14:paraId="521EB831">
      <w:pPr>
        <w:spacing w:line="319" w:lineRule="auto"/>
        <w:rPr>
          <w:rFonts w:ascii="Arial"/>
          <w:sz w:val="21"/>
        </w:rPr>
      </w:pPr>
    </w:p>
    <w:p w14:paraId="3ACF4EC4">
      <w:pPr>
        <w:spacing w:line="319" w:lineRule="auto"/>
        <w:rPr>
          <w:rFonts w:ascii="Arial"/>
          <w:sz w:val="21"/>
        </w:rPr>
      </w:pPr>
    </w:p>
    <w:p w14:paraId="6414F51F">
      <w:pPr>
        <w:pStyle w:val="2"/>
        <w:spacing w:before="78" w:line="260" w:lineRule="auto"/>
        <w:ind w:left="1648"/>
        <w:rPr>
          <w:sz w:val="24"/>
          <w:szCs w:val="24"/>
        </w:rPr>
      </w:pPr>
      <w:r>
        <w:rPr>
          <w:sz w:val="24"/>
          <w:szCs w:val="24"/>
        </w:rPr>
        <w:drawing>
          <wp:inline distT="0" distB="0" distL="0" distR="0">
            <wp:extent cx="1883410" cy="327025"/>
            <wp:effectExtent l="0" t="0" r="0" b="0"/>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r:embed="rId293"/>
                    <a:stretch>
                      <a:fillRect/>
                    </a:stretch>
                  </pic:blipFill>
                  <pic:spPr>
                    <a:xfrm>
                      <a:off x="0" y="0"/>
                      <a:ext cx="1883664" cy="327659"/>
                    </a:xfrm>
                    <a:prstGeom prst="rect">
                      <a:avLst/>
                    </a:prstGeom>
                  </pic:spPr>
                </pic:pic>
              </a:graphicData>
            </a:graphic>
          </wp:inline>
        </w:drawing>
      </w:r>
      <w:r>
        <w:rPr>
          <w:spacing w:val="-91"/>
          <w:sz w:val="24"/>
          <w:szCs w:val="24"/>
        </w:rPr>
        <w:t xml:space="preserve"> </w:t>
      </w:r>
      <w:r>
        <w:rPr>
          <w:spacing w:val="10"/>
          <w:sz w:val="24"/>
          <w:szCs w:val="24"/>
          <w:u w:val="single" w:color="auto"/>
        </w:rPr>
        <w:t xml:space="preserve">         </w:t>
      </w:r>
      <w:r>
        <w:rPr>
          <w:spacing w:val="-2"/>
          <w:sz w:val="24"/>
          <w:szCs w:val="24"/>
        </w:rPr>
        <w:t>（</w:t>
      </w:r>
      <w:r>
        <w:rPr>
          <w:rFonts w:ascii="Times New Roman" w:hAnsi="Times New Roman" w:eastAsia="Times New Roman" w:cs="Times New Roman"/>
          <w:spacing w:val="-2"/>
          <w:sz w:val="24"/>
          <w:szCs w:val="24"/>
        </w:rPr>
        <w:t>C11</w:t>
      </w:r>
      <w:r>
        <w:rPr>
          <w:spacing w:val="-2"/>
          <w:sz w:val="24"/>
          <w:szCs w:val="24"/>
        </w:rPr>
        <w:t>）</w:t>
      </w:r>
    </w:p>
    <w:p w14:paraId="51D8C166">
      <w:pPr>
        <w:pStyle w:val="2"/>
        <w:spacing w:before="118" w:line="323" w:lineRule="exact"/>
        <w:ind w:left="508"/>
        <w:rPr>
          <w:sz w:val="24"/>
          <w:szCs w:val="24"/>
        </w:rPr>
      </w:pPr>
      <w:r>
        <w:rPr>
          <w:spacing w:val="-7"/>
          <w:position w:val="2"/>
          <w:sz w:val="24"/>
          <w:szCs w:val="24"/>
        </w:rPr>
        <w:t>式中：</w:t>
      </w:r>
      <w:r>
        <w:rPr>
          <w:rFonts w:ascii="Times New Roman" w:hAnsi="Times New Roman" w:eastAsia="Times New Roman" w:cs="Times New Roman"/>
          <w:i/>
          <w:iCs/>
          <w:spacing w:val="-7"/>
          <w:position w:val="2"/>
          <w:sz w:val="24"/>
          <w:szCs w:val="24"/>
        </w:rPr>
        <w:t>x</w:t>
      </w:r>
      <w:r>
        <w:rPr>
          <w:rFonts w:ascii="Times New Roman" w:hAnsi="Times New Roman" w:eastAsia="Times New Roman" w:cs="Times New Roman"/>
          <w:i/>
          <w:iCs/>
          <w:spacing w:val="-7"/>
          <w:position w:val="1"/>
          <w:sz w:val="15"/>
          <w:szCs w:val="15"/>
        </w:rPr>
        <w:t>i</w:t>
      </w:r>
      <w:r>
        <w:rPr>
          <w:spacing w:val="-7"/>
          <w:position w:val="2"/>
          <w:sz w:val="24"/>
          <w:szCs w:val="24"/>
        </w:rPr>
        <w:t>，</w:t>
      </w:r>
      <w:r>
        <w:rPr>
          <w:rFonts w:ascii="Times New Roman" w:hAnsi="Times New Roman" w:eastAsia="Times New Roman" w:cs="Times New Roman"/>
          <w:i/>
          <w:iCs/>
          <w:spacing w:val="-7"/>
          <w:position w:val="2"/>
          <w:sz w:val="24"/>
          <w:szCs w:val="24"/>
        </w:rPr>
        <w:t>y</w:t>
      </w:r>
      <w:r>
        <w:rPr>
          <w:rFonts w:ascii="Times New Roman" w:hAnsi="Times New Roman" w:eastAsia="Times New Roman" w:cs="Times New Roman"/>
          <w:i/>
          <w:iCs/>
          <w:spacing w:val="-7"/>
          <w:position w:val="1"/>
          <w:sz w:val="15"/>
          <w:szCs w:val="15"/>
        </w:rPr>
        <w:t>i</w:t>
      </w:r>
      <w:r>
        <w:rPr>
          <w:rFonts w:ascii="Times New Roman" w:hAnsi="Times New Roman" w:eastAsia="Times New Roman" w:cs="Times New Roman"/>
          <w:spacing w:val="-7"/>
          <w:position w:val="2"/>
          <w:sz w:val="24"/>
          <w:szCs w:val="24"/>
        </w:rPr>
        <w:t>——</w:t>
      </w:r>
      <w:r>
        <w:rPr>
          <w:spacing w:val="-7"/>
          <w:position w:val="2"/>
          <w:sz w:val="24"/>
          <w:szCs w:val="24"/>
        </w:rPr>
        <w:t>导线</w:t>
      </w:r>
      <w:r>
        <w:rPr>
          <w:spacing w:val="-50"/>
          <w:position w:val="2"/>
          <w:sz w:val="24"/>
          <w:szCs w:val="24"/>
        </w:rPr>
        <w:t xml:space="preserve"> </w:t>
      </w:r>
      <w:r>
        <w:rPr>
          <w:rFonts w:ascii="Times New Roman" w:hAnsi="Times New Roman" w:eastAsia="Times New Roman" w:cs="Times New Roman"/>
          <w:i/>
          <w:iCs/>
          <w:spacing w:val="-7"/>
          <w:position w:val="2"/>
          <w:sz w:val="24"/>
          <w:szCs w:val="24"/>
        </w:rPr>
        <w:t>i</w:t>
      </w:r>
      <w:r>
        <w:rPr>
          <w:rFonts w:ascii="Times New Roman" w:hAnsi="Times New Roman" w:eastAsia="Times New Roman" w:cs="Times New Roman"/>
          <w:i/>
          <w:iCs/>
          <w:spacing w:val="28"/>
          <w:position w:val="2"/>
          <w:sz w:val="24"/>
          <w:szCs w:val="24"/>
        </w:rPr>
        <w:t xml:space="preserve"> </w:t>
      </w:r>
      <w:r>
        <w:rPr>
          <w:spacing w:val="-7"/>
          <w:position w:val="2"/>
          <w:sz w:val="24"/>
          <w:szCs w:val="24"/>
        </w:rPr>
        <w:t>的坐标（</w:t>
      </w:r>
      <w:r>
        <w:rPr>
          <w:rFonts w:ascii="Times New Roman" w:hAnsi="Times New Roman" w:eastAsia="Times New Roman" w:cs="Times New Roman"/>
          <w:i/>
          <w:iCs/>
          <w:spacing w:val="-7"/>
          <w:position w:val="2"/>
          <w:sz w:val="24"/>
          <w:szCs w:val="24"/>
        </w:rPr>
        <w:t>i</w:t>
      </w:r>
      <w:r>
        <w:rPr>
          <w:rFonts w:ascii="Times New Roman" w:hAnsi="Times New Roman" w:eastAsia="Times New Roman" w:cs="Times New Roman"/>
          <w:spacing w:val="-7"/>
          <w:position w:val="2"/>
          <w:sz w:val="24"/>
          <w:szCs w:val="24"/>
        </w:rPr>
        <w:t>=</w:t>
      </w:r>
      <w:r>
        <w:rPr>
          <w:rFonts w:ascii="Times New Roman" w:hAnsi="Times New Roman" w:eastAsia="Times New Roman" w:cs="Times New Roman"/>
          <w:spacing w:val="-33"/>
          <w:position w:val="2"/>
          <w:sz w:val="24"/>
          <w:szCs w:val="24"/>
        </w:rPr>
        <w:t xml:space="preserve"> </w:t>
      </w:r>
      <w:r>
        <w:rPr>
          <w:rFonts w:ascii="Times New Roman" w:hAnsi="Times New Roman" w:eastAsia="Times New Roman" w:cs="Times New Roman"/>
          <w:spacing w:val="-7"/>
          <w:position w:val="2"/>
          <w:sz w:val="24"/>
          <w:szCs w:val="24"/>
        </w:rPr>
        <w:t>1</w:t>
      </w:r>
      <w:r>
        <w:rPr>
          <w:rFonts w:ascii="Times New Roman" w:hAnsi="Times New Roman" w:eastAsia="Times New Roman" w:cs="Times New Roman"/>
          <w:spacing w:val="-34"/>
          <w:position w:val="2"/>
          <w:sz w:val="24"/>
          <w:szCs w:val="24"/>
        </w:rPr>
        <w:t xml:space="preserve"> </w:t>
      </w:r>
      <w:r>
        <w:rPr>
          <w:spacing w:val="-7"/>
          <w:position w:val="2"/>
          <w:sz w:val="24"/>
          <w:szCs w:val="24"/>
        </w:rPr>
        <w:t>、</w:t>
      </w:r>
      <w:r>
        <w:rPr>
          <w:rFonts w:ascii="Times New Roman" w:hAnsi="Times New Roman" w:eastAsia="Times New Roman" w:cs="Times New Roman"/>
          <w:spacing w:val="-7"/>
          <w:position w:val="2"/>
          <w:sz w:val="24"/>
          <w:szCs w:val="24"/>
        </w:rPr>
        <w:t>2</w:t>
      </w:r>
      <w:r>
        <w:rPr>
          <w:rFonts w:ascii="Times New Roman" w:hAnsi="Times New Roman" w:eastAsia="Times New Roman" w:cs="Times New Roman"/>
          <w:spacing w:val="-34"/>
          <w:position w:val="2"/>
          <w:sz w:val="24"/>
          <w:szCs w:val="24"/>
        </w:rPr>
        <w:t xml:space="preserve"> </w:t>
      </w:r>
      <w:r>
        <w:rPr>
          <w:spacing w:val="-7"/>
          <w:position w:val="2"/>
          <w:sz w:val="24"/>
          <w:szCs w:val="24"/>
        </w:rPr>
        <w:t>、</w:t>
      </w:r>
      <w:r>
        <w:rPr>
          <w:spacing w:val="-93"/>
          <w:position w:val="2"/>
          <w:sz w:val="24"/>
          <w:szCs w:val="24"/>
        </w:rPr>
        <w:t xml:space="preserve"> </w:t>
      </w:r>
      <w:r>
        <w:rPr>
          <w:rFonts w:ascii="Times New Roman" w:hAnsi="Times New Roman" w:eastAsia="Times New Roman" w:cs="Times New Roman"/>
          <w:spacing w:val="-7"/>
          <w:position w:val="2"/>
          <w:sz w:val="24"/>
          <w:szCs w:val="24"/>
        </w:rPr>
        <w:t>…m</w:t>
      </w:r>
      <w:r>
        <w:rPr>
          <w:spacing w:val="8"/>
          <w:position w:val="2"/>
          <w:sz w:val="24"/>
          <w:szCs w:val="24"/>
        </w:rPr>
        <w:t>）；</w:t>
      </w:r>
    </w:p>
    <w:p w14:paraId="111CFC5E">
      <w:pPr>
        <w:pStyle w:val="2"/>
        <w:spacing w:before="188" w:line="219" w:lineRule="auto"/>
        <w:ind w:left="1218"/>
        <w:rPr>
          <w:sz w:val="24"/>
          <w:szCs w:val="24"/>
        </w:rPr>
      </w:pPr>
      <w:r>
        <w:rPr>
          <w:rFonts w:ascii="Times New Roman" w:hAnsi="Times New Roman" w:eastAsia="Times New Roman" w:cs="Times New Roman"/>
          <w:i/>
          <w:iCs/>
          <w:spacing w:val="-1"/>
          <w:sz w:val="24"/>
          <w:szCs w:val="24"/>
        </w:rPr>
        <w:t>m</w:t>
      </w:r>
      <w:r>
        <w:rPr>
          <w:rFonts w:ascii="Times New Roman" w:hAnsi="Times New Roman" w:eastAsia="Times New Roman" w:cs="Times New Roman"/>
          <w:spacing w:val="-1"/>
          <w:sz w:val="24"/>
          <w:szCs w:val="24"/>
        </w:rPr>
        <w:t>——</w:t>
      </w:r>
      <w:r>
        <w:rPr>
          <w:spacing w:val="-1"/>
          <w:sz w:val="24"/>
          <w:szCs w:val="24"/>
        </w:rPr>
        <w:t>导线数目；</w:t>
      </w:r>
    </w:p>
    <w:p w14:paraId="4E443FCC">
      <w:pPr>
        <w:pStyle w:val="2"/>
        <w:spacing w:before="180" w:line="219" w:lineRule="auto"/>
        <w:ind w:left="1206"/>
        <w:rPr>
          <w:sz w:val="24"/>
          <w:szCs w:val="24"/>
        </w:rPr>
      </w:pPr>
      <w:r>
        <w:rPr>
          <w:rFonts w:ascii="Times New Roman" w:hAnsi="Times New Roman" w:eastAsia="Times New Roman" w:cs="Times New Roman"/>
          <w:i/>
          <w:iCs/>
          <w:spacing w:val="3"/>
          <w:sz w:val="24"/>
          <w:szCs w:val="24"/>
        </w:rPr>
        <w:t>L</w:t>
      </w:r>
      <w:r>
        <w:rPr>
          <w:rFonts w:ascii="Times New Roman" w:hAnsi="Times New Roman" w:eastAsia="Times New Roman" w:cs="Times New Roman"/>
          <w:i/>
          <w:iCs/>
          <w:spacing w:val="3"/>
          <w:position w:val="-1"/>
          <w:sz w:val="15"/>
          <w:szCs w:val="15"/>
        </w:rPr>
        <w:t>i</w:t>
      </w:r>
      <w:r>
        <w:rPr>
          <w:rFonts w:ascii="Times New Roman" w:hAnsi="Times New Roman" w:eastAsia="Times New Roman" w:cs="Times New Roman"/>
          <w:i/>
          <w:iCs/>
          <w:spacing w:val="-9"/>
          <w:position w:val="-1"/>
          <w:sz w:val="15"/>
          <w:szCs w:val="15"/>
        </w:rPr>
        <w:t xml:space="preserve"> </w:t>
      </w:r>
      <w:r>
        <w:rPr>
          <w:spacing w:val="-2"/>
          <w:sz w:val="24"/>
          <w:szCs w:val="24"/>
        </w:rPr>
        <w:t>、</w:t>
      </w:r>
      <w:r>
        <w:rPr>
          <w:rFonts w:ascii="Times New Roman" w:hAnsi="Times New Roman" w:eastAsia="Times New Roman" w:cs="Times New Roman"/>
          <w:i/>
          <w:iCs/>
          <w:spacing w:val="-2"/>
          <w:sz w:val="24"/>
          <w:szCs w:val="24"/>
        </w:rPr>
        <w:t>L</w:t>
      </w:r>
      <w:r>
        <w:rPr>
          <w:rFonts w:ascii="Times New Roman" w:hAnsi="Times New Roman" w:eastAsia="Times New Roman" w:cs="Times New Roman"/>
          <w:i/>
          <w:iCs/>
          <w:spacing w:val="-2"/>
          <w:position w:val="7"/>
          <w:sz w:val="15"/>
          <w:szCs w:val="15"/>
        </w:rPr>
        <w:t>’</w:t>
      </w:r>
      <w:r>
        <w:rPr>
          <w:rFonts w:ascii="Times New Roman" w:hAnsi="Times New Roman" w:eastAsia="Times New Roman" w:cs="Times New Roman"/>
          <w:i/>
          <w:iCs/>
          <w:spacing w:val="-2"/>
          <w:position w:val="-1"/>
          <w:sz w:val="15"/>
          <w:szCs w:val="15"/>
        </w:rPr>
        <w:t>i</w:t>
      </w:r>
      <w:r>
        <w:rPr>
          <w:rFonts w:ascii="Times New Roman" w:hAnsi="Times New Roman" w:eastAsia="Times New Roman" w:cs="Times New Roman"/>
          <w:spacing w:val="-2"/>
          <w:sz w:val="24"/>
          <w:szCs w:val="24"/>
        </w:rPr>
        <w:t>——</w:t>
      </w:r>
      <w:r>
        <w:rPr>
          <w:spacing w:val="-2"/>
          <w:sz w:val="24"/>
          <w:szCs w:val="24"/>
        </w:rPr>
        <w:t>分别为导线</w:t>
      </w:r>
      <w:r>
        <w:rPr>
          <w:spacing w:val="-50"/>
          <w:sz w:val="24"/>
          <w:szCs w:val="24"/>
        </w:rPr>
        <w:t xml:space="preserve"> </w:t>
      </w:r>
      <w:r>
        <w:rPr>
          <w:rFonts w:ascii="Times New Roman" w:hAnsi="Times New Roman" w:eastAsia="Times New Roman" w:cs="Times New Roman"/>
          <w:i/>
          <w:iCs/>
          <w:spacing w:val="-2"/>
          <w:sz w:val="24"/>
          <w:szCs w:val="24"/>
        </w:rPr>
        <w:t xml:space="preserve">i </w:t>
      </w:r>
      <w:r>
        <w:rPr>
          <w:spacing w:val="-2"/>
          <w:sz w:val="24"/>
          <w:szCs w:val="24"/>
        </w:rPr>
        <w:t>及镜像至计算点的距离，</w:t>
      </w:r>
      <w:r>
        <w:rPr>
          <w:rFonts w:ascii="Times New Roman" w:hAnsi="Times New Roman" w:eastAsia="Times New Roman" w:cs="Times New Roman"/>
          <w:spacing w:val="-2"/>
          <w:sz w:val="24"/>
          <w:szCs w:val="24"/>
        </w:rPr>
        <w:t>m</w:t>
      </w:r>
      <w:r>
        <w:rPr>
          <w:spacing w:val="-2"/>
          <w:sz w:val="24"/>
          <w:szCs w:val="24"/>
        </w:rPr>
        <w:t>。</w:t>
      </w:r>
    </w:p>
    <w:p w14:paraId="3BB6503D">
      <w:pPr>
        <w:pStyle w:val="2"/>
        <w:spacing w:before="182" w:line="346" w:lineRule="auto"/>
        <w:ind w:left="51" w:right="128" w:firstLine="450"/>
        <w:rPr>
          <w:sz w:val="24"/>
          <w:szCs w:val="24"/>
        </w:rPr>
      </w:pPr>
      <w:r>
        <w:rPr>
          <w:sz w:val="24"/>
          <w:szCs w:val="24"/>
        </w:rPr>
        <w:t>对于三相交流线路，可根据式（</w:t>
      </w:r>
      <w:r>
        <w:rPr>
          <w:rFonts w:ascii="Times New Roman" w:hAnsi="Times New Roman" w:eastAsia="Times New Roman" w:cs="Times New Roman"/>
          <w:sz w:val="24"/>
          <w:szCs w:val="24"/>
        </w:rPr>
        <w:t>C8</w:t>
      </w:r>
      <w:r>
        <w:rPr>
          <w:sz w:val="24"/>
          <w:szCs w:val="24"/>
        </w:rPr>
        <w:t>）和（</w:t>
      </w:r>
      <w:r>
        <w:rPr>
          <w:rFonts w:ascii="Times New Roman" w:hAnsi="Times New Roman" w:eastAsia="Times New Roman" w:cs="Times New Roman"/>
          <w:sz w:val="24"/>
          <w:szCs w:val="24"/>
        </w:rPr>
        <w:t>C9</w:t>
      </w:r>
      <w:r>
        <w:rPr>
          <w:sz w:val="24"/>
          <w:szCs w:val="24"/>
        </w:rPr>
        <w:t>）求</w:t>
      </w:r>
      <w:r>
        <w:rPr>
          <w:spacing w:val="-1"/>
          <w:sz w:val="24"/>
          <w:szCs w:val="24"/>
        </w:rPr>
        <w:t>得的电荷计算空间任一点</w:t>
      </w:r>
      <w:r>
        <w:rPr>
          <w:spacing w:val="-3"/>
          <w:sz w:val="24"/>
          <w:szCs w:val="24"/>
        </w:rPr>
        <w:t>电场强度的水平和垂直分量为：</w:t>
      </w:r>
    </w:p>
    <w:p w14:paraId="0C930FF0">
      <w:pPr>
        <w:spacing w:line="785" w:lineRule="exact"/>
        <w:ind w:firstLine="2934"/>
      </w:pPr>
      <w:r>
        <w:rPr>
          <w:position w:val="-15"/>
        </w:rPr>
        <w:drawing>
          <wp:inline distT="0" distB="0" distL="0" distR="0">
            <wp:extent cx="1566545" cy="497840"/>
            <wp:effectExtent l="0" t="0" r="0" b="0"/>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r:embed="rId294"/>
                    <a:stretch>
                      <a:fillRect/>
                    </a:stretch>
                  </pic:blipFill>
                  <pic:spPr>
                    <a:xfrm>
                      <a:off x="0" y="0"/>
                      <a:ext cx="1566672" cy="498347"/>
                    </a:xfrm>
                    <a:prstGeom prst="rect">
                      <a:avLst/>
                    </a:prstGeom>
                  </pic:spPr>
                </pic:pic>
              </a:graphicData>
            </a:graphic>
          </wp:inline>
        </w:drawing>
      </w:r>
    </w:p>
    <w:p w14:paraId="550FDF27">
      <w:pPr>
        <w:spacing w:before="49"/>
      </w:pPr>
    </w:p>
    <w:p w14:paraId="5DA6A055">
      <w:pPr>
        <w:spacing w:before="48"/>
      </w:pPr>
    </w:p>
    <w:p w14:paraId="0B22C818">
      <w:pPr>
        <w:sectPr>
          <w:footerReference r:id="rId181" w:type="default"/>
          <w:pgSz w:w="11906" w:h="16839"/>
          <w:pgMar w:top="400" w:right="1738" w:bottom="1147" w:left="1785" w:header="0" w:footer="960" w:gutter="0"/>
          <w:cols w:equalWidth="0" w:num="1">
            <w:col w:w="8382"/>
          </w:cols>
        </w:sectPr>
      </w:pPr>
    </w:p>
    <w:p w14:paraId="7DD50CC1">
      <w:pPr>
        <w:spacing w:before="47" w:line="226"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817880" cy="131445"/>
            <wp:effectExtent l="0" t="0" r="0" b="0"/>
            <wp:docPr id="192" name="IM 192"/>
            <wp:cNvGraphicFramePr/>
            <a:graphic xmlns:a="http://schemas.openxmlformats.org/drawingml/2006/main">
              <a:graphicData uri="http://schemas.openxmlformats.org/drawingml/2006/picture">
                <pic:pic xmlns:pic="http://schemas.openxmlformats.org/drawingml/2006/picture">
                  <pic:nvPicPr>
                    <pic:cNvPr id="192" name="IM 192"/>
                    <pic:cNvPicPr/>
                  </pic:nvPicPr>
                  <pic:blipFill>
                    <a:blip r:embed="rId295"/>
                    <a:stretch>
                      <a:fillRect/>
                    </a:stretch>
                  </pic:blipFill>
                  <pic:spPr>
                    <a:xfrm>
                      <a:off x="0" y="0"/>
                      <a:ext cx="818388" cy="131876"/>
                    </a:xfrm>
                    <a:prstGeom prst="rect">
                      <a:avLst/>
                    </a:prstGeom>
                  </pic:spPr>
                </pic:pic>
              </a:graphicData>
            </a:graphic>
          </wp:inline>
        </w:drawing>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0"/>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pacing w:val="-28"/>
          <w:sz w:val="24"/>
          <w:szCs w:val="24"/>
        </w:rPr>
        <w:t>·</w:t>
      </w:r>
    </w:p>
    <w:p w14:paraId="07537752">
      <w:pPr>
        <w:spacing w:line="250" w:lineRule="auto"/>
        <w:rPr>
          <w:rFonts w:ascii="Arial"/>
          <w:sz w:val="21"/>
        </w:rPr>
      </w:pPr>
    </w:p>
    <w:p w14:paraId="4A285D08">
      <w:pPr>
        <w:spacing w:line="250" w:lineRule="auto"/>
        <w:rPr>
          <w:rFonts w:ascii="Arial"/>
          <w:sz w:val="21"/>
        </w:rPr>
      </w:pPr>
    </w:p>
    <w:p w14:paraId="41457387">
      <w:pPr>
        <w:spacing w:line="250" w:lineRule="auto"/>
        <w:rPr>
          <w:rFonts w:ascii="Arial"/>
          <w:sz w:val="21"/>
        </w:rPr>
      </w:pPr>
    </w:p>
    <w:p w14:paraId="304A8FD5">
      <w:pPr>
        <w:spacing w:line="251" w:lineRule="auto"/>
        <w:rPr>
          <w:rFonts w:ascii="Arial"/>
          <w:sz w:val="21"/>
        </w:rPr>
      </w:pPr>
    </w:p>
    <w:p w14:paraId="7978E7FF">
      <w:pPr>
        <w:spacing w:line="251" w:lineRule="auto"/>
        <w:rPr>
          <w:rFonts w:ascii="Arial"/>
          <w:sz w:val="21"/>
        </w:rPr>
      </w:pPr>
    </w:p>
    <w:p w14:paraId="76CDEC5C">
      <w:pPr>
        <w:spacing w:line="251" w:lineRule="auto"/>
        <w:rPr>
          <w:rFonts w:ascii="Arial"/>
          <w:sz w:val="21"/>
        </w:rPr>
      </w:pPr>
    </w:p>
    <w:p w14:paraId="0B1EF7BC">
      <w:pPr>
        <w:spacing w:before="70"/>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824230" cy="152400"/>
            <wp:effectExtent l="0" t="0" r="0" b="0"/>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r:embed="rId296"/>
                    <a:stretch>
                      <a:fillRect/>
                    </a:stretch>
                  </pic:blipFill>
                  <pic:spPr>
                    <a:xfrm>
                      <a:off x="0" y="0"/>
                      <a:ext cx="824483" cy="152668"/>
                    </a:xfrm>
                    <a:prstGeom prst="rect">
                      <a:avLst/>
                    </a:prstGeom>
                  </pic:spPr>
                </pic:pic>
              </a:graphicData>
            </a:graphic>
          </wp:inline>
        </w:drawing>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8"/>
          <w:sz w:val="24"/>
          <w:szCs w:val="24"/>
        </w:rPr>
        <w:t>·</w:t>
      </w:r>
      <w:r>
        <w:rPr>
          <w:rFonts w:ascii="Times New Roman" w:hAnsi="Times New Roman" w:eastAsia="Times New Roman" w:cs="Times New Roman"/>
          <w:spacing w:val="-31"/>
          <w:sz w:val="24"/>
          <w:szCs w:val="24"/>
        </w:rPr>
        <w:t xml:space="preserve"> </w:t>
      </w:r>
      <w:r>
        <w:rPr>
          <w:rFonts w:ascii="Times New Roman" w:hAnsi="Times New Roman" w:eastAsia="Times New Roman" w:cs="Times New Roman"/>
          <w:spacing w:val="-28"/>
          <w:sz w:val="24"/>
          <w:szCs w:val="24"/>
        </w:rPr>
        <w:t>·</w:t>
      </w:r>
    </w:p>
    <w:p w14:paraId="4FF00E1C">
      <w:pPr>
        <w:spacing w:line="14" w:lineRule="auto"/>
        <w:rPr>
          <w:rFonts w:ascii="Arial"/>
          <w:sz w:val="2"/>
        </w:rPr>
      </w:pPr>
      <w:r>
        <w:rPr>
          <w:rFonts w:ascii="Arial" w:hAnsi="Arial" w:eastAsia="Arial" w:cs="Arial"/>
          <w:sz w:val="2"/>
          <w:szCs w:val="2"/>
        </w:rPr>
        <w:br w:type="column"/>
      </w:r>
    </w:p>
    <w:p w14:paraId="544340E8">
      <w:pPr>
        <w:pStyle w:val="2"/>
        <w:spacing w:before="46" w:line="232" w:lineRule="auto"/>
        <w:rPr>
          <w:sz w:val="24"/>
          <w:szCs w:val="24"/>
        </w:rPr>
      </w:pPr>
      <w:r>
        <w:rPr>
          <w:spacing w:val="-5"/>
          <w:sz w:val="24"/>
          <w:szCs w:val="24"/>
        </w:rPr>
        <w:t>（</w:t>
      </w:r>
      <w:r>
        <w:rPr>
          <w:rFonts w:ascii="Times New Roman" w:hAnsi="Times New Roman" w:eastAsia="Times New Roman" w:cs="Times New Roman"/>
          <w:spacing w:val="-5"/>
          <w:sz w:val="24"/>
          <w:szCs w:val="24"/>
        </w:rPr>
        <w:t>C12</w:t>
      </w:r>
      <w:r>
        <w:rPr>
          <w:spacing w:val="-5"/>
          <w:sz w:val="24"/>
          <w:szCs w:val="24"/>
        </w:rPr>
        <w:t>）</w:t>
      </w:r>
    </w:p>
    <w:p w14:paraId="2B711CCD">
      <w:pPr>
        <w:spacing w:before="130" w:line="784" w:lineRule="exact"/>
        <w:ind w:firstLine="283"/>
      </w:pPr>
      <w:r>
        <w:rPr>
          <w:position w:val="-15"/>
        </w:rPr>
        <w:drawing>
          <wp:inline distT="0" distB="0" distL="0" distR="0">
            <wp:extent cx="1575435" cy="497840"/>
            <wp:effectExtent l="0" t="0" r="0" b="0"/>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r:embed="rId297"/>
                    <a:stretch>
                      <a:fillRect/>
                    </a:stretch>
                  </pic:blipFill>
                  <pic:spPr>
                    <a:xfrm>
                      <a:off x="0" y="0"/>
                      <a:ext cx="1575816" cy="498347"/>
                    </a:xfrm>
                    <a:prstGeom prst="rect">
                      <a:avLst/>
                    </a:prstGeom>
                  </pic:spPr>
                </pic:pic>
              </a:graphicData>
            </a:graphic>
          </wp:inline>
        </w:drawing>
      </w:r>
    </w:p>
    <w:p w14:paraId="3E9C8745">
      <w:pPr>
        <w:spacing w:line="290" w:lineRule="auto"/>
        <w:rPr>
          <w:rFonts w:ascii="Arial"/>
          <w:sz w:val="21"/>
        </w:rPr>
      </w:pPr>
    </w:p>
    <w:p w14:paraId="1234827F">
      <w:pPr>
        <w:spacing w:line="290" w:lineRule="auto"/>
        <w:rPr>
          <w:rFonts w:ascii="Arial"/>
          <w:sz w:val="21"/>
        </w:rPr>
      </w:pPr>
    </w:p>
    <w:p w14:paraId="703CA36D">
      <w:pPr>
        <w:pStyle w:val="2"/>
        <w:spacing w:before="79" w:line="221" w:lineRule="auto"/>
        <w:ind w:left="9"/>
        <w:rPr>
          <w:sz w:val="24"/>
          <w:szCs w:val="24"/>
        </w:rPr>
      </w:pPr>
      <w:r>
        <w:rPr>
          <w:spacing w:val="-5"/>
          <w:sz w:val="24"/>
          <w:szCs w:val="24"/>
        </w:rPr>
        <w:t>（</w:t>
      </w:r>
      <w:r>
        <w:rPr>
          <w:rFonts w:ascii="Times New Roman" w:hAnsi="Times New Roman" w:eastAsia="Times New Roman" w:cs="Times New Roman"/>
          <w:spacing w:val="-5"/>
          <w:sz w:val="24"/>
          <w:szCs w:val="24"/>
        </w:rPr>
        <w:t>C13</w:t>
      </w:r>
      <w:r>
        <w:rPr>
          <w:spacing w:val="-5"/>
          <w:sz w:val="24"/>
          <w:szCs w:val="24"/>
        </w:rPr>
        <w:t>）</w:t>
      </w:r>
    </w:p>
    <w:p w14:paraId="49C26D10">
      <w:pPr>
        <w:spacing w:line="221" w:lineRule="auto"/>
        <w:rPr>
          <w:sz w:val="24"/>
          <w:szCs w:val="24"/>
        </w:rPr>
        <w:sectPr>
          <w:type w:val="continuous"/>
          <w:pgSz w:w="11906" w:h="16839"/>
          <w:pgMar w:top="400" w:right="1738" w:bottom="1147" w:left="1785" w:header="0" w:footer="960" w:gutter="0"/>
          <w:cols w:equalWidth="0" w:num="2">
            <w:col w:w="2631" w:space="10"/>
            <w:col w:w="5741"/>
          </w:cols>
        </w:sectPr>
      </w:pPr>
    </w:p>
    <w:p w14:paraId="5324F0C5">
      <w:pPr>
        <w:pStyle w:val="2"/>
        <w:spacing w:before="178" w:line="219" w:lineRule="auto"/>
        <w:ind w:left="508"/>
        <w:rPr>
          <w:sz w:val="24"/>
          <w:szCs w:val="24"/>
        </w:rPr>
      </w:pPr>
      <w:r>
        <w:rPr>
          <w:sz w:val="24"/>
          <w:szCs w:val="24"/>
        </w:rPr>
        <w:t>式中：</w:t>
      </w:r>
      <w:r>
        <w:rPr>
          <w:rFonts w:ascii="Times New Roman" w:hAnsi="Times New Roman" w:eastAsia="Times New Roman" w:cs="Times New Roman"/>
          <w:i/>
          <w:iCs/>
          <w:sz w:val="24"/>
          <w:szCs w:val="24"/>
        </w:rPr>
        <w:t>E</w:t>
      </w:r>
      <w:r>
        <w:rPr>
          <w:rFonts w:ascii="Times New Roman" w:hAnsi="Times New Roman" w:eastAsia="Times New Roman" w:cs="Times New Roman"/>
          <w:i/>
          <w:iCs/>
          <w:position w:val="-1"/>
          <w:sz w:val="15"/>
          <w:szCs w:val="15"/>
        </w:rPr>
        <w:t>xR</w:t>
      </w:r>
      <w:r>
        <w:rPr>
          <w:rFonts w:ascii="Times New Roman" w:hAnsi="Times New Roman" w:eastAsia="Times New Roman" w:cs="Times New Roman"/>
          <w:sz w:val="24"/>
          <w:szCs w:val="24"/>
        </w:rPr>
        <w:t>——</w:t>
      </w:r>
      <w:r>
        <w:rPr>
          <w:sz w:val="24"/>
          <w:szCs w:val="24"/>
        </w:rPr>
        <w:t>由各导线的实部电荷在该</w:t>
      </w:r>
      <w:r>
        <w:rPr>
          <w:spacing w:val="-1"/>
          <w:sz w:val="24"/>
          <w:szCs w:val="24"/>
        </w:rPr>
        <w:t>点产生场强的水平分量；</w:t>
      </w:r>
    </w:p>
    <w:p w14:paraId="062C8244">
      <w:pPr>
        <w:pStyle w:val="2"/>
        <w:spacing w:before="183" w:line="219" w:lineRule="auto"/>
        <w:ind w:left="1209"/>
        <w:rPr>
          <w:sz w:val="24"/>
          <w:szCs w:val="24"/>
        </w:rPr>
      </w:pPr>
      <w:r>
        <w:rPr>
          <w:rFonts w:ascii="Times New Roman" w:hAnsi="Times New Roman" w:eastAsia="Times New Roman" w:cs="Times New Roman"/>
          <w:i/>
          <w:iCs/>
          <w:sz w:val="24"/>
          <w:szCs w:val="24"/>
        </w:rPr>
        <w:t>E</w:t>
      </w:r>
      <w:r>
        <w:rPr>
          <w:rFonts w:ascii="Times New Roman" w:hAnsi="Times New Roman" w:eastAsia="Times New Roman" w:cs="Times New Roman"/>
          <w:i/>
          <w:iCs/>
          <w:position w:val="-1"/>
          <w:sz w:val="15"/>
          <w:szCs w:val="15"/>
        </w:rPr>
        <w:t>xI</w:t>
      </w:r>
      <w:r>
        <w:rPr>
          <w:rFonts w:ascii="Times New Roman" w:hAnsi="Times New Roman" w:eastAsia="Times New Roman" w:cs="Times New Roman"/>
          <w:sz w:val="24"/>
          <w:szCs w:val="24"/>
        </w:rPr>
        <w:t>——</w:t>
      </w:r>
      <w:r>
        <w:rPr>
          <w:sz w:val="24"/>
          <w:szCs w:val="24"/>
        </w:rPr>
        <w:t>由各导线的虚部电荷在该点产生场强的水平分量；</w:t>
      </w:r>
    </w:p>
    <w:p w14:paraId="26E65ED5">
      <w:pPr>
        <w:pStyle w:val="2"/>
        <w:spacing w:before="181" w:line="218" w:lineRule="auto"/>
        <w:ind w:left="1209"/>
        <w:rPr>
          <w:sz w:val="24"/>
          <w:szCs w:val="24"/>
        </w:rPr>
      </w:pPr>
      <w:r>
        <w:rPr>
          <w:rFonts w:ascii="Times New Roman" w:hAnsi="Times New Roman" w:eastAsia="Times New Roman" w:cs="Times New Roman"/>
          <w:i/>
          <w:iCs/>
          <w:sz w:val="24"/>
          <w:szCs w:val="24"/>
        </w:rPr>
        <w:t>E</w:t>
      </w:r>
      <w:r>
        <w:rPr>
          <w:rFonts w:ascii="Times New Roman" w:hAnsi="Times New Roman" w:eastAsia="Times New Roman" w:cs="Times New Roman"/>
          <w:i/>
          <w:iCs/>
          <w:position w:val="-1"/>
          <w:sz w:val="15"/>
          <w:szCs w:val="15"/>
        </w:rPr>
        <w:t>yR</w:t>
      </w:r>
      <w:r>
        <w:rPr>
          <w:rFonts w:ascii="Times New Roman" w:hAnsi="Times New Roman" w:eastAsia="Times New Roman" w:cs="Times New Roman"/>
          <w:sz w:val="24"/>
          <w:szCs w:val="24"/>
        </w:rPr>
        <w:t>——</w:t>
      </w:r>
      <w:r>
        <w:rPr>
          <w:sz w:val="24"/>
          <w:szCs w:val="24"/>
        </w:rPr>
        <w:t>由各导线的实部电荷在该点产生场强的垂直分量；</w:t>
      </w:r>
    </w:p>
    <w:p w14:paraId="7C0D3B88">
      <w:pPr>
        <w:pStyle w:val="2"/>
        <w:spacing w:before="185" w:line="218" w:lineRule="auto"/>
        <w:ind w:left="1209"/>
        <w:rPr>
          <w:sz w:val="24"/>
          <w:szCs w:val="24"/>
        </w:rPr>
      </w:pPr>
      <w:r>
        <w:rPr>
          <w:rFonts w:ascii="Times New Roman" w:hAnsi="Times New Roman" w:eastAsia="Times New Roman" w:cs="Times New Roman"/>
          <w:i/>
          <w:iCs/>
          <w:sz w:val="24"/>
          <w:szCs w:val="24"/>
        </w:rPr>
        <w:t>E</w:t>
      </w:r>
      <w:r>
        <w:rPr>
          <w:rFonts w:ascii="Times New Roman" w:hAnsi="Times New Roman" w:eastAsia="Times New Roman" w:cs="Times New Roman"/>
          <w:i/>
          <w:iCs/>
          <w:position w:val="-1"/>
          <w:sz w:val="15"/>
          <w:szCs w:val="15"/>
        </w:rPr>
        <w:t>yI</w:t>
      </w:r>
      <w:r>
        <w:rPr>
          <w:rFonts w:ascii="Times New Roman" w:hAnsi="Times New Roman" w:eastAsia="Times New Roman" w:cs="Times New Roman"/>
          <w:sz w:val="24"/>
          <w:szCs w:val="24"/>
        </w:rPr>
        <w:t>——</w:t>
      </w:r>
      <w:r>
        <w:rPr>
          <w:sz w:val="24"/>
          <w:szCs w:val="24"/>
        </w:rPr>
        <w:t>由各导线的虚部电荷在该点产生场强的垂直分量。</w:t>
      </w:r>
    </w:p>
    <w:p w14:paraId="136317F3">
      <w:pPr>
        <w:pStyle w:val="2"/>
        <w:spacing w:before="181" w:line="220" w:lineRule="auto"/>
        <w:ind w:left="507"/>
        <w:rPr>
          <w:sz w:val="24"/>
          <w:szCs w:val="24"/>
        </w:rPr>
      </w:pPr>
      <w:r>
        <w:rPr>
          <w:spacing w:val="-2"/>
          <w:sz w:val="24"/>
          <w:szCs w:val="24"/>
        </w:rPr>
        <w:t>该点的合成的电场强度则为：</w:t>
      </w:r>
    </w:p>
    <w:p w14:paraId="43DF87E2">
      <w:pPr>
        <w:spacing w:before="145" w:line="334" w:lineRule="exact"/>
        <w:ind w:firstLine="494"/>
      </w:pPr>
      <w:r>
        <w:rPr>
          <w:position w:val="-6"/>
        </w:rPr>
        <w:drawing>
          <wp:inline distT="0" distB="0" distL="0" distR="0">
            <wp:extent cx="2232025" cy="211455"/>
            <wp:effectExtent l="0" t="0" r="0" b="0"/>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r:embed="rId298"/>
                    <a:stretch>
                      <a:fillRect/>
                    </a:stretch>
                  </pic:blipFill>
                  <pic:spPr>
                    <a:xfrm>
                      <a:off x="0" y="0"/>
                      <a:ext cx="2232659" cy="211835"/>
                    </a:xfrm>
                    <a:prstGeom prst="rect">
                      <a:avLst/>
                    </a:prstGeom>
                  </pic:spPr>
                </pic:pic>
              </a:graphicData>
            </a:graphic>
          </wp:inline>
        </w:drawing>
      </w:r>
    </w:p>
    <w:p w14:paraId="507D0AD7">
      <w:pPr>
        <w:spacing w:line="427" w:lineRule="auto"/>
        <w:rPr>
          <w:rFonts w:ascii="Arial"/>
          <w:sz w:val="21"/>
        </w:rPr>
      </w:pPr>
    </w:p>
    <w:p w14:paraId="77804499">
      <w:pPr>
        <w:pStyle w:val="2"/>
        <w:spacing w:before="124" w:line="284" w:lineRule="auto"/>
        <w:ind w:left="508" w:right="5158" w:hanging="494"/>
        <w:rPr>
          <w:sz w:val="24"/>
          <w:szCs w:val="24"/>
        </w:rPr>
      </w:pPr>
      <w:r>
        <w:rPr>
          <w:rFonts w:ascii="微软雅黑" w:hAnsi="微软雅黑" w:eastAsia="微软雅黑" w:cs="微软雅黑"/>
          <w:position w:val="1"/>
          <w:sz w:val="29"/>
          <w:szCs w:val="29"/>
        </w:rPr>
        <w:t>=瓦+瓦</w:t>
      </w:r>
      <w:r>
        <w:rPr>
          <w:rFonts w:ascii="微软雅黑" w:hAnsi="微软雅黑" w:eastAsia="微软雅黑" w:cs="微软雅黑"/>
          <w:spacing w:val="61"/>
          <w:w w:val="101"/>
          <w:position w:val="1"/>
          <w:sz w:val="29"/>
          <w:szCs w:val="29"/>
        </w:rPr>
        <w:t xml:space="preserve"> </w:t>
      </w:r>
      <w:r>
        <w:rPr>
          <w:rFonts w:ascii="微软雅黑" w:hAnsi="微软雅黑" w:eastAsia="微软雅黑" w:cs="微软雅黑"/>
          <w:spacing w:val="4"/>
          <w:position w:val="1"/>
          <w:sz w:val="29"/>
          <w:szCs w:val="29"/>
          <w:u w:val="single" w:color="auto"/>
        </w:rPr>
        <w:t xml:space="preserve">             </w:t>
      </w:r>
      <w:r>
        <w:rPr>
          <w:position w:val="-5"/>
          <w:sz w:val="24"/>
          <w:szCs w:val="24"/>
        </w:rPr>
        <w:t>（</w:t>
      </w:r>
      <w:r>
        <w:rPr>
          <w:rFonts w:ascii="Times New Roman" w:hAnsi="Times New Roman" w:eastAsia="Times New Roman" w:cs="Times New Roman"/>
          <w:position w:val="-5"/>
          <w:sz w:val="24"/>
          <w:szCs w:val="24"/>
        </w:rPr>
        <w:t>C14</w:t>
      </w:r>
      <w:r>
        <w:rPr>
          <w:position w:val="-5"/>
          <w:sz w:val="24"/>
          <w:szCs w:val="24"/>
        </w:rPr>
        <w:t>）</w:t>
      </w:r>
      <w:r>
        <w:rPr>
          <w:spacing w:val="-5"/>
          <w:sz w:val="24"/>
          <w:szCs w:val="24"/>
        </w:rPr>
        <w:t>式中：</w:t>
      </w:r>
    </w:p>
    <w:p w14:paraId="23D1D6B7">
      <w:pPr>
        <w:spacing w:line="284" w:lineRule="auto"/>
        <w:rPr>
          <w:sz w:val="24"/>
          <w:szCs w:val="24"/>
        </w:rPr>
        <w:sectPr>
          <w:type w:val="continuous"/>
          <w:pgSz w:w="11906" w:h="16839"/>
          <w:pgMar w:top="400" w:right="1738" w:bottom="1147" w:left="1785" w:header="0" w:footer="960" w:gutter="0"/>
          <w:cols w:equalWidth="0" w:num="1">
            <w:col w:w="8382"/>
          </w:cols>
        </w:sectPr>
      </w:pPr>
    </w:p>
    <w:p w14:paraId="660570BE">
      <w:pPr>
        <w:spacing w:before="48" w:line="586" w:lineRule="exact"/>
        <w:ind w:firstLine="2219"/>
      </w:pPr>
      <w:r>
        <w:rPr>
          <w:position w:val="-11"/>
        </w:rPr>
        <w:drawing>
          <wp:inline distT="0" distB="0" distL="0" distR="0">
            <wp:extent cx="1076960" cy="371475"/>
            <wp:effectExtent l="0" t="0" r="0" b="0"/>
            <wp:docPr id="200" name="IM 200"/>
            <wp:cNvGraphicFramePr/>
            <a:graphic xmlns:a="http://schemas.openxmlformats.org/drawingml/2006/main">
              <a:graphicData uri="http://schemas.openxmlformats.org/drawingml/2006/picture">
                <pic:pic xmlns:pic="http://schemas.openxmlformats.org/drawingml/2006/picture">
                  <pic:nvPicPr>
                    <pic:cNvPr id="200" name="IM 200"/>
                    <pic:cNvPicPr/>
                  </pic:nvPicPr>
                  <pic:blipFill>
                    <a:blip r:embed="rId299"/>
                    <a:stretch>
                      <a:fillRect/>
                    </a:stretch>
                  </pic:blipFill>
                  <pic:spPr>
                    <a:xfrm>
                      <a:off x="0" y="0"/>
                      <a:ext cx="1077467" cy="371855"/>
                    </a:xfrm>
                    <a:prstGeom prst="rect">
                      <a:avLst/>
                    </a:prstGeom>
                  </pic:spPr>
                </pic:pic>
              </a:graphicData>
            </a:graphic>
          </wp:inline>
        </w:drawing>
      </w:r>
    </w:p>
    <w:p w14:paraId="0D6E1693">
      <w:pPr>
        <w:spacing w:before="225" w:line="586" w:lineRule="exact"/>
        <w:ind w:firstLine="2212"/>
      </w:pPr>
      <w:r>
        <w:rPr>
          <w:position w:val="-11"/>
        </w:rPr>
        <w:drawing>
          <wp:inline distT="0" distB="0" distL="0" distR="0">
            <wp:extent cx="1086485" cy="371475"/>
            <wp:effectExtent l="0" t="0" r="0" b="0"/>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r:embed="rId300"/>
                    <a:stretch>
                      <a:fillRect/>
                    </a:stretch>
                  </pic:blipFill>
                  <pic:spPr>
                    <a:xfrm>
                      <a:off x="0" y="0"/>
                      <a:ext cx="1086611" cy="371855"/>
                    </a:xfrm>
                    <a:prstGeom prst="rect">
                      <a:avLst/>
                    </a:prstGeom>
                  </pic:spPr>
                </pic:pic>
              </a:graphicData>
            </a:graphic>
          </wp:inline>
        </w:drawing>
      </w:r>
    </w:p>
    <w:p w14:paraId="100FD553">
      <w:pPr>
        <w:spacing w:line="14" w:lineRule="auto"/>
        <w:rPr>
          <w:rFonts w:ascii="Arial"/>
          <w:sz w:val="2"/>
        </w:rPr>
      </w:pPr>
      <w:r>
        <w:rPr>
          <w:rFonts w:ascii="Arial" w:hAnsi="Arial" w:eastAsia="Arial" w:cs="Arial"/>
          <w:sz w:val="2"/>
          <w:szCs w:val="2"/>
        </w:rPr>
        <w:br w:type="column"/>
      </w:r>
    </w:p>
    <w:p w14:paraId="56CC4336">
      <w:pPr>
        <w:spacing w:line="462" w:lineRule="auto"/>
        <w:rPr>
          <w:rFonts w:ascii="Arial"/>
          <w:sz w:val="21"/>
        </w:rPr>
      </w:pPr>
    </w:p>
    <w:p w14:paraId="63684EC4">
      <w:pPr>
        <w:spacing w:before="70" w:line="148" w:lineRule="exact"/>
        <w:jc w:val="right"/>
        <w:rPr>
          <w:rFonts w:ascii="Times New Roman" w:hAnsi="Times New Roman" w:eastAsia="Times New Roman" w:cs="Times New Roman"/>
          <w:sz w:val="24"/>
          <w:szCs w:val="24"/>
        </w:rPr>
      </w:pP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29"/>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1"/>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1"/>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1"/>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1"/>
          <w:position w:val="-4"/>
          <w:sz w:val="24"/>
          <w:szCs w:val="24"/>
        </w:rPr>
        <w:t xml:space="preserve"> </w:t>
      </w:r>
      <w:r>
        <w:rPr>
          <w:rFonts w:ascii="Times New Roman" w:hAnsi="Times New Roman" w:eastAsia="Times New Roman" w:cs="Times New Roman"/>
          <w:spacing w:val="-28"/>
          <w:position w:val="-4"/>
          <w:sz w:val="24"/>
          <w:szCs w:val="24"/>
        </w:rPr>
        <w:t>·</w:t>
      </w:r>
    </w:p>
    <w:p w14:paraId="79B7F0D9">
      <w:pPr>
        <w:spacing w:line="295" w:lineRule="auto"/>
        <w:rPr>
          <w:rFonts w:ascii="Arial"/>
          <w:sz w:val="21"/>
        </w:rPr>
      </w:pPr>
    </w:p>
    <w:p w14:paraId="53C859B8">
      <w:pPr>
        <w:spacing w:line="295" w:lineRule="auto"/>
        <w:rPr>
          <w:rFonts w:ascii="Arial"/>
          <w:sz w:val="21"/>
        </w:rPr>
      </w:pPr>
    </w:p>
    <w:p w14:paraId="22DB5863">
      <w:pPr>
        <w:spacing w:before="69" w:line="148" w:lineRule="exact"/>
        <w:jc w:val="right"/>
        <w:rPr>
          <w:rFonts w:ascii="Times New Roman" w:hAnsi="Times New Roman" w:eastAsia="Times New Roman" w:cs="Times New Roman"/>
          <w:sz w:val="24"/>
          <w:szCs w:val="24"/>
        </w:rPr>
      </w:pP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29"/>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1"/>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1"/>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1"/>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r>
        <w:rPr>
          <w:rFonts w:ascii="Times New Roman" w:hAnsi="Times New Roman" w:eastAsia="Times New Roman" w:cs="Times New Roman"/>
          <w:spacing w:val="-33"/>
          <w:position w:val="-4"/>
          <w:sz w:val="24"/>
          <w:szCs w:val="24"/>
        </w:rPr>
        <w:t xml:space="preserve"> </w:t>
      </w:r>
      <w:r>
        <w:rPr>
          <w:rFonts w:ascii="Times New Roman" w:hAnsi="Times New Roman" w:eastAsia="Times New Roman" w:cs="Times New Roman"/>
          <w:spacing w:val="-28"/>
          <w:position w:val="-4"/>
          <w:sz w:val="24"/>
          <w:szCs w:val="24"/>
        </w:rPr>
        <w:t>·</w:t>
      </w:r>
    </w:p>
    <w:p w14:paraId="7B655199">
      <w:pPr>
        <w:spacing w:line="14" w:lineRule="auto"/>
        <w:rPr>
          <w:rFonts w:ascii="Arial"/>
          <w:sz w:val="2"/>
        </w:rPr>
      </w:pPr>
      <w:r>
        <w:rPr>
          <w:rFonts w:ascii="Arial" w:hAnsi="Arial" w:eastAsia="Arial" w:cs="Arial"/>
          <w:sz w:val="2"/>
          <w:szCs w:val="2"/>
        </w:rPr>
        <w:br w:type="column"/>
      </w:r>
    </w:p>
    <w:p w14:paraId="73DDA036">
      <w:pPr>
        <w:spacing w:line="346" w:lineRule="auto"/>
        <w:rPr>
          <w:rFonts w:ascii="Arial"/>
          <w:sz w:val="21"/>
        </w:rPr>
      </w:pPr>
    </w:p>
    <w:p w14:paraId="1D9E7D7B">
      <w:pPr>
        <w:pStyle w:val="2"/>
        <w:spacing w:before="78" w:line="232" w:lineRule="auto"/>
        <w:rPr>
          <w:sz w:val="24"/>
          <w:szCs w:val="24"/>
        </w:rPr>
      </w:pPr>
      <w:r>
        <w:rPr>
          <w:spacing w:val="-5"/>
          <w:sz w:val="24"/>
          <w:szCs w:val="24"/>
        </w:rPr>
        <w:t>（</w:t>
      </w:r>
      <w:r>
        <w:rPr>
          <w:rFonts w:ascii="Times New Roman" w:hAnsi="Times New Roman" w:eastAsia="Times New Roman" w:cs="Times New Roman"/>
          <w:spacing w:val="-5"/>
          <w:sz w:val="24"/>
          <w:szCs w:val="24"/>
        </w:rPr>
        <w:t>C15</w:t>
      </w:r>
      <w:r>
        <w:rPr>
          <w:spacing w:val="-5"/>
          <w:sz w:val="24"/>
          <w:szCs w:val="24"/>
        </w:rPr>
        <w:t>）</w:t>
      </w:r>
    </w:p>
    <w:p w14:paraId="0AB590BA">
      <w:pPr>
        <w:spacing w:line="429" w:lineRule="auto"/>
        <w:rPr>
          <w:rFonts w:ascii="Arial"/>
          <w:sz w:val="21"/>
        </w:rPr>
      </w:pPr>
    </w:p>
    <w:p w14:paraId="08E293EF">
      <w:pPr>
        <w:pStyle w:val="2"/>
        <w:spacing w:before="79" w:line="221" w:lineRule="auto"/>
        <w:ind w:left="7"/>
        <w:rPr>
          <w:sz w:val="24"/>
          <w:szCs w:val="24"/>
        </w:rPr>
      </w:pPr>
      <w:r>
        <w:rPr>
          <w:spacing w:val="-5"/>
          <w:sz w:val="24"/>
          <w:szCs w:val="24"/>
        </w:rPr>
        <w:t>（</w:t>
      </w:r>
      <w:r>
        <w:rPr>
          <w:rFonts w:ascii="Times New Roman" w:hAnsi="Times New Roman" w:eastAsia="Times New Roman" w:cs="Times New Roman"/>
          <w:spacing w:val="-5"/>
          <w:sz w:val="24"/>
          <w:szCs w:val="24"/>
        </w:rPr>
        <w:t>C16</w:t>
      </w:r>
      <w:r>
        <w:rPr>
          <w:spacing w:val="-5"/>
          <w:sz w:val="24"/>
          <w:szCs w:val="24"/>
        </w:rPr>
        <w:t>）</w:t>
      </w:r>
    </w:p>
    <w:p w14:paraId="4D5BE4BE">
      <w:pPr>
        <w:spacing w:line="221" w:lineRule="auto"/>
        <w:rPr>
          <w:sz w:val="24"/>
          <w:szCs w:val="24"/>
        </w:rPr>
        <w:sectPr>
          <w:type w:val="continuous"/>
          <w:pgSz w:w="11906" w:h="16839"/>
          <w:pgMar w:top="400" w:right="1738" w:bottom="1147" w:left="1785" w:header="0" w:footer="960" w:gutter="0"/>
          <w:cols w:equalWidth="0" w:num="3">
            <w:col w:w="3962" w:space="100"/>
            <w:col w:w="1178" w:space="15"/>
            <w:col w:w="3128"/>
          </w:cols>
        </w:sectPr>
      </w:pPr>
    </w:p>
    <w:p w14:paraId="275BA067">
      <w:pPr>
        <w:pStyle w:val="2"/>
        <w:spacing w:before="177" w:line="219" w:lineRule="auto"/>
        <w:ind w:left="499"/>
        <w:rPr>
          <w:sz w:val="24"/>
          <w:szCs w:val="24"/>
        </w:rPr>
      </w:pPr>
      <w:r>
        <w:rPr>
          <w:rFonts w:ascii="Times New Roman" w:hAnsi="Times New Roman" w:eastAsia="Times New Roman" w:cs="Times New Roman"/>
          <w:spacing w:val="-1"/>
          <w:sz w:val="24"/>
          <w:szCs w:val="24"/>
        </w:rPr>
        <w:t>2</w:t>
      </w:r>
      <w:r>
        <w:rPr>
          <w:spacing w:val="-1"/>
          <w:sz w:val="24"/>
          <w:szCs w:val="24"/>
        </w:rPr>
        <w:t>）高压交流架空输电线路下空间工频磁场强度的计算（附录</w:t>
      </w:r>
      <w:r>
        <w:rPr>
          <w:spacing w:val="-38"/>
          <w:sz w:val="24"/>
          <w:szCs w:val="24"/>
        </w:rPr>
        <w:t xml:space="preserve"> </w:t>
      </w:r>
      <w:r>
        <w:rPr>
          <w:rFonts w:ascii="Times New Roman" w:hAnsi="Times New Roman" w:eastAsia="Times New Roman" w:cs="Times New Roman"/>
          <w:spacing w:val="-1"/>
          <w:sz w:val="24"/>
          <w:szCs w:val="24"/>
        </w:rPr>
        <w:t>D</w:t>
      </w:r>
      <w:r>
        <w:rPr>
          <w:spacing w:val="-1"/>
          <w:sz w:val="24"/>
          <w:szCs w:val="24"/>
        </w:rPr>
        <w:t>）</w:t>
      </w:r>
    </w:p>
    <w:p w14:paraId="7E6F93AC">
      <w:pPr>
        <w:pStyle w:val="2"/>
        <w:spacing w:before="182" w:line="272" w:lineRule="auto"/>
        <w:ind w:left="21" w:firstLine="510"/>
        <w:rPr>
          <w:sz w:val="24"/>
          <w:szCs w:val="24"/>
        </w:rPr>
      </w:pPr>
      <w:r>
        <w:rPr>
          <w:spacing w:val="-9"/>
          <w:sz w:val="24"/>
          <w:szCs w:val="24"/>
        </w:rPr>
        <w:t>由于工频电磁场具有准静态特性，线路的磁场仅由电流产生。应</w:t>
      </w:r>
      <w:r>
        <w:rPr>
          <w:spacing w:val="-10"/>
          <w:sz w:val="24"/>
          <w:szCs w:val="24"/>
        </w:rPr>
        <w:t>用安培定律，</w:t>
      </w:r>
      <w:r>
        <w:rPr>
          <w:spacing w:val="-1"/>
          <w:sz w:val="24"/>
          <w:szCs w:val="24"/>
        </w:rPr>
        <w:t>将计算结果按矢量叠加，可得出导线周围的磁场强度。</w:t>
      </w:r>
    </w:p>
    <w:p w14:paraId="05012FCC">
      <w:pPr>
        <w:spacing w:line="272" w:lineRule="auto"/>
        <w:rPr>
          <w:sz w:val="24"/>
          <w:szCs w:val="24"/>
        </w:rPr>
        <w:sectPr>
          <w:type w:val="continuous"/>
          <w:pgSz w:w="11906" w:h="16839"/>
          <w:pgMar w:top="400" w:right="1738" w:bottom="1147" w:left="1785" w:header="0" w:footer="960" w:gutter="0"/>
          <w:cols w:equalWidth="0" w:num="1">
            <w:col w:w="8382"/>
          </w:cols>
        </w:sectPr>
      </w:pPr>
    </w:p>
    <w:p w14:paraId="26BFC0D5">
      <w:pPr>
        <w:spacing w:line="247" w:lineRule="auto"/>
        <w:rPr>
          <w:rFonts w:ascii="Arial"/>
          <w:sz w:val="21"/>
        </w:rPr>
      </w:pPr>
    </w:p>
    <w:p w14:paraId="006D3445">
      <w:pPr>
        <w:spacing w:line="247" w:lineRule="auto"/>
        <w:rPr>
          <w:rFonts w:ascii="Arial"/>
          <w:sz w:val="21"/>
        </w:rPr>
      </w:pPr>
    </w:p>
    <w:p w14:paraId="361852D2">
      <w:pPr>
        <w:spacing w:line="247" w:lineRule="auto"/>
        <w:rPr>
          <w:rFonts w:ascii="Arial"/>
          <w:sz w:val="21"/>
        </w:rPr>
      </w:pPr>
    </w:p>
    <w:p w14:paraId="29C39B65">
      <w:pPr>
        <w:spacing w:line="248" w:lineRule="auto"/>
        <w:rPr>
          <w:rFonts w:ascii="Arial"/>
          <w:sz w:val="21"/>
        </w:rPr>
      </w:pPr>
    </w:p>
    <w:p w14:paraId="0B3AD667">
      <w:pPr>
        <w:pStyle w:val="2"/>
        <w:spacing w:before="78" w:line="346" w:lineRule="auto"/>
        <w:ind w:left="23" w:right="59" w:firstLine="480"/>
        <w:rPr>
          <w:sz w:val="24"/>
          <w:szCs w:val="24"/>
        </w:rPr>
      </w:pPr>
      <w:r>
        <w:rPr>
          <w:spacing w:val="-3"/>
          <w:sz w:val="24"/>
          <w:szCs w:val="24"/>
        </w:rPr>
        <w:t>和电场强度计算不同的是关于镜像导线的考虑，与导线所处高</w:t>
      </w:r>
      <w:r>
        <w:rPr>
          <w:spacing w:val="-4"/>
          <w:sz w:val="24"/>
          <w:szCs w:val="24"/>
        </w:rPr>
        <w:t>度相比这些镜</w:t>
      </w:r>
      <w:r>
        <w:rPr>
          <w:spacing w:val="3"/>
          <w:sz w:val="24"/>
          <w:szCs w:val="24"/>
        </w:rPr>
        <w:t>像导线位于地下很深的距离</w:t>
      </w:r>
      <w:r>
        <w:rPr>
          <w:rFonts w:ascii="Times New Roman" w:hAnsi="Times New Roman" w:eastAsia="Times New Roman" w:cs="Times New Roman"/>
          <w:spacing w:val="3"/>
          <w:sz w:val="24"/>
          <w:szCs w:val="24"/>
        </w:rPr>
        <w:t>d</w:t>
      </w:r>
      <w:r>
        <w:rPr>
          <w:spacing w:val="3"/>
          <w:sz w:val="24"/>
          <w:szCs w:val="24"/>
        </w:rPr>
        <w:t>：</w:t>
      </w:r>
    </w:p>
    <w:p w14:paraId="4F358FB2">
      <w:pPr>
        <w:spacing w:line="744" w:lineRule="exact"/>
        <w:ind w:firstLine="494"/>
      </w:pPr>
      <w:r>
        <w:rPr>
          <w:position w:val="-14"/>
        </w:rPr>
        <w:drawing>
          <wp:inline distT="0" distB="0" distL="0" distR="0">
            <wp:extent cx="3192145" cy="472440"/>
            <wp:effectExtent l="0" t="0" r="0" b="0"/>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r:embed="rId301"/>
                    <a:stretch>
                      <a:fillRect/>
                    </a:stretch>
                  </pic:blipFill>
                  <pic:spPr>
                    <a:xfrm>
                      <a:off x="0" y="0"/>
                      <a:ext cx="3192779" cy="472440"/>
                    </a:xfrm>
                    <a:prstGeom prst="rect">
                      <a:avLst/>
                    </a:prstGeom>
                  </pic:spPr>
                </pic:pic>
              </a:graphicData>
            </a:graphic>
          </wp:inline>
        </w:drawing>
      </w:r>
    </w:p>
    <w:p w14:paraId="13F3D83B">
      <w:pPr>
        <w:spacing w:before="136" w:line="732" w:lineRule="exact"/>
        <w:ind w:firstLine="494"/>
      </w:pPr>
      <w:r>
        <w:rPr>
          <w:position w:val="-14"/>
        </w:rPr>
        <w:drawing>
          <wp:inline distT="0" distB="0" distL="0" distR="0">
            <wp:extent cx="2247900" cy="464185"/>
            <wp:effectExtent l="0" t="0" r="0" b="0"/>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r:embed="rId302"/>
                    <a:stretch>
                      <a:fillRect/>
                    </a:stretch>
                  </pic:blipFill>
                  <pic:spPr>
                    <a:xfrm>
                      <a:off x="0" y="0"/>
                      <a:ext cx="2247900" cy="464819"/>
                    </a:xfrm>
                    <a:prstGeom prst="rect">
                      <a:avLst/>
                    </a:prstGeom>
                  </pic:spPr>
                </pic:pic>
              </a:graphicData>
            </a:graphic>
          </wp:inline>
        </w:drawing>
      </w:r>
    </w:p>
    <w:p w14:paraId="3CE56754">
      <w:pPr>
        <w:pStyle w:val="2"/>
        <w:spacing w:before="173" w:line="346" w:lineRule="auto"/>
        <w:ind w:left="29" w:firstLine="473"/>
        <w:rPr>
          <w:sz w:val="24"/>
          <w:szCs w:val="24"/>
        </w:rPr>
      </w:pPr>
      <w:r>
        <w:rPr>
          <w:spacing w:val="-3"/>
          <w:sz w:val="24"/>
          <w:szCs w:val="24"/>
        </w:rPr>
        <w:t>在一般情况下，可只考虑处于空间的实际导线，忽略它的镜像进</w:t>
      </w:r>
      <w:r>
        <w:rPr>
          <w:spacing w:val="-4"/>
          <w:sz w:val="24"/>
          <w:szCs w:val="24"/>
        </w:rPr>
        <w:t>行计算，其</w:t>
      </w:r>
      <w:r>
        <w:rPr>
          <w:spacing w:val="-10"/>
          <w:sz w:val="24"/>
          <w:szCs w:val="24"/>
        </w:rPr>
        <w:t>结果已足够符合实际。不考虑导线</w:t>
      </w:r>
      <w:r>
        <w:rPr>
          <w:spacing w:val="-46"/>
          <w:sz w:val="24"/>
          <w:szCs w:val="24"/>
        </w:rPr>
        <w:t xml:space="preserve"> </w:t>
      </w:r>
      <w:r>
        <w:rPr>
          <w:rFonts w:ascii="Times New Roman" w:hAnsi="Times New Roman" w:eastAsia="Times New Roman" w:cs="Times New Roman"/>
          <w:i/>
          <w:iCs/>
          <w:spacing w:val="-10"/>
          <w:sz w:val="24"/>
          <w:szCs w:val="24"/>
        </w:rPr>
        <w:t>i</w:t>
      </w:r>
      <w:r>
        <w:rPr>
          <w:rFonts w:ascii="Times New Roman" w:hAnsi="Times New Roman" w:eastAsia="Times New Roman" w:cs="Times New Roman"/>
          <w:i/>
          <w:iCs/>
          <w:spacing w:val="30"/>
          <w:w w:val="101"/>
          <w:sz w:val="24"/>
          <w:szCs w:val="24"/>
        </w:rPr>
        <w:t xml:space="preserve"> </w:t>
      </w:r>
      <w:r>
        <w:rPr>
          <w:spacing w:val="-10"/>
          <w:sz w:val="24"/>
          <w:szCs w:val="24"/>
        </w:rPr>
        <w:t>的镜像时，可计算其在</w:t>
      </w:r>
      <w:r>
        <w:rPr>
          <w:spacing w:val="-59"/>
          <w:sz w:val="24"/>
          <w:szCs w:val="24"/>
        </w:rPr>
        <w:t xml:space="preserve"> </w:t>
      </w:r>
      <w:r>
        <w:rPr>
          <w:rFonts w:ascii="Times New Roman" w:hAnsi="Times New Roman" w:eastAsia="Times New Roman" w:cs="Times New Roman"/>
          <w:spacing w:val="-10"/>
          <w:sz w:val="24"/>
          <w:szCs w:val="24"/>
        </w:rPr>
        <w:t>A</w:t>
      </w:r>
      <w:r>
        <w:rPr>
          <w:rFonts w:ascii="Times New Roman" w:hAnsi="Times New Roman" w:eastAsia="Times New Roman" w:cs="Times New Roman"/>
          <w:spacing w:val="24"/>
          <w:sz w:val="24"/>
          <w:szCs w:val="24"/>
        </w:rPr>
        <w:t xml:space="preserve"> </w:t>
      </w:r>
      <w:r>
        <w:rPr>
          <w:spacing w:val="-10"/>
          <w:sz w:val="24"/>
          <w:szCs w:val="24"/>
        </w:rPr>
        <w:t>点产生的磁场强度：</w:t>
      </w:r>
    </w:p>
    <w:p w14:paraId="02F062D6">
      <w:pPr>
        <w:spacing w:line="888" w:lineRule="exact"/>
        <w:ind w:firstLine="14"/>
      </w:pPr>
      <w:r>
        <w:rPr>
          <w:position w:val="-17"/>
        </w:rPr>
        <w:drawing>
          <wp:inline distT="0" distB="0" distL="0" distR="0">
            <wp:extent cx="4076700" cy="563880"/>
            <wp:effectExtent l="0" t="0" r="0" b="0"/>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r:embed="rId303"/>
                    <a:stretch>
                      <a:fillRect/>
                    </a:stretch>
                  </pic:blipFill>
                  <pic:spPr>
                    <a:xfrm>
                      <a:off x="0" y="0"/>
                      <a:ext cx="4076700" cy="563880"/>
                    </a:xfrm>
                    <a:prstGeom prst="rect">
                      <a:avLst/>
                    </a:prstGeom>
                  </pic:spPr>
                </pic:pic>
              </a:graphicData>
            </a:graphic>
          </wp:inline>
        </w:drawing>
      </w:r>
    </w:p>
    <w:p w14:paraId="5B499191">
      <w:pPr>
        <w:pStyle w:val="2"/>
        <w:spacing w:before="174" w:line="219" w:lineRule="auto"/>
        <w:ind w:left="508"/>
        <w:rPr>
          <w:sz w:val="24"/>
          <w:szCs w:val="24"/>
        </w:rPr>
      </w:pPr>
      <w:r>
        <w:rPr>
          <w:spacing w:val="-4"/>
          <w:sz w:val="24"/>
          <w:szCs w:val="24"/>
        </w:rPr>
        <w:t>式中：</w:t>
      </w:r>
      <w:r>
        <w:rPr>
          <w:rFonts w:ascii="Times New Roman" w:hAnsi="Times New Roman" w:eastAsia="Times New Roman" w:cs="Times New Roman"/>
          <w:i/>
          <w:iCs/>
          <w:spacing w:val="-4"/>
          <w:sz w:val="24"/>
          <w:szCs w:val="24"/>
        </w:rPr>
        <w:t>I</w:t>
      </w:r>
      <w:r>
        <w:rPr>
          <w:rFonts w:ascii="Times New Roman" w:hAnsi="Times New Roman" w:eastAsia="Times New Roman" w:cs="Times New Roman"/>
          <w:spacing w:val="-4"/>
          <w:sz w:val="24"/>
          <w:szCs w:val="24"/>
        </w:rPr>
        <w:t>——</w:t>
      </w:r>
      <w:r>
        <w:rPr>
          <w:spacing w:val="-4"/>
          <w:sz w:val="24"/>
          <w:szCs w:val="24"/>
        </w:rPr>
        <w:t>导线</w:t>
      </w:r>
      <w:r>
        <w:rPr>
          <w:spacing w:val="-41"/>
          <w:sz w:val="24"/>
          <w:szCs w:val="24"/>
        </w:rPr>
        <w:t xml:space="preserve"> </w:t>
      </w:r>
      <w:r>
        <w:rPr>
          <w:rFonts w:ascii="Times New Roman" w:hAnsi="Times New Roman" w:eastAsia="Times New Roman" w:cs="Times New Roman"/>
          <w:i/>
          <w:iCs/>
          <w:spacing w:val="-4"/>
          <w:sz w:val="24"/>
          <w:szCs w:val="24"/>
        </w:rPr>
        <w:t>i</w:t>
      </w:r>
      <w:r>
        <w:rPr>
          <w:rFonts w:ascii="Times New Roman" w:hAnsi="Times New Roman" w:eastAsia="Times New Roman" w:cs="Times New Roman"/>
          <w:i/>
          <w:iCs/>
          <w:spacing w:val="33"/>
          <w:sz w:val="24"/>
          <w:szCs w:val="24"/>
        </w:rPr>
        <w:t xml:space="preserve"> </w:t>
      </w:r>
      <w:r>
        <w:rPr>
          <w:spacing w:val="-4"/>
          <w:sz w:val="24"/>
          <w:szCs w:val="24"/>
        </w:rPr>
        <w:t>中的电流值，</w:t>
      </w:r>
      <w:r>
        <w:rPr>
          <w:rFonts w:ascii="Times New Roman" w:hAnsi="Times New Roman" w:eastAsia="Times New Roman" w:cs="Times New Roman"/>
          <w:spacing w:val="-4"/>
          <w:sz w:val="24"/>
          <w:szCs w:val="24"/>
        </w:rPr>
        <w:t>A</w:t>
      </w:r>
      <w:r>
        <w:rPr>
          <w:spacing w:val="-4"/>
          <w:sz w:val="24"/>
          <w:szCs w:val="24"/>
        </w:rPr>
        <w:t>；</w:t>
      </w:r>
    </w:p>
    <w:p w14:paraId="6876EBAD">
      <w:pPr>
        <w:pStyle w:val="2"/>
        <w:spacing w:before="141" w:line="319" w:lineRule="exact"/>
        <w:ind w:left="1218"/>
        <w:rPr>
          <w:sz w:val="24"/>
          <w:szCs w:val="24"/>
        </w:rPr>
      </w:pPr>
      <w:r>
        <w:rPr>
          <w:rFonts w:ascii="Times New Roman" w:hAnsi="Times New Roman" w:eastAsia="Times New Roman" w:cs="Times New Roman"/>
          <w:i/>
          <w:iCs/>
          <w:spacing w:val="-1"/>
          <w:position w:val="1"/>
          <w:sz w:val="24"/>
          <w:szCs w:val="24"/>
        </w:rPr>
        <w:t>h</w:t>
      </w:r>
      <w:r>
        <w:rPr>
          <w:rFonts w:ascii="Times New Roman" w:hAnsi="Times New Roman" w:eastAsia="Times New Roman" w:cs="Times New Roman"/>
          <w:spacing w:val="-1"/>
          <w:position w:val="1"/>
          <w:sz w:val="24"/>
          <w:szCs w:val="24"/>
        </w:rPr>
        <w:t>——</w:t>
      </w:r>
      <w:r>
        <w:rPr>
          <w:spacing w:val="-1"/>
          <w:position w:val="1"/>
          <w:sz w:val="24"/>
          <w:szCs w:val="24"/>
        </w:rPr>
        <w:t>导线与预测点的高差，</w:t>
      </w:r>
      <w:r>
        <w:rPr>
          <w:rFonts w:ascii="Times New Roman" w:hAnsi="Times New Roman" w:eastAsia="Times New Roman" w:cs="Times New Roman"/>
          <w:spacing w:val="-1"/>
          <w:position w:val="1"/>
          <w:sz w:val="24"/>
          <w:szCs w:val="24"/>
        </w:rPr>
        <w:t>m</w:t>
      </w:r>
      <w:r>
        <w:rPr>
          <w:spacing w:val="-1"/>
          <w:position w:val="1"/>
          <w:sz w:val="24"/>
          <w:szCs w:val="24"/>
        </w:rPr>
        <w:t>；</w:t>
      </w:r>
    </w:p>
    <w:p w14:paraId="77B9895C">
      <w:pPr>
        <w:pStyle w:val="2"/>
        <w:spacing w:before="189" w:line="219" w:lineRule="auto"/>
        <w:ind w:left="1206"/>
        <w:rPr>
          <w:sz w:val="24"/>
          <w:szCs w:val="24"/>
        </w:rPr>
      </w:pPr>
      <w:r>
        <w:rPr>
          <w:rFonts w:ascii="Times New Roman" w:hAnsi="Times New Roman" w:eastAsia="Times New Roman" w:cs="Times New Roman"/>
          <w:i/>
          <w:iCs/>
          <w:sz w:val="24"/>
          <w:szCs w:val="24"/>
        </w:rPr>
        <w:t>L</w:t>
      </w:r>
      <w:r>
        <w:rPr>
          <w:rFonts w:ascii="Times New Roman" w:hAnsi="Times New Roman" w:eastAsia="Times New Roman" w:cs="Times New Roman"/>
          <w:sz w:val="24"/>
          <w:szCs w:val="24"/>
        </w:rPr>
        <w:t>——</w:t>
      </w:r>
      <w:r>
        <w:rPr>
          <w:sz w:val="24"/>
          <w:szCs w:val="24"/>
        </w:rPr>
        <w:t>导线与预测点的水平距离，</w:t>
      </w:r>
      <w:r>
        <w:rPr>
          <w:rFonts w:ascii="Times New Roman" w:hAnsi="Times New Roman" w:eastAsia="Times New Roman" w:cs="Times New Roman"/>
          <w:sz w:val="24"/>
          <w:szCs w:val="24"/>
        </w:rPr>
        <w:t>m</w:t>
      </w:r>
      <w:r>
        <w:rPr>
          <w:sz w:val="24"/>
          <w:szCs w:val="24"/>
        </w:rPr>
        <w:t>。</w:t>
      </w:r>
    </w:p>
    <w:p w14:paraId="3460FBD7">
      <w:pPr>
        <w:pStyle w:val="2"/>
        <w:spacing w:before="182" w:line="345" w:lineRule="auto"/>
        <w:ind w:left="24" w:right="59" w:firstLine="478"/>
        <w:rPr>
          <w:sz w:val="24"/>
          <w:szCs w:val="24"/>
        </w:rPr>
      </w:pPr>
      <w:r>
        <w:rPr>
          <w:spacing w:val="-3"/>
          <w:sz w:val="24"/>
          <w:szCs w:val="24"/>
        </w:rPr>
        <w:t>对于三相线路，由相位不同形成的磁场强度水平和垂直分量都应分</w:t>
      </w:r>
      <w:r>
        <w:rPr>
          <w:spacing w:val="-4"/>
          <w:sz w:val="24"/>
          <w:szCs w:val="24"/>
        </w:rPr>
        <w:t>别考虑电</w:t>
      </w:r>
      <w:r>
        <w:rPr>
          <w:sz w:val="24"/>
          <w:szCs w:val="24"/>
        </w:rPr>
        <w:t>流的相角，按相位矢量来合成。合成的旋转矢量</w:t>
      </w:r>
      <w:r>
        <w:rPr>
          <w:spacing w:val="-1"/>
          <w:sz w:val="24"/>
          <w:szCs w:val="24"/>
        </w:rPr>
        <w:t>在空间的轨迹是一个椭圆。</w:t>
      </w:r>
    </w:p>
    <w:p w14:paraId="51BCD464">
      <w:pPr>
        <w:spacing w:line="3922" w:lineRule="exact"/>
        <w:ind w:firstLine="494"/>
      </w:pPr>
      <w:r>
        <w:rPr>
          <w:position w:val="-78"/>
        </w:rPr>
        <w:drawing>
          <wp:inline distT="0" distB="0" distL="0" distR="0">
            <wp:extent cx="3215640" cy="2489835"/>
            <wp:effectExtent l="0" t="0" r="0" b="0"/>
            <wp:docPr id="210" name="IM 210"/>
            <wp:cNvGraphicFramePr/>
            <a:graphic xmlns:a="http://schemas.openxmlformats.org/drawingml/2006/main">
              <a:graphicData uri="http://schemas.openxmlformats.org/drawingml/2006/picture">
                <pic:pic xmlns:pic="http://schemas.openxmlformats.org/drawingml/2006/picture">
                  <pic:nvPicPr>
                    <pic:cNvPr id="210" name="IM 210"/>
                    <pic:cNvPicPr/>
                  </pic:nvPicPr>
                  <pic:blipFill>
                    <a:blip r:embed="rId304"/>
                    <a:stretch>
                      <a:fillRect/>
                    </a:stretch>
                  </pic:blipFill>
                  <pic:spPr>
                    <a:xfrm>
                      <a:off x="0" y="0"/>
                      <a:ext cx="3215640" cy="2490216"/>
                    </a:xfrm>
                    <a:prstGeom prst="rect">
                      <a:avLst/>
                    </a:prstGeom>
                  </pic:spPr>
                </pic:pic>
              </a:graphicData>
            </a:graphic>
          </wp:inline>
        </w:drawing>
      </w:r>
    </w:p>
    <w:p w14:paraId="4CB8007D">
      <w:pPr>
        <w:spacing w:line="247" w:lineRule="auto"/>
        <w:rPr>
          <w:rFonts w:ascii="Arial"/>
          <w:sz w:val="21"/>
        </w:rPr>
      </w:pPr>
    </w:p>
    <w:p w14:paraId="00EFE0C5">
      <w:pPr>
        <w:spacing w:line="248" w:lineRule="auto"/>
        <w:rPr>
          <w:rFonts w:ascii="Arial"/>
          <w:sz w:val="21"/>
        </w:rPr>
      </w:pPr>
    </w:p>
    <w:p w14:paraId="3F67CECD">
      <w:pPr>
        <w:pStyle w:val="2"/>
        <w:spacing w:before="92" w:line="220" w:lineRule="auto"/>
        <w:ind w:left="23"/>
      </w:pPr>
      <w:r>
        <w:rPr>
          <w:rFonts w:ascii="Times New Roman" w:hAnsi="Times New Roman" w:eastAsia="Times New Roman" w:cs="Times New Roman"/>
          <w:b/>
          <w:bCs/>
          <w:spacing w:val="-2"/>
        </w:rPr>
        <w:t xml:space="preserve">5.2.1.2  </w:t>
      </w:r>
      <w:r>
        <w:rPr>
          <w:b/>
          <w:bCs/>
          <w:spacing w:val="-2"/>
        </w:rPr>
        <w:t>架空输电线路工频电场预测参数</w:t>
      </w:r>
    </w:p>
    <w:p w14:paraId="0CFBD50E">
      <w:pPr>
        <w:spacing w:line="440" w:lineRule="auto"/>
        <w:rPr>
          <w:rFonts w:ascii="Arial"/>
          <w:sz w:val="21"/>
        </w:rPr>
      </w:pPr>
    </w:p>
    <w:p w14:paraId="0B662E24">
      <w:pPr>
        <w:pStyle w:val="2"/>
        <w:spacing w:before="78" w:line="330" w:lineRule="auto"/>
        <w:ind w:left="29" w:right="59" w:firstLine="472"/>
        <w:rPr>
          <w:sz w:val="24"/>
          <w:szCs w:val="24"/>
        </w:rPr>
      </w:pPr>
      <w:r>
        <w:rPr>
          <w:spacing w:val="-3"/>
          <w:sz w:val="24"/>
          <w:szCs w:val="24"/>
        </w:rPr>
        <w:t>输电线路运行产生的工频电场、工频磁场主要由导线的线间距离</w:t>
      </w:r>
      <w:r>
        <w:rPr>
          <w:spacing w:val="-4"/>
          <w:sz w:val="24"/>
          <w:szCs w:val="24"/>
        </w:rPr>
        <w:t>、导线对地</w:t>
      </w:r>
      <w:r>
        <w:rPr>
          <w:spacing w:val="-1"/>
          <w:sz w:val="24"/>
          <w:szCs w:val="24"/>
        </w:rPr>
        <w:t>高度、导线型式和线路运行工况（电压、电流等）决定的。</w:t>
      </w:r>
    </w:p>
    <w:p w14:paraId="7E354054">
      <w:pPr>
        <w:pStyle w:val="2"/>
        <w:spacing w:line="362" w:lineRule="auto"/>
        <w:ind w:left="26" w:right="74" w:firstLine="477"/>
        <w:rPr>
          <w:sz w:val="24"/>
          <w:szCs w:val="24"/>
        </w:rPr>
      </w:pPr>
      <w:r>
        <w:rPr>
          <w:spacing w:val="-1"/>
          <w:sz w:val="24"/>
          <w:szCs w:val="24"/>
        </w:rPr>
        <w:t>根据可研设计资料，项目</w:t>
      </w:r>
      <w:r>
        <w:rPr>
          <w:spacing w:val="-32"/>
          <w:sz w:val="24"/>
          <w:szCs w:val="24"/>
        </w:rPr>
        <w:t xml:space="preserve"> </w:t>
      </w:r>
      <w:r>
        <w:rPr>
          <w:rFonts w:ascii="Times New Roman" w:hAnsi="Times New Roman" w:eastAsia="Times New Roman" w:cs="Times New Roman"/>
          <w:spacing w:val="-1"/>
          <w:sz w:val="24"/>
          <w:szCs w:val="24"/>
        </w:rPr>
        <w:t xml:space="preserve">110kV </w:t>
      </w:r>
      <w:r>
        <w:rPr>
          <w:spacing w:val="-1"/>
          <w:sz w:val="24"/>
          <w:szCs w:val="24"/>
        </w:rPr>
        <w:t>双回线路</w:t>
      </w:r>
      <w:r>
        <w:rPr>
          <w:spacing w:val="-2"/>
          <w:sz w:val="24"/>
          <w:szCs w:val="24"/>
        </w:rPr>
        <w:t>（本期单边挂线）设计采用的导</w:t>
      </w:r>
      <w:r>
        <w:rPr>
          <w:sz w:val="24"/>
          <w:szCs w:val="24"/>
        </w:rPr>
        <w:t>线型号为</w:t>
      </w:r>
      <w:r>
        <w:rPr>
          <w:spacing w:val="-32"/>
          <w:sz w:val="24"/>
          <w:szCs w:val="24"/>
        </w:rPr>
        <w:t xml:space="preserve"> </w:t>
      </w:r>
      <w:r>
        <w:rPr>
          <w:rFonts w:ascii="Times New Roman" w:hAnsi="Times New Roman" w:eastAsia="Times New Roman" w:cs="Times New Roman"/>
          <w:sz w:val="24"/>
          <w:szCs w:val="24"/>
        </w:rPr>
        <w:t>1×</w:t>
      </w:r>
      <w:r>
        <w:rPr>
          <w:rFonts w:ascii="Times New Roman" w:hAnsi="Times New Roman" w:eastAsia="Times New Roman" w:cs="Times New Roman"/>
          <w:sz w:val="20"/>
          <w:szCs w:val="20"/>
        </w:rPr>
        <w:t>JL/LB20A-300/40</w:t>
      </w:r>
      <w:r>
        <w:rPr>
          <w:rFonts w:ascii="Times New Roman" w:hAnsi="Times New Roman" w:eastAsia="Times New Roman" w:cs="Times New Roman"/>
          <w:spacing w:val="20"/>
          <w:w w:val="101"/>
          <w:sz w:val="20"/>
          <w:szCs w:val="20"/>
        </w:rPr>
        <w:t xml:space="preserve"> </w:t>
      </w:r>
      <w:r>
        <w:rPr>
          <w:sz w:val="24"/>
          <w:szCs w:val="24"/>
        </w:rPr>
        <w:t>型铝包钢芯铝</w:t>
      </w:r>
      <w:r>
        <w:rPr>
          <w:spacing w:val="-1"/>
          <w:sz w:val="24"/>
          <w:szCs w:val="24"/>
        </w:rPr>
        <w:t>绞线（导线直径为</w:t>
      </w:r>
      <w:r>
        <w:rPr>
          <w:spacing w:val="-55"/>
          <w:sz w:val="24"/>
          <w:szCs w:val="24"/>
        </w:rPr>
        <w:t xml:space="preserve"> </w:t>
      </w:r>
      <w:r>
        <w:rPr>
          <w:rFonts w:ascii="Times New Roman" w:hAnsi="Times New Roman" w:eastAsia="Times New Roman" w:cs="Times New Roman"/>
          <w:spacing w:val="-1"/>
          <w:sz w:val="24"/>
          <w:szCs w:val="24"/>
        </w:rPr>
        <w:t>23.9mm</w:t>
      </w:r>
      <w:r>
        <w:rPr>
          <w:rFonts w:ascii="Times New Roman" w:hAnsi="Times New Roman" w:eastAsia="Times New Roman" w:cs="Times New Roman"/>
          <w:spacing w:val="-33"/>
          <w:sz w:val="24"/>
          <w:szCs w:val="24"/>
        </w:rPr>
        <w:t xml:space="preserve"> </w:t>
      </w:r>
      <w:r>
        <w:rPr>
          <w:spacing w:val="-1"/>
          <w:sz w:val="24"/>
          <w:szCs w:val="24"/>
        </w:rPr>
        <w:t>，最大工作</w:t>
      </w:r>
    </w:p>
    <w:p w14:paraId="27C94409">
      <w:pPr>
        <w:spacing w:line="362" w:lineRule="auto"/>
        <w:rPr>
          <w:sz w:val="24"/>
          <w:szCs w:val="24"/>
        </w:rPr>
        <w:sectPr>
          <w:footerReference r:id="rId182" w:type="default"/>
          <w:pgSz w:w="11906" w:h="16839"/>
          <w:pgMar w:top="400" w:right="1739" w:bottom="1147" w:left="1785" w:header="0" w:footer="960" w:gutter="0"/>
          <w:cols w:space="720" w:num="1"/>
        </w:sectPr>
      </w:pPr>
    </w:p>
    <w:p w14:paraId="3CB11399">
      <w:pPr>
        <w:spacing w:line="247" w:lineRule="auto"/>
        <w:rPr>
          <w:rFonts w:ascii="Arial"/>
          <w:sz w:val="21"/>
        </w:rPr>
      </w:pPr>
    </w:p>
    <w:p w14:paraId="112877D8">
      <w:pPr>
        <w:spacing w:line="248" w:lineRule="auto"/>
        <w:rPr>
          <w:rFonts w:ascii="Arial"/>
          <w:sz w:val="21"/>
        </w:rPr>
      </w:pPr>
    </w:p>
    <w:p w14:paraId="539F3D5A">
      <w:pPr>
        <w:spacing w:line="248" w:lineRule="auto"/>
        <w:rPr>
          <w:rFonts w:ascii="Arial"/>
          <w:sz w:val="21"/>
        </w:rPr>
      </w:pPr>
    </w:p>
    <w:p w14:paraId="6969EF91">
      <w:pPr>
        <w:spacing w:line="248" w:lineRule="auto"/>
        <w:rPr>
          <w:rFonts w:ascii="Arial"/>
          <w:sz w:val="21"/>
        </w:rPr>
      </w:pPr>
    </w:p>
    <w:p w14:paraId="6068E236">
      <w:pPr>
        <w:pStyle w:val="2"/>
        <w:spacing w:before="78" w:line="360" w:lineRule="auto"/>
        <w:ind w:left="121" w:right="110" w:firstLine="28"/>
        <w:jc w:val="both"/>
        <w:rPr>
          <w:sz w:val="24"/>
          <w:szCs w:val="24"/>
        </w:rPr>
      </w:pPr>
      <w:r>
        <w:rPr>
          <w:spacing w:val="-1"/>
          <w:sz w:val="24"/>
          <w:szCs w:val="24"/>
        </w:rPr>
        <w:t>电流为</w:t>
      </w:r>
      <w:r>
        <w:rPr>
          <w:spacing w:val="-50"/>
          <w:sz w:val="24"/>
          <w:szCs w:val="24"/>
        </w:rPr>
        <w:t xml:space="preserve"> </w:t>
      </w:r>
      <w:r>
        <w:rPr>
          <w:rFonts w:ascii="Times New Roman" w:hAnsi="Times New Roman" w:eastAsia="Times New Roman" w:cs="Times New Roman"/>
          <w:spacing w:val="-1"/>
          <w:sz w:val="24"/>
          <w:szCs w:val="24"/>
        </w:rPr>
        <w:t>684A</w:t>
      </w:r>
      <w:r>
        <w:rPr>
          <w:spacing w:val="14"/>
          <w:sz w:val="24"/>
          <w:szCs w:val="24"/>
        </w:rPr>
        <w:t>），</w:t>
      </w:r>
      <w:r>
        <w:rPr>
          <w:rFonts w:ascii="Times New Roman" w:hAnsi="Times New Roman" w:eastAsia="Times New Roman" w:cs="Times New Roman"/>
          <w:spacing w:val="-1"/>
          <w:sz w:val="24"/>
          <w:szCs w:val="24"/>
        </w:rPr>
        <w:t xml:space="preserve">110kV </w:t>
      </w:r>
      <w:r>
        <w:rPr>
          <w:spacing w:val="-1"/>
          <w:sz w:val="24"/>
          <w:szCs w:val="24"/>
        </w:rPr>
        <w:t>单回线路</w:t>
      </w:r>
      <w:r>
        <w:rPr>
          <w:spacing w:val="-32"/>
          <w:sz w:val="24"/>
          <w:szCs w:val="24"/>
        </w:rPr>
        <w:t xml:space="preserve"> </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1"/>
          <w:sz w:val="20"/>
          <w:szCs w:val="20"/>
        </w:rPr>
        <w:t>JL/LB20A-240/30</w:t>
      </w:r>
      <w:r>
        <w:rPr>
          <w:rFonts w:ascii="Times New Roman" w:hAnsi="Times New Roman" w:eastAsia="Times New Roman" w:cs="Times New Roman"/>
          <w:spacing w:val="18"/>
          <w:w w:val="101"/>
          <w:sz w:val="20"/>
          <w:szCs w:val="20"/>
        </w:rPr>
        <w:t xml:space="preserve"> </w:t>
      </w:r>
      <w:r>
        <w:rPr>
          <w:spacing w:val="-1"/>
          <w:sz w:val="24"/>
          <w:szCs w:val="24"/>
        </w:rPr>
        <w:t>型</w:t>
      </w:r>
      <w:r>
        <w:rPr>
          <w:spacing w:val="-2"/>
          <w:sz w:val="24"/>
          <w:szCs w:val="24"/>
        </w:rPr>
        <w:t>钢芯铝合金绞线（导线直</w:t>
      </w:r>
      <w:r>
        <w:rPr>
          <w:spacing w:val="-1"/>
          <w:sz w:val="24"/>
          <w:szCs w:val="24"/>
        </w:rPr>
        <w:t>径为</w:t>
      </w:r>
      <w:r>
        <w:rPr>
          <w:spacing w:val="-55"/>
          <w:sz w:val="24"/>
          <w:szCs w:val="24"/>
        </w:rPr>
        <w:t xml:space="preserve"> </w:t>
      </w:r>
      <w:r>
        <w:rPr>
          <w:rFonts w:ascii="Times New Roman" w:hAnsi="Times New Roman" w:eastAsia="Times New Roman" w:cs="Times New Roman"/>
          <w:spacing w:val="-1"/>
          <w:sz w:val="24"/>
          <w:szCs w:val="24"/>
        </w:rPr>
        <w:t>21.6mm</w:t>
      </w:r>
      <w:r>
        <w:rPr>
          <w:spacing w:val="-1"/>
          <w:sz w:val="24"/>
          <w:szCs w:val="24"/>
        </w:rPr>
        <w:t>，最大工作电流为</w:t>
      </w:r>
      <w:r>
        <w:rPr>
          <w:rFonts w:ascii="Times New Roman" w:hAnsi="Times New Roman" w:eastAsia="Times New Roman" w:cs="Times New Roman"/>
          <w:spacing w:val="-1"/>
          <w:sz w:val="24"/>
          <w:szCs w:val="24"/>
        </w:rPr>
        <w:t>600A</w:t>
      </w:r>
      <w:r>
        <w:rPr>
          <w:spacing w:val="-20"/>
          <w:sz w:val="24"/>
          <w:szCs w:val="24"/>
        </w:rPr>
        <w:t>），</w:t>
      </w:r>
      <w:r>
        <w:rPr>
          <w:spacing w:val="-2"/>
          <w:sz w:val="24"/>
          <w:szCs w:val="24"/>
        </w:rPr>
        <w:t>两种导线均为单分裂；本项目</w:t>
      </w:r>
      <w:r>
        <w:rPr>
          <w:spacing w:val="-55"/>
          <w:sz w:val="24"/>
          <w:szCs w:val="24"/>
        </w:rPr>
        <w:t xml:space="preserve"> </w:t>
      </w:r>
      <w:r>
        <w:rPr>
          <w:rFonts w:ascii="Times New Roman" w:hAnsi="Times New Roman" w:eastAsia="Times New Roman" w:cs="Times New Roman"/>
          <w:spacing w:val="-2"/>
          <w:sz w:val="24"/>
          <w:szCs w:val="24"/>
        </w:rPr>
        <w:t>2</w:t>
      </w:r>
      <w:r>
        <w:rPr>
          <w:rFonts w:ascii="Times New Roman" w:hAnsi="Times New Roman" w:eastAsia="Times New Roman" w:cs="Times New Roman"/>
          <w:spacing w:val="33"/>
          <w:sz w:val="24"/>
          <w:szCs w:val="24"/>
        </w:rPr>
        <w:t xml:space="preserve"> </w:t>
      </w:r>
      <w:r>
        <w:rPr>
          <w:spacing w:val="-2"/>
          <w:sz w:val="24"/>
          <w:szCs w:val="24"/>
        </w:rPr>
        <w:t>回线路最大工作电流不同，本次预测保守按</w:t>
      </w:r>
      <w:r>
        <w:rPr>
          <w:spacing w:val="-38"/>
          <w:sz w:val="24"/>
          <w:szCs w:val="24"/>
        </w:rPr>
        <w:t xml:space="preserve"> </w:t>
      </w:r>
      <w:r>
        <w:rPr>
          <w:rFonts w:ascii="Times New Roman" w:hAnsi="Times New Roman" w:eastAsia="Times New Roman" w:cs="Times New Roman"/>
          <w:spacing w:val="-2"/>
          <w:sz w:val="24"/>
          <w:szCs w:val="24"/>
        </w:rPr>
        <w:t>684A</w:t>
      </w:r>
      <w:r>
        <w:rPr>
          <w:rFonts w:ascii="Times New Roman" w:hAnsi="Times New Roman" w:eastAsia="Times New Roman" w:cs="Times New Roman"/>
          <w:spacing w:val="29"/>
          <w:sz w:val="24"/>
          <w:szCs w:val="24"/>
        </w:rPr>
        <w:t xml:space="preserve"> </w:t>
      </w:r>
      <w:r>
        <w:rPr>
          <w:spacing w:val="-2"/>
          <w:sz w:val="24"/>
          <w:szCs w:val="24"/>
        </w:rPr>
        <w:t>的最不利情形进行预测。</w:t>
      </w:r>
    </w:p>
    <w:p w14:paraId="098E48E4">
      <w:pPr>
        <w:pStyle w:val="2"/>
        <w:spacing w:before="76" w:line="350" w:lineRule="auto"/>
        <w:ind w:left="121" w:right="110" w:firstLine="486"/>
        <w:jc w:val="both"/>
        <w:rPr>
          <w:sz w:val="24"/>
          <w:szCs w:val="24"/>
        </w:rPr>
      </w:pPr>
      <w:r>
        <w:rPr>
          <w:spacing w:val="4"/>
          <w:sz w:val="24"/>
          <w:szCs w:val="24"/>
        </w:rPr>
        <w:t>导线对地高度和线间距是影响电工频磁感应强度水平的主要因素，一般来</w:t>
      </w:r>
      <w:r>
        <w:rPr>
          <w:spacing w:val="-3"/>
          <w:sz w:val="24"/>
          <w:szCs w:val="24"/>
        </w:rPr>
        <w:t>说，导线对地高度低、线间距大的塔型下电磁环境影响较大。塔型选择时，按保</w:t>
      </w:r>
      <w:r>
        <w:rPr>
          <w:spacing w:val="4"/>
          <w:sz w:val="24"/>
          <w:szCs w:val="24"/>
        </w:rPr>
        <w:t>守原则选择电磁环境影响最大的塔型。根据设计资料，本工程架空输电</w:t>
      </w:r>
      <w:r>
        <w:rPr>
          <w:spacing w:val="3"/>
          <w:sz w:val="24"/>
          <w:szCs w:val="24"/>
        </w:rPr>
        <w:t>线路为</w:t>
      </w:r>
      <w:r>
        <w:rPr>
          <w:rFonts w:ascii="Times New Roman" w:hAnsi="Times New Roman" w:eastAsia="Times New Roman" w:cs="Times New Roman"/>
          <w:spacing w:val="2"/>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 xml:space="preserve"> </w:t>
      </w:r>
      <w:r>
        <w:rPr>
          <w:spacing w:val="2"/>
          <w:sz w:val="24"/>
          <w:szCs w:val="24"/>
        </w:rPr>
        <w:t>单、双回混合架空输电线路，双回路本期仅单边挂线，全线新建铁塔</w:t>
      </w:r>
      <w:r>
        <w:rPr>
          <w:spacing w:val="-50"/>
          <w:sz w:val="24"/>
          <w:szCs w:val="24"/>
        </w:rPr>
        <w:t xml:space="preserve"> </w:t>
      </w:r>
      <w:r>
        <w:rPr>
          <w:rFonts w:ascii="Times New Roman" w:hAnsi="Times New Roman" w:eastAsia="Times New Roman" w:cs="Times New Roman"/>
          <w:spacing w:val="2"/>
          <w:sz w:val="24"/>
          <w:szCs w:val="24"/>
        </w:rPr>
        <w:t>49</w:t>
      </w:r>
      <w:r>
        <w:rPr>
          <w:spacing w:val="-1"/>
          <w:sz w:val="24"/>
          <w:szCs w:val="24"/>
        </w:rPr>
        <w:t>基。各线路使用塔型如下表所示。</w:t>
      </w:r>
    </w:p>
    <w:p w14:paraId="142C230B">
      <w:pPr>
        <w:pStyle w:val="2"/>
        <w:spacing w:line="228" w:lineRule="auto"/>
        <w:ind w:left="3157"/>
        <w:rPr>
          <w:sz w:val="20"/>
          <w:szCs w:val="20"/>
        </w:rPr>
      </w:pPr>
      <w:r>
        <w:rPr>
          <w:b/>
          <w:bCs/>
          <w:spacing w:val="5"/>
          <w:sz w:val="20"/>
          <w:szCs w:val="20"/>
        </w:rPr>
        <w:t>表</w:t>
      </w:r>
      <w:r>
        <w:rPr>
          <w:spacing w:val="-40"/>
          <w:sz w:val="20"/>
          <w:szCs w:val="20"/>
        </w:rPr>
        <w:t xml:space="preserve"> </w:t>
      </w:r>
      <w:r>
        <w:rPr>
          <w:rFonts w:ascii="Times New Roman" w:hAnsi="Times New Roman" w:eastAsia="Times New Roman" w:cs="Times New Roman"/>
          <w:b/>
          <w:bCs/>
          <w:spacing w:val="5"/>
          <w:sz w:val="20"/>
          <w:szCs w:val="20"/>
        </w:rPr>
        <w:t xml:space="preserve">5-3    </w:t>
      </w:r>
      <w:r>
        <w:rPr>
          <w:b/>
          <w:bCs/>
          <w:spacing w:val="5"/>
          <w:sz w:val="20"/>
          <w:szCs w:val="20"/>
        </w:rPr>
        <w:t>工程塔型一览表</w:t>
      </w:r>
    </w:p>
    <w:p w14:paraId="0F94DD7E">
      <w:pPr>
        <w:spacing w:line="14" w:lineRule="exact"/>
      </w:pPr>
    </w:p>
    <w:tbl>
      <w:tblPr>
        <w:tblStyle w:val="5"/>
        <w:tblW w:w="85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9"/>
        <w:gridCol w:w="1354"/>
        <w:gridCol w:w="1027"/>
        <w:gridCol w:w="2262"/>
        <w:gridCol w:w="789"/>
        <w:gridCol w:w="1270"/>
        <w:gridCol w:w="842"/>
      </w:tblGrid>
      <w:tr w14:paraId="4E43B1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979" w:type="dxa"/>
            <w:vMerge w:val="restart"/>
            <w:tcBorders>
              <w:bottom w:val="nil"/>
            </w:tcBorders>
            <w:vAlign w:val="top"/>
          </w:tcPr>
          <w:p w14:paraId="1C819F17">
            <w:pPr>
              <w:spacing w:line="255" w:lineRule="auto"/>
              <w:rPr>
                <w:rFonts w:ascii="Arial"/>
                <w:sz w:val="21"/>
              </w:rPr>
            </w:pPr>
          </w:p>
          <w:p w14:paraId="68EB9979">
            <w:pPr>
              <w:spacing w:line="255" w:lineRule="auto"/>
              <w:rPr>
                <w:rFonts w:ascii="Arial"/>
                <w:sz w:val="21"/>
              </w:rPr>
            </w:pPr>
          </w:p>
          <w:p w14:paraId="36BA277E">
            <w:pPr>
              <w:spacing w:line="255" w:lineRule="auto"/>
              <w:rPr>
                <w:rFonts w:ascii="Arial"/>
                <w:sz w:val="21"/>
              </w:rPr>
            </w:pPr>
          </w:p>
          <w:p w14:paraId="78321324">
            <w:pPr>
              <w:spacing w:line="255" w:lineRule="auto"/>
              <w:rPr>
                <w:rFonts w:ascii="Arial"/>
                <w:sz w:val="21"/>
              </w:rPr>
            </w:pPr>
          </w:p>
          <w:p w14:paraId="50A3E4F2">
            <w:pPr>
              <w:spacing w:line="255" w:lineRule="auto"/>
              <w:rPr>
                <w:rFonts w:ascii="Arial"/>
                <w:sz w:val="21"/>
              </w:rPr>
            </w:pPr>
          </w:p>
          <w:p w14:paraId="0F1D010B">
            <w:pPr>
              <w:pStyle w:val="6"/>
              <w:spacing w:before="57" w:line="367" w:lineRule="auto"/>
              <w:ind w:left="181" w:right="173" w:firstLine="48"/>
              <w:jc w:val="both"/>
            </w:pPr>
            <w:r>
              <w:rPr>
                <w:rFonts w:ascii="Times New Roman" w:hAnsi="Times New Roman" w:eastAsia="Times New Roman" w:cs="Times New Roman"/>
                <w:spacing w:val="-2"/>
              </w:rPr>
              <w:t>110kV</w:t>
            </w:r>
            <w:r>
              <w:rPr>
                <w:spacing w:val="6"/>
              </w:rPr>
              <w:t>单回架空线路</w:t>
            </w:r>
          </w:p>
        </w:tc>
        <w:tc>
          <w:tcPr>
            <w:tcW w:w="1354" w:type="dxa"/>
            <w:vAlign w:val="top"/>
          </w:tcPr>
          <w:p w14:paraId="59C8A9A5">
            <w:pPr>
              <w:pStyle w:val="6"/>
              <w:spacing w:before="129" w:line="229" w:lineRule="auto"/>
              <w:ind w:left="469"/>
            </w:pPr>
            <w:r>
              <w:rPr>
                <w:b/>
                <w:bCs/>
                <w:spacing w:val="4"/>
              </w:rPr>
              <w:t>铁塔</w:t>
            </w:r>
          </w:p>
        </w:tc>
        <w:tc>
          <w:tcPr>
            <w:tcW w:w="1027" w:type="dxa"/>
            <w:vAlign w:val="top"/>
          </w:tcPr>
          <w:p w14:paraId="74EE0368">
            <w:pPr>
              <w:pStyle w:val="6"/>
              <w:spacing w:before="128" w:line="228" w:lineRule="auto"/>
              <w:ind w:left="215"/>
            </w:pPr>
            <w:r>
              <w:rPr>
                <w:b/>
                <w:bCs/>
                <w:spacing w:val="1"/>
              </w:rPr>
              <w:t>呼称高</w:t>
            </w:r>
          </w:p>
        </w:tc>
        <w:tc>
          <w:tcPr>
            <w:tcW w:w="2262" w:type="dxa"/>
            <w:vAlign w:val="top"/>
          </w:tcPr>
          <w:p w14:paraId="0C2FD77C">
            <w:pPr>
              <w:pStyle w:val="6"/>
              <w:spacing w:before="128" w:line="228" w:lineRule="auto"/>
              <w:ind w:left="211"/>
            </w:pPr>
            <w:r>
              <w:rPr>
                <w:b/>
                <w:bCs/>
                <w:spacing w:val="5"/>
              </w:rPr>
              <w:t>导线最大间距（</w:t>
            </w:r>
            <w:r>
              <w:rPr>
                <w:rFonts w:ascii="Times New Roman" w:hAnsi="Times New Roman" w:eastAsia="Times New Roman" w:cs="Times New Roman"/>
                <w:b/>
                <w:bCs/>
                <w:spacing w:val="5"/>
              </w:rPr>
              <w:t>m</w:t>
            </w:r>
            <w:r>
              <w:rPr>
                <w:b/>
                <w:bCs/>
                <w:spacing w:val="5"/>
              </w:rPr>
              <w:t>）</w:t>
            </w:r>
          </w:p>
        </w:tc>
        <w:tc>
          <w:tcPr>
            <w:tcW w:w="789" w:type="dxa"/>
            <w:vAlign w:val="top"/>
          </w:tcPr>
          <w:p w14:paraId="3BAED473">
            <w:pPr>
              <w:pStyle w:val="6"/>
              <w:spacing w:before="128" w:line="230" w:lineRule="auto"/>
              <w:ind w:left="190"/>
            </w:pPr>
            <w:r>
              <w:rPr>
                <w:b/>
                <w:bCs/>
                <w:spacing w:val="2"/>
              </w:rPr>
              <w:t>塔型</w:t>
            </w:r>
          </w:p>
        </w:tc>
        <w:tc>
          <w:tcPr>
            <w:tcW w:w="1270" w:type="dxa"/>
            <w:vAlign w:val="top"/>
          </w:tcPr>
          <w:p w14:paraId="3648FB96">
            <w:pPr>
              <w:pStyle w:val="6"/>
              <w:spacing w:before="129" w:line="229" w:lineRule="auto"/>
              <w:ind w:left="219"/>
            </w:pPr>
            <w:r>
              <w:rPr>
                <w:b/>
                <w:bCs/>
                <w:spacing w:val="6"/>
              </w:rPr>
              <w:t>排列方式</w:t>
            </w:r>
          </w:p>
        </w:tc>
        <w:tc>
          <w:tcPr>
            <w:tcW w:w="842" w:type="dxa"/>
            <w:vAlign w:val="top"/>
          </w:tcPr>
          <w:p w14:paraId="6227D21E">
            <w:pPr>
              <w:pStyle w:val="6"/>
              <w:spacing w:before="128" w:line="228" w:lineRule="auto"/>
              <w:ind w:left="214"/>
            </w:pPr>
            <w:r>
              <w:rPr>
                <w:b/>
                <w:bCs/>
                <w:spacing w:val="3"/>
              </w:rPr>
              <w:t>基数</w:t>
            </w:r>
          </w:p>
        </w:tc>
      </w:tr>
      <w:tr w14:paraId="2D52F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979" w:type="dxa"/>
            <w:vMerge w:val="continue"/>
            <w:tcBorders>
              <w:top w:val="nil"/>
              <w:bottom w:val="nil"/>
            </w:tcBorders>
            <w:vAlign w:val="top"/>
          </w:tcPr>
          <w:p w14:paraId="435D8965">
            <w:pPr>
              <w:rPr>
                <w:rFonts w:ascii="Arial"/>
                <w:sz w:val="21"/>
              </w:rPr>
            </w:pPr>
          </w:p>
        </w:tc>
        <w:tc>
          <w:tcPr>
            <w:tcW w:w="1354" w:type="dxa"/>
            <w:vAlign w:val="top"/>
          </w:tcPr>
          <w:p w14:paraId="6300E334">
            <w:pPr>
              <w:spacing w:before="159" w:line="195" w:lineRule="auto"/>
              <w:ind w:left="24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1B1X4-Z1</w:t>
            </w:r>
          </w:p>
        </w:tc>
        <w:tc>
          <w:tcPr>
            <w:tcW w:w="1027" w:type="dxa"/>
            <w:vAlign w:val="top"/>
          </w:tcPr>
          <w:p w14:paraId="7B6ABB70">
            <w:pPr>
              <w:spacing w:before="159" w:line="195"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48m</w:t>
            </w:r>
          </w:p>
        </w:tc>
        <w:tc>
          <w:tcPr>
            <w:tcW w:w="2262" w:type="dxa"/>
            <w:vAlign w:val="top"/>
          </w:tcPr>
          <w:p w14:paraId="0DDC4C1E">
            <w:pPr>
              <w:spacing w:before="159" w:line="195" w:lineRule="auto"/>
              <w:ind w:left="100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6.8</w:t>
            </w:r>
          </w:p>
        </w:tc>
        <w:tc>
          <w:tcPr>
            <w:tcW w:w="789" w:type="dxa"/>
            <w:vMerge w:val="restart"/>
            <w:tcBorders>
              <w:bottom w:val="nil"/>
            </w:tcBorders>
            <w:vAlign w:val="top"/>
          </w:tcPr>
          <w:p w14:paraId="0D2662EA">
            <w:pPr>
              <w:spacing w:line="259" w:lineRule="auto"/>
              <w:rPr>
                <w:rFonts w:ascii="Arial"/>
                <w:sz w:val="21"/>
              </w:rPr>
            </w:pPr>
          </w:p>
          <w:p w14:paraId="47025197">
            <w:pPr>
              <w:pStyle w:val="6"/>
              <w:spacing w:before="65" w:line="352" w:lineRule="auto"/>
              <w:ind w:left="295" w:right="183" w:hanging="103"/>
            </w:pPr>
            <w:r>
              <w:rPr>
                <w:spacing w:val="3"/>
              </w:rPr>
              <w:t>直线</w:t>
            </w:r>
            <w:r>
              <w:t>塔</w:t>
            </w:r>
          </w:p>
        </w:tc>
        <w:tc>
          <w:tcPr>
            <w:tcW w:w="1270" w:type="dxa"/>
            <w:vMerge w:val="restart"/>
            <w:tcBorders>
              <w:bottom w:val="nil"/>
            </w:tcBorders>
            <w:vAlign w:val="top"/>
          </w:tcPr>
          <w:p w14:paraId="3271121E">
            <w:pPr>
              <w:spacing w:line="447" w:lineRule="auto"/>
              <w:rPr>
                <w:rFonts w:ascii="Arial"/>
                <w:sz w:val="21"/>
              </w:rPr>
            </w:pPr>
          </w:p>
          <w:p w14:paraId="04CA8928">
            <w:pPr>
              <w:pStyle w:val="6"/>
              <w:spacing w:before="65" w:line="227" w:lineRule="auto"/>
              <w:ind w:left="222"/>
            </w:pPr>
            <w:r>
              <w:rPr>
                <w:spacing w:val="7"/>
              </w:rPr>
              <w:t>三角排列</w:t>
            </w:r>
          </w:p>
        </w:tc>
        <w:tc>
          <w:tcPr>
            <w:tcW w:w="842" w:type="dxa"/>
            <w:vMerge w:val="restart"/>
            <w:tcBorders>
              <w:bottom w:val="nil"/>
            </w:tcBorders>
            <w:vAlign w:val="top"/>
          </w:tcPr>
          <w:p w14:paraId="241891C3">
            <w:pPr>
              <w:spacing w:line="245" w:lineRule="auto"/>
              <w:rPr>
                <w:rFonts w:ascii="Arial"/>
                <w:sz w:val="21"/>
              </w:rPr>
            </w:pPr>
          </w:p>
          <w:p w14:paraId="18E606F3">
            <w:pPr>
              <w:spacing w:line="245" w:lineRule="auto"/>
              <w:rPr>
                <w:rFonts w:ascii="Arial"/>
                <w:sz w:val="21"/>
              </w:rPr>
            </w:pPr>
          </w:p>
          <w:p w14:paraId="66FA5FB8">
            <w:pPr>
              <w:spacing w:before="57" w:line="195" w:lineRule="auto"/>
              <w:ind w:left="33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18</w:t>
            </w:r>
          </w:p>
        </w:tc>
      </w:tr>
      <w:tr w14:paraId="3CC71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979" w:type="dxa"/>
            <w:vMerge w:val="continue"/>
            <w:tcBorders>
              <w:top w:val="nil"/>
              <w:bottom w:val="nil"/>
            </w:tcBorders>
            <w:vAlign w:val="top"/>
          </w:tcPr>
          <w:p w14:paraId="68F5E5F8">
            <w:pPr>
              <w:rPr>
                <w:rFonts w:ascii="Arial"/>
                <w:sz w:val="21"/>
              </w:rPr>
            </w:pPr>
          </w:p>
        </w:tc>
        <w:tc>
          <w:tcPr>
            <w:tcW w:w="1354" w:type="dxa"/>
            <w:vAlign w:val="top"/>
          </w:tcPr>
          <w:p w14:paraId="50E8FC98">
            <w:pPr>
              <w:spacing w:before="162" w:line="195" w:lineRule="auto"/>
              <w:ind w:left="24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1B1X4-Z2</w:t>
            </w:r>
          </w:p>
        </w:tc>
        <w:tc>
          <w:tcPr>
            <w:tcW w:w="1027" w:type="dxa"/>
            <w:vAlign w:val="top"/>
          </w:tcPr>
          <w:p w14:paraId="2C5F4F8A">
            <w:pPr>
              <w:spacing w:before="161" w:line="195" w:lineRule="auto"/>
              <w:ind w:left="33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54m</w:t>
            </w:r>
          </w:p>
        </w:tc>
        <w:tc>
          <w:tcPr>
            <w:tcW w:w="2262" w:type="dxa"/>
            <w:vAlign w:val="top"/>
          </w:tcPr>
          <w:p w14:paraId="60FA5AE0">
            <w:pPr>
              <w:spacing w:before="164" w:line="192" w:lineRule="auto"/>
              <w:ind w:left="1084"/>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789" w:type="dxa"/>
            <w:vMerge w:val="continue"/>
            <w:tcBorders>
              <w:top w:val="nil"/>
              <w:bottom w:val="nil"/>
            </w:tcBorders>
            <w:vAlign w:val="top"/>
          </w:tcPr>
          <w:p w14:paraId="063BB8AB">
            <w:pPr>
              <w:rPr>
                <w:rFonts w:ascii="Arial"/>
                <w:sz w:val="21"/>
              </w:rPr>
            </w:pPr>
          </w:p>
        </w:tc>
        <w:tc>
          <w:tcPr>
            <w:tcW w:w="1270" w:type="dxa"/>
            <w:vMerge w:val="continue"/>
            <w:tcBorders>
              <w:top w:val="nil"/>
              <w:bottom w:val="nil"/>
            </w:tcBorders>
            <w:vAlign w:val="top"/>
          </w:tcPr>
          <w:p w14:paraId="20FEDB8A">
            <w:pPr>
              <w:rPr>
                <w:rFonts w:ascii="Arial"/>
                <w:sz w:val="21"/>
              </w:rPr>
            </w:pPr>
          </w:p>
        </w:tc>
        <w:tc>
          <w:tcPr>
            <w:tcW w:w="842" w:type="dxa"/>
            <w:vMerge w:val="continue"/>
            <w:tcBorders>
              <w:top w:val="nil"/>
              <w:bottom w:val="nil"/>
            </w:tcBorders>
            <w:vAlign w:val="top"/>
          </w:tcPr>
          <w:p w14:paraId="25981C79">
            <w:pPr>
              <w:rPr>
                <w:rFonts w:ascii="Arial"/>
                <w:sz w:val="21"/>
              </w:rPr>
            </w:pPr>
          </w:p>
        </w:tc>
      </w:tr>
      <w:tr w14:paraId="4EEA8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979" w:type="dxa"/>
            <w:vMerge w:val="continue"/>
            <w:tcBorders>
              <w:top w:val="nil"/>
              <w:bottom w:val="nil"/>
            </w:tcBorders>
            <w:vAlign w:val="top"/>
          </w:tcPr>
          <w:p w14:paraId="2210F652">
            <w:pPr>
              <w:rPr>
                <w:rFonts w:ascii="Arial"/>
                <w:sz w:val="21"/>
              </w:rPr>
            </w:pPr>
          </w:p>
        </w:tc>
        <w:tc>
          <w:tcPr>
            <w:tcW w:w="1354" w:type="dxa"/>
            <w:vAlign w:val="top"/>
          </w:tcPr>
          <w:p w14:paraId="68B8A282">
            <w:pPr>
              <w:spacing w:before="161" w:line="195" w:lineRule="auto"/>
              <w:ind w:left="24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1B1X4-Z3</w:t>
            </w:r>
          </w:p>
        </w:tc>
        <w:tc>
          <w:tcPr>
            <w:tcW w:w="1027" w:type="dxa"/>
            <w:vAlign w:val="top"/>
          </w:tcPr>
          <w:p w14:paraId="4D89AC1B">
            <w:pPr>
              <w:spacing w:before="161" w:line="195" w:lineRule="auto"/>
              <w:ind w:left="33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54m</w:t>
            </w:r>
          </w:p>
        </w:tc>
        <w:tc>
          <w:tcPr>
            <w:tcW w:w="2262" w:type="dxa"/>
            <w:vAlign w:val="top"/>
          </w:tcPr>
          <w:p w14:paraId="1BB0D27E">
            <w:pPr>
              <w:spacing w:before="161" w:line="195" w:lineRule="auto"/>
              <w:ind w:left="100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7.4</w:t>
            </w:r>
          </w:p>
        </w:tc>
        <w:tc>
          <w:tcPr>
            <w:tcW w:w="789" w:type="dxa"/>
            <w:vMerge w:val="continue"/>
            <w:tcBorders>
              <w:top w:val="nil"/>
            </w:tcBorders>
            <w:vAlign w:val="top"/>
          </w:tcPr>
          <w:p w14:paraId="3D2DFC52">
            <w:pPr>
              <w:rPr>
                <w:rFonts w:ascii="Arial"/>
                <w:sz w:val="21"/>
              </w:rPr>
            </w:pPr>
          </w:p>
        </w:tc>
        <w:tc>
          <w:tcPr>
            <w:tcW w:w="1270" w:type="dxa"/>
            <w:vMerge w:val="continue"/>
            <w:tcBorders>
              <w:top w:val="nil"/>
            </w:tcBorders>
            <w:vAlign w:val="top"/>
          </w:tcPr>
          <w:p w14:paraId="3EDC3C57">
            <w:pPr>
              <w:rPr>
                <w:rFonts w:ascii="Arial"/>
                <w:sz w:val="21"/>
              </w:rPr>
            </w:pPr>
          </w:p>
        </w:tc>
        <w:tc>
          <w:tcPr>
            <w:tcW w:w="842" w:type="dxa"/>
            <w:vMerge w:val="continue"/>
            <w:tcBorders>
              <w:top w:val="nil"/>
            </w:tcBorders>
            <w:vAlign w:val="top"/>
          </w:tcPr>
          <w:p w14:paraId="51A75F39">
            <w:pPr>
              <w:rPr>
                <w:rFonts w:ascii="Arial"/>
                <w:sz w:val="21"/>
              </w:rPr>
            </w:pPr>
          </w:p>
        </w:tc>
      </w:tr>
      <w:tr w14:paraId="233D9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979" w:type="dxa"/>
            <w:vMerge w:val="continue"/>
            <w:tcBorders>
              <w:top w:val="nil"/>
              <w:bottom w:val="nil"/>
            </w:tcBorders>
            <w:vAlign w:val="top"/>
          </w:tcPr>
          <w:p w14:paraId="721285DD">
            <w:pPr>
              <w:rPr>
                <w:rFonts w:ascii="Arial"/>
                <w:sz w:val="21"/>
              </w:rPr>
            </w:pPr>
          </w:p>
        </w:tc>
        <w:tc>
          <w:tcPr>
            <w:tcW w:w="1354" w:type="dxa"/>
            <w:vAlign w:val="top"/>
          </w:tcPr>
          <w:p w14:paraId="313E7524">
            <w:pPr>
              <w:spacing w:before="163"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1C1X4-J2</w:t>
            </w:r>
          </w:p>
        </w:tc>
        <w:tc>
          <w:tcPr>
            <w:tcW w:w="1027" w:type="dxa"/>
            <w:vAlign w:val="top"/>
          </w:tcPr>
          <w:p w14:paraId="782D78D6">
            <w:pPr>
              <w:spacing w:before="164" w:line="195"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42m</w:t>
            </w:r>
          </w:p>
        </w:tc>
        <w:tc>
          <w:tcPr>
            <w:tcW w:w="2262" w:type="dxa"/>
            <w:vAlign w:val="top"/>
          </w:tcPr>
          <w:p w14:paraId="7322F15D">
            <w:pPr>
              <w:spacing w:before="163" w:line="195" w:lineRule="auto"/>
              <w:ind w:left="100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7.6</w:t>
            </w:r>
          </w:p>
        </w:tc>
        <w:tc>
          <w:tcPr>
            <w:tcW w:w="789" w:type="dxa"/>
            <w:vMerge w:val="restart"/>
            <w:tcBorders>
              <w:bottom w:val="nil"/>
            </w:tcBorders>
            <w:vAlign w:val="top"/>
          </w:tcPr>
          <w:p w14:paraId="083C5483">
            <w:pPr>
              <w:spacing w:line="453" w:lineRule="auto"/>
              <w:rPr>
                <w:rFonts w:ascii="Arial"/>
                <w:sz w:val="21"/>
              </w:rPr>
            </w:pPr>
          </w:p>
          <w:p w14:paraId="14CE539D">
            <w:pPr>
              <w:pStyle w:val="6"/>
              <w:spacing w:before="65" w:line="355" w:lineRule="auto"/>
              <w:ind w:left="296" w:right="183" w:hanging="103"/>
            </w:pPr>
            <w:r>
              <w:rPr>
                <w:spacing w:val="3"/>
              </w:rPr>
              <w:t>耐张</w:t>
            </w:r>
            <w:r>
              <w:t>塔</w:t>
            </w:r>
          </w:p>
        </w:tc>
        <w:tc>
          <w:tcPr>
            <w:tcW w:w="1270" w:type="dxa"/>
            <w:vMerge w:val="restart"/>
            <w:tcBorders>
              <w:bottom w:val="nil"/>
            </w:tcBorders>
            <w:vAlign w:val="top"/>
          </w:tcPr>
          <w:p w14:paraId="2D8F62CD">
            <w:pPr>
              <w:spacing w:line="321" w:lineRule="auto"/>
              <w:rPr>
                <w:rFonts w:ascii="Arial"/>
                <w:sz w:val="21"/>
              </w:rPr>
            </w:pPr>
          </w:p>
          <w:p w14:paraId="2FA6B908">
            <w:pPr>
              <w:spacing w:line="321" w:lineRule="auto"/>
              <w:rPr>
                <w:rFonts w:ascii="Arial"/>
                <w:sz w:val="21"/>
              </w:rPr>
            </w:pPr>
          </w:p>
          <w:p w14:paraId="0C181D10">
            <w:pPr>
              <w:pStyle w:val="6"/>
              <w:spacing w:before="65" w:line="227" w:lineRule="auto"/>
              <w:ind w:left="222"/>
            </w:pPr>
            <w:r>
              <w:rPr>
                <w:spacing w:val="7"/>
              </w:rPr>
              <w:t>三角排列</w:t>
            </w:r>
          </w:p>
        </w:tc>
        <w:tc>
          <w:tcPr>
            <w:tcW w:w="842" w:type="dxa"/>
            <w:vMerge w:val="restart"/>
            <w:tcBorders>
              <w:bottom w:val="nil"/>
            </w:tcBorders>
            <w:vAlign w:val="top"/>
          </w:tcPr>
          <w:p w14:paraId="3172DF0E">
            <w:pPr>
              <w:spacing w:line="342" w:lineRule="auto"/>
              <w:rPr>
                <w:rFonts w:ascii="Arial"/>
                <w:sz w:val="21"/>
              </w:rPr>
            </w:pPr>
          </w:p>
          <w:p w14:paraId="7336FAA4">
            <w:pPr>
              <w:spacing w:line="343" w:lineRule="auto"/>
              <w:rPr>
                <w:rFonts w:ascii="Arial"/>
                <w:sz w:val="21"/>
              </w:rPr>
            </w:pPr>
          </w:p>
          <w:p w14:paraId="2215A782">
            <w:pPr>
              <w:spacing w:before="57" w:line="195" w:lineRule="auto"/>
              <w:ind w:left="33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17</w:t>
            </w:r>
          </w:p>
        </w:tc>
      </w:tr>
      <w:tr w14:paraId="56073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979" w:type="dxa"/>
            <w:vMerge w:val="continue"/>
            <w:tcBorders>
              <w:top w:val="nil"/>
              <w:bottom w:val="nil"/>
            </w:tcBorders>
            <w:vAlign w:val="top"/>
          </w:tcPr>
          <w:p w14:paraId="7D07F526">
            <w:pPr>
              <w:rPr>
                <w:rFonts w:ascii="Arial"/>
                <w:sz w:val="21"/>
              </w:rPr>
            </w:pPr>
          </w:p>
        </w:tc>
        <w:tc>
          <w:tcPr>
            <w:tcW w:w="1354" w:type="dxa"/>
            <w:vAlign w:val="top"/>
          </w:tcPr>
          <w:p w14:paraId="680B8AC1">
            <w:pPr>
              <w:spacing w:before="163"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1C1X4-J4</w:t>
            </w:r>
          </w:p>
        </w:tc>
        <w:tc>
          <w:tcPr>
            <w:tcW w:w="1027" w:type="dxa"/>
            <w:vAlign w:val="top"/>
          </w:tcPr>
          <w:p w14:paraId="398FE1CF">
            <w:pPr>
              <w:spacing w:before="163" w:line="195"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42m</w:t>
            </w:r>
          </w:p>
        </w:tc>
        <w:tc>
          <w:tcPr>
            <w:tcW w:w="2262" w:type="dxa"/>
            <w:vAlign w:val="top"/>
          </w:tcPr>
          <w:p w14:paraId="0B720B83">
            <w:pPr>
              <w:spacing w:before="163" w:line="195" w:lineRule="auto"/>
              <w:ind w:left="100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7.9</w:t>
            </w:r>
          </w:p>
        </w:tc>
        <w:tc>
          <w:tcPr>
            <w:tcW w:w="789" w:type="dxa"/>
            <w:vMerge w:val="continue"/>
            <w:tcBorders>
              <w:top w:val="nil"/>
              <w:bottom w:val="nil"/>
            </w:tcBorders>
            <w:vAlign w:val="top"/>
          </w:tcPr>
          <w:p w14:paraId="49C6E5AE">
            <w:pPr>
              <w:rPr>
                <w:rFonts w:ascii="Arial"/>
                <w:sz w:val="21"/>
              </w:rPr>
            </w:pPr>
          </w:p>
        </w:tc>
        <w:tc>
          <w:tcPr>
            <w:tcW w:w="1270" w:type="dxa"/>
            <w:vMerge w:val="continue"/>
            <w:tcBorders>
              <w:top w:val="nil"/>
              <w:bottom w:val="nil"/>
            </w:tcBorders>
            <w:vAlign w:val="top"/>
          </w:tcPr>
          <w:p w14:paraId="520CAA7A">
            <w:pPr>
              <w:rPr>
                <w:rFonts w:ascii="Arial"/>
                <w:sz w:val="21"/>
              </w:rPr>
            </w:pPr>
          </w:p>
        </w:tc>
        <w:tc>
          <w:tcPr>
            <w:tcW w:w="842" w:type="dxa"/>
            <w:vMerge w:val="continue"/>
            <w:tcBorders>
              <w:top w:val="nil"/>
              <w:bottom w:val="nil"/>
            </w:tcBorders>
            <w:vAlign w:val="top"/>
          </w:tcPr>
          <w:p w14:paraId="3F83C6E8">
            <w:pPr>
              <w:rPr>
                <w:rFonts w:ascii="Arial"/>
                <w:sz w:val="21"/>
              </w:rPr>
            </w:pPr>
          </w:p>
        </w:tc>
      </w:tr>
      <w:tr w14:paraId="46A56D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979" w:type="dxa"/>
            <w:vMerge w:val="continue"/>
            <w:tcBorders>
              <w:top w:val="nil"/>
              <w:bottom w:val="nil"/>
            </w:tcBorders>
            <w:vAlign w:val="top"/>
          </w:tcPr>
          <w:p w14:paraId="3524BDB1">
            <w:pPr>
              <w:rPr>
                <w:rFonts w:ascii="Arial"/>
                <w:sz w:val="21"/>
              </w:rPr>
            </w:pPr>
          </w:p>
        </w:tc>
        <w:tc>
          <w:tcPr>
            <w:tcW w:w="1354" w:type="dxa"/>
            <w:vAlign w:val="top"/>
          </w:tcPr>
          <w:p w14:paraId="75340E56">
            <w:pPr>
              <w:spacing w:before="164"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1B1X4-J2</w:t>
            </w:r>
          </w:p>
        </w:tc>
        <w:tc>
          <w:tcPr>
            <w:tcW w:w="1027" w:type="dxa"/>
            <w:vAlign w:val="top"/>
          </w:tcPr>
          <w:p w14:paraId="41BEBEB3">
            <w:pPr>
              <w:spacing w:before="164" w:line="195" w:lineRule="auto"/>
              <w:ind w:left="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39m</w:t>
            </w:r>
          </w:p>
        </w:tc>
        <w:tc>
          <w:tcPr>
            <w:tcW w:w="2262" w:type="dxa"/>
            <w:vAlign w:val="top"/>
          </w:tcPr>
          <w:p w14:paraId="461E5C6A">
            <w:pPr>
              <w:spacing w:before="164" w:line="195" w:lineRule="auto"/>
              <w:ind w:left="100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7.3</w:t>
            </w:r>
          </w:p>
        </w:tc>
        <w:tc>
          <w:tcPr>
            <w:tcW w:w="789" w:type="dxa"/>
            <w:vMerge w:val="continue"/>
            <w:tcBorders>
              <w:top w:val="nil"/>
              <w:bottom w:val="nil"/>
            </w:tcBorders>
            <w:vAlign w:val="top"/>
          </w:tcPr>
          <w:p w14:paraId="1A78FD42">
            <w:pPr>
              <w:rPr>
                <w:rFonts w:ascii="Arial"/>
                <w:sz w:val="21"/>
              </w:rPr>
            </w:pPr>
          </w:p>
        </w:tc>
        <w:tc>
          <w:tcPr>
            <w:tcW w:w="1270" w:type="dxa"/>
            <w:vMerge w:val="continue"/>
            <w:tcBorders>
              <w:top w:val="nil"/>
              <w:bottom w:val="nil"/>
            </w:tcBorders>
            <w:vAlign w:val="top"/>
          </w:tcPr>
          <w:p w14:paraId="0102357F">
            <w:pPr>
              <w:rPr>
                <w:rFonts w:ascii="Arial"/>
                <w:sz w:val="21"/>
              </w:rPr>
            </w:pPr>
          </w:p>
        </w:tc>
        <w:tc>
          <w:tcPr>
            <w:tcW w:w="842" w:type="dxa"/>
            <w:vMerge w:val="continue"/>
            <w:tcBorders>
              <w:top w:val="nil"/>
              <w:bottom w:val="nil"/>
            </w:tcBorders>
            <w:vAlign w:val="top"/>
          </w:tcPr>
          <w:p w14:paraId="16E16E1B">
            <w:pPr>
              <w:rPr>
                <w:rFonts w:ascii="Arial"/>
                <w:sz w:val="21"/>
              </w:rPr>
            </w:pPr>
          </w:p>
        </w:tc>
      </w:tr>
      <w:tr w14:paraId="0281A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979" w:type="dxa"/>
            <w:vMerge w:val="continue"/>
            <w:tcBorders>
              <w:top w:val="nil"/>
              <w:bottom w:val="nil"/>
            </w:tcBorders>
            <w:vAlign w:val="top"/>
          </w:tcPr>
          <w:p w14:paraId="1541C0CC">
            <w:pPr>
              <w:rPr>
                <w:rFonts w:ascii="Arial"/>
                <w:sz w:val="21"/>
              </w:rPr>
            </w:pPr>
          </w:p>
        </w:tc>
        <w:tc>
          <w:tcPr>
            <w:tcW w:w="1354" w:type="dxa"/>
            <w:vAlign w:val="top"/>
          </w:tcPr>
          <w:p w14:paraId="362B3399">
            <w:pPr>
              <w:spacing w:before="163"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1B1X4-J4</w:t>
            </w:r>
          </w:p>
        </w:tc>
        <w:tc>
          <w:tcPr>
            <w:tcW w:w="1027" w:type="dxa"/>
            <w:vAlign w:val="top"/>
          </w:tcPr>
          <w:p w14:paraId="65E7C370">
            <w:pPr>
              <w:spacing w:before="163" w:line="195" w:lineRule="auto"/>
              <w:ind w:left="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39m</w:t>
            </w:r>
          </w:p>
        </w:tc>
        <w:tc>
          <w:tcPr>
            <w:tcW w:w="2262" w:type="dxa"/>
            <w:vAlign w:val="top"/>
          </w:tcPr>
          <w:p w14:paraId="1D3E8C32">
            <w:pPr>
              <w:spacing w:before="163" w:line="195" w:lineRule="auto"/>
              <w:ind w:left="1009"/>
              <w:rPr>
                <w:rFonts w:ascii="Times New Roman" w:hAnsi="Times New Roman" w:eastAsia="Times New Roman" w:cs="Times New Roman"/>
                <w:sz w:val="20"/>
                <w:szCs w:val="20"/>
              </w:rPr>
            </w:pPr>
            <w:r>
              <w:rPr>
                <w:rFonts w:ascii="Times New Roman" w:hAnsi="Times New Roman" w:eastAsia="Times New Roman" w:cs="Times New Roman"/>
                <w:sz w:val="20"/>
                <w:szCs w:val="20"/>
              </w:rPr>
              <w:t>8.2</w:t>
            </w:r>
          </w:p>
        </w:tc>
        <w:tc>
          <w:tcPr>
            <w:tcW w:w="789" w:type="dxa"/>
            <w:vMerge w:val="continue"/>
            <w:tcBorders>
              <w:top w:val="nil"/>
            </w:tcBorders>
            <w:vAlign w:val="top"/>
          </w:tcPr>
          <w:p w14:paraId="18E352D3">
            <w:pPr>
              <w:rPr>
                <w:rFonts w:ascii="Arial"/>
                <w:sz w:val="21"/>
              </w:rPr>
            </w:pPr>
          </w:p>
        </w:tc>
        <w:tc>
          <w:tcPr>
            <w:tcW w:w="1270" w:type="dxa"/>
            <w:vMerge w:val="continue"/>
            <w:tcBorders>
              <w:top w:val="nil"/>
            </w:tcBorders>
            <w:vAlign w:val="top"/>
          </w:tcPr>
          <w:p w14:paraId="0DC2F907">
            <w:pPr>
              <w:rPr>
                <w:rFonts w:ascii="Arial"/>
                <w:sz w:val="21"/>
              </w:rPr>
            </w:pPr>
          </w:p>
        </w:tc>
        <w:tc>
          <w:tcPr>
            <w:tcW w:w="842" w:type="dxa"/>
            <w:vMerge w:val="continue"/>
            <w:tcBorders>
              <w:top w:val="nil"/>
            </w:tcBorders>
            <w:vAlign w:val="top"/>
          </w:tcPr>
          <w:p w14:paraId="725E5F4C">
            <w:pPr>
              <w:rPr>
                <w:rFonts w:ascii="Arial"/>
                <w:sz w:val="21"/>
              </w:rPr>
            </w:pPr>
          </w:p>
        </w:tc>
      </w:tr>
      <w:tr w14:paraId="7EFB1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979" w:type="dxa"/>
            <w:vMerge w:val="continue"/>
            <w:tcBorders>
              <w:top w:val="nil"/>
            </w:tcBorders>
            <w:vAlign w:val="top"/>
          </w:tcPr>
          <w:p w14:paraId="575FE000">
            <w:pPr>
              <w:rPr>
                <w:rFonts w:ascii="Arial"/>
                <w:sz w:val="21"/>
              </w:rPr>
            </w:pPr>
          </w:p>
        </w:tc>
        <w:tc>
          <w:tcPr>
            <w:tcW w:w="6702" w:type="dxa"/>
            <w:gridSpan w:val="5"/>
            <w:vAlign w:val="top"/>
          </w:tcPr>
          <w:p w14:paraId="6A1552BA">
            <w:pPr>
              <w:pStyle w:val="6"/>
              <w:spacing w:before="129" w:line="227" w:lineRule="auto"/>
              <w:ind w:left="3151"/>
            </w:pPr>
            <w:r>
              <w:rPr>
                <w:spacing w:val="2"/>
              </w:rPr>
              <w:t>小计</w:t>
            </w:r>
          </w:p>
        </w:tc>
        <w:tc>
          <w:tcPr>
            <w:tcW w:w="842" w:type="dxa"/>
            <w:vAlign w:val="top"/>
          </w:tcPr>
          <w:p w14:paraId="2A3B8B22">
            <w:pPr>
              <w:spacing w:before="164" w:line="195" w:lineRule="auto"/>
              <w:ind w:left="323"/>
              <w:rPr>
                <w:rFonts w:ascii="Times New Roman" w:hAnsi="Times New Roman" w:eastAsia="Times New Roman" w:cs="Times New Roman"/>
                <w:sz w:val="20"/>
                <w:szCs w:val="20"/>
              </w:rPr>
            </w:pPr>
            <w:r>
              <w:rPr>
                <w:rFonts w:ascii="Times New Roman" w:hAnsi="Times New Roman" w:eastAsia="Times New Roman" w:cs="Times New Roman"/>
                <w:sz w:val="20"/>
                <w:szCs w:val="20"/>
              </w:rPr>
              <w:t>35</w:t>
            </w:r>
          </w:p>
        </w:tc>
      </w:tr>
      <w:tr w14:paraId="73477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979" w:type="dxa"/>
            <w:vMerge w:val="restart"/>
            <w:tcBorders>
              <w:bottom w:val="nil"/>
            </w:tcBorders>
            <w:vAlign w:val="top"/>
          </w:tcPr>
          <w:p w14:paraId="3A1E40CF">
            <w:pPr>
              <w:spacing w:line="295" w:lineRule="auto"/>
              <w:rPr>
                <w:rFonts w:ascii="Arial"/>
                <w:sz w:val="21"/>
              </w:rPr>
            </w:pPr>
          </w:p>
          <w:p w14:paraId="46E21DFE">
            <w:pPr>
              <w:spacing w:line="296" w:lineRule="auto"/>
              <w:rPr>
                <w:rFonts w:ascii="Arial"/>
                <w:sz w:val="21"/>
              </w:rPr>
            </w:pPr>
          </w:p>
          <w:p w14:paraId="2C1AC426">
            <w:pPr>
              <w:spacing w:line="296" w:lineRule="auto"/>
              <w:rPr>
                <w:rFonts w:ascii="Arial"/>
                <w:sz w:val="21"/>
              </w:rPr>
            </w:pPr>
          </w:p>
          <w:p w14:paraId="1C29743C">
            <w:pPr>
              <w:pStyle w:val="6"/>
              <w:spacing w:before="57" w:line="367" w:lineRule="auto"/>
              <w:ind w:left="179" w:right="173" w:firstLine="49"/>
              <w:jc w:val="both"/>
            </w:pPr>
            <w:r>
              <w:rPr>
                <w:rFonts w:ascii="Times New Roman" w:hAnsi="Times New Roman" w:eastAsia="Times New Roman" w:cs="Times New Roman"/>
                <w:spacing w:val="-2"/>
              </w:rPr>
              <w:t>110kV</w:t>
            </w:r>
            <w:r>
              <w:rPr>
                <w:spacing w:val="6"/>
              </w:rPr>
              <w:t>双回架空线路</w:t>
            </w:r>
          </w:p>
        </w:tc>
        <w:tc>
          <w:tcPr>
            <w:tcW w:w="1354" w:type="dxa"/>
            <w:vAlign w:val="top"/>
          </w:tcPr>
          <w:p w14:paraId="459269E2">
            <w:pPr>
              <w:spacing w:before="163"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1C2X1-J1</w:t>
            </w:r>
          </w:p>
        </w:tc>
        <w:tc>
          <w:tcPr>
            <w:tcW w:w="1027" w:type="dxa"/>
            <w:vAlign w:val="top"/>
          </w:tcPr>
          <w:p w14:paraId="4FC98BBC">
            <w:pPr>
              <w:spacing w:before="163" w:line="195" w:lineRule="auto"/>
              <w:ind w:left="32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24m</w:t>
            </w:r>
          </w:p>
        </w:tc>
        <w:tc>
          <w:tcPr>
            <w:tcW w:w="2262" w:type="dxa"/>
            <w:vAlign w:val="top"/>
          </w:tcPr>
          <w:p w14:paraId="2A5A608E">
            <w:pPr>
              <w:spacing w:before="163" w:line="195" w:lineRule="auto"/>
              <w:ind w:left="1089"/>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789" w:type="dxa"/>
            <w:vMerge w:val="restart"/>
            <w:tcBorders>
              <w:bottom w:val="nil"/>
            </w:tcBorders>
            <w:vAlign w:val="top"/>
          </w:tcPr>
          <w:p w14:paraId="2EA36687">
            <w:pPr>
              <w:spacing w:line="263" w:lineRule="auto"/>
              <w:rPr>
                <w:rFonts w:ascii="Arial"/>
                <w:sz w:val="21"/>
              </w:rPr>
            </w:pPr>
          </w:p>
          <w:p w14:paraId="58A4D28E">
            <w:pPr>
              <w:pStyle w:val="6"/>
              <w:spacing w:before="65" w:line="352" w:lineRule="auto"/>
              <w:ind w:left="295" w:right="183" w:hanging="103"/>
            </w:pPr>
            <w:r>
              <w:rPr>
                <w:spacing w:val="3"/>
              </w:rPr>
              <w:t>直线</w:t>
            </w:r>
            <w:r>
              <w:t>塔</w:t>
            </w:r>
          </w:p>
        </w:tc>
        <w:tc>
          <w:tcPr>
            <w:tcW w:w="1270" w:type="dxa"/>
            <w:vMerge w:val="restart"/>
            <w:tcBorders>
              <w:bottom w:val="nil"/>
            </w:tcBorders>
            <w:vAlign w:val="top"/>
          </w:tcPr>
          <w:p w14:paraId="1010232C">
            <w:pPr>
              <w:spacing w:line="263" w:lineRule="auto"/>
              <w:rPr>
                <w:rFonts w:ascii="Arial"/>
                <w:sz w:val="21"/>
              </w:rPr>
            </w:pPr>
          </w:p>
          <w:p w14:paraId="3944DCF6">
            <w:pPr>
              <w:pStyle w:val="6"/>
              <w:spacing w:before="65" w:line="352" w:lineRule="auto"/>
              <w:ind w:left="430" w:right="107" w:hanging="313"/>
            </w:pPr>
            <w:r>
              <w:rPr>
                <w:spacing w:val="7"/>
              </w:rPr>
              <w:t>垂直逆向序</w:t>
            </w:r>
            <w:r>
              <w:rPr>
                <w:spacing w:val="4"/>
              </w:rPr>
              <w:t>排列</w:t>
            </w:r>
          </w:p>
        </w:tc>
        <w:tc>
          <w:tcPr>
            <w:tcW w:w="842" w:type="dxa"/>
            <w:vMerge w:val="restart"/>
            <w:tcBorders>
              <w:bottom w:val="nil"/>
            </w:tcBorders>
            <w:vAlign w:val="top"/>
          </w:tcPr>
          <w:p w14:paraId="75796B8E">
            <w:pPr>
              <w:spacing w:line="247" w:lineRule="auto"/>
              <w:rPr>
                <w:rFonts w:ascii="Arial"/>
                <w:sz w:val="21"/>
              </w:rPr>
            </w:pPr>
          </w:p>
          <w:p w14:paraId="5AD1BA3A">
            <w:pPr>
              <w:spacing w:line="247" w:lineRule="auto"/>
              <w:rPr>
                <w:rFonts w:ascii="Arial"/>
                <w:sz w:val="21"/>
              </w:rPr>
            </w:pPr>
          </w:p>
          <w:p w14:paraId="20C6BC26">
            <w:pPr>
              <w:spacing w:before="57" w:line="195" w:lineRule="auto"/>
              <w:ind w:left="373"/>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r>
      <w:tr w14:paraId="454A5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979" w:type="dxa"/>
            <w:vMerge w:val="continue"/>
            <w:tcBorders>
              <w:top w:val="nil"/>
              <w:bottom w:val="nil"/>
            </w:tcBorders>
            <w:vAlign w:val="top"/>
          </w:tcPr>
          <w:p w14:paraId="4C748CA4">
            <w:pPr>
              <w:rPr>
                <w:rFonts w:ascii="Arial"/>
                <w:sz w:val="21"/>
              </w:rPr>
            </w:pPr>
          </w:p>
        </w:tc>
        <w:tc>
          <w:tcPr>
            <w:tcW w:w="1354" w:type="dxa"/>
            <w:vAlign w:val="top"/>
          </w:tcPr>
          <w:p w14:paraId="2AE330EA">
            <w:pPr>
              <w:spacing w:before="164"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1C2X1-J2</w:t>
            </w:r>
          </w:p>
        </w:tc>
        <w:tc>
          <w:tcPr>
            <w:tcW w:w="1027" w:type="dxa"/>
            <w:vAlign w:val="top"/>
          </w:tcPr>
          <w:p w14:paraId="45414066">
            <w:pPr>
              <w:spacing w:before="165" w:line="195" w:lineRule="auto"/>
              <w:ind w:left="32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24m</w:t>
            </w:r>
          </w:p>
        </w:tc>
        <w:tc>
          <w:tcPr>
            <w:tcW w:w="2262" w:type="dxa"/>
            <w:vAlign w:val="top"/>
          </w:tcPr>
          <w:p w14:paraId="0C962A7B">
            <w:pPr>
              <w:spacing w:before="164" w:line="195" w:lineRule="auto"/>
              <w:ind w:left="1009"/>
              <w:rPr>
                <w:rFonts w:ascii="Times New Roman" w:hAnsi="Times New Roman" w:eastAsia="Times New Roman" w:cs="Times New Roman"/>
                <w:sz w:val="20"/>
                <w:szCs w:val="20"/>
              </w:rPr>
            </w:pPr>
            <w:r>
              <w:rPr>
                <w:rFonts w:ascii="Times New Roman" w:hAnsi="Times New Roman" w:eastAsia="Times New Roman" w:cs="Times New Roman"/>
                <w:sz w:val="20"/>
                <w:szCs w:val="20"/>
              </w:rPr>
              <w:t>8.3</w:t>
            </w:r>
          </w:p>
        </w:tc>
        <w:tc>
          <w:tcPr>
            <w:tcW w:w="789" w:type="dxa"/>
            <w:vMerge w:val="continue"/>
            <w:tcBorders>
              <w:top w:val="nil"/>
              <w:bottom w:val="nil"/>
            </w:tcBorders>
            <w:vAlign w:val="top"/>
          </w:tcPr>
          <w:p w14:paraId="2524743F">
            <w:pPr>
              <w:rPr>
                <w:rFonts w:ascii="Arial"/>
                <w:sz w:val="21"/>
              </w:rPr>
            </w:pPr>
          </w:p>
        </w:tc>
        <w:tc>
          <w:tcPr>
            <w:tcW w:w="1270" w:type="dxa"/>
            <w:vMerge w:val="continue"/>
            <w:tcBorders>
              <w:top w:val="nil"/>
              <w:bottom w:val="nil"/>
            </w:tcBorders>
            <w:vAlign w:val="top"/>
          </w:tcPr>
          <w:p w14:paraId="50B52DAD">
            <w:pPr>
              <w:rPr>
                <w:rFonts w:ascii="Arial"/>
                <w:sz w:val="21"/>
              </w:rPr>
            </w:pPr>
          </w:p>
        </w:tc>
        <w:tc>
          <w:tcPr>
            <w:tcW w:w="842" w:type="dxa"/>
            <w:vMerge w:val="continue"/>
            <w:tcBorders>
              <w:top w:val="nil"/>
              <w:bottom w:val="nil"/>
            </w:tcBorders>
            <w:vAlign w:val="top"/>
          </w:tcPr>
          <w:p w14:paraId="3A48FD89">
            <w:pPr>
              <w:rPr>
                <w:rFonts w:ascii="Arial"/>
                <w:sz w:val="21"/>
              </w:rPr>
            </w:pPr>
          </w:p>
        </w:tc>
      </w:tr>
      <w:tr w14:paraId="2F62F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979" w:type="dxa"/>
            <w:vMerge w:val="continue"/>
            <w:tcBorders>
              <w:top w:val="nil"/>
              <w:bottom w:val="nil"/>
            </w:tcBorders>
            <w:vAlign w:val="top"/>
          </w:tcPr>
          <w:p w14:paraId="0D70532F">
            <w:pPr>
              <w:rPr>
                <w:rFonts w:ascii="Arial"/>
                <w:sz w:val="21"/>
              </w:rPr>
            </w:pPr>
          </w:p>
        </w:tc>
        <w:tc>
          <w:tcPr>
            <w:tcW w:w="1354" w:type="dxa"/>
            <w:vAlign w:val="top"/>
          </w:tcPr>
          <w:p w14:paraId="23D05759">
            <w:pPr>
              <w:spacing w:before="163" w:line="195" w:lineRule="auto"/>
              <w:ind w:left="24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1C2X1-</w:t>
            </w:r>
            <w:r>
              <w:rPr>
                <w:rFonts w:ascii="Times New Roman" w:hAnsi="Times New Roman" w:eastAsia="Times New Roman" w:cs="Times New Roman"/>
                <w:sz w:val="20"/>
                <w:szCs w:val="20"/>
              </w:rPr>
              <w:t>JD</w:t>
            </w:r>
          </w:p>
        </w:tc>
        <w:tc>
          <w:tcPr>
            <w:tcW w:w="1027" w:type="dxa"/>
            <w:vAlign w:val="top"/>
          </w:tcPr>
          <w:p w14:paraId="1822062A">
            <w:pPr>
              <w:spacing w:before="163" w:line="195" w:lineRule="auto"/>
              <w:ind w:left="32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28m</w:t>
            </w:r>
          </w:p>
        </w:tc>
        <w:tc>
          <w:tcPr>
            <w:tcW w:w="2262" w:type="dxa"/>
            <w:vAlign w:val="top"/>
          </w:tcPr>
          <w:p w14:paraId="340FFFC0">
            <w:pPr>
              <w:spacing w:before="163" w:line="195" w:lineRule="auto"/>
              <w:ind w:left="95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8.35</w:t>
            </w:r>
          </w:p>
        </w:tc>
        <w:tc>
          <w:tcPr>
            <w:tcW w:w="789" w:type="dxa"/>
            <w:vMerge w:val="continue"/>
            <w:tcBorders>
              <w:top w:val="nil"/>
            </w:tcBorders>
            <w:vAlign w:val="top"/>
          </w:tcPr>
          <w:p w14:paraId="3EDAA130">
            <w:pPr>
              <w:rPr>
                <w:rFonts w:ascii="Arial"/>
                <w:sz w:val="21"/>
              </w:rPr>
            </w:pPr>
          </w:p>
        </w:tc>
        <w:tc>
          <w:tcPr>
            <w:tcW w:w="1270" w:type="dxa"/>
            <w:vMerge w:val="continue"/>
            <w:tcBorders>
              <w:top w:val="nil"/>
            </w:tcBorders>
            <w:vAlign w:val="top"/>
          </w:tcPr>
          <w:p w14:paraId="135DB2C2">
            <w:pPr>
              <w:rPr>
                <w:rFonts w:ascii="Arial"/>
                <w:sz w:val="21"/>
              </w:rPr>
            </w:pPr>
          </w:p>
        </w:tc>
        <w:tc>
          <w:tcPr>
            <w:tcW w:w="842" w:type="dxa"/>
            <w:vMerge w:val="continue"/>
            <w:tcBorders>
              <w:top w:val="nil"/>
            </w:tcBorders>
            <w:vAlign w:val="top"/>
          </w:tcPr>
          <w:p w14:paraId="510E1F3D">
            <w:pPr>
              <w:rPr>
                <w:rFonts w:ascii="Arial"/>
                <w:sz w:val="21"/>
              </w:rPr>
            </w:pPr>
          </w:p>
        </w:tc>
      </w:tr>
      <w:tr w14:paraId="44003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979" w:type="dxa"/>
            <w:vMerge w:val="continue"/>
            <w:tcBorders>
              <w:top w:val="nil"/>
              <w:bottom w:val="nil"/>
            </w:tcBorders>
            <w:vAlign w:val="top"/>
          </w:tcPr>
          <w:p w14:paraId="5E78D632">
            <w:pPr>
              <w:rPr>
                <w:rFonts w:ascii="Arial"/>
                <w:sz w:val="21"/>
              </w:rPr>
            </w:pPr>
          </w:p>
        </w:tc>
        <w:tc>
          <w:tcPr>
            <w:tcW w:w="1354" w:type="dxa"/>
            <w:vAlign w:val="top"/>
          </w:tcPr>
          <w:p w14:paraId="65092852">
            <w:pPr>
              <w:spacing w:before="164" w:line="195" w:lineRule="auto"/>
              <w:ind w:left="24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1C2X1-Z3</w:t>
            </w:r>
          </w:p>
        </w:tc>
        <w:tc>
          <w:tcPr>
            <w:tcW w:w="1027" w:type="dxa"/>
            <w:vAlign w:val="top"/>
          </w:tcPr>
          <w:p w14:paraId="42CBC6B8">
            <w:pPr>
              <w:spacing w:before="164" w:line="195" w:lineRule="auto"/>
              <w:ind w:left="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39m</w:t>
            </w:r>
          </w:p>
        </w:tc>
        <w:tc>
          <w:tcPr>
            <w:tcW w:w="2262" w:type="dxa"/>
            <w:vAlign w:val="top"/>
          </w:tcPr>
          <w:p w14:paraId="47797884">
            <w:pPr>
              <w:spacing w:before="164" w:line="195" w:lineRule="auto"/>
              <w:ind w:left="100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7.6</w:t>
            </w:r>
          </w:p>
        </w:tc>
        <w:tc>
          <w:tcPr>
            <w:tcW w:w="789" w:type="dxa"/>
            <w:vMerge w:val="restart"/>
            <w:tcBorders>
              <w:bottom w:val="nil"/>
            </w:tcBorders>
            <w:vAlign w:val="top"/>
          </w:tcPr>
          <w:p w14:paraId="67AC5278">
            <w:pPr>
              <w:spacing w:line="260" w:lineRule="auto"/>
              <w:rPr>
                <w:rFonts w:ascii="Arial"/>
                <w:sz w:val="21"/>
              </w:rPr>
            </w:pPr>
          </w:p>
          <w:p w14:paraId="2F8F8A9F">
            <w:pPr>
              <w:pStyle w:val="6"/>
              <w:spacing w:before="65" w:line="353" w:lineRule="auto"/>
              <w:ind w:left="296" w:right="183" w:hanging="103"/>
            </w:pPr>
            <w:r>
              <w:rPr>
                <w:spacing w:val="3"/>
              </w:rPr>
              <w:t>耐张</w:t>
            </w:r>
            <w:r>
              <w:t>塔</w:t>
            </w:r>
          </w:p>
        </w:tc>
        <w:tc>
          <w:tcPr>
            <w:tcW w:w="1270" w:type="dxa"/>
            <w:vMerge w:val="restart"/>
            <w:tcBorders>
              <w:bottom w:val="nil"/>
            </w:tcBorders>
            <w:vAlign w:val="top"/>
          </w:tcPr>
          <w:p w14:paraId="7B7938FF">
            <w:pPr>
              <w:spacing w:line="261" w:lineRule="auto"/>
              <w:rPr>
                <w:rFonts w:ascii="Arial"/>
                <w:sz w:val="21"/>
              </w:rPr>
            </w:pPr>
          </w:p>
          <w:p w14:paraId="5990337E">
            <w:pPr>
              <w:pStyle w:val="6"/>
              <w:spacing w:before="65" w:line="352" w:lineRule="auto"/>
              <w:ind w:left="430" w:right="107" w:hanging="313"/>
            </w:pPr>
            <w:r>
              <w:rPr>
                <w:spacing w:val="7"/>
              </w:rPr>
              <w:t>垂直逆向序</w:t>
            </w:r>
            <w:r>
              <w:rPr>
                <w:spacing w:val="4"/>
              </w:rPr>
              <w:t>排列</w:t>
            </w:r>
          </w:p>
        </w:tc>
        <w:tc>
          <w:tcPr>
            <w:tcW w:w="842" w:type="dxa"/>
            <w:vMerge w:val="restart"/>
            <w:tcBorders>
              <w:bottom w:val="nil"/>
            </w:tcBorders>
            <w:vAlign w:val="top"/>
          </w:tcPr>
          <w:p w14:paraId="36753786">
            <w:pPr>
              <w:spacing w:line="246" w:lineRule="auto"/>
              <w:rPr>
                <w:rFonts w:ascii="Arial"/>
                <w:sz w:val="21"/>
              </w:rPr>
            </w:pPr>
          </w:p>
          <w:p w14:paraId="4ACFF66F">
            <w:pPr>
              <w:spacing w:line="247" w:lineRule="auto"/>
              <w:rPr>
                <w:rFonts w:ascii="Arial"/>
                <w:sz w:val="21"/>
              </w:rPr>
            </w:pPr>
          </w:p>
          <w:p w14:paraId="372F785C">
            <w:pPr>
              <w:spacing w:before="57" w:line="195" w:lineRule="auto"/>
              <w:ind w:left="3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r>
      <w:tr w14:paraId="6818C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979" w:type="dxa"/>
            <w:vMerge w:val="continue"/>
            <w:tcBorders>
              <w:top w:val="nil"/>
              <w:bottom w:val="nil"/>
            </w:tcBorders>
            <w:vAlign w:val="top"/>
          </w:tcPr>
          <w:p w14:paraId="1F50C83D">
            <w:pPr>
              <w:rPr>
                <w:rFonts w:ascii="Arial"/>
                <w:sz w:val="21"/>
              </w:rPr>
            </w:pPr>
          </w:p>
        </w:tc>
        <w:tc>
          <w:tcPr>
            <w:tcW w:w="1354" w:type="dxa"/>
            <w:vAlign w:val="top"/>
          </w:tcPr>
          <w:p w14:paraId="02319BE5">
            <w:pPr>
              <w:spacing w:before="163" w:line="195" w:lineRule="auto"/>
              <w:ind w:left="24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1C2X1-Z2</w:t>
            </w:r>
          </w:p>
        </w:tc>
        <w:tc>
          <w:tcPr>
            <w:tcW w:w="1027" w:type="dxa"/>
            <w:vAlign w:val="top"/>
          </w:tcPr>
          <w:p w14:paraId="4FE878B0">
            <w:pPr>
              <w:spacing w:before="163" w:line="195" w:lineRule="auto"/>
              <w:ind w:left="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33m</w:t>
            </w:r>
          </w:p>
        </w:tc>
        <w:tc>
          <w:tcPr>
            <w:tcW w:w="2262" w:type="dxa"/>
            <w:vAlign w:val="top"/>
          </w:tcPr>
          <w:p w14:paraId="461A34E8">
            <w:pPr>
              <w:spacing w:before="163" w:line="195" w:lineRule="auto"/>
              <w:ind w:left="100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7.4</w:t>
            </w:r>
          </w:p>
        </w:tc>
        <w:tc>
          <w:tcPr>
            <w:tcW w:w="789" w:type="dxa"/>
            <w:vMerge w:val="continue"/>
            <w:tcBorders>
              <w:top w:val="nil"/>
              <w:bottom w:val="nil"/>
            </w:tcBorders>
            <w:vAlign w:val="top"/>
          </w:tcPr>
          <w:p w14:paraId="413E69BE">
            <w:pPr>
              <w:rPr>
                <w:rFonts w:ascii="Arial"/>
                <w:sz w:val="21"/>
              </w:rPr>
            </w:pPr>
          </w:p>
        </w:tc>
        <w:tc>
          <w:tcPr>
            <w:tcW w:w="1270" w:type="dxa"/>
            <w:vMerge w:val="continue"/>
            <w:tcBorders>
              <w:top w:val="nil"/>
              <w:bottom w:val="nil"/>
            </w:tcBorders>
            <w:vAlign w:val="top"/>
          </w:tcPr>
          <w:p w14:paraId="6FCAA659">
            <w:pPr>
              <w:rPr>
                <w:rFonts w:ascii="Arial"/>
                <w:sz w:val="21"/>
              </w:rPr>
            </w:pPr>
          </w:p>
        </w:tc>
        <w:tc>
          <w:tcPr>
            <w:tcW w:w="842" w:type="dxa"/>
            <w:vMerge w:val="continue"/>
            <w:tcBorders>
              <w:top w:val="nil"/>
              <w:bottom w:val="nil"/>
            </w:tcBorders>
            <w:vAlign w:val="top"/>
          </w:tcPr>
          <w:p w14:paraId="11E67231">
            <w:pPr>
              <w:rPr>
                <w:rFonts w:ascii="Arial"/>
                <w:sz w:val="21"/>
              </w:rPr>
            </w:pPr>
          </w:p>
        </w:tc>
      </w:tr>
      <w:tr w14:paraId="3453E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979" w:type="dxa"/>
            <w:vMerge w:val="continue"/>
            <w:tcBorders>
              <w:top w:val="nil"/>
              <w:bottom w:val="nil"/>
            </w:tcBorders>
            <w:vAlign w:val="top"/>
          </w:tcPr>
          <w:p w14:paraId="5EF84DDA">
            <w:pPr>
              <w:rPr>
                <w:rFonts w:ascii="Arial"/>
                <w:sz w:val="21"/>
              </w:rPr>
            </w:pPr>
          </w:p>
        </w:tc>
        <w:tc>
          <w:tcPr>
            <w:tcW w:w="1354" w:type="dxa"/>
            <w:vAlign w:val="top"/>
          </w:tcPr>
          <w:p w14:paraId="3328B981">
            <w:pPr>
              <w:spacing w:before="164" w:line="195" w:lineRule="auto"/>
              <w:ind w:left="24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1C2X1-Z1</w:t>
            </w:r>
          </w:p>
        </w:tc>
        <w:tc>
          <w:tcPr>
            <w:tcW w:w="1027" w:type="dxa"/>
            <w:vAlign w:val="top"/>
          </w:tcPr>
          <w:p w14:paraId="6CED18B4">
            <w:pPr>
              <w:spacing w:before="164" w:line="195" w:lineRule="auto"/>
              <w:ind w:left="32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27m</w:t>
            </w:r>
          </w:p>
        </w:tc>
        <w:tc>
          <w:tcPr>
            <w:tcW w:w="2262" w:type="dxa"/>
            <w:vAlign w:val="top"/>
          </w:tcPr>
          <w:p w14:paraId="0E33F768">
            <w:pPr>
              <w:spacing w:before="164" w:line="195" w:lineRule="auto"/>
              <w:ind w:left="1004"/>
              <w:rPr>
                <w:rFonts w:ascii="Times New Roman" w:hAnsi="Times New Roman" w:eastAsia="Times New Roman" w:cs="Times New Roman"/>
                <w:sz w:val="20"/>
                <w:szCs w:val="20"/>
              </w:rPr>
            </w:pPr>
            <w:r>
              <w:rPr>
                <w:rFonts w:ascii="Times New Roman" w:hAnsi="Times New Roman" w:eastAsia="Times New Roman" w:cs="Times New Roman"/>
                <w:sz w:val="20"/>
                <w:szCs w:val="20"/>
              </w:rPr>
              <w:t>7.</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z w:val="20"/>
                <w:szCs w:val="20"/>
              </w:rPr>
              <w:t>1</w:t>
            </w:r>
          </w:p>
        </w:tc>
        <w:tc>
          <w:tcPr>
            <w:tcW w:w="789" w:type="dxa"/>
            <w:vMerge w:val="continue"/>
            <w:tcBorders>
              <w:top w:val="nil"/>
            </w:tcBorders>
            <w:vAlign w:val="top"/>
          </w:tcPr>
          <w:p w14:paraId="2A519429">
            <w:pPr>
              <w:rPr>
                <w:rFonts w:ascii="Arial"/>
                <w:sz w:val="21"/>
              </w:rPr>
            </w:pPr>
          </w:p>
        </w:tc>
        <w:tc>
          <w:tcPr>
            <w:tcW w:w="1270" w:type="dxa"/>
            <w:vMerge w:val="continue"/>
            <w:tcBorders>
              <w:top w:val="nil"/>
            </w:tcBorders>
            <w:vAlign w:val="top"/>
          </w:tcPr>
          <w:p w14:paraId="511F3A2F">
            <w:pPr>
              <w:rPr>
                <w:rFonts w:ascii="Arial"/>
                <w:sz w:val="21"/>
              </w:rPr>
            </w:pPr>
          </w:p>
        </w:tc>
        <w:tc>
          <w:tcPr>
            <w:tcW w:w="842" w:type="dxa"/>
            <w:vMerge w:val="continue"/>
            <w:tcBorders>
              <w:top w:val="nil"/>
            </w:tcBorders>
            <w:vAlign w:val="top"/>
          </w:tcPr>
          <w:p w14:paraId="0004161C">
            <w:pPr>
              <w:rPr>
                <w:rFonts w:ascii="Arial"/>
                <w:sz w:val="21"/>
              </w:rPr>
            </w:pPr>
          </w:p>
        </w:tc>
      </w:tr>
      <w:tr w14:paraId="707DB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979" w:type="dxa"/>
            <w:vMerge w:val="continue"/>
            <w:tcBorders>
              <w:top w:val="nil"/>
            </w:tcBorders>
            <w:vAlign w:val="top"/>
          </w:tcPr>
          <w:p w14:paraId="387325C7">
            <w:pPr>
              <w:rPr>
                <w:rFonts w:ascii="Arial"/>
                <w:sz w:val="21"/>
              </w:rPr>
            </w:pPr>
          </w:p>
        </w:tc>
        <w:tc>
          <w:tcPr>
            <w:tcW w:w="6702" w:type="dxa"/>
            <w:gridSpan w:val="5"/>
            <w:vAlign w:val="top"/>
          </w:tcPr>
          <w:p w14:paraId="741F6D56">
            <w:pPr>
              <w:pStyle w:val="6"/>
              <w:spacing w:before="128" w:line="228" w:lineRule="auto"/>
              <w:ind w:left="3151"/>
            </w:pPr>
            <w:r>
              <w:rPr>
                <w:spacing w:val="2"/>
              </w:rPr>
              <w:t>小计</w:t>
            </w:r>
          </w:p>
        </w:tc>
        <w:tc>
          <w:tcPr>
            <w:tcW w:w="842" w:type="dxa"/>
            <w:vAlign w:val="top"/>
          </w:tcPr>
          <w:p w14:paraId="4A29BF69">
            <w:pPr>
              <w:spacing w:before="163" w:line="195" w:lineRule="auto"/>
              <w:ind w:left="33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r>
      <w:tr w14:paraId="36F2B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979" w:type="dxa"/>
            <w:vAlign w:val="top"/>
          </w:tcPr>
          <w:p w14:paraId="3778904B">
            <w:pPr>
              <w:pStyle w:val="6"/>
              <w:spacing w:before="129" w:line="229" w:lineRule="auto"/>
              <w:ind w:left="290"/>
            </w:pPr>
            <w:r>
              <w:rPr>
                <w:spacing w:val="2"/>
              </w:rPr>
              <w:t>总计</w:t>
            </w:r>
          </w:p>
        </w:tc>
        <w:tc>
          <w:tcPr>
            <w:tcW w:w="7544" w:type="dxa"/>
            <w:gridSpan w:val="6"/>
            <w:vAlign w:val="top"/>
          </w:tcPr>
          <w:p w14:paraId="6FED7B3F">
            <w:pPr>
              <w:pStyle w:val="6"/>
              <w:spacing w:before="128" w:line="227" w:lineRule="auto"/>
              <w:ind w:left="1097"/>
            </w:pPr>
            <w:r>
              <w:rPr>
                <w:spacing w:val="7"/>
              </w:rPr>
              <w:t>本项目线路共用铁塔</w:t>
            </w:r>
            <w:r>
              <w:rPr>
                <w:spacing w:val="-39"/>
              </w:rPr>
              <w:t xml:space="preserve"> </w:t>
            </w:r>
            <w:r>
              <w:rPr>
                <w:rFonts w:ascii="Times New Roman" w:hAnsi="Times New Roman" w:eastAsia="Times New Roman" w:cs="Times New Roman"/>
                <w:spacing w:val="7"/>
              </w:rPr>
              <w:t xml:space="preserve">45 </w:t>
            </w:r>
            <w:r>
              <w:rPr>
                <w:spacing w:val="7"/>
              </w:rPr>
              <w:t>基，直线塔</w:t>
            </w:r>
            <w:r>
              <w:rPr>
                <w:spacing w:val="-43"/>
              </w:rPr>
              <w:t xml:space="preserve"> </w:t>
            </w:r>
            <w:r>
              <w:rPr>
                <w:rFonts w:ascii="Times New Roman" w:hAnsi="Times New Roman" w:eastAsia="Times New Roman" w:cs="Times New Roman"/>
                <w:spacing w:val="7"/>
              </w:rPr>
              <w:t xml:space="preserve">24 </w:t>
            </w:r>
            <w:r>
              <w:rPr>
                <w:spacing w:val="7"/>
              </w:rPr>
              <w:t>基，耐张塔</w:t>
            </w:r>
            <w:r>
              <w:rPr>
                <w:spacing w:val="-43"/>
              </w:rPr>
              <w:t xml:space="preserve"> </w:t>
            </w:r>
            <w:r>
              <w:rPr>
                <w:rFonts w:ascii="Times New Roman" w:hAnsi="Times New Roman" w:eastAsia="Times New Roman" w:cs="Times New Roman"/>
                <w:spacing w:val="7"/>
              </w:rPr>
              <w:t xml:space="preserve">21 </w:t>
            </w:r>
            <w:r>
              <w:rPr>
                <w:spacing w:val="7"/>
              </w:rPr>
              <w:t>基。</w:t>
            </w:r>
          </w:p>
        </w:tc>
      </w:tr>
    </w:tbl>
    <w:p w14:paraId="16227B21">
      <w:pPr>
        <w:pStyle w:val="2"/>
        <w:spacing w:before="113" w:line="360" w:lineRule="auto"/>
        <w:ind w:left="120" w:right="110" w:firstLine="480"/>
        <w:jc w:val="both"/>
        <w:rPr>
          <w:sz w:val="24"/>
          <w:szCs w:val="24"/>
        </w:rPr>
      </w:pPr>
      <w:r>
        <w:rPr>
          <w:spacing w:val="-2"/>
          <w:sz w:val="24"/>
          <w:szCs w:val="24"/>
        </w:rPr>
        <w:t>根据表</w:t>
      </w:r>
      <w:r>
        <w:rPr>
          <w:spacing w:val="-40"/>
          <w:sz w:val="24"/>
          <w:szCs w:val="24"/>
        </w:rPr>
        <w:t xml:space="preserve"> </w:t>
      </w:r>
      <w:r>
        <w:rPr>
          <w:rFonts w:ascii="Times New Roman" w:hAnsi="Times New Roman" w:eastAsia="Times New Roman" w:cs="Times New Roman"/>
          <w:spacing w:val="-2"/>
          <w:sz w:val="24"/>
          <w:szCs w:val="24"/>
        </w:rPr>
        <w:t>5-3</w:t>
      </w:r>
      <w:r>
        <w:rPr>
          <w:rFonts w:ascii="Times New Roman" w:hAnsi="Times New Roman" w:eastAsia="Times New Roman" w:cs="Times New Roman"/>
          <w:spacing w:val="-26"/>
          <w:sz w:val="24"/>
          <w:szCs w:val="24"/>
        </w:rPr>
        <w:t xml:space="preserve"> </w:t>
      </w:r>
      <w:r>
        <w:rPr>
          <w:spacing w:val="-2"/>
          <w:sz w:val="24"/>
          <w:szCs w:val="24"/>
        </w:rPr>
        <w:t>，本项目</w:t>
      </w:r>
      <w:r>
        <w:rPr>
          <w:spacing w:val="-29"/>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单回线路选用线间距最大的</w:t>
      </w:r>
      <w:r>
        <w:rPr>
          <w:spacing w:val="-27"/>
          <w:sz w:val="24"/>
          <w:szCs w:val="24"/>
        </w:rPr>
        <w:t xml:space="preserve"> </w:t>
      </w:r>
      <w:r>
        <w:rPr>
          <w:rFonts w:ascii="Times New Roman" w:hAnsi="Times New Roman" w:eastAsia="Times New Roman" w:cs="Times New Roman"/>
          <w:spacing w:val="-2"/>
          <w:sz w:val="24"/>
          <w:szCs w:val="24"/>
        </w:rPr>
        <w:t xml:space="preserve">1B1X4-J4 </w:t>
      </w:r>
      <w:r>
        <w:rPr>
          <w:spacing w:val="-2"/>
          <w:sz w:val="24"/>
          <w:szCs w:val="24"/>
        </w:rPr>
        <w:t>塔作为最</w:t>
      </w:r>
      <w:r>
        <w:rPr>
          <w:spacing w:val="-3"/>
          <w:sz w:val="24"/>
          <w:szCs w:val="24"/>
        </w:rPr>
        <w:t>不利塔型进行工频电场强度、工频磁感应强度影响预测分析；</w:t>
      </w:r>
      <w:r>
        <w:rPr>
          <w:rFonts w:ascii="Times New Roman" w:hAnsi="Times New Roman" w:eastAsia="Times New Roman" w:cs="Times New Roman"/>
          <w:spacing w:val="-3"/>
          <w:sz w:val="24"/>
          <w:szCs w:val="24"/>
        </w:rPr>
        <w:t xml:space="preserve">110kV </w:t>
      </w:r>
      <w:r>
        <w:rPr>
          <w:spacing w:val="-3"/>
          <w:sz w:val="24"/>
          <w:szCs w:val="24"/>
        </w:rPr>
        <w:t>双回线路选</w:t>
      </w:r>
      <w:r>
        <w:rPr>
          <w:spacing w:val="-2"/>
          <w:sz w:val="24"/>
          <w:szCs w:val="24"/>
        </w:rPr>
        <w:t>用线间距最大的</w:t>
      </w:r>
      <w:r>
        <w:rPr>
          <w:spacing w:val="-32"/>
          <w:sz w:val="24"/>
          <w:szCs w:val="24"/>
        </w:rPr>
        <w:t xml:space="preserve"> </w:t>
      </w:r>
      <w:r>
        <w:rPr>
          <w:rFonts w:ascii="Times New Roman" w:hAnsi="Times New Roman" w:eastAsia="Times New Roman" w:cs="Times New Roman"/>
          <w:spacing w:val="-2"/>
          <w:sz w:val="24"/>
          <w:szCs w:val="24"/>
        </w:rPr>
        <w:t xml:space="preserve">1C2X1-JD </w:t>
      </w:r>
      <w:r>
        <w:rPr>
          <w:spacing w:val="-2"/>
          <w:sz w:val="24"/>
          <w:szCs w:val="24"/>
        </w:rPr>
        <w:t>塔作为最不利塔型进</w:t>
      </w:r>
      <w:r>
        <w:rPr>
          <w:spacing w:val="-3"/>
          <w:sz w:val="24"/>
          <w:szCs w:val="24"/>
        </w:rPr>
        <w:t>行工频电场强度、工频磁感应强</w:t>
      </w:r>
      <w:r>
        <w:rPr>
          <w:spacing w:val="-2"/>
          <w:sz w:val="24"/>
          <w:szCs w:val="24"/>
        </w:rPr>
        <w:t>度影响预测分析。</w:t>
      </w:r>
    </w:p>
    <w:p w14:paraId="2F9CD4FD">
      <w:pPr>
        <w:pStyle w:val="2"/>
        <w:spacing w:before="1" w:line="352" w:lineRule="auto"/>
        <w:ind w:left="120" w:right="110" w:firstLine="481"/>
        <w:jc w:val="both"/>
        <w:rPr>
          <w:sz w:val="24"/>
          <w:szCs w:val="24"/>
        </w:rPr>
      </w:pPr>
      <w:r>
        <w:rPr>
          <w:sz w:val="24"/>
          <w:szCs w:val="24"/>
        </w:rPr>
        <w:t>本项目共设双回塔基</w:t>
      </w:r>
      <w:r>
        <w:rPr>
          <w:spacing w:val="-31"/>
          <w:sz w:val="24"/>
          <w:szCs w:val="24"/>
        </w:rPr>
        <w:t xml:space="preserve"> </w:t>
      </w:r>
      <w:r>
        <w:rPr>
          <w:rFonts w:ascii="Times New Roman" w:hAnsi="Times New Roman" w:eastAsia="Times New Roman" w:cs="Times New Roman"/>
          <w:sz w:val="24"/>
          <w:szCs w:val="24"/>
        </w:rPr>
        <w:t xml:space="preserve">10 </w:t>
      </w:r>
      <w:r>
        <w:rPr>
          <w:sz w:val="24"/>
          <w:szCs w:val="24"/>
        </w:rPr>
        <w:t>基，本期仅单边挂</w:t>
      </w:r>
      <w:r>
        <w:rPr>
          <w:spacing w:val="-1"/>
          <w:sz w:val="24"/>
          <w:szCs w:val="24"/>
        </w:rPr>
        <w:t>线，本次环评仅考虑双回线路单</w:t>
      </w:r>
      <w:r>
        <w:rPr>
          <w:spacing w:val="-3"/>
          <w:sz w:val="24"/>
          <w:szCs w:val="24"/>
        </w:rPr>
        <w:t>边挂线的最不利环境影响方式进行电磁环境预测。电磁环境模式预测参数详见表</w:t>
      </w:r>
      <w:r>
        <w:rPr>
          <w:rFonts w:ascii="Times New Roman" w:hAnsi="Times New Roman" w:eastAsia="Times New Roman" w:cs="Times New Roman"/>
          <w:spacing w:val="-3"/>
          <w:sz w:val="24"/>
          <w:szCs w:val="24"/>
        </w:rPr>
        <w:t>5-4</w:t>
      </w:r>
      <w:r>
        <w:rPr>
          <w:spacing w:val="-3"/>
          <w:sz w:val="24"/>
          <w:szCs w:val="24"/>
        </w:rPr>
        <w:t>。</w:t>
      </w:r>
    </w:p>
    <w:p w14:paraId="35FD6ECE">
      <w:pPr>
        <w:spacing w:line="352" w:lineRule="auto"/>
        <w:rPr>
          <w:sz w:val="24"/>
          <w:szCs w:val="24"/>
        </w:rPr>
        <w:sectPr>
          <w:footerReference r:id="rId183" w:type="default"/>
          <w:pgSz w:w="11906" w:h="16839"/>
          <w:pgMar w:top="400" w:right="1689" w:bottom="1147" w:left="1688" w:header="0" w:footer="960" w:gutter="0"/>
          <w:cols w:space="720" w:num="1"/>
        </w:sectPr>
      </w:pPr>
    </w:p>
    <w:p w14:paraId="078F3CFB">
      <w:pPr>
        <w:spacing w:line="255" w:lineRule="auto"/>
        <w:rPr>
          <w:rFonts w:ascii="Arial"/>
          <w:sz w:val="21"/>
        </w:rPr>
      </w:pPr>
    </w:p>
    <w:p w14:paraId="68F3FC77">
      <w:pPr>
        <w:spacing w:line="255" w:lineRule="auto"/>
        <w:rPr>
          <w:rFonts w:ascii="Arial"/>
          <w:sz w:val="21"/>
        </w:rPr>
      </w:pPr>
    </w:p>
    <w:p w14:paraId="155AFCCA">
      <w:pPr>
        <w:spacing w:line="255" w:lineRule="auto"/>
        <w:rPr>
          <w:rFonts w:ascii="Arial"/>
          <w:sz w:val="21"/>
        </w:rPr>
      </w:pPr>
    </w:p>
    <w:p w14:paraId="1258031D">
      <w:pPr>
        <w:spacing w:line="255" w:lineRule="auto"/>
        <w:rPr>
          <w:rFonts w:ascii="Arial"/>
          <w:sz w:val="21"/>
        </w:rPr>
      </w:pPr>
    </w:p>
    <w:p w14:paraId="024AAE07">
      <w:pPr>
        <w:pStyle w:val="2"/>
        <w:spacing w:before="65" w:line="227" w:lineRule="auto"/>
        <w:ind w:left="1344"/>
        <w:rPr>
          <w:sz w:val="20"/>
          <w:szCs w:val="20"/>
        </w:rPr>
      </w:pPr>
      <w:r>
        <w:rPr>
          <w:b/>
          <w:bCs/>
          <w:spacing w:val="6"/>
          <w:sz w:val="20"/>
          <w:szCs w:val="20"/>
        </w:rPr>
        <w:t>表</w:t>
      </w:r>
      <w:r>
        <w:rPr>
          <w:spacing w:val="-38"/>
          <w:sz w:val="20"/>
          <w:szCs w:val="20"/>
        </w:rPr>
        <w:t xml:space="preserve"> </w:t>
      </w:r>
      <w:r>
        <w:rPr>
          <w:rFonts w:ascii="Times New Roman" w:hAnsi="Times New Roman" w:eastAsia="Times New Roman" w:cs="Times New Roman"/>
          <w:b/>
          <w:bCs/>
          <w:spacing w:val="6"/>
          <w:sz w:val="20"/>
          <w:szCs w:val="20"/>
        </w:rPr>
        <w:t xml:space="preserve">5-4    </w:t>
      </w:r>
      <w:r>
        <w:rPr>
          <w:b/>
          <w:bCs/>
          <w:spacing w:val="6"/>
          <w:sz w:val="20"/>
          <w:szCs w:val="20"/>
        </w:rPr>
        <w:t>本项目</w:t>
      </w:r>
      <w:r>
        <w:rPr>
          <w:spacing w:val="-34"/>
          <w:sz w:val="20"/>
          <w:szCs w:val="20"/>
        </w:rPr>
        <w:t xml:space="preserve"> </w:t>
      </w:r>
      <w:r>
        <w:rPr>
          <w:rFonts w:ascii="Times New Roman" w:hAnsi="Times New Roman" w:eastAsia="Times New Roman" w:cs="Times New Roman"/>
          <w:b/>
          <w:bCs/>
          <w:spacing w:val="6"/>
          <w:sz w:val="20"/>
          <w:szCs w:val="20"/>
        </w:rPr>
        <w:t>110</w:t>
      </w:r>
      <w:r>
        <w:rPr>
          <w:rFonts w:ascii="Times New Roman" w:hAnsi="Times New Roman" w:eastAsia="Times New Roman" w:cs="Times New Roman"/>
          <w:b/>
          <w:bCs/>
          <w:sz w:val="20"/>
          <w:szCs w:val="20"/>
        </w:rPr>
        <w:t>kV</w:t>
      </w:r>
      <w:r>
        <w:rPr>
          <w:rFonts w:ascii="Times New Roman" w:hAnsi="Times New Roman" w:eastAsia="Times New Roman" w:cs="Times New Roman"/>
          <w:b/>
          <w:bCs/>
          <w:spacing w:val="6"/>
          <w:sz w:val="20"/>
          <w:szCs w:val="20"/>
        </w:rPr>
        <w:t xml:space="preserve"> </w:t>
      </w:r>
      <w:r>
        <w:rPr>
          <w:b/>
          <w:bCs/>
          <w:spacing w:val="6"/>
          <w:sz w:val="20"/>
          <w:szCs w:val="20"/>
        </w:rPr>
        <w:t>单、双回路线路电磁环境模式预测参数表</w:t>
      </w:r>
    </w:p>
    <w:p w14:paraId="4C5F7DE2">
      <w:pPr>
        <w:spacing w:line="14" w:lineRule="exact"/>
      </w:pPr>
    </w:p>
    <w:tbl>
      <w:tblPr>
        <w:tblStyle w:val="5"/>
        <w:tblW w:w="87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0"/>
        <w:gridCol w:w="534"/>
        <w:gridCol w:w="882"/>
        <w:gridCol w:w="3387"/>
        <w:gridCol w:w="3482"/>
      </w:tblGrid>
      <w:tr w14:paraId="5D204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856" w:type="dxa"/>
            <w:gridSpan w:val="3"/>
            <w:tcBorders>
              <w:tl2br w:val="single" w:color="000000" w:sz="4" w:space="0"/>
            </w:tcBorders>
            <w:shd w:val="clear" w:color="auto" w:fill="BEBEBE"/>
            <w:vAlign w:val="top"/>
          </w:tcPr>
          <w:p w14:paraId="3C9E73F2">
            <w:pPr>
              <w:pStyle w:val="6"/>
              <w:spacing w:before="56" w:line="228" w:lineRule="auto"/>
              <w:ind w:left="1186"/>
            </w:pPr>
            <w:r>
              <w:rPr>
                <w:b/>
                <w:bCs/>
                <w:spacing w:val="-3"/>
              </w:rPr>
              <w:t>线</w:t>
            </w:r>
            <w:r>
              <w:rPr>
                <w:spacing w:val="10"/>
              </w:rPr>
              <w:t xml:space="preserve">  </w:t>
            </w:r>
            <w:r>
              <w:rPr>
                <w:b/>
                <w:bCs/>
                <w:spacing w:val="-3"/>
              </w:rPr>
              <w:t>路</w:t>
            </w:r>
          </w:p>
          <w:p w14:paraId="4A693C0C">
            <w:pPr>
              <w:pStyle w:val="6"/>
              <w:spacing w:before="64" w:line="228" w:lineRule="auto"/>
              <w:ind w:left="55"/>
            </w:pPr>
            <w:r>
              <w:rPr>
                <w:b/>
                <w:bCs/>
                <w:spacing w:val="-3"/>
              </w:rPr>
              <w:t>参</w:t>
            </w:r>
            <w:r>
              <w:rPr>
                <w:spacing w:val="10"/>
              </w:rPr>
              <w:t xml:space="preserve">  </w:t>
            </w:r>
            <w:r>
              <w:rPr>
                <w:b/>
                <w:bCs/>
                <w:spacing w:val="-3"/>
              </w:rPr>
              <w:t>数</w:t>
            </w:r>
          </w:p>
        </w:tc>
        <w:tc>
          <w:tcPr>
            <w:tcW w:w="3387" w:type="dxa"/>
            <w:shd w:val="clear" w:color="auto" w:fill="BEBEBE"/>
            <w:vAlign w:val="top"/>
          </w:tcPr>
          <w:p w14:paraId="35413FD4">
            <w:pPr>
              <w:pStyle w:val="6"/>
              <w:spacing w:before="212" w:line="228" w:lineRule="auto"/>
              <w:ind w:left="1276"/>
            </w:pPr>
            <w:r>
              <w:rPr>
                <w:b/>
                <w:bCs/>
                <w:spacing w:val="6"/>
              </w:rPr>
              <w:t>双回线路</w:t>
            </w:r>
          </w:p>
        </w:tc>
        <w:tc>
          <w:tcPr>
            <w:tcW w:w="3482" w:type="dxa"/>
            <w:shd w:val="clear" w:color="auto" w:fill="BEBEBE"/>
            <w:vAlign w:val="top"/>
          </w:tcPr>
          <w:p w14:paraId="1CD58547">
            <w:pPr>
              <w:pStyle w:val="6"/>
              <w:spacing w:before="212" w:line="228" w:lineRule="auto"/>
              <w:ind w:left="1325"/>
            </w:pPr>
            <w:r>
              <w:rPr>
                <w:b/>
                <w:bCs/>
                <w:spacing w:val="6"/>
              </w:rPr>
              <w:t>单回线路</w:t>
            </w:r>
          </w:p>
        </w:tc>
      </w:tr>
      <w:tr w14:paraId="1B761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856" w:type="dxa"/>
            <w:gridSpan w:val="3"/>
            <w:vAlign w:val="top"/>
          </w:tcPr>
          <w:p w14:paraId="4E90AE6B">
            <w:pPr>
              <w:pStyle w:val="6"/>
              <w:spacing w:before="131" w:line="229" w:lineRule="auto"/>
              <w:ind w:left="514"/>
            </w:pPr>
            <w:r>
              <w:rPr>
                <w:spacing w:val="7"/>
              </w:rPr>
              <w:t>排列方式</w:t>
            </w:r>
          </w:p>
        </w:tc>
        <w:tc>
          <w:tcPr>
            <w:tcW w:w="3387" w:type="dxa"/>
            <w:vAlign w:val="top"/>
          </w:tcPr>
          <w:p w14:paraId="01DDECC6">
            <w:pPr>
              <w:pStyle w:val="6"/>
              <w:spacing w:before="131" w:line="229" w:lineRule="auto"/>
              <w:ind w:left="565"/>
            </w:pPr>
            <w:r>
              <w:rPr>
                <w:spacing w:val="7"/>
              </w:rPr>
              <w:t>同塔双回垂直逆相序排列</w:t>
            </w:r>
          </w:p>
        </w:tc>
        <w:tc>
          <w:tcPr>
            <w:tcW w:w="3482" w:type="dxa"/>
            <w:vAlign w:val="top"/>
          </w:tcPr>
          <w:p w14:paraId="19807112">
            <w:pPr>
              <w:pStyle w:val="6"/>
              <w:spacing w:before="131" w:line="227" w:lineRule="auto"/>
              <w:ind w:left="1326"/>
            </w:pPr>
            <w:r>
              <w:rPr>
                <w:spacing w:val="7"/>
              </w:rPr>
              <w:t>三角排列</w:t>
            </w:r>
          </w:p>
        </w:tc>
      </w:tr>
      <w:tr w14:paraId="06568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856" w:type="dxa"/>
            <w:gridSpan w:val="3"/>
            <w:vAlign w:val="top"/>
          </w:tcPr>
          <w:p w14:paraId="5C168EB4">
            <w:pPr>
              <w:pStyle w:val="6"/>
              <w:spacing w:before="131" w:line="228" w:lineRule="auto"/>
              <w:ind w:left="519"/>
            </w:pPr>
            <w:r>
              <w:rPr>
                <w:spacing w:val="5"/>
              </w:rPr>
              <w:t>导线型号</w:t>
            </w:r>
          </w:p>
        </w:tc>
        <w:tc>
          <w:tcPr>
            <w:tcW w:w="3387" w:type="dxa"/>
            <w:vAlign w:val="top"/>
          </w:tcPr>
          <w:p w14:paraId="1A073F75">
            <w:pPr>
              <w:spacing w:before="155" w:line="188" w:lineRule="auto"/>
              <w:ind w:left="816"/>
              <w:rPr>
                <w:rFonts w:ascii="Times New Roman" w:hAnsi="Times New Roman" w:eastAsia="Times New Roman" w:cs="Times New Roman"/>
                <w:sz w:val="20"/>
                <w:szCs w:val="20"/>
              </w:rPr>
            </w:pPr>
            <w:r>
              <w:rPr>
                <w:rFonts w:ascii="Times New Roman" w:hAnsi="Times New Roman" w:eastAsia="Times New Roman" w:cs="Times New Roman"/>
                <w:spacing w:val="3"/>
                <w:sz w:val="24"/>
                <w:szCs w:val="24"/>
              </w:rPr>
              <w:t>1×</w:t>
            </w:r>
            <w:r>
              <w:rPr>
                <w:rFonts w:ascii="Times New Roman" w:hAnsi="Times New Roman" w:eastAsia="Times New Roman" w:cs="Times New Roman"/>
                <w:sz w:val="20"/>
                <w:szCs w:val="20"/>
              </w:rPr>
              <w:t>JL</w:t>
            </w:r>
            <w:r>
              <w:rPr>
                <w:rFonts w:ascii="Times New Roman" w:hAnsi="Times New Roman" w:eastAsia="Times New Roman" w:cs="Times New Roman"/>
                <w:spacing w:val="3"/>
                <w:sz w:val="20"/>
                <w:szCs w:val="20"/>
              </w:rPr>
              <w:t>/</w:t>
            </w:r>
            <w:r>
              <w:rPr>
                <w:rFonts w:ascii="Times New Roman" w:hAnsi="Times New Roman" w:eastAsia="Times New Roman" w:cs="Times New Roman"/>
                <w:sz w:val="20"/>
                <w:szCs w:val="20"/>
              </w:rPr>
              <w:t>LB</w:t>
            </w:r>
            <w:r>
              <w:rPr>
                <w:rFonts w:ascii="Times New Roman" w:hAnsi="Times New Roman" w:eastAsia="Times New Roman" w:cs="Times New Roman"/>
                <w:spacing w:val="3"/>
                <w:sz w:val="20"/>
                <w:szCs w:val="20"/>
              </w:rPr>
              <w:t>20A-300/40</w:t>
            </w:r>
          </w:p>
        </w:tc>
        <w:tc>
          <w:tcPr>
            <w:tcW w:w="3482" w:type="dxa"/>
            <w:vAlign w:val="top"/>
          </w:tcPr>
          <w:p w14:paraId="1A26CFB7">
            <w:pPr>
              <w:spacing w:before="155" w:line="188" w:lineRule="auto"/>
              <w:ind w:left="861"/>
              <w:rPr>
                <w:rFonts w:ascii="Times New Roman" w:hAnsi="Times New Roman" w:eastAsia="Times New Roman" w:cs="Times New Roman"/>
                <w:sz w:val="20"/>
                <w:szCs w:val="20"/>
              </w:rPr>
            </w:pPr>
            <w:r>
              <w:rPr>
                <w:rFonts w:ascii="Times New Roman" w:hAnsi="Times New Roman" w:eastAsia="Times New Roman" w:cs="Times New Roman"/>
                <w:spacing w:val="3"/>
                <w:sz w:val="24"/>
                <w:szCs w:val="24"/>
              </w:rPr>
              <w:t>1×</w:t>
            </w:r>
            <w:r>
              <w:rPr>
                <w:rFonts w:ascii="Times New Roman" w:hAnsi="Times New Roman" w:eastAsia="Times New Roman" w:cs="Times New Roman"/>
                <w:sz w:val="20"/>
                <w:szCs w:val="20"/>
              </w:rPr>
              <w:t>JL</w:t>
            </w:r>
            <w:r>
              <w:rPr>
                <w:rFonts w:ascii="Times New Roman" w:hAnsi="Times New Roman" w:eastAsia="Times New Roman" w:cs="Times New Roman"/>
                <w:spacing w:val="3"/>
                <w:sz w:val="20"/>
                <w:szCs w:val="20"/>
              </w:rPr>
              <w:t>/</w:t>
            </w:r>
            <w:r>
              <w:rPr>
                <w:rFonts w:ascii="Times New Roman" w:hAnsi="Times New Roman" w:eastAsia="Times New Roman" w:cs="Times New Roman"/>
                <w:sz w:val="20"/>
                <w:szCs w:val="20"/>
              </w:rPr>
              <w:t>LB</w:t>
            </w:r>
            <w:r>
              <w:rPr>
                <w:rFonts w:ascii="Times New Roman" w:hAnsi="Times New Roman" w:eastAsia="Times New Roman" w:cs="Times New Roman"/>
                <w:spacing w:val="3"/>
                <w:sz w:val="20"/>
                <w:szCs w:val="20"/>
              </w:rPr>
              <w:t>20A-240/30</w:t>
            </w:r>
          </w:p>
        </w:tc>
      </w:tr>
      <w:tr w14:paraId="76D4B1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856" w:type="dxa"/>
            <w:gridSpan w:val="3"/>
            <w:vAlign w:val="top"/>
          </w:tcPr>
          <w:p w14:paraId="0AA548CE">
            <w:pPr>
              <w:pStyle w:val="6"/>
              <w:spacing w:before="130" w:line="228" w:lineRule="auto"/>
              <w:ind w:left="352"/>
            </w:pPr>
            <w:r>
              <w:rPr>
                <w:spacing w:val="8"/>
              </w:rPr>
              <w:t>直径（</w:t>
            </w:r>
            <w:r>
              <w:rPr>
                <w:rFonts w:ascii="Times New Roman" w:hAnsi="Times New Roman" w:eastAsia="Times New Roman" w:cs="Times New Roman"/>
              </w:rPr>
              <w:t>mm</w:t>
            </w:r>
            <w:r>
              <w:rPr>
                <w:spacing w:val="8"/>
              </w:rPr>
              <w:t>）</w:t>
            </w:r>
          </w:p>
        </w:tc>
        <w:tc>
          <w:tcPr>
            <w:tcW w:w="3387" w:type="dxa"/>
            <w:vAlign w:val="top"/>
          </w:tcPr>
          <w:p w14:paraId="0A9ABAA2">
            <w:pPr>
              <w:spacing w:before="166" w:line="195" w:lineRule="auto"/>
              <w:ind w:left="154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23.9</w:t>
            </w:r>
          </w:p>
        </w:tc>
        <w:tc>
          <w:tcPr>
            <w:tcW w:w="3482" w:type="dxa"/>
            <w:vAlign w:val="top"/>
          </w:tcPr>
          <w:p w14:paraId="33A45F4B">
            <w:pPr>
              <w:spacing w:before="166" w:line="195" w:lineRule="auto"/>
              <w:ind w:left="158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21.6</w:t>
            </w:r>
          </w:p>
        </w:tc>
      </w:tr>
      <w:tr w14:paraId="41CCF1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856" w:type="dxa"/>
            <w:gridSpan w:val="3"/>
            <w:vAlign w:val="top"/>
          </w:tcPr>
          <w:p w14:paraId="68390AC4">
            <w:pPr>
              <w:pStyle w:val="6"/>
              <w:spacing w:before="130" w:line="228" w:lineRule="auto"/>
              <w:ind w:left="142"/>
            </w:pPr>
            <w:r>
              <w:rPr>
                <w:spacing w:val="8"/>
              </w:rPr>
              <w:t>分裂间距（</w:t>
            </w:r>
            <w:r>
              <w:rPr>
                <w:rFonts w:ascii="Times New Roman" w:hAnsi="Times New Roman" w:eastAsia="Times New Roman" w:cs="Times New Roman"/>
              </w:rPr>
              <w:t>mm</w:t>
            </w:r>
            <w:r>
              <w:rPr>
                <w:spacing w:val="8"/>
              </w:rPr>
              <w:t>）</w:t>
            </w:r>
          </w:p>
        </w:tc>
        <w:tc>
          <w:tcPr>
            <w:tcW w:w="3387" w:type="dxa"/>
            <w:vAlign w:val="top"/>
          </w:tcPr>
          <w:p w14:paraId="59D2CFFE">
            <w:pPr>
              <w:pStyle w:val="6"/>
              <w:spacing w:before="130" w:line="228" w:lineRule="auto"/>
              <w:ind w:left="1386"/>
            </w:pPr>
            <w:r>
              <w:rPr>
                <w:spacing w:val="6"/>
              </w:rPr>
              <w:t>单分裂</w:t>
            </w:r>
          </w:p>
        </w:tc>
        <w:tc>
          <w:tcPr>
            <w:tcW w:w="3482" w:type="dxa"/>
            <w:vAlign w:val="top"/>
          </w:tcPr>
          <w:p w14:paraId="004AC3F8">
            <w:pPr>
              <w:pStyle w:val="6"/>
              <w:spacing w:before="130" w:line="228" w:lineRule="auto"/>
              <w:ind w:left="1431"/>
            </w:pPr>
            <w:r>
              <w:rPr>
                <w:spacing w:val="6"/>
              </w:rPr>
              <w:t>单分裂</w:t>
            </w:r>
          </w:p>
        </w:tc>
      </w:tr>
      <w:tr w14:paraId="07944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856" w:type="dxa"/>
            <w:gridSpan w:val="3"/>
            <w:vAlign w:val="top"/>
          </w:tcPr>
          <w:p w14:paraId="4D1B7ED7">
            <w:pPr>
              <w:pStyle w:val="6"/>
              <w:spacing w:before="129" w:line="228" w:lineRule="auto"/>
              <w:ind w:left="308"/>
            </w:pPr>
            <w:r>
              <w:rPr>
                <w:spacing w:val="7"/>
              </w:rPr>
              <w:t>导线电压等级</w:t>
            </w:r>
          </w:p>
        </w:tc>
        <w:tc>
          <w:tcPr>
            <w:tcW w:w="3387" w:type="dxa"/>
            <w:vAlign w:val="top"/>
          </w:tcPr>
          <w:p w14:paraId="24D96272">
            <w:pPr>
              <w:spacing w:before="161" w:line="199" w:lineRule="auto"/>
              <w:ind w:left="143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110kV</w:t>
            </w:r>
          </w:p>
        </w:tc>
        <w:tc>
          <w:tcPr>
            <w:tcW w:w="3482" w:type="dxa"/>
            <w:vAlign w:val="top"/>
          </w:tcPr>
          <w:p w14:paraId="42C27C63">
            <w:pPr>
              <w:spacing w:before="161" w:line="199" w:lineRule="auto"/>
              <w:ind w:left="147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110kV</w:t>
            </w:r>
          </w:p>
        </w:tc>
      </w:tr>
      <w:tr w14:paraId="088D3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856" w:type="dxa"/>
            <w:gridSpan w:val="3"/>
            <w:vAlign w:val="top"/>
          </w:tcPr>
          <w:p w14:paraId="47016BC0">
            <w:pPr>
              <w:pStyle w:val="6"/>
              <w:spacing w:before="129" w:line="228" w:lineRule="auto"/>
              <w:ind w:left="516"/>
            </w:pPr>
            <w:r>
              <w:rPr>
                <w:spacing w:val="6"/>
              </w:rPr>
              <w:t>预测电压</w:t>
            </w:r>
          </w:p>
        </w:tc>
        <w:tc>
          <w:tcPr>
            <w:tcW w:w="3387" w:type="dxa"/>
            <w:vAlign w:val="top"/>
          </w:tcPr>
          <w:p w14:paraId="041A5152">
            <w:pPr>
              <w:pStyle w:val="6"/>
              <w:spacing w:before="129" w:line="227" w:lineRule="auto"/>
              <w:jc w:val="right"/>
            </w:pPr>
            <w:r>
              <w:rPr>
                <w:rFonts w:ascii="Times New Roman" w:hAnsi="Times New Roman" w:eastAsia="Times New Roman" w:cs="Times New Roman"/>
                <w:spacing w:val="1"/>
              </w:rPr>
              <w:t>115.5</w:t>
            </w:r>
            <w:r>
              <w:rPr>
                <w:rFonts w:ascii="Times New Roman" w:hAnsi="Times New Roman" w:eastAsia="Times New Roman" w:cs="Times New Roman"/>
              </w:rPr>
              <w:t>kV</w:t>
            </w:r>
            <w:r>
              <w:rPr>
                <w:spacing w:val="1"/>
              </w:rPr>
              <w:t>（按照</w:t>
            </w:r>
            <w:r>
              <w:rPr>
                <w:spacing w:val="-24"/>
              </w:rPr>
              <w:t xml:space="preserve"> </w:t>
            </w:r>
            <w:r>
              <w:rPr>
                <w:rFonts w:ascii="Times New Roman" w:hAnsi="Times New Roman" w:eastAsia="Times New Roman" w:cs="Times New Roman"/>
                <w:spacing w:val="1"/>
              </w:rPr>
              <w:t>110</w:t>
            </w:r>
            <w:r>
              <w:rPr>
                <w:rFonts w:ascii="Times New Roman" w:hAnsi="Times New Roman" w:eastAsia="Times New Roman" w:cs="Times New Roman"/>
              </w:rPr>
              <w:t>kV</w:t>
            </w:r>
            <w:r>
              <w:rPr>
                <w:rFonts w:ascii="Times New Roman" w:hAnsi="Times New Roman" w:eastAsia="Times New Roman" w:cs="Times New Roman"/>
                <w:spacing w:val="1"/>
              </w:rPr>
              <w:t xml:space="preserve"> </w:t>
            </w:r>
            <w:r>
              <w:rPr>
                <w:spacing w:val="1"/>
              </w:rPr>
              <w:t>增加</w:t>
            </w:r>
            <w:r>
              <w:rPr>
                <w:spacing w:val="-36"/>
              </w:rPr>
              <w:t xml:space="preserve"> </w:t>
            </w:r>
            <w:r>
              <w:rPr>
                <w:rFonts w:ascii="Times New Roman" w:hAnsi="Times New Roman" w:eastAsia="Times New Roman" w:cs="Times New Roman"/>
                <w:spacing w:val="1"/>
              </w:rPr>
              <w:t>5%</w:t>
            </w:r>
            <w:r>
              <w:rPr>
                <w:spacing w:val="1"/>
              </w:rPr>
              <w:t>考虑）</w:t>
            </w:r>
          </w:p>
        </w:tc>
        <w:tc>
          <w:tcPr>
            <w:tcW w:w="3482" w:type="dxa"/>
            <w:vAlign w:val="top"/>
          </w:tcPr>
          <w:p w14:paraId="43E0A768">
            <w:pPr>
              <w:pStyle w:val="6"/>
              <w:spacing w:before="129" w:line="227" w:lineRule="auto"/>
              <w:ind w:left="68"/>
            </w:pPr>
            <w:r>
              <w:rPr>
                <w:rFonts w:ascii="Times New Roman" w:hAnsi="Times New Roman" w:eastAsia="Times New Roman" w:cs="Times New Roman"/>
                <w:spacing w:val="3"/>
              </w:rPr>
              <w:t>115.5</w:t>
            </w:r>
            <w:r>
              <w:rPr>
                <w:rFonts w:ascii="Times New Roman" w:hAnsi="Times New Roman" w:eastAsia="Times New Roman" w:cs="Times New Roman"/>
              </w:rPr>
              <w:t>kV</w:t>
            </w:r>
            <w:r>
              <w:rPr>
                <w:spacing w:val="3"/>
              </w:rPr>
              <w:t>（按照</w:t>
            </w:r>
            <w:r>
              <w:rPr>
                <w:spacing w:val="-23"/>
              </w:rPr>
              <w:t xml:space="preserve"> </w:t>
            </w:r>
            <w:r>
              <w:rPr>
                <w:rFonts w:ascii="Times New Roman" w:hAnsi="Times New Roman" w:eastAsia="Times New Roman" w:cs="Times New Roman"/>
                <w:spacing w:val="3"/>
              </w:rPr>
              <w:t>110</w:t>
            </w:r>
            <w:r>
              <w:rPr>
                <w:rFonts w:ascii="Times New Roman" w:hAnsi="Times New Roman" w:eastAsia="Times New Roman" w:cs="Times New Roman"/>
              </w:rPr>
              <w:t>kV</w:t>
            </w:r>
            <w:r>
              <w:rPr>
                <w:rFonts w:ascii="Times New Roman" w:hAnsi="Times New Roman" w:eastAsia="Times New Roman" w:cs="Times New Roman"/>
                <w:spacing w:val="15"/>
              </w:rPr>
              <w:t xml:space="preserve"> </w:t>
            </w:r>
            <w:r>
              <w:rPr>
                <w:spacing w:val="3"/>
              </w:rPr>
              <w:t>增加</w:t>
            </w:r>
            <w:r>
              <w:rPr>
                <w:spacing w:val="-38"/>
              </w:rPr>
              <w:t xml:space="preserve"> </w:t>
            </w:r>
            <w:r>
              <w:rPr>
                <w:rFonts w:ascii="Times New Roman" w:hAnsi="Times New Roman" w:eastAsia="Times New Roman" w:cs="Times New Roman"/>
                <w:spacing w:val="3"/>
              </w:rPr>
              <w:t>5%</w:t>
            </w:r>
            <w:r>
              <w:rPr>
                <w:spacing w:val="3"/>
              </w:rPr>
              <w:t>考虑）</w:t>
            </w:r>
          </w:p>
        </w:tc>
      </w:tr>
      <w:tr w14:paraId="54A10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856" w:type="dxa"/>
            <w:gridSpan w:val="3"/>
            <w:vAlign w:val="top"/>
          </w:tcPr>
          <w:p w14:paraId="519FF89E">
            <w:pPr>
              <w:spacing w:line="265" w:lineRule="auto"/>
              <w:rPr>
                <w:rFonts w:ascii="Arial"/>
                <w:sz w:val="21"/>
              </w:rPr>
            </w:pPr>
          </w:p>
          <w:p w14:paraId="4DC70CD0">
            <w:pPr>
              <w:spacing w:line="266" w:lineRule="auto"/>
              <w:rPr>
                <w:rFonts w:ascii="Arial"/>
                <w:sz w:val="21"/>
              </w:rPr>
            </w:pPr>
          </w:p>
          <w:p w14:paraId="406228BA">
            <w:pPr>
              <w:pStyle w:val="6"/>
              <w:spacing w:before="65" w:line="228" w:lineRule="auto"/>
              <w:ind w:left="234"/>
            </w:pPr>
            <w:r>
              <w:rPr>
                <w:spacing w:val="5"/>
              </w:rPr>
              <w:t>导线电流（</w:t>
            </w:r>
            <w:r>
              <w:rPr>
                <w:rFonts w:ascii="Times New Roman" w:hAnsi="Times New Roman" w:eastAsia="Times New Roman" w:cs="Times New Roman"/>
                <w:spacing w:val="5"/>
              </w:rPr>
              <w:t>A</w:t>
            </w:r>
            <w:r>
              <w:rPr>
                <w:spacing w:val="5"/>
              </w:rPr>
              <w:t>）</w:t>
            </w:r>
          </w:p>
        </w:tc>
        <w:tc>
          <w:tcPr>
            <w:tcW w:w="3387" w:type="dxa"/>
            <w:vAlign w:val="top"/>
          </w:tcPr>
          <w:p w14:paraId="62F1D939">
            <w:pPr>
              <w:spacing w:line="287" w:lineRule="auto"/>
              <w:rPr>
                <w:rFonts w:ascii="Arial"/>
                <w:sz w:val="21"/>
              </w:rPr>
            </w:pPr>
          </w:p>
          <w:p w14:paraId="20FCDA43">
            <w:pPr>
              <w:spacing w:line="287" w:lineRule="auto"/>
              <w:rPr>
                <w:rFonts w:ascii="Arial"/>
                <w:sz w:val="21"/>
              </w:rPr>
            </w:pPr>
          </w:p>
          <w:p w14:paraId="60BAD092">
            <w:pPr>
              <w:spacing w:before="57" w:line="195" w:lineRule="auto"/>
              <w:ind w:left="154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684</w:t>
            </w:r>
          </w:p>
        </w:tc>
        <w:tc>
          <w:tcPr>
            <w:tcW w:w="3482" w:type="dxa"/>
            <w:vAlign w:val="top"/>
          </w:tcPr>
          <w:p w14:paraId="1D0A3AF4">
            <w:pPr>
              <w:pStyle w:val="6"/>
              <w:spacing w:before="131" w:line="227" w:lineRule="auto"/>
              <w:ind w:left="96"/>
            </w:pPr>
            <w:r>
              <w:rPr>
                <w:spacing w:val="7"/>
              </w:rPr>
              <w:t>本项目线路最大工作电流为</w:t>
            </w:r>
            <w:r>
              <w:rPr>
                <w:spacing w:val="-31"/>
              </w:rPr>
              <w:t xml:space="preserve"> </w:t>
            </w:r>
            <w:r>
              <w:rPr>
                <w:rFonts w:ascii="Times New Roman" w:hAnsi="Times New Roman" w:eastAsia="Times New Roman" w:cs="Times New Roman"/>
                <w:spacing w:val="7"/>
              </w:rPr>
              <w:t xml:space="preserve">600A </w:t>
            </w:r>
            <w:r>
              <w:rPr>
                <w:spacing w:val="7"/>
              </w:rPr>
              <w:t>和</w:t>
            </w:r>
          </w:p>
          <w:p w14:paraId="4B0A6EB2">
            <w:pPr>
              <w:pStyle w:val="6"/>
              <w:spacing w:before="222" w:line="227" w:lineRule="auto"/>
              <w:ind w:left="72"/>
            </w:pPr>
            <w:r>
              <w:rPr>
                <w:rFonts w:ascii="Times New Roman" w:hAnsi="Times New Roman" w:eastAsia="Times New Roman" w:cs="Times New Roman"/>
                <w:spacing w:val="4"/>
              </w:rPr>
              <w:t>684A</w:t>
            </w:r>
            <w:r>
              <w:rPr>
                <w:rFonts w:ascii="Times New Roman" w:hAnsi="Times New Roman" w:eastAsia="Times New Roman" w:cs="Times New Roman"/>
                <w:spacing w:val="-20"/>
              </w:rPr>
              <w:t xml:space="preserve"> </w:t>
            </w:r>
            <w:r>
              <w:rPr>
                <w:spacing w:val="4"/>
              </w:rPr>
              <w:t>，本次预测保守按</w:t>
            </w:r>
            <w:r>
              <w:rPr>
                <w:spacing w:val="-36"/>
              </w:rPr>
              <w:t xml:space="preserve"> </w:t>
            </w:r>
            <w:r>
              <w:rPr>
                <w:rFonts w:ascii="Times New Roman" w:hAnsi="Times New Roman" w:eastAsia="Times New Roman" w:cs="Times New Roman"/>
                <w:spacing w:val="4"/>
              </w:rPr>
              <w:t>684A</w:t>
            </w:r>
            <w:r>
              <w:rPr>
                <w:rFonts w:ascii="Times New Roman" w:hAnsi="Times New Roman" w:eastAsia="Times New Roman" w:cs="Times New Roman"/>
                <w:spacing w:val="29"/>
              </w:rPr>
              <w:t xml:space="preserve"> </w:t>
            </w:r>
            <w:r>
              <w:rPr>
                <w:spacing w:val="4"/>
              </w:rPr>
              <w:t>的最不</w:t>
            </w:r>
          </w:p>
          <w:p w14:paraId="77332B5B">
            <w:pPr>
              <w:pStyle w:val="6"/>
              <w:spacing w:before="222" w:line="228" w:lineRule="auto"/>
              <w:ind w:left="1010"/>
            </w:pPr>
            <w:r>
              <w:rPr>
                <w:spacing w:val="8"/>
              </w:rPr>
              <w:t>利情形进行预测</w:t>
            </w:r>
          </w:p>
        </w:tc>
      </w:tr>
      <w:tr w14:paraId="7154B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856" w:type="dxa"/>
            <w:gridSpan w:val="3"/>
            <w:vAlign w:val="top"/>
          </w:tcPr>
          <w:p w14:paraId="34C48A44">
            <w:pPr>
              <w:pStyle w:val="6"/>
              <w:spacing w:before="131" w:line="228" w:lineRule="auto"/>
              <w:ind w:left="96"/>
            </w:pPr>
            <w:r>
              <w:rPr>
                <w:spacing w:val="8"/>
              </w:rPr>
              <w:t>预测导线最低对地</w:t>
            </w:r>
          </w:p>
          <w:p w14:paraId="0DB2D8BA">
            <w:pPr>
              <w:pStyle w:val="6"/>
              <w:spacing w:before="221" w:line="228" w:lineRule="auto"/>
              <w:ind w:left="340"/>
            </w:pPr>
            <w:r>
              <w:rPr>
                <w:spacing w:val="4"/>
              </w:rPr>
              <w:t>距离</w:t>
            </w:r>
            <w:r>
              <w:rPr>
                <w:spacing w:val="-37"/>
              </w:rPr>
              <w:t xml:space="preserve"> </w:t>
            </w:r>
            <w:r>
              <w:rPr>
                <w:rFonts w:ascii="Times New Roman" w:hAnsi="Times New Roman" w:eastAsia="Times New Roman" w:cs="Times New Roman"/>
                <w:spacing w:val="4"/>
              </w:rPr>
              <w:t>L</w:t>
            </w:r>
            <w:r>
              <w:rPr>
                <w:spacing w:val="4"/>
              </w:rPr>
              <w:t>（</w:t>
            </w:r>
            <w:r>
              <w:rPr>
                <w:rFonts w:ascii="Times New Roman" w:hAnsi="Times New Roman" w:eastAsia="Times New Roman" w:cs="Times New Roman"/>
                <w:spacing w:val="4"/>
              </w:rPr>
              <w:t>m</w:t>
            </w:r>
            <w:r>
              <w:rPr>
                <w:spacing w:val="4"/>
              </w:rPr>
              <w:t>）</w:t>
            </w:r>
          </w:p>
        </w:tc>
        <w:tc>
          <w:tcPr>
            <w:tcW w:w="3387" w:type="dxa"/>
            <w:vAlign w:val="top"/>
          </w:tcPr>
          <w:p w14:paraId="44234E0C">
            <w:pPr>
              <w:spacing w:line="298" w:lineRule="auto"/>
              <w:rPr>
                <w:rFonts w:ascii="Arial"/>
                <w:sz w:val="21"/>
              </w:rPr>
            </w:pPr>
          </w:p>
          <w:p w14:paraId="3EEC4B2E">
            <w:pPr>
              <w:pStyle w:val="6"/>
              <w:spacing w:before="65" w:line="228" w:lineRule="auto"/>
              <w:ind w:left="572"/>
              <w:rPr>
                <w:rFonts w:ascii="Times New Roman" w:hAnsi="Times New Roman" w:eastAsia="Times New Roman" w:cs="Times New Roman"/>
              </w:rPr>
            </w:pPr>
            <w:r>
              <w:rPr>
                <w:spacing w:val="4"/>
              </w:rPr>
              <w:t>非居民区</w:t>
            </w:r>
            <w:r>
              <w:rPr>
                <w:spacing w:val="-36"/>
              </w:rPr>
              <w:t xml:space="preserve"> </w:t>
            </w:r>
            <w:r>
              <w:rPr>
                <w:rFonts w:ascii="Times New Roman" w:hAnsi="Times New Roman" w:eastAsia="Times New Roman" w:cs="Times New Roman"/>
                <w:spacing w:val="4"/>
              </w:rPr>
              <w:t>6m</w:t>
            </w:r>
            <w:r>
              <w:rPr>
                <w:rFonts w:ascii="Times New Roman" w:hAnsi="Times New Roman" w:eastAsia="Times New Roman" w:cs="Times New Roman"/>
                <w:spacing w:val="-26"/>
              </w:rPr>
              <w:t xml:space="preserve"> </w:t>
            </w:r>
            <w:r>
              <w:rPr>
                <w:spacing w:val="4"/>
              </w:rPr>
              <w:t>、居民区</w:t>
            </w:r>
            <w:r>
              <w:rPr>
                <w:spacing w:val="-38"/>
              </w:rPr>
              <w:t xml:space="preserve"> </w:t>
            </w:r>
            <w:r>
              <w:rPr>
                <w:rFonts w:ascii="Times New Roman" w:hAnsi="Times New Roman" w:eastAsia="Times New Roman" w:cs="Times New Roman"/>
                <w:spacing w:val="4"/>
              </w:rPr>
              <w:t>7m</w:t>
            </w:r>
          </w:p>
        </w:tc>
        <w:tc>
          <w:tcPr>
            <w:tcW w:w="3482" w:type="dxa"/>
            <w:vAlign w:val="top"/>
          </w:tcPr>
          <w:p w14:paraId="1704998D">
            <w:pPr>
              <w:spacing w:line="298" w:lineRule="auto"/>
              <w:rPr>
                <w:rFonts w:ascii="Arial"/>
                <w:sz w:val="21"/>
              </w:rPr>
            </w:pPr>
          </w:p>
          <w:p w14:paraId="62B25A75">
            <w:pPr>
              <w:pStyle w:val="6"/>
              <w:spacing w:before="65" w:line="228" w:lineRule="auto"/>
              <w:ind w:left="619"/>
              <w:rPr>
                <w:rFonts w:ascii="Times New Roman" w:hAnsi="Times New Roman" w:eastAsia="Times New Roman" w:cs="Times New Roman"/>
              </w:rPr>
            </w:pPr>
            <w:r>
              <w:rPr>
                <w:spacing w:val="4"/>
              </w:rPr>
              <w:t>非居民区</w:t>
            </w:r>
            <w:r>
              <w:rPr>
                <w:spacing w:val="-36"/>
              </w:rPr>
              <w:t xml:space="preserve"> </w:t>
            </w:r>
            <w:r>
              <w:rPr>
                <w:rFonts w:ascii="Times New Roman" w:hAnsi="Times New Roman" w:eastAsia="Times New Roman" w:cs="Times New Roman"/>
                <w:spacing w:val="4"/>
              </w:rPr>
              <w:t>6m</w:t>
            </w:r>
            <w:r>
              <w:rPr>
                <w:rFonts w:ascii="Times New Roman" w:hAnsi="Times New Roman" w:eastAsia="Times New Roman" w:cs="Times New Roman"/>
                <w:spacing w:val="-26"/>
              </w:rPr>
              <w:t xml:space="preserve"> </w:t>
            </w:r>
            <w:r>
              <w:rPr>
                <w:spacing w:val="4"/>
              </w:rPr>
              <w:t>、居民区</w:t>
            </w:r>
            <w:r>
              <w:rPr>
                <w:spacing w:val="-38"/>
              </w:rPr>
              <w:t xml:space="preserve"> </w:t>
            </w:r>
            <w:r>
              <w:rPr>
                <w:rFonts w:ascii="Times New Roman" w:hAnsi="Times New Roman" w:eastAsia="Times New Roman" w:cs="Times New Roman"/>
                <w:spacing w:val="4"/>
              </w:rPr>
              <w:t>7m</w:t>
            </w:r>
          </w:p>
        </w:tc>
      </w:tr>
      <w:tr w14:paraId="42C3C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440" w:type="dxa"/>
            <w:vMerge w:val="restart"/>
            <w:tcBorders>
              <w:bottom w:val="nil"/>
            </w:tcBorders>
            <w:textDirection w:val="tbRlV"/>
            <w:vAlign w:val="top"/>
          </w:tcPr>
          <w:p w14:paraId="5670091F">
            <w:pPr>
              <w:pStyle w:val="6"/>
              <w:spacing w:before="113" w:line="215" w:lineRule="auto"/>
              <w:ind w:left="2258"/>
            </w:pPr>
            <w:r>
              <w:rPr>
                <w:spacing w:val="8"/>
              </w:rPr>
              <w:t>预</w:t>
            </w:r>
            <w:r>
              <w:rPr>
                <w:spacing w:val="30"/>
              </w:rPr>
              <w:t xml:space="preserve">  </w:t>
            </w:r>
            <w:r>
              <w:rPr>
                <w:spacing w:val="8"/>
              </w:rPr>
              <w:t>测</w:t>
            </w:r>
            <w:r>
              <w:rPr>
                <w:spacing w:val="30"/>
              </w:rPr>
              <w:t xml:space="preserve">  </w:t>
            </w:r>
            <w:r>
              <w:rPr>
                <w:spacing w:val="8"/>
              </w:rPr>
              <w:t>参</w:t>
            </w:r>
            <w:r>
              <w:rPr>
                <w:spacing w:val="29"/>
              </w:rPr>
              <w:t xml:space="preserve">  </w:t>
            </w:r>
            <w:r>
              <w:rPr>
                <w:spacing w:val="8"/>
              </w:rPr>
              <w:t>数</w:t>
            </w:r>
          </w:p>
        </w:tc>
        <w:tc>
          <w:tcPr>
            <w:tcW w:w="1416" w:type="dxa"/>
            <w:gridSpan w:val="2"/>
            <w:vAlign w:val="top"/>
          </w:tcPr>
          <w:p w14:paraId="5F3F1F75">
            <w:pPr>
              <w:spacing w:line="266" w:lineRule="auto"/>
              <w:rPr>
                <w:rFonts w:ascii="Arial"/>
                <w:sz w:val="21"/>
              </w:rPr>
            </w:pPr>
          </w:p>
          <w:p w14:paraId="6411800A">
            <w:pPr>
              <w:spacing w:line="266" w:lineRule="auto"/>
              <w:rPr>
                <w:rFonts w:ascii="Arial"/>
                <w:sz w:val="21"/>
              </w:rPr>
            </w:pPr>
          </w:p>
          <w:p w14:paraId="4DAE3A27">
            <w:pPr>
              <w:pStyle w:val="6"/>
              <w:spacing w:before="65" w:line="228" w:lineRule="auto"/>
              <w:ind w:left="87"/>
            </w:pPr>
            <w:r>
              <w:rPr>
                <w:spacing w:val="7"/>
              </w:rPr>
              <w:t>导线排列方式</w:t>
            </w:r>
          </w:p>
        </w:tc>
        <w:tc>
          <w:tcPr>
            <w:tcW w:w="3387" w:type="dxa"/>
            <w:vAlign w:val="top"/>
          </w:tcPr>
          <w:p w14:paraId="0B6B0A9D">
            <w:pPr>
              <w:pStyle w:val="6"/>
              <w:spacing w:before="146" w:line="206" w:lineRule="auto"/>
              <w:ind w:left="1320"/>
            </w:pPr>
            <w:r>
              <w:rPr>
                <w:rFonts w:ascii="Times New Roman" w:hAnsi="Times New Roman" w:eastAsia="Times New Roman" w:cs="Times New Roman"/>
              </w:rPr>
              <w:t>A</w:t>
            </w:r>
            <w:r>
              <w:rPr>
                <w:rFonts w:ascii="Times New Roman" w:hAnsi="Times New Roman" w:eastAsia="Times New Roman" w:cs="Times New Roman"/>
                <w:spacing w:val="2"/>
              </w:rPr>
              <w:t xml:space="preserve">      </w:t>
            </w:r>
            <w:r>
              <w:rPr>
                <w:rFonts w:ascii="Times New Roman" w:hAnsi="Times New Roman" w:eastAsia="Times New Roman" w:cs="Times New Roman"/>
              </w:rPr>
              <w:t>C</w:t>
            </w:r>
            <w:r>
              <w:rPr>
                <w:rFonts w:ascii="Times New Roman" w:hAnsi="Times New Roman" w:eastAsia="Times New Roman" w:cs="Times New Roman"/>
                <w:spacing w:val="-15"/>
              </w:rPr>
              <w:t xml:space="preserve"> </w:t>
            </w:r>
            <w:r>
              <w:rPr>
                <w:spacing w:val="3"/>
              </w:rPr>
              <w:t>'</w:t>
            </w:r>
          </w:p>
          <w:p w14:paraId="31302CB9">
            <w:pPr>
              <w:pStyle w:val="6"/>
              <w:spacing w:before="244" w:line="206" w:lineRule="auto"/>
              <w:ind w:left="1322"/>
            </w:pPr>
            <w:r>
              <w:rPr>
                <w:rFonts w:ascii="Times New Roman" w:hAnsi="Times New Roman" w:eastAsia="Times New Roman" w:cs="Times New Roman"/>
              </w:rPr>
              <w:t>B</w:t>
            </w:r>
            <w:r>
              <w:rPr>
                <w:rFonts w:ascii="Times New Roman" w:hAnsi="Times New Roman" w:eastAsia="Times New Roman" w:cs="Times New Roman"/>
                <w:spacing w:val="3"/>
              </w:rPr>
              <w:t xml:space="preserve">      </w:t>
            </w:r>
            <w:r>
              <w:rPr>
                <w:rFonts w:ascii="Times New Roman" w:hAnsi="Times New Roman" w:eastAsia="Times New Roman" w:cs="Times New Roman"/>
              </w:rPr>
              <w:t>B</w:t>
            </w:r>
            <w:r>
              <w:rPr>
                <w:rFonts w:ascii="Times New Roman" w:hAnsi="Times New Roman" w:eastAsia="Times New Roman" w:cs="Times New Roman"/>
                <w:spacing w:val="-13"/>
              </w:rPr>
              <w:t xml:space="preserve"> </w:t>
            </w:r>
            <w:r>
              <w:rPr>
                <w:spacing w:val="4"/>
              </w:rPr>
              <w:t>'</w:t>
            </w:r>
          </w:p>
          <w:p w14:paraId="5369C6DA">
            <w:pPr>
              <w:pStyle w:val="6"/>
              <w:spacing w:before="244" w:line="206" w:lineRule="auto"/>
              <w:ind w:left="1326"/>
            </w:pPr>
            <w:r>
              <w:rPr>
                <w:rFonts w:ascii="Times New Roman" w:hAnsi="Times New Roman" w:eastAsia="Times New Roman" w:cs="Times New Roman"/>
              </w:rPr>
              <w:t>C</w:t>
            </w:r>
            <w:r>
              <w:rPr>
                <w:rFonts w:ascii="Times New Roman" w:hAnsi="Times New Roman" w:eastAsia="Times New Roman" w:cs="Times New Roman"/>
                <w:spacing w:val="1"/>
              </w:rPr>
              <w:t xml:space="preserve">      </w:t>
            </w:r>
            <w:r>
              <w:rPr>
                <w:rFonts w:ascii="Times New Roman" w:hAnsi="Times New Roman" w:eastAsia="Times New Roman" w:cs="Times New Roman"/>
              </w:rPr>
              <w:t>A</w:t>
            </w:r>
            <w:r>
              <w:rPr>
                <w:rFonts w:ascii="Times New Roman" w:hAnsi="Times New Roman" w:eastAsia="Times New Roman" w:cs="Times New Roman"/>
                <w:spacing w:val="-13"/>
              </w:rPr>
              <w:t xml:space="preserve"> </w:t>
            </w:r>
            <w:r>
              <w:rPr>
                <w:spacing w:val="1"/>
              </w:rPr>
              <w:t>'</w:t>
            </w:r>
          </w:p>
        </w:tc>
        <w:tc>
          <w:tcPr>
            <w:tcW w:w="3482" w:type="dxa"/>
            <w:vAlign w:val="top"/>
          </w:tcPr>
          <w:p w14:paraId="66359F96">
            <w:pPr>
              <w:spacing w:line="344" w:lineRule="auto"/>
              <w:rPr>
                <w:rFonts w:ascii="Arial"/>
                <w:sz w:val="21"/>
              </w:rPr>
            </w:pPr>
          </w:p>
          <w:p w14:paraId="007E60D5">
            <w:pPr>
              <w:spacing w:before="57" w:line="192" w:lineRule="auto"/>
              <w:ind w:left="167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B</w:t>
            </w:r>
          </w:p>
          <w:p w14:paraId="3D4909A9">
            <w:pPr>
              <w:spacing w:before="281" w:line="195" w:lineRule="auto"/>
              <w:ind w:left="1473"/>
              <w:rPr>
                <w:rFonts w:ascii="Times New Roman" w:hAnsi="Times New Roman" w:eastAsia="Times New Roman" w:cs="Times New Roman"/>
                <w:sz w:val="20"/>
                <w:szCs w:val="20"/>
              </w:rPr>
            </w:pPr>
            <w:r>
              <w:rPr>
                <w:rFonts w:ascii="Times New Roman" w:hAnsi="Times New Roman" w:eastAsia="Times New Roman" w:cs="Times New Roman"/>
                <w:sz w:val="20"/>
                <w:szCs w:val="20"/>
              </w:rPr>
              <w:t>A</w:t>
            </w:r>
            <w:r>
              <w:rPr>
                <w:rFonts w:ascii="Times New Roman" w:hAnsi="Times New Roman" w:eastAsia="Times New Roman" w:cs="Times New Roman"/>
                <w:spacing w:val="2"/>
                <w:sz w:val="20"/>
                <w:szCs w:val="20"/>
              </w:rPr>
              <w:t xml:space="preserve">      </w:t>
            </w:r>
            <w:r>
              <w:rPr>
                <w:rFonts w:ascii="Times New Roman" w:hAnsi="Times New Roman" w:eastAsia="Times New Roman" w:cs="Times New Roman"/>
                <w:sz w:val="20"/>
                <w:szCs w:val="20"/>
              </w:rPr>
              <w:t>C</w:t>
            </w:r>
          </w:p>
        </w:tc>
      </w:tr>
      <w:tr w14:paraId="68E258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440" w:type="dxa"/>
            <w:vMerge w:val="continue"/>
            <w:tcBorders>
              <w:top w:val="nil"/>
              <w:bottom w:val="nil"/>
            </w:tcBorders>
            <w:textDirection w:val="tbRlV"/>
            <w:vAlign w:val="top"/>
          </w:tcPr>
          <w:p w14:paraId="00C2938A">
            <w:pPr>
              <w:rPr>
                <w:rFonts w:ascii="Arial"/>
                <w:sz w:val="21"/>
              </w:rPr>
            </w:pPr>
          </w:p>
        </w:tc>
        <w:tc>
          <w:tcPr>
            <w:tcW w:w="534" w:type="dxa"/>
            <w:vMerge w:val="restart"/>
            <w:tcBorders>
              <w:bottom w:val="nil"/>
            </w:tcBorders>
            <w:vAlign w:val="top"/>
          </w:tcPr>
          <w:p w14:paraId="072E1C64">
            <w:pPr>
              <w:spacing w:line="273" w:lineRule="auto"/>
              <w:rPr>
                <w:rFonts w:ascii="Arial"/>
                <w:sz w:val="21"/>
              </w:rPr>
            </w:pPr>
          </w:p>
          <w:p w14:paraId="283B0EFD">
            <w:pPr>
              <w:spacing w:line="273" w:lineRule="auto"/>
              <w:rPr>
                <w:rFonts w:ascii="Arial"/>
                <w:sz w:val="21"/>
              </w:rPr>
            </w:pPr>
          </w:p>
          <w:p w14:paraId="387A4389">
            <w:pPr>
              <w:pStyle w:val="6"/>
              <w:spacing w:before="65" w:line="230" w:lineRule="auto"/>
              <w:ind w:left="62"/>
            </w:pPr>
            <w:r>
              <w:rPr>
                <w:spacing w:val="3"/>
              </w:rPr>
              <w:t>工频</w:t>
            </w:r>
          </w:p>
          <w:p w14:paraId="6E456D42">
            <w:pPr>
              <w:pStyle w:val="6"/>
              <w:spacing w:before="219" w:line="228" w:lineRule="auto"/>
              <w:ind w:left="84"/>
            </w:pPr>
            <w:r>
              <w:rPr>
                <w:spacing w:val="-8"/>
              </w:rPr>
              <w:t>电场</w:t>
            </w:r>
          </w:p>
          <w:p w14:paraId="2E2BC0A8">
            <w:pPr>
              <w:pStyle w:val="6"/>
              <w:spacing w:before="220" w:line="231" w:lineRule="auto"/>
              <w:ind w:left="170"/>
            </w:pPr>
            <w:r>
              <w:t>强</w:t>
            </w:r>
          </w:p>
          <w:p w14:paraId="2B9135A5">
            <w:pPr>
              <w:pStyle w:val="6"/>
              <w:spacing w:before="218" w:line="228" w:lineRule="auto"/>
              <w:ind w:left="59"/>
            </w:pPr>
            <w:r>
              <w:t>度、</w:t>
            </w:r>
          </w:p>
          <w:p w14:paraId="370A9FC3">
            <w:pPr>
              <w:pStyle w:val="6"/>
              <w:spacing w:before="220" w:line="230" w:lineRule="auto"/>
              <w:ind w:left="62"/>
            </w:pPr>
            <w:r>
              <w:rPr>
                <w:spacing w:val="3"/>
              </w:rPr>
              <w:t>工频</w:t>
            </w:r>
          </w:p>
          <w:p w14:paraId="2AF38A8F">
            <w:pPr>
              <w:pStyle w:val="6"/>
              <w:spacing w:before="219" w:line="232" w:lineRule="auto"/>
              <w:ind w:left="59"/>
            </w:pPr>
            <w:r>
              <w:rPr>
                <w:spacing w:val="4"/>
              </w:rPr>
              <w:t>磁感</w:t>
            </w:r>
          </w:p>
          <w:p w14:paraId="1E7205D5">
            <w:pPr>
              <w:pStyle w:val="6"/>
              <w:spacing w:before="216" w:line="230" w:lineRule="auto"/>
              <w:ind w:left="59"/>
            </w:pPr>
            <w:r>
              <w:rPr>
                <w:spacing w:val="4"/>
              </w:rPr>
              <w:t>应强</w:t>
            </w:r>
          </w:p>
          <w:p w14:paraId="614A7B17">
            <w:pPr>
              <w:pStyle w:val="6"/>
              <w:spacing w:before="220" w:line="228" w:lineRule="auto"/>
              <w:ind w:left="164"/>
            </w:pPr>
            <w:r>
              <w:rPr>
                <w:spacing w:val="1"/>
              </w:rPr>
              <w:t>度</w:t>
            </w:r>
          </w:p>
        </w:tc>
        <w:tc>
          <w:tcPr>
            <w:tcW w:w="882" w:type="dxa"/>
            <w:vAlign w:val="top"/>
          </w:tcPr>
          <w:p w14:paraId="0A4C4E9F">
            <w:pPr>
              <w:pStyle w:val="6"/>
              <w:spacing w:before="133" w:line="228" w:lineRule="auto"/>
              <w:ind w:left="132"/>
            </w:pPr>
            <w:r>
              <w:rPr>
                <w:spacing w:val="6"/>
              </w:rPr>
              <w:t>预测塔</w:t>
            </w:r>
          </w:p>
          <w:p w14:paraId="2B80F3E6">
            <w:pPr>
              <w:pStyle w:val="6"/>
              <w:spacing w:before="221" w:line="389" w:lineRule="auto"/>
              <w:ind w:left="164" w:right="127" w:hanging="27"/>
              <w:jc w:val="both"/>
            </w:pPr>
            <w:r>
              <w:rPr>
                <w:spacing w:val="3"/>
              </w:rPr>
              <w:t>型各点</w:t>
            </w:r>
            <w:r>
              <w:rPr>
                <w:spacing w:val="39"/>
              </w:rPr>
              <w:t>坐标</w:t>
            </w:r>
            <w:r>
              <w:rPr>
                <w:spacing w:val="-1"/>
              </w:rPr>
              <w:t>（</w:t>
            </w:r>
            <w:r>
              <w:rPr>
                <w:rFonts w:ascii="Times New Roman" w:hAnsi="Times New Roman" w:eastAsia="Times New Roman" w:cs="Times New Roman"/>
                <w:spacing w:val="-1"/>
              </w:rPr>
              <w:t>m</w:t>
            </w:r>
            <w:r>
              <w:rPr>
                <w:spacing w:val="-1"/>
              </w:rPr>
              <w:t>）</w:t>
            </w:r>
          </w:p>
        </w:tc>
        <w:tc>
          <w:tcPr>
            <w:tcW w:w="3387" w:type="dxa"/>
            <w:vAlign w:val="top"/>
          </w:tcPr>
          <w:p w14:paraId="7DA08644">
            <w:pPr>
              <w:pStyle w:val="6"/>
              <w:spacing w:before="132" w:line="227" w:lineRule="auto"/>
              <w:ind w:left="363"/>
            </w:pPr>
            <w:r>
              <w:rPr>
                <w:spacing w:val="9"/>
              </w:rPr>
              <w:t>仅考虑单边挂线方式进行预测</w:t>
            </w:r>
          </w:p>
          <w:p w14:paraId="0270835E">
            <w:pPr>
              <w:pStyle w:val="6"/>
              <w:spacing w:before="221" w:line="230" w:lineRule="auto"/>
              <w:ind w:left="754"/>
            </w:pPr>
            <w:r>
              <w:rPr>
                <w:rFonts w:ascii="Times New Roman" w:hAnsi="Times New Roman" w:eastAsia="Times New Roman" w:cs="Times New Roman"/>
                <w:spacing w:val="3"/>
              </w:rPr>
              <w:t>A</w:t>
            </w:r>
            <w:r>
              <w:rPr>
                <w:spacing w:val="3"/>
              </w:rPr>
              <w:t>（</w:t>
            </w:r>
            <w:r>
              <w:rPr>
                <w:rFonts w:ascii="Times New Roman" w:hAnsi="Times New Roman" w:eastAsia="Times New Roman" w:cs="Times New Roman"/>
                <w:spacing w:val="3"/>
              </w:rPr>
              <w:t>-3.75</w:t>
            </w:r>
            <w:r>
              <w:rPr>
                <w:rFonts w:ascii="Times New Roman" w:hAnsi="Times New Roman" w:eastAsia="Times New Roman" w:cs="Times New Roman"/>
                <w:spacing w:val="-26"/>
              </w:rPr>
              <w:t xml:space="preserve"> </w:t>
            </w:r>
            <w:r>
              <w:rPr>
                <w:spacing w:val="3"/>
              </w:rPr>
              <w:t>，</w:t>
            </w:r>
            <w:r>
              <w:rPr>
                <w:rFonts w:ascii="Times New Roman" w:hAnsi="Times New Roman" w:eastAsia="Times New Roman" w:cs="Times New Roman"/>
                <w:spacing w:val="3"/>
              </w:rPr>
              <w:t>L+8.6</w:t>
            </w:r>
            <w:r>
              <w:rPr>
                <w:spacing w:val="3"/>
              </w:rPr>
              <w:t>）；</w:t>
            </w:r>
          </w:p>
          <w:p w14:paraId="29CA6B12">
            <w:pPr>
              <w:pStyle w:val="6"/>
              <w:spacing w:before="218" w:line="230" w:lineRule="auto"/>
              <w:ind w:left="763"/>
            </w:pPr>
            <w:r>
              <w:rPr>
                <w:rFonts w:ascii="Times New Roman" w:hAnsi="Times New Roman" w:eastAsia="Times New Roman" w:cs="Times New Roman"/>
                <w:spacing w:val="1"/>
              </w:rPr>
              <w:t>B</w:t>
            </w:r>
            <w:r>
              <w:rPr>
                <w:spacing w:val="1"/>
              </w:rPr>
              <w:t>（</w:t>
            </w:r>
            <w:r>
              <w:rPr>
                <w:rFonts w:ascii="Times New Roman" w:hAnsi="Times New Roman" w:eastAsia="Times New Roman" w:cs="Times New Roman"/>
                <w:spacing w:val="1"/>
              </w:rPr>
              <w:t>-4.35</w:t>
            </w:r>
            <w:r>
              <w:rPr>
                <w:rFonts w:ascii="Times New Roman" w:hAnsi="Times New Roman" w:eastAsia="Times New Roman" w:cs="Times New Roman"/>
                <w:spacing w:val="-26"/>
              </w:rPr>
              <w:t xml:space="preserve"> </w:t>
            </w:r>
            <w:r>
              <w:rPr>
                <w:spacing w:val="1"/>
              </w:rPr>
              <w:t>，</w:t>
            </w:r>
            <w:r>
              <w:rPr>
                <w:rFonts w:ascii="Times New Roman" w:hAnsi="Times New Roman" w:eastAsia="Times New Roman" w:cs="Times New Roman"/>
                <w:spacing w:val="1"/>
              </w:rPr>
              <w:t>L+4.</w:t>
            </w:r>
            <w:r>
              <w:rPr>
                <w:rFonts w:ascii="Times New Roman" w:hAnsi="Times New Roman" w:eastAsia="Times New Roman" w:cs="Times New Roman"/>
                <w:spacing w:val="-25"/>
              </w:rPr>
              <w:t xml:space="preserve"> </w:t>
            </w:r>
            <w:r>
              <w:rPr>
                <w:rFonts w:ascii="Times New Roman" w:hAnsi="Times New Roman" w:eastAsia="Times New Roman" w:cs="Times New Roman"/>
                <w:spacing w:val="1"/>
              </w:rPr>
              <w:t>1</w:t>
            </w:r>
            <w:r>
              <w:rPr>
                <w:spacing w:val="2"/>
              </w:rPr>
              <w:t>）；</w:t>
            </w:r>
          </w:p>
          <w:p w14:paraId="6308D5BC">
            <w:pPr>
              <w:pStyle w:val="6"/>
              <w:spacing w:before="219" w:line="230" w:lineRule="auto"/>
              <w:ind w:left="956"/>
            </w:pPr>
            <w:r>
              <w:rPr>
                <w:rFonts w:ascii="Times New Roman" w:hAnsi="Times New Roman" w:eastAsia="Times New Roman" w:cs="Times New Roman"/>
                <w:spacing w:val="2"/>
              </w:rPr>
              <w:t>C</w:t>
            </w:r>
            <w:r>
              <w:rPr>
                <w:spacing w:val="2"/>
              </w:rPr>
              <w:t>（</w:t>
            </w:r>
            <w:r>
              <w:rPr>
                <w:rFonts w:ascii="Times New Roman" w:hAnsi="Times New Roman" w:eastAsia="Times New Roman" w:cs="Times New Roman"/>
                <w:spacing w:val="2"/>
              </w:rPr>
              <w:t>-3.75</w:t>
            </w:r>
            <w:r>
              <w:rPr>
                <w:rFonts w:ascii="Times New Roman" w:hAnsi="Times New Roman" w:eastAsia="Times New Roman" w:cs="Times New Roman"/>
                <w:spacing w:val="-25"/>
              </w:rPr>
              <w:t xml:space="preserve"> </w:t>
            </w:r>
            <w:r>
              <w:rPr>
                <w:spacing w:val="2"/>
              </w:rPr>
              <w:t>，</w:t>
            </w:r>
            <w:r>
              <w:rPr>
                <w:rFonts w:ascii="Times New Roman" w:hAnsi="Times New Roman" w:eastAsia="Times New Roman" w:cs="Times New Roman"/>
                <w:spacing w:val="2"/>
              </w:rPr>
              <w:t>L</w:t>
            </w:r>
            <w:r>
              <w:rPr>
                <w:spacing w:val="1"/>
              </w:rPr>
              <w:t>）；</w:t>
            </w:r>
          </w:p>
        </w:tc>
        <w:tc>
          <w:tcPr>
            <w:tcW w:w="3482" w:type="dxa"/>
            <w:vAlign w:val="top"/>
          </w:tcPr>
          <w:p w14:paraId="0E8B247A">
            <w:pPr>
              <w:spacing w:line="266" w:lineRule="auto"/>
              <w:rPr>
                <w:rFonts w:ascii="Arial"/>
                <w:sz w:val="21"/>
              </w:rPr>
            </w:pPr>
          </w:p>
          <w:p w14:paraId="2CFC7512">
            <w:pPr>
              <w:spacing w:line="266" w:lineRule="auto"/>
              <w:rPr>
                <w:rFonts w:ascii="Arial"/>
                <w:sz w:val="21"/>
              </w:rPr>
            </w:pPr>
          </w:p>
          <w:p w14:paraId="13056030">
            <w:pPr>
              <w:pStyle w:val="6"/>
              <w:spacing w:before="65" w:line="239" w:lineRule="auto"/>
              <w:ind w:left="1173"/>
            </w:pPr>
            <w:r>
              <w:rPr>
                <w:rFonts w:ascii="Times New Roman" w:hAnsi="Times New Roman" w:eastAsia="Times New Roman" w:cs="Times New Roman"/>
                <w:spacing w:val="1"/>
              </w:rPr>
              <w:t>B</w:t>
            </w:r>
            <w:r>
              <w:rPr>
                <w:spacing w:val="1"/>
              </w:rPr>
              <w:t>（</w:t>
            </w:r>
            <w:r>
              <w:rPr>
                <w:rFonts w:ascii="Times New Roman" w:hAnsi="Times New Roman" w:eastAsia="Times New Roman" w:cs="Times New Roman"/>
                <w:spacing w:val="1"/>
              </w:rPr>
              <w:t>0</w:t>
            </w:r>
            <w:r>
              <w:rPr>
                <w:rFonts w:ascii="Times New Roman" w:hAnsi="Times New Roman" w:eastAsia="Times New Roman" w:cs="Times New Roman"/>
                <w:spacing w:val="-19"/>
              </w:rPr>
              <w:t xml:space="preserve"> </w:t>
            </w:r>
            <w:r>
              <w:rPr>
                <w:spacing w:val="1"/>
              </w:rPr>
              <w:t>，</w:t>
            </w:r>
            <w:r>
              <w:rPr>
                <w:rFonts w:ascii="Times New Roman" w:hAnsi="Times New Roman" w:eastAsia="Times New Roman" w:cs="Times New Roman"/>
                <w:spacing w:val="1"/>
              </w:rPr>
              <w:t>3.5</w:t>
            </w:r>
            <w:r>
              <w:rPr>
                <w:spacing w:val="1"/>
              </w:rPr>
              <w:t>）</w:t>
            </w:r>
          </w:p>
          <w:p w14:paraId="5BCD7E1A">
            <w:pPr>
              <w:pStyle w:val="6"/>
              <w:spacing w:before="209" w:line="239" w:lineRule="auto"/>
              <w:ind w:left="518"/>
            </w:pPr>
            <w:r>
              <w:rPr>
                <w:rFonts w:ascii="Times New Roman" w:hAnsi="Times New Roman" w:eastAsia="Times New Roman" w:cs="Times New Roman"/>
                <w:spacing w:val="1"/>
              </w:rPr>
              <w:t>A</w:t>
            </w:r>
            <w:r>
              <w:rPr>
                <w:spacing w:val="1"/>
              </w:rPr>
              <w:t>（</w:t>
            </w:r>
            <w:r>
              <w:rPr>
                <w:rFonts w:ascii="Times New Roman" w:hAnsi="Times New Roman" w:eastAsia="Times New Roman" w:cs="Times New Roman"/>
                <w:spacing w:val="1"/>
              </w:rPr>
              <w:t>-4.6</w:t>
            </w:r>
            <w:r>
              <w:rPr>
                <w:rFonts w:ascii="Times New Roman" w:hAnsi="Times New Roman" w:eastAsia="Times New Roman" w:cs="Times New Roman"/>
                <w:spacing w:val="-15"/>
              </w:rPr>
              <w:t xml:space="preserve"> </w:t>
            </w:r>
            <w:r>
              <w:rPr>
                <w:spacing w:val="1"/>
              </w:rPr>
              <w:t>，</w:t>
            </w:r>
            <w:r>
              <w:rPr>
                <w:rFonts w:ascii="Times New Roman" w:hAnsi="Times New Roman" w:eastAsia="Times New Roman" w:cs="Times New Roman"/>
                <w:spacing w:val="1"/>
              </w:rPr>
              <w:t>L</w:t>
            </w:r>
            <w:r>
              <w:rPr>
                <w:spacing w:val="1"/>
              </w:rPr>
              <w:t>）</w:t>
            </w:r>
            <w:r>
              <w:rPr>
                <w:spacing w:val="24"/>
              </w:rPr>
              <w:t xml:space="preserve"> </w:t>
            </w:r>
            <w:r>
              <w:rPr>
                <w:rFonts w:ascii="Times New Roman" w:hAnsi="Times New Roman" w:eastAsia="Times New Roman" w:cs="Times New Roman"/>
                <w:spacing w:val="1"/>
              </w:rPr>
              <w:t>C</w:t>
            </w:r>
            <w:r>
              <w:rPr>
                <w:spacing w:val="1"/>
              </w:rPr>
              <w:t>（</w:t>
            </w:r>
            <w:r>
              <w:rPr>
                <w:rFonts w:ascii="Times New Roman" w:hAnsi="Times New Roman" w:eastAsia="Times New Roman" w:cs="Times New Roman"/>
                <w:spacing w:val="1"/>
              </w:rPr>
              <w:t>3.6</w:t>
            </w:r>
            <w:r>
              <w:rPr>
                <w:rFonts w:ascii="Times New Roman" w:hAnsi="Times New Roman" w:eastAsia="Times New Roman" w:cs="Times New Roman"/>
                <w:spacing w:val="-23"/>
              </w:rPr>
              <w:t xml:space="preserve"> </w:t>
            </w:r>
            <w:r>
              <w:rPr>
                <w:spacing w:val="1"/>
              </w:rPr>
              <w:t>，</w:t>
            </w:r>
            <w:r>
              <w:rPr>
                <w:rFonts w:ascii="Times New Roman" w:hAnsi="Times New Roman" w:eastAsia="Times New Roman" w:cs="Times New Roman"/>
                <w:spacing w:val="1"/>
              </w:rPr>
              <w:t>L</w:t>
            </w:r>
            <w:r>
              <w:rPr>
                <w:spacing w:val="1"/>
              </w:rPr>
              <w:t>）</w:t>
            </w:r>
          </w:p>
        </w:tc>
      </w:tr>
      <w:tr w14:paraId="2ECB7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440" w:type="dxa"/>
            <w:vMerge w:val="continue"/>
            <w:tcBorders>
              <w:top w:val="nil"/>
              <w:bottom w:val="nil"/>
            </w:tcBorders>
            <w:textDirection w:val="tbRlV"/>
            <w:vAlign w:val="top"/>
          </w:tcPr>
          <w:p w14:paraId="49858287">
            <w:pPr>
              <w:rPr>
                <w:rFonts w:ascii="Arial"/>
                <w:sz w:val="21"/>
              </w:rPr>
            </w:pPr>
          </w:p>
        </w:tc>
        <w:tc>
          <w:tcPr>
            <w:tcW w:w="534" w:type="dxa"/>
            <w:vMerge w:val="continue"/>
            <w:tcBorders>
              <w:top w:val="nil"/>
              <w:bottom w:val="nil"/>
            </w:tcBorders>
            <w:vAlign w:val="top"/>
          </w:tcPr>
          <w:p w14:paraId="23F90A45">
            <w:pPr>
              <w:rPr>
                <w:rFonts w:ascii="Arial"/>
                <w:sz w:val="21"/>
              </w:rPr>
            </w:pPr>
          </w:p>
        </w:tc>
        <w:tc>
          <w:tcPr>
            <w:tcW w:w="882" w:type="dxa"/>
            <w:vAlign w:val="top"/>
          </w:tcPr>
          <w:p w14:paraId="4BF0165F">
            <w:pPr>
              <w:pStyle w:val="6"/>
              <w:spacing w:before="134" w:line="228" w:lineRule="auto"/>
              <w:ind w:left="136"/>
            </w:pPr>
            <w:r>
              <w:rPr>
                <w:spacing w:val="5"/>
              </w:rPr>
              <w:t>导线垂</w:t>
            </w:r>
          </w:p>
          <w:p w14:paraId="6905A23C">
            <w:pPr>
              <w:pStyle w:val="6"/>
              <w:spacing w:before="220" w:line="231" w:lineRule="auto"/>
              <w:ind w:left="132"/>
            </w:pPr>
            <w:r>
              <w:rPr>
                <w:spacing w:val="6"/>
              </w:rPr>
              <w:t>直间距</w:t>
            </w:r>
          </w:p>
        </w:tc>
        <w:tc>
          <w:tcPr>
            <w:tcW w:w="3387" w:type="dxa"/>
            <w:vAlign w:val="top"/>
          </w:tcPr>
          <w:p w14:paraId="72F2FF4C">
            <w:pPr>
              <w:spacing w:line="279" w:lineRule="auto"/>
              <w:rPr>
                <w:rFonts w:ascii="Arial"/>
                <w:sz w:val="21"/>
              </w:rPr>
            </w:pPr>
          </w:p>
          <w:p w14:paraId="439ABC0D">
            <w:pPr>
              <w:spacing w:before="57" w:line="199" w:lineRule="auto"/>
              <w:ind w:left="123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4.5m/4.</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1"/>
                <w:sz w:val="20"/>
                <w:szCs w:val="20"/>
              </w:rPr>
              <w:t>1m</w:t>
            </w:r>
          </w:p>
        </w:tc>
        <w:tc>
          <w:tcPr>
            <w:tcW w:w="3482" w:type="dxa"/>
            <w:vAlign w:val="top"/>
          </w:tcPr>
          <w:p w14:paraId="54C45651">
            <w:pPr>
              <w:spacing w:line="345" w:lineRule="auto"/>
              <w:rPr>
                <w:rFonts w:ascii="Arial"/>
                <w:sz w:val="21"/>
              </w:rPr>
            </w:pPr>
          </w:p>
          <w:p w14:paraId="6EC2DA57">
            <w:pPr>
              <w:spacing w:before="57" w:line="195" w:lineRule="auto"/>
              <w:ind w:left="15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3.5m</w:t>
            </w:r>
          </w:p>
        </w:tc>
      </w:tr>
      <w:tr w14:paraId="4598B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440" w:type="dxa"/>
            <w:vMerge w:val="continue"/>
            <w:tcBorders>
              <w:top w:val="nil"/>
              <w:bottom w:val="nil"/>
            </w:tcBorders>
            <w:textDirection w:val="tbRlV"/>
            <w:vAlign w:val="top"/>
          </w:tcPr>
          <w:p w14:paraId="0AF2F837">
            <w:pPr>
              <w:rPr>
                <w:rFonts w:ascii="Arial"/>
                <w:sz w:val="21"/>
              </w:rPr>
            </w:pPr>
          </w:p>
        </w:tc>
        <w:tc>
          <w:tcPr>
            <w:tcW w:w="534" w:type="dxa"/>
            <w:vMerge w:val="continue"/>
            <w:tcBorders>
              <w:top w:val="nil"/>
              <w:bottom w:val="nil"/>
            </w:tcBorders>
            <w:vAlign w:val="top"/>
          </w:tcPr>
          <w:p w14:paraId="1C373B40">
            <w:pPr>
              <w:rPr>
                <w:rFonts w:ascii="Arial"/>
                <w:sz w:val="21"/>
              </w:rPr>
            </w:pPr>
          </w:p>
        </w:tc>
        <w:tc>
          <w:tcPr>
            <w:tcW w:w="882" w:type="dxa"/>
            <w:vAlign w:val="top"/>
          </w:tcPr>
          <w:p w14:paraId="3FEBA785">
            <w:pPr>
              <w:pStyle w:val="6"/>
              <w:spacing w:before="132" w:line="228" w:lineRule="auto"/>
              <w:ind w:left="136"/>
            </w:pPr>
            <w:r>
              <w:rPr>
                <w:spacing w:val="5"/>
              </w:rPr>
              <w:t>导线水</w:t>
            </w:r>
          </w:p>
          <w:p w14:paraId="7AADDC0B">
            <w:pPr>
              <w:pStyle w:val="6"/>
              <w:spacing w:before="220" w:line="231" w:lineRule="auto"/>
              <w:ind w:left="129"/>
            </w:pPr>
            <w:r>
              <w:rPr>
                <w:spacing w:val="7"/>
              </w:rPr>
              <w:t>平间距</w:t>
            </w:r>
          </w:p>
        </w:tc>
        <w:tc>
          <w:tcPr>
            <w:tcW w:w="3387" w:type="dxa"/>
            <w:vAlign w:val="top"/>
          </w:tcPr>
          <w:p w14:paraId="32D7DEBD">
            <w:pPr>
              <w:spacing w:line="281" w:lineRule="auto"/>
              <w:rPr>
                <w:rFonts w:ascii="Arial"/>
                <w:sz w:val="21"/>
              </w:rPr>
            </w:pPr>
          </w:p>
          <w:p w14:paraId="7C070CA0">
            <w:pPr>
              <w:spacing w:before="57" w:line="199" w:lineRule="auto"/>
              <w:ind w:left="89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7.05m/8.35m/7.2m</w:t>
            </w:r>
          </w:p>
        </w:tc>
        <w:tc>
          <w:tcPr>
            <w:tcW w:w="3482" w:type="dxa"/>
            <w:vAlign w:val="top"/>
          </w:tcPr>
          <w:p w14:paraId="3C18821D">
            <w:pPr>
              <w:spacing w:line="344" w:lineRule="auto"/>
              <w:rPr>
                <w:rFonts w:ascii="Arial"/>
                <w:sz w:val="21"/>
              </w:rPr>
            </w:pPr>
          </w:p>
          <w:p w14:paraId="7CBEE387">
            <w:pPr>
              <w:spacing w:before="58" w:line="195" w:lineRule="auto"/>
              <w:ind w:left="156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8.2m</w:t>
            </w:r>
          </w:p>
        </w:tc>
      </w:tr>
      <w:tr w14:paraId="20FD9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440" w:type="dxa"/>
            <w:vMerge w:val="continue"/>
            <w:tcBorders>
              <w:top w:val="nil"/>
            </w:tcBorders>
            <w:textDirection w:val="tbRlV"/>
            <w:vAlign w:val="top"/>
          </w:tcPr>
          <w:p w14:paraId="408E031B">
            <w:pPr>
              <w:rPr>
                <w:rFonts w:ascii="Arial"/>
                <w:sz w:val="21"/>
              </w:rPr>
            </w:pPr>
          </w:p>
        </w:tc>
        <w:tc>
          <w:tcPr>
            <w:tcW w:w="534" w:type="dxa"/>
            <w:vMerge w:val="continue"/>
            <w:tcBorders>
              <w:top w:val="nil"/>
            </w:tcBorders>
            <w:vAlign w:val="top"/>
          </w:tcPr>
          <w:p w14:paraId="6C115C51">
            <w:pPr>
              <w:rPr>
                <w:rFonts w:ascii="Arial"/>
                <w:sz w:val="21"/>
              </w:rPr>
            </w:pPr>
          </w:p>
        </w:tc>
        <w:tc>
          <w:tcPr>
            <w:tcW w:w="882" w:type="dxa"/>
            <w:vAlign w:val="top"/>
          </w:tcPr>
          <w:p w14:paraId="3FF5E76F">
            <w:pPr>
              <w:pStyle w:val="6"/>
              <w:spacing w:before="135" w:line="368" w:lineRule="auto"/>
              <w:ind w:left="345" w:right="125" w:hanging="216"/>
            </w:pPr>
            <w:r>
              <w:rPr>
                <w:spacing w:val="7"/>
              </w:rPr>
              <w:t>选用塔</w:t>
            </w:r>
            <w:r>
              <w:t>型</w:t>
            </w:r>
          </w:p>
        </w:tc>
        <w:tc>
          <w:tcPr>
            <w:tcW w:w="3387" w:type="dxa"/>
            <w:vAlign w:val="top"/>
          </w:tcPr>
          <w:p w14:paraId="4C00A547">
            <w:pPr>
              <w:spacing w:line="344" w:lineRule="auto"/>
              <w:rPr>
                <w:rFonts w:ascii="Arial"/>
                <w:sz w:val="21"/>
              </w:rPr>
            </w:pPr>
          </w:p>
          <w:p w14:paraId="61A8F92B">
            <w:pPr>
              <w:spacing w:before="57" w:line="195" w:lineRule="auto"/>
              <w:ind w:left="125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1C2X1-</w:t>
            </w:r>
            <w:r>
              <w:rPr>
                <w:rFonts w:ascii="Times New Roman" w:hAnsi="Times New Roman" w:eastAsia="Times New Roman" w:cs="Times New Roman"/>
                <w:sz w:val="20"/>
                <w:szCs w:val="20"/>
              </w:rPr>
              <w:t>JD</w:t>
            </w:r>
          </w:p>
        </w:tc>
        <w:tc>
          <w:tcPr>
            <w:tcW w:w="3482" w:type="dxa"/>
            <w:vAlign w:val="top"/>
          </w:tcPr>
          <w:p w14:paraId="7313D388">
            <w:pPr>
              <w:spacing w:line="344" w:lineRule="auto"/>
              <w:rPr>
                <w:rFonts w:ascii="Arial"/>
                <w:sz w:val="21"/>
              </w:rPr>
            </w:pPr>
          </w:p>
          <w:p w14:paraId="4D947A0C">
            <w:pPr>
              <w:spacing w:before="57" w:line="195" w:lineRule="auto"/>
              <w:ind w:left="133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1B1X4-J4</w:t>
            </w:r>
          </w:p>
        </w:tc>
      </w:tr>
    </w:tbl>
    <w:p w14:paraId="28628280">
      <w:pPr>
        <w:rPr>
          <w:rFonts w:ascii="Arial"/>
          <w:sz w:val="21"/>
        </w:rPr>
      </w:pPr>
    </w:p>
    <w:p w14:paraId="721D57F5">
      <w:pPr>
        <w:rPr>
          <w:rFonts w:ascii="Arial" w:hAnsi="Arial" w:eastAsia="Arial" w:cs="Arial"/>
          <w:sz w:val="21"/>
          <w:szCs w:val="21"/>
        </w:rPr>
        <w:sectPr>
          <w:footerReference r:id="rId184" w:type="default"/>
          <w:pgSz w:w="11906" w:h="16839"/>
          <w:pgMar w:top="400" w:right="1488" w:bottom="1147" w:left="1687" w:header="0" w:footer="960" w:gutter="0"/>
          <w:cols w:space="720" w:num="1"/>
        </w:sectPr>
      </w:pPr>
    </w:p>
    <w:p w14:paraId="30806221">
      <w:pPr>
        <w:spacing w:line="251" w:lineRule="auto"/>
        <w:rPr>
          <w:rFonts w:ascii="Arial"/>
          <w:sz w:val="21"/>
        </w:rPr>
      </w:pPr>
    </w:p>
    <w:p w14:paraId="16ED14AF">
      <w:pPr>
        <w:spacing w:line="251" w:lineRule="auto"/>
        <w:rPr>
          <w:rFonts w:ascii="Arial"/>
          <w:sz w:val="21"/>
        </w:rPr>
      </w:pPr>
    </w:p>
    <w:p w14:paraId="015A0715">
      <w:pPr>
        <w:spacing w:line="251" w:lineRule="auto"/>
        <w:rPr>
          <w:rFonts w:ascii="Arial"/>
          <w:sz w:val="21"/>
        </w:rPr>
      </w:pPr>
    </w:p>
    <w:p w14:paraId="5784AA96">
      <w:pPr>
        <w:spacing w:line="251" w:lineRule="auto"/>
        <w:rPr>
          <w:rFonts w:ascii="Arial"/>
          <w:sz w:val="21"/>
        </w:rPr>
      </w:pPr>
    </w:p>
    <w:p w14:paraId="1FCE7792">
      <w:pPr>
        <w:spacing w:line="251" w:lineRule="auto"/>
        <w:rPr>
          <w:rFonts w:ascii="Arial"/>
          <w:sz w:val="21"/>
        </w:rPr>
      </w:pPr>
      <w:r>
        <w:drawing>
          <wp:anchor distT="0" distB="0" distL="0" distR="0" simplePos="0" relativeHeight="251725824" behindDoc="1" locked="0" layoutInCell="1" allowOverlap="1">
            <wp:simplePos x="0" y="0"/>
            <wp:positionH relativeFrom="column">
              <wp:posOffset>0</wp:posOffset>
            </wp:positionH>
            <wp:positionV relativeFrom="paragraph">
              <wp:posOffset>19050</wp:posOffset>
            </wp:positionV>
            <wp:extent cx="5544185" cy="2954655"/>
            <wp:effectExtent l="0" t="0" r="0" b="0"/>
            <wp:wrapNone/>
            <wp:docPr id="212" name="IM 212"/>
            <wp:cNvGraphicFramePr/>
            <a:graphic xmlns:a="http://schemas.openxmlformats.org/drawingml/2006/main">
              <a:graphicData uri="http://schemas.openxmlformats.org/drawingml/2006/picture">
                <pic:pic xmlns:pic="http://schemas.openxmlformats.org/drawingml/2006/picture">
                  <pic:nvPicPr>
                    <pic:cNvPr id="212" name="IM 212"/>
                    <pic:cNvPicPr/>
                  </pic:nvPicPr>
                  <pic:blipFill>
                    <a:blip r:embed="rId305"/>
                    <a:stretch>
                      <a:fillRect/>
                    </a:stretch>
                  </pic:blipFill>
                  <pic:spPr>
                    <a:xfrm>
                      <a:off x="0" y="0"/>
                      <a:ext cx="5543931" cy="2954401"/>
                    </a:xfrm>
                    <a:prstGeom prst="rect">
                      <a:avLst/>
                    </a:prstGeom>
                  </pic:spPr>
                </pic:pic>
              </a:graphicData>
            </a:graphic>
          </wp:anchor>
        </w:drawing>
      </w:r>
    </w:p>
    <w:p w14:paraId="0D094695">
      <w:pPr>
        <w:spacing w:line="251" w:lineRule="auto"/>
        <w:rPr>
          <w:rFonts w:ascii="Arial"/>
          <w:sz w:val="21"/>
        </w:rPr>
      </w:pPr>
    </w:p>
    <w:p w14:paraId="3BFF4648">
      <w:pPr>
        <w:spacing w:line="251" w:lineRule="auto"/>
        <w:rPr>
          <w:rFonts w:ascii="Arial"/>
          <w:sz w:val="21"/>
        </w:rPr>
      </w:pPr>
    </w:p>
    <w:p w14:paraId="598B347B">
      <w:pPr>
        <w:spacing w:line="252" w:lineRule="auto"/>
        <w:rPr>
          <w:rFonts w:ascii="Arial"/>
          <w:sz w:val="21"/>
        </w:rPr>
      </w:pPr>
    </w:p>
    <w:p w14:paraId="679C46F9">
      <w:pPr>
        <w:spacing w:line="252" w:lineRule="auto"/>
        <w:rPr>
          <w:rFonts w:ascii="Arial"/>
          <w:sz w:val="21"/>
        </w:rPr>
      </w:pPr>
    </w:p>
    <w:p w14:paraId="422F2926">
      <w:pPr>
        <w:spacing w:line="252" w:lineRule="auto"/>
        <w:rPr>
          <w:rFonts w:ascii="Arial"/>
          <w:sz w:val="21"/>
        </w:rPr>
      </w:pPr>
    </w:p>
    <w:p w14:paraId="629D7B2F">
      <w:pPr>
        <w:spacing w:line="252" w:lineRule="auto"/>
        <w:rPr>
          <w:rFonts w:ascii="Arial"/>
          <w:sz w:val="21"/>
        </w:rPr>
      </w:pPr>
    </w:p>
    <w:p w14:paraId="113D0BBE">
      <w:pPr>
        <w:spacing w:line="252" w:lineRule="auto"/>
        <w:rPr>
          <w:rFonts w:ascii="Arial"/>
          <w:sz w:val="21"/>
        </w:rPr>
      </w:pPr>
    </w:p>
    <w:p w14:paraId="4F7AA574">
      <w:pPr>
        <w:spacing w:line="252" w:lineRule="auto"/>
        <w:rPr>
          <w:rFonts w:ascii="Arial"/>
          <w:sz w:val="21"/>
        </w:rPr>
      </w:pPr>
    </w:p>
    <w:p w14:paraId="31A6F539">
      <w:pPr>
        <w:spacing w:line="252" w:lineRule="auto"/>
        <w:rPr>
          <w:rFonts w:ascii="Arial"/>
          <w:sz w:val="21"/>
        </w:rPr>
      </w:pPr>
    </w:p>
    <w:p w14:paraId="6AB857F6">
      <w:pPr>
        <w:spacing w:line="252" w:lineRule="auto"/>
        <w:rPr>
          <w:rFonts w:ascii="Arial"/>
          <w:sz w:val="21"/>
        </w:rPr>
      </w:pPr>
    </w:p>
    <w:p w14:paraId="252DCA60">
      <w:pPr>
        <w:spacing w:line="252" w:lineRule="auto"/>
        <w:rPr>
          <w:rFonts w:ascii="Arial"/>
          <w:sz w:val="21"/>
        </w:rPr>
      </w:pPr>
    </w:p>
    <w:p w14:paraId="3B3F8A00">
      <w:pPr>
        <w:spacing w:line="252" w:lineRule="auto"/>
        <w:rPr>
          <w:rFonts w:ascii="Arial"/>
          <w:sz w:val="21"/>
        </w:rPr>
      </w:pPr>
    </w:p>
    <w:p w14:paraId="79AF3D61">
      <w:pPr>
        <w:spacing w:line="252" w:lineRule="auto"/>
        <w:rPr>
          <w:rFonts w:ascii="Arial"/>
          <w:sz w:val="21"/>
        </w:rPr>
      </w:pPr>
    </w:p>
    <w:p w14:paraId="28BDC2F6">
      <w:pPr>
        <w:spacing w:line="252" w:lineRule="auto"/>
        <w:rPr>
          <w:rFonts w:ascii="Arial"/>
          <w:sz w:val="21"/>
        </w:rPr>
      </w:pPr>
    </w:p>
    <w:p w14:paraId="0C4B01A4">
      <w:pPr>
        <w:spacing w:line="252" w:lineRule="auto"/>
        <w:rPr>
          <w:rFonts w:ascii="Arial"/>
          <w:sz w:val="21"/>
        </w:rPr>
      </w:pPr>
      <w:r>
        <w:pict>
          <v:shape id="_x0000_s1142" o:spid="_x0000_s1142" style="position:absolute;left:0pt;margin-left:0.2pt;margin-top:14.1pt;height:0.5pt;width:436.55pt;z-index:-251591680;mso-width-relative:page;mso-height-relative:page;" filled="f" stroked="t" coordsize="8730,10" path="m0,4l8730,4e">
            <v:fill on="f" focussize="0,0"/>
            <v:stroke weight="0.48pt" color="#000000" miterlimit="2" joinstyle="bevel"/>
            <v:imagedata o:title=""/>
            <o:lock v:ext="edit"/>
          </v:shape>
        </w:pict>
      </w:r>
    </w:p>
    <w:p w14:paraId="114ED1E2">
      <w:pPr>
        <w:pStyle w:val="2"/>
        <w:spacing w:before="65" w:line="225" w:lineRule="auto"/>
        <w:ind w:left="120"/>
        <w:rPr>
          <w:sz w:val="20"/>
          <w:szCs w:val="20"/>
        </w:rPr>
      </w:pPr>
      <w:r>
        <w:rPr>
          <w:b/>
          <w:bCs/>
          <w:spacing w:val="6"/>
          <w:sz w:val="20"/>
          <w:szCs w:val="20"/>
        </w:rPr>
        <w:t>注：①</w:t>
      </w:r>
      <w:r>
        <w:rPr>
          <w:rFonts w:ascii="Times New Roman" w:hAnsi="Times New Roman" w:eastAsia="Times New Roman" w:cs="Times New Roman"/>
          <w:b/>
          <w:bCs/>
          <w:spacing w:val="6"/>
          <w:sz w:val="20"/>
          <w:szCs w:val="20"/>
        </w:rPr>
        <w:t xml:space="preserve">h </w:t>
      </w:r>
      <w:r>
        <w:rPr>
          <w:b/>
          <w:bCs/>
          <w:spacing w:val="6"/>
          <w:sz w:val="20"/>
          <w:szCs w:val="20"/>
        </w:rPr>
        <w:t>为导线对地距离；</w:t>
      </w:r>
    </w:p>
    <w:p w14:paraId="0C715C1E">
      <w:pPr>
        <w:pStyle w:val="2"/>
        <w:spacing w:before="49" w:line="225" w:lineRule="auto"/>
        <w:ind w:left="328"/>
        <w:rPr>
          <w:sz w:val="20"/>
          <w:szCs w:val="20"/>
        </w:rPr>
      </w:pPr>
      <w:r>
        <w:pict>
          <v:shape id="_x0000_s1143" o:spid="_x0000_s1143" style="position:absolute;left:0pt;margin-left:0.2pt;margin-top:15.75pt;height:0.5pt;width:436.55pt;z-index:-251592704;mso-width-relative:page;mso-height-relative:page;" filled="f" stroked="t" coordsize="8730,10" path="m0,4l8730,4e">
            <v:fill on="f" focussize="0,0"/>
            <v:stroke weight="0.48pt" color="#000000" miterlimit="2" joinstyle="bevel"/>
            <v:imagedata o:title=""/>
            <o:lock v:ext="edit"/>
          </v:shape>
        </w:pict>
      </w:r>
      <w:r>
        <w:rPr>
          <w:b/>
          <w:bCs/>
          <w:spacing w:val="8"/>
          <w:sz w:val="20"/>
          <w:szCs w:val="20"/>
        </w:rPr>
        <w:t>②本次预测软件为由南京晶森环境科技有限公司开发的晶森</w:t>
      </w:r>
      <w:r>
        <w:rPr>
          <w:spacing w:val="-23"/>
          <w:sz w:val="20"/>
          <w:szCs w:val="20"/>
        </w:rPr>
        <w:t xml:space="preserve"> </w:t>
      </w:r>
      <w:r>
        <w:rPr>
          <w:rFonts w:ascii="Times New Roman" w:hAnsi="Times New Roman" w:eastAsia="Times New Roman" w:cs="Times New Roman"/>
          <w:b/>
          <w:bCs/>
          <w:sz w:val="20"/>
          <w:szCs w:val="20"/>
        </w:rPr>
        <w:t>EHL</w:t>
      </w:r>
      <w:r>
        <w:rPr>
          <w:rFonts w:ascii="Times New Roman" w:hAnsi="Times New Roman" w:eastAsia="Times New Roman" w:cs="Times New Roman"/>
          <w:b/>
          <w:bCs/>
          <w:spacing w:val="8"/>
          <w:sz w:val="20"/>
          <w:szCs w:val="20"/>
        </w:rPr>
        <w:t>-</w:t>
      </w:r>
      <w:r>
        <w:rPr>
          <w:b/>
          <w:bCs/>
          <w:spacing w:val="8"/>
          <w:sz w:val="20"/>
          <w:szCs w:val="20"/>
        </w:rPr>
        <w:t>电磁环境影响预测软件。</w:t>
      </w:r>
    </w:p>
    <w:p w14:paraId="08A07107">
      <w:pPr>
        <w:pStyle w:val="2"/>
        <w:spacing w:before="299" w:line="343" w:lineRule="auto"/>
        <w:ind w:left="125" w:right="311" w:firstLine="480"/>
        <w:jc w:val="both"/>
        <w:rPr>
          <w:sz w:val="24"/>
          <w:szCs w:val="24"/>
        </w:rPr>
      </w:pPr>
      <w:r>
        <w:rPr>
          <w:spacing w:val="-1"/>
          <w:sz w:val="24"/>
          <w:szCs w:val="24"/>
        </w:rPr>
        <w:t>为确定工频电场强度满足《电磁环境控制限值》（</w:t>
      </w:r>
      <w:r>
        <w:rPr>
          <w:rFonts w:ascii="Times New Roman" w:hAnsi="Times New Roman" w:eastAsia="Times New Roman" w:cs="Times New Roman"/>
          <w:spacing w:val="-1"/>
          <w:sz w:val="24"/>
          <w:szCs w:val="24"/>
        </w:rPr>
        <w:t>GB8702-2014</w:t>
      </w:r>
      <w:r>
        <w:rPr>
          <w:spacing w:val="-1"/>
          <w:sz w:val="24"/>
          <w:szCs w:val="24"/>
        </w:rPr>
        <w:t>）中</w:t>
      </w:r>
      <w:r>
        <w:rPr>
          <w:spacing w:val="-2"/>
          <w:sz w:val="24"/>
          <w:szCs w:val="24"/>
        </w:rPr>
        <w:t>公众曝</w:t>
      </w:r>
      <w:r>
        <w:rPr>
          <w:spacing w:val="-3"/>
          <w:sz w:val="24"/>
          <w:szCs w:val="24"/>
        </w:rPr>
        <w:t>露限值的要求时，线路导线在居民区距地最低高度，本评价预测距地不同高</w:t>
      </w:r>
      <w:r>
        <w:rPr>
          <w:spacing w:val="-4"/>
          <w:sz w:val="24"/>
          <w:szCs w:val="24"/>
        </w:rPr>
        <w:t>度时</w:t>
      </w:r>
      <w:r>
        <w:rPr>
          <w:spacing w:val="-1"/>
          <w:sz w:val="24"/>
          <w:szCs w:val="24"/>
        </w:rPr>
        <w:t>工频电磁场。预测结果见下表。</w:t>
      </w:r>
    </w:p>
    <w:p w14:paraId="25B9A629">
      <w:pPr>
        <w:pStyle w:val="2"/>
        <w:spacing w:line="227" w:lineRule="auto"/>
        <w:ind w:left="724"/>
        <w:rPr>
          <w:sz w:val="20"/>
          <w:szCs w:val="20"/>
        </w:rPr>
      </w:pPr>
      <w:r>
        <w:rPr>
          <w:b/>
          <w:bCs/>
          <w:spacing w:val="7"/>
          <w:sz w:val="20"/>
          <w:szCs w:val="20"/>
        </w:rPr>
        <w:t>表</w:t>
      </w:r>
      <w:r>
        <w:rPr>
          <w:spacing w:val="-38"/>
          <w:sz w:val="20"/>
          <w:szCs w:val="20"/>
        </w:rPr>
        <w:t xml:space="preserve"> </w:t>
      </w:r>
      <w:r>
        <w:rPr>
          <w:rFonts w:ascii="Times New Roman" w:hAnsi="Times New Roman" w:eastAsia="Times New Roman" w:cs="Times New Roman"/>
          <w:b/>
          <w:bCs/>
          <w:spacing w:val="7"/>
          <w:sz w:val="20"/>
          <w:szCs w:val="20"/>
        </w:rPr>
        <w:t xml:space="preserve">5-5  </w:t>
      </w:r>
      <w:r>
        <w:rPr>
          <w:b/>
          <w:bCs/>
          <w:spacing w:val="7"/>
          <w:sz w:val="20"/>
          <w:szCs w:val="20"/>
        </w:rPr>
        <w:t>导线离地面不同高度时地面</w:t>
      </w:r>
      <w:r>
        <w:rPr>
          <w:spacing w:val="-31"/>
          <w:sz w:val="20"/>
          <w:szCs w:val="20"/>
        </w:rPr>
        <w:t xml:space="preserve"> </w:t>
      </w:r>
      <w:r>
        <w:rPr>
          <w:rFonts w:ascii="Times New Roman" w:hAnsi="Times New Roman" w:eastAsia="Times New Roman" w:cs="Times New Roman"/>
          <w:b/>
          <w:bCs/>
          <w:spacing w:val="7"/>
          <w:sz w:val="20"/>
          <w:szCs w:val="20"/>
        </w:rPr>
        <w:t xml:space="preserve">1.5m </w:t>
      </w:r>
      <w:r>
        <w:rPr>
          <w:b/>
          <w:bCs/>
          <w:spacing w:val="7"/>
          <w:sz w:val="20"/>
          <w:szCs w:val="20"/>
        </w:rPr>
        <w:t>高</w:t>
      </w:r>
      <w:r>
        <w:rPr>
          <w:b/>
          <w:bCs/>
          <w:spacing w:val="6"/>
          <w:sz w:val="20"/>
          <w:szCs w:val="20"/>
        </w:rPr>
        <w:t>度处工频电磁场最大值的预测结果</w:t>
      </w:r>
    </w:p>
    <w:p w14:paraId="305ED1A7">
      <w:pPr>
        <w:spacing w:line="15" w:lineRule="exact"/>
      </w:pPr>
    </w:p>
    <w:tbl>
      <w:tblPr>
        <w:tblStyle w:val="5"/>
        <w:tblW w:w="8526" w:type="dxa"/>
        <w:tblInd w:w="9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2"/>
        <w:gridCol w:w="1055"/>
        <w:gridCol w:w="2578"/>
        <w:gridCol w:w="1249"/>
        <w:gridCol w:w="1274"/>
        <w:gridCol w:w="1248"/>
      </w:tblGrid>
      <w:tr w14:paraId="64B72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177" w:type="dxa"/>
            <w:gridSpan w:val="2"/>
            <w:vAlign w:val="top"/>
          </w:tcPr>
          <w:p w14:paraId="7E72B8C7">
            <w:pPr>
              <w:pStyle w:val="6"/>
              <w:spacing w:before="54" w:line="228" w:lineRule="auto"/>
              <w:ind w:left="884"/>
            </w:pPr>
            <w:r>
              <w:rPr>
                <w:b/>
                <w:bCs/>
                <w:spacing w:val="3"/>
              </w:rPr>
              <w:t>参数</w:t>
            </w:r>
          </w:p>
        </w:tc>
        <w:tc>
          <w:tcPr>
            <w:tcW w:w="2578" w:type="dxa"/>
            <w:vAlign w:val="top"/>
          </w:tcPr>
          <w:p w14:paraId="2D1BF9DD">
            <w:pPr>
              <w:pStyle w:val="6"/>
              <w:spacing w:before="54" w:line="228" w:lineRule="auto"/>
              <w:ind w:left="874"/>
            </w:pPr>
            <w:r>
              <w:rPr>
                <w:b/>
                <w:bCs/>
                <w:spacing w:val="6"/>
              </w:rPr>
              <w:t>预测参数</w:t>
            </w:r>
          </w:p>
        </w:tc>
        <w:tc>
          <w:tcPr>
            <w:tcW w:w="1249" w:type="dxa"/>
            <w:vAlign w:val="top"/>
          </w:tcPr>
          <w:p w14:paraId="7C6FEAAB">
            <w:pPr>
              <w:pStyle w:val="6"/>
              <w:spacing w:before="55" w:line="228" w:lineRule="auto"/>
              <w:ind w:left="110"/>
            </w:pPr>
            <w:r>
              <w:rPr>
                <w:b/>
                <w:bCs/>
                <w:spacing w:val="5"/>
              </w:rPr>
              <w:t>导线对地面</w:t>
            </w:r>
          </w:p>
          <w:p w14:paraId="73D41C83">
            <w:pPr>
              <w:pStyle w:val="6"/>
              <w:spacing w:before="64" w:line="228" w:lineRule="auto"/>
              <w:ind w:left="120"/>
            </w:pPr>
            <w:r>
              <w:rPr>
                <w:b/>
                <w:bCs/>
                <w:spacing w:val="4"/>
              </w:rPr>
              <w:t>距离（</w:t>
            </w:r>
            <w:r>
              <w:rPr>
                <w:rFonts w:ascii="Times New Roman" w:hAnsi="Times New Roman" w:eastAsia="Times New Roman" w:cs="Times New Roman"/>
                <w:b/>
                <w:bCs/>
                <w:spacing w:val="4"/>
              </w:rPr>
              <w:t>m</w:t>
            </w:r>
            <w:r>
              <w:rPr>
                <w:b/>
                <w:bCs/>
                <w:spacing w:val="4"/>
              </w:rPr>
              <w:t>）</w:t>
            </w:r>
          </w:p>
        </w:tc>
        <w:tc>
          <w:tcPr>
            <w:tcW w:w="1274" w:type="dxa"/>
            <w:vAlign w:val="top"/>
          </w:tcPr>
          <w:p w14:paraId="002D5E62">
            <w:pPr>
              <w:pStyle w:val="6"/>
              <w:spacing w:before="54" w:line="262" w:lineRule="auto"/>
              <w:ind w:left="76" w:right="87" w:firstLine="41"/>
            </w:pPr>
            <w:r>
              <w:rPr>
                <w:b/>
                <w:bCs/>
                <w:spacing w:val="6"/>
              </w:rPr>
              <w:t>工频电场强</w:t>
            </w:r>
            <w:r>
              <w:rPr>
                <w:b/>
                <w:bCs/>
                <w:spacing w:val="4"/>
              </w:rPr>
              <w:t>度（</w:t>
            </w:r>
            <w:r>
              <w:rPr>
                <w:rFonts w:ascii="Times New Roman" w:hAnsi="Times New Roman" w:eastAsia="Times New Roman" w:cs="Times New Roman"/>
                <w:b/>
                <w:bCs/>
              </w:rPr>
              <w:t>kV</w:t>
            </w:r>
            <w:r>
              <w:rPr>
                <w:rFonts w:ascii="Times New Roman" w:hAnsi="Times New Roman" w:eastAsia="Times New Roman" w:cs="Times New Roman"/>
                <w:b/>
                <w:bCs/>
                <w:spacing w:val="4"/>
              </w:rPr>
              <w:t>/m</w:t>
            </w:r>
            <w:r>
              <w:rPr>
                <w:b/>
                <w:bCs/>
                <w:spacing w:val="4"/>
              </w:rPr>
              <w:t>）</w:t>
            </w:r>
          </w:p>
        </w:tc>
        <w:tc>
          <w:tcPr>
            <w:tcW w:w="1248" w:type="dxa"/>
            <w:vAlign w:val="top"/>
          </w:tcPr>
          <w:p w14:paraId="2C996E23">
            <w:pPr>
              <w:pStyle w:val="6"/>
              <w:spacing w:before="54" w:line="262" w:lineRule="auto"/>
              <w:ind w:left="82" w:right="89" w:firstLine="21"/>
            </w:pPr>
            <w:r>
              <w:rPr>
                <w:b/>
                <w:bCs/>
                <w:spacing w:val="6"/>
              </w:rPr>
              <w:t>工频磁感应</w:t>
            </w:r>
            <w:r>
              <w:rPr>
                <w:b/>
                <w:bCs/>
                <w:spacing w:val="-1"/>
              </w:rPr>
              <w:t>强度</w:t>
            </w:r>
            <w:r>
              <w:rPr>
                <w:spacing w:val="20"/>
              </w:rPr>
              <w:t xml:space="preserve"> </w:t>
            </w:r>
            <w:r>
              <w:rPr>
                <w:b/>
                <w:bCs/>
                <w:spacing w:val="-1"/>
              </w:rPr>
              <w:t>(</w:t>
            </w:r>
            <w:r>
              <w:rPr>
                <w:rFonts w:ascii="Times New Roman" w:hAnsi="Times New Roman" w:eastAsia="Times New Roman" w:cs="Times New Roman"/>
                <w:b/>
                <w:bCs/>
                <w:spacing w:val="-1"/>
              </w:rPr>
              <w:t>μT</w:t>
            </w:r>
            <w:r>
              <w:rPr>
                <w:b/>
                <w:bCs/>
                <w:spacing w:val="-1"/>
              </w:rPr>
              <w:t>）</w:t>
            </w:r>
          </w:p>
        </w:tc>
      </w:tr>
      <w:tr w14:paraId="42DBA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22" w:type="dxa"/>
            <w:vMerge w:val="restart"/>
            <w:tcBorders>
              <w:bottom w:val="nil"/>
            </w:tcBorders>
            <w:vAlign w:val="top"/>
          </w:tcPr>
          <w:p w14:paraId="555121D6">
            <w:pPr>
              <w:pStyle w:val="6"/>
              <w:spacing w:before="59" w:line="262" w:lineRule="auto"/>
              <w:ind w:left="255" w:right="33" w:hanging="211"/>
            </w:pPr>
            <w:r>
              <w:rPr>
                <w:spacing w:val="7"/>
              </w:rPr>
              <w:t>单回三角排</w:t>
            </w:r>
            <w:r>
              <w:rPr>
                <w:spacing w:val="5"/>
              </w:rPr>
              <w:t>列线路</w:t>
            </w:r>
          </w:p>
        </w:tc>
        <w:tc>
          <w:tcPr>
            <w:tcW w:w="1055" w:type="dxa"/>
            <w:vMerge w:val="restart"/>
            <w:tcBorders>
              <w:bottom w:val="nil"/>
            </w:tcBorders>
            <w:vAlign w:val="top"/>
          </w:tcPr>
          <w:p w14:paraId="0AFF1FC6">
            <w:pPr>
              <w:pStyle w:val="6"/>
              <w:spacing w:before="94" w:line="261" w:lineRule="auto"/>
              <w:ind w:left="321" w:right="95" w:hanging="206"/>
            </w:pPr>
            <w:r>
              <w:rPr>
                <w:rFonts w:ascii="Times New Roman" w:hAnsi="Times New Roman" w:eastAsia="Times New Roman" w:cs="Times New Roman"/>
                <w:spacing w:val="2"/>
              </w:rPr>
              <w:t>1B1X4-J4</w:t>
            </w:r>
            <w:r>
              <w:rPr>
                <w:spacing w:val="4"/>
              </w:rPr>
              <w:t>塔型</w:t>
            </w:r>
          </w:p>
        </w:tc>
        <w:tc>
          <w:tcPr>
            <w:tcW w:w="2578" w:type="dxa"/>
            <w:vMerge w:val="restart"/>
            <w:tcBorders>
              <w:bottom w:val="nil"/>
            </w:tcBorders>
            <w:vAlign w:val="top"/>
          </w:tcPr>
          <w:p w14:paraId="16C1D81D">
            <w:pPr>
              <w:pStyle w:val="6"/>
              <w:spacing w:before="59" w:line="262" w:lineRule="auto"/>
              <w:ind w:left="505" w:right="9" w:hanging="465"/>
              <w:rPr>
                <w:rFonts w:ascii="Times New Roman" w:hAnsi="Times New Roman" w:eastAsia="Times New Roman" w:cs="Times New Roman"/>
              </w:rPr>
            </w:pPr>
            <w:r>
              <w:rPr>
                <w:spacing w:val="-4"/>
              </w:rPr>
              <w:t>电压：</w:t>
            </w:r>
            <w:r>
              <w:rPr>
                <w:rFonts w:ascii="Times New Roman" w:hAnsi="Times New Roman" w:eastAsia="Times New Roman" w:cs="Times New Roman"/>
                <w:spacing w:val="-4"/>
              </w:rPr>
              <w:t>115.5kV</w:t>
            </w:r>
            <w:r>
              <w:rPr>
                <w:rFonts w:ascii="Times New Roman" w:hAnsi="Times New Roman" w:eastAsia="Times New Roman" w:cs="Times New Roman"/>
                <w:spacing w:val="12"/>
                <w:w w:val="101"/>
              </w:rPr>
              <w:t xml:space="preserve">    </w:t>
            </w:r>
            <w:r>
              <w:rPr>
                <w:spacing w:val="-4"/>
              </w:rPr>
              <w:t>电流：</w:t>
            </w:r>
            <w:r>
              <w:rPr>
                <w:rFonts w:ascii="Times New Roman" w:hAnsi="Times New Roman" w:eastAsia="Times New Roman" w:cs="Times New Roman"/>
                <w:spacing w:val="-4"/>
              </w:rPr>
              <w:t>684A</w:t>
            </w:r>
            <w:r>
              <w:rPr>
                <w:spacing w:val="6"/>
              </w:rPr>
              <w:t>导线直径</w:t>
            </w:r>
            <w:r>
              <w:rPr>
                <w:spacing w:val="-41"/>
              </w:rPr>
              <w:t xml:space="preserve"> </w:t>
            </w:r>
            <w:r>
              <w:rPr>
                <w:rFonts w:ascii="Times New Roman" w:hAnsi="Times New Roman" w:eastAsia="Times New Roman" w:cs="Times New Roman"/>
                <w:spacing w:val="6"/>
              </w:rPr>
              <w:t>21.6</w:t>
            </w:r>
            <w:r>
              <w:rPr>
                <w:rFonts w:ascii="Times New Roman" w:hAnsi="Times New Roman" w:eastAsia="Times New Roman" w:cs="Times New Roman"/>
              </w:rPr>
              <w:t>mm</w:t>
            </w:r>
          </w:p>
        </w:tc>
        <w:tc>
          <w:tcPr>
            <w:tcW w:w="1249" w:type="dxa"/>
            <w:vAlign w:val="top"/>
          </w:tcPr>
          <w:p w14:paraId="7BA9E419">
            <w:pPr>
              <w:spacing w:before="87" w:line="195" w:lineRule="auto"/>
              <w:ind w:left="4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6.0</w:t>
            </w:r>
          </w:p>
        </w:tc>
        <w:tc>
          <w:tcPr>
            <w:tcW w:w="1274" w:type="dxa"/>
            <w:vAlign w:val="top"/>
          </w:tcPr>
          <w:p w14:paraId="392FDFB2">
            <w:pPr>
              <w:spacing w:before="87" w:line="195" w:lineRule="auto"/>
              <w:ind w:left="35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2.4295</w:t>
            </w:r>
          </w:p>
        </w:tc>
        <w:tc>
          <w:tcPr>
            <w:tcW w:w="1248" w:type="dxa"/>
            <w:vAlign w:val="top"/>
          </w:tcPr>
          <w:p w14:paraId="6E67D01F">
            <w:pPr>
              <w:spacing w:before="87" w:line="195" w:lineRule="auto"/>
              <w:ind w:left="28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26.2672</w:t>
            </w:r>
          </w:p>
        </w:tc>
      </w:tr>
      <w:tr w14:paraId="6667E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22" w:type="dxa"/>
            <w:vMerge w:val="continue"/>
            <w:tcBorders>
              <w:top w:val="nil"/>
            </w:tcBorders>
            <w:vAlign w:val="top"/>
          </w:tcPr>
          <w:p w14:paraId="0E52E325">
            <w:pPr>
              <w:rPr>
                <w:rFonts w:ascii="Arial"/>
                <w:sz w:val="21"/>
              </w:rPr>
            </w:pPr>
          </w:p>
        </w:tc>
        <w:tc>
          <w:tcPr>
            <w:tcW w:w="1055" w:type="dxa"/>
            <w:vMerge w:val="continue"/>
            <w:tcBorders>
              <w:top w:val="nil"/>
            </w:tcBorders>
            <w:vAlign w:val="top"/>
          </w:tcPr>
          <w:p w14:paraId="22A53235">
            <w:pPr>
              <w:rPr>
                <w:rFonts w:ascii="Arial"/>
                <w:sz w:val="21"/>
              </w:rPr>
            </w:pPr>
          </w:p>
        </w:tc>
        <w:tc>
          <w:tcPr>
            <w:tcW w:w="2578" w:type="dxa"/>
            <w:vMerge w:val="continue"/>
            <w:tcBorders>
              <w:top w:val="nil"/>
            </w:tcBorders>
            <w:vAlign w:val="top"/>
          </w:tcPr>
          <w:p w14:paraId="2C33A01F">
            <w:pPr>
              <w:rPr>
                <w:rFonts w:ascii="Arial"/>
                <w:sz w:val="21"/>
              </w:rPr>
            </w:pPr>
          </w:p>
        </w:tc>
        <w:tc>
          <w:tcPr>
            <w:tcW w:w="1249" w:type="dxa"/>
            <w:vAlign w:val="top"/>
          </w:tcPr>
          <w:p w14:paraId="7977813A">
            <w:pPr>
              <w:spacing w:before="90" w:line="195" w:lineRule="auto"/>
              <w:ind w:left="4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1274" w:type="dxa"/>
            <w:vAlign w:val="top"/>
          </w:tcPr>
          <w:p w14:paraId="4D32ED5A">
            <w:pPr>
              <w:spacing w:before="90" w:line="195" w:lineRule="auto"/>
              <w:ind w:left="372"/>
              <w:rPr>
                <w:rFonts w:ascii="Times New Roman" w:hAnsi="Times New Roman" w:eastAsia="Times New Roman" w:cs="Times New Roman"/>
                <w:sz w:val="20"/>
                <w:szCs w:val="20"/>
              </w:rPr>
            </w:pPr>
            <w:r>
              <w:rPr>
                <w:rFonts w:ascii="Times New Roman" w:hAnsi="Times New Roman" w:eastAsia="Times New Roman" w:cs="Times New Roman"/>
                <w:sz w:val="20"/>
                <w:szCs w:val="20"/>
              </w:rPr>
              <w:t>1.8378</w:t>
            </w:r>
          </w:p>
        </w:tc>
        <w:tc>
          <w:tcPr>
            <w:tcW w:w="1248" w:type="dxa"/>
            <w:vAlign w:val="top"/>
          </w:tcPr>
          <w:p w14:paraId="514DDF67">
            <w:pPr>
              <w:spacing w:before="90" w:line="195" w:lineRule="auto"/>
              <w:ind w:left="28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20.6741</w:t>
            </w:r>
          </w:p>
        </w:tc>
      </w:tr>
      <w:tr w14:paraId="2AA83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122" w:type="dxa"/>
            <w:vMerge w:val="restart"/>
            <w:tcBorders>
              <w:bottom w:val="nil"/>
            </w:tcBorders>
            <w:vAlign w:val="top"/>
          </w:tcPr>
          <w:p w14:paraId="12F0DD7B">
            <w:pPr>
              <w:pStyle w:val="6"/>
              <w:spacing w:before="59" w:line="264" w:lineRule="auto"/>
              <w:ind w:left="145" w:right="33" w:hanging="103"/>
            </w:pPr>
            <w:r>
              <w:rPr>
                <w:spacing w:val="8"/>
              </w:rPr>
              <w:t>双回路垂直</w:t>
            </w:r>
            <w:r>
              <w:rPr>
                <w:spacing w:val="7"/>
              </w:rPr>
              <w:t>排列线路</w:t>
            </w:r>
          </w:p>
        </w:tc>
        <w:tc>
          <w:tcPr>
            <w:tcW w:w="1055" w:type="dxa"/>
            <w:vMerge w:val="restart"/>
            <w:tcBorders>
              <w:bottom w:val="nil"/>
            </w:tcBorders>
            <w:vAlign w:val="top"/>
          </w:tcPr>
          <w:p w14:paraId="07F0FF14">
            <w:pPr>
              <w:pStyle w:val="6"/>
              <w:spacing w:before="95" w:line="263" w:lineRule="auto"/>
              <w:ind w:left="322" w:right="73" w:hanging="228"/>
            </w:pPr>
            <w:r>
              <w:rPr>
                <w:rFonts w:ascii="Times New Roman" w:hAnsi="Times New Roman" w:eastAsia="Times New Roman" w:cs="Times New Roman"/>
                <w:spacing w:val="2"/>
              </w:rPr>
              <w:t>1C2X1-</w:t>
            </w:r>
            <w:r>
              <w:rPr>
                <w:rFonts w:ascii="Times New Roman" w:hAnsi="Times New Roman" w:eastAsia="Times New Roman" w:cs="Times New Roman"/>
              </w:rPr>
              <w:t>JD</w:t>
            </w:r>
            <w:r>
              <w:rPr>
                <w:spacing w:val="4"/>
              </w:rPr>
              <w:t>塔型</w:t>
            </w:r>
          </w:p>
        </w:tc>
        <w:tc>
          <w:tcPr>
            <w:tcW w:w="2578" w:type="dxa"/>
            <w:vMerge w:val="restart"/>
            <w:tcBorders>
              <w:bottom w:val="nil"/>
            </w:tcBorders>
            <w:vAlign w:val="top"/>
          </w:tcPr>
          <w:p w14:paraId="4BF6A3E9">
            <w:pPr>
              <w:pStyle w:val="6"/>
              <w:spacing w:before="59" w:line="264" w:lineRule="auto"/>
              <w:ind w:left="505" w:right="9" w:hanging="465"/>
              <w:rPr>
                <w:rFonts w:ascii="Times New Roman" w:hAnsi="Times New Roman" w:eastAsia="Times New Roman" w:cs="Times New Roman"/>
              </w:rPr>
            </w:pPr>
            <w:r>
              <w:rPr>
                <w:spacing w:val="-4"/>
              </w:rPr>
              <w:t>电压：</w:t>
            </w:r>
            <w:r>
              <w:rPr>
                <w:rFonts w:ascii="Times New Roman" w:hAnsi="Times New Roman" w:eastAsia="Times New Roman" w:cs="Times New Roman"/>
                <w:spacing w:val="-4"/>
              </w:rPr>
              <w:t>115.5kV</w:t>
            </w:r>
            <w:r>
              <w:rPr>
                <w:rFonts w:ascii="Times New Roman" w:hAnsi="Times New Roman" w:eastAsia="Times New Roman" w:cs="Times New Roman"/>
                <w:spacing w:val="12"/>
                <w:w w:val="101"/>
              </w:rPr>
              <w:t xml:space="preserve">    </w:t>
            </w:r>
            <w:r>
              <w:rPr>
                <w:spacing w:val="-4"/>
              </w:rPr>
              <w:t>电流：</w:t>
            </w:r>
            <w:r>
              <w:rPr>
                <w:rFonts w:ascii="Times New Roman" w:hAnsi="Times New Roman" w:eastAsia="Times New Roman" w:cs="Times New Roman"/>
                <w:spacing w:val="-4"/>
              </w:rPr>
              <w:t>684A</w:t>
            </w:r>
            <w:r>
              <w:rPr>
                <w:spacing w:val="6"/>
              </w:rPr>
              <w:t>导线直径</w:t>
            </w:r>
            <w:r>
              <w:rPr>
                <w:spacing w:val="-41"/>
              </w:rPr>
              <w:t xml:space="preserve"> </w:t>
            </w:r>
            <w:r>
              <w:rPr>
                <w:rFonts w:ascii="Times New Roman" w:hAnsi="Times New Roman" w:eastAsia="Times New Roman" w:cs="Times New Roman"/>
                <w:spacing w:val="6"/>
              </w:rPr>
              <w:t>23.9</w:t>
            </w:r>
            <w:r>
              <w:rPr>
                <w:rFonts w:ascii="Times New Roman" w:hAnsi="Times New Roman" w:eastAsia="Times New Roman" w:cs="Times New Roman"/>
              </w:rPr>
              <w:t>mm</w:t>
            </w:r>
          </w:p>
        </w:tc>
        <w:tc>
          <w:tcPr>
            <w:tcW w:w="1249" w:type="dxa"/>
            <w:vAlign w:val="top"/>
          </w:tcPr>
          <w:p w14:paraId="04937086">
            <w:pPr>
              <w:spacing w:before="90" w:line="195" w:lineRule="auto"/>
              <w:ind w:left="4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6.0</w:t>
            </w:r>
          </w:p>
        </w:tc>
        <w:tc>
          <w:tcPr>
            <w:tcW w:w="1274" w:type="dxa"/>
            <w:vAlign w:val="top"/>
          </w:tcPr>
          <w:p w14:paraId="4E059E1C">
            <w:pPr>
              <w:spacing w:before="90" w:line="195" w:lineRule="auto"/>
              <w:ind w:left="35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2.3257</w:t>
            </w:r>
          </w:p>
        </w:tc>
        <w:tc>
          <w:tcPr>
            <w:tcW w:w="1248" w:type="dxa"/>
            <w:vAlign w:val="top"/>
          </w:tcPr>
          <w:p w14:paraId="7471ECEC">
            <w:pPr>
              <w:spacing w:before="90" w:line="195" w:lineRule="auto"/>
              <w:ind w:left="30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17.8995</w:t>
            </w:r>
          </w:p>
        </w:tc>
      </w:tr>
      <w:tr w14:paraId="7B415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122" w:type="dxa"/>
            <w:vMerge w:val="continue"/>
            <w:tcBorders>
              <w:top w:val="nil"/>
            </w:tcBorders>
            <w:vAlign w:val="top"/>
          </w:tcPr>
          <w:p w14:paraId="348C41B1">
            <w:pPr>
              <w:rPr>
                <w:rFonts w:ascii="Arial"/>
                <w:sz w:val="21"/>
              </w:rPr>
            </w:pPr>
          </w:p>
        </w:tc>
        <w:tc>
          <w:tcPr>
            <w:tcW w:w="1055" w:type="dxa"/>
            <w:vMerge w:val="continue"/>
            <w:tcBorders>
              <w:top w:val="nil"/>
            </w:tcBorders>
            <w:vAlign w:val="top"/>
          </w:tcPr>
          <w:p w14:paraId="646961E8">
            <w:pPr>
              <w:rPr>
                <w:rFonts w:ascii="Arial"/>
                <w:sz w:val="21"/>
              </w:rPr>
            </w:pPr>
          </w:p>
        </w:tc>
        <w:tc>
          <w:tcPr>
            <w:tcW w:w="2578" w:type="dxa"/>
            <w:vMerge w:val="continue"/>
            <w:tcBorders>
              <w:top w:val="nil"/>
            </w:tcBorders>
            <w:vAlign w:val="top"/>
          </w:tcPr>
          <w:p w14:paraId="095B9114">
            <w:pPr>
              <w:rPr>
                <w:rFonts w:ascii="Arial"/>
                <w:sz w:val="21"/>
              </w:rPr>
            </w:pPr>
          </w:p>
        </w:tc>
        <w:tc>
          <w:tcPr>
            <w:tcW w:w="1249" w:type="dxa"/>
            <w:vAlign w:val="top"/>
          </w:tcPr>
          <w:p w14:paraId="327B1805">
            <w:pPr>
              <w:spacing w:before="91" w:line="195" w:lineRule="auto"/>
              <w:ind w:left="49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7.0</w:t>
            </w:r>
          </w:p>
        </w:tc>
        <w:tc>
          <w:tcPr>
            <w:tcW w:w="1274" w:type="dxa"/>
            <w:vAlign w:val="top"/>
          </w:tcPr>
          <w:p w14:paraId="6D370D2A">
            <w:pPr>
              <w:spacing w:before="91" w:line="195" w:lineRule="auto"/>
              <w:ind w:left="372"/>
              <w:rPr>
                <w:rFonts w:ascii="Times New Roman" w:hAnsi="Times New Roman" w:eastAsia="Times New Roman" w:cs="Times New Roman"/>
                <w:sz w:val="20"/>
                <w:szCs w:val="20"/>
              </w:rPr>
            </w:pPr>
            <w:r>
              <w:rPr>
                <w:rFonts w:ascii="Times New Roman" w:hAnsi="Times New Roman" w:eastAsia="Times New Roman" w:cs="Times New Roman"/>
                <w:sz w:val="20"/>
                <w:szCs w:val="20"/>
              </w:rPr>
              <w:t>1.8003</w:t>
            </w:r>
          </w:p>
        </w:tc>
        <w:tc>
          <w:tcPr>
            <w:tcW w:w="1248" w:type="dxa"/>
            <w:vAlign w:val="top"/>
          </w:tcPr>
          <w:p w14:paraId="4A043EAC">
            <w:pPr>
              <w:spacing w:before="91" w:line="195" w:lineRule="auto"/>
              <w:ind w:left="30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13.5182</w:t>
            </w:r>
          </w:p>
        </w:tc>
      </w:tr>
    </w:tbl>
    <w:p w14:paraId="66DAA8F4">
      <w:pPr>
        <w:pStyle w:val="2"/>
        <w:spacing w:before="110" w:line="360" w:lineRule="auto"/>
        <w:ind w:left="122" w:right="311" w:firstLine="509"/>
        <w:jc w:val="both"/>
        <w:rPr>
          <w:sz w:val="24"/>
          <w:szCs w:val="24"/>
        </w:rPr>
      </w:pPr>
      <w:r>
        <w:rPr>
          <w:spacing w:val="-1"/>
          <w:sz w:val="24"/>
          <w:szCs w:val="24"/>
        </w:rPr>
        <w:t>由上表可知，</w:t>
      </w:r>
      <w:r>
        <w:rPr>
          <w:rFonts w:ascii="Times New Roman" w:hAnsi="Times New Roman" w:eastAsia="Times New Roman" w:cs="Times New Roman"/>
          <w:spacing w:val="-1"/>
          <w:sz w:val="24"/>
          <w:szCs w:val="24"/>
        </w:rPr>
        <w:t>110kV</w:t>
      </w:r>
      <w:r>
        <w:rPr>
          <w:rFonts w:ascii="Times New Roman" w:hAnsi="Times New Roman" w:eastAsia="Times New Roman" w:cs="Times New Roman"/>
          <w:spacing w:val="15"/>
          <w:w w:val="101"/>
          <w:sz w:val="24"/>
          <w:szCs w:val="24"/>
        </w:rPr>
        <w:t xml:space="preserve"> </w:t>
      </w:r>
      <w:r>
        <w:rPr>
          <w:spacing w:val="-1"/>
          <w:sz w:val="24"/>
          <w:szCs w:val="24"/>
        </w:rPr>
        <w:t>单回线路采用三角排列方式，最</w:t>
      </w:r>
      <w:r>
        <w:rPr>
          <w:spacing w:val="-2"/>
          <w:sz w:val="24"/>
          <w:szCs w:val="24"/>
        </w:rPr>
        <w:t>不利塔型</w:t>
      </w:r>
      <w:r>
        <w:rPr>
          <w:spacing w:val="-30"/>
          <w:sz w:val="24"/>
          <w:szCs w:val="24"/>
        </w:rPr>
        <w:t xml:space="preserve"> </w:t>
      </w:r>
      <w:r>
        <w:rPr>
          <w:rFonts w:ascii="Times New Roman" w:hAnsi="Times New Roman" w:eastAsia="Times New Roman" w:cs="Times New Roman"/>
          <w:spacing w:val="-2"/>
          <w:sz w:val="24"/>
          <w:szCs w:val="24"/>
        </w:rPr>
        <w:t>1B1X4-J4</w:t>
      </w:r>
      <w:r>
        <w:rPr>
          <w:rFonts w:ascii="Times New Roman" w:hAnsi="Times New Roman" w:eastAsia="Times New Roman" w:cs="Times New Roman"/>
          <w:spacing w:val="-28"/>
          <w:sz w:val="24"/>
          <w:szCs w:val="24"/>
        </w:rPr>
        <w:t xml:space="preserve"> </w:t>
      </w:r>
      <w:r>
        <w:rPr>
          <w:spacing w:val="-2"/>
          <w:sz w:val="24"/>
          <w:szCs w:val="24"/>
        </w:rPr>
        <w:t>，</w:t>
      </w:r>
      <w:r>
        <w:rPr>
          <w:spacing w:val="-5"/>
          <w:sz w:val="24"/>
          <w:szCs w:val="24"/>
        </w:rPr>
        <w:t>线路下相导线对地面距离为</w:t>
      </w:r>
      <w:r>
        <w:rPr>
          <w:spacing w:val="-49"/>
          <w:sz w:val="24"/>
          <w:szCs w:val="24"/>
        </w:rPr>
        <w:t xml:space="preserve"> </w:t>
      </w:r>
      <w:r>
        <w:rPr>
          <w:rFonts w:ascii="Times New Roman" w:hAnsi="Times New Roman" w:eastAsia="Times New Roman" w:cs="Times New Roman"/>
          <w:spacing w:val="-5"/>
          <w:sz w:val="24"/>
          <w:szCs w:val="24"/>
        </w:rPr>
        <w:t>6.0m</w:t>
      </w:r>
      <w:r>
        <w:rPr>
          <w:rFonts w:ascii="Times New Roman" w:hAnsi="Times New Roman" w:eastAsia="Times New Roman" w:cs="Times New Roman"/>
          <w:spacing w:val="19"/>
          <w:sz w:val="24"/>
          <w:szCs w:val="24"/>
        </w:rPr>
        <w:t xml:space="preserve"> </w:t>
      </w:r>
      <w:r>
        <w:rPr>
          <w:spacing w:val="-5"/>
          <w:sz w:val="24"/>
          <w:szCs w:val="24"/>
        </w:rPr>
        <w:t>时，预测地面</w:t>
      </w:r>
      <w:r>
        <w:rPr>
          <w:spacing w:val="-32"/>
          <w:sz w:val="24"/>
          <w:szCs w:val="24"/>
        </w:rPr>
        <w:t xml:space="preserve"> </w:t>
      </w:r>
      <w:r>
        <w:rPr>
          <w:rFonts w:ascii="Times New Roman" w:hAnsi="Times New Roman" w:eastAsia="Times New Roman" w:cs="Times New Roman"/>
          <w:spacing w:val="-5"/>
          <w:sz w:val="24"/>
          <w:szCs w:val="24"/>
        </w:rPr>
        <w:t>1.5m</w:t>
      </w:r>
      <w:r>
        <w:rPr>
          <w:rFonts w:ascii="Times New Roman" w:hAnsi="Times New Roman" w:eastAsia="Times New Roman" w:cs="Times New Roman"/>
          <w:spacing w:val="16"/>
          <w:w w:val="101"/>
          <w:sz w:val="24"/>
          <w:szCs w:val="24"/>
        </w:rPr>
        <w:t xml:space="preserve"> </w:t>
      </w:r>
      <w:r>
        <w:rPr>
          <w:spacing w:val="-5"/>
          <w:sz w:val="24"/>
          <w:szCs w:val="24"/>
        </w:rPr>
        <w:t>高处的工频电场强度、</w:t>
      </w:r>
      <w:r>
        <w:rPr>
          <w:spacing w:val="-6"/>
          <w:sz w:val="24"/>
          <w:szCs w:val="24"/>
        </w:rPr>
        <w:t>工频</w:t>
      </w:r>
      <w:r>
        <w:rPr>
          <w:spacing w:val="-1"/>
          <w:sz w:val="24"/>
          <w:szCs w:val="24"/>
        </w:rPr>
        <w:t>磁感应强度分别小于《电磁环境控制限值》（</w:t>
      </w:r>
      <w:r>
        <w:rPr>
          <w:rFonts w:ascii="Times New Roman" w:hAnsi="Times New Roman" w:eastAsia="Times New Roman" w:cs="Times New Roman"/>
          <w:spacing w:val="-1"/>
          <w:sz w:val="24"/>
          <w:szCs w:val="24"/>
        </w:rPr>
        <w:t>GB8702-2014</w:t>
      </w:r>
      <w:r>
        <w:rPr>
          <w:spacing w:val="-1"/>
          <w:sz w:val="24"/>
          <w:szCs w:val="24"/>
        </w:rPr>
        <w:t>）中耕地、园地、牧草地、畜禽饲养地、养殖水面、道路等场所处</w:t>
      </w:r>
      <w:r>
        <w:rPr>
          <w:spacing w:val="-32"/>
          <w:sz w:val="24"/>
          <w:szCs w:val="24"/>
        </w:rPr>
        <w:t xml:space="preserve"> </w:t>
      </w:r>
      <w:r>
        <w:rPr>
          <w:rFonts w:ascii="Times New Roman" w:hAnsi="Times New Roman" w:eastAsia="Times New Roman" w:cs="Times New Roman"/>
          <w:spacing w:val="-1"/>
          <w:sz w:val="24"/>
          <w:szCs w:val="24"/>
        </w:rPr>
        <w:t>10k</w:t>
      </w:r>
      <w:r>
        <w:rPr>
          <w:rFonts w:ascii="Times New Roman" w:hAnsi="Times New Roman" w:eastAsia="Times New Roman" w:cs="Times New Roman"/>
          <w:spacing w:val="-2"/>
          <w:sz w:val="24"/>
          <w:szCs w:val="24"/>
        </w:rPr>
        <w:t>V/m</w:t>
      </w:r>
      <w:r>
        <w:rPr>
          <w:rFonts w:ascii="Times New Roman" w:hAnsi="Times New Roman" w:eastAsia="Times New Roman" w:cs="Times New Roman"/>
          <w:spacing w:val="-31"/>
          <w:sz w:val="24"/>
          <w:szCs w:val="24"/>
        </w:rPr>
        <w:t xml:space="preserve"> </w:t>
      </w:r>
      <w:r>
        <w:rPr>
          <w:spacing w:val="-2"/>
          <w:sz w:val="24"/>
          <w:szCs w:val="24"/>
        </w:rPr>
        <w:t>、</w:t>
      </w:r>
      <w:r>
        <w:rPr>
          <w:rFonts w:ascii="Times New Roman" w:hAnsi="Times New Roman" w:eastAsia="Times New Roman" w:cs="Times New Roman"/>
          <w:spacing w:val="-2"/>
          <w:sz w:val="24"/>
          <w:szCs w:val="24"/>
        </w:rPr>
        <w:t>100μT</w:t>
      </w:r>
      <w:r>
        <w:rPr>
          <w:rFonts w:ascii="Times New Roman" w:hAnsi="Times New Roman" w:eastAsia="Times New Roman" w:cs="Times New Roman"/>
          <w:spacing w:val="32"/>
          <w:sz w:val="24"/>
          <w:szCs w:val="24"/>
        </w:rPr>
        <w:t xml:space="preserve"> </w:t>
      </w:r>
      <w:r>
        <w:rPr>
          <w:spacing w:val="-2"/>
          <w:sz w:val="24"/>
          <w:szCs w:val="24"/>
        </w:rPr>
        <w:t>的限值要求；线</w:t>
      </w:r>
      <w:r>
        <w:rPr>
          <w:sz w:val="24"/>
          <w:szCs w:val="24"/>
        </w:rPr>
        <w:t>路下相导线对地面距离为</w:t>
      </w:r>
      <w:r>
        <w:rPr>
          <w:spacing w:val="-48"/>
          <w:sz w:val="24"/>
          <w:szCs w:val="24"/>
        </w:rPr>
        <w:t xml:space="preserve"> </w:t>
      </w:r>
      <w:r>
        <w:rPr>
          <w:rFonts w:ascii="Times New Roman" w:hAnsi="Times New Roman" w:eastAsia="Times New Roman" w:cs="Times New Roman"/>
          <w:sz w:val="24"/>
          <w:szCs w:val="24"/>
        </w:rPr>
        <w:t>7.0m</w:t>
      </w:r>
      <w:r>
        <w:rPr>
          <w:rFonts w:ascii="Times New Roman" w:hAnsi="Times New Roman" w:eastAsia="Times New Roman" w:cs="Times New Roman"/>
          <w:spacing w:val="24"/>
          <w:sz w:val="24"/>
          <w:szCs w:val="24"/>
        </w:rPr>
        <w:t xml:space="preserve"> </w:t>
      </w:r>
      <w:r>
        <w:rPr>
          <w:sz w:val="24"/>
          <w:szCs w:val="24"/>
        </w:rPr>
        <w:t>时，预测地面</w:t>
      </w:r>
      <w:r>
        <w:rPr>
          <w:spacing w:val="-30"/>
          <w:sz w:val="24"/>
          <w:szCs w:val="24"/>
        </w:rPr>
        <w:t xml:space="preserve"> </w:t>
      </w:r>
      <w:r>
        <w:rPr>
          <w:rFonts w:ascii="Times New Roman" w:hAnsi="Times New Roman" w:eastAsia="Times New Roman" w:cs="Times New Roman"/>
          <w:sz w:val="24"/>
          <w:szCs w:val="24"/>
        </w:rPr>
        <w:t xml:space="preserve">1.5m  </w:t>
      </w:r>
      <w:r>
        <w:rPr>
          <w:sz w:val="24"/>
          <w:szCs w:val="24"/>
        </w:rPr>
        <w:t>高处的工频电场强</w:t>
      </w:r>
      <w:r>
        <w:rPr>
          <w:spacing w:val="-1"/>
          <w:sz w:val="24"/>
          <w:szCs w:val="24"/>
        </w:rPr>
        <w:t>度、工频磁感应强度分别小于《电磁环境控制限值》（</w:t>
      </w:r>
      <w:r>
        <w:rPr>
          <w:rFonts w:ascii="Times New Roman" w:hAnsi="Times New Roman" w:eastAsia="Times New Roman" w:cs="Times New Roman"/>
          <w:spacing w:val="-1"/>
          <w:sz w:val="24"/>
          <w:szCs w:val="24"/>
        </w:rPr>
        <w:t>GB8702-2014</w:t>
      </w:r>
      <w:r>
        <w:rPr>
          <w:spacing w:val="-1"/>
          <w:sz w:val="24"/>
          <w:szCs w:val="24"/>
        </w:rPr>
        <w:t>）中</w:t>
      </w:r>
      <w:r>
        <w:rPr>
          <w:spacing w:val="-55"/>
          <w:sz w:val="24"/>
          <w:szCs w:val="24"/>
        </w:rPr>
        <w:t xml:space="preserve"> </w:t>
      </w:r>
      <w:r>
        <w:rPr>
          <w:rFonts w:ascii="Times New Roman" w:hAnsi="Times New Roman" w:eastAsia="Times New Roman" w:cs="Times New Roman"/>
          <w:spacing w:val="-1"/>
          <w:sz w:val="24"/>
          <w:szCs w:val="24"/>
        </w:rPr>
        <w:t>4kV/m</w:t>
      </w:r>
      <w:r>
        <w:rPr>
          <w:rFonts w:ascii="Times New Roman" w:hAnsi="Times New Roman" w:eastAsia="Times New Roman" w:cs="Times New Roman"/>
          <w:spacing w:val="-34"/>
          <w:sz w:val="24"/>
          <w:szCs w:val="24"/>
        </w:rPr>
        <w:t xml:space="preserve"> </w:t>
      </w:r>
      <w:r>
        <w:rPr>
          <w:spacing w:val="-1"/>
          <w:sz w:val="24"/>
          <w:szCs w:val="24"/>
        </w:rPr>
        <w:t>、</w:t>
      </w:r>
      <w:r>
        <w:rPr>
          <w:rFonts w:ascii="Times New Roman" w:hAnsi="Times New Roman" w:eastAsia="Times New Roman" w:cs="Times New Roman"/>
          <w:spacing w:val="-1"/>
          <w:sz w:val="24"/>
          <w:szCs w:val="24"/>
        </w:rPr>
        <w:t>100μT</w:t>
      </w:r>
      <w:r>
        <w:rPr>
          <w:spacing w:val="-1"/>
          <w:sz w:val="24"/>
          <w:szCs w:val="24"/>
        </w:rPr>
        <w:t>的公众曝露限值要求。</w:t>
      </w:r>
    </w:p>
    <w:p w14:paraId="4C203F89">
      <w:pPr>
        <w:pStyle w:val="2"/>
        <w:spacing w:before="7" w:line="360" w:lineRule="auto"/>
        <w:ind w:left="123" w:right="233" w:firstLine="497"/>
        <w:jc w:val="both"/>
        <w:rPr>
          <w:sz w:val="24"/>
          <w:szCs w:val="24"/>
        </w:rPr>
      </w:pPr>
      <w:r>
        <w:rPr>
          <w:rFonts w:ascii="Times New Roman" w:hAnsi="Times New Roman" w:eastAsia="Times New Roman" w:cs="Times New Roman"/>
          <w:spacing w:val="-2"/>
          <w:sz w:val="24"/>
          <w:szCs w:val="24"/>
        </w:rPr>
        <w:t xml:space="preserve">110kV </w:t>
      </w:r>
      <w:r>
        <w:rPr>
          <w:spacing w:val="-2"/>
          <w:sz w:val="24"/>
          <w:szCs w:val="24"/>
        </w:rPr>
        <w:t>双回线路采用垂直排列，最不利塔型</w:t>
      </w:r>
      <w:r>
        <w:rPr>
          <w:spacing w:val="-30"/>
          <w:sz w:val="24"/>
          <w:szCs w:val="24"/>
        </w:rPr>
        <w:t xml:space="preserve"> </w:t>
      </w:r>
      <w:r>
        <w:rPr>
          <w:rFonts w:ascii="Times New Roman" w:hAnsi="Times New Roman" w:eastAsia="Times New Roman" w:cs="Times New Roman"/>
          <w:spacing w:val="-2"/>
          <w:sz w:val="24"/>
          <w:szCs w:val="24"/>
        </w:rPr>
        <w:t>1C2X1-JD</w:t>
      </w:r>
      <w:r>
        <w:rPr>
          <w:rFonts w:ascii="Times New Roman" w:hAnsi="Times New Roman" w:eastAsia="Times New Roman" w:cs="Times New Roman"/>
          <w:spacing w:val="-31"/>
          <w:sz w:val="24"/>
          <w:szCs w:val="24"/>
        </w:rPr>
        <w:t xml:space="preserve"> </w:t>
      </w:r>
      <w:r>
        <w:rPr>
          <w:spacing w:val="-2"/>
          <w:sz w:val="24"/>
          <w:szCs w:val="24"/>
        </w:rPr>
        <w:t>，线路下相导线对地</w:t>
      </w:r>
      <w:r>
        <w:rPr>
          <w:spacing w:val="-1"/>
          <w:sz w:val="24"/>
          <w:szCs w:val="24"/>
        </w:rPr>
        <w:t>面距离为</w:t>
      </w:r>
      <w:r>
        <w:rPr>
          <w:spacing w:val="-34"/>
          <w:sz w:val="24"/>
          <w:szCs w:val="24"/>
        </w:rPr>
        <w:t xml:space="preserve"> </w:t>
      </w:r>
      <w:r>
        <w:rPr>
          <w:rFonts w:ascii="Times New Roman" w:hAnsi="Times New Roman" w:eastAsia="Times New Roman" w:cs="Times New Roman"/>
          <w:spacing w:val="-1"/>
          <w:sz w:val="24"/>
          <w:szCs w:val="24"/>
        </w:rPr>
        <w:t>6m</w:t>
      </w:r>
      <w:r>
        <w:rPr>
          <w:rFonts w:ascii="Times New Roman" w:hAnsi="Times New Roman" w:eastAsia="Times New Roman" w:cs="Times New Roman"/>
          <w:spacing w:val="22"/>
          <w:sz w:val="24"/>
          <w:szCs w:val="24"/>
        </w:rPr>
        <w:t xml:space="preserve"> </w:t>
      </w:r>
      <w:r>
        <w:rPr>
          <w:spacing w:val="-1"/>
          <w:sz w:val="24"/>
          <w:szCs w:val="24"/>
        </w:rPr>
        <w:t>时，预测地面</w:t>
      </w:r>
      <w:r>
        <w:rPr>
          <w:spacing w:val="-30"/>
          <w:sz w:val="24"/>
          <w:szCs w:val="24"/>
        </w:rPr>
        <w:t xml:space="preserve"> </w:t>
      </w:r>
      <w:r>
        <w:rPr>
          <w:rFonts w:ascii="Times New Roman" w:hAnsi="Times New Roman" w:eastAsia="Times New Roman" w:cs="Times New Roman"/>
          <w:spacing w:val="-1"/>
          <w:sz w:val="24"/>
          <w:szCs w:val="24"/>
        </w:rPr>
        <w:t>1.5m</w:t>
      </w:r>
      <w:r>
        <w:rPr>
          <w:rFonts w:ascii="Times New Roman" w:hAnsi="Times New Roman" w:eastAsia="Times New Roman" w:cs="Times New Roman"/>
          <w:spacing w:val="19"/>
          <w:sz w:val="24"/>
          <w:szCs w:val="24"/>
        </w:rPr>
        <w:t xml:space="preserve"> </w:t>
      </w:r>
      <w:r>
        <w:rPr>
          <w:spacing w:val="-1"/>
          <w:sz w:val="24"/>
          <w:szCs w:val="24"/>
        </w:rPr>
        <w:t>高处的工频电场强度、工频磁感应强度分别小</w:t>
      </w:r>
      <w:r>
        <w:rPr>
          <w:spacing w:val="-5"/>
          <w:sz w:val="24"/>
          <w:szCs w:val="24"/>
        </w:rPr>
        <w:t>于《电磁环境控制限值》（</w:t>
      </w:r>
      <w:r>
        <w:rPr>
          <w:rFonts w:ascii="Times New Roman" w:hAnsi="Times New Roman" w:eastAsia="Times New Roman" w:cs="Times New Roman"/>
          <w:spacing w:val="-5"/>
          <w:sz w:val="24"/>
          <w:szCs w:val="24"/>
        </w:rPr>
        <w:t>GB8702-2014</w:t>
      </w:r>
      <w:r>
        <w:rPr>
          <w:spacing w:val="-5"/>
          <w:sz w:val="24"/>
          <w:szCs w:val="24"/>
        </w:rPr>
        <w:t>）中耕地、园地、牧草地、畜禽饲养地、</w:t>
      </w:r>
      <w:r>
        <w:rPr>
          <w:spacing w:val="-1"/>
          <w:sz w:val="24"/>
          <w:szCs w:val="24"/>
        </w:rPr>
        <w:t>养殖水面、道路等场所处</w:t>
      </w:r>
      <w:r>
        <w:rPr>
          <w:spacing w:val="-30"/>
          <w:sz w:val="24"/>
          <w:szCs w:val="24"/>
        </w:rPr>
        <w:t xml:space="preserve"> </w:t>
      </w:r>
      <w:r>
        <w:rPr>
          <w:rFonts w:ascii="Times New Roman" w:hAnsi="Times New Roman" w:eastAsia="Times New Roman" w:cs="Times New Roman"/>
          <w:spacing w:val="-1"/>
          <w:sz w:val="24"/>
          <w:szCs w:val="24"/>
        </w:rPr>
        <w:t>10kV/m</w:t>
      </w:r>
      <w:r>
        <w:rPr>
          <w:rFonts w:ascii="Times New Roman" w:hAnsi="Times New Roman" w:eastAsia="Times New Roman" w:cs="Times New Roman"/>
          <w:spacing w:val="-33"/>
          <w:sz w:val="24"/>
          <w:szCs w:val="24"/>
        </w:rPr>
        <w:t xml:space="preserve"> </w:t>
      </w:r>
      <w:r>
        <w:rPr>
          <w:spacing w:val="-1"/>
          <w:sz w:val="24"/>
          <w:szCs w:val="24"/>
        </w:rPr>
        <w:t>、</w:t>
      </w:r>
      <w:r>
        <w:rPr>
          <w:rFonts w:ascii="Times New Roman" w:hAnsi="Times New Roman" w:eastAsia="Times New Roman" w:cs="Times New Roman"/>
          <w:spacing w:val="-1"/>
          <w:sz w:val="24"/>
          <w:szCs w:val="24"/>
        </w:rPr>
        <w:t>100μ</w:t>
      </w:r>
      <w:r>
        <w:rPr>
          <w:rFonts w:ascii="Times New Roman" w:hAnsi="Times New Roman" w:eastAsia="Times New Roman" w:cs="Times New Roman"/>
          <w:spacing w:val="-2"/>
          <w:sz w:val="24"/>
          <w:szCs w:val="24"/>
        </w:rPr>
        <w:t>T</w:t>
      </w:r>
      <w:r>
        <w:rPr>
          <w:rFonts w:ascii="Times New Roman" w:hAnsi="Times New Roman" w:eastAsia="Times New Roman" w:cs="Times New Roman"/>
          <w:spacing w:val="29"/>
          <w:w w:val="101"/>
          <w:sz w:val="24"/>
          <w:szCs w:val="24"/>
        </w:rPr>
        <w:t xml:space="preserve"> </w:t>
      </w:r>
      <w:r>
        <w:rPr>
          <w:spacing w:val="-2"/>
          <w:sz w:val="24"/>
          <w:szCs w:val="24"/>
        </w:rPr>
        <w:t>的限值要求；线路下相导线对地面距</w:t>
      </w:r>
    </w:p>
    <w:p w14:paraId="1C145332">
      <w:pPr>
        <w:spacing w:line="360" w:lineRule="auto"/>
        <w:rPr>
          <w:sz w:val="24"/>
          <w:szCs w:val="24"/>
        </w:rPr>
        <w:sectPr>
          <w:footerReference r:id="rId185" w:type="default"/>
          <w:pgSz w:w="11906" w:h="16839"/>
          <w:pgMar w:top="400" w:right="1488" w:bottom="1147" w:left="1687" w:header="0" w:footer="960" w:gutter="0"/>
          <w:cols w:space="720" w:num="1"/>
        </w:sectPr>
      </w:pPr>
    </w:p>
    <w:p w14:paraId="30BCC40B">
      <w:pPr>
        <w:spacing w:line="267" w:lineRule="auto"/>
        <w:rPr>
          <w:rFonts w:ascii="Arial"/>
          <w:sz w:val="21"/>
        </w:rPr>
      </w:pPr>
    </w:p>
    <w:p w14:paraId="15A32B3E">
      <w:pPr>
        <w:spacing w:line="267" w:lineRule="auto"/>
        <w:rPr>
          <w:rFonts w:ascii="Arial"/>
          <w:sz w:val="21"/>
        </w:rPr>
      </w:pPr>
    </w:p>
    <w:p w14:paraId="215A90AB">
      <w:pPr>
        <w:spacing w:line="267" w:lineRule="auto"/>
        <w:rPr>
          <w:rFonts w:ascii="Arial"/>
          <w:sz w:val="21"/>
        </w:rPr>
      </w:pPr>
    </w:p>
    <w:p w14:paraId="04336012">
      <w:pPr>
        <w:spacing w:line="267" w:lineRule="auto"/>
        <w:rPr>
          <w:rFonts w:ascii="Arial"/>
          <w:sz w:val="21"/>
        </w:rPr>
      </w:pPr>
    </w:p>
    <w:p w14:paraId="7F524DFC">
      <w:pPr>
        <w:pStyle w:val="2"/>
        <w:spacing w:before="78" w:line="362" w:lineRule="auto"/>
        <w:ind w:left="24" w:right="13" w:firstLine="3"/>
        <w:rPr>
          <w:sz w:val="24"/>
          <w:szCs w:val="24"/>
        </w:rPr>
      </w:pPr>
      <w:r>
        <w:rPr>
          <w:spacing w:val="-7"/>
          <w:sz w:val="24"/>
          <w:szCs w:val="24"/>
        </w:rPr>
        <w:t>离为</w:t>
      </w:r>
      <w:r>
        <w:rPr>
          <w:spacing w:val="-46"/>
          <w:sz w:val="24"/>
          <w:szCs w:val="24"/>
        </w:rPr>
        <w:t xml:space="preserve"> </w:t>
      </w:r>
      <w:r>
        <w:rPr>
          <w:rFonts w:ascii="Times New Roman" w:hAnsi="Times New Roman" w:eastAsia="Times New Roman" w:cs="Times New Roman"/>
          <w:spacing w:val="-7"/>
          <w:sz w:val="24"/>
          <w:szCs w:val="24"/>
        </w:rPr>
        <w:t>7m</w:t>
      </w:r>
      <w:r>
        <w:rPr>
          <w:rFonts w:ascii="Times New Roman" w:hAnsi="Times New Roman" w:eastAsia="Times New Roman" w:cs="Times New Roman"/>
          <w:spacing w:val="19"/>
          <w:sz w:val="24"/>
          <w:szCs w:val="24"/>
        </w:rPr>
        <w:t xml:space="preserve"> </w:t>
      </w:r>
      <w:r>
        <w:rPr>
          <w:spacing w:val="-7"/>
          <w:sz w:val="24"/>
          <w:szCs w:val="24"/>
        </w:rPr>
        <w:t>时，预测地面</w:t>
      </w:r>
      <w:r>
        <w:rPr>
          <w:spacing w:val="-32"/>
          <w:sz w:val="24"/>
          <w:szCs w:val="24"/>
        </w:rPr>
        <w:t xml:space="preserve"> </w:t>
      </w:r>
      <w:r>
        <w:rPr>
          <w:rFonts w:ascii="Times New Roman" w:hAnsi="Times New Roman" w:eastAsia="Times New Roman" w:cs="Times New Roman"/>
          <w:spacing w:val="-7"/>
          <w:sz w:val="24"/>
          <w:szCs w:val="24"/>
        </w:rPr>
        <w:t>1.5m</w:t>
      </w:r>
      <w:r>
        <w:rPr>
          <w:rFonts w:ascii="Times New Roman" w:hAnsi="Times New Roman" w:eastAsia="Times New Roman" w:cs="Times New Roman"/>
          <w:spacing w:val="16"/>
          <w:w w:val="101"/>
          <w:sz w:val="24"/>
          <w:szCs w:val="24"/>
        </w:rPr>
        <w:t xml:space="preserve"> </w:t>
      </w:r>
      <w:r>
        <w:rPr>
          <w:spacing w:val="-7"/>
          <w:sz w:val="24"/>
          <w:szCs w:val="24"/>
        </w:rPr>
        <w:t>高处的工频电场强度、工频磁感应强度分别小于《电</w:t>
      </w:r>
      <w:r>
        <w:rPr>
          <w:spacing w:val="-2"/>
          <w:sz w:val="24"/>
          <w:szCs w:val="24"/>
        </w:rPr>
        <w:t>磁环境控制限值》（</w:t>
      </w:r>
      <w:r>
        <w:rPr>
          <w:rFonts w:ascii="Times New Roman" w:hAnsi="Times New Roman" w:eastAsia="Times New Roman" w:cs="Times New Roman"/>
          <w:spacing w:val="-2"/>
          <w:sz w:val="24"/>
          <w:szCs w:val="24"/>
        </w:rPr>
        <w:t>GB8702-2014</w:t>
      </w:r>
      <w:r>
        <w:rPr>
          <w:spacing w:val="-2"/>
          <w:sz w:val="24"/>
          <w:szCs w:val="24"/>
        </w:rPr>
        <w:t>）中</w:t>
      </w:r>
      <w:r>
        <w:rPr>
          <w:spacing w:val="-42"/>
          <w:sz w:val="24"/>
          <w:szCs w:val="24"/>
        </w:rPr>
        <w:t xml:space="preserve"> </w:t>
      </w:r>
      <w:r>
        <w:rPr>
          <w:rFonts w:ascii="Times New Roman" w:hAnsi="Times New Roman" w:eastAsia="Times New Roman" w:cs="Times New Roman"/>
          <w:spacing w:val="-2"/>
          <w:sz w:val="24"/>
          <w:szCs w:val="24"/>
        </w:rPr>
        <w:t>4kV/m</w:t>
      </w:r>
      <w:r>
        <w:rPr>
          <w:rFonts w:ascii="Times New Roman" w:hAnsi="Times New Roman" w:eastAsia="Times New Roman" w:cs="Times New Roman"/>
          <w:spacing w:val="-34"/>
          <w:sz w:val="24"/>
          <w:szCs w:val="24"/>
        </w:rPr>
        <w:t xml:space="preserve"> </w:t>
      </w:r>
      <w:r>
        <w:rPr>
          <w:spacing w:val="-2"/>
          <w:sz w:val="24"/>
          <w:szCs w:val="24"/>
        </w:rPr>
        <w:t>、</w:t>
      </w:r>
      <w:r>
        <w:rPr>
          <w:rFonts w:ascii="Times New Roman" w:hAnsi="Times New Roman" w:eastAsia="Times New Roman" w:cs="Times New Roman"/>
          <w:spacing w:val="-2"/>
          <w:sz w:val="24"/>
          <w:szCs w:val="24"/>
        </w:rPr>
        <w:t>100μT</w:t>
      </w:r>
      <w:r>
        <w:rPr>
          <w:rFonts w:ascii="Times New Roman" w:hAnsi="Times New Roman" w:eastAsia="Times New Roman" w:cs="Times New Roman"/>
          <w:spacing w:val="32"/>
          <w:sz w:val="24"/>
          <w:szCs w:val="24"/>
        </w:rPr>
        <w:t xml:space="preserve"> </w:t>
      </w:r>
      <w:r>
        <w:rPr>
          <w:spacing w:val="-2"/>
          <w:sz w:val="24"/>
          <w:szCs w:val="24"/>
        </w:rPr>
        <w:t>的公众曝露限值要求。</w:t>
      </w:r>
    </w:p>
    <w:p w14:paraId="6A12C10D">
      <w:pPr>
        <w:pStyle w:val="2"/>
        <w:spacing w:before="137" w:line="220" w:lineRule="auto"/>
        <w:ind w:left="22"/>
        <w:rPr>
          <w:sz w:val="24"/>
          <w:szCs w:val="24"/>
        </w:rPr>
      </w:pPr>
      <w:r>
        <w:rPr>
          <w:rFonts w:ascii="Times New Roman" w:hAnsi="Times New Roman" w:eastAsia="Times New Roman" w:cs="Times New Roman"/>
          <w:b/>
          <w:bCs/>
          <w:spacing w:val="-2"/>
          <w:sz w:val="24"/>
          <w:szCs w:val="24"/>
        </w:rPr>
        <w:t xml:space="preserve">5.2.2  </w:t>
      </w:r>
      <w:r>
        <w:rPr>
          <w:b/>
          <w:bCs/>
          <w:spacing w:val="-2"/>
          <w:sz w:val="24"/>
          <w:szCs w:val="24"/>
        </w:rPr>
        <w:t>预测结果及分析</w:t>
      </w:r>
    </w:p>
    <w:p w14:paraId="4D7D273F">
      <w:pPr>
        <w:spacing w:line="242" w:lineRule="auto"/>
        <w:rPr>
          <w:rFonts w:ascii="Arial"/>
          <w:sz w:val="21"/>
        </w:rPr>
      </w:pPr>
    </w:p>
    <w:p w14:paraId="65A4EF2E">
      <w:pPr>
        <w:pStyle w:val="2"/>
        <w:spacing w:before="78" w:line="219" w:lineRule="auto"/>
        <w:ind w:left="22"/>
        <w:rPr>
          <w:sz w:val="24"/>
          <w:szCs w:val="24"/>
        </w:rPr>
      </w:pPr>
      <w:r>
        <w:rPr>
          <w:rFonts w:ascii="Times New Roman" w:hAnsi="Times New Roman" w:eastAsia="Times New Roman" w:cs="Times New Roman"/>
          <w:b/>
          <w:bCs/>
          <w:spacing w:val="-2"/>
          <w:sz w:val="24"/>
          <w:szCs w:val="24"/>
        </w:rPr>
        <w:t xml:space="preserve">5.2.2.1  </w:t>
      </w:r>
      <w:r>
        <w:rPr>
          <w:b/>
          <w:bCs/>
          <w:spacing w:val="-2"/>
          <w:sz w:val="24"/>
          <w:szCs w:val="24"/>
        </w:rPr>
        <w:t>单回线路预测结果及分析</w:t>
      </w:r>
    </w:p>
    <w:p w14:paraId="1486BDAF">
      <w:pPr>
        <w:pStyle w:val="2"/>
        <w:spacing w:before="202" w:line="220" w:lineRule="auto"/>
        <w:ind w:left="515"/>
        <w:rPr>
          <w:sz w:val="24"/>
          <w:szCs w:val="24"/>
        </w:rPr>
      </w:pPr>
      <w:r>
        <w:rPr>
          <w:b/>
          <w:bCs/>
          <w:spacing w:val="-4"/>
          <w:sz w:val="24"/>
          <w:szCs w:val="24"/>
        </w:rPr>
        <w:t>（</w:t>
      </w:r>
      <w:r>
        <w:rPr>
          <w:rFonts w:ascii="Times New Roman" w:hAnsi="Times New Roman" w:eastAsia="Times New Roman" w:cs="Times New Roman"/>
          <w:b/>
          <w:bCs/>
          <w:spacing w:val="-4"/>
          <w:sz w:val="24"/>
          <w:szCs w:val="24"/>
        </w:rPr>
        <w:t>1</w:t>
      </w:r>
      <w:r>
        <w:rPr>
          <w:b/>
          <w:bCs/>
          <w:spacing w:val="-4"/>
          <w:sz w:val="24"/>
          <w:szCs w:val="24"/>
        </w:rPr>
        <w:t>）预测结果及分析</w:t>
      </w:r>
    </w:p>
    <w:p w14:paraId="49A47FD2">
      <w:pPr>
        <w:pStyle w:val="2"/>
        <w:spacing w:before="182" w:line="344" w:lineRule="auto"/>
        <w:ind w:left="25" w:right="16" w:firstLine="480"/>
        <w:jc w:val="both"/>
        <w:rPr>
          <w:sz w:val="24"/>
          <w:szCs w:val="24"/>
        </w:rPr>
      </w:pPr>
      <w:r>
        <w:rPr>
          <w:spacing w:val="-2"/>
          <w:sz w:val="24"/>
          <w:szCs w:val="24"/>
        </w:rPr>
        <w:t>本项目</w:t>
      </w:r>
      <w:r>
        <w:rPr>
          <w:spacing w:val="-18"/>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单回三角排列线路（最不利塔型</w:t>
      </w:r>
      <w:r>
        <w:rPr>
          <w:spacing w:val="-32"/>
          <w:sz w:val="24"/>
          <w:szCs w:val="24"/>
        </w:rPr>
        <w:t xml:space="preserve"> </w:t>
      </w:r>
      <w:r>
        <w:rPr>
          <w:rFonts w:ascii="Times New Roman" w:hAnsi="Times New Roman" w:eastAsia="Times New Roman" w:cs="Times New Roman"/>
          <w:spacing w:val="-2"/>
          <w:sz w:val="24"/>
          <w:szCs w:val="24"/>
        </w:rPr>
        <w:t>1B1X4-J4</w:t>
      </w:r>
      <w:r>
        <w:rPr>
          <w:spacing w:val="-2"/>
          <w:sz w:val="24"/>
          <w:szCs w:val="24"/>
        </w:rPr>
        <w:t>）以弧垂最大处线路中心的地面投影为预测原点，沿垂直于线路方向进行，预测点间距为</w:t>
      </w:r>
      <w:r>
        <w:rPr>
          <w:spacing w:val="-14"/>
          <w:sz w:val="24"/>
          <w:szCs w:val="24"/>
        </w:rPr>
        <w:t xml:space="preserve"> </w:t>
      </w:r>
      <w:r>
        <w:rPr>
          <w:rFonts w:ascii="Times New Roman" w:hAnsi="Times New Roman" w:eastAsia="Times New Roman" w:cs="Times New Roman"/>
          <w:spacing w:val="-2"/>
          <w:sz w:val="24"/>
          <w:szCs w:val="24"/>
        </w:rPr>
        <w:t>1m</w:t>
      </w:r>
      <w:r>
        <w:rPr>
          <w:rFonts w:ascii="Times New Roman" w:hAnsi="Times New Roman" w:eastAsia="Times New Roman" w:cs="Times New Roman"/>
          <w:spacing w:val="-30"/>
          <w:sz w:val="24"/>
          <w:szCs w:val="24"/>
        </w:rPr>
        <w:t xml:space="preserve"> </w:t>
      </w:r>
      <w:r>
        <w:rPr>
          <w:spacing w:val="-2"/>
          <w:sz w:val="24"/>
          <w:szCs w:val="24"/>
        </w:rPr>
        <w:t>，预测离地面</w:t>
      </w:r>
      <w:r>
        <w:rPr>
          <w:spacing w:val="-22"/>
          <w:sz w:val="24"/>
          <w:szCs w:val="24"/>
        </w:rPr>
        <w:t xml:space="preserve"> </w:t>
      </w:r>
      <w:r>
        <w:rPr>
          <w:rFonts w:ascii="Times New Roman" w:hAnsi="Times New Roman" w:eastAsia="Times New Roman" w:cs="Times New Roman"/>
          <w:spacing w:val="-2"/>
          <w:sz w:val="24"/>
          <w:szCs w:val="24"/>
        </w:rPr>
        <w:t xml:space="preserve">1.5m </w:t>
      </w:r>
      <w:r>
        <w:rPr>
          <w:spacing w:val="-2"/>
          <w:sz w:val="24"/>
          <w:szCs w:val="24"/>
        </w:rPr>
        <w:t>处的工频电场强度及工频磁感应强度。</w:t>
      </w:r>
    </w:p>
    <w:p w14:paraId="3ED63D1E">
      <w:pPr>
        <w:pStyle w:val="2"/>
        <w:spacing w:line="226" w:lineRule="auto"/>
        <w:ind w:left="2112"/>
        <w:rPr>
          <w:sz w:val="20"/>
          <w:szCs w:val="20"/>
        </w:rPr>
      </w:pPr>
      <w:r>
        <w:rPr>
          <w:b/>
          <w:bCs/>
          <w:spacing w:val="6"/>
          <w:sz w:val="20"/>
          <w:szCs w:val="20"/>
        </w:rPr>
        <w:t>表</w:t>
      </w:r>
      <w:r>
        <w:rPr>
          <w:spacing w:val="-32"/>
          <w:sz w:val="20"/>
          <w:szCs w:val="20"/>
        </w:rPr>
        <w:t xml:space="preserve"> </w:t>
      </w:r>
      <w:r>
        <w:rPr>
          <w:rFonts w:ascii="Times New Roman" w:hAnsi="Times New Roman" w:eastAsia="Times New Roman" w:cs="Times New Roman"/>
          <w:b/>
          <w:bCs/>
          <w:spacing w:val="6"/>
          <w:sz w:val="20"/>
          <w:szCs w:val="20"/>
        </w:rPr>
        <w:t xml:space="preserve">5-6    </w:t>
      </w:r>
      <w:r>
        <w:rPr>
          <w:b/>
          <w:bCs/>
          <w:spacing w:val="6"/>
          <w:sz w:val="20"/>
          <w:szCs w:val="20"/>
        </w:rPr>
        <w:t>单回三角排列线路工频电磁场预测值</w:t>
      </w:r>
    </w:p>
    <w:p w14:paraId="1A74DF84">
      <w:pPr>
        <w:pStyle w:val="2"/>
        <w:spacing w:before="66" w:line="221" w:lineRule="auto"/>
        <w:ind w:left="1749"/>
        <w:rPr>
          <w:sz w:val="20"/>
          <w:szCs w:val="20"/>
        </w:rPr>
      </w:pPr>
      <w:r>
        <w:rPr>
          <w:b/>
          <w:bCs/>
          <w:spacing w:val="6"/>
          <w:sz w:val="20"/>
          <w:szCs w:val="20"/>
        </w:rPr>
        <w:t>（单位：工频电场强度</w:t>
      </w:r>
      <w:r>
        <w:rPr>
          <w:spacing w:val="6"/>
          <w:sz w:val="20"/>
          <w:szCs w:val="20"/>
        </w:rPr>
        <w:t xml:space="preserve"> </w:t>
      </w:r>
      <w:r>
        <w:rPr>
          <w:rFonts w:ascii="Times New Roman" w:hAnsi="Times New Roman" w:eastAsia="Times New Roman" w:cs="Times New Roman"/>
          <w:b/>
          <w:bCs/>
          <w:sz w:val="20"/>
          <w:szCs w:val="20"/>
        </w:rPr>
        <w:t>kV</w:t>
      </w:r>
      <w:r>
        <w:rPr>
          <w:rFonts w:ascii="Times New Roman" w:hAnsi="Times New Roman" w:eastAsia="Times New Roman" w:cs="Times New Roman"/>
          <w:b/>
          <w:bCs/>
          <w:spacing w:val="6"/>
          <w:sz w:val="20"/>
          <w:szCs w:val="20"/>
        </w:rPr>
        <w:t>/m</w:t>
      </w:r>
      <w:r>
        <w:rPr>
          <w:rFonts w:ascii="Times New Roman" w:hAnsi="Times New Roman" w:eastAsia="Times New Roman" w:cs="Times New Roman"/>
          <w:b/>
          <w:bCs/>
          <w:spacing w:val="-18"/>
          <w:sz w:val="20"/>
          <w:szCs w:val="20"/>
        </w:rPr>
        <w:t xml:space="preserve"> </w:t>
      </w:r>
      <w:r>
        <w:rPr>
          <w:b/>
          <w:bCs/>
          <w:spacing w:val="6"/>
          <w:sz w:val="20"/>
          <w:szCs w:val="20"/>
        </w:rPr>
        <w:t>、工频磁感应强度</w:t>
      </w:r>
      <w:r>
        <w:rPr>
          <w:rFonts w:ascii="Times New Roman" w:hAnsi="Times New Roman" w:eastAsia="Times New Roman" w:cs="Times New Roman"/>
          <w:b/>
          <w:bCs/>
          <w:spacing w:val="6"/>
          <w:sz w:val="20"/>
          <w:szCs w:val="20"/>
        </w:rPr>
        <w:t>μT</w:t>
      </w:r>
      <w:r>
        <w:rPr>
          <w:b/>
          <w:bCs/>
          <w:spacing w:val="6"/>
          <w:sz w:val="20"/>
          <w:szCs w:val="20"/>
        </w:rPr>
        <w:t>）</w:t>
      </w:r>
    </w:p>
    <w:p w14:paraId="1B5829A7">
      <w:pPr>
        <w:spacing w:line="21" w:lineRule="exact"/>
      </w:pPr>
    </w:p>
    <w:tbl>
      <w:tblPr>
        <w:tblStyle w:val="5"/>
        <w:tblW w:w="83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51"/>
        <w:gridCol w:w="1769"/>
        <w:gridCol w:w="1183"/>
        <w:gridCol w:w="1275"/>
        <w:gridCol w:w="1123"/>
        <w:gridCol w:w="1328"/>
      </w:tblGrid>
      <w:tr w14:paraId="69454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651" w:type="dxa"/>
            <w:vMerge w:val="restart"/>
            <w:tcBorders>
              <w:bottom w:val="nil"/>
            </w:tcBorders>
            <w:vAlign w:val="top"/>
          </w:tcPr>
          <w:p w14:paraId="1E5D8522">
            <w:pPr>
              <w:spacing w:line="310" w:lineRule="auto"/>
              <w:rPr>
                <w:rFonts w:ascii="Arial"/>
                <w:sz w:val="21"/>
              </w:rPr>
            </w:pPr>
          </w:p>
          <w:p w14:paraId="6F1E4636">
            <w:pPr>
              <w:pStyle w:val="6"/>
              <w:spacing w:before="65" w:line="290" w:lineRule="auto"/>
              <w:ind w:left="137" w:right="90" w:hanging="41"/>
            </w:pPr>
            <w:r>
              <w:rPr>
                <w:spacing w:val="8"/>
              </w:rPr>
              <w:t>预测点距离线路</w:t>
            </w:r>
            <w:r>
              <w:rPr>
                <w:spacing w:val="4"/>
              </w:rPr>
              <w:t>中心距离（</w:t>
            </w:r>
            <w:r>
              <w:rPr>
                <w:rFonts w:ascii="Times New Roman" w:hAnsi="Times New Roman" w:eastAsia="Times New Roman" w:cs="Times New Roman"/>
                <w:spacing w:val="4"/>
              </w:rPr>
              <w:t>m</w:t>
            </w:r>
            <w:r>
              <w:rPr>
                <w:spacing w:val="4"/>
              </w:rPr>
              <w:t>）</w:t>
            </w:r>
          </w:p>
        </w:tc>
        <w:tc>
          <w:tcPr>
            <w:tcW w:w="1769" w:type="dxa"/>
            <w:vMerge w:val="restart"/>
            <w:tcBorders>
              <w:bottom w:val="nil"/>
            </w:tcBorders>
            <w:vAlign w:val="top"/>
          </w:tcPr>
          <w:p w14:paraId="3F5DFDB9">
            <w:pPr>
              <w:pStyle w:val="6"/>
              <w:spacing w:before="221" w:line="228" w:lineRule="auto"/>
              <w:ind w:left="51"/>
            </w:pPr>
            <w:r>
              <w:rPr>
                <w:spacing w:val="8"/>
              </w:rPr>
              <w:t>预测点距离线路边</w:t>
            </w:r>
          </w:p>
          <w:p w14:paraId="59E6E620">
            <w:pPr>
              <w:pStyle w:val="6"/>
              <w:spacing w:before="65" w:line="228" w:lineRule="auto"/>
              <w:ind w:left="54"/>
            </w:pPr>
            <w:r>
              <w:rPr>
                <w:spacing w:val="7"/>
              </w:rPr>
              <w:t>导线地面投影的距</w:t>
            </w:r>
          </w:p>
          <w:p w14:paraId="1D8D7F37">
            <w:pPr>
              <w:pStyle w:val="6"/>
              <w:spacing w:before="65" w:line="228" w:lineRule="auto"/>
              <w:ind w:left="494"/>
            </w:pPr>
            <w:r>
              <w:rPr>
                <w:spacing w:val="3"/>
              </w:rPr>
              <w:t>离（</w:t>
            </w:r>
            <w:r>
              <w:rPr>
                <w:rFonts w:ascii="Times New Roman" w:hAnsi="Times New Roman" w:eastAsia="Times New Roman" w:cs="Times New Roman"/>
                <w:spacing w:val="3"/>
              </w:rPr>
              <w:t>m</w:t>
            </w:r>
            <w:r>
              <w:rPr>
                <w:spacing w:val="3"/>
              </w:rPr>
              <w:t>）</w:t>
            </w:r>
          </w:p>
        </w:tc>
        <w:tc>
          <w:tcPr>
            <w:tcW w:w="2458" w:type="dxa"/>
            <w:gridSpan w:val="2"/>
            <w:vAlign w:val="top"/>
          </w:tcPr>
          <w:p w14:paraId="2D1CF473">
            <w:pPr>
              <w:pStyle w:val="6"/>
              <w:spacing w:before="56" w:line="228" w:lineRule="auto"/>
              <w:ind w:left="158"/>
              <w:rPr>
                <w:rFonts w:ascii="Times New Roman" w:hAnsi="Times New Roman" w:eastAsia="Times New Roman" w:cs="Times New Roman"/>
              </w:rPr>
            </w:pPr>
            <w:r>
              <w:rPr>
                <w:spacing w:val="6"/>
              </w:rPr>
              <w:t>非居民区导线对地</w:t>
            </w:r>
            <w:r>
              <w:rPr>
                <w:spacing w:val="-31"/>
              </w:rPr>
              <w:t xml:space="preserve"> </w:t>
            </w:r>
            <w:r>
              <w:rPr>
                <w:rFonts w:ascii="Times New Roman" w:hAnsi="Times New Roman" w:eastAsia="Times New Roman" w:cs="Times New Roman"/>
                <w:spacing w:val="6"/>
              </w:rPr>
              <w:t>6.0m</w:t>
            </w:r>
          </w:p>
        </w:tc>
        <w:tc>
          <w:tcPr>
            <w:tcW w:w="2451" w:type="dxa"/>
            <w:gridSpan w:val="2"/>
            <w:vAlign w:val="top"/>
          </w:tcPr>
          <w:p w14:paraId="4B1E5520">
            <w:pPr>
              <w:pStyle w:val="6"/>
              <w:spacing w:before="56" w:line="228" w:lineRule="auto"/>
              <w:ind w:left="259"/>
              <w:rPr>
                <w:rFonts w:ascii="Times New Roman" w:hAnsi="Times New Roman" w:eastAsia="Times New Roman" w:cs="Times New Roman"/>
              </w:rPr>
            </w:pPr>
            <w:r>
              <w:rPr>
                <w:spacing w:val="6"/>
              </w:rPr>
              <w:t>居民区导线对地</w:t>
            </w:r>
            <w:r>
              <w:rPr>
                <w:spacing w:val="-37"/>
              </w:rPr>
              <w:t xml:space="preserve"> </w:t>
            </w:r>
            <w:r>
              <w:rPr>
                <w:rFonts w:ascii="Times New Roman" w:hAnsi="Times New Roman" w:eastAsia="Times New Roman" w:cs="Times New Roman"/>
                <w:spacing w:val="6"/>
              </w:rPr>
              <w:t>7.0m</w:t>
            </w:r>
          </w:p>
        </w:tc>
      </w:tr>
      <w:tr w14:paraId="1F36C4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Merge w:val="continue"/>
            <w:tcBorders>
              <w:top w:val="nil"/>
              <w:bottom w:val="nil"/>
            </w:tcBorders>
            <w:vAlign w:val="top"/>
          </w:tcPr>
          <w:p w14:paraId="0C81C97A">
            <w:pPr>
              <w:rPr>
                <w:rFonts w:ascii="Arial"/>
                <w:sz w:val="21"/>
              </w:rPr>
            </w:pPr>
          </w:p>
        </w:tc>
        <w:tc>
          <w:tcPr>
            <w:tcW w:w="1769" w:type="dxa"/>
            <w:vMerge w:val="continue"/>
            <w:tcBorders>
              <w:top w:val="nil"/>
              <w:bottom w:val="nil"/>
            </w:tcBorders>
            <w:vAlign w:val="top"/>
          </w:tcPr>
          <w:p w14:paraId="189A0911">
            <w:pPr>
              <w:rPr>
                <w:rFonts w:ascii="Arial"/>
                <w:sz w:val="21"/>
              </w:rPr>
            </w:pPr>
          </w:p>
        </w:tc>
        <w:tc>
          <w:tcPr>
            <w:tcW w:w="2458" w:type="dxa"/>
            <w:gridSpan w:val="2"/>
            <w:vAlign w:val="top"/>
          </w:tcPr>
          <w:p w14:paraId="45FEF973">
            <w:pPr>
              <w:pStyle w:val="6"/>
              <w:spacing w:before="52" w:line="229" w:lineRule="auto"/>
              <w:ind w:left="785"/>
              <w:rPr>
                <w:rFonts w:ascii="Times New Roman" w:hAnsi="Times New Roman" w:eastAsia="Times New Roman" w:cs="Times New Roman"/>
              </w:rPr>
            </w:pPr>
            <w:r>
              <w:rPr>
                <w:spacing w:val="1"/>
              </w:rPr>
              <w:t>地面</w:t>
            </w:r>
            <w:r>
              <w:rPr>
                <w:spacing w:val="-21"/>
              </w:rPr>
              <w:t xml:space="preserve"> </w:t>
            </w:r>
            <w:r>
              <w:rPr>
                <w:rFonts w:ascii="Times New Roman" w:hAnsi="Times New Roman" w:eastAsia="Times New Roman" w:cs="Times New Roman"/>
                <w:spacing w:val="1"/>
              </w:rPr>
              <w:t>1.5m</w:t>
            </w:r>
          </w:p>
        </w:tc>
        <w:tc>
          <w:tcPr>
            <w:tcW w:w="2451" w:type="dxa"/>
            <w:gridSpan w:val="2"/>
            <w:vAlign w:val="top"/>
          </w:tcPr>
          <w:p w14:paraId="115D06CB">
            <w:pPr>
              <w:pStyle w:val="6"/>
              <w:spacing w:before="52" w:line="229" w:lineRule="auto"/>
              <w:ind w:left="780"/>
              <w:rPr>
                <w:rFonts w:ascii="Times New Roman" w:hAnsi="Times New Roman" w:eastAsia="Times New Roman" w:cs="Times New Roman"/>
              </w:rPr>
            </w:pPr>
            <w:r>
              <w:rPr>
                <w:spacing w:val="1"/>
              </w:rPr>
              <w:t>地面</w:t>
            </w:r>
            <w:r>
              <w:rPr>
                <w:spacing w:val="-21"/>
              </w:rPr>
              <w:t xml:space="preserve"> </w:t>
            </w:r>
            <w:r>
              <w:rPr>
                <w:rFonts w:ascii="Times New Roman" w:hAnsi="Times New Roman" w:eastAsia="Times New Roman" w:cs="Times New Roman"/>
                <w:spacing w:val="1"/>
              </w:rPr>
              <w:t>1.5m</w:t>
            </w:r>
          </w:p>
        </w:tc>
      </w:tr>
      <w:tr w14:paraId="689F8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651" w:type="dxa"/>
            <w:vMerge w:val="continue"/>
            <w:tcBorders>
              <w:top w:val="nil"/>
            </w:tcBorders>
            <w:vAlign w:val="top"/>
          </w:tcPr>
          <w:p w14:paraId="254D3B05">
            <w:pPr>
              <w:rPr>
                <w:rFonts w:ascii="Arial"/>
                <w:sz w:val="21"/>
              </w:rPr>
            </w:pPr>
          </w:p>
        </w:tc>
        <w:tc>
          <w:tcPr>
            <w:tcW w:w="1769" w:type="dxa"/>
            <w:vMerge w:val="continue"/>
            <w:tcBorders>
              <w:top w:val="nil"/>
            </w:tcBorders>
            <w:vAlign w:val="top"/>
          </w:tcPr>
          <w:p w14:paraId="79B62141">
            <w:pPr>
              <w:rPr>
                <w:rFonts w:ascii="Arial"/>
                <w:sz w:val="21"/>
              </w:rPr>
            </w:pPr>
          </w:p>
        </w:tc>
        <w:tc>
          <w:tcPr>
            <w:tcW w:w="1183" w:type="dxa"/>
            <w:vAlign w:val="top"/>
          </w:tcPr>
          <w:p w14:paraId="0BC7BEA1">
            <w:pPr>
              <w:pStyle w:val="6"/>
              <w:spacing w:before="52" w:line="261" w:lineRule="auto"/>
              <w:ind w:left="489" w:right="66" w:hanging="416"/>
            </w:pPr>
            <w:r>
              <w:rPr>
                <w:spacing w:val="7"/>
              </w:rPr>
              <w:t>工频电场强</w:t>
            </w:r>
            <w:r>
              <w:rPr>
                <w:spacing w:val="1"/>
              </w:rPr>
              <w:t>度</w:t>
            </w:r>
          </w:p>
        </w:tc>
        <w:tc>
          <w:tcPr>
            <w:tcW w:w="1275" w:type="dxa"/>
            <w:vAlign w:val="top"/>
          </w:tcPr>
          <w:p w14:paraId="6BE97F54">
            <w:pPr>
              <w:pStyle w:val="6"/>
              <w:spacing w:before="52" w:line="261" w:lineRule="auto"/>
              <w:ind w:left="437" w:right="110" w:hanging="316"/>
            </w:pPr>
            <w:r>
              <w:rPr>
                <w:spacing w:val="7"/>
              </w:rPr>
              <w:t>工频磁感应</w:t>
            </w:r>
            <w:r>
              <w:rPr>
                <w:spacing w:val="2"/>
              </w:rPr>
              <w:t>强度</w:t>
            </w:r>
          </w:p>
        </w:tc>
        <w:tc>
          <w:tcPr>
            <w:tcW w:w="1123" w:type="dxa"/>
            <w:vAlign w:val="top"/>
          </w:tcPr>
          <w:p w14:paraId="01690603">
            <w:pPr>
              <w:pStyle w:val="6"/>
              <w:spacing w:before="52" w:line="261" w:lineRule="auto"/>
              <w:ind w:left="462" w:right="33" w:hanging="416"/>
            </w:pPr>
            <w:r>
              <w:rPr>
                <w:spacing w:val="7"/>
              </w:rPr>
              <w:t>工频电场强</w:t>
            </w:r>
            <w:r>
              <w:rPr>
                <w:spacing w:val="1"/>
              </w:rPr>
              <w:t>度</w:t>
            </w:r>
          </w:p>
        </w:tc>
        <w:tc>
          <w:tcPr>
            <w:tcW w:w="1328" w:type="dxa"/>
            <w:vAlign w:val="top"/>
          </w:tcPr>
          <w:p w14:paraId="6336C076">
            <w:pPr>
              <w:pStyle w:val="6"/>
              <w:spacing w:before="52" w:line="261" w:lineRule="auto"/>
              <w:ind w:left="563" w:right="34" w:hanging="522"/>
            </w:pPr>
            <w:r>
              <w:rPr>
                <w:spacing w:val="7"/>
              </w:rPr>
              <w:t>工频磁感应强</w:t>
            </w:r>
            <w:r>
              <w:rPr>
                <w:spacing w:val="1"/>
              </w:rPr>
              <w:t>度</w:t>
            </w:r>
          </w:p>
        </w:tc>
      </w:tr>
      <w:tr w14:paraId="0DC0E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609ECD8B">
            <w:pPr>
              <w:pStyle w:val="6"/>
              <w:spacing w:before="51" w:line="228" w:lineRule="auto"/>
              <w:ind w:left="245"/>
            </w:pPr>
            <w:r>
              <w:rPr>
                <w:spacing w:val="5"/>
              </w:rPr>
              <w:t>距原点</w:t>
            </w:r>
            <w:r>
              <w:rPr>
                <w:rFonts w:ascii="Times New Roman" w:hAnsi="Times New Roman" w:eastAsia="Times New Roman" w:cs="Times New Roman"/>
                <w:spacing w:val="5"/>
              </w:rPr>
              <w:t xml:space="preserve">-50 </w:t>
            </w:r>
            <w:r>
              <w:rPr>
                <w:spacing w:val="5"/>
              </w:rPr>
              <w:t>米</w:t>
            </w:r>
          </w:p>
        </w:tc>
        <w:tc>
          <w:tcPr>
            <w:tcW w:w="1769" w:type="dxa"/>
            <w:vAlign w:val="top"/>
          </w:tcPr>
          <w:p w14:paraId="0898E1B8">
            <w:pPr>
              <w:spacing w:before="90"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-45.4</w:t>
            </w:r>
          </w:p>
        </w:tc>
        <w:tc>
          <w:tcPr>
            <w:tcW w:w="1183" w:type="dxa"/>
            <w:vAlign w:val="top"/>
          </w:tcPr>
          <w:p w14:paraId="1911C786">
            <w:pPr>
              <w:spacing w:before="90"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0.0251</w:t>
            </w:r>
          </w:p>
        </w:tc>
        <w:tc>
          <w:tcPr>
            <w:tcW w:w="1275" w:type="dxa"/>
            <w:vAlign w:val="top"/>
          </w:tcPr>
          <w:p w14:paraId="3FC5B06B">
            <w:pPr>
              <w:spacing w:before="90"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0.4414</w:t>
            </w:r>
          </w:p>
        </w:tc>
        <w:tc>
          <w:tcPr>
            <w:tcW w:w="1123" w:type="dxa"/>
            <w:vAlign w:val="top"/>
          </w:tcPr>
          <w:p w14:paraId="44822D7D">
            <w:pPr>
              <w:spacing w:before="90"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0.0257</w:t>
            </w:r>
          </w:p>
        </w:tc>
        <w:tc>
          <w:tcPr>
            <w:tcW w:w="1328" w:type="dxa"/>
            <w:vAlign w:val="top"/>
          </w:tcPr>
          <w:p w14:paraId="059F5EF7">
            <w:pPr>
              <w:spacing w:before="90"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0.4393</w:t>
            </w:r>
          </w:p>
        </w:tc>
      </w:tr>
      <w:tr w14:paraId="1F805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17B52B3D">
            <w:pPr>
              <w:pStyle w:val="6"/>
              <w:spacing w:before="53" w:line="228" w:lineRule="auto"/>
              <w:ind w:left="245"/>
            </w:pPr>
            <w:r>
              <w:rPr>
                <w:spacing w:val="5"/>
              </w:rPr>
              <w:t>距原点</w:t>
            </w:r>
            <w:r>
              <w:rPr>
                <w:rFonts w:ascii="Times New Roman" w:hAnsi="Times New Roman" w:eastAsia="Times New Roman" w:cs="Times New Roman"/>
                <w:spacing w:val="5"/>
              </w:rPr>
              <w:t xml:space="preserve">-49 </w:t>
            </w:r>
            <w:r>
              <w:rPr>
                <w:spacing w:val="5"/>
              </w:rPr>
              <w:t>米</w:t>
            </w:r>
          </w:p>
        </w:tc>
        <w:tc>
          <w:tcPr>
            <w:tcW w:w="1769" w:type="dxa"/>
            <w:vAlign w:val="top"/>
          </w:tcPr>
          <w:p w14:paraId="4DC828B6">
            <w:pPr>
              <w:spacing w:before="90"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-44.4</w:t>
            </w:r>
          </w:p>
        </w:tc>
        <w:tc>
          <w:tcPr>
            <w:tcW w:w="1183" w:type="dxa"/>
            <w:vAlign w:val="top"/>
          </w:tcPr>
          <w:p w14:paraId="3EA735F0">
            <w:pPr>
              <w:spacing w:before="90"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0.0262</w:t>
            </w:r>
          </w:p>
        </w:tc>
        <w:tc>
          <w:tcPr>
            <w:tcW w:w="1275" w:type="dxa"/>
            <w:vAlign w:val="top"/>
          </w:tcPr>
          <w:p w14:paraId="6DBC3F35">
            <w:pPr>
              <w:spacing w:before="90"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0.4597</w:t>
            </w:r>
          </w:p>
        </w:tc>
        <w:tc>
          <w:tcPr>
            <w:tcW w:w="1123" w:type="dxa"/>
            <w:vAlign w:val="top"/>
          </w:tcPr>
          <w:p w14:paraId="5920E95E">
            <w:pPr>
              <w:spacing w:before="90"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0.0268</w:t>
            </w:r>
          </w:p>
        </w:tc>
        <w:tc>
          <w:tcPr>
            <w:tcW w:w="1328" w:type="dxa"/>
            <w:vAlign w:val="top"/>
          </w:tcPr>
          <w:p w14:paraId="17D4EDFF">
            <w:pPr>
              <w:spacing w:before="90"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0.4575</w:t>
            </w:r>
          </w:p>
        </w:tc>
      </w:tr>
      <w:tr w14:paraId="323F1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51" w:type="dxa"/>
            <w:vAlign w:val="top"/>
          </w:tcPr>
          <w:p w14:paraId="13DF51D0">
            <w:pPr>
              <w:pStyle w:val="6"/>
              <w:spacing w:before="53" w:line="228" w:lineRule="auto"/>
              <w:ind w:left="245"/>
            </w:pPr>
            <w:r>
              <w:rPr>
                <w:spacing w:val="5"/>
              </w:rPr>
              <w:t>距原点</w:t>
            </w:r>
            <w:r>
              <w:rPr>
                <w:rFonts w:ascii="Times New Roman" w:hAnsi="Times New Roman" w:eastAsia="Times New Roman" w:cs="Times New Roman"/>
                <w:spacing w:val="5"/>
              </w:rPr>
              <w:t xml:space="preserve">-48 </w:t>
            </w:r>
            <w:r>
              <w:rPr>
                <w:spacing w:val="5"/>
              </w:rPr>
              <w:t>米</w:t>
            </w:r>
          </w:p>
        </w:tc>
        <w:tc>
          <w:tcPr>
            <w:tcW w:w="1769" w:type="dxa"/>
            <w:vAlign w:val="top"/>
          </w:tcPr>
          <w:p w14:paraId="4ACB4E51">
            <w:pPr>
              <w:spacing w:before="89"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-43.4</w:t>
            </w:r>
          </w:p>
        </w:tc>
        <w:tc>
          <w:tcPr>
            <w:tcW w:w="1183" w:type="dxa"/>
            <w:vAlign w:val="top"/>
          </w:tcPr>
          <w:p w14:paraId="75A784BB">
            <w:pPr>
              <w:spacing w:before="89"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0.0274</w:t>
            </w:r>
          </w:p>
        </w:tc>
        <w:tc>
          <w:tcPr>
            <w:tcW w:w="1275" w:type="dxa"/>
            <w:vAlign w:val="top"/>
          </w:tcPr>
          <w:p w14:paraId="1A0052EA">
            <w:pPr>
              <w:spacing w:before="89"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0.4792</w:t>
            </w:r>
          </w:p>
        </w:tc>
        <w:tc>
          <w:tcPr>
            <w:tcW w:w="1123" w:type="dxa"/>
            <w:vAlign w:val="top"/>
          </w:tcPr>
          <w:p w14:paraId="7FA8447F">
            <w:pPr>
              <w:spacing w:before="89" w:line="195" w:lineRule="auto"/>
              <w:ind w:left="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0.028</w:t>
            </w:r>
          </w:p>
        </w:tc>
        <w:tc>
          <w:tcPr>
            <w:tcW w:w="1328" w:type="dxa"/>
            <w:vAlign w:val="top"/>
          </w:tcPr>
          <w:p w14:paraId="52800B56">
            <w:pPr>
              <w:spacing w:before="89"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0.4768</w:t>
            </w:r>
          </w:p>
        </w:tc>
      </w:tr>
      <w:tr w14:paraId="7ED80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46FBCFE1">
            <w:pPr>
              <w:pStyle w:val="6"/>
              <w:spacing w:before="54" w:line="228" w:lineRule="auto"/>
              <w:ind w:left="245"/>
            </w:pPr>
            <w:r>
              <w:rPr>
                <w:spacing w:val="5"/>
              </w:rPr>
              <w:t>距原点</w:t>
            </w:r>
            <w:r>
              <w:rPr>
                <w:rFonts w:ascii="Times New Roman" w:hAnsi="Times New Roman" w:eastAsia="Times New Roman" w:cs="Times New Roman"/>
                <w:spacing w:val="5"/>
              </w:rPr>
              <w:t xml:space="preserve">-47 </w:t>
            </w:r>
            <w:r>
              <w:rPr>
                <w:spacing w:val="5"/>
              </w:rPr>
              <w:t>米</w:t>
            </w:r>
          </w:p>
        </w:tc>
        <w:tc>
          <w:tcPr>
            <w:tcW w:w="1769" w:type="dxa"/>
            <w:vAlign w:val="top"/>
          </w:tcPr>
          <w:p w14:paraId="510E33F3">
            <w:pPr>
              <w:spacing w:before="90"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-42.4</w:t>
            </w:r>
          </w:p>
        </w:tc>
        <w:tc>
          <w:tcPr>
            <w:tcW w:w="1183" w:type="dxa"/>
            <w:vAlign w:val="top"/>
          </w:tcPr>
          <w:p w14:paraId="2574C570">
            <w:pPr>
              <w:spacing w:before="90"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0.0286</w:t>
            </w:r>
          </w:p>
        </w:tc>
        <w:tc>
          <w:tcPr>
            <w:tcW w:w="1275" w:type="dxa"/>
            <w:vAlign w:val="top"/>
          </w:tcPr>
          <w:p w14:paraId="7AE5DEFA">
            <w:pPr>
              <w:spacing w:before="90"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0.5000</w:t>
            </w:r>
          </w:p>
        </w:tc>
        <w:tc>
          <w:tcPr>
            <w:tcW w:w="1123" w:type="dxa"/>
            <w:vAlign w:val="top"/>
          </w:tcPr>
          <w:p w14:paraId="5CCE1310">
            <w:pPr>
              <w:spacing w:before="90"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0.0294</w:t>
            </w:r>
          </w:p>
        </w:tc>
        <w:tc>
          <w:tcPr>
            <w:tcW w:w="1328" w:type="dxa"/>
            <w:vAlign w:val="top"/>
          </w:tcPr>
          <w:p w14:paraId="6631B5BD">
            <w:pPr>
              <w:spacing w:before="90"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0.4973</w:t>
            </w:r>
          </w:p>
        </w:tc>
      </w:tr>
      <w:tr w14:paraId="34C58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52B08E65">
            <w:pPr>
              <w:pStyle w:val="6"/>
              <w:spacing w:before="53" w:line="228" w:lineRule="auto"/>
              <w:ind w:left="245"/>
            </w:pPr>
            <w:r>
              <w:rPr>
                <w:spacing w:val="5"/>
              </w:rPr>
              <w:t>距原点</w:t>
            </w:r>
            <w:r>
              <w:rPr>
                <w:rFonts w:ascii="Times New Roman" w:hAnsi="Times New Roman" w:eastAsia="Times New Roman" w:cs="Times New Roman"/>
                <w:spacing w:val="5"/>
              </w:rPr>
              <w:t xml:space="preserve">-46 </w:t>
            </w:r>
            <w:r>
              <w:rPr>
                <w:spacing w:val="5"/>
              </w:rPr>
              <w:t>米</w:t>
            </w:r>
          </w:p>
        </w:tc>
        <w:tc>
          <w:tcPr>
            <w:tcW w:w="1769" w:type="dxa"/>
            <w:vAlign w:val="top"/>
          </w:tcPr>
          <w:p w14:paraId="1FB22930">
            <w:pPr>
              <w:spacing w:before="92"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-41.4</w:t>
            </w:r>
          </w:p>
        </w:tc>
        <w:tc>
          <w:tcPr>
            <w:tcW w:w="1183" w:type="dxa"/>
            <w:vAlign w:val="top"/>
          </w:tcPr>
          <w:p w14:paraId="3E5AD2BD">
            <w:pPr>
              <w:spacing w:before="92" w:line="195" w:lineRule="auto"/>
              <w:ind w:left="4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0.03</w:t>
            </w:r>
          </w:p>
        </w:tc>
        <w:tc>
          <w:tcPr>
            <w:tcW w:w="1275" w:type="dxa"/>
            <w:vAlign w:val="top"/>
          </w:tcPr>
          <w:p w14:paraId="46F0D9C5">
            <w:pPr>
              <w:spacing w:before="92"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0.5221</w:t>
            </w:r>
          </w:p>
        </w:tc>
        <w:tc>
          <w:tcPr>
            <w:tcW w:w="1123" w:type="dxa"/>
            <w:vAlign w:val="top"/>
          </w:tcPr>
          <w:p w14:paraId="422AA8B7">
            <w:pPr>
              <w:spacing w:before="92"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0.0308</w:t>
            </w:r>
          </w:p>
        </w:tc>
        <w:tc>
          <w:tcPr>
            <w:tcW w:w="1328" w:type="dxa"/>
            <w:vAlign w:val="top"/>
          </w:tcPr>
          <w:p w14:paraId="6504D2A9">
            <w:pPr>
              <w:spacing w:before="92"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0.5192</w:t>
            </w:r>
          </w:p>
        </w:tc>
      </w:tr>
      <w:tr w14:paraId="22CBF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69A80ABF">
            <w:pPr>
              <w:pStyle w:val="6"/>
              <w:spacing w:before="53" w:line="228" w:lineRule="auto"/>
              <w:ind w:left="245"/>
            </w:pPr>
            <w:r>
              <w:rPr>
                <w:spacing w:val="5"/>
              </w:rPr>
              <w:t>距原点</w:t>
            </w:r>
            <w:r>
              <w:rPr>
                <w:rFonts w:ascii="Times New Roman" w:hAnsi="Times New Roman" w:eastAsia="Times New Roman" w:cs="Times New Roman"/>
                <w:spacing w:val="5"/>
              </w:rPr>
              <w:t xml:space="preserve">-45 </w:t>
            </w:r>
            <w:r>
              <w:rPr>
                <w:spacing w:val="5"/>
              </w:rPr>
              <w:t>米</w:t>
            </w:r>
          </w:p>
        </w:tc>
        <w:tc>
          <w:tcPr>
            <w:tcW w:w="1769" w:type="dxa"/>
            <w:vAlign w:val="top"/>
          </w:tcPr>
          <w:p w14:paraId="0FE27ED9">
            <w:pPr>
              <w:spacing w:before="91"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-40.4</w:t>
            </w:r>
          </w:p>
        </w:tc>
        <w:tc>
          <w:tcPr>
            <w:tcW w:w="1183" w:type="dxa"/>
            <w:vAlign w:val="top"/>
          </w:tcPr>
          <w:p w14:paraId="2BF9DA9B">
            <w:pPr>
              <w:spacing w:before="91"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0.0314</w:t>
            </w:r>
          </w:p>
        </w:tc>
        <w:tc>
          <w:tcPr>
            <w:tcW w:w="1275" w:type="dxa"/>
            <w:vAlign w:val="top"/>
          </w:tcPr>
          <w:p w14:paraId="15A01859">
            <w:pPr>
              <w:spacing w:before="91"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0.5457</w:t>
            </w:r>
          </w:p>
        </w:tc>
        <w:tc>
          <w:tcPr>
            <w:tcW w:w="1123" w:type="dxa"/>
            <w:vAlign w:val="top"/>
          </w:tcPr>
          <w:p w14:paraId="328815FF">
            <w:pPr>
              <w:spacing w:before="91"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0.0324</w:t>
            </w:r>
          </w:p>
        </w:tc>
        <w:tc>
          <w:tcPr>
            <w:tcW w:w="1328" w:type="dxa"/>
            <w:vAlign w:val="top"/>
          </w:tcPr>
          <w:p w14:paraId="0C7F18B9">
            <w:pPr>
              <w:spacing w:before="91"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0.5425</w:t>
            </w:r>
          </w:p>
        </w:tc>
      </w:tr>
      <w:tr w14:paraId="78E5F0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4CD81ED0">
            <w:pPr>
              <w:pStyle w:val="6"/>
              <w:spacing w:before="52" w:line="228" w:lineRule="auto"/>
              <w:ind w:left="245"/>
            </w:pPr>
            <w:r>
              <w:rPr>
                <w:spacing w:val="5"/>
              </w:rPr>
              <w:t>距原点</w:t>
            </w:r>
            <w:r>
              <w:rPr>
                <w:rFonts w:ascii="Times New Roman" w:hAnsi="Times New Roman" w:eastAsia="Times New Roman" w:cs="Times New Roman"/>
                <w:spacing w:val="5"/>
              </w:rPr>
              <w:t xml:space="preserve">-44 </w:t>
            </w:r>
            <w:r>
              <w:rPr>
                <w:spacing w:val="5"/>
              </w:rPr>
              <w:t>米</w:t>
            </w:r>
          </w:p>
        </w:tc>
        <w:tc>
          <w:tcPr>
            <w:tcW w:w="1769" w:type="dxa"/>
            <w:vAlign w:val="top"/>
          </w:tcPr>
          <w:p w14:paraId="7EE6BF79">
            <w:pPr>
              <w:spacing w:before="91"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-39.4</w:t>
            </w:r>
          </w:p>
        </w:tc>
        <w:tc>
          <w:tcPr>
            <w:tcW w:w="1183" w:type="dxa"/>
            <w:vAlign w:val="top"/>
          </w:tcPr>
          <w:p w14:paraId="2DAC086D">
            <w:pPr>
              <w:spacing w:before="91"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0.033</w:t>
            </w:r>
          </w:p>
        </w:tc>
        <w:tc>
          <w:tcPr>
            <w:tcW w:w="1275" w:type="dxa"/>
            <w:vAlign w:val="top"/>
          </w:tcPr>
          <w:p w14:paraId="4BC593B0">
            <w:pPr>
              <w:spacing w:before="91"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0.5710</w:t>
            </w:r>
          </w:p>
        </w:tc>
        <w:tc>
          <w:tcPr>
            <w:tcW w:w="1123" w:type="dxa"/>
            <w:vAlign w:val="top"/>
          </w:tcPr>
          <w:p w14:paraId="73E78AFB">
            <w:pPr>
              <w:spacing w:before="91" w:line="195" w:lineRule="auto"/>
              <w:ind w:left="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0.034</w:t>
            </w:r>
          </w:p>
        </w:tc>
        <w:tc>
          <w:tcPr>
            <w:tcW w:w="1328" w:type="dxa"/>
            <w:vAlign w:val="top"/>
          </w:tcPr>
          <w:p w14:paraId="0F5710DB">
            <w:pPr>
              <w:spacing w:before="91"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0.5675</w:t>
            </w:r>
          </w:p>
        </w:tc>
      </w:tr>
      <w:tr w14:paraId="765C9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51" w:type="dxa"/>
            <w:vAlign w:val="top"/>
          </w:tcPr>
          <w:p w14:paraId="66E25820">
            <w:pPr>
              <w:pStyle w:val="6"/>
              <w:spacing w:before="54" w:line="228" w:lineRule="auto"/>
              <w:ind w:left="245"/>
            </w:pPr>
            <w:r>
              <w:rPr>
                <w:spacing w:val="5"/>
              </w:rPr>
              <w:t>距原点</w:t>
            </w:r>
            <w:r>
              <w:rPr>
                <w:rFonts w:ascii="Times New Roman" w:hAnsi="Times New Roman" w:eastAsia="Times New Roman" w:cs="Times New Roman"/>
                <w:spacing w:val="5"/>
              </w:rPr>
              <w:t xml:space="preserve">-43 </w:t>
            </w:r>
            <w:r>
              <w:rPr>
                <w:spacing w:val="5"/>
              </w:rPr>
              <w:t>米</w:t>
            </w:r>
          </w:p>
        </w:tc>
        <w:tc>
          <w:tcPr>
            <w:tcW w:w="1769" w:type="dxa"/>
            <w:vAlign w:val="top"/>
          </w:tcPr>
          <w:p w14:paraId="72D70AE3">
            <w:pPr>
              <w:spacing w:before="91"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-38.4</w:t>
            </w:r>
          </w:p>
        </w:tc>
        <w:tc>
          <w:tcPr>
            <w:tcW w:w="1183" w:type="dxa"/>
            <w:vAlign w:val="top"/>
          </w:tcPr>
          <w:p w14:paraId="0C6554A7">
            <w:pPr>
              <w:spacing w:before="91"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0.0347</w:t>
            </w:r>
          </w:p>
        </w:tc>
        <w:tc>
          <w:tcPr>
            <w:tcW w:w="1275" w:type="dxa"/>
            <w:vAlign w:val="top"/>
          </w:tcPr>
          <w:p w14:paraId="57AE94CC">
            <w:pPr>
              <w:spacing w:before="91"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0.5980</w:t>
            </w:r>
          </w:p>
        </w:tc>
        <w:tc>
          <w:tcPr>
            <w:tcW w:w="1123" w:type="dxa"/>
            <w:vAlign w:val="top"/>
          </w:tcPr>
          <w:p w14:paraId="4F561B3B">
            <w:pPr>
              <w:spacing w:before="91"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0.0358</w:t>
            </w:r>
          </w:p>
        </w:tc>
        <w:tc>
          <w:tcPr>
            <w:tcW w:w="1328" w:type="dxa"/>
            <w:vAlign w:val="top"/>
          </w:tcPr>
          <w:p w14:paraId="434B30F1">
            <w:pPr>
              <w:spacing w:before="91"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0.5942</w:t>
            </w:r>
          </w:p>
        </w:tc>
      </w:tr>
      <w:tr w14:paraId="5AC00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6DA04B85">
            <w:pPr>
              <w:pStyle w:val="6"/>
              <w:spacing w:before="55" w:line="228" w:lineRule="auto"/>
              <w:ind w:left="245"/>
            </w:pPr>
            <w:r>
              <w:rPr>
                <w:spacing w:val="5"/>
              </w:rPr>
              <w:t>距原点</w:t>
            </w:r>
            <w:r>
              <w:rPr>
                <w:rFonts w:ascii="Times New Roman" w:hAnsi="Times New Roman" w:eastAsia="Times New Roman" w:cs="Times New Roman"/>
                <w:spacing w:val="5"/>
              </w:rPr>
              <w:t xml:space="preserve">-42 </w:t>
            </w:r>
            <w:r>
              <w:rPr>
                <w:spacing w:val="5"/>
              </w:rPr>
              <w:t>米</w:t>
            </w:r>
          </w:p>
        </w:tc>
        <w:tc>
          <w:tcPr>
            <w:tcW w:w="1769" w:type="dxa"/>
            <w:vAlign w:val="top"/>
          </w:tcPr>
          <w:p w14:paraId="08BCDE92">
            <w:pPr>
              <w:spacing w:before="91"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-37.4</w:t>
            </w:r>
          </w:p>
        </w:tc>
        <w:tc>
          <w:tcPr>
            <w:tcW w:w="1183" w:type="dxa"/>
            <w:vAlign w:val="top"/>
          </w:tcPr>
          <w:p w14:paraId="7A8E47B4">
            <w:pPr>
              <w:spacing w:before="91"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0.0365</w:t>
            </w:r>
          </w:p>
        </w:tc>
        <w:tc>
          <w:tcPr>
            <w:tcW w:w="1275" w:type="dxa"/>
            <w:vAlign w:val="top"/>
          </w:tcPr>
          <w:p w14:paraId="19E02588">
            <w:pPr>
              <w:spacing w:before="91"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0.6270</w:t>
            </w:r>
          </w:p>
        </w:tc>
        <w:tc>
          <w:tcPr>
            <w:tcW w:w="1123" w:type="dxa"/>
            <w:vAlign w:val="top"/>
          </w:tcPr>
          <w:p w14:paraId="33913202">
            <w:pPr>
              <w:spacing w:before="91"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0.0378</w:t>
            </w:r>
          </w:p>
        </w:tc>
        <w:tc>
          <w:tcPr>
            <w:tcW w:w="1328" w:type="dxa"/>
            <w:vAlign w:val="top"/>
          </w:tcPr>
          <w:p w14:paraId="439BB8DD">
            <w:pPr>
              <w:spacing w:before="91"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0.6228</w:t>
            </w:r>
          </w:p>
        </w:tc>
      </w:tr>
      <w:tr w14:paraId="3D835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51" w:type="dxa"/>
            <w:vAlign w:val="top"/>
          </w:tcPr>
          <w:p w14:paraId="751F28B5">
            <w:pPr>
              <w:pStyle w:val="6"/>
              <w:spacing w:before="55" w:line="228" w:lineRule="auto"/>
              <w:ind w:left="245"/>
            </w:pPr>
            <w:r>
              <w:rPr>
                <w:spacing w:val="5"/>
              </w:rPr>
              <w:t>距原点</w:t>
            </w:r>
            <w:r>
              <w:rPr>
                <w:rFonts w:ascii="Times New Roman" w:hAnsi="Times New Roman" w:eastAsia="Times New Roman" w:cs="Times New Roman"/>
                <w:spacing w:val="5"/>
              </w:rPr>
              <w:t xml:space="preserve">-41 </w:t>
            </w:r>
            <w:r>
              <w:rPr>
                <w:spacing w:val="5"/>
              </w:rPr>
              <w:t>米</w:t>
            </w:r>
          </w:p>
        </w:tc>
        <w:tc>
          <w:tcPr>
            <w:tcW w:w="1769" w:type="dxa"/>
            <w:vAlign w:val="top"/>
          </w:tcPr>
          <w:p w14:paraId="4D39A4D1">
            <w:pPr>
              <w:spacing w:before="91"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-36.4</w:t>
            </w:r>
          </w:p>
        </w:tc>
        <w:tc>
          <w:tcPr>
            <w:tcW w:w="1183" w:type="dxa"/>
            <w:vAlign w:val="top"/>
          </w:tcPr>
          <w:p w14:paraId="6392C069">
            <w:pPr>
              <w:spacing w:before="91"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0.0385</w:t>
            </w:r>
          </w:p>
        </w:tc>
        <w:tc>
          <w:tcPr>
            <w:tcW w:w="1275" w:type="dxa"/>
            <w:vAlign w:val="top"/>
          </w:tcPr>
          <w:p w14:paraId="23B62B5F">
            <w:pPr>
              <w:spacing w:before="91"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0.6582</w:t>
            </w:r>
          </w:p>
        </w:tc>
        <w:tc>
          <w:tcPr>
            <w:tcW w:w="1123" w:type="dxa"/>
            <w:vAlign w:val="top"/>
          </w:tcPr>
          <w:p w14:paraId="23A3CD04">
            <w:pPr>
              <w:spacing w:before="91"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0.0399</w:t>
            </w:r>
          </w:p>
        </w:tc>
        <w:tc>
          <w:tcPr>
            <w:tcW w:w="1328" w:type="dxa"/>
            <w:vAlign w:val="top"/>
          </w:tcPr>
          <w:p w14:paraId="15877E25">
            <w:pPr>
              <w:spacing w:before="91"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0.6535</w:t>
            </w:r>
          </w:p>
        </w:tc>
      </w:tr>
      <w:tr w14:paraId="5CF0F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0896ECB5">
            <w:pPr>
              <w:pStyle w:val="6"/>
              <w:spacing w:before="55" w:line="228" w:lineRule="auto"/>
              <w:ind w:left="245"/>
            </w:pPr>
            <w:r>
              <w:rPr>
                <w:spacing w:val="5"/>
              </w:rPr>
              <w:t>距原点</w:t>
            </w:r>
            <w:r>
              <w:rPr>
                <w:rFonts w:ascii="Times New Roman" w:hAnsi="Times New Roman" w:eastAsia="Times New Roman" w:cs="Times New Roman"/>
                <w:spacing w:val="5"/>
              </w:rPr>
              <w:t xml:space="preserve">-40 </w:t>
            </w:r>
            <w:r>
              <w:rPr>
                <w:spacing w:val="5"/>
              </w:rPr>
              <w:t>米</w:t>
            </w:r>
          </w:p>
        </w:tc>
        <w:tc>
          <w:tcPr>
            <w:tcW w:w="1769" w:type="dxa"/>
            <w:vAlign w:val="top"/>
          </w:tcPr>
          <w:p w14:paraId="089DA493">
            <w:pPr>
              <w:spacing w:before="94"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-35.4</w:t>
            </w:r>
          </w:p>
        </w:tc>
        <w:tc>
          <w:tcPr>
            <w:tcW w:w="1183" w:type="dxa"/>
            <w:vAlign w:val="top"/>
          </w:tcPr>
          <w:p w14:paraId="661A723F">
            <w:pPr>
              <w:spacing w:before="94"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0.0406</w:t>
            </w:r>
          </w:p>
        </w:tc>
        <w:tc>
          <w:tcPr>
            <w:tcW w:w="1275" w:type="dxa"/>
            <w:vAlign w:val="top"/>
          </w:tcPr>
          <w:p w14:paraId="3B8C9F08">
            <w:pPr>
              <w:spacing w:before="94"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0.6917</w:t>
            </w:r>
          </w:p>
        </w:tc>
        <w:tc>
          <w:tcPr>
            <w:tcW w:w="1123" w:type="dxa"/>
            <w:vAlign w:val="top"/>
          </w:tcPr>
          <w:p w14:paraId="61579BCE">
            <w:pPr>
              <w:spacing w:before="94"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0.0422</w:t>
            </w:r>
          </w:p>
        </w:tc>
        <w:tc>
          <w:tcPr>
            <w:tcW w:w="1328" w:type="dxa"/>
            <w:vAlign w:val="top"/>
          </w:tcPr>
          <w:p w14:paraId="68328182">
            <w:pPr>
              <w:spacing w:before="94"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0.6866</w:t>
            </w:r>
          </w:p>
        </w:tc>
      </w:tr>
      <w:tr w14:paraId="1C678D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57F03412">
            <w:pPr>
              <w:pStyle w:val="6"/>
              <w:spacing w:before="55" w:line="228" w:lineRule="auto"/>
              <w:ind w:left="245"/>
            </w:pPr>
            <w:r>
              <w:rPr>
                <w:spacing w:val="5"/>
              </w:rPr>
              <w:t>距原点</w:t>
            </w:r>
            <w:r>
              <w:rPr>
                <w:rFonts w:ascii="Times New Roman" w:hAnsi="Times New Roman" w:eastAsia="Times New Roman" w:cs="Times New Roman"/>
                <w:spacing w:val="5"/>
              </w:rPr>
              <w:t xml:space="preserve">-39 </w:t>
            </w:r>
            <w:r>
              <w:rPr>
                <w:spacing w:val="5"/>
              </w:rPr>
              <w:t>米</w:t>
            </w:r>
          </w:p>
        </w:tc>
        <w:tc>
          <w:tcPr>
            <w:tcW w:w="1769" w:type="dxa"/>
            <w:vAlign w:val="top"/>
          </w:tcPr>
          <w:p w14:paraId="15CC0DCE">
            <w:pPr>
              <w:spacing w:before="93"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-34.4</w:t>
            </w:r>
          </w:p>
        </w:tc>
        <w:tc>
          <w:tcPr>
            <w:tcW w:w="1183" w:type="dxa"/>
            <w:vAlign w:val="top"/>
          </w:tcPr>
          <w:p w14:paraId="1F1DA1F5">
            <w:pPr>
              <w:spacing w:before="93"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0.043</w:t>
            </w:r>
          </w:p>
        </w:tc>
        <w:tc>
          <w:tcPr>
            <w:tcW w:w="1275" w:type="dxa"/>
            <w:vAlign w:val="top"/>
          </w:tcPr>
          <w:p w14:paraId="53F4879A">
            <w:pPr>
              <w:spacing w:before="93"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0.7279</w:t>
            </w:r>
          </w:p>
        </w:tc>
        <w:tc>
          <w:tcPr>
            <w:tcW w:w="1123" w:type="dxa"/>
            <w:vAlign w:val="top"/>
          </w:tcPr>
          <w:p w14:paraId="176D80F2">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0.0447</w:t>
            </w:r>
          </w:p>
        </w:tc>
        <w:tc>
          <w:tcPr>
            <w:tcW w:w="1328" w:type="dxa"/>
            <w:vAlign w:val="top"/>
          </w:tcPr>
          <w:p w14:paraId="1B47A7CF">
            <w:pPr>
              <w:spacing w:before="93"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0.7222</w:t>
            </w:r>
          </w:p>
        </w:tc>
      </w:tr>
      <w:tr w14:paraId="6ABCA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59D45F76">
            <w:pPr>
              <w:pStyle w:val="6"/>
              <w:spacing w:before="54" w:line="228" w:lineRule="auto"/>
              <w:ind w:left="245"/>
            </w:pPr>
            <w:r>
              <w:rPr>
                <w:spacing w:val="5"/>
              </w:rPr>
              <w:t>距原点</w:t>
            </w:r>
            <w:r>
              <w:rPr>
                <w:rFonts w:ascii="Times New Roman" w:hAnsi="Times New Roman" w:eastAsia="Times New Roman" w:cs="Times New Roman"/>
                <w:spacing w:val="5"/>
              </w:rPr>
              <w:t xml:space="preserve">-38 </w:t>
            </w:r>
            <w:r>
              <w:rPr>
                <w:spacing w:val="5"/>
              </w:rPr>
              <w:t>米</w:t>
            </w:r>
          </w:p>
        </w:tc>
        <w:tc>
          <w:tcPr>
            <w:tcW w:w="1769" w:type="dxa"/>
            <w:vAlign w:val="top"/>
          </w:tcPr>
          <w:p w14:paraId="66D0FCBB">
            <w:pPr>
              <w:spacing w:before="93"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-33.4</w:t>
            </w:r>
          </w:p>
        </w:tc>
        <w:tc>
          <w:tcPr>
            <w:tcW w:w="1183" w:type="dxa"/>
            <w:vAlign w:val="top"/>
          </w:tcPr>
          <w:p w14:paraId="61DE2EDD">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0.0455</w:t>
            </w:r>
          </w:p>
        </w:tc>
        <w:tc>
          <w:tcPr>
            <w:tcW w:w="1275" w:type="dxa"/>
            <w:vAlign w:val="top"/>
          </w:tcPr>
          <w:p w14:paraId="0FEB6C28">
            <w:pPr>
              <w:spacing w:before="93"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0.7670</w:t>
            </w:r>
          </w:p>
        </w:tc>
        <w:tc>
          <w:tcPr>
            <w:tcW w:w="1123" w:type="dxa"/>
            <w:vAlign w:val="top"/>
          </w:tcPr>
          <w:p w14:paraId="18B26CCB">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0.0475</w:t>
            </w:r>
          </w:p>
        </w:tc>
        <w:tc>
          <w:tcPr>
            <w:tcW w:w="1328" w:type="dxa"/>
            <w:vAlign w:val="top"/>
          </w:tcPr>
          <w:p w14:paraId="051E7641">
            <w:pPr>
              <w:spacing w:before="93"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0.7607</w:t>
            </w:r>
          </w:p>
        </w:tc>
      </w:tr>
      <w:tr w14:paraId="7C50C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3D5C3BDB">
            <w:pPr>
              <w:pStyle w:val="6"/>
              <w:spacing w:before="56" w:line="228" w:lineRule="auto"/>
              <w:ind w:left="245"/>
            </w:pPr>
            <w:r>
              <w:rPr>
                <w:spacing w:val="5"/>
              </w:rPr>
              <w:t>距原点</w:t>
            </w:r>
            <w:r>
              <w:rPr>
                <w:rFonts w:ascii="Times New Roman" w:hAnsi="Times New Roman" w:eastAsia="Times New Roman" w:cs="Times New Roman"/>
                <w:spacing w:val="5"/>
              </w:rPr>
              <w:t xml:space="preserve">-37 </w:t>
            </w:r>
            <w:r>
              <w:rPr>
                <w:spacing w:val="5"/>
              </w:rPr>
              <w:t>米</w:t>
            </w:r>
          </w:p>
        </w:tc>
        <w:tc>
          <w:tcPr>
            <w:tcW w:w="1769" w:type="dxa"/>
            <w:vAlign w:val="top"/>
          </w:tcPr>
          <w:p w14:paraId="04C52165">
            <w:pPr>
              <w:spacing w:before="93"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-32.4</w:t>
            </w:r>
          </w:p>
        </w:tc>
        <w:tc>
          <w:tcPr>
            <w:tcW w:w="1183" w:type="dxa"/>
            <w:vAlign w:val="top"/>
          </w:tcPr>
          <w:p w14:paraId="23D25146">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0.0484</w:t>
            </w:r>
          </w:p>
        </w:tc>
        <w:tc>
          <w:tcPr>
            <w:tcW w:w="1275" w:type="dxa"/>
            <w:vAlign w:val="top"/>
          </w:tcPr>
          <w:p w14:paraId="25AA472B">
            <w:pPr>
              <w:spacing w:before="93"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0.8093</w:t>
            </w:r>
          </w:p>
        </w:tc>
        <w:tc>
          <w:tcPr>
            <w:tcW w:w="1123" w:type="dxa"/>
            <w:vAlign w:val="top"/>
          </w:tcPr>
          <w:p w14:paraId="6F63C314">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0.0505</w:t>
            </w:r>
          </w:p>
        </w:tc>
        <w:tc>
          <w:tcPr>
            <w:tcW w:w="1328" w:type="dxa"/>
            <w:vAlign w:val="top"/>
          </w:tcPr>
          <w:p w14:paraId="37101421">
            <w:pPr>
              <w:spacing w:before="93"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0.8022</w:t>
            </w:r>
          </w:p>
        </w:tc>
      </w:tr>
      <w:tr w14:paraId="245B7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7A9C9932">
            <w:pPr>
              <w:pStyle w:val="6"/>
              <w:spacing w:before="56" w:line="228" w:lineRule="auto"/>
              <w:ind w:left="245"/>
            </w:pPr>
            <w:r>
              <w:rPr>
                <w:spacing w:val="5"/>
              </w:rPr>
              <w:t>距原点</w:t>
            </w:r>
            <w:r>
              <w:rPr>
                <w:rFonts w:ascii="Times New Roman" w:hAnsi="Times New Roman" w:eastAsia="Times New Roman" w:cs="Times New Roman"/>
                <w:spacing w:val="5"/>
              </w:rPr>
              <w:t xml:space="preserve">-36 </w:t>
            </w:r>
            <w:r>
              <w:rPr>
                <w:spacing w:val="5"/>
              </w:rPr>
              <w:t>米</w:t>
            </w:r>
          </w:p>
        </w:tc>
        <w:tc>
          <w:tcPr>
            <w:tcW w:w="1769" w:type="dxa"/>
            <w:vAlign w:val="top"/>
          </w:tcPr>
          <w:p w14:paraId="2E64787F">
            <w:pPr>
              <w:spacing w:before="92"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-31.4</w:t>
            </w:r>
          </w:p>
        </w:tc>
        <w:tc>
          <w:tcPr>
            <w:tcW w:w="1183" w:type="dxa"/>
            <w:vAlign w:val="top"/>
          </w:tcPr>
          <w:p w14:paraId="3F644049">
            <w:pPr>
              <w:spacing w:before="92"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0.0514</w:t>
            </w:r>
          </w:p>
        </w:tc>
        <w:tc>
          <w:tcPr>
            <w:tcW w:w="1275" w:type="dxa"/>
            <w:vAlign w:val="top"/>
          </w:tcPr>
          <w:p w14:paraId="47BF065A">
            <w:pPr>
              <w:spacing w:before="92"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0.8552</w:t>
            </w:r>
          </w:p>
        </w:tc>
        <w:tc>
          <w:tcPr>
            <w:tcW w:w="1123" w:type="dxa"/>
            <w:vAlign w:val="top"/>
          </w:tcPr>
          <w:p w14:paraId="2864E1E0">
            <w:pPr>
              <w:spacing w:before="92"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0.0539</w:t>
            </w:r>
          </w:p>
        </w:tc>
        <w:tc>
          <w:tcPr>
            <w:tcW w:w="1328" w:type="dxa"/>
            <w:vAlign w:val="top"/>
          </w:tcPr>
          <w:p w14:paraId="164327FA">
            <w:pPr>
              <w:spacing w:before="92"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0.8473</w:t>
            </w:r>
          </w:p>
        </w:tc>
      </w:tr>
      <w:tr w14:paraId="243A2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5B7873AD">
            <w:pPr>
              <w:pStyle w:val="6"/>
              <w:spacing w:before="56" w:line="228" w:lineRule="auto"/>
              <w:ind w:left="245"/>
            </w:pPr>
            <w:r>
              <w:rPr>
                <w:spacing w:val="5"/>
              </w:rPr>
              <w:t>距原点</w:t>
            </w:r>
            <w:r>
              <w:rPr>
                <w:rFonts w:ascii="Times New Roman" w:hAnsi="Times New Roman" w:eastAsia="Times New Roman" w:cs="Times New Roman"/>
                <w:spacing w:val="5"/>
              </w:rPr>
              <w:t xml:space="preserve">-35 </w:t>
            </w:r>
            <w:r>
              <w:rPr>
                <w:spacing w:val="5"/>
              </w:rPr>
              <w:t>米</w:t>
            </w:r>
          </w:p>
        </w:tc>
        <w:tc>
          <w:tcPr>
            <w:tcW w:w="1769" w:type="dxa"/>
            <w:vAlign w:val="top"/>
          </w:tcPr>
          <w:p w14:paraId="3FCC97F1">
            <w:pPr>
              <w:spacing w:before="92"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-30.4</w:t>
            </w:r>
          </w:p>
        </w:tc>
        <w:tc>
          <w:tcPr>
            <w:tcW w:w="1183" w:type="dxa"/>
            <w:vAlign w:val="top"/>
          </w:tcPr>
          <w:p w14:paraId="4A46114E">
            <w:pPr>
              <w:spacing w:before="92"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0.0548</w:t>
            </w:r>
          </w:p>
        </w:tc>
        <w:tc>
          <w:tcPr>
            <w:tcW w:w="1275" w:type="dxa"/>
            <w:vAlign w:val="top"/>
          </w:tcPr>
          <w:p w14:paraId="6C78CF11">
            <w:pPr>
              <w:spacing w:before="92"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0.9051</w:t>
            </w:r>
          </w:p>
        </w:tc>
        <w:tc>
          <w:tcPr>
            <w:tcW w:w="1123" w:type="dxa"/>
            <w:vAlign w:val="top"/>
          </w:tcPr>
          <w:p w14:paraId="5E7EF420">
            <w:pPr>
              <w:spacing w:before="92"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0.0575</w:t>
            </w:r>
          </w:p>
        </w:tc>
        <w:tc>
          <w:tcPr>
            <w:tcW w:w="1328" w:type="dxa"/>
            <w:vAlign w:val="top"/>
          </w:tcPr>
          <w:p w14:paraId="387EE292">
            <w:pPr>
              <w:spacing w:before="92"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0.8962</w:t>
            </w:r>
          </w:p>
        </w:tc>
      </w:tr>
      <w:tr w14:paraId="42937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6D3748D7">
            <w:pPr>
              <w:pStyle w:val="6"/>
              <w:spacing w:before="55" w:line="228" w:lineRule="auto"/>
              <w:ind w:left="245"/>
            </w:pPr>
            <w:r>
              <w:rPr>
                <w:spacing w:val="5"/>
              </w:rPr>
              <w:t>距原点</w:t>
            </w:r>
            <w:r>
              <w:rPr>
                <w:rFonts w:ascii="Times New Roman" w:hAnsi="Times New Roman" w:eastAsia="Times New Roman" w:cs="Times New Roman"/>
                <w:spacing w:val="5"/>
              </w:rPr>
              <w:t xml:space="preserve">-34 </w:t>
            </w:r>
            <w:r>
              <w:rPr>
                <w:spacing w:val="5"/>
              </w:rPr>
              <w:t>米</w:t>
            </w:r>
          </w:p>
        </w:tc>
        <w:tc>
          <w:tcPr>
            <w:tcW w:w="1769" w:type="dxa"/>
            <w:vAlign w:val="top"/>
          </w:tcPr>
          <w:p w14:paraId="096C8A78">
            <w:pPr>
              <w:spacing w:before="94"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-29.4</w:t>
            </w:r>
          </w:p>
        </w:tc>
        <w:tc>
          <w:tcPr>
            <w:tcW w:w="1183" w:type="dxa"/>
            <w:vAlign w:val="top"/>
          </w:tcPr>
          <w:p w14:paraId="13C9D68B">
            <w:pPr>
              <w:spacing w:before="94"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0.0586</w:t>
            </w:r>
          </w:p>
        </w:tc>
        <w:tc>
          <w:tcPr>
            <w:tcW w:w="1275" w:type="dxa"/>
            <w:vAlign w:val="top"/>
          </w:tcPr>
          <w:p w14:paraId="695F4A12">
            <w:pPr>
              <w:spacing w:before="94"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0.9594</w:t>
            </w:r>
          </w:p>
        </w:tc>
        <w:tc>
          <w:tcPr>
            <w:tcW w:w="1123" w:type="dxa"/>
            <w:vAlign w:val="top"/>
          </w:tcPr>
          <w:p w14:paraId="06FB0C4B">
            <w:pPr>
              <w:spacing w:before="94"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0.0616</w:t>
            </w:r>
          </w:p>
        </w:tc>
        <w:tc>
          <w:tcPr>
            <w:tcW w:w="1328" w:type="dxa"/>
            <w:vAlign w:val="top"/>
          </w:tcPr>
          <w:p w14:paraId="2598F0C3">
            <w:pPr>
              <w:spacing w:before="94"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0.9495</w:t>
            </w:r>
          </w:p>
        </w:tc>
      </w:tr>
      <w:tr w14:paraId="20003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3AEA7E92">
            <w:pPr>
              <w:pStyle w:val="6"/>
              <w:spacing w:before="55" w:line="228" w:lineRule="auto"/>
              <w:ind w:left="245"/>
            </w:pPr>
            <w:r>
              <w:rPr>
                <w:spacing w:val="5"/>
              </w:rPr>
              <w:t>距原点</w:t>
            </w:r>
            <w:r>
              <w:rPr>
                <w:rFonts w:ascii="Times New Roman" w:hAnsi="Times New Roman" w:eastAsia="Times New Roman" w:cs="Times New Roman"/>
                <w:spacing w:val="5"/>
              </w:rPr>
              <w:t xml:space="preserve">-33 </w:t>
            </w:r>
            <w:r>
              <w:rPr>
                <w:spacing w:val="5"/>
              </w:rPr>
              <w:t>米</w:t>
            </w:r>
          </w:p>
        </w:tc>
        <w:tc>
          <w:tcPr>
            <w:tcW w:w="1769" w:type="dxa"/>
            <w:vAlign w:val="top"/>
          </w:tcPr>
          <w:p w14:paraId="4153B826">
            <w:pPr>
              <w:spacing w:before="93"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-28.4</w:t>
            </w:r>
          </w:p>
        </w:tc>
        <w:tc>
          <w:tcPr>
            <w:tcW w:w="1183" w:type="dxa"/>
            <w:vAlign w:val="top"/>
          </w:tcPr>
          <w:p w14:paraId="78B3D284">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0.0628</w:t>
            </w:r>
          </w:p>
        </w:tc>
        <w:tc>
          <w:tcPr>
            <w:tcW w:w="1275" w:type="dxa"/>
            <w:vAlign w:val="top"/>
          </w:tcPr>
          <w:p w14:paraId="1FA8CCD2">
            <w:pPr>
              <w:spacing w:before="93"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1.0188</w:t>
            </w:r>
          </w:p>
        </w:tc>
        <w:tc>
          <w:tcPr>
            <w:tcW w:w="1123" w:type="dxa"/>
            <w:vAlign w:val="top"/>
          </w:tcPr>
          <w:p w14:paraId="50D35816">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0.0662</w:t>
            </w:r>
          </w:p>
        </w:tc>
        <w:tc>
          <w:tcPr>
            <w:tcW w:w="1328" w:type="dxa"/>
            <w:vAlign w:val="top"/>
          </w:tcPr>
          <w:p w14:paraId="465C953F">
            <w:pPr>
              <w:spacing w:before="93"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1.0077</w:t>
            </w:r>
          </w:p>
        </w:tc>
      </w:tr>
      <w:tr w14:paraId="65A76E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5A6D641C">
            <w:pPr>
              <w:pStyle w:val="6"/>
              <w:spacing w:before="54" w:line="228" w:lineRule="auto"/>
              <w:ind w:left="245"/>
            </w:pPr>
            <w:r>
              <w:rPr>
                <w:spacing w:val="5"/>
              </w:rPr>
              <w:t>距原点</w:t>
            </w:r>
            <w:r>
              <w:rPr>
                <w:rFonts w:ascii="Times New Roman" w:hAnsi="Times New Roman" w:eastAsia="Times New Roman" w:cs="Times New Roman"/>
                <w:spacing w:val="5"/>
              </w:rPr>
              <w:t xml:space="preserve">-32 </w:t>
            </w:r>
            <w:r>
              <w:rPr>
                <w:spacing w:val="5"/>
              </w:rPr>
              <w:t>米</w:t>
            </w:r>
          </w:p>
        </w:tc>
        <w:tc>
          <w:tcPr>
            <w:tcW w:w="1769" w:type="dxa"/>
            <w:vAlign w:val="top"/>
          </w:tcPr>
          <w:p w14:paraId="5CA460FF">
            <w:pPr>
              <w:spacing w:before="93"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-27.4</w:t>
            </w:r>
          </w:p>
        </w:tc>
        <w:tc>
          <w:tcPr>
            <w:tcW w:w="1183" w:type="dxa"/>
            <w:vAlign w:val="top"/>
          </w:tcPr>
          <w:p w14:paraId="1DA4CA1D">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0.0675</w:t>
            </w:r>
          </w:p>
        </w:tc>
        <w:tc>
          <w:tcPr>
            <w:tcW w:w="1275" w:type="dxa"/>
            <w:vAlign w:val="top"/>
          </w:tcPr>
          <w:p w14:paraId="44D855E7">
            <w:pPr>
              <w:spacing w:before="93"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1.0839</w:t>
            </w:r>
          </w:p>
        </w:tc>
        <w:tc>
          <w:tcPr>
            <w:tcW w:w="1123" w:type="dxa"/>
            <w:vAlign w:val="top"/>
          </w:tcPr>
          <w:p w14:paraId="260B6BDD">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0.0713</w:t>
            </w:r>
          </w:p>
        </w:tc>
        <w:tc>
          <w:tcPr>
            <w:tcW w:w="1328" w:type="dxa"/>
            <w:vAlign w:val="top"/>
          </w:tcPr>
          <w:p w14:paraId="40571E8F">
            <w:pPr>
              <w:spacing w:before="93"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1.0713</w:t>
            </w:r>
          </w:p>
        </w:tc>
      </w:tr>
      <w:tr w14:paraId="589C8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39459ADD">
            <w:pPr>
              <w:pStyle w:val="6"/>
              <w:spacing w:before="56" w:line="228" w:lineRule="auto"/>
              <w:ind w:left="245"/>
            </w:pPr>
            <w:r>
              <w:rPr>
                <w:spacing w:val="5"/>
              </w:rPr>
              <w:t>距原点</w:t>
            </w:r>
            <w:r>
              <w:rPr>
                <w:rFonts w:ascii="Times New Roman" w:hAnsi="Times New Roman" w:eastAsia="Times New Roman" w:cs="Times New Roman"/>
                <w:spacing w:val="5"/>
              </w:rPr>
              <w:t xml:space="preserve">-31 </w:t>
            </w:r>
            <w:r>
              <w:rPr>
                <w:spacing w:val="5"/>
              </w:rPr>
              <w:t>米</w:t>
            </w:r>
          </w:p>
        </w:tc>
        <w:tc>
          <w:tcPr>
            <w:tcW w:w="1769" w:type="dxa"/>
            <w:vAlign w:val="top"/>
          </w:tcPr>
          <w:p w14:paraId="438CAD36">
            <w:pPr>
              <w:spacing w:before="93"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-26.4</w:t>
            </w:r>
          </w:p>
        </w:tc>
        <w:tc>
          <w:tcPr>
            <w:tcW w:w="1183" w:type="dxa"/>
            <w:vAlign w:val="top"/>
          </w:tcPr>
          <w:p w14:paraId="0D30011D">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0.0727</w:t>
            </w:r>
          </w:p>
        </w:tc>
        <w:tc>
          <w:tcPr>
            <w:tcW w:w="1275" w:type="dxa"/>
            <w:vAlign w:val="top"/>
          </w:tcPr>
          <w:p w14:paraId="5F565051">
            <w:pPr>
              <w:spacing w:before="93"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1.1554</w:t>
            </w:r>
          </w:p>
        </w:tc>
        <w:tc>
          <w:tcPr>
            <w:tcW w:w="1123" w:type="dxa"/>
            <w:vAlign w:val="top"/>
          </w:tcPr>
          <w:p w14:paraId="5815DE8B">
            <w:pPr>
              <w:spacing w:before="93" w:line="195" w:lineRule="auto"/>
              <w:ind w:left="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0.077</w:t>
            </w:r>
          </w:p>
        </w:tc>
        <w:tc>
          <w:tcPr>
            <w:tcW w:w="1328" w:type="dxa"/>
            <w:vAlign w:val="top"/>
          </w:tcPr>
          <w:p w14:paraId="08D0E263">
            <w:pPr>
              <w:spacing w:before="93" w:line="195" w:lineRule="auto"/>
              <w:ind w:left="449"/>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6"/>
                <w:sz w:val="20"/>
                <w:szCs w:val="20"/>
              </w:rPr>
              <w:t>141</w:t>
            </w:r>
          </w:p>
        </w:tc>
      </w:tr>
      <w:tr w14:paraId="755D4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72051D8F">
            <w:pPr>
              <w:pStyle w:val="6"/>
              <w:spacing w:before="56" w:line="228" w:lineRule="auto"/>
              <w:ind w:left="245"/>
            </w:pPr>
            <w:r>
              <w:rPr>
                <w:spacing w:val="5"/>
              </w:rPr>
              <w:t>距原点</w:t>
            </w:r>
            <w:r>
              <w:rPr>
                <w:rFonts w:ascii="Times New Roman" w:hAnsi="Times New Roman" w:eastAsia="Times New Roman" w:cs="Times New Roman"/>
                <w:spacing w:val="5"/>
              </w:rPr>
              <w:t xml:space="preserve">-30 </w:t>
            </w:r>
            <w:r>
              <w:rPr>
                <w:spacing w:val="5"/>
              </w:rPr>
              <w:t>米</w:t>
            </w:r>
          </w:p>
        </w:tc>
        <w:tc>
          <w:tcPr>
            <w:tcW w:w="1769" w:type="dxa"/>
            <w:vAlign w:val="top"/>
          </w:tcPr>
          <w:p w14:paraId="1752DD47">
            <w:pPr>
              <w:spacing w:before="92"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-25.4</w:t>
            </w:r>
          </w:p>
        </w:tc>
        <w:tc>
          <w:tcPr>
            <w:tcW w:w="1183" w:type="dxa"/>
            <w:vAlign w:val="top"/>
          </w:tcPr>
          <w:p w14:paraId="17D42B33">
            <w:pPr>
              <w:spacing w:before="92"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0.0786</w:t>
            </w:r>
          </w:p>
        </w:tc>
        <w:tc>
          <w:tcPr>
            <w:tcW w:w="1275" w:type="dxa"/>
            <w:vAlign w:val="top"/>
          </w:tcPr>
          <w:p w14:paraId="43C2E41A">
            <w:pPr>
              <w:spacing w:before="92"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1.2341</w:t>
            </w:r>
          </w:p>
        </w:tc>
        <w:tc>
          <w:tcPr>
            <w:tcW w:w="1123" w:type="dxa"/>
            <w:vAlign w:val="top"/>
          </w:tcPr>
          <w:p w14:paraId="242E3381">
            <w:pPr>
              <w:spacing w:before="92"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0.0834</w:t>
            </w:r>
          </w:p>
        </w:tc>
        <w:tc>
          <w:tcPr>
            <w:tcW w:w="1328" w:type="dxa"/>
            <w:vAlign w:val="top"/>
          </w:tcPr>
          <w:p w14:paraId="05E7E204">
            <w:pPr>
              <w:spacing w:before="92"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1.2177</w:t>
            </w:r>
          </w:p>
        </w:tc>
      </w:tr>
      <w:tr w14:paraId="229C5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2E089636">
            <w:pPr>
              <w:pStyle w:val="6"/>
              <w:spacing w:before="56" w:line="228" w:lineRule="auto"/>
              <w:ind w:left="245"/>
            </w:pPr>
            <w:r>
              <w:rPr>
                <w:spacing w:val="5"/>
              </w:rPr>
              <w:t>距原点</w:t>
            </w:r>
            <w:r>
              <w:rPr>
                <w:rFonts w:ascii="Times New Roman" w:hAnsi="Times New Roman" w:eastAsia="Times New Roman" w:cs="Times New Roman"/>
                <w:spacing w:val="5"/>
              </w:rPr>
              <w:t xml:space="preserve">-29 </w:t>
            </w:r>
            <w:r>
              <w:rPr>
                <w:spacing w:val="5"/>
              </w:rPr>
              <w:t>米</w:t>
            </w:r>
          </w:p>
        </w:tc>
        <w:tc>
          <w:tcPr>
            <w:tcW w:w="1769" w:type="dxa"/>
            <w:vAlign w:val="top"/>
          </w:tcPr>
          <w:p w14:paraId="3B63621C">
            <w:pPr>
              <w:spacing w:before="92"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-24.4</w:t>
            </w:r>
          </w:p>
        </w:tc>
        <w:tc>
          <w:tcPr>
            <w:tcW w:w="1183" w:type="dxa"/>
            <w:vAlign w:val="top"/>
          </w:tcPr>
          <w:p w14:paraId="3D866EB1">
            <w:pPr>
              <w:spacing w:before="92"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0.0852</w:t>
            </w:r>
          </w:p>
        </w:tc>
        <w:tc>
          <w:tcPr>
            <w:tcW w:w="1275" w:type="dxa"/>
            <w:vAlign w:val="top"/>
          </w:tcPr>
          <w:p w14:paraId="23FFD851">
            <w:pPr>
              <w:spacing w:before="92"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1.3212</w:t>
            </w:r>
          </w:p>
        </w:tc>
        <w:tc>
          <w:tcPr>
            <w:tcW w:w="1123" w:type="dxa"/>
            <w:vAlign w:val="top"/>
          </w:tcPr>
          <w:p w14:paraId="56B3B0E2">
            <w:pPr>
              <w:spacing w:before="92"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0.0907</w:t>
            </w:r>
          </w:p>
        </w:tc>
        <w:tc>
          <w:tcPr>
            <w:tcW w:w="1328" w:type="dxa"/>
            <w:vAlign w:val="top"/>
          </w:tcPr>
          <w:p w14:paraId="57B9528E">
            <w:pPr>
              <w:spacing w:before="92"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1.3024</w:t>
            </w:r>
          </w:p>
        </w:tc>
      </w:tr>
      <w:tr w14:paraId="74F3A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438AEB47">
            <w:pPr>
              <w:pStyle w:val="6"/>
              <w:spacing w:before="55" w:line="228" w:lineRule="auto"/>
              <w:ind w:left="245"/>
            </w:pPr>
            <w:r>
              <w:rPr>
                <w:spacing w:val="5"/>
              </w:rPr>
              <w:t>距原点</w:t>
            </w:r>
            <w:r>
              <w:rPr>
                <w:rFonts w:ascii="Times New Roman" w:hAnsi="Times New Roman" w:eastAsia="Times New Roman" w:cs="Times New Roman"/>
                <w:spacing w:val="5"/>
              </w:rPr>
              <w:t xml:space="preserve">-28 </w:t>
            </w:r>
            <w:r>
              <w:rPr>
                <w:spacing w:val="5"/>
              </w:rPr>
              <w:t>米</w:t>
            </w:r>
          </w:p>
        </w:tc>
        <w:tc>
          <w:tcPr>
            <w:tcW w:w="1769" w:type="dxa"/>
            <w:vAlign w:val="top"/>
          </w:tcPr>
          <w:p w14:paraId="2E5B1595">
            <w:pPr>
              <w:spacing w:before="94"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-23.4</w:t>
            </w:r>
          </w:p>
        </w:tc>
        <w:tc>
          <w:tcPr>
            <w:tcW w:w="1183" w:type="dxa"/>
            <w:vAlign w:val="top"/>
          </w:tcPr>
          <w:p w14:paraId="7DA69EC7">
            <w:pPr>
              <w:spacing w:before="94"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0.0928</w:t>
            </w:r>
          </w:p>
        </w:tc>
        <w:tc>
          <w:tcPr>
            <w:tcW w:w="1275" w:type="dxa"/>
            <w:vAlign w:val="top"/>
          </w:tcPr>
          <w:p w14:paraId="4067B9F3">
            <w:pPr>
              <w:spacing w:before="94"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1.4177</w:t>
            </w:r>
          </w:p>
        </w:tc>
        <w:tc>
          <w:tcPr>
            <w:tcW w:w="1123" w:type="dxa"/>
            <w:vAlign w:val="top"/>
          </w:tcPr>
          <w:p w14:paraId="3634214C">
            <w:pPr>
              <w:spacing w:before="94" w:line="195" w:lineRule="auto"/>
              <w:ind w:left="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0.099</w:t>
            </w:r>
          </w:p>
        </w:tc>
        <w:tc>
          <w:tcPr>
            <w:tcW w:w="1328" w:type="dxa"/>
            <w:vAlign w:val="top"/>
          </w:tcPr>
          <w:p w14:paraId="444F4134">
            <w:pPr>
              <w:spacing w:before="94"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1.3961</w:t>
            </w:r>
          </w:p>
        </w:tc>
      </w:tr>
      <w:tr w14:paraId="60D898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651" w:type="dxa"/>
            <w:vAlign w:val="top"/>
          </w:tcPr>
          <w:p w14:paraId="719C26D6">
            <w:pPr>
              <w:pStyle w:val="6"/>
              <w:spacing w:before="55" w:line="228" w:lineRule="auto"/>
              <w:ind w:left="245"/>
            </w:pPr>
            <w:r>
              <w:rPr>
                <w:spacing w:val="5"/>
              </w:rPr>
              <w:t>距原点</w:t>
            </w:r>
            <w:r>
              <w:rPr>
                <w:rFonts w:ascii="Times New Roman" w:hAnsi="Times New Roman" w:eastAsia="Times New Roman" w:cs="Times New Roman"/>
                <w:spacing w:val="5"/>
              </w:rPr>
              <w:t xml:space="preserve">-27 </w:t>
            </w:r>
            <w:r>
              <w:rPr>
                <w:spacing w:val="5"/>
              </w:rPr>
              <w:t>米</w:t>
            </w:r>
          </w:p>
        </w:tc>
        <w:tc>
          <w:tcPr>
            <w:tcW w:w="1769" w:type="dxa"/>
            <w:vAlign w:val="top"/>
          </w:tcPr>
          <w:p w14:paraId="3918D812">
            <w:pPr>
              <w:spacing w:before="93"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-22.4</w:t>
            </w:r>
          </w:p>
        </w:tc>
        <w:tc>
          <w:tcPr>
            <w:tcW w:w="1183" w:type="dxa"/>
            <w:vAlign w:val="top"/>
          </w:tcPr>
          <w:p w14:paraId="0BCA09A1">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0.1015</w:t>
            </w:r>
          </w:p>
        </w:tc>
        <w:tc>
          <w:tcPr>
            <w:tcW w:w="1275" w:type="dxa"/>
            <w:vAlign w:val="top"/>
          </w:tcPr>
          <w:p w14:paraId="09867D46">
            <w:pPr>
              <w:spacing w:before="93"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1.5252</w:t>
            </w:r>
          </w:p>
        </w:tc>
        <w:tc>
          <w:tcPr>
            <w:tcW w:w="1123" w:type="dxa"/>
            <w:vAlign w:val="top"/>
          </w:tcPr>
          <w:p w14:paraId="5642C34F">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0.1084</w:t>
            </w:r>
          </w:p>
        </w:tc>
        <w:tc>
          <w:tcPr>
            <w:tcW w:w="1328" w:type="dxa"/>
            <w:vAlign w:val="top"/>
          </w:tcPr>
          <w:p w14:paraId="288B1E42">
            <w:pPr>
              <w:spacing w:before="93"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1.5001</w:t>
            </w:r>
          </w:p>
        </w:tc>
      </w:tr>
    </w:tbl>
    <w:p w14:paraId="7826A034">
      <w:pPr>
        <w:rPr>
          <w:rFonts w:ascii="Arial"/>
          <w:sz w:val="21"/>
        </w:rPr>
      </w:pPr>
    </w:p>
    <w:p w14:paraId="777399F8">
      <w:pPr>
        <w:rPr>
          <w:rFonts w:ascii="Arial" w:hAnsi="Arial" w:eastAsia="Arial" w:cs="Arial"/>
          <w:sz w:val="21"/>
          <w:szCs w:val="21"/>
        </w:rPr>
        <w:sectPr>
          <w:footerReference r:id="rId186" w:type="default"/>
          <w:pgSz w:w="11906" w:h="16839"/>
          <w:pgMar w:top="400" w:right="1785" w:bottom="1147" w:left="1785" w:header="0" w:footer="960" w:gutter="0"/>
          <w:cols w:space="720" w:num="1"/>
        </w:sectPr>
      </w:pPr>
    </w:p>
    <w:p w14:paraId="3C543B99">
      <w:pPr>
        <w:spacing w:before="19"/>
      </w:pPr>
    </w:p>
    <w:p w14:paraId="1AE7DCEA">
      <w:pPr>
        <w:spacing w:before="19"/>
      </w:pPr>
    </w:p>
    <w:p w14:paraId="5CF86B7C">
      <w:pPr>
        <w:spacing w:before="18"/>
      </w:pPr>
    </w:p>
    <w:p w14:paraId="33E1FF9E">
      <w:pPr>
        <w:spacing w:before="18"/>
      </w:pPr>
    </w:p>
    <w:tbl>
      <w:tblPr>
        <w:tblStyle w:val="5"/>
        <w:tblW w:w="83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51"/>
        <w:gridCol w:w="1769"/>
        <w:gridCol w:w="1183"/>
        <w:gridCol w:w="1275"/>
        <w:gridCol w:w="1123"/>
        <w:gridCol w:w="1328"/>
      </w:tblGrid>
      <w:tr w14:paraId="16C9A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651" w:type="dxa"/>
            <w:vAlign w:val="top"/>
          </w:tcPr>
          <w:p w14:paraId="29E725B1">
            <w:pPr>
              <w:pStyle w:val="6"/>
              <w:spacing w:before="56" w:line="228" w:lineRule="auto"/>
              <w:ind w:left="245"/>
            </w:pPr>
            <w:r>
              <w:rPr>
                <w:spacing w:val="5"/>
              </w:rPr>
              <w:t>距原点</w:t>
            </w:r>
            <w:r>
              <w:rPr>
                <w:rFonts w:ascii="Times New Roman" w:hAnsi="Times New Roman" w:eastAsia="Times New Roman" w:cs="Times New Roman"/>
                <w:spacing w:val="5"/>
              </w:rPr>
              <w:t xml:space="preserve">-26 </w:t>
            </w:r>
            <w:r>
              <w:rPr>
                <w:spacing w:val="5"/>
              </w:rPr>
              <w:t>米</w:t>
            </w:r>
          </w:p>
        </w:tc>
        <w:tc>
          <w:tcPr>
            <w:tcW w:w="1769" w:type="dxa"/>
            <w:vAlign w:val="top"/>
          </w:tcPr>
          <w:p w14:paraId="505D70C0">
            <w:pPr>
              <w:spacing w:before="92"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-21.4</w:t>
            </w:r>
          </w:p>
        </w:tc>
        <w:tc>
          <w:tcPr>
            <w:tcW w:w="1183" w:type="dxa"/>
            <w:vAlign w:val="top"/>
          </w:tcPr>
          <w:p w14:paraId="677EE854">
            <w:pPr>
              <w:spacing w:before="92"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1114</w:t>
            </w:r>
          </w:p>
        </w:tc>
        <w:tc>
          <w:tcPr>
            <w:tcW w:w="1275" w:type="dxa"/>
            <w:vAlign w:val="top"/>
          </w:tcPr>
          <w:p w14:paraId="23832961">
            <w:pPr>
              <w:spacing w:before="92"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1.6452</w:t>
            </w:r>
          </w:p>
        </w:tc>
        <w:tc>
          <w:tcPr>
            <w:tcW w:w="1123" w:type="dxa"/>
            <w:vAlign w:val="top"/>
          </w:tcPr>
          <w:p w14:paraId="0E844C2D">
            <w:pPr>
              <w:spacing w:before="92"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0.1193</w:t>
            </w:r>
          </w:p>
        </w:tc>
        <w:tc>
          <w:tcPr>
            <w:tcW w:w="1328" w:type="dxa"/>
            <w:vAlign w:val="top"/>
          </w:tcPr>
          <w:p w14:paraId="198CC9C0">
            <w:pPr>
              <w:spacing w:before="92" w:line="195" w:lineRule="auto"/>
              <w:ind w:left="44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1.616</w:t>
            </w:r>
          </w:p>
        </w:tc>
      </w:tr>
      <w:tr w14:paraId="1F114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5F4B00F5">
            <w:pPr>
              <w:pStyle w:val="6"/>
              <w:spacing w:before="51" w:line="228" w:lineRule="auto"/>
              <w:ind w:left="245"/>
            </w:pPr>
            <w:r>
              <w:rPr>
                <w:spacing w:val="5"/>
              </w:rPr>
              <w:t>距原点</w:t>
            </w:r>
            <w:r>
              <w:rPr>
                <w:rFonts w:ascii="Times New Roman" w:hAnsi="Times New Roman" w:eastAsia="Times New Roman" w:cs="Times New Roman"/>
                <w:spacing w:val="5"/>
              </w:rPr>
              <w:t xml:space="preserve">-25 </w:t>
            </w:r>
            <w:r>
              <w:rPr>
                <w:spacing w:val="5"/>
              </w:rPr>
              <w:t>米</w:t>
            </w:r>
          </w:p>
        </w:tc>
        <w:tc>
          <w:tcPr>
            <w:tcW w:w="1769" w:type="dxa"/>
            <w:vAlign w:val="top"/>
          </w:tcPr>
          <w:p w14:paraId="0A7CC8AD">
            <w:pPr>
              <w:spacing w:before="90"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-20.4</w:t>
            </w:r>
          </w:p>
        </w:tc>
        <w:tc>
          <w:tcPr>
            <w:tcW w:w="1183" w:type="dxa"/>
            <w:vAlign w:val="top"/>
          </w:tcPr>
          <w:p w14:paraId="6DD33414">
            <w:pPr>
              <w:spacing w:before="90"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0.1229</w:t>
            </w:r>
          </w:p>
        </w:tc>
        <w:tc>
          <w:tcPr>
            <w:tcW w:w="1275" w:type="dxa"/>
            <w:vAlign w:val="top"/>
          </w:tcPr>
          <w:p w14:paraId="798B4B95">
            <w:pPr>
              <w:spacing w:before="90"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1.7799</w:t>
            </w:r>
          </w:p>
        </w:tc>
        <w:tc>
          <w:tcPr>
            <w:tcW w:w="1123" w:type="dxa"/>
            <w:vAlign w:val="top"/>
          </w:tcPr>
          <w:p w14:paraId="469C4DF5">
            <w:pPr>
              <w:spacing w:before="90"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0.1318</w:t>
            </w:r>
          </w:p>
        </w:tc>
        <w:tc>
          <w:tcPr>
            <w:tcW w:w="1328" w:type="dxa"/>
            <w:vAlign w:val="top"/>
          </w:tcPr>
          <w:p w14:paraId="15B35755">
            <w:pPr>
              <w:spacing w:before="90"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1.7457</w:t>
            </w:r>
          </w:p>
        </w:tc>
      </w:tr>
      <w:tr w14:paraId="48482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7DA24CAD">
            <w:pPr>
              <w:pStyle w:val="6"/>
              <w:spacing w:before="51" w:line="228" w:lineRule="auto"/>
              <w:ind w:left="245"/>
            </w:pPr>
            <w:r>
              <w:rPr>
                <w:spacing w:val="5"/>
              </w:rPr>
              <w:t>距原点</w:t>
            </w:r>
            <w:r>
              <w:rPr>
                <w:rFonts w:ascii="Times New Roman" w:hAnsi="Times New Roman" w:eastAsia="Times New Roman" w:cs="Times New Roman"/>
                <w:spacing w:val="5"/>
              </w:rPr>
              <w:t xml:space="preserve">-24 </w:t>
            </w:r>
            <w:r>
              <w:rPr>
                <w:spacing w:val="5"/>
              </w:rPr>
              <w:t>米</w:t>
            </w:r>
          </w:p>
        </w:tc>
        <w:tc>
          <w:tcPr>
            <w:tcW w:w="1769" w:type="dxa"/>
            <w:vAlign w:val="top"/>
          </w:tcPr>
          <w:p w14:paraId="69FA9E09">
            <w:pPr>
              <w:spacing w:before="89"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3"/>
                <w:sz w:val="20"/>
                <w:szCs w:val="20"/>
              </w:rPr>
              <w:t>19.4</w:t>
            </w:r>
          </w:p>
        </w:tc>
        <w:tc>
          <w:tcPr>
            <w:tcW w:w="1183" w:type="dxa"/>
            <w:vAlign w:val="top"/>
          </w:tcPr>
          <w:p w14:paraId="31F6CA5D">
            <w:pPr>
              <w:spacing w:before="89"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0.1363</w:t>
            </w:r>
          </w:p>
        </w:tc>
        <w:tc>
          <w:tcPr>
            <w:tcW w:w="1275" w:type="dxa"/>
            <w:vAlign w:val="top"/>
          </w:tcPr>
          <w:p w14:paraId="1EFE02CE">
            <w:pPr>
              <w:spacing w:before="89"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1.9317</w:t>
            </w:r>
          </w:p>
        </w:tc>
        <w:tc>
          <w:tcPr>
            <w:tcW w:w="1123" w:type="dxa"/>
            <w:vAlign w:val="top"/>
          </w:tcPr>
          <w:p w14:paraId="35C0B96A">
            <w:pPr>
              <w:spacing w:before="89"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0.1463</w:t>
            </w:r>
          </w:p>
        </w:tc>
        <w:tc>
          <w:tcPr>
            <w:tcW w:w="1328" w:type="dxa"/>
            <w:vAlign w:val="top"/>
          </w:tcPr>
          <w:p w14:paraId="3402B814">
            <w:pPr>
              <w:spacing w:before="89"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1.8914</w:t>
            </w:r>
          </w:p>
        </w:tc>
      </w:tr>
      <w:tr w14:paraId="7C1D8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51" w:type="dxa"/>
            <w:vAlign w:val="top"/>
          </w:tcPr>
          <w:p w14:paraId="1C272F45">
            <w:pPr>
              <w:pStyle w:val="6"/>
              <w:spacing w:before="50" w:line="228" w:lineRule="auto"/>
              <w:ind w:left="245"/>
            </w:pPr>
            <w:r>
              <w:rPr>
                <w:spacing w:val="5"/>
              </w:rPr>
              <w:t>距原点</w:t>
            </w:r>
            <w:r>
              <w:rPr>
                <w:rFonts w:ascii="Times New Roman" w:hAnsi="Times New Roman" w:eastAsia="Times New Roman" w:cs="Times New Roman"/>
                <w:spacing w:val="5"/>
              </w:rPr>
              <w:t xml:space="preserve">-23 </w:t>
            </w:r>
            <w:r>
              <w:rPr>
                <w:spacing w:val="5"/>
              </w:rPr>
              <w:t>米</w:t>
            </w:r>
          </w:p>
        </w:tc>
        <w:tc>
          <w:tcPr>
            <w:tcW w:w="1769" w:type="dxa"/>
            <w:vAlign w:val="top"/>
          </w:tcPr>
          <w:p w14:paraId="05C19B4C">
            <w:pPr>
              <w:spacing w:before="89"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3"/>
                <w:sz w:val="20"/>
                <w:szCs w:val="20"/>
              </w:rPr>
              <w:t>18.4</w:t>
            </w:r>
          </w:p>
        </w:tc>
        <w:tc>
          <w:tcPr>
            <w:tcW w:w="1183" w:type="dxa"/>
            <w:vAlign w:val="top"/>
          </w:tcPr>
          <w:p w14:paraId="6B6D2FE7">
            <w:pPr>
              <w:spacing w:before="89"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0.152</w:t>
            </w:r>
          </w:p>
        </w:tc>
        <w:tc>
          <w:tcPr>
            <w:tcW w:w="1275" w:type="dxa"/>
            <w:vAlign w:val="top"/>
          </w:tcPr>
          <w:p w14:paraId="7D9DF325">
            <w:pPr>
              <w:spacing w:before="89" w:line="195" w:lineRule="auto"/>
              <w:ind w:left="35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2.1036</w:t>
            </w:r>
          </w:p>
        </w:tc>
        <w:tc>
          <w:tcPr>
            <w:tcW w:w="1123" w:type="dxa"/>
            <w:vAlign w:val="top"/>
          </w:tcPr>
          <w:p w14:paraId="45457196">
            <w:pPr>
              <w:spacing w:before="89"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0.1633</w:t>
            </w:r>
          </w:p>
        </w:tc>
        <w:tc>
          <w:tcPr>
            <w:tcW w:w="1328" w:type="dxa"/>
            <w:vAlign w:val="top"/>
          </w:tcPr>
          <w:p w14:paraId="4D7CED8F">
            <w:pPr>
              <w:spacing w:before="89" w:line="195" w:lineRule="auto"/>
              <w:ind w:left="37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2.0557</w:t>
            </w:r>
          </w:p>
        </w:tc>
      </w:tr>
      <w:tr w14:paraId="0A89D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51" w:type="dxa"/>
            <w:vAlign w:val="top"/>
          </w:tcPr>
          <w:p w14:paraId="7B1E7700">
            <w:pPr>
              <w:pStyle w:val="6"/>
              <w:spacing w:before="53" w:line="228" w:lineRule="auto"/>
              <w:ind w:left="245"/>
            </w:pPr>
            <w:r>
              <w:rPr>
                <w:spacing w:val="5"/>
              </w:rPr>
              <w:t>距原点</w:t>
            </w:r>
            <w:r>
              <w:rPr>
                <w:rFonts w:ascii="Times New Roman" w:hAnsi="Times New Roman" w:eastAsia="Times New Roman" w:cs="Times New Roman"/>
                <w:spacing w:val="5"/>
              </w:rPr>
              <w:t xml:space="preserve">-22 </w:t>
            </w:r>
            <w:r>
              <w:rPr>
                <w:spacing w:val="5"/>
              </w:rPr>
              <w:t>米</w:t>
            </w:r>
          </w:p>
        </w:tc>
        <w:tc>
          <w:tcPr>
            <w:tcW w:w="1769" w:type="dxa"/>
            <w:vAlign w:val="top"/>
          </w:tcPr>
          <w:p w14:paraId="08BD1382">
            <w:pPr>
              <w:spacing w:before="90"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3"/>
                <w:sz w:val="20"/>
                <w:szCs w:val="20"/>
              </w:rPr>
              <w:t>17.4</w:t>
            </w:r>
          </w:p>
        </w:tc>
        <w:tc>
          <w:tcPr>
            <w:tcW w:w="1183" w:type="dxa"/>
            <w:vAlign w:val="top"/>
          </w:tcPr>
          <w:p w14:paraId="0168F131">
            <w:pPr>
              <w:spacing w:before="90"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0.1705</w:t>
            </w:r>
          </w:p>
        </w:tc>
        <w:tc>
          <w:tcPr>
            <w:tcW w:w="1275" w:type="dxa"/>
            <w:vAlign w:val="top"/>
          </w:tcPr>
          <w:p w14:paraId="414A727C">
            <w:pPr>
              <w:spacing w:before="90" w:line="195" w:lineRule="auto"/>
              <w:ind w:left="35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2.2992</w:t>
            </w:r>
          </w:p>
        </w:tc>
        <w:tc>
          <w:tcPr>
            <w:tcW w:w="1123" w:type="dxa"/>
            <w:vAlign w:val="top"/>
          </w:tcPr>
          <w:p w14:paraId="21BE7D59">
            <w:pPr>
              <w:spacing w:before="90"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0.1832</w:t>
            </w:r>
          </w:p>
        </w:tc>
        <w:tc>
          <w:tcPr>
            <w:tcW w:w="1328" w:type="dxa"/>
            <w:vAlign w:val="top"/>
          </w:tcPr>
          <w:p w14:paraId="2AE28A33">
            <w:pPr>
              <w:spacing w:before="90" w:line="195" w:lineRule="auto"/>
              <w:ind w:left="37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2.2419</w:t>
            </w:r>
          </w:p>
        </w:tc>
      </w:tr>
      <w:tr w14:paraId="5AE8D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51" w:type="dxa"/>
            <w:vAlign w:val="top"/>
          </w:tcPr>
          <w:p w14:paraId="3320FB41">
            <w:pPr>
              <w:pStyle w:val="6"/>
              <w:spacing w:before="54" w:line="228" w:lineRule="auto"/>
              <w:ind w:left="245"/>
            </w:pPr>
            <w:r>
              <w:rPr>
                <w:spacing w:val="5"/>
              </w:rPr>
              <w:t>距原点</w:t>
            </w:r>
            <w:r>
              <w:rPr>
                <w:rFonts w:ascii="Times New Roman" w:hAnsi="Times New Roman" w:eastAsia="Times New Roman" w:cs="Times New Roman"/>
                <w:spacing w:val="5"/>
              </w:rPr>
              <w:t xml:space="preserve">-21 </w:t>
            </w:r>
            <w:r>
              <w:rPr>
                <w:spacing w:val="5"/>
              </w:rPr>
              <w:t>米</w:t>
            </w:r>
          </w:p>
        </w:tc>
        <w:tc>
          <w:tcPr>
            <w:tcW w:w="1769" w:type="dxa"/>
            <w:vAlign w:val="top"/>
          </w:tcPr>
          <w:p w14:paraId="4EC28E46">
            <w:pPr>
              <w:spacing w:before="90"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3"/>
                <w:sz w:val="20"/>
                <w:szCs w:val="20"/>
              </w:rPr>
              <w:t>16.4</w:t>
            </w:r>
          </w:p>
        </w:tc>
        <w:tc>
          <w:tcPr>
            <w:tcW w:w="1183" w:type="dxa"/>
            <w:vAlign w:val="top"/>
          </w:tcPr>
          <w:p w14:paraId="60FADE0D">
            <w:pPr>
              <w:spacing w:before="90"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0.1926</w:t>
            </w:r>
          </w:p>
        </w:tc>
        <w:tc>
          <w:tcPr>
            <w:tcW w:w="1275" w:type="dxa"/>
            <w:vAlign w:val="top"/>
          </w:tcPr>
          <w:p w14:paraId="17EEFBA1">
            <w:pPr>
              <w:spacing w:before="90" w:line="195" w:lineRule="auto"/>
              <w:ind w:left="35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2.5231</w:t>
            </w:r>
          </w:p>
        </w:tc>
        <w:tc>
          <w:tcPr>
            <w:tcW w:w="1123" w:type="dxa"/>
            <w:vAlign w:val="top"/>
          </w:tcPr>
          <w:p w14:paraId="63EDD774">
            <w:pPr>
              <w:spacing w:before="90"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0.2067</w:t>
            </w:r>
          </w:p>
        </w:tc>
        <w:tc>
          <w:tcPr>
            <w:tcW w:w="1328" w:type="dxa"/>
            <w:vAlign w:val="top"/>
          </w:tcPr>
          <w:p w14:paraId="4E202C94">
            <w:pPr>
              <w:spacing w:before="90" w:line="195" w:lineRule="auto"/>
              <w:ind w:left="42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2.454</w:t>
            </w:r>
          </w:p>
        </w:tc>
      </w:tr>
      <w:tr w14:paraId="066B1A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51" w:type="dxa"/>
            <w:vAlign w:val="top"/>
          </w:tcPr>
          <w:p w14:paraId="1D8867DE">
            <w:pPr>
              <w:pStyle w:val="6"/>
              <w:spacing w:before="55" w:line="228" w:lineRule="auto"/>
              <w:ind w:left="245"/>
            </w:pPr>
            <w:r>
              <w:rPr>
                <w:spacing w:val="5"/>
              </w:rPr>
              <w:t>距原点</w:t>
            </w:r>
            <w:r>
              <w:rPr>
                <w:rFonts w:ascii="Times New Roman" w:hAnsi="Times New Roman" w:eastAsia="Times New Roman" w:cs="Times New Roman"/>
                <w:spacing w:val="5"/>
              </w:rPr>
              <w:t xml:space="preserve">-20 </w:t>
            </w:r>
            <w:r>
              <w:rPr>
                <w:spacing w:val="5"/>
              </w:rPr>
              <w:t>米</w:t>
            </w:r>
          </w:p>
        </w:tc>
        <w:tc>
          <w:tcPr>
            <w:tcW w:w="1769" w:type="dxa"/>
            <w:vAlign w:val="top"/>
          </w:tcPr>
          <w:p w14:paraId="2234FB48">
            <w:pPr>
              <w:spacing w:before="91"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3"/>
                <w:sz w:val="20"/>
                <w:szCs w:val="20"/>
              </w:rPr>
              <w:t>15.4</w:t>
            </w:r>
          </w:p>
        </w:tc>
        <w:tc>
          <w:tcPr>
            <w:tcW w:w="1183" w:type="dxa"/>
            <w:vAlign w:val="top"/>
          </w:tcPr>
          <w:p w14:paraId="58D8B9B7">
            <w:pPr>
              <w:spacing w:before="91"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0.219</w:t>
            </w:r>
          </w:p>
        </w:tc>
        <w:tc>
          <w:tcPr>
            <w:tcW w:w="1275" w:type="dxa"/>
            <w:vAlign w:val="top"/>
          </w:tcPr>
          <w:p w14:paraId="58935794">
            <w:pPr>
              <w:spacing w:before="91" w:line="195" w:lineRule="auto"/>
              <w:ind w:left="35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2.7808</w:t>
            </w:r>
          </w:p>
        </w:tc>
        <w:tc>
          <w:tcPr>
            <w:tcW w:w="1123" w:type="dxa"/>
            <w:vAlign w:val="top"/>
          </w:tcPr>
          <w:p w14:paraId="02302170">
            <w:pPr>
              <w:spacing w:before="91"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0.2346</w:t>
            </w:r>
          </w:p>
        </w:tc>
        <w:tc>
          <w:tcPr>
            <w:tcW w:w="1328" w:type="dxa"/>
            <w:vAlign w:val="top"/>
          </w:tcPr>
          <w:p w14:paraId="3458585D">
            <w:pPr>
              <w:spacing w:before="91" w:line="195" w:lineRule="auto"/>
              <w:ind w:left="37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2.6968</w:t>
            </w:r>
          </w:p>
        </w:tc>
      </w:tr>
      <w:tr w14:paraId="43081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6AEC7B4C">
            <w:pPr>
              <w:pStyle w:val="6"/>
              <w:spacing w:before="55" w:line="228" w:lineRule="auto"/>
              <w:ind w:left="245"/>
            </w:pPr>
            <w:r>
              <w:rPr>
                <w:spacing w:val="5"/>
              </w:rPr>
              <w:t>距原点</w:t>
            </w:r>
            <w:r>
              <w:rPr>
                <w:rFonts w:ascii="Times New Roman" w:hAnsi="Times New Roman" w:eastAsia="Times New Roman" w:cs="Times New Roman"/>
                <w:spacing w:val="5"/>
              </w:rPr>
              <w:t xml:space="preserve">-19 </w:t>
            </w:r>
            <w:r>
              <w:rPr>
                <w:spacing w:val="5"/>
              </w:rPr>
              <w:t>米</w:t>
            </w:r>
          </w:p>
        </w:tc>
        <w:tc>
          <w:tcPr>
            <w:tcW w:w="1769" w:type="dxa"/>
            <w:vAlign w:val="top"/>
          </w:tcPr>
          <w:p w14:paraId="3E2062E1">
            <w:pPr>
              <w:spacing w:before="94"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3"/>
                <w:sz w:val="20"/>
                <w:szCs w:val="20"/>
              </w:rPr>
              <w:t>14.4</w:t>
            </w:r>
          </w:p>
        </w:tc>
        <w:tc>
          <w:tcPr>
            <w:tcW w:w="1183" w:type="dxa"/>
            <w:vAlign w:val="top"/>
          </w:tcPr>
          <w:p w14:paraId="39DBAD17">
            <w:pPr>
              <w:spacing w:before="94"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0.2509</w:t>
            </w:r>
          </w:p>
        </w:tc>
        <w:tc>
          <w:tcPr>
            <w:tcW w:w="1275" w:type="dxa"/>
            <w:vAlign w:val="top"/>
          </w:tcPr>
          <w:p w14:paraId="561621FE">
            <w:pPr>
              <w:spacing w:before="94" w:line="195" w:lineRule="auto"/>
              <w:ind w:left="3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3.0794</w:t>
            </w:r>
          </w:p>
        </w:tc>
        <w:tc>
          <w:tcPr>
            <w:tcW w:w="1123" w:type="dxa"/>
            <w:vAlign w:val="top"/>
          </w:tcPr>
          <w:p w14:paraId="118BFBD1">
            <w:pPr>
              <w:spacing w:before="94" w:line="195" w:lineRule="auto"/>
              <w:ind w:left="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0.268</w:t>
            </w:r>
          </w:p>
        </w:tc>
        <w:tc>
          <w:tcPr>
            <w:tcW w:w="1328" w:type="dxa"/>
            <w:vAlign w:val="top"/>
          </w:tcPr>
          <w:p w14:paraId="7E7B548A">
            <w:pPr>
              <w:spacing w:before="94" w:line="195" w:lineRule="auto"/>
              <w:ind w:left="37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2.9762</w:t>
            </w:r>
          </w:p>
        </w:tc>
      </w:tr>
      <w:tr w14:paraId="7D98A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1C28957B">
            <w:pPr>
              <w:pStyle w:val="6"/>
              <w:spacing w:before="55" w:line="228" w:lineRule="auto"/>
              <w:ind w:left="245"/>
            </w:pPr>
            <w:r>
              <w:rPr>
                <w:spacing w:val="5"/>
              </w:rPr>
              <w:t>距原点</w:t>
            </w:r>
            <w:r>
              <w:rPr>
                <w:rFonts w:ascii="Times New Roman" w:hAnsi="Times New Roman" w:eastAsia="Times New Roman" w:cs="Times New Roman"/>
                <w:spacing w:val="5"/>
              </w:rPr>
              <w:t xml:space="preserve">-18 </w:t>
            </w:r>
            <w:r>
              <w:rPr>
                <w:spacing w:val="5"/>
              </w:rPr>
              <w:t>米</w:t>
            </w:r>
          </w:p>
        </w:tc>
        <w:tc>
          <w:tcPr>
            <w:tcW w:w="1769" w:type="dxa"/>
            <w:vAlign w:val="top"/>
          </w:tcPr>
          <w:p w14:paraId="7C745787">
            <w:pPr>
              <w:spacing w:before="93"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3"/>
                <w:sz w:val="20"/>
                <w:szCs w:val="20"/>
              </w:rPr>
              <w:t>13.4</w:t>
            </w:r>
          </w:p>
        </w:tc>
        <w:tc>
          <w:tcPr>
            <w:tcW w:w="1183" w:type="dxa"/>
            <w:vAlign w:val="top"/>
          </w:tcPr>
          <w:p w14:paraId="45B29EFA">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0.2898</w:t>
            </w:r>
          </w:p>
        </w:tc>
        <w:tc>
          <w:tcPr>
            <w:tcW w:w="1275" w:type="dxa"/>
            <w:vAlign w:val="top"/>
          </w:tcPr>
          <w:p w14:paraId="3CD03FAC">
            <w:pPr>
              <w:spacing w:before="93" w:line="195" w:lineRule="auto"/>
              <w:ind w:left="3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3.4278</w:t>
            </w:r>
          </w:p>
        </w:tc>
        <w:tc>
          <w:tcPr>
            <w:tcW w:w="1123" w:type="dxa"/>
            <w:vAlign w:val="top"/>
          </w:tcPr>
          <w:p w14:paraId="51D95D18">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0.3081</w:t>
            </w:r>
          </w:p>
        </w:tc>
        <w:tc>
          <w:tcPr>
            <w:tcW w:w="1328" w:type="dxa"/>
            <w:vAlign w:val="top"/>
          </w:tcPr>
          <w:p w14:paraId="0AA046E7">
            <w:pPr>
              <w:spacing w:before="93" w:line="195"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3.2996</w:t>
            </w:r>
          </w:p>
        </w:tc>
      </w:tr>
      <w:tr w14:paraId="49E46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3A3477B2">
            <w:pPr>
              <w:pStyle w:val="6"/>
              <w:spacing w:before="54" w:line="228" w:lineRule="auto"/>
              <w:ind w:left="245"/>
            </w:pPr>
            <w:r>
              <w:rPr>
                <w:spacing w:val="5"/>
              </w:rPr>
              <w:t>距原点</w:t>
            </w:r>
            <w:r>
              <w:rPr>
                <w:rFonts w:ascii="Times New Roman" w:hAnsi="Times New Roman" w:eastAsia="Times New Roman" w:cs="Times New Roman"/>
                <w:spacing w:val="5"/>
              </w:rPr>
              <w:t xml:space="preserve">-17 </w:t>
            </w:r>
            <w:r>
              <w:rPr>
                <w:spacing w:val="5"/>
              </w:rPr>
              <w:t>米</w:t>
            </w:r>
          </w:p>
        </w:tc>
        <w:tc>
          <w:tcPr>
            <w:tcW w:w="1769" w:type="dxa"/>
            <w:vAlign w:val="top"/>
          </w:tcPr>
          <w:p w14:paraId="146F3511">
            <w:pPr>
              <w:spacing w:before="93"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3"/>
                <w:sz w:val="20"/>
                <w:szCs w:val="20"/>
              </w:rPr>
              <w:t>12.4</w:t>
            </w:r>
          </w:p>
        </w:tc>
        <w:tc>
          <w:tcPr>
            <w:tcW w:w="1183" w:type="dxa"/>
            <w:vAlign w:val="top"/>
          </w:tcPr>
          <w:p w14:paraId="2B8C7365">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0.3376</w:t>
            </w:r>
          </w:p>
        </w:tc>
        <w:tc>
          <w:tcPr>
            <w:tcW w:w="1275" w:type="dxa"/>
            <w:vAlign w:val="top"/>
          </w:tcPr>
          <w:p w14:paraId="33AC0F1E">
            <w:pPr>
              <w:spacing w:before="93" w:line="195" w:lineRule="auto"/>
              <w:ind w:left="3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3.8373</w:t>
            </w:r>
          </w:p>
        </w:tc>
        <w:tc>
          <w:tcPr>
            <w:tcW w:w="1123" w:type="dxa"/>
            <w:vAlign w:val="top"/>
          </w:tcPr>
          <w:p w14:paraId="7AC32835">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0.3565</w:t>
            </w:r>
          </w:p>
        </w:tc>
        <w:tc>
          <w:tcPr>
            <w:tcW w:w="1328" w:type="dxa"/>
            <w:vAlign w:val="top"/>
          </w:tcPr>
          <w:p w14:paraId="3B8F3B90">
            <w:pPr>
              <w:spacing w:before="93" w:line="195"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3.6763</w:t>
            </w:r>
          </w:p>
        </w:tc>
      </w:tr>
      <w:tr w14:paraId="62B27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62868D92">
            <w:pPr>
              <w:pStyle w:val="6"/>
              <w:spacing w:before="56" w:line="228" w:lineRule="auto"/>
              <w:ind w:left="245"/>
            </w:pPr>
            <w:r>
              <w:rPr>
                <w:spacing w:val="5"/>
              </w:rPr>
              <w:t>距原点</w:t>
            </w:r>
            <w:r>
              <w:rPr>
                <w:rFonts w:ascii="Times New Roman" w:hAnsi="Times New Roman" w:eastAsia="Times New Roman" w:cs="Times New Roman"/>
                <w:spacing w:val="5"/>
              </w:rPr>
              <w:t xml:space="preserve">-16 </w:t>
            </w:r>
            <w:r>
              <w:rPr>
                <w:spacing w:val="5"/>
              </w:rPr>
              <w:t>米</w:t>
            </w:r>
          </w:p>
        </w:tc>
        <w:tc>
          <w:tcPr>
            <w:tcW w:w="1769" w:type="dxa"/>
            <w:vAlign w:val="top"/>
          </w:tcPr>
          <w:p w14:paraId="7B5DBDF9">
            <w:pPr>
              <w:spacing w:before="93"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3"/>
                <w:sz w:val="20"/>
                <w:szCs w:val="20"/>
              </w:rPr>
              <w:t>11.4</w:t>
            </w:r>
          </w:p>
        </w:tc>
        <w:tc>
          <w:tcPr>
            <w:tcW w:w="1183" w:type="dxa"/>
            <w:vAlign w:val="top"/>
          </w:tcPr>
          <w:p w14:paraId="04A2F12D">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0.3967</w:t>
            </w:r>
          </w:p>
        </w:tc>
        <w:tc>
          <w:tcPr>
            <w:tcW w:w="1275" w:type="dxa"/>
            <w:vAlign w:val="top"/>
          </w:tcPr>
          <w:p w14:paraId="1BE092B5">
            <w:pPr>
              <w:spacing w:before="93" w:line="195"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4.3225</w:t>
            </w:r>
          </w:p>
        </w:tc>
        <w:tc>
          <w:tcPr>
            <w:tcW w:w="1123" w:type="dxa"/>
            <w:vAlign w:val="top"/>
          </w:tcPr>
          <w:p w14:paraId="09282B10">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0.4153</w:t>
            </w:r>
          </w:p>
        </w:tc>
        <w:tc>
          <w:tcPr>
            <w:tcW w:w="1328" w:type="dxa"/>
            <w:vAlign w:val="top"/>
          </w:tcPr>
          <w:p w14:paraId="00157D83">
            <w:pPr>
              <w:spacing w:before="93" w:line="195" w:lineRule="auto"/>
              <w:ind w:left="37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4.1178</w:t>
            </w:r>
          </w:p>
        </w:tc>
      </w:tr>
      <w:tr w14:paraId="78E7E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552BBA70">
            <w:pPr>
              <w:pStyle w:val="6"/>
              <w:spacing w:before="56" w:line="228" w:lineRule="auto"/>
              <w:ind w:left="245"/>
            </w:pPr>
            <w:r>
              <w:rPr>
                <w:spacing w:val="5"/>
              </w:rPr>
              <w:t>距原点</w:t>
            </w:r>
            <w:r>
              <w:rPr>
                <w:rFonts w:ascii="Times New Roman" w:hAnsi="Times New Roman" w:eastAsia="Times New Roman" w:cs="Times New Roman"/>
                <w:spacing w:val="5"/>
              </w:rPr>
              <w:t xml:space="preserve">-15 </w:t>
            </w:r>
            <w:r>
              <w:rPr>
                <w:spacing w:val="5"/>
              </w:rPr>
              <w:t>米</w:t>
            </w:r>
          </w:p>
        </w:tc>
        <w:tc>
          <w:tcPr>
            <w:tcW w:w="1769" w:type="dxa"/>
            <w:vAlign w:val="top"/>
          </w:tcPr>
          <w:p w14:paraId="5B756497">
            <w:pPr>
              <w:spacing w:before="92" w:line="195" w:lineRule="auto"/>
              <w:ind w:left="67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3"/>
                <w:sz w:val="20"/>
                <w:szCs w:val="20"/>
              </w:rPr>
              <w:t>10.4</w:t>
            </w:r>
          </w:p>
        </w:tc>
        <w:tc>
          <w:tcPr>
            <w:tcW w:w="1183" w:type="dxa"/>
            <w:vAlign w:val="top"/>
          </w:tcPr>
          <w:p w14:paraId="79B7254C">
            <w:pPr>
              <w:spacing w:before="92"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0.4704</w:t>
            </w:r>
          </w:p>
        </w:tc>
        <w:tc>
          <w:tcPr>
            <w:tcW w:w="1275" w:type="dxa"/>
            <w:vAlign w:val="top"/>
          </w:tcPr>
          <w:p w14:paraId="1352227F">
            <w:pPr>
              <w:spacing w:before="92" w:line="195"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4.9023</w:t>
            </w:r>
          </w:p>
        </w:tc>
        <w:tc>
          <w:tcPr>
            <w:tcW w:w="1123" w:type="dxa"/>
            <w:vAlign w:val="top"/>
          </w:tcPr>
          <w:p w14:paraId="738ECBC7">
            <w:pPr>
              <w:spacing w:before="92"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0.4868</w:t>
            </w:r>
          </w:p>
        </w:tc>
        <w:tc>
          <w:tcPr>
            <w:tcW w:w="1328" w:type="dxa"/>
            <w:vAlign w:val="top"/>
          </w:tcPr>
          <w:p w14:paraId="73C5653A">
            <w:pPr>
              <w:spacing w:before="92" w:line="195" w:lineRule="auto"/>
              <w:ind w:left="37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4.6382</w:t>
            </w:r>
          </w:p>
        </w:tc>
      </w:tr>
      <w:tr w14:paraId="6E89B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7D5A6657">
            <w:pPr>
              <w:pStyle w:val="6"/>
              <w:spacing w:before="56" w:line="228" w:lineRule="auto"/>
              <w:ind w:left="245"/>
            </w:pPr>
            <w:r>
              <w:rPr>
                <w:spacing w:val="5"/>
              </w:rPr>
              <w:t>距原点</w:t>
            </w:r>
            <w:r>
              <w:rPr>
                <w:rFonts w:ascii="Times New Roman" w:hAnsi="Times New Roman" w:eastAsia="Times New Roman" w:cs="Times New Roman"/>
                <w:spacing w:val="5"/>
              </w:rPr>
              <w:t xml:space="preserve">-14 </w:t>
            </w:r>
            <w:r>
              <w:rPr>
                <w:spacing w:val="5"/>
              </w:rPr>
              <w:t>米</w:t>
            </w:r>
          </w:p>
        </w:tc>
        <w:tc>
          <w:tcPr>
            <w:tcW w:w="1769" w:type="dxa"/>
            <w:vAlign w:val="top"/>
          </w:tcPr>
          <w:p w14:paraId="582947BF">
            <w:pPr>
              <w:spacing w:before="92" w:line="195" w:lineRule="auto"/>
              <w:ind w:left="7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-9.4</w:t>
            </w:r>
          </w:p>
        </w:tc>
        <w:tc>
          <w:tcPr>
            <w:tcW w:w="1183" w:type="dxa"/>
            <w:vAlign w:val="top"/>
          </w:tcPr>
          <w:p w14:paraId="143B82FA">
            <w:pPr>
              <w:spacing w:before="92"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0.5627</w:t>
            </w:r>
          </w:p>
        </w:tc>
        <w:tc>
          <w:tcPr>
            <w:tcW w:w="1275" w:type="dxa"/>
            <w:vAlign w:val="top"/>
          </w:tcPr>
          <w:p w14:paraId="123A0E16">
            <w:pPr>
              <w:spacing w:before="92" w:line="195" w:lineRule="auto"/>
              <w:ind w:left="35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5.6012</w:t>
            </w:r>
          </w:p>
        </w:tc>
        <w:tc>
          <w:tcPr>
            <w:tcW w:w="1123" w:type="dxa"/>
            <w:vAlign w:val="top"/>
          </w:tcPr>
          <w:p w14:paraId="69E15E09">
            <w:pPr>
              <w:spacing w:before="92" w:line="195" w:lineRule="auto"/>
              <w:ind w:left="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0.574</w:t>
            </w:r>
          </w:p>
        </w:tc>
        <w:tc>
          <w:tcPr>
            <w:tcW w:w="1328" w:type="dxa"/>
            <w:vAlign w:val="top"/>
          </w:tcPr>
          <w:p w14:paraId="13A69C69">
            <w:pPr>
              <w:spacing w:before="92" w:line="195" w:lineRule="auto"/>
              <w:ind w:left="38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5.2556</w:t>
            </w:r>
          </w:p>
        </w:tc>
      </w:tr>
      <w:tr w14:paraId="77C09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093CEF46">
            <w:pPr>
              <w:pStyle w:val="6"/>
              <w:spacing w:before="55" w:line="228" w:lineRule="auto"/>
              <w:ind w:left="245"/>
            </w:pPr>
            <w:r>
              <w:rPr>
                <w:spacing w:val="5"/>
              </w:rPr>
              <w:t>距原点</w:t>
            </w:r>
            <w:r>
              <w:rPr>
                <w:rFonts w:ascii="Times New Roman" w:hAnsi="Times New Roman" w:eastAsia="Times New Roman" w:cs="Times New Roman"/>
                <w:spacing w:val="5"/>
              </w:rPr>
              <w:t xml:space="preserve">-13 </w:t>
            </w:r>
            <w:r>
              <w:rPr>
                <w:spacing w:val="5"/>
              </w:rPr>
              <w:t>米</w:t>
            </w:r>
          </w:p>
        </w:tc>
        <w:tc>
          <w:tcPr>
            <w:tcW w:w="1769" w:type="dxa"/>
            <w:vAlign w:val="top"/>
          </w:tcPr>
          <w:p w14:paraId="635BC32B">
            <w:pPr>
              <w:spacing w:before="94" w:line="195" w:lineRule="auto"/>
              <w:ind w:left="7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-8.4</w:t>
            </w:r>
          </w:p>
        </w:tc>
        <w:tc>
          <w:tcPr>
            <w:tcW w:w="1183" w:type="dxa"/>
            <w:vAlign w:val="top"/>
          </w:tcPr>
          <w:p w14:paraId="133F1F05">
            <w:pPr>
              <w:spacing w:before="94"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0.679</w:t>
            </w:r>
          </w:p>
        </w:tc>
        <w:tc>
          <w:tcPr>
            <w:tcW w:w="1275" w:type="dxa"/>
            <w:vAlign w:val="top"/>
          </w:tcPr>
          <w:p w14:paraId="75C5E16A">
            <w:pPr>
              <w:spacing w:before="94" w:line="195" w:lineRule="auto"/>
              <w:ind w:left="3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6.4513</w:t>
            </w:r>
          </w:p>
        </w:tc>
        <w:tc>
          <w:tcPr>
            <w:tcW w:w="1123" w:type="dxa"/>
            <w:vAlign w:val="top"/>
          </w:tcPr>
          <w:p w14:paraId="734FAD73">
            <w:pPr>
              <w:spacing w:before="94"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0.6801</w:t>
            </w:r>
          </w:p>
        </w:tc>
        <w:tc>
          <w:tcPr>
            <w:tcW w:w="1328" w:type="dxa"/>
            <w:vAlign w:val="top"/>
          </w:tcPr>
          <w:p w14:paraId="2A0C48C1">
            <w:pPr>
              <w:spacing w:before="94" w:line="195" w:lineRule="auto"/>
              <w:ind w:left="38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5.9915</w:t>
            </w:r>
          </w:p>
        </w:tc>
      </w:tr>
      <w:tr w14:paraId="478B4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49BAF85B">
            <w:pPr>
              <w:pStyle w:val="6"/>
              <w:spacing w:before="55" w:line="228" w:lineRule="auto"/>
              <w:ind w:left="245"/>
            </w:pPr>
            <w:r>
              <w:rPr>
                <w:spacing w:val="5"/>
              </w:rPr>
              <w:t>距原点</w:t>
            </w:r>
            <w:r>
              <w:rPr>
                <w:rFonts w:ascii="Times New Roman" w:hAnsi="Times New Roman" w:eastAsia="Times New Roman" w:cs="Times New Roman"/>
                <w:spacing w:val="5"/>
              </w:rPr>
              <w:t xml:space="preserve">-12 </w:t>
            </w:r>
            <w:r>
              <w:rPr>
                <w:spacing w:val="5"/>
              </w:rPr>
              <w:t>米</w:t>
            </w:r>
          </w:p>
        </w:tc>
        <w:tc>
          <w:tcPr>
            <w:tcW w:w="1769" w:type="dxa"/>
            <w:vAlign w:val="top"/>
          </w:tcPr>
          <w:p w14:paraId="34E21267">
            <w:pPr>
              <w:spacing w:before="93" w:line="195" w:lineRule="auto"/>
              <w:ind w:left="7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-7.4</w:t>
            </w:r>
          </w:p>
        </w:tc>
        <w:tc>
          <w:tcPr>
            <w:tcW w:w="1183" w:type="dxa"/>
            <w:vAlign w:val="top"/>
          </w:tcPr>
          <w:p w14:paraId="1C317FCE">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0.8254</w:t>
            </w:r>
          </w:p>
        </w:tc>
        <w:tc>
          <w:tcPr>
            <w:tcW w:w="1275" w:type="dxa"/>
            <w:vAlign w:val="top"/>
          </w:tcPr>
          <w:p w14:paraId="7C7EC9BD">
            <w:pPr>
              <w:spacing w:before="93"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7.4939</w:t>
            </w:r>
          </w:p>
        </w:tc>
        <w:tc>
          <w:tcPr>
            <w:tcW w:w="1123" w:type="dxa"/>
            <w:vAlign w:val="top"/>
          </w:tcPr>
          <w:p w14:paraId="17359CA6">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0.8083</w:t>
            </w:r>
          </w:p>
        </w:tc>
        <w:tc>
          <w:tcPr>
            <w:tcW w:w="1328" w:type="dxa"/>
            <w:vAlign w:val="top"/>
          </w:tcPr>
          <w:p w14:paraId="31991BEF">
            <w:pPr>
              <w:spacing w:before="93" w:line="195"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6.8721</w:t>
            </w:r>
          </w:p>
        </w:tc>
      </w:tr>
      <w:tr w14:paraId="20F28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11333B14">
            <w:pPr>
              <w:pStyle w:val="6"/>
              <w:spacing w:before="54" w:line="228" w:lineRule="auto"/>
              <w:ind w:left="247"/>
            </w:pPr>
            <w:r>
              <w:rPr>
                <w:spacing w:val="5"/>
              </w:rPr>
              <w:t>距原点</w:t>
            </w:r>
            <w:r>
              <w:rPr>
                <w:rFonts w:ascii="Times New Roman" w:hAnsi="Times New Roman" w:eastAsia="Times New Roman" w:cs="Times New Roman"/>
                <w:spacing w:val="5"/>
              </w:rPr>
              <w:t xml:space="preserve">-11 </w:t>
            </w:r>
            <w:r>
              <w:rPr>
                <w:spacing w:val="5"/>
              </w:rPr>
              <w:t>米</w:t>
            </w:r>
          </w:p>
        </w:tc>
        <w:tc>
          <w:tcPr>
            <w:tcW w:w="1769" w:type="dxa"/>
            <w:vAlign w:val="top"/>
          </w:tcPr>
          <w:p w14:paraId="6712A60B">
            <w:pPr>
              <w:spacing w:before="93" w:line="195" w:lineRule="auto"/>
              <w:ind w:left="7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-6.4</w:t>
            </w:r>
          </w:p>
        </w:tc>
        <w:tc>
          <w:tcPr>
            <w:tcW w:w="1183" w:type="dxa"/>
            <w:vAlign w:val="top"/>
          </w:tcPr>
          <w:p w14:paraId="570E2D2B">
            <w:pPr>
              <w:spacing w:before="93" w:line="195" w:lineRule="auto"/>
              <w:ind w:left="324"/>
              <w:rPr>
                <w:rFonts w:ascii="Times New Roman" w:hAnsi="Times New Roman" w:eastAsia="Times New Roman" w:cs="Times New Roman"/>
                <w:sz w:val="20"/>
                <w:szCs w:val="20"/>
              </w:rPr>
            </w:pPr>
            <w:r>
              <w:rPr>
                <w:rFonts w:ascii="Times New Roman" w:hAnsi="Times New Roman" w:eastAsia="Times New Roman" w:cs="Times New Roman"/>
                <w:sz w:val="20"/>
                <w:szCs w:val="20"/>
              </w:rPr>
              <w:t>1.0088</w:t>
            </w:r>
          </w:p>
        </w:tc>
        <w:tc>
          <w:tcPr>
            <w:tcW w:w="1275" w:type="dxa"/>
            <w:vAlign w:val="top"/>
          </w:tcPr>
          <w:p w14:paraId="569048B4">
            <w:pPr>
              <w:spacing w:before="93"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8.7811</w:t>
            </w:r>
          </w:p>
        </w:tc>
        <w:tc>
          <w:tcPr>
            <w:tcW w:w="1123" w:type="dxa"/>
            <w:vAlign w:val="top"/>
          </w:tcPr>
          <w:p w14:paraId="0BF25596">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0.9612</w:t>
            </w:r>
          </w:p>
        </w:tc>
        <w:tc>
          <w:tcPr>
            <w:tcW w:w="1328" w:type="dxa"/>
            <w:vAlign w:val="top"/>
          </w:tcPr>
          <w:p w14:paraId="2385EC00">
            <w:pPr>
              <w:spacing w:before="93"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7.9265</w:t>
            </w:r>
          </w:p>
        </w:tc>
      </w:tr>
      <w:tr w14:paraId="52056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7CE9509C">
            <w:pPr>
              <w:pStyle w:val="6"/>
              <w:spacing w:before="56" w:line="228" w:lineRule="auto"/>
              <w:ind w:left="245"/>
            </w:pPr>
            <w:r>
              <w:rPr>
                <w:spacing w:val="5"/>
              </w:rPr>
              <w:t>距原点</w:t>
            </w:r>
            <w:r>
              <w:rPr>
                <w:rFonts w:ascii="Times New Roman" w:hAnsi="Times New Roman" w:eastAsia="Times New Roman" w:cs="Times New Roman"/>
                <w:spacing w:val="5"/>
              </w:rPr>
              <w:t xml:space="preserve">-10 </w:t>
            </w:r>
            <w:r>
              <w:rPr>
                <w:spacing w:val="5"/>
              </w:rPr>
              <w:t>米</w:t>
            </w:r>
          </w:p>
        </w:tc>
        <w:tc>
          <w:tcPr>
            <w:tcW w:w="1769" w:type="dxa"/>
            <w:vAlign w:val="top"/>
          </w:tcPr>
          <w:p w14:paraId="08677125">
            <w:pPr>
              <w:spacing w:before="93" w:line="195" w:lineRule="auto"/>
              <w:ind w:left="7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-5.4</w:t>
            </w:r>
          </w:p>
        </w:tc>
        <w:tc>
          <w:tcPr>
            <w:tcW w:w="1183" w:type="dxa"/>
            <w:vAlign w:val="top"/>
          </w:tcPr>
          <w:p w14:paraId="6852E305">
            <w:pPr>
              <w:spacing w:before="93" w:line="195" w:lineRule="auto"/>
              <w:ind w:left="324"/>
              <w:rPr>
                <w:rFonts w:ascii="Times New Roman" w:hAnsi="Times New Roman" w:eastAsia="Times New Roman" w:cs="Times New Roman"/>
                <w:sz w:val="20"/>
                <w:szCs w:val="20"/>
              </w:rPr>
            </w:pPr>
            <w:r>
              <w:rPr>
                <w:rFonts w:ascii="Times New Roman" w:hAnsi="Times New Roman" w:eastAsia="Times New Roman" w:cs="Times New Roman"/>
                <w:sz w:val="20"/>
                <w:szCs w:val="20"/>
              </w:rPr>
              <w:t>1.2353</w:t>
            </w:r>
          </w:p>
        </w:tc>
        <w:tc>
          <w:tcPr>
            <w:tcW w:w="1275" w:type="dxa"/>
            <w:vAlign w:val="top"/>
          </w:tcPr>
          <w:p w14:paraId="5E35BE20">
            <w:pPr>
              <w:spacing w:before="93"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10.375</w:t>
            </w:r>
          </w:p>
        </w:tc>
        <w:tc>
          <w:tcPr>
            <w:tcW w:w="1123" w:type="dxa"/>
            <w:vAlign w:val="top"/>
          </w:tcPr>
          <w:p w14:paraId="7C9C03D8">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1.1387</w:t>
            </w:r>
          </w:p>
        </w:tc>
        <w:tc>
          <w:tcPr>
            <w:tcW w:w="1328" w:type="dxa"/>
            <w:vAlign w:val="top"/>
          </w:tcPr>
          <w:p w14:paraId="095D66CE">
            <w:pPr>
              <w:spacing w:before="93" w:line="195"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9.1836</w:t>
            </w:r>
          </w:p>
        </w:tc>
      </w:tr>
      <w:tr w14:paraId="5BF72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1B815834">
            <w:pPr>
              <w:pStyle w:val="6"/>
              <w:spacing w:before="56" w:line="228" w:lineRule="auto"/>
              <w:ind w:left="297"/>
            </w:pPr>
            <w:r>
              <w:rPr>
                <w:spacing w:val="4"/>
              </w:rPr>
              <w:t>距原点</w:t>
            </w:r>
            <w:r>
              <w:rPr>
                <w:rFonts w:ascii="Times New Roman" w:hAnsi="Times New Roman" w:eastAsia="Times New Roman" w:cs="Times New Roman"/>
                <w:spacing w:val="4"/>
              </w:rPr>
              <w:t>-9</w:t>
            </w:r>
            <w:r>
              <w:rPr>
                <w:rFonts w:ascii="Times New Roman" w:hAnsi="Times New Roman" w:eastAsia="Times New Roman" w:cs="Times New Roman"/>
                <w:spacing w:val="16"/>
                <w:w w:val="101"/>
              </w:rPr>
              <w:t xml:space="preserve"> </w:t>
            </w:r>
            <w:r>
              <w:rPr>
                <w:spacing w:val="4"/>
              </w:rPr>
              <w:t>米</w:t>
            </w:r>
          </w:p>
        </w:tc>
        <w:tc>
          <w:tcPr>
            <w:tcW w:w="1769" w:type="dxa"/>
            <w:vAlign w:val="top"/>
          </w:tcPr>
          <w:p w14:paraId="61D1EEE6">
            <w:pPr>
              <w:spacing w:before="92" w:line="195" w:lineRule="auto"/>
              <w:ind w:left="7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-4.4</w:t>
            </w:r>
          </w:p>
        </w:tc>
        <w:tc>
          <w:tcPr>
            <w:tcW w:w="1183" w:type="dxa"/>
            <w:vAlign w:val="top"/>
          </w:tcPr>
          <w:p w14:paraId="50A53C82">
            <w:pPr>
              <w:spacing w:before="92" w:line="195" w:lineRule="auto"/>
              <w:ind w:left="324"/>
              <w:rPr>
                <w:rFonts w:ascii="Times New Roman" w:hAnsi="Times New Roman" w:eastAsia="Times New Roman" w:cs="Times New Roman"/>
                <w:sz w:val="20"/>
                <w:szCs w:val="20"/>
              </w:rPr>
            </w:pPr>
            <w:r>
              <w:rPr>
                <w:rFonts w:ascii="Times New Roman" w:hAnsi="Times New Roman" w:eastAsia="Times New Roman" w:cs="Times New Roman"/>
                <w:sz w:val="20"/>
                <w:szCs w:val="20"/>
              </w:rPr>
              <w:t>1.5064</w:t>
            </w:r>
          </w:p>
        </w:tc>
        <w:tc>
          <w:tcPr>
            <w:tcW w:w="1275" w:type="dxa"/>
            <w:vAlign w:val="top"/>
          </w:tcPr>
          <w:p w14:paraId="7BD6EEDD">
            <w:pPr>
              <w:spacing w:before="92" w:line="195"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12.3391</w:t>
            </w:r>
          </w:p>
        </w:tc>
        <w:tc>
          <w:tcPr>
            <w:tcW w:w="1123" w:type="dxa"/>
            <w:vAlign w:val="top"/>
          </w:tcPr>
          <w:p w14:paraId="7A945AD5">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1.3359</w:t>
            </w:r>
          </w:p>
        </w:tc>
        <w:tc>
          <w:tcPr>
            <w:tcW w:w="1328" w:type="dxa"/>
            <w:vAlign w:val="top"/>
          </w:tcPr>
          <w:p w14:paraId="31FEB035">
            <w:pPr>
              <w:spacing w:before="92" w:line="195" w:lineRule="auto"/>
              <w:ind w:left="3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10.6631</w:t>
            </w:r>
          </w:p>
        </w:tc>
      </w:tr>
      <w:tr w14:paraId="0A045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49ED2FCC">
            <w:pPr>
              <w:pStyle w:val="6"/>
              <w:spacing w:before="56" w:line="228" w:lineRule="auto"/>
              <w:ind w:left="297"/>
            </w:pPr>
            <w:r>
              <w:rPr>
                <w:spacing w:val="4"/>
              </w:rPr>
              <w:t>距原点</w:t>
            </w:r>
            <w:r>
              <w:rPr>
                <w:rFonts w:ascii="Times New Roman" w:hAnsi="Times New Roman" w:eastAsia="Times New Roman" w:cs="Times New Roman"/>
                <w:spacing w:val="4"/>
              </w:rPr>
              <w:t>-8</w:t>
            </w:r>
            <w:r>
              <w:rPr>
                <w:rFonts w:ascii="Times New Roman" w:hAnsi="Times New Roman" w:eastAsia="Times New Roman" w:cs="Times New Roman"/>
                <w:spacing w:val="16"/>
                <w:w w:val="101"/>
              </w:rPr>
              <w:t xml:space="preserve"> </w:t>
            </w:r>
            <w:r>
              <w:rPr>
                <w:spacing w:val="4"/>
              </w:rPr>
              <w:t>米</w:t>
            </w:r>
          </w:p>
        </w:tc>
        <w:tc>
          <w:tcPr>
            <w:tcW w:w="1769" w:type="dxa"/>
            <w:vAlign w:val="top"/>
          </w:tcPr>
          <w:p w14:paraId="3F49A2CB">
            <w:pPr>
              <w:spacing w:before="92" w:line="195" w:lineRule="auto"/>
              <w:ind w:left="7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-3.4</w:t>
            </w:r>
          </w:p>
        </w:tc>
        <w:tc>
          <w:tcPr>
            <w:tcW w:w="1183" w:type="dxa"/>
            <w:vAlign w:val="top"/>
          </w:tcPr>
          <w:p w14:paraId="3BE47B2E">
            <w:pPr>
              <w:spacing w:before="92" w:line="195" w:lineRule="auto"/>
              <w:ind w:left="324"/>
              <w:rPr>
                <w:rFonts w:ascii="Times New Roman" w:hAnsi="Times New Roman" w:eastAsia="Times New Roman" w:cs="Times New Roman"/>
                <w:sz w:val="20"/>
                <w:szCs w:val="20"/>
              </w:rPr>
            </w:pPr>
            <w:r>
              <w:rPr>
                <w:rFonts w:ascii="Times New Roman" w:hAnsi="Times New Roman" w:eastAsia="Times New Roman" w:cs="Times New Roman"/>
                <w:sz w:val="20"/>
                <w:szCs w:val="20"/>
              </w:rPr>
              <w:t>1.8116</w:t>
            </w:r>
          </w:p>
        </w:tc>
        <w:tc>
          <w:tcPr>
            <w:tcW w:w="1275" w:type="dxa"/>
            <w:vAlign w:val="top"/>
          </w:tcPr>
          <w:p w14:paraId="20B0506B">
            <w:pPr>
              <w:spacing w:before="92" w:line="195"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14.7122</w:t>
            </w:r>
          </w:p>
        </w:tc>
        <w:tc>
          <w:tcPr>
            <w:tcW w:w="1123" w:type="dxa"/>
            <w:vAlign w:val="top"/>
          </w:tcPr>
          <w:p w14:paraId="2FDAAA99">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1.5383</w:t>
            </w:r>
          </w:p>
        </w:tc>
        <w:tc>
          <w:tcPr>
            <w:tcW w:w="1328" w:type="dxa"/>
            <w:vAlign w:val="top"/>
          </w:tcPr>
          <w:p w14:paraId="2E4DEC40">
            <w:pPr>
              <w:spacing w:before="92"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12.359</w:t>
            </w:r>
          </w:p>
        </w:tc>
      </w:tr>
      <w:tr w14:paraId="00054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2B105E19">
            <w:pPr>
              <w:pStyle w:val="6"/>
              <w:spacing w:before="55" w:line="228" w:lineRule="auto"/>
              <w:ind w:left="297"/>
            </w:pPr>
            <w:r>
              <w:rPr>
                <w:spacing w:val="4"/>
              </w:rPr>
              <w:t>距原点</w:t>
            </w:r>
            <w:r>
              <w:rPr>
                <w:rFonts w:ascii="Times New Roman" w:hAnsi="Times New Roman" w:eastAsia="Times New Roman" w:cs="Times New Roman"/>
                <w:spacing w:val="4"/>
              </w:rPr>
              <w:t>-7</w:t>
            </w:r>
            <w:r>
              <w:rPr>
                <w:rFonts w:ascii="Times New Roman" w:hAnsi="Times New Roman" w:eastAsia="Times New Roman" w:cs="Times New Roman"/>
                <w:spacing w:val="16"/>
                <w:w w:val="101"/>
              </w:rPr>
              <w:t xml:space="preserve"> </w:t>
            </w:r>
            <w:r>
              <w:rPr>
                <w:spacing w:val="4"/>
              </w:rPr>
              <w:t>米</w:t>
            </w:r>
          </w:p>
        </w:tc>
        <w:tc>
          <w:tcPr>
            <w:tcW w:w="1769" w:type="dxa"/>
            <w:vAlign w:val="top"/>
          </w:tcPr>
          <w:p w14:paraId="7347EC1E">
            <w:pPr>
              <w:spacing w:before="94" w:line="195" w:lineRule="auto"/>
              <w:ind w:left="7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-2.4</w:t>
            </w:r>
          </w:p>
        </w:tc>
        <w:tc>
          <w:tcPr>
            <w:tcW w:w="1183" w:type="dxa"/>
            <w:vAlign w:val="top"/>
          </w:tcPr>
          <w:p w14:paraId="7FB5CC68">
            <w:pPr>
              <w:spacing w:before="94" w:line="195" w:lineRule="auto"/>
              <w:ind w:left="30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2.1169</w:t>
            </w:r>
          </w:p>
        </w:tc>
        <w:tc>
          <w:tcPr>
            <w:tcW w:w="1275" w:type="dxa"/>
            <w:vAlign w:val="top"/>
          </w:tcPr>
          <w:p w14:paraId="699B6661">
            <w:pPr>
              <w:spacing w:before="94" w:line="195"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17.4505</w:t>
            </w:r>
          </w:p>
        </w:tc>
        <w:tc>
          <w:tcPr>
            <w:tcW w:w="1123" w:type="dxa"/>
            <w:vAlign w:val="top"/>
          </w:tcPr>
          <w:p w14:paraId="4E846EA3">
            <w:pPr>
              <w:spacing w:before="94"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1.7178</w:t>
            </w:r>
          </w:p>
        </w:tc>
        <w:tc>
          <w:tcPr>
            <w:tcW w:w="1328" w:type="dxa"/>
            <w:vAlign w:val="top"/>
          </w:tcPr>
          <w:p w14:paraId="35A21060">
            <w:pPr>
              <w:spacing w:before="94" w:line="195" w:lineRule="auto"/>
              <w:ind w:left="3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14.2134</w:t>
            </w:r>
          </w:p>
        </w:tc>
      </w:tr>
      <w:tr w14:paraId="26761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42647C7F">
            <w:pPr>
              <w:pStyle w:val="6"/>
              <w:spacing w:before="55" w:line="228" w:lineRule="auto"/>
              <w:ind w:left="297"/>
            </w:pPr>
            <w:r>
              <w:rPr>
                <w:spacing w:val="4"/>
              </w:rPr>
              <w:t>距原点</w:t>
            </w:r>
            <w:r>
              <w:rPr>
                <w:rFonts w:ascii="Times New Roman" w:hAnsi="Times New Roman" w:eastAsia="Times New Roman" w:cs="Times New Roman"/>
                <w:spacing w:val="4"/>
              </w:rPr>
              <w:t>-6</w:t>
            </w:r>
            <w:r>
              <w:rPr>
                <w:rFonts w:ascii="Times New Roman" w:hAnsi="Times New Roman" w:eastAsia="Times New Roman" w:cs="Times New Roman"/>
                <w:spacing w:val="16"/>
                <w:w w:val="101"/>
              </w:rPr>
              <w:t xml:space="preserve"> </w:t>
            </w:r>
            <w:r>
              <w:rPr>
                <w:spacing w:val="4"/>
              </w:rPr>
              <w:t>米</w:t>
            </w:r>
          </w:p>
        </w:tc>
        <w:tc>
          <w:tcPr>
            <w:tcW w:w="1769" w:type="dxa"/>
            <w:vAlign w:val="top"/>
          </w:tcPr>
          <w:p w14:paraId="16771289">
            <w:pPr>
              <w:spacing w:before="93" w:line="195" w:lineRule="auto"/>
              <w:ind w:left="724"/>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w:t>
            </w:r>
            <w:r>
              <w:rPr>
                <w:rFonts w:ascii="Times New Roman" w:hAnsi="Times New Roman" w:eastAsia="Times New Roman" w:cs="Times New Roman"/>
                <w:spacing w:val="-27"/>
                <w:sz w:val="20"/>
                <w:szCs w:val="20"/>
              </w:rPr>
              <w:t xml:space="preserve"> </w:t>
            </w:r>
            <w:r>
              <w:rPr>
                <w:rFonts w:ascii="Times New Roman" w:hAnsi="Times New Roman" w:eastAsia="Times New Roman" w:cs="Times New Roman"/>
                <w:spacing w:val="-5"/>
                <w:sz w:val="20"/>
                <w:szCs w:val="20"/>
              </w:rPr>
              <w:t>1.4</w:t>
            </w:r>
          </w:p>
        </w:tc>
        <w:tc>
          <w:tcPr>
            <w:tcW w:w="1183" w:type="dxa"/>
            <w:vAlign w:val="top"/>
          </w:tcPr>
          <w:p w14:paraId="793D4468">
            <w:pPr>
              <w:spacing w:before="93" w:line="195" w:lineRule="auto"/>
              <w:ind w:left="30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2.3537</w:t>
            </w:r>
          </w:p>
        </w:tc>
        <w:tc>
          <w:tcPr>
            <w:tcW w:w="1275" w:type="dxa"/>
            <w:vAlign w:val="top"/>
          </w:tcPr>
          <w:p w14:paraId="231E67B7">
            <w:pPr>
              <w:spacing w:before="93" w:line="195" w:lineRule="auto"/>
              <w:ind w:left="29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20.3409</w:t>
            </w:r>
          </w:p>
        </w:tc>
        <w:tc>
          <w:tcPr>
            <w:tcW w:w="1123" w:type="dxa"/>
            <w:vAlign w:val="top"/>
          </w:tcPr>
          <w:p w14:paraId="52B549B2">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1.8327</w:t>
            </w:r>
          </w:p>
        </w:tc>
        <w:tc>
          <w:tcPr>
            <w:tcW w:w="1328" w:type="dxa"/>
            <w:vAlign w:val="top"/>
          </w:tcPr>
          <w:p w14:paraId="09C47CC8">
            <w:pPr>
              <w:spacing w:before="93" w:line="195" w:lineRule="auto"/>
              <w:ind w:left="3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16.0935</w:t>
            </w:r>
          </w:p>
        </w:tc>
      </w:tr>
      <w:tr w14:paraId="0B0A8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10A4E5EA">
            <w:pPr>
              <w:pStyle w:val="6"/>
              <w:spacing w:before="54" w:line="228" w:lineRule="auto"/>
              <w:ind w:left="297"/>
            </w:pPr>
            <w:r>
              <w:rPr>
                <w:spacing w:val="4"/>
              </w:rPr>
              <w:t>距原点</w:t>
            </w:r>
            <w:r>
              <w:rPr>
                <w:rFonts w:ascii="Times New Roman" w:hAnsi="Times New Roman" w:eastAsia="Times New Roman" w:cs="Times New Roman"/>
                <w:spacing w:val="4"/>
              </w:rPr>
              <w:t>-5</w:t>
            </w:r>
            <w:r>
              <w:rPr>
                <w:rFonts w:ascii="Times New Roman" w:hAnsi="Times New Roman" w:eastAsia="Times New Roman" w:cs="Times New Roman"/>
                <w:spacing w:val="16"/>
                <w:w w:val="101"/>
              </w:rPr>
              <w:t xml:space="preserve"> </w:t>
            </w:r>
            <w:r>
              <w:rPr>
                <w:spacing w:val="4"/>
              </w:rPr>
              <w:t>米</w:t>
            </w:r>
          </w:p>
        </w:tc>
        <w:tc>
          <w:tcPr>
            <w:tcW w:w="1769" w:type="dxa"/>
            <w:vAlign w:val="top"/>
          </w:tcPr>
          <w:p w14:paraId="0CC92DE3">
            <w:pPr>
              <w:spacing w:before="93" w:line="195" w:lineRule="auto"/>
              <w:ind w:left="7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183" w:type="dxa"/>
            <w:vAlign w:val="top"/>
          </w:tcPr>
          <w:p w14:paraId="566235E5">
            <w:pPr>
              <w:spacing w:before="93" w:line="195" w:lineRule="auto"/>
              <w:ind w:left="305"/>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2.4295</w:t>
            </w:r>
          </w:p>
        </w:tc>
        <w:tc>
          <w:tcPr>
            <w:tcW w:w="1275" w:type="dxa"/>
            <w:vAlign w:val="top"/>
          </w:tcPr>
          <w:p w14:paraId="48D0F9AB">
            <w:pPr>
              <w:spacing w:before="93" w:line="195" w:lineRule="auto"/>
              <w:ind w:left="29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22.9662</w:t>
            </w:r>
          </w:p>
        </w:tc>
        <w:tc>
          <w:tcPr>
            <w:tcW w:w="1123" w:type="dxa"/>
            <w:vAlign w:val="top"/>
          </w:tcPr>
          <w:p w14:paraId="68A577FB">
            <w:pPr>
              <w:spacing w:before="93" w:line="195" w:lineRule="auto"/>
              <w:ind w:left="284"/>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1.8378</w:t>
            </w:r>
          </w:p>
        </w:tc>
        <w:tc>
          <w:tcPr>
            <w:tcW w:w="1328" w:type="dxa"/>
            <w:vAlign w:val="top"/>
          </w:tcPr>
          <w:p w14:paraId="27FA2ABB">
            <w:pPr>
              <w:spacing w:before="93"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17.801</w:t>
            </w:r>
          </w:p>
        </w:tc>
      </w:tr>
      <w:tr w14:paraId="2E882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7BE28C79">
            <w:pPr>
              <w:pStyle w:val="6"/>
              <w:spacing w:before="56" w:line="228" w:lineRule="auto"/>
              <w:ind w:left="297"/>
            </w:pPr>
            <w:r>
              <w:rPr>
                <w:spacing w:val="4"/>
              </w:rPr>
              <w:t>距原点</w:t>
            </w:r>
            <w:r>
              <w:rPr>
                <w:rFonts w:ascii="Times New Roman" w:hAnsi="Times New Roman" w:eastAsia="Times New Roman" w:cs="Times New Roman"/>
                <w:spacing w:val="4"/>
              </w:rPr>
              <w:t>-4</w:t>
            </w:r>
            <w:r>
              <w:rPr>
                <w:rFonts w:ascii="Times New Roman" w:hAnsi="Times New Roman" w:eastAsia="Times New Roman" w:cs="Times New Roman"/>
                <w:spacing w:val="16"/>
                <w:w w:val="101"/>
              </w:rPr>
              <w:t xml:space="preserve"> </w:t>
            </w:r>
            <w:r>
              <w:rPr>
                <w:spacing w:val="4"/>
              </w:rPr>
              <w:t>米</w:t>
            </w:r>
          </w:p>
        </w:tc>
        <w:tc>
          <w:tcPr>
            <w:tcW w:w="1769" w:type="dxa"/>
            <w:vAlign w:val="top"/>
          </w:tcPr>
          <w:p w14:paraId="6D32F5F0">
            <w:pPr>
              <w:pStyle w:val="6"/>
              <w:spacing w:before="56" w:line="228" w:lineRule="auto"/>
              <w:ind w:left="468"/>
            </w:pPr>
            <w:r>
              <w:rPr>
                <w:spacing w:val="7"/>
              </w:rPr>
              <w:t>边导线内</w:t>
            </w:r>
          </w:p>
        </w:tc>
        <w:tc>
          <w:tcPr>
            <w:tcW w:w="1183" w:type="dxa"/>
            <w:vAlign w:val="top"/>
          </w:tcPr>
          <w:p w14:paraId="7F3CB342">
            <w:pPr>
              <w:spacing w:before="93" w:line="195" w:lineRule="auto"/>
              <w:ind w:left="3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2.279</w:t>
            </w:r>
          </w:p>
        </w:tc>
        <w:tc>
          <w:tcPr>
            <w:tcW w:w="1275" w:type="dxa"/>
            <w:vAlign w:val="top"/>
          </w:tcPr>
          <w:p w14:paraId="4E5EE082">
            <w:pPr>
              <w:spacing w:before="93" w:line="195" w:lineRule="auto"/>
              <w:ind w:left="29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24.8743</w:t>
            </w:r>
          </w:p>
        </w:tc>
        <w:tc>
          <w:tcPr>
            <w:tcW w:w="1123" w:type="dxa"/>
            <w:vAlign w:val="top"/>
          </w:tcPr>
          <w:p w14:paraId="584C90CE">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1.7069</w:t>
            </w:r>
          </w:p>
        </w:tc>
        <w:tc>
          <w:tcPr>
            <w:tcW w:w="1328" w:type="dxa"/>
            <w:vAlign w:val="top"/>
          </w:tcPr>
          <w:p w14:paraId="083EEE0F">
            <w:pPr>
              <w:spacing w:before="93" w:line="195" w:lineRule="auto"/>
              <w:ind w:left="3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19.1434</w:t>
            </w:r>
          </w:p>
        </w:tc>
      </w:tr>
      <w:tr w14:paraId="436F14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145D0F37">
            <w:pPr>
              <w:pStyle w:val="6"/>
              <w:spacing w:before="56" w:line="228" w:lineRule="auto"/>
              <w:ind w:left="297"/>
            </w:pPr>
            <w:r>
              <w:rPr>
                <w:spacing w:val="4"/>
              </w:rPr>
              <w:t>距原点</w:t>
            </w:r>
            <w:r>
              <w:rPr>
                <w:rFonts w:ascii="Times New Roman" w:hAnsi="Times New Roman" w:eastAsia="Times New Roman" w:cs="Times New Roman"/>
                <w:spacing w:val="4"/>
              </w:rPr>
              <w:t>-3</w:t>
            </w:r>
            <w:r>
              <w:rPr>
                <w:rFonts w:ascii="Times New Roman" w:hAnsi="Times New Roman" w:eastAsia="Times New Roman" w:cs="Times New Roman"/>
                <w:spacing w:val="16"/>
                <w:w w:val="101"/>
              </w:rPr>
              <w:t xml:space="preserve"> </w:t>
            </w:r>
            <w:r>
              <w:rPr>
                <w:spacing w:val="4"/>
              </w:rPr>
              <w:t>米</w:t>
            </w:r>
          </w:p>
        </w:tc>
        <w:tc>
          <w:tcPr>
            <w:tcW w:w="1769" w:type="dxa"/>
            <w:vAlign w:val="top"/>
          </w:tcPr>
          <w:p w14:paraId="68D84BC9">
            <w:pPr>
              <w:pStyle w:val="6"/>
              <w:spacing w:before="56" w:line="228" w:lineRule="auto"/>
              <w:ind w:left="468"/>
            </w:pPr>
            <w:r>
              <w:rPr>
                <w:spacing w:val="7"/>
              </w:rPr>
              <w:t>边导线内</w:t>
            </w:r>
          </w:p>
        </w:tc>
        <w:tc>
          <w:tcPr>
            <w:tcW w:w="1183" w:type="dxa"/>
            <w:vAlign w:val="top"/>
          </w:tcPr>
          <w:p w14:paraId="467A5282">
            <w:pPr>
              <w:spacing w:before="92" w:line="195" w:lineRule="auto"/>
              <w:ind w:left="324"/>
              <w:rPr>
                <w:rFonts w:ascii="Times New Roman" w:hAnsi="Times New Roman" w:eastAsia="Times New Roman" w:cs="Times New Roman"/>
                <w:sz w:val="20"/>
                <w:szCs w:val="20"/>
              </w:rPr>
            </w:pPr>
            <w:r>
              <w:rPr>
                <w:rFonts w:ascii="Times New Roman" w:hAnsi="Times New Roman" w:eastAsia="Times New Roman" w:cs="Times New Roman"/>
                <w:sz w:val="20"/>
                <w:szCs w:val="20"/>
              </w:rPr>
              <w:t>1.9228</w:t>
            </w:r>
          </w:p>
        </w:tc>
        <w:tc>
          <w:tcPr>
            <w:tcW w:w="1275" w:type="dxa"/>
            <w:vAlign w:val="top"/>
          </w:tcPr>
          <w:p w14:paraId="40D695E6">
            <w:pPr>
              <w:spacing w:before="92" w:line="195" w:lineRule="auto"/>
              <w:ind w:left="29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25.8971</w:t>
            </w:r>
          </w:p>
        </w:tc>
        <w:tc>
          <w:tcPr>
            <w:tcW w:w="1123" w:type="dxa"/>
            <w:vAlign w:val="top"/>
          </w:tcPr>
          <w:p w14:paraId="00FD251E">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1.4544</w:t>
            </w:r>
          </w:p>
        </w:tc>
        <w:tc>
          <w:tcPr>
            <w:tcW w:w="1328" w:type="dxa"/>
            <w:vAlign w:val="top"/>
          </w:tcPr>
          <w:p w14:paraId="613A771E">
            <w:pPr>
              <w:spacing w:before="92" w:line="195" w:lineRule="auto"/>
              <w:ind w:left="32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20.0296</w:t>
            </w:r>
          </w:p>
        </w:tc>
      </w:tr>
      <w:tr w14:paraId="5A7EF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0B4D89C7">
            <w:pPr>
              <w:pStyle w:val="6"/>
              <w:spacing w:before="56" w:line="228" w:lineRule="auto"/>
              <w:ind w:left="297"/>
            </w:pPr>
            <w:r>
              <w:rPr>
                <w:spacing w:val="4"/>
              </w:rPr>
              <w:t>距原点</w:t>
            </w:r>
            <w:r>
              <w:rPr>
                <w:rFonts w:ascii="Times New Roman" w:hAnsi="Times New Roman" w:eastAsia="Times New Roman" w:cs="Times New Roman"/>
                <w:spacing w:val="4"/>
              </w:rPr>
              <w:t>-2</w:t>
            </w:r>
            <w:r>
              <w:rPr>
                <w:rFonts w:ascii="Times New Roman" w:hAnsi="Times New Roman" w:eastAsia="Times New Roman" w:cs="Times New Roman"/>
                <w:spacing w:val="16"/>
                <w:w w:val="101"/>
              </w:rPr>
              <w:t xml:space="preserve"> </w:t>
            </w:r>
            <w:r>
              <w:rPr>
                <w:spacing w:val="4"/>
              </w:rPr>
              <w:t>米</w:t>
            </w:r>
          </w:p>
        </w:tc>
        <w:tc>
          <w:tcPr>
            <w:tcW w:w="1769" w:type="dxa"/>
            <w:vAlign w:val="top"/>
          </w:tcPr>
          <w:p w14:paraId="75F61D38">
            <w:pPr>
              <w:pStyle w:val="6"/>
              <w:spacing w:before="56" w:line="228" w:lineRule="auto"/>
              <w:ind w:left="468"/>
            </w:pPr>
            <w:r>
              <w:rPr>
                <w:spacing w:val="7"/>
              </w:rPr>
              <w:t>边导线内</w:t>
            </w:r>
          </w:p>
        </w:tc>
        <w:tc>
          <w:tcPr>
            <w:tcW w:w="1183" w:type="dxa"/>
            <w:vAlign w:val="top"/>
          </w:tcPr>
          <w:p w14:paraId="2B2923B7">
            <w:pPr>
              <w:spacing w:before="92" w:line="195" w:lineRule="auto"/>
              <w:ind w:left="324"/>
              <w:rPr>
                <w:rFonts w:ascii="Times New Roman" w:hAnsi="Times New Roman" w:eastAsia="Times New Roman" w:cs="Times New Roman"/>
                <w:sz w:val="20"/>
                <w:szCs w:val="20"/>
              </w:rPr>
            </w:pPr>
            <w:r>
              <w:rPr>
                <w:rFonts w:ascii="Times New Roman" w:hAnsi="Times New Roman" w:eastAsia="Times New Roman" w:cs="Times New Roman"/>
                <w:sz w:val="20"/>
                <w:szCs w:val="20"/>
              </w:rPr>
              <w:t>1.4712</w:t>
            </w:r>
          </w:p>
        </w:tc>
        <w:tc>
          <w:tcPr>
            <w:tcW w:w="1275" w:type="dxa"/>
            <w:vAlign w:val="top"/>
          </w:tcPr>
          <w:p w14:paraId="5BDB3F86">
            <w:pPr>
              <w:spacing w:before="92" w:line="195" w:lineRule="auto"/>
              <w:ind w:left="29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26.2445</w:t>
            </w:r>
          </w:p>
        </w:tc>
        <w:tc>
          <w:tcPr>
            <w:tcW w:w="1123" w:type="dxa"/>
            <w:vAlign w:val="top"/>
          </w:tcPr>
          <w:p w14:paraId="544A2B74">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1.1432</w:t>
            </w:r>
          </w:p>
        </w:tc>
        <w:tc>
          <w:tcPr>
            <w:tcW w:w="1328" w:type="dxa"/>
            <w:vAlign w:val="top"/>
          </w:tcPr>
          <w:p w14:paraId="21EBACC3">
            <w:pPr>
              <w:spacing w:before="92" w:line="195" w:lineRule="auto"/>
              <w:ind w:left="32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20.5025</w:t>
            </w:r>
          </w:p>
        </w:tc>
      </w:tr>
      <w:tr w14:paraId="1BF198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4C1AE036">
            <w:pPr>
              <w:pStyle w:val="6"/>
              <w:spacing w:before="55" w:line="228" w:lineRule="auto"/>
              <w:ind w:left="297"/>
            </w:pPr>
            <w:r>
              <w:rPr>
                <w:spacing w:val="4"/>
              </w:rPr>
              <w:t>距原点</w:t>
            </w:r>
            <w:r>
              <w:rPr>
                <w:rFonts w:ascii="Times New Roman" w:hAnsi="Times New Roman" w:eastAsia="Times New Roman" w:cs="Times New Roman"/>
                <w:spacing w:val="4"/>
              </w:rPr>
              <w:t>-1</w:t>
            </w:r>
            <w:r>
              <w:rPr>
                <w:rFonts w:ascii="Times New Roman" w:hAnsi="Times New Roman" w:eastAsia="Times New Roman" w:cs="Times New Roman"/>
                <w:spacing w:val="16"/>
                <w:w w:val="101"/>
              </w:rPr>
              <w:t xml:space="preserve"> </w:t>
            </w:r>
            <w:r>
              <w:rPr>
                <w:spacing w:val="4"/>
              </w:rPr>
              <w:t>米</w:t>
            </w:r>
          </w:p>
        </w:tc>
        <w:tc>
          <w:tcPr>
            <w:tcW w:w="1769" w:type="dxa"/>
            <w:vAlign w:val="top"/>
          </w:tcPr>
          <w:p w14:paraId="490005B3">
            <w:pPr>
              <w:pStyle w:val="6"/>
              <w:spacing w:before="55" w:line="228" w:lineRule="auto"/>
              <w:ind w:left="468"/>
            </w:pPr>
            <w:r>
              <w:rPr>
                <w:spacing w:val="7"/>
              </w:rPr>
              <w:t>边导线内</w:t>
            </w:r>
          </w:p>
        </w:tc>
        <w:tc>
          <w:tcPr>
            <w:tcW w:w="1183" w:type="dxa"/>
            <w:vAlign w:val="top"/>
          </w:tcPr>
          <w:p w14:paraId="05F76474">
            <w:pPr>
              <w:spacing w:before="94" w:line="195" w:lineRule="auto"/>
              <w:ind w:left="324"/>
              <w:rPr>
                <w:rFonts w:ascii="Times New Roman" w:hAnsi="Times New Roman" w:eastAsia="Times New Roman" w:cs="Times New Roman"/>
                <w:sz w:val="20"/>
                <w:szCs w:val="20"/>
              </w:rPr>
            </w:pPr>
            <w:r>
              <w:rPr>
                <w:rFonts w:ascii="Times New Roman" w:hAnsi="Times New Roman" w:eastAsia="Times New Roman" w:cs="Times New Roman"/>
                <w:sz w:val="20"/>
                <w:szCs w:val="20"/>
              </w:rPr>
              <w:t>1.1092</w:t>
            </w:r>
          </w:p>
        </w:tc>
        <w:tc>
          <w:tcPr>
            <w:tcW w:w="1275" w:type="dxa"/>
            <w:vAlign w:val="top"/>
          </w:tcPr>
          <w:p w14:paraId="49D0A638">
            <w:pPr>
              <w:spacing w:before="94" w:line="195" w:lineRule="auto"/>
              <w:ind w:left="298"/>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26.2672</w:t>
            </w:r>
          </w:p>
        </w:tc>
        <w:tc>
          <w:tcPr>
            <w:tcW w:w="1123" w:type="dxa"/>
            <w:vAlign w:val="top"/>
          </w:tcPr>
          <w:p w14:paraId="5E1C8189">
            <w:pPr>
              <w:spacing w:before="94"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0.8944</w:t>
            </w:r>
          </w:p>
        </w:tc>
        <w:tc>
          <w:tcPr>
            <w:tcW w:w="1328" w:type="dxa"/>
            <w:vAlign w:val="top"/>
          </w:tcPr>
          <w:p w14:paraId="7E5C9518">
            <w:pPr>
              <w:spacing w:before="94" w:line="195" w:lineRule="auto"/>
              <w:ind w:left="324"/>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20.6741</w:t>
            </w:r>
          </w:p>
        </w:tc>
      </w:tr>
      <w:tr w14:paraId="49ED03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2DA773A9">
            <w:pPr>
              <w:pStyle w:val="6"/>
              <w:spacing w:before="55" w:line="228" w:lineRule="auto"/>
              <w:ind w:left="305"/>
            </w:pPr>
            <w:r>
              <w:rPr>
                <w:spacing w:val="15"/>
              </w:rPr>
              <w:t>距原点</w:t>
            </w:r>
            <w:r>
              <w:rPr>
                <w:rFonts w:ascii="Times New Roman" w:hAnsi="Times New Roman" w:eastAsia="Times New Roman" w:cs="Times New Roman"/>
                <w:spacing w:val="15"/>
              </w:rPr>
              <w:t xml:space="preserve">0 </w:t>
            </w:r>
            <w:r>
              <w:rPr>
                <w:spacing w:val="15"/>
              </w:rPr>
              <w:t>米</w:t>
            </w:r>
          </w:p>
        </w:tc>
        <w:tc>
          <w:tcPr>
            <w:tcW w:w="1769" w:type="dxa"/>
            <w:vAlign w:val="top"/>
          </w:tcPr>
          <w:p w14:paraId="32AB3AED">
            <w:pPr>
              <w:pStyle w:val="6"/>
              <w:spacing w:before="55" w:line="228" w:lineRule="auto"/>
              <w:ind w:left="468"/>
            </w:pPr>
            <w:r>
              <w:rPr>
                <w:spacing w:val="7"/>
              </w:rPr>
              <w:t>边导线内</w:t>
            </w:r>
          </w:p>
        </w:tc>
        <w:tc>
          <w:tcPr>
            <w:tcW w:w="1183" w:type="dxa"/>
            <w:vAlign w:val="top"/>
          </w:tcPr>
          <w:p w14:paraId="1E2D3DE2">
            <w:pPr>
              <w:spacing w:before="93" w:line="195" w:lineRule="auto"/>
              <w:ind w:left="324"/>
              <w:rPr>
                <w:rFonts w:ascii="Times New Roman" w:hAnsi="Times New Roman" w:eastAsia="Times New Roman" w:cs="Times New Roman"/>
                <w:sz w:val="20"/>
                <w:szCs w:val="20"/>
              </w:rPr>
            </w:pPr>
            <w:r>
              <w:rPr>
                <w:rFonts w:ascii="Times New Roman" w:hAnsi="Times New Roman" w:eastAsia="Times New Roman" w:cs="Times New Roman"/>
                <w:sz w:val="20"/>
                <w:szCs w:val="20"/>
              </w:rPr>
              <w:t>1.0853</w:t>
            </w:r>
          </w:p>
        </w:tc>
        <w:tc>
          <w:tcPr>
            <w:tcW w:w="1275" w:type="dxa"/>
            <w:vAlign w:val="top"/>
          </w:tcPr>
          <w:p w14:paraId="1B3E3E21">
            <w:pPr>
              <w:spacing w:before="93" w:line="195" w:lineRule="auto"/>
              <w:ind w:left="29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26.2002</w:t>
            </w:r>
          </w:p>
        </w:tc>
        <w:tc>
          <w:tcPr>
            <w:tcW w:w="1123" w:type="dxa"/>
            <w:vAlign w:val="top"/>
          </w:tcPr>
          <w:p w14:paraId="4C66EC0F">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0.8746</w:t>
            </w:r>
          </w:p>
        </w:tc>
        <w:tc>
          <w:tcPr>
            <w:tcW w:w="1328" w:type="dxa"/>
            <w:vAlign w:val="top"/>
          </w:tcPr>
          <w:p w14:paraId="458AE98A">
            <w:pPr>
              <w:spacing w:before="93" w:line="195" w:lineRule="auto"/>
              <w:ind w:left="32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20.6325</w:t>
            </w:r>
          </w:p>
        </w:tc>
      </w:tr>
      <w:tr w14:paraId="75425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037EA086">
            <w:pPr>
              <w:pStyle w:val="6"/>
              <w:spacing w:before="54" w:line="228" w:lineRule="auto"/>
              <w:ind w:left="305"/>
            </w:pPr>
            <w:r>
              <w:t>距原点</w:t>
            </w:r>
            <w:r>
              <w:rPr>
                <w:spacing w:val="-22"/>
              </w:rPr>
              <w:t xml:space="preserve"> </w:t>
            </w:r>
            <w:r>
              <w:rPr>
                <w:rFonts w:ascii="Times New Roman" w:hAnsi="Times New Roman" w:eastAsia="Times New Roman" w:cs="Times New Roman"/>
              </w:rPr>
              <w:t>1</w:t>
            </w:r>
            <w:r>
              <w:rPr>
                <w:rFonts w:ascii="Times New Roman" w:hAnsi="Times New Roman" w:eastAsia="Times New Roman" w:cs="Times New Roman"/>
                <w:spacing w:val="12"/>
                <w:w w:val="101"/>
              </w:rPr>
              <w:t xml:space="preserve"> </w:t>
            </w:r>
            <w:r>
              <w:t>米</w:t>
            </w:r>
          </w:p>
        </w:tc>
        <w:tc>
          <w:tcPr>
            <w:tcW w:w="1769" w:type="dxa"/>
            <w:vAlign w:val="top"/>
          </w:tcPr>
          <w:p w14:paraId="461B8FEC">
            <w:pPr>
              <w:pStyle w:val="6"/>
              <w:spacing w:before="54" w:line="228" w:lineRule="auto"/>
              <w:ind w:left="468"/>
            </w:pPr>
            <w:r>
              <w:rPr>
                <w:spacing w:val="7"/>
              </w:rPr>
              <w:t>边导线内</w:t>
            </w:r>
          </w:p>
        </w:tc>
        <w:tc>
          <w:tcPr>
            <w:tcW w:w="1183" w:type="dxa"/>
            <w:vAlign w:val="top"/>
          </w:tcPr>
          <w:p w14:paraId="703C79B7">
            <w:pPr>
              <w:spacing w:before="93" w:line="195" w:lineRule="auto"/>
              <w:ind w:left="324"/>
              <w:rPr>
                <w:rFonts w:ascii="Times New Roman" w:hAnsi="Times New Roman" w:eastAsia="Times New Roman" w:cs="Times New Roman"/>
                <w:sz w:val="20"/>
                <w:szCs w:val="20"/>
              </w:rPr>
            </w:pPr>
            <w:r>
              <w:rPr>
                <w:rFonts w:ascii="Times New Roman" w:hAnsi="Times New Roman" w:eastAsia="Times New Roman" w:cs="Times New Roman"/>
                <w:sz w:val="20"/>
                <w:szCs w:val="20"/>
              </w:rPr>
              <w:t>1.4173</w:t>
            </w:r>
          </w:p>
        </w:tc>
        <w:tc>
          <w:tcPr>
            <w:tcW w:w="1275" w:type="dxa"/>
            <w:vAlign w:val="top"/>
          </w:tcPr>
          <w:p w14:paraId="1CB70BEC">
            <w:pPr>
              <w:spacing w:before="93" w:line="195" w:lineRule="auto"/>
              <w:ind w:left="29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26.0557</w:t>
            </w:r>
          </w:p>
        </w:tc>
        <w:tc>
          <w:tcPr>
            <w:tcW w:w="1123" w:type="dxa"/>
            <w:vAlign w:val="top"/>
          </w:tcPr>
          <w:p w14:paraId="55809534">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1.0974</w:t>
            </w:r>
          </w:p>
        </w:tc>
        <w:tc>
          <w:tcPr>
            <w:tcW w:w="1328" w:type="dxa"/>
            <w:vAlign w:val="top"/>
          </w:tcPr>
          <w:p w14:paraId="6C177DD5">
            <w:pPr>
              <w:spacing w:before="93" w:line="195" w:lineRule="auto"/>
              <w:ind w:left="32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20.3848</w:t>
            </w:r>
          </w:p>
        </w:tc>
      </w:tr>
      <w:tr w14:paraId="7261AF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280CE454">
            <w:pPr>
              <w:pStyle w:val="6"/>
              <w:spacing w:before="56" w:line="228" w:lineRule="auto"/>
              <w:ind w:left="305"/>
            </w:pPr>
            <w:r>
              <w:rPr>
                <w:spacing w:val="4"/>
              </w:rPr>
              <w:t>距原点</w:t>
            </w:r>
            <w:r>
              <w:rPr>
                <w:spacing w:val="-42"/>
              </w:rPr>
              <w:t xml:space="preserve"> </w:t>
            </w:r>
            <w:r>
              <w:rPr>
                <w:rFonts w:ascii="Times New Roman" w:hAnsi="Times New Roman" w:eastAsia="Times New Roman" w:cs="Times New Roman"/>
                <w:spacing w:val="4"/>
              </w:rPr>
              <w:t>2</w:t>
            </w:r>
            <w:r>
              <w:rPr>
                <w:rFonts w:ascii="Times New Roman" w:hAnsi="Times New Roman" w:eastAsia="Times New Roman" w:cs="Times New Roman"/>
                <w:spacing w:val="12"/>
                <w:w w:val="101"/>
              </w:rPr>
              <w:t xml:space="preserve"> </w:t>
            </w:r>
            <w:r>
              <w:rPr>
                <w:spacing w:val="4"/>
              </w:rPr>
              <w:t>米</w:t>
            </w:r>
          </w:p>
        </w:tc>
        <w:tc>
          <w:tcPr>
            <w:tcW w:w="1769" w:type="dxa"/>
            <w:vAlign w:val="top"/>
          </w:tcPr>
          <w:p w14:paraId="27614465">
            <w:pPr>
              <w:pStyle w:val="6"/>
              <w:spacing w:before="56" w:line="228" w:lineRule="auto"/>
              <w:ind w:left="468"/>
            </w:pPr>
            <w:r>
              <w:rPr>
                <w:spacing w:val="7"/>
              </w:rPr>
              <w:t>边导线内</w:t>
            </w:r>
          </w:p>
        </w:tc>
        <w:tc>
          <w:tcPr>
            <w:tcW w:w="1183" w:type="dxa"/>
            <w:vAlign w:val="top"/>
          </w:tcPr>
          <w:p w14:paraId="16100DDF">
            <w:pPr>
              <w:spacing w:before="93" w:line="195" w:lineRule="auto"/>
              <w:ind w:left="324"/>
              <w:rPr>
                <w:rFonts w:ascii="Times New Roman" w:hAnsi="Times New Roman" w:eastAsia="Times New Roman" w:cs="Times New Roman"/>
                <w:sz w:val="20"/>
                <w:szCs w:val="20"/>
              </w:rPr>
            </w:pPr>
            <w:r>
              <w:rPr>
                <w:rFonts w:ascii="Times New Roman" w:hAnsi="Times New Roman" w:eastAsia="Times New Roman" w:cs="Times New Roman"/>
                <w:sz w:val="20"/>
                <w:szCs w:val="20"/>
              </w:rPr>
              <w:t>1.8566</w:t>
            </w:r>
          </w:p>
        </w:tc>
        <w:tc>
          <w:tcPr>
            <w:tcW w:w="1275" w:type="dxa"/>
            <w:vAlign w:val="top"/>
          </w:tcPr>
          <w:p w14:paraId="2B5AEB41">
            <w:pPr>
              <w:spacing w:before="93" w:line="195" w:lineRule="auto"/>
              <w:ind w:left="29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25.6203</w:t>
            </w:r>
          </w:p>
        </w:tc>
        <w:tc>
          <w:tcPr>
            <w:tcW w:w="1123" w:type="dxa"/>
            <w:vAlign w:val="top"/>
          </w:tcPr>
          <w:p w14:paraId="4B7F63F8">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1.3976</w:t>
            </w:r>
          </w:p>
        </w:tc>
        <w:tc>
          <w:tcPr>
            <w:tcW w:w="1328" w:type="dxa"/>
            <w:vAlign w:val="top"/>
          </w:tcPr>
          <w:p w14:paraId="5FA8175F">
            <w:pPr>
              <w:spacing w:before="93"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19.855</w:t>
            </w:r>
          </w:p>
        </w:tc>
      </w:tr>
      <w:tr w14:paraId="4E2BF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30F04670">
            <w:pPr>
              <w:pStyle w:val="6"/>
              <w:spacing w:before="56" w:line="228" w:lineRule="auto"/>
              <w:ind w:left="305"/>
            </w:pPr>
            <w:r>
              <w:rPr>
                <w:spacing w:val="3"/>
              </w:rPr>
              <w:t>距原点</w:t>
            </w:r>
            <w:r>
              <w:rPr>
                <w:spacing w:val="-37"/>
              </w:rPr>
              <w:t xml:space="preserve"> </w:t>
            </w:r>
            <w:r>
              <w:rPr>
                <w:rFonts w:ascii="Times New Roman" w:hAnsi="Times New Roman" w:eastAsia="Times New Roman" w:cs="Times New Roman"/>
                <w:spacing w:val="3"/>
              </w:rPr>
              <w:t>3</w:t>
            </w:r>
            <w:r>
              <w:rPr>
                <w:rFonts w:ascii="Times New Roman" w:hAnsi="Times New Roman" w:eastAsia="Times New Roman" w:cs="Times New Roman"/>
                <w:spacing w:val="12"/>
                <w:w w:val="101"/>
              </w:rPr>
              <w:t xml:space="preserve"> </w:t>
            </w:r>
            <w:r>
              <w:rPr>
                <w:spacing w:val="3"/>
              </w:rPr>
              <w:t>米</w:t>
            </w:r>
          </w:p>
        </w:tc>
        <w:tc>
          <w:tcPr>
            <w:tcW w:w="1769" w:type="dxa"/>
            <w:vAlign w:val="top"/>
          </w:tcPr>
          <w:p w14:paraId="3694E53A">
            <w:pPr>
              <w:pStyle w:val="6"/>
              <w:spacing w:before="56" w:line="228" w:lineRule="auto"/>
              <w:ind w:left="468"/>
            </w:pPr>
            <w:r>
              <w:rPr>
                <w:spacing w:val="7"/>
              </w:rPr>
              <w:t>边导线内</w:t>
            </w:r>
          </w:p>
        </w:tc>
        <w:tc>
          <w:tcPr>
            <w:tcW w:w="1183" w:type="dxa"/>
            <w:vAlign w:val="top"/>
          </w:tcPr>
          <w:p w14:paraId="4D75D1DF">
            <w:pPr>
              <w:spacing w:before="92" w:line="195" w:lineRule="auto"/>
              <w:ind w:left="30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2.2083</w:t>
            </w:r>
          </w:p>
        </w:tc>
        <w:tc>
          <w:tcPr>
            <w:tcW w:w="1275" w:type="dxa"/>
            <w:vAlign w:val="top"/>
          </w:tcPr>
          <w:p w14:paraId="169D36CC">
            <w:pPr>
              <w:spacing w:before="92" w:line="195" w:lineRule="auto"/>
              <w:ind w:left="29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24.5563</w:t>
            </w:r>
          </w:p>
        </w:tc>
        <w:tc>
          <w:tcPr>
            <w:tcW w:w="1123" w:type="dxa"/>
            <w:vAlign w:val="top"/>
          </w:tcPr>
          <w:p w14:paraId="4EC4081E">
            <w:pPr>
              <w:spacing w:before="92" w:line="195" w:lineRule="auto"/>
              <w:ind w:left="34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1.646</w:t>
            </w:r>
          </w:p>
        </w:tc>
        <w:tc>
          <w:tcPr>
            <w:tcW w:w="1328" w:type="dxa"/>
            <w:vAlign w:val="top"/>
          </w:tcPr>
          <w:p w14:paraId="3CEF7E12">
            <w:pPr>
              <w:spacing w:before="92" w:line="195" w:lineRule="auto"/>
              <w:ind w:left="3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18.9378</w:t>
            </w:r>
          </w:p>
        </w:tc>
      </w:tr>
      <w:tr w14:paraId="4537E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09E17AF7">
            <w:pPr>
              <w:pStyle w:val="6"/>
              <w:spacing w:before="56" w:line="228" w:lineRule="auto"/>
              <w:ind w:left="305"/>
            </w:pPr>
            <w:r>
              <w:rPr>
                <w:spacing w:val="4"/>
              </w:rPr>
              <w:t>距原点</w:t>
            </w:r>
            <w:r>
              <w:rPr>
                <w:spacing w:val="-42"/>
              </w:rPr>
              <w:t xml:space="preserve"> </w:t>
            </w:r>
            <w:r>
              <w:rPr>
                <w:rFonts w:ascii="Times New Roman" w:hAnsi="Times New Roman" w:eastAsia="Times New Roman" w:cs="Times New Roman"/>
                <w:spacing w:val="4"/>
              </w:rPr>
              <w:t>4</w:t>
            </w:r>
            <w:r>
              <w:rPr>
                <w:rFonts w:ascii="Times New Roman" w:hAnsi="Times New Roman" w:eastAsia="Times New Roman" w:cs="Times New Roman"/>
                <w:spacing w:val="12"/>
                <w:w w:val="101"/>
              </w:rPr>
              <w:t xml:space="preserve"> </w:t>
            </w:r>
            <w:r>
              <w:rPr>
                <w:spacing w:val="4"/>
              </w:rPr>
              <w:t>米</w:t>
            </w:r>
          </w:p>
        </w:tc>
        <w:tc>
          <w:tcPr>
            <w:tcW w:w="1769" w:type="dxa"/>
            <w:vAlign w:val="top"/>
          </w:tcPr>
          <w:p w14:paraId="1E90304A">
            <w:pPr>
              <w:spacing w:before="92" w:line="195" w:lineRule="auto"/>
              <w:ind w:left="75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183" w:type="dxa"/>
            <w:vAlign w:val="top"/>
          </w:tcPr>
          <w:p w14:paraId="46ADFA6C">
            <w:pPr>
              <w:spacing w:before="92" w:line="195" w:lineRule="auto"/>
              <w:ind w:left="30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2.3586</w:t>
            </w:r>
          </w:p>
        </w:tc>
        <w:tc>
          <w:tcPr>
            <w:tcW w:w="1275" w:type="dxa"/>
            <w:vAlign w:val="top"/>
          </w:tcPr>
          <w:p w14:paraId="54A3F522">
            <w:pPr>
              <w:spacing w:before="92" w:line="195" w:lineRule="auto"/>
              <w:ind w:left="29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22.6531</w:t>
            </w:r>
          </w:p>
        </w:tc>
        <w:tc>
          <w:tcPr>
            <w:tcW w:w="1123" w:type="dxa"/>
            <w:vAlign w:val="top"/>
          </w:tcPr>
          <w:p w14:paraId="211737B0">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1.7763</w:t>
            </w:r>
          </w:p>
        </w:tc>
        <w:tc>
          <w:tcPr>
            <w:tcW w:w="1328" w:type="dxa"/>
            <w:vAlign w:val="top"/>
          </w:tcPr>
          <w:p w14:paraId="425597EA">
            <w:pPr>
              <w:spacing w:before="92" w:line="195" w:lineRule="auto"/>
              <w:ind w:left="3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17.5908</w:t>
            </w:r>
          </w:p>
        </w:tc>
      </w:tr>
      <w:tr w14:paraId="357FF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3DDB2F87">
            <w:pPr>
              <w:pStyle w:val="6"/>
              <w:spacing w:before="55" w:line="228" w:lineRule="auto"/>
              <w:ind w:left="305"/>
            </w:pPr>
            <w:r>
              <w:rPr>
                <w:spacing w:val="3"/>
              </w:rPr>
              <w:t>距原点</w:t>
            </w:r>
            <w:r>
              <w:rPr>
                <w:spacing w:val="-37"/>
              </w:rPr>
              <w:t xml:space="preserve"> </w:t>
            </w:r>
            <w:r>
              <w:rPr>
                <w:rFonts w:ascii="Times New Roman" w:hAnsi="Times New Roman" w:eastAsia="Times New Roman" w:cs="Times New Roman"/>
                <w:spacing w:val="3"/>
              </w:rPr>
              <w:t>5</w:t>
            </w:r>
            <w:r>
              <w:rPr>
                <w:rFonts w:ascii="Times New Roman" w:hAnsi="Times New Roman" w:eastAsia="Times New Roman" w:cs="Times New Roman"/>
                <w:spacing w:val="12"/>
                <w:w w:val="101"/>
              </w:rPr>
              <w:t xml:space="preserve"> </w:t>
            </w:r>
            <w:r>
              <w:rPr>
                <w:spacing w:val="3"/>
              </w:rPr>
              <w:t>米</w:t>
            </w:r>
          </w:p>
        </w:tc>
        <w:tc>
          <w:tcPr>
            <w:tcW w:w="1769" w:type="dxa"/>
            <w:vAlign w:val="top"/>
          </w:tcPr>
          <w:p w14:paraId="6B22DC97">
            <w:pPr>
              <w:spacing w:before="94" w:line="195" w:lineRule="auto"/>
              <w:ind w:left="75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183" w:type="dxa"/>
            <w:vAlign w:val="top"/>
          </w:tcPr>
          <w:p w14:paraId="5D071BE2">
            <w:pPr>
              <w:spacing w:before="94" w:line="195" w:lineRule="auto"/>
              <w:ind w:left="30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2.2856</w:t>
            </w:r>
          </w:p>
        </w:tc>
        <w:tc>
          <w:tcPr>
            <w:tcW w:w="1275" w:type="dxa"/>
            <w:vAlign w:val="top"/>
          </w:tcPr>
          <w:p w14:paraId="2A35D394">
            <w:pPr>
              <w:spacing w:before="94" w:line="195" w:lineRule="auto"/>
              <w:ind w:left="29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20.0648</w:t>
            </w:r>
          </w:p>
        </w:tc>
        <w:tc>
          <w:tcPr>
            <w:tcW w:w="1123" w:type="dxa"/>
            <w:vAlign w:val="top"/>
          </w:tcPr>
          <w:p w14:paraId="45C6371E">
            <w:pPr>
              <w:spacing w:before="94"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1.7729</w:t>
            </w:r>
          </w:p>
        </w:tc>
        <w:tc>
          <w:tcPr>
            <w:tcW w:w="1328" w:type="dxa"/>
            <w:vAlign w:val="top"/>
          </w:tcPr>
          <w:p w14:paraId="183DC0EE">
            <w:pPr>
              <w:spacing w:before="94" w:line="195" w:lineRule="auto"/>
              <w:ind w:left="3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15.8984</w:t>
            </w:r>
          </w:p>
        </w:tc>
      </w:tr>
      <w:tr w14:paraId="4FFAB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3A962E36">
            <w:pPr>
              <w:pStyle w:val="6"/>
              <w:spacing w:before="55" w:line="228" w:lineRule="auto"/>
              <w:ind w:left="305"/>
            </w:pPr>
            <w:r>
              <w:rPr>
                <w:spacing w:val="15"/>
              </w:rPr>
              <w:t>距原点</w:t>
            </w:r>
            <w:r>
              <w:rPr>
                <w:rFonts w:ascii="Times New Roman" w:hAnsi="Times New Roman" w:eastAsia="Times New Roman" w:cs="Times New Roman"/>
                <w:spacing w:val="15"/>
              </w:rPr>
              <w:t xml:space="preserve">6 </w:t>
            </w:r>
            <w:r>
              <w:rPr>
                <w:spacing w:val="15"/>
              </w:rPr>
              <w:t>米</w:t>
            </w:r>
          </w:p>
        </w:tc>
        <w:tc>
          <w:tcPr>
            <w:tcW w:w="1769" w:type="dxa"/>
            <w:vAlign w:val="top"/>
          </w:tcPr>
          <w:p w14:paraId="652963DE">
            <w:pPr>
              <w:spacing w:before="93" w:line="195" w:lineRule="auto"/>
              <w:ind w:left="77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1.4</w:t>
            </w:r>
          </w:p>
        </w:tc>
        <w:tc>
          <w:tcPr>
            <w:tcW w:w="1183" w:type="dxa"/>
            <w:vAlign w:val="top"/>
          </w:tcPr>
          <w:p w14:paraId="38449E48">
            <w:pPr>
              <w:spacing w:before="93" w:line="195" w:lineRule="auto"/>
              <w:ind w:left="30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2.0538</w:t>
            </w:r>
          </w:p>
        </w:tc>
        <w:tc>
          <w:tcPr>
            <w:tcW w:w="1275" w:type="dxa"/>
            <w:vAlign w:val="top"/>
          </w:tcPr>
          <w:p w14:paraId="5D5A547C">
            <w:pPr>
              <w:spacing w:before="93" w:line="195"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17.2244</w:t>
            </w:r>
          </w:p>
        </w:tc>
        <w:tc>
          <w:tcPr>
            <w:tcW w:w="1123" w:type="dxa"/>
            <w:vAlign w:val="top"/>
          </w:tcPr>
          <w:p w14:paraId="71006D30">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1.6613</w:t>
            </w:r>
          </w:p>
        </w:tc>
        <w:tc>
          <w:tcPr>
            <w:tcW w:w="1328" w:type="dxa"/>
            <w:vAlign w:val="top"/>
          </w:tcPr>
          <w:p w14:paraId="6D33BF27">
            <w:pPr>
              <w:spacing w:before="93" w:line="195" w:lineRule="auto"/>
              <w:ind w:left="3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14.0443</w:t>
            </w:r>
          </w:p>
        </w:tc>
      </w:tr>
      <w:tr w14:paraId="0A81F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5668B9EB">
            <w:pPr>
              <w:pStyle w:val="6"/>
              <w:spacing w:before="54" w:line="228" w:lineRule="auto"/>
              <w:ind w:left="305"/>
            </w:pPr>
            <w:r>
              <w:rPr>
                <w:spacing w:val="15"/>
              </w:rPr>
              <w:t>距原点</w:t>
            </w:r>
            <w:r>
              <w:rPr>
                <w:rFonts w:ascii="Times New Roman" w:hAnsi="Times New Roman" w:eastAsia="Times New Roman" w:cs="Times New Roman"/>
                <w:spacing w:val="15"/>
              </w:rPr>
              <w:t xml:space="preserve">7 </w:t>
            </w:r>
            <w:r>
              <w:rPr>
                <w:spacing w:val="15"/>
              </w:rPr>
              <w:t>米</w:t>
            </w:r>
          </w:p>
        </w:tc>
        <w:tc>
          <w:tcPr>
            <w:tcW w:w="1769" w:type="dxa"/>
            <w:vAlign w:val="top"/>
          </w:tcPr>
          <w:p w14:paraId="08A107C1">
            <w:pPr>
              <w:spacing w:before="93" w:line="195" w:lineRule="auto"/>
              <w:ind w:left="75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2.4</w:t>
            </w:r>
          </w:p>
        </w:tc>
        <w:tc>
          <w:tcPr>
            <w:tcW w:w="1183" w:type="dxa"/>
            <w:vAlign w:val="top"/>
          </w:tcPr>
          <w:p w14:paraId="1BE672E5">
            <w:pPr>
              <w:spacing w:before="93" w:line="195" w:lineRule="auto"/>
              <w:ind w:left="324"/>
              <w:rPr>
                <w:rFonts w:ascii="Times New Roman" w:hAnsi="Times New Roman" w:eastAsia="Times New Roman" w:cs="Times New Roman"/>
                <w:sz w:val="20"/>
                <w:szCs w:val="20"/>
              </w:rPr>
            </w:pPr>
            <w:r>
              <w:rPr>
                <w:rFonts w:ascii="Times New Roman" w:hAnsi="Times New Roman" w:eastAsia="Times New Roman" w:cs="Times New Roman"/>
                <w:sz w:val="20"/>
                <w:szCs w:val="20"/>
              </w:rPr>
              <w:t>1.7548</w:t>
            </w:r>
          </w:p>
        </w:tc>
        <w:tc>
          <w:tcPr>
            <w:tcW w:w="1275" w:type="dxa"/>
            <w:vAlign w:val="top"/>
          </w:tcPr>
          <w:p w14:paraId="451D1DB4">
            <w:pPr>
              <w:spacing w:before="93" w:line="195"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14.5348</w:t>
            </w:r>
          </w:p>
        </w:tc>
        <w:tc>
          <w:tcPr>
            <w:tcW w:w="1123" w:type="dxa"/>
            <w:vAlign w:val="top"/>
          </w:tcPr>
          <w:p w14:paraId="18268108">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1.4862</w:t>
            </w:r>
          </w:p>
        </w:tc>
        <w:tc>
          <w:tcPr>
            <w:tcW w:w="1328" w:type="dxa"/>
            <w:vAlign w:val="top"/>
          </w:tcPr>
          <w:p w14:paraId="107F0C07">
            <w:pPr>
              <w:spacing w:before="93" w:line="195" w:lineRule="auto"/>
              <w:ind w:left="3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12.2188</w:t>
            </w:r>
          </w:p>
        </w:tc>
      </w:tr>
      <w:tr w14:paraId="2A494A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35FCB489">
            <w:pPr>
              <w:pStyle w:val="6"/>
              <w:spacing w:before="56" w:line="228" w:lineRule="auto"/>
              <w:ind w:left="305"/>
            </w:pPr>
            <w:r>
              <w:rPr>
                <w:spacing w:val="2"/>
              </w:rPr>
              <w:t>距原点</w:t>
            </w:r>
            <w:r>
              <w:rPr>
                <w:spacing w:val="-32"/>
              </w:rPr>
              <w:t xml:space="preserve"> </w:t>
            </w:r>
            <w:r>
              <w:rPr>
                <w:rFonts w:ascii="Times New Roman" w:hAnsi="Times New Roman" w:eastAsia="Times New Roman" w:cs="Times New Roman"/>
                <w:spacing w:val="2"/>
              </w:rPr>
              <w:t>8</w:t>
            </w:r>
            <w:r>
              <w:rPr>
                <w:rFonts w:ascii="Times New Roman" w:hAnsi="Times New Roman" w:eastAsia="Times New Roman" w:cs="Times New Roman"/>
                <w:spacing w:val="12"/>
                <w:w w:val="101"/>
              </w:rPr>
              <w:t xml:space="preserve"> </w:t>
            </w:r>
            <w:r>
              <w:rPr>
                <w:spacing w:val="2"/>
              </w:rPr>
              <w:t>米</w:t>
            </w:r>
          </w:p>
        </w:tc>
        <w:tc>
          <w:tcPr>
            <w:tcW w:w="1769" w:type="dxa"/>
            <w:vAlign w:val="top"/>
          </w:tcPr>
          <w:p w14:paraId="1A27FD97">
            <w:pPr>
              <w:spacing w:before="93" w:line="195" w:lineRule="auto"/>
              <w:ind w:left="75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3.4</w:t>
            </w:r>
          </w:p>
        </w:tc>
        <w:tc>
          <w:tcPr>
            <w:tcW w:w="1183" w:type="dxa"/>
            <w:vAlign w:val="top"/>
          </w:tcPr>
          <w:p w14:paraId="6642D89E">
            <w:pPr>
              <w:spacing w:before="93" w:line="195" w:lineRule="auto"/>
              <w:ind w:left="324"/>
              <w:rPr>
                <w:rFonts w:ascii="Times New Roman" w:hAnsi="Times New Roman" w:eastAsia="Times New Roman" w:cs="Times New Roman"/>
                <w:sz w:val="20"/>
                <w:szCs w:val="20"/>
              </w:rPr>
            </w:pPr>
            <w:r>
              <w:rPr>
                <w:rFonts w:ascii="Times New Roman" w:hAnsi="Times New Roman" w:eastAsia="Times New Roman" w:cs="Times New Roman"/>
                <w:sz w:val="20"/>
                <w:szCs w:val="20"/>
              </w:rPr>
              <w:t>1.4564</w:t>
            </w:r>
          </w:p>
        </w:tc>
        <w:tc>
          <w:tcPr>
            <w:tcW w:w="1275" w:type="dxa"/>
            <w:vAlign w:val="top"/>
          </w:tcPr>
          <w:p w14:paraId="55F9B8E9">
            <w:pPr>
              <w:spacing w:before="93" w:line="195"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12.2026</w:t>
            </w:r>
          </w:p>
        </w:tc>
        <w:tc>
          <w:tcPr>
            <w:tcW w:w="1123" w:type="dxa"/>
            <w:vAlign w:val="top"/>
          </w:tcPr>
          <w:p w14:paraId="4BEB3E8C">
            <w:pPr>
              <w:spacing w:before="9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1.2889</w:t>
            </w:r>
          </w:p>
        </w:tc>
        <w:tc>
          <w:tcPr>
            <w:tcW w:w="1328" w:type="dxa"/>
            <w:vAlign w:val="top"/>
          </w:tcPr>
          <w:p w14:paraId="3B047A0E">
            <w:pPr>
              <w:spacing w:before="93" w:line="195" w:lineRule="auto"/>
              <w:ind w:left="3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10.5498</w:t>
            </w:r>
          </w:p>
        </w:tc>
      </w:tr>
      <w:tr w14:paraId="47BB9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1CA774FF">
            <w:pPr>
              <w:pStyle w:val="6"/>
              <w:spacing w:before="56" w:line="228" w:lineRule="auto"/>
              <w:ind w:left="305"/>
            </w:pPr>
            <w:r>
              <w:rPr>
                <w:spacing w:val="15"/>
              </w:rPr>
              <w:t>距原点</w:t>
            </w:r>
            <w:r>
              <w:rPr>
                <w:rFonts w:ascii="Times New Roman" w:hAnsi="Times New Roman" w:eastAsia="Times New Roman" w:cs="Times New Roman"/>
                <w:spacing w:val="15"/>
              </w:rPr>
              <w:t xml:space="preserve">9 </w:t>
            </w:r>
            <w:r>
              <w:rPr>
                <w:spacing w:val="15"/>
              </w:rPr>
              <w:t>米</w:t>
            </w:r>
          </w:p>
        </w:tc>
        <w:tc>
          <w:tcPr>
            <w:tcW w:w="1769" w:type="dxa"/>
            <w:vAlign w:val="top"/>
          </w:tcPr>
          <w:p w14:paraId="26C5DA4C">
            <w:pPr>
              <w:spacing w:before="92" w:line="195" w:lineRule="auto"/>
              <w:ind w:left="75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w:t>
            </w:r>
          </w:p>
        </w:tc>
        <w:tc>
          <w:tcPr>
            <w:tcW w:w="1183" w:type="dxa"/>
            <w:vAlign w:val="top"/>
          </w:tcPr>
          <w:p w14:paraId="50C73870">
            <w:pPr>
              <w:spacing w:before="92" w:line="195" w:lineRule="auto"/>
              <w:ind w:left="324"/>
              <w:rPr>
                <w:rFonts w:ascii="Times New Roman" w:hAnsi="Times New Roman" w:eastAsia="Times New Roman" w:cs="Times New Roman"/>
                <w:sz w:val="20"/>
                <w:szCs w:val="20"/>
              </w:rPr>
            </w:pPr>
            <w:r>
              <w:rPr>
                <w:rFonts w:ascii="Times New Roman" w:hAnsi="Times New Roman" w:eastAsia="Times New Roman" w:cs="Times New Roman"/>
                <w:sz w:val="20"/>
                <w:szCs w:val="20"/>
              </w:rPr>
              <w:t>1.1924</w:t>
            </w:r>
          </w:p>
        </w:tc>
        <w:tc>
          <w:tcPr>
            <w:tcW w:w="1275" w:type="dxa"/>
            <w:vAlign w:val="top"/>
          </w:tcPr>
          <w:p w14:paraId="2AC03DC6">
            <w:pPr>
              <w:spacing w:before="92" w:line="195" w:lineRule="auto"/>
              <w:ind w:left="31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10.2705</w:t>
            </w:r>
          </w:p>
        </w:tc>
        <w:tc>
          <w:tcPr>
            <w:tcW w:w="1123" w:type="dxa"/>
            <w:vAlign w:val="top"/>
          </w:tcPr>
          <w:p w14:paraId="40E0BACB">
            <w:pPr>
              <w:spacing w:before="92" w:line="195" w:lineRule="auto"/>
              <w:ind w:left="295"/>
              <w:rPr>
                <w:rFonts w:ascii="Times New Roman" w:hAnsi="Times New Roman" w:eastAsia="Times New Roman" w:cs="Times New Roman"/>
                <w:sz w:val="20"/>
                <w:szCs w:val="20"/>
              </w:rPr>
            </w:pPr>
            <w:r>
              <w:rPr>
                <w:rFonts w:ascii="Times New Roman" w:hAnsi="Times New Roman" w:eastAsia="Times New Roman" w:cs="Times New Roman"/>
                <w:sz w:val="20"/>
                <w:szCs w:val="20"/>
              </w:rPr>
              <w:t>1.0971</w:t>
            </w:r>
          </w:p>
        </w:tc>
        <w:tc>
          <w:tcPr>
            <w:tcW w:w="1328" w:type="dxa"/>
            <w:vAlign w:val="top"/>
          </w:tcPr>
          <w:p w14:paraId="7294CF92">
            <w:pPr>
              <w:spacing w:before="92" w:line="195"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9.0932</w:t>
            </w:r>
          </w:p>
        </w:tc>
      </w:tr>
      <w:tr w14:paraId="69E5B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129C81AE">
            <w:pPr>
              <w:pStyle w:val="6"/>
              <w:spacing w:before="56" w:line="228" w:lineRule="auto"/>
              <w:ind w:left="252"/>
            </w:pPr>
            <w:r>
              <w:rPr>
                <w:spacing w:val="1"/>
              </w:rPr>
              <w:t>距原点</w:t>
            </w:r>
            <w:r>
              <w:rPr>
                <w:spacing w:val="-22"/>
              </w:rPr>
              <w:t xml:space="preserve"> </w:t>
            </w:r>
            <w:r>
              <w:rPr>
                <w:rFonts w:ascii="Times New Roman" w:hAnsi="Times New Roman" w:eastAsia="Times New Roman" w:cs="Times New Roman"/>
                <w:spacing w:val="1"/>
              </w:rPr>
              <w:t>10</w:t>
            </w:r>
            <w:r>
              <w:rPr>
                <w:rFonts w:ascii="Times New Roman" w:hAnsi="Times New Roman" w:eastAsia="Times New Roman" w:cs="Times New Roman"/>
                <w:spacing w:val="12"/>
              </w:rPr>
              <w:t xml:space="preserve"> </w:t>
            </w:r>
            <w:r>
              <w:rPr>
                <w:spacing w:val="1"/>
              </w:rPr>
              <w:t>米</w:t>
            </w:r>
          </w:p>
        </w:tc>
        <w:tc>
          <w:tcPr>
            <w:tcW w:w="1769" w:type="dxa"/>
            <w:vAlign w:val="top"/>
          </w:tcPr>
          <w:p w14:paraId="1740956C">
            <w:pPr>
              <w:spacing w:before="92" w:line="195" w:lineRule="auto"/>
              <w:ind w:left="759"/>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p>
        </w:tc>
        <w:tc>
          <w:tcPr>
            <w:tcW w:w="1183" w:type="dxa"/>
            <w:vAlign w:val="top"/>
          </w:tcPr>
          <w:p w14:paraId="52C674A6">
            <w:pPr>
              <w:spacing w:before="92"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0.9728</w:t>
            </w:r>
          </w:p>
        </w:tc>
        <w:tc>
          <w:tcPr>
            <w:tcW w:w="1275" w:type="dxa"/>
            <w:vAlign w:val="top"/>
          </w:tcPr>
          <w:p w14:paraId="1E9916FC">
            <w:pPr>
              <w:spacing w:before="92"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8.7008</w:t>
            </w:r>
          </w:p>
        </w:tc>
        <w:tc>
          <w:tcPr>
            <w:tcW w:w="1123" w:type="dxa"/>
            <w:vAlign w:val="top"/>
          </w:tcPr>
          <w:p w14:paraId="53CE0745">
            <w:pPr>
              <w:spacing w:before="92" w:line="195" w:lineRule="auto"/>
              <w:ind w:left="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0.925</w:t>
            </w:r>
          </w:p>
        </w:tc>
        <w:tc>
          <w:tcPr>
            <w:tcW w:w="1328" w:type="dxa"/>
            <w:vAlign w:val="top"/>
          </w:tcPr>
          <w:p w14:paraId="69BD5FFF">
            <w:pPr>
              <w:spacing w:before="92"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7.8547</w:t>
            </w:r>
          </w:p>
        </w:tc>
      </w:tr>
      <w:tr w14:paraId="59F30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47C8B36E">
            <w:pPr>
              <w:pStyle w:val="6"/>
              <w:spacing w:before="55" w:line="228" w:lineRule="auto"/>
              <w:ind w:left="257"/>
            </w:pPr>
            <w:r>
              <w:rPr>
                <w:spacing w:val="1"/>
              </w:rPr>
              <w:t>距原点</w:t>
            </w:r>
            <w:r>
              <w:rPr>
                <w:spacing w:val="-21"/>
              </w:rPr>
              <w:t xml:space="preserve"> </w:t>
            </w:r>
            <w:r>
              <w:rPr>
                <w:rFonts w:ascii="Times New Roman" w:hAnsi="Times New Roman" w:eastAsia="Times New Roman" w:cs="Times New Roman"/>
                <w:spacing w:val="1"/>
              </w:rPr>
              <w:t xml:space="preserve">11 </w:t>
            </w:r>
            <w:r>
              <w:rPr>
                <w:spacing w:val="1"/>
              </w:rPr>
              <w:t>米</w:t>
            </w:r>
          </w:p>
        </w:tc>
        <w:tc>
          <w:tcPr>
            <w:tcW w:w="1769" w:type="dxa"/>
            <w:vAlign w:val="top"/>
          </w:tcPr>
          <w:p w14:paraId="24B2532E">
            <w:pPr>
              <w:spacing w:before="94" w:line="195" w:lineRule="auto"/>
              <w:ind w:left="75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6.4</w:t>
            </w:r>
          </w:p>
        </w:tc>
        <w:tc>
          <w:tcPr>
            <w:tcW w:w="1183" w:type="dxa"/>
            <w:vAlign w:val="top"/>
          </w:tcPr>
          <w:p w14:paraId="18263764">
            <w:pPr>
              <w:spacing w:before="94"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0.7957</w:t>
            </w:r>
          </w:p>
        </w:tc>
        <w:tc>
          <w:tcPr>
            <w:tcW w:w="1275" w:type="dxa"/>
            <w:vAlign w:val="top"/>
          </w:tcPr>
          <w:p w14:paraId="38432578">
            <w:pPr>
              <w:spacing w:before="94"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7.4316</w:t>
            </w:r>
          </w:p>
        </w:tc>
        <w:tc>
          <w:tcPr>
            <w:tcW w:w="1123" w:type="dxa"/>
            <w:vAlign w:val="top"/>
          </w:tcPr>
          <w:p w14:paraId="69369654">
            <w:pPr>
              <w:spacing w:before="94"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0.7774</w:t>
            </w:r>
          </w:p>
        </w:tc>
        <w:tc>
          <w:tcPr>
            <w:tcW w:w="1328" w:type="dxa"/>
            <w:vAlign w:val="top"/>
          </w:tcPr>
          <w:p w14:paraId="37E86F60">
            <w:pPr>
              <w:spacing w:before="94" w:line="195"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6.8149</w:t>
            </w:r>
          </w:p>
        </w:tc>
      </w:tr>
      <w:tr w14:paraId="1E8C5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17FA9090">
            <w:pPr>
              <w:pStyle w:val="6"/>
              <w:spacing w:before="55" w:line="228" w:lineRule="auto"/>
              <w:ind w:left="252"/>
            </w:pPr>
            <w:r>
              <w:rPr>
                <w:spacing w:val="1"/>
              </w:rPr>
              <w:t>距原点</w:t>
            </w:r>
            <w:r>
              <w:rPr>
                <w:spacing w:val="-22"/>
              </w:rPr>
              <w:t xml:space="preserve"> </w:t>
            </w:r>
            <w:r>
              <w:rPr>
                <w:rFonts w:ascii="Times New Roman" w:hAnsi="Times New Roman" w:eastAsia="Times New Roman" w:cs="Times New Roman"/>
                <w:spacing w:val="1"/>
              </w:rPr>
              <w:t>12</w:t>
            </w:r>
            <w:r>
              <w:rPr>
                <w:rFonts w:ascii="Times New Roman" w:hAnsi="Times New Roman" w:eastAsia="Times New Roman" w:cs="Times New Roman"/>
                <w:spacing w:val="12"/>
              </w:rPr>
              <w:t xml:space="preserve"> </w:t>
            </w:r>
            <w:r>
              <w:rPr>
                <w:spacing w:val="1"/>
              </w:rPr>
              <w:t>米</w:t>
            </w:r>
          </w:p>
        </w:tc>
        <w:tc>
          <w:tcPr>
            <w:tcW w:w="1769" w:type="dxa"/>
            <w:vAlign w:val="top"/>
          </w:tcPr>
          <w:p w14:paraId="3C459F18">
            <w:pPr>
              <w:spacing w:before="93" w:line="195" w:lineRule="auto"/>
              <w:ind w:left="75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7.4</w:t>
            </w:r>
          </w:p>
        </w:tc>
        <w:tc>
          <w:tcPr>
            <w:tcW w:w="1183" w:type="dxa"/>
            <w:vAlign w:val="top"/>
          </w:tcPr>
          <w:p w14:paraId="10D4A875">
            <w:pPr>
              <w:spacing w:before="93"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0.655</w:t>
            </w:r>
          </w:p>
        </w:tc>
        <w:tc>
          <w:tcPr>
            <w:tcW w:w="1275" w:type="dxa"/>
            <w:vAlign w:val="top"/>
          </w:tcPr>
          <w:p w14:paraId="6EB4227B">
            <w:pPr>
              <w:spacing w:before="93" w:line="195" w:lineRule="auto"/>
              <w:ind w:left="3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6.4025</w:t>
            </w:r>
          </w:p>
        </w:tc>
        <w:tc>
          <w:tcPr>
            <w:tcW w:w="1123" w:type="dxa"/>
            <w:vAlign w:val="top"/>
          </w:tcPr>
          <w:p w14:paraId="7950A588">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0.6541</w:t>
            </w:r>
          </w:p>
        </w:tc>
        <w:tc>
          <w:tcPr>
            <w:tcW w:w="1328" w:type="dxa"/>
            <w:vAlign w:val="top"/>
          </w:tcPr>
          <w:p w14:paraId="0410E269">
            <w:pPr>
              <w:spacing w:before="93" w:line="195" w:lineRule="auto"/>
              <w:ind w:left="38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5.9458</w:t>
            </w:r>
          </w:p>
        </w:tc>
      </w:tr>
      <w:tr w14:paraId="6EA56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09F42B9A">
            <w:pPr>
              <w:pStyle w:val="6"/>
              <w:spacing w:before="54" w:line="228" w:lineRule="auto"/>
              <w:ind w:left="252"/>
            </w:pPr>
            <w:r>
              <w:rPr>
                <w:spacing w:val="1"/>
              </w:rPr>
              <w:t>距原点</w:t>
            </w:r>
            <w:r>
              <w:rPr>
                <w:spacing w:val="-22"/>
              </w:rPr>
              <w:t xml:space="preserve"> </w:t>
            </w:r>
            <w:r>
              <w:rPr>
                <w:rFonts w:ascii="Times New Roman" w:hAnsi="Times New Roman" w:eastAsia="Times New Roman" w:cs="Times New Roman"/>
                <w:spacing w:val="1"/>
              </w:rPr>
              <w:t>13</w:t>
            </w:r>
            <w:r>
              <w:rPr>
                <w:rFonts w:ascii="Times New Roman" w:hAnsi="Times New Roman" w:eastAsia="Times New Roman" w:cs="Times New Roman"/>
                <w:spacing w:val="12"/>
              </w:rPr>
              <w:t xml:space="preserve"> </w:t>
            </w:r>
            <w:r>
              <w:rPr>
                <w:spacing w:val="1"/>
              </w:rPr>
              <w:t>米</w:t>
            </w:r>
          </w:p>
        </w:tc>
        <w:tc>
          <w:tcPr>
            <w:tcW w:w="1769" w:type="dxa"/>
            <w:vAlign w:val="top"/>
          </w:tcPr>
          <w:p w14:paraId="6B489391">
            <w:pPr>
              <w:spacing w:before="93" w:line="195" w:lineRule="auto"/>
              <w:ind w:left="761"/>
              <w:rPr>
                <w:rFonts w:ascii="Times New Roman" w:hAnsi="Times New Roman" w:eastAsia="Times New Roman" w:cs="Times New Roman"/>
                <w:sz w:val="20"/>
                <w:szCs w:val="20"/>
              </w:rPr>
            </w:pPr>
            <w:r>
              <w:rPr>
                <w:rFonts w:ascii="Times New Roman" w:hAnsi="Times New Roman" w:eastAsia="Times New Roman" w:cs="Times New Roman"/>
                <w:sz w:val="20"/>
                <w:szCs w:val="20"/>
              </w:rPr>
              <w:t>8.4</w:t>
            </w:r>
          </w:p>
        </w:tc>
        <w:tc>
          <w:tcPr>
            <w:tcW w:w="1183" w:type="dxa"/>
            <w:vAlign w:val="top"/>
          </w:tcPr>
          <w:p w14:paraId="3EA4CADA">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0.5438</w:t>
            </w:r>
          </w:p>
        </w:tc>
        <w:tc>
          <w:tcPr>
            <w:tcW w:w="1275" w:type="dxa"/>
            <w:vAlign w:val="top"/>
          </w:tcPr>
          <w:p w14:paraId="36ADBC94">
            <w:pPr>
              <w:spacing w:before="93" w:line="195" w:lineRule="auto"/>
              <w:ind w:left="35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5.5625</w:t>
            </w:r>
          </w:p>
        </w:tc>
        <w:tc>
          <w:tcPr>
            <w:tcW w:w="1123" w:type="dxa"/>
            <w:vAlign w:val="top"/>
          </w:tcPr>
          <w:p w14:paraId="176CB1CC">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0.5524</w:t>
            </w:r>
          </w:p>
        </w:tc>
        <w:tc>
          <w:tcPr>
            <w:tcW w:w="1328" w:type="dxa"/>
            <w:vAlign w:val="top"/>
          </w:tcPr>
          <w:p w14:paraId="01A4DCBA">
            <w:pPr>
              <w:spacing w:before="93" w:line="195" w:lineRule="auto"/>
              <w:ind w:left="38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5.2186</w:t>
            </w:r>
          </w:p>
        </w:tc>
      </w:tr>
      <w:tr w14:paraId="15028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76568EF6">
            <w:pPr>
              <w:pStyle w:val="6"/>
              <w:spacing w:before="56" w:line="228" w:lineRule="auto"/>
              <w:ind w:left="252"/>
            </w:pPr>
            <w:r>
              <w:rPr>
                <w:spacing w:val="1"/>
              </w:rPr>
              <w:t>距原点</w:t>
            </w:r>
            <w:r>
              <w:rPr>
                <w:spacing w:val="-22"/>
              </w:rPr>
              <w:t xml:space="preserve"> </w:t>
            </w:r>
            <w:r>
              <w:rPr>
                <w:rFonts w:ascii="Times New Roman" w:hAnsi="Times New Roman" w:eastAsia="Times New Roman" w:cs="Times New Roman"/>
                <w:spacing w:val="1"/>
              </w:rPr>
              <w:t>14</w:t>
            </w:r>
            <w:r>
              <w:rPr>
                <w:rFonts w:ascii="Times New Roman" w:hAnsi="Times New Roman" w:eastAsia="Times New Roman" w:cs="Times New Roman"/>
                <w:spacing w:val="12"/>
              </w:rPr>
              <w:t xml:space="preserve"> </w:t>
            </w:r>
            <w:r>
              <w:rPr>
                <w:spacing w:val="1"/>
              </w:rPr>
              <w:t>米</w:t>
            </w:r>
          </w:p>
        </w:tc>
        <w:tc>
          <w:tcPr>
            <w:tcW w:w="1769" w:type="dxa"/>
            <w:vAlign w:val="top"/>
          </w:tcPr>
          <w:p w14:paraId="23B3A235">
            <w:pPr>
              <w:spacing w:before="93" w:line="195" w:lineRule="auto"/>
              <w:ind w:left="75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9.4</w:t>
            </w:r>
          </w:p>
        </w:tc>
        <w:tc>
          <w:tcPr>
            <w:tcW w:w="1183" w:type="dxa"/>
            <w:vAlign w:val="top"/>
          </w:tcPr>
          <w:p w14:paraId="1BB9D8BC">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0.4557</w:t>
            </w:r>
          </w:p>
        </w:tc>
        <w:tc>
          <w:tcPr>
            <w:tcW w:w="1275" w:type="dxa"/>
            <w:vAlign w:val="top"/>
          </w:tcPr>
          <w:p w14:paraId="6246793B">
            <w:pPr>
              <w:spacing w:before="93" w:line="195"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4.8712</w:t>
            </w:r>
          </w:p>
        </w:tc>
        <w:tc>
          <w:tcPr>
            <w:tcW w:w="1123" w:type="dxa"/>
            <w:vAlign w:val="top"/>
          </w:tcPr>
          <w:p w14:paraId="670B23A3">
            <w:pPr>
              <w:spacing w:before="93" w:line="195" w:lineRule="auto"/>
              <w:ind w:left="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0.469</w:t>
            </w:r>
          </w:p>
        </w:tc>
        <w:tc>
          <w:tcPr>
            <w:tcW w:w="1328" w:type="dxa"/>
            <w:vAlign w:val="top"/>
          </w:tcPr>
          <w:p w14:paraId="61DEF125">
            <w:pPr>
              <w:spacing w:before="93" w:line="195" w:lineRule="auto"/>
              <w:ind w:left="37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4.6082</w:t>
            </w:r>
          </w:p>
        </w:tc>
      </w:tr>
      <w:tr w14:paraId="4D69F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29AB65BF">
            <w:pPr>
              <w:pStyle w:val="6"/>
              <w:spacing w:before="56" w:line="228" w:lineRule="auto"/>
              <w:ind w:left="252"/>
            </w:pPr>
            <w:r>
              <w:rPr>
                <w:spacing w:val="1"/>
              </w:rPr>
              <w:t>距原点</w:t>
            </w:r>
            <w:r>
              <w:rPr>
                <w:spacing w:val="-22"/>
              </w:rPr>
              <w:t xml:space="preserve"> </w:t>
            </w:r>
            <w:r>
              <w:rPr>
                <w:rFonts w:ascii="Times New Roman" w:hAnsi="Times New Roman" w:eastAsia="Times New Roman" w:cs="Times New Roman"/>
                <w:spacing w:val="1"/>
              </w:rPr>
              <w:t>15</w:t>
            </w:r>
            <w:r>
              <w:rPr>
                <w:rFonts w:ascii="Times New Roman" w:hAnsi="Times New Roman" w:eastAsia="Times New Roman" w:cs="Times New Roman"/>
                <w:spacing w:val="12"/>
              </w:rPr>
              <w:t xml:space="preserve"> </w:t>
            </w:r>
            <w:r>
              <w:rPr>
                <w:spacing w:val="1"/>
              </w:rPr>
              <w:t>米</w:t>
            </w:r>
          </w:p>
        </w:tc>
        <w:tc>
          <w:tcPr>
            <w:tcW w:w="1769" w:type="dxa"/>
            <w:vAlign w:val="top"/>
          </w:tcPr>
          <w:p w14:paraId="35921EC7">
            <w:pPr>
              <w:spacing w:before="92" w:line="195" w:lineRule="auto"/>
              <w:ind w:left="7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10.4</w:t>
            </w:r>
          </w:p>
        </w:tc>
        <w:tc>
          <w:tcPr>
            <w:tcW w:w="1183" w:type="dxa"/>
            <w:vAlign w:val="top"/>
          </w:tcPr>
          <w:p w14:paraId="1F40E8B9">
            <w:pPr>
              <w:spacing w:before="92"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0.3856</w:t>
            </w:r>
          </w:p>
        </w:tc>
        <w:tc>
          <w:tcPr>
            <w:tcW w:w="1275" w:type="dxa"/>
            <w:vAlign w:val="top"/>
          </w:tcPr>
          <w:p w14:paraId="06F1ECF8">
            <w:pPr>
              <w:spacing w:before="92" w:line="195"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4.2972</w:t>
            </w:r>
          </w:p>
        </w:tc>
        <w:tc>
          <w:tcPr>
            <w:tcW w:w="1123" w:type="dxa"/>
            <w:vAlign w:val="top"/>
          </w:tcPr>
          <w:p w14:paraId="532C138E">
            <w:pPr>
              <w:spacing w:before="92"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0.4009</w:t>
            </w:r>
          </w:p>
        </w:tc>
        <w:tc>
          <w:tcPr>
            <w:tcW w:w="1328" w:type="dxa"/>
            <w:vAlign w:val="top"/>
          </w:tcPr>
          <w:p w14:paraId="4A04C59D">
            <w:pPr>
              <w:spacing w:before="92" w:line="195" w:lineRule="auto"/>
              <w:ind w:left="37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4.0931</w:t>
            </w:r>
          </w:p>
        </w:tc>
      </w:tr>
      <w:tr w14:paraId="08203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651" w:type="dxa"/>
            <w:vAlign w:val="top"/>
          </w:tcPr>
          <w:p w14:paraId="645AE8E2">
            <w:pPr>
              <w:pStyle w:val="6"/>
              <w:spacing w:before="56" w:line="228" w:lineRule="auto"/>
              <w:ind w:left="252"/>
            </w:pPr>
            <w:r>
              <w:rPr>
                <w:spacing w:val="1"/>
              </w:rPr>
              <w:t>距原点</w:t>
            </w:r>
            <w:r>
              <w:rPr>
                <w:spacing w:val="-22"/>
              </w:rPr>
              <w:t xml:space="preserve"> </w:t>
            </w:r>
            <w:r>
              <w:rPr>
                <w:rFonts w:ascii="Times New Roman" w:hAnsi="Times New Roman" w:eastAsia="Times New Roman" w:cs="Times New Roman"/>
                <w:spacing w:val="1"/>
              </w:rPr>
              <w:t>16</w:t>
            </w:r>
            <w:r>
              <w:rPr>
                <w:rFonts w:ascii="Times New Roman" w:hAnsi="Times New Roman" w:eastAsia="Times New Roman" w:cs="Times New Roman"/>
                <w:spacing w:val="12"/>
              </w:rPr>
              <w:t xml:space="preserve"> </w:t>
            </w:r>
            <w:r>
              <w:rPr>
                <w:spacing w:val="1"/>
              </w:rPr>
              <w:t>米</w:t>
            </w:r>
          </w:p>
        </w:tc>
        <w:tc>
          <w:tcPr>
            <w:tcW w:w="1769" w:type="dxa"/>
            <w:vAlign w:val="top"/>
          </w:tcPr>
          <w:p w14:paraId="45D33E4C">
            <w:pPr>
              <w:spacing w:before="92" w:line="195" w:lineRule="auto"/>
              <w:ind w:left="7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11.4</w:t>
            </w:r>
          </w:p>
        </w:tc>
        <w:tc>
          <w:tcPr>
            <w:tcW w:w="1183" w:type="dxa"/>
            <w:vAlign w:val="top"/>
          </w:tcPr>
          <w:p w14:paraId="6181CE6D">
            <w:pPr>
              <w:spacing w:before="92"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0.3295</w:t>
            </w:r>
          </w:p>
        </w:tc>
        <w:tc>
          <w:tcPr>
            <w:tcW w:w="1275" w:type="dxa"/>
            <w:vAlign w:val="top"/>
          </w:tcPr>
          <w:p w14:paraId="4399FDD9">
            <w:pPr>
              <w:spacing w:before="92" w:line="195" w:lineRule="auto"/>
              <w:ind w:left="3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3.8165</w:t>
            </w:r>
          </w:p>
        </w:tc>
        <w:tc>
          <w:tcPr>
            <w:tcW w:w="1123" w:type="dxa"/>
            <w:vAlign w:val="top"/>
          </w:tcPr>
          <w:p w14:paraId="39A14BC9">
            <w:pPr>
              <w:spacing w:before="92" w:line="195" w:lineRule="auto"/>
              <w:ind w:left="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0.345</w:t>
            </w:r>
          </w:p>
        </w:tc>
        <w:tc>
          <w:tcPr>
            <w:tcW w:w="1328" w:type="dxa"/>
            <w:vAlign w:val="top"/>
          </w:tcPr>
          <w:p w14:paraId="1795E185">
            <w:pPr>
              <w:spacing w:before="92" w:line="195"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3.6559</w:t>
            </w:r>
          </w:p>
        </w:tc>
      </w:tr>
    </w:tbl>
    <w:p w14:paraId="3D3992D5">
      <w:pPr>
        <w:rPr>
          <w:rFonts w:ascii="Arial"/>
          <w:sz w:val="21"/>
        </w:rPr>
      </w:pPr>
    </w:p>
    <w:p w14:paraId="0AB2ACB6">
      <w:pPr>
        <w:rPr>
          <w:rFonts w:ascii="Arial" w:hAnsi="Arial" w:eastAsia="Arial" w:cs="Arial"/>
          <w:sz w:val="21"/>
          <w:szCs w:val="21"/>
        </w:rPr>
        <w:sectPr>
          <w:footerReference r:id="rId187" w:type="default"/>
          <w:pgSz w:w="11906" w:h="16839"/>
          <w:pgMar w:top="400" w:right="1785" w:bottom="1147" w:left="1785" w:header="0" w:footer="960" w:gutter="0"/>
          <w:cols w:space="720" w:num="1"/>
        </w:sectPr>
      </w:pPr>
    </w:p>
    <w:p w14:paraId="63245285">
      <w:pPr>
        <w:spacing w:before="19"/>
      </w:pPr>
    </w:p>
    <w:p w14:paraId="3E47AAD4">
      <w:pPr>
        <w:spacing w:before="19"/>
      </w:pPr>
    </w:p>
    <w:p w14:paraId="1E33D7DA">
      <w:pPr>
        <w:spacing w:before="18"/>
      </w:pPr>
    </w:p>
    <w:p w14:paraId="712B11E6">
      <w:pPr>
        <w:spacing w:before="18"/>
      </w:pPr>
    </w:p>
    <w:tbl>
      <w:tblPr>
        <w:tblStyle w:val="5"/>
        <w:tblW w:w="83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51"/>
        <w:gridCol w:w="1769"/>
        <w:gridCol w:w="1183"/>
        <w:gridCol w:w="1275"/>
        <w:gridCol w:w="1123"/>
        <w:gridCol w:w="1328"/>
      </w:tblGrid>
      <w:tr w14:paraId="4136E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651" w:type="dxa"/>
            <w:vAlign w:val="top"/>
          </w:tcPr>
          <w:p w14:paraId="3B526A76">
            <w:pPr>
              <w:pStyle w:val="6"/>
              <w:spacing w:before="56" w:line="228" w:lineRule="auto"/>
              <w:ind w:left="252"/>
            </w:pPr>
            <w:r>
              <w:rPr>
                <w:spacing w:val="1"/>
              </w:rPr>
              <w:t>距原点</w:t>
            </w:r>
            <w:r>
              <w:rPr>
                <w:spacing w:val="-22"/>
              </w:rPr>
              <w:t xml:space="preserve"> </w:t>
            </w:r>
            <w:r>
              <w:rPr>
                <w:rFonts w:ascii="Times New Roman" w:hAnsi="Times New Roman" w:eastAsia="Times New Roman" w:cs="Times New Roman"/>
                <w:spacing w:val="1"/>
              </w:rPr>
              <w:t>17</w:t>
            </w:r>
            <w:r>
              <w:rPr>
                <w:rFonts w:ascii="Times New Roman" w:hAnsi="Times New Roman" w:eastAsia="Times New Roman" w:cs="Times New Roman"/>
                <w:spacing w:val="12"/>
              </w:rPr>
              <w:t xml:space="preserve"> </w:t>
            </w:r>
            <w:r>
              <w:rPr>
                <w:spacing w:val="1"/>
              </w:rPr>
              <w:t>米</w:t>
            </w:r>
          </w:p>
        </w:tc>
        <w:tc>
          <w:tcPr>
            <w:tcW w:w="1769" w:type="dxa"/>
            <w:vAlign w:val="top"/>
          </w:tcPr>
          <w:p w14:paraId="4D3604D4">
            <w:pPr>
              <w:spacing w:before="92" w:line="195" w:lineRule="auto"/>
              <w:ind w:left="7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12.4</w:t>
            </w:r>
          </w:p>
        </w:tc>
        <w:tc>
          <w:tcPr>
            <w:tcW w:w="1183" w:type="dxa"/>
            <w:vAlign w:val="top"/>
          </w:tcPr>
          <w:p w14:paraId="270E903E">
            <w:pPr>
              <w:spacing w:before="92"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0.2841</w:t>
            </w:r>
          </w:p>
        </w:tc>
        <w:tc>
          <w:tcPr>
            <w:tcW w:w="1275" w:type="dxa"/>
            <w:vAlign w:val="top"/>
          </w:tcPr>
          <w:p w14:paraId="120F5565">
            <w:pPr>
              <w:spacing w:before="92" w:line="195" w:lineRule="auto"/>
              <w:ind w:left="3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3.4106</w:t>
            </w:r>
          </w:p>
        </w:tc>
        <w:tc>
          <w:tcPr>
            <w:tcW w:w="1123" w:type="dxa"/>
            <w:vAlign w:val="top"/>
          </w:tcPr>
          <w:p w14:paraId="2F5BB0A9">
            <w:pPr>
              <w:spacing w:before="92" w:line="195" w:lineRule="auto"/>
              <w:ind w:left="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0.299</w:t>
            </w:r>
          </w:p>
        </w:tc>
        <w:tc>
          <w:tcPr>
            <w:tcW w:w="1328" w:type="dxa"/>
            <w:vAlign w:val="top"/>
          </w:tcPr>
          <w:p w14:paraId="563B17BD">
            <w:pPr>
              <w:spacing w:before="92" w:line="195"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3.2826</w:t>
            </w:r>
          </w:p>
        </w:tc>
      </w:tr>
      <w:tr w14:paraId="368EF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3917E664">
            <w:pPr>
              <w:pStyle w:val="6"/>
              <w:spacing w:before="51" w:line="228" w:lineRule="auto"/>
              <w:ind w:left="252"/>
            </w:pPr>
            <w:r>
              <w:rPr>
                <w:spacing w:val="1"/>
              </w:rPr>
              <w:t>距原点</w:t>
            </w:r>
            <w:r>
              <w:rPr>
                <w:spacing w:val="-22"/>
              </w:rPr>
              <w:t xml:space="preserve"> </w:t>
            </w:r>
            <w:r>
              <w:rPr>
                <w:rFonts w:ascii="Times New Roman" w:hAnsi="Times New Roman" w:eastAsia="Times New Roman" w:cs="Times New Roman"/>
                <w:spacing w:val="1"/>
              </w:rPr>
              <w:t>18</w:t>
            </w:r>
            <w:r>
              <w:rPr>
                <w:rFonts w:ascii="Times New Roman" w:hAnsi="Times New Roman" w:eastAsia="Times New Roman" w:cs="Times New Roman"/>
                <w:spacing w:val="12"/>
              </w:rPr>
              <w:t xml:space="preserve"> </w:t>
            </w:r>
            <w:r>
              <w:rPr>
                <w:spacing w:val="1"/>
              </w:rPr>
              <w:t>米</w:t>
            </w:r>
          </w:p>
        </w:tc>
        <w:tc>
          <w:tcPr>
            <w:tcW w:w="1769" w:type="dxa"/>
            <w:vAlign w:val="top"/>
          </w:tcPr>
          <w:p w14:paraId="41C565E9">
            <w:pPr>
              <w:spacing w:before="90" w:line="195" w:lineRule="auto"/>
              <w:ind w:left="7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13.4</w:t>
            </w:r>
          </w:p>
        </w:tc>
        <w:tc>
          <w:tcPr>
            <w:tcW w:w="1183" w:type="dxa"/>
            <w:vAlign w:val="top"/>
          </w:tcPr>
          <w:p w14:paraId="2BC69921">
            <w:pPr>
              <w:spacing w:before="90"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0.2472</w:t>
            </w:r>
          </w:p>
        </w:tc>
        <w:tc>
          <w:tcPr>
            <w:tcW w:w="1275" w:type="dxa"/>
            <w:vAlign w:val="top"/>
          </w:tcPr>
          <w:p w14:paraId="54CD8DFD">
            <w:pPr>
              <w:spacing w:before="90" w:line="195" w:lineRule="auto"/>
              <w:ind w:left="4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3.065</w:t>
            </w:r>
          </w:p>
        </w:tc>
        <w:tc>
          <w:tcPr>
            <w:tcW w:w="1123" w:type="dxa"/>
            <w:vAlign w:val="top"/>
          </w:tcPr>
          <w:p w14:paraId="7D418CE5">
            <w:pPr>
              <w:spacing w:before="90" w:line="195" w:lineRule="auto"/>
              <w:ind w:left="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0.261</w:t>
            </w:r>
          </w:p>
        </w:tc>
        <w:tc>
          <w:tcPr>
            <w:tcW w:w="1328" w:type="dxa"/>
            <w:vAlign w:val="top"/>
          </w:tcPr>
          <w:p w14:paraId="0236A12A">
            <w:pPr>
              <w:spacing w:before="90" w:line="195" w:lineRule="auto"/>
              <w:ind w:left="37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2.9618</w:t>
            </w:r>
          </w:p>
        </w:tc>
      </w:tr>
      <w:tr w14:paraId="77A21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1D0DA397">
            <w:pPr>
              <w:pStyle w:val="6"/>
              <w:spacing w:before="51" w:line="228" w:lineRule="auto"/>
              <w:ind w:left="252"/>
            </w:pPr>
            <w:r>
              <w:rPr>
                <w:spacing w:val="1"/>
              </w:rPr>
              <w:t>距原点</w:t>
            </w:r>
            <w:r>
              <w:rPr>
                <w:spacing w:val="-22"/>
              </w:rPr>
              <w:t xml:space="preserve"> </w:t>
            </w:r>
            <w:r>
              <w:rPr>
                <w:rFonts w:ascii="Times New Roman" w:hAnsi="Times New Roman" w:eastAsia="Times New Roman" w:cs="Times New Roman"/>
                <w:spacing w:val="1"/>
              </w:rPr>
              <w:t>19</w:t>
            </w:r>
            <w:r>
              <w:rPr>
                <w:rFonts w:ascii="Times New Roman" w:hAnsi="Times New Roman" w:eastAsia="Times New Roman" w:cs="Times New Roman"/>
                <w:spacing w:val="12"/>
              </w:rPr>
              <w:t xml:space="preserve"> </w:t>
            </w:r>
            <w:r>
              <w:rPr>
                <w:spacing w:val="1"/>
              </w:rPr>
              <w:t>米</w:t>
            </w:r>
          </w:p>
        </w:tc>
        <w:tc>
          <w:tcPr>
            <w:tcW w:w="1769" w:type="dxa"/>
            <w:vAlign w:val="top"/>
          </w:tcPr>
          <w:p w14:paraId="0F839742">
            <w:pPr>
              <w:spacing w:before="89" w:line="195" w:lineRule="auto"/>
              <w:ind w:left="7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14.4</w:t>
            </w:r>
          </w:p>
        </w:tc>
        <w:tc>
          <w:tcPr>
            <w:tcW w:w="1183" w:type="dxa"/>
            <w:vAlign w:val="top"/>
          </w:tcPr>
          <w:p w14:paraId="50DA15D8">
            <w:pPr>
              <w:spacing w:before="89"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0.2168</w:t>
            </w:r>
          </w:p>
        </w:tc>
        <w:tc>
          <w:tcPr>
            <w:tcW w:w="1275" w:type="dxa"/>
            <w:vAlign w:val="top"/>
          </w:tcPr>
          <w:p w14:paraId="4919AF55">
            <w:pPr>
              <w:spacing w:before="89" w:line="195" w:lineRule="auto"/>
              <w:ind w:left="35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2.7686</w:t>
            </w:r>
          </w:p>
        </w:tc>
        <w:tc>
          <w:tcPr>
            <w:tcW w:w="1123" w:type="dxa"/>
            <w:vAlign w:val="top"/>
          </w:tcPr>
          <w:p w14:paraId="27D7EB06">
            <w:pPr>
              <w:spacing w:before="89"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0.2293</w:t>
            </w:r>
          </w:p>
        </w:tc>
        <w:tc>
          <w:tcPr>
            <w:tcW w:w="1328" w:type="dxa"/>
            <w:vAlign w:val="top"/>
          </w:tcPr>
          <w:p w14:paraId="6829B4A6">
            <w:pPr>
              <w:spacing w:before="89" w:line="195" w:lineRule="auto"/>
              <w:ind w:left="37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2.6846</w:t>
            </w:r>
          </w:p>
        </w:tc>
      </w:tr>
      <w:tr w14:paraId="4CF1A0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51" w:type="dxa"/>
            <w:vAlign w:val="top"/>
          </w:tcPr>
          <w:p w14:paraId="4D58AD14">
            <w:pPr>
              <w:pStyle w:val="6"/>
              <w:spacing w:before="50" w:line="228" w:lineRule="auto"/>
              <w:ind w:left="252"/>
            </w:pPr>
            <w:r>
              <w:rPr>
                <w:spacing w:val="4"/>
              </w:rPr>
              <w:t>距原点</w:t>
            </w:r>
            <w:r>
              <w:rPr>
                <w:spacing w:val="-40"/>
              </w:rPr>
              <w:t xml:space="preserve"> </w:t>
            </w:r>
            <w:r>
              <w:rPr>
                <w:rFonts w:ascii="Times New Roman" w:hAnsi="Times New Roman" w:eastAsia="Times New Roman" w:cs="Times New Roman"/>
                <w:spacing w:val="4"/>
              </w:rPr>
              <w:t>20</w:t>
            </w:r>
            <w:r>
              <w:rPr>
                <w:rFonts w:ascii="Times New Roman" w:hAnsi="Times New Roman" w:eastAsia="Times New Roman" w:cs="Times New Roman"/>
                <w:spacing w:val="12"/>
              </w:rPr>
              <w:t xml:space="preserve"> </w:t>
            </w:r>
            <w:r>
              <w:rPr>
                <w:spacing w:val="4"/>
              </w:rPr>
              <w:t>米</w:t>
            </w:r>
          </w:p>
        </w:tc>
        <w:tc>
          <w:tcPr>
            <w:tcW w:w="1769" w:type="dxa"/>
            <w:vAlign w:val="top"/>
          </w:tcPr>
          <w:p w14:paraId="7839515E">
            <w:pPr>
              <w:spacing w:before="89" w:line="195" w:lineRule="auto"/>
              <w:ind w:left="7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15.4</w:t>
            </w:r>
          </w:p>
        </w:tc>
        <w:tc>
          <w:tcPr>
            <w:tcW w:w="1183" w:type="dxa"/>
            <w:vAlign w:val="top"/>
          </w:tcPr>
          <w:p w14:paraId="39A28099">
            <w:pPr>
              <w:spacing w:before="89"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0.1916</w:t>
            </w:r>
          </w:p>
        </w:tc>
        <w:tc>
          <w:tcPr>
            <w:tcW w:w="1275" w:type="dxa"/>
            <w:vAlign w:val="top"/>
          </w:tcPr>
          <w:p w14:paraId="6094D583">
            <w:pPr>
              <w:spacing w:before="89" w:line="195" w:lineRule="auto"/>
              <w:ind w:left="35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2.5127</w:t>
            </w:r>
          </w:p>
        </w:tc>
        <w:tc>
          <w:tcPr>
            <w:tcW w:w="1123" w:type="dxa"/>
            <w:vAlign w:val="top"/>
          </w:tcPr>
          <w:p w14:paraId="3B6831F6">
            <w:pPr>
              <w:spacing w:before="89"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0.2028</w:t>
            </w:r>
          </w:p>
        </w:tc>
        <w:tc>
          <w:tcPr>
            <w:tcW w:w="1328" w:type="dxa"/>
            <w:vAlign w:val="top"/>
          </w:tcPr>
          <w:p w14:paraId="23682170">
            <w:pPr>
              <w:spacing w:before="89" w:line="195" w:lineRule="auto"/>
              <w:ind w:left="37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2.4436</w:t>
            </w:r>
          </w:p>
        </w:tc>
      </w:tr>
      <w:tr w14:paraId="0AB0F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51" w:type="dxa"/>
            <w:vAlign w:val="top"/>
          </w:tcPr>
          <w:p w14:paraId="563DE6B0">
            <w:pPr>
              <w:pStyle w:val="6"/>
              <w:spacing w:before="53" w:line="228" w:lineRule="auto"/>
              <w:ind w:left="252"/>
            </w:pPr>
            <w:r>
              <w:rPr>
                <w:spacing w:val="4"/>
              </w:rPr>
              <w:t>距原点</w:t>
            </w:r>
            <w:r>
              <w:rPr>
                <w:spacing w:val="-40"/>
              </w:rPr>
              <w:t xml:space="preserve"> </w:t>
            </w:r>
            <w:r>
              <w:rPr>
                <w:rFonts w:ascii="Times New Roman" w:hAnsi="Times New Roman" w:eastAsia="Times New Roman" w:cs="Times New Roman"/>
                <w:spacing w:val="4"/>
              </w:rPr>
              <w:t>21</w:t>
            </w:r>
            <w:r>
              <w:rPr>
                <w:rFonts w:ascii="Times New Roman" w:hAnsi="Times New Roman" w:eastAsia="Times New Roman" w:cs="Times New Roman"/>
                <w:spacing w:val="12"/>
              </w:rPr>
              <w:t xml:space="preserve"> </w:t>
            </w:r>
            <w:r>
              <w:rPr>
                <w:spacing w:val="4"/>
              </w:rPr>
              <w:t>米</w:t>
            </w:r>
          </w:p>
        </w:tc>
        <w:tc>
          <w:tcPr>
            <w:tcW w:w="1769" w:type="dxa"/>
            <w:vAlign w:val="top"/>
          </w:tcPr>
          <w:p w14:paraId="5B86165F">
            <w:pPr>
              <w:spacing w:before="90" w:line="195" w:lineRule="auto"/>
              <w:ind w:left="7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16.4</w:t>
            </w:r>
          </w:p>
        </w:tc>
        <w:tc>
          <w:tcPr>
            <w:tcW w:w="1183" w:type="dxa"/>
            <w:vAlign w:val="top"/>
          </w:tcPr>
          <w:p w14:paraId="655EBCDB">
            <w:pPr>
              <w:spacing w:before="90"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0.1705</w:t>
            </w:r>
          </w:p>
        </w:tc>
        <w:tc>
          <w:tcPr>
            <w:tcW w:w="1275" w:type="dxa"/>
            <w:vAlign w:val="top"/>
          </w:tcPr>
          <w:p w14:paraId="48C1324D">
            <w:pPr>
              <w:spacing w:before="90" w:line="195" w:lineRule="auto"/>
              <w:ind w:left="35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2.2903</w:t>
            </w:r>
          </w:p>
        </w:tc>
        <w:tc>
          <w:tcPr>
            <w:tcW w:w="1123" w:type="dxa"/>
            <w:vAlign w:val="top"/>
          </w:tcPr>
          <w:p w14:paraId="2F9105D6">
            <w:pPr>
              <w:spacing w:before="90"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0.1805</w:t>
            </w:r>
          </w:p>
        </w:tc>
        <w:tc>
          <w:tcPr>
            <w:tcW w:w="1328" w:type="dxa"/>
            <w:vAlign w:val="top"/>
          </w:tcPr>
          <w:p w14:paraId="5406CC17">
            <w:pPr>
              <w:spacing w:before="90" w:line="195" w:lineRule="auto"/>
              <w:ind w:left="42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2.233</w:t>
            </w:r>
          </w:p>
        </w:tc>
      </w:tr>
      <w:tr w14:paraId="2FD3A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51" w:type="dxa"/>
            <w:vAlign w:val="top"/>
          </w:tcPr>
          <w:p w14:paraId="05DF5E8F">
            <w:pPr>
              <w:pStyle w:val="6"/>
              <w:spacing w:before="54" w:line="228" w:lineRule="auto"/>
              <w:ind w:left="252"/>
            </w:pPr>
            <w:r>
              <w:rPr>
                <w:spacing w:val="4"/>
              </w:rPr>
              <w:t>距原点</w:t>
            </w:r>
            <w:r>
              <w:rPr>
                <w:spacing w:val="-40"/>
              </w:rPr>
              <w:t xml:space="preserve"> </w:t>
            </w:r>
            <w:r>
              <w:rPr>
                <w:rFonts w:ascii="Times New Roman" w:hAnsi="Times New Roman" w:eastAsia="Times New Roman" w:cs="Times New Roman"/>
                <w:spacing w:val="4"/>
              </w:rPr>
              <w:t>22</w:t>
            </w:r>
            <w:r>
              <w:rPr>
                <w:rFonts w:ascii="Times New Roman" w:hAnsi="Times New Roman" w:eastAsia="Times New Roman" w:cs="Times New Roman"/>
                <w:spacing w:val="12"/>
              </w:rPr>
              <w:t xml:space="preserve"> </w:t>
            </w:r>
            <w:r>
              <w:rPr>
                <w:spacing w:val="4"/>
              </w:rPr>
              <w:t>米</w:t>
            </w:r>
          </w:p>
        </w:tc>
        <w:tc>
          <w:tcPr>
            <w:tcW w:w="1769" w:type="dxa"/>
            <w:vAlign w:val="top"/>
          </w:tcPr>
          <w:p w14:paraId="3B7CBE88">
            <w:pPr>
              <w:spacing w:before="90" w:line="195" w:lineRule="auto"/>
              <w:ind w:left="7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17.4</w:t>
            </w:r>
          </w:p>
        </w:tc>
        <w:tc>
          <w:tcPr>
            <w:tcW w:w="1183" w:type="dxa"/>
            <w:vAlign w:val="top"/>
          </w:tcPr>
          <w:p w14:paraId="02802279">
            <w:pPr>
              <w:spacing w:before="90"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0.1527</w:t>
            </w:r>
          </w:p>
        </w:tc>
        <w:tc>
          <w:tcPr>
            <w:tcW w:w="1275" w:type="dxa"/>
            <w:vAlign w:val="top"/>
          </w:tcPr>
          <w:p w14:paraId="51641166">
            <w:pPr>
              <w:spacing w:before="90" w:line="195" w:lineRule="auto"/>
              <w:ind w:left="35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2.0959</w:t>
            </w:r>
          </w:p>
        </w:tc>
        <w:tc>
          <w:tcPr>
            <w:tcW w:w="1123" w:type="dxa"/>
            <w:vAlign w:val="top"/>
          </w:tcPr>
          <w:p w14:paraId="7862C9F4">
            <w:pPr>
              <w:spacing w:before="90"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0.1615</w:t>
            </w:r>
          </w:p>
        </w:tc>
        <w:tc>
          <w:tcPr>
            <w:tcW w:w="1328" w:type="dxa"/>
            <w:vAlign w:val="top"/>
          </w:tcPr>
          <w:p w14:paraId="54D22098">
            <w:pPr>
              <w:spacing w:before="90" w:line="195" w:lineRule="auto"/>
              <w:ind w:left="42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2.048</w:t>
            </w:r>
          </w:p>
        </w:tc>
      </w:tr>
      <w:tr w14:paraId="412C1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51" w:type="dxa"/>
            <w:vAlign w:val="top"/>
          </w:tcPr>
          <w:p w14:paraId="2B191D06">
            <w:pPr>
              <w:pStyle w:val="6"/>
              <w:spacing w:before="55" w:line="228" w:lineRule="auto"/>
              <w:ind w:left="252"/>
            </w:pPr>
            <w:r>
              <w:rPr>
                <w:spacing w:val="4"/>
              </w:rPr>
              <w:t>距原点</w:t>
            </w:r>
            <w:r>
              <w:rPr>
                <w:spacing w:val="-40"/>
              </w:rPr>
              <w:t xml:space="preserve"> </w:t>
            </w:r>
            <w:r>
              <w:rPr>
                <w:rFonts w:ascii="Times New Roman" w:hAnsi="Times New Roman" w:eastAsia="Times New Roman" w:cs="Times New Roman"/>
                <w:spacing w:val="4"/>
              </w:rPr>
              <w:t>23</w:t>
            </w:r>
            <w:r>
              <w:rPr>
                <w:rFonts w:ascii="Times New Roman" w:hAnsi="Times New Roman" w:eastAsia="Times New Roman" w:cs="Times New Roman"/>
                <w:spacing w:val="12"/>
              </w:rPr>
              <w:t xml:space="preserve"> </w:t>
            </w:r>
            <w:r>
              <w:rPr>
                <w:spacing w:val="4"/>
              </w:rPr>
              <w:t>米</w:t>
            </w:r>
          </w:p>
        </w:tc>
        <w:tc>
          <w:tcPr>
            <w:tcW w:w="1769" w:type="dxa"/>
            <w:vAlign w:val="top"/>
          </w:tcPr>
          <w:p w14:paraId="225BB951">
            <w:pPr>
              <w:spacing w:before="91" w:line="195" w:lineRule="auto"/>
              <w:ind w:left="7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18.4</w:t>
            </w:r>
          </w:p>
        </w:tc>
        <w:tc>
          <w:tcPr>
            <w:tcW w:w="1183" w:type="dxa"/>
            <w:vAlign w:val="top"/>
          </w:tcPr>
          <w:p w14:paraId="350E29EA">
            <w:pPr>
              <w:spacing w:before="91"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0.1376</w:t>
            </w:r>
          </w:p>
        </w:tc>
        <w:tc>
          <w:tcPr>
            <w:tcW w:w="1275" w:type="dxa"/>
            <w:vAlign w:val="top"/>
          </w:tcPr>
          <w:p w14:paraId="43CDEA23">
            <w:pPr>
              <w:spacing w:before="91" w:line="195" w:lineRule="auto"/>
              <w:ind w:left="4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1.925</w:t>
            </w:r>
          </w:p>
        </w:tc>
        <w:tc>
          <w:tcPr>
            <w:tcW w:w="1123" w:type="dxa"/>
            <w:vAlign w:val="top"/>
          </w:tcPr>
          <w:p w14:paraId="6163C6E7">
            <w:pPr>
              <w:spacing w:before="91"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0.1453</w:t>
            </w:r>
          </w:p>
        </w:tc>
        <w:tc>
          <w:tcPr>
            <w:tcW w:w="1328" w:type="dxa"/>
            <w:vAlign w:val="top"/>
          </w:tcPr>
          <w:p w14:paraId="032C3498">
            <w:pPr>
              <w:spacing w:before="91"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1.8846</w:t>
            </w:r>
          </w:p>
        </w:tc>
      </w:tr>
      <w:tr w14:paraId="7FD68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3BDF113B">
            <w:pPr>
              <w:pStyle w:val="6"/>
              <w:spacing w:before="55" w:line="228" w:lineRule="auto"/>
              <w:ind w:left="252"/>
            </w:pPr>
            <w:r>
              <w:rPr>
                <w:spacing w:val="4"/>
              </w:rPr>
              <w:t>距原点</w:t>
            </w:r>
            <w:r>
              <w:rPr>
                <w:spacing w:val="-40"/>
              </w:rPr>
              <w:t xml:space="preserve"> </w:t>
            </w:r>
            <w:r>
              <w:rPr>
                <w:rFonts w:ascii="Times New Roman" w:hAnsi="Times New Roman" w:eastAsia="Times New Roman" w:cs="Times New Roman"/>
                <w:spacing w:val="4"/>
              </w:rPr>
              <w:t>24</w:t>
            </w:r>
            <w:r>
              <w:rPr>
                <w:rFonts w:ascii="Times New Roman" w:hAnsi="Times New Roman" w:eastAsia="Times New Roman" w:cs="Times New Roman"/>
                <w:spacing w:val="12"/>
              </w:rPr>
              <w:t xml:space="preserve"> </w:t>
            </w:r>
            <w:r>
              <w:rPr>
                <w:spacing w:val="4"/>
              </w:rPr>
              <w:t>米</w:t>
            </w:r>
          </w:p>
        </w:tc>
        <w:tc>
          <w:tcPr>
            <w:tcW w:w="1769" w:type="dxa"/>
            <w:vAlign w:val="top"/>
          </w:tcPr>
          <w:p w14:paraId="4738D7D0">
            <w:pPr>
              <w:spacing w:before="94" w:line="195" w:lineRule="auto"/>
              <w:ind w:left="72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19.4</w:t>
            </w:r>
          </w:p>
        </w:tc>
        <w:tc>
          <w:tcPr>
            <w:tcW w:w="1183" w:type="dxa"/>
            <w:vAlign w:val="top"/>
          </w:tcPr>
          <w:p w14:paraId="25000D2A">
            <w:pPr>
              <w:spacing w:before="94"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0.1246</w:t>
            </w:r>
          </w:p>
        </w:tc>
        <w:tc>
          <w:tcPr>
            <w:tcW w:w="1275" w:type="dxa"/>
            <w:vAlign w:val="top"/>
          </w:tcPr>
          <w:p w14:paraId="04068EED">
            <w:pPr>
              <w:spacing w:before="94"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1.7741</w:t>
            </w:r>
          </w:p>
        </w:tc>
        <w:tc>
          <w:tcPr>
            <w:tcW w:w="1123" w:type="dxa"/>
            <w:vAlign w:val="top"/>
          </w:tcPr>
          <w:p w14:paraId="2E3C4535">
            <w:pPr>
              <w:spacing w:before="94"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0.1314</w:t>
            </w:r>
          </w:p>
        </w:tc>
        <w:tc>
          <w:tcPr>
            <w:tcW w:w="1328" w:type="dxa"/>
            <w:vAlign w:val="top"/>
          </w:tcPr>
          <w:p w14:paraId="324F043F">
            <w:pPr>
              <w:spacing w:before="94"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1.7398</w:t>
            </w:r>
          </w:p>
        </w:tc>
      </w:tr>
      <w:tr w14:paraId="3544C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40CECF77">
            <w:pPr>
              <w:pStyle w:val="6"/>
              <w:spacing w:before="55" w:line="228" w:lineRule="auto"/>
              <w:ind w:left="252"/>
            </w:pPr>
            <w:r>
              <w:rPr>
                <w:spacing w:val="4"/>
              </w:rPr>
              <w:t>距原点</w:t>
            </w:r>
            <w:r>
              <w:rPr>
                <w:spacing w:val="-40"/>
              </w:rPr>
              <w:t xml:space="preserve"> </w:t>
            </w:r>
            <w:r>
              <w:rPr>
                <w:rFonts w:ascii="Times New Roman" w:hAnsi="Times New Roman" w:eastAsia="Times New Roman" w:cs="Times New Roman"/>
                <w:spacing w:val="4"/>
              </w:rPr>
              <w:t>25</w:t>
            </w:r>
            <w:r>
              <w:rPr>
                <w:rFonts w:ascii="Times New Roman" w:hAnsi="Times New Roman" w:eastAsia="Times New Roman" w:cs="Times New Roman"/>
                <w:spacing w:val="12"/>
              </w:rPr>
              <w:t xml:space="preserve"> </w:t>
            </w:r>
            <w:r>
              <w:rPr>
                <w:spacing w:val="4"/>
              </w:rPr>
              <w:t>米</w:t>
            </w:r>
          </w:p>
        </w:tc>
        <w:tc>
          <w:tcPr>
            <w:tcW w:w="1769" w:type="dxa"/>
            <w:vAlign w:val="top"/>
          </w:tcPr>
          <w:p w14:paraId="0E99AD3D">
            <w:pPr>
              <w:spacing w:before="93" w:line="195" w:lineRule="auto"/>
              <w:ind w:left="70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20.4</w:t>
            </w:r>
          </w:p>
        </w:tc>
        <w:tc>
          <w:tcPr>
            <w:tcW w:w="1183" w:type="dxa"/>
            <w:vAlign w:val="top"/>
          </w:tcPr>
          <w:p w14:paraId="614DAC18">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0.1134</w:t>
            </w:r>
          </w:p>
        </w:tc>
        <w:tc>
          <w:tcPr>
            <w:tcW w:w="1275" w:type="dxa"/>
            <w:vAlign w:val="top"/>
          </w:tcPr>
          <w:p w14:paraId="6712359C">
            <w:pPr>
              <w:spacing w:before="93"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1.6401</w:t>
            </w:r>
          </w:p>
        </w:tc>
        <w:tc>
          <w:tcPr>
            <w:tcW w:w="1123" w:type="dxa"/>
            <w:vAlign w:val="top"/>
          </w:tcPr>
          <w:p w14:paraId="57954170">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0.1194</w:t>
            </w:r>
          </w:p>
        </w:tc>
        <w:tc>
          <w:tcPr>
            <w:tcW w:w="1328" w:type="dxa"/>
            <w:vAlign w:val="top"/>
          </w:tcPr>
          <w:p w14:paraId="4E5CF49C">
            <w:pPr>
              <w:spacing w:before="93"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1.6108</w:t>
            </w:r>
          </w:p>
        </w:tc>
      </w:tr>
      <w:tr w14:paraId="3A7CF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57947F81">
            <w:pPr>
              <w:pStyle w:val="6"/>
              <w:spacing w:before="54" w:line="228" w:lineRule="auto"/>
              <w:ind w:left="252"/>
            </w:pPr>
            <w:r>
              <w:rPr>
                <w:spacing w:val="4"/>
              </w:rPr>
              <w:t>距原点</w:t>
            </w:r>
            <w:r>
              <w:rPr>
                <w:spacing w:val="-40"/>
              </w:rPr>
              <w:t xml:space="preserve"> </w:t>
            </w:r>
            <w:r>
              <w:rPr>
                <w:rFonts w:ascii="Times New Roman" w:hAnsi="Times New Roman" w:eastAsia="Times New Roman" w:cs="Times New Roman"/>
                <w:spacing w:val="4"/>
              </w:rPr>
              <w:t>26</w:t>
            </w:r>
            <w:r>
              <w:rPr>
                <w:rFonts w:ascii="Times New Roman" w:hAnsi="Times New Roman" w:eastAsia="Times New Roman" w:cs="Times New Roman"/>
                <w:spacing w:val="12"/>
              </w:rPr>
              <w:t xml:space="preserve"> </w:t>
            </w:r>
            <w:r>
              <w:rPr>
                <w:spacing w:val="4"/>
              </w:rPr>
              <w:t>米</w:t>
            </w:r>
          </w:p>
        </w:tc>
        <w:tc>
          <w:tcPr>
            <w:tcW w:w="1769" w:type="dxa"/>
            <w:vAlign w:val="top"/>
          </w:tcPr>
          <w:p w14:paraId="0E65FE5B">
            <w:pPr>
              <w:spacing w:before="93" w:line="195" w:lineRule="auto"/>
              <w:ind w:left="70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21.4</w:t>
            </w:r>
          </w:p>
        </w:tc>
        <w:tc>
          <w:tcPr>
            <w:tcW w:w="1183" w:type="dxa"/>
            <w:vAlign w:val="top"/>
          </w:tcPr>
          <w:p w14:paraId="53FE495A">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0.1037</w:t>
            </w:r>
          </w:p>
        </w:tc>
        <w:tc>
          <w:tcPr>
            <w:tcW w:w="1275" w:type="dxa"/>
            <w:vAlign w:val="top"/>
          </w:tcPr>
          <w:p w14:paraId="648A0323">
            <w:pPr>
              <w:spacing w:before="93"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1.5206</w:t>
            </w:r>
          </w:p>
        </w:tc>
        <w:tc>
          <w:tcPr>
            <w:tcW w:w="1123" w:type="dxa"/>
            <w:vAlign w:val="top"/>
          </w:tcPr>
          <w:p w14:paraId="29C18329">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0.1089</w:t>
            </w:r>
          </w:p>
        </w:tc>
        <w:tc>
          <w:tcPr>
            <w:tcW w:w="1328" w:type="dxa"/>
            <w:vAlign w:val="top"/>
          </w:tcPr>
          <w:p w14:paraId="4F235FFD">
            <w:pPr>
              <w:spacing w:before="93"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1.4955</w:t>
            </w:r>
          </w:p>
        </w:tc>
      </w:tr>
      <w:tr w14:paraId="5BFBF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1B0F0A7F">
            <w:pPr>
              <w:pStyle w:val="6"/>
              <w:spacing w:before="56" w:line="228" w:lineRule="auto"/>
              <w:ind w:left="252"/>
            </w:pPr>
            <w:r>
              <w:rPr>
                <w:spacing w:val="4"/>
              </w:rPr>
              <w:t>距原点</w:t>
            </w:r>
            <w:r>
              <w:rPr>
                <w:spacing w:val="-40"/>
              </w:rPr>
              <w:t xml:space="preserve"> </w:t>
            </w:r>
            <w:r>
              <w:rPr>
                <w:rFonts w:ascii="Times New Roman" w:hAnsi="Times New Roman" w:eastAsia="Times New Roman" w:cs="Times New Roman"/>
                <w:spacing w:val="4"/>
              </w:rPr>
              <w:t>27</w:t>
            </w:r>
            <w:r>
              <w:rPr>
                <w:rFonts w:ascii="Times New Roman" w:hAnsi="Times New Roman" w:eastAsia="Times New Roman" w:cs="Times New Roman"/>
                <w:spacing w:val="12"/>
              </w:rPr>
              <w:t xml:space="preserve"> </w:t>
            </w:r>
            <w:r>
              <w:rPr>
                <w:spacing w:val="4"/>
              </w:rPr>
              <w:t>米</w:t>
            </w:r>
          </w:p>
        </w:tc>
        <w:tc>
          <w:tcPr>
            <w:tcW w:w="1769" w:type="dxa"/>
            <w:vAlign w:val="top"/>
          </w:tcPr>
          <w:p w14:paraId="4E1FFB2F">
            <w:pPr>
              <w:spacing w:before="93" w:line="195" w:lineRule="auto"/>
              <w:ind w:left="70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22.4</w:t>
            </w:r>
          </w:p>
        </w:tc>
        <w:tc>
          <w:tcPr>
            <w:tcW w:w="1183" w:type="dxa"/>
            <w:vAlign w:val="top"/>
          </w:tcPr>
          <w:p w14:paraId="41F00A23">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0.0952</w:t>
            </w:r>
          </w:p>
        </w:tc>
        <w:tc>
          <w:tcPr>
            <w:tcW w:w="1275" w:type="dxa"/>
            <w:vAlign w:val="top"/>
          </w:tcPr>
          <w:p w14:paraId="6D6DEAA3">
            <w:pPr>
              <w:spacing w:before="93"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1.4137</w:t>
            </w:r>
          </w:p>
        </w:tc>
        <w:tc>
          <w:tcPr>
            <w:tcW w:w="1123" w:type="dxa"/>
            <w:vAlign w:val="top"/>
          </w:tcPr>
          <w:p w14:paraId="6FA4CBCC">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0.0998</w:t>
            </w:r>
          </w:p>
        </w:tc>
        <w:tc>
          <w:tcPr>
            <w:tcW w:w="1328" w:type="dxa"/>
            <w:vAlign w:val="top"/>
          </w:tcPr>
          <w:p w14:paraId="7A4D0756">
            <w:pPr>
              <w:spacing w:before="93" w:line="195" w:lineRule="auto"/>
              <w:ind w:left="44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1.392</w:t>
            </w:r>
          </w:p>
        </w:tc>
      </w:tr>
      <w:tr w14:paraId="3B5CC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620B317F">
            <w:pPr>
              <w:pStyle w:val="6"/>
              <w:spacing w:before="56" w:line="228" w:lineRule="auto"/>
              <w:ind w:left="252"/>
            </w:pPr>
            <w:r>
              <w:rPr>
                <w:spacing w:val="4"/>
              </w:rPr>
              <w:t>距原点</w:t>
            </w:r>
            <w:r>
              <w:rPr>
                <w:spacing w:val="-40"/>
              </w:rPr>
              <w:t xml:space="preserve"> </w:t>
            </w:r>
            <w:r>
              <w:rPr>
                <w:rFonts w:ascii="Times New Roman" w:hAnsi="Times New Roman" w:eastAsia="Times New Roman" w:cs="Times New Roman"/>
                <w:spacing w:val="4"/>
              </w:rPr>
              <w:t>28</w:t>
            </w:r>
            <w:r>
              <w:rPr>
                <w:rFonts w:ascii="Times New Roman" w:hAnsi="Times New Roman" w:eastAsia="Times New Roman" w:cs="Times New Roman"/>
                <w:spacing w:val="12"/>
              </w:rPr>
              <w:t xml:space="preserve"> </w:t>
            </w:r>
            <w:r>
              <w:rPr>
                <w:spacing w:val="4"/>
              </w:rPr>
              <w:t>米</w:t>
            </w:r>
          </w:p>
        </w:tc>
        <w:tc>
          <w:tcPr>
            <w:tcW w:w="1769" w:type="dxa"/>
            <w:vAlign w:val="top"/>
          </w:tcPr>
          <w:p w14:paraId="34345204">
            <w:pPr>
              <w:spacing w:before="92" w:line="195" w:lineRule="auto"/>
              <w:ind w:left="70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23.4</w:t>
            </w:r>
          </w:p>
        </w:tc>
        <w:tc>
          <w:tcPr>
            <w:tcW w:w="1183" w:type="dxa"/>
            <w:vAlign w:val="top"/>
          </w:tcPr>
          <w:p w14:paraId="1EAF288E">
            <w:pPr>
              <w:spacing w:before="92"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0.0877</w:t>
            </w:r>
          </w:p>
        </w:tc>
        <w:tc>
          <w:tcPr>
            <w:tcW w:w="1275" w:type="dxa"/>
            <w:vAlign w:val="top"/>
          </w:tcPr>
          <w:p w14:paraId="5CAAD6D1">
            <w:pPr>
              <w:spacing w:before="92"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1.3176</w:t>
            </w:r>
          </w:p>
        </w:tc>
        <w:tc>
          <w:tcPr>
            <w:tcW w:w="1123" w:type="dxa"/>
            <w:vAlign w:val="top"/>
          </w:tcPr>
          <w:p w14:paraId="060099B6">
            <w:pPr>
              <w:spacing w:before="92"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0.0917</w:t>
            </w:r>
          </w:p>
        </w:tc>
        <w:tc>
          <w:tcPr>
            <w:tcW w:w="1328" w:type="dxa"/>
            <w:vAlign w:val="top"/>
          </w:tcPr>
          <w:p w14:paraId="2CBE5B43">
            <w:pPr>
              <w:spacing w:before="92"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1.2987</w:t>
            </w:r>
          </w:p>
        </w:tc>
      </w:tr>
      <w:tr w14:paraId="486EA2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63C702B4">
            <w:pPr>
              <w:pStyle w:val="6"/>
              <w:spacing w:before="56" w:line="228" w:lineRule="auto"/>
              <w:ind w:left="252"/>
            </w:pPr>
            <w:r>
              <w:rPr>
                <w:spacing w:val="4"/>
              </w:rPr>
              <w:t>距原点</w:t>
            </w:r>
            <w:r>
              <w:rPr>
                <w:spacing w:val="-40"/>
              </w:rPr>
              <w:t xml:space="preserve"> </w:t>
            </w:r>
            <w:r>
              <w:rPr>
                <w:rFonts w:ascii="Times New Roman" w:hAnsi="Times New Roman" w:eastAsia="Times New Roman" w:cs="Times New Roman"/>
                <w:spacing w:val="4"/>
              </w:rPr>
              <w:t>29</w:t>
            </w:r>
            <w:r>
              <w:rPr>
                <w:rFonts w:ascii="Times New Roman" w:hAnsi="Times New Roman" w:eastAsia="Times New Roman" w:cs="Times New Roman"/>
                <w:spacing w:val="12"/>
              </w:rPr>
              <w:t xml:space="preserve"> </w:t>
            </w:r>
            <w:r>
              <w:rPr>
                <w:spacing w:val="4"/>
              </w:rPr>
              <w:t>米</w:t>
            </w:r>
          </w:p>
        </w:tc>
        <w:tc>
          <w:tcPr>
            <w:tcW w:w="1769" w:type="dxa"/>
            <w:vAlign w:val="top"/>
          </w:tcPr>
          <w:p w14:paraId="1C4D3B56">
            <w:pPr>
              <w:spacing w:before="92" w:line="195" w:lineRule="auto"/>
              <w:ind w:left="70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24.4</w:t>
            </w:r>
          </w:p>
        </w:tc>
        <w:tc>
          <w:tcPr>
            <w:tcW w:w="1183" w:type="dxa"/>
            <w:vAlign w:val="top"/>
          </w:tcPr>
          <w:p w14:paraId="32BB60BA">
            <w:pPr>
              <w:spacing w:before="92"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0.0811</w:t>
            </w:r>
          </w:p>
        </w:tc>
        <w:tc>
          <w:tcPr>
            <w:tcW w:w="1275" w:type="dxa"/>
            <w:vAlign w:val="top"/>
          </w:tcPr>
          <w:p w14:paraId="3455B3E0">
            <w:pPr>
              <w:spacing w:before="92"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1.2309</w:t>
            </w:r>
          </w:p>
        </w:tc>
        <w:tc>
          <w:tcPr>
            <w:tcW w:w="1123" w:type="dxa"/>
            <w:vAlign w:val="top"/>
          </w:tcPr>
          <w:p w14:paraId="7160DFDB">
            <w:pPr>
              <w:spacing w:before="92"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0.0846</w:t>
            </w:r>
          </w:p>
        </w:tc>
        <w:tc>
          <w:tcPr>
            <w:tcW w:w="1328" w:type="dxa"/>
            <w:vAlign w:val="top"/>
          </w:tcPr>
          <w:p w14:paraId="535D4FB3">
            <w:pPr>
              <w:spacing w:before="92"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1.2145</w:t>
            </w:r>
          </w:p>
        </w:tc>
      </w:tr>
      <w:tr w14:paraId="7D6FF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0357B0AA">
            <w:pPr>
              <w:pStyle w:val="6"/>
              <w:spacing w:before="55" w:line="228" w:lineRule="auto"/>
              <w:ind w:left="252"/>
            </w:pPr>
            <w:r>
              <w:rPr>
                <w:spacing w:val="13"/>
              </w:rPr>
              <w:t>距原点</w:t>
            </w:r>
            <w:r>
              <w:rPr>
                <w:rFonts w:ascii="Times New Roman" w:hAnsi="Times New Roman" w:eastAsia="Times New Roman" w:cs="Times New Roman"/>
                <w:spacing w:val="13"/>
              </w:rPr>
              <w:t xml:space="preserve">30 </w:t>
            </w:r>
            <w:r>
              <w:rPr>
                <w:spacing w:val="13"/>
              </w:rPr>
              <w:t>米</w:t>
            </w:r>
          </w:p>
        </w:tc>
        <w:tc>
          <w:tcPr>
            <w:tcW w:w="1769" w:type="dxa"/>
            <w:vAlign w:val="top"/>
          </w:tcPr>
          <w:p w14:paraId="11C8E947">
            <w:pPr>
              <w:spacing w:before="94" w:line="195" w:lineRule="auto"/>
              <w:ind w:left="70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25.4</w:t>
            </w:r>
          </w:p>
        </w:tc>
        <w:tc>
          <w:tcPr>
            <w:tcW w:w="1183" w:type="dxa"/>
            <w:vAlign w:val="top"/>
          </w:tcPr>
          <w:p w14:paraId="3ADA680A">
            <w:pPr>
              <w:spacing w:before="94"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0.0752</w:t>
            </w:r>
          </w:p>
        </w:tc>
        <w:tc>
          <w:tcPr>
            <w:tcW w:w="1275" w:type="dxa"/>
            <w:vAlign w:val="top"/>
          </w:tcPr>
          <w:p w14:paraId="415C297F">
            <w:pPr>
              <w:spacing w:before="94"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1.1525</w:t>
            </w:r>
          </w:p>
        </w:tc>
        <w:tc>
          <w:tcPr>
            <w:tcW w:w="1123" w:type="dxa"/>
            <w:vAlign w:val="top"/>
          </w:tcPr>
          <w:p w14:paraId="74E219F7">
            <w:pPr>
              <w:spacing w:before="94"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0.0783</w:t>
            </w:r>
          </w:p>
        </w:tc>
        <w:tc>
          <w:tcPr>
            <w:tcW w:w="1328" w:type="dxa"/>
            <w:vAlign w:val="top"/>
          </w:tcPr>
          <w:p w14:paraId="688E7C44">
            <w:pPr>
              <w:spacing w:before="94"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1.1381</w:t>
            </w:r>
          </w:p>
        </w:tc>
      </w:tr>
      <w:tr w14:paraId="0F563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456518CC">
            <w:pPr>
              <w:pStyle w:val="6"/>
              <w:spacing w:before="55" w:line="228" w:lineRule="auto"/>
              <w:ind w:left="252"/>
            </w:pPr>
            <w:r>
              <w:rPr>
                <w:spacing w:val="4"/>
              </w:rPr>
              <w:t>距原点</w:t>
            </w:r>
            <w:r>
              <w:rPr>
                <w:spacing w:val="-39"/>
              </w:rPr>
              <w:t xml:space="preserve"> </w:t>
            </w:r>
            <w:r>
              <w:rPr>
                <w:rFonts w:ascii="Times New Roman" w:hAnsi="Times New Roman" w:eastAsia="Times New Roman" w:cs="Times New Roman"/>
                <w:spacing w:val="4"/>
              </w:rPr>
              <w:t>31</w:t>
            </w:r>
            <w:r>
              <w:rPr>
                <w:rFonts w:ascii="Times New Roman" w:hAnsi="Times New Roman" w:eastAsia="Times New Roman" w:cs="Times New Roman"/>
                <w:spacing w:val="12"/>
              </w:rPr>
              <w:t xml:space="preserve"> </w:t>
            </w:r>
            <w:r>
              <w:rPr>
                <w:spacing w:val="4"/>
              </w:rPr>
              <w:t>米</w:t>
            </w:r>
          </w:p>
        </w:tc>
        <w:tc>
          <w:tcPr>
            <w:tcW w:w="1769" w:type="dxa"/>
            <w:vAlign w:val="top"/>
          </w:tcPr>
          <w:p w14:paraId="1C2DDCB5">
            <w:pPr>
              <w:spacing w:before="93" w:line="195" w:lineRule="auto"/>
              <w:ind w:left="70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26.4</w:t>
            </w:r>
          </w:p>
        </w:tc>
        <w:tc>
          <w:tcPr>
            <w:tcW w:w="1183" w:type="dxa"/>
            <w:vAlign w:val="top"/>
          </w:tcPr>
          <w:p w14:paraId="1F254CD7">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0.0699</w:t>
            </w:r>
          </w:p>
        </w:tc>
        <w:tc>
          <w:tcPr>
            <w:tcW w:w="1275" w:type="dxa"/>
            <w:vAlign w:val="top"/>
          </w:tcPr>
          <w:p w14:paraId="19A3DD04">
            <w:pPr>
              <w:spacing w:before="93"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1.0813</w:t>
            </w:r>
          </w:p>
        </w:tc>
        <w:tc>
          <w:tcPr>
            <w:tcW w:w="1123" w:type="dxa"/>
            <w:vAlign w:val="top"/>
          </w:tcPr>
          <w:p w14:paraId="5AC4782D">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0.0727</w:t>
            </w:r>
          </w:p>
        </w:tc>
        <w:tc>
          <w:tcPr>
            <w:tcW w:w="1328" w:type="dxa"/>
            <w:vAlign w:val="top"/>
          </w:tcPr>
          <w:p w14:paraId="17B025CB">
            <w:pPr>
              <w:spacing w:before="93"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1.0686</w:t>
            </w:r>
          </w:p>
        </w:tc>
      </w:tr>
      <w:tr w14:paraId="14105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7A828315">
            <w:pPr>
              <w:pStyle w:val="6"/>
              <w:spacing w:before="54" w:line="228" w:lineRule="auto"/>
              <w:ind w:left="252"/>
            </w:pPr>
            <w:r>
              <w:rPr>
                <w:spacing w:val="13"/>
              </w:rPr>
              <w:t>距原点</w:t>
            </w:r>
            <w:r>
              <w:rPr>
                <w:rFonts w:ascii="Times New Roman" w:hAnsi="Times New Roman" w:eastAsia="Times New Roman" w:cs="Times New Roman"/>
                <w:spacing w:val="13"/>
              </w:rPr>
              <w:t xml:space="preserve">32 </w:t>
            </w:r>
            <w:r>
              <w:rPr>
                <w:spacing w:val="13"/>
              </w:rPr>
              <w:t>米</w:t>
            </w:r>
          </w:p>
        </w:tc>
        <w:tc>
          <w:tcPr>
            <w:tcW w:w="1769" w:type="dxa"/>
            <w:vAlign w:val="top"/>
          </w:tcPr>
          <w:p w14:paraId="15454805">
            <w:pPr>
              <w:spacing w:before="93" w:line="195" w:lineRule="auto"/>
              <w:ind w:left="70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27.4</w:t>
            </w:r>
          </w:p>
        </w:tc>
        <w:tc>
          <w:tcPr>
            <w:tcW w:w="1183" w:type="dxa"/>
            <w:vAlign w:val="top"/>
          </w:tcPr>
          <w:p w14:paraId="193087B7">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0.0652</w:t>
            </w:r>
          </w:p>
        </w:tc>
        <w:tc>
          <w:tcPr>
            <w:tcW w:w="1275" w:type="dxa"/>
            <w:vAlign w:val="top"/>
          </w:tcPr>
          <w:p w14:paraId="0A4A02E4">
            <w:pPr>
              <w:spacing w:before="93" w:line="195" w:lineRule="auto"/>
              <w:ind w:left="370"/>
              <w:rPr>
                <w:rFonts w:ascii="Times New Roman" w:hAnsi="Times New Roman" w:eastAsia="Times New Roman" w:cs="Times New Roman"/>
                <w:sz w:val="20"/>
                <w:szCs w:val="20"/>
              </w:rPr>
            </w:pPr>
            <w:r>
              <w:rPr>
                <w:rFonts w:ascii="Times New Roman" w:hAnsi="Times New Roman" w:eastAsia="Times New Roman" w:cs="Times New Roman"/>
                <w:sz w:val="20"/>
                <w:szCs w:val="20"/>
              </w:rPr>
              <w:t>1.0164</w:t>
            </w:r>
          </w:p>
        </w:tc>
        <w:tc>
          <w:tcPr>
            <w:tcW w:w="1123" w:type="dxa"/>
            <w:vAlign w:val="top"/>
          </w:tcPr>
          <w:p w14:paraId="083B2CB7">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0.0677</w:t>
            </w:r>
          </w:p>
        </w:tc>
        <w:tc>
          <w:tcPr>
            <w:tcW w:w="1328" w:type="dxa"/>
            <w:vAlign w:val="top"/>
          </w:tcPr>
          <w:p w14:paraId="300BC7F6">
            <w:pPr>
              <w:spacing w:before="93"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1.0053</w:t>
            </w:r>
          </w:p>
        </w:tc>
      </w:tr>
      <w:tr w14:paraId="619B8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4F92B1CB">
            <w:pPr>
              <w:pStyle w:val="6"/>
              <w:spacing w:before="56" w:line="228" w:lineRule="auto"/>
              <w:ind w:left="252"/>
            </w:pPr>
            <w:r>
              <w:rPr>
                <w:spacing w:val="4"/>
              </w:rPr>
              <w:t>距原点</w:t>
            </w:r>
            <w:r>
              <w:rPr>
                <w:spacing w:val="-39"/>
              </w:rPr>
              <w:t xml:space="preserve"> </w:t>
            </w:r>
            <w:r>
              <w:rPr>
                <w:rFonts w:ascii="Times New Roman" w:hAnsi="Times New Roman" w:eastAsia="Times New Roman" w:cs="Times New Roman"/>
                <w:spacing w:val="4"/>
              </w:rPr>
              <w:t>33</w:t>
            </w:r>
            <w:r>
              <w:rPr>
                <w:rFonts w:ascii="Times New Roman" w:hAnsi="Times New Roman" w:eastAsia="Times New Roman" w:cs="Times New Roman"/>
                <w:spacing w:val="12"/>
              </w:rPr>
              <w:t xml:space="preserve"> </w:t>
            </w:r>
            <w:r>
              <w:rPr>
                <w:spacing w:val="4"/>
              </w:rPr>
              <w:t>米</w:t>
            </w:r>
          </w:p>
        </w:tc>
        <w:tc>
          <w:tcPr>
            <w:tcW w:w="1769" w:type="dxa"/>
            <w:vAlign w:val="top"/>
          </w:tcPr>
          <w:p w14:paraId="751169E7">
            <w:pPr>
              <w:spacing w:before="93" w:line="195" w:lineRule="auto"/>
              <w:ind w:left="70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28.4</w:t>
            </w:r>
          </w:p>
        </w:tc>
        <w:tc>
          <w:tcPr>
            <w:tcW w:w="1183" w:type="dxa"/>
            <w:vAlign w:val="top"/>
          </w:tcPr>
          <w:p w14:paraId="35003394">
            <w:pPr>
              <w:spacing w:before="93"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0.061</w:t>
            </w:r>
          </w:p>
        </w:tc>
        <w:tc>
          <w:tcPr>
            <w:tcW w:w="1275" w:type="dxa"/>
            <w:vAlign w:val="top"/>
          </w:tcPr>
          <w:p w14:paraId="1E0360FD">
            <w:pPr>
              <w:spacing w:before="93"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0.9573</w:t>
            </w:r>
          </w:p>
        </w:tc>
        <w:tc>
          <w:tcPr>
            <w:tcW w:w="1123" w:type="dxa"/>
            <w:vAlign w:val="top"/>
          </w:tcPr>
          <w:p w14:paraId="5DB8FEDF">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0.0631</w:t>
            </w:r>
          </w:p>
        </w:tc>
        <w:tc>
          <w:tcPr>
            <w:tcW w:w="1328" w:type="dxa"/>
            <w:vAlign w:val="top"/>
          </w:tcPr>
          <w:p w14:paraId="74A7C6C7">
            <w:pPr>
              <w:spacing w:before="93"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0.9473</w:t>
            </w:r>
          </w:p>
        </w:tc>
      </w:tr>
      <w:tr w14:paraId="325F6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2EAA6B17">
            <w:pPr>
              <w:pStyle w:val="6"/>
              <w:spacing w:before="56" w:line="228" w:lineRule="auto"/>
              <w:ind w:left="252"/>
            </w:pPr>
            <w:r>
              <w:rPr>
                <w:spacing w:val="13"/>
              </w:rPr>
              <w:t>距原点</w:t>
            </w:r>
            <w:r>
              <w:rPr>
                <w:rFonts w:ascii="Times New Roman" w:hAnsi="Times New Roman" w:eastAsia="Times New Roman" w:cs="Times New Roman"/>
                <w:spacing w:val="13"/>
              </w:rPr>
              <w:t xml:space="preserve">34 </w:t>
            </w:r>
            <w:r>
              <w:rPr>
                <w:spacing w:val="13"/>
              </w:rPr>
              <w:t>米</w:t>
            </w:r>
          </w:p>
        </w:tc>
        <w:tc>
          <w:tcPr>
            <w:tcW w:w="1769" w:type="dxa"/>
            <w:vAlign w:val="top"/>
          </w:tcPr>
          <w:p w14:paraId="014A5593">
            <w:pPr>
              <w:spacing w:before="92" w:line="195" w:lineRule="auto"/>
              <w:ind w:left="70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29.4</w:t>
            </w:r>
          </w:p>
        </w:tc>
        <w:tc>
          <w:tcPr>
            <w:tcW w:w="1183" w:type="dxa"/>
            <w:vAlign w:val="top"/>
          </w:tcPr>
          <w:p w14:paraId="58F6F96F">
            <w:pPr>
              <w:spacing w:before="92"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0.0571</w:t>
            </w:r>
          </w:p>
        </w:tc>
        <w:tc>
          <w:tcPr>
            <w:tcW w:w="1275" w:type="dxa"/>
            <w:vAlign w:val="top"/>
          </w:tcPr>
          <w:p w14:paraId="12B0C4A1">
            <w:pPr>
              <w:spacing w:before="92"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0.9031</w:t>
            </w:r>
          </w:p>
        </w:tc>
        <w:tc>
          <w:tcPr>
            <w:tcW w:w="1123" w:type="dxa"/>
            <w:vAlign w:val="top"/>
          </w:tcPr>
          <w:p w14:paraId="1380B7CD">
            <w:pPr>
              <w:spacing w:before="92"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0.0591</w:t>
            </w:r>
          </w:p>
        </w:tc>
        <w:tc>
          <w:tcPr>
            <w:tcW w:w="1328" w:type="dxa"/>
            <w:vAlign w:val="top"/>
          </w:tcPr>
          <w:p w14:paraId="4A7D5AD4">
            <w:pPr>
              <w:spacing w:before="92"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0.8943</w:t>
            </w:r>
          </w:p>
        </w:tc>
      </w:tr>
      <w:tr w14:paraId="1CBFF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2B12BDBA">
            <w:pPr>
              <w:pStyle w:val="6"/>
              <w:spacing w:before="56" w:line="228" w:lineRule="auto"/>
              <w:ind w:left="252"/>
            </w:pPr>
            <w:r>
              <w:rPr>
                <w:spacing w:val="13"/>
              </w:rPr>
              <w:t>距原点</w:t>
            </w:r>
            <w:r>
              <w:rPr>
                <w:rFonts w:ascii="Times New Roman" w:hAnsi="Times New Roman" w:eastAsia="Times New Roman" w:cs="Times New Roman"/>
                <w:spacing w:val="13"/>
              </w:rPr>
              <w:t xml:space="preserve">35 </w:t>
            </w:r>
            <w:r>
              <w:rPr>
                <w:spacing w:val="13"/>
              </w:rPr>
              <w:t>米</w:t>
            </w:r>
          </w:p>
        </w:tc>
        <w:tc>
          <w:tcPr>
            <w:tcW w:w="1769" w:type="dxa"/>
            <w:vAlign w:val="top"/>
          </w:tcPr>
          <w:p w14:paraId="4CA111F2">
            <w:pPr>
              <w:spacing w:before="92" w:line="195" w:lineRule="auto"/>
              <w:ind w:left="70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30.4</w:t>
            </w:r>
          </w:p>
        </w:tc>
        <w:tc>
          <w:tcPr>
            <w:tcW w:w="1183" w:type="dxa"/>
            <w:vAlign w:val="top"/>
          </w:tcPr>
          <w:p w14:paraId="63CABB34">
            <w:pPr>
              <w:spacing w:before="92"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0.0537</w:t>
            </w:r>
          </w:p>
        </w:tc>
        <w:tc>
          <w:tcPr>
            <w:tcW w:w="1275" w:type="dxa"/>
            <w:vAlign w:val="top"/>
          </w:tcPr>
          <w:p w14:paraId="5E34A8E1">
            <w:pPr>
              <w:spacing w:before="92"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0.8534</w:t>
            </w:r>
          </w:p>
        </w:tc>
        <w:tc>
          <w:tcPr>
            <w:tcW w:w="1123" w:type="dxa"/>
            <w:vAlign w:val="top"/>
          </w:tcPr>
          <w:p w14:paraId="65865FB5">
            <w:pPr>
              <w:spacing w:before="92"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0.0554</w:t>
            </w:r>
          </w:p>
        </w:tc>
        <w:tc>
          <w:tcPr>
            <w:tcW w:w="1328" w:type="dxa"/>
            <w:vAlign w:val="top"/>
          </w:tcPr>
          <w:p w14:paraId="04D2D726">
            <w:pPr>
              <w:spacing w:before="92"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0.8455</w:t>
            </w:r>
          </w:p>
        </w:tc>
      </w:tr>
      <w:tr w14:paraId="7A335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1BB0AA4A">
            <w:pPr>
              <w:pStyle w:val="6"/>
              <w:spacing w:before="55" w:line="228" w:lineRule="auto"/>
              <w:ind w:left="252"/>
            </w:pPr>
            <w:r>
              <w:rPr>
                <w:spacing w:val="13"/>
              </w:rPr>
              <w:t>距原点</w:t>
            </w:r>
            <w:r>
              <w:rPr>
                <w:rFonts w:ascii="Times New Roman" w:hAnsi="Times New Roman" w:eastAsia="Times New Roman" w:cs="Times New Roman"/>
                <w:spacing w:val="13"/>
              </w:rPr>
              <w:t xml:space="preserve">36 </w:t>
            </w:r>
            <w:r>
              <w:rPr>
                <w:spacing w:val="13"/>
              </w:rPr>
              <w:t>米</w:t>
            </w:r>
          </w:p>
        </w:tc>
        <w:tc>
          <w:tcPr>
            <w:tcW w:w="1769" w:type="dxa"/>
            <w:vAlign w:val="top"/>
          </w:tcPr>
          <w:p w14:paraId="5107F6AF">
            <w:pPr>
              <w:spacing w:before="94" w:line="195" w:lineRule="auto"/>
              <w:ind w:left="70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31.4</w:t>
            </w:r>
          </w:p>
        </w:tc>
        <w:tc>
          <w:tcPr>
            <w:tcW w:w="1183" w:type="dxa"/>
            <w:vAlign w:val="top"/>
          </w:tcPr>
          <w:p w14:paraId="6AD4B34B">
            <w:pPr>
              <w:spacing w:before="94"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0.0505</w:t>
            </w:r>
          </w:p>
        </w:tc>
        <w:tc>
          <w:tcPr>
            <w:tcW w:w="1275" w:type="dxa"/>
            <w:vAlign w:val="top"/>
          </w:tcPr>
          <w:p w14:paraId="002CF27C">
            <w:pPr>
              <w:spacing w:before="94"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0.8076</w:t>
            </w:r>
          </w:p>
        </w:tc>
        <w:tc>
          <w:tcPr>
            <w:tcW w:w="1123" w:type="dxa"/>
            <w:vAlign w:val="top"/>
          </w:tcPr>
          <w:p w14:paraId="55EB3C7A">
            <w:pPr>
              <w:spacing w:before="94" w:line="195" w:lineRule="auto"/>
              <w:ind w:left="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0.052</w:t>
            </w:r>
          </w:p>
        </w:tc>
        <w:tc>
          <w:tcPr>
            <w:tcW w:w="1328" w:type="dxa"/>
            <w:vAlign w:val="top"/>
          </w:tcPr>
          <w:p w14:paraId="262C6D43">
            <w:pPr>
              <w:spacing w:before="94"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0.8006</w:t>
            </w:r>
          </w:p>
        </w:tc>
      </w:tr>
      <w:tr w14:paraId="053FD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7023EAC5">
            <w:pPr>
              <w:pStyle w:val="6"/>
              <w:spacing w:before="55" w:line="228" w:lineRule="auto"/>
              <w:ind w:left="252"/>
            </w:pPr>
            <w:r>
              <w:rPr>
                <w:spacing w:val="13"/>
              </w:rPr>
              <w:t>距原点</w:t>
            </w:r>
            <w:r>
              <w:rPr>
                <w:rFonts w:ascii="Times New Roman" w:hAnsi="Times New Roman" w:eastAsia="Times New Roman" w:cs="Times New Roman"/>
                <w:spacing w:val="13"/>
              </w:rPr>
              <w:t xml:space="preserve">37 </w:t>
            </w:r>
            <w:r>
              <w:rPr>
                <w:spacing w:val="13"/>
              </w:rPr>
              <w:t>米</w:t>
            </w:r>
          </w:p>
        </w:tc>
        <w:tc>
          <w:tcPr>
            <w:tcW w:w="1769" w:type="dxa"/>
            <w:vAlign w:val="top"/>
          </w:tcPr>
          <w:p w14:paraId="14A3EE3B">
            <w:pPr>
              <w:spacing w:before="93" w:line="195" w:lineRule="auto"/>
              <w:ind w:left="70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32.4</w:t>
            </w:r>
          </w:p>
        </w:tc>
        <w:tc>
          <w:tcPr>
            <w:tcW w:w="1183" w:type="dxa"/>
            <w:vAlign w:val="top"/>
          </w:tcPr>
          <w:p w14:paraId="30172EFB">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0.0476</w:t>
            </w:r>
          </w:p>
        </w:tc>
        <w:tc>
          <w:tcPr>
            <w:tcW w:w="1275" w:type="dxa"/>
            <w:vAlign w:val="top"/>
          </w:tcPr>
          <w:p w14:paraId="4E0B346A">
            <w:pPr>
              <w:spacing w:before="93"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0.7655</w:t>
            </w:r>
          </w:p>
        </w:tc>
        <w:tc>
          <w:tcPr>
            <w:tcW w:w="1123" w:type="dxa"/>
            <w:vAlign w:val="top"/>
          </w:tcPr>
          <w:p w14:paraId="1AB0D90A">
            <w:pPr>
              <w:spacing w:before="93" w:line="195" w:lineRule="auto"/>
              <w:ind w:left="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0.049</w:t>
            </w:r>
          </w:p>
        </w:tc>
        <w:tc>
          <w:tcPr>
            <w:tcW w:w="1328" w:type="dxa"/>
            <w:vAlign w:val="top"/>
          </w:tcPr>
          <w:p w14:paraId="049FEE55">
            <w:pPr>
              <w:spacing w:before="93"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0.7591</w:t>
            </w:r>
          </w:p>
        </w:tc>
      </w:tr>
      <w:tr w14:paraId="576B7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3F252B53">
            <w:pPr>
              <w:pStyle w:val="6"/>
              <w:spacing w:before="54" w:line="228" w:lineRule="auto"/>
              <w:ind w:left="252"/>
            </w:pPr>
            <w:r>
              <w:rPr>
                <w:spacing w:val="13"/>
              </w:rPr>
              <w:t>距原点</w:t>
            </w:r>
            <w:r>
              <w:rPr>
                <w:rFonts w:ascii="Times New Roman" w:hAnsi="Times New Roman" w:eastAsia="Times New Roman" w:cs="Times New Roman"/>
                <w:spacing w:val="13"/>
              </w:rPr>
              <w:t xml:space="preserve">38 </w:t>
            </w:r>
            <w:r>
              <w:rPr>
                <w:spacing w:val="13"/>
              </w:rPr>
              <w:t>米</w:t>
            </w:r>
          </w:p>
        </w:tc>
        <w:tc>
          <w:tcPr>
            <w:tcW w:w="1769" w:type="dxa"/>
            <w:vAlign w:val="top"/>
          </w:tcPr>
          <w:p w14:paraId="23FF246D">
            <w:pPr>
              <w:spacing w:before="93" w:line="195" w:lineRule="auto"/>
              <w:ind w:left="70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33.4</w:t>
            </w:r>
          </w:p>
        </w:tc>
        <w:tc>
          <w:tcPr>
            <w:tcW w:w="1183" w:type="dxa"/>
            <w:vAlign w:val="top"/>
          </w:tcPr>
          <w:p w14:paraId="0D729180">
            <w:pPr>
              <w:spacing w:before="93"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0.045</w:t>
            </w:r>
          </w:p>
        </w:tc>
        <w:tc>
          <w:tcPr>
            <w:tcW w:w="1275" w:type="dxa"/>
            <w:vAlign w:val="top"/>
          </w:tcPr>
          <w:p w14:paraId="77695BAB">
            <w:pPr>
              <w:spacing w:before="93"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0.7265</w:t>
            </w:r>
          </w:p>
        </w:tc>
        <w:tc>
          <w:tcPr>
            <w:tcW w:w="1123" w:type="dxa"/>
            <w:vAlign w:val="top"/>
          </w:tcPr>
          <w:p w14:paraId="64DCA29A">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0.0462</w:t>
            </w:r>
          </w:p>
        </w:tc>
        <w:tc>
          <w:tcPr>
            <w:tcW w:w="1328" w:type="dxa"/>
            <w:vAlign w:val="top"/>
          </w:tcPr>
          <w:p w14:paraId="760EAFDE">
            <w:pPr>
              <w:spacing w:before="93"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0.7208</w:t>
            </w:r>
          </w:p>
        </w:tc>
      </w:tr>
      <w:tr w14:paraId="0819B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4F1C65A4">
            <w:pPr>
              <w:pStyle w:val="6"/>
              <w:spacing w:before="56" w:line="228" w:lineRule="auto"/>
              <w:ind w:left="252"/>
            </w:pPr>
            <w:r>
              <w:rPr>
                <w:spacing w:val="13"/>
              </w:rPr>
              <w:t>距原点</w:t>
            </w:r>
            <w:r>
              <w:rPr>
                <w:rFonts w:ascii="Times New Roman" w:hAnsi="Times New Roman" w:eastAsia="Times New Roman" w:cs="Times New Roman"/>
                <w:spacing w:val="13"/>
              </w:rPr>
              <w:t xml:space="preserve">39 </w:t>
            </w:r>
            <w:r>
              <w:rPr>
                <w:spacing w:val="13"/>
              </w:rPr>
              <w:t>米</w:t>
            </w:r>
          </w:p>
        </w:tc>
        <w:tc>
          <w:tcPr>
            <w:tcW w:w="1769" w:type="dxa"/>
            <w:vAlign w:val="top"/>
          </w:tcPr>
          <w:p w14:paraId="4286FF41">
            <w:pPr>
              <w:spacing w:before="93" w:line="195" w:lineRule="auto"/>
              <w:ind w:left="70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34.4</w:t>
            </w:r>
          </w:p>
        </w:tc>
        <w:tc>
          <w:tcPr>
            <w:tcW w:w="1183" w:type="dxa"/>
            <w:vAlign w:val="top"/>
          </w:tcPr>
          <w:p w14:paraId="4266A172">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0.0426</w:t>
            </w:r>
          </w:p>
        </w:tc>
        <w:tc>
          <w:tcPr>
            <w:tcW w:w="1275" w:type="dxa"/>
            <w:vAlign w:val="top"/>
          </w:tcPr>
          <w:p w14:paraId="1289DA45">
            <w:pPr>
              <w:spacing w:before="93"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0.6904</w:t>
            </w:r>
          </w:p>
        </w:tc>
        <w:tc>
          <w:tcPr>
            <w:tcW w:w="1123" w:type="dxa"/>
            <w:vAlign w:val="top"/>
          </w:tcPr>
          <w:p w14:paraId="3E86DD5A">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0.0436</w:t>
            </w:r>
          </w:p>
        </w:tc>
        <w:tc>
          <w:tcPr>
            <w:tcW w:w="1328" w:type="dxa"/>
            <w:vAlign w:val="top"/>
          </w:tcPr>
          <w:p w14:paraId="53F69372">
            <w:pPr>
              <w:spacing w:before="93"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0.6853</w:t>
            </w:r>
          </w:p>
        </w:tc>
      </w:tr>
      <w:tr w14:paraId="28074B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615E206F">
            <w:pPr>
              <w:pStyle w:val="6"/>
              <w:spacing w:before="56" w:line="228" w:lineRule="auto"/>
              <w:ind w:left="252"/>
            </w:pPr>
            <w:r>
              <w:rPr>
                <w:spacing w:val="4"/>
              </w:rPr>
              <w:t>距原点</w:t>
            </w:r>
            <w:r>
              <w:rPr>
                <w:spacing w:val="-40"/>
              </w:rPr>
              <w:t xml:space="preserve"> </w:t>
            </w:r>
            <w:r>
              <w:rPr>
                <w:rFonts w:ascii="Times New Roman" w:hAnsi="Times New Roman" w:eastAsia="Times New Roman" w:cs="Times New Roman"/>
                <w:spacing w:val="4"/>
              </w:rPr>
              <w:t>40</w:t>
            </w:r>
            <w:r>
              <w:rPr>
                <w:rFonts w:ascii="Times New Roman" w:hAnsi="Times New Roman" w:eastAsia="Times New Roman" w:cs="Times New Roman"/>
                <w:spacing w:val="12"/>
              </w:rPr>
              <w:t xml:space="preserve"> </w:t>
            </w:r>
            <w:r>
              <w:rPr>
                <w:spacing w:val="4"/>
              </w:rPr>
              <w:t>米</w:t>
            </w:r>
          </w:p>
        </w:tc>
        <w:tc>
          <w:tcPr>
            <w:tcW w:w="1769" w:type="dxa"/>
            <w:vAlign w:val="top"/>
          </w:tcPr>
          <w:p w14:paraId="0F5072B6">
            <w:pPr>
              <w:spacing w:before="92" w:line="195" w:lineRule="auto"/>
              <w:ind w:left="70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35.4</w:t>
            </w:r>
          </w:p>
        </w:tc>
        <w:tc>
          <w:tcPr>
            <w:tcW w:w="1183" w:type="dxa"/>
            <w:vAlign w:val="top"/>
          </w:tcPr>
          <w:p w14:paraId="6220BCE2">
            <w:pPr>
              <w:spacing w:before="92"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0.0403</w:t>
            </w:r>
          </w:p>
        </w:tc>
        <w:tc>
          <w:tcPr>
            <w:tcW w:w="1275" w:type="dxa"/>
            <w:vAlign w:val="top"/>
          </w:tcPr>
          <w:p w14:paraId="03605B68">
            <w:pPr>
              <w:spacing w:before="92"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0.657</w:t>
            </w:r>
          </w:p>
        </w:tc>
        <w:tc>
          <w:tcPr>
            <w:tcW w:w="1123" w:type="dxa"/>
            <w:vAlign w:val="top"/>
          </w:tcPr>
          <w:p w14:paraId="538F1EE4">
            <w:pPr>
              <w:spacing w:before="92"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0.0413</w:t>
            </w:r>
          </w:p>
        </w:tc>
        <w:tc>
          <w:tcPr>
            <w:tcW w:w="1328" w:type="dxa"/>
            <w:vAlign w:val="top"/>
          </w:tcPr>
          <w:p w14:paraId="554A3F9F">
            <w:pPr>
              <w:spacing w:before="92"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0.6523</w:t>
            </w:r>
          </w:p>
        </w:tc>
      </w:tr>
      <w:tr w14:paraId="07CE9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258AB1A2">
            <w:pPr>
              <w:pStyle w:val="6"/>
              <w:spacing w:before="56" w:line="228" w:lineRule="auto"/>
              <w:ind w:left="252"/>
            </w:pPr>
            <w:r>
              <w:rPr>
                <w:spacing w:val="4"/>
              </w:rPr>
              <w:t>距原点</w:t>
            </w:r>
            <w:r>
              <w:rPr>
                <w:spacing w:val="-40"/>
              </w:rPr>
              <w:t xml:space="preserve"> </w:t>
            </w:r>
            <w:r>
              <w:rPr>
                <w:rFonts w:ascii="Times New Roman" w:hAnsi="Times New Roman" w:eastAsia="Times New Roman" w:cs="Times New Roman"/>
                <w:spacing w:val="4"/>
              </w:rPr>
              <w:t>41</w:t>
            </w:r>
            <w:r>
              <w:rPr>
                <w:rFonts w:ascii="Times New Roman" w:hAnsi="Times New Roman" w:eastAsia="Times New Roman" w:cs="Times New Roman"/>
                <w:spacing w:val="12"/>
              </w:rPr>
              <w:t xml:space="preserve"> </w:t>
            </w:r>
            <w:r>
              <w:rPr>
                <w:spacing w:val="4"/>
              </w:rPr>
              <w:t>米</w:t>
            </w:r>
          </w:p>
        </w:tc>
        <w:tc>
          <w:tcPr>
            <w:tcW w:w="1769" w:type="dxa"/>
            <w:vAlign w:val="top"/>
          </w:tcPr>
          <w:p w14:paraId="14A6B6E6">
            <w:pPr>
              <w:spacing w:before="92" w:line="195" w:lineRule="auto"/>
              <w:ind w:left="70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36.4</w:t>
            </w:r>
          </w:p>
        </w:tc>
        <w:tc>
          <w:tcPr>
            <w:tcW w:w="1183" w:type="dxa"/>
            <w:vAlign w:val="top"/>
          </w:tcPr>
          <w:p w14:paraId="4696C82C">
            <w:pPr>
              <w:spacing w:before="92"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0.0383</w:t>
            </w:r>
          </w:p>
        </w:tc>
        <w:tc>
          <w:tcPr>
            <w:tcW w:w="1275" w:type="dxa"/>
            <w:vAlign w:val="top"/>
          </w:tcPr>
          <w:p w14:paraId="20B2BFFE">
            <w:pPr>
              <w:spacing w:before="92"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0.6259</w:t>
            </w:r>
          </w:p>
        </w:tc>
        <w:tc>
          <w:tcPr>
            <w:tcW w:w="1123" w:type="dxa"/>
            <w:vAlign w:val="top"/>
          </w:tcPr>
          <w:p w14:paraId="03254CEC">
            <w:pPr>
              <w:spacing w:before="92"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0.0391</w:t>
            </w:r>
          </w:p>
        </w:tc>
        <w:tc>
          <w:tcPr>
            <w:tcW w:w="1328" w:type="dxa"/>
            <w:vAlign w:val="top"/>
          </w:tcPr>
          <w:p w14:paraId="541CCA30">
            <w:pPr>
              <w:spacing w:before="92"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0.6217</w:t>
            </w:r>
          </w:p>
        </w:tc>
      </w:tr>
      <w:tr w14:paraId="24F64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7AF65211">
            <w:pPr>
              <w:pStyle w:val="6"/>
              <w:spacing w:before="55" w:line="228" w:lineRule="auto"/>
              <w:ind w:left="252"/>
            </w:pPr>
            <w:r>
              <w:rPr>
                <w:spacing w:val="4"/>
              </w:rPr>
              <w:t>距原点</w:t>
            </w:r>
            <w:r>
              <w:rPr>
                <w:spacing w:val="-40"/>
              </w:rPr>
              <w:t xml:space="preserve"> </w:t>
            </w:r>
            <w:r>
              <w:rPr>
                <w:rFonts w:ascii="Times New Roman" w:hAnsi="Times New Roman" w:eastAsia="Times New Roman" w:cs="Times New Roman"/>
                <w:spacing w:val="4"/>
              </w:rPr>
              <w:t>42</w:t>
            </w:r>
            <w:r>
              <w:rPr>
                <w:rFonts w:ascii="Times New Roman" w:hAnsi="Times New Roman" w:eastAsia="Times New Roman" w:cs="Times New Roman"/>
                <w:spacing w:val="12"/>
              </w:rPr>
              <w:t xml:space="preserve"> </w:t>
            </w:r>
            <w:r>
              <w:rPr>
                <w:spacing w:val="4"/>
              </w:rPr>
              <w:t>米</w:t>
            </w:r>
          </w:p>
        </w:tc>
        <w:tc>
          <w:tcPr>
            <w:tcW w:w="1769" w:type="dxa"/>
            <w:vAlign w:val="top"/>
          </w:tcPr>
          <w:p w14:paraId="1B864EC6">
            <w:pPr>
              <w:spacing w:before="94" w:line="195" w:lineRule="auto"/>
              <w:ind w:left="70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37.4</w:t>
            </w:r>
          </w:p>
        </w:tc>
        <w:tc>
          <w:tcPr>
            <w:tcW w:w="1183" w:type="dxa"/>
            <w:vAlign w:val="top"/>
          </w:tcPr>
          <w:p w14:paraId="79827BEA">
            <w:pPr>
              <w:spacing w:before="94"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0.0364</w:t>
            </w:r>
          </w:p>
        </w:tc>
        <w:tc>
          <w:tcPr>
            <w:tcW w:w="1275" w:type="dxa"/>
            <w:vAlign w:val="top"/>
          </w:tcPr>
          <w:p w14:paraId="51C43012">
            <w:pPr>
              <w:spacing w:before="94" w:line="195" w:lineRule="auto"/>
              <w:ind w:left="4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0.597</w:t>
            </w:r>
          </w:p>
        </w:tc>
        <w:tc>
          <w:tcPr>
            <w:tcW w:w="1123" w:type="dxa"/>
            <w:vAlign w:val="top"/>
          </w:tcPr>
          <w:p w14:paraId="1EDEDE92">
            <w:pPr>
              <w:spacing w:before="94"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0.0372</w:t>
            </w:r>
          </w:p>
        </w:tc>
        <w:tc>
          <w:tcPr>
            <w:tcW w:w="1328" w:type="dxa"/>
            <w:vAlign w:val="top"/>
          </w:tcPr>
          <w:p w14:paraId="2A418FC3">
            <w:pPr>
              <w:spacing w:before="94"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0.5931</w:t>
            </w:r>
          </w:p>
        </w:tc>
      </w:tr>
      <w:tr w14:paraId="38BDC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08C53402">
            <w:pPr>
              <w:pStyle w:val="6"/>
              <w:spacing w:before="55" w:line="228" w:lineRule="auto"/>
              <w:ind w:left="252"/>
            </w:pPr>
            <w:r>
              <w:rPr>
                <w:spacing w:val="4"/>
              </w:rPr>
              <w:t>距原点</w:t>
            </w:r>
            <w:r>
              <w:rPr>
                <w:spacing w:val="-40"/>
              </w:rPr>
              <w:t xml:space="preserve"> </w:t>
            </w:r>
            <w:r>
              <w:rPr>
                <w:rFonts w:ascii="Times New Roman" w:hAnsi="Times New Roman" w:eastAsia="Times New Roman" w:cs="Times New Roman"/>
                <w:spacing w:val="4"/>
              </w:rPr>
              <w:t>43</w:t>
            </w:r>
            <w:r>
              <w:rPr>
                <w:rFonts w:ascii="Times New Roman" w:hAnsi="Times New Roman" w:eastAsia="Times New Roman" w:cs="Times New Roman"/>
                <w:spacing w:val="12"/>
              </w:rPr>
              <w:t xml:space="preserve"> </w:t>
            </w:r>
            <w:r>
              <w:rPr>
                <w:spacing w:val="4"/>
              </w:rPr>
              <w:t>米</w:t>
            </w:r>
          </w:p>
        </w:tc>
        <w:tc>
          <w:tcPr>
            <w:tcW w:w="1769" w:type="dxa"/>
            <w:vAlign w:val="top"/>
          </w:tcPr>
          <w:p w14:paraId="67B08EB0">
            <w:pPr>
              <w:spacing w:before="93" w:line="195" w:lineRule="auto"/>
              <w:ind w:left="70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38.4</w:t>
            </w:r>
          </w:p>
        </w:tc>
        <w:tc>
          <w:tcPr>
            <w:tcW w:w="1183" w:type="dxa"/>
            <w:vAlign w:val="top"/>
          </w:tcPr>
          <w:p w14:paraId="55A297E1">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0.0346</w:t>
            </w:r>
          </w:p>
        </w:tc>
        <w:tc>
          <w:tcPr>
            <w:tcW w:w="1275" w:type="dxa"/>
            <w:vAlign w:val="top"/>
          </w:tcPr>
          <w:p w14:paraId="366534F6">
            <w:pPr>
              <w:spacing w:before="93" w:line="195" w:lineRule="auto"/>
              <w:ind w:left="45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0.57</w:t>
            </w:r>
          </w:p>
        </w:tc>
        <w:tc>
          <w:tcPr>
            <w:tcW w:w="1123" w:type="dxa"/>
            <w:vAlign w:val="top"/>
          </w:tcPr>
          <w:p w14:paraId="5520728F">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0.0353</w:t>
            </w:r>
          </w:p>
        </w:tc>
        <w:tc>
          <w:tcPr>
            <w:tcW w:w="1328" w:type="dxa"/>
            <w:vAlign w:val="top"/>
          </w:tcPr>
          <w:p w14:paraId="512CA32C">
            <w:pPr>
              <w:spacing w:before="93"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0.5665</w:t>
            </w:r>
          </w:p>
        </w:tc>
      </w:tr>
      <w:tr w14:paraId="6EC6A7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29A9CD3C">
            <w:pPr>
              <w:pStyle w:val="6"/>
              <w:spacing w:before="54" w:line="228" w:lineRule="auto"/>
              <w:ind w:left="252"/>
            </w:pPr>
            <w:r>
              <w:rPr>
                <w:spacing w:val="4"/>
              </w:rPr>
              <w:t>距原点</w:t>
            </w:r>
            <w:r>
              <w:rPr>
                <w:spacing w:val="-40"/>
              </w:rPr>
              <w:t xml:space="preserve"> </w:t>
            </w:r>
            <w:r>
              <w:rPr>
                <w:rFonts w:ascii="Times New Roman" w:hAnsi="Times New Roman" w:eastAsia="Times New Roman" w:cs="Times New Roman"/>
                <w:spacing w:val="4"/>
              </w:rPr>
              <w:t>44</w:t>
            </w:r>
            <w:r>
              <w:rPr>
                <w:rFonts w:ascii="Times New Roman" w:hAnsi="Times New Roman" w:eastAsia="Times New Roman" w:cs="Times New Roman"/>
                <w:spacing w:val="12"/>
              </w:rPr>
              <w:t xml:space="preserve"> </w:t>
            </w:r>
            <w:r>
              <w:rPr>
                <w:spacing w:val="4"/>
              </w:rPr>
              <w:t>米</w:t>
            </w:r>
          </w:p>
        </w:tc>
        <w:tc>
          <w:tcPr>
            <w:tcW w:w="1769" w:type="dxa"/>
            <w:vAlign w:val="top"/>
          </w:tcPr>
          <w:p w14:paraId="36396EF3">
            <w:pPr>
              <w:spacing w:before="93" w:line="195" w:lineRule="auto"/>
              <w:ind w:left="70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39.4</w:t>
            </w:r>
          </w:p>
        </w:tc>
        <w:tc>
          <w:tcPr>
            <w:tcW w:w="1183" w:type="dxa"/>
            <w:vAlign w:val="top"/>
          </w:tcPr>
          <w:p w14:paraId="6690AD4E">
            <w:pPr>
              <w:spacing w:before="93"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0.033</w:t>
            </w:r>
          </w:p>
        </w:tc>
        <w:tc>
          <w:tcPr>
            <w:tcW w:w="1275" w:type="dxa"/>
            <w:vAlign w:val="top"/>
          </w:tcPr>
          <w:p w14:paraId="344EBB03">
            <w:pPr>
              <w:spacing w:before="93"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0.5448</w:t>
            </w:r>
          </w:p>
        </w:tc>
        <w:tc>
          <w:tcPr>
            <w:tcW w:w="1123" w:type="dxa"/>
            <w:vAlign w:val="top"/>
          </w:tcPr>
          <w:p w14:paraId="04648334">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0.0336</w:t>
            </w:r>
          </w:p>
        </w:tc>
        <w:tc>
          <w:tcPr>
            <w:tcW w:w="1328" w:type="dxa"/>
            <w:vAlign w:val="top"/>
          </w:tcPr>
          <w:p w14:paraId="7CB3FD7A">
            <w:pPr>
              <w:spacing w:before="93"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0.5416</w:t>
            </w:r>
          </w:p>
        </w:tc>
      </w:tr>
      <w:tr w14:paraId="7AE19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3B2F6678">
            <w:pPr>
              <w:pStyle w:val="6"/>
              <w:spacing w:before="56" w:line="228" w:lineRule="auto"/>
              <w:ind w:left="252"/>
            </w:pPr>
            <w:r>
              <w:rPr>
                <w:spacing w:val="4"/>
              </w:rPr>
              <w:t>距原点</w:t>
            </w:r>
            <w:r>
              <w:rPr>
                <w:spacing w:val="-40"/>
              </w:rPr>
              <w:t xml:space="preserve"> </w:t>
            </w:r>
            <w:r>
              <w:rPr>
                <w:rFonts w:ascii="Times New Roman" w:hAnsi="Times New Roman" w:eastAsia="Times New Roman" w:cs="Times New Roman"/>
                <w:spacing w:val="4"/>
              </w:rPr>
              <w:t>45</w:t>
            </w:r>
            <w:r>
              <w:rPr>
                <w:rFonts w:ascii="Times New Roman" w:hAnsi="Times New Roman" w:eastAsia="Times New Roman" w:cs="Times New Roman"/>
                <w:spacing w:val="12"/>
              </w:rPr>
              <w:t xml:space="preserve"> </w:t>
            </w:r>
            <w:r>
              <w:rPr>
                <w:spacing w:val="4"/>
              </w:rPr>
              <w:t>米</w:t>
            </w:r>
          </w:p>
        </w:tc>
        <w:tc>
          <w:tcPr>
            <w:tcW w:w="1769" w:type="dxa"/>
            <w:vAlign w:val="top"/>
          </w:tcPr>
          <w:p w14:paraId="02118221">
            <w:pPr>
              <w:spacing w:before="93" w:line="195" w:lineRule="auto"/>
              <w:ind w:left="6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40.4</w:t>
            </w:r>
          </w:p>
        </w:tc>
        <w:tc>
          <w:tcPr>
            <w:tcW w:w="1183" w:type="dxa"/>
            <w:vAlign w:val="top"/>
          </w:tcPr>
          <w:p w14:paraId="12C35B9C">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0.0315</w:t>
            </w:r>
          </w:p>
        </w:tc>
        <w:tc>
          <w:tcPr>
            <w:tcW w:w="1275" w:type="dxa"/>
            <w:vAlign w:val="top"/>
          </w:tcPr>
          <w:p w14:paraId="3C441428">
            <w:pPr>
              <w:spacing w:before="93"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0.5213</w:t>
            </w:r>
          </w:p>
        </w:tc>
        <w:tc>
          <w:tcPr>
            <w:tcW w:w="1123" w:type="dxa"/>
            <w:vAlign w:val="top"/>
          </w:tcPr>
          <w:p w14:paraId="29BB6C09">
            <w:pPr>
              <w:spacing w:before="93" w:line="195" w:lineRule="auto"/>
              <w:ind w:left="3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0.032</w:t>
            </w:r>
          </w:p>
        </w:tc>
        <w:tc>
          <w:tcPr>
            <w:tcW w:w="1328" w:type="dxa"/>
            <w:vAlign w:val="top"/>
          </w:tcPr>
          <w:p w14:paraId="3D98B2C5">
            <w:pPr>
              <w:spacing w:before="93"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0.5183</w:t>
            </w:r>
          </w:p>
        </w:tc>
      </w:tr>
      <w:tr w14:paraId="05FC16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4C9B7B6D">
            <w:pPr>
              <w:pStyle w:val="6"/>
              <w:spacing w:before="56" w:line="228" w:lineRule="auto"/>
              <w:ind w:left="252"/>
            </w:pPr>
            <w:r>
              <w:rPr>
                <w:spacing w:val="4"/>
              </w:rPr>
              <w:t>距原点</w:t>
            </w:r>
            <w:r>
              <w:rPr>
                <w:spacing w:val="-40"/>
              </w:rPr>
              <w:t xml:space="preserve"> </w:t>
            </w:r>
            <w:r>
              <w:rPr>
                <w:rFonts w:ascii="Times New Roman" w:hAnsi="Times New Roman" w:eastAsia="Times New Roman" w:cs="Times New Roman"/>
                <w:spacing w:val="4"/>
              </w:rPr>
              <w:t>46</w:t>
            </w:r>
            <w:r>
              <w:rPr>
                <w:rFonts w:ascii="Times New Roman" w:hAnsi="Times New Roman" w:eastAsia="Times New Roman" w:cs="Times New Roman"/>
                <w:spacing w:val="12"/>
              </w:rPr>
              <w:t xml:space="preserve"> </w:t>
            </w:r>
            <w:r>
              <w:rPr>
                <w:spacing w:val="4"/>
              </w:rPr>
              <w:t>米</w:t>
            </w:r>
          </w:p>
        </w:tc>
        <w:tc>
          <w:tcPr>
            <w:tcW w:w="1769" w:type="dxa"/>
            <w:vAlign w:val="top"/>
          </w:tcPr>
          <w:p w14:paraId="2665A986">
            <w:pPr>
              <w:spacing w:before="92" w:line="195" w:lineRule="auto"/>
              <w:ind w:left="6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41.4</w:t>
            </w:r>
          </w:p>
        </w:tc>
        <w:tc>
          <w:tcPr>
            <w:tcW w:w="1183" w:type="dxa"/>
            <w:vAlign w:val="top"/>
          </w:tcPr>
          <w:p w14:paraId="1198093B">
            <w:pPr>
              <w:spacing w:before="92"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0.0301</w:t>
            </w:r>
          </w:p>
        </w:tc>
        <w:tc>
          <w:tcPr>
            <w:tcW w:w="1275" w:type="dxa"/>
            <w:vAlign w:val="top"/>
          </w:tcPr>
          <w:p w14:paraId="492A5B8B">
            <w:pPr>
              <w:spacing w:before="92"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0.4992</w:t>
            </w:r>
          </w:p>
        </w:tc>
        <w:tc>
          <w:tcPr>
            <w:tcW w:w="1123" w:type="dxa"/>
            <w:vAlign w:val="top"/>
          </w:tcPr>
          <w:p w14:paraId="04D0A25B">
            <w:pPr>
              <w:spacing w:before="92"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0.0306</w:t>
            </w:r>
          </w:p>
        </w:tc>
        <w:tc>
          <w:tcPr>
            <w:tcW w:w="1328" w:type="dxa"/>
            <w:vAlign w:val="top"/>
          </w:tcPr>
          <w:p w14:paraId="1EC1224E">
            <w:pPr>
              <w:spacing w:before="92"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0.4965</w:t>
            </w:r>
          </w:p>
        </w:tc>
      </w:tr>
      <w:tr w14:paraId="680FF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4AC099D5">
            <w:pPr>
              <w:pStyle w:val="6"/>
              <w:spacing w:before="56" w:line="228" w:lineRule="auto"/>
              <w:ind w:left="252"/>
            </w:pPr>
            <w:r>
              <w:rPr>
                <w:spacing w:val="4"/>
              </w:rPr>
              <w:t>距原点</w:t>
            </w:r>
            <w:r>
              <w:rPr>
                <w:spacing w:val="-40"/>
              </w:rPr>
              <w:t xml:space="preserve"> </w:t>
            </w:r>
            <w:r>
              <w:rPr>
                <w:rFonts w:ascii="Times New Roman" w:hAnsi="Times New Roman" w:eastAsia="Times New Roman" w:cs="Times New Roman"/>
                <w:spacing w:val="4"/>
              </w:rPr>
              <w:t>47</w:t>
            </w:r>
            <w:r>
              <w:rPr>
                <w:rFonts w:ascii="Times New Roman" w:hAnsi="Times New Roman" w:eastAsia="Times New Roman" w:cs="Times New Roman"/>
                <w:spacing w:val="12"/>
              </w:rPr>
              <w:t xml:space="preserve"> </w:t>
            </w:r>
            <w:r>
              <w:rPr>
                <w:spacing w:val="4"/>
              </w:rPr>
              <w:t>米</w:t>
            </w:r>
          </w:p>
        </w:tc>
        <w:tc>
          <w:tcPr>
            <w:tcW w:w="1769" w:type="dxa"/>
            <w:vAlign w:val="top"/>
          </w:tcPr>
          <w:p w14:paraId="4DF0F444">
            <w:pPr>
              <w:spacing w:before="92" w:line="195" w:lineRule="auto"/>
              <w:ind w:left="6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42.4</w:t>
            </w:r>
          </w:p>
        </w:tc>
        <w:tc>
          <w:tcPr>
            <w:tcW w:w="1183" w:type="dxa"/>
            <w:vAlign w:val="top"/>
          </w:tcPr>
          <w:p w14:paraId="1E4B7B12">
            <w:pPr>
              <w:spacing w:before="92"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0.0287</w:t>
            </w:r>
          </w:p>
        </w:tc>
        <w:tc>
          <w:tcPr>
            <w:tcW w:w="1275" w:type="dxa"/>
            <w:vAlign w:val="top"/>
          </w:tcPr>
          <w:p w14:paraId="379F6856">
            <w:pPr>
              <w:spacing w:before="92"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0.4785</w:t>
            </w:r>
          </w:p>
        </w:tc>
        <w:tc>
          <w:tcPr>
            <w:tcW w:w="1123" w:type="dxa"/>
            <w:vAlign w:val="top"/>
          </w:tcPr>
          <w:p w14:paraId="6B03ADA6">
            <w:pPr>
              <w:spacing w:before="92"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0.0292</w:t>
            </w:r>
          </w:p>
        </w:tc>
        <w:tc>
          <w:tcPr>
            <w:tcW w:w="1328" w:type="dxa"/>
            <w:vAlign w:val="top"/>
          </w:tcPr>
          <w:p w14:paraId="0277D672">
            <w:pPr>
              <w:spacing w:before="92" w:line="195" w:lineRule="auto"/>
              <w:ind w:left="43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0.476</w:t>
            </w:r>
          </w:p>
        </w:tc>
      </w:tr>
      <w:tr w14:paraId="16003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7AB354C1">
            <w:pPr>
              <w:pStyle w:val="6"/>
              <w:spacing w:before="55" w:line="228" w:lineRule="auto"/>
              <w:ind w:left="252"/>
            </w:pPr>
            <w:r>
              <w:rPr>
                <w:spacing w:val="4"/>
              </w:rPr>
              <w:t>距原点</w:t>
            </w:r>
            <w:r>
              <w:rPr>
                <w:spacing w:val="-40"/>
              </w:rPr>
              <w:t xml:space="preserve"> </w:t>
            </w:r>
            <w:r>
              <w:rPr>
                <w:rFonts w:ascii="Times New Roman" w:hAnsi="Times New Roman" w:eastAsia="Times New Roman" w:cs="Times New Roman"/>
                <w:spacing w:val="4"/>
              </w:rPr>
              <w:t>48</w:t>
            </w:r>
            <w:r>
              <w:rPr>
                <w:rFonts w:ascii="Times New Roman" w:hAnsi="Times New Roman" w:eastAsia="Times New Roman" w:cs="Times New Roman"/>
                <w:spacing w:val="12"/>
              </w:rPr>
              <w:t xml:space="preserve"> </w:t>
            </w:r>
            <w:r>
              <w:rPr>
                <w:spacing w:val="4"/>
              </w:rPr>
              <w:t>米</w:t>
            </w:r>
          </w:p>
        </w:tc>
        <w:tc>
          <w:tcPr>
            <w:tcW w:w="1769" w:type="dxa"/>
            <w:vAlign w:val="top"/>
          </w:tcPr>
          <w:p w14:paraId="47F38D3C">
            <w:pPr>
              <w:spacing w:before="94" w:line="195" w:lineRule="auto"/>
              <w:ind w:left="6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43.4</w:t>
            </w:r>
          </w:p>
        </w:tc>
        <w:tc>
          <w:tcPr>
            <w:tcW w:w="1183" w:type="dxa"/>
            <w:vAlign w:val="top"/>
          </w:tcPr>
          <w:p w14:paraId="4625A2A8">
            <w:pPr>
              <w:spacing w:before="94"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0.0275</w:t>
            </w:r>
          </w:p>
        </w:tc>
        <w:tc>
          <w:tcPr>
            <w:tcW w:w="1275" w:type="dxa"/>
            <w:vAlign w:val="top"/>
          </w:tcPr>
          <w:p w14:paraId="62D0E981">
            <w:pPr>
              <w:spacing w:before="94"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0.4591</w:t>
            </w:r>
          </w:p>
        </w:tc>
        <w:tc>
          <w:tcPr>
            <w:tcW w:w="1123" w:type="dxa"/>
            <w:vAlign w:val="top"/>
          </w:tcPr>
          <w:p w14:paraId="07D687C7">
            <w:pPr>
              <w:spacing w:before="94"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0.0279</w:t>
            </w:r>
          </w:p>
        </w:tc>
        <w:tc>
          <w:tcPr>
            <w:tcW w:w="1328" w:type="dxa"/>
            <w:vAlign w:val="top"/>
          </w:tcPr>
          <w:p w14:paraId="578F4C10">
            <w:pPr>
              <w:spacing w:before="94"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0.4568</w:t>
            </w:r>
          </w:p>
        </w:tc>
      </w:tr>
      <w:tr w14:paraId="050E9B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0DC92287">
            <w:pPr>
              <w:pStyle w:val="6"/>
              <w:spacing w:before="55" w:line="228" w:lineRule="auto"/>
              <w:ind w:left="252"/>
            </w:pPr>
            <w:r>
              <w:rPr>
                <w:spacing w:val="4"/>
              </w:rPr>
              <w:t>距原点</w:t>
            </w:r>
            <w:r>
              <w:rPr>
                <w:spacing w:val="-40"/>
              </w:rPr>
              <w:t xml:space="preserve"> </w:t>
            </w:r>
            <w:r>
              <w:rPr>
                <w:rFonts w:ascii="Times New Roman" w:hAnsi="Times New Roman" w:eastAsia="Times New Roman" w:cs="Times New Roman"/>
                <w:spacing w:val="4"/>
              </w:rPr>
              <w:t>49</w:t>
            </w:r>
            <w:r>
              <w:rPr>
                <w:rFonts w:ascii="Times New Roman" w:hAnsi="Times New Roman" w:eastAsia="Times New Roman" w:cs="Times New Roman"/>
                <w:spacing w:val="12"/>
              </w:rPr>
              <w:t xml:space="preserve"> </w:t>
            </w:r>
            <w:r>
              <w:rPr>
                <w:spacing w:val="4"/>
              </w:rPr>
              <w:t>米</w:t>
            </w:r>
          </w:p>
        </w:tc>
        <w:tc>
          <w:tcPr>
            <w:tcW w:w="1769" w:type="dxa"/>
            <w:vAlign w:val="top"/>
          </w:tcPr>
          <w:p w14:paraId="4F00FBA3">
            <w:pPr>
              <w:spacing w:before="93" w:line="195" w:lineRule="auto"/>
              <w:ind w:left="6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44.4</w:t>
            </w:r>
          </w:p>
        </w:tc>
        <w:tc>
          <w:tcPr>
            <w:tcW w:w="1183" w:type="dxa"/>
            <w:vAlign w:val="top"/>
          </w:tcPr>
          <w:p w14:paraId="4C07B333">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0.0263</w:t>
            </w:r>
          </w:p>
        </w:tc>
        <w:tc>
          <w:tcPr>
            <w:tcW w:w="1275" w:type="dxa"/>
            <w:vAlign w:val="top"/>
          </w:tcPr>
          <w:p w14:paraId="29EACA26">
            <w:pPr>
              <w:spacing w:before="93"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0.4408</w:t>
            </w:r>
          </w:p>
        </w:tc>
        <w:tc>
          <w:tcPr>
            <w:tcW w:w="1123" w:type="dxa"/>
            <w:vAlign w:val="top"/>
          </w:tcPr>
          <w:p w14:paraId="30BA7EA3">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0.0267</w:t>
            </w:r>
          </w:p>
        </w:tc>
        <w:tc>
          <w:tcPr>
            <w:tcW w:w="1328" w:type="dxa"/>
            <w:vAlign w:val="top"/>
          </w:tcPr>
          <w:p w14:paraId="3574DA6B">
            <w:pPr>
              <w:spacing w:before="93"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0.4387</w:t>
            </w:r>
          </w:p>
        </w:tc>
      </w:tr>
      <w:tr w14:paraId="45117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651" w:type="dxa"/>
            <w:vAlign w:val="top"/>
          </w:tcPr>
          <w:p w14:paraId="58632C92">
            <w:pPr>
              <w:pStyle w:val="6"/>
              <w:spacing w:before="54" w:line="228" w:lineRule="auto"/>
              <w:ind w:left="252"/>
            </w:pPr>
            <w:r>
              <w:rPr>
                <w:spacing w:val="3"/>
              </w:rPr>
              <w:t>距原点</w:t>
            </w:r>
            <w:r>
              <w:rPr>
                <w:spacing w:val="-34"/>
              </w:rPr>
              <w:t xml:space="preserve"> </w:t>
            </w:r>
            <w:r>
              <w:rPr>
                <w:rFonts w:ascii="Times New Roman" w:hAnsi="Times New Roman" w:eastAsia="Times New Roman" w:cs="Times New Roman"/>
                <w:spacing w:val="3"/>
              </w:rPr>
              <w:t>50</w:t>
            </w:r>
            <w:r>
              <w:rPr>
                <w:rFonts w:ascii="Times New Roman" w:hAnsi="Times New Roman" w:eastAsia="Times New Roman" w:cs="Times New Roman"/>
                <w:spacing w:val="12"/>
              </w:rPr>
              <w:t xml:space="preserve"> </w:t>
            </w:r>
            <w:r>
              <w:rPr>
                <w:spacing w:val="3"/>
              </w:rPr>
              <w:t>米</w:t>
            </w:r>
          </w:p>
        </w:tc>
        <w:tc>
          <w:tcPr>
            <w:tcW w:w="1769" w:type="dxa"/>
            <w:vAlign w:val="top"/>
          </w:tcPr>
          <w:p w14:paraId="68D98A31">
            <w:pPr>
              <w:spacing w:before="93" w:line="195" w:lineRule="auto"/>
              <w:ind w:left="6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45.4</w:t>
            </w:r>
          </w:p>
        </w:tc>
        <w:tc>
          <w:tcPr>
            <w:tcW w:w="1183" w:type="dxa"/>
            <w:vAlign w:val="top"/>
          </w:tcPr>
          <w:p w14:paraId="5024FA83">
            <w:pPr>
              <w:spacing w:before="93"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0.0253</w:t>
            </w:r>
          </w:p>
        </w:tc>
        <w:tc>
          <w:tcPr>
            <w:tcW w:w="1275" w:type="dxa"/>
            <w:vAlign w:val="top"/>
          </w:tcPr>
          <w:p w14:paraId="3975DD57">
            <w:pPr>
              <w:spacing w:before="93" w:line="195" w:lineRule="auto"/>
              <w:ind w:left="3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0.4236</w:t>
            </w:r>
          </w:p>
        </w:tc>
        <w:tc>
          <w:tcPr>
            <w:tcW w:w="1123" w:type="dxa"/>
            <w:vAlign w:val="top"/>
          </w:tcPr>
          <w:p w14:paraId="34BB6857">
            <w:pPr>
              <w:spacing w:before="93"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0.0256</w:t>
            </w:r>
          </w:p>
        </w:tc>
        <w:tc>
          <w:tcPr>
            <w:tcW w:w="1328" w:type="dxa"/>
            <w:vAlign w:val="top"/>
          </w:tcPr>
          <w:p w14:paraId="0B795D11">
            <w:pPr>
              <w:spacing w:before="93" w:line="195" w:lineRule="auto"/>
              <w:ind w:left="37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0.4216</w:t>
            </w:r>
          </w:p>
        </w:tc>
      </w:tr>
      <w:tr w14:paraId="402AD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3420" w:type="dxa"/>
            <w:gridSpan w:val="2"/>
            <w:vAlign w:val="top"/>
          </w:tcPr>
          <w:p w14:paraId="35A76214">
            <w:pPr>
              <w:pStyle w:val="6"/>
              <w:spacing w:before="56" w:line="228" w:lineRule="auto"/>
              <w:ind w:left="1402"/>
            </w:pPr>
            <w:r>
              <w:rPr>
                <w:b/>
                <w:bCs/>
                <w:spacing w:val="4"/>
              </w:rPr>
              <w:t>最大值</w:t>
            </w:r>
          </w:p>
        </w:tc>
        <w:tc>
          <w:tcPr>
            <w:tcW w:w="1183" w:type="dxa"/>
            <w:vAlign w:val="top"/>
          </w:tcPr>
          <w:p w14:paraId="3983F9F0">
            <w:pPr>
              <w:pStyle w:val="6"/>
              <w:spacing w:before="57" w:line="234" w:lineRule="auto"/>
              <w:ind w:left="12"/>
            </w:pPr>
            <w:r>
              <w:rPr>
                <w:rFonts w:ascii="Times New Roman" w:hAnsi="Times New Roman" w:eastAsia="Times New Roman" w:cs="Times New Roman"/>
                <w:b/>
                <w:bCs/>
                <w:spacing w:val="3"/>
              </w:rPr>
              <w:t>2.4295</w:t>
            </w:r>
            <w:r>
              <w:rPr>
                <w:b/>
                <w:bCs/>
                <w:spacing w:val="3"/>
              </w:rPr>
              <w:t>（</w:t>
            </w:r>
            <w:r>
              <w:rPr>
                <w:rFonts w:ascii="Times New Roman" w:hAnsi="Times New Roman" w:eastAsia="Times New Roman" w:cs="Times New Roman"/>
                <w:b/>
                <w:bCs/>
                <w:spacing w:val="3"/>
              </w:rPr>
              <w:t>-5</w:t>
            </w:r>
            <w:r>
              <w:rPr>
                <w:b/>
                <w:bCs/>
                <w:spacing w:val="3"/>
              </w:rPr>
              <w:t>）</w:t>
            </w:r>
          </w:p>
        </w:tc>
        <w:tc>
          <w:tcPr>
            <w:tcW w:w="1275" w:type="dxa"/>
            <w:vAlign w:val="top"/>
          </w:tcPr>
          <w:p w14:paraId="68CE0A67">
            <w:pPr>
              <w:pStyle w:val="6"/>
              <w:spacing w:before="57" w:line="234" w:lineRule="auto"/>
              <w:jc w:val="right"/>
            </w:pPr>
            <w:r>
              <w:rPr>
                <w:rFonts w:ascii="Times New Roman" w:hAnsi="Times New Roman" w:eastAsia="Times New Roman" w:cs="Times New Roman"/>
                <w:b/>
                <w:bCs/>
                <w:spacing w:val="2"/>
              </w:rPr>
              <w:t>26.2672</w:t>
            </w:r>
            <w:r>
              <w:rPr>
                <w:b/>
                <w:bCs/>
                <w:spacing w:val="2"/>
              </w:rPr>
              <w:t>（</w:t>
            </w:r>
            <w:r>
              <w:rPr>
                <w:rFonts w:ascii="Times New Roman" w:hAnsi="Times New Roman" w:eastAsia="Times New Roman" w:cs="Times New Roman"/>
                <w:b/>
                <w:bCs/>
                <w:spacing w:val="2"/>
              </w:rPr>
              <w:t>-1</w:t>
            </w:r>
            <w:r>
              <w:rPr>
                <w:b/>
                <w:bCs/>
                <w:spacing w:val="2"/>
              </w:rPr>
              <w:t>）</w:t>
            </w:r>
          </w:p>
        </w:tc>
        <w:tc>
          <w:tcPr>
            <w:tcW w:w="1123" w:type="dxa"/>
            <w:vAlign w:val="top"/>
          </w:tcPr>
          <w:p w14:paraId="18FEDB9E">
            <w:pPr>
              <w:pStyle w:val="6"/>
              <w:spacing w:before="57" w:line="234" w:lineRule="auto"/>
              <w:jc w:val="right"/>
            </w:pPr>
            <w:r>
              <w:rPr>
                <w:rFonts w:ascii="Times New Roman" w:hAnsi="Times New Roman" w:eastAsia="Times New Roman" w:cs="Times New Roman"/>
                <w:b/>
                <w:bCs/>
                <w:spacing w:val="-3"/>
              </w:rPr>
              <w:t>1.8378</w:t>
            </w:r>
            <w:r>
              <w:rPr>
                <w:b/>
                <w:bCs/>
                <w:spacing w:val="-3"/>
              </w:rPr>
              <w:t>（</w:t>
            </w:r>
            <w:r>
              <w:rPr>
                <w:rFonts w:ascii="Times New Roman" w:hAnsi="Times New Roman" w:eastAsia="Times New Roman" w:cs="Times New Roman"/>
                <w:b/>
                <w:bCs/>
                <w:spacing w:val="-3"/>
              </w:rPr>
              <w:t>-5</w:t>
            </w:r>
            <w:r>
              <w:rPr>
                <w:b/>
                <w:bCs/>
                <w:spacing w:val="-3"/>
              </w:rPr>
              <w:t>）</w:t>
            </w:r>
          </w:p>
        </w:tc>
        <w:tc>
          <w:tcPr>
            <w:tcW w:w="1328" w:type="dxa"/>
            <w:vAlign w:val="top"/>
          </w:tcPr>
          <w:p w14:paraId="057E00CC">
            <w:pPr>
              <w:pStyle w:val="6"/>
              <w:spacing w:before="57" w:line="234" w:lineRule="auto"/>
              <w:ind w:left="26"/>
            </w:pPr>
            <w:r>
              <w:rPr>
                <w:rFonts w:ascii="Times New Roman" w:hAnsi="Times New Roman" w:eastAsia="Times New Roman" w:cs="Times New Roman"/>
                <w:b/>
                <w:bCs/>
                <w:spacing w:val="3"/>
              </w:rPr>
              <w:t>20.6741</w:t>
            </w:r>
            <w:r>
              <w:rPr>
                <w:b/>
                <w:bCs/>
                <w:spacing w:val="3"/>
              </w:rPr>
              <w:t>（</w:t>
            </w:r>
            <w:r>
              <w:rPr>
                <w:rFonts w:ascii="Times New Roman" w:hAnsi="Times New Roman" w:eastAsia="Times New Roman" w:cs="Times New Roman"/>
                <w:b/>
                <w:bCs/>
                <w:spacing w:val="3"/>
              </w:rPr>
              <w:t>-1</w:t>
            </w:r>
            <w:r>
              <w:rPr>
                <w:b/>
                <w:bCs/>
                <w:spacing w:val="3"/>
              </w:rPr>
              <w:t>）</w:t>
            </w:r>
          </w:p>
        </w:tc>
      </w:tr>
    </w:tbl>
    <w:p w14:paraId="4FE1E9F9">
      <w:pPr>
        <w:rPr>
          <w:rFonts w:ascii="Arial"/>
          <w:sz w:val="21"/>
        </w:rPr>
      </w:pPr>
    </w:p>
    <w:p w14:paraId="7CECF542">
      <w:pPr>
        <w:rPr>
          <w:rFonts w:ascii="Arial" w:hAnsi="Arial" w:eastAsia="Arial" w:cs="Arial"/>
          <w:sz w:val="21"/>
          <w:szCs w:val="21"/>
        </w:rPr>
        <w:sectPr>
          <w:footerReference r:id="rId188" w:type="default"/>
          <w:pgSz w:w="11906" w:h="16839"/>
          <w:pgMar w:top="400" w:right="1785" w:bottom="1147" w:left="1785" w:header="0" w:footer="960" w:gutter="0"/>
          <w:cols w:space="720" w:num="1"/>
        </w:sectPr>
      </w:pPr>
    </w:p>
    <w:p w14:paraId="3EF4E1FB">
      <w:pPr>
        <w:spacing w:line="287" w:lineRule="auto"/>
        <w:rPr>
          <w:rFonts w:ascii="Arial"/>
          <w:sz w:val="21"/>
        </w:rPr>
      </w:pPr>
    </w:p>
    <w:p w14:paraId="3A2571F4">
      <w:pPr>
        <w:spacing w:line="287" w:lineRule="auto"/>
        <w:rPr>
          <w:rFonts w:ascii="Arial"/>
          <w:sz w:val="21"/>
        </w:rPr>
      </w:pPr>
    </w:p>
    <w:p w14:paraId="34FA1394">
      <w:pPr>
        <w:spacing w:line="287" w:lineRule="auto"/>
        <w:rPr>
          <w:rFonts w:ascii="Arial"/>
          <w:sz w:val="21"/>
        </w:rPr>
      </w:pPr>
    </w:p>
    <w:p w14:paraId="49E9DE0E">
      <w:pPr>
        <w:spacing w:line="287" w:lineRule="auto"/>
        <w:rPr>
          <w:rFonts w:ascii="Arial"/>
          <w:sz w:val="21"/>
        </w:rPr>
      </w:pPr>
    </w:p>
    <w:p w14:paraId="281AD491">
      <w:pPr>
        <w:spacing w:line="4449" w:lineRule="exact"/>
        <w:ind w:firstLine="16"/>
      </w:pPr>
      <w:r>
        <w:rPr>
          <w:position w:val="-88"/>
        </w:rPr>
        <w:drawing>
          <wp:inline distT="0" distB="0" distL="0" distR="0">
            <wp:extent cx="5269865" cy="2825115"/>
            <wp:effectExtent l="0" t="0" r="0" b="0"/>
            <wp:docPr id="214" name="IM 214"/>
            <wp:cNvGraphicFramePr/>
            <a:graphic xmlns:a="http://schemas.openxmlformats.org/drawingml/2006/main">
              <a:graphicData uri="http://schemas.openxmlformats.org/drawingml/2006/picture">
                <pic:pic xmlns:pic="http://schemas.openxmlformats.org/drawingml/2006/picture">
                  <pic:nvPicPr>
                    <pic:cNvPr id="214" name="IM 214"/>
                    <pic:cNvPicPr/>
                  </pic:nvPicPr>
                  <pic:blipFill>
                    <a:blip r:embed="rId306"/>
                    <a:stretch>
                      <a:fillRect/>
                    </a:stretch>
                  </pic:blipFill>
                  <pic:spPr>
                    <a:xfrm>
                      <a:off x="0" y="0"/>
                      <a:ext cx="5269991" cy="2825495"/>
                    </a:xfrm>
                    <a:prstGeom prst="rect">
                      <a:avLst/>
                    </a:prstGeom>
                  </pic:spPr>
                </pic:pic>
              </a:graphicData>
            </a:graphic>
          </wp:inline>
        </w:drawing>
      </w:r>
    </w:p>
    <w:p w14:paraId="57131F45">
      <w:pPr>
        <w:pStyle w:val="2"/>
        <w:spacing w:before="166" w:line="228" w:lineRule="auto"/>
        <w:ind w:left="1465"/>
        <w:rPr>
          <w:sz w:val="20"/>
          <w:szCs w:val="20"/>
        </w:rPr>
      </w:pPr>
      <w:r>
        <w:rPr>
          <w:b/>
          <w:bCs/>
          <w:spacing w:val="6"/>
          <w:sz w:val="20"/>
          <w:szCs w:val="20"/>
        </w:rPr>
        <w:t>图</w:t>
      </w:r>
      <w:r>
        <w:rPr>
          <w:spacing w:val="-40"/>
          <w:sz w:val="20"/>
          <w:szCs w:val="20"/>
        </w:rPr>
        <w:t xml:space="preserve"> </w:t>
      </w:r>
      <w:r>
        <w:rPr>
          <w:rFonts w:ascii="Times New Roman" w:hAnsi="Times New Roman" w:eastAsia="Times New Roman" w:cs="Times New Roman"/>
          <w:b/>
          <w:bCs/>
          <w:spacing w:val="6"/>
          <w:sz w:val="20"/>
          <w:szCs w:val="20"/>
        </w:rPr>
        <w:t xml:space="preserve">5-4    </w:t>
      </w:r>
      <w:r>
        <w:rPr>
          <w:b/>
          <w:bCs/>
          <w:spacing w:val="6"/>
          <w:sz w:val="20"/>
          <w:szCs w:val="20"/>
        </w:rPr>
        <w:t>单回线路最不利塔型工频电场强度</w:t>
      </w:r>
      <w:r>
        <w:rPr>
          <w:b/>
          <w:bCs/>
          <w:spacing w:val="5"/>
          <w:sz w:val="20"/>
          <w:szCs w:val="20"/>
        </w:rPr>
        <w:t>变化曲线（</w:t>
      </w:r>
      <w:r>
        <w:rPr>
          <w:rFonts w:ascii="Times New Roman" w:hAnsi="Times New Roman" w:eastAsia="Times New Roman" w:cs="Times New Roman"/>
          <w:b/>
          <w:bCs/>
          <w:spacing w:val="5"/>
          <w:sz w:val="20"/>
          <w:szCs w:val="20"/>
        </w:rPr>
        <w:t>6m</w:t>
      </w:r>
      <w:r>
        <w:rPr>
          <w:b/>
          <w:bCs/>
          <w:spacing w:val="5"/>
          <w:sz w:val="20"/>
          <w:szCs w:val="20"/>
        </w:rPr>
        <w:t>）</w:t>
      </w:r>
    </w:p>
    <w:p w14:paraId="15CE52F0">
      <w:pPr>
        <w:spacing w:line="461" w:lineRule="auto"/>
        <w:rPr>
          <w:rFonts w:ascii="Arial"/>
          <w:sz w:val="21"/>
        </w:rPr>
      </w:pPr>
    </w:p>
    <w:p w14:paraId="592560FB">
      <w:pPr>
        <w:spacing w:line="4716" w:lineRule="exact"/>
        <w:ind w:firstLine="18"/>
      </w:pPr>
      <w:r>
        <w:rPr>
          <w:position w:val="-94"/>
        </w:rPr>
        <w:drawing>
          <wp:inline distT="0" distB="0" distL="0" distR="0">
            <wp:extent cx="5269865" cy="2994025"/>
            <wp:effectExtent l="0" t="0" r="0" b="0"/>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r:embed="rId307"/>
                    <a:stretch>
                      <a:fillRect/>
                    </a:stretch>
                  </pic:blipFill>
                  <pic:spPr>
                    <a:xfrm>
                      <a:off x="0" y="0"/>
                      <a:ext cx="5269991" cy="2994659"/>
                    </a:xfrm>
                    <a:prstGeom prst="rect">
                      <a:avLst/>
                    </a:prstGeom>
                  </pic:spPr>
                </pic:pic>
              </a:graphicData>
            </a:graphic>
          </wp:inline>
        </w:drawing>
      </w:r>
    </w:p>
    <w:p w14:paraId="653728BD">
      <w:pPr>
        <w:pStyle w:val="2"/>
        <w:spacing w:before="265" w:line="228" w:lineRule="auto"/>
        <w:ind w:left="1518"/>
        <w:rPr>
          <w:sz w:val="20"/>
          <w:szCs w:val="20"/>
        </w:rPr>
      </w:pPr>
      <w:r>
        <w:rPr>
          <w:b/>
          <w:bCs/>
          <w:spacing w:val="6"/>
          <w:sz w:val="20"/>
          <w:szCs w:val="20"/>
        </w:rPr>
        <w:t>图</w:t>
      </w:r>
      <w:r>
        <w:rPr>
          <w:spacing w:val="-40"/>
          <w:sz w:val="20"/>
          <w:szCs w:val="20"/>
        </w:rPr>
        <w:t xml:space="preserve"> </w:t>
      </w:r>
      <w:r>
        <w:rPr>
          <w:rFonts w:ascii="Times New Roman" w:hAnsi="Times New Roman" w:eastAsia="Times New Roman" w:cs="Times New Roman"/>
          <w:b/>
          <w:bCs/>
          <w:spacing w:val="6"/>
          <w:sz w:val="20"/>
          <w:szCs w:val="20"/>
        </w:rPr>
        <w:t xml:space="preserve">5-5      </w:t>
      </w:r>
      <w:r>
        <w:rPr>
          <w:b/>
          <w:bCs/>
          <w:spacing w:val="6"/>
          <w:sz w:val="20"/>
          <w:szCs w:val="20"/>
        </w:rPr>
        <w:t>单回线路最不利塔型工频磁感</w:t>
      </w:r>
      <w:r>
        <w:rPr>
          <w:b/>
          <w:bCs/>
          <w:spacing w:val="5"/>
          <w:sz w:val="20"/>
          <w:szCs w:val="20"/>
        </w:rPr>
        <w:t>应强度变化曲线（</w:t>
      </w:r>
      <w:r>
        <w:rPr>
          <w:rFonts w:ascii="Times New Roman" w:hAnsi="Times New Roman" w:eastAsia="Times New Roman" w:cs="Times New Roman"/>
          <w:b/>
          <w:bCs/>
          <w:spacing w:val="5"/>
          <w:sz w:val="20"/>
          <w:szCs w:val="20"/>
        </w:rPr>
        <w:t>6m</w:t>
      </w:r>
      <w:r>
        <w:rPr>
          <w:b/>
          <w:bCs/>
          <w:spacing w:val="5"/>
          <w:sz w:val="20"/>
          <w:szCs w:val="20"/>
        </w:rPr>
        <w:t>）</w:t>
      </w:r>
    </w:p>
    <w:p w14:paraId="29EA40F3">
      <w:pPr>
        <w:spacing w:line="228" w:lineRule="auto"/>
        <w:rPr>
          <w:sz w:val="20"/>
          <w:szCs w:val="20"/>
        </w:rPr>
        <w:sectPr>
          <w:footerReference r:id="rId189" w:type="default"/>
          <w:pgSz w:w="11906" w:h="16839"/>
          <w:pgMar w:top="400" w:right="1785" w:bottom="1147" w:left="1785" w:header="0" w:footer="960" w:gutter="0"/>
          <w:cols w:space="720" w:num="1"/>
        </w:sectPr>
      </w:pPr>
    </w:p>
    <w:p w14:paraId="123BD51A">
      <w:pPr>
        <w:spacing w:line="287" w:lineRule="auto"/>
        <w:rPr>
          <w:rFonts w:ascii="Arial"/>
          <w:sz w:val="21"/>
        </w:rPr>
      </w:pPr>
    </w:p>
    <w:p w14:paraId="4F3A6C14">
      <w:pPr>
        <w:spacing w:line="287" w:lineRule="auto"/>
        <w:rPr>
          <w:rFonts w:ascii="Arial"/>
          <w:sz w:val="21"/>
        </w:rPr>
      </w:pPr>
    </w:p>
    <w:p w14:paraId="3EB03D0F">
      <w:pPr>
        <w:spacing w:line="287" w:lineRule="auto"/>
        <w:rPr>
          <w:rFonts w:ascii="Arial"/>
          <w:sz w:val="21"/>
        </w:rPr>
      </w:pPr>
    </w:p>
    <w:p w14:paraId="34AC269F">
      <w:pPr>
        <w:spacing w:line="287" w:lineRule="auto"/>
        <w:rPr>
          <w:rFonts w:ascii="Arial"/>
          <w:sz w:val="21"/>
        </w:rPr>
      </w:pPr>
    </w:p>
    <w:p w14:paraId="45FDC14E">
      <w:pPr>
        <w:spacing w:line="4449" w:lineRule="exact"/>
        <w:ind w:firstLine="16"/>
      </w:pPr>
      <w:r>
        <w:rPr>
          <w:position w:val="-88"/>
        </w:rPr>
        <w:drawing>
          <wp:inline distT="0" distB="0" distL="0" distR="0">
            <wp:extent cx="5269865" cy="2825115"/>
            <wp:effectExtent l="0" t="0" r="0" b="0"/>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r:embed="rId308"/>
                    <a:stretch>
                      <a:fillRect/>
                    </a:stretch>
                  </pic:blipFill>
                  <pic:spPr>
                    <a:xfrm>
                      <a:off x="0" y="0"/>
                      <a:ext cx="5269991" cy="2825495"/>
                    </a:xfrm>
                    <a:prstGeom prst="rect">
                      <a:avLst/>
                    </a:prstGeom>
                  </pic:spPr>
                </pic:pic>
              </a:graphicData>
            </a:graphic>
          </wp:inline>
        </w:drawing>
      </w:r>
    </w:p>
    <w:p w14:paraId="22289481">
      <w:pPr>
        <w:pStyle w:val="2"/>
        <w:spacing w:before="166" w:line="228" w:lineRule="auto"/>
        <w:ind w:left="1413"/>
        <w:rPr>
          <w:sz w:val="20"/>
          <w:szCs w:val="20"/>
        </w:rPr>
      </w:pPr>
      <w:r>
        <w:rPr>
          <w:b/>
          <w:bCs/>
          <w:spacing w:val="6"/>
          <w:sz w:val="20"/>
          <w:szCs w:val="20"/>
        </w:rPr>
        <w:t>图</w:t>
      </w:r>
      <w:r>
        <w:rPr>
          <w:spacing w:val="-40"/>
          <w:sz w:val="20"/>
          <w:szCs w:val="20"/>
        </w:rPr>
        <w:t xml:space="preserve"> </w:t>
      </w:r>
      <w:r>
        <w:rPr>
          <w:rFonts w:ascii="Times New Roman" w:hAnsi="Times New Roman" w:eastAsia="Times New Roman" w:cs="Times New Roman"/>
          <w:b/>
          <w:bCs/>
          <w:spacing w:val="6"/>
          <w:sz w:val="20"/>
          <w:szCs w:val="20"/>
        </w:rPr>
        <w:t xml:space="preserve">5-6      </w:t>
      </w:r>
      <w:r>
        <w:rPr>
          <w:b/>
          <w:bCs/>
          <w:spacing w:val="6"/>
          <w:sz w:val="20"/>
          <w:szCs w:val="20"/>
        </w:rPr>
        <w:t>单回线路最不利塔型</w:t>
      </w:r>
      <w:r>
        <w:rPr>
          <w:b/>
          <w:bCs/>
          <w:spacing w:val="5"/>
          <w:sz w:val="20"/>
          <w:szCs w:val="20"/>
        </w:rPr>
        <w:t>工频电场强度变化曲线（</w:t>
      </w:r>
      <w:r>
        <w:rPr>
          <w:rFonts w:ascii="Times New Roman" w:hAnsi="Times New Roman" w:eastAsia="Times New Roman" w:cs="Times New Roman"/>
          <w:b/>
          <w:bCs/>
          <w:spacing w:val="5"/>
          <w:sz w:val="20"/>
          <w:szCs w:val="20"/>
        </w:rPr>
        <w:t>7m</w:t>
      </w:r>
      <w:r>
        <w:rPr>
          <w:b/>
          <w:bCs/>
          <w:spacing w:val="5"/>
          <w:sz w:val="20"/>
          <w:szCs w:val="20"/>
        </w:rPr>
        <w:t>）</w:t>
      </w:r>
    </w:p>
    <w:p w14:paraId="1F781E87">
      <w:pPr>
        <w:spacing w:before="152" w:line="4716" w:lineRule="exact"/>
        <w:ind w:firstLine="14"/>
      </w:pPr>
      <w:r>
        <w:rPr>
          <w:position w:val="-94"/>
        </w:rPr>
        <w:drawing>
          <wp:inline distT="0" distB="0" distL="0" distR="0">
            <wp:extent cx="5269865" cy="2994025"/>
            <wp:effectExtent l="0" t="0" r="0" b="0"/>
            <wp:docPr id="220" name="IM 220"/>
            <wp:cNvGraphicFramePr/>
            <a:graphic xmlns:a="http://schemas.openxmlformats.org/drawingml/2006/main">
              <a:graphicData uri="http://schemas.openxmlformats.org/drawingml/2006/picture">
                <pic:pic xmlns:pic="http://schemas.openxmlformats.org/drawingml/2006/picture">
                  <pic:nvPicPr>
                    <pic:cNvPr id="220" name="IM 220"/>
                    <pic:cNvPicPr/>
                  </pic:nvPicPr>
                  <pic:blipFill>
                    <a:blip r:embed="rId309"/>
                    <a:stretch>
                      <a:fillRect/>
                    </a:stretch>
                  </pic:blipFill>
                  <pic:spPr>
                    <a:xfrm>
                      <a:off x="0" y="0"/>
                      <a:ext cx="5269991" cy="2994659"/>
                    </a:xfrm>
                    <a:prstGeom prst="rect">
                      <a:avLst/>
                    </a:prstGeom>
                  </pic:spPr>
                </pic:pic>
              </a:graphicData>
            </a:graphic>
          </wp:inline>
        </w:drawing>
      </w:r>
    </w:p>
    <w:p w14:paraId="2A4DDE2A">
      <w:pPr>
        <w:pStyle w:val="2"/>
        <w:spacing w:before="265" w:line="228" w:lineRule="auto"/>
        <w:ind w:left="1518"/>
        <w:rPr>
          <w:sz w:val="20"/>
          <w:szCs w:val="20"/>
        </w:rPr>
      </w:pPr>
      <w:r>
        <w:rPr>
          <w:b/>
          <w:bCs/>
          <w:spacing w:val="6"/>
          <w:sz w:val="20"/>
          <w:szCs w:val="20"/>
        </w:rPr>
        <w:t>图</w:t>
      </w:r>
      <w:r>
        <w:rPr>
          <w:spacing w:val="-40"/>
          <w:sz w:val="20"/>
          <w:szCs w:val="20"/>
        </w:rPr>
        <w:t xml:space="preserve"> </w:t>
      </w:r>
      <w:r>
        <w:rPr>
          <w:rFonts w:ascii="Times New Roman" w:hAnsi="Times New Roman" w:eastAsia="Times New Roman" w:cs="Times New Roman"/>
          <w:b/>
          <w:bCs/>
          <w:spacing w:val="6"/>
          <w:sz w:val="20"/>
          <w:szCs w:val="20"/>
        </w:rPr>
        <w:t xml:space="preserve">5-7      </w:t>
      </w:r>
      <w:r>
        <w:rPr>
          <w:b/>
          <w:bCs/>
          <w:spacing w:val="6"/>
          <w:sz w:val="20"/>
          <w:szCs w:val="20"/>
        </w:rPr>
        <w:t>单回线路最不利塔型工频磁感</w:t>
      </w:r>
      <w:r>
        <w:rPr>
          <w:b/>
          <w:bCs/>
          <w:spacing w:val="5"/>
          <w:sz w:val="20"/>
          <w:szCs w:val="20"/>
        </w:rPr>
        <w:t>应强度变化曲线（</w:t>
      </w:r>
      <w:r>
        <w:rPr>
          <w:rFonts w:ascii="Times New Roman" w:hAnsi="Times New Roman" w:eastAsia="Times New Roman" w:cs="Times New Roman"/>
          <w:b/>
          <w:bCs/>
          <w:spacing w:val="5"/>
          <w:sz w:val="20"/>
          <w:szCs w:val="20"/>
        </w:rPr>
        <w:t>7m</w:t>
      </w:r>
      <w:r>
        <w:rPr>
          <w:b/>
          <w:bCs/>
          <w:spacing w:val="5"/>
          <w:sz w:val="20"/>
          <w:szCs w:val="20"/>
        </w:rPr>
        <w:t>）</w:t>
      </w:r>
    </w:p>
    <w:p w14:paraId="5FB9FD6F">
      <w:pPr>
        <w:pStyle w:val="2"/>
        <w:spacing w:before="205" w:line="359" w:lineRule="auto"/>
        <w:ind w:left="26" w:firstLine="506"/>
        <w:jc w:val="both"/>
        <w:rPr>
          <w:sz w:val="24"/>
          <w:szCs w:val="24"/>
        </w:rPr>
      </w:pPr>
      <w:r>
        <w:rPr>
          <w:sz w:val="24"/>
          <w:szCs w:val="24"/>
        </w:rPr>
        <w:t>由计算结果可以看出，本项目</w:t>
      </w:r>
      <w:r>
        <w:rPr>
          <w:spacing w:val="-22"/>
          <w:sz w:val="24"/>
          <w:szCs w:val="24"/>
        </w:rPr>
        <w:t xml:space="preserve"> </w:t>
      </w:r>
      <w:r>
        <w:rPr>
          <w:rFonts w:ascii="Times New Roman" w:hAnsi="Times New Roman" w:eastAsia="Times New Roman" w:cs="Times New Roman"/>
          <w:sz w:val="24"/>
          <w:szCs w:val="24"/>
        </w:rPr>
        <w:t>110kV</w:t>
      </w:r>
      <w:r>
        <w:rPr>
          <w:rFonts w:ascii="Times New Roman" w:hAnsi="Times New Roman" w:eastAsia="Times New Roman" w:cs="Times New Roman"/>
          <w:spacing w:val="15"/>
          <w:w w:val="101"/>
          <w:sz w:val="24"/>
          <w:szCs w:val="24"/>
        </w:rPr>
        <w:t xml:space="preserve"> </w:t>
      </w:r>
      <w:r>
        <w:rPr>
          <w:sz w:val="24"/>
          <w:szCs w:val="24"/>
        </w:rPr>
        <w:t>单回三角排列线路在采用最不利塔型</w:t>
      </w:r>
      <w:r>
        <w:rPr>
          <w:rFonts w:ascii="Times New Roman" w:hAnsi="Times New Roman" w:eastAsia="Times New Roman" w:cs="Times New Roman"/>
          <w:spacing w:val="-1"/>
          <w:sz w:val="24"/>
          <w:szCs w:val="24"/>
        </w:rPr>
        <w:t>1B1X4-J4</w:t>
      </w:r>
      <w:r>
        <w:rPr>
          <w:rFonts w:ascii="Times New Roman" w:hAnsi="Times New Roman" w:eastAsia="Times New Roman" w:cs="Times New Roman"/>
          <w:spacing w:val="-20"/>
          <w:sz w:val="24"/>
          <w:szCs w:val="24"/>
        </w:rPr>
        <w:t xml:space="preserve"> </w:t>
      </w:r>
      <w:r>
        <w:rPr>
          <w:spacing w:val="-1"/>
          <w:sz w:val="24"/>
          <w:szCs w:val="24"/>
        </w:rPr>
        <w:t>，导线对地面距离为</w:t>
      </w:r>
      <w:r>
        <w:rPr>
          <w:spacing w:val="-44"/>
          <w:sz w:val="24"/>
          <w:szCs w:val="24"/>
        </w:rPr>
        <w:t xml:space="preserve"> </w:t>
      </w:r>
      <w:r>
        <w:rPr>
          <w:rFonts w:ascii="Times New Roman" w:hAnsi="Times New Roman" w:eastAsia="Times New Roman" w:cs="Times New Roman"/>
          <w:spacing w:val="-1"/>
          <w:sz w:val="24"/>
          <w:szCs w:val="24"/>
        </w:rPr>
        <w:t>6.0m</w:t>
      </w:r>
      <w:r>
        <w:rPr>
          <w:rFonts w:ascii="Times New Roman" w:hAnsi="Times New Roman" w:eastAsia="Times New Roman" w:cs="Times New Roman"/>
          <w:spacing w:val="26"/>
          <w:sz w:val="24"/>
          <w:szCs w:val="24"/>
        </w:rPr>
        <w:t xml:space="preserve"> </w:t>
      </w:r>
      <w:r>
        <w:rPr>
          <w:spacing w:val="-1"/>
          <w:sz w:val="24"/>
          <w:szCs w:val="24"/>
        </w:rPr>
        <w:t>时，地面</w:t>
      </w:r>
      <w:r>
        <w:rPr>
          <w:spacing w:val="-30"/>
          <w:sz w:val="24"/>
          <w:szCs w:val="24"/>
        </w:rPr>
        <w:t xml:space="preserve"> </w:t>
      </w:r>
      <w:r>
        <w:rPr>
          <w:rFonts w:ascii="Times New Roman" w:hAnsi="Times New Roman" w:eastAsia="Times New Roman" w:cs="Times New Roman"/>
          <w:spacing w:val="-1"/>
          <w:sz w:val="24"/>
          <w:szCs w:val="24"/>
        </w:rPr>
        <w:t>1.5m</w:t>
      </w:r>
      <w:r>
        <w:rPr>
          <w:rFonts w:ascii="Times New Roman" w:hAnsi="Times New Roman" w:eastAsia="Times New Roman" w:cs="Times New Roman"/>
          <w:spacing w:val="19"/>
          <w:w w:val="101"/>
          <w:sz w:val="24"/>
          <w:szCs w:val="24"/>
        </w:rPr>
        <w:t xml:space="preserve"> </w:t>
      </w:r>
      <w:r>
        <w:rPr>
          <w:spacing w:val="-1"/>
          <w:sz w:val="24"/>
          <w:szCs w:val="24"/>
        </w:rPr>
        <w:t>高处的工频电场强度最大值</w:t>
      </w:r>
      <w:r>
        <w:rPr>
          <w:spacing w:val="-5"/>
          <w:sz w:val="24"/>
          <w:szCs w:val="24"/>
        </w:rPr>
        <w:t>为</w:t>
      </w:r>
      <w:r>
        <w:rPr>
          <w:spacing w:val="-55"/>
          <w:sz w:val="24"/>
          <w:szCs w:val="24"/>
        </w:rPr>
        <w:t xml:space="preserve"> </w:t>
      </w:r>
      <w:r>
        <w:rPr>
          <w:rFonts w:ascii="Times New Roman" w:hAnsi="Times New Roman" w:eastAsia="Times New Roman" w:cs="Times New Roman"/>
          <w:spacing w:val="-5"/>
          <w:sz w:val="24"/>
          <w:szCs w:val="24"/>
        </w:rPr>
        <w:t>2.4295kV/m</w:t>
      </w:r>
      <w:r>
        <w:rPr>
          <w:spacing w:val="-5"/>
          <w:sz w:val="24"/>
          <w:szCs w:val="24"/>
        </w:rPr>
        <w:t>，工频磁感应强度最大值为</w:t>
      </w:r>
      <w:r>
        <w:rPr>
          <w:spacing w:val="-55"/>
          <w:sz w:val="24"/>
          <w:szCs w:val="24"/>
        </w:rPr>
        <w:t xml:space="preserve"> </w:t>
      </w:r>
      <w:r>
        <w:rPr>
          <w:rFonts w:ascii="Times New Roman" w:hAnsi="Times New Roman" w:eastAsia="Times New Roman" w:cs="Times New Roman"/>
          <w:spacing w:val="-5"/>
          <w:sz w:val="24"/>
          <w:szCs w:val="24"/>
        </w:rPr>
        <w:t>26.2672μT</w:t>
      </w:r>
      <w:r>
        <w:rPr>
          <w:spacing w:val="-5"/>
          <w:sz w:val="24"/>
          <w:szCs w:val="24"/>
        </w:rPr>
        <w:t>，满足《</w:t>
      </w:r>
      <w:r>
        <w:rPr>
          <w:spacing w:val="-6"/>
          <w:sz w:val="24"/>
          <w:szCs w:val="24"/>
        </w:rPr>
        <w:t>电磁环境控制限值》</w:t>
      </w:r>
      <w:r>
        <w:rPr>
          <w:sz w:val="24"/>
          <w:szCs w:val="24"/>
        </w:rPr>
        <w:t xml:space="preserve"> </w:t>
      </w:r>
      <w:r>
        <w:rPr>
          <w:spacing w:val="-1"/>
          <w:sz w:val="24"/>
          <w:szCs w:val="24"/>
        </w:rPr>
        <w:t>（</w:t>
      </w:r>
      <w:r>
        <w:rPr>
          <w:rFonts w:ascii="Times New Roman" w:hAnsi="Times New Roman" w:eastAsia="Times New Roman" w:cs="Times New Roman"/>
          <w:spacing w:val="-1"/>
          <w:sz w:val="24"/>
          <w:szCs w:val="24"/>
        </w:rPr>
        <w:t>GB8702-2014</w:t>
      </w:r>
      <w:r>
        <w:rPr>
          <w:spacing w:val="-1"/>
          <w:sz w:val="24"/>
          <w:szCs w:val="24"/>
        </w:rPr>
        <w:t>）中耕地、园地、牧草地、畜禽饲养地、养殖水面、道路等场所</w:t>
      </w:r>
      <w:r>
        <w:rPr>
          <w:spacing w:val="-4"/>
          <w:sz w:val="24"/>
          <w:szCs w:val="24"/>
        </w:rPr>
        <w:t>处</w:t>
      </w:r>
      <w:r>
        <w:rPr>
          <w:spacing w:val="-18"/>
          <w:sz w:val="24"/>
          <w:szCs w:val="24"/>
        </w:rPr>
        <w:t xml:space="preserve"> </w:t>
      </w:r>
      <w:r>
        <w:rPr>
          <w:rFonts w:ascii="Times New Roman" w:hAnsi="Times New Roman" w:eastAsia="Times New Roman" w:cs="Times New Roman"/>
          <w:spacing w:val="-4"/>
          <w:sz w:val="24"/>
          <w:szCs w:val="24"/>
        </w:rPr>
        <w:t>10kV/m</w:t>
      </w:r>
      <w:r>
        <w:rPr>
          <w:rFonts w:ascii="Times New Roman" w:hAnsi="Times New Roman" w:eastAsia="Times New Roman" w:cs="Times New Roman"/>
          <w:spacing w:val="-30"/>
          <w:sz w:val="24"/>
          <w:szCs w:val="24"/>
        </w:rPr>
        <w:t xml:space="preserve"> </w:t>
      </w:r>
      <w:r>
        <w:rPr>
          <w:spacing w:val="-4"/>
          <w:sz w:val="24"/>
          <w:szCs w:val="24"/>
        </w:rPr>
        <w:t>、</w:t>
      </w:r>
      <w:r>
        <w:rPr>
          <w:rFonts w:ascii="Times New Roman" w:hAnsi="Times New Roman" w:eastAsia="Times New Roman" w:cs="Times New Roman"/>
          <w:spacing w:val="-4"/>
          <w:sz w:val="24"/>
          <w:szCs w:val="24"/>
        </w:rPr>
        <w:t>100μT</w:t>
      </w:r>
      <w:r>
        <w:rPr>
          <w:rFonts w:ascii="Times New Roman" w:hAnsi="Times New Roman" w:eastAsia="Times New Roman" w:cs="Times New Roman"/>
          <w:spacing w:val="31"/>
          <w:w w:val="101"/>
          <w:sz w:val="24"/>
          <w:szCs w:val="24"/>
        </w:rPr>
        <w:t xml:space="preserve"> </w:t>
      </w:r>
      <w:r>
        <w:rPr>
          <w:spacing w:val="-4"/>
          <w:sz w:val="24"/>
          <w:szCs w:val="24"/>
        </w:rPr>
        <w:t>的限值要求；导线对地面距离为</w:t>
      </w:r>
      <w:r>
        <w:rPr>
          <w:spacing w:val="-49"/>
          <w:sz w:val="24"/>
          <w:szCs w:val="24"/>
        </w:rPr>
        <w:t xml:space="preserve"> </w:t>
      </w:r>
      <w:r>
        <w:rPr>
          <w:rFonts w:ascii="Times New Roman" w:hAnsi="Times New Roman" w:eastAsia="Times New Roman" w:cs="Times New Roman"/>
          <w:spacing w:val="-4"/>
          <w:sz w:val="24"/>
          <w:szCs w:val="24"/>
        </w:rPr>
        <w:t>7.0m</w:t>
      </w:r>
      <w:r>
        <w:rPr>
          <w:rFonts w:ascii="Times New Roman" w:hAnsi="Times New Roman" w:eastAsia="Times New Roman" w:cs="Times New Roman"/>
          <w:spacing w:val="24"/>
          <w:sz w:val="24"/>
          <w:szCs w:val="24"/>
        </w:rPr>
        <w:t xml:space="preserve"> </w:t>
      </w:r>
      <w:r>
        <w:rPr>
          <w:spacing w:val="-4"/>
          <w:sz w:val="24"/>
          <w:szCs w:val="24"/>
        </w:rPr>
        <w:t>时，地面</w:t>
      </w:r>
      <w:r>
        <w:rPr>
          <w:spacing w:val="-30"/>
          <w:sz w:val="24"/>
          <w:szCs w:val="24"/>
        </w:rPr>
        <w:t xml:space="preserve"> </w:t>
      </w:r>
      <w:r>
        <w:rPr>
          <w:rFonts w:ascii="Times New Roman" w:hAnsi="Times New Roman" w:eastAsia="Times New Roman" w:cs="Times New Roman"/>
          <w:spacing w:val="-4"/>
          <w:sz w:val="24"/>
          <w:szCs w:val="24"/>
        </w:rPr>
        <w:t>1.5m</w:t>
      </w:r>
      <w:r>
        <w:rPr>
          <w:rFonts w:ascii="Times New Roman" w:hAnsi="Times New Roman" w:eastAsia="Times New Roman" w:cs="Times New Roman"/>
          <w:spacing w:val="17"/>
          <w:sz w:val="24"/>
          <w:szCs w:val="24"/>
        </w:rPr>
        <w:t xml:space="preserve"> </w:t>
      </w:r>
      <w:r>
        <w:rPr>
          <w:spacing w:val="-4"/>
          <w:sz w:val="24"/>
          <w:szCs w:val="24"/>
        </w:rPr>
        <w:t>高处的</w:t>
      </w:r>
      <w:r>
        <w:rPr>
          <w:spacing w:val="-3"/>
          <w:sz w:val="24"/>
          <w:szCs w:val="24"/>
        </w:rPr>
        <w:t>工频电场强度最大值为</w:t>
      </w:r>
      <w:r>
        <w:rPr>
          <w:spacing w:val="-22"/>
          <w:sz w:val="24"/>
          <w:szCs w:val="24"/>
        </w:rPr>
        <w:t xml:space="preserve"> </w:t>
      </w:r>
      <w:r>
        <w:rPr>
          <w:rFonts w:ascii="Times New Roman" w:hAnsi="Times New Roman" w:eastAsia="Times New Roman" w:cs="Times New Roman"/>
          <w:spacing w:val="-3"/>
          <w:sz w:val="24"/>
          <w:szCs w:val="24"/>
        </w:rPr>
        <w:t>1.8378kV/m</w:t>
      </w:r>
      <w:r>
        <w:rPr>
          <w:spacing w:val="-3"/>
          <w:sz w:val="24"/>
          <w:szCs w:val="24"/>
        </w:rPr>
        <w:t>，工频磁感应强度最大值为</w:t>
      </w:r>
      <w:r>
        <w:rPr>
          <w:spacing w:val="-55"/>
          <w:sz w:val="24"/>
          <w:szCs w:val="24"/>
        </w:rPr>
        <w:t xml:space="preserve"> </w:t>
      </w:r>
      <w:r>
        <w:rPr>
          <w:rFonts w:ascii="Times New Roman" w:hAnsi="Times New Roman" w:eastAsia="Times New Roman" w:cs="Times New Roman"/>
          <w:spacing w:val="-3"/>
          <w:sz w:val="24"/>
          <w:szCs w:val="24"/>
        </w:rPr>
        <w:t>20.6741μT</w:t>
      </w:r>
      <w:r>
        <w:rPr>
          <w:spacing w:val="-3"/>
          <w:sz w:val="24"/>
          <w:szCs w:val="24"/>
        </w:rPr>
        <w:t>，满足</w:t>
      </w:r>
      <w:r>
        <w:rPr>
          <w:spacing w:val="-6"/>
          <w:sz w:val="24"/>
          <w:szCs w:val="24"/>
        </w:rPr>
        <w:t>《电磁环境控制限值》（</w:t>
      </w:r>
      <w:r>
        <w:rPr>
          <w:rFonts w:ascii="Times New Roman" w:hAnsi="Times New Roman" w:eastAsia="Times New Roman" w:cs="Times New Roman"/>
          <w:spacing w:val="-6"/>
          <w:sz w:val="24"/>
          <w:szCs w:val="24"/>
        </w:rPr>
        <w:t>GB8702-2014</w:t>
      </w:r>
      <w:r>
        <w:rPr>
          <w:spacing w:val="-37"/>
          <w:w w:val="58"/>
          <w:sz w:val="24"/>
          <w:szCs w:val="24"/>
        </w:rPr>
        <w:t>）：</w:t>
      </w:r>
      <w:r>
        <w:rPr>
          <w:spacing w:val="-6"/>
          <w:sz w:val="24"/>
          <w:szCs w:val="24"/>
        </w:rPr>
        <w:t>工频电场强度公众曝露控制限值</w:t>
      </w:r>
      <w:r>
        <w:rPr>
          <w:rFonts w:ascii="Times New Roman" w:hAnsi="Times New Roman" w:eastAsia="Times New Roman" w:cs="Times New Roman"/>
          <w:spacing w:val="-6"/>
          <w:sz w:val="24"/>
          <w:szCs w:val="24"/>
        </w:rPr>
        <w:t>≤4kV/m</w:t>
      </w:r>
      <w:r>
        <w:rPr>
          <w:spacing w:val="-6"/>
          <w:sz w:val="24"/>
          <w:szCs w:val="24"/>
        </w:rPr>
        <w:t>，</w:t>
      </w:r>
    </w:p>
    <w:p w14:paraId="0AFCE5A1">
      <w:pPr>
        <w:spacing w:line="359" w:lineRule="auto"/>
        <w:rPr>
          <w:sz w:val="24"/>
          <w:szCs w:val="24"/>
        </w:rPr>
        <w:sectPr>
          <w:footerReference r:id="rId190" w:type="default"/>
          <w:pgSz w:w="11906" w:h="16839"/>
          <w:pgMar w:top="400" w:right="1693" w:bottom="1147" w:left="1785" w:header="0" w:footer="960" w:gutter="0"/>
          <w:cols w:space="720" w:num="1"/>
        </w:sectPr>
      </w:pPr>
    </w:p>
    <w:p w14:paraId="175F7008">
      <w:pPr>
        <w:spacing w:line="267" w:lineRule="auto"/>
        <w:rPr>
          <w:rFonts w:ascii="Arial"/>
          <w:sz w:val="21"/>
        </w:rPr>
      </w:pPr>
    </w:p>
    <w:p w14:paraId="6A0AE81F">
      <w:pPr>
        <w:spacing w:line="267" w:lineRule="auto"/>
        <w:rPr>
          <w:rFonts w:ascii="Arial"/>
          <w:sz w:val="21"/>
        </w:rPr>
      </w:pPr>
    </w:p>
    <w:p w14:paraId="6026289D">
      <w:pPr>
        <w:spacing w:line="267" w:lineRule="auto"/>
        <w:rPr>
          <w:rFonts w:ascii="Arial"/>
          <w:sz w:val="21"/>
        </w:rPr>
      </w:pPr>
    </w:p>
    <w:p w14:paraId="32FE0A4F">
      <w:pPr>
        <w:spacing w:line="268" w:lineRule="auto"/>
        <w:rPr>
          <w:rFonts w:ascii="Arial"/>
          <w:sz w:val="21"/>
        </w:rPr>
      </w:pPr>
    </w:p>
    <w:p w14:paraId="2E7AAA9C">
      <w:pPr>
        <w:pStyle w:val="2"/>
        <w:spacing w:before="78" w:line="212" w:lineRule="auto"/>
        <w:ind w:left="26"/>
        <w:rPr>
          <w:sz w:val="24"/>
          <w:szCs w:val="24"/>
        </w:rPr>
      </w:pPr>
      <w:r>
        <w:rPr>
          <w:spacing w:val="-2"/>
          <w:sz w:val="24"/>
          <w:szCs w:val="24"/>
        </w:rPr>
        <w:t>工频磁感应强度公众曝露控制限值</w:t>
      </w:r>
      <w:r>
        <w:rPr>
          <w:rFonts w:ascii="Times New Roman" w:hAnsi="Times New Roman" w:eastAsia="Times New Roman" w:cs="Times New Roman"/>
          <w:spacing w:val="-2"/>
          <w:sz w:val="24"/>
          <w:szCs w:val="24"/>
        </w:rPr>
        <w:t>≤100μT</w:t>
      </w:r>
      <w:r>
        <w:rPr>
          <w:rFonts w:ascii="Times New Roman" w:hAnsi="Times New Roman" w:eastAsia="Times New Roman" w:cs="Times New Roman"/>
          <w:spacing w:val="35"/>
          <w:sz w:val="24"/>
          <w:szCs w:val="24"/>
        </w:rPr>
        <w:t xml:space="preserve"> </w:t>
      </w:r>
      <w:r>
        <w:rPr>
          <w:spacing w:val="-2"/>
          <w:sz w:val="24"/>
          <w:szCs w:val="24"/>
        </w:rPr>
        <w:t>的要求。</w:t>
      </w:r>
    </w:p>
    <w:p w14:paraId="2B5D3065">
      <w:pPr>
        <w:pStyle w:val="2"/>
        <w:spacing w:before="192" w:line="219" w:lineRule="auto"/>
        <w:ind w:left="514"/>
        <w:rPr>
          <w:sz w:val="24"/>
          <w:szCs w:val="24"/>
        </w:rPr>
      </w:pPr>
      <w:r>
        <w:rPr>
          <w:b/>
          <w:bCs/>
          <w:spacing w:val="-3"/>
          <w:sz w:val="24"/>
          <w:szCs w:val="24"/>
        </w:rPr>
        <w:t>（</w:t>
      </w:r>
      <w:r>
        <w:rPr>
          <w:rFonts w:ascii="Times New Roman" w:hAnsi="Times New Roman" w:eastAsia="Times New Roman" w:cs="Times New Roman"/>
          <w:b/>
          <w:bCs/>
          <w:spacing w:val="-3"/>
          <w:sz w:val="24"/>
          <w:szCs w:val="24"/>
        </w:rPr>
        <w:t>2</w:t>
      </w:r>
      <w:r>
        <w:rPr>
          <w:b/>
          <w:bCs/>
          <w:spacing w:val="-3"/>
          <w:sz w:val="24"/>
          <w:szCs w:val="24"/>
        </w:rPr>
        <w:t>）工频电场、工频磁场等值线图</w:t>
      </w:r>
    </w:p>
    <w:p w14:paraId="1B768B01">
      <w:pPr>
        <w:spacing w:before="88" w:line="4956" w:lineRule="exact"/>
        <w:ind w:firstLine="16"/>
      </w:pPr>
      <w:r>
        <w:rPr>
          <w:position w:val="-99"/>
        </w:rPr>
        <w:drawing>
          <wp:inline distT="0" distB="0" distL="0" distR="0">
            <wp:extent cx="5271135" cy="3146425"/>
            <wp:effectExtent l="0" t="0" r="0" b="0"/>
            <wp:docPr id="222" name="IM 222"/>
            <wp:cNvGraphicFramePr/>
            <a:graphic xmlns:a="http://schemas.openxmlformats.org/drawingml/2006/main">
              <a:graphicData uri="http://schemas.openxmlformats.org/drawingml/2006/picture">
                <pic:pic xmlns:pic="http://schemas.openxmlformats.org/drawingml/2006/picture">
                  <pic:nvPicPr>
                    <pic:cNvPr id="222" name="IM 222"/>
                    <pic:cNvPicPr/>
                  </pic:nvPicPr>
                  <pic:blipFill>
                    <a:blip r:embed="rId310"/>
                    <a:stretch>
                      <a:fillRect/>
                    </a:stretch>
                  </pic:blipFill>
                  <pic:spPr>
                    <a:xfrm>
                      <a:off x="0" y="0"/>
                      <a:ext cx="5271515" cy="3147059"/>
                    </a:xfrm>
                    <a:prstGeom prst="rect">
                      <a:avLst/>
                    </a:prstGeom>
                  </pic:spPr>
                </pic:pic>
              </a:graphicData>
            </a:graphic>
          </wp:inline>
        </w:drawing>
      </w:r>
    </w:p>
    <w:p w14:paraId="41F3AB56">
      <w:pPr>
        <w:pStyle w:val="2"/>
        <w:spacing w:before="68" w:line="227" w:lineRule="auto"/>
        <w:ind w:left="42"/>
        <w:rPr>
          <w:sz w:val="20"/>
          <w:szCs w:val="20"/>
        </w:rPr>
      </w:pPr>
      <w:r>
        <w:rPr>
          <w:b/>
          <w:bCs/>
          <w:spacing w:val="6"/>
          <w:sz w:val="20"/>
          <w:szCs w:val="20"/>
        </w:rPr>
        <w:t>图</w:t>
      </w:r>
      <w:r>
        <w:rPr>
          <w:spacing w:val="-29"/>
          <w:sz w:val="20"/>
          <w:szCs w:val="20"/>
        </w:rPr>
        <w:t xml:space="preserve"> </w:t>
      </w:r>
      <w:r>
        <w:rPr>
          <w:rFonts w:ascii="Times New Roman" w:hAnsi="Times New Roman" w:eastAsia="Times New Roman" w:cs="Times New Roman"/>
          <w:b/>
          <w:bCs/>
          <w:spacing w:val="6"/>
          <w:sz w:val="20"/>
          <w:szCs w:val="20"/>
        </w:rPr>
        <w:t xml:space="preserve">5-8      </w:t>
      </w:r>
      <w:r>
        <w:rPr>
          <w:b/>
          <w:bCs/>
          <w:spacing w:val="6"/>
          <w:sz w:val="20"/>
          <w:szCs w:val="20"/>
        </w:rPr>
        <w:t>单回三角排列最不利塔型工频电场强度空间分布及等值线图（导线对地高度</w:t>
      </w:r>
      <w:r>
        <w:rPr>
          <w:spacing w:val="-37"/>
          <w:sz w:val="20"/>
          <w:szCs w:val="20"/>
        </w:rPr>
        <w:t xml:space="preserve"> </w:t>
      </w:r>
      <w:r>
        <w:rPr>
          <w:rFonts w:ascii="Times New Roman" w:hAnsi="Times New Roman" w:eastAsia="Times New Roman" w:cs="Times New Roman"/>
          <w:b/>
          <w:bCs/>
          <w:spacing w:val="6"/>
          <w:sz w:val="20"/>
          <w:szCs w:val="20"/>
        </w:rPr>
        <w:t>6m</w:t>
      </w:r>
      <w:r>
        <w:rPr>
          <w:b/>
          <w:bCs/>
          <w:spacing w:val="6"/>
          <w:sz w:val="20"/>
          <w:szCs w:val="20"/>
        </w:rPr>
        <w:t>）</w:t>
      </w:r>
    </w:p>
    <w:p w14:paraId="4DB50AFE">
      <w:pPr>
        <w:spacing w:line="343" w:lineRule="auto"/>
        <w:rPr>
          <w:rFonts w:ascii="Arial"/>
          <w:sz w:val="21"/>
        </w:rPr>
      </w:pPr>
    </w:p>
    <w:p w14:paraId="0FB91E4F">
      <w:pPr>
        <w:spacing w:line="4956" w:lineRule="exact"/>
        <w:ind w:firstLine="16"/>
      </w:pPr>
      <w:r>
        <w:rPr>
          <w:position w:val="-99"/>
        </w:rPr>
        <w:drawing>
          <wp:inline distT="0" distB="0" distL="0" distR="0">
            <wp:extent cx="5271135" cy="3146425"/>
            <wp:effectExtent l="0" t="0" r="0" b="0"/>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r:embed="rId311"/>
                    <a:stretch>
                      <a:fillRect/>
                    </a:stretch>
                  </pic:blipFill>
                  <pic:spPr>
                    <a:xfrm>
                      <a:off x="0" y="0"/>
                      <a:ext cx="5271515" cy="3147059"/>
                    </a:xfrm>
                    <a:prstGeom prst="rect">
                      <a:avLst/>
                    </a:prstGeom>
                  </pic:spPr>
                </pic:pic>
              </a:graphicData>
            </a:graphic>
          </wp:inline>
        </w:drawing>
      </w:r>
    </w:p>
    <w:p w14:paraId="090D39E4">
      <w:pPr>
        <w:pStyle w:val="2"/>
        <w:spacing w:before="145" w:line="227" w:lineRule="auto"/>
        <w:jc w:val="right"/>
        <w:rPr>
          <w:sz w:val="20"/>
          <w:szCs w:val="20"/>
        </w:rPr>
      </w:pPr>
      <w:r>
        <w:rPr>
          <w:b/>
          <w:bCs/>
          <w:spacing w:val="5"/>
          <w:sz w:val="20"/>
          <w:szCs w:val="20"/>
        </w:rPr>
        <w:t>图</w:t>
      </w:r>
      <w:r>
        <w:rPr>
          <w:spacing w:val="-35"/>
          <w:sz w:val="20"/>
          <w:szCs w:val="20"/>
        </w:rPr>
        <w:t xml:space="preserve"> </w:t>
      </w:r>
      <w:r>
        <w:rPr>
          <w:rFonts w:ascii="Times New Roman" w:hAnsi="Times New Roman" w:eastAsia="Times New Roman" w:cs="Times New Roman"/>
          <w:b/>
          <w:bCs/>
          <w:spacing w:val="5"/>
          <w:sz w:val="20"/>
          <w:szCs w:val="20"/>
        </w:rPr>
        <w:t xml:space="preserve">5-9    </w:t>
      </w:r>
      <w:r>
        <w:rPr>
          <w:b/>
          <w:bCs/>
          <w:spacing w:val="5"/>
          <w:sz w:val="20"/>
          <w:szCs w:val="20"/>
        </w:rPr>
        <w:t>单回三角排列最不利塔型工频磁感应强度空间分布及等值线图（导线对地高度</w:t>
      </w:r>
      <w:r>
        <w:rPr>
          <w:spacing w:val="-37"/>
          <w:sz w:val="20"/>
          <w:szCs w:val="20"/>
        </w:rPr>
        <w:t xml:space="preserve"> </w:t>
      </w:r>
      <w:r>
        <w:rPr>
          <w:rFonts w:ascii="Times New Roman" w:hAnsi="Times New Roman" w:eastAsia="Times New Roman" w:cs="Times New Roman"/>
          <w:b/>
          <w:bCs/>
          <w:spacing w:val="5"/>
          <w:sz w:val="20"/>
          <w:szCs w:val="20"/>
        </w:rPr>
        <w:t>6m</w:t>
      </w:r>
      <w:r>
        <w:rPr>
          <w:b/>
          <w:bCs/>
          <w:spacing w:val="5"/>
          <w:sz w:val="20"/>
          <w:szCs w:val="20"/>
        </w:rPr>
        <w:t>）</w:t>
      </w:r>
    </w:p>
    <w:p w14:paraId="10CBC086">
      <w:pPr>
        <w:spacing w:line="227" w:lineRule="auto"/>
        <w:rPr>
          <w:sz w:val="20"/>
          <w:szCs w:val="20"/>
        </w:rPr>
        <w:sectPr>
          <w:footerReference r:id="rId191" w:type="default"/>
          <w:pgSz w:w="11906" w:h="16839"/>
          <w:pgMar w:top="400" w:right="1714" w:bottom="1147" w:left="1785" w:header="0" w:footer="960" w:gutter="0"/>
          <w:cols w:space="720" w:num="1"/>
        </w:sectPr>
      </w:pPr>
    </w:p>
    <w:p w14:paraId="6AD0A5C3">
      <w:pPr>
        <w:spacing w:line="263" w:lineRule="auto"/>
        <w:rPr>
          <w:rFonts w:ascii="Arial"/>
          <w:sz w:val="21"/>
        </w:rPr>
      </w:pPr>
    </w:p>
    <w:p w14:paraId="60E04644">
      <w:pPr>
        <w:spacing w:line="263" w:lineRule="auto"/>
        <w:rPr>
          <w:rFonts w:ascii="Arial"/>
          <w:sz w:val="21"/>
        </w:rPr>
      </w:pPr>
    </w:p>
    <w:p w14:paraId="673FD68D">
      <w:pPr>
        <w:spacing w:line="263" w:lineRule="auto"/>
        <w:rPr>
          <w:rFonts w:ascii="Arial"/>
          <w:sz w:val="21"/>
        </w:rPr>
      </w:pPr>
    </w:p>
    <w:p w14:paraId="7F079B24">
      <w:pPr>
        <w:spacing w:line="263" w:lineRule="auto"/>
        <w:rPr>
          <w:rFonts w:ascii="Arial"/>
          <w:sz w:val="21"/>
        </w:rPr>
      </w:pPr>
    </w:p>
    <w:p w14:paraId="74A95B33">
      <w:pPr>
        <w:spacing w:line="4956" w:lineRule="exact"/>
        <w:ind w:firstLine="14"/>
      </w:pPr>
      <w:r>
        <w:rPr>
          <w:position w:val="-99"/>
        </w:rPr>
        <w:drawing>
          <wp:inline distT="0" distB="0" distL="0" distR="0">
            <wp:extent cx="5271135" cy="3146425"/>
            <wp:effectExtent l="0" t="0" r="0" b="0"/>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r:embed="rId312"/>
                    <a:stretch>
                      <a:fillRect/>
                    </a:stretch>
                  </pic:blipFill>
                  <pic:spPr>
                    <a:xfrm>
                      <a:off x="0" y="0"/>
                      <a:ext cx="5271515" cy="3147059"/>
                    </a:xfrm>
                    <a:prstGeom prst="rect">
                      <a:avLst/>
                    </a:prstGeom>
                  </pic:spPr>
                </pic:pic>
              </a:graphicData>
            </a:graphic>
          </wp:inline>
        </w:drawing>
      </w:r>
    </w:p>
    <w:p w14:paraId="79EA1BFF">
      <w:pPr>
        <w:pStyle w:val="2"/>
        <w:spacing w:before="145" w:line="227" w:lineRule="auto"/>
        <w:jc w:val="right"/>
        <w:rPr>
          <w:sz w:val="20"/>
          <w:szCs w:val="20"/>
        </w:rPr>
      </w:pPr>
      <w:r>
        <w:rPr>
          <w:b/>
          <w:bCs/>
          <w:spacing w:val="6"/>
          <w:sz w:val="20"/>
          <w:szCs w:val="20"/>
        </w:rPr>
        <w:t>图</w:t>
      </w:r>
      <w:r>
        <w:rPr>
          <w:spacing w:val="-27"/>
          <w:sz w:val="20"/>
          <w:szCs w:val="20"/>
        </w:rPr>
        <w:t xml:space="preserve"> </w:t>
      </w:r>
      <w:r>
        <w:rPr>
          <w:rFonts w:ascii="Times New Roman" w:hAnsi="Times New Roman" w:eastAsia="Times New Roman" w:cs="Times New Roman"/>
          <w:b/>
          <w:bCs/>
          <w:spacing w:val="6"/>
          <w:sz w:val="20"/>
          <w:szCs w:val="20"/>
        </w:rPr>
        <w:t xml:space="preserve">5-10      </w:t>
      </w:r>
      <w:r>
        <w:rPr>
          <w:b/>
          <w:bCs/>
          <w:spacing w:val="6"/>
          <w:sz w:val="20"/>
          <w:szCs w:val="20"/>
        </w:rPr>
        <w:t>单回三角排列最不利塔型工频电场强度空间分布及等值线图（导线对地高度</w:t>
      </w:r>
      <w:r>
        <w:rPr>
          <w:rFonts w:ascii="Times New Roman" w:hAnsi="Times New Roman" w:eastAsia="Times New Roman" w:cs="Times New Roman"/>
          <w:b/>
          <w:bCs/>
          <w:spacing w:val="6"/>
          <w:sz w:val="20"/>
          <w:szCs w:val="20"/>
        </w:rPr>
        <w:t>7m</w:t>
      </w:r>
      <w:r>
        <w:rPr>
          <w:b/>
          <w:bCs/>
          <w:spacing w:val="6"/>
          <w:sz w:val="20"/>
          <w:szCs w:val="20"/>
        </w:rPr>
        <w:t>）</w:t>
      </w:r>
    </w:p>
    <w:p w14:paraId="5D687DDE">
      <w:pPr>
        <w:spacing w:line="244" w:lineRule="auto"/>
        <w:rPr>
          <w:rFonts w:ascii="Arial"/>
          <w:sz w:val="21"/>
        </w:rPr>
      </w:pPr>
    </w:p>
    <w:p w14:paraId="7AB170C7">
      <w:pPr>
        <w:spacing w:line="244" w:lineRule="auto"/>
        <w:rPr>
          <w:rFonts w:ascii="Arial"/>
          <w:sz w:val="21"/>
        </w:rPr>
      </w:pPr>
    </w:p>
    <w:p w14:paraId="0CC9F2DE">
      <w:pPr>
        <w:spacing w:line="244" w:lineRule="auto"/>
        <w:rPr>
          <w:rFonts w:ascii="Arial"/>
          <w:sz w:val="21"/>
        </w:rPr>
      </w:pPr>
    </w:p>
    <w:p w14:paraId="2DB49B35">
      <w:pPr>
        <w:spacing w:line="4956" w:lineRule="exact"/>
        <w:ind w:firstLine="14"/>
      </w:pPr>
      <w:r>
        <w:rPr>
          <w:position w:val="-99"/>
        </w:rPr>
        <w:drawing>
          <wp:inline distT="0" distB="0" distL="0" distR="0">
            <wp:extent cx="5271135" cy="3146425"/>
            <wp:effectExtent l="0" t="0" r="0" b="0"/>
            <wp:docPr id="228" name="IM 228"/>
            <wp:cNvGraphicFramePr/>
            <a:graphic xmlns:a="http://schemas.openxmlformats.org/drawingml/2006/main">
              <a:graphicData uri="http://schemas.openxmlformats.org/drawingml/2006/picture">
                <pic:pic xmlns:pic="http://schemas.openxmlformats.org/drawingml/2006/picture">
                  <pic:nvPicPr>
                    <pic:cNvPr id="228" name="IM 228"/>
                    <pic:cNvPicPr/>
                  </pic:nvPicPr>
                  <pic:blipFill>
                    <a:blip r:embed="rId313"/>
                    <a:stretch>
                      <a:fillRect/>
                    </a:stretch>
                  </pic:blipFill>
                  <pic:spPr>
                    <a:xfrm>
                      <a:off x="0" y="0"/>
                      <a:ext cx="5271515" cy="3147059"/>
                    </a:xfrm>
                    <a:prstGeom prst="rect">
                      <a:avLst/>
                    </a:prstGeom>
                  </pic:spPr>
                </pic:pic>
              </a:graphicData>
            </a:graphic>
          </wp:inline>
        </w:drawing>
      </w:r>
    </w:p>
    <w:p w14:paraId="1B79AE70">
      <w:pPr>
        <w:pStyle w:val="2"/>
        <w:spacing w:before="145" w:line="227" w:lineRule="auto"/>
        <w:jc w:val="right"/>
        <w:rPr>
          <w:sz w:val="20"/>
          <w:szCs w:val="20"/>
        </w:rPr>
      </w:pPr>
      <w:r>
        <w:rPr>
          <w:b/>
          <w:bCs/>
          <w:spacing w:val="4"/>
          <w:sz w:val="20"/>
          <w:szCs w:val="20"/>
        </w:rPr>
        <w:t>图</w:t>
      </w:r>
      <w:r>
        <w:rPr>
          <w:spacing w:val="-60"/>
          <w:sz w:val="20"/>
          <w:szCs w:val="20"/>
        </w:rPr>
        <w:t xml:space="preserve"> </w:t>
      </w:r>
      <w:r>
        <w:rPr>
          <w:rFonts w:ascii="Times New Roman" w:hAnsi="Times New Roman" w:eastAsia="Times New Roman" w:cs="Times New Roman"/>
          <w:b/>
          <w:bCs/>
          <w:spacing w:val="4"/>
          <w:sz w:val="20"/>
          <w:szCs w:val="20"/>
        </w:rPr>
        <w:t xml:space="preserve">5-11    </w:t>
      </w:r>
      <w:r>
        <w:rPr>
          <w:b/>
          <w:bCs/>
          <w:spacing w:val="4"/>
          <w:sz w:val="20"/>
          <w:szCs w:val="20"/>
        </w:rPr>
        <w:t>单回三角排列最不利塔型工频磁感应强度空间分布及等值</w:t>
      </w:r>
      <w:r>
        <w:rPr>
          <w:b/>
          <w:bCs/>
          <w:spacing w:val="3"/>
          <w:sz w:val="20"/>
          <w:szCs w:val="20"/>
        </w:rPr>
        <w:t>线图（导线对地高度</w:t>
      </w:r>
      <w:r>
        <w:rPr>
          <w:spacing w:val="-59"/>
          <w:sz w:val="20"/>
          <w:szCs w:val="20"/>
        </w:rPr>
        <w:t xml:space="preserve"> </w:t>
      </w:r>
      <w:r>
        <w:rPr>
          <w:rFonts w:ascii="Times New Roman" w:hAnsi="Times New Roman" w:eastAsia="Times New Roman" w:cs="Times New Roman"/>
          <w:b/>
          <w:bCs/>
          <w:spacing w:val="3"/>
          <w:sz w:val="20"/>
          <w:szCs w:val="20"/>
        </w:rPr>
        <w:t>7m</w:t>
      </w:r>
      <w:r>
        <w:rPr>
          <w:b/>
          <w:bCs/>
          <w:spacing w:val="3"/>
          <w:sz w:val="20"/>
          <w:szCs w:val="20"/>
        </w:rPr>
        <w:t>）</w:t>
      </w:r>
    </w:p>
    <w:p w14:paraId="570731CE">
      <w:pPr>
        <w:spacing w:line="227" w:lineRule="auto"/>
        <w:rPr>
          <w:sz w:val="20"/>
          <w:szCs w:val="20"/>
        </w:rPr>
        <w:sectPr>
          <w:footerReference r:id="rId192" w:type="default"/>
          <w:pgSz w:w="11906" w:h="16839"/>
          <w:pgMar w:top="400" w:right="1714" w:bottom="1147" w:left="1785" w:header="0" w:footer="960" w:gutter="0"/>
          <w:cols w:space="720" w:num="1"/>
        </w:sectPr>
      </w:pPr>
    </w:p>
    <w:p w14:paraId="20FAABF4">
      <w:pPr>
        <w:spacing w:line="242" w:lineRule="auto"/>
        <w:rPr>
          <w:rFonts w:ascii="Arial"/>
          <w:sz w:val="21"/>
        </w:rPr>
      </w:pPr>
    </w:p>
    <w:p w14:paraId="6EB5BEF3">
      <w:pPr>
        <w:spacing w:line="242" w:lineRule="auto"/>
        <w:rPr>
          <w:rFonts w:ascii="Arial"/>
          <w:sz w:val="21"/>
        </w:rPr>
      </w:pPr>
    </w:p>
    <w:p w14:paraId="6E0F9152">
      <w:pPr>
        <w:spacing w:line="242" w:lineRule="auto"/>
        <w:rPr>
          <w:rFonts w:ascii="Arial"/>
          <w:sz w:val="21"/>
        </w:rPr>
      </w:pPr>
    </w:p>
    <w:p w14:paraId="06FFF5B7">
      <w:pPr>
        <w:spacing w:line="242" w:lineRule="auto"/>
        <w:rPr>
          <w:rFonts w:ascii="Arial"/>
          <w:sz w:val="21"/>
        </w:rPr>
      </w:pPr>
    </w:p>
    <w:p w14:paraId="4179CB7A">
      <w:pPr>
        <w:spacing w:line="242" w:lineRule="auto"/>
        <w:rPr>
          <w:rFonts w:ascii="Arial"/>
          <w:sz w:val="21"/>
        </w:rPr>
      </w:pPr>
    </w:p>
    <w:p w14:paraId="548A7AFC">
      <w:pPr>
        <w:pStyle w:val="2"/>
        <w:spacing w:before="78" w:line="219" w:lineRule="auto"/>
        <w:ind w:left="310"/>
        <w:rPr>
          <w:sz w:val="24"/>
          <w:szCs w:val="24"/>
        </w:rPr>
      </w:pPr>
      <w:r>
        <w:rPr>
          <w:rFonts w:ascii="Times New Roman" w:hAnsi="Times New Roman" w:eastAsia="Times New Roman" w:cs="Times New Roman"/>
          <w:b/>
          <w:bCs/>
          <w:spacing w:val="-2"/>
          <w:sz w:val="24"/>
          <w:szCs w:val="24"/>
        </w:rPr>
        <w:t xml:space="preserve">5.2.2.2  </w:t>
      </w:r>
      <w:r>
        <w:rPr>
          <w:b/>
          <w:bCs/>
          <w:spacing w:val="-2"/>
          <w:sz w:val="24"/>
          <w:szCs w:val="24"/>
        </w:rPr>
        <w:t>双回线路预测结果及分析</w:t>
      </w:r>
    </w:p>
    <w:p w14:paraId="28CFE11E">
      <w:pPr>
        <w:pStyle w:val="2"/>
        <w:spacing w:before="202" w:line="220" w:lineRule="auto"/>
        <w:ind w:left="803"/>
        <w:rPr>
          <w:sz w:val="24"/>
          <w:szCs w:val="24"/>
        </w:rPr>
      </w:pPr>
      <w:r>
        <w:rPr>
          <w:b/>
          <w:bCs/>
          <w:spacing w:val="-4"/>
          <w:sz w:val="24"/>
          <w:szCs w:val="24"/>
        </w:rPr>
        <w:t>（</w:t>
      </w:r>
      <w:r>
        <w:rPr>
          <w:rFonts w:ascii="Times New Roman" w:hAnsi="Times New Roman" w:eastAsia="Times New Roman" w:cs="Times New Roman"/>
          <w:b/>
          <w:bCs/>
          <w:spacing w:val="-4"/>
          <w:sz w:val="24"/>
          <w:szCs w:val="24"/>
        </w:rPr>
        <w:t>1</w:t>
      </w:r>
      <w:r>
        <w:rPr>
          <w:b/>
          <w:bCs/>
          <w:spacing w:val="-4"/>
          <w:sz w:val="24"/>
          <w:szCs w:val="24"/>
        </w:rPr>
        <w:t>）预测结果及分析</w:t>
      </w:r>
    </w:p>
    <w:p w14:paraId="7AE390F0">
      <w:pPr>
        <w:pStyle w:val="2"/>
        <w:spacing w:before="183" w:line="343" w:lineRule="auto"/>
        <w:ind w:left="330" w:right="239" w:firstLine="462"/>
        <w:jc w:val="both"/>
        <w:rPr>
          <w:sz w:val="24"/>
          <w:szCs w:val="24"/>
        </w:rPr>
      </w:pPr>
      <w:r>
        <w:rPr>
          <w:spacing w:val="-9"/>
          <w:sz w:val="24"/>
          <w:szCs w:val="24"/>
        </w:rPr>
        <w:t>本项目</w:t>
      </w:r>
      <w:r>
        <w:rPr>
          <w:spacing w:val="-32"/>
          <w:sz w:val="24"/>
          <w:szCs w:val="24"/>
        </w:rPr>
        <w:t xml:space="preserve"> </w:t>
      </w:r>
      <w:r>
        <w:rPr>
          <w:rFonts w:ascii="Times New Roman" w:hAnsi="Times New Roman" w:eastAsia="Times New Roman" w:cs="Times New Roman"/>
          <w:spacing w:val="-9"/>
          <w:sz w:val="24"/>
          <w:szCs w:val="24"/>
        </w:rPr>
        <w:t xml:space="preserve">110kV </w:t>
      </w:r>
      <w:r>
        <w:rPr>
          <w:spacing w:val="-9"/>
          <w:sz w:val="24"/>
          <w:szCs w:val="24"/>
        </w:rPr>
        <w:t>双回垂直排列线路（单边挂线）在最不利塔型</w:t>
      </w:r>
      <w:r>
        <w:rPr>
          <w:spacing w:val="-32"/>
          <w:sz w:val="24"/>
          <w:szCs w:val="24"/>
        </w:rPr>
        <w:t xml:space="preserve"> </w:t>
      </w:r>
      <w:r>
        <w:rPr>
          <w:rFonts w:ascii="Times New Roman" w:hAnsi="Times New Roman" w:eastAsia="Times New Roman" w:cs="Times New Roman"/>
          <w:spacing w:val="-9"/>
          <w:sz w:val="24"/>
          <w:szCs w:val="24"/>
        </w:rPr>
        <w:t>1C2X1-</w:t>
      </w:r>
      <w:r>
        <w:rPr>
          <w:rFonts w:ascii="Times New Roman" w:hAnsi="Times New Roman" w:eastAsia="Times New Roman" w:cs="Times New Roman"/>
          <w:spacing w:val="-10"/>
          <w:sz w:val="24"/>
          <w:szCs w:val="24"/>
        </w:rPr>
        <w:t>JD</w:t>
      </w:r>
      <w:r>
        <w:rPr>
          <w:rFonts w:ascii="Times New Roman" w:hAnsi="Times New Roman" w:eastAsia="Times New Roman" w:cs="Times New Roman"/>
          <w:spacing w:val="12"/>
          <w:sz w:val="24"/>
          <w:szCs w:val="24"/>
        </w:rPr>
        <w:t xml:space="preserve"> </w:t>
      </w:r>
      <w:r>
        <w:rPr>
          <w:spacing w:val="-10"/>
          <w:sz w:val="24"/>
          <w:szCs w:val="24"/>
        </w:rPr>
        <w:t>线下，</w:t>
      </w:r>
      <w:r>
        <w:rPr>
          <w:spacing w:val="-4"/>
          <w:sz w:val="24"/>
          <w:szCs w:val="24"/>
        </w:rPr>
        <w:t>以弧垂最大处线路中心的地面投影为预测原点，沿垂直于线路方向进行，预测点间距为</w:t>
      </w:r>
      <w:r>
        <w:rPr>
          <w:spacing w:val="-32"/>
          <w:sz w:val="24"/>
          <w:szCs w:val="24"/>
        </w:rPr>
        <w:t xml:space="preserve"> </w:t>
      </w:r>
      <w:r>
        <w:rPr>
          <w:rFonts w:ascii="Times New Roman" w:hAnsi="Times New Roman" w:eastAsia="Times New Roman" w:cs="Times New Roman"/>
          <w:spacing w:val="-4"/>
          <w:sz w:val="24"/>
          <w:szCs w:val="24"/>
        </w:rPr>
        <w:t>1m</w:t>
      </w:r>
      <w:r>
        <w:rPr>
          <w:rFonts w:ascii="Times New Roman" w:hAnsi="Times New Roman" w:eastAsia="Times New Roman" w:cs="Times New Roman"/>
          <w:spacing w:val="-33"/>
          <w:sz w:val="24"/>
          <w:szCs w:val="24"/>
        </w:rPr>
        <w:t xml:space="preserve"> </w:t>
      </w:r>
      <w:r>
        <w:rPr>
          <w:spacing w:val="-4"/>
          <w:sz w:val="24"/>
          <w:szCs w:val="24"/>
        </w:rPr>
        <w:t>，预测离地面</w:t>
      </w:r>
      <w:r>
        <w:rPr>
          <w:spacing w:val="-32"/>
          <w:sz w:val="24"/>
          <w:szCs w:val="24"/>
        </w:rPr>
        <w:t xml:space="preserve"> </w:t>
      </w:r>
      <w:r>
        <w:rPr>
          <w:rFonts w:ascii="Times New Roman" w:hAnsi="Times New Roman" w:eastAsia="Times New Roman" w:cs="Times New Roman"/>
          <w:spacing w:val="-4"/>
          <w:sz w:val="24"/>
          <w:szCs w:val="24"/>
        </w:rPr>
        <w:t>1.5m</w:t>
      </w:r>
      <w:r>
        <w:rPr>
          <w:rFonts w:ascii="Times New Roman" w:hAnsi="Times New Roman" w:eastAsia="Times New Roman" w:cs="Times New Roman"/>
          <w:spacing w:val="14"/>
          <w:sz w:val="24"/>
          <w:szCs w:val="24"/>
        </w:rPr>
        <w:t xml:space="preserve"> </w:t>
      </w:r>
      <w:r>
        <w:rPr>
          <w:spacing w:val="-4"/>
          <w:sz w:val="24"/>
          <w:szCs w:val="24"/>
        </w:rPr>
        <w:t>处的工频电场强度及工频磁感应强度。</w:t>
      </w:r>
    </w:p>
    <w:p w14:paraId="025AEF2B">
      <w:pPr>
        <w:pStyle w:val="2"/>
        <w:spacing w:line="227" w:lineRule="auto"/>
        <w:ind w:left="1766"/>
        <w:rPr>
          <w:sz w:val="20"/>
          <w:szCs w:val="20"/>
        </w:rPr>
      </w:pPr>
      <w:r>
        <w:rPr>
          <w:b/>
          <w:bCs/>
          <w:spacing w:val="7"/>
          <w:sz w:val="20"/>
          <w:szCs w:val="20"/>
        </w:rPr>
        <w:t>表</w:t>
      </w:r>
      <w:r>
        <w:rPr>
          <w:spacing w:val="-38"/>
          <w:sz w:val="20"/>
          <w:szCs w:val="20"/>
        </w:rPr>
        <w:t xml:space="preserve"> </w:t>
      </w:r>
      <w:r>
        <w:rPr>
          <w:rFonts w:ascii="Times New Roman" w:hAnsi="Times New Roman" w:eastAsia="Times New Roman" w:cs="Times New Roman"/>
          <w:b/>
          <w:bCs/>
          <w:spacing w:val="7"/>
          <w:sz w:val="20"/>
          <w:szCs w:val="20"/>
        </w:rPr>
        <w:t xml:space="preserve">5-7    </w:t>
      </w:r>
      <w:r>
        <w:rPr>
          <w:b/>
          <w:bCs/>
          <w:spacing w:val="7"/>
          <w:sz w:val="20"/>
          <w:szCs w:val="20"/>
        </w:rPr>
        <w:t>双回垂直排列线路（单边挂线）</w:t>
      </w:r>
      <w:r>
        <w:rPr>
          <w:b/>
          <w:bCs/>
          <w:spacing w:val="6"/>
          <w:sz w:val="20"/>
          <w:szCs w:val="20"/>
        </w:rPr>
        <w:t>工频电磁场预测值</w:t>
      </w:r>
    </w:p>
    <w:p w14:paraId="5824AF69">
      <w:pPr>
        <w:pStyle w:val="2"/>
        <w:spacing w:before="65" w:line="221" w:lineRule="auto"/>
        <w:ind w:left="2037"/>
        <w:rPr>
          <w:sz w:val="20"/>
          <w:szCs w:val="20"/>
        </w:rPr>
      </w:pPr>
      <w:r>
        <w:rPr>
          <w:b/>
          <w:bCs/>
          <w:spacing w:val="6"/>
          <w:sz w:val="20"/>
          <w:szCs w:val="20"/>
        </w:rPr>
        <w:t>（单位：工频电场强度</w:t>
      </w:r>
      <w:r>
        <w:rPr>
          <w:spacing w:val="6"/>
          <w:sz w:val="20"/>
          <w:szCs w:val="20"/>
        </w:rPr>
        <w:t xml:space="preserve"> </w:t>
      </w:r>
      <w:r>
        <w:rPr>
          <w:rFonts w:ascii="Times New Roman" w:hAnsi="Times New Roman" w:eastAsia="Times New Roman" w:cs="Times New Roman"/>
          <w:b/>
          <w:bCs/>
          <w:sz w:val="20"/>
          <w:szCs w:val="20"/>
        </w:rPr>
        <w:t>kV</w:t>
      </w:r>
      <w:r>
        <w:rPr>
          <w:rFonts w:ascii="Times New Roman" w:hAnsi="Times New Roman" w:eastAsia="Times New Roman" w:cs="Times New Roman"/>
          <w:b/>
          <w:bCs/>
          <w:spacing w:val="6"/>
          <w:sz w:val="20"/>
          <w:szCs w:val="20"/>
        </w:rPr>
        <w:t>/m</w:t>
      </w:r>
      <w:r>
        <w:rPr>
          <w:rFonts w:ascii="Times New Roman" w:hAnsi="Times New Roman" w:eastAsia="Times New Roman" w:cs="Times New Roman"/>
          <w:b/>
          <w:bCs/>
          <w:spacing w:val="-18"/>
          <w:sz w:val="20"/>
          <w:szCs w:val="20"/>
        </w:rPr>
        <w:t xml:space="preserve"> </w:t>
      </w:r>
      <w:r>
        <w:rPr>
          <w:b/>
          <w:bCs/>
          <w:spacing w:val="6"/>
          <w:sz w:val="20"/>
          <w:szCs w:val="20"/>
        </w:rPr>
        <w:t>、工频磁感应强度</w:t>
      </w:r>
      <w:r>
        <w:rPr>
          <w:rFonts w:ascii="Times New Roman" w:hAnsi="Times New Roman" w:eastAsia="Times New Roman" w:cs="Times New Roman"/>
          <w:b/>
          <w:bCs/>
          <w:spacing w:val="6"/>
          <w:sz w:val="20"/>
          <w:szCs w:val="20"/>
        </w:rPr>
        <w:t>μT</w:t>
      </w:r>
      <w:r>
        <w:rPr>
          <w:b/>
          <w:bCs/>
          <w:spacing w:val="6"/>
          <w:sz w:val="20"/>
          <w:szCs w:val="20"/>
        </w:rPr>
        <w:t>）</w:t>
      </w:r>
    </w:p>
    <w:p w14:paraId="3BDC820D">
      <w:pPr>
        <w:spacing w:line="22" w:lineRule="exact"/>
      </w:pPr>
    </w:p>
    <w:tbl>
      <w:tblPr>
        <w:tblStyle w:val="5"/>
        <w:tblW w:w="890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2"/>
        <w:gridCol w:w="1012"/>
        <w:gridCol w:w="780"/>
        <w:gridCol w:w="899"/>
        <w:gridCol w:w="780"/>
        <w:gridCol w:w="884"/>
        <w:gridCol w:w="720"/>
        <w:gridCol w:w="884"/>
        <w:gridCol w:w="791"/>
        <w:gridCol w:w="913"/>
      </w:tblGrid>
      <w:tr w14:paraId="2C040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242" w:type="dxa"/>
            <w:vMerge w:val="restart"/>
            <w:tcBorders>
              <w:bottom w:val="nil"/>
            </w:tcBorders>
            <w:vAlign w:val="top"/>
          </w:tcPr>
          <w:p w14:paraId="4A205A63">
            <w:pPr>
              <w:pStyle w:val="6"/>
              <w:spacing w:before="182" w:line="228" w:lineRule="auto"/>
              <w:ind w:left="101"/>
            </w:pPr>
            <w:r>
              <w:rPr>
                <w:b/>
                <w:bCs/>
                <w:spacing w:val="6"/>
              </w:rPr>
              <w:t>预测点与线</w:t>
            </w:r>
          </w:p>
          <w:p w14:paraId="61F1BCB6">
            <w:pPr>
              <w:pStyle w:val="6"/>
              <w:spacing w:before="23" w:line="228" w:lineRule="auto"/>
              <w:ind w:left="101"/>
            </w:pPr>
            <w:r>
              <w:rPr>
                <w:b/>
                <w:bCs/>
                <w:spacing w:val="6"/>
              </w:rPr>
              <w:t>路中心地面</w:t>
            </w:r>
          </w:p>
          <w:p w14:paraId="5F476346">
            <w:pPr>
              <w:pStyle w:val="6"/>
              <w:spacing w:before="24" w:line="228" w:lineRule="auto"/>
              <w:ind w:left="102"/>
            </w:pPr>
            <w:r>
              <w:rPr>
                <w:b/>
                <w:bCs/>
                <w:spacing w:val="6"/>
              </w:rPr>
              <w:t>投影的距离</w:t>
            </w:r>
          </w:p>
          <w:p w14:paraId="5EAB82D7">
            <w:pPr>
              <w:pStyle w:val="6"/>
              <w:spacing w:before="26"/>
              <w:ind w:left="337"/>
            </w:pPr>
            <w:r>
              <w:rPr>
                <w:b/>
                <w:bCs/>
                <w:spacing w:val="-2"/>
              </w:rPr>
              <w:t>（</w:t>
            </w:r>
            <w:r>
              <w:rPr>
                <w:rFonts w:ascii="Times New Roman" w:hAnsi="Times New Roman" w:eastAsia="Times New Roman" w:cs="Times New Roman"/>
                <w:b/>
                <w:bCs/>
                <w:spacing w:val="-2"/>
              </w:rPr>
              <w:t>m</w:t>
            </w:r>
            <w:r>
              <w:rPr>
                <w:b/>
                <w:bCs/>
                <w:spacing w:val="-2"/>
              </w:rPr>
              <w:t>）</w:t>
            </w:r>
          </w:p>
        </w:tc>
        <w:tc>
          <w:tcPr>
            <w:tcW w:w="1012" w:type="dxa"/>
            <w:vMerge w:val="restart"/>
            <w:tcBorders>
              <w:bottom w:val="nil"/>
            </w:tcBorders>
            <w:vAlign w:val="top"/>
          </w:tcPr>
          <w:p w14:paraId="552DA0E7">
            <w:pPr>
              <w:pStyle w:val="6"/>
              <w:spacing w:before="45" w:line="228" w:lineRule="auto"/>
              <w:ind w:left="90"/>
            </w:pPr>
            <w:r>
              <w:rPr>
                <w:b/>
                <w:bCs/>
                <w:spacing w:val="5"/>
              </w:rPr>
              <w:t>预测点与</w:t>
            </w:r>
          </w:p>
          <w:p w14:paraId="5DEE4920">
            <w:pPr>
              <w:pStyle w:val="6"/>
              <w:spacing w:before="23" w:line="228" w:lineRule="auto"/>
              <w:ind w:left="91"/>
            </w:pPr>
            <w:r>
              <w:rPr>
                <w:b/>
                <w:bCs/>
                <w:spacing w:val="5"/>
              </w:rPr>
              <w:t>线路边导</w:t>
            </w:r>
          </w:p>
          <w:p w14:paraId="012C9C61">
            <w:pPr>
              <w:pStyle w:val="6"/>
              <w:spacing w:before="27" w:line="228" w:lineRule="auto"/>
              <w:ind w:left="91"/>
            </w:pPr>
            <w:r>
              <w:rPr>
                <w:b/>
                <w:bCs/>
                <w:spacing w:val="5"/>
              </w:rPr>
              <w:t>线地面投</w:t>
            </w:r>
          </w:p>
          <w:p w14:paraId="32413EA3">
            <w:pPr>
              <w:pStyle w:val="6"/>
              <w:spacing w:before="24" w:line="239" w:lineRule="auto"/>
              <w:ind w:left="220" w:right="86" w:hanging="132"/>
            </w:pPr>
            <w:r>
              <w:rPr>
                <w:b/>
                <w:bCs/>
                <w:spacing w:val="5"/>
              </w:rPr>
              <w:t>影的距离</w:t>
            </w:r>
            <w:r>
              <w:rPr>
                <w:b/>
                <w:bCs/>
                <w:spacing w:val="-2"/>
              </w:rPr>
              <w:t>（</w:t>
            </w:r>
            <w:r>
              <w:rPr>
                <w:rFonts w:ascii="Times New Roman" w:hAnsi="Times New Roman" w:eastAsia="Times New Roman" w:cs="Times New Roman"/>
                <w:b/>
                <w:bCs/>
                <w:spacing w:val="-2"/>
              </w:rPr>
              <w:t>m</w:t>
            </w:r>
            <w:r>
              <w:rPr>
                <w:b/>
                <w:bCs/>
                <w:spacing w:val="-2"/>
              </w:rPr>
              <w:t>）</w:t>
            </w:r>
          </w:p>
        </w:tc>
        <w:tc>
          <w:tcPr>
            <w:tcW w:w="1679" w:type="dxa"/>
            <w:gridSpan w:val="2"/>
            <w:vAlign w:val="top"/>
          </w:tcPr>
          <w:p w14:paraId="3FE1DB0D">
            <w:pPr>
              <w:pStyle w:val="6"/>
              <w:spacing w:before="34" w:line="235" w:lineRule="auto"/>
              <w:ind w:left="492" w:right="102" w:hanging="383"/>
              <w:rPr>
                <w:rFonts w:ascii="Times New Roman" w:hAnsi="Times New Roman" w:eastAsia="Times New Roman" w:cs="Times New Roman"/>
              </w:rPr>
            </w:pPr>
            <w:r>
              <w:rPr>
                <w:b/>
                <w:bCs/>
                <w:spacing w:val="6"/>
              </w:rPr>
              <w:t>非居民区导线对</w:t>
            </w:r>
            <w:r>
              <w:rPr>
                <w:b/>
                <w:bCs/>
                <w:spacing w:val="2"/>
              </w:rPr>
              <w:t>地</w:t>
            </w:r>
            <w:r>
              <w:rPr>
                <w:spacing w:val="-38"/>
              </w:rPr>
              <w:t xml:space="preserve"> </w:t>
            </w:r>
            <w:r>
              <w:rPr>
                <w:rFonts w:ascii="Times New Roman" w:hAnsi="Times New Roman" w:eastAsia="Times New Roman" w:cs="Times New Roman"/>
                <w:b/>
                <w:bCs/>
                <w:spacing w:val="2"/>
              </w:rPr>
              <w:t>6.0m</w:t>
            </w:r>
          </w:p>
        </w:tc>
        <w:tc>
          <w:tcPr>
            <w:tcW w:w="4972" w:type="dxa"/>
            <w:gridSpan w:val="6"/>
            <w:vAlign w:val="top"/>
          </w:tcPr>
          <w:p w14:paraId="1A0C0916">
            <w:pPr>
              <w:pStyle w:val="6"/>
              <w:spacing w:before="172" w:line="228" w:lineRule="auto"/>
              <w:ind w:left="1510"/>
              <w:rPr>
                <w:rFonts w:ascii="Times New Roman" w:hAnsi="Times New Roman" w:eastAsia="Times New Roman" w:cs="Times New Roman"/>
              </w:rPr>
            </w:pPr>
            <w:r>
              <w:rPr>
                <w:b/>
                <w:bCs/>
                <w:spacing w:val="5"/>
              </w:rPr>
              <w:t>居民区导线对地</w:t>
            </w:r>
            <w:r>
              <w:rPr>
                <w:spacing w:val="-36"/>
              </w:rPr>
              <w:t xml:space="preserve"> </w:t>
            </w:r>
            <w:r>
              <w:rPr>
                <w:rFonts w:ascii="Times New Roman" w:hAnsi="Times New Roman" w:eastAsia="Times New Roman" w:cs="Times New Roman"/>
                <w:b/>
                <w:bCs/>
                <w:spacing w:val="5"/>
              </w:rPr>
              <w:t>7.0m</w:t>
            </w:r>
          </w:p>
        </w:tc>
      </w:tr>
      <w:tr w14:paraId="2882B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242" w:type="dxa"/>
            <w:vMerge w:val="continue"/>
            <w:tcBorders>
              <w:top w:val="nil"/>
              <w:bottom w:val="nil"/>
            </w:tcBorders>
            <w:vAlign w:val="top"/>
          </w:tcPr>
          <w:p w14:paraId="616C8E6D">
            <w:pPr>
              <w:rPr>
                <w:rFonts w:ascii="Arial"/>
                <w:sz w:val="21"/>
              </w:rPr>
            </w:pPr>
          </w:p>
        </w:tc>
        <w:tc>
          <w:tcPr>
            <w:tcW w:w="1012" w:type="dxa"/>
            <w:vMerge w:val="continue"/>
            <w:tcBorders>
              <w:top w:val="nil"/>
              <w:bottom w:val="nil"/>
            </w:tcBorders>
            <w:vAlign w:val="top"/>
          </w:tcPr>
          <w:p w14:paraId="5EC1F39A">
            <w:pPr>
              <w:rPr>
                <w:rFonts w:ascii="Arial"/>
                <w:sz w:val="21"/>
              </w:rPr>
            </w:pPr>
          </w:p>
        </w:tc>
        <w:tc>
          <w:tcPr>
            <w:tcW w:w="1679" w:type="dxa"/>
            <w:gridSpan w:val="2"/>
            <w:vAlign w:val="top"/>
          </w:tcPr>
          <w:p w14:paraId="05742D3A">
            <w:pPr>
              <w:pStyle w:val="6"/>
              <w:spacing w:before="30" w:line="218" w:lineRule="auto"/>
              <w:ind w:left="389"/>
              <w:rPr>
                <w:rFonts w:ascii="Times New Roman" w:hAnsi="Times New Roman" w:eastAsia="Times New Roman" w:cs="Times New Roman"/>
              </w:rPr>
            </w:pPr>
            <w:r>
              <w:rPr>
                <w:b/>
                <w:bCs/>
                <w:spacing w:val="2"/>
              </w:rPr>
              <w:t>地面</w:t>
            </w:r>
            <w:r>
              <w:rPr>
                <w:spacing w:val="-32"/>
              </w:rPr>
              <w:t xml:space="preserve"> </w:t>
            </w:r>
            <w:r>
              <w:rPr>
                <w:rFonts w:ascii="Times New Roman" w:hAnsi="Times New Roman" w:eastAsia="Times New Roman" w:cs="Times New Roman"/>
                <w:b/>
                <w:bCs/>
                <w:spacing w:val="2"/>
              </w:rPr>
              <w:t>1.5m</w:t>
            </w:r>
          </w:p>
        </w:tc>
        <w:tc>
          <w:tcPr>
            <w:tcW w:w="1664" w:type="dxa"/>
            <w:gridSpan w:val="2"/>
            <w:vAlign w:val="top"/>
          </w:tcPr>
          <w:p w14:paraId="5DDF2AA9">
            <w:pPr>
              <w:pStyle w:val="6"/>
              <w:spacing w:before="30" w:line="218" w:lineRule="auto"/>
              <w:ind w:left="380"/>
              <w:rPr>
                <w:rFonts w:ascii="Times New Roman" w:hAnsi="Times New Roman" w:eastAsia="Times New Roman" w:cs="Times New Roman"/>
              </w:rPr>
            </w:pPr>
            <w:r>
              <w:rPr>
                <w:b/>
                <w:bCs/>
                <w:spacing w:val="2"/>
              </w:rPr>
              <w:t>地面</w:t>
            </w:r>
            <w:r>
              <w:rPr>
                <w:spacing w:val="-29"/>
              </w:rPr>
              <w:t xml:space="preserve"> </w:t>
            </w:r>
            <w:r>
              <w:rPr>
                <w:rFonts w:ascii="Times New Roman" w:hAnsi="Times New Roman" w:eastAsia="Times New Roman" w:cs="Times New Roman"/>
                <w:b/>
                <w:bCs/>
                <w:spacing w:val="2"/>
              </w:rPr>
              <w:t>1.5m</w:t>
            </w:r>
          </w:p>
        </w:tc>
        <w:tc>
          <w:tcPr>
            <w:tcW w:w="1604" w:type="dxa"/>
            <w:gridSpan w:val="2"/>
            <w:vAlign w:val="top"/>
          </w:tcPr>
          <w:p w14:paraId="70F8E754">
            <w:pPr>
              <w:pStyle w:val="6"/>
              <w:spacing w:before="30" w:line="218" w:lineRule="auto"/>
              <w:ind w:left="353"/>
              <w:rPr>
                <w:rFonts w:ascii="Times New Roman" w:hAnsi="Times New Roman" w:eastAsia="Times New Roman" w:cs="Times New Roman"/>
              </w:rPr>
            </w:pPr>
            <w:r>
              <w:rPr>
                <w:b/>
                <w:bCs/>
                <w:spacing w:val="4"/>
              </w:rPr>
              <w:t>地面</w:t>
            </w:r>
            <w:r>
              <w:rPr>
                <w:spacing w:val="-43"/>
              </w:rPr>
              <w:t xml:space="preserve"> </w:t>
            </w:r>
            <w:r>
              <w:rPr>
                <w:rFonts w:ascii="Times New Roman" w:hAnsi="Times New Roman" w:eastAsia="Times New Roman" w:cs="Times New Roman"/>
                <w:b/>
                <w:bCs/>
                <w:spacing w:val="4"/>
              </w:rPr>
              <w:t>4.5m</w:t>
            </w:r>
          </w:p>
        </w:tc>
        <w:tc>
          <w:tcPr>
            <w:tcW w:w="1704" w:type="dxa"/>
            <w:gridSpan w:val="2"/>
            <w:vAlign w:val="top"/>
          </w:tcPr>
          <w:p w14:paraId="1EED73B6">
            <w:pPr>
              <w:pStyle w:val="6"/>
              <w:spacing w:before="30" w:line="218" w:lineRule="auto"/>
              <w:ind w:left="400"/>
              <w:rPr>
                <w:rFonts w:ascii="Times New Roman" w:hAnsi="Times New Roman" w:eastAsia="Times New Roman" w:cs="Times New Roman"/>
              </w:rPr>
            </w:pPr>
            <w:r>
              <w:rPr>
                <w:b/>
                <w:bCs/>
                <w:spacing w:val="3"/>
              </w:rPr>
              <w:t>地面</w:t>
            </w:r>
            <w:r>
              <w:rPr>
                <w:spacing w:val="-35"/>
              </w:rPr>
              <w:t xml:space="preserve"> </w:t>
            </w:r>
            <w:r>
              <w:rPr>
                <w:rFonts w:ascii="Times New Roman" w:hAnsi="Times New Roman" w:eastAsia="Times New Roman" w:cs="Times New Roman"/>
                <w:b/>
                <w:bCs/>
                <w:spacing w:val="3"/>
              </w:rPr>
              <w:t>7.5m</w:t>
            </w:r>
          </w:p>
        </w:tc>
      </w:tr>
      <w:tr w14:paraId="19409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42" w:type="dxa"/>
            <w:vMerge w:val="continue"/>
            <w:tcBorders>
              <w:top w:val="nil"/>
            </w:tcBorders>
            <w:vAlign w:val="top"/>
          </w:tcPr>
          <w:p w14:paraId="24325919">
            <w:pPr>
              <w:rPr>
                <w:rFonts w:ascii="Arial"/>
                <w:sz w:val="21"/>
              </w:rPr>
            </w:pPr>
          </w:p>
        </w:tc>
        <w:tc>
          <w:tcPr>
            <w:tcW w:w="1012" w:type="dxa"/>
            <w:vMerge w:val="continue"/>
            <w:tcBorders>
              <w:top w:val="nil"/>
            </w:tcBorders>
            <w:vAlign w:val="top"/>
          </w:tcPr>
          <w:p w14:paraId="402C6531">
            <w:pPr>
              <w:rPr>
                <w:rFonts w:ascii="Arial"/>
                <w:sz w:val="21"/>
              </w:rPr>
            </w:pPr>
          </w:p>
        </w:tc>
        <w:tc>
          <w:tcPr>
            <w:tcW w:w="780" w:type="dxa"/>
            <w:vAlign w:val="top"/>
          </w:tcPr>
          <w:p w14:paraId="26FB328F">
            <w:pPr>
              <w:pStyle w:val="6"/>
              <w:spacing w:before="32" w:line="230" w:lineRule="auto"/>
              <w:ind w:left="82"/>
            </w:pPr>
            <w:r>
              <w:rPr>
                <w:b/>
                <w:bCs/>
                <w:spacing w:val="4"/>
              </w:rPr>
              <w:t>工频电</w:t>
            </w:r>
          </w:p>
          <w:p w14:paraId="601B8C6E">
            <w:pPr>
              <w:pStyle w:val="6"/>
              <w:spacing w:before="22" w:line="217" w:lineRule="auto"/>
              <w:ind w:left="79"/>
            </w:pPr>
            <w:r>
              <w:rPr>
                <w:b/>
                <w:bCs/>
                <w:spacing w:val="5"/>
              </w:rPr>
              <w:t>场强度</w:t>
            </w:r>
          </w:p>
        </w:tc>
        <w:tc>
          <w:tcPr>
            <w:tcW w:w="899" w:type="dxa"/>
            <w:vAlign w:val="top"/>
          </w:tcPr>
          <w:p w14:paraId="458DF349">
            <w:pPr>
              <w:pStyle w:val="6"/>
              <w:spacing w:before="32" w:line="234" w:lineRule="auto"/>
              <w:ind w:left="139" w:right="27" w:hanging="105"/>
            </w:pPr>
            <w:r>
              <w:rPr>
                <w:b/>
                <w:bCs/>
                <w:spacing w:val="5"/>
              </w:rPr>
              <w:t>工频磁感应强度</w:t>
            </w:r>
          </w:p>
        </w:tc>
        <w:tc>
          <w:tcPr>
            <w:tcW w:w="780" w:type="dxa"/>
            <w:vAlign w:val="top"/>
          </w:tcPr>
          <w:p w14:paraId="0B664F86">
            <w:pPr>
              <w:pStyle w:val="6"/>
              <w:spacing w:before="32" w:line="230" w:lineRule="auto"/>
              <w:ind w:left="83"/>
            </w:pPr>
            <w:r>
              <w:rPr>
                <w:b/>
                <w:bCs/>
                <w:spacing w:val="4"/>
              </w:rPr>
              <w:t>工频电</w:t>
            </w:r>
          </w:p>
          <w:p w14:paraId="38FCB70B">
            <w:pPr>
              <w:pStyle w:val="6"/>
              <w:spacing w:before="22" w:line="217" w:lineRule="auto"/>
              <w:ind w:left="80"/>
            </w:pPr>
            <w:r>
              <w:rPr>
                <w:b/>
                <w:bCs/>
                <w:spacing w:val="5"/>
              </w:rPr>
              <w:t>场强度</w:t>
            </w:r>
          </w:p>
        </w:tc>
        <w:tc>
          <w:tcPr>
            <w:tcW w:w="884" w:type="dxa"/>
            <w:vAlign w:val="top"/>
          </w:tcPr>
          <w:p w14:paraId="6768A5FE">
            <w:pPr>
              <w:pStyle w:val="6"/>
              <w:spacing w:before="32" w:line="234" w:lineRule="auto"/>
              <w:ind w:left="131" w:right="18" w:hanging="103"/>
            </w:pPr>
            <w:r>
              <w:rPr>
                <w:b/>
                <w:bCs/>
                <w:spacing w:val="5"/>
              </w:rPr>
              <w:t>工频磁感应强度</w:t>
            </w:r>
          </w:p>
        </w:tc>
        <w:tc>
          <w:tcPr>
            <w:tcW w:w="720" w:type="dxa"/>
            <w:vAlign w:val="top"/>
          </w:tcPr>
          <w:p w14:paraId="0B43C004">
            <w:pPr>
              <w:pStyle w:val="6"/>
              <w:spacing w:before="32" w:line="230" w:lineRule="auto"/>
              <w:ind w:left="53"/>
            </w:pPr>
            <w:r>
              <w:rPr>
                <w:b/>
                <w:bCs/>
                <w:spacing w:val="4"/>
              </w:rPr>
              <w:t>工频电</w:t>
            </w:r>
          </w:p>
          <w:p w14:paraId="59DEB04B">
            <w:pPr>
              <w:pStyle w:val="6"/>
              <w:spacing w:before="22" w:line="217" w:lineRule="auto"/>
              <w:ind w:left="50"/>
            </w:pPr>
            <w:r>
              <w:rPr>
                <w:b/>
                <w:bCs/>
                <w:spacing w:val="5"/>
              </w:rPr>
              <w:t>场强度</w:t>
            </w:r>
          </w:p>
        </w:tc>
        <w:tc>
          <w:tcPr>
            <w:tcW w:w="884" w:type="dxa"/>
            <w:vAlign w:val="top"/>
          </w:tcPr>
          <w:p w14:paraId="06D3666D">
            <w:pPr>
              <w:pStyle w:val="6"/>
              <w:spacing w:before="32" w:line="234" w:lineRule="auto"/>
              <w:ind w:left="132" w:right="17" w:hanging="103"/>
            </w:pPr>
            <w:r>
              <w:rPr>
                <w:b/>
                <w:bCs/>
                <w:spacing w:val="5"/>
              </w:rPr>
              <w:t>工频磁感应强度</w:t>
            </w:r>
          </w:p>
        </w:tc>
        <w:tc>
          <w:tcPr>
            <w:tcW w:w="791" w:type="dxa"/>
            <w:vAlign w:val="top"/>
          </w:tcPr>
          <w:p w14:paraId="64372F27">
            <w:pPr>
              <w:pStyle w:val="6"/>
              <w:spacing w:before="32" w:line="230" w:lineRule="auto"/>
              <w:ind w:left="89"/>
            </w:pPr>
            <w:r>
              <w:rPr>
                <w:b/>
                <w:bCs/>
                <w:spacing w:val="4"/>
              </w:rPr>
              <w:t>工频电</w:t>
            </w:r>
          </w:p>
          <w:p w14:paraId="70930688">
            <w:pPr>
              <w:pStyle w:val="6"/>
              <w:spacing w:before="22" w:line="217" w:lineRule="auto"/>
              <w:ind w:left="85"/>
            </w:pPr>
            <w:r>
              <w:rPr>
                <w:b/>
                <w:bCs/>
                <w:spacing w:val="5"/>
              </w:rPr>
              <w:t>场强度</w:t>
            </w:r>
          </w:p>
        </w:tc>
        <w:tc>
          <w:tcPr>
            <w:tcW w:w="913" w:type="dxa"/>
            <w:vAlign w:val="top"/>
          </w:tcPr>
          <w:p w14:paraId="429A03DD">
            <w:pPr>
              <w:pStyle w:val="6"/>
              <w:spacing w:before="32" w:line="234" w:lineRule="auto"/>
              <w:ind w:left="144" w:right="31" w:hanging="100"/>
            </w:pPr>
            <w:r>
              <w:rPr>
                <w:b/>
                <w:bCs/>
                <w:spacing w:val="5"/>
              </w:rPr>
              <w:t>工频磁感应强度</w:t>
            </w:r>
          </w:p>
        </w:tc>
      </w:tr>
      <w:tr w14:paraId="7C3E9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42" w:type="dxa"/>
            <w:vAlign w:val="top"/>
          </w:tcPr>
          <w:p w14:paraId="79630CF8">
            <w:pPr>
              <w:pStyle w:val="6"/>
              <w:spacing w:before="51" w:line="228" w:lineRule="auto"/>
              <w:ind w:left="41"/>
            </w:pPr>
            <w:r>
              <w:rPr>
                <w:spacing w:val="5"/>
              </w:rPr>
              <w:t>距原点</w:t>
            </w:r>
            <w:r>
              <w:rPr>
                <w:rFonts w:ascii="Times New Roman" w:hAnsi="Times New Roman" w:eastAsia="Times New Roman" w:cs="Times New Roman"/>
                <w:spacing w:val="5"/>
              </w:rPr>
              <w:t xml:space="preserve">-50 </w:t>
            </w:r>
            <w:r>
              <w:rPr>
                <w:spacing w:val="5"/>
              </w:rPr>
              <w:t>米</w:t>
            </w:r>
          </w:p>
        </w:tc>
        <w:tc>
          <w:tcPr>
            <w:tcW w:w="1012" w:type="dxa"/>
            <w:vAlign w:val="top"/>
          </w:tcPr>
          <w:p w14:paraId="6C58B9DD">
            <w:pPr>
              <w:spacing w:before="87"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-45.65</w:t>
            </w:r>
          </w:p>
        </w:tc>
        <w:tc>
          <w:tcPr>
            <w:tcW w:w="780" w:type="dxa"/>
            <w:vAlign w:val="top"/>
          </w:tcPr>
          <w:p w14:paraId="7DFC8EF8">
            <w:pPr>
              <w:spacing w:before="87"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0.0518</w:t>
            </w:r>
          </w:p>
        </w:tc>
        <w:tc>
          <w:tcPr>
            <w:tcW w:w="899" w:type="dxa"/>
            <w:vAlign w:val="top"/>
          </w:tcPr>
          <w:p w14:paraId="617A9EB0">
            <w:pPr>
              <w:spacing w:before="87"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0.4603</w:t>
            </w:r>
          </w:p>
        </w:tc>
        <w:tc>
          <w:tcPr>
            <w:tcW w:w="780" w:type="dxa"/>
            <w:vAlign w:val="top"/>
          </w:tcPr>
          <w:p w14:paraId="3F23A4E0">
            <w:pPr>
              <w:spacing w:before="87"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0.0504</w:t>
            </w:r>
          </w:p>
        </w:tc>
        <w:tc>
          <w:tcPr>
            <w:tcW w:w="884" w:type="dxa"/>
            <w:vAlign w:val="top"/>
          </w:tcPr>
          <w:p w14:paraId="1555CDAC">
            <w:pPr>
              <w:spacing w:before="87"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0.4565</w:t>
            </w:r>
          </w:p>
        </w:tc>
        <w:tc>
          <w:tcPr>
            <w:tcW w:w="720" w:type="dxa"/>
            <w:vAlign w:val="top"/>
          </w:tcPr>
          <w:p w14:paraId="4BDF0376">
            <w:pPr>
              <w:spacing w:before="90"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0.0502</w:t>
            </w:r>
          </w:p>
        </w:tc>
        <w:tc>
          <w:tcPr>
            <w:tcW w:w="884" w:type="dxa"/>
            <w:vAlign w:val="top"/>
          </w:tcPr>
          <w:p w14:paraId="1DA58C96">
            <w:pPr>
              <w:spacing w:before="90"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0.4668</w:t>
            </w:r>
          </w:p>
        </w:tc>
        <w:tc>
          <w:tcPr>
            <w:tcW w:w="791" w:type="dxa"/>
            <w:vAlign w:val="top"/>
          </w:tcPr>
          <w:p w14:paraId="4DFC2C55">
            <w:pPr>
              <w:spacing w:before="90"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0.0499</w:t>
            </w:r>
          </w:p>
        </w:tc>
        <w:tc>
          <w:tcPr>
            <w:tcW w:w="913" w:type="dxa"/>
            <w:vAlign w:val="top"/>
          </w:tcPr>
          <w:p w14:paraId="0F40A9EF">
            <w:pPr>
              <w:spacing w:before="90"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0.4736</w:t>
            </w:r>
          </w:p>
        </w:tc>
      </w:tr>
      <w:tr w14:paraId="00DF1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57246BEB">
            <w:pPr>
              <w:pStyle w:val="6"/>
              <w:spacing w:before="52" w:line="228" w:lineRule="auto"/>
              <w:ind w:left="41"/>
            </w:pPr>
            <w:r>
              <w:rPr>
                <w:spacing w:val="5"/>
              </w:rPr>
              <w:t>距原点</w:t>
            </w:r>
            <w:r>
              <w:rPr>
                <w:rFonts w:ascii="Times New Roman" w:hAnsi="Times New Roman" w:eastAsia="Times New Roman" w:cs="Times New Roman"/>
                <w:spacing w:val="5"/>
              </w:rPr>
              <w:t xml:space="preserve">-49 </w:t>
            </w:r>
            <w:r>
              <w:rPr>
                <w:spacing w:val="5"/>
              </w:rPr>
              <w:t>米</w:t>
            </w:r>
          </w:p>
        </w:tc>
        <w:tc>
          <w:tcPr>
            <w:tcW w:w="1012" w:type="dxa"/>
            <w:vAlign w:val="top"/>
          </w:tcPr>
          <w:p w14:paraId="58D00336">
            <w:pPr>
              <w:spacing w:before="88"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-44.65</w:t>
            </w:r>
          </w:p>
        </w:tc>
        <w:tc>
          <w:tcPr>
            <w:tcW w:w="780" w:type="dxa"/>
            <w:vAlign w:val="top"/>
          </w:tcPr>
          <w:p w14:paraId="17434EAB">
            <w:pPr>
              <w:spacing w:before="88"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0.0537</w:t>
            </w:r>
          </w:p>
        </w:tc>
        <w:tc>
          <w:tcPr>
            <w:tcW w:w="899" w:type="dxa"/>
            <w:vAlign w:val="top"/>
          </w:tcPr>
          <w:p w14:paraId="62BCF8F7">
            <w:pPr>
              <w:spacing w:before="88" w:line="195" w:lineRule="auto"/>
              <w:ind w:left="27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0.48</w:t>
            </w:r>
          </w:p>
        </w:tc>
        <w:tc>
          <w:tcPr>
            <w:tcW w:w="780" w:type="dxa"/>
            <w:vAlign w:val="top"/>
          </w:tcPr>
          <w:p w14:paraId="3682A7CD">
            <w:pPr>
              <w:spacing w:before="88"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0.0522</w:t>
            </w:r>
          </w:p>
        </w:tc>
        <w:tc>
          <w:tcPr>
            <w:tcW w:w="884" w:type="dxa"/>
            <w:vAlign w:val="top"/>
          </w:tcPr>
          <w:p w14:paraId="486B982C">
            <w:pPr>
              <w:spacing w:before="88"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0.4759</w:t>
            </w:r>
          </w:p>
        </w:tc>
        <w:tc>
          <w:tcPr>
            <w:tcW w:w="720" w:type="dxa"/>
            <w:vAlign w:val="top"/>
          </w:tcPr>
          <w:p w14:paraId="1F293227">
            <w:pPr>
              <w:spacing w:before="90"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0.052</w:t>
            </w:r>
          </w:p>
        </w:tc>
        <w:tc>
          <w:tcPr>
            <w:tcW w:w="884" w:type="dxa"/>
            <w:vAlign w:val="top"/>
          </w:tcPr>
          <w:p w14:paraId="22830CE1">
            <w:pPr>
              <w:spacing w:before="90"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0.4871</w:t>
            </w:r>
          </w:p>
        </w:tc>
        <w:tc>
          <w:tcPr>
            <w:tcW w:w="791" w:type="dxa"/>
            <w:vAlign w:val="top"/>
          </w:tcPr>
          <w:p w14:paraId="1D4B8DCF">
            <w:pPr>
              <w:spacing w:before="90"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0.0516</w:t>
            </w:r>
          </w:p>
        </w:tc>
        <w:tc>
          <w:tcPr>
            <w:tcW w:w="913" w:type="dxa"/>
            <w:vAlign w:val="top"/>
          </w:tcPr>
          <w:p w14:paraId="6A94A833">
            <w:pPr>
              <w:spacing w:before="90"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0.4945</w:t>
            </w:r>
          </w:p>
        </w:tc>
      </w:tr>
      <w:tr w14:paraId="7E4D8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42" w:type="dxa"/>
            <w:vAlign w:val="top"/>
          </w:tcPr>
          <w:p w14:paraId="6E1157FE">
            <w:pPr>
              <w:pStyle w:val="6"/>
              <w:spacing w:before="51" w:line="228" w:lineRule="auto"/>
              <w:ind w:left="41"/>
            </w:pPr>
            <w:r>
              <w:rPr>
                <w:spacing w:val="5"/>
              </w:rPr>
              <w:t>距原点</w:t>
            </w:r>
            <w:r>
              <w:rPr>
                <w:rFonts w:ascii="Times New Roman" w:hAnsi="Times New Roman" w:eastAsia="Times New Roman" w:cs="Times New Roman"/>
                <w:spacing w:val="5"/>
              </w:rPr>
              <w:t xml:space="preserve">-48 </w:t>
            </w:r>
            <w:r>
              <w:rPr>
                <w:spacing w:val="5"/>
              </w:rPr>
              <w:t>米</w:t>
            </w:r>
          </w:p>
        </w:tc>
        <w:tc>
          <w:tcPr>
            <w:tcW w:w="1012" w:type="dxa"/>
            <w:vAlign w:val="top"/>
          </w:tcPr>
          <w:p w14:paraId="3150ACD1">
            <w:pPr>
              <w:spacing w:before="90"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-43.65</w:t>
            </w:r>
          </w:p>
        </w:tc>
        <w:tc>
          <w:tcPr>
            <w:tcW w:w="780" w:type="dxa"/>
            <w:vAlign w:val="top"/>
          </w:tcPr>
          <w:p w14:paraId="475B3600">
            <w:pPr>
              <w:spacing w:before="90"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0.0557</w:t>
            </w:r>
          </w:p>
        </w:tc>
        <w:tc>
          <w:tcPr>
            <w:tcW w:w="899" w:type="dxa"/>
            <w:vAlign w:val="top"/>
          </w:tcPr>
          <w:p w14:paraId="3A2E7595">
            <w:pPr>
              <w:spacing w:before="90"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0.501</w:t>
            </w:r>
          </w:p>
        </w:tc>
        <w:tc>
          <w:tcPr>
            <w:tcW w:w="780" w:type="dxa"/>
            <w:vAlign w:val="top"/>
          </w:tcPr>
          <w:p w14:paraId="12DD4BA6">
            <w:pPr>
              <w:spacing w:before="90"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0.054</w:t>
            </w:r>
          </w:p>
        </w:tc>
        <w:tc>
          <w:tcPr>
            <w:tcW w:w="884" w:type="dxa"/>
            <w:vAlign w:val="top"/>
          </w:tcPr>
          <w:p w14:paraId="3A6EFF45">
            <w:pPr>
              <w:spacing w:before="90"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0.4966</w:t>
            </w:r>
          </w:p>
        </w:tc>
        <w:tc>
          <w:tcPr>
            <w:tcW w:w="720" w:type="dxa"/>
            <w:vAlign w:val="top"/>
          </w:tcPr>
          <w:p w14:paraId="59CC6899">
            <w:pPr>
              <w:spacing w:before="90"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0.0539</w:t>
            </w:r>
          </w:p>
        </w:tc>
        <w:tc>
          <w:tcPr>
            <w:tcW w:w="884" w:type="dxa"/>
            <w:vAlign w:val="top"/>
          </w:tcPr>
          <w:p w14:paraId="1FE7BAE7">
            <w:pPr>
              <w:spacing w:before="90"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0.5087</w:t>
            </w:r>
          </w:p>
        </w:tc>
        <w:tc>
          <w:tcPr>
            <w:tcW w:w="791" w:type="dxa"/>
            <w:vAlign w:val="top"/>
          </w:tcPr>
          <w:p w14:paraId="7959E8D4">
            <w:pPr>
              <w:spacing w:before="90"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0.0535</w:t>
            </w:r>
          </w:p>
        </w:tc>
        <w:tc>
          <w:tcPr>
            <w:tcW w:w="913" w:type="dxa"/>
            <w:vAlign w:val="top"/>
          </w:tcPr>
          <w:p w14:paraId="35FE4746">
            <w:pPr>
              <w:spacing w:before="90"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0.5168</w:t>
            </w:r>
          </w:p>
        </w:tc>
      </w:tr>
      <w:tr w14:paraId="262B5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392947E0">
            <w:pPr>
              <w:pStyle w:val="6"/>
              <w:spacing w:before="52" w:line="228" w:lineRule="auto"/>
              <w:ind w:left="41"/>
            </w:pPr>
            <w:r>
              <w:rPr>
                <w:spacing w:val="5"/>
              </w:rPr>
              <w:t>距原点</w:t>
            </w:r>
            <w:r>
              <w:rPr>
                <w:rFonts w:ascii="Times New Roman" w:hAnsi="Times New Roman" w:eastAsia="Times New Roman" w:cs="Times New Roman"/>
                <w:spacing w:val="5"/>
              </w:rPr>
              <w:t xml:space="preserve">-47 </w:t>
            </w:r>
            <w:r>
              <w:rPr>
                <w:spacing w:val="5"/>
              </w:rPr>
              <w:t>米</w:t>
            </w:r>
          </w:p>
        </w:tc>
        <w:tc>
          <w:tcPr>
            <w:tcW w:w="1012" w:type="dxa"/>
            <w:vAlign w:val="top"/>
          </w:tcPr>
          <w:p w14:paraId="4884702F">
            <w:pPr>
              <w:spacing w:before="90"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-42.65</w:t>
            </w:r>
          </w:p>
        </w:tc>
        <w:tc>
          <w:tcPr>
            <w:tcW w:w="780" w:type="dxa"/>
            <w:vAlign w:val="top"/>
          </w:tcPr>
          <w:p w14:paraId="7B46BA4A">
            <w:pPr>
              <w:spacing w:before="90"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0.0578</w:t>
            </w:r>
          </w:p>
        </w:tc>
        <w:tc>
          <w:tcPr>
            <w:tcW w:w="899" w:type="dxa"/>
            <w:vAlign w:val="top"/>
          </w:tcPr>
          <w:p w14:paraId="7D9F867F">
            <w:pPr>
              <w:spacing w:before="90"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0.5234</w:t>
            </w:r>
          </w:p>
        </w:tc>
        <w:tc>
          <w:tcPr>
            <w:tcW w:w="780" w:type="dxa"/>
            <w:vAlign w:val="top"/>
          </w:tcPr>
          <w:p w14:paraId="3603D7D0">
            <w:pPr>
              <w:spacing w:before="90"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0.056</w:t>
            </w:r>
          </w:p>
        </w:tc>
        <w:tc>
          <w:tcPr>
            <w:tcW w:w="884" w:type="dxa"/>
            <w:vAlign w:val="top"/>
          </w:tcPr>
          <w:p w14:paraId="11F56A0E">
            <w:pPr>
              <w:spacing w:before="90"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0.5186</w:t>
            </w:r>
          </w:p>
        </w:tc>
        <w:tc>
          <w:tcPr>
            <w:tcW w:w="720" w:type="dxa"/>
            <w:vAlign w:val="top"/>
          </w:tcPr>
          <w:p w14:paraId="165DA50C">
            <w:pPr>
              <w:spacing w:before="90"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0.0558</w:t>
            </w:r>
          </w:p>
        </w:tc>
        <w:tc>
          <w:tcPr>
            <w:tcW w:w="884" w:type="dxa"/>
            <w:vAlign w:val="top"/>
          </w:tcPr>
          <w:p w14:paraId="3D458505">
            <w:pPr>
              <w:spacing w:before="90"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0.5318</w:t>
            </w:r>
          </w:p>
        </w:tc>
        <w:tc>
          <w:tcPr>
            <w:tcW w:w="791" w:type="dxa"/>
            <w:vAlign w:val="top"/>
          </w:tcPr>
          <w:p w14:paraId="5ED9A818">
            <w:pPr>
              <w:spacing w:before="90"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0.0554</w:t>
            </w:r>
          </w:p>
        </w:tc>
        <w:tc>
          <w:tcPr>
            <w:tcW w:w="913" w:type="dxa"/>
            <w:vAlign w:val="top"/>
          </w:tcPr>
          <w:p w14:paraId="5BB66CF1">
            <w:pPr>
              <w:spacing w:before="90"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0.5407</w:t>
            </w:r>
          </w:p>
        </w:tc>
      </w:tr>
      <w:tr w14:paraId="5F11FB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3D46AC2F">
            <w:pPr>
              <w:pStyle w:val="6"/>
              <w:spacing w:before="51" w:line="228" w:lineRule="auto"/>
              <w:ind w:left="41"/>
            </w:pPr>
            <w:r>
              <w:rPr>
                <w:spacing w:val="5"/>
              </w:rPr>
              <w:t>距原点</w:t>
            </w:r>
            <w:r>
              <w:rPr>
                <w:rFonts w:ascii="Times New Roman" w:hAnsi="Times New Roman" w:eastAsia="Times New Roman" w:cs="Times New Roman"/>
                <w:spacing w:val="5"/>
              </w:rPr>
              <w:t xml:space="preserve">-46 </w:t>
            </w:r>
            <w:r>
              <w:rPr>
                <w:spacing w:val="5"/>
              </w:rPr>
              <w:t>米</w:t>
            </w:r>
          </w:p>
        </w:tc>
        <w:tc>
          <w:tcPr>
            <w:tcW w:w="1012" w:type="dxa"/>
            <w:vAlign w:val="top"/>
          </w:tcPr>
          <w:p w14:paraId="0A9A624D">
            <w:pPr>
              <w:spacing w:before="90"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-41.65</w:t>
            </w:r>
          </w:p>
        </w:tc>
        <w:tc>
          <w:tcPr>
            <w:tcW w:w="780" w:type="dxa"/>
            <w:vAlign w:val="top"/>
          </w:tcPr>
          <w:p w14:paraId="42B589C6">
            <w:pPr>
              <w:spacing w:before="90" w:line="195" w:lineRule="auto"/>
              <w:ind w:left="2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0.06</w:t>
            </w:r>
          </w:p>
        </w:tc>
        <w:tc>
          <w:tcPr>
            <w:tcW w:w="899" w:type="dxa"/>
            <w:vAlign w:val="top"/>
          </w:tcPr>
          <w:p w14:paraId="42C08E8C">
            <w:pPr>
              <w:spacing w:before="90"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0.5474</w:t>
            </w:r>
          </w:p>
        </w:tc>
        <w:tc>
          <w:tcPr>
            <w:tcW w:w="780" w:type="dxa"/>
            <w:vAlign w:val="top"/>
          </w:tcPr>
          <w:p w14:paraId="4AF78ADD">
            <w:pPr>
              <w:spacing w:before="90"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0.058</w:t>
            </w:r>
          </w:p>
        </w:tc>
        <w:tc>
          <w:tcPr>
            <w:tcW w:w="884" w:type="dxa"/>
            <w:vAlign w:val="top"/>
          </w:tcPr>
          <w:p w14:paraId="7B972D1E">
            <w:pPr>
              <w:spacing w:before="90"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0.5421</w:t>
            </w:r>
          </w:p>
        </w:tc>
        <w:tc>
          <w:tcPr>
            <w:tcW w:w="720" w:type="dxa"/>
            <w:vAlign w:val="top"/>
          </w:tcPr>
          <w:p w14:paraId="2BDE8F3D">
            <w:pPr>
              <w:spacing w:before="90"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0.0578</w:t>
            </w:r>
          </w:p>
        </w:tc>
        <w:tc>
          <w:tcPr>
            <w:tcW w:w="884" w:type="dxa"/>
            <w:vAlign w:val="top"/>
          </w:tcPr>
          <w:p w14:paraId="0669A69F">
            <w:pPr>
              <w:spacing w:before="90"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0.5565</w:t>
            </w:r>
          </w:p>
        </w:tc>
        <w:tc>
          <w:tcPr>
            <w:tcW w:w="791" w:type="dxa"/>
            <w:vAlign w:val="top"/>
          </w:tcPr>
          <w:p w14:paraId="3835ED15">
            <w:pPr>
              <w:spacing w:before="90"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0.0575</w:t>
            </w:r>
          </w:p>
        </w:tc>
        <w:tc>
          <w:tcPr>
            <w:tcW w:w="913" w:type="dxa"/>
            <w:vAlign w:val="top"/>
          </w:tcPr>
          <w:p w14:paraId="3EF64F2F">
            <w:pPr>
              <w:spacing w:before="90"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0.5662</w:t>
            </w:r>
          </w:p>
        </w:tc>
      </w:tr>
      <w:tr w14:paraId="3B314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58DA72A6">
            <w:pPr>
              <w:pStyle w:val="6"/>
              <w:spacing w:before="53" w:line="228" w:lineRule="auto"/>
              <w:ind w:left="41"/>
            </w:pPr>
            <w:r>
              <w:rPr>
                <w:spacing w:val="5"/>
              </w:rPr>
              <w:t>距原点</w:t>
            </w:r>
            <w:r>
              <w:rPr>
                <w:rFonts w:ascii="Times New Roman" w:hAnsi="Times New Roman" w:eastAsia="Times New Roman" w:cs="Times New Roman"/>
                <w:spacing w:val="5"/>
              </w:rPr>
              <w:t xml:space="preserve">-45 </w:t>
            </w:r>
            <w:r>
              <w:rPr>
                <w:spacing w:val="5"/>
              </w:rPr>
              <w:t>米</w:t>
            </w:r>
          </w:p>
        </w:tc>
        <w:tc>
          <w:tcPr>
            <w:tcW w:w="1012" w:type="dxa"/>
            <w:vAlign w:val="top"/>
          </w:tcPr>
          <w:p w14:paraId="2A787E7F">
            <w:pPr>
              <w:spacing w:before="90"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-40.65</w:t>
            </w:r>
          </w:p>
        </w:tc>
        <w:tc>
          <w:tcPr>
            <w:tcW w:w="780" w:type="dxa"/>
            <w:vAlign w:val="top"/>
          </w:tcPr>
          <w:p w14:paraId="4BB1354A">
            <w:pPr>
              <w:spacing w:before="90"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0.0623</w:t>
            </w:r>
          </w:p>
        </w:tc>
        <w:tc>
          <w:tcPr>
            <w:tcW w:w="899" w:type="dxa"/>
            <w:vAlign w:val="top"/>
          </w:tcPr>
          <w:p w14:paraId="62F048CC">
            <w:pPr>
              <w:spacing w:before="90"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0.5729</w:t>
            </w:r>
          </w:p>
        </w:tc>
        <w:tc>
          <w:tcPr>
            <w:tcW w:w="780" w:type="dxa"/>
            <w:vAlign w:val="top"/>
          </w:tcPr>
          <w:p w14:paraId="4B6157A4">
            <w:pPr>
              <w:spacing w:before="90"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0.0601</w:t>
            </w:r>
          </w:p>
        </w:tc>
        <w:tc>
          <w:tcPr>
            <w:tcW w:w="884" w:type="dxa"/>
            <w:vAlign w:val="top"/>
          </w:tcPr>
          <w:p w14:paraId="144FC690">
            <w:pPr>
              <w:spacing w:before="90"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0.5671</w:t>
            </w:r>
          </w:p>
        </w:tc>
        <w:tc>
          <w:tcPr>
            <w:tcW w:w="720" w:type="dxa"/>
            <w:vAlign w:val="top"/>
          </w:tcPr>
          <w:p w14:paraId="55E9D002">
            <w:pPr>
              <w:spacing w:before="90" w:line="195" w:lineRule="auto"/>
              <w:ind w:left="18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0.06</w:t>
            </w:r>
          </w:p>
        </w:tc>
        <w:tc>
          <w:tcPr>
            <w:tcW w:w="884" w:type="dxa"/>
            <w:vAlign w:val="top"/>
          </w:tcPr>
          <w:p w14:paraId="697F1209">
            <w:pPr>
              <w:spacing w:before="90" w:line="195" w:lineRule="auto"/>
              <w:ind w:left="21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0.583</w:t>
            </w:r>
          </w:p>
        </w:tc>
        <w:tc>
          <w:tcPr>
            <w:tcW w:w="791" w:type="dxa"/>
            <w:vAlign w:val="top"/>
          </w:tcPr>
          <w:p w14:paraId="6820D6FF">
            <w:pPr>
              <w:spacing w:before="90"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0.0596</w:t>
            </w:r>
          </w:p>
        </w:tc>
        <w:tc>
          <w:tcPr>
            <w:tcW w:w="913" w:type="dxa"/>
            <w:vAlign w:val="top"/>
          </w:tcPr>
          <w:p w14:paraId="593E1C82">
            <w:pPr>
              <w:spacing w:before="90"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0.5936</w:t>
            </w:r>
          </w:p>
        </w:tc>
      </w:tr>
      <w:tr w14:paraId="7BF8C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3F11304C">
            <w:pPr>
              <w:pStyle w:val="6"/>
              <w:spacing w:before="53" w:line="228" w:lineRule="auto"/>
              <w:ind w:left="41"/>
            </w:pPr>
            <w:r>
              <w:rPr>
                <w:spacing w:val="5"/>
              </w:rPr>
              <w:t>距原点</w:t>
            </w:r>
            <w:r>
              <w:rPr>
                <w:rFonts w:ascii="Times New Roman" w:hAnsi="Times New Roman" w:eastAsia="Times New Roman" w:cs="Times New Roman"/>
                <w:spacing w:val="5"/>
              </w:rPr>
              <w:t xml:space="preserve">-44 </w:t>
            </w:r>
            <w:r>
              <w:rPr>
                <w:spacing w:val="5"/>
              </w:rPr>
              <w:t>米</w:t>
            </w:r>
          </w:p>
        </w:tc>
        <w:tc>
          <w:tcPr>
            <w:tcW w:w="1012" w:type="dxa"/>
            <w:vAlign w:val="top"/>
          </w:tcPr>
          <w:p w14:paraId="4379E1CD">
            <w:pPr>
              <w:spacing w:before="89"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-39.65</w:t>
            </w:r>
          </w:p>
        </w:tc>
        <w:tc>
          <w:tcPr>
            <w:tcW w:w="780" w:type="dxa"/>
            <w:vAlign w:val="top"/>
          </w:tcPr>
          <w:p w14:paraId="227B7B70">
            <w:pPr>
              <w:spacing w:before="89"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0.0648</w:t>
            </w:r>
          </w:p>
        </w:tc>
        <w:tc>
          <w:tcPr>
            <w:tcW w:w="899" w:type="dxa"/>
            <w:vAlign w:val="top"/>
          </w:tcPr>
          <w:p w14:paraId="13B90B89">
            <w:pPr>
              <w:spacing w:before="89"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0.6003</w:t>
            </w:r>
          </w:p>
        </w:tc>
        <w:tc>
          <w:tcPr>
            <w:tcW w:w="780" w:type="dxa"/>
            <w:vAlign w:val="top"/>
          </w:tcPr>
          <w:p w14:paraId="0E505333">
            <w:pPr>
              <w:spacing w:before="89"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0.0624</w:t>
            </w:r>
          </w:p>
        </w:tc>
        <w:tc>
          <w:tcPr>
            <w:tcW w:w="884" w:type="dxa"/>
            <w:vAlign w:val="top"/>
          </w:tcPr>
          <w:p w14:paraId="7C6AF780">
            <w:pPr>
              <w:spacing w:before="89"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0.5939</w:t>
            </w:r>
          </w:p>
        </w:tc>
        <w:tc>
          <w:tcPr>
            <w:tcW w:w="720" w:type="dxa"/>
            <w:vAlign w:val="top"/>
          </w:tcPr>
          <w:p w14:paraId="248C5D43">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0.0622</w:t>
            </w:r>
          </w:p>
        </w:tc>
        <w:tc>
          <w:tcPr>
            <w:tcW w:w="884" w:type="dxa"/>
            <w:vAlign w:val="top"/>
          </w:tcPr>
          <w:p w14:paraId="317D9A93">
            <w:pPr>
              <w:spacing w:before="92"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0.6113</w:t>
            </w:r>
          </w:p>
        </w:tc>
        <w:tc>
          <w:tcPr>
            <w:tcW w:w="791" w:type="dxa"/>
            <w:vAlign w:val="top"/>
          </w:tcPr>
          <w:p w14:paraId="77CD8F05">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0.0619</w:t>
            </w:r>
          </w:p>
        </w:tc>
        <w:tc>
          <w:tcPr>
            <w:tcW w:w="913" w:type="dxa"/>
            <w:vAlign w:val="top"/>
          </w:tcPr>
          <w:p w14:paraId="778D456E">
            <w:pPr>
              <w:spacing w:before="92" w:line="19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0.623</w:t>
            </w:r>
          </w:p>
        </w:tc>
      </w:tr>
      <w:tr w14:paraId="35246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42" w:type="dxa"/>
            <w:vAlign w:val="top"/>
          </w:tcPr>
          <w:p w14:paraId="47388B48">
            <w:pPr>
              <w:pStyle w:val="6"/>
              <w:spacing w:before="53" w:line="228" w:lineRule="auto"/>
              <w:ind w:left="41"/>
            </w:pPr>
            <w:r>
              <w:rPr>
                <w:spacing w:val="5"/>
              </w:rPr>
              <w:t>距原点</w:t>
            </w:r>
            <w:r>
              <w:rPr>
                <w:rFonts w:ascii="Times New Roman" w:hAnsi="Times New Roman" w:eastAsia="Times New Roman" w:cs="Times New Roman"/>
                <w:spacing w:val="5"/>
              </w:rPr>
              <w:t xml:space="preserve">-43 </w:t>
            </w:r>
            <w:r>
              <w:rPr>
                <w:spacing w:val="5"/>
              </w:rPr>
              <w:t>米</w:t>
            </w:r>
          </w:p>
        </w:tc>
        <w:tc>
          <w:tcPr>
            <w:tcW w:w="1012" w:type="dxa"/>
            <w:vAlign w:val="top"/>
          </w:tcPr>
          <w:p w14:paraId="773A6D74">
            <w:pPr>
              <w:spacing w:before="89"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-38.65</w:t>
            </w:r>
          </w:p>
        </w:tc>
        <w:tc>
          <w:tcPr>
            <w:tcW w:w="780" w:type="dxa"/>
            <w:vAlign w:val="top"/>
          </w:tcPr>
          <w:p w14:paraId="48DC9E46">
            <w:pPr>
              <w:spacing w:before="89"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0.0674</w:t>
            </w:r>
          </w:p>
        </w:tc>
        <w:tc>
          <w:tcPr>
            <w:tcW w:w="899" w:type="dxa"/>
            <w:vAlign w:val="top"/>
          </w:tcPr>
          <w:p w14:paraId="1881942F">
            <w:pPr>
              <w:spacing w:before="89"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0.6297</w:t>
            </w:r>
          </w:p>
        </w:tc>
        <w:tc>
          <w:tcPr>
            <w:tcW w:w="780" w:type="dxa"/>
            <w:vAlign w:val="top"/>
          </w:tcPr>
          <w:p w14:paraId="77F88437">
            <w:pPr>
              <w:spacing w:before="89"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0.0647</w:t>
            </w:r>
          </w:p>
        </w:tc>
        <w:tc>
          <w:tcPr>
            <w:tcW w:w="884" w:type="dxa"/>
            <w:vAlign w:val="top"/>
          </w:tcPr>
          <w:p w14:paraId="0A75756D">
            <w:pPr>
              <w:spacing w:before="89"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0.6226</w:t>
            </w:r>
          </w:p>
        </w:tc>
        <w:tc>
          <w:tcPr>
            <w:tcW w:w="720" w:type="dxa"/>
            <w:vAlign w:val="top"/>
          </w:tcPr>
          <w:p w14:paraId="067513D5">
            <w:pPr>
              <w:spacing w:before="91"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0.0646</w:t>
            </w:r>
          </w:p>
        </w:tc>
        <w:tc>
          <w:tcPr>
            <w:tcW w:w="884" w:type="dxa"/>
            <w:vAlign w:val="top"/>
          </w:tcPr>
          <w:p w14:paraId="5E5125A6">
            <w:pPr>
              <w:spacing w:before="91"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0.6418</w:t>
            </w:r>
          </w:p>
        </w:tc>
        <w:tc>
          <w:tcPr>
            <w:tcW w:w="791" w:type="dxa"/>
            <w:vAlign w:val="top"/>
          </w:tcPr>
          <w:p w14:paraId="7650D52C">
            <w:pPr>
              <w:spacing w:before="91"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0.0643</w:t>
            </w:r>
          </w:p>
        </w:tc>
        <w:tc>
          <w:tcPr>
            <w:tcW w:w="913" w:type="dxa"/>
            <w:vAlign w:val="top"/>
          </w:tcPr>
          <w:p w14:paraId="2744EBC7">
            <w:pPr>
              <w:spacing w:before="91"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0.6546</w:t>
            </w:r>
          </w:p>
        </w:tc>
      </w:tr>
      <w:tr w14:paraId="672D5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522D068A">
            <w:pPr>
              <w:pStyle w:val="6"/>
              <w:spacing w:before="53" w:line="228" w:lineRule="auto"/>
              <w:ind w:left="41"/>
            </w:pPr>
            <w:r>
              <w:rPr>
                <w:spacing w:val="5"/>
              </w:rPr>
              <w:t>距原点</w:t>
            </w:r>
            <w:r>
              <w:rPr>
                <w:rFonts w:ascii="Times New Roman" w:hAnsi="Times New Roman" w:eastAsia="Times New Roman" w:cs="Times New Roman"/>
                <w:spacing w:val="5"/>
              </w:rPr>
              <w:t xml:space="preserve">-42 </w:t>
            </w:r>
            <w:r>
              <w:rPr>
                <w:spacing w:val="5"/>
              </w:rPr>
              <w:t>米</w:t>
            </w:r>
          </w:p>
        </w:tc>
        <w:tc>
          <w:tcPr>
            <w:tcW w:w="1012" w:type="dxa"/>
            <w:vAlign w:val="top"/>
          </w:tcPr>
          <w:p w14:paraId="447F87C1">
            <w:pPr>
              <w:spacing w:before="92"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-37.65</w:t>
            </w:r>
          </w:p>
        </w:tc>
        <w:tc>
          <w:tcPr>
            <w:tcW w:w="780" w:type="dxa"/>
            <w:vAlign w:val="top"/>
          </w:tcPr>
          <w:p w14:paraId="42297F5F">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0.0701</w:t>
            </w:r>
          </w:p>
        </w:tc>
        <w:tc>
          <w:tcPr>
            <w:tcW w:w="899" w:type="dxa"/>
            <w:vAlign w:val="top"/>
          </w:tcPr>
          <w:p w14:paraId="20B4A26F">
            <w:pPr>
              <w:spacing w:before="92"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0.6612</w:t>
            </w:r>
          </w:p>
        </w:tc>
        <w:tc>
          <w:tcPr>
            <w:tcW w:w="780" w:type="dxa"/>
            <w:vAlign w:val="top"/>
          </w:tcPr>
          <w:p w14:paraId="49DD570A">
            <w:pPr>
              <w:spacing w:before="92"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0.0671</w:t>
            </w:r>
          </w:p>
        </w:tc>
        <w:tc>
          <w:tcPr>
            <w:tcW w:w="884" w:type="dxa"/>
            <w:vAlign w:val="top"/>
          </w:tcPr>
          <w:p w14:paraId="77A94904">
            <w:pPr>
              <w:spacing w:before="92"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0.6534</w:t>
            </w:r>
          </w:p>
        </w:tc>
        <w:tc>
          <w:tcPr>
            <w:tcW w:w="720" w:type="dxa"/>
            <w:vAlign w:val="top"/>
          </w:tcPr>
          <w:p w14:paraId="1E45665B">
            <w:pPr>
              <w:spacing w:before="92"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0.067</w:t>
            </w:r>
          </w:p>
        </w:tc>
        <w:tc>
          <w:tcPr>
            <w:tcW w:w="884" w:type="dxa"/>
            <w:vAlign w:val="top"/>
          </w:tcPr>
          <w:p w14:paraId="3A1841B5">
            <w:pPr>
              <w:spacing w:before="92"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0.6745</w:t>
            </w:r>
          </w:p>
        </w:tc>
        <w:tc>
          <w:tcPr>
            <w:tcW w:w="791" w:type="dxa"/>
            <w:vAlign w:val="top"/>
          </w:tcPr>
          <w:p w14:paraId="099AE000">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0.0667</w:t>
            </w:r>
          </w:p>
        </w:tc>
        <w:tc>
          <w:tcPr>
            <w:tcW w:w="913" w:type="dxa"/>
            <w:vAlign w:val="top"/>
          </w:tcPr>
          <w:p w14:paraId="4BB95445">
            <w:pPr>
              <w:spacing w:before="92"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0.6887</w:t>
            </w:r>
          </w:p>
        </w:tc>
      </w:tr>
      <w:tr w14:paraId="48CCF4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04267B12">
            <w:pPr>
              <w:pStyle w:val="6"/>
              <w:spacing w:before="53" w:line="228" w:lineRule="auto"/>
              <w:ind w:left="41"/>
            </w:pPr>
            <w:r>
              <w:rPr>
                <w:spacing w:val="5"/>
              </w:rPr>
              <w:t>距原点</w:t>
            </w:r>
            <w:r>
              <w:rPr>
                <w:rFonts w:ascii="Times New Roman" w:hAnsi="Times New Roman" w:eastAsia="Times New Roman" w:cs="Times New Roman"/>
                <w:spacing w:val="5"/>
              </w:rPr>
              <w:t xml:space="preserve">-41 </w:t>
            </w:r>
            <w:r>
              <w:rPr>
                <w:spacing w:val="5"/>
              </w:rPr>
              <w:t>米</w:t>
            </w:r>
          </w:p>
        </w:tc>
        <w:tc>
          <w:tcPr>
            <w:tcW w:w="1012" w:type="dxa"/>
            <w:vAlign w:val="top"/>
          </w:tcPr>
          <w:p w14:paraId="2B8DCA2C">
            <w:pPr>
              <w:spacing w:before="91"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-36.65</w:t>
            </w:r>
          </w:p>
        </w:tc>
        <w:tc>
          <w:tcPr>
            <w:tcW w:w="780" w:type="dxa"/>
            <w:vAlign w:val="top"/>
          </w:tcPr>
          <w:p w14:paraId="197C14E0">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0.0729</w:t>
            </w:r>
          </w:p>
        </w:tc>
        <w:tc>
          <w:tcPr>
            <w:tcW w:w="899" w:type="dxa"/>
            <w:vAlign w:val="top"/>
          </w:tcPr>
          <w:p w14:paraId="60B9E582">
            <w:pPr>
              <w:spacing w:before="91"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0.695</w:t>
            </w:r>
          </w:p>
        </w:tc>
        <w:tc>
          <w:tcPr>
            <w:tcW w:w="780" w:type="dxa"/>
            <w:vAlign w:val="top"/>
          </w:tcPr>
          <w:p w14:paraId="0555C1D8">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0.0697</w:t>
            </w:r>
          </w:p>
        </w:tc>
        <w:tc>
          <w:tcPr>
            <w:tcW w:w="884" w:type="dxa"/>
            <w:vAlign w:val="top"/>
          </w:tcPr>
          <w:p w14:paraId="71CE8FA9">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0.6865</w:t>
            </w:r>
          </w:p>
        </w:tc>
        <w:tc>
          <w:tcPr>
            <w:tcW w:w="720" w:type="dxa"/>
            <w:vAlign w:val="top"/>
          </w:tcPr>
          <w:p w14:paraId="10D929D1">
            <w:pPr>
              <w:spacing w:before="91"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0.0696</w:t>
            </w:r>
          </w:p>
        </w:tc>
        <w:tc>
          <w:tcPr>
            <w:tcW w:w="884" w:type="dxa"/>
            <w:vAlign w:val="top"/>
          </w:tcPr>
          <w:p w14:paraId="29292683">
            <w:pPr>
              <w:spacing w:before="91"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0.7098</w:t>
            </w:r>
          </w:p>
        </w:tc>
        <w:tc>
          <w:tcPr>
            <w:tcW w:w="791" w:type="dxa"/>
            <w:vAlign w:val="top"/>
          </w:tcPr>
          <w:p w14:paraId="360603D4">
            <w:pPr>
              <w:spacing w:before="91"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0.0694</w:t>
            </w:r>
          </w:p>
        </w:tc>
        <w:tc>
          <w:tcPr>
            <w:tcW w:w="913" w:type="dxa"/>
            <w:vAlign w:val="top"/>
          </w:tcPr>
          <w:p w14:paraId="1687BC6B">
            <w:pPr>
              <w:spacing w:before="91"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0.7255</w:t>
            </w:r>
          </w:p>
        </w:tc>
      </w:tr>
      <w:tr w14:paraId="57DE7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7D00825D">
            <w:pPr>
              <w:pStyle w:val="6"/>
              <w:spacing w:before="52" w:line="228" w:lineRule="auto"/>
              <w:ind w:left="41"/>
            </w:pPr>
            <w:r>
              <w:rPr>
                <w:spacing w:val="5"/>
              </w:rPr>
              <w:t>距原点</w:t>
            </w:r>
            <w:r>
              <w:rPr>
                <w:rFonts w:ascii="Times New Roman" w:hAnsi="Times New Roman" w:eastAsia="Times New Roman" w:cs="Times New Roman"/>
                <w:spacing w:val="5"/>
              </w:rPr>
              <w:t xml:space="preserve">-40 </w:t>
            </w:r>
            <w:r>
              <w:rPr>
                <w:spacing w:val="5"/>
              </w:rPr>
              <w:t>米</w:t>
            </w:r>
          </w:p>
        </w:tc>
        <w:tc>
          <w:tcPr>
            <w:tcW w:w="1012" w:type="dxa"/>
            <w:vAlign w:val="top"/>
          </w:tcPr>
          <w:p w14:paraId="0E25EB03">
            <w:pPr>
              <w:spacing w:before="91"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-35.65</w:t>
            </w:r>
          </w:p>
        </w:tc>
        <w:tc>
          <w:tcPr>
            <w:tcW w:w="780" w:type="dxa"/>
            <w:vAlign w:val="top"/>
          </w:tcPr>
          <w:p w14:paraId="6F982704">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0.0759</w:t>
            </w:r>
          </w:p>
        </w:tc>
        <w:tc>
          <w:tcPr>
            <w:tcW w:w="899" w:type="dxa"/>
            <w:vAlign w:val="top"/>
          </w:tcPr>
          <w:p w14:paraId="54325BA2">
            <w:pPr>
              <w:spacing w:before="9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0.7315</w:t>
            </w:r>
          </w:p>
        </w:tc>
        <w:tc>
          <w:tcPr>
            <w:tcW w:w="780" w:type="dxa"/>
            <w:vAlign w:val="top"/>
          </w:tcPr>
          <w:p w14:paraId="31BDE7FE">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0.0723</w:t>
            </w:r>
          </w:p>
        </w:tc>
        <w:tc>
          <w:tcPr>
            <w:tcW w:w="884" w:type="dxa"/>
            <w:vAlign w:val="top"/>
          </w:tcPr>
          <w:p w14:paraId="10FB589A">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0.7221</w:t>
            </w:r>
          </w:p>
        </w:tc>
        <w:tc>
          <w:tcPr>
            <w:tcW w:w="720" w:type="dxa"/>
            <w:vAlign w:val="top"/>
          </w:tcPr>
          <w:p w14:paraId="1606D043">
            <w:pPr>
              <w:spacing w:before="91"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0.0723</w:t>
            </w:r>
          </w:p>
        </w:tc>
        <w:tc>
          <w:tcPr>
            <w:tcW w:w="884" w:type="dxa"/>
            <w:vAlign w:val="top"/>
          </w:tcPr>
          <w:p w14:paraId="2829D59E">
            <w:pPr>
              <w:spacing w:before="91"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0.7479</w:t>
            </w:r>
          </w:p>
        </w:tc>
        <w:tc>
          <w:tcPr>
            <w:tcW w:w="791" w:type="dxa"/>
            <w:vAlign w:val="top"/>
          </w:tcPr>
          <w:p w14:paraId="4F8C4869">
            <w:pPr>
              <w:spacing w:before="91"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0.0721</w:t>
            </w:r>
          </w:p>
        </w:tc>
        <w:tc>
          <w:tcPr>
            <w:tcW w:w="913" w:type="dxa"/>
            <w:vAlign w:val="top"/>
          </w:tcPr>
          <w:p w14:paraId="76BFE846">
            <w:pPr>
              <w:spacing w:before="91"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0.7653</w:t>
            </w:r>
          </w:p>
        </w:tc>
      </w:tr>
      <w:tr w14:paraId="483C0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2C51204F">
            <w:pPr>
              <w:pStyle w:val="6"/>
              <w:spacing w:before="54" w:line="228" w:lineRule="auto"/>
              <w:ind w:left="41"/>
            </w:pPr>
            <w:r>
              <w:rPr>
                <w:spacing w:val="5"/>
              </w:rPr>
              <w:t>距原点</w:t>
            </w:r>
            <w:r>
              <w:rPr>
                <w:rFonts w:ascii="Times New Roman" w:hAnsi="Times New Roman" w:eastAsia="Times New Roman" w:cs="Times New Roman"/>
                <w:spacing w:val="5"/>
              </w:rPr>
              <w:t xml:space="preserve">-39 </w:t>
            </w:r>
            <w:r>
              <w:rPr>
                <w:spacing w:val="5"/>
              </w:rPr>
              <w:t>米</w:t>
            </w:r>
          </w:p>
        </w:tc>
        <w:tc>
          <w:tcPr>
            <w:tcW w:w="1012" w:type="dxa"/>
            <w:vAlign w:val="top"/>
          </w:tcPr>
          <w:p w14:paraId="590C490A">
            <w:pPr>
              <w:spacing w:before="91"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-34.65</w:t>
            </w:r>
          </w:p>
        </w:tc>
        <w:tc>
          <w:tcPr>
            <w:tcW w:w="780" w:type="dxa"/>
            <w:vAlign w:val="top"/>
          </w:tcPr>
          <w:p w14:paraId="7B9D485A">
            <w:pPr>
              <w:spacing w:before="91" w:line="195" w:lineRule="auto"/>
              <w:ind w:left="15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0.079</w:t>
            </w:r>
          </w:p>
        </w:tc>
        <w:tc>
          <w:tcPr>
            <w:tcW w:w="899" w:type="dxa"/>
            <w:vAlign w:val="top"/>
          </w:tcPr>
          <w:p w14:paraId="26A0464E">
            <w:pPr>
              <w:spacing w:before="9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0.7709</w:t>
            </w:r>
          </w:p>
        </w:tc>
        <w:tc>
          <w:tcPr>
            <w:tcW w:w="780" w:type="dxa"/>
            <w:vAlign w:val="top"/>
          </w:tcPr>
          <w:p w14:paraId="642728DB">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0.0751</w:t>
            </w:r>
          </w:p>
        </w:tc>
        <w:tc>
          <w:tcPr>
            <w:tcW w:w="884" w:type="dxa"/>
            <w:vAlign w:val="top"/>
          </w:tcPr>
          <w:p w14:paraId="03D6DBB4">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0.7605</w:t>
            </w:r>
          </w:p>
        </w:tc>
        <w:tc>
          <w:tcPr>
            <w:tcW w:w="720" w:type="dxa"/>
            <w:vAlign w:val="top"/>
          </w:tcPr>
          <w:p w14:paraId="470B07B7">
            <w:pPr>
              <w:spacing w:before="91"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0.0751</w:t>
            </w:r>
          </w:p>
        </w:tc>
        <w:tc>
          <w:tcPr>
            <w:tcW w:w="884" w:type="dxa"/>
            <w:vAlign w:val="top"/>
          </w:tcPr>
          <w:p w14:paraId="1B33ED48">
            <w:pPr>
              <w:spacing w:before="91"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0.7891</w:t>
            </w:r>
          </w:p>
        </w:tc>
        <w:tc>
          <w:tcPr>
            <w:tcW w:w="791" w:type="dxa"/>
            <w:vAlign w:val="top"/>
          </w:tcPr>
          <w:p w14:paraId="20C516DA">
            <w:pPr>
              <w:spacing w:before="9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0.075</w:t>
            </w:r>
          </w:p>
        </w:tc>
        <w:tc>
          <w:tcPr>
            <w:tcW w:w="913" w:type="dxa"/>
            <w:vAlign w:val="top"/>
          </w:tcPr>
          <w:p w14:paraId="46CF8323">
            <w:pPr>
              <w:spacing w:before="91"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0.8085</w:t>
            </w:r>
          </w:p>
        </w:tc>
      </w:tr>
      <w:tr w14:paraId="7213F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0BCB50A1">
            <w:pPr>
              <w:pStyle w:val="6"/>
              <w:spacing w:before="54" w:line="228" w:lineRule="auto"/>
              <w:ind w:left="41"/>
            </w:pPr>
            <w:r>
              <w:rPr>
                <w:spacing w:val="5"/>
              </w:rPr>
              <w:t>距原点</w:t>
            </w:r>
            <w:r>
              <w:rPr>
                <w:rFonts w:ascii="Times New Roman" w:hAnsi="Times New Roman" w:eastAsia="Times New Roman" w:cs="Times New Roman"/>
                <w:spacing w:val="5"/>
              </w:rPr>
              <w:t xml:space="preserve">-38 </w:t>
            </w:r>
            <w:r>
              <w:rPr>
                <w:spacing w:val="5"/>
              </w:rPr>
              <w:t>米</w:t>
            </w:r>
          </w:p>
        </w:tc>
        <w:tc>
          <w:tcPr>
            <w:tcW w:w="1012" w:type="dxa"/>
            <w:vAlign w:val="top"/>
          </w:tcPr>
          <w:p w14:paraId="43BCCA30">
            <w:pPr>
              <w:spacing w:before="90"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-33.65</w:t>
            </w:r>
          </w:p>
        </w:tc>
        <w:tc>
          <w:tcPr>
            <w:tcW w:w="780" w:type="dxa"/>
            <w:vAlign w:val="top"/>
          </w:tcPr>
          <w:p w14:paraId="7C250E53">
            <w:pPr>
              <w:spacing w:before="90"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0.0823</w:t>
            </w:r>
          </w:p>
        </w:tc>
        <w:tc>
          <w:tcPr>
            <w:tcW w:w="899" w:type="dxa"/>
            <w:vAlign w:val="top"/>
          </w:tcPr>
          <w:p w14:paraId="70CDF5CC">
            <w:pPr>
              <w:spacing w:before="90"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0.8135</w:t>
            </w:r>
          </w:p>
        </w:tc>
        <w:tc>
          <w:tcPr>
            <w:tcW w:w="780" w:type="dxa"/>
            <w:vAlign w:val="top"/>
          </w:tcPr>
          <w:p w14:paraId="7C5A5215">
            <w:pPr>
              <w:spacing w:before="90"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0.078</w:t>
            </w:r>
          </w:p>
        </w:tc>
        <w:tc>
          <w:tcPr>
            <w:tcW w:w="884" w:type="dxa"/>
            <w:vAlign w:val="top"/>
          </w:tcPr>
          <w:p w14:paraId="1F80D26D">
            <w:pPr>
              <w:spacing w:before="90"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0.8019</w:t>
            </w:r>
          </w:p>
        </w:tc>
        <w:tc>
          <w:tcPr>
            <w:tcW w:w="720" w:type="dxa"/>
            <w:vAlign w:val="top"/>
          </w:tcPr>
          <w:p w14:paraId="2D1F148F">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0.0781</w:t>
            </w:r>
          </w:p>
        </w:tc>
        <w:tc>
          <w:tcPr>
            <w:tcW w:w="884" w:type="dxa"/>
            <w:vAlign w:val="top"/>
          </w:tcPr>
          <w:p w14:paraId="3DF7BDBB">
            <w:pPr>
              <w:spacing w:before="93"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0.8337</w:t>
            </w:r>
          </w:p>
        </w:tc>
        <w:tc>
          <w:tcPr>
            <w:tcW w:w="791" w:type="dxa"/>
            <w:vAlign w:val="top"/>
          </w:tcPr>
          <w:p w14:paraId="3FF54C6E">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0.0781</w:t>
            </w:r>
          </w:p>
        </w:tc>
        <w:tc>
          <w:tcPr>
            <w:tcW w:w="913" w:type="dxa"/>
            <w:vAlign w:val="top"/>
          </w:tcPr>
          <w:p w14:paraId="7CF1680C">
            <w:pPr>
              <w:spacing w:before="93"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0.8554</w:t>
            </w:r>
          </w:p>
        </w:tc>
      </w:tr>
      <w:tr w14:paraId="3701F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3E39572D">
            <w:pPr>
              <w:pStyle w:val="6"/>
              <w:spacing w:before="54" w:line="228" w:lineRule="auto"/>
              <w:ind w:left="41"/>
            </w:pPr>
            <w:r>
              <w:rPr>
                <w:spacing w:val="5"/>
              </w:rPr>
              <w:t>距原点</w:t>
            </w:r>
            <w:r>
              <w:rPr>
                <w:rFonts w:ascii="Times New Roman" w:hAnsi="Times New Roman" w:eastAsia="Times New Roman" w:cs="Times New Roman"/>
                <w:spacing w:val="5"/>
              </w:rPr>
              <w:t xml:space="preserve">-37 </w:t>
            </w:r>
            <w:r>
              <w:rPr>
                <w:spacing w:val="5"/>
              </w:rPr>
              <w:t>米</w:t>
            </w:r>
          </w:p>
        </w:tc>
        <w:tc>
          <w:tcPr>
            <w:tcW w:w="1012" w:type="dxa"/>
            <w:vAlign w:val="top"/>
          </w:tcPr>
          <w:p w14:paraId="64D89126">
            <w:pPr>
              <w:spacing w:before="90"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-32.65</w:t>
            </w:r>
          </w:p>
        </w:tc>
        <w:tc>
          <w:tcPr>
            <w:tcW w:w="780" w:type="dxa"/>
            <w:vAlign w:val="top"/>
          </w:tcPr>
          <w:p w14:paraId="2790C122">
            <w:pPr>
              <w:spacing w:before="90"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0.0857</w:t>
            </w:r>
          </w:p>
        </w:tc>
        <w:tc>
          <w:tcPr>
            <w:tcW w:w="899" w:type="dxa"/>
            <w:vAlign w:val="top"/>
          </w:tcPr>
          <w:p w14:paraId="3DAE4C32">
            <w:pPr>
              <w:spacing w:before="90"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0.8596</w:t>
            </w:r>
          </w:p>
        </w:tc>
        <w:tc>
          <w:tcPr>
            <w:tcW w:w="780" w:type="dxa"/>
            <w:vAlign w:val="top"/>
          </w:tcPr>
          <w:p w14:paraId="2651713D">
            <w:pPr>
              <w:spacing w:before="90"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0.081</w:t>
            </w:r>
          </w:p>
        </w:tc>
        <w:tc>
          <w:tcPr>
            <w:tcW w:w="884" w:type="dxa"/>
            <w:vAlign w:val="top"/>
          </w:tcPr>
          <w:p w14:paraId="1C9E0C26">
            <w:pPr>
              <w:spacing w:before="90"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0.8467</w:t>
            </w:r>
          </w:p>
        </w:tc>
        <w:tc>
          <w:tcPr>
            <w:tcW w:w="720" w:type="dxa"/>
            <w:vAlign w:val="top"/>
          </w:tcPr>
          <w:p w14:paraId="4547F11C">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0.0811</w:t>
            </w:r>
          </w:p>
        </w:tc>
        <w:tc>
          <w:tcPr>
            <w:tcW w:w="884" w:type="dxa"/>
            <w:vAlign w:val="top"/>
          </w:tcPr>
          <w:p w14:paraId="71571F30">
            <w:pPr>
              <w:spacing w:before="92"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0.8822</w:t>
            </w:r>
          </w:p>
        </w:tc>
        <w:tc>
          <w:tcPr>
            <w:tcW w:w="791" w:type="dxa"/>
            <w:vAlign w:val="top"/>
          </w:tcPr>
          <w:p w14:paraId="4307410A">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0.0813</w:t>
            </w:r>
          </w:p>
        </w:tc>
        <w:tc>
          <w:tcPr>
            <w:tcW w:w="913" w:type="dxa"/>
            <w:vAlign w:val="top"/>
          </w:tcPr>
          <w:p w14:paraId="6675D130">
            <w:pPr>
              <w:spacing w:before="92"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0.9064</w:t>
            </w:r>
          </w:p>
        </w:tc>
      </w:tr>
      <w:tr w14:paraId="7EAB0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70917173">
            <w:pPr>
              <w:pStyle w:val="6"/>
              <w:spacing w:before="53" w:line="228" w:lineRule="auto"/>
              <w:ind w:left="41"/>
            </w:pPr>
            <w:r>
              <w:rPr>
                <w:spacing w:val="5"/>
              </w:rPr>
              <w:t>距原点</w:t>
            </w:r>
            <w:r>
              <w:rPr>
                <w:rFonts w:ascii="Times New Roman" w:hAnsi="Times New Roman" w:eastAsia="Times New Roman" w:cs="Times New Roman"/>
                <w:spacing w:val="5"/>
              </w:rPr>
              <w:t xml:space="preserve">-36 </w:t>
            </w:r>
            <w:r>
              <w:rPr>
                <w:spacing w:val="5"/>
              </w:rPr>
              <w:t>米</w:t>
            </w:r>
          </w:p>
        </w:tc>
        <w:tc>
          <w:tcPr>
            <w:tcW w:w="1012" w:type="dxa"/>
            <w:vAlign w:val="top"/>
          </w:tcPr>
          <w:p w14:paraId="57E72FAF">
            <w:pPr>
              <w:spacing w:before="92"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-31.65</w:t>
            </w:r>
          </w:p>
        </w:tc>
        <w:tc>
          <w:tcPr>
            <w:tcW w:w="780" w:type="dxa"/>
            <w:vAlign w:val="top"/>
          </w:tcPr>
          <w:p w14:paraId="1A107805">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0.0894</w:t>
            </w:r>
          </w:p>
        </w:tc>
        <w:tc>
          <w:tcPr>
            <w:tcW w:w="899" w:type="dxa"/>
            <w:vAlign w:val="top"/>
          </w:tcPr>
          <w:p w14:paraId="68C91F83">
            <w:pPr>
              <w:spacing w:before="92"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0.9097</w:t>
            </w:r>
          </w:p>
        </w:tc>
        <w:tc>
          <w:tcPr>
            <w:tcW w:w="780" w:type="dxa"/>
            <w:vAlign w:val="top"/>
          </w:tcPr>
          <w:p w14:paraId="0C056C1E">
            <w:pPr>
              <w:spacing w:before="92"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0.0841</w:t>
            </w:r>
          </w:p>
        </w:tc>
        <w:tc>
          <w:tcPr>
            <w:tcW w:w="884" w:type="dxa"/>
            <w:vAlign w:val="top"/>
          </w:tcPr>
          <w:p w14:paraId="0E32D476">
            <w:pPr>
              <w:spacing w:before="92"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0.8952</w:t>
            </w:r>
          </w:p>
        </w:tc>
        <w:tc>
          <w:tcPr>
            <w:tcW w:w="720" w:type="dxa"/>
            <w:vAlign w:val="top"/>
          </w:tcPr>
          <w:p w14:paraId="7C65629D">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0.0843</w:t>
            </w:r>
          </w:p>
        </w:tc>
        <w:tc>
          <w:tcPr>
            <w:tcW w:w="884" w:type="dxa"/>
            <w:vAlign w:val="top"/>
          </w:tcPr>
          <w:p w14:paraId="61474A53">
            <w:pPr>
              <w:spacing w:before="92"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0.9349</w:t>
            </w:r>
          </w:p>
        </w:tc>
        <w:tc>
          <w:tcPr>
            <w:tcW w:w="791" w:type="dxa"/>
            <w:vAlign w:val="top"/>
          </w:tcPr>
          <w:p w14:paraId="62D8669A">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0.0846</w:t>
            </w:r>
          </w:p>
        </w:tc>
        <w:tc>
          <w:tcPr>
            <w:tcW w:w="913" w:type="dxa"/>
            <w:vAlign w:val="top"/>
          </w:tcPr>
          <w:p w14:paraId="12D6F1C4">
            <w:pPr>
              <w:spacing w:before="92"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0.9622</w:t>
            </w:r>
          </w:p>
        </w:tc>
      </w:tr>
      <w:tr w14:paraId="299FB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3F0CFB5C">
            <w:pPr>
              <w:pStyle w:val="6"/>
              <w:spacing w:before="53" w:line="228" w:lineRule="auto"/>
              <w:ind w:left="41"/>
            </w:pPr>
            <w:r>
              <w:rPr>
                <w:spacing w:val="5"/>
              </w:rPr>
              <w:t>距原点</w:t>
            </w:r>
            <w:r>
              <w:rPr>
                <w:rFonts w:ascii="Times New Roman" w:hAnsi="Times New Roman" w:eastAsia="Times New Roman" w:cs="Times New Roman"/>
                <w:spacing w:val="5"/>
              </w:rPr>
              <w:t xml:space="preserve">-35 </w:t>
            </w:r>
            <w:r>
              <w:rPr>
                <w:spacing w:val="5"/>
              </w:rPr>
              <w:t>米</w:t>
            </w:r>
          </w:p>
        </w:tc>
        <w:tc>
          <w:tcPr>
            <w:tcW w:w="1012" w:type="dxa"/>
            <w:vAlign w:val="top"/>
          </w:tcPr>
          <w:p w14:paraId="604C9744">
            <w:pPr>
              <w:spacing w:before="91"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-30.65</w:t>
            </w:r>
          </w:p>
        </w:tc>
        <w:tc>
          <w:tcPr>
            <w:tcW w:w="780" w:type="dxa"/>
            <w:vAlign w:val="top"/>
          </w:tcPr>
          <w:p w14:paraId="3502AA0B">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0.0931</w:t>
            </w:r>
          </w:p>
        </w:tc>
        <w:tc>
          <w:tcPr>
            <w:tcW w:w="899" w:type="dxa"/>
            <w:vAlign w:val="top"/>
          </w:tcPr>
          <w:p w14:paraId="146389A0">
            <w:pPr>
              <w:spacing w:before="9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0.9641</w:t>
            </w:r>
          </w:p>
        </w:tc>
        <w:tc>
          <w:tcPr>
            <w:tcW w:w="780" w:type="dxa"/>
            <w:vAlign w:val="top"/>
          </w:tcPr>
          <w:p w14:paraId="72FDDEA9">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0.0873</w:t>
            </w:r>
          </w:p>
        </w:tc>
        <w:tc>
          <w:tcPr>
            <w:tcW w:w="884" w:type="dxa"/>
            <w:vAlign w:val="top"/>
          </w:tcPr>
          <w:p w14:paraId="1FD6AADF">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0.9479</w:t>
            </w:r>
          </w:p>
        </w:tc>
        <w:tc>
          <w:tcPr>
            <w:tcW w:w="720" w:type="dxa"/>
            <w:vAlign w:val="top"/>
          </w:tcPr>
          <w:p w14:paraId="0BEB601B">
            <w:pPr>
              <w:spacing w:before="91"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0.0877</w:t>
            </w:r>
          </w:p>
        </w:tc>
        <w:tc>
          <w:tcPr>
            <w:tcW w:w="884" w:type="dxa"/>
            <w:vAlign w:val="top"/>
          </w:tcPr>
          <w:p w14:paraId="5317327A">
            <w:pPr>
              <w:spacing w:before="91"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0.9925</w:t>
            </w:r>
          </w:p>
        </w:tc>
        <w:tc>
          <w:tcPr>
            <w:tcW w:w="791" w:type="dxa"/>
            <w:vAlign w:val="top"/>
          </w:tcPr>
          <w:p w14:paraId="0C5C666E">
            <w:pPr>
              <w:spacing w:before="91"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0.0882</w:t>
            </w:r>
          </w:p>
        </w:tc>
        <w:tc>
          <w:tcPr>
            <w:tcW w:w="913" w:type="dxa"/>
            <w:vAlign w:val="top"/>
          </w:tcPr>
          <w:p w14:paraId="14B53026">
            <w:pPr>
              <w:spacing w:before="91" w:line="195" w:lineRule="auto"/>
              <w:ind w:left="190"/>
              <w:rPr>
                <w:rFonts w:ascii="Times New Roman" w:hAnsi="Times New Roman" w:eastAsia="Times New Roman" w:cs="Times New Roman"/>
                <w:sz w:val="20"/>
                <w:szCs w:val="20"/>
              </w:rPr>
            </w:pPr>
            <w:r>
              <w:rPr>
                <w:rFonts w:ascii="Times New Roman" w:hAnsi="Times New Roman" w:eastAsia="Times New Roman" w:cs="Times New Roman"/>
                <w:sz w:val="20"/>
                <w:szCs w:val="20"/>
              </w:rPr>
              <w:t>1.0231</w:t>
            </w:r>
          </w:p>
        </w:tc>
      </w:tr>
      <w:tr w14:paraId="1AF10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33F087AC">
            <w:pPr>
              <w:pStyle w:val="6"/>
              <w:spacing w:before="52" w:line="228" w:lineRule="auto"/>
              <w:ind w:left="41"/>
            </w:pPr>
            <w:r>
              <w:rPr>
                <w:spacing w:val="5"/>
              </w:rPr>
              <w:t>距原点</w:t>
            </w:r>
            <w:r>
              <w:rPr>
                <w:rFonts w:ascii="Times New Roman" w:hAnsi="Times New Roman" w:eastAsia="Times New Roman" w:cs="Times New Roman"/>
                <w:spacing w:val="5"/>
              </w:rPr>
              <w:t xml:space="preserve">-34 </w:t>
            </w:r>
            <w:r>
              <w:rPr>
                <w:spacing w:val="5"/>
              </w:rPr>
              <w:t>米</w:t>
            </w:r>
          </w:p>
        </w:tc>
        <w:tc>
          <w:tcPr>
            <w:tcW w:w="1012" w:type="dxa"/>
            <w:vAlign w:val="top"/>
          </w:tcPr>
          <w:p w14:paraId="5C00CCA3">
            <w:pPr>
              <w:spacing w:before="91"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-29.65</w:t>
            </w:r>
          </w:p>
        </w:tc>
        <w:tc>
          <w:tcPr>
            <w:tcW w:w="780" w:type="dxa"/>
            <w:vAlign w:val="top"/>
          </w:tcPr>
          <w:p w14:paraId="6D6E3565">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0.0971</w:t>
            </w:r>
          </w:p>
        </w:tc>
        <w:tc>
          <w:tcPr>
            <w:tcW w:w="899" w:type="dxa"/>
            <w:vAlign w:val="top"/>
          </w:tcPr>
          <w:p w14:paraId="2BC5DB3E">
            <w:pPr>
              <w:spacing w:before="91"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1.0234</w:t>
            </w:r>
          </w:p>
        </w:tc>
        <w:tc>
          <w:tcPr>
            <w:tcW w:w="780" w:type="dxa"/>
            <w:vAlign w:val="top"/>
          </w:tcPr>
          <w:p w14:paraId="552B6E91">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0.0905</w:t>
            </w:r>
          </w:p>
        </w:tc>
        <w:tc>
          <w:tcPr>
            <w:tcW w:w="884" w:type="dxa"/>
            <w:vAlign w:val="top"/>
          </w:tcPr>
          <w:p w14:paraId="0B30E49C">
            <w:pPr>
              <w:spacing w:before="91"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1.0052</w:t>
            </w:r>
          </w:p>
        </w:tc>
        <w:tc>
          <w:tcPr>
            <w:tcW w:w="720" w:type="dxa"/>
            <w:vAlign w:val="top"/>
          </w:tcPr>
          <w:p w14:paraId="68ED0720">
            <w:pPr>
              <w:spacing w:before="91"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0.0911</w:t>
            </w:r>
          </w:p>
        </w:tc>
        <w:tc>
          <w:tcPr>
            <w:tcW w:w="884" w:type="dxa"/>
            <w:vAlign w:val="top"/>
          </w:tcPr>
          <w:p w14:paraId="7422BACD">
            <w:pPr>
              <w:spacing w:before="91"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1.0554</w:t>
            </w:r>
          </w:p>
        </w:tc>
        <w:tc>
          <w:tcPr>
            <w:tcW w:w="791" w:type="dxa"/>
            <w:vAlign w:val="top"/>
          </w:tcPr>
          <w:p w14:paraId="61F14B1A">
            <w:pPr>
              <w:spacing w:before="91"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0.0919</w:t>
            </w:r>
          </w:p>
        </w:tc>
        <w:tc>
          <w:tcPr>
            <w:tcW w:w="913" w:type="dxa"/>
            <w:vAlign w:val="top"/>
          </w:tcPr>
          <w:p w14:paraId="1CA43CD1">
            <w:pPr>
              <w:spacing w:before="91" w:line="195"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1.09</w:t>
            </w:r>
          </w:p>
        </w:tc>
      </w:tr>
      <w:tr w14:paraId="07DAE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2224131E">
            <w:pPr>
              <w:pStyle w:val="6"/>
              <w:spacing w:before="54" w:line="228" w:lineRule="auto"/>
              <w:ind w:left="41"/>
            </w:pPr>
            <w:r>
              <w:rPr>
                <w:spacing w:val="5"/>
              </w:rPr>
              <w:t>距原点</w:t>
            </w:r>
            <w:r>
              <w:rPr>
                <w:rFonts w:ascii="Times New Roman" w:hAnsi="Times New Roman" w:eastAsia="Times New Roman" w:cs="Times New Roman"/>
                <w:spacing w:val="5"/>
              </w:rPr>
              <w:t xml:space="preserve">-33 </w:t>
            </w:r>
            <w:r>
              <w:rPr>
                <w:spacing w:val="5"/>
              </w:rPr>
              <w:t>米</w:t>
            </w:r>
          </w:p>
        </w:tc>
        <w:tc>
          <w:tcPr>
            <w:tcW w:w="1012" w:type="dxa"/>
            <w:vAlign w:val="top"/>
          </w:tcPr>
          <w:p w14:paraId="161AFD71">
            <w:pPr>
              <w:spacing w:before="91"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-28.65</w:t>
            </w:r>
          </w:p>
        </w:tc>
        <w:tc>
          <w:tcPr>
            <w:tcW w:w="780" w:type="dxa"/>
            <w:vAlign w:val="top"/>
          </w:tcPr>
          <w:p w14:paraId="2D038A28">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0.1011</w:t>
            </w:r>
          </w:p>
        </w:tc>
        <w:tc>
          <w:tcPr>
            <w:tcW w:w="899" w:type="dxa"/>
            <w:vAlign w:val="top"/>
          </w:tcPr>
          <w:p w14:paraId="1E02CC4B">
            <w:pPr>
              <w:spacing w:before="91"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1.0882</w:t>
            </w:r>
          </w:p>
        </w:tc>
        <w:tc>
          <w:tcPr>
            <w:tcW w:w="780" w:type="dxa"/>
            <w:vAlign w:val="top"/>
          </w:tcPr>
          <w:p w14:paraId="7CA638F3">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0.0939</w:t>
            </w:r>
          </w:p>
        </w:tc>
        <w:tc>
          <w:tcPr>
            <w:tcW w:w="884" w:type="dxa"/>
            <w:vAlign w:val="top"/>
          </w:tcPr>
          <w:p w14:paraId="546779A5">
            <w:pPr>
              <w:spacing w:before="91"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1.0677</w:t>
            </w:r>
          </w:p>
        </w:tc>
        <w:tc>
          <w:tcPr>
            <w:tcW w:w="720" w:type="dxa"/>
            <w:vAlign w:val="top"/>
          </w:tcPr>
          <w:p w14:paraId="309662E0">
            <w:pPr>
              <w:spacing w:before="91"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0.0947</w:t>
            </w:r>
          </w:p>
        </w:tc>
        <w:tc>
          <w:tcPr>
            <w:tcW w:w="884" w:type="dxa"/>
            <w:vAlign w:val="top"/>
          </w:tcPr>
          <w:p w14:paraId="2EC3E370">
            <w:pPr>
              <w:spacing w:before="91"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1.1243</w:t>
            </w:r>
          </w:p>
        </w:tc>
        <w:tc>
          <w:tcPr>
            <w:tcW w:w="791" w:type="dxa"/>
            <w:vAlign w:val="top"/>
          </w:tcPr>
          <w:p w14:paraId="01FEA838">
            <w:pPr>
              <w:spacing w:before="91"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0.0959</w:t>
            </w:r>
          </w:p>
        </w:tc>
        <w:tc>
          <w:tcPr>
            <w:tcW w:w="913" w:type="dxa"/>
            <w:vAlign w:val="top"/>
          </w:tcPr>
          <w:p w14:paraId="2A8C1576">
            <w:pPr>
              <w:spacing w:before="91" w:line="195" w:lineRule="auto"/>
              <w:ind w:left="190"/>
              <w:rPr>
                <w:rFonts w:ascii="Times New Roman" w:hAnsi="Times New Roman" w:eastAsia="Times New Roman" w:cs="Times New Roman"/>
                <w:sz w:val="20"/>
                <w:szCs w:val="20"/>
              </w:rPr>
            </w:pPr>
            <w:r>
              <w:rPr>
                <w:rFonts w:ascii="Times New Roman" w:hAnsi="Times New Roman" w:eastAsia="Times New Roman" w:cs="Times New Roman"/>
                <w:sz w:val="20"/>
                <w:szCs w:val="20"/>
              </w:rPr>
              <w:t>1.1637</w:t>
            </w:r>
          </w:p>
        </w:tc>
      </w:tr>
      <w:tr w14:paraId="25615B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4ABB6A9C">
            <w:pPr>
              <w:pStyle w:val="6"/>
              <w:spacing w:before="54" w:line="228" w:lineRule="auto"/>
              <w:ind w:left="41"/>
            </w:pPr>
            <w:r>
              <w:rPr>
                <w:spacing w:val="5"/>
              </w:rPr>
              <w:t>距原点</w:t>
            </w:r>
            <w:r>
              <w:rPr>
                <w:rFonts w:ascii="Times New Roman" w:hAnsi="Times New Roman" w:eastAsia="Times New Roman" w:cs="Times New Roman"/>
                <w:spacing w:val="5"/>
              </w:rPr>
              <w:t xml:space="preserve">-32 </w:t>
            </w:r>
            <w:r>
              <w:rPr>
                <w:spacing w:val="5"/>
              </w:rPr>
              <w:t>米</w:t>
            </w:r>
          </w:p>
        </w:tc>
        <w:tc>
          <w:tcPr>
            <w:tcW w:w="1012" w:type="dxa"/>
            <w:vAlign w:val="top"/>
          </w:tcPr>
          <w:p w14:paraId="23B2FC1F">
            <w:pPr>
              <w:spacing w:before="90"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-27.65</w:t>
            </w:r>
          </w:p>
        </w:tc>
        <w:tc>
          <w:tcPr>
            <w:tcW w:w="780" w:type="dxa"/>
            <w:vAlign w:val="top"/>
          </w:tcPr>
          <w:p w14:paraId="6CEA69A8">
            <w:pPr>
              <w:spacing w:before="90"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0.1054</w:t>
            </w:r>
          </w:p>
        </w:tc>
        <w:tc>
          <w:tcPr>
            <w:tcW w:w="899" w:type="dxa"/>
            <w:vAlign w:val="top"/>
          </w:tcPr>
          <w:p w14:paraId="10A730E2">
            <w:pPr>
              <w:spacing w:before="90"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1.1591</w:t>
            </w:r>
          </w:p>
        </w:tc>
        <w:tc>
          <w:tcPr>
            <w:tcW w:w="780" w:type="dxa"/>
            <w:vAlign w:val="top"/>
          </w:tcPr>
          <w:p w14:paraId="55A761E6">
            <w:pPr>
              <w:spacing w:before="90"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0.0972</w:t>
            </w:r>
          </w:p>
        </w:tc>
        <w:tc>
          <w:tcPr>
            <w:tcW w:w="884" w:type="dxa"/>
            <w:vAlign w:val="top"/>
          </w:tcPr>
          <w:p w14:paraId="111CF904">
            <w:pPr>
              <w:spacing w:before="90"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1.1359</w:t>
            </w:r>
          </w:p>
        </w:tc>
        <w:tc>
          <w:tcPr>
            <w:tcW w:w="720" w:type="dxa"/>
            <w:vAlign w:val="top"/>
          </w:tcPr>
          <w:p w14:paraId="2A2E2E2E">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0.0984</w:t>
            </w:r>
          </w:p>
        </w:tc>
        <w:tc>
          <w:tcPr>
            <w:tcW w:w="884" w:type="dxa"/>
            <w:vAlign w:val="top"/>
          </w:tcPr>
          <w:p w14:paraId="5E041B82">
            <w:pPr>
              <w:spacing w:before="93"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1.2001</w:t>
            </w:r>
          </w:p>
        </w:tc>
        <w:tc>
          <w:tcPr>
            <w:tcW w:w="791" w:type="dxa"/>
            <w:vAlign w:val="top"/>
          </w:tcPr>
          <w:p w14:paraId="1E8BC709">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0.1001</w:t>
            </w:r>
          </w:p>
        </w:tc>
        <w:tc>
          <w:tcPr>
            <w:tcW w:w="913" w:type="dxa"/>
            <w:vAlign w:val="top"/>
          </w:tcPr>
          <w:p w14:paraId="22963C0E">
            <w:pPr>
              <w:spacing w:before="93" w:line="195" w:lineRule="auto"/>
              <w:ind w:left="190"/>
              <w:rPr>
                <w:rFonts w:ascii="Times New Roman" w:hAnsi="Times New Roman" w:eastAsia="Times New Roman" w:cs="Times New Roman"/>
                <w:sz w:val="20"/>
                <w:szCs w:val="20"/>
              </w:rPr>
            </w:pPr>
            <w:r>
              <w:rPr>
                <w:rFonts w:ascii="Times New Roman" w:hAnsi="Times New Roman" w:eastAsia="Times New Roman" w:cs="Times New Roman"/>
                <w:sz w:val="20"/>
                <w:szCs w:val="20"/>
              </w:rPr>
              <w:t>1.2449</w:t>
            </w:r>
          </w:p>
        </w:tc>
      </w:tr>
      <w:tr w14:paraId="32556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4F5C86D1">
            <w:pPr>
              <w:pStyle w:val="6"/>
              <w:spacing w:before="54" w:line="228" w:lineRule="auto"/>
              <w:ind w:left="41"/>
            </w:pPr>
            <w:r>
              <w:rPr>
                <w:spacing w:val="5"/>
              </w:rPr>
              <w:t>距原点</w:t>
            </w:r>
            <w:r>
              <w:rPr>
                <w:rFonts w:ascii="Times New Roman" w:hAnsi="Times New Roman" w:eastAsia="Times New Roman" w:cs="Times New Roman"/>
                <w:spacing w:val="5"/>
              </w:rPr>
              <w:t xml:space="preserve">-31 </w:t>
            </w:r>
            <w:r>
              <w:rPr>
                <w:spacing w:val="5"/>
              </w:rPr>
              <w:t>米</w:t>
            </w:r>
          </w:p>
        </w:tc>
        <w:tc>
          <w:tcPr>
            <w:tcW w:w="1012" w:type="dxa"/>
            <w:vAlign w:val="top"/>
          </w:tcPr>
          <w:p w14:paraId="2842EFC8">
            <w:pPr>
              <w:spacing w:before="90"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-26.65</w:t>
            </w:r>
          </w:p>
        </w:tc>
        <w:tc>
          <w:tcPr>
            <w:tcW w:w="780" w:type="dxa"/>
            <w:vAlign w:val="top"/>
          </w:tcPr>
          <w:p w14:paraId="228FA730">
            <w:pPr>
              <w:spacing w:before="90"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0.1097</w:t>
            </w:r>
          </w:p>
        </w:tc>
        <w:tc>
          <w:tcPr>
            <w:tcW w:w="899" w:type="dxa"/>
            <w:vAlign w:val="top"/>
          </w:tcPr>
          <w:p w14:paraId="16458A2D">
            <w:pPr>
              <w:spacing w:before="90"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1.2369</w:t>
            </w:r>
          </w:p>
        </w:tc>
        <w:tc>
          <w:tcPr>
            <w:tcW w:w="780" w:type="dxa"/>
            <w:vAlign w:val="top"/>
          </w:tcPr>
          <w:p w14:paraId="4762573D">
            <w:pPr>
              <w:spacing w:before="90"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0.1006</w:t>
            </w:r>
          </w:p>
        </w:tc>
        <w:tc>
          <w:tcPr>
            <w:tcW w:w="884" w:type="dxa"/>
            <w:vAlign w:val="top"/>
          </w:tcPr>
          <w:p w14:paraId="2F76B6EB">
            <w:pPr>
              <w:spacing w:before="90"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1.2107</w:t>
            </w:r>
          </w:p>
        </w:tc>
        <w:tc>
          <w:tcPr>
            <w:tcW w:w="720" w:type="dxa"/>
            <w:vAlign w:val="top"/>
          </w:tcPr>
          <w:p w14:paraId="310ECC6F">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0.1021</w:t>
            </w:r>
          </w:p>
        </w:tc>
        <w:tc>
          <w:tcPr>
            <w:tcW w:w="884" w:type="dxa"/>
            <w:vAlign w:val="top"/>
          </w:tcPr>
          <w:p w14:paraId="219BA5D0">
            <w:pPr>
              <w:spacing w:before="92"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1.2836</w:t>
            </w:r>
          </w:p>
        </w:tc>
        <w:tc>
          <w:tcPr>
            <w:tcW w:w="791" w:type="dxa"/>
            <w:vAlign w:val="top"/>
          </w:tcPr>
          <w:p w14:paraId="606DE28C">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0.1045</w:t>
            </w:r>
          </w:p>
        </w:tc>
        <w:tc>
          <w:tcPr>
            <w:tcW w:w="913" w:type="dxa"/>
            <w:vAlign w:val="top"/>
          </w:tcPr>
          <w:p w14:paraId="105749A3">
            <w:pPr>
              <w:spacing w:before="92" w:line="195" w:lineRule="auto"/>
              <w:ind w:left="190"/>
              <w:rPr>
                <w:rFonts w:ascii="Times New Roman" w:hAnsi="Times New Roman" w:eastAsia="Times New Roman" w:cs="Times New Roman"/>
                <w:sz w:val="20"/>
                <w:szCs w:val="20"/>
              </w:rPr>
            </w:pPr>
            <w:r>
              <w:rPr>
                <w:rFonts w:ascii="Times New Roman" w:hAnsi="Times New Roman" w:eastAsia="Times New Roman" w:cs="Times New Roman"/>
                <w:sz w:val="20"/>
                <w:szCs w:val="20"/>
              </w:rPr>
              <w:t>1.3349</w:t>
            </w:r>
          </w:p>
        </w:tc>
      </w:tr>
      <w:tr w14:paraId="7AB94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32ED64F4">
            <w:pPr>
              <w:pStyle w:val="6"/>
              <w:spacing w:before="53" w:line="228" w:lineRule="auto"/>
              <w:ind w:left="41"/>
            </w:pPr>
            <w:r>
              <w:rPr>
                <w:spacing w:val="5"/>
              </w:rPr>
              <w:t>距原点</w:t>
            </w:r>
            <w:r>
              <w:rPr>
                <w:rFonts w:ascii="Times New Roman" w:hAnsi="Times New Roman" w:eastAsia="Times New Roman" w:cs="Times New Roman"/>
                <w:spacing w:val="5"/>
              </w:rPr>
              <w:t xml:space="preserve">-30 </w:t>
            </w:r>
            <w:r>
              <w:rPr>
                <w:spacing w:val="5"/>
              </w:rPr>
              <w:t>米</w:t>
            </w:r>
          </w:p>
        </w:tc>
        <w:tc>
          <w:tcPr>
            <w:tcW w:w="1012" w:type="dxa"/>
            <w:vAlign w:val="top"/>
          </w:tcPr>
          <w:p w14:paraId="746B3111">
            <w:pPr>
              <w:spacing w:before="92"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-25.65</w:t>
            </w:r>
          </w:p>
        </w:tc>
        <w:tc>
          <w:tcPr>
            <w:tcW w:w="780" w:type="dxa"/>
            <w:vAlign w:val="top"/>
          </w:tcPr>
          <w:p w14:paraId="4044DC2C">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1142</w:t>
            </w:r>
          </w:p>
        </w:tc>
        <w:tc>
          <w:tcPr>
            <w:tcW w:w="899" w:type="dxa"/>
            <w:vAlign w:val="top"/>
          </w:tcPr>
          <w:p w14:paraId="0906D2F7">
            <w:pPr>
              <w:spacing w:before="92"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1.3226</w:t>
            </w:r>
          </w:p>
        </w:tc>
        <w:tc>
          <w:tcPr>
            <w:tcW w:w="780" w:type="dxa"/>
            <w:vAlign w:val="top"/>
          </w:tcPr>
          <w:p w14:paraId="03E13375">
            <w:pPr>
              <w:spacing w:before="92"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0.104</w:t>
            </w:r>
          </w:p>
        </w:tc>
        <w:tc>
          <w:tcPr>
            <w:tcW w:w="884" w:type="dxa"/>
            <w:vAlign w:val="top"/>
          </w:tcPr>
          <w:p w14:paraId="53452909">
            <w:pPr>
              <w:spacing w:before="92"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1.2927</w:t>
            </w:r>
          </w:p>
        </w:tc>
        <w:tc>
          <w:tcPr>
            <w:tcW w:w="720" w:type="dxa"/>
            <w:vAlign w:val="top"/>
          </w:tcPr>
          <w:p w14:paraId="038B2A5D">
            <w:pPr>
              <w:spacing w:before="92"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0.106</w:t>
            </w:r>
          </w:p>
        </w:tc>
        <w:tc>
          <w:tcPr>
            <w:tcW w:w="884" w:type="dxa"/>
            <w:vAlign w:val="top"/>
          </w:tcPr>
          <w:p w14:paraId="53A52483">
            <w:pPr>
              <w:spacing w:before="92"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1.3759</w:t>
            </w:r>
          </w:p>
        </w:tc>
        <w:tc>
          <w:tcPr>
            <w:tcW w:w="791" w:type="dxa"/>
            <w:vAlign w:val="top"/>
          </w:tcPr>
          <w:p w14:paraId="1EB8E42B">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0.1091</w:t>
            </w:r>
          </w:p>
        </w:tc>
        <w:tc>
          <w:tcPr>
            <w:tcW w:w="913" w:type="dxa"/>
            <w:vAlign w:val="top"/>
          </w:tcPr>
          <w:p w14:paraId="6B43A459">
            <w:pPr>
              <w:spacing w:before="92" w:line="195" w:lineRule="auto"/>
              <w:ind w:left="190"/>
              <w:rPr>
                <w:rFonts w:ascii="Times New Roman" w:hAnsi="Times New Roman" w:eastAsia="Times New Roman" w:cs="Times New Roman"/>
                <w:sz w:val="20"/>
                <w:szCs w:val="20"/>
              </w:rPr>
            </w:pPr>
            <w:r>
              <w:rPr>
                <w:rFonts w:ascii="Times New Roman" w:hAnsi="Times New Roman" w:eastAsia="Times New Roman" w:cs="Times New Roman"/>
                <w:sz w:val="20"/>
                <w:szCs w:val="20"/>
              </w:rPr>
              <w:t>1.4348</w:t>
            </w:r>
          </w:p>
        </w:tc>
      </w:tr>
      <w:tr w14:paraId="6C12A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40C794C4">
            <w:pPr>
              <w:pStyle w:val="6"/>
              <w:spacing w:before="53" w:line="228" w:lineRule="auto"/>
              <w:ind w:left="41"/>
            </w:pPr>
            <w:r>
              <w:rPr>
                <w:spacing w:val="5"/>
              </w:rPr>
              <w:t>距原点</w:t>
            </w:r>
            <w:r>
              <w:rPr>
                <w:rFonts w:ascii="Times New Roman" w:hAnsi="Times New Roman" w:eastAsia="Times New Roman" w:cs="Times New Roman"/>
                <w:spacing w:val="5"/>
              </w:rPr>
              <w:t xml:space="preserve">-29 </w:t>
            </w:r>
            <w:r>
              <w:rPr>
                <w:spacing w:val="5"/>
              </w:rPr>
              <w:t>米</w:t>
            </w:r>
          </w:p>
        </w:tc>
        <w:tc>
          <w:tcPr>
            <w:tcW w:w="1012" w:type="dxa"/>
            <w:vAlign w:val="top"/>
          </w:tcPr>
          <w:p w14:paraId="40CB418E">
            <w:pPr>
              <w:spacing w:before="91"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-24.65</w:t>
            </w:r>
          </w:p>
        </w:tc>
        <w:tc>
          <w:tcPr>
            <w:tcW w:w="780" w:type="dxa"/>
            <w:vAlign w:val="top"/>
          </w:tcPr>
          <w:p w14:paraId="45A504DB">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0.1187</w:t>
            </w:r>
          </w:p>
        </w:tc>
        <w:tc>
          <w:tcPr>
            <w:tcW w:w="899" w:type="dxa"/>
            <w:vAlign w:val="top"/>
          </w:tcPr>
          <w:p w14:paraId="45562155">
            <w:pPr>
              <w:spacing w:before="91"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1.4171</w:t>
            </w:r>
          </w:p>
        </w:tc>
        <w:tc>
          <w:tcPr>
            <w:tcW w:w="780" w:type="dxa"/>
            <w:vAlign w:val="top"/>
          </w:tcPr>
          <w:p w14:paraId="23931386">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0.1073</w:t>
            </w:r>
          </w:p>
        </w:tc>
        <w:tc>
          <w:tcPr>
            <w:tcW w:w="884" w:type="dxa"/>
            <w:vAlign w:val="top"/>
          </w:tcPr>
          <w:p w14:paraId="68CC2A94">
            <w:pPr>
              <w:spacing w:before="91"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1.3829</w:t>
            </w:r>
          </w:p>
        </w:tc>
        <w:tc>
          <w:tcPr>
            <w:tcW w:w="720" w:type="dxa"/>
            <w:vAlign w:val="top"/>
          </w:tcPr>
          <w:p w14:paraId="64766B19">
            <w:pPr>
              <w:spacing w:before="91"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0.1099</w:t>
            </w:r>
          </w:p>
        </w:tc>
        <w:tc>
          <w:tcPr>
            <w:tcW w:w="884" w:type="dxa"/>
            <w:vAlign w:val="top"/>
          </w:tcPr>
          <w:p w14:paraId="5528B1F7">
            <w:pPr>
              <w:spacing w:before="91"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1.4783</w:t>
            </w:r>
          </w:p>
        </w:tc>
        <w:tc>
          <w:tcPr>
            <w:tcW w:w="791" w:type="dxa"/>
            <w:vAlign w:val="top"/>
          </w:tcPr>
          <w:p w14:paraId="41F84880">
            <w:pPr>
              <w:spacing w:before="91"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1141</w:t>
            </w:r>
          </w:p>
        </w:tc>
        <w:tc>
          <w:tcPr>
            <w:tcW w:w="913" w:type="dxa"/>
            <w:vAlign w:val="top"/>
          </w:tcPr>
          <w:p w14:paraId="3D606031">
            <w:pPr>
              <w:spacing w:before="91" w:line="195" w:lineRule="auto"/>
              <w:ind w:left="190"/>
              <w:rPr>
                <w:rFonts w:ascii="Times New Roman" w:hAnsi="Times New Roman" w:eastAsia="Times New Roman" w:cs="Times New Roman"/>
                <w:sz w:val="20"/>
                <w:szCs w:val="20"/>
              </w:rPr>
            </w:pPr>
            <w:r>
              <w:rPr>
                <w:rFonts w:ascii="Times New Roman" w:hAnsi="Times New Roman" w:eastAsia="Times New Roman" w:cs="Times New Roman"/>
                <w:sz w:val="20"/>
                <w:szCs w:val="20"/>
              </w:rPr>
              <w:t>1.5463</w:t>
            </w:r>
          </w:p>
        </w:tc>
      </w:tr>
      <w:tr w14:paraId="770ADA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1C40722F">
            <w:pPr>
              <w:pStyle w:val="6"/>
              <w:spacing w:before="52" w:line="228" w:lineRule="auto"/>
              <w:ind w:left="41"/>
            </w:pPr>
            <w:r>
              <w:rPr>
                <w:spacing w:val="5"/>
              </w:rPr>
              <w:t>距原点</w:t>
            </w:r>
            <w:r>
              <w:rPr>
                <w:rFonts w:ascii="Times New Roman" w:hAnsi="Times New Roman" w:eastAsia="Times New Roman" w:cs="Times New Roman"/>
                <w:spacing w:val="5"/>
              </w:rPr>
              <w:t xml:space="preserve">-28 </w:t>
            </w:r>
            <w:r>
              <w:rPr>
                <w:spacing w:val="5"/>
              </w:rPr>
              <w:t>米</w:t>
            </w:r>
          </w:p>
        </w:tc>
        <w:tc>
          <w:tcPr>
            <w:tcW w:w="1012" w:type="dxa"/>
            <w:vAlign w:val="top"/>
          </w:tcPr>
          <w:p w14:paraId="5FDCCFCB">
            <w:pPr>
              <w:spacing w:before="91"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-23.65</w:t>
            </w:r>
          </w:p>
        </w:tc>
        <w:tc>
          <w:tcPr>
            <w:tcW w:w="780" w:type="dxa"/>
            <w:vAlign w:val="top"/>
          </w:tcPr>
          <w:p w14:paraId="105ED49E">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0.1232</w:t>
            </w:r>
          </w:p>
        </w:tc>
        <w:tc>
          <w:tcPr>
            <w:tcW w:w="899" w:type="dxa"/>
            <w:vAlign w:val="top"/>
          </w:tcPr>
          <w:p w14:paraId="13563F27">
            <w:pPr>
              <w:spacing w:before="91"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1.5217</w:t>
            </w:r>
          </w:p>
        </w:tc>
        <w:tc>
          <w:tcPr>
            <w:tcW w:w="780" w:type="dxa"/>
            <w:vAlign w:val="top"/>
          </w:tcPr>
          <w:p w14:paraId="0EF9DA4F">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0.1104</w:t>
            </w:r>
          </w:p>
        </w:tc>
        <w:tc>
          <w:tcPr>
            <w:tcW w:w="884" w:type="dxa"/>
            <w:vAlign w:val="top"/>
          </w:tcPr>
          <w:p w14:paraId="121E819A">
            <w:pPr>
              <w:spacing w:before="91"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1.4824</w:t>
            </w:r>
          </w:p>
        </w:tc>
        <w:tc>
          <w:tcPr>
            <w:tcW w:w="720" w:type="dxa"/>
            <w:vAlign w:val="top"/>
          </w:tcPr>
          <w:p w14:paraId="3DFEE35E">
            <w:pPr>
              <w:spacing w:before="91"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0.1139</w:t>
            </w:r>
          </w:p>
        </w:tc>
        <w:tc>
          <w:tcPr>
            <w:tcW w:w="884" w:type="dxa"/>
            <w:vAlign w:val="top"/>
          </w:tcPr>
          <w:p w14:paraId="72CE05C0">
            <w:pPr>
              <w:spacing w:before="91"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1.5923</w:t>
            </w:r>
          </w:p>
        </w:tc>
        <w:tc>
          <w:tcPr>
            <w:tcW w:w="791" w:type="dxa"/>
            <w:vAlign w:val="top"/>
          </w:tcPr>
          <w:p w14:paraId="3308CE10">
            <w:pPr>
              <w:spacing w:before="91"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0.1193</w:t>
            </w:r>
          </w:p>
        </w:tc>
        <w:tc>
          <w:tcPr>
            <w:tcW w:w="913" w:type="dxa"/>
            <w:vAlign w:val="top"/>
          </w:tcPr>
          <w:p w14:paraId="25979017">
            <w:pPr>
              <w:spacing w:before="91" w:line="195" w:lineRule="auto"/>
              <w:ind w:left="2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1.671</w:t>
            </w:r>
          </w:p>
        </w:tc>
      </w:tr>
      <w:tr w14:paraId="1F69E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3A464818">
            <w:pPr>
              <w:pStyle w:val="6"/>
              <w:spacing w:before="54" w:line="228" w:lineRule="auto"/>
              <w:ind w:left="41"/>
            </w:pPr>
            <w:r>
              <w:rPr>
                <w:spacing w:val="5"/>
              </w:rPr>
              <w:t>距原点</w:t>
            </w:r>
            <w:r>
              <w:rPr>
                <w:rFonts w:ascii="Times New Roman" w:hAnsi="Times New Roman" w:eastAsia="Times New Roman" w:cs="Times New Roman"/>
                <w:spacing w:val="5"/>
              </w:rPr>
              <w:t xml:space="preserve">-27 </w:t>
            </w:r>
            <w:r>
              <w:rPr>
                <w:spacing w:val="5"/>
              </w:rPr>
              <w:t>米</w:t>
            </w:r>
          </w:p>
        </w:tc>
        <w:tc>
          <w:tcPr>
            <w:tcW w:w="1012" w:type="dxa"/>
            <w:vAlign w:val="top"/>
          </w:tcPr>
          <w:p w14:paraId="33FB6201">
            <w:pPr>
              <w:spacing w:before="91"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-22.65</w:t>
            </w:r>
          </w:p>
        </w:tc>
        <w:tc>
          <w:tcPr>
            <w:tcW w:w="780" w:type="dxa"/>
            <w:vAlign w:val="top"/>
          </w:tcPr>
          <w:p w14:paraId="42F63DCE">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0.1277</w:t>
            </w:r>
          </w:p>
        </w:tc>
        <w:tc>
          <w:tcPr>
            <w:tcW w:w="899" w:type="dxa"/>
            <w:vAlign w:val="top"/>
          </w:tcPr>
          <w:p w14:paraId="0BEF1C94">
            <w:pPr>
              <w:spacing w:before="91"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1.6377</w:t>
            </w:r>
          </w:p>
        </w:tc>
        <w:tc>
          <w:tcPr>
            <w:tcW w:w="780" w:type="dxa"/>
            <w:vAlign w:val="top"/>
          </w:tcPr>
          <w:p w14:paraId="3AD8E1D7">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0.1132</w:t>
            </w:r>
          </w:p>
        </w:tc>
        <w:tc>
          <w:tcPr>
            <w:tcW w:w="884" w:type="dxa"/>
            <w:vAlign w:val="top"/>
          </w:tcPr>
          <w:p w14:paraId="50580DF2">
            <w:pPr>
              <w:spacing w:before="91"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1.5924</w:t>
            </w:r>
          </w:p>
        </w:tc>
        <w:tc>
          <w:tcPr>
            <w:tcW w:w="720" w:type="dxa"/>
            <w:vAlign w:val="top"/>
          </w:tcPr>
          <w:p w14:paraId="1DB23319">
            <w:pPr>
              <w:spacing w:before="91"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0.1179</w:t>
            </w:r>
          </w:p>
        </w:tc>
        <w:tc>
          <w:tcPr>
            <w:tcW w:w="884" w:type="dxa"/>
            <w:vAlign w:val="top"/>
          </w:tcPr>
          <w:p w14:paraId="5B67A962">
            <w:pPr>
              <w:spacing w:before="91"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1.7195</w:t>
            </w:r>
          </w:p>
        </w:tc>
        <w:tc>
          <w:tcPr>
            <w:tcW w:w="791" w:type="dxa"/>
            <w:vAlign w:val="top"/>
          </w:tcPr>
          <w:p w14:paraId="2E9062D3">
            <w:pPr>
              <w:spacing w:before="9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0.125</w:t>
            </w:r>
          </w:p>
        </w:tc>
        <w:tc>
          <w:tcPr>
            <w:tcW w:w="913" w:type="dxa"/>
            <w:vAlign w:val="top"/>
          </w:tcPr>
          <w:p w14:paraId="6A7AD87B">
            <w:pPr>
              <w:spacing w:before="91" w:line="195" w:lineRule="auto"/>
              <w:ind w:left="190"/>
              <w:rPr>
                <w:rFonts w:ascii="Times New Roman" w:hAnsi="Times New Roman" w:eastAsia="Times New Roman" w:cs="Times New Roman"/>
                <w:sz w:val="20"/>
                <w:szCs w:val="20"/>
              </w:rPr>
            </w:pPr>
            <w:r>
              <w:rPr>
                <w:rFonts w:ascii="Times New Roman" w:hAnsi="Times New Roman" w:eastAsia="Times New Roman" w:cs="Times New Roman"/>
                <w:sz w:val="20"/>
                <w:szCs w:val="20"/>
              </w:rPr>
              <w:t>1.8113</w:t>
            </w:r>
          </w:p>
        </w:tc>
      </w:tr>
      <w:tr w14:paraId="020EC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2E5117E2">
            <w:pPr>
              <w:pStyle w:val="6"/>
              <w:spacing w:before="54" w:line="228" w:lineRule="auto"/>
              <w:ind w:left="41"/>
            </w:pPr>
            <w:r>
              <w:rPr>
                <w:spacing w:val="5"/>
              </w:rPr>
              <w:t>距原点</w:t>
            </w:r>
            <w:r>
              <w:rPr>
                <w:rFonts w:ascii="Times New Roman" w:hAnsi="Times New Roman" w:eastAsia="Times New Roman" w:cs="Times New Roman"/>
                <w:spacing w:val="5"/>
              </w:rPr>
              <w:t xml:space="preserve">-26 </w:t>
            </w:r>
            <w:r>
              <w:rPr>
                <w:spacing w:val="5"/>
              </w:rPr>
              <w:t>米</w:t>
            </w:r>
          </w:p>
        </w:tc>
        <w:tc>
          <w:tcPr>
            <w:tcW w:w="1012" w:type="dxa"/>
            <w:vAlign w:val="top"/>
          </w:tcPr>
          <w:p w14:paraId="1F8625FD">
            <w:pPr>
              <w:spacing w:before="90"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-21.65</w:t>
            </w:r>
          </w:p>
        </w:tc>
        <w:tc>
          <w:tcPr>
            <w:tcW w:w="780" w:type="dxa"/>
            <w:vAlign w:val="top"/>
          </w:tcPr>
          <w:p w14:paraId="359F0B26">
            <w:pPr>
              <w:spacing w:before="90" w:line="195" w:lineRule="auto"/>
              <w:ind w:left="15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0.132</w:t>
            </w:r>
          </w:p>
        </w:tc>
        <w:tc>
          <w:tcPr>
            <w:tcW w:w="899" w:type="dxa"/>
            <w:vAlign w:val="top"/>
          </w:tcPr>
          <w:p w14:paraId="7EDBFAB3">
            <w:pPr>
              <w:spacing w:before="90"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1.7669</w:t>
            </w:r>
          </w:p>
        </w:tc>
        <w:tc>
          <w:tcPr>
            <w:tcW w:w="780" w:type="dxa"/>
            <w:vAlign w:val="top"/>
          </w:tcPr>
          <w:p w14:paraId="6709B65F">
            <w:pPr>
              <w:spacing w:before="90"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0.1157</w:t>
            </w:r>
          </w:p>
        </w:tc>
        <w:tc>
          <w:tcPr>
            <w:tcW w:w="884" w:type="dxa"/>
            <w:vAlign w:val="top"/>
          </w:tcPr>
          <w:p w14:paraId="14896AF7">
            <w:pPr>
              <w:spacing w:before="90"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1.7145</w:t>
            </w:r>
          </w:p>
        </w:tc>
        <w:tc>
          <w:tcPr>
            <w:tcW w:w="720" w:type="dxa"/>
            <w:vAlign w:val="top"/>
          </w:tcPr>
          <w:p w14:paraId="3A0EE252">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0.1218</w:t>
            </w:r>
          </w:p>
        </w:tc>
        <w:tc>
          <w:tcPr>
            <w:tcW w:w="884" w:type="dxa"/>
            <w:vAlign w:val="top"/>
          </w:tcPr>
          <w:p w14:paraId="18E03FB0">
            <w:pPr>
              <w:spacing w:before="93"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1.8621</w:t>
            </w:r>
          </w:p>
        </w:tc>
        <w:tc>
          <w:tcPr>
            <w:tcW w:w="791" w:type="dxa"/>
            <w:vAlign w:val="top"/>
          </w:tcPr>
          <w:p w14:paraId="253462EE">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0.1311</w:t>
            </w:r>
          </w:p>
        </w:tc>
        <w:tc>
          <w:tcPr>
            <w:tcW w:w="913" w:type="dxa"/>
            <w:vAlign w:val="top"/>
          </w:tcPr>
          <w:p w14:paraId="4D0427A1">
            <w:pPr>
              <w:spacing w:before="93" w:line="195" w:lineRule="auto"/>
              <w:ind w:left="190"/>
              <w:rPr>
                <w:rFonts w:ascii="Times New Roman" w:hAnsi="Times New Roman" w:eastAsia="Times New Roman" w:cs="Times New Roman"/>
                <w:sz w:val="20"/>
                <w:szCs w:val="20"/>
              </w:rPr>
            </w:pPr>
            <w:r>
              <w:rPr>
                <w:rFonts w:ascii="Times New Roman" w:hAnsi="Times New Roman" w:eastAsia="Times New Roman" w:cs="Times New Roman"/>
                <w:sz w:val="20"/>
                <w:szCs w:val="20"/>
              </w:rPr>
              <w:t>1.9696</w:t>
            </w:r>
          </w:p>
        </w:tc>
      </w:tr>
      <w:tr w14:paraId="51AC92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57FD2516">
            <w:pPr>
              <w:pStyle w:val="6"/>
              <w:spacing w:before="54" w:line="228" w:lineRule="auto"/>
              <w:ind w:left="41"/>
            </w:pPr>
            <w:r>
              <w:rPr>
                <w:spacing w:val="5"/>
              </w:rPr>
              <w:t>距原点</w:t>
            </w:r>
            <w:r>
              <w:rPr>
                <w:rFonts w:ascii="Times New Roman" w:hAnsi="Times New Roman" w:eastAsia="Times New Roman" w:cs="Times New Roman"/>
                <w:spacing w:val="5"/>
              </w:rPr>
              <w:t xml:space="preserve">-25 </w:t>
            </w:r>
            <w:r>
              <w:rPr>
                <w:spacing w:val="5"/>
              </w:rPr>
              <w:t>米</w:t>
            </w:r>
          </w:p>
        </w:tc>
        <w:tc>
          <w:tcPr>
            <w:tcW w:w="1012" w:type="dxa"/>
            <w:vAlign w:val="top"/>
          </w:tcPr>
          <w:p w14:paraId="6197D398">
            <w:pPr>
              <w:spacing w:before="90"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-20.65</w:t>
            </w:r>
          </w:p>
        </w:tc>
        <w:tc>
          <w:tcPr>
            <w:tcW w:w="780" w:type="dxa"/>
            <w:vAlign w:val="top"/>
          </w:tcPr>
          <w:p w14:paraId="22602D0E">
            <w:pPr>
              <w:spacing w:before="90" w:line="195" w:lineRule="auto"/>
              <w:ind w:left="15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0.136</w:t>
            </w:r>
          </w:p>
        </w:tc>
        <w:tc>
          <w:tcPr>
            <w:tcW w:w="899" w:type="dxa"/>
            <w:vAlign w:val="top"/>
          </w:tcPr>
          <w:p w14:paraId="706D4E24">
            <w:pPr>
              <w:spacing w:before="90"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1.9112</w:t>
            </w:r>
          </w:p>
        </w:tc>
        <w:tc>
          <w:tcPr>
            <w:tcW w:w="780" w:type="dxa"/>
            <w:vAlign w:val="top"/>
          </w:tcPr>
          <w:p w14:paraId="0976CE5F">
            <w:pPr>
              <w:spacing w:before="90"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0.1176</w:t>
            </w:r>
          </w:p>
        </w:tc>
        <w:tc>
          <w:tcPr>
            <w:tcW w:w="884" w:type="dxa"/>
            <w:vAlign w:val="top"/>
          </w:tcPr>
          <w:p w14:paraId="317D71D0">
            <w:pPr>
              <w:spacing w:before="90"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1.8502</w:t>
            </w:r>
          </w:p>
        </w:tc>
        <w:tc>
          <w:tcPr>
            <w:tcW w:w="720" w:type="dxa"/>
            <w:vAlign w:val="top"/>
          </w:tcPr>
          <w:p w14:paraId="0B951177">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0.1257</w:t>
            </w:r>
          </w:p>
        </w:tc>
        <w:tc>
          <w:tcPr>
            <w:tcW w:w="884" w:type="dxa"/>
            <w:vAlign w:val="top"/>
          </w:tcPr>
          <w:p w14:paraId="4B0F6509">
            <w:pPr>
              <w:spacing w:before="92"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2.0225</w:t>
            </w:r>
          </w:p>
        </w:tc>
        <w:tc>
          <w:tcPr>
            <w:tcW w:w="791" w:type="dxa"/>
            <w:vAlign w:val="top"/>
          </w:tcPr>
          <w:p w14:paraId="100881FB">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0.1378</w:t>
            </w:r>
          </w:p>
        </w:tc>
        <w:tc>
          <w:tcPr>
            <w:tcW w:w="913" w:type="dxa"/>
            <w:vAlign w:val="top"/>
          </w:tcPr>
          <w:p w14:paraId="72CF959A">
            <w:pPr>
              <w:spacing w:before="92"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2.1494</w:t>
            </w:r>
          </w:p>
        </w:tc>
      </w:tr>
      <w:tr w14:paraId="5F169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1F1B5333">
            <w:pPr>
              <w:pStyle w:val="6"/>
              <w:spacing w:before="53" w:line="228" w:lineRule="auto"/>
              <w:ind w:left="41"/>
            </w:pPr>
            <w:r>
              <w:rPr>
                <w:spacing w:val="5"/>
              </w:rPr>
              <w:t>距原点</w:t>
            </w:r>
            <w:r>
              <w:rPr>
                <w:rFonts w:ascii="Times New Roman" w:hAnsi="Times New Roman" w:eastAsia="Times New Roman" w:cs="Times New Roman"/>
                <w:spacing w:val="5"/>
              </w:rPr>
              <w:t xml:space="preserve">-24 </w:t>
            </w:r>
            <w:r>
              <w:rPr>
                <w:spacing w:val="5"/>
              </w:rPr>
              <w:t>米</w:t>
            </w:r>
          </w:p>
        </w:tc>
        <w:tc>
          <w:tcPr>
            <w:tcW w:w="1012" w:type="dxa"/>
            <w:vAlign w:val="top"/>
          </w:tcPr>
          <w:p w14:paraId="4376334D">
            <w:pPr>
              <w:spacing w:before="92"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1"/>
                <w:sz w:val="20"/>
                <w:szCs w:val="20"/>
              </w:rPr>
              <w:t>19.65</w:t>
            </w:r>
          </w:p>
        </w:tc>
        <w:tc>
          <w:tcPr>
            <w:tcW w:w="780" w:type="dxa"/>
            <w:vAlign w:val="top"/>
          </w:tcPr>
          <w:p w14:paraId="6A33B0FD">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0.1396</w:t>
            </w:r>
          </w:p>
        </w:tc>
        <w:tc>
          <w:tcPr>
            <w:tcW w:w="899" w:type="dxa"/>
            <w:vAlign w:val="top"/>
          </w:tcPr>
          <w:p w14:paraId="3D3C70BF">
            <w:pPr>
              <w:spacing w:before="92" w:line="195" w:lineRule="auto"/>
              <w:ind w:left="16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2.0729</w:t>
            </w:r>
          </w:p>
        </w:tc>
        <w:tc>
          <w:tcPr>
            <w:tcW w:w="780" w:type="dxa"/>
            <w:vAlign w:val="top"/>
          </w:tcPr>
          <w:p w14:paraId="0E404561">
            <w:pPr>
              <w:spacing w:before="92"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0.1187</w:t>
            </w:r>
          </w:p>
        </w:tc>
        <w:tc>
          <w:tcPr>
            <w:tcW w:w="884" w:type="dxa"/>
            <w:vAlign w:val="top"/>
          </w:tcPr>
          <w:p w14:paraId="5B79E80B">
            <w:pPr>
              <w:spacing w:before="92" w:line="195" w:lineRule="auto"/>
              <w:ind w:left="1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2.0016</w:t>
            </w:r>
          </w:p>
        </w:tc>
        <w:tc>
          <w:tcPr>
            <w:tcW w:w="720" w:type="dxa"/>
            <w:vAlign w:val="top"/>
          </w:tcPr>
          <w:p w14:paraId="6005E54C">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0.1295</w:t>
            </w:r>
          </w:p>
        </w:tc>
        <w:tc>
          <w:tcPr>
            <w:tcW w:w="884" w:type="dxa"/>
            <w:vAlign w:val="top"/>
          </w:tcPr>
          <w:p w14:paraId="5FC3B6C5">
            <w:pPr>
              <w:spacing w:before="92"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2.2039</w:t>
            </w:r>
          </w:p>
        </w:tc>
        <w:tc>
          <w:tcPr>
            <w:tcW w:w="791" w:type="dxa"/>
            <w:vAlign w:val="top"/>
          </w:tcPr>
          <w:p w14:paraId="133602B2">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0.1451</w:t>
            </w:r>
          </w:p>
        </w:tc>
        <w:tc>
          <w:tcPr>
            <w:tcW w:w="913" w:type="dxa"/>
            <w:vAlign w:val="top"/>
          </w:tcPr>
          <w:p w14:paraId="7325B4A6">
            <w:pPr>
              <w:spacing w:before="92"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2.3543</w:t>
            </w:r>
          </w:p>
        </w:tc>
      </w:tr>
      <w:tr w14:paraId="42DA4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6D2E3635">
            <w:pPr>
              <w:pStyle w:val="6"/>
              <w:spacing w:before="53" w:line="228" w:lineRule="auto"/>
              <w:ind w:left="41"/>
            </w:pPr>
            <w:r>
              <w:rPr>
                <w:spacing w:val="5"/>
              </w:rPr>
              <w:t>距原点</w:t>
            </w:r>
            <w:r>
              <w:rPr>
                <w:rFonts w:ascii="Times New Roman" w:hAnsi="Times New Roman" w:eastAsia="Times New Roman" w:cs="Times New Roman"/>
                <w:spacing w:val="5"/>
              </w:rPr>
              <w:t xml:space="preserve">-23 </w:t>
            </w:r>
            <w:r>
              <w:rPr>
                <w:spacing w:val="5"/>
              </w:rPr>
              <w:t>米</w:t>
            </w:r>
          </w:p>
        </w:tc>
        <w:tc>
          <w:tcPr>
            <w:tcW w:w="1012" w:type="dxa"/>
            <w:vAlign w:val="top"/>
          </w:tcPr>
          <w:p w14:paraId="379FCD79">
            <w:pPr>
              <w:spacing w:before="91"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1"/>
                <w:sz w:val="20"/>
                <w:szCs w:val="20"/>
              </w:rPr>
              <w:t>18.65</w:t>
            </w:r>
          </w:p>
        </w:tc>
        <w:tc>
          <w:tcPr>
            <w:tcW w:w="780" w:type="dxa"/>
            <w:vAlign w:val="top"/>
          </w:tcPr>
          <w:p w14:paraId="763395D2">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0.1425</w:t>
            </w:r>
          </w:p>
        </w:tc>
        <w:tc>
          <w:tcPr>
            <w:tcW w:w="899" w:type="dxa"/>
            <w:vAlign w:val="top"/>
          </w:tcPr>
          <w:p w14:paraId="5486DC33">
            <w:pPr>
              <w:spacing w:before="91" w:line="195" w:lineRule="auto"/>
              <w:ind w:left="16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2.2548</w:t>
            </w:r>
          </w:p>
        </w:tc>
        <w:tc>
          <w:tcPr>
            <w:tcW w:w="780" w:type="dxa"/>
            <w:vAlign w:val="top"/>
          </w:tcPr>
          <w:p w14:paraId="7ED8DA60">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0.1189</w:t>
            </w:r>
          </w:p>
        </w:tc>
        <w:tc>
          <w:tcPr>
            <w:tcW w:w="884" w:type="dxa"/>
            <w:vAlign w:val="top"/>
          </w:tcPr>
          <w:p w14:paraId="0D643730">
            <w:pPr>
              <w:spacing w:before="91" w:line="195" w:lineRule="auto"/>
              <w:ind w:left="2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2.171</w:t>
            </w:r>
          </w:p>
        </w:tc>
        <w:tc>
          <w:tcPr>
            <w:tcW w:w="720" w:type="dxa"/>
            <w:vAlign w:val="top"/>
          </w:tcPr>
          <w:p w14:paraId="5AE14692">
            <w:pPr>
              <w:spacing w:before="91"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0.1332</w:t>
            </w:r>
          </w:p>
        </w:tc>
        <w:tc>
          <w:tcPr>
            <w:tcW w:w="884" w:type="dxa"/>
            <w:vAlign w:val="top"/>
          </w:tcPr>
          <w:p w14:paraId="334476C3">
            <w:pPr>
              <w:spacing w:before="91"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2.4097</w:t>
            </w:r>
          </w:p>
        </w:tc>
        <w:tc>
          <w:tcPr>
            <w:tcW w:w="791" w:type="dxa"/>
            <w:vAlign w:val="top"/>
          </w:tcPr>
          <w:p w14:paraId="629809CC">
            <w:pPr>
              <w:spacing w:before="91"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0.1535</w:t>
            </w:r>
          </w:p>
        </w:tc>
        <w:tc>
          <w:tcPr>
            <w:tcW w:w="913" w:type="dxa"/>
            <w:vAlign w:val="top"/>
          </w:tcPr>
          <w:p w14:paraId="3069BC3D">
            <w:pPr>
              <w:spacing w:before="91"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2.5895</w:t>
            </w:r>
          </w:p>
        </w:tc>
      </w:tr>
      <w:tr w14:paraId="33894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242" w:type="dxa"/>
            <w:vAlign w:val="top"/>
          </w:tcPr>
          <w:p w14:paraId="3056BC42">
            <w:pPr>
              <w:pStyle w:val="6"/>
              <w:spacing w:before="52" w:line="228" w:lineRule="auto"/>
              <w:ind w:left="41"/>
            </w:pPr>
            <w:r>
              <w:rPr>
                <w:spacing w:val="5"/>
              </w:rPr>
              <w:t>距原点</w:t>
            </w:r>
            <w:r>
              <w:rPr>
                <w:rFonts w:ascii="Times New Roman" w:hAnsi="Times New Roman" w:eastAsia="Times New Roman" w:cs="Times New Roman"/>
                <w:spacing w:val="5"/>
              </w:rPr>
              <w:t xml:space="preserve">-22 </w:t>
            </w:r>
            <w:r>
              <w:rPr>
                <w:spacing w:val="5"/>
              </w:rPr>
              <w:t>米</w:t>
            </w:r>
          </w:p>
        </w:tc>
        <w:tc>
          <w:tcPr>
            <w:tcW w:w="1012" w:type="dxa"/>
            <w:vAlign w:val="top"/>
          </w:tcPr>
          <w:p w14:paraId="7F723568">
            <w:pPr>
              <w:spacing w:before="91"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1"/>
                <w:sz w:val="20"/>
                <w:szCs w:val="20"/>
              </w:rPr>
              <w:t>17.65</w:t>
            </w:r>
          </w:p>
        </w:tc>
        <w:tc>
          <w:tcPr>
            <w:tcW w:w="780" w:type="dxa"/>
            <w:vAlign w:val="top"/>
          </w:tcPr>
          <w:p w14:paraId="224C0955">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1444</w:t>
            </w:r>
          </w:p>
        </w:tc>
        <w:tc>
          <w:tcPr>
            <w:tcW w:w="899" w:type="dxa"/>
            <w:vAlign w:val="top"/>
          </w:tcPr>
          <w:p w14:paraId="05477D3E">
            <w:pPr>
              <w:spacing w:before="91" w:line="195" w:lineRule="auto"/>
              <w:ind w:left="16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2.4601</w:t>
            </w:r>
          </w:p>
        </w:tc>
        <w:tc>
          <w:tcPr>
            <w:tcW w:w="780" w:type="dxa"/>
            <w:vAlign w:val="top"/>
          </w:tcPr>
          <w:p w14:paraId="5E7ECB54">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0.1179</w:t>
            </w:r>
          </w:p>
        </w:tc>
        <w:tc>
          <w:tcPr>
            <w:tcW w:w="884" w:type="dxa"/>
            <w:vAlign w:val="top"/>
          </w:tcPr>
          <w:p w14:paraId="35AE8C88">
            <w:pPr>
              <w:spacing w:before="91" w:line="195" w:lineRule="auto"/>
              <w:ind w:left="1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2.3612</w:t>
            </w:r>
          </w:p>
        </w:tc>
        <w:tc>
          <w:tcPr>
            <w:tcW w:w="720" w:type="dxa"/>
            <w:vAlign w:val="top"/>
          </w:tcPr>
          <w:p w14:paraId="72B690C4">
            <w:pPr>
              <w:spacing w:before="91"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0.137</w:t>
            </w:r>
          </w:p>
        </w:tc>
        <w:tc>
          <w:tcPr>
            <w:tcW w:w="884" w:type="dxa"/>
            <w:vAlign w:val="top"/>
          </w:tcPr>
          <w:p w14:paraId="204D30C9">
            <w:pPr>
              <w:spacing w:before="91"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2.6446</w:t>
            </w:r>
          </w:p>
        </w:tc>
        <w:tc>
          <w:tcPr>
            <w:tcW w:w="791" w:type="dxa"/>
            <w:vAlign w:val="top"/>
          </w:tcPr>
          <w:p w14:paraId="4A18E215">
            <w:pPr>
              <w:spacing w:before="91"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0.1631</w:t>
            </w:r>
          </w:p>
        </w:tc>
        <w:tc>
          <w:tcPr>
            <w:tcW w:w="913" w:type="dxa"/>
            <w:vAlign w:val="top"/>
          </w:tcPr>
          <w:p w14:paraId="794E502A">
            <w:pPr>
              <w:spacing w:before="91"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2.8608</w:t>
            </w:r>
          </w:p>
        </w:tc>
      </w:tr>
    </w:tbl>
    <w:p w14:paraId="7C623B5B">
      <w:pPr>
        <w:rPr>
          <w:rFonts w:ascii="Arial"/>
          <w:sz w:val="21"/>
        </w:rPr>
      </w:pPr>
    </w:p>
    <w:p w14:paraId="6B8EE2F7">
      <w:pPr>
        <w:rPr>
          <w:rFonts w:ascii="Arial" w:hAnsi="Arial" w:eastAsia="Arial" w:cs="Arial"/>
          <w:sz w:val="21"/>
          <w:szCs w:val="21"/>
        </w:rPr>
        <w:sectPr>
          <w:footerReference r:id="rId193" w:type="default"/>
          <w:pgSz w:w="11906" w:h="16839"/>
          <w:pgMar w:top="400" w:right="1498" w:bottom="1147" w:left="1497" w:header="0" w:footer="960" w:gutter="0"/>
          <w:cols w:space="720" w:num="1"/>
        </w:sectPr>
      </w:pPr>
    </w:p>
    <w:p w14:paraId="6EBCB13B">
      <w:pPr>
        <w:spacing w:before="19"/>
      </w:pPr>
    </w:p>
    <w:p w14:paraId="338DBE56">
      <w:pPr>
        <w:spacing w:before="19"/>
      </w:pPr>
    </w:p>
    <w:p w14:paraId="343994B8">
      <w:pPr>
        <w:spacing w:before="18"/>
      </w:pPr>
    </w:p>
    <w:p w14:paraId="15EE1FC9">
      <w:pPr>
        <w:spacing w:before="18"/>
      </w:pPr>
    </w:p>
    <w:tbl>
      <w:tblPr>
        <w:tblStyle w:val="5"/>
        <w:tblW w:w="890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2"/>
        <w:gridCol w:w="1012"/>
        <w:gridCol w:w="780"/>
        <w:gridCol w:w="899"/>
        <w:gridCol w:w="780"/>
        <w:gridCol w:w="884"/>
        <w:gridCol w:w="720"/>
        <w:gridCol w:w="884"/>
        <w:gridCol w:w="791"/>
        <w:gridCol w:w="913"/>
      </w:tblGrid>
      <w:tr w14:paraId="30043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242" w:type="dxa"/>
            <w:vAlign w:val="top"/>
          </w:tcPr>
          <w:p w14:paraId="69E16A75">
            <w:pPr>
              <w:pStyle w:val="6"/>
              <w:spacing w:before="56" w:line="228" w:lineRule="auto"/>
              <w:ind w:left="41"/>
            </w:pPr>
            <w:r>
              <w:rPr>
                <w:spacing w:val="5"/>
              </w:rPr>
              <w:t>距原点</w:t>
            </w:r>
            <w:r>
              <w:rPr>
                <w:rFonts w:ascii="Times New Roman" w:hAnsi="Times New Roman" w:eastAsia="Times New Roman" w:cs="Times New Roman"/>
                <w:spacing w:val="5"/>
              </w:rPr>
              <w:t xml:space="preserve">-21 </w:t>
            </w:r>
            <w:r>
              <w:rPr>
                <w:spacing w:val="5"/>
              </w:rPr>
              <w:t>米</w:t>
            </w:r>
          </w:p>
        </w:tc>
        <w:tc>
          <w:tcPr>
            <w:tcW w:w="1012" w:type="dxa"/>
            <w:vAlign w:val="top"/>
          </w:tcPr>
          <w:p w14:paraId="69875921">
            <w:pPr>
              <w:spacing w:before="92"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1"/>
                <w:sz w:val="20"/>
                <w:szCs w:val="20"/>
              </w:rPr>
              <w:t>16.65</w:t>
            </w:r>
          </w:p>
        </w:tc>
        <w:tc>
          <w:tcPr>
            <w:tcW w:w="780" w:type="dxa"/>
            <w:vAlign w:val="top"/>
          </w:tcPr>
          <w:p w14:paraId="6350AC48">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0.1451</w:t>
            </w:r>
          </w:p>
        </w:tc>
        <w:tc>
          <w:tcPr>
            <w:tcW w:w="899" w:type="dxa"/>
            <w:vAlign w:val="top"/>
          </w:tcPr>
          <w:p w14:paraId="0373B830">
            <w:pPr>
              <w:spacing w:before="92" w:line="195" w:lineRule="auto"/>
              <w:ind w:left="16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2.6928</w:t>
            </w:r>
          </w:p>
        </w:tc>
        <w:tc>
          <w:tcPr>
            <w:tcW w:w="780" w:type="dxa"/>
            <w:vAlign w:val="top"/>
          </w:tcPr>
          <w:p w14:paraId="0421E3C4">
            <w:pPr>
              <w:spacing w:before="92"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0.1152</w:t>
            </w:r>
          </w:p>
        </w:tc>
        <w:tc>
          <w:tcPr>
            <w:tcW w:w="884" w:type="dxa"/>
            <w:vAlign w:val="top"/>
          </w:tcPr>
          <w:p w14:paraId="2AFB501C">
            <w:pPr>
              <w:spacing w:before="92" w:line="195" w:lineRule="auto"/>
              <w:ind w:left="1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2.5752</w:t>
            </w:r>
          </w:p>
        </w:tc>
        <w:tc>
          <w:tcPr>
            <w:tcW w:w="720" w:type="dxa"/>
            <w:vAlign w:val="top"/>
          </w:tcPr>
          <w:p w14:paraId="70C155B9">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0.1409</w:t>
            </w:r>
          </w:p>
        </w:tc>
        <w:tc>
          <w:tcPr>
            <w:tcW w:w="884" w:type="dxa"/>
            <w:vAlign w:val="top"/>
          </w:tcPr>
          <w:p w14:paraId="731476A6">
            <w:pPr>
              <w:spacing w:before="92"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2.9139</w:t>
            </w:r>
          </w:p>
        </w:tc>
        <w:tc>
          <w:tcPr>
            <w:tcW w:w="791" w:type="dxa"/>
            <w:vAlign w:val="top"/>
          </w:tcPr>
          <w:p w14:paraId="5EF8B149">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0.1746</w:t>
            </w:r>
          </w:p>
        </w:tc>
        <w:tc>
          <w:tcPr>
            <w:tcW w:w="913" w:type="dxa"/>
            <w:vAlign w:val="top"/>
          </w:tcPr>
          <w:p w14:paraId="1EB6C207">
            <w:pPr>
              <w:spacing w:before="92" w:line="195" w:lineRule="auto"/>
              <w:ind w:left="1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3.1761</w:t>
            </w:r>
          </w:p>
        </w:tc>
      </w:tr>
      <w:tr w14:paraId="6ADAB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56F252E5">
            <w:pPr>
              <w:pStyle w:val="6"/>
              <w:spacing w:before="51" w:line="228" w:lineRule="auto"/>
              <w:ind w:left="41"/>
            </w:pPr>
            <w:r>
              <w:rPr>
                <w:spacing w:val="5"/>
              </w:rPr>
              <w:t>距原点</w:t>
            </w:r>
            <w:r>
              <w:rPr>
                <w:rFonts w:ascii="Times New Roman" w:hAnsi="Times New Roman" w:eastAsia="Times New Roman" w:cs="Times New Roman"/>
                <w:spacing w:val="5"/>
              </w:rPr>
              <w:t xml:space="preserve">-20 </w:t>
            </w:r>
            <w:r>
              <w:rPr>
                <w:spacing w:val="5"/>
              </w:rPr>
              <w:t>米</w:t>
            </w:r>
          </w:p>
        </w:tc>
        <w:tc>
          <w:tcPr>
            <w:tcW w:w="1012" w:type="dxa"/>
            <w:vAlign w:val="top"/>
          </w:tcPr>
          <w:p w14:paraId="54AC3EA8">
            <w:pPr>
              <w:spacing w:before="87"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1"/>
                <w:sz w:val="20"/>
                <w:szCs w:val="20"/>
              </w:rPr>
              <w:t>15.65</w:t>
            </w:r>
          </w:p>
        </w:tc>
        <w:tc>
          <w:tcPr>
            <w:tcW w:w="780" w:type="dxa"/>
            <w:vAlign w:val="top"/>
          </w:tcPr>
          <w:p w14:paraId="6F3E6BC9">
            <w:pPr>
              <w:spacing w:before="87"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1441</w:t>
            </w:r>
          </w:p>
        </w:tc>
        <w:tc>
          <w:tcPr>
            <w:tcW w:w="899" w:type="dxa"/>
            <w:vAlign w:val="top"/>
          </w:tcPr>
          <w:p w14:paraId="3238B476">
            <w:pPr>
              <w:spacing w:before="87" w:line="195" w:lineRule="auto"/>
              <w:ind w:left="16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2.9576</w:t>
            </w:r>
          </w:p>
        </w:tc>
        <w:tc>
          <w:tcPr>
            <w:tcW w:w="780" w:type="dxa"/>
            <w:vAlign w:val="top"/>
          </w:tcPr>
          <w:p w14:paraId="065EEB9F">
            <w:pPr>
              <w:spacing w:before="87"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0.1108</w:t>
            </w:r>
          </w:p>
        </w:tc>
        <w:tc>
          <w:tcPr>
            <w:tcW w:w="884" w:type="dxa"/>
            <w:vAlign w:val="top"/>
          </w:tcPr>
          <w:p w14:paraId="30EB742F">
            <w:pPr>
              <w:spacing w:before="87" w:line="195" w:lineRule="auto"/>
              <w:ind w:left="2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2.817</w:t>
            </w:r>
          </w:p>
        </w:tc>
        <w:tc>
          <w:tcPr>
            <w:tcW w:w="720" w:type="dxa"/>
            <w:vAlign w:val="top"/>
          </w:tcPr>
          <w:p w14:paraId="101855F2">
            <w:pPr>
              <w:spacing w:before="90"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0.1455</w:t>
            </w:r>
          </w:p>
        </w:tc>
        <w:tc>
          <w:tcPr>
            <w:tcW w:w="884" w:type="dxa"/>
            <w:vAlign w:val="top"/>
          </w:tcPr>
          <w:p w14:paraId="5FED2190">
            <w:pPr>
              <w:spacing w:before="90" w:line="195" w:lineRule="auto"/>
              <w:ind w:left="15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3.2245</w:t>
            </w:r>
          </w:p>
        </w:tc>
        <w:tc>
          <w:tcPr>
            <w:tcW w:w="791" w:type="dxa"/>
            <w:vAlign w:val="top"/>
          </w:tcPr>
          <w:p w14:paraId="4FA94DEB">
            <w:pPr>
              <w:spacing w:before="90"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0.1886</w:t>
            </w:r>
          </w:p>
        </w:tc>
        <w:tc>
          <w:tcPr>
            <w:tcW w:w="913" w:type="dxa"/>
            <w:vAlign w:val="top"/>
          </w:tcPr>
          <w:p w14:paraId="61225CE9">
            <w:pPr>
              <w:spacing w:before="90" w:line="195" w:lineRule="auto"/>
              <w:ind w:left="1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3.5451</w:t>
            </w:r>
          </w:p>
        </w:tc>
      </w:tr>
      <w:tr w14:paraId="673D5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77025C7D">
            <w:pPr>
              <w:pStyle w:val="6"/>
              <w:spacing w:before="51" w:line="228" w:lineRule="auto"/>
              <w:ind w:left="41"/>
            </w:pPr>
            <w:r>
              <w:rPr>
                <w:spacing w:val="5"/>
              </w:rPr>
              <w:t>距原点</w:t>
            </w:r>
            <w:r>
              <w:rPr>
                <w:rFonts w:ascii="Times New Roman" w:hAnsi="Times New Roman" w:eastAsia="Times New Roman" w:cs="Times New Roman"/>
                <w:spacing w:val="5"/>
              </w:rPr>
              <w:t xml:space="preserve">-19 </w:t>
            </w:r>
            <w:r>
              <w:rPr>
                <w:spacing w:val="5"/>
              </w:rPr>
              <w:t>米</w:t>
            </w:r>
          </w:p>
        </w:tc>
        <w:tc>
          <w:tcPr>
            <w:tcW w:w="1012" w:type="dxa"/>
            <w:vAlign w:val="top"/>
          </w:tcPr>
          <w:p w14:paraId="1DDF689B">
            <w:pPr>
              <w:spacing w:before="87"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1"/>
                <w:sz w:val="20"/>
                <w:szCs w:val="20"/>
              </w:rPr>
              <w:t>14.65</w:t>
            </w:r>
          </w:p>
        </w:tc>
        <w:tc>
          <w:tcPr>
            <w:tcW w:w="780" w:type="dxa"/>
            <w:vAlign w:val="top"/>
          </w:tcPr>
          <w:p w14:paraId="540FCACD">
            <w:pPr>
              <w:spacing w:before="87"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1412</w:t>
            </w:r>
          </w:p>
        </w:tc>
        <w:tc>
          <w:tcPr>
            <w:tcW w:w="899" w:type="dxa"/>
            <w:vAlign w:val="top"/>
          </w:tcPr>
          <w:p w14:paraId="6B20BB24">
            <w:pPr>
              <w:spacing w:before="87"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3.2601</w:t>
            </w:r>
          </w:p>
        </w:tc>
        <w:tc>
          <w:tcPr>
            <w:tcW w:w="780" w:type="dxa"/>
            <w:vAlign w:val="top"/>
          </w:tcPr>
          <w:p w14:paraId="44C1C908">
            <w:pPr>
              <w:spacing w:before="87"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0.1044</w:t>
            </w:r>
          </w:p>
        </w:tc>
        <w:tc>
          <w:tcPr>
            <w:tcW w:w="884" w:type="dxa"/>
            <w:vAlign w:val="top"/>
          </w:tcPr>
          <w:p w14:paraId="623B8AE3">
            <w:pPr>
              <w:spacing w:before="87" w:line="195" w:lineRule="auto"/>
              <w:ind w:left="21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3.091</w:t>
            </w:r>
          </w:p>
        </w:tc>
        <w:tc>
          <w:tcPr>
            <w:tcW w:w="720" w:type="dxa"/>
            <w:vAlign w:val="top"/>
          </w:tcPr>
          <w:p w14:paraId="78BE69AD">
            <w:pPr>
              <w:spacing w:before="89"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0.1516</w:t>
            </w:r>
          </w:p>
        </w:tc>
        <w:tc>
          <w:tcPr>
            <w:tcW w:w="884" w:type="dxa"/>
            <w:vAlign w:val="top"/>
          </w:tcPr>
          <w:p w14:paraId="09417364">
            <w:pPr>
              <w:spacing w:before="89" w:line="195" w:lineRule="auto"/>
              <w:ind w:left="15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3.5848</w:t>
            </w:r>
          </w:p>
        </w:tc>
        <w:tc>
          <w:tcPr>
            <w:tcW w:w="791" w:type="dxa"/>
            <w:vAlign w:val="top"/>
          </w:tcPr>
          <w:p w14:paraId="5BCDA60B">
            <w:pPr>
              <w:spacing w:before="89"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0.2064</w:t>
            </w:r>
          </w:p>
        </w:tc>
        <w:tc>
          <w:tcPr>
            <w:tcW w:w="913" w:type="dxa"/>
            <w:vAlign w:val="top"/>
          </w:tcPr>
          <w:p w14:paraId="7BC9105F">
            <w:pPr>
              <w:spacing w:before="89" w:line="195" w:lineRule="auto"/>
              <w:ind w:left="1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3.9804</w:t>
            </w:r>
          </w:p>
        </w:tc>
      </w:tr>
      <w:tr w14:paraId="1AA23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42" w:type="dxa"/>
            <w:vAlign w:val="top"/>
          </w:tcPr>
          <w:p w14:paraId="04FB5080">
            <w:pPr>
              <w:pStyle w:val="6"/>
              <w:spacing w:before="50" w:line="228" w:lineRule="auto"/>
              <w:ind w:left="41"/>
            </w:pPr>
            <w:r>
              <w:rPr>
                <w:spacing w:val="5"/>
              </w:rPr>
              <w:t>距原点</w:t>
            </w:r>
            <w:r>
              <w:rPr>
                <w:rFonts w:ascii="Times New Roman" w:hAnsi="Times New Roman" w:eastAsia="Times New Roman" w:cs="Times New Roman"/>
                <w:spacing w:val="5"/>
              </w:rPr>
              <w:t xml:space="preserve">-18 </w:t>
            </w:r>
            <w:r>
              <w:rPr>
                <w:spacing w:val="5"/>
              </w:rPr>
              <w:t>米</w:t>
            </w:r>
          </w:p>
        </w:tc>
        <w:tc>
          <w:tcPr>
            <w:tcW w:w="1012" w:type="dxa"/>
            <w:vAlign w:val="top"/>
          </w:tcPr>
          <w:p w14:paraId="2152927A">
            <w:pPr>
              <w:spacing w:before="87"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1"/>
                <w:sz w:val="20"/>
                <w:szCs w:val="20"/>
              </w:rPr>
              <w:t>13.65</w:t>
            </w:r>
          </w:p>
        </w:tc>
        <w:tc>
          <w:tcPr>
            <w:tcW w:w="780" w:type="dxa"/>
            <w:vAlign w:val="top"/>
          </w:tcPr>
          <w:p w14:paraId="71E1C4B4">
            <w:pPr>
              <w:spacing w:before="87" w:line="195" w:lineRule="auto"/>
              <w:ind w:left="15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0.136</w:t>
            </w:r>
          </w:p>
        </w:tc>
        <w:tc>
          <w:tcPr>
            <w:tcW w:w="899" w:type="dxa"/>
            <w:vAlign w:val="top"/>
          </w:tcPr>
          <w:p w14:paraId="3642ABCF">
            <w:pPr>
              <w:spacing w:before="87"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3.6073</w:t>
            </w:r>
          </w:p>
        </w:tc>
        <w:tc>
          <w:tcPr>
            <w:tcW w:w="780" w:type="dxa"/>
            <w:vAlign w:val="top"/>
          </w:tcPr>
          <w:p w14:paraId="5410A13A">
            <w:pPr>
              <w:spacing w:before="87"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0.0967</w:t>
            </w:r>
          </w:p>
        </w:tc>
        <w:tc>
          <w:tcPr>
            <w:tcW w:w="884" w:type="dxa"/>
            <w:vAlign w:val="top"/>
          </w:tcPr>
          <w:p w14:paraId="51C064D5">
            <w:pPr>
              <w:spacing w:before="87"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3.4025</w:t>
            </w:r>
          </w:p>
        </w:tc>
        <w:tc>
          <w:tcPr>
            <w:tcW w:w="720" w:type="dxa"/>
            <w:vAlign w:val="top"/>
          </w:tcPr>
          <w:p w14:paraId="32850A24">
            <w:pPr>
              <w:spacing w:before="89"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0.1605</w:t>
            </w:r>
          </w:p>
        </w:tc>
        <w:tc>
          <w:tcPr>
            <w:tcW w:w="884" w:type="dxa"/>
            <w:vAlign w:val="top"/>
          </w:tcPr>
          <w:p w14:paraId="402C07E9">
            <w:pPr>
              <w:spacing w:before="89" w:line="195" w:lineRule="auto"/>
              <w:ind w:left="1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4.0055</w:t>
            </w:r>
          </w:p>
        </w:tc>
        <w:tc>
          <w:tcPr>
            <w:tcW w:w="791" w:type="dxa"/>
            <w:vAlign w:val="top"/>
          </w:tcPr>
          <w:p w14:paraId="5831C5F8">
            <w:pPr>
              <w:spacing w:before="89"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0.2293</w:t>
            </w:r>
          </w:p>
        </w:tc>
        <w:tc>
          <w:tcPr>
            <w:tcW w:w="913" w:type="dxa"/>
            <w:vAlign w:val="top"/>
          </w:tcPr>
          <w:p w14:paraId="71D44C63">
            <w:pPr>
              <w:spacing w:before="89" w:line="195" w:lineRule="auto"/>
              <w:ind w:left="1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4.4985</w:t>
            </w:r>
          </w:p>
        </w:tc>
      </w:tr>
      <w:tr w14:paraId="18BB1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42" w:type="dxa"/>
            <w:vAlign w:val="top"/>
          </w:tcPr>
          <w:p w14:paraId="22788C00">
            <w:pPr>
              <w:pStyle w:val="6"/>
              <w:spacing w:before="51" w:line="228" w:lineRule="auto"/>
              <w:ind w:left="41"/>
            </w:pPr>
            <w:r>
              <w:rPr>
                <w:spacing w:val="5"/>
              </w:rPr>
              <w:t>距原点</w:t>
            </w:r>
            <w:r>
              <w:rPr>
                <w:rFonts w:ascii="Times New Roman" w:hAnsi="Times New Roman" w:eastAsia="Times New Roman" w:cs="Times New Roman"/>
                <w:spacing w:val="5"/>
              </w:rPr>
              <w:t xml:space="preserve">-17 </w:t>
            </w:r>
            <w:r>
              <w:rPr>
                <w:spacing w:val="5"/>
              </w:rPr>
              <w:t>米</w:t>
            </w:r>
          </w:p>
        </w:tc>
        <w:tc>
          <w:tcPr>
            <w:tcW w:w="1012" w:type="dxa"/>
            <w:vAlign w:val="top"/>
          </w:tcPr>
          <w:p w14:paraId="701BC25A">
            <w:pPr>
              <w:spacing w:before="90"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1"/>
                <w:sz w:val="20"/>
                <w:szCs w:val="20"/>
              </w:rPr>
              <w:t>12.65</w:t>
            </w:r>
          </w:p>
        </w:tc>
        <w:tc>
          <w:tcPr>
            <w:tcW w:w="780" w:type="dxa"/>
            <w:vAlign w:val="top"/>
          </w:tcPr>
          <w:p w14:paraId="2BF62FBF">
            <w:pPr>
              <w:spacing w:before="90"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0.1292</w:t>
            </w:r>
          </w:p>
        </w:tc>
        <w:tc>
          <w:tcPr>
            <w:tcW w:w="899" w:type="dxa"/>
            <w:vAlign w:val="top"/>
          </w:tcPr>
          <w:p w14:paraId="466C88A2">
            <w:pPr>
              <w:spacing w:before="90" w:line="195" w:lineRule="auto"/>
              <w:ind w:left="16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4.0076</w:t>
            </w:r>
          </w:p>
        </w:tc>
        <w:tc>
          <w:tcPr>
            <w:tcW w:w="780" w:type="dxa"/>
            <w:vAlign w:val="top"/>
          </w:tcPr>
          <w:p w14:paraId="36679795">
            <w:pPr>
              <w:spacing w:before="90"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0.0901</w:t>
            </w:r>
          </w:p>
        </w:tc>
        <w:tc>
          <w:tcPr>
            <w:tcW w:w="884" w:type="dxa"/>
            <w:vAlign w:val="top"/>
          </w:tcPr>
          <w:p w14:paraId="019B370E">
            <w:pPr>
              <w:spacing w:before="90"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3.7577</w:t>
            </w:r>
          </w:p>
        </w:tc>
        <w:tc>
          <w:tcPr>
            <w:tcW w:w="720" w:type="dxa"/>
            <w:vAlign w:val="top"/>
          </w:tcPr>
          <w:p w14:paraId="642C6FC9">
            <w:pPr>
              <w:spacing w:before="90"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0.1747</w:t>
            </w:r>
          </w:p>
        </w:tc>
        <w:tc>
          <w:tcPr>
            <w:tcW w:w="884" w:type="dxa"/>
            <w:vAlign w:val="top"/>
          </w:tcPr>
          <w:p w14:paraId="53D8DEC5">
            <w:pPr>
              <w:spacing w:before="90" w:line="195" w:lineRule="auto"/>
              <w:ind w:left="1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4.5001</w:t>
            </w:r>
          </w:p>
        </w:tc>
        <w:tc>
          <w:tcPr>
            <w:tcW w:w="791" w:type="dxa"/>
            <w:vAlign w:val="top"/>
          </w:tcPr>
          <w:p w14:paraId="79ACC66F">
            <w:pPr>
              <w:spacing w:before="90"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0.2596</w:t>
            </w:r>
          </w:p>
        </w:tc>
        <w:tc>
          <w:tcPr>
            <w:tcW w:w="913" w:type="dxa"/>
            <w:vAlign w:val="top"/>
          </w:tcPr>
          <w:p w14:paraId="5FF28A3F">
            <w:pPr>
              <w:spacing w:before="90" w:line="195"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w:t>
            </w:r>
            <w:r>
              <w:rPr>
                <w:rFonts w:ascii="Times New Roman" w:hAnsi="Times New Roman" w:eastAsia="Times New Roman" w:cs="Times New Roman"/>
                <w:spacing w:val="-22"/>
                <w:sz w:val="20"/>
                <w:szCs w:val="20"/>
              </w:rPr>
              <w:t xml:space="preserve"> </w:t>
            </w:r>
            <w:r>
              <w:rPr>
                <w:rFonts w:ascii="Times New Roman" w:hAnsi="Times New Roman" w:eastAsia="Times New Roman" w:cs="Times New Roman"/>
                <w:spacing w:val="-2"/>
                <w:sz w:val="20"/>
                <w:szCs w:val="20"/>
              </w:rPr>
              <w:t>1212</w:t>
            </w:r>
          </w:p>
        </w:tc>
      </w:tr>
      <w:tr w14:paraId="3BB456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42" w:type="dxa"/>
            <w:vAlign w:val="top"/>
          </w:tcPr>
          <w:p w14:paraId="091C167F">
            <w:pPr>
              <w:pStyle w:val="6"/>
              <w:spacing w:before="52" w:line="228" w:lineRule="auto"/>
              <w:ind w:left="41"/>
            </w:pPr>
            <w:r>
              <w:rPr>
                <w:spacing w:val="5"/>
              </w:rPr>
              <w:t>距原点</w:t>
            </w:r>
            <w:r>
              <w:rPr>
                <w:rFonts w:ascii="Times New Roman" w:hAnsi="Times New Roman" w:eastAsia="Times New Roman" w:cs="Times New Roman"/>
                <w:spacing w:val="5"/>
              </w:rPr>
              <w:t xml:space="preserve">-16 </w:t>
            </w:r>
            <w:r>
              <w:rPr>
                <w:spacing w:val="5"/>
              </w:rPr>
              <w:t>米</w:t>
            </w:r>
          </w:p>
        </w:tc>
        <w:tc>
          <w:tcPr>
            <w:tcW w:w="1012" w:type="dxa"/>
            <w:vAlign w:val="top"/>
          </w:tcPr>
          <w:p w14:paraId="762F4438">
            <w:pPr>
              <w:spacing w:before="90"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1"/>
                <w:sz w:val="20"/>
                <w:szCs w:val="20"/>
              </w:rPr>
              <w:t>11.65</w:t>
            </w:r>
          </w:p>
        </w:tc>
        <w:tc>
          <w:tcPr>
            <w:tcW w:w="780" w:type="dxa"/>
            <w:vAlign w:val="top"/>
          </w:tcPr>
          <w:p w14:paraId="0E045420">
            <w:pPr>
              <w:spacing w:before="90"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0.1231</w:t>
            </w:r>
          </w:p>
        </w:tc>
        <w:tc>
          <w:tcPr>
            <w:tcW w:w="899" w:type="dxa"/>
            <w:vAlign w:val="top"/>
          </w:tcPr>
          <w:p w14:paraId="51C389F8">
            <w:pPr>
              <w:spacing w:before="90" w:line="195" w:lineRule="auto"/>
              <w:ind w:left="21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4.471</w:t>
            </w:r>
          </w:p>
        </w:tc>
        <w:tc>
          <w:tcPr>
            <w:tcW w:w="780" w:type="dxa"/>
            <w:vAlign w:val="top"/>
          </w:tcPr>
          <w:p w14:paraId="48FF48E6">
            <w:pPr>
              <w:spacing w:before="90"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0.0906</w:t>
            </w:r>
          </w:p>
        </w:tc>
        <w:tc>
          <w:tcPr>
            <w:tcW w:w="884" w:type="dxa"/>
            <w:vAlign w:val="top"/>
          </w:tcPr>
          <w:p w14:paraId="3B7D00C8">
            <w:pPr>
              <w:spacing w:before="90" w:line="195" w:lineRule="auto"/>
              <w:ind w:left="15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4.1638</w:t>
            </w:r>
          </w:p>
        </w:tc>
        <w:tc>
          <w:tcPr>
            <w:tcW w:w="720" w:type="dxa"/>
            <w:vAlign w:val="top"/>
          </w:tcPr>
          <w:p w14:paraId="40A6667A">
            <w:pPr>
              <w:spacing w:before="90"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0.1972</w:t>
            </w:r>
          </w:p>
        </w:tc>
        <w:tc>
          <w:tcPr>
            <w:tcW w:w="884" w:type="dxa"/>
            <w:vAlign w:val="top"/>
          </w:tcPr>
          <w:p w14:paraId="52674E25">
            <w:pPr>
              <w:spacing w:before="90" w:line="195" w:lineRule="auto"/>
              <w:ind w:left="16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5.0863</w:t>
            </w:r>
          </w:p>
        </w:tc>
        <w:tc>
          <w:tcPr>
            <w:tcW w:w="791" w:type="dxa"/>
            <w:vAlign w:val="top"/>
          </w:tcPr>
          <w:p w14:paraId="28DE65F7">
            <w:pPr>
              <w:spacing w:before="90"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0.3001</w:t>
            </w:r>
          </w:p>
        </w:tc>
        <w:tc>
          <w:tcPr>
            <w:tcW w:w="913" w:type="dxa"/>
            <w:vAlign w:val="top"/>
          </w:tcPr>
          <w:p w14:paraId="101FD10C">
            <w:pPr>
              <w:spacing w:before="90" w:line="195" w:lineRule="auto"/>
              <w:ind w:left="22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5.878</w:t>
            </w:r>
          </w:p>
        </w:tc>
      </w:tr>
      <w:tr w14:paraId="2694C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42" w:type="dxa"/>
            <w:vAlign w:val="top"/>
          </w:tcPr>
          <w:p w14:paraId="001A3DF7">
            <w:pPr>
              <w:pStyle w:val="6"/>
              <w:spacing w:before="55" w:line="228" w:lineRule="auto"/>
              <w:ind w:left="41"/>
            </w:pPr>
            <w:r>
              <w:rPr>
                <w:spacing w:val="5"/>
              </w:rPr>
              <w:t>距原点</w:t>
            </w:r>
            <w:r>
              <w:rPr>
                <w:rFonts w:ascii="Times New Roman" w:hAnsi="Times New Roman" w:eastAsia="Times New Roman" w:cs="Times New Roman"/>
                <w:spacing w:val="5"/>
              </w:rPr>
              <w:t xml:space="preserve">-15 </w:t>
            </w:r>
            <w:r>
              <w:rPr>
                <w:spacing w:val="5"/>
              </w:rPr>
              <w:t>米</w:t>
            </w:r>
          </w:p>
        </w:tc>
        <w:tc>
          <w:tcPr>
            <w:tcW w:w="1012" w:type="dxa"/>
            <w:vAlign w:val="top"/>
          </w:tcPr>
          <w:p w14:paraId="4B8BE8F6">
            <w:pPr>
              <w:spacing w:before="91" w:line="195" w:lineRule="auto"/>
              <w:ind w:left="24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w:t>
            </w:r>
            <w:r>
              <w:rPr>
                <w:rFonts w:ascii="Times New Roman" w:hAnsi="Times New Roman" w:eastAsia="Times New Roman" w:cs="Times New Roman"/>
                <w:spacing w:val="-28"/>
                <w:sz w:val="20"/>
                <w:szCs w:val="20"/>
              </w:rPr>
              <w:t xml:space="preserve"> </w:t>
            </w:r>
            <w:r>
              <w:rPr>
                <w:rFonts w:ascii="Times New Roman" w:hAnsi="Times New Roman" w:eastAsia="Times New Roman" w:cs="Times New Roman"/>
                <w:spacing w:val="-1"/>
                <w:sz w:val="20"/>
                <w:szCs w:val="20"/>
              </w:rPr>
              <w:t>10.65</w:t>
            </w:r>
          </w:p>
        </w:tc>
        <w:tc>
          <w:tcPr>
            <w:tcW w:w="780" w:type="dxa"/>
            <w:vAlign w:val="top"/>
          </w:tcPr>
          <w:p w14:paraId="1D121BEE">
            <w:pPr>
              <w:spacing w:before="91" w:line="195" w:lineRule="auto"/>
              <w:ind w:left="15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124</w:t>
            </w:r>
          </w:p>
        </w:tc>
        <w:tc>
          <w:tcPr>
            <w:tcW w:w="899" w:type="dxa"/>
            <w:vAlign w:val="top"/>
          </w:tcPr>
          <w:p w14:paraId="0E3917A2">
            <w:pPr>
              <w:spacing w:before="91"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5.0101</w:t>
            </w:r>
          </w:p>
        </w:tc>
        <w:tc>
          <w:tcPr>
            <w:tcW w:w="780" w:type="dxa"/>
            <w:vAlign w:val="top"/>
          </w:tcPr>
          <w:p w14:paraId="7E6CA114">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0.108</w:t>
            </w:r>
          </w:p>
        </w:tc>
        <w:tc>
          <w:tcPr>
            <w:tcW w:w="884" w:type="dxa"/>
            <w:vAlign w:val="top"/>
          </w:tcPr>
          <w:p w14:paraId="7C309267">
            <w:pPr>
              <w:spacing w:before="91" w:line="195" w:lineRule="auto"/>
              <w:ind w:left="15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4.6293</w:t>
            </w:r>
          </w:p>
        </w:tc>
        <w:tc>
          <w:tcPr>
            <w:tcW w:w="720" w:type="dxa"/>
            <w:vAlign w:val="top"/>
          </w:tcPr>
          <w:p w14:paraId="37DE66A2">
            <w:pPr>
              <w:spacing w:before="91"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0.2324</w:t>
            </w:r>
          </w:p>
        </w:tc>
        <w:tc>
          <w:tcPr>
            <w:tcW w:w="884" w:type="dxa"/>
            <w:vAlign w:val="top"/>
          </w:tcPr>
          <w:p w14:paraId="1A3E0220">
            <w:pPr>
              <w:spacing w:before="91" w:line="195" w:lineRule="auto"/>
              <w:ind w:left="16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5.7867</w:t>
            </w:r>
          </w:p>
        </w:tc>
        <w:tc>
          <w:tcPr>
            <w:tcW w:w="791" w:type="dxa"/>
            <w:vAlign w:val="top"/>
          </w:tcPr>
          <w:p w14:paraId="4C1E8FFC">
            <w:pPr>
              <w:spacing w:before="91"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0.3549</w:t>
            </w:r>
          </w:p>
        </w:tc>
        <w:tc>
          <w:tcPr>
            <w:tcW w:w="913" w:type="dxa"/>
            <w:vAlign w:val="top"/>
          </w:tcPr>
          <w:p w14:paraId="2BA3708D">
            <w:pPr>
              <w:spacing w:before="91"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6.809</w:t>
            </w:r>
          </w:p>
        </w:tc>
      </w:tr>
      <w:tr w14:paraId="39A8C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370CC8E1">
            <w:pPr>
              <w:pStyle w:val="6"/>
              <w:spacing w:before="55" w:line="228" w:lineRule="auto"/>
              <w:ind w:left="41"/>
            </w:pPr>
            <w:r>
              <w:rPr>
                <w:spacing w:val="5"/>
              </w:rPr>
              <w:t>距原点</w:t>
            </w:r>
            <w:r>
              <w:rPr>
                <w:rFonts w:ascii="Times New Roman" w:hAnsi="Times New Roman" w:eastAsia="Times New Roman" w:cs="Times New Roman"/>
                <w:spacing w:val="5"/>
              </w:rPr>
              <w:t xml:space="preserve">-14 </w:t>
            </w:r>
            <w:r>
              <w:rPr>
                <w:spacing w:val="5"/>
              </w:rPr>
              <w:t>米</w:t>
            </w:r>
          </w:p>
        </w:tc>
        <w:tc>
          <w:tcPr>
            <w:tcW w:w="1012" w:type="dxa"/>
            <w:vAlign w:val="top"/>
          </w:tcPr>
          <w:p w14:paraId="3B4B4BD8">
            <w:pPr>
              <w:spacing w:before="91" w:line="195"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-9.65</w:t>
            </w:r>
          </w:p>
        </w:tc>
        <w:tc>
          <w:tcPr>
            <w:tcW w:w="780" w:type="dxa"/>
            <w:vAlign w:val="top"/>
          </w:tcPr>
          <w:p w14:paraId="1B58D0DA">
            <w:pPr>
              <w:spacing w:before="91" w:line="195" w:lineRule="auto"/>
              <w:ind w:left="15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144</w:t>
            </w:r>
          </w:p>
        </w:tc>
        <w:tc>
          <w:tcPr>
            <w:tcW w:w="899" w:type="dxa"/>
            <w:vAlign w:val="top"/>
          </w:tcPr>
          <w:p w14:paraId="4751A740">
            <w:pPr>
              <w:spacing w:before="91"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5.6397</w:t>
            </w:r>
          </w:p>
        </w:tc>
        <w:tc>
          <w:tcPr>
            <w:tcW w:w="780" w:type="dxa"/>
            <w:vAlign w:val="top"/>
          </w:tcPr>
          <w:p w14:paraId="075A634A">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0.1491</w:t>
            </w:r>
          </w:p>
        </w:tc>
        <w:tc>
          <w:tcPr>
            <w:tcW w:w="884" w:type="dxa"/>
            <w:vAlign w:val="top"/>
          </w:tcPr>
          <w:p w14:paraId="08D9ADD4">
            <w:pPr>
              <w:spacing w:before="91" w:line="195" w:lineRule="auto"/>
              <w:ind w:left="15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5.1638</w:t>
            </w:r>
          </w:p>
        </w:tc>
        <w:tc>
          <w:tcPr>
            <w:tcW w:w="720" w:type="dxa"/>
            <w:vAlign w:val="top"/>
          </w:tcPr>
          <w:p w14:paraId="36BDF112">
            <w:pPr>
              <w:spacing w:before="94"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0.2852</w:t>
            </w:r>
          </w:p>
        </w:tc>
        <w:tc>
          <w:tcPr>
            <w:tcW w:w="884" w:type="dxa"/>
            <w:vAlign w:val="top"/>
          </w:tcPr>
          <w:p w14:paraId="65C559D7">
            <w:pPr>
              <w:spacing w:before="94" w:line="195" w:lineRule="auto"/>
              <w:ind w:left="16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6.6315</w:t>
            </w:r>
          </w:p>
        </w:tc>
        <w:tc>
          <w:tcPr>
            <w:tcW w:w="791" w:type="dxa"/>
            <w:vAlign w:val="top"/>
          </w:tcPr>
          <w:p w14:paraId="0CB45C44">
            <w:pPr>
              <w:spacing w:before="94"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0.4293</w:t>
            </w:r>
          </w:p>
        </w:tc>
        <w:tc>
          <w:tcPr>
            <w:tcW w:w="913" w:type="dxa"/>
            <w:vAlign w:val="top"/>
          </w:tcPr>
          <w:p w14:paraId="6F7CD1CF">
            <w:pPr>
              <w:spacing w:before="94"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7.9709</w:t>
            </w:r>
          </w:p>
        </w:tc>
      </w:tr>
      <w:tr w14:paraId="1DDA0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27D69005">
            <w:pPr>
              <w:pStyle w:val="6"/>
              <w:spacing w:before="55" w:line="228" w:lineRule="auto"/>
              <w:ind w:left="41"/>
            </w:pPr>
            <w:r>
              <w:rPr>
                <w:spacing w:val="5"/>
              </w:rPr>
              <w:t>距原点</w:t>
            </w:r>
            <w:r>
              <w:rPr>
                <w:rFonts w:ascii="Times New Roman" w:hAnsi="Times New Roman" w:eastAsia="Times New Roman" w:cs="Times New Roman"/>
                <w:spacing w:val="5"/>
              </w:rPr>
              <w:t xml:space="preserve">-13 </w:t>
            </w:r>
            <w:r>
              <w:rPr>
                <w:spacing w:val="5"/>
              </w:rPr>
              <w:t>米</w:t>
            </w:r>
          </w:p>
        </w:tc>
        <w:tc>
          <w:tcPr>
            <w:tcW w:w="1012" w:type="dxa"/>
            <w:vAlign w:val="top"/>
          </w:tcPr>
          <w:p w14:paraId="7C0496E1">
            <w:pPr>
              <w:spacing w:before="91" w:line="195"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-8.65</w:t>
            </w:r>
          </w:p>
        </w:tc>
        <w:tc>
          <w:tcPr>
            <w:tcW w:w="780" w:type="dxa"/>
            <w:vAlign w:val="top"/>
          </w:tcPr>
          <w:p w14:paraId="3ED93FBD">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0.1946</w:t>
            </w:r>
          </w:p>
        </w:tc>
        <w:tc>
          <w:tcPr>
            <w:tcW w:w="899" w:type="dxa"/>
            <w:vAlign w:val="top"/>
          </w:tcPr>
          <w:p w14:paraId="5B2C0FD0">
            <w:pPr>
              <w:spacing w:before="91" w:line="195"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6.3779</w:t>
            </w:r>
          </w:p>
        </w:tc>
        <w:tc>
          <w:tcPr>
            <w:tcW w:w="780" w:type="dxa"/>
            <w:vAlign w:val="top"/>
          </w:tcPr>
          <w:p w14:paraId="3E81B6B5">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0.2157</w:t>
            </w:r>
          </w:p>
        </w:tc>
        <w:tc>
          <w:tcPr>
            <w:tcW w:w="884" w:type="dxa"/>
            <w:vAlign w:val="top"/>
          </w:tcPr>
          <w:p w14:paraId="68A052A7">
            <w:pPr>
              <w:spacing w:before="91" w:line="195" w:lineRule="auto"/>
              <w:ind w:left="15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5.7778</w:t>
            </w:r>
          </w:p>
        </w:tc>
        <w:tc>
          <w:tcPr>
            <w:tcW w:w="720" w:type="dxa"/>
            <w:vAlign w:val="top"/>
          </w:tcPr>
          <w:p w14:paraId="5064DB37">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0.3614</w:t>
            </w:r>
          </w:p>
        </w:tc>
        <w:tc>
          <w:tcPr>
            <w:tcW w:w="884" w:type="dxa"/>
            <w:vAlign w:val="top"/>
          </w:tcPr>
          <w:p w14:paraId="24763405">
            <w:pPr>
              <w:spacing w:before="93"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7.6609</w:t>
            </w:r>
          </w:p>
        </w:tc>
        <w:tc>
          <w:tcPr>
            <w:tcW w:w="791" w:type="dxa"/>
            <w:vAlign w:val="top"/>
          </w:tcPr>
          <w:p w14:paraId="3B20F922">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0.5307</w:t>
            </w:r>
          </w:p>
        </w:tc>
        <w:tc>
          <w:tcPr>
            <w:tcW w:w="913" w:type="dxa"/>
            <w:vAlign w:val="top"/>
          </w:tcPr>
          <w:p w14:paraId="06096467">
            <w:pPr>
              <w:spacing w:before="93" w:line="19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9.445</w:t>
            </w:r>
          </w:p>
        </w:tc>
      </w:tr>
      <w:tr w14:paraId="2AEEB3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6BAD16C7">
            <w:pPr>
              <w:pStyle w:val="6"/>
              <w:spacing w:before="54" w:line="228" w:lineRule="auto"/>
              <w:ind w:left="41"/>
            </w:pPr>
            <w:r>
              <w:rPr>
                <w:spacing w:val="5"/>
              </w:rPr>
              <w:t>距原点</w:t>
            </w:r>
            <w:r>
              <w:rPr>
                <w:rFonts w:ascii="Times New Roman" w:hAnsi="Times New Roman" w:eastAsia="Times New Roman" w:cs="Times New Roman"/>
                <w:spacing w:val="5"/>
              </w:rPr>
              <w:t xml:space="preserve">-12 </w:t>
            </w:r>
            <w:r>
              <w:rPr>
                <w:spacing w:val="5"/>
              </w:rPr>
              <w:t>米</w:t>
            </w:r>
          </w:p>
        </w:tc>
        <w:tc>
          <w:tcPr>
            <w:tcW w:w="1012" w:type="dxa"/>
            <w:vAlign w:val="top"/>
          </w:tcPr>
          <w:p w14:paraId="43B4C88A">
            <w:pPr>
              <w:spacing w:before="91" w:line="195"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-7.65</w:t>
            </w:r>
          </w:p>
        </w:tc>
        <w:tc>
          <w:tcPr>
            <w:tcW w:w="780" w:type="dxa"/>
            <w:vAlign w:val="top"/>
          </w:tcPr>
          <w:p w14:paraId="1E099712">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0.2821</w:t>
            </w:r>
          </w:p>
        </w:tc>
        <w:tc>
          <w:tcPr>
            <w:tcW w:w="899" w:type="dxa"/>
            <w:vAlign w:val="top"/>
          </w:tcPr>
          <w:p w14:paraId="76DCEABA">
            <w:pPr>
              <w:spacing w:before="9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7.2458</w:t>
            </w:r>
          </w:p>
        </w:tc>
        <w:tc>
          <w:tcPr>
            <w:tcW w:w="780" w:type="dxa"/>
            <w:vAlign w:val="top"/>
          </w:tcPr>
          <w:p w14:paraId="61287EC4">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0.3097</w:t>
            </w:r>
          </w:p>
        </w:tc>
        <w:tc>
          <w:tcPr>
            <w:tcW w:w="884" w:type="dxa"/>
            <w:vAlign w:val="top"/>
          </w:tcPr>
          <w:p w14:paraId="467985EC">
            <w:pPr>
              <w:spacing w:before="91"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6.4821</w:t>
            </w:r>
          </w:p>
        </w:tc>
        <w:tc>
          <w:tcPr>
            <w:tcW w:w="720" w:type="dxa"/>
            <w:vAlign w:val="top"/>
          </w:tcPr>
          <w:p w14:paraId="095AD14E">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0.4679</w:t>
            </w:r>
          </w:p>
        </w:tc>
        <w:tc>
          <w:tcPr>
            <w:tcW w:w="884" w:type="dxa"/>
            <w:vAlign w:val="top"/>
          </w:tcPr>
          <w:p w14:paraId="153ED268">
            <w:pPr>
              <w:spacing w:before="93"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8.9299</w:t>
            </w:r>
          </w:p>
        </w:tc>
        <w:tc>
          <w:tcPr>
            <w:tcW w:w="791" w:type="dxa"/>
            <w:vAlign w:val="top"/>
          </w:tcPr>
          <w:p w14:paraId="4183682D">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0.6701</w:t>
            </w:r>
          </w:p>
        </w:tc>
        <w:tc>
          <w:tcPr>
            <w:tcW w:w="913" w:type="dxa"/>
            <w:vAlign w:val="top"/>
          </w:tcPr>
          <w:p w14:paraId="63B72B06">
            <w:pPr>
              <w:spacing w:before="93" w:line="195" w:lineRule="auto"/>
              <w:ind w:left="13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11.3521</w:t>
            </w:r>
          </w:p>
        </w:tc>
      </w:tr>
      <w:tr w14:paraId="6EE80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618D5F9D">
            <w:pPr>
              <w:pStyle w:val="6"/>
              <w:spacing w:before="54" w:line="228" w:lineRule="auto"/>
              <w:ind w:left="43"/>
            </w:pPr>
            <w:r>
              <w:rPr>
                <w:spacing w:val="4"/>
              </w:rPr>
              <w:t>距原点</w:t>
            </w:r>
            <w:r>
              <w:rPr>
                <w:rFonts w:ascii="Times New Roman" w:hAnsi="Times New Roman" w:eastAsia="Times New Roman" w:cs="Times New Roman"/>
                <w:spacing w:val="4"/>
              </w:rPr>
              <w:t xml:space="preserve">-11 </w:t>
            </w:r>
            <w:r>
              <w:rPr>
                <w:spacing w:val="4"/>
              </w:rPr>
              <w:t>米</w:t>
            </w:r>
          </w:p>
        </w:tc>
        <w:tc>
          <w:tcPr>
            <w:tcW w:w="1012" w:type="dxa"/>
            <w:vAlign w:val="top"/>
          </w:tcPr>
          <w:p w14:paraId="26B26D08">
            <w:pPr>
              <w:spacing w:before="93" w:line="195"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-6.65</w:t>
            </w:r>
          </w:p>
        </w:tc>
        <w:tc>
          <w:tcPr>
            <w:tcW w:w="780" w:type="dxa"/>
            <w:vAlign w:val="top"/>
          </w:tcPr>
          <w:p w14:paraId="599B8987">
            <w:pPr>
              <w:spacing w:before="93"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0.4117</w:t>
            </w:r>
          </w:p>
        </w:tc>
        <w:tc>
          <w:tcPr>
            <w:tcW w:w="899" w:type="dxa"/>
            <w:vAlign w:val="top"/>
          </w:tcPr>
          <w:p w14:paraId="1D2ADB97">
            <w:pPr>
              <w:spacing w:before="93"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8.2673</w:t>
            </w:r>
          </w:p>
        </w:tc>
        <w:tc>
          <w:tcPr>
            <w:tcW w:w="780" w:type="dxa"/>
            <w:vAlign w:val="top"/>
          </w:tcPr>
          <w:p w14:paraId="51619791">
            <w:pPr>
              <w:spacing w:before="93"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0.4342</w:t>
            </w:r>
          </w:p>
        </w:tc>
        <w:tc>
          <w:tcPr>
            <w:tcW w:w="884" w:type="dxa"/>
            <w:vAlign w:val="top"/>
          </w:tcPr>
          <w:p w14:paraId="51719B00">
            <w:pPr>
              <w:spacing w:before="93"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7.2867</w:t>
            </w:r>
          </w:p>
        </w:tc>
        <w:tc>
          <w:tcPr>
            <w:tcW w:w="720" w:type="dxa"/>
            <w:vAlign w:val="top"/>
          </w:tcPr>
          <w:p w14:paraId="43C03C33">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0.6139</w:t>
            </w:r>
          </w:p>
        </w:tc>
        <w:tc>
          <w:tcPr>
            <w:tcW w:w="884" w:type="dxa"/>
            <w:vAlign w:val="top"/>
          </w:tcPr>
          <w:p w14:paraId="2F0A867F">
            <w:pPr>
              <w:spacing w:before="93" w:line="195" w:lineRule="auto"/>
              <w:ind w:left="12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10.5149</w:t>
            </w:r>
          </w:p>
        </w:tc>
        <w:tc>
          <w:tcPr>
            <w:tcW w:w="791" w:type="dxa"/>
            <w:vAlign w:val="top"/>
          </w:tcPr>
          <w:p w14:paraId="0D71B5E2">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0.8636</w:t>
            </w:r>
          </w:p>
        </w:tc>
        <w:tc>
          <w:tcPr>
            <w:tcW w:w="913" w:type="dxa"/>
            <w:vAlign w:val="top"/>
          </w:tcPr>
          <w:p w14:paraId="6A869D2C">
            <w:pPr>
              <w:spacing w:before="93" w:line="195" w:lineRule="auto"/>
              <w:ind w:left="190"/>
              <w:rPr>
                <w:rFonts w:ascii="Times New Roman" w:hAnsi="Times New Roman" w:eastAsia="Times New Roman" w:cs="Times New Roman"/>
                <w:sz w:val="20"/>
                <w:szCs w:val="20"/>
              </w:rPr>
            </w:pPr>
            <w:r>
              <w:rPr>
                <w:rFonts w:ascii="Times New Roman" w:hAnsi="Times New Roman" w:eastAsia="Times New Roman" w:cs="Times New Roman"/>
                <w:sz w:val="20"/>
                <w:szCs w:val="20"/>
              </w:rPr>
              <w:t>13.879</w:t>
            </w:r>
          </w:p>
        </w:tc>
      </w:tr>
      <w:tr w14:paraId="47DA6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27C4983F">
            <w:pPr>
              <w:pStyle w:val="6"/>
              <w:spacing w:before="54" w:line="228" w:lineRule="auto"/>
              <w:ind w:left="41"/>
            </w:pPr>
            <w:r>
              <w:rPr>
                <w:spacing w:val="5"/>
              </w:rPr>
              <w:t>距原点</w:t>
            </w:r>
            <w:r>
              <w:rPr>
                <w:rFonts w:ascii="Times New Roman" w:hAnsi="Times New Roman" w:eastAsia="Times New Roman" w:cs="Times New Roman"/>
                <w:spacing w:val="5"/>
              </w:rPr>
              <w:t xml:space="preserve">-10 </w:t>
            </w:r>
            <w:r>
              <w:rPr>
                <w:spacing w:val="5"/>
              </w:rPr>
              <w:t>米</w:t>
            </w:r>
          </w:p>
        </w:tc>
        <w:tc>
          <w:tcPr>
            <w:tcW w:w="1012" w:type="dxa"/>
            <w:vAlign w:val="top"/>
          </w:tcPr>
          <w:p w14:paraId="72B80362">
            <w:pPr>
              <w:spacing w:before="92" w:line="195"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-5.65</w:t>
            </w:r>
          </w:p>
        </w:tc>
        <w:tc>
          <w:tcPr>
            <w:tcW w:w="780" w:type="dxa"/>
            <w:vAlign w:val="top"/>
          </w:tcPr>
          <w:p w14:paraId="64760EA1">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0.5905</w:t>
            </w:r>
          </w:p>
        </w:tc>
        <w:tc>
          <w:tcPr>
            <w:tcW w:w="899" w:type="dxa"/>
            <w:vAlign w:val="top"/>
          </w:tcPr>
          <w:p w14:paraId="22EC6B44">
            <w:pPr>
              <w:spacing w:before="92"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9.4664</w:t>
            </w:r>
          </w:p>
        </w:tc>
        <w:tc>
          <w:tcPr>
            <w:tcW w:w="780" w:type="dxa"/>
            <w:vAlign w:val="top"/>
          </w:tcPr>
          <w:p w14:paraId="2A1CC8FC">
            <w:pPr>
              <w:spacing w:before="92"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0.5931</w:t>
            </w:r>
          </w:p>
        </w:tc>
        <w:tc>
          <w:tcPr>
            <w:tcW w:w="884" w:type="dxa"/>
            <w:vAlign w:val="top"/>
          </w:tcPr>
          <w:p w14:paraId="7691D291">
            <w:pPr>
              <w:spacing w:before="92" w:line="195" w:lineRule="auto"/>
              <w:ind w:left="16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8.1969</w:t>
            </w:r>
          </w:p>
        </w:tc>
        <w:tc>
          <w:tcPr>
            <w:tcW w:w="720" w:type="dxa"/>
            <w:vAlign w:val="top"/>
          </w:tcPr>
          <w:p w14:paraId="2082C496">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0.8121</w:t>
            </w:r>
          </w:p>
        </w:tc>
        <w:tc>
          <w:tcPr>
            <w:tcW w:w="884" w:type="dxa"/>
            <w:vAlign w:val="top"/>
          </w:tcPr>
          <w:p w14:paraId="3BCA1FB7">
            <w:pPr>
              <w:spacing w:before="92" w:line="195" w:lineRule="auto"/>
              <w:ind w:left="12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12.5234</w:t>
            </w:r>
          </w:p>
        </w:tc>
        <w:tc>
          <w:tcPr>
            <w:tcW w:w="791" w:type="dxa"/>
            <w:vAlign w:val="top"/>
          </w:tcPr>
          <w:p w14:paraId="4DA3B74C">
            <w:pPr>
              <w:spacing w:before="92" w:line="195" w:lineRule="auto"/>
              <w:ind w:left="129"/>
              <w:rPr>
                <w:rFonts w:ascii="Times New Roman" w:hAnsi="Times New Roman" w:eastAsia="Times New Roman" w:cs="Times New Roman"/>
                <w:sz w:val="20"/>
                <w:szCs w:val="20"/>
              </w:rPr>
            </w:pPr>
            <w:r>
              <w:rPr>
                <w:rFonts w:ascii="Times New Roman" w:hAnsi="Times New Roman" w:eastAsia="Times New Roman" w:cs="Times New Roman"/>
                <w:sz w:val="20"/>
                <w:szCs w:val="20"/>
              </w:rPr>
              <w:t>1.1374</w:t>
            </w:r>
          </w:p>
        </w:tc>
        <w:tc>
          <w:tcPr>
            <w:tcW w:w="913" w:type="dxa"/>
            <w:vAlign w:val="top"/>
          </w:tcPr>
          <w:p w14:paraId="2EB84812">
            <w:pPr>
              <w:spacing w:before="92" w:line="195" w:lineRule="auto"/>
              <w:ind w:left="13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17.3287</w:t>
            </w:r>
          </w:p>
        </w:tc>
      </w:tr>
      <w:tr w14:paraId="780B4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4EED9E1B">
            <w:pPr>
              <w:pStyle w:val="6"/>
              <w:spacing w:before="56" w:line="228" w:lineRule="auto"/>
              <w:ind w:left="91"/>
            </w:pPr>
            <w:r>
              <w:rPr>
                <w:spacing w:val="4"/>
              </w:rPr>
              <w:t>距原点</w:t>
            </w:r>
            <w:r>
              <w:rPr>
                <w:rFonts w:ascii="Times New Roman" w:hAnsi="Times New Roman" w:eastAsia="Times New Roman" w:cs="Times New Roman"/>
                <w:spacing w:val="4"/>
              </w:rPr>
              <w:t>-9</w:t>
            </w:r>
            <w:r>
              <w:rPr>
                <w:rFonts w:ascii="Times New Roman" w:hAnsi="Times New Roman" w:eastAsia="Times New Roman" w:cs="Times New Roman"/>
                <w:spacing w:val="16"/>
                <w:w w:val="101"/>
              </w:rPr>
              <w:t xml:space="preserve"> </w:t>
            </w:r>
            <w:r>
              <w:rPr>
                <w:spacing w:val="4"/>
              </w:rPr>
              <w:t>米</w:t>
            </w:r>
          </w:p>
        </w:tc>
        <w:tc>
          <w:tcPr>
            <w:tcW w:w="1012" w:type="dxa"/>
            <w:vAlign w:val="top"/>
          </w:tcPr>
          <w:p w14:paraId="190FB7E0">
            <w:pPr>
              <w:spacing w:before="92" w:line="195"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-4.65</w:t>
            </w:r>
          </w:p>
        </w:tc>
        <w:tc>
          <w:tcPr>
            <w:tcW w:w="780" w:type="dxa"/>
            <w:vAlign w:val="top"/>
          </w:tcPr>
          <w:p w14:paraId="49A9427D">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0.8267</w:t>
            </w:r>
          </w:p>
        </w:tc>
        <w:tc>
          <w:tcPr>
            <w:tcW w:w="899" w:type="dxa"/>
            <w:vAlign w:val="top"/>
          </w:tcPr>
          <w:p w14:paraId="2705B83A">
            <w:pPr>
              <w:spacing w:before="92"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10.8608</w:t>
            </w:r>
          </w:p>
        </w:tc>
        <w:tc>
          <w:tcPr>
            <w:tcW w:w="780" w:type="dxa"/>
            <w:vAlign w:val="top"/>
          </w:tcPr>
          <w:p w14:paraId="3FD56A2B">
            <w:pPr>
              <w:spacing w:before="92"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0.7886</w:t>
            </w:r>
          </w:p>
        </w:tc>
        <w:tc>
          <w:tcPr>
            <w:tcW w:w="884" w:type="dxa"/>
            <w:vAlign w:val="top"/>
          </w:tcPr>
          <w:p w14:paraId="428484EF">
            <w:pPr>
              <w:spacing w:before="92"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9.2082</w:t>
            </w:r>
          </w:p>
        </w:tc>
        <w:tc>
          <w:tcPr>
            <w:tcW w:w="720" w:type="dxa"/>
            <w:vAlign w:val="top"/>
          </w:tcPr>
          <w:p w14:paraId="47199DE9">
            <w:pPr>
              <w:spacing w:before="92" w:line="195" w:lineRule="auto"/>
              <w:ind w:left="94"/>
              <w:rPr>
                <w:rFonts w:ascii="Times New Roman" w:hAnsi="Times New Roman" w:eastAsia="Times New Roman" w:cs="Times New Roman"/>
                <w:sz w:val="20"/>
                <w:szCs w:val="20"/>
              </w:rPr>
            </w:pPr>
            <w:r>
              <w:rPr>
                <w:rFonts w:ascii="Times New Roman" w:hAnsi="Times New Roman" w:eastAsia="Times New Roman" w:cs="Times New Roman"/>
                <w:sz w:val="20"/>
                <w:szCs w:val="20"/>
              </w:rPr>
              <w:t>1.0797</w:t>
            </w:r>
          </w:p>
        </w:tc>
        <w:tc>
          <w:tcPr>
            <w:tcW w:w="884" w:type="dxa"/>
            <w:vAlign w:val="top"/>
          </w:tcPr>
          <w:p w14:paraId="5D8D8DC3">
            <w:pPr>
              <w:spacing w:before="92" w:line="195" w:lineRule="auto"/>
              <w:ind w:left="12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15.1086</w:t>
            </w:r>
          </w:p>
        </w:tc>
        <w:tc>
          <w:tcPr>
            <w:tcW w:w="791" w:type="dxa"/>
            <w:vAlign w:val="top"/>
          </w:tcPr>
          <w:p w14:paraId="5A59A920">
            <w:pPr>
              <w:spacing w:before="92" w:line="195" w:lineRule="auto"/>
              <w:ind w:left="18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1.536</w:t>
            </w:r>
          </w:p>
        </w:tc>
        <w:tc>
          <w:tcPr>
            <w:tcW w:w="913" w:type="dxa"/>
            <w:vAlign w:val="top"/>
          </w:tcPr>
          <w:p w14:paraId="43976469">
            <w:pPr>
              <w:spacing w:before="92"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22.225</w:t>
            </w:r>
          </w:p>
        </w:tc>
      </w:tr>
      <w:tr w14:paraId="46743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29B75027">
            <w:pPr>
              <w:pStyle w:val="6"/>
              <w:spacing w:before="55" w:line="228" w:lineRule="auto"/>
              <w:ind w:left="91"/>
            </w:pPr>
            <w:r>
              <w:rPr>
                <w:spacing w:val="4"/>
              </w:rPr>
              <w:t>距原点</w:t>
            </w:r>
            <w:r>
              <w:rPr>
                <w:rFonts w:ascii="Times New Roman" w:hAnsi="Times New Roman" w:eastAsia="Times New Roman" w:cs="Times New Roman"/>
                <w:spacing w:val="4"/>
              </w:rPr>
              <w:t>-8</w:t>
            </w:r>
            <w:r>
              <w:rPr>
                <w:rFonts w:ascii="Times New Roman" w:hAnsi="Times New Roman" w:eastAsia="Times New Roman" w:cs="Times New Roman"/>
                <w:spacing w:val="16"/>
                <w:w w:val="101"/>
              </w:rPr>
              <w:t xml:space="preserve"> </w:t>
            </w:r>
            <w:r>
              <w:rPr>
                <w:spacing w:val="4"/>
              </w:rPr>
              <w:t>米</w:t>
            </w:r>
          </w:p>
        </w:tc>
        <w:tc>
          <w:tcPr>
            <w:tcW w:w="1012" w:type="dxa"/>
            <w:vAlign w:val="top"/>
          </w:tcPr>
          <w:p w14:paraId="4CC3B244">
            <w:pPr>
              <w:spacing w:before="91" w:line="195"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-3.65</w:t>
            </w:r>
          </w:p>
        </w:tc>
        <w:tc>
          <w:tcPr>
            <w:tcW w:w="780" w:type="dxa"/>
            <w:vAlign w:val="top"/>
          </w:tcPr>
          <w:p w14:paraId="28662395">
            <w:pPr>
              <w:spacing w:before="91" w:line="195" w:lineRule="auto"/>
              <w:ind w:left="122"/>
              <w:rPr>
                <w:rFonts w:ascii="Times New Roman" w:hAnsi="Times New Roman" w:eastAsia="Times New Roman" w:cs="Times New Roman"/>
                <w:sz w:val="20"/>
                <w:szCs w:val="20"/>
              </w:rPr>
            </w:pPr>
            <w:r>
              <w:rPr>
                <w:rFonts w:ascii="Times New Roman" w:hAnsi="Times New Roman" w:eastAsia="Times New Roman" w:cs="Times New Roman"/>
                <w:sz w:val="20"/>
                <w:szCs w:val="20"/>
              </w:rPr>
              <w:t>1.1246</w:t>
            </w:r>
          </w:p>
        </w:tc>
        <w:tc>
          <w:tcPr>
            <w:tcW w:w="899" w:type="dxa"/>
            <w:vAlign w:val="top"/>
          </w:tcPr>
          <w:p w14:paraId="49A65E36">
            <w:pPr>
              <w:spacing w:before="91"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12.447</w:t>
            </w:r>
          </w:p>
        </w:tc>
        <w:tc>
          <w:tcPr>
            <w:tcW w:w="780" w:type="dxa"/>
            <w:vAlign w:val="top"/>
          </w:tcPr>
          <w:p w14:paraId="04807ECC">
            <w:pPr>
              <w:spacing w:before="91" w:line="195" w:lineRule="auto"/>
              <w:ind w:left="123"/>
              <w:rPr>
                <w:rFonts w:ascii="Times New Roman" w:hAnsi="Times New Roman" w:eastAsia="Times New Roman" w:cs="Times New Roman"/>
                <w:sz w:val="20"/>
                <w:szCs w:val="20"/>
              </w:rPr>
            </w:pPr>
            <w:r>
              <w:rPr>
                <w:rFonts w:ascii="Times New Roman" w:hAnsi="Times New Roman" w:eastAsia="Times New Roman" w:cs="Times New Roman"/>
                <w:sz w:val="20"/>
                <w:szCs w:val="20"/>
              </w:rPr>
              <w:t>1.0177</w:t>
            </w:r>
          </w:p>
        </w:tc>
        <w:tc>
          <w:tcPr>
            <w:tcW w:w="884" w:type="dxa"/>
            <w:vAlign w:val="top"/>
          </w:tcPr>
          <w:p w14:paraId="2CA48E89">
            <w:pPr>
              <w:spacing w:before="91"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10.296</w:t>
            </w:r>
          </w:p>
        </w:tc>
        <w:tc>
          <w:tcPr>
            <w:tcW w:w="720" w:type="dxa"/>
            <w:vAlign w:val="top"/>
          </w:tcPr>
          <w:p w14:paraId="227074EE">
            <w:pPr>
              <w:spacing w:before="94" w:line="195" w:lineRule="auto"/>
              <w:ind w:left="94"/>
              <w:rPr>
                <w:rFonts w:ascii="Times New Roman" w:hAnsi="Times New Roman" w:eastAsia="Times New Roman" w:cs="Times New Roman"/>
                <w:sz w:val="20"/>
                <w:szCs w:val="20"/>
              </w:rPr>
            </w:pPr>
            <w:r>
              <w:rPr>
                <w:rFonts w:ascii="Times New Roman" w:hAnsi="Times New Roman" w:eastAsia="Times New Roman" w:cs="Times New Roman"/>
                <w:sz w:val="20"/>
                <w:szCs w:val="20"/>
              </w:rPr>
              <w:t>1.4399</w:t>
            </w:r>
          </w:p>
        </w:tc>
        <w:tc>
          <w:tcPr>
            <w:tcW w:w="884" w:type="dxa"/>
            <w:vAlign w:val="top"/>
          </w:tcPr>
          <w:p w14:paraId="447ACCD3">
            <w:pPr>
              <w:spacing w:before="94" w:line="195" w:lineRule="auto"/>
              <w:ind w:left="12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18.4841</w:t>
            </w:r>
          </w:p>
        </w:tc>
        <w:tc>
          <w:tcPr>
            <w:tcW w:w="791" w:type="dxa"/>
            <w:vAlign w:val="top"/>
          </w:tcPr>
          <w:p w14:paraId="2D02F483">
            <w:pPr>
              <w:spacing w:before="94"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pacing w:val="-1"/>
                <w:sz w:val="20"/>
                <w:szCs w:val="20"/>
              </w:rPr>
              <w:t>1424</w:t>
            </w:r>
          </w:p>
        </w:tc>
        <w:tc>
          <w:tcPr>
            <w:tcW w:w="913" w:type="dxa"/>
            <w:vAlign w:val="top"/>
          </w:tcPr>
          <w:p w14:paraId="1681D42C">
            <w:pPr>
              <w:spacing w:before="94" w:line="195" w:lineRule="auto"/>
              <w:ind w:left="11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29.5493</w:t>
            </w:r>
          </w:p>
        </w:tc>
      </w:tr>
      <w:tr w14:paraId="15598C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7B5C228A">
            <w:pPr>
              <w:pStyle w:val="6"/>
              <w:spacing w:before="55" w:line="228" w:lineRule="auto"/>
              <w:ind w:left="91"/>
            </w:pPr>
            <w:r>
              <w:rPr>
                <w:spacing w:val="4"/>
              </w:rPr>
              <w:t>距原点</w:t>
            </w:r>
            <w:r>
              <w:rPr>
                <w:rFonts w:ascii="Times New Roman" w:hAnsi="Times New Roman" w:eastAsia="Times New Roman" w:cs="Times New Roman"/>
                <w:spacing w:val="4"/>
              </w:rPr>
              <w:t>-7</w:t>
            </w:r>
            <w:r>
              <w:rPr>
                <w:rFonts w:ascii="Times New Roman" w:hAnsi="Times New Roman" w:eastAsia="Times New Roman" w:cs="Times New Roman"/>
                <w:spacing w:val="16"/>
                <w:w w:val="101"/>
              </w:rPr>
              <w:t xml:space="preserve"> </w:t>
            </w:r>
            <w:r>
              <w:rPr>
                <w:spacing w:val="4"/>
              </w:rPr>
              <w:t>米</w:t>
            </w:r>
          </w:p>
        </w:tc>
        <w:tc>
          <w:tcPr>
            <w:tcW w:w="1012" w:type="dxa"/>
            <w:vAlign w:val="top"/>
          </w:tcPr>
          <w:p w14:paraId="50196364">
            <w:pPr>
              <w:spacing w:before="91" w:line="195"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-2.65</w:t>
            </w:r>
          </w:p>
        </w:tc>
        <w:tc>
          <w:tcPr>
            <w:tcW w:w="780" w:type="dxa"/>
            <w:vAlign w:val="top"/>
          </w:tcPr>
          <w:p w14:paraId="0E06CAA5">
            <w:pPr>
              <w:spacing w:before="91" w:line="195" w:lineRule="auto"/>
              <w:ind w:left="122"/>
              <w:rPr>
                <w:rFonts w:ascii="Times New Roman" w:hAnsi="Times New Roman" w:eastAsia="Times New Roman" w:cs="Times New Roman"/>
                <w:sz w:val="20"/>
                <w:szCs w:val="20"/>
              </w:rPr>
            </w:pPr>
            <w:r>
              <w:rPr>
                <w:rFonts w:ascii="Times New Roman" w:hAnsi="Times New Roman" w:eastAsia="Times New Roman" w:cs="Times New Roman"/>
                <w:sz w:val="20"/>
                <w:szCs w:val="20"/>
              </w:rPr>
              <w:t>1.4758</w:t>
            </w:r>
          </w:p>
        </w:tc>
        <w:tc>
          <w:tcPr>
            <w:tcW w:w="899" w:type="dxa"/>
            <w:vAlign w:val="top"/>
          </w:tcPr>
          <w:p w14:paraId="2350676D">
            <w:pPr>
              <w:spacing w:before="91"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14.1686</w:t>
            </w:r>
          </w:p>
        </w:tc>
        <w:tc>
          <w:tcPr>
            <w:tcW w:w="780" w:type="dxa"/>
            <w:vAlign w:val="top"/>
          </w:tcPr>
          <w:p w14:paraId="4C533E02">
            <w:pPr>
              <w:spacing w:before="91" w:line="195" w:lineRule="auto"/>
              <w:ind w:left="123"/>
              <w:rPr>
                <w:rFonts w:ascii="Times New Roman" w:hAnsi="Times New Roman" w:eastAsia="Times New Roman" w:cs="Times New Roman"/>
                <w:sz w:val="20"/>
                <w:szCs w:val="20"/>
              </w:rPr>
            </w:pPr>
            <w:r>
              <w:rPr>
                <w:rFonts w:ascii="Times New Roman" w:hAnsi="Times New Roman" w:eastAsia="Times New Roman" w:cs="Times New Roman"/>
                <w:sz w:val="20"/>
                <w:szCs w:val="20"/>
              </w:rPr>
              <w:t>1.2675</w:t>
            </w:r>
          </w:p>
        </w:tc>
        <w:tc>
          <w:tcPr>
            <w:tcW w:w="884" w:type="dxa"/>
            <w:vAlign w:val="top"/>
          </w:tcPr>
          <w:p w14:paraId="1790F23D">
            <w:pPr>
              <w:spacing w:before="91" w:line="195" w:lineRule="auto"/>
              <w:ind w:left="1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11.4003</w:t>
            </w:r>
          </w:p>
        </w:tc>
        <w:tc>
          <w:tcPr>
            <w:tcW w:w="720" w:type="dxa"/>
            <w:vAlign w:val="top"/>
          </w:tcPr>
          <w:p w14:paraId="534B90FE">
            <w:pPr>
              <w:spacing w:before="93" w:line="195" w:lineRule="auto"/>
              <w:ind w:left="94"/>
              <w:rPr>
                <w:rFonts w:ascii="Times New Roman" w:hAnsi="Times New Roman" w:eastAsia="Times New Roman" w:cs="Times New Roman"/>
                <w:sz w:val="20"/>
                <w:szCs w:val="20"/>
              </w:rPr>
            </w:pPr>
            <w:r>
              <w:rPr>
                <w:rFonts w:ascii="Times New Roman" w:hAnsi="Times New Roman" w:eastAsia="Times New Roman" w:cs="Times New Roman"/>
                <w:sz w:val="20"/>
                <w:szCs w:val="20"/>
              </w:rPr>
              <w:t>1.9202</w:t>
            </w:r>
          </w:p>
        </w:tc>
        <w:tc>
          <w:tcPr>
            <w:tcW w:w="884" w:type="dxa"/>
            <w:vAlign w:val="top"/>
          </w:tcPr>
          <w:p w14:paraId="3296DE39">
            <w:pPr>
              <w:spacing w:before="93"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22.9157</w:t>
            </w:r>
          </w:p>
        </w:tc>
        <w:tc>
          <w:tcPr>
            <w:tcW w:w="791" w:type="dxa"/>
            <w:vAlign w:val="top"/>
          </w:tcPr>
          <w:p w14:paraId="106E6203">
            <w:pPr>
              <w:spacing w:before="93" w:line="195" w:lineRule="auto"/>
              <w:ind w:left="11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3.1288</w:t>
            </w:r>
          </w:p>
        </w:tc>
        <w:tc>
          <w:tcPr>
            <w:tcW w:w="913" w:type="dxa"/>
            <w:vAlign w:val="top"/>
          </w:tcPr>
          <w:p w14:paraId="588DCB80">
            <w:pPr>
              <w:spacing w:before="93" w:line="195" w:lineRule="auto"/>
              <w:ind w:left="11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41.3589</w:t>
            </w:r>
          </w:p>
        </w:tc>
      </w:tr>
      <w:tr w14:paraId="2C42C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3294FDEB">
            <w:pPr>
              <w:pStyle w:val="6"/>
              <w:spacing w:before="54" w:line="228" w:lineRule="auto"/>
              <w:ind w:left="91"/>
            </w:pPr>
            <w:r>
              <w:rPr>
                <w:spacing w:val="4"/>
              </w:rPr>
              <w:t>距原点</w:t>
            </w:r>
            <w:r>
              <w:rPr>
                <w:rFonts w:ascii="Times New Roman" w:hAnsi="Times New Roman" w:eastAsia="Times New Roman" w:cs="Times New Roman"/>
                <w:spacing w:val="4"/>
              </w:rPr>
              <w:t>-6</w:t>
            </w:r>
            <w:r>
              <w:rPr>
                <w:rFonts w:ascii="Times New Roman" w:hAnsi="Times New Roman" w:eastAsia="Times New Roman" w:cs="Times New Roman"/>
                <w:spacing w:val="16"/>
                <w:w w:val="101"/>
              </w:rPr>
              <w:t xml:space="preserve"> </w:t>
            </w:r>
            <w:r>
              <w:rPr>
                <w:spacing w:val="4"/>
              </w:rPr>
              <w:t>米</w:t>
            </w:r>
          </w:p>
        </w:tc>
        <w:tc>
          <w:tcPr>
            <w:tcW w:w="1012" w:type="dxa"/>
            <w:vAlign w:val="top"/>
          </w:tcPr>
          <w:p w14:paraId="234A6B92">
            <w:pPr>
              <w:spacing w:before="91" w:line="195"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spacing w:val="-3"/>
                <w:sz w:val="20"/>
                <w:szCs w:val="20"/>
              </w:rPr>
              <w:t>1.65</w:t>
            </w:r>
          </w:p>
        </w:tc>
        <w:tc>
          <w:tcPr>
            <w:tcW w:w="780" w:type="dxa"/>
            <w:vAlign w:val="top"/>
          </w:tcPr>
          <w:p w14:paraId="14F0756D">
            <w:pPr>
              <w:spacing w:before="91" w:line="195" w:lineRule="auto"/>
              <w:ind w:left="122"/>
              <w:rPr>
                <w:rFonts w:ascii="Times New Roman" w:hAnsi="Times New Roman" w:eastAsia="Times New Roman" w:cs="Times New Roman"/>
                <w:sz w:val="20"/>
                <w:szCs w:val="20"/>
              </w:rPr>
            </w:pPr>
            <w:r>
              <w:rPr>
                <w:rFonts w:ascii="Times New Roman" w:hAnsi="Times New Roman" w:eastAsia="Times New Roman" w:cs="Times New Roman"/>
                <w:sz w:val="20"/>
                <w:szCs w:val="20"/>
              </w:rPr>
              <w:t>1.8452</w:t>
            </w:r>
          </w:p>
        </w:tc>
        <w:tc>
          <w:tcPr>
            <w:tcW w:w="899" w:type="dxa"/>
            <w:vAlign w:val="top"/>
          </w:tcPr>
          <w:p w14:paraId="13A184D3">
            <w:pPr>
              <w:spacing w:before="91"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15.8669</w:t>
            </w:r>
          </w:p>
        </w:tc>
        <w:tc>
          <w:tcPr>
            <w:tcW w:w="780" w:type="dxa"/>
            <w:vAlign w:val="top"/>
          </w:tcPr>
          <w:p w14:paraId="3C93F479">
            <w:pPr>
              <w:spacing w:before="91" w:line="195" w:lineRule="auto"/>
              <w:ind w:left="123"/>
              <w:rPr>
                <w:rFonts w:ascii="Times New Roman" w:hAnsi="Times New Roman" w:eastAsia="Times New Roman" w:cs="Times New Roman"/>
                <w:sz w:val="20"/>
                <w:szCs w:val="20"/>
              </w:rPr>
            </w:pPr>
            <w:r>
              <w:rPr>
                <w:rFonts w:ascii="Times New Roman" w:hAnsi="Times New Roman" w:eastAsia="Times New Roman" w:cs="Times New Roman"/>
                <w:sz w:val="20"/>
                <w:szCs w:val="20"/>
              </w:rPr>
              <w:t>1.5102</w:t>
            </w:r>
          </w:p>
        </w:tc>
        <w:tc>
          <w:tcPr>
            <w:tcW w:w="884" w:type="dxa"/>
            <w:vAlign w:val="top"/>
          </w:tcPr>
          <w:p w14:paraId="70F58574">
            <w:pPr>
              <w:spacing w:before="91" w:line="195" w:lineRule="auto"/>
              <w:ind w:left="1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12.4116</w:t>
            </w:r>
          </w:p>
        </w:tc>
        <w:tc>
          <w:tcPr>
            <w:tcW w:w="720" w:type="dxa"/>
            <w:vAlign w:val="top"/>
          </w:tcPr>
          <w:p w14:paraId="7C92E6EB">
            <w:pPr>
              <w:spacing w:before="93" w:line="195" w:lineRule="auto"/>
              <w:ind w:left="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2.5353</w:t>
            </w:r>
          </w:p>
        </w:tc>
        <w:tc>
          <w:tcPr>
            <w:tcW w:w="884" w:type="dxa"/>
            <w:vAlign w:val="top"/>
          </w:tcPr>
          <w:p w14:paraId="0E8F7C2D">
            <w:pPr>
              <w:spacing w:before="93"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28.5703</w:t>
            </w:r>
          </w:p>
        </w:tc>
        <w:tc>
          <w:tcPr>
            <w:tcW w:w="791" w:type="dxa"/>
            <w:vAlign w:val="top"/>
          </w:tcPr>
          <w:p w14:paraId="3D3236DC">
            <w:pPr>
              <w:spacing w:before="93" w:line="195" w:lineRule="auto"/>
              <w:ind w:left="10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4.9207</w:t>
            </w:r>
          </w:p>
        </w:tc>
        <w:tc>
          <w:tcPr>
            <w:tcW w:w="913" w:type="dxa"/>
            <w:vAlign w:val="top"/>
          </w:tcPr>
          <w:p w14:paraId="37703207">
            <w:pPr>
              <w:spacing w:before="93" w:line="195" w:lineRule="auto"/>
              <w:ind w:left="12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62.8147</w:t>
            </w:r>
          </w:p>
        </w:tc>
      </w:tr>
      <w:tr w14:paraId="57BDAB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6C5F881D">
            <w:pPr>
              <w:pStyle w:val="6"/>
              <w:spacing w:before="54" w:line="228" w:lineRule="auto"/>
              <w:ind w:left="91"/>
            </w:pPr>
            <w:r>
              <w:rPr>
                <w:spacing w:val="4"/>
              </w:rPr>
              <w:t>距原点</w:t>
            </w:r>
            <w:r>
              <w:rPr>
                <w:rFonts w:ascii="Times New Roman" w:hAnsi="Times New Roman" w:eastAsia="Times New Roman" w:cs="Times New Roman"/>
                <w:spacing w:val="4"/>
              </w:rPr>
              <w:t>-5</w:t>
            </w:r>
            <w:r>
              <w:rPr>
                <w:rFonts w:ascii="Times New Roman" w:hAnsi="Times New Roman" w:eastAsia="Times New Roman" w:cs="Times New Roman"/>
                <w:spacing w:val="16"/>
                <w:w w:val="101"/>
              </w:rPr>
              <w:t xml:space="preserve"> </w:t>
            </w:r>
            <w:r>
              <w:rPr>
                <w:spacing w:val="4"/>
              </w:rPr>
              <w:t>米</w:t>
            </w:r>
          </w:p>
        </w:tc>
        <w:tc>
          <w:tcPr>
            <w:tcW w:w="1012" w:type="dxa"/>
            <w:vAlign w:val="top"/>
          </w:tcPr>
          <w:p w14:paraId="0F904B36">
            <w:pPr>
              <w:spacing w:before="93" w:line="195"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-0.65</w:t>
            </w:r>
          </w:p>
        </w:tc>
        <w:tc>
          <w:tcPr>
            <w:tcW w:w="780" w:type="dxa"/>
            <w:vAlign w:val="top"/>
          </w:tcPr>
          <w:p w14:paraId="6F5E0B08">
            <w:pPr>
              <w:spacing w:before="93" w:line="195" w:lineRule="auto"/>
              <w:ind w:left="10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2.1604</w:t>
            </w:r>
          </w:p>
        </w:tc>
        <w:tc>
          <w:tcPr>
            <w:tcW w:w="899" w:type="dxa"/>
            <w:vAlign w:val="top"/>
          </w:tcPr>
          <w:p w14:paraId="3860B9CC">
            <w:pPr>
              <w:spacing w:before="93"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17.2397</w:t>
            </w:r>
          </w:p>
        </w:tc>
        <w:tc>
          <w:tcPr>
            <w:tcW w:w="780" w:type="dxa"/>
            <w:vAlign w:val="top"/>
          </w:tcPr>
          <w:p w14:paraId="351AC648">
            <w:pPr>
              <w:spacing w:before="93" w:line="195" w:lineRule="auto"/>
              <w:ind w:left="123"/>
              <w:rPr>
                <w:rFonts w:ascii="Times New Roman" w:hAnsi="Times New Roman" w:eastAsia="Times New Roman" w:cs="Times New Roman"/>
                <w:sz w:val="20"/>
                <w:szCs w:val="20"/>
              </w:rPr>
            </w:pPr>
            <w:r>
              <w:rPr>
                <w:rFonts w:ascii="Times New Roman" w:hAnsi="Times New Roman" w:eastAsia="Times New Roman" w:cs="Times New Roman"/>
                <w:sz w:val="20"/>
                <w:szCs w:val="20"/>
              </w:rPr>
              <w:t>1.7032</w:t>
            </w:r>
          </w:p>
        </w:tc>
        <w:tc>
          <w:tcPr>
            <w:tcW w:w="884" w:type="dxa"/>
            <w:vAlign w:val="top"/>
          </w:tcPr>
          <w:p w14:paraId="5FBC6F42">
            <w:pPr>
              <w:spacing w:before="93" w:line="195" w:lineRule="auto"/>
              <w:ind w:left="1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13.1724</w:t>
            </w:r>
          </w:p>
        </w:tc>
        <w:tc>
          <w:tcPr>
            <w:tcW w:w="720" w:type="dxa"/>
            <w:vAlign w:val="top"/>
          </w:tcPr>
          <w:p w14:paraId="363650BE">
            <w:pPr>
              <w:spacing w:before="93" w:line="195" w:lineRule="auto"/>
              <w:ind w:left="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3.2142</w:t>
            </w:r>
          </w:p>
        </w:tc>
        <w:tc>
          <w:tcPr>
            <w:tcW w:w="884" w:type="dxa"/>
            <w:vAlign w:val="top"/>
          </w:tcPr>
          <w:p w14:paraId="02FF19E8">
            <w:pPr>
              <w:spacing w:before="93"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34.8233</w:t>
            </w:r>
          </w:p>
        </w:tc>
        <w:tc>
          <w:tcPr>
            <w:tcW w:w="791" w:type="dxa"/>
            <w:vAlign w:val="top"/>
          </w:tcPr>
          <w:p w14:paraId="2B51F599">
            <w:pPr>
              <w:spacing w:before="93" w:line="195" w:lineRule="auto"/>
              <w:ind w:left="11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8.9798</w:t>
            </w:r>
          </w:p>
        </w:tc>
        <w:tc>
          <w:tcPr>
            <w:tcW w:w="913" w:type="dxa"/>
            <w:vAlign w:val="top"/>
          </w:tcPr>
          <w:p w14:paraId="740393CC">
            <w:pPr>
              <w:spacing w:before="93" w:line="195" w:lineRule="auto"/>
              <w:ind w:left="8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111.9035</w:t>
            </w:r>
          </w:p>
        </w:tc>
      </w:tr>
      <w:tr w14:paraId="6DCE67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2965B7B6">
            <w:pPr>
              <w:pStyle w:val="6"/>
              <w:spacing w:before="54" w:line="228" w:lineRule="auto"/>
              <w:ind w:left="91"/>
            </w:pPr>
            <w:r>
              <w:rPr>
                <w:spacing w:val="4"/>
              </w:rPr>
              <w:t>距原点</w:t>
            </w:r>
            <w:r>
              <w:rPr>
                <w:rFonts w:ascii="Times New Roman" w:hAnsi="Times New Roman" w:eastAsia="Times New Roman" w:cs="Times New Roman"/>
                <w:spacing w:val="4"/>
              </w:rPr>
              <w:t>-4</w:t>
            </w:r>
            <w:r>
              <w:rPr>
                <w:rFonts w:ascii="Times New Roman" w:hAnsi="Times New Roman" w:eastAsia="Times New Roman" w:cs="Times New Roman"/>
                <w:spacing w:val="16"/>
                <w:w w:val="101"/>
              </w:rPr>
              <w:t xml:space="preserve"> </w:t>
            </w:r>
            <w:r>
              <w:rPr>
                <w:spacing w:val="4"/>
              </w:rPr>
              <w:t>米</w:t>
            </w:r>
          </w:p>
        </w:tc>
        <w:tc>
          <w:tcPr>
            <w:tcW w:w="1012" w:type="dxa"/>
            <w:vAlign w:val="top"/>
          </w:tcPr>
          <w:p w14:paraId="36372B6E">
            <w:pPr>
              <w:spacing w:before="92" w:line="195"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0.35</w:t>
            </w:r>
          </w:p>
        </w:tc>
        <w:tc>
          <w:tcPr>
            <w:tcW w:w="780" w:type="dxa"/>
            <w:vAlign w:val="top"/>
          </w:tcPr>
          <w:p w14:paraId="378F5F50">
            <w:pPr>
              <w:spacing w:before="92" w:line="195" w:lineRule="auto"/>
              <w:ind w:left="103"/>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2.3257</w:t>
            </w:r>
          </w:p>
        </w:tc>
        <w:tc>
          <w:tcPr>
            <w:tcW w:w="899" w:type="dxa"/>
            <w:vAlign w:val="top"/>
          </w:tcPr>
          <w:p w14:paraId="5AA5D276">
            <w:pPr>
              <w:spacing w:before="92" w:line="195" w:lineRule="auto"/>
              <w:ind w:left="119"/>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17.8995</w:t>
            </w:r>
          </w:p>
        </w:tc>
        <w:tc>
          <w:tcPr>
            <w:tcW w:w="780" w:type="dxa"/>
            <w:vAlign w:val="top"/>
          </w:tcPr>
          <w:p w14:paraId="590A609F">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1.8003</w:t>
            </w:r>
          </w:p>
        </w:tc>
        <w:tc>
          <w:tcPr>
            <w:tcW w:w="884" w:type="dxa"/>
            <w:vAlign w:val="top"/>
          </w:tcPr>
          <w:p w14:paraId="48B6BBBD">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13.5182</w:t>
            </w:r>
          </w:p>
        </w:tc>
        <w:tc>
          <w:tcPr>
            <w:tcW w:w="720" w:type="dxa"/>
            <w:vAlign w:val="top"/>
          </w:tcPr>
          <w:p w14:paraId="3785D96E">
            <w:pPr>
              <w:spacing w:before="92" w:line="195" w:lineRule="auto"/>
              <w:ind w:left="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3.6543</w:t>
            </w:r>
          </w:p>
        </w:tc>
        <w:tc>
          <w:tcPr>
            <w:tcW w:w="884" w:type="dxa"/>
            <w:vAlign w:val="top"/>
          </w:tcPr>
          <w:p w14:paraId="0C06F273">
            <w:pPr>
              <w:spacing w:before="92"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38.8305</w:t>
            </w:r>
          </w:p>
        </w:tc>
        <w:tc>
          <w:tcPr>
            <w:tcW w:w="791" w:type="dxa"/>
            <w:vAlign w:val="top"/>
          </w:tcPr>
          <w:p w14:paraId="75B7BB2F">
            <w:pPr>
              <w:spacing w:before="92" w:line="195" w:lineRule="auto"/>
              <w:ind w:left="366"/>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w:t>
            </w:r>
          </w:p>
        </w:tc>
        <w:tc>
          <w:tcPr>
            <w:tcW w:w="913" w:type="dxa"/>
            <w:vAlign w:val="top"/>
          </w:tcPr>
          <w:p w14:paraId="52D5AC3E">
            <w:pPr>
              <w:spacing w:before="92" w:line="195" w:lineRule="auto"/>
              <w:ind w:left="425"/>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w:t>
            </w:r>
          </w:p>
        </w:tc>
      </w:tr>
      <w:tr w14:paraId="36F70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4EDDE1C5">
            <w:pPr>
              <w:pStyle w:val="6"/>
              <w:spacing w:before="56" w:line="228" w:lineRule="auto"/>
              <w:ind w:left="91"/>
            </w:pPr>
            <w:r>
              <w:rPr>
                <w:spacing w:val="4"/>
              </w:rPr>
              <w:t>距原点</w:t>
            </w:r>
            <w:r>
              <w:rPr>
                <w:rFonts w:ascii="Times New Roman" w:hAnsi="Times New Roman" w:eastAsia="Times New Roman" w:cs="Times New Roman"/>
                <w:spacing w:val="4"/>
              </w:rPr>
              <w:t>-3</w:t>
            </w:r>
            <w:r>
              <w:rPr>
                <w:rFonts w:ascii="Times New Roman" w:hAnsi="Times New Roman" w:eastAsia="Times New Roman" w:cs="Times New Roman"/>
                <w:spacing w:val="16"/>
                <w:w w:val="101"/>
              </w:rPr>
              <w:t xml:space="preserve"> </w:t>
            </w:r>
            <w:r>
              <w:rPr>
                <w:spacing w:val="4"/>
              </w:rPr>
              <w:t>米</w:t>
            </w:r>
          </w:p>
        </w:tc>
        <w:tc>
          <w:tcPr>
            <w:tcW w:w="1012" w:type="dxa"/>
            <w:vAlign w:val="top"/>
          </w:tcPr>
          <w:p w14:paraId="5C354F48">
            <w:pPr>
              <w:spacing w:before="92" w:line="195" w:lineRule="auto"/>
              <w:ind w:left="34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1.35</w:t>
            </w:r>
          </w:p>
        </w:tc>
        <w:tc>
          <w:tcPr>
            <w:tcW w:w="780" w:type="dxa"/>
            <w:vAlign w:val="top"/>
          </w:tcPr>
          <w:p w14:paraId="048F2AB8">
            <w:pPr>
              <w:spacing w:before="92" w:line="195" w:lineRule="auto"/>
              <w:ind w:left="10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2.2774</w:t>
            </w:r>
          </w:p>
        </w:tc>
        <w:tc>
          <w:tcPr>
            <w:tcW w:w="899" w:type="dxa"/>
            <w:vAlign w:val="top"/>
          </w:tcPr>
          <w:p w14:paraId="10653453">
            <w:pPr>
              <w:spacing w:before="92"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17.6004</w:t>
            </w:r>
          </w:p>
        </w:tc>
        <w:tc>
          <w:tcPr>
            <w:tcW w:w="780" w:type="dxa"/>
            <w:vAlign w:val="top"/>
          </w:tcPr>
          <w:p w14:paraId="37FCA304">
            <w:pPr>
              <w:spacing w:before="92" w:line="195" w:lineRule="auto"/>
              <w:ind w:left="17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1.774</w:t>
            </w:r>
          </w:p>
        </w:tc>
        <w:tc>
          <w:tcPr>
            <w:tcW w:w="884" w:type="dxa"/>
            <w:vAlign w:val="top"/>
          </w:tcPr>
          <w:p w14:paraId="3ED506C3">
            <w:pPr>
              <w:spacing w:before="92" w:line="195" w:lineRule="auto"/>
              <w:ind w:left="1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13.3576</w:t>
            </w:r>
          </w:p>
        </w:tc>
        <w:tc>
          <w:tcPr>
            <w:tcW w:w="720" w:type="dxa"/>
            <w:vAlign w:val="top"/>
          </w:tcPr>
          <w:p w14:paraId="77FF7DB6">
            <w:pPr>
              <w:spacing w:before="92" w:line="195" w:lineRule="auto"/>
              <w:ind w:left="7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3.4829</w:t>
            </w:r>
          </w:p>
        </w:tc>
        <w:tc>
          <w:tcPr>
            <w:tcW w:w="884" w:type="dxa"/>
            <w:vAlign w:val="top"/>
          </w:tcPr>
          <w:p w14:paraId="545F7101">
            <w:pPr>
              <w:spacing w:before="92"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37.0774</w:t>
            </w:r>
          </w:p>
        </w:tc>
        <w:tc>
          <w:tcPr>
            <w:tcW w:w="791" w:type="dxa"/>
            <w:vAlign w:val="top"/>
          </w:tcPr>
          <w:p w14:paraId="09743861">
            <w:pPr>
              <w:spacing w:before="88" w:line="199" w:lineRule="auto"/>
              <w:ind w:left="36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13" w:type="dxa"/>
            <w:vAlign w:val="top"/>
          </w:tcPr>
          <w:p w14:paraId="6616ED90">
            <w:pPr>
              <w:spacing w:before="88" w:line="199" w:lineRule="auto"/>
              <w:ind w:left="4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16C535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1D6D8072">
            <w:pPr>
              <w:pStyle w:val="6"/>
              <w:spacing w:before="55" w:line="228" w:lineRule="auto"/>
              <w:ind w:left="91"/>
            </w:pPr>
            <w:r>
              <w:rPr>
                <w:spacing w:val="4"/>
              </w:rPr>
              <w:t>距原点</w:t>
            </w:r>
            <w:r>
              <w:rPr>
                <w:rFonts w:ascii="Times New Roman" w:hAnsi="Times New Roman" w:eastAsia="Times New Roman" w:cs="Times New Roman"/>
                <w:spacing w:val="4"/>
              </w:rPr>
              <w:t>-2</w:t>
            </w:r>
            <w:r>
              <w:rPr>
                <w:rFonts w:ascii="Times New Roman" w:hAnsi="Times New Roman" w:eastAsia="Times New Roman" w:cs="Times New Roman"/>
                <w:spacing w:val="16"/>
                <w:w w:val="101"/>
              </w:rPr>
              <w:t xml:space="preserve"> </w:t>
            </w:r>
            <w:r>
              <w:rPr>
                <w:spacing w:val="4"/>
              </w:rPr>
              <w:t>米</w:t>
            </w:r>
          </w:p>
        </w:tc>
        <w:tc>
          <w:tcPr>
            <w:tcW w:w="1012" w:type="dxa"/>
            <w:vAlign w:val="top"/>
          </w:tcPr>
          <w:p w14:paraId="1E84ED3D">
            <w:pPr>
              <w:spacing w:before="91" w:line="195" w:lineRule="auto"/>
              <w:ind w:left="32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2.35</w:t>
            </w:r>
          </w:p>
        </w:tc>
        <w:tc>
          <w:tcPr>
            <w:tcW w:w="780" w:type="dxa"/>
            <w:vAlign w:val="top"/>
          </w:tcPr>
          <w:p w14:paraId="17EB1C87">
            <w:pPr>
              <w:spacing w:before="91" w:line="195" w:lineRule="auto"/>
              <w:ind w:left="10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2.0365</w:t>
            </w:r>
          </w:p>
        </w:tc>
        <w:tc>
          <w:tcPr>
            <w:tcW w:w="899" w:type="dxa"/>
            <w:vAlign w:val="top"/>
          </w:tcPr>
          <w:p w14:paraId="48EAA384">
            <w:pPr>
              <w:spacing w:before="91"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16.4484</w:t>
            </w:r>
          </w:p>
        </w:tc>
        <w:tc>
          <w:tcPr>
            <w:tcW w:w="780" w:type="dxa"/>
            <w:vAlign w:val="top"/>
          </w:tcPr>
          <w:p w14:paraId="6EBD8797">
            <w:pPr>
              <w:spacing w:before="91" w:line="195" w:lineRule="auto"/>
              <w:ind w:left="123"/>
              <w:rPr>
                <w:rFonts w:ascii="Times New Roman" w:hAnsi="Times New Roman" w:eastAsia="Times New Roman" w:cs="Times New Roman"/>
                <w:sz w:val="20"/>
                <w:szCs w:val="20"/>
              </w:rPr>
            </w:pPr>
            <w:r>
              <w:rPr>
                <w:rFonts w:ascii="Times New Roman" w:hAnsi="Times New Roman" w:eastAsia="Times New Roman" w:cs="Times New Roman"/>
                <w:sz w:val="20"/>
                <w:szCs w:val="20"/>
              </w:rPr>
              <w:t>1.6327</w:t>
            </w:r>
          </w:p>
        </w:tc>
        <w:tc>
          <w:tcPr>
            <w:tcW w:w="884" w:type="dxa"/>
            <w:vAlign w:val="top"/>
          </w:tcPr>
          <w:p w14:paraId="5BA8D7D6">
            <w:pPr>
              <w:spacing w:before="91" w:line="195" w:lineRule="auto"/>
              <w:ind w:left="1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12.7304</w:t>
            </w:r>
          </w:p>
        </w:tc>
        <w:tc>
          <w:tcPr>
            <w:tcW w:w="720" w:type="dxa"/>
            <w:vAlign w:val="top"/>
          </w:tcPr>
          <w:p w14:paraId="3C91F532">
            <w:pPr>
              <w:spacing w:before="94" w:line="195" w:lineRule="auto"/>
              <w:ind w:left="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2.8598</w:t>
            </w:r>
          </w:p>
        </w:tc>
        <w:tc>
          <w:tcPr>
            <w:tcW w:w="884" w:type="dxa"/>
            <w:vAlign w:val="top"/>
          </w:tcPr>
          <w:p w14:paraId="014B589E">
            <w:pPr>
              <w:spacing w:before="94" w:line="195" w:lineRule="auto"/>
              <w:ind w:left="15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31.163</w:t>
            </w:r>
          </w:p>
        </w:tc>
        <w:tc>
          <w:tcPr>
            <w:tcW w:w="791" w:type="dxa"/>
            <w:vAlign w:val="top"/>
          </w:tcPr>
          <w:p w14:paraId="197ECD44">
            <w:pPr>
              <w:spacing w:before="90" w:line="199" w:lineRule="auto"/>
              <w:ind w:left="36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913" w:type="dxa"/>
            <w:vAlign w:val="top"/>
          </w:tcPr>
          <w:p w14:paraId="638B7FAD">
            <w:pPr>
              <w:spacing w:before="90" w:line="199" w:lineRule="auto"/>
              <w:ind w:left="4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1D74C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58D21A98">
            <w:pPr>
              <w:pStyle w:val="6"/>
              <w:spacing w:before="55" w:line="228" w:lineRule="auto"/>
              <w:ind w:left="91"/>
            </w:pPr>
            <w:r>
              <w:rPr>
                <w:spacing w:val="4"/>
              </w:rPr>
              <w:t>距原点</w:t>
            </w:r>
            <w:r>
              <w:rPr>
                <w:rFonts w:ascii="Times New Roman" w:hAnsi="Times New Roman" w:eastAsia="Times New Roman" w:cs="Times New Roman"/>
                <w:spacing w:val="4"/>
              </w:rPr>
              <w:t>-1</w:t>
            </w:r>
            <w:r>
              <w:rPr>
                <w:rFonts w:ascii="Times New Roman" w:hAnsi="Times New Roman" w:eastAsia="Times New Roman" w:cs="Times New Roman"/>
                <w:spacing w:val="16"/>
                <w:w w:val="101"/>
              </w:rPr>
              <w:t xml:space="preserve"> </w:t>
            </w:r>
            <w:r>
              <w:rPr>
                <w:spacing w:val="4"/>
              </w:rPr>
              <w:t>米</w:t>
            </w:r>
          </w:p>
        </w:tc>
        <w:tc>
          <w:tcPr>
            <w:tcW w:w="1012" w:type="dxa"/>
            <w:vAlign w:val="top"/>
          </w:tcPr>
          <w:p w14:paraId="2A00CB13">
            <w:pPr>
              <w:spacing w:before="91" w:line="195" w:lineRule="auto"/>
              <w:ind w:left="3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3.35</w:t>
            </w:r>
          </w:p>
        </w:tc>
        <w:tc>
          <w:tcPr>
            <w:tcW w:w="780" w:type="dxa"/>
            <w:vAlign w:val="top"/>
          </w:tcPr>
          <w:p w14:paraId="58B943F2">
            <w:pPr>
              <w:spacing w:before="91" w:line="195" w:lineRule="auto"/>
              <w:ind w:left="122"/>
              <w:rPr>
                <w:rFonts w:ascii="Times New Roman" w:hAnsi="Times New Roman" w:eastAsia="Times New Roman" w:cs="Times New Roman"/>
                <w:sz w:val="20"/>
                <w:szCs w:val="20"/>
              </w:rPr>
            </w:pPr>
            <w:r>
              <w:rPr>
                <w:rFonts w:ascii="Times New Roman" w:hAnsi="Times New Roman" w:eastAsia="Times New Roman" w:cs="Times New Roman"/>
                <w:sz w:val="20"/>
                <w:szCs w:val="20"/>
              </w:rPr>
              <w:t>1.6888</w:t>
            </w:r>
          </w:p>
        </w:tc>
        <w:tc>
          <w:tcPr>
            <w:tcW w:w="899" w:type="dxa"/>
            <w:vAlign w:val="top"/>
          </w:tcPr>
          <w:p w14:paraId="5A5C54E6">
            <w:pPr>
              <w:spacing w:before="91"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14.8097</w:t>
            </w:r>
          </w:p>
        </w:tc>
        <w:tc>
          <w:tcPr>
            <w:tcW w:w="780" w:type="dxa"/>
            <w:vAlign w:val="top"/>
          </w:tcPr>
          <w:p w14:paraId="7F235738">
            <w:pPr>
              <w:spacing w:before="91" w:line="195" w:lineRule="auto"/>
              <w:ind w:left="123"/>
              <w:rPr>
                <w:rFonts w:ascii="Times New Roman" w:hAnsi="Times New Roman" w:eastAsia="Times New Roman" w:cs="Times New Roman"/>
                <w:sz w:val="20"/>
                <w:szCs w:val="20"/>
              </w:rPr>
            </w:pPr>
            <w:r>
              <w:rPr>
                <w:rFonts w:ascii="Times New Roman" w:hAnsi="Times New Roman" w:eastAsia="Times New Roman" w:cs="Times New Roman"/>
                <w:sz w:val="20"/>
                <w:szCs w:val="20"/>
              </w:rPr>
              <w:t>1.4146</w:t>
            </w:r>
          </w:p>
        </w:tc>
        <w:tc>
          <w:tcPr>
            <w:tcW w:w="884" w:type="dxa"/>
            <w:vAlign w:val="top"/>
          </w:tcPr>
          <w:p w14:paraId="46F50749">
            <w:pPr>
              <w:spacing w:before="91" w:line="195" w:lineRule="auto"/>
              <w:ind w:left="1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11.7823</w:t>
            </w:r>
          </w:p>
        </w:tc>
        <w:tc>
          <w:tcPr>
            <w:tcW w:w="720" w:type="dxa"/>
            <w:vAlign w:val="top"/>
          </w:tcPr>
          <w:p w14:paraId="7E020EB9">
            <w:pPr>
              <w:spacing w:before="93" w:line="195" w:lineRule="auto"/>
              <w:ind w:left="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2.1907</w:t>
            </w:r>
          </w:p>
        </w:tc>
        <w:tc>
          <w:tcPr>
            <w:tcW w:w="884" w:type="dxa"/>
            <w:vAlign w:val="top"/>
          </w:tcPr>
          <w:p w14:paraId="28B57697">
            <w:pPr>
              <w:spacing w:before="93"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24.9475</w:t>
            </w:r>
          </w:p>
        </w:tc>
        <w:tc>
          <w:tcPr>
            <w:tcW w:w="791" w:type="dxa"/>
            <w:vAlign w:val="top"/>
          </w:tcPr>
          <w:p w14:paraId="4E2C4225">
            <w:pPr>
              <w:spacing w:before="93" w:line="195" w:lineRule="auto"/>
              <w:ind w:left="11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3.5454</w:t>
            </w:r>
          </w:p>
        </w:tc>
        <w:tc>
          <w:tcPr>
            <w:tcW w:w="913" w:type="dxa"/>
            <w:vAlign w:val="top"/>
          </w:tcPr>
          <w:p w14:paraId="13DEB6E9">
            <w:pPr>
              <w:spacing w:before="93" w:line="195" w:lineRule="auto"/>
              <w:ind w:left="11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46.5831</w:t>
            </w:r>
          </w:p>
        </w:tc>
      </w:tr>
      <w:tr w14:paraId="08722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3AECF498">
            <w:pPr>
              <w:pStyle w:val="6"/>
              <w:spacing w:before="54" w:line="228" w:lineRule="auto"/>
              <w:ind w:left="101"/>
            </w:pPr>
            <w:r>
              <w:rPr>
                <w:spacing w:val="15"/>
              </w:rPr>
              <w:t>距原点</w:t>
            </w:r>
            <w:r>
              <w:rPr>
                <w:rFonts w:ascii="Times New Roman" w:hAnsi="Times New Roman" w:eastAsia="Times New Roman" w:cs="Times New Roman"/>
                <w:spacing w:val="15"/>
              </w:rPr>
              <w:t xml:space="preserve">0 </w:t>
            </w:r>
            <w:r>
              <w:rPr>
                <w:spacing w:val="15"/>
              </w:rPr>
              <w:t>米</w:t>
            </w:r>
          </w:p>
        </w:tc>
        <w:tc>
          <w:tcPr>
            <w:tcW w:w="1012" w:type="dxa"/>
            <w:vAlign w:val="top"/>
          </w:tcPr>
          <w:p w14:paraId="6300B712">
            <w:pPr>
              <w:spacing w:before="91" w:line="195" w:lineRule="auto"/>
              <w:ind w:left="32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4.35</w:t>
            </w:r>
          </w:p>
        </w:tc>
        <w:tc>
          <w:tcPr>
            <w:tcW w:w="780" w:type="dxa"/>
            <w:vAlign w:val="top"/>
          </w:tcPr>
          <w:p w14:paraId="52B78DEC">
            <w:pPr>
              <w:spacing w:before="91"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1.322</w:t>
            </w:r>
          </w:p>
        </w:tc>
        <w:tc>
          <w:tcPr>
            <w:tcW w:w="899" w:type="dxa"/>
            <w:vAlign w:val="top"/>
          </w:tcPr>
          <w:p w14:paraId="5E8ABAE1">
            <w:pPr>
              <w:spacing w:before="91"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13.0469</w:t>
            </w:r>
          </w:p>
        </w:tc>
        <w:tc>
          <w:tcPr>
            <w:tcW w:w="780" w:type="dxa"/>
            <w:vAlign w:val="top"/>
          </w:tcPr>
          <w:p w14:paraId="73F5D905">
            <w:pPr>
              <w:spacing w:before="91" w:line="195" w:lineRule="auto"/>
              <w:ind w:left="17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1.166</w:t>
            </w:r>
          </w:p>
        </w:tc>
        <w:tc>
          <w:tcPr>
            <w:tcW w:w="884" w:type="dxa"/>
            <w:vAlign w:val="top"/>
          </w:tcPr>
          <w:p w14:paraId="31A9A045">
            <w:pPr>
              <w:spacing w:before="91" w:line="195" w:lineRule="auto"/>
              <w:ind w:left="12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10.6846</w:t>
            </w:r>
          </w:p>
        </w:tc>
        <w:tc>
          <w:tcPr>
            <w:tcW w:w="720" w:type="dxa"/>
            <w:vAlign w:val="top"/>
          </w:tcPr>
          <w:p w14:paraId="2BDB66FD">
            <w:pPr>
              <w:spacing w:before="93" w:line="195" w:lineRule="auto"/>
              <w:ind w:left="94"/>
              <w:rPr>
                <w:rFonts w:ascii="Times New Roman" w:hAnsi="Times New Roman" w:eastAsia="Times New Roman" w:cs="Times New Roman"/>
                <w:sz w:val="20"/>
                <w:szCs w:val="20"/>
              </w:rPr>
            </w:pPr>
            <w:r>
              <w:rPr>
                <w:rFonts w:ascii="Times New Roman" w:hAnsi="Times New Roman" w:eastAsia="Times New Roman" w:cs="Times New Roman"/>
                <w:sz w:val="20"/>
                <w:szCs w:val="20"/>
              </w:rPr>
              <w:t>1.6427</w:t>
            </w:r>
          </w:p>
        </w:tc>
        <w:tc>
          <w:tcPr>
            <w:tcW w:w="884" w:type="dxa"/>
            <w:vAlign w:val="top"/>
          </w:tcPr>
          <w:p w14:paraId="14517F8B">
            <w:pPr>
              <w:spacing w:before="93" w:line="195" w:lineRule="auto"/>
              <w:ind w:left="12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19.9315</w:t>
            </w:r>
          </w:p>
        </w:tc>
        <w:tc>
          <w:tcPr>
            <w:tcW w:w="791" w:type="dxa"/>
            <w:vAlign w:val="top"/>
          </w:tcPr>
          <w:p w14:paraId="4C6392CC">
            <w:pPr>
              <w:spacing w:before="93" w:line="195" w:lineRule="auto"/>
              <w:ind w:left="1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2.3463</w:t>
            </w:r>
          </w:p>
        </w:tc>
        <w:tc>
          <w:tcPr>
            <w:tcW w:w="913" w:type="dxa"/>
            <w:vAlign w:val="top"/>
          </w:tcPr>
          <w:p w14:paraId="03EEBA35">
            <w:pPr>
              <w:spacing w:before="93" w:line="195" w:lineRule="auto"/>
              <w:ind w:left="12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32.1699</w:t>
            </w:r>
          </w:p>
        </w:tc>
      </w:tr>
      <w:tr w14:paraId="16944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25C96179">
            <w:pPr>
              <w:pStyle w:val="6"/>
              <w:spacing w:before="54" w:line="228" w:lineRule="auto"/>
              <w:ind w:left="101"/>
            </w:pPr>
            <w:r>
              <w:t>距原点</w:t>
            </w:r>
            <w:r>
              <w:rPr>
                <w:spacing w:val="-22"/>
              </w:rPr>
              <w:t xml:space="preserve"> </w:t>
            </w:r>
            <w:r>
              <w:rPr>
                <w:rFonts w:ascii="Times New Roman" w:hAnsi="Times New Roman" w:eastAsia="Times New Roman" w:cs="Times New Roman"/>
              </w:rPr>
              <w:t>1</w:t>
            </w:r>
            <w:r>
              <w:rPr>
                <w:rFonts w:ascii="Times New Roman" w:hAnsi="Times New Roman" w:eastAsia="Times New Roman" w:cs="Times New Roman"/>
                <w:spacing w:val="12"/>
                <w:w w:val="101"/>
              </w:rPr>
              <w:t xml:space="preserve"> </w:t>
            </w:r>
            <w:r>
              <w:t>米</w:t>
            </w:r>
          </w:p>
        </w:tc>
        <w:tc>
          <w:tcPr>
            <w:tcW w:w="1012" w:type="dxa"/>
            <w:vAlign w:val="top"/>
          </w:tcPr>
          <w:p w14:paraId="2A994FEF">
            <w:pPr>
              <w:spacing w:before="93" w:line="195" w:lineRule="auto"/>
              <w:ind w:left="32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5.35</w:t>
            </w:r>
          </w:p>
        </w:tc>
        <w:tc>
          <w:tcPr>
            <w:tcW w:w="780" w:type="dxa"/>
            <w:vAlign w:val="top"/>
          </w:tcPr>
          <w:p w14:paraId="0396BCFB">
            <w:pPr>
              <w:spacing w:before="93"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0.9903</w:t>
            </w:r>
          </w:p>
        </w:tc>
        <w:tc>
          <w:tcPr>
            <w:tcW w:w="899" w:type="dxa"/>
            <w:vAlign w:val="top"/>
          </w:tcPr>
          <w:p w14:paraId="10FB5C8E">
            <w:pPr>
              <w:spacing w:before="93"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11.3804</w:t>
            </w:r>
          </w:p>
        </w:tc>
        <w:tc>
          <w:tcPr>
            <w:tcW w:w="780" w:type="dxa"/>
            <w:vAlign w:val="top"/>
          </w:tcPr>
          <w:p w14:paraId="7DC8F5ED">
            <w:pPr>
              <w:spacing w:before="93"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0.9229</w:t>
            </w:r>
          </w:p>
        </w:tc>
        <w:tc>
          <w:tcPr>
            <w:tcW w:w="884" w:type="dxa"/>
            <w:vAlign w:val="top"/>
          </w:tcPr>
          <w:p w14:paraId="26B75C31">
            <w:pPr>
              <w:spacing w:before="93"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9.5704</w:t>
            </w:r>
          </w:p>
        </w:tc>
        <w:tc>
          <w:tcPr>
            <w:tcW w:w="720" w:type="dxa"/>
            <w:vAlign w:val="top"/>
          </w:tcPr>
          <w:p w14:paraId="2A847A87">
            <w:pPr>
              <w:spacing w:before="93" w:line="195" w:lineRule="auto"/>
              <w:ind w:left="94"/>
              <w:rPr>
                <w:rFonts w:ascii="Times New Roman" w:hAnsi="Times New Roman" w:eastAsia="Times New Roman" w:cs="Times New Roman"/>
                <w:sz w:val="20"/>
                <w:szCs w:val="20"/>
              </w:rPr>
            </w:pPr>
            <w:r>
              <w:rPr>
                <w:rFonts w:ascii="Times New Roman" w:hAnsi="Times New Roman" w:eastAsia="Times New Roman" w:cs="Times New Roman"/>
                <w:sz w:val="20"/>
                <w:szCs w:val="20"/>
              </w:rPr>
              <w:t>1.2262</w:t>
            </w:r>
          </w:p>
        </w:tc>
        <w:tc>
          <w:tcPr>
            <w:tcW w:w="884" w:type="dxa"/>
            <w:vAlign w:val="top"/>
          </w:tcPr>
          <w:p w14:paraId="513C1904">
            <w:pPr>
              <w:spacing w:before="93" w:line="195" w:lineRule="auto"/>
              <w:ind w:left="12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16.1354</w:t>
            </w:r>
          </w:p>
        </w:tc>
        <w:tc>
          <w:tcPr>
            <w:tcW w:w="791" w:type="dxa"/>
            <w:vAlign w:val="top"/>
          </w:tcPr>
          <w:p w14:paraId="0F410FB4">
            <w:pPr>
              <w:spacing w:before="93" w:line="195" w:lineRule="auto"/>
              <w:ind w:left="129"/>
              <w:rPr>
                <w:rFonts w:ascii="Times New Roman" w:hAnsi="Times New Roman" w:eastAsia="Times New Roman" w:cs="Times New Roman"/>
                <w:sz w:val="20"/>
                <w:szCs w:val="20"/>
              </w:rPr>
            </w:pPr>
            <w:r>
              <w:rPr>
                <w:rFonts w:ascii="Times New Roman" w:hAnsi="Times New Roman" w:eastAsia="Times New Roman" w:cs="Times New Roman"/>
                <w:sz w:val="20"/>
                <w:szCs w:val="20"/>
              </w:rPr>
              <w:t>1.6514</w:t>
            </w:r>
          </w:p>
        </w:tc>
        <w:tc>
          <w:tcPr>
            <w:tcW w:w="913" w:type="dxa"/>
            <w:vAlign w:val="top"/>
          </w:tcPr>
          <w:p w14:paraId="22F92673">
            <w:pPr>
              <w:spacing w:before="93" w:line="195" w:lineRule="auto"/>
              <w:ind w:left="11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23.7913</w:t>
            </w:r>
          </w:p>
        </w:tc>
      </w:tr>
      <w:tr w14:paraId="1861D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76134E31">
            <w:pPr>
              <w:pStyle w:val="6"/>
              <w:spacing w:before="54" w:line="228" w:lineRule="auto"/>
              <w:ind w:left="101"/>
            </w:pPr>
            <w:r>
              <w:rPr>
                <w:spacing w:val="4"/>
              </w:rPr>
              <w:t>距原点</w:t>
            </w:r>
            <w:r>
              <w:rPr>
                <w:spacing w:val="-42"/>
              </w:rPr>
              <w:t xml:space="preserve"> </w:t>
            </w:r>
            <w:r>
              <w:rPr>
                <w:rFonts w:ascii="Times New Roman" w:hAnsi="Times New Roman" w:eastAsia="Times New Roman" w:cs="Times New Roman"/>
                <w:spacing w:val="4"/>
              </w:rPr>
              <w:t>2</w:t>
            </w:r>
            <w:r>
              <w:rPr>
                <w:rFonts w:ascii="Times New Roman" w:hAnsi="Times New Roman" w:eastAsia="Times New Roman" w:cs="Times New Roman"/>
                <w:spacing w:val="12"/>
                <w:w w:val="101"/>
              </w:rPr>
              <w:t xml:space="preserve"> </w:t>
            </w:r>
            <w:r>
              <w:rPr>
                <w:spacing w:val="4"/>
              </w:rPr>
              <w:t>米</w:t>
            </w:r>
          </w:p>
        </w:tc>
        <w:tc>
          <w:tcPr>
            <w:tcW w:w="1012" w:type="dxa"/>
            <w:vAlign w:val="top"/>
          </w:tcPr>
          <w:p w14:paraId="7D4415F5">
            <w:pPr>
              <w:spacing w:before="92" w:line="195"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6.35</w:t>
            </w:r>
          </w:p>
        </w:tc>
        <w:tc>
          <w:tcPr>
            <w:tcW w:w="780" w:type="dxa"/>
            <w:vAlign w:val="top"/>
          </w:tcPr>
          <w:p w14:paraId="44715936">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0.7148</w:t>
            </w:r>
          </w:p>
        </w:tc>
        <w:tc>
          <w:tcPr>
            <w:tcW w:w="899" w:type="dxa"/>
            <w:vAlign w:val="top"/>
          </w:tcPr>
          <w:p w14:paraId="6C8B3FC6">
            <w:pPr>
              <w:spacing w:before="92"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9.9014</w:t>
            </w:r>
          </w:p>
        </w:tc>
        <w:tc>
          <w:tcPr>
            <w:tcW w:w="780" w:type="dxa"/>
            <w:vAlign w:val="top"/>
          </w:tcPr>
          <w:p w14:paraId="6E1AB070">
            <w:pPr>
              <w:spacing w:before="92"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0.7058</w:t>
            </w:r>
          </w:p>
        </w:tc>
        <w:tc>
          <w:tcPr>
            <w:tcW w:w="884" w:type="dxa"/>
            <w:vAlign w:val="top"/>
          </w:tcPr>
          <w:p w14:paraId="72F8E540">
            <w:pPr>
              <w:spacing w:before="92" w:line="195" w:lineRule="auto"/>
              <w:ind w:left="21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8.519</w:t>
            </w:r>
          </w:p>
        </w:tc>
        <w:tc>
          <w:tcPr>
            <w:tcW w:w="720" w:type="dxa"/>
            <w:vAlign w:val="top"/>
          </w:tcPr>
          <w:p w14:paraId="5C0E9617">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0.9154</w:t>
            </w:r>
          </w:p>
        </w:tc>
        <w:tc>
          <w:tcPr>
            <w:tcW w:w="884" w:type="dxa"/>
            <w:vAlign w:val="top"/>
          </w:tcPr>
          <w:p w14:paraId="0FA7886D">
            <w:pPr>
              <w:spacing w:before="92" w:line="195" w:lineRule="auto"/>
              <w:ind w:left="12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13.2695</w:t>
            </w:r>
          </w:p>
        </w:tc>
        <w:tc>
          <w:tcPr>
            <w:tcW w:w="791" w:type="dxa"/>
            <w:vAlign w:val="top"/>
          </w:tcPr>
          <w:p w14:paraId="6C610C23">
            <w:pPr>
              <w:spacing w:before="92" w:line="195" w:lineRule="auto"/>
              <w:ind w:left="129"/>
              <w:rPr>
                <w:rFonts w:ascii="Times New Roman" w:hAnsi="Times New Roman" w:eastAsia="Times New Roman" w:cs="Times New Roman"/>
                <w:sz w:val="20"/>
                <w:szCs w:val="20"/>
              </w:rPr>
            </w:pPr>
            <w:r>
              <w:rPr>
                <w:rFonts w:ascii="Times New Roman" w:hAnsi="Times New Roman" w:eastAsia="Times New Roman" w:cs="Times New Roman"/>
                <w:sz w:val="20"/>
                <w:szCs w:val="20"/>
              </w:rPr>
              <w:t>1.2078</w:t>
            </w:r>
          </w:p>
        </w:tc>
        <w:tc>
          <w:tcPr>
            <w:tcW w:w="913" w:type="dxa"/>
            <w:vAlign w:val="top"/>
          </w:tcPr>
          <w:p w14:paraId="667C599B">
            <w:pPr>
              <w:spacing w:before="92" w:line="195" w:lineRule="auto"/>
              <w:ind w:left="13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18.3776</w:t>
            </w:r>
          </w:p>
        </w:tc>
      </w:tr>
      <w:tr w14:paraId="3252A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526E97EB">
            <w:pPr>
              <w:pStyle w:val="6"/>
              <w:spacing w:before="56" w:line="228" w:lineRule="auto"/>
              <w:ind w:left="101"/>
            </w:pPr>
            <w:r>
              <w:rPr>
                <w:spacing w:val="3"/>
              </w:rPr>
              <w:t>距原点</w:t>
            </w:r>
            <w:r>
              <w:rPr>
                <w:spacing w:val="-37"/>
              </w:rPr>
              <w:t xml:space="preserve"> </w:t>
            </w:r>
            <w:r>
              <w:rPr>
                <w:rFonts w:ascii="Times New Roman" w:hAnsi="Times New Roman" w:eastAsia="Times New Roman" w:cs="Times New Roman"/>
                <w:spacing w:val="3"/>
              </w:rPr>
              <w:t>3</w:t>
            </w:r>
            <w:r>
              <w:rPr>
                <w:rFonts w:ascii="Times New Roman" w:hAnsi="Times New Roman" w:eastAsia="Times New Roman" w:cs="Times New Roman"/>
                <w:spacing w:val="12"/>
                <w:w w:val="101"/>
              </w:rPr>
              <w:t xml:space="preserve"> </w:t>
            </w:r>
            <w:r>
              <w:rPr>
                <w:spacing w:val="3"/>
              </w:rPr>
              <w:t>米</w:t>
            </w:r>
          </w:p>
        </w:tc>
        <w:tc>
          <w:tcPr>
            <w:tcW w:w="1012" w:type="dxa"/>
            <w:vAlign w:val="top"/>
          </w:tcPr>
          <w:p w14:paraId="71E0AF6E">
            <w:pPr>
              <w:spacing w:before="92" w:line="195" w:lineRule="auto"/>
              <w:ind w:left="32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7.35</w:t>
            </w:r>
          </w:p>
        </w:tc>
        <w:tc>
          <w:tcPr>
            <w:tcW w:w="780" w:type="dxa"/>
            <w:vAlign w:val="top"/>
          </w:tcPr>
          <w:p w14:paraId="36F200D2">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0.4976</w:t>
            </w:r>
          </w:p>
        </w:tc>
        <w:tc>
          <w:tcPr>
            <w:tcW w:w="899" w:type="dxa"/>
            <w:vAlign w:val="top"/>
          </w:tcPr>
          <w:p w14:paraId="41A77A4F">
            <w:pPr>
              <w:spacing w:before="92"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8.6275</w:t>
            </w:r>
          </w:p>
        </w:tc>
        <w:tc>
          <w:tcPr>
            <w:tcW w:w="780" w:type="dxa"/>
            <w:vAlign w:val="top"/>
          </w:tcPr>
          <w:p w14:paraId="0BA72CD5">
            <w:pPr>
              <w:spacing w:before="92"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0.523</w:t>
            </w:r>
          </w:p>
        </w:tc>
        <w:tc>
          <w:tcPr>
            <w:tcW w:w="884" w:type="dxa"/>
            <w:vAlign w:val="top"/>
          </w:tcPr>
          <w:p w14:paraId="24D5D640">
            <w:pPr>
              <w:spacing w:before="92"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7.5664</w:t>
            </w:r>
          </w:p>
        </w:tc>
        <w:tc>
          <w:tcPr>
            <w:tcW w:w="720" w:type="dxa"/>
            <w:vAlign w:val="top"/>
          </w:tcPr>
          <w:p w14:paraId="2ECB6D96">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0.6844</w:t>
            </w:r>
          </w:p>
        </w:tc>
        <w:tc>
          <w:tcPr>
            <w:tcW w:w="884" w:type="dxa"/>
            <w:vAlign w:val="top"/>
          </w:tcPr>
          <w:p w14:paraId="044BA2D8">
            <w:pPr>
              <w:spacing w:before="92" w:line="195" w:lineRule="auto"/>
              <w:ind w:left="12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11.0737</w:t>
            </w:r>
          </w:p>
        </w:tc>
        <w:tc>
          <w:tcPr>
            <w:tcW w:w="791" w:type="dxa"/>
            <w:vAlign w:val="top"/>
          </w:tcPr>
          <w:p w14:paraId="3311D6D5">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0.9079</w:t>
            </w:r>
          </w:p>
        </w:tc>
        <w:tc>
          <w:tcPr>
            <w:tcW w:w="913" w:type="dxa"/>
            <w:vAlign w:val="top"/>
          </w:tcPr>
          <w:p w14:paraId="44B7C1D3">
            <w:pPr>
              <w:spacing w:before="92" w:line="195" w:lineRule="auto"/>
              <w:ind w:left="13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14.6333</w:t>
            </w:r>
          </w:p>
        </w:tc>
      </w:tr>
      <w:tr w14:paraId="48550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30FA5A37">
            <w:pPr>
              <w:pStyle w:val="6"/>
              <w:spacing w:before="55" w:line="228" w:lineRule="auto"/>
              <w:ind w:left="101"/>
            </w:pPr>
            <w:r>
              <w:rPr>
                <w:spacing w:val="4"/>
              </w:rPr>
              <w:t>距原点</w:t>
            </w:r>
            <w:r>
              <w:rPr>
                <w:spacing w:val="-42"/>
              </w:rPr>
              <w:t xml:space="preserve"> </w:t>
            </w:r>
            <w:r>
              <w:rPr>
                <w:rFonts w:ascii="Times New Roman" w:hAnsi="Times New Roman" w:eastAsia="Times New Roman" w:cs="Times New Roman"/>
                <w:spacing w:val="4"/>
              </w:rPr>
              <w:t>4</w:t>
            </w:r>
            <w:r>
              <w:rPr>
                <w:rFonts w:ascii="Times New Roman" w:hAnsi="Times New Roman" w:eastAsia="Times New Roman" w:cs="Times New Roman"/>
                <w:spacing w:val="12"/>
                <w:w w:val="101"/>
              </w:rPr>
              <w:t xml:space="preserve"> </w:t>
            </w:r>
            <w:r>
              <w:rPr>
                <w:spacing w:val="4"/>
              </w:rPr>
              <w:t>米</w:t>
            </w:r>
          </w:p>
        </w:tc>
        <w:tc>
          <w:tcPr>
            <w:tcW w:w="1012" w:type="dxa"/>
            <w:vAlign w:val="top"/>
          </w:tcPr>
          <w:p w14:paraId="1F34787C">
            <w:pPr>
              <w:spacing w:before="94" w:line="195" w:lineRule="auto"/>
              <w:ind w:left="33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8.35</w:t>
            </w:r>
          </w:p>
        </w:tc>
        <w:tc>
          <w:tcPr>
            <w:tcW w:w="780" w:type="dxa"/>
            <w:vAlign w:val="top"/>
          </w:tcPr>
          <w:p w14:paraId="0867AD36">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0.3325</w:t>
            </w:r>
          </w:p>
        </w:tc>
        <w:tc>
          <w:tcPr>
            <w:tcW w:w="899" w:type="dxa"/>
            <w:vAlign w:val="top"/>
          </w:tcPr>
          <w:p w14:paraId="7D9C3A6C">
            <w:pPr>
              <w:spacing w:before="9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7.5439</w:t>
            </w:r>
          </w:p>
        </w:tc>
        <w:tc>
          <w:tcPr>
            <w:tcW w:w="780" w:type="dxa"/>
            <w:vAlign w:val="top"/>
          </w:tcPr>
          <w:p w14:paraId="31688ACE">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0.375</w:t>
            </w:r>
          </w:p>
        </w:tc>
        <w:tc>
          <w:tcPr>
            <w:tcW w:w="884" w:type="dxa"/>
            <w:vAlign w:val="top"/>
          </w:tcPr>
          <w:p w14:paraId="73AC8171">
            <w:pPr>
              <w:spacing w:before="91"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6.7225</w:t>
            </w:r>
          </w:p>
        </w:tc>
        <w:tc>
          <w:tcPr>
            <w:tcW w:w="720" w:type="dxa"/>
            <w:vAlign w:val="top"/>
          </w:tcPr>
          <w:p w14:paraId="26503361">
            <w:pPr>
              <w:spacing w:before="94"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0.5133</w:t>
            </w:r>
          </w:p>
        </w:tc>
        <w:tc>
          <w:tcPr>
            <w:tcW w:w="884" w:type="dxa"/>
            <w:vAlign w:val="top"/>
          </w:tcPr>
          <w:p w14:paraId="17F8C50E">
            <w:pPr>
              <w:spacing w:before="94" w:line="195" w:lineRule="auto"/>
              <w:ind w:left="15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9.3605</w:t>
            </w:r>
          </w:p>
        </w:tc>
        <w:tc>
          <w:tcPr>
            <w:tcW w:w="791" w:type="dxa"/>
            <w:vAlign w:val="top"/>
          </w:tcPr>
          <w:p w14:paraId="36B8D2E3">
            <w:pPr>
              <w:spacing w:before="94"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0.698</w:t>
            </w:r>
          </w:p>
        </w:tc>
        <w:tc>
          <w:tcPr>
            <w:tcW w:w="913" w:type="dxa"/>
            <w:vAlign w:val="top"/>
          </w:tcPr>
          <w:p w14:paraId="0C7ED1B1">
            <w:pPr>
              <w:spacing w:before="94" w:line="195" w:lineRule="auto"/>
              <w:ind w:left="13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11.9198</w:t>
            </w:r>
          </w:p>
        </w:tc>
      </w:tr>
      <w:tr w14:paraId="04E30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72C5ACD0">
            <w:pPr>
              <w:pStyle w:val="6"/>
              <w:spacing w:before="55" w:line="228" w:lineRule="auto"/>
              <w:ind w:left="101"/>
            </w:pPr>
            <w:r>
              <w:rPr>
                <w:spacing w:val="3"/>
              </w:rPr>
              <w:t>距原点</w:t>
            </w:r>
            <w:r>
              <w:rPr>
                <w:spacing w:val="-37"/>
              </w:rPr>
              <w:t xml:space="preserve"> </w:t>
            </w:r>
            <w:r>
              <w:rPr>
                <w:rFonts w:ascii="Times New Roman" w:hAnsi="Times New Roman" w:eastAsia="Times New Roman" w:cs="Times New Roman"/>
                <w:spacing w:val="3"/>
              </w:rPr>
              <w:t>5</w:t>
            </w:r>
            <w:r>
              <w:rPr>
                <w:rFonts w:ascii="Times New Roman" w:hAnsi="Times New Roman" w:eastAsia="Times New Roman" w:cs="Times New Roman"/>
                <w:spacing w:val="12"/>
                <w:w w:val="101"/>
              </w:rPr>
              <w:t xml:space="preserve"> </w:t>
            </w:r>
            <w:r>
              <w:rPr>
                <w:spacing w:val="3"/>
              </w:rPr>
              <w:t>米</w:t>
            </w:r>
          </w:p>
        </w:tc>
        <w:tc>
          <w:tcPr>
            <w:tcW w:w="1012" w:type="dxa"/>
            <w:vAlign w:val="top"/>
          </w:tcPr>
          <w:p w14:paraId="69CF52FE">
            <w:pPr>
              <w:spacing w:before="93" w:line="195" w:lineRule="auto"/>
              <w:ind w:left="3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9.35</w:t>
            </w:r>
          </w:p>
        </w:tc>
        <w:tc>
          <w:tcPr>
            <w:tcW w:w="780" w:type="dxa"/>
            <w:vAlign w:val="top"/>
          </w:tcPr>
          <w:p w14:paraId="285B9027">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0.2119</w:t>
            </w:r>
          </w:p>
        </w:tc>
        <w:tc>
          <w:tcPr>
            <w:tcW w:w="899" w:type="dxa"/>
            <w:vAlign w:val="top"/>
          </w:tcPr>
          <w:p w14:paraId="08CBFB8B">
            <w:pPr>
              <w:spacing w:before="91" w:line="195" w:lineRule="auto"/>
              <w:ind w:left="16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6.6259</w:t>
            </w:r>
          </w:p>
        </w:tc>
        <w:tc>
          <w:tcPr>
            <w:tcW w:w="780" w:type="dxa"/>
            <w:vAlign w:val="top"/>
          </w:tcPr>
          <w:p w14:paraId="71779B74">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0.2592</w:t>
            </w:r>
          </w:p>
        </w:tc>
        <w:tc>
          <w:tcPr>
            <w:tcW w:w="884" w:type="dxa"/>
            <w:vAlign w:val="top"/>
          </w:tcPr>
          <w:p w14:paraId="771E56B2">
            <w:pPr>
              <w:spacing w:before="91" w:line="195" w:lineRule="auto"/>
              <w:ind w:left="15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5.9837</w:t>
            </w:r>
          </w:p>
        </w:tc>
        <w:tc>
          <w:tcPr>
            <w:tcW w:w="720" w:type="dxa"/>
            <w:vAlign w:val="top"/>
          </w:tcPr>
          <w:p w14:paraId="2E54A297">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0.3879</w:t>
            </w:r>
          </w:p>
        </w:tc>
        <w:tc>
          <w:tcPr>
            <w:tcW w:w="884" w:type="dxa"/>
            <w:vAlign w:val="top"/>
          </w:tcPr>
          <w:p w14:paraId="2ED3ECB4">
            <w:pPr>
              <w:spacing w:before="93" w:line="195" w:lineRule="auto"/>
              <w:ind w:left="16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8.0008</w:t>
            </w:r>
          </w:p>
        </w:tc>
        <w:tc>
          <w:tcPr>
            <w:tcW w:w="791" w:type="dxa"/>
            <w:vAlign w:val="top"/>
          </w:tcPr>
          <w:p w14:paraId="47D1BCE2">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0.5479</w:t>
            </w:r>
          </w:p>
        </w:tc>
        <w:tc>
          <w:tcPr>
            <w:tcW w:w="913" w:type="dxa"/>
            <w:vAlign w:val="top"/>
          </w:tcPr>
          <w:p w14:paraId="23435FC3">
            <w:pPr>
              <w:spacing w:before="93" w:line="195" w:lineRule="auto"/>
              <w:ind w:left="1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9.8854</w:t>
            </w:r>
          </w:p>
        </w:tc>
      </w:tr>
      <w:tr w14:paraId="3DEFC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1297D31D">
            <w:pPr>
              <w:pStyle w:val="6"/>
              <w:spacing w:before="54" w:line="228" w:lineRule="auto"/>
              <w:ind w:left="101"/>
            </w:pPr>
            <w:r>
              <w:rPr>
                <w:spacing w:val="15"/>
              </w:rPr>
              <w:t>距原点</w:t>
            </w:r>
            <w:r>
              <w:rPr>
                <w:rFonts w:ascii="Times New Roman" w:hAnsi="Times New Roman" w:eastAsia="Times New Roman" w:cs="Times New Roman"/>
                <w:spacing w:val="15"/>
              </w:rPr>
              <w:t xml:space="preserve">6 </w:t>
            </w:r>
            <w:r>
              <w:rPr>
                <w:spacing w:val="15"/>
              </w:rPr>
              <w:t>米</w:t>
            </w:r>
          </w:p>
        </w:tc>
        <w:tc>
          <w:tcPr>
            <w:tcW w:w="1012" w:type="dxa"/>
            <w:vAlign w:val="top"/>
          </w:tcPr>
          <w:p w14:paraId="15552E2C">
            <w:pPr>
              <w:spacing w:before="93" w:line="195" w:lineRule="auto"/>
              <w:ind w:left="28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10.35</w:t>
            </w:r>
          </w:p>
        </w:tc>
        <w:tc>
          <w:tcPr>
            <w:tcW w:w="780" w:type="dxa"/>
            <w:vAlign w:val="top"/>
          </w:tcPr>
          <w:p w14:paraId="4EB3F425">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0.1308</w:t>
            </w:r>
          </w:p>
        </w:tc>
        <w:tc>
          <w:tcPr>
            <w:tcW w:w="899" w:type="dxa"/>
            <w:vAlign w:val="top"/>
          </w:tcPr>
          <w:p w14:paraId="352FB650">
            <w:pPr>
              <w:spacing w:before="91"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5.8475</w:t>
            </w:r>
          </w:p>
        </w:tc>
        <w:tc>
          <w:tcPr>
            <w:tcW w:w="780" w:type="dxa"/>
            <w:vAlign w:val="top"/>
          </w:tcPr>
          <w:p w14:paraId="7846EFBC">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0.1718</w:t>
            </w:r>
          </w:p>
        </w:tc>
        <w:tc>
          <w:tcPr>
            <w:tcW w:w="884" w:type="dxa"/>
            <w:vAlign w:val="top"/>
          </w:tcPr>
          <w:p w14:paraId="3BF89AC7">
            <w:pPr>
              <w:spacing w:before="91" w:line="195" w:lineRule="auto"/>
              <w:ind w:left="15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5.3403</w:t>
            </w:r>
          </w:p>
        </w:tc>
        <w:tc>
          <w:tcPr>
            <w:tcW w:w="720" w:type="dxa"/>
            <w:vAlign w:val="top"/>
          </w:tcPr>
          <w:p w14:paraId="79E5C756">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0.2978</w:t>
            </w:r>
          </w:p>
        </w:tc>
        <w:tc>
          <w:tcPr>
            <w:tcW w:w="884" w:type="dxa"/>
            <w:vAlign w:val="top"/>
          </w:tcPr>
          <w:p w14:paraId="4987A0F3">
            <w:pPr>
              <w:spacing w:before="93" w:line="195" w:lineRule="auto"/>
              <w:ind w:left="16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6.9053</w:t>
            </w:r>
          </w:p>
        </w:tc>
        <w:tc>
          <w:tcPr>
            <w:tcW w:w="791" w:type="dxa"/>
            <w:vAlign w:val="top"/>
          </w:tcPr>
          <w:p w14:paraId="1FD45B80">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0.4396</w:t>
            </w:r>
          </w:p>
        </w:tc>
        <w:tc>
          <w:tcPr>
            <w:tcW w:w="913" w:type="dxa"/>
            <w:vAlign w:val="top"/>
          </w:tcPr>
          <w:p w14:paraId="6BF76A4E">
            <w:pPr>
              <w:spacing w:before="93" w:line="195" w:lineRule="auto"/>
              <w:ind w:left="28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8.32</w:t>
            </w:r>
          </w:p>
        </w:tc>
      </w:tr>
      <w:tr w14:paraId="60683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729EF369">
            <w:pPr>
              <w:pStyle w:val="6"/>
              <w:spacing w:before="54" w:line="228" w:lineRule="auto"/>
              <w:ind w:left="101"/>
            </w:pPr>
            <w:r>
              <w:rPr>
                <w:spacing w:val="15"/>
              </w:rPr>
              <w:t>距原点</w:t>
            </w:r>
            <w:r>
              <w:rPr>
                <w:rFonts w:ascii="Times New Roman" w:hAnsi="Times New Roman" w:eastAsia="Times New Roman" w:cs="Times New Roman"/>
                <w:spacing w:val="15"/>
              </w:rPr>
              <w:t xml:space="preserve">7 </w:t>
            </w:r>
            <w:r>
              <w:rPr>
                <w:spacing w:val="15"/>
              </w:rPr>
              <w:t>米</w:t>
            </w:r>
          </w:p>
        </w:tc>
        <w:tc>
          <w:tcPr>
            <w:tcW w:w="1012" w:type="dxa"/>
            <w:vAlign w:val="top"/>
          </w:tcPr>
          <w:p w14:paraId="445D8E94">
            <w:pPr>
              <w:spacing w:before="93" w:line="195" w:lineRule="auto"/>
              <w:ind w:left="28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11.35</w:t>
            </w:r>
          </w:p>
        </w:tc>
        <w:tc>
          <w:tcPr>
            <w:tcW w:w="780" w:type="dxa"/>
            <w:vAlign w:val="top"/>
          </w:tcPr>
          <w:p w14:paraId="2A502D25">
            <w:pPr>
              <w:spacing w:before="93" w:line="195" w:lineRule="auto"/>
              <w:ind w:left="2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0.09</w:t>
            </w:r>
          </w:p>
        </w:tc>
        <w:tc>
          <w:tcPr>
            <w:tcW w:w="899" w:type="dxa"/>
            <w:vAlign w:val="top"/>
          </w:tcPr>
          <w:p w14:paraId="56FA7822">
            <w:pPr>
              <w:spacing w:before="93" w:line="195" w:lineRule="auto"/>
              <w:ind w:left="16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5.1855</w:t>
            </w:r>
          </w:p>
        </w:tc>
        <w:tc>
          <w:tcPr>
            <w:tcW w:w="780" w:type="dxa"/>
            <w:vAlign w:val="top"/>
          </w:tcPr>
          <w:p w14:paraId="7738CB4C">
            <w:pPr>
              <w:spacing w:before="93"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0.1106</w:t>
            </w:r>
          </w:p>
        </w:tc>
        <w:tc>
          <w:tcPr>
            <w:tcW w:w="884" w:type="dxa"/>
            <w:vAlign w:val="top"/>
          </w:tcPr>
          <w:p w14:paraId="364C6160">
            <w:pPr>
              <w:spacing w:before="93" w:line="195" w:lineRule="auto"/>
              <w:ind w:left="15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4.7811</w:t>
            </w:r>
          </w:p>
        </w:tc>
        <w:tc>
          <w:tcPr>
            <w:tcW w:w="720" w:type="dxa"/>
            <w:vAlign w:val="top"/>
          </w:tcPr>
          <w:p w14:paraId="6AA0EB7E">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0.2354</w:t>
            </w:r>
          </w:p>
        </w:tc>
        <w:tc>
          <w:tcPr>
            <w:tcW w:w="884" w:type="dxa"/>
            <w:vAlign w:val="top"/>
          </w:tcPr>
          <w:p w14:paraId="0D4D6DD3">
            <w:pPr>
              <w:spacing w:before="93" w:line="195" w:lineRule="auto"/>
              <w:ind w:left="16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6.0108</w:t>
            </w:r>
          </w:p>
        </w:tc>
        <w:tc>
          <w:tcPr>
            <w:tcW w:w="791" w:type="dxa"/>
            <w:vAlign w:val="top"/>
          </w:tcPr>
          <w:p w14:paraId="32180A21">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0.3609</w:t>
            </w:r>
          </w:p>
        </w:tc>
        <w:tc>
          <w:tcPr>
            <w:tcW w:w="913" w:type="dxa"/>
            <w:vAlign w:val="top"/>
          </w:tcPr>
          <w:p w14:paraId="518DA24B">
            <w:pPr>
              <w:spacing w:before="93"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7.0905</w:t>
            </w:r>
          </w:p>
        </w:tc>
      </w:tr>
      <w:tr w14:paraId="64778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7FD8DC03">
            <w:pPr>
              <w:pStyle w:val="6"/>
              <w:spacing w:before="54" w:line="228" w:lineRule="auto"/>
              <w:ind w:left="101"/>
            </w:pPr>
            <w:r>
              <w:rPr>
                <w:spacing w:val="2"/>
              </w:rPr>
              <w:t>距原点</w:t>
            </w:r>
            <w:r>
              <w:rPr>
                <w:spacing w:val="-32"/>
              </w:rPr>
              <w:t xml:space="preserve"> </w:t>
            </w:r>
            <w:r>
              <w:rPr>
                <w:rFonts w:ascii="Times New Roman" w:hAnsi="Times New Roman" w:eastAsia="Times New Roman" w:cs="Times New Roman"/>
                <w:spacing w:val="2"/>
              </w:rPr>
              <w:t>8</w:t>
            </w:r>
            <w:r>
              <w:rPr>
                <w:rFonts w:ascii="Times New Roman" w:hAnsi="Times New Roman" w:eastAsia="Times New Roman" w:cs="Times New Roman"/>
                <w:spacing w:val="12"/>
                <w:w w:val="101"/>
              </w:rPr>
              <w:t xml:space="preserve"> </w:t>
            </w:r>
            <w:r>
              <w:rPr>
                <w:spacing w:val="2"/>
              </w:rPr>
              <w:t>米</w:t>
            </w:r>
          </w:p>
        </w:tc>
        <w:tc>
          <w:tcPr>
            <w:tcW w:w="1012" w:type="dxa"/>
            <w:vAlign w:val="top"/>
          </w:tcPr>
          <w:p w14:paraId="65A68F97">
            <w:pPr>
              <w:spacing w:before="92" w:line="195" w:lineRule="auto"/>
              <w:ind w:left="28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12.35</w:t>
            </w:r>
          </w:p>
        </w:tc>
        <w:tc>
          <w:tcPr>
            <w:tcW w:w="780" w:type="dxa"/>
            <w:vAlign w:val="top"/>
          </w:tcPr>
          <w:p w14:paraId="4945BB44">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0.0871</w:t>
            </w:r>
          </w:p>
        </w:tc>
        <w:tc>
          <w:tcPr>
            <w:tcW w:w="899" w:type="dxa"/>
            <w:vAlign w:val="top"/>
          </w:tcPr>
          <w:p w14:paraId="195B27A2">
            <w:pPr>
              <w:spacing w:before="92" w:line="195" w:lineRule="auto"/>
              <w:ind w:left="16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4.6203</w:t>
            </w:r>
          </w:p>
        </w:tc>
        <w:tc>
          <w:tcPr>
            <w:tcW w:w="780" w:type="dxa"/>
            <w:vAlign w:val="top"/>
          </w:tcPr>
          <w:p w14:paraId="0FAA65FD">
            <w:pPr>
              <w:spacing w:before="92"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0.0767</w:t>
            </w:r>
          </w:p>
        </w:tc>
        <w:tc>
          <w:tcPr>
            <w:tcW w:w="884" w:type="dxa"/>
            <w:vAlign w:val="top"/>
          </w:tcPr>
          <w:p w14:paraId="5F5369DF">
            <w:pPr>
              <w:spacing w:before="92" w:line="195" w:lineRule="auto"/>
              <w:ind w:left="15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4.2949</w:t>
            </w:r>
          </w:p>
        </w:tc>
        <w:tc>
          <w:tcPr>
            <w:tcW w:w="720" w:type="dxa"/>
            <w:vAlign w:val="top"/>
          </w:tcPr>
          <w:p w14:paraId="29B5B969">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0.1945</w:t>
            </w:r>
          </w:p>
        </w:tc>
        <w:tc>
          <w:tcPr>
            <w:tcW w:w="884" w:type="dxa"/>
            <w:vAlign w:val="top"/>
          </w:tcPr>
          <w:p w14:paraId="70570C82">
            <w:pPr>
              <w:spacing w:before="92" w:line="195" w:lineRule="auto"/>
              <w:ind w:left="16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5.2722</w:t>
            </w:r>
          </w:p>
        </w:tc>
        <w:tc>
          <w:tcPr>
            <w:tcW w:w="791" w:type="dxa"/>
            <w:vAlign w:val="top"/>
          </w:tcPr>
          <w:p w14:paraId="679C98C0">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0.3037</w:t>
            </w:r>
          </w:p>
        </w:tc>
        <w:tc>
          <w:tcPr>
            <w:tcW w:w="913" w:type="dxa"/>
            <w:vAlign w:val="top"/>
          </w:tcPr>
          <w:p w14:paraId="6CFC7CAB">
            <w:pPr>
              <w:spacing w:before="92" w:line="195" w:lineRule="auto"/>
              <w:ind w:left="22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6.108</w:t>
            </w:r>
          </w:p>
        </w:tc>
      </w:tr>
      <w:tr w14:paraId="45476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1A941050">
            <w:pPr>
              <w:pStyle w:val="6"/>
              <w:spacing w:before="56" w:line="228" w:lineRule="auto"/>
              <w:ind w:left="101"/>
            </w:pPr>
            <w:r>
              <w:rPr>
                <w:spacing w:val="15"/>
              </w:rPr>
              <w:t>距原点</w:t>
            </w:r>
            <w:r>
              <w:rPr>
                <w:rFonts w:ascii="Times New Roman" w:hAnsi="Times New Roman" w:eastAsia="Times New Roman" w:cs="Times New Roman"/>
                <w:spacing w:val="15"/>
              </w:rPr>
              <w:t xml:space="preserve">9 </w:t>
            </w:r>
            <w:r>
              <w:rPr>
                <w:spacing w:val="15"/>
              </w:rPr>
              <w:t>米</w:t>
            </w:r>
          </w:p>
        </w:tc>
        <w:tc>
          <w:tcPr>
            <w:tcW w:w="1012" w:type="dxa"/>
            <w:vAlign w:val="top"/>
          </w:tcPr>
          <w:p w14:paraId="12A8BEDF">
            <w:pPr>
              <w:spacing w:before="92" w:line="195" w:lineRule="auto"/>
              <w:ind w:left="28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13.35</w:t>
            </w:r>
          </w:p>
        </w:tc>
        <w:tc>
          <w:tcPr>
            <w:tcW w:w="780" w:type="dxa"/>
            <w:vAlign w:val="top"/>
          </w:tcPr>
          <w:p w14:paraId="0A5E6915">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0.1013</w:t>
            </w:r>
          </w:p>
        </w:tc>
        <w:tc>
          <w:tcPr>
            <w:tcW w:w="899" w:type="dxa"/>
            <w:vAlign w:val="top"/>
          </w:tcPr>
          <w:p w14:paraId="683BB293">
            <w:pPr>
              <w:spacing w:before="92" w:line="195" w:lineRule="auto"/>
              <w:ind w:left="16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4.1354</w:t>
            </w:r>
          </w:p>
        </w:tc>
        <w:tc>
          <w:tcPr>
            <w:tcW w:w="780" w:type="dxa"/>
            <w:vAlign w:val="top"/>
          </w:tcPr>
          <w:p w14:paraId="3CB866E4">
            <w:pPr>
              <w:spacing w:before="92"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0.0704</w:t>
            </w:r>
          </w:p>
        </w:tc>
        <w:tc>
          <w:tcPr>
            <w:tcW w:w="884" w:type="dxa"/>
            <w:vAlign w:val="top"/>
          </w:tcPr>
          <w:p w14:paraId="0983B7C4">
            <w:pPr>
              <w:spacing w:before="92"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3.8714</w:t>
            </w:r>
          </w:p>
        </w:tc>
        <w:tc>
          <w:tcPr>
            <w:tcW w:w="720" w:type="dxa"/>
            <w:vAlign w:val="top"/>
          </w:tcPr>
          <w:p w14:paraId="695123DE">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0.1695</w:t>
            </w:r>
          </w:p>
        </w:tc>
        <w:tc>
          <w:tcPr>
            <w:tcW w:w="884" w:type="dxa"/>
            <w:vAlign w:val="top"/>
          </w:tcPr>
          <w:p w14:paraId="4103E39D">
            <w:pPr>
              <w:spacing w:before="92" w:line="195" w:lineRule="auto"/>
              <w:ind w:left="1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4.6561</w:t>
            </w:r>
          </w:p>
        </w:tc>
        <w:tc>
          <w:tcPr>
            <w:tcW w:w="791" w:type="dxa"/>
            <w:vAlign w:val="top"/>
          </w:tcPr>
          <w:p w14:paraId="214EFC29">
            <w:pPr>
              <w:spacing w:before="92"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0.262</w:t>
            </w:r>
          </w:p>
        </w:tc>
        <w:tc>
          <w:tcPr>
            <w:tcW w:w="913" w:type="dxa"/>
            <w:vAlign w:val="top"/>
          </w:tcPr>
          <w:p w14:paraId="12B6EA03">
            <w:pPr>
              <w:spacing w:before="92" w:line="195" w:lineRule="auto"/>
              <w:ind w:left="1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5.3114</w:t>
            </w:r>
          </w:p>
        </w:tc>
      </w:tr>
      <w:tr w14:paraId="3BE7D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034C4AFD">
            <w:pPr>
              <w:pStyle w:val="6"/>
              <w:spacing w:before="55" w:line="228" w:lineRule="auto"/>
              <w:ind w:left="48"/>
            </w:pPr>
            <w:r>
              <w:rPr>
                <w:spacing w:val="1"/>
              </w:rPr>
              <w:t>距原点</w:t>
            </w:r>
            <w:r>
              <w:rPr>
                <w:spacing w:val="-22"/>
              </w:rPr>
              <w:t xml:space="preserve"> </w:t>
            </w:r>
            <w:r>
              <w:rPr>
                <w:rFonts w:ascii="Times New Roman" w:hAnsi="Times New Roman" w:eastAsia="Times New Roman" w:cs="Times New Roman"/>
                <w:spacing w:val="1"/>
              </w:rPr>
              <w:t>10</w:t>
            </w:r>
            <w:r>
              <w:rPr>
                <w:rFonts w:ascii="Times New Roman" w:hAnsi="Times New Roman" w:eastAsia="Times New Roman" w:cs="Times New Roman"/>
                <w:spacing w:val="12"/>
              </w:rPr>
              <w:t xml:space="preserve"> </w:t>
            </w:r>
            <w:r>
              <w:rPr>
                <w:spacing w:val="1"/>
              </w:rPr>
              <w:t>米</w:t>
            </w:r>
          </w:p>
        </w:tc>
        <w:tc>
          <w:tcPr>
            <w:tcW w:w="1012" w:type="dxa"/>
            <w:vAlign w:val="top"/>
          </w:tcPr>
          <w:p w14:paraId="77D8B38A">
            <w:pPr>
              <w:spacing w:before="94" w:line="195" w:lineRule="auto"/>
              <w:ind w:left="28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14.35</w:t>
            </w:r>
          </w:p>
        </w:tc>
        <w:tc>
          <w:tcPr>
            <w:tcW w:w="780" w:type="dxa"/>
            <w:vAlign w:val="top"/>
          </w:tcPr>
          <w:p w14:paraId="30F082FF">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0.1167</w:t>
            </w:r>
          </w:p>
        </w:tc>
        <w:tc>
          <w:tcPr>
            <w:tcW w:w="899" w:type="dxa"/>
            <w:vAlign w:val="top"/>
          </w:tcPr>
          <w:p w14:paraId="4EA5DFCF">
            <w:pPr>
              <w:spacing w:before="91"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3.7175</w:t>
            </w:r>
          </w:p>
        </w:tc>
        <w:tc>
          <w:tcPr>
            <w:tcW w:w="780" w:type="dxa"/>
            <w:vAlign w:val="top"/>
          </w:tcPr>
          <w:p w14:paraId="7D954909">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0.0798</w:t>
            </w:r>
          </w:p>
        </w:tc>
        <w:tc>
          <w:tcPr>
            <w:tcW w:w="884" w:type="dxa"/>
            <w:vAlign w:val="top"/>
          </w:tcPr>
          <w:p w14:paraId="445E8785">
            <w:pPr>
              <w:spacing w:before="91"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3.5016</w:t>
            </w:r>
          </w:p>
        </w:tc>
        <w:tc>
          <w:tcPr>
            <w:tcW w:w="720" w:type="dxa"/>
            <w:vAlign w:val="top"/>
          </w:tcPr>
          <w:p w14:paraId="6AEB6479">
            <w:pPr>
              <w:spacing w:before="94"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0.1552</w:t>
            </w:r>
          </w:p>
        </w:tc>
        <w:tc>
          <w:tcPr>
            <w:tcW w:w="884" w:type="dxa"/>
            <w:vAlign w:val="top"/>
          </w:tcPr>
          <w:p w14:paraId="701380C1">
            <w:pPr>
              <w:spacing w:before="94" w:line="195" w:lineRule="auto"/>
              <w:ind w:left="1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4.1376</w:t>
            </w:r>
          </w:p>
        </w:tc>
        <w:tc>
          <w:tcPr>
            <w:tcW w:w="791" w:type="dxa"/>
            <w:vAlign w:val="top"/>
          </w:tcPr>
          <w:p w14:paraId="1D61B6E4">
            <w:pPr>
              <w:spacing w:before="94"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0.2313</w:t>
            </w:r>
          </w:p>
        </w:tc>
        <w:tc>
          <w:tcPr>
            <w:tcW w:w="913" w:type="dxa"/>
            <w:vAlign w:val="top"/>
          </w:tcPr>
          <w:p w14:paraId="35C4EEDD">
            <w:pPr>
              <w:spacing w:before="94" w:line="195" w:lineRule="auto"/>
              <w:ind w:left="1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4.6574</w:t>
            </w:r>
          </w:p>
        </w:tc>
      </w:tr>
      <w:tr w14:paraId="03A5E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606FE742">
            <w:pPr>
              <w:pStyle w:val="6"/>
              <w:spacing w:before="55" w:line="228" w:lineRule="auto"/>
              <w:ind w:left="53"/>
            </w:pPr>
            <w:r>
              <w:rPr>
                <w:spacing w:val="1"/>
              </w:rPr>
              <w:t>距原点</w:t>
            </w:r>
            <w:r>
              <w:rPr>
                <w:spacing w:val="-21"/>
              </w:rPr>
              <w:t xml:space="preserve"> </w:t>
            </w:r>
            <w:r>
              <w:rPr>
                <w:rFonts w:ascii="Times New Roman" w:hAnsi="Times New Roman" w:eastAsia="Times New Roman" w:cs="Times New Roman"/>
                <w:spacing w:val="1"/>
              </w:rPr>
              <w:t xml:space="preserve">11 </w:t>
            </w:r>
            <w:r>
              <w:rPr>
                <w:spacing w:val="1"/>
              </w:rPr>
              <w:t>米</w:t>
            </w:r>
          </w:p>
        </w:tc>
        <w:tc>
          <w:tcPr>
            <w:tcW w:w="1012" w:type="dxa"/>
            <w:vAlign w:val="top"/>
          </w:tcPr>
          <w:p w14:paraId="261A8A66">
            <w:pPr>
              <w:spacing w:before="93" w:line="195" w:lineRule="auto"/>
              <w:ind w:left="28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15.35</w:t>
            </w:r>
          </w:p>
        </w:tc>
        <w:tc>
          <w:tcPr>
            <w:tcW w:w="780" w:type="dxa"/>
            <w:vAlign w:val="top"/>
          </w:tcPr>
          <w:p w14:paraId="41CC6317">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0.1286</w:t>
            </w:r>
          </w:p>
        </w:tc>
        <w:tc>
          <w:tcPr>
            <w:tcW w:w="899" w:type="dxa"/>
            <w:vAlign w:val="top"/>
          </w:tcPr>
          <w:p w14:paraId="3AB26C8B">
            <w:pPr>
              <w:spacing w:before="91"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3.3557</w:t>
            </w:r>
          </w:p>
        </w:tc>
        <w:tc>
          <w:tcPr>
            <w:tcW w:w="780" w:type="dxa"/>
            <w:vAlign w:val="top"/>
          </w:tcPr>
          <w:p w14:paraId="13AEDA67">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0.0922</w:t>
            </w:r>
          </w:p>
        </w:tc>
        <w:tc>
          <w:tcPr>
            <w:tcW w:w="884" w:type="dxa"/>
            <w:vAlign w:val="top"/>
          </w:tcPr>
          <w:p w14:paraId="184AD3CD">
            <w:pPr>
              <w:spacing w:before="91"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3.1777</w:t>
            </w:r>
          </w:p>
        </w:tc>
        <w:tc>
          <w:tcPr>
            <w:tcW w:w="720" w:type="dxa"/>
            <w:vAlign w:val="top"/>
          </w:tcPr>
          <w:p w14:paraId="503BF781">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0.1474</w:t>
            </w:r>
          </w:p>
        </w:tc>
        <w:tc>
          <w:tcPr>
            <w:tcW w:w="884" w:type="dxa"/>
            <w:vAlign w:val="top"/>
          </w:tcPr>
          <w:p w14:paraId="55C917EB">
            <w:pPr>
              <w:spacing w:before="93" w:line="195" w:lineRule="auto"/>
              <w:ind w:left="15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3.6976</w:t>
            </w:r>
          </w:p>
        </w:tc>
        <w:tc>
          <w:tcPr>
            <w:tcW w:w="791" w:type="dxa"/>
            <w:vAlign w:val="top"/>
          </w:tcPr>
          <w:p w14:paraId="68F67094">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0.2086</w:t>
            </w:r>
          </w:p>
        </w:tc>
        <w:tc>
          <w:tcPr>
            <w:tcW w:w="913" w:type="dxa"/>
            <w:vAlign w:val="top"/>
          </w:tcPr>
          <w:p w14:paraId="456223DA">
            <w:pPr>
              <w:spacing w:before="93" w:line="195" w:lineRule="auto"/>
              <w:ind w:left="1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4.1143</w:t>
            </w:r>
          </w:p>
        </w:tc>
      </w:tr>
      <w:tr w14:paraId="4F61C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6B32D6D4">
            <w:pPr>
              <w:pStyle w:val="6"/>
              <w:spacing w:before="54" w:line="228" w:lineRule="auto"/>
              <w:ind w:left="48"/>
            </w:pPr>
            <w:r>
              <w:rPr>
                <w:spacing w:val="1"/>
              </w:rPr>
              <w:t>距原点</w:t>
            </w:r>
            <w:r>
              <w:rPr>
                <w:spacing w:val="-22"/>
              </w:rPr>
              <w:t xml:space="preserve"> </w:t>
            </w:r>
            <w:r>
              <w:rPr>
                <w:rFonts w:ascii="Times New Roman" w:hAnsi="Times New Roman" w:eastAsia="Times New Roman" w:cs="Times New Roman"/>
                <w:spacing w:val="1"/>
              </w:rPr>
              <w:t>12</w:t>
            </w:r>
            <w:r>
              <w:rPr>
                <w:rFonts w:ascii="Times New Roman" w:hAnsi="Times New Roman" w:eastAsia="Times New Roman" w:cs="Times New Roman"/>
                <w:spacing w:val="12"/>
              </w:rPr>
              <w:t xml:space="preserve"> </w:t>
            </w:r>
            <w:r>
              <w:rPr>
                <w:spacing w:val="1"/>
              </w:rPr>
              <w:t>米</w:t>
            </w:r>
          </w:p>
        </w:tc>
        <w:tc>
          <w:tcPr>
            <w:tcW w:w="1012" w:type="dxa"/>
            <w:vAlign w:val="top"/>
          </w:tcPr>
          <w:p w14:paraId="609F3182">
            <w:pPr>
              <w:spacing w:before="93" w:line="195" w:lineRule="auto"/>
              <w:ind w:left="28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16.35</w:t>
            </w:r>
          </w:p>
        </w:tc>
        <w:tc>
          <w:tcPr>
            <w:tcW w:w="780" w:type="dxa"/>
            <w:vAlign w:val="top"/>
          </w:tcPr>
          <w:p w14:paraId="621FEE86">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0.1366</w:t>
            </w:r>
          </w:p>
        </w:tc>
        <w:tc>
          <w:tcPr>
            <w:tcW w:w="899" w:type="dxa"/>
            <w:vAlign w:val="top"/>
          </w:tcPr>
          <w:p w14:paraId="1778F4AC">
            <w:pPr>
              <w:spacing w:before="91" w:line="195" w:lineRule="auto"/>
              <w:ind w:left="1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3.0409</w:t>
            </w:r>
          </w:p>
        </w:tc>
        <w:tc>
          <w:tcPr>
            <w:tcW w:w="780" w:type="dxa"/>
            <w:vAlign w:val="top"/>
          </w:tcPr>
          <w:p w14:paraId="390CF90E">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0.1028</w:t>
            </w:r>
          </w:p>
        </w:tc>
        <w:tc>
          <w:tcPr>
            <w:tcW w:w="884" w:type="dxa"/>
            <w:vAlign w:val="top"/>
          </w:tcPr>
          <w:p w14:paraId="013AFDAD">
            <w:pPr>
              <w:spacing w:before="91" w:line="195" w:lineRule="auto"/>
              <w:ind w:left="1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2.8932</w:t>
            </w:r>
          </w:p>
        </w:tc>
        <w:tc>
          <w:tcPr>
            <w:tcW w:w="720" w:type="dxa"/>
            <w:vAlign w:val="top"/>
          </w:tcPr>
          <w:p w14:paraId="62BCCF45">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0.1429</w:t>
            </w:r>
          </w:p>
        </w:tc>
        <w:tc>
          <w:tcPr>
            <w:tcW w:w="884" w:type="dxa"/>
            <w:vAlign w:val="top"/>
          </w:tcPr>
          <w:p w14:paraId="4ACB3853">
            <w:pPr>
              <w:spacing w:before="93" w:line="195" w:lineRule="auto"/>
              <w:ind w:left="15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3.3215</w:t>
            </w:r>
          </w:p>
        </w:tc>
        <w:tc>
          <w:tcPr>
            <w:tcW w:w="791" w:type="dxa"/>
            <w:vAlign w:val="top"/>
          </w:tcPr>
          <w:p w14:paraId="58506DEB">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0.1912</w:t>
            </w:r>
          </w:p>
        </w:tc>
        <w:tc>
          <w:tcPr>
            <w:tcW w:w="913" w:type="dxa"/>
            <w:vAlign w:val="top"/>
          </w:tcPr>
          <w:p w14:paraId="61F31B0A">
            <w:pPr>
              <w:spacing w:before="93" w:line="195" w:lineRule="auto"/>
              <w:ind w:left="1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3.6588</w:t>
            </w:r>
          </w:p>
        </w:tc>
      </w:tr>
      <w:tr w14:paraId="4588AA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5AB60B2A">
            <w:pPr>
              <w:pStyle w:val="6"/>
              <w:spacing w:before="54" w:line="228" w:lineRule="auto"/>
              <w:ind w:left="48"/>
            </w:pPr>
            <w:r>
              <w:rPr>
                <w:spacing w:val="1"/>
              </w:rPr>
              <w:t>距原点</w:t>
            </w:r>
            <w:r>
              <w:rPr>
                <w:spacing w:val="-22"/>
              </w:rPr>
              <w:t xml:space="preserve"> </w:t>
            </w:r>
            <w:r>
              <w:rPr>
                <w:rFonts w:ascii="Times New Roman" w:hAnsi="Times New Roman" w:eastAsia="Times New Roman" w:cs="Times New Roman"/>
                <w:spacing w:val="1"/>
              </w:rPr>
              <w:t>13</w:t>
            </w:r>
            <w:r>
              <w:rPr>
                <w:rFonts w:ascii="Times New Roman" w:hAnsi="Times New Roman" w:eastAsia="Times New Roman" w:cs="Times New Roman"/>
                <w:spacing w:val="12"/>
              </w:rPr>
              <w:t xml:space="preserve"> </w:t>
            </w:r>
            <w:r>
              <w:rPr>
                <w:spacing w:val="1"/>
              </w:rPr>
              <w:t>米</w:t>
            </w:r>
          </w:p>
        </w:tc>
        <w:tc>
          <w:tcPr>
            <w:tcW w:w="1012" w:type="dxa"/>
            <w:vAlign w:val="top"/>
          </w:tcPr>
          <w:p w14:paraId="34ECDAE0">
            <w:pPr>
              <w:spacing w:before="93" w:line="195" w:lineRule="auto"/>
              <w:ind w:left="28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17.35</w:t>
            </w:r>
          </w:p>
        </w:tc>
        <w:tc>
          <w:tcPr>
            <w:tcW w:w="780" w:type="dxa"/>
            <w:vAlign w:val="top"/>
          </w:tcPr>
          <w:p w14:paraId="600E9BBE">
            <w:pPr>
              <w:spacing w:before="93"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1412</w:t>
            </w:r>
          </w:p>
        </w:tc>
        <w:tc>
          <w:tcPr>
            <w:tcW w:w="899" w:type="dxa"/>
            <w:vAlign w:val="top"/>
          </w:tcPr>
          <w:p w14:paraId="5DB69197">
            <w:pPr>
              <w:spacing w:before="93" w:line="195" w:lineRule="auto"/>
              <w:ind w:left="16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2.7658</w:t>
            </w:r>
          </w:p>
        </w:tc>
        <w:tc>
          <w:tcPr>
            <w:tcW w:w="780" w:type="dxa"/>
            <w:vAlign w:val="top"/>
          </w:tcPr>
          <w:p w14:paraId="3BBF2978">
            <w:pPr>
              <w:spacing w:before="93"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0.1105</w:t>
            </w:r>
          </w:p>
        </w:tc>
        <w:tc>
          <w:tcPr>
            <w:tcW w:w="884" w:type="dxa"/>
            <w:vAlign w:val="top"/>
          </w:tcPr>
          <w:p w14:paraId="4E158507">
            <w:pPr>
              <w:spacing w:before="93" w:line="195" w:lineRule="auto"/>
              <w:ind w:left="1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2.6425</w:t>
            </w:r>
          </w:p>
        </w:tc>
        <w:tc>
          <w:tcPr>
            <w:tcW w:w="720" w:type="dxa"/>
            <w:vAlign w:val="top"/>
          </w:tcPr>
          <w:p w14:paraId="7163D65C">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0.1399</w:t>
            </w:r>
          </w:p>
        </w:tc>
        <w:tc>
          <w:tcPr>
            <w:tcW w:w="884" w:type="dxa"/>
            <w:vAlign w:val="top"/>
          </w:tcPr>
          <w:p w14:paraId="4FDCF060">
            <w:pPr>
              <w:spacing w:before="93"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2.9979</w:t>
            </w:r>
          </w:p>
        </w:tc>
        <w:tc>
          <w:tcPr>
            <w:tcW w:w="791" w:type="dxa"/>
            <w:vAlign w:val="top"/>
          </w:tcPr>
          <w:p w14:paraId="4EF434CD">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0.1776</w:t>
            </w:r>
          </w:p>
        </w:tc>
        <w:tc>
          <w:tcPr>
            <w:tcW w:w="913" w:type="dxa"/>
            <w:vAlign w:val="top"/>
          </w:tcPr>
          <w:p w14:paraId="01B715E3">
            <w:pPr>
              <w:spacing w:before="93" w:line="195" w:lineRule="auto"/>
              <w:ind w:left="1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3.2735</w:t>
            </w:r>
          </w:p>
        </w:tc>
      </w:tr>
      <w:tr w14:paraId="20CEE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6BBD955A">
            <w:pPr>
              <w:pStyle w:val="6"/>
              <w:spacing w:before="54" w:line="228" w:lineRule="auto"/>
              <w:ind w:left="48"/>
            </w:pPr>
            <w:r>
              <w:rPr>
                <w:spacing w:val="1"/>
              </w:rPr>
              <w:t>距原点</w:t>
            </w:r>
            <w:r>
              <w:rPr>
                <w:spacing w:val="-22"/>
              </w:rPr>
              <w:t xml:space="preserve"> </w:t>
            </w:r>
            <w:r>
              <w:rPr>
                <w:rFonts w:ascii="Times New Roman" w:hAnsi="Times New Roman" w:eastAsia="Times New Roman" w:cs="Times New Roman"/>
                <w:spacing w:val="1"/>
              </w:rPr>
              <w:t>14</w:t>
            </w:r>
            <w:r>
              <w:rPr>
                <w:rFonts w:ascii="Times New Roman" w:hAnsi="Times New Roman" w:eastAsia="Times New Roman" w:cs="Times New Roman"/>
                <w:spacing w:val="12"/>
              </w:rPr>
              <w:t xml:space="preserve"> </w:t>
            </w:r>
            <w:r>
              <w:rPr>
                <w:spacing w:val="1"/>
              </w:rPr>
              <w:t>米</w:t>
            </w:r>
          </w:p>
        </w:tc>
        <w:tc>
          <w:tcPr>
            <w:tcW w:w="1012" w:type="dxa"/>
            <w:vAlign w:val="top"/>
          </w:tcPr>
          <w:p w14:paraId="6EC7E823">
            <w:pPr>
              <w:spacing w:before="92" w:line="195" w:lineRule="auto"/>
              <w:ind w:left="28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18.35</w:t>
            </w:r>
          </w:p>
        </w:tc>
        <w:tc>
          <w:tcPr>
            <w:tcW w:w="780" w:type="dxa"/>
            <w:vAlign w:val="top"/>
          </w:tcPr>
          <w:p w14:paraId="00036115">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0.1431</w:t>
            </w:r>
          </w:p>
        </w:tc>
        <w:tc>
          <w:tcPr>
            <w:tcW w:w="899" w:type="dxa"/>
            <w:vAlign w:val="top"/>
          </w:tcPr>
          <w:p w14:paraId="1985F5AC">
            <w:pPr>
              <w:spacing w:before="92" w:line="195" w:lineRule="auto"/>
              <w:ind w:left="16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2.5244</w:t>
            </w:r>
          </w:p>
        </w:tc>
        <w:tc>
          <w:tcPr>
            <w:tcW w:w="780" w:type="dxa"/>
            <w:vAlign w:val="top"/>
          </w:tcPr>
          <w:p w14:paraId="6C064A8F">
            <w:pPr>
              <w:spacing w:before="92"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0.1157</w:t>
            </w:r>
          </w:p>
        </w:tc>
        <w:tc>
          <w:tcPr>
            <w:tcW w:w="884" w:type="dxa"/>
            <w:vAlign w:val="top"/>
          </w:tcPr>
          <w:p w14:paraId="0C8B6AB1">
            <w:pPr>
              <w:spacing w:before="92" w:line="195" w:lineRule="auto"/>
              <w:ind w:left="1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2.4207</w:t>
            </w:r>
          </w:p>
        </w:tc>
        <w:tc>
          <w:tcPr>
            <w:tcW w:w="720" w:type="dxa"/>
            <w:vAlign w:val="top"/>
          </w:tcPr>
          <w:p w14:paraId="181D3344">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0.1373</w:t>
            </w:r>
          </w:p>
        </w:tc>
        <w:tc>
          <w:tcPr>
            <w:tcW w:w="884" w:type="dxa"/>
            <w:vAlign w:val="top"/>
          </w:tcPr>
          <w:p w14:paraId="3B7BBCF9">
            <w:pPr>
              <w:spacing w:before="92"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2.7178</w:t>
            </w:r>
          </w:p>
        </w:tc>
        <w:tc>
          <w:tcPr>
            <w:tcW w:w="791" w:type="dxa"/>
            <w:vAlign w:val="top"/>
          </w:tcPr>
          <w:p w14:paraId="4AC4E539">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0.1665</w:t>
            </w:r>
          </w:p>
        </w:tc>
        <w:tc>
          <w:tcPr>
            <w:tcW w:w="913" w:type="dxa"/>
            <w:vAlign w:val="top"/>
          </w:tcPr>
          <w:p w14:paraId="21650A11">
            <w:pPr>
              <w:spacing w:before="92"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2.9447</w:t>
            </w:r>
          </w:p>
        </w:tc>
      </w:tr>
      <w:tr w14:paraId="62E7B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073A84C7">
            <w:pPr>
              <w:pStyle w:val="6"/>
              <w:spacing w:before="56" w:line="228" w:lineRule="auto"/>
              <w:ind w:left="48"/>
            </w:pPr>
            <w:r>
              <w:rPr>
                <w:spacing w:val="1"/>
              </w:rPr>
              <w:t>距原点</w:t>
            </w:r>
            <w:r>
              <w:rPr>
                <w:spacing w:val="-22"/>
              </w:rPr>
              <w:t xml:space="preserve"> </w:t>
            </w:r>
            <w:r>
              <w:rPr>
                <w:rFonts w:ascii="Times New Roman" w:hAnsi="Times New Roman" w:eastAsia="Times New Roman" w:cs="Times New Roman"/>
                <w:spacing w:val="1"/>
              </w:rPr>
              <w:t>15</w:t>
            </w:r>
            <w:r>
              <w:rPr>
                <w:rFonts w:ascii="Times New Roman" w:hAnsi="Times New Roman" w:eastAsia="Times New Roman" w:cs="Times New Roman"/>
                <w:spacing w:val="12"/>
              </w:rPr>
              <w:t xml:space="preserve"> </w:t>
            </w:r>
            <w:r>
              <w:rPr>
                <w:spacing w:val="1"/>
              </w:rPr>
              <w:t>米</w:t>
            </w:r>
          </w:p>
        </w:tc>
        <w:tc>
          <w:tcPr>
            <w:tcW w:w="1012" w:type="dxa"/>
            <w:vAlign w:val="top"/>
          </w:tcPr>
          <w:p w14:paraId="4D184E75">
            <w:pPr>
              <w:spacing w:before="92" w:line="195" w:lineRule="auto"/>
              <w:ind w:left="28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19.35</w:t>
            </w:r>
          </w:p>
        </w:tc>
        <w:tc>
          <w:tcPr>
            <w:tcW w:w="780" w:type="dxa"/>
            <w:vAlign w:val="top"/>
          </w:tcPr>
          <w:p w14:paraId="2C45D995">
            <w:pPr>
              <w:spacing w:before="92" w:line="195" w:lineRule="auto"/>
              <w:ind w:left="15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0.143</w:t>
            </w:r>
          </w:p>
        </w:tc>
        <w:tc>
          <w:tcPr>
            <w:tcW w:w="899" w:type="dxa"/>
            <w:vAlign w:val="top"/>
          </w:tcPr>
          <w:p w14:paraId="3CADD76C">
            <w:pPr>
              <w:spacing w:before="92" w:line="195" w:lineRule="auto"/>
              <w:ind w:left="16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2.3116</w:t>
            </w:r>
          </w:p>
        </w:tc>
        <w:tc>
          <w:tcPr>
            <w:tcW w:w="780" w:type="dxa"/>
            <w:vAlign w:val="top"/>
          </w:tcPr>
          <w:p w14:paraId="45B23159">
            <w:pPr>
              <w:spacing w:before="92"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0.1186</w:t>
            </w:r>
          </w:p>
        </w:tc>
        <w:tc>
          <w:tcPr>
            <w:tcW w:w="884" w:type="dxa"/>
            <w:vAlign w:val="top"/>
          </w:tcPr>
          <w:p w14:paraId="275472DC">
            <w:pPr>
              <w:spacing w:before="92" w:line="195" w:lineRule="auto"/>
              <w:ind w:left="20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2.224</w:t>
            </w:r>
          </w:p>
        </w:tc>
        <w:tc>
          <w:tcPr>
            <w:tcW w:w="720" w:type="dxa"/>
            <w:vAlign w:val="top"/>
          </w:tcPr>
          <w:p w14:paraId="120767CE">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0.1346</w:t>
            </w:r>
          </w:p>
        </w:tc>
        <w:tc>
          <w:tcPr>
            <w:tcW w:w="884" w:type="dxa"/>
            <w:vAlign w:val="top"/>
          </w:tcPr>
          <w:p w14:paraId="69D2FDF0">
            <w:pPr>
              <w:spacing w:before="92"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2.4738</w:t>
            </w:r>
          </w:p>
        </w:tc>
        <w:tc>
          <w:tcPr>
            <w:tcW w:w="791" w:type="dxa"/>
            <w:vAlign w:val="top"/>
          </w:tcPr>
          <w:p w14:paraId="3677DCF7">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0.1572</w:t>
            </w:r>
          </w:p>
        </w:tc>
        <w:tc>
          <w:tcPr>
            <w:tcW w:w="913" w:type="dxa"/>
            <w:vAlign w:val="top"/>
          </w:tcPr>
          <w:p w14:paraId="55F1541F">
            <w:pPr>
              <w:spacing w:before="92"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2.6622</w:t>
            </w:r>
          </w:p>
        </w:tc>
      </w:tr>
      <w:tr w14:paraId="23294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7870FC05">
            <w:pPr>
              <w:pStyle w:val="6"/>
              <w:spacing w:before="55" w:line="228" w:lineRule="auto"/>
              <w:ind w:left="48"/>
            </w:pPr>
            <w:r>
              <w:rPr>
                <w:spacing w:val="1"/>
              </w:rPr>
              <w:t>距原点</w:t>
            </w:r>
            <w:r>
              <w:rPr>
                <w:spacing w:val="-22"/>
              </w:rPr>
              <w:t xml:space="preserve"> </w:t>
            </w:r>
            <w:r>
              <w:rPr>
                <w:rFonts w:ascii="Times New Roman" w:hAnsi="Times New Roman" w:eastAsia="Times New Roman" w:cs="Times New Roman"/>
                <w:spacing w:val="1"/>
              </w:rPr>
              <w:t>16</w:t>
            </w:r>
            <w:r>
              <w:rPr>
                <w:rFonts w:ascii="Times New Roman" w:hAnsi="Times New Roman" w:eastAsia="Times New Roman" w:cs="Times New Roman"/>
                <w:spacing w:val="12"/>
              </w:rPr>
              <w:t xml:space="preserve"> </w:t>
            </w:r>
            <w:r>
              <w:rPr>
                <w:spacing w:val="1"/>
              </w:rPr>
              <w:t>米</w:t>
            </w:r>
          </w:p>
        </w:tc>
        <w:tc>
          <w:tcPr>
            <w:tcW w:w="1012" w:type="dxa"/>
            <w:vAlign w:val="top"/>
          </w:tcPr>
          <w:p w14:paraId="75424BA3">
            <w:pPr>
              <w:spacing w:before="94"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20.35</w:t>
            </w:r>
          </w:p>
        </w:tc>
        <w:tc>
          <w:tcPr>
            <w:tcW w:w="780" w:type="dxa"/>
            <w:vAlign w:val="top"/>
          </w:tcPr>
          <w:p w14:paraId="2116F6B9">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0.1415</w:t>
            </w:r>
          </w:p>
        </w:tc>
        <w:tc>
          <w:tcPr>
            <w:tcW w:w="899" w:type="dxa"/>
            <w:vAlign w:val="top"/>
          </w:tcPr>
          <w:p w14:paraId="76AAD1F9">
            <w:pPr>
              <w:spacing w:before="91" w:line="195" w:lineRule="auto"/>
              <w:ind w:left="16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2.1233</w:t>
            </w:r>
          </w:p>
        </w:tc>
        <w:tc>
          <w:tcPr>
            <w:tcW w:w="780" w:type="dxa"/>
            <w:vAlign w:val="top"/>
          </w:tcPr>
          <w:p w14:paraId="5F9602FB">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0.1197</w:t>
            </w:r>
          </w:p>
        </w:tc>
        <w:tc>
          <w:tcPr>
            <w:tcW w:w="884" w:type="dxa"/>
            <w:vAlign w:val="top"/>
          </w:tcPr>
          <w:p w14:paraId="5BEDFCE7">
            <w:pPr>
              <w:spacing w:before="91" w:line="195" w:lineRule="auto"/>
              <w:ind w:left="15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2.0489</w:t>
            </w:r>
          </w:p>
        </w:tc>
        <w:tc>
          <w:tcPr>
            <w:tcW w:w="720" w:type="dxa"/>
            <w:vAlign w:val="top"/>
          </w:tcPr>
          <w:p w14:paraId="1311DD10">
            <w:pPr>
              <w:spacing w:before="94"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0.1318</w:t>
            </w:r>
          </w:p>
        </w:tc>
        <w:tc>
          <w:tcPr>
            <w:tcW w:w="884" w:type="dxa"/>
            <w:vAlign w:val="top"/>
          </w:tcPr>
          <w:p w14:paraId="468DE503">
            <w:pPr>
              <w:spacing w:before="94"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2.2603</w:t>
            </w:r>
          </w:p>
        </w:tc>
        <w:tc>
          <w:tcPr>
            <w:tcW w:w="791" w:type="dxa"/>
            <w:vAlign w:val="top"/>
          </w:tcPr>
          <w:p w14:paraId="7B6CF914">
            <w:pPr>
              <w:spacing w:before="94"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0.1491</w:t>
            </w:r>
          </w:p>
        </w:tc>
        <w:tc>
          <w:tcPr>
            <w:tcW w:w="913" w:type="dxa"/>
            <w:vAlign w:val="top"/>
          </w:tcPr>
          <w:p w14:paraId="274B57B6">
            <w:pPr>
              <w:spacing w:before="94"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2.4178</w:t>
            </w:r>
          </w:p>
        </w:tc>
      </w:tr>
      <w:tr w14:paraId="3423A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0849EB1B">
            <w:pPr>
              <w:pStyle w:val="6"/>
              <w:spacing w:before="55" w:line="228" w:lineRule="auto"/>
              <w:ind w:left="48"/>
            </w:pPr>
            <w:r>
              <w:rPr>
                <w:spacing w:val="1"/>
              </w:rPr>
              <w:t>距原点</w:t>
            </w:r>
            <w:r>
              <w:rPr>
                <w:spacing w:val="-22"/>
              </w:rPr>
              <w:t xml:space="preserve"> </w:t>
            </w:r>
            <w:r>
              <w:rPr>
                <w:rFonts w:ascii="Times New Roman" w:hAnsi="Times New Roman" w:eastAsia="Times New Roman" w:cs="Times New Roman"/>
                <w:spacing w:val="1"/>
              </w:rPr>
              <w:t>17</w:t>
            </w:r>
            <w:r>
              <w:rPr>
                <w:rFonts w:ascii="Times New Roman" w:hAnsi="Times New Roman" w:eastAsia="Times New Roman" w:cs="Times New Roman"/>
                <w:spacing w:val="12"/>
              </w:rPr>
              <w:t xml:space="preserve"> </w:t>
            </w:r>
            <w:r>
              <w:rPr>
                <w:spacing w:val="1"/>
              </w:rPr>
              <w:t>米</w:t>
            </w:r>
          </w:p>
        </w:tc>
        <w:tc>
          <w:tcPr>
            <w:tcW w:w="1012" w:type="dxa"/>
            <w:vAlign w:val="top"/>
          </w:tcPr>
          <w:p w14:paraId="42224025">
            <w:pPr>
              <w:spacing w:before="93"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21.35</w:t>
            </w:r>
          </w:p>
        </w:tc>
        <w:tc>
          <w:tcPr>
            <w:tcW w:w="780" w:type="dxa"/>
            <w:vAlign w:val="top"/>
          </w:tcPr>
          <w:p w14:paraId="47C60106">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0.1388</w:t>
            </w:r>
          </w:p>
        </w:tc>
        <w:tc>
          <w:tcPr>
            <w:tcW w:w="899" w:type="dxa"/>
            <w:vAlign w:val="top"/>
          </w:tcPr>
          <w:p w14:paraId="6D087DFF">
            <w:pPr>
              <w:spacing w:before="91"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1.9561</w:t>
            </w:r>
          </w:p>
        </w:tc>
        <w:tc>
          <w:tcPr>
            <w:tcW w:w="780" w:type="dxa"/>
            <w:vAlign w:val="top"/>
          </w:tcPr>
          <w:p w14:paraId="772AF986">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0.1195</w:t>
            </w:r>
          </w:p>
        </w:tc>
        <w:tc>
          <w:tcPr>
            <w:tcW w:w="884" w:type="dxa"/>
            <w:vAlign w:val="top"/>
          </w:tcPr>
          <w:p w14:paraId="62DE92A9">
            <w:pPr>
              <w:spacing w:before="91"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1.8925</w:t>
            </w:r>
          </w:p>
        </w:tc>
        <w:tc>
          <w:tcPr>
            <w:tcW w:w="720" w:type="dxa"/>
            <w:vAlign w:val="top"/>
          </w:tcPr>
          <w:p w14:paraId="467F6F47">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0.1286</w:t>
            </w:r>
          </w:p>
        </w:tc>
        <w:tc>
          <w:tcPr>
            <w:tcW w:w="884" w:type="dxa"/>
            <w:vAlign w:val="top"/>
          </w:tcPr>
          <w:p w14:paraId="0B19EFC5">
            <w:pPr>
              <w:spacing w:before="93" w:line="195" w:lineRule="auto"/>
              <w:ind w:left="15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2.0724</w:t>
            </w:r>
          </w:p>
        </w:tc>
        <w:tc>
          <w:tcPr>
            <w:tcW w:w="791" w:type="dxa"/>
            <w:vAlign w:val="top"/>
          </w:tcPr>
          <w:p w14:paraId="687D88A2">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0.1419</w:t>
            </w:r>
          </w:p>
        </w:tc>
        <w:tc>
          <w:tcPr>
            <w:tcW w:w="913" w:type="dxa"/>
            <w:vAlign w:val="top"/>
          </w:tcPr>
          <w:p w14:paraId="7F8E9E04">
            <w:pPr>
              <w:spacing w:before="93" w:line="195" w:lineRule="auto"/>
              <w:ind w:left="22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2.205</w:t>
            </w:r>
          </w:p>
        </w:tc>
      </w:tr>
      <w:tr w14:paraId="6EB5D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7D90D68F">
            <w:pPr>
              <w:pStyle w:val="6"/>
              <w:spacing w:before="54" w:line="228" w:lineRule="auto"/>
              <w:ind w:left="48"/>
            </w:pPr>
            <w:r>
              <w:rPr>
                <w:spacing w:val="1"/>
              </w:rPr>
              <w:t>距原点</w:t>
            </w:r>
            <w:r>
              <w:rPr>
                <w:spacing w:val="-22"/>
              </w:rPr>
              <w:t xml:space="preserve"> </w:t>
            </w:r>
            <w:r>
              <w:rPr>
                <w:rFonts w:ascii="Times New Roman" w:hAnsi="Times New Roman" w:eastAsia="Times New Roman" w:cs="Times New Roman"/>
                <w:spacing w:val="1"/>
              </w:rPr>
              <w:t>18</w:t>
            </w:r>
            <w:r>
              <w:rPr>
                <w:rFonts w:ascii="Times New Roman" w:hAnsi="Times New Roman" w:eastAsia="Times New Roman" w:cs="Times New Roman"/>
                <w:spacing w:val="12"/>
              </w:rPr>
              <w:t xml:space="preserve"> </w:t>
            </w:r>
            <w:r>
              <w:rPr>
                <w:spacing w:val="1"/>
              </w:rPr>
              <w:t>米</w:t>
            </w:r>
          </w:p>
        </w:tc>
        <w:tc>
          <w:tcPr>
            <w:tcW w:w="1012" w:type="dxa"/>
            <w:vAlign w:val="top"/>
          </w:tcPr>
          <w:p w14:paraId="63B74FA9">
            <w:pPr>
              <w:spacing w:before="93"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22.35</w:t>
            </w:r>
          </w:p>
        </w:tc>
        <w:tc>
          <w:tcPr>
            <w:tcW w:w="780" w:type="dxa"/>
            <w:vAlign w:val="top"/>
          </w:tcPr>
          <w:p w14:paraId="031E7C77">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0.1354</w:t>
            </w:r>
          </w:p>
        </w:tc>
        <w:tc>
          <w:tcPr>
            <w:tcW w:w="899" w:type="dxa"/>
            <w:vAlign w:val="top"/>
          </w:tcPr>
          <w:p w14:paraId="5699323A">
            <w:pPr>
              <w:spacing w:before="91"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1.8071</w:t>
            </w:r>
          </w:p>
        </w:tc>
        <w:tc>
          <w:tcPr>
            <w:tcW w:w="780" w:type="dxa"/>
            <w:vAlign w:val="top"/>
          </w:tcPr>
          <w:p w14:paraId="3EF7B43F">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0.1183</w:t>
            </w:r>
          </w:p>
        </w:tc>
        <w:tc>
          <w:tcPr>
            <w:tcW w:w="884" w:type="dxa"/>
            <w:vAlign w:val="top"/>
          </w:tcPr>
          <w:p w14:paraId="63EAB4A3">
            <w:pPr>
              <w:spacing w:before="91"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1.7525</w:t>
            </w:r>
          </w:p>
        </w:tc>
        <w:tc>
          <w:tcPr>
            <w:tcW w:w="720" w:type="dxa"/>
            <w:vAlign w:val="top"/>
          </w:tcPr>
          <w:p w14:paraId="2B02F867">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0.1251</w:t>
            </w:r>
          </w:p>
        </w:tc>
        <w:tc>
          <w:tcPr>
            <w:tcW w:w="884" w:type="dxa"/>
            <w:vAlign w:val="top"/>
          </w:tcPr>
          <w:p w14:paraId="3D4EC9AF">
            <w:pPr>
              <w:spacing w:before="93"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1.9064</w:t>
            </w:r>
          </w:p>
        </w:tc>
        <w:tc>
          <w:tcPr>
            <w:tcW w:w="791" w:type="dxa"/>
            <w:vAlign w:val="top"/>
          </w:tcPr>
          <w:p w14:paraId="2AFCA5F3">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0.1354</w:t>
            </w:r>
          </w:p>
        </w:tc>
        <w:tc>
          <w:tcPr>
            <w:tcW w:w="913" w:type="dxa"/>
            <w:vAlign w:val="top"/>
          </w:tcPr>
          <w:p w14:paraId="1596A4D7">
            <w:pPr>
              <w:spacing w:before="93" w:line="195" w:lineRule="auto"/>
              <w:ind w:left="1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2.0187</w:t>
            </w:r>
          </w:p>
        </w:tc>
      </w:tr>
      <w:tr w14:paraId="49C39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45C8784E">
            <w:pPr>
              <w:pStyle w:val="6"/>
              <w:spacing w:before="54" w:line="228" w:lineRule="auto"/>
              <w:ind w:left="48"/>
            </w:pPr>
            <w:r>
              <w:rPr>
                <w:spacing w:val="1"/>
              </w:rPr>
              <w:t>距原点</w:t>
            </w:r>
            <w:r>
              <w:rPr>
                <w:spacing w:val="-22"/>
              </w:rPr>
              <w:t xml:space="preserve"> </w:t>
            </w:r>
            <w:r>
              <w:rPr>
                <w:rFonts w:ascii="Times New Roman" w:hAnsi="Times New Roman" w:eastAsia="Times New Roman" w:cs="Times New Roman"/>
                <w:spacing w:val="1"/>
              </w:rPr>
              <w:t>19</w:t>
            </w:r>
            <w:r>
              <w:rPr>
                <w:rFonts w:ascii="Times New Roman" w:hAnsi="Times New Roman" w:eastAsia="Times New Roman" w:cs="Times New Roman"/>
                <w:spacing w:val="12"/>
              </w:rPr>
              <w:t xml:space="preserve"> </w:t>
            </w:r>
            <w:r>
              <w:rPr>
                <w:spacing w:val="1"/>
              </w:rPr>
              <w:t>米</w:t>
            </w:r>
          </w:p>
        </w:tc>
        <w:tc>
          <w:tcPr>
            <w:tcW w:w="1012" w:type="dxa"/>
            <w:vAlign w:val="top"/>
          </w:tcPr>
          <w:p w14:paraId="26D38CEE">
            <w:pPr>
              <w:spacing w:before="93"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23.35</w:t>
            </w:r>
          </w:p>
        </w:tc>
        <w:tc>
          <w:tcPr>
            <w:tcW w:w="780" w:type="dxa"/>
            <w:vAlign w:val="top"/>
          </w:tcPr>
          <w:p w14:paraId="0E294778">
            <w:pPr>
              <w:spacing w:before="93"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0.1314</w:t>
            </w:r>
          </w:p>
        </w:tc>
        <w:tc>
          <w:tcPr>
            <w:tcW w:w="899" w:type="dxa"/>
            <w:vAlign w:val="top"/>
          </w:tcPr>
          <w:p w14:paraId="45BF4C1E">
            <w:pPr>
              <w:spacing w:before="93"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1.6738</w:t>
            </w:r>
          </w:p>
        </w:tc>
        <w:tc>
          <w:tcPr>
            <w:tcW w:w="780" w:type="dxa"/>
            <w:vAlign w:val="top"/>
          </w:tcPr>
          <w:p w14:paraId="4336903B">
            <w:pPr>
              <w:spacing w:before="93"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0.1163</w:t>
            </w:r>
          </w:p>
        </w:tc>
        <w:tc>
          <w:tcPr>
            <w:tcW w:w="884" w:type="dxa"/>
            <w:vAlign w:val="top"/>
          </w:tcPr>
          <w:p w14:paraId="71CA427A">
            <w:pPr>
              <w:spacing w:before="93"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1.6266</w:t>
            </w:r>
          </w:p>
        </w:tc>
        <w:tc>
          <w:tcPr>
            <w:tcW w:w="720" w:type="dxa"/>
            <w:vAlign w:val="top"/>
          </w:tcPr>
          <w:p w14:paraId="5BC52553">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0.1215</w:t>
            </w:r>
          </w:p>
        </w:tc>
        <w:tc>
          <w:tcPr>
            <w:tcW w:w="884" w:type="dxa"/>
            <w:vAlign w:val="top"/>
          </w:tcPr>
          <w:p w14:paraId="7F1DB004">
            <w:pPr>
              <w:spacing w:before="93" w:line="195" w:lineRule="auto"/>
              <w:ind w:left="22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1.759</w:t>
            </w:r>
          </w:p>
        </w:tc>
        <w:tc>
          <w:tcPr>
            <w:tcW w:w="791" w:type="dxa"/>
            <w:vAlign w:val="top"/>
          </w:tcPr>
          <w:p w14:paraId="52706ACC">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0.1293</w:t>
            </w:r>
          </w:p>
        </w:tc>
        <w:tc>
          <w:tcPr>
            <w:tcW w:w="913" w:type="dxa"/>
            <w:vAlign w:val="top"/>
          </w:tcPr>
          <w:p w14:paraId="04CBB914">
            <w:pPr>
              <w:spacing w:before="93" w:line="195" w:lineRule="auto"/>
              <w:ind w:left="190"/>
              <w:rPr>
                <w:rFonts w:ascii="Times New Roman" w:hAnsi="Times New Roman" w:eastAsia="Times New Roman" w:cs="Times New Roman"/>
                <w:sz w:val="20"/>
                <w:szCs w:val="20"/>
              </w:rPr>
            </w:pPr>
            <w:r>
              <w:rPr>
                <w:rFonts w:ascii="Times New Roman" w:hAnsi="Times New Roman" w:eastAsia="Times New Roman" w:cs="Times New Roman"/>
                <w:sz w:val="20"/>
                <w:szCs w:val="20"/>
              </w:rPr>
              <w:t>1.8547</w:t>
            </w:r>
          </w:p>
        </w:tc>
      </w:tr>
      <w:tr w14:paraId="164B1C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1B268128">
            <w:pPr>
              <w:pStyle w:val="6"/>
              <w:spacing w:before="54" w:line="228" w:lineRule="auto"/>
              <w:ind w:left="48"/>
            </w:pPr>
            <w:r>
              <w:rPr>
                <w:spacing w:val="4"/>
              </w:rPr>
              <w:t>距原点</w:t>
            </w:r>
            <w:r>
              <w:rPr>
                <w:spacing w:val="-40"/>
              </w:rPr>
              <w:t xml:space="preserve"> </w:t>
            </w:r>
            <w:r>
              <w:rPr>
                <w:rFonts w:ascii="Times New Roman" w:hAnsi="Times New Roman" w:eastAsia="Times New Roman" w:cs="Times New Roman"/>
                <w:spacing w:val="4"/>
              </w:rPr>
              <w:t>20</w:t>
            </w:r>
            <w:r>
              <w:rPr>
                <w:rFonts w:ascii="Times New Roman" w:hAnsi="Times New Roman" w:eastAsia="Times New Roman" w:cs="Times New Roman"/>
                <w:spacing w:val="12"/>
              </w:rPr>
              <w:t xml:space="preserve"> </w:t>
            </w:r>
            <w:r>
              <w:rPr>
                <w:spacing w:val="4"/>
              </w:rPr>
              <w:t>米</w:t>
            </w:r>
          </w:p>
        </w:tc>
        <w:tc>
          <w:tcPr>
            <w:tcW w:w="1012" w:type="dxa"/>
            <w:vAlign w:val="top"/>
          </w:tcPr>
          <w:p w14:paraId="3C997FE0">
            <w:pPr>
              <w:spacing w:before="92"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24.35</w:t>
            </w:r>
          </w:p>
        </w:tc>
        <w:tc>
          <w:tcPr>
            <w:tcW w:w="780" w:type="dxa"/>
            <w:vAlign w:val="top"/>
          </w:tcPr>
          <w:p w14:paraId="404C0547">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0.1272</w:t>
            </w:r>
          </w:p>
        </w:tc>
        <w:tc>
          <w:tcPr>
            <w:tcW w:w="899" w:type="dxa"/>
            <w:vAlign w:val="top"/>
          </w:tcPr>
          <w:p w14:paraId="31CE5993">
            <w:pPr>
              <w:spacing w:before="92"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1.5541</w:t>
            </w:r>
          </w:p>
        </w:tc>
        <w:tc>
          <w:tcPr>
            <w:tcW w:w="780" w:type="dxa"/>
            <w:vAlign w:val="top"/>
          </w:tcPr>
          <w:p w14:paraId="2EFAC2C9">
            <w:pPr>
              <w:spacing w:before="92"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0.1138</w:t>
            </w:r>
          </w:p>
        </w:tc>
        <w:tc>
          <w:tcPr>
            <w:tcW w:w="884" w:type="dxa"/>
            <w:vAlign w:val="top"/>
          </w:tcPr>
          <w:p w14:paraId="1FB5E851">
            <w:pPr>
              <w:spacing w:before="92"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1.5133</w:t>
            </w:r>
          </w:p>
        </w:tc>
        <w:tc>
          <w:tcPr>
            <w:tcW w:w="720" w:type="dxa"/>
            <w:vAlign w:val="top"/>
          </w:tcPr>
          <w:p w14:paraId="22E9B2F4">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0.1177</w:t>
            </w:r>
          </w:p>
        </w:tc>
        <w:tc>
          <w:tcPr>
            <w:tcW w:w="884" w:type="dxa"/>
            <w:vAlign w:val="top"/>
          </w:tcPr>
          <w:p w14:paraId="713C37AF">
            <w:pPr>
              <w:spacing w:before="92"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1.6276</w:t>
            </w:r>
          </w:p>
        </w:tc>
        <w:tc>
          <w:tcPr>
            <w:tcW w:w="791" w:type="dxa"/>
            <w:vAlign w:val="top"/>
          </w:tcPr>
          <w:p w14:paraId="00E8E816">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0.1236</w:t>
            </w:r>
          </w:p>
        </w:tc>
        <w:tc>
          <w:tcPr>
            <w:tcW w:w="913" w:type="dxa"/>
            <w:vAlign w:val="top"/>
          </w:tcPr>
          <w:p w14:paraId="6EC1453D">
            <w:pPr>
              <w:spacing w:before="92" w:line="195" w:lineRule="auto"/>
              <w:ind w:left="190"/>
              <w:rPr>
                <w:rFonts w:ascii="Times New Roman" w:hAnsi="Times New Roman" w:eastAsia="Times New Roman" w:cs="Times New Roman"/>
                <w:sz w:val="20"/>
                <w:szCs w:val="20"/>
              </w:rPr>
            </w:pPr>
            <w:r>
              <w:rPr>
                <w:rFonts w:ascii="Times New Roman" w:hAnsi="Times New Roman" w:eastAsia="Times New Roman" w:cs="Times New Roman"/>
                <w:sz w:val="20"/>
                <w:szCs w:val="20"/>
              </w:rPr>
              <w:t>1.7097</w:t>
            </w:r>
          </w:p>
        </w:tc>
      </w:tr>
      <w:tr w14:paraId="507D4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242" w:type="dxa"/>
            <w:vAlign w:val="top"/>
          </w:tcPr>
          <w:p w14:paraId="538DA2A3">
            <w:pPr>
              <w:pStyle w:val="6"/>
              <w:spacing w:before="56" w:line="228" w:lineRule="auto"/>
              <w:ind w:left="48"/>
            </w:pPr>
            <w:r>
              <w:rPr>
                <w:spacing w:val="4"/>
              </w:rPr>
              <w:t>距原点</w:t>
            </w:r>
            <w:r>
              <w:rPr>
                <w:spacing w:val="-40"/>
              </w:rPr>
              <w:t xml:space="preserve"> </w:t>
            </w:r>
            <w:r>
              <w:rPr>
                <w:rFonts w:ascii="Times New Roman" w:hAnsi="Times New Roman" w:eastAsia="Times New Roman" w:cs="Times New Roman"/>
                <w:spacing w:val="4"/>
              </w:rPr>
              <w:t>21</w:t>
            </w:r>
            <w:r>
              <w:rPr>
                <w:rFonts w:ascii="Times New Roman" w:hAnsi="Times New Roman" w:eastAsia="Times New Roman" w:cs="Times New Roman"/>
                <w:spacing w:val="12"/>
              </w:rPr>
              <w:t xml:space="preserve"> </w:t>
            </w:r>
            <w:r>
              <w:rPr>
                <w:spacing w:val="4"/>
              </w:rPr>
              <w:t>米</w:t>
            </w:r>
          </w:p>
        </w:tc>
        <w:tc>
          <w:tcPr>
            <w:tcW w:w="1012" w:type="dxa"/>
            <w:vAlign w:val="top"/>
          </w:tcPr>
          <w:p w14:paraId="7E1C9D54">
            <w:pPr>
              <w:spacing w:before="92"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25.35</w:t>
            </w:r>
          </w:p>
        </w:tc>
        <w:tc>
          <w:tcPr>
            <w:tcW w:w="780" w:type="dxa"/>
            <w:vAlign w:val="top"/>
          </w:tcPr>
          <w:p w14:paraId="059C9341">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0.1227</w:t>
            </w:r>
          </w:p>
        </w:tc>
        <w:tc>
          <w:tcPr>
            <w:tcW w:w="899" w:type="dxa"/>
            <w:vAlign w:val="top"/>
          </w:tcPr>
          <w:p w14:paraId="672C559A">
            <w:pPr>
              <w:spacing w:before="92"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1.4464</w:t>
            </w:r>
          </w:p>
        </w:tc>
        <w:tc>
          <w:tcPr>
            <w:tcW w:w="780" w:type="dxa"/>
            <w:vAlign w:val="top"/>
          </w:tcPr>
          <w:p w14:paraId="0A56C1BD">
            <w:pPr>
              <w:spacing w:before="92"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0.1108</w:t>
            </w:r>
          </w:p>
        </w:tc>
        <w:tc>
          <w:tcPr>
            <w:tcW w:w="884" w:type="dxa"/>
            <w:vAlign w:val="top"/>
          </w:tcPr>
          <w:p w14:paraId="19BC90AC">
            <w:pPr>
              <w:spacing w:before="92"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1.4109</w:t>
            </w:r>
          </w:p>
        </w:tc>
        <w:tc>
          <w:tcPr>
            <w:tcW w:w="720" w:type="dxa"/>
            <w:vAlign w:val="top"/>
          </w:tcPr>
          <w:p w14:paraId="6D4E40F7">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0.1138</w:t>
            </w:r>
          </w:p>
        </w:tc>
        <w:tc>
          <w:tcPr>
            <w:tcW w:w="884" w:type="dxa"/>
            <w:vAlign w:val="top"/>
          </w:tcPr>
          <w:p w14:paraId="1F261BD4">
            <w:pPr>
              <w:spacing w:before="92"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1.5101</w:t>
            </w:r>
          </w:p>
        </w:tc>
        <w:tc>
          <w:tcPr>
            <w:tcW w:w="791" w:type="dxa"/>
            <w:vAlign w:val="top"/>
          </w:tcPr>
          <w:p w14:paraId="35502FD1">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0.1183</w:t>
            </w:r>
          </w:p>
        </w:tc>
        <w:tc>
          <w:tcPr>
            <w:tcW w:w="913" w:type="dxa"/>
            <w:vAlign w:val="top"/>
          </w:tcPr>
          <w:p w14:paraId="30D10923">
            <w:pPr>
              <w:spacing w:before="92" w:line="195" w:lineRule="auto"/>
              <w:ind w:left="190"/>
              <w:rPr>
                <w:rFonts w:ascii="Times New Roman" w:hAnsi="Times New Roman" w:eastAsia="Times New Roman" w:cs="Times New Roman"/>
                <w:sz w:val="20"/>
                <w:szCs w:val="20"/>
              </w:rPr>
            </w:pPr>
            <w:r>
              <w:rPr>
                <w:rFonts w:ascii="Times New Roman" w:hAnsi="Times New Roman" w:eastAsia="Times New Roman" w:cs="Times New Roman"/>
                <w:sz w:val="20"/>
                <w:szCs w:val="20"/>
              </w:rPr>
              <w:t>1.5808</w:t>
            </w:r>
          </w:p>
        </w:tc>
      </w:tr>
    </w:tbl>
    <w:p w14:paraId="2A39BA72">
      <w:pPr>
        <w:rPr>
          <w:rFonts w:ascii="Arial"/>
          <w:sz w:val="21"/>
        </w:rPr>
      </w:pPr>
    </w:p>
    <w:p w14:paraId="1B903CEA">
      <w:pPr>
        <w:rPr>
          <w:rFonts w:ascii="Arial" w:hAnsi="Arial" w:eastAsia="Arial" w:cs="Arial"/>
          <w:sz w:val="21"/>
          <w:szCs w:val="21"/>
        </w:rPr>
        <w:sectPr>
          <w:footerReference r:id="rId194" w:type="default"/>
          <w:pgSz w:w="11906" w:h="16839"/>
          <w:pgMar w:top="400" w:right="1498" w:bottom="1147" w:left="1497" w:header="0" w:footer="960" w:gutter="0"/>
          <w:cols w:space="720" w:num="1"/>
        </w:sectPr>
      </w:pPr>
    </w:p>
    <w:p w14:paraId="32910E20">
      <w:pPr>
        <w:spacing w:before="19"/>
      </w:pPr>
    </w:p>
    <w:p w14:paraId="47731C16">
      <w:pPr>
        <w:spacing w:before="19"/>
      </w:pPr>
    </w:p>
    <w:p w14:paraId="41DB422F">
      <w:pPr>
        <w:spacing w:before="18"/>
      </w:pPr>
    </w:p>
    <w:p w14:paraId="3AB6BE5D">
      <w:pPr>
        <w:spacing w:before="18"/>
      </w:pPr>
    </w:p>
    <w:tbl>
      <w:tblPr>
        <w:tblStyle w:val="5"/>
        <w:tblW w:w="890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2"/>
        <w:gridCol w:w="1012"/>
        <w:gridCol w:w="780"/>
        <w:gridCol w:w="899"/>
        <w:gridCol w:w="780"/>
        <w:gridCol w:w="884"/>
        <w:gridCol w:w="720"/>
        <w:gridCol w:w="884"/>
        <w:gridCol w:w="791"/>
        <w:gridCol w:w="913"/>
      </w:tblGrid>
      <w:tr w14:paraId="70EA5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242" w:type="dxa"/>
            <w:vAlign w:val="top"/>
          </w:tcPr>
          <w:p w14:paraId="1496132B">
            <w:pPr>
              <w:pStyle w:val="6"/>
              <w:spacing w:before="56" w:line="228" w:lineRule="auto"/>
              <w:ind w:left="48"/>
            </w:pPr>
            <w:r>
              <w:rPr>
                <w:spacing w:val="4"/>
              </w:rPr>
              <w:t>距原点</w:t>
            </w:r>
            <w:r>
              <w:rPr>
                <w:spacing w:val="-40"/>
              </w:rPr>
              <w:t xml:space="preserve"> </w:t>
            </w:r>
            <w:r>
              <w:rPr>
                <w:rFonts w:ascii="Times New Roman" w:hAnsi="Times New Roman" w:eastAsia="Times New Roman" w:cs="Times New Roman"/>
                <w:spacing w:val="4"/>
              </w:rPr>
              <w:t>22</w:t>
            </w:r>
            <w:r>
              <w:rPr>
                <w:rFonts w:ascii="Times New Roman" w:hAnsi="Times New Roman" w:eastAsia="Times New Roman" w:cs="Times New Roman"/>
                <w:spacing w:val="12"/>
              </w:rPr>
              <w:t xml:space="preserve"> </w:t>
            </w:r>
            <w:r>
              <w:rPr>
                <w:spacing w:val="4"/>
              </w:rPr>
              <w:t>米</w:t>
            </w:r>
          </w:p>
        </w:tc>
        <w:tc>
          <w:tcPr>
            <w:tcW w:w="1012" w:type="dxa"/>
            <w:vAlign w:val="top"/>
          </w:tcPr>
          <w:p w14:paraId="2A57ED7D">
            <w:pPr>
              <w:spacing w:before="92"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26.35</w:t>
            </w:r>
          </w:p>
        </w:tc>
        <w:tc>
          <w:tcPr>
            <w:tcW w:w="780" w:type="dxa"/>
            <w:vAlign w:val="top"/>
          </w:tcPr>
          <w:p w14:paraId="37BF439B">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0.1182</w:t>
            </w:r>
          </w:p>
        </w:tc>
        <w:tc>
          <w:tcPr>
            <w:tcW w:w="899" w:type="dxa"/>
            <w:vAlign w:val="top"/>
          </w:tcPr>
          <w:p w14:paraId="5C1BA2DC">
            <w:pPr>
              <w:spacing w:before="92"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1.3491</w:t>
            </w:r>
          </w:p>
        </w:tc>
        <w:tc>
          <w:tcPr>
            <w:tcW w:w="780" w:type="dxa"/>
            <w:vAlign w:val="top"/>
          </w:tcPr>
          <w:p w14:paraId="17D3842F">
            <w:pPr>
              <w:spacing w:before="92"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0.1076</w:t>
            </w:r>
          </w:p>
        </w:tc>
        <w:tc>
          <w:tcPr>
            <w:tcW w:w="884" w:type="dxa"/>
            <w:vAlign w:val="top"/>
          </w:tcPr>
          <w:p w14:paraId="0632135B">
            <w:pPr>
              <w:spacing w:before="92"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1.3181</w:t>
            </w:r>
          </w:p>
        </w:tc>
        <w:tc>
          <w:tcPr>
            <w:tcW w:w="720" w:type="dxa"/>
            <w:vAlign w:val="top"/>
          </w:tcPr>
          <w:p w14:paraId="00DA1D32">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0.1099</w:t>
            </w:r>
          </w:p>
        </w:tc>
        <w:tc>
          <w:tcPr>
            <w:tcW w:w="884" w:type="dxa"/>
            <w:vAlign w:val="top"/>
          </w:tcPr>
          <w:p w14:paraId="605DE3A1">
            <w:pPr>
              <w:spacing w:before="92"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1.4045</w:t>
            </w:r>
          </w:p>
        </w:tc>
        <w:tc>
          <w:tcPr>
            <w:tcW w:w="791" w:type="dxa"/>
            <w:vAlign w:val="top"/>
          </w:tcPr>
          <w:p w14:paraId="4A5AA949">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0.1133</w:t>
            </w:r>
          </w:p>
        </w:tc>
        <w:tc>
          <w:tcPr>
            <w:tcW w:w="913" w:type="dxa"/>
            <w:vAlign w:val="top"/>
          </w:tcPr>
          <w:p w14:paraId="2ED2E68E">
            <w:pPr>
              <w:spacing w:before="92" w:line="195" w:lineRule="auto"/>
              <w:ind w:left="190"/>
              <w:rPr>
                <w:rFonts w:ascii="Times New Roman" w:hAnsi="Times New Roman" w:eastAsia="Times New Roman" w:cs="Times New Roman"/>
                <w:sz w:val="20"/>
                <w:szCs w:val="20"/>
              </w:rPr>
            </w:pPr>
            <w:r>
              <w:rPr>
                <w:rFonts w:ascii="Times New Roman" w:hAnsi="Times New Roman" w:eastAsia="Times New Roman" w:cs="Times New Roman"/>
                <w:sz w:val="20"/>
                <w:szCs w:val="20"/>
              </w:rPr>
              <w:t>1.4658</w:t>
            </w:r>
          </w:p>
        </w:tc>
      </w:tr>
      <w:tr w14:paraId="1DBCF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7816C831">
            <w:pPr>
              <w:pStyle w:val="6"/>
              <w:spacing w:before="51" w:line="228" w:lineRule="auto"/>
              <w:ind w:left="48"/>
            </w:pPr>
            <w:r>
              <w:rPr>
                <w:spacing w:val="4"/>
              </w:rPr>
              <w:t>距原点</w:t>
            </w:r>
            <w:r>
              <w:rPr>
                <w:spacing w:val="-40"/>
              </w:rPr>
              <w:t xml:space="preserve"> </w:t>
            </w:r>
            <w:r>
              <w:rPr>
                <w:rFonts w:ascii="Times New Roman" w:hAnsi="Times New Roman" w:eastAsia="Times New Roman" w:cs="Times New Roman"/>
                <w:spacing w:val="4"/>
              </w:rPr>
              <w:t>23</w:t>
            </w:r>
            <w:r>
              <w:rPr>
                <w:rFonts w:ascii="Times New Roman" w:hAnsi="Times New Roman" w:eastAsia="Times New Roman" w:cs="Times New Roman"/>
                <w:spacing w:val="12"/>
              </w:rPr>
              <w:t xml:space="preserve"> </w:t>
            </w:r>
            <w:r>
              <w:rPr>
                <w:spacing w:val="4"/>
              </w:rPr>
              <w:t>米</w:t>
            </w:r>
          </w:p>
        </w:tc>
        <w:tc>
          <w:tcPr>
            <w:tcW w:w="1012" w:type="dxa"/>
            <w:vAlign w:val="top"/>
          </w:tcPr>
          <w:p w14:paraId="40450682">
            <w:pPr>
              <w:spacing w:before="90"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27.35</w:t>
            </w:r>
          </w:p>
        </w:tc>
        <w:tc>
          <w:tcPr>
            <w:tcW w:w="780" w:type="dxa"/>
            <w:vAlign w:val="top"/>
          </w:tcPr>
          <w:p w14:paraId="1B3101F3">
            <w:pPr>
              <w:spacing w:before="87"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0.1137</w:t>
            </w:r>
          </w:p>
        </w:tc>
        <w:tc>
          <w:tcPr>
            <w:tcW w:w="899" w:type="dxa"/>
            <w:vAlign w:val="top"/>
          </w:tcPr>
          <w:p w14:paraId="4981173A">
            <w:pPr>
              <w:spacing w:before="87" w:line="195" w:lineRule="auto"/>
              <w:ind w:left="23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1.261</w:t>
            </w:r>
          </w:p>
        </w:tc>
        <w:tc>
          <w:tcPr>
            <w:tcW w:w="780" w:type="dxa"/>
            <w:vAlign w:val="top"/>
          </w:tcPr>
          <w:p w14:paraId="64D6051B">
            <w:pPr>
              <w:spacing w:before="87"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0.1043</w:t>
            </w:r>
          </w:p>
        </w:tc>
        <w:tc>
          <w:tcPr>
            <w:tcW w:w="884" w:type="dxa"/>
            <w:vAlign w:val="top"/>
          </w:tcPr>
          <w:p w14:paraId="7630A8A9">
            <w:pPr>
              <w:spacing w:before="87"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1.2338</w:t>
            </w:r>
          </w:p>
        </w:tc>
        <w:tc>
          <w:tcPr>
            <w:tcW w:w="720" w:type="dxa"/>
            <w:vAlign w:val="top"/>
          </w:tcPr>
          <w:p w14:paraId="54BED5DD">
            <w:pPr>
              <w:spacing w:before="90"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0.106</w:t>
            </w:r>
          </w:p>
        </w:tc>
        <w:tc>
          <w:tcPr>
            <w:tcW w:w="884" w:type="dxa"/>
            <w:vAlign w:val="top"/>
          </w:tcPr>
          <w:p w14:paraId="69458256">
            <w:pPr>
              <w:spacing w:before="90"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1.3095</w:t>
            </w:r>
          </w:p>
        </w:tc>
        <w:tc>
          <w:tcPr>
            <w:tcW w:w="791" w:type="dxa"/>
            <w:vAlign w:val="top"/>
          </w:tcPr>
          <w:p w14:paraId="751E1C62">
            <w:pPr>
              <w:spacing w:before="90"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0.1085</w:t>
            </w:r>
          </w:p>
        </w:tc>
        <w:tc>
          <w:tcPr>
            <w:tcW w:w="913" w:type="dxa"/>
            <w:vAlign w:val="top"/>
          </w:tcPr>
          <w:p w14:paraId="561EBC78">
            <w:pPr>
              <w:spacing w:before="90" w:line="195" w:lineRule="auto"/>
              <w:ind w:left="190"/>
              <w:rPr>
                <w:rFonts w:ascii="Times New Roman" w:hAnsi="Times New Roman" w:eastAsia="Times New Roman" w:cs="Times New Roman"/>
                <w:sz w:val="20"/>
                <w:szCs w:val="20"/>
              </w:rPr>
            </w:pPr>
            <w:r>
              <w:rPr>
                <w:rFonts w:ascii="Times New Roman" w:hAnsi="Times New Roman" w:eastAsia="Times New Roman" w:cs="Times New Roman"/>
                <w:sz w:val="20"/>
                <w:szCs w:val="20"/>
              </w:rPr>
              <w:t>1.3627</w:t>
            </w:r>
          </w:p>
        </w:tc>
      </w:tr>
      <w:tr w14:paraId="73AD3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74C104BB">
            <w:pPr>
              <w:pStyle w:val="6"/>
              <w:spacing w:before="51" w:line="228" w:lineRule="auto"/>
              <w:ind w:left="48"/>
            </w:pPr>
            <w:r>
              <w:rPr>
                <w:spacing w:val="4"/>
              </w:rPr>
              <w:t>距原点</w:t>
            </w:r>
            <w:r>
              <w:rPr>
                <w:spacing w:val="-40"/>
              </w:rPr>
              <w:t xml:space="preserve"> </w:t>
            </w:r>
            <w:r>
              <w:rPr>
                <w:rFonts w:ascii="Times New Roman" w:hAnsi="Times New Roman" w:eastAsia="Times New Roman" w:cs="Times New Roman"/>
                <w:spacing w:val="4"/>
              </w:rPr>
              <w:t>24</w:t>
            </w:r>
            <w:r>
              <w:rPr>
                <w:rFonts w:ascii="Times New Roman" w:hAnsi="Times New Roman" w:eastAsia="Times New Roman" w:cs="Times New Roman"/>
                <w:spacing w:val="12"/>
              </w:rPr>
              <w:t xml:space="preserve"> </w:t>
            </w:r>
            <w:r>
              <w:rPr>
                <w:spacing w:val="4"/>
              </w:rPr>
              <w:t>米</w:t>
            </w:r>
          </w:p>
        </w:tc>
        <w:tc>
          <w:tcPr>
            <w:tcW w:w="1012" w:type="dxa"/>
            <w:vAlign w:val="top"/>
          </w:tcPr>
          <w:p w14:paraId="5CD3641F">
            <w:pPr>
              <w:spacing w:before="89"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28.35</w:t>
            </w:r>
          </w:p>
        </w:tc>
        <w:tc>
          <w:tcPr>
            <w:tcW w:w="780" w:type="dxa"/>
            <w:vAlign w:val="top"/>
          </w:tcPr>
          <w:p w14:paraId="454E3B0E">
            <w:pPr>
              <w:spacing w:before="87"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0.1093</w:t>
            </w:r>
          </w:p>
        </w:tc>
        <w:tc>
          <w:tcPr>
            <w:tcW w:w="899" w:type="dxa"/>
            <w:vAlign w:val="top"/>
          </w:tcPr>
          <w:p w14:paraId="3EDADD2B">
            <w:pPr>
              <w:spacing w:before="87" w:line="195" w:lineRule="auto"/>
              <w:ind w:left="23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1.181</w:t>
            </w:r>
          </w:p>
        </w:tc>
        <w:tc>
          <w:tcPr>
            <w:tcW w:w="780" w:type="dxa"/>
            <w:vAlign w:val="top"/>
          </w:tcPr>
          <w:p w14:paraId="78F0DDCD">
            <w:pPr>
              <w:spacing w:before="87"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0.1009</w:t>
            </w:r>
          </w:p>
        </w:tc>
        <w:tc>
          <w:tcPr>
            <w:tcW w:w="884" w:type="dxa"/>
            <w:vAlign w:val="top"/>
          </w:tcPr>
          <w:p w14:paraId="26CDF524">
            <w:pPr>
              <w:spacing w:before="87"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1.1571</w:t>
            </w:r>
          </w:p>
        </w:tc>
        <w:tc>
          <w:tcPr>
            <w:tcW w:w="720" w:type="dxa"/>
            <w:vAlign w:val="top"/>
          </w:tcPr>
          <w:p w14:paraId="658DB1ED">
            <w:pPr>
              <w:spacing w:before="89"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0.1021</w:t>
            </w:r>
          </w:p>
        </w:tc>
        <w:tc>
          <w:tcPr>
            <w:tcW w:w="884" w:type="dxa"/>
            <w:vAlign w:val="top"/>
          </w:tcPr>
          <w:p w14:paraId="0D5D9F06">
            <w:pPr>
              <w:spacing w:before="89"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1.2235</w:t>
            </w:r>
          </w:p>
        </w:tc>
        <w:tc>
          <w:tcPr>
            <w:tcW w:w="791" w:type="dxa"/>
            <w:vAlign w:val="top"/>
          </w:tcPr>
          <w:p w14:paraId="15E34FBC">
            <w:pPr>
              <w:spacing w:before="89"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0.1039</w:t>
            </w:r>
          </w:p>
        </w:tc>
        <w:tc>
          <w:tcPr>
            <w:tcW w:w="913" w:type="dxa"/>
            <w:vAlign w:val="top"/>
          </w:tcPr>
          <w:p w14:paraId="7DF86464">
            <w:pPr>
              <w:spacing w:before="89" w:line="195" w:lineRule="auto"/>
              <w:ind w:left="29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1.27</w:t>
            </w:r>
          </w:p>
        </w:tc>
      </w:tr>
      <w:tr w14:paraId="19786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42" w:type="dxa"/>
            <w:vAlign w:val="top"/>
          </w:tcPr>
          <w:p w14:paraId="3B561F7E">
            <w:pPr>
              <w:pStyle w:val="6"/>
              <w:spacing w:before="50" w:line="228" w:lineRule="auto"/>
              <w:ind w:left="48"/>
            </w:pPr>
            <w:r>
              <w:rPr>
                <w:spacing w:val="4"/>
              </w:rPr>
              <w:t>距原点</w:t>
            </w:r>
            <w:r>
              <w:rPr>
                <w:spacing w:val="-40"/>
              </w:rPr>
              <w:t xml:space="preserve"> </w:t>
            </w:r>
            <w:r>
              <w:rPr>
                <w:rFonts w:ascii="Times New Roman" w:hAnsi="Times New Roman" w:eastAsia="Times New Roman" w:cs="Times New Roman"/>
                <w:spacing w:val="4"/>
              </w:rPr>
              <w:t>25</w:t>
            </w:r>
            <w:r>
              <w:rPr>
                <w:rFonts w:ascii="Times New Roman" w:hAnsi="Times New Roman" w:eastAsia="Times New Roman" w:cs="Times New Roman"/>
                <w:spacing w:val="12"/>
              </w:rPr>
              <w:t xml:space="preserve"> </w:t>
            </w:r>
            <w:r>
              <w:rPr>
                <w:spacing w:val="4"/>
              </w:rPr>
              <w:t>米</w:t>
            </w:r>
          </w:p>
        </w:tc>
        <w:tc>
          <w:tcPr>
            <w:tcW w:w="1012" w:type="dxa"/>
            <w:vAlign w:val="top"/>
          </w:tcPr>
          <w:p w14:paraId="77B2DEAE">
            <w:pPr>
              <w:spacing w:before="89" w:line="195" w:lineRule="auto"/>
              <w:ind w:left="26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29.35</w:t>
            </w:r>
          </w:p>
        </w:tc>
        <w:tc>
          <w:tcPr>
            <w:tcW w:w="780" w:type="dxa"/>
            <w:vAlign w:val="top"/>
          </w:tcPr>
          <w:p w14:paraId="42295440">
            <w:pPr>
              <w:spacing w:before="87" w:line="195" w:lineRule="auto"/>
              <w:ind w:left="15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0.105</w:t>
            </w:r>
          </w:p>
        </w:tc>
        <w:tc>
          <w:tcPr>
            <w:tcW w:w="899" w:type="dxa"/>
            <w:vAlign w:val="top"/>
          </w:tcPr>
          <w:p w14:paraId="71DDE95A">
            <w:pPr>
              <w:spacing w:before="87"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1.1082</w:t>
            </w:r>
          </w:p>
        </w:tc>
        <w:tc>
          <w:tcPr>
            <w:tcW w:w="780" w:type="dxa"/>
            <w:vAlign w:val="top"/>
          </w:tcPr>
          <w:p w14:paraId="427A21FD">
            <w:pPr>
              <w:spacing w:before="87"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0.0974</w:t>
            </w:r>
          </w:p>
        </w:tc>
        <w:tc>
          <w:tcPr>
            <w:tcW w:w="884" w:type="dxa"/>
            <w:vAlign w:val="top"/>
          </w:tcPr>
          <w:p w14:paraId="52F468DF">
            <w:pPr>
              <w:spacing w:before="87" w:line="195" w:lineRule="auto"/>
              <w:ind w:left="22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1.087</w:t>
            </w:r>
          </w:p>
        </w:tc>
        <w:tc>
          <w:tcPr>
            <w:tcW w:w="720" w:type="dxa"/>
            <w:vAlign w:val="top"/>
          </w:tcPr>
          <w:p w14:paraId="514C3A76">
            <w:pPr>
              <w:spacing w:before="89"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0.0983</w:t>
            </w:r>
          </w:p>
        </w:tc>
        <w:tc>
          <w:tcPr>
            <w:tcW w:w="884" w:type="dxa"/>
            <w:vAlign w:val="top"/>
          </w:tcPr>
          <w:p w14:paraId="33CBB457">
            <w:pPr>
              <w:spacing w:before="89"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1.1456</w:t>
            </w:r>
          </w:p>
        </w:tc>
        <w:tc>
          <w:tcPr>
            <w:tcW w:w="791" w:type="dxa"/>
            <w:vAlign w:val="top"/>
          </w:tcPr>
          <w:p w14:paraId="6075CB24">
            <w:pPr>
              <w:spacing w:before="89"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0.0996</w:t>
            </w:r>
          </w:p>
        </w:tc>
        <w:tc>
          <w:tcPr>
            <w:tcW w:w="913" w:type="dxa"/>
            <w:vAlign w:val="top"/>
          </w:tcPr>
          <w:p w14:paraId="3E0C25D3">
            <w:pPr>
              <w:spacing w:before="89" w:line="195" w:lineRule="auto"/>
              <w:ind w:left="190"/>
              <w:rPr>
                <w:rFonts w:ascii="Times New Roman" w:hAnsi="Times New Roman" w:eastAsia="Times New Roman" w:cs="Times New Roman"/>
                <w:sz w:val="20"/>
                <w:szCs w:val="20"/>
              </w:rPr>
            </w:pPr>
            <w:r>
              <w:rPr>
                <w:rFonts w:ascii="Times New Roman" w:hAnsi="Times New Roman" w:eastAsia="Times New Roman" w:cs="Times New Roman"/>
                <w:sz w:val="20"/>
                <w:szCs w:val="20"/>
              </w:rPr>
              <w:t>1.1864</w:t>
            </w:r>
          </w:p>
        </w:tc>
      </w:tr>
      <w:tr w14:paraId="260FE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42" w:type="dxa"/>
            <w:vAlign w:val="top"/>
          </w:tcPr>
          <w:p w14:paraId="26F85D0E">
            <w:pPr>
              <w:pStyle w:val="6"/>
              <w:spacing w:before="51" w:line="228" w:lineRule="auto"/>
              <w:ind w:left="48"/>
            </w:pPr>
            <w:r>
              <w:rPr>
                <w:spacing w:val="4"/>
              </w:rPr>
              <w:t>距原点</w:t>
            </w:r>
            <w:r>
              <w:rPr>
                <w:spacing w:val="-40"/>
              </w:rPr>
              <w:t xml:space="preserve"> </w:t>
            </w:r>
            <w:r>
              <w:rPr>
                <w:rFonts w:ascii="Times New Roman" w:hAnsi="Times New Roman" w:eastAsia="Times New Roman" w:cs="Times New Roman"/>
                <w:spacing w:val="4"/>
              </w:rPr>
              <w:t>26</w:t>
            </w:r>
            <w:r>
              <w:rPr>
                <w:rFonts w:ascii="Times New Roman" w:hAnsi="Times New Roman" w:eastAsia="Times New Roman" w:cs="Times New Roman"/>
                <w:spacing w:val="12"/>
              </w:rPr>
              <w:t xml:space="preserve"> </w:t>
            </w:r>
            <w:r>
              <w:rPr>
                <w:spacing w:val="4"/>
              </w:rPr>
              <w:t>米</w:t>
            </w:r>
          </w:p>
        </w:tc>
        <w:tc>
          <w:tcPr>
            <w:tcW w:w="1012" w:type="dxa"/>
            <w:vAlign w:val="top"/>
          </w:tcPr>
          <w:p w14:paraId="3862B0ED">
            <w:pPr>
              <w:spacing w:before="90"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30.35</w:t>
            </w:r>
          </w:p>
        </w:tc>
        <w:tc>
          <w:tcPr>
            <w:tcW w:w="780" w:type="dxa"/>
            <w:vAlign w:val="top"/>
          </w:tcPr>
          <w:p w14:paraId="4FBBD334">
            <w:pPr>
              <w:spacing w:before="90"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0.1007</w:t>
            </w:r>
          </w:p>
        </w:tc>
        <w:tc>
          <w:tcPr>
            <w:tcW w:w="899" w:type="dxa"/>
            <w:vAlign w:val="top"/>
          </w:tcPr>
          <w:p w14:paraId="1F085C7F">
            <w:pPr>
              <w:spacing w:before="90" w:line="195" w:lineRule="auto"/>
              <w:ind w:left="182"/>
              <w:rPr>
                <w:rFonts w:ascii="Times New Roman" w:hAnsi="Times New Roman" w:eastAsia="Times New Roman" w:cs="Times New Roman"/>
                <w:sz w:val="20"/>
                <w:szCs w:val="20"/>
              </w:rPr>
            </w:pPr>
            <w:r>
              <w:rPr>
                <w:rFonts w:ascii="Times New Roman" w:hAnsi="Times New Roman" w:eastAsia="Times New Roman" w:cs="Times New Roman"/>
                <w:sz w:val="20"/>
                <w:szCs w:val="20"/>
              </w:rPr>
              <w:t>1.0417</w:t>
            </w:r>
          </w:p>
        </w:tc>
        <w:tc>
          <w:tcPr>
            <w:tcW w:w="780" w:type="dxa"/>
            <w:vAlign w:val="top"/>
          </w:tcPr>
          <w:p w14:paraId="20FC5B2B">
            <w:pPr>
              <w:spacing w:before="90"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0.094</w:t>
            </w:r>
          </w:p>
        </w:tc>
        <w:tc>
          <w:tcPr>
            <w:tcW w:w="884" w:type="dxa"/>
            <w:vAlign w:val="top"/>
          </w:tcPr>
          <w:p w14:paraId="5CDA3449">
            <w:pPr>
              <w:spacing w:before="90" w:line="195" w:lineRule="auto"/>
              <w:ind w:left="174"/>
              <w:rPr>
                <w:rFonts w:ascii="Times New Roman" w:hAnsi="Times New Roman" w:eastAsia="Times New Roman" w:cs="Times New Roman"/>
                <w:sz w:val="20"/>
                <w:szCs w:val="20"/>
              </w:rPr>
            </w:pPr>
            <w:r>
              <w:rPr>
                <w:rFonts w:ascii="Times New Roman" w:hAnsi="Times New Roman" w:eastAsia="Times New Roman" w:cs="Times New Roman"/>
                <w:sz w:val="20"/>
                <w:szCs w:val="20"/>
              </w:rPr>
              <w:t>1.0229</w:t>
            </w:r>
          </w:p>
        </w:tc>
        <w:tc>
          <w:tcPr>
            <w:tcW w:w="720" w:type="dxa"/>
            <w:vAlign w:val="top"/>
          </w:tcPr>
          <w:p w14:paraId="78B08438">
            <w:pPr>
              <w:spacing w:before="90"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0.0946</w:t>
            </w:r>
          </w:p>
        </w:tc>
        <w:tc>
          <w:tcPr>
            <w:tcW w:w="884" w:type="dxa"/>
            <w:vAlign w:val="top"/>
          </w:tcPr>
          <w:p w14:paraId="07D7FBFD">
            <w:pPr>
              <w:spacing w:before="90"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1.0748</w:t>
            </w:r>
          </w:p>
        </w:tc>
        <w:tc>
          <w:tcPr>
            <w:tcW w:w="791" w:type="dxa"/>
            <w:vAlign w:val="top"/>
          </w:tcPr>
          <w:p w14:paraId="4429157B">
            <w:pPr>
              <w:spacing w:before="90"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0.0955</w:t>
            </w:r>
          </w:p>
        </w:tc>
        <w:tc>
          <w:tcPr>
            <w:tcW w:w="913" w:type="dxa"/>
            <w:vAlign w:val="top"/>
          </w:tcPr>
          <w:p w14:paraId="03ECC0F8">
            <w:pPr>
              <w:spacing w:before="90" w:line="195" w:lineRule="auto"/>
              <w:ind w:left="190"/>
              <w:rPr>
                <w:rFonts w:ascii="Times New Roman" w:hAnsi="Times New Roman" w:eastAsia="Times New Roman" w:cs="Times New Roman"/>
                <w:sz w:val="20"/>
                <w:szCs w:val="20"/>
              </w:rPr>
            </w:pPr>
            <w:r>
              <w:rPr>
                <w:rFonts w:ascii="Times New Roman" w:hAnsi="Times New Roman" w:eastAsia="Times New Roman" w:cs="Times New Roman"/>
                <w:sz w:val="20"/>
                <w:szCs w:val="20"/>
              </w:rPr>
              <w:t>1.1107</w:t>
            </w:r>
          </w:p>
        </w:tc>
      </w:tr>
      <w:tr w14:paraId="401FD1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42" w:type="dxa"/>
            <w:vAlign w:val="top"/>
          </w:tcPr>
          <w:p w14:paraId="77B964D5">
            <w:pPr>
              <w:pStyle w:val="6"/>
              <w:spacing w:before="52" w:line="228" w:lineRule="auto"/>
              <w:ind w:left="48"/>
            </w:pPr>
            <w:r>
              <w:rPr>
                <w:spacing w:val="4"/>
              </w:rPr>
              <w:t>距原点</w:t>
            </w:r>
            <w:r>
              <w:rPr>
                <w:spacing w:val="-40"/>
              </w:rPr>
              <w:t xml:space="preserve"> </w:t>
            </w:r>
            <w:r>
              <w:rPr>
                <w:rFonts w:ascii="Times New Roman" w:hAnsi="Times New Roman" w:eastAsia="Times New Roman" w:cs="Times New Roman"/>
                <w:spacing w:val="4"/>
              </w:rPr>
              <w:t>27</w:t>
            </w:r>
            <w:r>
              <w:rPr>
                <w:rFonts w:ascii="Times New Roman" w:hAnsi="Times New Roman" w:eastAsia="Times New Roman" w:cs="Times New Roman"/>
                <w:spacing w:val="12"/>
              </w:rPr>
              <w:t xml:space="preserve"> </w:t>
            </w:r>
            <w:r>
              <w:rPr>
                <w:spacing w:val="4"/>
              </w:rPr>
              <w:t>米</w:t>
            </w:r>
          </w:p>
        </w:tc>
        <w:tc>
          <w:tcPr>
            <w:tcW w:w="1012" w:type="dxa"/>
            <w:vAlign w:val="top"/>
          </w:tcPr>
          <w:p w14:paraId="714FFEA2">
            <w:pPr>
              <w:spacing w:before="90"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31.35</w:t>
            </w:r>
          </w:p>
        </w:tc>
        <w:tc>
          <w:tcPr>
            <w:tcW w:w="780" w:type="dxa"/>
            <w:vAlign w:val="top"/>
          </w:tcPr>
          <w:p w14:paraId="34CA5296">
            <w:pPr>
              <w:spacing w:before="90"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0.0967</w:t>
            </w:r>
          </w:p>
        </w:tc>
        <w:tc>
          <w:tcPr>
            <w:tcW w:w="899" w:type="dxa"/>
            <w:vAlign w:val="top"/>
          </w:tcPr>
          <w:p w14:paraId="269CFD7E">
            <w:pPr>
              <w:spacing w:before="90"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0.9809</w:t>
            </w:r>
          </w:p>
        </w:tc>
        <w:tc>
          <w:tcPr>
            <w:tcW w:w="780" w:type="dxa"/>
            <w:vAlign w:val="top"/>
          </w:tcPr>
          <w:p w14:paraId="5BB78A84">
            <w:pPr>
              <w:spacing w:before="90"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0.0906</w:t>
            </w:r>
          </w:p>
        </w:tc>
        <w:tc>
          <w:tcPr>
            <w:tcW w:w="884" w:type="dxa"/>
            <w:vAlign w:val="top"/>
          </w:tcPr>
          <w:p w14:paraId="35049482">
            <w:pPr>
              <w:spacing w:before="90"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0.9642</w:t>
            </w:r>
          </w:p>
        </w:tc>
        <w:tc>
          <w:tcPr>
            <w:tcW w:w="720" w:type="dxa"/>
            <w:vAlign w:val="top"/>
          </w:tcPr>
          <w:p w14:paraId="414D8163">
            <w:pPr>
              <w:spacing w:before="90"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0.0911</w:t>
            </w:r>
          </w:p>
        </w:tc>
        <w:tc>
          <w:tcPr>
            <w:tcW w:w="884" w:type="dxa"/>
            <w:vAlign w:val="top"/>
          </w:tcPr>
          <w:p w14:paraId="233A8EC8">
            <w:pPr>
              <w:spacing w:before="90" w:line="195" w:lineRule="auto"/>
              <w:ind w:left="175"/>
              <w:rPr>
                <w:rFonts w:ascii="Times New Roman" w:hAnsi="Times New Roman" w:eastAsia="Times New Roman" w:cs="Times New Roman"/>
                <w:sz w:val="20"/>
                <w:szCs w:val="20"/>
              </w:rPr>
            </w:pPr>
            <w:r>
              <w:rPr>
                <w:rFonts w:ascii="Times New Roman" w:hAnsi="Times New Roman" w:eastAsia="Times New Roman" w:cs="Times New Roman"/>
                <w:sz w:val="20"/>
                <w:szCs w:val="20"/>
              </w:rPr>
              <w:t>1.0102</w:t>
            </w:r>
          </w:p>
        </w:tc>
        <w:tc>
          <w:tcPr>
            <w:tcW w:w="791" w:type="dxa"/>
            <w:vAlign w:val="top"/>
          </w:tcPr>
          <w:p w14:paraId="6D8499B5">
            <w:pPr>
              <w:spacing w:before="90"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0.0916</w:t>
            </w:r>
          </w:p>
        </w:tc>
        <w:tc>
          <w:tcPr>
            <w:tcW w:w="913" w:type="dxa"/>
            <w:vAlign w:val="top"/>
          </w:tcPr>
          <w:p w14:paraId="7FDDEBA0">
            <w:pPr>
              <w:spacing w:before="90" w:line="195" w:lineRule="auto"/>
              <w:ind w:left="24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1.042</w:t>
            </w:r>
          </w:p>
        </w:tc>
      </w:tr>
      <w:tr w14:paraId="0EA17D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42" w:type="dxa"/>
            <w:vAlign w:val="top"/>
          </w:tcPr>
          <w:p w14:paraId="3FD55F0A">
            <w:pPr>
              <w:pStyle w:val="6"/>
              <w:spacing w:before="55" w:line="228" w:lineRule="auto"/>
              <w:ind w:left="48"/>
            </w:pPr>
            <w:r>
              <w:rPr>
                <w:spacing w:val="4"/>
              </w:rPr>
              <w:t>距原点</w:t>
            </w:r>
            <w:r>
              <w:rPr>
                <w:spacing w:val="-40"/>
              </w:rPr>
              <w:t xml:space="preserve"> </w:t>
            </w:r>
            <w:r>
              <w:rPr>
                <w:rFonts w:ascii="Times New Roman" w:hAnsi="Times New Roman" w:eastAsia="Times New Roman" w:cs="Times New Roman"/>
                <w:spacing w:val="4"/>
              </w:rPr>
              <w:t>28</w:t>
            </w:r>
            <w:r>
              <w:rPr>
                <w:rFonts w:ascii="Times New Roman" w:hAnsi="Times New Roman" w:eastAsia="Times New Roman" w:cs="Times New Roman"/>
                <w:spacing w:val="12"/>
              </w:rPr>
              <w:t xml:space="preserve"> </w:t>
            </w:r>
            <w:r>
              <w:rPr>
                <w:spacing w:val="4"/>
              </w:rPr>
              <w:t>米</w:t>
            </w:r>
          </w:p>
        </w:tc>
        <w:tc>
          <w:tcPr>
            <w:tcW w:w="1012" w:type="dxa"/>
            <w:vAlign w:val="top"/>
          </w:tcPr>
          <w:p w14:paraId="6CDB4D8B">
            <w:pPr>
              <w:spacing w:before="91"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32.35</w:t>
            </w:r>
          </w:p>
        </w:tc>
        <w:tc>
          <w:tcPr>
            <w:tcW w:w="780" w:type="dxa"/>
            <w:vAlign w:val="top"/>
          </w:tcPr>
          <w:p w14:paraId="08F76C40">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0.0928</w:t>
            </w:r>
          </w:p>
        </w:tc>
        <w:tc>
          <w:tcPr>
            <w:tcW w:w="899" w:type="dxa"/>
            <w:vAlign w:val="top"/>
          </w:tcPr>
          <w:p w14:paraId="50231C46">
            <w:pPr>
              <w:spacing w:before="9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0.9251</w:t>
            </w:r>
          </w:p>
        </w:tc>
        <w:tc>
          <w:tcPr>
            <w:tcW w:w="780" w:type="dxa"/>
            <w:vAlign w:val="top"/>
          </w:tcPr>
          <w:p w14:paraId="521A6660">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0.0873</w:t>
            </w:r>
          </w:p>
        </w:tc>
        <w:tc>
          <w:tcPr>
            <w:tcW w:w="884" w:type="dxa"/>
            <w:vAlign w:val="top"/>
          </w:tcPr>
          <w:p w14:paraId="70CF9209">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0.9102</w:t>
            </w:r>
          </w:p>
        </w:tc>
        <w:tc>
          <w:tcPr>
            <w:tcW w:w="720" w:type="dxa"/>
            <w:vAlign w:val="top"/>
          </w:tcPr>
          <w:p w14:paraId="2E069C4B">
            <w:pPr>
              <w:spacing w:before="91"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0.0876</w:t>
            </w:r>
          </w:p>
        </w:tc>
        <w:tc>
          <w:tcPr>
            <w:tcW w:w="884" w:type="dxa"/>
            <w:vAlign w:val="top"/>
          </w:tcPr>
          <w:p w14:paraId="4DBF3A00">
            <w:pPr>
              <w:spacing w:before="91"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0.9512</w:t>
            </w:r>
          </w:p>
        </w:tc>
        <w:tc>
          <w:tcPr>
            <w:tcW w:w="791" w:type="dxa"/>
            <w:vAlign w:val="top"/>
          </w:tcPr>
          <w:p w14:paraId="249E15A4">
            <w:pPr>
              <w:spacing w:before="91"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0.0879</w:t>
            </w:r>
          </w:p>
        </w:tc>
        <w:tc>
          <w:tcPr>
            <w:tcW w:w="913" w:type="dxa"/>
            <w:vAlign w:val="top"/>
          </w:tcPr>
          <w:p w14:paraId="392863FF">
            <w:pPr>
              <w:spacing w:before="91"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0.9794</w:t>
            </w:r>
          </w:p>
        </w:tc>
      </w:tr>
      <w:tr w14:paraId="7D115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68FE22D9">
            <w:pPr>
              <w:pStyle w:val="6"/>
              <w:spacing w:before="55" w:line="228" w:lineRule="auto"/>
              <w:ind w:left="48"/>
            </w:pPr>
            <w:r>
              <w:rPr>
                <w:spacing w:val="4"/>
              </w:rPr>
              <w:t>距原点</w:t>
            </w:r>
            <w:r>
              <w:rPr>
                <w:spacing w:val="-40"/>
              </w:rPr>
              <w:t xml:space="preserve"> </w:t>
            </w:r>
            <w:r>
              <w:rPr>
                <w:rFonts w:ascii="Times New Roman" w:hAnsi="Times New Roman" w:eastAsia="Times New Roman" w:cs="Times New Roman"/>
                <w:spacing w:val="4"/>
              </w:rPr>
              <w:t>29</w:t>
            </w:r>
            <w:r>
              <w:rPr>
                <w:rFonts w:ascii="Times New Roman" w:hAnsi="Times New Roman" w:eastAsia="Times New Roman" w:cs="Times New Roman"/>
                <w:spacing w:val="12"/>
              </w:rPr>
              <w:t xml:space="preserve"> </w:t>
            </w:r>
            <w:r>
              <w:rPr>
                <w:spacing w:val="4"/>
              </w:rPr>
              <w:t>米</w:t>
            </w:r>
          </w:p>
        </w:tc>
        <w:tc>
          <w:tcPr>
            <w:tcW w:w="1012" w:type="dxa"/>
            <w:vAlign w:val="top"/>
          </w:tcPr>
          <w:p w14:paraId="2630EA9E">
            <w:pPr>
              <w:spacing w:before="94"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33.35</w:t>
            </w:r>
          </w:p>
        </w:tc>
        <w:tc>
          <w:tcPr>
            <w:tcW w:w="780" w:type="dxa"/>
            <w:vAlign w:val="top"/>
          </w:tcPr>
          <w:p w14:paraId="48EC20C7">
            <w:pPr>
              <w:spacing w:before="91" w:line="195" w:lineRule="auto"/>
              <w:ind w:left="15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0.089</w:t>
            </w:r>
          </w:p>
        </w:tc>
        <w:tc>
          <w:tcPr>
            <w:tcW w:w="899" w:type="dxa"/>
            <w:vAlign w:val="top"/>
          </w:tcPr>
          <w:p w14:paraId="33F3D27D">
            <w:pPr>
              <w:spacing w:before="9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0.8738</w:t>
            </w:r>
          </w:p>
        </w:tc>
        <w:tc>
          <w:tcPr>
            <w:tcW w:w="780" w:type="dxa"/>
            <w:vAlign w:val="top"/>
          </w:tcPr>
          <w:p w14:paraId="532CC77C">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0.0841</w:t>
            </w:r>
          </w:p>
        </w:tc>
        <w:tc>
          <w:tcPr>
            <w:tcW w:w="884" w:type="dxa"/>
            <w:vAlign w:val="top"/>
          </w:tcPr>
          <w:p w14:paraId="356862FE">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0.8605</w:t>
            </w:r>
          </w:p>
        </w:tc>
        <w:tc>
          <w:tcPr>
            <w:tcW w:w="720" w:type="dxa"/>
            <w:vAlign w:val="top"/>
          </w:tcPr>
          <w:p w14:paraId="5D865374">
            <w:pPr>
              <w:spacing w:before="94"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0.0843</w:t>
            </w:r>
          </w:p>
        </w:tc>
        <w:tc>
          <w:tcPr>
            <w:tcW w:w="884" w:type="dxa"/>
            <w:vAlign w:val="top"/>
          </w:tcPr>
          <w:p w14:paraId="7046EA01">
            <w:pPr>
              <w:spacing w:before="94"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0.8971</w:t>
            </w:r>
          </w:p>
        </w:tc>
        <w:tc>
          <w:tcPr>
            <w:tcW w:w="791" w:type="dxa"/>
            <w:vAlign w:val="top"/>
          </w:tcPr>
          <w:p w14:paraId="0B3B4F0F">
            <w:pPr>
              <w:spacing w:before="94"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0.0844</w:t>
            </w:r>
          </w:p>
        </w:tc>
        <w:tc>
          <w:tcPr>
            <w:tcW w:w="913" w:type="dxa"/>
            <w:vAlign w:val="top"/>
          </w:tcPr>
          <w:p w14:paraId="4380C026">
            <w:pPr>
              <w:spacing w:before="94"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0.9222</w:t>
            </w:r>
          </w:p>
        </w:tc>
      </w:tr>
      <w:tr w14:paraId="34C14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26570FE9">
            <w:pPr>
              <w:pStyle w:val="6"/>
              <w:spacing w:before="55" w:line="228" w:lineRule="auto"/>
              <w:ind w:left="48"/>
            </w:pPr>
            <w:r>
              <w:rPr>
                <w:spacing w:val="13"/>
              </w:rPr>
              <w:t>距原点</w:t>
            </w:r>
            <w:r>
              <w:rPr>
                <w:rFonts w:ascii="Times New Roman" w:hAnsi="Times New Roman" w:eastAsia="Times New Roman" w:cs="Times New Roman"/>
                <w:spacing w:val="13"/>
              </w:rPr>
              <w:t xml:space="preserve">30 </w:t>
            </w:r>
            <w:r>
              <w:rPr>
                <w:spacing w:val="13"/>
              </w:rPr>
              <w:t>米</w:t>
            </w:r>
          </w:p>
        </w:tc>
        <w:tc>
          <w:tcPr>
            <w:tcW w:w="1012" w:type="dxa"/>
            <w:vAlign w:val="top"/>
          </w:tcPr>
          <w:p w14:paraId="7E0EDF74">
            <w:pPr>
              <w:spacing w:before="93"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34.35</w:t>
            </w:r>
          </w:p>
        </w:tc>
        <w:tc>
          <w:tcPr>
            <w:tcW w:w="780" w:type="dxa"/>
            <w:vAlign w:val="top"/>
          </w:tcPr>
          <w:p w14:paraId="03219C61">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0.0854</w:t>
            </w:r>
          </w:p>
        </w:tc>
        <w:tc>
          <w:tcPr>
            <w:tcW w:w="899" w:type="dxa"/>
            <w:vAlign w:val="top"/>
          </w:tcPr>
          <w:p w14:paraId="3E0BC015">
            <w:pPr>
              <w:spacing w:before="9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0.8266</w:t>
            </w:r>
          </w:p>
        </w:tc>
        <w:tc>
          <w:tcPr>
            <w:tcW w:w="780" w:type="dxa"/>
            <w:vAlign w:val="top"/>
          </w:tcPr>
          <w:p w14:paraId="1A4D5ED3">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0.081</w:t>
            </w:r>
          </w:p>
        </w:tc>
        <w:tc>
          <w:tcPr>
            <w:tcW w:w="884" w:type="dxa"/>
            <w:vAlign w:val="top"/>
          </w:tcPr>
          <w:p w14:paraId="14DF1A54">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0.8147</w:t>
            </w:r>
          </w:p>
        </w:tc>
        <w:tc>
          <w:tcPr>
            <w:tcW w:w="720" w:type="dxa"/>
            <w:vAlign w:val="top"/>
          </w:tcPr>
          <w:p w14:paraId="2653B487">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0.0811</w:t>
            </w:r>
          </w:p>
        </w:tc>
        <w:tc>
          <w:tcPr>
            <w:tcW w:w="884" w:type="dxa"/>
            <w:vAlign w:val="top"/>
          </w:tcPr>
          <w:p w14:paraId="2CB07705">
            <w:pPr>
              <w:spacing w:before="93"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0.8475</w:t>
            </w:r>
          </w:p>
        </w:tc>
        <w:tc>
          <w:tcPr>
            <w:tcW w:w="791" w:type="dxa"/>
            <w:vAlign w:val="top"/>
          </w:tcPr>
          <w:p w14:paraId="28B82E51">
            <w:pPr>
              <w:spacing w:before="93"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0.081</w:t>
            </w:r>
          </w:p>
        </w:tc>
        <w:tc>
          <w:tcPr>
            <w:tcW w:w="913" w:type="dxa"/>
            <w:vAlign w:val="top"/>
          </w:tcPr>
          <w:p w14:paraId="1CF80325">
            <w:pPr>
              <w:spacing w:before="93"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0.8699</w:t>
            </w:r>
          </w:p>
        </w:tc>
      </w:tr>
      <w:tr w14:paraId="3092C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500A584A">
            <w:pPr>
              <w:pStyle w:val="6"/>
              <w:spacing w:before="54" w:line="228" w:lineRule="auto"/>
              <w:ind w:left="48"/>
            </w:pPr>
            <w:r>
              <w:rPr>
                <w:spacing w:val="4"/>
              </w:rPr>
              <w:t>距原点</w:t>
            </w:r>
            <w:r>
              <w:rPr>
                <w:spacing w:val="-39"/>
              </w:rPr>
              <w:t xml:space="preserve"> </w:t>
            </w:r>
            <w:r>
              <w:rPr>
                <w:rFonts w:ascii="Times New Roman" w:hAnsi="Times New Roman" w:eastAsia="Times New Roman" w:cs="Times New Roman"/>
                <w:spacing w:val="4"/>
              </w:rPr>
              <w:t>31</w:t>
            </w:r>
            <w:r>
              <w:rPr>
                <w:rFonts w:ascii="Times New Roman" w:hAnsi="Times New Roman" w:eastAsia="Times New Roman" w:cs="Times New Roman"/>
                <w:spacing w:val="12"/>
              </w:rPr>
              <w:t xml:space="preserve"> </w:t>
            </w:r>
            <w:r>
              <w:rPr>
                <w:spacing w:val="4"/>
              </w:rPr>
              <w:t>米</w:t>
            </w:r>
          </w:p>
        </w:tc>
        <w:tc>
          <w:tcPr>
            <w:tcW w:w="1012" w:type="dxa"/>
            <w:vAlign w:val="top"/>
          </w:tcPr>
          <w:p w14:paraId="7B179743">
            <w:pPr>
              <w:spacing w:before="93"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35.35</w:t>
            </w:r>
          </w:p>
        </w:tc>
        <w:tc>
          <w:tcPr>
            <w:tcW w:w="780" w:type="dxa"/>
            <w:vAlign w:val="top"/>
          </w:tcPr>
          <w:p w14:paraId="3B09E227">
            <w:pPr>
              <w:spacing w:before="91" w:line="195" w:lineRule="auto"/>
              <w:ind w:left="15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0.082</w:t>
            </w:r>
          </w:p>
        </w:tc>
        <w:tc>
          <w:tcPr>
            <w:tcW w:w="899" w:type="dxa"/>
            <w:vAlign w:val="top"/>
          </w:tcPr>
          <w:p w14:paraId="597E2D31">
            <w:pPr>
              <w:spacing w:before="9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0.7831</w:t>
            </w:r>
          </w:p>
        </w:tc>
        <w:tc>
          <w:tcPr>
            <w:tcW w:w="780" w:type="dxa"/>
            <w:vAlign w:val="top"/>
          </w:tcPr>
          <w:p w14:paraId="1B902EC6">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0.078</w:t>
            </w:r>
          </w:p>
        </w:tc>
        <w:tc>
          <w:tcPr>
            <w:tcW w:w="884" w:type="dxa"/>
            <w:vAlign w:val="top"/>
          </w:tcPr>
          <w:p w14:paraId="4FC86C1C">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0.7723</w:t>
            </w:r>
          </w:p>
        </w:tc>
        <w:tc>
          <w:tcPr>
            <w:tcW w:w="720" w:type="dxa"/>
            <w:vAlign w:val="top"/>
          </w:tcPr>
          <w:p w14:paraId="4A75EA17">
            <w:pPr>
              <w:spacing w:before="93"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0.078</w:t>
            </w:r>
          </w:p>
        </w:tc>
        <w:tc>
          <w:tcPr>
            <w:tcW w:w="884" w:type="dxa"/>
            <w:vAlign w:val="top"/>
          </w:tcPr>
          <w:p w14:paraId="18A031D1">
            <w:pPr>
              <w:spacing w:before="93"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0.8018</w:t>
            </w:r>
          </w:p>
        </w:tc>
        <w:tc>
          <w:tcPr>
            <w:tcW w:w="791" w:type="dxa"/>
            <w:vAlign w:val="top"/>
          </w:tcPr>
          <w:p w14:paraId="6C581577">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0.0779</w:t>
            </w:r>
          </w:p>
        </w:tc>
        <w:tc>
          <w:tcPr>
            <w:tcW w:w="913" w:type="dxa"/>
            <w:vAlign w:val="top"/>
          </w:tcPr>
          <w:p w14:paraId="322892CF">
            <w:pPr>
              <w:spacing w:before="93"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0.8218</w:t>
            </w:r>
          </w:p>
        </w:tc>
      </w:tr>
      <w:tr w14:paraId="7EB4B3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4876948D">
            <w:pPr>
              <w:pStyle w:val="6"/>
              <w:spacing w:before="54" w:line="228" w:lineRule="auto"/>
              <w:ind w:left="48"/>
            </w:pPr>
            <w:r>
              <w:rPr>
                <w:spacing w:val="13"/>
              </w:rPr>
              <w:t>距原点</w:t>
            </w:r>
            <w:r>
              <w:rPr>
                <w:rFonts w:ascii="Times New Roman" w:hAnsi="Times New Roman" w:eastAsia="Times New Roman" w:cs="Times New Roman"/>
                <w:spacing w:val="13"/>
              </w:rPr>
              <w:t xml:space="preserve">32 </w:t>
            </w:r>
            <w:r>
              <w:rPr>
                <w:spacing w:val="13"/>
              </w:rPr>
              <w:t>米</w:t>
            </w:r>
          </w:p>
        </w:tc>
        <w:tc>
          <w:tcPr>
            <w:tcW w:w="1012" w:type="dxa"/>
            <w:vAlign w:val="top"/>
          </w:tcPr>
          <w:p w14:paraId="42992635">
            <w:pPr>
              <w:spacing w:before="93"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36.35</w:t>
            </w:r>
          </w:p>
        </w:tc>
        <w:tc>
          <w:tcPr>
            <w:tcW w:w="780" w:type="dxa"/>
            <w:vAlign w:val="top"/>
          </w:tcPr>
          <w:p w14:paraId="5B0BC43C">
            <w:pPr>
              <w:spacing w:before="93"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0.0787</w:t>
            </w:r>
          </w:p>
        </w:tc>
        <w:tc>
          <w:tcPr>
            <w:tcW w:w="899" w:type="dxa"/>
            <w:vAlign w:val="top"/>
          </w:tcPr>
          <w:p w14:paraId="7B5D401A">
            <w:pPr>
              <w:spacing w:before="93"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0.7428</w:t>
            </w:r>
          </w:p>
        </w:tc>
        <w:tc>
          <w:tcPr>
            <w:tcW w:w="780" w:type="dxa"/>
            <w:vAlign w:val="top"/>
          </w:tcPr>
          <w:p w14:paraId="2D8C20E0">
            <w:pPr>
              <w:spacing w:before="93"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0.0751</w:t>
            </w:r>
          </w:p>
        </w:tc>
        <w:tc>
          <w:tcPr>
            <w:tcW w:w="884" w:type="dxa"/>
            <w:vAlign w:val="top"/>
          </w:tcPr>
          <w:p w14:paraId="067317FF">
            <w:pPr>
              <w:spacing w:before="93"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0.7331</w:t>
            </w:r>
          </w:p>
        </w:tc>
        <w:tc>
          <w:tcPr>
            <w:tcW w:w="720" w:type="dxa"/>
            <w:vAlign w:val="top"/>
          </w:tcPr>
          <w:p w14:paraId="77C5B8EF">
            <w:pPr>
              <w:spacing w:before="93" w:line="195" w:lineRule="auto"/>
              <w:ind w:left="12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0.075</w:t>
            </w:r>
          </w:p>
        </w:tc>
        <w:tc>
          <w:tcPr>
            <w:tcW w:w="884" w:type="dxa"/>
            <w:vAlign w:val="top"/>
          </w:tcPr>
          <w:p w14:paraId="4511D4EB">
            <w:pPr>
              <w:spacing w:before="93"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0.7596</w:t>
            </w:r>
          </w:p>
        </w:tc>
        <w:tc>
          <w:tcPr>
            <w:tcW w:w="791" w:type="dxa"/>
            <w:vAlign w:val="top"/>
          </w:tcPr>
          <w:p w14:paraId="59D6BC24">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0.0748</w:t>
            </w:r>
          </w:p>
        </w:tc>
        <w:tc>
          <w:tcPr>
            <w:tcW w:w="913" w:type="dxa"/>
            <w:vAlign w:val="top"/>
          </w:tcPr>
          <w:p w14:paraId="59EF62C9">
            <w:pPr>
              <w:spacing w:before="93"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0.7776</w:t>
            </w:r>
          </w:p>
        </w:tc>
      </w:tr>
      <w:tr w14:paraId="6E829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6882C95F">
            <w:pPr>
              <w:pStyle w:val="6"/>
              <w:spacing w:before="54" w:line="228" w:lineRule="auto"/>
              <w:ind w:left="48"/>
            </w:pPr>
            <w:r>
              <w:rPr>
                <w:spacing w:val="4"/>
              </w:rPr>
              <w:t>距原点</w:t>
            </w:r>
            <w:r>
              <w:rPr>
                <w:spacing w:val="-39"/>
              </w:rPr>
              <w:t xml:space="preserve"> </w:t>
            </w:r>
            <w:r>
              <w:rPr>
                <w:rFonts w:ascii="Times New Roman" w:hAnsi="Times New Roman" w:eastAsia="Times New Roman" w:cs="Times New Roman"/>
                <w:spacing w:val="4"/>
              </w:rPr>
              <w:t>33</w:t>
            </w:r>
            <w:r>
              <w:rPr>
                <w:rFonts w:ascii="Times New Roman" w:hAnsi="Times New Roman" w:eastAsia="Times New Roman" w:cs="Times New Roman"/>
                <w:spacing w:val="12"/>
              </w:rPr>
              <w:t xml:space="preserve"> </w:t>
            </w:r>
            <w:r>
              <w:rPr>
                <w:spacing w:val="4"/>
              </w:rPr>
              <w:t>米</w:t>
            </w:r>
          </w:p>
        </w:tc>
        <w:tc>
          <w:tcPr>
            <w:tcW w:w="1012" w:type="dxa"/>
            <w:vAlign w:val="top"/>
          </w:tcPr>
          <w:p w14:paraId="5C637162">
            <w:pPr>
              <w:spacing w:before="92"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37.35</w:t>
            </w:r>
          </w:p>
        </w:tc>
        <w:tc>
          <w:tcPr>
            <w:tcW w:w="780" w:type="dxa"/>
            <w:vAlign w:val="top"/>
          </w:tcPr>
          <w:p w14:paraId="7AF375C9">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0.0756</w:t>
            </w:r>
          </w:p>
        </w:tc>
        <w:tc>
          <w:tcPr>
            <w:tcW w:w="899" w:type="dxa"/>
            <w:vAlign w:val="top"/>
          </w:tcPr>
          <w:p w14:paraId="69035590">
            <w:pPr>
              <w:spacing w:before="92"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0.7055</w:t>
            </w:r>
          </w:p>
        </w:tc>
        <w:tc>
          <w:tcPr>
            <w:tcW w:w="780" w:type="dxa"/>
            <w:vAlign w:val="top"/>
          </w:tcPr>
          <w:p w14:paraId="34C6E6B2">
            <w:pPr>
              <w:spacing w:before="92"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0.0723</w:t>
            </w:r>
          </w:p>
        </w:tc>
        <w:tc>
          <w:tcPr>
            <w:tcW w:w="884" w:type="dxa"/>
            <w:vAlign w:val="top"/>
          </w:tcPr>
          <w:p w14:paraId="60836197">
            <w:pPr>
              <w:spacing w:before="92"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0.6967</w:t>
            </w:r>
          </w:p>
        </w:tc>
        <w:tc>
          <w:tcPr>
            <w:tcW w:w="720" w:type="dxa"/>
            <w:vAlign w:val="top"/>
          </w:tcPr>
          <w:p w14:paraId="5BFA72B1">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0.0722</w:t>
            </w:r>
          </w:p>
        </w:tc>
        <w:tc>
          <w:tcPr>
            <w:tcW w:w="884" w:type="dxa"/>
            <w:vAlign w:val="top"/>
          </w:tcPr>
          <w:p w14:paraId="7D1923D9">
            <w:pPr>
              <w:spacing w:before="92"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0.7207</w:t>
            </w:r>
          </w:p>
        </w:tc>
        <w:tc>
          <w:tcPr>
            <w:tcW w:w="791" w:type="dxa"/>
            <w:vAlign w:val="top"/>
          </w:tcPr>
          <w:p w14:paraId="0AF4B564">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0.0719</w:t>
            </w:r>
          </w:p>
        </w:tc>
        <w:tc>
          <w:tcPr>
            <w:tcW w:w="913" w:type="dxa"/>
            <w:vAlign w:val="top"/>
          </w:tcPr>
          <w:p w14:paraId="7859ADBE">
            <w:pPr>
              <w:spacing w:before="92"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0.7369</w:t>
            </w:r>
          </w:p>
        </w:tc>
      </w:tr>
      <w:tr w14:paraId="76423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79F32822">
            <w:pPr>
              <w:pStyle w:val="6"/>
              <w:spacing w:before="56" w:line="228" w:lineRule="auto"/>
              <w:ind w:left="48"/>
            </w:pPr>
            <w:r>
              <w:rPr>
                <w:spacing w:val="13"/>
              </w:rPr>
              <w:t>距原点</w:t>
            </w:r>
            <w:r>
              <w:rPr>
                <w:rFonts w:ascii="Times New Roman" w:hAnsi="Times New Roman" w:eastAsia="Times New Roman" w:cs="Times New Roman"/>
                <w:spacing w:val="13"/>
              </w:rPr>
              <w:t xml:space="preserve">34 </w:t>
            </w:r>
            <w:r>
              <w:rPr>
                <w:spacing w:val="13"/>
              </w:rPr>
              <w:t>米</w:t>
            </w:r>
          </w:p>
        </w:tc>
        <w:tc>
          <w:tcPr>
            <w:tcW w:w="1012" w:type="dxa"/>
            <w:vAlign w:val="top"/>
          </w:tcPr>
          <w:p w14:paraId="01A4715B">
            <w:pPr>
              <w:spacing w:before="92"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38.35</w:t>
            </w:r>
          </w:p>
        </w:tc>
        <w:tc>
          <w:tcPr>
            <w:tcW w:w="780" w:type="dxa"/>
            <w:vAlign w:val="top"/>
          </w:tcPr>
          <w:p w14:paraId="46D11F45">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0.0726</w:t>
            </w:r>
          </w:p>
        </w:tc>
        <w:tc>
          <w:tcPr>
            <w:tcW w:w="899" w:type="dxa"/>
            <w:vAlign w:val="top"/>
          </w:tcPr>
          <w:p w14:paraId="25BE3164">
            <w:pPr>
              <w:spacing w:before="92"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0.6709</w:t>
            </w:r>
          </w:p>
        </w:tc>
        <w:tc>
          <w:tcPr>
            <w:tcW w:w="780" w:type="dxa"/>
            <w:vAlign w:val="top"/>
          </w:tcPr>
          <w:p w14:paraId="3DE8145B">
            <w:pPr>
              <w:spacing w:before="92"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0.0697</w:t>
            </w:r>
          </w:p>
        </w:tc>
        <w:tc>
          <w:tcPr>
            <w:tcW w:w="884" w:type="dxa"/>
            <w:vAlign w:val="top"/>
          </w:tcPr>
          <w:p w14:paraId="4B47EF83">
            <w:pPr>
              <w:spacing w:before="92"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0.6629</w:t>
            </w:r>
          </w:p>
        </w:tc>
        <w:tc>
          <w:tcPr>
            <w:tcW w:w="720" w:type="dxa"/>
            <w:vAlign w:val="top"/>
          </w:tcPr>
          <w:p w14:paraId="4AD9C71E">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0.0695</w:t>
            </w:r>
          </w:p>
        </w:tc>
        <w:tc>
          <w:tcPr>
            <w:tcW w:w="884" w:type="dxa"/>
            <w:vAlign w:val="top"/>
          </w:tcPr>
          <w:p w14:paraId="2A9783DA">
            <w:pPr>
              <w:spacing w:before="92"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0.6846</w:t>
            </w:r>
          </w:p>
        </w:tc>
        <w:tc>
          <w:tcPr>
            <w:tcW w:w="791" w:type="dxa"/>
            <w:vAlign w:val="top"/>
          </w:tcPr>
          <w:p w14:paraId="799A6ED6">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0.0692</w:t>
            </w:r>
          </w:p>
        </w:tc>
        <w:tc>
          <w:tcPr>
            <w:tcW w:w="913" w:type="dxa"/>
            <w:vAlign w:val="top"/>
          </w:tcPr>
          <w:p w14:paraId="090B9359">
            <w:pPr>
              <w:spacing w:before="92"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0.6992</w:t>
            </w:r>
          </w:p>
        </w:tc>
      </w:tr>
      <w:tr w14:paraId="5B35A8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33E1A4B5">
            <w:pPr>
              <w:pStyle w:val="6"/>
              <w:spacing w:before="55" w:line="228" w:lineRule="auto"/>
              <w:ind w:left="48"/>
            </w:pPr>
            <w:r>
              <w:rPr>
                <w:spacing w:val="13"/>
              </w:rPr>
              <w:t>距原点</w:t>
            </w:r>
            <w:r>
              <w:rPr>
                <w:rFonts w:ascii="Times New Roman" w:hAnsi="Times New Roman" w:eastAsia="Times New Roman" w:cs="Times New Roman"/>
                <w:spacing w:val="13"/>
              </w:rPr>
              <w:t xml:space="preserve">35 </w:t>
            </w:r>
            <w:r>
              <w:rPr>
                <w:spacing w:val="13"/>
              </w:rPr>
              <w:t>米</w:t>
            </w:r>
          </w:p>
        </w:tc>
        <w:tc>
          <w:tcPr>
            <w:tcW w:w="1012" w:type="dxa"/>
            <w:vAlign w:val="top"/>
          </w:tcPr>
          <w:p w14:paraId="10E72788">
            <w:pPr>
              <w:spacing w:before="94"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39.35</w:t>
            </w:r>
          </w:p>
        </w:tc>
        <w:tc>
          <w:tcPr>
            <w:tcW w:w="780" w:type="dxa"/>
            <w:vAlign w:val="top"/>
          </w:tcPr>
          <w:p w14:paraId="425227AC">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0.0698</w:t>
            </w:r>
          </w:p>
        </w:tc>
        <w:tc>
          <w:tcPr>
            <w:tcW w:w="899" w:type="dxa"/>
            <w:vAlign w:val="top"/>
          </w:tcPr>
          <w:p w14:paraId="703C8C56">
            <w:pPr>
              <w:spacing w:before="9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0.6387</w:t>
            </w:r>
          </w:p>
        </w:tc>
        <w:tc>
          <w:tcPr>
            <w:tcW w:w="780" w:type="dxa"/>
            <w:vAlign w:val="top"/>
          </w:tcPr>
          <w:p w14:paraId="1E186F2B">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0.0671</w:t>
            </w:r>
          </w:p>
        </w:tc>
        <w:tc>
          <w:tcPr>
            <w:tcW w:w="884" w:type="dxa"/>
            <w:vAlign w:val="top"/>
          </w:tcPr>
          <w:p w14:paraId="1C634938">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0.6315</w:t>
            </w:r>
          </w:p>
        </w:tc>
        <w:tc>
          <w:tcPr>
            <w:tcW w:w="720" w:type="dxa"/>
            <w:vAlign w:val="top"/>
          </w:tcPr>
          <w:p w14:paraId="10809A6A">
            <w:pPr>
              <w:spacing w:before="94"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0.0669</w:t>
            </w:r>
          </w:p>
        </w:tc>
        <w:tc>
          <w:tcPr>
            <w:tcW w:w="884" w:type="dxa"/>
            <w:vAlign w:val="top"/>
          </w:tcPr>
          <w:p w14:paraId="20E6FF20">
            <w:pPr>
              <w:spacing w:before="94"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0.6511</w:t>
            </w:r>
          </w:p>
        </w:tc>
        <w:tc>
          <w:tcPr>
            <w:tcW w:w="791" w:type="dxa"/>
            <w:vAlign w:val="top"/>
          </w:tcPr>
          <w:p w14:paraId="22A59CDD">
            <w:pPr>
              <w:spacing w:before="94"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0.0666</w:t>
            </w:r>
          </w:p>
        </w:tc>
        <w:tc>
          <w:tcPr>
            <w:tcW w:w="913" w:type="dxa"/>
            <w:vAlign w:val="top"/>
          </w:tcPr>
          <w:p w14:paraId="78FDFE86">
            <w:pPr>
              <w:spacing w:before="94"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0.6644</w:t>
            </w:r>
          </w:p>
        </w:tc>
      </w:tr>
      <w:tr w14:paraId="38164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26D705A3">
            <w:pPr>
              <w:pStyle w:val="6"/>
              <w:spacing w:before="55" w:line="228" w:lineRule="auto"/>
              <w:ind w:left="48"/>
            </w:pPr>
            <w:r>
              <w:rPr>
                <w:spacing w:val="13"/>
              </w:rPr>
              <w:t>距原点</w:t>
            </w:r>
            <w:r>
              <w:rPr>
                <w:rFonts w:ascii="Times New Roman" w:hAnsi="Times New Roman" w:eastAsia="Times New Roman" w:cs="Times New Roman"/>
                <w:spacing w:val="13"/>
              </w:rPr>
              <w:t xml:space="preserve">36 </w:t>
            </w:r>
            <w:r>
              <w:rPr>
                <w:spacing w:val="13"/>
              </w:rPr>
              <w:t>米</w:t>
            </w:r>
          </w:p>
        </w:tc>
        <w:tc>
          <w:tcPr>
            <w:tcW w:w="1012" w:type="dxa"/>
            <w:vAlign w:val="top"/>
          </w:tcPr>
          <w:p w14:paraId="221FA10F">
            <w:pPr>
              <w:spacing w:before="93" w:line="195" w:lineRule="auto"/>
              <w:ind w:left="2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40.35</w:t>
            </w:r>
          </w:p>
        </w:tc>
        <w:tc>
          <w:tcPr>
            <w:tcW w:w="780" w:type="dxa"/>
            <w:vAlign w:val="top"/>
          </w:tcPr>
          <w:p w14:paraId="1C616349">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0.0671</w:t>
            </w:r>
          </w:p>
        </w:tc>
        <w:tc>
          <w:tcPr>
            <w:tcW w:w="899" w:type="dxa"/>
            <w:vAlign w:val="top"/>
          </w:tcPr>
          <w:p w14:paraId="52BCC99D">
            <w:pPr>
              <w:spacing w:before="9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0.6087</w:t>
            </w:r>
          </w:p>
        </w:tc>
        <w:tc>
          <w:tcPr>
            <w:tcW w:w="780" w:type="dxa"/>
            <w:vAlign w:val="top"/>
          </w:tcPr>
          <w:p w14:paraId="09E7D442">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0.0646</w:t>
            </w:r>
          </w:p>
        </w:tc>
        <w:tc>
          <w:tcPr>
            <w:tcW w:w="884" w:type="dxa"/>
            <w:vAlign w:val="top"/>
          </w:tcPr>
          <w:p w14:paraId="42A9F2F4">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0.6022</w:t>
            </w:r>
          </w:p>
        </w:tc>
        <w:tc>
          <w:tcPr>
            <w:tcW w:w="720" w:type="dxa"/>
            <w:vAlign w:val="top"/>
          </w:tcPr>
          <w:p w14:paraId="274BC611">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0.0645</w:t>
            </w:r>
          </w:p>
        </w:tc>
        <w:tc>
          <w:tcPr>
            <w:tcW w:w="884" w:type="dxa"/>
            <w:vAlign w:val="top"/>
          </w:tcPr>
          <w:p w14:paraId="22EB24FA">
            <w:pPr>
              <w:spacing w:before="93" w:line="195" w:lineRule="auto"/>
              <w:ind w:left="2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0.62</w:t>
            </w:r>
          </w:p>
        </w:tc>
        <w:tc>
          <w:tcPr>
            <w:tcW w:w="791" w:type="dxa"/>
            <w:vAlign w:val="top"/>
          </w:tcPr>
          <w:p w14:paraId="3DC3C894">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0.0641</w:t>
            </w:r>
          </w:p>
        </w:tc>
        <w:tc>
          <w:tcPr>
            <w:tcW w:w="913" w:type="dxa"/>
            <w:vAlign w:val="top"/>
          </w:tcPr>
          <w:p w14:paraId="2AD8D92F">
            <w:pPr>
              <w:spacing w:before="93" w:line="19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0.632</w:t>
            </w:r>
          </w:p>
        </w:tc>
      </w:tr>
      <w:tr w14:paraId="5E488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425CC462">
            <w:pPr>
              <w:pStyle w:val="6"/>
              <w:spacing w:before="54" w:line="228" w:lineRule="auto"/>
              <w:ind w:left="48"/>
            </w:pPr>
            <w:r>
              <w:rPr>
                <w:spacing w:val="13"/>
              </w:rPr>
              <w:t>距原点</w:t>
            </w:r>
            <w:r>
              <w:rPr>
                <w:rFonts w:ascii="Times New Roman" w:hAnsi="Times New Roman" w:eastAsia="Times New Roman" w:cs="Times New Roman"/>
                <w:spacing w:val="13"/>
              </w:rPr>
              <w:t xml:space="preserve">37 </w:t>
            </w:r>
            <w:r>
              <w:rPr>
                <w:spacing w:val="13"/>
              </w:rPr>
              <w:t>米</w:t>
            </w:r>
          </w:p>
        </w:tc>
        <w:tc>
          <w:tcPr>
            <w:tcW w:w="1012" w:type="dxa"/>
            <w:vAlign w:val="top"/>
          </w:tcPr>
          <w:p w14:paraId="6748CCE6">
            <w:pPr>
              <w:spacing w:before="93" w:line="195" w:lineRule="auto"/>
              <w:ind w:left="2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41.35</w:t>
            </w:r>
          </w:p>
        </w:tc>
        <w:tc>
          <w:tcPr>
            <w:tcW w:w="780" w:type="dxa"/>
            <w:vAlign w:val="top"/>
          </w:tcPr>
          <w:p w14:paraId="10A774B4">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0.0645</w:t>
            </w:r>
          </w:p>
        </w:tc>
        <w:tc>
          <w:tcPr>
            <w:tcW w:w="899" w:type="dxa"/>
            <w:vAlign w:val="top"/>
          </w:tcPr>
          <w:p w14:paraId="798EC8AB">
            <w:pPr>
              <w:spacing w:before="9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0.5808</w:t>
            </w:r>
          </w:p>
        </w:tc>
        <w:tc>
          <w:tcPr>
            <w:tcW w:w="780" w:type="dxa"/>
            <w:vAlign w:val="top"/>
          </w:tcPr>
          <w:p w14:paraId="6701107F">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0.0623</w:t>
            </w:r>
          </w:p>
        </w:tc>
        <w:tc>
          <w:tcPr>
            <w:tcW w:w="884" w:type="dxa"/>
            <w:vAlign w:val="top"/>
          </w:tcPr>
          <w:p w14:paraId="2C57A92C">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0.5748</w:t>
            </w:r>
          </w:p>
        </w:tc>
        <w:tc>
          <w:tcPr>
            <w:tcW w:w="720" w:type="dxa"/>
            <w:vAlign w:val="top"/>
          </w:tcPr>
          <w:p w14:paraId="5DB453A2">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0.0621</w:t>
            </w:r>
          </w:p>
        </w:tc>
        <w:tc>
          <w:tcPr>
            <w:tcW w:w="884" w:type="dxa"/>
            <w:vAlign w:val="top"/>
          </w:tcPr>
          <w:p w14:paraId="5A7B98F0">
            <w:pPr>
              <w:spacing w:before="93"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0.5911</w:t>
            </w:r>
          </w:p>
        </w:tc>
        <w:tc>
          <w:tcPr>
            <w:tcW w:w="791" w:type="dxa"/>
            <w:vAlign w:val="top"/>
          </w:tcPr>
          <w:p w14:paraId="24A4F620">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0.0617</w:t>
            </w:r>
          </w:p>
        </w:tc>
        <w:tc>
          <w:tcPr>
            <w:tcW w:w="913" w:type="dxa"/>
            <w:vAlign w:val="top"/>
          </w:tcPr>
          <w:p w14:paraId="1F241805">
            <w:pPr>
              <w:spacing w:before="93" w:line="19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0.602</w:t>
            </w:r>
          </w:p>
        </w:tc>
      </w:tr>
      <w:tr w14:paraId="5885B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70F2EDAA">
            <w:pPr>
              <w:pStyle w:val="6"/>
              <w:spacing w:before="54" w:line="228" w:lineRule="auto"/>
              <w:ind w:left="48"/>
            </w:pPr>
            <w:r>
              <w:rPr>
                <w:spacing w:val="13"/>
              </w:rPr>
              <w:t>距原点</w:t>
            </w:r>
            <w:r>
              <w:rPr>
                <w:rFonts w:ascii="Times New Roman" w:hAnsi="Times New Roman" w:eastAsia="Times New Roman" w:cs="Times New Roman"/>
                <w:spacing w:val="13"/>
              </w:rPr>
              <w:t xml:space="preserve">38 </w:t>
            </w:r>
            <w:r>
              <w:rPr>
                <w:spacing w:val="13"/>
              </w:rPr>
              <w:t>米</w:t>
            </w:r>
          </w:p>
        </w:tc>
        <w:tc>
          <w:tcPr>
            <w:tcW w:w="1012" w:type="dxa"/>
            <w:vAlign w:val="top"/>
          </w:tcPr>
          <w:p w14:paraId="7C391C83">
            <w:pPr>
              <w:spacing w:before="93" w:line="195" w:lineRule="auto"/>
              <w:ind w:left="2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42.35</w:t>
            </w:r>
          </w:p>
        </w:tc>
        <w:tc>
          <w:tcPr>
            <w:tcW w:w="780" w:type="dxa"/>
            <w:vAlign w:val="top"/>
          </w:tcPr>
          <w:p w14:paraId="71DCD406">
            <w:pPr>
              <w:spacing w:before="93"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0.0621</w:t>
            </w:r>
          </w:p>
        </w:tc>
        <w:tc>
          <w:tcPr>
            <w:tcW w:w="899" w:type="dxa"/>
            <w:vAlign w:val="top"/>
          </w:tcPr>
          <w:p w14:paraId="3428DE4D">
            <w:pPr>
              <w:spacing w:before="93"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0.5547</w:t>
            </w:r>
          </w:p>
        </w:tc>
        <w:tc>
          <w:tcPr>
            <w:tcW w:w="780" w:type="dxa"/>
            <w:vAlign w:val="top"/>
          </w:tcPr>
          <w:p w14:paraId="7E31DAAA">
            <w:pPr>
              <w:spacing w:before="93"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0.0601</w:t>
            </w:r>
          </w:p>
        </w:tc>
        <w:tc>
          <w:tcPr>
            <w:tcW w:w="884" w:type="dxa"/>
            <w:vAlign w:val="top"/>
          </w:tcPr>
          <w:p w14:paraId="431F6D2C">
            <w:pPr>
              <w:spacing w:before="93"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0.5493</w:t>
            </w:r>
          </w:p>
        </w:tc>
        <w:tc>
          <w:tcPr>
            <w:tcW w:w="720" w:type="dxa"/>
            <w:vAlign w:val="top"/>
          </w:tcPr>
          <w:p w14:paraId="78FE71A0">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0.0599</w:t>
            </w:r>
          </w:p>
        </w:tc>
        <w:tc>
          <w:tcPr>
            <w:tcW w:w="884" w:type="dxa"/>
            <w:vAlign w:val="top"/>
          </w:tcPr>
          <w:p w14:paraId="40A9ED72">
            <w:pPr>
              <w:spacing w:before="93"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0.5641</w:t>
            </w:r>
          </w:p>
        </w:tc>
        <w:tc>
          <w:tcPr>
            <w:tcW w:w="791" w:type="dxa"/>
            <w:vAlign w:val="top"/>
          </w:tcPr>
          <w:p w14:paraId="63521E39">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0.0595</w:t>
            </w:r>
          </w:p>
        </w:tc>
        <w:tc>
          <w:tcPr>
            <w:tcW w:w="913" w:type="dxa"/>
            <w:vAlign w:val="top"/>
          </w:tcPr>
          <w:p w14:paraId="4346D8C5">
            <w:pPr>
              <w:spacing w:before="93" w:line="19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0.574</w:t>
            </w:r>
          </w:p>
        </w:tc>
      </w:tr>
      <w:tr w14:paraId="1C7909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04140938">
            <w:pPr>
              <w:pStyle w:val="6"/>
              <w:spacing w:before="54" w:line="228" w:lineRule="auto"/>
              <w:ind w:left="48"/>
            </w:pPr>
            <w:r>
              <w:rPr>
                <w:spacing w:val="13"/>
              </w:rPr>
              <w:t>距原点</w:t>
            </w:r>
            <w:r>
              <w:rPr>
                <w:rFonts w:ascii="Times New Roman" w:hAnsi="Times New Roman" w:eastAsia="Times New Roman" w:cs="Times New Roman"/>
                <w:spacing w:val="13"/>
              </w:rPr>
              <w:t xml:space="preserve">39 </w:t>
            </w:r>
            <w:r>
              <w:rPr>
                <w:spacing w:val="13"/>
              </w:rPr>
              <w:t>米</w:t>
            </w:r>
          </w:p>
        </w:tc>
        <w:tc>
          <w:tcPr>
            <w:tcW w:w="1012" w:type="dxa"/>
            <w:vAlign w:val="top"/>
          </w:tcPr>
          <w:p w14:paraId="723A4B3D">
            <w:pPr>
              <w:spacing w:before="92" w:line="195" w:lineRule="auto"/>
              <w:ind w:left="2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43.35</w:t>
            </w:r>
          </w:p>
        </w:tc>
        <w:tc>
          <w:tcPr>
            <w:tcW w:w="780" w:type="dxa"/>
            <w:vAlign w:val="top"/>
          </w:tcPr>
          <w:p w14:paraId="5BBBD631">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0.0598</w:t>
            </w:r>
          </w:p>
        </w:tc>
        <w:tc>
          <w:tcPr>
            <w:tcW w:w="899" w:type="dxa"/>
            <w:vAlign w:val="top"/>
          </w:tcPr>
          <w:p w14:paraId="01E2D5E7">
            <w:pPr>
              <w:spacing w:before="92"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0.5303</w:t>
            </w:r>
          </w:p>
        </w:tc>
        <w:tc>
          <w:tcPr>
            <w:tcW w:w="780" w:type="dxa"/>
            <w:vAlign w:val="top"/>
          </w:tcPr>
          <w:p w14:paraId="154E2A24">
            <w:pPr>
              <w:spacing w:before="92"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0.0579</w:t>
            </w:r>
          </w:p>
        </w:tc>
        <w:tc>
          <w:tcPr>
            <w:tcW w:w="884" w:type="dxa"/>
            <w:vAlign w:val="top"/>
          </w:tcPr>
          <w:p w14:paraId="4DACA866">
            <w:pPr>
              <w:spacing w:before="92"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0.5253</w:t>
            </w:r>
          </w:p>
        </w:tc>
        <w:tc>
          <w:tcPr>
            <w:tcW w:w="720" w:type="dxa"/>
            <w:vAlign w:val="top"/>
          </w:tcPr>
          <w:p w14:paraId="5FE1ABFD">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0.0578</w:t>
            </w:r>
          </w:p>
        </w:tc>
        <w:tc>
          <w:tcPr>
            <w:tcW w:w="884" w:type="dxa"/>
            <w:vAlign w:val="top"/>
          </w:tcPr>
          <w:p w14:paraId="6D572B40">
            <w:pPr>
              <w:spacing w:before="92"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0.5389</w:t>
            </w:r>
          </w:p>
        </w:tc>
        <w:tc>
          <w:tcPr>
            <w:tcW w:w="791" w:type="dxa"/>
            <w:vAlign w:val="top"/>
          </w:tcPr>
          <w:p w14:paraId="38F92FB4">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0.0574</w:t>
            </w:r>
          </w:p>
        </w:tc>
        <w:tc>
          <w:tcPr>
            <w:tcW w:w="913" w:type="dxa"/>
            <w:vAlign w:val="top"/>
          </w:tcPr>
          <w:p w14:paraId="7D752A55">
            <w:pPr>
              <w:spacing w:before="92" w:line="19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0.548</w:t>
            </w:r>
          </w:p>
        </w:tc>
      </w:tr>
      <w:tr w14:paraId="6439D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05DE9BF3">
            <w:pPr>
              <w:pStyle w:val="6"/>
              <w:spacing w:before="56" w:line="228" w:lineRule="auto"/>
              <w:ind w:left="48"/>
            </w:pPr>
            <w:r>
              <w:rPr>
                <w:spacing w:val="4"/>
              </w:rPr>
              <w:t>距原点</w:t>
            </w:r>
            <w:r>
              <w:rPr>
                <w:spacing w:val="-40"/>
              </w:rPr>
              <w:t xml:space="preserve"> </w:t>
            </w:r>
            <w:r>
              <w:rPr>
                <w:rFonts w:ascii="Times New Roman" w:hAnsi="Times New Roman" w:eastAsia="Times New Roman" w:cs="Times New Roman"/>
                <w:spacing w:val="4"/>
              </w:rPr>
              <w:t>40</w:t>
            </w:r>
            <w:r>
              <w:rPr>
                <w:rFonts w:ascii="Times New Roman" w:hAnsi="Times New Roman" w:eastAsia="Times New Roman" w:cs="Times New Roman"/>
                <w:spacing w:val="12"/>
              </w:rPr>
              <w:t xml:space="preserve"> </w:t>
            </w:r>
            <w:r>
              <w:rPr>
                <w:spacing w:val="4"/>
              </w:rPr>
              <w:t>米</w:t>
            </w:r>
          </w:p>
        </w:tc>
        <w:tc>
          <w:tcPr>
            <w:tcW w:w="1012" w:type="dxa"/>
            <w:vAlign w:val="top"/>
          </w:tcPr>
          <w:p w14:paraId="18F6FA43">
            <w:pPr>
              <w:spacing w:before="92" w:line="195" w:lineRule="auto"/>
              <w:ind w:left="2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44.35</w:t>
            </w:r>
          </w:p>
        </w:tc>
        <w:tc>
          <w:tcPr>
            <w:tcW w:w="780" w:type="dxa"/>
            <w:vAlign w:val="top"/>
          </w:tcPr>
          <w:p w14:paraId="69131021">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0.0576</w:t>
            </w:r>
          </w:p>
        </w:tc>
        <w:tc>
          <w:tcPr>
            <w:tcW w:w="899" w:type="dxa"/>
            <w:vAlign w:val="top"/>
          </w:tcPr>
          <w:p w14:paraId="4D111545">
            <w:pPr>
              <w:spacing w:before="92"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0.5075</w:t>
            </w:r>
          </w:p>
        </w:tc>
        <w:tc>
          <w:tcPr>
            <w:tcW w:w="780" w:type="dxa"/>
            <w:vAlign w:val="top"/>
          </w:tcPr>
          <w:p w14:paraId="08A87FE2">
            <w:pPr>
              <w:spacing w:before="92"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0.0559</w:t>
            </w:r>
          </w:p>
        </w:tc>
        <w:tc>
          <w:tcPr>
            <w:tcW w:w="884" w:type="dxa"/>
            <w:vAlign w:val="top"/>
          </w:tcPr>
          <w:p w14:paraId="45AC8509">
            <w:pPr>
              <w:spacing w:before="92"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0.5029</w:t>
            </w:r>
          </w:p>
        </w:tc>
        <w:tc>
          <w:tcPr>
            <w:tcW w:w="720" w:type="dxa"/>
            <w:vAlign w:val="top"/>
          </w:tcPr>
          <w:p w14:paraId="4A64A50D">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0.0557</w:t>
            </w:r>
          </w:p>
        </w:tc>
        <w:tc>
          <w:tcPr>
            <w:tcW w:w="884" w:type="dxa"/>
            <w:vAlign w:val="top"/>
          </w:tcPr>
          <w:p w14:paraId="19FFD60C">
            <w:pPr>
              <w:spacing w:before="92"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0.5154</w:t>
            </w:r>
          </w:p>
        </w:tc>
        <w:tc>
          <w:tcPr>
            <w:tcW w:w="791" w:type="dxa"/>
            <w:vAlign w:val="top"/>
          </w:tcPr>
          <w:p w14:paraId="0953F044">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0.0553</w:t>
            </w:r>
          </w:p>
        </w:tc>
        <w:tc>
          <w:tcPr>
            <w:tcW w:w="913" w:type="dxa"/>
            <w:vAlign w:val="top"/>
          </w:tcPr>
          <w:p w14:paraId="133E14FB">
            <w:pPr>
              <w:spacing w:before="92"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0.5236</w:t>
            </w:r>
          </w:p>
        </w:tc>
      </w:tr>
      <w:tr w14:paraId="6B76F4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0D51E5A2">
            <w:pPr>
              <w:pStyle w:val="6"/>
              <w:spacing w:before="55" w:line="228" w:lineRule="auto"/>
              <w:ind w:left="48"/>
            </w:pPr>
            <w:r>
              <w:rPr>
                <w:spacing w:val="4"/>
              </w:rPr>
              <w:t>距原点</w:t>
            </w:r>
            <w:r>
              <w:rPr>
                <w:spacing w:val="-40"/>
              </w:rPr>
              <w:t xml:space="preserve"> </w:t>
            </w:r>
            <w:r>
              <w:rPr>
                <w:rFonts w:ascii="Times New Roman" w:hAnsi="Times New Roman" w:eastAsia="Times New Roman" w:cs="Times New Roman"/>
                <w:spacing w:val="4"/>
              </w:rPr>
              <w:t>41</w:t>
            </w:r>
            <w:r>
              <w:rPr>
                <w:rFonts w:ascii="Times New Roman" w:hAnsi="Times New Roman" w:eastAsia="Times New Roman" w:cs="Times New Roman"/>
                <w:spacing w:val="12"/>
              </w:rPr>
              <w:t xml:space="preserve"> </w:t>
            </w:r>
            <w:r>
              <w:rPr>
                <w:spacing w:val="4"/>
              </w:rPr>
              <w:t>米</w:t>
            </w:r>
          </w:p>
        </w:tc>
        <w:tc>
          <w:tcPr>
            <w:tcW w:w="1012" w:type="dxa"/>
            <w:vAlign w:val="top"/>
          </w:tcPr>
          <w:p w14:paraId="3176C5A7">
            <w:pPr>
              <w:spacing w:before="94" w:line="195" w:lineRule="auto"/>
              <w:ind w:left="2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45.35</w:t>
            </w:r>
          </w:p>
        </w:tc>
        <w:tc>
          <w:tcPr>
            <w:tcW w:w="780" w:type="dxa"/>
            <w:vAlign w:val="top"/>
          </w:tcPr>
          <w:p w14:paraId="38AB2B45">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0.0555</w:t>
            </w:r>
          </w:p>
        </w:tc>
        <w:tc>
          <w:tcPr>
            <w:tcW w:w="899" w:type="dxa"/>
            <w:vAlign w:val="top"/>
          </w:tcPr>
          <w:p w14:paraId="068E4C00">
            <w:pPr>
              <w:spacing w:before="9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0.4861</w:t>
            </w:r>
          </w:p>
        </w:tc>
        <w:tc>
          <w:tcPr>
            <w:tcW w:w="780" w:type="dxa"/>
            <w:vAlign w:val="top"/>
          </w:tcPr>
          <w:p w14:paraId="0C08176B">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0.054</w:t>
            </w:r>
          </w:p>
        </w:tc>
        <w:tc>
          <w:tcPr>
            <w:tcW w:w="884" w:type="dxa"/>
            <w:vAlign w:val="top"/>
          </w:tcPr>
          <w:p w14:paraId="1B56374B">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0.4819</w:t>
            </w:r>
          </w:p>
        </w:tc>
        <w:tc>
          <w:tcPr>
            <w:tcW w:w="720" w:type="dxa"/>
            <w:vAlign w:val="top"/>
          </w:tcPr>
          <w:p w14:paraId="48576AD4">
            <w:pPr>
              <w:spacing w:before="94"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0.0538</w:t>
            </w:r>
          </w:p>
        </w:tc>
        <w:tc>
          <w:tcPr>
            <w:tcW w:w="884" w:type="dxa"/>
            <w:vAlign w:val="top"/>
          </w:tcPr>
          <w:p w14:paraId="647EDD57">
            <w:pPr>
              <w:spacing w:before="94"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0.4933</w:t>
            </w:r>
          </w:p>
        </w:tc>
        <w:tc>
          <w:tcPr>
            <w:tcW w:w="791" w:type="dxa"/>
            <w:vAlign w:val="top"/>
          </w:tcPr>
          <w:p w14:paraId="4D447D13">
            <w:pPr>
              <w:spacing w:before="94"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0.0534</w:t>
            </w:r>
          </w:p>
        </w:tc>
        <w:tc>
          <w:tcPr>
            <w:tcW w:w="913" w:type="dxa"/>
            <w:vAlign w:val="top"/>
          </w:tcPr>
          <w:p w14:paraId="5BAC89E7">
            <w:pPr>
              <w:spacing w:before="94"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0.5009</w:t>
            </w:r>
          </w:p>
        </w:tc>
      </w:tr>
      <w:tr w14:paraId="164D8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7E10B436">
            <w:pPr>
              <w:pStyle w:val="6"/>
              <w:spacing w:before="55" w:line="228" w:lineRule="auto"/>
              <w:ind w:left="48"/>
            </w:pPr>
            <w:r>
              <w:rPr>
                <w:spacing w:val="4"/>
              </w:rPr>
              <w:t>距原点</w:t>
            </w:r>
            <w:r>
              <w:rPr>
                <w:spacing w:val="-40"/>
              </w:rPr>
              <w:t xml:space="preserve"> </w:t>
            </w:r>
            <w:r>
              <w:rPr>
                <w:rFonts w:ascii="Times New Roman" w:hAnsi="Times New Roman" w:eastAsia="Times New Roman" w:cs="Times New Roman"/>
                <w:spacing w:val="4"/>
              </w:rPr>
              <w:t>42</w:t>
            </w:r>
            <w:r>
              <w:rPr>
                <w:rFonts w:ascii="Times New Roman" w:hAnsi="Times New Roman" w:eastAsia="Times New Roman" w:cs="Times New Roman"/>
                <w:spacing w:val="12"/>
              </w:rPr>
              <w:t xml:space="preserve"> </w:t>
            </w:r>
            <w:r>
              <w:rPr>
                <w:spacing w:val="4"/>
              </w:rPr>
              <w:t>米</w:t>
            </w:r>
          </w:p>
        </w:tc>
        <w:tc>
          <w:tcPr>
            <w:tcW w:w="1012" w:type="dxa"/>
            <w:vAlign w:val="top"/>
          </w:tcPr>
          <w:p w14:paraId="529D84F4">
            <w:pPr>
              <w:spacing w:before="93" w:line="195" w:lineRule="auto"/>
              <w:ind w:left="2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46.35</w:t>
            </w:r>
          </w:p>
        </w:tc>
        <w:tc>
          <w:tcPr>
            <w:tcW w:w="780" w:type="dxa"/>
            <w:vAlign w:val="top"/>
          </w:tcPr>
          <w:p w14:paraId="44D9CBA1">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0.0535</w:t>
            </w:r>
          </w:p>
        </w:tc>
        <w:tc>
          <w:tcPr>
            <w:tcW w:w="899" w:type="dxa"/>
            <w:vAlign w:val="top"/>
          </w:tcPr>
          <w:p w14:paraId="051DF9B2">
            <w:pPr>
              <w:spacing w:before="91" w:line="195" w:lineRule="auto"/>
              <w:ind w:left="21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0.466</w:t>
            </w:r>
          </w:p>
        </w:tc>
        <w:tc>
          <w:tcPr>
            <w:tcW w:w="780" w:type="dxa"/>
            <w:vAlign w:val="top"/>
          </w:tcPr>
          <w:p w14:paraId="1553360C">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0.0521</w:t>
            </w:r>
          </w:p>
        </w:tc>
        <w:tc>
          <w:tcPr>
            <w:tcW w:w="884" w:type="dxa"/>
            <w:vAlign w:val="top"/>
          </w:tcPr>
          <w:p w14:paraId="2E61DA00">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0.4621</w:t>
            </w:r>
          </w:p>
        </w:tc>
        <w:tc>
          <w:tcPr>
            <w:tcW w:w="720" w:type="dxa"/>
            <w:vAlign w:val="top"/>
          </w:tcPr>
          <w:p w14:paraId="033F6601">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0.0519</w:t>
            </w:r>
          </w:p>
        </w:tc>
        <w:tc>
          <w:tcPr>
            <w:tcW w:w="884" w:type="dxa"/>
            <w:vAlign w:val="top"/>
          </w:tcPr>
          <w:p w14:paraId="1295466D">
            <w:pPr>
              <w:spacing w:before="93"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0.4726</w:t>
            </w:r>
          </w:p>
        </w:tc>
        <w:tc>
          <w:tcPr>
            <w:tcW w:w="791" w:type="dxa"/>
            <w:vAlign w:val="top"/>
          </w:tcPr>
          <w:p w14:paraId="7FFA74D0">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0.0515</w:t>
            </w:r>
          </w:p>
        </w:tc>
        <w:tc>
          <w:tcPr>
            <w:tcW w:w="913" w:type="dxa"/>
            <w:vAlign w:val="top"/>
          </w:tcPr>
          <w:p w14:paraId="2C45DDCE">
            <w:pPr>
              <w:spacing w:before="93"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0.4796</w:t>
            </w:r>
          </w:p>
        </w:tc>
      </w:tr>
      <w:tr w14:paraId="5A2B2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41BF4A2A">
            <w:pPr>
              <w:pStyle w:val="6"/>
              <w:spacing w:before="54" w:line="228" w:lineRule="auto"/>
              <w:ind w:left="48"/>
            </w:pPr>
            <w:r>
              <w:rPr>
                <w:spacing w:val="4"/>
              </w:rPr>
              <w:t>距原点</w:t>
            </w:r>
            <w:r>
              <w:rPr>
                <w:spacing w:val="-40"/>
              </w:rPr>
              <w:t xml:space="preserve"> </w:t>
            </w:r>
            <w:r>
              <w:rPr>
                <w:rFonts w:ascii="Times New Roman" w:hAnsi="Times New Roman" w:eastAsia="Times New Roman" w:cs="Times New Roman"/>
                <w:spacing w:val="4"/>
              </w:rPr>
              <w:t>43</w:t>
            </w:r>
            <w:r>
              <w:rPr>
                <w:rFonts w:ascii="Times New Roman" w:hAnsi="Times New Roman" w:eastAsia="Times New Roman" w:cs="Times New Roman"/>
                <w:spacing w:val="12"/>
              </w:rPr>
              <w:t xml:space="preserve"> </w:t>
            </w:r>
            <w:r>
              <w:rPr>
                <w:spacing w:val="4"/>
              </w:rPr>
              <w:t>米</w:t>
            </w:r>
          </w:p>
        </w:tc>
        <w:tc>
          <w:tcPr>
            <w:tcW w:w="1012" w:type="dxa"/>
            <w:vAlign w:val="top"/>
          </w:tcPr>
          <w:p w14:paraId="4FF63D9C">
            <w:pPr>
              <w:spacing w:before="93" w:line="195" w:lineRule="auto"/>
              <w:ind w:left="2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47.35</w:t>
            </w:r>
          </w:p>
        </w:tc>
        <w:tc>
          <w:tcPr>
            <w:tcW w:w="780" w:type="dxa"/>
            <w:vAlign w:val="top"/>
          </w:tcPr>
          <w:p w14:paraId="769873B4">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0.0516</w:t>
            </w:r>
          </w:p>
        </w:tc>
        <w:tc>
          <w:tcPr>
            <w:tcW w:w="899" w:type="dxa"/>
            <w:vAlign w:val="top"/>
          </w:tcPr>
          <w:p w14:paraId="1F2A49F0">
            <w:pPr>
              <w:spacing w:before="9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0.4471</w:t>
            </w:r>
          </w:p>
        </w:tc>
        <w:tc>
          <w:tcPr>
            <w:tcW w:w="780" w:type="dxa"/>
            <w:vAlign w:val="top"/>
          </w:tcPr>
          <w:p w14:paraId="2BE89893">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0.0503</w:t>
            </w:r>
          </w:p>
        </w:tc>
        <w:tc>
          <w:tcPr>
            <w:tcW w:w="884" w:type="dxa"/>
            <w:vAlign w:val="top"/>
          </w:tcPr>
          <w:p w14:paraId="1F61A518">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0.4435</w:t>
            </w:r>
          </w:p>
        </w:tc>
        <w:tc>
          <w:tcPr>
            <w:tcW w:w="720" w:type="dxa"/>
            <w:vAlign w:val="top"/>
          </w:tcPr>
          <w:p w14:paraId="66E51826">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0.0501</w:t>
            </w:r>
          </w:p>
        </w:tc>
        <w:tc>
          <w:tcPr>
            <w:tcW w:w="884" w:type="dxa"/>
            <w:vAlign w:val="top"/>
          </w:tcPr>
          <w:p w14:paraId="359AB43E">
            <w:pPr>
              <w:spacing w:before="93"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0.4532</w:t>
            </w:r>
          </w:p>
        </w:tc>
        <w:tc>
          <w:tcPr>
            <w:tcW w:w="791" w:type="dxa"/>
            <w:vAlign w:val="top"/>
          </w:tcPr>
          <w:p w14:paraId="0B7689E5">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0.0498</w:t>
            </w:r>
          </w:p>
        </w:tc>
        <w:tc>
          <w:tcPr>
            <w:tcW w:w="913" w:type="dxa"/>
            <w:vAlign w:val="top"/>
          </w:tcPr>
          <w:p w14:paraId="27DA2636">
            <w:pPr>
              <w:spacing w:before="93"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0.4596</w:t>
            </w:r>
          </w:p>
        </w:tc>
      </w:tr>
      <w:tr w14:paraId="63477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0D300C00">
            <w:pPr>
              <w:pStyle w:val="6"/>
              <w:spacing w:before="54" w:line="228" w:lineRule="auto"/>
              <w:ind w:left="48"/>
            </w:pPr>
            <w:r>
              <w:rPr>
                <w:spacing w:val="4"/>
              </w:rPr>
              <w:t>距原点</w:t>
            </w:r>
            <w:r>
              <w:rPr>
                <w:spacing w:val="-40"/>
              </w:rPr>
              <w:t xml:space="preserve"> </w:t>
            </w:r>
            <w:r>
              <w:rPr>
                <w:rFonts w:ascii="Times New Roman" w:hAnsi="Times New Roman" w:eastAsia="Times New Roman" w:cs="Times New Roman"/>
                <w:spacing w:val="4"/>
              </w:rPr>
              <w:t>44</w:t>
            </w:r>
            <w:r>
              <w:rPr>
                <w:rFonts w:ascii="Times New Roman" w:hAnsi="Times New Roman" w:eastAsia="Times New Roman" w:cs="Times New Roman"/>
                <w:spacing w:val="12"/>
              </w:rPr>
              <w:t xml:space="preserve"> </w:t>
            </w:r>
            <w:r>
              <w:rPr>
                <w:spacing w:val="4"/>
              </w:rPr>
              <w:t>米</w:t>
            </w:r>
          </w:p>
        </w:tc>
        <w:tc>
          <w:tcPr>
            <w:tcW w:w="1012" w:type="dxa"/>
            <w:vAlign w:val="top"/>
          </w:tcPr>
          <w:p w14:paraId="7003FB19">
            <w:pPr>
              <w:spacing w:before="93" w:line="195" w:lineRule="auto"/>
              <w:ind w:left="2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48.35</w:t>
            </w:r>
          </w:p>
        </w:tc>
        <w:tc>
          <w:tcPr>
            <w:tcW w:w="780" w:type="dxa"/>
            <w:vAlign w:val="top"/>
          </w:tcPr>
          <w:p w14:paraId="24C5A67E">
            <w:pPr>
              <w:spacing w:before="93"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0.0498</w:t>
            </w:r>
          </w:p>
        </w:tc>
        <w:tc>
          <w:tcPr>
            <w:tcW w:w="899" w:type="dxa"/>
            <w:vAlign w:val="top"/>
          </w:tcPr>
          <w:p w14:paraId="33A9CBBB">
            <w:pPr>
              <w:spacing w:before="93"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0.4293</w:t>
            </w:r>
          </w:p>
        </w:tc>
        <w:tc>
          <w:tcPr>
            <w:tcW w:w="780" w:type="dxa"/>
            <w:vAlign w:val="top"/>
          </w:tcPr>
          <w:p w14:paraId="4AA21E4D">
            <w:pPr>
              <w:spacing w:before="93"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0.0486</w:t>
            </w:r>
          </w:p>
        </w:tc>
        <w:tc>
          <w:tcPr>
            <w:tcW w:w="884" w:type="dxa"/>
            <w:vAlign w:val="top"/>
          </w:tcPr>
          <w:p w14:paraId="783F0962">
            <w:pPr>
              <w:spacing w:before="93" w:line="195" w:lineRule="auto"/>
              <w:ind w:left="21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0.426</w:t>
            </w:r>
          </w:p>
        </w:tc>
        <w:tc>
          <w:tcPr>
            <w:tcW w:w="720" w:type="dxa"/>
            <w:vAlign w:val="top"/>
          </w:tcPr>
          <w:p w14:paraId="79A46D7F">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0.0484</w:t>
            </w:r>
          </w:p>
        </w:tc>
        <w:tc>
          <w:tcPr>
            <w:tcW w:w="884" w:type="dxa"/>
            <w:vAlign w:val="top"/>
          </w:tcPr>
          <w:p w14:paraId="692FDC13">
            <w:pPr>
              <w:spacing w:before="93"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0.4349</w:t>
            </w:r>
          </w:p>
        </w:tc>
        <w:tc>
          <w:tcPr>
            <w:tcW w:w="791" w:type="dxa"/>
            <w:vAlign w:val="top"/>
          </w:tcPr>
          <w:p w14:paraId="643CDE05">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0.0481</w:t>
            </w:r>
          </w:p>
        </w:tc>
        <w:tc>
          <w:tcPr>
            <w:tcW w:w="913" w:type="dxa"/>
            <w:vAlign w:val="top"/>
          </w:tcPr>
          <w:p w14:paraId="4F4334E5">
            <w:pPr>
              <w:spacing w:before="93"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0.4408</w:t>
            </w:r>
          </w:p>
        </w:tc>
      </w:tr>
      <w:tr w14:paraId="2FB716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049FEEF0">
            <w:pPr>
              <w:pStyle w:val="6"/>
              <w:spacing w:before="54" w:line="228" w:lineRule="auto"/>
              <w:ind w:left="48"/>
            </w:pPr>
            <w:r>
              <w:rPr>
                <w:spacing w:val="4"/>
              </w:rPr>
              <w:t>距原点</w:t>
            </w:r>
            <w:r>
              <w:rPr>
                <w:spacing w:val="-40"/>
              </w:rPr>
              <w:t xml:space="preserve"> </w:t>
            </w:r>
            <w:r>
              <w:rPr>
                <w:rFonts w:ascii="Times New Roman" w:hAnsi="Times New Roman" w:eastAsia="Times New Roman" w:cs="Times New Roman"/>
                <w:spacing w:val="4"/>
              </w:rPr>
              <w:t>45</w:t>
            </w:r>
            <w:r>
              <w:rPr>
                <w:rFonts w:ascii="Times New Roman" w:hAnsi="Times New Roman" w:eastAsia="Times New Roman" w:cs="Times New Roman"/>
                <w:spacing w:val="12"/>
              </w:rPr>
              <w:t xml:space="preserve"> </w:t>
            </w:r>
            <w:r>
              <w:rPr>
                <w:spacing w:val="4"/>
              </w:rPr>
              <w:t>米</w:t>
            </w:r>
          </w:p>
        </w:tc>
        <w:tc>
          <w:tcPr>
            <w:tcW w:w="1012" w:type="dxa"/>
            <w:vAlign w:val="top"/>
          </w:tcPr>
          <w:p w14:paraId="2A70583B">
            <w:pPr>
              <w:spacing w:before="92" w:line="195" w:lineRule="auto"/>
              <w:ind w:left="26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49.35</w:t>
            </w:r>
          </w:p>
        </w:tc>
        <w:tc>
          <w:tcPr>
            <w:tcW w:w="780" w:type="dxa"/>
            <w:vAlign w:val="top"/>
          </w:tcPr>
          <w:p w14:paraId="78176BDB">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0.0481</w:t>
            </w:r>
          </w:p>
        </w:tc>
        <w:tc>
          <w:tcPr>
            <w:tcW w:w="899" w:type="dxa"/>
            <w:vAlign w:val="top"/>
          </w:tcPr>
          <w:p w14:paraId="2D56CE00">
            <w:pPr>
              <w:spacing w:before="92"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0.4125</w:t>
            </w:r>
          </w:p>
        </w:tc>
        <w:tc>
          <w:tcPr>
            <w:tcW w:w="780" w:type="dxa"/>
            <w:vAlign w:val="top"/>
          </w:tcPr>
          <w:p w14:paraId="3C44D47D">
            <w:pPr>
              <w:spacing w:before="92"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0.047</w:t>
            </w:r>
          </w:p>
        </w:tc>
        <w:tc>
          <w:tcPr>
            <w:tcW w:w="884" w:type="dxa"/>
            <w:vAlign w:val="top"/>
          </w:tcPr>
          <w:p w14:paraId="7B6D39E9">
            <w:pPr>
              <w:spacing w:before="92"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0.4095</w:t>
            </w:r>
          </w:p>
        </w:tc>
        <w:tc>
          <w:tcPr>
            <w:tcW w:w="720" w:type="dxa"/>
            <w:vAlign w:val="top"/>
          </w:tcPr>
          <w:p w14:paraId="127C6DB5">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0.0468</w:t>
            </w:r>
          </w:p>
        </w:tc>
        <w:tc>
          <w:tcPr>
            <w:tcW w:w="884" w:type="dxa"/>
            <w:vAlign w:val="top"/>
          </w:tcPr>
          <w:p w14:paraId="1D386762">
            <w:pPr>
              <w:spacing w:before="92"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0.4177</w:t>
            </w:r>
          </w:p>
        </w:tc>
        <w:tc>
          <w:tcPr>
            <w:tcW w:w="791" w:type="dxa"/>
            <w:vAlign w:val="top"/>
          </w:tcPr>
          <w:p w14:paraId="70BA3BDD">
            <w:pPr>
              <w:spacing w:before="92"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0.0465</w:t>
            </w:r>
          </w:p>
        </w:tc>
        <w:tc>
          <w:tcPr>
            <w:tcW w:w="913" w:type="dxa"/>
            <w:vAlign w:val="top"/>
          </w:tcPr>
          <w:p w14:paraId="5F5B89AD">
            <w:pPr>
              <w:spacing w:before="92"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0.4232</w:t>
            </w:r>
          </w:p>
        </w:tc>
      </w:tr>
      <w:tr w14:paraId="41C95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409F1759">
            <w:pPr>
              <w:pStyle w:val="6"/>
              <w:spacing w:before="56" w:line="228" w:lineRule="auto"/>
              <w:ind w:left="48"/>
            </w:pPr>
            <w:r>
              <w:rPr>
                <w:spacing w:val="4"/>
              </w:rPr>
              <w:t>距原点</w:t>
            </w:r>
            <w:r>
              <w:rPr>
                <w:spacing w:val="-40"/>
              </w:rPr>
              <w:t xml:space="preserve"> </w:t>
            </w:r>
            <w:r>
              <w:rPr>
                <w:rFonts w:ascii="Times New Roman" w:hAnsi="Times New Roman" w:eastAsia="Times New Roman" w:cs="Times New Roman"/>
                <w:spacing w:val="4"/>
              </w:rPr>
              <w:t>46</w:t>
            </w:r>
            <w:r>
              <w:rPr>
                <w:rFonts w:ascii="Times New Roman" w:hAnsi="Times New Roman" w:eastAsia="Times New Roman" w:cs="Times New Roman"/>
                <w:spacing w:val="12"/>
              </w:rPr>
              <w:t xml:space="preserve"> </w:t>
            </w:r>
            <w:r>
              <w:rPr>
                <w:spacing w:val="4"/>
              </w:rPr>
              <w:t>米</w:t>
            </w:r>
          </w:p>
        </w:tc>
        <w:tc>
          <w:tcPr>
            <w:tcW w:w="1012" w:type="dxa"/>
            <w:vAlign w:val="top"/>
          </w:tcPr>
          <w:p w14:paraId="31BF686B">
            <w:pPr>
              <w:spacing w:before="92"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50.35</w:t>
            </w:r>
          </w:p>
        </w:tc>
        <w:tc>
          <w:tcPr>
            <w:tcW w:w="780" w:type="dxa"/>
            <w:vAlign w:val="top"/>
          </w:tcPr>
          <w:p w14:paraId="05DA3536">
            <w:pPr>
              <w:spacing w:before="92"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0.0464</w:t>
            </w:r>
          </w:p>
        </w:tc>
        <w:tc>
          <w:tcPr>
            <w:tcW w:w="899" w:type="dxa"/>
            <w:vAlign w:val="top"/>
          </w:tcPr>
          <w:p w14:paraId="6DFD5B7B">
            <w:pPr>
              <w:spacing w:before="92"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0.3967</w:t>
            </w:r>
          </w:p>
        </w:tc>
        <w:tc>
          <w:tcPr>
            <w:tcW w:w="780" w:type="dxa"/>
            <w:vAlign w:val="top"/>
          </w:tcPr>
          <w:p w14:paraId="79F102E1">
            <w:pPr>
              <w:spacing w:before="92"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0.0454</w:t>
            </w:r>
          </w:p>
        </w:tc>
        <w:tc>
          <w:tcPr>
            <w:tcW w:w="884" w:type="dxa"/>
            <w:vAlign w:val="top"/>
          </w:tcPr>
          <w:p w14:paraId="186923D7">
            <w:pPr>
              <w:spacing w:before="92"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0.3939</w:t>
            </w:r>
          </w:p>
        </w:tc>
        <w:tc>
          <w:tcPr>
            <w:tcW w:w="720" w:type="dxa"/>
            <w:vAlign w:val="top"/>
          </w:tcPr>
          <w:p w14:paraId="45431DE5">
            <w:pPr>
              <w:spacing w:before="92"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0.0453</w:t>
            </w:r>
          </w:p>
        </w:tc>
        <w:tc>
          <w:tcPr>
            <w:tcW w:w="884" w:type="dxa"/>
            <w:vAlign w:val="top"/>
          </w:tcPr>
          <w:p w14:paraId="1C708EFD">
            <w:pPr>
              <w:spacing w:before="92"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0.4015</w:t>
            </w:r>
          </w:p>
        </w:tc>
        <w:tc>
          <w:tcPr>
            <w:tcW w:w="791" w:type="dxa"/>
            <w:vAlign w:val="top"/>
          </w:tcPr>
          <w:p w14:paraId="24C055BF">
            <w:pPr>
              <w:spacing w:before="92"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0.045</w:t>
            </w:r>
          </w:p>
        </w:tc>
        <w:tc>
          <w:tcPr>
            <w:tcW w:w="913" w:type="dxa"/>
            <w:vAlign w:val="top"/>
          </w:tcPr>
          <w:p w14:paraId="7DE26255">
            <w:pPr>
              <w:spacing w:before="92"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0.4066</w:t>
            </w:r>
          </w:p>
        </w:tc>
      </w:tr>
      <w:tr w14:paraId="00A3D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3A022DC7">
            <w:pPr>
              <w:pStyle w:val="6"/>
              <w:spacing w:before="55" w:line="228" w:lineRule="auto"/>
              <w:ind w:left="48"/>
            </w:pPr>
            <w:r>
              <w:rPr>
                <w:spacing w:val="4"/>
              </w:rPr>
              <w:t>距原点</w:t>
            </w:r>
            <w:r>
              <w:rPr>
                <w:spacing w:val="-40"/>
              </w:rPr>
              <w:t xml:space="preserve"> </w:t>
            </w:r>
            <w:r>
              <w:rPr>
                <w:rFonts w:ascii="Times New Roman" w:hAnsi="Times New Roman" w:eastAsia="Times New Roman" w:cs="Times New Roman"/>
                <w:spacing w:val="4"/>
              </w:rPr>
              <w:t>47</w:t>
            </w:r>
            <w:r>
              <w:rPr>
                <w:rFonts w:ascii="Times New Roman" w:hAnsi="Times New Roman" w:eastAsia="Times New Roman" w:cs="Times New Roman"/>
                <w:spacing w:val="12"/>
              </w:rPr>
              <w:t xml:space="preserve"> </w:t>
            </w:r>
            <w:r>
              <w:rPr>
                <w:spacing w:val="4"/>
              </w:rPr>
              <w:t>米</w:t>
            </w:r>
          </w:p>
        </w:tc>
        <w:tc>
          <w:tcPr>
            <w:tcW w:w="1012" w:type="dxa"/>
            <w:vAlign w:val="top"/>
          </w:tcPr>
          <w:p w14:paraId="408F310C">
            <w:pPr>
              <w:spacing w:before="94"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51.35</w:t>
            </w:r>
          </w:p>
        </w:tc>
        <w:tc>
          <w:tcPr>
            <w:tcW w:w="780" w:type="dxa"/>
            <w:vAlign w:val="top"/>
          </w:tcPr>
          <w:p w14:paraId="3413C671">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0.0449</w:t>
            </w:r>
          </w:p>
        </w:tc>
        <w:tc>
          <w:tcPr>
            <w:tcW w:w="899" w:type="dxa"/>
            <w:vAlign w:val="top"/>
          </w:tcPr>
          <w:p w14:paraId="478B6E7C">
            <w:pPr>
              <w:spacing w:before="9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0.3818</w:t>
            </w:r>
          </w:p>
        </w:tc>
        <w:tc>
          <w:tcPr>
            <w:tcW w:w="780" w:type="dxa"/>
            <w:vAlign w:val="top"/>
          </w:tcPr>
          <w:p w14:paraId="732FC823">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0.044</w:t>
            </w:r>
          </w:p>
        </w:tc>
        <w:tc>
          <w:tcPr>
            <w:tcW w:w="884" w:type="dxa"/>
            <w:vAlign w:val="top"/>
          </w:tcPr>
          <w:p w14:paraId="54F72840">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0.3792</w:t>
            </w:r>
          </w:p>
        </w:tc>
        <w:tc>
          <w:tcPr>
            <w:tcW w:w="720" w:type="dxa"/>
            <w:vAlign w:val="top"/>
          </w:tcPr>
          <w:p w14:paraId="18FC00BF">
            <w:pPr>
              <w:spacing w:before="94"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0.0438</w:t>
            </w:r>
          </w:p>
        </w:tc>
        <w:tc>
          <w:tcPr>
            <w:tcW w:w="884" w:type="dxa"/>
            <w:vAlign w:val="top"/>
          </w:tcPr>
          <w:p w14:paraId="3219CF06">
            <w:pPr>
              <w:spacing w:before="94"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0.3863</w:t>
            </w:r>
          </w:p>
        </w:tc>
        <w:tc>
          <w:tcPr>
            <w:tcW w:w="791" w:type="dxa"/>
            <w:vAlign w:val="top"/>
          </w:tcPr>
          <w:p w14:paraId="75FF7E64">
            <w:pPr>
              <w:spacing w:before="94"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0.0435</w:t>
            </w:r>
          </w:p>
        </w:tc>
        <w:tc>
          <w:tcPr>
            <w:tcW w:w="913" w:type="dxa"/>
            <w:vAlign w:val="top"/>
          </w:tcPr>
          <w:p w14:paraId="3EE2697F">
            <w:pPr>
              <w:spacing w:before="94"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0.3909</w:t>
            </w:r>
          </w:p>
        </w:tc>
      </w:tr>
      <w:tr w14:paraId="6EFBA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5658C804">
            <w:pPr>
              <w:pStyle w:val="6"/>
              <w:spacing w:before="55" w:line="228" w:lineRule="auto"/>
              <w:ind w:left="48"/>
            </w:pPr>
            <w:r>
              <w:rPr>
                <w:spacing w:val="4"/>
              </w:rPr>
              <w:t>距原点</w:t>
            </w:r>
            <w:r>
              <w:rPr>
                <w:spacing w:val="-40"/>
              </w:rPr>
              <w:t xml:space="preserve"> </w:t>
            </w:r>
            <w:r>
              <w:rPr>
                <w:rFonts w:ascii="Times New Roman" w:hAnsi="Times New Roman" w:eastAsia="Times New Roman" w:cs="Times New Roman"/>
                <w:spacing w:val="4"/>
              </w:rPr>
              <w:t>48</w:t>
            </w:r>
            <w:r>
              <w:rPr>
                <w:rFonts w:ascii="Times New Roman" w:hAnsi="Times New Roman" w:eastAsia="Times New Roman" w:cs="Times New Roman"/>
                <w:spacing w:val="12"/>
              </w:rPr>
              <w:t xml:space="preserve"> </w:t>
            </w:r>
            <w:r>
              <w:rPr>
                <w:spacing w:val="4"/>
              </w:rPr>
              <w:t>米</w:t>
            </w:r>
          </w:p>
        </w:tc>
        <w:tc>
          <w:tcPr>
            <w:tcW w:w="1012" w:type="dxa"/>
            <w:vAlign w:val="top"/>
          </w:tcPr>
          <w:p w14:paraId="1D0A34A4">
            <w:pPr>
              <w:spacing w:before="93"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52.35</w:t>
            </w:r>
          </w:p>
        </w:tc>
        <w:tc>
          <w:tcPr>
            <w:tcW w:w="780" w:type="dxa"/>
            <w:vAlign w:val="top"/>
          </w:tcPr>
          <w:p w14:paraId="786A69B7">
            <w:pPr>
              <w:spacing w:before="91"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0.0434</w:t>
            </w:r>
          </w:p>
        </w:tc>
        <w:tc>
          <w:tcPr>
            <w:tcW w:w="899" w:type="dxa"/>
            <w:vAlign w:val="top"/>
          </w:tcPr>
          <w:p w14:paraId="46E393DC">
            <w:pPr>
              <w:spacing w:before="9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0.3677</w:t>
            </w:r>
          </w:p>
        </w:tc>
        <w:tc>
          <w:tcPr>
            <w:tcW w:w="780" w:type="dxa"/>
            <w:vAlign w:val="top"/>
          </w:tcPr>
          <w:p w14:paraId="5A29BF9B">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0.0425</w:t>
            </w:r>
          </w:p>
        </w:tc>
        <w:tc>
          <w:tcPr>
            <w:tcW w:w="884" w:type="dxa"/>
            <w:vAlign w:val="top"/>
          </w:tcPr>
          <w:p w14:paraId="3A87BF1D">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0.3653</w:t>
            </w:r>
          </w:p>
        </w:tc>
        <w:tc>
          <w:tcPr>
            <w:tcW w:w="720" w:type="dxa"/>
            <w:vAlign w:val="top"/>
          </w:tcPr>
          <w:p w14:paraId="77879CA4">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0.0424</w:t>
            </w:r>
          </w:p>
        </w:tc>
        <w:tc>
          <w:tcPr>
            <w:tcW w:w="884" w:type="dxa"/>
            <w:vAlign w:val="top"/>
          </w:tcPr>
          <w:p w14:paraId="457D23CE">
            <w:pPr>
              <w:spacing w:before="93"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0.3718</w:t>
            </w:r>
          </w:p>
        </w:tc>
        <w:tc>
          <w:tcPr>
            <w:tcW w:w="791" w:type="dxa"/>
            <w:vAlign w:val="top"/>
          </w:tcPr>
          <w:p w14:paraId="33BB9D1F">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0.0421</w:t>
            </w:r>
          </w:p>
        </w:tc>
        <w:tc>
          <w:tcPr>
            <w:tcW w:w="913" w:type="dxa"/>
            <w:vAlign w:val="top"/>
          </w:tcPr>
          <w:p w14:paraId="17A32D6F">
            <w:pPr>
              <w:spacing w:before="93"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0.3762</w:t>
            </w:r>
          </w:p>
        </w:tc>
      </w:tr>
      <w:tr w14:paraId="6D9F1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544772F4">
            <w:pPr>
              <w:pStyle w:val="6"/>
              <w:spacing w:before="54" w:line="228" w:lineRule="auto"/>
              <w:ind w:left="48"/>
            </w:pPr>
            <w:r>
              <w:rPr>
                <w:spacing w:val="4"/>
              </w:rPr>
              <w:t>距原点</w:t>
            </w:r>
            <w:r>
              <w:rPr>
                <w:spacing w:val="-40"/>
              </w:rPr>
              <w:t xml:space="preserve"> </w:t>
            </w:r>
            <w:r>
              <w:rPr>
                <w:rFonts w:ascii="Times New Roman" w:hAnsi="Times New Roman" w:eastAsia="Times New Roman" w:cs="Times New Roman"/>
                <w:spacing w:val="4"/>
              </w:rPr>
              <w:t>49</w:t>
            </w:r>
            <w:r>
              <w:rPr>
                <w:rFonts w:ascii="Times New Roman" w:hAnsi="Times New Roman" w:eastAsia="Times New Roman" w:cs="Times New Roman"/>
                <w:spacing w:val="12"/>
              </w:rPr>
              <w:t xml:space="preserve"> </w:t>
            </w:r>
            <w:r>
              <w:rPr>
                <w:spacing w:val="4"/>
              </w:rPr>
              <w:t>米</w:t>
            </w:r>
          </w:p>
        </w:tc>
        <w:tc>
          <w:tcPr>
            <w:tcW w:w="1012" w:type="dxa"/>
            <w:vAlign w:val="top"/>
          </w:tcPr>
          <w:p w14:paraId="23AF6565">
            <w:pPr>
              <w:spacing w:before="93"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53.35</w:t>
            </w:r>
          </w:p>
        </w:tc>
        <w:tc>
          <w:tcPr>
            <w:tcW w:w="780" w:type="dxa"/>
            <w:vAlign w:val="top"/>
          </w:tcPr>
          <w:p w14:paraId="322AB030">
            <w:pPr>
              <w:spacing w:before="91" w:line="195" w:lineRule="auto"/>
              <w:ind w:left="15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0.042</w:t>
            </w:r>
          </w:p>
        </w:tc>
        <w:tc>
          <w:tcPr>
            <w:tcW w:w="899" w:type="dxa"/>
            <w:vAlign w:val="top"/>
          </w:tcPr>
          <w:p w14:paraId="393A4BB9">
            <w:pPr>
              <w:spacing w:before="91"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0.3544</w:t>
            </w:r>
          </w:p>
        </w:tc>
        <w:tc>
          <w:tcPr>
            <w:tcW w:w="780" w:type="dxa"/>
            <w:vAlign w:val="top"/>
          </w:tcPr>
          <w:p w14:paraId="421E318B">
            <w:pPr>
              <w:spacing w:before="91"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0.0412</w:t>
            </w:r>
          </w:p>
        </w:tc>
        <w:tc>
          <w:tcPr>
            <w:tcW w:w="884" w:type="dxa"/>
            <w:vAlign w:val="top"/>
          </w:tcPr>
          <w:p w14:paraId="059640AA">
            <w:pPr>
              <w:spacing w:before="91"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0.3521</w:t>
            </w:r>
          </w:p>
        </w:tc>
        <w:tc>
          <w:tcPr>
            <w:tcW w:w="720" w:type="dxa"/>
            <w:vAlign w:val="top"/>
          </w:tcPr>
          <w:p w14:paraId="641A6E6B">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0.0411</w:t>
            </w:r>
          </w:p>
        </w:tc>
        <w:tc>
          <w:tcPr>
            <w:tcW w:w="884" w:type="dxa"/>
            <w:vAlign w:val="top"/>
          </w:tcPr>
          <w:p w14:paraId="4B61F578">
            <w:pPr>
              <w:spacing w:before="93"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0.3582</w:t>
            </w:r>
          </w:p>
        </w:tc>
        <w:tc>
          <w:tcPr>
            <w:tcW w:w="791" w:type="dxa"/>
            <w:vAlign w:val="top"/>
          </w:tcPr>
          <w:p w14:paraId="23E47945">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0.0408</w:t>
            </w:r>
          </w:p>
        </w:tc>
        <w:tc>
          <w:tcPr>
            <w:tcW w:w="913" w:type="dxa"/>
            <w:vAlign w:val="top"/>
          </w:tcPr>
          <w:p w14:paraId="77434E77">
            <w:pPr>
              <w:spacing w:before="93" w:line="195" w:lineRule="auto"/>
              <w:ind w:left="1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0.3622</w:t>
            </w:r>
          </w:p>
        </w:tc>
      </w:tr>
      <w:tr w14:paraId="4A12C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242" w:type="dxa"/>
            <w:vAlign w:val="top"/>
          </w:tcPr>
          <w:p w14:paraId="79DFEE5B">
            <w:pPr>
              <w:pStyle w:val="6"/>
              <w:spacing w:before="54" w:line="228" w:lineRule="auto"/>
              <w:ind w:left="48"/>
            </w:pPr>
            <w:r>
              <w:rPr>
                <w:spacing w:val="3"/>
              </w:rPr>
              <w:t>距原点</w:t>
            </w:r>
            <w:r>
              <w:rPr>
                <w:spacing w:val="-34"/>
              </w:rPr>
              <w:t xml:space="preserve"> </w:t>
            </w:r>
            <w:r>
              <w:rPr>
                <w:rFonts w:ascii="Times New Roman" w:hAnsi="Times New Roman" w:eastAsia="Times New Roman" w:cs="Times New Roman"/>
                <w:spacing w:val="3"/>
              </w:rPr>
              <w:t>50</w:t>
            </w:r>
            <w:r>
              <w:rPr>
                <w:rFonts w:ascii="Times New Roman" w:hAnsi="Times New Roman" w:eastAsia="Times New Roman" w:cs="Times New Roman"/>
                <w:spacing w:val="12"/>
              </w:rPr>
              <w:t xml:space="preserve"> </w:t>
            </w:r>
            <w:r>
              <w:rPr>
                <w:spacing w:val="3"/>
              </w:rPr>
              <w:t>米</w:t>
            </w:r>
          </w:p>
        </w:tc>
        <w:tc>
          <w:tcPr>
            <w:tcW w:w="1012" w:type="dxa"/>
            <w:vAlign w:val="top"/>
          </w:tcPr>
          <w:p w14:paraId="5B046173">
            <w:pPr>
              <w:spacing w:before="93" w:line="195" w:lineRule="auto"/>
              <w:ind w:left="27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54.35</w:t>
            </w:r>
          </w:p>
        </w:tc>
        <w:tc>
          <w:tcPr>
            <w:tcW w:w="780" w:type="dxa"/>
            <w:vAlign w:val="top"/>
          </w:tcPr>
          <w:p w14:paraId="3DE57806">
            <w:pPr>
              <w:spacing w:before="93" w:line="195" w:lineRule="auto"/>
              <w:ind w:left="1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0.0406</w:t>
            </w:r>
          </w:p>
        </w:tc>
        <w:tc>
          <w:tcPr>
            <w:tcW w:w="899" w:type="dxa"/>
            <w:vAlign w:val="top"/>
          </w:tcPr>
          <w:p w14:paraId="6A2B5E71">
            <w:pPr>
              <w:spacing w:before="93" w:line="195" w:lineRule="auto"/>
              <w:ind w:left="16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0.3417</w:t>
            </w:r>
          </w:p>
        </w:tc>
        <w:tc>
          <w:tcPr>
            <w:tcW w:w="780" w:type="dxa"/>
            <w:vAlign w:val="top"/>
          </w:tcPr>
          <w:p w14:paraId="0BE3F7DF">
            <w:pPr>
              <w:spacing w:before="93" w:line="195" w:lineRule="auto"/>
              <w:ind w:left="1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0.0399</w:t>
            </w:r>
          </w:p>
        </w:tc>
        <w:tc>
          <w:tcPr>
            <w:tcW w:w="884" w:type="dxa"/>
            <w:vAlign w:val="top"/>
          </w:tcPr>
          <w:p w14:paraId="67246B5B">
            <w:pPr>
              <w:spacing w:before="93" w:line="195" w:lineRule="auto"/>
              <w:ind w:left="1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0.3396</w:t>
            </w:r>
          </w:p>
        </w:tc>
        <w:tc>
          <w:tcPr>
            <w:tcW w:w="720" w:type="dxa"/>
            <w:vAlign w:val="top"/>
          </w:tcPr>
          <w:p w14:paraId="48938B1D">
            <w:pPr>
              <w:spacing w:before="93" w:line="195" w:lineRule="auto"/>
              <w:ind w:left="7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0.0398</w:t>
            </w:r>
          </w:p>
        </w:tc>
        <w:tc>
          <w:tcPr>
            <w:tcW w:w="884" w:type="dxa"/>
            <w:vAlign w:val="top"/>
          </w:tcPr>
          <w:p w14:paraId="7454AC68">
            <w:pPr>
              <w:spacing w:before="93" w:line="195" w:lineRule="auto"/>
              <w:ind w:left="1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0.3453</w:t>
            </w:r>
          </w:p>
        </w:tc>
        <w:tc>
          <w:tcPr>
            <w:tcW w:w="791" w:type="dxa"/>
            <w:vAlign w:val="top"/>
          </w:tcPr>
          <w:p w14:paraId="52DB7CD7">
            <w:pPr>
              <w:spacing w:before="93" w:line="195" w:lineRule="auto"/>
              <w:ind w:left="112"/>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0.0395</w:t>
            </w:r>
          </w:p>
        </w:tc>
        <w:tc>
          <w:tcPr>
            <w:tcW w:w="913" w:type="dxa"/>
            <w:vAlign w:val="top"/>
          </w:tcPr>
          <w:p w14:paraId="2D62C020">
            <w:pPr>
              <w:spacing w:before="93" w:line="195" w:lineRule="auto"/>
              <w:ind w:left="22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0.349</w:t>
            </w:r>
          </w:p>
        </w:tc>
      </w:tr>
      <w:tr w14:paraId="1CC13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2254" w:type="dxa"/>
            <w:gridSpan w:val="2"/>
            <w:vAlign w:val="top"/>
          </w:tcPr>
          <w:p w14:paraId="763EF283">
            <w:pPr>
              <w:pStyle w:val="6"/>
              <w:spacing w:before="154" w:line="228" w:lineRule="auto"/>
              <w:ind w:left="819"/>
            </w:pPr>
            <w:r>
              <w:rPr>
                <w:b/>
                <w:bCs/>
                <w:spacing w:val="4"/>
              </w:rPr>
              <w:t>最大值</w:t>
            </w:r>
          </w:p>
        </w:tc>
        <w:tc>
          <w:tcPr>
            <w:tcW w:w="780" w:type="dxa"/>
            <w:vAlign w:val="top"/>
          </w:tcPr>
          <w:p w14:paraId="2EE0A051">
            <w:pPr>
              <w:spacing w:before="56" w:line="195" w:lineRule="auto"/>
              <w:ind w:left="103"/>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2.3257</w:t>
            </w:r>
          </w:p>
          <w:p w14:paraId="3D9A7759">
            <w:pPr>
              <w:pStyle w:val="6"/>
              <w:spacing w:before="34" w:line="217" w:lineRule="auto"/>
              <w:ind w:left="106"/>
            </w:pPr>
            <w:r>
              <w:rPr>
                <w:b/>
                <w:bCs/>
                <w:spacing w:val="-2"/>
              </w:rPr>
              <w:t>（</w:t>
            </w:r>
            <w:r>
              <w:rPr>
                <w:rFonts w:ascii="Times New Roman" w:hAnsi="Times New Roman" w:eastAsia="Times New Roman" w:cs="Times New Roman"/>
                <w:b/>
                <w:bCs/>
                <w:spacing w:val="-2"/>
              </w:rPr>
              <w:t>-4</w:t>
            </w:r>
            <w:r>
              <w:rPr>
                <w:b/>
                <w:bCs/>
                <w:spacing w:val="-2"/>
              </w:rPr>
              <w:t>）</w:t>
            </w:r>
          </w:p>
        </w:tc>
        <w:tc>
          <w:tcPr>
            <w:tcW w:w="899" w:type="dxa"/>
            <w:vAlign w:val="top"/>
          </w:tcPr>
          <w:p w14:paraId="48A9D5D2">
            <w:pPr>
              <w:spacing w:before="56" w:line="195" w:lineRule="auto"/>
              <w:ind w:left="119"/>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17.8995</w:t>
            </w:r>
          </w:p>
          <w:p w14:paraId="4DA4ED92">
            <w:pPr>
              <w:pStyle w:val="6"/>
              <w:spacing w:before="34" w:line="217" w:lineRule="auto"/>
              <w:ind w:left="166"/>
            </w:pPr>
            <w:r>
              <w:rPr>
                <w:b/>
                <w:bCs/>
                <w:spacing w:val="-2"/>
              </w:rPr>
              <w:t>（</w:t>
            </w:r>
            <w:r>
              <w:rPr>
                <w:rFonts w:ascii="Times New Roman" w:hAnsi="Times New Roman" w:eastAsia="Times New Roman" w:cs="Times New Roman"/>
                <w:b/>
                <w:bCs/>
                <w:spacing w:val="-2"/>
              </w:rPr>
              <w:t>-4</w:t>
            </w:r>
            <w:r>
              <w:rPr>
                <w:b/>
                <w:bCs/>
                <w:spacing w:val="-2"/>
              </w:rPr>
              <w:t>）</w:t>
            </w:r>
          </w:p>
        </w:tc>
        <w:tc>
          <w:tcPr>
            <w:tcW w:w="780" w:type="dxa"/>
            <w:vAlign w:val="top"/>
          </w:tcPr>
          <w:p w14:paraId="645B4AE4">
            <w:pPr>
              <w:spacing w:before="56" w:line="195" w:lineRule="auto"/>
              <w:ind w:left="112"/>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1.8003</w:t>
            </w:r>
          </w:p>
          <w:p w14:paraId="36E4F68B">
            <w:pPr>
              <w:pStyle w:val="6"/>
              <w:spacing w:before="34" w:line="217" w:lineRule="auto"/>
              <w:ind w:left="107"/>
            </w:pPr>
            <w:r>
              <w:rPr>
                <w:b/>
                <w:bCs/>
                <w:spacing w:val="-2"/>
              </w:rPr>
              <w:t>（</w:t>
            </w:r>
            <w:r>
              <w:rPr>
                <w:rFonts w:ascii="Times New Roman" w:hAnsi="Times New Roman" w:eastAsia="Times New Roman" w:cs="Times New Roman"/>
                <w:b/>
                <w:bCs/>
                <w:spacing w:val="-2"/>
              </w:rPr>
              <w:t>-4</w:t>
            </w:r>
            <w:r>
              <w:rPr>
                <w:b/>
                <w:bCs/>
                <w:spacing w:val="-2"/>
              </w:rPr>
              <w:t>）</w:t>
            </w:r>
          </w:p>
        </w:tc>
        <w:tc>
          <w:tcPr>
            <w:tcW w:w="884" w:type="dxa"/>
            <w:vAlign w:val="top"/>
          </w:tcPr>
          <w:p w14:paraId="39FB3557">
            <w:pPr>
              <w:spacing w:before="56" w:line="195" w:lineRule="auto"/>
              <w:ind w:left="112"/>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13.5182</w:t>
            </w:r>
          </w:p>
          <w:p w14:paraId="51B440EF">
            <w:pPr>
              <w:pStyle w:val="6"/>
              <w:spacing w:before="34" w:line="217" w:lineRule="auto"/>
              <w:ind w:left="160"/>
            </w:pPr>
            <w:r>
              <w:rPr>
                <w:b/>
                <w:bCs/>
                <w:spacing w:val="-2"/>
              </w:rPr>
              <w:t>（</w:t>
            </w:r>
            <w:r>
              <w:rPr>
                <w:rFonts w:ascii="Times New Roman" w:hAnsi="Times New Roman" w:eastAsia="Times New Roman" w:cs="Times New Roman"/>
                <w:b/>
                <w:bCs/>
                <w:spacing w:val="-2"/>
              </w:rPr>
              <w:t>-4</w:t>
            </w:r>
            <w:r>
              <w:rPr>
                <w:b/>
                <w:bCs/>
                <w:spacing w:val="-2"/>
              </w:rPr>
              <w:t>）</w:t>
            </w:r>
          </w:p>
        </w:tc>
        <w:tc>
          <w:tcPr>
            <w:tcW w:w="720" w:type="dxa"/>
            <w:vAlign w:val="top"/>
          </w:tcPr>
          <w:p w14:paraId="519DF60C">
            <w:pPr>
              <w:spacing w:before="56" w:line="195" w:lineRule="auto"/>
              <w:ind w:left="72"/>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3.6543</w:t>
            </w:r>
          </w:p>
          <w:p w14:paraId="03F2DA6E">
            <w:pPr>
              <w:pStyle w:val="6"/>
              <w:spacing w:before="34" w:line="217" w:lineRule="auto"/>
              <w:ind w:left="78"/>
            </w:pPr>
            <w:r>
              <w:rPr>
                <w:b/>
                <w:bCs/>
                <w:spacing w:val="-2"/>
              </w:rPr>
              <w:t>（</w:t>
            </w:r>
            <w:r>
              <w:rPr>
                <w:rFonts w:ascii="Times New Roman" w:hAnsi="Times New Roman" w:eastAsia="Times New Roman" w:cs="Times New Roman"/>
                <w:b/>
                <w:bCs/>
                <w:spacing w:val="-2"/>
              </w:rPr>
              <w:t>-4</w:t>
            </w:r>
            <w:r>
              <w:rPr>
                <w:b/>
                <w:bCs/>
                <w:spacing w:val="-2"/>
              </w:rPr>
              <w:t>）</w:t>
            </w:r>
          </w:p>
        </w:tc>
        <w:tc>
          <w:tcPr>
            <w:tcW w:w="884" w:type="dxa"/>
            <w:vAlign w:val="top"/>
          </w:tcPr>
          <w:p w14:paraId="4934DF20">
            <w:pPr>
              <w:spacing w:before="56" w:line="195" w:lineRule="auto"/>
              <w:ind w:left="104"/>
              <w:rPr>
                <w:rFonts w:ascii="Times New Roman" w:hAnsi="Times New Roman" w:eastAsia="Times New Roman" w:cs="Times New Roman"/>
                <w:sz w:val="20"/>
                <w:szCs w:val="20"/>
              </w:rPr>
            </w:pPr>
            <w:r>
              <w:rPr>
                <w:rFonts w:ascii="Times New Roman" w:hAnsi="Times New Roman" w:eastAsia="Times New Roman" w:cs="Times New Roman"/>
                <w:b/>
                <w:bCs/>
                <w:spacing w:val="4"/>
                <w:sz w:val="20"/>
                <w:szCs w:val="20"/>
              </w:rPr>
              <w:t>38.8305</w:t>
            </w:r>
          </w:p>
          <w:p w14:paraId="58582110">
            <w:pPr>
              <w:pStyle w:val="6"/>
              <w:spacing w:before="34" w:line="217" w:lineRule="auto"/>
              <w:ind w:left="159"/>
            </w:pPr>
            <w:r>
              <w:rPr>
                <w:b/>
                <w:bCs/>
                <w:spacing w:val="-1"/>
              </w:rPr>
              <w:t>（</w:t>
            </w:r>
            <w:r>
              <w:rPr>
                <w:rFonts w:ascii="Times New Roman" w:hAnsi="Times New Roman" w:eastAsia="Times New Roman" w:cs="Times New Roman"/>
                <w:b/>
                <w:bCs/>
                <w:spacing w:val="-1"/>
              </w:rPr>
              <w:t>-4</w:t>
            </w:r>
            <w:r>
              <w:rPr>
                <w:b/>
                <w:bCs/>
                <w:spacing w:val="-1"/>
              </w:rPr>
              <w:t>）</w:t>
            </w:r>
          </w:p>
        </w:tc>
        <w:tc>
          <w:tcPr>
            <w:tcW w:w="791" w:type="dxa"/>
            <w:vAlign w:val="top"/>
          </w:tcPr>
          <w:p w14:paraId="6132B156">
            <w:pPr>
              <w:spacing w:before="191" w:line="195" w:lineRule="auto"/>
              <w:ind w:left="366"/>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w:t>
            </w:r>
          </w:p>
        </w:tc>
        <w:tc>
          <w:tcPr>
            <w:tcW w:w="913" w:type="dxa"/>
            <w:vAlign w:val="top"/>
          </w:tcPr>
          <w:p w14:paraId="1092EEF6">
            <w:pPr>
              <w:spacing w:before="191" w:line="195" w:lineRule="auto"/>
              <w:ind w:left="425"/>
              <w:rPr>
                <w:rFonts w:ascii="Times New Roman" w:hAnsi="Times New Roman" w:eastAsia="Times New Roman" w:cs="Times New Roman"/>
                <w:sz w:val="20"/>
                <w:szCs w:val="20"/>
              </w:rPr>
            </w:pPr>
            <w:r>
              <w:rPr>
                <w:rFonts w:ascii="Times New Roman" w:hAnsi="Times New Roman" w:eastAsia="Times New Roman" w:cs="Times New Roman"/>
                <w:b/>
                <w:bCs/>
                <w:spacing w:val="2"/>
                <w:sz w:val="20"/>
                <w:szCs w:val="20"/>
              </w:rPr>
              <w:t>/</w:t>
            </w:r>
          </w:p>
        </w:tc>
      </w:tr>
    </w:tbl>
    <w:p w14:paraId="2ACD24AB">
      <w:pPr>
        <w:rPr>
          <w:rFonts w:ascii="Arial"/>
          <w:sz w:val="21"/>
        </w:rPr>
      </w:pPr>
    </w:p>
    <w:p w14:paraId="6FB61863">
      <w:pPr>
        <w:rPr>
          <w:rFonts w:ascii="Arial" w:hAnsi="Arial" w:eastAsia="Arial" w:cs="Arial"/>
          <w:sz w:val="21"/>
          <w:szCs w:val="21"/>
        </w:rPr>
        <w:sectPr>
          <w:footerReference r:id="rId195" w:type="default"/>
          <w:pgSz w:w="11906" w:h="16839"/>
          <w:pgMar w:top="400" w:right="1498" w:bottom="1147" w:left="1497" w:header="0" w:footer="960" w:gutter="0"/>
          <w:cols w:space="720" w:num="1"/>
        </w:sectPr>
      </w:pPr>
    </w:p>
    <w:p w14:paraId="3E7BEBDA">
      <w:pPr>
        <w:spacing w:line="288" w:lineRule="auto"/>
        <w:rPr>
          <w:rFonts w:ascii="Arial"/>
          <w:sz w:val="21"/>
        </w:rPr>
      </w:pPr>
    </w:p>
    <w:p w14:paraId="4FE6B58B">
      <w:pPr>
        <w:spacing w:line="288" w:lineRule="auto"/>
        <w:rPr>
          <w:rFonts w:ascii="Arial"/>
          <w:sz w:val="21"/>
        </w:rPr>
      </w:pPr>
    </w:p>
    <w:p w14:paraId="32A4AA22">
      <w:pPr>
        <w:spacing w:line="288" w:lineRule="auto"/>
        <w:rPr>
          <w:rFonts w:ascii="Arial"/>
          <w:sz w:val="21"/>
        </w:rPr>
      </w:pPr>
    </w:p>
    <w:p w14:paraId="66F44B95">
      <w:pPr>
        <w:spacing w:line="288" w:lineRule="auto"/>
        <w:rPr>
          <w:rFonts w:ascii="Arial"/>
          <w:sz w:val="21"/>
        </w:rPr>
      </w:pPr>
    </w:p>
    <w:p w14:paraId="2F9E1516">
      <w:pPr>
        <w:spacing w:line="5064" w:lineRule="exact"/>
        <w:ind w:firstLine="16"/>
      </w:pPr>
      <w:r>
        <w:rPr>
          <w:position w:val="-101"/>
        </w:rPr>
        <w:drawing>
          <wp:inline distT="0" distB="0" distL="0" distR="0">
            <wp:extent cx="5271135" cy="3215640"/>
            <wp:effectExtent l="0" t="0" r="0" b="0"/>
            <wp:docPr id="230" name="IM 230"/>
            <wp:cNvGraphicFramePr/>
            <a:graphic xmlns:a="http://schemas.openxmlformats.org/drawingml/2006/main">
              <a:graphicData uri="http://schemas.openxmlformats.org/drawingml/2006/picture">
                <pic:pic xmlns:pic="http://schemas.openxmlformats.org/drawingml/2006/picture">
                  <pic:nvPicPr>
                    <pic:cNvPr id="230" name="IM 230"/>
                    <pic:cNvPicPr/>
                  </pic:nvPicPr>
                  <pic:blipFill>
                    <a:blip r:embed="rId314"/>
                    <a:stretch>
                      <a:fillRect/>
                    </a:stretch>
                  </pic:blipFill>
                  <pic:spPr>
                    <a:xfrm>
                      <a:off x="0" y="0"/>
                      <a:ext cx="5271515" cy="3215640"/>
                    </a:xfrm>
                    <a:prstGeom prst="rect">
                      <a:avLst/>
                    </a:prstGeom>
                  </pic:spPr>
                </pic:pic>
              </a:graphicData>
            </a:graphic>
          </wp:inline>
        </w:drawing>
      </w:r>
    </w:p>
    <w:p w14:paraId="591EA675">
      <w:pPr>
        <w:pStyle w:val="2"/>
        <w:spacing w:before="171" w:line="228" w:lineRule="auto"/>
        <w:ind w:left="69"/>
        <w:rPr>
          <w:sz w:val="20"/>
          <w:szCs w:val="20"/>
        </w:rPr>
      </w:pPr>
      <w:r>
        <w:rPr>
          <w:b/>
          <w:bCs/>
          <w:spacing w:val="6"/>
          <w:sz w:val="20"/>
          <w:szCs w:val="20"/>
        </w:rPr>
        <w:t>图</w:t>
      </w:r>
      <w:r>
        <w:rPr>
          <w:spacing w:val="-32"/>
          <w:sz w:val="20"/>
          <w:szCs w:val="20"/>
        </w:rPr>
        <w:t xml:space="preserve"> </w:t>
      </w:r>
      <w:r>
        <w:rPr>
          <w:rFonts w:ascii="Times New Roman" w:hAnsi="Times New Roman" w:eastAsia="Times New Roman" w:cs="Times New Roman"/>
          <w:b/>
          <w:bCs/>
          <w:spacing w:val="6"/>
          <w:sz w:val="20"/>
          <w:szCs w:val="20"/>
        </w:rPr>
        <w:t xml:space="preserve">5-12      </w:t>
      </w:r>
      <w:r>
        <w:rPr>
          <w:b/>
          <w:bCs/>
          <w:spacing w:val="6"/>
          <w:sz w:val="20"/>
          <w:szCs w:val="20"/>
        </w:rPr>
        <w:t>双回线路（单边挂线）最不利塔型工频电场强度变化曲线（导线对地高度</w:t>
      </w:r>
      <w:r>
        <w:rPr>
          <w:spacing w:val="-37"/>
          <w:sz w:val="20"/>
          <w:szCs w:val="20"/>
        </w:rPr>
        <w:t xml:space="preserve"> </w:t>
      </w:r>
      <w:r>
        <w:rPr>
          <w:rFonts w:ascii="Times New Roman" w:hAnsi="Times New Roman" w:eastAsia="Times New Roman" w:cs="Times New Roman"/>
          <w:b/>
          <w:bCs/>
          <w:spacing w:val="6"/>
          <w:sz w:val="20"/>
          <w:szCs w:val="20"/>
        </w:rPr>
        <w:t>6m</w:t>
      </w:r>
      <w:r>
        <w:rPr>
          <w:b/>
          <w:bCs/>
          <w:spacing w:val="6"/>
          <w:sz w:val="20"/>
          <w:szCs w:val="20"/>
        </w:rPr>
        <w:t>）</w:t>
      </w:r>
    </w:p>
    <w:p w14:paraId="71E5CB1C">
      <w:pPr>
        <w:spacing w:line="257" w:lineRule="auto"/>
        <w:rPr>
          <w:rFonts w:ascii="Arial"/>
          <w:sz w:val="21"/>
        </w:rPr>
      </w:pPr>
    </w:p>
    <w:p w14:paraId="4EC5EFAB">
      <w:pPr>
        <w:spacing w:line="257" w:lineRule="auto"/>
        <w:rPr>
          <w:rFonts w:ascii="Arial"/>
          <w:sz w:val="21"/>
        </w:rPr>
      </w:pPr>
    </w:p>
    <w:p w14:paraId="0DE6D459">
      <w:pPr>
        <w:spacing w:line="257" w:lineRule="auto"/>
        <w:rPr>
          <w:rFonts w:ascii="Arial"/>
          <w:sz w:val="21"/>
        </w:rPr>
      </w:pPr>
    </w:p>
    <w:p w14:paraId="2BF83400">
      <w:pPr>
        <w:spacing w:line="4716" w:lineRule="exact"/>
        <w:ind w:firstLine="18"/>
      </w:pPr>
      <w:r>
        <w:rPr>
          <w:position w:val="-94"/>
        </w:rPr>
        <w:drawing>
          <wp:inline distT="0" distB="0" distL="0" distR="0">
            <wp:extent cx="5269865" cy="2994025"/>
            <wp:effectExtent l="0" t="0" r="0" b="0"/>
            <wp:docPr id="232" name="IM 232"/>
            <wp:cNvGraphicFramePr/>
            <a:graphic xmlns:a="http://schemas.openxmlformats.org/drawingml/2006/main">
              <a:graphicData uri="http://schemas.openxmlformats.org/drawingml/2006/picture">
                <pic:pic xmlns:pic="http://schemas.openxmlformats.org/drawingml/2006/picture">
                  <pic:nvPicPr>
                    <pic:cNvPr id="232" name="IM 232"/>
                    <pic:cNvPicPr/>
                  </pic:nvPicPr>
                  <pic:blipFill>
                    <a:blip r:embed="rId315"/>
                    <a:stretch>
                      <a:fillRect/>
                    </a:stretch>
                  </pic:blipFill>
                  <pic:spPr>
                    <a:xfrm>
                      <a:off x="0" y="0"/>
                      <a:ext cx="5269991" cy="2994659"/>
                    </a:xfrm>
                    <a:prstGeom prst="rect">
                      <a:avLst/>
                    </a:prstGeom>
                  </pic:spPr>
                </pic:pic>
              </a:graphicData>
            </a:graphic>
          </wp:inline>
        </w:drawing>
      </w:r>
    </w:p>
    <w:p w14:paraId="1C0A65D7">
      <w:pPr>
        <w:pStyle w:val="2"/>
        <w:spacing w:before="265" w:line="228" w:lineRule="auto"/>
        <w:jc w:val="right"/>
        <w:rPr>
          <w:sz w:val="20"/>
          <w:szCs w:val="20"/>
        </w:rPr>
      </w:pPr>
      <w:r>
        <w:rPr>
          <w:b/>
          <w:bCs/>
          <w:spacing w:val="5"/>
          <w:sz w:val="20"/>
          <w:szCs w:val="20"/>
        </w:rPr>
        <w:t>图</w:t>
      </w:r>
      <w:r>
        <w:rPr>
          <w:spacing w:val="-38"/>
          <w:sz w:val="20"/>
          <w:szCs w:val="20"/>
        </w:rPr>
        <w:t xml:space="preserve"> </w:t>
      </w:r>
      <w:r>
        <w:rPr>
          <w:rFonts w:ascii="Times New Roman" w:hAnsi="Times New Roman" w:eastAsia="Times New Roman" w:cs="Times New Roman"/>
          <w:b/>
          <w:bCs/>
          <w:spacing w:val="5"/>
          <w:sz w:val="20"/>
          <w:szCs w:val="20"/>
        </w:rPr>
        <w:t xml:space="preserve">5-13      </w:t>
      </w:r>
      <w:r>
        <w:rPr>
          <w:b/>
          <w:bCs/>
          <w:spacing w:val="5"/>
          <w:sz w:val="20"/>
          <w:szCs w:val="20"/>
        </w:rPr>
        <w:t>双回线路（单边挂线）最不利塔型工频磁感应强度变化曲线（导线对地</w:t>
      </w:r>
      <w:r>
        <w:rPr>
          <w:b/>
          <w:bCs/>
          <w:spacing w:val="4"/>
          <w:sz w:val="20"/>
          <w:szCs w:val="20"/>
        </w:rPr>
        <w:t>高度</w:t>
      </w:r>
      <w:r>
        <w:rPr>
          <w:spacing w:val="-37"/>
          <w:sz w:val="20"/>
          <w:szCs w:val="20"/>
        </w:rPr>
        <w:t xml:space="preserve"> </w:t>
      </w:r>
      <w:r>
        <w:rPr>
          <w:rFonts w:ascii="Times New Roman" w:hAnsi="Times New Roman" w:eastAsia="Times New Roman" w:cs="Times New Roman"/>
          <w:b/>
          <w:bCs/>
          <w:spacing w:val="4"/>
          <w:sz w:val="20"/>
          <w:szCs w:val="20"/>
        </w:rPr>
        <w:t>6m</w:t>
      </w:r>
      <w:r>
        <w:rPr>
          <w:b/>
          <w:bCs/>
          <w:spacing w:val="4"/>
          <w:sz w:val="20"/>
          <w:szCs w:val="20"/>
        </w:rPr>
        <w:t>）</w:t>
      </w:r>
    </w:p>
    <w:p w14:paraId="68829592">
      <w:pPr>
        <w:spacing w:line="228" w:lineRule="auto"/>
        <w:rPr>
          <w:sz w:val="20"/>
          <w:szCs w:val="20"/>
        </w:rPr>
        <w:sectPr>
          <w:footerReference r:id="rId196" w:type="default"/>
          <w:pgSz w:w="11906" w:h="16839"/>
          <w:pgMar w:top="400" w:right="1714" w:bottom="1147" w:left="1785" w:header="0" w:footer="960" w:gutter="0"/>
          <w:cols w:space="720" w:num="1"/>
        </w:sectPr>
      </w:pPr>
    </w:p>
    <w:p w14:paraId="504E00D8">
      <w:pPr>
        <w:spacing w:line="288" w:lineRule="auto"/>
        <w:rPr>
          <w:rFonts w:ascii="Arial"/>
          <w:sz w:val="21"/>
        </w:rPr>
      </w:pPr>
    </w:p>
    <w:p w14:paraId="475A527A">
      <w:pPr>
        <w:spacing w:line="288" w:lineRule="auto"/>
        <w:rPr>
          <w:rFonts w:ascii="Arial"/>
          <w:sz w:val="21"/>
        </w:rPr>
      </w:pPr>
    </w:p>
    <w:p w14:paraId="048E4A26">
      <w:pPr>
        <w:spacing w:line="288" w:lineRule="auto"/>
        <w:rPr>
          <w:rFonts w:ascii="Arial"/>
          <w:sz w:val="21"/>
        </w:rPr>
      </w:pPr>
    </w:p>
    <w:p w14:paraId="769198A2">
      <w:pPr>
        <w:spacing w:line="288" w:lineRule="auto"/>
        <w:rPr>
          <w:rFonts w:ascii="Arial"/>
          <w:sz w:val="21"/>
        </w:rPr>
      </w:pPr>
    </w:p>
    <w:p w14:paraId="565F8A5F">
      <w:pPr>
        <w:spacing w:line="5064" w:lineRule="exact"/>
        <w:ind w:firstLine="14"/>
      </w:pPr>
      <w:r>
        <w:rPr>
          <w:position w:val="-101"/>
        </w:rPr>
        <w:drawing>
          <wp:inline distT="0" distB="0" distL="0" distR="0">
            <wp:extent cx="5271135" cy="3215640"/>
            <wp:effectExtent l="0" t="0" r="0" b="0"/>
            <wp:docPr id="234" name="IM 234"/>
            <wp:cNvGraphicFramePr/>
            <a:graphic xmlns:a="http://schemas.openxmlformats.org/drawingml/2006/main">
              <a:graphicData uri="http://schemas.openxmlformats.org/drawingml/2006/picture">
                <pic:pic xmlns:pic="http://schemas.openxmlformats.org/drawingml/2006/picture">
                  <pic:nvPicPr>
                    <pic:cNvPr id="234" name="IM 234"/>
                    <pic:cNvPicPr/>
                  </pic:nvPicPr>
                  <pic:blipFill>
                    <a:blip r:embed="rId316"/>
                    <a:stretch>
                      <a:fillRect/>
                    </a:stretch>
                  </pic:blipFill>
                  <pic:spPr>
                    <a:xfrm>
                      <a:off x="0" y="0"/>
                      <a:ext cx="5271515" cy="3215640"/>
                    </a:xfrm>
                    <a:prstGeom prst="rect">
                      <a:avLst/>
                    </a:prstGeom>
                  </pic:spPr>
                </pic:pic>
              </a:graphicData>
            </a:graphic>
          </wp:inline>
        </w:drawing>
      </w:r>
    </w:p>
    <w:p w14:paraId="1FA04CD7">
      <w:pPr>
        <w:pStyle w:val="2"/>
        <w:spacing w:before="171" w:line="228" w:lineRule="auto"/>
        <w:ind w:left="69"/>
        <w:rPr>
          <w:sz w:val="20"/>
          <w:szCs w:val="20"/>
        </w:rPr>
      </w:pPr>
      <w:r>
        <w:rPr>
          <w:b/>
          <w:bCs/>
          <w:spacing w:val="8"/>
          <w:sz w:val="20"/>
          <w:szCs w:val="20"/>
        </w:rPr>
        <w:t>图</w:t>
      </w:r>
      <w:r>
        <w:rPr>
          <w:spacing w:val="-40"/>
          <w:sz w:val="20"/>
          <w:szCs w:val="20"/>
        </w:rPr>
        <w:t xml:space="preserve"> </w:t>
      </w:r>
      <w:r>
        <w:rPr>
          <w:rFonts w:ascii="Times New Roman" w:hAnsi="Times New Roman" w:eastAsia="Times New Roman" w:cs="Times New Roman"/>
          <w:b/>
          <w:bCs/>
          <w:spacing w:val="8"/>
          <w:sz w:val="20"/>
          <w:szCs w:val="20"/>
        </w:rPr>
        <w:t xml:space="preserve">5-14      </w:t>
      </w:r>
      <w:r>
        <w:rPr>
          <w:b/>
          <w:bCs/>
          <w:spacing w:val="8"/>
          <w:sz w:val="20"/>
          <w:szCs w:val="20"/>
        </w:rPr>
        <w:t>双回线路（单边挂线）最不利塔</w:t>
      </w:r>
      <w:r>
        <w:rPr>
          <w:b/>
          <w:bCs/>
          <w:spacing w:val="7"/>
          <w:sz w:val="20"/>
          <w:szCs w:val="20"/>
        </w:rPr>
        <w:t>型工频电场强度变化曲线（导线对地高度</w:t>
      </w:r>
      <w:r>
        <w:rPr>
          <w:rFonts w:ascii="Times New Roman" w:hAnsi="Times New Roman" w:eastAsia="Times New Roman" w:cs="Times New Roman"/>
          <w:b/>
          <w:bCs/>
          <w:spacing w:val="7"/>
          <w:sz w:val="20"/>
          <w:szCs w:val="20"/>
        </w:rPr>
        <w:t>7m</w:t>
      </w:r>
      <w:r>
        <w:rPr>
          <w:b/>
          <w:bCs/>
          <w:spacing w:val="7"/>
          <w:sz w:val="20"/>
          <w:szCs w:val="20"/>
        </w:rPr>
        <w:t>）</w:t>
      </w:r>
    </w:p>
    <w:p w14:paraId="78487A8A">
      <w:pPr>
        <w:spacing w:line="257" w:lineRule="auto"/>
        <w:rPr>
          <w:rFonts w:ascii="Arial"/>
          <w:sz w:val="21"/>
        </w:rPr>
      </w:pPr>
    </w:p>
    <w:p w14:paraId="3772BBA4">
      <w:pPr>
        <w:spacing w:line="257" w:lineRule="auto"/>
        <w:rPr>
          <w:rFonts w:ascii="Arial"/>
          <w:sz w:val="21"/>
        </w:rPr>
      </w:pPr>
    </w:p>
    <w:p w14:paraId="742964CE">
      <w:pPr>
        <w:spacing w:line="257" w:lineRule="auto"/>
        <w:rPr>
          <w:rFonts w:ascii="Arial"/>
          <w:sz w:val="21"/>
        </w:rPr>
      </w:pPr>
    </w:p>
    <w:p w14:paraId="155D6FED">
      <w:pPr>
        <w:spacing w:line="4716" w:lineRule="exact"/>
        <w:ind w:firstLine="18"/>
      </w:pPr>
      <w:r>
        <w:rPr>
          <w:position w:val="-94"/>
        </w:rPr>
        <w:drawing>
          <wp:inline distT="0" distB="0" distL="0" distR="0">
            <wp:extent cx="5269865" cy="2994025"/>
            <wp:effectExtent l="0" t="0" r="0" b="0"/>
            <wp:docPr id="236" name="IM 236"/>
            <wp:cNvGraphicFramePr/>
            <a:graphic xmlns:a="http://schemas.openxmlformats.org/drawingml/2006/main">
              <a:graphicData uri="http://schemas.openxmlformats.org/drawingml/2006/picture">
                <pic:pic xmlns:pic="http://schemas.openxmlformats.org/drawingml/2006/picture">
                  <pic:nvPicPr>
                    <pic:cNvPr id="236" name="IM 236"/>
                    <pic:cNvPicPr/>
                  </pic:nvPicPr>
                  <pic:blipFill>
                    <a:blip r:embed="rId317"/>
                    <a:stretch>
                      <a:fillRect/>
                    </a:stretch>
                  </pic:blipFill>
                  <pic:spPr>
                    <a:xfrm>
                      <a:off x="0" y="0"/>
                      <a:ext cx="5269991" cy="2994659"/>
                    </a:xfrm>
                    <a:prstGeom prst="rect">
                      <a:avLst/>
                    </a:prstGeom>
                  </pic:spPr>
                </pic:pic>
              </a:graphicData>
            </a:graphic>
          </wp:inline>
        </w:drawing>
      </w:r>
    </w:p>
    <w:p w14:paraId="6795EEE1">
      <w:pPr>
        <w:pStyle w:val="2"/>
        <w:spacing w:before="265" w:line="228" w:lineRule="auto"/>
        <w:jc w:val="right"/>
        <w:rPr>
          <w:sz w:val="20"/>
          <w:szCs w:val="20"/>
        </w:rPr>
      </w:pPr>
      <w:r>
        <w:rPr>
          <w:b/>
          <w:bCs/>
          <w:spacing w:val="6"/>
          <w:sz w:val="20"/>
          <w:szCs w:val="20"/>
        </w:rPr>
        <w:t>图</w:t>
      </w:r>
      <w:r>
        <w:rPr>
          <w:spacing w:val="-27"/>
          <w:sz w:val="20"/>
          <w:szCs w:val="20"/>
        </w:rPr>
        <w:t xml:space="preserve"> </w:t>
      </w:r>
      <w:r>
        <w:rPr>
          <w:rFonts w:ascii="Times New Roman" w:hAnsi="Times New Roman" w:eastAsia="Times New Roman" w:cs="Times New Roman"/>
          <w:b/>
          <w:bCs/>
          <w:spacing w:val="6"/>
          <w:sz w:val="20"/>
          <w:szCs w:val="20"/>
        </w:rPr>
        <w:t xml:space="preserve">5-15      </w:t>
      </w:r>
      <w:r>
        <w:rPr>
          <w:b/>
          <w:bCs/>
          <w:spacing w:val="6"/>
          <w:sz w:val="20"/>
          <w:szCs w:val="20"/>
        </w:rPr>
        <w:t>双回线路（单边挂线）最不利塔型工频磁感应强度变化曲线（导线对地高度</w:t>
      </w:r>
      <w:r>
        <w:rPr>
          <w:rFonts w:ascii="Times New Roman" w:hAnsi="Times New Roman" w:eastAsia="Times New Roman" w:cs="Times New Roman"/>
          <w:b/>
          <w:bCs/>
          <w:spacing w:val="6"/>
          <w:sz w:val="20"/>
          <w:szCs w:val="20"/>
        </w:rPr>
        <w:t>7m</w:t>
      </w:r>
      <w:r>
        <w:rPr>
          <w:b/>
          <w:bCs/>
          <w:spacing w:val="6"/>
          <w:sz w:val="20"/>
          <w:szCs w:val="20"/>
        </w:rPr>
        <w:t>）</w:t>
      </w:r>
    </w:p>
    <w:p w14:paraId="3A38D650">
      <w:pPr>
        <w:pStyle w:val="2"/>
        <w:spacing w:before="205" w:line="359" w:lineRule="auto"/>
        <w:ind w:left="22" w:right="85" w:firstLine="510"/>
        <w:jc w:val="both"/>
        <w:rPr>
          <w:sz w:val="24"/>
          <w:szCs w:val="24"/>
        </w:rPr>
      </w:pPr>
      <w:r>
        <w:rPr>
          <w:spacing w:val="1"/>
          <w:sz w:val="24"/>
          <w:szCs w:val="24"/>
        </w:rPr>
        <w:t>由计算结果可以看出，本项目</w:t>
      </w:r>
      <w:r>
        <w:rPr>
          <w:spacing w:val="-30"/>
          <w:sz w:val="24"/>
          <w:szCs w:val="24"/>
        </w:rPr>
        <w:t xml:space="preserve"> </w:t>
      </w:r>
      <w:r>
        <w:rPr>
          <w:rFonts w:ascii="Times New Roman" w:hAnsi="Times New Roman" w:eastAsia="Times New Roman" w:cs="Times New Roman"/>
          <w:spacing w:val="1"/>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双回垂直排列</w:t>
      </w:r>
      <w:r>
        <w:rPr>
          <w:sz w:val="24"/>
          <w:szCs w:val="24"/>
        </w:rPr>
        <w:t>线路（单边挂线）在采</w:t>
      </w:r>
      <w:r>
        <w:rPr>
          <w:spacing w:val="-4"/>
          <w:sz w:val="24"/>
          <w:szCs w:val="24"/>
        </w:rPr>
        <w:t>用最不利塔型</w:t>
      </w:r>
      <w:r>
        <w:rPr>
          <w:spacing w:val="-15"/>
          <w:sz w:val="24"/>
          <w:szCs w:val="24"/>
        </w:rPr>
        <w:t xml:space="preserve"> </w:t>
      </w:r>
      <w:r>
        <w:rPr>
          <w:rFonts w:ascii="Times New Roman" w:hAnsi="Times New Roman" w:eastAsia="Times New Roman" w:cs="Times New Roman"/>
          <w:spacing w:val="-4"/>
          <w:sz w:val="24"/>
          <w:szCs w:val="24"/>
        </w:rPr>
        <w:t>1C2X1-JD</w:t>
      </w:r>
      <w:r>
        <w:rPr>
          <w:rFonts w:ascii="Times New Roman" w:hAnsi="Times New Roman" w:eastAsia="Times New Roman" w:cs="Times New Roman"/>
          <w:spacing w:val="-34"/>
          <w:sz w:val="24"/>
          <w:szCs w:val="24"/>
        </w:rPr>
        <w:t xml:space="preserve"> </w:t>
      </w:r>
      <w:r>
        <w:rPr>
          <w:spacing w:val="-4"/>
          <w:sz w:val="24"/>
          <w:szCs w:val="24"/>
        </w:rPr>
        <w:t>，导线对地面距离为</w:t>
      </w:r>
      <w:r>
        <w:rPr>
          <w:spacing w:val="-50"/>
          <w:sz w:val="24"/>
          <w:szCs w:val="24"/>
        </w:rPr>
        <w:t xml:space="preserve"> </w:t>
      </w:r>
      <w:r>
        <w:rPr>
          <w:rFonts w:ascii="Times New Roman" w:hAnsi="Times New Roman" w:eastAsia="Times New Roman" w:cs="Times New Roman"/>
          <w:spacing w:val="-4"/>
          <w:sz w:val="24"/>
          <w:szCs w:val="24"/>
        </w:rPr>
        <w:t>6.0m</w:t>
      </w:r>
      <w:r>
        <w:rPr>
          <w:rFonts w:ascii="Times New Roman" w:hAnsi="Times New Roman" w:eastAsia="Times New Roman" w:cs="Times New Roman"/>
          <w:spacing w:val="21"/>
          <w:w w:val="101"/>
          <w:sz w:val="24"/>
          <w:szCs w:val="24"/>
        </w:rPr>
        <w:t xml:space="preserve"> </w:t>
      </w:r>
      <w:r>
        <w:rPr>
          <w:spacing w:val="-4"/>
          <w:sz w:val="24"/>
          <w:szCs w:val="24"/>
        </w:rPr>
        <w:t>时，地面</w:t>
      </w:r>
      <w:r>
        <w:rPr>
          <w:spacing w:val="-32"/>
          <w:sz w:val="24"/>
          <w:szCs w:val="24"/>
        </w:rPr>
        <w:t xml:space="preserve"> </w:t>
      </w:r>
      <w:r>
        <w:rPr>
          <w:rFonts w:ascii="Times New Roman" w:hAnsi="Times New Roman" w:eastAsia="Times New Roman" w:cs="Times New Roman"/>
          <w:spacing w:val="-4"/>
          <w:sz w:val="24"/>
          <w:szCs w:val="24"/>
        </w:rPr>
        <w:t>1.5m</w:t>
      </w:r>
      <w:r>
        <w:rPr>
          <w:rFonts w:ascii="Times New Roman" w:hAnsi="Times New Roman" w:eastAsia="Times New Roman" w:cs="Times New Roman"/>
          <w:spacing w:val="17"/>
          <w:sz w:val="24"/>
          <w:szCs w:val="24"/>
        </w:rPr>
        <w:t xml:space="preserve"> </w:t>
      </w:r>
      <w:r>
        <w:rPr>
          <w:spacing w:val="-4"/>
          <w:sz w:val="24"/>
          <w:szCs w:val="24"/>
        </w:rPr>
        <w:t>高处的工频电</w:t>
      </w:r>
      <w:r>
        <w:rPr>
          <w:spacing w:val="-3"/>
          <w:sz w:val="24"/>
          <w:szCs w:val="24"/>
        </w:rPr>
        <w:t>场强度最大值为</w:t>
      </w:r>
      <w:r>
        <w:rPr>
          <w:spacing w:val="-42"/>
          <w:sz w:val="24"/>
          <w:szCs w:val="24"/>
        </w:rPr>
        <w:t xml:space="preserve"> </w:t>
      </w:r>
      <w:r>
        <w:rPr>
          <w:rFonts w:ascii="Times New Roman" w:hAnsi="Times New Roman" w:eastAsia="Times New Roman" w:cs="Times New Roman"/>
          <w:spacing w:val="-3"/>
          <w:sz w:val="24"/>
          <w:szCs w:val="24"/>
        </w:rPr>
        <w:t>2.3257kV/m</w:t>
      </w:r>
      <w:r>
        <w:rPr>
          <w:spacing w:val="-3"/>
          <w:sz w:val="24"/>
          <w:szCs w:val="24"/>
        </w:rPr>
        <w:t>，工频磁感应强度最大值为</w:t>
      </w:r>
      <w:r>
        <w:rPr>
          <w:spacing w:val="-31"/>
          <w:sz w:val="24"/>
          <w:szCs w:val="24"/>
        </w:rPr>
        <w:t xml:space="preserve"> </w:t>
      </w:r>
      <w:r>
        <w:rPr>
          <w:rFonts w:ascii="Times New Roman" w:hAnsi="Times New Roman" w:eastAsia="Times New Roman" w:cs="Times New Roman"/>
          <w:spacing w:val="-3"/>
          <w:sz w:val="24"/>
          <w:szCs w:val="24"/>
        </w:rPr>
        <w:t>17.8995μT</w:t>
      </w:r>
      <w:r>
        <w:rPr>
          <w:spacing w:val="-3"/>
          <w:sz w:val="24"/>
          <w:szCs w:val="24"/>
        </w:rPr>
        <w:t>，均出现在杆</w:t>
      </w:r>
      <w:r>
        <w:rPr>
          <w:spacing w:val="-1"/>
          <w:sz w:val="24"/>
          <w:szCs w:val="24"/>
        </w:rPr>
        <w:t>塔中央，满足《电磁环境控制限值》（</w:t>
      </w:r>
      <w:r>
        <w:rPr>
          <w:rFonts w:ascii="Times New Roman" w:hAnsi="Times New Roman" w:eastAsia="Times New Roman" w:cs="Times New Roman"/>
          <w:spacing w:val="-1"/>
          <w:sz w:val="24"/>
          <w:szCs w:val="24"/>
        </w:rPr>
        <w:t>GB8702-2014</w:t>
      </w:r>
      <w:r>
        <w:rPr>
          <w:spacing w:val="-1"/>
          <w:sz w:val="24"/>
          <w:szCs w:val="24"/>
        </w:rPr>
        <w:t>）中耕地、园地</w:t>
      </w:r>
      <w:r>
        <w:rPr>
          <w:spacing w:val="-2"/>
          <w:sz w:val="24"/>
          <w:szCs w:val="24"/>
        </w:rPr>
        <w:t>、牧草地、</w:t>
      </w:r>
    </w:p>
    <w:p w14:paraId="2363B194">
      <w:pPr>
        <w:spacing w:line="359" w:lineRule="auto"/>
        <w:rPr>
          <w:sz w:val="24"/>
          <w:szCs w:val="24"/>
        </w:rPr>
        <w:sectPr>
          <w:footerReference r:id="rId197" w:type="default"/>
          <w:pgSz w:w="11906" w:h="16839"/>
          <w:pgMar w:top="400" w:right="1714" w:bottom="1147" w:left="1785" w:header="0" w:footer="960" w:gutter="0"/>
          <w:cols w:space="720" w:num="1"/>
        </w:sectPr>
      </w:pPr>
    </w:p>
    <w:p w14:paraId="59123DC5">
      <w:pPr>
        <w:spacing w:line="267" w:lineRule="auto"/>
        <w:rPr>
          <w:rFonts w:ascii="Arial"/>
          <w:sz w:val="21"/>
        </w:rPr>
      </w:pPr>
    </w:p>
    <w:p w14:paraId="77A1EA8A">
      <w:pPr>
        <w:spacing w:line="267" w:lineRule="auto"/>
        <w:rPr>
          <w:rFonts w:ascii="Arial"/>
          <w:sz w:val="21"/>
        </w:rPr>
      </w:pPr>
    </w:p>
    <w:p w14:paraId="33C8A69A">
      <w:pPr>
        <w:spacing w:line="267" w:lineRule="auto"/>
        <w:rPr>
          <w:rFonts w:ascii="Arial"/>
          <w:sz w:val="21"/>
        </w:rPr>
      </w:pPr>
    </w:p>
    <w:p w14:paraId="71B40418">
      <w:pPr>
        <w:spacing w:line="267" w:lineRule="auto"/>
        <w:rPr>
          <w:rFonts w:ascii="Arial"/>
          <w:sz w:val="21"/>
        </w:rPr>
      </w:pPr>
    </w:p>
    <w:p w14:paraId="10036342">
      <w:pPr>
        <w:pStyle w:val="2"/>
        <w:spacing w:before="78" w:line="358" w:lineRule="auto"/>
        <w:ind w:left="16" w:firstLine="21"/>
        <w:jc w:val="both"/>
        <w:rPr>
          <w:sz w:val="24"/>
          <w:szCs w:val="24"/>
        </w:rPr>
      </w:pPr>
      <w:r>
        <w:rPr>
          <w:spacing w:val="-2"/>
          <w:sz w:val="24"/>
          <w:szCs w:val="24"/>
        </w:rPr>
        <w:t>畜禽饲养地、养殖水面、道路等场所处</w:t>
      </w:r>
      <w:r>
        <w:rPr>
          <w:spacing w:val="-24"/>
          <w:sz w:val="24"/>
          <w:szCs w:val="24"/>
        </w:rPr>
        <w:t xml:space="preserve"> </w:t>
      </w:r>
      <w:r>
        <w:rPr>
          <w:rFonts w:ascii="Times New Roman" w:hAnsi="Times New Roman" w:eastAsia="Times New Roman" w:cs="Times New Roman"/>
          <w:spacing w:val="-2"/>
          <w:sz w:val="24"/>
          <w:szCs w:val="24"/>
        </w:rPr>
        <w:t>10kV/m</w:t>
      </w:r>
      <w:r>
        <w:rPr>
          <w:rFonts w:ascii="Times New Roman" w:hAnsi="Times New Roman" w:eastAsia="Times New Roman" w:cs="Times New Roman"/>
          <w:spacing w:val="-31"/>
          <w:sz w:val="24"/>
          <w:szCs w:val="24"/>
        </w:rPr>
        <w:t xml:space="preserve"> </w:t>
      </w:r>
      <w:r>
        <w:rPr>
          <w:spacing w:val="-2"/>
          <w:sz w:val="24"/>
          <w:szCs w:val="24"/>
        </w:rPr>
        <w:t>、</w:t>
      </w:r>
      <w:r>
        <w:rPr>
          <w:rFonts w:ascii="Times New Roman" w:hAnsi="Times New Roman" w:eastAsia="Times New Roman" w:cs="Times New Roman"/>
          <w:spacing w:val="-2"/>
          <w:sz w:val="24"/>
          <w:szCs w:val="24"/>
        </w:rPr>
        <w:t>100μT</w:t>
      </w:r>
      <w:r>
        <w:rPr>
          <w:rFonts w:ascii="Times New Roman" w:hAnsi="Times New Roman" w:eastAsia="Times New Roman" w:cs="Times New Roman"/>
          <w:spacing w:val="31"/>
          <w:w w:val="101"/>
          <w:sz w:val="24"/>
          <w:szCs w:val="24"/>
        </w:rPr>
        <w:t xml:space="preserve"> </w:t>
      </w:r>
      <w:r>
        <w:rPr>
          <w:spacing w:val="-2"/>
          <w:sz w:val="24"/>
          <w:szCs w:val="24"/>
        </w:rPr>
        <w:t>的限值要求；导线对地面距离为</w:t>
      </w:r>
      <w:r>
        <w:rPr>
          <w:spacing w:val="-49"/>
          <w:sz w:val="24"/>
          <w:szCs w:val="24"/>
        </w:rPr>
        <w:t xml:space="preserve"> </w:t>
      </w:r>
      <w:r>
        <w:rPr>
          <w:rFonts w:ascii="Times New Roman" w:hAnsi="Times New Roman" w:eastAsia="Times New Roman" w:cs="Times New Roman"/>
          <w:spacing w:val="-2"/>
          <w:sz w:val="24"/>
          <w:szCs w:val="24"/>
        </w:rPr>
        <w:t>7.0m</w:t>
      </w:r>
      <w:r>
        <w:rPr>
          <w:rFonts w:ascii="Times New Roman" w:hAnsi="Times New Roman" w:eastAsia="Times New Roman" w:cs="Times New Roman"/>
          <w:spacing w:val="23"/>
          <w:w w:val="101"/>
          <w:sz w:val="24"/>
          <w:szCs w:val="24"/>
        </w:rPr>
        <w:t xml:space="preserve"> </w:t>
      </w:r>
      <w:r>
        <w:rPr>
          <w:spacing w:val="-2"/>
          <w:sz w:val="24"/>
          <w:szCs w:val="24"/>
        </w:rPr>
        <w:t>时，地面</w:t>
      </w:r>
      <w:r>
        <w:rPr>
          <w:spacing w:val="-30"/>
          <w:sz w:val="24"/>
          <w:szCs w:val="24"/>
        </w:rPr>
        <w:t xml:space="preserve"> </w:t>
      </w:r>
      <w:r>
        <w:rPr>
          <w:rFonts w:ascii="Times New Roman" w:hAnsi="Times New Roman" w:eastAsia="Times New Roman" w:cs="Times New Roman"/>
          <w:spacing w:val="-2"/>
          <w:sz w:val="24"/>
          <w:szCs w:val="24"/>
        </w:rPr>
        <w:t>1.5m</w:t>
      </w:r>
      <w:r>
        <w:rPr>
          <w:rFonts w:ascii="Times New Roman" w:hAnsi="Times New Roman" w:eastAsia="Times New Roman" w:cs="Times New Roman"/>
          <w:spacing w:val="19"/>
          <w:sz w:val="24"/>
          <w:szCs w:val="24"/>
        </w:rPr>
        <w:t xml:space="preserve"> </w:t>
      </w:r>
      <w:r>
        <w:rPr>
          <w:spacing w:val="-2"/>
          <w:sz w:val="24"/>
          <w:szCs w:val="24"/>
        </w:rPr>
        <w:t>高处的工频电场强度最大值为</w:t>
      </w:r>
      <w:r>
        <w:rPr>
          <w:spacing w:val="-30"/>
          <w:sz w:val="24"/>
          <w:szCs w:val="24"/>
        </w:rPr>
        <w:t xml:space="preserve"> </w:t>
      </w:r>
      <w:r>
        <w:rPr>
          <w:rFonts w:ascii="Times New Roman" w:hAnsi="Times New Roman" w:eastAsia="Times New Roman" w:cs="Times New Roman"/>
          <w:spacing w:val="-2"/>
          <w:sz w:val="24"/>
          <w:szCs w:val="24"/>
        </w:rPr>
        <w:t>1.8003kV/m</w:t>
      </w:r>
      <w:r>
        <w:rPr>
          <w:rFonts w:ascii="Times New Roman" w:hAnsi="Times New Roman" w:eastAsia="Times New Roman" w:cs="Times New Roman"/>
          <w:spacing w:val="-30"/>
          <w:sz w:val="24"/>
          <w:szCs w:val="24"/>
        </w:rPr>
        <w:t xml:space="preserve"> </w:t>
      </w:r>
      <w:r>
        <w:rPr>
          <w:spacing w:val="-2"/>
          <w:sz w:val="24"/>
          <w:szCs w:val="24"/>
        </w:rPr>
        <w:t>，工频</w:t>
      </w:r>
      <w:r>
        <w:rPr>
          <w:spacing w:val="-3"/>
          <w:sz w:val="24"/>
          <w:szCs w:val="24"/>
        </w:rPr>
        <w:t>磁感应强度最大值为</w:t>
      </w:r>
      <w:r>
        <w:rPr>
          <w:spacing w:val="-31"/>
          <w:sz w:val="24"/>
          <w:szCs w:val="24"/>
        </w:rPr>
        <w:t xml:space="preserve"> </w:t>
      </w:r>
      <w:r>
        <w:rPr>
          <w:rFonts w:ascii="Times New Roman" w:hAnsi="Times New Roman" w:eastAsia="Times New Roman" w:cs="Times New Roman"/>
          <w:spacing w:val="-3"/>
          <w:sz w:val="24"/>
          <w:szCs w:val="24"/>
        </w:rPr>
        <w:t>13.5182μT</w:t>
      </w:r>
      <w:r>
        <w:rPr>
          <w:rFonts w:ascii="Times New Roman" w:hAnsi="Times New Roman" w:eastAsia="Times New Roman" w:cs="Times New Roman"/>
          <w:spacing w:val="-29"/>
          <w:sz w:val="24"/>
          <w:szCs w:val="24"/>
        </w:rPr>
        <w:t xml:space="preserve"> </w:t>
      </w:r>
      <w:r>
        <w:rPr>
          <w:spacing w:val="-3"/>
          <w:sz w:val="24"/>
          <w:szCs w:val="24"/>
        </w:rPr>
        <w:t>，满足《电磁环境控制限值》（</w:t>
      </w:r>
      <w:r>
        <w:rPr>
          <w:rFonts w:ascii="Times New Roman" w:hAnsi="Times New Roman" w:eastAsia="Times New Roman" w:cs="Times New Roman"/>
          <w:spacing w:val="-3"/>
          <w:sz w:val="24"/>
          <w:szCs w:val="24"/>
        </w:rPr>
        <w:t>GB8702-2014</w:t>
      </w:r>
      <w:r>
        <w:rPr>
          <w:spacing w:val="-29"/>
          <w:sz w:val="24"/>
          <w:szCs w:val="24"/>
        </w:rPr>
        <w:t>）：</w:t>
      </w:r>
      <w:r>
        <w:rPr>
          <w:spacing w:val="8"/>
          <w:sz w:val="24"/>
          <w:szCs w:val="24"/>
        </w:rPr>
        <w:t>工频磁感应强度公众曝露控制限值</w:t>
      </w:r>
      <w:r>
        <w:rPr>
          <w:rFonts w:ascii="Times New Roman" w:hAnsi="Times New Roman" w:eastAsia="Times New Roman" w:cs="Times New Roman"/>
          <w:spacing w:val="8"/>
          <w:sz w:val="24"/>
          <w:szCs w:val="24"/>
        </w:rPr>
        <w:t>≤100μT</w:t>
      </w:r>
      <w:r>
        <w:rPr>
          <w:rFonts w:ascii="Times New Roman" w:hAnsi="Times New Roman" w:eastAsia="Times New Roman" w:cs="Times New Roman"/>
          <w:spacing w:val="-13"/>
          <w:sz w:val="24"/>
          <w:szCs w:val="24"/>
        </w:rPr>
        <w:t xml:space="preserve"> </w:t>
      </w:r>
      <w:r>
        <w:rPr>
          <w:spacing w:val="8"/>
          <w:sz w:val="24"/>
          <w:szCs w:val="24"/>
        </w:rPr>
        <w:t>，工频电场强度公众曝露控制限值</w:t>
      </w:r>
      <w:r>
        <w:rPr>
          <w:rFonts w:ascii="Times New Roman" w:hAnsi="Times New Roman" w:eastAsia="Times New Roman" w:cs="Times New Roman"/>
          <w:spacing w:val="-4"/>
          <w:sz w:val="24"/>
          <w:szCs w:val="24"/>
        </w:rPr>
        <w:t>≤4kV/m</w:t>
      </w:r>
      <w:r>
        <w:rPr>
          <w:rFonts w:ascii="Times New Roman" w:hAnsi="Times New Roman" w:eastAsia="Times New Roman" w:cs="Times New Roman"/>
          <w:spacing w:val="34"/>
          <w:sz w:val="24"/>
          <w:szCs w:val="24"/>
        </w:rPr>
        <w:t xml:space="preserve"> </w:t>
      </w:r>
      <w:r>
        <w:rPr>
          <w:spacing w:val="-4"/>
          <w:sz w:val="24"/>
          <w:szCs w:val="24"/>
        </w:rPr>
        <w:t>的要求。</w:t>
      </w:r>
    </w:p>
    <w:p w14:paraId="0493E59E">
      <w:pPr>
        <w:pStyle w:val="2"/>
        <w:spacing w:before="14" w:line="219" w:lineRule="auto"/>
        <w:ind w:left="514"/>
        <w:rPr>
          <w:sz w:val="24"/>
          <w:szCs w:val="24"/>
        </w:rPr>
      </w:pPr>
      <w:r>
        <w:rPr>
          <w:b/>
          <w:bCs/>
          <w:spacing w:val="-3"/>
          <w:sz w:val="24"/>
          <w:szCs w:val="24"/>
        </w:rPr>
        <w:t>（</w:t>
      </w:r>
      <w:r>
        <w:rPr>
          <w:rFonts w:ascii="Times New Roman" w:hAnsi="Times New Roman" w:eastAsia="Times New Roman" w:cs="Times New Roman"/>
          <w:b/>
          <w:bCs/>
          <w:spacing w:val="-3"/>
          <w:sz w:val="24"/>
          <w:szCs w:val="24"/>
        </w:rPr>
        <w:t>2</w:t>
      </w:r>
      <w:r>
        <w:rPr>
          <w:b/>
          <w:bCs/>
          <w:spacing w:val="-3"/>
          <w:sz w:val="24"/>
          <w:szCs w:val="24"/>
        </w:rPr>
        <w:t>）工频电场、工频磁场等值线图</w:t>
      </w:r>
    </w:p>
    <w:p w14:paraId="6992AB0C">
      <w:pPr>
        <w:spacing w:before="88" w:line="4956" w:lineRule="exact"/>
        <w:ind w:firstLine="14"/>
      </w:pPr>
      <w:r>
        <w:rPr>
          <w:position w:val="-99"/>
        </w:rPr>
        <w:drawing>
          <wp:inline distT="0" distB="0" distL="0" distR="0">
            <wp:extent cx="5271135" cy="3147060"/>
            <wp:effectExtent l="0" t="0" r="0" b="0"/>
            <wp:docPr id="238" name="IM 238"/>
            <wp:cNvGraphicFramePr/>
            <a:graphic xmlns:a="http://schemas.openxmlformats.org/drawingml/2006/main">
              <a:graphicData uri="http://schemas.openxmlformats.org/drawingml/2006/picture">
                <pic:pic xmlns:pic="http://schemas.openxmlformats.org/drawingml/2006/picture">
                  <pic:nvPicPr>
                    <pic:cNvPr id="238" name="IM 238"/>
                    <pic:cNvPicPr/>
                  </pic:nvPicPr>
                  <pic:blipFill>
                    <a:blip r:embed="rId318"/>
                    <a:stretch>
                      <a:fillRect/>
                    </a:stretch>
                  </pic:blipFill>
                  <pic:spPr>
                    <a:xfrm>
                      <a:off x="0" y="0"/>
                      <a:ext cx="5271515" cy="3147060"/>
                    </a:xfrm>
                    <a:prstGeom prst="rect">
                      <a:avLst/>
                    </a:prstGeom>
                  </pic:spPr>
                </pic:pic>
              </a:graphicData>
            </a:graphic>
          </wp:inline>
        </w:drawing>
      </w:r>
    </w:p>
    <w:p w14:paraId="26C047EA">
      <w:pPr>
        <w:pStyle w:val="2"/>
        <w:spacing w:before="68" w:line="227" w:lineRule="auto"/>
        <w:ind w:left="42"/>
        <w:rPr>
          <w:sz w:val="20"/>
          <w:szCs w:val="20"/>
        </w:rPr>
      </w:pPr>
      <w:r>
        <w:rPr>
          <w:b/>
          <w:bCs/>
          <w:spacing w:val="6"/>
          <w:sz w:val="20"/>
          <w:szCs w:val="20"/>
        </w:rPr>
        <w:t>图</w:t>
      </w:r>
      <w:r>
        <w:rPr>
          <w:spacing w:val="-38"/>
          <w:sz w:val="20"/>
          <w:szCs w:val="20"/>
        </w:rPr>
        <w:t xml:space="preserve"> </w:t>
      </w:r>
      <w:r>
        <w:rPr>
          <w:rFonts w:ascii="Times New Roman" w:hAnsi="Times New Roman" w:eastAsia="Times New Roman" w:cs="Times New Roman"/>
          <w:b/>
          <w:bCs/>
          <w:spacing w:val="6"/>
          <w:sz w:val="20"/>
          <w:szCs w:val="20"/>
        </w:rPr>
        <w:t xml:space="preserve">5-16      </w:t>
      </w:r>
      <w:r>
        <w:rPr>
          <w:b/>
          <w:bCs/>
          <w:spacing w:val="6"/>
          <w:sz w:val="20"/>
          <w:szCs w:val="20"/>
        </w:rPr>
        <w:t>双回线路（单边挂线）最不利塔型工频电场强度空间分布及等值线</w:t>
      </w:r>
      <w:r>
        <w:rPr>
          <w:b/>
          <w:bCs/>
          <w:spacing w:val="5"/>
          <w:sz w:val="20"/>
          <w:szCs w:val="20"/>
        </w:rPr>
        <w:t>图（导线对地</w:t>
      </w:r>
    </w:p>
    <w:p w14:paraId="2BC1059B">
      <w:pPr>
        <w:pStyle w:val="2"/>
        <w:spacing w:before="65" w:line="228" w:lineRule="auto"/>
        <w:ind w:left="3697"/>
        <w:rPr>
          <w:sz w:val="20"/>
          <w:szCs w:val="20"/>
        </w:rPr>
      </w:pPr>
      <w:r>
        <w:rPr>
          <w:b/>
          <w:bCs/>
          <w:spacing w:val="1"/>
          <w:sz w:val="20"/>
          <w:szCs w:val="20"/>
        </w:rPr>
        <w:t>高度</w:t>
      </w:r>
      <w:r>
        <w:rPr>
          <w:spacing w:val="-38"/>
          <w:sz w:val="20"/>
          <w:szCs w:val="20"/>
        </w:rPr>
        <w:t xml:space="preserve"> </w:t>
      </w:r>
      <w:r>
        <w:rPr>
          <w:rFonts w:ascii="Times New Roman" w:hAnsi="Times New Roman" w:eastAsia="Times New Roman" w:cs="Times New Roman"/>
          <w:b/>
          <w:bCs/>
          <w:spacing w:val="1"/>
          <w:sz w:val="20"/>
          <w:szCs w:val="20"/>
        </w:rPr>
        <w:t>6m</w:t>
      </w:r>
      <w:r>
        <w:rPr>
          <w:b/>
          <w:bCs/>
          <w:spacing w:val="1"/>
          <w:sz w:val="20"/>
          <w:szCs w:val="20"/>
        </w:rPr>
        <w:t>）</w:t>
      </w:r>
    </w:p>
    <w:p w14:paraId="069F9631">
      <w:pPr>
        <w:spacing w:before="33" w:line="4956" w:lineRule="exact"/>
        <w:ind w:firstLine="16"/>
      </w:pPr>
      <w:r>
        <w:rPr>
          <w:position w:val="-99"/>
        </w:rPr>
        <w:drawing>
          <wp:inline distT="0" distB="0" distL="0" distR="0">
            <wp:extent cx="5271135" cy="3146425"/>
            <wp:effectExtent l="0" t="0" r="0" b="0"/>
            <wp:docPr id="240" name="IM 240"/>
            <wp:cNvGraphicFramePr/>
            <a:graphic xmlns:a="http://schemas.openxmlformats.org/drawingml/2006/main">
              <a:graphicData uri="http://schemas.openxmlformats.org/drawingml/2006/picture">
                <pic:pic xmlns:pic="http://schemas.openxmlformats.org/drawingml/2006/picture">
                  <pic:nvPicPr>
                    <pic:cNvPr id="240" name="IM 240"/>
                    <pic:cNvPicPr/>
                  </pic:nvPicPr>
                  <pic:blipFill>
                    <a:blip r:embed="rId319"/>
                    <a:stretch>
                      <a:fillRect/>
                    </a:stretch>
                  </pic:blipFill>
                  <pic:spPr>
                    <a:xfrm>
                      <a:off x="0" y="0"/>
                      <a:ext cx="5271515" cy="3147059"/>
                    </a:xfrm>
                    <a:prstGeom prst="rect">
                      <a:avLst/>
                    </a:prstGeom>
                  </pic:spPr>
                </pic:pic>
              </a:graphicData>
            </a:graphic>
          </wp:inline>
        </w:drawing>
      </w:r>
    </w:p>
    <w:p w14:paraId="03330B4A">
      <w:pPr>
        <w:pStyle w:val="2"/>
        <w:spacing w:before="145" w:line="227" w:lineRule="auto"/>
        <w:ind w:left="76"/>
        <w:rPr>
          <w:sz w:val="20"/>
          <w:szCs w:val="20"/>
        </w:rPr>
      </w:pPr>
      <w:r>
        <w:rPr>
          <w:b/>
          <w:bCs/>
          <w:spacing w:val="7"/>
          <w:sz w:val="20"/>
          <w:szCs w:val="20"/>
        </w:rPr>
        <w:t>图</w:t>
      </w:r>
      <w:r>
        <w:rPr>
          <w:spacing w:val="-38"/>
          <w:sz w:val="20"/>
          <w:szCs w:val="20"/>
        </w:rPr>
        <w:t xml:space="preserve"> </w:t>
      </w:r>
      <w:r>
        <w:rPr>
          <w:rFonts w:ascii="Times New Roman" w:hAnsi="Times New Roman" w:eastAsia="Times New Roman" w:cs="Times New Roman"/>
          <w:b/>
          <w:bCs/>
          <w:spacing w:val="7"/>
          <w:sz w:val="20"/>
          <w:szCs w:val="20"/>
        </w:rPr>
        <w:t xml:space="preserve">5-17    </w:t>
      </w:r>
      <w:r>
        <w:rPr>
          <w:b/>
          <w:bCs/>
          <w:spacing w:val="7"/>
          <w:sz w:val="20"/>
          <w:szCs w:val="20"/>
        </w:rPr>
        <w:t>双回线路（单边挂线）最不利塔型工频磁感应强度空间分布及</w:t>
      </w:r>
      <w:r>
        <w:rPr>
          <w:b/>
          <w:bCs/>
          <w:spacing w:val="6"/>
          <w:sz w:val="20"/>
          <w:szCs w:val="20"/>
        </w:rPr>
        <w:t>等值线图（导线对</w:t>
      </w:r>
    </w:p>
    <w:p w14:paraId="7733A014">
      <w:pPr>
        <w:spacing w:line="227" w:lineRule="auto"/>
        <w:rPr>
          <w:sz w:val="20"/>
          <w:szCs w:val="20"/>
        </w:rPr>
        <w:sectPr>
          <w:footerReference r:id="rId198" w:type="default"/>
          <w:pgSz w:w="11906" w:h="16839"/>
          <w:pgMar w:top="400" w:right="1739" w:bottom="1147" w:left="1785" w:header="0" w:footer="960" w:gutter="0"/>
          <w:cols w:space="720" w:num="1"/>
        </w:sectPr>
      </w:pPr>
    </w:p>
    <w:p w14:paraId="7A6EE607">
      <w:pPr>
        <w:spacing w:line="274" w:lineRule="auto"/>
        <w:rPr>
          <w:rFonts w:ascii="Arial"/>
          <w:sz w:val="21"/>
        </w:rPr>
      </w:pPr>
    </w:p>
    <w:p w14:paraId="579B46C5">
      <w:pPr>
        <w:spacing w:line="274" w:lineRule="auto"/>
        <w:rPr>
          <w:rFonts w:ascii="Arial"/>
          <w:sz w:val="21"/>
        </w:rPr>
      </w:pPr>
    </w:p>
    <w:p w14:paraId="4AC6AA80">
      <w:pPr>
        <w:spacing w:line="274" w:lineRule="auto"/>
        <w:rPr>
          <w:rFonts w:ascii="Arial"/>
          <w:sz w:val="21"/>
        </w:rPr>
      </w:pPr>
    </w:p>
    <w:p w14:paraId="2D3ACDC8">
      <w:pPr>
        <w:spacing w:line="274" w:lineRule="auto"/>
        <w:rPr>
          <w:rFonts w:ascii="Arial"/>
          <w:sz w:val="21"/>
        </w:rPr>
      </w:pPr>
    </w:p>
    <w:p w14:paraId="77771B6A">
      <w:pPr>
        <w:pStyle w:val="2"/>
        <w:spacing w:before="65" w:line="228" w:lineRule="auto"/>
        <w:ind w:left="3586"/>
        <w:rPr>
          <w:sz w:val="20"/>
          <w:szCs w:val="20"/>
        </w:rPr>
      </w:pPr>
      <w:r>
        <w:rPr>
          <w:b/>
          <w:bCs/>
          <w:spacing w:val="13"/>
          <w:sz w:val="20"/>
          <w:szCs w:val="20"/>
        </w:rPr>
        <w:t>地高度</w:t>
      </w:r>
      <w:r>
        <w:rPr>
          <w:rFonts w:ascii="Times New Roman" w:hAnsi="Times New Roman" w:eastAsia="Times New Roman" w:cs="Times New Roman"/>
          <w:b/>
          <w:bCs/>
          <w:spacing w:val="13"/>
          <w:sz w:val="20"/>
          <w:szCs w:val="20"/>
        </w:rPr>
        <w:t>6m</w:t>
      </w:r>
      <w:r>
        <w:rPr>
          <w:b/>
          <w:bCs/>
          <w:spacing w:val="13"/>
          <w:sz w:val="20"/>
          <w:szCs w:val="20"/>
        </w:rPr>
        <w:t>）</w:t>
      </w:r>
    </w:p>
    <w:p w14:paraId="2FE2FA24">
      <w:pPr>
        <w:spacing w:before="193" w:line="5102" w:lineRule="exact"/>
        <w:ind w:firstLine="14"/>
      </w:pPr>
      <w:r>
        <w:rPr>
          <w:position w:val="-102"/>
        </w:rPr>
        <w:drawing>
          <wp:inline distT="0" distB="0" distL="0" distR="0">
            <wp:extent cx="5425440" cy="3239770"/>
            <wp:effectExtent l="0" t="0" r="0" b="0"/>
            <wp:docPr id="242" name="IM 242"/>
            <wp:cNvGraphicFramePr/>
            <a:graphic xmlns:a="http://schemas.openxmlformats.org/drawingml/2006/main">
              <a:graphicData uri="http://schemas.openxmlformats.org/drawingml/2006/picture">
                <pic:pic xmlns:pic="http://schemas.openxmlformats.org/drawingml/2006/picture">
                  <pic:nvPicPr>
                    <pic:cNvPr id="242" name="IM 242"/>
                    <pic:cNvPicPr/>
                  </pic:nvPicPr>
                  <pic:blipFill>
                    <a:blip r:embed="rId320"/>
                    <a:stretch>
                      <a:fillRect/>
                    </a:stretch>
                  </pic:blipFill>
                  <pic:spPr>
                    <a:xfrm>
                      <a:off x="0" y="0"/>
                      <a:ext cx="5425440" cy="3240023"/>
                    </a:xfrm>
                    <a:prstGeom prst="rect">
                      <a:avLst/>
                    </a:prstGeom>
                  </pic:spPr>
                </pic:pic>
              </a:graphicData>
            </a:graphic>
          </wp:inline>
        </w:drawing>
      </w:r>
    </w:p>
    <w:p w14:paraId="7035A6BE">
      <w:pPr>
        <w:pStyle w:val="2"/>
        <w:spacing w:before="152" w:line="227" w:lineRule="auto"/>
        <w:ind w:left="42"/>
        <w:rPr>
          <w:sz w:val="20"/>
          <w:szCs w:val="20"/>
        </w:rPr>
      </w:pPr>
      <w:r>
        <w:rPr>
          <w:b/>
          <w:bCs/>
          <w:spacing w:val="6"/>
          <w:sz w:val="20"/>
          <w:szCs w:val="20"/>
        </w:rPr>
        <w:t>图</w:t>
      </w:r>
      <w:r>
        <w:rPr>
          <w:spacing w:val="-38"/>
          <w:sz w:val="20"/>
          <w:szCs w:val="20"/>
        </w:rPr>
        <w:t xml:space="preserve"> </w:t>
      </w:r>
      <w:r>
        <w:rPr>
          <w:rFonts w:ascii="Times New Roman" w:hAnsi="Times New Roman" w:eastAsia="Times New Roman" w:cs="Times New Roman"/>
          <w:b/>
          <w:bCs/>
          <w:spacing w:val="6"/>
          <w:sz w:val="20"/>
          <w:szCs w:val="20"/>
        </w:rPr>
        <w:t xml:space="preserve">5-18      </w:t>
      </w:r>
      <w:r>
        <w:rPr>
          <w:b/>
          <w:bCs/>
          <w:spacing w:val="6"/>
          <w:sz w:val="20"/>
          <w:szCs w:val="20"/>
        </w:rPr>
        <w:t>双回线路（单边挂线）最不利塔型工频电场强度空间分布及等值线</w:t>
      </w:r>
      <w:r>
        <w:rPr>
          <w:b/>
          <w:bCs/>
          <w:spacing w:val="5"/>
          <w:sz w:val="20"/>
          <w:szCs w:val="20"/>
        </w:rPr>
        <w:t>图（导线对地</w:t>
      </w:r>
    </w:p>
    <w:p w14:paraId="41DAE4F6">
      <w:pPr>
        <w:pStyle w:val="2"/>
        <w:spacing w:before="65" w:line="228" w:lineRule="auto"/>
        <w:ind w:left="3697"/>
        <w:rPr>
          <w:sz w:val="20"/>
          <w:szCs w:val="20"/>
        </w:rPr>
      </w:pPr>
      <w:r>
        <w:rPr>
          <w:b/>
          <w:bCs/>
          <w:spacing w:val="1"/>
          <w:sz w:val="20"/>
          <w:szCs w:val="20"/>
        </w:rPr>
        <w:t>高度</w:t>
      </w:r>
      <w:r>
        <w:rPr>
          <w:spacing w:val="-38"/>
          <w:sz w:val="20"/>
          <w:szCs w:val="20"/>
        </w:rPr>
        <w:t xml:space="preserve"> </w:t>
      </w:r>
      <w:r>
        <w:rPr>
          <w:rFonts w:ascii="Times New Roman" w:hAnsi="Times New Roman" w:eastAsia="Times New Roman" w:cs="Times New Roman"/>
          <w:b/>
          <w:bCs/>
          <w:spacing w:val="1"/>
          <w:sz w:val="20"/>
          <w:szCs w:val="20"/>
        </w:rPr>
        <w:t>7m</w:t>
      </w:r>
      <w:r>
        <w:rPr>
          <w:b/>
          <w:bCs/>
          <w:spacing w:val="1"/>
          <w:sz w:val="20"/>
          <w:szCs w:val="20"/>
        </w:rPr>
        <w:t>）</w:t>
      </w:r>
    </w:p>
    <w:p w14:paraId="258A6FB5">
      <w:pPr>
        <w:spacing w:line="423" w:lineRule="auto"/>
        <w:rPr>
          <w:rFonts w:ascii="Arial"/>
          <w:sz w:val="21"/>
        </w:rPr>
      </w:pPr>
    </w:p>
    <w:p w14:paraId="4D514E98">
      <w:pPr>
        <w:spacing w:before="1" w:line="5102" w:lineRule="exact"/>
        <w:ind w:firstLine="14"/>
      </w:pPr>
      <w:r>
        <w:rPr>
          <w:position w:val="-102"/>
        </w:rPr>
        <w:drawing>
          <wp:inline distT="0" distB="0" distL="0" distR="0">
            <wp:extent cx="5425440" cy="3239770"/>
            <wp:effectExtent l="0" t="0" r="0" b="0"/>
            <wp:docPr id="244" name="IM 244"/>
            <wp:cNvGraphicFramePr/>
            <a:graphic xmlns:a="http://schemas.openxmlformats.org/drawingml/2006/main">
              <a:graphicData uri="http://schemas.openxmlformats.org/drawingml/2006/picture">
                <pic:pic xmlns:pic="http://schemas.openxmlformats.org/drawingml/2006/picture">
                  <pic:nvPicPr>
                    <pic:cNvPr id="244" name="IM 244"/>
                    <pic:cNvPicPr/>
                  </pic:nvPicPr>
                  <pic:blipFill>
                    <a:blip r:embed="rId321"/>
                    <a:stretch>
                      <a:fillRect/>
                    </a:stretch>
                  </pic:blipFill>
                  <pic:spPr>
                    <a:xfrm>
                      <a:off x="0" y="0"/>
                      <a:ext cx="5425440" cy="3240023"/>
                    </a:xfrm>
                    <a:prstGeom prst="rect">
                      <a:avLst/>
                    </a:prstGeom>
                  </pic:spPr>
                </pic:pic>
              </a:graphicData>
            </a:graphic>
          </wp:inline>
        </w:drawing>
      </w:r>
    </w:p>
    <w:p w14:paraId="14C54B93">
      <w:pPr>
        <w:pStyle w:val="2"/>
        <w:spacing w:before="230" w:line="227" w:lineRule="auto"/>
        <w:ind w:left="76"/>
        <w:rPr>
          <w:sz w:val="20"/>
          <w:szCs w:val="20"/>
        </w:rPr>
      </w:pPr>
      <w:r>
        <w:rPr>
          <w:b/>
          <w:bCs/>
          <w:spacing w:val="7"/>
          <w:sz w:val="20"/>
          <w:szCs w:val="20"/>
        </w:rPr>
        <w:t>图</w:t>
      </w:r>
      <w:r>
        <w:rPr>
          <w:spacing w:val="-38"/>
          <w:sz w:val="20"/>
          <w:szCs w:val="20"/>
        </w:rPr>
        <w:t xml:space="preserve"> </w:t>
      </w:r>
      <w:r>
        <w:rPr>
          <w:rFonts w:ascii="Times New Roman" w:hAnsi="Times New Roman" w:eastAsia="Times New Roman" w:cs="Times New Roman"/>
          <w:b/>
          <w:bCs/>
          <w:spacing w:val="7"/>
          <w:sz w:val="20"/>
          <w:szCs w:val="20"/>
        </w:rPr>
        <w:t xml:space="preserve">5-19    </w:t>
      </w:r>
      <w:r>
        <w:rPr>
          <w:b/>
          <w:bCs/>
          <w:spacing w:val="7"/>
          <w:sz w:val="20"/>
          <w:szCs w:val="20"/>
        </w:rPr>
        <w:t>双回线路（单边挂线）最不利塔型工频磁感应强度空间分布及</w:t>
      </w:r>
      <w:r>
        <w:rPr>
          <w:b/>
          <w:bCs/>
          <w:spacing w:val="6"/>
          <w:sz w:val="20"/>
          <w:szCs w:val="20"/>
        </w:rPr>
        <w:t>等值线图（导线对</w:t>
      </w:r>
    </w:p>
    <w:p w14:paraId="42A447F7">
      <w:pPr>
        <w:pStyle w:val="2"/>
        <w:spacing w:before="222" w:line="228" w:lineRule="auto"/>
        <w:ind w:left="3586"/>
        <w:rPr>
          <w:sz w:val="20"/>
          <w:szCs w:val="20"/>
        </w:rPr>
      </w:pPr>
      <w:r>
        <w:rPr>
          <w:b/>
          <w:bCs/>
          <w:spacing w:val="13"/>
          <w:sz w:val="20"/>
          <w:szCs w:val="20"/>
        </w:rPr>
        <w:t>地高度</w:t>
      </w:r>
      <w:r>
        <w:rPr>
          <w:rFonts w:ascii="Times New Roman" w:hAnsi="Times New Roman" w:eastAsia="Times New Roman" w:cs="Times New Roman"/>
          <w:b/>
          <w:bCs/>
          <w:spacing w:val="13"/>
          <w:sz w:val="20"/>
          <w:szCs w:val="20"/>
        </w:rPr>
        <w:t>7m</w:t>
      </w:r>
      <w:r>
        <w:rPr>
          <w:b/>
          <w:bCs/>
          <w:spacing w:val="13"/>
          <w:sz w:val="20"/>
          <w:szCs w:val="20"/>
        </w:rPr>
        <w:t>）</w:t>
      </w:r>
    </w:p>
    <w:p w14:paraId="3301A0D5">
      <w:pPr>
        <w:spacing w:line="228" w:lineRule="auto"/>
        <w:rPr>
          <w:sz w:val="20"/>
          <w:szCs w:val="20"/>
        </w:rPr>
        <w:sectPr>
          <w:footerReference r:id="rId199" w:type="default"/>
          <w:pgSz w:w="11906" w:h="16839"/>
          <w:pgMar w:top="400" w:right="1561" w:bottom="1147" w:left="1785" w:header="0" w:footer="960" w:gutter="0"/>
          <w:cols w:space="720" w:num="1"/>
        </w:sectPr>
      </w:pPr>
    </w:p>
    <w:p w14:paraId="4358FC3D">
      <w:pPr>
        <w:spacing w:line="267" w:lineRule="auto"/>
        <w:rPr>
          <w:rFonts w:ascii="Arial"/>
          <w:sz w:val="21"/>
        </w:rPr>
      </w:pPr>
    </w:p>
    <w:p w14:paraId="1ECEB8FD">
      <w:pPr>
        <w:spacing w:line="267" w:lineRule="auto"/>
        <w:rPr>
          <w:rFonts w:ascii="Arial"/>
          <w:sz w:val="21"/>
        </w:rPr>
      </w:pPr>
    </w:p>
    <w:p w14:paraId="5405186E">
      <w:pPr>
        <w:spacing w:line="267" w:lineRule="auto"/>
        <w:rPr>
          <w:rFonts w:ascii="Arial"/>
          <w:sz w:val="21"/>
        </w:rPr>
      </w:pPr>
    </w:p>
    <w:p w14:paraId="06013D13">
      <w:pPr>
        <w:spacing w:line="268" w:lineRule="auto"/>
        <w:rPr>
          <w:rFonts w:ascii="Arial"/>
          <w:sz w:val="21"/>
        </w:rPr>
      </w:pPr>
    </w:p>
    <w:p w14:paraId="5F89FAFB">
      <w:pPr>
        <w:pStyle w:val="2"/>
        <w:spacing w:before="78" w:line="220" w:lineRule="auto"/>
        <w:ind w:left="22"/>
        <w:rPr>
          <w:sz w:val="24"/>
          <w:szCs w:val="24"/>
        </w:rPr>
      </w:pPr>
      <w:r>
        <w:rPr>
          <w:rFonts w:ascii="Times New Roman" w:hAnsi="Times New Roman" w:eastAsia="Times New Roman" w:cs="Times New Roman"/>
          <w:b/>
          <w:bCs/>
          <w:spacing w:val="-2"/>
          <w:sz w:val="24"/>
          <w:szCs w:val="24"/>
        </w:rPr>
        <w:t xml:space="preserve">5.2.2.3  </w:t>
      </w:r>
      <w:r>
        <w:rPr>
          <w:b/>
          <w:bCs/>
          <w:spacing w:val="-2"/>
          <w:sz w:val="24"/>
          <w:szCs w:val="24"/>
        </w:rPr>
        <w:t>预测结果小结</w:t>
      </w:r>
    </w:p>
    <w:p w14:paraId="6B1C1450">
      <w:pPr>
        <w:pStyle w:val="2"/>
        <w:spacing w:before="203" w:line="219" w:lineRule="auto"/>
        <w:ind w:left="496"/>
        <w:rPr>
          <w:sz w:val="24"/>
          <w:szCs w:val="24"/>
        </w:rPr>
      </w:pPr>
      <w:r>
        <w:rPr>
          <w:rFonts w:ascii="Times New Roman" w:hAnsi="Times New Roman" w:eastAsia="Times New Roman" w:cs="Times New Roman"/>
          <w:b/>
          <w:bCs/>
          <w:spacing w:val="-3"/>
          <w:sz w:val="24"/>
          <w:szCs w:val="24"/>
        </w:rPr>
        <w:t>A</w:t>
      </w:r>
      <w:r>
        <w:rPr>
          <w:b/>
          <w:bCs/>
          <w:spacing w:val="-3"/>
          <w:sz w:val="24"/>
          <w:szCs w:val="24"/>
        </w:rPr>
        <w:t>：</w:t>
      </w:r>
      <w:r>
        <w:rPr>
          <w:rFonts w:ascii="Times New Roman" w:hAnsi="Times New Roman" w:eastAsia="Times New Roman" w:cs="Times New Roman"/>
          <w:b/>
          <w:bCs/>
          <w:spacing w:val="-3"/>
          <w:sz w:val="24"/>
          <w:szCs w:val="24"/>
        </w:rPr>
        <w:t xml:space="preserve">110kV </w:t>
      </w:r>
      <w:r>
        <w:rPr>
          <w:b/>
          <w:bCs/>
          <w:spacing w:val="-3"/>
          <w:sz w:val="24"/>
          <w:szCs w:val="24"/>
        </w:rPr>
        <w:t>单回线路</w:t>
      </w:r>
    </w:p>
    <w:p w14:paraId="4E670EE9">
      <w:pPr>
        <w:pStyle w:val="2"/>
        <w:spacing w:before="182" w:line="359" w:lineRule="auto"/>
        <w:ind w:left="22" w:firstLine="481"/>
        <w:jc w:val="both"/>
        <w:rPr>
          <w:sz w:val="24"/>
          <w:szCs w:val="24"/>
        </w:rPr>
      </w:pPr>
      <w:r>
        <w:rPr>
          <w:spacing w:val="-2"/>
          <w:sz w:val="24"/>
          <w:szCs w:val="24"/>
        </w:rPr>
        <w:t>本项目</w:t>
      </w:r>
      <w:r>
        <w:rPr>
          <w:spacing w:val="-32"/>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单回三角排列线路在采用最不利塔</w:t>
      </w:r>
      <w:r>
        <w:rPr>
          <w:spacing w:val="-3"/>
          <w:sz w:val="24"/>
          <w:szCs w:val="24"/>
        </w:rPr>
        <w:t>型</w:t>
      </w:r>
      <w:r>
        <w:rPr>
          <w:spacing w:val="-30"/>
          <w:sz w:val="24"/>
          <w:szCs w:val="24"/>
        </w:rPr>
        <w:t xml:space="preserve"> </w:t>
      </w:r>
      <w:r>
        <w:rPr>
          <w:rFonts w:ascii="Times New Roman" w:hAnsi="Times New Roman" w:eastAsia="Times New Roman" w:cs="Times New Roman"/>
          <w:spacing w:val="-3"/>
          <w:sz w:val="24"/>
          <w:szCs w:val="24"/>
        </w:rPr>
        <w:t>1B1X4-J4</w:t>
      </w:r>
      <w:r>
        <w:rPr>
          <w:rFonts w:ascii="Times New Roman" w:hAnsi="Times New Roman" w:eastAsia="Times New Roman" w:cs="Times New Roman"/>
          <w:spacing w:val="-30"/>
          <w:sz w:val="24"/>
          <w:szCs w:val="24"/>
        </w:rPr>
        <w:t xml:space="preserve"> </w:t>
      </w:r>
      <w:r>
        <w:rPr>
          <w:spacing w:val="-3"/>
          <w:sz w:val="24"/>
          <w:szCs w:val="24"/>
        </w:rPr>
        <w:t>，导线对地面</w:t>
      </w:r>
      <w:r>
        <w:rPr>
          <w:spacing w:val="-2"/>
          <w:sz w:val="24"/>
          <w:szCs w:val="24"/>
        </w:rPr>
        <w:t>距离为</w:t>
      </w:r>
      <w:r>
        <w:rPr>
          <w:spacing w:val="-33"/>
          <w:sz w:val="24"/>
          <w:szCs w:val="24"/>
        </w:rPr>
        <w:t xml:space="preserve"> </w:t>
      </w:r>
      <w:r>
        <w:rPr>
          <w:rFonts w:ascii="Times New Roman" w:hAnsi="Times New Roman" w:eastAsia="Times New Roman" w:cs="Times New Roman"/>
          <w:spacing w:val="-2"/>
          <w:sz w:val="24"/>
          <w:szCs w:val="24"/>
        </w:rPr>
        <w:t>6.0m</w:t>
      </w:r>
      <w:r>
        <w:rPr>
          <w:rFonts w:ascii="Times New Roman" w:hAnsi="Times New Roman" w:eastAsia="Times New Roman" w:cs="Times New Roman"/>
          <w:spacing w:val="24"/>
          <w:w w:val="101"/>
          <w:sz w:val="24"/>
          <w:szCs w:val="24"/>
        </w:rPr>
        <w:t xml:space="preserve"> </w:t>
      </w:r>
      <w:r>
        <w:rPr>
          <w:spacing w:val="-2"/>
          <w:sz w:val="24"/>
          <w:szCs w:val="24"/>
        </w:rPr>
        <w:t>时，地面</w:t>
      </w:r>
      <w:r>
        <w:rPr>
          <w:spacing w:val="-30"/>
          <w:sz w:val="24"/>
          <w:szCs w:val="24"/>
        </w:rPr>
        <w:t xml:space="preserve"> </w:t>
      </w:r>
      <w:r>
        <w:rPr>
          <w:rFonts w:ascii="Times New Roman" w:hAnsi="Times New Roman" w:eastAsia="Times New Roman" w:cs="Times New Roman"/>
          <w:spacing w:val="-2"/>
          <w:sz w:val="24"/>
          <w:szCs w:val="24"/>
        </w:rPr>
        <w:t>1.5m</w:t>
      </w:r>
      <w:r>
        <w:rPr>
          <w:rFonts w:ascii="Times New Roman" w:hAnsi="Times New Roman" w:eastAsia="Times New Roman" w:cs="Times New Roman"/>
          <w:spacing w:val="19"/>
          <w:w w:val="101"/>
          <w:sz w:val="24"/>
          <w:szCs w:val="24"/>
        </w:rPr>
        <w:t xml:space="preserve"> </w:t>
      </w:r>
      <w:r>
        <w:rPr>
          <w:spacing w:val="-2"/>
          <w:sz w:val="24"/>
          <w:szCs w:val="24"/>
        </w:rPr>
        <w:t>高处的工频电场强度最大值为</w:t>
      </w:r>
      <w:r>
        <w:rPr>
          <w:spacing w:val="-53"/>
          <w:sz w:val="24"/>
          <w:szCs w:val="24"/>
        </w:rPr>
        <w:t xml:space="preserve"> </w:t>
      </w:r>
      <w:r>
        <w:rPr>
          <w:rFonts w:ascii="Times New Roman" w:hAnsi="Times New Roman" w:eastAsia="Times New Roman" w:cs="Times New Roman"/>
          <w:spacing w:val="-2"/>
          <w:sz w:val="24"/>
          <w:szCs w:val="24"/>
        </w:rPr>
        <w:t>2.4295kV/m</w:t>
      </w:r>
      <w:r>
        <w:rPr>
          <w:rFonts w:ascii="Times New Roman" w:hAnsi="Times New Roman" w:eastAsia="Times New Roman" w:cs="Times New Roman"/>
          <w:spacing w:val="-30"/>
          <w:sz w:val="24"/>
          <w:szCs w:val="24"/>
        </w:rPr>
        <w:t xml:space="preserve"> </w:t>
      </w:r>
      <w:r>
        <w:rPr>
          <w:spacing w:val="-2"/>
          <w:sz w:val="24"/>
          <w:szCs w:val="24"/>
        </w:rPr>
        <w:t>，工频磁</w:t>
      </w:r>
      <w:r>
        <w:rPr>
          <w:sz w:val="24"/>
          <w:szCs w:val="24"/>
        </w:rPr>
        <w:t>感应强度最大值为</w:t>
      </w:r>
      <w:r>
        <w:rPr>
          <w:spacing w:val="-44"/>
          <w:sz w:val="24"/>
          <w:szCs w:val="24"/>
        </w:rPr>
        <w:t xml:space="preserve"> </w:t>
      </w:r>
      <w:r>
        <w:rPr>
          <w:rFonts w:ascii="Times New Roman" w:hAnsi="Times New Roman" w:eastAsia="Times New Roman" w:cs="Times New Roman"/>
          <w:sz w:val="24"/>
          <w:szCs w:val="24"/>
        </w:rPr>
        <w:t>26.2672μT</w:t>
      </w:r>
      <w:r>
        <w:rPr>
          <w:rFonts w:ascii="Times New Roman" w:hAnsi="Times New Roman" w:eastAsia="Times New Roman" w:cs="Times New Roman"/>
          <w:spacing w:val="-28"/>
          <w:sz w:val="24"/>
          <w:szCs w:val="24"/>
        </w:rPr>
        <w:t xml:space="preserve"> </w:t>
      </w:r>
      <w:r>
        <w:rPr>
          <w:sz w:val="24"/>
          <w:szCs w:val="24"/>
        </w:rPr>
        <w:t>，满足《电磁环境控制限值》（</w:t>
      </w:r>
      <w:r>
        <w:rPr>
          <w:rFonts w:ascii="Times New Roman" w:hAnsi="Times New Roman" w:eastAsia="Times New Roman" w:cs="Times New Roman"/>
          <w:sz w:val="24"/>
          <w:szCs w:val="24"/>
        </w:rPr>
        <w:t>GB8702-2014</w:t>
      </w:r>
      <w:r>
        <w:rPr>
          <w:sz w:val="24"/>
          <w:szCs w:val="24"/>
        </w:rPr>
        <w:t>）中</w:t>
      </w:r>
      <w:r>
        <w:rPr>
          <w:spacing w:val="1"/>
          <w:sz w:val="24"/>
          <w:szCs w:val="24"/>
        </w:rPr>
        <w:t>耕地、园地、牧草地、畜禽饲养地、养殖水面、道路等场所处</w:t>
      </w:r>
      <w:r>
        <w:rPr>
          <w:spacing w:val="-29"/>
          <w:sz w:val="24"/>
          <w:szCs w:val="24"/>
        </w:rPr>
        <w:t xml:space="preserve"> </w:t>
      </w:r>
      <w:r>
        <w:rPr>
          <w:rFonts w:ascii="Times New Roman" w:hAnsi="Times New Roman" w:eastAsia="Times New Roman" w:cs="Times New Roman"/>
          <w:spacing w:val="1"/>
          <w:sz w:val="24"/>
          <w:szCs w:val="24"/>
        </w:rPr>
        <w:t>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28"/>
          <w:sz w:val="24"/>
          <w:szCs w:val="24"/>
        </w:rPr>
        <w:t xml:space="preserve"> </w:t>
      </w:r>
      <w:r>
        <w:rPr>
          <w:spacing w:val="1"/>
          <w:sz w:val="24"/>
          <w:szCs w:val="24"/>
        </w:rPr>
        <w:t>、</w:t>
      </w:r>
      <w:r>
        <w:rPr>
          <w:rFonts w:ascii="Times New Roman" w:hAnsi="Times New Roman" w:eastAsia="Times New Roman" w:cs="Times New Roman"/>
          <w:sz w:val="24"/>
          <w:szCs w:val="24"/>
        </w:rPr>
        <w:t>100μT</w:t>
      </w:r>
      <w:r>
        <w:rPr>
          <w:spacing w:val="-5"/>
          <w:sz w:val="24"/>
          <w:szCs w:val="24"/>
        </w:rPr>
        <w:t>的限值要求；导线对地面距离为</w:t>
      </w:r>
      <w:r>
        <w:rPr>
          <w:spacing w:val="-51"/>
          <w:sz w:val="24"/>
          <w:szCs w:val="24"/>
        </w:rPr>
        <w:t xml:space="preserve"> </w:t>
      </w:r>
      <w:r>
        <w:rPr>
          <w:rFonts w:ascii="Times New Roman" w:hAnsi="Times New Roman" w:eastAsia="Times New Roman" w:cs="Times New Roman"/>
          <w:spacing w:val="-5"/>
          <w:sz w:val="24"/>
          <w:szCs w:val="24"/>
        </w:rPr>
        <w:t>7.0m</w:t>
      </w:r>
      <w:r>
        <w:rPr>
          <w:rFonts w:ascii="Times New Roman" w:hAnsi="Times New Roman" w:eastAsia="Times New Roman" w:cs="Times New Roman"/>
          <w:spacing w:val="21"/>
          <w:w w:val="101"/>
          <w:sz w:val="24"/>
          <w:szCs w:val="24"/>
        </w:rPr>
        <w:t xml:space="preserve"> </w:t>
      </w:r>
      <w:r>
        <w:rPr>
          <w:spacing w:val="-5"/>
          <w:sz w:val="24"/>
          <w:szCs w:val="24"/>
        </w:rPr>
        <w:t>时，地面</w:t>
      </w:r>
      <w:r>
        <w:rPr>
          <w:spacing w:val="-32"/>
          <w:sz w:val="24"/>
          <w:szCs w:val="24"/>
        </w:rPr>
        <w:t xml:space="preserve"> </w:t>
      </w:r>
      <w:r>
        <w:rPr>
          <w:rFonts w:ascii="Times New Roman" w:hAnsi="Times New Roman" w:eastAsia="Times New Roman" w:cs="Times New Roman"/>
          <w:spacing w:val="-5"/>
          <w:sz w:val="24"/>
          <w:szCs w:val="24"/>
        </w:rPr>
        <w:t>1.5m</w:t>
      </w:r>
      <w:r>
        <w:rPr>
          <w:rFonts w:ascii="Times New Roman" w:hAnsi="Times New Roman" w:eastAsia="Times New Roman" w:cs="Times New Roman"/>
          <w:spacing w:val="17"/>
          <w:sz w:val="24"/>
          <w:szCs w:val="24"/>
        </w:rPr>
        <w:t xml:space="preserve"> </w:t>
      </w:r>
      <w:r>
        <w:rPr>
          <w:spacing w:val="-5"/>
          <w:sz w:val="24"/>
          <w:szCs w:val="24"/>
        </w:rPr>
        <w:t>高处的工频电场强度最</w:t>
      </w:r>
      <w:r>
        <w:rPr>
          <w:spacing w:val="-6"/>
          <w:sz w:val="24"/>
          <w:szCs w:val="24"/>
        </w:rPr>
        <w:t>大值为</w:t>
      </w:r>
      <w:r>
        <w:rPr>
          <w:spacing w:val="-15"/>
          <w:sz w:val="24"/>
          <w:szCs w:val="24"/>
        </w:rPr>
        <w:t xml:space="preserve"> </w:t>
      </w:r>
      <w:r>
        <w:rPr>
          <w:rFonts w:ascii="Times New Roman" w:hAnsi="Times New Roman" w:eastAsia="Times New Roman" w:cs="Times New Roman"/>
          <w:spacing w:val="-6"/>
          <w:sz w:val="24"/>
          <w:szCs w:val="24"/>
        </w:rPr>
        <w:t>1.8378kV/m</w:t>
      </w:r>
      <w:r>
        <w:rPr>
          <w:spacing w:val="-6"/>
          <w:sz w:val="24"/>
          <w:szCs w:val="24"/>
        </w:rPr>
        <w:t>，工频磁感应强度最大值为</w:t>
      </w:r>
      <w:r>
        <w:rPr>
          <w:spacing w:val="-55"/>
          <w:sz w:val="24"/>
          <w:szCs w:val="24"/>
        </w:rPr>
        <w:t xml:space="preserve"> </w:t>
      </w:r>
      <w:r>
        <w:rPr>
          <w:rFonts w:ascii="Times New Roman" w:hAnsi="Times New Roman" w:eastAsia="Times New Roman" w:cs="Times New Roman"/>
          <w:spacing w:val="-6"/>
          <w:sz w:val="24"/>
          <w:szCs w:val="24"/>
        </w:rPr>
        <w:t>20.6741μT</w:t>
      </w:r>
      <w:r>
        <w:rPr>
          <w:spacing w:val="-6"/>
          <w:sz w:val="24"/>
          <w:szCs w:val="24"/>
        </w:rPr>
        <w:t>，满足《电磁环境控制限值》</w:t>
      </w:r>
      <w:r>
        <w:rPr>
          <w:sz w:val="24"/>
          <w:szCs w:val="24"/>
        </w:rPr>
        <w:t xml:space="preserve"> </w:t>
      </w:r>
      <w:r>
        <w:rPr>
          <w:spacing w:val="-1"/>
          <w:sz w:val="24"/>
          <w:szCs w:val="24"/>
        </w:rPr>
        <w:t>（</w:t>
      </w:r>
      <w:r>
        <w:rPr>
          <w:rFonts w:ascii="Times New Roman" w:hAnsi="Times New Roman" w:eastAsia="Times New Roman" w:cs="Times New Roman"/>
          <w:spacing w:val="-1"/>
          <w:sz w:val="24"/>
          <w:szCs w:val="24"/>
        </w:rPr>
        <w:t>GB8702-2014</w:t>
      </w:r>
      <w:r>
        <w:rPr>
          <w:spacing w:val="-19"/>
          <w:sz w:val="24"/>
          <w:szCs w:val="24"/>
        </w:rPr>
        <w:t>）：</w:t>
      </w:r>
      <w:r>
        <w:rPr>
          <w:spacing w:val="-1"/>
          <w:sz w:val="24"/>
          <w:szCs w:val="24"/>
        </w:rPr>
        <w:t>工频磁感应强度公众曝露控制限值</w:t>
      </w:r>
      <w:r>
        <w:rPr>
          <w:rFonts w:ascii="Times New Roman" w:hAnsi="Times New Roman" w:eastAsia="Times New Roman" w:cs="Times New Roman"/>
          <w:spacing w:val="-1"/>
          <w:sz w:val="24"/>
          <w:szCs w:val="24"/>
        </w:rPr>
        <w:t>≤100μT</w:t>
      </w:r>
      <w:r>
        <w:rPr>
          <w:spacing w:val="-1"/>
          <w:sz w:val="24"/>
          <w:szCs w:val="24"/>
        </w:rPr>
        <w:t>，工频</w:t>
      </w:r>
      <w:r>
        <w:rPr>
          <w:spacing w:val="-2"/>
          <w:sz w:val="24"/>
          <w:szCs w:val="24"/>
        </w:rPr>
        <w:t>电场强度公</w:t>
      </w:r>
      <w:r>
        <w:rPr>
          <w:spacing w:val="-3"/>
          <w:sz w:val="24"/>
          <w:szCs w:val="24"/>
        </w:rPr>
        <w:t>众曝露控制限值</w:t>
      </w:r>
      <w:r>
        <w:rPr>
          <w:rFonts w:ascii="Times New Roman" w:hAnsi="Times New Roman" w:eastAsia="Times New Roman" w:cs="Times New Roman"/>
          <w:spacing w:val="-3"/>
          <w:sz w:val="24"/>
          <w:szCs w:val="24"/>
        </w:rPr>
        <w:t>≤4kV/m</w:t>
      </w:r>
      <w:r>
        <w:rPr>
          <w:rFonts w:ascii="Times New Roman" w:hAnsi="Times New Roman" w:eastAsia="Times New Roman" w:cs="Times New Roman"/>
          <w:spacing w:val="40"/>
          <w:sz w:val="24"/>
          <w:szCs w:val="24"/>
        </w:rPr>
        <w:t xml:space="preserve"> </w:t>
      </w:r>
      <w:r>
        <w:rPr>
          <w:spacing w:val="-3"/>
          <w:sz w:val="24"/>
          <w:szCs w:val="24"/>
        </w:rPr>
        <w:t>的要求。</w:t>
      </w:r>
    </w:p>
    <w:p w14:paraId="7CD4AA11">
      <w:pPr>
        <w:pStyle w:val="2"/>
        <w:spacing w:before="11" w:line="219" w:lineRule="auto"/>
        <w:ind w:left="499"/>
        <w:rPr>
          <w:sz w:val="24"/>
          <w:szCs w:val="24"/>
        </w:rPr>
      </w:pPr>
      <w:r>
        <w:rPr>
          <w:rFonts w:ascii="Times New Roman" w:hAnsi="Times New Roman" w:eastAsia="Times New Roman" w:cs="Times New Roman"/>
          <w:b/>
          <w:bCs/>
          <w:spacing w:val="-3"/>
          <w:sz w:val="24"/>
          <w:szCs w:val="24"/>
        </w:rPr>
        <w:t>B</w:t>
      </w:r>
      <w:r>
        <w:rPr>
          <w:b/>
          <w:bCs/>
          <w:spacing w:val="-3"/>
          <w:sz w:val="24"/>
          <w:szCs w:val="24"/>
        </w:rPr>
        <w:t>：</w:t>
      </w:r>
      <w:r>
        <w:rPr>
          <w:rFonts w:ascii="Times New Roman" w:hAnsi="Times New Roman" w:eastAsia="Times New Roman" w:cs="Times New Roman"/>
          <w:b/>
          <w:bCs/>
          <w:spacing w:val="-3"/>
          <w:sz w:val="24"/>
          <w:szCs w:val="24"/>
        </w:rPr>
        <w:t xml:space="preserve">110kV </w:t>
      </w:r>
      <w:r>
        <w:rPr>
          <w:b/>
          <w:bCs/>
          <w:spacing w:val="-3"/>
          <w:sz w:val="24"/>
          <w:szCs w:val="24"/>
        </w:rPr>
        <w:t>双回线路</w:t>
      </w:r>
    </w:p>
    <w:p w14:paraId="3EE076CA">
      <w:pPr>
        <w:pStyle w:val="2"/>
        <w:spacing w:before="183" w:line="359" w:lineRule="auto"/>
        <w:ind w:left="19" w:right="44" w:firstLine="485"/>
        <w:jc w:val="both"/>
        <w:rPr>
          <w:sz w:val="24"/>
          <w:szCs w:val="24"/>
        </w:rPr>
      </w:pPr>
      <w:r>
        <w:rPr>
          <w:spacing w:val="-7"/>
          <w:sz w:val="24"/>
          <w:szCs w:val="24"/>
        </w:rPr>
        <w:t>本项目</w:t>
      </w:r>
      <w:r>
        <w:rPr>
          <w:spacing w:val="-32"/>
          <w:sz w:val="24"/>
          <w:szCs w:val="24"/>
        </w:rPr>
        <w:t xml:space="preserve"> </w:t>
      </w:r>
      <w:r>
        <w:rPr>
          <w:rFonts w:ascii="Times New Roman" w:hAnsi="Times New Roman" w:eastAsia="Times New Roman" w:cs="Times New Roman"/>
          <w:spacing w:val="-7"/>
          <w:sz w:val="24"/>
          <w:szCs w:val="24"/>
        </w:rPr>
        <w:t xml:space="preserve">110kV </w:t>
      </w:r>
      <w:r>
        <w:rPr>
          <w:spacing w:val="-7"/>
          <w:sz w:val="24"/>
          <w:szCs w:val="24"/>
        </w:rPr>
        <w:t>双回垂直排列线路（单边挂线）在采用最</w:t>
      </w:r>
      <w:r>
        <w:rPr>
          <w:spacing w:val="-8"/>
          <w:sz w:val="24"/>
          <w:szCs w:val="24"/>
        </w:rPr>
        <w:t>不利塔型</w:t>
      </w:r>
      <w:r>
        <w:rPr>
          <w:spacing w:val="-32"/>
          <w:sz w:val="24"/>
          <w:szCs w:val="24"/>
        </w:rPr>
        <w:t xml:space="preserve"> </w:t>
      </w:r>
      <w:r>
        <w:rPr>
          <w:rFonts w:ascii="Times New Roman" w:hAnsi="Times New Roman" w:eastAsia="Times New Roman" w:cs="Times New Roman"/>
          <w:spacing w:val="-8"/>
          <w:sz w:val="24"/>
          <w:szCs w:val="24"/>
        </w:rPr>
        <w:t>1C2X1-JD</w:t>
      </w:r>
      <w:r>
        <w:rPr>
          <w:spacing w:val="-8"/>
          <w:sz w:val="24"/>
          <w:szCs w:val="24"/>
        </w:rPr>
        <w:t>，</w:t>
      </w:r>
      <w:r>
        <w:rPr>
          <w:spacing w:val="-10"/>
          <w:sz w:val="24"/>
          <w:szCs w:val="24"/>
        </w:rPr>
        <w:t>导</w:t>
      </w:r>
      <w:r>
        <w:rPr>
          <w:spacing w:val="-61"/>
          <w:sz w:val="24"/>
          <w:szCs w:val="24"/>
        </w:rPr>
        <w:t xml:space="preserve"> </w:t>
      </w:r>
      <w:r>
        <w:rPr>
          <w:spacing w:val="-10"/>
          <w:sz w:val="24"/>
          <w:szCs w:val="24"/>
        </w:rPr>
        <w:t>线</w:t>
      </w:r>
      <w:r>
        <w:rPr>
          <w:spacing w:val="-71"/>
          <w:sz w:val="24"/>
          <w:szCs w:val="24"/>
        </w:rPr>
        <w:t xml:space="preserve"> </w:t>
      </w:r>
      <w:r>
        <w:rPr>
          <w:spacing w:val="-10"/>
          <w:sz w:val="24"/>
          <w:szCs w:val="24"/>
        </w:rPr>
        <w:t>对</w:t>
      </w:r>
      <w:r>
        <w:rPr>
          <w:spacing w:val="-67"/>
          <w:sz w:val="24"/>
          <w:szCs w:val="24"/>
        </w:rPr>
        <w:t xml:space="preserve"> </w:t>
      </w:r>
      <w:r>
        <w:rPr>
          <w:spacing w:val="-10"/>
          <w:sz w:val="24"/>
          <w:szCs w:val="24"/>
        </w:rPr>
        <w:t>地</w:t>
      </w:r>
      <w:r>
        <w:rPr>
          <w:spacing w:val="-69"/>
          <w:sz w:val="24"/>
          <w:szCs w:val="24"/>
        </w:rPr>
        <w:t xml:space="preserve"> </w:t>
      </w:r>
      <w:r>
        <w:rPr>
          <w:spacing w:val="-10"/>
          <w:sz w:val="24"/>
          <w:szCs w:val="24"/>
        </w:rPr>
        <w:t>面</w:t>
      </w:r>
      <w:r>
        <w:rPr>
          <w:spacing w:val="-69"/>
          <w:sz w:val="24"/>
          <w:szCs w:val="24"/>
        </w:rPr>
        <w:t xml:space="preserve"> </w:t>
      </w:r>
      <w:r>
        <w:rPr>
          <w:spacing w:val="-10"/>
          <w:sz w:val="24"/>
          <w:szCs w:val="24"/>
        </w:rPr>
        <w:t>距</w:t>
      </w:r>
      <w:r>
        <w:rPr>
          <w:spacing w:val="-66"/>
          <w:sz w:val="24"/>
          <w:szCs w:val="24"/>
        </w:rPr>
        <w:t xml:space="preserve"> </w:t>
      </w:r>
      <w:r>
        <w:rPr>
          <w:spacing w:val="-10"/>
          <w:sz w:val="24"/>
          <w:szCs w:val="24"/>
        </w:rPr>
        <w:t>离</w:t>
      </w:r>
      <w:r>
        <w:rPr>
          <w:spacing w:val="-64"/>
          <w:sz w:val="24"/>
          <w:szCs w:val="24"/>
        </w:rPr>
        <w:t xml:space="preserve"> </w:t>
      </w:r>
      <w:r>
        <w:rPr>
          <w:spacing w:val="-10"/>
          <w:sz w:val="24"/>
          <w:szCs w:val="24"/>
        </w:rPr>
        <w:t xml:space="preserve">为 </w:t>
      </w:r>
      <w:r>
        <w:rPr>
          <w:rFonts w:ascii="Times New Roman" w:hAnsi="Times New Roman" w:eastAsia="Times New Roman" w:cs="Times New Roman"/>
          <w:spacing w:val="-10"/>
          <w:sz w:val="24"/>
          <w:szCs w:val="24"/>
        </w:rPr>
        <w:t xml:space="preserve">6.0m  </w:t>
      </w:r>
      <w:r>
        <w:rPr>
          <w:spacing w:val="-10"/>
          <w:sz w:val="24"/>
          <w:szCs w:val="24"/>
        </w:rPr>
        <w:t>时</w:t>
      </w:r>
      <w:r>
        <w:rPr>
          <w:spacing w:val="-48"/>
          <w:sz w:val="24"/>
          <w:szCs w:val="24"/>
        </w:rPr>
        <w:t xml:space="preserve"> </w:t>
      </w:r>
      <w:r>
        <w:rPr>
          <w:spacing w:val="-10"/>
          <w:sz w:val="24"/>
          <w:szCs w:val="24"/>
        </w:rPr>
        <w:t>，</w:t>
      </w:r>
      <w:r>
        <w:rPr>
          <w:spacing w:val="-70"/>
          <w:sz w:val="24"/>
          <w:szCs w:val="24"/>
        </w:rPr>
        <w:t xml:space="preserve"> </w:t>
      </w:r>
      <w:r>
        <w:rPr>
          <w:spacing w:val="-10"/>
          <w:sz w:val="24"/>
          <w:szCs w:val="24"/>
        </w:rPr>
        <w:t>地</w:t>
      </w:r>
      <w:r>
        <w:rPr>
          <w:spacing w:val="-66"/>
          <w:sz w:val="24"/>
          <w:szCs w:val="24"/>
        </w:rPr>
        <w:t xml:space="preserve"> </w:t>
      </w:r>
      <w:r>
        <w:rPr>
          <w:spacing w:val="-10"/>
          <w:sz w:val="24"/>
          <w:szCs w:val="24"/>
        </w:rPr>
        <w:t xml:space="preserve">面 </w:t>
      </w:r>
      <w:r>
        <w:rPr>
          <w:rFonts w:ascii="Times New Roman" w:hAnsi="Times New Roman" w:eastAsia="Times New Roman" w:cs="Times New Roman"/>
          <w:spacing w:val="-10"/>
          <w:sz w:val="24"/>
          <w:szCs w:val="24"/>
        </w:rPr>
        <w:t xml:space="preserve">1.5m  </w:t>
      </w:r>
      <w:r>
        <w:rPr>
          <w:spacing w:val="-10"/>
          <w:sz w:val="24"/>
          <w:szCs w:val="24"/>
        </w:rPr>
        <w:t>高</w:t>
      </w:r>
      <w:r>
        <w:rPr>
          <w:spacing w:val="-63"/>
          <w:sz w:val="24"/>
          <w:szCs w:val="24"/>
        </w:rPr>
        <w:t xml:space="preserve"> </w:t>
      </w:r>
      <w:r>
        <w:rPr>
          <w:spacing w:val="-10"/>
          <w:sz w:val="24"/>
          <w:szCs w:val="24"/>
        </w:rPr>
        <w:t>处</w:t>
      </w:r>
      <w:r>
        <w:rPr>
          <w:spacing w:val="-50"/>
          <w:sz w:val="24"/>
          <w:szCs w:val="24"/>
        </w:rPr>
        <w:t xml:space="preserve"> </w:t>
      </w:r>
      <w:r>
        <w:rPr>
          <w:spacing w:val="-10"/>
          <w:sz w:val="24"/>
          <w:szCs w:val="24"/>
        </w:rPr>
        <w:t>的</w:t>
      </w:r>
      <w:r>
        <w:rPr>
          <w:spacing w:val="-64"/>
          <w:sz w:val="24"/>
          <w:szCs w:val="24"/>
        </w:rPr>
        <w:t xml:space="preserve"> </w:t>
      </w:r>
      <w:r>
        <w:rPr>
          <w:spacing w:val="-10"/>
          <w:sz w:val="24"/>
          <w:szCs w:val="24"/>
        </w:rPr>
        <w:t>工</w:t>
      </w:r>
      <w:r>
        <w:rPr>
          <w:spacing w:val="-69"/>
          <w:sz w:val="24"/>
          <w:szCs w:val="24"/>
        </w:rPr>
        <w:t xml:space="preserve"> </w:t>
      </w:r>
      <w:r>
        <w:rPr>
          <w:spacing w:val="-10"/>
          <w:sz w:val="24"/>
          <w:szCs w:val="24"/>
        </w:rPr>
        <w:t>频</w:t>
      </w:r>
      <w:r>
        <w:rPr>
          <w:spacing w:val="-40"/>
          <w:sz w:val="24"/>
          <w:szCs w:val="24"/>
        </w:rPr>
        <w:t xml:space="preserve"> </w:t>
      </w:r>
      <w:r>
        <w:rPr>
          <w:spacing w:val="-10"/>
          <w:sz w:val="24"/>
          <w:szCs w:val="24"/>
        </w:rPr>
        <w:t>电</w:t>
      </w:r>
      <w:r>
        <w:rPr>
          <w:spacing w:val="-71"/>
          <w:sz w:val="24"/>
          <w:szCs w:val="24"/>
        </w:rPr>
        <w:t xml:space="preserve"> </w:t>
      </w:r>
      <w:r>
        <w:rPr>
          <w:spacing w:val="-10"/>
          <w:sz w:val="24"/>
          <w:szCs w:val="24"/>
        </w:rPr>
        <w:t>场</w:t>
      </w:r>
      <w:r>
        <w:rPr>
          <w:spacing w:val="-61"/>
          <w:sz w:val="24"/>
          <w:szCs w:val="24"/>
        </w:rPr>
        <w:t xml:space="preserve"> </w:t>
      </w:r>
      <w:r>
        <w:rPr>
          <w:spacing w:val="-10"/>
          <w:sz w:val="24"/>
          <w:szCs w:val="24"/>
        </w:rPr>
        <w:t>强</w:t>
      </w:r>
      <w:r>
        <w:rPr>
          <w:spacing w:val="-71"/>
          <w:sz w:val="24"/>
          <w:szCs w:val="24"/>
        </w:rPr>
        <w:t xml:space="preserve"> </w:t>
      </w:r>
      <w:r>
        <w:rPr>
          <w:spacing w:val="-10"/>
          <w:sz w:val="24"/>
          <w:szCs w:val="24"/>
        </w:rPr>
        <w:t>度</w:t>
      </w:r>
      <w:r>
        <w:rPr>
          <w:spacing w:val="-65"/>
          <w:sz w:val="24"/>
          <w:szCs w:val="24"/>
        </w:rPr>
        <w:t xml:space="preserve"> </w:t>
      </w:r>
      <w:r>
        <w:rPr>
          <w:spacing w:val="-10"/>
          <w:sz w:val="24"/>
          <w:szCs w:val="24"/>
        </w:rPr>
        <w:t>最</w:t>
      </w:r>
      <w:r>
        <w:rPr>
          <w:spacing w:val="-67"/>
          <w:sz w:val="24"/>
          <w:szCs w:val="24"/>
        </w:rPr>
        <w:t xml:space="preserve"> </w:t>
      </w:r>
      <w:r>
        <w:rPr>
          <w:spacing w:val="-10"/>
          <w:sz w:val="24"/>
          <w:szCs w:val="24"/>
        </w:rPr>
        <w:t>大</w:t>
      </w:r>
      <w:r>
        <w:rPr>
          <w:spacing w:val="-67"/>
          <w:sz w:val="24"/>
          <w:szCs w:val="24"/>
        </w:rPr>
        <w:t xml:space="preserve"> </w:t>
      </w:r>
      <w:r>
        <w:rPr>
          <w:spacing w:val="-10"/>
          <w:sz w:val="24"/>
          <w:szCs w:val="24"/>
        </w:rPr>
        <w:t>值</w:t>
      </w:r>
      <w:r>
        <w:rPr>
          <w:spacing w:val="-65"/>
          <w:sz w:val="24"/>
          <w:szCs w:val="24"/>
        </w:rPr>
        <w:t xml:space="preserve"> </w:t>
      </w:r>
      <w:r>
        <w:rPr>
          <w:spacing w:val="-10"/>
          <w:sz w:val="24"/>
          <w:szCs w:val="24"/>
        </w:rPr>
        <w:t>为</w:t>
      </w:r>
      <w:r>
        <w:rPr>
          <w:rFonts w:ascii="Times New Roman" w:hAnsi="Times New Roman" w:eastAsia="Times New Roman" w:cs="Times New Roman"/>
          <w:spacing w:val="-6"/>
          <w:sz w:val="24"/>
          <w:szCs w:val="24"/>
        </w:rPr>
        <w:t>2.3257kV/m</w:t>
      </w:r>
      <w:r>
        <w:rPr>
          <w:spacing w:val="-6"/>
          <w:sz w:val="24"/>
          <w:szCs w:val="24"/>
        </w:rPr>
        <w:t>，工频磁感应强度最大值为</w:t>
      </w:r>
      <w:r>
        <w:rPr>
          <w:spacing w:val="-32"/>
          <w:sz w:val="24"/>
          <w:szCs w:val="24"/>
        </w:rPr>
        <w:t xml:space="preserve"> </w:t>
      </w:r>
      <w:r>
        <w:rPr>
          <w:rFonts w:ascii="Times New Roman" w:hAnsi="Times New Roman" w:eastAsia="Times New Roman" w:cs="Times New Roman"/>
          <w:spacing w:val="-6"/>
          <w:sz w:val="24"/>
          <w:szCs w:val="24"/>
        </w:rPr>
        <w:t>17.</w:t>
      </w:r>
      <w:r>
        <w:rPr>
          <w:rFonts w:ascii="Times New Roman" w:hAnsi="Times New Roman" w:eastAsia="Times New Roman" w:cs="Times New Roman"/>
          <w:spacing w:val="-7"/>
          <w:sz w:val="24"/>
          <w:szCs w:val="24"/>
        </w:rPr>
        <w:t>8995μT</w:t>
      </w:r>
      <w:r>
        <w:rPr>
          <w:spacing w:val="-7"/>
          <w:sz w:val="24"/>
          <w:szCs w:val="24"/>
        </w:rPr>
        <w:t>，均出现在杆塔中央，满足《电</w:t>
      </w:r>
      <w:r>
        <w:rPr>
          <w:spacing w:val="-1"/>
          <w:sz w:val="24"/>
          <w:szCs w:val="24"/>
        </w:rPr>
        <w:t>磁环境控制限值》（</w:t>
      </w:r>
      <w:r>
        <w:rPr>
          <w:rFonts w:ascii="Times New Roman" w:hAnsi="Times New Roman" w:eastAsia="Times New Roman" w:cs="Times New Roman"/>
          <w:spacing w:val="-1"/>
          <w:sz w:val="24"/>
          <w:szCs w:val="24"/>
        </w:rPr>
        <w:t>GB8702-2014</w:t>
      </w:r>
      <w:r>
        <w:rPr>
          <w:spacing w:val="-1"/>
          <w:sz w:val="24"/>
          <w:szCs w:val="24"/>
        </w:rPr>
        <w:t>）中耕地、园地、牧草地、畜禽饲养地、养殖</w:t>
      </w:r>
      <w:r>
        <w:rPr>
          <w:spacing w:val="-3"/>
          <w:sz w:val="24"/>
          <w:szCs w:val="24"/>
        </w:rPr>
        <w:t>水面、道路等场所处</w:t>
      </w:r>
      <w:r>
        <w:rPr>
          <w:spacing w:val="-32"/>
          <w:sz w:val="24"/>
          <w:szCs w:val="24"/>
        </w:rPr>
        <w:t xml:space="preserve"> </w:t>
      </w:r>
      <w:r>
        <w:rPr>
          <w:rFonts w:ascii="Times New Roman" w:hAnsi="Times New Roman" w:eastAsia="Times New Roman" w:cs="Times New Roman"/>
          <w:spacing w:val="-3"/>
          <w:sz w:val="24"/>
          <w:szCs w:val="24"/>
        </w:rPr>
        <w:t>10kV/m</w:t>
      </w:r>
      <w:r>
        <w:rPr>
          <w:rFonts w:ascii="Times New Roman" w:hAnsi="Times New Roman" w:eastAsia="Times New Roman" w:cs="Times New Roman"/>
          <w:spacing w:val="-36"/>
          <w:sz w:val="24"/>
          <w:szCs w:val="24"/>
        </w:rPr>
        <w:t xml:space="preserve"> </w:t>
      </w:r>
      <w:r>
        <w:rPr>
          <w:spacing w:val="-3"/>
          <w:sz w:val="24"/>
          <w:szCs w:val="24"/>
        </w:rPr>
        <w:t>、</w:t>
      </w:r>
      <w:r>
        <w:rPr>
          <w:rFonts w:ascii="Times New Roman" w:hAnsi="Times New Roman" w:eastAsia="Times New Roman" w:cs="Times New Roman"/>
          <w:spacing w:val="-3"/>
          <w:sz w:val="24"/>
          <w:szCs w:val="24"/>
        </w:rPr>
        <w:t>100μT</w:t>
      </w:r>
      <w:r>
        <w:rPr>
          <w:rFonts w:ascii="Times New Roman" w:hAnsi="Times New Roman" w:eastAsia="Times New Roman" w:cs="Times New Roman"/>
          <w:spacing w:val="29"/>
          <w:w w:val="101"/>
          <w:sz w:val="24"/>
          <w:szCs w:val="24"/>
        </w:rPr>
        <w:t xml:space="preserve"> </w:t>
      </w:r>
      <w:r>
        <w:rPr>
          <w:spacing w:val="-3"/>
          <w:sz w:val="24"/>
          <w:szCs w:val="24"/>
        </w:rPr>
        <w:t>的限值要</w:t>
      </w:r>
      <w:r>
        <w:rPr>
          <w:spacing w:val="-4"/>
          <w:sz w:val="24"/>
          <w:szCs w:val="24"/>
        </w:rPr>
        <w:t>求；导线对地面距离为</w:t>
      </w:r>
      <w:r>
        <w:rPr>
          <w:spacing w:val="-51"/>
          <w:sz w:val="24"/>
          <w:szCs w:val="24"/>
        </w:rPr>
        <w:t xml:space="preserve"> </w:t>
      </w:r>
      <w:r>
        <w:rPr>
          <w:rFonts w:ascii="Times New Roman" w:hAnsi="Times New Roman" w:eastAsia="Times New Roman" w:cs="Times New Roman"/>
          <w:spacing w:val="-4"/>
          <w:sz w:val="24"/>
          <w:szCs w:val="24"/>
        </w:rPr>
        <w:t>7.0m</w:t>
      </w:r>
      <w:r>
        <w:rPr>
          <w:rFonts w:ascii="Times New Roman" w:hAnsi="Times New Roman" w:eastAsia="Times New Roman" w:cs="Times New Roman"/>
          <w:spacing w:val="21"/>
          <w:sz w:val="24"/>
          <w:szCs w:val="24"/>
        </w:rPr>
        <w:t xml:space="preserve"> </w:t>
      </w:r>
      <w:r>
        <w:rPr>
          <w:spacing w:val="-4"/>
          <w:sz w:val="24"/>
          <w:szCs w:val="24"/>
        </w:rPr>
        <w:t>时，</w:t>
      </w:r>
      <w:r>
        <w:rPr>
          <w:spacing w:val="-3"/>
          <w:sz w:val="24"/>
          <w:szCs w:val="24"/>
        </w:rPr>
        <w:t>地面</w:t>
      </w:r>
      <w:r>
        <w:rPr>
          <w:spacing w:val="-32"/>
          <w:sz w:val="24"/>
          <w:szCs w:val="24"/>
        </w:rPr>
        <w:t xml:space="preserve"> </w:t>
      </w:r>
      <w:r>
        <w:rPr>
          <w:rFonts w:ascii="Times New Roman" w:hAnsi="Times New Roman" w:eastAsia="Times New Roman" w:cs="Times New Roman"/>
          <w:spacing w:val="-3"/>
          <w:sz w:val="24"/>
          <w:szCs w:val="24"/>
        </w:rPr>
        <w:t>1.5m</w:t>
      </w:r>
      <w:r>
        <w:rPr>
          <w:rFonts w:ascii="Times New Roman" w:hAnsi="Times New Roman" w:eastAsia="Times New Roman" w:cs="Times New Roman"/>
          <w:spacing w:val="14"/>
          <w:sz w:val="24"/>
          <w:szCs w:val="24"/>
        </w:rPr>
        <w:t xml:space="preserve"> </w:t>
      </w:r>
      <w:r>
        <w:rPr>
          <w:spacing w:val="-3"/>
          <w:sz w:val="24"/>
          <w:szCs w:val="24"/>
        </w:rPr>
        <w:t>高处的工频电场强度最大值为</w:t>
      </w:r>
      <w:r>
        <w:rPr>
          <w:spacing w:val="-32"/>
          <w:sz w:val="24"/>
          <w:szCs w:val="24"/>
        </w:rPr>
        <w:t xml:space="preserve"> </w:t>
      </w:r>
      <w:r>
        <w:rPr>
          <w:rFonts w:ascii="Times New Roman" w:hAnsi="Times New Roman" w:eastAsia="Times New Roman" w:cs="Times New Roman"/>
          <w:spacing w:val="-3"/>
          <w:sz w:val="24"/>
          <w:szCs w:val="24"/>
        </w:rPr>
        <w:t>1.8003kV/m</w:t>
      </w:r>
      <w:r>
        <w:rPr>
          <w:spacing w:val="-3"/>
          <w:sz w:val="24"/>
          <w:szCs w:val="24"/>
        </w:rPr>
        <w:t>，工频磁感应强度最大值为</w:t>
      </w:r>
      <w:r>
        <w:rPr>
          <w:rFonts w:ascii="Times New Roman" w:hAnsi="Times New Roman" w:eastAsia="Times New Roman" w:cs="Times New Roman"/>
          <w:spacing w:val="1"/>
          <w:sz w:val="24"/>
          <w:szCs w:val="24"/>
        </w:rPr>
        <w:t>13.5182μT</w:t>
      </w:r>
      <w:r>
        <w:rPr>
          <w:rFonts w:ascii="Times New Roman" w:hAnsi="Times New Roman" w:eastAsia="Times New Roman" w:cs="Times New Roman"/>
          <w:spacing w:val="-25"/>
          <w:sz w:val="24"/>
          <w:szCs w:val="24"/>
        </w:rPr>
        <w:t xml:space="preserve"> </w:t>
      </w:r>
      <w:r>
        <w:rPr>
          <w:spacing w:val="1"/>
          <w:sz w:val="24"/>
          <w:szCs w:val="24"/>
        </w:rPr>
        <w:t>，满足《电磁环境控制限值》（</w:t>
      </w:r>
      <w:r>
        <w:rPr>
          <w:rFonts w:ascii="Times New Roman" w:hAnsi="Times New Roman" w:eastAsia="Times New Roman" w:cs="Times New Roman"/>
          <w:sz w:val="24"/>
          <w:szCs w:val="24"/>
        </w:rPr>
        <w:t>GB</w:t>
      </w:r>
      <w:r>
        <w:rPr>
          <w:rFonts w:ascii="Times New Roman" w:hAnsi="Times New Roman" w:eastAsia="Times New Roman" w:cs="Times New Roman"/>
          <w:spacing w:val="1"/>
          <w:sz w:val="24"/>
          <w:szCs w:val="24"/>
        </w:rPr>
        <w:t>8702-2014</w:t>
      </w:r>
      <w:r>
        <w:rPr>
          <w:spacing w:val="18"/>
          <w:sz w:val="24"/>
          <w:szCs w:val="24"/>
        </w:rPr>
        <w:t>）：</w:t>
      </w:r>
      <w:r>
        <w:rPr>
          <w:spacing w:val="1"/>
          <w:sz w:val="24"/>
          <w:szCs w:val="24"/>
        </w:rPr>
        <w:t>工频磁感应强度公</w:t>
      </w:r>
      <w:r>
        <w:rPr>
          <w:spacing w:val="-2"/>
          <w:sz w:val="24"/>
          <w:szCs w:val="24"/>
        </w:rPr>
        <w:t>众曝露控制限值</w:t>
      </w:r>
      <w:r>
        <w:rPr>
          <w:rFonts w:ascii="Times New Roman" w:hAnsi="Times New Roman" w:eastAsia="Times New Roman" w:cs="Times New Roman"/>
          <w:spacing w:val="-2"/>
          <w:sz w:val="24"/>
          <w:szCs w:val="24"/>
        </w:rPr>
        <w:t>≤100μT</w:t>
      </w:r>
      <w:r>
        <w:rPr>
          <w:rFonts w:ascii="Times New Roman" w:hAnsi="Times New Roman" w:eastAsia="Times New Roman" w:cs="Times New Roman"/>
          <w:spacing w:val="-19"/>
          <w:sz w:val="24"/>
          <w:szCs w:val="24"/>
        </w:rPr>
        <w:t xml:space="preserve"> </w:t>
      </w:r>
      <w:r>
        <w:rPr>
          <w:spacing w:val="-2"/>
          <w:sz w:val="24"/>
          <w:szCs w:val="24"/>
        </w:rPr>
        <w:t>，工频电场强度公众曝露控制限值</w:t>
      </w:r>
      <w:r>
        <w:rPr>
          <w:rFonts w:ascii="Times New Roman" w:hAnsi="Times New Roman" w:eastAsia="Times New Roman" w:cs="Times New Roman"/>
          <w:spacing w:val="-2"/>
          <w:sz w:val="24"/>
          <w:szCs w:val="24"/>
        </w:rPr>
        <w:t>≤4kV/m</w:t>
      </w:r>
      <w:r>
        <w:rPr>
          <w:rFonts w:ascii="Times New Roman" w:hAnsi="Times New Roman" w:eastAsia="Times New Roman" w:cs="Times New Roman"/>
          <w:spacing w:val="28"/>
          <w:sz w:val="24"/>
          <w:szCs w:val="24"/>
        </w:rPr>
        <w:t xml:space="preserve"> </w:t>
      </w:r>
      <w:r>
        <w:rPr>
          <w:spacing w:val="-2"/>
          <w:sz w:val="24"/>
          <w:szCs w:val="24"/>
        </w:rPr>
        <w:t>的要求。</w:t>
      </w:r>
    </w:p>
    <w:p w14:paraId="4AA88C8C">
      <w:pPr>
        <w:spacing w:line="359" w:lineRule="auto"/>
        <w:rPr>
          <w:sz w:val="24"/>
          <w:szCs w:val="24"/>
        </w:rPr>
        <w:sectPr>
          <w:footerReference r:id="rId200" w:type="default"/>
          <w:pgSz w:w="11906" w:h="16839"/>
          <w:pgMar w:top="400" w:right="1693" w:bottom="1147" w:left="1785" w:header="0" w:footer="960" w:gutter="0"/>
          <w:cols w:space="720" w:num="1"/>
        </w:sectPr>
      </w:pPr>
    </w:p>
    <w:p w14:paraId="0B9295EF">
      <w:pPr>
        <w:spacing w:line="279" w:lineRule="auto"/>
        <w:rPr>
          <w:rFonts w:ascii="Arial"/>
          <w:sz w:val="21"/>
        </w:rPr>
      </w:pPr>
    </w:p>
    <w:p w14:paraId="182E6209">
      <w:pPr>
        <w:spacing w:line="280" w:lineRule="auto"/>
        <w:rPr>
          <w:rFonts w:ascii="Arial"/>
          <w:sz w:val="21"/>
        </w:rPr>
      </w:pPr>
    </w:p>
    <w:p w14:paraId="49AABA4F">
      <w:pPr>
        <w:spacing w:line="280" w:lineRule="auto"/>
        <w:rPr>
          <w:rFonts w:ascii="Arial"/>
          <w:sz w:val="21"/>
        </w:rPr>
      </w:pPr>
    </w:p>
    <w:p w14:paraId="0643B4E3">
      <w:pPr>
        <w:spacing w:line="280" w:lineRule="auto"/>
        <w:rPr>
          <w:rFonts w:ascii="Arial"/>
          <w:sz w:val="21"/>
        </w:rPr>
      </w:pPr>
    </w:p>
    <w:p w14:paraId="4FB137FC">
      <w:pPr>
        <w:spacing w:line="280" w:lineRule="auto"/>
        <w:rPr>
          <w:rFonts w:ascii="Arial"/>
          <w:sz w:val="21"/>
        </w:rPr>
      </w:pPr>
    </w:p>
    <w:p w14:paraId="7A9B42FD">
      <w:pPr>
        <w:pStyle w:val="2"/>
        <w:spacing w:before="97" w:line="218" w:lineRule="auto"/>
        <w:ind w:left="39"/>
        <w:rPr>
          <w:sz w:val="30"/>
          <w:szCs w:val="30"/>
        </w:rPr>
      </w:pPr>
      <w:r>
        <w:rPr>
          <w:rFonts w:ascii="Times New Roman" w:hAnsi="Times New Roman" w:eastAsia="Times New Roman" w:cs="Times New Roman"/>
          <w:b/>
          <w:bCs/>
          <w:spacing w:val="-2"/>
          <w:sz w:val="30"/>
          <w:szCs w:val="30"/>
        </w:rPr>
        <w:t xml:space="preserve">5.3 110kV </w:t>
      </w:r>
      <w:r>
        <w:rPr>
          <w:b/>
          <w:bCs/>
          <w:spacing w:val="-2"/>
          <w:sz w:val="30"/>
          <w:szCs w:val="30"/>
        </w:rPr>
        <w:t>线路沿线电磁环境保护目标电磁环境影响预测与评价</w:t>
      </w:r>
    </w:p>
    <w:p w14:paraId="6BD51A27">
      <w:pPr>
        <w:spacing w:line="421" w:lineRule="auto"/>
        <w:rPr>
          <w:rFonts w:ascii="Arial"/>
          <w:sz w:val="21"/>
        </w:rPr>
      </w:pPr>
    </w:p>
    <w:p w14:paraId="455DF567">
      <w:pPr>
        <w:pStyle w:val="2"/>
        <w:spacing w:before="78" w:line="336" w:lineRule="auto"/>
        <w:ind w:left="41" w:right="28" w:firstLine="477"/>
        <w:rPr>
          <w:sz w:val="24"/>
          <w:szCs w:val="24"/>
        </w:rPr>
      </w:pPr>
      <w:r>
        <w:rPr>
          <w:spacing w:val="1"/>
          <w:sz w:val="24"/>
          <w:szCs w:val="24"/>
        </w:rPr>
        <w:t>根据工程输电线路路径走向及现场调查，本期拟建的</w:t>
      </w:r>
      <w:r>
        <w:rPr>
          <w:spacing w:val="-27"/>
          <w:sz w:val="24"/>
          <w:szCs w:val="24"/>
        </w:rPr>
        <w:t xml:space="preserve"> </w:t>
      </w:r>
      <w:r>
        <w:rPr>
          <w:rFonts w:ascii="Times New Roman" w:hAnsi="Times New Roman" w:eastAsia="Times New Roman" w:cs="Times New Roman"/>
          <w:spacing w:val="1"/>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线路电磁</w:t>
      </w:r>
      <w:r>
        <w:rPr>
          <w:sz w:val="24"/>
          <w:szCs w:val="24"/>
        </w:rPr>
        <w:t>环境评价范围内涉及</w:t>
      </w:r>
      <w:r>
        <w:rPr>
          <w:spacing w:val="-30"/>
          <w:sz w:val="24"/>
          <w:szCs w:val="24"/>
        </w:rPr>
        <w:t xml:space="preserve"> </w:t>
      </w:r>
      <w:r>
        <w:rPr>
          <w:rFonts w:ascii="Times New Roman" w:hAnsi="Times New Roman" w:eastAsia="Times New Roman" w:cs="Times New Roman"/>
          <w:sz w:val="24"/>
          <w:szCs w:val="24"/>
        </w:rPr>
        <w:t xml:space="preserve">17 </w:t>
      </w:r>
      <w:r>
        <w:rPr>
          <w:sz w:val="24"/>
          <w:szCs w:val="24"/>
        </w:rPr>
        <w:t>个电磁环境敏感目标，其预测以沿线环境保护目标经过居民区相应距离处电场强度</w:t>
      </w:r>
      <w:r>
        <w:rPr>
          <w:spacing w:val="-1"/>
          <w:sz w:val="24"/>
          <w:szCs w:val="24"/>
        </w:rPr>
        <w:t>、磁感应强度理论计算值进行评价，预测结果见表</w:t>
      </w:r>
      <w:r>
        <w:rPr>
          <w:spacing w:val="-48"/>
          <w:sz w:val="24"/>
          <w:szCs w:val="24"/>
        </w:rPr>
        <w:t xml:space="preserve"> </w:t>
      </w:r>
      <w:r>
        <w:rPr>
          <w:rFonts w:ascii="Times New Roman" w:hAnsi="Times New Roman" w:eastAsia="Times New Roman" w:cs="Times New Roman"/>
          <w:spacing w:val="-1"/>
          <w:sz w:val="24"/>
          <w:szCs w:val="24"/>
        </w:rPr>
        <w:t>5-8</w:t>
      </w:r>
      <w:r>
        <w:rPr>
          <w:spacing w:val="-1"/>
          <w:sz w:val="24"/>
          <w:szCs w:val="24"/>
        </w:rPr>
        <w:t>。</w:t>
      </w:r>
    </w:p>
    <w:p w14:paraId="262A7E57">
      <w:pPr>
        <w:pStyle w:val="2"/>
        <w:spacing w:line="221" w:lineRule="auto"/>
        <w:ind w:left="1092"/>
        <w:rPr>
          <w:sz w:val="20"/>
          <w:szCs w:val="20"/>
        </w:rPr>
      </w:pPr>
      <w:r>
        <w:rPr>
          <w:b/>
          <w:bCs/>
          <w:spacing w:val="7"/>
          <w:sz w:val="20"/>
          <w:szCs w:val="20"/>
        </w:rPr>
        <w:t>表</w:t>
      </w:r>
      <w:r>
        <w:rPr>
          <w:spacing w:val="-35"/>
          <w:sz w:val="20"/>
          <w:szCs w:val="20"/>
        </w:rPr>
        <w:t xml:space="preserve"> </w:t>
      </w:r>
      <w:r>
        <w:rPr>
          <w:rFonts w:ascii="Times New Roman" w:hAnsi="Times New Roman" w:eastAsia="Times New Roman" w:cs="Times New Roman"/>
          <w:b/>
          <w:bCs/>
          <w:spacing w:val="7"/>
          <w:sz w:val="20"/>
          <w:szCs w:val="20"/>
        </w:rPr>
        <w:t xml:space="preserve">5-8    </w:t>
      </w:r>
      <w:r>
        <w:rPr>
          <w:b/>
          <w:bCs/>
          <w:spacing w:val="7"/>
          <w:sz w:val="20"/>
          <w:szCs w:val="20"/>
        </w:rPr>
        <w:t>本工程线路运营期对环境保护目标的电磁环境影响预测结果统计</w:t>
      </w:r>
      <w:r>
        <w:rPr>
          <w:spacing w:val="7"/>
          <w:sz w:val="20"/>
          <w:szCs w:val="20"/>
        </w:rPr>
        <w:t xml:space="preserve">   </w:t>
      </w:r>
      <w:r>
        <w:rPr>
          <w:b/>
          <w:bCs/>
          <w:spacing w:val="7"/>
          <w:sz w:val="20"/>
          <w:szCs w:val="20"/>
        </w:rPr>
        <w:t>（单位：工频电场强度</w:t>
      </w:r>
      <w:r>
        <w:rPr>
          <w:spacing w:val="7"/>
          <w:sz w:val="20"/>
          <w:szCs w:val="20"/>
        </w:rPr>
        <w:t xml:space="preserve"> </w:t>
      </w:r>
      <w:r>
        <w:rPr>
          <w:rFonts w:ascii="Times New Roman" w:hAnsi="Times New Roman" w:eastAsia="Times New Roman" w:cs="Times New Roman"/>
          <w:b/>
          <w:bCs/>
          <w:sz w:val="20"/>
          <w:szCs w:val="20"/>
        </w:rPr>
        <w:t>kV</w:t>
      </w:r>
      <w:r>
        <w:rPr>
          <w:rFonts w:ascii="Times New Roman" w:hAnsi="Times New Roman" w:eastAsia="Times New Roman" w:cs="Times New Roman"/>
          <w:b/>
          <w:bCs/>
          <w:spacing w:val="7"/>
          <w:sz w:val="20"/>
          <w:szCs w:val="20"/>
        </w:rPr>
        <w:t>/m</w:t>
      </w:r>
      <w:r>
        <w:rPr>
          <w:rFonts w:ascii="Times New Roman" w:hAnsi="Times New Roman" w:eastAsia="Times New Roman" w:cs="Times New Roman"/>
          <w:b/>
          <w:bCs/>
          <w:spacing w:val="-26"/>
          <w:sz w:val="20"/>
          <w:szCs w:val="20"/>
        </w:rPr>
        <w:t xml:space="preserve"> </w:t>
      </w:r>
      <w:r>
        <w:rPr>
          <w:b/>
          <w:bCs/>
          <w:spacing w:val="7"/>
          <w:sz w:val="20"/>
          <w:szCs w:val="20"/>
        </w:rPr>
        <w:t>、工频磁感应强度</w:t>
      </w:r>
      <w:r>
        <w:rPr>
          <w:rFonts w:ascii="Times New Roman" w:hAnsi="Times New Roman" w:eastAsia="Times New Roman" w:cs="Times New Roman"/>
          <w:b/>
          <w:bCs/>
          <w:spacing w:val="7"/>
          <w:sz w:val="20"/>
          <w:szCs w:val="20"/>
        </w:rPr>
        <w:t>μT</w:t>
      </w:r>
      <w:r>
        <w:rPr>
          <w:b/>
          <w:bCs/>
          <w:spacing w:val="7"/>
          <w:sz w:val="20"/>
          <w:szCs w:val="20"/>
        </w:rPr>
        <w:t>）</w:t>
      </w:r>
    </w:p>
    <w:p w14:paraId="5243A69E">
      <w:pPr>
        <w:spacing w:line="20" w:lineRule="exact"/>
      </w:pPr>
    </w:p>
    <w:tbl>
      <w:tblPr>
        <w:tblStyle w:val="5"/>
        <w:tblW w:w="14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9"/>
        <w:gridCol w:w="937"/>
        <w:gridCol w:w="1274"/>
        <w:gridCol w:w="2454"/>
        <w:gridCol w:w="1699"/>
        <w:gridCol w:w="1076"/>
        <w:gridCol w:w="1182"/>
        <w:gridCol w:w="2380"/>
        <w:gridCol w:w="2009"/>
      </w:tblGrid>
      <w:tr w14:paraId="4749C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999" w:type="dxa"/>
            <w:vMerge w:val="restart"/>
            <w:tcBorders>
              <w:bottom w:val="nil"/>
            </w:tcBorders>
            <w:vAlign w:val="top"/>
          </w:tcPr>
          <w:p w14:paraId="694F1860">
            <w:pPr>
              <w:pStyle w:val="6"/>
              <w:spacing w:before="212" w:line="290" w:lineRule="auto"/>
              <w:ind w:left="123" w:right="74" w:hanging="39"/>
            </w:pPr>
            <w:r>
              <w:rPr>
                <w:b/>
                <w:bCs/>
                <w:spacing w:val="6"/>
              </w:rPr>
              <w:t>环境保护</w:t>
            </w:r>
            <w:r>
              <w:rPr>
                <w:b/>
                <w:bCs/>
                <w:spacing w:val="-5"/>
              </w:rPr>
              <w:t>目标名称</w:t>
            </w:r>
          </w:p>
        </w:tc>
        <w:tc>
          <w:tcPr>
            <w:tcW w:w="937" w:type="dxa"/>
            <w:vMerge w:val="restart"/>
            <w:tcBorders>
              <w:bottom w:val="nil"/>
            </w:tcBorders>
            <w:vAlign w:val="top"/>
          </w:tcPr>
          <w:p w14:paraId="632A26A8">
            <w:pPr>
              <w:pStyle w:val="6"/>
              <w:spacing w:before="213" w:line="289" w:lineRule="auto"/>
              <w:ind w:left="53" w:right="47" w:firstLine="3"/>
            </w:pPr>
            <w:r>
              <w:rPr>
                <w:b/>
                <w:bCs/>
                <w:spacing w:val="5"/>
              </w:rPr>
              <w:t>导线对地最低高度</w:t>
            </w:r>
          </w:p>
        </w:tc>
        <w:tc>
          <w:tcPr>
            <w:tcW w:w="1274" w:type="dxa"/>
            <w:vMerge w:val="restart"/>
            <w:tcBorders>
              <w:bottom w:val="nil"/>
            </w:tcBorders>
            <w:vAlign w:val="top"/>
          </w:tcPr>
          <w:p w14:paraId="400BDEE7">
            <w:pPr>
              <w:pStyle w:val="6"/>
              <w:spacing w:before="213" w:line="289" w:lineRule="auto"/>
              <w:ind w:left="433" w:right="111" w:hanging="317"/>
            </w:pPr>
            <w:r>
              <w:rPr>
                <w:b/>
                <w:bCs/>
                <w:spacing w:val="6"/>
              </w:rPr>
              <w:t>建筑特点及</w:t>
            </w:r>
            <w:r>
              <w:rPr>
                <w:b/>
                <w:bCs/>
                <w:spacing w:val="1"/>
              </w:rPr>
              <w:t>高度</w:t>
            </w:r>
          </w:p>
        </w:tc>
        <w:tc>
          <w:tcPr>
            <w:tcW w:w="2454" w:type="dxa"/>
            <w:vMerge w:val="restart"/>
            <w:tcBorders>
              <w:bottom w:val="nil"/>
            </w:tcBorders>
            <w:vAlign w:val="top"/>
          </w:tcPr>
          <w:p w14:paraId="7AD9A38F">
            <w:pPr>
              <w:spacing w:line="301" w:lineRule="auto"/>
              <w:rPr>
                <w:rFonts w:ascii="Arial"/>
                <w:sz w:val="21"/>
              </w:rPr>
            </w:pPr>
          </w:p>
          <w:p w14:paraId="5D34075C">
            <w:pPr>
              <w:pStyle w:val="6"/>
              <w:spacing w:before="65" w:line="229" w:lineRule="auto"/>
              <w:ind w:left="1022"/>
            </w:pPr>
            <w:r>
              <w:rPr>
                <w:b/>
                <w:bCs/>
                <w:spacing w:val="3"/>
              </w:rPr>
              <w:t>方位</w:t>
            </w:r>
          </w:p>
        </w:tc>
        <w:tc>
          <w:tcPr>
            <w:tcW w:w="1699" w:type="dxa"/>
            <w:vMerge w:val="restart"/>
            <w:tcBorders>
              <w:bottom w:val="nil"/>
            </w:tcBorders>
            <w:vAlign w:val="top"/>
          </w:tcPr>
          <w:p w14:paraId="2FF12579">
            <w:pPr>
              <w:pStyle w:val="6"/>
              <w:spacing w:before="56" w:line="228" w:lineRule="auto"/>
              <w:ind w:left="122"/>
            </w:pPr>
            <w:r>
              <w:rPr>
                <w:b/>
                <w:bCs/>
                <w:spacing w:val="6"/>
              </w:rPr>
              <w:t>与变电站或线路</w:t>
            </w:r>
          </w:p>
          <w:p w14:paraId="70E66AA1">
            <w:pPr>
              <w:pStyle w:val="6"/>
              <w:spacing w:before="64" w:line="228" w:lineRule="auto"/>
              <w:ind w:left="117"/>
            </w:pPr>
            <w:r>
              <w:rPr>
                <w:b/>
                <w:bCs/>
                <w:spacing w:val="7"/>
              </w:rPr>
              <w:t>边导线投影水平</w:t>
            </w:r>
          </w:p>
          <w:p w14:paraId="30AAA66C">
            <w:pPr>
              <w:pStyle w:val="6"/>
              <w:spacing w:before="65" w:line="228" w:lineRule="auto"/>
              <w:ind w:left="643"/>
            </w:pPr>
            <w:r>
              <w:rPr>
                <w:b/>
                <w:bCs/>
                <w:spacing w:val="4"/>
              </w:rPr>
              <w:t>距离</w:t>
            </w:r>
          </w:p>
        </w:tc>
        <w:tc>
          <w:tcPr>
            <w:tcW w:w="1076" w:type="dxa"/>
            <w:vMerge w:val="restart"/>
            <w:tcBorders>
              <w:bottom w:val="nil"/>
            </w:tcBorders>
            <w:vAlign w:val="top"/>
          </w:tcPr>
          <w:p w14:paraId="17B0BE9A">
            <w:pPr>
              <w:pStyle w:val="6"/>
              <w:spacing w:before="56" w:line="228" w:lineRule="auto"/>
              <w:ind w:left="127"/>
            </w:pPr>
            <w:r>
              <w:rPr>
                <w:b/>
                <w:bCs/>
                <w:spacing w:val="5"/>
              </w:rPr>
              <w:t>与线路中</w:t>
            </w:r>
          </w:p>
          <w:p w14:paraId="707334BD">
            <w:pPr>
              <w:pStyle w:val="6"/>
              <w:spacing w:before="65" w:line="262" w:lineRule="auto"/>
              <w:ind w:left="230" w:right="113" w:hanging="100"/>
            </w:pPr>
            <w:r>
              <w:rPr>
                <w:b/>
                <w:bCs/>
                <w:spacing w:val="4"/>
              </w:rPr>
              <w:t>心最近直线距离</w:t>
            </w:r>
          </w:p>
        </w:tc>
        <w:tc>
          <w:tcPr>
            <w:tcW w:w="1182" w:type="dxa"/>
            <w:vMerge w:val="restart"/>
            <w:tcBorders>
              <w:bottom w:val="nil"/>
            </w:tcBorders>
            <w:vAlign w:val="top"/>
          </w:tcPr>
          <w:p w14:paraId="3911BCC7">
            <w:pPr>
              <w:pStyle w:val="6"/>
              <w:spacing w:before="212" w:line="228" w:lineRule="auto"/>
              <w:ind w:left="71"/>
            </w:pPr>
            <w:r>
              <w:rPr>
                <w:b/>
                <w:bCs/>
                <w:spacing w:val="6"/>
              </w:rPr>
              <w:t>预测点高度</w:t>
            </w:r>
          </w:p>
          <w:p w14:paraId="01A727C6">
            <w:pPr>
              <w:pStyle w:val="6"/>
              <w:spacing w:before="65"/>
              <w:ind w:left="307"/>
            </w:pPr>
            <w:r>
              <w:rPr>
                <w:b/>
                <w:bCs/>
                <w:spacing w:val="-2"/>
              </w:rPr>
              <w:t>（</w:t>
            </w:r>
            <w:r>
              <w:rPr>
                <w:rFonts w:ascii="Times New Roman" w:hAnsi="Times New Roman" w:eastAsia="Times New Roman" w:cs="Times New Roman"/>
                <w:b/>
                <w:bCs/>
                <w:spacing w:val="-2"/>
              </w:rPr>
              <w:t>m</w:t>
            </w:r>
            <w:r>
              <w:rPr>
                <w:b/>
                <w:bCs/>
                <w:spacing w:val="-2"/>
              </w:rPr>
              <w:t>）</w:t>
            </w:r>
          </w:p>
        </w:tc>
        <w:tc>
          <w:tcPr>
            <w:tcW w:w="4389" w:type="dxa"/>
            <w:gridSpan w:val="2"/>
            <w:vAlign w:val="top"/>
          </w:tcPr>
          <w:p w14:paraId="749BD9E3">
            <w:pPr>
              <w:pStyle w:val="6"/>
              <w:spacing w:before="56" w:line="228" w:lineRule="auto"/>
              <w:ind w:left="1884"/>
            </w:pPr>
            <w:r>
              <w:rPr>
                <w:b/>
                <w:bCs/>
                <w:spacing w:val="5"/>
              </w:rPr>
              <w:t>预测值</w:t>
            </w:r>
          </w:p>
        </w:tc>
      </w:tr>
      <w:tr w14:paraId="2F72F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999" w:type="dxa"/>
            <w:vMerge w:val="continue"/>
            <w:tcBorders>
              <w:top w:val="nil"/>
            </w:tcBorders>
            <w:vAlign w:val="top"/>
          </w:tcPr>
          <w:p w14:paraId="7CA70E83">
            <w:pPr>
              <w:rPr>
                <w:rFonts w:ascii="Arial"/>
                <w:sz w:val="21"/>
              </w:rPr>
            </w:pPr>
          </w:p>
        </w:tc>
        <w:tc>
          <w:tcPr>
            <w:tcW w:w="937" w:type="dxa"/>
            <w:vMerge w:val="continue"/>
            <w:tcBorders>
              <w:top w:val="nil"/>
            </w:tcBorders>
            <w:vAlign w:val="top"/>
          </w:tcPr>
          <w:p w14:paraId="1A521929">
            <w:pPr>
              <w:rPr>
                <w:rFonts w:ascii="Arial"/>
                <w:sz w:val="21"/>
              </w:rPr>
            </w:pPr>
          </w:p>
        </w:tc>
        <w:tc>
          <w:tcPr>
            <w:tcW w:w="1274" w:type="dxa"/>
            <w:vMerge w:val="continue"/>
            <w:tcBorders>
              <w:top w:val="nil"/>
            </w:tcBorders>
            <w:vAlign w:val="top"/>
          </w:tcPr>
          <w:p w14:paraId="690C2750">
            <w:pPr>
              <w:rPr>
                <w:rFonts w:ascii="Arial"/>
                <w:sz w:val="21"/>
              </w:rPr>
            </w:pPr>
          </w:p>
        </w:tc>
        <w:tc>
          <w:tcPr>
            <w:tcW w:w="2454" w:type="dxa"/>
            <w:vMerge w:val="continue"/>
            <w:tcBorders>
              <w:top w:val="nil"/>
            </w:tcBorders>
            <w:vAlign w:val="top"/>
          </w:tcPr>
          <w:p w14:paraId="7545F9FC">
            <w:pPr>
              <w:rPr>
                <w:rFonts w:ascii="Arial"/>
                <w:sz w:val="21"/>
              </w:rPr>
            </w:pPr>
          </w:p>
        </w:tc>
        <w:tc>
          <w:tcPr>
            <w:tcW w:w="1699" w:type="dxa"/>
            <w:vMerge w:val="continue"/>
            <w:tcBorders>
              <w:top w:val="nil"/>
            </w:tcBorders>
            <w:vAlign w:val="top"/>
          </w:tcPr>
          <w:p w14:paraId="62434D07">
            <w:pPr>
              <w:rPr>
                <w:rFonts w:ascii="Arial"/>
                <w:sz w:val="21"/>
              </w:rPr>
            </w:pPr>
          </w:p>
        </w:tc>
        <w:tc>
          <w:tcPr>
            <w:tcW w:w="1076" w:type="dxa"/>
            <w:vMerge w:val="continue"/>
            <w:tcBorders>
              <w:top w:val="nil"/>
            </w:tcBorders>
            <w:vAlign w:val="top"/>
          </w:tcPr>
          <w:p w14:paraId="79074600">
            <w:pPr>
              <w:rPr>
                <w:rFonts w:ascii="Arial"/>
                <w:sz w:val="21"/>
              </w:rPr>
            </w:pPr>
          </w:p>
        </w:tc>
        <w:tc>
          <w:tcPr>
            <w:tcW w:w="1182" w:type="dxa"/>
            <w:vMerge w:val="continue"/>
            <w:tcBorders>
              <w:top w:val="nil"/>
            </w:tcBorders>
            <w:vAlign w:val="top"/>
          </w:tcPr>
          <w:p w14:paraId="54F6603F">
            <w:pPr>
              <w:rPr>
                <w:rFonts w:ascii="Arial"/>
                <w:sz w:val="21"/>
              </w:rPr>
            </w:pPr>
          </w:p>
        </w:tc>
        <w:tc>
          <w:tcPr>
            <w:tcW w:w="2380" w:type="dxa"/>
            <w:vAlign w:val="top"/>
          </w:tcPr>
          <w:p w14:paraId="2743C7BB">
            <w:pPr>
              <w:pStyle w:val="6"/>
              <w:spacing w:before="202" w:line="228" w:lineRule="auto"/>
              <w:ind w:left="104"/>
            </w:pPr>
            <w:r>
              <w:rPr>
                <w:b/>
                <w:bCs/>
                <w:spacing w:val="7"/>
              </w:rPr>
              <w:t>工频电场强度（</w:t>
            </w:r>
            <w:r>
              <w:rPr>
                <w:rFonts w:ascii="Times New Roman" w:hAnsi="Times New Roman" w:eastAsia="Times New Roman" w:cs="Times New Roman"/>
                <w:b/>
                <w:bCs/>
              </w:rPr>
              <w:t>kV</w:t>
            </w:r>
            <w:r>
              <w:rPr>
                <w:rFonts w:ascii="Times New Roman" w:hAnsi="Times New Roman" w:eastAsia="Times New Roman" w:cs="Times New Roman"/>
                <w:b/>
                <w:bCs/>
                <w:spacing w:val="7"/>
              </w:rPr>
              <w:t>/m</w:t>
            </w:r>
            <w:r>
              <w:rPr>
                <w:b/>
                <w:bCs/>
                <w:spacing w:val="7"/>
              </w:rPr>
              <w:t>）</w:t>
            </w:r>
          </w:p>
        </w:tc>
        <w:tc>
          <w:tcPr>
            <w:tcW w:w="2009" w:type="dxa"/>
            <w:vAlign w:val="top"/>
          </w:tcPr>
          <w:p w14:paraId="09CBC257">
            <w:pPr>
              <w:pStyle w:val="6"/>
              <w:spacing w:before="202" w:line="221" w:lineRule="auto"/>
              <w:jc w:val="right"/>
            </w:pPr>
            <w:r>
              <w:rPr>
                <w:b/>
                <w:bCs/>
              </w:rPr>
              <w:t>工频磁感应强度(</w:t>
            </w:r>
            <w:r>
              <w:rPr>
                <w:rFonts w:ascii="Times New Roman" w:hAnsi="Times New Roman" w:eastAsia="Times New Roman" w:cs="Times New Roman"/>
                <w:b/>
                <w:bCs/>
              </w:rPr>
              <w:t>μT</w:t>
            </w:r>
            <w:r>
              <w:rPr>
                <w:b/>
                <w:bCs/>
              </w:rPr>
              <w:t>）</w:t>
            </w:r>
          </w:p>
        </w:tc>
      </w:tr>
      <w:tr w14:paraId="24565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99" w:type="dxa"/>
            <w:vAlign w:val="top"/>
          </w:tcPr>
          <w:p w14:paraId="6BC88F9D">
            <w:pPr>
              <w:pStyle w:val="6"/>
              <w:spacing w:before="50" w:line="262" w:lineRule="auto"/>
              <w:ind w:left="190" w:right="77" w:hanging="107"/>
            </w:pPr>
            <w:r>
              <w:rPr>
                <w:spacing w:val="8"/>
              </w:rPr>
              <w:t>①菜地看</w:t>
            </w:r>
            <w:r>
              <w:rPr>
                <w:spacing w:val="6"/>
              </w:rPr>
              <w:t>护用房</w:t>
            </w:r>
          </w:p>
        </w:tc>
        <w:tc>
          <w:tcPr>
            <w:tcW w:w="937" w:type="dxa"/>
            <w:vAlign w:val="top"/>
          </w:tcPr>
          <w:p w14:paraId="6D426492">
            <w:pPr>
              <w:spacing w:before="246" w:line="192"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1274" w:type="dxa"/>
            <w:vAlign w:val="top"/>
          </w:tcPr>
          <w:p w14:paraId="17A224C9">
            <w:pPr>
              <w:pStyle w:val="6"/>
              <w:spacing w:before="50" w:line="262" w:lineRule="auto"/>
              <w:ind w:left="115" w:right="59" w:hanging="52"/>
            </w:pPr>
            <w:r>
              <w:rPr>
                <w:spacing w:val="7"/>
              </w:rPr>
              <w:t>砖混结构，</w:t>
            </w:r>
            <w:r>
              <w:rPr>
                <w:rFonts w:ascii="Times New Roman" w:hAnsi="Times New Roman" w:eastAsia="Times New Roman" w:cs="Times New Roman"/>
                <w:spacing w:val="7"/>
              </w:rPr>
              <w:t>1</w:t>
            </w:r>
            <w:r>
              <w:rPr>
                <w:spacing w:val="5"/>
              </w:rPr>
              <w:t>层（斜顶）</w:t>
            </w:r>
          </w:p>
        </w:tc>
        <w:tc>
          <w:tcPr>
            <w:tcW w:w="2454" w:type="dxa"/>
            <w:vAlign w:val="top"/>
          </w:tcPr>
          <w:p w14:paraId="0E88F639">
            <w:pPr>
              <w:pStyle w:val="6"/>
              <w:spacing w:before="50" w:line="228" w:lineRule="auto"/>
              <w:ind w:left="34"/>
            </w:pPr>
            <w:r>
              <w:rPr>
                <w:spacing w:val="-3"/>
              </w:rPr>
              <w:t>单回线路北侧，</w:t>
            </w:r>
            <w:r>
              <w:rPr>
                <w:rFonts w:ascii="Times New Roman" w:hAnsi="Times New Roman" w:eastAsia="Times New Roman" w:cs="Times New Roman"/>
                <w:spacing w:val="-3"/>
              </w:rPr>
              <w:t>AZ1-</w:t>
            </w:r>
            <w:r>
              <w:rPr>
                <w:rFonts w:ascii="Times New Roman" w:hAnsi="Times New Roman" w:eastAsia="Times New Roman" w:cs="Times New Roman"/>
                <w:spacing w:val="-19"/>
              </w:rPr>
              <w:t xml:space="preserve"> </w:t>
            </w:r>
            <w:r>
              <w:rPr>
                <w:rFonts w:ascii="Times New Roman" w:hAnsi="Times New Roman" w:eastAsia="Times New Roman" w:cs="Times New Roman"/>
                <w:spacing w:val="-3"/>
              </w:rPr>
              <w:t>1</w:t>
            </w:r>
            <w:r>
              <w:rPr>
                <w:rFonts w:ascii="Times New Roman" w:hAnsi="Times New Roman" w:eastAsia="Times New Roman" w:cs="Times New Roman"/>
                <w:spacing w:val="12"/>
              </w:rPr>
              <w:t xml:space="preserve"> </w:t>
            </w:r>
            <w:r>
              <w:rPr>
                <w:spacing w:val="-3"/>
              </w:rPr>
              <w:t>塔基</w:t>
            </w:r>
          </w:p>
          <w:p w14:paraId="4F85BD91">
            <w:pPr>
              <w:pStyle w:val="6"/>
              <w:spacing w:before="65" w:line="228" w:lineRule="auto"/>
              <w:ind w:left="813"/>
              <w:rPr>
                <w:rFonts w:ascii="Times New Roman" w:hAnsi="Times New Roman" w:eastAsia="Times New Roman" w:cs="Times New Roman"/>
              </w:rPr>
            </w:pPr>
            <w:r>
              <w:rPr>
                <w:spacing w:val="2"/>
              </w:rPr>
              <w:t>西侧</w:t>
            </w:r>
            <w:r>
              <w:rPr>
                <w:spacing w:val="-34"/>
              </w:rPr>
              <w:t xml:space="preserve"> </w:t>
            </w:r>
            <w:r>
              <w:rPr>
                <w:rFonts w:ascii="Times New Roman" w:hAnsi="Times New Roman" w:eastAsia="Times New Roman" w:cs="Times New Roman"/>
                <w:spacing w:val="2"/>
              </w:rPr>
              <w:t>60m</w:t>
            </w:r>
          </w:p>
        </w:tc>
        <w:tc>
          <w:tcPr>
            <w:tcW w:w="1699" w:type="dxa"/>
            <w:vAlign w:val="top"/>
          </w:tcPr>
          <w:p w14:paraId="3494B63B">
            <w:pPr>
              <w:pStyle w:val="6"/>
              <w:spacing w:before="50" w:line="262" w:lineRule="auto"/>
              <w:ind w:left="276" w:right="112" w:hanging="156"/>
              <w:rPr>
                <w:rFonts w:ascii="Times New Roman" w:hAnsi="Times New Roman" w:eastAsia="Times New Roman" w:cs="Times New Roman"/>
              </w:rPr>
            </w:pPr>
            <w:r>
              <w:rPr>
                <w:spacing w:val="8"/>
              </w:rPr>
              <w:t>位于边导线地面</w:t>
            </w:r>
            <w:r>
              <w:rPr>
                <w:spacing w:val="5"/>
              </w:rPr>
              <w:t>投影北侧</w:t>
            </w:r>
            <w:r>
              <w:rPr>
                <w:spacing w:val="-37"/>
              </w:rPr>
              <w:t xml:space="preserve"> </w:t>
            </w:r>
            <w:r>
              <w:rPr>
                <w:rFonts w:ascii="Times New Roman" w:hAnsi="Times New Roman" w:eastAsia="Times New Roman" w:cs="Times New Roman"/>
                <w:spacing w:val="5"/>
              </w:rPr>
              <w:t>6m</w:t>
            </w:r>
          </w:p>
        </w:tc>
        <w:tc>
          <w:tcPr>
            <w:tcW w:w="1076" w:type="dxa"/>
            <w:vAlign w:val="top"/>
          </w:tcPr>
          <w:p w14:paraId="25812E66">
            <w:pPr>
              <w:spacing w:before="243" w:line="195" w:lineRule="auto"/>
              <w:ind w:left="37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11m</w:t>
            </w:r>
          </w:p>
        </w:tc>
        <w:tc>
          <w:tcPr>
            <w:tcW w:w="1182" w:type="dxa"/>
            <w:vAlign w:val="top"/>
          </w:tcPr>
          <w:p w14:paraId="7E35F3F0">
            <w:pPr>
              <w:pStyle w:val="6"/>
              <w:spacing w:before="206" w:line="228" w:lineRule="auto"/>
              <w:ind w:left="62"/>
            </w:pPr>
            <w:r>
              <w:rPr>
                <w:rFonts w:ascii="Times New Roman" w:hAnsi="Times New Roman" w:eastAsia="Times New Roman" w:cs="Times New Roman"/>
                <w:spacing w:val="2"/>
              </w:rPr>
              <w:t>1.5</w:t>
            </w:r>
            <w:r>
              <w:rPr>
                <w:spacing w:val="2"/>
              </w:rPr>
              <w:t>（一层）</w:t>
            </w:r>
          </w:p>
        </w:tc>
        <w:tc>
          <w:tcPr>
            <w:tcW w:w="2380" w:type="dxa"/>
            <w:vAlign w:val="top"/>
          </w:tcPr>
          <w:p w14:paraId="5702C2DD">
            <w:pPr>
              <w:spacing w:before="243" w:line="195" w:lineRule="auto"/>
              <w:ind w:left="9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0.7774</w:t>
            </w:r>
          </w:p>
        </w:tc>
        <w:tc>
          <w:tcPr>
            <w:tcW w:w="2009" w:type="dxa"/>
            <w:vAlign w:val="top"/>
          </w:tcPr>
          <w:p w14:paraId="2F5A704D">
            <w:pPr>
              <w:spacing w:before="243" w:line="195" w:lineRule="auto"/>
              <w:ind w:left="7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6.8149</w:t>
            </w:r>
          </w:p>
        </w:tc>
      </w:tr>
      <w:tr w14:paraId="30515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999" w:type="dxa"/>
            <w:vAlign w:val="top"/>
          </w:tcPr>
          <w:p w14:paraId="34707EEB">
            <w:pPr>
              <w:pStyle w:val="6"/>
              <w:spacing w:before="51" w:line="288" w:lineRule="auto"/>
              <w:ind w:left="94" w:right="77" w:hanging="11"/>
              <w:jc w:val="both"/>
            </w:pPr>
            <w:r>
              <w:rPr>
                <w:spacing w:val="8"/>
              </w:rPr>
              <w:t>②菜地看</w:t>
            </w:r>
            <w:r>
              <w:rPr>
                <w:spacing w:val="38"/>
              </w:rPr>
              <w:t>护用房</w:t>
            </w:r>
            <w:r>
              <w:rPr>
                <w:spacing w:val="4"/>
              </w:rPr>
              <w:t>（卢旗堡</w:t>
            </w:r>
          </w:p>
          <w:p w14:paraId="541BDE36">
            <w:pPr>
              <w:pStyle w:val="6"/>
              <w:spacing w:line="227" w:lineRule="auto"/>
              <w:ind w:left="86"/>
            </w:pPr>
            <w:r>
              <w:rPr>
                <w:spacing w:val="4"/>
              </w:rPr>
              <w:t>居民楼）</w:t>
            </w:r>
          </w:p>
        </w:tc>
        <w:tc>
          <w:tcPr>
            <w:tcW w:w="937" w:type="dxa"/>
            <w:vAlign w:val="top"/>
          </w:tcPr>
          <w:p w14:paraId="3810D7D4">
            <w:pPr>
              <w:spacing w:line="250" w:lineRule="auto"/>
              <w:rPr>
                <w:rFonts w:ascii="Arial"/>
                <w:sz w:val="21"/>
              </w:rPr>
            </w:pPr>
          </w:p>
          <w:p w14:paraId="7FF38034">
            <w:pPr>
              <w:spacing w:line="250" w:lineRule="auto"/>
              <w:rPr>
                <w:rFonts w:ascii="Arial"/>
                <w:sz w:val="21"/>
              </w:rPr>
            </w:pPr>
          </w:p>
          <w:p w14:paraId="6BA845CB">
            <w:pPr>
              <w:spacing w:before="57" w:line="192"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1274" w:type="dxa"/>
            <w:vAlign w:val="top"/>
          </w:tcPr>
          <w:p w14:paraId="03EF605C">
            <w:pPr>
              <w:spacing w:line="297" w:lineRule="auto"/>
              <w:rPr>
                <w:rFonts w:ascii="Arial"/>
                <w:sz w:val="21"/>
              </w:rPr>
            </w:pPr>
          </w:p>
          <w:p w14:paraId="5CDF1B61">
            <w:pPr>
              <w:pStyle w:val="6"/>
              <w:spacing w:before="65" w:line="289" w:lineRule="auto"/>
              <w:ind w:left="115" w:right="59" w:hanging="52"/>
            </w:pPr>
            <w:r>
              <w:rPr>
                <w:spacing w:val="7"/>
              </w:rPr>
              <w:t>砖混结构，</w:t>
            </w:r>
            <w:r>
              <w:rPr>
                <w:rFonts w:ascii="Times New Roman" w:hAnsi="Times New Roman" w:eastAsia="Times New Roman" w:cs="Times New Roman"/>
                <w:spacing w:val="7"/>
              </w:rPr>
              <w:t>1</w:t>
            </w:r>
            <w:r>
              <w:rPr>
                <w:spacing w:val="5"/>
              </w:rPr>
              <w:t>层（斜顶）</w:t>
            </w:r>
          </w:p>
        </w:tc>
        <w:tc>
          <w:tcPr>
            <w:tcW w:w="2454" w:type="dxa"/>
            <w:vAlign w:val="top"/>
          </w:tcPr>
          <w:p w14:paraId="16D7AE62">
            <w:pPr>
              <w:spacing w:line="297" w:lineRule="auto"/>
              <w:rPr>
                <w:rFonts w:ascii="Arial"/>
                <w:sz w:val="21"/>
              </w:rPr>
            </w:pPr>
          </w:p>
          <w:p w14:paraId="5BC06620">
            <w:pPr>
              <w:pStyle w:val="6"/>
              <w:spacing w:before="65" w:line="289" w:lineRule="auto"/>
              <w:ind w:left="598" w:right="57" w:hanging="535"/>
              <w:rPr>
                <w:rFonts w:ascii="Times New Roman" w:hAnsi="Times New Roman" w:eastAsia="Times New Roman" w:cs="Times New Roman"/>
              </w:rPr>
            </w:pPr>
            <w:r>
              <w:rPr>
                <w:spacing w:val="8"/>
              </w:rPr>
              <w:t>单回线路西侧，</w:t>
            </w:r>
            <w:r>
              <w:rPr>
                <w:rFonts w:ascii="Times New Roman" w:hAnsi="Times New Roman" w:eastAsia="Times New Roman" w:cs="Times New Roman"/>
              </w:rPr>
              <w:t>AZ</w:t>
            </w:r>
            <w:r>
              <w:rPr>
                <w:rFonts w:ascii="Times New Roman" w:hAnsi="Times New Roman" w:eastAsia="Times New Roman" w:cs="Times New Roman"/>
                <w:spacing w:val="8"/>
              </w:rPr>
              <w:t xml:space="preserve">1+1 </w:t>
            </w:r>
            <w:r>
              <w:rPr>
                <w:spacing w:val="8"/>
              </w:rPr>
              <w:t>塔</w:t>
            </w:r>
            <w:r>
              <w:rPr>
                <w:spacing w:val="5"/>
              </w:rPr>
              <w:t>基西南侧</w:t>
            </w:r>
            <w:r>
              <w:rPr>
                <w:spacing w:val="-36"/>
              </w:rPr>
              <w:t xml:space="preserve"> </w:t>
            </w:r>
            <w:r>
              <w:rPr>
                <w:rFonts w:ascii="Times New Roman" w:hAnsi="Times New Roman" w:eastAsia="Times New Roman" w:cs="Times New Roman"/>
                <w:spacing w:val="5"/>
              </w:rPr>
              <w:t>62m</w:t>
            </w:r>
          </w:p>
        </w:tc>
        <w:tc>
          <w:tcPr>
            <w:tcW w:w="1699" w:type="dxa"/>
            <w:vAlign w:val="top"/>
          </w:tcPr>
          <w:p w14:paraId="6B92B4E6">
            <w:pPr>
              <w:spacing w:line="297" w:lineRule="auto"/>
              <w:rPr>
                <w:rFonts w:ascii="Arial"/>
                <w:sz w:val="21"/>
              </w:rPr>
            </w:pPr>
          </w:p>
          <w:p w14:paraId="3B364F5A">
            <w:pPr>
              <w:pStyle w:val="6"/>
              <w:spacing w:before="65" w:line="289" w:lineRule="auto"/>
              <w:ind w:left="170" w:right="112" w:hanging="50"/>
              <w:rPr>
                <w:rFonts w:ascii="Times New Roman" w:hAnsi="Times New Roman" w:eastAsia="Times New Roman" w:cs="Times New Roman"/>
              </w:rPr>
            </w:pPr>
            <w:r>
              <w:rPr>
                <w:spacing w:val="8"/>
              </w:rPr>
              <w:t>位于边导线地面</w:t>
            </w:r>
            <w:r>
              <w:rPr>
                <w:spacing w:val="5"/>
              </w:rPr>
              <w:t>投影西南侧</w:t>
            </w:r>
            <w:r>
              <w:rPr>
                <w:spacing w:val="-31"/>
              </w:rPr>
              <w:t xml:space="preserve"> </w:t>
            </w:r>
            <w:r>
              <w:rPr>
                <w:rFonts w:ascii="Times New Roman" w:hAnsi="Times New Roman" w:eastAsia="Times New Roman" w:cs="Times New Roman"/>
                <w:spacing w:val="5"/>
              </w:rPr>
              <w:t>5m</w:t>
            </w:r>
          </w:p>
        </w:tc>
        <w:tc>
          <w:tcPr>
            <w:tcW w:w="1076" w:type="dxa"/>
            <w:vAlign w:val="top"/>
          </w:tcPr>
          <w:p w14:paraId="5A031EB4">
            <w:pPr>
              <w:spacing w:line="247" w:lineRule="auto"/>
              <w:rPr>
                <w:rFonts w:ascii="Arial"/>
                <w:sz w:val="21"/>
              </w:rPr>
            </w:pPr>
          </w:p>
          <w:p w14:paraId="39265036">
            <w:pPr>
              <w:spacing w:line="248" w:lineRule="auto"/>
              <w:rPr>
                <w:rFonts w:ascii="Arial"/>
                <w:sz w:val="21"/>
              </w:rPr>
            </w:pPr>
          </w:p>
          <w:p w14:paraId="674386AA">
            <w:pPr>
              <w:spacing w:before="57" w:line="195" w:lineRule="auto"/>
              <w:ind w:left="3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10m</w:t>
            </w:r>
          </w:p>
        </w:tc>
        <w:tc>
          <w:tcPr>
            <w:tcW w:w="1182" w:type="dxa"/>
            <w:vAlign w:val="top"/>
          </w:tcPr>
          <w:p w14:paraId="6F33EBAB">
            <w:pPr>
              <w:spacing w:line="451" w:lineRule="auto"/>
              <w:rPr>
                <w:rFonts w:ascii="Arial"/>
                <w:sz w:val="21"/>
              </w:rPr>
            </w:pPr>
          </w:p>
          <w:p w14:paraId="1644BC69">
            <w:pPr>
              <w:pStyle w:val="6"/>
              <w:spacing w:before="65" w:line="228" w:lineRule="auto"/>
              <w:ind w:left="62"/>
            </w:pPr>
            <w:r>
              <w:rPr>
                <w:rFonts w:ascii="Times New Roman" w:hAnsi="Times New Roman" w:eastAsia="Times New Roman" w:cs="Times New Roman"/>
                <w:spacing w:val="2"/>
              </w:rPr>
              <w:t>1.5</w:t>
            </w:r>
            <w:r>
              <w:rPr>
                <w:spacing w:val="2"/>
              </w:rPr>
              <w:t>（一层）</w:t>
            </w:r>
          </w:p>
        </w:tc>
        <w:tc>
          <w:tcPr>
            <w:tcW w:w="2380" w:type="dxa"/>
            <w:vAlign w:val="top"/>
          </w:tcPr>
          <w:p w14:paraId="672AEAA8">
            <w:pPr>
              <w:spacing w:line="248" w:lineRule="auto"/>
              <w:rPr>
                <w:rFonts w:ascii="Arial"/>
                <w:sz w:val="21"/>
              </w:rPr>
            </w:pPr>
          </w:p>
          <w:p w14:paraId="739FB203">
            <w:pPr>
              <w:spacing w:line="249" w:lineRule="auto"/>
              <w:rPr>
                <w:rFonts w:ascii="Arial"/>
                <w:sz w:val="21"/>
              </w:rPr>
            </w:pPr>
          </w:p>
          <w:p w14:paraId="718AB90B">
            <w:pPr>
              <w:spacing w:before="58" w:line="195" w:lineRule="auto"/>
              <w:ind w:left="96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0.925</w:t>
            </w:r>
          </w:p>
        </w:tc>
        <w:tc>
          <w:tcPr>
            <w:tcW w:w="2009" w:type="dxa"/>
            <w:vAlign w:val="top"/>
          </w:tcPr>
          <w:p w14:paraId="06A62BB6">
            <w:pPr>
              <w:spacing w:line="248" w:lineRule="auto"/>
              <w:rPr>
                <w:rFonts w:ascii="Arial"/>
                <w:sz w:val="21"/>
              </w:rPr>
            </w:pPr>
          </w:p>
          <w:p w14:paraId="61E13696">
            <w:pPr>
              <w:spacing w:line="249" w:lineRule="auto"/>
              <w:rPr>
                <w:rFonts w:ascii="Arial"/>
                <w:sz w:val="21"/>
              </w:rPr>
            </w:pPr>
          </w:p>
          <w:p w14:paraId="18DEFC7B">
            <w:pPr>
              <w:spacing w:before="58" w:line="195" w:lineRule="auto"/>
              <w:ind w:left="7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7.8547</w:t>
            </w:r>
          </w:p>
        </w:tc>
      </w:tr>
      <w:tr w14:paraId="785F0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99" w:type="dxa"/>
            <w:vAlign w:val="top"/>
          </w:tcPr>
          <w:p w14:paraId="1651D175">
            <w:pPr>
              <w:pStyle w:val="6"/>
              <w:spacing w:before="52" w:line="261" w:lineRule="auto"/>
              <w:ind w:left="191" w:right="77" w:hanging="108"/>
            </w:pPr>
            <w:r>
              <w:rPr>
                <w:spacing w:val="8"/>
              </w:rPr>
              <w:t>③菜地看</w:t>
            </w:r>
            <w:r>
              <w:rPr>
                <w:spacing w:val="6"/>
              </w:rPr>
              <w:t>护用房</w:t>
            </w:r>
          </w:p>
        </w:tc>
        <w:tc>
          <w:tcPr>
            <w:tcW w:w="937" w:type="dxa"/>
            <w:vAlign w:val="top"/>
          </w:tcPr>
          <w:p w14:paraId="3782C273">
            <w:pPr>
              <w:spacing w:before="249" w:line="192"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1274" w:type="dxa"/>
            <w:vAlign w:val="top"/>
          </w:tcPr>
          <w:p w14:paraId="7E1D7CDF">
            <w:pPr>
              <w:pStyle w:val="6"/>
              <w:spacing w:before="52" w:line="261" w:lineRule="auto"/>
              <w:ind w:left="115" w:right="59" w:hanging="52"/>
            </w:pPr>
            <w:r>
              <w:rPr>
                <w:spacing w:val="7"/>
              </w:rPr>
              <w:t>砖混结构，</w:t>
            </w:r>
            <w:r>
              <w:rPr>
                <w:rFonts w:ascii="Times New Roman" w:hAnsi="Times New Roman" w:eastAsia="Times New Roman" w:cs="Times New Roman"/>
                <w:spacing w:val="7"/>
              </w:rPr>
              <w:t>1</w:t>
            </w:r>
            <w:r>
              <w:rPr>
                <w:spacing w:val="5"/>
              </w:rPr>
              <w:t>层（斜顶）</w:t>
            </w:r>
          </w:p>
        </w:tc>
        <w:tc>
          <w:tcPr>
            <w:tcW w:w="2454" w:type="dxa"/>
            <w:vAlign w:val="top"/>
          </w:tcPr>
          <w:p w14:paraId="1368DE85">
            <w:pPr>
              <w:pStyle w:val="6"/>
              <w:spacing w:before="52" w:line="261" w:lineRule="auto"/>
              <w:ind w:left="656" w:right="64" w:hanging="586"/>
              <w:rPr>
                <w:rFonts w:ascii="Times New Roman" w:hAnsi="Times New Roman" w:eastAsia="Times New Roman" w:cs="Times New Roman"/>
              </w:rPr>
            </w:pPr>
            <w:r>
              <w:rPr>
                <w:spacing w:val="8"/>
              </w:rPr>
              <w:t>单回线路东侧，</w:t>
            </w:r>
            <w:r>
              <w:rPr>
                <w:rFonts w:ascii="Times New Roman" w:hAnsi="Times New Roman" w:eastAsia="Times New Roman" w:cs="Times New Roman"/>
              </w:rPr>
              <w:t>AZ</w:t>
            </w:r>
            <w:r>
              <w:rPr>
                <w:rFonts w:ascii="Times New Roman" w:hAnsi="Times New Roman" w:eastAsia="Times New Roman" w:cs="Times New Roman"/>
                <w:spacing w:val="8"/>
              </w:rPr>
              <w:t xml:space="preserve">5 </w:t>
            </w:r>
            <w:r>
              <w:rPr>
                <w:spacing w:val="8"/>
              </w:rPr>
              <w:t>塔基</w:t>
            </w:r>
            <w:r>
              <w:rPr>
                <w:spacing w:val="2"/>
              </w:rPr>
              <w:t>西南侧</w:t>
            </w:r>
            <w:r>
              <w:rPr>
                <w:spacing w:val="-23"/>
              </w:rPr>
              <w:t xml:space="preserve"> </w:t>
            </w:r>
            <w:r>
              <w:rPr>
                <w:rFonts w:ascii="Times New Roman" w:hAnsi="Times New Roman" w:eastAsia="Times New Roman" w:cs="Times New Roman"/>
                <w:spacing w:val="2"/>
              </w:rPr>
              <w:t>140m</w:t>
            </w:r>
          </w:p>
        </w:tc>
        <w:tc>
          <w:tcPr>
            <w:tcW w:w="1699" w:type="dxa"/>
            <w:vAlign w:val="top"/>
          </w:tcPr>
          <w:p w14:paraId="4C818DE4">
            <w:pPr>
              <w:pStyle w:val="6"/>
              <w:spacing w:before="52" w:line="261" w:lineRule="auto"/>
              <w:ind w:left="225" w:right="112" w:hanging="105"/>
              <w:rPr>
                <w:rFonts w:ascii="Times New Roman" w:hAnsi="Times New Roman" w:eastAsia="Times New Roman" w:cs="Times New Roman"/>
              </w:rPr>
            </w:pPr>
            <w:r>
              <w:rPr>
                <w:spacing w:val="8"/>
              </w:rPr>
              <w:t>位于边导线地面</w:t>
            </w:r>
            <w:r>
              <w:rPr>
                <w:spacing w:val="2"/>
              </w:rPr>
              <w:t>投影东侧</w:t>
            </w:r>
            <w:r>
              <w:rPr>
                <w:spacing w:val="-18"/>
              </w:rPr>
              <w:t xml:space="preserve"> </w:t>
            </w:r>
            <w:r>
              <w:rPr>
                <w:rFonts w:ascii="Times New Roman" w:hAnsi="Times New Roman" w:eastAsia="Times New Roman" w:cs="Times New Roman"/>
                <w:spacing w:val="2"/>
              </w:rPr>
              <w:t>12m</w:t>
            </w:r>
          </w:p>
        </w:tc>
        <w:tc>
          <w:tcPr>
            <w:tcW w:w="1076" w:type="dxa"/>
            <w:vAlign w:val="top"/>
          </w:tcPr>
          <w:p w14:paraId="72EE463D">
            <w:pPr>
              <w:spacing w:before="244" w:line="195" w:lineRule="auto"/>
              <w:ind w:left="3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17m</w:t>
            </w:r>
          </w:p>
        </w:tc>
        <w:tc>
          <w:tcPr>
            <w:tcW w:w="1182" w:type="dxa"/>
            <w:vAlign w:val="top"/>
          </w:tcPr>
          <w:p w14:paraId="3118A034">
            <w:pPr>
              <w:pStyle w:val="6"/>
              <w:spacing w:before="208" w:line="228" w:lineRule="auto"/>
              <w:ind w:left="62"/>
            </w:pPr>
            <w:r>
              <w:rPr>
                <w:rFonts w:ascii="Times New Roman" w:hAnsi="Times New Roman" w:eastAsia="Times New Roman" w:cs="Times New Roman"/>
                <w:spacing w:val="2"/>
              </w:rPr>
              <w:t>1.5</w:t>
            </w:r>
            <w:r>
              <w:rPr>
                <w:spacing w:val="2"/>
              </w:rPr>
              <w:t>（一层）</w:t>
            </w:r>
          </w:p>
        </w:tc>
        <w:tc>
          <w:tcPr>
            <w:tcW w:w="2380" w:type="dxa"/>
            <w:vAlign w:val="top"/>
          </w:tcPr>
          <w:p w14:paraId="5185177F">
            <w:pPr>
              <w:spacing w:before="246" w:line="195" w:lineRule="auto"/>
              <w:ind w:left="96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0.299</w:t>
            </w:r>
          </w:p>
        </w:tc>
        <w:tc>
          <w:tcPr>
            <w:tcW w:w="2009" w:type="dxa"/>
            <w:vAlign w:val="top"/>
          </w:tcPr>
          <w:p w14:paraId="079E8552">
            <w:pPr>
              <w:spacing w:before="246" w:line="195" w:lineRule="auto"/>
              <w:ind w:left="7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3.2826</w:t>
            </w:r>
          </w:p>
        </w:tc>
      </w:tr>
      <w:tr w14:paraId="0DF423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99" w:type="dxa"/>
            <w:vAlign w:val="top"/>
          </w:tcPr>
          <w:p w14:paraId="469934E3">
            <w:pPr>
              <w:pStyle w:val="6"/>
              <w:spacing w:before="54" w:line="260" w:lineRule="auto"/>
              <w:ind w:left="191" w:right="77" w:hanging="108"/>
            </w:pPr>
            <w:r>
              <w:rPr>
                <w:spacing w:val="8"/>
              </w:rPr>
              <w:t>④菜地看</w:t>
            </w:r>
            <w:r>
              <w:rPr>
                <w:spacing w:val="6"/>
              </w:rPr>
              <w:t>护用房</w:t>
            </w:r>
          </w:p>
        </w:tc>
        <w:tc>
          <w:tcPr>
            <w:tcW w:w="937" w:type="dxa"/>
            <w:vAlign w:val="top"/>
          </w:tcPr>
          <w:p w14:paraId="0F2B846E">
            <w:pPr>
              <w:spacing w:before="250" w:line="192"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1274" w:type="dxa"/>
            <w:vAlign w:val="top"/>
          </w:tcPr>
          <w:p w14:paraId="08204C08">
            <w:pPr>
              <w:pStyle w:val="6"/>
              <w:spacing w:before="54" w:line="260" w:lineRule="auto"/>
              <w:ind w:left="115" w:right="59" w:hanging="52"/>
            </w:pPr>
            <w:r>
              <w:rPr>
                <w:spacing w:val="7"/>
              </w:rPr>
              <w:t>砖混结构，</w:t>
            </w:r>
            <w:r>
              <w:rPr>
                <w:rFonts w:ascii="Times New Roman" w:hAnsi="Times New Roman" w:eastAsia="Times New Roman" w:cs="Times New Roman"/>
                <w:spacing w:val="7"/>
              </w:rPr>
              <w:t>1</w:t>
            </w:r>
            <w:r>
              <w:rPr>
                <w:spacing w:val="5"/>
              </w:rPr>
              <w:t>层（斜顶）</w:t>
            </w:r>
          </w:p>
        </w:tc>
        <w:tc>
          <w:tcPr>
            <w:tcW w:w="2454" w:type="dxa"/>
            <w:vAlign w:val="top"/>
          </w:tcPr>
          <w:p w14:paraId="0E53F834">
            <w:pPr>
              <w:pStyle w:val="6"/>
              <w:spacing w:before="54" w:line="260" w:lineRule="auto"/>
              <w:ind w:left="31" w:right="24" w:firstLine="44"/>
              <w:rPr>
                <w:rFonts w:ascii="Times New Roman" w:hAnsi="Times New Roman" w:eastAsia="Times New Roman" w:cs="Times New Roman"/>
              </w:rPr>
            </w:pPr>
            <w:r>
              <w:rPr>
                <w:spacing w:val="9"/>
              </w:rPr>
              <w:t>双回线路（单边挂线）北</w:t>
            </w:r>
            <w:r>
              <w:rPr>
                <w:spacing w:val="3"/>
              </w:rPr>
              <w:t>侧，</w:t>
            </w:r>
            <w:r>
              <w:rPr>
                <w:rFonts w:ascii="Times New Roman" w:hAnsi="Times New Roman" w:eastAsia="Times New Roman" w:cs="Times New Roman"/>
              </w:rPr>
              <w:t>AZ</w:t>
            </w:r>
            <w:r>
              <w:rPr>
                <w:rFonts w:ascii="Times New Roman" w:hAnsi="Times New Roman" w:eastAsia="Times New Roman" w:cs="Times New Roman"/>
                <w:spacing w:val="3"/>
              </w:rPr>
              <w:t xml:space="preserve">7 </w:t>
            </w:r>
            <w:r>
              <w:rPr>
                <w:spacing w:val="3"/>
              </w:rPr>
              <w:t>塔基西北侧</w:t>
            </w:r>
            <w:r>
              <w:rPr>
                <w:spacing w:val="-20"/>
              </w:rPr>
              <w:t xml:space="preserve"> </w:t>
            </w:r>
            <w:r>
              <w:rPr>
                <w:rFonts w:ascii="Times New Roman" w:hAnsi="Times New Roman" w:eastAsia="Times New Roman" w:cs="Times New Roman"/>
                <w:spacing w:val="3"/>
              </w:rPr>
              <w:t>110m</w:t>
            </w:r>
          </w:p>
        </w:tc>
        <w:tc>
          <w:tcPr>
            <w:tcW w:w="1699" w:type="dxa"/>
            <w:vAlign w:val="top"/>
          </w:tcPr>
          <w:p w14:paraId="48A56DA4">
            <w:pPr>
              <w:pStyle w:val="6"/>
              <w:spacing w:before="54" w:line="260" w:lineRule="auto"/>
              <w:ind w:left="225" w:right="112" w:hanging="105"/>
              <w:rPr>
                <w:rFonts w:ascii="Times New Roman" w:hAnsi="Times New Roman" w:eastAsia="Times New Roman" w:cs="Times New Roman"/>
              </w:rPr>
            </w:pPr>
            <w:r>
              <w:rPr>
                <w:spacing w:val="8"/>
              </w:rPr>
              <w:t>位于边导线地面</w:t>
            </w:r>
            <w:r>
              <w:rPr>
                <w:spacing w:val="5"/>
              </w:rPr>
              <w:t>投影北侧</w:t>
            </w:r>
            <w:r>
              <w:rPr>
                <w:spacing w:val="-39"/>
              </w:rPr>
              <w:t xml:space="preserve"> </w:t>
            </w:r>
            <w:r>
              <w:rPr>
                <w:rFonts w:ascii="Times New Roman" w:hAnsi="Times New Roman" w:eastAsia="Times New Roman" w:cs="Times New Roman"/>
                <w:spacing w:val="5"/>
              </w:rPr>
              <w:t>25m</w:t>
            </w:r>
          </w:p>
        </w:tc>
        <w:tc>
          <w:tcPr>
            <w:tcW w:w="1076" w:type="dxa"/>
            <w:vAlign w:val="top"/>
          </w:tcPr>
          <w:p w14:paraId="3FFD1073">
            <w:pPr>
              <w:spacing w:before="247"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30m</w:t>
            </w:r>
          </w:p>
        </w:tc>
        <w:tc>
          <w:tcPr>
            <w:tcW w:w="1182" w:type="dxa"/>
            <w:vAlign w:val="top"/>
          </w:tcPr>
          <w:p w14:paraId="4A215509">
            <w:pPr>
              <w:pStyle w:val="6"/>
              <w:spacing w:before="211" w:line="228" w:lineRule="auto"/>
              <w:ind w:left="62"/>
            </w:pPr>
            <w:r>
              <w:rPr>
                <w:rFonts w:ascii="Times New Roman" w:hAnsi="Times New Roman" w:eastAsia="Times New Roman" w:cs="Times New Roman"/>
                <w:spacing w:val="2"/>
              </w:rPr>
              <w:t>1.5</w:t>
            </w:r>
            <w:r>
              <w:rPr>
                <w:spacing w:val="2"/>
              </w:rPr>
              <w:t>（一层）</w:t>
            </w:r>
          </w:p>
        </w:tc>
        <w:tc>
          <w:tcPr>
            <w:tcW w:w="2380" w:type="dxa"/>
            <w:vAlign w:val="top"/>
          </w:tcPr>
          <w:p w14:paraId="32DB3865">
            <w:pPr>
              <w:spacing w:line="348" w:lineRule="auto"/>
              <w:rPr>
                <w:rFonts w:ascii="Arial"/>
                <w:sz w:val="21"/>
              </w:rPr>
            </w:pPr>
          </w:p>
          <w:p w14:paraId="3294A143">
            <w:pPr>
              <w:spacing w:before="55" w:line="195" w:lineRule="auto"/>
              <w:ind w:left="92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0.0671</w:t>
            </w:r>
          </w:p>
        </w:tc>
        <w:tc>
          <w:tcPr>
            <w:tcW w:w="2009" w:type="dxa"/>
            <w:vAlign w:val="top"/>
          </w:tcPr>
          <w:p w14:paraId="33E7CAC1">
            <w:pPr>
              <w:spacing w:line="348" w:lineRule="auto"/>
              <w:rPr>
                <w:rFonts w:ascii="Arial"/>
                <w:sz w:val="21"/>
              </w:rPr>
            </w:pPr>
          </w:p>
          <w:p w14:paraId="3583D62B">
            <w:pPr>
              <w:spacing w:before="55" w:line="195" w:lineRule="auto"/>
              <w:ind w:left="733"/>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0.6315</w:t>
            </w:r>
          </w:p>
        </w:tc>
      </w:tr>
      <w:tr w14:paraId="0FA12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99" w:type="dxa"/>
            <w:vAlign w:val="top"/>
          </w:tcPr>
          <w:p w14:paraId="0297B3F0">
            <w:pPr>
              <w:pStyle w:val="6"/>
              <w:spacing w:before="56" w:line="259" w:lineRule="auto"/>
              <w:ind w:left="191" w:right="77" w:hanging="108"/>
            </w:pPr>
            <w:r>
              <w:rPr>
                <w:spacing w:val="8"/>
              </w:rPr>
              <w:t>⑤菜地看</w:t>
            </w:r>
            <w:r>
              <w:rPr>
                <w:spacing w:val="6"/>
              </w:rPr>
              <w:t>护用房</w:t>
            </w:r>
          </w:p>
        </w:tc>
        <w:tc>
          <w:tcPr>
            <w:tcW w:w="937" w:type="dxa"/>
            <w:vAlign w:val="top"/>
          </w:tcPr>
          <w:p w14:paraId="336D5B5A">
            <w:pPr>
              <w:spacing w:before="250" w:line="192"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1274" w:type="dxa"/>
            <w:vAlign w:val="top"/>
          </w:tcPr>
          <w:p w14:paraId="05D5B23C">
            <w:pPr>
              <w:pStyle w:val="6"/>
              <w:spacing w:before="56" w:line="259" w:lineRule="auto"/>
              <w:ind w:left="115" w:right="59" w:hanging="52"/>
            </w:pPr>
            <w:r>
              <w:rPr>
                <w:spacing w:val="7"/>
              </w:rPr>
              <w:t>砖混结构，</w:t>
            </w:r>
            <w:r>
              <w:rPr>
                <w:rFonts w:ascii="Times New Roman" w:hAnsi="Times New Roman" w:eastAsia="Times New Roman" w:cs="Times New Roman"/>
                <w:spacing w:val="7"/>
              </w:rPr>
              <w:t>1</w:t>
            </w:r>
            <w:r>
              <w:rPr>
                <w:spacing w:val="5"/>
              </w:rPr>
              <w:t>层（斜顶）</w:t>
            </w:r>
          </w:p>
        </w:tc>
        <w:tc>
          <w:tcPr>
            <w:tcW w:w="2454" w:type="dxa"/>
            <w:vAlign w:val="top"/>
          </w:tcPr>
          <w:p w14:paraId="303FC770">
            <w:pPr>
              <w:pStyle w:val="6"/>
              <w:spacing w:before="56" w:line="259" w:lineRule="auto"/>
              <w:ind w:left="86" w:right="71" w:hanging="10"/>
              <w:rPr>
                <w:rFonts w:ascii="Times New Roman" w:hAnsi="Times New Roman" w:eastAsia="Times New Roman" w:cs="Times New Roman"/>
              </w:rPr>
            </w:pPr>
            <w:r>
              <w:rPr>
                <w:spacing w:val="9"/>
              </w:rPr>
              <w:t>双回线路（单边挂线）南</w:t>
            </w:r>
            <w:r>
              <w:rPr>
                <w:spacing w:val="7"/>
              </w:rPr>
              <w:t>侧，</w:t>
            </w:r>
            <w:r>
              <w:rPr>
                <w:rFonts w:ascii="Times New Roman" w:hAnsi="Times New Roman" w:eastAsia="Times New Roman" w:cs="Times New Roman"/>
              </w:rPr>
              <w:t>AJ</w:t>
            </w:r>
            <w:r>
              <w:rPr>
                <w:rFonts w:ascii="Times New Roman" w:hAnsi="Times New Roman" w:eastAsia="Times New Roman" w:cs="Times New Roman"/>
                <w:spacing w:val="7"/>
              </w:rPr>
              <w:t xml:space="preserve">5 </w:t>
            </w:r>
            <w:r>
              <w:rPr>
                <w:spacing w:val="7"/>
              </w:rPr>
              <w:t>塔基西南侧</w:t>
            </w:r>
            <w:r>
              <w:rPr>
                <w:spacing w:val="-33"/>
              </w:rPr>
              <w:t xml:space="preserve"> </w:t>
            </w:r>
            <w:r>
              <w:rPr>
                <w:rFonts w:ascii="Times New Roman" w:hAnsi="Times New Roman" w:eastAsia="Times New Roman" w:cs="Times New Roman"/>
                <w:spacing w:val="7"/>
              </w:rPr>
              <w:t>75m</w:t>
            </w:r>
          </w:p>
        </w:tc>
        <w:tc>
          <w:tcPr>
            <w:tcW w:w="1699" w:type="dxa"/>
            <w:vAlign w:val="top"/>
          </w:tcPr>
          <w:p w14:paraId="074AB5E4">
            <w:pPr>
              <w:pStyle w:val="6"/>
              <w:spacing w:before="56" w:line="259" w:lineRule="auto"/>
              <w:ind w:left="225" w:right="112" w:hanging="105"/>
              <w:rPr>
                <w:rFonts w:ascii="Times New Roman" w:hAnsi="Times New Roman" w:eastAsia="Times New Roman" w:cs="Times New Roman"/>
              </w:rPr>
            </w:pPr>
            <w:r>
              <w:rPr>
                <w:spacing w:val="8"/>
              </w:rPr>
              <w:t>位于边导线地面</w:t>
            </w:r>
            <w:r>
              <w:rPr>
                <w:spacing w:val="5"/>
              </w:rPr>
              <w:t>投影南侧</w:t>
            </w:r>
            <w:r>
              <w:rPr>
                <w:spacing w:val="-39"/>
              </w:rPr>
              <w:t xml:space="preserve"> </w:t>
            </w:r>
            <w:r>
              <w:rPr>
                <w:rFonts w:ascii="Times New Roman" w:hAnsi="Times New Roman" w:eastAsia="Times New Roman" w:cs="Times New Roman"/>
                <w:spacing w:val="5"/>
              </w:rPr>
              <w:t>30m</w:t>
            </w:r>
          </w:p>
        </w:tc>
        <w:tc>
          <w:tcPr>
            <w:tcW w:w="1076" w:type="dxa"/>
            <w:vAlign w:val="top"/>
          </w:tcPr>
          <w:p w14:paraId="27180353">
            <w:pPr>
              <w:spacing w:before="247"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35m</w:t>
            </w:r>
          </w:p>
        </w:tc>
        <w:tc>
          <w:tcPr>
            <w:tcW w:w="1182" w:type="dxa"/>
            <w:vAlign w:val="top"/>
          </w:tcPr>
          <w:p w14:paraId="2E397248">
            <w:pPr>
              <w:pStyle w:val="6"/>
              <w:spacing w:before="211" w:line="228" w:lineRule="auto"/>
              <w:ind w:left="62"/>
            </w:pPr>
            <w:r>
              <w:rPr>
                <w:rFonts w:ascii="Times New Roman" w:hAnsi="Times New Roman" w:eastAsia="Times New Roman" w:cs="Times New Roman"/>
                <w:spacing w:val="2"/>
              </w:rPr>
              <w:t>1.5</w:t>
            </w:r>
            <w:r>
              <w:rPr>
                <w:spacing w:val="2"/>
              </w:rPr>
              <w:t>（一层）</w:t>
            </w:r>
          </w:p>
        </w:tc>
        <w:tc>
          <w:tcPr>
            <w:tcW w:w="2380" w:type="dxa"/>
            <w:vAlign w:val="top"/>
          </w:tcPr>
          <w:p w14:paraId="4377D5C0">
            <w:pPr>
              <w:spacing w:line="349" w:lineRule="auto"/>
              <w:rPr>
                <w:rFonts w:ascii="Arial"/>
                <w:sz w:val="21"/>
              </w:rPr>
            </w:pPr>
          </w:p>
          <w:p w14:paraId="153CBD09">
            <w:pPr>
              <w:spacing w:before="55" w:line="195" w:lineRule="auto"/>
              <w:ind w:left="92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0.0671</w:t>
            </w:r>
          </w:p>
        </w:tc>
        <w:tc>
          <w:tcPr>
            <w:tcW w:w="2009" w:type="dxa"/>
            <w:vAlign w:val="top"/>
          </w:tcPr>
          <w:p w14:paraId="4E7D5B6E">
            <w:pPr>
              <w:spacing w:line="349" w:lineRule="auto"/>
              <w:rPr>
                <w:rFonts w:ascii="Arial"/>
                <w:sz w:val="21"/>
              </w:rPr>
            </w:pPr>
          </w:p>
          <w:p w14:paraId="75E192F9">
            <w:pPr>
              <w:spacing w:before="55" w:line="195" w:lineRule="auto"/>
              <w:ind w:left="733"/>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0.6315</w:t>
            </w:r>
          </w:p>
        </w:tc>
      </w:tr>
      <w:tr w14:paraId="728D5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99" w:type="dxa"/>
            <w:vAlign w:val="top"/>
          </w:tcPr>
          <w:p w14:paraId="5A4BDF36">
            <w:pPr>
              <w:pStyle w:val="6"/>
              <w:spacing w:before="55" w:line="260" w:lineRule="auto"/>
              <w:ind w:left="191" w:right="77" w:hanging="108"/>
            </w:pPr>
            <w:r>
              <w:rPr>
                <w:spacing w:val="8"/>
              </w:rPr>
              <w:t>⑥菜地看</w:t>
            </w:r>
            <w:r>
              <w:rPr>
                <w:spacing w:val="6"/>
              </w:rPr>
              <w:t>护用房</w:t>
            </w:r>
          </w:p>
        </w:tc>
        <w:tc>
          <w:tcPr>
            <w:tcW w:w="937" w:type="dxa"/>
            <w:vAlign w:val="top"/>
          </w:tcPr>
          <w:p w14:paraId="564B4838">
            <w:pPr>
              <w:spacing w:before="251" w:line="192"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1274" w:type="dxa"/>
            <w:vAlign w:val="top"/>
          </w:tcPr>
          <w:p w14:paraId="7F7CA8AD">
            <w:pPr>
              <w:pStyle w:val="6"/>
              <w:spacing w:before="55" w:line="260" w:lineRule="auto"/>
              <w:ind w:left="115" w:right="59" w:hanging="52"/>
            </w:pPr>
            <w:r>
              <w:rPr>
                <w:spacing w:val="7"/>
              </w:rPr>
              <w:t>砖混结构，</w:t>
            </w:r>
            <w:r>
              <w:rPr>
                <w:rFonts w:ascii="Times New Roman" w:hAnsi="Times New Roman" w:eastAsia="Times New Roman" w:cs="Times New Roman"/>
                <w:spacing w:val="7"/>
              </w:rPr>
              <w:t>1</w:t>
            </w:r>
            <w:r>
              <w:rPr>
                <w:spacing w:val="5"/>
              </w:rPr>
              <w:t>层（斜顶）</w:t>
            </w:r>
          </w:p>
        </w:tc>
        <w:tc>
          <w:tcPr>
            <w:tcW w:w="2454" w:type="dxa"/>
            <w:vAlign w:val="top"/>
          </w:tcPr>
          <w:p w14:paraId="753B7339">
            <w:pPr>
              <w:pStyle w:val="6"/>
              <w:spacing w:before="55" w:line="260" w:lineRule="auto"/>
              <w:ind w:left="115" w:right="71" w:hanging="39"/>
              <w:rPr>
                <w:rFonts w:ascii="Times New Roman" w:hAnsi="Times New Roman" w:eastAsia="Times New Roman" w:cs="Times New Roman"/>
              </w:rPr>
            </w:pPr>
            <w:r>
              <w:rPr>
                <w:spacing w:val="9"/>
              </w:rPr>
              <w:t>双回线路（单边挂线）北</w:t>
            </w:r>
            <w:r>
              <w:rPr>
                <w:spacing w:val="7"/>
              </w:rPr>
              <w:t>侧，</w:t>
            </w:r>
            <w:r>
              <w:rPr>
                <w:rFonts w:ascii="Times New Roman" w:hAnsi="Times New Roman" w:eastAsia="Times New Roman" w:cs="Times New Roman"/>
              </w:rPr>
              <w:t>AZ</w:t>
            </w:r>
            <w:r>
              <w:rPr>
                <w:rFonts w:ascii="Times New Roman" w:hAnsi="Times New Roman" w:eastAsia="Times New Roman" w:cs="Times New Roman"/>
                <w:spacing w:val="7"/>
              </w:rPr>
              <w:t xml:space="preserve">12 </w:t>
            </w:r>
            <w:r>
              <w:rPr>
                <w:spacing w:val="7"/>
              </w:rPr>
              <w:t>塔基西侧</w:t>
            </w:r>
            <w:r>
              <w:rPr>
                <w:spacing w:val="-35"/>
              </w:rPr>
              <w:t xml:space="preserve"> </w:t>
            </w:r>
            <w:r>
              <w:rPr>
                <w:rFonts w:ascii="Times New Roman" w:hAnsi="Times New Roman" w:eastAsia="Times New Roman" w:cs="Times New Roman"/>
                <w:spacing w:val="7"/>
              </w:rPr>
              <w:t>60m</w:t>
            </w:r>
          </w:p>
        </w:tc>
        <w:tc>
          <w:tcPr>
            <w:tcW w:w="1699" w:type="dxa"/>
            <w:vAlign w:val="top"/>
          </w:tcPr>
          <w:p w14:paraId="3A97655D">
            <w:pPr>
              <w:pStyle w:val="6"/>
              <w:spacing w:before="55" w:line="260" w:lineRule="auto"/>
              <w:ind w:left="276" w:right="112" w:hanging="156"/>
              <w:rPr>
                <w:rFonts w:ascii="Times New Roman" w:hAnsi="Times New Roman" w:eastAsia="Times New Roman" w:cs="Times New Roman"/>
              </w:rPr>
            </w:pPr>
            <w:r>
              <w:rPr>
                <w:spacing w:val="8"/>
              </w:rPr>
              <w:t>位于边导线地面</w:t>
            </w:r>
            <w:r>
              <w:rPr>
                <w:spacing w:val="4"/>
              </w:rPr>
              <w:t>投影北侧</w:t>
            </w:r>
            <w:r>
              <w:rPr>
                <w:spacing w:val="-31"/>
              </w:rPr>
              <w:t xml:space="preserve"> </w:t>
            </w:r>
            <w:r>
              <w:rPr>
                <w:rFonts w:ascii="Times New Roman" w:hAnsi="Times New Roman" w:eastAsia="Times New Roman" w:cs="Times New Roman"/>
                <w:spacing w:val="4"/>
              </w:rPr>
              <w:t>5m</w:t>
            </w:r>
          </w:p>
        </w:tc>
        <w:tc>
          <w:tcPr>
            <w:tcW w:w="1076" w:type="dxa"/>
            <w:vAlign w:val="top"/>
          </w:tcPr>
          <w:p w14:paraId="7ED23CBC">
            <w:pPr>
              <w:spacing w:before="248" w:line="195" w:lineRule="auto"/>
              <w:ind w:left="3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10m</w:t>
            </w:r>
          </w:p>
        </w:tc>
        <w:tc>
          <w:tcPr>
            <w:tcW w:w="1182" w:type="dxa"/>
            <w:vAlign w:val="top"/>
          </w:tcPr>
          <w:p w14:paraId="7B124A88">
            <w:pPr>
              <w:pStyle w:val="6"/>
              <w:spacing w:before="212" w:line="228" w:lineRule="auto"/>
              <w:ind w:left="62"/>
            </w:pPr>
            <w:r>
              <w:rPr>
                <w:rFonts w:ascii="Times New Roman" w:hAnsi="Times New Roman" w:eastAsia="Times New Roman" w:cs="Times New Roman"/>
                <w:spacing w:val="2"/>
              </w:rPr>
              <w:t>1.5</w:t>
            </w:r>
            <w:r>
              <w:rPr>
                <w:spacing w:val="2"/>
              </w:rPr>
              <w:t>（一层）</w:t>
            </w:r>
          </w:p>
        </w:tc>
        <w:tc>
          <w:tcPr>
            <w:tcW w:w="2380" w:type="dxa"/>
            <w:vAlign w:val="top"/>
          </w:tcPr>
          <w:p w14:paraId="09B2E614">
            <w:pPr>
              <w:spacing w:line="352" w:lineRule="auto"/>
              <w:rPr>
                <w:rFonts w:ascii="Arial"/>
                <w:sz w:val="21"/>
              </w:rPr>
            </w:pPr>
          </w:p>
          <w:p w14:paraId="0CBFCF47">
            <w:pPr>
              <w:spacing w:before="55" w:line="195" w:lineRule="auto"/>
              <w:ind w:left="92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0.0798</w:t>
            </w:r>
          </w:p>
        </w:tc>
        <w:tc>
          <w:tcPr>
            <w:tcW w:w="2009" w:type="dxa"/>
            <w:vAlign w:val="top"/>
          </w:tcPr>
          <w:p w14:paraId="67D6399D">
            <w:pPr>
              <w:spacing w:line="352" w:lineRule="auto"/>
              <w:rPr>
                <w:rFonts w:ascii="Arial"/>
                <w:sz w:val="21"/>
              </w:rPr>
            </w:pPr>
          </w:p>
          <w:p w14:paraId="2DD2BD35">
            <w:pPr>
              <w:spacing w:before="55" w:line="195" w:lineRule="auto"/>
              <w:ind w:left="734"/>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3.5016</w:t>
            </w:r>
          </w:p>
        </w:tc>
      </w:tr>
      <w:tr w14:paraId="21FE9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99" w:type="dxa"/>
            <w:vAlign w:val="top"/>
          </w:tcPr>
          <w:p w14:paraId="63B14F48">
            <w:pPr>
              <w:pStyle w:val="6"/>
              <w:spacing w:before="56" w:line="259" w:lineRule="auto"/>
              <w:ind w:left="191" w:right="77" w:hanging="108"/>
            </w:pPr>
            <w:r>
              <w:rPr>
                <w:spacing w:val="8"/>
              </w:rPr>
              <w:t>⑦菜地看</w:t>
            </w:r>
            <w:r>
              <w:rPr>
                <w:spacing w:val="6"/>
              </w:rPr>
              <w:t>护用房</w:t>
            </w:r>
          </w:p>
        </w:tc>
        <w:tc>
          <w:tcPr>
            <w:tcW w:w="937" w:type="dxa"/>
            <w:vAlign w:val="top"/>
          </w:tcPr>
          <w:p w14:paraId="04ADE59A">
            <w:pPr>
              <w:spacing w:before="251" w:line="192"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1274" w:type="dxa"/>
            <w:vAlign w:val="top"/>
          </w:tcPr>
          <w:p w14:paraId="24CB6365">
            <w:pPr>
              <w:pStyle w:val="6"/>
              <w:spacing w:before="56" w:line="259" w:lineRule="auto"/>
              <w:ind w:left="115" w:right="59" w:hanging="52"/>
            </w:pPr>
            <w:r>
              <w:rPr>
                <w:spacing w:val="7"/>
              </w:rPr>
              <w:t>砖混结构，</w:t>
            </w:r>
            <w:r>
              <w:rPr>
                <w:rFonts w:ascii="Times New Roman" w:hAnsi="Times New Roman" w:eastAsia="Times New Roman" w:cs="Times New Roman"/>
                <w:spacing w:val="7"/>
              </w:rPr>
              <w:t>1</w:t>
            </w:r>
            <w:r>
              <w:rPr>
                <w:spacing w:val="5"/>
              </w:rPr>
              <w:t>层（斜顶）</w:t>
            </w:r>
          </w:p>
        </w:tc>
        <w:tc>
          <w:tcPr>
            <w:tcW w:w="2454" w:type="dxa"/>
            <w:vAlign w:val="top"/>
          </w:tcPr>
          <w:p w14:paraId="44D4662E">
            <w:pPr>
              <w:pStyle w:val="6"/>
              <w:spacing w:before="56" w:line="259" w:lineRule="auto"/>
              <w:ind w:left="31" w:right="24" w:firstLine="44"/>
              <w:rPr>
                <w:rFonts w:ascii="Times New Roman" w:hAnsi="Times New Roman" w:eastAsia="Times New Roman" w:cs="Times New Roman"/>
              </w:rPr>
            </w:pPr>
            <w:r>
              <w:rPr>
                <w:spacing w:val="9"/>
              </w:rPr>
              <w:t>双回线路（单边挂线）南</w:t>
            </w:r>
            <w:r>
              <w:rPr>
                <w:spacing w:val="-1"/>
              </w:rPr>
              <w:t>侧，</w:t>
            </w:r>
            <w:r>
              <w:rPr>
                <w:rFonts w:ascii="Times New Roman" w:hAnsi="Times New Roman" w:eastAsia="Times New Roman" w:cs="Times New Roman"/>
                <w:spacing w:val="-1"/>
              </w:rPr>
              <w:t xml:space="preserve">AZ13G </w:t>
            </w:r>
            <w:r>
              <w:rPr>
                <w:spacing w:val="-1"/>
              </w:rPr>
              <w:t>塔基西侧</w:t>
            </w:r>
            <w:r>
              <w:rPr>
                <w:spacing w:val="-9"/>
              </w:rPr>
              <w:t xml:space="preserve"> </w:t>
            </w:r>
            <w:r>
              <w:rPr>
                <w:rFonts w:ascii="Times New Roman" w:hAnsi="Times New Roman" w:eastAsia="Times New Roman" w:cs="Times New Roman"/>
                <w:spacing w:val="-1"/>
              </w:rPr>
              <w:t>150m</w:t>
            </w:r>
          </w:p>
        </w:tc>
        <w:tc>
          <w:tcPr>
            <w:tcW w:w="1699" w:type="dxa"/>
            <w:vAlign w:val="top"/>
          </w:tcPr>
          <w:p w14:paraId="1F6885CA">
            <w:pPr>
              <w:pStyle w:val="6"/>
              <w:spacing w:before="56" w:line="259" w:lineRule="auto"/>
              <w:ind w:left="228" w:right="112" w:hanging="108"/>
              <w:rPr>
                <w:rFonts w:ascii="Times New Roman" w:hAnsi="Times New Roman" w:eastAsia="Times New Roman" w:cs="Times New Roman"/>
              </w:rPr>
            </w:pPr>
            <w:r>
              <w:rPr>
                <w:spacing w:val="8"/>
              </w:rPr>
              <w:t>位于边导线地面</w:t>
            </w:r>
            <w:r>
              <w:rPr>
                <w:spacing w:val="1"/>
              </w:rPr>
              <w:t>投影南侧</w:t>
            </w:r>
            <w:r>
              <w:rPr>
                <w:spacing w:val="-16"/>
              </w:rPr>
              <w:t xml:space="preserve"> </w:t>
            </w:r>
            <w:r>
              <w:rPr>
                <w:rFonts w:ascii="Times New Roman" w:hAnsi="Times New Roman" w:eastAsia="Times New Roman" w:cs="Times New Roman"/>
                <w:spacing w:val="1"/>
              </w:rPr>
              <w:t>11m</w:t>
            </w:r>
          </w:p>
        </w:tc>
        <w:tc>
          <w:tcPr>
            <w:tcW w:w="1076" w:type="dxa"/>
            <w:vAlign w:val="top"/>
          </w:tcPr>
          <w:p w14:paraId="713488DE">
            <w:pPr>
              <w:spacing w:before="248" w:line="195" w:lineRule="auto"/>
              <w:ind w:left="3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16m</w:t>
            </w:r>
          </w:p>
        </w:tc>
        <w:tc>
          <w:tcPr>
            <w:tcW w:w="1182" w:type="dxa"/>
            <w:vAlign w:val="top"/>
          </w:tcPr>
          <w:p w14:paraId="0BFDC243">
            <w:pPr>
              <w:pStyle w:val="6"/>
              <w:spacing w:before="211" w:line="228" w:lineRule="auto"/>
              <w:ind w:left="62"/>
            </w:pPr>
            <w:r>
              <w:rPr>
                <w:rFonts w:ascii="Times New Roman" w:hAnsi="Times New Roman" w:eastAsia="Times New Roman" w:cs="Times New Roman"/>
                <w:spacing w:val="2"/>
              </w:rPr>
              <w:t>1.5</w:t>
            </w:r>
            <w:r>
              <w:rPr>
                <w:spacing w:val="2"/>
              </w:rPr>
              <w:t>（一层）</w:t>
            </w:r>
          </w:p>
        </w:tc>
        <w:tc>
          <w:tcPr>
            <w:tcW w:w="2380" w:type="dxa"/>
            <w:vAlign w:val="top"/>
          </w:tcPr>
          <w:p w14:paraId="0D30237A">
            <w:pPr>
              <w:spacing w:line="352" w:lineRule="auto"/>
              <w:rPr>
                <w:rFonts w:ascii="Arial"/>
                <w:sz w:val="21"/>
              </w:rPr>
            </w:pPr>
          </w:p>
          <w:p w14:paraId="087C39F4">
            <w:pPr>
              <w:spacing w:before="54" w:line="195" w:lineRule="auto"/>
              <w:ind w:left="969"/>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0.081</w:t>
            </w:r>
          </w:p>
        </w:tc>
        <w:tc>
          <w:tcPr>
            <w:tcW w:w="2009" w:type="dxa"/>
            <w:vAlign w:val="top"/>
          </w:tcPr>
          <w:p w14:paraId="6E2E87D6">
            <w:pPr>
              <w:spacing w:line="352" w:lineRule="auto"/>
              <w:rPr>
                <w:rFonts w:ascii="Arial"/>
                <w:sz w:val="21"/>
              </w:rPr>
            </w:pPr>
          </w:p>
          <w:p w14:paraId="69E18538">
            <w:pPr>
              <w:spacing w:before="54" w:line="195" w:lineRule="auto"/>
              <w:ind w:left="733"/>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0.8147</w:t>
            </w:r>
          </w:p>
        </w:tc>
      </w:tr>
      <w:tr w14:paraId="47769F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999" w:type="dxa"/>
            <w:vAlign w:val="top"/>
          </w:tcPr>
          <w:p w14:paraId="580385D1">
            <w:pPr>
              <w:pStyle w:val="6"/>
              <w:spacing w:before="57" w:line="225" w:lineRule="auto"/>
              <w:ind w:left="83"/>
            </w:pPr>
            <w:r>
              <w:rPr>
                <w:spacing w:val="8"/>
              </w:rPr>
              <w:t>⑧菜地看</w:t>
            </w:r>
          </w:p>
        </w:tc>
        <w:tc>
          <w:tcPr>
            <w:tcW w:w="937" w:type="dxa"/>
            <w:vAlign w:val="top"/>
          </w:tcPr>
          <w:p w14:paraId="7B26F959">
            <w:pPr>
              <w:spacing w:before="98" w:line="192"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1274" w:type="dxa"/>
            <w:vAlign w:val="top"/>
          </w:tcPr>
          <w:p w14:paraId="0337A7CC">
            <w:pPr>
              <w:pStyle w:val="6"/>
              <w:spacing w:before="57" w:line="228" w:lineRule="auto"/>
              <w:ind w:left="63"/>
              <w:rPr>
                <w:rFonts w:ascii="Times New Roman" w:hAnsi="Times New Roman" w:eastAsia="Times New Roman" w:cs="Times New Roman"/>
              </w:rPr>
            </w:pPr>
            <w:r>
              <w:rPr>
                <w:spacing w:val="10"/>
              </w:rPr>
              <w:t>砖混结构，</w:t>
            </w:r>
            <w:r>
              <w:rPr>
                <w:rFonts w:ascii="Times New Roman" w:hAnsi="Times New Roman" w:eastAsia="Times New Roman" w:cs="Times New Roman"/>
                <w:spacing w:val="10"/>
              </w:rPr>
              <w:t>1</w:t>
            </w:r>
          </w:p>
        </w:tc>
        <w:tc>
          <w:tcPr>
            <w:tcW w:w="2454" w:type="dxa"/>
            <w:vAlign w:val="top"/>
          </w:tcPr>
          <w:p w14:paraId="56A5E12C">
            <w:pPr>
              <w:pStyle w:val="6"/>
              <w:spacing w:before="56" w:line="228" w:lineRule="auto"/>
              <w:ind w:left="76"/>
            </w:pPr>
            <w:r>
              <w:rPr>
                <w:spacing w:val="9"/>
              </w:rPr>
              <w:t>双回线路（单边挂线）北</w:t>
            </w:r>
          </w:p>
        </w:tc>
        <w:tc>
          <w:tcPr>
            <w:tcW w:w="1699" w:type="dxa"/>
            <w:vAlign w:val="top"/>
          </w:tcPr>
          <w:p w14:paraId="22C1B885">
            <w:pPr>
              <w:pStyle w:val="6"/>
              <w:spacing w:before="57" w:line="228" w:lineRule="auto"/>
              <w:ind w:left="120"/>
            </w:pPr>
            <w:r>
              <w:rPr>
                <w:spacing w:val="8"/>
              </w:rPr>
              <w:t>位于边导线地面</w:t>
            </w:r>
          </w:p>
        </w:tc>
        <w:tc>
          <w:tcPr>
            <w:tcW w:w="1076" w:type="dxa"/>
            <w:vAlign w:val="top"/>
          </w:tcPr>
          <w:p w14:paraId="3B762B58">
            <w:pPr>
              <w:spacing w:before="92"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34m</w:t>
            </w:r>
          </w:p>
        </w:tc>
        <w:tc>
          <w:tcPr>
            <w:tcW w:w="1182" w:type="dxa"/>
            <w:vAlign w:val="top"/>
          </w:tcPr>
          <w:p w14:paraId="0A3A1EAB">
            <w:pPr>
              <w:pStyle w:val="6"/>
              <w:spacing w:before="56" w:line="228" w:lineRule="auto"/>
              <w:ind w:left="62"/>
            </w:pPr>
            <w:r>
              <w:rPr>
                <w:rFonts w:ascii="Times New Roman" w:hAnsi="Times New Roman" w:eastAsia="Times New Roman" w:cs="Times New Roman"/>
                <w:spacing w:val="2"/>
              </w:rPr>
              <w:t>1.5</w:t>
            </w:r>
            <w:r>
              <w:rPr>
                <w:spacing w:val="2"/>
              </w:rPr>
              <w:t>（一层）</w:t>
            </w:r>
          </w:p>
        </w:tc>
        <w:tc>
          <w:tcPr>
            <w:tcW w:w="2380" w:type="dxa"/>
            <w:vAlign w:val="top"/>
          </w:tcPr>
          <w:p w14:paraId="162F598C">
            <w:pPr>
              <w:spacing w:before="97" w:line="195" w:lineRule="auto"/>
              <w:ind w:left="92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0.0697</w:t>
            </w:r>
          </w:p>
        </w:tc>
        <w:tc>
          <w:tcPr>
            <w:tcW w:w="2009" w:type="dxa"/>
            <w:vAlign w:val="top"/>
          </w:tcPr>
          <w:p w14:paraId="79224FC3">
            <w:pPr>
              <w:spacing w:before="97" w:line="195" w:lineRule="auto"/>
              <w:ind w:left="733"/>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0.6629</w:t>
            </w:r>
          </w:p>
        </w:tc>
      </w:tr>
    </w:tbl>
    <w:p w14:paraId="5D2A78B8">
      <w:pPr>
        <w:rPr>
          <w:rFonts w:ascii="Arial"/>
          <w:sz w:val="21"/>
        </w:rPr>
      </w:pPr>
    </w:p>
    <w:p w14:paraId="73C4A294">
      <w:pPr>
        <w:rPr>
          <w:rFonts w:ascii="Arial" w:hAnsi="Arial" w:eastAsia="Arial" w:cs="Arial"/>
          <w:sz w:val="21"/>
          <w:szCs w:val="21"/>
        </w:rPr>
        <w:sectPr>
          <w:footerReference r:id="rId201" w:type="default"/>
          <w:pgSz w:w="16839" w:h="11906"/>
          <w:pgMar w:top="400" w:right="1411" w:bottom="1147" w:left="1411" w:header="0" w:footer="960" w:gutter="0"/>
          <w:cols w:space="720" w:num="1"/>
        </w:sectPr>
      </w:pPr>
    </w:p>
    <w:p w14:paraId="49A37CAE">
      <w:pPr>
        <w:spacing w:before="25"/>
      </w:pPr>
    </w:p>
    <w:p w14:paraId="3D68D6F5">
      <w:pPr>
        <w:spacing w:before="24"/>
      </w:pPr>
    </w:p>
    <w:p w14:paraId="69012568">
      <w:pPr>
        <w:spacing w:before="24"/>
      </w:pPr>
    </w:p>
    <w:p w14:paraId="03F48B7D">
      <w:pPr>
        <w:spacing w:before="24"/>
      </w:pPr>
    </w:p>
    <w:tbl>
      <w:tblPr>
        <w:tblStyle w:val="5"/>
        <w:tblW w:w="14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9"/>
        <w:gridCol w:w="937"/>
        <w:gridCol w:w="1274"/>
        <w:gridCol w:w="2454"/>
        <w:gridCol w:w="1699"/>
        <w:gridCol w:w="1076"/>
        <w:gridCol w:w="1182"/>
        <w:gridCol w:w="2380"/>
        <w:gridCol w:w="2009"/>
      </w:tblGrid>
      <w:tr w14:paraId="60F81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999" w:type="dxa"/>
            <w:vAlign w:val="top"/>
          </w:tcPr>
          <w:p w14:paraId="0C02CBFC">
            <w:pPr>
              <w:pStyle w:val="6"/>
              <w:spacing w:before="57" w:line="228" w:lineRule="auto"/>
              <w:ind w:left="191"/>
            </w:pPr>
            <w:r>
              <w:rPr>
                <w:spacing w:val="6"/>
              </w:rPr>
              <w:t>护用房</w:t>
            </w:r>
          </w:p>
        </w:tc>
        <w:tc>
          <w:tcPr>
            <w:tcW w:w="937" w:type="dxa"/>
            <w:vAlign w:val="top"/>
          </w:tcPr>
          <w:p w14:paraId="09B45A9A">
            <w:pPr>
              <w:rPr>
                <w:rFonts w:ascii="Arial"/>
                <w:sz w:val="21"/>
              </w:rPr>
            </w:pPr>
          </w:p>
        </w:tc>
        <w:tc>
          <w:tcPr>
            <w:tcW w:w="1274" w:type="dxa"/>
            <w:vAlign w:val="top"/>
          </w:tcPr>
          <w:p w14:paraId="753D2627">
            <w:pPr>
              <w:pStyle w:val="6"/>
              <w:spacing w:before="57" w:line="228" w:lineRule="auto"/>
              <w:ind w:left="116"/>
            </w:pPr>
            <w:r>
              <w:rPr>
                <w:spacing w:val="5"/>
              </w:rPr>
              <w:t>层（斜顶）</w:t>
            </w:r>
          </w:p>
        </w:tc>
        <w:tc>
          <w:tcPr>
            <w:tcW w:w="2454" w:type="dxa"/>
            <w:vAlign w:val="top"/>
          </w:tcPr>
          <w:p w14:paraId="6809EDBD">
            <w:pPr>
              <w:pStyle w:val="6"/>
              <w:spacing w:before="57" w:line="228" w:lineRule="auto"/>
              <w:ind w:left="31"/>
              <w:rPr>
                <w:rFonts w:ascii="Times New Roman" w:hAnsi="Times New Roman" w:eastAsia="Times New Roman" w:cs="Times New Roman"/>
              </w:rPr>
            </w:pPr>
            <w:r>
              <w:rPr>
                <w:spacing w:val="-1"/>
              </w:rPr>
              <w:t>侧，</w:t>
            </w:r>
            <w:r>
              <w:rPr>
                <w:rFonts w:ascii="Times New Roman" w:hAnsi="Times New Roman" w:eastAsia="Times New Roman" w:cs="Times New Roman"/>
                <w:spacing w:val="-1"/>
              </w:rPr>
              <w:t xml:space="preserve">AZ14G </w:t>
            </w:r>
            <w:r>
              <w:rPr>
                <w:spacing w:val="-1"/>
              </w:rPr>
              <w:t>塔基东侧</w:t>
            </w:r>
            <w:r>
              <w:rPr>
                <w:spacing w:val="-9"/>
              </w:rPr>
              <w:t xml:space="preserve"> </w:t>
            </w:r>
            <w:r>
              <w:rPr>
                <w:rFonts w:ascii="Times New Roman" w:hAnsi="Times New Roman" w:eastAsia="Times New Roman" w:cs="Times New Roman"/>
                <w:spacing w:val="-1"/>
              </w:rPr>
              <w:t>120m</w:t>
            </w:r>
          </w:p>
        </w:tc>
        <w:tc>
          <w:tcPr>
            <w:tcW w:w="1699" w:type="dxa"/>
            <w:vAlign w:val="top"/>
          </w:tcPr>
          <w:p w14:paraId="621AE86B">
            <w:pPr>
              <w:pStyle w:val="6"/>
              <w:spacing w:before="57" w:line="228" w:lineRule="auto"/>
              <w:ind w:left="226"/>
              <w:rPr>
                <w:rFonts w:ascii="Times New Roman" w:hAnsi="Times New Roman" w:eastAsia="Times New Roman" w:cs="Times New Roman"/>
              </w:rPr>
            </w:pPr>
            <w:r>
              <w:rPr>
                <w:spacing w:val="5"/>
              </w:rPr>
              <w:t>投影北侧</w:t>
            </w:r>
            <w:r>
              <w:rPr>
                <w:spacing w:val="-39"/>
              </w:rPr>
              <w:t xml:space="preserve"> </w:t>
            </w:r>
            <w:r>
              <w:rPr>
                <w:rFonts w:ascii="Times New Roman" w:hAnsi="Times New Roman" w:eastAsia="Times New Roman" w:cs="Times New Roman"/>
                <w:spacing w:val="5"/>
              </w:rPr>
              <w:t>29m</w:t>
            </w:r>
          </w:p>
        </w:tc>
        <w:tc>
          <w:tcPr>
            <w:tcW w:w="1076" w:type="dxa"/>
            <w:vAlign w:val="top"/>
          </w:tcPr>
          <w:p w14:paraId="22509D98">
            <w:pPr>
              <w:rPr>
                <w:rFonts w:ascii="Arial"/>
                <w:sz w:val="21"/>
              </w:rPr>
            </w:pPr>
          </w:p>
        </w:tc>
        <w:tc>
          <w:tcPr>
            <w:tcW w:w="1182" w:type="dxa"/>
            <w:vAlign w:val="top"/>
          </w:tcPr>
          <w:p w14:paraId="5B85A39F">
            <w:pPr>
              <w:rPr>
                <w:rFonts w:ascii="Arial"/>
                <w:sz w:val="21"/>
              </w:rPr>
            </w:pPr>
          </w:p>
        </w:tc>
        <w:tc>
          <w:tcPr>
            <w:tcW w:w="2380" w:type="dxa"/>
            <w:vAlign w:val="top"/>
          </w:tcPr>
          <w:p w14:paraId="3C2FEE88">
            <w:pPr>
              <w:rPr>
                <w:rFonts w:ascii="Arial"/>
                <w:sz w:val="21"/>
              </w:rPr>
            </w:pPr>
          </w:p>
        </w:tc>
        <w:tc>
          <w:tcPr>
            <w:tcW w:w="2009" w:type="dxa"/>
            <w:vAlign w:val="top"/>
          </w:tcPr>
          <w:p w14:paraId="0AF8382F">
            <w:pPr>
              <w:rPr>
                <w:rFonts w:ascii="Arial"/>
                <w:sz w:val="21"/>
              </w:rPr>
            </w:pPr>
          </w:p>
        </w:tc>
      </w:tr>
      <w:tr w14:paraId="01F5F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99" w:type="dxa"/>
            <w:vAlign w:val="top"/>
          </w:tcPr>
          <w:p w14:paraId="1CE6F5EB">
            <w:pPr>
              <w:pStyle w:val="6"/>
              <w:spacing w:before="52" w:line="261" w:lineRule="auto"/>
              <w:ind w:left="191" w:right="77" w:hanging="108"/>
            </w:pPr>
            <w:r>
              <w:rPr>
                <w:spacing w:val="8"/>
              </w:rPr>
              <w:t>⑨菜地看</w:t>
            </w:r>
            <w:r>
              <w:rPr>
                <w:spacing w:val="6"/>
              </w:rPr>
              <w:t>护用房</w:t>
            </w:r>
          </w:p>
        </w:tc>
        <w:tc>
          <w:tcPr>
            <w:tcW w:w="937" w:type="dxa"/>
            <w:vAlign w:val="top"/>
          </w:tcPr>
          <w:p w14:paraId="115D85BC">
            <w:pPr>
              <w:spacing w:before="246" w:line="192"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1274" w:type="dxa"/>
            <w:vAlign w:val="top"/>
          </w:tcPr>
          <w:p w14:paraId="1C0B49DC">
            <w:pPr>
              <w:pStyle w:val="6"/>
              <w:spacing w:before="52" w:line="261" w:lineRule="auto"/>
              <w:ind w:left="115" w:right="59" w:hanging="52"/>
            </w:pPr>
            <w:r>
              <w:rPr>
                <w:spacing w:val="7"/>
              </w:rPr>
              <w:t>砖混结构，</w:t>
            </w:r>
            <w:r>
              <w:rPr>
                <w:rFonts w:ascii="Times New Roman" w:hAnsi="Times New Roman" w:eastAsia="Times New Roman" w:cs="Times New Roman"/>
                <w:spacing w:val="7"/>
              </w:rPr>
              <w:t>1</w:t>
            </w:r>
            <w:r>
              <w:rPr>
                <w:spacing w:val="5"/>
              </w:rPr>
              <w:t>层（斜顶）</w:t>
            </w:r>
          </w:p>
        </w:tc>
        <w:tc>
          <w:tcPr>
            <w:tcW w:w="2454" w:type="dxa"/>
            <w:vAlign w:val="top"/>
          </w:tcPr>
          <w:p w14:paraId="2D7E67E6">
            <w:pPr>
              <w:pStyle w:val="6"/>
              <w:spacing w:before="52" w:line="261" w:lineRule="auto"/>
              <w:ind w:left="41" w:right="36" w:firstLine="35"/>
              <w:rPr>
                <w:rFonts w:ascii="Times New Roman" w:hAnsi="Times New Roman" w:eastAsia="Times New Roman" w:cs="Times New Roman"/>
              </w:rPr>
            </w:pPr>
            <w:r>
              <w:rPr>
                <w:spacing w:val="9"/>
              </w:rPr>
              <w:t>双回线路（单边挂线）南</w:t>
            </w:r>
            <w:r>
              <w:rPr>
                <w:spacing w:val="7"/>
              </w:rPr>
              <w:t>侧，</w:t>
            </w:r>
            <w:r>
              <w:rPr>
                <w:rFonts w:ascii="Times New Roman" w:hAnsi="Times New Roman" w:eastAsia="Times New Roman" w:cs="Times New Roman"/>
              </w:rPr>
              <w:t>AZ</w:t>
            </w:r>
            <w:r>
              <w:rPr>
                <w:rFonts w:ascii="Times New Roman" w:hAnsi="Times New Roman" w:eastAsia="Times New Roman" w:cs="Times New Roman"/>
                <w:spacing w:val="7"/>
              </w:rPr>
              <w:t xml:space="preserve">14G </w:t>
            </w:r>
            <w:r>
              <w:rPr>
                <w:spacing w:val="7"/>
              </w:rPr>
              <w:t>塔基西侧</w:t>
            </w:r>
            <w:r>
              <w:rPr>
                <w:spacing w:val="-38"/>
              </w:rPr>
              <w:t xml:space="preserve"> </w:t>
            </w:r>
            <w:r>
              <w:rPr>
                <w:rFonts w:ascii="Times New Roman" w:hAnsi="Times New Roman" w:eastAsia="Times New Roman" w:cs="Times New Roman"/>
                <w:spacing w:val="7"/>
              </w:rPr>
              <w:t>25m</w:t>
            </w:r>
          </w:p>
        </w:tc>
        <w:tc>
          <w:tcPr>
            <w:tcW w:w="1699" w:type="dxa"/>
            <w:vAlign w:val="top"/>
          </w:tcPr>
          <w:p w14:paraId="1FFB1CF9">
            <w:pPr>
              <w:pStyle w:val="6"/>
              <w:spacing w:before="52" w:line="261" w:lineRule="auto"/>
              <w:ind w:left="228" w:right="112" w:hanging="108"/>
              <w:rPr>
                <w:rFonts w:ascii="Times New Roman" w:hAnsi="Times New Roman" w:eastAsia="Times New Roman" w:cs="Times New Roman"/>
              </w:rPr>
            </w:pPr>
            <w:r>
              <w:rPr>
                <w:spacing w:val="8"/>
              </w:rPr>
              <w:t>位于边导线地面</w:t>
            </w:r>
            <w:r>
              <w:rPr>
                <w:spacing w:val="1"/>
              </w:rPr>
              <w:t>投影北侧</w:t>
            </w:r>
            <w:r>
              <w:rPr>
                <w:spacing w:val="-16"/>
              </w:rPr>
              <w:t xml:space="preserve"> </w:t>
            </w:r>
            <w:r>
              <w:rPr>
                <w:rFonts w:ascii="Times New Roman" w:hAnsi="Times New Roman" w:eastAsia="Times New Roman" w:cs="Times New Roman"/>
                <w:spacing w:val="1"/>
              </w:rPr>
              <w:t>11m</w:t>
            </w:r>
          </w:p>
        </w:tc>
        <w:tc>
          <w:tcPr>
            <w:tcW w:w="1076" w:type="dxa"/>
            <w:vAlign w:val="top"/>
          </w:tcPr>
          <w:p w14:paraId="14A884CD">
            <w:pPr>
              <w:spacing w:before="243" w:line="195" w:lineRule="auto"/>
              <w:ind w:left="3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16m</w:t>
            </w:r>
          </w:p>
        </w:tc>
        <w:tc>
          <w:tcPr>
            <w:tcW w:w="1182" w:type="dxa"/>
            <w:vAlign w:val="top"/>
          </w:tcPr>
          <w:p w14:paraId="4F5A4AE1">
            <w:pPr>
              <w:pStyle w:val="6"/>
              <w:spacing w:before="207" w:line="228" w:lineRule="auto"/>
              <w:ind w:left="62"/>
            </w:pPr>
            <w:r>
              <w:rPr>
                <w:rFonts w:ascii="Times New Roman" w:hAnsi="Times New Roman" w:eastAsia="Times New Roman" w:cs="Times New Roman"/>
                <w:spacing w:val="2"/>
              </w:rPr>
              <w:t>1.5</w:t>
            </w:r>
            <w:r>
              <w:rPr>
                <w:spacing w:val="2"/>
              </w:rPr>
              <w:t>（一层）</w:t>
            </w:r>
          </w:p>
        </w:tc>
        <w:tc>
          <w:tcPr>
            <w:tcW w:w="2380" w:type="dxa"/>
            <w:vAlign w:val="top"/>
          </w:tcPr>
          <w:p w14:paraId="3F9251F4">
            <w:pPr>
              <w:spacing w:line="345" w:lineRule="auto"/>
              <w:rPr>
                <w:rFonts w:ascii="Arial"/>
                <w:sz w:val="21"/>
              </w:rPr>
            </w:pPr>
          </w:p>
          <w:p w14:paraId="6FA82B5A">
            <w:pPr>
              <w:spacing w:before="55" w:line="195" w:lineRule="auto"/>
              <w:ind w:left="92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0.1197</w:t>
            </w:r>
          </w:p>
        </w:tc>
        <w:tc>
          <w:tcPr>
            <w:tcW w:w="2009" w:type="dxa"/>
            <w:vAlign w:val="top"/>
          </w:tcPr>
          <w:p w14:paraId="7365457C">
            <w:pPr>
              <w:spacing w:line="345" w:lineRule="auto"/>
              <w:rPr>
                <w:rFonts w:ascii="Arial"/>
                <w:sz w:val="21"/>
              </w:rPr>
            </w:pPr>
          </w:p>
          <w:p w14:paraId="05076E2B">
            <w:pPr>
              <w:spacing w:before="55" w:line="195" w:lineRule="auto"/>
              <w:ind w:left="73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2.0489</w:t>
            </w:r>
          </w:p>
        </w:tc>
      </w:tr>
      <w:tr w14:paraId="0DC14A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999" w:type="dxa"/>
            <w:vMerge w:val="restart"/>
            <w:tcBorders>
              <w:bottom w:val="nil"/>
            </w:tcBorders>
            <w:vAlign w:val="top"/>
          </w:tcPr>
          <w:p w14:paraId="6958A5E5">
            <w:pPr>
              <w:pStyle w:val="6"/>
              <w:spacing w:before="208" w:line="290" w:lineRule="auto"/>
              <w:ind w:left="191" w:right="77" w:hanging="108"/>
            </w:pPr>
            <w:r>
              <w:rPr>
                <w:spacing w:val="8"/>
              </w:rPr>
              <w:t>⑩新华村</w:t>
            </w:r>
            <w:r>
              <w:rPr>
                <w:spacing w:val="6"/>
              </w:rPr>
              <w:t>居民点</w:t>
            </w:r>
          </w:p>
        </w:tc>
        <w:tc>
          <w:tcPr>
            <w:tcW w:w="937" w:type="dxa"/>
            <w:vMerge w:val="restart"/>
            <w:tcBorders>
              <w:bottom w:val="nil"/>
            </w:tcBorders>
            <w:vAlign w:val="top"/>
          </w:tcPr>
          <w:p w14:paraId="2EDFEFE9">
            <w:pPr>
              <w:spacing w:line="343" w:lineRule="auto"/>
              <w:rPr>
                <w:rFonts w:ascii="Arial"/>
                <w:sz w:val="21"/>
              </w:rPr>
            </w:pPr>
          </w:p>
          <w:p w14:paraId="66FFB9C9">
            <w:pPr>
              <w:spacing w:before="58" w:line="192"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1274" w:type="dxa"/>
            <w:vMerge w:val="restart"/>
            <w:tcBorders>
              <w:bottom w:val="nil"/>
            </w:tcBorders>
            <w:vAlign w:val="top"/>
          </w:tcPr>
          <w:p w14:paraId="35FA6D3A">
            <w:pPr>
              <w:pStyle w:val="6"/>
              <w:spacing w:before="209" w:line="289" w:lineRule="auto"/>
              <w:ind w:left="115" w:right="59" w:hanging="52"/>
            </w:pPr>
            <w:r>
              <w:rPr>
                <w:spacing w:val="7"/>
              </w:rPr>
              <w:t>砖混结构，</w:t>
            </w:r>
            <w:r>
              <w:rPr>
                <w:rFonts w:ascii="Times New Roman" w:hAnsi="Times New Roman" w:eastAsia="Times New Roman" w:cs="Times New Roman"/>
                <w:spacing w:val="7"/>
              </w:rPr>
              <w:t>3</w:t>
            </w:r>
            <w:r>
              <w:rPr>
                <w:spacing w:val="5"/>
              </w:rPr>
              <w:t>层（斜顶）</w:t>
            </w:r>
          </w:p>
        </w:tc>
        <w:tc>
          <w:tcPr>
            <w:tcW w:w="2454" w:type="dxa"/>
            <w:vMerge w:val="restart"/>
            <w:tcBorders>
              <w:bottom w:val="nil"/>
            </w:tcBorders>
            <w:vAlign w:val="top"/>
          </w:tcPr>
          <w:p w14:paraId="7468DB33">
            <w:pPr>
              <w:pStyle w:val="6"/>
              <w:spacing w:before="52" w:line="228" w:lineRule="auto"/>
              <w:ind w:left="76"/>
            </w:pPr>
            <w:r>
              <w:rPr>
                <w:spacing w:val="9"/>
              </w:rPr>
              <w:t>双回线路（单边挂线）东</w:t>
            </w:r>
          </w:p>
          <w:p w14:paraId="365E8FA6">
            <w:pPr>
              <w:pStyle w:val="6"/>
              <w:spacing w:before="65" w:line="228" w:lineRule="auto"/>
              <w:ind w:left="72"/>
            </w:pPr>
            <w:r>
              <w:rPr>
                <w:spacing w:val="10"/>
              </w:rPr>
              <w:t>侧，</w:t>
            </w:r>
            <w:r>
              <w:rPr>
                <w:rFonts w:ascii="Times New Roman" w:hAnsi="Times New Roman" w:eastAsia="Times New Roman" w:cs="Times New Roman"/>
              </w:rPr>
              <w:t>AZ</w:t>
            </w:r>
            <w:r>
              <w:rPr>
                <w:rFonts w:ascii="Times New Roman" w:hAnsi="Times New Roman" w:eastAsia="Times New Roman" w:cs="Times New Roman"/>
                <w:spacing w:val="10"/>
              </w:rPr>
              <w:t>15</w:t>
            </w:r>
            <w:r>
              <w:rPr>
                <w:rFonts w:ascii="Times New Roman" w:hAnsi="Times New Roman" w:eastAsia="Times New Roman" w:cs="Times New Roman"/>
              </w:rPr>
              <w:t>GG</w:t>
            </w:r>
            <w:r>
              <w:rPr>
                <w:rFonts w:ascii="Times New Roman" w:hAnsi="Times New Roman" w:eastAsia="Times New Roman" w:cs="Times New Roman"/>
                <w:spacing w:val="10"/>
              </w:rPr>
              <w:t xml:space="preserve"> </w:t>
            </w:r>
            <w:r>
              <w:rPr>
                <w:spacing w:val="10"/>
              </w:rPr>
              <w:t>塔基东南侧</w:t>
            </w:r>
          </w:p>
          <w:p w14:paraId="03B29EF9">
            <w:pPr>
              <w:spacing w:before="101" w:line="195" w:lineRule="auto"/>
              <w:ind w:left="100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120m</w:t>
            </w:r>
          </w:p>
        </w:tc>
        <w:tc>
          <w:tcPr>
            <w:tcW w:w="1699" w:type="dxa"/>
            <w:vMerge w:val="restart"/>
            <w:tcBorders>
              <w:bottom w:val="nil"/>
            </w:tcBorders>
            <w:vAlign w:val="top"/>
          </w:tcPr>
          <w:p w14:paraId="3B9BF91F">
            <w:pPr>
              <w:pStyle w:val="6"/>
              <w:spacing w:before="209" w:line="289" w:lineRule="auto"/>
              <w:ind w:left="225" w:right="112" w:hanging="105"/>
              <w:rPr>
                <w:rFonts w:ascii="Times New Roman" w:hAnsi="Times New Roman" w:eastAsia="Times New Roman" w:cs="Times New Roman"/>
              </w:rPr>
            </w:pPr>
            <w:r>
              <w:rPr>
                <w:spacing w:val="8"/>
              </w:rPr>
              <w:t>位于边导线地面</w:t>
            </w:r>
            <w:r>
              <w:rPr>
                <w:spacing w:val="5"/>
              </w:rPr>
              <w:t>投影东侧</w:t>
            </w:r>
            <w:r>
              <w:rPr>
                <w:spacing w:val="-39"/>
              </w:rPr>
              <w:t xml:space="preserve"> </w:t>
            </w:r>
            <w:r>
              <w:rPr>
                <w:rFonts w:ascii="Times New Roman" w:hAnsi="Times New Roman" w:eastAsia="Times New Roman" w:cs="Times New Roman"/>
                <w:spacing w:val="5"/>
              </w:rPr>
              <w:t>29m</w:t>
            </w:r>
          </w:p>
        </w:tc>
        <w:tc>
          <w:tcPr>
            <w:tcW w:w="1076" w:type="dxa"/>
            <w:vMerge w:val="restart"/>
            <w:tcBorders>
              <w:bottom w:val="nil"/>
            </w:tcBorders>
            <w:vAlign w:val="top"/>
          </w:tcPr>
          <w:p w14:paraId="72B38F9B">
            <w:pPr>
              <w:spacing w:line="340" w:lineRule="auto"/>
              <w:rPr>
                <w:rFonts w:ascii="Arial"/>
                <w:sz w:val="21"/>
              </w:rPr>
            </w:pPr>
          </w:p>
          <w:p w14:paraId="736B9439">
            <w:pPr>
              <w:spacing w:before="58" w:line="195" w:lineRule="auto"/>
              <w:ind w:left="35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34m</w:t>
            </w:r>
          </w:p>
        </w:tc>
        <w:tc>
          <w:tcPr>
            <w:tcW w:w="1182" w:type="dxa"/>
            <w:vAlign w:val="top"/>
          </w:tcPr>
          <w:p w14:paraId="3C658280">
            <w:pPr>
              <w:pStyle w:val="6"/>
              <w:spacing w:before="85" w:line="228" w:lineRule="auto"/>
              <w:ind w:left="62"/>
            </w:pPr>
            <w:r>
              <w:rPr>
                <w:rFonts w:ascii="Times New Roman" w:hAnsi="Times New Roman" w:eastAsia="Times New Roman" w:cs="Times New Roman"/>
                <w:spacing w:val="2"/>
              </w:rPr>
              <w:t>1.5</w:t>
            </w:r>
            <w:r>
              <w:rPr>
                <w:spacing w:val="2"/>
              </w:rPr>
              <w:t>（一层）</w:t>
            </w:r>
          </w:p>
        </w:tc>
        <w:tc>
          <w:tcPr>
            <w:tcW w:w="2380" w:type="dxa"/>
            <w:vAlign w:val="top"/>
          </w:tcPr>
          <w:p w14:paraId="06383B68">
            <w:pPr>
              <w:spacing w:before="158" w:line="195" w:lineRule="auto"/>
              <w:ind w:left="9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0.0697</w:t>
            </w:r>
          </w:p>
        </w:tc>
        <w:tc>
          <w:tcPr>
            <w:tcW w:w="2009" w:type="dxa"/>
            <w:vAlign w:val="top"/>
          </w:tcPr>
          <w:p w14:paraId="0B3851ED">
            <w:pPr>
              <w:spacing w:before="158" w:line="195" w:lineRule="auto"/>
              <w:ind w:left="7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0.6629</w:t>
            </w:r>
          </w:p>
        </w:tc>
      </w:tr>
      <w:tr w14:paraId="059D3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999" w:type="dxa"/>
            <w:vMerge w:val="continue"/>
            <w:tcBorders>
              <w:top w:val="nil"/>
            </w:tcBorders>
            <w:vAlign w:val="top"/>
          </w:tcPr>
          <w:p w14:paraId="263A46EB">
            <w:pPr>
              <w:rPr>
                <w:rFonts w:ascii="Arial"/>
                <w:sz w:val="21"/>
              </w:rPr>
            </w:pPr>
          </w:p>
        </w:tc>
        <w:tc>
          <w:tcPr>
            <w:tcW w:w="937" w:type="dxa"/>
            <w:vMerge w:val="continue"/>
            <w:tcBorders>
              <w:top w:val="nil"/>
            </w:tcBorders>
            <w:vAlign w:val="top"/>
          </w:tcPr>
          <w:p w14:paraId="4E0AB7FD">
            <w:pPr>
              <w:rPr>
                <w:rFonts w:ascii="Arial"/>
                <w:sz w:val="21"/>
              </w:rPr>
            </w:pPr>
          </w:p>
        </w:tc>
        <w:tc>
          <w:tcPr>
            <w:tcW w:w="1274" w:type="dxa"/>
            <w:vMerge w:val="continue"/>
            <w:tcBorders>
              <w:top w:val="nil"/>
            </w:tcBorders>
            <w:vAlign w:val="top"/>
          </w:tcPr>
          <w:p w14:paraId="35FF97D2">
            <w:pPr>
              <w:rPr>
                <w:rFonts w:ascii="Arial"/>
                <w:sz w:val="21"/>
              </w:rPr>
            </w:pPr>
          </w:p>
        </w:tc>
        <w:tc>
          <w:tcPr>
            <w:tcW w:w="2454" w:type="dxa"/>
            <w:vMerge w:val="continue"/>
            <w:tcBorders>
              <w:top w:val="nil"/>
            </w:tcBorders>
            <w:vAlign w:val="top"/>
          </w:tcPr>
          <w:p w14:paraId="494A0767">
            <w:pPr>
              <w:rPr>
                <w:rFonts w:ascii="Arial"/>
                <w:sz w:val="21"/>
              </w:rPr>
            </w:pPr>
          </w:p>
        </w:tc>
        <w:tc>
          <w:tcPr>
            <w:tcW w:w="1699" w:type="dxa"/>
            <w:vMerge w:val="continue"/>
            <w:tcBorders>
              <w:top w:val="nil"/>
            </w:tcBorders>
            <w:vAlign w:val="top"/>
          </w:tcPr>
          <w:p w14:paraId="7B569C87">
            <w:pPr>
              <w:rPr>
                <w:rFonts w:ascii="Arial"/>
                <w:sz w:val="21"/>
              </w:rPr>
            </w:pPr>
          </w:p>
        </w:tc>
        <w:tc>
          <w:tcPr>
            <w:tcW w:w="1076" w:type="dxa"/>
            <w:vMerge w:val="continue"/>
            <w:tcBorders>
              <w:top w:val="nil"/>
            </w:tcBorders>
            <w:vAlign w:val="top"/>
          </w:tcPr>
          <w:p w14:paraId="3AABE42D">
            <w:pPr>
              <w:rPr>
                <w:rFonts w:ascii="Arial"/>
                <w:sz w:val="21"/>
              </w:rPr>
            </w:pPr>
          </w:p>
        </w:tc>
        <w:tc>
          <w:tcPr>
            <w:tcW w:w="1182" w:type="dxa"/>
            <w:vAlign w:val="top"/>
          </w:tcPr>
          <w:p w14:paraId="1084C5C1">
            <w:pPr>
              <w:pStyle w:val="6"/>
              <w:spacing w:before="167" w:line="228" w:lineRule="auto"/>
              <w:ind w:left="40"/>
            </w:pPr>
            <w:r>
              <w:rPr>
                <w:rFonts w:ascii="Times New Roman" w:hAnsi="Times New Roman" w:eastAsia="Times New Roman" w:cs="Times New Roman"/>
                <w:spacing w:val="5"/>
              </w:rPr>
              <w:t>4.5</w:t>
            </w:r>
            <w:r>
              <w:rPr>
                <w:spacing w:val="5"/>
              </w:rPr>
              <w:t>（二层）</w:t>
            </w:r>
          </w:p>
        </w:tc>
        <w:tc>
          <w:tcPr>
            <w:tcW w:w="2380" w:type="dxa"/>
            <w:vAlign w:val="top"/>
          </w:tcPr>
          <w:p w14:paraId="6F47BF5E">
            <w:pPr>
              <w:spacing w:line="262" w:lineRule="auto"/>
              <w:rPr>
                <w:rFonts w:ascii="Arial"/>
                <w:sz w:val="21"/>
              </w:rPr>
            </w:pPr>
          </w:p>
          <w:p w14:paraId="37184196">
            <w:pPr>
              <w:spacing w:before="57" w:line="195" w:lineRule="auto"/>
              <w:ind w:left="9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0.0695</w:t>
            </w:r>
          </w:p>
        </w:tc>
        <w:tc>
          <w:tcPr>
            <w:tcW w:w="2009" w:type="dxa"/>
            <w:vAlign w:val="top"/>
          </w:tcPr>
          <w:p w14:paraId="73CF164F">
            <w:pPr>
              <w:spacing w:line="262" w:lineRule="auto"/>
              <w:rPr>
                <w:rFonts w:ascii="Arial"/>
                <w:sz w:val="21"/>
              </w:rPr>
            </w:pPr>
          </w:p>
          <w:p w14:paraId="037BA41E">
            <w:pPr>
              <w:spacing w:before="57" w:line="195" w:lineRule="auto"/>
              <w:ind w:left="7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0.6846</w:t>
            </w:r>
          </w:p>
        </w:tc>
      </w:tr>
      <w:tr w14:paraId="576514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99" w:type="dxa"/>
            <w:vAlign w:val="top"/>
          </w:tcPr>
          <w:p w14:paraId="3B60C3DB">
            <w:pPr>
              <w:pStyle w:val="6"/>
              <w:spacing w:before="52" w:line="261" w:lineRule="auto"/>
              <w:ind w:left="190" w:right="77" w:hanging="109"/>
            </w:pPr>
            <w:r>
              <w:rPr>
                <w:rFonts w:ascii="MS PGothic" w:hAnsi="MS PGothic" w:eastAsia="MS PGothic" w:cs="MS PGothic"/>
                <w:spacing w:val="8"/>
              </w:rPr>
              <w:t>①</w:t>
            </w:r>
            <w:r>
              <w:rPr>
                <w:spacing w:val="8"/>
              </w:rPr>
              <w:t>菜地看</w:t>
            </w:r>
            <w:r>
              <w:rPr>
                <w:spacing w:val="6"/>
              </w:rPr>
              <w:t>护用房</w:t>
            </w:r>
          </w:p>
        </w:tc>
        <w:tc>
          <w:tcPr>
            <w:tcW w:w="937" w:type="dxa"/>
            <w:vAlign w:val="top"/>
          </w:tcPr>
          <w:p w14:paraId="76D207C8">
            <w:pPr>
              <w:spacing w:before="247" w:line="192"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1274" w:type="dxa"/>
            <w:vAlign w:val="top"/>
          </w:tcPr>
          <w:p w14:paraId="713C3BAC">
            <w:pPr>
              <w:pStyle w:val="6"/>
              <w:spacing w:before="52" w:line="261" w:lineRule="auto"/>
              <w:ind w:left="115" w:right="59" w:hanging="52"/>
            </w:pPr>
            <w:r>
              <w:rPr>
                <w:spacing w:val="7"/>
              </w:rPr>
              <w:t>砖混结构，</w:t>
            </w:r>
            <w:r>
              <w:rPr>
                <w:rFonts w:ascii="Times New Roman" w:hAnsi="Times New Roman" w:eastAsia="Times New Roman" w:cs="Times New Roman"/>
                <w:spacing w:val="7"/>
              </w:rPr>
              <w:t>1</w:t>
            </w:r>
            <w:r>
              <w:rPr>
                <w:spacing w:val="5"/>
              </w:rPr>
              <w:t>层（斜顶）</w:t>
            </w:r>
          </w:p>
        </w:tc>
        <w:tc>
          <w:tcPr>
            <w:tcW w:w="2454" w:type="dxa"/>
            <w:vAlign w:val="top"/>
          </w:tcPr>
          <w:p w14:paraId="4AB94C9D">
            <w:pPr>
              <w:pStyle w:val="6"/>
              <w:spacing w:before="52" w:line="261" w:lineRule="auto"/>
              <w:ind w:left="191" w:right="71" w:hanging="115"/>
              <w:rPr>
                <w:rFonts w:ascii="Times New Roman" w:hAnsi="Times New Roman" w:eastAsia="Times New Roman" w:cs="Times New Roman"/>
              </w:rPr>
            </w:pPr>
            <w:r>
              <w:rPr>
                <w:spacing w:val="9"/>
              </w:rPr>
              <w:t>双回线路（单边挂线）西</w:t>
            </w:r>
            <w:r>
              <w:rPr>
                <w:spacing w:val="7"/>
              </w:rPr>
              <w:t>侧，</w:t>
            </w:r>
            <w:r>
              <w:rPr>
                <w:rFonts w:ascii="Times New Roman" w:hAnsi="Times New Roman" w:eastAsia="Times New Roman" w:cs="Times New Roman"/>
              </w:rPr>
              <w:t>AJ</w:t>
            </w:r>
            <w:r>
              <w:rPr>
                <w:rFonts w:ascii="Times New Roman" w:hAnsi="Times New Roman" w:eastAsia="Times New Roman" w:cs="Times New Roman"/>
                <w:spacing w:val="7"/>
              </w:rPr>
              <w:t xml:space="preserve">8 </w:t>
            </w:r>
            <w:r>
              <w:rPr>
                <w:spacing w:val="7"/>
              </w:rPr>
              <w:t>塔基西侧</w:t>
            </w:r>
            <w:r>
              <w:rPr>
                <w:spacing w:val="-35"/>
              </w:rPr>
              <w:t xml:space="preserve"> </w:t>
            </w:r>
            <w:r>
              <w:rPr>
                <w:rFonts w:ascii="Times New Roman" w:hAnsi="Times New Roman" w:eastAsia="Times New Roman" w:cs="Times New Roman"/>
                <w:spacing w:val="7"/>
              </w:rPr>
              <w:t>30m</w:t>
            </w:r>
          </w:p>
        </w:tc>
        <w:tc>
          <w:tcPr>
            <w:tcW w:w="1699" w:type="dxa"/>
            <w:vAlign w:val="top"/>
          </w:tcPr>
          <w:p w14:paraId="609592D8">
            <w:pPr>
              <w:pStyle w:val="6"/>
              <w:spacing w:before="52" w:line="261" w:lineRule="auto"/>
              <w:ind w:left="228" w:right="112" w:hanging="108"/>
              <w:rPr>
                <w:rFonts w:ascii="Times New Roman" w:hAnsi="Times New Roman" w:eastAsia="Times New Roman" w:cs="Times New Roman"/>
              </w:rPr>
            </w:pPr>
            <w:r>
              <w:rPr>
                <w:spacing w:val="8"/>
              </w:rPr>
              <w:t>位于边导线地面</w:t>
            </w:r>
            <w:r>
              <w:rPr>
                <w:spacing w:val="1"/>
              </w:rPr>
              <w:t>投影西侧</w:t>
            </w:r>
            <w:r>
              <w:rPr>
                <w:spacing w:val="-16"/>
              </w:rPr>
              <w:t xml:space="preserve"> </w:t>
            </w:r>
            <w:r>
              <w:rPr>
                <w:rFonts w:ascii="Times New Roman" w:hAnsi="Times New Roman" w:eastAsia="Times New Roman" w:cs="Times New Roman"/>
                <w:spacing w:val="1"/>
              </w:rPr>
              <w:t>11m</w:t>
            </w:r>
          </w:p>
        </w:tc>
        <w:tc>
          <w:tcPr>
            <w:tcW w:w="1076" w:type="dxa"/>
            <w:vAlign w:val="top"/>
          </w:tcPr>
          <w:p w14:paraId="783E3B32">
            <w:pPr>
              <w:spacing w:before="244" w:line="195" w:lineRule="auto"/>
              <w:ind w:left="3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16m</w:t>
            </w:r>
          </w:p>
        </w:tc>
        <w:tc>
          <w:tcPr>
            <w:tcW w:w="1182" w:type="dxa"/>
            <w:vAlign w:val="top"/>
          </w:tcPr>
          <w:p w14:paraId="6041C955">
            <w:pPr>
              <w:pStyle w:val="6"/>
              <w:spacing w:before="207" w:line="228" w:lineRule="auto"/>
              <w:ind w:left="62"/>
            </w:pPr>
            <w:r>
              <w:rPr>
                <w:rFonts w:ascii="Times New Roman" w:hAnsi="Times New Roman" w:eastAsia="Times New Roman" w:cs="Times New Roman"/>
                <w:spacing w:val="2"/>
              </w:rPr>
              <w:t>1.5</w:t>
            </w:r>
            <w:r>
              <w:rPr>
                <w:spacing w:val="2"/>
              </w:rPr>
              <w:t>（一层）</w:t>
            </w:r>
          </w:p>
        </w:tc>
        <w:tc>
          <w:tcPr>
            <w:tcW w:w="2380" w:type="dxa"/>
            <w:vAlign w:val="top"/>
          </w:tcPr>
          <w:p w14:paraId="198380DD">
            <w:pPr>
              <w:spacing w:line="348" w:lineRule="auto"/>
              <w:rPr>
                <w:rFonts w:ascii="Arial"/>
                <w:sz w:val="21"/>
              </w:rPr>
            </w:pPr>
          </w:p>
          <w:p w14:paraId="1261E8E8">
            <w:pPr>
              <w:spacing w:before="54" w:line="195" w:lineRule="auto"/>
              <w:ind w:left="92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0.1197</w:t>
            </w:r>
          </w:p>
        </w:tc>
        <w:tc>
          <w:tcPr>
            <w:tcW w:w="2009" w:type="dxa"/>
            <w:vAlign w:val="top"/>
          </w:tcPr>
          <w:p w14:paraId="6FCE696F">
            <w:pPr>
              <w:spacing w:line="348" w:lineRule="auto"/>
              <w:rPr>
                <w:rFonts w:ascii="Arial"/>
                <w:sz w:val="21"/>
              </w:rPr>
            </w:pPr>
          </w:p>
          <w:p w14:paraId="3352755B">
            <w:pPr>
              <w:spacing w:before="54" w:line="195" w:lineRule="auto"/>
              <w:ind w:left="73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2.0489</w:t>
            </w:r>
          </w:p>
        </w:tc>
      </w:tr>
      <w:tr w14:paraId="32D34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99" w:type="dxa"/>
            <w:vAlign w:val="top"/>
          </w:tcPr>
          <w:p w14:paraId="1303BC92">
            <w:pPr>
              <w:pStyle w:val="6"/>
              <w:spacing w:before="52" w:line="261" w:lineRule="auto"/>
              <w:ind w:left="190" w:right="77" w:hanging="109"/>
            </w:pPr>
            <w:r>
              <w:rPr>
                <w:rFonts w:ascii="MS PGothic" w:hAnsi="MS PGothic" w:eastAsia="MS PGothic" w:cs="MS PGothic"/>
                <w:spacing w:val="8"/>
              </w:rPr>
              <w:t>⑩</w:t>
            </w:r>
            <w:r>
              <w:rPr>
                <w:spacing w:val="8"/>
              </w:rPr>
              <w:t>菜地看</w:t>
            </w:r>
            <w:r>
              <w:rPr>
                <w:spacing w:val="6"/>
              </w:rPr>
              <w:t>护用房</w:t>
            </w:r>
          </w:p>
        </w:tc>
        <w:tc>
          <w:tcPr>
            <w:tcW w:w="937" w:type="dxa"/>
            <w:vAlign w:val="top"/>
          </w:tcPr>
          <w:p w14:paraId="6E18D528">
            <w:pPr>
              <w:spacing w:before="250" w:line="192"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1274" w:type="dxa"/>
            <w:vAlign w:val="top"/>
          </w:tcPr>
          <w:p w14:paraId="4E92B5F6">
            <w:pPr>
              <w:pStyle w:val="6"/>
              <w:spacing w:before="52" w:line="261" w:lineRule="auto"/>
              <w:ind w:left="115" w:right="59" w:hanging="52"/>
            </w:pPr>
            <w:r>
              <w:rPr>
                <w:spacing w:val="7"/>
              </w:rPr>
              <w:t>砖混结构，</w:t>
            </w:r>
            <w:r>
              <w:rPr>
                <w:rFonts w:ascii="Times New Roman" w:hAnsi="Times New Roman" w:eastAsia="Times New Roman" w:cs="Times New Roman"/>
                <w:spacing w:val="7"/>
              </w:rPr>
              <w:t>1</w:t>
            </w:r>
            <w:r>
              <w:rPr>
                <w:spacing w:val="5"/>
              </w:rPr>
              <w:t>层（斜顶）</w:t>
            </w:r>
          </w:p>
        </w:tc>
        <w:tc>
          <w:tcPr>
            <w:tcW w:w="2454" w:type="dxa"/>
            <w:vAlign w:val="top"/>
          </w:tcPr>
          <w:p w14:paraId="401C8B01">
            <w:pPr>
              <w:pStyle w:val="6"/>
              <w:spacing w:before="52" w:line="261" w:lineRule="auto"/>
              <w:ind w:left="31" w:right="24" w:firstLine="44"/>
              <w:rPr>
                <w:rFonts w:ascii="Times New Roman" w:hAnsi="Times New Roman" w:eastAsia="Times New Roman" w:cs="Times New Roman"/>
              </w:rPr>
            </w:pPr>
            <w:r>
              <w:rPr>
                <w:spacing w:val="9"/>
              </w:rPr>
              <w:t>双回线路（单边挂线）西</w:t>
            </w:r>
            <w:r>
              <w:rPr>
                <w:spacing w:val="2"/>
              </w:rPr>
              <w:t>侧，</w:t>
            </w:r>
            <w:r>
              <w:rPr>
                <w:rFonts w:ascii="Times New Roman" w:hAnsi="Times New Roman" w:eastAsia="Times New Roman" w:cs="Times New Roman"/>
              </w:rPr>
              <w:t>AZ</w:t>
            </w:r>
            <w:r>
              <w:rPr>
                <w:rFonts w:ascii="Times New Roman" w:hAnsi="Times New Roman" w:eastAsia="Times New Roman" w:cs="Times New Roman"/>
                <w:spacing w:val="2"/>
              </w:rPr>
              <w:t>5</w:t>
            </w:r>
            <w:r>
              <w:rPr>
                <w:rFonts w:ascii="Times New Roman" w:hAnsi="Times New Roman" w:eastAsia="Times New Roman" w:cs="Times New Roman"/>
                <w:spacing w:val="18"/>
              </w:rPr>
              <w:t xml:space="preserve"> </w:t>
            </w:r>
            <w:r>
              <w:rPr>
                <w:spacing w:val="2"/>
              </w:rPr>
              <w:t>塔基西南侧</w:t>
            </w:r>
            <w:r>
              <w:rPr>
                <w:spacing w:val="-23"/>
              </w:rPr>
              <w:t xml:space="preserve"> </w:t>
            </w:r>
            <w:r>
              <w:rPr>
                <w:rFonts w:ascii="Times New Roman" w:hAnsi="Times New Roman" w:eastAsia="Times New Roman" w:cs="Times New Roman"/>
                <w:spacing w:val="2"/>
              </w:rPr>
              <w:t>128m</w:t>
            </w:r>
          </w:p>
        </w:tc>
        <w:tc>
          <w:tcPr>
            <w:tcW w:w="1699" w:type="dxa"/>
            <w:vAlign w:val="top"/>
          </w:tcPr>
          <w:p w14:paraId="18A27BDA">
            <w:pPr>
              <w:pStyle w:val="6"/>
              <w:spacing w:before="52" w:line="261" w:lineRule="auto"/>
              <w:ind w:left="225" w:right="112" w:hanging="105"/>
              <w:rPr>
                <w:rFonts w:ascii="Times New Roman" w:hAnsi="Times New Roman" w:eastAsia="Times New Roman" w:cs="Times New Roman"/>
              </w:rPr>
            </w:pPr>
            <w:r>
              <w:rPr>
                <w:spacing w:val="8"/>
              </w:rPr>
              <w:t>位于边导线地面</w:t>
            </w:r>
            <w:r>
              <w:rPr>
                <w:spacing w:val="2"/>
              </w:rPr>
              <w:t>投影西侧</w:t>
            </w:r>
            <w:r>
              <w:rPr>
                <w:spacing w:val="-18"/>
              </w:rPr>
              <w:t xml:space="preserve"> </w:t>
            </w:r>
            <w:r>
              <w:rPr>
                <w:rFonts w:ascii="Times New Roman" w:hAnsi="Times New Roman" w:eastAsia="Times New Roman" w:cs="Times New Roman"/>
                <w:spacing w:val="2"/>
              </w:rPr>
              <w:t>17m</w:t>
            </w:r>
          </w:p>
        </w:tc>
        <w:tc>
          <w:tcPr>
            <w:tcW w:w="1076" w:type="dxa"/>
            <w:vAlign w:val="top"/>
          </w:tcPr>
          <w:p w14:paraId="78CC2DD8">
            <w:pPr>
              <w:spacing w:before="244" w:line="195" w:lineRule="auto"/>
              <w:ind w:left="35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22m</w:t>
            </w:r>
          </w:p>
        </w:tc>
        <w:tc>
          <w:tcPr>
            <w:tcW w:w="1182" w:type="dxa"/>
            <w:vAlign w:val="top"/>
          </w:tcPr>
          <w:p w14:paraId="2E994890">
            <w:pPr>
              <w:pStyle w:val="6"/>
              <w:spacing w:before="208" w:line="228" w:lineRule="auto"/>
              <w:ind w:left="62"/>
            </w:pPr>
            <w:r>
              <w:rPr>
                <w:rFonts w:ascii="Times New Roman" w:hAnsi="Times New Roman" w:eastAsia="Times New Roman" w:cs="Times New Roman"/>
                <w:spacing w:val="2"/>
              </w:rPr>
              <w:t>1.5</w:t>
            </w:r>
            <w:r>
              <w:rPr>
                <w:spacing w:val="2"/>
              </w:rPr>
              <w:t>（一层）</w:t>
            </w:r>
          </w:p>
        </w:tc>
        <w:tc>
          <w:tcPr>
            <w:tcW w:w="2380" w:type="dxa"/>
            <w:vAlign w:val="top"/>
          </w:tcPr>
          <w:p w14:paraId="2283D427">
            <w:pPr>
              <w:spacing w:line="348" w:lineRule="auto"/>
              <w:rPr>
                <w:rFonts w:ascii="Arial"/>
                <w:sz w:val="21"/>
              </w:rPr>
            </w:pPr>
          </w:p>
          <w:p w14:paraId="60547951">
            <w:pPr>
              <w:spacing w:before="55" w:line="195" w:lineRule="auto"/>
              <w:ind w:left="92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0.1076</w:t>
            </w:r>
          </w:p>
        </w:tc>
        <w:tc>
          <w:tcPr>
            <w:tcW w:w="2009" w:type="dxa"/>
            <w:vAlign w:val="top"/>
          </w:tcPr>
          <w:p w14:paraId="71CEC9B9">
            <w:pPr>
              <w:spacing w:line="348" w:lineRule="auto"/>
              <w:rPr>
                <w:rFonts w:ascii="Arial"/>
                <w:sz w:val="21"/>
              </w:rPr>
            </w:pPr>
          </w:p>
          <w:p w14:paraId="133475E8">
            <w:pPr>
              <w:spacing w:before="55" w:line="195" w:lineRule="auto"/>
              <w:ind w:left="749"/>
              <w:rPr>
                <w:rFonts w:ascii="Times New Roman" w:hAnsi="Times New Roman" w:eastAsia="Times New Roman" w:cs="Times New Roman"/>
                <w:sz w:val="19"/>
                <w:szCs w:val="19"/>
              </w:rPr>
            </w:pPr>
            <w:r>
              <w:rPr>
                <w:rFonts w:ascii="Times New Roman" w:hAnsi="Times New Roman" w:eastAsia="Times New Roman" w:cs="Times New Roman"/>
                <w:sz w:val="19"/>
                <w:szCs w:val="19"/>
              </w:rPr>
              <w:t>1.3181</w:t>
            </w:r>
          </w:p>
        </w:tc>
      </w:tr>
      <w:tr w14:paraId="1CD2E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999" w:type="dxa"/>
            <w:vAlign w:val="top"/>
          </w:tcPr>
          <w:p w14:paraId="050C92A1">
            <w:pPr>
              <w:pStyle w:val="6"/>
              <w:spacing w:before="208" w:line="290" w:lineRule="auto"/>
              <w:ind w:left="190" w:right="77" w:hanging="109"/>
            </w:pPr>
            <w:r>
              <w:rPr>
                <w:rFonts w:ascii="MS PGothic" w:hAnsi="MS PGothic" w:eastAsia="MS PGothic" w:cs="MS PGothic"/>
                <w:spacing w:val="25"/>
              </w:rPr>
              <w:t>®</w:t>
            </w:r>
            <w:r>
              <w:rPr>
                <w:spacing w:val="25"/>
              </w:rPr>
              <w:t>菜地看</w:t>
            </w:r>
            <w:r>
              <w:rPr>
                <w:spacing w:val="6"/>
              </w:rPr>
              <w:t>护用房</w:t>
            </w:r>
          </w:p>
        </w:tc>
        <w:tc>
          <w:tcPr>
            <w:tcW w:w="937" w:type="dxa"/>
            <w:vAlign w:val="top"/>
          </w:tcPr>
          <w:p w14:paraId="142F6BEE">
            <w:pPr>
              <w:spacing w:line="347" w:lineRule="auto"/>
              <w:rPr>
                <w:rFonts w:ascii="Arial"/>
                <w:sz w:val="21"/>
              </w:rPr>
            </w:pPr>
          </w:p>
          <w:p w14:paraId="757270DE">
            <w:pPr>
              <w:spacing w:before="57" w:line="192"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1274" w:type="dxa"/>
            <w:vAlign w:val="top"/>
          </w:tcPr>
          <w:p w14:paraId="10DD1719">
            <w:pPr>
              <w:pStyle w:val="6"/>
              <w:spacing w:before="210" w:line="289" w:lineRule="auto"/>
              <w:ind w:left="115" w:right="59" w:hanging="52"/>
            </w:pPr>
            <w:r>
              <w:rPr>
                <w:spacing w:val="7"/>
              </w:rPr>
              <w:t>砖混结构，</w:t>
            </w:r>
            <w:r>
              <w:rPr>
                <w:rFonts w:ascii="Times New Roman" w:hAnsi="Times New Roman" w:eastAsia="Times New Roman" w:cs="Times New Roman"/>
                <w:spacing w:val="7"/>
              </w:rPr>
              <w:t>1</w:t>
            </w:r>
            <w:r>
              <w:rPr>
                <w:spacing w:val="5"/>
              </w:rPr>
              <w:t>层（斜顶）</w:t>
            </w:r>
          </w:p>
        </w:tc>
        <w:tc>
          <w:tcPr>
            <w:tcW w:w="2454" w:type="dxa"/>
            <w:vAlign w:val="top"/>
          </w:tcPr>
          <w:p w14:paraId="733CA7D5">
            <w:pPr>
              <w:pStyle w:val="6"/>
              <w:spacing w:before="53" w:line="228" w:lineRule="auto"/>
              <w:ind w:left="76"/>
            </w:pPr>
            <w:r>
              <w:rPr>
                <w:spacing w:val="9"/>
              </w:rPr>
              <w:t>双回线路（单边挂线）北</w:t>
            </w:r>
          </w:p>
          <w:p w14:paraId="7B586D6D">
            <w:pPr>
              <w:pStyle w:val="6"/>
              <w:spacing w:before="64" w:line="228" w:lineRule="auto"/>
              <w:ind w:left="165"/>
            </w:pPr>
            <w:r>
              <w:rPr>
                <w:spacing w:val="8"/>
              </w:rPr>
              <w:t>侧，</w:t>
            </w:r>
            <w:r>
              <w:rPr>
                <w:rFonts w:ascii="Times New Roman" w:hAnsi="Times New Roman" w:eastAsia="Times New Roman" w:cs="Times New Roman"/>
              </w:rPr>
              <w:t>AZ</w:t>
            </w:r>
            <w:r>
              <w:rPr>
                <w:rFonts w:ascii="Times New Roman" w:hAnsi="Times New Roman" w:eastAsia="Times New Roman" w:cs="Times New Roman"/>
                <w:spacing w:val="8"/>
              </w:rPr>
              <w:t xml:space="preserve">7+1 </w:t>
            </w:r>
            <w:r>
              <w:rPr>
                <w:spacing w:val="8"/>
              </w:rPr>
              <w:t>塔基东南侧</w:t>
            </w:r>
          </w:p>
          <w:p w14:paraId="3E676032">
            <w:pPr>
              <w:spacing w:before="101" w:line="195" w:lineRule="auto"/>
              <w:ind w:left="100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140m</w:t>
            </w:r>
          </w:p>
        </w:tc>
        <w:tc>
          <w:tcPr>
            <w:tcW w:w="1699" w:type="dxa"/>
            <w:vAlign w:val="top"/>
          </w:tcPr>
          <w:p w14:paraId="573D72E0">
            <w:pPr>
              <w:pStyle w:val="6"/>
              <w:spacing w:before="210" w:line="289" w:lineRule="auto"/>
              <w:ind w:left="228" w:right="112" w:hanging="108"/>
              <w:rPr>
                <w:rFonts w:ascii="Times New Roman" w:hAnsi="Times New Roman" w:eastAsia="Times New Roman" w:cs="Times New Roman"/>
              </w:rPr>
            </w:pPr>
            <w:r>
              <w:rPr>
                <w:spacing w:val="8"/>
              </w:rPr>
              <w:t>位于边导线地面</w:t>
            </w:r>
            <w:r>
              <w:rPr>
                <w:spacing w:val="1"/>
              </w:rPr>
              <w:t>投影北侧</w:t>
            </w:r>
            <w:r>
              <w:rPr>
                <w:spacing w:val="-18"/>
              </w:rPr>
              <w:t xml:space="preserve"> </w:t>
            </w:r>
            <w:r>
              <w:rPr>
                <w:rFonts w:ascii="Times New Roman" w:hAnsi="Times New Roman" w:eastAsia="Times New Roman" w:cs="Times New Roman"/>
                <w:spacing w:val="1"/>
              </w:rPr>
              <w:t>11m</w:t>
            </w:r>
          </w:p>
        </w:tc>
        <w:tc>
          <w:tcPr>
            <w:tcW w:w="1076" w:type="dxa"/>
            <w:vAlign w:val="top"/>
          </w:tcPr>
          <w:p w14:paraId="6AB5310E">
            <w:pPr>
              <w:spacing w:line="341" w:lineRule="auto"/>
              <w:rPr>
                <w:rFonts w:ascii="Arial"/>
                <w:sz w:val="21"/>
              </w:rPr>
            </w:pPr>
          </w:p>
          <w:p w14:paraId="00F5968C">
            <w:pPr>
              <w:spacing w:before="58" w:line="195" w:lineRule="auto"/>
              <w:ind w:left="3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16m</w:t>
            </w:r>
          </w:p>
        </w:tc>
        <w:tc>
          <w:tcPr>
            <w:tcW w:w="1182" w:type="dxa"/>
            <w:vAlign w:val="top"/>
          </w:tcPr>
          <w:p w14:paraId="23A218CB">
            <w:pPr>
              <w:spacing w:line="298" w:lineRule="auto"/>
              <w:rPr>
                <w:rFonts w:ascii="Arial"/>
                <w:sz w:val="21"/>
              </w:rPr>
            </w:pPr>
          </w:p>
          <w:p w14:paraId="714A3347">
            <w:pPr>
              <w:pStyle w:val="6"/>
              <w:spacing w:before="65" w:line="228" w:lineRule="auto"/>
              <w:ind w:left="62"/>
            </w:pPr>
            <w:r>
              <w:rPr>
                <w:rFonts w:ascii="Times New Roman" w:hAnsi="Times New Roman" w:eastAsia="Times New Roman" w:cs="Times New Roman"/>
                <w:spacing w:val="2"/>
              </w:rPr>
              <w:t>1.5</w:t>
            </w:r>
            <w:r>
              <w:rPr>
                <w:spacing w:val="2"/>
              </w:rPr>
              <w:t>（一层）</w:t>
            </w:r>
          </w:p>
        </w:tc>
        <w:tc>
          <w:tcPr>
            <w:tcW w:w="2380" w:type="dxa"/>
            <w:vAlign w:val="top"/>
          </w:tcPr>
          <w:p w14:paraId="7F192695">
            <w:pPr>
              <w:spacing w:line="329" w:lineRule="auto"/>
              <w:rPr>
                <w:rFonts w:ascii="Arial"/>
                <w:sz w:val="21"/>
              </w:rPr>
            </w:pPr>
          </w:p>
          <w:p w14:paraId="1F843A1D">
            <w:pPr>
              <w:spacing w:line="330" w:lineRule="auto"/>
              <w:rPr>
                <w:rFonts w:ascii="Arial"/>
                <w:sz w:val="21"/>
              </w:rPr>
            </w:pPr>
          </w:p>
          <w:p w14:paraId="56CC664A">
            <w:pPr>
              <w:spacing w:before="55" w:line="195" w:lineRule="auto"/>
              <w:ind w:left="921"/>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0.1197</w:t>
            </w:r>
          </w:p>
        </w:tc>
        <w:tc>
          <w:tcPr>
            <w:tcW w:w="2009" w:type="dxa"/>
            <w:vAlign w:val="top"/>
          </w:tcPr>
          <w:p w14:paraId="0E5FBC37">
            <w:pPr>
              <w:spacing w:line="329" w:lineRule="auto"/>
              <w:rPr>
                <w:rFonts w:ascii="Arial"/>
                <w:sz w:val="21"/>
              </w:rPr>
            </w:pPr>
          </w:p>
          <w:p w14:paraId="3A48B9F3">
            <w:pPr>
              <w:spacing w:line="330" w:lineRule="auto"/>
              <w:rPr>
                <w:rFonts w:ascii="Arial"/>
                <w:sz w:val="21"/>
              </w:rPr>
            </w:pPr>
          </w:p>
          <w:p w14:paraId="113F341C">
            <w:pPr>
              <w:spacing w:before="55" w:line="195" w:lineRule="auto"/>
              <w:ind w:left="730"/>
              <w:rPr>
                <w:rFonts w:ascii="Times New Roman" w:hAnsi="Times New Roman" w:eastAsia="Times New Roman" w:cs="Times New Roman"/>
                <w:sz w:val="19"/>
                <w:szCs w:val="19"/>
              </w:rPr>
            </w:pPr>
            <w:r>
              <w:rPr>
                <w:rFonts w:ascii="Times New Roman" w:hAnsi="Times New Roman" w:eastAsia="Times New Roman" w:cs="Times New Roman"/>
                <w:spacing w:val="3"/>
                <w:sz w:val="19"/>
                <w:szCs w:val="19"/>
              </w:rPr>
              <w:t>2.0489</w:t>
            </w:r>
          </w:p>
        </w:tc>
      </w:tr>
      <w:tr w14:paraId="1A92F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999" w:type="dxa"/>
            <w:vAlign w:val="top"/>
          </w:tcPr>
          <w:p w14:paraId="4C49C9A7">
            <w:pPr>
              <w:pStyle w:val="6"/>
              <w:spacing w:before="56" w:line="259" w:lineRule="auto"/>
              <w:ind w:left="190" w:right="77" w:hanging="109"/>
            </w:pPr>
            <w:r>
              <w:rPr>
                <w:rFonts w:ascii="MS PGothic" w:hAnsi="MS PGothic" w:eastAsia="MS PGothic" w:cs="MS PGothic"/>
                <w:spacing w:val="8"/>
              </w:rPr>
              <w:t>⑩</w:t>
            </w:r>
            <w:r>
              <w:rPr>
                <w:spacing w:val="8"/>
              </w:rPr>
              <w:t>菜地看</w:t>
            </w:r>
            <w:r>
              <w:rPr>
                <w:spacing w:val="6"/>
              </w:rPr>
              <w:t>护用房</w:t>
            </w:r>
          </w:p>
        </w:tc>
        <w:tc>
          <w:tcPr>
            <w:tcW w:w="937" w:type="dxa"/>
            <w:vAlign w:val="top"/>
          </w:tcPr>
          <w:p w14:paraId="3C32A0F5">
            <w:pPr>
              <w:spacing w:before="251" w:line="192"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1274" w:type="dxa"/>
            <w:vAlign w:val="top"/>
          </w:tcPr>
          <w:p w14:paraId="6A28440F">
            <w:pPr>
              <w:pStyle w:val="6"/>
              <w:spacing w:before="56" w:line="259" w:lineRule="auto"/>
              <w:ind w:left="115" w:right="59" w:hanging="52"/>
            </w:pPr>
            <w:r>
              <w:rPr>
                <w:spacing w:val="7"/>
              </w:rPr>
              <w:t>砖混结构，</w:t>
            </w:r>
            <w:r>
              <w:rPr>
                <w:rFonts w:ascii="Times New Roman" w:hAnsi="Times New Roman" w:eastAsia="Times New Roman" w:cs="Times New Roman"/>
                <w:spacing w:val="7"/>
              </w:rPr>
              <w:t>1</w:t>
            </w:r>
            <w:r>
              <w:rPr>
                <w:spacing w:val="5"/>
              </w:rPr>
              <w:t>层（斜顶）</w:t>
            </w:r>
          </w:p>
        </w:tc>
        <w:tc>
          <w:tcPr>
            <w:tcW w:w="2454" w:type="dxa"/>
            <w:vAlign w:val="top"/>
          </w:tcPr>
          <w:p w14:paraId="68A87BD9">
            <w:pPr>
              <w:pStyle w:val="6"/>
              <w:spacing w:before="56" w:line="228" w:lineRule="auto"/>
              <w:ind w:left="34"/>
            </w:pPr>
            <w:r>
              <w:rPr>
                <w:spacing w:val="-1"/>
              </w:rPr>
              <w:t>单回线路南侧，</w:t>
            </w:r>
            <w:r>
              <w:rPr>
                <w:rFonts w:ascii="Times New Roman" w:hAnsi="Times New Roman" w:eastAsia="Times New Roman" w:cs="Times New Roman"/>
                <w:spacing w:val="-1"/>
              </w:rPr>
              <w:t>BZ1-</w:t>
            </w:r>
            <w:r>
              <w:rPr>
                <w:rFonts w:ascii="Times New Roman" w:hAnsi="Times New Roman" w:eastAsia="Times New Roman" w:cs="Times New Roman"/>
                <w:spacing w:val="-23"/>
              </w:rPr>
              <w:t xml:space="preserve"> </w:t>
            </w:r>
            <w:r>
              <w:rPr>
                <w:rFonts w:ascii="Times New Roman" w:hAnsi="Times New Roman" w:eastAsia="Times New Roman" w:cs="Times New Roman"/>
                <w:spacing w:val="-1"/>
              </w:rPr>
              <w:t xml:space="preserve">1 </w:t>
            </w:r>
            <w:r>
              <w:rPr>
                <w:spacing w:val="-1"/>
              </w:rPr>
              <w:t>塔基</w:t>
            </w:r>
          </w:p>
          <w:p w14:paraId="425FB680">
            <w:pPr>
              <w:pStyle w:val="6"/>
              <w:spacing w:before="65" w:line="228" w:lineRule="auto"/>
              <w:ind w:left="813"/>
              <w:rPr>
                <w:rFonts w:ascii="Times New Roman" w:hAnsi="Times New Roman" w:eastAsia="Times New Roman" w:cs="Times New Roman"/>
              </w:rPr>
            </w:pPr>
            <w:r>
              <w:rPr>
                <w:spacing w:val="2"/>
              </w:rPr>
              <w:t>西侧</w:t>
            </w:r>
            <w:r>
              <w:rPr>
                <w:spacing w:val="-34"/>
              </w:rPr>
              <w:t xml:space="preserve"> </w:t>
            </w:r>
            <w:r>
              <w:rPr>
                <w:rFonts w:ascii="Times New Roman" w:hAnsi="Times New Roman" w:eastAsia="Times New Roman" w:cs="Times New Roman"/>
                <w:spacing w:val="2"/>
              </w:rPr>
              <w:t>35m</w:t>
            </w:r>
          </w:p>
        </w:tc>
        <w:tc>
          <w:tcPr>
            <w:tcW w:w="1699" w:type="dxa"/>
            <w:vAlign w:val="top"/>
          </w:tcPr>
          <w:p w14:paraId="199FBA64">
            <w:pPr>
              <w:pStyle w:val="6"/>
              <w:spacing w:before="56" w:line="259" w:lineRule="auto"/>
              <w:ind w:left="276" w:right="112" w:hanging="156"/>
              <w:rPr>
                <w:rFonts w:ascii="Times New Roman" w:hAnsi="Times New Roman" w:eastAsia="Times New Roman" w:cs="Times New Roman"/>
              </w:rPr>
            </w:pPr>
            <w:r>
              <w:rPr>
                <w:spacing w:val="8"/>
              </w:rPr>
              <w:t>位于边导线地面</w:t>
            </w:r>
            <w:r>
              <w:rPr>
                <w:spacing w:val="6"/>
              </w:rPr>
              <w:t>投影南侧</w:t>
            </w:r>
            <w:r>
              <w:rPr>
                <w:spacing w:val="-43"/>
              </w:rPr>
              <w:t xml:space="preserve"> </w:t>
            </w:r>
            <w:r>
              <w:rPr>
                <w:rFonts w:ascii="Times New Roman" w:hAnsi="Times New Roman" w:eastAsia="Times New Roman" w:cs="Times New Roman"/>
                <w:spacing w:val="6"/>
              </w:rPr>
              <w:t>4m</w:t>
            </w:r>
          </w:p>
        </w:tc>
        <w:tc>
          <w:tcPr>
            <w:tcW w:w="1076" w:type="dxa"/>
            <w:vAlign w:val="top"/>
          </w:tcPr>
          <w:p w14:paraId="719C606D">
            <w:pPr>
              <w:spacing w:before="248" w:line="195" w:lineRule="auto"/>
              <w:ind w:left="41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9m</w:t>
            </w:r>
          </w:p>
        </w:tc>
        <w:tc>
          <w:tcPr>
            <w:tcW w:w="1182" w:type="dxa"/>
            <w:vAlign w:val="top"/>
          </w:tcPr>
          <w:p w14:paraId="7AB8178C">
            <w:pPr>
              <w:pStyle w:val="6"/>
              <w:spacing w:before="212" w:line="228" w:lineRule="auto"/>
              <w:ind w:left="62"/>
            </w:pPr>
            <w:r>
              <w:rPr>
                <w:rFonts w:ascii="Times New Roman" w:hAnsi="Times New Roman" w:eastAsia="Times New Roman" w:cs="Times New Roman"/>
                <w:spacing w:val="2"/>
              </w:rPr>
              <w:t>1.5</w:t>
            </w:r>
            <w:r>
              <w:rPr>
                <w:spacing w:val="2"/>
              </w:rPr>
              <w:t>（一层）</w:t>
            </w:r>
          </w:p>
        </w:tc>
        <w:tc>
          <w:tcPr>
            <w:tcW w:w="2380" w:type="dxa"/>
            <w:vAlign w:val="top"/>
          </w:tcPr>
          <w:p w14:paraId="5014C822">
            <w:pPr>
              <w:spacing w:line="344" w:lineRule="auto"/>
              <w:rPr>
                <w:rFonts w:ascii="Arial"/>
                <w:sz w:val="21"/>
              </w:rPr>
            </w:pPr>
          </w:p>
          <w:p w14:paraId="35863BD5">
            <w:pPr>
              <w:spacing w:before="58" w:line="195" w:lineRule="auto"/>
              <w:ind w:left="924"/>
              <w:rPr>
                <w:rFonts w:ascii="Times New Roman" w:hAnsi="Times New Roman" w:eastAsia="Times New Roman" w:cs="Times New Roman"/>
                <w:sz w:val="20"/>
                <w:szCs w:val="20"/>
              </w:rPr>
            </w:pPr>
            <w:r>
              <w:rPr>
                <w:rFonts w:ascii="Times New Roman" w:hAnsi="Times New Roman" w:eastAsia="Times New Roman" w:cs="Times New Roman"/>
                <w:sz w:val="20"/>
                <w:szCs w:val="20"/>
              </w:rPr>
              <w:t>1.0971</w:t>
            </w:r>
          </w:p>
        </w:tc>
        <w:tc>
          <w:tcPr>
            <w:tcW w:w="2009" w:type="dxa"/>
            <w:vAlign w:val="top"/>
          </w:tcPr>
          <w:p w14:paraId="3AA90217">
            <w:pPr>
              <w:spacing w:line="344" w:lineRule="auto"/>
              <w:rPr>
                <w:rFonts w:ascii="Arial"/>
                <w:sz w:val="21"/>
              </w:rPr>
            </w:pPr>
          </w:p>
          <w:p w14:paraId="70C53ED3">
            <w:pPr>
              <w:spacing w:before="58" w:line="195" w:lineRule="auto"/>
              <w:ind w:left="7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9.0932</w:t>
            </w:r>
          </w:p>
        </w:tc>
      </w:tr>
      <w:tr w14:paraId="663A73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99" w:type="dxa"/>
            <w:vAlign w:val="top"/>
          </w:tcPr>
          <w:p w14:paraId="77E0DC3E">
            <w:pPr>
              <w:pStyle w:val="6"/>
              <w:spacing w:before="57" w:line="259" w:lineRule="auto"/>
              <w:ind w:left="190" w:right="77" w:hanging="109"/>
            </w:pPr>
            <w:r>
              <w:rPr>
                <w:rFonts w:ascii="MS PGothic" w:hAnsi="MS PGothic" w:eastAsia="MS PGothic" w:cs="MS PGothic"/>
                <w:spacing w:val="8"/>
              </w:rPr>
              <w:t>⑩</w:t>
            </w:r>
            <w:r>
              <w:rPr>
                <w:spacing w:val="8"/>
              </w:rPr>
              <w:t>菜地看</w:t>
            </w:r>
            <w:r>
              <w:rPr>
                <w:spacing w:val="6"/>
              </w:rPr>
              <w:t>护用房</w:t>
            </w:r>
          </w:p>
        </w:tc>
        <w:tc>
          <w:tcPr>
            <w:tcW w:w="937" w:type="dxa"/>
            <w:vAlign w:val="top"/>
          </w:tcPr>
          <w:p w14:paraId="74C4C93C">
            <w:pPr>
              <w:spacing w:before="251" w:line="192"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1274" w:type="dxa"/>
            <w:vAlign w:val="top"/>
          </w:tcPr>
          <w:p w14:paraId="70A3C50F">
            <w:pPr>
              <w:pStyle w:val="6"/>
              <w:spacing w:before="57" w:line="259" w:lineRule="auto"/>
              <w:ind w:left="115" w:right="59" w:hanging="52"/>
            </w:pPr>
            <w:r>
              <w:rPr>
                <w:spacing w:val="7"/>
              </w:rPr>
              <w:t>砖混结构，</w:t>
            </w:r>
            <w:r>
              <w:rPr>
                <w:rFonts w:ascii="Times New Roman" w:hAnsi="Times New Roman" w:eastAsia="Times New Roman" w:cs="Times New Roman"/>
                <w:spacing w:val="7"/>
              </w:rPr>
              <w:t>1</w:t>
            </w:r>
            <w:r>
              <w:rPr>
                <w:spacing w:val="5"/>
              </w:rPr>
              <w:t>层（斜顶）</w:t>
            </w:r>
          </w:p>
        </w:tc>
        <w:tc>
          <w:tcPr>
            <w:tcW w:w="2454" w:type="dxa"/>
            <w:vAlign w:val="top"/>
          </w:tcPr>
          <w:p w14:paraId="1FACD522">
            <w:pPr>
              <w:pStyle w:val="6"/>
              <w:spacing w:before="57" w:line="259" w:lineRule="auto"/>
              <w:ind w:left="656" w:right="28" w:hanging="622"/>
              <w:rPr>
                <w:rFonts w:ascii="Times New Roman" w:hAnsi="Times New Roman" w:eastAsia="Times New Roman" w:cs="Times New Roman"/>
              </w:rPr>
            </w:pPr>
            <w:r>
              <w:rPr>
                <w:spacing w:val="2"/>
              </w:rPr>
              <w:t>单回线路西侧，</w:t>
            </w:r>
            <w:r>
              <w:rPr>
                <w:rFonts w:ascii="Times New Roman" w:hAnsi="Times New Roman" w:eastAsia="Times New Roman" w:cs="Times New Roman"/>
              </w:rPr>
              <w:t>BZ</w:t>
            </w:r>
            <w:r>
              <w:rPr>
                <w:rFonts w:ascii="Times New Roman" w:hAnsi="Times New Roman" w:eastAsia="Times New Roman" w:cs="Times New Roman"/>
                <w:spacing w:val="2"/>
              </w:rPr>
              <w:t xml:space="preserve">2G </w:t>
            </w:r>
            <w:r>
              <w:rPr>
                <w:spacing w:val="2"/>
              </w:rPr>
              <w:t>塔基西南侧</w:t>
            </w:r>
            <w:r>
              <w:rPr>
                <w:spacing w:val="-23"/>
              </w:rPr>
              <w:t xml:space="preserve"> </w:t>
            </w:r>
            <w:r>
              <w:rPr>
                <w:rFonts w:ascii="Times New Roman" w:hAnsi="Times New Roman" w:eastAsia="Times New Roman" w:cs="Times New Roman"/>
                <w:spacing w:val="2"/>
              </w:rPr>
              <w:t>160m</w:t>
            </w:r>
          </w:p>
        </w:tc>
        <w:tc>
          <w:tcPr>
            <w:tcW w:w="1699" w:type="dxa"/>
            <w:vAlign w:val="top"/>
          </w:tcPr>
          <w:p w14:paraId="6D916A9D">
            <w:pPr>
              <w:pStyle w:val="6"/>
              <w:spacing w:before="57" w:line="259" w:lineRule="auto"/>
              <w:ind w:left="276" w:right="112" w:hanging="156"/>
              <w:rPr>
                <w:rFonts w:ascii="Times New Roman" w:hAnsi="Times New Roman" w:eastAsia="Times New Roman" w:cs="Times New Roman"/>
              </w:rPr>
            </w:pPr>
            <w:r>
              <w:rPr>
                <w:spacing w:val="8"/>
              </w:rPr>
              <w:t>位于边导线地面</w:t>
            </w:r>
            <w:r>
              <w:rPr>
                <w:spacing w:val="5"/>
              </w:rPr>
              <w:t>投影西侧</w:t>
            </w:r>
            <w:r>
              <w:rPr>
                <w:spacing w:val="-37"/>
              </w:rPr>
              <w:t xml:space="preserve"> </w:t>
            </w:r>
            <w:r>
              <w:rPr>
                <w:rFonts w:ascii="Times New Roman" w:hAnsi="Times New Roman" w:eastAsia="Times New Roman" w:cs="Times New Roman"/>
                <w:spacing w:val="5"/>
              </w:rPr>
              <w:t>6m</w:t>
            </w:r>
          </w:p>
        </w:tc>
        <w:tc>
          <w:tcPr>
            <w:tcW w:w="1076" w:type="dxa"/>
            <w:vAlign w:val="top"/>
          </w:tcPr>
          <w:p w14:paraId="6E71BFE0">
            <w:pPr>
              <w:spacing w:before="249" w:line="195" w:lineRule="auto"/>
              <w:ind w:left="377"/>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11m</w:t>
            </w:r>
          </w:p>
        </w:tc>
        <w:tc>
          <w:tcPr>
            <w:tcW w:w="1182" w:type="dxa"/>
            <w:vAlign w:val="top"/>
          </w:tcPr>
          <w:p w14:paraId="5A3601D4">
            <w:pPr>
              <w:pStyle w:val="6"/>
              <w:spacing w:before="212" w:line="228" w:lineRule="auto"/>
              <w:ind w:left="62"/>
            </w:pPr>
            <w:r>
              <w:rPr>
                <w:rFonts w:ascii="Times New Roman" w:hAnsi="Times New Roman" w:eastAsia="Times New Roman" w:cs="Times New Roman"/>
                <w:spacing w:val="2"/>
              </w:rPr>
              <w:t>1.5</w:t>
            </w:r>
            <w:r>
              <w:rPr>
                <w:spacing w:val="2"/>
              </w:rPr>
              <w:t>（一层）</w:t>
            </w:r>
          </w:p>
        </w:tc>
        <w:tc>
          <w:tcPr>
            <w:tcW w:w="2380" w:type="dxa"/>
            <w:vAlign w:val="top"/>
          </w:tcPr>
          <w:p w14:paraId="15B219E4">
            <w:pPr>
              <w:spacing w:line="345" w:lineRule="auto"/>
              <w:rPr>
                <w:rFonts w:ascii="Arial"/>
                <w:sz w:val="21"/>
              </w:rPr>
            </w:pPr>
          </w:p>
          <w:p w14:paraId="0CE30E86">
            <w:pPr>
              <w:spacing w:before="57" w:line="195" w:lineRule="auto"/>
              <w:ind w:left="9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0.7774</w:t>
            </w:r>
          </w:p>
        </w:tc>
        <w:tc>
          <w:tcPr>
            <w:tcW w:w="2009" w:type="dxa"/>
            <w:vAlign w:val="top"/>
          </w:tcPr>
          <w:p w14:paraId="0A99CE70">
            <w:pPr>
              <w:spacing w:line="345" w:lineRule="auto"/>
              <w:rPr>
                <w:rFonts w:ascii="Arial"/>
                <w:sz w:val="21"/>
              </w:rPr>
            </w:pPr>
          </w:p>
          <w:p w14:paraId="1274B032">
            <w:pPr>
              <w:spacing w:before="57" w:line="195" w:lineRule="auto"/>
              <w:ind w:left="7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6.8149</w:t>
            </w:r>
          </w:p>
        </w:tc>
      </w:tr>
      <w:tr w14:paraId="2A8A3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99" w:type="dxa"/>
            <w:vAlign w:val="top"/>
          </w:tcPr>
          <w:p w14:paraId="29F36E6C">
            <w:pPr>
              <w:pStyle w:val="6"/>
              <w:spacing w:before="55" w:line="260" w:lineRule="auto"/>
              <w:ind w:left="190" w:right="77" w:hanging="109"/>
            </w:pPr>
            <w:r>
              <w:rPr>
                <w:rFonts w:ascii="MS PGothic" w:hAnsi="MS PGothic" w:eastAsia="MS PGothic" w:cs="MS PGothic"/>
                <w:spacing w:val="8"/>
              </w:rPr>
              <w:t>⑩</w:t>
            </w:r>
            <w:r>
              <w:rPr>
                <w:spacing w:val="8"/>
              </w:rPr>
              <w:t>菜地看</w:t>
            </w:r>
            <w:r>
              <w:rPr>
                <w:spacing w:val="6"/>
              </w:rPr>
              <w:t>护用房</w:t>
            </w:r>
          </w:p>
        </w:tc>
        <w:tc>
          <w:tcPr>
            <w:tcW w:w="937" w:type="dxa"/>
            <w:vAlign w:val="top"/>
          </w:tcPr>
          <w:p w14:paraId="245ADEE2">
            <w:pPr>
              <w:spacing w:before="251" w:line="192"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1274" w:type="dxa"/>
            <w:vAlign w:val="top"/>
          </w:tcPr>
          <w:p w14:paraId="420845F4">
            <w:pPr>
              <w:pStyle w:val="6"/>
              <w:spacing w:before="55" w:line="260" w:lineRule="auto"/>
              <w:ind w:left="115" w:right="59" w:hanging="52"/>
            </w:pPr>
            <w:r>
              <w:rPr>
                <w:spacing w:val="7"/>
              </w:rPr>
              <w:t>砖混结构，</w:t>
            </w:r>
            <w:r>
              <w:rPr>
                <w:rFonts w:ascii="Times New Roman" w:hAnsi="Times New Roman" w:eastAsia="Times New Roman" w:cs="Times New Roman"/>
                <w:spacing w:val="7"/>
              </w:rPr>
              <w:t>1</w:t>
            </w:r>
            <w:r>
              <w:rPr>
                <w:spacing w:val="5"/>
              </w:rPr>
              <w:t>层（斜顶）</w:t>
            </w:r>
          </w:p>
        </w:tc>
        <w:tc>
          <w:tcPr>
            <w:tcW w:w="2454" w:type="dxa"/>
            <w:vAlign w:val="top"/>
          </w:tcPr>
          <w:p w14:paraId="72A573FF">
            <w:pPr>
              <w:pStyle w:val="6"/>
              <w:spacing w:before="55" w:line="260" w:lineRule="auto"/>
              <w:ind w:left="440" w:right="101" w:hanging="334"/>
              <w:rPr>
                <w:rFonts w:ascii="Times New Roman" w:hAnsi="Times New Roman" w:eastAsia="Times New Roman" w:cs="Times New Roman"/>
              </w:rPr>
            </w:pPr>
            <w:r>
              <w:rPr>
                <w:spacing w:val="12"/>
              </w:rPr>
              <w:t>单回线路东侧，</w:t>
            </w:r>
            <w:r>
              <w:rPr>
                <w:rFonts w:ascii="Times New Roman" w:hAnsi="Times New Roman" w:eastAsia="Times New Roman" w:cs="Times New Roman"/>
              </w:rPr>
              <w:t>BJ</w:t>
            </w:r>
            <w:r>
              <w:rPr>
                <w:rFonts w:ascii="Times New Roman" w:hAnsi="Times New Roman" w:eastAsia="Times New Roman" w:cs="Times New Roman"/>
                <w:spacing w:val="12"/>
              </w:rPr>
              <w:t>6</w:t>
            </w:r>
            <w:r>
              <w:rPr>
                <w:rFonts w:ascii="Times New Roman" w:hAnsi="Times New Roman" w:eastAsia="Times New Roman" w:cs="Times New Roman"/>
              </w:rPr>
              <w:t>GGG</w:t>
            </w:r>
            <w:r>
              <w:rPr>
                <w:spacing w:val="4"/>
              </w:rPr>
              <w:t>塔基西南侧</w:t>
            </w:r>
            <w:r>
              <w:rPr>
                <w:spacing w:val="-20"/>
              </w:rPr>
              <w:t xml:space="preserve"> </w:t>
            </w:r>
            <w:r>
              <w:rPr>
                <w:rFonts w:ascii="Times New Roman" w:hAnsi="Times New Roman" w:eastAsia="Times New Roman" w:cs="Times New Roman"/>
                <w:spacing w:val="4"/>
              </w:rPr>
              <w:t>100m</w:t>
            </w:r>
          </w:p>
        </w:tc>
        <w:tc>
          <w:tcPr>
            <w:tcW w:w="1699" w:type="dxa"/>
            <w:vAlign w:val="top"/>
          </w:tcPr>
          <w:p w14:paraId="072A3D0E">
            <w:pPr>
              <w:pStyle w:val="6"/>
              <w:spacing w:before="55" w:line="260" w:lineRule="auto"/>
              <w:ind w:left="276" w:right="112" w:hanging="156"/>
              <w:rPr>
                <w:rFonts w:ascii="Times New Roman" w:hAnsi="Times New Roman" w:eastAsia="Times New Roman" w:cs="Times New Roman"/>
              </w:rPr>
            </w:pPr>
            <w:r>
              <w:rPr>
                <w:spacing w:val="8"/>
              </w:rPr>
              <w:t>位于边导线地面</w:t>
            </w:r>
            <w:r>
              <w:rPr>
                <w:spacing w:val="5"/>
              </w:rPr>
              <w:t>投影东侧</w:t>
            </w:r>
            <w:r>
              <w:rPr>
                <w:spacing w:val="-37"/>
              </w:rPr>
              <w:t xml:space="preserve"> </w:t>
            </w:r>
            <w:r>
              <w:rPr>
                <w:rFonts w:ascii="Times New Roman" w:hAnsi="Times New Roman" w:eastAsia="Times New Roman" w:cs="Times New Roman"/>
                <w:spacing w:val="5"/>
              </w:rPr>
              <w:t>5m</w:t>
            </w:r>
          </w:p>
        </w:tc>
        <w:tc>
          <w:tcPr>
            <w:tcW w:w="1076" w:type="dxa"/>
            <w:vAlign w:val="top"/>
          </w:tcPr>
          <w:p w14:paraId="534B59C4">
            <w:pPr>
              <w:spacing w:before="248" w:line="195" w:lineRule="auto"/>
              <w:ind w:left="37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10m</w:t>
            </w:r>
          </w:p>
        </w:tc>
        <w:tc>
          <w:tcPr>
            <w:tcW w:w="1182" w:type="dxa"/>
            <w:vAlign w:val="top"/>
          </w:tcPr>
          <w:p w14:paraId="38007B29">
            <w:pPr>
              <w:pStyle w:val="6"/>
              <w:spacing w:before="212" w:line="228" w:lineRule="auto"/>
              <w:ind w:left="62"/>
            </w:pPr>
            <w:r>
              <w:rPr>
                <w:rFonts w:ascii="Times New Roman" w:hAnsi="Times New Roman" w:eastAsia="Times New Roman" w:cs="Times New Roman"/>
                <w:spacing w:val="2"/>
              </w:rPr>
              <w:t>1.5</w:t>
            </w:r>
            <w:r>
              <w:rPr>
                <w:spacing w:val="2"/>
              </w:rPr>
              <w:t>（一层）</w:t>
            </w:r>
          </w:p>
        </w:tc>
        <w:tc>
          <w:tcPr>
            <w:tcW w:w="2380" w:type="dxa"/>
            <w:vAlign w:val="top"/>
          </w:tcPr>
          <w:p w14:paraId="0BC26D81">
            <w:pPr>
              <w:spacing w:line="344" w:lineRule="auto"/>
              <w:rPr>
                <w:rFonts w:ascii="Arial"/>
                <w:sz w:val="21"/>
              </w:rPr>
            </w:pPr>
          </w:p>
          <w:p w14:paraId="6A602EC6">
            <w:pPr>
              <w:spacing w:before="58" w:line="195" w:lineRule="auto"/>
              <w:ind w:left="96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0.925</w:t>
            </w:r>
          </w:p>
        </w:tc>
        <w:tc>
          <w:tcPr>
            <w:tcW w:w="2009" w:type="dxa"/>
            <w:vAlign w:val="top"/>
          </w:tcPr>
          <w:p w14:paraId="6C8D8DC5">
            <w:pPr>
              <w:spacing w:line="344" w:lineRule="auto"/>
              <w:rPr>
                <w:rFonts w:ascii="Arial"/>
                <w:sz w:val="21"/>
              </w:rPr>
            </w:pPr>
          </w:p>
          <w:p w14:paraId="63CE92F4">
            <w:pPr>
              <w:spacing w:before="58" w:line="195" w:lineRule="auto"/>
              <w:ind w:left="71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7.8547</w:t>
            </w:r>
          </w:p>
        </w:tc>
      </w:tr>
      <w:tr w14:paraId="64D148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999" w:type="dxa"/>
            <w:vAlign w:val="top"/>
          </w:tcPr>
          <w:p w14:paraId="70310FCD">
            <w:pPr>
              <w:pStyle w:val="6"/>
              <w:spacing w:before="55" w:line="262" w:lineRule="auto"/>
              <w:ind w:left="190" w:right="77" w:hanging="109"/>
            </w:pPr>
            <w:r>
              <w:rPr>
                <w:rFonts w:ascii="MS PGothic" w:hAnsi="MS PGothic" w:eastAsia="MS PGothic" w:cs="MS PGothic"/>
                <w:spacing w:val="8"/>
              </w:rPr>
              <w:t>①</w:t>
            </w:r>
            <w:r>
              <w:rPr>
                <w:spacing w:val="8"/>
              </w:rPr>
              <w:t>菜地看</w:t>
            </w:r>
            <w:r>
              <w:rPr>
                <w:spacing w:val="6"/>
              </w:rPr>
              <w:t>护用房</w:t>
            </w:r>
          </w:p>
        </w:tc>
        <w:tc>
          <w:tcPr>
            <w:tcW w:w="937" w:type="dxa"/>
            <w:vAlign w:val="top"/>
          </w:tcPr>
          <w:p w14:paraId="799F39BB">
            <w:pPr>
              <w:spacing w:before="251" w:line="192" w:lineRule="auto"/>
              <w:ind w:left="33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7m</w:t>
            </w:r>
          </w:p>
        </w:tc>
        <w:tc>
          <w:tcPr>
            <w:tcW w:w="1274" w:type="dxa"/>
            <w:vAlign w:val="top"/>
          </w:tcPr>
          <w:p w14:paraId="37FA1081">
            <w:pPr>
              <w:pStyle w:val="6"/>
              <w:spacing w:before="55" w:line="262" w:lineRule="auto"/>
              <w:ind w:left="115" w:right="59" w:hanging="52"/>
            </w:pPr>
            <w:r>
              <w:rPr>
                <w:spacing w:val="7"/>
              </w:rPr>
              <w:t>砖混结构，</w:t>
            </w:r>
            <w:r>
              <w:rPr>
                <w:rFonts w:ascii="Times New Roman" w:hAnsi="Times New Roman" w:eastAsia="Times New Roman" w:cs="Times New Roman"/>
                <w:spacing w:val="7"/>
              </w:rPr>
              <w:t>1</w:t>
            </w:r>
            <w:r>
              <w:rPr>
                <w:spacing w:val="5"/>
              </w:rPr>
              <w:t>层（斜顶）</w:t>
            </w:r>
          </w:p>
        </w:tc>
        <w:tc>
          <w:tcPr>
            <w:tcW w:w="2454" w:type="dxa"/>
            <w:vAlign w:val="top"/>
          </w:tcPr>
          <w:p w14:paraId="3721293B">
            <w:pPr>
              <w:pStyle w:val="6"/>
              <w:spacing w:before="55" w:line="262" w:lineRule="auto"/>
              <w:ind w:left="706" w:right="28" w:hanging="672"/>
              <w:rPr>
                <w:rFonts w:ascii="Times New Roman" w:hAnsi="Times New Roman" w:eastAsia="Times New Roman" w:cs="Times New Roman"/>
              </w:rPr>
            </w:pPr>
            <w:r>
              <w:rPr>
                <w:spacing w:val="2"/>
              </w:rPr>
              <w:t>单回线路西侧，</w:t>
            </w:r>
            <w:r>
              <w:rPr>
                <w:rFonts w:ascii="Times New Roman" w:hAnsi="Times New Roman" w:eastAsia="Times New Roman" w:cs="Times New Roman"/>
              </w:rPr>
              <w:t>BZ</w:t>
            </w:r>
            <w:r>
              <w:rPr>
                <w:rFonts w:ascii="Times New Roman" w:hAnsi="Times New Roman" w:eastAsia="Times New Roman" w:cs="Times New Roman"/>
                <w:spacing w:val="2"/>
              </w:rPr>
              <w:t xml:space="preserve">7G </w:t>
            </w:r>
            <w:r>
              <w:rPr>
                <w:spacing w:val="2"/>
              </w:rPr>
              <w:t>塔基</w:t>
            </w:r>
            <w:r>
              <w:rPr>
                <w:spacing w:val="3"/>
              </w:rPr>
              <w:t>西南侧</w:t>
            </w:r>
            <w:r>
              <w:rPr>
                <w:spacing w:val="-31"/>
              </w:rPr>
              <w:t xml:space="preserve"> </w:t>
            </w:r>
            <w:r>
              <w:rPr>
                <w:rFonts w:ascii="Times New Roman" w:hAnsi="Times New Roman" w:eastAsia="Times New Roman" w:cs="Times New Roman"/>
                <w:spacing w:val="3"/>
              </w:rPr>
              <w:t>50m</w:t>
            </w:r>
          </w:p>
        </w:tc>
        <w:tc>
          <w:tcPr>
            <w:tcW w:w="1699" w:type="dxa"/>
            <w:vAlign w:val="top"/>
          </w:tcPr>
          <w:p w14:paraId="15A3EF6D">
            <w:pPr>
              <w:pStyle w:val="6"/>
              <w:spacing w:before="55" w:line="262" w:lineRule="auto"/>
              <w:ind w:left="225" w:right="112" w:hanging="105"/>
              <w:rPr>
                <w:rFonts w:ascii="Times New Roman" w:hAnsi="Times New Roman" w:eastAsia="Times New Roman" w:cs="Times New Roman"/>
              </w:rPr>
            </w:pPr>
            <w:r>
              <w:rPr>
                <w:spacing w:val="8"/>
              </w:rPr>
              <w:t>位于边导线地面</w:t>
            </w:r>
            <w:r>
              <w:rPr>
                <w:spacing w:val="2"/>
              </w:rPr>
              <w:t>投影西侧</w:t>
            </w:r>
            <w:r>
              <w:rPr>
                <w:spacing w:val="-18"/>
              </w:rPr>
              <w:t xml:space="preserve"> </w:t>
            </w:r>
            <w:r>
              <w:rPr>
                <w:rFonts w:ascii="Times New Roman" w:hAnsi="Times New Roman" w:eastAsia="Times New Roman" w:cs="Times New Roman"/>
                <w:spacing w:val="2"/>
              </w:rPr>
              <w:t>15m</w:t>
            </w:r>
          </w:p>
        </w:tc>
        <w:tc>
          <w:tcPr>
            <w:tcW w:w="1076" w:type="dxa"/>
            <w:vAlign w:val="top"/>
          </w:tcPr>
          <w:p w14:paraId="78F5C32E">
            <w:pPr>
              <w:spacing w:before="248" w:line="195" w:lineRule="auto"/>
              <w:ind w:left="35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20m</w:t>
            </w:r>
          </w:p>
        </w:tc>
        <w:tc>
          <w:tcPr>
            <w:tcW w:w="1182" w:type="dxa"/>
            <w:vAlign w:val="top"/>
          </w:tcPr>
          <w:p w14:paraId="0708B48C">
            <w:pPr>
              <w:pStyle w:val="6"/>
              <w:spacing w:before="211" w:line="228" w:lineRule="auto"/>
              <w:ind w:left="62"/>
            </w:pPr>
            <w:r>
              <w:rPr>
                <w:rFonts w:ascii="Times New Roman" w:hAnsi="Times New Roman" w:eastAsia="Times New Roman" w:cs="Times New Roman"/>
                <w:spacing w:val="2"/>
              </w:rPr>
              <w:t>1.5</w:t>
            </w:r>
            <w:r>
              <w:rPr>
                <w:spacing w:val="2"/>
              </w:rPr>
              <w:t>（一层）</w:t>
            </w:r>
          </w:p>
        </w:tc>
        <w:tc>
          <w:tcPr>
            <w:tcW w:w="2380" w:type="dxa"/>
            <w:vAlign w:val="top"/>
          </w:tcPr>
          <w:p w14:paraId="7A77CE70">
            <w:pPr>
              <w:spacing w:line="344" w:lineRule="auto"/>
              <w:rPr>
                <w:rFonts w:ascii="Arial"/>
                <w:sz w:val="21"/>
              </w:rPr>
            </w:pPr>
          </w:p>
          <w:p w14:paraId="66071F2D">
            <w:pPr>
              <w:spacing w:before="58" w:line="195" w:lineRule="auto"/>
              <w:ind w:left="90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0.2028</w:t>
            </w:r>
          </w:p>
        </w:tc>
        <w:tc>
          <w:tcPr>
            <w:tcW w:w="2009" w:type="dxa"/>
            <w:vAlign w:val="top"/>
          </w:tcPr>
          <w:p w14:paraId="04089EE9">
            <w:pPr>
              <w:spacing w:line="344" w:lineRule="auto"/>
              <w:rPr>
                <w:rFonts w:ascii="Arial"/>
                <w:sz w:val="21"/>
              </w:rPr>
            </w:pPr>
          </w:p>
          <w:p w14:paraId="763AE59E">
            <w:pPr>
              <w:spacing w:before="58" w:line="195" w:lineRule="auto"/>
              <w:ind w:left="71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2.4436</w:t>
            </w:r>
          </w:p>
        </w:tc>
      </w:tr>
    </w:tbl>
    <w:p w14:paraId="7DDF7357">
      <w:pPr>
        <w:pStyle w:val="2"/>
        <w:spacing w:before="116" w:line="360" w:lineRule="auto"/>
        <w:ind w:left="37" w:right="30" w:firstLine="480"/>
        <w:rPr>
          <w:sz w:val="24"/>
          <w:szCs w:val="24"/>
        </w:rPr>
      </w:pPr>
      <w:r>
        <w:rPr>
          <w:spacing w:val="-2"/>
          <w:sz w:val="24"/>
          <w:szCs w:val="24"/>
        </w:rPr>
        <w:t>根据表</w:t>
      </w:r>
      <w:r>
        <w:rPr>
          <w:spacing w:val="-49"/>
          <w:sz w:val="24"/>
          <w:szCs w:val="24"/>
        </w:rPr>
        <w:t xml:space="preserve"> </w:t>
      </w:r>
      <w:r>
        <w:rPr>
          <w:rFonts w:ascii="Times New Roman" w:hAnsi="Times New Roman" w:eastAsia="Times New Roman" w:cs="Times New Roman"/>
          <w:spacing w:val="-2"/>
          <w:sz w:val="24"/>
          <w:szCs w:val="24"/>
        </w:rPr>
        <w:t>5-8</w:t>
      </w:r>
      <w:r>
        <w:rPr>
          <w:spacing w:val="-2"/>
          <w:sz w:val="24"/>
          <w:szCs w:val="24"/>
        </w:rPr>
        <w:t>，输电线路附近环境保护目标的电磁环境影响都满足《电磁环境控制限值》（</w:t>
      </w:r>
      <w:r>
        <w:rPr>
          <w:rFonts w:ascii="Times New Roman" w:hAnsi="Times New Roman" w:eastAsia="Times New Roman" w:cs="Times New Roman"/>
          <w:spacing w:val="-2"/>
          <w:sz w:val="24"/>
          <w:szCs w:val="24"/>
        </w:rPr>
        <w:t>GB</w:t>
      </w:r>
      <w:r>
        <w:rPr>
          <w:rFonts w:ascii="Times New Roman" w:hAnsi="Times New Roman" w:eastAsia="Times New Roman" w:cs="Times New Roman"/>
          <w:spacing w:val="16"/>
          <w:sz w:val="24"/>
          <w:szCs w:val="24"/>
        </w:rPr>
        <w:t xml:space="preserve"> </w:t>
      </w:r>
      <w:r>
        <w:rPr>
          <w:rFonts w:ascii="Times New Roman" w:hAnsi="Times New Roman" w:eastAsia="Times New Roman" w:cs="Times New Roman"/>
          <w:spacing w:val="-2"/>
          <w:sz w:val="24"/>
          <w:szCs w:val="24"/>
        </w:rPr>
        <w:t>8702-2014</w:t>
      </w:r>
      <w:r>
        <w:rPr>
          <w:spacing w:val="-2"/>
          <w:sz w:val="24"/>
          <w:szCs w:val="24"/>
        </w:rPr>
        <w:t>）工频</w:t>
      </w:r>
      <w:r>
        <w:rPr>
          <w:spacing w:val="-3"/>
          <w:sz w:val="24"/>
          <w:szCs w:val="24"/>
        </w:rPr>
        <w:t>磁感应强度公众曝露</w:t>
      </w:r>
      <w:r>
        <w:rPr>
          <w:spacing w:val="-1"/>
          <w:sz w:val="24"/>
          <w:szCs w:val="24"/>
        </w:rPr>
        <w:t>控制限值</w:t>
      </w:r>
      <w:r>
        <w:rPr>
          <w:rFonts w:ascii="Times New Roman" w:hAnsi="Times New Roman" w:eastAsia="Times New Roman" w:cs="Times New Roman"/>
          <w:spacing w:val="-1"/>
          <w:sz w:val="24"/>
          <w:szCs w:val="24"/>
        </w:rPr>
        <w:t>≤100μT</w:t>
      </w:r>
      <w:r>
        <w:rPr>
          <w:rFonts w:ascii="Times New Roman" w:hAnsi="Times New Roman" w:eastAsia="Times New Roman" w:cs="Times New Roman"/>
          <w:spacing w:val="-31"/>
          <w:sz w:val="24"/>
          <w:szCs w:val="24"/>
        </w:rPr>
        <w:t xml:space="preserve"> </w:t>
      </w:r>
      <w:r>
        <w:rPr>
          <w:spacing w:val="-1"/>
          <w:sz w:val="24"/>
          <w:szCs w:val="24"/>
        </w:rPr>
        <w:t>，工频电场强度公众曝露控制限值</w:t>
      </w:r>
      <w:r>
        <w:rPr>
          <w:rFonts w:ascii="Times New Roman" w:hAnsi="Times New Roman" w:eastAsia="Times New Roman" w:cs="Times New Roman"/>
          <w:spacing w:val="-1"/>
          <w:sz w:val="24"/>
          <w:szCs w:val="24"/>
        </w:rPr>
        <w:t>≤4kV/m</w:t>
      </w:r>
      <w:r>
        <w:rPr>
          <w:rFonts w:ascii="Times New Roman" w:hAnsi="Times New Roman" w:eastAsia="Times New Roman" w:cs="Times New Roman"/>
          <w:spacing w:val="30"/>
          <w:sz w:val="24"/>
          <w:szCs w:val="24"/>
        </w:rPr>
        <w:t xml:space="preserve"> </w:t>
      </w:r>
      <w:r>
        <w:rPr>
          <w:spacing w:val="-1"/>
          <w:sz w:val="24"/>
          <w:szCs w:val="24"/>
        </w:rPr>
        <w:t>的要求，工程运营期对电磁</w:t>
      </w:r>
      <w:r>
        <w:rPr>
          <w:spacing w:val="-2"/>
          <w:sz w:val="24"/>
          <w:szCs w:val="24"/>
        </w:rPr>
        <w:t>环境保护目标的影响可接受。</w:t>
      </w:r>
    </w:p>
    <w:p w14:paraId="54041279">
      <w:pPr>
        <w:spacing w:line="360" w:lineRule="auto"/>
        <w:rPr>
          <w:sz w:val="24"/>
          <w:szCs w:val="24"/>
        </w:rPr>
        <w:sectPr>
          <w:footerReference r:id="rId202" w:type="default"/>
          <w:pgSz w:w="16839" w:h="11906"/>
          <w:pgMar w:top="400" w:right="1411" w:bottom="1147" w:left="1411" w:header="0" w:footer="960" w:gutter="0"/>
          <w:cols w:space="720" w:num="1"/>
        </w:sectPr>
      </w:pPr>
    </w:p>
    <w:p w14:paraId="0A7182EF">
      <w:pPr>
        <w:spacing w:line="275" w:lineRule="auto"/>
        <w:rPr>
          <w:rFonts w:ascii="Arial"/>
          <w:sz w:val="21"/>
        </w:rPr>
      </w:pPr>
    </w:p>
    <w:p w14:paraId="233777D0">
      <w:pPr>
        <w:spacing w:line="275" w:lineRule="auto"/>
        <w:rPr>
          <w:rFonts w:ascii="Arial"/>
          <w:sz w:val="21"/>
        </w:rPr>
      </w:pPr>
    </w:p>
    <w:p w14:paraId="447DF255">
      <w:pPr>
        <w:spacing w:line="275" w:lineRule="auto"/>
        <w:rPr>
          <w:rFonts w:ascii="Arial"/>
          <w:sz w:val="21"/>
        </w:rPr>
      </w:pPr>
    </w:p>
    <w:p w14:paraId="2DD5AF6F">
      <w:pPr>
        <w:spacing w:line="275" w:lineRule="auto"/>
        <w:rPr>
          <w:rFonts w:ascii="Arial"/>
          <w:sz w:val="21"/>
        </w:rPr>
      </w:pPr>
    </w:p>
    <w:p w14:paraId="6238FE40">
      <w:pPr>
        <w:spacing w:line="276" w:lineRule="auto"/>
        <w:rPr>
          <w:rFonts w:ascii="Arial"/>
          <w:sz w:val="21"/>
        </w:rPr>
      </w:pPr>
    </w:p>
    <w:p w14:paraId="7E559B17">
      <w:pPr>
        <w:pStyle w:val="2"/>
        <w:spacing w:before="97" w:line="219" w:lineRule="auto"/>
        <w:ind w:left="24"/>
        <w:rPr>
          <w:sz w:val="30"/>
          <w:szCs w:val="30"/>
        </w:rPr>
      </w:pPr>
      <w:r>
        <w:rPr>
          <w:rFonts w:ascii="Times New Roman" w:hAnsi="Times New Roman" w:eastAsia="Times New Roman" w:cs="Times New Roman"/>
          <w:b/>
          <w:bCs/>
          <w:spacing w:val="-2"/>
          <w:sz w:val="30"/>
          <w:szCs w:val="30"/>
        </w:rPr>
        <w:t xml:space="preserve">5.4  </w:t>
      </w:r>
      <w:r>
        <w:rPr>
          <w:b/>
          <w:bCs/>
          <w:spacing w:val="-2"/>
          <w:sz w:val="30"/>
          <w:szCs w:val="30"/>
        </w:rPr>
        <w:t>输电线路和其他工程交叉时的电磁环境影响分析</w:t>
      </w:r>
    </w:p>
    <w:p w14:paraId="65E49044">
      <w:pPr>
        <w:pStyle w:val="2"/>
        <w:spacing w:before="220" w:line="360" w:lineRule="auto"/>
        <w:ind w:left="25" w:right="80" w:firstLine="478"/>
        <w:jc w:val="both"/>
        <w:rPr>
          <w:sz w:val="24"/>
          <w:szCs w:val="24"/>
        </w:rPr>
      </w:pPr>
      <w:r>
        <w:rPr>
          <w:spacing w:val="1"/>
          <w:sz w:val="24"/>
          <w:szCs w:val="24"/>
        </w:rPr>
        <w:t>根据《环境影响评价技术导则 输变电》（</w:t>
      </w:r>
      <w:r>
        <w:rPr>
          <w:rFonts w:ascii="Times New Roman" w:hAnsi="Times New Roman" w:eastAsia="Times New Roman" w:cs="Times New Roman"/>
          <w:sz w:val="24"/>
          <w:szCs w:val="24"/>
        </w:rPr>
        <w:t>HJ</w:t>
      </w:r>
      <w:r>
        <w:rPr>
          <w:rFonts w:ascii="Times New Roman" w:hAnsi="Times New Roman" w:eastAsia="Times New Roman" w:cs="Times New Roman"/>
          <w:spacing w:val="1"/>
          <w:sz w:val="24"/>
          <w:szCs w:val="24"/>
        </w:rPr>
        <w:t>24-2020</w:t>
      </w:r>
      <w:r>
        <w:rPr>
          <w:spacing w:val="23"/>
          <w:sz w:val="24"/>
          <w:szCs w:val="24"/>
        </w:rPr>
        <w:t>），</w:t>
      </w:r>
      <w:r>
        <w:rPr>
          <w:spacing w:val="1"/>
          <w:sz w:val="24"/>
          <w:szCs w:val="24"/>
        </w:rPr>
        <w:t>多条</w:t>
      </w:r>
      <w:r>
        <w:rPr>
          <w:spacing w:val="-44"/>
          <w:sz w:val="24"/>
          <w:szCs w:val="24"/>
        </w:rPr>
        <w:t xml:space="preserve"> </w:t>
      </w:r>
      <w:r>
        <w:rPr>
          <w:rFonts w:ascii="Times New Roman" w:hAnsi="Times New Roman" w:eastAsia="Times New Roman" w:cs="Times New Roman"/>
          <w:spacing w:val="1"/>
          <w:sz w:val="24"/>
          <w:szCs w:val="24"/>
        </w:rPr>
        <w:t>330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及以</w:t>
      </w:r>
      <w:r>
        <w:rPr>
          <w:spacing w:val="-3"/>
          <w:sz w:val="24"/>
          <w:szCs w:val="24"/>
        </w:rPr>
        <w:t>上电压等级的架高输电线路出现交叉跨越或并行时，可采用模式预测或类比监测</w:t>
      </w:r>
      <w:r>
        <w:rPr>
          <w:spacing w:val="-1"/>
          <w:sz w:val="24"/>
          <w:szCs w:val="24"/>
        </w:rPr>
        <w:t>的方法进行交叉跨越和并行线路环境影响分析。</w:t>
      </w:r>
    </w:p>
    <w:p w14:paraId="1ACECF7E">
      <w:pPr>
        <w:pStyle w:val="2"/>
        <w:spacing w:before="5" w:line="360" w:lineRule="auto"/>
        <w:ind w:left="24" w:firstLine="480"/>
        <w:jc w:val="both"/>
        <w:rPr>
          <w:sz w:val="24"/>
          <w:szCs w:val="24"/>
        </w:rPr>
      </w:pPr>
      <w:r>
        <w:rPr>
          <w:sz w:val="24"/>
          <w:szCs w:val="24"/>
        </w:rPr>
        <w:t>本项目</w:t>
      </w:r>
      <w:r>
        <w:rPr>
          <w:spacing w:val="-14"/>
          <w:sz w:val="24"/>
          <w:szCs w:val="24"/>
        </w:rPr>
        <w:t xml:space="preserve"> </w:t>
      </w:r>
      <w:r>
        <w:rPr>
          <w:rFonts w:ascii="Times New Roman" w:hAnsi="Times New Roman" w:eastAsia="Times New Roman" w:cs="Times New Roman"/>
          <w:sz w:val="24"/>
          <w:szCs w:val="24"/>
        </w:rPr>
        <w:t>110kV</w:t>
      </w:r>
      <w:r>
        <w:rPr>
          <w:rFonts w:ascii="Times New Roman" w:hAnsi="Times New Roman" w:eastAsia="Times New Roman" w:cs="Times New Roman"/>
          <w:spacing w:val="17"/>
          <w:sz w:val="24"/>
          <w:szCs w:val="24"/>
        </w:rPr>
        <w:t xml:space="preserve"> </w:t>
      </w:r>
      <w:r>
        <w:rPr>
          <w:sz w:val="24"/>
          <w:szCs w:val="24"/>
        </w:rPr>
        <w:t>线路仅涉及跨越</w:t>
      </w:r>
      <w:r>
        <w:rPr>
          <w:spacing w:val="-43"/>
          <w:sz w:val="24"/>
          <w:szCs w:val="24"/>
        </w:rPr>
        <w:t xml:space="preserve"> </w:t>
      </w:r>
      <w:r>
        <w:rPr>
          <w:rFonts w:ascii="Times New Roman" w:hAnsi="Times New Roman" w:eastAsia="Times New Roman" w:cs="Times New Roman"/>
          <w:sz w:val="24"/>
          <w:szCs w:val="24"/>
        </w:rPr>
        <w:t xml:space="preserve">35kV </w:t>
      </w:r>
      <w:r>
        <w:rPr>
          <w:sz w:val="24"/>
          <w:szCs w:val="24"/>
        </w:rPr>
        <w:t>线路，不存在多条</w:t>
      </w:r>
      <w:r>
        <w:rPr>
          <w:spacing w:val="-45"/>
          <w:sz w:val="24"/>
          <w:szCs w:val="24"/>
        </w:rPr>
        <w:t xml:space="preserve"> </w:t>
      </w:r>
      <w:r>
        <w:rPr>
          <w:rFonts w:ascii="Times New Roman" w:hAnsi="Times New Roman" w:eastAsia="Times New Roman" w:cs="Times New Roman"/>
          <w:sz w:val="24"/>
          <w:szCs w:val="24"/>
        </w:rPr>
        <w:t xml:space="preserve">330kV </w:t>
      </w:r>
      <w:r>
        <w:rPr>
          <w:sz w:val="24"/>
          <w:szCs w:val="24"/>
        </w:rPr>
        <w:t>及以上电压</w:t>
      </w:r>
      <w:r>
        <w:rPr>
          <w:spacing w:val="-3"/>
          <w:sz w:val="24"/>
          <w:szCs w:val="24"/>
        </w:rPr>
        <w:t>等级的架高输电线路出现交叉跨越或并行；本工程设计单位在设计过程中严格按</w:t>
      </w:r>
      <w:r>
        <w:rPr>
          <w:spacing w:val="-1"/>
          <w:sz w:val="24"/>
          <w:szCs w:val="24"/>
        </w:rPr>
        <w:t>照《</w:t>
      </w:r>
      <w:r>
        <w:rPr>
          <w:rFonts w:ascii="Times New Roman" w:hAnsi="Times New Roman" w:eastAsia="Times New Roman" w:cs="Times New Roman"/>
          <w:spacing w:val="-1"/>
          <w:sz w:val="24"/>
          <w:szCs w:val="24"/>
        </w:rPr>
        <w:t>110</w:t>
      </w:r>
      <w:r>
        <w:rPr>
          <w:spacing w:val="-1"/>
          <w:sz w:val="24"/>
          <w:szCs w:val="24"/>
        </w:rPr>
        <w:t>～</w:t>
      </w:r>
      <w:r>
        <w:rPr>
          <w:rFonts w:ascii="Times New Roman" w:hAnsi="Times New Roman" w:eastAsia="Times New Roman" w:cs="Times New Roman"/>
          <w:spacing w:val="-1"/>
          <w:sz w:val="24"/>
          <w:szCs w:val="24"/>
        </w:rPr>
        <w:t xml:space="preserve">750kV </w:t>
      </w:r>
      <w:r>
        <w:rPr>
          <w:spacing w:val="-1"/>
          <w:sz w:val="24"/>
          <w:szCs w:val="24"/>
        </w:rPr>
        <w:t>架空输电线路设计规范》（</w:t>
      </w:r>
      <w:r>
        <w:rPr>
          <w:rFonts w:ascii="Times New Roman" w:hAnsi="Times New Roman" w:eastAsia="Times New Roman" w:cs="Times New Roman"/>
          <w:spacing w:val="-1"/>
          <w:sz w:val="24"/>
          <w:szCs w:val="24"/>
        </w:rPr>
        <w:t>GB50545-2010</w:t>
      </w:r>
      <w:r>
        <w:rPr>
          <w:spacing w:val="-1"/>
          <w:sz w:val="24"/>
          <w:szCs w:val="24"/>
        </w:rPr>
        <w:t>）进行设计，导线对</w:t>
      </w:r>
      <w:r>
        <w:rPr>
          <w:sz w:val="24"/>
          <w:szCs w:val="24"/>
        </w:rPr>
        <w:t>交叉跨越物之间的最小垂直距离均大于《</w:t>
      </w:r>
      <w:r>
        <w:rPr>
          <w:rFonts w:ascii="Times New Roman" w:hAnsi="Times New Roman" w:eastAsia="Times New Roman" w:cs="Times New Roman"/>
          <w:sz w:val="24"/>
          <w:szCs w:val="24"/>
        </w:rPr>
        <w:t>110</w:t>
      </w:r>
      <w:r>
        <w:rPr>
          <w:sz w:val="24"/>
          <w:szCs w:val="24"/>
        </w:rPr>
        <w:t>～</w:t>
      </w:r>
      <w:r>
        <w:rPr>
          <w:rFonts w:ascii="Times New Roman" w:hAnsi="Times New Roman" w:eastAsia="Times New Roman" w:cs="Times New Roman"/>
          <w:sz w:val="24"/>
          <w:szCs w:val="24"/>
        </w:rPr>
        <w:t xml:space="preserve">750kV </w:t>
      </w:r>
      <w:r>
        <w:rPr>
          <w:sz w:val="24"/>
          <w:szCs w:val="24"/>
        </w:rPr>
        <w:t>架空输电线路设计规范》</w:t>
      </w:r>
      <w:r>
        <w:rPr>
          <w:spacing w:val="12"/>
          <w:sz w:val="24"/>
          <w:szCs w:val="24"/>
        </w:rPr>
        <w:t xml:space="preserve"> </w:t>
      </w:r>
      <w:r>
        <w:rPr>
          <w:spacing w:val="2"/>
          <w:sz w:val="24"/>
          <w:szCs w:val="24"/>
        </w:rPr>
        <w:t>（</w:t>
      </w:r>
      <w:r>
        <w:rPr>
          <w:rFonts w:ascii="Times New Roman" w:hAnsi="Times New Roman" w:eastAsia="Times New Roman" w:cs="Times New Roman"/>
          <w:sz w:val="24"/>
          <w:szCs w:val="24"/>
        </w:rPr>
        <w:t>GB</w:t>
      </w:r>
      <w:r>
        <w:rPr>
          <w:rFonts w:ascii="Times New Roman" w:hAnsi="Times New Roman" w:eastAsia="Times New Roman" w:cs="Times New Roman"/>
          <w:spacing w:val="2"/>
          <w:sz w:val="24"/>
          <w:szCs w:val="24"/>
        </w:rPr>
        <w:t>50545-2010</w:t>
      </w:r>
      <w:r>
        <w:rPr>
          <w:spacing w:val="2"/>
          <w:sz w:val="24"/>
          <w:szCs w:val="24"/>
        </w:rPr>
        <w:t>）中规定的要求，项目运行过程中涉及交叉跨越产生的电磁环</w:t>
      </w:r>
      <w:r>
        <w:rPr>
          <w:spacing w:val="-5"/>
          <w:sz w:val="24"/>
          <w:szCs w:val="24"/>
        </w:rPr>
        <w:t>境影响可满足《电磁环境控制限值》（</w:t>
      </w:r>
      <w:r>
        <w:rPr>
          <w:rFonts w:ascii="Times New Roman" w:hAnsi="Times New Roman" w:eastAsia="Times New Roman" w:cs="Times New Roman"/>
          <w:spacing w:val="-5"/>
          <w:sz w:val="24"/>
          <w:szCs w:val="24"/>
        </w:rPr>
        <w:t>GB8702-2014</w:t>
      </w:r>
      <w:r>
        <w:rPr>
          <w:spacing w:val="-5"/>
          <w:sz w:val="24"/>
          <w:szCs w:val="24"/>
        </w:rPr>
        <w:t>）规定的相应标准限值要求。</w:t>
      </w:r>
    </w:p>
    <w:p w14:paraId="06AB9AAB">
      <w:pPr>
        <w:pStyle w:val="2"/>
        <w:spacing w:before="41" w:line="219" w:lineRule="auto"/>
        <w:ind w:left="24"/>
        <w:rPr>
          <w:sz w:val="30"/>
          <w:szCs w:val="30"/>
        </w:rPr>
      </w:pPr>
      <w:r>
        <w:rPr>
          <w:rFonts w:ascii="Times New Roman" w:hAnsi="Times New Roman" w:eastAsia="Times New Roman" w:cs="Times New Roman"/>
          <w:b/>
          <w:bCs/>
          <w:spacing w:val="-3"/>
          <w:sz w:val="30"/>
          <w:szCs w:val="30"/>
        </w:rPr>
        <w:t xml:space="preserve">5.5  </w:t>
      </w:r>
      <w:r>
        <w:rPr>
          <w:b/>
          <w:bCs/>
          <w:spacing w:val="-3"/>
          <w:sz w:val="30"/>
          <w:szCs w:val="30"/>
        </w:rPr>
        <w:t>对侧变电站间隔工程电磁影响分析</w:t>
      </w:r>
    </w:p>
    <w:p w14:paraId="13E82CA6">
      <w:pPr>
        <w:pStyle w:val="2"/>
        <w:spacing w:before="221" w:line="360" w:lineRule="auto"/>
        <w:ind w:left="23" w:right="80" w:firstLine="480"/>
        <w:jc w:val="both"/>
        <w:rPr>
          <w:sz w:val="24"/>
          <w:szCs w:val="24"/>
        </w:rPr>
      </w:pPr>
      <w:r>
        <w:rPr>
          <w:spacing w:val="-1"/>
          <w:sz w:val="24"/>
          <w:szCs w:val="24"/>
        </w:rPr>
        <w:t>本期在</w:t>
      </w:r>
      <w:r>
        <w:rPr>
          <w:spacing w:val="-52"/>
          <w:sz w:val="24"/>
          <w:szCs w:val="24"/>
        </w:rPr>
        <w:t xml:space="preserve"> </w:t>
      </w:r>
      <w:r>
        <w:rPr>
          <w:rFonts w:ascii="Times New Roman" w:hAnsi="Times New Roman" w:eastAsia="Times New Roman" w:cs="Times New Roman"/>
          <w:spacing w:val="-1"/>
          <w:sz w:val="24"/>
          <w:szCs w:val="24"/>
        </w:rPr>
        <w:t>220kV</w:t>
      </w:r>
      <w:r>
        <w:rPr>
          <w:rFonts w:ascii="Times New Roman" w:hAnsi="Times New Roman" w:eastAsia="Times New Roman" w:cs="Times New Roman"/>
          <w:spacing w:val="17"/>
          <w:w w:val="101"/>
          <w:sz w:val="24"/>
          <w:szCs w:val="24"/>
        </w:rPr>
        <w:t xml:space="preserve"> </w:t>
      </w:r>
      <w:r>
        <w:rPr>
          <w:spacing w:val="-1"/>
          <w:sz w:val="24"/>
          <w:szCs w:val="24"/>
        </w:rPr>
        <w:t>芳华变电站内扩建</w:t>
      </w:r>
      <w:r>
        <w:rPr>
          <w:spacing w:val="-30"/>
          <w:sz w:val="24"/>
          <w:szCs w:val="24"/>
        </w:rPr>
        <w:t xml:space="preserve"> </w:t>
      </w:r>
      <w:r>
        <w:rPr>
          <w:rFonts w:ascii="Times New Roman" w:hAnsi="Times New Roman" w:eastAsia="Times New Roman" w:cs="Times New Roman"/>
          <w:spacing w:val="-1"/>
          <w:sz w:val="24"/>
          <w:szCs w:val="24"/>
        </w:rPr>
        <w:t xml:space="preserve">1 </w:t>
      </w:r>
      <w:r>
        <w:rPr>
          <w:spacing w:val="-1"/>
          <w:sz w:val="24"/>
          <w:szCs w:val="24"/>
        </w:rPr>
        <w:t>个</w:t>
      </w:r>
      <w:r>
        <w:rPr>
          <w:spacing w:val="-32"/>
          <w:sz w:val="24"/>
          <w:szCs w:val="24"/>
        </w:rPr>
        <w:t xml:space="preserve"> </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2"/>
          <w:sz w:val="24"/>
          <w:szCs w:val="24"/>
        </w:rPr>
        <w:t xml:space="preserve">10kV </w:t>
      </w:r>
      <w:r>
        <w:rPr>
          <w:spacing w:val="-2"/>
          <w:sz w:val="24"/>
          <w:szCs w:val="24"/>
        </w:rPr>
        <w:t>进线间隔，间隔工程不新增主</w:t>
      </w:r>
      <w:r>
        <w:rPr>
          <w:spacing w:val="-3"/>
          <w:sz w:val="24"/>
          <w:szCs w:val="24"/>
        </w:rPr>
        <w:t>变压器、高压电抗器等主要电磁环境污染源，改造之后电气设备的布置与规划的</w:t>
      </w:r>
      <w:r>
        <w:rPr>
          <w:spacing w:val="-1"/>
          <w:sz w:val="24"/>
          <w:szCs w:val="24"/>
        </w:rPr>
        <w:t>布置一致，并保持规划电气主接线不变。</w:t>
      </w:r>
    </w:p>
    <w:p w14:paraId="7AF86A4D">
      <w:pPr>
        <w:pStyle w:val="2"/>
        <w:spacing w:line="360" w:lineRule="auto"/>
        <w:ind w:left="21" w:right="80" w:firstLine="477"/>
        <w:jc w:val="both"/>
        <w:rPr>
          <w:sz w:val="24"/>
          <w:szCs w:val="24"/>
        </w:rPr>
      </w:pP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15"/>
          <w:w w:val="101"/>
          <w:sz w:val="24"/>
          <w:szCs w:val="24"/>
        </w:rPr>
        <w:t xml:space="preserve"> </w:t>
      </w:r>
      <w:r>
        <w:rPr>
          <w:spacing w:val="-3"/>
          <w:sz w:val="24"/>
          <w:szCs w:val="24"/>
        </w:rPr>
        <w:t>芳华变电站目前尚未开工建设，经查询《</w:t>
      </w:r>
      <w:r>
        <w:rPr>
          <w:rFonts w:ascii="Times New Roman" w:hAnsi="Times New Roman" w:eastAsia="Times New Roman" w:cs="Times New Roman"/>
          <w:spacing w:val="-3"/>
          <w:sz w:val="24"/>
          <w:szCs w:val="24"/>
        </w:rPr>
        <w:t>220kV</w:t>
      </w:r>
      <w:r>
        <w:rPr>
          <w:rFonts w:ascii="Times New Roman" w:hAnsi="Times New Roman" w:eastAsia="Times New Roman" w:cs="Times New Roman"/>
          <w:spacing w:val="18"/>
          <w:sz w:val="24"/>
          <w:szCs w:val="24"/>
        </w:rPr>
        <w:t xml:space="preserve"> </w:t>
      </w:r>
      <w:r>
        <w:rPr>
          <w:spacing w:val="-4"/>
          <w:sz w:val="24"/>
          <w:szCs w:val="24"/>
        </w:rPr>
        <w:t>芳华输变电工程环评</w:t>
      </w:r>
      <w:r>
        <w:rPr>
          <w:spacing w:val="2"/>
          <w:sz w:val="24"/>
          <w:szCs w:val="24"/>
        </w:rPr>
        <w:t>报告表》中相关内容，</w:t>
      </w:r>
      <w:r>
        <w:rPr>
          <w:rFonts w:ascii="Times New Roman" w:hAnsi="Times New Roman" w:eastAsia="Times New Roman" w:cs="Times New Roman"/>
          <w:spacing w:val="2"/>
          <w:sz w:val="24"/>
          <w:szCs w:val="24"/>
        </w:rPr>
        <w:t>220</w:t>
      </w:r>
      <w:r>
        <w:rPr>
          <w:rFonts w:ascii="Times New Roman" w:hAnsi="Times New Roman" w:eastAsia="Times New Roman" w:cs="Times New Roman"/>
          <w:sz w:val="24"/>
          <w:szCs w:val="24"/>
        </w:rPr>
        <w:t>kV</w:t>
      </w:r>
      <w:r>
        <w:rPr>
          <w:rFonts w:ascii="Times New Roman" w:hAnsi="Times New Roman" w:eastAsia="Times New Roman" w:cs="Times New Roman"/>
          <w:spacing w:val="18"/>
          <w:sz w:val="24"/>
          <w:szCs w:val="24"/>
        </w:rPr>
        <w:t xml:space="preserve"> </w:t>
      </w:r>
      <w:r>
        <w:rPr>
          <w:spacing w:val="2"/>
          <w:sz w:val="24"/>
          <w:szCs w:val="24"/>
        </w:rPr>
        <w:t>芳华变电站选择</w:t>
      </w:r>
      <w:r>
        <w:rPr>
          <w:spacing w:val="-53"/>
          <w:sz w:val="24"/>
          <w:szCs w:val="24"/>
        </w:rPr>
        <w:t xml:space="preserve"> </w:t>
      </w:r>
      <w:r>
        <w:rPr>
          <w:rFonts w:ascii="Times New Roman" w:hAnsi="Times New Roman" w:eastAsia="Times New Roman" w:cs="Times New Roman"/>
          <w:spacing w:val="2"/>
          <w:sz w:val="24"/>
          <w:szCs w:val="24"/>
        </w:rPr>
        <w:t>220</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 xml:space="preserve"> </w:t>
      </w:r>
      <w:r>
        <w:rPr>
          <w:spacing w:val="2"/>
          <w:sz w:val="24"/>
          <w:szCs w:val="24"/>
        </w:rPr>
        <w:t>胜境（天</w:t>
      </w:r>
      <w:r>
        <w:rPr>
          <w:spacing w:val="1"/>
          <w:sz w:val="24"/>
          <w:szCs w:val="24"/>
        </w:rPr>
        <w:t>宝）变电站作为</w:t>
      </w:r>
      <w:r>
        <w:rPr>
          <w:sz w:val="24"/>
          <w:szCs w:val="24"/>
        </w:rPr>
        <w:t>类比对象，类比工频电场强度监测值范围在</w:t>
      </w:r>
      <w:r>
        <w:rPr>
          <w:spacing w:val="-32"/>
          <w:sz w:val="24"/>
          <w:szCs w:val="24"/>
        </w:rPr>
        <w:t xml:space="preserve"> </w:t>
      </w:r>
      <w:r>
        <w:rPr>
          <w:rFonts w:ascii="Times New Roman" w:hAnsi="Times New Roman" w:eastAsia="Times New Roman" w:cs="Times New Roman"/>
          <w:sz w:val="24"/>
          <w:szCs w:val="24"/>
        </w:rPr>
        <w:t>1</w:t>
      </w:r>
      <w:r>
        <w:rPr>
          <w:rFonts w:ascii="Times New Roman" w:hAnsi="Times New Roman" w:eastAsia="Times New Roman" w:cs="Times New Roman"/>
          <w:spacing w:val="-1"/>
          <w:sz w:val="24"/>
          <w:szCs w:val="24"/>
        </w:rPr>
        <w:t>4.3</w:t>
      </w:r>
      <w:r>
        <w:rPr>
          <w:spacing w:val="-1"/>
          <w:sz w:val="24"/>
          <w:szCs w:val="24"/>
        </w:rPr>
        <w:t>～</w:t>
      </w:r>
      <w:r>
        <w:rPr>
          <w:rFonts w:ascii="Times New Roman" w:hAnsi="Times New Roman" w:eastAsia="Times New Roman" w:cs="Times New Roman"/>
          <w:spacing w:val="-1"/>
          <w:sz w:val="24"/>
          <w:szCs w:val="24"/>
        </w:rPr>
        <w:t xml:space="preserve">740V/m </w:t>
      </w:r>
      <w:r>
        <w:rPr>
          <w:spacing w:val="-1"/>
          <w:sz w:val="24"/>
          <w:szCs w:val="24"/>
        </w:rPr>
        <w:t>之间，工频磁感应强度监测值在</w:t>
      </w:r>
      <w:r>
        <w:rPr>
          <w:spacing w:val="-51"/>
          <w:sz w:val="24"/>
          <w:szCs w:val="24"/>
        </w:rPr>
        <w:t xml:space="preserve"> </w:t>
      </w:r>
      <w:r>
        <w:rPr>
          <w:rFonts w:ascii="Times New Roman" w:hAnsi="Times New Roman" w:eastAsia="Times New Roman" w:cs="Times New Roman"/>
          <w:spacing w:val="-1"/>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1"/>
          <w:sz w:val="24"/>
          <w:szCs w:val="24"/>
        </w:rPr>
        <w:t>17</w:t>
      </w:r>
      <w:r>
        <w:rPr>
          <w:spacing w:val="-1"/>
          <w:sz w:val="24"/>
          <w:szCs w:val="24"/>
        </w:rPr>
        <w:t>～</w:t>
      </w:r>
      <w:r>
        <w:rPr>
          <w:rFonts w:ascii="Times New Roman" w:hAnsi="Times New Roman" w:eastAsia="Times New Roman" w:cs="Times New Roman"/>
          <w:spacing w:val="-1"/>
          <w:sz w:val="24"/>
          <w:szCs w:val="24"/>
        </w:rPr>
        <w:t>0.37</w:t>
      </w:r>
      <w:r>
        <w:rPr>
          <w:spacing w:val="-1"/>
          <w:sz w:val="24"/>
          <w:szCs w:val="24"/>
        </w:rPr>
        <w:t>μ</w:t>
      </w:r>
      <w:r>
        <w:rPr>
          <w:rFonts w:ascii="Times New Roman" w:hAnsi="Times New Roman" w:eastAsia="Times New Roman" w:cs="Times New Roman"/>
          <w:spacing w:val="-1"/>
          <w:sz w:val="24"/>
          <w:szCs w:val="24"/>
        </w:rPr>
        <w:t xml:space="preserve">T </w:t>
      </w:r>
      <w:r>
        <w:rPr>
          <w:spacing w:val="-1"/>
          <w:sz w:val="24"/>
          <w:szCs w:val="24"/>
        </w:rPr>
        <w:t>之间；类比变电站衰减断面的工频电场</w:t>
      </w:r>
      <w:r>
        <w:rPr>
          <w:spacing w:val="-2"/>
          <w:sz w:val="24"/>
          <w:szCs w:val="24"/>
        </w:rPr>
        <w:t>强度监测值范</w:t>
      </w:r>
      <w:r>
        <w:rPr>
          <w:spacing w:val="1"/>
          <w:sz w:val="24"/>
          <w:szCs w:val="24"/>
        </w:rPr>
        <w:t>围在</w:t>
      </w:r>
      <w:r>
        <w:rPr>
          <w:spacing w:val="-42"/>
          <w:sz w:val="24"/>
          <w:szCs w:val="24"/>
        </w:rPr>
        <w:t xml:space="preserve"> </w:t>
      </w:r>
      <w:r>
        <w:rPr>
          <w:rFonts w:ascii="Times New Roman" w:hAnsi="Times New Roman" w:eastAsia="Times New Roman" w:cs="Times New Roman"/>
          <w:spacing w:val="1"/>
          <w:sz w:val="24"/>
          <w:szCs w:val="24"/>
        </w:rPr>
        <w:t>8.85</w:t>
      </w:r>
      <w:r>
        <w:rPr>
          <w:spacing w:val="1"/>
          <w:sz w:val="24"/>
          <w:szCs w:val="24"/>
        </w:rPr>
        <w:t>～</w:t>
      </w:r>
      <w:r>
        <w:rPr>
          <w:rFonts w:ascii="Times New Roman" w:hAnsi="Times New Roman" w:eastAsia="Times New Roman" w:cs="Times New Roman"/>
          <w:spacing w:val="1"/>
          <w:sz w:val="24"/>
          <w:szCs w:val="24"/>
        </w:rPr>
        <w:t xml:space="preserve">762V/m </w:t>
      </w:r>
      <w:r>
        <w:rPr>
          <w:spacing w:val="1"/>
          <w:sz w:val="24"/>
          <w:szCs w:val="24"/>
        </w:rPr>
        <w:t>之间，工频磁感应强度监测值范围在</w:t>
      </w:r>
      <w:r>
        <w:rPr>
          <w:spacing w:val="-47"/>
          <w:sz w:val="24"/>
          <w:szCs w:val="24"/>
        </w:rPr>
        <w:t xml:space="preserve"> </w:t>
      </w:r>
      <w:r>
        <w:rPr>
          <w:rFonts w:ascii="Times New Roman" w:hAnsi="Times New Roman" w:eastAsia="Times New Roman" w:cs="Times New Roman"/>
          <w:spacing w:val="1"/>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1"/>
          <w:sz w:val="24"/>
          <w:szCs w:val="24"/>
        </w:rPr>
        <w:t>13</w:t>
      </w:r>
      <w:r>
        <w:rPr>
          <w:spacing w:val="1"/>
          <w:sz w:val="24"/>
          <w:szCs w:val="24"/>
        </w:rPr>
        <w:t>～</w:t>
      </w:r>
      <w:r>
        <w:rPr>
          <w:rFonts w:ascii="Times New Roman" w:hAnsi="Times New Roman" w:eastAsia="Times New Roman" w:cs="Times New Roman"/>
          <w:spacing w:val="1"/>
          <w:sz w:val="24"/>
          <w:szCs w:val="24"/>
        </w:rPr>
        <w:t>0.92</w:t>
      </w:r>
      <w:r>
        <w:rPr>
          <w:spacing w:val="1"/>
          <w:sz w:val="24"/>
          <w:szCs w:val="24"/>
        </w:rPr>
        <w:t>μ</w:t>
      </w:r>
      <w:r>
        <w:rPr>
          <w:rFonts w:ascii="Times New Roman" w:hAnsi="Times New Roman" w:eastAsia="Times New Roman" w:cs="Times New Roman"/>
          <w:spacing w:val="1"/>
          <w:sz w:val="24"/>
          <w:szCs w:val="24"/>
        </w:rPr>
        <w:t xml:space="preserve">T </w:t>
      </w:r>
      <w:r>
        <w:rPr>
          <w:spacing w:val="1"/>
          <w:sz w:val="24"/>
          <w:szCs w:val="24"/>
        </w:rPr>
        <w:t>之间，</w:t>
      </w:r>
      <w:r>
        <w:rPr>
          <w:spacing w:val="-2"/>
          <w:sz w:val="24"/>
          <w:szCs w:val="24"/>
        </w:rPr>
        <w:t>均分别小于《电磁环境控制限值》（</w:t>
      </w:r>
      <w:r>
        <w:rPr>
          <w:rFonts w:ascii="Times New Roman" w:hAnsi="Times New Roman" w:eastAsia="Times New Roman" w:cs="Times New Roman"/>
          <w:spacing w:val="-2"/>
          <w:sz w:val="24"/>
          <w:szCs w:val="24"/>
        </w:rPr>
        <w:t>GB8702-2014</w:t>
      </w:r>
      <w:r>
        <w:rPr>
          <w:spacing w:val="-2"/>
          <w:sz w:val="24"/>
          <w:szCs w:val="24"/>
        </w:rPr>
        <w:t>）中工频电场</w:t>
      </w:r>
      <w:r>
        <w:rPr>
          <w:spacing w:val="-41"/>
          <w:sz w:val="24"/>
          <w:szCs w:val="24"/>
        </w:rPr>
        <w:t xml:space="preserve"> </w:t>
      </w:r>
      <w:r>
        <w:rPr>
          <w:rFonts w:ascii="Times New Roman" w:hAnsi="Times New Roman" w:eastAsia="Times New Roman" w:cs="Times New Roman"/>
          <w:spacing w:val="-2"/>
          <w:sz w:val="24"/>
          <w:szCs w:val="24"/>
        </w:rPr>
        <w:t>4000V/m</w:t>
      </w:r>
      <w:r>
        <w:rPr>
          <w:rFonts w:ascii="Times New Roman" w:hAnsi="Times New Roman" w:eastAsia="Times New Roman" w:cs="Times New Roman"/>
          <w:spacing w:val="-36"/>
          <w:sz w:val="24"/>
          <w:szCs w:val="24"/>
        </w:rPr>
        <w:t xml:space="preserve"> </w:t>
      </w:r>
      <w:r>
        <w:rPr>
          <w:spacing w:val="-2"/>
          <w:sz w:val="24"/>
          <w:szCs w:val="24"/>
        </w:rPr>
        <w:t>、工频</w:t>
      </w:r>
      <w:r>
        <w:rPr>
          <w:spacing w:val="-6"/>
          <w:sz w:val="24"/>
          <w:szCs w:val="24"/>
        </w:rPr>
        <w:t>磁场</w:t>
      </w:r>
      <w:r>
        <w:rPr>
          <w:spacing w:val="-15"/>
          <w:sz w:val="24"/>
          <w:szCs w:val="24"/>
        </w:rPr>
        <w:t xml:space="preserve"> </w:t>
      </w:r>
      <w:r>
        <w:rPr>
          <w:rFonts w:ascii="Times New Roman" w:hAnsi="Times New Roman" w:eastAsia="Times New Roman" w:cs="Times New Roman"/>
          <w:spacing w:val="-6"/>
          <w:sz w:val="24"/>
          <w:szCs w:val="24"/>
        </w:rPr>
        <w:t>100μT</w:t>
      </w:r>
      <w:r>
        <w:rPr>
          <w:rFonts w:ascii="Times New Roman" w:hAnsi="Times New Roman" w:eastAsia="Times New Roman" w:cs="Times New Roman"/>
          <w:spacing w:val="31"/>
          <w:w w:val="101"/>
          <w:sz w:val="24"/>
          <w:szCs w:val="24"/>
        </w:rPr>
        <w:t xml:space="preserve"> </w:t>
      </w:r>
      <w:r>
        <w:rPr>
          <w:spacing w:val="-6"/>
          <w:sz w:val="24"/>
          <w:szCs w:val="24"/>
        </w:rPr>
        <w:t>的标准限值要求</w:t>
      </w:r>
      <w:r>
        <w:rPr>
          <w:spacing w:val="-56"/>
          <w:sz w:val="24"/>
          <w:szCs w:val="24"/>
        </w:rPr>
        <w:t xml:space="preserve"> </w:t>
      </w:r>
      <w:r>
        <w:rPr>
          <w:rFonts w:ascii="Times New Roman" w:hAnsi="Times New Roman" w:eastAsia="Times New Roman" w:cs="Times New Roman"/>
          <w:spacing w:val="-6"/>
          <w:sz w:val="24"/>
          <w:szCs w:val="24"/>
        </w:rPr>
        <w:t>4000V/m</w:t>
      </w:r>
      <w:r>
        <w:rPr>
          <w:rFonts w:ascii="Times New Roman" w:hAnsi="Times New Roman" w:eastAsia="Times New Roman" w:cs="Times New Roman"/>
          <w:spacing w:val="-36"/>
          <w:sz w:val="24"/>
          <w:szCs w:val="24"/>
        </w:rPr>
        <w:t xml:space="preserve"> </w:t>
      </w:r>
      <w:r>
        <w:rPr>
          <w:spacing w:val="-6"/>
          <w:sz w:val="24"/>
          <w:szCs w:val="24"/>
        </w:rPr>
        <w:t>、</w:t>
      </w:r>
      <w:r>
        <w:rPr>
          <w:rFonts w:ascii="Times New Roman" w:hAnsi="Times New Roman" w:eastAsia="Times New Roman" w:cs="Times New Roman"/>
          <w:spacing w:val="-6"/>
          <w:sz w:val="24"/>
          <w:szCs w:val="24"/>
        </w:rPr>
        <w:t xml:space="preserve">100 </w:t>
      </w:r>
      <w:r>
        <w:rPr>
          <w:spacing w:val="-6"/>
          <w:sz w:val="24"/>
          <w:szCs w:val="24"/>
        </w:rPr>
        <w:t>μ</w:t>
      </w:r>
      <w:r>
        <w:rPr>
          <w:rFonts w:ascii="Times New Roman" w:hAnsi="Times New Roman" w:eastAsia="Times New Roman" w:cs="Times New Roman"/>
          <w:spacing w:val="-6"/>
          <w:sz w:val="24"/>
          <w:szCs w:val="24"/>
        </w:rPr>
        <w:t>T</w:t>
      </w:r>
      <w:r>
        <w:rPr>
          <w:rFonts w:ascii="Times New Roman" w:hAnsi="Times New Roman" w:eastAsia="Times New Roman" w:cs="Times New Roman"/>
          <w:spacing w:val="29"/>
          <w:sz w:val="24"/>
          <w:szCs w:val="24"/>
        </w:rPr>
        <w:t xml:space="preserve"> </w:t>
      </w:r>
      <w:r>
        <w:rPr>
          <w:spacing w:val="-6"/>
          <w:sz w:val="24"/>
          <w:szCs w:val="24"/>
        </w:rPr>
        <w:t>的控制限值。</w:t>
      </w:r>
    </w:p>
    <w:p w14:paraId="44E8FBFD">
      <w:pPr>
        <w:pStyle w:val="2"/>
        <w:spacing w:before="6" w:line="360" w:lineRule="auto"/>
        <w:ind w:left="22" w:right="80" w:firstLine="480"/>
        <w:jc w:val="both"/>
        <w:rPr>
          <w:sz w:val="24"/>
          <w:szCs w:val="24"/>
        </w:rPr>
      </w:pPr>
      <w:r>
        <w:rPr>
          <w:spacing w:val="4"/>
          <w:sz w:val="24"/>
          <w:szCs w:val="24"/>
        </w:rPr>
        <w:t>变电站对站外电磁环境影响的主要决定因素是变电站的电压等级和站内平</w:t>
      </w:r>
      <w:r>
        <w:rPr>
          <w:spacing w:val="-3"/>
          <w:sz w:val="24"/>
          <w:szCs w:val="24"/>
        </w:rPr>
        <w:t>面布置，本期对侧变电站间隔扩建后现有站区平面布置基本保持不变，竖向布置及主控室布置维持不变，新增其他电气设备的布置与规划的布置一致，并保持规划电气主接线不变，故其扩建后对环境的影响与变电站目前对环境的影响基本一致，不会增加新的影响，因此，本次对侧变电站间隔工程完成后站界外电磁环境不会发生明显的变化，仍能满足评价标准的要求，电磁环境的影响能控制在标准范围内。</w:t>
      </w:r>
    </w:p>
    <w:p w14:paraId="05E0C4D2">
      <w:pPr>
        <w:spacing w:line="360" w:lineRule="auto"/>
        <w:rPr>
          <w:sz w:val="24"/>
          <w:szCs w:val="24"/>
        </w:rPr>
        <w:sectPr>
          <w:footerReference r:id="rId203" w:type="default"/>
          <w:pgSz w:w="11906" w:h="16839"/>
          <w:pgMar w:top="400" w:right="1719" w:bottom="1147" w:left="1785" w:header="0" w:footer="960" w:gutter="0"/>
          <w:cols w:space="720" w:num="1"/>
        </w:sectPr>
      </w:pPr>
    </w:p>
    <w:p w14:paraId="4978AB2A">
      <w:pPr>
        <w:spacing w:line="275" w:lineRule="auto"/>
        <w:rPr>
          <w:rFonts w:ascii="Arial"/>
          <w:sz w:val="21"/>
        </w:rPr>
      </w:pPr>
    </w:p>
    <w:p w14:paraId="4CE49747">
      <w:pPr>
        <w:spacing w:line="275" w:lineRule="auto"/>
        <w:rPr>
          <w:rFonts w:ascii="Arial"/>
          <w:sz w:val="21"/>
        </w:rPr>
      </w:pPr>
    </w:p>
    <w:p w14:paraId="15D70C4E">
      <w:pPr>
        <w:spacing w:line="275" w:lineRule="auto"/>
        <w:rPr>
          <w:rFonts w:ascii="Arial"/>
          <w:sz w:val="21"/>
        </w:rPr>
      </w:pPr>
    </w:p>
    <w:p w14:paraId="54F2FFBF">
      <w:pPr>
        <w:spacing w:line="276" w:lineRule="auto"/>
        <w:rPr>
          <w:rFonts w:ascii="Arial"/>
          <w:sz w:val="21"/>
        </w:rPr>
      </w:pPr>
    </w:p>
    <w:p w14:paraId="08EF0021">
      <w:pPr>
        <w:pStyle w:val="2"/>
        <w:spacing w:before="101" w:line="225" w:lineRule="auto"/>
        <w:ind w:left="122"/>
        <w:rPr>
          <w:sz w:val="31"/>
          <w:szCs w:val="31"/>
        </w:rPr>
      </w:pPr>
      <w:r>
        <w:rPr>
          <w:rFonts w:ascii="Times New Roman" w:hAnsi="Times New Roman" w:eastAsia="Times New Roman" w:cs="Times New Roman"/>
          <w:b/>
          <w:bCs/>
          <w:spacing w:val="3"/>
          <w:sz w:val="31"/>
          <w:szCs w:val="31"/>
        </w:rPr>
        <w:t>6</w:t>
      </w:r>
      <w:r>
        <w:rPr>
          <w:rFonts w:ascii="Times New Roman" w:hAnsi="Times New Roman" w:eastAsia="Times New Roman" w:cs="Times New Roman"/>
          <w:b/>
          <w:bCs/>
          <w:spacing w:val="53"/>
          <w:sz w:val="31"/>
          <w:szCs w:val="31"/>
        </w:rPr>
        <w:t xml:space="preserve"> </w:t>
      </w:r>
      <w:r>
        <w:rPr>
          <w:b/>
          <w:bCs/>
          <w:spacing w:val="3"/>
          <w:sz w:val="31"/>
          <w:szCs w:val="31"/>
        </w:rPr>
        <w:t>电磁环境控制措施及监测计划</w:t>
      </w:r>
    </w:p>
    <w:p w14:paraId="4A9EB796">
      <w:pPr>
        <w:spacing w:line="242" w:lineRule="auto"/>
        <w:rPr>
          <w:rFonts w:ascii="Arial"/>
          <w:sz w:val="21"/>
        </w:rPr>
      </w:pPr>
    </w:p>
    <w:p w14:paraId="56B9BD3D">
      <w:pPr>
        <w:pStyle w:val="2"/>
        <w:spacing w:before="97" w:line="220" w:lineRule="auto"/>
        <w:ind w:left="121"/>
        <w:rPr>
          <w:sz w:val="30"/>
          <w:szCs w:val="30"/>
        </w:rPr>
      </w:pPr>
      <w:r>
        <w:rPr>
          <w:rFonts w:ascii="Times New Roman" w:hAnsi="Times New Roman" w:eastAsia="Times New Roman" w:cs="Times New Roman"/>
          <w:b/>
          <w:bCs/>
          <w:spacing w:val="-7"/>
          <w:sz w:val="30"/>
          <w:szCs w:val="30"/>
        </w:rPr>
        <w:t>6.1</w:t>
      </w:r>
      <w:r>
        <w:rPr>
          <w:rFonts w:ascii="Times New Roman" w:hAnsi="Times New Roman" w:eastAsia="Times New Roman" w:cs="Times New Roman"/>
          <w:b/>
          <w:bCs/>
          <w:spacing w:val="45"/>
          <w:sz w:val="30"/>
          <w:szCs w:val="30"/>
        </w:rPr>
        <w:t xml:space="preserve"> </w:t>
      </w:r>
      <w:r>
        <w:rPr>
          <w:b/>
          <w:bCs/>
          <w:spacing w:val="-7"/>
          <w:sz w:val="30"/>
          <w:szCs w:val="30"/>
        </w:rPr>
        <w:t>电磁环境控制措施</w:t>
      </w:r>
    </w:p>
    <w:p w14:paraId="04D895D4">
      <w:pPr>
        <w:pStyle w:val="2"/>
        <w:spacing w:before="219" w:line="220" w:lineRule="auto"/>
        <w:ind w:left="611"/>
        <w:rPr>
          <w:sz w:val="24"/>
          <w:szCs w:val="24"/>
        </w:rPr>
      </w:pPr>
      <w:r>
        <w:rPr>
          <w:b/>
          <w:bCs/>
          <w:spacing w:val="-4"/>
          <w:sz w:val="24"/>
          <w:szCs w:val="24"/>
        </w:rPr>
        <w:t>（</w:t>
      </w:r>
      <w:r>
        <w:rPr>
          <w:rFonts w:ascii="Times New Roman" w:hAnsi="Times New Roman" w:eastAsia="Times New Roman" w:cs="Times New Roman"/>
          <w:b/>
          <w:bCs/>
          <w:spacing w:val="-4"/>
          <w:sz w:val="24"/>
          <w:szCs w:val="24"/>
        </w:rPr>
        <w:t>1</w:t>
      </w:r>
      <w:r>
        <w:rPr>
          <w:b/>
          <w:bCs/>
          <w:spacing w:val="-4"/>
          <w:sz w:val="24"/>
          <w:szCs w:val="24"/>
        </w:rPr>
        <w:t>）设计施工阶段措施</w:t>
      </w:r>
    </w:p>
    <w:p w14:paraId="0F15B82C">
      <w:pPr>
        <w:pStyle w:val="2"/>
        <w:spacing w:before="181" w:line="360" w:lineRule="auto"/>
        <w:ind w:left="120" w:right="105" w:firstLine="498"/>
        <w:rPr>
          <w:sz w:val="24"/>
          <w:szCs w:val="24"/>
        </w:rPr>
      </w:pPr>
      <w:r>
        <w:rPr>
          <w:rFonts w:ascii="Times New Roman" w:hAnsi="Times New Roman" w:eastAsia="Times New Roman" w:cs="Times New Roman"/>
          <w:spacing w:val="-1"/>
          <w:sz w:val="24"/>
          <w:szCs w:val="24"/>
        </w:rPr>
        <w:t>1</w:t>
      </w:r>
      <w:r>
        <w:rPr>
          <w:spacing w:val="-1"/>
          <w:sz w:val="24"/>
          <w:szCs w:val="24"/>
        </w:rPr>
        <w:t>）尽量优化导线的相序排列方式及杆塔型式，合理选择导线直径及导线分</w:t>
      </w:r>
      <w:r>
        <w:rPr>
          <w:spacing w:val="-3"/>
          <w:sz w:val="24"/>
          <w:szCs w:val="24"/>
        </w:rPr>
        <w:t>裂数，并提高线路的加工工艺，地下电缆部分线路施工期配置屏蔽电场的金属护</w:t>
      </w:r>
      <w:r>
        <w:rPr>
          <w:spacing w:val="-1"/>
          <w:sz w:val="24"/>
          <w:szCs w:val="24"/>
        </w:rPr>
        <w:t>套，降低线路周围的工频电磁场强度。</w:t>
      </w:r>
    </w:p>
    <w:p w14:paraId="19ABEF1D">
      <w:pPr>
        <w:pStyle w:val="2"/>
        <w:spacing w:before="7" w:line="359" w:lineRule="auto"/>
        <w:ind w:left="120" w:right="105" w:firstLine="475"/>
        <w:rPr>
          <w:sz w:val="24"/>
          <w:szCs w:val="24"/>
        </w:rPr>
      </w:pPr>
      <w:r>
        <w:rPr>
          <w:rFonts w:ascii="Times New Roman" w:hAnsi="Times New Roman" w:eastAsia="Times New Roman" w:cs="Times New Roman"/>
          <w:sz w:val="24"/>
          <w:szCs w:val="24"/>
        </w:rPr>
        <w:t>2</w:t>
      </w:r>
      <w:r>
        <w:rPr>
          <w:sz w:val="24"/>
          <w:szCs w:val="24"/>
        </w:rPr>
        <w:t>）应确保项目运营期工频电场强度、工频磁感应强度达《电磁环境控制限</w:t>
      </w:r>
      <w:r>
        <w:rPr>
          <w:spacing w:val="8"/>
          <w:sz w:val="24"/>
          <w:szCs w:val="24"/>
        </w:rPr>
        <w:t>值》</w:t>
      </w:r>
      <w:r>
        <w:rPr>
          <w:spacing w:val="-74"/>
          <w:sz w:val="24"/>
          <w:szCs w:val="24"/>
        </w:rPr>
        <w:t xml:space="preserve"> </w:t>
      </w:r>
      <w:r>
        <w:rPr>
          <w:spacing w:val="8"/>
          <w:sz w:val="24"/>
          <w:szCs w:val="24"/>
        </w:rPr>
        <w:t>（</w:t>
      </w:r>
      <w:r>
        <w:rPr>
          <w:rFonts w:ascii="Times New Roman" w:hAnsi="Times New Roman" w:eastAsia="Times New Roman" w:cs="Times New Roman"/>
          <w:sz w:val="24"/>
          <w:szCs w:val="24"/>
        </w:rPr>
        <w:t>GB</w:t>
      </w:r>
      <w:r>
        <w:rPr>
          <w:rFonts w:ascii="Times New Roman" w:hAnsi="Times New Roman" w:eastAsia="Times New Roman" w:cs="Times New Roman"/>
          <w:spacing w:val="8"/>
          <w:sz w:val="24"/>
          <w:szCs w:val="24"/>
        </w:rPr>
        <w:t xml:space="preserve">8702-2014 </w:t>
      </w:r>
      <w:r>
        <w:rPr>
          <w:spacing w:val="-15"/>
          <w:sz w:val="24"/>
          <w:szCs w:val="24"/>
        </w:rPr>
        <w:t>）</w:t>
      </w:r>
      <w:r>
        <w:rPr>
          <w:spacing w:val="-69"/>
          <w:sz w:val="24"/>
          <w:szCs w:val="24"/>
        </w:rPr>
        <w:t xml:space="preserve"> </w:t>
      </w:r>
      <w:r>
        <w:rPr>
          <w:spacing w:val="-15"/>
          <w:sz w:val="24"/>
          <w:szCs w:val="24"/>
        </w:rPr>
        <w:t>，</w:t>
      </w:r>
      <w:r>
        <w:rPr>
          <w:spacing w:val="8"/>
          <w:sz w:val="24"/>
          <w:szCs w:val="24"/>
        </w:rPr>
        <w:t>严格按《</w:t>
      </w:r>
      <w:r>
        <w:rPr>
          <w:spacing w:val="-45"/>
          <w:sz w:val="24"/>
          <w:szCs w:val="24"/>
        </w:rPr>
        <w:t xml:space="preserve"> </w:t>
      </w:r>
      <w:r>
        <w:rPr>
          <w:rFonts w:ascii="Times New Roman" w:hAnsi="Times New Roman" w:eastAsia="Times New Roman" w:cs="Times New Roman"/>
          <w:spacing w:val="8"/>
          <w:sz w:val="24"/>
          <w:szCs w:val="24"/>
        </w:rPr>
        <w:t>110</w:t>
      </w:r>
      <w:r>
        <w:rPr>
          <w:rFonts w:ascii="Times New Roman" w:hAnsi="Times New Roman" w:eastAsia="Times New Roman" w:cs="Times New Roman"/>
          <w:sz w:val="24"/>
          <w:szCs w:val="24"/>
        </w:rPr>
        <w:t>kV</w:t>
      </w:r>
      <w:r>
        <w:rPr>
          <w:spacing w:val="8"/>
          <w:sz w:val="24"/>
          <w:szCs w:val="24"/>
        </w:rPr>
        <w:t>～</w:t>
      </w:r>
      <w:r>
        <w:rPr>
          <w:rFonts w:ascii="Times New Roman" w:hAnsi="Times New Roman" w:eastAsia="Times New Roman" w:cs="Times New Roman"/>
          <w:spacing w:val="8"/>
          <w:sz w:val="24"/>
          <w:szCs w:val="24"/>
        </w:rPr>
        <w:t>750</w:t>
      </w:r>
      <w:r>
        <w:rPr>
          <w:rFonts w:ascii="Times New Roman" w:hAnsi="Times New Roman" w:eastAsia="Times New Roman" w:cs="Times New Roman"/>
          <w:sz w:val="24"/>
          <w:szCs w:val="24"/>
        </w:rPr>
        <w:t>kV</w:t>
      </w:r>
      <w:r>
        <w:rPr>
          <w:rFonts w:ascii="Times New Roman" w:hAnsi="Times New Roman" w:eastAsia="Times New Roman" w:cs="Times New Roman"/>
          <w:spacing w:val="34"/>
          <w:w w:val="101"/>
          <w:sz w:val="24"/>
          <w:szCs w:val="24"/>
        </w:rPr>
        <w:t xml:space="preserve"> </w:t>
      </w:r>
      <w:r>
        <w:rPr>
          <w:spacing w:val="8"/>
          <w:sz w:val="24"/>
          <w:szCs w:val="24"/>
        </w:rPr>
        <w:t>架</w:t>
      </w:r>
      <w:r>
        <w:rPr>
          <w:spacing w:val="7"/>
          <w:sz w:val="24"/>
          <w:szCs w:val="24"/>
        </w:rPr>
        <w:t>空输电线路设计规范》</w:t>
      </w:r>
      <w:r>
        <w:rPr>
          <w:sz w:val="24"/>
          <w:szCs w:val="24"/>
        </w:rPr>
        <w:t xml:space="preserve"> </w:t>
      </w:r>
      <w:r>
        <w:rPr>
          <w:spacing w:val="2"/>
          <w:sz w:val="24"/>
          <w:szCs w:val="24"/>
        </w:rPr>
        <w:t>（</w:t>
      </w:r>
      <w:r>
        <w:rPr>
          <w:rFonts w:ascii="Times New Roman" w:hAnsi="Times New Roman" w:eastAsia="Times New Roman" w:cs="Times New Roman"/>
          <w:sz w:val="24"/>
          <w:szCs w:val="24"/>
        </w:rPr>
        <w:t>GB</w:t>
      </w:r>
      <w:r>
        <w:rPr>
          <w:rFonts w:ascii="Times New Roman" w:hAnsi="Times New Roman" w:eastAsia="Times New Roman" w:cs="Times New Roman"/>
          <w:spacing w:val="2"/>
          <w:sz w:val="24"/>
          <w:szCs w:val="24"/>
        </w:rPr>
        <w:t>50545-2010</w:t>
      </w:r>
      <w:r>
        <w:rPr>
          <w:spacing w:val="2"/>
          <w:sz w:val="24"/>
          <w:szCs w:val="24"/>
        </w:rPr>
        <w:t>）进行设计。采用单回三角排列方式及单回水平排列架线，经</w:t>
      </w:r>
      <w:r>
        <w:rPr>
          <w:spacing w:val="-1"/>
          <w:sz w:val="24"/>
          <w:szCs w:val="24"/>
        </w:rPr>
        <w:t>过居民区时，导线对地面距离应不小于</w:t>
      </w:r>
      <w:r>
        <w:rPr>
          <w:spacing w:val="-46"/>
          <w:sz w:val="24"/>
          <w:szCs w:val="24"/>
        </w:rPr>
        <w:t xml:space="preserve"> </w:t>
      </w:r>
      <w:r>
        <w:rPr>
          <w:rFonts w:ascii="Times New Roman" w:hAnsi="Times New Roman" w:eastAsia="Times New Roman" w:cs="Times New Roman"/>
          <w:spacing w:val="-1"/>
          <w:sz w:val="24"/>
          <w:szCs w:val="24"/>
        </w:rPr>
        <w:t>7m</w:t>
      </w:r>
      <w:r>
        <w:rPr>
          <w:rFonts w:ascii="Times New Roman" w:hAnsi="Times New Roman" w:eastAsia="Times New Roman" w:cs="Times New Roman"/>
          <w:spacing w:val="-30"/>
          <w:sz w:val="24"/>
          <w:szCs w:val="24"/>
        </w:rPr>
        <w:t xml:space="preserve"> </w:t>
      </w:r>
      <w:r>
        <w:rPr>
          <w:spacing w:val="-1"/>
          <w:sz w:val="24"/>
          <w:szCs w:val="24"/>
        </w:rPr>
        <w:t>，经过耕地、园地、牧草地、畜禽饲养地、养殖水面、道路等场所处时，导线对地面距离应不小于</w:t>
      </w:r>
      <w:r>
        <w:rPr>
          <w:spacing w:val="-41"/>
          <w:sz w:val="24"/>
          <w:szCs w:val="24"/>
        </w:rPr>
        <w:t xml:space="preserve"> </w:t>
      </w:r>
      <w:r>
        <w:rPr>
          <w:rFonts w:ascii="Times New Roman" w:hAnsi="Times New Roman" w:eastAsia="Times New Roman" w:cs="Times New Roman"/>
          <w:spacing w:val="-1"/>
          <w:sz w:val="24"/>
          <w:szCs w:val="24"/>
        </w:rPr>
        <w:t>6m</w:t>
      </w:r>
      <w:r>
        <w:rPr>
          <w:spacing w:val="-1"/>
          <w:sz w:val="24"/>
          <w:szCs w:val="24"/>
        </w:rPr>
        <w:t>。</w:t>
      </w:r>
    </w:p>
    <w:p w14:paraId="78841010">
      <w:pPr>
        <w:pStyle w:val="2"/>
        <w:spacing w:line="220" w:lineRule="auto"/>
        <w:ind w:left="611"/>
        <w:rPr>
          <w:sz w:val="24"/>
          <w:szCs w:val="24"/>
        </w:rPr>
      </w:pPr>
      <w:r>
        <w:rPr>
          <w:b/>
          <w:bCs/>
          <w:spacing w:val="-5"/>
          <w:sz w:val="24"/>
          <w:szCs w:val="24"/>
        </w:rPr>
        <w:t>（</w:t>
      </w:r>
      <w:r>
        <w:rPr>
          <w:rFonts w:ascii="Times New Roman" w:hAnsi="Times New Roman" w:eastAsia="Times New Roman" w:cs="Times New Roman"/>
          <w:b/>
          <w:bCs/>
          <w:spacing w:val="-5"/>
          <w:sz w:val="24"/>
          <w:szCs w:val="24"/>
        </w:rPr>
        <w:t>2</w:t>
      </w:r>
      <w:r>
        <w:rPr>
          <w:b/>
          <w:bCs/>
          <w:spacing w:val="-5"/>
          <w:sz w:val="24"/>
          <w:szCs w:val="24"/>
        </w:rPr>
        <w:t>）运行期措施</w:t>
      </w:r>
    </w:p>
    <w:p w14:paraId="310AF297">
      <w:pPr>
        <w:pStyle w:val="2"/>
        <w:spacing w:before="182" w:line="360" w:lineRule="auto"/>
        <w:ind w:left="124" w:right="132" w:firstLine="494"/>
        <w:rPr>
          <w:sz w:val="24"/>
          <w:szCs w:val="24"/>
        </w:rPr>
      </w:pPr>
      <w:r>
        <w:rPr>
          <w:rFonts w:ascii="Times New Roman" w:hAnsi="Times New Roman" w:eastAsia="Times New Roman" w:cs="Times New Roman"/>
          <w:spacing w:val="-1"/>
          <w:sz w:val="24"/>
          <w:szCs w:val="24"/>
        </w:rPr>
        <w:t>1</w:t>
      </w:r>
      <w:r>
        <w:rPr>
          <w:spacing w:val="-1"/>
          <w:sz w:val="24"/>
          <w:szCs w:val="24"/>
        </w:rPr>
        <w:t>）运行期对输电线路和塔基进行定期巡查和检修，保障正常运行，防止由于运行故障产生的电磁环境影响。</w:t>
      </w:r>
    </w:p>
    <w:p w14:paraId="03DC4A3D">
      <w:pPr>
        <w:pStyle w:val="2"/>
        <w:spacing w:before="4" w:line="359" w:lineRule="auto"/>
        <w:ind w:left="122" w:right="105" w:firstLine="473"/>
        <w:rPr>
          <w:sz w:val="24"/>
          <w:szCs w:val="24"/>
        </w:rPr>
      </w:pPr>
      <w:r>
        <w:rPr>
          <w:rFonts w:ascii="Times New Roman" w:hAnsi="Times New Roman" w:eastAsia="Times New Roman" w:cs="Times New Roman"/>
          <w:sz w:val="24"/>
          <w:szCs w:val="24"/>
        </w:rPr>
        <w:t>2</w:t>
      </w:r>
      <w:r>
        <w:rPr>
          <w:sz w:val="24"/>
          <w:szCs w:val="24"/>
        </w:rPr>
        <w:t>）在电力设施重点保护区设立相应的警示标志，并做好警示宣传工作，在</w:t>
      </w:r>
      <w:r>
        <w:rPr>
          <w:spacing w:val="-3"/>
          <w:sz w:val="24"/>
          <w:szCs w:val="24"/>
        </w:rPr>
        <w:t>醒目位置设置安全警示图文标志，标明严禁攀登、线下高位操作应有防护措施等</w:t>
      </w:r>
      <w:r>
        <w:rPr>
          <w:spacing w:val="-2"/>
          <w:sz w:val="24"/>
          <w:szCs w:val="24"/>
        </w:rPr>
        <w:t>安全注意事项。</w:t>
      </w:r>
    </w:p>
    <w:p w14:paraId="35C757EB">
      <w:pPr>
        <w:pStyle w:val="2"/>
        <w:spacing w:line="361" w:lineRule="auto"/>
        <w:ind w:left="127" w:firstLine="473"/>
        <w:rPr>
          <w:sz w:val="24"/>
          <w:szCs w:val="24"/>
        </w:rPr>
      </w:pPr>
      <w:r>
        <w:rPr>
          <w:rFonts w:ascii="Times New Roman" w:hAnsi="Times New Roman" w:eastAsia="Times New Roman" w:cs="Times New Roman"/>
          <w:spacing w:val="-4"/>
          <w:sz w:val="24"/>
          <w:szCs w:val="24"/>
        </w:rPr>
        <w:t>3</w:t>
      </w:r>
      <w:r>
        <w:rPr>
          <w:spacing w:val="-4"/>
          <w:sz w:val="24"/>
          <w:szCs w:val="24"/>
        </w:rPr>
        <w:t>）开展电磁环境监测，确保工频电场、工频磁场满足《电磁环境控制限值》</w:t>
      </w:r>
      <w:r>
        <w:rPr>
          <w:spacing w:val="17"/>
          <w:sz w:val="24"/>
          <w:szCs w:val="24"/>
        </w:rPr>
        <w:t xml:space="preserve"> </w:t>
      </w:r>
      <w:r>
        <w:rPr>
          <w:spacing w:val="-1"/>
          <w:sz w:val="24"/>
          <w:szCs w:val="24"/>
        </w:rPr>
        <w:t>（</w:t>
      </w:r>
      <w:r>
        <w:rPr>
          <w:rFonts w:ascii="Times New Roman" w:hAnsi="Times New Roman" w:eastAsia="Times New Roman" w:cs="Times New Roman"/>
          <w:spacing w:val="-1"/>
          <w:sz w:val="24"/>
          <w:szCs w:val="24"/>
        </w:rPr>
        <w:t>GB8702-2014</w:t>
      </w:r>
      <w:r>
        <w:rPr>
          <w:spacing w:val="-1"/>
          <w:sz w:val="24"/>
          <w:szCs w:val="24"/>
        </w:rPr>
        <w:t>）标准限值的要求；开展电磁环境影响的环境保护宣</w:t>
      </w:r>
      <w:r>
        <w:rPr>
          <w:spacing w:val="-2"/>
          <w:sz w:val="24"/>
          <w:szCs w:val="24"/>
        </w:rPr>
        <w:t>传工作，使</w:t>
      </w:r>
      <w:r>
        <w:rPr>
          <w:spacing w:val="-1"/>
          <w:sz w:val="24"/>
          <w:szCs w:val="24"/>
        </w:rPr>
        <w:t>公众科学认识工频电磁场的环境影响。</w:t>
      </w:r>
    </w:p>
    <w:p w14:paraId="57E9B655">
      <w:pPr>
        <w:pStyle w:val="2"/>
        <w:spacing w:before="43" w:line="220" w:lineRule="auto"/>
        <w:ind w:left="121"/>
        <w:rPr>
          <w:sz w:val="30"/>
          <w:szCs w:val="30"/>
        </w:rPr>
      </w:pPr>
      <w:r>
        <w:rPr>
          <w:rFonts w:ascii="Times New Roman" w:hAnsi="Times New Roman" w:eastAsia="Times New Roman" w:cs="Times New Roman"/>
          <w:b/>
          <w:bCs/>
          <w:spacing w:val="-7"/>
          <w:sz w:val="30"/>
          <w:szCs w:val="30"/>
        </w:rPr>
        <w:t>6.2</w:t>
      </w:r>
      <w:r>
        <w:rPr>
          <w:rFonts w:ascii="Times New Roman" w:hAnsi="Times New Roman" w:eastAsia="Times New Roman" w:cs="Times New Roman"/>
          <w:b/>
          <w:bCs/>
          <w:spacing w:val="45"/>
          <w:sz w:val="30"/>
          <w:szCs w:val="30"/>
        </w:rPr>
        <w:t xml:space="preserve"> </w:t>
      </w:r>
      <w:r>
        <w:rPr>
          <w:b/>
          <w:bCs/>
          <w:spacing w:val="-7"/>
          <w:sz w:val="30"/>
          <w:szCs w:val="30"/>
        </w:rPr>
        <w:t>电磁环境监测计划</w:t>
      </w:r>
    </w:p>
    <w:p w14:paraId="7AAA5A55">
      <w:pPr>
        <w:pStyle w:val="2"/>
        <w:spacing w:before="219" w:line="344" w:lineRule="auto"/>
        <w:ind w:left="120" w:right="105" w:firstLine="480"/>
        <w:jc w:val="both"/>
        <w:rPr>
          <w:sz w:val="24"/>
          <w:szCs w:val="24"/>
        </w:rPr>
      </w:pPr>
      <w:r>
        <w:rPr>
          <w:spacing w:val="-3"/>
          <w:sz w:val="24"/>
          <w:szCs w:val="24"/>
        </w:rPr>
        <w:t>根据项目的环境影响和环境管理要求，制定环境监测计划，环境</w:t>
      </w:r>
      <w:r>
        <w:rPr>
          <w:spacing w:val="-4"/>
          <w:sz w:val="24"/>
          <w:szCs w:val="24"/>
        </w:rPr>
        <w:t>监测计划的</w:t>
      </w:r>
      <w:r>
        <w:rPr>
          <w:spacing w:val="-3"/>
          <w:sz w:val="24"/>
          <w:szCs w:val="24"/>
        </w:rPr>
        <w:t>职责主要是测试、收集环境状况基本资料，整理、统计分析监测结果。由建设单</w:t>
      </w:r>
      <w:r>
        <w:rPr>
          <w:spacing w:val="-2"/>
          <w:sz w:val="24"/>
          <w:szCs w:val="24"/>
        </w:rPr>
        <w:t>位委托有资质的环境监测单位进行监测，具体的环境监测计划见表</w:t>
      </w:r>
      <w:r>
        <w:rPr>
          <w:spacing w:val="-33"/>
          <w:sz w:val="24"/>
          <w:szCs w:val="24"/>
        </w:rPr>
        <w:t xml:space="preserve"> </w:t>
      </w:r>
      <w:r>
        <w:rPr>
          <w:rFonts w:ascii="Times New Roman" w:hAnsi="Times New Roman" w:eastAsia="Times New Roman" w:cs="Times New Roman"/>
          <w:spacing w:val="-2"/>
          <w:sz w:val="24"/>
          <w:szCs w:val="24"/>
        </w:rPr>
        <w:t>6-</w:t>
      </w:r>
      <w:r>
        <w:rPr>
          <w:rFonts w:ascii="Times New Roman" w:hAnsi="Times New Roman" w:eastAsia="Times New Roman" w:cs="Times New Roman"/>
          <w:spacing w:val="-33"/>
          <w:sz w:val="24"/>
          <w:szCs w:val="24"/>
        </w:rPr>
        <w:t xml:space="preserve"> </w:t>
      </w:r>
      <w:r>
        <w:rPr>
          <w:rFonts w:ascii="Times New Roman" w:hAnsi="Times New Roman" w:eastAsia="Times New Roman" w:cs="Times New Roman"/>
          <w:spacing w:val="-2"/>
          <w:sz w:val="24"/>
          <w:szCs w:val="24"/>
        </w:rPr>
        <w:t>1</w:t>
      </w:r>
      <w:r>
        <w:rPr>
          <w:spacing w:val="-2"/>
          <w:sz w:val="24"/>
          <w:szCs w:val="24"/>
        </w:rPr>
        <w:t>。</w:t>
      </w:r>
    </w:p>
    <w:p w14:paraId="692A41A4">
      <w:pPr>
        <w:pStyle w:val="2"/>
        <w:spacing w:before="1" w:line="227" w:lineRule="auto"/>
        <w:ind w:left="2786"/>
        <w:rPr>
          <w:sz w:val="20"/>
          <w:szCs w:val="20"/>
        </w:rPr>
      </w:pPr>
      <w:r>
        <w:rPr>
          <w:b/>
          <w:bCs/>
          <w:spacing w:val="4"/>
          <w:sz w:val="20"/>
          <w:szCs w:val="20"/>
        </w:rPr>
        <w:t>表</w:t>
      </w:r>
      <w:r>
        <w:rPr>
          <w:spacing w:val="-26"/>
          <w:sz w:val="20"/>
          <w:szCs w:val="20"/>
        </w:rPr>
        <w:t xml:space="preserve"> </w:t>
      </w:r>
      <w:r>
        <w:rPr>
          <w:rFonts w:ascii="Times New Roman" w:hAnsi="Times New Roman" w:eastAsia="Times New Roman" w:cs="Times New Roman"/>
          <w:b/>
          <w:bCs/>
          <w:spacing w:val="4"/>
          <w:sz w:val="20"/>
          <w:szCs w:val="20"/>
        </w:rPr>
        <w:t>6-1</w:t>
      </w:r>
      <w:r>
        <w:rPr>
          <w:rFonts w:ascii="Times New Roman" w:hAnsi="Times New Roman" w:eastAsia="Times New Roman" w:cs="Times New Roman"/>
          <w:b/>
          <w:bCs/>
          <w:spacing w:val="20"/>
          <w:sz w:val="20"/>
          <w:szCs w:val="20"/>
        </w:rPr>
        <w:t xml:space="preserve">  </w:t>
      </w:r>
      <w:r>
        <w:rPr>
          <w:b/>
          <w:bCs/>
          <w:spacing w:val="4"/>
          <w:sz w:val="20"/>
          <w:szCs w:val="20"/>
        </w:rPr>
        <w:t>电磁辐射监测计划及监测内容</w:t>
      </w:r>
    </w:p>
    <w:p w14:paraId="588E9D49">
      <w:pPr>
        <w:spacing w:line="14" w:lineRule="exact"/>
      </w:pPr>
    </w:p>
    <w:tbl>
      <w:tblPr>
        <w:tblStyle w:val="5"/>
        <w:tblW w:w="85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63"/>
        <w:gridCol w:w="6550"/>
      </w:tblGrid>
      <w:tr w14:paraId="7C8C5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963" w:type="dxa"/>
            <w:vAlign w:val="top"/>
          </w:tcPr>
          <w:p w14:paraId="1E76FBB9">
            <w:pPr>
              <w:pStyle w:val="6"/>
              <w:spacing w:before="56" w:line="228" w:lineRule="auto"/>
              <w:ind w:left="779"/>
            </w:pPr>
            <w:r>
              <w:rPr>
                <w:spacing w:val="7"/>
              </w:rPr>
              <w:t>监测因子</w:t>
            </w:r>
          </w:p>
        </w:tc>
        <w:tc>
          <w:tcPr>
            <w:tcW w:w="6550" w:type="dxa"/>
            <w:vAlign w:val="top"/>
          </w:tcPr>
          <w:p w14:paraId="17B21286">
            <w:pPr>
              <w:pStyle w:val="6"/>
              <w:spacing w:before="56" w:line="228" w:lineRule="auto"/>
              <w:ind w:left="2545"/>
            </w:pPr>
            <w:r>
              <w:rPr>
                <w:spacing w:val="8"/>
              </w:rPr>
              <w:t>工频电场、工频磁场</w:t>
            </w:r>
          </w:p>
        </w:tc>
      </w:tr>
      <w:tr w14:paraId="4A702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963" w:type="dxa"/>
            <w:vAlign w:val="top"/>
          </w:tcPr>
          <w:p w14:paraId="0CC8736B">
            <w:pPr>
              <w:spacing w:line="452" w:lineRule="auto"/>
              <w:rPr>
                <w:rFonts w:ascii="Arial"/>
                <w:sz w:val="21"/>
              </w:rPr>
            </w:pPr>
          </w:p>
          <w:p w14:paraId="1DEA6212">
            <w:pPr>
              <w:pStyle w:val="6"/>
              <w:spacing w:before="65" w:line="229" w:lineRule="auto"/>
              <w:ind w:left="779"/>
            </w:pPr>
            <w:r>
              <w:rPr>
                <w:spacing w:val="7"/>
              </w:rPr>
              <w:t>监测点位</w:t>
            </w:r>
          </w:p>
        </w:tc>
        <w:tc>
          <w:tcPr>
            <w:tcW w:w="6550" w:type="dxa"/>
            <w:vAlign w:val="top"/>
          </w:tcPr>
          <w:p w14:paraId="0845FD87">
            <w:pPr>
              <w:pStyle w:val="6"/>
              <w:spacing w:before="52" w:line="288" w:lineRule="auto"/>
              <w:ind w:left="113" w:right="208" w:hanging="3"/>
            </w:pPr>
            <w:r>
              <w:rPr>
                <w:spacing w:val="9"/>
              </w:rPr>
              <w:t>①</w:t>
            </w:r>
            <w:r>
              <w:rPr>
                <w:rFonts w:ascii="Times New Roman" w:hAnsi="Times New Roman" w:eastAsia="Times New Roman" w:cs="Times New Roman"/>
                <w:spacing w:val="9"/>
              </w:rPr>
              <w:t>110</w:t>
            </w:r>
            <w:r>
              <w:rPr>
                <w:rFonts w:ascii="Times New Roman" w:hAnsi="Times New Roman" w:eastAsia="Times New Roman" w:cs="Times New Roman"/>
              </w:rPr>
              <w:t>kV</w:t>
            </w:r>
            <w:r>
              <w:rPr>
                <w:spacing w:val="9"/>
              </w:rPr>
              <w:t>松山变电站的围墙外且距离围墙</w:t>
            </w:r>
            <w:r>
              <w:rPr>
                <w:rFonts w:ascii="Times New Roman" w:hAnsi="Times New Roman" w:eastAsia="Times New Roman" w:cs="Times New Roman"/>
                <w:spacing w:val="9"/>
              </w:rPr>
              <w:t>5m</w:t>
            </w:r>
            <w:r>
              <w:rPr>
                <w:spacing w:val="9"/>
              </w:rPr>
              <w:t>处布置，</w:t>
            </w:r>
            <w:r>
              <w:rPr>
                <w:rFonts w:ascii="Times New Roman" w:hAnsi="Times New Roman" w:eastAsia="Times New Roman" w:cs="Times New Roman"/>
                <w:spacing w:val="9"/>
              </w:rPr>
              <w:t>220</w:t>
            </w:r>
            <w:r>
              <w:rPr>
                <w:rFonts w:ascii="Times New Roman" w:hAnsi="Times New Roman" w:eastAsia="Times New Roman" w:cs="Times New Roman"/>
              </w:rPr>
              <w:t>kV</w:t>
            </w:r>
            <w:r>
              <w:rPr>
                <w:spacing w:val="9"/>
              </w:rPr>
              <w:t>芳华变扩</w:t>
            </w:r>
            <w:r>
              <w:rPr>
                <w:spacing w:val="7"/>
              </w:rPr>
              <w:t>建间隔侧围墙外</w:t>
            </w:r>
            <w:r>
              <w:rPr>
                <w:rFonts w:ascii="Times New Roman" w:hAnsi="Times New Roman" w:eastAsia="Times New Roman" w:cs="Times New Roman"/>
                <w:spacing w:val="7"/>
              </w:rPr>
              <w:t>5m</w:t>
            </w:r>
            <w:r>
              <w:rPr>
                <w:spacing w:val="7"/>
              </w:rPr>
              <w:t>处。</w:t>
            </w:r>
          </w:p>
          <w:p w14:paraId="53849CFE">
            <w:pPr>
              <w:pStyle w:val="6"/>
              <w:spacing w:line="225" w:lineRule="auto"/>
              <w:ind w:left="110"/>
            </w:pPr>
            <w:r>
              <w:rPr>
                <w:spacing w:val="8"/>
              </w:rPr>
              <w:t>②线路断面监测</w:t>
            </w:r>
          </w:p>
          <w:p w14:paraId="75933FDE">
            <w:pPr>
              <w:pStyle w:val="6"/>
              <w:spacing w:before="67" w:line="228" w:lineRule="auto"/>
              <w:ind w:left="113"/>
            </w:pPr>
            <w:r>
              <w:rPr>
                <w:spacing w:val="11"/>
              </w:rPr>
              <w:t>单回输电线路应以弧垂最低位置处中相导线对</w:t>
            </w:r>
            <w:r>
              <w:rPr>
                <w:spacing w:val="10"/>
              </w:rPr>
              <w:t>地投影点为起点，同塔</w:t>
            </w:r>
          </w:p>
        </w:tc>
      </w:tr>
    </w:tbl>
    <w:p w14:paraId="0CBA9D13">
      <w:pPr>
        <w:rPr>
          <w:rFonts w:ascii="Arial"/>
          <w:sz w:val="21"/>
        </w:rPr>
      </w:pPr>
    </w:p>
    <w:p w14:paraId="1539745C">
      <w:pPr>
        <w:rPr>
          <w:rFonts w:ascii="Arial" w:hAnsi="Arial" w:eastAsia="Arial" w:cs="Arial"/>
          <w:sz w:val="21"/>
          <w:szCs w:val="21"/>
        </w:rPr>
        <w:sectPr>
          <w:footerReference r:id="rId204" w:type="default"/>
          <w:pgSz w:w="11906" w:h="16839"/>
          <w:pgMar w:top="400" w:right="1693" w:bottom="1147" w:left="1689" w:header="0" w:footer="960" w:gutter="0"/>
          <w:cols w:space="720" w:num="1"/>
        </w:sectPr>
      </w:pPr>
    </w:p>
    <w:p w14:paraId="42A7027E">
      <w:pPr>
        <w:spacing w:before="19"/>
      </w:pPr>
    </w:p>
    <w:p w14:paraId="10EAA8F7">
      <w:pPr>
        <w:spacing w:before="19"/>
      </w:pPr>
    </w:p>
    <w:p w14:paraId="424D011D">
      <w:pPr>
        <w:spacing w:before="18"/>
      </w:pPr>
    </w:p>
    <w:p w14:paraId="1C13137F">
      <w:pPr>
        <w:spacing w:before="18"/>
      </w:pPr>
    </w:p>
    <w:tbl>
      <w:tblPr>
        <w:tblStyle w:val="5"/>
        <w:tblW w:w="85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63"/>
        <w:gridCol w:w="6560"/>
      </w:tblGrid>
      <w:tr w14:paraId="5B35E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0" w:hRule="atLeast"/>
        </w:trPr>
        <w:tc>
          <w:tcPr>
            <w:tcW w:w="1963" w:type="dxa"/>
            <w:vAlign w:val="top"/>
          </w:tcPr>
          <w:p w14:paraId="76EE788E">
            <w:pPr>
              <w:rPr>
                <w:rFonts w:ascii="Arial"/>
                <w:sz w:val="21"/>
              </w:rPr>
            </w:pPr>
          </w:p>
        </w:tc>
        <w:tc>
          <w:tcPr>
            <w:tcW w:w="6560" w:type="dxa"/>
            <w:vAlign w:val="top"/>
          </w:tcPr>
          <w:p w14:paraId="41212610">
            <w:pPr>
              <w:pStyle w:val="6"/>
              <w:spacing w:before="56" w:line="288" w:lineRule="auto"/>
              <w:ind w:left="111" w:right="117" w:firstLine="9"/>
              <w:jc w:val="both"/>
            </w:pPr>
            <w:r>
              <w:rPr>
                <w:spacing w:val="10"/>
              </w:rPr>
              <w:t>多回输电线路应以弧垂最低位置处档距对应两杆塔中央连线对地投影</w:t>
            </w:r>
            <w:r>
              <w:rPr>
                <w:spacing w:val="11"/>
              </w:rPr>
              <w:t>为起点，监测点应均匀分布在边相导线两侧的横</w:t>
            </w:r>
            <w:r>
              <w:rPr>
                <w:spacing w:val="10"/>
              </w:rPr>
              <w:t>断面方向上。对于挂</w:t>
            </w:r>
            <w:r>
              <w:rPr>
                <w:spacing w:val="11"/>
              </w:rPr>
              <w:t>线方式以杆塔对称排列的输电线路，只需在杆塔</w:t>
            </w:r>
            <w:r>
              <w:rPr>
                <w:spacing w:val="10"/>
              </w:rPr>
              <w:t>一侧的横断面方向上</w:t>
            </w:r>
            <w:r>
              <w:rPr>
                <w:spacing w:val="6"/>
              </w:rPr>
              <w:t>布置监测点。监测点间距一般为</w:t>
            </w:r>
            <w:r>
              <w:rPr>
                <w:spacing w:val="-17"/>
              </w:rPr>
              <w:t xml:space="preserve"> </w:t>
            </w:r>
            <w:r>
              <w:rPr>
                <w:rFonts w:ascii="Times New Roman" w:hAnsi="Times New Roman" w:eastAsia="Times New Roman" w:cs="Times New Roman"/>
                <w:spacing w:val="6"/>
              </w:rPr>
              <w:t>5m</w:t>
            </w:r>
            <w:r>
              <w:rPr>
                <w:spacing w:val="6"/>
              </w:rPr>
              <w:t>，顺序测至距离边导线对地投影外</w:t>
            </w:r>
            <w:r>
              <w:rPr>
                <w:rFonts w:ascii="Times New Roman" w:hAnsi="Times New Roman" w:eastAsia="Times New Roman" w:cs="Times New Roman"/>
                <w:spacing w:val="7"/>
              </w:rPr>
              <w:t>50m</w:t>
            </w:r>
            <w:r>
              <w:rPr>
                <w:rFonts w:ascii="Times New Roman" w:hAnsi="Times New Roman" w:eastAsia="Times New Roman" w:cs="Times New Roman"/>
                <w:spacing w:val="32"/>
              </w:rPr>
              <w:t xml:space="preserve"> </w:t>
            </w:r>
            <w:r>
              <w:rPr>
                <w:spacing w:val="7"/>
              </w:rPr>
              <w:t>处为止。在测量最大值时，两相邻监测点的距离应不大于</w:t>
            </w:r>
            <w:r>
              <w:rPr>
                <w:spacing w:val="-23"/>
              </w:rPr>
              <w:t xml:space="preserve"> </w:t>
            </w:r>
            <w:r>
              <w:rPr>
                <w:rFonts w:ascii="Times New Roman" w:hAnsi="Times New Roman" w:eastAsia="Times New Roman" w:cs="Times New Roman"/>
                <w:spacing w:val="7"/>
              </w:rPr>
              <w:t>1m</w:t>
            </w:r>
            <w:r>
              <w:rPr>
                <w:spacing w:val="7"/>
              </w:rPr>
              <w:t>；</w:t>
            </w:r>
          </w:p>
          <w:p w14:paraId="1EBB7E44">
            <w:pPr>
              <w:pStyle w:val="6"/>
              <w:spacing w:line="225" w:lineRule="auto"/>
              <w:ind w:left="110"/>
            </w:pPr>
            <w:r>
              <w:rPr>
                <w:spacing w:val="6"/>
              </w:rPr>
              <w:t>③环境敏感目标：</w:t>
            </w:r>
            <w:r>
              <w:rPr>
                <w:rFonts w:ascii="Times New Roman" w:hAnsi="Times New Roman" w:eastAsia="Times New Roman" w:cs="Times New Roman"/>
                <w:spacing w:val="6"/>
              </w:rPr>
              <w:t>110</w:t>
            </w:r>
            <w:r>
              <w:rPr>
                <w:rFonts w:ascii="Times New Roman" w:hAnsi="Times New Roman" w:eastAsia="Times New Roman" w:cs="Times New Roman"/>
              </w:rPr>
              <w:t>kV</w:t>
            </w:r>
            <w:r>
              <w:rPr>
                <w:rFonts w:ascii="Times New Roman" w:hAnsi="Times New Roman" w:eastAsia="Times New Roman" w:cs="Times New Roman"/>
                <w:spacing w:val="6"/>
              </w:rPr>
              <w:t xml:space="preserve"> </w:t>
            </w:r>
            <w:r>
              <w:rPr>
                <w:spacing w:val="6"/>
              </w:rPr>
              <w:t>输电线路边导线两侧</w:t>
            </w:r>
            <w:r>
              <w:rPr>
                <w:spacing w:val="-30"/>
              </w:rPr>
              <w:t xml:space="preserve"> </w:t>
            </w:r>
            <w:r>
              <w:rPr>
                <w:rFonts w:ascii="Times New Roman" w:hAnsi="Times New Roman" w:eastAsia="Times New Roman" w:cs="Times New Roman"/>
                <w:spacing w:val="6"/>
              </w:rPr>
              <w:t>30m</w:t>
            </w:r>
            <w:r>
              <w:rPr>
                <w:spacing w:val="6"/>
              </w:rPr>
              <w:t>范围内保护目标处。</w:t>
            </w:r>
          </w:p>
        </w:tc>
      </w:tr>
      <w:tr w14:paraId="206CB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963" w:type="dxa"/>
            <w:vAlign w:val="top"/>
          </w:tcPr>
          <w:p w14:paraId="482FC53F">
            <w:pPr>
              <w:spacing w:line="297" w:lineRule="auto"/>
              <w:rPr>
                <w:rFonts w:ascii="Arial"/>
                <w:sz w:val="21"/>
              </w:rPr>
            </w:pPr>
          </w:p>
          <w:p w14:paraId="67FB414F">
            <w:pPr>
              <w:pStyle w:val="6"/>
              <w:spacing w:before="65" w:line="228" w:lineRule="auto"/>
              <w:ind w:left="779"/>
            </w:pPr>
            <w:r>
              <w:rPr>
                <w:spacing w:val="7"/>
              </w:rPr>
              <w:t>监测频率</w:t>
            </w:r>
          </w:p>
        </w:tc>
        <w:tc>
          <w:tcPr>
            <w:tcW w:w="6560" w:type="dxa"/>
            <w:vAlign w:val="top"/>
          </w:tcPr>
          <w:p w14:paraId="3A4F4091">
            <w:pPr>
              <w:pStyle w:val="6"/>
              <w:spacing w:before="53" w:line="225" w:lineRule="auto"/>
              <w:ind w:left="110"/>
            </w:pPr>
            <w:r>
              <w:rPr>
                <w:spacing w:val="9"/>
              </w:rPr>
              <w:t>①运行期间结合竣工环境保护验收监测一次；</w:t>
            </w:r>
          </w:p>
          <w:p w14:paraId="79A33A1C">
            <w:pPr>
              <w:pStyle w:val="6"/>
              <w:spacing w:before="68" w:line="225" w:lineRule="auto"/>
              <w:ind w:left="110"/>
            </w:pPr>
            <w:r>
              <w:rPr>
                <w:spacing w:val="9"/>
              </w:rPr>
              <w:t>②运行期间存在投诉或纠纷时进行监测；</w:t>
            </w:r>
          </w:p>
          <w:p w14:paraId="4DE54360">
            <w:pPr>
              <w:pStyle w:val="6"/>
              <w:spacing w:before="68" w:line="225" w:lineRule="auto"/>
              <w:ind w:left="110"/>
            </w:pPr>
            <w:r>
              <w:rPr>
                <w:spacing w:val="9"/>
              </w:rPr>
              <w:t>③例行环境监测计划或生态环境主管部门要求时进行监测。</w:t>
            </w:r>
          </w:p>
        </w:tc>
      </w:tr>
      <w:tr w14:paraId="6EBEB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63" w:type="dxa"/>
            <w:vAlign w:val="top"/>
          </w:tcPr>
          <w:p w14:paraId="6F1C95F6">
            <w:pPr>
              <w:pStyle w:val="6"/>
              <w:spacing w:before="53" w:line="229" w:lineRule="auto"/>
              <w:ind w:left="779"/>
            </w:pPr>
            <w:r>
              <w:rPr>
                <w:spacing w:val="7"/>
              </w:rPr>
              <w:t>监测要求</w:t>
            </w:r>
          </w:p>
        </w:tc>
        <w:tc>
          <w:tcPr>
            <w:tcW w:w="6560" w:type="dxa"/>
            <w:vAlign w:val="top"/>
          </w:tcPr>
          <w:p w14:paraId="15D8FA8F">
            <w:pPr>
              <w:pStyle w:val="6"/>
              <w:spacing w:before="53" w:line="228" w:lineRule="auto"/>
              <w:ind w:left="113"/>
            </w:pPr>
            <w:r>
              <w:rPr>
                <w:spacing w:val="8"/>
              </w:rPr>
              <w:t>按照竣工验收的要求进行监测。</w:t>
            </w:r>
          </w:p>
        </w:tc>
      </w:tr>
      <w:tr w14:paraId="595EE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63" w:type="dxa"/>
            <w:vAlign w:val="top"/>
          </w:tcPr>
          <w:p w14:paraId="10D65D4D">
            <w:pPr>
              <w:pStyle w:val="6"/>
              <w:spacing w:before="54" w:line="227" w:lineRule="auto"/>
              <w:ind w:left="779"/>
            </w:pPr>
            <w:r>
              <w:rPr>
                <w:spacing w:val="7"/>
              </w:rPr>
              <w:t>监测依据</w:t>
            </w:r>
          </w:p>
        </w:tc>
        <w:tc>
          <w:tcPr>
            <w:tcW w:w="6560" w:type="dxa"/>
            <w:vAlign w:val="top"/>
          </w:tcPr>
          <w:p w14:paraId="095DAB67">
            <w:pPr>
              <w:pStyle w:val="6"/>
              <w:spacing w:before="53" w:line="228" w:lineRule="auto"/>
              <w:ind w:left="117"/>
            </w:pPr>
            <w:r>
              <w:rPr>
                <w:spacing w:val="8"/>
              </w:rPr>
              <w:t>《建设项目竣工环境保护验收技术规范输变电》（</w:t>
            </w:r>
            <w:r>
              <w:rPr>
                <w:rFonts w:ascii="Times New Roman" w:hAnsi="Times New Roman" w:eastAsia="Times New Roman" w:cs="Times New Roman"/>
              </w:rPr>
              <w:t>HJ</w:t>
            </w:r>
            <w:r>
              <w:rPr>
                <w:rFonts w:ascii="Times New Roman" w:hAnsi="Times New Roman" w:eastAsia="Times New Roman" w:cs="Times New Roman"/>
                <w:spacing w:val="8"/>
              </w:rPr>
              <w:t>705-2020</w:t>
            </w:r>
            <w:r>
              <w:rPr>
                <w:spacing w:val="8"/>
              </w:rPr>
              <w:t>）</w:t>
            </w:r>
          </w:p>
        </w:tc>
      </w:tr>
      <w:tr w14:paraId="70068F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63" w:type="dxa"/>
            <w:vAlign w:val="top"/>
          </w:tcPr>
          <w:p w14:paraId="12EEDA5F">
            <w:pPr>
              <w:pStyle w:val="6"/>
              <w:spacing w:before="56" w:line="229" w:lineRule="auto"/>
              <w:ind w:left="779"/>
            </w:pPr>
            <w:r>
              <w:rPr>
                <w:spacing w:val="7"/>
              </w:rPr>
              <w:t>监测方法</w:t>
            </w:r>
          </w:p>
        </w:tc>
        <w:tc>
          <w:tcPr>
            <w:tcW w:w="6560" w:type="dxa"/>
            <w:vAlign w:val="top"/>
          </w:tcPr>
          <w:p w14:paraId="5DC3CA18">
            <w:pPr>
              <w:pStyle w:val="6"/>
              <w:spacing w:before="55" w:line="228" w:lineRule="auto"/>
              <w:ind w:left="111"/>
            </w:pPr>
            <w:r>
              <w:rPr>
                <w:spacing w:val="8"/>
              </w:rPr>
              <w:t>根据《交流输变电工程电磁环境监测方法（试行）》（</w:t>
            </w:r>
            <w:r>
              <w:rPr>
                <w:rFonts w:ascii="Times New Roman" w:hAnsi="Times New Roman" w:eastAsia="Times New Roman" w:cs="Times New Roman"/>
              </w:rPr>
              <w:t>HJ</w:t>
            </w:r>
            <w:r>
              <w:rPr>
                <w:rFonts w:ascii="Times New Roman" w:hAnsi="Times New Roman" w:eastAsia="Times New Roman" w:cs="Times New Roman"/>
                <w:spacing w:val="8"/>
              </w:rPr>
              <w:t>681-2013</w:t>
            </w:r>
            <w:r>
              <w:rPr>
                <w:spacing w:val="8"/>
              </w:rPr>
              <w:t>）</w:t>
            </w:r>
          </w:p>
        </w:tc>
      </w:tr>
      <w:tr w14:paraId="30390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63" w:type="dxa"/>
            <w:vAlign w:val="top"/>
          </w:tcPr>
          <w:p w14:paraId="66E68716">
            <w:pPr>
              <w:pStyle w:val="6"/>
              <w:spacing w:before="55" w:line="228" w:lineRule="auto"/>
              <w:ind w:left="778"/>
            </w:pPr>
            <w:r>
              <w:rPr>
                <w:spacing w:val="7"/>
              </w:rPr>
              <w:t>执行标准</w:t>
            </w:r>
          </w:p>
        </w:tc>
        <w:tc>
          <w:tcPr>
            <w:tcW w:w="6560" w:type="dxa"/>
            <w:vAlign w:val="top"/>
          </w:tcPr>
          <w:p w14:paraId="2BD715E8">
            <w:pPr>
              <w:pStyle w:val="6"/>
              <w:spacing w:before="55" w:line="228" w:lineRule="auto"/>
              <w:ind w:left="117"/>
            </w:pPr>
            <w:r>
              <w:rPr>
                <w:spacing w:val="7"/>
              </w:rPr>
              <w:t>《电磁环境控制限值》（</w:t>
            </w:r>
            <w:r>
              <w:rPr>
                <w:rFonts w:ascii="Times New Roman" w:hAnsi="Times New Roman" w:eastAsia="Times New Roman" w:cs="Times New Roman"/>
              </w:rPr>
              <w:t>GB</w:t>
            </w:r>
            <w:r>
              <w:rPr>
                <w:rFonts w:ascii="Times New Roman" w:hAnsi="Times New Roman" w:eastAsia="Times New Roman" w:cs="Times New Roman"/>
                <w:spacing w:val="7"/>
              </w:rPr>
              <w:t>8702-2014</w:t>
            </w:r>
            <w:r>
              <w:rPr>
                <w:spacing w:val="7"/>
              </w:rPr>
              <w:t>）</w:t>
            </w:r>
          </w:p>
        </w:tc>
      </w:tr>
      <w:tr w14:paraId="018AF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8" w:hRule="atLeast"/>
        </w:trPr>
        <w:tc>
          <w:tcPr>
            <w:tcW w:w="1963" w:type="dxa"/>
            <w:vAlign w:val="top"/>
          </w:tcPr>
          <w:p w14:paraId="0401541D">
            <w:pPr>
              <w:spacing w:line="456" w:lineRule="auto"/>
              <w:rPr>
                <w:rFonts w:ascii="Arial"/>
                <w:sz w:val="21"/>
              </w:rPr>
            </w:pPr>
          </w:p>
          <w:p w14:paraId="512AAA19">
            <w:pPr>
              <w:pStyle w:val="6"/>
              <w:spacing w:before="65" w:line="289" w:lineRule="auto"/>
              <w:ind w:left="779" w:right="140" w:hanging="212"/>
            </w:pPr>
            <w:r>
              <w:rPr>
                <w:spacing w:val="8"/>
              </w:rPr>
              <w:t>应记录的工作</w:t>
            </w:r>
            <w:r>
              <w:rPr>
                <w:spacing w:val="3"/>
              </w:rPr>
              <w:t>条件</w:t>
            </w:r>
          </w:p>
        </w:tc>
        <w:tc>
          <w:tcPr>
            <w:tcW w:w="6560" w:type="dxa"/>
            <w:vAlign w:val="top"/>
          </w:tcPr>
          <w:p w14:paraId="7563CEC3">
            <w:pPr>
              <w:pStyle w:val="6"/>
              <w:spacing w:before="55" w:line="228" w:lineRule="auto"/>
              <w:ind w:left="121"/>
            </w:pPr>
            <w:r>
              <w:rPr>
                <w:spacing w:val="8"/>
              </w:rPr>
              <w:t>（</w:t>
            </w:r>
            <w:r>
              <w:rPr>
                <w:rFonts w:ascii="Times New Roman" w:hAnsi="Times New Roman" w:eastAsia="Times New Roman" w:cs="Times New Roman"/>
                <w:spacing w:val="8"/>
              </w:rPr>
              <w:t>1</w:t>
            </w:r>
            <w:r>
              <w:rPr>
                <w:spacing w:val="8"/>
              </w:rPr>
              <w:t>）时间、天气状况、温度和湿度</w:t>
            </w:r>
          </w:p>
          <w:p w14:paraId="75BBEC59">
            <w:pPr>
              <w:pStyle w:val="6"/>
              <w:spacing w:before="64" w:line="228" w:lineRule="auto"/>
              <w:ind w:left="121"/>
            </w:pPr>
            <w:r>
              <w:rPr>
                <w:spacing w:val="8"/>
              </w:rPr>
              <w:t>（</w:t>
            </w:r>
            <w:r>
              <w:rPr>
                <w:rFonts w:ascii="Times New Roman" w:hAnsi="Times New Roman" w:eastAsia="Times New Roman" w:cs="Times New Roman"/>
                <w:spacing w:val="8"/>
              </w:rPr>
              <w:t>2</w:t>
            </w:r>
            <w:r>
              <w:rPr>
                <w:spacing w:val="8"/>
              </w:rPr>
              <w:t>）设备名称、型号、工作状况</w:t>
            </w:r>
          </w:p>
          <w:p w14:paraId="052C3427">
            <w:pPr>
              <w:pStyle w:val="6"/>
              <w:spacing w:before="65" w:line="227" w:lineRule="auto"/>
              <w:ind w:left="121"/>
            </w:pPr>
            <w:r>
              <w:rPr>
                <w:spacing w:val="6"/>
              </w:rPr>
              <w:t>（</w:t>
            </w:r>
            <w:r>
              <w:rPr>
                <w:rFonts w:ascii="Times New Roman" w:hAnsi="Times New Roman" w:eastAsia="Times New Roman" w:cs="Times New Roman"/>
                <w:spacing w:val="6"/>
              </w:rPr>
              <w:t>3</w:t>
            </w:r>
            <w:r>
              <w:rPr>
                <w:spacing w:val="6"/>
              </w:rPr>
              <w:t>）监测依据</w:t>
            </w:r>
          </w:p>
          <w:p w14:paraId="2828B86F">
            <w:pPr>
              <w:pStyle w:val="6"/>
              <w:spacing w:before="67" w:line="261" w:lineRule="auto"/>
              <w:ind w:left="112" w:right="108" w:firstLine="9"/>
            </w:pPr>
            <w:r>
              <w:rPr>
                <w:spacing w:val="7"/>
              </w:rPr>
              <w:t>（</w:t>
            </w:r>
            <w:r>
              <w:rPr>
                <w:rFonts w:ascii="Times New Roman" w:hAnsi="Times New Roman" w:eastAsia="Times New Roman" w:cs="Times New Roman"/>
                <w:spacing w:val="7"/>
              </w:rPr>
              <w:t>4</w:t>
            </w:r>
            <w:r>
              <w:rPr>
                <w:spacing w:val="7"/>
              </w:rPr>
              <w:t>）监测时变电站和输电线路工况情况，如监测时主变、输电线路电</w:t>
            </w:r>
            <w:r>
              <w:rPr>
                <w:spacing w:val="2"/>
              </w:rPr>
              <w:t>流、</w:t>
            </w:r>
            <w:r>
              <w:rPr>
                <w:spacing w:val="-56"/>
              </w:rPr>
              <w:t xml:space="preserve"> </w:t>
            </w:r>
            <w:r>
              <w:rPr>
                <w:spacing w:val="2"/>
              </w:rPr>
              <w:t>电压大小等</w:t>
            </w:r>
          </w:p>
        </w:tc>
      </w:tr>
    </w:tbl>
    <w:p w14:paraId="34CCF612">
      <w:pPr>
        <w:rPr>
          <w:rFonts w:ascii="Arial"/>
          <w:sz w:val="21"/>
        </w:rPr>
      </w:pPr>
    </w:p>
    <w:p w14:paraId="1594D742">
      <w:pPr>
        <w:rPr>
          <w:rFonts w:ascii="Arial" w:hAnsi="Arial" w:eastAsia="Arial" w:cs="Arial"/>
          <w:sz w:val="21"/>
          <w:szCs w:val="21"/>
        </w:rPr>
        <w:sectPr>
          <w:footerReference r:id="rId205" w:type="default"/>
          <w:pgSz w:w="11906" w:h="16839"/>
          <w:pgMar w:top="400" w:right="1688" w:bottom="1147" w:left="1689" w:header="0" w:footer="960" w:gutter="0"/>
          <w:cols w:space="720" w:num="1"/>
        </w:sectPr>
      </w:pPr>
    </w:p>
    <w:p w14:paraId="1C45A4CB">
      <w:pPr>
        <w:spacing w:line="247" w:lineRule="auto"/>
        <w:rPr>
          <w:rFonts w:ascii="Arial"/>
          <w:sz w:val="21"/>
        </w:rPr>
      </w:pPr>
    </w:p>
    <w:p w14:paraId="347550D8">
      <w:pPr>
        <w:spacing w:line="247" w:lineRule="auto"/>
        <w:rPr>
          <w:rFonts w:ascii="Arial"/>
          <w:sz w:val="21"/>
        </w:rPr>
      </w:pPr>
    </w:p>
    <w:p w14:paraId="18CC960F">
      <w:pPr>
        <w:spacing w:line="247" w:lineRule="auto"/>
        <w:rPr>
          <w:rFonts w:ascii="Arial"/>
          <w:sz w:val="21"/>
        </w:rPr>
      </w:pPr>
    </w:p>
    <w:p w14:paraId="2BF71616">
      <w:pPr>
        <w:spacing w:line="248" w:lineRule="auto"/>
        <w:rPr>
          <w:rFonts w:ascii="Arial"/>
          <w:sz w:val="21"/>
        </w:rPr>
      </w:pPr>
    </w:p>
    <w:p w14:paraId="7F3D877F">
      <w:pPr>
        <w:spacing w:line="248" w:lineRule="auto"/>
        <w:rPr>
          <w:rFonts w:ascii="Arial"/>
          <w:sz w:val="21"/>
        </w:rPr>
      </w:pPr>
    </w:p>
    <w:p w14:paraId="1F1B5CE5">
      <w:pPr>
        <w:pStyle w:val="2"/>
        <w:spacing w:before="101" w:line="223" w:lineRule="auto"/>
        <w:ind w:left="24"/>
        <w:rPr>
          <w:sz w:val="31"/>
          <w:szCs w:val="31"/>
        </w:rPr>
      </w:pPr>
      <w:r>
        <w:rPr>
          <w:rFonts w:ascii="Times New Roman" w:hAnsi="Times New Roman" w:eastAsia="Times New Roman" w:cs="Times New Roman"/>
          <w:b/>
          <w:bCs/>
          <w:spacing w:val="5"/>
          <w:sz w:val="31"/>
          <w:szCs w:val="31"/>
        </w:rPr>
        <w:t xml:space="preserve">7  </w:t>
      </w:r>
      <w:r>
        <w:rPr>
          <w:b/>
          <w:bCs/>
          <w:spacing w:val="5"/>
          <w:sz w:val="31"/>
          <w:szCs w:val="31"/>
        </w:rPr>
        <w:t>评价结论与建议</w:t>
      </w:r>
    </w:p>
    <w:p w14:paraId="0AE828B5">
      <w:pPr>
        <w:spacing w:line="439" w:lineRule="auto"/>
        <w:rPr>
          <w:rFonts w:ascii="Arial"/>
          <w:sz w:val="21"/>
        </w:rPr>
      </w:pPr>
    </w:p>
    <w:p w14:paraId="5B8F6121">
      <w:pPr>
        <w:pStyle w:val="2"/>
        <w:spacing w:before="97" w:line="219" w:lineRule="auto"/>
        <w:ind w:left="24"/>
        <w:rPr>
          <w:sz w:val="30"/>
          <w:szCs w:val="30"/>
        </w:rPr>
      </w:pPr>
      <w:r>
        <w:rPr>
          <w:rFonts w:ascii="Times New Roman" w:hAnsi="Times New Roman" w:eastAsia="Times New Roman" w:cs="Times New Roman"/>
          <w:b/>
          <w:bCs/>
          <w:spacing w:val="-9"/>
          <w:sz w:val="30"/>
          <w:szCs w:val="30"/>
        </w:rPr>
        <w:t>7.1</w:t>
      </w:r>
      <w:r>
        <w:rPr>
          <w:rFonts w:ascii="Times New Roman" w:hAnsi="Times New Roman" w:eastAsia="Times New Roman" w:cs="Times New Roman"/>
          <w:b/>
          <w:bCs/>
          <w:spacing w:val="28"/>
          <w:sz w:val="30"/>
          <w:szCs w:val="30"/>
        </w:rPr>
        <w:t xml:space="preserve">  </w:t>
      </w:r>
      <w:r>
        <w:rPr>
          <w:b/>
          <w:bCs/>
          <w:spacing w:val="-9"/>
          <w:sz w:val="30"/>
          <w:szCs w:val="30"/>
        </w:rPr>
        <w:t>电磁环境现状</w:t>
      </w:r>
    </w:p>
    <w:p w14:paraId="79FEDDC5">
      <w:pPr>
        <w:pStyle w:val="2"/>
        <w:spacing w:before="219" w:line="361" w:lineRule="auto"/>
        <w:ind w:left="23" w:right="105" w:firstLine="480"/>
        <w:jc w:val="both"/>
        <w:rPr>
          <w:sz w:val="24"/>
          <w:szCs w:val="24"/>
        </w:rPr>
      </w:pPr>
      <w:r>
        <w:rPr>
          <w:spacing w:val="-3"/>
          <w:sz w:val="24"/>
          <w:szCs w:val="24"/>
        </w:rPr>
        <w:t>根据现状监测，本工程所在区域工频电场强度、工频磁感应强度</w:t>
      </w:r>
      <w:r>
        <w:rPr>
          <w:spacing w:val="-4"/>
          <w:sz w:val="24"/>
          <w:szCs w:val="24"/>
        </w:rPr>
        <w:t>均低于《电</w:t>
      </w:r>
      <w:r>
        <w:rPr>
          <w:spacing w:val="-1"/>
          <w:sz w:val="24"/>
          <w:szCs w:val="24"/>
        </w:rPr>
        <w:t>磁环境控制限值》（</w:t>
      </w:r>
      <w:r>
        <w:rPr>
          <w:rFonts w:ascii="Times New Roman" w:hAnsi="Times New Roman" w:eastAsia="Times New Roman" w:cs="Times New Roman"/>
          <w:spacing w:val="-1"/>
          <w:sz w:val="24"/>
          <w:szCs w:val="24"/>
        </w:rPr>
        <w:t>GB8702-2014</w:t>
      </w:r>
      <w:r>
        <w:rPr>
          <w:spacing w:val="-1"/>
          <w:sz w:val="24"/>
          <w:szCs w:val="24"/>
        </w:rPr>
        <w:t>）中的限值要求，工程所在区域电磁环境现状</w:t>
      </w:r>
      <w:r>
        <w:rPr>
          <w:spacing w:val="-4"/>
          <w:sz w:val="24"/>
          <w:szCs w:val="24"/>
        </w:rPr>
        <w:t>良好。</w:t>
      </w:r>
    </w:p>
    <w:p w14:paraId="57AD2366">
      <w:pPr>
        <w:pStyle w:val="2"/>
        <w:spacing w:before="322" w:line="220" w:lineRule="auto"/>
        <w:ind w:left="24"/>
        <w:rPr>
          <w:sz w:val="30"/>
          <w:szCs w:val="30"/>
        </w:rPr>
      </w:pPr>
      <w:r>
        <w:rPr>
          <w:rFonts w:ascii="Times New Roman" w:hAnsi="Times New Roman" w:eastAsia="Times New Roman" w:cs="Times New Roman"/>
          <w:b/>
          <w:bCs/>
          <w:spacing w:val="-3"/>
          <w:sz w:val="30"/>
          <w:szCs w:val="30"/>
        </w:rPr>
        <w:t xml:space="preserve">7.2  </w:t>
      </w:r>
      <w:r>
        <w:rPr>
          <w:b/>
          <w:bCs/>
          <w:spacing w:val="-3"/>
          <w:sz w:val="30"/>
          <w:szCs w:val="30"/>
        </w:rPr>
        <w:t>环境影响预测结论</w:t>
      </w:r>
    </w:p>
    <w:p w14:paraId="29001DFC">
      <w:pPr>
        <w:pStyle w:val="2"/>
        <w:spacing w:before="220" w:line="219" w:lineRule="auto"/>
        <w:ind w:left="503"/>
        <w:rPr>
          <w:sz w:val="24"/>
          <w:szCs w:val="24"/>
        </w:rPr>
      </w:pPr>
      <w:r>
        <w:rPr>
          <w:b/>
          <w:bCs/>
          <w:spacing w:val="-3"/>
          <w:sz w:val="24"/>
          <w:szCs w:val="24"/>
        </w:rPr>
        <w:t>变电站类比预测结论：</w:t>
      </w:r>
    </w:p>
    <w:p w14:paraId="6CC2472E">
      <w:pPr>
        <w:pStyle w:val="2"/>
        <w:spacing w:before="184" w:line="358" w:lineRule="auto"/>
        <w:ind w:left="22" w:right="105" w:firstLine="480"/>
        <w:jc w:val="both"/>
        <w:rPr>
          <w:sz w:val="24"/>
          <w:szCs w:val="24"/>
        </w:rPr>
      </w:pPr>
      <w:r>
        <w:rPr>
          <w:spacing w:val="2"/>
          <w:sz w:val="24"/>
          <w:szCs w:val="24"/>
        </w:rPr>
        <w:t>根据类比</w:t>
      </w:r>
      <w:r>
        <w:rPr>
          <w:spacing w:val="-27"/>
          <w:sz w:val="24"/>
          <w:szCs w:val="24"/>
        </w:rPr>
        <w:t xml:space="preserve"> </w:t>
      </w:r>
      <w:r>
        <w:rPr>
          <w:rFonts w:ascii="Times New Roman" w:hAnsi="Times New Roman" w:eastAsia="Times New Roman" w:cs="Times New Roman"/>
          <w:spacing w:val="2"/>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2"/>
          <w:sz w:val="24"/>
          <w:szCs w:val="24"/>
        </w:rPr>
        <w:t xml:space="preserve"> </w:t>
      </w:r>
      <w:r>
        <w:rPr>
          <w:spacing w:val="2"/>
          <w:sz w:val="24"/>
          <w:szCs w:val="24"/>
        </w:rPr>
        <w:t>城南变电站运行期电磁环境监测</w:t>
      </w:r>
      <w:r>
        <w:rPr>
          <w:spacing w:val="1"/>
          <w:sz w:val="24"/>
          <w:szCs w:val="24"/>
        </w:rPr>
        <w:t>数据，</w:t>
      </w:r>
      <w:r>
        <w:rPr>
          <w:rFonts w:ascii="Times New Roman" w:hAnsi="Times New Roman" w:eastAsia="Times New Roman" w:cs="Times New Roman"/>
          <w:spacing w:val="1"/>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城南变电站</w:t>
      </w:r>
      <w:r>
        <w:rPr>
          <w:spacing w:val="14"/>
          <w:sz w:val="24"/>
          <w:szCs w:val="24"/>
        </w:rPr>
        <w:t>厂界四周测得的工频电场强度在</w:t>
      </w:r>
      <w:r>
        <w:rPr>
          <w:spacing w:val="-25"/>
          <w:sz w:val="24"/>
          <w:szCs w:val="24"/>
        </w:rPr>
        <w:t xml:space="preserve"> </w:t>
      </w:r>
      <w:r>
        <w:rPr>
          <w:rFonts w:ascii="Times New Roman" w:hAnsi="Times New Roman" w:eastAsia="Times New Roman" w:cs="Times New Roman"/>
          <w:spacing w:val="14"/>
          <w:sz w:val="24"/>
          <w:szCs w:val="24"/>
        </w:rPr>
        <w:t>0.42~270.3V/m</w:t>
      </w:r>
      <w:r>
        <w:rPr>
          <w:rFonts w:ascii="Times New Roman" w:hAnsi="Times New Roman" w:eastAsia="Times New Roman" w:cs="Times New Roman"/>
          <w:spacing w:val="39"/>
          <w:sz w:val="24"/>
          <w:szCs w:val="24"/>
        </w:rPr>
        <w:t xml:space="preserve"> </w:t>
      </w:r>
      <w:r>
        <w:rPr>
          <w:spacing w:val="14"/>
          <w:sz w:val="24"/>
          <w:szCs w:val="24"/>
        </w:rPr>
        <w:t>之间</w:t>
      </w:r>
      <w:r>
        <w:rPr>
          <w:spacing w:val="-65"/>
          <w:sz w:val="24"/>
          <w:szCs w:val="24"/>
        </w:rPr>
        <w:t xml:space="preserve"> </w:t>
      </w:r>
      <w:r>
        <w:rPr>
          <w:spacing w:val="14"/>
          <w:sz w:val="24"/>
          <w:szCs w:val="24"/>
        </w:rPr>
        <w:t>，工频磁感</w:t>
      </w:r>
      <w:r>
        <w:rPr>
          <w:spacing w:val="13"/>
          <w:sz w:val="24"/>
          <w:szCs w:val="24"/>
        </w:rPr>
        <w:t>应强度在</w:t>
      </w:r>
      <w:r>
        <w:rPr>
          <w:rFonts w:ascii="Times New Roman" w:hAnsi="Times New Roman" w:eastAsia="Times New Roman" w:cs="Times New Roman"/>
          <w:spacing w:val="-2"/>
          <w:sz w:val="24"/>
          <w:szCs w:val="24"/>
        </w:rPr>
        <w:t xml:space="preserve">0.157~0.453μT </w:t>
      </w:r>
      <w:r>
        <w:rPr>
          <w:spacing w:val="-2"/>
          <w:sz w:val="24"/>
          <w:szCs w:val="24"/>
        </w:rPr>
        <w:t>之间；电磁环境衰减断面监测数据工频电</w:t>
      </w:r>
      <w:r>
        <w:rPr>
          <w:spacing w:val="-3"/>
          <w:sz w:val="24"/>
          <w:szCs w:val="24"/>
        </w:rPr>
        <w:t>场强度在</w:t>
      </w:r>
      <w:r>
        <w:rPr>
          <w:spacing w:val="-51"/>
          <w:sz w:val="24"/>
          <w:szCs w:val="24"/>
        </w:rPr>
        <w:t xml:space="preserve"> </w:t>
      </w:r>
      <w:r>
        <w:rPr>
          <w:rFonts w:ascii="Times New Roman" w:hAnsi="Times New Roman" w:eastAsia="Times New Roman" w:cs="Times New Roman"/>
          <w:spacing w:val="-3"/>
          <w:sz w:val="24"/>
          <w:szCs w:val="24"/>
        </w:rPr>
        <w:t>0.71~270.3V/m</w:t>
      </w:r>
      <w:r>
        <w:rPr>
          <w:spacing w:val="10"/>
          <w:sz w:val="24"/>
          <w:szCs w:val="24"/>
        </w:rPr>
        <w:t>之间，工频磁感应强度在</w:t>
      </w:r>
      <w:r>
        <w:rPr>
          <w:spacing w:val="-34"/>
          <w:sz w:val="24"/>
          <w:szCs w:val="24"/>
        </w:rPr>
        <w:t xml:space="preserve"> </w:t>
      </w:r>
      <w:r>
        <w:rPr>
          <w:rFonts w:ascii="Times New Roman" w:hAnsi="Times New Roman" w:eastAsia="Times New Roman" w:cs="Times New Roman"/>
          <w:spacing w:val="10"/>
          <w:sz w:val="24"/>
          <w:szCs w:val="24"/>
        </w:rPr>
        <w:t>0.117~0.453μT</w:t>
      </w:r>
      <w:r>
        <w:rPr>
          <w:rFonts w:ascii="Times New Roman" w:hAnsi="Times New Roman" w:eastAsia="Times New Roman" w:cs="Times New Roman"/>
          <w:spacing w:val="28"/>
          <w:sz w:val="24"/>
          <w:szCs w:val="24"/>
        </w:rPr>
        <w:t xml:space="preserve"> </w:t>
      </w:r>
      <w:r>
        <w:rPr>
          <w:spacing w:val="10"/>
          <w:sz w:val="24"/>
          <w:szCs w:val="24"/>
        </w:rPr>
        <w:t>之间；满足《电磁环境控制限</w:t>
      </w:r>
      <w:r>
        <w:rPr>
          <w:spacing w:val="9"/>
          <w:sz w:val="24"/>
          <w:szCs w:val="24"/>
        </w:rPr>
        <w:t>值》</w:t>
      </w:r>
      <w:r>
        <w:rPr>
          <w:sz w:val="24"/>
          <w:szCs w:val="24"/>
        </w:rPr>
        <w:t xml:space="preserve"> </w:t>
      </w:r>
      <w:r>
        <w:rPr>
          <w:spacing w:val="-3"/>
          <w:sz w:val="24"/>
          <w:szCs w:val="24"/>
        </w:rPr>
        <w:t>（</w:t>
      </w:r>
      <w:r>
        <w:rPr>
          <w:rFonts w:ascii="Times New Roman" w:hAnsi="Times New Roman" w:eastAsia="Times New Roman" w:cs="Times New Roman"/>
          <w:spacing w:val="-3"/>
          <w:sz w:val="24"/>
          <w:szCs w:val="24"/>
        </w:rPr>
        <w:t>GB8702-2014</w:t>
      </w:r>
      <w:r>
        <w:rPr>
          <w:spacing w:val="-3"/>
          <w:sz w:val="24"/>
          <w:szCs w:val="24"/>
        </w:rPr>
        <w:t>）中工频电场强度</w:t>
      </w:r>
      <w:r>
        <w:rPr>
          <w:spacing w:val="-56"/>
          <w:sz w:val="24"/>
          <w:szCs w:val="24"/>
        </w:rPr>
        <w:t xml:space="preserve"> </w:t>
      </w:r>
      <w:r>
        <w:rPr>
          <w:rFonts w:ascii="Times New Roman" w:hAnsi="Times New Roman" w:eastAsia="Times New Roman" w:cs="Times New Roman"/>
          <w:spacing w:val="-3"/>
          <w:sz w:val="24"/>
          <w:szCs w:val="24"/>
        </w:rPr>
        <w:t>4000V/m</w:t>
      </w:r>
      <w:r>
        <w:rPr>
          <w:rFonts w:ascii="Times New Roman" w:hAnsi="Times New Roman" w:eastAsia="Times New Roman" w:cs="Times New Roman"/>
          <w:spacing w:val="30"/>
          <w:sz w:val="24"/>
          <w:szCs w:val="24"/>
        </w:rPr>
        <w:t xml:space="preserve"> </w:t>
      </w:r>
      <w:r>
        <w:rPr>
          <w:spacing w:val="-3"/>
          <w:sz w:val="24"/>
          <w:szCs w:val="24"/>
        </w:rPr>
        <w:t>的限值要求和工频磁感应强</w:t>
      </w:r>
      <w:r>
        <w:rPr>
          <w:spacing w:val="-4"/>
          <w:sz w:val="24"/>
          <w:szCs w:val="24"/>
        </w:rPr>
        <w:t>度</w:t>
      </w:r>
      <w:r>
        <w:rPr>
          <w:spacing w:val="-32"/>
          <w:sz w:val="24"/>
          <w:szCs w:val="24"/>
        </w:rPr>
        <w:t xml:space="preserve"> </w:t>
      </w:r>
      <w:r>
        <w:rPr>
          <w:rFonts w:ascii="Times New Roman" w:hAnsi="Times New Roman" w:eastAsia="Times New Roman" w:cs="Times New Roman"/>
          <w:spacing w:val="-4"/>
          <w:sz w:val="24"/>
          <w:szCs w:val="24"/>
        </w:rPr>
        <w:t>100μT</w:t>
      </w:r>
      <w:r>
        <w:rPr>
          <w:spacing w:val="-2"/>
          <w:sz w:val="24"/>
          <w:szCs w:val="24"/>
        </w:rPr>
        <w:t>的限值要求。</w:t>
      </w:r>
    </w:p>
    <w:p w14:paraId="2648AE05">
      <w:pPr>
        <w:pStyle w:val="2"/>
        <w:spacing w:before="15" w:line="219" w:lineRule="auto"/>
        <w:ind w:left="502"/>
        <w:rPr>
          <w:sz w:val="24"/>
          <w:szCs w:val="24"/>
        </w:rPr>
      </w:pPr>
      <w:r>
        <w:rPr>
          <w:b/>
          <w:bCs/>
          <w:spacing w:val="-3"/>
          <w:sz w:val="24"/>
          <w:szCs w:val="24"/>
        </w:rPr>
        <w:t>输电线路模式预测结论：</w:t>
      </w:r>
    </w:p>
    <w:p w14:paraId="5B690018">
      <w:pPr>
        <w:pStyle w:val="2"/>
        <w:spacing w:before="180" w:line="359" w:lineRule="auto"/>
        <w:ind w:left="22" w:firstLine="481"/>
        <w:jc w:val="both"/>
        <w:rPr>
          <w:sz w:val="24"/>
          <w:szCs w:val="24"/>
        </w:rPr>
      </w:pPr>
      <w:r>
        <w:rPr>
          <w:spacing w:val="-2"/>
          <w:sz w:val="24"/>
          <w:szCs w:val="24"/>
        </w:rPr>
        <w:t>本项目</w:t>
      </w:r>
      <w:r>
        <w:rPr>
          <w:spacing w:val="-32"/>
          <w:sz w:val="24"/>
          <w:szCs w:val="24"/>
        </w:rPr>
        <w:t xml:space="preserve"> </w:t>
      </w:r>
      <w:r>
        <w:rPr>
          <w:rFonts w:ascii="Times New Roman" w:hAnsi="Times New Roman" w:eastAsia="Times New Roman" w:cs="Times New Roman"/>
          <w:spacing w:val="-2"/>
          <w:sz w:val="24"/>
          <w:szCs w:val="24"/>
        </w:rPr>
        <w:t xml:space="preserve">110kV </w:t>
      </w:r>
      <w:r>
        <w:rPr>
          <w:spacing w:val="-2"/>
          <w:sz w:val="24"/>
          <w:szCs w:val="24"/>
        </w:rPr>
        <w:t>单回三角排列线路在采用最不利塔</w:t>
      </w:r>
      <w:r>
        <w:rPr>
          <w:spacing w:val="-3"/>
          <w:sz w:val="24"/>
          <w:szCs w:val="24"/>
        </w:rPr>
        <w:t>型</w:t>
      </w:r>
      <w:r>
        <w:rPr>
          <w:spacing w:val="-30"/>
          <w:sz w:val="24"/>
          <w:szCs w:val="24"/>
        </w:rPr>
        <w:t xml:space="preserve"> </w:t>
      </w:r>
      <w:r>
        <w:rPr>
          <w:rFonts w:ascii="Times New Roman" w:hAnsi="Times New Roman" w:eastAsia="Times New Roman" w:cs="Times New Roman"/>
          <w:spacing w:val="-3"/>
          <w:sz w:val="24"/>
          <w:szCs w:val="24"/>
        </w:rPr>
        <w:t>1B1X4-J4</w:t>
      </w:r>
      <w:r>
        <w:rPr>
          <w:rFonts w:ascii="Times New Roman" w:hAnsi="Times New Roman" w:eastAsia="Times New Roman" w:cs="Times New Roman"/>
          <w:spacing w:val="-30"/>
          <w:sz w:val="24"/>
          <w:szCs w:val="24"/>
        </w:rPr>
        <w:t xml:space="preserve"> </w:t>
      </w:r>
      <w:r>
        <w:rPr>
          <w:spacing w:val="-3"/>
          <w:sz w:val="24"/>
          <w:szCs w:val="24"/>
        </w:rPr>
        <w:t>，导线对地面</w:t>
      </w:r>
      <w:r>
        <w:rPr>
          <w:spacing w:val="-2"/>
          <w:sz w:val="24"/>
          <w:szCs w:val="24"/>
        </w:rPr>
        <w:t>距离为</w:t>
      </w:r>
      <w:r>
        <w:rPr>
          <w:spacing w:val="-33"/>
          <w:sz w:val="24"/>
          <w:szCs w:val="24"/>
        </w:rPr>
        <w:t xml:space="preserve"> </w:t>
      </w:r>
      <w:r>
        <w:rPr>
          <w:rFonts w:ascii="Times New Roman" w:hAnsi="Times New Roman" w:eastAsia="Times New Roman" w:cs="Times New Roman"/>
          <w:spacing w:val="-2"/>
          <w:sz w:val="24"/>
          <w:szCs w:val="24"/>
        </w:rPr>
        <w:t>6.0m</w:t>
      </w:r>
      <w:r>
        <w:rPr>
          <w:rFonts w:ascii="Times New Roman" w:hAnsi="Times New Roman" w:eastAsia="Times New Roman" w:cs="Times New Roman"/>
          <w:spacing w:val="24"/>
          <w:w w:val="101"/>
          <w:sz w:val="24"/>
          <w:szCs w:val="24"/>
        </w:rPr>
        <w:t xml:space="preserve"> </w:t>
      </w:r>
      <w:r>
        <w:rPr>
          <w:spacing w:val="-2"/>
          <w:sz w:val="24"/>
          <w:szCs w:val="24"/>
        </w:rPr>
        <w:t>时，地面</w:t>
      </w:r>
      <w:r>
        <w:rPr>
          <w:spacing w:val="-30"/>
          <w:sz w:val="24"/>
          <w:szCs w:val="24"/>
        </w:rPr>
        <w:t xml:space="preserve"> </w:t>
      </w:r>
      <w:r>
        <w:rPr>
          <w:rFonts w:ascii="Times New Roman" w:hAnsi="Times New Roman" w:eastAsia="Times New Roman" w:cs="Times New Roman"/>
          <w:spacing w:val="-2"/>
          <w:sz w:val="24"/>
          <w:szCs w:val="24"/>
        </w:rPr>
        <w:t>1.5m</w:t>
      </w:r>
      <w:r>
        <w:rPr>
          <w:rFonts w:ascii="Times New Roman" w:hAnsi="Times New Roman" w:eastAsia="Times New Roman" w:cs="Times New Roman"/>
          <w:spacing w:val="19"/>
          <w:w w:val="101"/>
          <w:sz w:val="24"/>
          <w:szCs w:val="24"/>
        </w:rPr>
        <w:t xml:space="preserve"> </w:t>
      </w:r>
      <w:r>
        <w:rPr>
          <w:spacing w:val="-2"/>
          <w:sz w:val="24"/>
          <w:szCs w:val="24"/>
        </w:rPr>
        <w:t>高处的工频电场强度最大值为</w:t>
      </w:r>
      <w:r>
        <w:rPr>
          <w:spacing w:val="-53"/>
          <w:sz w:val="24"/>
          <w:szCs w:val="24"/>
        </w:rPr>
        <w:t xml:space="preserve"> </w:t>
      </w:r>
      <w:r>
        <w:rPr>
          <w:rFonts w:ascii="Times New Roman" w:hAnsi="Times New Roman" w:eastAsia="Times New Roman" w:cs="Times New Roman"/>
          <w:spacing w:val="-2"/>
          <w:sz w:val="24"/>
          <w:szCs w:val="24"/>
        </w:rPr>
        <w:t>2.4295kV/m</w:t>
      </w:r>
      <w:r>
        <w:rPr>
          <w:rFonts w:ascii="Times New Roman" w:hAnsi="Times New Roman" w:eastAsia="Times New Roman" w:cs="Times New Roman"/>
          <w:spacing w:val="-30"/>
          <w:sz w:val="24"/>
          <w:szCs w:val="24"/>
        </w:rPr>
        <w:t xml:space="preserve"> </w:t>
      </w:r>
      <w:r>
        <w:rPr>
          <w:spacing w:val="-2"/>
          <w:sz w:val="24"/>
          <w:szCs w:val="24"/>
        </w:rPr>
        <w:t>，工频磁</w:t>
      </w:r>
      <w:r>
        <w:rPr>
          <w:sz w:val="24"/>
          <w:szCs w:val="24"/>
        </w:rPr>
        <w:t>感应强度最大值为</w:t>
      </w:r>
      <w:r>
        <w:rPr>
          <w:spacing w:val="-44"/>
          <w:sz w:val="24"/>
          <w:szCs w:val="24"/>
        </w:rPr>
        <w:t xml:space="preserve"> </w:t>
      </w:r>
      <w:r>
        <w:rPr>
          <w:rFonts w:ascii="Times New Roman" w:hAnsi="Times New Roman" w:eastAsia="Times New Roman" w:cs="Times New Roman"/>
          <w:sz w:val="24"/>
          <w:szCs w:val="24"/>
        </w:rPr>
        <w:t>26.2672μT</w:t>
      </w:r>
      <w:r>
        <w:rPr>
          <w:rFonts w:ascii="Times New Roman" w:hAnsi="Times New Roman" w:eastAsia="Times New Roman" w:cs="Times New Roman"/>
          <w:spacing w:val="-28"/>
          <w:sz w:val="24"/>
          <w:szCs w:val="24"/>
        </w:rPr>
        <w:t xml:space="preserve"> </w:t>
      </w:r>
      <w:r>
        <w:rPr>
          <w:sz w:val="24"/>
          <w:szCs w:val="24"/>
        </w:rPr>
        <w:t>，满足《电磁环境控制限值》（</w:t>
      </w:r>
      <w:r>
        <w:rPr>
          <w:rFonts w:ascii="Times New Roman" w:hAnsi="Times New Roman" w:eastAsia="Times New Roman" w:cs="Times New Roman"/>
          <w:sz w:val="24"/>
          <w:szCs w:val="24"/>
        </w:rPr>
        <w:t>GB8702-2014</w:t>
      </w:r>
      <w:r>
        <w:rPr>
          <w:sz w:val="24"/>
          <w:szCs w:val="24"/>
        </w:rPr>
        <w:t>）中</w:t>
      </w:r>
      <w:r>
        <w:rPr>
          <w:spacing w:val="1"/>
          <w:sz w:val="24"/>
          <w:szCs w:val="24"/>
        </w:rPr>
        <w:t>耕地、园地、牧草地、畜禽饲养地、养殖水面、道路等场所处</w:t>
      </w:r>
      <w:r>
        <w:rPr>
          <w:spacing w:val="-29"/>
          <w:sz w:val="24"/>
          <w:szCs w:val="24"/>
        </w:rPr>
        <w:t xml:space="preserve"> </w:t>
      </w:r>
      <w:r>
        <w:rPr>
          <w:rFonts w:ascii="Times New Roman" w:hAnsi="Times New Roman" w:eastAsia="Times New Roman" w:cs="Times New Roman"/>
          <w:spacing w:val="1"/>
          <w:sz w:val="24"/>
          <w:szCs w:val="24"/>
        </w:rPr>
        <w:t>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/m</w:t>
      </w:r>
      <w:r>
        <w:rPr>
          <w:rFonts w:ascii="Times New Roman" w:hAnsi="Times New Roman" w:eastAsia="Times New Roman" w:cs="Times New Roman"/>
          <w:spacing w:val="-28"/>
          <w:sz w:val="24"/>
          <w:szCs w:val="24"/>
        </w:rPr>
        <w:t xml:space="preserve"> </w:t>
      </w:r>
      <w:r>
        <w:rPr>
          <w:spacing w:val="1"/>
          <w:sz w:val="24"/>
          <w:szCs w:val="24"/>
        </w:rPr>
        <w:t>、</w:t>
      </w:r>
      <w:r>
        <w:rPr>
          <w:rFonts w:ascii="Times New Roman" w:hAnsi="Times New Roman" w:eastAsia="Times New Roman" w:cs="Times New Roman"/>
          <w:sz w:val="24"/>
          <w:szCs w:val="24"/>
        </w:rPr>
        <w:t>100μT</w:t>
      </w:r>
      <w:r>
        <w:rPr>
          <w:spacing w:val="-5"/>
          <w:sz w:val="24"/>
          <w:szCs w:val="24"/>
        </w:rPr>
        <w:t>的限值要求；导线对地面距离为</w:t>
      </w:r>
      <w:r>
        <w:rPr>
          <w:spacing w:val="-51"/>
          <w:sz w:val="24"/>
          <w:szCs w:val="24"/>
        </w:rPr>
        <w:t xml:space="preserve"> </w:t>
      </w:r>
      <w:r>
        <w:rPr>
          <w:rFonts w:ascii="Times New Roman" w:hAnsi="Times New Roman" w:eastAsia="Times New Roman" w:cs="Times New Roman"/>
          <w:spacing w:val="-5"/>
          <w:sz w:val="24"/>
          <w:szCs w:val="24"/>
        </w:rPr>
        <w:t>7.0m</w:t>
      </w:r>
      <w:r>
        <w:rPr>
          <w:rFonts w:ascii="Times New Roman" w:hAnsi="Times New Roman" w:eastAsia="Times New Roman" w:cs="Times New Roman"/>
          <w:spacing w:val="21"/>
          <w:w w:val="101"/>
          <w:sz w:val="24"/>
          <w:szCs w:val="24"/>
        </w:rPr>
        <w:t xml:space="preserve"> </w:t>
      </w:r>
      <w:r>
        <w:rPr>
          <w:spacing w:val="-5"/>
          <w:sz w:val="24"/>
          <w:szCs w:val="24"/>
        </w:rPr>
        <w:t>时，地面</w:t>
      </w:r>
      <w:r>
        <w:rPr>
          <w:spacing w:val="-32"/>
          <w:sz w:val="24"/>
          <w:szCs w:val="24"/>
        </w:rPr>
        <w:t xml:space="preserve"> </w:t>
      </w:r>
      <w:r>
        <w:rPr>
          <w:rFonts w:ascii="Times New Roman" w:hAnsi="Times New Roman" w:eastAsia="Times New Roman" w:cs="Times New Roman"/>
          <w:spacing w:val="-5"/>
          <w:sz w:val="24"/>
          <w:szCs w:val="24"/>
        </w:rPr>
        <w:t>1.5m</w:t>
      </w:r>
      <w:r>
        <w:rPr>
          <w:rFonts w:ascii="Times New Roman" w:hAnsi="Times New Roman" w:eastAsia="Times New Roman" w:cs="Times New Roman"/>
          <w:spacing w:val="17"/>
          <w:sz w:val="24"/>
          <w:szCs w:val="24"/>
        </w:rPr>
        <w:t xml:space="preserve"> </w:t>
      </w:r>
      <w:r>
        <w:rPr>
          <w:spacing w:val="-5"/>
          <w:sz w:val="24"/>
          <w:szCs w:val="24"/>
        </w:rPr>
        <w:t>高处的工频电场强度最</w:t>
      </w:r>
      <w:r>
        <w:rPr>
          <w:spacing w:val="-6"/>
          <w:sz w:val="24"/>
          <w:szCs w:val="24"/>
        </w:rPr>
        <w:t>大值为</w:t>
      </w:r>
      <w:r>
        <w:rPr>
          <w:spacing w:val="-15"/>
          <w:sz w:val="24"/>
          <w:szCs w:val="24"/>
        </w:rPr>
        <w:t xml:space="preserve"> </w:t>
      </w:r>
      <w:r>
        <w:rPr>
          <w:rFonts w:ascii="Times New Roman" w:hAnsi="Times New Roman" w:eastAsia="Times New Roman" w:cs="Times New Roman"/>
          <w:spacing w:val="-6"/>
          <w:sz w:val="24"/>
          <w:szCs w:val="24"/>
        </w:rPr>
        <w:t>1.8378kV/m</w:t>
      </w:r>
      <w:r>
        <w:rPr>
          <w:spacing w:val="-6"/>
          <w:sz w:val="24"/>
          <w:szCs w:val="24"/>
        </w:rPr>
        <w:t>，工频磁感应强度最大值为</w:t>
      </w:r>
      <w:r>
        <w:rPr>
          <w:spacing w:val="-55"/>
          <w:sz w:val="24"/>
          <w:szCs w:val="24"/>
        </w:rPr>
        <w:t xml:space="preserve"> </w:t>
      </w:r>
      <w:r>
        <w:rPr>
          <w:rFonts w:ascii="Times New Roman" w:hAnsi="Times New Roman" w:eastAsia="Times New Roman" w:cs="Times New Roman"/>
          <w:spacing w:val="-6"/>
          <w:sz w:val="24"/>
          <w:szCs w:val="24"/>
        </w:rPr>
        <w:t>20.6741μT</w:t>
      </w:r>
      <w:r>
        <w:rPr>
          <w:spacing w:val="-6"/>
          <w:sz w:val="24"/>
          <w:szCs w:val="24"/>
        </w:rPr>
        <w:t>，满足《电磁环境控制限值》</w:t>
      </w:r>
      <w:r>
        <w:rPr>
          <w:sz w:val="24"/>
          <w:szCs w:val="24"/>
        </w:rPr>
        <w:t xml:space="preserve"> </w:t>
      </w:r>
      <w:r>
        <w:rPr>
          <w:spacing w:val="-1"/>
          <w:sz w:val="24"/>
          <w:szCs w:val="24"/>
        </w:rPr>
        <w:t>（</w:t>
      </w:r>
      <w:r>
        <w:rPr>
          <w:rFonts w:ascii="Times New Roman" w:hAnsi="Times New Roman" w:eastAsia="Times New Roman" w:cs="Times New Roman"/>
          <w:spacing w:val="-1"/>
          <w:sz w:val="24"/>
          <w:szCs w:val="24"/>
        </w:rPr>
        <w:t>GB8702-2014</w:t>
      </w:r>
      <w:r>
        <w:rPr>
          <w:spacing w:val="-19"/>
          <w:sz w:val="24"/>
          <w:szCs w:val="24"/>
        </w:rPr>
        <w:t>）：</w:t>
      </w:r>
      <w:r>
        <w:rPr>
          <w:spacing w:val="-1"/>
          <w:sz w:val="24"/>
          <w:szCs w:val="24"/>
        </w:rPr>
        <w:t>工频磁感应强度公众曝露控制限值</w:t>
      </w:r>
      <w:r>
        <w:rPr>
          <w:rFonts w:ascii="Times New Roman" w:hAnsi="Times New Roman" w:eastAsia="Times New Roman" w:cs="Times New Roman"/>
          <w:spacing w:val="-1"/>
          <w:sz w:val="24"/>
          <w:szCs w:val="24"/>
        </w:rPr>
        <w:t>≤100μT</w:t>
      </w:r>
      <w:r>
        <w:rPr>
          <w:spacing w:val="-1"/>
          <w:sz w:val="24"/>
          <w:szCs w:val="24"/>
        </w:rPr>
        <w:t>，工频</w:t>
      </w:r>
      <w:r>
        <w:rPr>
          <w:spacing w:val="-2"/>
          <w:sz w:val="24"/>
          <w:szCs w:val="24"/>
        </w:rPr>
        <w:t>电场强度公</w:t>
      </w:r>
      <w:r>
        <w:rPr>
          <w:spacing w:val="-3"/>
          <w:sz w:val="24"/>
          <w:szCs w:val="24"/>
        </w:rPr>
        <w:t>众曝露控制限值</w:t>
      </w:r>
      <w:r>
        <w:rPr>
          <w:rFonts w:ascii="Times New Roman" w:hAnsi="Times New Roman" w:eastAsia="Times New Roman" w:cs="Times New Roman"/>
          <w:spacing w:val="-3"/>
          <w:sz w:val="24"/>
          <w:szCs w:val="24"/>
        </w:rPr>
        <w:t>≤4kV/m</w:t>
      </w:r>
      <w:r>
        <w:rPr>
          <w:rFonts w:ascii="Times New Roman" w:hAnsi="Times New Roman" w:eastAsia="Times New Roman" w:cs="Times New Roman"/>
          <w:spacing w:val="40"/>
          <w:sz w:val="24"/>
          <w:szCs w:val="24"/>
        </w:rPr>
        <w:t xml:space="preserve"> </w:t>
      </w:r>
      <w:r>
        <w:rPr>
          <w:spacing w:val="-3"/>
          <w:sz w:val="24"/>
          <w:szCs w:val="24"/>
        </w:rPr>
        <w:t>的要求。</w:t>
      </w:r>
    </w:p>
    <w:p w14:paraId="77D5A252">
      <w:pPr>
        <w:pStyle w:val="2"/>
        <w:spacing w:before="10" w:line="360" w:lineRule="auto"/>
        <w:ind w:left="19" w:right="44" w:firstLine="485"/>
        <w:jc w:val="both"/>
        <w:rPr>
          <w:sz w:val="24"/>
          <w:szCs w:val="24"/>
        </w:rPr>
      </w:pPr>
      <w:r>
        <w:rPr>
          <w:spacing w:val="-7"/>
          <w:sz w:val="24"/>
          <w:szCs w:val="24"/>
        </w:rPr>
        <w:t>本项目</w:t>
      </w:r>
      <w:r>
        <w:rPr>
          <w:spacing w:val="-32"/>
          <w:sz w:val="24"/>
          <w:szCs w:val="24"/>
        </w:rPr>
        <w:t xml:space="preserve"> </w:t>
      </w:r>
      <w:r>
        <w:rPr>
          <w:rFonts w:ascii="Times New Roman" w:hAnsi="Times New Roman" w:eastAsia="Times New Roman" w:cs="Times New Roman"/>
          <w:spacing w:val="-7"/>
          <w:sz w:val="24"/>
          <w:szCs w:val="24"/>
        </w:rPr>
        <w:t xml:space="preserve">110kV </w:t>
      </w:r>
      <w:r>
        <w:rPr>
          <w:spacing w:val="-7"/>
          <w:sz w:val="24"/>
          <w:szCs w:val="24"/>
        </w:rPr>
        <w:t>双回垂直排列线路（单边挂线）在采用最</w:t>
      </w:r>
      <w:r>
        <w:rPr>
          <w:spacing w:val="-8"/>
          <w:sz w:val="24"/>
          <w:szCs w:val="24"/>
        </w:rPr>
        <w:t>不利塔型</w:t>
      </w:r>
      <w:r>
        <w:rPr>
          <w:spacing w:val="-32"/>
          <w:sz w:val="24"/>
          <w:szCs w:val="24"/>
        </w:rPr>
        <w:t xml:space="preserve"> </w:t>
      </w:r>
      <w:r>
        <w:rPr>
          <w:rFonts w:ascii="Times New Roman" w:hAnsi="Times New Roman" w:eastAsia="Times New Roman" w:cs="Times New Roman"/>
          <w:spacing w:val="-8"/>
          <w:sz w:val="24"/>
          <w:szCs w:val="24"/>
        </w:rPr>
        <w:t>1C2X1-JD</w:t>
      </w:r>
      <w:r>
        <w:rPr>
          <w:spacing w:val="-8"/>
          <w:sz w:val="24"/>
          <w:szCs w:val="24"/>
        </w:rPr>
        <w:t>，</w:t>
      </w:r>
      <w:r>
        <w:rPr>
          <w:spacing w:val="-10"/>
          <w:sz w:val="24"/>
          <w:szCs w:val="24"/>
        </w:rPr>
        <w:t>导</w:t>
      </w:r>
      <w:r>
        <w:rPr>
          <w:spacing w:val="-61"/>
          <w:sz w:val="24"/>
          <w:szCs w:val="24"/>
        </w:rPr>
        <w:t xml:space="preserve"> </w:t>
      </w:r>
      <w:r>
        <w:rPr>
          <w:spacing w:val="-10"/>
          <w:sz w:val="24"/>
          <w:szCs w:val="24"/>
        </w:rPr>
        <w:t>线</w:t>
      </w:r>
      <w:r>
        <w:rPr>
          <w:spacing w:val="-71"/>
          <w:sz w:val="24"/>
          <w:szCs w:val="24"/>
        </w:rPr>
        <w:t xml:space="preserve"> </w:t>
      </w:r>
      <w:r>
        <w:rPr>
          <w:spacing w:val="-10"/>
          <w:sz w:val="24"/>
          <w:szCs w:val="24"/>
        </w:rPr>
        <w:t>对</w:t>
      </w:r>
      <w:r>
        <w:rPr>
          <w:spacing w:val="-67"/>
          <w:sz w:val="24"/>
          <w:szCs w:val="24"/>
        </w:rPr>
        <w:t xml:space="preserve"> </w:t>
      </w:r>
      <w:r>
        <w:rPr>
          <w:spacing w:val="-10"/>
          <w:sz w:val="24"/>
          <w:szCs w:val="24"/>
        </w:rPr>
        <w:t>地</w:t>
      </w:r>
      <w:r>
        <w:rPr>
          <w:spacing w:val="-69"/>
          <w:sz w:val="24"/>
          <w:szCs w:val="24"/>
        </w:rPr>
        <w:t xml:space="preserve"> </w:t>
      </w:r>
      <w:r>
        <w:rPr>
          <w:spacing w:val="-10"/>
          <w:sz w:val="24"/>
          <w:szCs w:val="24"/>
        </w:rPr>
        <w:t>面</w:t>
      </w:r>
      <w:r>
        <w:rPr>
          <w:spacing w:val="-69"/>
          <w:sz w:val="24"/>
          <w:szCs w:val="24"/>
        </w:rPr>
        <w:t xml:space="preserve"> </w:t>
      </w:r>
      <w:r>
        <w:rPr>
          <w:spacing w:val="-10"/>
          <w:sz w:val="24"/>
          <w:szCs w:val="24"/>
        </w:rPr>
        <w:t>距</w:t>
      </w:r>
      <w:r>
        <w:rPr>
          <w:spacing w:val="-66"/>
          <w:sz w:val="24"/>
          <w:szCs w:val="24"/>
        </w:rPr>
        <w:t xml:space="preserve"> </w:t>
      </w:r>
      <w:r>
        <w:rPr>
          <w:spacing w:val="-10"/>
          <w:sz w:val="24"/>
          <w:szCs w:val="24"/>
        </w:rPr>
        <w:t>离</w:t>
      </w:r>
      <w:r>
        <w:rPr>
          <w:spacing w:val="-64"/>
          <w:sz w:val="24"/>
          <w:szCs w:val="24"/>
        </w:rPr>
        <w:t xml:space="preserve"> </w:t>
      </w:r>
      <w:r>
        <w:rPr>
          <w:spacing w:val="-10"/>
          <w:sz w:val="24"/>
          <w:szCs w:val="24"/>
        </w:rPr>
        <w:t xml:space="preserve">为 </w:t>
      </w:r>
      <w:r>
        <w:rPr>
          <w:rFonts w:ascii="Times New Roman" w:hAnsi="Times New Roman" w:eastAsia="Times New Roman" w:cs="Times New Roman"/>
          <w:spacing w:val="-10"/>
          <w:sz w:val="24"/>
          <w:szCs w:val="24"/>
        </w:rPr>
        <w:t xml:space="preserve">6.0m  </w:t>
      </w:r>
      <w:r>
        <w:rPr>
          <w:spacing w:val="-10"/>
          <w:sz w:val="24"/>
          <w:szCs w:val="24"/>
        </w:rPr>
        <w:t>时</w:t>
      </w:r>
      <w:r>
        <w:rPr>
          <w:spacing w:val="-48"/>
          <w:sz w:val="24"/>
          <w:szCs w:val="24"/>
        </w:rPr>
        <w:t xml:space="preserve"> </w:t>
      </w:r>
      <w:r>
        <w:rPr>
          <w:spacing w:val="-10"/>
          <w:sz w:val="24"/>
          <w:szCs w:val="24"/>
        </w:rPr>
        <w:t>，</w:t>
      </w:r>
      <w:r>
        <w:rPr>
          <w:spacing w:val="-70"/>
          <w:sz w:val="24"/>
          <w:szCs w:val="24"/>
        </w:rPr>
        <w:t xml:space="preserve"> </w:t>
      </w:r>
      <w:r>
        <w:rPr>
          <w:spacing w:val="-10"/>
          <w:sz w:val="24"/>
          <w:szCs w:val="24"/>
        </w:rPr>
        <w:t>地</w:t>
      </w:r>
      <w:r>
        <w:rPr>
          <w:spacing w:val="-66"/>
          <w:sz w:val="24"/>
          <w:szCs w:val="24"/>
        </w:rPr>
        <w:t xml:space="preserve"> </w:t>
      </w:r>
      <w:r>
        <w:rPr>
          <w:spacing w:val="-10"/>
          <w:sz w:val="24"/>
          <w:szCs w:val="24"/>
        </w:rPr>
        <w:t xml:space="preserve">面 </w:t>
      </w:r>
      <w:r>
        <w:rPr>
          <w:rFonts w:ascii="Times New Roman" w:hAnsi="Times New Roman" w:eastAsia="Times New Roman" w:cs="Times New Roman"/>
          <w:spacing w:val="-10"/>
          <w:sz w:val="24"/>
          <w:szCs w:val="24"/>
        </w:rPr>
        <w:t xml:space="preserve">1.5m  </w:t>
      </w:r>
      <w:r>
        <w:rPr>
          <w:spacing w:val="-10"/>
          <w:sz w:val="24"/>
          <w:szCs w:val="24"/>
        </w:rPr>
        <w:t>高</w:t>
      </w:r>
      <w:r>
        <w:rPr>
          <w:spacing w:val="-63"/>
          <w:sz w:val="24"/>
          <w:szCs w:val="24"/>
        </w:rPr>
        <w:t xml:space="preserve"> </w:t>
      </w:r>
      <w:r>
        <w:rPr>
          <w:spacing w:val="-10"/>
          <w:sz w:val="24"/>
          <w:szCs w:val="24"/>
        </w:rPr>
        <w:t>处</w:t>
      </w:r>
      <w:r>
        <w:rPr>
          <w:spacing w:val="-50"/>
          <w:sz w:val="24"/>
          <w:szCs w:val="24"/>
        </w:rPr>
        <w:t xml:space="preserve"> </w:t>
      </w:r>
      <w:r>
        <w:rPr>
          <w:spacing w:val="-10"/>
          <w:sz w:val="24"/>
          <w:szCs w:val="24"/>
        </w:rPr>
        <w:t>的</w:t>
      </w:r>
      <w:r>
        <w:rPr>
          <w:spacing w:val="-64"/>
          <w:sz w:val="24"/>
          <w:szCs w:val="24"/>
        </w:rPr>
        <w:t xml:space="preserve"> </w:t>
      </w:r>
      <w:r>
        <w:rPr>
          <w:spacing w:val="-10"/>
          <w:sz w:val="24"/>
          <w:szCs w:val="24"/>
        </w:rPr>
        <w:t>工</w:t>
      </w:r>
      <w:r>
        <w:rPr>
          <w:spacing w:val="-69"/>
          <w:sz w:val="24"/>
          <w:szCs w:val="24"/>
        </w:rPr>
        <w:t xml:space="preserve"> </w:t>
      </w:r>
      <w:r>
        <w:rPr>
          <w:spacing w:val="-10"/>
          <w:sz w:val="24"/>
          <w:szCs w:val="24"/>
        </w:rPr>
        <w:t>频</w:t>
      </w:r>
      <w:r>
        <w:rPr>
          <w:spacing w:val="-40"/>
          <w:sz w:val="24"/>
          <w:szCs w:val="24"/>
        </w:rPr>
        <w:t xml:space="preserve"> </w:t>
      </w:r>
      <w:r>
        <w:rPr>
          <w:spacing w:val="-10"/>
          <w:sz w:val="24"/>
          <w:szCs w:val="24"/>
        </w:rPr>
        <w:t>电</w:t>
      </w:r>
      <w:r>
        <w:rPr>
          <w:spacing w:val="-71"/>
          <w:sz w:val="24"/>
          <w:szCs w:val="24"/>
        </w:rPr>
        <w:t xml:space="preserve"> </w:t>
      </w:r>
      <w:r>
        <w:rPr>
          <w:spacing w:val="-10"/>
          <w:sz w:val="24"/>
          <w:szCs w:val="24"/>
        </w:rPr>
        <w:t>场</w:t>
      </w:r>
      <w:r>
        <w:rPr>
          <w:spacing w:val="-61"/>
          <w:sz w:val="24"/>
          <w:szCs w:val="24"/>
        </w:rPr>
        <w:t xml:space="preserve"> </w:t>
      </w:r>
      <w:r>
        <w:rPr>
          <w:spacing w:val="-10"/>
          <w:sz w:val="24"/>
          <w:szCs w:val="24"/>
        </w:rPr>
        <w:t>强</w:t>
      </w:r>
      <w:r>
        <w:rPr>
          <w:spacing w:val="-71"/>
          <w:sz w:val="24"/>
          <w:szCs w:val="24"/>
        </w:rPr>
        <w:t xml:space="preserve"> </w:t>
      </w:r>
      <w:r>
        <w:rPr>
          <w:spacing w:val="-10"/>
          <w:sz w:val="24"/>
          <w:szCs w:val="24"/>
        </w:rPr>
        <w:t>度</w:t>
      </w:r>
      <w:r>
        <w:rPr>
          <w:spacing w:val="-65"/>
          <w:sz w:val="24"/>
          <w:szCs w:val="24"/>
        </w:rPr>
        <w:t xml:space="preserve"> </w:t>
      </w:r>
      <w:r>
        <w:rPr>
          <w:spacing w:val="-10"/>
          <w:sz w:val="24"/>
          <w:szCs w:val="24"/>
        </w:rPr>
        <w:t>最</w:t>
      </w:r>
      <w:r>
        <w:rPr>
          <w:spacing w:val="-67"/>
          <w:sz w:val="24"/>
          <w:szCs w:val="24"/>
        </w:rPr>
        <w:t xml:space="preserve"> </w:t>
      </w:r>
      <w:r>
        <w:rPr>
          <w:spacing w:val="-10"/>
          <w:sz w:val="24"/>
          <w:szCs w:val="24"/>
        </w:rPr>
        <w:t>大</w:t>
      </w:r>
      <w:r>
        <w:rPr>
          <w:spacing w:val="-67"/>
          <w:sz w:val="24"/>
          <w:szCs w:val="24"/>
        </w:rPr>
        <w:t xml:space="preserve"> </w:t>
      </w:r>
      <w:r>
        <w:rPr>
          <w:spacing w:val="-10"/>
          <w:sz w:val="24"/>
          <w:szCs w:val="24"/>
        </w:rPr>
        <w:t>值</w:t>
      </w:r>
      <w:r>
        <w:rPr>
          <w:spacing w:val="-65"/>
          <w:sz w:val="24"/>
          <w:szCs w:val="24"/>
        </w:rPr>
        <w:t xml:space="preserve"> </w:t>
      </w:r>
      <w:r>
        <w:rPr>
          <w:spacing w:val="-10"/>
          <w:sz w:val="24"/>
          <w:szCs w:val="24"/>
        </w:rPr>
        <w:t>为</w:t>
      </w:r>
      <w:r>
        <w:rPr>
          <w:rFonts w:ascii="Times New Roman" w:hAnsi="Times New Roman" w:eastAsia="Times New Roman" w:cs="Times New Roman"/>
          <w:spacing w:val="-2"/>
          <w:sz w:val="24"/>
          <w:szCs w:val="24"/>
        </w:rPr>
        <w:t>2.3257kV/m</w:t>
      </w:r>
      <w:r>
        <w:rPr>
          <w:rFonts w:ascii="Times New Roman" w:hAnsi="Times New Roman" w:eastAsia="Times New Roman" w:cs="Times New Roman"/>
          <w:spacing w:val="-32"/>
          <w:sz w:val="24"/>
          <w:szCs w:val="24"/>
        </w:rPr>
        <w:t xml:space="preserve"> </w:t>
      </w:r>
      <w:r>
        <w:rPr>
          <w:spacing w:val="-2"/>
          <w:sz w:val="24"/>
          <w:szCs w:val="24"/>
        </w:rPr>
        <w:t>，工频磁感应强度最大值为</w:t>
      </w:r>
      <w:r>
        <w:rPr>
          <w:spacing w:val="-32"/>
          <w:sz w:val="24"/>
          <w:szCs w:val="24"/>
        </w:rPr>
        <w:t xml:space="preserve"> </w:t>
      </w:r>
      <w:r>
        <w:rPr>
          <w:rFonts w:ascii="Times New Roman" w:hAnsi="Times New Roman" w:eastAsia="Times New Roman" w:cs="Times New Roman"/>
          <w:spacing w:val="-2"/>
          <w:sz w:val="24"/>
          <w:szCs w:val="24"/>
        </w:rPr>
        <w:t>17.8995μ</w:t>
      </w:r>
      <w:r>
        <w:rPr>
          <w:rFonts w:ascii="Times New Roman" w:hAnsi="Times New Roman" w:eastAsia="Times New Roman" w:cs="Times New Roman"/>
          <w:spacing w:val="-3"/>
          <w:sz w:val="24"/>
          <w:szCs w:val="24"/>
        </w:rPr>
        <w:t>T</w:t>
      </w:r>
      <w:r>
        <w:rPr>
          <w:rFonts w:ascii="Times New Roman" w:hAnsi="Times New Roman" w:eastAsia="Times New Roman" w:cs="Times New Roman"/>
          <w:spacing w:val="-31"/>
          <w:sz w:val="24"/>
          <w:szCs w:val="24"/>
        </w:rPr>
        <w:t xml:space="preserve"> </w:t>
      </w:r>
      <w:r>
        <w:rPr>
          <w:spacing w:val="-3"/>
          <w:sz w:val="24"/>
          <w:szCs w:val="24"/>
        </w:rPr>
        <w:t>，满足《电磁环境控制限值》</w:t>
      </w:r>
      <w:r>
        <w:rPr>
          <w:sz w:val="24"/>
          <w:szCs w:val="24"/>
        </w:rPr>
        <w:t xml:space="preserve"> </w:t>
      </w:r>
      <w:r>
        <w:rPr>
          <w:spacing w:val="-1"/>
          <w:sz w:val="24"/>
          <w:szCs w:val="24"/>
        </w:rPr>
        <w:t>（</w:t>
      </w:r>
      <w:r>
        <w:rPr>
          <w:rFonts w:ascii="Times New Roman" w:hAnsi="Times New Roman" w:eastAsia="Times New Roman" w:cs="Times New Roman"/>
          <w:spacing w:val="-1"/>
          <w:sz w:val="24"/>
          <w:szCs w:val="24"/>
        </w:rPr>
        <w:t>GB8702-2014</w:t>
      </w:r>
      <w:r>
        <w:rPr>
          <w:spacing w:val="-1"/>
          <w:sz w:val="24"/>
          <w:szCs w:val="24"/>
        </w:rPr>
        <w:t>）中耕地、园地、牧草地、畜禽饲养地、养殖水面、道路等场所</w:t>
      </w:r>
      <w:r>
        <w:rPr>
          <w:spacing w:val="-3"/>
          <w:sz w:val="24"/>
          <w:szCs w:val="24"/>
        </w:rPr>
        <w:t>处</w:t>
      </w:r>
      <w:r>
        <w:rPr>
          <w:spacing w:val="-32"/>
          <w:sz w:val="24"/>
          <w:szCs w:val="24"/>
        </w:rPr>
        <w:t xml:space="preserve"> </w:t>
      </w:r>
      <w:r>
        <w:rPr>
          <w:rFonts w:ascii="Times New Roman" w:hAnsi="Times New Roman" w:eastAsia="Times New Roman" w:cs="Times New Roman"/>
          <w:spacing w:val="-3"/>
          <w:sz w:val="24"/>
          <w:szCs w:val="24"/>
        </w:rPr>
        <w:t>10kV/m</w:t>
      </w:r>
      <w:r>
        <w:rPr>
          <w:rFonts w:ascii="Times New Roman" w:hAnsi="Times New Roman" w:eastAsia="Times New Roman" w:cs="Times New Roman"/>
          <w:spacing w:val="-31"/>
          <w:sz w:val="24"/>
          <w:szCs w:val="24"/>
        </w:rPr>
        <w:t xml:space="preserve"> </w:t>
      </w:r>
      <w:r>
        <w:rPr>
          <w:spacing w:val="-3"/>
          <w:sz w:val="24"/>
          <w:szCs w:val="24"/>
        </w:rPr>
        <w:t>、</w:t>
      </w:r>
      <w:r>
        <w:rPr>
          <w:rFonts w:ascii="Times New Roman" w:hAnsi="Times New Roman" w:eastAsia="Times New Roman" w:cs="Times New Roman"/>
          <w:spacing w:val="-3"/>
          <w:sz w:val="24"/>
          <w:szCs w:val="24"/>
        </w:rPr>
        <w:t>100μT</w:t>
      </w:r>
      <w:r>
        <w:rPr>
          <w:rFonts w:ascii="Times New Roman" w:hAnsi="Times New Roman" w:eastAsia="Times New Roman" w:cs="Times New Roman"/>
          <w:spacing w:val="31"/>
          <w:w w:val="101"/>
          <w:sz w:val="24"/>
          <w:szCs w:val="24"/>
        </w:rPr>
        <w:t xml:space="preserve"> </w:t>
      </w:r>
      <w:r>
        <w:rPr>
          <w:spacing w:val="-3"/>
          <w:sz w:val="24"/>
          <w:szCs w:val="24"/>
        </w:rPr>
        <w:t>的限值要求；导线对</w:t>
      </w:r>
      <w:r>
        <w:rPr>
          <w:spacing w:val="-4"/>
          <w:sz w:val="24"/>
          <w:szCs w:val="24"/>
        </w:rPr>
        <w:t>地面距离为</w:t>
      </w:r>
      <w:r>
        <w:rPr>
          <w:spacing w:val="-49"/>
          <w:sz w:val="24"/>
          <w:szCs w:val="24"/>
        </w:rPr>
        <w:t xml:space="preserve"> </w:t>
      </w:r>
      <w:r>
        <w:rPr>
          <w:rFonts w:ascii="Times New Roman" w:hAnsi="Times New Roman" w:eastAsia="Times New Roman" w:cs="Times New Roman"/>
          <w:spacing w:val="-4"/>
          <w:sz w:val="24"/>
          <w:szCs w:val="24"/>
        </w:rPr>
        <w:t>7.0m</w:t>
      </w:r>
      <w:r>
        <w:rPr>
          <w:rFonts w:ascii="Times New Roman" w:hAnsi="Times New Roman" w:eastAsia="Times New Roman" w:cs="Times New Roman"/>
          <w:spacing w:val="24"/>
          <w:sz w:val="24"/>
          <w:szCs w:val="24"/>
        </w:rPr>
        <w:t xml:space="preserve"> </w:t>
      </w:r>
      <w:r>
        <w:rPr>
          <w:spacing w:val="-4"/>
          <w:sz w:val="24"/>
          <w:szCs w:val="24"/>
        </w:rPr>
        <w:t>时，地面</w:t>
      </w:r>
      <w:r>
        <w:rPr>
          <w:spacing w:val="-30"/>
          <w:sz w:val="24"/>
          <w:szCs w:val="24"/>
        </w:rPr>
        <w:t xml:space="preserve"> </w:t>
      </w:r>
      <w:r>
        <w:rPr>
          <w:rFonts w:ascii="Times New Roman" w:hAnsi="Times New Roman" w:eastAsia="Times New Roman" w:cs="Times New Roman"/>
          <w:spacing w:val="-4"/>
          <w:sz w:val="24"/>
          <w:szCs w:val="24"/>
        </w:rPr>
        <w:t>1.5m</w:t>
      </w:r>
      <w:r>
        <w:rPr>
          <w:rFonts w:ascii="Times New Roman" w:hAnsi="Times New Roman" w:eastAsia="Times New Roman" w:cs="Times New Roman"/>
          <w:spacing w:val="17"/>
          <w:sz w:val="24"/>
          <w:szCs w:val="24"/>
        </w:rPr>
        <w:t xml:space="preserve"> </w:t>
      </w:r>
      <w:r>
        <w:rPr>
          <w:spacing w:val="-4"/>
          <w:sz w:val="24"/>
          <w:szCs w:val="24"/>
        </w:rPr>
        <w:t>高处的</w:t>
      </w:r>
    </w:p>
    <w:p w14:paraId="044D4FDC">
      <w:pPr>
        <w:spacing w:line="360" w:lineRule="auto"/>
        <w:rPr>
          <w:sz w:val="24"/>
          <w:szCs w:val="24"/>
        </w:rPr>
        <w:sectPr>
          <w:footerReference r:id="rId206" w:type="default"/>
          <w:pgSz w:w="11906" w:h="16839"/>
          <w:pgMar w:top="400" w:right="1693" w:bottom="1147" w:left="1785" w:header="0" w:footer="960" w:gutter="0"/>
          <w:cols w:space="720" w:num="1"/>
        </w:sectPr>
      </w:pPr>
    </w:p>
    <w:p w14:paraId="075A8B9D">
      <w:pPr>
        <w:spacing w:line="267" w:lineRule="auto"/>
        <w:rPr>
          <w:rFonts w:ascii="Arial"/>
          <w:sz w:val="21"/>
        </w:rPr>
      </w:pPr>
    </w:p>
    <w:p w14:paraId="76928CF6">
      <w:pPr>
        <w:spacing w:line="267" w:lineRule="auto"/>
        <w:rPr>
          <w:rFonts w:ascii="Arial"/>
          <w:sz w:val="21"/>
        </w:rPr>
      </w:pPr>
    </w:p>
    <w:p w14:paraId="69BFD4C4">
      <w:pPr>
        <w:spacing w:line="267" w:lineRule="auto"/>
        <w:rPr>
          <w:rFonts w:ascii="Arial"/>
          <w:sz w:val="21"/>
        </w:rPr>
      </w:pPr>
    </w:p>
    <w:p w14:paraId="7EE93A18">
      <w:pPr>
        <w:spacing w:line="268" w:lineRule="auto"/>
        <w:rPr>
          <w:rFonts w:ascii="Arial"/>
          <w:sz w:val="21"/>
        </w:rPr>
      </w:pPr>
    </w:p>
    <w:p w14:paraId="49980C0F">
      <w:pPr>
        <w:pStyle w:val="2"/>
        <w:spacing w:before="78" w:line="358" w:lineRule="auto"/>
        <w:ind w:left="16" w:right="80" w:firstLine="9"/>
        <w:jc w:val="both"/>
        <w:rPr>
          <w:sz w:val="24"/>
          <w:szCs w:val="24"/>
        </w:rPr>
      </w:pPr>
      <w:r>
        <w:rPr>
          <w:spacing w:val="-3"/>
          <w:sz w:val="24"/>
          <w:szCs w:val="24"/>
        </w:rPr>
        <w:t>工频电场强度最大值为</w:t>
      </w:r>
      <w:r>
        <w:rPr>
          <w:spacing w:val="-32"/>
          <w:sz w:val="24"/>
          <w:szCs w:val="24"/>
        </w:rPr>
        <w:t xml:space="preserve"> </w:t>
      </w:r>
      <w:r>
        <w:rPr>
          <w:rFonts w:ascii="Times New Roman" w:hAnsi="Times New Roman" w:eastAsia="Times New Roman" w:cs="Times New Roman"/>
          <w:spacing w:val="-3"/>
          <w:sz w:val="24"/>
          <w:szCs w:val="24"/>
        </w:rPr>
        <w:t>1.8003kV/m</w:t>
      </w:r>
      <w:r>
        <w:rPr>
          <w:spacing w:val="-3"/>
          <w:sz w:val="24"/>
          <w:szCs w:val="24"/>
        </w:rPr>
        <w:t>，工频磁感应强度最大值</w:t>
      </w:r>
      <w:r>
        <w:rPr>
          <w:spacing w:val="-4"/>
          <w:sz w:val="24"/>
          <w:szCs w:val="24"/>
        </w:rPr>
        <w:t>为</w:t>
      </w:r>
      <w:r>
        <w:rPr>
          <w:spacing w:val="-32"/>
          <w:sz w:val="24"/>
          <w:szCs w:val="24"/>
        </w:rPr>
        <w:t xml:space="preserve"> </w:t>
      </w:r>
      <w:r>
        <w:rPr>
          <w:rFonts w:ascii="Times New Roman" w:hAnsi="Times New Roman" w:eastAsia="Times New Roman" w:cs="Times New Roman"/>
          <w:spacing w:val="-4"/>
          <w:sz w:val="24"/>
          <w:szCs w:val="24"/>
        </w:rPr>
        <w:t>13.5182μT</w:t>
      </w:r>
      <w:r>
        <w:rPr>
          <w:spacing w:val="-4"/>
          <w:sz w:val="24"/>
          <w:szCs w:val="24"/>
        </w:rPr>
        <w:t>，满足</w:t>
      </w:r>
      <w:r>
        <w:rPr>
          <w:spacing w:val="5"/>
          <w:sz w:val="24"/>
          <w:szCs w:val="24"/>
        </w:rPr>
        <w:t>《电磁环境控制限值》（</w:t>
      </w:r>
      <w:r>
        <w:rPr>
          <w:rFonts w:ascii="Times New Roman" w:hAnsi="Times New Roman" w:eastAsia="Times New Roman" w:cs="Times New Roman"/>
          <w:sz w:val="24"/>
          <w:szCs w:val="24"/>
        </w:rPr>
        <w:t>GB</w:t>
      </w:r>
      <w:r>
        <w:rPr>
          <w:rFonts w:ascii="Times New Roman" w:hAnsi="Times New Roman" w:eastAsia="Times New Roman" w:cs="Times New Roman"/>
          <w:spacing w:val="5"/>
          <w:sz w:val="24"/>
          <w:szCs w:val="24"/>
        </w:rPr>
        <w:t>8702-2014</w:t>
      </w:r>
      <w:r>
        <w:rPr>
          <w:spacing w:val="18"/>
          <w:sz w:val="24"/>
          <w:szCs w:val="24"/>
        </w:rPr>
        <w:t>）：</w:t>
      </w:r>
      <w:r>
        <w:rPr>
          <w:spacing w:val="5"/>
          <w:sz w:val="24"/>
          <w:szCs w:val="24"/>
        </w:rPr>
        <w:t>工频磁感应强度公众曝露控</w:t>
      </w:r>
      <w:r>
        <w:rPr>
          <w:spacing w:val="4"/>
          <w:sz w:val="24"/>
          <w:szCs w:val="24"/>
        </w:rPr>
        <w:t>制限值</w:t>
      </w:r>
      <w:r>
        <w:rPr>
          <w:rFonts w:ascii="Times New Roman" w:hAnsi="Times New Roman" w:eastAsia="Times New Roman" w:cs="Times New Roman"/>
          <w:spacing w:val="-2"/>
          <w:sz w:val="24"/>
          <w:szCs w:val="24"/>
        </w:rPr>
        <w:t>≤100μT</w:t>
      </w:r>
      <w:r>
        <w:rPr>
          <w:rFonts w:ascii="Times New Roman" w:hAnsi="Times New Roman" w:eastAsia="Times New Roman" w:cs="Times New Roman"/>
          <w:spacing w:val="-30"/>
          <w:sz w:val="24"/>
          <w:szCs w:val="24"/>
        </w:rPr>
        <w:t xml:space="preserve"> </w:t>
      </w:r>
      <w:r>
        <w:rPr>
          <w:spacing w:val="-2"/>
          <w:sz w:val="24"/>
          <w:szCs w:val="24"/>
        </w:rPr>
        <w:t>，工频电场强度公众曝露控制限值</w:t>
      </w:r>
      <w:r>
        <w:rPr>
          <w:rFonts w:ascii="Times New Roman" w:hAnsi="Times New Roman" w:eastAsia="Times New Roman" w:cs="Times New Roman"/>
          <w:spacing w:val="-2"/>
          <w:sz w:val="24"/>
          <w:szCs w:val="24"/>
        </w:rPr>
        <w:t>≤4kV/m</w:t>
      </w:r>
      <w:r>
        <w:rPr>
          <w:rFonts w:ascii="Times New Roman" w:hAnsi="Times New Roman" w:eastAsia="Times New Roman" w:cs="Times New Roman"/>
          <w:spacing w:val="27"/>
          <w:sz w:val="24"/>
          <w:szCs w:val="24"/>
        </w:rPr>
        <w:t xml:space="preserve"> </w:t>
      </w:r>
      <w:r>
        <w:rPr>
          <w:spacing w:val="-2"/>
          <w:sz w:val="24"/>
          <w:szCs w:val="24"/>
        </w:rPr>
        <w:t>的要求。</w:t>
      </w:r>
    </w:p>
    <w:p w14:paraId="199ACA7A">
      <w:pPr>
        <w:pStyle w:val="2"/>
        <w:spacing w:before="7" w:line="220" w:lineRule="auto"/>
        <w:ind w:left="531"/>
        <w:rPr>
          <w:sz w:val="24"/>
          <w:szCs w:val="24"/>
        </w:rPr>
      </w:pPr>
      <w:r>
        <w:rPr>
          <w:b/>
          <w:bCs/>
          <w:spacing w:val="-5"/>
          <w:sz w:val="24"/>
          <w:szCs w:val="24"/>
        </w:rPr>
        <w:t>电磁环境保护目标预测结论：</w:t>
      </w:r>
    </w:p>
    <w:p w14:paraId="2728881B">
      <w:pPr>
        <w:pStyle w:val="2"/>
        <w:spacing w:before="185" w:line="359" w:lineRule="auto"/>
        <w:ind w:left="23" w:firstLine="479"/>
        <w:jc w:val="both"/>
        <w:rPr>
          <w:sz w:val="24"/>
          <w:szCs w:val="24"/>
        </w:rPr>
      </w:pPr>
      <w:r>
        <w:rPr>
          <w:spacing w:val="4"/>
          <w:sz w:val="24"/>
          <w:szCs w:val="24"/>
        </w:rPr>
        <w:t>输电线路附近环境保护目标的电磁环境影响都满足《电磁环境控制限值》</w:t>
      </w:r>
      <w:r>
        <w:rPr>
          <w:sz w:val="24"/>
          <w:szCs w:val="24"/>
        </w:rPr>
        <w:t xml:space="preserve"> </w:t>
      </w:r>
      <w:r>
        <w:rPr>
          <w:spacing w:val="1"/>
          <w:sz w:val="24"/>
          <w:szCs w:val="24"/>
        </w:rPr>
        <w:t>（</w:t>
      </w:r>
      <w:r>
        <w:rPr>
          <w:rFonts w:ascii="Times New Roman" w:hAnsi="Times New Roman" w:eastAsia="Times New Roman" w:cs="Times New Roman"/>
          <w:sz w:val="24"/>
          <w:szCs w:val="24"/>
        </w:rPr>
        <w:t>GB</w:t>
      </w:r>
      <w:r>
        <w:rPr>
          <w:rFonts w:ascii="Times New Roman" w:hAnsi="Times New Roman" w:eastAsia="Times New Roman" w:cs="Times New Roman"/>
          <w:spacing w:val="24"/>
          <w:sz w:val="24"/>
          <w:szCs w:val="24"/>
        </w:rPr>
        <w:t xml:space="preserve"> </w:t>
      </w:r>
      <w:r>
        <w:rPr>
          <w:rFonts w:ascii="Times New Roman" w:hAnsi="Times New Roman" w:eastAsia="Times New Roman" w:cs="Times New Roman"/>
          <w:spacing w:val="1"/>
          <w:sz w:val="24"/>
          <w:szCs w:val="24"/>
        </w:rPr>
        <w:t>8702-2014</w:t>
      </w:r>
      <w:r>
        <w:rPr>
          <w:spacing w:val="1"/>
          <w:sz w:val="24"/>
          <w:szCs w:val="24"/>
        </w:rPr>
        <w:t>）工频磁感应强度公众曝露控制限值</w:t>
      </w:r>
      <w:r>
        <w:rPr>
          <w:rFonts w:ascii="Times New Roman" w:hAnsi="Times New Roman" w:eastAsia="Times New Roman" w:cs="Times New Roman"/>
          <w:spacing w:val="1"/>
          <w:sz w:val="24"/>
          <w:szCs w:val="24"/>
        </w:rPr>
        <w:t>≤100μT</w:t>
      </w:r>
      <w:r>
        <w:rPr>
          <w:rFonts w:ascii="Times New Roman" w:hAnsi="Times New Roman" w:eastAsia="Times New Roman" w:cs="Times New Roman"/>
          <w:spacing w:val="-29"/>
          <w:sz w:val="24"/>
          <w:szCs w:val="24"/>
        </w:rPr>
        <w:t xml:space="preserve"> </w:t>
      </w:r>
      <w:r>
        <w:rPr>
          <w:spacing w:val="1"/>
          <w:sz w:val="24"/>
          <w:szCs w:val="24"/>
        </w:rPr>
        <w:t>，工频电场强度公</w:t>
      </w:r>
      <w:r>
        <w:rPr>
          <w:spacing w:val="-5"/>
          <w:sz w:val="24"/>
          <w:szCs w:val="24"/>
        </w:rPr>
        <w:t>众曝露控制限值</w:t>
      </w:r>
      <w:r>
        <w:rPr>
          <w:rFonts w:ascii="Times New Roman" w:hAnsi="Times New Roman" w:eastAsia="Times New Roman" w:cs="Times New Roman"/>
          <w:spacing w:val="-5"/>
          <w:sz w:val="24"/>
          <w:szCs w:val="24"/>
        </w:rPr>
        <w:t>≤4kV/m</w:t>
      </w:r>
      <w:r>
        <w:rPr>
          <w:rFonts w:ascii="Times New Roman" w:hAnsi="Times New Roman" w:eastAsia="Times New Roman" w:cs="Times New Roman"/>
          <w:spacing w:val="27"/>
          <w:w w:val="101"/>
          <w:sz w:val="24"/>
          <w:szCs w:val="24"/>
        </w:rPr>
        <w:t xml:space="preserve"> </w:t>
      </w:r>
      <w:r>
        <w:rPr>
          <w:spacing w:val="-5"/>
          <w:sz w:val="24"/>
          <w:szCs w:val="24"/>
        </w:rPr>
        <w:t>的要求，工程运营期对电磁环境保护目标的影响可接受。</w:t>
      </w:r>
      <w:r>
        <w:rPr>
          <w:spacing w:val="1"/>
          <w:sz w:val="24"/>
          <w:szCs w:val="24"/>
        </w:rPr>
        <w:t>经预测，本期拟建的</w:t>
      </w:r>
      <w:r>
        <w:rPr>
          <w:spacing w:val="-13"/>
          <w:sz w:val="24"/>
          <w:szCs w:val="24"/>
        </w:rPr>
        <w:t xml:space="preserve"> </w:t>
      </w:r>
      <w:r>
        <w:rPr>
          <w:rFonts w:ascii="Times New Roman" w:hAnsi="Times New Roman" w:eastAsia="Times New Roman" w:cs="Times New Roman"/>
          <w:spacing w:val="1"/>
          <w:sz w:val="24"/>
          <w:szCs w:val="24"/>
        </w:rPr>
        <w:t>110</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 xml:space="preserve"> </w:t>
      </w:r>
      <w:r>
        <w:rPr>
          <w:spacing w:val="1"/>
          <w:sz w:val="24"/>
          <w:szCs w:val="24"/>
        </w:rPr>
        <w:t>线路电磁环境评价范围内涉及的电磁环境保护目标</w:t>
      </w:r>
      <w:r>
        <w:rPr>
          <w:sz w:val="24"/>
          <w:szCs w:val="24"/>
        </w:rPr>
        <w:t>工频电场强度、工频磁感应强度均满足《电磁环境控制限值》（</w:t>
      </w:r>
      <w:r>
        <w:rPr>
          <w:rFonts w:ascii="Times New Roman" w:hAnsi="Times New Roman" w:eastAsia="Times New Roman" w:cs="Times New Roman"/>
          <w:sz w:val="24"/>
          <w:szCs w:val="24"/>
        </w:rPr>
        <w:t>G</w:t>
      </w:r>
      <w:r>
        <w:rPr>
          <w:rFonts w:ascii="Times New Roman" w:hAnsi="Times New Roman" w:eastAsia="Times New Roman" w:cs="Times New Roman"/>
          <w:spacing w:val="-1"/>
          <w:sz w:val="24"/>
          <w:szCs w:val="24"/>
        </w:rPr>
        <w:t>B8702-2014</w:t>
      </w:r>
      <w:r>
        <w:rPr>
          <w:spacing w:val="-1"/>
          <w:sz w:val="24"/>
          <w:szCs w:val="24"/>
        </w:rPr>
        <w:t>）</w:t>
      </w:r>
      <w:r>
        <w:rPr>
          <w:spacing w:val="1"/>
          <w:sz w:val="24"/>
          <w:szCs w:val="24"/>
        </w:rPr>
        <w:t>规定的工频电场强度控制限值为</w:t>
      </w:r>
      <w:r>
        <w:rPr>
          <w:spacing w:val="-54"/>
          <w:sz w:val="24"/>
          <w:szCs w:val="24"/>
        </w:rPr>
        <w:t xml:space="preserve"> </w:t>
      </w:r>
      <w:r>
        <w:rPr>
          <w:rFonts w:ascii="Times New Roman" w:hAnsi="Times New Roman" w:eastAsia="Times New Roman" w:cs="Times New Roman"/>
          <w:spacing w:val="1"/>
          <w:sz w:val="24"/>
          <w:szCs w:val="24"/>
        </w:rPr>
        <w:t>4</w:t>
      </w:r>
      <w:r>
        <w:rPr>
          <w:rFonts w:ascii="Times New Roman" w:hAnsi="Times New Roman" w:eastAsia="Times New Roman" w:cs="Times New Roman"/>
          <w:sz w:val="24"/>
          <w:szCs w:val="24"/>
        </w:rPr>
        <w:t>kV</w:t>
      </w:r>
      <w:r>
        <w:rPr>
          <w:rFonts w:ascii="Times New Roman" w:hAnsi="Times New Roman" w:eastAsia="Times New Roman" w:cs="Times New Roman"/>
          <w:spacing w:val="1"/>
          <w:sz w:val="24"/>
          <w:szCs w:val="24"/>
        </w:rPr>
        <w:t>/m</w:t>
      </w:r>
      <w:r>
        <w:rPr>
          <w:spacing w:val="1"/>
          <w:sz w:val="24"/>
          <w:szCs w:val="24"/>
        </w:rPr>
        <w:t>和工频磁感应强度控制限值为</w:t>
      </w:r>
      <w:r>
        <w:rPr>
          <w:spacing w:val="-32"/>
          <w:sz w:val="24"/>
          <w:szCs w:val="24"/>
        </w:rPr>
        <w:t xml:space="preserve"> </w:t>
      </w:r>
      <w:r>
        <w:rPr>
          <w:rFonts w:ascii="Times New Roman" w:hAnsi="Times New Roman" w:eastAsia="Times New Roman" w:cs="Times New Roman"/>
          <w:spacing w:val="1"/>
          <w:sz w:val="24"/>
          <w:szCs w:val="24"/>
        </w:rPr>
        <w:t>1</w:t>
      </w:r>
      <w:r>
        <w:rPr>
          <w:rFonts w:ascii="Times New Roman" w:hAnsi="Times New Roman" w:eastAsia="Times New Roman" w:cs="Times New Roman"/>
          <w:sz w:val="24"/>
          <w:szCs w:val="24"/>
        </w:rPr>
        <w:t>00μT</w:t>
      </w:r>
      <w:r>
        <w:rPr>
          <w:rFonts w:ascii="Times New Roman" w:hAnsi="Times New Roman" w:eastAsia="Times New Roman" w:cs="Times New Roman"/>
          <w:spacing w:val="26"/>
          <w:w w:val="101"/>
          <w:sz w:val="24"/>
          <w:szCs w:val="24"/>
        </w:rPr>
        <w:t xml:space="preserve"> </w:t>
      </w:r>
      <w:r>
        <w:rPr>
          <w:sz w:val="24"/>
          <w:szCs w:val="24"/>
        </w:rPr>
        <w:t>限</w:t>
      </w:r>
      <w:r>
        <w:rPr>
          <w:spacing w:val="-1"/>
          <w:sz w:val="24"/>
          <w:szCs w:val="24"/>
        </w:rPr>
        <w:t>值要求，工程运营期对电磁环境保护目标的影响可接受。</w:t>
      </w:r>
    </w:p>
    <w:p w14:paraId="042A9DEF">
      <w:pPr>
        <w:pStyle w:val="2"/>
        <w:spacing w:before="333" w:line="218" w:lineRule="auto"/>
        <w:ind w:left="24"/>
        <w:rPr>
          <w:sz w:val="30"/>
          <w:szCs w:val="30"/>
        </w:rPr>
      </w:pPr>
      <w:r>
        <w:rPr>
          <w:rFonts w:ascii="Times New Roman" w:hAnsi="Times New Roman" w:eastAsia="Times New Roman" w:cs="Times New Roman"/>
          <w:b/>
          <w:bCs/>
          <w:spacing w:val="-7"/>
          <w:sz w:val="30"/>
          <w:szCs w:val="30"/>
        </w:rPr>
        <w:t>7.3</w:t>
      </w:r>
      <w:r>
        <w:rPr>
          <w:rFonts w:ascii="Times New Roman" w:hAnsi="Times New Roman" w:eastAsia="Times New Roman" w:cs="Times New Roman"/>
          <w:b/>
          <w:bCs/>
          <w:spacing w:val="29"/>
          <w:sz w:val="30"/>
          <w:szCs w:val="30"/>
        </w:rPr>
        <w:t xml:space="preserve">  </w:t>
      </w:r>
      <w:r>
        <w:rPr>
          <w:b/>
          <w:bCs/>
          <w:spacing w:val="-7"/>
          <w:sz w:val="30"/>
          <w:szCs w:val="30"/>
        </w:rPr>
        <w:t>电磁环境影响评价结论</w:t>
      </w:r>
    </w:p>
    <w:p w14:paraId="0D0D1AED">
      <w:pPr>
        <w:pStyle w:val="2"/>
        <w:spacing w:before="225" w:line="359" w:lineRule="auto"/>
        <w:ind w:left="22" w:right="80" w:firstLine="481"/>
        <w:jc w:val="both"/>
        <w:rPr>
          <w:sz w:val="24"/>
          <w:szCs w:val="24"/>
        </w:rPr>
      </w:pPr>
      <w:r>
        <w:rPr>
          <w:spacing w:val="-3"/>
          <w:sz w:val="24"/>
          <w:szCs w:val="24"/>
        </w:rPr>
        <w:t>本工程所在区域环境现状可满足工程实施，本工程按本期设计</w:t>
      </w:r>
      <w:r>
        <w:rPr>
          <w:spacing w:val="-4"/>
          <w:sz w:val="24"/>
          <w:szCs w:val="24"/>
        </w:rPr>
        <w:t>规模建成投运</w:t>
      </w:r>
      <w:r>
        <w:rPr>
          <w:spacing w:val="-12"/>
          <w:sz w:val="24"/>
          <w:szCs w:val="24"/>
        </w:rPr>
        <w:t>后，变电站、架空线路运营期产生的工频电场强度满足《电磁环境控制限值》（</w:t>
      </w:r>
      <w:r>
        <w:rPr>
          <w:rFonts w:ascii="Times New Roman" w:hAnsi="Times New Roman" w:eastAsia="Times New Roman" w:cs="Times New Roman"/>
          <w:spacing w:val="-12"/>
          <w:sz w:val="24"/>
          <w:szCs w:val="24"/>
        </w:rPr>
        <w:t>GB</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pacing w:val="-1"/>
          <w:sz w:val="24"/>
          <w:szCs w:val="24"/>
        </w:rPr>
        <w:t>8702-2014</w:t>
      </w:r>
      <w:r>
        <w:rPr>
          <w:spacing w:val="-1"/>
          <w:sz w:val="24"/>
          <w:szCs w:val="24"/>
        </w:rPr>
        <w:t>）中公众曝露控制限值</w:t>
      </w:r>
      <w:r>
        <w:rPr>
          <w:spacing w:val="-56"/>
          <w:sz w:val="24"/>
          <w:szCs w:val="24"/>
        </w:rPr>
        <w:t xml:space="preserve"> </w:t>
      </w:r>
      <w:r>
        <w:rPr>
          <w:rFonts w:ascii="Times New Roman" w:hAnsi="Times New Roman" w:eastAsia="Times New Roman" w:cs="Times New Roman"/>
          <w:spacing w:val="-1"/>
          <w:sz w:val="24"/>
          <w:szCs w:val="24"/>
        </w:rPr>
        <w:t>4000V/m</w:t>
      </w:r>
      <w:r>
        <w:rPr>
          <w:rFonts w:ascii="Times New Roman" w:hAnsi="Times New Roman" w:eastAsia="Times New Roman" w:cs="Times New Roman"/>
          <w:spacing w:val="30"/>
          <w:sz w:val="24"/>
          <w:szCs w:val="24"/>
        </w:rPr>
        <w:t xml:space="preserve"> </w:t>
      </w:r>
      <w:r>
        <w:rPr>
          <w:spacing w:val="-1"/>
          <w:sz w:val="24"/>
          <w:szCs w:val="24"/>
        </w:rPr>
        <w:t>的要求，工频磁感应强度均满足</w:t>
      </w:r>
      <w:r>
        <w:rPr>
          <w:spacing w:val="-2"/>
          <w:sz w:val="24"/>
          <w:szCs w:val="24"/>
        </w:rPr>
        <w:t>《电</w:t>
      </w:r>
      <w:r>
        <w:rPr>
          <w:spacing w:val="-3"/>
          <w:sz w:val="24"/>
          <w:szCs w:val="24"/>
        </w:rPr>
        <w:t>磁环境控制限值》（</w:t>
      </w:r>
      <w:r>
        <w:rPr>
          <w:rFonts w:ascii="Times New Roman" w:hAnsi="Times New Roman" w:eastAsia="Times New Roman" w:cs="Times New Roman"/>
          <w:spacing w:val="-3"/>
          <w:sz w:val="24"/>
          <w:szCs w:val="24"/>
        </w:rPr>
        <w:t>GB8702-2014</w:t>
      </w:r>
      <w:r>
        <w:rPr>
          <w:spacing w:val="-3"/>
          <w:sz w:val="24"/>
          <w:szCs w:val="24"/>
        </w:rPr>
        <w:t>）中公众曝露控制限值</w:t>
      </w:r>
      <w:r>
        <w:rPr>
          <w:spacing w:val="-32"/>
          <w:sz w:val="24"/>
          <w:szCs w:val="24"/>
        </w:rPr>
        <w:t xml:space="preserve"> </w:t>
      </w:r>
      <w:r>
        <w:rPr>
          <w:rFonts w:ascii="Times New Roman" w:hAnsi="Times New Roman" w:eastAsia="Times New Roman" w:cs="Times New Roman"/>
          <w:spacing w:val="-3"/>
          <w:sz w:val="24"/>
          <w:szCs w:val="24"/>
        </w:rPr>
        <w:t>100μT</w:t>
      </w:r>
      <w:r>
        <w:rPr>
          <w:rFonts w:ascii="Times New Roman" w:hAnsi="Times New Roman" w:eastAsia="Times New Roman" w:cs="Times New Roman"/>
          <w:spacing w:val="29"/>
          <w:sz w:val="24"/>
          <w:szCs w:val="24"/>
        </w:rPr>
        <w:t xml:space="preserve"> </w:t>
      </w:r>
      <w:r>
        <w:rPr>
          <w:spacing w:val="-3"/>
          <w:sz w:val="24"/>
          <w:szCs w:val="24"/>
        </w:rPr>
        <w:t>的要求。</w:t>
      </w:r>
      <w:r>
        <w:rPr>
          <w:spacing w:val="-4"/>
          <w:sz w:val="24"/>
          <w:szCs w:val="24"/>
        </w:rPr>
        <w:t>从达标</w:t>
      </w:r>
      <w:r>
        <w:rPr>
          <w:spacing w:val="-1"/>
          <w:sz w:val="24"/>
          <w:szCs w:val="24"/>
        </w:rPr>
        <w:t>控制角度分析，工程的建设是可行的。</w:t>
      </w:r>
    </w:p>
    <w:sectPr>
      <w:footerReference r:id="rId207" w:type="default"/>
      <w:pgSz w:w="11906" w:h="16839"/>
      <w:pgMar w:top="400" w:right="1719" w:bottom="1147" w:left="1785" w:header="0" w:footer="96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UI Gothic">
    <w:panose1 w:val="020B0600070205080204"/>
    <w:charset w:val="86"/>
    <w:family w:val="auto"/>
    <w:pitch w:val="default"/>
    <w:sig w:usb0="E00002FF" w:usb1="6AC7FDFB" w:usb2="08000012" w:usb3="00000000" w:csb0="4002009F" w:csb1="DFD70000"/>
  </w:font>
  <w:font w:name="Segoe UI">
    <w:panose1 w:val="020B0502040204020203"/>
    <w:charset w:val="00"/>
    <w:family w:val="auto"/>
    <w:pitch w:val="default"/>
    <w:sig w:usb0="E4002EFF" w:usb1="C000E47F" w:usb2="00000009" w:usb3="00000000" w:csb0="200001FF" w:csb1="00000000"/>
  </w:font>
  <w:font w:name="MS PGothic">
    <w:panose1 w:val="020B0600070205080204"/>
    <w:charset w:val="86"/>
    <w:family w:val="auto"/>
    <w:pitch w:val="default"/>
    <w:sig w:usb0="E00002FF" w:usb1="6AC7FDFB" w:usb2="08000012" w:usb3="00000000" w:csb0="4002009F" w:csb1="DFD7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FFDD5">
    <w:pPr>
      <w:spacing w:line="14" w:lineRule="auto"/>
      <w:rPr>
        <w:rFonts w:ascii="Arial"/>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C40CC">
    <w:pPr>
      <w:pStyle w:val="2"/>
      <w:spacing w:line="170" w:lineRule="auto"/>
      <w:ind w:left="4097"/>
      <w:rPr>
        <w:sz w:val="18"/>
        <w:szCs w:val="18"/>
      </w:rPr>
    </w:pPr>
    <w:r>
      <w:rPr>
        <w:sz w:val="18"/>
        <w:szCs w:val="18"/>
      </w:rPr>
      <w:t>5</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312D6">
    <w:pPr>
      <w:spacing w:line="176" w:lineRule="auto"/>
      <w:ind w:left="430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95</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3CF34">
    <w:pPr>
      <w:spacing w:line="176" w:lineRule="auto"/>
      <w:ind w:left="430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96</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3AC23">
    <w:pPr>
      <w:spacing w:line="176" w:lineRule="auto"/>
      <w:ind w:left="430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97</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AEA0C">
    <w:pPr>
      <w:spacing w:line="176" w:lineRule="auto"/>
      <w:ind w:left="430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98</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14431">
    <w:pPr>
      <w:spacing w:line="176" w:lineRule="auto"/>
      <w:ind w:left="430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99</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090A0">
    <w:pPr>
      <w:spacing w:line="176" w:lineRule="auto"/>
      <w:ind w:left="432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100</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CA307">
    <w:pPr>
      <w:spacing w:line="176" w:lineRule="auto"/>
      <w:ind w:left="432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101</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4EB55">
    <w:pPr>
      <w:spacing w:line="176" w:lineRule="auto"/>
      <w:ind w:left="432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102</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D846F">
    <w:pPr>
      <w:spacing w:line="176" w:lineRule="auto"/>
      <w:ind w:left="4126"/>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103</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59C8D">
    <w:pPr>
      <w:spacing w:line="176" w:lineRule="auto"/>
      <w:ind w:left="4080"/>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0CF84">
    <w:pPr>
      <w:spacing w:line="176" w:lineRule="auto"/>
      <w:ind w:left="4096"/>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29928">
    <w:pPr>
      <w:spacing w:line="176" w:lineRule="auto"/>
      <w:ind w:left="432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105</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3A431">
    <w:pPr>
      <w:spacing w:line="176" w:lineRule="auto"/>
      <w:ind w:left="432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106</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4DB2D">
    <w:pPr>
      <w:spacing w:line="176" w:lineRule="auto"/>
      <w:ind w:left="432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107</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450F8">
    <w:pPr>
      <w:spacing w:line="176" w:lineRule="auto"/>
      <w:ind w:left="432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108</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9E22E">
    <w:pPr>
      <w:spacing w:line="176" w:lineRule="auto"/>
      <w:ind w:left="432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109</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5F044">
    <w:pPr>
      <w:spacing w:line="176" w:lineRule="auto"/>
      <w:ind w:left="4322"/>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110</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345EC">
    <w:pPr>
      <w:spacing w:line="176" w:lineRule="auto"/>
      <w:ind w:left="4322"/>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111</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08C5A">
    <w:pPr>
      <w:spacing w:line="176" w:lineRule="auto"/>
      <w:ind w:left="4322"/>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112</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00176">
    <w:pPr>
      <w:spacing w:line="176" w:lineRule="auto"/>
      <w:ind w:left="4322"/>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113</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90012">
    <w:pPr>
      <w:spacing w:line="176" w:lineRule="auto"/>
      <w:ind w:left="4322"/>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114</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4CBA1">
    <w:pPr>
      <w:spacing w:line="173" w:lineRule="auto"/>
      <w:ind w:left="4095"/>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C98C0">
    <w:pPr>
      <w:spacing w:line="176" w:lineRule="auto"/>
      <w:ind w:left="4322"/>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115</w: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9B094">
    <w:pPr>
      <w:spacing w:line="176" w:lineRule="auto"/>
      <w:ind w:left="4322"/>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116</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33E0F">
    <w:pPr>
      <w:spacing w:line="176" w:lineRule="auto"/>
      <w:ind w:left="4200"/>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117</w: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F9C16">
    <w:pPr>
      <w:spacing w:line="176" w:lineRule="auto"/>
      <w:ind w:left="4200"/>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118</w: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D7EA3">
    <w:pPr>
      <w:spacing w:line="176" w:lineRule="auto"/>
      <w:ind w:left="4200"/>
      <w:rPr>
        <w:rFonts w:ascii="Times New Roman" w:hAnsi="Times New Roman" w:eastAsia="Times New Roman" w:cs="Times New Roman"/>
        <w:sz w:val="18"/>
        <w:szCs w:val="18"/>
      </w:rPr>
    </w:pPr>
    <w:r>
      <w:rPr>
        <w:rFonts w:ascii="Times New Roman" w:hAnsi="Times New Roman" w:eastAsia="Times New Roman" w:cs="Times New Roman"/>
        <w:spacing w:val="-9"/>
        <w:sz w:val="18"/>
        <w:szCs w:val="18"/>
      </w:rPr>
      <w:t>119</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5F5AB">
    <w:pPr>
      <w:spacing w:line="176" w:lineRule="auto"/>
      <w:ind w:left="4200"/>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120</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8182F">
    <w:pPr>
      <w:spacing w:line="176" w:lineRule="auto"/>
      <w:ind w:left="4200"/>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121</w: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9DA78">
    <w:pPr>
      <w:spacing w:line="176" w:lineRule="auto"/>
      <w:ind w:left="4200"/>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122</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F6616">
    <w:pPr>
      <w:spacing w:line="176" w:lineRule="auto"/>
      <w:ind w:left="4200"/>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123</w: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EDC45">
    <w:pPr>
      <w:spacing w:line="176" w:lineRule="auto"/>
      <w:ind w:left="4200"/>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124</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1EB79">
    <w:pPr>
      <w:spacing w:line="176" w:lineRule="auto"/>
      <w:ind w:left="4099"/>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86384">
    <w:pPr>
      <w:spacing w:line="176" w:lineRule="auto"/>
      <w:ind w:left="4200"/>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125</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42E13">
    <w:pPr>
      <w:spacing w:line="176" w:lineRule="auto"/>
      <w:ind w:left="4200"/>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l26</w: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53C91">
    <w:pPr>
      <w:spacing w:line="176" w:lineRule="auto"/>
      <w:ind w:left="4200"/>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127</w: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1B9A8">
    <w:pPr>
      <w:spacing w:line="176" w:lineRule="auto"/>
      <w:ind w:left="4200"/>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128</w: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8FE34">
    <w:pPr>
      <w:spacing w:line="176" w:lineRule="auto"/>
      <w:ind w:left="4200"/>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129</w: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8F635">
    <w:pPr>
      <w:spacing w:line="176" w:lineRule="auto"/>
      <w:ind w:left="4200"/>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130</w: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DD07A">
    <w:pPr>
      <w:spacing w:line="176" w:lineRule="auto"/>
      <w:ind w:left="420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131</w: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1D4F5">
    <w:pPr>
      <w:spacing w:line="176" w:lineRule="auto"/>
      <w:ind w:left="420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132</w: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6AEFD">
    <w:pPr>
      <w:spacing w:line="176" w:lineRule="auto"/>
      <w:ind w:left="420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133</w: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2DD60">
    <w:pPr>
      <w:spacing w:line="176" w:lineRule="auto"/>
      <w:ind w:left="420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134</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ED91F">
    <w:pPr>
      <w:spacing w:line="176" w:lineRule="auto"/>
      <w:ind w:left="4095"/>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56F6E">
    <w:pPr>
      <w:spacing w:line="176" w:lineRule="auto"/>
      <w:ind w:left="420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135</w: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A92D1">
    <w:pPr>
      <w:spacing w:line="176" w:lineRule="auto"/>
      <w:ind w:left="420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136</w: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94D9D">
    <w:pPr>
      <w:spacing w:line="176" w:lineRule="auto"/>
      <w:ind w:left="420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137</w: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9DD75">
    <w:pPr>
      <w:spacing w:line="176" w:lineRule="auto"/>
      <w:ind w:left="420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138</w: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F6C1C">
    <w:pPr>
      <w:spacing w:line="176" w:lineRule="auto"/>
      <w:ind w:left="4425"/>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l39</w: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FFDD5">
    <w:pPr>
      <w:spacing w:line="14" w:lineRule="auto"/>
      <w:rPr>
        <w:rFonts w:ascii="Arial"/>
        <w:sz w:val="2"/>
      </w:rPr>
    </w:pP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CA61D">
    <w:pPr>
      <w:spacing w:line="180" w:lineRule="auto"/>
      <w:ind w:left="4147"/>
      <w:rPr>
        <w:rFonts w:ascii="Times New Roman" w:hAnsi="Times New Roman" w:eastAsia="Times New Roman" w:cs="Times New Roman"/>
        <w:sz w:val="18"/>
        <w:szCs w:val="18"/>
      </w:rPr>
    </w:pPr>
    <w:r>
      <w:rPr>
        <w:rFonts w:ascii="Times New Roman" w:hAnsi="Times New Roman" w:eastAsia="Times New Roman" w:cs="Times New Roman"/>
        <w:sz w:val="18"/>
        <w:szCs w:val="18"/>
      </w:rPr>
      <w:t>i</w: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ACFB3">
    <w:pPr>
      <w:spacing w:line="180" w:lineRule="auto"/>
      <w:ind w:left="4123"/>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ii</w: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22ED5">
    <w:pPr>
      <w:spacing w:line="176" w:lineRule="auto"/>
      <w:ind w:left="4143"/>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9B885">
    <w:pPr>
      <w:spacing w:line="184" w:lineRule="auto"/>
      <w:ind w:left="4117"/>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FD330">
    <w:pPr>
      <w:spacing w:line="176" w:lineRule="auto"/>
      <w:ind w:left="4109"/>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10</w: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E2A05">
    <w:pPr>
      <w:spacing w:line="184" w:lineRule="auto"/>
      <w:ind w:left="4222"/>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84008">
    <w:pPr>
      <w:spacing w:line="184" w:lineRule="auto"/>
      <w:ind w:left="421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81504">
    <w:pPr>
      <w:spacing w:line="181" w:lineRule="auto"/>
      <w:ind w:left="7236"/>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3F095">
    <w:pPr>
      <w:spacing w:line="184" w:lineRule="auto"/>
      <w:ind w:left="7132"/>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E47BE">
    <w:pPr>
      <w:spacing w:line="181" w:lineRule="auto"/>
      <w:ind w:left="7131"/>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3C481">
    <w:pPr>
      <w:spacing w:line="184" w:lineRule="auto"/>
      <w:ind w:left="7136"/>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35035">
    <w:pPr>
      <w:spacing w:line="184" w:lineRule="auto"/>
      <w:ind w:left="7131"/>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3F3C4">
    <w:pPr>
      <w:spacing w:line="184" w:lineRule="auto"/>
      <w:ind w:left="7095"/>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4056F">
    <w:pPr>
      <w:spacing w:line="184" w:lineRule="auto"/>
      <w:ind w:left="7100"/>
      <w:rPr>
        <w:rFonts w:ascii="Times New Roman" w:hAnsi="Times New Roman" w:eastAsia="Times New Roman" w:cs="Times New Roman"/>
        <w:sz w:val="20"/>
        <w:szCs w:val="20"/>
      </w:rPr>
    </w:pPr>
    <w:r>
      <w:rPr>
        <w:rFonts w:ascii="Times New Roman" w:hAnsi="Times New Roman" w:eastAsia="Times New Roman" w:cs="Times New Roman"/>
        <w:spacing w:val="-10"/>
        <w:sz w:val="20"/>
        <w:szCs w:val="20"/>
      </w:rPr>
      <w:t>11</w: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0BF9B">
    <w:pPr>
      <w:spacing w:line="184" w:lineRule="auto"/>
      <w:ind w:left="408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12</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80E81">
    <w:pPr>
      <w:spacing w:line="176" w:lineRule="auto"/>
      <w:ind w:left="4109"/>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11</w: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BE1D5">
    <w:pPr>
      <w:spacing w:line="184" w:lineRule="auto"/>
      <w:ind w:left="418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13</w: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84EED">
    <w:pPr>
      <w:spacing w:line="184" w:lineRule="auto"/>
      <w:ind w:left="422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14</w: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1B40E">
    <w:pPr>
      <w:spacing w:line="184" w:lineRule="auto"/>
      <w:ind w:left="418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15</w: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5C2A4">
    <w:pPr>
      <w:spacing w:line="184" w:lineRule="auto"/>
      <w:ind w:left="4187"/>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16</w: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D503A">
    <w:pPr>
      <w:spacing w:line="184" w:lineRule="auto"/>
      <w:ind w:left="418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17</w: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75D67">
    <w:pPr>
      <w:spacing w:line="184" w:lineRule="auto"/>
      <w:ind w:left="4186"/>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18</w: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437C2">
    <w:pPr>
      <w:spacing w:line="184" w:lineRule="auto"/>
      <w:ind w:left="4142"/>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19</w: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0111D">
    <w:pPr>
      <w:spacing w:line="184" w:lineRule="auto"/>
      <w:ind w:left="41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20</w: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859CA">
    <w:pPr>
      <w:spacing w:line="184" w:lineRule="auto"/>
      <w:ind w:left="41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21</w: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99759">
    <w:pPr>
      <w:spacing w:line="184" w:lineRule="auto"/>
      <w:ind w:left="40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22</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F0161">
    <w:pPr>
      <w:spacing w:line="176" w:lineRule="auto"/>
      <w:ind w:left="4109"/>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12</w:t>
    </w: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DE7ED">
    <w:pPr>
      <w:spacing w:line="184" w:lineRule="auto"/>
      <w:ind w:left="413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23</w: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373D9">
    <w:pPr>
      <w:spacing w:line="184" w:lineRule="auto"/>
      <w:ind w:left="40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24</w: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CB9EB">
    <w:pPr>
      <w:spacing w:line="184" w:lineRule="auto"/>
      <w:ind w:left="40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w:t>
    </w: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83ED3">
    <w:pPr>
      <w:spacing w:line="184" w:lineRule="auto"/>
      <w:ind w:left="40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26</w:t>
    </w: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BABDC">
    <w:pPr>
      <w:spacing w:line="184" w:lineRule="auto"/>
      <w:ind w:left="40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27</w:t>
    </w: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87F67">
    <w:pPr>
      <w:spacing w:line="184" w:lineRule="auto"/>
      <w:ind w:left="406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28</w: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720D6">
    <w:pPr>
      <w:spacing w:line="184" w:lineRule="auto"/>
      <w:ind w:left="41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29</w:t>
    </w:r>
  </w:p>
</w:ftr>
</file>

<file path=word/footer1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BAE44">
    <w:pPr>
      <w:spacing w:line="184" w:lineRule="auto"/>
      <w:ind w:left="4170"/>
      <w:rPr>
        <w:rFonts w:ascii="Times New Roman" w:hAnsi="Times New Roman" w:eastAsia="Times New Roman" w:cs="Times New Roman"/>
        <w:sz w:val="20"/>
        <w:szCs w:val="20"/>
      </w:rPr>
    </w:pPr>
    <w:r>
      <w:rPr>
        <w:rFonts w:ascii="Times New Roman" w:hAnsi="Times New Roman" w:eastAsia="Times New Roman" w:cs="Times New Roman"/>
        <w:sz w:val="20"/>
        <w:szCs w:val="20"/>
      </w:rPr>
      <w:t>30</w:t>
    </w:r>
  </w:p>
</w:ftr>
</file>

<file path=word/footer1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64138">
    <w:pPr>
      <w:spacing w:line="184" w:lineRule="auto"/>
      <w:ind w:left="4170"/>
      <w:rPr>
        <w:rFonts w:ascii="Times New Roman" w:hAnsi="Times New Roman" w:eastAsia="Times New Roman" w:cs="Times New Roman"/>
        <w:sz w:val="20"/>
        <w:szCs w:val="20"/>
      </w:rPr>
    </w:pPr>
    <w:r>
      <w:rPr>
        <w:rFonts w:ascii="Times New Roman" w:hAnsi="Times New Roman" w:eastAsia="Times New Roman" w:cs="Times New Roman"/>
        <w:sz w:val="20"/>
        <w:szCs w:val="20"/>
      </w:rPr>
      <w:t>31</w:t>
    </w:r>
  </w:p>
</w:ftr>
</file>

<file path=word/footer1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1D34C">
    <w:pPr>
      <w:spacing w:line="184" w:lineRule="auto"/>
      <w:ind w:left="4072"/>
      <w:rPr>
        <w:rFonts w:ascii="Times New Roman" w:hAnsi="Times New Roman" w:eastAsia="Times New Roman" w:cs="Times New Roman"/>
        <w:sz w:val="20"/>
        <w:szCs w:val="20"/>
      </w:rPr>
    </w:pPr>
    <w:r>
      <w:rPr>
        <w:rFonts w:ascii="Times New Roman" w:hAnsi="Times New Roman" w:eastAsia="Times New Roman" w:cs="Times New Roman"/>
        <w:sz w:val="20"/>
        <w:szCs w:val="20"/>
      </w:rPr>
      <w:t>32</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9F776">
    <w:pPr>
      <w:spacing w:line="176" w:lineRule="auto"/>
      <w:ind w:left="4109"/>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13</w:t>
    </w:r>
  </w:p>
</w:ftr>
</file>

<file path=word/footer1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FBA55">
    <w:pPr>
      <w:spacing w:line="184" w:lineRule="auto"/>
      <w:ind w:left="4072"/>
      <w:rPr>
        <w:rFonts w:ascii="Times New Roman" w:hAnsi="Times New Roman" w:eastAsia="Times New Roman" w:cs="Times New Roman"/>
        <w:sz w:val="20"/>
        <w:szCs w:val="20"/>
      </w:rPr>
    </w:pPr>
    <w:r>
      <w:rPr>
        <w:rFonts w:ascii="Times New Roman" w:hAnsi="Times New Roman" w:eastAsia="Times New Roman" w:cs="Times New Roman"/>
        <w:sz w:val="20"/>
        <w:szCs w:val="20"/>
      </w:rPr>
      <w:t>33</w:t>
    </w:r>
  </w:p>
</w:ftr>
</file>

<file path=word/footer1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F0C24">
    <w:pPr>
      <w:spacing w:line="184" w:lineRule="auto"/>
      <w:ind w:left="4072"/>
      <w:rPr>
        <w:rFonts w:ascii="Times New Roman" w:hAnsi="Times New Roman" w:eastAsia="Times New Roman" w:cs="Times New Roman"/>
        <w:sz w:val="20"/>
        <w:szCs w:val="20"/>
      </w:rPr>
    </w:pPr>
    <w:r>
      <w:rPr>
        <w:rFonts w:ascii="Times New Roman" w:hAnsi="Times New Roman" w:eastAsia="Times New Roman" w:cs="Times New Roman"/>
        <w:sz w:val="20"/>
        <w:szCs w:val="20"/>
      </w:rPr>
      <w:t>34</w:t>
    </w:r>
  </w:p>
</w:ftr>
</file>

<file path=word/footer1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9777F">
    <w:pPr>
      <w:spacing w:line="184" w:lineRule="auto"/>
      <w:ind w:left="4071"/>
      <w:rPr>
        <w:rFonts w:ascii="Times New Roman" w:hAnsi="Times New Roman" w:eastAsia="Times New Roman" w:cs="Times New Roman"/>
        <w:sz w:val="20"/>
        <w:szCs w:val="20"/>
      </w:rPr>
    </w:pPr>
    <w:r>
      <w:rPr>
        <w:rFonts w:ascii="Times New Roman" w:hAnsi="Times New Roman" w:eastAsia="Times New Roman" w:cs="Times New Roman"/>
        <w:sz w:val="20"/>
        <w:szCs w:val="20"/>
      </w:rPr>
      <w:t>35</w:t>
    </w:r>
  </w:p>
</w:ftr>
</file>

<file path=word/footer1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EDA00">
    <w:pPr>
      <w:spacing w:line="184" w:lineRule="auto"/>
      <w:ind w:left="4071"/>
      <w:rPr>
        <w:rFonts w:ascii="Times New Roman" w:hAnsi="Times New Roman" w:eastAsia="Times New Roman" w:cs="Times New Roman"/>
        <w:sz w:val="20"/>
        <w:szCs w:val="20"/>
      </w:rPr>
    </w:pPr>
    <w:r>
      <w:rPr>
        <w:rFonts w:ascii="Times New Roman" w:hAnsi="Times New Roman" w:eastAsia="Times New Roman" w:cs="Times New Roman"/>
        <w:sz w:val="20"/>
        <w:szCs w:val="20"/>
      </w:rPr>
      <w:t>36</w:t>
    </w:r>
  </w:p>
</w:ftr>
</file>

<file path=word/footer1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75C05">
    <w:pPr>
      <w:spacing w:line="184" w:lineRule="auto"/>
      <w:ind w:left="4071"/>
      <w:rPr>
        <w:rFonts w:ascii="Times New Roman" w:hAnsi="Times New Roman" w:eastAsia="Times New Roman" w:cs="Times New Roman"/>
        <w:sz w:val="20"/>
        <w:szCs w:val="20"/>
      </w:rPr>
    </w:pPr>
    <w:r>
      <w:rPr>
        <w:rFonts w:ascii="Times New Roman" w:hAnsi="Times New Roman" w:eastAsia="Times New Roman" w:cs="Times New Roman"/>
        <w:sz w:val="20"/>
        <w:szCs w:val="20"/>
      </w:rPr>
      <w:t>37</w:t>
    </w:r>
  </w:p>
</w:ftr>
</file>

<file path=word/footer1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42B6D">
    <w:pPr>
      <w:spacing w:line="184" w:lineRule="auto"/>
      <w:ind w:left="4071"/>
      <w:rPr>
        <w:rFonts w:ascii="Times New Roman" w:hAnsi="Times New Roman" w:eastAsia="Times New Roman" w:cs="Times New Roman"/>
        <w:sz w:val="20"/>
        <w:szCs w:val="20"/>
      </w:rPr>
    </w:pPr>
    <w:r>
      <w:rPr>
        <w:rFonts w:ascii="Times New Roman" w:hAnsi="Times New Roman" w:eastAsia="Times New Roman" w:cs="Times New Roman"/>
        <w:sz w:val="20"/>
        <w:szCs w:val="20"/>
      </w:rPr>
      <w:t>38</w:t>
    </w:r>
  </w:p>
</w:ftr>
</file>

<file path=word/footer1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D83D0">
    <w:pPr>
      <w:spacing w:line="184" w:lineRule="auto"/>
      <w:ind w:left="4360"/>
      <w:rPr>
        <w:rFonts w:ascii="Times New Roman" w:hAnsi="Times New Roman" w:eastAsia="Times New Roman" w:cs="Times New Roman"/>
        <w:sz w:val="20"/>
        <w:szCs w:val="20"/>
      </w:rPr>
    </w:pPr>
    <w:r>
      <w:rPr>
        <w:rFonts w:ascii="Times New Roman" w:hAnsi="Times New Roman" w:eastAsia="Times New Roman" w:cs="Times New Roman"/>
        <w:sz w:val="20"/>
        <w:szCs w:val="20"/>
      </w:rPr>
      <w:t>39</w:t>
    </w:r>
  </w:p>
</w:ftr>
</file>

<file path=word/footer1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672F6">
    <w:pPr>
      <w:spacing w:line="184" w:lineRule="auto"/>
      <w:ind w:left="43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40</w:t>
    </w:r>
  </w:p>
</w:ftr>
</file>

<file path=word/footer1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E85B0">
    <w:pPr>
      <w:spacing w:line="184" w:lineRule="auto"/>
      <w:ind w:left="435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41</w:t>
    </w:r>
  </w:p>
</w:ftr>
</file>

<file path=word/footer1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51769">
    <w:pPr>
      <w:spacing w:line="184" w:lineRule="auto"/>
      <w:ind w:left="40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A20A2">
    <w:pPr>
      <w:spacing w:line="176" w:lineRule="auto"/>
      <w:ind w:left="4109"/>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14</w:t>
    </w:r>
  </w:p>
</w:ftr>
</file>

<file path=word/footer1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B6904">
    <w:pPr>
      <w:spacing w:line="184" w:lineRule="auto"/>
      <w:ind w:left="40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43</w:t>
    </w:r>
  </w:p>
</w:ftr>
</file>

<file path=word/footer1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2CB67">
    <w:pPr>
      <w:spacing w:line="184" w:lineRule="auto"/>
      <w:ind w:left="40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44</w:t>
    </w:r>
  </w:p>
</w:ftr>
</file>

<file path=word/footer1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0953D">
    <w:pPr>
      <w:spacing w:line="184" w:lineRule="auto"/>
      <w:ind w:left="40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ftr>
</file>

<file path=word/footer1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A1C23">
    <w:pPr>
      <w:spacing w:line="184" w:lineRule="auto"/>
      <w:ind w:left="40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46</w:t>
    </w:r>
  </w:p>
</w:ftr>
</file>

<file path=word/footer1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42FDB">
    <w:pPr>
      <w:spacing w:line="184" w:lineRule="auto"/>
      <w:ind w:left="69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47</w:t>
    </w:r>
  </w:p>
</w:ftr>
</file>

<file path=word/footer1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EA7D0">
    <w:pPr>
      <w:spacing w:line="184" w:lineRule="auto"/>
      <w:ind w:left="690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48</w:t>
    </w:r>
  </w:p>
</w:ftr>
</file>

<file path=word/footer1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F3BAC">
    <w:pPr>
      <w:spacing w:line="184" w:lineRule="auto"/>
      <w:ind w:left="406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49</w:t>
    </w:r>
  </w:p>
</w:ftr>
</file>

<file path=word/footer1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79C76">
    <w:pPr>
      <w:spacing w:line="184" w:lineRule="auto"/>
      <w:ind w:left="4169"/>
      <w:rPr>
        <w:rFonts w:ascii="Times New Roman" w:hAnsi="Times New Roman" w:eastAsia="Times New Roman" w:cs="Times New Roman"/>
        <w:sz w:val="20"/>
        <w:szCs w:val="20"/>
      </w:rPr>
    </w:pPr>
    <w:r>
      <w:rPr>
        <w:rFonts w:ascii="Times New Roman" w:hAnsi="Times New Roman" w:eastAsia="Times New Roman" w:cs="Times New Roman"/>
        <w:sz w:val="20"/>
        <w:szCs w:val="20"/>
      </w:rPr>
      <w:t>50</w:t>
    </w:r>
  </w:p>
</w:ftr>
</file>

<file path=word/footer1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4EFD7">
    <w:pPr>
      <w:spacing w:line="184" w:lineRule="auto"/>
      <w:ind w:left="4169"/>
      <w:rPr>
        <w:rFonts w:ascii="Times New Roman" w:hAnsi="Times New Roman" w:eastAsia="Times New Roman" w:cs="Times New Roman"/>
        <w:sz w:val="20"/>
        <w:szCs w:val="20"/>
      </w:rPr>
    </w:pPr>
    <w:r>
      <w:rPr>
        <w:rFonts w:ascii="Times New Roman" w:hAnsi="Times New Roman" w:eastAsia="Times New Roman" w:cs="Times New Roman"/>
        <w:sz w:val="20"/>
        <w:szCs w:val="20"/>
      </w:rPr>
      <w:t>51</w:t>
    </w:r>
  </w:p>
</w:ftr>
</file>

<file path=word/footer1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ED6E6">
    <w:pPr>
      <w:spacing w:line="184" w:lineRule="auto"/>
      <w:ind w:left="4072"/>
      <w:rPr>
        <w:rFonts w:ascii="Times New Roman" w:hAnsi="Times New Roman" w:eastAsia="Times New Roman" w:cs="Times New Roman"/>
        <w:sz w:val="20"/>
        <w:szCs w:val="20"/>
      </w:rPr>
    </w:pPr>
    <w:r>
      <w:rPr>
        <w:rFonts w:ascii="Times New Roman" w:hAnsi="Times New Roman" w:eastAsia="Times New Roman" w:cs="Times New Roman"/>
        <w:sz w:val="20"/>
        <w:szCs w:val="20"/>
      </w:rPr>
      <w:t>52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2D33F">
    <w:pPr>
      <w:spacing w:line="173" w:lineRule="auto"/>
      <w:ind w:left="4931"/>
      <w:rPr>
        <w:rFonts w:ascii="Times New Roman" w:hAnsi="Times New Roman" w:eastAsia="Times New Roman" w:cs="Times New Roman"/>
        <w:sz w:val="18"/>
        <w:szCs w:val="18"/>
      </w:rPr>
    </w:pPr>
    <w:r>
      <w:rPr>
        <w:rFonts w:ascii="Times New Roman" w:hAnsi="Times New Roman" w:eastAsia="Times New Roman" w:cs="Times New Roman"/>
        <w:sz w:val="18"/>
        <w:szCs w:val="18"/>
      </w:rPr>
      <w:t>I</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2FA6B">
    <w:pPr>
      <w:spacing w:line="176" w:lineRule="auto"/>
      <w:ind w:left="4109"/>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15</w:t>
    </w:r>
  </w:p>
</w:ftr>
</file>

<file path=word/footer2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F3F34">
    <w:pPr>
      <w:spacing w:line="184" w:lineRule="auto"/>
      <w:ind w:left="4072"/>
      <w:rPr>
        <w:rFonts w:ascii="Times New Roman" w:hAnsi="Times New Roman" w:eastAsia="Times New Roman" w:cs="Times New Roman"/>
        <w:sz w:val="20"/>
        <w:szCs w:val="20"/>
      </w:rPr>
    </w:pPr>
    <w:r>
      <w:rPr>
        <w:rFonts w:ascii="Times New Roman" w:hAnsi="Times New Roman" w:eastAsia="Times New Roman" w:cs="Times New Roman"/>
        <w:sz w:val="20"/>
        <w:szCs w:val="20"/>
      </w:rPr>
      <w:t>53</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29721">
    <w:pPr>
      <w:spacing w:line="176" w:lineRule="auto"/>
      <w:ind w:left="4109"/>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16</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7082A">
    <w:pPr>
      <w:spacing w:line="176" w:lineRule="auto"/>
      <w:ind w:left="4109"/>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17</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84773">
    <w:pPr>
      <w:spacing w:line="176" w:lineRule="auto"/>
      <w:ind w:left="4109"/>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18</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DBFF8">
    <w:pPr>
      <w:spacing w:line="176" w:lineRule="auto"/>
      <w:ind w:left="4109"/>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19</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608B3">
    <w:pPr>
      <w:spacing w:line="176" w:lineRule="auto"/>
      <w:ind w:left="409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25046">
    <w:pPr>
      <w:spacing w:line="176" w:lineRule="auto"/>
      <w:ind w:left="409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21</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6E8E2">
    <w:pPr>
      <w:spacing w:line="176" w:lineRule="auto"/>
      <w:ind w:left="409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22</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77135">
    <w:pPr>
      <w:spacing w:line="176" w:lineRule="auto"/>
      <w:ind w:left="409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23</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D8FAA">
    <w:pPr>
      <w:spacing w:line="176" w:lineRule="auto"/>
      <w:ind w:left="409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A7400">
    <w:pPr>
      <w:spacing w:line="173" w:lineRule="auto"/>
      <w:ind w:left="4141"/>
      <w:rPr>
        <w:rFonts w:ascii="Times New Roman" w:hAnsi="Times New Roman" w:eastAsia="Times New Roman" w:cs="Times New Roman"/>
        <w:sz w:val="18"/>
        <w:szCs w:val="18"/>
      </w:rPr>
    </w:pPr>
    <w:r>
      <w:rPr>
        <w:rFonts w:ascii="Times New Roman" w:hAnsi="Times New Roman" w:eastAsia="Times New Roman" w:cs="Times New Roman"/>
        <w:sz w:val="18"/>
        <w:szCs w:val="18"/>
      </w:rPr>
      <w:t>I</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C4B77">
    <w:pPr>
      <w:spacing w:line="176" w:lineRule="auto"/>
      <w:ind w:left="409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25</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6FC77">
    <w:pPr>
      <w:spacing w:line="176" w:lineRule="auto"/>
      <w:ind w:left="409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26</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D081B">
    <w:pPr>
      <w:spacing w:line="176" w:lineRule="auto"/>
      <w:ind w:left="409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A7B94">
    <w:pPr>
      <w:spacing w:line="176" w:lineRule="auto"/>
      <w:ind w:left="409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28</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7D036">
    <w:pPr>
      <w:spacing w:line="176" w:lineRule="auto"/>
      <w:ind w:left="418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29</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2D0E6">
    <w:pPr>
      <w:spacing w:line="176" w:lineRule="auto"/>
      <w:ind w:left="418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30</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2F79F">
    <w:pPr>
      <w:spacing w:line="176" w:lineRule="auto"/>
      <w:ind w:left="418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31</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382E9">
    <w:pPr>
      <w:spacing w:line="176" w:lineRule="auto"/>
      <w:ind w:left="418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32</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D993A">
    <w:pPr>
      <w:spacing w:line="176" w:lineRule="auto"/>
      <w:ind w:left="418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33</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7553C">
    <w:pPr>
      <w:spacing w:line="176" w:lineRule="auto"/>
      <w:ind w:left="418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29738">
    <w:pPr>
      <w:spacing w:line="184" w:lineRule="auto"/>
      <w:ind w:left="4140"/>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F4D12">
    <w:pPr>
      <w:spacing w:line="176" w:lineRule="auto"/>
      <w:ind w:left="418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35</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735E9">
    <w:pPr>
      <w:spacing w:line="176" w:lineRule="auto"/>
      <w:ind w:left="418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36</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70385">
    <w:pPr>
      <w:spacing w:line="176" w:lineRule="auto"/>
      <w:ind w:left="418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37</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051EE">
    <w:pPr>
      <w:spacing w:line="176" w:lineRule="auto"/>
      <w:ind w:left="418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38</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C9CD6">
    <w:pPr>
      <w:spacing w:line="176" w:lineRule="auto"/>
      <w:ind w:left="418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39</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8E5AD">
    <w:pPr>
      <w:spacing w:line="176" w:lineRule="auto"/>
      <w:ind w:left="418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40</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CE0AF">
    <w:pPr>
      <w:spacing w:line="176" w:lineRule="auto"/>
      <w:ind w:left="418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41</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21CD1">
    <w:pPr>
      <w:spacing w:line="176" w:lineRule="auto"/>
      <w:ind w:left="418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42</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42D31">
    <w:pPr>
      <w:spacing w:line="176" w:lineRule="auto"/>
      <w:ind w:left="418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87C91">
    <w:pPr>
      <w:spacing w:line="176" w:lineRule="auto"/>
      <w:ind w:left="418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FC812">
    <w:pPr>
      <w:spacing w:line="184" w:lineRule="auto"/>
      <w:ind w:left="411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EFE55">
    <w:pPr>
      <w:spacing w:line="176" w:lineRule="auto"/>
      <w:ind w:left="418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45</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BBC6A">
    <w:pPr>
      <w:spacing w:line="176" w:lineRule="auto"/>
      <w:ind w:left="418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46</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FF6B2">
    <w:pPr>
      <w:spacing w:line="176" w:lineRule="auto"/>
      <w:ind w:left="418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47</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6FDC4">
    <w:pPr>
      <w:spacing w:line="176" w:lineRule="auto"/>
      <w:ind w:left="418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48</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900B6">
    <w:pPr>
      <w:spacing w:line="176" w:lineRule="auto"/>
      <w:ind w:left="418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49</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DF1AB">
    <w:pPr>
      <w:spacing w:line="176"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50</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03147">
    <w:pPr>
      <w:spacing w:line="176"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51</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3E0FC">
    <w:pPr>
      <w:spacing w:line="176"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52</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78377">
    <w:pPr>
      <w:spacing w:line="176"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53</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6C68C">
    <w:pPr>
      <w:spacing w:line="176"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54</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5CAF9">
    <w:pPr>
      <w:spacing w:line="176" w:lineRule="auto"/>
      <w:ind w:left="4109"/>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3A459">
    <w:pPr>
      <w:spacing w:line="173"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55</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CF5CC">
    <w:pPr>
      <w:spacing w:line="176"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56</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92610">
    <w:pPr>
      <w:spacing w:line="173"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57</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BDDFC">
    <w:pPr>
      <w:spacing w:line="176"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58</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53329">
    <w:pPr>
      <w:spacing w:line="176"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59</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B8340">
    <w:pPr>
      <w:spacing w:line="176"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60</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4A063">
    <w:pPr>
      <w:spacing w:line="176"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61</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E6BBA">
    <w:pPr>
      <w:spacing w:line="176"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62</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C9CE3">
    <w:pPr>
      <w:spacing w:line="176"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63</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6259E">
    <w:pPr>
      <w:spacing w:line="176"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64</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FE100">
    <w:pPr>
      <w:spacing w:line="176" w:lineRule="auto"/>
      <w:ind w:left="4092"/>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CDB1E">
    <w:pPr>
      <w:spacing w:line="176"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65</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CC848">
    <w:pPr>
      <w:spacing w:line="176"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66</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B26F4">
    <w:pPr>
      <w:spacing w:line="176"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67</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3D09C">
    <w:pPr>
      <w:spacing w:line="176"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68</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5EEED">
    <w:pPr>
      <w:spacing w:line="176" w:lineRule="auto"/>
      <w:ind w:left="418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69</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76924">
    <w:pPr>
      <w:spacing w:line="176" w:lineRule="auto"/>
      <w:ind w:left="4187"/>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70</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C2C7A">
    <w:pPr>
      <w:spacing w:line="176" w:lineRule="auto"/>
      <w:ind w:left="4187"/>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71</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A68DE">
    <w:pPr>
      <w:spacing w:line="176" w:lineRule="auto"/>
      <w:ind w:left="697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72</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F1329">
    <w:pPr>
      <w:spacing w:line="176" w:lineRule="auto"/>
      <w:ind w:left="697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73</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AB586">
    <w:pPr>
      <w:spacing w:line="176" w:lineRule="auto"/>
      <w:ind w:left="697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74</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2D17C">
    <w:pPr>
      <w:spacing w:line="176" w:lineRule="auto"/>
      <w:ind w:left="4096"/>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22932">
    <w:pPr>
      <w:spacing w:line="173" w:lineRule="auto"/>
      <w:ind w:left="697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75</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DCAF0">
    <w:pPr>
      <w:spacing w:line="176" w:lineRule="auto"/>
      <w:ind w:left="697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76</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8C9F5">
    <w:pPr>
      <w:spacing w:line="173" w:lineRule="auto"/>
      <w:ind w:left="697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77</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47C0C">
    <w:pPr>
      <w:spacing w:line="176" w:lineRule="auto"/>
      <w:ind w:left="697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78</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3E440">
    <w:pPr>
      <w:spacing w:line="176" w:lineRule="auto"/>
      <w:ind w:left="697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79</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F1D1C">
    <w:pPr>
      <w:spacing w:line="176" w:lineRule="auto"/>
      <w:ind w:left="418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80</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81073">
    <w:pPr>
      <w:spacing w:line="176" w:lineRule="auto"/>
      <w:ind w:left="418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81</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7878E">
    <w:pPr>
      <w:spacing w:line="176" w:lineRule="auto"/>
      <w:ind w:left="418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82</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27F57">
    <w:pPr>
      <w:spacing w:line="176" w:lineRule="auto"/>
      <w:ind w:left="4186"/>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83</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4ED36">
    <w:pPr>
      <w:spacing w:line="176" w:lineRule="auto"/>
      <w:ind w:left="431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84</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CE3F8">
    <w:pPr>
      <w:spacing w:line="176" w:lineRule="auto"/>
      <w:ind w:left="4091"/>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2F0F3">
    <w:pPr>
      <w:spacing w:line="176" w:lineRule="auto"/>
      <w:ind w:left="431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85</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76B41">
    <w:pPr>
      <w:spacing w:line="176" w:lineRule="auto"/>
      <w:ind w:left="431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86</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5E08A">
    <w:pPr>
      <w:spacing w:line="176" w:lineRule="auto"/>
      <w:ind w:left="431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87</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44232">
    <w:pPr>
      <w:spacing w:line="176" w:lineRule="auto"/>
      <w:ind w:left="431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88</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84ADC">
    <w:pPr>
      <w:spacing w:line="176" w:lineRule="auto"/>
      <w:ind w:left="4312"/>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89</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D58BB">
    <w:pPr>
      <w:spacing w:line="176" w:lineRule="auto"/>
      <w:ind w:left="430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90</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F00F6">
    <w:pPr>
      <w:spacing w:line="176" w:lineRule="auto"/>
      <w:ind w:left="430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91</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17492">
    <w:pPr>
      <w:spacing w:line="176" w:lineRule="auto"/>
      <w:ind w:left="430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92</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7EB90">
    <w:pPr>
      <w:spacing w:line="176" w:lineRule="auto"/>
      <w:ind w:left="430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93</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5B503">
    <w:pPr>
      <w:spacing w:line="176" w:lineRule="auto"/>
      <w:ind w:left="430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94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8DD0F">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8597D">
    <w:pPr>
      <w:spacing w:line="14" w:lineRule="auto"/>
      <w:rPr>
        <w:rFonts w:ascii="Arial"/>
        <w:sz w:val="2"/>
      </w:rPr>
    </w:pPr>
    <w:r>
      <w:pict>
        <v:shape id="WordPictureWatermark28" o:spid="_x0000_s2049" o:spt="75" type="#_x0000_t75" style="position:absolute;left:0pt;margin-left:123.15pt;margin-top:401.55pt;height:229.05pt;width:347.15pt;mso-position-horizontal-relative:page;mso-position-vertical-relative:page;z-index:-251657216;mso-width-relative:page;mso-height-relative:page;" filled="f" stroked="f" coordsize="21600,21600" o:allowincell="f">
          <v:path/>
          <v:fill on="f" focussize="0,0"/>
          <v:stroke on="f"/>
          <v:imagedata r:id="rId1" o:title=""/>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8DD0F">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AC25FA4"/>
    <w:rsid w:val="76E952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2.xml"/><Relationship Id="rId98" Type="http://schemas.openxmlformats.org/officeDocument/2006/relationships/footer" Target="footer91.xml"/><Relationship Id="rId97" Type="http://schemas.openxmlformats.org/officeDocument/2006/relationships/footer" Target="footer90.xml"/><Relationship Id="rId96" Type="http://schemas.openxmlformats.org/officeDocument/2006/relationships/footer" Target="footer89.xml"/><Relationship Id="rId95" Type="http://schemas.openxmlformats.org/officeDocument/2006/relationships/footer" Target="footer88.xml"/><Relationship Id="rId94" Type="http://schemas.openxmlformats.org/officeDocument/2006/relationships/footer" Target="footer87.xml"/><Relationship Id="rId93" Type="http://schemas.openxmlformats.org/officeDocument/2006/relationships/footer" Target="footer86.xml"/><Relationship Id="rId92" Type="http://schemas.openxmlformats.org/officeDocument/2006/relationships/footer" Target="footer85.xml"/><Relationship Id="rId91" Type="http://schemas.openxmlformats.org/officeDocument/2006/relationships/footer" Target="footer84.xml"/><Relationship Id="rId90" Type="http://schemas.openxmlformats.org/officeDocument/2006/relationships/footer" Target="footer83.xml"/><Relationship Id="rId9" Type="http://schemas.openxmlformats.org/officeDocument/2006/relationships/footer" Target="footer4.xml"/><Relationship Id="rId89" Type="http://schemas.openxmlformats.org/officeDocument/2006/relationships/footer" Target="footer82.xml"/><Relationship Id="rId88" Type="http://schemas.openxmlformats.org/officeDocument/2006/relationships/footer" Target="footer81.xml"/><Relationship Id="rId87" Type="http://schemas.openxmlformats.org/officeDocument/2006/relationships/footer" Target="footer80.xml"/><Relationship Id="rId86" Type="http://schemas.openxmlformats.org/officeDocument/2006/relationships/footer" Target="footer79.xml"/><Relationship Id="rId85" Type="http://schemas.openxmlformats.org/officeDocument/2006/relationships/footer" Target="footer78.xml"/><Relationship Id="rId84" Type="http://schemas.openxmlformats.org/officeDocument/2006/relationships/footer" Target="footer77.xml"/><Relationship Id="rId83" Type="http://schemas.openxmlformats.org/officeDocument/2006/relationships/footer" Target="footer76.xml"/><Relationship Id="rId82" Type="http://schemas.openxmlformats.org/officeDocument/2006/relationships/footer" Target="footer75.xml"/><Relationship Id="rId81" Type="http://schemas.openxmlformats.org/officeDocument/2006/relationships/footer" Target="footer74.xml"/><Relationship Id="rId80" Type="http://schemas.openxmlformats.org/officeDocument/2006/relationships/footer" Target="footer73.xml"/><Relationship Id="rId8" Type="http://schemas.openxmlformats.org/officeDocument/2006/relationships/footer" Target="footer3.xml"/><Relationship Id="rId79" Type="http://schemas.openxmlformats.org/officeDocument/2006/relationships/footer" Target="footer72.xml"/><Relationship Id="rId78" Type="http://schemas.openxmlformats.org/officeDocument/2006/relationships/footer" Target="footer71.xml"/><Relationship Id="rId77" Type="http://schemas.openxmlformats.org/officeDocument/2006/relationships/footer" Target="footer70.xml"/><Relationship Id="rId76" Type="http://schemas.openxmlformats.org/officeDocument/2006/relationships/footer" Target="footer69.xml"/><Relationship Id="rId75" Type="http://schemas.openxmlformats.org/officeDocument/2006/relationships/footer" Target="footer68.xml"/><Relationship Id="rId74" Type="http://schemas.openxmlformats.org/officeDocument/2006/relationships/footer" Target="footer67.xml"/><Relationship Id="rId73" Type="http://schemas.openxmlformats.org/officeDocument/2006/relationships/footer" Target="footer66.xml"/><Relationship Id="rId72" Type="http://schemas.openxmlformats.org/officeDocument/2006/relationships/footer" Target="footer65.xml"/><Relationship Id="rId71" Type="http://schemas.openxmlformats.org/officeDocument/2006/relationships/footer" Target="footer64.xml"/><Relationship Id="rId70" Type="http://schemas.openxmlformats.org/officeDocument/2006/relationships/footer" Target="footer63.xml"/><Relationship Id="rId7" Type="http://schemas.openxmlformats.org/officeDocument/2006/relationships/footer" Target="footer2.xml"/><Relationship Id="rId69" Type="http://schemas.openxmlformats.org/officeDocument/2006/relationships/footer" Target="footer62.xml"/><Relationship Id="rId68" Type="http://schemas.openxmlformats.org/officeDocument/2006/relationships/footer" Target="footer61.xml"/><Relationship Id="rId67" Type="http://schemas.openxmlformats.org/officeDocument/2006/relationships/footer" Target="footer60.xml"/><Relationship Id="rId66" Type="http://schemas.openxmlformats.org/officeDocument/2006/relationships/footer" Target="footer59.xml"/><Relationship Id="rId65" Type="http://schemas.openxmlformats.org/officeDocument/2006/relationships/footer" Target="footer58.xml"/><Relationship Id="rId64" Type="http://schemas.openxmlformats.org/officeDocument/2006/relationships/footer" Target="footer57.xml"/><Relationship Id="rId63" Type="http://schemas.openxmlformats.org/officeDocument/2006/relationships/footer" Target="footer56.xml"/><Relationship Id="rId62" Type="http://schemas.openxmlformats.org/officeDocument/2006/relationships/footer" Target="footer55.xml"/><Relationship Id="rId61" Type="http://schemas.openxmlformats.org/officeDocument/2006/relationships/footer" Target="footer54.xml"/><Relationship Id="rId60" Type="http://schemas.openxmlformats.org/officeDocument/2006/relationships/footer" Target="footer53.xml"/><Relationship Id="rId6" Type="http://schemas.openxmlformats.org/officeDocument/2006/relationships/footer" Target="footer1.xml"/><Relationship Id="rId59" Type="http://schemas.openxmlformats.org/officeDocument/2006/relationships/footer" Target="footer52.xml"/><Relationship Id="rId58" Type="http://schemas.openxmlformats.org/officeDocument/2006/relationships/footer" Target="footer51.xml"/><Relationship Id="rId57" Type="http://schemas.openxmlformats.org/officeDocument/2006/relationships/footer" Target="footer50.xml"/><Relationship Id="rId56" Type="http://schemas.openxmlformats.org/officeDocument/2006/relationships/footer" Target="footer49.xml"/><Relationship Id="rId55" Type="http://schemas.openxmlformats.org/officeDocument/2006/relationships/footer" Target="footer48.xml"/><Relationship Id="rId54" Type="http://schemas.openxmlformats.org/officeDocument/2006/relationships/header" Target="header3.xml"/><Relationship Id="rId53" Type="http://schemas.openxmlformats.org/officeDocument/2006/relationships/footer" Target="footer47.xml"/><Relationship Id="rId52" Type="http://schemas.openxmlformats.org/officeDocument/2006/relationships/header" Target="header2.xml"/><Relationship Id="rId51" Type="http://schemas.openxmlformats.org/officeDocument/2006/relationships/footer" Target="footer46.xml"/><Relationship Id="rId50" Type="http://schemas.openxmlformats.org/officeDocument/2006/relationships/footer" Target="footer45.xml"/><Relationship Id="rId5" Type="http://schemas.openxmlformats.org/officeDocument/2006/relationships/header" Target="header1.xml"/><Relationship Id="rId49" Type="http://schemas.openxmlformats.org/officeDocument/2006/relationships/footer" Target="footer44.xml"/><Relationship Id="rId48" Type="http://schemas.openxmlformats.org/officeDocument/2006/relationships/footer" Target="footer43.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4" Type="http://schemas.openxmlformats.org/officeDocument/2006/relationships/fontTable" Target="fontTable.xml"/><Relationship Id="rId323" Type="http://schemas.openxmlformats.org/officeDocument/2006/relationships/customXml" Target="../customXml/item2.xml"/><Relationship Id="rId322" Type="http://schemas.openxmlformats.org/officeDocument/2006/relationships/customXml" Target="../customXml/item1.xml"/><Relationship Id="rId321" Type="http://schemas.openxmlformats.org/officeDocument/2006/relationships/image" Target="media/image114.jpeg"/><Relationship Id="rId320" Type="http://schemas.openxmlformats.org/officeDocument/2006/relationships/image" Target="media/image113.jpeg"/><Relationship Id="rId32" Type="http://schemas.openxmlformats.org/officeDocument/2006/relationships/footer" Target="footer27.xml"/><Relationship Id="rId319" Type="http://schemas.openxmlformats.org/officeDocument/2006/relationships/image" Target="media/image112.jpeg"/><Relationship Id="rId318" Type="http://schemas.openxmlformats.org/officeDocument/2006/relationships/image" Target="media/image111.jpeg"/><Relationship Id="rId317" Type="http://schemas.openxmlformats.org/officeDocument/2006/relationships/image" Target="media/image110.jpeg"/><Relationship Id="rId316" Type="http://schemas.openxmlformats.org/officeDocument/2006/relationships/image" Target="media/image109.jpeg"/><Relationship Id="rId315" Type="http://schemas.openxmlformats.org/officeDocument/2006/relationships/image" Target="media/image108.jpeg"/><Relationship Id="rId314" Type="http://schemas.openxmlformats.org/officeDocument/2006/relationships/image" Target="media/image107.jpeg"/><Relationship Id="rId313" Type="http://schemas.openxmlformats.org/officeDocument/2006/relationships/image" Target="media/image106.jpeg"/><Relationship Id="rId312" Type="http://schemas.openxmlformats.org/officeDocument/2006/relationships/image" Target="media/image105.jpeg"/><Relationship Id="rId311" Type="http://schemas.openxmlformats.org/officeDocument/2006/relationships/image" Target="media/image104.jpeg"/><Relationship Id="rId310" Type="http://schemas.openxmlformats.org/officeDocument/2006/relationships/image" Target="media/image103.jpeg"/><Relationship Id="rId31" Type="http://schemas.openxmlformats.org/officeDocument/2006/relationships/footer" Target="footer26.xml"/><Relationship Id="rId309" Type="http://schemas.openxmlformats.org/officeDocument/2006/relationships/image" Target="media/image102.jpeg"/><Relationship Id="rId308" Type="http://schemas.openxmlformats.org/officeDocument/2006/relationships/image" Target="media/image101.jpeg"/><Relationship Id="rId307" Type="http://schemas.openxmlformats.org/officeDocument/2006/relationships/image" Target="media/image100.jpeg"/><Relationship Id="rId306" Type="http://schemas.openxmlformats.org/officeDocument/2006/relationships/image" Target="media/image99.jpeg"/><Relationship Id="rId305" Type="http://schemas.openxmlformats.org/officeDocument/2006/relationships/image" Target="media/image98.png"/><Relationship Id="rId304" Type="http://schemas.openxmlformats.org/officeDocument/2006/relationships/image" Target="media/image97.jpeg"/><Relationship Id="rId303" Type="http://schemas.openxmlformats.org/officeDocument/2006/relationships/image" Target="media/image96.jpeg"/><Relationship Id="rId302" Type="http://schemas.openxmlformats.org/officeDocument/2006/relationships/image" Target="media/image95.jpeg"/><Relationship Id="rId301" Type="http://schemas.openxmlformats.org/officeDocument/2006/relationships/image" Target="media/image94.jpeg"/><Relationship Id="rId300" Type="http://schemas.openxmlformats.org/officeDocument/2006/relationships/image" Target="media/image93.png"/><Relationship Id="rId30" Type="http://schemas.openxmlformats.org/officeDocument/2006/relationships/footer" Target="footer25.xml"/><Relationship Id="rId3" Type="http://schemas.openxmlformats.org/officeDocument/2006/relationships/footnotes" Target="footnotes.xml"/><Relationship Id="rId299" Type="http://schemas.openxmlformats.org/officeDocument/2006/relationships/image" Target="media/image92.png"/><Relationship Id="rId298" Type="http://schemas.openxmlformats.org/officeDocument/2006/relationships/image" Target="media/image91.png"/><Relationship Id="rId297" Type="http://schemas.openxmlformats.org/officeDocument/2006/relationships/image" Target="media/image90.png"/><Relationship Id="rId296" Type="http://schemas.openxmlformats.org/officeDocument/2006/relationships/image" Target="media/image89.png"/><Relationship Id="rId295" Type="http://schemas.openxmlformats.org/officeDocument/2006/relationships/image" Target="media/image88.png"/><Relationship Id="rId294" Type="http://schemas.openxmlformats.org/officeDocument/2006/relationships/image" Target="media/image87.png"/><Relationship Id="rId293" Type="http://schemas.openxmlformats.org/officeDocument/2006/relationships/image" Target="media/image86.png"/><Relationship Id="rId292" Type="http://schemas.openxmlformats.org/officeDocument/2006/relationships/image" Target="media/image85.png"/><Relationship Id="rId291" Type="http://schemas.openxmlformats.org/officeDocument/2006/relationships/image" Target="media/image84.png"/><Relationship Id="rId290" Type="http://schemas.openxmlformats.org/officeDocument/2006/relationships/image" Target="media/image83.png"/><Relationship Id="rId29" Type="http://schemas.openxmlformats.org/officeDocument/2006/relationships/footer" Target="footer24.xml"/><Relationship Id="rId289" Type="http://schemas.openxmlformats.org/officeDocument/2006/relationships/image" Target="media/image82.png"/><Relationship Id="rId288" Type="http://schemas.openxmlformats.org/officeDocument/2006/relationships/image" Target="media/image81.png"/><Relationship Id="rId287" Type="http://schemas.openxmlformats.org/officeDocument/2006/relationships/image" Target="media/image80.png"/><Relationship Id="rId286" Type="http://schemas.openxmlformats.org/officeDocument/2006/relationships/image" Target="media/image79.png"/><Relationship Id="rId285" Type="http://schemas.openxmlformats.org/officeDocument/2006/relationships/image" Target="media/image78.png"/><Relationship Id="rId284" Type="http://schemas.openxmlformats.org/officeDocument/2006/relationships/image" Target="media/image77.png"/><Relationship Id="rId283" Type="http://schemas.openxmlformats.org/officeDocument/2006/relationships/image" Target="media/image76.png"/><Relationship Id="rId282" Type="http://schemas.openxmlformats.org/officeDocument/2006/relationships/image" Target="media/image75.jpeg"/><Relationship Id="rId281" Type="http://schemas.openxmlformats.org/officeDocument/2006/relationships/image" Target="media/image74.png"/><Relationship Id="rId280" Type="http://schemas.openxmlformats.org/officeDocument/2006/relationships/image" Target="media/image73.png"/><Relationship Id="rId28" Type="http://schemas.openxmlformats.org/officeDocument/2006/relationships/footer" Target="footer23.xml"/><Relationship Id="rId279" Type="http://schemas.openxmlformats.org/officeDocument/2006/relationships/image" Target="media/image72.jpeg"/><Relationship Id="rId278" Type="http://schemas.openxmlformats.org/officeDocument/2006/relationships/image" Target="media/image71.jpeg"/><Relationship Id="rId277" Type="http://schemas.openxmlformats.org/officeDocument/2006/relationships/image" Target="media/image70.jpeg"/><Relationship Id="rId276" Type="http://schemas.openxmlformats.org/officeDocument/2006/relationships/image" Target="media/image69.jpeg"/><Relationship Id="rId275" Type="http://schemas.openxmlformats.org/officeDocument/2006/relationships/image" Target="media/image68.jpeg"/><Relationship Id="rId274" Type="http://schemas.openxmlformats.org/officeDocument/2006/relationships/image" Target="media/image67.jpeg"/><Relationship Id="rId273" Type="http://schemas.openxmlformats.org/officeDocument/2006/relationships/image" Target="media/image66.png"/><Relationship Id="rId272" Type="http://schemas.openxmlformats.org/officeDocument/2006/relationships/image" Target="media/image65.jpeg"/><Relationship Id="rId271" Type="http://schemas.openxmlformats.org/officeDocument/2006/relationships/image" Target="media/image64.png"/><Relationship Id="rId270" Type="http://schemas.openxmlformats.org/officeDocument/2006/relationships/image" Target="media/image63.png"/><Relationship Id="rId27" Type="http://schemas.openxmlformats.org/officeDocument/2006/relationships/footer" Target="footer22.xml"/><Relationship Id="rId269" Type="http://schemas.openxmlformats.org/officeDocument/2006/relationships/image" Target="media/image62.jpeg"/><Relationship Id="rId268" Type="http://schemas.openxmlformats.org/officeDocument/2006/relationships/image" Target="media/image61.jpeg"/><Relationship Id="rId267" Type="http://schemas.openxmlformats.org/officeDocument/2006/relationships/image" Target="media/image60.png"/><Relationship Id="rId266" Type="http://schemas.openxmlformats.org/officeDocument/2006/relationships/image" Target="media/image59.png"/><Relationship Id="rId265" Type="http://schemas.openxmlformats.org/officeDocument/2006/relationships/image" Target="media/image58.png"/><Relationship Id="rId264" Type="http://schemas.openxmlformats.org/officeDocument/2006/relationships/image" Target="media/image57.png"/><Relationship Id="rId263" Type="http://schemas.openxmlformats.org/officeDocument/2006/relationships/image" Target="media/image56.png"/><Relationship Id="rId262" Type="http://schemas.openxmlformats.org/officeDocument/2006/relationships/image" Target="media/image55.png"/><Relationship Id="rId261" Type="http://schemas.openxmlformats.org/officeDocument/2006/relationships/image" Target="media/image54.png"/><Relationship Id="rId260" Type="http://schemas.openxmlformats.org/officeDocument/2006/relationships/image" Target="media/image53.jpeg"/><Relationship Id="rId26" Type="http://schemas.openxmlformats.org/officeDocument/2006/relationships/footer" Target="footer21.xml"/><Relationship Id="rId259" Type="http://schemas.openxmlformats.org/officeDocument/2006/relationships/image" Target="media/image52.png"/><Relationship Id="rId258" Type="http://schemas.openxmlformats.org/officeDocument/2006/relationships/image" Target="media/image51.png"/><Relationship Id="rId257" Type="http://schemas.openxmlformats.org/officeDocument/2006/relationships/image" Target="media/image50.jpeg"/><Relationship Id="rId256" Type="http://schemas.openxmlformats.org/officeDocument/2006/relationships/image" Target="media/image49.png"/><Relationship Id="rId255" Type="http://schemas.openxmlformats.org/officeDocument/2006/relationships/image" Target="media/image48.png"/><Relationship Id="rId254" Type="http://schemas.openxmlformats.org/officeDocument/2006/relationships/image" Target="media/image47.jpeg"/><Relationship Id="rId253" Type="http://schemas.openxmlformats.org/officeDocument/2006/relationships/image" Target="media/image46.png"/><Relationship Id="rId252" Type="http://schemas.openxmlformats.org/officeDocument/2006/relationships/image" Target="media/image45.png"/><Relationship Id="rId251" Type="http://schemas.openxmlformats.org/officeDocument/2006/relationships/image" Target="media/image44.png"/><Relationship Id="rId250" Type="http://schemas.openxmlformats.org/officeDocument/2006/relationships/image" Target="media/image43.jpeg"/><Relationship Id="rId25" Type="http://schemas.openxmlformats.org/officeDocument/2006/relationships/footer" Target="footer20.xml"/><Relationship Id="rId249" Type="http://schemas.openxmlformats.org/officeDocument/2006/relationships/image" Target="media/image42.jpeg"/><Relationship Id="rId248" Type="http://schemas.openxmlformats.org/officeDocument/2006/relationships/image" Target="media/image41.jpeg"/><Relationship Id="rId247" Type="http://schemas.openxmlformats.org/officeDocument/2006/relationships/image" Target="media/image40.jpeg"/><Relationship Id="rId246" Type="http://schemas.openxmlformats.org/officeDocument/2006/relationships/image" Target="media/image39.jpeg"/><Relationship Id="rId245" Type="http://schemas.openxmlformats.org/officeDocument/2006/relationships/image" Target="media/image38.jpeg"/><Relationship Id="rId244" Type="http://schemas.openxmlformats.org/officeDocument/2006/relationships/image" Target="media/image37.png"/><Relationship Id="rId243" Type="http://schemas.openxmlformats.org/officeDocument/2006/relationships/image" Target="media/image36.png"/><Relationship Id="rId242" Type="http://schemas.openxmlformats.org/officeDocument/2006/relationships/image" Target="media/image35.jpeg"/><Relationship Id="rId241" Type="http://schemas.openxmlformats.org/officeDocument/2006/relationships/image" Target="media/image34.jpeg"/><Relationship Id="rId240" Type="http://schemas.openxmlformats.org/officeDocument/2006/relationships/image" Target="media/image33.png"/><Relationship Id="rId24" Type="http://schemas.openxmlformats.org/officeDocument/2006/relationships/footer" Target="footer19.xml"/><Relationship Id="rId239" Type="http://schemas.openxmlformats.org/officeDocument/2006/relationships/image" Target="media/image32.png"/><Relationship Id="rId238" Type="http://schemas.openxmlformats.org/officeDocument/2006/relationships/image" Target="media/image31.jpeg"/><Relationship Id="rId237" Type="http://schemas.openxmlformats.org/officeDocument/2006/relationships/image" Target="media/image30.jpeg"/><Relationship Id="rId236" Type="http://schemas.openxmlformats.org/officeDocument/2006/relationships/image" Target="media/image29.png"/><Relationship Id="rId235" Type="http://schemas.openxmlformats.org/officeDocument/2006/relationships/image" Target="media/image28.jpeg"/><Relationship Id="rId234" Type="http://schemas.openxmlformats.org/officeDocument/2006/relationships/image" Target="media/image27.png"/><Relationship Id="rId233" Type="http://schemas.openxmlformats.org/officeDocument/2006/relationships/image" Target="media/image26.jpeg"/><Relationship Id="rId232" Type="http://schemas.openxmlformats.org/officeDocument/2006/relationships/image" Target="media/image25.jpeg"/><Relationship Id="rId231" Type="http://schemas.openxmlformats.org/officeDocument/2006/relationships/image" Target="media/image24.jpeg"/><Relationship Id="rId230" Type="http://schemas.openxmlformats.org/officeDocument/2006/relationships/image" Target="media/image23.jpeg"/><Relationship Id="rId23" Type="http://schemas.openxmlformats.org/officeDocument/2006/relationships/footer" Target="footer18.xml"/><Relationship Id="rId229" Type="http://schemas.openxmlformats.org/officeDocument/2006/relationships/image" Target="media/image22.png"/><Relationship Id="rId228" Type="http://schemas.openxmlformats.org/officeDocument/2006/relationships/image" Target="media/image21.png"/><Relationship Id="rId227" Type="http://schemas.openxmlformats.org/officeDocument/2006/relationships/image" Target="media/image20.jpeg"/><Relationship Id="rId226" Type="http://schemas.openxmlformats.org/officeDocument/2006/relationships/image" Target="media/image19.png"/><Relationship Id="rId225" Type="http://schemas.openxmlformats.org/officeDocument/2006/relationships/image" Target="media/image18.png"/><Relationship Id="rId224" Type="http://schemas.openxmlformats.org/officeDocument/2006/relationships/image" Target="media/image17.png"/><Relationship Id="rId223" Type="http://schemas.openxmlformats.org/officeDocument/2006/relationships/image" Target="media/image16.png"/><Relationship Id="rId222" Type="http://schemas.openxmlformats.org/officeDocument/2006/relationships/image" Target="media/image15.png"/><Relationship Id="rId221" Type="http://schemas.openxmlformats.org/officeDocument/2006/relationships/image" Target="media/image14.jpeg"/><Relationship Id="rId220" Type="http://schemas.openxmlformats.org/officeDocument/2006/relationships/image" Target="media/image13.png"/><Relationship Id="rId22" Type="http://schemas.openxmlformats.org/officeDocument/2006/relationships/footer" Target="footer17.xml"/><Relationship Id="rId219" Type="http://schemas.openxmlformats.org/officeDocument/2006/relationships/image" Target="media/image12.png"/><Relationship Id="rId218" Type="http://schemas.openxmlformats.org/officeDocument/2006/relationships/image" Target="media/image11.jpeg"/><Relationship Id="rId217" Type="http://schemas.openxmlformats.org/officeDocument/2006/relationships/image" Target="media/image10.jpeg"/><Relationship Id="rId216" Type="http://schemas.openxmlformats.org/officeDocument/2006/relationships/image" Target="media/image9.jpeg"/><Relationship Id="rId215" Type="http://schemas.openxmlformats.org/officeDocument/2006/relationships/image" Target="media/image8.jpeg"/><Relationship Id="rId214" Type="http://schemas.openxmlformats.org/officeDocument/2006/relationships/image" Target="media/image7.jpeg"/><Relationship Id="rId213" Type="http://schemas.openxmlformats.org/officeDocument/2006/relationships/image" Target="media/image6.jpeg"/><Relationship Id="rId212" Type="http://schemas.openxmlformats.org/officeDocument/2006/relationships/image" Target="media/image5.png"/><Relationship Id="rId211" Type="http://schemas.openxmlformats.org/officeDocument/2006/relationships/image" Target="media/image4.jpeg"/><Relationship Id="rId210" Type="http://schemas.openxmlformats.org/officeDocument/2006/relationships/image" Target="media/image3.jpeg"/><Relationship Id="rId21" Type="http://schemas.openxmlformats.org/officeDocument/2006/relationships/footer" Target="footer16.xml"/><Relationship Id="rId209" Type="http://schemas.openxmlformats.org/officeDocument/2006/relationships/image" Target="media/image2.jpeg"/><Relationship Id="rId208" Type="http://schemas.openxmlformats.org/officeDocument/2006/relationships/theme" Target="theme/theme1.xml"/><Relationship Id="rId207" Type="http://schemas.openxmlformats.org/officeDocument/2006/relationships/footer" Target="footer200.xml"/><Relationship Id="rId206" Type="http://schemas.openxmlformats.org/officeDocument/2006/relationships/footer" Target="footer199.xml"/><Relationship Id="rId205" Type="http://schemas.openxmlformats.org/officeDocument/2006/relationships/footer" Target="footer198.xml"/><Relationship Id="rId204" Type="http://schemas.openxmlformats.org/officeDocument/2006/relationships/footer" Target="footer197.xml"/><Relationship Id="rId203" Type="http://schemas.openxmlformats.org/officeDocument/2006/relationships/footer" Target="footer196.xml"/><Relationship Id="rId202" Type="http://schemas.openxmlformats.org/officeDocument/2006/relationships/footer" Target="footer195.xml"/><Relationship Id="rId201" Type="http://schemas.openxmlformats.org/officeDocument/2006/relationships/footer" Target="footer194.xml"/><Relationship Id="rId200" Type="http://schemas.openxmlformats.org/officeDocument/2006/relationships/footer" Target="footer193.xml"/><Relationship Id="rId20" Type="http://schemas.openxmlformats.org/officeDocument/2006/relationships/footer" Target="footer15.xml"/><Relationship Id="rId2" Type="http://schemas.openxmlformats.org/officeDocument/2006/relationships/settings" Target="settings.xml"/><Relationship Id="rId199" Type="http://schemas.openxmlformats.org/officeDocument/2006/relationships/footer" Target="footer192.xml"/><Relationship Id="rId198" Type="http://schemas.openxmlformats.org/officeDocument/2006/relationships/footer" Target="footer191.xml"/><Relationship Id="rId197" Type="http://schemas.openxmlformats.org/officeDocument/2006/relationships/footer" Target="footer190.xml"/><Relationship Id="rId196" Type="http://schemas.openxmlformats.org/officeDocument/2006/relationships/footer" Target="footer189.xml"/><Relationship Id="rId195" Type="http://schemas.openxmlformats.org/officeDocument/2006/relationships/footer" Target="footer188.xml"/><Relationship Id="rId194" Type="http://schemas.openxmlformats.org/officeDocument/2006/relationships/footer" Target="footer187.xml"/><Relationship Id="rId193" Type="http://schemas.openxmlformats.org/officeDocument/2006/relationships/footer" Target="footer186.xml"/><Relationship Id="rId192" Type="http://schemas.openxmlformats.org/officeDocument/2006/relationships/footer" Target="footer185.xml"/><Relationship Id="rId191" Type="http://schemas.openxmlformats.org/officeDocument/2006/relationships/footer" Target="footer184.xml"/><Relationship Id="rId190" Type="http://schemas.openxmlformats.org/officeDocument/2006/relationships/footer" Target="footer183.xml"/><Relationship Id="rId19" Type="http://schemas.openxmlformats.org/officeDocument/2006/relationships/footer" Target="footer14.xml"/><Relationship Id="rId189" Type="http://schemas.openxmlformats.org/officeDocument/2006/relationships/footer" Target="footer182.xml"/><Relationship Id="rId188" Type="http://schemas.openxmlformats.org/officeDocument/2006/relationships/footer" Target="footer181.xml"/><Relationship Id="rId187" Type="http://schemas.openxmlformats.org/officeDocument/2006/relationships/footer" Target="footer180.xml"/><Relationship Id="rId186" Type="http://schemas.openxmlformats.org/officeDocument/2006/relationships/footer" Target="footer179.xml"/><Relationship Id="rId185" Type="http://schemas.openxmlformats.org/officeDocument/2006/relationships/footer" Target="footer178.xml"/><Relationship Id="rId184" Type="http://schemas.openxmlformats.org/officeDocument/2006/relationships/footer" Target="footer177.xml"/><Relationship Id="rId183" Type="http://schemas.openxmlformats.org/officeDocument/2006/relationships/footer" Target="footer176.xml"/><Relationship Id="rId182" Type="http://schemas.openxmlformats.org/officeDocument/2006/relationships/footer" Target="footer175.xml"/><Relationship Id="rId181" Type="http://schemas.openxmlformats.org/officeDocument/2006/relationships/footer" Target="footer174.xml"/><Relationship Id="rId180" Type="http://schemas.openxmlformats.org/officeDocument/2006/relationships/footer" Target="footer173.xml"/><Relationship Id="rId18" Type="http://schemas.openxmlformats.org/officeDocument/2006/relationships/footer" Target="footer13.xml"/><Relationship Id="rId179" Type="http://schemas.openxmlformats.org/officeDocument/2006/relationships/footer" Target="footer172.xml"/><Relationship Id="rId178" Type="http://schemas.openxmlformats.org/officeDocument/2006/relationships/footer" Target="footer171.xml"/><Relationship Id="rId177" Type="http://schemas.openxmlformats.org/officeDocument/2006/relationships/footer" Target="footer170.xml"/><Relationship Id="rId176" Type="http://schemas.openxmlformats.org/officeDocument/2006/relationships/footer" Target="footer169.xml"/><Relationship Id="rId175" Type="http://schemas.openxmlformats.org/officeDocument/2006/relationships/footer" Target="footer168.xml"/><Relationship Id="rId174" Type="http://schemas.openxmlformats.org/officeDocument/2006/relationships/footer" Target="footer167.xml"/><Relationship Id="rId173" Type="http://schemas.openxmlformats.org/officeDocument/2006/relationships/footer" Target="footer166.xml"/><Relationship Id="rId172" Type="http://schemas.openxmlformats.org/officeDocument/2006/relationships/footer" Target="footer165.xml"/><Relationship Id="rId171" Type="http://schemas.openxmlformats.org/officeDocument/2006/relationships/footer" Target="footer164.xml"/><Relationship Id="rId170" Type="http://schemas.openxmlformats.org/officeDocument/2006/relationships/footer" Target="footer163.xml"/><Relationship Id="rId17" Type="http://schemas.openxmlformats.org/officeDocument/2006/relationships/footer" Target="footer12.xml"/><Relationship Id="rId169" Type="http://schemas.openxmlformats.org/officeDocument/2006/relationships/footer" Target="footer162.xml"/><Relationship Id="rId168" Type="http://schemas.openxmlformats.org/officeDocument/2006/relationships/footer" Target="footer161.xml"/><Relationship Id="rId167" Type="http://schemas.openxmlformats.org/officeDocument/2006/relationships/footer" Target="footer160.xml"/><Relationship Id="rId166" Type="http://schemas.openxmlformats.org/officeDocument/2006/relationships/footer" Target="footer159.xml"/><Relationship Id="rId165" Type="http://schemas.openxmlformats.org/officeDocument/2006/relationships/footer" Target="footer158.xml"/><Relationship Id="rId164" Type="http://schemas.openxmlformats.org/officeDocument/2006/relationships/footer" Target="footer157.xml"/><Relationship Id="rId163" Type="http://schemas.openxmlformats.org/officeDocument/2006/relationships/footer" Target="footer156.xml"/><Relationship Id="rId162" Type="http://schemas.openxmlformats.org/officeDocument/2006/relationships/footer" Target="footer155.xml"/><Relationship Id="rId161" Type="http://schemas.openxmlformats.org/officeDocument/2006/relationships/footer" Target="footer154.xml"/><Relationship Id="rId160" Type="http://schemas.openxmlformats.org/officeDocument/2006/relationships/footer" Target="footer153.xml"/><Relationship Id="rId16" Type="http://schemas.openxmlformats.org/officeDocument/2006/relationships/footer" Target="footer11.xml"/><Relationship Id="rId159" Type="http://schemas.openxmlformats.org/officeDocument/2006/relationships/footer" Target="footer152.xml"/><Relationship Id="rId158" Type="http://schemas.openxmlformats.org/officeDocument/2006/relationships/footer" Target="footer151.xml"/><Relationship Id="rId157" Type="http://schemas.openxmlformats.org/officeDocument/2006/relationships/footer" Target="footer150.xml"/><Relationship Id="rId156" Type="http://schemas.openxmlformats.org/officeDocument/2006/relationships/footer" Target="footer149.xml"/><Relationship Id="rId155" Type="http://schemas.openxmlformats.org/officeDocument/2006/relationships/footer" Target="footer148.xml"/><Relationship Id="rId154" Type="http://schemas.openxmlformats.org/officeDocument/2006/relationships/footer" Target="footer147.xml"/><Relationship Id="rId153" Type="http://schemas.openxmlformats.org/officeDocument/2006/relationships/footer" Target="footer146.xml"/><Relationship Id="rId152" Type="http://schemas.openxmlformats.org/officeDocument/2006/relationships/footer" Target="footer145.xml"/><Relationship Id="rId151" Type="http://schemas.openxmlformats.org/officeDocument/2006/relationships/footer" Target="footer144.xml"/><Relationship Id="rId150" Type="http://schemas.openxmlformats.org/officeDocument/2006/relationships/footer" Target="footer143.xml"/><Relationship Id="rId15" Type="http://schemas.openxmlformats.org/officeDocument/2006/relationships/footer" Target="footer10.xml"/><Relationship Id="rId149" Type="http://schemas.openxmlformats.org/officeDocument/2006/relationships/footer" Target="footer142.xml"/><Relationship Id="rId148" Type="http://schemas.openxmlformats.org/officeDocument/2006/relationships/footer" Target="footer141.xml"/><Relationship Id="rId147" Type="http://schemas.openxmlformats.org/officeDocument/2006/relationships/footer" Target="footer140.xml"/><Relationship Id="rId146" Type="http://schemas.openxmlformats.org/officeDocument/2006/relationships/footer" Target="footer139.xml"/><Relationship Id="rId145" Type="http://schemas.openxmlformats.org/officeDocument/2006/relationships/footer" Target="footer138.xml"/><Relationship Id="rId144" Type="http://schemas.openxmlformats.org/officeDocument/2006/relationships/footer" Target="footer137.xml"/><Relationship Id="rId143" Type="http://schemas.openxmlformats.org/officeDocument/2006/relationships/footer" Target="footer136.xml"/><Relationship Id="rId142" Type="http://schemas.openxmlformats.org/officeDocument/2006/relationships/footer" Target="footer135.xml"/><Relationship Id="rId141" Type="http://schemas.openxmlformats.org/officeDocument/2006/relationships/footer" Target="footer134.xml"/><Relationship Id="rId140" Type="http://schemas.openxmlformats.org/officeDocument/2006/relationships/footer" Target="footer133.xml"/><Relationship Id="rId14" Type="http://schemas.openxmlformats.org/officeDocument/2006/relationships/footer" Target="footer9.xml"/><Relationship Id="rId139" Type="http://schemas.openxmlformats.org/officeDocument/2006/relationships/footer" Target="footer132.xml"/><Relationship Id="rId138" Type="http://schemas.openxmlformats.org/officeDocument/2006/relationships/footer" Target="footer131.xml"/><Relationship Id="rId137" Type="http://schemas.openxmlformats.org/officeDocument/2006/relationships/footer" Target="footer130.xml"/><Relationship Id="rId136" Type="http://schemas.openxmlformats.org/officeDocument/2006/relationships/footer" Target="footer129.xml"/><Relationship Id="rId135" Type="http://schemas.openxmlformats.org/officeDocument/2006/relationships/footer" Target="footer128.xml"/><Relationship Id="rId134" Type="http://schemas.openxmlformats.org/officeDocument/2006/relationships/footer" Target="footer127.xml"/><Relationship Id="rId133" Type="http://schemas.openxmlformats.org/officeDocument/2006/relationships/footer" Target="footer126.xml"/><Relationship Id="rId132" Type="http://schemas.openxmlformats.org/officeDocument/2006/relationships/footer" Target="footer125.xml"/><Relationship Id="rId131" Type="http://schemas.openxmlformats.org/officeDocument/2006/relationships/footer" Target="footer124.xml"/><Relationship Id="rId130" Type="http://schemas.openxmlformats.org/officeDocument/2006/relationships/footer" Target="footer123.xml"/><Relationship Id="rId13" Type="http://schemas.openxmlformats.org/officeDocument/2006/relationships/footer" Target="footer8.xml"/><Relationship Id="rId129" Type="http://schemas.openxmlformats.org/officeDocument/2006/relationships/footer" Target="footer122.xml"/><Relationship Id="rId128" Type="http://schemas.openxmlformats.org/officeDocument/2006/relationships/footer" Target="footer121.xml"/><Relationship Id="rId127" Type="http://schemas.openxmlformats.org/officeDocument/2006/relationships/footer" Target="footer120.xml"/><Relationship Id="rId126" Type="http://schemas.openxmlformats.org/officeDocument/2006/relationships/footer" Target="footer119.xml"/><Relationship Id="rId125" Type="http://schemas.openxmlformats.org/officeDocument/2006/relationships/footer" Target="footer118.xml"/><Relationship Id="rId124" Type="http://schemas.openxmlformats.org/officeDocument/2006/relationships/footer" Target="footer117.xml"/><Relationship Id="rId123" Type="http://schemas.openxmlformats.org/officeDocument/2006/relationships/footer" Target="footer116.xml"/><Relationship Id="rId122" Type="http://schemas.openxmlformats.org/officeDocument/2006/relationships/footer" Target="footer115.xml"/><Relationship Id="rId121" Type="http://schemas.openxmlformats.org/officeDocument/2006/relationships/footer" Target="footer114.xml"/><Relationship Id="rId120" Type="http://schemas.openxmlformats.org/officeDocument/2006/relationships/footer" Target="footer113.xml"/><Relationship Id="rId12" Type="http://schemas.openxmlformats.org/officeDocument/2006/relationships/footer" Target="footer7.xml"/><Relationship Id="rId119" Type="http://schemas.openxmlformats.org/officeDocument/2006/relationships/footer" Target="footer112.xml"/><Relationship Id="rId118" Type="http://schemas.openxmlformats.org/officeDocument/2006/relationships/footer" Target="footer111.xml"/><Relationship Id="rId117" Type="http://schemas.openxmlformats.org/officeDocument/2006/relationships/footer" Target="footer110.xml"/><Relationship Id="rId116" Type="http://schemas.openxmlformats.org/officeDocument/2006/relationships/footer" Target="footer109.xml"/><Relationship Id="rId115" Type="http://schemas.openxmlformats.org/officeDocument/2006/relationships/footer" Target="footer108.xml"/><Relationship Id="rId114" Type="http://schemas.openxmlformats.org/officeDocument/2006/relationships/footer" Target="footer107.xml"/><Relationship Id="rId113" Type="http://schemas.openxmlformats.org/officeDocument/2006/relationships/footer" Target="footer106.xml"/><Relationship Id="rId112" Type="http://schemas.openxmlformats.org/officeDocument/2006/relationships/footer" Target="footer105.xml"/><Relationship Id="rId111" Type="http://schemas.openxmlformats.org/officeDocument/2006/relationships/footer" Target="footer104.xml"/><Relationship Id="rId110" Type="http://schemas.openxmlformats.org/officeDocument/2006/relationships/footer" Target="footer103.xml"/><Relationship Id="rId11" Type="http://schemas.openxmlformats.org/officeDocument/2006/relationships/footer" Target="footer6.xml"/><Relationship Id="rId109" Type="http://schemas.openxmlformats.org/officeDocument/2006/relationships/footer" Target="footer102.xml"/><Relationship Id="rId108" Type="http://schemas.openxmlformats.org/officeDocument/2006/relationships/footer" Target="footer101.xml"/><Relationship Id="rId107" Type="http://schemas.openxmlformats.org/officeDocument/2006/relationships/footer" Target="footer100.xml"/><Relationship Id="rId106" Type="http://schemas.openxmlformats.org/officeDocument/2006/relationships/footer" Target="footer99.xml"/><Relationship Id="rId105" Type="http://schemas.openxmlformats.org/officeDocument/2006/relationships/footer" Target="footer98.xml"/><Relationship Id="rId104" Type="http://schemas.openxmlformats.org/officeDocument/2006/relationships/footer" Target="footer97.xml"/><Relationship Id="rId103" Type="http://schemas.openxmlformats.org/officeDocument/2006/relationships/footer" Target="footer96.xml"/><Relationship Id="rId102" Type="http://schemas.openxmlformats.org/officeDocument/2006/relationships/footer" Target="footer95.xml"/><Relationship Id="rId101" Type="http://schemas.openxmlformats.org/officeDocument/2006/relationships/footer" Target="footer94.xml"/><Relationship Id="rId100" Type="http://schemas.openxmlformats.org/officeDocument/2006/relationships/footer" Target="footer93.xml"/><Relationship Id="rId10" Type="http://schemas.openxmlformats.org/officeDocument/2006/relationships/footer" Target="footer5.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1026" textRotate="1"/>
    <customShpInfo spid="_x0000_s1027"/>
    <customShpInfo spid="_x0000_s1028"/>
    <customShpInfo spid="_x0000_s1029"/>
    <customShpInfo spid="_x0000_s1030"/>
    <customShpInfo spid="_x0000_s1032"/>
    <customShpInfo spid="_x0000_s1033"/>
    <customShpInfo spid="_x0000_s1031"/>
    <customShpInfo spid="_x0000_s1034"/>
    <customShpInfo spid="_x0000_s1035"/>
    <customShpInfo spid="_x0000_s1037"/>
    <customShpInfo spid="_x0000_s1038"/>
    <customShpInfo spid="_x0000_s1036"/>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2"/>
    <customShpInfo spid="_x0000_s1063"/>
    <customShpInfo spid="_x0000_s1061"/>
    <customShpInfo spid="_x0000_s1064"/>
    <customShpInfo spid="_x0000_s1060"/>
    <customShpInfo spid="_x0000_s1065"/>
    <customShpInfo spid="_x0000_s1066"/>
    <customShpInfo spid="_x0000_s1067"/>
    <customShpInfo spid="_x0000_s1068"/>
    <customShpInfo spid="_x0000_s1070"/>
    <customShpInfo spid="_x0000_s1071"/>
    <customShpInfo spid="_x0000_s1072"/>
    <customShpInfo spid="_x0000_s1073"/>
    <customShpInfo spid="_x0000_s1069"/>
    <customShpInfo spid="_x0000_s1074"/>
    <customShpInfo spid="_x0000_s1075"/>
    <customShpInfo spid="_x0000_s1076"/>
    <customShpInfo spid="_x0000_s1077"/>
    <customShpInfo spid="_x0000_s1078"/>
    <customShpInfo spid="_x0000_s1080"/>
    <customShpInfo spid="_x0000_s1081"/>
    <customShpInfo spid="_x0000_s1082"/>
    <customShpInfo spid="_x0000_s1079"/>
    <customShpInfo spid="_x0000_s1083"/>
    <customShpInfo spid="_x0000_s1084"/>
    <customShpInfo spid="_x0000_s1085"/>
    <customShpInfo spid="_x0000_s1086"/>
    <customShpInfo spid="_x0000_s1088"/>
    <customShpInfo spid="_x0000_s1089"/>
    <customShpInfo spid="_x0000_s1090"/>
    <customShpInfo spid="_x0000_s1091"/>
    <customShpInfo spid="_x0000_s1087"/>
    <customShpInfo spid="_x0000_s1092"/>
    <customShpInfo spid="_x0000_s1094"/>
    <customShpInfo spid="_x0000_s1095"/>
    <customShpInfo spid="_x0000_s1096"/>
    <customShpInfo spid="_x0000_s1097"/>
    <customShpInfo spid="_x0000_s1093"/>
    <customShpInfo spid="_x0000_s1099"/>
    <customShpInfo spid="_x0000_s1100"/>
    <customShpInfo spid="_x0000_s1101"/>
    <customShpInfo spid="_x0000_s1098"/>
    <customShpInfo spid="_x0000_s1103"/>
    <customShpInfo spid="_x0000_s1104"/>
    <customShpInfo spid="_x0000_s1105"/>
    <customShpInfo spid="_x0000_s1102"/>
    <customShpInfo spid="_x0000_s1107"/>
    <customShpInfo spid="_x0000_s1108"/>
    <customShpInfo spid="_x0000_s1109"/>
    <customShpInfo spid="_x0000_s1110"/>
    <customShpInfo spid="_x0000_s1106"/>
    <customShpInfo spid="_x0000_s1111"/>
    <customShpInfo spid="_x0000_s1112"/>
    <customShpInfo spid="_x0000_s1113"/>
    <customShpInfo spid="_x0000_s1114"/>
    <customShpInfo spid="_x0000_s1115"/>
    <customShpInfo spid="_x0000_s1117"/>
    <customShpInfo spid="_x0000_s1118"/>
    <customShpInfo spid="_x0000_s1116"/>
    <customShpInfo spid="_x0000_s1121"/>
    <customShpInfo spid="_x0000_s1122"/>
    <customShpInfo spid="_x0000_s1123"/>
    <customShpInfo spid="_x0000_s1124"/>
    <customShpInfo spid="_x0000_s1125"/>
    <customShpInfo spid="_x0000_s1126"/>
    <customShpInfo spid="_x0000_s1120"/>
    <customShpInfo spid="_x0000_s1127"/>
    <customShpInfo spid="_x0000_s1128"/>
    <customShpInfo spid="_x0000_s1129"/>
    <customShpInfo spid="_x0000_s1119"/>
    <customShpInfo spid="_x0000_s1132"/>
    <customShpInfo spid="_x0000_s1133"/>
    <customShpInfo spid="_x0000_s1134"/>
    <customShpInfo spid="_x0000_s1135"/>
    <customShpInfo spid="_x0000_s1136"/>
    <customShpInfo spid="_x0000_s1137"/>
    <customShpInfo spid="_x0000_s1131"/>
    <customShpInfo spid="_x0000_s1138"/>
    <customShpInfo spid="_x0000_s1139"/>
    <customShpInfo spid="_x0000_s1140"/>
    <customShpInfo spid="_x0000_s1130"/>
    <customShpInfo spid="_x0000_s1141"/>
    <customShpInfo spid="_x0000_s1142"/>
    <customShpInfo spid="_x0000_s1143"/>
  </customShpExts>
</s:customData>
</file>

<file path=customXml/item2.xml><?xml version="1.0" encoding="utf-8"?>
<contractReview xmlns="http://schemas.wps.cn/vas-ai-hub/contract-review">
  <reviewItems>
    <reviewItem>
      <errorID>1eb057b9-cb2b-44bf-9b8e-7751603830fc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26CFDA29</paraID>
      <start>0</start>
      <end>4</end>
      <status>unmodified</status>
      <modifiedWord/>
      <trackRevisions>false</trackRevisions>
    </reviewItem>
    <reviewItem>
      <errorID>824f89e3-dee3-414f-bb30-703308b7bffe</errorID>
      <errorWord>》</errorWord>
      <group>L1_Word</group>
      <groupName>字词问题</groupName>
      <ability>L2_Typo</ability>
      <abilityName>字词错误</abilityName>
      <candidateList>
        <item>》和</item>
      </candidateList>
      <explain/>
      <paraID>57276308</paraID>
      <start>17</start>
      <end>18</end>
      <status>unmodified</status>
      <modifiedWord/>
      <trackRevisions>false</trackRevisions>
    </reviewItem>
    <reviewItem>
      <errorID>15507951-de81-4331-81e5-51eafc43652f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57EF1C78</paraID>
      <start>140</start>
      <end>143</end>
      <status>unmodified</status>
      <modifiedWord/>
      <trackRevisions>false</trackRevisions>
    </reviewItem>
    <reviewItem>
      <errorID>b26ec43d-2258-499b-ae1b-0481df378adc</errorID>
      <errorWord>"</errorWord>
      <group>L1_Format</group>
      <groupName>格式问题</groupName>
      <ability>L2_HalfPunc</ability>
      <abilityName>全半角检查</abilityName>
      <candidateList/>
      <explain>文本全半角错误。</explain>
      <paraID>11550E35</paraID>
      <start>37</start>
      <end>38</end>
      <status>unmodified</status>
      <modifiedWord/>
      <trackRevisions>false</trackRevisions>
    </reviewItem>
    <reviewItem>
      <errorID>1975c03e-b4cd-4d8b-a83d-f35d4bc37374</errorID>
      <errorWord>"</errorWord>
      <group>L1_Format</group>
      <groupName>格式问题</groupName>
      <ability>L2_HalfPunc</ability>
      <abilityName>全半角检查</abilityName>
      <candidateList/>
      <explain>文本全半角错误。</explain>
      <paraID>11550E35</paraID>
      <start>55</start>
      <end>56</end>
      <status>unmodified</status>
      <modifiedWord/>
      <trackRevisions>false</trackRevisions>
    </reviewItem>
    <reviewItem>
      <errorID>1034051c-3809-4e56-a0fd-e6aebdd7b4cf</errorID>
      <errorWord>"</errorWord>
      <group>L1_Format</group>
      <groupName>格式问题</groupName>
      <ability>L2_HalfPunc</ability>
      <abilityName>全半角检查</abilityName>
      <candidateList/>
      <explain>文本全半角错误。</explain>
      <paraID>4CB29556</paraID>
      <start>76</start>
      <end>77</end>
      <status>unmodified</status>
      <modifiedWord/>
      <trackRevisions>false</trackRevisions>
    </reviewItem>
    <reviewItem>
      <errorID>852f3918-f197-45e2-8537-d12fd9f25673</errorID>
      <errorWord>"</errorWord>
      <group>L1_Format</group>
      <groupName>格式问题</groupName>
      <ability>L2_HalfPunc</ability>
      <abilityName>全半角检查</abilityName>
      <candidateList/>
      <explain>文本全半角错误。</explain>
      <paraID> A285CF7</paraID>
      <start>141</start>
      <end>142</end>
      <status>unmodified</status>
      <modifiedWord/>
      <trackRevisions>false</trackRevisions>
    </reviewItem>
    <reviewItem>
      <errorID>d95d7d78-8228-4ae5-9f95-bb7244984808</errorID>
      <errorWord>"</errorWord>
      <group>L1_Format</group>
      <groupName>格式问题</groupName>
      <ability>L2_HalfPunc</ability>
      <abilityName>全半角检查</abilityName>
      <candidateList>
        <item>”</item>
      </candidateList>
      <explain>文本全半角错误。</explain>
      <paraID> A285CF7</paraID>
      <start>158</start>
      <end>159</end>
      <status>unmodified</status>
      <modifiedWord/>
      <trackRevisions>false</trackRevisions>
    </reviewItem>
    <reviewItem>
      <errorID>0d4bc835-9cd0-4429-a4cf-70d7f17fcd42</errorID>
      <errorWord>"</errorWord>
      <group>L1_Format</group>
      <groupName>格式问题</groupName>
      <ability>L2_HalfPunc</ability>
      <abilityName>全半角检查</abilityName>
      <candidateList>
        <item>”</item>
      </candidateList>
      <explain>文本全半角错误。</explain>
      <paraID> 12ED3BC</paraID>
      <start>193</start>
      <end>194</end>
      <status>unmodified</status>
      <modifiedWord/>
      <trackRevisions>false</trackRevisions>
    </reviewItem>
    <reviewItem>
      <errorID>16fa3de4-d46c-4e4b-adf1-59863f95a53b</errorID>
      <errorWord>。</errorWord>
      <group>L1_Format</group>
      <groupName>格式问题</groupName>
      <ability>L2_HalfPunc</ability>
      <abilityName>全半角检查</abilityName>
      <candidateList>
        <item>.</item>
      </candidateList>
      <explain>文本全半角错误。</explain>
      <paraID>7376F113</paraID>
      <start>11</start>
      <end>12</end>
      <status>unmodified</status>
      <modifiedWord/>
      <trackRevisions>false</trackRevisions>
    </reviewItem>
    <reviewItem>
      <errorID>caebd4b2-bdfb-4880-bd4f-851299998599</errorID>
      <errorWord>合</errorWord>
      <group>L1_Word</group>
      <groupName>字词问题</groupName>
      <ability>L2_Typo</ability>
      <abilityName>字词错误</abilityName>
      <candidateList>
        <item>合理</item>
      </candidateList>
      <explain/>
      <paraID>254CC920</paraID>
      <start>0</start>
      <end>1</end>
      <status>unmodified</status>
      <modifiedWord/>
      <trackRevisions>false</trackRevisions>
    </reviewItem>
    <reviewItem>
      <errorID>b2666ad7-0a43-4420-82be-d0c1c882f05c</errorID>
      <errorWord>III</errorWord>
      <group>L1_Word</group>
      <groupName>字词问题</groupName>
      <ability>L2_Typo</ability>
      <abilityName>字词错误</abilityName>
      <candidateList>
        <item>Ⅲ</item>
      </candidateList>
      <explain/>
      <paraID>75ED3ACA</paraID>
      <start>132</start>
      <end>135</end>
      <status>unmodified</status>
      <modifiedWord/>
      <trackRevisions>false</trackRevisions>
    </reviewItem>
    <reviewItem>
      <errorID>3624975e-bfe3-4d86-aa1b-3430aaded8b2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778EEDF4</paraID>
      <start>90</start>
      <end>91</end>
      <status>unmodified</status>
      <modifiedWord/>
      <trackRevisions>false</trackRevisions>
    </reviewItem>
    <reviewItem>
      <errorID>a52d335b-e57a-437c-91cc-4b00edaf3010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3ABD48C9</paraID>
      <start>30</start>
      <end>31</end>
      <status>unmodified</status>
      <modifiedWord/>
      <trackRevisions>false</trackRevisions>
    </reviewItem>
    <reviewItem>
      <errorID>b8a6013a-a3e3-4392-91a8-3271a77c30dc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6ED4E712</paraID>
      <start>0</start>
      <end>2</end>
      <status>unmodified</status>
      <modifiedWord/>
      <trackRevisions>false</trackRevisions>
    </reviewItem>
    <reviewItem>
      <errorID>618d0e3d-e5da-433c-a7da-0ba6d1b57f7b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2FE95ECA</paraID>
      <start>0</start>
      <end>2</end>
      <status>unmodified</status>
      <modifiedWord/>
      <trackRevisions>false</trackRevisions>
    </reviewItem>
    <reviewItem>
      <errorID>488bd24d-617a-46da-87be-678338eb9b58</errorID>
      <errorWord>屏</errorWord>
      <group>L1_Word</group>
      <groupName>字词问题</groupName>
      <ability>L2_Typo</ability>
      <abilityName>字词错误</abilityName>
      <candidateList>
        <item>屏障</item>
      </candidateList>
      <explain/>
      <paraID>129B55E3</paraID>
      <start>60</start>
      <end>61</end>
      <status>unmodified</status>
      <modifiedWord/>
      <trackRevisions>false</trackRevisions>
    </reviewItem>
    <reviewItem>
      <errorID>909f8f21-7cfd-4ec7-977e-ed283bb8cbe5</errorID>
      <errorWord>上线</errorWord>
      <group>L1_Word</group>
      <groupName>字词问题</groupName>
      <ability>L2_Typo</ability>
      <abilityName>字词错误</abilityName>
      <candidateList>
        <item>上限</item>
      </candidateList>
      <explain>存在发音相同字词的误用。</explain>
      <paraID> EF9B37D</paraID>
      <start>7</start>
      <end>9</end>
      <status>unmodified</status>
      <modifiedWord/>
      <trackRevisions>false</trackRevisions>
    </reviewItem>
    <reviewItem>
      <errorID>01da2bff-1f27-4030-8585-60a398cb0415</errorID>
      <errorWord>》划</errorWord>
      <group>L1_Word</group>
      <groupName>字词问题</groupName>
      <ability>L2_Typo</ability>
      <abilityName>字词错误</abilityName>
      <candidateList>
        <item>》</item>
      </candidateList>
      <explain/>
      <paraID>698A5600</paraID>
      <start>7</start>
      <end>9</end>
      <status>unmodified</status>
      <modifiedWord/>
      <trackRevisions>false</trackRevisions>
    </reviewItem>
    <reviewItem>
      <errorID>c172ff77-2c0f-41a0-b12f-92bc3e687889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5E45B8D6</paraID>
      <start>17</start>
      <end>18</end>
      <status>unmodified</status>
      <modifiedWord/>
      <trackRevisions>false</trackRevisions>
    </reviewItem>
    <reviewItem>
      <errorID>4ae38602-6e52-4ac4-9680-707ea62eaf76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2BAEE4B2</paraID>
      <start>159</start>
      <end>160</end>
      <status>unmodified</status>
      <modifiedWord/>
      <trackRevisions>false</trackRevisions>
    </reviewItem>
    <reviewItem>
      <errorID>b69913a4-fb15-43cf-ba53-173788ec63a2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6EADA10A</paraID>
      <start>48</start>
      <end>49</end>
      <status>unmodified</status>
      <modifiedWord/>
      <trackRevisions>false</trackRevisions>
    </reviewItem>
    <reviewItem>
      <errorID>05e87278-e36e-4ee5-b1ab-b18d13566d57</errorID>
      <errorWord>拌合站</errorWord>
      <group>L1_Word</group>
      <groupName>字词问题</groupName>
      <ability>L2_Typo</ability>
      <abilityName>字词错误</abilityName>
      <candidateList>
        <item>拌和站</item>
      </candidateList>
      <explain>存在发音相同字词的误用。</explain>
      <paraID>6F0D5677</paraID>
      <start>117</start>
      <end>120</end>
      <status>unmodified</status>
      <modifiedWord/>
      <trackRevisions>false</trackRevisions>
    </reviewItem>
    <reviewItem>
      <errorID>deb9bd40-4e97-45f9-9cf8-2ffac28f5cad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44358B15</paraID>
      <start>48</start>
      <end>49</end>
      <status>unmodified</status>
      <modifiedWord/>
      <trackRevisions>false</trackRevisions>
    </reviewItem>
    <reviewItem>
      <errorID>30baa6e9-76f1-4cb5-bdbd-9136f5c8db82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7F874E30</paraID>
      <start>0</start>
      <end>3</end>
      <status>unmodified</status>
      <modifiedWord/>
      <trackRevisions>false</trackRevisions>
    </reviewItem>
    <reviewItem>
      <errorID>5c84b3ca-03a6-4fdd-ac63-70705ef41200</errorID>
      <errorWord>》</errorWord>
      <group>L1_Word</group>
      <groupName>字词问题</groupName>
      <ability>L2_Typo</ability>
      <abilityName>字词错误</abilityName>
      <candidateList>
        <item>》和</item>
      </candidateList>
      <explain/>
      <paraID>7F874E30</paraID>
      <start>20</start>
      <end>21</end>
      <status>unmodified</status>
      <modifiedWord/>
      <trackRevisions>false</trackRevisions>
    </reviewItem>
    <reviewItem>
      <errorID>902cbcb5-54d4-498d-be04-4eb359214983</errorID>
      <errorWord>省、 自治区、直辖市</errorWord>
      <group>L1_Political</group>
      <groupName>政治性问题</groupName>
      <ability>L2_Keyword</ability>
      <abilityName>固定表述</abilityName>
      <candidateList>
        <item>省、自治区、直辖市</item>
      </candidateList>
      <explain>词汇“省、自治区、直辖市”在特定场景下为固定表述形式，请确认此处的“省、 自治区、直辖市”是否存在不当。</explain>
      <paraID>5F90C4D0</paraID>
      <start>64</start>
      <end>74</end>
      <status>unmodified</status>
      <modifiedWord/>
      <trackRevisions>false</trackRevisions>
    </reviewItem>
    <reviewItem>
      <errorID>acf01da9-7adc-4e64-b0c0-cc0a27aa4772</errorID>
      <errorWord>省、 自治区、直辖市</errorWord>
      <group>L1_Political</group>
      <groupName>政治性问题</groupName>
      <ability>L2_Keyword</ability>
      <abilityName>固定表述</abilityName>
      <candidateList>
        <item>省、自治区、直辖市</item>
      </candidateList>
      <explain>词汇“省、自治区、直辖市”在特定场景下为固定表述形式，请确认此处的“省、 自治区、直辖市”是否存在不当。</explain>
      <paraID>5CAB506B</paraID>
      <start>133</start>
      <end>143</end>
      <status>unmodified</status>
      <modifiedWord/>
      <trackRevisions>false</trackRevisions>
    </reviewItem>
    <reviewItem>
      <errorID>98401644-ace8-4bfe-9e90-cd409eb1d1aa</errorID>
      <errorWord>枢街</errorWord>
      <group>L1_Word</group>
      <groupName>字词问题</groupName>
      <ability>L2_Typo</ability>
      <abilityName>字词错误</abilityName>
      <candidateList>
        <item>枢纽</item>
      </candidateList>
      <explain/>
      <paraID> F77B13A</paraID>
      <start>0</start>
      <end>2</end>
      <status>unmodified</status>
      <modifiedWord/>
      <trackRevisions>false</trackRevisions>
    </reviewItem>
    <reviewItem>
      <errorID>09d3b869-e43e-4e7c-a92f-8fa29b6f58ac</errorID>
      <errorWord>民政府</errorWord>
      <group>L1_Political</group>
      <groupName>政治性问题</groupName>
      <ability>L2_Unpolitical</ability>
      <abilityName>政治敏感错误</abilityName>
      <candidateList>
        <item>人民政府</item>
      </candidateList>
      <explain/>
      <paraID>13764C58</paraID>
      <start>0</start>
      <end>3</end>
      <status>unmodified</status>
      <modifiedWord/>
      <trackRevisions>false</trackRevisions>
    </reviewItem>
    <reviewItem>
      <errorID>f986db22-63c3-4074-aea7-b83df057703c</errorID>
      <errorWord>国家林业局</errorWord>
      <group>L1_Knowledge</group>
      <groupName>知识性问题</groupName>
      <ability>L2_Organization</ability>
      <abilityName>机构检查</abilityName>
      <candidateList>
        <item>国家林业和草原局</item>
      </candidateList>
      <explain>2018年3月，中共中央印发了《深化党和国家机构改革方案》，将国家林业局的职责，整合到新组建的国家林业和草原局。</explain>
      <paraID>2985CCC0</paraID>
      <start>51</start>
      <end>56</end>
      <status>unmodified</status>
      <modifiedWord/>
      <trackRevisions>false</trackRevisions>
    </reviewItem>
    <reviewItem>
      <errorID>f778d917-bfef-47df-bb7b-b7bdd80e5ca9</errorID>
      <errorWord>"</errorWord>
      <group>L1_Format</group>
      <groupName>格式问题</groupName>
      <ability>L2_HalfPunc</ability>
      <abilityName>全半角检查</abilityName>
      <candidateList/>
      <explain>文本全半角错误。</explain>
      <paraID>59680708</paraID>
      <start>38</start>
      <end>39</end>
      <status>unmodified</status>
      <modifiedWord/>
      <trackRevisions>false</trackRevisions>
    </reviewItem>
    <reviewItem>
      <errorID>056cd97b-9c1d-4755-9b98-0c745cb0e817</errorID>
      <errorWord>"</errorWord>
      <group>L1_Format</group>
      <groupName>格式问题</groupName>
      <ability>L2_HalfPunc</ability>
      <abilityName>全半角检查</abilityName>
      <candidateList>
        <item>”</item>
      </candidateList>
      <explain>文本全半角错误。</explain>
      <paraID>59680708</paraID>
      <start>58</start>
      <end>59</end>
      <status>unmodified</status>
      <modifiedWord/>
      <trackRevisions>false</trackRevisions>
    </reviewItem>
    <reviewItem>
      <errorID>081ba04a-d016-41bd-adbb-9e5ac86302cd</errorID>
      <errorWord>"</errorWord>
      <group>L1_Format</group>
      <groupName>格式问题</groupName>
      <ability>L2_HalfPunc</ability>
      <abilityName>全半角检查</abilityName>
      <candidateList/>
      <explain>文本全半角错误。</explain>
      <paraID>54669A19</paraID>
      <start>55</start>
      <end>56</end>
      <status>unmodified</status>
      <modifiedWord/>
      <trackRevisions>false</trackRevisions>
    </reviewItem>
    <reviewItem>
      <errorID>8d90f596-41ee-4331-a294-1600e07cfb2e</errorID>
      <errorWord>"</errorWord>
      <group>L1_Format</group>
      <groupName>格式问题</groupName>
      <ability>L2_HalfPunc</ability>
      <abilityName>全半角检查</abilityName>
      <candidateList>
        <item>”</item>
      </candidateList>
      <explain>文本全半角错误。</explain>
      <paraID>3EC86F6D</paraID>
      <start>123</start>
      <end>124</end>
      <status>unmodified</status>
      <modifiedWord/>
      <trackRevisions>false</trackRevisions>
    </reviewItem>
    <reviewItem>
      <errorID>4103bfda-59ec-479e-a347-859a89ed09c0</errorID>
      <errorWord>"</errorWord>
      <group>L1_Format</group>
      <groupName>格式问题</groupName>
      <ability>L2_HalfPunc</ability>
      <abilityName>全半角检查</abilityName>
      <candidateList>
        <item>”</item>
      </candidateList>
      <explain>文本全半角错误。</explain>
      <paraID> 4BEE3B1</paraID>
      <start>136</start>
      <end>137</end>
      <status>unmodified</status>
      <modifiedWord/>
      <trackRevisions>false</trackRevisions>
    </reviewItem>
    <reviewItem>
      <errorID>d76dc7a1-b443-49a8-870f-9e2f0f91aef0</errorID>
      <errorWord>"</errorWord>
      <group>L1_Format</group>
      <groupName>格式问题</groupName>
      <ability>L2_HalfPunc</ability>
      <abilityName>全半角检查</abilityName>
      <candidateList>
        <item>”</item>
      </candidateList>
      <explain>文本全半角错误。</explain>
      <paraID>52C53EB8</paraID>
      <start>116</start>
      <end>117</end>
      <status>unmodified</status>
      <modifiedWord/>
      <trackRevisions>false</trackRevisions>
    </reviewItem>
    <reviewItem>
      <errorID>6f230278-e51d-47e7-b0b6-67f87acdf3f0</errorID>
      <errorWord>部</errorWord>
      <group>L1_Word</group>
      <groupName>字词问题</groupName>
      <ability>L2_Typo</ability>
      <abilityName>字词错误</abilityName>
      <candidateList>
        <item/>
      </candidateList>
      <explain/>
      <paraID>6493AA5F</paraID>
      <start>2</start>
      <end>3</end>
      <status>unmodified</status>
      <modifiedWord/>
      <trackRevisions>false</trackRevisions>
    </reviewItem>
    <reviewItem>
      <errorID>2e32c1e3-8548-440d-817d-48650e5bf8a1</errorID>
      <errorWord>,</errorWord>
      <group>L1_Format</group>
      <groupName>格式问题</groupName>
      <ability>L2_HalfPunc</ability>
      <abilityName>全半角检查</abilityName>
      <candidateList>
        <item>，</item>
      </candidateList>
      <explain>文本全半角错误。</explain>
      <paraID>6493AA5F</paraID>
      <start>97</start>
      <end>98</end>
      <status>unmodified</status>
      <modifiedWord/>
      <trackRevisions>false</trackRevisions>
    </reviewItem>
    <reviewItem>
      <errorID>d1b049e6-a82d-41ee-a45f-e7bb4132b4ae</errorID>
      <errorWord>部部</errorWord>
      <group>L1_Word</group>
      <groupName>字词问题</groupName>
      <ability>L2_Typo</ability>
      <abilityName>字词错误</abilityName>
      <candidateList>
        <item>部</item>
      </candidateList>
      <explain>❶部分；部位：内～｜上～｜胸～｜局～。❷〈名〉中央政府按业务划分的单位（级别比局、厅高）：外交～｜商务～。❸一般机关企业按业务划分的单位：编辑～｜门市～。❹军队（连以上）等的领导机构或其所在地：连～｜司令～。❺〈名〉指部队：率～突围。❻〈书〉统辖；统率；所～｜～领。❼〈量〉a）用于书籍、影片等：两～字典｜一～纪录片｜三～电视剧。</explain>
      <paraID>4CE42679</paraID>
      <start>32</start>
      <end>34</end>
      <status>unmodified</status>
      <modifiedWord/>
      <trackRevisions>false</trackRevisions>
    </reviewItem>
    <reviewItem>
      <errorID>f4cc082e-e77b-4506-9038-7adeaed8a3c6</errorID>
      <errorWord>~</errorWord>
      <group>L1_Format</group>
      <groupName>格式问题</groupName>
      <ability>L2_HalfPunc</ability>
      <abilityName>全半角检查</abilityName>
      <candidateList>
        <item>～</item>
      </candidateList>
      <explain>文本全半角错误。</explain>
      <paraID>56245A62</paraID>
      <start>99</start>
      <end>100</end>
      <status>unmodified</status>
      <modifiedWord/>
      <trackRevisions>false</trackRevisions>
    </reviewItem>
    <reviewItem>
      <errorID>0e9222cf-adb4-403c-af7d-d3b1d33ac2d6</errorID>
      <errorWord>~</errorWord>
      <group>L1_Format</group>
      <groupName>格式问题</groupName>
      <ability>L2_HalfPunc</ability>
      <abilityName>全半角检查</abilityName>
      <candidateList>
        <item>～</item>
      </candidateList>
      <explain>文本全半角错误。</explain>
      <paraID>50F32987</paraID>
      <start>30</start>
      <end>31</end>
      <status>unmodified</status>
      <modifiedWord/>
      <trackRevisions>false</trackRevisions>
    </reviewItem>
    <reviewItem>
      <errorID>a9547230-e200-4727-8b0a-b827f046b566</errorID>
      <errorWord>;</errorWord>
      <group>L1_Format</group>
      <groupName>格式问题</groupName>
      <ability>L2_HalfPunc</ability>
      <abilityName>全半角检查</abilityName>
      <candidateList>
        <item>；</item>
      </candidateList>
      <explain>文本全半角错误。</explain>
      <paraID>3CC7D539</paraID>
      <start>53</start>
      <end>54</end>
      <status>unmodified</status>
      <modifiedWord/>
      <trackRevisions>false</trackRevisions>
    </reviewItem>
    <reviewItem>
      <errorID>258a59a9-fcbb-4d53-9273-6ec788e64d44</errorID>
      <errorWord>；</errorWord>
      <group>L1_Format</group>
      <groupName>格式问题</groupName>
      <ability>L2_HalfPunc</ability>
      <abilityName>全半角检查</abilityName>
      <candidateList>
        <item>;</item>
      </candidateList>
      <explain>文本全半角错误。</explain>
      <paraID>29351E79</paraID>
      <start>3</start>
      <end>4</end>
      <status>unmodified</status>
      <modifiedWord/>
      <trackRevisions>false</trackRevisions>
    </reviewItem>
    <reviewItem>
      <errorID>a7b7d734-a8b9-4dff-894a-ff1abcb8d355</errorID>
      <errorWord>（</errorWord>
      <group>L1_Format</group>
      <groupName>格式问题</groupName>
      <ability>L2_HalfPunc</ability>
      <abilityName>全半角检查</abilityName>
      <candidateList>
        <item>(</item>
      </candidateList>
      <explain>文本全半角错误。</explain>
      <paraID>10E5FD67</paraID>
      <start>0</start>
      <end>1</end>
      <status>unmodified</status>
      <modifiedWord/>
      <trackRevisions>false</trackRevisions>
    </reviewItem>
    <reviewItem>
      <errorID>d415c7ad-7096-4a87-9c32-94b4ee720d48</errorID>
      <errorWord>）</errorWord>
      <group>L1_Format</group>
      <groupName>格式问题</groupName>
      <ability>L2_HalfPunc</ability>
      <abilityName>全半角检查</abilityName>
      <candidateList>
        <item>)</item>
      </candidateList>
      <explain>文本全半角错误。</explain>
      <paraID>10E5FD67</paraID>
      <start>3</start>
      <end>4</end>
      <status>unmodified</status>
      <modifiedWord/>
      <trackRevisions>false</trackRevisions>
    </reviewItem>
    <reviewItem>
      <errorID>5a498fa3-5125-48be-9e84-f782d7eb83ab</errorID>
      <errorWord>（</errorWord>
      <group>L1_Format</group>
      <groupName>格式问题</groupName>
      <ability>L2_HalfPunc</ability>
      <abilityName>全半角检查</abilityName>
      <candidateList>
        <item>(</item>
      </candidateList>
      <explain>文本全半角错误。</explain>
      <paraID>1CDEEA00</paraID>
      <start>0</start>
      <end>1</end>
      <status>unmodified</status>
      <modifiedWord/>
      <trackRevisions>false</trackRevisions>
    </reviewItem>
    <reviewItem>
      <errorID>7a042320-806e-49b8-add5-bded490a2001</errorID>
      <errorWord>）</errorWord>
      <group>L1_Format</group>
      <groupName>格式问题</groupName>
      <ability>L2_HalfPunc</ability>
      <abilityName>全半角检查</abilityName>
      <candidateList>
        <item>)</item>
      </candidateList>
      <explain>文本全半角错误。</explain>
      <paraID>1CDEEA00</paraID>
      <start>3</start>
      <end>4</end>
      <status>unmodified</status>
      <modifiedWord/>
      <trackRevisions>false</trackRevisions>
    </reviewItem>
    <reviewItem>
      <errorID>b6e21861-b5ae-47c6-bcd4-57d56f330e72</errorID>
      <errorWord>字型</errorWord>
      <group>L1_Word</group>
      <groupName>字词问题</groupName>
      <ability>L2_Typo</ability>
      <abilityName>字词错误</abilityName>
      <candidateList>
        <item>字形</item>
      </candidateList>
      <explain>存在发音相同字词的误用。</explain>
      <paraID>7988297F</paraID>
      <start>251</start>
      <end>253</end>
      <status>unmodified</status>
      <modifiedWord/>
      <trackRevisions>false</trackRevisions>
    </reviewItem>
    <reviewItem>
      <errorID>10e482c8-67a6-4e2f-9a9e-f6390d1a867f</errorID>
      <errorWord>II</errorWord>
      <group>L1_Knowledge</group>
      <groupName>知识性问题</groupName>
      <ability>L2_Knowledge</ability>
      <abilityName>其他知识</abilityName>
      <candidateList>
        <item>Ⅱ</item>
      </candidateList>
      <explain>中文环境下罗马数字格式错误。</explain>
      <paraID>1585FC07</paraID>
      <start>102</start>
      <end>104</end>
      <status>unmodified</status>
      <modifiedWord/>
      <trackRevisions>false</trackRevisions>
    </reviewItem>
    <reviewItem>
      <errorID>0a6b6f12-f6d7-4022-a419-13b344ea1bc7</errorID>
      <errorWord>II</errorWord>
      <group>L1_Knowledge</group>
      <groupName>知识性问题</groupName>
      <ability>L2_Knowledge</ability>
      <abilityName>其他知识</abilityName>
      <candidateList>
        <item>Ⅱ</item>
      </candidateList>
      <explain>中文环境下罗马数字格式错误。</explain>
      <paraID>5335946C</paraID>
      <start>95</start>
      <end>97</end>
      <status>unmodified</status>
      <modifiedWord/>
      <trackRevisions>false</trackRevisions>
    </reviewItem>
    <reviewItem>
      <errorID>e3ad5ddc-ef89-4dcc-ad2d-57ef183dc701</errorID>
      <errorWord>门式钢架</errorWord>
      <group>L1_Knowledge</group>
      <groupName>知识性问题</groupName>
      <ability>L2_Term</ability>
      <abilityName>专业术语</abilityName>
      <candidateList>
        <item>门式刚架</item>
      </candidateList>
      <explain/>
      <paraID>41B3D2F4</paraID>
      <start>128</start>
      <end>132</end>
      <status>unmodified</status>
      <modifiedWord/>
      <trackRevisions>false</trackRevisions>
    </reviewItem>
    <reviewItem>
      <errorID>15f18cc6-a157-4d0c-846a-73a4317e3e12</errorID>
      <errorWord>期</errorWord>
      <group>L1_Word</group>
      <groupName>字词问题</groupName>
      <ability>L2_Typo</ability>
      <abilityName>字词错误</abilityName>
      <candidateList>
        <item>期间</item>
      </candidateList>
      <explain>〈名〉某个时期里面：农忙～｜春节～｜抗战～。</explain>
      <paraID>2F37DE8C</paraID>
      <start>33</start>
      <end>34</end>
      <status>unmodified</status>
      <modifiedWord/>
      <trackRevisions>false</trackRevisions>
    </reviewItem>
    <reviewItem>
      <errorID>ad55196e-03d7-4e48-bb4b-bfa5f5b00b0d</errorID>
      <errorWord>尽可能减小</errorWord>
      <group>L1_Word</group>
      <groupName>字词问题</groupName>
      <ability>L2_Typo</ability>
      <abilityName>字词错误</abilityName>
      <candidateList>
        <item>尽可能减少</item>
      </candidateList>
      <explain>存在字形相近字词的误用。</explain>
      <paraID>4851A048</paraID>
      <start>101</start>
      <end>106</end>
      <status>unmodified</status>
      <modifiedWord/>
      <trackRevisions>false</trackRevisions>
    </reviewItem>
    <reviewItem>
      <errorID>cfa54d04-8bc2-4867-ae1e-a7bc4769d709</errorID>
      <errorWord>按地线</errorWord>
      <group>L1_Word</group>
      <groupName>字词问题</groupName>
      <ability>L2_Typo</ability>
      <abilityName>字词错误</abilityName>
      <candidateList>
        <item>接地线</item>
      </candidateList>
      <explain/>
      <paraID>177DD497</paraID>
      <start>116</start>
      <end>119</end>
      <status>unmodified</status>
      <modifiedWord/>
      <trackRevisions>false</trackRevisions>
    </reviewItem>
    <reviewItem>
      <errorID>fdc73874-64a0-4bdb-b3c2-0ce3c62a5c84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16423431</paraID>
      <start>158</start>
      <end>159</end>
      <status>unmodified</status>
      <modifiedWord/>
      <trackRevisions>false</trackRevisions>
    </reviewItem>
    <reviewItem>
      <errorID>0b01b7a9-67ca-43d3-96c5-b25e32d8c37b</errorID>
      <errorWord>；</errorWord>
      <group>L1_Format</group>
      <groupName>格式问题</groupName>
      <ability>L2_HalfPunc</ability>
      <abilityName>全半角检查</abilityName>
      <candidateList>
        <item>;</item>
      </candidateList>
      <explain>文本全半角错误。</explain>
      <paraID>6F84AD78</paraID>
      <start>9</start>
      <end>10</end>
      <status>unmodified</status>
      <modifiedWord/>
      <trackRevisions>false</trackRevisions>
    </reviewItem>
    <reviewItem>
      <errorID>9af46ff2-2b65-450b-99a2-6500f8dd1ea5</errorID>
      <errorWord>~</errorWord>
      <group>L1_Format</group>
      <groupName>格式问题</groupName>
      <ability>L2_HalfPunc</ability>
      <abilityName>全半角检查</abilityName>
      <candidateList>
        <item>～</item>
      </candidateList>
      <explain>文本全半角错误。</explain>
      <paraID>2A529009</paraID>
      <start>6</start>
      <end>7</end>
      <status>unmodified</status>
      <modifiedWord/>
      <trackRevisions>false</trackRevisions>
    </reviewItem>
    <reviewItem>
      <errorID>afe02676-2d62-4e90-84bc-89cd83f85ec3</errorID>
      <errorWord>~</errorWord>
      <group>L1_Format</group>
      <groupName>格式问题</groupName>
      <ability>L2_HalfPunc</ability>
      <abilityName>全半角检查</abilityName>
      <candidateList>
        <item>～</item>
      </candidateList>
      <explain>文本全半角错误。</explain>
      <paraID>2FD4DD58</paraID>
      <start>3</start>
      <end>4</end>
      <status>unmodified</status>
      <modifiedWord/>
      <trackRevisions>false</trackRevisions>
    </reviewItem>
    <reviewItem>
      <errorID>c0b85be4-def3-4acd-8363-2c3ecf3f8716</errorID>
      <errorWord>。</errorWord>
      <group>L1_Format</group>
      <groupName>格式问题</groupName>
      <ability>L2_HalfPunc</ability>
      <abilityName>全半角检查</abilityName>
      <candidateList>
        <item>.</item>
      </candidateList>
      <explain>文本全半角错误。</explain>
      <paraID>1C508681</paraID>
      <start>4</start>
      <end>5</end>
      <status>unmodified</status>
      <modifiedWord/>
      <trackRevisions>false</trackRevisions>
    </reviewItem>
    <reviewItem>
      <errorID>ca724658-9c22-4796-b26f-0a40f67344d0</errorID>
      <errorWord>，</errorWord>
      <group>L1_Word</group>
      <groupName>字词问题</groupName>
      <ability>L2_Typo</ability>
      <abilityName>字词错误</abilityName>
      <candidateList>
        <item>，在</item>
      </candidateList>
      <explain/>
      <paraID>79CDB727</paraID>
      <start>112</start>
      <end>113</end>
      <status>unmodified</status>
      <modifiedWord/>
      <trackRevisions>false</trackRevisions>
    </reviewItem>
    <reviewItem>
      <errorID>0adbf591-d010-40d6-8e8a-5c5d9537f126</errorID>
      <errorWord>II</errorWord>
      <group>L1_Knowledge</group>
      <groupName>知识性问题</groupName>
      <ability>L2_Knowledge</ability>
      <abilityName>其他知识</abilityName>
      <candidateList>
        <item>Ⅱ</item>
      </candidateList>
      <explain>中文环境下罗马数字格式错误。</explain>
      <paraID>71125BA5</paraID>
      <start>86</start>
      <end>88</end>
      <status>unmodified</status>
      <modifiedWord/>
      <trackRevisions>false</trackRevisions>
    </reviewItem>
    <reviewItem>
      <errorID>d86918c8-ec17-4508-94f3-a0c4e0fe4724</errorID>
      <errorWord>II</errorWord>
      <group>L1_Knowledge</group>
      <groupName>知识性问题</groupName>
      <ability>L2_Knowledge</ability>
      <abilityName>其他知识</abilityName>
      <candidateList>
        <item>Ⅱ</item>
      </candidateList>
      <explain>中文环境下罗马数字格式错误。</explain>
      <paraID>68C4E5EE</paraID>
      <start>87</start>
      <end>89</end>
      <status>unmodified</status>
      <modifiedWord/>
      <trackRevisions>false</trackRevisions>
    </reviewItem>
    <reviewItem>
      <errorID>51b48ab3-2722-4f49-90cc-003f60e0a8d0</errorID>
      <errorWord>II</errorWord>
      <group>L1_Knowledge</group>
      <groupName>知识性问题</groupName>
      <ability>L2_Knowledge</ability>
      <abilityName>其他知识</abilityName>
      <candidateList>
        <item>Ⅱ</item>
      </candidateList>
      <explain>中文环境下罗马数字格式错误。</explain>
      <paraID>1C6D2D96</paraID>
      <start>18</start>
      <end>20</end>
      <status>unmodified</status>
      <modifiedWord/>
      <trackRevisions>false</trackRevisions>
    </reviewItem>
    <reviewItem>
      <errorID>93faacc5-b275-4efe-827f-ff366af52f3b</errorID>
      <errorWord>II</errorWord>
      <group>L1_Knowledge</group>
      <groupName>知识性问题</groupName>
      <ability>L2_Knowledge</ability>
      <abilityName>其他知识</abilityName>
      <candidateList>
        <item>Ⅱ</item>
      </candidateList>
      <explain>中文环境下罗马数字格式错误。</explain>
      <paraID>4536E04C</paraID>
      <start>18</start>
      <end>20</end>
      <status>unmodified</status>
      <modifiedWord/>
      <trackRevisions>false</trackRevisions>
    </reviewItem>
    <reviewItem>
      <errorID>b22c0d76-b2af-4bb8-9479-733b36aeb9c8</errorID>
      <errorWord>III</errorWord>
      <group>L1_Word</group>
      <groupName>字词问题</groupName>
      <ability>L2_Typo</ability>
      <abilityName>字词错误</abilityName>
      <candidateList>
        <item>Ⅲ</item>
      </candidateList>
      <explain/>
      <paraID>2F39C055</paraID>
      <start>35</start>
      <end>38</end>
      <status>unmodified</status>
      <modifiedWord/>
      <trackRevisions>false</trackRevisions>
    </reviewItem>
    <reviewItem>
      <errorID>ea6534ea-b753-4988-9dee-4acf646466e3</errorID>
      <errorWord>-</errorWord>
      <group>L1_Format</group>
      <groupName>格式问题</groupName>
      <ability>L2_HalfPunc</ability>
      <abilityName>全半角检查</abilityName>
      <candidateList>
        <item>－</item>
      </candidateList>
      <explain>文本全半角错误。</explain>
      <paraID>39C7ECF1</paraID>
      <start>95</start>
      <end>96</end>
      <status>unmodified</status>
      <modifiedWord/>
      <trackRevisions>false</trackRevisions>
    </reviewItem>
    <reviewItem>
      <errorID>a473054b-870a-4b03-a6d0-d29beb4a8058</errorID>
      <errorWord>-</errorWord>
      <group>L1_Format</group>
      <groupName>格式问题</groupName>
      <ability>L2_HalfPunc</ability>
      <abilityName>全半角检查</abilityName>
      <candidateList>
        <item>－</item>
      </candidateList>
      <explain>文本全半角错误。</explain>
      <paraID>39C7ECF1</paraID>
      <start>98</start>
      <end>99</end>
      <status>unmodified</status>
      <modifiedWord/>
      <trackRevisions>false</trackRevisions>
    </reviewItem>
    <reviewItem>
      <errorID>7f084281-c0bc-4b67-bc27-4a4577b05203</errorID>
      <errorWord>-</errorWord>
      <group>L1_Format</group>
      <groupName>格式问题</groupName>
      <ability>L2_HalfPunc</ability>
      <abilityName>全半角检查</abilityName>
      <candidateList>
        <item>－</item>
      </candidateList>
      <explain>文本全半角错误。</explain>
      <paraID>2FDB20A6</paraID>
      <start>7</start>
      <end>8</end>
      <status>unmodified</status>
      <modifiedWord/>
      <trackRevisions>false</trackRevisions>
    </reviewItem>
    <reviewItem>
      <errorID>f5f3f44f-2cae-4f0c-9c5a-ea5186279eb4</errorID>
      <errorWord>-</errorWord>
      <group>L1_Format</group>
      <groupName>格式问题</groupName>
      <ability>L2_HalfPunc</ability>
      <abilityName>全半角检查</abilityName>
      <candidateList>
        <item>－</item>
      </candidateList>
      <explain>文本全半角错误。</explain>
      <paraID>2FDB20A6</paraID>
      <start>19</start>
      <end>20</end>
      <status>unmodified</status>
      <modifiedWord/>
      <trackRevisions>false</trackRevisions>
    </reviewItem>
    <reviewItem>
      <errorID>22881844-3363-444b-9341-81bb9fbbdc8c</errorID>
      <errorWord>-</errorWord>
      <group>L1_Format</group>
      <groupName>格式问题</groupName>
      <ability>L2_HalfPunc</ability>
      <abilityName>全半角检查</abilityName>
      <candidateList>
        <item>－</item>
      </candidateList>
      <explain>文本全半角错误。</explain>
      <paraID>2FDB20A6</paraID>
      <start>22</start>
      <end>23</end>
      <status>unmodified</status>
      <modifiedWord/>
      <trackRevisions>false</trackRevisions>
    </reviewItem>
    <reviewItem>
      <errorID>229af089-2837-4a22-92db-9ef859e78029</errorID>
      <errorWord>(</errorWord>
      <group>L1_Format</group>
      <groupName>格式问题</groupName>
      <ability>L2_HalfPunc</ability>
      <abilityName>全半角检查</abilityName>
      <candidateList>
        <item>（</item>
      </candidateList>
      <explain>文本全半角错误。</explain>
      <paraID>4B52B555</paraID>
      <start>5</start>
      <end>6</end>
      <status>unmodified</status>
      <modifiedWord/>
      <trackRevisions>false</trackRevisions>
    </reviewItem>
    <reviewItem>
      <errorID>ed60caa5-036a-49b8-994a-d5947f28c2e2</errorID>
      <errorWord>(</errorWord>
      <group>L1_Format</group>
      <groupName>格式问题</groupName>
      <ability>L2_HalfPunc</ability>
      <abilityName>全半角检查</abilityName>
      <candidateList>
        <item>（</item>
      </candidateList>
      <explain>文本全半角错误。</explain>
      <paraID> 6A3F675</paraID>
      <start>4</start>
      <end>5</end>
      <status>unmodified</status>
      <modifiedWord/>
      <trackRevisions>false</trackRevisions>
    </reviewItem>
    <reviewItem>
      <errorID>ac8bd439-5014-431e-847d-1053dbae3aec</errorID>
      <errorWord>-</errorWord>
      <group>L1_Format</group>
      <groupName>格式问题</groupName>
      <ability>L2_HalfPunc</ability>
      <abilityName>全半角检查</abilityName>
      <candidateList>
        <item>－</item>
      </candidateList>
      <explain>文本全半角错误。</explain>
      <paraID>4C6B1807</paraID>
      <start>84</start>
      <end>85</end>
      <status>unmodified</status>
      <modifiedWord/>
      <trackRevisions>false</trackRevisions>
    </reviewItem>
    <reviewItem>
      <errorID>686c1feb-3e33-4968-9277-83b5e3f07460</errorID>
      <errorWord>III</errorWord>
      <group>L1_Knowledge</group>
      <groupName>知识性问题</groupName>
      <ability>L2_Knowledge</ability>
      <abilityName>其他知识</abilityName>
      <candidateList>
        <item>Ⅲ</item>
      </candidateList>
      <explain>中文环境下罗马数字格式错误。</explain>
      <paraID>4C6B1807</paraID>
      <start>330</start>
      <end>333</end>
      <status>unmodified</status>
      <modifiedWord/>
      <trackRevisions>false</trackRevisions>
    </reviewItem>
    <reviewItem>
      <errorID>8ca53676-524e-4950-8431-688fa59bfa9c</errorID>
      <errorWord>III</errorWord>
      <group>L1_Knowledge</group>
      <groupName>知识性问题</groupName>
      <ability>L2_Knowledge</ability>
      <abilityName>其他知识</abilityName>
      <candidateList>
        <item>Ⅲ</item>
      </candidateList>
      <explain>中文环境下罗马数字格式错误。</explain>
      <paraID>4C6B1807</paraID>
      <start>378</start>
      <end>381</end>
      <status>unmodified</status>
      <modifiedWord/>
      <trackRevisions>false</trackRevisions>
    </reviewItem>
    <reviewItem>
      <errorID>37fa0e60-b70d-45ed-9c63-29db81bdb1ab</errorID>
      <errorWord>-</errorWord>
      <group>L1_Format</group>
      <groupName>格式问题</groupName>
      <ability>L2_HalfPunc</ability>
      <abilityName>全半角检查</abilityName>
      <candidateList>
        <item>－</item>
      </candidateList>
      <explain>文本全半角错误。</explain>
      <paraID>2BC5D977</paraID>
      <start>37</start>
      <end>38</end>
      <status>unmodified</status>
      <modifiedWord/>
      <trackRevisions>false</trackRevisions>
    </reviewItem>
    <reviewItem>
      <errorID>d8fd8b62-5cbd-4b93-a85e-8cc7ade7584c</errorID>
      <errorWord>II</errorWord>
      <group>L1_Knowledge</group>
      <groupName>知识性问题</groupName>
      <ability>L2_Knowledge</ability>
      <abilityName>其他知识</abilityName>
      <candidateList>
        <item>Ⅱ</item>
      </candidateList>
      <explain>中文环境下罗马数字格式错误。</explain>
      <paraID>4A213A0F</paraID>
      <start>30</start>
      <end>32</end>
      <status>unmodified</status>
      <modifiedWord/>
      <trackRevisions>false</trackRevisions>
    </reviewItem>
    <reviewItem>
      <errorID>b7a88dfc-b691-4a5e-92f2-24097bc84df1</errorID>
      <errorWord>III</errorWord>
      <group>L1_Knowledge</group>
      <groupName>知识性问题</groupName>
      <ability>L2_Knowledge</ability>
      <abilityName>其他知识</abilityName>
      <candidateList>
        <item>Ⅲ</item>
      </candidateList>
      <explain>中文环境下罗马数字格式错误。</explain>
      <paraID>4A213A0F</paraID>
      <start>50</start>
      <end>53</end>
      <status>unmodified</status>
      <modifiedWord/>
      <trackRevisions>false</trackRevisions>
    </reviewItem>
    <reviewItem>
      <errorID>086c9c4b-91fd-41f6-9574-cbefac9e6b01</errorID>
      <errorWord>~</errorWord>
      <group>L1_Format</group>
      <groupName>格式问题</groupName>
      <ability>L2_HalfPunc</ability>
      <abilityName>全半角检查</abilityName>
      <candidateList>
        <item>～</item>
      </candidateList>
      <explain>文本全半角错误。</explain>
      <paraID>  A0A251</paraID>
      <start>24</start>
      <end>25</end>
      <status>unmodified</status>
      <modifiedWord/>
      <trackRevisions>false</trackRevisions>
    </reviewItem>
    <reviewItem>
      <errorID>63d375d9-f16e-4e55-969f-78a17d0f0953</errorID>
      <errorWord>~</errorWord>
      <group>L1_Format</group>
      <groupName>格式问题</groupName>
      <ability>L2_HalfPunc</ability>
      <abilityName>全半角检查</abilityName>
      <candidateList>
        <item>～</item>
      </candidateList>
      <explain>文本全半角错误。</explain>
      <paraID>  A0A251</paraID>
      <start>56</start>
      <end>57</end>
      <status>unmodified</status>
      <modifiedWord/>
      <trackRevisions>false</trackRevisions>
    </reviewItem>
    <reviewItem>
      <errorID>997b854c-21b3-4913-a55d-715b18e99249</errorID>
      <errorWord>~</errorWord>
      <group>L1_Format</group>
      <groupName>格式问题</groupName>
      <ability>L2_HalfPunc</ability>
      <abilityName>全半角检查</abilityName>
      <candidateList>
        <item>～</item>
      </candidateList>
      <explain>文本全半角错误。</explain>
      <paraID>79869B64</paraID>
      <start>4</start>
      <end>5</end>
      <status>unmodified</status>
      <modifiedWord/>
      <trackRevisions>false</trackRevisions>
    </reviewItem>
    <reviewItem>
      <errorID>94b8ace5-f8db-411c-9d42-1a18eb2f7aed</errorID>
      <errorWord>~</errorWord>
      <group>L1_Format</group>
      <groupName>格式问题</groupName>
      <ability>L2_HalfPunc</ability>
      <abilityName>全半角检查</abilityName>
      <candidateList>
        <item>～</item>
      </candidateList>
      <explain>文本全半角错误。</explain>
      <paraID>606A00FD</paraID>
      <start>4</start>
      <end>5</end>
      <status>unmodified</status>
      <modifiedWord/>
      <trackRevisions>false</trackRevisions>
    </reviewItem>
    <reviewItem>
      <errorID>0b103020-e06f-4017-b868-55518ab8e587</errorID>
      <errorWord>（</errorWord>
      <group>L1_Format</group>
      <groupName>格式问题</groupName>
      <ability>L2_HalfPunc</ability>
      <abilityName>全半角检查</abilityName>
      <candidateList>
        <item>(</item>
      </candidateList>
      <explain>文本全半角错误。</explain>
      <paraID>  E1CB88</paraID>
      <start>2</start>
      <end>3</end>
      <status>unmodified</status>
      <modifiedWord/>
      <trackRevisions>false</trackRevisions>
    </reviewItem>
    <reviewItem>
      <errorID>438ca28f-1db1-4200-a58a-ac93b8a3e054</errorID>
      <errorWord>）</errorWord>
      <group>L1_Format</group>
      <groupName>格式问题</groupName>
      <ability>L2_HalfPunc</ability>
      <abilityName>全半角检查</abilityName>
      <candidateList>
        <item>)</item>
      </candidateList>
      <explain>文本全半角错误。</explain>
      <paraID>  E1CB88</paraID>
      <start>4</start>
      <end>5</end>
      <status>unmodified</status>
      <modifiedWord/>
      <trackRevisions>false</trackRevisions>
    </reviewItem>
    <reviewItem>
      <errorID>10b4bbb7-33d0-4b0d-aaee-6fb161d43d21</errorID>
      <errorWord>~</errorWord>
      <group>L1_Format</group>
      <groupName>格式问题</groupName>
      <ability>L2_HalfPunc</ability>
      <abilityName>全半角检查</abilityName>
      <candidateList>
        <item>～</item>
      </candidateList>
      <explain>文本全半角错误。</explain>
      <paraID>552AF608</paraID>
      <start>48</start>
      <end>49</end>
      <status>unmodified</status>
      <modifiedWord/>
      <trackRevisions>false</trackRevisions>
    </reviewItem>
    <reviewItem>
      <errorID>5f5369ce-0369-4656-827b-a864f2607d5f</errorID>
      <errorWord>~</errorWord>
      <group>L1_Format</group>
      <groupName>格式问题</groupName>
      <ability>L2_HalfPunc</ability>
      <abilityName>全半角检查</abilityName>
      <candidateList>
        <item>～</item>
      </candidateList>
      <explain>文本全半角错误。</explain>
      <paraID>375AFC94</paraID>
      <start>16</start>
      <end>17</end>
      <status>unmodified</status>
      <modifiedWord/>
      <trackRevisions>false</trackRevisions>
    </reviewItem>
    <reviewItem>
      <errorID>42b5e5e8-fa9e-4046-b4ff-851958da6178</errorID>
      <errorWord>IV</errorWord>
      <group>L1_Knowledge</group>
      <groupName>知识性问题</groupName>
      <ability>L2_Knowledge</ability>
      <abilityName>其他知识</abilityName>
      <candidateList>
        <item>Ⅳ</item>
      </candidateList>
      <explain>中文环境下罗马数字格式错误。</explain>
      <paraID>4F179E1F</paraID>
      <start>41</start>
      <end>43</end>
      <status>unmodified</status>
      <modifiedWord/>
      <trackRevisions>false</trackRevisions>
    </reviewItem>
    <reviewItem>
      <errorID>1d016b5d-41fa-43c9-a9a6-5ff9c6dacda6</errorID>
      <errorWord>（</errorWord>
      <group>L1_Punc</group>
      <groupName>标点问题</groupName>
      <ability>L2_Punc</ability>
      <abilityName>标点符号检查</abilityName>
      <candidateList/>
      <explain>同一形式括号套用。</explain>
      <paraID>4F431222</paraID>
      <start>30</start>
      <end>31</end>
      <status>unmodified</status>
      <modifiedWord/>
      <trackRevisions>false</trackRevisions>
    </reviewItem>
    <reviewItem>
      <errorID>936abeb8-9c7a-48b6-aa7c-8ef806b816c0</errorID>
      <errorWord>）</errorWord>
      <group>L1_Punc</group>
      <groupName>标点问题</groupName>
      <ability>L2_Punc</ability>
      <abilityName>标点符号检查</abilityName>
      <candidateList/>
      <explain>同一形式括号套用。</explain>
      <paraID>4F431222</paraID>
      <start>32</start>
      <end>33</end>
      <status>unmodified</status>
      <modifiedWord/>
      <trackRevisions>false</trackRevisions>
    </reviewItem>
    <reviewItem>
      <errorID>614ff3a7-184e-47a3-8c82-b089fc43d7ee</errorID>
      <errorWord>（</errorWord>
      <group>L1_Punc</group>
      <groupName>标点问题</groupName>
      <ability>L2_Punc</ability>
      <abilityName>标点符号检查</abilityName>
      <candidateList/>
      <explain>同一形式括号套用。</explain>
      <paraID>4F431222</paraID>
      <start>44</start>
      <end>45</end>
      <status>unmodified</status>
      <modifiedWord/>
      <trackRevisions>false</trackRevisions>
    </reviewItem>
    <reviewItem>
      <errorID>a8ca08c0-ec47-43ed-af1d-095337854b35</errorID>
      <errorWord>）</errorWord>
      <group>L1_Punc</group>
      <groupName>标点问题</groupName>
      <ability>L2_Punc</ability>
      <abilityName>标点符号检查</abilityName>
      <candidateList/>
      <explain>同一形式括号套用。</explain>
      <paraID>4F431222</paraID>
      <start>46</start>
      <end>47</end>
      <status>unmodified</status>
      <modifiedWord/>
      <trackRevisions>false</trackRevisions>
    </reviewItem>
    <reviewItem>
      <errorID>0b56eccb-8ee1-4e8f-9587-537f03e20cd8</errorID>
      <errorWord>（</errorWord>
      <group>L1_Format</group>
      <groupName>格式问题</groupName>
      <ability>L2_HalfPunc</ability>
      <abilityName>全半角检查</abilityName>
      <candidateList>
        <item>(</item>
      </candidateList>
      <explain>文本全半角错误。</explain>
      <paraID> 97081A6</paraID>
      <start>0</start>
      <end>1</end>
      <status>unmodified</status>
      <modifiedWord/>
      <trackRevisions>false</trackRevisions>
    </reviewItem>
    <reviewItem>
      <errorID>457e5bdb-5e2e-4f1b-b843-9d495a6ad187</errorID>
      <errorWord>（</errorWord>
      <group>L1_Punc</group>
      <groupName>标点问题</groupName>
      <ability>L2_Punc</ability>
      <abilityName>标点符号检查</abilityName>
      <candidateList/>
      <explain>同一形式括号套用。</explain>
      <paraID>4629AF83</paraID>
      <start>4</start>
      <end>5</end>
      <status>unmodified</status>
      <modifiedWord/>
      <trackRevisions>false</trackRevisions>
    </reviewItem>
    <reviewItem>
      <errorID>6f873a37-1439-4f66-b2bb-510521a280e9</errorID>
      <errorWord>）</errorWord>
      <group>L1_Punc</group>
      <groupName>标点问题</groupName>
      <ability>L2_Punc</ability>
      <abilityName>标点符号检查</abilityName>
      <candidateList/>
      <explain>同一形式括号套用。</explain>
      <paraID>4629AF83</paraID>
      <start>6</start>
      <end>7</end>
      <status>unmodified</status>
      <modifiedWord/>
      <trackRevisions>false</trackRevisions>
    </reviewItem>
    <reviewItem>
      <errorID>f48760ed-1127-48c4-8bfd-ce931d022455</errorID>
      <errorWord>（</errorWord>
      <group>L1_Punc</group>
      <groupName>标点问题</groupName>
      <ability>L2_Punc</ability>
      <abilityName>标点符号检查</abilityName>
      <candidateList/>
      <explain>同一形式括号套用。</explain>
      <paraID>35C24FCF</paraID>
      <start>4</start>
      <end>5</end>
      <status>unmodified</status>
      <modifiedWord/>
      <trackRevisions>false</trackRevisions>
    </reviewItem>
    <reviewItem>
      <errorID>abb44190-5c5e-4aa6-b14f-ef55c2812343</errorID>
      <errorWord>）</errorWord>
      <group>L1_Punc</group>
      <groupName>标点问题</groupName>
      <ability>L2_Punc</ability>
      <abilityName>标点符号检查</abilityName>
      <candidateList/>
      <explain>同一形式括号套用。</explain>
      <paraID>35C24FCF</paraID>
      <start>6</start>
      <end>7</end>
      <status>unmodified</status>
      <modifiedWord/>
      <trackRevisions>false</trackRevisions>
    </reviewItem>
    <reviewItem>
      <errorID>c4456aee-8e79-4d3b-aa61-874101b62ac1</errorID>
      <errorWord>；</errorWord>
      <group>L1_Format</group>
      <groupName>格式问题</groupName>
      <ability>L2_HalfPunc</ability>
      <abilityName>全半角检查</abilityName>
      <candidateList>
        <item>;</item>
      </candidateList>
      <explain>文本全半角错误。</explain>
      <paraID>5CB52EA4</paraID>
      <start>3</start>
      <end>4</end>
      <status>unmodified</status>
      <modifiedWord/>
      <trackRevisions>false</trackRevisions>
    </reviewItem>
    <reviewItem>
      <errorID>4fbe42db-e0e2-49a4-b6bb-45433d4350ae</errorID>
      <errorWord>~</errorWord>
      <group>L1_Format</group>
      <groupName>格式问题</groupName>
      <ability>L2_HalfPunc</ability>
      <abilityName>全半角检查</abilityName>
      <candidateList>
        <item>～</item>
      </candidateList>
      <explain>文本全半角错误。</explain>
      <paraID>2C9EBE75</paraID>
      <start>1</start>
      <end>2</end>
      <status>unmodified</status>
      <modifiedWord/>
      <trackRevisions>false</trackRevisions>
    </reviewItem>
    <reviewItem>
      <errorID>867c7983-a89d-4b3f-a71a-a1235cc8dcf8</errorID>
      <errorWord>；</errorWord>
      <group>L1_Format</group>
      <groupName>格式问题</groupName>
      <ability>L2_HalfPunc</ability>
      <abilityName>全半角检查</abilityName>
      <candidateList>
        <item>;</item>
      </candidateList>
      <explain>文本全半角错误。</explain>
      <paraID>4C15D8F4</paraID>
      <start>4</start>
      <end>5</end>
      <status>unmodified</status>
      <modifiedWord/>
      <trackRevisions>false</trackRevisions>
    </reviewItem>
    <reviewItem>
      <errorID>7c3f013f-caec-4fe7-80c8-9ace985c1fbb</errorID>
      <errorWord>（</errorWord>
      <group>L1_Format</group>
      <groupName>格式问题</groupName>
      <ability>L2_HalfPunc</ability>
      <abilityName>全半角检查</abilityName>
      <candidateList>
        <item>(</item>
      </candidateList>
      <explain>文本全半角错误。</explain>
      <paraID>74AA24D0</paraID>
      <start>0</start>
      <end>1</end>
      <status>unmodified</status>
      <modifiedWord/>
      <trackRevisions>false</trackRevisions>
    </reviewItem>
    <reviewItem>
      <errorID>51dff704-e244-4210-9cdb-fe5aa21f7d0a</errorID>
      <errorWord>）</errorWord>
      <group>L1_Format</group>
      <groupName>格式问题</groupName>
      <ability>L2_HalfPunc</ability>
      <abilityName>全半角检查</abilityName>
      <candidateList>
        <item>)</item>
      </candidateList>
      <explain>文本全半角错误。</explain>
      <paraID>74AA24D0</paraID>
      <start>4</start>
      <end>5</end>
      <status>unmodified</status>
      <modifiedWord/>
      <trackRevisions>false</trackRevisions>
    </reviewItem>
    <reviewItem>
      <errorID>70497fd3-292c-442a-b7a2-fce84a2a9979</errorID>
      <errorWord>(</errorWord>
      <group>L1_Format</group>
      <groupName>格式问题</groupName>
      <ability>L2_HalfPunc</ability>
      <abilityName>全半角检查</abilityName>
      <candidateList>
        <item>（</item>
      </candidateList>
      <explain>文本全半角错误。</explain>
      <paraID>4EEE2610</paraID>
      <start>8</start>
      <end>9</end>
      <status>unmodified</status>
      <modifiedWord/>
      <trackRevisions>false</trackRevisions>
    </reviewItem>
    <reviewItem>
      <errorID>6a2a1e76-250c-499e-a036-7a77ce5394da</errorID>
      <errorWord>（</errorWord>
      <group>L1_Format</group>
      <groupName>格式问题</groupName>
      <ability>L2_HalfPunc</ability>
      <abilityName>全半角检查</abilityName>
      <candidateList>
        <item>(</item>
      </candidateList>
      <explain>文本全半角错误。</explain>
      <paraID>67191318</paraID>
      <start>7</start>
      <end>8</end>
      <status>unmodified</status>
      <modifiedWord/>
      <trackRevisions>false</trackRevisions>
    </reviewItem>
    <reviewItem>
      <errorID>6fd71cd8-1822-4b32-b77b-7496bae5eb8b</errorID>
      <errorWord>）</errorWord>
      <group>L1_Format</group>
      <groupName>格式问题</groupName>
      <ability>L2_HalfPunc</ability>
      <abilityName>全半角检查</abilityName>
      <candidateList>
        <item>)</item>
      </candidateList>
      <explain>文本全半角错误。</explain>
      <paraID>67191318</paraID>
      <start>13</start>
      <end>14</end>
      <status>unmodified</status>
      <modifiedWord/>
      <trackRevisions>false</trackRevisions>
    </reviewItem>
    <reviewItem>
      <errorID>8ce7db35-d2d4-4d57-b2ea-848cf06ce6e3</errorID>
      <errorWord>（</errorWord>
      <group>L1_Format</group>
      <groupName>格式问题</groupName>
      <ability>L2_HalfPunc</ability>
      <abilityName>全半角检查</abilityName>
      <candidateList>
        <item>(</item>
      </candidateList>
      <explain>文本全半角错误。</explain>
      <paraID>453EBDD2</paraID>
      <start>5</start>
      <end>6</end>
      <status>unmodified</status>
      <modifiedWord/>
      <trackRevisions>false</trackRevisions>
    </reviewItem>
    <reviewItem>
      <errorID>9ffabf12-8dd7-42c4-9d06-5a04e59b3dc4</errorID>
      <errorWord>）</errorWord>
      <group>L1_Format</group>
      <groupName>格式问题</groupName>
      <ability>L2_HalfPunc</ability>
      <abilityName>全半角检查</abilityName>
      <candidateList>
        <item>)</item>
      </candidateList>
      <explain>文本全半角错误。</explain>
      <paraID>453EBDD2</paraID>
      <start>12</start>
      <end>13</end>
      <status>unmodified</status>
      <modifiedWord/>
      <trackRevisions>false</trackRevisions>
    </reviewItem>
    <reviewItem>
      <errorID>4d67fbc6-6eed-47e6-aeb1-443b2cfdfd9f</errorID>
      <errorWord>(</errorWord>
      <group>L1_Format</group>
      <groupName>格式问题</groupName>
      <ability>L2_HalfPunc</ability>
      <abilityName>全半角检查</abilityName>
      <candidateList>
        <item>（</item>
      </candidateList>
      <explain>文本全半角错误。</explain>
      <paraID> 6785BF3</paraID>
      <start>8</start>
      <end>9</end>
      <status>unmodified</status>
      <modifiedWord/>
      <trackRevisions>false</trackRevisions>
    </reviewItem>
    <reviewItem>
      <errorID>dd778964-5c23-4e1a-8e5f-3cf245f02e14</errorID>
      <errorWord>（</errorWord>
      <group>L1_Format</group>
      <groupName>格式问题</groupName>
      <ability>L2_HalfPunc</ability>
      <abilityName>全半角检查</abilityName>
      <candidateList>
        <item>(</item>
      </candidateList>
      <explain>文本全半角错误。</explain>
      <paraID>4B545A91</paraID>
      <start>7</start>
      <end>8</end>
      <status>unmodified</status>
      <modifiedWord/>
      <trackRevisions>false</trackRevisions>
    </reviewItem>
    <reviewItem>
      <errorID>49aab443-6cf3-4db3-ba5b-487244ac1944</errorID>
      <errorWord>）</errorWord>
      <group>L1_Format</group>
      <groupName>格式问题</groupName>
      <ability>L2_HalfPunc</ability>
      <abilityName>全半角检查</abilityName>
      <candidateList>
        <item>)</item>
      </candidateList>
      <explain>文本全半角错误。</explain>
      <paraID>4B545A91</paraID>
      <start>13</start>
      <end>14</end>
      <status>unmodified</status>
      <modifiedWord/>
      <trackRevisions>false</trackRevisions>
    </reviewItem>
    <reviewItem>
      <errorID>981e7edf-bc01-48b6-b407-fe183ff8390f</errorID>
      <errorWord>（</errorWord>
      <group>L1_Format</group>
      <groupName>格式问题</groupName>
      <ability>L2_HalfPunc</ability>
      <abilityName>全半角检查</abilityName>
      <candidateList>
        <item>(</item>
      </candidateList>
      <explain>文本全半角错误。</explain>
      <paraID>1FEC2B89</paraID>
      <start>5</start>
      <end>6</end>
      <status>unmodified</status>
      <modifiedWord/>
      <trackRevisions>false</trackRevisions>
    </reviewItem>
    <reviewItem>
      <errorID>ed3955c9-5c52-470b-afb5-998209da76fc</errorID>
      <errorWord>）</errorWord>
      <group>L1_Format</group>
      <groupName>格式问题</groupName>
      <ability>L2_HalfPunc</ability>
      <abilityName>全半角检查</abilityName>
      <candidateList>
        <item>)</item>
      </candidateList>
      <explain>文本全半角错误。</explain>
      <paraID>1FEC2B89</paraID>
      <start>12</start>
      <end>13</end>
      <status>unmodified</status>
      <modifiedWord/>
      <trackRevisions>false</trackRevisions>
    </reviewItem>
    <reviewItem>
      <errorID>89c968f5-be45-4ad1-95a0-1ba3db91c6c8</errorID>
      <errorWord>、</errorWord>
      <group>L1_Punc</group>
      <groupName>标点问题</groupName>
      <ability>L2_Punc</ability>
      <abilityName>标点符号检查</abilityName>
      <candidateList>
        <item>.</item>
      </candidateList>
      <explain/>
      <paraID>19DB21D8</paraID>
      <start>1</start>
      <end>2</end>
      <status>unmodified</status>
      <modifiedWord/>
      <trackRevisions>false</trackRevisions>
    </reviewItem>
    <reviewItem>
      <errorID>436fb189-bc47-41a3-8c16-faea828a11ee</errorID>
      <errorWord>拌合站</errorWord>
      <group>L1_Word</group>
      <groupName>字词问题</groupName>
      <ability>L2_Typo</ability>
      <abilityName>字词错误</abilityName>
      <candidateList>
        <item>拌和站</item>
      </candidateList>
      <explain>存在发音相同字词的误用。</explain>
      <paraID>4C7E0CF1</paraID>
      <start>59</start>
      <end>62</end>
      <status>unmodified</status>
      <modifiedWord/>
      <trackRevisions>false</trackRevisions>
    </reviewItem>
    <reviewItem>
      <errorID>e2f89cbf-de96-422a-b95d-6c8d2b0d89ff</errorID>
      <errorWord>拌合站</errorWord>
      <group>L1_Word</group>
      <groupName>字词问题</groupName>
      <ability>L2_Typo</ability>
      <abilityName>字词错误</abilityName>
      <candidateList>
        <item>拌和站</item>
      </candidateList>
      <explain>存在发音相同字词的误用。</explain>
      <paraID>784D0D19</paraID>
      <start>21</start>
      <end>24</end>
      <status>unmodified</status>
      <modifiedWord/>
      <trackRevisions>false</trackRevisions>
    </reviewItem>
    <reviewItem>
      <errorID>ed39e2b3-a9c5-471e-9383-4a439b849483</errorID>
      <errorWord>，</errorWord>
      <group>L1_Word</group>
      <groupName>字词问题</groupName>
      <ability>L2_Typo</ability>
      <abilityName>字词错误</abilityName>
      <candidateList>
        <item>，对</item>
      </candidateList>
      <explain/>
      <paraID>3A0B5927</paraID>
      <start>65</start>
      <end>66</end>
      <status>unmodified</status>
      <modifiedWord/>
      <trackRevisions>false</trackRevisions>
    </reviewItem>
    <reviewItem>
      <errorID>625fb6aa-497f-4b47-8255-534cae087244</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6659BFC7</paraID>
      <start>24</start>
      <end>26</end>
      <status>unmodified</status>
      <modifiedWord/>
      <trackRevisions>false</trackRevisions>
    </reviewItem>
    <reviewItem>
      <errorID>46aa62f8-e59a-4eec-9903-bb6fd8533747</errorID>
      <errorWord>~</errorWord>
      <group>L1_Format</group>
      <groupName>格式问题</groupName>
      <ability>L2_HalfPunc</ability>
      <abilityName>全半角检查</abilityName>
      <candidateList>
        <item>～</item>
      </candidateList>
      <explain>文本全半角错误。</explain>
      <paraID>7837DF27</paraID>
      <start>23</start>
      <end>24</end>
      <status>unmodified</status>
      <modifiedWord/>
      <trackRevisions>false</trackRevisions>
    </reviewItem>
    <reviewItem>
      <errorID>371e6c25-6a22-451c-a5c8-42c51badd15d</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701983A1</paraID>
      <start>24</start>
      <end>26</end>
      <status>unmodified</status>
      <modifiedWord/>
      <trackRevisions>false</trackRevisions>
    </reviewItem>
    <reviewItem>
      <errorID>5911247a-81d1-4e83-b954-235faf0970ef</errorID>
      <errorWord>噪声的</errorWord>
      <group>L1_Word</group>
      <groupName>字词问题</groupName>
      <ability>L2_Typo</ability>
      <abilityName>字词错误</abilityName>
      <candidateList>
        <item>噪声</item>
      </candidateList>
      <explain/>
      <paraID>450501DF</paraID>
      <start>198</start>
      <end>201</end>
      <status>unmodified</status>
      <modifiedWord/>
      <trackRevisions>false</trackRevisions>
    </reviewItem>
    <reviewItem>
      <errorID>afff1659-9e0e-4a4e-be84-b64322102120</errorID>
      <errorWord>期</errorWord>
      <group>L1_Word</group>
      <groupName>字词问题</groupName>
      <ability>L2_Typo</ability>
      <abilityName>字词错误</abilityName>
      <candidateList>
        <item>期间</item>
      </candidateList>
      <explain>〈名〉某个时期里面：农忙～｜春节～｜抗战～。</explain>
      <paraID>40CE9FEA</paraID>
      <start>15</start>
      <end>16</end>
      <status>unmodified</status>
      <modifiedWord/>
      <trackRevisions>false</trackRevisions>
    </reviewItem>
    <reviewItem>
      <errorID>bf6dd047-8f24-4730-962d-4498fd55ab01</errorID>
      <errorWord>期</errorWord>
      <group>L1_Word</group>
      <groupName>字词问题</groupName>
      <ability>L2_Typo</ability>
      <abilityName>字词错误</abilityName>
      <candidateList>
        <item>期间</item>
      </candidateList>
      <explain>〈名〉某个时期里面：农忙～｜春节～｜抗战～。</explain>
      <paraID>5B0D6568</paraID>
      <start>29</start>
      <end>30</end>
      <status>unmodified</status>
      <modifiedWord/>
      <trackRevisions>false</trackRevisions>
    </reviewItem>
    <reviewItem>
      <errorID>9ccd31c4-73b6-4040-9705-903729d95c6a</errorID>
      <errorWord>圾</errorWord>
      <group>L1_Word</group>
      <groupName>字词问题</groupName>
      <ability>L2_Typo</ability>
      <abilityName>字词错误</abilityName>
      <candidateList>
        <item/>
      </candidateList>
      <explain/>
      <paraID>39B0ABE0</paraID>
      <start>16</start>
      <end>17</end>
      <status>unmodified</status>
      <modifiedWord/>
      <trackRevisions>false</trackRevisions>
    </reviewItem>
    <reviewItem>
      <errorID>90425bf6-a285-4164-8ca2-e3e2f1b337e7</errorID>
      <errorWord>修冠</errorWord>
      <group>L1_Word</group>
      <groupName>字词问题</groupName>
      <ability>L2_Typo</ability>
      <abilityName>字词错误</abilityName>
      <candidateList>
        <item>修剪</item>
      </candidateList>
      <explain/>
      <paraID>4B8C7A69</paraID>
      <start>70</start>
      <end>72</end>
      <status>unmodified</status>
      <modifiedWord/>
      <trackRevisions>false</trackRevisions>
    </reviewItem>
    <reviewItem>
      <errorID>44ec4f7c-7f82-4486-b10e-6a4bbeebc3c0</errorID>
      <errorWord>~</errorWord>
      <group>L1_Format</group>
      <groupName>格式问题</groupName>
      <ability>L2_HalfPunc</ability>
      <abilityName>全半角检查</abilityName>
      <candidateList>
        <item>～</item>
      </candidateList>
      <explain>文本全半角错误。</explain>
      <paraID> D9EDE15</paraID>
      <start>58</start>
      <end>59</end>
      <status>unmodified</status>
      <modifiedWord/>
      <trackRevisions>false</trackRevisions>
    </reviewItem>
    <reviewItem>
      <errorID>d901281e-7fb7-42c9-b56a-4e50db3a0356</errorID>
      <errorWord>~</errorWord>
      <group>L1_Format</group>
      <groupName>格式问题</groupName>
      <ability>L2_HalfPunc</ability>
      <abilityName>全半角检查</abilityName>
      <candidateList>
        <item>～</item>
      </candidateList>
      <explain>文本全半角错误。</explain>
      <paraID> D9EDE15</paraID>
      <start>120</start>
      <end>121</end>
      <status>unmodified</status>
      <modifiedWord/>
      <trackRevisions>false</trackRevisions>
    </reviewItem>
    <reviewItem>
      <errorID>b488e87b-e305-4659-bed0-b6bf0cec2393</errorID>
      <errorWord>制限</errorWord>
      <group>L1_Word</group>
      <groupName>字词问题</groupName>
      <ability>L2_Typo</ability>
      <abilityName>字词错误</abilityName>
      <candidateList>
        <item>限制</item>
      </candidateList>
      <explain/>
      <paraID>570B30B7</paraID>
      <start>0</start>
      <end>2</end>
      <status>unmodified</status>
      <modifiedWord/>
      <trackRevisions>false</trackRevisions>
    </reviewItem>
    <reviewItem>
      <errorID>4dca48e6-d55b-4081-976b-ff9c629de4b2</errorID>
      <errorWord>Lp（r）＝Lp（r0）+DC－（Adiv＋Aatm＋Agr＋Abar＋Amisc</errorWord>
      <group>L1_English</group>
      <groupName>英文问题</groupName>
      <ability>L2_Other_Grammar</ability>
      <abilityName>其他语法问题</abilityName>
      <candidateList>
        <item>Lp(r) = Lp(r0) + DC − (Adiv + Aatm + Agr + Abar + Amisc</item>
      </candidateList>
      <explain>疑似单词/词组使用不当, 建议将Lp（r）＝Lp（r0）+DC－（Adiv＋Aatm＋Agr＋Abar＋Amisc修改为Lp(r) = Lp(r0) + DC − (Adiv + Aatm + Agr + Abar + Amisc</explain>
      <paraID>4D7736EB</paraID>
      <start>0</start>
      <end>41</end>
      <status>unmodified</status>
      <modifiedWord/>
      <trackRevisions>false</trackRevisions>
    </reviewItem>
    <reviewItem>
      <errorID>34ee46bb-e1fb-4fd9-984a-5178b1628d95</errorID>
      <errorWord>实际情况做</errorWord>
      <group>L1_Word</group>
      <groupName>字词问题</groupName>
      <ability>L2_Typo</ability>
      <abilityName>字词错误</abilityName>
      <candidateList>
        <item>实际情况作</item>
      </candidateList>
      <explain/>
      <paraID>5223507A</paraID>
      <start>71</start>
      <end>76</end>
      <status>unmodified</status>
      <modifiedWord/>
      <trackRevisions>false</trackRevisions>
    </reviewItem>
    <reviewItem>
      <errorID>7f08e8f2-bde4-4568-971c-f47c40a929c0</errorID>
      <errorWord>（</errorWord>
      <group>L1_Punc</group>
      <groupName>标点问题</groupName>
      <ability>L2_Punc</ability>
      <abilityName>标点符号检查</abilityName>
      <candidateList/>
      <explain>同一形式括号套用。</explain>
      <paraID>47F53548</paraID>
      <start>16</start>
      <end>17</end>
      <status>unmodified</status>
      <modifiedWord/>
      <trackRevisions>false</trackRevisions>
    </reviewItem>
    <reviewItem>
      <errorID>02de96d0-4e14-47a2-858e-fa9cc718f38b</errorID>
      <errorWord>）</errorWord>
      <group>L1_Punc</group>
      <groupName>标点问题</groupName>
      <ability>L2_Punc</ability>
      <abilityName>标点符号检查</abilityName>
      <candidateList/>
      <explain>同一形式括号套用。</explain>
      <paraID>47F53548</paraID>
      <start>18</start>
      <end>19</end>
      <status>unmodified</status>
      <modifiedWord/>
      <trackRevisions>false</trackRevisions>
    </reviewItem>
    <reviewItem>
      <errorID>024efbcb-8d10-4d42-b3d4-63a79d96690a</errorID>
      <errorWord>（</errorWord>
      <group>L1_Format</group>
      <groupName>格式问题</groupName>
      <ability>L2_HalfPunc</ability>
      <abilityName>全半角检查</abilityName>
      <candidateList>
        <item>(</item>
      </candidateList>
      <explain>文本全半角错误。</explain>
      <paraID>25FABFD1</paraID>
      <start>0</start>
      <end>1</end>
      <status>unmodified</status>
      <modifiedWord/>
      <trackRevisions>false</trackRevisions>
    </reviewItem>
    <reviewItem>
      <errorID>d225ff6b-3924-4b92-a432-22b2c1574199</errorID>
      <errorWord>，</errorWord>
      <group>L1_Format</group>
      <groupName>格式问题</groupName>
      <ability>L2_HalfPunc</ability>
      <abilityName>全半角检查</abilityName>
      <candidateList>
        <item>,</item>
      </candidateList>
      <explain>文本全半角错误。</explain>
      <paraID>25FABFD1</paraID>
      <start>8</start>
      <end>9</end>
      <status>unmodified</status>
      <modifiedWord/>
      <trackRevisions>false</trackRevisions>
    </reviewItem>
    <reviewItem>
      <errorID>d5002ad7-71ce-48a0-b670-7d4a51d9092b</errorID>
      <errorWord>，</errorWord>
      <group>L1_Format</group>
      <groupName>格式问题</groupName>
      <ability>L2_HalfPunc</ability>
      <abilityName>全半角检查</abilityName>
      <candidateList>
        <item>,</item>
      </candidateList>
      <explain>文本全半角错误。</explain>
      <paraID>25FABFD1</paraID>
      <start>16</start>
      <end>17</end>
      <status>unmodified</status>
      <modifiedWord/>
      <trackRevisions>false</trackRevisions>
    </reviewItem>
    <reviewItem>
      <errorID>efec1017-c19b-4e2f-ae87-c5ba79a94d46</errorID>
      <errorWord>）</errorWord>
      <group>L1_Format</group>
      <groupName>格式问题</groupName>
      <ability>L2_HalfPunc</ability>
      <abilityName>全半角检查</abilityName>
      <candidateList>
        <item>)</item>
      </candidateList>
      <explain>文本全半角错误。</explain>
      <paraID>25FABFD1</paraID>
      <start>18</start>
      <end>19</end>
      <status>unmodified</status>
      <modifiedWord/>
      <trackRevisions>false</trackRevisions>
    </reviewItem>
    <reviewItem>
      <errorID>989e0bba-5c76-43f0-885e-dc99abc57a1f</errorID>
      <errorWord>（</errorWord>
      <group>L1_Format</group>
      <groupName>格式问题</groupName>
      <ability>L2_HalfPunc</ability>
      <abilityName>全半角检查</abilityName>
      <candidateList>
        <item>(</item>
      </candidateList>
      <explain>文本全半角错误。</explain>
      <paraID>25FABFD1</paraID>
      <start>20</start>
      <end>21</end>
      <status>unmodified</status>
      <modifiedWord/>
      <trackRevisions>false</trackRevisions>
    </reviewItem>
    <reviewItem>
      <errorID>c3923226-7969-4364-b661-feb79301f7a5</errorID>
      <errorWord>，</errorWord>
      <group>L1_Format</group>
      <groupName>格式问题</groupName>
      <ability>L2_HalfPunc</ability>
      <abilityName>全半角检查</abilityName>
      <candidateList>
        <item>,</item>
      </candidateList>
      <explain>文本全半角错误。</explain>
      <paraID>25FABFD1</paraID>
      <start>28</start>
      <end>29</end>
      <status>unmodified</status>
      <modifiedWord/>
      <trackRevisions>false</trackRevisions>
    </reviewItem>
    <reviewItem>
      <errorID>fa482ca5-94f3-4d46-bf45-967241fda32f</errorID>
      <errorWord>，</errorWord>
      <group>L1_Format</group>
      <groupName>格式问题</groupName>
      <ability>L2_HalfPunc</ability>
      <abilityName>全半角检查</abilityName>
      <candidateList>
        <item>,</item>
      </candidateList>
      <explain>文本全半角错误。</explain>
      <paraID>25FABFD1</paraID>
      <start>36</start>
      <end>37</end>
      <status>unmodified</status>
      <modifiedWord/>
      <trackRevisions>false</trackRevisions>
    </reviewItem>
    <reviewItem>
      <errorID>417dba48-0ffb-4ed8-8eed-a4608364f552</errorID>
      <errorWord>）</errorWord>
      <group>L1_Format</group>
      <groupName>格式问题</groupName>
      <ability>L2_HalfPunc</ability>
      <abilityName>全半角检查</abilityName>
      <candidateList>
        <item>)</item>
      </candidateList>
      <explain>文本全半角错误。</explain>
      <paraID>25FABFD1</paraID>
      <start>38</start>
      <end>39</end>
      <status>unmodified</status>
      <modifiedWord/>
      <trackRevisions>false</trackRevisions>
    </reviewItem>
    <reviewItem>
      <errorID>e37d62d7-fb38-4184-832e-bff5fcceebc7</errorID>
      <errorWord>（</errorWord>
      <group>L1_Format</group>
      <groupName>格式问题</groupName>
      <ability>L2_HalfPunc</ability>
      <abilityName>全半角检查</abilityName>
      <candidateList>
        <item>(</item>
      </candidateList>
      <explain>文本全半角错误。</explain>
      <paraID> 9ED6BAC</paraID>
      <start>0</start>
      <end>1</end>
      <status>unmodified</status>
      <modifiedWord/>
      <trackRevisions>false</trackRevisions>
    </reviewItem>
    <reviewItem>
      <errorID>8e592b99-ae6c-4b9a-9fa7-fb7cc5da57e7</errorID>
      <errorWord>，</errorWord>
      <group>L1_Format</group>
      <groupName>格式问题</groupName>
      <ability>L2_HalfPunc</ability>
      <abilityName>全半角检查</abilityName>
      <candidateList>
        <item>,</item>
      </candidateList>
      <explain>文本全半角错误。</explain>
      <paraID> 9ED6BAC</paraID>
      <start>8</start>
      <end>9</end>
      <status>unmodified</status>
      <modifiedWord/>
      <trackRevisions>false</trackRevisions>
    </reviewItem>
    <reviewItem>
      <errorID>62d2d4b0-99d2-4137-96fe-56224626c22a</errorID>
      <errorWord>，</errorWord>
      <group>L1_Format</group>
      <groupName>格式问题</groupName>
      <ability>L2_HalfPunc</ability>
      <abilityName>全半角检查</abilityName>
      <candidateList>
        <item>,</item>
      </candidateList>
      <explain>文本全半角错误。</explain>
      <paraID> 9ED6BAC</paraID>
      <start>16</start>
      <end>17</end>
      <status>unmodified</status>
      <modifiedWord/>
      <trackRevisions>false</trackRevisions>
    </reviewItem>
    <reviewItem>
      <errorID>2251e4c3-9238-4f8f-a402-eef468248c77</errorID>
      <errorWord>）</errorWord>
      <group>L1_Format</group>
      <groupName>格式问题</groupName>
      <ability>L2_HalfPunc</ability>
      <abilityName>全半角检查</abilityName>
      <candidateList>
        <item>)</item>
      </candidateList>
      <explain>文本全半角错误。</explain>
      <paraID> 9ED6BAC</paraID>
      <start>18</start>
      <end>19</end>
      <status>unmodified</status>
      <modifiedWord/>
      <trackRevisions>false</trackRevisions>
    </reviewItem>
    <reviewItem>
      <errorID>73e55a42-a356-4b67-b546-b7227e6d00f6</errorID>
      <errorWord>（</errorWord>
      <group>L1_Format</group>
      <groupName>格式问题</groupName>
      <ability>L2_HalfPunc</ability>
      <abilityName>全半角检查</abilityName>
      <candidateList>
        <item>(</item>
      </candidateList>
      <explain>文本全半角错误。</explain>
      <paraID>17EA22F8</paraID>
      <start>0</start>
      <end>1</end>
      <status>unmodified</status>
      <modifiedWord/>
      <trackRevisions>false</trackRevisions>
    </reviewItem>
    <reviewItem>
      <errorID>4b89f0c4-bfc8-4b1a-a1c9-c039920a468a</errorID>
      <errorWord>，</errorWord>
      <group>L1_Format</group>
      <groupName>格式问题</groupName>
      <ability>L2_HalfPunc</ability>
      <abilityName>全半角检查</abilityName>
      <candidateList>
        <item>,</item>
      </candidateList>
      <explain>文本全半角错误。</explain>
      <paraID>17EA22F8</paraID>
      <start>8</start>
      <end>9</end>
      <status>unmodified</status>
      <modifiedWord/>
      <trackRevisions>false</trackRevisions>
    </reviewItem>
    <reviewItem>
      <errorID>3ce04f60-1f56-4035-bbbe-a251b46d48f2</errorID>
      <errorWord>，</errorWord>
      <group>L1_Format</group>
      <groupName>格式问题</groupName>
      <ability>L2_HalfPunc</ability>
      <abilityName>全半角检查</abilityName>
      <candidateList>
        <item>,</item>
      </candidateList>
      <explain>文本全半角错误。</explain>
      <paraID>17EA22F8</paraID>
      <start>16</start>
      <end>17</end>
      <status>unmodified</status>
      <modifiedWord/>
      <trackRevisions>false</trackRevisions>
    </reviewItem>
    <reviewItem>
      <errorID>d7686a5a-37b5-4acf-9ad7-81c54dec65d6</errorID>
      <errorWord>）</errorWord>
      <group>L1_Format</group>
      <groupName>格式问题</groupName>
      <ability>L2_HalfPunc</ability>
      <abilityName>全半角检查</abilityName>
      <candidateList>
        <item>)</item>
      </candidateList>
      <explain>文本全半角错误。</explain>
      <paraID>17EA22F8</paraID>
      <start>18</start>
      <end>19</end>
      <status>unmodified</status>
      <modifiedWord/>
      <trackRevisions>false</trackRevisions>
    </reviewItem>
    <reviewItem>
      <errorID>42902e7e-3374-45ee-8524-62e9819eeadd</errorID>
      <errorWord>（</errorWord>
      <group>L1_Format</group>
      <groupName>格式问题</groupName>
      <ability>L2_HalfPunc</ability>
      <abilityName>全半角检查</abilityName>
      <candidateList>
        <item>(</item>
      </candidateList>
      <explain>文本全半角错误。</explain>
      <paraID> 1F5F432</paraID>
      <start>0</start>
      <end>1</end>
      <status>unmodified</status>
      <modifiedWord/>
      <trackRevisions>false</trackRevisions>
    </reviewItem>
    <reviewItem>
      <errorID>2fd40ae3-e1f3-4191-b96e-2e14e4466d85</errorID>
      <errorWord>，</errorWord>
      <group>L1_Format</group>
      <groupName>格式问题</groupName>
      <ability>L2_HalfPunc</ability>
      <abilityName>全半角检查</abilityName>
      <candidateList>
        <item>,</item>
      </candidateList>
      <explain>文本全半角错误。</explain>
      <paraID> 1F5F432</paraID>
      <start>8</start>
      <end>9</end>
      <status>unmodified</status>
      <modifiedWord/>
      <trackRevisions>false</trackRevisions>
    </reviewItem>
    <reviewItem>
      <errorID>5410cf56-96c4-4333-8eb5-381051b549d9</errorID>
      <errorWord>，</errorWord>
      <group>L1_Format</group>
      <groupName>格式问题</groupName>
      <ability>L2_HalfPunc</ability>
      <abilityName>全半角检查</abilityName>
      <candidateList>
        <item>,</item>
      </candidateList>
      <explain>文本全半角错误。</explain>
      <paraID> 1F5F432</paraID>
      <start>15</start>
      <end>16</end>
      <status>unmodified</status>
      <modifiedWord/>
      <trackRevisions>false</trackRevisions>
    </reviewItem>
    <reviewItem>
      <errorID>ca044880-0e96-4096-937a-7b3947bd300c</errorID>
      <errorWord>）</errorWord>
      <group>L1_Format</group>
      <groupName>格式问题</groupName>
      <ability>L2_HalfPunc</ability>
      <abilityName>全半角检查</abilityName>
      <candidateList>
        <item>)</item>
      </candidateList>
      <explain>文本全半角错误。</explain>
      <paraID> 1F5F432</paraID>
      <start>17</start>
      <end>18</end>
      <status>unmodified</status>
      <modifiedWord/>
      <trackRevisions>false</trackRevisions>
    </reviewItem>
    <reviewItem>
      <errorID>035f5290-43a2-49b0-bb73-253a0b880740</errorID>
      <errorWord>（</errorWord>
      <group>L1_Format</group>
      <groupName>格式问题</groupName>
      <ability>L2_HalfPunc</ability>
      <abilityName>全半角检查</abilityName>
      <candidateList>
        <item>(</item>
      </candidateList>
      <explain>文本全半角错误。</explain>
      <paraID> 3AF8AE0</paraID>
      <start>0</start>
      <end>1</end>
      <status>unmodified</status>
      <modifiedWord/>
      <trackRevisions>false</trackRevisions>
    </reviewItem>
    <reviewItem>
      <errorID>0d75dbc6-61d3-4f81-bb85-8247f1e9e2a6</errorID>
      <errorWord>，</errorWord>
      <group>L1_Format</group>
      <groupName>格式问题</groupName>
      <ability>L2_HalfPunc</ability>
      <abilityName>全半角检查</abilityName>
      <candidateList>
        <item>,</item>
      </candidateList>
      <explain>文本全半角错误。</explain>
      <paraID> 3AF8AE0</paraID>
      <start>8</start>
      <end>9</end>
      <status>unmodified</status>
      <modifiedWord/>
      <trackRevisions>false</trackRevisions>
    </reviewItem>
    <reviewItem>
      <errorID>61050a8c-e9eb-4f1b-a0f3-bb8ce7d6af53</errorID>
      <errorWord>，</errorWord>
      <group>L1_Format</group>
      <groupName>格式问题</groupName>
      <ability>L2_HalfPunc</ability>
      <abilityName>全半角检查</abilityName>
      <candidateList>
        <item>,</item>
      </candidateList>
      <explain>文本全半角错误。</explain>
      <paraID> 3AF8AE0</paraID>
      <start>15</start>
      <end>16</end>
      <status>unmodified</status>
      <modifiedWord/>
      <trackRevisions>false</trackRevisions>
    </reviewItem>
    <reviewItem>
      <errorID>da703eca-f509-45ca-915f-039192be724b</errorID>
      <errorWord>）</errorWord>
      <group>L1_Format</group>
      <groupName>格式问题</groupName>
      <ability>L2_HalfPunc</ability>
      <abilityName>全半角检查</abilityName>
      <candidateList>
        <item>)</item>
      </candidateList>
      <explain>文本全半角错误。</explain>
      <paraID> 3AF8AE0</paraID>
      <start>17</start>
      <end>18</end>
      <status>unmodified</status>
      <modifiedWord/>
      <trackRevisions>false</trackRevisions>
    </reviewItem>
    <reviewItem>
      <errorID>ac30fd64-f2a9-4641-b2ab-514c23da1411</errorID>
      <errorWord>（</errorWord>
      <group>L1_Format</group>
      <groupName>格式问题</groupName>
      <ability>L2_HalfPunc</ability>
      <abilityName>全半角检查</abilityName>
      <candidateList>
        <item>(</item>
      </candidateList>
      <explain>文本全半角错误。</explain>
      <paraID>259EE135</paraID>
      <start>0</start>
      <end>1</end>
      <status>unmodified</status>
      <modifiedWord/>
      <trackRevisions>false</trackRevisions>
    </reviewItem>
    <reviewItem>
      <errorID>71819622-7a7b-46f5-a212-0484501f48ab</errorID>
      <errorWord>，</errorWord>
      <group>L1_Format</group>
      <groupName>格式问题</groupName>
      <ability>L2_HalfPunc</ability>
      <abilityName>全半角检查</abilityName>
      <candidateList>
        <item>,</item>
      </candidateList>
      <explain>文本全半角错误。</explain>
      <paraID>259EE135</paraID>
      <start>8</start>
      <end>9</end>
      <status>unmodified</status>
      <modifiedWord/>
      <trackRevisions>false</trackRevisions>
    </reviewItem>
    <reviewItem>
      <errorID>0afc0fc8-4c4f-4ba8-90bc-413bde2e534a</errorID>
      <errorWord>，</errorWord>
      <group>L1_Format</group>
      <groupName>格式问题</groupName>
      <ability>L2_HalfPunc</ability>
      <abilityName>全半角检查</abilityName>
      <candidateList>
        <item>,</item>
      </candidateList>
      <explain>文本全半角错误。</explain>
      <paraID>259EE135</paraID>
      <start>15</start>
      <end>16</end>
      <status>unmodified</status>
      <modifiedWord/>
      <trackRevisions>false</trackRevisions>
    </reviewItem>
    <reviewItem>
      <errorID>ecb702f4-e848-4a49-9c19-7e9af60f3b88</errorID>
      <errorWord>）</errorWord>
      <group>L1_Format</group>
      <groupName>格式问题</groupName>
      <ability>L2_HalfPunc</ability>
      <abilityName>全半角检查</abilityName>
      <candidateList>
        <item>)</item>
      </candidateList>
      <explain>文本全半角错误。</explain>
      <paraID>259EE135</paraID>
      <start>17</start>
      <end>18</end>
      <status>unmodified</status>
      <modifiedWord/>
      <trackRevisions>false</trackRevisions>
    </reviewItem>
    <reviewItem>
      <errorID>8284b2f1-e80b-415c-b9d4-d6d8af042799</errorID>
      <errorWord>（</errorWord>
      <group>L1_Format</group>
      <groupName>格式问题</groupName>
      <ability>L2_HalfPunc</ability>
      <abilityName>全半角检查</abilityName>
      <candidateList>
        <item>(</item>
      </candidateList>
      <explain>文本全半角错误。</explain>
      <paraID>79B76F59</paraID>
      <start>0</start>
      <end>1</end>
      <status>unmodified</status>
      <modifiedWord/>
      <trackRevisions>false</trackRevisions>
    </reviewItem>
    <reviewItem>
      <errorID>38a909b4-9e99-4c25-a4e1-5cc40a4b45f1</errorID>
      <errorWord>，</errorWord>
      <group>L1_Format</group>
      <groupName>格式问题</groupName>
      <ability>L2_HalfPunc</ability>
      <abilityName>全半角检查</abilityName>
      <candidateList>
        <item>,</item>
      </candidateList>
      <explain>文本全半角错误。</explain>
      <paraID>79B76F59</paraID>
      <start>8</start>
      <end>9</end>
      <status>unmodified</status>
      <modifiedWord/>
      <trackRevisions>false</trackRevisions>
    </reviewItem>
    <reviewItem>
      <errorID>bddcbe7d-c756-434a-89ab-4026c21282d9</errorID>
      <errorWord>，</errorWord>
      <group>L1_Format</group>
      <groupName>格式问题</groupName>
      <ability>L2_HalfPunc</ability>
      <abilityName>全半角检查</abilityName>
      <candidateList>
        <item>,</item>
      </candidateList>
      <explain>文本全半角错误。</explain>
      <paraID>79B76F59</paraID>
      <start>15</start>
      <end>16</end>
      <status>unmodified</status>
      <modifiedWord/>
      <trackRevisions>false</trackRevisions>
    </reviewItem>
    <reviewItem>
      <errorID>bf49918b-58ab-479e-b052-8ee838fe2333</errorID>
      <errorWord>）</errorWord>
      <group>L1_Format</group>
      <groupName>格式问题</groupName>
      <ability>L2_HalfPunc</ability>
      <abilityName>全半角检查</abilityName>
      <candidateList>
        <item>)</item>
      </candidateList>
      <explain>文本全半角错误。</explain>
      <paraID>79B76F59</paraID>
      <start>17</start>
      <end>18</end>
      <status>unmodified</status>
      <modifiedWord/>
      <trackRevisions>false</trackRevisions>
    </reviewItem>
    <reviewItem>
      <errorID>1a8fa2e9-1afc-4a16-a141-98c35ce7c820</errorID>
      <errorWord>（</errorWord>
      <group>L1_Format</group>
      <groupName>格式问题</groupName>
      <ability>L2_HalfPunc</ability>
      <abilityName>全半角检查</abilityName>
      <candidateList>
        <item>(</item>
      </candidateList>
      <explain>文本全半角错误。</explain>
      <paraID>3EE53A53</paraID>
      <start>0</start>
      <end>1</end>
      <status>unmodified</status>
      <modifiedWord/>
      <trackRevisions>false</trackRevisions>
    </reviewItem>
    <reviewItem>
      <errorID>d4303003-732d-43c0-945f-3a83071aade7</errorID>
      <errorWord>，</errorWord>
      <group>L1_Format</group>
      <groupName>格式问题</groupName>
      <ability>L2_HalfPunc</ability>
      <abilityName>全半角检查</abilityName>
      <candidateList>
        <item>,</item>
      </candidateList>
      <explain>文本全半角错误。</explain>
      <paraID>3EE53A53</paraID>
      <start>8</start>
      <end>9</end>
      <status>unmodified</status>
      <modifiedWord/>
      <trackRevisions>false</trackRevisions>
    </reviewItem>
    <reviewItem>
      <errorID>efdda508-5489-40d4-84e0-04dc4f755121</errorID>
      <errorWord>，</errorWord>
      <group>L1_Format</group>
      <groupName>格式问题</groupName>
      <ability>L2_HalfPunc</ability>
      <abilityName>全半角检查</abilityName>
      <candidateList>
        <item>,</item>
      </candidateList>
      <explain>文本全半角错误。</explain>
      <paraID>3EE53A53</paraID>
      <start>16</start>
      <end>17</end>
      <status>unmodified</status>
      <modifiedWord/>
      <trackRevisions>false</trackRevisions>
    </reviewItem>
    <reviewItem>
      <errorID>82b3c770-555f-44fe-a266-912945222923</errorID>
      <errorWord>）</errorWord>
      <group>L1_Format</group>
      <groupName>格式问题</groupName>
      <ability>L2_HalfPunc</ability>
      <abilityName>全半角检查</abilityName>
      <candidateList>
        <item>)</item>
      </candidateList>
      <explain>文本全半角错误。</explain>
      <paraID>3EE53A53</paraID>
      <start>18</start>
      <end>19</end>
      <status>unmodified</status>
      <modifiedWord/>
      <trackRevisions>false</trackRevisions>
    </reviewItem>
    <reviewItem>
      <errorID>27aa11db-e586-4a89-a12d-7b66aebd0a23</errorID>
      <errorWord>（</errorWord>
      <group>L1_Format</group>
      <groupName>格式问题</groupName>
      <ability>L2_HalfPunc</ability>
      <abilityName>全半角检查</abilityName>
      <candidateList>
        <item>(</item>
      </candidateList>
      <explain>文本全半角错误。</explain>
      <paraID>743EC62B</paraID>
      <start>0</start>
      <end>1</end>
      <status>unmodified</status>
      <modifiedWord/>
      <trackRevisions>false</trackRevisions>
    </reviewItem>
    <reviewItem>
      <errorID>0c435ecc-76f2-400a-80f4-452ad419e889</errorID>
      <errorWord>，</errorWord>
      <group>L1_Format</group>
      <groupName>格式问题</groupName>
      <ability>L2_HalfPunc</ability>
      <abilityName>全半角检查</abilityName>
      <candidateList>
        <item>,</item>
      </candidateList>
      <explain>文本全半角错误。</explain>
      <paraID>743EC62B</paraID>
      <start>8</start>
      <end>9</end>
      <status>unmodified</status>
      <modifiedWord/>
      <trackRevisions>false</trackRevisions>
    </reviewItem>
    <reviewItem>
      <errorID>c91393b6-0295-49d8-a898-c3ee64c47418</errorID>
      <errorWord>，</errorWord>
      <group>L1_Format</group>
      <groupName>格式问题</groupName>
      <ability>L2_HalfPunc</ability>
      <abilityName>全半角检查</abilityName>
      <candidateList>
        <item>,</item>
      </candidateList>
      <explain>文本全半角错误。</explain>
      <paraID>743EC62B</paraID>
      <start>16</start>
      <end>17</end>
      <status>unmodified</status>
      <modifiedWord/>
      <trackRevisions>false</trackRevisions>
    </reviewItem>
    <reviewItem>
      <errorID>57c26367-1a9d-4642-baf0-caee5a34e3ff</errorID>
      <errorWord>）</errorWord>
      <group>L1_Format</group>
      <groupName>格式问题</groupName>
      <ability>L2_HalfPunc</ability>
      <abilityName>全半角检查</abilityName>
      <candidateList>
        <item>)</item>
      </candidateList>
      <explain>文本全半角错误。</explain>
      <paraID>743EC62B</paraID>
      <start>18</start>
      <end>19</end>
      <status>unmodified</status>
      <modifiedWord/>
      <trackRevisions>false</trackRevisions>
    </reviewItem>
    <reviewItem>
      <errorID>ee9cae00-f6d6-4e84-a009-1577d78c6447</errorID>
      <errorWord>（</errorWord>
      <group>L1_Format</group>
      <groupName>格式问题</groupName>
      <ability>L2_HalfPunc</ability>
      <abilityName>全半角检查</abilityName>
      <candidateList>
        <item>(</item>
      </candidateList>
      <explain>文本全半角错误。</explain>
      <paraID> CE17AA8</paraID>
      <start>0</start>
      <end>1</end>
      <status>unmodified</status>
      <modifiedWord/>
      <trackRevisions>false</trackRevisions>
    </reviewItem>
    <reviewItem>
      <errorID>f122c424-6219-4513-b1c3-9b9bd7bc339a</errorID>
      <errorWord>，</errorWord>
      <group>L1_Format</group>
      <groupName>格式问题</groupName>
      <ability>L2_HalfPunc</ability>
      <abilityName>全半角检查</abilityName>
      <candidateList>
        <item>,</item>
      </candidateList>
      <explain>文本全半角错误。</explain>
      <paraID> CE17AA8</paraID>
      <start>8</start>
      <end>9</end>
      <status>unmodified</status>
      <modifiedWord/>
      <trackRevisions>false</trackRevisions>
    </reviewItem>
    <reviewItem>
      <errorID>d48a80da-a952-4a53-963d-0086d8aef2ec</errorID>
      <errorWord>，</errorWord>
      <group>L1_Format</group>
      <groupName>格式问题</groupName>
      <ability>L2_HalfPunc</ability>
      <abilityName>全半角检查</abilityName>
      <candidateList>
        <item>,</item>
      </candidateList>
      <explain>文本全半角错误。</explain>
      <paraID> CE17AA8</paraID>
      <start>16</start>
      <end>17</end>
      <status>unmodified</status>
      <modifiedWord/>
      <trackRevisions>false</trackRevisions>
    </reviewItem>
    <reviewItem>
      <errorID>b8cd4100-4e5b-41e3-b9bf-c8748427b896</errorID>
      <errorWord>）</errorWord>
      <group>L1_Format</group>
      <groupName>格式问题</groupName>
      <ability>L2_HalfPunc</ability>
      <abilityName>全半角检查</abilityName>
      <candidateList>
        <item>)</item>
      </candidateList>
      <explain>文本全半角错误。</explain>
      <paraID> CE17AA8</paraID>
      <start>18</start>
      <end>19</end>
      <status>unmodified</status>
      <modifiedWord/>
      <trackRevisions>false</trackRevisions>
    </reviewItem>
    <reviewItem>
      <errorID>167a27f6-86cd-416d-b994-dd4256d5657a</errorID>
      <errorWord>（</errorWord>
      <group>L1_Format</group>
      <groupName>格式问题</groupName>
      <ability>L2_HalfPunc</ability>
      <abilityName>全半角检查</abilityName>
      <candidateList>
        <item>(</item>
      </candidateList>
      <explain>文本全半角错误。</explain>
      <paraID>1A60813F</paraID>
      <start>0</start>
      <end>1</end>
      <status>unmodified</status>
      <modifiedWord/>
      <trackRevisions>false</trackRevisions>
    </reviewItem>
    <reviewItem>
      <errorID>fac6e1d6-adda-47bb-8f06-18721c32f0a8</errorID>
      <errorWord>，</errorWord>
      <group>L1_Format</group>
      <groupName>格式问题</groupName>
      <ability>L2_HalfPunc</ability>
      <abilityName>全半角检查</abilityName>
      <candidateList>
        <item>,</item>
      </candidateList>
      <explain>文本全半角错误。</explain>
      <paraID>1A60813F</paraID>
      <start>8</start>
      <end>9</end>
      <status>unmodified</status>
      <modifiedWord/>
      <trackRevisions>false</trackRevisions>
    </reviewItem>
    <reviewItem>
      <errorID>0dd0d14f-7f6d-417b-a200-81dca67a5c9d</errorID>
      <errorWord>，</errorWord>
      <group>L1_Format</group>
      <groupName>格式问题</groupName>
      <ability>L2_HalfPunc</ability>
      <abilityName>全半角检查</abilityName>
      <candidateList>
        <item>,</item>
      </candidateList>
      <explain>文本全半角错误。</explain>
      <paraID>1A60813F</paraID>
      <start>16</start>
      <end>17</end>
      <status>unmodified</status>
      <modifiedWord/>
      <trackRevisions>false</trackRevisions>
    </reviewItem>
    <reviewItem>
      <errorID>81bea849-905c-44bd-b7fe-4f3c15ba6664</errorID>
      <errorWord>）</errorWord>
      <group>L1_Format</group>
      <groupName>格式问题</groupName>
      <ability>L2_HalfPunc</ability>
      <abilityName>全半角检查</abilityName>
      <candidateList>
        <item>)</item>
      </candidateList>
      <explain>文本全半角错误。</explain>
      <paraID>1A60813F</paraID>
      <start>18</start>
      <end>19</end>
      <status>unmodified</status>
      <modifiedWord/>
      <trackRevisions>false</trackRevisions>
    </reviewItem>
    <reviewItem>
      <errorID>04e182c6-6b22-4660-85d3-2e3b221e5e3b</errorID>
      <errorWord>（</errorWord>
      <group>L1_Punc</group>
      <groupName>标点问题</groupName>
      <ability>L2_Punc</ability>
      <abilityName>标点符号检查</abilityName>
      <candidateList/>
      <explain>同一形式括号套用。</explain>
      <paraID>14ADF566</paraID>
      <start>8</start>
      <end>9</end>
      <status>unmodified</status>
      <modifiedWord/>
      <trackRevisions>false</trackRevisions>
    </reviewItem>
    <reviewItem>
      <errorID>341e8efd-abce-45dd-9687-f80f35deb551</errorID>
      <errorWord>）</errorWord>
      <group>L1_Punc</group>
      <groupName>标点问题</groupName>
      <ability>L2_Punc</ability>
      <abilityName>标点符号检查</abilityName>
      <candidateList/>
      <explain>同一形式括号套用。</explain>
      <paraID>14ADF566</paraID>
      <start>10</start>
      <end>11</end>
      <status>unmodified</status>
      <modifiedWord/>
      <trackRevisions>false</trackRevisions>
    </reviewItem>
    <reviewItem>
      <errorID>b42d5f30-de07-4ac3-943b-c6b87bc739bc</errorID>
      <errorWord>（</errorWord>
      <group>L1_Punc</group>
      <groupName>标点问题</groupName>
      <ability>L2_Punc</ability>
      <abilityName>标点符号检查</abilityName>
      <candidateList/>
      <explain>同一形式括号套用。</explain>
      <paraID>14ADF566</paraID>
      <start>14</start>
      <end>15</end>
      <status>unmodified</status>
      <modifiedWord/>
      <trackRevisions>false</trackRevisions>
    </reviewItem>
    <reviewItem>
      <errorID>0de7a71d-4bf6-4d60-a290-c27a36dafc2c</errorID>
      <errorWord>）</errorWord>
      <group>L1_Punc</group>
      <groupName>标点问题</groupName>
      <ability>L2_Punc</ability>
      <abilityName>标点符号检查</abilityName>
      <candidateList/>
      <explain>同一形式括号套用。</explain>
      <paraID>14ADF566</paraID>
      <start>16</start>
      <end>17</end>
      <status>unmodified</status>
      <modifiedWord/>
      <trackRevisions>false</trackRevisions>
    </reviewItem>
    <reviewItem>
      <errorID>11e71c72-097e-45d3-b4fd-674d51921c60</errorID>
      <errorWord>（</errorWord>
      <group>L1_Format</group>
      <groupName>格式问题</groupName>
      <ability>L2_HalfPunc</ability>
      <abilityName>全半角检查</abilityName>
      <candidateList>
        <item>(</item>
      </candidateList>
      <explain>文本全半角错误。</explain>
      <paraID> 66455E3</paraID>
      <start>0</start>
      <end>1</end>
      <status>unmodified</status>
      <modifiedWord/>
      <trackRevisions>false</trackRevisions>
    </reviewItem>
    <reviewItem>
      <errorID>9d1cb762-f687-445b-8136-3f40b038b691</errorID>
      <errorWord>）</errorWord>
      <group>L1_Format</group>
      <groupName>格式问题</groupName>
      <ability>L2_HalfPunc</ability>
      <abilityName>全半角检查</abilityName>
      <candidateList>
        <item>)</item>
      </candidateList>
      <explain>文本全半角错误。</explain>
      <paraID> 66455E3</paraID>
      <start>2</start>
      <end>3</end>
      <status>unmodified</status>
      <modifiedWord/>
      <trackRevisions>false</trackRevisions>
    </reviewItem>
    <reviewItem>
      <errorID>e9dab522-46f9-4f18-8474-327e9749b376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38BD5E44</paraID>
      <start>375</start>
      <end>376</end>
      <status>unmodified</status>
      <modifiedWord/>
      <trackRevisions>false</trackRevisions>
    </reviewItem>
    <reviewItem>
      <errorID>71934e61-6b7d-467b-ad67-126539ed476f</errorID>
      <errorWord>寻甸县</errorWord>
      <group>L1_Knowledge</group>
      <groupName>知识性问题</groupName>
      <ability>L2_Location</ability>
      <abilityName>地名检查</abilityName>
      <candidateList>
        <item>寻甸回族彝族自治县</item>
      </candidateList>
      <explain>自治区州县缩写不规范。《地名管理条例》第十八条规定，标识牌、公共平台发布的信息、各类公文证件、学习类公开出版物、地图、法律法规规定等场景范围内必须使用标准地名。</explain>
      <paraID>241CDA5E</paraID>
      <start>0</start>
      <end>3</end>
      <status>unmodified</status>
      <modifiedWord/>
      <trackRevisions>false</trackRevisions>
    </reviewItem>
    <reviewItem>
      <errorID>e92f9fff-a861-4908-9e69-26c6e9bdc09c</errorID>
      <errorWord>II</errorWord>
      <group>L1_Knowledge</group>
      <groupName>知识性问题</groupName>
      <ability>L2_Knowledge</ability>
      <abilityName>其他知识</abilityName>
      <candidateList>
        <item>Ⅱ</item>
      </candidateList>
      <explain>中文环境下罗马数字格式错误。</explain>
      <paraID>791588E7</paraID>
      <start>45</start>
      <end>47</end>
      <status>unmodified</status>
      <modifiedWord/>
      <trackRevisions>false</trackRevisions>
    </reviewItem>
    <reviewItem>
      <errorID>433a9f6d-86d9-4039-aae1-061e1f3331db</errorID>
      <errorWord>II</errorWord>
      <group>L1_Knowledge</group>
      <groupName>知识性问题</groupName>
      <ability>L2_Knowledge</ability>
      <abilityName>其他知识</abilityName>
      <candidateList>
        <item>Ⅱ</item>
      </candidateList>
      <explain>中文环境下罗马数字格式错误。</explain>
      <paraID>791588E7</paraID>
      <start>239</start>
      <end>241</end>
      <status>unmodified</status>
      <modifiedWord/>
      <trackRevisions>false</trackRevisions>
    </reviewItem>
    <reviewItem>
      <errorID>a719999e-c57f-4468-8060-ddc66e81609f</errorID>
      <errorWord>)</errorWord>
      <group>L1_Punc</group>
      <groupName>标点问题</groupName>
      <ability>L2_Punc</ability>
      <abilityName>标点符号检查</abilityName>
      <candidateList/>
      <explain/>
      <paraID>7BE9FB10</paraID>
      <start>0</start>
      <end>1</end>
      <status>unmodified</status>
      <modifiedWord/>
      <trackRevisions>false</trackRevisions>
    </reviewItem>
    <reviewItem>
      <errorID>149af40d-5484-477f-9c95-56a41715b049</errorID>
      <errorWord>（</errorWord>
      <group>L1_Format</group>
      <groupName>格式问题</groupName>
      <ability>L2_HalfPunc</ability>
      <abilityName>全半角检查</abilityName>
      <candidateList>
        <item>(</item>
      </candidateList>
      <explain>文本全半角错误。</explain>
      <paraID>70F54EEE</paraID>
      <start>0</start>
      <end>1</end>
      <status>unmodified</status>
      <modifiedWord/>
      <trackRevisions>false</trackRevisions>
    </reviewItem>
    <reviewItem>
      <errorID>9d3ae7d7-9b4a-4e72-8c69-771db092c479</errorID>
      <errorWord>（</errorWord>
      <group>L1_Format</group>
      <groupName>格式问题</groupName>
      <ability>L2_HalfPunc</ability>
      <abilityName>全半角检查</abilityName>
      <candidateList>
        <item>(</item>
      </candidateList>
      <explain>文本全半角错误。</explain>
      <paraID>70F54EEE</paraID>
      <start>3</start>
      <end>4</end>
      <status>unmodified</status>
      <modifiedWord/>
      <trackRevisions>false</trackRevisions>
    </reviewItem>
    <reviewItem>
      <errorID>0b719bb8-b0e8-40db-85e8-1e525d05ddbe</errorID>
      <errorWord>））</errorWord>
      <group>L1_Format</group>
      <groupName>格式问题</groupName>
      <ability>L2_HalfPunc</ability>
      <abilityName>全半角检查</abilityName>
      <candidateList>
        <item>))</item>
      </candidateList>
      <explain>文本全半角错误。</explain>
      <paraID>70F54EEE</paraID>
      <start>5</start>
      <end>7</end>
      <status>unmodified</status>
      <modifiedWord/>
      <trackRevisions>false</trackRevisions>
    </reviewItem>
    <reviewItem>
      <errorID>03006142-d972-4b77-a24f-91599b0445b3</errorID>
      <errorWord>~</errorWord>
      <group>L1_Format</group>
      <groupName>格式问题</groupName>
      <ability>L2_HalfPunc</ability>
      <abilityName>全半角检查</abilityName>
      <candidateList>
        <item>～</item>
      </candidateList>
      <explain>文本全半角错误。</explain>
      <paraID>6C03F41D</paraID>
      <start>6</start>
      <end>7</end>
      <status>unmodified</status>
      <modifiedWord/>
      <trackRevisions>false</trackRevisions>
    </reviewItem>
    <reviewItem>
      <errorID>07ecd3b5-03c5-4a08-9cea-5c13301ac52e</errorID>
      <errorWord>；</errorWord>
      <group>L1_Format</group>
      <groupName>格式问题</groupName>
      <ability>L2_HalfPunc</ability>
      <abilityName>全半角检查</abilityName>
      <candidateList>
        <item>;</item>
      </candidateList>
      <explain>文本全半角错误。</explain>
      <paraID>54BAC973</paraID>
      <start>3</start>
      <end>4</end>
      <status>unmodified</status>
      <modifiedWord/>
      <trackRevisions>false</trackRevisions>
    </reviewItem>
    <reviewItem>
      <errorID>29f986a5-397c-4599-b632-15fd305a404c</errorID>
      <errorWord>；</errorWord>
      <group>L1_Format</group>
      <groupName>格式问题</groupName>
      <ability>L2_HalfPunc</ability>
      <abilityName>全半角检查</abilityName>
      <candidateList>
        <item>;</item>
      </candidateList>
      <explain>文本全半角错误。</explain>
      <paraID>55457AD9</paraID>
      <start>4</start>
      <end>5</end>
      <status>unmodified</status>
      <modifiedWord/>
      <trackRevisions>false</trackRevisions>
    </reviewItem>
    <reviewItem>
      <errorID>2c1af86c-cfd2-4600-8617-d868020baf52</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49C4C8B0</paraID>
      <start>245</start>
      <end>247</end>
      <status>unmodified</status>
      <modifiedWord/>
      <trackRevisions>false</trackRevisions>
    </reviewItem>
    <reviewItem>
      <errorID>ff046d05-2952-41e7-9672-ff3aa472e374</errorID>
      <errorWord>设总</errorWord>
      <group>L1_Word</group>
      <groupName>字词问题</groupName>
      <ability>L2_Typo</ability>
      <abilityName>字词错误</abilityName>
      <candidateList>
        <item>设置</item>
      </candidateList>
      <explain>〈动〉❶设立：这座剧院是为儿童～的。❷安放；安装：～障碍。</explain>
      <paraID>437B4BFF</paraID>
      <start>245</start>
      <end>247</end>
      <status>unmodified</status>
      <modifiedWord/>
      <trackRevisions>false</trackRevisions>
    </reviewItem>
    <reviewItem>
      <errorID>0a05b699-d693-45c2-a979-657eb24434b1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33D91371</paraID>
      <start>50</start>
      <end>51</end>
      <status>unmodified</status>
      <modifiedWord/>
      <trackRevisions>false</trackRevisions>
    </reviewItem>
    <reviewItem>
      <errorID>72e5c0e4-adb6-4b04-9073-587efbdb4b77</errorID>
      <errorWord>期</errorWord>
      <group>L1_Word</group>
      <groupName>字词问题</groupName>
      <ability>L2_Typo</ability>
      <abilityName>字词错误</abilityName>
      <candidateList>
        <item>期间</item>
      </candidateList>
      <explain>〈名〉某个时期里面：农忙～｜春节～｜抗战～。</explain>
      <paraID>58B128AF</paraID>
      <start>3</start>
      <end>4</end>
      <status>unmodified</status>
      <modifiedWord/>
      <trackRevisions>false</trackRevisions>
    </reviewItem>
    <reviewItem>
      <errorID>4b17ee2f-8a22-4f7d-b898-489ee3c1b12e</errorID>
      <errorWord>期</errorWord>
      <group>L1_Word</group>
      <groupName>字词问题</groupName>
      <ability>L2_Typo</ability>
      <abilityName>字词错误</abilityName>
      <candidateList>
        <item>期间</item>
      </candidateList>
      <explain>〈名〉某个时期里面：农忙～｜春节～｜抗战～。</explain>
      <paraID>55F8A779</paraID>
      <start>7</start>
      <end>8</end>
      <status>unmodified</status>
      <modifiedWord/>
      <trackRevisions>false</trackRevisions>
    </reviewItem>
    <reviewItem>
      <errorID>b54d753f-7156-46dd-9b95-60e53dbaf65a</errorID>
      <errorWord>提高</errorWord>
      <group>L1_Grammar</group>
      <groupName>语法问题</groupName>
      <ability>L2_Grammar</ability>
      <abilityName>语法错误</abilityName>
      <candidateList>
        <item>增强</item>
      </candidateList>
      <explain>“提高～意识”搭配不当，建议修改为“增强～意识”。</explain>
      <paraID>7C904F41</paraID>
      <start>16</start>
      <end>18</end>
      <status>unmodified</status>
      <modifiedWord/>
      <trackRevisions>false</trackRevisions>
    </reviewItem>
    <reviewItem>
      <errorID>fd4c9aa1-995f-4c73-8676-75af2d109422</errorID>
      <errorWord>源强</errorWord>
      <group>L1_Word</group>
      <groupName>字词问题</groupName>
      <ability>L2_Typo</ability>
      <abilityName>字词错误</abilityName>
      <candidateList>
        <item>源头</item>
      </candidateList>
      <explain/>
      <paraID>12616712</paraID>
      <start>57</start>
      <end>59</end>
      <status>unmodified</status>
      <modifiedWord/>
      <trackRevisions>false</trackRevisions>
    </reviewItem>
    <reviewItem>
      <errorID>de55a769-3124-41e2-ac4e-7fc91970f919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C524765</paraID>
      <start>3</start>
      <end>4</end>
      <status>unmodified</status>
      <modifiedWord/>
      <trackRevisions>false</trackRevisions>
    </reviewItem>
    <reviewItem>
      <errorID>92ae1586-7c06-46c5-aad4-8d5013371176</errorID>
      <errorWord>~</errorWord>
      <group>L1_Format</group>
      <groupName>格式问题</groupName>
      <ability>L2_HalfPunc</ability>
      <abilityName>全半角检查</abilityName>
      <candidateList>
        <item>～</item>
      </candidateList>
      <explain>文本全半角错误。</explain>
      <paraID>6F619939</paraID>
      <start>6</start>
      <end>7</end>
      <status>unmodified</status>
      <modifiedWord/>
      <trackRevisions>false</trackRevisions>
    </reviewItem>
    <reviewItem>
      <errorID>4eb8ea94-a2df-40ce-8a21-e0f004751bea</errorID>
      <errorWord>挡护</errorWord>
      <group>L1_Word</group>
      <groupName>字词问题</groupName>
      <ability>L2_Typo</ability>
      <abilityName>字词错误</abilityName>
      <candidateList>
        <item>防护</item>
      </candidateList>
      <explain/>
      <paraID>41ED1862</paraID>
      <start>21</start>
      <end>23</end>
      <status>unmodified</status>
      <modifiedWord/>
      <trackRevisions>false</trackRevisions>
    </reviewItem>
    <reviewItem>
      <errorID>3aaf1607-8909-4f1b-8b2a-e55140329cb7</errorID>
      <errorWord>提高</errorWord>
      <group>L1_Grammar</group>
      <groupName>语法问题</groupName>
      <ability>L2_Grammar</ability>
      <abilityName>语法错误</abilityName>
      <candidateList>
        <item>增强</item>
      </candidateList>
      <explain>“提高～意识”搭配不当，建议修改为“增强～意识”。</explain>
      <paraID> 763FEED</paraID>
      <start>67</start>
      <end>69</end>
      <status>unmodified</status>
      <modifiedWord/>
      <trackRevisions>false</trackRevisions>
    </reviewItem>
    <reviewItem>
      <errorID>a55304b5-f061-4ed1-bbb7-76d1dcd72d90</errorID>
      <errorWord>几率</errorWord>
      <group>L1_Word</group>
      <groupName>字词问题</groupName>
      <ability>L2_Typo</ability>
      <abilityName>字词错误</abilityName>
      <candidateList>
        <item>概率</item>
      </candidateList>
      <explain/>
      <paraID>1ACFD820</paraID>
      <start>109</start>
      <end>111</end>
      <status>unmodified</status>
      <modifiedWord/>
      <trackRevisions>false</trackRevisions>
    </reviewItem>
    <reviewItem>
      <errorID>2f171a33-4b94-46ad-9f2a-c5d54eaf6a63</errorID>
      <errorWord>提高</errorWord>
      <group>L1_Grammar</group>
      <groupName>语法问题</groupName>
      <ability>L2_Grammar</ability>
      <abilityName>语法错误</abilityName>
      <candidateList>
        <item>增强</item>
      </candidateList>
      <explain>“提高～意识”搭配不当，建议修改为“增强～意识”。</explain>
      <paraID>53FB2C66</paraID>
      <start>72</start>
      <end>74</end>
      <status>unmodified</status>
      <modifiedWord/>
      <trackRevisions>false</trackRevisions>
    </reviewItem>
    <reviewItem>
      <errorID>754b9d8b-41ec-4ede-a26f-2fae628b11f9</errorID>
      <errorWord>达</errorWord>
      <group>L1_Word</group>
      <groupName>字词问题</groupName>
      <ability>L2_Typo</ability>
      <abilityName>字词错误</abilityName>
      <candidateList>
        <item>达到</item>
      </candidateList>
      <explain>〈动〉到（多指抽象事物或程度）：达得到｜达不到｜目的没有～｜～国际水平。</explain>
      <paraID>49E0CB78</paraID>
      <start>24</start>
      <end>25</end>
      <status>unmodified</status>
      <modifiedWord/>
      <trackRevisions>false</trackRevisions>
    </reviewItem>
    <reviewItem>
      <errorID>5bbfbab8-0496-40f8-8e9e-4386f83f27dd</errorID>
      <errorWord>期</errorWord>
      <group>L1_Word</group>
      <groupName>字词问题</groupName>
      <ability>L2_Typo</ability>
      <abilityName>字词错误</abilityName>
      <candidateList>
        <item>期间</item>
      </candidateList>
      <explain>〈名〉某个时期里面：农忙～｜春节～｜抗战～。</explain>
      <paraID>7AF8E573</paraID>
      <start>4</start>
      <end>5</end>
      <status>unmodified</status>
      <modifiedWord/>
      <trackRevisions>false</trackRevisions>
    </reviewItem>
    <reviewItem>
      <errorID>7705a497-34d8-473e-bb2b-be146bdce66e</errorID>
      <errorWord>(</errorWord>
      <group>L1_Format</group>
      <groupName>格式问题</groupName>
      <ability>L2_HalfPunc</ability>
      <abilityName>全半角检查</abilityName>
      <candidateList>
        <item>（</item>
      </candidateList>
      <explain>文本全半角错误。</explain>
      <paraID>54D60B63</paraID>
      <start>215</start>
      <end>216</end>
      <status>unmodified</status>
      <modifiedWord/>
      <trackRevisions>false</trackRevisions>
    </reviewItem>
    <reviewItem>
      <errorID>7ab7d183-68c2-418d-8c7a-09edb36ab26d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54D60B63</paraID>
      <start>231</start>
      <end>232</end>
      <status>unmodified</status>
      <modifiedWord/>
      <trackRevisions>false</trackRevisions>
    </reviewItem>
    <reviewItem>
      <errorID>63a806dc-6ce8-46ea-a06c-2ebdbc79c177</errorID>
      <errorWord>期</errorWord>
      <group>L1_Word</group>
      <groupName>字词问题</groupName>
      <ability>L2_Typo</ability>
      <abilityName>字词错误</abilityName>
      <candidateList>
        <item>期间</item>
      </candidateList>
      <explain>〈名〉某个时期里面：农忙～｜春节～｜抗战～。</explain>
      <paraID>76692069</paraID>
      <start>5</start>
      <end>6</end>
      <status>unmodified</status>
      <modifiedWord/>
      <trackRevisions>false</trackRevisions>
    </reviewItem>
    <reviewItem>
      <errorID>9593db78-331b-421b-ab6c-d26f3e7d3ac6</errorID>
      <errorWord>-</errorWord>
      <group>L1_Format</group>
      <groupName>格式问题</groupName>
      <ability>L2_HalfPunc</ability>
      <abilityName>全半角检查</abilityName>
      <candidateList>
        <item>－</item>
      </candidateList>
      <explain>文本全半角错误。</explain>
      <paraID>43FCA250</paraID>
      <start>3</start>
      <end>4</end>
      <status>unmodified</status>
      <modifiedWord/>
      <trackRevisions>false</trackRevisions>
    </reviewItem>
    <reviewItem>
      <errorID>5a73929d-ff67-40e2-9d1f-b07835f702fe</errorID>
      <errorWord>执</errorWord>
      <group>L1_Word</group>
      <groupName>字词问题</groupName>
      <ability>L2_Typo</ability>
      <abilityName>字词错误</abilityName>
      <candidateList>
        <item>执行</item>
      </candidateList>
      <explain/>
      <paraID>7A4CB39B</paraID>
      <start>22</start>
      <end>23</end>
      <status>unmodified</status>
      <modifiedWord/>
      <trackRevisions>false</trackRevisions>
    </reviewItem>
    <reviewItem>
      <errorID>7746c25c-2e32-4cef-9d41-4d80283846dd</errorID>
      <errorWord>-</errorWord>
      <group>L1_Format</group>
      <groupName>格式问题</groupName>
      <ability>L2_HalfPunc</ability>
      <abilityName>全半角检查</abilityName>
      <candidateList>
        <item>－</item>
      </candidateList>
      <explain>文本全半角错误。</explain>
      <paraID>3D0B6CFA</paraID>
      <start>52</start>
      <end>53</end>
      <status>unmodified</status>
      <modifiedWord/>
      <trackRevisions>false</trackRevisions>
    </reviewItem>
    <reviewItem>
      <errorID>1e83a17f-6805-4aea-9c32-f6535793de88</errorID>
      <errorWord>-</errorWord>
      <group>L1_Format</group>
      <groupName>格式问题</groupName>
      <ability>L2_HalfPunc</ability>
      <abilityName>全半角检查</abilityName>
      <candidateList>
        <item>－</item>
      </candidateList>
      <explain>文本全半角错误。</explain>
      <paraID>3D0B6CFA</paraID>
      <start>53</start>
      <end>54</end>
      <status>unmodified</status>
      <modifiedWord/>
      <trackRevisions>false</trackRevisions>
    </reviewItem>
    <reviewItem>
      <errorID>4e639423-8744-45fe-bac9-2213e0174b77</errorID>
      <errorWord>措</errorWord>
      <group>L1_Word</group>
      <groupName>字词问题</groupName>
      <ability>L2_Typo</ability>
      <abilityName>字词错误</abilityName>
      <candidateList>
        <item>措施</item>
      </candidateList>
      <explain>〈名〉针对某种情况而采取的处理办法（用于较大的事情）：计划已经订出，～应该跟上。</explain>
      <paraID>10078DD8</paraID>
      <start>24</start>
      <end>25</end>
      <status>unmodified</status>
      <modifiedWord/>
      <trackRevisions>false</trackRevisions>
    </reviewItem>
    <reviewItem>
      <errorID>a796513f-9b52-4682-8573-f5ea64f2347f</errorID>
      <errorWord>情</errorWord>
      <group>L1_Word</group>
      <groupName>字词问题</groupName>
      <ability>L2_Typo</ability>
      <abilityName>字词错误</abilityName>
      <candidateList>
        <item>情况</item>
      </candidateList>
      <explain>〈名〉❶情形：思想～｜工作～｜～特殊。❷指军事上的变化，泛指事情的变化、动向：这两天前线没有什么～｜他俩的关系最近又有了新的～。</explain>
      <paraID>7B0C92A0</paraID>
      <start>7</start>
      <end>8</end>
      <status>unmodified</status>
      <modifiedWord/>
      <trackRevisions>false</trackRevisions>
    </reviewItem>
    <reviewItem>
      <errorID>cfbaa0d4-56a6-4c70-bfa0-3463d1177b82</errorID>
      <errorWord>提高</errorWord>
      <group>L1_Grammar</group>
      <groupName>语法问题</groupName>
      <ability>L2_Grammar</ability>
      <abilityName>语法错误</abilityName>
      <candidateList>
        <item>增强</item>
      </candidateList>
      <explain>“提高～意识”搭配不当，建议修改为“增强～意识”。</explain>
      <paraID>29628B45</paraID>
      <start>63</start>
      <end>65</end>
      <status>unmodified</status>
      <modifiedWord/>
      <trackRevisions>false</trackRevisions>
    </reviewItem>
    <reviewItem>
      <errorID>7aaf155c-265a-429b-a466-dde8d4ff8309</errorID>
      <errorWord>导致的</errorWord>
      <group>L1_Word</group>
      <groupName>字词问题</groupName>
      <ability>L2_Typo</ability>
      <abilityName>字词错误</abilityName>
      <candidateList>
        <item>导致</item>
      </candidateList>
      <explain>〈动〉引起：由一些小的矛盾～双方关系破裂。</explain>
      <paraID>54BE6BA2</paraID>
      <start>45</start>
      <end>48</end>
      <status>unmodified</status>
      <modifiedWord/>
      <trackRevisions>false</trackRevisions>
    </reviewItem>
    <reviewItem>
      <errorID>600b7d5a-c73e-4d8c-a66f-20ef8a2e8c19</errorID>
      <errorWord>几率</errorWord>
      <group>L1_Word</group>
      <groupName>字词问题</groupName>
      <ability>L2_Typo</ability>
      <abilityName>字词错误</abilityName>
      <candidateList>
        <item>概率</item>
      </candidateList>
      <explain/>
      <paraID>7ADEE2D8</paraID>
      <start>109</start>
      <end>111</end>
      <status>unmodified</status>
      <modifiedWord/>
      <trackRevisions>false</trackRevisions>
    </reviewItem>
    <reviewItem>
      <errorID>3f190d04-913c-4724-a721-2b8f54124ce4</errorID>
      <errorWord>提高</errorWord>
      <group>L1_Grammar</group>
      <groupName>语法问题</groupName>
      <ability>L2_Grammar</ability>
      <abilityName>语法错误</abilityName>
      <candidateList>
        <item>增强</item>
      </candidateList>
      <explain>“提高～意识”搭配不当，建议修改为“增强～意识”。</explain>
      <paraID>7248E563</paraID>
      <start>72</start>
      <end>74</end>
      <status>unmodified</status>
      <modifiedWord/>
      <trackRevisions>false</trackRevisions>
    </reviewItem>
    <reviewItem>
      <errorID>da5dae4c-49f1-4c0c-a115-e88755c14f06</errorID>
      <errorWord>期</errorWord>
      <group>L1_Word</group>
      <groupName>字词问题</groupName>
      <ability>L2_Typo</ability>
      <abilityName>字词错误</abilityName>
      <candidateList>
        <item>期间</item>
      </candidateList>
      <explain>〈名〉某个时期里面：农忙～｜春节～｜抗战～。</explain>
      <paraID>692AB5D7</paraID>
      <start>37</start>
      <end>38</end>
      <status>unmodified</status>
      <modifiedWord/>
      <trackRevisions>false</trackRevisions>
    </reviewItem>
    <reviewItem>
      <errorID>c4250c6a-38c1-426f-b0e9-56a7a73eb47e</errorID>
      <errorWord>期</errorWord>
      <group>L1_Word</group>
      <groupName>字词问题</groupName>
      <ability>L2_Typo</ability>
      <abilityName>字词错误</abilityName>
      <candidateList>
        <item>期间</item>
      </candidateList>
      <explain>〈名〉某个时期里面：农忙～｜春节～｜抗战～。</explain>
      <paraID>431919BE</paraID>
      <start>7</start>
      <end>8</end>
      <status>unmodified</status>
      <modifiedWord/>
      <trackRevisions>false</trackRevisions>
    </reviewItem>
    <reviewItem>
      <errorID>f935f2da-5c22-4507-8e42-cd9e45bc684f</errorID>
      <errorWord>邻近水库邻近水库</errorWord>
      <group>L1_Word</group>
      <groupName>字词问题</groupName>
      <ability>L2_Typo</ability>
      <abilityName>字词错误</abilityName>
      <candidateList>
        <item>邻近水库</item>
      </candidateList>
      <explain/>
      <paraID>36E2DB3A</paraID>
      <start>210</start>
      <end>218</end>
      <status>unmodified</status>
      <modifiedWord/>
      <trackRevisions>false</trackRevisions>
    </reviewItem>
    <reviewItem>
      <errorID>0acdd8db-20f2-43f2-92c9-8b7153142c46</errorID>
      <errorWord>源强</errorWord>
      <group>L1_Word</group>
      <groupName>字词问题</groupName>
      <ability>L2_Typo</ability>
      <abilityName>字词错误</abilityName>
      <candidateList>
        <item>源头</item>
      </candidateList>
      <explain/>
      <paraID> 8A3C16A</paraID>
      <start>57</start>
      <end>59</end>
      <status>unmodified</status>
      <modifiedWord/>
      <trackRevisions>false</trackRevisions>
    </reviewItem>
    <reviewItem>
      <errorID>f34b5676-f4f4-4253-a7b8-708f72d9ad94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14DD08F7</paraID>
      <start>3</start>
      <end>4</end>
      <status>unmodified</status>
      <modifiedWord/>
      <trackRevisions>false</trackRevisions>
    </reviewItem>
    <reviewItem>
      <errorID>40de9e6c-c2ff-4dbe-bb7e-527bd74ff350</errorID>
      <errorWord>~</errorWord>
      <group>L1_Format</group>
      <groupName>格式问题</groupName>
      <ability>L2_HalfPunc</ability>
      <abilityName>全半角检查</abilityName>
      <candidateList>
        <item>～</item>
      </candidateList>
      <explain>文本全半角错误。</explain>
      <paraID>14DD08F7</paraID>
      <start>79</start>
      <end>80</end>
      <status>unmodified</status>
      <modifiedWord/>
      <trackRevisions>false</trackRevisions>
    </reviewItem>
    <reviewItem>
      <errorID>40e55b12-a406-4987-b1c5-a65545000c5a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5E3A59CE</paraID>
      <start>31</start>
      <end>32</end>
      <status>unmodified</status>
      <modifiedWord/>
      <trackRevisions>false</trackRevisions>
    </reviewItem>
    <reviewItem>
      <errorID>fa5b363f-f046-4b52-a969-7f4d204e7e40</errorID>
      <errorWord>)</errorWord>
      <group>L1_Format</group>
      <groupName>格式问题</groupName>
      <ability>L2_HalfPunc</ability>
      <abilityName>全半角检查</abilityName>
      <candidateList>
        <item>）</item>
      </candidateList>
      <explain>文本全半角错误。</explain>
      <paraID>2B58C0A8</paraID>
      <start>40</start>
      <end>41</end>
      <status>unmodified</status>
      <modifiedWord/>
      <trackRevisions>false</trackRevisions>
    </reviewItem>
    <reviewItem>
      <errorID>7462d27c-10a8-4021-a258-59b15acc95ca</errorID>
      <errorWord>提高</errorWord>
      <group>L1_Grammar</group>
      <groupName>语法问题</groupName>
      <ability>L2_Grammar</ability>
      <abilityName>语法错误</abilityName>
      <candidateList>
        <item>增强</item>
      </candidateList>
      <explain>“提高～意识”搭配不当，建议修改为“增强～意识”。</explain>
      <paraID>6AC36BD2</paraID>
      <start>16</start>
      <end>18</end>
      <status>unmodified</status>
      <modifiedWord/>
      <trackRevisions>false</trackRevisions>
    </reviewItem>
    <reviewItem>
      <errorID>a673a876-a112-4293-a1b2-8bccdd6213e1</errorID>
      <errorWord>挡护</errorWord>
      <group>L1_Word</group>
      <groupName>字词问题</groupName>
      <ability>L2_Typo</ability>
      <abilityName>字词错误</abilityName>
      <candidateList>
        <item>防护</item>
      </candidateList>
      <explain/>
      <paraID>5347530C</paraID>
      <start>21</start>
      <end>23</end>
      <status>unmodified</status>
      <modifiedWord/>
      <trackRevisions>false</trackRevisions>
    </reviewItem>
    <reviewItem>
      <errorID>fe16e9f0-94e6-4fc2-8864-c4ffa44525cc</errorID>
      <errorWord>期</errorWord>
      <group>L1_Word</group>
      <groupName>字词问题</groupName>
      <ability>L2_Typo</ability>
      <abilityName>字词错误</abilityName>
      <candidateList>
        <item>期间</item>
      </candidateList>
      <explain>〈名〉某个时期里面：农忙～｜春节～｜抗战～。</explain>
      <paraID>27A1D47D</paraID>
      <start>4</start>
      <end>5</end>
      <status>unmodified</status>
      <modifiedWord/>
      <trackRevisions>false</trackRevisions>
    </reviewItem>
    <reviewItem>
      <errorID>c46ac519-e8e1-41a0-93cf-41222a92170d</errorID>
      <errorWord>)</errorWord>
      <group>L1_Format</group>
      <groupName>格式问题</groupName>
      <ability>L2_HalfPunc</ability>
      <abilityName>全半角检查</abilityName>
      <candidateList>
        <item>）</item>
      </candidateList>
      <explain>文本全半角错误。</explain>
      <paraID>2B66ABB6</paraID>
      <start>31</start>
      <end>32</end>
      <status>unmodified</status>
      <modifiedWord/>
      <trackRevisions>false</trackRevisions>
    </reviewItem>
    <reviewItem>
      <errorID>16eb9893-34be-4007-8b18-c111a91fc912</errorID>
      <errorWord>期</errorWord>
      <group>L1_Word</group>
      <groupName>字词问题</groupName>
      <ability>L2_Typo</ability>
      <abilityName>字词错误</abilityName>
      <candidateList>
        <item>期间</item>
      </candidateList>
      <explain>〈名〉某个时期里面：农忙～｜春节～｜抗战～。</explain>
      <paraID>46E370F7</paraID>
      <start>5</start>
      <end>6</end>
      <status>unmodified</status>
      <modifiedWord/>
      <trackRevisions>false</trackRevisions>
    </reviewItem>
    <reviewItem>
      <errorID>87a60b13-8bbf-4082-802b-48d7ea21a685</errorID>
      <errorWord>法律、法规</errorWord>
      <group>L1_Word</group>
      <groupName>字词问题</groupName>
      <ability>L2_Typo</ability>
      <abilityName>字词错误</abilityName>
      <candidateList>
        <item>法律法规</item>
      </candidateList>
      <explain/>
      <paraID>56AD5EE0</paraID>
      <start>11</start>
      <end>16</end>
      <status>unmodified</status>
      <modifiedWord/>
      <trackRevisions>false</trackRevisions>
    </reviewItem>
    <reviewItem>
      <errorID>d386f5ed-1cfb-4d62-8caf-611215208625</errorID>
      <errorWord>法律、法规</errorWord>
      <group>L1_Word</group>
      <groupName>字词问题</groupName>
      <ability>L2_Typo</ability>
      <abilityName>字词错误</abilityName>
      <candidateList>
        <item>法律法规</item>
      </candidateList>
      <explain/>
      <paraID>1395D5C9</paraID>
      <start>9</start>
      <end>14</end>
      <status>unmodified</status>
      <modifiedWord/>
      <trackRevisions>false</trackRevisions>
    </reviewItem>
    <reviewItem>
      <errorID>cbeba434-b37d-43c4-b603-137a01469a76</errorID>
      <errorWord>(</errorWord>
      <group>L1_Format</group>
      <groupName>格式问题</groupName>
      <ability>L2_HalfPunc</ability>
      <abilityName>全半角检查</abilityName>
      <candidateList>
        <item>（</item>
      </candidateList>
      <explain>文本全半角错误。</explain>
      <paraID> 7E98C8A</paraID>
      <start>20</start>
      <end>21</end>
      <status>unmodified</status>
      <modifiedWord/>
      <trackRevisions>false</trackRevisions>
    </reviewItem>
    <reviewItem>
      <errorID>f3b6cd5b-9f6a-4707-8e62-403b94997709</errorID>
      <errorWord>(</errorWord>
      <group>L1_Format</group>
      <groupName>格式问题</groupName>
      <ability>L2_HalfPunc</ability>
      <abilityName>全半角检查</abilityName>
      <candidateList>
        <item>（</item>
      </candidateList>
      <explain>文本全半角错误。</explain>
      <paraID>1BD3A49F</paraID>
      <start>20</start>
      <end>21</end>
      <status>unmodified</status>
      <modifiedWord/>
      <trackRevisions>false</trackRevisions>
    </reviewItem>
    <reviewItem>
      <errorID>13d5934e-a60d-48f9-98c7-97835a8fb70e</errorID>
      <errorWord>(</errorWord>
      <group>L1_Format</group>
      <groupName>格式问题</groupName>
      <ability>L2_HalfPunc</ability>
      <abilityName>全半角检查</abilityName>
      <candidateList>
        <item>（</item>
      </candidateList>
      <explain>文本全半角错误。</explain>
      <paraID>5D6D809F</paraID>
      <start>9</start>
      <end>10</end>
      <status>unmodified</status>
      <modifiedWord/>
      <trackRevisions>false</trackRevisions>
    </reviewItem>
    <reviewItem>
      <errorID>b8e4e9f2-1575-48f1-9fc5-3e154ffb21ab</errorID>
      <errorWord>（</errorWord>
      <group>L1_Format</group>
      <groupName>格式问题</groupName>
      <ability>L2_HalfPunc</ability>
      <abilityName>全半角检查</abilityName>
      <candidateList>
        <item>(</item>
      </candidateList>
      <explain>文本全半角错误。</explain>
      <paraID>185BBD79</paraID>
      <start>5</start>
      <end>6</end>
      <status>unmodified</status>
      <modifiedWord/>
      <trackRevisions>false</trackRevisions>
    </reviewItem>
    <reviewItem>
      <errorID>b3adad4b-ea6c-4942-a79e-564717de12ed</errorID>
      <errorWord>）</errorWord>
      <group>L1_Format</group>
      <groupName>格式问题</groupName>
      <ability>L2_HalfPunc</ability>
      <abilityName>全半角检查</abilityName>
      <candidateList>
        <item>)</item>
      </candidateList>
      <explain>文本全半角错误。</explain>
      <paraID>185BBD79</paraID>
      <start>13</start>
      <end>14</end>
      <status>unmodified</status>
      <modifiedWord/>
      <trackRevisions>false</trackRevisions>
    </reviewItem>
    <reviewItem>
      <errorID>cbf75eb8-4f3c-42c6-82d6-966cfab22968</errorID>
      <errorWord>（</errorWord>
      <group>L1_Format</group>
      <groupName>格式问题</groupName>
      <ability>L2_HalfPunc</ability>
      <abilityName>全半角检查</abilityName>
      <candidateList>
        <item>(</item>
      </candidateList>
      <explain>文本全半角错误。</explain>
      <paraID>49D5898B</paraID>
      <start>5</start>
      <end>6</end>
      <status>unmodified</status>
      <modifiedWord/>
      <trackRevisions>false</trackRevisions>
    </reviewItem>
    <reviewItem>
      <errorID>8711224a-aff1-4fb3-b059-6de5d46dc9c6</errorID>
      <errorWord>）</errorWord>
      <group>L1_Format</group>
      <groupName>格式问题</groupName>
      <ability>L2_HalfPunc</ability>
      <abilityName>全半角检查</abilityName>
      <candidateList>
        <item>)</item>
      </candidateList>
      <explain>文本全半角错误。</explain>
      <paraID>49D5898B</paraID>
      <start>12</start>
      <end>13</end>
      <status>unmodified</status>
      <modifiedWord/>
      <trackRevisions>false</trackRevisions>
    </reviewItem>
    <reviewItem>
      <errorID>eab12fd8-f381-4edf-a0d0-b6fb969698c9</errorID>
      <errorWord>（</errorWord>
      <group>L1_Format</group>
      <groupName>格式问题</groupName>
      <ability>L2_HalfPunc</ability>
      <abilityName>全半角检查</abilityName>
      <candidateList>
        <item>(</item>
      </candidateList>
      <explain>文本全半角错误。</explain>
      <paraID>7EE4DCC9</paraID>
      <start>0</start>
      <end>1</end>
      <status>unmodified</status>
      <modifiedWord/>
      <trackRevisions>false</trackRevisions>
    </reviewItem>
    <reviewItem>
      <errorID>2721e35d-96d6-4a75-bf35-64c4c8cba1b1</errorID>
      <errorWord>；</errorWord>
      <group>L1_Format</group>
      <groupName>格式问题</groupName>
      <ability>L2_HalfPunc</ability>
      <abilityName>全半角检查</abilityName>
      <candidateList>
        <item>;</item>
      </candidateList>
      <explain>文本全半角错误。</explain>
      <paraID>2FB8B5B3</paraID>
      <start>3</start>
      <end>4</end>
      <status>unmodified</status>
      <modifiedWord/>
      <trackRevisions>false</trackRevisions>
    </reviewItem>
    <reviewItem>
      <errorID>d10fce45-34e1-4f2f-b329-5cad581b094b</errorID>
      <errorWord>；</errorWord>
      <group>L1_Format</group>
      <groupName>格式问题</groupName>
      <ability>L2_HalfPunc</ability>
      <abilityName>全半角检查</abilityName>
      <candidateList>
        <item>;</item>
      </candidateList>
      <explain>文本全半角错误。</explain>
      <paraID>5FCF3CCD</paraID>
      <start>3</start>
      <end>4</end>
      <status>unmodified</status>
      <modifiedWord/>
      <trackRevisions>false</trackRevisions>
    </reviewItem>
    <reviewItem>
      <errorID>9be7d28f-e5ad-4e22-a4ac-0ec9e8a7bd2e</errorID>
      <errorWord>~</errorWord>
      <group>L1_Format</group>
      <groupName>格式问题</groupName>
      <ability>L2_HalfPunc</ability>
      <abilityName>全半角检查</abilityName>
      <candidateList>
        <item>～</item>
      </candidateList>
      <explain>文本全半角错误。</explain>
      <paraID>361A2D4E</paraID>
      <start>6</start>
      <end>7</end>
      <status>unmodified</status>
      <modifiedWord/>
      <trackRevisions>false</trackRevisions>
    </reviewItem>
    <reviewItem>
      <errorID>911d4d54-effe-4323-9d96-bf0a80ad1bd0</errorID>
      <errorWord>；</errorWord>
      <group>L1_Format</group>
      <groupName>格式问题</groupName>
      <ability>L2_HalfPunc</ability>
      <abilityName>全半角检查</abilityName>
      <candidateList>
        <item>;</item>
      </candidateList>
      <explain>文本全半角错误。</explain>
      <paraID> F757158</paraID>
      <start>4</start>
      <end>5</end>
      <status>unmodified</status>
      <modifiedWord/>
      <trackRevisions>false</trackRevisions>
    </reviewItem>
    <reviewItem>
      <errorID>fe4eba71-40ad-46c3-b19e-7550d5eb1e2b</errorID>
      <errorWord>II</errorWord>
      <group>L1_Knowledge</group>
      <groupName>知识性问题</groupName>
      <ability>L2_Knowledge</ability>
      <abilityName>其他知识</abilityName>
      <candidateList>
        <item>Ⅱ</item>
      </candidateList>
      <explain>中文环境下罗马数字格式错误。</explain>
      <paraID>1F2CA4AE</paraID>
      <start>86</start>
      <end>88</end>
      <status>unmodified</status>
      <modifiedWord/>
      <trackRevisions>false</trackRevisions>
    </reviewItem>
    <reviewItem>
      <errorID>5931381a-8556-4488-a5a8-8faf40dddd61</errorID>
      <errorWord>II</errorWord>
      <group>L1_Knowledge</group>
      <groupName>知识性问题</groupName>
      <ability>L2_Knowledge</ability>
      <abilityName>其他知识</abilityName>
      <candidateList>
        <item>Ⅱ</item>
      </candidateList>
      <explain>中文环境下罗马数字格式错误。</explain>
      <paraID> 4BB23DC</paraID>
      <start>86</start>
      <end>88</end>
      <status>unmodified</status>
      <modifiedWord/>
      <trackRevisions>false</trackRevisions>
    </reviewItem>
    <reviewItem>
      <errorID>e7dc3df2-706c-439b-b09a-364f921b8359</errorID>
      <errorWord>~</errorWord>
      <group>L1_Format</group>
      <groupName>格式问题</groupName>
      <ability>L2_HalfPunc</ability>
      <abilityName>全半角检查</abilityName>
      <candidateList>
        <item>～</item>
      </candidateList>
      <explain>文本全半角错误。</explain>
      <paraID>7CA98DAA</paraID>
      <start>8</start>
      <end>9</end>
      <status>unmodified</status>
      <modifiedWord/>
      <trackRevisions>false</trackRevisions>
    </reviewItem>
    <reviewItem>
      <errorID>8601a825-26f0-4441-9e2d-2a3393166ab2</errorID>
      <errorWord>~</errorWord>
      <group>L1_Format</group>
      <groupName>格式问题</groupName>
      <ability>L2_HalfPunc</ability>
      <abilityName>全半角检查</abilityName>
      <candidateList>
        <item>～</item>
      </candidateList>
      <explain>文本全半角错误。</explain>
      <paraID>22BE5C40</paraID>
      <start>86</start>
      <end>87</end>
      <status>unmodified</status>
      <modifiedWord/>
      <trackRevisions>false</trackRevisions>
    </reviewItem>
    <reviewItem>
      <errorID>09c7640f-15c0-438c-87ea-dcecc106f423</errorID>
      <errorWord>~</errorWord>
      <group>L1_Format</group>
      <groupName>格式问题</groupName>
      <ability>L2_HalfPunc</ability>
      <abilityName>全半角检查</abilityName>
      <candidateList>
        <item>～</item>
      </candidateList>
      <explain>文本全半角错误。</explain>
      <paraID>22BE5C40</paraID>
      <start>125</start>
      <end>126</end>
      <status>unmodified</status>
      <modifiedWord/>
      <trackRevisions>false</trackRevisions>
    </reviewItem>
    <reviewItem>
      <errorID>b8369815-2335-4d3a-b2e7-d95563468044</errorID>
      <errorWord>要</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433E042E</paraID>
      <start>68</start>
      <end>69</end>
      <status>unmodified</status>
      <modifiedWord/>
      <trackRevisions>false</trackRevisions>
    </reviewItem>
    <reviewItem>
      <errorID>2c8f85f3-52be-4ffc-a6df-14510803e0f3</errorID>
      <errorWord>及实施细则</errorWord>
      <group>L1_Word</group>
      <groupName>字词问题</groupName>
      <ability>L2_Typo</ability>
      <abilityName>字词错误</abilityName>
      <candidateList>
        <item>及其实施细则</item>
      </candidateList>
      <explain/>
      <paraID>1EB13F73</paraID>
      <start>37</start>
      <end>42</end>
      <status>unmodified</status>
      <modifiedWord/>
      <trackRevisions>false</trackRevisions>
    </reviewItem>
    <reviewItem>
      <errorID>b8ec2bff-2335-4442-aa70-949c3eb7de78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299C8FEF</paraID>
      <start>15</start>
      <end>18</end>
      <status>unmodified</status>
      <modifiedWord/>
      <trackRevisions>false</trackRevisions>
    </reviewItem>
    <reviewItem>
      <errorID>b680f412-859a-4d9d-b2f0-5cfba5a9b82a</errorID>
      <errorWord>~</errorWord>
      <group>L1_Format</group>
      <groupName>格式问题</groupName>
      <ability>L2_HalfPunc</ability>
      <abilityName>全半角检查</abilityName>
      <candidateList>
        <item>～</item>
      </candidateList>
      <explain>文本全半角错误。</explain>
      <paraID>67D33B8C</paraID>
      <start>16</start>
      <end>17</end>
      <status>unmodified</status>
      <modifiedWord/>
      <trackRevisions>false</trackRevisions>
    </reviewItem>
    <reviewItem>
      <errorID>a6394b74-8d3b-419b-a9be-6d66098f5a2c</errorID>
      <errorWord>~</errorWord>
      <group>L1_Format</group>
      <groupName>格式问题</groupName>
      <ability>L2_HalfPunc</ability>
      <abilityName>全半角检查</abilityName>
      <candidateList>
        <item>～</item>
      </candidateList>
      <explain>文本全半角错误。</explain>
      <paraID>77AD32DD</paraID>
      <start>17</start>
      <end>18</end>
      <status>unmodified</status>
      <modifiedWord/>
      <trackRevisions>false</trackRevisions>
    </reviewItem>
    <reviewItem>
      <errorID>c7ce002b-ba81-45d5-ac44-54ac728bfd55</errorID>
      <errorWord>（</errorWord>
      <group>L1_Format</group>
      <groupName>格式问题</groupName>
      <ability>L2_HalfPunc</ability>
      <abilityName>全半角检查</abilityName>
      <candidateList>
        <item>(</item>
      </candidateList>
      <explain>文本全半角错误。</explain>
      <paraID>45F4201A</paraID>
      <start>0</start>
      <end>1</end>
      <status>unmodified</status>
      <modifiedWord/>
      <trackRevisions>false</trackRevisions>
    </reviewItem>
    <reviewItem>
      <errorID>cd409338-1ce1-42df-bdc7-70e8de4775a5</errorID>
      <errorWord>）</errorWord>
      <group>L1_Format</group>
      <groupName>格式问题</groupName>
      <ability>L2_HalfPunc</ability>
      <abilityName>全半角检查</abilityName>
      <candidateList>
        <item>)</item>
      </candidateList>
      <explain>文本全半角错误。</explain>
      <paraID>45F4201A</paraID>
      <start>9</start>
      <end>10</end>
      <status>unmodified</status>
      <modifiedWord/>
      <trackRevisions>false</trackRevisions>
    </reviewItem>
    <reviewItem>
      <errorID>b16ee722-9ddb-43b5-8753-e6c139a1f52d</errorID>
      <errorWord>(</errorWord>
      <group>L1_Format</group>
      <groupName>格式问题</groupName>
      <ability>L2_HalfPunc</ability>
      <abilityName>全半角检查</abilityName>
      <candidateList>
        <item>（</item>
      </candidateList>
      <explain>文本全半角错误。</explain>
      <paraID> CDC7F6E</paraID>
      <start>8</start>
      <end>9</end>
      <status>unmodified</status>
      <modifiedWord/>
      <trackRevisions>false</trackRevisions>
    </reviewItem>
    <reviewItem>
      <errorID>0112ffce-034d-4c7c-b267-2268f247551a</errorID>
      <errorWord>~</errorWord>
      <group>L1_Format</group>
      <groupName>格式问题</groupName>
      <ability>L2_HalfPunc</ability>
      <abilityName>全半角检查</abilityName>
      <candidateList>
        <item>～</item>
      </candidateList>
      <explain>文本全半角错误。</explain>
      <paraID>504B25DA</paraID>
      <start>48</start>
      <end>49</end>
      <status>unmodified</status>
      <modifiedWord/>
      <trackRevisions>false</trackRevisions>
    </reviewItem>
    <reviewItem>
      <errorID>1570e21b-a91e-460a-a183-7f6f2bb702e1</errorID>
      <errorWord>~</errorWord>
      <group>L1_Format</group>
      <groupName>格式问题</groupName>
      <ability>L2_HalfPunc</ability>
      <abilityName>全半角检查</abilityName>
      <candidateList>
        <item>～</item>
      </candidateList>
      <explain>文本全半角错误。</explain>
      <paraID>4DDD43FE</paraID>
      <start>61</start>
      <end>62</end>
      <status>unmodified</status>
      <modifiedWord/>
      <trackRevisions>false</trackRevisions>
    </reviewItem>
    <reviewItem>
      <errorID>3ff9a920-799a-4e74-bcfb-c6e81b43d29b</errorID>
      <errorWord>却是</errorWord>
      <group>L1_Word</group>
      <groupName>字词问题</groupName>
      <ability>L2_Typo</ability>
      <abilityName>字词错误</abilityName>
      <candidateList>
        <item>却</item>
      </candidateList>
      <explain>（卻）què〈副〉表示转折，比“倒、可”的语气略轻：有许多话要说，一时～说不出来｜文章虽短～很有力。</explain>
      <paraID>2C2D2715</paraID>
      <start>161</start>
      <end>163</end>
      <status>unmodified</status>
      <modifiedWord/>
      <trackRevisions>false</trackRevisions>
    </reviewItem>
    <reviewItem>
      <errorID>b5237598-cc82-41f9-b13d-ff571d9f1b6d</errorID>
      <errorWord>（</errorWord>
      <group>L1_Format</group>
      <groupName>格式问题</groupName>
      <ability>L2_HalfPunc</ability>
      <abilityName>全半角检查</abilityName>
      <candidateList>
        <item>(</item>
      </candidateList>
      <explain>文本全半角错误。</explain>
      <paraID>193B1AAB</paraID>
      <start>0</start>
      <end>1</end>
      <status>unmodified</status>
      <modifiedWord/>
      <trackRevisions>false</trackRevisions>
    </reviewItem>
    <reviewItem>
      <errorID>fae2d98e-5ffe-4794-915e-96ad1a3813b9</errorID>
      <errorWord>）</errorWord>
      <group>L1_Format</group>
      <groupName>格式问题</groupName>
      <ability>L2_HalfPunc</ability>
      <abilityName>全半角检查</abilityName>
      <candidateList>
        <item>)</item>
      </candidateList>
      <explain>文本全半角错误。</explain>
      <paraID>193B1AAB</paraID>
      <start>3</start>
      <end>4</end>
      <status>unmodified</status>
      <modifiedWord/>
      <trackRevisions>false</trackRevisions>
    </reviewItem>
    <reviewItem>
      <errorID>c8c617fa-fccf-47cc-9e1c-e26b0e832a41</errorID>
      <errorWord>~</errorWord>
      <group>L1_Format</group>
      <groupName>格式问题</groupName>
      <ability>L2_HalfPunc</ability>
      <abilityName>全半角检查</abilityName>
      <candidateList>
        <item>～</item>
      </candidateList>
      <explain>文本全半角错误。</explain>
      <paraID>1D851759</paraID>
      <start>2</start>
      <end>3</end>
      <status>unmodified</status>
      <modifiedWord/>
      <trackRevisions>false</trackRevisions>
    </reviewItem>
    <reviewItem>
      <errorID>16605c7d-7f55-4a9e-ae8d-045815429b80</errorID>
      <errorWord>~</errorWord>
      <group>L1_Format</group>
      <groupName>格式问题</groupName>
      <ability>L2_HalfPunc</ability>
      <abilityName>全半角检查</abilityName>
      <candidateList>
        <item>～</item>
      </candidateList>
      <explain>文本全半角错误。</explain>
      <paraID>1ECD09C7</paraID>
      <start>2</start>
      <end>3</end>
      <status>unmodified</status>
      <modifiedWord/>
      <trackRevisions>false</trackRevisions>
    </reviewItem>
    <reviewItem>
      <errorID>657fc916-77a4-4a85-8b2e-ea0783b31f6d</errorID>
      <errorWord>29.9~42.4%</errorWord>
      <group>L1_Knowledge</group>
      <groupName>知识性问题</groupName>
      <ability>L2_Knowledge</ability>
      <abilityName>其他知识</abilityName>
      <candidateList>
        <item>29.9%～42.4%</item>
      </candidateList>
      <explain>1. “29.9~42.4%”中的单位“%”仅出现在后一个数字上，容易引起歧义；根据《现代汉语标点符号数字用法规范手册》，数字表示范围两边需要使用统一的格式。2. 根据标点国标 4.13 中的规则，数字、时间或地域连接符应使用（视觉上更长的）“—”或“～”。</explain>
      <paraID>53DC42EF</paraID>
      <start>33</start>
      <end>43</end>
      <status>unmodified</status>
      <modifiedWord/>
      <trackRevisions>false</trackRevisions>
    </reviewItem>
    <reviewItem>
      <errorID>6e6a26cd-04f7-40c9-aab4-171d49388332</errorID>
      <errorWord>~</errorWord>
      <group>L1_Format</group>
      <groupName>格式问题</groupName>
      <ability>L2_HalfPunc</ability>
      <abilityName>全半角检查</abilityName>
      <candidateList>
        <item>～</item>
      </candidateList>
      <explain>文本全半角错误。</explain>
      <paraID>5162E6C5</paraID>
      <start>51</start>
      <end>52</end>
      <status>unmodified</status>
      <modifiedWord/>
      <trackRevisions>false</trackRevisions>
    </reviewItem>
    <reviewItem>
      <errorID>2125baba-1e12-4146-86de-442d5292abc8</errorID>
      <errorWord>~</errorWord>
      <group>L1_Format</group>
      <groupName>格式问题</groupName>
      <ability>L2_HalfPunc</ability>
      <abilityName>全半角检查</abilityName>
      <candidateList>
        <item>～</item>
      </candidateList>
      <explain>文本全半角错误。</explain>
      <paraID>4F2F318A</paraID>
      <start>51</start>
      <end>52</end>
      <status>unmodified</status>
      <modifiedWord/>
      <trackRevisions>false</trackRevisions>
    </reviewItem>
    <reviewItem>
      <errorID>5be656ee-0546-4e75-be42-0cb0ea4a5e18</errorID>
      <errorWord>(</errorWord>
      <group>L1_Format</group>
      <groupName>格式问题</groupName>
      <ability>L2_HalfPunc</ability>
      <abilityName>全半角检查</abilityName>
      <candidateList>
        <item>（</item>
      </candidateList>
      <explain>文本全半角错误。</explain>
      <paraID>2B2CFF08</paraID>
      <start>8</start>
      <end>9</end>
      <status>unmodified</status>
      <modifiedWord/>
      <trackRevisions>false</trackRevisions>
    </reviewItem>
    <reviewItem>
      <errorID>e0ae28a5-6b36-436d-80ae-75b7bc1eac4e</errorID>
      <errorWord>~</errorWord>
      <group>L1_Format</group>
      <groupName>格式问题</groupName>
      <ability>L2_HalfPunc</ability>
      <abilityName>全半角检查</abilityName>
      <candidateList>
        <item>～</item>
      </candidateList>
      <explain>文本全半角错误。</explain>
      <paraID>35BE417D</paraID>
      <start>30</start>
      <end>31</end>
      <status>unmodified</status>
      <modifiedWord/>
      <trackRevisions>false</trackRevisions>
    </reviewItem>
    <reviewItem>
      <errorID>e88d56e4-d6c5-4490-926a-b3d0ade37b9a</errorID>
      <errorWord>~</errorWord>
      <group>L1_Format</group>
      <groupName>格式问题</groupName>
      <ability>L2_HalfPunc</ability>
      <abilityName>全半角检查</abilityName>
      <candidateList>
        <item>～</item>
      </candidateList>
      <explain>文本全半角错误。</explain>
      <paraID>2FCBFB88</paraID>
      <start>29</start>
      <end>30</end>
      <status>unmodified</status>
      <modifiedWord/>
      <trackRevisions>false</trackRevisions>
    </reviewItem>
    <reviewItem>
      <errorID>540a4c79-468c-4e5b-860d-3d85f5fd87f0</errorID>
      <errorWord>~</errorWord>
      <group>L1_Format</group>
      <groupName>格式问题</groupName>
      <ability>L2_HalfPunc</ability>
      <abilityName>全半角检查</abilityName>
      <candidateList>
        <item>～</item>
      </candidateList>
      <explain>文本全半角错误。</explain>
      <paraID>2257BF37</paraID>
      <start>47</start>
      <end>48</end>
      <status>unmodified</status>
      <modifiedWord/>
      <trackRevisions>false</trackRevisions>
    </reviewItem>
    <reviewItem>
      <errorID>54fb4298-5a24-497d-bb95-cf33d4730a56</errorID>
      <errorWord>（</errorWord>
      <group>L1_Format</group>
      <groupName>格式问题</groupName>
      <ability>L2_HalfPunc</ability>
      <abilityName>全半角检查</abilityName>
      <candidateList>
        <item>(</item>
      </candidateList>
      <explain>文本全半角错误。</explain>
      <paraID>67F7E3C6</paraID>
      <start>11</start>
      <end>12</end>
      <status>unmodified</status>
      <modifiedWord/>
      <trackRevisions>false</trackRevisions>
    </reviewItem>
    <reviewItem>
      <errorID>f8053f11-b181-4a5e-8715-d0f897bc1b36</errorID>
      <errorWord>）</errorWord>
      <group>L1_Format</group>
      <groupName>格式问题</groupName>
      <ability>L2_HalfPunc</ability>
      <abilityName>全半角检查</abilityName>
      <candidateList>
        <item>)</item>
      </candidateList>
      <explain>文本全半角错误。</explain>
      <paraID>67F7E3C6</paraID>
      <start>14</start>
      <end>15</end>
      <status>unmodified</status>
      <modifiedWord/>
      <trackRevisions>false</trackRevisions>
    </reviewItem>
    <reviewItem>
      <errorID>38636a5b-68f0-48fd-97d1-c5a3885bcc79</errorID>
      <errorWord>，...</errorWord>
      <group>L1_Punc</group>
      <groupName>标点问题</groupName>
      <ability>L2_Punc</ability>
      <abilityName>标点符号检查</abilityName>
      <candidateList>
        <item>，</item>
      </candidateList>
      <explain/>
      <paraID>15C0EDFE</paraID>
      <start>19</start>
      <end>23</end>
      <status>unmodified</status>
      <modifiedWord/>
      <trackRevisions>false</trackRevisions>
    </reviewItem>
    <reviewItem>
      <errorID>11f82d7e-01bd-401d-b786-e11f479f8211</errorID>
      <errorWord>,，</errorWord>
      <group>L1_Punc</group>
      <groupName>标点问题</groupName>
      <ability>L2_Punc</ability>
      <abilityName>标点符号检查</abilityName>
      <candidateList>
        <item>,</item>
      </candidateList>
      <explain/>
      <paraID>15C0EDFE</paraID>
      <start>40</start>
      <end>42</end>
      <status>unmodified</status>
      <modifiedWord/>
      <trackRevisions>false</trackRevisions>
    </reviewItem>
    <reviewItem>
      <errorID>9e664fbc-8ad1-4baa-92d5-6a9a58184d52</errorID>
      <errorWord>,，...</errorWord>
      <group>L1_Punc</group>
      <groupName>标点问题</groupName>
      <ability>L2_Punc</ability>
      <abilityName>标点符号检查</abilityName>
      <candidateList>
        <item>,</item>
      </candidateList>
      <explain/>
      <paraID>15C0EDFE</paraID>
      <start>43</start>
      <end>48</end>
      <status>unmodified</status>
      <modifiedWord/>
      <trackRevisions>false</trackRevisions>
    </reviewItem>
    <reviewItem>
      <errorID>6c4c09fa-4105-4cfe-9071-b23280c35fe0</errorID>
      <errorWord>（</errorWord>
      <group>L1_Format</group>
      <groupName>格式问题</groupName>
      <ability>L2_HalfPunc</ability>
      <abilityName>全半角检查</abilityName>
      <candidateList>
        <item>(</item>
      </candidateList>
      <explain>文本全半角错误。</explain>
      <paraID>400F9399</paraID>
      <start>11</start>
      <end>12</end>
      <status>unmodified</status>
      <modifiedWord/>
      <trackRevisions>false</trackRevisions>
    </reviewItem>
    <reviewItem>
      <errorID>7f9ad69b-ccd2-4361-8846-5d35bed9e84a</errorID>
      <errorWord>）</errorWord>
      <group>L1_Format</group>
      <groupName>格式问题</groupName>
      <ability>L2_HalfPunc</ability>
      <abilityName>全半角检查</abilityName>
      <candidateList>
        <item>)</item>
      </candidateList>
      <explain>文本全半角错误。</explain>
      <paraID>400F9399</paraID>
      <start>14</start>
      <end>15</end>
      <status>unmodified</status>
      <modifiedWord/>
      <trackRevisions>false</trackRevisions>
    </reviewItem>
    <reviewItem>
      <errorID>2980bcda-3fd3-4c9f-bd44-53abed76cff9</errorID>
      <errorWord>（</errorWord>
      <group>L1_Format</group>
      <groupName>格式问题</groupName>
      <ability>L2_HalfPunc</ability>
      <abilityName>全半角检查</abilityName>
      <candidateList>
        <item>(</item>
      </candidateList>
      <explain>文本全半角错误。</explain>
      <paraID>47D97B53</paraID>
      <start>11</start>
      <end>12</end>
      <status>unmodified</status>
      <modifiedWord/>
      <trackRevisions>false</trackRevisions>
    </reviewItem>
    <reviewItem>
      <errorID>77ec7196-3d0b-4719-a748-6592cf00ae66</errorID>
      <errorWord>）</errorWord>
      <group>L1_Format</group>
      <groupName>格式问题</groupName>
      <ability>L2_HalfPunc</ability>
      <abilityName>全半角检查</abilityName>
      <candidateList>
        <item>)</item>
      </candidateList>
      <explain>文本全半角错误。</explain>
      <paraID>47D97B53</paraID>
      <start>14</start>
      <end>15</end>
      <status>unmodified</status>
      <modifiedWord/>
      <trackRevisions>false</trackRevisions>
    </reviewItem>
    <reviewItem>
      <errorID>62614564-f27d-4a9f-9521-f448e2324c98</errorID>
      <errorWord>（</errorWord>
      <group>L1_Format</group>
      <groupName>格式问题</groupName>
      <ability>L2_HalfPunc</ability>
      <abilityName>全半角检查</abilityName>
      <candidateList>
        <item>(</item>
      </candidateList>
      <explain>文本全半角错误。</explain>
      <paraID> 6379CF4</paraID>
      <start>11</start>
      <end>12</end>
      <status>unmodified</status>
      <modifiedWord/>
      <trackRevisions>false</trackRevisions>
    </reviewItem>
    <reviewItem>
      <errorID>96b96f8e-d99e-4e18-9e04-4a98e4fcbde9</errorID>
      <errorWord>）</errorWord>
      <group>L1_Format</group>
      <groupName>格式问题</groupName>
      <ability>L2_HalfPunc</ability>
      <abilityName>全半角检查</abilityName>
      <candidateList>
        <item>)</item>
      </candidateList>
      <explain>文本全半角错误。</explain>
      <paraID> 6379CF4</paraID>
      <start>14</start>
      <end>15</end>
      <status>unmodified</status>
      <modifiedWord/>
      <trackRevisions>false</trackRevisions>
    </reviewItem>
    <reviewItem>
      <errorID>75ba5d15-e526-419f-9052-fda81f9c33f0</errorID>
      <errorWord>（</errorWord>
      <group>L1_Format</group>
      <groupName>格式问题</groupName>
      <ability>L2_HalfPunc</ability>
      <abilityName>全半角检查</abilityName>
      <candidateList>
        <item>(</item>
      </candidateList>
      <explain>文本全半角错误。</explain>
      <paraID> 9CC24F5</paraID>
      <start>43</start>
      <end>44</end>
      <status>unmodified</status>
      <modifiedWord/>
      <trackRevisions>false</trackRevisions>
    </reviewItem>
    <reviewItem>
      <errorID>12c4491f-71c7-40eb-9840-8c638190cfd3</errorID>
      <errorWord>）</errorWord>
      <group>L1_Format</group>
      <groupName>格式问题</groupName>
      <ability>L2_HalfPunc</ability>
      <abilityName>全半角检查</abilityName>
      <candidateList>
        <item>)</item>
      </candidateList>
      <explain>文本全半角错误。</explain>
      <paraID> 9CC24F5</paraID>
      <start>46</start>
      <end>47</end>
      <status>unmodified</status>
      <modifiedWord/>
      <trackRevisions>false</trackRevisions>
    </reviewItem>
    <reviewItem>
      <errorID>8bed1b0c-e569-4cd6-8364-90fe23caf43a</errorID>
      <errorWord>（</errorWord>
      <group>L1_Format</group>
      <groupName>格式问题</groupName>
      <ability>L2_HalfPunc</ability>
      <abilityName>全半角检查</abilityName>
      <candidateList>
        <item>(</item>
      </candidateList>
      <explain>文本全半角错误。</explain>
      <paraID>45E23123</paraID>
      <start>32</start>
      <end>33</end>
      <status>unmodified</status>
      <modifiedWord/>
      <trackRevisions>false</trackRevisions>
    </reviewItem>
    <reviewItem>
      <errorID>23d287fe-4035-43c4-bb79-c361cdf71fde</errorID>
      <errorWord>）</errorWord>
      <group>L1_Format</group>
      <groupName>格式问题</groupName>
      <ability>L2_HalfPunc</ability>
      <abilityName>全半角检查</abilityName>
      <candidateList>
        <item>)</item>
      </candidateList>
      <explain>文本全半角错误。</explain>
      <paraID>45E23123</paraID>
      <start>35</start>
      <end>36</end>
      <status>unmodified</status>
      <modifiedWord/>
      <trackRevisions>false</trackRevisions>
    </reviewItem>
    <reviewItem>
      <errorID>7fd0d572-5cfb-4977-bb01-49be70c4539c</errorID>
      <errorWord>（</errorWord>
      <group>L1_Format</group>
      <groupName>格式问题</groupName>
      <ability>L2_HalfPunc</ability>
      <abilityName>全半角检查</abilityName>
      <candidateList>
        <item>(</item>
      </candidateList>
      <explain>文本全半角错误。</explain>
      <paraID>36279EC0</paraID>
      <start>32</start>
      <end>33</end>
      <status>unmodified</status>
      <modifiedWord/>
      <trackRevisions>false</trackRevisions>
    </reviewItem>
    <reviewItem>
      <errorID>5ecc6f78-2130-405f-b3be-410f5ac1d5f6</errorID>
      <errorWord>）</errorWord>
      <group>L1_Format</group>
      <groupName>格式问题</groupName>
      <ability>L2_HalfPunc</ability>
      <abilityName>全半角检查</abilityName>
      <candidateList>
        <item>)</item>
      </candidateList>
      <explain>文本全半角错误。</explain>
      <paraID>36279EC0</paraID>
      <start>35</start>
      <end>36</end>
      <status>unmodified</status>
      <modifiedWord/>
      <trackRevisions>false</trackRevisions>
    </reviewItem>
    <reviewItem>
      <errorID>8fe965ca-c5f0-4b72-8676-effe03126ec2</errorID>
      <errorWord>（</errorWord>
      <group>L1_Format</group>
      <groupName>格式问题</groupName>
      <ability>L2_HalfPunc</ability>
      <abilityName>全半角检查</abilityName>
      <candidateList>
        <item>(</item>
      </candidateList>
      <explain>文本全半角错误。</explain>
      <paraID>780D9BEA</paraID>
      <start>32</start>
      <end>33</end>
      <status>unmodified</status>
      <modifiedWord/>
      <trackRevisions>false</trackRevisions>
    </reviewItem>
    <reviewItem>
      <errorID>ccc4585d-49b7-47f9-a941-f15d649bd55c</errorID>
      <errorWord>）</errorWord>
      <group>L1_Format</group>
      <groupName>格式问题</groupName>
      <ability>L2_HalfPunc</ability>
      <abilityName>全半角检查</abilityName>
      <candidateList>
        <item>)</item>
      </candidateList>
      <explain>文本全半角错误。</explain>
      <paraID>780D9BEA</paraID>
      <start>35</start>
      <end>36</end>
      <status>unmodified</status>
      <modifiedWord/>
      <trackRevisions>false</trackRevisions>
    </reviewItem>
    <reviewItem>
      <errorID>d9e4e74a-9a23-498e-b2cf-8330444e8cd7</errorID>
      <errorWord>（</errorWord>
      <group>L1_Format</group>
      <groupName>格式问题</groupName>
      <ability>L2_HalfPunc</ability>
      <abilityName>全半角检查</abilityName>
      <candidateList>
        <item>(</item>
      </candidateList>
      <explain>文本全半角错误。</explain>
      <paraID>2D78A85E</paraID>
      <start>1</start>
      <end>2</end>
      <status>unmodified</status>
      <modifiedWord/>
      <trackRevisions>false</trackRevisions>
    </reviewItem>
    <reviewItem>
      <errorID>35b24532-66a7-4e80-8261-54efc58ea278</errorID>
      <errorWord>）</errorWord>
      <group>L1_Format</group>
      <groupName>格式问题</groupName>
      <ability>L2_HalfPunc</ability>
      <abilityName>全半角检查</abilityName>
      <candidateList>
        <item>)</item>
      </candidateList>
      <explain>文本全半角错误。</explain>
      <paraID>2D78A85E</paraID>
      <start>5</start>
      <end>6</end>
      <status>unmodified</status>
      <modifiedWord/>
      <trackRevisions>false</trackRevisions>
    </reviewItem>
    <reviewItem>
      <errorID>435dfccd-6f03-4b19-ba1f-25f1eebf708f</errorID>
      <errorWord>（</errorWord>
      <group>L1_Format</group>
      <groupName>格式问题</groupName>
      <ability>L2_HalfPunc</ability>
      <abilityName>全半角检查</abilityName>
      <candidateList>
        <item>(</item>
      </candidateList>
      <explain>文本全半角错误。</explain>
      <paraID>6414F51F</paraID>
      <start>11</start>
      <end>12</end>
      <status>unmodified</status>
      <modifiedWord/>
      <trackRevisions>false</trackRevisions>
    </reviewItem>
    <reviewItem>
      <errorID>229d6bf5-d29c-4932-9a6a-2ab8d716c711</errorID>
      <errorWord>）</errorWord>
      <group>L1_Format</group>
      <groupName>格式问题</groupName>
      <ability>L2_HalfPunc</ability>
      <abilityName>全半角检查</abilityName>
      <candidateList>
        <item>)</item>
      </candidateList>
      <explain>文本全半角错误。</explain>
      <paraID>6414F51F</paraID>
      <start>15</start>
      <end>16</end>
      <status>unmodified</status>
      <modifiedWord/>
      <trackRevisions>false</trackRevisions>
    </reviewItem>
    <reviewItem>
      <errorID>9ef4f081-5b0c-4911-b361-f54cd1b047fc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4E443FCC</paraID>
      <start>5</start>
      <end>6</end>
      <status>unmodified</status>
      <modifiedWord/>
      <trackRevisions>false</trackRevisions>
    </reviewItem>
    <reviewItem>
      <errorID>5d9f5bb8-abbc-4310-8be8-b6345431e8ce</errorID>
      <errorWord>（</errorWord>
      <group>L1_Format</group>
      <groupName>格式问题</groupName>
      <ability>L2_HalfPunc</ability>
      <abilityName>全半角检查</abilityName>
      <candidateList>
        <item>(</item>
      </candidateList>
      <explain>文本全半角错误。</explain>
      <paraID>544340E8</paraID>
      <start>0</start>
      <end>1</end>
      <status>unmodified</status>
      <modifiedWord/>
      <trackRevisions>false</trackRevisions>
    </reviewItem>
    <reviewItem>
      <errorID>c3f0b6cb-9b67-4fa9-b97d-aaf733f0c446</errorID>
      <errorWord>）</errorWord>
      <group>L1_Format</group>
      <groupName>格式问题</groupName>
      <ability>L2_HalfPunc</ability>
      <abilityName>全半角检查</abilityName>
      <candidateList>
        <item>)</item>
      </candidateList>
      <explain>文本全半角错误。</explain>
      <paraID>544340E8</paraID>
      <start>4</start>
      <end>5</end>
      <status>unmodified</status>
      <modifiedWord/>
      <trackRevisions>false</trackRevisions>
    </reviewItem>
    <reviewItem>
      <errorID>12f8d0fd-4cab-4000-86f0-5083726a07b6</errorID>
      <errorWord>（</errorWord>
      <group>L1_Format</group>
      <groupName>格式问题</groupName>
      <ability>L2_HalfPunc</ability>
      <abilityName>全半角检查</abilityName>
      <candidateList>
        <item>(</item>
      </candidateList>
      <explain>文本全半角错误。</explain>
      <paraID>703CA36D</paraID>
      <start>0</start>
      <end>1</end>
      <status>unmodified</status>
      <modifiedWord/>
      <trackRevisions>false</trackRevisions>
    </reviewItem>
    <reviewItem>
      <errorID>7a82fb77-a9d0-4be0-83c8-c733d3f5c90a</errorID>
      <errorWord>）</errorWord>
      <group>L1_Format</group>
      <groupName>格式问题</groupName>
      <ability>L2_HalfPunc</ability>
      <abilityName>全半角检查</abilityName>
      <candidateList>
        <item>)</item>
      </candidateList>
      <explain>文本全半角错误。</explain>
      <paraID>703CA36D</paraID>
      <start>4</start>
      <end>5</end>
      <status>unmodified</status>
      <modifiedWord/>
      <trackRevisions>false</trackRevisions>
    </reviewItem>
    <reviewItem>
      <errorID>73f2eeb7-5113-41ac-8095-533965f280c9</errorID>
      <errorWord>（</errorWord>
      <group>L1_Format</group>
      <groupName>格式问题</groupName>
      <ability>L2_HalfPunc</ability>
      <abilityName>全半角检查</abilityName>
      <candidateList>
        <item>(</item>
      </candidateList>
      <explain>文本全半角错误。</explain>
      <paraID>1D9E7D7B</paraID>
      <start>0</start>
      <end>1</end>
      <status>unmodified</status>
      <modifiedWord/>
      <trackRevisions>false</trackRevisions>
    </reviewItem>
    <reviewItem>
      <errorID>e3a33601-d6bd-47fb-b45b-4d1b74b4ef49</errorID>
      <errorWord>）</errorWord>
      <group>L1_Format</group>
      <groupName>格式问题</groupName>
      <ability>L2_HalfPunc</ability>
      <abilityName>全半角检查</abilityName>
      <candidateList>
        <item>)</item>
      </candidateList>
      <explain>文本全半角错误。</explain>
      <paraID>1D9E7D7B</paraID>
      <start>4</start>
      <end>5</end>
      <status>unmodified</status>
      <modifiedWord/>
      <trackRevisions>false</trackRevisions>
    </reviewItem>
    <reviewItem>
      <errorID>57dfb7e0-4139-4e2e-b3ae-d520445b1635</errorID>
      <errorWord>（</errorWord>
      <group>L1_Format</group>
      <groupName>格式问题</groupName>
      <ability>L2_HalfPunc</ability>
      <abilityName>全半角检查</abilityName>
      <candidateList>
        <item>(</item>
      </candidateList>
      <explain>文本全半角错误。</explain>
      <paraID> 8E293EF</paraID>
      <start>0</start>
      <end>1</end>
      <status>unmodified</status>
      <modifiedWord/>
      <trackRevisions>false</trackRevisions>
    </reviewItem>
    <reviewItem>
      <errorID>af46f507-6e79-4fe5-ac36-daee9c25cbee</errorID>
      <errorWord>）</errorWord>
      <group>L1_Format</group>
      <groupName>格式问题</groupName>
      <ability>L2_HalfPunc</ability>
      <abilityName>全半角检查</abilityName>
      <candidateList>
        <item>)</item>
      </candidateList>
      <explain>文本全半角错误。</explain>
      <paraID> 8E293EF</paraID>
      <start>4</start>
      <end>5</end>
      <status>unmodified</status>
      <modifiedWord/>
      <trackRevisions>false</trackRevisions>
    </reviewItem>
    <reviewItem>
      <errorID>365d8b9e-d8b6-4376-92e3-6fb563cdc79c</errorID>
      <errorWord>决定的</errorWord>
      <group>L1_Word</group>
      <groupName>字词问题</groupName>
      <ability>L2_Typo</ability>
      <abilityName>字词错误</abilityName>
      <candidateList>
        <item>决定</item>
      </candidateList>
      <explain>❶〈动〉对如何行动做出主张：领导上～派他去学习｜这件事情究竟应该怎么办，最好是由大家来～。❷〈名〉决定的事项：这个问题尚未做出～｜组长们回去要向本组传达这项～。❸〈动〉某事物成为另一事物的先决条件；起主导作用：～性｜存在～意识｜这件事～了他未来的生活道路。</explain>
      <paraID> B662E24</paraID>
      <start>55</start>
      <end>58</end>
      <status>unmodified</status>
      <modifiedWord/>
      <trackRevisions>false</trackRevisions>
    </reviewItem>
    <reviewItem>
      <errorID>0d1891c4-37ed-4a55-b9ea-d2f3f9a6f389</errorID>
      <errorWord>（</errorWord>
      <group>L1_Format</group>
      <groupName>格式问题</groupName>
      <ability>L2_HalfPunc</ability>
      <abilityName>全半角检查</abilityName>
      <candidateList>
        <item>(</item>
      </candidateList>
      <explain>文本全半角错误。</explain>
      <paraID> 270835E</paraID>
      <start>1</start>
      <end>2</end>
      <status>unmodified</status>
      <modifiedWord/>
      <trackRevisions>false</trackRevisions>
    </reviewItem>
    <reviewItem>
      <errorID>6fdf6dd4-b79f-4639-b02d-d502476566ca</errorID>
      <errorWord>，</errorWord>
      <group>L1_Format</group>
      <groupName>格式问题</groupName>
      <ability>L2_HalfPunc</ability>
      <abilityName>全半角检查</abilityName>
      <candidateList>
        <item>, </item>
      </candidateList>
      <explain>文本全半角错误。</explain>
      <paraID> 270835E</paraID>
      <start>8</start>
      <end>9</end>
      <status>unmodified</status>
      <modifiedWord/>
      <trackRevisions>false</trackRevisions>
    </reviewItem>
    <reviewItem>
      <errorID>49e5d7eb-cf7d-405d-a2f5-d20b38c46482</errorID>
      <errorWord>）；</errorWord>
      <group>L1_Format</group>
      <groupName>格式问题</groupName>
      <ability>L2_HalfPunc</ability>
      <abilityName>全半角检查</abilityName>
      <candidateList>
        <item>);</item>
      </candidateList>
      <explain>文本全半角错误。</explain>
      <paraID> 270835E</paraID>
      <start>14</start>
      <end>16</end>
      <status>unmodified</status>
      <modifiedWord/>
      <trackRevisions>false</trackRevisions>
    </reviewItem>
    <reviewItem>
      <errorID>0e357f43-1a05-44da-9ae6-590366010657</errorID>
      <errorWord>（</errorWord>
      <group>L1_Format</group>
      <groupName>格式问题</groupName>
      <ability>L2_HalfPunc</ability>
      <abilityName>全半角检查</abilityName>
      <candidateList>
        <item>(</item>
      </candidateList>
      <explain>文本全半角错误。</explain>
      <paraID>29CA6B12</paraID>
      <start>1</start>
      <end>2</end>
      <status>unmodified</status>
      <modifiedWord/>
      <trackRevisions>false</trackRevisions>
    </reviewItem>
    <reviewItem>
      <errorID>b7aee402-5433-4fa3-a6d1-96e5b07d406b</errorID>
      <errorWord>，</errorWord>
      <group>L1_Format</group>
      <groupName>格式问题</groupName>
      <ability>L2_HalfPunc</ability>
      <abilityName>全半角检查</abilityName>
      <candidateList>
        <item>, </item>
      </candidateList>
      <explain>文本全半角错误。</explain>
      <paraID>29CA6B12</paraID>
      <start>8</start>
      <end>9</end>
      <status>unmodified</status>
      <modifiedWord/>
      <trackRevisions>false</trackRevisions>
    </reviewItem>
    <reviewItem>
      <errorID>6308ecf2-5b6b-4409-94b5-2168d2222a32</errorID>
      <errorWord>）；</errorWord>
      <group>L1_Format</group>
      <groupName>格式问题</groupName>
      <ability>L2_HalfPunc</ability>
      <abilityName>全半角检查</abilityName>
      <candidateList>
        <item>);</item>
      </candidateList>
      <explain>文本全半角错误。</explain>
      <paraID>29CA6B12</paraID>
      <start>15</start>
      <end>17</end>
      <status>unmodified</status>
      <modifiedWord/>
      <trackRevisions>false</trackRevisions>
    </reviewItem>
    <reviewItem>
      <errorID>7140d6e1-bbf7-43d0-a2c9-60a76110211a</errorID>
      <errorWord>（</errorWord>
      <group>L1_Format</group>
      <groupName>格式问题</groupName>
      <ability>L2_HalfPunc</ability>
      <abilityName>全半角检查</abilityName>
      <candidateList>
        <item>(</item>
      </candidateList>
      <explain>文本全半角错误。</explain>
      <paraID>6308D5BC</paraID>
      <start>1</start>
      <end>2</end>
      <status>unmodified</status>
      <modifiedWord/>
      <trackRevisions>false</trackRevisions>
    </reviewItem>
    <reviewItem>
      <errorID>e408bcbf-2c7f-4c57-99d0-9dcf773e5467</errorID>
      <errorWord>，</errorWord>
      <group>L1_Format</group>
      <groupName>格式问题</groupName>
      <ability>L2_HalfPunc</ability>
      <abilityName>全半角检查</abilityName>
      <candidateList>
        <item>, </item>
      </candidateList>
      <explain>文本全半角错误。</explain>
      <paraID>6308D5BC</paraID>
      <start>8</start>
      <end>9</end>
      <status>unmodified</status>
      <modifiedWord/>
      <trackRevisions>false</trackRevisions>
    </reviewItem>
    <reviewItem>
      <errorID>095b21ed-4944-4feb-a97e-ac1a49cb808a</errorID>
      <errorWord>）；</errorWord>
      <group>L1_Format</group>
      <groupName>格式问题</groupName>
      <ability>L2_HalfPunc</ability>
      <abilityName>全半角检查</abilityName>
      <candidateList>
        <item>);</item>
      </candidateList>
      <explain>文本全半角错误。</explain>
      <paraID>6308D5BC</paraID>
      <start>10</start>
      <end>12</end>
      <status>unmodified</status>
      <modifiedWord/>
      <trackRevisions>false</trackRevisions>
    </reviewItem>
    <reviewItem>
      <errorID>9e6d1190-1cce-4b80-8b5c-f2ab1dafa035</errorID>
      <errorWord>（</errorWord>
      <group>L1_Format</group>
      <groupName>格式问题</groupName>
      <ability>L2_HalfPunc</ability>
      <abilityName>全半角检查</abilityName>
      <candidateList>
        <item>(</item>
      </candidateList>
      <explain>文本全半角错误。</explain>
      <paraID>13056030</paraID>
      <start>1</start>
      <end>2</end>
      <status>unmodified</status>
      <modifiedWord/>
      <trackRevisions>false</trackRevisions>
    </reviewItem>
    <reviewItem>
      <errorID>11ff1ecb-9651-4de8-8964-aaae1e9596d2</errorID>
      <errorWord>，</errorWord>
      <group>L1_Format</group>
      <groupName>格式问题</groupName>
      <ability>L2_HalfPunc</ability>
      <abilityName>全半角检查</abilityName>
      <candidateList>
        <item>,</item>
      </candidateList>
      <explain>文本全半角错误。</explain>
      <paraID>13056030</paraID>
      <start>4</start>
      <end>5</end>
      <status>unmodified</status>
      <modifiedWord/>
      <trackRevisions>false</trackRevisions>
    </reviewItem>
    <reviewItem>
      <errorID>53b44623-d888-4389-b7a9-1c85999220ff</errorID>
      <errorWord>）</errorWord>
      <group>L1_Format</group>
      <groupName>格式问题</groupName>
      <ability>L2_HalfPunc</ability>
      <abilityName>全半角检查</abilityName>
      <candidateList>
        <item>)</item>
      </candidateList>
      <explain>文本全半角错误。</explain>
      <paraID>13056030</paraID>
      <start>8</start>
      <end>9</end>
      <status>unmodified</status>
      <modifiedWord/>
      <trackRevisions>false</trackRevisions>
    </reviewItem>
    <reviewItem>
      <errorID>0131d5ff-4c85-44d3-a9de-2c190a67fdcc</errorID>
      <errorWord>（</errorWord>
      <group>L1_Format</group>
      <groupName>格式问题</groupName>
      <ability>L2_HalfPunc</ability>
      <abilityName>全半角检查</abilityName>
      <candidateList>
        <item>(</item>
      </candidateList>
      <explain>文本全半角错误。</explain>
      <paraID>5BCD7E1A</paraID>
      <start>1</start>
      <end>2</end>
      <status>unmodified</status>
      <modifiedWord/>
      <trackRevisions>false</trackRevisions>
    </reviewItem>
    <reviewItem>
      <errorID>4b5f4b56-2a73-46a2-bcba-bc70a9b0948c</errorID>
      <errorWord>，</errorWord>
      <group>L1_Format</group>
      <groupName>格式问题</groupName>
      <ability>L2_HalfPunc</ability>
      <abilityName>全半角检查</abilityName>
      <candidateList>
        <item>, </item>
      </candidateList>
      <explain>文本全半角错误。</explain>
      <paraID>5BCD7E1A</paraID>
      <start>7</start>
      <end>8</end>
      <status>unmodified</status>
      <modifiedWord/>
      <trackRevisions>false</trackRevisions>
    </reviewItem>
    <reviewItem>
      <errorID>2e758616-7031-43bb-a6da-1d34cef9ae1e</errorID>
      <errorWord>）</errorWord>
      <group>L1_Format</group>
      <groupName>格式问题</groupName>
      <ability>L2_HalfPunc</ability>
      <abilityName>全半角检查</abilityName>
      <candidateList>
        <item>)</item>
      </candidateList>
      <explain>文本全半角错误。</explain>
      <paraID>5BCD7E1A</paraID>
      <start>9</start>
      <end>10</end>
      <status>unmodified</status>
      <modifiedWord/>
      <trackRevisions>false</trackRevisions>
    </reviewItem>
    <reviewItem>
      <errorID>4c438959-9b2d-41f0-afa0-eba2b3237751</errorID>
      <errorWord>（</errorWord>
      <group>L1_Format</group>
      <groupName>格式问题</groupName>
      <ability>L2_HalfPunc</ability>
      <abilityName>全半角检查</abilityName>
      <candidateList>
        <item>(</item>
      </candidateList>
      <explain>文本全半角错误。</explain>
      <paraID>5BCD7E1A</paraID>
      <start>12</start>
      <end>13</end>
      <status>unmodified</status>
      <modifiedWord/>
      <trackRevisions>false</trackRevisions>
    </reviewItem>
    <reviewItem>
      <errorID>0a2856e8-cf44-4cda-9aeb-1703e2311d1f</errorID>
      <errorWord>，</errorWord>
      <group>L1_Format</group>
      <groupName>格式问题</groupName>
      <ability>L2_HalfPunc</ability>
      <abilityName>全半角检查</abilityName>
      <candidateList>
        <item>, </item>
      </candidateList>
      <explain>文本全半角错误。</explain>
      <paraID>5BCD7E1A</paraID>
      <start>17</start>
      <end>18</end>
      <status>unmodified</status>
      <modifiedWord/>
      <trackRevisions>false</trackRevisions>
    </reviewItem>
    <reviewItem>
      <errorID>4946037a-f40e-4e4f-bdda-c36e8e995dc9</errorID>
      <errorWord>）</errorWord>
      <group>L1_Format</group>
      <groupName>格式问题</groupName>
      <ability>L2_HalfPunc</ability>
      <abilityName>全半角检查</abilityName>
      <candidateList>
        <item>)</item>
      </candidateList>
      <explain>文本全半角错误。</explain>
      <paraID>5BCD7E1A</paraID>
      <start>19</start>
      <end>20</end>
      <status>unmodified</status>
      <modifiedWord/>
      <trackRevisions>false</trackRevisions>
    </reviewItem>
    <reviewItem>
      <errorID>3123e38d-70e1-4f50-a9f5-d98f6af5c6c3</errorID>
      <errorWord>为由</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 C715C1E</paraID>
      <start>8</start>
      <end>10</end>
      <status>unmodified</status>
      <modifiedWord/>
      <trackRevisions>false</trackRevisions>
    </reviewItem>
    <reviewItem>
      <errorID>63e62703-fcc6-49ed-b4ee-cf7a8277e6ca</errorID>
      <errorWord>曝露</errorWord>
      <group>L1_Word</group>
      <groupName>字词问题</groupName>
      <ability>L2_Typo</ability>
      <abilityName>字词错误</abilityName>
      <candidateList>
        <item>暴露</item>
      </candidateList>
      <explain>〈动〉（隐蔽的事物、缺陷、矛盾、问题等）显露出来：～目标｜～无遗。</explain>
      <paraID> 8A07107</paraID>
      <start>37</start>
      <end>39</end>
      <status>unmodified</status>
      <modifiedWord/>
      <trackRevisions>false</trackRevisions>
    </reviewItem>
    <reviewItem>
      <errorID>d605366c-7323-4875-9662-642ba293490a</errorID>
      <errorWord>(</errorWord>
      <group>L1_Format</group>
      <groupName>格式问题</groupName>
      <ability>L2_HalfPunc</ability>
      <abilityName>全半角检查</abilityName>
      <candidateList>
        <item>（</item>
      </candidateList>
      <explain>文本全半角错误。</explain>
      <paraID>2C996E23</paraID>
      <start>8</start>
      <end>9</end>
      <status>unmodified</status>
      <modifiedWord/>
      <trackRevisions>false</trackRevisions>
    </reviewItem>
    <reviewItem>
      <errorID>d974fbf1-851f-4e93-a1b7-48d18557f36b</errorID>
      <errorWord>（</errorWord>
      <group>L1_Format</group>
      <groupName>格式问题</groupName>
      <ability>L2_HalfPunc</ability>
      <abilityName>全半角检查</abilityName>
      <candidateList>
        <item>(</item>
      </candidateList>
      <explain>文本全半角错误。</explain>
      <paraID>3983F9F0</paraID>
      <start>6</start>
      <end>7</end>
      <status>unmodified</status>
      <modifiedWord/>
      <trackRevisions>false</trackRevisions>
    </reviewItem>
    <reviewItem>
      <errorID>9a173259-84d4-416b-95db-0af0ceb243ac</errorID>
      <errorWord>）</errorWord>
      <group>L1_Format</group>
      <groupName>格式问题</groupName>
      <ability>L2_HalfPunc</ability>
      <abilityName>全半角检查</abilityName>
      <candidateList>
        <item>)</item>
      </candidateList>
      <explain>文本全半角错误。</explain>
      <paraID>3983F9F0</paraID>
      <start>9</start>
      <end>10</end>
      <status>unmodified</status>
      <modifiedWord/>
      <trackRevisions>false</trackRevisions>
    </reviewItem>
    <reviewItem>
      <errorID>fdad0460-6bc4-4f27-ac31-e3c2f15ec542</errorID>
      <errorWord>（</errorWord>
      <group>L1_Format</group>
      <groupName>格式问题</groupName>
      <ability>L2_HalfPunc</ability>
      <abilityName>全半角检查</abilityName>
      <candidateList>
        <item>(</item>
      </candidateList>
      <explain>文本全半角错误。</explain>
      <paraID>68CE0A67</paraID>
      <start>7</start>
      <end>8</end>
      <status>unmodified</status>
      <modifiedWord/>
      <trackRevisions>false</trackRevisions>
    </reviewItem>
    <reviewItem>
      <errorID>62383a9e-1e2c-4538-83c9-632732b4c07c</errorID>
      <errorWord>）</errorWord>
      <group>L1_Format</group>
      <groupName>格式问题</groupName>
      <ability>L2_HalfPunc</ability>
      <abilityName>全半角检查</abilityName>
      <candidateList>
        <item>)</item>
      </candidateList>
      <explain>文本全半角错误。</explain>
      <paraID>68CE0A67</paraID>
      <start>10</start>
      <end>11</end>
      <status>unmodified</status>
      <modifiedWord/>
      <trackRevisions>false</trackRevisions>
    </reviewItem>
    <reviewItem>
      <errorID>14c79344-4ca5-4b47-8276-c3de37bb3bef</errorID>
      <errorWord>（</errorWord>
      <group>L1_Format</group>
      <groupName>格式问题</groupName>
      <ability>L2_HalfPunc</ability>
      <abilityName>全半角检查</abilityName>
      <candidateList>
        <item>(</item>
      </candidateList>
      <explain>文本全半角错误。</explain>
      <paraID>18FEDB9E</paraID>
      <start>6</start>
      <end>7</end>
      <status>unmodified</status>
      <modifiedWord/>
      <trackRevisions>false</trackRevisions>
    </reviewItem>
    <reviewItem>
      <errorID>25c81fe6-6365-479e-8b90-365c7843077a</errorID>
      <errorWord>）</errorWord>
      <group>L1_Format</group>
      <groupName>格式问题</groupName>
      <ability>L2_HalfPunc</ability>
      <abilityName>全半角检查</abilityName>
      <candidateList>
        <item>)</item>
      </candidateList>
      <explain>文本全半角错误。</explain>
      <paraID>18FEDB9E</paraID>
      <start>9</start>
      <end>10</end>
      <status>unmodified</status>
      <modifiedWord/>
      <trackRevisions>false</trackRevisions>
    </reviewItem>
    <reviewItem>
      <errorID>f1675b32-c60d-4df0-8fc0-9d0718df5e7b</errorID>
      <errorWord>（</errorWord>
      <group>L1_Format</group>
      <groupName>格式问题</groupName>
      <ability>L2_HalfPunc</ability>
      <abilityName>全半角检查</abilityName>
      <candidateList>
        <item>(</item>
      </candidateList>
      <explain>文本全半角错误。</explain>
      <paraID> 57E00CC</paraID>
      <start>7</start>
      <end>8</end>
      <status>unmodified</status>
      <modifiedWord/>
      <trackRevisions>false</trackRevisions>
    </reviewItem>
    <reviewItem>
      <errorID>6ed4a0b4-200d-44e3-affd-60212ced783d</errorID>
      <errorWord>）</errorWord>
      <group>L1_Format</group>
      <groupName>格式问题</groupName>
      <ability>L2_HalfPunc</ability>
      <abilityName>全半角检查</abilityName>
      <candidateList>
        <item>)</item>
      </candidateList>
      <explain>文本全半角错误。</explain>
      <paraID> 57E00CC</paraID>
      <start>10</start>
      <end>11</end>
      <status>unmodified</status>
      <modifiedWord/>
      <trackRevisions>false</trackRevisions>
    </reviewItem>
    <reviewItem>
      <errorID>d7711f8a-19eb-4a6a-aa6e-fe62bdfa73d3</errorID>
      <errorWord>（</errorWord>
      <group>L1_Format</group>
      <groupName>格式问题</groupName>
      <ability>L2_HalfPunc</ability>
      <abilityName>全半角检查</abilityName>
      <candidateList>
        <item>(</item>
      </candidateList>
      <explain>文本全半角错误。</explain>
      <paraID>5EAB82D7</paraID>
      <start>0</start>
      <end>1</end>
      <status>unmodified</status>
      <modifiedWord/>
      <trackRevisions>false</trackRevisions>
    </reviewItem>
    <reviewItem>
      <errorID>ee301159-c756-4bec-812f-7e1b5dcd41a2</errorID>
      <errorWord>）</errorWord>
      <group>L1_Format</group>
      <groupName>格式问题</groupName>
      <ability>L2_HalfPunc</ability>
      <abilityName>全半角检查</abilityName>
      <candidateList>
        <item>)</item>
      </candidateList>
      <explain>文本全半角错误。</explain>
      <paraID>5EAB82D7</paraID>
      <start>2</start>
      <end>3</end>
      <status>unmodified</status>
      <modifiedWord/>
      <trackRevisions>false</trackRevisions>
    </reviewItem>
    <reviewItem>
      <errorID>883a6ffc-5a50-4081-8829-e55dff77bfd9</errorID>
      <errorWord>（</errorWord>
      <group>L1_Format</group>
      <groupName>格式问题</groupName>
      <ability>L2_HalfPunc</ability>
      <abilityName>全半角检查</abilityName>
      <candidateList>
        <item>(</item>
      </candidateList>
      <explain>文本全半角错误。</explain>
      <paraID>3D9A7759</paraID>
      <start>0</start>
      <end>1</end>
      <status>unmodified</status>
      <modifiedWord/>
      <trackRevisions>false</trackRevisions>
    </reviewItem>
    <reviewItem>
      <errorID>3c22a2a7-9060-47b1-9ab5-cda9256adf66</errorID>
      <errorWord>）</errorWord>
      <group>L1_Format</group>
      <groupName>格式问题</groupName>
      <ability>L2_HalfPunc</ability>
      <abilityName>全半角检查</abilityName>
      <candidateList>
        <item>)</item>
      </candidateList>
      <explain>文本全半角错误。</explain>
      <paraID>3D9A7759</paraID>
      <start>3</start>
      <end>4</end>
      <status>unmodified</status>
      <modifiedWord/>
      <trackRevisions>false</trackRevisions>
    </reviewItem>
    <reviewItem>
      <errorID>d9d2c98f-fe77-4a08-8f4a-54fe2d8a5c2c</errorID>
      <errorWord>（</errorWord>
      <group>L1_Format</group>
      <groupName>格式问题</groupName>
      <ability>L2_HalfPunc</ability>
      <abilityName>全半角检查</abilityName>
      <candidateList>
        <item>(</item>
      </candidateList>
      <explain>文本全半角错误。</explain>
      <paraID>4DA4ED92</paraID>
      <start>0</start>
      <end>1</end>
      <status>unmodified</status>
      <modifiedWord/>
      <trackRevisions>false</trackRevisions>
    </reviewItem>
    <reviewItem>
      <errorID>7a71d29b-cf0d-49a9-940e-13e8ac82fbb3</errorID>
      <errorWord>）</errorWord>
      <group>L1_Format</group>
      <groupName>格式问题</groupName>
      <ability>L2_HalfPunc</ability>
      <abilityName>全半角检查</abilityName>
      <candidateList>
        <item>)</item>
      </candidateList>
      <explain>文本全半角错误。</explain>
      <paraID>4DA4ED92</paraID>
      <start>3</start>
      <end>4</end>
      <status>unmodified</status>
      <modifiedWord/>
      <trackRevisions>false</trackRevisions>
    </reviewItem>
    <reviewItem>
      <errorID>ecf05027-d573-4ed2-b12a-8dee1d371d16</errorID>
      <errorWord>（</errorWord>
      <group>L1_Format</group>
      <groupName>格式问题</groupName>
      <ability>L2_HalfPunc</ability>
      <abilityName>全半角检查</abilityName>
      <candidateList>
        <item>(</item>
      </candidateList>
      <explain>文本全半角错误。</explain>
      <paraID>36E4F68B</paraID>
      <start>0</start>
      <end>1</end>
      <status>unmodified</status>
      <modifiedWord/>
      <trackRevisions>false</trackRevisions>
    </reviewItem>
    <reviewItem>
      <errorID>12476aee-fc48-4089-b1aa-16bd933a06ac</errorID>
      <errorWord>）</errorWord>
      <group>L1_Format</group>
      <groupName>格式问题</groupName>
      <ability>L2_HalfPunc</ability>
      <abilityName>全半角检查</abilityName>
      <candidateList>
        <item>)</item>
      </candidateList>
      <explain>文本全半角错误。</explain>
      <paraID>36E4F68B</paraID>
      <start>3</start>
      <end>4</end>
      <status>unmodified</status>
      <modifiedWord/>
      <trackRevisions>false</trackRevisions>
    </reviewItem>
    <reviewItem>
      <errorID>3db2cc97-eaad-4b88-b80f-b5f04d2345ae</errorID>
      <errorWord>（</errorWord>
      <group>L1_Format</group>
      <groupName>格式问题</groupName>
      <ability>L2_HalfPunc</ability>
      <abilityName>全半角检查</abilityName>
      <candidateList>
        <item>(</item>
      </candidateList>
      <explain>文本全半角错误。</explain>
      <paraID>51B440EF</paraID>
      <start>0</start>
      <end>1</end>
      <status>unmodified</status>
      <modifiedWord/>
      <trackRevisions>false</trackRevisions>
    </reviewItem>
    <reviewItem>
      <errorID>9fc86191-3f4c-43b0-a47c-d59c8496900c</errorID>
      <errorWord>）</errorWord>
      <group>L1_Format</group>
      <groupName>格式问题</groupName>
      <ability>L2_HalfPunc</ability>
      <abilityName>全半角检查</abilityName>
      <candidateList>
        <item>)</item>
      </candidateList>
      <explain>文本全半角错误。</explain>
      <paraID>51B440EF</paraID>
      <start>3</start>
      <end>4</end>
      <status>unmodified</status>
      <modifiedWord/>
      <trackRevisions>false</trackRevisions>
    </reviewItem>
    <reviewItem>
      <errorID>8d34c29b-848b-4006-9b57-1583091a865c</errorID>
      <errorWord>（</errorWord>
      <group>L1_Format</group>
      <groupName>格式问题</groupName>
      <ability>L2_HalfPunc</ability>
      <abilityName>全半角检查</abilityName>
      <candidateList>
        <item>(</item>
      </candidateList>
      <explain>文本全半角错误。</explain>
      <paraID> 3F2DA6E</paraID>
      <start>0</start>
      <end>1</end>
      <status>unmodified</status>
      <modifiedWord/>
      <trackRevisions>false</trackRevisions>
    </reviewItem>
    <reviewItem>
      <errorID>7f391c22-b183-4c73-a968-96f73a17a4c7</errorID>
      <errorWord>）</errorWord>
      <group>L1_Format</group>
      <groupName>格式问题</groupName>
      <ability>L2_HalfPunc</ability>
      <abilityName>全半角检查</abilityName>
      <candidateList>
        <item>)</item>
      </candidateList>
      <explain>文本全半角错误。</explain>
      <paraID> 3F2DA6E</paraID>
      <start>3</start>
      <end>4</end>
      <status>unmodified</status>
      <modifiedWord/>
      <trackRevisions>false</trackRevisions>
    </reviewItem>
    <reviewItem>
      <errorID>2a88e326-1239-4006-bf23-cf7f7826d148</errorID>
      <errorWord>（</errorWord>
      <group>L1_Format</group>
      <groupName>格式问题</groupName>
      <ability>L2_HalfPunc</ability>
      <abilityName>全半角检查</abilityName>
      <candidateList>
        <item>(</item>
      </candidateList>
      <explain>文本全半角错误。</explain>
      <paraID>58582110</paraID>
      <start>0</start>
      <end>1</end>
      <status>unmodified</status>
      <modifiedWord/>
      <trackRevisions>false</trackRevisions>
    </reviewItem>
    <reviewItem>
      <errorID>9e9edcbd-1584-4e17-82ef-b9049d42eae0</errorID>
      <errorWord>）</errorWord>
      <group>L1_Format</group>
      <groupName>格式问题</groupName>
      <ability>L2_HalfPunc</ability>
      <abilityName>全半角检查</abilityName>
      <candidateList>
        <item>)</item>
      </candidateList>
      <explain>文本全半角错误。</explain>
      <paraID>58582110</paraID>
      <start>3</start>
      <end>4</end>
      <status>unmodified</status>
      <modifiedWord/>
      <trackRevisions>false</trackRevisions>
    </reviewItem>
    <reviewItem>
      <errorID>d18957f3-1dc9-46e6-824b-d7f486d18a36</errorID>
      <errorWord>（</errorWord>
      <group>L1_Format</group>
      <groupName>格式问题</groupName>
      <ability>L2_HalfPunc</ability>
      <abilityName>全半角检查</abilityName>
      <candidateList>
        <item>(</item>
      </candidateList>
      <explain>文本全半角错误。</explain>
      <paraID> 1A727C6</paraID>
      <start>0</start>
      <end>1</end>
      <status>unmodified</status>
      <modifiedWord/>
      <trackRevisions>false</trackRevisions>
    </reviewItem>
    <reviewItem>
      <errorID>c69d1e21-e8cc-4dc5-bbaa-3cdbd7f40527</errorID>
      <errorWord>）</errorWord>
      <group>L1_Format</group>
      <groupName>格式问题</groupName>
      <ability>L2_HalfPunc</ability>
      <abilityName>全半角检查</abilityName>
      <candidateList>
        <item>)</item>
      </candidateList>
      <explain>文本全半角错误。</explain>
      <paraID> 1A727C6</paraID>
      <start>2</start>
      <end>3</end>
      <status>unmodified</status>
      <modifiedWord/>
      <trackRevisions>false</trackRevisions>
    </reviewItem>
    <reviewItem>
      <errorID>fc185ca3-9d08-402a-95b6-6065a245c636</errorID>
      <errorWord>(</errorWord>
      <group>L1_Format</group>
      <groupName>格式问题</groupName>
      <ability>L2_HalfPunc</ability>
      <abilityName>全半角检查</abilityName>
      <candidateList>
        <item>（</item>
      </candidateList>
      <explain>文本全半角错误。</explain>
      <paraID> 9CBC257</paraID>
      <start>7</start>
      <end>8</end>
      <status>unmodified</status>
      <modifiedWord/>
      <trackRevisions>false</trackRevisions>
    </reviewItem>
    <reviewItem>
      <errorID>33048d36-18bc-4ee7-9371-57705cf91117</errorID>
      <errorWord>达</errorWord>
      <group>L1_Word</group>
      <groupName>字词问题</groupName>
      <ability>L2_Typo</ability>
      <abilityName>字词错误</abilityName>
      <candidateList>
        <item>达到</item>
      </candidateList>
      <explain>〈动〉到（多指抽象事物或程度）：达得到｜达不到｜目的没有～｜～国际水平。</explain>
      <paraID>19ABEF1D</paraID>
      <start>24</start>
      <end>25</end>
      <status>unmodified</status>
      <modifiedWord/>
      <trackRevisions>false</trackRevisions>
    </reviewItem>
    <reviewItem>
      <errorID>b6c64cdd-fcb8-4822-8e34-9d90ceff07d3</errorID>
      <errorWord>期</errorWord>
      <group>L1_Word</group>
      <groupName>字词问题</groupName>
      <ability>L2_Typo</ability>
      <abilityName>字词错误</abilityName>
      <candidateList>
        <item>期间</item>
      </candidateList>
      <explain>〈名〉某个时期里面：农忙～｜春节～｜抗战～。</explain>
      <paraID>310AF297</paraID>
      <start>4</start>
      <end>5</end>
      <status>unmodified</status>
      <modifiedWord/>
      <trackRevisions>false</trackRevisions>
    </reviewItem>
    <reviewItem>
      <errorID>e5e6a018-829f-443e-9bc9-7f4c1da5c85e</errorID>
      <errorWord>~</errorWord>
      <group>L1_Format</group>
      <groupName>格式问题</groupName>
      <ability>L2_HalfPunc</ability>
      <abilityName>全半角检查</abilityName>
      <candidateList>
        <item>～</item>
      </candidateList>
      <explain>文本全半角错误。</explain>
      <paraID>6CC2472E</paraID>
      <start>58</start>
      <end>59</end>
      <status>unmodified</status>
      <modifiedWord/>
      <trackRevisions>false</trackRevisions>
    </reviewItem>
    <reviewItem>
      <errorID>7ffc7925-fe2e-421a-af0a-c536a9f56c47</errorID>
      <errorWord>~</errorWord>
      <group>L1_Format</group>
      <groupName>格式问题</groupName>
      <ability>L2_HalfPunc</ability>
      <abilityName>全半角检查</abilityName>
      <candidateList>
        <item>～</item>
      </candidateList>
      <explain>文本全半角错误。</explain>
      <paraID>6CC2472E</paraID>
      <start>121</start>
      <end>122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0cfd9c-d193-4c90-a2b9-ff7556598ff3}">
  <ds:schemaRefs/>
</ds:datastoreItem>
</file>

<file path=docProps/app.xml><?xml version="1.0" encoding="utf-8"?>
<Properties xmlns="http://schemas.openxmlformats.org/officeDocument/2006/extended-properties" xmlns:vt="http://schemas.openxmlformats.org/officeDocument/2006/docPropsVTypes">
  <Pages>201</Pages>
  <Words>13070</Words>
  <Characters>14067</Characters>
  <TotalTime>3</TotalTime>
  <ScaleCrop>false</ScaleCrop>
  <LinksUpToDate>false</LinksUpToDate>
  <CharactersWithSpaces>14664</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2026-02-05T15:05:00Z</dcterms:created>
  <dc:creator>lhj</dc:creator>
  <cp:lastModifiedBy>郭丽娜</cp:lastModifiedBy>
  <dcterms:modified xsi:type="dcterms:W3CDTF">2026-07-09T07:35:28Z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2026-07-09T15:31:01Z</vt:filetime>
  </property>
  <property fmtid="{D5CDD505-2E9C-101B-9397-08002B2CF9AE}" pid="4" name="KSOTemplateDocerSaveRecord">
    <vt:lpwstr>eyJoZGlkIjoiYTA0OTFiNTllN2E3YTc2MDc5ZTIwYTg0ZjFlZjFlMWQiLCJ1c2VySWQiOiIzNzMyMDUyODEifQ==</vt:lpwstr>
  </property>
  <property fmtid="{D5CDD505-2E9C-101B-9397-08002B2CF9AE}" pid="5" name="KSOProductBuildVer">
    <vt:lpwstr>2052-12.1.0.26375</vt:lpwstr>
  </property>
  <property fmtid="{D5CDD505-2E9C-101B-9397-08002B2CF9AE}" pid="6" name="ICV">
    <vt:lpwstr>3B8033A55D0841C094B9AE1126F541F2_13</vt:lpwstr>
  </property>
</Properties>
</file>